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A8C89" w14:textId="34B1498D" w:rsidR="004D6A64" w:rsidRDefault="00506CD6">
      <w:pPr>
        <w:jc w:val="center"/>
      </w:pPr>
      <w:r>
        <w:rPr>
          <w:rFonts w:ascii="Times New Roman" w:eastAsia="宋体" w:hAnsi="Times New Roman"/>
          <w:b/>
          <w:bCs/>
          <w:color w:val="000000"/>
          <w:sz w:val="20"/>
          <w:szCs w:val="20"/>
        </w:rPr>
        <w:t xml:space="preserve"> </w:t>
      </w:r>
      <w:r>
        <w:rPr>
          <w:rFonts w:ascii="Times New Roman" w:eastAsia="宋体" w:hAnsi="Times New Roman"/>
          <w:b/>
          <w:bCs/>
          <w:color w:val="000000"/>
          <w:sz w:val="20"/>
          <w:szCs w:val="20"/>
        </w:rPr>
        <w:t>UNITED STATES</w:t>
      </w:r>
    </w:p>
    <w:p w14:paraId="33DA8C8A" w14:textId="77777777" w:rsidR="004D6A64" w:rsidRDefault="00506CD6">
      <w:pPr>
        <w:jc w:val="center"/>
      </w:pPr>
      <w:r>
        <w:rPr>
          <w:rFonts w:ascii="Times New Roman" w:eastAsia="宋体" w:hAnsi="Times New Roman"/>
          <w:b/>
          <w:bCs/>
          <w:color w:val="000000"/>
          <w:sz w:val="20"/>
          <w:szCs w:val="20"/>
        </w:rPr>
        <w:t>SECURITIES AND EXCHANGE COMMISSION</w:t>
      </w:r>
    </w:p>
    <w:p w14:paraId="33DA8C8B" w14:textId="77777777" w:rsidR="004D6A64" w:rsidRDefault="00506CD6">
      <w:pPr>
        <w:jc w:val="center"/>
      </w:pPr>
      <w:r>
        <w:rPr>
          <w:rFonts w:ascii="Times New Roman" w:eastAsia="宋体" w:hAnsi="Times New Roman"/>
          <w:b/>
          <w:bCs/>
          <w:color w:val="000000"/>
          <w:sz w:val="20"/>
          <w:szCs w:val="20"/>
        </w:rPr>
        <w:t>Washington, D.C. 20549</w:t>
      </w:r>
    </w:p>
    <w:p w14:paraId="33DA8C8C" w14:textId="77777777" w:rsidR="004D6A64" w:rsidRDefault="00506CD6">
      <w:pPr>
        <w:spacing w:before="60"/>
      </w:pPr>
      <w:r>
        <w:rPr>
          <w:rFonts w:ascii="Times New Roman" w:eastAsia="宋体" w:hAnsi="Times New Roman"/>
          <w:color w:val="000000"/>
          <w:sz w:val="2"/>
          <w:szCs w:val="2"/>
        </w:rPr>
        <w:t> </w:t>
      </w:r>
    </w:p>
    <w:p w14:paraId="33DA8C8D" w14:textId="77777777" w:rsidR="004D6A64" w:rsidRDefault="00506CD6">
      <w:pPr>
        <w:jc w:val="center"/>
      </w:pPr>
      <w:r>
        <w:rPr>
          <w:rFonts w:ascii="Times New Roman" w:eastAsia="宋体" w:hAnsi="Times New Roman"/>
          <w:b/>
          <w:bCs/>
          <w:color w:val="000000"/>
          <w:sz w:val="28"/>
          <w:szCs w:val="28"/>
        </w:rPr>
        <w:t xml:space="preserve">Form 10-Q </w:t>
      </w:r>
    </w:p>
    <w:p w14:paraId="33DA8C8E" w14:textId="77777777" w:rsidR="004D6A64" w:rsidRDefault="00506CD6">
      <w:pPr>
        <w:spacing w:before="60"/>
      </w:pPr>
      <w:r>
        <w:rPr>
          <w:rFonts w:ascii="Times New Roman" w:eastAsia="宋体" w:hAnsi="Times New Roman"/>
          <w:color w:val="000000"/>
          <w:sz w:val="2"/>
          <w:szCs w:val="2"/>
        </w:rPr>
        <w:t> </w:t>
      </w:r>
    </w:p>
    <w:tbl>
      <w:tblPr>
        <w:tblW w:w="9750" w:type="dxa"/>
        <w:jc w:val="center"/>
        <w:tblCellMar>
          <w:top w:w="15" w:type="dxa"/>
          <w:left w:w="15" w:type="dxa"/>
          <w:bottom w:w="15" w:type="dxa"/>
          <w:right w:w="15" w:type="dxa"/>
        </w:tblCellMar>
        <w:tblLook w:val="04A0" w:firstRow="1" w:lastRow="0" w:firstColumn="1" w:lastColumn="0" w:noHBand="0" w:noVBand="1"/>
      </w:tblPr>
      <w:tblGrid>
        <w:gridCol w:w="36"/>
        <w:gridCol w:w="924"/>
        <w:gridCol w:w="36"/>
        <w:gridCol w:w="36"/>
        <w:gridCol w:w="229"/>
        <w:gridCol w:w="36"/>
        <w:gridCol w:w="36"/>
        <w:gridCol w:w="3677"/>
        <w:gridCol w:w="36"/>
        <w:gridCol w:w="36"/>
        <w:gridCol w:w="1804"/>
        <w:gridCol w:w="36"/>
        <w:gridCol w:w="36"/>
        <w:gridCol w:w="2324"/>
        <w:gridCol w:w="36"/>
        <w:gridCol w:w="36"/>
        <w:gridCol w:w="36"/>
        <w:gridCol w:w="36"/>
        <w:gridCol w:w="36"/>
        <w:gridCol w:w="36"/>
        <w:gridCol w:w="36"/>
        <w:gridCol w:w="36"/>
        <w:gridCol w:w="36"/>
        <w:gridCol w:w="36"/>
        <w:gridCol w:w="36"/>
        <w:gridCol w:w="36"/>
        <w:gridCol w:w="36"/>
      </w:tblGrid>
      <w:tr w:rsidR="004D6A64" w14:paraId="33DA8C9E" w14:textId="77777777">
        <w:trPr>
          <w:gridAfter w:val="12"/>
          <w:jc w:val="center"/>
        </w:trPr>
        <w:tc>
          <w:tcPr>
            <w:tcW w:w="20" w:type="dxa"/>
            <w:shd w:val="clear" w:color="auto" w:fill="auto"/>
          </w:tcPr>
          <w:p w14:paraId="33DA8C8F" w14:textId="77777777" w:rsidR="004D6A64" w:rsidRDefault="004D6A64">
            <w:pPr>
              <w:rPr>
                <w:rFonts w:ascii="宋体"/>
              </w:rPr>
            </w:pPr>
          </w:p>
        </w:tc>
        <w:tc>
          <w:tcPr>
            <w:tcW w:w="965" w:type="dxa"/>
            <w:shd w:val="clear" w:color="auto" w:fill="auto"/>
          </w:tcPr>
          <w:p w14:paraId="33DA8C90" w14:textId="77777777" w:rsidR="004D6A64" w:rsidRDefault="004D6A64">
            <w:pPr>
              <w:rPr>
                <w:rFonts w:ascii="宋体"/>
              </w:rPr>
            </w:pPr>
          </w:p>
        </w:tc>
        <w:tc>
          <w:tcPr>
            <w:tcW w:w="20" w:type="dxa"/>
            <w:shd w:val="clear" w:color="auto" w:fill="auto"/>
          </w:tcPr>
          <w:p w14:paraId="33DA8C91" w14:textId="77777777" w:rsidR="004D6A64" w:rsidRDefault="004D6A64">
            <w:pPr>
              <w:rPr>
                <w:rFonts w:ascii="宋体"/>
              </w:rPr>
            </w:pPr>
          </w:p>
        </w:tc>
        <w:tc>
          <w:tcPr>
            <w:tcW w:w="20" w:type="dxa"/>
            <w:shd w:val="clear" w:color="auto" w:fill="auto"/>
          </w:tcPr>
          <w:p w14:paraId="33DA8C92" w14:textId="77777777" w:rsidR="004D6A64" w:rsidRDefault="004D6A64">
            <w:pPr>
              <w:rPr>
                <w:rFonts w:ascii="宋体"/>
              </w:rPr>
            </w:pPr>
          </w:p>
        </w:tc>
        <w:tc>
          <w:tcPr>
            <w:tcW w:w="245" w:type="dxa"/>
            <w:shd w:val="clear" w:color="auto" w:fill="auto"/>
          </w:tcPr>
          <w:p w14:paraId="33DA8C93" w14:textId="77777777" w:rsidR="004D6A64" w:rsidRDefault="004D6A64">
            <w:pPr>
              <w:rPr>
                <w:rFonts w:ascii="宋体"/>
              </w:rPr>
            </w:pPr>
          </w:p>
        </w:tc>
        <w:tc>
          <w:tcPr>
            <w:tcW w:w="20" w:type="dxa"/>
            <w:shd w:val="clear" w:color="auto" w:fill="auto"/>
          </w:tcPr>
          <w:p w14:paraId="33DA8C94" w14:textId="77777777" w:rsidR="004D6A64" w:rsidRDefault="004D6A64">
            <w:pPr>
              <w:rPr>
                <w:rFonts w:ascii="宋体"/>
              </w:rPr>
            </w:pPr>
          </w:p>
        </w:tc>
        <w:tc>
          <w:tcPr>
            <w:tcW w:w="20" w:type="dxa"/>
            <w:shd w:val="clear" w:color="auto" w:fill="auto"/>
          </w:tcPr>
          <w:p w14:paraId="33DA8C95" w14:textId="77777777" w:rsidR="004D6A64" w:rsidRDefault="004D6A64">
            <w:pPr>
              <w:rPr>
                <w:rFonts w:ascii="宋体"/>
              </w:rPr>
            </w:pPr>
          </w:p>
        </w:tc>
        <w:tc>
          <w:tcPr>
            <w:tcW w:w="3920" w:type="dxa"/>
            <w:shd w:val="clear" w:color="auto" w:fill="auto"/>
          </w:tcPr>
          <w:p w14:paraId="33DA8C96" w14:textId="77777777" w:rsidR="004D6A64" w:rsidRDefault="004D6A64">
            <w:pPr>
              <w:rPr>
                <w:rFonts w:ascii="宋体"/>
              </w:rPr>
            </w:pPr>
          </w:p>
        </w:tc>
        <w:tc>
          <w:tcPr>
            <w:tcW w:w="20" w:type="dxa"/>
            <w:shd w:val="clear" w:color="auto" w:fill="auto"/>
          </w:tcPr>
          <w:p w14:paraId="33DA8C97" w14:textId="77777777" w:rsidR="004D6A64" w:rsidRDefault="004D6A64">
            <w:pPr>
              <w:rPr>
                <w:rFonts w:ascii="宋体"/>
              </w:rPr>
            </w:pPr>
          </w:p>
        </w:tc>
        <w:tc>
          <w:tcPr>
            <w:tcW w:w="20" w:type="dxa"/>
            <w:shd w:val="clear" w:color="auto" w:fill="auto"/>
          </w:tcPr>
          <w:p w14:paraId="33DA8C98" w14:textId="77777777" w:rsidR="004D6A64" w:rsidRDefault="004D6A64">
            <w:pPr>
              <w:rPr>
                <w:rFonts w:ascii="宋体"/>
              </w:rPr>
            </w:pPr>
          </w:p>
        </w:tc>
        <w:tc>
          <w:tcPr>
            <w:tcW w:w="1925" w:type="dxa"/>
            <w:shd w:val="clear" w:color="auto" w:fill="auto"/>
          </w:tcPr>
          <w:p w14:paraId="33DA8C99" w14:textId="77777777" w:rsidR="004D6A64" w:rsidRDefault="004D6A64">
            <w:pPr>
              <w:rPr>
                <w:rFonts w:ascii="宋体"/>
              </w:rPr>
            </w:pPr>
          </w:p>
        </w:tc>
        <w:tc>
          <w:tcPr>
            <w:tcW w:w="20" w:type="dxa"/>
            <w:shd w:val="clear" w:color="auto" w:fill="auto"/>
          </w:tcPr>
          <w:p w14:paraId="33DA8C9A" w14:textId="77777777" w:rsidR="004D6A64" w:rsidRDefault="004D6A64">
            <w:pPr>
              <w:rPr>
                <w:rFonts w:ascii="宋体"/>
              </w:rPr>
            </w:pPr>
          </w:p>
        </w:tc>
        <w:tc>
          <w:tcPr>
            <w:tcW w:w="20" w:type="dxa"/>
            <w:shd w:val="clear" w:color="auto" w:fill="auto"/>
          </w:tcPr>
          <w:p w14:paraId="33DA8C9B" w14:textId="77777777" w:rsidR="004D6A64" w:rsidRDefault="004D6A64">
            <w:pPr>
              <w:rPr>
                <w:rFonts w:ascii="宋体"/>
              </w:rPr>
            </w:pPr>
          </w:p>
        </w:tc>
        <w:tc>
          <w:tcPr>
            <w:tcW w:w="2495" w:type="dxa"/>
            <w:shd w:val="clear" w:color="auto" w:fill="auto"/>
          </w:tcPr>
          <w:p w14:paraId="33DA8C9C" w14:textId="77777777" w:rsidR="004D6A64" w:rsidRDefault="004D6A64">
            <w:pPr>
              <w:rPr>
                <w:rFonts w:ascii="宋体"/>
              </w:rPr>
            </w:pPr>
          </w:p>
        </w:tc>
        <w:tc>
          <w:tcPr>
            <w:tcW w:w="20" w:type="dxa"/>
            <w:shd w:val="clear" w:color="auto" w:fill="auto"/>
          </w:tcPr>
          <w:p w14:paraId="33DA8C9D" w14:textId="77777777" w:rsidR="004D6A64" w:rsidRDefault="004D6A64">
            <w:pPr>
              <w:rPr>
                <w:rFonts w:ascii="宋体"/>
              </w:rPr>
            </w:pPr>
          </w:p>
        </w:tc>
      </w:tr>
      <w:tr w:rsidR="004D6A64" w14:paraId="33DA8CA4" w14:textId="77777777">
        <w:trPr>
          <w:gridAfter w:val="12"/>
          <w:jc w:val="center"/>
        </w:trPr>
        <w:tc>
          <w:tcPr>
            <w:tcW w:w="0" w:type="auto"/>
            <w:gridSpan w:val="3"/>
            <w:shd w:val="clear" w:color="auto" w:fill="auto"/>
            <w:tcMar>
              <w:top w:w="40" w:type="dxa"/>
              <w:left w:w="20" w:type="dxa"/>
              <w:bottom w:w="40" w:type="dxa"/>
              <w:right w:w="20" w:type="dxa"/>
            </w:tcMar>
            <w:vAlign w:val="bottom"/>
          </w:tcPr>
          <w:p w14:paraId="33DA8C9F" w14:textId="77777777" w:rsidR="004D6A64" w:rsidRDefault="00506CD6">
            <w:pPr>
              <w:textAlignment w:val="bottom"/>
            </w:pPr>
            <w:r>
              <w:rPr>
                <w:rFonts w:ascii="Times New Roman" w:eastAsia="宋体" w:hAnsi="Times New Roman"/>
                <w:color w:val="000000"/>
                <w:sz w:val="18"/>
                <w:szCs w:val="18"/>
              </w:rPr>
              <w:t>(Mark One)</w:t>
            </w:r>
          </w:p>
        </w:tc>
        <w:tc>
          <w:tcPr>
            <w:tcW w:w="0" w:type="auto"/>
            <w:gridSpan w:val="3"/>
            <w:shd w:val="clear" w:color="auto" w:fill="auto"/>
            <w:tcMar>
              <w:top w:w="40" w:type="dxa"/>
              <w:left w:w="20" w:type="dxa"/>
              <w:bottom w:w="40" w:type="dxa"/>
              <w:right w:w="20" w:type="dxa"/>
            </w:tcMar>
            <w:vAlign w:val="bottom"/>
          </w:tcPr>
          <w:p w14:paraId="33DA8CA0" w14:textId="77777777" w:rsidR="004D6A64" w:rsidRDefault="00506CD6">
            <w:pPr>
              <w:jc w:val="cente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33DA8CA1" w14:textId="77777777" w:rsidR="004D6A64" w:rsidRDefault="00506CD6">
            <w:pPr>
              <w:jc w:val="center"/>
              <w:textAlignment w:val="bottom"/>
            </w:pPr>
            <w:r>
              <w:rPr>
                <w:rFonts w:ascii="Times New Roman" w:eastAsia="宋体" w:hAnsi="Times New Roman"/>
                <w:color w:val="000000"/>
                <w:sz w:val="18"/>
                <w:szCs w:val="18"/>
              </w:rPr>
              <w:t> </w:t>
            </w:r>
          </w:p>
        </w:tc>
        <w:tc>
          <w:tcPr>
            <w:tcW w:w="0" w:type="auto"/>
            <w:gridSpan w:val="3"/>
            <w:shd w:val="clear" w:color="auto" w:fill="auto"/>
            <w:tcMar>
              <w:left w:w="20" w:type="dxa"/>
              <w:right w:w="20" w:type="dxa"/>
            </w:tcMar>
            <w:vAlign w:val="bottom"/>
          </w:tcPr>
          <w:p w14:paraId="33DA8CA2"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8CA3" w14:textId="77777777" w:rsidR="004D6A64" w:rsidRDefault="004D6A64">
            <w:pPr>
              <w:rPr>
                <w:rFonts w:ascii="宋体"/>
              </w:rPr>
            </w:pPr>
          </w:p>
        </w:tc>
      </w:tr>
      <w:tr w:rsidR="004D6A64" w14:paraId="33DA8CAA" w14:textId="77777777">
        <w:trPr>
          <w:gridAfter w:val="6"/>
          <w:jc w:val="center"/>
        </w:trPr>
        <w:tc>
          <w:tcPr>
            <w:tcW w:w="0" w:type="auto"/>
            <w:gridSpan w:val="3"/>
            <w:shd w:val="clear" w:color="auto" w:fill="auto"/>
            <w:tcMar>
              <w:top w:w="40" w:type="dxa"/>
              <w:left w:w="20" w:type="dxa"/>
              <w:bottom w:w="40" w:type="dxa"/>
              <w:right w:w="20" w:type="dxa"/>
            </w:tcMar>
            <w:vAlign w:val="center"/>
          </w:tcPr>
          <w:p w14:paraId="33DA8CA5" w14:textId="77777777" w:rsidR="004D6A64" w:rsidRDefault="00506CD6">
            <w:pPr>
              <w:jc w:val="right"/>
              <w:textAlignment w:val="center"/>
            </w:pPr>
            <w:r>
              <w:rPr>
                <w:rFonts w:ascii="Arial Unicode MS" w:eastAsia="Arial Unicode MS" w:hAnsi="Arial Unicode MS" w:cs="Arial Unicode MS"/>
                <w:color w:val="000000"/>
                <w:sz w:val="18"/>
                <w:szCs w:val="18"/>
              </w:rPr>
              <w:t>☑</w:t>
            </w:r>
          </w:p>
        </w:tc>
        <w:tc>
          <w:tcPr>
            <w:tcW w:w="0" w:type="auto"/>
            <w:gridSpan w:val="3"/>
            <w:shd w:val="clear" w:color="auto" w:fill="auto"/>
            <w:tcMar>
              <w:top w:w="40" w:type="dxa"/>
              <w:left w:w="20" w:type="dxa"/>
              <w:bottom w:w="40" w:type="dxa"/>
              <w:right w:w="20" w:type="dxa"/>
            </w:tcMar>
            <w:vAlign w:val="bottom"/>
          </w:tcPr>
          <w:p w14:paraId="33DA8CA6" w14:textId="77777777" w:rsidR="004D6A64" w:rsidRDefault="00506CD6">
            <w:pPr>
              <w:textAlignment w:val="bottom"/>
            </w:pPr>
            <w:r>
              <w:rPr>
                <w:rFonts w:ascii="Times New Roman" w:eastAsia="宋体" w:hAnsi="Times New Roman"/>
                <w:color w:val="000000"/>
                <w:sz w:val="18"/>
                <w:szCs w:val="18"/>
              </w:rPr>
              <w:t> </w:t>
            </w:r>
          </w:p>
        </w:tc>
        <w:tc>
          <w:tcPr>
            <w:tcW w:w="0" w:type="auto"/>
            <w:gridSpan w:val="9"/>
            <w:shd w:val="clear" w:color="auto" w:fill="auto"/>
            <w:tcMar>
              <w:top w:w="40" w:type="dxa"/>
              <w:left w:w="20" w:type="dxa"/>
              <w:bottom w:w="40" w:type="dxa"/>
              <w:right w:w="20" w:type="dxa"/>
            </w:tcMar>
          </w:tcPr>
          <w:p w14:paraId="33DA8CA7" w14:textId="77777777" w:rsidR="004D6A64" w:rsidRDefault="00506CD6">
            <w:pPr>
              <w:textAlignment w:val="top"/>
            </w:pPr>
            <w:r>
              <w:rPr>
                <w:rFonts w:ascii="Times New Roman" w:eastAsia="宋体" w:hAnsi="Times New Roman"/>
                <w:b/>
                <w:bCs/>
                <w:color w:val="000000"/>
                <w:sz w:val="18"/>
                <w:szCs w:val="18"/>
              </w:rPr>
              <w:t>QUARTERLY REPORT PURSUANT TO SECTION 13 OR 15(d) OF THE SECURITIES</w:t>
            </w:r>
            <w:r>
              <w:rPr>
                <w:rFonts w:ascii="Times New Roman" w:eastAsia="宋体" w:hAnsi="Times New Roman"/>
                <w:b/>
                <w:bCs/>
                <w:color w:val="000000"/>
                <w:sz w:val="18"/>
                <w:szCs w:val="18"/>
              </w:rPr>
              <w:br/>
              <w:t>EXCHANGE ACT OF 1934</w:t>
            </w:r>
          </w:p>
        </w:tc>
        <w:tc>
          <w:tcPr>
            <w:tcW w:w="0" w:type="auto"/>
            <w:gridSpan w:val="3"/>
            <w:shd w:val="clear" w:color="auto" w:fill="auto"/>
          </w:tcPr>
          <w:p w14:paraId="33DA8CA8" w14:textId="77777777" w:rsidR="004D6A64" w:rsidRDefault="004D6A64">
            <w:pPr>
              <w:rPr>
                <w:rFonts w:ascii="宋体"/>
                <w:vanish/>
              </w:rPr>
            </w:pPr>
          </w:p>
        </w:tc>
        <w:tc>
          <w:tcPr>
            <w:tcW w:w="0" w:type="auto"/>
            <w:gridSpan w:val="3"/>
            <w:shd w:val="clear" w:color="auto" w:fill="auto"/>
          </w:tcPr>
          <w:p w14:paraId="33DA8CA9" w14:textId="77777777" w:rsidR="004D6A64" w:rsidRDefault="004D6A64">
            <w:pPr>
              <w:rPr>
                <w:rFonts w:ascii="宋体"/>
                <w:vanish/>
              </w:rPr>
            </w:pPr>
          </w:p>
        </w:tc>
      </w:tr>
      <w:tr w:rsidR="004D6A64" w14:paraId="33DA8CB6" w14:textId="77777777">
        <w:trPr>
          <w:gridAfter w:val="6"/>
          <w:jc w:val="center"/>
        </w:trPr>
        <w:tc>
          <w:tcPr>
            <w:tcW w:w="0" w:type="auto"/>
            <w:gridSpan w:val="3"/>
            <w:shd w:val="clear" w:color="auto" w:fill="auto"/>
            <w:tcMar>
              <w:left w:w="20" w:type="dxa"/>
              <w:right w:w="20" w:type="dxa"/>
            </w:tcMar>
            <w:vAlign w:val="bottom"/>
          </w:tcPr>
          <w:p w14:paraId="33DA8CAB"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8CAC"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8CAD" w14:textId="77777777" w:rsidR="004D6A64" w:rsidRDefault="00506CD6">
            <w:pPr>
              <w:jc w:val="right"/>
              <w:textAlignment w:val="bottom"/>
            </w:pPr>
            <w:r>
              <w:rPr>
                <w:rFonts w:ascii="Times New Roman" w:eastAsia="宋体" w:hAnsi="Times New Roman"/>
                <w:b/>
                <w:bCs/>
                <w:color w:val="000000"/>
                <w:sz w:val="18"/>
                <w:szCs w:val="18"/>
              </w:rPr>
              <w:t>For the quarterly period ended</w:t>
            </w:r>
          </w:p>
        </w:tc>
        <w:tc>
          <w:tcPr>
            <w:tcW w:w="0" w:type="auto"/>
            <w:gridSpan w:val="3"/>
            <w:shd w:val="clear" w:color="auto" w:fill="auto"/>
            <w:tcMar>
              <w:top w:w="40" w:type="dxa"/>
              <w:left w:w="20" w:type="dxa"/>
              <w:bottom w:w="40" w:type="dxa"/>
              <w:right w:w="20" w:type="dxa"/>
            </w:tcMar>
            <w:vAlign w:val="bottom"/>
          </w:tcPr>
          <w:p w14:paraId="33DA8CAE" w14:textId="77777777" w:rsidR="004D6A64" w:rsidRDefault="00506CD6">
            <w:pPr>
              <w:textAlignment w:val="bottom"/>
            </w:pPr>
            <w:r>
              <w:rPr>
                <w:rFonts w:ascii="Times New Roman" w:eastAsia="宋体" w:hAnsi="Times New Roman"/>
                <w:b/>
                <w:bCs/>
                <w:color w:val="000000"/>
                <w:sz w:val="18"/>
                <w:szCs w:val="18"/>
              </w:rPr>
              <w:t>July 31, 2020</w:t>
            </w:r>
          </w:p>
        </w:tc>
        <w:tc>
          <w:tcPr>
            <w:tcW w:w="0" w:type="auto"/>
            <w:gridSpan w:val="3"/>
            <w:shd w:val="clear" w:color="auto" w:fill="auto"/>
            <w:tcMar>
              <w:left w:w="20" w:type="dxa"/>
              <w:right w:w="20" w:type="dxa"/>
            </w:tcMar>
            <w:vAlign w:val="bottom"/>
          </w:tcPr>
          <w:p w14:paraId="33DA8CAF" w14:textId="77777777" w:rsidR="004D6A64" w:rsidRDefault="004D6A64">
            <w:pPr>
              <w:rPr>
                <w:rFonts w:ascii="宋体"/>
              </w:rPr>
            </w:pPr>
          </w:p>
        </w:tc>
        <w:tc>
          <w:tcPr>
            <w:tcW w:w="0" w:type="auto"/>
            <w:shd w:val="clear" w:color="auto" w:fill="auto"/>
          </w:tcPr>
          <w:p w14:paraId="33DA8CB0" w14:textId="77777777" w:rsidR="004D6A64" w:rsidRDefault="004D6A64">
            <w:pPr>
              <w:rPr>
                <w:rFonts w:ascii="宋体"/>
              </w:rPr>
            </w:pPr>
          </w:p>
        </w:tc>
        <w:tc>
          <w:tcPr>
            <w:tcW w:w="0" w:type="auto"/>
            <w:shd w:val="clear" w:color="auto" w:fill="auto"/>
          </w:tcPr>
          <w:p w14:paraId="33DA8CB1" w14:textId="77777777" w:rsidR="004D6A64" w:rsidRDefault="004D6A64">
            <w:pPr>
              <w:rPr>
                <w:rFonts w:ascii="宋体"/>
              </w:rPr>
            </w:pPr>
          </w:p>
        </w:tc>
        <w:tc>
          <w:tcPr>
            <w:tcW w:w="0" w:type="auto"/>
            <w:shd w:val="clear" w:color="auto" w:fill="auto"/>
          </w:tcPr>
          <w:p w14:paraId="33DA8CB2" w14:textId="77777777" w:rsidR="004D6A64" w:rsidRDefault="004D6A64">
            <w:pPr>
              <w:rPr>
                <w:rFonts w:ascii="宋体"/>
              </w:rPr>
            </w:pPr>
          </w:p>
        </w:tc>
        <w:tc>
          <w:tcPr>
            <w:tcW w:w="0" w:type="auto"/>
            <w:shd w:val="clear" w:color="auto" w:fill="auto"/>
          </w:tcPr>
          <w:p w14:paraId="33DA8CB3" w14:textId="77777777" w:rsidR="004D6A64" w:rsidRDefault="004D6A64">
            <w:pPr>
              <w:rPr>
                <w:rFonts w:ascii="宋体"/>
              </w:rPr>
            </w:pPr>
          </w:p>
        </w:tc>
        <w:tc>
          <w:tcPr>
            <w:tcW w:w="0" w:type="auto"/>
            <w:shd w:val="clear" w:color="auto" w:fill="auto"/>
          </w:tcPr>
          <w:p w14:paraId="33DA8CB4" w14:textId="77777777" w:rsidR="004D6A64" w:rsidRDefault="004D6A64">
            <w:pPr>
              <w:rPr>
                <w:rFonts w:ascii="宋体"/>
              </w:rPr>
            </w:pPr>
          </w:p>
        </w:tc>
        <w:tc>
          <w:tcPr>
            <w:tcW w:w="0" w:type="auto"/>
            <w:shd w:val="clear" w:color="auto" w:fill="auto"/>
          </w:tcPr>
          <w:p w14:paraId="33DA8CB5" w14:textId="77777777" w:rsidR="004D6A64" w:rsidRDefault="004D6A64">
            <w:pPr>
              <w:rPr>
                <w:rFonts w:ascii="宋体"/>
              </w:rPr>
            </w:pPr>
          </w:p>
        </w:tc>
      </w:tr>
      <w:tr w:rsidR="004D6A64" w14:paraId="33DA8CBC" w14:textId="77777777">
        <w:trPr>
          <w:jc w:val="center"/>
        </w:trPr>
        <w:tc>
          <w:tcPr>
            <w:tcW w:w="0" w:type="auto"/>
            <w:gridSpan w:val="15"/>
            <w:shd w:val="clear" w:color="auto" w:fill="auto"/>
            <w:tcMar>
              <w:top w:w="40" w:type="dxa"/>
              <w:left w:w="20" w:type="dxa"/>
              <w:bottom w:w="40" w:type="dxa"/>
              <w:right w:w="20" w:type="dxa"/>
            </w:tcMar>
          </w:tcPr>
          <w:p w14:paraId="33DA8CB7" w14:textId="77777777" w:rsidR="004D6A64" w:rsidRDefault="00506CD6">
            <w:pPr>
              <w:jc w:val="center"/>
              <w:textAlignment w:val="top"/>
            </w:pPr>
            <w:r>
              <w:rPr>
                <w:rFonts w:ascii="Times New Roman" w:eastAsia="宋体" w:hAnsi="Times New Roman"/>
                <w:b/>
                <w:bCs/>
                <w:color w:val="000000"/>
                <w:sz w:val="18"/>
                <w:szCs w:val="18"/>
              </w:rPr>
              <w:t>or</w:t>
            </w:r>
          </w:p>
        </w:tc>
        <w:tc>
          <w:tcPr>
            <w:tcW w:w="0" w:type="auto"/>
            <w:gridSpan w:val="3"/>
            <w:shd w:val="clear" w:color="auto" w:fill="auto"/>
          </w:tcPr>
          <w:p w14:paraId="33DA8CB8" w14:textId="77777777" w:rsidR="004D6A64" w:rsidRDefault="004D6A64">
            <w:pPr>
              <w:rPr>
                <w:rFonts w:ascii="宋体"/>
                <w:vanish/>
              </w:rPr>
            </w:pPr>
          </w:p>
        </w:tc>
        <w:tc>
          <w:tcPr>
            <w:tcW w:w="0" w:type="auto"/>
            <w:gridSpan w:val="3"/>
            <w:shd w:val="clear" w:color="auto" w:fill="auto"/>
          </w:tcPr>
          <w:p w14:paraId="33DA8CB9" w14:textId="77777777" w:rsidR="004D6A64" w:rsidRDefault="004D6A64">
            <w:pPr>
              <w:rPr>
                <w:rFonts w:ascii="宋体"/>
                <w:vanish/>
              </w:rPr>
            </w:pPr>
          </w:p>
        </w:tc>
        <w:tc>
          <w:tcPr>
            <w:tcW w:w="0" w:type="auto"/>
            <w:gridSpan w:val="3"/>
            <w:shd w:val="clear" w:color="auto" w:fill="auto"/>
          </w:tcPr>
          <w:p w14:paraId="33DA8CBA" w14:textId="77777777" w:rsidR="004D6A64" w:rsidRDefault="004D6A64">
            <w:pPr>
              <w:rPr>
                <w:rFonts w:ascii="宋体"/>
                <w:vanish/>
              </w:rPr>
            </w:pPr>
          </w:p>
        </w:tc>
        <w:tc>
          <w:tcPr>
            <w:tcW w:w="0" w:type="auto"/>
            <w:gridSpan w:val="3"/>
            <w:shd w:val="clear" w:color="auto" w:fill="auto"/>
          </w:tcPr>
          <w:p w14:paraId="33DA8CBB" w14:textId="77777777" w:rsidR="004D6A64" w:rsidRDefault="004D6A64">
            <w:pPr>
              <w:rPr>
                <w:rFonts w:ascii="宋体"/>
                <w:vanish/>
              </w:rPr>
            </w:pPr>
          </w:p>
        </w:tc>
      </w:tr>
      <w:tr w:rsidR="004D6A64" w14:paraId="33DA8CC8" w14:textId="77777777">
        <w:trPr>
          <w:jc w:val="center"/>
        </w:trPr>
        <w:tc>
          <w:tcPr>
            <w:tcW w:w="0" w:type="auto"/>
            <w:gridSpan w:val="3"/>
            <w:shd w:val="clear" w:color="auto" w:fill="auto"/>
            <w:tcMar>
              <w:top w:w="40" w:type="dxa"/>
              <w:left w:w="20" w:type="dxa"/>
              <w:bottom w:w="40" w:type="dxa"/>
              <w:right w:w="20" w:type="dxa"/>
            </w:tcMar>
            <w:vAlign w:val="center"/>
          </w:tcPr>
          <w:p w14:paraId="33DA8CBD" w14:textId="77777777" w:rsidR="004D6A64" w:rsidRDefault="00506CD6">
            <w:pPr>
              <w:jc w:val="right"/>
              <w:textAlignment w:val="center"/>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40" w:type="dxa"/>
              <w:left w:w="20" w:type="dxa"/>
              <w:bottom w:w="40" w:type="dxa"/>
              <w:right w:w="20" w:type="dxa"/>
            </w:tcMar>
            <w:vAlign w:val="bottom"/>
          </w:tcPr>
          <w:p w14:paraId="33DA8CBE" w14:textId="77777777" w:rsidR="004D6A64" w:rsidRDefault="00506CD6">
            <w:pPr>
              <w:textAlignment w:val="bottom"/>
            </w:pPr>
            <w:r>
              <w:rPr>
                <w:rFonts w:ascii="Times New Roman" w:eastAsia="宋体" w:hAnsi="Times New Roman"/>
                <w:color w:val="000000"/>
                <w:sz w:val="18"/>
                <w:szCs w:val="18"/>
              </w:rPr>
              <w:t> </w:t>
            </w:r>
          </w:p>
        </w:tc>
        <w:tc>
          <w:tcPr>
            <w:tcW w:w="0" w:type="auto"/>
            <w:gridSpan w:val="9"/>
            <w:shd w:val="clear" w:color="auto" w:fill="auto"/>
            <w:tcMar>
              <w:top w:w="40" w:type="dxa"/>
              <w:left w:w="20" w:type="dxa"/>
              <w:bottom w:w="40" w:type="dxa"/>
              <w:right w:w="20" w:type="dxa"/>
            </w:tcMar>
            <w:vAlign w:val="bottom"/>
          </w:tcPr>
          <w:p w14:paraId="33DA8CBF" w14:textId="77777777" w:rsidR="004D6A64" w:rsidRDefault="00506CD6">
            <w:pPr>
              <w:textAlignment w:val="bottom"/>
            </w:pPr>
            <w:r>
              <w:rPr>
                <w:rFonts w:ascii="Times New Roman" w:eastAsia="宋体" w:hAnsi="Times New Roman"/>
                <w:b/>
                <w:bCs/>
                <w:color w:val="000000"/>
                <w:sz w:val="18"/>
                <w:szCs w:val="18"/>
              </w:rPr>
              <w:t>TRANSITION REPORT PURSUANT TO SECTION 13 OR 15(d) OF THE SECURITIES</w:t>
            </w:r>
            <w:r>
              <w:rPr>
                <w:rFonts w:ascii="Times New Roman" w:eastAsia="宋体" w:hAnsi="Times New Roman"/>
                <w:b/>
                <w:bCs/>
                <w:color w:val="000000"/>
                <w:sz w:val="18"/>
                <w:szCs w:val="18"/>
              </w:rPr>
              <w:br/>
              <w:t>EXCHANGE ACT OF 1934</w:t>
            </w:r>
          </w:p>
        </w:tc>
        <w:tc>
          <w:tcPr>
            <w:tcW w:w="0" w:type="auto"/>
            <w:gridSpan w:val="3"/>
            <w:shd w:val="clear" w:color="auto" w:fill="auto"/>
          </w:tcPr>
          <w:p w14:paraId="33DA8CC0" w14:textId="77777777" w:rsidR="004D6A64" w:rsidRDefault="004D6A64">
            <w:pPr>
              <w:rPr>
                <w:rFonts w:ascii="宋体"/>
                <w:vanish/>
              </w:rPr>
            </w:pPr>
          </w:p>
        </w:tc>
        <w:tc>
          <w:tcPr>
            <w:tcW w:w="0" w:type="auto"/>
            <w:gridSpan w:val="3"/>
            <w:shd w:val="clear" w:color="auto" w:fill="auto"/>
          </w:tcPr>
          <w:p w14:paraId="33DA8CC1" w14:textId="77777777" w:rsidR="004D6A64" w:rsidRDefault="004D6A64">
            <w:pPr>
              <w:rPr>
                <w:rFonts w:ascii="宋体"/>
                <w:vanish/>
              </w:rPr>
            </w:pPr>
          </w:p>
        </w:tc>
        <w:tc>
          <w:tcPr>
            <w:tcW w:w="0" w:type="auto"/>
            <w:shd w:val="clear" w:color="auto" w:fill="auto"/>
          </w:tcPr>
          <w:p w14:paraId="33DA8CC2" w14:textId="77777777" w:rsidR="004D6A64" w:rsidRDefault="004D6A64">
            <w:pPr>
              <w:rPr>
                <w:rFonts w:ascii="宋体"/>
              </w:rPr>
            </w:pPr>
          </w:p>
        </w:tc>
        <w:tc>
          <w:tcPr>
            <w:tcW w:w="0" w:type="auto"/>
            <w:shd w:val="clear" w:color="auto" w:fill="auto"/>
          </w:tcPr>
          <w:p w14:paraId="33DA8CC3" w14:textId="77777777" w:rsidR="004D6A64" w:rsidRDefault="004D6A64">
            <w:pPr>
              <w:rPr>
                <w:rFonts w:ascii="宋体"/>
              </w:rPr>
            </w:pPr>
          </w:p>
        </w:tc>
        <w:tc>
          <w:tcPr>
            <w:tcW w:w="0" w:type="auto"/>
            <w:shd w:val="clear" w:color="auto" w:fill="auto"/>
          </w:tcPr>
          <w:p w14:paraId="33DA8CC4" w14:textId="77777777" w:rsidR="004D6A64" w:rsidRDefault="004D6A64">
            <w:pPr>
              <w:rPr>
                <w:rFonts w:ascii="宋体"/>
              </w:rPr>
            </w:pPr>
          </w:p>
        </w:tc>
        <w:tc>
          <w:tcPr>
            <w:tcW w:w="0" w:type="auto"/>
            <w:shd w:val="clear" w:color="auto" w:fill="auto"/>
          </w:tcPr>
          <w:p w14:paraId="33DA8CC5" w14:textId="77777777" w:rsidR="004D6A64" w:rsidRDefault="004D6A64">
            <w:pPr>
              <w:rPr>
                <w:rFonts w:ascii="宋体"/>
              </w:rPr>
            </w:pPr>
          </w:p>
        </w:tc>
        <w:tc>
          <w:tcPr>
            <w:tcW w:w="0" w:type="auto"/>
            <w:shd w:val="clear" w:color="auto" w:fill="auto"/>
          </w:tcPr>
          <w:p w14:paraId="33DA8CC6" w14:textId="77777777" w:rsidR="004D6A64" w:rsidRDefault="004D6A64">
            <w:pPr>
              <w:rPr>
                <w:rFonts w:ascii="宋体"/>
              </w:rPr>
            </w:pPr>
          </w:p>
        </w:tc>
        <w:tc>
          <w:tcPr>
            <w:tcW w:w="0" w:type="auto"/>
            <w:shd w:val="clear" w:color="auto" w:fill="auto"/>
          </w:tcPr>
          <w:p w14:paraId="33DA8CC7" w14:textId="77777777" w:rsidR="004D6A64" w:rsidRDefault="004D6A64">
            <w:pPr>
              <w:rPr>
                <w:rFonts w:ascii="宋体"/>
              </w:rPr>
            </w:pPr>
          </w:p>
        </w:tc>
      </w:tr>
      <w:tr w:rsidR="004D6A64" w14:paraId="33DA8CCE" w14:textId="77777777">
        <w:trPr>
          <w:jc w:val="center"/>
        </w:trPr>
        <w:tc>
          <w:tcPr>
            <w:tcW w:w="0" w:type="auto"/>
            <w:gridSpan w:val="15"/>
            <w:shd w:val="clear" w:color="auto" w:fill="auto"/>
            <w:tcMar>
              <w:top w:w="40" w:type="dxa"/>
              <w:left w:w="20" w:type="dxa"/>
              <w:bottom w:w="40" w:type="dxa"/>
              <w:right w:w="20" w:type="dxa"/>
            </w:tcMar>
            <w:vAlign w:val="bottom"/>
          </w:tcPr>
          <w:p w14:paraId="33DA8CC9" w14:textId="77777777" w:rsidR="004D6A64" w:rsidRDefault="00506CD6">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000000"/>
                <w:sz w:val="18"/>
                <w:szCs w:val="18"/>
              </w:rPr>
              <w:t xml:space="preserve">For the transition period from </w:t>
            </w:r>
            <w:r>
              <w:rPr>
                <w:rFonts w:ascii="Times New Roman" w:eastAsia="宋体" w:hAnsi="Times New Roman"/>
                <w:b/>
                <w:bCs/>
                <w:color w:val="000000"/>
                <w:sz w:val="18"/>
                <w:szCs w:val="18"/>
                <w:u w:val="single"/>
              </w:rPr>
              <w:t>          </w:t>
            </w:r>
            <w:r>
              <w:rPr>
                <w:rFonts w:ascii="Times New Roman" w:eastAsia="宋体" w:hAnsi="Times New Roman"/>
                <w:b/>
                <w:bCs/>
                <w:color w:val="000000"/>
                <w:sz w:val="18"/>
                <w:szCs w:val="18"/>
              </w:rPr>
              <w:t xml:space="preserve"> to </w:t>
            </w:r>
            <w:r>
              <w:rPr>
                <w:rFonts w:ascii="Times New Roman" w:eastAsia="宋体" w:hAnsi="Times New Roman"/>
                <w:b/>
                <w:bCs/>
                <w:color w:val="000000"/>
                <w:sz w:val="18"/>
                <w:szCs w:val="18"/>
                <w:u w:val="single"/>
              </w:rPr>
              <w:t>          </w:t>
            </w:r>
          </w:p>
        </w:tc>
        <w:tc>
          <w:tcPr>
            <w:tcW w:w="0" w:type="auto"/>
            <w:gridSpan w:val="3"/>
            <w:shd w:val="clear" w:color="auto" w:fill="auto"/>
          </w:tcPr>
          <w:p w14:paraId="33DA8CCA" w14:textId="77777777" w:rsidR="004D6A64" w:rsidRDefault="004D6A64">
            <w:pPr>
              <w:rPr>
                <w:rFonts w:ascii="宋体"/>
                <w:vanish/>
              </w:rPr>
            </w:pPr>
          </w:p>
        </w:tc>
        <w:tc>
          <w:tcPr>
            <w:tcW w:w="0" w:type="auto"/>
            <w:gridSpan w:val="3"/>
            <w:shd w:val="clear" w:color="auto" w:fill="auto"/>
          </w:tcPr>
          <w:p w14:paraId="33DA8CCB" w14:textId="77777777" w:rsidR="004D6A64" w:rsidRDefault="004D6A64">
            <w:pPr>
              <w:rPr>
                <w:rFonts w:ascii="宋体"/>
                <w:vanish/>
              </w:rPr>
            </w:pPr>
          </w:p>
        </w:tc>
        <w:tc>
          <w:tcPr>
            <w:tcW w:w="0" w:type="auto"/>
            <w:gridSpan w:val="3"/>
            <w:shd w:val="clear" w:color="auto" w:fill="auto"/>
          </w:tcPr>
          <w:p w14:paraId="33DA8CCC" w14:textId="77777777" w:rsidR="004D6A64" w:rsidRDefault="004D6A64">
            <w:pPr>
              <w:rPr>
                <w:rFonts w:ascii="宋体"/>
                <w:vanish/>
              </w:rPr>
            </w:pPr>
          </w:p>
        </w:tc>
        <w:tc>
          <w:tcPr>
            <w:tcW w:w="0" w:type="auto"/>
            <w:gridSpan w:val="3"/>
            <w:shd w:val="clear" w:color="auto" w:fill="auto"/>
          </w:tcPr>
          <w:p w14:paraId="33DA8CCD" w14:textId="77777777" w:rsidR="004D6A64" w:rsidRDefault="004D6A64">
            <w:pPr>
              <w:rPr>
                <w:rFonts w:ascii="宋体"/>
                <w:vanish/>
              </w:rPr>
            </w:pPr>
          </w:p>
        </w:tc>
      </w:tr>
    </w:tbl>
    <w:p w14:paraId="33DA8CCF" w14:textId="77777777" w:rsidR="004D6A64" w:rsidRDefault="00506CD6">
      <w:pPr>
        <w:spacing w:before="60"/>
      </w:pPr>
      <w:r>
        <w:rPr>
          <w:rFonts w:ascii="Times New Roman" w:eastAsia="宋体" w:hAnsi="Times New Roman"/>
          <w:color w:val="000000"/>
          <w:sz w:val="2"/>
          <w:szCs w:val="2"/>
        </w:rPr>
        <w:t> </w:t>
      </w:r>
    </w:p>
    <w:p w14:paraId="33DA8CD0" w14:textId="77777777" w:rsidR="004D6A64" w:rsidRDefault="00506CD6">
      <w:pPr>
        <w:jc w:val="center"/>
      </w:pPr>
      <w:r>
        <w:rPr>
          <w:rFonts w:ascii="Times New Roman" w:eastAsia="宋体" w:hAnsi="Times New Roman"/>
          <w:b/>
          <w:bCs/>
          <w:color w:val="000000"/>
          <w:sz w:val="18"/>
          <w:szCs w:val="18"/>
        </w:rPr>
        <w:t xml:space="preserve">Commission File Number: 001-37867 </w:t>
      </w:r>
    </w:p>
    <w:p w14:paraId="33DA8CD1" w14:textId="77777777" w:rsidR="004D6A64" w:rsidRDefault="00506CD6">
      <w:pPr>
        <w:spacing w:before="60"/>
      </w:pPr>
      <w:r>
        <w:rPr>
          <w:rFonts w:ascii="Times New Roman" w:eastAsia="宋体" w:hAnsi="Times New Roman"/>
          <w:color w:val="000000"/>
          <w:sz w:val="2"/>
          <w:szCs w:val="2"/>
        </w:rPr>
        <w:t> </w:t>
      </w:r>
    </w:p>
    <w:p w14:paraId="33DA8CD2" w14:textId="77777777" w:rsidR="004D6A64" w:rsidRDefault="00506CD6">
      <w:pPr>
        <w:spacing w:after="120"/>
        <w:jc w:val="center"/>
      </w:pPr>
      <w:r>
        <w:rPr>
          <w:rFonts w:ascii="Times New Roman" w:eastAsia="宋体" w:hAnsi="Times New Roman"/>
          <w:b/>
          <w:bCs/>
          <w:color w:val="000000"/>
          <w:sz w:val="32"/>
          <w:szCs w:val="32"/>
        </w:rPr>
        <w:t xml:space="preserve">Dell Technologies Inc. </w:t>
      </w:r>
    </w:p>
    <w:p w14:paraId="33DA8CD3" w14:textId="77777777" w:rsidR="004D6A64" w:rsidRDefault="00506CD6">
      <w:pPr>
        <w:spacing w:before="60"/>
        <w:jc w:val="center"/>
      </w:pPr>
      <w:r>
        <w:rPr>
          <w:rFonts w:ascii="Times New Roman" w:eastAsia="宋体" w:hAnsi="Times New Roman"/>
          <w:color w:val="000000"/>
          <w:sz w:val="16"/>
          <w:szCs w:val="16"/>
        </w:rPr>
        <w:t>(Exact name of registrant as specified in its charter)</w:t>
      </w:r>
      <w:r>
        <w:rPr>
          <w:rFonts w:ascii="Times New Roman" w:eastAsia="宋体" w:hAnsi="Times New Roman"/>
          <w:color w:val="000000"/>
          <w:sz w:val="2"/>
          <w:szCs w:val="2"/>
        </w:rPr>
        <w:t> </w:t>
      </w:r>
    </w:p>
    <w:p w14:paraId="33DA8CD4" w14:textId="77777777" w:rsidR="004D6A64" w:rsidRDefault="00506CD6">
      <w:pPr>
        <w:spacing w:before="60" w:after="60"/>
      </w:pPr>
      <w:r>
        <w:rPr>
          <w:rFonts w:ascii="Times New Roman" w:eastAsia="宋体" w:hAnsi="Times New Roman"/>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0"/>
        <w:gridCol w:w="3933"/>
        <w:gridCol w:w="36"/>
        <w:gridCol w:w="36"/>
        <w:gridCol w:w="205"/>
        <w:gridCol w:w="36"/>
        <w:gridCol w:w="61"/>
        <w:gridCol w:w="3933"/>
        <w:gridCol w:w="36"/>
      </w:tblGrid>
      <w:tr w:rsidR="004D6A64" w14:paraId="33DA8CDE" w14:textId="77777777">
        <w:tc>
          <w:tcPr>
            <w:tcW w:w="50" w:type="pct"/>
            <w:shd w:val="clear" w:color="auto" w:fill="auto"/>
          </w:tcPr>
          <w:p w14:paraId="33DA8CD5" w14:textId="77777777" w:rsidR="004D6A64" w:rsidRDefault="004D6A64">
            <w:pPr>
              <w:rPr>
                <w:rFonts w:ascii="宋体"/>
              </w:rPr>
            </w:pPr>
          </w:p>
        </w:tc>
        <w:tc>
          <w:tcPr>
            <w:tcW w:w="2371" w:type="pct"/>
            <w:shd w:val="clear" w:color="auto" w:fill="auto"/>
          </w:tcPr>
          <w:p w14:paraId="33DA8CD6" w14:textId="77777777" w:rsidR="004D6A64" w:rsidRDefault="004D6A64">
            <w:pPr>
              <w:rPr>
                <w:rFonts w:ascii="宋体"/>
              </w:rPr>
            </w:pPr>
          </w:p>
        </w:tc>
        <w:tc>
          <w:tcPr>
            <w:tcW w:w="5" w:type="pct"/>
            <w:shd w:val="clear" w:color="auto" w:fill="auto"/>
          </w:tcPr>
          <w:p w14:paraId="33DA8CD7" w14:textId="77777777" w:rsidR="004D6A64" w:rsidRDefault="004D6A64">
            <w:pPr>
              <w:rPr>
                <w:rFonts w:ascii="宋体"/>
              </w:rPr>
            </w:pPr>
          </w:p>
        </w:tc>
        <w:tc>
          <w:tcPr>
            <w:tcW w:w="5" w:type="pct"/>
            <w:shd w:val="clear" w:color="auto" w:fill="auto"/>
          </w:tcPr>
          <w:p w14:paraId="33DA8CD8" w14:textId="77777777" w:rsidR="004D6A64" w:rsidRDefault="004D6A64">
            <w:pPr>
              <w:rPr>
                <w:rFonts w:ascii="宋体"/>
              </w:rPr>
            </w:pPr>
          </w:p>
        </w:tc>
        <w:tc>
          <w:tcPr>
            <w:tcW w:w="136" w:type="pct"/>
            <w:shd w:val="clear" w:color="auto" w:fill="auto"/>
          </w:tcPr>
          <w:p w14:paraId="33DA8CD9" w14:textId="77777777" w:rsidR="004D6A64" w:rsidRDefault="004D6A64">
            <w:pPr>
              <w:rPr>
                <w:rFonts w:ascii="宋体"/>
              </w:rPr>
            </w:pPr>
          </w:p>
        </w:tc>
        <w:tc>
          <w:tcPr>
            <w:tcW w:w="5" w:type="pct"/>
            <w:shd w:val="clear" w:color="auto" w:fill="auto"/>
          </w:tcPr>
          <w:p w14:paraId="33DA8CDA" w14:textId="77777777" w:rsidR="004D6A64" w:rsidRDefault="004D6A64">
            <w:pPr>
              <w:rPr>
                <w:rFonts w:ascii="宋体"/>
              </w:rPr>
            </w:pPr>
          </w:p>
        </w:tc>
        <w:tc>
          <w:tcPr>
            <w:tcW w:w="50" w:type="pct"/>
            <w:shd w:val="clear" w:color="auto" w:fill="auto"/>
          </w:tcPr>
          <w:p w14:paraId="33DA8CDB" w14:textId="77777777" w:rsidR="004D6A64" w:rsidRDefault="004D6A64">
            <w:pPr>
              <w:rPr>
                <w:rFonts w:ascii="宋体"/>
              </w:rPr>
            </w:pPr>
          </w:p>
        </w:tc>
        <w:tc>
          <w:tcPr>
            <w:tcW w:w="2371" w:type="pct"/>
            <w:shd w:val="clear" w:color="auto" w:fill="auto"/>
          </w:tcPr>
          <w:p w14:paraId="33DA8CDC" w14:textId="77777777" w:rsidR="004D6A64" w:rsidRDefault="004D6A64">
            <w:pPr>
              <w:rPr>
                <w:rFonts w:ascii="宋体"/>
              </w:rPr>
            </w:pPr>
          </w:p>
        </w:tc>
        <w:tc>
          <w:tcPr>
            <w:tcW w:w="5" w:type="pct"/>
            <w:shd w:val="clear" w:color="auto" w:fill="auto"/>
          </w:tcPr>
          <w:p w14:paraId="33DA8CDD" w14:textId="77777777" w:rsidR="004D6A64" w:rsidRDefault="004D6A64">
            <w:pPr>
              <w:rPr>
                <w:rFonts w:ascii="宋体"/>
              </w:rPr>
            </w:pPr>
          </w:p>
        </w:tc>
      </w:tr>
      <w:tr w:rsidR="004D6A64" w14:paraId="33DA8CE2" w14:textId="77777777">
        <w:tc>
          <w:tcPr>
            <w:tcW w:w="0" w:type="auto"/>
            <w:gridSpan w:val="3"/>
            <w:shd w:val="clear" w:color="auto" w:fill="auto"/>
            <w:tcMar>
              <w:top w:w="40" w:type="dxa"/>
              <w:left w:w="20" w:type="dxa"/>
              <w:bottom w:w="40" w:type="dxa"/>
              <w:right w:w="20" w:type="dxa"/>
            </w:tcMar>
            <w:vAlign w:val="bottom"/>
          </w:tcPr>
          <w:p w14:paraId="33DA8CDF" w14:textId="77777777" w:rsidR="004D6A64" w:rsidRDefault="00506CD6">
            <w:pPr>
              <w:jc w:val="center"/>
              <w:textAlignment w:val="bottom"/>
            </w:pPr>
            <w:r>
              <w:rPr>
                <w:rFonts w:ascii="Times New Roman" w:eastAsia="宋体" w:hAnsi="Times New Roman"/>
                <w:b/>
                <w:bCs/>
                <w:color w:val="000000"/>
                <w:sz w:val="18"/>
                <w:szCs w:val="18"/>
              </w:rPr>
              <w:t>Delaware</w:t>
            </w:r>
          </w:p>
        </w:tc>
        <w:tc>
          <w:tcPr>
            <w:tcW w:w="0" w:type="auto"/>
            <w:gridSpan w:val="3"/>
            <w:shd w:val="clear" w:color="auto" w:fill="auto"/>
            <w:tcMar>
              <w:top w:w="40" w:type="dxa"/>
              <w:left w:w="20" w:type="dxa"/>
              <w:bottom w:w="40" w:type="dxa"/>
              <w:right w:w="20" w:type="dxa"/>
            </w:tcMar>
            <w:vAlign w:val="bottom"/>
          </w:tcPr>
          <w:p w14:paraId="33DA8CE0" w14:textId="77777777" w:rsidR="004D6A64" w:rsidRDefault="00506CD6">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33DA8CE1" w14:textId="77777777" w:rsidR="004D6A64" w:rsidRDefault="00506CD6">
            <w:pPr>
              <w:jc w:val="center"/>
              <w:textAlignment w:val="bottom"/>
            </w:pPr>
            <w:r>
              <w:rPr>
                <w:rFonts w:ascii="Times New Roman" w:eastAsia="宋体" w:hAnsi="Times New Roman"/>
                <w:b/>
                <w:bCs/>
                <w:color w:val="000000"/>
                <w:sz w:val="18"/>
                <w:szCs w:val="18"/>
              </w:rPr>
              <w:t>80-0890963</w:t>
            </w:r>
          </w:p>
        </w:tc>
      </w:tr>
      <w:tr w:rsidR="004D6A64" w14:paraId="33DA8CE6" w14:textId="77777777">
        <w:tc>
          <w:tcPr>
            <w:tcW w:w="0" w:type="auto"/>
            <w:gridSpan w:val="3"/>
            <w:shd w:val="clear" w:color="auto" w:fill="auto"/>
            <w:tcMar>
              <w:top w:w="40" w:type="dxa"/>
              <w:left w:w="20" w:type="dxa"/>
              <w:bottom w:w="40" w:type="dxa"/>
              <w:right w:w="20" w:type="dxa"/>
            </w:tcMar>
            <w:vAlign w:val="bottom"/>
          </w:tcPr>
          <w:p w14:paraId="33DA8CE3" w14:textId="77777777" w:rsidR="004D6A64" w:rsidRDefault="00506CD6">
            <w:pPr>
              <w:jc w:val="center"/>
              <w:textAlignment w:val="bottom"/>
            </w:pPr>
            <w:r>
              <w:rPr>
                <w:rFonts w:ascii="Times New Roman" w:eastAsia="宋体" w:hAnsi="Times New Roman"/>
                <w:color w:val="000000"/>
                <w:sz w:val="18"/>
                <w:szCs w:val="18"/>
              </w:rPr>
              <w:t>(State or other jurisdiction of incorporation or organization)</w:t>
            </w:r>
          </w:p>
        </w:tc>
        <w:tc>
          <w:tcPr>
            <w:tcW w:w="0" w:type="auto"/>
            <w:gridSpan w:val="3"/>
            <w:shd w:val="clear" w:color="auto" w:fill="auto"/>
            <w:tcMar>
              <w:top w:w="40" w:type="dxa"/>
              <w:left w:w="20" w:type="dxa"/>
              <w:bottom w:w="40" w:type="dxa"/>
              <w:right w:w="20" w:type="dxa"/>
            </w:tcMar>
            <w:vAlign w:val="bottom"/>
          </w:tcPr>
          <w:p w14:paraId="33DA8CE4" w14:textId="77777777" w:rsidR="004D6A64" w:rsidRDefault="00506CD6">
            <w:pPr>
              <w:textAlignment w:val="bottom"/>
            </w:pPr>
            <w:r>
              <w:rPr>
                <w:rFonts w:ascii="Times New Roman" w:eastAsia="宋体" w:hAnsi="Times New Roman"/>
                <w:color w:val="000000"/>
                <w:sz w:val="19"/>
                <w:szCs w:val="19"/>
              </w:rPr>
              <w:t> </w:t>
            </w:r>
          </w:p>
        </w:tc>
        <w:tc>
          <w:tcPr>
            <w:tcW w:w="0" w:type="auto"/>
            <w:gridSpan w:val="3"/>
            <w:shd w:val="clear" w:color="auto" w:fill="auto"/>
            <w:tcMar>
              <w:top w:w="40" w:type="dxa"/>
              <w:left w:w="20" w:type="dxa"/>
              <w:bottom w:w="40" w:type="dxa"/>
              <w:right w:w="20" w:type="dxa"/>
            </w:tcMar>
            <w:vAlign w:val="bottom"/>
          </w:tcPr>
          <w:p w14:paraId="33DA8CE5" w14:textId="77777777" w:rsidR="004D6A64" w:rsidRDefault="00506CD6">
            <w:pPr>
              <w:jc w:val="center"/>
              <w:textAlignment w:val="bottom"/>
            </w:pPr>
            <w:r>
              <w:rPr>
                <w:rFonts w:ascii="Times New Roman" w:eastAsia="宋体" w:hAnsi="Times New Roman"/>
                <w:color w:val="000000"/>
                <w:sz w:val="18"/>
                <w:szCs w:val="18"/>
              </w:rPr>
              <w:t xml:space="preserve">(I.R.S. Employer </w:t>
            </w:r>
            <w:r>
              <w:rPr>
                <w:rFonts w:ascii="Times New Roman" w:eastAsia="宋体" w:hAnsi="Times New Roman"/>
                <w:color w:val="000000"/>
                <w:sz w:val="18"/>
                <w:szCs w:val="18"/>
              </w:rPr>
              <w:t>Identification No.)</w:t>
            </w:r>
          </w:p>
        </w:tc>
      </w:tr>
    </w:tbl>
    <w:p w14:paraId="33DA8CE7" w14:textId="77777777" w:rsidR="004D6A64" w:rsidRDefault="00506CD6">
      <w:pPr>
        <w:spacing w:before="60"/>
        <w:jc w:val="center"/>
      </w:pPr>
      <w:r>
        <w:rPr>
          <w:rFonts w:ascii="Times New Roman" w:eastAsia="宋体" w:hAnsi="Times New Roman"/>
          <w:b/>
          <w:bCs/>
          <w:color w:val="000000"/>
          <w:sz w:val="18"/>
          <w:szCs w:val="18"/>
        </w:rPr>
        <w:t xml:space="preserve">One Dell Way, Round Rock, Texas 78682 </w:t>
      </w:r>
    </w:p>
    <w:p w14:paraId="33DA8CE8" w14:textId="77777777" w:rsidR="004D6A64" w:rsidRDefault="00506CD6">
      <w:pPr>
        <w:jc w:val="center"/>
      </w:pPr>
      <w:r>
        <w:rPr>
          <w:rFonts w:ascii="Times New Roman" w:eastAsia="宋体" w:hAnsi="Times New Roman"/>
          <w:color w:val="000000"/>
          <w:sz w:val="18"/>
          <w:szCs w:val="18"/>
        </w:rPr>
        <w:t>(Address of principal executive offices) (Zip Code)</w:t>
      </w:r>
    </w:p>
    <w:p w14:paraId="33DA8CE9" w14:textId="77777777" w:rsidR="004D6A64" w:rsidRDefault="004D6A64">
      <w:pPr>
        <w:jc w:val="center"/>
      </w:pPr>
    </w:p>
    <w:p w14:paraId="33DA8CEA" w14:textId="77777777" w:rsidR="004D6A64" w:rsidRDefault="00506CD6">
      <w:pPr>
        <w:jc w:val="center"/>
      </w:pPr>
      <w:r>
        <w:rPr>
          <w:rFonts w:ascii="Times New Roman" w:eastAsia="宋体" w:hAnsi="Times New Roman"/>
          <w:b/>
          <w:bCs/>
          <w:color w:val="000000"/>
          <w:sz w:val="18"/>
          <w:szCs w:val="18"/>
        </w:rPr>
        <w:t>1-800-289-3355</w:t>
      </w:r>
      <w:r>
        <w:rPr>
          <w:rFonts w:ascii="Times New Roman" w:eastAsia="宋体" w:hAnsi="Times New Roman"/>
          <w:color w:val="000000"/>
          <w:sz w:val="18"/>
          <w:szCs w:val="18"/>
        </w:rPr>
        <w:t> </w:t>
      </w:r>
    </w:p>
    <w:p w14:paraId="33DA8CEB" w14:textId="77777777" w:rsidR="004D6A64" w:rsidRDefault="00506CD6">
      <w:pPr>
        <w:jc w:val="center"/>
      </w:pPr>
      <w:r>
        <w:rPr>
          <w:rFonts w:ascii="Times New Roman" w:eastAsia="宋体" w:hAnsi="Times New Roman"/>
          <w:color w:val="000000"/>
          <w:sz w:val="18"/>
          <w:szCs w:val="18"/>
        </w:rPr>
        <w:t>(Registrant’s telephone number, including area code)</w:t>
      </w:r>
    </w:p>
    <w:p w14:paraId="33DA8CEC" w14:textId="77777777" w:rsidR="004D6A64" w:rsidRDefault="004D6A64">
      <w:pPr>
        <w:jc w:val="center"/>
      </w:pPr>
    </w:p>
    <w:p w14:paraId="33DA8CED" w14:textId="77777777" w:rsidR="004D6A64" w:rsidRDefault="00506CD6">
      <w:r>
        <w:rPr>
          <w:rFonts w:ascii="Times New Roman" w:eastAsia="宋体" w:hAnsi="Times New Roman"/>
          <w:color w:val="000000"/>
          <w:sz w:val="18"/>
          <w:szCs w:val="18"/>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307"/>
        <w:gridCol w:w="37"/>
        <w:gridCol w:w="69"/>
        <w:gridCol w:w="1405"/>
        <w:gridCol w:w="36"/>
        <w:gridCol w:w="69"/>
        <w:gridCol w:w="3308"/>
        <w:gridCol w:w="36"/>
      </w:tblGrid>
      <w:tr w:rsidR="004D6A64" w14:paraId="33DA8CF7" w14:textId="77777777">
        <w:trPr>
          <w:jc w:val="center"/>
        </w:trPr>
        <w:tc>
          <w:tcPr>
            <w:tcW w:w="50" w:type="pct"/>
            <w:shd w:val="clear" w:color="auto" w:fill="auto"/>
          </w:tcPr>
          <w:p w14:paraId="33DA8CEE" w14:textId="77777777" w:rsidR="004D6A64" w:rsidRDefault="004D6A64">
            <w:pPr>
              <w:rPr>
                <w:rFonts w:ascii="宋体"/>
              </w:rPr>
            </w:pPr>
          </w:p>
        </w:tc>
        <w:tc>
          <w:tcPr>
            <w:tcW w:w="1991" w:type="pct"/>
            <w:shd w:val="clear" w:color="auto" w:fill="auto"/>
          </w:tcPr>
          <w:p w14:paraId="33DA8CEF" w14:textId="77777777" w:rsidR="004D6A64" w:rsidRDefault="004D6A64">
            <w:pPr>
              <w:rPr>
                <w:rFonts w:ascii="宋体"/>
              </w:rPr>
            </w:pPr>
          </w:p>
        </w:tc>
        <w:tc>
          <w:tcPr>
            <w:tcW w:w="5" w:type="pct"/>
            <w:shd w:val="clear" w:color="auto" w:fill="auto"/>
          </w:tcPr>
          <w:p w14:paraId="33DA8CF0" w14:textId="77777777" w:rsidR="004D6A64" w:rsidRDefault="004D6A64">
            <w:pPr>
              <w:rPr>
                <w:rFonts w:ascii="宋体"/>
              </w:rPr>
            </w:pPr>
          </w:p>
        </w:tc>
        <w:tc>
          <w:tcPr>
            <w:tcW w:w="50" w:type="pct"/>
            <w:shd w:val="clear" w:color="auto" w:fill="auto"/>
          </w:tcPr>
          <w:p w14:paraId="33DA8CF1" w14:textId="77777777" w:rsidR="004D6A64" w:rsidRDefault="004D6A64">
            <w:pPr>
              <w:rPr>
                <w:rFonts w:ascii="宋体"/>
              </w:rPr>
            </w:pPr>
          </w:p>
        </w:tc>
        <w:tc>
          <w:tcPr>
            <w:tcW w:w="851" w:type="pct"/>
            <w:shd w:val="clear" w:color="auto" w:fill="auto"/>
          </w:tcPr>
          <w:p w14:paraId="33DA8CF2" w14:textId="77777777" w:rsidR="004D6A64" w:rsidRDefault="004D6A64">
            <w:pPr>
              <w:rPr>
                <w:rFonts w:ascii="宋体"/>
              </w:rPr>
            </w:pPr>
          </w:p>
        </w:tc>
        <w:tc>
          <w:tcPr>
            <w:tcW w:w="5" w:type="pct"/>
            <w:shd w:val="clear" w:color="auto" w:fill="auto"/>
          </w:tcPr>
          <w:p w14:paraId="33DA8CF3" w14:textId="77777777" w:rsidR="004D6A64" w:rsidRDefault="004D6A64">
            <w:pPr>
              <w:rPr>
                <w:rFonts w:ascii="宋体"/>
              </w:rPr>
            </w:pPr>
          </w:p>
        </w:tc>
        <w:tc>
          <w:tcPr>
            <w:tcW w:w="50" w:type="pct"/>
            <w:shd w:val="clear" w:color="auto" w:fill="auto"/>
          </w:tcPr>
          <w:p w14:paraId="33DA8CF4" w14:textId="77777777" w:rsidR="004D6A64" w:rsidRDefault="004D6A64">
            <w:pPr>
              <w:rPr>
                <w:rFonts w:ascii="宋体"/>
              </w:rPr>
            </w:pPr>
          </w:p>
        </w:tc>
        <w:tc>
          <w:tcPr>
            <w:tcW w:w="1991" w:type="pct"/>
            <w:shd w:val="clear" w:color="auto" w:fill="auto"/>
          </w:tcPr>
          <w:p w14:paraId="33DA8CF5" w14:textId="77777777" w:rsidR="004D6A64" w:rsidRDefault="004D6A64">
            <w:pPr>
              <w:rPr>
                <w:rFonts w:ascii="宋体"/>
              </w:rPr>
            </w:pPr>
          </w:p>
        </w:tc>
        <w:tc>
          <w:tcPr>
            <w:tcW w:w="5" w:type="pct"/>
            <w:shd w:val="clear" w:color="auto" w:fill="auto"/>
          </w:tcPr>
          <w:p w14:paraId="33DA8CF6" w14:textId="77777777" w:rsidR="004D6A64" w:rsidRDefault="004D6A64">
            <w:pPr>
              <w:rPr>
                <w:rFonts w:ascii="宋体"/>
              </w:rPr>
            </w:pPr>
          </w:p>
        </w:tc>
      </w:tr>
      <w:tr w:rsidR="004D6A64" w14:paraId="33DA8CFB" w14:textId="77777777">
        <w:trPr>
          <w:jc w:val="center"/>
        </w:trPr>
        <w:tc>
          <w:tcPr>
            <w:tcW w:w="0" w:type="auto"/>
            <w:gridSpan w:val="3"/>
            <w:shd w:val="clear" w:color="auto" w:fill="auto"/>
            <w:tcMar>
              <w:top w:w="40" w:type="dxa"/>
              <w:left w:w="20" w:type="dxa"/>
              <w:bottom w:w="40" w:type="dxa"/>
              <w:right w:w="20" w:type="dxa"/>
            </w:tcMar>
            <w:vAlign w:val="bottom"/>
          </w:tcPr>
          <w:p w14:paraId="33DA8CF8" w14:textId="77777777" w:rsidR="004D6A64" w:rsidRDefault="00506CD6">
            <w:pPr>
              <w:jc w:val="center"/>
              <w:textAlignment w:val="bottom"/>
            </w:pPr>
            <w:r>
              <w:rPr>
                <w:rFonts w:ascii="Times New Roman" w:eastAsia="宋体" w:hAnsi="Times New Roman"/>
                <w:color w:val="000000"/>
                <w:sz w:val="18"/>
                <w:szCs w:val="18"/>
                <w:u w:val="single"/>
              </w:rPr>
              <w:t>Title of each class</w:t>
            </w:r>
          </w:p>
        </w:tc>
        <w:tc>
          <w:tcPr>
            <w:tcW w:w="0" w:type="auto"/>
            <w:gridSpan w:val="3"/>
            <w:shd w:val="clear" w:color="auto" w:fill="auto"/>
            <w:tcMar>
              <w:top w:w="40" w:type="dxa"/>
              <w:left w:w="20" w:type="dxa"/>
              <w:bottom w:w="40" w:type="dxa"/>
              <w:right w:w="20" w:type="dxa"/>
            </w:tcMar>
            <w:vAlign w:val="bottom"/>
          </w:tcPr>
          <w:p w14:paraId="33DA8CF9" w14:textId="77777777" w:rsidR="004D6A64" w:rsidRDefault="00506CD6">
            <w:pPr>
              <w:jc w:val="center"/>
              <w:textAlignment w:val="bottom"/>
            </w:pPr>
            <w:r>
              <w:rPr>
                <w:rFonts w:ascii="Times New Roman" w:eastAsia="宋体" w:hAnsi="Times New Roman"/>
                <w:color w:val="000000"/>
                <w:sz w:val="18"/>
                <w:szCs w:val="18"/>
                <w:u w:val="single"/>
              </w:rPr>
              <w:t>Trading Symbol(s)</w:t>
            </w:r>
          </w:p>
        </w:tc>
        <w:tc>
          <w:tcPr>
            <w:tcW w:w="0" w:type="auto"/>
            <w:gridSpan w:val="3"/>
            <w:shd w:val="clear" w:color="auto" w:fill="auto"/>
            <w:tcMar>
              <w:top w:w="40" w:type="dxa"/>
              <w:left w:w="20" w:type="dxa"/>
              <w:bottom w:w="40" w:type="dxa"/>
              <w:right w:w="20" w:type="dxa"/>
            </w:tcMar>
            <w:vAlign w:val="bottom"/>
          </w:tcPr>
          <w:p w14:paraId="33DA8CFA" w14:textId="77777777" w:rsidR="004D6A64" w:rsidRDefault="00506CD6">
            <w:pPr>
              <w:jc w:val="center"/>
              <w:textAlignment w:val="bottom"/>
            </w:pPr>
            <w:r>
              <w:rPr>
                <w:rFonts w:ascii="Times New Roman" w:eastAsia="宋体" w:hAnsi="Times New Roman"/>
                <w:color w:val="000000"/>
                <w:sz w:val="18"/>
                <w:szCs w:val="18"/>
                <w:u w:val="single"/>
              </w:rPr>
              <w:t>Name of each exchange on which registered</w:t>
            </w:r>
          </w:p>
        </w:tc>
      </w:tr>
      <w:tr w:rsidR="004D6A64" w14:paraId="33DA8CFF" w14:textId="77777777">
        <w:trPr>
          <w:jc w:val="center"/>
        </w:trPr>
        <w:tc>
          <w:tcPr>
            <w:tcW w:w="0" w:type="auto"/>
            <w:gridSpan w:val="3"/>
            <w:shd w:val="clear" w:color="auto" w:fill="auto"/>
            <w:tcMar>
              <w:top w:w="40" w:type="dxa"/>
              <w:left w:w="20" w:type="dxa"/>
              <w:bottom w:w="40" w:type="dxa"/>
              <w:right w:w="20" w:type="dxa"/>
            </w:tcMar>
            <w:vAlign w:val="bottom"/>
          </w:tcPr>
          <w:p w14:paraId="33DA8CFC" w14:textId="77777777" w:rsidR="004D6A64" w:rsidRDefault="00506CD6">
            <w:pPr>
              <w:jc w:val="center"/>
              <w:textAlignment w:val="bottom"/>
            </w:pPr>
            <w:r>
              <w:rPr>
                <w:rFonts w:ascii="Times New Roman" w:eastAsia="宋体" w:hAnsi="Times New Roman"/>
                <w:b/>
                <w:bCs/>
                <w:color w:val="000000"/>
                <w:sz w:val="18"/>
                <w:szCs w:val="18"/>
              </w:rPr>
              <w:t>Class C Common Stock, par value $0.01 per share</w:t>
            </w:r>
          </w:p>
        </w:tc>
        <w:tc>
          <w:tcPr>
            <w:tcW w:w="0" w:type="auto"/>
            <w:gridSpan w:val="3"/>
            <w:shd w:val="clear" w:color="auto" w:fill="auto"/>
            <w:tcMar>
              <w:top w:w="40" w:type="dxa"/>
              <w:left w:w="20" w:type="dxa"/>
              <w:bottom w:w="40" w:type="dxa"/>
              <w:right w:w="20" w:type="dxa"/>
            </w:tcMar>
            <w:vAlign w:val="bottom"/>
          </w:tcPr>
          <w:p w14:paraId="33DA8CFD" w14:textId="77777777" w:rsidR="004D6A64" w:rsidRDefault="00506CD6">
            <w:pPr>
              <w:jc w:val="center"/>
              <w:textAlignment w:val="bottom"/>
            </w:pPr>
            <w:r>
              <w:rPr>
                <w:rFonts w:ascii="Times New Roman" w:eastAsia="宋体" w:hAnsi="Times New Roman"/>
                <w:b/>
                <w:bCs/>
                <w:color w:val="000000"/>
                <w:sz w:val="19"/>
                <w:szCs w:val="19"/>
              </w:rPr>
              <w:t>DELL</w:t>
            </w:r>
          </w:p>
        </w:tc>
        <w:tc>
          <w:tcPr>
            <w:tcW w:w="0" w:type="auto"/>
            <w:gridSpan w:val="3"/>
            <w:shd w:val="clear" w:color="auto" w:fill="auto"/>
            <w:tcMar>
              <w:top w:w="40" w:type="dxa"/>
              <w:left w:w="20" w:type="dxa"/>
              <w:bottom w:w="40" w:type="dxa"/>
              <w:right w:w="20" w:type="dxa"/>
            </w:tcMar>
            <w:vAlign w:val="bottom"/>
          </w:tcPr>
          <w:p w14:paraId="33DA8CFE" w14:textId="77777777" w:rsidR="004D6A64" w:rsidRDefault="00506CD6">
            <w:pPr>
              <w:jc w:val="center"/>
              <w:textAlignment w:val="bottom"/>
            </w:pPr>
            <w:r>
              <w:rPr>
                <w:rFonts w:ascii="Times New Roman" w:eastAsia="宋体" w:hAnsi="Times New Roman"/>
                <w:b/>
                <w:bCs/>
                <w:color w:val="000000"/>
                <w:sz w:val="18"/>
                <w:szCs w:val="18"/>
              </w:rPr>
              <w:t>New York Stock Exchange</w:t>
            </w:r>
          </w:p>
        </w:tc>
      </w:tr>
    </w:tbl>
    <w:p w14:paraId="33DA8D00" w14:textId="77777777" w:rsidR="004D6A64" w:rsidRDefault="004D6A64">
      <w:pPr>
        <w:spacing w:after="60"/>
      </w:pPr>
    </w:p>
    <w:p w14:paraId="33DA8D01" w14:textId="77777777" w:rsidR="004D6A64" w:rsidRDefault="00506CD6">
      <w:pPr>
        <w:spacing w:after="60"/>
      </w:pPr>
      <w:r>
        <w:rPr>
          <w:rFonts w:ascii="Times New Roman" w:eastAsia="宋体" w:hAnsi="Times New Roman"/>
          <w:color w:val="000000"/>
          <w:sz w:val="18"/>
          <w:szCs w:val="18"/>
        </w:rPr>
        <w:t xml:space="preserve">Indicate by check mark whether the registrant (1) has filed all reports required to be </w:t>
      </w:r>
      <w:r>
        <w:rPr>
          <w:rFonts w:ascii="Times New Roman" w:eastAsia="宋体" w:hAnsi="Times New Roman"/>
          <w:color w:val="000000"/>
          <w:sz w:val="18"/>
          <w:szCs w:val="18"/>
        </w:rPr>
        <w:t>filed by Section 13 or 15(d) of the Securities Exchange Act of 1934 during the preceding 12 months (or for such shorter period that the registrant was required to file such reports), and (2) has been subject to such filing requirements for the past 90 days</w:t>
      </w:r>
      <w:r>
        <w:rPr>
          <w:rFonts w:ascii="Times New Roman" w:eastAsia="宋体" w:hAnsi="Times New Roman"/>
          <w:color w:val="000000"/>
          <w:sz w:val="18"/>
          <w:szCs w:val="18"/>
        </w:rPr>
        <w:t>. Yes </w:t>
      </w:r>
      <w:r>
        <w:rPr>
          <w:rFonts w:ascii="Wingdings" w:eastAsia="宋体" w:hAnsi="Wingdings" w:cs="Wingdings"/>
          <w:color w:val="000000"/>
          <w:sz w:val="18"/>
          <w:szCs w:val="18"/>
        </w:rPr>
        <w:t>þ</w:t>
      </w:r>
      <w:r>
        <w:rPr>
          <w:rFonts w:ascii="Times New Roman" w:eastAsia="宋体" w:hAnsi="Times New Roman"/>
          <w:b/>
          <w:bCs/>
          <w:color w:val="000000"/>
          <w:sz w:val="18"/>
          <w:szCs w:val="18"/>
        </w:rPr>
        <w:t xml:space="preserve"> </w:t>
      </w:r>
      <w:r>
        <w:rPr>
          <w:rFonts w:ascii="Times New Roman" w:eastAsia="宋体" w:hAnsi="Times New Roman"/>
          <w:color w:val="000000"/>
          <w:sz w:val="18"/>
          <w:szCs w:val="18"/>
        </w:rPr>
        <w:t>No </w:t>
      </w:r>
      <w:r>
        <w:rPr>
          <w:rFonts w:ascii="Wingdings" w:eastAsia="宋体" w:hAnsi="Wingdings" w:cs="Wingdings"/>
          <w:color w:val="000000"/>
          <w:sz w:val="18"/>
          <w:szCs w:val="18"/>
        </w:rPr>
        <w:t>¨</w:t>
      </w:r>
    </w:p>
    <w:p w14:paraId="33DA8D02" w14:textId="77777777" w:rsidR="004D6A64" w:rsidRDefault="004D6A64">
      <w:pPr>
        <w:spacing w:after="60"/>
      </w:pPr>
    </w:p>
    <w:p w14:paraId="33DA8D03" w14:textId="77777777" w:rsidR="004D6A64" w:rsidRDefault="00506CD6">
      <w:pPr>
        <w:spacing w:after="60"/>
      </w:pPr>
      <w:r>
        <w:rPr>
          <w:rFonts w:ascii="Times New Roman" w:eastAsia="宋体" w:hAnsi="Times New Roman"/>
          <w:color w:val="000000"/>
          <w:sz w:val="18"/>
          <w:szCs w:val="18"/>
        </w:rPr>
        <w:t>Indicate by check mark whether the registrant has submitted electronically every Interactive Data File required to be submitted pursuant to Rule 405 of Regulation S-T during the preceding 12 months (or for such shorter period that the registr</w:t>
      </w:r>
      <w:r>
        <w:rPr>
          <w:rFonts w:ascii="Times New Roman" w:eastAsia="宋体" w:hAnsi="Times New Roman"/>
          <w:color w:val="000000"/>
          <w:sz w:val="18"/>
          <w:szCs w:val="18"/>
        </w:rPr>
        <w:t>ant was required to submit such files). Yes </w:t>
      </w:r>
      <w:r>
        <w:rPr>
          <w:rFonts w:ascii="Wingdings" w:eastAsia="宋体" w:hAnsi="Wingdings" w:cs="Wingdings"/>
          <w:color w:val="000000"/>
          <w:sz w:val="18"/>
          <w:szCs w:val="18"/>
        </w:rPr>
        <w:t>þ</w:t>
      </w:r>
      <w:r>
        <w:rPr>
          <w:rFonts w:ascii="Times New Roman" w:eastAsia="宋体" w:hAnsi="Times New Roman"/>
          <w:b/>
          <w:bCs/>
          <w:color w:val="000000"/>
          <w:sz w:val="18"/>
          <w:szCs w:val="18"/>
        </w:rPr>
        <w:t xml:space="preserve"> </w:t>
      </w:r>
      <w:r>
        <w:rPr>
          <w:rFonts w:ascii="Times New Roman" w:eastAsia="宋体" w:hAnsi="Times New Roman"/>
          <w:color w:val="000000"/>
          <w:sz w:val="18"/>
          <w:szCs w:val="18"/>
        </w:rPr>
        <w:t>No </w:t>
      </w:r>
      <w:r>
        <w:rPr>
          <w:rFonts w:ascii="Wingdings" w:eastAsia="宋体" w:hAnsi="Wingdings" w:cs="Wingdings"/>
          <w:color w:val="000000"/>
          <w:sz w:val="18"/>
          <w:szCs w:val="18"/>
        </w:rPr>
        <w:t>¨</w:t>
      </w:r>
    </w:p>
    <w:p w14:paraId="33DA8D04" w14:textId="77777777" w:rsidR="004D6A64" w:rsidRDefault="004D6A64">
      <w:pPr>
        <w:spacing w:after="60"/>
      </w:pPr>
    </w:p>
    <w:p w14:paraId="33DA8D05" w14:textId="77777777" w:rsidR="004D6A64" w:rsidRDefault="00506CD6">
      <w:pPr>
        <w:spacing w:after="60"/>
      </w:pPr>
      <w:r>
        <w:rPr>
          <w:rFonts w:ascii="Times New Roman" w:eastAsia="宋体" w:hAnsi="Times New Roman"/>
          <w:color w:val="000000"/>
          <w:sz w:val="18"/>
          <w:szCs w:val="18"/>
        </w:rPr>
        <w:t>Indicate by check mark whether the registrant is a large accelerated filer, an accelerated filer, a non-accelerated filer, a smaller reporting company, or an emerging growth company. See the definitions o</w:t>
      </w:r>
      <w:r>
        <w:rPr>
          <w:rFonts w:ascii="Times New Roman" w:eastAsia="宋体" w:hAnsi="Times New Roman"/>
          <w:color w:val="000000"/>
          <w:sz w:val="18"/>
          <w:szCs w:val="18"/>
        </w:rPr>
        <w:t xml:space="preserve">f “large accelerated </w:t>
      </w:r>
      <w:r>
        <w:rPr>
          <w:rFonts w:ascii="Times New Roman" w:eastAsia="宋体" w:hAnsi="Times New Roman"/>
          <w:color w:val="000000"/>
          <w:sz w:val="18"/>
          <w:szCs w:val="18"/>
        </w:rPr>
        <w:lastRenderedPageBreak/>
        <w:t xml:space="preserve">filer,” “accelerated filer,” “smaller reporting company,” and “emerging growth company” in Rule 12b-2 of the Exchange Act. </w:t>
      </w:r>
    </w:p>
    <w:tbl>
      <w:tblPr>
        <w:tblW w:w="5000" w:type="pct"/>
        <w:tblCellMar>
          <w:top w:w="15" w:type="dxa"/>
          <w:left w:w="15" w:type="dxa"/>
          <w:bottom w:w="15" w:type="dxa"/>
          <w:right w:w="15" w:type="dxa"/>
        </w:tblCellMar>
        <w:tblLook w:val="04A0" w:firstRow="1" w:lastRow="0" w:firstColumn="1" w:lastColumn="0" w:noHBand="0" w:noVBand="1"/>
      </w:tblPr>
      <w:tblGrid>
        <w:gridCol w:w="70"/>
        <w:gridCol w:w="1339"/>
        <w:gridCol w:w="37"/>
        <w:gridCol w:w="37"/>
        <w:gridCol w:w="184"/>
        <w:gridCol w:w="36"/>
        <w:gridCol w:w="45"/>
        <w:gridCol w:w="4323"/>
        <w:gridCol w:w="36"/>
        <w:gridCol w:w="36"/>
        <w:gridCol w:w="205"/>
        <w:gridCol w:w="36"/>
        <w:gridCol w:w="61"/>
        <w:gridCol w:w="1592"/>
        <w:gridCol w:w="36"/>
        <w:gridCol w:w="61"/>
        <w:gridCol w:w="166"/>
        <w:gridCol w:w="36"/>
      </w:tblGrid>
      <w:tr w:rsidR="004D6A64" w14:paraId="33DA8D18" w14:textId="77777777">
        <w:tc>
          <w:tcPr>
            <w:tcW w:w="50" w:type="pct"/>
            <w:shd w:val="clear" w:color="auto" w:fill="auto"/>
          </w:tcPr>
          <w:p w14:paraId="33DA8D06" w14:textId="77777777" w:rsidR="004D6A64" w:rsidRDefault="004D6A64">
            <w:pPr>
              <w:rPr>
                <w:rFonts w:ascii="宋体"/>
              </w:rPr>
            </w:pPr>
          </w:p>
        </w:tc>
        <w:tc>
          <w:tcPr>
            <w:tcW w:w="822" w:type="pct"/>
            <w:shd w:val="clear" w:color="auto" w:fill="auto"/>
          </w:tcPr>
          <w:p w14:paraId="33DA8D07" w14:textId="77777777" w:rsidR="004D6A64" w:rsidRDefault="004D6A64">
            <w:pPr>
              <w:rPr>
                <w:rFonts w:ascii="宋体"/>
              </w:rPr>
            </w:pPr>
          </w:p>
        </w:tc>
        <w:tc>
          <w:tcPr>
            <w:tcW w:w="5" w:type="pct"/>
            <w:shd w:val="clear" w:color="auto" w:fill="auto"/>
          </w:tcPr>
          <w:p w14:paraId="33DA8D08" w14:textId="77777777" w:rsidR="004D6A64" w:rsidRDefault="004D6A64">
            <w:pPr>
              <w:rPr>
                <w:rFonts w:ascii="宋体"/>
              </w:rPr>
            </w:pPr>
          </w:p>
        </w:tc>
        <w:tc>
          <w:tcPr>
            <w:tcW w:w="5" w:type="pct"/>
            <w:shd w:val="clear" w:color="auto" w:fill="auto"/>
          </w:tcPr>
          <w:p w14:paraId="33DA8D09" w14:textId="77777777" w:rsidR="004D6A64" w:rsidRDefault="004D6A64">
            <w:pPr>
              <w:rPr>
                <w:rFonts w:ascii="宋体"/>
              </w:rPr>
            </w:pPr>
          </w:p>
        </w:tc>
        <w:tc>
          <w:tcPr>
            <w:tcW w:w="114" w:type="pct"/>
            <w:shd w:val="clear" w:color="auto" w:fill="auto"/>
          </w:tcPr>
          <w:p w14:paraId="33DA8D0A" w14:textId="77777777" w:rsidR="004D6A64" w:rsidRDefault="004D6A64">
            <w:pPr>
              <w:rPr>
                <w:rFonts w:ascii="宋体"/>
              </w:rPr>
            </w:pPr>
          </w:p>
        </w:tc>
        <w:tc>
          <w:tcPr>
            <w:tcW w:w="5" w:type="pct"/>
            <w:shd w:val="clear" w:color="auto" w:fill="auto"/>
          </w:tcPr>
          <w:p w14:paraId="33DA8D0B" w14:textId="77777777" w:rsidR="004D6A64" w:rsidRDefault="004D6A64">
            <w:pPr>
              <w:rPr>
                <w:rFonts w:ascii="宋体"/>
              </w:rPr>
            </w:pPr>
          </w:p>
        </w:tc>
        <w:tc>
          <w:tcPr>
            <w:tcW w:w="50" w:type="pct"/>
            <w:shd w:val="clear" w:color="auto" w:fill="auto"/>
          </w:tcPr>
          <w:p w14:paraId="33DA8D0C" w14:textId="77777777" w:rsidR="004D6A64" w:rsidRDefault="004D6A64">
            <w:pPr>
              <w:rPr>
                <w:rFonts w:ascii="宋体"/>
              </w:rPr>
            </w:pPr>
          </w:p>
        </w:tc>
        <w:tc>
          <w:tcPr>
            <w:tcW w:w="2605" w:type="pct"/>
            <w:shd w:val="clear" w:color="auto" w:fill="auto"/>
          </w:tcPr>
          <w:p w14:paraId="33DA8D0D" w14:textId="77777777" w:rsidR="004D6A64" w:rsidRDefault="004D6A64">
            <w:pPr>
              <w:rPr>
                <w:rFonts w:ascii="宋体"/>
              </w:rPr>
            </w:pPr>
          </w:p>
        </w:tc>
        <w:tc>
          <w:tcPr>
            <w:tcW w:w="5" w:type="pct"/>
            <w:shd w:val="clear" w:color="auto" w:fill="auto"/>
          </w:tcPr>
          <w:p w14:paraId="33DA8D0E" w14:textId="77777777" w:rsidR="004D6A64" w:rsidRDefault="004D6A64">
            <w:pPr>
              <w:rPr>
                <w:rFonts w:ascii="宋体"/>
              </w:rPr>
            </w:pPr>
          </w:p>
        </w:tc>
        <w:tc>
          <w:tcPr>
            <w:tcW w:w="5" w:type="pct"/>
            <w:shd w:val="clear" w:color="auto" w:fill="auto"/>
          </w:tcPr>
          <w:p w14:paraId="33DA8D0F" w14:textId="77777777" w:rsidR="004D6A64" w:rsidRDefault="004D6A64">
            <w:pPr>
              <w:rPr>
                <w:rFonts w:ascii="宋体"/>
              </w:rPr>
            </w:pPr>
          </w:p>
        </w:tc>
        <w:tc>
          <w:tcPr>
            <w:tcW w:w="136" w:type="pct"/>
            <w:shd w:val="clear" w:color="auto" w:fill="auto"/>
          </w:tcPr>
          <w:p w14:paraId="33DA8D10" w14:textId="77777777" w:rsidR="004D6A64" w:rsidRDefault="004D6A64">
            <w:pPr>
              <w:rPr>
                <w:rFonts w:ascii="宋体"/>
              </w:rPr>
            </w:pPr>
          </w:p>
        </w:tc>
        <w:tc>
          <w:tcPr>
            <w:tcW w:w="5" w:type="pct"/>
            <w:shd w:val="clear" w:color="auto" w:fill="auto"/>
          </w:tcPr>
          <w:p w14:paraId="33DA8D11" w14:textId="77777777" w:rsidR="004D6A64" w:rsidRDefault="004D6A64">
            <w:pPr>
              <w:rPr>
                <w:rFonts w:ascii="宋体"/>
              </w:rPr>
            </w:pPr>
          </w:p>
        </w:tc>
        <w:tc>
          <w:tcPr>
            <w:tcW w:w="50" w:type="pct"/>
            <w:shd w:val="clear" w:color="auto" w:fill="auto"/>
          </w:tcPr>
          <w:p w14:paraId="33DA8D12" w14:textId="77777777" w:rsidR="004D6A64" w:rsidRDefault="004D6A64">
            <w:pPr>
              <w:rPr>
                <w:rFonts w:ascii="宋体"/>
              </w:rPr>
            </w:pPr>
          </w:p>
        </w:tc>
        <w:tc>
          <w:tcPr>
            <w:tcW w:w="968" w:type="pct"/>
            <w:shd w:val="clear" w:color="auto" w:fill="auto"/>
          </w:tcPr>
          <w:p w14:paraId="33DA8D13" w14:textId="77777777" w:rsidR="004D6A64" w:rsidRDefault="004D6A64">
            <w:pPr>
              <w:rPr>
                <w:rFonts w:ascii="宋体"/>
              </w:rPr>
            </w:pPr>
          </w:p>
        </w:tc>
        <w:tc>
          <w:tcPr>
            <w:tcW w:w="5" w:type="pct"/>
            <w:shd w:val="clear" w:color="auto" w:fill="auto"/>
          </w:tcPr>
          <w:p w14:paraId="33DA8D14" w14:textId="77777777" w:rsidR="004D6A64" w:rsidRDefault="004D6A64">
            <w:pPr>
              <w:rPr>
                <w:rFonts w:ascii="宋体"/>
              </w:rPr>
            </w:pPr>
          </w:p>
        </w:tc>
        <w:tc>
          <w:tcPr>
            <w:tcW w:w="50" w:type="pct"/>
            <w:shd w:val="clear" w:color="auto" w:fill="auto"/>
          </w:tcPr>
          <w:p w14:paraId="33DA8D15" w14:textId="77777777" w:rsidR="004D6A64" w:rsidRDefault="004D6A64">
            <w:pPr>
              <w:rPr>
                <w:rFonts w:ascii="宋体"/>
              </w:rPr>
            </w:pPr>
          </w:p>
        </w:tc>
        <w:tc>
          <w:tcPr>
            <w:tcW w:w="113" w:type="pct"/>
            <w:shd w:val="clear" w:color="auto" w:fill="auto"/>
          </w:tcPr>
          <w:p w14:paraId="33DA8D16" w14:textId="77777777" w:rsidR="004D6A64" w:rsidRDefault="004D6A64">
            <w:pPr>
              <w:rPr>
                <w:rFonts w:ascii="宋体"/>
              </w:rPr>
            </w:pPr>
          </w:p>
        </w:tc>
        <w:tc>
          <w:tcPr>
            <w:tcW w:w="5" w:type="pct"/>
            <w:shd w:val="clear" w:color="auto" w:fill="auto"/>
          </w:tcPr>
          <w:p w14:paraId="33DA8D17" w14:textId="77777777" w:rsidR="004D6A64" w:rsidRDefault="004D6A64">
            <w:pPr>
              <w:rPr>
                <w:rFonts w:ascii="宋体"/>
              </w:rPr>
            </w:pPr>
          </w:p>
        </w:tc>
      </w:tr>
      <w:tr w:rsidR="004D6A64" w14:paraId="33DA8D1F" w14:textId="77777777">
        <w:tc>
          <w:tcPr>
            <w:tcW w:w="0" w:type="auto"/>
            <w:gridSpan w:val="3"/>
            <w:shd w:val="clear" w:color="auto" w:fill="auto"/>
            <w:tcMar>
              <w:top w:w="40" w:type="dxa"/>
              <w:left w:w="20" w:type="dxa"/>
              <w:bottom w:w="40" w:type="dxa"/>
              <w:right w:w="20" w:type="dxa"/>
            </w:tcMar>
            <w:vAlign w:val="bottom"/>
          </w:tcPr>
          <w:p w14:paraId="33DA8D19" w14:textId="77777777" w:rsidR="004D6A64" w:rsidRDefault="00506CD6">
            <w:pPr>
              <w:textAlignment w:val="bottom"/>
            </w:pPr>
            <w:r>
              <w:rPr>
                <w:rFonts w:ascii="Times New Roman" w:eastAsia="宋体" w:hAnsi="Times New Roman"/>
                <w:color w:val="000000"/>
                <w:sz w:val="18"/>
                <w:szCs w:val="18"/>
              </w:rPr>
              <w:t>Large accelerated filer</w:t>
            </w:r>
          </w:p>
        </w:tc>
        <w:tc>
          <w:tcPr>
            <w:tcW w:w="0" w:type="auto"/>
            <w:gridSpan w:val="3"/>
            <w:shd w:val="clear" w:color="auto" w:fill="auto"/>
            <w:tcMar>
              <w:top w:w="40" w:type="dxa"/>
              <w:left w:w="20" w:type="dxa"/>
              <w:bottom w:w="40" w:type="dxa"/>
              <w:right w:w="20" w:type="dxa"/>
            </w:tcMar>
            <w:vAlign w:val="bottom"/>
          </w:tcPr>
          <w:p w14:paraId="33DA8D1A" w14:textId="77777777" w:rsidR="004D6A64" w:rsidRDefault="00506CD6">
            <w:pPr>
              <w:textAlignment w:val="bottom"/>
            </w:pPr>
            <w:r>
              <w:rPr>
                <w:rFonts w:ascii="Wingdings" w:eastAsia="宋体" w:hAnsi="Wingdings" w:cs="Wingdings"/>
                <w:color w:val="000000"/>
                <w:sz w:val="18"/>
                <w:szCs w:val="18"/>
              </w:rPr>
              <w:t>þ</w:t>
            </w:r>
          </w:p>
        </w:tc>
        <w:tc>
          <w:tcPr>
            <w:tcW w:w="0" w:type="auto"/>
            <w:gridSpan w:val="3"/>
            <w:shd w:val="clear" w:color="auto" w:fill="auto"/>
            <w:tcMar>
              <w:left w:w="20" w:type="dxa"/>
              <w:right w:w="20" w:type="dxa"/>
            </w:tcMar>
            <w:vAlign w:val="bottom"/>
          </w:tcPr>
          <w:p w14:paraId="33DA8D1B"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8D1C" w14:textId="77777777" w:rsidR="004D6A64" w:rsidRDefault="00506CD6">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33DA8D1D" w14:textId="77777777" w:rsidR="004D6A64" w:rsidRDefault="00506CD6">
            <w:pPr>
              <w:textAlignment w:val="bottom"/>
            </w:pPr>
            <w:r>
              <w:rPr>
                <w:rFonts w:ascii="Times New Roman" w:eastAsia="宋体" w:hAnsi="Times New Roman"/>
                <w:color w:val="000000"/>
                <w:sz w:val="18"/>
                <w:szCs w:val="18"/>
              </w:rPr>
              <w:t>Accelerated filer </w:t>
            </w:r>
          </w:p>
        </w:tc>
        <w:tc>
          <w:tcPr>
            <w:tcW w:w="0" w:type="auto"/>
            <w:gridSpan w:val="3"/>
            <w:shd w:val="clear" w:color="auto" w:fill="auto"/>
            <w:tcMar>
              <w:top w:w="40" w:type="dxa"/>
              <w:left w:w="20" w:type="dxa"/>
              <w:bottom w:w="40" w:type="dxa"/>
              <w:right w:w="20" w:type="dxa"/>
            </w:tcMar>
            <w:vAlign w:val="bottom"/>
          </w:tcPr>
          <w:p w14:paraId="33DA8D1E" w14:textId="77777777" w:rsidR="004D6A64" w:rsidRDefault="00506CD6">
            <w:pPr>
              <w:textAlignment w:val="bottom"/>
            </w:pPr>
            <w:r>
              <w:rPr>
                <w:rFonts w:ascii="Wingdings" w:eastAsia="宋体" w:hAnsi="Wingdings" w:cs="Wingdings"/>
                <w:color w:val="000000"/>
                <w:sz w:val="18"/>
                <w:szCs w:val="18"/>
              </w:rPr>
              <w:t>¨</w:t>
            </w:r>
          </w:p>
        </w:tc>
      </w:tr>
      <w:tr w:rsidR="004D6A64" w14:paraId="33DA8D26" w14:textId="77777777">
        <w:tc>
          <w:tcPr>
            <w:tcW w:w="0" w:type="auto"/>
            <w:gridSpan w:val="3"/>
            <w:shd w:val="clear" w:color="auto" w:fill="auto"/>
            <w:tcMar>
              <w:top w:w="40" w:type="dxa"/>
              <w:left w:w="20" w:type="dxa"/>
              <w:bottom w:w="40" w:type="dxa"/>
              <w:right w:w="20" w:type="dxa"/>
            </w:tcMar>
            <w:vAlign w:val="bottom"/>
          </w:tcPr>
          <w:p w14:paraId="33DA8D20" w14:textId="77777777" w:rsidR="004D6A64" w:rsidRDefault="00506CD6">
            <w:pPr>
              <w:textAlignment w:val="bottom"/>
            </w:pPr>
            <w:r>
              <w:rPr>
                <w:rFonts w:ascii="Times New Roman" w:eastAsia="宋体" w:hAnsi="Times New Roman"/>
                <w:color w:val="000000"/>
                <w:sz w:val="18"/>
                <w:szCs w:val="18"/>
              </w:rPr>
              <w:t>Non-accelerated filer</w:t>
            </w:r>
          </w:p>
        </w:tc>
        <w:tc>
          <w:tcPr>
            <w:tcW w:w="0" w:type="auto"/>
            <w:gridSpan w:val="3"/>
            <w:shd w:val="clear" w:color="auto" w:fill="auto"/>
            <w:tcMar>
              <w:top w:w="40" w:type="dxa"/>
              <w:left w:w="20" w:type="dxa"/>
              <w:bottom w:w="40" w:type="dxa"/>
              <w:right w:w="20" w:type="dxa"/>
            </w:tcMar>
            <w:vAlign w:val="bottom"/>
          </w:tcPr>
          <w:p w14:paraId="33DA8D21" w14:textId="77777777" w:rsidR="004D6A64" w:rsidRDefault="00506CD6">
            <w:pPr>
              <w:textAlignment w:val="bottom"/>
            </w:pPr>
            <w:r>
              <w:rPr>
                <w:rFonts w:ascii="Wingdings" w:eastAsia="宋体" w:hAnsi="Wingdings" w:cs="Wingdings"/>
                <w:color w:val="000000"/>
                <w:sz w:val="18"/>
                <w:szCs w:val="18"/>
              </w:rPr>
              <w:t>¨</w:t>
            </w:r>
          </w:p>
        </w:tc>
        <w:tc>
          <w:tcPr>
            <w:tcW w:w="0" w:type="auto"/>
            <w:gridSpan w:val="3"/>
            <w:shd w:val="clear" w:color="auto" w:fill="auto"/>
            <w:tcMar>
              <w:left w:w="20" w:type="dxa"/>
              <w:right w:w="20" w:type="dxa"/>
            </w:tcMar>
            <w:vAlign w:val="bottom"/>
          </w:tcPr>
          <w:p w14:paraId="33DA8D22"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8D23" w14:textId="77777777" w:rsidR="004D6A64" w:rsidRDefault="00506CD6">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33DA8D24" w14:textId="77777777" w:rsidR="004D6A64" w:rsidRDefault="00506CD6">
            <w:pPr>
              <w:textAlignment w:val="bottom"/>
            </w:pPr>
            <w:r>
              <w:rPr>
                <w:rFonts w:ascii="Times New Roman" w:eastAsia="宋体" w:hAnsi="Times New Roman"/>
                <w:color w:val="000000"/>
                <w:sz w:val="18"/>
                <w:szCs w:val="18"/>
              </w:rPr>
              <w:t xml:space="preserve">Smaller </w:t>
            </w:r>
            <w:r>
              <w:rPr>
                <w:rFonts w:ascii="Times New Roman" w:eastAsia="宋体" w:hAnsi="Times New Roman"/>
                <w:color w:val="000000"/>
                <w:sz w:val="18"/>
                <w:szCs w:val="18"/>
              </w:rPr>
              <w:t>reporting company</w:t>
            </w:r>
          </w:p>
        </w:tc>
        <w:tc>
          <w:tcPr>
            <w:tcW w:w="0" w:type="auto"/>
            <w:gridSpan w:val="3"/>
            <w:shd w:val="clear" w:color="auto" w:fill="auto"/>
            <w:tcMar>
              <w:top w:w="40" w:type="dxa"/>
              <w:left w:w="20" w:type="dxa"/>
              <w:bottom w:w="40" w:type="dxa"/>
              <w:right w:w="20" w:type="dxa"/>
            </w:tcMar>
            <w:vAlign w:val="bottom"/>
          </w:tcPr>
          <w:p w14:paraId="33DA8D25" w14:textId="77777777" w:rsidR="004D6A64" w:rsidRDefault="00506CD6">
            <w:pPr>
              <w:textAlignment w:val="bottom"/>
            </w:pPr>
            <w:r>
              <w:rPr>
                <w:rFonts w:ascii="Arial Unicode MS" w:eastAsia="Arial Unicode MS" w:hAnsi="Arial Unicode MS" w:cs="Arial Unicode MS" w:hint="eastAsia"/>
                <w:color w:val="000000"/>
                <w:sz w:val="18"/>
                <w:szCs w:val="18"/>
              </w:rPr>
              <w:t>☐</w:t>
            </w:r>
          </w:p>
        </w:tc>
      </w:tr>
      <w:tr w:rsidR="004D6A64" w14:paraId="33DA8D2D" w14:textId="77777777">
        <w:tc>
          <w:tcPr>
            <w:tcW w:w="0" w:type="auto"/>
            <w:gridSpan w:val="3"/>
            <w:shd w:val="clear" w:color="auto" w:fill="auto"/>
            <w:tcMar>
              <w:left w:w="20" w:type="dxa"/>
              <w:right w:w="20" w:type="dxa"/>
            </w:tcMar>
            <w:vAlign w:val="bottom"/>
          </w:tcPr>
          <w:p w14:paraId="33DA8D27"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8D28"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8D29"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8D2A"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8D2B" w14:textId="77777777" w:rsidR="004D6A64" w:rsidRDefault="00506CD6">
            <w:pPr>
              <w:textAlignment w:val="bottom"/>
            </w:pPr>
            <w:r>
              <w:rPr>
                <w:rFonts w:ascii="Times New Roman" w:eastAsia="宋体" w:hAnsi="Times New Roman"/>
                <w:color w:val="000000"/>
                <w:sz w:val="18"/>
                <w:szCs w:val="18"/>
              </w:rPr>
              <w:t>Emerging growth company</w:t>
            </w:r>
          </w:p>
        </w:tc>
        <w:tc>
          <w:tcPr>
            <w:tcW w:w="0" w:type="auto"/>
            <w:gridSpan w:val="3"/>
            <w:shd w:val="clear" w:color="auto" w:fill="auto"/>
            <w:tcMar>
              <w:top w:w="40" w:type="dxa"/>
              <w:left w:w="20" w:type="dxa"/>
              <w:bottom w:w="40" w:type="dxa"/>
              <w:right w:w="20" w:type="dxa"/>
            </w:tcMar>
            <w:vAlign w:val="bottom"/>
          </w:tcPr>
          <w:p w14:paraId="33DA8D2C" w14:textId="77777777" w:rsidR="004D6A64" w:rsidRDefault="00506CD6">
            <w:pPr>
              <w:textAlignment w:val="bottom"/>
            </w:pPr>
            <w:r>
              <w:rPr>
                <w:rFonts w:ascii="Arial Unicode MS" w:eastAsia="Arial Unicode MS" w:hAnsi="Arial Unicode MS" w:cs="Arial Unicode MS" w:hint="eastAsia"/>
                <w:color w:val="000000"/>
                <w:sz w:val="18"/>
                <w:szCs w:val="18"/>
              </w:rPr>
              <w:t>☐</w:t>
            </w:r>
          </w:p>
        </w:tc>
      </w:tr>
    </w:tbl>
    <w:p w14:paraId="33DA8D2E" w14:textId="77777777" w:rsidR="004D6A64" w:rsidRDefault="00506CD6">
      <w:r>
        <w:rPr>
          <w:rFonts w:ascii="Times New Roman" w:eastAsia="宋体" w:hAnsi="Times New Roman"/>
          <w:color w:val="000000"/>
          <w:sz w:val="18"/>
          <w:szCs w:val="18"/>
          <w:shd w:val="clear" w:color="auto" w:fill="FFFFFF"/>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color w:val="000000"/>
          <w:sz w:val="18"/>
          <w:szCs w:val="18"/>
          <w:shd w:val="clear" w:color="auto" w:fill="FFFFFF"/>
        </w:rPr>
        <w:t>¨</w:t>
      </w:r>
    </w:p>
    <w:p w14:paraId="33DA8D2F" w14:textId="77777777" w:rsidR="004D6A64" w:rsidRDefault="004D6A64"/>
    <w:p w14:paraId="33DA8D30" w14:textId="77777777" w:rsidR="004D6A64" w:rsidRDefault="00506CD6">
      <w:r>
        <w:rPr>
          <w:rFonts w:ascii="Times New Roman" w:eastAsia="宋体" w:hAnsi="Times New Roman"/>
          <w:color w:val="000000"/>
          <w:sz w:val="18"/>
          <w:szCs w:val="18"/>
          <w:shd w:val="clear" w:color="auto" w:fill="FFFFFF"/>
        </w:rPr>
        <w:t>In</w:t>
      </w:r>
      <w:r>
        <w:rPr>
          <w:rFonts w:ascii="Times New Roman" w:eastAsia="宋体" w:hAnsi="Times New Roman"/>
          <w:color w:val="000000"/>
          <w:sz w:val="18"/>
          <w:szCs w:val="18"/>
          <w:shd w:val="clear" w:color="auto" w:fill="FFFFFF"/>
        </w:rPr>
        <w:t>dicate by check mark whether the registrant is a shell company (as defined in Rule 12b-2 of the Exchang</w:t>
      </w:r>
      <w:r>
        <w:rPr>
          <w:rFonts w:ascii="Times New Roman" w:eastAsia="宋体" w:hAnsi="Times New Roman"/>
          <w:color w:val="000000"/>
          <w:sz w:val="18"/>
          <w:szCs w:val="18"/>
        </w:rPr>
        <w:t>e Act). Yes </w:t>
      </w:r>
      <w:r>
        <w:rPr>
          <w:rFonts w:ascii="Arial Unicode MS" w:eastAsia="Arial Unicode MS" w:hAnsi="Arial Unicode MS" w:cs="Arial Unicode MS" w:hint="eastAsia"/>
          <w:color w:val="000000"/>
          <w:sz w:val="18"/>
          <w:szCs w:val="18"/>
        </w:rPr>
        <w:t>☐</w:t>
      </w:r>
      <w:r>
        <w:rPr>
          <w:rFonts w:ascii="Times New Roman" w:eastAsia="宋体" w:hAnsi="Times New Roman"/>
          <w:b/>
          <w:bCs/>
          <w:color w:val="000000"/>
          <w:sz w:val="18"/>
          <w:szCs w:val="18"/>
        </w:rPr>
        <w:t xml:space="preserve"> </w:t>
      </w:r>
      <w:r>
        <w:rPr>
          <w:rFonts w:ascii="Times New Roman" w:eastAsia="宋体" w:hAnsi="Times New Roman"/>
          <w:color w:val="000000"/>
          <w:sz w:val="18"/>
          <w:szCs w:val="18"/>
        </w:rPr>
        <w:t>No </w:t>
      </w:r>
      <w:r>
        <w:rPr>
          <w:rFonts w:ascii="Wingdings" w:eastAsia="宋体" w:hAnsi="Wingdings" w:cs="Wingdings"/>
          <w:color w:val="000000"/>
          <w:sz w:val="18"/>
          <w:szCs w:val="18"/>
        </w:rPr>
        <w:t>þ</w:t>
      </w:r>
    </w:p>
    <w:p w14:paraId="33DA8D31" w14:textId="77777777" w:rsidR="004D6A64" w:rsidRDefault="004D6A64"/>
    <w:p w14:paraId="33DA8D32" w14:textId="77777777" w:rsidR="004D6A64" w:rsidRDefault="00506CD6">
      <w:r>
        <w:rPr>
          <w:rFonts w:ascii="Times New Roman" w:eastAsia="宋体" w:hAnsi="Times New Roman"/>
          <w:color w:val="000000"/>
          <w:sz w:val="18"/>
          <w:szCs w:val="18"/>
        </w:rPr>
        <w:t>As of August 31, 2020, there were 746,717,209 shares of the registrant’s common stock outstanding, consisting of 260,565,897 outstand</w:t>
      </w:r>
      <w:r>
        <w:rPr>
          <w:rFonts w:ascii="Times New Roman" w:eastAsia="宋体" w:hAnsi="Times New Roman"/>
          <w:color w:val="000000"/>
          <w:sz w:val="18"/>
          <w:szCs w:val="18"/>
        </w:rPr>
        <w:t>ing shares of Class C Common Stock, 384,466,095 outstanding shares of Class A Common Stock, and 101,685,217 outstanding shares of Class B Common Stock.</w:t>
      </w:r>
    </w:p>
    <w:p w14:paraId="33DA8D33" w14:textId="77777777" w:rsidR="004D6A64" w:rsidRDefault="004D6A64">
      <w:pPr>
        <w:jc w:val="center"/>
      </w:pPr>
    </w:p>
    <w:p w14:paraId="33DA8D34" w14:textId="77777777" w:rsidR="004D6A64" w:rsidRDefault="00506CD6">
      <w:pPr>
        <w:jc w:val="center"/>
      </w:pPr>
      <w:r>
        <w:rPr>
          <w:rFonts w:ascii="Times New Roman" w:eastAsia="宋体" w:hAnsi="Times New Roman"/>
          <w:color w:val="000000"/>
          <w:sz w:val="20"/>
          <w:szCs w:val="20"/>
        </w:rPr>
        <w:t>1</w:t>
      </w:r>
    </w:p>
    <w:p w14:paraId="33DA8D35" w14:textId="77777777" w:rsidR="004D6A64" w:rsidRDefault="004D6A64">
      <w:pPr>
        <w:jc w:val="center"/>
      </w:pPr>
    </w:p>
    <w:p w14:paraId="33DA8D36" w14:textId="77777777" w:rsidR="004D6A64" w:rsidRDefault="00506CD6">
      <w:r>
        <w:pict w14:anchorId="33DAFAC5">
          <v:rect id="_x0000_i1025" style="width:415.3pt;height:1.5pt" o:hralign="center" o:hrstd="t" o:hr="t" fillcolor="#a0a0a0" stroked="f"/>
        </w:pict>
      </w:r>
    </w:p>
    <w:p w14:paraId="33DA8D37" w14:textId="77777777" w:rsidR="004D6A64" w:rsidRDefault="00506CD6">
      <w:hyperlink r:id="rId6" w:anchor="if3e0e1bf9ecd4bf69551d7a85f98d64a_10" w:history="1">
        <w:r>
          <w:rPr>
            <w:rStyle w:val="a5"/>
            <w:rFonts w:ascii="Times New Roman" w:eastAsia="宋体" w:hAnsi="Times New Roman"/>
            <w:sz w:val="20"/>
            <w:szCs w:val="20"/>
          </w:rPr>
          <w:t>Table of Contents</w:t>
        </w:r>
      </w:hyperlink>
    </w:p>
    <w:p w14:paraId="33DA8D38" w14:textId="77777777" w:rsidR="004D6A64" w:rsidRDefault="00506CD6">
      <w:pPr>
        <w:spacing w:after="120"/>
        <w:jc w:val="center"/>
      </w:pPr>
      <w:r>
        <w:rPr>
          <w:rFonts w:ascii="Times New Roman" w:eastAsia="宋体" w:hAnsi="Times New Roman"/>
          <w:b/>
          <w:bCs/>
          <w:color w:val="000000"/>
          <w:sz w:val="20"/>
          <w:szCs w:val="20"/>
        </w:rPr>
        <w:t>CAUTIONARY NOTE REGARDING FORWARD-LOOKING STATEMENTS</w:t>
      </w:r>
    </w:p>
    <w:p w14:paraId="33DA8D39" w14:textId="77777777" w:rsidR="004D6A64" w:rsidRDefault="00506CD6">
      <w:r>
        <w:rPr>
          <w:rFonts w:ascii="Times New Roman" w:eastAsia="宋体" w:hAnsi="Times New Roman"/>
          <w:color w:val="000000"/>
          <w:sz w:val="20"/>
          <w:szCs w:val="20"/>
        </w:rPr>
        <w:t xml:space="preserve">This report contains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forward-l</w:t>
      </w:r>
      <w:r>
        <w:rPr>
          <w:rFonts w:ascii="Times New Roman" w:eastAsia="宋体" w:hAnsi="Times New Roman"/>
          <w:color w:val="000000"/>
          <w:sz w:val="20"/>
          <w:szCs w:val="20"/>
        </w:rPr>
        <w:t>ooking statements</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within the meaning of Section 27A of the Securities Act of 1933 and Section 21E of the Securities Exchange Act of 1934. The words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may,</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will,</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anticipate,</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estimate,</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expect,</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intend,</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plan,</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aim,</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seek,</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and similar expressions as they relate to us or our management are intended to identify these forward-looking statements. All statements by us regarding our expected financial position, revenues, cash flows and other operating results, business strategy, </w:t>
      </w:r>
      <w:r>
        <w:rPr>
          <w:rFonts w:ascii="Times New Roman" w:eastAsia="宋体" w:hAnsi="Times New Roman"/>
          <w:color w:val="000000"/>
          <w:sz w:val="20"/>
          <w:szCs w:val="20"/>
        </w:rPr>
        <w:t>legal proceedings, future responses to and effects of the coronavirus disease 2019 (“COVID-19”), and similar matters are forward-looking statements. Our expectations expressed or implied in these forward-looking statements may not turn out to be correct. O</w:t>
      </w:r>
      <w:r>
        <w:rPr>
          <w:rFonts w:ascii="Times New Roman" w:eastAsia="宋体" w:hAnsi="Times New Roman"/>
          <w:color w:val="000000"/>
          <w:sz w:val="20"/>
          <w:szCs w:val="20"/>
        </w:rPr>
        <w:t>ur results could be materially different from our expectations because of various risks, including the risks discussed in “Part I — Item 1A — Risk Factors” in our Annual Report on Form 10-K for the fiscal year ended January 31, 2020 and in our other period</w:t>
      </w:r>
      <w:r>
        <w:rPr>
          <w:rFonts w:ascii="Times New Roman" w:eastAsia="宋体" w:hAnsi="Times New Roman"/>
          <w:color w:val="000000"/>
          <w:sz w:val="20"/>
          <w:szCs w:val="20"/>
        </w:rPr>
        <w:t>ic and current reports filed with the Securities and Exchange Commission (“SEC”). Any forward-looking statement speaks only as of the date as of which such statement is made, and, except as required by law, we undertake no obligation to update any forward-</w:t>
      </w:r>
      <w:r>
        <w:rPr>
          <w:rFonts w:ascii="Times New Roman" w:eastAsia="宋体" w:hAnsi="Times New Roman"/>
          <w:color w:val="000000"/>
          <w:sz w:val="20"/>
          <w:szCs w:val="20"/>
        </w:rPr>
        <w:t>looking statement after the date as of which such statement was made, whether to reflect changes in circumstances or our expectations, the occurrence of unanticipated events, or otherwise.</w:t>
      </w:r>
    </w:p>
    <w:p w14:paraId="33DA8D3A" w14:textId="77777777" w:rsidR="004D6A64" w:rsidRDefault="004D6A64"/>
    <w:p w14:paraId="33DA8D3B" w14:textId="77777777" w:rsidR="004D6A64" w:rsidRDefault="004D6A64">
      <w:pPr>
        <w:jc w:val="center"/>
      </w:pPr>
    </w:p>
    <w:p w14:paraId="33DA8D3C" w14:textId="77777777" w:rsidR="004D6A64" w:rsidRDefault="00506CD6">
      <w:pPr>
        <w:jc w:val="center"/>
      </w:pPr>
      <w:r>
        <w:rPr>
          <w:rFonts w:ascii="Times New Roman" w:eastAsia="宋体" w:hAnsi="Times New Roman"/>
          <w:color w:val="000000"/>
          <w:sz w:val="20"/>
          <w:szCs w:val="20"/>
        </w:rPr>
        <w:t>2</w:t>
      </w:r>
    </w:p>
    <w:p w14:paraId="33DA8D3D" w14:textId="77777777" w:rsidR="004D6A64" w:rsidRDefault="004D6A64">
      <w:pPr>
        <w:jc w:val="center"/>
      </w:pPr>
    </w:p>
    <w:p w14:paraId="33DA8D3E" w14:textId="77777777" w:rsidR="004D6A64" w:rsidRDefault="00506CD6">
      <w:r>
        <w:pict w14:anchorId="33DAFAC6">
          <v:rect id="_x0000_i1026" style="width:415.3pt;height:1.5pt" o:hralign="center" o:hrstd="t" o:hr="t" fillcolor="#a0a0a0" stroked="f"/>
        </w:pict>
      </w:r>
    </w:p>
    <w:p w14:paraId="33DA8D3F" w14:textId="77777777" w:rsidR="004D6A64" w:rsidRDefault="00506CD6">
      <w:hyperlink r:id="rId7" w:anchor="if3e0e1bf9ecd4bf69551d7a85f98d64a_10" w:history="1">
        <w:r>
          <w:rPr>
            <w:rStyle w:val="a5"/>
            <w:rFonts w:ascii="Times New Roman" w:eastAsia="宋体" w:hAnsi="Times New Roman"/>
            <w:sz w:val="20"/>
            <w:szCs w:val="20"/>
          </w:rPr>
          <w:t>Table of Contents</w:t>
        </w:r>
      </w:hyperlink>
    </w:p>
    <w:p w14:paraId="33DA8D40" w14:textId="77777777" w:rsidR="004D6A64" w:rsidRDefault="00506CD6">
      <w:pPr>
        <w:jc w:val="center"/>
      </w:pPr>
      <w:r>
        <w:rPr>
          <w:rFonts w:ascii="Times New Roman" w:eastAsia="宋体" w:hAnsi="Times New Roman"/>
          <w:b/>
          <w:bCs/>
          <w:color w:val="000000"/>
          <w:sz w:val="20"/>
          <w:szCs w:val="20"/>
        </w:rPr>
        <w:t>DELL TECHNOLOGIES INC.</w:t>
      </w:r>
    </w:p>
    <w:p w14:paraId="33DA8D41" w14:textId="77777777" w:rsidR="004D6A64" w:rsidRDefault="004D6A64">
      <w:pPr>
        <w:jc w:val="center"/>
      </w:pPr>
    </w:p>
    <w:p w14:paraId="33DA8D42" w14:textId="77777777" w:rsidR="004D6A64" w:rsidRDefault="00506CD6">
      <w:pPr>
        <w:jc w:val="center"/>
      </w:pPr>
      <w:r>
        <w:rPr>
          <w:rFonts w:ascii="Times New Roman" w:eastAsia="宋体" w:hAnsi="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57"/>
        <w:gridCol w:w="1150"/>
        <w:gridCol w:w="38"/>
        <w:gridCol w:w="55"/>
        <w:gridCol w:w="6305"/>
        <w:gridCol w:w="36"/>
        <w:gridCol w:w="86"/>
        <w:gridCol w:w="357"/>
        <w:gridCol w:w="36"/>
        <w:gridCol w:w="36"/>
        <w:gridCol w:w="36"/>
        <w:gridCol w:w="36"/>
        <w:gridCol w:w="36"/>
        <w:gridCol w:w="36"/>
        <w:gridCol w:w="36"/>
      </w:tblGrid>
      <w:tr w:rsidR="004D6A64" w14:paraId="33DA8D4C" w14:textId="77777777">
        <w:trPr>
          <w:gridAfter w:val="6"/>
          <w:jc w:val="center"/>
        </w:trPr>
        <w:tc>
          <w:tcPr>
            <w:tcW w:w="50" w:type="pct"/>
            <w:shd w:val="clear" w:color="auto" w:fill="auto"/>
          </w:tcPr>
          <w:p w14:paraId="33DA8D43" w14:textId="77777777" w:rsidR="004D6A64" w:rsidRDefault="004D6A64">
            <w:pPr>
              <w:rPr>
                <w:rFonts w:ascii="宋体"/>
              </w:rPr>
            </w:pPr>
          </w:p>
        </w:tc>
        <w:tc>
          <w:tcPr>
            <w:tcW w:w="727" w:type="pct"/>
            <w:shd w:val="clear" w:color="auto" w:fill="auto"/>
          </w:tcPr>
          <w:p w14:paraId="33DA8D44" w14:textId="77777777" w:rsidR="004D6A64" w:rsidRDefault="004D6A64">
            <w:pPr>
              <w:rPr>
                <w:rFonts w:ascii="宋体"/>
              </w:rPr>
            </w:pPr>
          </w:p>
        </w:tc>
        <w:tc>
          <w:tcPr>
            <w:tcW w:w="5" w:type="pct"/>
            <w:shd w:val="clear" w:color="auto" w:fill="auto"/>
          </w:tcPr>
          <w:p w14:paraId="33DA8D45" w14:textId="77777777" w:rsidR="004D6A64" w:rsidRDefault="004D6A64">
            <w:pPr>
              <w:rPr>
                <w:rFonts w:ascii="宋体"/>
              </w:rPr>
            </w:pPr>
          </w:p>
        </w:tc>
        <w:tc>
          <w:tcPr>
            <w:tcW w:w="50" w:type="pct"/>
            <w:shd w:val="clear" w:color="auto" w:fill="auto"/>
          </w:tcPr>
          <w:p w14:paraId="33DA8D46" w14:textId="77777777" w:rsidR="004D6A64" w:rsidRDefault="004D6A64">
            <w:pPr>
              <w:rPr>
                <w:rFonts w:ascii="宋体"/>
              </w:rPr>
            </w:pPr>
          </w:p>
        </w:tc>
        <w:tc>
          <w:tcPr>
            <w:tcW w:w="3899" w:type="pct"/>
            <w:shd w:val="clear" w:color="auto" w:fill="auto"/>
          </w:tcPr>
          <w:p w14:paraId="33DA8D47" w14:textId="77777777" w:rsidR="004D6A64" w:rsidRDefault="004D6A64">
            <w:pPr>
              <w:rPr>
                <w:rFonts w:ascii="宋体"/>
              </w:rPr>
            </w:pPr>
          </w:p>
        </w:tc>
        <w:tc>
          <w:tcPr>
            <w:tcW w:w="5" w:type="pct"/>
            <w:shd w:val="clear" w:color="auto" w:fill="auto"/>
          </w:tcPr>
          <w:p w14:paraId="33DA8D48" w14:textId="77777777" w:rsidR="004D6A64" w:rsidRDefault="004D6A64">
            <w:pPr>
              <w:rPr>
                <w:rFonts w:ascii="宋体"/>
              </w:rPr>
            </w:pPr>
          </w:p>
        </w:tc>
        <w:tc>
          <w:tcPr>
            <w:tcW w:w="50" w:type="pct"/>
            <w:shd w:val="clear" w:color="auto" w:fill="auto"/>
          </w:tcPr>
          <w:p w14:paraId="33DA8D49" w14:textId="77777777" w:rsidR="004D6A64" w:rsidRDefault="004D6A64">
            <w:pPr>
              <w:rPr>
                <w:rFonts w:ascii="宋体"/>
              </w:rPr>
            </w:pPr>
          </w:p>
        </w:tc>
        <w:tc>
          <w:tcPr>
            <w:tcW w:w="208" w:type="pct"/>
            <w:shd w:val="clear" w:color="auto" w:fill="auto"/>
          </w:tcPr>
          <w:p w14:paraId="33DA8D4A" w14:textId="77777777" w:rsidR="004D6A64" w:rsidRDefault="004D6A64">
            <w:pPr>
              <w:rPr>
                <w:rFonts w:ascii="宋体"/>
              </w:rPr>
            </w:pPr>
          </w:p>
        </w:tc>
        <w:tc>
          <w:tcPr>
            <w:tcW w:w="5" w:type="pct"/>
            <w:shd w:val="clear" w:color="auto" w:fill="auto"/>
          </w:tcPr>
          <w:p w14:paraId="33DA8D4B" w14:textId="77777777" w:rsidR="004D6A64" w:rsidRDefault="004D6A64">
            <w:pPr>
              <w:rPr>
                <w:rFonts w:ascii="宋体"/>
              </w:rPr>
            </w:pPr>
          </w:p>
        </w:tc>
      </w:tr>
      <w:tr w:rsidR="004D6A64" w14:paraId="33DA8D50" w14:textId="77777777">
        <w:trPr>
          <w:gridAfter w:val="6"/>
          <w:jc w:val="center"/>
        </w:trPr>
        <w:tc>
          <w:tcPr>
            <w:tcW w:w="0" w:type="auto"/>
            <w:gridSpan w:val="3"/>
            <w:shd w:val="clear" w:color="auto" w:fill="auto"/>
            <w:tcMar>
              <w:left w:w="20" w:type="dxa"/>
              <w:right w:w="20" w:type="dxa"/>
            </w:tcMar>
            <w:vAlign w:val="bottom"/>
          </w:tcPr>
          <w:p w14:paraId="33DA8D4D"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8D4E"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8D4F" w14:textId="77777777" w:rsidR="004D6A64" w:rsidRDefault="00506CD6">
            <w:pPr>
              <w:jc w:val="center"/>
              <w:textAlignment w:val="bottom"/>
            </w:pPr>
            <w:r>
              <w:rPr>
                <w:rFonts w:ascii="Times New Roman" w:eastAsia="宋体" w:hAnsi="Times New Roman"/>
                <w:b/>
                <w:bCs/>
                <w:color w:val="000000"/>
                <w:sz w:val="20"/>
                <w:szCs w:val="20"/>
              </w:rPr>
              <w:t>Page</w:t>
            </w:r>
          </w:p>
        </w:tc>
      </w:tr>
      <w:tr w:rsidR="004D6A64" w14:paraId="33DA8D54" w14:textId="77777777">
        <w:trPr>
          <w:jc w:val="center"/>
        </w:trPr>
        <w:tc>
          <w:tcPr>
            <w:tcW w:w="0" w:type="auto"/>
            <w:gridSpan w:val="9"/>
            <w:shd w:val="clear" w:color="auto" w:fill="auto"/>
            <w:tcMar>
              <w:top w:w="40" w:type="dxa"/>
              <w:left w:w="20" w:type="dxa"/>
              <w:bottom w:w="40" w:type="dxa"/>
              <w:right w:w="20" w:type="dxa"/>
            </w:tcMar>
            <w:vAlign w:val="bottom"/>
          </w:tcPr>
          <w:p w14:paraId="33DA8D51"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8" w:anchor="if3e0e1bf9ecd4bf69551d7a85f98d64a_13" w:history="1">
              <w:r>
                <w:rPr>
                  <w:rStyle w:val="a5"/>
                  <w:rFonts w:ascii="Times New Roman" w:eastAsia="宋体" w:hAnsi="Times New Roman"/>
                  <w:b/>
                  <w:bCs/>
                  <w:sz w:val="20"/>
                  <w:szCs w:val="20"/>
                </w:rPr>
                <w:t>PART I — FINANCIAL INFORMATION</w:t>
              </w:r>
            </w:hyperlink>
          </w:p>
        </w:tc>
        <w:tc>
          <w:tcPr>
            <w:tcW w:w="0" w:type="auto"/>
            <w:gridSpan w:val="3"/>
            <w:shd w:val="clear" w:color="auto" w:fill="auto"/>
          </w:tcPr>
          <w:p w14:paraId="33DA8D52" w14:textId="77777777" w:rsidR="004D6A64" w:rsidRDefault="004D6A64">
            <w:pPr>
              <w:rPr>
                <w:rFonts w:ascii="宋体"/>
                <w:vanish/>
              </w:rPr>
            </w:pPr>
          </w:p>
        </w:tc>
        <w:tc>
          <w:tcPr>
            <w:tcW w:w="0" w:type="auto"/>
            <w:gridSpan w:val="3"/>
            <w:shd w:val="clear" w:color="auto" w:fill="auto"/>
          </w:tcPr>
          <w:p w14:paraId="33DA8D53" w14:textId="77777777" w:rsidR="004D6A64" w:rsidRDefault="004D6A64">
            <w:pPr>
              <w:rPr>
                <w:rFonts w:ascii="宋体"/>
                <w:vanish/>
              </w:rPr>
            </w:pPr>
          </w:p>
        </w:tc>
      </w:tr>
      <w:tr w:rsidR="004D6A64" w14:paraId="33DA8D5E" w14:textId="77777777">
        <w:trPr>
          <w:jc w:val="center"/>
        </w:trPr>
        <w:tc>
          <w:tcPr>
            <w:tcW w:w="0" w:type="auto"/>
            <w:gridSpan w:val="3"/>
            <w:shd w:val="clear" w:color="auto" w:fill="auto"/>
            <w:tcMar>
              <w:top w:w="40" w:type="dxa"/>
              <w:left w:w="20" w:type="dxa"/>
              <w:bottom w:w="40" w:type="dxa"/>
              <w:right w:w="20" w:type="dxa"/>
            </w:tcMar>
            <w:vAlign w:val="bottom"/>
          </w:tcPr>
          <w:p w14:paraId="33DA8D55" w14:textId="77777777" w:rsidR="004D6A64" w:rsidRDefault="00506CD6">
            <w:pPr>
              <w:pBdr>
                <w:top w:val="none" w:sz="0" w:space="0" w:color="auto"/>
                <w:left w:val="none" w:sz="0" w:space="0" w:color="auto"/>
                <w:bottom w:val="none" w:sz="0" w:space="0" w:color="auto"/>
                <w:right w:val="none" w:sz="0" w:space="0" w:color="auto"/>
              </w:pBdr>
              <w:textAlignment w:val="bottom"/>
            </w:pPr>
            <w:hyperlink r:id="rId9" w:anchor="if3e0e1bf9ecd4bf69551d7a85f98d64a_16" w:history="1">
              <w:r>
                <w:rPr>
                  <w:rStyle w:val="a5"/>
                  <w:rFonts w:ascii="Times New Roman" w:eastAsia="宋体" w:hAnsi="Times New Roman"/>
                  <w:sz w:val="20"/>
                  <w:szCs w:val="20"/>
                </w:rPr>
                <w:t>Item 1.</w:t>
              </w:r>
            </w:hyperlink>
          </w:p>
        </w:tc>
        <w:tc>
          <w:tcPr>
            <w:tcW w:w="0" w:type="auto"/>
            <w:gridSpan w:val="3"/>
            <w:shd w:val="clear" w:color="auto" w:fill="auto"/>
            <w:tcMar>
              <w:top w:w="40" w:type="dxa"/>
              <w:left w:w="20" w:type="dxa"/>
              <w:bottom w:w="40" w:type="dxa"/>
              <w:right w:w="20" w:type="dxa"/>
            </w:tcMar>
            <w:vAlign w:val="bottom"/>
          </w:tcPr>
          <w:p w14:paraId="33DA8D56" w14:textId="77777777" w:rsidR="004D6A64" w:rsidRDefault="00506CD6">
            <w:pPr>
              <w:pBdr>
                <w:top w:val="none" w:sz="0" w:space="0" w:color="auto"/>
                <w:left w:val="none" w:sz="0" w:space="0" w:color="auto"/>
                <w:bottom w:val="none" w:sz="0" w:space="0" w:color="auto"/>
                <w:right w:val="none" w:sz="0" w:space="0" w:color="auto"/>
              </w:pBdr>
              <w:textAlignment w:val="bottom"/>
            </w:pPr>
            <w:hyperlink r:id="rId10" w:anchor="if3e0e1bf9ecd4bf69551d7a85f98d64a_16" w:history="1">
              <w:r>
                <w:rPr>
                  <w:rStyle w:val="a5"/>
                  <w:rFonts w:ascii="Times New Roman" w:eastAsia="宋体" w:hAnsi="Times New Roman"/>
                  <w:sz w:val="20"/>
                  <w:szCs w:val="20"/>
                </w:rPr>
                <w:t>Financial Statements (unaudited)</w:t>
              </w:r>
            </w:hyperlink>
          </w:p>
        </w:tc>
        <w:tc>
          <w:tcPr>
            <w:tcW w:w="0" w:type="auto"/>
            <w:gridSpan w:val="3"/>
            <w:shd w:val="clear" w:color="auto" w:fill="auto"/>
            <w:tcMar>
              <w:top w:w="40" w:type="dxa"/>
              <w:left w:w="20" w:type="dxa"/>
              <w:bottom w:w="40" w:type="dxa"/>
              <w:right w:w="20" w:type="dxa"/>
            </w:tcMar>
            <w:vAlign w:val="bottom"/>
          </w:tcPr>
          <w:p w14:paraId="33DA8D57"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11" w:anchor="if3e0e1bf9ecd4bf69551d7a85f98d64a_16" w:history="1">
              <w:r>
                <w:rPr>
                  <w:rStyle w:val="a5"/>
                  <w:rFonts w:ascii="Times New Roman" w:eastAsia="宋体" w:hAnsi="Times New Roman"/>
                  <w:sz w:val="20"/>
                  <w:szCs w:val="20"/>
                </w:rPr>
                <w:t>4</w:t>
              </w:r>
            </w:hyperlink>
          </w:p>
        </w:tc>
        <w:tc>
          <w:tcPr>
            <w:tcW w:w="0" w:type="auto"/>
            <w:shd w:val="clear" w:color="auto" w:fill="auto"/>
          </w:tcPr>
          <w:p w14:paraId="33DA8D58" w14:textId="77777777" w:rsidR="004D6A64" w:rsidRDefault="004D6A64">
            <w:pPr>
              <w:rPr>
                <w:rFonts w:ascii="宋体"/>
              </w:rPr>
            </w:pPr>
          </w:p>
        </w:tc>
        <w:tc>
          <w:tcPr>
            <w:tcW w:w="0" w:type="auto"/>
            <w:shd w:val="clear" w:color="auto" w:fill="auto"/>
          </w:tcPr>
          <w:p w14:paraId="33DA8D59" w14:textId="77777777" w:rsidR="004D6A64" w:rsidRDefault="004D6A64">
            <w:pPr>
              <w:rPr>
                <w:rFonts w:ascii="宋体"/>
              </w:rPr>
            </w:pPr>
          </w:p>
        </w:tc>
        <w:tc>
          <w:tcPr>
            <w:tcW w:w="0" w:type="auto"/>
            <w:shd w:val="clear" w:color="auto" w:fill="auto"/>
          </w:tcPr>
          <w:p w14:paraId="33DA8D5A" w14:textId="77777777" w:rsidR="004D6A64" w:rsidRDefault="004D6A64">
            <w:pPr>
              <w:rPr>
                <w:rFonts w:ascii="宋体"/>
              </w:rPr>
            </w:pPr>
          </w:p>
        </w:tc>
        <w:tc>
          <w:tcPr>
            <w:tcW w:w="0" w:type="auto"/>
            <w:shd w:val="clear" w:color="auto" w:fill="auto"/>
          </w:tcPr>
          <w:p w14:paraId="33DA8D5B" w14:textId="77777777" w:rsidR="004D6A64" w:rsidRDefault="004D6A64">
            <w:pPr>
              <w:rPr>
                <w:rFonts w:ascii="宋体"/>
              </w:rPr>
            </w:pPr>
          </w:p>
        </w:tc>
        <w:tc>
          <w:tcPr>
            <w:tcW w:w="0" w:type="auto"/>
            <w:shd w:val="clear" w:color="auto" w:fill="auto"/>
          </w:tcPr>
          <w:p w14:paraId="33DA8D5C" w14:textId="77777777" w:rsidR="004D6A64" w:rsidRDefault="004D6A64">
            <w:pPr>
              <w:rPr>
                <w:rFonts w:ascii="宋体"/>
              </w:rPr>
            </w:pPr>
          </w:p>
        </w:tc>
        <w:tc>
          <w:tcPr>
            <w:tcW w:w="0" w:type="auto"/>
            <w:shd w:val="clear" w:color="auto" w:fill="auto"/>
          </w:tcPr>
          <w:p w14:paraId="33DA8D5D" w14:textId="77777777" w:rsidR="004D6A64" w:rsidRDefault="004D6A64">
            <w:pPr>
              <w:rPr>
                <w:rFonts w:ascii="宋体"/>
              </w:rPr>
            </w:pPr>
          </w:p>
        </w:tc>
      </w:tr>
      <w:tr w:rsidR="004D6A64" w14:paraId="33DA8D68" w14:textId="77777777">
        <w:trPr>
          <w:jc w:val="center"/>
        </w:trPr>
        <w:tc>
          <w:tcPr>
            <w:tcW w:w="0" w:type="auto"/>
            <w:gridSpan w:val="3"/>
            <w:shd w:val="clear" w:color="auto" w:fill="auto"/>
            <w:tcMar>
              <w:top w:w="40" w:type="dxa"/>
              <w:left w:w="20" w:type="dxa"/>
              <w:bottom w:w="40" w:type="dxa"/>
              <w:right w:w="20" w:type="dxa"/>
            </w:tcMar>
            <w:vAlign w:val="bottom"/>
          </w:tcPr>
          <w:p w14:paraId="33DA8D5F" w14:textId="77777777" w:rsidR="004D6A64" w:rsidRDefault="00506CD6">
            <w:pPr>
              <w:pBdr>
                <w:top w:val="none" w:sz="0" w:space="0" w:color="auto"/>
                <w:left w:val="none" w:sz="0" w:space="0" w:color="auto"/>
                <w:bottom w:val="none" w:sz="0" w:space="0" w:color="auto"/>
                <w:right w:val="none" w:sz="0" w:space="0" w:color="auto"/>
              </w:pBdr>
              <w:textAlignment w:val="bottom"/>
            </w:pPr>
            <w:hyperlink r:id="rId12" w:anchor="if3e0e1bf9ecd4bf69551d7a85f98d64a_133" w:history="1">
              <w:r>
                <w:rPr>
                  <w:rStyle w:val="a5"/>
                  <w:rFonts w:ascii="Times New Roman" w:eastAsia="宋体" w:hAnsi="Times New Roman"/>
                  <w:sz w:val="20"/>
                  <w:szCs w:val="20"/>
                </w:rPr>
                <w:t>Item 2.</w:t>
              </w:r>
            </w:hyperlink>
          </w:p>
        </w:tc>
        <w:tc>
          <w:tcPr>
            <w:tcW w:w="0" w:type="auto"/>
            <w:gridSpan w:val="3"/>
            <w:shd w:val="clear" w:color="auto" w:fill="auto"/>
            <w:tcMar>
              <w:top w:w="40" w:type="dxa"/>
              <w:left w:w="20" w:type="dxa"/>
              <w:bottom w:w="40" w:type="dxa"/>
              <w:right w:w="20" w:type="dxa"/>
            </w:tcMar>
            <w:vAlign w:val="bottom"/>
          </w:tcPr>
          <w:p w14:paraId="33DA8D60" w14:textId="77777777" w:rsidR="004D6A64" w:rsidRDefault="00506CD6">
            <w:pPr>
              <w:pBdr>
                <w:top w:val="none" w:sz="0" w:space="0" w:color="auto"/>
                <w:left w:val="none" w:sz="0" w:space="0" w:color="auto"/>
                <w:bottom w:val="none" w:sz="0" w:space="0" w:color="auto"/>
                <w:right w:val="none" w:sz="0" w:space="0" w:color="auto"/>
              </w:pBdr>
              <w:textAlignment w:val="bottom"/>
            </w:pPr>
            <w:hyperlink r:id="rId13" w:anchor="if3e0e1bf9ecd4bf69551d7a85f98d64a_133" w:history="1">
              <w:r>
                <w:rPr>
                  <w:rStyle w:val="a5"/>
                  <w:rFonts w:ascii="Times New Roman" w:eastAsia="宋体" w:hAnsi="Times New Roman"/>
                  <w:sz w:val="20"/>
                  <w:szCs w:val="20"/>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bottom"/>
          </w:tcPr>
          <w:p w14:paraId="33DA8D61"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14" w:anchor="if3e0e1bf9ecd4bf69551d7a85f98d64a_133" w:history="1">
              <w:r>
                <w:rPr>
                  <w:rStyle w:val="a5"/>
                  <w:rFonts w:ascii="Times New Roman" w:eastAsia="宋体" w:hAnsi="Times New Roman"/>
                  <w:sz w:val="20"/>
                  <w:szCs w:val="20"/>
                </w:rPr>
                <w:t>64</w:t>
              </w:r>
            </w:hyperlink>
          </w:p>
        </w:tc>
        <w:tc>
          <w:tcPr>
            <w:tcW w:w="0" w:type="auto"/>
            <w:shd w:val="clear" w:color="auto" w:fill="auto"/>
          </w:tcPr>
          <w:p w14:paraId="33DA8D62" w14:textId="77777777" w:rsidR="004D6A64" w:rsidRDefault="004D6A64">
            <w:pPr>
              <w:rPr>
                <w:rFonts w:ascii="宋体"/>
              </w:rPr>
            </w:pPr>
          </w:p>
        </w:tc>
        <w:tc>
          <w:tcPr>
            <w:tcW w:w="0" w:type="auto"/>
            <w:shd w:val="clear" w:color="auto" w:fill="auto"/>
          </w:tcPr>
          <w:p w14:paraId="33DA8D63" w14:textId="77777777" w:rsidR="004D6A64" w:rsidRDefault="004D6A64">
            <w:pPr>
              <w:rPr>
                <w:rFonts w:ascii="宋体"/>
              </w:rPr>
            </w:pPr>
          </w:p>
        </w:tc>
        <w:tc>
          <w:tcPr>
            <w:tcW w:w="0" w:type="auto"/>
            <w:shd w:val="clear" w:color="auto" w:fill="auto"/>
          </w:tcPr>
          <w:p w14:paraId="33DA8D64" w14:textId="77777777" w:rsidR="004D6A64" w:rsidRDefault="004D6A64">
            <w:pPr>
              <w:rPr>
                <w:rFonts w:ascii="宋体"/>
              </w:rPr>
            </w:pPr>
          </w:p>
        </w:tc>
        <w:tc>
          <w:tcPr>
            <w:tcW w:w="0" w:type="auto"/>
            <w:shd w:val="clear" w:color="auto" w:fill="auto"/>
          </w:tcPr>
          <w:p w14:paraId="33DA8D65" w14:textId="77777777" w:rsidR="004D6A64" w:rsidRDefault="004D6A64">
            <w:pPr>
              <w:rPr>
                <w:rFonts w:ascii="宋体"/>
              </w:rPr>
            </w:pPr>
          </w:p>
        </w:tc>
        <w:tc>
          <w:tcPr>
            <w:tcW w:w="0" w:type="auto"/>
            <w:shd w:val="clear" w:color="auto" w:fill="auto"/>
          </w:tcPr>
          <w:p w14:paraId="33DA8D66" w14:textId="77777777" w:rsidR="004D6A64" w:rsidRDefault="004D6A64">
            <w:pPr>
              <w:rPr>
                <w:rFonts w:ascii="宋体"/>
              </w:rPr>
            </w:pPr>
          </w:p>
        </w:tc>
        <w:tc>
          <w:tcPr>
            <w:tcW w:w="0" w:type="auto"/>
            <w:shd w:val="clear" w:color="auto" w:fill="auto"/>
          </w:tcPr>
          <w:p w14:paraId="33DA8D67" w14:textId="77777777" w:rsidR="004D6A64" w:rsidRDefault="004D6A64">
            <w:pPr>
              <w:rPr>
                <w:rFonts w:ascii="宋体"/>
              </w:rPr>
            </w:pPr>
          </w:p>
        </w:tc>
      </w:tr>
      <w:tr w:rsidR="004D6A64" w14:paraId="33DA8D72" w14:textId="77777777">
        <w:trPr>
          <w:jc w:val="center"/>
        </w:trPr>
        <w:tc>
          <w:tcPr>
            <w:tcW w:w="0" w:type="auto"/>
            <w:gridSpan w:val="3"/>
            <w:shd w:val="clear" w:color="auto" w:fill="auto"/>
            <w:tcMar>
              <w:top w:w="40" w:type="dxa"/>
              <w:left w:w="20" w:type="dxa"/>
              <w:bottom w:w="40" w:type="dxa"/>
              <w:right w:w="20" w:type="dxa"/>
            </w:tcMar>
            <w:vAlign w:val="bottom"/>
          </w:tcPr>
          <w:p w14:paraId="33DA8D69" w14:textId="77777777" w:rsidR="004D6A64" w:rsidRDefault="00506CD6">
            <w:pPr>
              <w:pBdr>
                <w:top w:val="none" w:sz="0" w:space="0" w:color="auto"/>
                <w:left w:val="none" w:sz="0" w:space="0" w:color="auto"/>
                <w:bottom w:val="none" w:sz="0" w:space="0" w:color="auto"/>
                <w:right w:val="none" w:sz="0" w:space="0" w:color="auto"/>
              </w:pBdr>
              <w:textAlignment w:val="bottom"/>
            </w:pPr>
            <w:hyperlink r:id="rId15" w:anchor="if3e0e1bf9ecd4bf69551d7a85f98d64a_157" w:history="1">
              <w:r>
                <w:rPr>
                  <w:rStyle w:val="a5"/>
                  <w:rFonts w:ascii="Times New Roman" w:eastAsia="宋体" w:hAnsi="Times New Roman"/>
                  <w:sz w:val="20"/>
                  <w:szCs w:val="20"/>
                </w:rPr>
                <w:t>Item 3.</w:t>
              </w:r>
            </w:hyperlink>
          </w:p>
        </w:tc>
        <w:tc>
          <w:tcPr>
            <w:tcW w:w="0" w:type="auto"/>
            <w:gridSpan w:val="3"/>
            <w:shd w:val="clear" w:color="auto" w:fill="auto"/>
            <w:tcMar>
              <w:top w:w="40" w:type="dxa"/>
              <w:left w:w="20" w:type="dxa"/>
              <w:bottom w:w="40" w:type="dxa"/>
              <w:right w:w="20" w:type="dxa"/>
            </w:tcMar>
            <w:vAlign w:val="bottom"/>
          </w:tcPr>
          <w:p w14:paraId="33DA8D6A" w14:textId="77777777" w:rsidR="004D6A64" w:rsidRDefault="00506CD6">
            <w:pPr>
              <w:pBdr>
                <w:top w:val="none" w:sz="0" w:space="0" w:color="auto"/>
                <w:left w:val="none" w:sz="0" w:space="0" w:color="auto"/>
                <w:bottom w:val="none" w:sz="0" w:space="0" w:color="auto"/>
                <w:right w:val="none" w:sz="0" w:space="0" w:color="auto"/>
              </w:pBdr>
              <w:textAlignment w:val="bottom"/>
            </w:pPr>
            <w:hyperlink r:id="rId16" w:anchor="if3e0e1bf9ecd4bf69551d7a85f98d64a_157" w:history="1">
              <w:r>
                <w:rPr>
                  <w:rStyle w:val="a5"/>
                  <w:rFonts w:ascii="Times New Roman" w:eastAsia="宋体" w:hAnsi="Times New Roman"/>
                  <w:sz w:val="20"/>
                  <w:szCs w:val="20"/>
                </w:rPr>
                <w:t>Quantitative and Qualitative Disclosures About Market Risk</w:t>
              </w:r>
            </w:hyperlink>
          </w:p>
        </w:tc>
        <w:tc>
          <w:tcPr>
            <w:tcW w:w="0" w:type="auto"/>
            <w:gridSpan w:val="3"/>
            <w:shd w:val="clear" w:color="auto" w:fill="auto"/>
            <w:tcMar>
              <w:top w:w="40" w:type="dxa"/>
              <w:left w:w="20" w:type="dxa"/>
              <w:bottom w:w="40" w:type="dxa"/>
              <w:right w:w="20" w:type="dxa"/>
            </w:tcMar>
            <w:vAlign w:val="bottom"/>
          </w:tcPr>
          <w:p w14:paraId="33DA8D6B"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17" w:anchor="if3e0e1bf9ecd4bf69551d7a85f98d64a_157" w:history="1">
              <w:r>
                <w:rPr>
                  <w:rStyle w:val="a5"/>
                  <w:rFonts w:ascii="Times New Roman" w:eastAsia="宋体" w:hAnsi="Times New Roman"/>
                  <w:sz w:val="20"/>
                  <w:szCs w:val="20"/>
                </w:rPr>
                <w:t>93</w:t>
              </w:r>
            </w:hyperlink>
          </w:p>
        </w:tc>
        <w:tc>
          <w:tcPr>
            <w:tcW w:w="0" w:type="auto"/>
            <w:shd w:val="clear" w:color="auto" w:fill="auto"/>
          </w:tcPr>
          <w:p w14:paraId="33DA8D6C" w14:textId="77777777" w:rsidR="004D6A64" w:rsidRDefault="004D6A64">
            <w:pPr>
              <w:rPr>
                <w:rFonts w:ascii="宋体"/>
              </w:rPr>
            </w:pPr>
          </w:p>
        </w:tc>
        <w:tc>
          <w:tcPr>
            <w:tcW w:w="0" w:type="auto"/>
            <w:shd w:val="clear" w:color="auto" w:fill="auto"/>
          </w:tcPr>
          <w:p w14:paraId="33DA8D6D" w14:textId="77777777" w:rsidR="004D6A64" w:rsidRDefault="004D6A64">
            <w:pPr>
              <w:rPr>
                <w:rFonts w:ascii="宋体"/>
              </w:rPr>
            </w:pPr>
          </w:p>
        </w:tc>
        <w:tc>
          <w:tcPr>
            <w:tcW w:w="0" w:type="auto"/>
            <w:shd w:val="clear" w:color="auto" w:fill="auto"/>
          </w:tcPr>
          <w:p w14:paraId="33DA8D6E" w14:textId="77777777" w:rsidR="004D6A64" w:rsidRDefault="004D6A64">
            <w:pPr>
              <w:rPr>
                <w:rFonts w:ascii="宋体"/>
              </w:rPr>
            </w:pPr>
          </w:p>
        </w:tc>
        <w:tc>
          <w:tcPr>
            <w:tcW w:w="0" w:type="auto"/>
            <w:shd w:val="clear" w:color="auto" w:fill="auto"/>
          </w:tcPr>
          <w:p w14:paraId="33DA8D6F" w14:textId="77777777" w:rsidR="004D6A64" w:rsidRDefault="004D6A64">
            <w:pPr>
              <w:rPr>
                <w:rFonts w:ascii="宋体"/>
              </w:rPr>
            </w:pPr>
          </w:p>
        </w:tc>
        <w:tc>
          <w:tcPr>
            <w:tcW w:w="0" w:type="auto"/>
            <w:shd w:val="clear" w:color="auto" w:fill="auto"/>
          </w:tcPr>
          <w:p w14:paraId="33DA8D70" w14:textId="77777777" w:rsidR="004D6A64" w:rsidRDefault="004D6A64">
            <w:pPr>
              <w:rPr>
                <w:rFonts w:ascii="宋体"/>
              </w:rPr>
            </w:pPr>
          </w:p>
        </w:tc>
        <w:tc>
          <w:tcPr>
            <w:tcW w:w="0" w:type="auto"/>
            <w:shd w:val="clear" w:color="auto" w:fill="auto"/>
          </w:tcPr>
          <w:p w14:paraId="33DA8D71" w14:textId="77777777" w:rsidR="004D6A64" w:rsidRDefault="004D6A64">
            <w:pPr>
              <w:rPr>
                <w:rFonts w:ascii="宋体"/>
              </w:rPr>
            </w:pPr>
          </w:p>
        </w:tc>
      </w:tr>
      <w:tr w:rsidR="004D6A64" w14:paraId="33DA8D7C" w14:textId="77777777">
        <w:trPr>
          <w:jc w:val="center"/>
        </w:trPr>
        <w:tc>
          <w:tcPr>
            <w:tcW w:w="0" w:type="auto"/>
            <w:gridSpan w:val="3"/>
            <w:shd w:val="clear" w:color="auto" w:fill="auto"/>
            <w:tcMar>
              <w:top w:w="40" w:type="dxa"/>
              <w:left w:w="20" w:type="dxa"/>
              <w:bottom w:w="40" w:type="dxa"/>
              <w:right w:w="20" w:type="dxa"/>
            </w:tcMar>
            <w:vAlign w:val="bottom"/>
          </w:tcPr>
          <w:p w14:paraId="33DA8D73" w14:textId="77777777" w:rsidR="004D6A64" w:rsidRDefault="00506CD6">
            <w:pPr>
              <w:pBdr>
                <w:top w:val="none" w:sz="0" w:space="0" w:color="auto"/>
                <w:left w:val="none" w:sz="0" w:space="0" w:color="auto"/>
                <w:bottom w:val="none" w:sz="0" w:space="0" w:color="auto"/>
                <w:right w:val="none" w:sz="0" w:space="0" w:color="auto"/>
              </w:pBdr>
              <w:textAlignment w:val="bottom"/>
            </w:pPr>
            <w:hyperlink r:id="rId18" w:anchor="if3e0e1bf9ecd4bf69551d7a85f98d64a_160" w:history="1">
              <w:r>
                <w:rPr>
                  <w:rStyle w:val="a5"/>
                  <w:rFonts w:ascii="Times New Roman" w:eastAsia="宋体" w:hAnsi="Times New Roman"/>
                  <w:sz w:val="20"/>
                  <w:szCs w:val="20"/>
                </w:rPr>
                <w:t>Item 4.</w:t>
              </w:r>
            </w:hyperlink>
          </w:p>
        </w:tc>
        <w:tc>
          <w:tcPr>
            <w:tcW w:w="0" w:type="auto"/>
            <w:gridSpan w:val="3"/>
            <w:shd w:val="clear" w:color="auto" w:fill="auto"/>
            <w:tcMar>
              <w:top w:w="40" w:type="dxa"/>
              <w:left w:w="20" w:type="dxa"/>
              <w:bottom w:w="40" w:type="dxa"/>
              <w:right w:w="20" w:type="dxa"/>
            </w:tcMar>
            <w:vAlign w:val="bottom"/>
          </w:tcPr>
          <w:p w14:paraId="33DA8D74" w14:textId="77777777" w:rsidR="004D6A64" w:rsidRDefault="00506CD6">
            <w:pPr>
              <w:pBdr>
                <w:top w:val="none" w:sz="0" w:space="0" w:color="auto"/>
                <w:left w:val="none" w:sz="0" w:space="0" w:color="auto"/>
                <w:bottom w:val="none" w:sz="0" w:space="0" w:color="auto"/>
                <w:right w:val="none" w:sz="0" w:space="0" w:color="auto"/>
              </w:pBdr>
              <w:textAlignment w:val="bottom"/>
            </w:pPr>
            <w:hyperlink r:id="rId19" w:anchor="if3e0e1bf9ecd4bf69551d7a85f98d64a_160" w:history="1">
              <w:r>
                <w:rPr>
                  <w:rStyle w:val="a5"/>
                  <w:rFonts w:ascii="Times New Roman" w:eastAsia="宋体" w:hAnsi="Times New Roman"/>
                  <w:sz w:val="20"/>
                  <w:szCs w:val="20"/>
                </w:rPr>
                <w:t>Controls and Procedures</w:t>
              </w:r>
            </w:hyperlink>
          </w:p>
        </w:tc>
        <w:tc>
          <w:tcPr>
            <w:tcW w:w="0" w:type="auto"/>
            <w:gridSpan w:val="3"/>
            <w:shd w:val="clear" w:color="auto" w:fill="auto"/>
            <w:tcMar>
              <w:top w:w="40" w:type="dxa"/>
              <w:left w:w="20" w:type="dxa"/>
              <w:bottom w:w="40" w:type="dxa"/>
              <w:right w:w="20" w:type="dxa"/>
            </w:tcMar>
            <w:vAlign w:val="bottom"/>
          </w:tcPr>
          <w:p w14:paraId="33DA8D75"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20" w:anchor="if3e0e1bf9ecd4bf69551d7a85f98d64a_160" w:history="1">
              <w:r>
                <w:rPr>
                  <w:rStyle w:val="a5"/>
                  <w:rFonts w:ascii="Times New Roman" w:eastAsia="宋体" w:hAnsi="Times New Roman"/>
                  <w:sz w:val="20"/>
                  <w:szCs w:val="20"/>
                </w:rPr>
                <w:t>94</w:t>
              </w:r>
            </w:hyperlink>
          </w:p>
        </w:tc>
        <w:tc>
          <w:tcPr>
            <w:tcW w:w="0" w:type="auto"/>
            <w:shd w:val="clear" w:color="auto" w:fill="auto"/>
          </w:tcPr>
          <w:p w14:paraId="33DA8D76" w14:textId="77777777" w:rsidR="004D6A64" w:rsidRDefault="004D6A64">
            <w:pPr>
              <w:rPr>
                <w:rFonts w:ascii="宋体"/>
              </w:rPr>
            </w:pPr>
          </w:p>
        </w:tc>
        <w:tc>
          <w:tcPr>
            <w:tcW w:w="0" w:type="auto"/>
            <w:shd w:val="clear" w:color="auto" w:fill="auto"/>
          </w:tcPr>
          <w:p w14:paraId="33DA8D77" w14:textId="77777777" w:rsidR="004D6A64" w:rsidRDefault="004D6A64">
            <w:pPr>
              <w:rPr>
                <w:rFonts w:ascii="宋体"/>
              </w:rPr>
            </w:pPr>
          </w:p>
        </w:tc>
        <w:tc>
          <w:tcPr>
            <w:tcW w:w="0" w:type="auto"/>
            <w:shd w:val="clear" w:color="auto" w:fill="auto"/>
          </w:tcPr>
          <w:p w14:paraId="33DA8D78" w14:textId="77777777" w:rsidR="004D6A64" w:rsidRDefault="004D6A64">
            <w:pPr>
              <w:rPr>
                <w:rFonts w:ascii="宋体"/>
              </w:rPr>
            </w:pPr>
          </w:p>
        </w:tc>
        <w:tc>
          <w:tcPr>
            <w:tcW w:w="0" w:type="auto"/>
            <w:shd w:val="clear" w:color="auto" w:fill="auto"/>
          </w:tcPr>
          <w:p w14:paraId="33DA8D79" w14:textId="77777777" w:rsidR="004D6A64" w:rsidRDefault="004D6A64">
            <w:pPr>
              <w:rPr>
                <w:rFonts w:ascii="宋体"/>
              </w:rPr>
            </w:pPr>
          </w:p>
        </w:tc>
        <w:tc>
          <w:tcPr>
            <w:tcW w:w="0" w:type="auto"/>
            <w:shd w:val="clear" w:color="auto" w:fill="auto"/>
          </w:tcPr>
          <w:p w14:paraId="33DA8D7A" w14:textId="77777777" w:rsidR="004D6A64" w:rsidRDefault="004D6A64">
            <w:pPr>
              <w:rPr>
                <w:rFonts w:ascii="宋体"/>
              </w:rPr>
            </w:pPr>
          </w:p>
        </w:tc>
        <w:tc>
          <w:tcPr>
            <w:tcW w:w="0" w:type="auto"/>
            <w:shd w:val="clear" w:color="auto" w:fill="auto"/>
          </w:tcPr>
          <w:p w14:paraId="33DA8D7B" w14:textId="77777777" w:rsidR="004D6A64" w:rsidRDefault="004D6A64">
            <w:pPr>
              <w:rPr>
                <w:rFonts w:ascii="宋体"/>
              </w:rPr>
            </w:pPr>
          </w:p>
        </w:tc>
      </w:tr>
      <w:tr w:rsidR="004D6A64" w14:paraId="33DA8D80" w14:textId="77777777">
        <w:trPr>
          <w:jc w:val="center"/>
        </w:trPr>
        <w:tc>
          <w:tcPr>
            <w:tcW w:w="0" w:type="auto"/>
            <w:gridSpan w:val="9"/>
            <w:shd w:val="clear" w:color="auto" w:fill="auto"/>
            <w:tcMar>
              <w:top w:w="40" w:type="dxa"/>
              <w:left w:w="20" w:type="dxa"/>
              <w:bottom w:w="40" w:type="dxa"/>
              <w:right w:w="20" w:type="dxa"/>
            </w:tcMar>
            <w:vAlign w:val="bottom"/>
          </w:tcPr>
          <w:p w14:paraId="33DA8D7D"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21" w:anchor="if3e0e1bf9ecd4bf69551d7a85f98d64a_163" w:history="1">
              <w:r>
                <w:rPr>
                  <w:rStyle w:val="a5"/>
                  <w:rFonts w:ascii="Times New Roman" w:eastAsia="宋体" w:hAnsi="Times New Roman"/>
                  <w:b/>
                  <w:bCs/>
                  <w:sz w:val="20"/>
                  <w:szCs w:val="20"/>
                </w:rPr>
                <w:t>PART II — OTHER INFORMATION</w:t>
              </w:r>
            </w:hyperlink>
          </w:p>
        </w:tc>
        <w:tc>
          <w:tcPr>
            <w:tcW w:w="0" w:type="auto"/>
            <w:gridSpan w:val="3"/>
            <w:shd w:val="clear" w:color="auto" w:fill="auto"/>
          </w:tcPr>
          <w:p w14:paraId="33DA8D7E" w14:textId="77777777" w:rsidR="004D6A64" w:rsidRDefault="004D6A64">
            <w:pPr>
              <w:rPr>
                <w:rFonts w:ascii="宋体"/>
                <w:vanish/>
              </w:rPr>
            </w:pPr>
          </w:p>
        </w:tc>
        <w:tc>
          <w:tcPr>
            <w:tcW w:w="0" w:type="auto"/>
            <w:gridSpan w:val="3"/>
            <w:shd w:val="clear" w:color="auto" w:fill="auto"/>
          </w:tcPr>
          <w:p w14:paraId="33DA8D7F" w14:textId="77777777" w:rsidR="004D6A64" w:rsidRDefault="004D6A64">
            <w:pPr>
              <w:rPr>
                <w:rFonts w:ascii="宋体"/>
                <w:vanish/>
              </w:rPr>
            </w:pPr>
          </w:p>
        </w:tc>
      </w:tr>
      <w:tr w:rsidR="004D6A64" w14:paraId="33DA8D8A" w14:textId="77777777">
        <w:trPr>
          <w:jc w:val="center"/>
        </w:trPr>
        <w:tc>
          <w:tcPr>
            <w:tcW w:w="0" w:type="auto"/>
            <w:gridSpan w:val="3"/>
            <w:shd w:val="clear" w:color="auto" w:fill="auto"/>
            <w:tcMar>
              <w:top w:w="40" w:type="dxa"/>
              <w:left w:w="20" w:type="dxa"/>
              <w:bottom w:w="40" w:type="dxa"/>
              <w:right w:w="20" w:type="dxa"/>
            </w:tcMar>
            <w:vAlign w:val="bottom"/>
          </w:tcPr>
          <w:p w14:paraId="33DA8D81" w14:textId="77777777" w:rsidR="004D6A64" w:rsidRDefault="00506CD6">
            <w:pPr>
              <w:pBdr>
                <w:top w:val="none" w:sz="0" w:space="0" w:color="auto"/>
                <w:left w:val="none" w:sz="0" w:space="0" w:color="auto"/>
                <w:bottom w:val="none" w:sz="0" w:space="0" w:color="auto"/>
                <w:right w:val="none" w:sz="0" w:space="0" w:color="auto"/>
              </w:pBdr>
              <w:textAlignment w:val="bottom"/>
            </w:pPr>
            <w:hyperlink r:id="rId22" w:anchor="if3e0e1bf9ecd4bf69551d7a85f98d64a_166" w:history="1">
              <w:r>
                <w:rPr>
                  <w:rStyle w:val="a5"/>
                  <w:rFonts w:ascii="Times New Roman" w:eastAsia="宋体" w:hAnsi="Times New Roman"/>
                  <w:sz w:val="20"/>
                  <w:szCs w:val="20"/>
                </w:rPr>
                <w:t>Item 1.</w:t>
              </w:r>
            </w:hyperlink>
          </w:p>
        </w:tc>
        <w:tc>
          <w:tcPr>
            <w:tcW w:w="0" w:type="auto"/>
            <w:gridSpan w:val="3"/>
            <w:shd w:val="clear" w:color="auto" w:fill="auto"/>
            <w:tcMar>
              <w:top w:w="40" w:type="dxa"/>
              <w:left w:w="20" w:type="dxa"/>
              <w:bottom w:w="40" w:type="dxa"/>
              <w:right w:w="20" w:type="dxa"/>
            </w:tcMar>
            <w:vAlign w:val="bottom"/>
          </w:tcPr>
          <w:p w14:paraId="33DA8D82" w14:textId="77777777" w:rsidR="004D6A64" w:rsidRDefault="00506CD6">
            <w:pPr>
              <w:pBdr>
                <w:top w:val="none" w:sz="0" w:space="0" w:color="auto"/>
                <w:left w:val="none" w:sz="0" w:space="0" w:color="auto"/>
                <w:bottom w:val="none" w:sz="0" w:space="0" w:color="auto"/>
                <w:right w:val="none" w:sz="0" w:space="0" w:color="auto"/>
              </w:pBdr>
              <w:textAlignment w:val="bottom"/>
            </w:pPr>
            <w:hyperlink r:id="rId23" w:anchor="if3e0e1bf9ecd4bf69551d7a85f98d64a_166" w:history="1">
              <w:r>
                <w:rPr>
                  <w:rStyle w:val="a5"/>
                  <w:rFonts w:ascii="Times New Roman" w:eastAsia="宋体" w:hAnsi="Times New Roman"/>
                  <w:sz w:val="20"/>
                  <w:szCs w:val="20"/>
                </w:rPr>
                <w:t>Legal Proceedings</w:t>
              </w:r>
            </w:hyperlink>
          </w:p>
        </w:tc>
        <w:tc>
          <w:tcPr>
            <w:tcW w:w="0" w:type="auto"/>
            <w:gridSpan w:val="3"/>
            <w:shd w:val="clear" w:color="auto" w:fill="auto"/>
            <w:tcMar>
              <w:top w:w="40" w:type="dxa"/>
              <w:left w:w="20" w:type="dxa"/>
              <w:bottom w:w="40" w:type="dxa"/>
              <w:right w:w="20" w:type="dxa"/>
            </w:tcMar>
            <w:vAlign w:val="bottom"/>
          </w:tcPr>
          <w:p w14:paraId="33DA8D83"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24" w:anchor="if3e0e1bf9ecd4bf69551d7a85f98d64a_166" w:history="1">
              <w:r>
                <w:rPr>
                  <w:rStyle w:val="a5"/>
                  <w:rFonts w:ascii="Times New Roman" w:eastAsia="宋体" w:hAnsi="Times New Roman"/>
                  <w:sz w:val="20"/>
                  <w:szCs w:val="20"/>
                </w:rPr>
                <w:t>95</w:t>
              </w:r>
            </w:hyperlink>
          </w:p>
        </w:tc>
        <w:tc>
          <w:tcPr>
            <w:tcW w:w="0" w:type="auto"/>
            <w:shd w:val="clear" w:color="auto" w:fill="auto"/>
          </w:tcPr>
          <w:p w14:paraId="33DA8D84" w14:textId="77777777" w:rsidR="004D6A64" w:rsidRDefault="004D6A64">
            <w:pPr>
              <w:rPr>
                <w:rFonts w:ascii="宋体"/>
              </w:rPr>
            </w:pPr>
          </w:p>
        </w:tc>
        <w:tc>
          <w:tcPr>
            <w:tcW w:w="0" w:type="auto"/>
            <w:shd w:val="clear" w:color="auto" w:fill="auto"/>
          </w:tcPr>
          <w:p w14:paraId="33DA8D85" w14:textId="77777777" w:rsidR="004D6A64" w:rsidRDefault="004D6A64">
            <w:pPr>
              <w:rPr>
                <w:rFonts w:ascii="宋体"/>
              </w:rPr>
            </w:pPr>
          </w:p>
        </w:tc>
        <w:tc>
          <w:tcPr>
            <w:tcW w:w="0" w:type="auto"/>
            <w:shd w:val="clear" w:color="auto" w:fill="auto"/>
          </w:tcPr>
          <w:p w14:paraId="33DA8D86" w14:textId="77777777" w:rsidR="004D6A64" w:rsidRDefault="004D6A64">
            <w:pPr>
              <w:rPr>
                <w:rFonts w:ascii="宋体"/>
              </w:rPr>
            </w:pPr>
          </w:p>
        </w:tc>
        <w:tc>
          <w:tcPr>
            <w:tcW w:w="0" w:type="auto"/>
            <w:shd w:val="clear" w:color="auto" w:fill="auto"/>
          </w:tcPr>
          <w:p w14:paraId="33DA8D87" w14:textId="77777777" w:rsidR="004D6A64" w:rsidRDefault="004D6A64">
            <w:pPr>
              <w:rPr>
                <w:rFonts w:ascii="宋体"/>
              </w:rPr>
            </w:pPr>
          </w:p>
        </w:tc>
        <w:tc>
          <w:tcPr>
            <w:tcW w:w="0" w:type="auto"/>
            <w:shd w:val="clear" w:color="auto" w:fill="auto"/>
          </w:tcPr>
          <w:p w14:paraId="33DA8D88" w14:textId="77777777" w:rsidR="004D6A64" w:rsidRDefault="004D6A64">
            <w:pPr>
              <w:rPr>
                <w:rFonts w:ascii="宋体"/>
              </w:rPr>
            </w:pPr>
          </w:p>
        </w:tc>
        <w:tc>
          <w:tcPr>
            <w:tcW w:w="0" w:type="auto"/>
            <w:shd w:val="clear" w:color="auto" w:fill="auto"/>
          </w:tcPr>
          <w:p w14:paraId="33DA8D89" w14:textId="77777777" w:rsidR="004D6A64" w:rsidRDefault="004D6A64">
            <w:pPr>
              <w:rPr>
                <w:rFonts w:ascii="宋体"/>
              </w:rPr>
            </w:pPr>
          </w:p>
        </w:tc>
      </w:tr>
      <w:tr w:rsidR="004D6A64" w14:paraId="33DA8D94" w14:textId="77777777">
        <w:trPr>
          <w:jc w:val="center"/>
        </w:trPr>
        <w:tc>
          <w:tcPr>
            <w:tcW w:w="0" w:type="auto"/>
            <w:gridSpan w:val="3"/>
            <w:shd w:val="clear" w:color="auto" w:fill="auto"/>
            <w:tcMar>
              <w:top w:w="40" w:type="dxa"/>
              <w:left w:w="20" w:type="dxa"/>
              <w:bottom w:w="40" w:type="dxa"/>
              <w:right w:w="20" w:type="dxa"/>
            </w:tcMar>
            <w:vAlign w:val="bottom"/>
          </w:tcPr>
          <w:p w14:paraId="33DA8D8B" w14:textId="77777777" w:rsidR="004D6A64" w:rsidRDefault="00506CD6">
            <w:pPr>
              <w:pBdr>
                <w:top w:val="none" w:sz="0" w:space="0" w:color="auto"/>
                <w:left w:val="none" w:sz="0" w:space="0" w:color="auto"/>
                <w:bottom w:val="none" w:sz="0" w:space="0" w:color="auto"/>
                <w:right w:val="none" w:sz="0" w:space="0" w:color="auto"/>
              </w:pBdr>
              <w:textAlignment w:val="bottom"/>
            </w:pPr>
            <w:hyperlink r:id="rId25" w:anchor="if3e0e1bf9ecd4bf69551d7a85f98d64a_169" w:history="1">
              <w:r>
                <w:rPr>
                  <w:rStyle w:val="a5"/>
                  <w:rFonts w:ascii="Times New Roman" w:eastAsia="宋体" w:hAnsi="Times New Roman"/>
                  <w:sz w:val="20"/>
                  <w:szCs w:val="20"/>
                </w:rPr>
                <w:t>Item 1A.</w:t>
              </w:r>
            </w:hyperlink>
          </w:p>
        </w:tc>
        <w:tc>
          <w:tcPr>
            <w:tcW w:w="0" w:type="auto"/>
            <w:gridSpan w:val="3"/>
            <w:shd w:val="clear" w:color="auto" w:fill="auto"/>
            <w:tcMar>
              <w:top w:w="40" w:type="dxa"/>
              <w:left w:w="20" w:type="dxa"/>
              <w:bottom w:w="40" w:type="dxa"/>
              <w:right w:w="20" w:type="dxa"/>
            </w:tcMar>
            <w:vAlign w:val="bottom"/>
          </w:tcPr>
          <w:p w14:paraId="33DA8D8C" w14:textId="77777777" w:rsidR="004D6A64" w:rsidRDefault="00506CD6">
            <w:pPr>
              <w:pBdr>
                <w:top w:val="none" w:sz="0" w:space="0" w:color="auto"/>
                <w:left w:val="none" w:sz="0" w:space="0" w:color="auto"/>
                <w:bottom w:val="none" w:sz="0" w:space="0" w:color="auto"/>
                <w:right w:val="none" w:sz="0" w:space="0" w:color="auto"/>
              </w:pBdr>
              <w:textAlignment w:val="bottom"/>
            </w:pPr>
            <w:hyperlink r:id="rId26" w:anchor="if3e0e1bf9ecd4bf69551d7a85f98d64a_169" w:history="1">
              <w:r>
                <w:rPr>
                  <w:rStyle w:val="a5"/>
                  <w:rFonts w:ascii="Times New Roman" w:eastAsia="宋体" w:hAnsi="Times New Roman"/>
                  <w:sz w:val="20"/>
                  <w:szCs w:val="20"/>
                </w:rPr>
                <w:t>Risk Factors</w:t>
              </w:r>
            </w:hyperlink>
          </w:p>
        </w:tc>
        <w:tc>
          <w:tcPr>
            <w:tcW w:w="0" w:type="auto"/>
            <w:gridSpan w:val="3"/>
            <w:shd w:val="clear" w:color="auto" w:fill="auto"/>
            <w:tcMar>
              <w:top w:w="40" w:type="dxa"/>
              <w:left w:w="20" w:type="dxa"/>
              <w:bottom w:w="40" w:type="dxa"/>
              <w:right w:w="20" w:type="dxa"/>
            </w:tcMar>
            <w:vAlign w:val="bottom"/>
          </w:tcPr>
          <w:p w14:paraId="33DA8D8D"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27" w:anchor="if3e0e1bf9ecd4bf69551d7a85f98d64a_169" w:history="1">
              <w:r>
                <w:rPr>
                  <w:rStyle w:val="a5"/>
                  <w:rFonts w:ascii="Times New Roman" w:eastAsia="宋体" w:hAnsi="Times New Roman"/>
                  <w:sz w:val="20"/>
                  <w:szCs w:val="20"/>
                </w:rPr>
                <w:t>95</w:t>
              </w:r>
            </w:hyperlink>
          </w:p>
        </w:tc>
        <w:tc>
          <w:tcPr>
            <w:tcW w:w="0" w:type="auto"/>
            <w:shd w:val="clear" w:color="auto" w:fill="auto"/>
          </w:tcPr>
          <w:p w14:paraId="33DA8D8E" w14:textId="77777777" w:rsidR="004D6A64" w:rsidRDefault="004D6A64">
            <w:pPr>
              <w:rPr>
                <w:rFonts w:ascii="宋体"/>
              </w:rPr>
            </w:pPr>
          </w:p>
        </w:tc>
        <w:tc>
          <w:tcPr>
            <w:tcW w:w="0" w:type="auto"/>
            <w:shd w:val="clear" w:color="auto" w:fill="auto"/>
          </w:tcPr>
          <w:p w14:paraId="33DA8D8F" w14:textId="77777777" w:rsidR="004D6A64" w:rsidRDefault="004D6A64">
            <w:pPr>
              <w:rPr>
                <w:rFonts w:ascii="宋体"/>
              </w:rPr>
            </w:pPr>
          </w:p>
        </w:tc>
        <w:tc>
          <w:tcPr>
            <w:tcW w:w="0" w:type="auto"/>
            <w:shd w:val="clear" w:color="auto" w:fill="auto"/>
          </w:tcPr>
          <w:p w14:paraId="33DA8D90" w14:textId="77777777" w:rsidR="004D6A64" w:rsidRDefault="004D6A64">
            <w:pPr>
              <w:rPr>
                <w:rFonts w:ascii="宋体"/>
              </w:rPr>
            </w:pPr>
          </w:p>
        </w:tc>
        <w:tc>
          <w:tcPr>
            <w:tcW w:w="0" w:type="auto"/>
            <w:shd w:val="clear" w:color="auto" w:fill="auto"/>
          </w:tcPr>
          <w:p w14:paraId="33DA8D91" w14:textId="77777777" w:rsidR="004D6A64" w:rsidRDefault="004D6A64">
            <w:pPr>
              <w:rPr>
                <w:rFonts w:ascii="宋体"/>
              </w:rPr>
            </w:pPr>
          </w:p>
        </w:tc>
        <w:tc>
          <w:tcPr>
            <w:tcW w:w="0" w:type="auto"/>
            <w:shd w:val="clear" w:color="auto" w:fill="auto"/>
          </w:tcPr>
          <w:p w14:paraId="33DA8D92" w14:textId="77777777" w:rsidR="004D6A64" w:rsidRDefault="004D6A64">
            <w:pPr>
              <w:rPr>
                <w:rFonts w:ascii="宋体"/>
              </w:rPr>
            </w:pPr>
          </w:p>
        </w:tc>
        <w:tc>
          <w:tcPr>
            <w:tcW w:w="0" w:type="auto"/>
            <w:shd w:val="clear" w:color="auto" w:fill="auto"/>
          </w:tcPr>
          <w:p w14:paraId="33DA8D93" w14:textId="77777777" w:rsidR="004D6A64" w:rsidRDefault="004D6A64">
            <w:pPr>
              <w:rPr>
                <w:rFonts w:ascii="宋体"/>
              </w:rPr>
            </w:pPr>
          </w:p>
        </w:tc>
      </w:tr>
      <w:tr w:rsidR="004D6A64" w14:paraId="33DA8D9E" w14:textId="77777777">
        <w:trPr>
          <w:jc w:val="center"/>
        </w:trPr>
        <w:tc>
          <w:tcPr>
            <w:tcW w:w="0" w:type="auto"/>
            <w:gridSpan w:val="3"/>
            <w:shd w:val="clear" w:color="auto" w:fill="auto"/>
            <w:tcMar>
              <w:top w:w="40" w:type="dxa"/>
              <w:left w:w="20" w:type="dxa"/>
              <w:bottom w:w="40" w:type="dxa"/>
              <w:right w:w="20" w:type="dxa"/>
            </w:tcMar>
            <w:vAlign w:val="bottom"/>
          </w:tcPr>
          <w:p w14:paraId="33DA8D95" w14:textId="77777777" w:rsidR="004D6A64" w:rsidRDefault="00506CD6">
            <w:pPr>
              <w:pBdr>
                <w:top w:val="none" w:sz="0" w:space="0" w:color="auto"/>
                <w:left w:val="none" w:sz="0" w:space="0" w:color="auto"/>
                <w:bottom w:val="none" w:sz="0" w:space="0" w:color="auto"/>
                <w:right w:val="none" w:sz="0" w:space="0" w:color="auto"/>
              </w:pBdr>
              <w:textAlignment w:val="bottom"/>
            </w:pPr>
            <w:hyperlink r:id="rId28" w:anchor="if3e0e1bf9ecd4bf69551d7a85f98d64a_172" w:history="1">
              <w:r>
                <w:rPr>
                  <w:rStyle w:val="a5"/>
                  <w:rFonts w:ascii="Times New Roman" w:eastAsia="宋体" w:hAnsi="Times New Roman"/>
                  <w:sz w:val="20"/>
                  <w:szCs w:val="20"/>
                </w:rPr>
                <w:t>Item 2.</w:t>
              </w:r>
            </w:hyperlink>
          </w:p>
        </w:tc>
        <w:tc>
          <w:tcPr>
            <w:tcW w:w="0" w:type="auto"/>
            <w:gridSpan w:val="3"/>
            <w:shd w:val="clear" w:color="auto" w:fill="auto"/>
            <w:tcMar>
              <w:top w:w="40" w:type="dxa"/>
              <w:left w:w="20" w:type="dxa"/>
              <w:bottom w:w="40" w:type="dxa"/>
              <w:right w:w="20" w:type="dxa"/>
            </w:tcMar>
            <w:vAlign w:val="bottom"/>
          </w:tcPr>
          <w:p w14:paraId="33DA8D96" w14:textId="77777777" w:rsidR="004D6A64" w:rsidRDefault="00506CD6">
            <w:pPr>
              <w:pBdr>
                <w:top w:val="none" w:sz="0" w:space="0" w:color="auto"/>
                <w:left w:val="none" w:sz="0" w:space="0" w:color="auto"/>
                <w:bottom w:val="none" w:sz="0" w:space="0" w:color="auto"/>
                <w:right w:val="none" w:sz="0" w:space="0" w:color="auto"/>
              </w:pBdr>
              <w:textAlignment w:val="bottom"/>
            </w:pPr>
            <w:hyperlink r:id="rId29" w:anchor="if3e0e1bf9ecd4bf69551d7a85f98d64a_172" w:history="1">
              <w:r>
                <w:rPr>
                  <w:rStyle w:val="a5"/>
                  <w:rFonts w:ascii="Times New Roman" w:eastAsia="宋体" w:hAnsi="Times New Roman"/>
                  <w:sz w:val="20"/>
                  <w:szCs w:val="20"/>
                </w:rPr>
                <w:t>Unregistered Sales of Equity Securities and Use of Proceeds</w:t>
              </w:r>
            </w:hyperlink>
          </w:p>
        </w:tc>
        <w:tc>
          <w:tcPr>
            <w:tcW w:w="0" w:type="auto"/>
            <w:gridSpan w:val="3"/>
            <w:shd w:val="clear" w:color="auto" w:fill="auto"/>
            <w:tcMar>
              <w:top w:w="40" w:type="dxa"/>
              <w:left w:w="20" w:type="dxa"/>
              <w:bottom w:w="40" w:type="dxa"/>
              <w:right w:w="20" w:type="dxa"/>
            </w:tcMar>
            <w:vAlign w:val="bottom"/>
          </w:tcPr>
          <w:p w14:paraId="33DA8D97"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30" w:anchor="if3e0e1bf9ecd4bf69551d7a85f98d64a_172" w:history="1">
              <w:r>
                <w:rPr>
                  <w:rStyle w:val="a5"/>
                  <w:rFonts w:ascii="Times New Roman" w:eastAsia="宋体" w:hAnsi="Times New Roman"/>
                  <w:sz w:val="20"/>
                  <w:szCs w:val="20"/>
                </w:rPr>
                <w:t>95</w:t>
              </w:r>
            </w:hyperlink>
          </w:p>
        </w:tc>
        <w:tc>
          <w:tcPr>
            <w:tcW w:w="0" w:type="auto"/>
            <w:shd w:val="clear" w:color="auto" w:fill="auto"/>
          </w:tcPr>
          <w:p w14:paraId="33DA8D98" w14:textId="77777777" w:rsidR="004D6A64" w:rsidRDefault="004D6A64">
            <w:pPr>
              <w:rPr>
                <w:rFonts w:ascii="宋体"/>
              </w:rPr>
            </w:pPr>
          </w:p>
        </w:tc>
        <w:tc>
          <w:tcPr>
            <w:tcW w:w="0" w:type="auto"/>
            <w:shd w:val="clear" w:color="auto" w:fill="auto"/>
          </w:tcPr>
          <w:p w14:paraId="33DA8D99" w14:textId="77777777" w:rsidR="004D6A64" w:rsidRDefault="004D6A64">
            <w:pPr>
              <w:rPr>
                <w:rFonts w:ascii="宋体"/>
              </w:rPr>
            </w:pPr>
          </w:p>
        </w:tc>
        <w:tc>
          <w:tcPr>
            <w:tcW w:w="0" w:type="auto"/>
            <w:shd w:val="clear" w:color="auto" w:fill="auto"/>
          </w:tcPr>
          <w:p w14:paraId="33DA8D9A" w14:textId="77777777" w:rsidR="004D6A64" w:rsidRDefault="004D6A64">
            <w:pPr>
              <w:rPr>
                <w:rFonts w:ascii="宋体"/>
              </w:rPr>
            </w:pPr>
          </w:p>
        </w:tc>
        <w:tc>
          <w:tcPr>
            <w:tcW w:w="0" w:type="auto"/>
            <w:shd w:val="clear" w:color="auto" w:fill="auto"/>
          </w:tcPr>
          <w:p w14:paraId="33DA8D9B" w14:textId="77777777" w:rsidR="004D6A64" w:rsidRDefault="004D6A64">
            <w:pPr>
              <w:rPr>
                <w:rFonts w:ascii="宋体"/>
              </w:rPr>
            </w:pPr>
          </w:p>
        </w:tc>
        <w:tc>
          <w:tcPr>
            <w:tcW w:w="0" w:type="auto"/>
            <w:shd w:val="clear" w:color="auto" w:fill="auto"/>
          </w:tcPr>
          <w:p w14:paraId="33DA8D9C" w14:textId="77777777" w:rsidR="004D6A64" w:rsidRDefault="004D6A64">
            <w:pPr>
              <w:rPr>
                <w:rFonts w:ascii="宋体"/>
              </w:rPr>
            </w:pPr>
          </w:p>
        </w:tc>
        <w:tc>
          <w:tcPr>
            <w:tcW w:w="0" w:type="auto"/>
            <w:shd w:val="clear" w:color="auto" w:fill="auto"/>
          </w:tcPr>
          <w:p w14:paraId="33DA8D9D" w14:textId="77777777" w:rsidR="004D6A64" w:rsidRDefault="004D6A64">
            <w:pPr>
              <w:rPr>
                <w:rFonts w:ascii="宋体"/>
              </w:rPr>
            </w:pPr>
          </w:p>
        </w:tc>
      </w:tr>
      <w:tr w:rsidR="004D6A64" w14:paraId="33DA8DA8" w14:textId="77777777">
        <w:trPr>
          <w:jc w:val="center"/>
        </w:trPr>
        <w:tc>
          <w:tcPr>
            <w:tcW w:w="0" w:type="auto"/>
            <w:gridSpan w:val="3"/>
            <w:shd w:val="clear" w:color="auto" w:fill="auto"/>
            <w:tcMar>
              <w:top w:w="40" w:type="dxa"/>
              <w:left w:w="20" w:type="dxa"/>
              <w:bottom w:w="40" w:type="dxa"/>
              <w:right w:w="20" w:type="dxa"/>
            </w:tcMar>
            <w:vAlign w:val="bottom"/>
          </w:tcPr>
          <w:p w14:paraId="33DA8D9F" w14:textId="77777777" w:rsidR="004D6A64" w:rsidRDefault="00506CD6">
            <w:pPr>
              <w:pBdr>
                <w:top w:val="none" w:sz="0" w:space="0" w:color="auto"/>
                <w:left w:val="none" w:sz="0" w:space="0" w:color="auto"/>
                <w:bottom w:val="none" w:sz="0" w:space="0" w:color="auto"/>
                <w:right w:val="none" w:sz="0" w:space="0" w:color="auto"/>
              </w:pBdr>
              <w:textAlignment w:val="bottom"/>
            </w:pPr>
            <w:hyperlink r:id="rId31" w:anchor="if3e0e1bf9ecd4bf69551d7a85f98d64a_175" w:history="1">
              <w:r>
                <w:rPr>
                  <w:rStyle w:val="a5"/>
                  <w:rFonts w:ascii="Times New Roman" w:eastAsia="宋体" w:hAnsi="Times New Roman"/>
                  <w:sz w:val="20"/>
                  <w:szCs w:val="20"/>
                </w:rPr>
                <w:t>Item 6.</w:t>
              </w:r>
            </w:hyperlink>
          </w:p>
        </w:tc>
        <w:tc>
          <w:tcPr>
            <w:tcW w:w="0" w:type="auto"/>
            <w:gridSpan w:val="3"/>
            <w:shd w:val="clear" w:color="auto" w:fill="auto"/>
            <w:tcMar>
              <w:top w:w="40" w:type="dxa"/>
              <w:left w:w="20" w:type="dxa"/>
              <w:bottom w:w="40" w:type="dxa"/>
              <w:right w:w="20" w:type="dxa"/>
            </w:tcMar>
            <w:vAlign w:val="bottom"/>
          </w:tcPr>
          <w:p w14:paraId="33DA8DA0" w14:textId="77777777" w:rsidR="004D6A64" w:rsidRDefault="00506CD6">
            <w:pPr>
              <w:pBdr>
                <w:top w:val="none" w:sz="0" w:space="0" w:color="auto"/>
                <w:left w:val="none" w:sz="0" w:space="0" w:color="auto"/>
                <w:bottom w:val="none" w:sz="0" w:space="0" w:color="auto"/>
                <w:right w:val="none" w:sz="0" w:space="0" w:color="auto"/>
              </w:pBdr>
              <w:textAlignment w:val="bottom"/>
            </w:pPr>
            <w:hyperlink r:id="rId32" w:anchor="if3e0e1bf9ecd4bf69551d7a85f98d64a_175" w:history="1">
              <w:r>
                <w:rPr>
                  <w:rStyle w:val="a5"/>
                  <w:rFonts w:ascii="Times New Roman" w:eastAsia="宋体" w:hAnsi="Times New Roman"/>
                  <w:sz w:val="20"/>
                  <w:szCs w:val="20"/>
                </w:rPr>
                <w:t>Exhibits</w:t>
              </w:r>
            </w:hyperlink>
          </w:p>
        </w:tc>
        <w:tc>
          <w:tcPr>
            <w:tcW w:w="0" w:type="auto"/>
            <w:gridSpan w:val="3"/>
            <w:shd w:val="clear" w:color="auto" w:fill="auto"/>
            <w:tcMar>
              <w:top w:w="40" w:type="dxa"/>
              <w:left w:w="20" w:type="dxa"/>
              <w:bottom w:w="40" w:type="dxa"/>
              <w:right w:w="20" w:type="dxa"/>
            </w:tcMar>
            <w:vAlign w:val="bottom"/>
          </w:tcPr>
          <w:p w14:paraId="33DA8DA1"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33" w:anchor="if3e0e1bf9ecd4bf69551d7a85f98d64a_175" w:history="1">
              <w:r>
                <w:rPr>
                  <w:rStyle w:val="a5"/>
                  <w:rFonts w:ascii="Times New Roman" w:eastAsia="宋体" w:hAnsi="Times New Roman"/>
                  <w:sz w:val="20"/>
                  <w:szCs w:val="20"/>
                </w:rPr>
                <w:t>96</w:t>
              </w:r>
            </w:hyperlink>
          </w:p>
        </w:tc>
        <w:tc>
          <w:tcPr>
            <w:tcW w:w="0" w:type="auto"/>
            <w:shd w:val="clear" w:color="auto" w:fill="auto"/>
          </w:tcPr>
          <w:p w14:paraId="33DA8DA2" w14:textId="77777777" w:rsidR="004D6A64" w:rsidRDefault="004D6A64">
            <w:pPr>
              <w:rPr>
                <w:rFonts w:ascii="宋体"/>
              </w:rPr>
            </w:pPr>
          </w:p>
        </w:tc>
        <w:tc>
          <w:tcPr>
            <w:tcW w:w="0" w:type="auto"/>
            <w:shd w:val="clear" w:color="auto" w:fill="auto"/>
          </w:tcPr>
          <w:p w14:paraId="33DA8DA3" w14:textId="77777777" w:rsidR="004D6A64" w:rsidRDefault="004D6A64">
            <w:pPr>
              <w:rPr>
                <w:rFonts w:ascii="宋体"/>
              </w:rPr>
            </w:pPr>
          </w:p>
        </w:tc>
        <w:tc>
          <w:tcPr>
            <w:tcW w:w="0" w:type="auto"/>
            <w:shd w:val="clear" w:color="auto" w:fill="auto"/>
          </w:tcPr>
          <w:p w14:paraId="33DA8DA4" w14:textId="77777777" w:rsidR="004D6A64" w:rsidRDefault="004D6A64">
            <w:pPr>
              <w:rPr>
                <w:rFonts w:ascii="宋体"/>
              </w:rPr>
            </w:pPr>
          </w:p>
        </w:tc>
        <w:tc>
          <w:tcPr>
            <w:tcW w:w="0" w:type="auto"/>
            <w:shd w:val="clear" w:color="auto" w:fill="auto"/>
          </w:tcPr>
          <w:p w14:paraId="33DA8DA5" w14:textId="77777777" w:rsidR="004D6A64" w:rsidRDefault="004D6A64">
            <w:pPr>
              <w:rPr>
                <w:rFonts w:ascii="宋体"/>
              </w:rPr>
            </w:pPr>
          </w:p>
        </w:tc>
        <w:tc>
          <w:tcPr>
            <w:tcW w:w="0" w:type="auto"/>
            <w:shd w:val="clear" w:color="auto" w:fill="auto"/>
          </w:tcPr>
          <w:p w14:paraId="33DA8DA6" w14:textId="77777777" w:rsidR="004D6A64" w:rsidRDefault="004D6A64">
            <w:pPr>
              <w:rPr>
                <w:rFonts w:ascii="宋体"/>
              </w:rPr>
            </w:pPr>
          </w:p>
        </w:tc>
        <w:tc>
          <w:tcPr>
            <w:tcW w:w="0" w:type="auto"/>
            <w:shd w:val="clear" w:color="auto" w:fill="auto"/>
          </w:tcPr>
          <w:p w14:paraId="33DA8DA7" w14:textId="77777777" w:rsidR="004D6A64" w:rsidRDefault="004D6A64">
            <w:pPr>
              <w:rPr>
                <w:rFonts w:ascii="宋体"/>
              </w:rPr>
            </w:pPr>
          </w:p>
        </w:tc>
      </w:tr>
      <w:tr w:rsidR="004D6A64" w14:paraId="33DA8DB2" w14:textId="77777777">
        <w:trPr>
          <w:jc w:val="center"/>
        </w:trPr>
        <w:tc>
          <w:tcPr>
            <w:tcW w:w="0" w:type="auto"/>
            <w:gridSpan w:val="3"/>
            <w:shd w:val="clear" w:color="auto" w:fill="auto"/>
            <w:tcMar>
              <w:top w:w="40" w:type="dxa"/>
              <w:left w:w="20" w:type="dxa"/>
              <w:bottom w:w="40" w:type="dxa"/>
              <w:right w:w="20" w:type="dxa"/>
            </w:tcMar>
            <w:vAlign w:val="bottom"/>
          </w:tcPr>
          <w:p w14:paraId="33DA8DA9" w14:textId="77777777" w:rsidR="004D6A64" w:rsidRDefault="00506CD6">
            <w:pPr>
              <w:pBdr>
                <w:top w:val="none" w:sz="0" w:space="0" w:color="auto"/>
                <w:left w:val="none" w:sz="0" w:space="0" w:color="auto"/>
                <w:bottom w:val="none" w:sz="0" w:space="0" w:color="auto"/>
                <w:right w:val="none" w:sz="0" w:space="0" w:color="auto"/>
              </w:pBdr>
              <w:textAlignment w:val="bottom"/>
            </w:pPr>
            <w:hyperlink r:id="rId34" w:anchor="if3e0e1bf9ecd4bf69551d7a85f98d64a_178" w:history="1">
              <w:r>
                <w:rPr>
                  <w:rStyle w:val="a5"/>
                  <w:rFonts w:ascii="Times New Roman" w:eastAsia="宋体" w:hAnsi="Times New Roman"/>
                  <w:sz w:val="20"/>
                  <w:szCs w:val="20"/>
                </w:rPr>
                <w:t>Signatures</w:t>
              </w:r>
            </w:hyperlink>
          </w:p>
        </w:tc>
        <w:tc>
          <w:tcPr>
            <w:tcW w:w="0" w:type="auto"/>
            <w:gridSpan w:val="3"/>
            <w:shd w:val="clear" w:color="auto" w:fill="auto"/>
            <w:tcMar>
              <w:left w:w="20" w:type="dxa"/>
              <w:right w:w="20" w:type="dxa"/>
            </w:tcMar>
            <w:vAlign w:val="bottom"/>
          </w:tcPr>
          <w:p w14:paraId="33DA8DAA"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8DAB"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35" w:anchor="if3e0e1bf9ecd4bf69551d7a85f98d64a_178" w:history="1">
              <w:r>
                <w:rPr>
                  <w:rStyle w:val="a5"/>
                  <w:rFonts w:ascii="Times New Roman" w:eastAsia="宋体" w:hAnsi="Times New Roman"/>
                  <w:sz w:val="20"/>
                  <w:szCs w:val="20"/>
                </w:rPr>
                <w:t>97</w:t>
              </w:r>
            </w:hyperlink>
          </w:p>
        </w:tc>
        <w:tc>
          <w:tcPr>
            <w:tcW w:w="0" w:type="auto"/>
            <w:shd w:val="clear" w:color="auto" w:fill="auto"/>
          </w:tcPr>
          <w:p w14:paraId="33DA8DAC" w14:textId="77777777" w:rsidR="004D6A64" w:rsidRDefault="004D6A64">
            <w:pPr>
              <w:rPr>
                <w:rFonts w:ascii="宋体"/>
              </w:rPr>
            </w:pPr>
          </w:p>
        </w:tc>
        <w:tc>
          <w:tcPr>
            <w:tcW w:w="0" w:type="auto"/>
            <w:shd w:val="clear" w:color="auto" w:fill="auto"/>
          </w:tcPr>
          <w:p w14:paraId="33DA8DAD" w14:textId="77777777" w:rsidR="004D6A64" w:rsidRDefault="004D6A64">
            <w:pPr>
              <w:rPr>
                <w:rFonts w:ascii="宋体"/>
              </w:rPr>
            </w:pPr>
          </w:p>
        </w:tc>
        <w:tc>
          <w:tcPr>
            <w:tcW w:w="0" w:type="auto"/>
            <w:shd w:val="clear" w:color="auto" w:fill="auto"/>
          </w:tcPr>
          <w:p w14:paraId="33DA8DAE" w14:textId="77777777" w:rsidR="004D6A64" w:rsidRDefault="004D6A64">
            <w:pPr>
              <w:rPr>
                <w:rFonts w:ascii="宋体"/>
              </w:rPr>
            </w:pPr>
          </w:p>
        </w:tc>
        <w:tc>
          <w:tcPr>
            <w:tcW w:w="0" w:type="auto"/>
            <w:shd w:val="clear" w:color="auto" w:fill="auto"/>
          </w:tcPr>
          <w:p w14:paraId="33DA8DAF" w14:textId="77777777" w:rsidR="004D6A64" w:rsidRDefault="004D6A64">
            <w:pPr>
              <w:rPr>
                <w:rFonts w:ascii="宋体"/>
              </w:rPr>
            </w:pPr>
          </w:p>
        </w:tc>
        <w:tc>
          <w:tcPr>
            <w:tcW w:w="0" w:type="auto"/>
            <w:shd w:val="clear" w:color="auto" w:fill="auto"/>
          </w:tcPr>
          <w:p w14:paraId="33DA8DB0" w14:textId="77777777" w:rsidR="004D6A64" w:rsidRDefault="004D6A64">
            <w:pPr>
              <w:rPr>
                <w:rFonts w:ascii="宋体"/>
              </w:rPr>
            </w:pPr>
          </w:p>
        </w:tc>
        <w:tc>
          <w:tcPr>
            <w:tcW w:w="0" w:type="auto"/>
            <w:shd w:val="clear" w:color="auto" w:fill="auto"/>
          </w:tcPr>
          <w:p w14:paraId="33DA8DB1" w14:textId="77777777" w:rsidR="004D6A64" w:rsidRDefault="004D6A64">
            <w:pPr>
              <w:rPr>
                <w:rFonts w:ascii="宋体"/>
              </w:rPr>
            </w:pPr>
          </w:p>
        </w:tc>
      </w:tr>
    </w:tbl>
    <w:p w14:paraId="33DA8DB3" w14:textId="77777777" w:rsidR="004D6A64" w:rsidRDefault="004D6A64">
      <w:pPr>
        <w:jc w:val="center"/>
      </w:pPr>
    </w:p>
    <w:p w14:paraId="33DA8DB4" w14:textId="77777777" w:rsidR="004D6A64" w:rsidRDefault="004D6A64">
      <w:pPr>
        <w:jc w:val="center"/>
      </w:pPr>
    </w:p>
    <w:p w14:paraId="33DA8DB5" w14:textId="77777777" w:rsidR="004D6A64" w:rsidRDefault="004D6A64">
      <w:pPr>
        <w:jc w:val="center"/>
      </w:pPr>
    </w:p>
    <w:p w14:paraId="33DA8DB6" w14:textId="77777777" w:rsidR="004D6A64" w:rsidRDefault="00506CD6">
      <w:pPr>
        <w:jc w:val="center"/>
      </w:pPr>
      <w:r>
        <w:rPr>
          <w:rFonts w:ascii="Times New Roman" w:eastAsia="宋体" w:hAnsi="Times New Roman"/>
          <w:color w:val="000000"/>
          <w:sz w:val="20"/>
          <w:szCs w:val="20"/>
        </w:rPr>
        <w:t>3</w:t>
      </w:r>
    </w:p>
    <w:p w14:paraId="33DA8DB7" w14:textId="77777777" w:rsidR="004D6A64" w:rsidRDefault="004D6A64">
      <w:pPr>
        <w:jc w:val="center"/>
      </w:pPr>
    </w:p>
    <w:p w14:paraId="33DA8DB8" w14:textId="77777777" w:rsidR="004D6A64" w:rsidRDefault="00506CD6">
      <w:r>
        <w:pict w14:anchorId="33DAFAC7">
          <v:rect id="_x0000_i1027" style="width:415.3pt;height:1.5pt" o:hralign="center" o:hrstd="t" o:hr="t" fillcolor="#a0a0a0" stroked="f"/>
        </w:pict>
      </w:r>
    </w:p>
    <w:p w14:paraId="33DA8DB9" w14:textId="77777777" w:rsidR="004D6A64" w:rsidRDefault="00506CD6">
      <w:hyperlink r:id="rId36" w:anchor="if3e0e1bf9ecd4bf69551d7a85f98d64a_10" w:history="1">
        <w:r>
          <w:rPr>
            <w:rStyle w:val="a5"/>
            <w:rFonts w:ascii="Times New Roman" w:eastAsia="宋体" w:hAnsi="Times New Roman"/>
            <w:sz w:val="20"/>
            <w:szCs w:val="20"/>
          </w:rPr>
          <w:t>Table of Contents</w:t>
        </w:r>
      </w:hyperlink>
    </w:p>
    <w:p w14:paraId="33DA8DBA" w14:textId="77777777" w:rsidR="004D6A64" w:rsidRDefault="004D6A64">
      <w:pPr>
        <w:jc w:val="center"/>
      </w:pPr>
    </w:p>
    <w:p w14:paraId="33DA8DBB" w14:textId="77777777" w:rsidR="004D6A64" w:rsidRDefault="00506CD6">
      <w:pPr>
        <w:jc w:val="center"/>
      </w:pPr>
      <w:r>
        <w:rPr>
          <w:rFonts w:ascii="Times New Roman" w:eastAsia="宋体" w:hAnsi="Times New Roman"/>
          <w:b/>
          <w:bCs/>
          <w:color w:val="000000"/>
          <w:sz w:val="20"/>
          <w:szCs w:val="20"/>
        </w:rPr>
        <w:t>PART I — FINANCIAL INFORMATION</w:t>
      </w:r>
    </w:p>
    <w:p w14:paraId="33DA8DBC" w14:textId="77777777" w:rsidR="004D6A64" w:rsidRDefault="004D6A64">
      <w:pPr>
        <w:jc w:val="center"/>
      </w:pPr>
    </w:p>
    <w:p w14:paraId="33DA8DBD" w14:textId="77777777" w:rsidR="004D6A64" w:rsidRDefault="00506CD6">
      <w:r>
        <w:rPr>
          <w:rFonts w:ascii="Times New Roman" w:eastAsia="宋体" w:hAnsi="Times New Roman"/>
          <w:b/>
          <w:bCs/>
          <w:color w:val="000000"/>
          <w:sz w:val="20"/>
          <w:szCs w:val="20"/>
        </w:rPr>
        <w:t xml:space="preserve">ITEM 1 </w:t>
      </w:r>
      <w:r>
        <w:rPr>
          <w:rFonts w:ascii="Times New Roman" w:eastAsia="宋体" w:hAnsi="Times New Roman"/>
          <w:b/>
          <w:bCs/>
          <w:i/>
          <w:iCs/>
          <w:color w:val="000000"/>
          <w:sz w:val="20"/>
          <w:szCs w:val="20"/>
        </w:rPr>
        <w:t>—</w:t>
      </w:r>
      <w:r>
        <w:rPr>
          <w:rFonts w:ascii="Times New Roman" w:eastAsia="宋体" w:hAnsi="Times New Roman"/>
          <w:b/>
          <w:bCs/>
          <w:color w:val="000000"/>
          <w:sz w:val="20"/>
          <w:szCs w:val="20"/>
        </w:rPr>
        <w:t xml:space="preserve"> FINANCIAL STATEMENTS (UNAUDITED)</w:t>
      </w:r>
    </w:p>
    <w:p w14:paraId="33DA8DBE" w14:textId="77777777" w:rsidR="004D6A64" w:rsidRDefault="004D6A64"/>
    <w:p w14:paraId="33DA8DBF" w14:textId="77777777" w:rsidR="004D6A64" w:rsidRDefault="00506CD6">
      <w:pPr>
        <w:jc w:val="center"/>
      </w:pPr>
      <w:r>
        <w:rPr>
          <w:rFonts w:ascii="Times New Roman" w:eastAsia="宋体" w:hAnsi="Times New Roman"/>
          <w:b/>
          <w:bCs/>
          <w:color w:val="000000"/>
          <w:sz w:val="20"/>
          <w:szCs w:val="20"/>
        </w:rPr>
        <w:t>Index</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7707"/>
        <w:gridCol w:w="38"/>
        <w:gridCol w:w="72"/>
        <w:gridCol w:w="415"/>
        <w:gridCol w:w="36"/>
      </w:tblGrid>
      <w:tr w:rsidR="004D6A64" w14:paraId="33DA8DC6" w14:textId="77777777">
        <w:trPr>
          <w:jc w:val="center"/>
        </w:trPr>
        <w:tc>
          <w:tcPr>
            <w:tcW w:w="50" w:type="pct"/>
            <w:shd w:val="clear" w:color="auto" w:fill="auto"/>
          </w:tcPr>
          <w:p w14:paraId="33DA8DC0" w14:textId="77777777" w:rsidR="004D6A64" w:rsidRDefault="004D6A64">
            <w:pPr>
              <w:rPr>
                <w:rFonts w:ascii="宋体"/>
              </w:rPr>
            </w:pPr>
          </w:p>
        </w:tc>
        <w:tc>
          <w:tcPr>
            <w:tcW w:w="4630" w:type="pct"/>
            <w:shd w:val="clear" w:color="auto" w:fill="auto"/>
          </w:tcPr>
          <w:p w14:paraId="33DA8DC1" w14:textId="77777777" w:rsidR="004D6A64" w:rsidRDefault="004D6A64">
            <w:pPr>
              <w:rPr>
                <w:rFonts w:ascii="宋体"/>
              </w:rPr>
            </w:pPr>
          </w:p>
        </w:tc>
        <w:tc>
          <w:tcPr>
            <w:tcW w:w="5" w:type="pct"/>
            <w:shd w:val="clear" w:color="auto" w:fill="auto"/>
          </w:tcPr>
          <w:p w14:paraId="33DA8DC2" w14:textId="77777777" w:rsidR="004D6A64" w:rsidRDefault="004D6A64">
            <w:pPr>
              <w:rPr>
                <w:rFonts w:ascii="宋体"/>
              </w:rPr>
            </w:pPr>
          </w:p>
        </w:tc>
        <w:tc>
          <w:tcPr>
            <w:tcW w:w="50" w:type="pct"/>
            <w:shd w:val="clear" w:color="auto" w:fill="auto"/>
          </w:tcPr>
          <w:p w14:paraId="33DA8DC3" w14:textId="77777777" w:rsidR="004D6A64" w:rsidRDefault="004D6A64">
            <w:pPr>
              <w:rPr>
                <w:rFonts w:ascii="宋体"/>
              </w:rPr>
            </w:pPr>
          </w:p>
        </w:tc>
        <w:tc>
          <w:tcPr>
            <w:tcW w:w="259" w:type="pct"/>
            <w:shd w:val="clear" w:color="auto" w:fill="auto"/>
          </w:tcPr>
          <w:p w14:paraId="33DA8DC4" w14:textId="77777777" w:rsidR="004D6A64" w:rsidRDefault="004D6A64">
            <w:pPr>
              <w:rPr>
                <w:rFonts w:ascii="宋体"/>
              </w:rPr>
            </w:pPr>
          </w:p>
        </w:tc>
        <w:tc>
          <w:tcPr>
            <w:tcW w:w="5" w:type="pct"/>
            <w:shd w:val="clear" w:color="auto" w:fill="auto"/>
          </w:tcPr>
          <w:p w14:paraId="33DA8DC5" w14:textId="77777777" w:rsidR="004D6A64" w:rsidRDefault="004D6A64">
            <w:pPr>
              <w:rPr>
                <w:rFonts w:ascii="宋体"/>
              </w:rPr>
            </w:pPr>
          </w:p>
        </w:tc>
      </w:tr>
      <w:tr w:rsidR="004D6A64" w14:paraId="33DA8DC9" w14:textId="77777777">
        <w:trPr>
          <w:jc w:val="center"/>
        </w:trPr>
        <w:tc>
          <w:tcPr>
            <w:tcW w:w="0" w:type="auto"/>
            <w:gridSpan w:val="3"/>
            <w:shd w:val="clear" w:color="auto" w:fill="auto"/>
            <w:tcMar>
              <w:left w:w="20" w:type="dxa"/>
              <w:right w:w="20" w:type="dxa"/>
            </w:tcMar>
            <w:vAlign w:val="bottom"/>
          </w:tcPr>
          <w:p w14:paraId="33DA8DC7"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8DC8" w14:textId="77777777" w:rsidR="004D6A64" w:rsidRDefault="00506CD6">
            <w:pPr>
              <w:jc w:val="center"/>
              <w:textAlignment w:val="bottom"/>
            </w:pPr>
            <w:r>
              <w:rPr>
                <w:rFonts w:ascii="Times New Roman" w:eastAsia="宋体" w:hAnsi="Times New Roman"/>
                <w:b/>
                <w:bCs/>
                <w:color w:val="000000"/>
                <w:sz w:val="20"/>
                <w:szCs w:val="20"/>
              </w:rPr>
              <w:t>Page</w:t>
            </w:r>
          </w:p>
        </w:tc>
      </w:tr>
      <w:tr w:rsidR="004D6A64" w14:paraId="33DA8DCC" w14:textId="77777777">
        <w:trPr>
          <w:jc w:val="center"/>
        </w:trPr>
        <w:tc>
          <w:tcPr>
            <w:tcW w:w="0" w:type="auto"/>
            <w:gridSpan w:val="3"/>
            <w:shd w:val="clear" w:color="auto" w:fill="auto"/>
            <w:tcMar>
              <w:top w:w="40" w:type="dxa"/>
              <w:left w:w="20" w:type="dxa"/>
              <w:bottom w:w="40" w:type="dxa"/>
              <w:right w:w="20" w:type="dxa"/>
            </w:tcMar>
            <w:vAlign w:val="bottom"/>
          </w:tcPr>
          <w:p w14:paraId="33DA8DCA" w14:textId="77777777" w:rsidR="004D6A64" w:rsidRDefault="00506CD6">
            <w:pPr>
              <w:pBdr>
                <w:top w:val="none" w:sz="0" w:space="0" w:color="auto"/>
                <w:left w:val="none" w:sz="0" w:space="0" w:color="auto"/>
                <w:bottom w:val="none" w:sz="0" w:space="0" w:color="auto"/>
                <w:right w:val="none" w:sz="0" w:space="0" w:color="auto"/>
              </w:pBdr>
              <w:textAlignment w:val="bottom"/>
            </w:pPr>
            <w:hyperlink r:id="rId37" w:anchor="if3e0e1bf9ecd4bf69551d7a85f98d64a_19" w:history="1">
              <w:r>
                <w:rPr>
                  <w:rStyle w:val="a5"/>
                  <w:rFonts w:ascii="Times New Roman" w:eastAsia="宋体" w:hAnsi="Times New Roman"/>
                  <w:sz w:val="20"/>
                  <w:szCs w:val="20"/>
                </w:rPr>
                <w:t xml:space="preserve">Condensed Consolidated Statements of Financial Position as of </w:t>
              </w:r>
            </w:hyperlink>
            <w:hyperlink r:id="rId38" w:anchor="if3e0e1bf9ecd4bf69551d7a85f98d64a_19" w:history="1">
              <w:r>
                <w:rPr>
                  <w:rStyle w:val="a5"/>
                  <w:rFonts w:ascii="Times New Roman" w:eastAsia="宋体" w:hAnsi="Times New Roman"/>
                  <w:sz w:val="20"/>
                  <w:szCs w:val="20"/>
                </w:rPr>
                <w:t>J</w:t>
              </w:r>
            </w:hyperlink>
            <w:hyperlink r:id="rId39" w:anchor="if3e0e1bf9ecd4bf69551d7a85f98d64a_19" w:history="1">
              <w:r>
                <w:rPr>
                  <w:rStyle w:val="a5"/>
                  <w:rFonts w:ascii="Times New Roman" w:eastAsia="宋体" w:hAnsi="Times New Roman"/>
                  <w:sz w:val="20"/>
                  <w:szCs w:val="20"/>
                </w:rPr>
                <w:t>uly</w:t>
              </w:r>
            </w:hyperlink>
            <w:hyperlink r:id="rId40" w:anchor="if3e0e1bf9ecd4bf69551d7a85f98d64a_19" w:history="1">
              <w:r>
                <w:rPr>
                  <w:rStyle w:val="a5"/>
                  <w:rFonts w:ascii="Times New Roman" w:eastAsia="宋体" w:hAnsi="Times New Roman"/>
                  <w:sz w:val="20"/>
                  <w:szCs w:val="20"/>
                </w:rPr>
                <w:t xml:space="preserve"> </w:t>
              </w:r>
            </w:hyperlink>
            <w:hyperlink r:id="rId41" w:anchor="if3e0e1bf9ecd4bf69551d7a85f98d64a_19" w:history="1">
              <w:r>
                <w:rPr>
                  <w:rStyle w:val="a5"/>
                  <w:rFonts w:ascii="Times New Roman" w:eastAsia="宋体" w:hAnsi="Times New Roman"/>
                  <w:sz w:val="20"/>
                  <w:szCs w:val="20"/>
                </w:rPr>
                <w:t>3</w:t>
              </w:r>
            </w:hyperlink>
            <w:hyperlink r:id="rId42" w:anchor="if3e0e1bf9ecd4bf69551d7a85f98d64a_19" w:history="1">
              <w:r>
                <w:rPr>
                  <w:rStyle w:val="a5"/>
                  <w:rFonts w:ascii="Times New Roman" w:eastAsia="宋体" w:hAnsi="Times New Roman"/>
                  <w:sz w:val="20"/>
                  <w:szCs w:val="20"/>
                </w:rPr>
                <w:t>1, 2020 and January 31, 2020</w:t>
              </w:r>
            </w:hyperlink>
          </w:p>
        </w:tc>
        <w:tc>
          <w:tcPr>
            <w:tcW w:w="0" w:type="auto"/>
            <w:gridSpan w:val="3"/>
            <w:shd w:val="clear" w:color="auto" w:fill="auto"/>
            <w:tcMar>
              <w:top w:w="40" w:type="dxa"/>
              <w:left w:w="20" w:type="dxa"/>
              <w:bottom w:w="40" w:type="dxa"/>
              <w:right w:w="20" w:type="dxa"/>
            </w:tcMar>
            <w:vAlign w:val="bottom"/>
          </w:tcPr>
          <w:p w14:paraId="33DA8DCB"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43" w:anchor="if3e0e1bf9ecd4bf69551d7a85f98d64a_19" w:history="1">
              <w:r>
                <w:rPr>
                  <w:rStyle w:val="a5"/>
                  <w:rFonts w:ascii="Times New Roman" w:eastAsia="宋体" w:hAnsi="Times New Roman"/>
                  <w:sz w:val="20"/>
                  <w:szCs w:val="20"/>
                </w:rPr>
                <w:t>5</w:t>
              </w:r>
            </w:hyperlink>
          </w:p>
        </w:tc>
      </w:tr>
      <w:tr w:rsidR="004D6A64" w14:paraId="33DA8DCF" w14:textId="77777777">
        <w:trPr>
          <w:jc w:val="center"/>
        </w:trPr>
        <w:tc>
          <w:tcPr>
            <w:tcW w:w="0" w:type="auto"/>
            <w:gridSpan w:val="3"/>
            <w:shd w:val="clear" w:color="auto" w:fill="auto"/>
            <w:tcMar>
              <w:top w:w="40" w:type="dxa"/>
              <w:left w:w="20" w:type="dxa"/>
              <w:bottom w:w="40" w:type="dxa"/>
              <w:right w:w="20" w:type="dxa"/>
            </w:tcMar>
            <w:vAlign w:val="bottom"/>
          </w:tcPr>
          <w:p w14:paraId="33DA8DCD" w14:textId="77777777" w:rsidR="004D6A64" w:rsidRDefault="00506CD6">
            <w:pPr>
              <w:pBdr>
                <w:top w:val="none" w:sz="0" w:space="0" w:color="auto"/>
                <w:left w:val="none" w:sz="0" w:space="0" w:color="auto"/>
                <w:bottom w:val="none" w:sz="0" w:space="0" w:color="auto"/>
                <w:right w:val="none" w:sz="0" w:space="0" w:color="auto"/>
              </w:pBdr>
              <w:textAlignment w:val="bottom"/>
            </w:pPr>
            <w:hyperlink r:id="rId44" w:anchor="if3e0e1bf9ecd4bf69551d7a85f98d64a_25" w:history="1">
              <w:r>
                <w:rPr>
                  <w:rStyle w:val="a5"/>
                  <w:rFonts w:ascii="Times New Roman" w:eastAsia="宋体" w:hAnsi="Times New Roman"/>
                  <w:sz w:val="20"/>
                  <w:szCs w:val="20"/>
                </w:rPr>
                <w:t xml:space="preserve">Condensed Consolidated Statements of Income (Loss) for the three </w:t>
              </w:r>
            </w:hyperlink>
            <w:hyperlink r:id="rId45" w:anchor="if3e0e1bf9ecd4bf69551d7a85f98d64a_25" w:history="1">
              <w:r>
                <w:rPr>
                  <w:rStyle w:val="a5"/>
                  <w:rFonts w:ascii="Times New Roman" w:eastAsia="宋体" w:hAnsi="Times New Roman"/>
                  <w:sz w:val="20"/>
                  <w:szCs w:val="20"/>
                </w:rPr>
                <w:t xml:space="preserve">and six </w:t>
              </w:r>
            </w:hyperlink>
            <w:hyperlink r:id="rId46" w:anchor="if3e0e1bf9ecd4bf69551d7a85f98d64a_25" w:history="1">
              <w:r>
                <w:rPr>
                  <w:rStyle w:val="a5"/>
                  <w:rFonts w:ascii="Times New Roman" w:eastAsia="宋体" w:hAnsi="Times New Roman"/>
                  <w:sz w:val="20"/>
                  <w:szCs w:val="20"/>
                </w:rPr>
                <w:t xml:space="preserve">months ended </w:t>
              </w:r>
            </w:hyperlink>
            <w:hyperlink r:id="rId47" w:anchor="if3e0e1bf9ecd4bf69551d7a85f98d64a_25" w:history="1">
              <w:r>
                <w:rPr>
                  <w:rStyle w:val="a5"/>
                  <w:rFonts w:ascii="Times New Roman" w:eastAsia="宋体" w:hAnsi="Times New Roman"/>
                  <w:sz w:val="20"/>
                  <w:szCs w:val="20"/>
                </w:rPr>
                <w:t xml:space="preserve">July </w:t>
              </w:r>
            </w:hyperlink>
            <w:hyperlink r:id="rId48" w:anchor="if3e0e1bf9ecd4bf69551d7a85f98d64a_25" w:history="1">
              <w:r>
                <w:rPr>
                  <w:rStyle w:val="a5"/>
                  <w:rFonts w:ascii="Times New Roman" w:eastAsia="宋体" w:hAnsi="Times New Roman"/>
                  <w:sz w:val="20"/>
                  <w:szCs w:val="20"/>
                </w:rPr>
                <w:t>3</w:t>
              </w:r>
            </w:hyperlink>
            <w:hyperlink r:id="rId49" w:anchor="if3e0e1bf9ecd4bf69551d7a85f98d64a_25" w:history="1">
              <w:r>
                <w:rPr>
                  <w:rStyle w:val="a5"/>
                  <w:rFonts w:ascii="Times New Roman" w:eastAsia="宋体" w:hAnsi="Times New Roman"/>
                  <w:sz w:val="20"/>
                  <w:szCs w:val="20"/>
                </w:rPr>
                <w:t xml:space="preserve">1, 2020 and </w:t>
              </w:r>
            </w:hyperlink>
            <w:hyperlink r:id="rId50" w:anchor="if3e0e1bf9ecd4bf69551d7a85f98d64a_25" w:history="1">
              <w:r>
                <w:rPr>
                  <w:rStyle w:val="a5"/>
                  <w:rFonts w:ascii="Times New Roman" w:eastAsia="宋体" w:hAnsi="Times New Roman"/>
                  <w:sz w:val="20"/>
                  <w:szCs w:val="20"/>
                </w:rPr>
                <w:t>August</w:t>
              </w:r>
            </w:hyperlink>
            <w:hyperlink r:id="rId51" w:anchor="if3e0e1bf9ecd4bf69551d7a85f98d64a_25" w:history="1">
              <w:r>
                <w:rPr>
                  <w:rStyle w:val="a5"/>
                  <w:rFonts w:ascii="Times New Roman" w:eastAsia="宋体" w:hAnsi="Times New Roman"/>
                  <w:sz w:val="20"/>
                  <w:szCs w:val="20"/>
                </w:rPr>
                <w:t xml:space="preserve"> </w:t>
              </w:r>
            </w:hyperlink>
            <w:hyperlink r:id="rId52" w:anchor="if3e0e1bf9ecd4bf69551d7a85f98d64a_25" w:history="1">
              <w:r>
                <w:rPr>
                  <w:rStyle w:val="a5"/>
                  <w:rFonts w:ascii="Times New Roman" w:eastAsia="宋体" w:hAnsi="Times New Roman"/>
                  <w:sz w:val="20"/>
                  <w:szCs w:val="20"/>
                </w:rPr>
                <w:t>2</w:t>
              </w:r>
            </w:hyperlink>
            <w:hyperlink r:id="rId53" w:anchor="if3e0e1bf9ecd4bf69551d7a85f98d64a_25" w:history="1">
              <w:r>
                <w:rPr>
                  <w:rStyle w:val="a5"/>
                  <w:rFonts w:ascii="Times New Roman" w:eastAsia="宋体" w:hAnsi="Times New Roman"/>
                  <w:sz w:val="20"/>
                  <w:szCs w:val="20"/>
                </w:rPr>
                <w:t>, 2019</w:t>
              </w:r>
            </w:hyperlink>
          </w:p>
        </w:tc>
        <w:tc>
          <w:tcPr>
            <w:tcW w:w="0" w:type="auto"/>
            <w:gridSpan w:val="3"/>
            <w:shd w:val="clear" w:color="auto" w:fill="auto"/>
            <w:tcMar>
              <w:top w:w="40" w:type="dxa"/>
              <w:left w:w="20" w:type="dxa"/>
              <w:bottom w:w="40" w:type="dxa"/>
              <w:right w:w="20" w:type="dxa"/>
            </w:tcMar>
            <w:vAlign w:val="bottom"/>
          </w:tcPr>
          <w:p w14:paraId="33DA8DCE"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54" w:anchor="if3e0e1bf9ecd4bf69551d7a85f98d64a_25" w:history="1">
              <w:r>
                <w:rPr>
                  <w:rStyle w:val="a5"/>
                  <w:rFonts w:ascii="Times New Roman" w:eastAsia="宋体" w:hAnsi="Times New Roman"/>
                  <w:sz w:val="20"/>
                  <w:szCs w:val="20"/>
                </w:rPr>
                <w:t>6</w:t>
              </w:r>
            </w:hyperlink>
          </w:p>
        </w:tc>
      </w:tr>
      <w:tr w:rsidR="004D6A64" w14:paraId="33DA8DD2" w14:textId="77777777">
        <w:trPr>
          <w:jc w:val="center"/>
        </w:trPr>
        <w:tc>
          <w:tcPr>
            <w:tcW w:w="0" w:type="auto"/>
            <w:gridSpan w:val="3"/>
            <w:shd w:val="clear" w:color="auto" w:fill="auto"/>
            <w:tcMar>
              <w:top w:w="40" w:type="dxa"/>
              <w:left w:w="20" w:type="dxa"/>
              <w:bottom w:w="40" w:type="dxa"/>
              <w:right w:w="20" w:type="dxa"/>
            </w:tcMar>
            <w:vAlign w:val="bottom"/>
          </w:tcPr>
          <w:p w14:paraId="33DA8DD0" w14:textId="77777777" w:rsidR="004D6A64" w:rsidRDefault="00506CD6">
            <w:pPr>
              <w:pBdr>
                <w:top w:val="none" w:sz="0" w:space="0" w:color="auto"/>
                <w:left w:val="none" w:sz="0" w:space="0" w:color="auto"/>
                <w:bottom w:val="none" w:sz="0" w:space="0" w:color="auto"/>
                <w:right w:val="none" w:sz="0" w:space="0" w:color="auto"/>
              </w:pBdr>
              <w:textAlignment w:val="bottom"/>
            </w:pPr>
            <w:hyperlink r:id="rId55" w:anchor="if3e0e1bf9ecd4bf69551d7a85f98d64a_28" w:history="1">
              <w:r>
                <w:rPr>
                  <w:rStyle w:val="a5"/>
                  <w:rFonts w:ascii="Times New Roman" w:eastAsia="宋体" w:hAnsi="Times New Roman"/>
                  <w:sz w:val="20"/>
                  <w:szCs w:val="20"/>
                </w:rPr>
                <w:t>Condensed Consolidated Statements of Comprehensive Income (Loss) for the three</w:t>
              </w:r>
            </w:hyperlink>
            <w:hyperlink r:id="rId56" w:anchor="if3e0e1bf9ecd4bf69551d7a85f98d64a_28" w:history="1">
              <w:r>
                <w:rPr>
                  <w:rStyle w:val="a5"/>
                  <w:rFonts w:ascii="Times New Roman" w:eastAsia="宋体" w:hAnsi="Times New Roman"/>
                  <w:sz w:val="20"/>
                  <w:szCs w:val="20"/>
                </w:rPr>
                <w:t xml:space="preserve"> and six</w:t>
              </w:r>
            </w:hyperlink>
            <w:hyperlink r:id="rId57" w:anchor="if3e0e1bf9ecd4bf69551d7a85f98d64a_28" w:history="1">
              <w:r>
                <w:rPr>
                  <w:rStyle w:val="a5"/>
                  <w:rFonts w:ascii="Times New Roman" w:eastAsia="宋体" w:hAnsi="Times New Roman"/>
                  <w:sz w:val="20"/>
                  <w:szCs w:val="20"/>
                </w:rPr>
                <w:t xml:space="preserve"> month</w:t>
              </w:r>
              <w:r>
                <w:rPr>
                  <w:rStyle w:val="a5"/>
                  <w:rFonts w:ascii="Times New Roman" w:eastAsia="宋体" w:hAnsi="Times New Roman"/>
                  <w:sz w:val="20"/>
                  <w:szCs w:val="20"/>
                </w:rPr>
                <w:t xml:space="preserve">s ended </w:t>
              </w:r>
            </w:hyperlink>
            <w:hyperlink r:id="rId58" w:anchor="if3e0e1bf9ecd4bf69551d7a85f98d64a_28" w:history="1">
              <w:r>
                <w:rPr>
                  <w:rStyle w:val="a5"/>
                  <w:rFonts w:ascii="Times New Roman" w:eastAsia="宋体" w:hAnsi="Times New Roman"/>
                  <w:sz w:val="20"/>
                  <w:szCs w:val="20"/>
                </w:rPr>
                <w:t>July</w:t>
              </w:r>
            </w:hyperlink>
            <w:hyperlink r:id="rId59" w:anchor="if3e0e1bf9ecd4bf69551d7a85f98d64a_28" w:history="1">
              <w:r>
                <w:rPr>
                  <w:rStyle w:val="a5"/>
                  <w:rFonts w:ascii="Times New Roman" w:eastAsia="宋体" w:hAnsi="Times New Roman"/>
                  <w:sz w:val="20"/>
                  <w:szCs w:val="20"/>
                </w:rPr>
                <w:t xml:space="preserve"> </w:t>
              </w:r>
            </w:hyperlink>
            <w:hyperlink r:id="rId60" w:anchor="if3e0e1bf9ecd4bf69551d7a85f98d64a_28" w:history="1">
              <w:r>
                <w:rPr>
                  <w:rStyle w:val="a5"/>
                  <w:rFonts w:ascii="Times New Roman" w:eastAsia="宋体" w:hAnsi="Times New Roman"/>
                  <w:sz w:val="20"/>
                  <w:szCs w:val="20"/>
                </w:rPr>
                <w:t>3</w:t>
              </w:r>
            </w:hyperlink>
            <w:hyperlink r:id="rId61" w:anchor="if3e0e1bf9ecd4bf69551d7a85f98d64a_28" w:history="1">
              <w:r>
                <w:rPr>
                  <w:rStyle w:val="a5"/>
                  <w:rFonts w:ascii="Times New Roman" w:eastAsia="宋体" w:hAnsi="Times New Roman"/>
                  <w:sz w:val="20"/>
                  <w:szCs w:val="20"/>
                </w:rPr>
                <w:t xml:space="preserve">1, 2020 and </w:t>
              </w:r>
            </w:hyperlink>
            <w:hyperlink r:id="rId62" w:anchor="if3e0e1bf9ecd4bf69551d7a85f98d64a_28" w:history="1">
              <w:r>
                <w:rPr>
                  <w:rStyle w:val="a5"/>
                  <w:rFonts w:ascii="Times New Roman" w:eastAsia="宋体" w:hAnsi="Times New Roman"/>
                  <w:sz w:val="20"/>
                  <w:szCs w:val="20"/>
                </w:rPr>
                <w:t>August 2</w:t>
              </w:r>
            </w:hyperlink>
            <w:hyperlink r:id="rId63" w:anchor="if3e0e1bf9ecd4bf69551d7a85f98d64a_28" w:history="1">
              <w:r>
                <w:rPr>
                  <w:rStyle w:val="a5"/>
                  <w:rFonts w:ascii="Times New Roman" w:eastAsia="宋体" w:hAnsi="Times New Roman"/>
                  <w:sz w:val="20"/>
                  <w:szCs w:val="20"/>
                </w:rPr>
                <w:t>, 2019</w:t>
              </w:r>
            </w:hyperlink>
          </w:p>
        </w:tc>
        <w:tc>
          <w:tcPr>
            <w:tcW w:w="0" w:type="auto"/>
            <w:gridSpan w:val="3"/>
            <w:shd w:val="clear" w:color="auto" w:fill="auto"/>
            <w:tcMar>
              <w:top w:w="40" w:type="dxa"/>
              <w:left w:w="20" w:type="dxa"/>
              <w:bottom w:w="40" w:type="dxa"/>
              <w:right w:w="20" w:type="dxa"/>
            </w:tcMar>
            <w:vAlign w:val="bottom"/>
          </w:tcPr>
          <w:p w14:paraId="33DA8DD1"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64" w:anchor="if3e0e1bf9ecd4bf69551d7a85f98d64a_28" w:history="1">
              <w:r>
                <w:rPr>
                  <w:rStyle w:val="a5"/>
                  <w:rFonts w:ascii="Times New Roman" w:eastAsia="宋体" w:hAnsi="Times New Roman"/>
                  <w:sz w:val="20"/>
                  <w:szCs w:val="20"/>
                </w:rPr>
                <w:t>7</w:t>
              </w:r>
            </w:hyperlink>
          </w:p>
        </w:tc>
      </w:tr>
      <w:tr w:rsidR="004D6A64" w14:paraId="33DA8DD5" w14:textId="77777777">
        <w:trPr>
          <w:jc w:val="center"/>
        </w:trPr>
        <w:tc>
          <w:tcPr>
            <w:tcW w:w="0" w:type="auto"/>
            <w:gridSpan w:val="3"/>
            <w:shd w:val="clear" w:color="auto" w:fill="auto"/>
            <w:tcMar>
              <w:top w:w="40" w:type="dxa"/>
              <w:left w:w="20" w:type="dxa"/>
              <w:bottom w:w="40" w:type="dxa"/>
              <w:right w:w="20" w:type="dxa"/>
            </w:tcMar>
            <w:vAlign w:val="bottom"/>
          </w:tcPr>
          <w:p w14:paraId="33DA8DD3" w14:textId="77777777" w:rsidR="004D6A64" w:rsidRDefault="00506CD6">
            <w:pPr>
              <w:pBdr>
                <w:top w:val="none" w:sz="0" w:space="0" w:color="auto"/>
                <w:left w:val="none" w:sz="0" w:space="0" w:color="auto"/>
                <w:bottom w:val="none" w:sz="0" w:space="0" w:color="auto"/>
                <w:right w:val="none" w:sz="0" w:space="0" w:color="auto"/>
              </w:pBdr>
              <w:textAlignment w:val="bottom"/>
            </w:pPr>
            <w:hyperlink r:id="rId65" w:anchor="if3e0e1bf9ecd4bf69551d7a85f98d64a_34" w:history="1">
              <w:r>
                <w:rPr>
                  <w:rStyle w:val="a5"/>
                  <w:rFonts w:ascii="Times New Roman" w:eastAsia="宋体" w:hAnsi="Times New Roman"/>
                  <w:sz w:val="20"/>
                  <w:szCs w:val="20"/>
                </w:rPr>
                <w:t>Cond</w:t>
              </w:r>
              <w:r>
                <w:rPr>
                  <w:rStyle w:val="a5"/>
                  <w:rFonts w:ascii="Times New Roman" w:eastAsia="宋体" w:hAnsi="Times New Roman"/>
                  <w:sz w:val="20"/>
                  <w:szCs w:val="20"/>
                </w:rPr>
                <w:t xml:space="preserve">ensed Consolidated Statements of Cash Flows for the </w:t>
              </w:r>
            </w:hyperlink>
            <w:hyperlink r:id="rId66" w:anchor="if3e0e1bf9ecd4bf69551d7a85f98d64a_34" w:history="1">
              <w:r>
                <w:rPr>
                  <w:rStyle w:val="a5"/>
                  <w:rFonts w:ascii="Times New Roman" w:eastAsia="宋体" w:hAnsi="Times New Roman"/>
                  <w:sz w:val="20"/>
                  <w:szCs w:val="20"/>
                </w:rPr>
                <w:t>six</w:t>
              </w:r>
            </w:hyperlink>
            <w:hyperlink r:id="rId67" w:anchor="if3e0e1bf9ecd4bf69551d7a85f98d64a_34" w:history="1">
              <w:r>
                <w:rPr>
                  <w:rStyle w:val="a5"/>
                  <w:rFonts w:ascii="Times New Roman" w:eastAsia="宋体" w:hAnsi="Times New Roman"/>
                  <w:sz w:val="20"/>
                  <w:szCs w:val="20"/>
                </w:rPr>
                <w:t xml:space="preserve"> months ended </w:t>
              </w:r>
            </w:hyperlink>
            <w:hyperlink r:id="rId68" w:anchor="if3e0e1bf9ecd4bf69551d7a85f98d64a_34" w:history="1">
              <w:r>
                <w:rPr>
                  <w:rStyle w:val="a5"/>
                  <w:rFonts w:ascii="Times New Roman" w:eastAsia="宋体" w:hAnsi="Times New Roman"/>
                  <w:sz w:val="20"/>
                  <w:szCs w:val="20"/>
                </w:rPr>
                <w:t>July</w:t>
              </w:r>
            </w:hyperlink>
            <w:hyperlink r:id="rId69" w:anchor="if3e0e1bf9ecd4bf69551d7a85f98d64a_34" w:history="1">
              <w:r>
                <w:rPr>
                  <w:rStyle w:val="a5"/>
                  <w:rFonts w:ascii="Times New Roman" w:eastAsia="宋体" w:hAnsi="Times New Roman"/>
                  <w:sz w:val="20"/>
                  <w:szCs w:val="20"/>
                </w:rPr>
                <w:t xml:space="preserve"> </w:t>
              </w:r>
            </w:hyperlink>
            <w:hyperlink r:id="rId70" w:anchor="if3e0e1bf9ecd4bf69551d7a85f98d64a_34" w:history="1">
              <w:r>
                <w:rPr>
                  <w:rStyle w:val="a5"/>
                  <w:rFonts w:ascii="Times New Roman" w:eastAsia="宋体" w:hAnsi="Times New Roman"/>
                  <w:sz w:val="20"/>
                  <w:szCs w:val="20"/>
                </w:rPr>
                <w:t>3</w:t>
              </w:r>
            </w:hyperlink>
            <w:hyperlink r:id="rId71" w:anchor="if3e0e1bf9ecd4bf69551d7a85f98d64a_34" w:history="1">
              <w:r>
                <w:rPr>
                  <w:rStyle w:val="a5"/>
                  <w:rFonts w:ascii="Times New Roman" w:eastAsia="宋体" w:hAnsi="Times New Roman"/>
                  <w:sz w:val="20"/>
                  <w:szCs w:val="20"/>
                </w:rPr>
                <w:t xml:space="preserve">1, 2020 and </w:t>
              </w:r>
            </w:hyperlink>
            <w:hyperlink r:id="rId72" w:anchor="if3e0e1bf9ecd4bf69551d7a85f98d64a_34" w:history="1">
              <w:r>
                <w:rPr>
                  <w:rStyle w:val="a5"/>
                  <w:rFonts w:ascii="Times New Roman" w:eastAsia="宋体" w:hAnsi="Times New Roman"/>
                  <w:sz w:val="20"/>
                  <w:szCs w:val="20"/>
                </w:rPr>
                <w:t>August</w:t>
              </w:r>
            </w:hyperlink>
            <w:hyperlink r:id="rId73" w:anchor="if3e0e1bf9ecd4bf69551d7a85f98d64a_34" w:history="1">
              <w:r>
                <w:rPr>
                  <w:rStyle w:val="a5"/>
                  <w:rFonts w:ascii="Times New Roman" w:eastAsia="宋体" w:hAnsi="Times New Roman"/>
                  <w:sz w:val="20"/>
                  <w:szCs w:val="20"/>
                </w:rPr>
                <w:t xml:space="preserve"> </w:t>
              </w:r>
            </w:hyperlink>
            <w:hyperlink r:id="rId74" w:anchor="if3e0e1bf9ecd4bf69551d7a85f98d64a_34" w:history="1">
              <w:r>
                <w:rPr>
                  <w:rStyle w:val="a5"/>
                  <w:rFonts w:ascii="Times New Roman" w:eastAsia="宋体" w:hAnsi="Times New Roman"/>
                  <w:sz w:val="20"/>
                  <w:szCs w:val="20"/>
                </w:rPr>
                <w:t>2</w:t>
              </w:r>
            </w:hyperlink>
            <w:hyperlink r:id="rId75" w:anchor="if3e0e1bf9ecd4bf69551d7a85f98d64a_34" w:history="1">
              <w:r>
                <w:rPr>
                  <w:rStyle w:val="a5"/>
                  <w:rFonts w:ascii="Times New Roman" w:eastAsia="宋体" w:hAnsi="Times New Roman"/>
                  <w:sz w:val="20"/>
                  <w:szCs w:val="20"/>
                </w:rPr>
                <w:t>, 2019</w:t>
              </w:r>
            </w:hyperlink>
          </w:p>
        </w:tc>
        <w:tc>
          <w:tcPr>
            <w:tcW w:w="0" w:type="auto"/>
            <w:gridSpan w:val="3"/>
            <w:shd w:val="clear" w:color="auto" w:fill="auto"/>
            <w:tcMar>
              <w:top w:w="40" w:type="dxa"/>
              <w:left w:w="20" w:type="dxa"/>
              <w:bottom w:w="40" w:type="dxa"/>
              <w:right w:w="20" w:type="dxa"/>
            </w:tcMar>
            <w:vAlign w:val="bottom"/>
          </w:tcPr>
          <w:p w14:paraId="33DA8DD4"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76" w:anchor="if3e0e1bf9ecd4bf69551d7a85f98d64a_34" w:history="1">
              <w:r>
                <w:rPr>
                  <w:rStyle w:val="a5"/>
                  <w:rFonts w:ascii="Times New Roman" w:eastAsia="宋体" w:hAnsi="Times New Roman"/>
                  <w:sz w:val="20"/>
                  <w:szCs w:val="20"/>
                </w:rPr>
                <w:t>8</w:t>
              </w:r>
            </w:hyperlink>
          </w:p>
        </w:tc>
      </w:tr>
      <w:tr w:rsidR="004D6A64" w14:paraId="33DA8DD8" w14:textId="77777777">
        <w:trPr>
          <w:jc w:val="center"/>
        </w:trPr>
        <w:tc>
          <w:tcPr>
            <w:tcW w:w="0" w:type="auto"/>
            <w:gridSpan w:val="3"/>
            <w:shd w:val="clear" w:color="auto" w:fill="auto"/>
            <w:tcMar>
              <w:top w:w="40" w:type="dxa"/>
              <w:left w:w="20" w:type="dxa"/>
              <w:bottom w:w="40" w:type="dxa"/>
              <w:right w:w="20" w:type="dxa"/>
            </w:tcMar>
            <w:vAlign w:val="bottom"/>
          </w:tcPr>
          <w:p w14:paraId="33DA8DD6" w14:textId="77777777" w:rsidR="004D6A64" w:rsidRDefault="00506CD6">
            <w:pPr>
              <w:pBdr>
                <w:top w:val="none" w:sz="0" w:space="0" w:color="auto"/>
                <w:left w:val="none" w:sz="0" w:space="0" w:color="auto"/>
                <w:bottom w:val="none" w:sz="0" w:space="0" w:color="auto"/>
                <w:right w:val="none" w:sz="0" w:space="0" w:color="auto"/>
              </w:pBdr>
              <w:textAlignment w:val="bottom"/>
            </w:pPr>
            <w:hyperlink r:id="rId77" w:anchor="if3e0e1bf9ecd4bf69551d7a85f98d64a_37" w:history="1">
              <w:r>
                <w:rPr>
                  <w:rStyle w:val="a5"/>
                  <w:rFonts w:ascii="Times New Roman" w:eastAsia="宋体" w:hAnsi="Times New Roman"/>
                  <w:sz w:val="20"/>
                  <w:szCs w:val="20"/>
                </w:rPr>
                <w:t>Condensed Consolidated Statements of Stockholders’ Equity (Deficit) for the three</w:t>
              </w:r>
            </w:hyperlink>
            <w:hyperlink r:id="rId78" w:anchor="if3e0e1bf9ecd4bf69551d7a85f98d64a_37" w:history="1">
              <w:r>
                <w:rPr>
                  <w:rStyle w:val="a5"/>
                  <w:rFonts w:ascii="Times New Roman" w:eastAsia="宋体" w:hAnsi="Times New Roman"/>
                  <w:sz w:val="20"/>
                  <w:szCs w:val="20"/>
                </w:rPr>
                <w:t xml:space="preserve"> and six</w:t>
              </w:r>
            </w:hyperlink>
            <w:hyperlink r:id="rId79" w:anchor="if3e0e1bf9ecd4bf69551d7a85f98d64a_37" w:history="1">
              <w:r>
                <w:rPr>
                  <w:rStyle w:val="a5"/>
                  <w:rFonts w:ascii="Times New Roman" w:eastAsia="宋体" w:hAnsi="Times New Roman"/>
                  <w:sz w:val="20"/>
                  <w:szCs w:val="20"/>
                </w:rPr>
                <w:t xml:space="preserve"> months ended </w:t>
              </w:r>
            </w:hyperlink>
            <w:hyperlink r:id="rId80" w:anchor="if3e0e1bf9ecd4bf69551d7a85f98d64a_37" w:history="1">
              <w:r>
                <w:rPr>
                  <w:rStyle w:val="a5"/>
                  <w:rFonts w:ascii="Times New Roman" w:eastAsia="宋体" w:hAnsi="Times New Roman"/>
                  <w:sz w:val="20"/>
                  <w:szCs w:val="20"/>
                </w:rPr>
                <w:t>July</w:t>
              </w:r>
            </w:hyperlink>
            <w:hyperlink r:id="rId81" w:anchor="if3e0e1bf9ecd4bf69551d7a85f98d64a_37" w:history="1">
              <w:r>
                <w:rPr>
                  <w:rStyle w:val="a5"/>
                  <w:rFonts w:ascii="Times New Roman" w:eastAsia="宋体" w:hAnsi="Times New Roman"/>
                  <w:sz w:val="20"/>
                  <w:szCs w:val="20"/>
                </w:rPr>
                <w:t xml:space="preserve"> </w:t>
              </w:r>
            </w:hyperlink>
            <w:hyperlink r:id="rId82" w:anchor="if3e0e1bf9ecd4bf69551d7a85f98d64a_37" w:history="1">
              <w:r>
                <w:rPr>
                  <w:rStyle w:val="a5"/>
                  <w:rFonts w:ascii="Times New Roman" w:eastAsia="宋体" w:hAnsi="Times New Roman"/>
                  <w:sz w:val="20"/>
                  <w:szCs w:val="20"/>
                </w:rPr>
                <w:t>3</w:t>
              </w:r>
            </w:hyperlink>
            <w:hyperlink r:id="rId83" w:anchor="if3e0e1bf9ecd4bf69551d7a85f98d64a_37" w:history="1">
              <w:r>
                <w:rPr>
                  <w:rStyle w:val="a5"/>
                  <w:rFonts w:ascii="Times New Roman" w:eastAsia="宋体" w:hAnsi="Times New Roman"/>
                  <w:sz w:val="20"/>
                  <w:szCs w:val="20"/>
                </w:rPr>
                <w:t xml:space="preserve">1, 2020 and </w:t>
              </w:r>
            </w:hyperlink>
            <w:hyperlink r:id="rId84" w:anchor="if3e0e1bf9ecd4bf69551d7a85f98d64a_37" w:history="1">
              <w:r>
                <w:rPr>
                  <w:rStyle w:val="a5"/>
                  <w:rFonts w:ascii="Times New Roman" w:eastAsia="宋体" w:hAnsi="Times New Roman"/>
                  <w:sz w:val="20"/>
                  <w:szCs w:val="20"/>
                </w:rPr>
                <w:t>August 2</w:t>
              </w:r>
            </w:hyperlink>
            <w:hyperlink r:id="rId85" w:anchor="if3e0e1bf9ecd4bf69551d7a85f98d64a_37" w:history="1">
              <w:r>
                <w:rPr>
                  <w:rStyle w:val="a5"/>
                  <w:rFonts w:ascii="Times New Roman" w:eastAsia="宋体" w:hAnsi="Times New Roman"/>
                  <w:sz w:val="20"/>
                  <w:szCs w:val="20"/>
                </w:rPr>
                <w:t>, 2019</w:t>
              </w:r>
            </w:hyperlink>
          </w:p>
        </w:tc>
        <w:tc>
          <w:tcPr>
            <w:tcW w:w="0" w:type="auto"/>
            <w:gridSpan w:val="3"/>
            <w:shd w:val="clear" w:color="auto" w:fill="auto"/>
            <w:tcMar>
              <w:top w:w="40" w:type="dxa"/>
              <w:left w:w="20" w:type="dxa"/>
              <w:bottom w:w="40" w:type="dxa"/>
              <w:right w:w="20" w:type="dxa"/>
            </w:tcMar>
            <w:vAlign w:val="bottom"/>
          </w:tcPr>
          <w:p w14:paraId="33DA8DD7"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86" w:anchor="if3e0e1bf9ecd4bf69551d7a85f98d64a_37" w:history="1">
              <w:r>
                <w:rPr>
                  <w:rStyle w:val="a5"/>
                  <w:rFonts w:ascii="Times New Roman" w:eastAsia="宋体" w:hAnsi="Times New Roman"/>
                  <w:sz w:val="20"/>
                  <w:szCs w:val="20"/>
                </w:rPr>
                <w:t>9</w:t>
              </w:r>
            </w:hyperlink>
          </w:p>
        </w:tc>
      </w:tr>
      <w:tr w:rsidR="004D6A64" w14:paraId="33DA8DDB" w14:textId="77777777">
        <w:trPr>
          <w:jc w:val="center"/>
        </w:trPr>
        <w:tc>
          <w:tcPr>
            <w:tcW w:w="0" w:type="auto"/>
            <w:gridSpan w:val="3"/>
            <w:shd w:val="clear" w:color="auto" w:fill="auto"/>
            <w:tcMar>
              <w:top w:w="40" w:type="dxa"/>
              <w:left w:w="20" w:type="dxa"/>
              <w:bottom w:w="40" w:type="dxa"/>
              <w:right w:w="20" w:type="dxa"/>
            </w:tcMar>
            <w:vAlign w:val="bottom"/>
          </w:tcPr>
          <w:p w14:paraId="33DA8DD9" w14:textId="77777777" w:rsidR="004D6A64" w:rsidRDefault="00506CD6">
            <w:pPr>
              <w:pBdr>
                <w:top w:val="none" w:sz="0" w:space="0" w:color="auto"/>
                <w:left w:val="none" w:sz="0" w:space="0" w:color="auto"/>
                <w:bottom w:val="none" w:sz="0" w:space="0" w:color="auto"/>
                <w:right w:val="none" w:sz="0" w:space="0" w:color="auto"/>
              </w:pBdr>
              <w:textAlignment w:val="bottom"/>
            </w:pPr>
            <w:hyperlink r:id="rId87" w:anchor="if3e0e1bf9ecd4bf69551d7a85f98d64a_43" w:history="1">
              <w:r>
                <w:rPr>
                  <w:rStyle w:val="a5"/>
                  <w:rFonts w:ascii="Times New Roman" w:eastAsia="宋体" w:hAnsi="Times New Roman"/>
                  <w:sz w:val="20"/>
                  <w:szCs w:val="20"/>
                </w:rPr>
                <w:t>Notes to the Condensed Consolidated Financial Statements</w:t>
              </w:r>
            </w:hyperlink>
          </w:p>
        </w:tc>
        <w:tc>
          <w:tcPr>
            <w:tcW w:w="0" w:type="auto"/>
            <w:gridSpan w:val="3"/>
            <w:shd w:val="clear" w:color="auto" w:fill="auto"/>
            <w:tcMar>
              <w:top w:w="40" w:type="dxa"/>
              <w:left w:w="20" w:type="dxa"/>
              <w:bottom w:w="40" w:type="dxa"/>
              <w:right w:w="20" w:type="dxa"/>
            </w:tcMar>
            <w:vAlign w:val="bottom"/>
          </w:tcPr>
          <w:p w14:paraId="33DA8DDA"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88" w:anchor="if3e0e1bf9ecd4bf69551d7a85f98d64a_43" w:history="1">
              <w:r>
                <w:rPr>
                  <w:rStyle w:val="a5"/>
                  <w:rFonts w:ascii="Times New Roman" w:eastAsia="宋体" w:hAnsi="Times New Roman"/>
                  <w:sz w:val="20"/>
                  <w:szCs w:val="20"/>
                </w:rPr>
                <w:t>13</w:t>
              </w:r>
            </w:hyperlink>
          </w:p>
        </w:tc>
      </w:tr>
      <w:tr w:rsidR="004D6A64" w14:paraId="33DA8DDE" w14:textId="77777777">
        <w:trPr>
          <w:jc w:val="center"/>
        </w:trPr>
        <w:tc>
          <w:tcPr>
            <w:tcW w:w="0" w:type="auto"/>
            <w:gridSpan w:val="3"/>
            <w:shd w:val="clear" w:color="auto" w:fill="auto"/>
            <w:tcMar>
              <w:top w:w="40" w:type="dxa"/>
              <w:left w:w="20" w:type="dxa"/>
              <w:bottom w:w="40" w:type="dxa"/>
              <w:right w:w="20" w:type="dxa"/>
            </w:tcMar>
            <w:vAlign w:val="bottom"/>
          </w:tcPr>
          <w:p w14:paraId="33DA8DDC" w14:textId="77777777" w:rsidR="004D6A64" w:rsidRDefault="00506CD6">
            <w:pPr>
              <w:pBdr>
                <w:top w:val="none" w:sz="0" w:space="0" w:color="auto"/>
                <w:left w:val="none" w:sz="0" w:space="0" w:color="auto"/>
                <w:bottom w:val="none" w:sz="0" w:space="0" w:color="auto"/>
                <w:right w:val="none" w:sz="0" w:space="0" w:color="auto"/>
              </w:pBdr>
              <w:textAlignment w:val="bottom"/>
            </w:pPr>
            <w:hyperlink r:id="rId89" w:anchor="if3e0e1bf9ecd4bf69551d7a85f98d64a_46" w:history="1">
              <w:r>
                <w:rPr>
                  <w:rStyle w:val="a5"/>
                  <w:rFonts w:ascii="Times New Roman" w:eastAsia="宋体" w:hAnsi="Times New Roman"/>
                  <w:sz w:val="20"/>
                  <w:szCs w:val="20"/>
                </w:rPr>
                <w:t>Note 1 — Basis of Presentation</w:t>
              </w:r>
            </w:hyperlink>
          </w:p>
        </w:tc>
        <w:tc>
          <w:tcPr>
            <w:tcW w:w="0" w:type="auto"/>
            <w:gridSpan w:val="3"/>
            <w:shd w:val="clear" w:color="auto" w:fill="auto"/>
            <w:tcMar>
              <w:top w:w="40" w:type="dxa"/>
              <w:left w:w="20" w:type="dxa"/>
              <w:bottom w:w="40" w:type="dxa"/>
              <w:right w:w="20" w:type="dxa"/>
            </w:tcMar>
            <w:vAlign w:val="bottom"/>
          </w:tcPr>
          <w:p w14:paraId="33DA8DDD"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90" w:anchor="if3e0e1bf9ecd4bf69551d7a85f98d64a_46" w:history="1">
              <w:r>
                <w:rPr>
                  <w:rStyle w:val="a5"/>
                  <w:rFonts w:ascii="Times New Roman" w:eastAsia="宋体" w:hAnsi="Times New Roman"/>
                  <w:sz w:val="20"/>
                  <w:szCs w:val="20"/>
                </w:rPr>
                <w:t>13</w:t>
              </w:r>
            </w:hyperlink>
          </w:p>
        </w:tc>
      </w:tr>
      <w:tr w:rsidR="004D6A64" w14:paraId="33DA8DE1" w14:textId="77777777">
        <w:trPr>
          <w:jc w:val="center"/>
        </w:trPr>
        <w:tc>
          <w:tcPr>
            <w:tcW w:w="0" w:type="auto"/>
            <w:gridSpan w:val="3"/>
            <w:shd w:val="clear" w:color="auto" w:fill="auto"/>
            <w:tcMar>
              <w:top w:w="40" w:type="dxa"/>
              <w:left w:w="20" w:type="dxa"/>
              <w:bottom w:w="40" w:type="dxa"/>
              <w:right w:w="20" w:type="dxa"/>
            </w:tcMar>
            <w:vAlign w:val="bottom"/>
          </w:tcPr>
          <w:p w14:paraId="33DA8DDF" w14:textId="77777777" w:rsidR="004D6A64" w:rsidRDefault="00506CD6">
            <w:pPr>
              <w:pBdr>
                <w:top w:val="none" w:sz="0" w:space="0" w:color="auto"/>
                <w:left w:val="none" w:sz="0" w:space="0" w:color="auto"/>
                <w:bottom w:val="none" w:sz="0" w:space="0" w:color="auto"/>
                <w:right w:val="none" w:sz="0" w:space="0" w:color="auto"/>
              </w:pBdr>
              <w:textAlignment w:val="bottom"/>
            </w:pPr>
            <w:hyperlink r:id="rId91" w:anchor="if3e0e1bf9ecd4bf69551d7a85f98d64a_49" w:history="1">
              <w:r>
                <w:rPr>
                  <w:rStyle w:val="a5"/>
                  <w:rFonts w:ascii="Times New Roman" w:eastAsia="宋体" w:hAnsi="Times New Roman"/>
                  <w:sz w:val="20"/>
                  <w:szCs w:val="20"/>
                </w:rPr>
                <w:t>Note 2 — Interim Update to Summary of Significant Accounting Policies</w:t>
              </w:r>
            </w:hyperlink>
          </w:p>
        </w:tc>
        <w:tc>
          <w:tcPr>
            <w:tcW w:w="0" w:type="auto"/>
            <w:gridSpan w:val="3"/>
            <w:shd w:val="clear" w:color="auto" w:fill="auto"/>
            <w:tcMar>
              <w:top w:w="40" w:type="dxa"/>
              <w:left w:w="20" w:type="dxa"/>
              <w:bottom w:w="40" w:type="dxa"/>
              <w:right w:w="20" w:type="dxa"/>
            </w:tcMar>
            <w:vAlign w:val="bottom"/>
          </w:tcPr>
          <w:p w14:paraId="33DA8DE0"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92" w:anchor="if3e0e1bf9ecd4bf69551d7a85f98d64a_49" w:history="1">
              <w:r>
                <w:rPr>
                  <w:rStyle w:val="a5"/>
                  <w:rFonts w:ascii="Times New Roman" w:eastAsia="宋体" w:hAnsi="Times New Roman"/>
                  <w:sz w:val="20"/>
                  <w:szCs w:val="20"/>
                </w:rPr>
                <w:t>17</w:t>
              </w:r>
            </w:hyperlink>
          </w:p>
        </w:tc>
      </w:tr>
      <w:tr w:rsidR="004D6A64" w14:paraId="33DA8DE4" w14:textId="77777777">
        <w:trPr>
          <w:jc w:val="center"/>
        </w:trPr>
        <w:tc>
          <w:tcPr>
            <w:tcW w:w="0" w:type="auto"/>
            <w:gridSpan w:val="3"/>
            <w:shd w:val="clear" w:color="auto" w:fill="auto"/>
            <w:tcMar>
              <w:top w:w="40" w:type="dxa"/>
              <w:left w:w="20" w:type="dxa"/>
              <w:bottom w:w="40" w:type="dxa"/>
              <w:right w:w="20" w:type="dxa"/>
            </w:tcMar>
            <w:vAlign w:val="bottom"/>
          </w:tcPr>
          <w:p w14:paraId="33DA8DE2" w14:textId="77777777" w:rsidR="004D6A64" w:rsidRDefault="00506CD6">
            <w:pPr>
              <w:pBdr>
                <w:top w:val="none" w:sz="0" w:space="0" w:color="auto"/>
                <w:left w:val="none" w:sz="0" w:space="0" w:color="auto"/>
                <w:bottom w:val="none" w:sz="0" w:space="0" w:color="auto"/>
                <w:right w:val="none" w:sz="0" w:space="0" w:color="auto"/>
              </w:pBdr>
              <w:textAlignment w:val="bottom"/>
            </w:pPr>
            <w:hyperlink r:id="rId93" w:anchor="if3e0e1bf9ecd4bf69551d7a85f98d64a_52" w:history="1">
              <w:r>
                <w:rPr>
                  <w:rStyle w:val="a5"/>
                  <w:rFonts w:ascii="Times New Roman" w:eastAsia="宋体" w:hAnsi="Times New Roman"/>
                  <w:sz w:val="20"/>
                  <w:szCs w:val="20"/>
                </w:rPr>
                <w:t>Note 3 — Fair Value Measurements and Investments</w:t>
              </w:r>
            </w:hyperlink>
          </w:p>
        </w:tc>
        <w:tc>
          <w:tcPr>
            <w:tcW w:w="0" w:type="auto"/>
            <w:gridSpan w:val="3"/>
            <w:shd w:val="clear" w:color="auto" w:fill="auto"/>
            <w:tcMar>
              <w:top w:w="40" w:type="dxa"/>
              <w:left w:w="20" w:type="dxa"/>
              <w:bottom w:w="40" w:type="dxa"/>
              <w:right w:w="20" w:type="dxa"/>
            </w:tcMar>
            <w:vAlign w:val="bottom"/>
          </w:tcPr>
          <w:p w14:paraId="33DA8DE3"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94" w:anchor="if3e0e1bf9ecd4bf69551d7a85f98d64a_52" w:history="1">
              <w:r>
                <w:rPr>
                  <w:rStyle w:val="a5"/>
                  <w:rFonts w:ascii="Times New Roman" w:eastAsia="宋体" w:hAnsi="Times New Roman"/>
                  <w:sz w:val="20"/>
                  <w:szCs w:val="20"/>
                </w:rPr>
                <w:t>18</w:t>
              </w:r>
            </w:hyperlink>
          </w:p>
        </w:tc>
      </w:tr>
      <w:tr w:rsidR="004D6A64" w14:paraId="33DA8DE7" w14:textId="77777777">
        <w:trPr>
          <w:jc w:val="center"/>
        </w:trPr>
        <w:tc>
          <w:tcPr>
            <w:tcW w:w="0" w:type="auto"/>
            <w:gridSpan w:val="3"/>
            <w:shd w:val="clear" w:color="auto" w:fill="auto"/>
            <w:tcMar>
              <w:top w:w="40" w:type="dxa"/>
              <w:left w:w="20" w:type="dxa"/>
              <w:bottom w:w="40" w:type="dxa"/>
              <w:right w:w="20" w:type="dxa"/>
            </w:tcMar>
            <w:vAlign w:val="bottom"/>
          </w:tcPr>
          <w:p w14:paraId="33DA8DE5" w14:textId="77777777" w:rsidR="004D6A64" w:rsidRDefault="00506CD6">
            <w:pPr>
              <w:pBdr>
                <w:top w:val="none" w:sz="0" w:space="0" w:color="auto"/>
                <w:left w:val="none" w:sz="0" w:space="0" w:color="auto"/>
                <w:bottom w:val="none" w:sz="0" w:space="0" w:color="auto"/>
                <w:right w:val="none" w:sz="0" w:space="0" w:color="auto"/>
              </w:pBdr>
              <w:textAlignment w:val="bottom"/>
            </w:pPr>
            <w:hyperlink r:id="rId95" w:anchor="if3e0e1bf9ecd4bf69551d7a85f98d64a_58" w:history="1">
              <w:r>
                <w:rPr>
                  <w:rStyle w:val="a5"/>
                  <w:rFonts w:ascii="Times New Roman" w:eastAsia="宋体" w:hAnsi="Times New Roman"/>
                  <w:sz w:val="20"/>
                  <w:szCs w:val="20"/>
                </w:rPr>
                <w:t>Note 4 — Financial Services</w:t>
              </w:r>
            </w:hyperlink>
          </w:p>
        </w:tc>
        <w:tc>
          <w:tcPr>
            <w:tcW w:w="0" w:type="auto"/>
            <w:gridSpan w:val="3"/>
            <w:shd w:val="clear" w:color="auto" w:fill="auto"/>
            <w:tcMar>
              <w:top w:w="40" w:type="dxa"/>
              <w:left w:w="20" w:type="dxa"/>
              <w:bottom w:w="40" w:type="dxa"/>
              <w:right w:w="20" w:type="dxa"/>
            </w:tcMar>
            <w:vAlign w:val="bottom"/>
          </w:tcPr>
          <w:p w14:paraId="33DA8DE6"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96" w:anchor="if3e0e1bf9ecd4bf69551d7a85f98d64a_58" w:history="1">
              <w:r>
                <w:rPr>
                  <w:rStyle w:val="a5"/>
                  <w:rFonts w:ascii="Times New Roman" w:eastAsia="宋体" w:hAnsi="Times New Roman"/>
                  <w:sz w:val="20"/>
                  <w:szCs w:val="20"/>
                </w:rPr>
                <w:t>21</w:t>
              </w:r>
            </w:hyperlink>
          </w:p>
        </w:tc>
      </w:tr>
      <w:tr w:rsidR="004D6A64" w14:paraId="33DA8DEA" w14:textId="77777777">
        <w:trPr>
          <w:jc w:val="center"/>
        </w:trPr>
        <w:tc>
          <w:tcPr>
            <w:tcW w:w="0" w:type="auto"/>
            <w:gridSpan w:val="3"/>
            <w:shd w:val="clear" w:color="auto" w:fill="auto"/>
            <w:tcMar>
              <w:top w:w="40" w:type="dxa"/>
              <w:left w:w="20" w:type="dxa"/>
              <w:bottom w:w="40" w:type="dxa"/>
              <w:right w:w="20" w:type="dxa"/>
            </w:tcMar>
            <w:vAlign w:val="bottom"/>
          </w:tcPr>
          <w:p w14:paraId="33DA8DE8" w14:textId="77777777" w:rsidR="004D6A64" w:rsidRDefault="00506CD6">
            <w:pPr>
              <w:pBdr>
                <w:top w:val="none" w:sz="0" w:space="0" w:color="auto"/>
                <w:left w:val="none" w:sz="0" w:space="0" w:color="auto"/>
                <w:bottom w:val="none" w:sz="0" w:space="0" w:color="auto"/>
                <w:right w:val="none" w:sz="0" w:space="0" w:color="auto"/>
              </w:pBdr>
              <w:textAlignment w:val="bottom"/>
            </w:pPr>
            <w:hyperlink r:id="rId97" w:anchor="if3e0e1bf9ecd4bf69551d7a85f98d64a_64" w:history="1">
              <w:r>
                <w:rPr>
                  <w:rStyle w:val="a5"/>
                  <w:rFonts w:ascii="Times New Roman" w:eastAsia="宋体" w:hAnsi="Times New Roman"/>
                  <w:sz w:val="20"/>
                  <w:szCs w:val="20"/>
                </w:rPr>
                <w:t>Note 5 — Leases</w:t>
              </w:r>
            </w:hyperlink>
          </w:p>
        </w:tc>
        <w:tc>
          <w:tcPr>
            <w:tcW w:w="0" w:type="auto"/>
            <w:gridSpan w:val="3"/>
            <w:shd w:val="clear" w:color="auto" w:fill="auto"/>
            <w:tcMar>
              <w:top w:w="40" w:type="dxa"/>
              <w:left w:w="20" w:type="dxa"/>
              <w:bottom w:w="40" w:type="dxa"/>
              <w:right w:w="20" w:type="dxa"/>
            </w:tcMar>
            <w:vAlign w:val="bottom"/>
          </w:tcPr>
          <w:p w14:paraId="33DA8DE9"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98" w:anchor="if3e0e1bf9ecd4bf69551d7a85f98d64a_64" w:history="1">
              <w:r>
                <w:rPr>
                  <w:rStyle w:val="a5"/>
                  <w:rFonts w:ascii="Times New Roman" w:eastAsia="宋体" w:hAnsi="Times New Roman"/>
                  <w:sz w:val="20"/>
                  <w:szCs w:val="20"/>
                </w:rPr>
                <w:t>30</w:t>
              </w:r>
            </w:hyperlink>
          </w:p>
        </w:tc>
      </w:tr>
      <w:tr w:rsidR="004D6A64" w14:paraId="33DA8DED" w14:textId="77777777">
        <w:trPr>
          <w:jc w:val="center"/>
        </w:trPr>
        <w:tc>
          <w:tcPr>
            <w:tcW w:w="0" w:type="auto"/>
            <w:gridSpan w:val="3"/>
            <w:shd w:val="clear" w:color="auto" w:fill="auto"/>
            <w:tcMar>
              <w:top w:w="40" w:type="dxa"/>
              <w:left w:w="20" w:type="dxa"/>
              <w:bottom w:w="40" w:type="dxa"/>
              <w:right w:w="20" w:type="dxa"/>
            </w:tcMar>
            <w:vAlign w:val="bottom"/>
          </w:tcPr>
          <w:p w14:paraId="33DA8DEB" w14:textId="77777777" w:rsidR="004D6A64" w:rsidRDefault="00506CD6">
            <w:pPr>
              <w:pBdr>
                <w:top w:val="none" w:sz="0" w:space="0" w:color="auto"/>
                <w:left w:val="none" w:sz="0" w:space="0" w:color="auto"/>
                <w:bottom w:val="none" w:sz="0" w:space="0" w:color="auto"/>
                <w:right w:val="none" w:sz="0" w:space="0" w:color="auto"/>
              </w:pBdr>
              <w:textAlignment w:val="bottom"/>
            </w:pPr>
            <w:hyperlink r:id="rId99" w:anchor="if3e0e1bf9ecd4bf69551d7a85f98d64a_70" w:history="1">
              <w:r>
                <w:rPr>
                  <w:rStyle w:val="a5"/>
                  <w:rFonts w:ascii="Times New Roman" w:eastAsia="宋体" w:hAnsi="Times New Roman"/>
                  <w:sz w:val="20"/>
                  <w:szCs w:val="20"/>
                </w:rPr>
                <w:t>Note 6 — Debt</w:t>
              </w:r>
            </w:hyperlink>
          </w:p>
        </w:tc>
        <w:tc>
          <w:tcPr>
            <w:tcW w:w="0" w:type="auto"/>
            <w:gridSpan w:val="3"/>
            <w:shd w:val="clear" w:color="auto" w:fill="auto"/>
            <w:tcMar>
              <w:top w:w="40" w:type="dxa"/>
              <w:left w:w="20" w:type="dxa"/>
              <w:bottom w:w="40" w:type="dxa"/>
              <w:right w:w="20" w:type="dxa"/>
            </w:tcMar>
            <w:vAlign w:val="bottom"/>
          </w:tcPr>
          <w:p w14:paraId="33DA8DEC"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100" w:anchor="if3e0e1bf9ecd4bf69551d7a85f98d64a_70" w:history="1">
              <w:r>
                <w:rPr>
                  <w:rStyle w:val="a5"/>
                  <w:rFonts w:ascii="Times New Roman" w:eastAsia="宋体" w:hAnsi="Times New Roman"/>
                  <w:sz w:val="20"/>
                  <w:szCs w:val="20"/>
                </w:rPr>
                <w:t>32</w:t>
              </w:r>
            </w:hyperlink>
          </w:p>
        </w:tc>
      </w:tr>
      <w:tr w:rsidR="004D6A64" w14:paraId="33DA8DF0" w14:textId="77777777">
        <w:trPr>
          <w:jc w:val="center"/>
        </w:trPr>
        <w:tc>
          <w:tcPr>
            <w:tcW w:w="0" w:type="auto"/>
            <w:gridSpan w:val="3"/>
            <w:shd w:val="clear" w:color="auto" w:fill="auto"/>
            <w:tcMar>
              <w:top w:w="40" w:type="dxa"/>
              <w:left w:w="20" w:type="dxa"/>
              <w:bottom w:w="40" w:type="dxa"/>
              <w:right w:w="20" w:type="dxa"/>
            </w:tcMar>
            <w:vAlign w:val="bottom"/>
          </w:tcPr>
          <w:p w14:paraId="33DA8DEE" w14:textId="77777777" w:rsidR="004D6A64" w:rsidRDefault="00506CD6">
            <w:pPr>
              <w:pBdr>
                <w:top w:val="none" w:sz="0" w:space="0" w:color="auto"/>
                <w:left w:val="none" w:sz="0" w:space="0" w:color="auto"/>
                <w:bottom w:val="none" w:sz="0" w:space="0" w:color="auto"/>
                <w:right w:val="none" w:sz="0" w:space="0" w:color="auto"/>
              </w:pBdr>
              <w:textAlignment w:val="bottom"/>
            </w:pPr>
            <w:hyperlink r:id="rId101" w:anchor="if3e0e1bf9ecd4bf69551d7a85f98d64a_76" w:history="1">
              <w:r>
                <w:rPr>
                  <w:rStyle w:val="a5"/>
                  <w:rFonts w:ascii="Times New Roman" w:eastAsia="宋体" w:hAnsi="Times New Roman"/>
                  <w:sz w:val="20"/>
                  <w:szCs w:val="20"/>
                </w:rPr>
                <w:t>Note 7 — Derivative Instruments and Hedging Activities</w:t>
              </w:r>
            </w:hyperlink>
          </w:p>
        </w:tc>
        <w:tc>
          <w:tcPr>
            <w:tcW w:w="0" w:type="auto"/>
            <w:gridSpan w:val="3"/>
            <w:shd w:val="clear" w:color="auto" w:fill="auto"/>
            <w:tcMar>
              <w:top w:w="40" w:type="dxa"/>
              <w:left w:w="20" w:type="dxa"/>
              <w:bottom w:w="40" w:type="dxa"/>
              <w:right w:w="20" w:type="dxa"/>
            </w:tcMar>
            <w:vAlign w:val="bottom"/>
          </w:tcPr>
          <w:p w14:paraId="33DA8DEF"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102" w:anchor="if3e0e1bf9ecd4bf69551d7a85f98d64a_76" w:history="1">
              <w:r>
                <w:rPr>
                  <w:rStyle w:val="a5"/>
                  <w:rFonts w:ascii="Times New Roman" w:eastAsia="宋体" w:hAnsi="Times New Roman"/>
                  <w:sz w:val="20"/>
                  <w:szCs w:val="20"/>
                </w:rPr>
                <w:t>37</w:t>
              </w:r>
            </w:hyperlink>
          </w:p>
        </w:tc>
      </w:tr>
      <w:tr w:rsidR="004D6A64" w14:paraId="33DA8DF3" w14:textId="77777777">
        <w:trPr>
          <w:jc w:val="center"/>
        </w:trPr>
        <w:tc>
          <w:tcPr>
            <w:tcW w:w="0" w:type="auto"/>
            <w:gridSpan w:val="3"/>
            <w:shd w:val="clear" w:color="auto" w:fill="auto"/>
            <w:tcMar>
              <w:top w:w="40" w:type="dxa"/>
              <w:left w:w="20" w:type="dxa"/>
              <w:bottom w:w="40" w:type="dxa"/>
              <w:right w:w="20" w:type="dxa"/>
            </w:tcMar>
            <w:vAlign w:val="bottom"/>
          </w:tcPr>
          <w:p w14:paraId="33DA8DF1" w14:textId="77777777" w:rsidR="004D6A64" w:rsidRDefault="00506CD6">
            <w:pPr>
              <w:pBdr>
                <w:top w:val="none" w:sz="0" w:space="0" w:color="auto"/>
                <w:left w:val="none" w:sz="0" w:space="0" w:color="auto"/>
                <w:bottom w:val="none" w:sz="0" w:space="0" w:color="auto"/>
                <w:right w:val="none" w:sz="0" w:space="0" w:color="auto"/>
              </w:pBdr>
              <w:textAlignment w:val="bottom"/>
            </w:pPr>
            <w:hyperlink r:id="rId103" w:anchor="if3e0e1bf9ecd4bf69551d7a85f98d64a_79" w:history="1">
              <w:r>
                <w:rPr>
                  <w:rStyle w:val="a5"/>
                  <w:rFonts w:ascii="Times New Roman" w:eastAsia="宋体" w:hAnsi="Times New Roman"/>
                  <w:sz w:val="20"/>
                  <w:szCs w:val="20"/>
                </w:rPr>
                <w:t>Note 8 — Business Combinations, Goodwill and Intangible Assets</w:t>
              </w:r>
            </w:hyperlink>
          </w:p>
        </w:tc>
        <w:tc>
          <w:tcPr>
            <w:tcW w:w="0" w:type="auto"/>
            <w:gridSpan w:val="3"/>
            <w:shd w:val="clear" w:color="auto" w:fill="auto"/>
            <w:tcMar>
              <w:top w:w="40" w:type="dxa"/>
              <w:left w:w="20" w:type="dxa"/>
              <w:bottom w:w="40" w:type="dxa"/>
              <w:right w:w="20" w:type="dxa"/>
            </w:tcMar>
            <w:vAlign w:val="bottom"/>
          </w:tcPr>
          <w:p w14:paraId="33DA8DF2"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104" w:anchor="if3e0e1bf9ecd4bf69551d7a85f98d64a_79" w:history="1">
              <w:r>
                <w:rPr>
                  <w:rStyle w:val="a5"/>
                  <w:rFonts w:ascii="Times New Roman" w:eastAsia="宋体" w:hAnsi="Times New Roman"/>
                  <w:sz w:val="20"/>
                  <w:szCs w:val="20"/>
                </w:rPr>
                <w:t>42</w:t>
              </w:r>
            </w:hyperlink>
          </w:p>
        </w:tc>
      </w:tr>
      <w:tr w:rsidR="004D6A64" w14:paraId="33DA8DF6" w14:textId="77777777">
        <w:trPr>
          <w:jc w:val="center"/>
        </w:trPr>
        <w:tc>
          <w:tcPr>
            <w:tcW w:w="0" w:type="auto"/>
            <w:gridSpan w:val="3"/>
            <w:shd w:val="clear" w:color="auto" w:fill="auto"/>
            <w:tcMar>
              <w:top w:w="40" w:type="dxa"/>
              <w:left w:w="20" w:type="dxa"/>
              <w:bottom w:w="40" w:type="dxa"/>
              <w:right w:w="20" w:type="dxa"/>
            </w:tcMar>
            <w:vAlign w:val="bottom"/>
          </w:tcPr>
          <w:p w14:paraId="33DA8DF4" w14:textId="77777777" w:rsidR="004D6A64" w:rsidRDefault="00506CD6">
            <w:pPr>
              <w:pBdr>
                <w:top w:val="none" w:sz="0" w:space="0" w:color="auto"/>
                <w:left w:val="none" w:sz="0" w:space="0" w:color="auto"/>
                <w:bottom w:val="none" w:sz="0" w:space="0" w:color="auto"/>
                <w:right w:val="none" w:sz="0" w:space="0" w:color="auto"/>
              </w:pBdr>
              <w:textAlignment w:val="bottom"/>
            </w:pPr>
            <w:hyperlink r:id="rId105" w:anchor="if3e0e1bf9ecd4bf69551d7a85f98d64a_85" w:history="1">
              <w:r>
                <w:rPr>
                  <w:rStyle w:val="a5"/>
                  <w:rFonts w:ascii="Times New Roman" w:eastAsia="宋体" w:hAnsi="Times New Roman"/>
                  <w:sz w:val="20"/>
                  <w:szCs w:val="20"/>
                </w:rPr>
                <w:t>Note 9 — Deferred Revenue</w:t>
              </w:r>
            </w:hyperlink>
          </w:p>
        </w:tc>
        <w:tc>
          <w:tcPr>
            <w:tcW w:w="0" w:type="auto"/>
            <w:gridSpan w:val="3"/>
            <w:shd w:val="clear" w:color="auto" w:fill="auto"/>
            <w:tcMar>
              <w:top w:w="40" w:type="dxa"/>
              <w:left w:w="20" w:type="dxa"/>
              <w:bottom w:w="40" w:type="dxa"/>
              <w:right w:w="20" w:type="dxa"/>
            </w:tcMar>
            <w:vAlign w:val="bottom"/>
          </w:tcPr>
          <w:p w14:paraId="33DA8DF5"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106" w:anchor="if3e0e1bf9ecd4bf69551d7a85f98d64a_85" w:history="1">
              <w:r>
                <w:rPr>
                  <w:rStyle w:val="a5"/>
                  <w:rFonts w:ascii="Times New Roman" w:eastAsia="宋体" w:hAnsi="Times New Roman"/>
                  <w:sz w:val="20"/>
                  <w:szCs w:val="20"/>
                </w:rPr>
                <w:t>46</w:t>
              </w:r>
            </w:hyperlink>
          </w:p>
        </w:tc>
      </w:tr>
      <w:tr w:rsidR="004D6A64" w14:paraId="33DA8DF9" w14:textId="77777777">
        <w:trPr>
          <w:jc w:val="center"/>
        </w:trPr>
        <w:tc>
          <w:tcPr>
            <w:tcW w:w="0" w:type="auto"/>
            <w:gridSpan w:val="3"/>
            <w:shd w:val="clear" w:color="auto" w:fill="auto"/>
            <w:tcMar>
              <w:top w:w="40" w:type="dxa"/>
              <w:left w:w="20" w:type="dxa"/>
              <w:bottom w:w="40" w:type="dxa"/>
              <w:right w:w="20" w:type="dxa"/>
            </w:tcMar>
            <w:vAlign w:val="bottom"/>
          </w:tcPr>
          <w:p w14:paraId="33DA8DF7" w14:textId="77777777" w:rsidR="004D6A64" w:rsidRDefault="00506CD6">
            <w:pPr>
              <w:pBdr>
                <w:top w:val="none" w:sz="0" w:space="0" w:color="auto"/>
                <w:left w:val="none" w:sz="0" w:space="0" w:color="auto"/>
                <w:bottom w:val="none" w:sz="0" w:space="0" w:color="auto"/>
                <w:right w:val="none" w:sz="0" w:space="0" w:color="auto"/>
              </w:pBdr>
              <w:textAlignment w:val="bottom"/>
            </w:pPr>
            <w:hyperlink r:id="rId107" w:anchor="if3e0e1bf9ecd4bf69551d7a85f98d64a_88" w:history="1">
              <w:r>
                <w:rPr>
                  <w:rStyle w:val="a5"/>
                  <w:rFonts w:ascii="Times New Roman" w:eastAsia="宋体" w:hAnsi="Times New Roman"/>
                  <w:sz w:val="20"/>
                  <w:szCs w:val="20"/>
                </w:rPr>
                <w:t>Note 10 — Commitments and Contingencies</w:t>
              </w:r>
            </w:hyperlink>
          </w:p>
        </w:tc>
        <w:tc>
          <w:tcPr>
            <w:tcW w:w="0" w:type="auto"/>
            <w:gridSpan w:val="3"/>
            <w:shd w:val="clear" w:color="auto" w:fill="auto"/>
            <w:tcMar>
              <w:top w:w="40" w:type="dxa"/>
              <w:left w:w="20" w:type="dxa"/>
              <w:bottom w:w="40" w:type="dxa"/>
              <w:right w:w="20" w:type="dxa"/>
            </w:tcMar>
            <w:vAlign w:val="bottom"/>
          </w:tcPr>
          <w:p w14:paraId="33DA8DF8"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108" w:anchor="if3e0e1bf9ecd4bf69551d7a85f98d64a_88" w:history="1">
              <w:r>
                <w:rPr>
                  <w:rStyle w:val="a5"/>
                  <w:rFonts w:ascii="Times New Roman" w:eastAsia="宋体" w:hAnsi="Times New Roman"/>
                  <w:sz w:val="20"/>
                  <w:szCs w:val="20"/>
                </w:rPr>
                <w:t>47</w:t>
              </w:r>
            </w:hyperlink>
          </w:p>
        </w:tc>
      </w:tr>
      <w:tr w:rsidR="004D6A64" w14:paraId="33DA8DFC" w14:textId="77777777">
        <w:trPr>
          <w:jc w:val="center"/>
        </w:trPr>
        <w:tc>
          <w:tcPr>
            <w:tcW w:w="0" w:type="auto"/>
            <w:gridSpan w:val="3"/>
            <w:shd w:val="clear" w:color="auto" w:fill="auto"/>
            <w:tcMar>
              <w:top w:w="40" w:type="dxa"/>
              <w:left w:w="20" w:type="dxa"/>
              <w:bottom w:w="40" w:type="dxa"/>
              <w:right w:w="20" w:type="dxa"/>
            </w:tcMar>
            <w:vAlign w:val="bottom"/>
          </w:tcPr>
          <w:p w14:paraId="33DA8DFA" w14:textId="77777777" w:rsidR="004D6A64" w:rsidRDefault="00506CD6">
            <w:pPr>
              <w:pBdr>
                <w:top w:val="none" w:sz="0" w:space="0" w:color="auto"/>
                <w:left w:val="none" w:sz="0" w:space="0" w:color="auto"/>
                <w:bottom w:val="none" w:sz="0" w:space="0" w:color="auto"/>
                <w:right w:val="none" w:sz="0" w:space="0" w:color="auto"/>
              </w:pBdr>
              <w:textAlignment w:val="bottom"/>
            </w:pPr>
            <w:hyperlink r:id="rId109" w:anchor="if3e0e1bf9ecd4bf69551d7a85f98d64a_91" w:history="1">
              <w:r>
                <w:rPr>
                  <w:rStyle w:val="a5"/>
                  <w:rFonts w:ascii="Times New Roman" w:eastAsia="宋体" w:hAnsi="Times New Roman"/>
                  <w:sz w:val="20"/>
                  <w:szCs w:val="20"/>
                </w:rPr>
                <w:t>Note 11 — Income and Othe</w:t>
              </w:r>
              <w:r>
                <w:rPr>
                  <w:rStyle w:val="a5"/>
                  <w:rFonts w:ascii="Times New Roman" w:eastAsia="宋体" w:hAnsi="Times New Roman"/>
                  <w:sz w:val="20"/>
                  <w:szCs w:val="20"/>
                </w:rPr>
                <w:t>r Taxes</w:t>
              </w:r>
            </w:hyperlink>
          </w:p>
        </w:tc>
        <w:tc>
          <w:tcPr>
            <w:tcW w:w="0" w:type="auto"/>
            <w:gridSpan w:val="3"/>
            <w:shd w:val="clear" w:color="auto" w:fill="auto"/>
            <w:tcMar>
              <w:top w:w="40" w:type="dxa"/>
              <w:left w:w="20" w:type="dxa"/>
              <w:bottom w:w="40" w:type="dxa"/>
              <w:right w:w="20" w:type="dxa"/>
            </w:tcMar>
            <w:vAlign w:val="bottom"/>
          </w:tcPr>
          <w:p w14:paraId="33DA8DFB"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110" w:anchor="if3e0e1bf9ecd4bf69551d7a85f98d64a_91" w:history="1">
              <w:r>
                <w:rPr>
                  <w:rStyle w:val="a5"/>
                  <w:rFonts w:ascii="Times New Roman" w:eastAsia="宋体" w:hAnsi="Times New Roman"/>
                  <w:sz w:val="20"/>
                  <w:szCs w:val="20"/>
                </w:rPr>
                <w:t>49</w:t>
              </w:r>
            </w:hyperlink>
          </w:p>
        </w:tc>
      </w:tr>
      <w:tr w:rsidR="004D6A64" w14:paraId="33DA8DFF" w14:textId="77777777">
        <w:trPr>
          <w:jc w:val="center"/>
        </w:trPr>
        <w:tc>
          <w:tcPr>
            <w:tcW w:w="0" w:type="auto"/>
            <w:gridSpan w:val="3"/>
            <w:shd w:val="clear" w:color="auto" w:fill="auto"/>
            <w:tcMar>
              <w:top w:w="40" w:type="dxa"/>
              <w:left w:w="20" w:type="dxa"/>
              <w:bottom w:w="40" w:type="dxa"/>
              <w:right w:w="20" w:type="dxa"/>
            </w:tcMar>
            <w:vAlign w:val="bottom"/>
          </w:tcPr>
          <w:p w14:paraId="33DA8DFD" w14:textId="77777777" w:rsidR="004D6A64" w:rsidRDefault="00506CD6">
            <w:pPr>
              <w:pBdr>
                <w:top w:val="none" w:sz="0" w:space="0" w:color="auto"/>
                <w:left w:val="none" w:sz="0" w:space="0" w:color="auto"/>
                <w:bottom w:val="none" w:sz="0" w:space="0" w:color="auto"/>
                <w:right w:val="none" w:sz="0" w:space="0" w:color="auto"/>
              </w:pBdr>
              <w:textAlignment w:val="bottom"/>
            </w:pPr>
            <w:hyperlink r:id="rId111" w:anchor="if3e0e1bf9ecd4bf69551d7a85f98d64a_97" w:history="1">
              <w:r>
                <w:rPr>
                  <w:rStyle w:val="a5"/>
                  <w:rFonts w:ascii="Times New Roman" w:eastAsia="宋体" w:hAnsi="Times New Roman"/>
                  <w:sz w:val="20"/>
                  <w:szCs w:val="20"/>
                </w:rPr>
                <w:t>Note 12 — Accumulated Other Comprehensive Income (Loss)</w:t>
              </w:r>
            </w:hyperlink>
          </w:p>
        </w:tc>
        <w:tc>
          <w:tcPr>
            <w:tcW w:w="0" w:type="auto"/>
            <w:gridSpan w:val="3"/>
            <w:shd w:val="clear" w:color="auto" w:fill="auto"/>
            <w:tcMar>
              <w:top w:w="40" w:type="dxa"/>
              <w:left w:w="20" w:type="dxa"/>
              <w:bottom w:w="40" w:type="dxa"/>
              <w:right w:w="20" w:type="dxa"/>
            </w:tcMar>
            <w:vAlign w:val="bottom"/>
          </w:tcPr>
          <w:p w14:paraId="33DA8DFE"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112" w:anchor="if3e0e1bf9ecd4bf69551d7a85f98d64a_97" w:history="1">
              <w:r>
                <w:rPr>
                  <w:rStyle w:val="a5"/>
                  <w:rFonts w:ascii="Times New Roman" w:eastAsia="宋体" w:hAnsi="Times New Roman"/>
                  <w:sz w:val="20"/>
                  <w:szCs w:val="20"/>
                </w:rPr>
                <w:t>51</w:t>
              </w:r>
            </w:hyperlink>
          </w:p>
        </w:tc>
      </w:tr>
      <w:tr w:rsidR="004D6A64" w14:paraId="33DA8E02" w14:textId="77777777">
        <w:trPr>
          <w:jc w:val="center"/>
        </w:trPr>
        <w:tc>
          <w:tcPr>
            <w:tcW w:w="0" w:type="auto"/>
            <w:gridSpan w:val="3"/>
            <w:shd w:val="clear" w:color="auto" w:fill="auto"/>
            <w:tcMar>
              <w:top w:w="40" w:type="dxa"/>
              <w:left w:w="20" w:type="dxa"/>
              <w:bottom w:w="40" w:type="dxa"/>
              <w:right w:w="20" w:type="dxa"/>
            </w:tcMar>
            <w:vAlign w:val="bottom"/>
          </w:tcPr>
          <w:p w14:paraId="33DA8E00" w14:textId="77777777" w:rsidR="004D6A64" w:rsidRDefault="00506CD6">
            <w:pPr>
              <w:pBdr>
                <w:top w:val="none" w:sz="0" w:space="0" w:color="auto"/>
                <w:left w:val="none" w:sz="0" w:space="0" w:color="auto"/>
                <w:bottom w:val="none" w:sz="0" w:space="0" w:color="auto"/>
                <w:right w:val="none" w:sz="0" w:space="0" w:color="auto"/>
              </w:pBdr>
              <w:textAlignment w:val="bottom"/>
            </w:pPr>
            <w:hyperlink r:id="rId113" w:anchor="if3e0e1bf9ecd4bf69551d7a85f98d64a_100" w:history="1">
              <w:r>
                <w:rPr>
                  <w:rStyle w:val="a5"/>
                  <w:rFonts w:ascii="Times New Roman" w:eastAsia="宋体" w:hAnsi="Times New Roman"/>
                  <w:sz w:val="20"/>
                  <w:szCs w:val="20"/>
                </w:rPr>
                <w:t>Note 13 — Non-Controlling Interests</w:t>
              </w:r>
            </w:hyperlink>
          </w:p>
        </w:tc>
        <w:tc>
          <w:tcPr>
            <w:tcW w:w="0" w:type="auto"/>
            <w:gridSpan w:val="3"/>
            <w:shd w:val="clear" w:color="auto" w:fill="auto"/>
            <w:tcMar>
              <w:top w:w="40" w:type="dxa"/>
              <w:left w:w="20" w:type="dxa"/>
              <w:bottom w:w="40" w:type="dxa"/>
              <w:right w:w="20" w:type="dxa"/>
            </w:tcMar>
            <w:vAlign w:val="bottom"/>
          </w:tcPr>
          <w:p w14:paraId="33DA8E01"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114" w:anchor="if3e0e1bf9ecd4bf69551d7a85f98d64a_100" w:history="1">
              <w:r>
                <w:rPr>
                  <w:rStyle w:val="a5"/>
                  <w:rFonts w:ascii="Times New Roman" w:eastAsia="宋体" w:hAnsi="Times New Roman"/>
                  <w:sz w:val="20"/>
                  <w:szCs w:val="20"/>
                </w:rPr>
                <w:t>53</w:t>
              </w:r>
            </w:hyperlink>
          </w:p>
        </w:tc>
      </w:tr>
      <w:tr w:rsidR="004D6A64" w14:paraId="33DA8E05" w14:textId="77777777">
        <w:trPr>
          <w:jc w:val="center"/>
        </w:trPr>
        <w:tc>
          <w:tcPr>
            <w:tcW w:w="0" w:type="auto"/>
            <w:gridSpan w:val="3"/>
            <w:shd w:val="clear" w:color="auto" w:fill="auto"/>
            <w:tcMar>
              <w:top w:w="40" w:type="dxa"/>
              <w:left w:w="20" w:type="dxa"/>
              <w:bottom w:w="40" w:type="dxa"/>
              <w:right w:w="20" w:type="dxa"/>
            </w:tcMar>
            <w:vAlign w:val="bottom"/>
          </w:tcPr>
          <w:p w14:paraId="33DA8E03" w14:textId="77777777" w:rsidR="004D6A64" w:rsidRDefault="00506CD6">
            <w:pPr>
              <w:pBdr>
                <w:top w:val="none" w:sz="0" w:space="0" w:color="auto"/>
                <w:left w:val="none" w:sz="0" w:space="0" w:color="auto"/>
                <w:bottom w:val="none" w:sz="0" w:space="0" w:color="auto"/>
                <w:right w:val="none" w:sz="0" w:space="0" w:color="auto"/>
              </w:pBdr>
              <w:textAlignment w:val="bottom"/>
            </w:pPr>
            <w:hyperlink r:id="rId115" w:anchor="if3e0e1bf9ecd4bf69551d7a85f98d64a_103" w:history="1">
              <w:r>
                <w:rPr>
                  <w:rStyle w:val="a5"/>
                  <w:rFonts w:ascii="Times New Roman" w:eastAsia="宋体" w:hAnsi="Times New Roman"/>
                  <w:sz w:val="20"/>
                  <w:szCs w:val="20"/>
                </w:rPr>
                <w:t>Note 14 — Capitalization</w:t>
              </w:r>
            </w:hyperlink>
          </w:p>
        </w:tc>
        <w:tc>
          <w:tcPr>
            <w:tcW w:w="0" w:type="auto"/>
            <w:gridSpan w:val="3"/>
            <w:shd w:val="clear" w:color="auto" w:fill="auto"/>
            <w:tcMar>
              <w:top w:w="40" w:type="dxa"/>
              <w:left w:w="20" w:type="dxa"/>
              <w:bottom w:w="40" w:type="dxa"/>
              <w:right w:w="20" w:type="dxa"/>
            </w:tcMar>
            <w:vAlign w:val="bottom"/>
          </w:tcPr>
          <w:p w14:paraId="33DA8E04"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116" w:anchor="if3e0e1bf9ecd4bf69551d7a85f98d64a_103" w:history="1">
              <w:r>
                <w:rPr>
                  <w:rStyle w:val="a5"/>
                  <w:rFonts w:ascii="Times New Roman" w:eastAsia="宋体" w:hAnsi="Times New Roman"/>
                  <w:sz w:val="20"/>
                  <w:szCs w:val="20"/>
                </w:rPr>
                <w:t>54</w:t>
              </w:r>
            </w:hyperlink>
          </w:p>
        </w:tc>
      </w:tr>
      <w:tr w:rsidR="004D6A64" w14:paraId="33DA8E08" w14:textId="77777777">
        <w:trPr>
          <w:jc w:val="center"/>
        </w:trPr>
        <w:tc>
          <w:tcPr>
            <w:tcW w:w="0" w:type="auto"/>
            <w:gridSpan w:val="3"/>
            <w:shd w:val="clear" w:color="auto" w:fill="auto"/>
            <w:tcMar>
              <w:top w:w="40" w:type="dxa"/>
              <w:left w:w="20" w:type="dxa"/>
              <w:bottom w:w="40" w:type="dxa"/>
              <w:right w:w="20" w:type="dxa"/>
            </w:tcMar>
            <w:vAlign w:val="bottom"/>
          </w:tcPr>
          <w:p w14:paraId="33DA8E06" w14:textId="77777777" w:rsidR="004D6A64" w:rsidRDefault="00506CD6">
            <w:pPr>
              <w:pBdr>
                <w:top w:val="none" w:sz="0" w:space="0" w:color="auto"/>
                <w:left w:val="none" w:sz="0" w:space="0" w:color="auto"/>
                <w:bottom w:val="none" w:sz="0" w:space="0" w:color="auto"/>
                <w:right w:val="none" w:sz="0" w:space="0" w:color="auto"/>
              </w:pBdr>
              <w:textAlignment w:val="bottom"/>
            </w:pPr>
            <w:hyperlink r:id="rId117" w:anchor="if3e0e1bf9ecd4bf69551d7a85f98d64a_109" w:history="1">
              <w:r>
                <w:rPr>
                  <w:rStyle w:val="a5"/>
                  <w:rFonts w:ascii="Times New Roman" w:eastAsia="宋体" w:hAnsi="Times New Roman"/>
                  <w:sz w:val="20"/>
                  <w:szCs w:val="20"/>
                </w:rPr>
                <w:t>Note 15 — Earnings Per Share</w:t>
              </w:r>
            </w:hyperlink>
          </w:p>
        </w:tc>
        <w:tc>
          <w:tcPr>
            <w:tcW w:w="0" w:type="auto"/>
            <w:gridSpan w:val="3"/>
            <w:shd w:val="clear" w:color="auto" w:fill="auto"/>
            <w:tcMar>
              <w:top w:w="40" w:type="dxa"/>
              <w:left w:w="20" w:type="dxa"/>
              <w:bottom w:w="40" w:type="dxa"/>
              <w:right w:w="20" w:type="dxa"/>
            </w:tcMar>
            <w:vAlign w:val="bottom"/>
          </w:tcPr>
          <w:p w14:paraId="33DA8E07"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118" w:anchor="if3e0e1bf9ecd4bf69551d7a85f98d64a_109" w:history="1">
              <w:r>
                <w:rPr>
                  <w:rStyle w:val="a5"/>
                  <w:rFonts w:ascii="Times New Roman" w:eastAsia="宋体" w:hAnsi="Times New Roman"/>
                  <w:sz w:val="20"/>
                  <w:szCs w:val="20"/>
                </w:rPr>
                <w:t>56</w:t>
              </w:r>
            </w:hyperlink>
          </w:p>
        </w:tc>
      </w:tr>
      <w:tr w:rsidR="004D6A64" w14:paraId="33DA8E0B" w14:textId="77777777">
        <w:trPr>
          <w:jc w:val="center"/>
        </w:trPr>
        <w:tc>
          <w:tcPr>
            <w:tcW w:w="0" w:type="auto"/>
            <w:gridSpan w:val="3"/>
            <w:shd w:val="clear" w:color="auto" w:fill="auto"/>
            <w:tcMar>
              <w:top w:w="40" w:type="dxa"/>
              <w:left w:w="20" w:type="dxa"/>
              <w:bottom w:w="40" w:type="dxa"/>
              <w:right w:w="20" w:type="dxa"/>
            </w:tcMar>
            <w:vAlign w:val="bottom"/>
          </w:tcPr>
          <w:p w14:paraId="33DA8E09" w14:textId="77777777" w:rsidR="004D6A64" w:rsidRDefault="00506CD6">
            <w:pPr>
              <w:pBdr>
                <w:top w:val="none" w:sz="0" w:space="0" w:color="auto"/>
                <w:left w:val="none" w:sz="0" w:space="0" w:color="auto"/>
                <w:bottom w:val="none" w:sz="0" w:space="0" w:color="auto"/>
                <w:right w:val="none" w:sz="0" w:space="0" w:color="auto"/>
              </w:pBdr>
              <w:textAlignment w:val="bottom"/>
            </w:pPr>
            <w:hyperlink r:id="rId119" w:anchor="if3e0e1bf9ecd4bf69551d7a85f98d64a_118" w:history="1">
              <w:r>
                <w:rPr>
                  <w:rStyle w:val="a5"/>
                  <w:rFonts w:ascii="Times New Roman" w:eastAsia="宋体" w:hAnsi="Times New Roman"/>
                  <w:sz w:val="20"/>
                  <w:szCs w:val="20"/>
                </w:rPr>
                <w:t>Note 16 — Redeema</w:t>
              </w:r>
              <w:r>
                <w:rPr>
                  <w:rStyle w:val="a5"/>
                  <w:rFonts w:ascii="Times New Roman" w:eastAsia="宋体" w:hAnsi="Times New Roman"/>
                  <w:sz w:val="20"/>
                  <w:szCs w:val="20"/>
                </w:rPr>
                <w:t>ble Shares</w:t>
              </w:r>
            </w:hyperlink>
          </w:p>
        </w:tc>
        <w:tc>
          <w:tcPr>
            <w:tcW w:w="0" w:type="auto"/>
            <w:gridSpan w:val="3"/>
            <w:shd w:val="clear" w:color="auto" w:fill="auto"/>
            <w:tcMar>
              <w:top w:w="40" w:type="dxa"/>
              <w:left w:w="20" w:type="dxa"/>
              <w:bottom w:w="40" w:type="dxa"/>
              <w:right w:w="20" w:type="dxa"/>
            </w:tcMar>
            <w:vAlign w:val="bottom"/>
          </w:tcPr>
          <w:p w14:paraId="33DA8E0A"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120" w:anchor="if3e0e1bf9ecd4bf69551d7a85f98d64a_118" w:history="1">
              <w:r>
                <w:rPr>
                  <w:rStyle w:val="a5"/>
                  <w:rFonts w:ascii="Times New Roman" w:eastAsia="宋体" w:hAnsi="Times New Roman"/>
                  <w:sz w:val="20"/>
                  <w:szCs w:val="20"/>
                </w:rPr>
                <w:t>57</w:t>
              </w:r>
            </w:hyperlink>
          </w:p>
        </w:tc>
      </w:tr>
      <w:tr w:rsidR="004D6A64" w14:paraId="33DA8E0E" w14:textId="77777777">
        <w:trPr>
          <w:jc w:val="center"/>
        </w:trPr>
        <w:tc>
          <w:tcPr>
            <w:tcW w:w="0" w:type="auto"/>
            <w:gridSpan w:val="3"/>
            <w:shd w:val="clear" w:color="auto" w:fill="auto"/>
            <w:tcMar>
              <w:top w:w="40" w:type="dxa"/>
              <w:left w:w="20" w:type="dxa"/>
              <w:bottom w:w="40" w:type="dxa"/>
              <w:right w:w="20" w:type="dxa"/>
            </w:tcMar>
            <w:vAlign w:val="bottom"/>
          </w:tcPr>
          <w:p w14:paraId="33DA8E0C" w14:textId="77777777" w:rsidR="004D6A64" w:rsidRDefault="00506CD6">
            <w:pPr>
              <w:pBdr>
                <w:top w:val="none" w:sz="0" w:space="0" w:color="auto"/>
                <w:left w:val="none" w:sz="0" w:space="0" w:color="auto"/>
                <w:bottom w:val="none" w:sz="0" w:space="0" w:color="auto"/>
                <w:right w:val="none" w:sz="0" w:space="0" w:color="auto"/>
              </w:pBdr>
              <w:textAlignment w:val="bottom"/>
            </w:pPr>
            <w:hyperlink r:id="rId121" w:anchor="if3e0e1bf9ecd4bf69551d7a85f98d64a_124" w:history="1">
              <w:r>
                <w:rPr>
                  <w:rStyle w:val="a5"/>
                  <w:rFonts w:ascii="Times New Roman" w:eastAsia="宋体" w:hAnsi="Times New Roman"/>
                  <w:sz w:val="20"/>
                  <w:szCs w:val="20"/>
                </w:rPr>
                <w:t>Note 17 — Segment Information</w:t>
              </w:r>
            </w:hyperlink>
          </w:p>
        </w:tc>
        <w:tc>
          <w:tcPr>
            <w:tcW w:w="0" w:type="auto"/>
            <w:gridSpan w:val="3"/>
            <w:shd w:val="clear" w:color="auto" w:fill="auto"/>
            <w:tcMar>
              <w:top w:w="40" w:type="dxa"/>
              <w:left w:w="20" w:type="dxa"/>
              <w:bottom w:w="40" w:type="dxa"/>
              <w:right w:w="20" w:type="dxa"/>
            </w:tcMar>
            <w:vAlign w:val="bottom"/>
          </w:tcPr>
          <w:p w14:paraId="33DA8E0D"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122" w:anchor="if3e0e1bf9ecd4bf69551d7a85f98d64a_124" w:history="1">
              <w:r>
                <w:rPr>
                  <w:rStyle w:val="a5"/>
                  <w:rFonts w:ascii="Times New Roman" w:eastAsia="宋体" w:hAnsi="Times New Roman"/>
                  <w:sz w:val="20"/>
                  <w:szCs w:val="20"/>
                </w:rPr>
                <w:t>58</w:t>
              </w:r>
            </w:hyperlink>
          </w:p>
        </w:tc>
      </w:tr>
      <w:tr w:rsidR="004D6A64" w14:paraId="33DA8E11" w14:textId="77777777">
        <w:trPr>
          <w:jc w:val="center"/>
        </w:trPr>
        <w:tc>
          <w:tcPr>
            <w:tcW w:w="0" w:type="auto"/>
            <w:gridSpan w:val="3"/>
            <w:shd w:val="clear" w:color="auto" w:fill="auto"/>
            <w:tcMar>
              <w:top w:w="40" w:type="dxa"/>
              <w:left w:w="20" w:type="dxa"/>
              <w:bottom w:w="40" w:type="dxa"/>
              <w:right w:w="20" w:type="dxa"/>
            </w:tcMar>
            <w:vAlign w:val="bottom"/>
          </w:tcPr>
          <w:p w14:paraId="33DA8E0F" w14:textId="77777777" w:rsidR="004D6A64" w:rsidRDefault="00506CD6">
            <w:pPr>
              <w:pBdr>
                <w:top w:val="none" w:sz="0" w:space="0" w:color="auto"/>
                <w:left w:val="none" w:sz="0" w:space="0" w:color="auto"/>
                <w:bottom w:val="none" w:sz="0" w:space="0" w:color="auto"/>
                <w:right w:val="none" w:sz="0" w:space="0" w:color="auto"/>
              </w:pBdr>
              <w:textAlignment w:val="bottom"/>
            </w:pPr>
            <w:hyperlink r:id="rId123" w:anchor="if3e0e1bf9ecd4bf69551d7a85f98d64a_127" w:history="1">
              <w:r>
                <w:rPr>
                  <w:rStyle w:val="a5"/>
                  <w:rFonts w:ascii="Times New Roman" w:eastAsia="宋体" w:hAnsi="Times New Roman"/>
                  <w:sz w:val="20"/>
                  <w:szCs w:val="20"/>
                </w:rPr>
                <w:t>Note 18 — Supplemental Consolidated Financial Information</w:t>
              </w:r>
            </w:hyperlink>
          </w:p>
        </w:tc>
        <w:tc>
          <w:tcPr>
            <w:tcW w:w="0" w:type="auto"/>
            <w:gridSpan w:val="3"/>
            <w:shd w:val="clear" w:color="auto" w:fill="auto"/>
            <w:tcMar>
              <w:top w:w="40" w:type="dxa"/>
              <w:left w:w="20" w:type="dxa"/>
              <w:bottom w:w="40" w:type="dxa"/>
              <w:right w:w="20" w:type="dxa"/>
            </w:tcMar>
            <w:vAlign w:val="bottom"/>
          </w:tcPr>
          <w:p w14:paraId="33DA8E10"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124" w:anchor="if3e0e1bf9ecd4bf69551d7a85f98d64a_127" w:history="1">
              <w:r>
                <w:rPr>
                  <w:rStyle w:val="a5"/>
                  <w:rFonts w:ascii="Times New Roman" w:eastAsia="宋体" w:hAnsi="Times New Roman"/>
                  <w:sz w:val="20"/>
                  <w:szCs w:val="20"/>
                </w:rPr>
                <w:t>61</w:t>
              </w:r>
            </w:hyperlink>
          </w:p>
        </w:tc>
      </w:tr>
      <w:tr w:rsidR="004D6A64" w14:paraId="33DA8E14" w14:textId="77777777">
        <w:trPr>
          <w:jc w:val="center"/>
        </w:trPr>
        <w:tc>
          <w:tcPr>
            <w:tcW w:w="0" w:type="auto"/>
            <w:gridSpan w:val="3"/>
            <w:shd w:val="clear" w:color="auto" w:fill="auto"/>
            <w:tcMar>
              <w:top w:w="40" w:type="dxa"/>
              <w:left w:w="20" w:type="dxa"/>
              <w:bottom w:w="40" w:type="dxa"/>
              <w:right w:w="20" w:type="dxa"/>
            </w:tcMar>
            <w:vAlign w:val="bottom"/>
          </w:tcPr>
          <w:p w14:paraId="33DA8E12" w14:textId="77777777" w:rsidR="004D6A64" w:rsidRDefault="00506CD6">
            <w:pPr>
              <w:pBdr>
                <w:top w:val="none" w:sz="0" w:space="0" w:color="auto"/>
                <w:left w:val="none" w:sz="0" w:space="0" w:color="auto"/>
                <w:bottom w:val="none" w:sz="0" w:space="0" w:color="auto"/>
                <w:right w:val="none" w:sz="0" w:space="0" w:color="auto"/>
              </w:pBdr>
              <w:textAlignment w:val="bottom"/>
            </w:pPr>
            <w:hyperlink r:id="rId125" w:anchor="if3e0e1bf9ecd4bf69551d7a85f98d64a_130" w:history="1">
              <w:r>
                <w:rPr>
                  <w:rStyle w:val="a5"/>
                  <w:rFonts w:ascii="Times New Roman" w:eastAsia="宋体" w:hAnsi="Times New Roman"/>
                  <w:sz w:val="20"/>
                  <w:szCs w:val="20"/>
                </w:rPr>
                <w:t>Note 19 — Subsequent Events</w:t>
              </w:r>
            </w:hyperlink>
          </w:p>
        </w:tc>
        <w:tc>
          <w:tcPr>
            <w:tcW w:w="0" w:type="auto"/>
            <w:gridSpan w:val="3"/>
            <w:shd w:val="clear" w:color="auto" w:fill="auto"/>
            <w:tcMar>
              <w:top w:w="40" w:type="dxa"/>
              <w:left w:w="20" w:type="dxa"/>
              <w:bottom w:w="40" w:type="dxa"/>
              <w:right w:w="20" w:type="dxa"/>
            </w:tcMar>
            <w:vAlign w:val="bottom"/>
          </w:tcPr>
          <w:p w14:paraId="33DA8E13" w14:textId="77777777" w:rsidR="004D6A64" w:rsidRDefault="00506CD6">
            <w:pPr>
              <w:pBdr>
                <w:top w:val="none" w:sz="0" w:space="0" w:color="auto"/>
                <w:left w:val="none" w:sz="0" w:space="0" w:color="auto"/>
                <w:bottom w:val="none" w:sz="0" w:space="0" w:color="auto"/>
                <w:right w:val="none" w:sz="0" w:space="0" w:color="auto"/>
              </w:pBdr>
              <w:jc w:val="center"/>
              <w:textAlignment w:val="bottom"/>
            </w:pPr>
            <w:hyperlink r:id="rId126" w:anchor="if3e0e1bf9ecd4bf69551d7a85f98d64a_130" w:history="1">
              <w:r>
                <w:rPr>
                  <w:rStyle w:val="a5"/>
                  <w:rFonts w:ascii="Times New Roman" w:eastAsia="宋体" w:hAnsi="Times New Roman"/>
                  <w:sz w:val="20"/>
                  <w:szCs w:val="20"/>
                </w:rPr>
                <w:t>63</w:t>
              </w:r>
            </w:hyperlink>
          </w:p>
        </w:tc>
      </w:tr>
    </w:tbl>
    <w:p w14:paraId="33DA8E15" w14:textId="77777777" w:rsidR="004D6A64" w:rsidRDefault="004D6A64"/>
    <w:p w14:paraId="33DA8E16" w14:textId="77777777" w:rsidR="004D6A64" w:rsidRDefault="004D6A64">
      <w:pPr>
        <w:jc w:val="center"/>
      </w:pPr>
    </w:p>
    <w:p w14:paraId="33DA8E17" w14:textId="77777777" w:rsidR="004D6A64" w:rsidRDefault="00506CD6">
      <w:pPr>
        <w:jc w:val="center"/>
      </w:pPr>
      <w:r>
        <w:rPr>
          <w:rFonts w:ascii="Times New Roman" w:eastAsia="宋体" w:hAnsi="Times New Roman"/>
          <w:color w:val="000000"/>
          <w:sz w:val="20"/>
          <w:szCs w:val="20"/>
        </w:rPr>
        <w:t>4</w:t>
      </w:r>
    </w:p>
    <w:p w14:paraId="33DA8E18" w14:textId="77777777" w:rsidR="004D6A64" w:rsidRDefault="004D6A64">
      <w:pPr>
        <w:jc w:val="center"/>
      </w:pPr>
    </w:p>
    <w:p w14:paraId="33DA8E19" w14:textId="77777777" w:rsidR="004D6A64" w:rsidRDefault="00506CD6">
      <w:r>
        <w:pict w14:anchorId="33DAFAC8">
          <v:rect id="_x0000_i1028" style="width:415.3pt;height:1.5pt" o:hralign="center" o:hrstd="t" o:hr="t" fillcolor="#a0a0a0" stroked="f"/>
        </w:pict>
      </w:r>
    </w:p>
    <w:p w14:paraId="33DA8E1A" w14:textId="77777777" w:rsidR="004D6A64" w:rsidRDefault="00506CD6">
      <w:hyperlink r:id="rId127" w:anchor="if3e0e1bf9ecd4bf69551d7a85f98d64a_10" w:history="1">
        <w:r>
          <w:rPr>
            <w:rStyle w:val="a5"/>
            <w:rFonts w:ascii="Times New Roman" w:eastAsia="宋体" w:hAnsi="Times New Roman"/>
            <w:sz w:val="20"/>
            <w:szCs w:val="20"/>
          </w:rPr>
          <w:t>Table of Contents</w:t>
        </w:r>
      </w:hyperlink>
    </w:p>
    <w:p w14:paraId="33DA8E1B" w14:textId="77777777" w:rsidR="004D6A64" w:rsidRDefault="00506CD6">
      <w:pPr>
        <w:spacing w:after="120"/>
        <w:jc w:val="center"/>
      </w:pPr>
      <w:r>
        <w:rPr>
          <w:rFonts w:ascii="Times New Roman" w:eastAsia="宋体" w:hAnsi="Times New Roman"/>
          <w:b/>
          <w:bCs/>
          <w:color w:val="000000"/>
          <w:sz w:val="20"/>
          <w:szCs w:val="20"/>
        </w:rPr>
        <w:t>DELL TECHNOLOGIES INC.</w:t>
      </w:r>
    </w:p>
    <w:p w14:paraId="33DA8E1C" w14:textId="77777777" w:rsidR="004D6A64" w:rsidRDefault="00506CD6">
      <w:pPr>
        <w:spacing w:after="60"/>
        <w:jc w:val="center"/>
      </w:pPr>
      <w:r>
        <w:rPr>
          <w:rFonts w:ascii="Times New Roman" w:eastAsia="宋体" w:hAnsi="Times New Roman"/>
          <w:b/>
          <w:bCs/>
          <w:color w:val="000000"/>
          <w:sz w:val="20"/>
          <w:szCs w:val="20"/>
        </w:rPr>
        <w:t xml:space="preserve">CONDENSED CONSOLIDATED STATEMENTS OF FINANCIAL </w:t>
      </w:r>
      <w:r>
        <w:rPr>
          <w:rFonts w:ascii="Times New Roman" w:eastAsia="宋体" w:hAnsi="Times New Roman"/>
          <w:b/>
          <w:bCs/>
          <w:color w:val="000000"/>
          <w:sz w:val="20"/>
          <w:szCs w:val="20"/>
        </w:rPr>
        <w:t>POSITION</w:t>
      </w:r>
    </w:p>
    <w:p w14:paraId="33DA8E1D" w14:textId="77777777" w:rsidR="004D6A64" w:rsidRDefault="00506CD6">
      <w:pPr>
        <w:jc w:val="center"/>
      </w:pPr>
      <w:r>
        <w:rPr>
          <w:rFonts w:ascii="Times New Roman" w:eastAsia="宋体" w:hAnsi="Times New Roman"/>
          <w:color w:val="000000"/>
          <w:sz w:val="20"/>
          <w:szCs w:val="20"/>
        </w:rPr>
        <w:t>(in millions;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088"/>
        <w:gridCol w:w="40"/>
        <w:gridCol w:w="135"/>
        <w:gridCol w:w="1191"/>
        <w:gridCol w:w="41"/>
        <w:gridCol w:w="36"/>
        <w:gridCol w:w="36"/>
        <w:gridCol w:w="36"/>
        <w:gridCol w:w="135"/>
        <w:gridCol w:w="1192"/>
        <w:gridCol w:w="41"/>
        <w:gridCol w:w="36"/>
        <w:gridCol w:w="36"/>
        <w:gridCol w:w="36"/>
        <w:gridCol w:w="36"/>
        <w:gridCol w:w="36"/>
        <w:gridCol w:w="36"/>
        <w:gridCol w:w="36"/>
        <w:gridCol w:w="36"/>
        <w:gridCol w:w="36"/>
      </w:tblGrid>
      <w:tr w:rsidR="004D6A64" w14:paraId="33DA8E2A" w14:textId="77777777">
        <w:trPr>
          <w:gridAfter w:val="9"/>
          <w:jc w:val="center"/>
        </w:trPr>
        <w:tc>
          <w:tcPr>
            <w:tcW w:w="50" w:type="pct"/>
            <w:shd w:val="clear" w:color="auto" w:fill="auto"/>
          </w:tcPr>
          <w:p w14:paraId="33DA8E1E" w14:textId="77777777" w:rsidR="004D6A64" w:rsidRDefault="004D6A64">
            <w:pPr>
              <w:rPr>
                <w:rFonts w:ascii="宋体"/>
              </w:rPr>
            </w:pPr>
          </w:p>
        </w:tc>
        <w:tc>
          <w:tcPr>
            <w:tcW w:w="3234" w:type="pct"/>
            <w:shd w:val="clear" w:color="auto" w:fill="auto"/>
          </w:tcPr>
          <w:p w14:paraId="33DA8E1F" w14:textId="77777777" w:rsidR="004D6A64" w:rsidRDefault="004D6A64">
            <w:pPr>
              <w:rPr>
                <w:rFonts w:ascii="宋体"/>
              </w:rPr>
            </w:pPr>
          </w:p>
        </w:tc>
        <w:tc>
          <w:tcPr>
            <w:tcW w:w="5" w:type="pct"/>
            <w:shd w:val="clear" w:color="auto" w:fill="auto"/>
          </w:tcPr>
          <w:p w14:paraId="33DA8E20" w14:textId="77777777" w:rsidR="004D6A64" w:rsidRDefault="004D6A64">
            <w:pPr>
              <w:rPr>
                <w:rFonts w:ascii="宋体"/>
              </w:rPr>
            </w:pPr>
          </w:p>
        </w:tc>
        <w:tc>
          <w:tcPr>
            <w:tcW w:w="50" w:type="pct"/>
            <w:shd w:val="clear" w:color="auto" w:fill="auto"/>
          </w:tcPr>
          <w:p w14:paraId="33DA8E21" w14:textId="77777777" w:rsidR="004D6A64" w:rsidRDefault="004D6A64">
            <w:pPr>
              <w:rPr>
                <w:rFonts w:ascii="宋体"/>
              </w:rPr>
            </w:pPr>
          </w:p>
        </w:tc>
        <w:tc>
          <w:tcPr>
            <w:tcW w:w="785" w:type="pct"/>
            <w:shd w:val="clear" w:color="auto" w:fill="auto"/>
          </w:tcPr>
          <w:p w14:paraId="33DA8E22" w14:textId="77777777" w:rsidR="004D6A64" w:rsidRDefault="004D6A64">
            <w:pPr>
              <w:rPr>
                <w:rFonts w:ascii="宋体"/>
              </w:rPr>
            </w:pPr>
          </w:p>
        </w:tc>
        <w:tc>
          <w:tcPr>
            <w:tcW w:w="5" w:type="pct"/>
            <w:shd w:val="clear" w:color="auto" w:fill="auto"/>
          </w:tcPr>
          <w:p w14:paraId="33DA8E23" w14:textId="77777777" w:rsidR="004D6A64" w:rsidRDefault="004D6A64">
            <w:pPr>
              <w:rPr>
                <w:rFonts w:ascii="宋体"/>
              </w:rPr>
            </w:pPr>
          </w:p>
        </w:tc>
        <w:tc>
          <w:tcPr>
            <w:tcW w:w="5" w:type="pct"/>
            <w:shd w:val="clear" w:color="auto" w:fill="auto"/>
          </w:tcPr>
          <w:p w14:paraId="33DA8E24" w14:textId="77777777" w:rsidR="004D6A64" w:rsidRDefault="004D6A64">
            <w:pPr>
              <w:rPr>
                <w:rFonts w:ascii="宋体"/>
              </w:rPr>
            </w:pPr>
          </w:p>
        </w:tc>
        <w:tc>
          <w:tcPr>
            <w:tcW w:w="19" w:type="pct"/>
            <w:shd w:val="clear" w:color="auto" w:fill="auto"/>
          </w:tcPr>
          <w:p w14:paraId="33DA8E25" w14:textId="77777777" w:rsidR="004D6A64" w:rsidRDefault="004D6A64">
            <w:pPr>
              <w:rPr>
                <w:rFonts w:ascii="宋体"/>
              </w:rPr>
            </w:pPr>
          </w:p>
        </w:tc>
        <w:tc>
          <w:tcPr>
            <w:tcW w:w="5" w:type="pct"/>
            <w:shd w:val="clear" w:color="auto" w:fill="auto"/>
          </w:tcPr>
          <w:p w14:paraId="33DA8E26" w14:textId="77777777" w:rsidR="004D6A64" w:rsidRDefault="004D6A64">
            <w:pPr>
              <w:rPr>
                <w:rFonts w:ascii="宋体"/>
              </w:rPr>
            </w:pPr>
          </w:p>
        </w:tc>
        <w:tc>
          <w:tcPr>
            <w:tcW w:w="50" w:type="pct"/>
            <w:shd w:val="clear" w:color="auto" w:fill="auto"/>
          </w:tcPr>
          <w:p w14:paraId="33DA8E27" w14:textId="77777777" w:rsidR="004D6A64" w:rsidRDefault="004D6A64">
            <w:pPr>
              <w:rPr>
                <w:rFonts w:ascii="宋体"/>
              </w:rPr>
            </w:pPr>
          </w:p>
        </w:tc>
        <w:tc>
          <w:tcPr>
            <w:tcW w:w="785" w:type="pct"/>
            <w:shd w:val="clear" w:color="auto" w:fill="auto"/>
          </w:tcPr>
          <w:p w14:paraId="33DA8E28" w14:textId="77777777" w:rsidR="004D6A64" w:rsidRDefault="004D6A64">
            <w:pPr>
              <w:rPr>
                <w:rFonts w:ascii="宋体"/>
              </w:rPr>
            </w:pPr>
          </w:p>
        </w:tc>
        <w:tc>
          <w:tcPr>
            <w:tcW w:w="5" w:type="pct"/>
            <w:shd w:val="clear" w:color="auto" w:fill="auto"/>
          </w:tcPr>
          <w:p w14:paraId="33DA8E29" w14:textId="77777777" w:rsidR="004D6A64" w:rsidRDefault="004D6A64">
            <w:pPr>
              <w:rPr>
                <w:rFonts w:ascii="宋体"/>
              </w:rPr>
            </w:pPr>
          </w:p>
        </w:tc>
      </w:tr>
      <w:tr w:rsidR="004D6A64" w14:paraId="33DA8E2F" w14:textId="77777777">
        <w:trPr>
          <w:gridAfter w:val="9"/>
          <w:jc w:val="center"/>
        </w:trPr>
        <w:tc>
          <w:tcPr>
            <w:tcW w:w="0" w:type="auto"/>
            <w:gridSpan w:val="3"/>
            <w:shd w:val="clear" w:color="auto" w:fill="auto"/>
            <w:tcMar>
              <w:left w:w="20" w:type="dxa"/>
              <w:right w:w="20" w:type="dxa"/>
            </w:tcMar>
            <w:vAlign w:val="bottom"/>
          </w:tcPr>
          <w:p w14:paraId="33DA8E2B" w14:textId="77777777" w:rsidR="004D6A64" w:rsidRDefault="004D6A6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center"/>
          </w:tcPr>
          <w:p w14:paraId="33DA8E2C" w14:textId="77777777" w:rsidR="004D6A64" w:rsidRDefault="00506CD6">
            <w:pPr>
              <w:jc w:val="center"/>
              <w:textAlignment w:val="center"/>
            </w:pPr>
            <w:r>
              <w:rPr>
                <w:rFonts w:ascii="Times New Roman" w:eastAsia="宋体" w:hAnsi="Times New Roman"/>
                <w:b/>
                <w:bCs/>
                <w:color w:val="000000"/>
                <w:sz w:val="20"/>
                <w:szCs w:val="20"/>
              </w:rPr>
              <w:t>July 31, 2020</w:t>
            </w:r>
          </w:p>
        </w:tc>
        <w:tc>
          <w:tcPr>
            <w:tcW w:w="0" w:type="auto"/>
            <w:gridSpan w:val="3"/>
            <w:shd w:val="clear" w:color="auto" w:fill="auto"/>
            <w:tcMar>
              <w:left w:w="20" w:type="dxa"/>
              <w:right w:w="20" w:type="dxa"/>
            </w:tcMar>
            <w:vAlign w:val="bottom"/>
          </w:tcPr>
          <w:p w14:paraId="33DA8E2D" w14:textId="77777777" w:rsidR="004D6A64" w:rsidRDefault="004D6A6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center"/>
          </w:tcPr>
          <w:p w14:paraId="33DA8E2E" w14:textId="77777777" w:rsidR="004D6A64" w:rsidRDefault="00506CD6">
            <w:pPr>
              <w:jc w:val="center"/>
              <w:textAlignment w:val="center"/>
            </w:pPr>
            <w:r>
              <w:rPr>
                <w:rFonts w:ascii="Times New Roman" w:eastAsia="宋体" w:hAnsi="Times New Roman"/>
                <w:b/>
                <w:bCs/>
                <w:color w:val="000000"/>
                <w:sz w:val="20"/>
                <w:szCs w:val="20"/>
              </w:rPr>
              <w:t>January 31, 2020</w:t>
            </w:r>
          </w:p>
        </w:tc>
      </w:tr>
      <w:tr w:rsidR="004D6A64" w14:paraId="33DA8E34" w14:textId="77777777">
        <w:trPr>
          <w:jc w:val="center"/>
        </w:trPr>
        <w:tc>
          <w:tcPr>
            <w:tcW w:w="0" w:type="auto"/>
            <w:gridSpan w:val="12"/>
            <w:shd w:val="clear" w:color="auto" w:fill="auto"/>
            <w:tcMar>
              <w:top w:w="40" w:type="dxa"/>
              <w:left w:w="20" w:type="dxa"/>
              <w:bottom w:w="40" w:type="dxa"/>
              <w:right w:w="20" w:type="dxa"/>
            </w:tcMar>
            <w:vAlign w:val="center"/>
          </w:tcPr>
          <w:p w14:paraId="33DA8E30" w14:textId="77777777" w:rsidR="004D6A64" w:rsidRDefault="00506CD6">
            <w:pPr>
              <w:jc w:val="center"/>
              <w:textAlignment w:val="center"/>
            </w:pPr>
            <w:r>
              <w:rPr>
                <w:rFonts w:ascii="Times New Roman" w:eastAsia="宋体" w:hAnsi="Times New Roman"/>
                <w:b/>
                <w:bCs/>
                <w:color w:val="000000"/>
                <w:sz w:val="20"/>
                <w:szCs w:val="20"/>
              </w:rPr>
              <w:t>ASSETS</w:t>
            </w:r>
          </w:p>
        </w:tc>
        <w:tc>
          <w:tcPr>
            <w:tcW w:w="0" w:type="auto"/>
            <w:gridSpan w:val="3"/>
            <w:shd w:val="clear" w:color="auto" w:fill="auto"/>
          </w:tcPr>
          <w:p w14:paraId="33DA8E31" w14:textId="77777777" w:rsidR="004D6A64" w:rsidRDefault="004D6A64">
            <w:pPr>
              <w:rPr>
                <w:rFonts w:ascii="宋体"/>
                <w:vanish/>
              </w:rPr>
            </w:pPr>
          </w:p>
        </w:tc>
        <w:tc>
          <w:tcPr>
            <w:tcW w:w="0" w:type="auto"/>
            <w:gridSpan w:val="3"/>
            <w:shd w:val="clear" w:color="auto" w:fill="auto"/>
          </w:tcPr>
          <w:p w14:paraId="33DA8E32" w14:textId="77777777" w:rsidR="004D6A64" w:rsidRDefault="004D6A64">
            <w:pPr>
              <w:rPr>
                <w:rFonts w:ascii="宋体"/>
                <w:vanish/>
              </w:rPr>
            </w:pPr>
          </w:p>
        </w:tc>
        <w:tc>
          <w:tcPr>
            <w:tcW w:w="0" w:type="auto"/>
            <w:gridSpan w:val="3"/>
            <w:shd w:val="clear" w:color="auto" w:fill="auto"/>
          </w:tcPr>
          <w:p w14:paraId="33DA8E33" w14:textId="77777777" w:rsidR="004D6A64" w:rsidRDefault="004D6A64">
            <w:pPr>
              <w:rPr>
                <w:rFonts w:ascii="宋体"/>
                <w:vanish/>
              </w:rPr>
            </w:pPr>
          </w:p>
        </w:tc>
      </w:tr>
      <w:tr w:rsidR="004D6A64" w14:paraId="33DA8E42" w14:textId="77777777">
        <w:trPr>
          <w:jc w:val="center"/>
        </w:trPr>
        <w:tc>
          <w:tcPr>
            <w:tcW w:w="0" w:type="auto"/>
            <w:gridSpan w:val="3"/>
            <w:shd w:val="clear" w:color="auto" w:fill="CCEEFF"/>
            <w:tcMar>
              <w:top w:w="40" w:type="dxa"/>
              <w:left w:w="20" w:type="dxa"/>
              <w:bottom w:w="40" w:type="dxa"/>
              <w:right w:w="20" w:type="dxa"/>
            </w:tcMar>
            <w:vAlign w:val="center"/>
          </w:tcPr>
          <w:p w14:paraId="33DA8E35" w14:textId="77777777" w:rsidR="004D6A64" w:rsidRDefault="00506CD6">
            <w:pPr>
              <w:textAlignment w:val="center"/>
            </w:pPr>
            <w:r>
              <w:rPr>
                <w:rFonts w:ascii="Times New Roman" w:eastAsia="宋体" w:hAnsi="Times New Roman"/>
                <w:color w:val="000000"/>
                <w:sz w:val="20"/>
                <w:szCs w:val="20"/>
              </w:rPr>
              <w:t>Current assets:</w:t>
            </w:r>
          </w:p>
        </w:tc>
        <w:tc>
          <w:tcPr>
            <w:tcW w:w="0" w:type="auto"/>
            <w:gridSpan w:val="3"/>
            <w:shd w:val="clear" w:color="auto" w:fill="CCEEFF"/>
            <w:tcMar>
              <w:top w:w="40" w:type="dxa"/>
              <w:left w:w="20" w:type="dxa"/>
              <w:bottom w:w="40" w:type="dxa"/>
              <w:right w:w="20" w:type="dxa"/>
            </w:tcMar>
            <w:vAlign w:val="center"/>
          </w:tcPr>
          <w:p w14:paraId="33DA8E36" w14:textId="77777777" w:rsidR="004D6A64" w:rsidRDefault="00506CD6">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left w:w="20" w:type="dxa"/>
              <w:right w:w="20" w:type="dxa"/>
            </w:tcMar>
            <w:vAlign w:val="bottom"/>
          </w:tcPr>
          <w:p w14:paraId="33DA8E37" w14:textId="77777777" w:rsidR="004D6A64" w:rsidRDefault="004D6A64">
            <w:pPr>
              <w:rPr>
                <w:rFonts w:ascii="宋体"/>
              </w:rPr>
            </w:pPr>
          </w:p>
        </w:tc>
        <w:tc>
          <w:tcPr>
            <w:tcW w:w="0" w:type="auto"/>
            <w:gridSpan w:val="3"/>
            <w:shd w:val="clear" w:color="auto" w:fill="CCEEFF"/>
            <w:tcMar>
              <w:top w:w="40" w:type="dxa"/>
              <w:left w:w="20" w:type="dxa"/>
              <w:bottom w:w="40" w:type="dxa"/>
              <w:right w:w="20" w:type="dxa"/>
            </w:tcMar>
            <w:vAlign w:val="center"/>
          </w:tcPr>
          <w:p w14:paraId="33DA8E38"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auto"/>
          </w:tcPr>
          <w:p w14:paraId="33DA8E39" w14:textId="77777777" w:rsidR="004D6A64" w:rsidRDefault="004D6A64">
            <w:pPr>
              <w:rPr>
                <w:rFonts w:ascii="宋体"/>
              </w:rPr>
            </w:pPr>
          </w:p>
        </w:tc>
        <w:tc>
          <w:tcPr>
            <w:tcW w:w="0" w:type="auto"/>
            <w:shd w:val="clear" w:color="auto" w:fill="auto"/>
          </w:tcPr>
          <w:p w14:paraId="33DA8E3A" w14:textId="77777777" w:rsidR="004D6A64" w:rsidRDefault="004D6A64">
            <w:pPr>
              <w:rPr>
                <w:rFonts w:ascii="宋体"/>
              </w:rPr>
            </w:pPr>
          </w:p>
        </w:tc>
        <w:tc>
          <w:tcPr>
            <w:tcW w:w="0" w:type="auto"/>
            <w:shd w:val="clear" w:color="auto" w:fill="auto"/>
          </w:tcPr>
          <w:p w14:paraId="33DA8E3B" w14:textId="77777777" w:rsidR="004D6A64" w:rsidRDefault="004D6A64">
            <w:pPr>
              <w:rPr>
                <w:rFonts w:ascii="宋体"/>
              </w:rPr>
            </w:pPr>
          </w:p>
        </w:tc>
        <w:tc>
          <w:tcPr>
            <w:tcW w:w="0" w:type="auto"/>
            <w:shd w:val="clear" w:color="auto" w:fill="auto"/>
          </w:tcPr>
          <w:p w14:paraId="33DA8E3C" w14:textId="77777777" w:rsidR="004D6A64" w:rsidRDefault="004D6A64">
            <w:pPr>
              <w:rPr>
                <w:rFonts w:ascii="宋体"/>
              </w:rPr>
            </w:pPr>
          </w:p>
        </w:tc>
        <w:tc>
          <w:tcPr>
            <w:tcW w:w="0" w:type="auto"/>
            <w:shd w:val="clear" w:color="auto" w:fill="auto"/>
          </w:tcPr>
          <w:p w14:paraId="33DA8E3D" w14:textId="77777777" w:rsidR="004D6A64" w:rsidRDefault="004D6A64">
            <w:pPr>
              <w:rPr>
                <w:rFonts w:ascii="宋体"/>
              </w:rPr>
            </w:pPr>
          </w:p>
        </w:tc>
        <w:tc>
          <w:tcPr>
            <w:tcW w:w="0" w:type="auto"/>
            <w:shd w:val="clear" w:color="auto" w:fill="auto"/>
          </w:tcPr>
          <w:p w14:paraId="33DA8E3E" w14:textId="77777777" w:rsidR="004D6A64" w:rsidRDefault="004D6A64">
            <w:pPr>
              <w:rPr>
                <w:rFonts w:ascii="宋体"/>
              </w:rPr>
            </w:pPr>
          </w:p>
        </w:tc>
        <w:tc>
          <w:tcPr>
            <w:tcW w:w="0" w:type="auto"/>
            <w:shd w:val="clear" w:color="auto" w:fill="auto"/>
          </w:tcPr>
          <w:p w14:paraId="33DA8E3F" w14:textId="77777777" w:rsidR="004D6A64" w:rsidRDefault="004D6A64">
            <w:pPr>
              <w:rPr>
                <w:rFonts w:ascii="宋体"/>
              </w:rPr>
            </w:pPr>
          </w:p>
        </w:tc>
        <w:tc>
          <w:tcPr>
            <w:tcW w:w="0" w:type="auto"/>
            <w:shd w:val="clear" w:color="auto" w:fill="auto"/>
          </w:tcPr>
          <w:p w14:paraId="33DA8E40" w14:textId="77777777" w:rsidR="004D6A64" w:rsidRDefault="004D6A64">
            <w:pPr>
              <w:rPr>
                <w:rFonts w:ascii="宋体"/>
              </w:rPr>
            </w:pPr>
          </w:p>
        </w:tc>
        <w:tc>
          <w:tcPr>
            <w:tcW w:w="0" w:type="auto"/>
            <w:shd w:val="clear" w:color="auto" w:fill="auto"/>
          </w:tcPr>
          <w:p w14:paraId="33DA8E41" w14:textId="77777777" w:rsidR="004D6A64" w:rsidRDefault="004D6A64">
            <w:pPr>
              <w:rPr>
                <w:rFonts w:ascii="宋体"/>
              </w:rPr>
            </w:pPr>
          </w:p>
        </w:tc>
      </w:tr>
      <w:tr w:rsidR="004D6A64" w14:paraId="33DA8E54" w14:textId="77777777">
        <w:trPr>
          <w:jc w:val="center"/>
        </w:trPr>
        <w:tc>
          <w:tcPr>
            <w:tcW w:w="0" w:type="auto"/>
            <w:gridSpan w:val="3"/>
            <w:shd w:val="clear" w:color="auto" w:fill="FFFFFF"/>
            <w:tcMar>
              <w:top w:w="40" w:type="dxa"/>
              <w:left w:w="225" w:type="dxa"/>
              <w:bottom w:w="40" w:type="dxa"/>
              <w:right w:w="20" w:type="dxa"/>
            </w:tcMar>
            <w:vAlign w:val="center"/>
          </w:tcPr>
          <w:p w14:paraId="33DA8E43" w14:textId="77777777" w:rsidR="004D6A64" w:rsidRDefault="00506CD6">
            <w:pPr>
              <w:textAlignment w:val="center"/>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tcMar>
            <w:vAlign w:val="center"/>
          </w:tcPr>
          <w:p w14:paraId="33DA8E44"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8E45" w14:textId="77777777" w:rsidR="004D6A64" w:rsidRDefault="00506CD6">
            <w:pPr>
              <w:jc w:val="right"/>
              <w:textAlignment w:val="center"/>
            </w:pPr>
            <w:r>
              <w:rPr>
                <w:rFonts w:ascii="Times New Roman" w:eastAsia="宋体" w:hAnsi="Times New Roman"/>
                <w:color w:val="000000"/>
                <w:sz w:val="20"/>
                <w:szCs w:val="20"/>
              </w:rPr>
              <w:t>11,221 </w:t>
            </w:r>
          </w:p>
        </w:tc>
        <w:tc>
          <w:tcPr>
            <w:tcW w:w="0" w:type="auto"/>
            <w:shd w:val="clear" w:color="auto" w:fill="FFFFFF"/>
            <w:tcMar>
              <w:top w:w="40" w:type="dxa"/>
              <w:bottom w:w="40" w:type="dxa"/>
              <w:right w:w="20" w:type="dxa"/>
            </w:tcMar>
            <w:vAlign w:val="center"/>
          </w:tcPr>
          <w:p w14:paraId="33DA8E4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8E47"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8E48"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8E49" w14:textId="77777777" w:rsidR="004D6A64" w:rsidRDefault="00506CD6">
            <w:pPr>
              <w:jc w:val="right"/>
              <w:textAlignment w:val="center"/>
            </w:pPr>
            <w:r>
              <w:rPr>
                <w:rFonts w:ascii="Times New Roman" w:eastAsia="宋体" w:hAnsi="Times New Roman"/>
                <w:color w:val="000000"/>
                <w:sz w:val="20"/>
                <w:szCs w:val="20"/>
              </w:rPr>
              <w:t>9,302 </w:t>
            </w:r>
          </w:p>
        </w:tc>
        <w:tc>
          <w:tcPr>
            <w:tcW w:w="0" w:type="auto"/>
            <w:shd w:val="clear" w:color="auto" w:fill="FFFFFF"/>
            <w:tcMar>
              <w:top w:w="40" w:type="dxa"/>
              <w:bottom w:w="40" w:type="dxa"/>
              <w:right w:w="20" w:type="dxa"/>
            </w:tcMar>
            <w:vAlign w:val="center"/>
          </w:tcPr>
          <w:p w14:paraId="33DA8E4A" w14:textId="77777777" w:rsidR="004D6A64" w:rsidRDefault="004D6A64">
            <w:pPr>
              <w:jc w:val="right"/>
              <w:rPr>
                <w:rFonts w:ascii="宋体"/>
              </w:rPr>
            </w:pPr>
          </w:p>
        </w:tc>
        <w:tc>
          <w:tcPr>
            <w:tcW w:w="0" w:type="auto"/>
            <w:shd w:val="clear" w:color="auto" w:fill="auto"/>
          </w:tcPr>
          <w:p w14:paraId="33DA8E4B" w14:textId="77777777" w:rsidR="004D6A64" w:rsidRDefault="004D6A64">
            <w:pPr>
              <w:rPr>
                <w:rFonts w:ascii="宋体"/>
              </w:rPr>
            </w:pPr>
          </w:p>
        </w:tc>
        <w:tc>
          <w:tcPr>
            <w:tcW w:w="0" w:type="auto"/>
            <w:shd w:val="clear" w:color="auto" w:fill="auto"/>
          </w:tcPr>
          <w:p w14:paraId="33DA8E4C" w14:textId="77777777" w:rsidR="004D6A64" w:rsidRDefault="004D6A64">
            <w:pPr>
              <w:rPr>
                <w:rFonts w:ascii="宋体"/>
              </w:rPr>
            </w:pPr>
          </w:p>
        </w:tc>
        <w:tc>
          <w:tcPr>
            <w:tcW w:w="0" w:type="auto"/>
            <w:shd w:val="clear" w:color="auto" w:fill="auto"/>
          </w:tcPr>
          <w:p w14:paraId="33DA8E4D" w14:textId="77777777" w:rsidR="004D6A64" w:rsidRDefault="004D6A64">
            <w:pPr>
              <w:rPr>
                <w:rFonts w:ascii="宋体"/>
              </w:rPr>
            </w:pPr>
          </w:p>
        </w:tc>
        <w:tc>
          <w:tcPr>
            <w:tcW w:w="0" w:type="auto"/>
            <w:shd w:val="clear" w:color="auto" w:fill="auto"/>
          </w:tcPr>
          <w:p w14:paraId="33DA8E4E" w14:textId="77777777" w:rsidR="004D6A64" w:rsidRDefault="004D6A64">
            <w:pPr>
              <w:rPr>
                <w:rFonts w:ascii="宋体"/>
              </w:rPr>
            </w:pPr>
          </w:p>
        </w:tc>
        <w:tc>
          <w:tcPr>
            <w:tcW w:w="0" w:type="auto"/>
            <w:shd w:val="clear" w:color="auto" w:fill="auto"/>
          </w:tcPr>
          <w:p w14:paraId="33DA8E4F" w14:textId="77777777" w:rsidR="004D6A64" w:rsidRDefault="004D6A64">
            <w:pPr>
              <w:rPr>
                <w:rFonts w:ascii="宋体"/>
              </w:rPr>
            </w:pPr>
          </w:p>
        </w:tc>
        <w:tc>
          <w:tcPr>
            <w:tcW w:w="0" w:type="auto"/>
            <w:shd w:val="clear" w:color="auto" w:fill="auto"/>
          </w:tcPr>
          <w:p w14:paraId="33DA8E50" w14:textId="77777777" w:rsidR="004D6A64" w:rsidRDefault="004D6A64">
            <w:pPr>
              <w:rPr>
                <w:rFonts w:ascii="宋体"/>
              </w:rPr>
            </w:pPr>
          </w:p>
        </w:tc>
        <w:tc>
          <w:tcPr>
            <w:tcW w:w="0" w:type="auto"/>
            <w:shd w:val="clear" w:color="auto" w:fill="auto"/>
          </w:tcPr>
          <w:p w14:paraId="33DA8E51" w14:textId="77777777" w:rsidR="004D6A64" w:rsidRDefault="004D6A64">
            <w:pPr>
              <w:rPr>
                <w:rFonts w:ascii="宋体"/>
              </w:rPr>
            </w:pPr>
          </w:p>
        </w:tc>
        <w:tc>
          <w:tcPr>
            <w:tcW w:w="0" w:type="auto"/>
            <w:shd w:val="clear" w:color="auto" w:fill="auto"/>
          </w:tcPr>
          <w:p w14:paraId="33DA8E52" w14:textId="77777777" w:rsidR="004D6A64" w:rsidRDefault="004D6A64">
            <w:pPr>
              <w:rPr>
                <w:rFonts w:ascii="宋体"/>
              </w:rPr>
            </w:pPr>
          </w:p>
        </w:tc>
        <w:tc>
          <w:tcPr>
            <w:tcW w:w="0" w:type="auto"/>
            <w:shd w:val="clear" w:color="auto" w:fill="auto"/>
          </w:tcPr>
          <w:p w14:paraId="33DA8E53" w14:textId="77777777" w:rsidR="004D6A64" w:rsidRDefault="004D6A64">
            <w:pPr>
              <w:rPr>
                <w:rFonts w:ascii="宋体"/>
              </w:rPr>
            </w:pPr>
          </w:p>
        </w:tc>
      </w:tr>
      <w:tr w:rsidR="004D6A64" w14:paraId="33DA8E62" w14:textId="77777777">
        <w:trPr>
          <w:jc w:val="center"/>
          <w:hidden/>
        </w:trPr>
        <w:tc>
          <w:tcPr>
            <w:tcW w:w="0" w:type="auto"/>
            <w:gridSpan w:val="3"/>
            <w:shd w:val="clear" w:color="auto" w:fill="auto"/>
          </w:tcPr>
          <w:p w14:paraId="33DA8E55" w14:textId="77777777" w:rsidR="004D6A64" w:rsidRDefault="004D6A64">
            <w:pPr>
              <w:rPr>
                <w:rFonts w:ascii="宋体"/>
                <w:vanish/>
              </w:rPr>
            </w:pPr>
          </w:p>
        </w:tc>
        <w:tc>
          <w:tcPr>
            <w:tcW w:w="0" w:type="auto"/>
            <w:gridSpan w:val="3"/>
            <w:shd w:val="clear" w:color="auto" w:fill="auto"/>
          </w:tcPr>
          <w:p w14:paraId="33DA8E56" w14:textId="77777777" w:rsidR="004D6A64" w:rsidRDefault="004D6A64">
            <w:pPr>
              <w:rPr>
                <w:rFonts w:ascii="宋体"/>
                <w:vanish/>
              </w:rPr>
            </w:pPr>
          </w:p>
        </w:tc>
        <w:tc>
          <w:tcPr>
            <w:tcW w:w="0" w:type="auto"/>
            <w:gridSpan w:val="3"/>
            <w:shd w:val="clear" w:color="auto" w:fill="auto"/>
          </w:tcPr>
          <w:p w14:paraId="33DA8E57" w14:textId="77777777" w:rsidR="004D6A64" w:rsidRDefault="004D6A64">
            <w:pPr>
              <w:rPr>
                <w:rFonts w:ascii="宋体"/>
                <w:vanish/>
              </w:rPr>
            </w:pPr>
          </w:p>
        </w:tc>
        <w:tc>
          <w:tcPr>
            <w:tcW w:w="0" w:type="auto"/>
            <w:gridSpan w:val="3"/>
            <w:shd w:val="clear" w:color="auto" w:fill="auto"/>
          </w:tcPr>
          <w:p w14:paraId="33DA8E58" w14:textId="77777777" w:rsidR="004D6A64" w:rsidRDefault="004D6A64">
            <w:pPr>
              <w:rPr>
                <w:rFonts w:ascii="宋体"/>
                <w:vanish/>
              </w:rPr>
            </w:pPr>
          </w:p>
        </w:tc>
        <w:tc>
          <w:tcPr>
            <w:tcW w:w="0" w:type="auto"/>
            <w:shd w:val="clear" w:color="auto" w:fill="auto"/>
          </w:tcPr>
          <w:p w14:paraId="33DA8E59" w14:textId="77777777" w:rsidR="004D6A64" w:rsidRDefault="004D6A64">
            <w:pPr>
              <w:rPr>
                <w:rFonts w:ascii="宋体"/>
              </w:rPr>
            </w:pPr>
          </w:p>
        </w:tc>
        <w:tc>
          <w:tcPr>
            <w:tcW w:w="0" w:type="auto"/>
            <w:shd w:val="clear" w:color="auto" w:fill="auto"/>
          </w:tcPr>
          <w:p w14:paraId="33DA8E5A" w14:textId="77777777" w:rsidR="004D6A64" w:rsidRDefault="004D6A64">
            <w:pPr>
              <w:rPr>
                <w:rFonts w:ascii="宋体"/>
              </w:rPr>
            </w:pPr>
          </w:p>
        </w:tc>
        <w:tc>
          <w:tcPr>
            <w:tcW w:w="0" w:type="auto"/>
            <w:shd w:val="clear" w:color="auto" w:fill="auto"/>
          </w:tcPr>
          <w:p w14:paraId="33DA8E5B" w14:textId="77777777" w:rsidR="004D6A64" w:rsidRDefault="004D6A64">
            <w:pPr>
              <w:rPr>
                <w:rFonts w:ascii="宋体"/>
              </w:rPr>
            </w:pPr>
          </w:p>
        </w:tc>
        <w:tc>
          <w:tcPr>
            <w:tcW w:w="0" w:type="auto"/>
            <w:shd w:val="clear" w:color="auto" w:fill="auto"/>
          </w:tcPr>
          <w:p w14:paraId="33DA8E5C" w14:textId="77777777" w:rsidR="004D6A64" w:rsidRDefault="004D6A64">
            <w:pPr>
              <w:rPr>
                <w:rFonts w:ascii="宋体"/>
              </w:rPr>
            </w:pPr>
          </w:p>
        </w:tc>
        <w:tc>
          <w:tcPr>
            <w:tcW w:w="0" w:type="auto"/>
            <w:shd w:val="clear" w:color="auto" w:fill="auto"/>
          </w:tcPr>
          <w:p w14:paraId="33DA8E5D" w14:textId="77777777" w:rsidR="004D6A64" w:rsidRDefault="004D6A64">
            <w:pPr>
              <w:rPr>
                <w:rFonts w:ascii="宋体"/>
              </w:rPr>
            </w:pPr>
          </w:p>
        </w:tc>
        <w:tc>
          <w:tcPr>
            <w:tcW w:w="0" w:type="auto"/>
            <w:shd w:val="clear" w:color="auto" w:fill="auto"/>
          </w:tcPr>
          <w:p w14:paraId="33DA8E5E" w14:textId="77777777" w:rsidR="004D6A64" w:rsidRDefault="004D6A64">
            <w:pPr>
              <w:rPr>
                <w:rFonts w:ascii="宋体"/>
              </w:rPr>
            </w:pPr>
          </w:p>
        </w:tc>
        <w:tc>
          <w:tcPr>
            <w:tcW w:w="0" w:type="auto"/>
            <w:shd w:val="clear" w:color="auto" w:fill="auto"/>
          </w:tcPr>
          <w:p w14:paraId="33DA8E5F" w14:textId="77777777" w:rsidR="004D6A64" w:rsidRDefault="004D6A64">
            <w:pPr>
              <w:rPr>
                <w:rFonts w:ascii="宋体"/>
              </w:rPr>
            </w:pPr>
          </w:p>
        </w:tc>
        <w:tc>
          <w:tcPr>
            <w:tcW w:w="0" w:type="auto"/>
            <w:shd w:val="clear" w:color="auto" w:fill="auto"/>
          </w:tcPr>
          <w:p w14:paraId="33DA8E60" w14:textId="77777777" w:rsidR="004D6A64" w:rsidRDefault="004D6A64">
            <w:pPr>
              <w:rPr>
                <w:rFonts w:ascii="宋体"/>
              </w:rPr>
            </w:pPr>
          </w:p>
        </w:tc>
        <w:tc>
          <w:tcPr>
            <w:tcW w:w="0" w:type="auto"/>
            <w:shd w:val="clear" w:color="auto" w:fill="auto"/>
          </w:tcPr>
          <w:p w14:paraId="33DA8E61" w14:textId="77777777" w:rsidR="004D6A64" w:rsidRDefault="004D6A64">
            <w:pPr>
              <w:rPr>
                <w:rFonts w:ascii="宋体"/>
              </w:rPr>
            </w:pPr>
          </w:p>
        </w:tc>
      </w:tr>
      <w:tr w:rsidR="004D6A64" w14:paraId="33DA8E72" w14:textId="77777777">
        <w:trPr>
          <w:jc w:val="center"/>
        </w:trPr>
        <w:tc>
          <w:tcPr>
            <w:tcW w:w="0" w:type="auto"/>
            <w:gridSpan w:val="3"/>
            <w:shd w:val="clear" w:color="auto" w:fill="CCEEFF"/>
            <w:tcMar>
              <w:top w:w="40" w:type="dxa"/>
              <w:left w:w="20" w:type="dxa"/>
              <w:bottom w:w="40" w:type="dxa"/>
              <w:right w:w="20" w:type="dxa"/>
            </w:tcMar>
            <w:vAlign w:val="center"/>
          </w:tcPr>
          <w:p w14:paraId="33DA8E63"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 xml:space="preserve">Accounts receivable, net of allowance of $146 and $94 </w:t>
            </w:r>
            <w:r>
              <w:rPr>
                <w:rFonts w:ascii="Times New Roman" w:eastAsia="宋体" w:hAnsi="Times New Roman"/>
                <w:color w:val="000000"/>
                <w:sz w:val="20"/>
                <w:szCs w:val="20"/>
              </w:rPr>
              <w:t>(Note 18)</w:t>
            </w:r>
          </w:p>
        </w:tc>
        <w:tc>
          <w:tcPr>
            <w:tcW w:w="0" w:type="auto"/>
            <w:gridSpan w:val="2"/>
            <w:shd w:val="clear" w:color="auto" w:fill="CCEEFF"/>
            <w:tcMar>
              <w:top w:w="40" w:type="dxa"/>
              <w:left w:w="20" w:type="dxa"/>
              <w:bottom w:w="40" w:type="dxa"/>
              <w:right w:w="0" w:type="dxa"/>
            </w:tcMar>
            <w:vAlign w:val="center"/>
          </w:tcPr>
          <w:p w14:paraId="33DA8E64" w14:textId="77777777" w:rsidR="004D6A64" w:rsidRDefault="00506CD6">
            <w:pPr>
              <w:jc w:val="right"/>
              <w:textAlignment w:val="center"/>
            </w:pPr>
            <w:r>
              <w:rPr>
                <w:rFonts w:ascii="Times New Roman" w:eastAsia="宋体" w:hAnsi="Times New Roman"/>
                <w:color w:val="000000"/>
                <w:sz w:val="20"/>
                <w:szCs w:val="20"/>
              </w:rPr>
              <w:t>11,643 </w:t>
            </w:r>
          </w:p>
        </w:tc>
        <w:tc>
          <w:tcPr>
            <w:tcW w:w="0" w:type="auto"/>
            <w:shd w:val="clear" w:color="auto" w:fill="CCEEFF"/>
            <w:tcMar>
              <w:top w:w="40" w:type="dxa"/>
              <w:bottom w:w="40" w:type="dxa"/>
              <w:right w:w="20" w:type="dxa"/>
            </w:tcMar>
            <w:vAlign w:val="center"/>
          </w:tcPr>
          <w:p w14:paraId="33DA8E6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8E6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8E67" w14:textId="77777777" w:rsidR="004D6A64" w:rsidRDefault="00506CD6">
            <w:pPr>
              <w:jc w:val="right"/>
              <w:textAlignment w:val="center"/>
            </w:pPr>
            <w:r>
              <w:rPr>
                <w:rFonts w:ascii="Times New Roman" w:eastAsia="宋体" w:hAnsi="Times New Roman"/>
                <w:color w:val="000000"/>
                <w:sz w:val="20"/>
                <w:szCs w:val="20"/>
              </w:rPr>
              <w:t>12,484 </w:t>
            </w:r>
          </w:p>
        </w:tc>
        <w:tc>
          <w:tcPr>
            <w:tcW w:w="0" w:type="auto"/>
            <w:shd w:val="clear" w:color="auto" w:fill="CCEEFF"/>
            <w:tcMar>
              <w:top w:w="40" w:type="dxa"/>
              <w:bottom w:w="40" w:type="dxa"/>
              <w:right w:w="20" w:type="dxa"/>
            </w:tcMar>
            <w:vAlign w:val="center"/>
          </w:tcPr>
          <w:p w14:paraId="33DA8E68" w14:textId="77777777" w:rsidR="004D6A64" w:rsidRDefault="004D6A64">
            <w:pPr>
              <w:jc w:val="right"/>
              <w:rPr>
                <w:rFonts w:ascii="宋体"/>
              </w:rPr>
            </w:pPr>
          </w:p>
        </w:tc>
        <w:tc>
          <w:tcPr>
            <w:tcW w:w="0" w:type="auto"/>
            <w:shd w:val="clear" w:color="auto" w:fill="auto"/>
          </w:tcPr>
          <w:p w14:paraId="33DA8E69" w14:textId="77777777" w:rsidR="004D6A64" w:rsidRDefault="004D6A64">
            <w:pPr>
              <w:rPr>
                <w:rFonts w:ascii="宋体"/>
              </w:rPr>
            </w:pPr>
          </w:p>
        </w:tc>
        <w:tc>
          <w:tcPr>
            <w:tcW w:w="0" w:type="auto"/>
            <w:shd w:val="clear" w:color="auto" w:fill="auto"/>
          </w:tcPr>
          <w:p w14:paraId="33DA8E6A" w14:textId="77777777" w:rsidR="004D6A64" w:rsidRDefault="004D6A64">
            <w:pPr>
              <w:rPr>
                <w:rFonts w:ascii="宋体"/>
              </w:rPr>
            </w:pPr>
          </w:p>
        </w:tc>
        <w:tc>
          <w:tcPr>
            <w:tcW w:w="0" w:type="auto"/>
            <w:shd w:val="clear" w:color="auto" w:fill="auto"/>
          </w:tcPr>
          <w:p w14:paraId="33DA8E6B" w14:textId="77777777" w:rsidR="004D6A64" w:rsidRDefault="004D6A64">
            <w:pPr>
              <w:rPr>
                <w:rFonts w:ascii="宋体"/>
              </w:rPr>
            </w:pPr>
          </w:p>
        </w:tc>
        <w:tc>
          <w:tcPr>
            <w:tcW w:w="0" w:type="auto"/>
            <w:shd w:val="clear" w:color="auto" w:fill="auto"/>
          </w:tcPr>
          <w:p w14:paraId="33DA8E6C" w14:textId="77777777" w:rsidR="004D6A64" w:rsidRDefault="004D6A64">
            <w:pPr>
              <w:rPr>
                <w:rFonts w:ascii="宋体"/>
              </w:rPr>
            </w:pPr>
          </w:p>
        </w:tc>
        <w:tc>
          <w:tcPr>
            <w:tcW w:w="0" w:type="auto"/>
            <w:shd w:val="clear" w:color="auto" w:fill="auto"/>
          </w:tcPr>
          <w:p w14:paraId="33DA8E6D" w14:textId="77777777" w:rsidR="004D6A64" w:rsidRDefault="004D6A64">
            <w:pPr>
              <w:rPr>
                <w:rFonts w:ascii="宋体"/>
              </w:rPr>
            </w:pPr>
          </w:p>
        </w:tc>
        <w:tc>
          <w:tcPr>
            <w:tcW w:w="0" w:type="auto"/>
            <w:shd w:val="clear" w:color="auto" w:fill="auto"/>
          </w:tcPr>
          <w:p w14:paraId="33DA8E6E" w14:textId="77777777" w:rsidR="004D6A64" w:rsidRDefault="004D6A64">
            <w:pPr>
              <w:rPr>
                <w:rFonts w:ascii="宋体"/>
              </w:rPr>
            </w:pPr>
          </w:p>
        </w:tc>
        <w:tc>
          <w:tcPr>
            <w:tcW w:w="0" w:type="auto"/>
            <w:shd w:val="clear" w:color="auto" w:fill="auto"/>
          </w:tcPr>
          <w:p w14:paraId="33DA8E6F" w14:textId="77777777" w:rsidR="004D6A64" w:rsidRDefault="004D6A64">
            <w:pPr>
              <w:rPr>
                <w:rFonts w:ascii="宋体"/>
              </w:rPr>
            </w:pPr>
          </w:p>
        </w:tc>
        <w:tc>
          <w:tcPr>
            <w:tcW w:w="0" w:type="auto"/>
            <w:shd w:val="clear" w:color="auto" w:fill="auto"/>
          </w:tcPr>
          <w:p w14:paraId="33DA8E70" w14:textId="77777777" w:rsidR="004D6A64" w:rsidRDefault="004D6A64">
            <w:pPr>
              <w:rPr>
                <w:rFonts w:ascii="宋体"/>
              </w:rPr>
            </w:pPr>
          </w:p>
        </w:tc>
        <w:tc>
          <w:tcPr>
            <w:tcW w:w="0" w:type="auto"/>
            <w:shd w:val="clear" w:color="auto" w:fill="auto"/>
          </w:tcPr>
          <w:p w14:paraId="33DA8E71" w14:textId="77777777" w:rsidR="004D6A64" w:rsidRDefault="004D6A64">
            <w:pPr>
              <w:rPr>
                <w:rFonts w:ascii="宋体"/>
              </w:rPr>
            </w:pPr>
          </w:p>
        </w:tc>
      </w:tr>
      <w:tr w:rsidR="004D6A64" w14:paraId="33DA8E82" w14:textId="77777777">
        <w:trPr>
          <w:jc w:val="center"/>
        </w:trPr>
        <w:tc>
          <w:tcPr>
            <w:tcW w:w="0" w:type="auto"/>
            <w:gridSpan w:val="3"/>
            <w:shd w:val="clear" w:color="auto" w:fill="FFFFFF"/>
            <w:tcMar>
              <w:top w:w="40" w:type="dxa"/>
              <w:left w:w="20" w:type="dxa"/>
              <w:bottom w:w="40" w:type="dxa"/>
              <w:right w:w="20" w:type="dxa"/>
            </w:tcMar>
            <w:vAlign w:val="center"/>
          </w:tcPr>
          <w:p w14:paraId="33DA8E73"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Short-term financing receivables, net of allowance of $227 and $109 (Note 4)</w:t>
            </w:r>
          </w:p>
        </w:tc>
        <w:tc>
          <w:tcPr>
            <w:tcW w:w="0" w:type="auto"/>
            <w:gridSpan w:val="2"/>
            <w:shd w:val="clear" w:color="auto" w:fill="FFFFFF"/>
            <w:tcMar>
              <w:top w:w="40" w:type="dxa"/>
              <w:left w:w="20" w:type="dxa"/>
              <w:bottom w:w="40" w:type="dxa"/>
              <w:right w:w="0" w:type="dxa"/>
            </w:tcMar>
            <w:vAlign w:val="center"/>
          </w:tcPr>
          <w:p w14:paraId="33DA8E74" w14:textId="77777777" w:rsidR="004D6A64" w:rsidRDefault="00506CD6">
            <w:pPr>
              <w:jc w:val="right"/>
              <w:textAlignment w:val="center"/>
            </w:pPr>
            <w:r>
              <w:rPr>
                <w:rFonts w:ascii="Times New Roman" w:eastAsia="宋体" w:hAnsi="Times New Roman"/>
                <w:color w:val="000000"/>
                <w:sz w:val="20"/>
                <w:szCs w:val="20"/>
              </w:rPr>
              <w:t>4,855 </w:t>
            </w:r>
          </w:p>
        </w:tc>
        <w:tc>
          <w:tcPr>
            <w:tcW w:w="0" w:type="auto"/>
            <w:shd w:val="clear" w:color="auto" w:fill="FFFFFF"/>
            <w:tcMar>
              <w:top w:w="40" w:type="dxa"/>
              <w:bottom w:w="40" w:type="dxa"/>
              <w:right w:w="20" w:type="dxa"/>
            </w:tcMar>
            <w:vAlign w:val="center"/>
          </w:tcPr>
          <w:p w14:paraId="33DA8E7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8E7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8E77" w14:textId="77777777" w:rsidR="004D6A64" w:rsidRDefault="00506CD6">
            <w:pPr>
              <w:jc w:val="right"/>
              <w:textAlignment w:val="center"/>
            </w:pPr>
            <w:r>
              <w:rPr>
                <w:rFonts w:ascii="Times New Roman" w:eastAsia="宋体" w:hAnsi="Times New Roman"/>
                <w:color w:val="000000"/>
                <w:sz w:val="20"/>
                <w:szCs w:val="20"/>
              </w:rPr>
              <w:t>4,895 </w:t>
            </w:r>
          </w:p>
        </w:tc>
        <w:tc>
          <w:tcPr>
            <w:tcW w:w="0" w:type="auto"/>
            <w:shd w:val="clear" w:color="auto" w:fill="FFFFFF"/>
            <w:tcMar>
              <w:top w:w="40" w:type="dxa"/>
              <w:bottom w:w="40" w:type="dxa"/>
              <w:right w:w="20" w:type="dxa"/>
            </w:tcMar>
            <w:vAlign w:val="center"/>
          </w:tcPr>
          <w:p w14:paraId="33DA8E78" w14:textId="77777777" w:rsidR="004D6A64" w:rsidRDefault="004D6A64">
            <w:pPr>
              <w:jc w:val="right"/>
              <w:rPr>
                <w:rFonts w:ascii="宋体"/>
              </w:rPr>
            </w:pPr>
          </w:p>
        </w:tc>
        <w:tc>
          <w:tcPr>
            <w:tcW w:w="0" w:type="auto"/>
            <w:shd w:val="clear" w:color="auto" w:fill="auto"/>
          </w:tcPr>
          <w:p w14:paraId="33DA8E79" w14:textId="77777777" w:rsidR="004D6A64" w:rsidRDefault="004D6A64">
            <w:pPr>
              <w:rPr>
                <w:rFonts w:ascii="宋体"/>
              </w:rPr>
            </w:pPr>
          </w:p>
        </w:tc>
        <w:tc>
          <w:tcPr>
            <w:tcW w:w="0" w:type="auto"/>
            <w:shd w:val="clear" w:color="auto" w:fill="auto"/>
          </w:tcPr>
          <w:p w14:paraId="33DA8E7A" w14:textId="77777777" w:rsidR="004D6A64" w:rsidRDefault="004D6A64">
            <w:pPr>
              <w:rPr>
                <w:rFonts w:ascii="宋体"/>
              </w:rPr>
            </w:pPr>
          </w:p>
        </w:tc>
        <w:tc>
          <w:tcPr>
            <w:tcW w:w="0" w:type="auto"/>
            <w:shd w:val="clear" w:color="auto" w:fill="auto"/>
          </w:tcPr>
          <w:p w14:paraId="33DA8E7B" w14:textId="77777777" w:rsidR="004D6A64" w:rsidRDefault="004D6A64">
            <w:pPr>
              <w:rPr>
                <w:rFonts w:ascii="宋体"/>
              </w:rPr>
            </w:pPr>
          </w:p>
        </w:tc>
        <w:tc>
          <w:tcPr>
            <w:tcW w:w="0" w:type="auto"/>
            <w:shd w:val="clear" w:color="auto" w:fill="auto"/>
          </w:tcPr>
          <w:p w14:paraId="33DA8E7C" w14:textId="77777777" w:rsidR="004D6A64" w:rsidRDefault="004D6A64">
            <w:pPr>
              <w:rPr>
                <w:rFonts w:ascii="宋体"/>
              </w:rPr>
            </w:pPr>
          </w:p>
        </w:tc>
        <w:tc>
          <w:tcPr>
            <w:tcW w:w="0" w:type="auto"/>
            <w:shd w:val="clear" w:color="auto" w:fill="auto"/>
          </w:tcPr>
          <w:p w14:paraId="33DA8E7D" w14:textId="77777777" w:rsidR="004D6A64" w:rsidRDefault="004D6A64">
            <w:pPr>
              <w:rPr>
                <w:rFonts w:ascii="宋体"/>
              </w:rPr>
            </w:pPr>
          </w:p>
        </w:tc>
        <w:tc>
          <w:tcPr>
            <w:tcW w:w="0" w:type="auto"/>
            <w:shd w:val="clear" w:color="auto" w:fill="auto"/>
          </w:tcPr>
          <w:p w14:paraId="33DA8E7E" w14:textId="77777777" w:rsidR="004D6A64" w:rsidRDefault="004D6A64">
            <w:pPr>
              <w:rPr>
                <w:rFonts w:ascii="宋体"/>
              </w:rPr>
            </w:pPr>
          </w:p>
        </w:tc>
        <w:tc>
          <w:tcPr>
            <w:tcW w:w="0" w:type="auto"/>
            <w:shd w:val="clear" w:color="auto" w:fill="auto"/>
          </w:tcPr>
          <w:p w14:paraId="33DA8E7F" w14:textId="77777777" w:rsidR="004D6A64" w:rsidRDefault="004D6A64">
            <w:pPr>
              <w:rPr>
                <w:rFonts w:ascii="宋体"/>
              </w:rPr>
            </w:pPr>
          </w:p>
        </w:tc>
        <w:tc>
          <w:tcPr>
            <w:tcW w:w="0" w:type="auto"/>
            <w:shd w:val="clear" w:color="auto" w:fill="auto"/>
          </w:tcPr>
          <w:p w14:paraId="33DA8E80" w14:textId="77777777" w:rsidR="004D6A64" w:rsidRDefault="004D6A64">
            <w:pPr>
              <w:rPr>
                <w:rFonts w:ascii="宋体"/>
              </w:rPr>
            </w:pPr>
          </w:p>
        </w:tc>
        <w:tc>
          <w:tcPr>
            <w:tcW w:w="0" w:type="auto"/>
            <w:shd w:val="clear" w:color="auto" w:fill="auto"/>
          </w:tcPr>
          <w:p w14:paraId="33DA8E81" w14:textId="77777777" w:rsidR="004D6A64" w:rsidRDefault="004D6A64">
            <w:pPr>
              <w:rPr>
                <w:rFonts w:ascii="宋体"/>
              </w:rPr>
            </w:pPr>
          </w:p>
        </w:tc>
      </w:tr>
      <w:tr w:rsidR="004D6A64" w14:paraId="33DA8E92" w14:textId="77777777">
        <w:trPr>
          <w:jc w:val="center"/>
        </w:trPr>
        <w:tc>
          <w:tcPr>
            <w:tcW w:w="0" w:type="auto"/>
            <w:gridSpan w:val="3"/>
            <w:shd w:val="clear" w:color="auto" w:fill="CCEEFF"/>
            <w:tcMar>
              <w:top w:w="40" w:type="dxa"/>
              <w:left w:w="20" w:type="dxa"/>
              <w:bottom w:w="40" w:type="dxa"/>
              <w:right w:w="20" w:type="dxa"/>
            </w:tcMar>
            <w:vAlign w:val="center"/>
          </w:tcPr>
          <w:p w14:paraId="33DA8E83" w14:textId="77777777" w:rsidR="004D6A64" w:rsidRDefault="00506CD6">
            <w:pPr>
              <w:textAlignment w:val="center"/>
            </w:pPr>
            <w:r>
              <w:rPr>
                <w:rFonts w:ascii="Times New Roman" w:eastAsia="宋体" w:hAnsi="Times New Roman"/>
                <w:color w:val="000000"/>
                <w:sz w:val="20"/>
                <w:szCs w:val="20"/>
              </w:rPr>
              <w:t>Inventories, net</w:t>
            </w:r>
          </w:p>
        </w:tc>
        <w:tc>
          <w:tcPr>
            <w:tcW w:w="0" w:type="auto"/>
            <w:gridSpan w:val="2"/>
            <w:shd w:val="clear" w:color="auto" w:fill="CCEEFF"/>
            <w:tcMar>
              <w:top w:w="40" w:type="dxa"/>
              <w:left w:w="20" w:type="dxa"/>
              <w:bottom w:w="40" w:type="dxa"/>
              <w:right w:w="0" w:type="dxa"/>
            </w:tcMar>
            <w:vAlign w:val="center"/>
          </w:tcPr>
          <w:p w14:paraId="33DA8E84" w14:textId="77777777" w:rsidR="004D6A64" w:rsidRDefault="00506CD6">
            <w:pPr>
              <w:jc w:val="right"/>
              <w:textAlignment w:val="center"/>
            </w:pPr>
            <w:r>
              <w:rPr>
                <w:rFonts w:ascii="Times New Roman" w:eastAsia="宋体" w:hAnsi="Times New Roman"/>
                <w:color w:val="000000"/>
                <w:sz w:val="20"/>
                <w:szCs w:val="20"/>
              </w:rPr>
              <w:t>3,602 </w:t>
            </w:r>
          </w:p>
        </w:tc>
        <w:tc>
          <w:tcPr>
            <w:tcW w:w="0" w:type="auto"/>
            <w:shd w:val="clear" w:color="auto" w:fill="CCEEFF"/>
            <w:tcMar>
              <w:top w:w="40" w:type="dxa"/>
              <w:bottom w:w="40" w:type="dxa"/>
              <w:right w:w="20" w:type="dxa"/>
            </w:tcMar>
            <w:vAlign w:val="center"/>
          </w:tcPr>
          <w:p w14:paraId="33DA8E8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8E8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8E87" w14:textId="77777777" w:rsidR="004D6A64" w:rsidRDefault="00506CD6">
            <w:pPr>
              <w:jc w:val="right"/>
              <w:textAlignment w:val="center"/>
            </w:pPr>
            <w:r>
              <w:rPr>
                <w:rFonts w:ascii="Times New Roman" w:eastAsia="宋体" w:hAnsi="Times New Roman"/>
                <w:color w:val="000000"/>
                <w:sz w:val="20"/>
                <w:szCs w:val="20"/>
              </w:rPr>
              <w:t>3,281 </w:t>
            </w:r>
          </w:p>
        </w:tc>
        <w:tc>
          <w:tcPr>
            <w:tcW w:w="0" w:type="auto"/>
            <w:shd w:val="clear" w:color="auto" w:fill="CCEEFF"/>
            <w:tcMar>
              <w:top w:w="40" w:type="dxa"/>
              <w:bottom w:w="40" w:type="dxa"/>
              <w:right w:w="20" w:type="dxa"/>
            </w:tcMar>
            <w:vAlign w:val="center"/>
          </w:tcPr>
          <w:p w14:paraId="33DA8E88" w14:textId="77777777" w:rsidR="004D6A64" w:rsidRDefault="004D6A64">
            <w:pPr>
              <w:jc w:val="right"/>
              <w:rPr>
                <w:rFonts w:ascii="宋体"/>
              </w:rPr>
            </w:pPr>
          </w:p>
        </w:tc>
        <w:tc>
          <w:tcPr>
            <w:tcW w:w="0" w:type="auto"/>
            <w:shd w:val="clear" w:color="auto" w:fill="auto"/>
          </w:tcPr>
          <w:p w14:paraId="33DA8E89" w14:textId="77777777" w:rsidR="004D6A64" w:rsidRDefault="004D6A64">
            <w:pPr>
              <w:rPr>
                <w:rFonts w:ascii="宋体"/>
              </w:rPr>
            </w:pPr>
          </w:p>
        </w:tc>
        <w:tc>
          <w:tcPr>
            <w:tcW w:w="0" w:type="auto"/>
            <w:shd w:val="clear" w:color="auto" w:fill="auto"/>
          </w:tcPr>
          <w:p w14:paraId="33DA8E8A" w14:textId="77777777" w:rsidR="004D6A64" w:rsidRDefault="004D6A64">
            <w:pPr>
              <w:rPr>
                <w:rFonts w:ascii="宋体"/>
              </w:rPr>
            </w:pPr>
          </w:p>
        </w:tc>
        <w:tc>
          <w:tcPr>
            <w:tcW w:w="0" w:type="auto"/>
            <w:shd w:val="clear" w:color="auto" w:fill="auto"/>
          </w:tcPr>
          <w:p w14:paraId="33DA8E8B" w14:textId="77777777" w:rsidR="004D6A64" w:rsidRDefault="004D6A64">
            <w:pPr>
              <w:rPr>
                <w:rFonts w:ascii="宋体"/>
              </w:rPr>
            </w:pPr>
          </w:p>
        </w:tc>
        <w:tc>
          <w:tcPr>
            <w:tcW w:w="0" w:type="auto"/>
            <w:shd w:val="clear" w:color="auto" w:fill="auto"/>
          </w:tcPr>
          <w:p w14:paraId="33DA8E8C" w14:textId="77777777" w:rsidR="004D6A64" w:rsidRDefault="004D6A64">
            <w:pPr>
              <w:rPr>
                <w:rFonts w:ascii="宋体"/>
              </w:rPr>
            </w:pPr>
          </w:p>
        </w:tc>
        <w:tc>
          <w:tcPr>
            <w:tcW w:w="0" w:type="auto"/>
            <w:shd w:val="clear" w:color="auto" w:fill="auto"/>
          </w:tcPr>
          <w:p w14:paraId="33DA8E8D" w14:textId="77777777" w:rsidR="004D6A64" w:rsidRDefault="004D6A64">
            <w:pPr>
              <w:rPr>
                <w:rFonts w:ascii="宋体"/>
              </w:rPr>
            </w:pPr>
          </w:p>
        </w:tc>
        <w:tc>
          <w:tcPr>
            <w:tcW w:w="0" w:type="auto"/>
            <w:shd w:val="clear" w:color="auto" w:fill="auto"/>
          </w:tcPr>
          <w:p w14:paraId="33DA8E8E" w14:textId="77777777" w:rsidR="004D6A64" w:rsidRDefault="004D6A64">
            <w:pPr>
              <w:rPr>
                <w:rFonts w:ascii="宋体"/>
              </w:rPr>
            </w:pPr>
          </w:p>
        </w:tc>
        <w:tc>
          <w:tcPr>
            <w:tcW w:w="0" w:type="auto"/>
            <w:shd w:val="clear" w:color="auto" w:fill="auto"/>
          </w:tcPr>
          <w:p w14:paraId="33DA8E8F" w14:textId="77777777" w:rsidR="004D6A64" w:rsidRDefault="004D6A64">
            <w:pPr>
              <w:rPr>
                <w:rFonts w:ascii="宋体"/>
              </w:rPr>
            </w:pPr>
          </w:p>
        </w:tc>
        <w:tc>
          <w:tcPr>
            <w:tcW w:w="0" w:type="auto"/>
            <w:shd w:val="clear" w:color="auto" w:fill="auto"/>
          </w:tcPr>
          <w:p w14:paraId="33DA8E90" w14:textId="77777777" w:rsidR="004D6A64" w:rsidRDefault="004D6A64">
            <w:pPr>
              <w:rPr>
                <w:rFonts w:ascii="宋体"/>
              </w:rPr>
            </w:pPr>
          </w:p>
        </w:tc>
        <w:tc>
          <w:tcPr>
            <w:tcW w:w="0" w:type="auto"/>
            <w:shd w:val="clear" w:color="auto" w:fill="auto"/>
          </w:tcPr>
          <w:p w14:paraId="33DA8E91" w14:textId="77777777" w:rsidR="004D6A64" w:rsidRDefault="004D6A64">
            <w:pPr>
              <w:rPr>
                <w:rFonts w:ascii="宋体"/>
              </w:rPr>
            </w:pPr>
          </w:p>
        </w:tc>
      </w:tr>
      <w:tr w:rsidR="004D6A64" w14:paraId="33DA8EA2" w14:textId="77777777">
        <w:trPr>
          <w:jc w:val="center"/>
        </w:trPr>
        <w:tc>
          <w:tcPr>
            <w:tcW w:w="0" w:type="auto"/>
            <w:gridSpan w:val="3"/>
            <w:shd w:val="clear" w:color="auto" w:fill="FFFFFF"/>
            <w:tcMar>
              <w:top w:w="40" w:type="dxa"/>
              <w:left w:w="225" w:type="dxa"/>
              <w:bottom w:w="40" w:type="dxa"/>
              <w:right w:w="20" w:type="dxa"/>
            </w:tcMar>
            <w:vAlign w:val="center"/>
          </w:tcPr>
          <w:p w14:paraId="33DA8E93" w14:textId="77777777" w:rsidR="004D6A64" w:rsidRDefault="00506CD6">
            <w:pPr>
              <w:textAlignment w:val="center"/>
            </w:pPr>
            <w:r>
              <w:rPr>
                <w:rFonts w:ascii="Times New Roman" w:eastAsia="宋体" w:hAnsi="Times New Roman"/>
                <w:color w:val="000000"/>
                <w:sz w:val="20"/>
                <w:szCs w:val="20"/>
              </w:rPr>
              <w:t>Other current assets</w:t>
            </w:r>
          </w:p>
        </w:tc>
        <w:tc>
          <w:tcPr>
            <w:tcW w:w="0" w:type="auto"/>
            <w:gridSpan w:val="2"/>
            <w:shd w:val="clear" w:color="auto" w:fill="FFFFFF"/>
            <w:tcMar>
              <w:top w:w="40" w:type="dxa"/>
              <w:left w:w="20" w:type="dxa"/>
              <w:bottom w:w="40" w:type="dxa"/>
              <w:right w:w="0" w:type="dxa"/>
            </w:tcMar>
            <w:vAlign w:val="center"/>
          </w:tcPr>
          <w:p w14:paraId="33DA8E94" w14:textId="77777777" w:rsidR="004D6A64" w:rsidRDefault="00506CD6">
            <w:pPr>
              <w:jc w:val="right"/>
              <w:textAlignment w:val="center"/>
            </w:pPr>
            <w:r>
              <w:rPr>
                <w:rFonts w:ascii="Times New Roman" w:eastAsia="宋体" w:hAnsi="Times New Roman"/>
                <w:color w:val="000000"/>
                <w:sz w:val="20"/>
                <w:szCs w:val="20"/>
              </w:rPr>
              <w:t>7,711 </w:t>
            </w:r>
          </w:p>
        </w:tc>
        <w:tc>
          <w:tcPr>
            <w:tcW w:w="0" w:type="auto"/>
            <w:shd w:val="clear" w:color="auto" w:fill="FFFFFF"/>
            <w:tcMar>
              <w:top w:w="40" w:type="dxa"/>
              <w:bottom w:w="40" w:type="dxa"/>
              <w:right w:w="20" w:type="dxa"/>
            </w:tcMar>
            <w:vAlign w:val="center"/>
          </w:tcPr>
          <w:p w14:paraId="33DA8E9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8E9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8E97" w14:textId="77777777" w:rsidR="004D6A64" w:rsidRDefault="00506CD6">
            <w:pPr>
              <w:jc w:val="right"/>
              <w:textAlignment w:val="center"/>
            </w:pPr>
            <w:r>
              <w:rPr>
                <w:rFonts w:ascii="Times New Roman" w:eastAsia="宋体" w:hAnsi="Times New Roman"/>
                <w:color w:val="000000"/>
                <w:sz w:val="20"/>
                <w:szCs w:val="20"/>
              </w:rPr>
              <w:t>6,906 </w:t>
            </w:r>
          </w:p>
        </w:tc>
        <w:tc>
          <w:tcPr>
            <w:tcW w:w="0" w:type="auto"/>
            <w:shd w:val="clear" w:color="auto" w:fill="FFFFFF"/>
            <w:tcMar>
              <w:top w:w="40" w:type="dxa"/>
              <w:bottom w:w="40" w:type="dxa"/>
              <w:right w:w="20" w:type="dxa"/>
            </w:tcMar>
            <w:vAlign w:val="center"/>
          </w:tcPr>
          <w:p w14:paraId="33DA8E98" w14:textId="77777777" w:rsidR="004D6A64" w:rsidRDefault="004D6A64">
            <w:pPr>
              <w:jc w:val="right"/>
              <w:rPr>
                <w:rFonts w:ascii="宋体"/>
              </w:rPr>
            </w:pPr>
          </w:p>
        </w:tc>
        <w:tc>
          <w:tcPr>
            <w:tcW w:w="0" w:type="auto"/>
            <w:shd w:val="clear" w:color="auto" w:fill="auto"/>
          </w:tcPr>
          <w:p w14:paraId="33DA8E99" w14:textId="77777777" w:rsidR="004D6A64" w:rsidRDefault="004D6A64">
            <w:pPr>
              <w:rPr>
                <w:rFonts w:ascii="宋体"/>
              </w:rPr>
            </w:pPr>
          </w:p>
        </w:tc>
        <w:tc>
          <w:tcPr>
            <w:tcW w:w="0" w:type="auto"/>
            <w:shd w:val="clear" w:color="auto" w:fill="auto"/>
          </w:tcPr>
          <w:p w14:paraId="33DA8E9A" w14:textId="77777777" w:rsidR="004D6A64" w:rsidRDefault="004D6A64">
            <w:pPr>
              <w:rPr>
                <w:rFonts w:ascii="宋体"/>
              </w:rPr>
            </w:pPr>
          </w:p>
        </w:tc>
        <w:tc>
          <w:tcPr>
            <w:tcW w:w="0" w:type="auto"/>
            <w:shd w:val="clear" w:color="auto" w:fill="auto"/>
          </w:tcPr>
          <w:p w14:paraId="33DA8E9B" w14:textId="77777777" w:rsidR="004D6A64" w:rsidRDefault="004D6A64">
            <w:pPr>
              <w:rPr>
                <w:rFonts w:ascii="宋体"/>
              </w:rPr>
            </w:pPr>
          </w:p>
        </w:tc>
        <w:tc>
          <w:tcPr>
            <w:tcW w:w="0" w:type="auto"/>
            <w:shd w:val="clear" w:color="auto" w:fill="auto"/>
          </w:tcPr>
          <w:p w14:paraId="33DA8E9C" w14:textId="77777777" w:rsidR="004D6A64" w:rsidRDefault="004D6A64">
            <w:pPr>
              <w:rPr>
                <w:rFonts w:ascii="宋体"/>
              </w:rPr>
            </w:pPr>
          </w:p>
        </w:tc>
        <w:tc>
          <w:tcPr>
            <w:tcW w:w="0" w:type="auto"/>
            <w:shd w:val="clear" w:color="auto" w:fill="auto"/>
          </w:tcPr>
          <w:p w14:paraId="33DA8E9D" w14:textId="77777777" w:rsidR="004D6A64" w:rsidRDefault="004D6A64">
            <w:pPr>
              <w:rPr>
                <w:rFonts w:ascii="宋体"/>
              </w:rPr>
            </w:pPr>
          </w:p>
        </w:tc>
        <w:tc>
          <w:tcPr>
            <w:tcW w:w="0" w:type="auto"/>
            <w:shd w:val="clear" w:color="auto" w:fill="auto"/>
          </w:tcPr>
          <w:p w14:paraId="33DA8E9E" w14:textId="77777777" w:rsidR="004D6A64" w:rsidRDefault="004D6A64">
            <w:pPr>
              <w:rPr>
                <w:rFonts w:ascii="宋体"/>
              </w:rPr>
            </w:pPr>
          </w:p>
        </w:tc>
        <w:tc>
          <w:tcPr>
            <w:tcW w:w="0" w:type="auto"/>
            <w:shd w:val="clear" w:color="auto" w:fill="auto"/>
          </w:tcPr>
          <w:p w14:paraId="33DA8E9F" w14:textId="77777777" w:rsidR="004D6A64" w:rsidRDefault="004D6A64">
            <w:pPr>
              <w:rPr>
                <w:rFonts w:ascii="宋体"/>
              </w:rPr>
            </w:pPr>
          </w:p>
        </w:tc>
        <w:tc>
          <w:tcPr>
            <w:tcW w:w="0" w:type="auto"/>
            <w:shd w:val="clear" w:color="auto" w:fill="auto"/>
          </w:tcPr>
          <w:p w14:paraId="33DA8EA0" w14:textId="77777777" w:rsidR="004D6A64" w:rsidRDefault="004D6A64">
            <w:pPr>
              <w:rPr>
                <w:rFonts w:ascii="宋体"/>
              </w:rPr>
            </w:pPr>
          </w:p>
        </w:tc>
        <w:tc>
          <w:tcPr>
            <w:tcW w:w="0" w:type="auto"/>
            <w:shd w:val="clear" w:color="auto" w:fill="auto"/>
          </w:tcPr>
          <w:p w14:paraId="33DA8EA1" w14:textId="77777777" w:rsidR="004D6A64" w:rsidRDefault="004D6A64">
            <w:pPr>
              <w:rPr>
                <w:rFonts w:ascii="宋体"/>
              </w:rPr>
            </w:pPr>
          </w:p>
        </w:tc>
      </w:tr>
      <w:tr w:rsidR="004D6A64" w14:paraId="33DA8EB2" w14:textId="77777777">
        <w:trPr>
          <w:jc w:val="center"/>
        </w:trPr>
        <w:tc>
          <w:tcPr>
            <w:tcW w:w="0" w:type="auto"/>
            <w:gridSpan w:val="3"/>
            <w:shd w:val="clear" w:color="auto" w:fill="CCEEFF"/>
            <w:tcMar>
              <w:top w:w="40" w:type="dxa"/>
              <w:left w:w="225" w:type="dxa"/>
              <w:bottom w:w="40" w:type="dxa"/>
              <w:right w:w="20" w:type="dxa"/>
            </w:tcMar>
            <w:vAlign w:val="center"/>
          </w:tcPr>
          <w:p w14:paraId="33DA8EA3" w14:textId="77777777" w:rsidR="004D6A64" w:rsidRDefault="00506CD6">
            <w:pPr>
              <w:textAlignment w:val="center"/>
            </w:pPr>
            <w:r>
              <w:rPr>
                <w:rFonts w:ascii="Times New Roman" w:eastAsia="宋体" w:hAnsi="Times New Roman"/>
                <w:color w:val="000000"/>
                <w:sz w:val="20"/>
                <w:szCs w:val="20"/>
              </w:rPr>
              <w:t xml:space="preserve">Current assets </w:t>
            </w:r>
            <w:r>
              <w:rPr>
                <w:rFonts w:ascii="Times New Roman" w:eastAsia="宋体" w:hAnsi="Times New Roman"/>
                <w:color w:val="000000"/>
                <w:sz w:val="20"/>
                <w:szCs w:val="20"/>
              </w:rPr>
              <w:t>held for sale</w:t>
            </w:r>
          </w:p>
        </w:tc>
        <w:tc>
          <w:tcPr>
            <w:tcW w:w="0" w:type="auto"/>
            <w:gridSpan w:val="2"/>
            <w:shd w:val="clear" w:color="auto" w:fill="CCEEFF"/>
            <w:tcMar>
              <w:top w:w="40" w:type="dxa"/>
              <w:left w:w="20" w:type="dxa"/>
              <w:bottom w:w="40" w:type="dxa"/>
              <w:right w:w="0" w:type="dxa"/>
            </w:tcMar>
            <w:vAlign w:val="center"/>
          </w:tcPr>
          <w:p w14:paraId="33DA8EA4" w14:textId="77777777" w:rsidR="004D6A64" w:rsidRDefault="00506CD6">
            <w:pPr>
              <w:jc w:val="right"/>
              <w:textAlignment w:val="center"/>
            </w:pPr>
            <w:r>
              <w:rPr>
                <w:rFonts w:ascii="Times New Roman" w:eastAsia="宋体" w:hAnsi="Times New Roman"/>
                <w:color w:val="000000"/>
                <w:sz w:val="20"/>
                <w:szCs w:val="20"/>
              </w:rPr>
              <w:t>2,058 </w:t>
            </w:r>
          </w:p>
        </w:tc>
        <w:tc>
          <w:tcPr>
            <w:tcW w:w="0" w:type="auto"/>
            <w:shd w:val="clear" w:color="auto" w:fill="CCEEFF"/>
            <w:tcMar>
              <w:top w:w="40" w:type="dxa"/>
              <w:bottom w:w="40" w:type="dxa"/>
              <w:right w:w="20" w:type="dxa"/>
            </w:tcMar>
            <w:vAlign w:val="center"/>
          </w:tcPr>
          <w:p w14:paraId="33DA8EA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8EA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8EA7"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8EA8" w14:textId="77777777" w:rsidR="004D6A64" w:rsidRDefault="004D6A64">
            <w:pPr>
              <w:jc w:val="right"/>
              <w:rPr>
                <w:rFonts w:ascii="宋体"/>
              </w:rPr>
            </w:pPr>
          </w:p>
        </w:tc>
        <w:tc>
          <w:tcPr>
            <w:tcW w:w="0" w:type="auto"/>
            <w:shd w:val="clear" w:color="auto" w:fill="auto"/>
          </w:tcPr>
          <w:p w14:paraId="33DA8EA9" w14:textId="77777777" w:rsidR="004D6A64" w:rsidRDefault="004D6A64">
            <w:pPr>
              <w:rPr>
                <w:rFonts w:ascii="宋体"/>
              </w:rPr>
            </w:pPr>
          </w:p>
        </w:tc>
        <w:tc>
          <w:tcPr>
            <w:tcW w:w="0" w:type="auto"/>
            <w:shd w:val="clear" w:color="auto" w:fill="auto"/>
          </w:tcPr>
          <w:p w14:paraId="33DA8EAA" w14:textId="77777777" w:rsidR="004D6A64" w:rsidRDefault="004D6A64">
            <w:pPr>
              <w:rPr>
                <w:rFonts w:ascii="宋体"/>
              </w:rPr>
            </w:pPr>
          </w:p>
        </w:tc>
        <w:tc>
          <w:tcPr>
            <w:tcW w:w="0" w:type="auto"/>
            <w:shd w:val="clear" w:color="auto" w:fill="auto"/>
          </w:tcPr>
          <w:p w14:paraId="33DA8EAB" w14:textId="77777777" w:rsidR="004D6A64" w:rsidRDefault="004D6A64">
            <w:pPr>
              <w:rPr>
                <w:rFonts w:ascii="宋体"/>
              </w:rPr>
            </w:pPr>
          </w:p>
        </w:tc>
        <w:tc>
          <w:tcPr>
            <w:tcW w:w="0" w:type="auto"/>
            <w:shd w:val="clear" w:color="auto" w:fill="auto"/>
          </w:tcPr>
          <w:p w14:paraId="33DA8EAC" w14:textId="77777777" w:rsidR="004D6A64" w:rsidRDefault="004D6A64">
            <w:pPr>
              <w:rPr>
                <w:rFonts w:ascii="宋体"/>
              </w:rPr>
            </w:pPr>
          </w:p>
        </w:tc>
        <w:tc>
          <w:tcPr>
            <w:tcW w:w="0" w:type="auto"/>
            <w:shd w:val="clear" w:color="auto" w:fill="auto"/>
          </w:tcPr>
          <w:p w14:paraId="33DA8EAD" w14:textId="77777777" w:rsidR="004D6A64" w:rsidRDefault="004D6A64">
            <w:pPr>
              <w:rPr>
                <w:rFonts w:ascii="宋体"/>
              </w:rPr>
            </w:pPr>
          </w:p>
        </w:tc>
        <w:tc>
          <w:tcPr>
            <w:tcW w:w="0" w:type="auto"/>
            <w:shd w:val="clear" w:color="auto" w:fill="auto"/>
          </w:tcPr>
          <w:p w14:paraId="33DA8EAE" w14:textId="77777777" w:rsidR="004D6A64" w:rsidRDefault="004D6A64">
            <w:pPr>
              <w:rPr>
                <w:rFonts w:ascii="宋体"/>
              </w:rPr>
            </w:pPr>
          </w:p>
        </w:tc>
        <w:tc>
          <w:tcPr>
            <w:tcW w:w="0" w:type="auto"/>
            <w:shd w:val="clear" w:color="auto" w:fill="auto"/>
          </w:tcPr>
          <w:p w14:paraId="33DA8EAF" w14:textId="77777777" w:rsidR="004D6A64" w:rsidRDefault="004D6A64">
            <w:pPr>
              <w:rPr>
                <w:rFonts w:ascii="宋体"/>
              </w:rPr>
            </w:pPr>
          </w:p>
        </w:tc>
        <w:tc>
          <w:tcPr>
            <w:tcW w:w="0" w:type="auto"/>
            <w:shd w:val="clear" w:color="auto" w:fill="auto"/>
          </w:tcPr>
          <w:p w14:paraId="33DA8EB0" w14:textId="77777777" w:rsidR="004D6A64" w:rsidRDefault="004D6A64">
            <w:pPr>
              <w:rPr>
                <w:rFonts w:ascii="宋体"/>
              </w:rPr>
            </w:pPr>
          </w:p>
        </w:tc>
        <w:tc>
          <w:tcPr>
            <w:tcW w:w="0" w:type="auto"/>
            <w:shd w:val="clear" w:color="auto" w:fill="auto"/>
          </w:tcPr>
          <w:p w14:paraId="33DA8EB1" w14:textId="77777777" w:rsidR="004D6A64" w:rsidRDefault="004D6A64">
            <w:pPr>
              <w:rPr>
                <w:rFonts w:ascii="宋体"/>
              </w:rPr>
            </w:pPr>
          </w:p>
        </w:tc>
      </w:tr>
      <w:tr w:rsidR="004D6A64" w14:paraId="33DA8EC2" w14:textId="77777777">
        <w:trPr>
          <w:jc w:val="center"/>
        </w:trPr>
        <w:tc>
          <w:tcPr>
            <w:tcW w:w="0" w:type="auto"/>
            <w:gridSpan w:val="3"/>
            <w:shd w:val="clear" w:color="auto" w:fill="FFFFFF"/>
            <w:tcMar>
              <w:top w:w="40" w:type="dxa"/>
              <w:left w:w="225" w:type="dxa"/>
              <w:bottom w:w="40" w:type="dxa"/>
              <w:right w:w="20" w:type="dxa"/>
            </w:tcMar>
            <w:vAlign w:val="center"/>
          </w:tcPr>
          <w:p w14:paraId="33DA8EB3" w14:textId="77777777" w:rsidR="004D6A64" w:rsidRDefault="00506CD6">
            <w:pPr>
              <w:textAlignment w:val="center"/>
            </w:pPr>
            <w:r>
              <w:rPr>
                <w:rFonts w:ascii="Times New Roman" w:eastAsia="宋体" w:hAnsi="Times New Roman"/>
                <w:color w:val="000000"/>
                <w:sz w:val="20"/>
                <w:szCs w:val="20"/>
              </w:rPr>
              <w:t>Total current assets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8EB4" w14:textId="77777777" w:rsidR="004D6A64" w:rsidRDefault="00506CD6">
            <w:pPr>
              <w:jc w:val="right"/>
              <w:textAlignment w:val="center"/>
            </w:pPr>
            <w:r>
              <w:rPr>
                <w:rFonts w:ascii="Times New Roman" w:eastAsia="宋体" w:hAnsi="Times New Roman"/>
                <w:color w:val="000000"/>
                <w:sz w:val="20"/>
                <w:szCs w:val="20"/>
              </w:rPr>
              <w:t>41,090 </w:t>
            </w:r>
          </w:p>
        </w:tc>
        <w:tc>
          <w:tcPr>
            <w:tcW w:w="0" w:type="auto"/>
            <w:tcBorders>
              <w:top w:val="single" w:sz="8" w:space="0" w:color="000000"/>
            </w:tcBorders>
            <w:shd w:val="clear" w:color="auto" w:fill="FFFFFF"/>
            <w:tcMar>
              <w:top w:w="40" w:type="dxa"/>
              <w:bottom w:w="40" w:type="dxa"/>
              <w:right w:w="20" w:type="dxa"/>
            </w:tcMar>
            <w:vAlign w:val="center"/>
          </w:tcPr>
          <w:p w14:paraId="33DA8EB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8EB6"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8EB7" w14:textId="77777777" w:rsidR="004D6A64" w:rsidRDefault="00506CD6">
            <w:pPr>
              <w:jc w:val="right"/>
              <w:textAlignment w:val="center"/>
            </w:pPr>
            <w:r>
              <w:rPr>
                <w:rFonts w:ascii="Times New Roman" w:eastAsia="宋体" w:hAnsi="Times New Roman"/>
                <w:color w:val="000000"/>
                <w:sz w:val="20"/>
                <w:szCs w:val="20"/>
              </w:rPr>
              <w:t>36,868 </w:t>
            </w:r>
          </w:p>
        </w:tc>
        <w:tc>
          <w:tcPr>
            <w:tcW w:w="0" w:type="auto"/>
            <w:tcBorders>
              <w:top w:val="single" w:sz="8" w:space="0" w:color="000000"/>
            </w:tcBorders>
            <w:shd w:val="clear" w:color="auto" w:fill="FFFFFF"/>
            <w:tcMar>
              <w:top w:w="40" w:type="dxa"/>
              <w:bottom w:w="40" w:type="dxa"/>
              <w:right w:w="20" w:type="dxa"/>
            </w:tcMar>
            <w:vAlign w:val="center"/>
          </w:tcPr>
          <w:p w14:paraId="33DA8EB8" w14:textId="77777777" w:rsidR="004D6A64" w:rsidRDefault="004D6A64">
            <w:pPr>
              <w:jc w:val="right"/>
              <w:rPr>
                <w:rFonts w:ascii="宋体"/>
              </w:rPr>
            </w:pPr>
          </w:p>
        </w:tc>
        <w:tc>
          <w:tcPr>
            <w:tcW w:w="0" w:type="auto"/>
            <w:shd w:val="clear" w:color="auto" w:fill="auto"/>
          </w:tcPr>
          <w:p w14:paraId="33DA8EB9" w14:textId="77777777" w:rsidR="004D6A64" w:rsidRDefault="004D6A64">
            <w:pPr>
              <w:rPr>
                <w:rFonts w:ascii="宋体"/>
              </w:rPr>
            </w:pPr>
          </w:p>
        </w:tc>
        <w:tc>
          <w:tcPr>
            <w:tcW w:w="0" w:type="auto"/>
            <w:shd w:val="clear" w:color="auto" w:fill="auto"/>
          </w:tcPr>
          <w:p w14:paraId="33DA8EBA" w14:textId="77777777" w:rsidR="004D6A64" w:rsidRDefault="004D6A64">
            <w:pPr>
              <w:rPr>
                <w:rFonts w:ascii="宋体"/>
              </w:rPr>
            </w:pPr>
          </w:p>
        </w:tc>
        <w:tc>
          <w:tcPr>
            <w:tcW w:w="0" w:type="auto"/>
            <w:shd w:val="clear" w:color="auto" w:fill="auto"/>
          </w:tcPr>
          <w:p w14:paraId="33DA8EBB" w14:textId="77777777" w:rsidR="004D6A64" w:rsidRDefault="004D6A64">
            <w:pPr>
              <w:rPr>
                <w:rFonts w:ascii="宋体"/>
              </w:rPr>
            </w:pPr>
          </w:p>
        </w:tc>
        <w:tc>
          <w:tcPr>
            <w:tcW w:w="0" w:type="auto"/>
            <w:shd w:val="clear" w:color="auto" w:fill="auto"/>
          </w:tcPr>
          <w:p w14:paraId="33DA8EBC" w14:textId="77777777" w:rsidR="004D6A64" w:rsidRDefault="004D6A64">
            <w:pPr>
              <w:rPr>
                <w:rFonts w:ascii="宋体"/>
              </w:rPr>
            </w:pPr>
          </w:p>
        </w:tc>
        <w:tc>
          <w:tcPr>
            <w:tcW w:w="0" w:type="auto"/>
            <w:shd w:val="clear" w:color="auto" w:fill="auto"/>
          </w:tcPr>
          <w:p w14:paraId="33DA8EBD" w14:textId="77777777" w:rsidR="004D6A64" w:rsidRDefault="004D6A64">
            <w:pPr>
              <w:rPr>
                <w:rFonts w:ascii="宋体"/>
              </w:rPr>
            </w:pPr>
          </w:p>
        </w:tc>
        <w:tc>
          <w:tcPr>
            <w:tcW w:w="0" w:type="auto"/>
            <w:shd w:val="clear" w:color="auto" w:fill="auto"/>
          </w:tcPr>
          <w:p w14:paraId="33DA8EBE" w14:textId="77777777" w:rsidR="004D6A64" w:rsidRDefault="004D6A64">
            <w:pPr>
              <w:rPr>
                <w:rFonts w:ascii="宋体"/>
              </w:rPr>
            </w:pPr>
          </w:p>
        </w:tc>
        <w:tc>
          <w:tcPr>
            <w:tcW w:w="0" w:type="auto"/>
            <w:shd w:val="clear" w:color="auto" w:fill="auto"/>
          </w:tcPr>
          <w:p w14:paraId="33DA8EBF" w14:textId="77777777" w:rsidR="004D6A64" w:rsidRDefault="004D6A64">
            <w:pPr>
              <w:rPr>
                <w:rFonts w:ascii="宋体"/>
              </w:rPr>
            </w:pPr>
          </w:p>
        </w:tc>
        <w:tc>
          <w:tcPr>
            <w:tcW w:w="0" w:type="auto"/>
            <w:shd w:val="clear" w:color="auto" w:fill="auto"/>
          </w:tcPr>
          <w:p w14:paraId="33DA8EC0" w14:textId="77777777" w:rsidR="004D6A64" w:rsidRDefault="004D6A64">
            <w:pPr>
              <w:rPr>
                <w:rFonts w:ascii="宋体"/>
              </w:rPr>
            </w:pPr>
          </w:p>
        </w:tc>
        <w:tc>
          <w:tcPr>
            <w:tcW w:w="0" w:type="auto"/>
            <w:shd w:val="clear" w:color="auto" w:fill="auto"/>
          </w:tcPr>
          <w:p w14:paraId="33DA8EC1" w14:textId="77777777" w:rsidR="004D6A64" w:rsidRDefault="004D6A64">
            <w:pPr>
              <w:rPr>
                <w:rFonts w:ascii="宋体"/>
              </w:rPr>
            </w:pPr>
          </w:p>
        </w:tc>
      </w:tr>
      <w:tr w:rsidR="004D6A64" w14:paraId="33DA8ED2" w14:textId="77777777">
        <w:trPr>
          <w:jc w:val="center"/>
        </w:trPr>
        <w:tc>
          <w:tcPr>
            <w:tcW w:w="0" w:type="auto"/>
            <w:gridSpan w:val="3"/>
            <w:shd w:val="clear" w:color="auto" w:fill="CCEEFF"/>
            <w:tcMar>
              <w:top w:w="40" w:type="dxa"/>
              <w:left w:w="20" w:type="dxa"/>
              <w:bottom w:w="40" w:type="dxa"/>
              <w:right w:w="20" w:type="dxa"/>
            </w:tcMar>
            <w:vAlign w:val="center"/>
          </w:tcPr>
          <w:p w14:paraId="33DA8EC3" w14:textId="77777777" w:rsidR="004D6A64" w:rsidRDefault="00506CD6">
            <w:pPr>
              <w:textAlignment w:val="center"/>
            </w:pPr>
            <w:r>
              <w:rPr>
                <w:rFonts w:ascii="Times New Roman" w:eastAsia="宋体" w:hAnsi="Times New Roman"/>
                <w:color w:val="000000"/>
                <w:sz w:val="20"/>
                <w:szCs w:val="20"/>
              </w:rPr>
              <w:t>Property, plant, and equipment, net</w:t>
            </w:r>
          </w:p>
        </w:tc>
        <w:tc>
          <w:tcPr>
            <w:tcW w:w="0" w:type="auto"/>
            <w:gridSpan w:val="2"/>
            <w:shd w:val="clear" w:color="auto" w:fill="CCEEFF"/>
            <w:tcMar>
              <w:top w:w="40" w:type="dxa"/>
              <w:left w:w="20" w:type="dxa"/>
              <w:bottom w:w="40" w:type="dxa"/>
              <w:right w:w="0" w:type="dxa"/>
            </w:tcMar>
            <w:vAlign w:val="center"/>
          </w:tcPr>
          <w:p w14:paraId="33DA8EC4" w14:textId="77777777" w:rsidR="004D6A64" w:rsidRDefault="00506CD6">
            <w:pPr>
              <w:jc w:val="right"/>
              <w:textAlignment w:val="center"/>
            </w:pPr>
            <w:r>
              <w:rPr>
                <w:rFonts w:ascii="Times New Roman" w:eastAsia="宋体" w:hAnsi="Times New Roman"/>
                <w:color w:val="000000"/>
                <w:sz w:val="20"/>
                <w:szCs w:val="20"/>
              </w:rPr>
              <w:t>6,380 </w:t>
            </w:r>
          </w:p>
        </w:tc>
        <w:tc>
          <w:tcPr>
            <w:tcW w:w="0" w:type="auto"/>
            <w:shd w:val="clear" w:color="auto" w:fill="CCEEFF"/>
            <w:tcMar>
              <w:top w:w="40" w:type="dxa"/>
              <w:bottom w:w="40" w:type="dxa"/>
              <w:right w:w="20" w:type="dxa"/>
            </w:tcMar>
            <w:vAlign w:val="center"/>
          </w:tcPr>
          <w:p w14:paraId="33DA8EC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8EC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8EC7" w14:textId="77777777" w:rsidR="004D6A64" w:rsidRDefault="00506CD6">
            <w:pPr>
              <w:jc w:val="right"/>
              <w:textAlignment w:val="center"/>
            </w:pPr>
            <w:r>
              <w:rPr>
                <w:rFonts w:ascii="Times New Roman" w:eastAsia="宋体" w:hAnsi="Times New Roman"/>
                <w:color w:val="000000"/>
                <w:sz w:val="20"/>
                <w:szCs w:val="20"/>
              </w:rPr>
              <w:t>6,055 </w:t>
            </w:r>
          </w:p>
        </w:tc>
        <w:tc>
          <w:tcPr>
            <w:tcW w:w="0" w:type="auto"/>
            <w:shd w:val="clear" w:color="auto" w:fill="CCEEFF"/>
            <w:tcMar>
              <w:top w:w="40" w:type="dxa"/>
              <w:bottom w:w="40" w:type="dxa"/>
              <w:right w:w="20" w:type="dxa"/>
            </w:tcMar>
            <w:vAlign w:val="center"/>
          </w:tcPr>
          <w:p w14:paraId="33DA8EC8" w14:textId="77777777" w:rsidR="004D6A64" w:rsidRDefault="004D6A64">
            <w:pPr>
              <w:jc w:val="right"/>
              <w:rPr>
                <w:rFonts w:ascii="宋体"/>
              </w:rPr>
            </w:pPr>
          </w:p>
        </w:tc>
        <w:tc>
          <w:tcPr>
            <w:tcW w:w="0" w:type="auto"/>
            <w:shd w:val="clear" w:color="auto" w:fill="auto"/>
          </w:tcPr>
          <w:p w14:paraId="33DA8EC9" w14:textId="77777777" w:rsidR="004D6A64" w:rsidRDefault="004D6A64">
            <w:pPr>
              <w:rPr>
                <w:rFonts w:ascii="宋体"/>
              </w:rPr>
            </w:pPr>
          </w:p>
        </w:tc>
        <w:tc>
          <w:tcPr>
            <w:tcW w:w="0" w:type="auto"/>
            <w:shd w:val="clear" w:color="auto" w:fill="auto"/>
          </w:tcPr>
          <w:p w14:paraId="33DA8ECA" w14:textId="77777777" w:rsidR="004D6A64" w:rsidRDefault="004D6A64">
            <w:pPr>
              <w:rPr>
                <w:rFonts w:ascii="宋体"/>
              </w:rPr>
            </w:pPr>
          </w:p>
        </w:tc>
        <w:tc>
          <w:tcPr>
            <w:tcW w:w="0" w:type="auto"/>
            <w:shd w:val="clear" w:color="auto" w:fill="auto"/>
          </w:tcPr>
          <w:p w14:paraId="33DA8ECB" w14:textId="77777777" w:rsidR="004D6A64" w:rsidRDefault="004D6A64">
            <w:pPr>
              <w:rPr>
                <w:rFonts w:ascii="宋体"/>
              </w:rPr>
            </w:pPr>
          </w:p>
        </w:tc>
        <w:tc>
          <w:tcPr>
            <w:tcW w:w="0" w:type="auto"/>
            <w:shd w:val="clear" w:color="auto" w:fill="auto"/>
          </w:tcPr>
          <w:p w14:paraId="33DA8ECC" w14:textId="77777777" w:rsidR="004D6A64" w:rsidRDefault="004D6A64">
            <w:pPr>
              <w:rPr>
                <w:rFonts w:ascii="宋体"/>
              </w:rPr>
            </w:pPr>
          </w:p>
        </w:tc>
        <w:tc>
          <w:tcPr>
            <w:tcW w:w="0" w:type="auto"/>
            <w:shd w:val="clear" w:color="auto" w:fill="auto"/>
          </w:tcPr>
          <w:p w14:paraId="33DA8ECD" w14:textId="77777777" w:rsidR="004D6A64" w:rsidRDefault="004D6A64">
            <w:pPr>
              <w:rPr>
                <w:rFonts w:ascii="宋体"/>
              </w:rPr>
            </w:pPr>
          </w:p>
        </w:tc>
        <w:tc>
          <w:tcPr>
            <w:tcW w:w="0" w:type="auto"/>
            <w:shd w:val="clear" w:color="auto" w:fill="auto"/>
          </w:tcPr>
          <w:p w14:paraId="33DA8ECE" w14:textId="77777777" w:rsidR="004D6A64" w:rsidRDefault="004D6A64">
            <w:pPr>
              <w:rPr>
                <w:rFonts w:ascii="宋体"/>
              </w:rPr>
            </w:pPr>
          </w:p>
        </w:tc>
        <w:tc>
          <w:tcPr>
            <w:tcW w:w="0" w:type="auto"/>
            <w:shd w:val="clear" w:color="auto" w:fill="auto"/>
          </w:tcPr>
          <w:p w14:paraId="33DA8ECF" w14:textId="77777777" w:rsidR="004D6A64" w:rsidRDefault="004D6A64">
            <w:pPr>
              <w:rPr>
                <w:rFonts w:ascii="宋体"/>
              </w:rPr>
            </w:pPr>
          </w:p>
        </w:tc>
        <w:tc>
          <w:tcPr>
            <w:tcW w:w="0" w:type="auto"/>
            <w:shd w:val="clear" w:color="auto" w:fill="auto"/>
          </w:tcPr>
          <w:p w14:paraId="33DA8ED0" w14:textId="77777777" w:rsidR="004D6A64" w:rsidRDefault="004D6A64">
            <w:pPr>
              <w:rPr>
                <w:rFonts w:ascii="宋体"/>
              </w:rPr>
            </w:pPr>
          </w:p>
        </w:tc>
        <w:tc>
          <w:tcPr>
            <w:tcW w:w="0" w:type="auto"/>
            <w:shd w:val="clear" w:color="auto" w:fill="auto"/>
          </w:tcPr>
          <w:p w14:paraId="33DA8ED1" w14:textId="77777777" w:rsidR="004D6A64" w:rsidRDefault="004D6A64">
            <w:pPr>
              <w:rPr>
                <w:rFonts w:ascii="宋体"/>
              </w:rPr>
            </w:pPr>
          </w:p>
        </w:tc>
      </w:tr>
      <w:tr w:rsidR="004D6A64" w14:paraId="33DA8EE2" w14:textId="77777777">
        <w:trPr>
          <w:jc w:val="center"/>
        </w:trPr>
        <w:tc>
          <w:tcPr>
            <w:tcW w:w="0" w:type="auto"/>
            <w:gridSpan w:val="3"/>
            <w:shd w:val="clear" w:color="auto" w:fill="FFFFFF"/>
            <w:tcMar>
              <w:top w:w="40" w:type="dxa"/>
              <w:left w:w="20" w:type="dxa"/>
              <w:bottom w:w="40" w:type="dxa"/>
              <w:right w:w="20" w:type="dxa"/>
            </w:tcMar>
            <w:vAlign w:val="center"/>
          </w:tcPr>
          <w:p w14:paraId="33DA8ED3" w14:textId="77777777" w:rsidR="004D6A64" w:rsidRDefault="00506CD6">
            <w:pPr>
              <w:textAlignment w:val="center"/>
            </w:pPr>
            <w:r>
              <w:rPr>
                <w:rFonts w:ascii="Times New Roman" w:eastAsia="宋体" w:hAnsi="Times New Roman"/>
                <w:color w:val="000000"/>
                <w:sz w:val="20"/>
                <w:szCs w:val="20"/>
              </w:rPr>
              <w:t>Long-term investments</w:t>
            </w:r>
          </w:p>
        </w:tc>
        <w:tc>
          <w:tcPr>
            <w:tcW w:w="0" w:type="auto"/>
            <w:gridSpan w:val="2"/>
            <w:shd w:val="clear" w:color="auto" w:fill="FFFFFF"/>
            <w:tcMar>
              <w:top w:w="40" w:type="dxa"/>
              <w:left w:w="20" w:type="dxa"/>
              <w:bottom w:w="40" w:type="dxa"/>
              <w:right w:w="0" w:type="dxa"/>
            </w:tcMar>
            <w:vAlign w:val="center"/>
          </w:tcPr>
          <w:p w14:paraId="33DA8ED4" w14:textId="77777777" w:rsidR="004D6A64" w:rsidRDefault="00506CD6">
            <w:pPr>
              <w:jc w:val="right"/>
              <w:textAlignment w:val="center"/>
            </w:pPr>
            <w:r>
              <w:rPr>
                <w:rFonts w:ascii="Times New Roman" w:eastAsia="宋体" w:hAnsi="Times New Roman"/>
                <w:color w:val="000000"/>
                <w:sz w:val="20"/>
                <w:szCs w:val="20"/>
              </w:rPr>
              <w:t>1,073 </w:t>
            </w:r>
          </w:p>
        </w:tc>
        <w:tc>
          <w:tcPr>
            <w:tcW w:w="0" w:type="auto"/>
            <w:shd w:val="clear" w:color="auto" w:fill="FFFFFF"/>
            <w:tcMar>
              <w:top w:w="40" w:type="dxa"/>
              <w:bottom w:w="40" w:type="dxa"/>
              <w:right w:w="20" w:type="dxa"/>
            </w:tcMar>
            <w:vAlign w:val="center"/>
          </w:tcPr>
          <w:p w14:paraId="33DA8ED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8ED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8ED7" w14:textId="77777777" w:rsidR="004D6A64" w:rsidRDefault="00506CD6">
            <w:pPr>
              <w:jc w:val="right"/>
              <w:textAlignment w:val="center"/>
            </w:pPr>
            <w:r>
              <w:rPr>
                <w:rFonts w:ascii="Times New Roman" w:eastAsia="宋体" w:hAnsi="Times New Roman"/>
                <w:color w:val="000000"/>
                <w:sz w:val="20"/>
                <w:szCs w:val="20"/>
              </w:rPr>
              <w:t>864 </w:t>
            </w:r>
          </w:p>
        </w:tc>
        <w:tc>
          <w:tcPr>
            <w:tcW w:w="0" w:type="auto"/>
            <w:shd w:val="clear" w:color="auto" w:fill="FFFFFF"/>
            <w:tcMar>
              <w:top w:w="40" w:type="dxa"/>
              <w:bottom w:w="40" w:type="dxa"/>
              <w:right w:w="20" w:type="dxa"/>
            </w:tcMar>
            <w:vAlign w:val="center"/>
          </w:tcPr>
          <w:p w14:paraId="33DA8ED8" w14:textId="77777777" w:rsidR="004D6A64" w:rsidRDefault="004D6A64">
            <w:pPr>
              <w:jc w:val="right"/>
              <w:rPr>
                <w:rFonts w:ascii="宋体"/>
              </w:rPr>
            </w:pPr>
          </w:p>
        </w:tc>
        <w:tc>
          <w:tcPr>
            <w:tcW w:w="0" w:type="auto"/>
            <w:shd w:val="clear" w:color="auto" w:fill="auto"/>
          </w:tcPr>
          <w:p w14:paraId="33DA8ED9" w14:textId="77777777" w:rsidR="004D6A64" w:rsidRDefault="004D6A64">
            <w:pPr>
              <w:rPr>
                <w:rFonts w:ascii="宋体"/>
              </w:rPr>
            </w:pPr>
          </w:p>
        </w:tc>
        <w:tc>
          <w:tcPr>
            <w:tcW w:w="0" w:type="auto"/>
            <w:shd w:val="clear" w:color="auto" w:fill="auto"/>
          </w:tcPr>
          <w:p w14:paraId="33DA8EDA" w14:textId="77777777" w:rsidR="004D6A64" w:rsidRDefault="004D6A64">
            <w:pPr>
              <w:rPr>
                <w:rFonts w:ascii="宋体"/>
              </w:rPr>
            </w:pPr>
          </w:p>
        </w:tc>
        <w:tc>
          <w:tcPr>
            <w:tcW w:w="0" w:type="auto"/>
            <w:shd w:val="clear" w:color="auto" w:fill="auto"/>
          </w:tcPr>
          <w:p w14:paraId="33DA8EDB" w14:textId="77777777" w:rsidR="004D6A64" w:rsidRDefault="004D6A64">
            <w:pPr>
              <w:rPr>
                <w:rFonts w:ascii="宋体"/>
              </w:rPr>
            </w:pPr>
          </w:p>
        </w:tc>
        <w:tc>
          <w:tcPr>
            <w:tcW w:w="0" w:type="auto"/>
            <w:shd w:val="clear" w:color="auto" w:fill="auto"/>
          </w:tcPr>
          <w:p w14:paraId="33DA8EDC" w14:textId="77777777" w:rsidR="004D6A64" w:rsidRDefault="004D6A64">
            <w:pPr>
              <w:rPr>
                <w:rFonts w:ascii="宋体"/>
              </w:rPr>
            </w:pPr>
          </w:p>
        </w:tc>
        <w:tc>
          <w:tcPr>
            <w:tcW w:w="0" w:type="auto"/>
            <w:shd w:val="clear" w:color="auto" w:fill="auto"/>
          </w:tcPr>
          <w:p w14:paraId="33DA8EDD" w14:textId="77777777" w:rsidR="004D6A64" w:rsidRDefault="004D6A64">
            <w:pPr>
              <w:rPr>
                <w:rFonts w:ascii="宋体"/>
              </w:rPr>
            </w:pPr>
          </w:p>
        </w:tc>
        <w:tc>
          <w:tcPr>
            <w:tcW w:w="0" w:type="auto"/>
            <w:shd w:val="clear" w:color="auto" w:fill="auto"/>
          </w:tcPr>
          <w:p w14:paraId="33DA8EDE" w14:textId="77777777" w:rsidR="004D6A64" w:rsidRDefault="004D6A64">
            <w:pPr>
              <w:rPr>
                <w:rFonts w:ascii="宋体"/>
              </w:rPr>
            </w:pPr>
          </w:p>
        </w:tc>
        <w:tc>
          <w:tcPr>
            <w:tcW w:w="0" w:type="auto"/>
            <w:shd w:val="clear" w:color="auto" w:fill="auto"/>
          </w:tcPr>
          <w:p w14:paraId="33DA8EDF" w14:textId="77777777" w:rsidR="004D6A64" w:rsidRDefault="004D6A64">
            <w:pPr>
              <w:rPr>
                <w:rFonts w:ascii="宋体"/>
              </w:rPr>
            </w:pPr>
          </w:p>
        </w:tc>
        <w:tc>
          <w:tcPr>
            <w:tcW w:w="0" w:type="auto"/>
            <w:shd w:val="clear" w:color="auto" w:fill="auto"/>
          </w:tcPr>
          <w:p w14:paraId="33DA8EE0" w14:textId="77777777" w:rsidR="004D6A64" w:rsidRDefault="004D6A64">
            <w:pPr>
              <w:rPr>
                <w:rFonts w:ascii="宋体"/>
              </w:rPr>
            </w:pPr>
          </w:p>
        </w:tc>
        <w:tc>
          <w:tcPr>
            <w:tcW w:w="0" w:type="auto"/>
            <w:shd w:val="clear" w:color="auto" w:fill="auto"/>
          </w:tcPr>
          <w:p w14:paraId="33DA8EE1" w14:textId="77777777" w:rsidR="004D6A64" w:rsidRDefault="004D6A64">
            <w:pPr>
              <w:rPr>
                <w:rFonts w:ascii="宋体"/>
              </w:rPr>
            </w:pPr>
          </w:p>
        </w:tc>
      </w:tr>
      <w:tr w:rsidR="004D6A64" w14:paraId="33DA8EF2" w14:textId="77777777">
        <w:trPr>
          <w:jc w:val="center"/>
        </w:trPr>
        <w:tc>
          <w:tcPr>
            <w:tcW w:w="0" w:type="auto"/>
            <w:gridSpan w:val="3"/>
            <w:shd w:val="clear" w:color="auto" w:fill="CCEEFF"/>
            <w:tcMar>
              <w:top w:w="40" w:type="dxa"/>
              <w:left w:w="20" w:type="dxa"/>
              <w:bottom w:w="40" w:type="dxa"/>
              <w:right w:w="20" w:type="dxa"/>
            </w:tcMar>
            <w:vAlign w:val="center"/>
          </w:tcPr>
          <w:p w14:paraId="33DA8EE3"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 xml:space="preserve">Long-term financing receivables, net of allowance of $96 </w:t>
            </w:r>
            <w:r>
              <w:rPr>
                <w:rFonts w:ascii="Times New Roman" w:eastAsia="宋体" w:hAnsi="Times New Roman"/>
                <w:color w:val="000000"/>
                <w:sz w:val="20"/>
                <w:szCs w:val="20"/>
              </w:rPr>
              <w:t>and $40 (Note 4)</w:t>
            </w:r>
          </w:p>
        </w:tc>
        <w:tc>
          <w:tcPr>
            <w:tcW w:w="0" w:type="auto"/>
            <w:gridSpan w:val="2"/>
            <w:shd w:val="clear" w:color="auto" w:fill="CCEEFF"/>
            <w:tcMar>
              <w:top w:w="40" w:type="dxa"/>
              <w:left w:w="20" w:type="dxa"/>
              <w:bottom w:w="40" w:type="dxa"/>
              <w:right w:w="0" w:type="dxa"/>
            </w:tcMar>
            <w:vAlign w:val="center"/>
          </w:tcPr>
          <w:p w14:paraId="33DA8EE4" w14:textId="77777777" w:rsidR="004D6A64" w:rsidRDefault="00506CD6">
            <w:pPr>
              <w:jc w:val="right"/>
              <w:textAlignment w:val="center"/>
            </w:pPr>
            <w:r>
              <w:rPr>
                <w:rFonts w:ascii="Times New Roman" w:eastAsia="宋体" w:hAnsi="Times New Roman"/>
                <w:color w:val="000000"/>
                <w:sz w:val="20"/>
                <w:szCs w:val="20"/>
              </w:rPr>
              <w:t>5,378 </w:t>
            </w:r>
          </w:p>
        </w:tc>
        <w:tc>
          <w:tcPr>
            <w:tcW w:w="0" w:type="auto"/>
            <w:shd w:val="clear" w:color="auto" w:fill="CCEEFF"/>
            <w:tcMar>
              <w:top w:w="40" w:type="dxa"/>
              <w:bottom w:w="40" w:type="dxa"/>
              <w:right w:w="20" w:type="dxa"/>
            </w:tcMar>
            <w:vAlign w:val="center"/>
          </w:tcPr>
          <w:p w14:paraId="33DA8EE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8EE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8EE7" w14:textId="77777777" w:rsidR="004D6A64" w:rsidRDefault="00506CD6">
            <w:pPr>
              <w:jc w:val="right"/>
              <w:textAlignment w:val="center"/>
            </w:pPr>
            <w:r>
              <w:rPr>
                <w:rFonts w:ascii="Times New Roman" w:eastAsia="宋体" w:hAnsi="Times New Roman"/>
                <w:color w:val="000000"/>
                <w:sz w:val="20"/>
                <w:szCs w:val="20"/>
              </w:rPr>
              <w:t>4,848 </w:t>
            </w:r>
          </w:p>
        </w:tc>
        <w:tc>
          <w:tcPr>
            <w:tcW w:w="0" w:type="auto"/>
            <w:shd w:val="clear" w:color="auto" w:fill="CCEEFF"/>
            <w:tcMar>
              <w:top w:w="40" w:type="dxa"/>
              <w:bottom w:w="40" w:type="dxa"/>
              <w:right w:w="20" w:type="dxa"/>
            </w:tcMar>
            <w:vAlign w:val="center"/>
          </w:tcPr>
          <w:p w14:paraId="33DA8EE8" w14:textId="77777777" w:rsidR="004D6A64" w:rsidRDefault="004D6A64">
            <w:pPr>
              <w:jc w:val="right"/>
              <w:rPr>
                <w:rFonts w:ascii="宋体"/>
              </w:rPr>
            </w:pPr>
          </w:p>
        </w:tc>
        <w:tc>
          <w:tcPr>
            <w:tcW w:w="0" w:type="auto"/>
            <w:shd w:val="clear" w:color="auto" w:fill="auto"/>
          </w:tcPr>
          <w:p w14:paraId="33DA8EE9" w14:textId="77777777" w:rsidR="004D6A64" w:rsidRDefault="004D6A64">
            <w:pPr>
              <w:rPr>
                <w:rFonts w:ascii="宋体"/>
              </w:rPr>
            </w:pPr>
          </w:p>
        </w:tc>
        <w:tc>
          <w:tcPr>
            <w:tcW w:w="0" w:type="auto"/>
            <w:shd w:val="clear" w:color="auto" w:fill="auto"/>
          </w:tcPr>
          <w:p w14:paraId="33DA8EEA" w14:textId="77777777" w:rsidR="004D6A64" w:rsidRDefault="004D6A64">
            <w:pPr>
              <w:rPr>
                <w:rFonts w:ascii="宋体"/>
              </w:rPr>
            </w:pPr>
          </w:p>
        </w:tc>
        <w:tc>
          <w:tcPr>
            <w:tcW w:w="0" w:type="auto"/>
            <w:shd w:val="clear" w:color="auto" w:fill="auto"/>
          </w:tcPr>
          <w:p w14:paraId="33DA8EEB" w14:textId="77777777" w:rsidR="004D6A64" w:rsidRDefault="004D6A64">
            <w:pPr>
              <w:rPr>
                <w:rFonts w:ascii="宋体"/>
              </w:rPr>
            </w:pPr>
          </w:p>
        </w:tc>
        <w:tc>
          <w:tcPr>
            <w:tcW w:w="0" w:type="auto"/>
            <w:shd w:val="clear" w:color="auto" w:fill="auto"/>
          </w:tcPr>
          <w:p w14:paraId="33DA8EEC" w14:textId="77777777" w:rsidR="004D6A64" w:rsidRDefault="004D6A64">
            <w:pPr>
              <w:rPr>
                <w:rFonts w:ascii="宋体"/>
              </w:rPr>
            </w:pPr>
          </w:p>
        </w:tc>
        <w:tc>
          <w:tcPr>
            <w:tcW w:w="0" w:type="auto"/>
            <w:shd w:val="clear" w:color="auto" w:fill="auto"/>
          </w:tcPr>
          <w:p w14:paraId="33DA8EED" w14:textId="77777777" w:rsidR="004D6A64" w:rsidRDefault="004D6A64">
            <w:pPr>
              <w:rPr>
                <w:rFonts w:ascii="宋体"/>
              </w:rPr>
            </w:pPr>
          </w:p>
        </w:tc>
        <w:tc>
          <w:tcPr>
            <w:tcW w:w="0" w:type="auto"/>
            <w:shd w:val="clear" w:color="auto" w:fill="auto"/>
          </w:tcPr>
          <w:p w14:paraId="33DA8EEE" w14:textId="77777777" w:rsidR="004D6A64" w:rsidRDefault="004D6A64">
            <w:pPr>
              <w:rPr>
                <w:rFonts w:ascii="宋体"/>
              </w:rPr>
            </w:pPr>
          </w:p>
        </w:tc>
        <w:tc>
          <w:tcPr>
            <w:tcW w:w="0" w:type="auto"/>
            <w:shd w:val="clear" w:color="auto" w:fill="auto"/>
          </w:tcPr>
          <w:p w14:paraId="33DA8EEF" w14:textId="77777777" w:rsidR="004D6A64" w:rsidRDefault="004D6A64">
            <w:pPr>
              <w:rPr>
                <w:rFonts w:ascii="宋体"/>
              </w:rPr>
            </w:pPr>
          </w:p>
        </w:tc>
        <w:tc>
          <w:tcPr>
            <w:tcW w:w="0" w:type="auto"/>
            <w:shd w:val="clear" w:color="auto" w:fill="auto"/>
          </w:tcPr>
          <w:p w14:paraId="33DA8EF0" w14:textId="77777777" w:rsidR="004D6A64" w:rsidRDefault="004D6A64">
            <w:pPr>
              <w:rPr>
                <w:rFonts w:ascii="宋体"/>
              </w:rPr>
            </w:pPr>
          </w:p>
        </w:tc>
        <w:tc>
          <w:tcPr>
            <w:tcW w:w="0" w:type="auto"/>
            <w:shd w:val="clear" w:color="auto" w:fill="auto"/>
          </w:tcPr>
          <w:p w14:paraId="33DA8EF1" w14:textId="77777777" w:rsidR="004D6A64" w:rsidRDefault="004D6A64">
            <w:pPr>
              <w:rPr>
                <w:rFonts w:ascii="宋体"/>
              </w:rPr>
            </w:pPr>
          </w:p>
        </w:tc>
      </w:tr>
      <w:tr w:rsidR="004D6A64" w14:paraId="33DA8F02" w14:textId="77777777">
        <w:trPr>
          <w:jc w:val="center"/>
        </w:trPr>
        <w:tc>
          <w:tcPr>
            <w:tcW w:w="0" w:type="auto"/>
            <w:gridSpan w:val="3"/>
            <w:shd w:val="clear" w:color="auto" w:fill="FFFFFF"/>
            <w:tcMar>
              <w:top w:w="40" w:type="dxa"/>
              <w:left w:w="20" w:type="dxa"/>
              <w:bottom w:w="40" w:type="dxa"/>
              <w:right w:w="20" w:type="dxa"/>
            </w:tcMar>
            <w:vAlign w:val="center"/>
          </w:tcPr>
          <w:p w14:paraId="33DA8EF3" w14:textId="77777777" w:rsidR="004D6A64" w:rsidRDefault="00506CD6">
            <w:pPr>
              <w:textAlignment w:val="center"/>
            </w:pPr>
            <w:r>
              <w:rPr>
                <w:rFonts w:ascii="Times New Roman" w:eastAsia="宋体" w:hAnsi="Times New Roman"/>
                <w:color w:val="000000"/>
                <w:sz w:val="20"/>
                <w:szCs w:val="20"/>
              </w:rPr>
              <w:t>Goodwill</w:t>
            </w:r>
          </w:p>
        </w:tc>
        <w:tc>
          <w:tcPr>
            <w:tcW w:w="0" w:type="auto"/>
            <w:gridSpan w:val="2"/>
            <w:shd w:val="clear" w:color="auto" w:fill="FFFFFF"/>
            <w:tcMar>
              <w:top w:w="40" w:type="dxa"/>
              <w:left w:w="20" w:type="dxa"/>
              <w:bottom w:w="40" w:type="dxa"/>
              <w:right w:w="0" w:type="dxa"/>
            </w:tcMar>
            <w:vAlign w:val="center"/>
          </w:tcPr>
          <w:p w14:paraId="33DA8EF4" w14:textId="77777777" w:rsidR="004D6A64" w:rsidRDefault="00506CD6">
            <w:pPr>
              <w:jc w:val="right"/>
              <w:textAlignment w:val="center"/>
            </w:pPr>
            <w:r>
              <w:rPr>
                <w:rFonts w:ascii="Times New Roman" w:eastAsia="宋体" w:hAnsi="Times New Roman"/>
                <w:color w:val="000000"/>
                <w:sz w:val="20"/>
                <w:szCs w:val="20"/>
              </w:rPr>
              <w:t>40,644 </w:t>
            </w:r>
          </w:p>
        </w:tc>
        <w:tc>
          <w:tcPr>
            <w:tcW w:w="0" w:type="auto"/>
            <w:shd w:val="clear" w:color="auto" w:fill="FFFFFF"/>
            <w:tcMar>
              <w:top w:w="40" w:type="dxa"/>
              <w:bottom w:w="40" w:type="dxa"/>
              <w:right w:w="20" w:type="dxa"/>
            </w:tcMar>
            <w:vAlign w:val="center"/>
          </w:tcPr>
          <w:p w14:paraId="33DA8EF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8EF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8EF7" w14:textId="77777777" w:rsidR="004D6A64" w:rsidRDefault="00506CD6">
            <w:pPr>
              <w:jc w:val="right"/>
              <w:textAlignment w:val="center"/>
            </w:pPr>
            <w:r>
              <w:rPr>
                <w:rFonts w:ascii="Times New Roman" w:eastAsia="宋体" w:hAnsi="Times New Roman"/>
                <w:color w:val="000000"/>
                <w:sz w:val="20"/>
                <w:szCs w:val="20"/>
              </w:rPr>
              <w:t>41,691 </w:t>
            </w:r>
          </w:p>
        </w:tc>
        <w:tc>
          <w:tcPr>
            <w:tcW w:w="0" w:type="auto"/>
            <w:shd w:val="clear" w:color="auto" w:fill="FFFFFF"/>
            <w:tcMar>
              <w:top w:w="40" w:type="dxa"/>
              <w:bottom w:w="40" w:type="dxa"/>
              <w:right w:w="20" w:type="dxa"/>
            </w:tcMar>
            <w:vAlign w:val="center"/>
          </w:tcPr>
          <w:p w14:paraId="33DA8EF8" w14:textId="77777777" w:rsidR="004D6A64" w:rsidRDefault="004D6A64">
            <w:pPr>
              <w:jc w:val="right"/>
              <w:rPr>
                <w:rFonts w:ascii="宋体"/>
              </w:rPr>
            </w:pPr>
          </w:p>
        </w:tc>
        <w:tc>
          <w:tcPr>
            <w:tcW w:w="0" w:type="auto"/>
            <w:shd w:val="clear" w:color="auto" w:fill="auto"/>
          </w:tcPr>
          <w:p w14:paraId="33DA8EF9" w14:textId="77777777" w:rsidR="004D6A64" w:rsidRDefault="004D6A64">
            <w:pPr>
              <w:rPr>
                <w:rFonts w:ascii="宋体"/>
              </w:rPr>
            </w:pPr>
          </w:p>
        </w:tc>
        <w:tc>
          <w:tcPr>
            <w:tcW w:w="0" w:type="auto"/>
            <w:shd w:val="clear" w:color="auto" w:fill="auto"/>
          </w:tcPr>
          <w:p w14:paraId="33DA8EFA" w14:textId="77777777" w:rsidR="004D6A64" w:rsidRDefault="004D6A64">
            <w:pPr>
              <w:rPr>
                <w:rFonts w:ascii="宋体"/>
              </w:rPr>
            </w:pPr>
          </w:p>
        </w:tc>
        <w:tc>
          <w:tcPr>
            <w:tcW w:w="0" w:type="auto"/>
            <w:shd w:val="clear" w:color="auto" w:fill="auto"/>
          </w:tcPr>
          <w:p w14:paraId="33DA8EFB" w14:textId="77777777" w:rsidR="004D6A64" w:rsidRDefault="004D6A64">
            <w:pPr>
              <w:rPr>
                <w:rFonts w:ascii="宋体"/>
              </w:rPr>
            </w:pPr>
          </w:p>
        </w:tc>
        <w:tc>
          <w:tcPr>
            <w:tcW w:w="0" w:type="auto"/>
            <w:shd w:val="clear" w:color="auto" w:fill="auto"/>
          </w:tcPr>
          <w:p w14:paraId="33DA8EFC" w14:textId="77777777" w:rsidR="004D6A64" w:rsidRDefault="004D6A64">
            <w:pPr>
              <w:rPr>
                <w:rFonts w:ascii="宋体"/>
              </w:rPr>
            </w:pPr>
          </w:p>
        </w:tc>
        <w:tc>
          <w:tcPr>
            <w:tcW w:w="0" w:type="auto"/>
            <w:shd w:val="clear" w:color="auto" w:fill="auto"/>
          </w:tcPr>
          <w:p w14:paraId="33DA8EFD" w14:textId="77777777" w:rsidR="004D6A64" w:rsidRDefault="004D6A64">
            <w:pPr>
              <w:rPr>
                <w:rFonts w:ascii="宋体"/>
              </w:rPr>
            </w:pPr>
          </w:p>
        </w:tc>
        <w:tc>
          <w:tcPr>
            <w:tcW w:w="0" w:type="auto"/>
            <w:shd w:val="clear" w:color="auto" w:fill="auto"/>
          </w:tcPr>
          <w:p w14:paraId="33DA8EFE" w14:textId="77777777" w:rsidR="004D6A64" w:rsidRDefault="004D6A64">
            <w:pPr>
              <w:rPr>
                <w:rFonts w:ascii="宋体"/>
              </w:rPr>
            </w:pPr>
          </w:p>
        </w:tc>
        <w:tc>
          <w:tcPr>
            <w:tcW w:w="0" w:type="auto"/>
            <w:shd w:val="clear" w:color="auto" w:fill="auto"/>
          </w:tcPr>
          <w:p w14:paraId="33DA8EFF" w14:textId="77777777" w:rsidR="004D6A64" w:rsidRDefault="004D6A64">
            <w:pPr>
              <w:rPr>
                <w:rFonts w:ascii="宋体"/>
              </w:rPr>
            </w:pPr>
          </w:p>
        </w:tc>
        <w:tc>
          <w:tcPr>
            <w:tcW w:w="0" w:type="auto"/>
            <w:shd w:val="clear" w:color="auto" w:fill="auto"/>
          </w:tcPr>
          <w:p w14:paraId="33DA8F00" w14:textId="77777777" w:rsidR="004D6A64" w:rsidRDefault="004D6A64">
            <w:pPr>
              <w:rPr>
                <w:rFonts w:ascii="宋体"/>
              </w:rPr>
            </w:pPr>
          </w:p>
        </w:tc>
        <w:tc>
          <w:tcPr>
            <w:tcW w:w="0" w:type="auto"/>
            <w:shd w:val="clear" w:color="auto" w:fill="auto"/>
          </w:tcPr>
          <w:p w14:paraId="33DA8F01" w14:textId="77777777" w:rsidR="004D6A64" w:rsidRDefault="004D6A64">
            <w:pPr>
              <w:rPr>
                <w:rFonts w:ascii="宋体"/>
              </w:rPr>
            </w:pPr>
          </w:p>
        </w:tc>
      </w:tr>
      <w:tr w:rsidR="004D6A64" w14:paraId="33DA8F12" w14:textId="77777777">
        <w:trPr>
          <w:jc w:val="center"/>
        </w:trPr>
        <w:tc>
          <w:tcPr>
            <w:tcW w:w="0" w:type="auto"/>
            <w:gridSpan w:val="3"/>
            <w:shd w:val="clear" w:color="auto" w:fill="CCEEFF"/>
            <w:tcMar>
              <w:top w:w="40" w:type="dxa"/>
              <w:left w:w="20" w:type="dxa"/>
              <w:bottom w:w="40" w:type="dxa"/>
              <w:right w:w="20" w:type="dxa"/>
            </w:tcMar>
            <w:vAlign w:val="center"/>
          </w:tcPr>
          <w:p w14:paraId="33DA8F03" w14:textId="77777777" w:rsidR="004D6A64" w:rsidRDefault="00506CD6">
            <w:pPr>
              <w:textAlignment w:val="center"/>
            </w:pPr>
            <w:r>
              <w:rPr>
                <w:rFonts w:ascii="Times New Roman" w:eastAsia="宋体" w:hAnsi="Times New Roman"/>
                <w:color w:val="000000"/>
                <w:sz w:val="20"/>
                <w:szCs w:val="20"/>
              </w:rPr>
              <w:t>Intangible assets, net</w:t>
            </w:r>
          </w:p>
        </w:tc>
        <w:tc>
          <w:tcPr>
            <w:tcW w:w="0" w:type="auto"/>
            <w:gridSpan w:val="2"/>
            <w:shd w:val="clear" w:color="auto" w:fill="CCEEFF"/>
            <w:tcMar>
              <w:top w:w="40" w:type="dxa"/>
              <w:left w:w="20" w:type="dxa"/>
              <w:bottom w:w="40" w:type="dxa"/>
              <w:right w:w="0" w:type="dxa"/>
            </w:tcMar>
            <w:vAlign w:val="center"/>
          </w:tcPr>
          <w:p w14:paraId="33DA8F04" w14:textId="77777777" w:rsidR="004D6A64" w:rsidRDefault="00506CD6">
            <w:pPr>
              <w:jc w:val="right"/>
              <w:textAlignment w:val="center"/>
            </w:pPr>
            <w:r>
              <w:rPr>
                <w:rFonts w:ascii="Times New Roman" w:eastAsia="宋体" w:hAnsi="Times New Roman"/>
                <w:color w:val="000000"/>
                <w:sz w:val="20"/>
                <w:szCs w:val="20"/>
              </w:rPr>
              <w:t>16,064 </w:t>
            </w:r>
          </w:p>
        </w:tc>
        <w:tc>
          <w:tcPr>
            <w:tcW w:w="0" w:type="auto"/>
            <w:shd w:val="clear" w:color="auto" w:fill="CCEEFF"/>
            <w:tcMar>
              <w:top w:w="40" w:type="dxa"/>
              <w:bottom w:w="40" w:type="dxa"/>
              <w:right w:w="20" w:type="dxa"/>
            </w:tcMar>
            <w:vAlign w:val="center"/>
          </w:tcPr>
          <w:p w14:paraId="33DA8F0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8F0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8F07" w14:textId="77777777" w:rsidR="004D6A64" w:rsidRDefault="00506CD6">
            <w:pPr>
              <w:jc w:val="right"/>
              <w:textAlignment w:val="center"/>
            </w:pPr>
            <w:r>
              <w:rPr>
                <w:rFonts w:ascii="Times New Roman" w:eastAsia="宋体" w:hAnsi="Times New Roman"/>
                <w:color w:val="000000"/>
                <w:sz w:val="20"/>
                <w:szCs w:val="20"/>
              </w:rPr>
              <w:t>18,107 </w:t>
            </w:r>
          </w:p>
        </w:tc>
        <w:tc>
          <w:tcPr>
            <w:tcW w:w="0" w:type="auto"/>
            <w:shd w:val="clear" w:color="auto" w:fill="CCEEFF"/>
            <w:tcMar>
              <w:top w:w="40" w:type="dxa"/>
              <w:bottom w:w="40" w:type="dxa"/>
              <w:right w:w="20" w:type="dxa"/>
            </w:tcMar>
            <w:vAlign w:val="center"/>
          </w:tcPr>
          <w:p w14:paraId="33DA8F08" w14:textId="77777777" w:rsidR="004D6A64" w:rsidRDefault="004D6A64">
            <w:pPr>
              <w:jc w:val="right"/>
              <w:rPr>
                <w:rFonts w:ascii="宋体"/>
              </w:rPr>
            </w:pPr>
          </w:p>
        </w:tc>
        <w:tc>
          <w:tcPr>
            <w:tcW w:w="0" w:type="auto"/>
            <w:shd w:val="clear" w:color="auto" w:fill="auto"/>
          </w:tcPr>
          <w:p w14:paraId="33DA8F09" w14:textId="77777777" w:rsidR="004D6A64" w:rsidRDefault="004D6A64">
            <w:pPr>
              <w:rPr>
                <w:rFonts w:ascii="宋体"/>
              </w:rPr>
            </w:pPr>
          </w:p>
        </w:tc>
        <w:tc>
          <w:tcPr>
            <w:tcW w:w="0" w:type="auto"/>
            <w:shd w:val="clear" w:color="auto" w:fill="auto"/>
          </w:tcPr>
          <w:p w14:paraId="33DA8F0A" w14:textId="77777777" w:rsidR="004D6A64" w:rsidRDefault="004D6A64">
            <w:pPr>
              <w:rPr>
                <w:rFonts w:ascii="宋体"/>
              </w:rPr>
            </w:pPr>
          </w:p>
        </w:tc>
        <w:tc>
          <w:tcPr>
            <w:tcW w:w="0" w:type="auto"/>
            <w:shd w:val="clear" w:color="auto" w:fill="auto"/>
          </w:tcPr>
          <w:p w14:paraId="33DA8F0B" w14:textId="77777777" w:rsidR="004D6A64" w:rsidRDefault="004D6A64">
            <w:pPr>
              <w:rPr>
                <w:rFonts w:ascii="宋体"/>
              </w:rPr>
            </w:pPr>
          </w:p>
        </w:tc>
        <w:tc>
          <w:tcPr>
            <w:tcW w:w="0" w:type="auto"/>
            <w:shd w:val="clear" w:color="auto" w:fill="auto"/>
          </w:tcPr>
          <w:p w14:paraId="33DA8F0C" w14:textId="77777777" w:rsidR="004D6A64" w:rsidRDefault="004D6A64">
            <w:pPr>
              <w:rPr>
                <w:rFonts w:ascii="宋体"/>
              </w:rPr>
            </w:pPr>
          </w:p>
        </w:tc>
        <w:tc>
          <w:tcPr>
            <w:tcW w:w="0" w:type="auto"/>
            <w:shd w:val="clear" w:color="auto" w:fill="auto"/>
          </w:tcPr>
          <w:p w14:paraId="33DA8F0D" w14:textId="77777777" w:rsidR="004D6A64" w:rsidRDefault="004D6A64">
            <w:pPr>
              <w:rPr>
                <w:rFonts w:ascii="宋体"/>
              </w:rPr>
            </w:pPr>
          </w:p>
        </w:tc>
        <w:tc>
          <w:tcPr>
            <w:tcW w:w="0" w:type="auto"/>
            <w:shd w:val="clear" w:color="auto" w:fill="auto"/>
          </w:tcPr>
          <w:p w14:paraId="33DA8F0E" w14:textId="77777777" w:rsidR="004D6A64" w:rsidRDefault="004D6A64">
            <w:pPr>
              <w:rPr>
                <w:rFonts w:ascii="宋体"/>
              </w:rPr>
            </w:pPr>
          </w:p>
        </w:tc>
        <w:tc>
          <w:tcPr>
            <w:tcW w:w="0" w:type="auto"/>
            <w:shd w:val="clear" w:color="auto" w:fill="auto"/>
          </w:tcPr>
          <w:p w14:paraId="33DA8F0F" w14:textId="77777777" w:rsidR="004D6A64" w:rsidRDefault="004D6A64">
            <w:pPr>
              <w:rPr>
                <w:rFonts w:ascii="宋体"/>
              </w:rPr>
            </w:pPr>
          </w:p>
        </w:tc>
        <w:tc>
          <w:tcPr>
            <w:tcW w:w="0" w:type="auto"/>
            <w:shd w:val="clear" w:color="auto" w:fill="auto"/>
          </w:tcPr>
          <w:p w14:paraId="33DA8F10" w14:textId="77777777" w:rsidR="004D6A64" w:rsidRDefault="004D6A64">
            <w:pPr>
              <w:rPr>
                <w:rFonts w:ascii="宋体"/>
              </w:rPr>
            </w:pPr>
          </w:p>
        </w:tc>
        <w:tc>
          <w:tcPr>
            <w:tcW w:w="0" w:type="auto"/>
            <w:shd w:val="clear" w:color="auto" w:fill="auto"/>
          </w:tcPr>
          <w:p w14:paraId="33DA8F11" w14:textId="77777777" w:rsidR="004D6A64" w:rsidRDefault="004D6A64">
            <w:pPr>
              <w:rPr>
                <w:rFonts w:ascii="宋体"/>
              </w:rPr>
            </w:pPr>
          </w:p>
        </w:tc>
      </w:tr>
      <w:tr w:rsidR="004D6A64" w14:paraId="33DA8F22" w14:textId="77777777">
        <w:trPr>
          <w:jc w:val="center"/>
        </w:trPr>
        <w:tc>
          <w:tcPr>
            <w:tcW w:w="0" w:type="auto"/>
            <w:gridSpan w:val="3"/>
            <w:shd w:val="clear" w:color="auto" w:fill="FFFFFF"/>
            <w:tcMar>
              <w:top w:w="40" w:type="dxa"/>
              <w:left w:w="20" w:type="dxa"/>
              <w:bottom w:w="40" w:type="dxa"/>
              <w:right w:w="20" w:type="dxa"/>
            </w:tcMar>
            <w:vAlign w:val="center"/>
          </w:tcPr>
          <w:p w14:paraId="33DA8F13" w14:textId="77777777" w:rsidR="004D6A64" w:rsidRDefault="00506CD6">
            <w:pPr>
              <w:textAlignment w:val="center"/>
            </w:pPr>
            <w:r>
              <w:rPr>
                <w:rFonts w:ascii="Times New Roman" w:eastAsia="宋体" w:hAnsi="Times New Roman"/>
                <w:color w:val="000000"/>
                <w:sz w:val="20"/>
                <w:szCs w:val="20"/>
              </w:rPr>
              <w:t>Other non-current assets</w:t>
            </w:r>
          </w:p>
        </w:tc>
        <w:tc>
          <w:tcPr>
            <w:tcW w:w="0" w:type="auto"/>
            <w:gridSpan w:val="2"/>
            <w:shd w:val="clear" w:color="auto" w:fill="FFFFFF"/>
            <w:tcMar>
              <w:top w:w="40" w:type="dxa"/>
              <w:left w:w="20" w:type="dxa"/>
              <w:bottom w:w="40" w:type="dxa"/>
              <w:right w:w="0" w:type="dxa"/>
            </w:tcMar>
            <w:vAlign w:val="center"/>
          </w:tcPr>
          <w:p w14:paraId="33DA8F14" w14:textId="77777777" w:rsidR="004D6A64" w:rsidRDefault="00506CD6">
            <w:pPr>
              <w:jc w:val="right"/>
              <w:textAlignment w:val="center"/>
            </w:pPr>
            <w:r>
              <w:rPr>
                <w:rFonts w:ascii="Times New Roman" w:eastAsia="宋体" w:hAnsi="Times New Roman"/>
                <w:color w:val="000000"/>
                <w:sz w:val="20"/>
                <w:szCs w:val="20"/>
              </w:rPr>
              <w:t>10,647 </w:t>
            </w:r>
          </w:p>
        </w:tc>
        <w:tc>
          <w:tcPr>
            <w:tcW w:w="0" w:type="auto"/>
            <w:shd w:val="clear" w:color="auto" w:fill="FFFFFF"/>
            <w:tcMar>
              <w:top w:w="40" w:type="dxa"/>
              <w:bottom w:w="40" w:type="dxa"/>
              <w:right w:w="20" w:type="dxa"/>
            </w:tcMar>
            <w:vAlign w:val="center"/>
          </w:tcPr>
          <w:p w14:paraId="33DA8F1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8F1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8F17" w14:textId="77777777" w:rsidR="004D6A64" w:rsidRDefault="00506CD6">
            <w:pPr>
              <w:jc w:val="right"/>
              <w:textAlignment w:val="center"/>
            </w:pPr>
            <w:r>
              <w:rPr>
                <w:rFonts w:ascii="Times New Roman" w:eastAsia="宋体" w:hAnsi="Times New Roman"/>
                <w:color w:val="000000"/>
                <w:sz w:val="20"/>
                <w:szCs w:val="20"/>
              </w:rPr>
              <w:t>10,428 </w:t>
            </w:r>
          </w:p>
        </w:tc>
        <w:tc>
          <w:tcPr>
            <w:tcW w:w="0" w:type="auto"/>
            <w:shd w:val="clear" w:color="auto" w:fill="FFFFFF"/>
            <w:tcMar>
              <w:top w:w="40" w:type="dxa"/>
              <w:bottom w:w="40" w:type="dxa"/>
              <w:right w:w="20" w:type="dxa"/>
            </w:tcMar>
            <w:vAlign w:val="center"/>
          </w:tcPr>
          <w:p w14:paraId="33DA8F18" w14:textId="77777777" w:rsidR="004D6A64" w:rsidRDefault="004D6A64">
            <w:pPr>
              <w:jc w:val="right"/>
              <w:rPr>
                <w:rFonts w:ascii="宋体"/>
              </w:rPr>
            </w:pPr>
          </w:p>
        </w:tc>
        <w:tc>
          <w:tcPr>
            <w:tcW w:w="0" w:type="auto"/>
            <w:shd w:val="clear" w:color="auto" w:fill="auto"/>
          </w:tcPr>
          <w:p w14:paraId="33DA8F19" w14:textId="77777777" w:rsidR="004D6A64" w:rsidRDefault="004D6A64">
            <w:pPr>
              <w:rPr>
                <w:rFonts w:ascii="宋体"/>
              </w:rPr>
            </w:pPr>
          </w:p>
        </w:tc>
        <w:tc>
          <w:tcPr>
            <w:tcW w:w="0" w:type="auto"/>
            <w:shd w:val="clear" w:color="auto" w:fill="auto"/>
          </w:tcPr>
          <w:p w14:paraId="33DA8F1A" w14:textId="77777777" w:rsidR="004D6A64" w:rsidRDefault="004D6A64">
            <w:pPr>
              <w:rPr>
                <w:rFonts w:ascii="宋体"/>
              </w:rPr>
            </w:pPr>
          </w:p>
        </w:tc>
        <w:tc>
          <w:tcPr>
            <w:tcW w:w="0" w:type="auto"/>
            <w:shd w:val="clear" w:color="auto" w:fill="auto"/>
          </w:tcPr>
          <w:p w14:paraId="33DA8F1B" w14:textId="77777777" w:rsidR="004D6A64" w:rsidRDefault="004D6A64">
            <w:pPr>
              <w:rPr>
                <w:rFonts w:ascii="宋体"/>
              </w:rPr>
            </w:pPr>
          </w:p>
        </w:tc>
        <w:tc>
          <w:tcPr>
            <w:tcW w:w="0" w:type="auto"/>
            <w:shd w:val="clear" w:color="auto" w:fill="auto"/>
          </w:tcPr>
          <w:p w14:paraId="33DA8F1C" w14:textId="77777777" w:rsidR="004D6A64" w:rsidRDefault="004D6A64">
            <w:pPr>
              <w:rPr>
                <w:rFonts w:ascii="宋体"/>
              </w:rPr>
            </w:pPr>
          </w:p>
        </w:tc>
        <w:tc>
          <w:tcPr>
            <w:tcW w:w="0" w:type="auto"/>
            <w:shd w:val="clear" w:color="auto" w:fill="auto"/>
          </w:tcPr>
          <w:p w14:paraId="33DA8F1D" w14:textId="77777777" w:rsidR="004D6A64" w:rsidRDefault="004D6A64">
            <w:pPr>
              <w:rPr>
                <w:rFonts w:ascii="宋体"/>
              </w:rPr>
            </w:pPr>
          </w:p>
        </w:tc>
        <w:tc>
          <w:tcPr>
            <w:tcW w:w="0" w:type="auto"/>
            <w:shd w:val="clear" w:color="auto" w:fill="auto"/>
          </w:tcPr>
          <w:p w14:paraId="33DA8F1E" w14:textId="77777777" w:rsidR="004D6A64" w:rsidRDefault="004D6A64">
            <w:pPr>
              <w:rPr>
                <w:rFonts w:ascii="宋体"/>
              </w:rPr>
            </w:pPr>
          </w:p>
        </w:tc>
        <w:tc>
          <w:tcPr>
            <w:tcW w:w="0" w:type="auto"/>
            <w:shd w:val="clear" w:color="auto" w:fill="auto"/>
          </w:tcPr>
          <w:p w14:paraId="33DA8F1F" w14:textId="77777777" w:rsidR="004D6A64" w:rsidRDefault="004D6A64">
            <w:pPr>
              <w:rPr>
                <w:rFonts w:ascii="宋体"/>
              </w:rPr>
            </w:pPr>
          </w:p>
        </w:tc>
        <w:tc>
          <w:tcPr>
            <w:tcW w:w="0" w:type="auto"/>
            <w:shd w:val="clear" w:color="auto" w:fill="auto"/>
          </w:tcPr>
          <w:p w14:paraId="33DA8F20" w14:textId="77777777" w:rsidR="004D6A64" w:rsidRDefault="004D6A64">
            <w:pPr>
              <w:rPr>
                <w:rFonts w:ascii="宋体"/>
              </w:rPr>
            </w:pPr>
          </w:p>
        </w:tc>
        <w:tc>
          <w:tcPr>
            <w:tcW w:w="0" w:type="auto"/>
            <w:shd w:val="clear" w:color="auto" w:fill="auto"/>
          </w:tcPr>
          <w:p w14:paraId="33DA8F21" w14:textId="77777777" w:rsidR="004D6A64" w:rsidRDefault="004D6A64">
            <w:pPr>
              <w:rPr>
                <w:rFonts w:ascii="宋体"/>
              </w:rPr>
            </w:pPr>
          </w:p>
        </w:tc>
      </w:tr>
      <w:tr w:rsidR="004D6A64" w14:paraId="33DA8F34" w14:textId="77777777">
        <w:trPr>
          <w:jc w:val="center"/>
        </w:trPr>
        <w:tc>
          <w:tcPr>
            <w:tcW w:w="0" w:type="auto"/>
            <w:gridSpan w:val="3"/>
            <w:shd w:val="clear" w:color="auto" w:fill="CCEEFF"/>
            <w:tcMar>
              <w:top w:w="40" w:type="dxa"/>
              <w:left w:w="225" w:type="dxa"/>
              <w:bottom w:w="40" w:type="dxa"/>
              <w:right w:w="20" w:type="dxa"/>
            </w:tcMar>
            <w:vAlign w:val="center"/>
          </w:tcPr>
          <w:p w14:paraId="33DA8F23" w14:textId="77777777" w:rsidR="004D6A64" w:rsidRDefault="00506CD6">
            <w:pPr>
              <w:textAlignment w:val="center"/>
            </w:pPr>
            <w:r>
              <w:rPr>
                <w:rFonts w:ascii="Times New Roman" w:eastAsia="宋体" w:hAnsi="Times New Roman"/>
                <w:color w:val="000000"/>
                <w:sz w:val="20"/>
                <w:szCs w:val="20"/>
              </w:rPr>
              <w:t>Total assets</w:t>
            </w: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8F24"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8F25" w14:textId="77777777" w:rsidR="004D6A64" w:rsidRDefault="00506CD6">
            <w:pPr>
              <w:jc w:val="right"/>
              <w:textAlignment w:val="center"/>
            </w:pPr>
            <w:r>
              <w:rPr>
                <w:rFonts w:ascii="Times New Roman" w:eastAsia="宋体" w:hAnsi="Times New Roman"/>
                <w:color w:val="000000"/>
                <w:sz w:val="20"/>
                <w:szCs w:val="20"/>
              </w:rPr>
              <w:t>121,276 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8F2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8F27"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8F28"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8F29" w14:textId="77777777" w:rsidR="004D6A64" w:rsidRDefault="00506CD6">
            <w:pPr>
              <w:jc w:val="right"/>
              <w:textAlignment w:val="center"/>
            </w:pPr>
            <w:r>
              <w:rPr>
                <w:rFonts w:ascii="Times New Roman" w:eastAsia="宋体" w:hAnsi="Times New Roman"/>
                <w:color w:val="000000"/>
                <w:sz w:val="20"/>
                <w:szCs w:val="20"/>
              </w:rPr>
              <w:t>118,861 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8F2A" w14:textId="77777777" w:rsidR="004D6A64" w:rsidRDefault="004D6A64">
            <w:pPr>
              <w:jc w:val="right"/>
              <w:rPr>
                <w:rFonts w:ascii="宋体"/>
              </w:rPr>
            </w:pPr>
          </w:p>
        </w:tc>
        <w:tc>
          <w:tcPr>
            <w:tcW w:w="0" w:type="auto"/>
            <w:shd w:val="clear" w:color="auto" w:fill="auto"/>
          </w:tcPr>
          <w:p w14:paraId="33DA8F2B" w14:textId="77777777" w:rsidR="004D6A64" w:rsidRDefault="004D6A64">
            <w:pPr>
              <w:rPr>
                <w:rFonts w:ascii="宋体"/>
              </w:rPr>
            </w:pPr>
          </w:p>
        </w:tc>
        <w:tc>
          <w:tcPr>
            <w:tcW w:w="0" w:type="auto"/>
            <w:shd w:val="clear" w:color="auto" w:fill="auto"/>
          </w:tcPr>
          <w:p w14:paraId="33DA8F2C" w14:textId="77777777" w:rsidR="004D6A64" w:rsidRDefault="004D6A64">
            <w:pPr>
              <w:rPr>
                <w:rFonts w:ascii="宋体"/>
              </w:rPr>
            </w:pPr>
          </w:p>
        </w:tc>
        <w:tc>
          <w:tcPr>
            <w:tcW w:w="0" w:type="auto"/>
            <w:shd w:val="clear" w:color="auto" w:fill="auto"/>
          </w:tcPr>
          <w:p w14:paraId="33DA8F2D" w14:textId="77777777" w:rsidR="004D6A64" w:rsidRDefault="004D6A64">
            <w:pPr>
              <w:rPr>
                <w:rFonts w:ascii="宋体"/>
              </w:rPr>
            </w:pPr>
          </w:p>
        </w:tc>
        <w:tc>
          <w:tcPr>
            <w:tcW w:w="0" w:type="auto"/>
            <w:shd w:val="clear" w:color="auto" w:fill="auto"/>
          </w:tcPr>
          <w:p w14:paraId="33DA8F2E" w14:textId="77777777" w:rsidR="004D6A64" w:rsidRDefault="004D6A64">
            <w:pPr>
              <w:rPr>
                <w:rFonts w:ascii="宋体"/>
              </w:rPr>
            </w:pPr>
          </w:p>
        </w:tc>
        <w:tc>
          <w:tcPr>
            <w:tcW w:w="0" w:type="auto"/>
            <w:shd w:val="clear" w:color="auto" w:fill="auto"/>
          </w:tcPr>
          <w:p w14:paraId="33DA8F2F" w14:textId="77777777" w:rsidR="004D6A64" w:rsidRDefault="004D6A64">
            <w:pPr>
              <w:rPr>
                <w:rFonts w:ascii="宋体"/>
              </w:rPr>
            </w:pPr>
          </w:p>
        </w:tc>
        <w:tc>
          <w:tcPr>
            <w:tcW w:w="0" w:type="auto"/>
            <w:shd w:val="clear" w:color="auto" w:fill="auto"/>
          </w:tcPr>
          <w:p w14:paraId="33DA8F30" w14:textId="77777777" w:rsidR="004D6A64" w:rsidRDefault="004D6A64">
            <w:pPr>
              <w:rPr>
                <w:rFonts w:ascii="宋体"/>
              </w:rPr>
            </w:pPr>
          </w:p>
        </w:tc>
        <w:tc>
          <w:tcPr>
            <w:tcW w:w="0" w:type="auto"/>
            <w:shd w:val="clear" w:color="auto" w:fill="auto"/>
          </w:tcPr>
          <w:p w14:paraId="33DA8F31" w14:textId="77777777" w:rsidR="004D6A64" w:rsidRDefault="004D6A64">
            <w:pPr>
              <w:rPr>
                <w:rFonts w:ascii="宋体"/>
              </w:rPr>
            </w:pPr>
          </w:p>
        </w:tc>
        <w:tc>
          <w:tcPr>
            <w:tcW w:w="0" w:type="auto"/>
            <w:shd w:val="clear" w:color="auto" w:fill="auto"/>
          </w:tcPr>
          <w:p w14:paraId="33DA8F32" w14:textId="77777777" w:rsidR="004D6A64" w:rsidRDefault="004D6A64">
            <w:pPr>
              <w:rPr>
                <w:rFonts w:ascii="宋体"/>
              </w:rPr>
            </w:pPr>
          </w:p>
        </w:tc>
        <w:tc>
          <w:tcPr>
            <w:tcW w:w="0" w:type="auto"/>
            <w:shd w:val="clear" w:color="auto" w:fill="auto"/>
          </w:tcPr>
          <w:p w14:paraId="33DA8F33" w14:textId="77777777" w:rsidR="004D6A64" w:rsidRDefault="004D6A64">
            <w:pPr>
              <w:rPr>
                <w:rFonts w:ascii="宋体"/>
              </w:rPr>
            </w:pPr>
          </w:p>
        </w:tc>
      </w:tr>
      <w:tr w:rsidR="004D6A64" w14:paraId="33DA8F39" w14:textId="77777777">
        <w:trPr>
          <w:jc w:val="center"/>
        </w:trPr>
        <w:tc>
          <w:tcPr>
            <w:tcW w:w="0" w:type="auto"/>
            <w:gridSpan w:val="12"/>
            <w:shd w:val="clear" w:color="auto" w:fill="FFFFFF"/>
            <w:tcMar>
              <w:top w:w="40" w:type="dxa"/>
              <w:left w:w="20" w:type="dxa"/>
              <w:bottom w:w="40" w:type="dxa"/>
              <w:right w:w="20" w:type="dxa"/>
            </w:tcMar>
            <w:vAlign w:val="center"/>
          </w:tcPr>
          <w:p w14:paraId="33DA8F35" w14:textId="77777777" w:rsidR="004D6A64" w:rsidRDefault="00506CD6">
            <w:pPr>
              <w:jc w:val="center"/>
              <w:textAlignment w:val="center"/>
            </w:pPr>
            <w:r>
              <w:rPr>
                <w:rFonts w:ascii="Times New Roman" w:eastAsia="宋体" w:hAnsi="Times New Roman"/>
                <w:b/>
                <w:bCs/>
                <w:color w:val="000000"/>
                <w:sz w:val="20"/>
                <w:szCs w:val="20"/>
              </w:rPr>
              <w:t>LIABILITIES, REDEEMABLE SHARES, AND STOCKHOLDERS’ EQUITY (DEFICIT)</w:t>
            </w:r>
          </w:p>
        </w:tc>
        <w:tc>
          <w:tcPr>
            <w:tcW w:w="0" w:type="auto"/>
            <w:gridSpan w:val="3"/>
            <w:shd w:val="clear" w:color="auto" w:fill="auto"/>
          </w:tcPr>
          <w:p w14:paraId="33DA8F36" w14:textId="77777777" w:rsidR="004D6A64" w:rsidRDefault="004D6A64">
            <w:pPr>
              <w:rPr>
                <w:rFonts w:ascii="宋体"/>
                <w:vanish/>
              </w:rPr>
            </w:pPr>
          </w:p>
        </w:tc>
        <w:tc>
          <w:tcPr>
            <w:tcW w:w="0" w:type="auto"/>
            <w:gridSpan w:val="3"/>
            <w:shd w:val="clear" w:color="auto" w:fill="auto"/>
          </w:tcPr>
          <w:p w14:paraId="33DA8F37" w14:textId="77777777" w:rsidR="004D6A64" w:rsidRDefault="004D6A64">
            <w:pPr>
              <w:rPr>
                <w:rFonts w:ascii="宋体"/>
                <w:vanish/>
              </w:rPr>
            </w:pPr>
          </w:p>
        </w:tc>
        <w:tc>
          <w:tcPr>
            <w:tcW w:w="0" w:type="auto"/>
            <w:gridSpan w:val="3"/>
            <w:shd w:val="clear" w:color="auto" w:fill="auto"/>
          </w:tcPr>
          <w:p w14:paraId="33DA8F38" w14:textId="77777777" w:rsidR="004D6A64" w:rsidRDefault="004D6A64">
            <w:pPr>
              <w:rPr>
                <w:rFonts w:ascii="宋体"/>
                <w:vanish/>
              </w:rPr>
            </w:pPr>
          </w:p>
        </w:tc>
      </w:tr>
      <w:tr w:rsidR="004D6A64" w14:paraId="33DA8F47" w14:textId="77777777">
        <w:trPr>
          <w:jc w:val="center"/>
        </w:trPr>
        <w:tc>
          <w:tcPr>
            <w:tcW w:w="0" w:type="auto"/>
            <w:gridSpan w:val="3"/>
            <w:shd w:val="clear" w:color="auto" w:fill="CCEEFF"/>
            <w:tcMar>
              <w:top w:w="40" w:type="dxa"/>
              <w:left w:w="20" w:type="dxa"/>
              <w:bottom w:w="40" w:type="dxa"/>
              <w:right w:w="20" w:type="dxa"/>
            </w:tcMar>
            <w:vAlign w:val="center"/>
          </w:tcPr>
          <w:p w14:paraId="33DA8F3A" w14:textId="77777777" w:rsidR="004D6A64" w:rsidRDefault="00506CD6">
            <w:pPr>
              <w:textAlignment w:val="center"/>
            </w:pPr>
            <w:r>
              <w:rPr>
                <w:rFonts w:ascii="Times New Roman" w:eastAsia="宋体" w:hAnsi="Times New Roman"/>
                <w:color w:val="000000"/>
                <w:sz w:val="20"/>
                <w:szCs w:val="20"/>
              </w:rPr>
              <w:t>Current liabilities:</w:t>
            </w:r>
          </w:p>
        </w:tc>
        <w:tc>
          <w:tcPr>
            <w:tcW w:w="0" w:type="auto"/>
            <w:gridSpan w:val="3"/>
            <w:shd w:val="clear" w:color="auto" w:fill="CCEEFF"/>
            <w:tcMar>
              <w:top w:w="40" w:type="dxa"/>
              <w:left w:w="20" w:type="dxa"/>
              <w:bottom w:w="40" w:type="dxa"/>
              <w:right w:w="20" w:type="dxa"/>
            </w:tcMar>
            <w:vAlign w:val="center"/>
          </w:tcPr>
          <w:p w14:paraId="33DA8F3B" w14:textId="77777777" w:rsidR="004D6A64" w:rsidRDefault="00506CD6">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left w:w="20" w:type="dxa"/>
              <w:right w:w="20" w:type="dxa"/>
            </w:tcMar>
            <w:vAlign w:val="bottom"/>
          </w:tcPr>
          <w:p w14:paraId="33DA8F3C" w14:textId="77777777" w:rsidR="004D6A64" w:rsidRDefault="004D6A64">
            <w:pPr>
              <w:rPr>
                <w:rFonts w:ascii="宋体"/>
              </w:rPr>
            </w:pPr>
          </w:p>
        </w:tc>
        <w:tc>
          <w:tcPr>
            <w:tcW w:w="0" w:type="auto"/>
            <w:gridSpan w:val="3"/>
            <w:shd w:val="clear" w:color="auto" w:fill="CCEEFF"/>
            <w:tcMar>
              <w:top w:w="40" w:type="dxa"/>
              <w:left w:w="20" w:type="dxa"/>
              <w:bottom w:w="40" w:type="dxa"/>
              <w:right w:w="20" w:type="dxa"/>
            </w:tcMar>
            <w:vAlign w:val="center"/>
          </w:tcPr>
          <w:p w14:paraId="33DA8F3D"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auto"/>
          </w:tcPr>
          <w:p w14:paraId="33DA8F3E" w14:textId="77777777" w:rsidR="004D6A64" w:rsidRDefault="004D6A64">
            <w:pPr>
              <w:rPr>
                <w:rFonts w:ascii="宋体"/>
              </w:rPr>
            </w:pPr>
          </w:p>
        </w:tc>
        <w:tc>
          <w:tcPr>
            <w:tcW w:w="0" w:type="auto"/>
            <w:shd w:val="clear" w:color="auto" w:fill="auto"/>
          </w:tcPr>
          <w:p w14:paraId="33DA8F3F" w14:textId="77777777" w:rsidR="004D6A64" w:rsidRDefault="004D6A64">
            <w:pPr>
              <w:rPr>
                <w:rFonts w:ascii="宋体"/>
              </w:rPr>
            </w:pPr>
          </w:p>
        </w:tc>
        <w:tc>
          <w:tcPr>
            <w:tcW w:w="0" w:type="auto"/>
            <w:shd w:val="clear" w:color="auto" w:fill="auto"/>
          </w:tcPr>
          <w:p w14:paraId="33DA8F40" w14:textId="77777777" w:rsidR="004D6A64" w:rsidRDefault="004D6A64">
            <w:pPr>
              <w:rPr>
                <w:rFonts w:ascii="宋体"/>
              </w:rPr>
            </w:pPr>
          </w:p>
        </w:tc>
        <w:tc>
          <w:tcPr>
            <w:tcW w:w="0" w:type="auto"/>
            <w:shd w:val="clear" w:color="auto" w:fill="auto"/>
          </w:tcPr>
          <w:p w14:paraId="33DA8F41" w14:textId="77777777" w:rsidR="004D6A64" w:rsidRDefault="004D6A64">
            <w:pPr>
              <w:rPr>
                <w:rFonts w:ascii="宋体"/>
              </w:rPr>
            </w:pPr>
          </w:p>
        </w:tc>
        <w:tc>
          <w:tcPr>
            <w:tcW w:w="0" w:type="auto"/>
            <w:shd w:val="clear" w:color="auto" w:fill="auto"/>
          </w:tcPr>
          <w:p w14:paraId="33DA8F42" w14:textId="77777777" w:rsidR="004D6A64" w:rsidRDefault="004D6A64">
            <w:pPr>
              <w:rPr>
                <w:rFonts w:ascii="宋体"/>
              </w:rPr>
            </w:pPr>
          </w:p>
        </w:tc>
        <w:tc>
          <w:tcPr>
            <w:tcW w:w="0" w:type="auto"/>
            <w:shd w:val="clear" w:color="auto" w:fill="auto"/>
          </w:tcPr>
          <w:p w14:paraId="33DA8F43" w14:textId="77777777" w:rsidR="004D6A64" w:rsidRDefault="004D6A64">
            <w:pPr>
              <w:rPr>
                <w:rFonts w:ascii="宋体"/>
              </w:rPr>
            </w:pPr>
          </w:p>
        </w:tc>
        <w:tc>
          <w:tcPr>
            <w:tcW w:w="0" w:type="auto"/>
            <w:shd w:val="clear" w:color="auto" w:fill="auto"/>
          </w:tcPr>
          <w:p w14:paraId="33DA8F44" w14:textId="77777777" w:rsidR="004D6A64" w:rsidRDefault="004D6A64">
            <w:pPr>
              <w:rPr>
                <w:rFonts w:ascii="宋体"/>
              </w:rPr>
            </w:pPr>
          </w:p>
        </w:tc>
        <w:tc>
          <w:tcPr>
            <w:tcW w:w="0" w:type="auto"/>
            <w:shd w:val="clear" w:color="auto" w:fill="auto"/>
          </w:tcPr>
          <w:p w14:paraId="33DA8F45" w14:textId="77777777" w:rsidR="004D6A64" w:rsidRDefault="004D6A64">
            <w:pPr>
              <w:rPr>
                <w:rFonts w:ascii="宋体"/>
              </w:rPr>
            </w:pPr>
          </w:p>
        </w:tc>
        <w:tc>
          <w:tcPr>
            <w:tcW w:w="0" w:type="auto"/>
            <w:shd w:val="clear" w:color="auto" w:fill="auto"/>
          </w:tcPr>
          <w:p w14:paraId="33DA8F46" w14:textId="77777777" w:rsidR="004D6A64" w:rsidRDefault="004D6A64">
            <w:pPr>
              <w:rPr>
                <w:rFonts w:ascii="宋体"/>
              </w:rPr>
            </w:pPr>
          </w:p>
        </w:tc>
      </w:tr>
      <w:tr w:rsidR="004D6A64" w14:paraId="33DA8F59" w14:textId="77777777">
        <w:trPr>
          <w:jc w:val="center"/>
        </w:trPr>
        <w:tc>
          <w:tcPr>
            <w:tcW w:w="0" w:type="auto"/>
            <w:gridSpan w:val="3"/>
            <w:shd w:val="clear" w:color="auto" w:fill="FFFFFF"/>
            <w:tcMar>
              <w:top w:w="40" w:type="dxa"/>
              <w:left w:w="225" w:type="dxa"/>
              <w:bottom w:w="40" w:type="dxa"/>
              <w:right w:w="20" w:type="dxa"/>
            </w:tcMar>
            <w:vAlign w:val="center"/>
          </w:tcPr>
          <w:p w14:paraId="33DA8F48" w14:textId="77777777" w:rsidR="004D6A64" w:rsidRDefault="00506CD6">
            <w:pPr>
              <w:textAlignment w:val="center"/>
            </w:pPr>
            <w:r>
              <w:rPr>
                <w:rFonts w:ascii="Times New Roman" w:eastAsia="宋体" w:hAnsi="Times New Roman"/>
                <w:color w:val="000000"/>
                <w:sz w:val="20"/>
                <w:szCs w:val="20"/>
              </w:rPr>
              <w:t>Short-term debt</w:t>
            </w:r>
          </w:p>
        </w:tc>
        <w:tc>
          <w:tcPr>
            <w:tcW w:w="0" w:type="auto"/>
            <w:shd w:val="clear" w:color="auto" w:fill="FFFFFF"/>
            <w:tcMar>
              <w:top w:w="40" w:type="dxa"/>
              <w:left w:w="20" w:type="dxa"/>
              <w:bottom w:w="40" w:type="dxa"/>
            </w:tcMar>
            <w:vAlign w:val="center"/>
          </w:tcPr>
          <w:p w14:paraId="33DA8F49"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8F4A" w14:textId="77777777" w:rsidR="004D6A64" w:rsidRDefault="00506CD6">
            <w:pPr>
              <w:jc w:val="right"/>
              <w:textAlignment w:val="center"/>
            </w:pPr>
            <w:r>
              <w:rPr>
                <w:rFonts w:ascii="Times New Roman" w:eastAsia="宋体" w:hAnsi="Times New Roman"/>
                <w:color w:val="000000"/>
                <w:sz w:val="20"/>
                <w:szCs w:val="20"/>
              </w:rPr>
              <w:t>10,345 </w:t>
            </w:r>
          </w:p>
        </w:tc>
        <w:tc>
          <w:tcPr>
            <w:tcW w:w="0" w:type="auto"/>
            <w:shd w:val="clear" w:color="auto" w:fill="FFFFFF"/>
            <w:tcMar>
              <w:top w:w="40" w:type="dxa"/>
              <w:bottom w:w="40" w:type="dxa"/>
              <w:right w:w="20" w:type="dxa"/>
            </w:tcMar>
            <w:vAlign w:val="center"/>
          </w:tcPr>
          <w:p w14:paraId="33DA8F4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8F4C"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8F4D"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8F4E" w14:textId="77777777" w:rsidR="004D6A64" w:rsidRDefault="00506CD6">
            <w:pPr>
              <w:jc w:val="right"/>
              <w:textAlignment w:val="center"/>
            </w:pPr>
            <w:r>
              <w:rPr>
                <w:rFonts w:ascii="Times New Roman" w:eastAsia="宋体" w:hAnsi="Times New Roman"/>
                <w:color w:val="000000"/>
                <w:sz w:val="20"/>
                <w:szCs w:val="20"/>
              </w:rPr>
              <w:t>7,737 </w:t>
            </w:r>
          </w:p>
        </w:tc>
        <w:tc>
          <w:tcPr>
            <w:tcW w:w="0" w:type="auto"/>
            <w:shd w:val="clear" w:color="auto" w:fill="FFFFFF"/>
            <w:tcMar>
              <w:top w:w="40" w:type="dxa"/>
              <w:bottom w:w="40" w:type="dxa"/>
              <w:right w:w="20" w:type="dxa"/>
            </w:tcMar>
            <w:vAlign w:val="center"/>
          </w:tcPr>
          <w:p w14:paraId="33DA8F4F" w14:textId="77777777" w:rsidR="004D6A64" w:rsidRDefault="004D6A64">
            <w:pPr>
              <w:jc w:val="right"/>
              <w:rPr>
                <w:rFonts w:ascii="宋体"/>
              </w:rPr>
            </w:pPr>
          </w:p>
        </w:tc>
        <w:tc>
          <w:tcPr>
            <w:tcW w:w="0" w:type="auto"/>
            <w:shd w:val="clear" w:color="auto" w:fill="auto"/>
          </w:tcPr>
          <w:p w14:paraId="33DA8F50" w14:textId="77777777" w:rsidR="004D6A64" w:rsidRDefault="004D6A64">
            <w:pPr>
              <w:rPr>
                <w:rFonts w:ascii="宋体"/>
              </w:rPr>
            </w:pPr>
          </w:p>
        </w:tc>
        <w:tc>
          <w:tcPr>
            <w:tcW w:w="0" w:type="auto"/>
            <w:shd w:val="clear" w:color="auto" w:fill="auto"/>
          </w:tcPr>
          <w:p w14:paraId="33DA8F51" w14:textId="77777777" w:rsidR="004D6A64" w:rsidRDefault="004D6A64">
            <w:pPr>
              <w:rPr>
                <w:rFonts w:ascii="宋体"/>
              </w:rPr>
            </w:pPr>
          </w:p>
        </w:tc>
        <w:tc>
          <w:tcPr>
            <w:tcW w:w="0" w:type="auto"/>
            <w:shd w:val="clear" w:color="auto" w:fill="auto"/>
          </w:tcPr>
          <w:p w14:paraId="33DA8F52" w14:textId="77777777" w:rsidR="004D6A64" w:rsidRDefault="004D6A64">
            <w:pPr>
              <w:rPr>
                <w:rFonts w:ascii="宋体"/>
              </w:rPr>
            </w:pPr>
          </w:p>
        </w:tc>
        <w:tc>
          <w:tcPr>
            <w:tcW w:w="0" w:type="auto"/>
            <w:shd w:val="clear" w:color="auto" w:fill="auto"/>
          </w:tcPr>
          <w:p w14:paraId="33DA8F53" w14:textId="77777777" w:rsidR="004D6A64" w:rsidRDefault="004D6A64">
            <w:pPr>
              <w:rPr>
                <w:rFonts w:ascii="宋体"/>
              </w:rPr>
            </w:pPr>
          </w:p>
        </w:tc>
        <w:tc>
          <w:tcPr>
            <w:tcW w:w="0" w:type="auto"/>
            <w:shd w:val="clear" w:color="auto" w:fill="auto"/>
          </w:tcPr>
          <w:p w14:paraId="33DA8F54" w14:textId="77777777" w:rsidR="004D6A64" w:rsidRDefault="004D6A64">
            <w:pPr>
              <w:rPr>
                <w:rFonts w:ascii="宋体"/>
              </w:rPr>
            </w:pPr>
          </w:p>
        </w:tc>
        <w:tc>
          <w:tcPr>
            <w:tcW w:w="0" w:type="auto"/>
            <w:shd w:val="clear" w:color="auto" w:fill="auto"/>
          </w:tcPr>
          <w:p w14:paraId="33DA8F55" w14:textId="77777777" w:rsidR="004D6A64" w:rsidRDefault="004D6A64">
            <w:pPr>
              <w:rPr>
                <w:rFonts w:ascii="宋体"/>
              </w:rPr>
            </w:pPr>
          </w:p>
        </w:tc>
        <w:tc>
          <w:tcPr>
            <w:tcW w:w="0" w:type="auto"/>
            <w:shd w:val="clear" w:color="auto" w:fill="auto"/>
          </w:tcPr>
          <w:p w14:paraId="33DA8F56" w14:textId="77777777" w:rsidR="004D6A64" w:rsidRDefault="004D6A64">
            <w:pPr>
              <w:rPr>
                <w:rFonts w:ascii="宋体"/>
              </w:rPr>
            </w:pPr>
          </w:p>
        </w:tc>
        <w:tc>
          <w:tcPr>
            <w:tcW w:w="0" w:type="auto"/>
            <w:shd w:val="clear" w:color="auto" w:fill="auto"/>
          </w:tcPr>
          <w:p w14:paraId="33DA8F57" w14:textId="77777777" w:rsidR="004D6A64" w:rsidRDefault="004D6A64">
            <w:pPr>
              <w:rPr>
                <w:rFonts w:ascii="宋体"/>
              </w:rPr>
            </w:pPr>
          </w:p>
        </w:tc>
        <w:tc>
          <w:tcPr>
            <w:tcW w:w="0" w:type="auto"/>
            <w:shd w:val="clear" w:color="auto" w:fill="auto"/>
          </w:tcPr>
          <w:p w14:paraId="33DA8F58" w14:textId="77777777" w:rsidR="004D6A64" w:rsidRDefault="004D6A64">
            <w:pPr>
              <w:rPr>
                <w:rFonts w:ascii="宋体"/>
              </w:rPr>
            </w:pPr>
          </w:p>
        </w:tc>
      </w:tr>
      <w:tr w:rsidR="004D6A64" w14:paraId="33DA8F69" w14:textId="77777777">
        <w:trPr>
          <w:jc w:val="center"/>
        </w:trPr>
        <w:tc>
          <w:tcPr>
            <w:tcW w:w="0" w:type="auto"/>
            <w:gridSpan w:val="3"/>
            <w:shd w:val="clear" w:color="auto" w:fill="CCEEFF"/>
            <w:tcMar>
              <w:top w:w="40" w:type="dxa"/>
              <w:left w:w="225" w:type="dxa"/>
              <w:bottom w:w="40" w:type="dxa"/>
              <w:right w:w="20" w:type="dxa"/>
            </w:tcMar>
            <w:vAlign w:val="center"/>
          </w:tcPr>
          <w:p w14:paraId="33DA8F5A" w14:textId="77777777" w:rsidR="004D6A64" w:rsidRDefault="00506CD6">
            <w:pPr>
              <w:textAlignment w:val="center"/>
            </w:pPr>
            <w:r>
              <w:rPr>
                <w:rFonts w:ascii="Times New Roman" w:eastAsia="宋体" w:hAnsi="Times New Roman"/>
                <w:color w:val="000000"/>
                <w:sz w:val="20"/>
                <w:szCs w:val="20"/>
              </w:rPr>
              <w:t>Accounts payable</w:t>
            </w:r>
          </w:p>
        </w:tc>
        <w:tc>
          <w:tcPr>
            <w:tcW w:w="0" w:type="auto"/>
            <w:gridSpan w:val="2"/>
            <w:shd w:val="clear" w:color="auto" w:fill="CCEEFF"/>
            <w:tcMar>
              <w:top w:w="40" w:type="dxa"/>
              <w:left w:w="20" w:type="dxa"/>
              <w:bottom w:w="40" w:type="dxa"/>
              <w:right w:w="0" w:type="dxa"/>
            </w:tcMar>
            <w:vAlign w:val="center"/>
          </w:tcPr>
          <w:p w14:paraId="33DA8F5B" w14:textId="77777777" w:rsidR="004D6A64" w:rsidRDefault="00506CD6">
            <w:pPr>
              <w:jc w:val="right"/>
              <w:textAlignment w:val="center"/>
            </w:pPr>
            <w:r>
              <w:rPr>
                <w:rFonts w:ascii="Times New Roman" w:eastAsia="宋体" w:hAnsi="Times New Roman"/>
                <w:color w:val="000000"/>
                <w:sz w:val="20"/>
                <w:szCs w:val="20"/>
              </w:rPr>
              <w:t>19,500 </w:t>
            </w:r>
          </w:p>
        </w:tc>
        <w:tc>
          <w:tcPr>
            <w:tcW w:w="0" w:type="auto"/>
            <w:shd w:val="clear" w:color="auto" w:fill="CCEEFF"/>
            <w:tcMar>
              <w:top w:w="40" w:type="dxa"/>
              <w:bottom w:w="40" w:type="dxa"/>
              <w:right w:w="20" w:type="dxa"/>
            </w:tcMar>
            <w:vAlign w:val="center"/>
          </w:tcPr>
          <w:p w14:paraId="33DA8F5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8F5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8F5E" w14:textId="77777777" w:rsidR="004D6A64" w:rsidRDefault="00506CD6">
            <w:pPr>
              <w:jc w:val="right"/>
              <w:textAlignment w:val="center"/>
            </w:pPr>
            <w:r>
              <w:rPr>
                <w:rFonts w:ascii="Times New Roman" w:eastAsia="宋体" w:hAnsi="Times New Roman"/>
                <w:color w:val="000000"/>
                <w:sz w:val="20"/>
                <w:szCs w:val="20"/>
              </w:rPr>
              <w:t>20,065 </w:t>
            </w:r>
          </w:p>
        </w:tc>
        <w:tc>
          <w:tcPr>
            <w:tcW w:w="0" w:type="auto"/>
            <w:shd w:val="clear" w:color="auto" w:fill="CCEEFF"/>
            <w:tcMar>
              <w:top w:w="40" w:type="dxa"/>
              <w:bottom w:w="40" w:type="dxa"/>
              <w:right w:w="20" w:type="dxa"/>
            </w:tcMar>
            <w:vAlign w:val="center"/>
          </w:tcPr>
          <w:p w14:paraId="33DA8F5F" w14:textId="77777777" w:rsidR="004D6A64" w:rsidRDefault="004D6A64">
            <w:pPr>
              <w:jc w:val="right"/>
              <w:rPr>
                <w:rFonts w:ascii="宋体"/>
              </w:rPr>
            </w:pPr>
          </w:p>
        </w:tc>
        <w:tc>
          <w:tcPr>
            <w:tcW w:w="0" w:type="auto"/>
            <w:shd w:val="clear" w:color="auto" w:fill="auto"/>
          </w:tcPr>
          <w:p w14:paraId="33DA8F60" w14:textId="77777777" w:rsidR="004D6A64" w:rsidRDefault="004D6A64">
            <w:pPr>
              <w:rPr>
                <w:rFonts w:ascii="宋体"/>
              </w:rPr>
            </w:pPr>
          </w:p>
        </w:tc>
        <w:tc>
          <w:tcPr>
            <w:tcW w:w="0" w:type="auto"/>
            <w:shd w:val="clear" w:color="auto" w:fill="auto"/>
          </w:tcPr>
          <w:p w14:paraId="33DA8F61" w14:textId="77777777" w:rsidR="004D6A64" w:rsidRDefault="004D6A64">
            <w:pPr>
              <w:rPr>
                <w:rFonts w:ascii="宋体"/>
              </w:rPr>
            </w:pPr>
          </w:p>
        </w:tc>
        <w:tc>
          <w:tcPr>
            <w:tcW w:w="0" w:type="auto"/>
            <w:shd w:val="clear" w:color="auto" w:fill="auto"/>
          </w:tcPr>
          <w:p w14:paraId="33DA8F62" w14:textId="77777777" w:rsidR="004D6A64" w:rsidRDefault="004D6A64">
            <w:pPr>
              <w:rPr>
                <w:rFonts w:ascii="宋体"/>
              </w:rPr>
            </w:pPr>
          </w:p>
        </w:tc>
        <w:tc>
          <w:tcPr>
            <w:tcW w:w="0" w:type="auto"/>
            <w:shd w:val="clear" w:color="auto" w:fill="auto"/>
          </w:tcPr>
          <w:p w14:paraId="33DA8F63" w14:textId="77777777" w:rsidR="004D6A64" w:rsidRDefault="004D6A64">
            <w:pPr>
              <w:rPr>
                <w:rFonts w:ascii="宋体"/>
              </w:rPr>
            </w:pPr>
          </w:p>
        </w:tc>
        <w:tc>
          <w:tcPr>
            <w:tcW w:w="0" w:type="auto"/>
            <w:shd w:val="clear" w:color="auto" w:fill="auto"/>
          </w:tcPr>
          <w:p w14:paraId="33DA8F64" w14:textId="77777777" w:rsidR="004D6A64" w:rsidRDefault="004D6A64">
            <w:pPr>
              <w:rPr>
                <w:rFonts w:ascii="宋体"/>
              </w:rPr>
            </w:pPr>
          </w:p>
        </w:tc>
        <w:tc>
          <w:tcPr>
            <w:tcW w:w="0" w:type="auto"/>
            <w:shd w:val="clear" w:color="auto" w:fill="auto"/>
          </w:tcPr>
          <w:p w14:paraId="33DA8F65" w14:textId="77777777" w:rsidR="004D6A64" w:rsidRDefault="004D6A64">
            <w:pPr>
              <w:rPr>
                <w:rFonts w:ascii="宋体"/>
              </w:rPr>
            </w:pPr>
          </w:p>
        </w:tc>
        <w:tc>
          <w:tcPr>
            <w:tcW w:w="0" w:type="auto"/>
            <w:shd w:val="clear" w:color="auto" w:fill="auto"/>
          </w:tcPr>
          <w:p w14:paraId="33DA8F66" w14:textId="77777777" w:rsidR="004D6A64" w:rsidRDefault="004D6A64">
            <w:pPr>
              <w:rPr>
                <w:rFonts w:ascii="宋体"/>
              </w:rPr>
            </w:pPr>
          </w:p>
        </w:tc>
        <w:tc>
          <w:tcPr>
            <w:tcW w:w="0" w:type="auto"/>
            <w:shd w:val="clear" w:color="auto" w:fill="auto"/>
          </w:tcPr>
          <w:p w14:paraId="33DA8F67" w14:textId="77777777" w:rsidR="004D6A64" w:rsidRDefault="004D6A64">
            <w:pPr>
              <w:rPr>
                <w:rFonts w:ascii="宋体"/>
              </w:rPr>
            </w:pPr>
          </w:p>
        </w:tc>
        <w:tc>
          <w:tcPr>
            <w:tcW w:w="0" w:type="auto"/>
            <w:shd w:val="clear" w:color="auto" w:fill="auto"/>
          </w:tcPr>
          <w:p w14:paraId="33DA8F68" w14:textId="77777777" w:rsidR="004D6A64" w:rsidRDefault="004D6A64">
            <w:pPr>
              <w:rPr>
                <w:rFonts w:ascii="宋体"/>
              </w:rPr>
            </w:pPr>
          </w:p>
        </w:tc>
      </w:tr>
      <w:tr w:rsidR="004D6A64" w14:paraId="33DA8F79" w14:textId="77777777">
        <w:trPr>
          <w:jc w:val="center"/>
        </w:trPr>
        <w:tc>
          <w:tcPr>
            <w:tcW w:w="0" w:type="auto"/>
            <w:gridSpan w:val="3"/>
            <w:shd w:val="clear" w:color="auto" w:fill="FFFFFF"/>
            <w:tcMar>
              <w:top w:w="40" w:type="dxa"/>
              <w:left w:w="225" w:type="dxa"/>
              <w:bottom w:w="40" w:type="dxa"/>
              <w:right w:w="20" w:type="dxa"/>
            </w:tcMar>
            <w:vAlign w:val="center"/>
          </w:tcPr>
          <w:p w14:paraId="33DA8F6A" w14:textId="77777777" w:rsidR="004D6A64" w:rsidRDefault="00506CD6">
            <w:pPr>
              <w:textAlignment w:val="center"/>
            </w:pPr>
            <w:r>
              <w:rPr>
                <w:rFonts w:ascii="Times New Roman" w:eastAsia="宋体" w:hAnsi="Times New Roman"/>
                <w:color w:val="000000"/>
                <w:sz w:val="20"/>
                <w:szCs w:val="20"/>
              </w:rPr>
              <w:t>Accrued and other</w:t>
            </w:r>
          </w:p>
        </w:tc>
        <w:tc>
          <w:tcPr>
            <w:tcW w:w="0" w:type="auto"/>
            <w:gridSpan w:val="2"/>
            <w:shd w:val="clear" w:color="auto" w:fill="FFFFFF"/>
            <w:tcMar>
              <w:top w:w="40" w:type="dxa"/>
              <w:left w:w="20" w:type="dxa"/>
              <w:bottom w:w="40" w:type="dxa"/>
              <w:right w:w="0" w:type="dxa"/>
            </w:tcMar>
            <w:vAlign w:val="center"/>
          </w:tcPr>
          <w:p w14:paraId="33DA8F6B" w14:textId="77777777" w:rsidR="004D6A64" w:rsidRDefault="00506CD6">
            <w:pPr>
              <w:jc w:val="right"/>
              <w:textAlignment w:val="center"/>
            </w:pPr>
            <w:r>
              <w:rPr>
                <w:rFonts w:ascii="Times New Roman" w:eastAsia="宋体" w:hAnsi="Times New Roman"/>
                <w:color w:val="000000"/>
                <w:sz w:val="20"/>
                <w:szCs w:val="20"/>
              </w:rPr>
              <w:t>8,758 </w:t>
            </w:r>
          </w:p>
        </w:tc>
        <w:tc>
          <w:tcPr>
            <w:tcW w:w="0" w:type="auto"/>
            <w:shd w:val="clear" w:color="auto" w:fill="FFFFFF"/>
            <w:tcMar>
              <w:top w:w="40" w:type="dxa"/>
              <w:bottom w:w="40" w:type="dxa"/>
              <w:right w:w="20" w:type="dxa"/>
            </w:tcMar>
            <w:vAlign w:val="center"/>
          </w:tcPr>
          <w:p w14:paraId="33DA8F6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8F6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8F6E" w14:textId="77777777" w:rsidR="004D6A64" w:rsidRDefault="00506CD6">
            <w:pPr>
              <w:jc w:val="right"/>
              <w:textAlignment w:val="center"/>
            </w:pPr>
            <w:r>
              <w:rPr>
                <w:rFonts w:ascii="Times New Roman" w:eastAsia="宋体" w:hAnsi="Times New Roman"/>
                <w:color w:val="000000"/>
                <w:sz w:val="20"/>
                <w:szCs w:val="20"/>
              </w:rPr>
              <w:t>9,773 </w:t>
            </w:r>
          </w:p>
        </w:tc>
        <w:tc>
          <w:tcPr>
            <w:tcW w:w="0" w:type="auto"/>
            <w:shd w:val="clear" w:color="auto" w:fill="FFFFFF"/>
            <w:tcMar>
              <w:top w:w="40" w:type="dxa"/>
              <w:bottom w:w="40" w:type="dxa"/>
              <w:right w:w="20" w:type="dxa"/>
            </w:tcMar>
            <w:vAlign w:val="center"/>
          </w:tcPr>
          <w:p w14:paraId="33DA8F6F" w14:textId="77777777" w:rsidR="004D6A64" w:rsidRDefault="004D6A64">
            <w:pPr>
              <w:jc w:val="right"/>
              <w:rPr>
                <w:rFonts w:ascii="宋体"/>
              </w:rPr>
            </w:pPr>
          </w:p>
        </w:tc>
        <w:tc>
          <w:tcPr>
            <w:tcW w:w="0" w:type="auto"/>
            <w:shd w:val="clear" w:color="auto" w:fill="auto"/>
          </w:tcPr>
          <w:p w14:paraId="33DA8F70" w14:textId="77777777" w:rsidR="004D6A64" w:rsidRDefault="004D6A64">
            <w:pPr>
              <w:rPr>
                <w:rFonts w:ascii="宋体"/>
              </w:rPr>
            </w:pPr>
          </w:p>
        </w:tc>
        <w:tc>
          <w:tcPr>
            <w:tcW w:w="0" w:type="auto"/>
            <w:shd w:val="clear" w:color="auto" w:fill="auto"/>
          </w:tcPr>
          <w:p w14:paraId="33DA8F71" w14:textId="77777777" w:rsidR="004D6A64" w:rsidRDefault="004D6A64">
            <w:pPr>
              <w:rPr>
                <w:rFonts w:ascii="宋体"/>
              </w:rPr>
            </w:pPr>
          </w:p>
        </w:tc>
        <w:tc>
          <w:tcPr>
            <w:tcW w:w="0" w:type="auto"/>
            <w:shd w:val="clear" w:color="auto" w:fill="auto"/>
          </w:tcPr>
          <w:p w14:paraId="33DA8F72" w14:textId="77777777" w:rsidR="004D6A64" w:rsidRDefault="004D6A64">
            <w:pPr>
              <w:rPr>
                <w:rFonts w:ascii="宋体"/>
              </w:rPr>
            </w:pPr>
          </w:p>
        </w:tc>
        <w:tc>
          <w:tcPr>
            <w:tcW w:w="0" w:type="auto"/>
            <w:shd w:val="clear" w:color="auto" w:fill="auto"/>
          </w:tcPr>
          <w:p w14:paraId="33DA8F73" w14:textId="77777777" w:rsidR="004D6A64" w:rsidRDefault="004D6A64">
            <w:pPr>
              <w:rPr>
                <w:rFonts w:ascii="宋体"/>
              </w:rPr>
            </w:pPr>
          </w:p>
        </w:tc>
        <w:tc>
          <w:tcPr>
            <w:tcW w:w="0" w:type="auto"/>
            <w:shd w:val="clear" w:color="auto" w:fill="auto"/>
          </w:tcPr>
          <w:p w14:paraId="33DA8F74" w14:textId="77777777" w:rsidR="004D6A64" w:rsidRDefault="004D6A64">
            <w:pPr>
              <w:rPr>
                <w:rFonts w:ascii="宋体"/>
              </w:rPr>
            </w:pPr>
          </w:p>
        </w:tc>
        <w:tc>
          <w:tcPr>
            <w:tcW w:w="0" w:type="auto"/>
            <w:shd w:val="clear" w:color="auto" w:fill="auto"/>
          </w:tcPr>
          <w:p w14:paraId="33DA8F75" w14:textId="77777777" w:rsidR="004D6A64" w:rsidRDefault="004D6A64">
            <w:pPr>
              <w:rPr>
                <w:rFonts w:ascii="宋体"/>
              </w:rPr>
            </w:pPr>
          </w:p>
        </w:tc>
        <w:tc>
          <w:tcPr>
            <w:tcW w:w="0" w:type="auto"/>
            <w:shd w:val="clear" w:color="auto" w:fill="auto"/>
          </w:tcPr>
          <w:p w14:paraId="33DA8F76" w14:textId="77777777" w:rsidR="004D6A64" w:rsidRDefault="004D6A64">
            <w:pPr>
              <w:rPr>
                <w:rFonts w:ascii="宋体"/>
              </w:rPr>
            </w:pPr>
          </w:p>
        </w:tc>
        <w:tc>
          <w:tcPr>
            <w:tcW w:w="0" w:type="auto"/>
            <w:shd w:val="clear" w:color="auto" w:fill="auto"/>
          </w:tcPr>
          <w:p w14:paraId="33DA8F77" w14:textId="77777777" w:rsidR="004D6A64" w:rsidRDefault="004D6A64">
            <w:pPr>
              <w:rPr>
                <w:rFonts w:ascii="宋体"/>
              </w:rPr>
            </w:pPr>
          </w:p>
        </w:tc>
        <w:tc>
          <w:tcPr>
            <w:tcW w:w="0" w:type="auto"/>
            <w:shd w:val="clear" w:color="auto" w:fill="auto"/>
          </w:tcPr>
          <w:p w14:paraId="33DA8F78" w14:textId="77777777" w:rsidR="004D6A64" w:rsidRDefault="004D6A64">
            <w:pPr>
              <w:rPr>
                <w:rFonts w:ascii="宋体"/>
              </w:rPr>
            </w:pPr>
          </w:p>
        </w:tc>
      </w:tr>
      <w:tr w:rsidR="004D6A64" w14:paraId="33DA8F89" w14:textId="77777777">
        <w:trPr>
          <w:jc w:val="center"/>
        </w:trPr>
        <w:tc>
          <w:tcPr>
            <w:tcW w:w="0" w:type="auto"/>
            <w:gridSpan w:val="3"/>
            <w:shd w:val="clear" w:color="auto" w:fill="CCEEFF"/>
            <w:tcMar>
              <w:top w:w="40" w:type="dxa"/>
              <w:left w:w="225" w:type="dxa"/>
              <w:bottom w:w="40" w:type="dxa"/>
              <w:right w:w="20" w:type="dxa"/>
            </w:tcMar>
            <w:vAlign w:val="center"/>
          </w:tcPr>
          <w:p w14:paraId="33DA8F7A" w14:textId="77777777" w:rsidR="004D6A64" w:rsidRDefault="00506CD6">
            <w:pPr>
              <w:textAlignment w:val="center"/>
            </w:pPr>
            <w:r>
              <w:rPr>
                <w:rFonts w:ascii="Times New Roman" w:eastAsia="宋体" w:hAnsi="Times New Roman"/>
                <w:color w:val="000000"/>
                <w:sz w:val="20"/>
                <w:szCs w:val="20"/>
              </w:rPr>
              <w:t>Short-term deferred revenue</w:t>
            </w:r>
          </w:p>
        </w:tc>
        <w:tc>
          <w:tcPr>
            <w:tcW w:w="0" w:type="auto"/>
            <w:gridSpan w:val="2"/>
            <w:shd w:val="clear" w:color="auto" w:fill="CCEEFF"/>
            <w:tcMar>
              <w:top w:w="40" w:type="dxa"/>
              <w:left w:w="20" w:type="dxa"/>
              <w:bottom w:w="40" w:type="dxa"/>
              <w:right w:w="0" w:type="dxa"/>
            </w:tcMar>
            <w:vAlign w:val="center"/>
          </w:tcPr>
          <w:p w14:paraId="33DA8F7B" w14:textId="77777777" w:rsidR="004D6A64" w:rsidRDefault="00506CD6">
            <w:pPr>
              <w:jc w:val="right"/>
              <w:textAlignment w:val="center"/>
            </w:pPr>
            <w:r>
              <w:rPr>
                <w:rFonts w:ascii="Times New Roman" w:eastAsia="宋体" w:hAnsi="Times New Roman"/>
                <w:color w:val="000000"/>
                <w:sz w:val="20"/>
                <w:szCs w:val="20"/>
              </w:rPr>
              <w:t>15,341 </w:t>
            </w:r>
          </w:p>
        </w:tc>
        <w:tc>
          <w:tcPr>
            <w:tcW w:w="0" w:type="auto"/>
            <w:shd w:val="clear" w:color="auto" w:fill="CCEEFF"/>
            <w:tcMar>
              <w:top w:w="40" w:type="dxa"/>
              <w:bottom w:w="40" w:type="dxa"/>
              <w:right w:w="20" w:type="dxa"/>
            </w:tcMar>
            <w:vAlign w:val="center"/>
          </w:tcPr>
          <w:p w14:paraId="33DA8F7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8F7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8F7E" w14:textId="77777777" w:rsidR="004D6A64" w:rsidRDefault="00506CD6">
            <w:pPr>
              <w:jc w:val="right"/>
              <w:textAlignment w:val="center"/>
            </w:pPr>
            <w:r>
              <w:rPr>
                <w:rFonts w:ascii="Times New Roman" w:eastAsia="宋体" w:hAnsi="Times New Roman"/>
                <w:color w:val="000000"/>
                <w:sz w:val="20"/>
                <w:szCs w:val="20"/>
              </w:rPr>
              <w:t>14,881 </w:t>
            </w:r>
          </w:p>
        </w:tc>
        <w:tc>
          <w:tcPr>
            <w:tcW w:w="0" w:type="auto"/>
            <w:shd w:val="clear" w:color="auto" w:fill="CCEEFF"/>
            <w:tcMar>
              <w:top w:w="40" w:type="dxa"/>
              <w:bottom w:w="40" w:type="dxa"/>
              <w:right w:w="20" w:type="dxa"/>
            </w:tcMar>
            <w:vAlign w:val="center"/>
          </w:tcPr>
          <w:p w14:paraId="33DA8F7F" w14:textId="77777777" w:rsidR="004D6A64" w:rsidRDefault="004D6A64">
            <w:pPr>
              <w:jc w:val="right"/>
              <w:rPr>
                <w:rFonts w:ascii="宋体"/>
              </w:rPr>
            </w:pPr>
          </w:p>
        </w:tc>
        <w:tc>
          <w:tcPr>
            <w:tcW w:w="0" w:type="auto"/>
            <w:shd w:val="clear" w:color="auto" w:fill="auto"/>
          </w:tcPr>
          <w:p w14:paraId="33DA8F80" w14:textId="77777777" w:rsidR="004D6A64" w:rsidRDefault="004D6A64">
            <w:pPr>
              <w:rPr>
                <w:rFonts w:ascii="宋体"/>
              </w:rPr>
            </w:pPr>
          </w:p>
        </w:tc>
        <w:tc>
          <w:tcPr>
            <w:tcW w:w="0" w:type="auto"/>
            <w:shd w:val="clear" w:color="auto" w:fill="auto"/>
          </w:tcPr>
          <w:p w14:paraId="33DA8F81" w14:textId="77777777" w:rsidR="004D6A64" w:rsidRDefault="004D6A64">
            <w:pPr>
              <w:rPr>
                <w:rFonts w:ascii="宋体"/>
              </w:rPr>
            </w:pPr>
          </w:p>
        </w:tc>
        <w:tc>
          <w:tcPr>
            <w:tcW w:w="0" w:type="auto"/>
            <w:shd w:val="clear" w:color="auto" w:fill="auto"/>
          </w:tcPr>
          <w:p w14:paraId="33DA8F82" w14:textId="77777777" w:rsidR="004D6A64" w:rsidRDefault="004D6A64">
            <w:pPr>
              <w:rPr>
                <w:rFonts w:ascii="宋体"/>
              </w:rPr>
            </w:pPr>
          </w:p>
        </w:tc>
        <w:tc>
          <w:tcPr>
            <w:tcW w:w="0" w:type="auto"/>
            <w:shd w:val="clear" w:color="auto" w:fill="auto"/>
          </w:tcPr>
          <w:p w14:paraId="33DA8F83" w14:textId="77777777" w:rsidR="004D6A64" w:rsidRDefault="004D6A64">
            <w:pPr>
              <w:rPr>
                <w:rFonts w:ascii="宋体"/>
              </w:rPr>
            </w:pPr>
          </w:p>
        </w:tc>
        <w:tc>
          <w:tcPr>
            <w:tcW w:w="0" w:type="auto"/>
            <w:shd w:val="clear" w:color="auto" w:fill="auto"/>
          </w:tcPr>
          <w:p w14:paraId="33DA8F84" w14:textId="77777777" w:rsidR="004D6A64" w:rsidRDefault="004D6A64">
            <w:pPr>
              <w:rPr>
                <w:rFonts w:ascii="宋体"/>
              </w:rPr>
            </w:pPr>
          </w:p>
        </w:tc>
        <w:tc>
          <w:tcPr>
            <w:tcW w:w="0" w:type="auto"/>
            <w:shd w:val="clear" w:color="auto" w:fill="auto"/>
          </w:tcPr>
          <w:p w14:paraId="33DA8F85" w14:textId="77777777" w:rsidR="004D6A64" w:rsidRDefault="004D6A64">
            <w:pPr>
              <w:rPr>
                <w:rFonts w:ascii="宋体"/>
              </w:rPr>
            </w:pPr>
          </w:p>
        </w:tc>
        <w:tc>
          <w:tcPr>
            <w:tcW w:w="0" w:type="auto"/>
            <w:shd w:val="clear" w:color="auto" w:fill="auto"/>
          </w:tcPr>
          <w:p w14:paraId="33DA8F86" w14:textId="77777777" w:rsidR="004D6A64" w:rsidRDefault="004D6A64">
            <w:pPr>
              <w:rPr>
                <w:rFonts w:ascii="宋体"/>
              </w:rPr>
            </w:pPr>
          </w:p>
        </w:tc>
        <w:tc>
          <w:tcPr>
            <w:tcW w:w="0" w:type="auto"/>
            <w:shd w:val="clear" w:color="auto" w:fill="auto"/>
          </w:tcPr>
          <w:p w14:paraId="33DA8F87" w14:textId="77777777" w:rsidR="004D6A64" w:rsidRDefault="004D6A64">
            <w:pPr>
              <w:rPr>
                <w:rFonts w:ascii="宋体"/>
              </w:rPr>
            </w:pPr>
          </w:p>
        </w:tc>
        <w:tc>
          <w:tcPr>
            <w:tcW w:w="0" w:type="auto"/>
            <w:shd w:val="clear" w:color="auto" w:fill="auto"/>
          </w:tcPr>
          <w:p w14:paraId="33DA8F88" w14:textId="77777777" w:rsidR="004D6A64" w:rsidRDefault="004D6A64">
            <w:pPr>
              <w:rPr>
                <w:rFonts w:ascii="宋体"/>
              </w:rPr>
            </w:pPr>
          </w:p>
        </w:tc>
      </w:tr>
      <w:tr w:rsidR="004D6A64" w14:paraId="33DA8F99" w14:textId="77777777">
        <w:trPr>
          <w:jc w:val="center"/>
        </w:trPr>
        <w:tc>
          <w:tcPr>
            <w:tcW w:w="0" w:type="auto"/>
            <w:gridSpan w:val="3"/>
            <w:shd w:val="clear" w:color="auto" w:fill="FFFFFF"/>
            <w:tcMar>
              <w:top w:w="40" w:type="dxa"/>
              <w:left w:w="225" w:type="dxa"/>
              <w:bottom w:w="40" w:type="dxa"/>
              <w:right w:w="20" w:type="dxa"/>
            </w:tcMar>
            <w:vAlign w:val="center"/>
          </w:tcPr>
          <w:p w14:paraId="33DA8F8A" w14:textId="77777777" w:rsidR="004D6A64" w:rsidRDefault="00506CD6">
            <w:pPr>
              <w:textAlignment w:val="center"/>
            </w:pPr>
            <w:r>
              <w:rPr>
                <w:rFonts w:ascii="Times New Roman" w:eastAsia="宋体" w:hAnsi="Times New Roman"/>
                <w:color w:val="000000"/>
                <w:sz w:val="20"/>
                <w:szCs w:val="20"/>
              </w:rPr>
              <w:t>Current liabilities held for sale</w:t>
            </w:r>
          </w:p>
        </w:tc>
        <w:tc>
          <w:tcPr>
            <w:tcW w:w="0" w:type="auto"/>
            <w:gridSpan w:val="2"/>
            <w:shd w:val="clear" w:color="auto" w:fill="FFFFFF"/>
            <w:tcMar>
              <w:top w:w="40" w:type="dxa"/>
              <w:left w:w="20" w:type="dxa"/>
              <w:bottom w:w="40" w:type="dxa"/>
              <w:right w:w="0" w:type="dxa"/>
            </w:tcMar>
            <w:vAlign w:val="center"/>
          </w:tcPr>
          <w:p w14:paraId="33DA8F8B" w14:textId="77777777" w:rsidR="004D6A64" w:rsidRDefault="00506CD6">
            <w:pPr>
              <w:jc w:val="right"/>
              <w:textAlignment w:val="center"/>
            </w:pPr>
            <w:r>
              <w:rPr>
                <w:rFonts w:ascii="Times New Roman" w:eastAsia="宋体" w:hAnsi="Times New Roman"/>
                <w:color w:val="000000"/>
                <w:sz w:val="20"/>
                <w:szCs w:val="20"/>
              </w:rPr>
              <w:t>344 </w:t>
            </w:r>
          </w:p>
        </w:tc>
        <w:tc>
          <w:tcPr>
            <w:tcW w:w="0" w:type="auto"/>
            <w:shd w:val="clear" w:color="auto" w:fill="FFFFFF"/>
            <w:tcMar>
              <w:top w:w="40" w:type="dxa"/>
              <w:bottom w:w="40" w:type="dxa"/>
              <w:right w:w="20" w:type="dxa"/>
            </w:tcMar>
            <w:vAlign w:val="center"/>
          </w:tcPr>
          <w:p w14:paraId="33DA8F8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8F8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8F8E"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8F8F" w14:textId="77777777" w:rsidR="004D6A64" w:rsidRDefault="004D6A64">
            <w:pPr>
              <w:jc w:val="right"/>
              <w:rPr>
                <w:rFonts w:ascii="宋体"/>
              </w:rPr>
            </w:pPr>
          </w:p>
        </w:tc>
        <w:tc>
          <w:tcPr>
            <w:tcW w:w="0" w:type="auto"/>
            <w:shd w:val="clear" w:color="auto" w:fill="auto"/>
          </w:tcPr>
          <w:p w14:paraId="33DA8F90" w14:textId="77777777" w:rsidR="004D6A64" w:rsidRDefault="004D6A64">
            <w:pPr>
              <w:rPr>
                <w:rFonts w:ascii="宋体"/>
              </w:rPr>
            </w:pPr>
          </w:p>
        </w:tc>
        <w:tc>
          <w:tcPr>
            <w:tcW w:w="0" w:type="auto"/>
            <w:shd w:val="clear" w:color="auto" w:fill="auto"/>
          </w:tcPr>
          <w:p w14:paraId="33DA8F91" w14:textId="77777777" w:rsidR="004D6A64" w:rsidRDefault="004D6A64">
            <w:pPr>
              <w:rPr>
                <w:rFonts w:ascii="宋体"/>
              </w:rPr>
            </w:pPr>
          </w:p>
        </w:tc>
        <w:tc>
          <w:tcPr>
            <w:tcW w:w="0" w:type="auto"/>
            <w:shd w:val="clear" w:color="auto" w:fill="auto"/>
          </w:tcPr>
          <w:p w14:paraId="33DA8F92" w14:textId="77777777" w:rsidR="004D6A64" w:rsidRDefault="004D6A64">
            <w:pPr>
              <w:rPr>
                <w:rFonts w:ascii="宋体"/>
              </w:rPr>
            </w:pPr>
          </w:p>
        </w:tc>
        <w:tc>
          <w:tcPr>
            <w:tcW w:w="0" w:type="auto"/>
            <w:shd w:val="clear" w:color="auto" w:fill="auto"/>
          </w:tcPr>
          <w:p w14:paraId="33DA8F93" w14:textId="77777777" w:rsidR="004D6A64" w:rsidRDefault="004D6A64">
            <w:pPr>
              <w:rPr>
                <w:rFonts w:ascii="宋体"/>
              </w:rPr>
            </w:pPr>
          </w:p>
        </w:tc>
        <w:tc>
          <w:tcPr>
            <w:tcW w:w="0" w:type="auto"/>
            <w:shd w:val="clear" w:color="auto" w:fill="auto"/>
          </w:tcPr>
          <w:p w14:paraId="33DA8F94" w14:textId="77777777" w:rsidR="004D6A64" w:rsidRDefault="004D6A64">
            <w:pPr>
              <w:rPr>
                <w:rFonts w:ascii="宋体"/>
              </w:rPr>
            </w:pPr>
          </w:p>
        </w:tc>
        <w:tc>
          <w:tcPr>
            <w:tcW w:w="0" w:type="auto"/>
            <w:shd w:val="clear" w:color="auto" w:fill="auto"/>
          </w:tcPr>
          <w:p w14:paraId="33DA8F95" w14:textId="77777777" w:rsidR="004D6A64" w:rsidRDefault="004D6A64">
            <w:pPr>
              <w:rPr>
                <w:rFonts w:ascii="宋体"/>
              </w:rPr>
            </w:pPr>
          </w:p>
        </w:tc>
        <w:tc>
          <w:tcPr>
            <w:tcW w:w="0" w:type="auto"/>
            <w:shd w:val="clear" w:color="auto" w:fill="auto"/>
          </w:tcPr>
          <w:p w14:paraId="33DA8F96" w14:textId="77777777" w:rsidR="004D6A64" w:rsidRDefault="004D6A64">
            <w:pPr>
              <w:rPr>
                <w:rFonts w:ascii="宋体"/>
              </w:rPr>
            </w:pPr>
          </w:p>
        </w:tc>
        <w:tc>
          <w:tcPr>
            <w:tcW w:w="0" w:type="auto"/>
            <w:shd w:val="clear" w:color="auto" w:fill="auto"/>
          </w:tcPr>
          <w:p w14:paraId="33DA8F97" w14:textId="77777777" w:rsidR="004D6A64" w:rsidRDefault="004D6A64">
            <w:pPr>
              <w:rPr>
                <w:rFonts w:ascii="宋体"/>
              </w:rPr>
            </w:pPr>
          </w:p>
        </w:tc>
        <w:tc>
          <w:tcPr>
            <w:tcW w:w="0" w:type="auto"/>
            <w:shd w:val="clear" w:color="auto" w:fill="auto"/>
          </w:tcPr>
          <w:p w14:paraId="33DA8F98" w14:textId="77777777" w:rsidR="004D6A64" w:rsidRDefault="004D6A64">
            <w:pPr>
              <w:rPr>
                <w:rFonts w:ascii="宋体"/>
              </w:rPr>
            </w:pPr>
          </w:p>
        </w:tc>
      </w:tr>
      <w:tr w:rsidR="004D6A64" w14:paraId="33DA8FA9" w14:textId="77777777">
        <w:trPr>
          <w:jc w:val="center"/>
        </w:trPr>
        <w:tc>
          <w:tcPr>
            <w:tcW w:w="0" w:type="auto"/>
            <w:gridSpan w:val="3"/>
            <w:shd w:val="clear" w:color="auto" w:fill="CCEEFF"/>
            <w:tcMar>
              <w:top w:w="40" w:type="dxa"/>
              <w:left w:w="225" w:type="dxa"/>
              <w:bottom w:w="40" w:type="dxa"/>
              <w:right w:w="20" w:type="dxa"/>
            </w:tcMar>
            <w:vAlign w:val="center"/>
          </w:tcPr>
          <w:p w14:paraId="33DA8F9A" w14:textId="77777777" w:rsidR="004D6A64" w:rsidRDefault="00506CD6">
            <w:pPr>
              <w:textAlignment w:val="center"/>
            </w:pPr>
            <w:r>
              <w:rPr>
                <w:rFonts w:ascii="Times New Roman" w:eastAsia="宋体" w:hAnsi="Times New Roman"/>
                <w:color w:val="000000"/>
                <w:sz w:val="20"/>
                <w:szCs w:val="20"/>
              </w:rPr>
              <w:t>Total current liabilities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8F9B" w14:textId="77777777" w:rsidR="004D6A64" w:rsidRDefault="00506CD6">
            <w:pPr>
              <w:jc w:val="right"/>
              <w:textAlignment w:val="center"/>
            </w:pPr>
            <w:r>
              <w:rPr>
                <w:rFonts w:ascii="Times New Roman" w:eastAsia="宋体" w:hAnsi="Times New Roman"/>
                <w:color w:val="000000"/>
                <w:sz w:val="20"/>
                <w:szCs w:val="20"/>
              </w:rPr>
              <w:t>54,288 </w:t>
            </w:r>
          </w:p>
        </w:tc>
        <w:tc>
          <w:tcPr>
            <w:tcW w:w="0" w:type="auto"/>
            <w:tcBorders>
              <w:top w:val="single" w:sz="8" w:space="0" w:color="000000"/>
            </w:tcBorders>
            <w:shd w:val="clear" w:color="auto" w:fill="CCEEFF"/>
            <w:tcMar>
              <w:top w:w="40" w:type="dxa"/>
              <w:bottom w:w="40" w:type="dxa"/>
              <w:right w:w="20" w:type="dxa"/>
            </w:tcMar>
            <w:vAlign w:val="center"/>
          </w:tcPr>
          <w:p w14:paraId="33DA8F9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8F9D"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8F9E" w14:textId="77777777" w:rsidR="004D6A64" w:rsidRDefault="00506CD6">
            <w:pPr>
              <w:jc w:val="right"/>
              <w:textAlignment w:val="center"/>
            </w:pPr>
            <w:r>
              <w:rPr>
                <w:rFonts w:ascii="Times New Roman" w:eastAsia="宋体" w:hAnsi="Times New Roman"/>
                <w:color w:val="000000"/>
                <w:sz w:val="20"/>
                <w:szCs w:val="20"/>
              </w:rPr>
              <w:t>52,456 </w:t>
            </w:r>
          </w:p>
        </w:tc>
        <w:tc>
          <w:tcPr>
            <w:tcW w:w="0" w:type="auto"/>
            <w:tcBorders>
              <w:top w:val="single" w:sz="8" w:space="0" w:color="000000"/>
            </w:tcBorders>
            <w:shd w:val="clear" w:color="auto" w:fill="CCEEFF"/>
            <w:tcMar>
              <w:top w:w="40" w:type="dxa"/>
              <w:bottom w:w="40" w:type="dxa"/>
              <w:right w:w="20" w:type="dxa"/>
            </w:tcMar>
            <w:vAlign w:val="center"/>
          </w:tcPr>
          <w:p w14:paraId="33DA8F9F" w14:textId="77777777" w:rsidR="004D6A64" w:rsidRDefault="004D6A64">
            <w:pPr>
              <w:jc w:val="right"/>
              <w:rPr>
                <w:rFonts w:ascii="宋体"/>
              </w:rPr>
            </w:pPr>
          </w:p>
        </w:tc>
        <w:tc>
          <w:tcPr>
            <w:tcW w:w="0" w:type="auto"/>
            <w:shd w:val="clear" w:color="auto" w:fill="auto"/>
          </w:tcPr>
          <w:p w14:paraId="33DA8FA0" w14:textId="77777777" w:rsidR="004D6A64" w:rsidRDefault="004D6A64">
            <w:pPr>
              <w:rPr>
                <w:rFonts w:ascii="宋体"/>
              </w:rPr>
            </w:pPr>
          </w:p>
        </w:tc>
        <w:tc>
          <w:tcPr>
            <w:tcW w:w="0" w:type="auto"/>
            <w:shd w:val="clear" w:color="auto" w:fill="auto"/>
          </w:tcPr>
          <w:p w14:paraId="33DA8FA1" w14:textId="77777777" w:rsidR="004D6A64" w:rsidRDefault="004D6A64">
            <w:pPr>
              <w:rPr>
                <w:rFonts w:ascii="宋体"/>
              </w:rPr>
            </w:pPr>
          </w:p>
        </w:tc>
        <w:tc>
          <w:tcPr>
            <w:tcW w:w="0" w:type="auto"/>
            <w:shd w:val="clear" w:color="auto" w:fill="auto"/>
          </w:tcPr>
          <w:p w14:paraId="33DA8FA2" w14:textId="77777777" w:rsidR="004D6A64" w:rsidRDefault="004D6A64">
            <w:pPr>
              <w:rPr>
                <w:rFonts w:ascii="宋体"/>
              </w:rPr>
            </w:pPr>
          </w:p>
        </w:tc>
        <w:tc>
          <w:tcPr>
            <w:tcW w:w="0" w:type="auto"/>
            <w:shd w:val="clear" w:color="auto" w:fill="auto"/>
          </w:tcPr>
          <w:p w14:paraId="33DA8FA3" w14:textId="77777777" w:rsidR="004D6A64" w:rsidRDefault="004D6A64">
            <w:pPr>
              <w:rPr>
                <w:rFonts w:ascii="宋体"/>
              </w:rPr>
            </w:pPr>
          </w:p>
        </w:tc>
        <w:tc>
          <w:tcPr>
            <w:tcW w:w="0" w:type="auto"/>
            <w:shd w:val="clear" w:color="auto" w:fill="auto"/>
          </w:tcPr>
          <w:p w14:paraId="33DA8FA4" w14:textId="77777777" w:rsidR="004D6A64" w:rsidRDefault="004D6A64">
            <w:pPr>
              <w:rPr>
                <w:rFonts w:ascii="宋体"/>
              </w:rPr>
            </w:pPr>
          </w:p>
        </w:tc>
        <w:tc>
          <w:tcPr>
            <w:tcW w:w="0" w:type="auto"/>
            <w:shd w:val="clear" w:color="auto" w:fill="auto"/>
          </w:tcPr>
          <w:p w14:paraId="33DA8FA5" w14:textId="77777777" w:rsidR="004D6A64" w:rsidRDefault="004D6A64">
            <w:pPr>
              <w:rPr>
                <w:rFonts w:ascii="宋体"/>
              </w:rPr>
            </w:pPr>
          </w:p>
        </w:tc>
        <w:tc>
          <w:tcPr>
            <w:tcW w:w="0" w:type="auto"/>
            <w:shd w:val="clear" w:color="auto" w:fill="auto"/>
          </w:tcPr>
          <w:p w14:paraId="33DA8FA6" w14:textId="77777777" w:rsidR="004D6A64" w:rsidRDefault="004D6A64">
            <w:pPr>
              <w:rPr>
                <w:rFonts w:ascii="宋体"/>
              </w:rPr>
            </w:pPr>
          </w:p>
        </w:tc>
        <w:tc>
          <w:tcPr>
            <w:tcW w:w="0" w:type="auto"/>
            <w:shd w:val="clear" w:color="auto" w:fill="auto"/>
          </w:tcPr>
          <w:p w14:paraId="33DA8FA7" w14:textId="77777777" w:rsidR="004D6A64" w:rsidRDefault="004D6A64">
            <w:pPr>
              <w:rPr>
                <w:rFonts w:ascii="宋体"/>
              </w:rPr>
            </w:pPr>
          </w:p>
        </w:tc>
        <w:tc>
          <w:tcPr>
            <w:tcW w:w="0" w:type="auto"/>
            <w:shd w:val="clear" w:color="auto" w:fill="auto"/>
          </w:tcPr>
          <w:p w14:paraId="33DA8FA8" w14:textId="77777777" w:rsidR="004D6A64" w:rsidRDefault="004D6A64">
            <w:pPr>
              <w:rPr>
                <w:rFonts w:ascii="宋体"/>
              </w:rPr>
            </w:pPr>
          </w:p>
        </w:tc>
      </w:tr>
      <w:tr w:rsidR="004D6A64" w14:paraId="33DA8FB9" w14:textId="77777777">
        <w:trPr>
          <w:jc w:val="center"/>
        </w:trPr>
        <w:tc>
          <w:tcPr>
            <w:tcW w:w="0" w:type="auto"/>
            <w:gridSpan w:val="3"/>
            <w:shd w:val="clear" w:color="auto" w:fill="FFFFFF"/>
            <w:tcMar>
              <w:top w:w="40" w:type="dxa"/>
              <w:left w:w="20" w:type="dxa"/>
              <w:bottom w:w="40" w:type="dxa"/>
              <w:right w:w="20" w:type="dxa"/>
            </w:tcMar>
            <w:vAlign w:val="center"/>
          </w:tcPr>
          <w:p w14:paraId="33DA8FAA" w14:textId="77777777" w:rsidR="004D6A64" w:rsidRDefault="00506CD6">
            <w:pPr>
              <w:textAlignment w:val="center"/>
            </w:pPr>
            <w:r>
              <w:rPr>
                <w:rFonts w:ascii="Times New Roman" w:eastAsia="宋体" w:hAnsi="Times New Roman"/>
                <w:color w:val="000000"/>
                <w:sz w:val="20"/>
                <w:szCs w:val="20"/>
              </w:rPr>
              <w:t>Long-term debt</w:t>
            </w:r>
          </w:p>
        </w:tc>
        <w:tc>
          <w:tcPr>
            <w:tcW w:w="0" w:type="auto"/>
            <w:gridSpan w:val="2"/>
            <w:shd w:val="clear" w:color="auto" w:fill="FFFFFF"/>
            <w:tcMar>
              <w:top w:w="40" w:type="dxa"/>
              <w:left w:w="20" w:type="dxa"/>
              <w:bottom w:w="40" w:type="dxa"/>
              <w:right w:w="0" w:type="dxa"/>
            </w:tcMar>
            <w:vAlign w:val="center"/>
          </w:tcPr>
          <w:p w14:paraId="33DA8FAB" w14:textId="77777777" w:rsidR="004D6A64" w:rsidRDefault="00506CD6">
            <w:pPr>
              <w:jc w:val="right"/>
              <w:textAlignment w:val="center"/>
            </w:pPr>
            <w:r>
              <w:rPr>
                <w:rFonts w:ascii="Times New Roman" w:eastAsia="宋体" w:hAnsi="Times New Roman"/>
                <w:color w:val="000000"/>
                <w:sz w:val="20"/>
                <w:szCs w:val="20"/>
              </w:rPr>
              <w:t>43,608 </w:t>
            </w:r>
          </w:p>
        </w:tc>
        <w:tc>
          <w:tcPr>
            <w:tcW w:w="0" w:type="auto"/>
            <w:shd w:val="clear" w:color="auto" w:fill="FFFFFF"/>
            <w:tcMar>
              <w:top w:w="40" w:type="dxa"/>
              <w:bottom w:w="40" w:type="dxa"/>
              <w:right w:w="20" w:type="dxa"/>
            </w:tcMar>
            <w:vAlign w:val="center"/>
          </w:tcPr>
          <w:p w14:paraId="33DA8FA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8FA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8FAE" w14:textId="77777777" w:rsidR="004D6A64" w:rsidRDefault="00506CD6">
            <w:pPr>
              <w:jc w:val="right"/>
              <w:textAlignment w:val="center"/>
            </w:pPr>
            <w:r>
              <w:rPr>
                <w:rFonts w:ascii="Times New Roman" w:eastAsia="宋体" w:hAnsi="Times New Roman"/>
                <w:color w:val="000000"/>
                <w:sz w:val="20"/>
                <w:szCs w:val="20"/>
              </w:rPr>
              <w:t>44,319 </w:t>
            </w:r>
          </w:p>
        </w:tc>
        <w:tc>
          <w:tcPr>
            <w:tcW w:w="0" w:type="auto"/>
            <w:shd w:val="clear" w:color="auto" w:fill="FFFFFF"/>
            <w:tcMar>
              <w:top w:w="40" w:type="dxa"/>
              <w:bottom w:w="40" w:type="dxa"/>
              <w:right w:w="20" w:type="dxa"/>
            </w:tcMar>
            <w:vAlign w:val="center"/>
          </w:tcPr>
          <w:p w14:paraId="33DA8FAF" w14:textId="77777777" w:rsidR="004D6A64" w:rsidRDefault="004D6A64">
            <w:pPr>
              <w:jc w:val="right"/>
              <w:rPr>
                <w:rFonts w:ascii="宋体"/>
              </w:rPr>
            </w:pPr>
          </w:p>
        </w:tc>
        <w:tc>
          <w:tcPr>
            <w:tcW w:w="0" w:type="auto"/>
            <w:shd w:val="clear" w:color="auto" w:fill="auto"/>
          </w:tcPr>
          <w:p w14:paraId="33DA8FB0" w14:textId="77777777" w:rsidR="004D6A64" w:rsidRDefault="004D6A64">
            <w:pPr>
              <w:rPr>
                <w:rFonts w:ascii="宋体"/>
              </w:rPr>
            </w:pPr>
          </w:p>
        </w:tc>
        <w:tc>
          <w:tcPr>
            <w:tcW w:w="0" w:type="auto"/>
            <w:shd w:val="clear" w:color="auto" w:fill="auto"/>
          </w:tcPr>
          <w:p w14:paraId="33DA8FB1" w14:textId="77777777" w:rsidR="004D6A64" w:rsidRDefault="004D6A64">
            <w:pPr>
              <w:rPr>
                <w:rFonts w:ascii="宋体"/>
              </w:rPr>
            </w:pPr>
          </w:p>
        </w:tc>
        <w:tc>
          <w:tcPr>
            <w:tcW w:w="0" w:type="auto"/>
            <w:shd w:val="clear" w:color="auto" w:fill="auto"/>
          </w:tcPr>
          <w:p w14:paraId="33DA8FB2" w14:textId="77777777" w:rsidR="004D6A64" w:rsidRDefault="004D6A64">
            <w:pPr>
              <w:rPr>
                <w:rFonts w:ascii="宋体"/>
              </w:rPr>
            </w:pPr>
          </w:p>
        </w:tc>
        <w:tc>
          <w:tcPr>
            <w:tcW w:w="0" w:type="auto"/>
            <w:shd w:val="clear" w:color="auto" w:fill="auto"/>
          </w:tcPr>
          <w:p w14:paraId="33DA8FB3" w14:textId="77777777" w:rsidR="004D6A64" w:rsidRDefault="004D6A64">
            <w:pPr>
              <w:rPr>
                <w:rFonts w:ascii="宋体"/>
              </w:rPr>
            </w:pPr>
          </w:p>
        </w:tc>
        <w:tc>
          <w:tcPr>
            <w:tcW w:w="0" w:type="auto"/>
            <w:shd w:val="clear" w:color="auto" w:fill="auto"/>
          </w:tcPr>
          <w:p w14:paraId="33DA8FB4" w14:textId="77777777" w:rsidR="004D6A64" w:rsidRDefault="004D6A64">
            <w:pPr>
              <w:rPr>
                <w:rFonts w:ascii="宋体"/>
              </w:rPr>
            </w:pPr>
          </w:p>
        </w:tc>
        <w:tc>
          <w:tcPr>
            <w:tcW w:w="0" w:type="auto"/>
            <w:shd w:val="clear" w:color="auto" w:fill="auto"/>
          </w:tcPr>
          <w:p w14:paraId="33DA8FB5" w14:textId="77777777" w:rsidR="004D6A64" w:rsidRDefault="004D6A64">
            <w:pPr>
              <w:rPr>
                <w:rFonts w:ascii="宋体"/>
              </w:rPr>
            </w:pPr>
          </w:p>
        </w:tc>
        <w:tc>
          <w:tcPr>
            <w:tcW w:w="0" w:type="auto"/>
            <w:shd w:val="clear" w:color="auto" w:fill="auto"/>
          </w:tcPr>
          <w:p w14:paraId="33DA8FB6" w14:textId="77777777" w:rsidR="004D6A64" w:rsidRDefault="004D6A64">
            <w:pPr>
              <w:rPr>
                <w:rFonts w:ascii="宋体"/>
              </w:rPr>
            </w:pPr>
          </w:p>
        </w:tc>
        <w:tc>
          <w:tcPr>
            <w:tcW w:w="0" w:type="auto"/>
            <w:shd w:val="clear" w:color="auto" w:fill="auto"/>
          </w:tcPr>
          <w:p w14:paraId="33DA8FB7" w14:textId="77777777" w:rsidR="004D6A64" w:rsidRDefault="004D6A64">
            <w:pPr>
              <w:rPr>
                <w:rFonts w:ascii="宋体"/>
              </w:rPr>
            </w:pPr>
          </w:p>
        </w:tc>
        <w:tc>
          <w:tcPr>
            <w:tcW w:w="0" w:type="auto"/>
            <w:shd w:val="clear" w:color="auto" w:fill="auto"/>
          </w:tcPr>
          <w:p w14:paraId="33DA8FB8" w14:textId="77777777" w:rsidR="004D6A64" w:rsidRDefault="004D6A64">
            <w:pPr>
              <w:rPr>
                <w:rFonts w:ascii="宋体"/>
              </w:rPr>
            </w:pPr>
          </w:p>
        </w:tc>
      </w:tr>
      <w:tr w:rsidR="004D6A64" w14:paraId="33DA8FC9" w14:textId="77777777">
        <w:trPr>
          <w:jc w:val="center"/>
        </w:trPr>
        <w:tc>
          <w:tcPr>
            <w:tcW w:w="0" w:type="auto"/>
            <w:gridSpan w:val="3"/>
            <w:shd w:val="clear" w:color="auto" w:fill="CCEEFF"/>
            <w:tcMar>
              <w:top w:w="40" w:type="dxa"/>
              <w:left w:w="20" w:type="dxa"/>
              <w:bottom w:w="40" w:type="dxa"/>
              <w:right w:w="20" w:type="dxa"/>
            </w:tcMar>
            <w:vAlign w:val="center"/>
          </w:tcPr>
          <w:p w14:paraId="33DA8FBA" w14:textId="77777777" w:rsidR="004D6A64" w:rsidRDefault="00506CD6">
            <w:pPr>
              <w:textAlignment w:val="center"/>
            </w:pPr>
            <w:r>
              <w:rPr>
                <w:rFonts w:ascii="Times New Roman" w:eastAsia="宋体" w:hAnsi="Times New Roman"/>
                <w:color w:val="000000"/>
                <w:sz w:val="20"/>
                <w:szCs w:val="20"/>
              </w:rPr>
              <w:t>Long-term deferred revenue</w:t>
            </w:r>
          </w:p>
        </w:tc>
        <w:tc>
          <w:tcPr>
            <w:tcW w:w="0" w:type="auto"/>
            <w:gridSpan w:val="2"/>
            <w:shd w:val="clear" w:color="auto" w:fill="CCEEFF"/>
            <w:tcMar>
              <w:top w:w="40" w:type="dxa"/>
              <w:left w:w="20" w:type="dxa"/>
              <w:bottom w:w="40" w:type="dxa"/>
              <w:right w:w="0" w:type="dxa"/>
            </w:tcMar>
            <w:vAlign w:val="center"/>
          </w:tcPr>
          <w:p w14:paraId="33DA8FBB" w14:textId="77777777" w:rsidR="004D6A64" w:rsidRDefault="00506CD6">
            <w:pPr>
              <w:jc w:val="right"/>
              <w:textAlignment w:val="center"/>
            </w:pPr>
            <w:r>
              <w:rPr>
                <w:rFonts w:ascii="Times New Roman" w:eastAsia="宋体" w:hAnsi="Times New Roman"/>
                <w:color w:val="000000"/>
                <w:sz w:val="20"/>
                <w:szCs w:val="20"/>
              </w:rPr>
              <w:t>13,450 </w:t>
            </w:r>
          </w:p>
        </w:tc>
        <w:tc>
          <w:tcPr>
            <w:tcW w:w="0" w:type="auto"/>
            <w:shd w:val="clear" w:color="auto" w:fill="CCEEFF"/>
            <w:tcMar>
              <w:top w:w="40" w:type="dxa"/>
              <w:bottom w:w="40" w:type="dxa"/>
              <w:right w:w="20" w:type="dxa"/>
            </w:tcMar>
            <w:vAlign w:val="center"/>
          </w:tcPr>
          <w:p w14:paraId="33DA8FB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8FB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8FBE" w14:textId="77777777" w:rsidR="004D6A64" w:rsidRDefault="00506CD6">
            <w:pPr>
              <w:jc w:val="right"/>
              <w:textAlignment w:val="center"/>
            </w:pPr>
            <w:r>
              <w:rPr>
                <w:rFonts w:ascii="Times New Roman" w:eastAsia="宋体" w:hAnsi="Times New Roman"/>
                <w:color w:val="000000"/>
                <w:sz w:val="20"/>
                <w:szCs w:val="20"/>
              </w:rPr>
              <w:t>12,919 </w:t>
            </w:r>
          </w:p>
        </w:tc>
        <w:tc>
          <w:tcPr>
            <w:tcW w:w="0" w:type="auto"/>
            <w:shd w:val="clear" w:color="auto" w:fill="CCEEFF"/>
            <w:tcMar>
              <w:top w:w="40" w:type="dxa"/>
              <w:bottom w:w="40" w:type="dxa"/>
              <w:right w:w="20" w:type="dxa"/>
            </w:tcMar>
            <w:vAlign w:val="center"/>
          </w:tcPr>
          <w:p w14:paraId="33DA8FBF" w14:textId="77777777" w:rsidR="004D6A64" w:rsidRDefault="004D6A64">
            <w:pPr>
              <w:jc w:val="right"/>
              <w:rPr>
                <w:rFonts w:ascii="宋体"/>
              </w:rPr>
            </w:pPr>
          </w:p>
        </w:tc>
        <w:tc>
          <w:tcPr>
            <w:tcW w:w="0" w:type="auto"/>
            <w:shd w:val="clear" w:color="auto" w:fill="auto"/>
          </w:tcPr>
          <w:p w14:paraId="33DA8FC0" w14:textId="77777777" w:rsidR="004D6A64" w:rsidRDefault="004D6A64">
            <w:pPr>
              <w:rPr>
                <w:rFonts w:ascii="宋体"/>
              </w:rPr>
            </w:pPr>
          </w:p>
        </w:tc>
        <w:tc>
          <w:tcPr>
            <w:tcW w:w="0" w:type="auto"/>
            <w:shd w:val="clear" w:color="auto" w:fill="auto"/>
          </w:tcPr>
          <w:p w14:paraId="33DA8FC1" w14:textId="77777777" w:rsidR="004D6A64" w:rsidRDefault="004D6A64">
            <w:pPr>
              <w:rPr>
                <w:rFonts w:ascii="宋体"/>
              </w:rPr>
            </w:pPr>
          </w:p>
        </w:tc>
        <w:tc>
          <w:tcPr>
            <w:tcW w:w="0" w:type="auto"/>
            <w:shd w:val="clear" w:color="auto" w:fill="auto"/>
          </w:tcPr>
          <w:p w14:paraId="33DA8FC2" w14:textId="77777777" w:rsidR="004D6A64" w:rsidRDefault="004D6A64">
            <w:pPr>
              <w:rPr>
                <w:rFonts w:ascii="宋体"/>
              </w:rPr>
            </w:pPr>
          </w:p>
        </w:tc>
        <w:tc>
          <w:tcPr>
            <w:tcW w:w="0" w:type="auto"/>
            <w:shd w:val="clear" w:color="auto" w:fill="auto"/>
          </w:tcPr>
          <w:p w14:paraId="33DA8FC3" w14:textId="77777777" w:rsidR="004D6A64" w:rsidRDefault="004D6A64">
            <w:pPr>
              <w:rPr>
                <w:rFonts w:ascii="宋体"/>
              </w:rPr>
            </w:pPr>
          </w:p>
        </w:tc>
        <w:tc>
          <w:tcPr>
            <w:tcW w:w="0" w:type="auto"/>
            <w:shd w:val="clear" w:color="auto" w:fill="auto"/>
          </w:tcPr>
          <w:p w14:paraId="33DA8FC4" w14:textId="77777777" w:rsidR="004D6A64" w:rsidRDefault="004D6A64">
            <w:pPr>
              <w:rPr>
                <w:rFonts w:ascii="宋体"/>
              </w:rPr>
            </w:pPr>
          </w:p>
        </w:tc>
        <w:tc>
          <w:tcPr>
            <w:tcW w:w="0" w:type="auto"/>
            <w:shd w:val="clear" w:color="auto" w:fill="auto"/>
          </w:tcPr>
          <w:p w14:paraId="33DA8FC5" w14:textId="77777777" w:rsidR="004D6A64" w:rsidRDefault="004D6A64">
            <w:pPr>
              <w:rPr>
                <w:rFonts w:ascii="宋体"/>
              </w:rPr>
            </w:pPr>
          </w:p>
        </w:tc>
        <w:tc>
          <w:tcPr>
            <w:tcW w:w="0" w:type="auto"/>
            <w:shd w:val="clear" w:color="auto" w:fill="auto"/>
          </w:tcPr>
          <w:p w14:paraId="33DA8FC6" w14:textId="77777777" w:rsidR="004D6A64" w:rsidRDefault="004D6A64">
            <w:pPr>
              <w:rPr>
                <w:rFonts w:ascii="宋体"/>
              </w:rPr>
            </w:pPr>
          </w:p>
        </w:tc>
        <w:tc>
          <w:tcPr>
            <w:tcW w:w="0" w:type="auto"/>
            <w:shd w:val="clear" w:color="auto" w:fill="auto"/>
          </w:tcPr>
          <w:p w14:paraId="33DA8FC7" w14:textId="77777777" w:rsidR="004D6A64" w:rsidRDefault="004D6A64">
            <w:pPr>
              <w:rPr>
                <w:rFonts w:ascii="宋体"/>
              </w:rPr>
            </w:pPr>
          </w:p>
        </w:tc>
        <w:tc>
          <w:tcPr>
            <w:tcW w:w="0" w:type="auto"/>
            <w:shd w:val="clear" w:color="auto" w:fill="auto"/>
          </w:tcPr>
          <w:p w14:paraId="33DA8FC8" w14:textId="77777777" w:rsidR="004D6A64" w:rsidRDefault="004D6A64">
            <w:pPr>
              <w:rPr>
                <w:rFonts w:ascii="宋体"/>
              </w:rPr>
            </w:pPr>
          </w:p>
        </w:tc>
      </w:tr>
      <w:tr w:rsidR="004D6A64" w14:paraId="33DA8FD9" w14:textId="77777777">
        <w:trPr>
          <w:jc w:val="center"/>
        </w:trPr>
        <w:tc>
          <w:tcPr>
            <w:tcW w:w="0" w:type="auto"/>
            <w:gridSpan w:val="3"/>
            <w:shd w:val="clear" w:color="auto" w:fill="FFFFFF"/>
            <w:tcMar>
              <w:top w:w="40" w:type="dxa"/>
              <w:left w:w="20" w:type="dxa"/>
              <w:bottom w:w="40" w:type="dxa"/>
              <w:right w:w="20" w:type="dxa"/>
            </w:tcMar>
            <w:vAlign w:val="center"/>
          </w:tcPr>
          <w:p w14:paraId="33DA8FCA" w14:textId="77777777" w:rsidR="004D6A64" w:rsidRDefault="00506CD6">
            <w:pPr>
              <w:textAlignment w:val="center"/>
            </w:pPr>
            <w:r>
              <w:rPr>
                <w:rFonts w:ascii="Times New Roman" w:eastAsia="宋体" w:hAnsi="Times New Roman"/>
                <w:color w:val="000000"/>
                <w:sz w:val="20"/>
                <w:szCs w:val="20"/>
              </w:rPr>
              <w:t>Other non-current liabilities</w:t>
            </w:r>
          </w:p>
        </w:tc>
        <w:tc>
          <w:tcPr>
            <w:tcW w:w="0" w:type="auto"/>
            <w:gridSpan w:val="2"/>
            <w:shd w:val="clear" w:color="auto" w:fill="FFFFFF"/>
            <w:tcMar>
              <w:top w:w="40" w:type="dxa"/>
              <w:left w:w="20" w:type="dxa"/>
              <w:bottom w:w="40" w:type="dxa"/>
              <w:right w:w="0" w:type="dxa"/>
            </w:tcMar>
            <w:vAlign w:val="center"/>
          </w:tcPr>
          <w:p w14:paraId="33DA8FCB" w14:textId="77777777" w:rsidR="004D6A64" w:rsidRDefault="00506CD6">
            <w:pPr>
              <w:jc w:val="right"/>
              <w:textAlignment w:val="center"/>
            </w:pPr>
            <w:r>
              <w:rPr>
                <w:rFonts w:ascii="Times New Roman" w:eastAsia="宋体" w:hAnsi="Times New Roman"/>
                <w:color w:val="000000"/>
                <w:sz w:val="20"/>
                <w:szCs w:val="20"/>
              </w:rPr>
              <w:t>4,762 </w:t>
            </w:r>
          </w:p>
        </w:tc>
        <w:tc>
          <w:tcPr>
            <w:tcW w:w="0" w:type="auto"/>
            <w:shd w:val="clear" w:color="auto" w:fill="FFFFFF"/>
            <w:tcMar>
              <w:top w:w="40" w:type="dxa"/>
              <w:bottom w:w="40" w:type="dxa"/>
              <w:right w:w="20" w:type="dxa"/>
            </w:tcMar>
            <w:vAlign w:val="center"/>
          </w:tcPr>
          <w:p w14:paraId="33DA8FC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8FC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8FCE" w14:textId="77777777" w:rsidR="004D6A64" w:rsidRDefault="00506CD6">
            <w:pPr>
              <w:jc w:val="right"/>
              <w:textAlignment w:val="center"/>
            </w:pPr>
            <w:r>
              <w:rPr>
                <w:rFonts w:ascii="Times New Roman" w:eastAsia="宋体" w:hAnsi="Times New Roman"/>
                <w:color w:val="000000"/>
                <w:sz w:val="20"/>
                <w:szCs w:val="20"/>
              </w:rPr>
              <w:t>5,383 </w:t>
            </w:r>
          </w:p>
        </w:tc>
        <w:tc>
          <w:tcPr>
            <w:tcW w:w="0" w:type="auto"/>
            <w:shd w:val="clear" w:color="auto" w:fill="FFFFFF"/>
            <w:tcMar>
              <w:top w:w="40" w:type="dxa"/>
              <w:bottom w:w="40" w:type="dxa"/>
              <w:right w:w="20" w:type="dxa"/>
            </w:tcMar>
            <w:vAlign w:val="center"/>
          </w:tcPr>
          <w:p w14:paraId="33DA8FCF" w14:textId="77777777" w:rsidR="004D6A64" w:rsidRDefault="004D6A64">
            <w:pPr>
              <w:jc w:val="right"/>
              <w:rPr>
                <w:rFonts w:ascii="宋体"/>
              </w:rPr>
            </w:pPr>
          </w:p>
        </w:tc>
        <w:tc>
          <w:tcPr>
            <w:tcW w:w="0" w:type="auto"/>
            <w:shd w:val="clear" w:color="auto" w:fill="auto"/>
          </w:tcPr>
          <w:p w14:paraId="33DA8FD0" w14:textId="77777777" w:rsidR="004D6A64" w:rsidRDefault="004D6A64">
            <w:pPr>
              <w:rPr>
                <w:rFonts w:ascii="宋体"/>
              </w:rPr>
            </w:pPr>
          </w:p>
        </w:tc>
        <w:tc>
          <w:tcPr>
            <w:tcW w:w="0" w:type="auto"/>
            <w:shd w:val="clear" w:color="auto" w:fill="auto"/>
          </w:tcPr>
          <w:p w14:paraId="33DA8FD1" w14:textId="77777777" w:rsidR="004D6A64" w:rsidRDefault="004D6A64">
            <w:pPr>
              <w:rPr>
                <w:rFonts w:ascii="宋体"/>
              </w:rPr>
            </w:pPr>
          </w:p>
        </w:tc>
        <w:tc>
          <w:tcPr>
            <w:tcW w:w="0" w:type="auto"/>
            <w:shd w:val="clear" w:color="auto" w:fill="auto"/>
          </w:tcPr>
          <w:p w14:paraId="33DA8FD2" w14:textId="77777777" w:rsidR="004D6A64" w:rsidRDefault="004D6A64">
            <w:pPr>
              <w:rPr>
                <w:rFonts w:ascii="宋体"/>
              </w:rPr>
            </w:pPr>
          </w:p>
        </w:tc>
        <w:tc>
          <w:tcPr>
            <w:tcW w:w="0" w:type="auto"/>
            <w:shd w:val="clear" w:color="auto" w:fill="auto"/>
          </w:tcPr>
          <w:p w14:paraId="33DA8FD3" w14:textId="77777777" w:rsidR="004D6A64" w:rsidRDefault="004D6A64">
            <w:pPr>
              <w:rPr>
                <w:rFonts w:ascii="宋体"/>
              </w:rPr>
            </w:pPr>
          </w:p>
        </w:tc>
        <w:tc>
          <w:tcPr>
            <w:tcW w:w="0" w:type="auto"/>
            <w:shd w:val="clear" w:color="auto" w:fill="auto"/>
          </w:tcPr>
          <w:p w14:paraId="33DA8FD4" w14:textId="77777777" w:rsidR="004D6A64" w:rsidRDefault="004D6A64">
            <w:pPr>
              <w:rPr>
                <w:rFonts w:ascii="宋体"/>
              </w:rPr>
            </w:pPr>
          </w:p>
        </w:tc>
        <w:tc>
          <w:tcPr>
            <w:tcW w:w="0" w:type="auto"/>
            <w:shd w:val="clear" w:color="auto" w:fill="auto"/>
          </w:tcPr>
          <w:p w14:paraId="33DA8FD5" w14:textId="77777777" w:rsidR="004D6A64" w:rsidRDefault="004D6A64">
            <w:pPr>
              <w:rPr>
                <w:rFonts w:ascii="宋体"/>
              </w:rPr>
            </w:pPr>
          </w:p>
        </w:tc>
        <w:tc>
          <w:tcPr>
            <w:tcW w:w="0" w:type="auto"/>
            <w:shd w:val="clear" w:color="auto" w:fill="auto"/>
          </w:tcPr>
          <w:p w14:paraId="33DA8FD6" w14:textId="77777777" w:rsidR="004D6A64" w:rsidRDefault="004D6A64">
            <w:pPr>
              <w:rPr>
                <w:rFonts w:ascii="宋体"/>
              </w:rPr>
            </w:pPr>
          </w:p>
        </w:tc>
        <w:tc>
          <w:tcPr>
            <w:tcW w:w="0" w:type="auto"/>
            <w:shd w:val="clear" w:color="auto" w:fill="auto"/>
          </w:tcPr>
          <w:p w14:paraId="33DA8FD7" w14:textId="77777777" w:rsidR="004D6A64" w:rsidRDefault="004D6A64">
            <w:pPr>
              <w:rPr>
                <w:rFonts w:ascii="宋体"/>
              </w:rPr>
            </w:pPr>
          </w:p>
        </w:tc>
        <w:tc>
          <w:tcPr>
            <w:tcW w:w="0" w:type="auto"/>
            <w:shd w:val="clear" w:color="auto" w:fill="auto"/>
          </w:tcPr>
          <w:p w14:paraId="33DA8FD8" w14:textId="77777777" w:rsidR="004D6A64" w:rsidRDefault="004D6A64">
            <w:pPr>
              <w:rPr>
                <w:rFonts w:ascii="宋体"/>
              </w:rPr>
            </w:pPr>
          </w:p>
        </w:tc>
      </w:tr>
      <w:tr w:rsidR="004D6A64" w14:paraId="33DA8FE9" w14:textId="77777777">
        <w:trPr>
          <w:jc w:val="center"/>
        </w:trPr>
        <w:tc>
          <w:tcPr>
            <w:tcW w:w="0" w:type="auto"/>
            <w:gridSpan w:val="3"/>
            <w:shd w:val="clear" w:color="auto" w:fill="CCEEFF"/>
            <w:tcMar>
              <w:top w:w="40" w:type="dxa"/>
              <w:left w:w="225" w:type="dxa"/>
              <w:bottom w:w="40" w:type="dxa"/>
              <w:right w:w="20" w:type="dxa"/>
            </w:tcMar>
            <w:vAlign w:val="center"/>
          </w:tcPr>
          <w:p w14:paraId="33DA8FDA" w14:textId="77777777" w:rsidR="004D6A64" w:rsidRDefault="00506CD6">
            <w:pPr>
              <w:textAlignment w:val="center"/>
            </w:pPr>
            <w:r>
              <w:rPr>
                <w:rFonts w:ascii="Times New Roman" w:eastAsia="宋体" w:hAnsi="Times New Roman"/>
                <w:color w:val="000000"/>
                <w:sz w:val="20"/>
                <w:szCs w:val="20"/>
              </w:rPr>
              <w:t>Total liabilities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8FDB" w14:textId="77777777" w:rsidR="004D6A64" w:rsidRDefault="00506CD6">
            <w:pPr>
              <w:jc w:val="right"/>
              <w:textAlignment w:val="center"/>
            </w:pPr>
            <w:r>
              <w:rPr>
                <w:rFonts w:ascii="Times New Roman" w:eastAsia="宋体" w:hAnsi="Times New Roman"/>
                <w:color w:val="000000"/>
                <w:sz w:val="20"/>
                <w:szCs w:val="20"/>
              </w:rPr>
              <w:t>116,108 </w:t>
            </w:r>
          </w:p>
        </w:tc>
        <w:tc>
          <w:tcPr>
            <w:tcW w:w="0" w:type="auto"/>
            <w:tcBorders>
              <w:top w:val="single" w:sz="8" w:space="0" w:color="000000"/>
            </w:tcBorders>
            <w:shd w:val="clear" w:color="auto" w:fill="CCEEFF"/>
            <w:tcMar>
              <w:top w:w="40" w:type="dxa"/>
              <w:bottom w:w="40" w:type="dxa"/>
              <w:right w:w="20" w:type="dxa"/>
            </w:tcMar>
            <w:vAlign w:val="center"/>
          </w:tcPr>
          <w:p w14:paraId="33DA8FD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8FDD"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8FDE" w14:textId="77777777" w:rsidR="004D6A64" w:rsidRDefault="00506CD6">
            <w:pPr>
              <w:jc w:val="right"/>
              <w:textAlignment w:val="center"/>
            </w:pPr>
            <w:r>
              <w:rPr>
                <w:rFonts w:ascii="Times New Roman" w:eastAsia="宋体" w:hAnsi="Times New Roman"/>
                <w:color w:val="000000"/>
                <w:sz w:val="20"/>
                <w:szCs w:val="20"/>
              </w:rPr>
              <w:t>115,077 </w:t>
            </w:r>
          </w:p>
        </w:tc>
        <w:tc>
          <w:tcPr>
            <w:tcW w:w="0" w:type="auto"/>
            <w:tcBorders>
              <w:top w:val="single" w:sz="8" w:space="0" w:color="000000"/>
            </w:tcBorders>
            <w:shd w:val="clear" w:color="auto" w:fill="CCEEFF"/>
            <w:tcMar>
              <w:top w:w="40" w:type="dxa"/>
              <w:bottom w:w="40" w:type="dxa"/>
              <w:right w:w="20" w:type="dxa"/>
            </w:tcMar>
            <w:vAlign w:val="center"/>
          </w:tcPr>
          <w:p w14:paraId="33DA8FDF" w14:textId="77777777" w:rsidR="004D6A64" w:rsidRDefault="004D6A64">
            <w:pPr>
              <w:jc w:val="right"/>
              <w:rPr>
                <w:rFonts w:ascii="宋体"/>
              </w:rPr>
            </w:pPr>
          </w:p>
        </w:tc>
        <w:tc>
          <w:tcPr>
            <w:tcW w:w="0" w:type="auto"/>
            <w:shd w:val="clear" w:color="auto" w:fill="auto"/>
          </w:tcPr>
          <w:p w14:paraId="33DA8FE0" w14:textId="77777777" w:rsidR="004D6A64" w:rsidRDefault="004D6A64">
            <w:pPr>
              <w:rPr>
                <w:rFonts w:ascii="宋体"/>
              </w:rPr>
            </w:pPr>
          </w:p>
        </w:tc>
        <w:tc>
          <w:tcPr>
            <w:tcW w:w="0" w:type="auto"/>
            <w:shd w:val="clear" w:color="auto" w:fill="auto"/>
          </w:tcPr>
          <w:p w14:paraId="33DA8FE1" w14:textId="77777777" w:rsidR="004D6A64" w:rsidRDefault="004D6A64">
            <w:pPr>
              <w:rPr>
                <w:rFonts w:ascii="宋体"/>
              </w:rPr>
            </w:pPr>
          </w:p>
        </w:tc>
        <w:tc>
          <w:tcPr>
            <w:tcW w:w="0" w:type="auto"/>
            <w:shd w:val="clear" w:color="auto" w:fill="auto"/>
          </w:tcPr>
          <w:p w14:paraId="33DA8FE2" w14:textId="77777777" w:rsidR="004D6A64" w:rsidRDefault="004D6A64">
            <w:pPr>
              <w:rPr>
                <w:rFonts w:ascii="宋体"/>
              </w:rPr>
            </w:pPr>
          </w:p>
        </w:tc>
        <w:tc>
          <w:tcPr>
            <w:tcW w:w="0" w:type="auto"/>
            <w:shd w:val="clear" w:color="auto" w:fill="auto"/>
          </w:tcPr>
          <w:p w14:paraId="33DA8FE3" w14:textId="77777777" w:rsidR="004D6A64" w:rsidRDefault="004D6A64">
            <w:pPr>
              <w:rPr>
                <w:rFonts w:ascii="宋体"/>
              </w:rPr>
            </w:pPr>
          </w:p>
        </w:tc>
        <w:tc>
          <w:tcPr>
            <w:tcW w:w="0" w:type="auto"/>
            <w:shd w:val="clear" w:color="auto" w:fill="auto"/>
          </w:tcPr>
          <w:p w14:paraId="33DA8FE4" w14:textId="77777777" w:rsidR="004D6A64" w:rsidRDefault="004D6A64">
            <w:pPr>
              <w:rPr>
                <w:rFonts w:ascii="宋体"/>
              </w:rPr>
            </w:pPr>
          </w:p>
        </w:tc>
        <w:tc>
          <w:tcPr>
            <w:tcW w:w="0" w:type="auto"/>
            <w:shd w:val="clear" w:color="auto" w:fill="auto"/>
          </w:tcPr>
          <w:p w14:paraId="33DA8FE5" w14:textId="77777777" w:rsidR="004D6A64" w:rsidRDefault="004D6A64">
            <w:pPr>
              <w:rPr>
                <w:rFonts w:ascii="宋体"/>
              </w:rPr>
            </w:pPr>
          </w:p>
        </w:tc>
        <w:tc>
          <w:tcPr>
            <w:tcW w:w="0" w:type="auto"/>
            <w:shd w:val="clear" w:color="auto" w:fill="auto"/>
          </w:tcPr>
          <w:p w14:paraId="33DA8FE6" w14:textId="77777777" w:rsidR="004D6A64" w:rsidRDefault="004D6A64">
            <w:pPr>
              <w:rPr>
                <w:rFonts w:ascii="宋体"/>
              </w:rPr>
            </w:pPr>
          </w:p>
        </w:tc>
        <w:tc>
          <w:tcPr>
            <w:tcW w:w="0" w:type="auto"/>
            <w:shd w:val="clear" w:color="auto" w:fill="auto"/>
          </w:tcPr>
          <w:p w14:paraId="33DA8FE7" w14:textId="77777777" w:rsidR="004D6A64" w:rsidRDefault="004D6A64">
            <w:pPr>
              <w:rPr>
                <w:rFonts w:ascii="宋体"/>
              </w:rPr>
            </w:pPr>
          </w:p>
        </w:tc>
        <w:tc>
          <w:tcPr>
            <w:tcW w:w="0" w:type="auto"/>
            <w:shd w:val="clear" w:color="auto" w:fill="auto"/>
          </w:tcPr>
          <w:p w14:paraId="33DA8FE8" w14:textId="77777777" w:rsidR="004D6A64" w:rsidRDefault="004D6A64">
            <w:pPr>
              <w:rPr>
                <w:rFonts w:ascii="宋体"/>
              </w:rPr>
            </w:pPr>
          </w:p>
        </w:tc>
      </w:tr>
      <w:tr w:rsidR="004D6A64" w14:paraId="33DA8FF7" w14:textId="77777777">
        <w:trPr>
          <w:jc w:val="center"/>
        </w:trPr>
        <w:tc>
          <w:tcPr>
            <w:tcW w:w="0" w:type="auto"/>
            <w:gridSpan w:val="3"/>
            <w:shd w:val="clear" w:color="auto" w:fill="FFFFFF"/>
            <w:tcMar>
              <w:top w:w="40" w:type="dxa"/>
              <w:left w:w="20" w:type="dxa"/>
              <w:bottom w:w="40" w:type="dxa"/>
              <w:right w:w="20" w:type="dxa"/>
            </w:tcMar>
            <w:vAlign w:val="center"/>
          </w:tcPr>
          <w:p w14:paraId="33DA8FEA"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Commitments and contingencies (Note 10)</w:t>
            </w:r>
          </w:p>
        </w:tc>
        <w:tc>
          <w:tcPr>
            <w:tcW w:w="0" w:type="auto"/>
            <w:gridSpan w:val="3"/>
            <w:tcBorders>
              <w:top w:val="single" w:sz="8" w:space="0" w:color="000000"/>
            </w:tcBorders>
            <w:shd w:val="clear" w:color="auto" w:fill="FFFFFF"/>
            <w:tcMar>
              <w:left w:w="20" w:type="dxa"/>
              <w:right w:w="20" w:type="dxa"/>
            </w:tcMar>
            <w:vAlign w:val="bottom"/>
          </w:tcPr>
          <w:p w14:paraId="33DA8FEB"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8FEC" w14:textId="77777777" w:rsidR="004D6A64" w:rsidRDefault="004D6A64">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33DA8FED" w14:textId="77777777" w:rsidR="004D6A64" w:rsidRDefault="004D6A64">
            <w:pPr>
              <w:rPr>
                <w:rFonts w:ascii="宋体"/>
              </w:rPr>
            </w:pPr>
          </w:p>
        </w:tc>
        <w:tc>
          <w:tcPr>
            <w:tcW w:w="0" w:type="auto"/>
            <w:shd w:val="clear" w:color="auto" w:fill="auto"/>
          </w:tcPr>
          <w:p w14:paraId="33DA8FEE" w14:textId="77777777" w:rsidR="004D6A64" w:rsidRDefault="004D6A64">
            <w:pPr>
              <w:rPr>
                <w:rFonts w:ascii="宋体"/>
              </w:rPr>
            </w:pPr>
          </w:p>
        </w:tc>
        <w:tc>
          <w:tcPr>
            <w:tcW w:w="0" w:type="auto"/>
            <w:shd w:val="clear" w:color="auto" w:fill="auto"/>
          </w:tcPr>
          <w:p w14:paraId="33DA8FEF" w14:textId="77777777" w:rsidR="004D6A64" w:rsidRDefault="004D6A64">
            <w:pPr>
              <w:rPr>
                <w:rFonts w:ascii="宋体"/>
              </w:rPr>
            </w:pPr>
          </w:p>
        </w:tc>
        <w:tc>
          <w:tcPr>
            <w:tcW w:w="0" w:type="auto"/>
            <w:shd w:val="clear" w:color="auto" w:fill="auto"/>
          </w:tcPr>
          <w:p w14:paraId="33DA8FF0" w14:textId="77777777" w:rsidR="004D6A64" w:rsidRDefault="004D6A64">
            <w:pPr>
              <w:rPr>
                <w:rFonts w:ascii="宋体"/>
              </w:rPr>
            </w:pPr>
          </w:p>
        </w:tc>
        <w:tc>
          <w:tcPr>
            <w:tcW w:w="0" w:type="auto"/>
            <w:shd w:val="clear" w:color="auto" w:fill="auto"/>
          </w:tcPr>
          <w:p w14:paraId="33DA8FF1" w14:textId="77777777" w:rsidR="004D6A64" w:rsidRDefault="004D6A64">
            <w:pPr>
              <w:rPr>
                <w:rFonts w:ascii="宋体"/>
              </w:rPr>
            </w:pPr>
          </w:p>
        </w:tc>
        <w:tc>
          <w:tcPr>
            <w:tcW w:w="0" w:type="auto"/>
            <w:shd w:val="clear" w:color="auto" w:fill="auto"/>
          </w:tcPr>
          <w:p w14:paraId="33DA8FF2" w14:textId="77777777" w:rsidR="004D6A64" w:rsidRDefault="004D6A64">
            <w:pPr>
              <w:rPr>
                <w:rFonts w:ascii="宋体"/>
              </w:rPr>
            </w:pPr>
          </w:p>
        </w:tc>
        <w:tc>
          <w:tcPr>
            <w:tcW w:w="0" w:type="auto"/>
            <w:shd w:val="clear" w:color="auto" w:fill="auto"/>
          </w:tcPr>
          <w:p w14:paraId="33DA8FF3" w14:textId="77777777" w:rsidR="004D6A64" w:rsidRDefault="004D6A64">
            <w:pPr>
              <w:rPr>
                <w:rFonts w:ascii="宋体"/>
              </w:rPr>
            </w:pPr>
          </w:p>
        </w:tc>
        <w:tc>
          <w:tcPr>
            <w:tcW w:w="0" w:type="auto"/>
            <w:shd w:val="clear" w:color="auto" w:fill="auto"/>
          </w:tcPr>
          <w:p w14:paraId="33DA8FF4" w14:textId="77777777" w:rsidR="004D6A64" w:rsidRDefault="004D6A64">
            <w:pPr>
              <w:rPr>
                <w:rFonts w:ascii="宋体"/>
              </w:rPr>
            </w:pPr>
          </w:p>
        </w:tc>
        <w:tc>
          <w:tcPr>
            <w:tcW w:w="0" w:type="auto"/>
            <w:shd w:val="clear" w:color="auto" w:fill="auto"/>
          </w:tcPr>
          <w:p w14:paraId="33DA8FF5" w14:textId="77777777" w:rsidR="004D6A64" w:rsidRDefault="004D6A64">
            <w:pPr>
              <w:rPr>
                <w:rFonts w:ascii="宋体"/>
              </w:rPr>
            </w:pPr>
          </w:p>
        </w:tc>
        <w:tc>
          <w:tcPr>
            <w:tcW w:w="0" w:type="auto"/>
            <w:shd w:val="clear" w:color="auto" w:fill="auto"/>
          </w:tcPr>
          <w:p w14:paraId="33DA8FF6" w14:textId="77777777" w:rsidR="004D6A64" w:rsidRDefault="004D6A64">
            <w:pPr>
              <w:rPr>
                <w:rFonts w:ascii="宋体"/>
              </w:rPr>
            </w:pPr>
          </w:p>
        </w:tc>
      </w:tr>
      <w:tr w:rsidR="004D6A64" w14:paraId="33DA9007" w14:textId="77777777">
        <w:trPr>
          <w:jc w:val="center"/>
        </w:trPr>
        <w:tc>
          <w:tcPr>
            <w:tcW w:w="0" w:type="auto"/>
            <w:gridSpan w:val="3"/>
            <w:shd w:val="clear" w:color="auto" w:fill="CCEEFF"/>
            <w:tcMar>
              <w:top w:w="40" w:type="dxa"/>
              <w:left w:w="20" w:type="dxa"/>
              <w:bottom w:w="40" w:type="dxa"/>
              <w:right w:w="20" w:type="dxa"/>
            </w:tcMar>
            <w:vAlign w:val="center"/>
          </w:tcPr>
          <w:p w14:paraId="33DA8FF8"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Redeemable shares (Note 16)</w:t>
            </w:r>
          </w:p>
        </w:tc>
        <w:tc>
          <w:tcPr>
            <w:tcW w:w="0" w:type="auto"/>
            <w:gridSpan w:val="2"/>
            <w:shd w:val="clear" w:color="auto" w:fill="CCEEFF"/>
            <w:tcMar>
              <w:top w:w="40" w:type="dxa"/>
              <w:left w:w="20" w:type="dxa"/>
              <w:bottom w:w="40" w:type="dxa"/>
              <w:right w:w="0" w:type="dxa"/>
            </w:tcMar>
            <w:vAlign w:val="center"/>
          </w:tcPr>
          <w:p w14:paraId="33DA8FF9" w14:textId="77777777" w:rsidR="004D6A64" w:rsidRDefault="00506CD6">
            <w:pPr>
              <w:jc w:val="right"/>
              <w:textAlignment w:val="center"/>
            </w:pPr>
            <w:r>
              <w:rPr>
                <w:rFonts w:ascii="Times New Roman" w:eastAsia="宋体" w:hAnsi="Times New Roman"/>
                <w:color w:val="000000"/>
                <w:sz w:val="20"/>
                <w:szCs w:val="20"/>
              </w:rPr>
              <w:t>610 </w:t>
            </w:r>
          </w:p>
        </w:tc>
        <w:tc>
          <w:tcPr>
            <w:tcW w:w="0" w:type="auto"/>
            <w:shd w:val="clear" w:color="auto" w:fill="CCEEFF"/>
            <w:tcMar>
              <w:top w:w="40" w:type="dxa"/>
              <w:bottom w:w="40" w:type="dxa"/>
              <w:right w:w="20" w:type="dxa"/>
            </w:tcMar>
            <w:vAlign w:val="center"/>
          </w:tcPr>
          <w:p w14:paraId="33DA8FF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8FFB"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8FFC" w14:textId="77777777" w:rsidR="004D6A64" w:rsidRDefault="00506CD6">
            <w:pPr>
              <w:jc w:val="right"/>
              <w:textAlignment w:val="center"/>
            </w:pPr>
            <w:r>
              <w:rPr>
                <w:rFonts w:ascii="Times New Roman" w:eastAsia="宋体" w:hAnsi="Times New Roman"/>
                <w:color w:val="000000"/>
                <w:sz w:val="20"/>
                <w:szCs w:val="20"/>
              </w:rPr>
              <w:t>629 </w:t>
            </w:r>
          </w:p>
        </w:tc>
        <w:tc>
          <w:tcPr>
            <w:tcW w:w="0" w:type="auto"/>
            <w:shd w:val="clear" w:color="auto" w:fill="CCEEFF"/>
            <w:tcMar>
              <w:top w:w="40" w:type="dxa"/>
              <w:bottom w:w="40" w:type="dxa"/>
              <w:right w:w="20" w:type="dxa"/>
            </w:tcMar>
            <w:vAlign w:val="center"/>
          </w:tcPr>
          <w:p w14:paraId="33DA8FFD" w14:textId="77777777" w:rsidR="004D6A64" w:rsidRDefault="004D6A64">
            <w:pPr>
              <w:jc w:val="right"/>
              <w:rPr>
                <w:rFonts w:ascii="宋体"/>
              </w:rPr>
            </w:pPr>
          </w:p>
        </w:tc>
        <w:tc>
          <w:tcPr>
            <w:tcW w:w="0" w:type="auto"/>
            <w:shd w:val="clear" w:color="auto" w:fill="auto"/>
          </w:tcPr>
          <w:p w14:paraId="33DA8FFE" w14:textId="77777777" w:rsidR="004D6A64" w:rsidRDefault="004D6A64">
            <w:pPr>
              <w:rPr>
                <w:rFonts w:ascii="宋体"/>
              </w:rPr>
            </w:pPr>
          </w:p>
        </w:tc>
        <w:tc>
          <w:tcPr>
            <w:tcW w:w="0" w:type="auto"/>
            <w:shd w:val="clear" w:color="auto" w:fill="auto"/>
          </w:tcPr>
          <w:p w14:paraId="33DA8FFF" w14:textId="77777777" w:rsidR="004D6A64" w:rsidRDefault="004D6A64">
            <w:pPr>
              <w:rPr>
                <w:rFonts w:ascii="宋体"/>
              </w:rPr>
            </w:pPr>
          </w:p>
        </w:tc>
        <w:tc>
          <w:tcPr>
            <w:tcW w:w="0" w:type="auto"/>
            <w:shd w:val="clear" w:color="auto" w:fill="auto"/>
          </w:tcPr>
          <w:p w14:paraId="33DA9000" w14:textId="77777777" w:rsidR="004D6A64" w:rsidRDefault="004D6A64">
            <w:pPr>
              <w:rPr>
                <w:rFonts w:ascii="宋体"/>
              </w:rPr>
            </w:pPr>
          </w:p>
        </w:tc>
        <w:tc>
          <w:tcPr>
            <w:tcW w:w="0" w:type="auto"/>
            <w:shd w:val="clear" w:color="auto" w:fill="auto"/>
          </w:tcPr>
          <w:p w14:paraId="33DA9001" w14:textId="77777777" w:rsidR="004D6A64" w:rsidRDefault="004D6A64">
            <w:pPr>
              <w:rPr>
                <w:rFonts w:ascii="宋体"/>
              </w:rPr>
            </w:pPr>
          </w:p>
        </w:tc>
        <w:tc>
          <w:tcPr>
            <w:tcW w:w="0" w:type="auto"/>
            <w:shd w:val="clear" w:color="auto" w:fill="auto"/>
          </w:tcPr>
          <w:p w14:paraId="33DA9002" w14:textId="77777777" w:rsidR="004D6A64" w:rsidRDefault="004D6A64">
            <w:pPr>
              <w:rPr>
                <w:rFonts w:ascii="宋体"/>
              </w:rPr>
            </w:pPr>
          </w:p>
        </w:tc>
        <w:tc>
          <w:tcPr>
            <w:tcW w:w="0" w:type="auto"/>
            <w:shd w:val="clear" w:color="auto" w:fill="auto"/>
          </w:tcPr>
          <w:p w14:paraId="33DA9003" w14:textId="77777777" w:rsidR="004D6A64" w:rsidRDefault="004D6A64">
            <w:pPr>
              <w:rPr>
                <w:rFonts w:ascii="宋体"/>
              </w:rPr>
            </w:pPr>
          </w:p>
        </w:tc>
        <w:tc>
          <w:tcPr>
            <w:tcW w:w="0" w:type="auto"/>
            <w:shd w:val="clear" w:color="auto" w:fill="auto"/>
          </w:tcPr>
          <w:p w14:paraId="33DA9004" w14:textId="77777777" w:rsidR="004D6A64" w:rsidRDefault="004D6A64">
            <w:pPr>
              <w:rPr>
                <w:rFonts w:ascii="宋体"/>
              </w:rPr>
            </w:pPr>
          </w:p>
        </w:tc>
        <w:tc>
          <w:tcPr>
            <w:tcW w:w="0" w:type="auto"/>
            <w:shd w:val="clear" w:color="auto" w:fill="auto"/>
          </w:tcPr>
          <w:p w14:paraId="33DA9005" w14:textId="77777777" w:rsidR="004D6A64" w:rsidRDefault="004D6A64">
            <w:pPr>
              <w:rPr>
                <w:rFonts w:ascii="宋体"/>
              </w:rPr>
            </w:pPr>
          </w:p>
        </w:tc>
        <w:tc>
          <w:tcPr>
            <w:tcW w:w="0" w:type="auto"/>
            <w:shd w:val="clear" w:color="auto" w:fill="auto"/>
          </w:tcPr>
          <w:p w14:paraId="33DA9006" w14:textId="77777777" w:rsidR="004D6A64" w:rsidRDefault="004D6A64">
            <w:pPr>
              <w:rPr>
                <w:rFonts w:ascii="宋体"/>
              </w:rPr>
            </w:pPr>
          </w:p>
        </w:tc>
      </w:tr>
      <w:tr w:rsidR="004D6A64" w14:paraId="33DA9015" w14:textId="77777777">
        <w:trPr>
          <w:jc w:val="center"/>
        </w:trPr>
        <w:tc>
          <w:tcPr>
            <w:tcW w:w="0" w:type="auto"/>
            <w:gridSpan w:val="3"/>
            <w:shd w:val="clear" w:color="auto" w:fill="FFFFFF"/>
            <w:tcMar>
              <w:top w:w="40" w:type="dxa"/>
              <w:left w:w="20" w:type="dxa"/>
              <w:bottom w:w="40" w:type="dxa"/>
              <w:right w:w="20" w:type="dxa"/>
            </w:tcMar>
            <w:vAlign w:val="center"/>
          </w:tcPr>
          <w:p w14:paraId="33DA9008" w14:textId="77777777" w:rsidR="004D6A64" w:rsidRDefault="00506CD6">
            <w:pPr>
              <w:textAlignment w:val="center"/>
            </w:pPr>
            <w:r>
              <w:rPr>
                <w:rFonts w:ascii="Times New Roman" w:eastAsia="宋体" w:hAnsi="Times New Roman"/>
                <w:color w:val="000000"/>
                <w:sz w:val="20"/>
                <w:szCs w:val="20"/>
              </w:rPr>
              <w:t xml:space="preserve">Stockholders’ equity </w:t>
            </w:r>
            <w:r>
              <w:rPr>
                <w:rFonts w:ascii="Times New Roman" w:eastAsia="宋体" w:hAnsi="Times New Roman"/>
                <w:color w:val="000000"/>
                <w:sz w:val="20"/>
                <w:szCs w:val="20"/>
              </w:rPr>
              <w:t>(deficit):</w:t>
            </w:r>
          </w:p>
        </w:tc>
        <w:tc>
          <w:tcPr>
            <w:tcW w:w="0" w:type="auto"/>
            <w:gridSpan w:val="3"/>
            <w:shd w:val="clear" w:color="auto" w:fill="FFFFFF"/>
            <w:tcMar>
              <w:left w:w="20" w:type="dxa"/>
              <w:right w:w="20" w:type="dxa"/>
            </w:tcMar>
            <w:vAlign w:val="bottom"/>
          </w:tcPr>
          <w:p w14:paraId="33DA9009"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900A"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900B" w14:textId="77777777" w:rsidR="004D6A64" w:rsidRDefault="004D6A64">
            <w:pPr>
              <w:rPr>
                <w:rFonts w:ascii="宋体"/>
              </w:rPr>
            </w:pPr>
          </w:p>
        </w:tc>
        <w:tc>
          <w:tcPr>
            <w:tcW w:w="0" w:type="auto"/>
            <w:shd w:val="clear" w:color="auto" w:fill="auto"/>
          </w:tcPr>
          <w:p w14:paraId="33DA900C" w14:textId="77777777" w:rsidR="004D6A64" w:rsidRDefault="004D6A64">
            <w:pPr>
              <w:rPr>
                <w:rFonts w:ascii="宋体"/>
              </w:rPr>
            </w:pPr>
          </w:p>
        </w:tc>
        <w:tc>
          <w:tcPr>
            <w:tcW w:w="0" w:type="auto"/>
            <w:shd w:val="clear" w:color="auto" w:fill="auto"/>
          </w:tcPr>
          <w:p w14:paraId="33DA900D" w14:textId="77777777" w:rsidR="004D6A64" w:rsidRDefault="004D6A64">
            <w:pPr>
              <w:rPr>
                <w:rFonts w:ascii="宋体"/>
              </w:rPr>
            </w:pPr>
          </w:p>
        </w:tc>
        <w:tc>
          <w:tcPr>
            <w:tcW w:w="0" w:type="auto"/>
            <w:shd w:val="clear" w:color="auto" w:fill="auto"/>
          </w:tcPr>
          <w:p w14:paraId="33DA900E" w14:textId="77777777" w:rsidR="004D6A64" w:rsidRDefault="004D6A64">
            <w:pPr>
              <w:rPr>
                <w:rFonts w:ascii="宋体"/>
              </w:rPr>
            </w:pPr>
          </w:p>
        </w:tc>
        <w:tc>
          <w:tcPr>
            <w:tcW w:w="0" w:type="auto"/>
            <w:shd w:val="clear" w:color="auto" w:fill="auto"/>
          </w:tcPr>
          <w:p w14:paraId="33DA900F" w14:textId="77777777" w:rsidR="004D6A64" w:rsidRDefault="004D6A64">
            <w:pPr>
              <w:rPr>
                <w:rFonts w:ascii="宋体"/>
              </w:rPr>
            </w:pPr>
          </w:p>
        </w:tc>
        <w:tc>
          <w:tcPr>
            <w:tcW w:w="0" w:type="auto"/>
            <w:shd w:val="clear" w:color="auto" w:fill="auto"/>
          </w:tcPr>
          <w:p w14:paraId="33DA9010" w14:textId="77777777" w:rsidR="004D6A64" w:rsidRDefault="004D6A64">
            <w:pPr>
              <w:rPr>
                <w:rFonts w:ascii="宋体"/>
              </w:rPr>
            </w:pPr>
          </w:p>
        </w:tc>
        <w:tc>
          <w:tcPr>
            <w:tcW w:w="0" w:type="auto"/>
            <w:shd w:val="clear" w:color="auto" w:fill="auto"/>
          </w:tcPr>
          <w:p w14:paraId="33DA9011" w14:textId="77777777" w:rsidR="004D6A64" w:rsidRDefault="004D6A64">
            <w:pPr>
              <w:rPr>
                <w:rFonts w:ascii="宋体"/>
              </w:rPr>
            </w:pPr>
          </w:p>
        </w:tc>
        <w:tc>
          <w:tcPr>
            <w:tcW w:w="0" w:type="auto"/>
            <w:shd w:val="clear" w:color="auto" w:fill="auto"/>
          </w:tcPr>
          <w:p w14:paraId="33DA9012" w14:textId="77777777" w:rsidR="004D6A64" w:rsidRDefault="004D6A64">
            <w:pPr>
              <w:rPr>
                <w:rFonts w:ascii="宋体"/>
              </w:rPr>
            </w:pPr>
          </w:p>
        </w:tc>
        <w:tc>
          <w:tcPr>
            <w:tcW w:w="0" w:type="auto"/>
            <w:shd w:val="clear" w:color="auto" w:fill="auto"/>
          </w:tcPr>
          <w:p w14:paraId="33DA9013" w14:textId="77777777" w:rsidR="004D6A64" w:rsidRDefault="004D6A64">
            <w:pPr>
              <w:rPr>
                <w:rFonts w:ascii="宋体"/>
              </w:rPr>
            </w:pPr>
          </w:p>
        </w:tc>
        <w:tc>
          <w:tcPr>
            <w:tcW w:w="0" w:type="auto"/>
            <w:shd w:val="clear" w:color="auto" w:fill="auto"/>
          </w:tcPr>
          <w:p w14:paraId="33DA9014" w14:textId="77777777" w:rsidR="004D6A64" w:rsidRDefault="004D6A64">
            <w:pPr>
              <w:rPr>
                <w:rFonts w:ascii="宋体"/>
              </w:rPr>
            </w:pPr>
          </w:p>
        </w:tc>
      </w:tr>
      <w:tr w:rsidR="004D6A64" w14:paraId="33DA9025" w14:textId="77777777">
        <w:trPr>
          <w:jc w:val="center"/>
        </w:trPr>
        <w:tc>
          <w:tcPr>
            <w:tcW w:w="0" w:type="auto"/>
            <w:gridSpan w:val="3"/>
            <w:shd w:val="clear" w:color="auto" w:fill="CCEEFF"/>
            <w:tcMar>
              <w:top w:w="40" w:type="dxa"/>
              <w:left w:w="20" w:type="dxa"/>
              <w:bottom w:w="40" w:type="dxa"/>
              <w:right w:w="20" w:type="dxa"/>
            </w:tcMar>
            <w:vAlign w:val="center"/>
          </w:tcPr>
          <w:p w14:paraId="33DA9016"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Common stock and capital in excess of $0.01 par value (Note 14)</w:t>
            </w:r>
          </w:p>
        </w:tc>
        <w:tc>
          <w:tcPr>
            <w:tcW w:w="0" w:type="auto"/>
            <w:gridSpan w:val="2"/>
            <w:shd w:val="clear" w:color="auto" w:fill="CCEEFF"/>
            <w:tcMar>
              <w:top w:w="40" w:type="dxa"/>
              <w:left w:w="20" w:type="dxa"/>
              <w:bottom w:w="40" w:type="dxa"/>
              <w:right w:w="0" w:type="dxa"/>
            </w:tcMar>
            <w:vAlign w:val="center"/>
          </w:tcPr>
          <w:p w14:paraId="33DA9017" w14:textId="77777777" w:rsidR="004D6A64" w:rsidRDefault="00506CD6">
            <w:pPr>
              <w:jc w:val="right"/>
              <w:textAlignment w:val="center"/>
            </w:pPr>
            <w:r>
              <w:rPr>
                <w:rFonts w:ascii="Times New Roman" w:eastAsia="宋体" w:hAnsi="Times New Roman"/>
                <w:color w:val="000000"/>
                <w:sz w:val="20"/>
                <w:szCs w:val="20"/>
              </w:rPr>
              <w:t>16,356 </w:t>
            </w:r>
          </w:p>
        </w:tc>
        <w:tc>
          <w:tcPr>
            <w:tcW w:w="0" w:type="auto"/>
            <w:shd w:val="clear" w:color="auto" w:fill="CCEEFF"/>
            <w:tcMar>
              <w:top w:w="40" w:type="dxa"/>
              <w:bottom w:w="40" w:type="dxa"/>
              <w:right w:w="20" w:type="dxa"/>
            </w:tcMar>
            <w:vAlign w:val="center"/>
          </w:tcPr>
          <w:p w14:paraId="33DA901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01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901A" w14:textId="77777777" w:rsidR="004D6A64" w:rsidRDefault="00506CD6">
            <w:pPr>
              <w:jc w:val="right"/>
              <w:textAlignment w:val="center"/>
            </w:pPr>
            <w:r>
              <w:rPr>
                <w:rFonts w:ascii="Times New Roman" w:eastAsia="宋体" w:hAnsi="Times New Roman"/>
                <w:color w:val="000000"/>
                <w:sz w:val="20"/>
                <w:szCs w:val="20"/>
              </w:rPr>
              <w:t>16,091 </w:t>
            </w:r>
          </w:p>
        </w:tc>
        <w:tc>
          <w:tcPr>
            <w:tcW w:w="0" w:type="auto"/>
            <w:shd w:val="clear" w:color="auto" w:fill="CCEEFF"/>
            <w:tcMar>
              <w:top w:w="40" w:type="dxa"/>
              <w:bottom w:w="40" w:type="dxa"/>
              <w:right w:w="20" w:type="dxa"/>
            </w:tcMar>
            <w:vAlign w:val="center"/>
          </w:tcPr>
          <w:p w14:paraId="33DA901B" w14:textId="77777777" w:rsidR="004D6A64" w:rsidRDefault="004D6A64">
            <w:pPr>
              <w:jc w:val="right"/>
              <w:rPr>
                <w:rFonts w:ascii="宋体"/>
              </w:rPr>
            </w:pPr>
          </w:p>
        </w:tc>
        <w:tc>
          <w:tcPr>
            <w:tcW w:w="0" w:type="auto"/>
            <w:shd w:val="clear" w:color="auto" w:fill="auto"/>
          </w:tcPr>
          <w:p w14:paraId="33DA901C" w14:textId="77777777" w:rsidR="004D6A64" w:rsidRDefault="004D6A64">
            <w:pPr>
              <w:rPr>
                <w:rFonts w:ascii="宋体"/>
              </w:rPr>
            </w:pPr>
          </w:p>
        </w:tc>
        <w:tc>
          <w:tcPr>
            <w:tcW w:w="0" w:type="auto"/>
            <w:shd w:val="clear" w:color="auto" w:fill="auto"/>
          </w:tcPr>
          <w:p w14:paraId="33DA901D" w14:textId="77777777" w:rsidR="004D6A64" w:rsidRDefault="004D6A64">
            <w:pPr>
              <w:rPr>
                <w:rFonts w:ascii="宋体"/>
              </w:rPr>
            </w:pPr>
          </w:p>
        </w:tc>
        <w:tc>
          <w:tcPr>
            <w:tcW w:w="0" w:type="auto"/>
            <w:shd w:val="clear" w:color="auto" w:fill="auto"/>
          </w:tcPr>
          <w:p w14:paraId="33DA901E" w14:textId="77777777" w:rsidR="004D6A64" w:rsidRDefault="004D6A64">
            <w:pPr>
              <w:rPr>
                <w:rFonts w:ascii="宋体"/>
              </w:rPr>
            </w:pPr>
          </w:p>
        </w:tc>
        <w:tc>
          <w:tcPr>
            <w:tcW w:w="0" w:type="auto"/>
            <w:shd w:val="clear" w:color="auto" w:fill="auto"/>
          </w:tcPr>
          <w:p w14:paraId="33DA901F" w14:textId="77777777" w:rsidR="004D6A64" w:rsidRDefault="004D6A64">
            <w:pPr>
              <w:rPr>
                <w:rFonts w:ascii="宋体"/>
              </w:rPr>
            </w:pPr>
          </w:p>
        </w:tc>
        <w:tc>
          <w:tcPr>
            <w:tcW w:w="0" w:type="auto"/>
            <w:shd w:val="clear" w:color="auto" w:fill="auto"/>
          </w:tcPr>
          <w:p w14:paraId="33DA9020" w14:textId="77777777" w:rsidR="004D6A64" w:rsidRDefault="004D6A64">
            <w:pPr>
              <w:rPr>
                <w:rFonts w:ascii="宋体"/>
              </w:rPr>
            </w:pPr>
          </w:p>
        </w:tc>
        <w:tc>
          <w:tcPr>
            <w:tcW w:w="0" w:type="auto"/>
            <w:shd w:val="clear" w:color="auto" w:fill="auto"/>
          </w:tcPr>
          <w:p w14:paraId="33DA9021" w14:textId="77777777" w:rsidR="004D6A64" w:rsidRDefault="004D6A64">
            <w:pPr>
              <w:rPr>
                <w:rFonts w:ascii="宋体"/>
              </w:rPr>
            </w:pPr>
          </w:p>
        </w:tc>
        <w:tc>
          <w:tcPr>
            <w:tcW w:w="0" w:type="auto"/>
            <w:shd w:val="clear" w:color="auto" w:fill="auto"/>
          </w:tcPr>
          <w:p w14:paraId="33DA9022" w14:textId="77777777" w:rsidR="004D6A64" w:rsidRDefault="004D6A64">
            <w:pPr>
              <w:rPr>
                <w:rFonts w:ascii="宋体"/>
              </w:rPr>
            </w:pPr>
          </w:p>
        </w:tc>
        <w:tc>
          <w:tcPr>
            <w:tcW w:w="0" w:type="auto"/>
            <w:shd w:val="clear" w:color="auto" w:fill="auto"/>
          </w:tcPr>
          <w:p w14:paraId="33DA9023" w14:textId="77777777" w:rsidR="004D6A64" w:rsidRDefault="004D6A64">
            <w:pPr>
              <w:rPr>
                <w:rFonts w:ascii="宋体"/>
              </w:rPr>
            </w:pPr>
          </w:p>
        </w:tc>
        <w:tc>
          <w:tcPr>
            <w:tcW w:w="0" w:type="auto"/>
            <w:shd w:val="clear" w:color="auto" w:fill="auto"/>
          </w:tcPr>
          <w:p w14:paraId="33DA9024" w14:textId="77777777" w:rsidR="004D6A64" w:rsidRDefault="004D6A64">
            <w:pPr>
              <w:rPr>
                <w:rFonts w:ascii="宋体"/>
              </w:rPr>
            </w:pPr>
          </w:p>
        </w:tc>
      </w:tr>
      <w:tr w:rsidR="004D6A64" w14:paraId="33DA9035" w14:textId="77777777">
        <w:trPr>
          <w:jc w:val="center"/>
        </w:trPr>
        <w:tc>
          <w:tcPr>
            <w:tcW w:w="0" w:type="auto"/>
            <w:gridSpan w:val="3"/>
            <w:shd w:val="clear" w:color="auto" w:fill="FFFFFF"/>
            <w:tcMar>
              <w:top w:w="40" w:type="dxa"/>
              <w:left w:w="20" w:type="dxa"/>
              <w:bottom w:w="40" w:type="dxa"/>
              <w:right w:w="20" w:type="dxa"/>
            </w:tcMar>
            <w:vAlign w:val="center"/>
          </w:tcPr>
          <w:p w14:paraId="33DA9026" w14:textId="77777777" w:rsidR="004D6A64" w:rsidRDefault="00506CD6">
            <w:pPr>
              <w:textAlignment w:val="center"/>
            </w:pPr>
            <w:r>
              <w:rPr>
                <w:rFonts w:ascii="Times New Roman" w:eastAsia="宋体" w:hAnsi="Times New Roman"/>
                <w:color w:val="000000"/>
                <w:sz w:val="20"/>
                <w:szCs w:val="20"/>
              </w:rPr>
              <w:t>Treasury stock at cost</w:t>
            </w:r>
          </w:p>
        </w:tc>
        <w:tc>
          <w:tcPr>
            <w:tcW w:w="0" w:type="auto"/>
            <w:gridSpan w:val="2"/>
            <w:shd w:val="clear" w:color="auto" w:fill="FFFFFF"/>
            <w:tcMar>
              <w:top w:w="40" w:type="dxa"/>
              <w:left w:w="20" w:type="dxa"/>
              <w:bottom w:w="40" w:type="dxa"/>
              <w:right w:w="0" w:type="dxa"/>
            </w:tcMar>
            <w:vAlign w:val="center"/>
          </w:tcPr>
          <w:p w14:paraId="33DA9027" w14:textId="77777777" w:rsidR="004D6A64" w:rsidRDefault="00506CD6">
            <w:pPr>
              <w:jc w:val="right"/>
              <w:textAlignment w:val="center"/>
            </w:pPr>
            <w:r>
              <w:rPr>
                <w:rFonts w:ascii="Times New Roman" w:eastAsia="宋体" w:hAnsi="Times New Roman"/>
                <w:color w:val="000000"/>
                <w:sz w:val="20"/>
                <w:szCs w:val="20"/>
              </w:rPr>
              <w:t>(305)</w:t>
            </w:r>
          </w:p>
        </w:tc>
        <w:tc>
          <w:tcPr>
            <w:tcW w:w="0" w:type="auto"/>
            <w:shd w:val="clear" w:color="auto" w:fill="FFFFFF"/>
            <w:tcMar>
              <w:top w:w="40" w:type="dxa"/>
              <w:bottom w:w="40" w:type="dxa"/>
              <w:right w:w="20" w:type="dxa"/>
            </w:tcMar>
            <w:vAlign w:val="center"/>
          </w:tcPr>
          <w:p w14:paraId="33DA902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029"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902A" w14:textId="77777777" w:rsidR="004D6A64" w:rsidRDefault="00506CD6">
            <w:pPr>
              <w:jc w:val="right"/>
              <w:textAlignment w:val="center"/>
            </w:pPr>
            <w:r>
              <w:rPr>
                <w:rFonts w:ascii="Times New Roman" w:eastAsia="宋体" w:hAnsi="Times New Roman"/>
                <w:color w:val="000000"/>
                <w:sz w:val="20"/>
                <w:szCs w:val="20"/>
              </w:rPr>
              <w:t>(65)</w:t>
            </w:r>
          </w:p>
        </w:tc>
        <w:tc>
          <w:tcPr>
            <w:tcW w:w="0" w:type="auto"/>
            <w:shd w:val="clear" w:color="auto" w:fill="FFFFFF"/>
            <w:tcMar>
              <w:top w:w="40" w:type="dxa"/>
              <w:bottom w:w="40" w:type="dxa"/>
              <w:right w:w="20" w:type="dxa"/>
            </w:tcMar>
            <w:vAlign w:val="center"/>
          </w:tcPr>
          <w:p w14:paraId="33DA902B" w14:textId="77777777" w:rsidR="004D6A64" w:rsidRDefault="004D6A64">
            <w:pPr>
              <w:jc w:val="right"/>
              <w:rPr>
                <w:rFonts w:ascii="宋体"/>
              </w:rPr>
            </w:pPr>
          </w:p>
        </w:tc>
        <w:tc>
          <w:tcPr>
            <w:tcW w:w="0" w:type="auto"/>
            <w:shd w:val="clear" w:color="auto" w:fill="auto"/>
          </w:tcPr>
          <w:p w14:paraId="33DA902C" w14:textId="77777777" w:rsidR="004D6A64" w:rsidRDefault="004D6A64">
            <w:pPr>
              <w:rPr>
                <w:rFonts w:ascii="宋体"/>
              </w:rPr>
            </w:pPr>
          </w:p>
        </w:tc>
        <w:tc>
          <w:tcPr>
            <w:tcW w:w="0" w:type="auto"/>
            <w:shd w:val="clear" w:color="auto" w:fill="auto"/>
          </w:tcPr>
          <w:p w14:paraId="33DA902D" w14:textId="77777777" w:rsidR="004D6A64" w:rsidRDefault="004D6A64">
            <w:pPr>
              <w:rPr>
                <w:rFonts w:ascii="宋体"/>
              </w:rPr>
            </w:pPr>
          </w:p>
        </w:tc>
        <w:tc>
          <w:tcPr>
            <w:tcW w:w="0" w:type="auto"/>
            <w:shd w:val="clear" w:color="auto" w:fill="auto"/>
          </w:tcPr>
          <w:p w14:paraId="33DA902E" w14:textId="77777777" w:rsidR="004D6A64" w:rsidRDefault="004D6A64">
            <w:pPr>
              <w:rPr>
                <w:rFonts w:ascii="宋体"/>
              </w:rPr>
            </w:pPr>
          </w:p>
        </w:tc>
        <w:tc>
          <w:tcPr>
            <w:tcW w:w="0" w:type="auto"/>
            <w:shd w:val="clear" w:color="auto" w:fill="auto"/>
          </w:tcPr>
          <w:p w14:paraId="33DA902F" w14:textId="77777777" w:rsidR="004D6A64" w:rsidRDefault="004D6A64">
            <w:pPr>
              <w:rPr>
                <w:rFonts w:ascii="宋体"/>
              </w:rPr>
            </w:pPr>
          </w:p>
        </w:tc>
        <w:tc>
          <w:tcPr>
            <w:tcW w:w="0" w:type="auto"/>
            <w:shd w:val="clear" w:color="auto" w:fill="auto"/>
          </w:tcPr>
          <w:p w14:paraId="33DA9030" w14:textId="77777777" w:rsidR="004D6A64" w:rsidRDefault="004D6A64">
            <w:pPr>
              <w:rPr>
                <w:rFonts w:ascii="宋体"/>
              </w:rPr>
            </w:pPr>
          </w:p>
        </w:tc>
        <w:tc>
          <w:tcPr>
            <w:tcW w:w="0" w:type="auto"/>
            <w:shd w:val="clear" w:color="auto" w:fill="auto"/>
          </w:tcPr>
          <w:p w14:paraId="33DA9031" w14:textId="77777777" w:rsidR="004D6A64" w:rsidRDefault="004D6A64">
            <w:pPr>
              <w:rPr>
                <w:rFonts w:ascii="宋体"/>
              </w:rPr>
            </w:pPr>
          </w:p>
        </w:tc>
        <w:tc>
          <w:tcPr>
            <w:tcW w:w="0" w:type="auto"/>
            <w:shd w:val="clear" w:color="auto" w:fill="auto"/>
          </w:tcPr>
          <w:p w14:paraId="33DA9032" w14:textId="77777777" w:rsidR="004D6A64" w:rsidRDefault="004D6A64">
            <w:pPr>
              <w:rPr>
                <w:rFonts w:ascii="宋体"/>
              </w:rPr>
            </w:pPr>
          </w:p>
        </w:tc>
        <w:tc>
          <w:tcPr>
            <w:tcW w:w="0" w:type="auto"/>
            <w:shd w:val="clear" w:color="auto" w:fill="auto"/>
          </w:tcPr>
          <w:p w14:paraId="33DA9033" w14:textId="77777777" w:rsidR="004D6A64" w:rsidRDefault="004D6A64">
            <w:pPr>
              <w:rPr>
                <w:rFonts w:ascii="宋体"/>
              </w:rPr>
            </w:pPr>
          </w:p>
        </w:tc>
        <w:tc>
          <w:tcPr>
            <w:tcW w:w="0" w:type="auto"/>
            <w:shd w:val="clear" w:color="auto" w:fill="auto"/>
          </w:tcPr>
          <w:p w14:paraId="33DA9034" w14:textId="77777777" w:rsidR="004D6A64" w:rsidRDefault="004D6A64">
            <w:pPr>
              <w:rPr>
                <w:rFonts w:ascii="宋体"/>
              </w:rPr>
            </w:pPr>
          </w:p>
        </w:tc>
      </w:tr>
      <w:tr w:rsidR="004D6A64" w14:paraId="33DA9045" w14:textId="77777777">
        <w:trPr>
          <w:jc w:val="center"/>
        </w:trPr>
        <w:tc>
          <w:tcPr>
            <w:tcW w:w="0" w:type="auto"/>
            <w:gridSpan w:val="3"/>
            <w:shd w:val="clear" w:color="auto" w:fill="CCEEFF"/>
            <w:tcMar>
              <w:top w:w="40" w:type="dxa"/>
              <w:left w:w="20" w:type="dxa"/>
              <w:bottom w:w="40" w:type="dxa"/>
              <w:right w:w="20" w:type="dxa"/>
            </w:tcMar>
            <w:vAlign w:val="center"/>
          </w:tcPr>
          <w:p w14:paraId="33DA9036" w14:textId="77777777" w:rsidR="004D6A64" w:rsidRDefault="00506CD6">
            <w:pPr>
              <w:textAlignment w:val="center"/>
            </w:pPr>
            <w:r>
              <w:rPr>
                <w:rFonts w:ascii="Times New Roman" w:eastAsia="宋体" w:hAnsi="Times New Roman"/>
                <w:color w:val="000000"/>
                <w:sz w:val="20"/>
                <w:szCs w:val="20"/>
              </w:rPr>
              <w:t>Accumulated deficit</w:t>
            </w:r>
          </w:p>
        </w:tc>
        <w:tc>
          <w:tcPr>
            <w:tcW w:w="0" w:type="auto"/>
            <w:gridSpan w:val="2"/>
            <w:shd w:val="clear" w:color="auto" w:fill="CCEEFF"/>
            <w:tcMar>
              <w:top w:w="40" w:type="dxa"/>
              <w:left w:w="20" w:type="dxa"/>
              <w:bottom w:w="40" w:type="dxa"/>
              <w:right w:w="0" w:type="dxa"/>
            </w:tcMar>
            <w:vAlign w:val="center"/>
          </w:tcPr>
          <w:p w14:paraId="33DA9037" w14:textId="77777777" w:rsidR="004D6A64" w:rsidRDefault="00506CD6">
            <w:pPr>
              <w:jc w:val="right"/>
              <w:textAlignment w:val="center"/>
            </w:pPr>
            <w:r>
              <w:rPr>
                <w:rFonts w:ascii="Times New Roman" w:eastAsia="宋体" w:hAnsi="Times New Roman"/>
                <w:color w:val="000000"/>
                <w:sz w:val="20"/>
                <w:szCs w:val="20"/>
              </w:rPr>
              <w:t>(15,810)</w:t>
            </w:r>
          </w:p>
        </w:tc>
        <w:tc>
          <w:tcPr>
            <w:tcW w:w="0" w:type="auto"/>
            <w:shd w:val="clear" w:color="auto" w:fill="CCEEFF"/>
            <w:tcMar>
              <w:top w:w="40" w:type="dxa"/>
              <w:bottom w:w="40" w:type="dxa"/>
              <w:right w:w="20" w:type="dxa"/>
            </w:tcMar>
            <w:vAlign w:val="center"/>
          </w:tcPr>
          <w:p w14:paraId="33DA903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03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903A" w14:textId="77777777" w:rsidR="004D6A64" w:rsidRDefault="00506CD6">
            <w:pPr>
              <w:jc w:val="right"/>
              <w:textAlignment w:val="center"/>
            </w:pPr>
            <w:r>
              <w:rPr>
                <w:rFonts w:ascii="Times New Roman" w:eastAsia="宋体" w:hAnsi="Times New Roman"/>
                <w:color w:val="000000"/>
                <w:sz w:val="20"/>
                <w:szCs w:val="20"/>
              </w:rPr>
              <w:t>(16,891)</w:t>
            </w:r>
          </w:p>
        </w:tc>
        <w:tc>
          <w:tcPr>
            <w:tcW w:w="0" w:type="auto"/>
            <w:shd w:val="clear" w:color="auto" w:fill="CCEEFF"/>
            <w:tcMar>
              <w:top w:w="40" w:type="dxa"/>
              <w:bottom w:w="40" w:type="dxa"/>
              <w:right w:w="20" w:type="dxa"/>
            </w:tcMar>
            <w:vAlign w:val="center"/>
          </w:tcPr>
          <w:p w14:paraId="33DA903B" w14:textId="77777777" w:rsidR="004D6A64" w:rsidRDefault="004D6A64">
            <w:pPr>
              <w:jc w:val="right"/>
              <w:rPr>
                <w:rFonts w:ascii="宋体"/>
              </w:rPr>
            </w:pPr>
          </w:p>
        </w:tc>
        <w:tc>
          <w:tcPr>
            <w:tcW w:w="0" w:type="auto"/>
            <w:shd w:val="clear" w:color="auto" w:fill="auto"/>
          </w:tcPr>
          <w:p w14:paraId="33DA903C" w14:textId="77777777" w:rsidR="004D6A64" w:rsidRDefault="004D6A64">
            <w:pPr>
              <w:rPr>
                <w:rFonts w:ascii="宋体"/>
              </w:rPr>
            </w:pPr>
          </w:p>
        </w:tc>
        <w:tc>
          <w:tcPr>
            <w:tcW w:w="0" w:type="auto"/>
            <w:shd w:val="clear" w:color="auto" w:fill="auto"/>
          </w:tcPr>
          <w:p w14:paraId="33DA903D" w14:textId="77777777" w:rsidR="004D6A64" w:rsidRDefault="004D6A64">
            <w:pPr>
              <w:rPr>
                <w:rFonts w:ascii="宋体"/>
              </w:rPr>
            </w:pPr>
          </w:p>
        </w:tc>
        <w:tc>
          <w:tcPr>
            <w:tcW w:w="0" w:type="auto"/>
            <w:shd w:val="clear" w:color="auto" w:fill="auto"/>
          </w:tcPr>
          <w:p w14:paraId="33DA903E" w14:textId="77777777" w:rsidR="004D6A64" w:rsidRDefault="004D6A64">
            <w:pPr>
              <w:rPr>
                <w:rFonts w:ascii="宋体"/>
              </w:rPr>
            </w:pPr>
          </w:p>
        </w:tc>
        <w:tc>
          <w:tcPr>
            <w:tcW w:w="0" w:type="auto"/>
            <w:shd w:val="clear" w:color="auto" w:fill="auto"/>
          </w:tcPr>
          <w:p w14:paraId="33DA903F" w14:textId="77777777" w:rsidR="004D6A64" w:rsidRDefault="004D6A64">
            <w:pPr>
              <w:rPr>
                <w:rFonts w:ascii="宋体"/>
              </w:rPr>
            </w:pPr>
          </w:p>
        </w:tc>
        <w:tc>
          <w:tcPr>
            <w:tcW w:w="0" w:type="auto"/>
            <w:shd w:val="clear" w:color="auto" w:fill="auto"/>
          </w:tcPr>
          <w:p w14:paraId="33DA9040" w14:textId="77777777" w:rsidR="004D6A64" w:rsidRDefault="004D6A64">
            <w:pPr>
              <w:rPr>
                <w:rFonts w:ascii="宋体"/>
              </w:rPr>
            </w:pPr>
          </w:p>
        </w:tc>
        <w:tc>
          <w:tcPr>
            <w:tcW w:w="0" w:type="auto"/>
            <w:shd w:val="clear" w:color="auto" w:fill="auto"/>
          </w:tcPr>
          <w:p w14:paraId="33DA9041" w14:textId="77777777" w:rsidR="004D6A64" w:rsidRDefault="004D6A64">
            <w:pPr>
              <w:rPr>
                <w:rFonts w:ascii="宋体"/>
              </w:rPr>
            </w:pPr>
          </w:p>
        </w:tc>
        <w:tc>
          <w:tcPr>
            <w:tcW w:w="0" w:type="auto"/>
            <w:shd w:val="clear" w:color="auto" w:fill="auto"/>
          </w:tcPr>
          <w:p w14:paraId="33DA9042" w14:textId="77777777" w:rsidR="004D6A64" w:rsidRDefault="004D6A64">
            <w:pPr>
              <w:rPr>
                <w:rFonts w:ascii="宋体"/>
              </w:rPr>
            </w:pPr>
          </w:p>
        </w:tc>
        <w:tc>
          <w:tcPr>
            <w:tcW w:w="0" w:type="auto"/>
            <w:shd w:val="clear" w:color="auto" w:fill="auto"/>
          </w:tcPr>
          <w:p w14:paraId="33DA9043" w14:textId="77777777" w:rsidR="004D6A64" w:rsidRDefault="004D6A64">
            <w:pPr>
              <w:rPr>
                <w:rFonts w:ascii="宋体"/>
              </w:rPr>
            </w:pPr>
          </w:p>
        </w:tc>
        <w:tc>
          <w:tcPr>
            <w:tcW w:w="0" w:type="auto"/>
            <w:shd w:val="clear" w:color="auto" w:fill="auto"/>
          </w:tcPr>
          <w:p w14:paraId="33DA9044" w14:textId="77777777" w:rsidR="004D6A64" w:rsidRDefault="004D6A64">
            <w:pPr>
              <w:rPr>
                <w:rFonts w:ascii="宋体"/>
              </w:rPr>
            </w:pPr>
          </w:p>
        </w:tc>
      </w:tr>
      <w:tr w:rsidR="004D6A64" w14:paraId="33DA9055" w14:textId="77777777">
        <w:trPr>
          <w:jc w:val="center"/>
        </w:trPr>
        <w:tc>
          <w:tcPr>
            <w:tcW w:w="0" w:type="auto"/>
            <w:gridSpan w:val="3"/>
            <w:shd w:val="clear" w:color="auto" w:fill="FFFFFF"/>
            <w:tcMar>
              <w:top w:w="40" w:type="dxa"/>
              <w:left w:w="20" w:type="dxa"/>
              <w:bottom w:w="40" w:type="dxa"/>
              <w:right w:w="20" w:type="dxa"/>
            </w:tcMar>
            <w:vAlign w:val="center"/>
          </w:tcPr>
          <w:p w14:paraId="33DA9046" w14:textId="77777777" w:rsidR="004D6A64" w:rsidRDefault="00506CD6">
            <w:pPr>
              <w:textAlignment w:val="center"/>
            </w:pPr>
            <w:r>
              <w:rPr>
                <w:rFonts w:ascii="Times New Roman" w:eastAsia="宋体" w:hAnsi="Times New Roman"/>
                <w:color w:val="000000"/>
                <w:sz w:val="20"/>
                <w:szCs w:val="20"/>
              </w:rPr>
              <w:t xml:space="preserve">Accumulated other </w:t>
            </w:r>
            <w:r>
              <w:rPr>
                <w:rFonts w:ascii="Times New Roman" w:eastAsia="宋体" w:hAnsi="Times New Roman"/>
                <w:color w:val="000000"/>
                <w:sz w:val="20"/>
                <w:szCs w:val="20"/>
              </w:rPr>
              <w:t>comprehensive loss</w:t>
            </w:r>
          </w:p>
        </w:tc>
        <w:tc>
          <w:tcPr>
            <w:tcW w:w="0" w:type="auto"/>
            <w:gridSpan w:val="2"/>
            <w:shd w:val="clear" w:color="auto" w:fill="FFFFFF"/>
            <w:tcMar>
              <w:top w:w="40" w:type="dxa"/>
              <w:left w:w="20" w:type="dxa"/>
              <w:bottom w:w="40" w:type="dxa"/>
              <w:right w:w="0" w:type="dxa"/>
            </w:tcMar>
            <w:vAlign w:val="center"/>
          </w:tcPr>
          <w:p w14:paraId="33DA9047" w14:textId="77777777" w:rsidR="004D6A64" w:rsidRDefault="00506CD6">
            <w:pPr>
              <w:jc w:val="right"/>
              <w:textAlignment w:val="center"/>
            </w:pPr>
            <w:r>
              <w:rPr>
                <w:rFonts w:ascii="Times New Roman" w:eastAsia="宋体" w:hAnsi="Times New Roman"/>
                <w:color w:val="000000"/>
                <w:sz w:val="20"/>
                <w:szCs w:val="20"/>
              </w:rPr>
              <w:t>(660)</w:t>
            </w:r>
          </w:p>
        </w:tc>
        <w:tc>
          <w:tcPr>
            <w:tcW w:w="0" w:type="auto"/>
            <w:shd w:val="clear" w:color="auto" w:fill="FFFFFF"/>
            <w:tcMar>
              <w:top w:w="40" w:type="dxa"/>
              <w:bottom w:w="40" w:type="dxa"/>
              <w:right w:w="20" w:type="dxa"/>
            </w:tcMar>
            <w:vAlign w:val="center"/>
          </w:tcPr>
          <w:p w14:paraId="33DA904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049"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904A" w14:textId="77777777" w:rsidR="004D6A64" w:rsidRDefault="00506CD6">
            <w:pPr>
              <w:jc w:val="right"/>
              <w:textAlignment w:val="center"/>
            </w:pPr>
            <w:r>
              <w:rPr>
                <w:rFonts w:ascii="Times New Roman" w:eastAsia="宋体" w:hAnsi="Times New Roman"/>
                <w:color w:val="000000"/>
                <w:sz w:val="20"/>
                <w:szCs w:val="20"/>
              </w:rPr>
              <w:t>(709)</w:t>
            </w:r>
          </w:p>
        </w:tc>
        <w:tc>
          <w:tcPr>
            <w:tcW w:w="0" w:type="auto"/>
            <w:shd w:val="clear" w:color="auto" w:fill="FFFFFF"/>
            <w:tcMar>
              <w:top w:w="40" w:type="dxa"/>
              <w:bottom w:w="40" w:type="dxa"/>
              <w:right w:w="20" w:type="dxa"/>
            </w:tcMar>
            <w:vAlign w:val="center"/>
          </w:tcPr>
          <w:p w14:paraId="33DA904B" w14:textId="77777777" w:rsidR="004D6A64" w:rsidRDefault="004D6A64">
            <w:pPr>
              <w:jc w:val="right"/>
              <w:rPr>
                <w:rFonts w:ascii="宋体"/>
              </w:rPr>
            </w:pPr>
          </w:p>
        </w:tc>
        <w:tc>
          <w:tcPr>
            <w:tcW w:w="0" w:type="auto"/>
            <w:shd w:val="clear" w:color="auto" w:fill="auto"/>
          </w:tcPr>
          <w:p w14:paraId="33DA904C" w14:textId="77777777" w:rsidR="004D6A64" w:rsidRDefault="004D6A64">
            <w:pPr>
              <w:rPr>
                <w:rFonts w:ascii="宋体"/>
              </w:rPr>
            </w:pPr>
          </w:p>
        </w:tc>
        <w:tc>
          <w:tcPr>
            <w:tcW w:w="0" w:type="auto"/>
            <w:shd w:val="clear" w:color="auto" w:fill="auto"/>
          </w:tcPr>
          <w:p w14:paraId="33DA904D" w14:textId="77777777" w:rsidR="004D6A64" w:rsidRDefault="004D6A64">
            <w:pPr>
              <w:rPr>
                <w:rFonts w:ascii="宋体"/>
              </w:rPr>
            </w:pPr>
          </w:p>
        </w:tc>
        <w:tc>
          <w:tcPr>
            <w:tcW w:w="0" w:type="auto"/>
            <w:shd w:val="clear" w:color="auto" w:fill="auto"/>
          </w:tcPr>
          <w:p w14:paraId="33DA904E" w14:textId="77777777" w:rsidR="004D6A64" w:rsidRDefault="004D6A64">
            <w:pPr>
              <w:rPr>
                <w:rFonts w:ascii="宋体"/>
              </w:rPr>
            </w:pPr>
          </w:p>
        </w:tc>
        <w:tc>
          <w:tcPr>
            <w:tcW w:w="0" w:type="auto"/>
            <w:shd w:val="clear" w:color="auto" w:fill="auto"/>
          </w:tcPr>
          <w:p w14:paraId="33DA904F" w14:textId="77777777" w:rsidR="004D6A64" w:rsidRDefault="004D6A64">
            <w:pPr>
              <w:rPr>
                <w:rFonts w:ascii="宋体"/>
              </w:rPr>
            </w:pPr>
          </w:p>
        </w:tc>
        <w:tc>
          <w:tcPr>
            <w:tcW w:w="0" w:type="auto"/>
            <w:shd w:val="clear" w:color="auto" w:fill="auto"/>
          </w:tcPr>
          <w:p w14:paraId="33DA9050" w14:textId="77777777" w:rsidR="004D6A64" w:rsidRDefault="004D6A64">
            <w:pPr>
              <w:rPr>
                <w:rFonts w:ascii="宋体"/>
              </w:rPr>
            </w:pPr>
          </w:p>
        </w:tc>
        <w:tc>
          <w:tcPr>
            <w:tcW w:w="0" w:type="auto"/>
            <w:shd w:val="clear" w:color="auto" w:fill="auto"/>
          </w:tcPr>
          <w:p w14:paraId="33DA9051" w14:textId="77777777" w:rsidR="004D6A64" w:rsidRDefault="004D6A64">
            <w:pPr>
              <w:rPr>
                <w:rFonts w:ascii="宋体"/>
              </w:rPr>
            </w:pPr>
          </w:p>
        </w:tc>
        <w:tc>
          <w:tcPr>
            <w:tcW w:w="0" w:type="auto"/>
            <w:shd w:val="clear" w:color="auto" w:fill="auto"/>
          </w:tcPr>
          <w:p w14:paraId="33DA9052" w14:textId="77777777" w:rsidR="004D6A64" w:rsidRDefault="004D6A64">
            <w:pPr>
              <w:rPr>
                <w:rFonts w:ascii="宋体"/>
              </w:rPr>
            </w:pPr>
          </w:p>
        </w:tc>
        <w:tc>
          <w:tcPr>
            <w:tcW w:w="0" w:type="auto"/>
            <w:shd w:val="clear" w:color="auto" w:fill="auto"/>
          </w:tcPr>
          <w:p w14:paraId="33DA9053" w14:textId="77777777" w:rsidR="004D6A64" w:rsidRDefault="004D6A64">
            <w:pPr>
              <w:rPr>
                <w:rFonts w:ascii="宋体"/>
              </w:rPr>
            </w:pPr>
          </w:p>
        </w:tc>
        <w:tc>
          <w:tcPr>
            <w:tcW w:w="0" w:type="auto"/>
            <w:shd w:val="clear" w:color="auto" w:fill="auto"/>
          </w:tcPr>
          <w:p w14:paraId="33DA9054" w14:textId="77777777" w:rsidR="004D6A64" w:rsidRDefault="004D6A64">
            <w:pPr>
              <w:rPr>
                <w:rFonts w:ascii="宋体"/>
              </w:rPr>
            </w:pPr>
          </w:p>
        </w:tc>
      </w:tr>
      <w:tr w:rsidR="004D6A64" w14:paraId="33DA9065" w14:textId="77777777">
        <w:trPr>
          <w:jc w:val="center"/>
        </w:trPr>
        <w:tc>
          <w:tcPr>
            <w:tcW w:w="0" w:type="auto"/>
            <w:gridSpan w:val="3"/>
            <w:shd w:val="clear" w:color="auto" w:fill="CCEEFF"/>
            <w:tcMar>
              <w:top w:w="40" w:type="dxa"/>
              <w:left w:w="360" w:type="dxa"/>
              <w:bottom w:w="40" w:type="dxa"/>
              <w:right w:w="20" w:type="dxa"/>
            </w:tcMar>
            <w:vAlign w:val="center"/>
          </w:tcPr>
          <w:p w14:paraId="33DA9056" w14:textId="77777777" w:rsidR="004D6A64" w:rsidRDefault="00506CD6">
            <w:pPr>
              <w:textAlignment w:val="center"/>
            </w:pPr>
            <w:r>
              <w:rPr>
                <w:rFonts w:ascii="Times New Roman" w:eastAsia="宋体" w:hAnsi="Times New Roman"/>
                <w:color w:val="000000"/>
                <w:sz w:val="20"/>
                <w:szCs w:val="20"/>
              </w:rPr>
              <w:t>Total Dell Technologies Inc. stockholders’ deficit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9057" w14:textId="77777777" w:rsidR="004D6A64" w:rsidRDefault="00506CD6">
            <w:pPr>
              <w:jc w:val="right"/>
              <w:textAlignment w:val="center"/>
            </w:pPr>
            <w:r>
              <w:rPr>
                <w:rFonts w:ascii="Times New Roman" w:eastAsia="宋体" w:hAnsi="Times New Roman"/>
                <w:color w:val="000000"/>
                <w:sz w:val="20"/>
                <w:szCs w:val="20"/>
              </w:rPr>
              <w:t>(419)</w:t>
            </w:r>
          </w:p>
        </w:tc>
        <w:tc>
          <w:tcPr>
            <w:tcW w:w="0" w:type="auto"/>
            <w:tcBorders>
              <w:top w:val="single" w:sz="8" w:space="0" w:color="000000"/>
            </w:tcBorders>
            <w:shd w:val="clear" w:color="auto" w:fill="CCEEFF"/>
            <w:tcMar>
              <w:top w:w="40" w:type="dxa"/>
              <w:bottom w:w="40" w:type="dxa"/>
              <w:right w:w="20" w:type="dxa"/>
            </w:tcMar>
            <w:vAlign w:val="center"/>
          </w:tcPr>
          <w:p w14:paraId="33DA905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059"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905A" w14:textId="77777777" w:rsidR="004D6A64" w:rsidRDefault="00506CD6">
            <w:pPr>
              <w:jc w:val="right"/>
              <w:textAlignment w:val="center"/>
            </w:pPr>
            <w:r>
              <w:rPr>
                <w:rFonts w:ascii="Times New Roman" w:eastAsia="宋体" w:hAnsi="Times New Roman"/>
                <w:color w:val="000000"/>
                <w:sz w:val="20"/>
                <w:szCs w:val="20"/>
              </w:rPr>
              <w:t>(1,574)</w:t>
            </w:r>
          </w:p>
        </w:tc>
        <w:tc>
          <w:tcPr>
            <w:tcW w:w="0" w:type="auto"/>
            <w:tcBorders>
              <w:top w:val="single" w:sz="8" w:space="0" w:color="000000"/>
            </w:tcBorders>
            <w:shd w:val="clear" w:color="auto" w:fill="CCEEFF"/>
            <w:tcMar>
              <w:top w:w="40" w:type="dxa"/>
              <w:bottom w:w="40" w:type="dxa"/>
              <w:right w:w="20" w:type="dxa"/>
            </w:tcMar>
            <w:vAlign w:val="center"/>
          </w:tcPr>
          <w:p w14:paraId="33DA905B" w14:textId="77777777" w:rsidR="004D6A64" w:rsidRDefault="004D6A64">
            <w:pPr>
              <w:jc w:val="right"/>
              <w:rPr>
                <w:rFonts w:ascii="宋体"/>
              </w:rPr>
            </w:pPr>
          </w:p>
        </w:tc>
        <w:tc>
          <w:tcPr>
            <w:tcW w:w="0" w:type="auto"/>
            <w:shd w:val="clear" w:color="auto" w:fill="auto"/>
          </w:tcPr>
          <w:p w14:paraId="33DA905C" w14:textId="77777777" w:rsidR="004D6A64" w:rsidRDefault="004D6A64">
            <w:pPr>
              <w:rPr>
                <w:rFonts w:ascii="宋体"/>
              </w:rPr>
            </w:pPr>
          </w:p>
        </w:tc>
        <w:tc>
          <w:tcPr>
            <w:tcW w:w="0" w:type="auto"/>
            <w:shd w:val="clear" w:color="auto" w:fill="auto"/>
          </w:tcPr>
          <w:p w14:paraId="33DA905D" w14:textId="77777777" w:rsidR="004D6A64" w:rsidRDefault="004D6A64">
            <w:pPr>
              <w:rPr>
                <w:rFonts w:ascii="宋体"/>
              </w:rPr>
            </w:pPr>
          </w:p>
        </w:tc>
        <w:tc>
          <w:tcPr>
            <w:tcW w:w="0" w:type="auto"/>
            <w:shd w:val="clear" w:color="auto" w:fill="auto"/>
          </w:tcPr>
          <w:p w14:paraId="33DA905E" w14:textId="77777777" w:rsidR="004D6A64" w:rsidRDefault="004D6A64">
            <w:pPr>
              <w:rPr>
                <w:rFonts w:ascii="宋体"/>
              </w:rPr>
            </w:pPr>
          </w:p>
        </w:tc>
        <w:tc>
          <w:tcPr>
            <w:tcW w:w="0" w:type="auto"/>
            <w:shd w:val="clear" w:color="auto" w:fill="auto"/>
          </w:tcPr>
          <w:p w14:paraId="33DA905F" w14:textId="77777777" w:rsidR="004D6A64" w:rsidRDefault="004D6A64">
            <w:pPr>
              <w:rPr>
                <w:rFonts w:ascii="宋体"/>
              </w:rPr>
            </w:pPr>
          </w:p>
        </w:tc>
        <w:tc>
          <w:tcPr>
            <w:tcW w:w="0" w:type="auto"/>
            <w:shd w:val="clear" w:color="auto" w:fill="auto"/>
          </w:tcPr>
          <w:p w14:paraId="33DA9060" w14:textId="77777777" w:rsidR="004D6A64" w:rsidRDefault="004D6A64">
            <w:pPr>
              <w:rPr>
                <w:rFonts w:ascii="宋体"/>
              </w:rPr>
            </w:pPr>
          </w:p>
        </w:tc>
        <w:tc>
          <w:tcPr>
            <w:tcW w:w="0" w:type="auto"/>
            <w:shd w:val="clear" w:color="auto" w:fill="auto"/>
          </w:tcPr>
          <w:p w14:paraId="33DA9061" w14:textId="77777777" w:rsidR="004D6A64" w:rsidRDefault="004D6A64">
            <w:pPr>
              <w:rPr>
                <w:rFonts w:ascii="宋体"/>
              </w:rPr>
            </w:pPr>
          </w:p>
        </w:tc>
        <w:tc>
          <w:tcPr>
            <w:tcW w:w="0" w:type="auto"/>
            <w:shd w:val="clear" w:color="auto" w:fill="auto"/>
          </w:tcPr>
          <w:p w14:paraId="33DA9062" w14:textId="77777777" w:rsidR="004D6A64" w:rsidRDefault="004D6A64">
            <w:pPr>
              <w:rPr>
                <w:rFonts w:ascii="宋体"/>
              </w:rPr>
            </w:pPr>
          </w:p>
        </w:tc>
        <w:tc>
          <w:tcPr>
            <w:tcW w:w="0" w:type="auto"/>
            <w:shd w:val="clear" w:color="auto" w:fill="auto"/>
          </w:tcPr>
          <w:p w14:paraId="33DA9063" w14:textId="77777777" w:rsidR="004D6A64" w:rsidRDefault="004D6A64">
            <w:pPr>
              <w:rPr>
                <w:rFonts w:ascii="宋体"/>
              </w:rPr>
            </w:pPr>
          </w:p>
        </w:tc>
        <w:tc>
          <w:tcPr>
            <w:tcW w:w="0" w:type="auto"/>
            <w:shd w:val="clear" w:color="auto" w:fill="auto"/>
          </w:tcPr>
          <w:p w14:paraId="33DA9064" w14:textId="77777777" w:rsidR="004D6A64" w:rsidRDefault="004D6A64">
            <w:pPr>
              <w:rPr>
                <w:rFonts w:ascii="宋体"/>
              </w:rPr>
            </w:pPr>
          </w:p>
        </w:tc>
      </w:tr>
      <w:tr w:rsidR="004D6A64" w14:paraId="33DA9075" w14:textId="77777777">
        <w:trPr>
          <w:jc w:val="center"/>
        </w:trPr>
        <w:tc>
          <w:tcPr>
            <w:tcW w:w="0" w:type="auto"/>
            <w:gridSpan w:val="3"/>
            <w:shd w:val="clear" w:color="auto" w:fill="FFFFFF"/>
            <w:tcMar>
              <w:top w:w="40" w:type="dxa"/>
              <w:left w:w="360" w:type="dxa"/>
              <w:bottom w:w="40" w:type="dxa"/>
              <w:right w:w="20" w:type="dxa"/>
            </w:tcMar>
            <w:vAlign w:val="center"/>
          </w:tcPr>
          <w:p w14:paraId="33DA9066" w14:textId="77777777" w:rsidR="004D6A64" w:rsidRDefault="00506CD6">
            <w:pPr>
              <w:textAlignment w:val="center"/>
            </w:pPr>
            <w:r>
              <w:rPr>
                <w:rFonts w:ascii="Times New Roman" w:eastAsia="宋体" w:hAnsi="Times New Roman"/>
                <w:color w:val="000000"/>
                <w:sz w:val="20"/>
                <w:szCs w:val="20"/>
              </w:rPr>
              <w:t>Non-controlling interests</w:t>
            </w:r>
          </w:p>
        </w:tc>
        <w:tc>
          <w:tcPr>
            <w:tcW w:w="0" w:type="auto"/>
            <w:gridSpan w:val="2"/>
            <w:shd w:val="clear" w:color="auto" w:fill="FFFFFF"/>
            <w:tcMar>
              <w:top w:w="40" w:type="dxa"/>
              <w:left w:w="20" w:type="dxa"/>
              <w:bottom w:w="40" w:type="dxa"/>
              <w:right w:w="0" w:type="dxa"/>
            </w:tcMar>
            <w:vAlign w:val="center"/>
          </w:tcPr>
          <w:p w14:paraId="33DA9067" w14:textId="77777777" w:rsidR="004D6A64" w:rsidRDefault="00506CD6">
            <w:pPr>
              <w:jc w:val="right"/>
              <w:textAlignment w:val="center"/>
            </w:pPr>
            <w:r>
              <w:rPr>
                <w:rFonts w:ascii="Times New Roman" w:eastAsia="宋体" w:hAnsi="Times New Roman"/>
                <w:color w:val="000000"/>
                <w:sz w:val="20"/>
                <w:szCs w:val="20"/>
              </w:rPr>
              <w:t>4,977 </w:t>
            </w:r>
          </w:p>
        </w:tc>
        <w:tc>
          <w:tcPr>
            <w:tcW w:w="0" w:type="auto"/>
            <w:shd w:val="clear" w:color="auto" w:fill="FFFFFF"/>
            <w:tcMar>
              <w:top w:w="40" w:type="dxa"/>
              <w:bottom w:w="40" w:type="dxa"/>
              <w:right w:w="20" w:type="dxa"/>
            </w:tcMar>
            <w:vAlign w:val="center"/>
          </w:tcPr>
          <w:p w14:paraId="33DA906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069"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906A" w14:textId="77777777" w:rsidR="004D6A64" w:rsidRDefault="00506CD6">
            <w:pPr>
              <w:jc w:val="right"/>
              <w:textAlignment w:val="center"/>
            </w:pPr>
            <w:r>
              <w:rPr>
                <w:rFonts w:ascii="Times New Roman" w:eastAsia="宋体" w:hAnsi="Times New Roman"/>
                <w:color w:val="000000"/>
                <w:sz w:val="20"/>
                <w:szCs w:val="20"/>
              </w:rPr>
              <w:t>4,729 </w:t>
            </w:r>
          </w:p>
        </w:tc>
        <w:tc>
          <w:tcPr>
            <w:tcW w:w="0" w:type="auto"/>
            <w:shd w:val="clear" w:color="auto" w:fill="FFFFFF"/>
            <w:tcMar>
              <w:top w:w="40" w:type="dxa"/>
              <w:bottom w:w="40" w:type="dxa"/>
              <w:right w:w="20" w:type="dxa"/>
            </w:tcMar>
            <w:vAlign w:val="center"/>
          </w:tcPr>
          <w:p w14:paraId="33DA906B" w14:textId="77777777" w:rsidR="004D6A64" w:rsidRDefault="004D6A64">
            <w:pPr>
              <w:jc w:val="right"/>
              <w:rPr>
                <w:rFonts w:ascii="宋体"/>
              </w:rPr>
            </w:pPr>
          </w:p>
        </w:tc>
        <w:tc>
          <w:tcPr>
            <w:tcW w:w="0" w:type="auto"/>
            <w:shd w:val="clear" w:color="auto" w:fill="auto"/>
          </w:tcPr>
          <w:p w14:paraId="33DA906C" w14:textId="77777777" w:rsidR="004D6A64" w:rsidRDefault="004D6A64">
            <w:pPr>
              <w:rPr>
                <w:rFonts w:ascii="宋体"/>
              </w:rPr>
            </w:pPr>
          </w:p>
        </w:tc>
        <w:tc>
          <w:tcPr>
            <w:tcW w:w="0" w:type="auto"/>
            <w:shd w:val="clear" w:color="auto" w:fill="auto"/>
          </w:tcPr>
          <w:p w14:paraId="33DA906D" w14:textId="77777777" w:rsidR="004D6A64" w:rsidRDefault="004D6A64">
            <w:pPr>
              <w:rPr>
                <w:rFonts w:ascii="宋体"/>
              </w:rPr>
            </w:pPr>
          </w:p>
        </w:tc>
        <w:tc>
          <w:tcPr>
            <w:tcW w:w="0" w:type="auto"/>
            <w:shd w:val="clear" w:color="auto" w:fill="auto"/>
          </w:tcPr>
          <w:p w14:paraId="33DA906E" w14:textId="77777777" w:rsidR="004D6A64" w:rsidRDefault="004D6A64">
            <w:pPr>
              <w:rPr>
                <w:rFonts w:ascii="宋体"/>
              </w:rPr>
            </w:pPr>
          </w:p>
        </w:tc>
        <w:tc>
          <w:tcPr>
            <w:tcW w:w="0" w:type="auto"/>
            <w:shd w:val="clear" w:color="auto" w:fill="auto"/>
          </w:tcPr>
          <w:p w14:paraId="33DA906F" w14:textId="77777777" w:rsidR="004D6A64" w:rsidRDefault="004D6A64">
            <w:pPr>
              <w:rPr>
                <w:rFonts w:ascii="宋体"/>
              </w:rPr>
            </w:pPr>
          </w:p>
        </w:tc>
        <w:tc>
          <w:tcPr>
            <w:tcW w:w="0" w:type="auto"/>
            <w:shd w:val="clear" w:color="auto" w:fill="auto"/>
          </w:tcPr>
          <w:p w14:paraId="33DA9070" w14:textId="77777777" w:rsidR="004D6A64" w:rsidRDefault="004D6A64">
            <w:pPr>
              <w:rPr>
                <w:rFonts w:ascii="宋体"/>
              </w:rPr>
            </w:pPr>
          </w:p>
        </w:tc>
        <w:tc>
          <w:tcPr>
            <w:tcW w:w="0" w:type="auto"/>
            <w:shd w:val="clear" w:color="auto" w:fill="auto"/>
          </w:tcPr>
          <w:p w14:paraId="33DA9071" w14:textId="77777777" w:rsidR="004D6A64" w:rsidRDefault="004D6A64">
            <w:pPr>
              <w:rPr>
                <w:rFonts w:ascii="宋体"/>
              </w:rPr>
            </w:pPr>
          </w:p>
        </w:tc>
        <w:tc>
          <w:tcPr>
            <w:tcW w:w="0" w:type="auto"/>
            <w:shd w:val="clear" w:color="auto" w:fill="auto"/>
          </w:tcPr>
          <w:p w14:paraId="33DA9072" w14:textId="77777777" w:rsidR="004D6A64" w:rsidRDefault="004D6A64">
            <w:pPr>
              <w:rPr>
                <w:rFonts w:ascii="宋体"/>
              </w:rPr>
            </w:pPr>
          </w:p>
        </w:tc>
        <w:tc>
          <w:tcPr>
            <w:tcW w:w="0" w:type="auto"/>
            <w:shd w:val="clear" w:color="auto" w:fill="auto"/>
          </w:tcPr>
          <w:p w14:paraId="33DA9073" w14:textId="77777777" w:rsidR="004D6A64" w:rsidRDefault="004D6A64">
            <w:pPr>
              <w:rPr>
                <w:rFonts w:ascii="宋体"/>
              </w:rPr>
            </w:pPr>
          </w:p>
        </w:tc>
        <w:tc>
          <w:tcPr>
            <w:tcW w:w="0" w:type="auto"/>
            <w:shd w:val="clear" w:color="auto" w:fill="auto"/>
          </w:tcPr>
          <w:p w14:paraId="33DA9074" w14:textId="77777777" w:rsidR="004D6A64" w:rsidRDefault="004D6A64">
            <w:pPr>
              <w:rPr>
                <w:rFonts w:ascii="宋体"/>
              </w:rPr>
            </w:pPr>
          </w:p>
        </w:tc>
      </w:tr>
      <w:tr w:rsidR="004D6A64" w14:paraId="33DA9085" w14:textId="77777777">
        <w:trPr>
          <w:jc w:val="center"/>
        </w:trPr>
        <w:tc>
          <w:tcPr>
            <w:tcW w:w="0" w:type="auto"/>
            <w:gridSpan w:val="3"/>
            <w:shd w:val="clear" w:color="auto" w:fill="CCEEFF"/>
            <w:tcMar>
              <w:top w:w="40" w:type="dxa"/>
              <w:left w:w="585" w:type="dxa"/>
              <w:bottom w:w="40" w:type="dxa"/>
              <w:right w:w="20" w:type="dxa"/>
            </w:tcMar>
            <w:vAlign w:val="center"/>
          </w:tcPr>
          <w:p w14:paraId="33DA9076" w14:textId="77777777" w:rsidR="004D6A64" w:rsidRDefault="00506CD6">
            <w:pPr>
              <w:textAlignment w:val="center"/>
            </w:pPr>
            <w:r>
              <w:rPr>
                <w:rFonts w:ascii="Times New Roman" w:eastAsia="宋体" w:hAnsi="Times New Roman"/>
                <w:color w:val="000000"/>
                <w:sz w:val="20"/>
                <w:szCs w:val="20"/>
              </w:rPr>
              <w:t>Total stockholders’ equity (deficit)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9077" w14:textId="77777777" w:rsidR="004D6A64" w:rsidRDefault="00506CD6">
            <w:pPr>
              <w:jc w:val="right"/>
              <w:textAlignment w:val="center"/>
            </w:pPr>
            <w:r>
              <w:rPr>
                <w:rFonts w:ascii="Times New Roman" w:eastAsia="宋体" w:hAnsi="Times New Roman"/>
                <w:color w:val="000000"/>
                <w:sz w:val="20"/>
                <w:szCs w:val="20"/>
              </w:rPr>
              <w:t>4,558 </w:t>
            </w:r>
          </w:p>
        </w:tc>
        <w:tc>
          <w:tcPr>
            <w:tcW w:w="0" w:type="auto"/>
            <w:tcBorders>
              <w:top w:val="single" w:sz="8" w:space="0" w:color="000000"/>
            </w:tcBorders>
            <w:shd w:val="clear" w:color="auto" w:fill="CCEEFF"/>
            <w:tcMar>
              <w:top w:w="40" w:type="dxa"/>
              <w:bottom w:w="40" w:type="dxa"/>
              <w:right w:w="20" w:type="dxa"/>
            </w:tcMar>
            <w:vAlign w:val="center"/>
          </w:tcPr>
          <w:p w14:paraId="33DA907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079"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907A" w14:textId="77777777" w:rsidR="004D6A64" w:rsidRDefault="00506CD6">
            <w:pPr>
              <w:jc w:val="right"/>
              <w:textAlignment w:val="center"/>
            </w:pPr>
            <w:r>
              <w:rPr>
                <w:rFonts w:ascii="Times New Roman" w:eastAsia="宋体" w:hAnsi="Times New Roman"/>
                <w:color w:val="000000"/>
                <w:sz w:val="20"/>
                <w:szCs w:val="20"/>
              </w:rPr>
              <w:t>3,155 </w:t>
            </w:r>
          </w:p>
        </w:tc>
        <w:tc>
          <w:tcPr>
            <w:tcW w:w="0" w:type="auto"/>
            <w:tcBorders>
              <w:top w:val="single" w:sz="8" w:space="0" w:color="000000"/>
            </w:tcBorders>
            <w:shd w:val="clear" w:color="auto" w:fill="CCEEFF"/>
            <w:tcMar>
              <w:top w:w="40" w:type="dxa"/>
              <w:bottom w:w="40" w:type="dxa"/>
              <w:right w:w="20" w:type="dxa"/>
            </w:tcMar>
            <w:vAlign w:val="center"/>
          </w:tcPr>
          <w:p w14:paraId="33DA907B" w14:textId="77777777" w:rsidR="004D6A64" w:rsidRDefault="004D6A64">
            <w:pPr>
              <w:jc w:val="right"/>
              <w:rPr>
                <w:rFonts w:ascii="宋体"/>
              </w:rPr>
            </w:pPr>
          </w:p>
        </w:tc>
        <w:tc>
          <w:tcPr>
            <w:tcW w:w="0" w:type="auto"/>
            <w:shd w:val="clear" w:color="auto" w:fill="auto"/>
          </w:tcPr>
          <w:p w14:paraId="33DA907C" w14:textId="77777777" w:rsidR="004D6A64" w:rsidRDefault="004D6A64">
            <w:pPr>
              <w:rPr>
                <w:rFonts w:ascii="宋体"/>
              </w:rPr>
            </w:pPr>
          </w:p>
        </w:tc>
        <w:tc>
          <w:tcPr>
            <w:tcW w:w="0" w:type="auto"/>
            <w:shd w:val="clear" w:color="auto" w:fill="auto"/>
          </w:tcPr>
          <w:p w14:paraId="33DA907D" w14:textId="77777777" w:rsidR="004D6A64" w:rsidRDefault="004D6A64">
            <w:pPr>
              <w:rPr>
                <w:rFonts w:ascii="宋体"/>
              </w:rPr>
            </w:pPr>
          </w:p>
        </w:tc>
        <w:tc>
          <w:tcPr>
            <w:tcW w:w="0" w:type="auto"/>
            <w:shd w:val="clear" w:color="auto" w:fill="auto"/>
          </w:tcPr>
          <w:p w14:paraId="33DA907E" w14:textId="77777777" w:rsidR="004D6A64" w:rsidRDefault="004D6A64">
            <w:pPr>
              <w:rPr>
                <w:rFonts w:ascii="宋体"/>
              </w:rPr>
            </w:pPr>
          </w:p>
        </w:tc>
        <w:tc>
          <w:tcPr>
            <w:tcW w:w="0" w:type="auto"/>
            <w:shd w:val="clear" w:color="auto" w:fill="auto"/>
          </w:tcPr>
          <w:p w14:paraId="33DA907F" w14:textId="77777777" w:rsidR="004D6A64" w:rsidRDefault="004D6A64">
            <w:pPr>
              <w:rPr>
                <w:rFonts w:ascii="宋体"/>
              </w:rPr>
            </w:pPr>
          </w:p>
        </w:tc>
        <w:tc>
          <w:tcPr>
            <w:tcW w:w="0" w:type="auto"/>
            <w:shd w:val="clear" w:color="auto" w:fill="auto"/>
          </w:tcPr>
          <w:p w14:paraId="33DA9080" w14:textId="77777777" w:rsidR="004D6A64" w:rsidRDefault="004D6A64">
            <w:pPr>
              <w:rPr>
                <w:rFonts w:ascii="宋体"/>
              </w:rPr>
            </w:pPr>
          </w:p>
        </w:tc>
        <w:tc>
          <w:tcPr>
            <w:tcW w:w="0" w:type="auto"/>
            <w:shd w:val="clear" w:color="auto" w:fill="auto"/>
          </w:tcPr>
          <w:p w14:paraId="33DA9081" w14:textId="77777777" w:rsidR="004D6A64" w:rsidRDefault="004D6A64">
            <w:pPr>
              <w:rPr>
                <w:rFonts w:ascii="宋体"/>
              </w:rPr>
            </w:pPr>
          </w:p>
        </w:tc>
        <w:tc>
          <w:tcPr>
            <w:tcW w:w="0" w:type="auto"/>
            <w:shd w:val="clear" w:color="auto" w:fill="auto"/>
          </w:tcPr>
          <w:p w14:paraId="33DA9082" w14:textId="77777777" w:rsidR="004D6A64" w:rsidRDefault="004D6A64">
            <w:pPr>
              <w:rPr>
                <w:rFonts w:ascii="宋体"/>
              </w:rPr>
            </w:pPr>
          </w:p>
        </w:tc>
        <w:tc>
          <w:tcPr>
            <w:tcW w:w="0" w:type="auto"/>
            <w:shd w:val="clear" w:color="auto" w:fill="auto"/>
          </w:tcPr>
          <w:p w14:paraId="33DA9083" w14:textId="77777777" w:rsidR="004D6A64" w:rsidRDefault="004D6A64">
            <w:pPr>
              <w:rPr>
                <w:rFonts w:ascii="宋体"/>
              </w:rPr>
            </w:pPr>
          </w:p>
        </w:tc>
        <w:tc>
          <w:tcPr>
            <w:tcW w:w="0" w:type="auto"/>
            <w:shd w:val="clear" w:color="auto" w:fill="auto"/>
          </w:tcPr>
          <w:p w14:paraId="33DA9084" w14:textId="77777777" w:rsidR="004D6A64" w:rsidRDefault="004D6A64">
            <w:pPr>
              <w:rPr>
                <w:rFonts w:ascii="宋体"/>
              </w:rPr>
            </w:pPr>
          </w:p>
        </w:tc>
      </w:tr>
      <w:tr w:rsidR="004D6A64" w14:paraId="33DA9097" w14:textId="77777777">
        <w:trPr>
          <w:jc w:val="center"/>
        </w:trPr>
        <w:tc>
          <w:tcPr>
            <w:tcW w:w="0" w:type="auto"/>
            <w:gridSpan w:val="3"/>
            <w:shd w:val="clear" w:color="auto" w:fill="FFFFFF"/>
            <w:tcMar>
              <w:top w:w="40" w:type="dxa"/>
              <w:left w:w="585" w:type="dxa"/>
              <w:bottom w:w="40" w:type="dxa"/>
              <w:right w:w="20" w:type="dxa"/>
            </w:tcMar>
            <w:vAlign w:val="center"/>
          </w:tcPr>
          <w:p w14:paraId="33DA9086" w14:textId="77777777" w:rsidR="004D6A64" w:rsidRDefault="00506CD6">
            <w:pPr>
              <w:textAlignment w:val="center"/>
            </w:pPr>
            <w:r>
              <w:rPr>
                <w:rFonts w:ascii="Times New Roman" w:eastAsia="宋体" w:hAnsi="Times New Roman"/>
                <w:color w:val="000000"/>
                <w:sz w:val="20"/>
                <w:szCs w:val="20"/>
              </w:rPr>
              <w:t xml:space="preserve">Total </w:t>
            </w:r>
            <w:r>
              <w:rPr>
                <w:rFonts w:ascii="Times New Roman" w:eastAsia="宋体" w:hAnsi="Times New Roman"/>
                <w:color w:val="000000"/>
                <w:sz w:val="20"/>
                <w:szCs w:val="20"/>
              </w:rPr>
              <w:t>liabilities, redeemable shares, and stockholders’ equity (deficit)</w:t>
            </w: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9087"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9088" w14:textId="77777777" w:rsidR="004D6A64" w:rsidRDefault="00506CD6">
            <w:pPr>
              <w:jc w:val="right"/>
              <w:textAlignment w:val="center"/>
            </w:pPr>
            <w:r>
              <w:rPr>
                <w:rFonts w:ascii="Times New Roman" w:eastAsia="宋体" w:hAnsi="Times New Roman"/>
                <w:color w:val="000000"/>
                <w:sz w:val="20"/>
                <w:szCs w:val="20"/>
              </w:rPr>
              <w:t>121,276 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908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08A"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908B"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908C" w14:textId="77777777" w:rsidR="004D6A64" w:rsidRDefault="00506CD6">
            <w:pPr>
              <w:jc w:val="right"/>
              <w:textAlignment w:val="center"/>
            </w:pPr>
            <w:r>
              <w:rPr>
                <w:rFonts w:ascii="Times New Roman" w:eastAsia="宋体" w:hAnsi="Times New Roman"/>
                <w:color w:val="000000"/>
                <w:sz w:val="20"/>
                <w:szCs w:val="20"/>
              </w:rPr>
              <w:t>118,861 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908D" w14:textId="77777777" w:rsidR="004D6A64" w:rsidRDefault="004D6A64">
            <w:pPr>
              <w:jc w:val="right"/>
              <w:rPr>
                <w:rFonts w:ascii="宋体"/>
              </w:rPr>
            </w:pPr>
          </w:p>
        </w:tc>
        <w:tc>
          <w:tcPr>
            <w:tcW w:w="0" w:type="auto"/>
            <w:shd w:val="clear" w:color="auto" w:fill="auto"/>
          </w:tcPr>
          <w:p w14:paraId="33DA908E" w14:textId="77777777" w:rsidR="004D6A64" w:rsidRDefault="004D6A64">
            <w:pPr>
              <w:rPr>
                <w:rFonts w:ascii="宋体"/>
              </w:rPr>
            </w:pPr>
          </w:p>
        </w:tc>
        <w:tc>
          <w:tcPr>
            <w:tcW w:w="0" w:type="auto"/>
            <w:shd w:val="clear" w:color="auto" w:fill="auto"/>
          </w:tcPr>
          <w:p w14:paraId="33DA908F" w14:textId="77777777" w:rsidR="004D6A64" w:rsidRDefault="004D6A64">
            <w:pPr>
              <w:rPr>
                <w:rFonts w:ascii="宋体"/>
              </w:rPr>
            </w:pPr>
          </w:p>
        </w:tc>
        <w:tc>
          <w:tcPr>
            <w:tcW w:w="0" w:type="auto"/>
            <w:shd w:val="clear" w:color="auto" w:fill="auto"/>
          </w:tcPr>
          <w:p w14:paraId="33DA9090" w14:textId="77777777" w:rsidR="004D6A64" w:rsidRDefault="004D6A64">
            <w:pPr>
              <w:rPr>
                <w:rFonts w:ascii="宋体"/>
              </w:rPr>
            </w:pPr>
          </w:p>
        </w:tc>
        <w:tc>
          <w:tcPr>
            <w:tcW w:w="0" w:type="auto"/>
            <w:shd w:val="clear" w:color="auto" w:fill="auto"/>
          </w:tcPr>
          <w:p w14:paraId="33DA9091" w14:textId="77777777" w:rsidR="004D6A64" w:rsidRDefault="004D6A64">
            <w:pPr>
              <w:rPr>
                <w:rFonts w:ascii="宋体"/>
              </w:rPr>
            </w:pPr>
          </w:p>
        </w:tc>
        <w:tc>
          <w:tcPr>
            <w:tcW w:w="0" w:type="auto"/>
            <w:shd w:val="clear" w:color="auto" w:fill="auto"/>
          </w:tcPr>
          <w:p w14:paraId="33DA9092" w14:textId="77777777" w:rsidR="004D6A64" w:rsidRDefault="004D6A64">
            <w:pPr>
              <w:rPr>
                <w:rFonts w:ascii="宋体"/>
              </w:rPr>
            </w:pPr>
          </w:p>
        </w:tc>
        <w:tc>
          <w:tcPr>
            <w:tcW w:w="0" w:type="auto"/>
            <w:shd w:val="clear" w:color="auto" w:fill="auto"/>
          </w:tcPr>
          <w:p w14:paraId="33DA9093" w14:textId="77777777" w:rsidR="004D6A64" w:rsidRDefault="004D6A64">
            <w:pPr>
              <w:rPr>
                <w:rFonts w:ascii="宋体"/>
              </w:rPr>
            </w:pPr>
          </w:p>
        </w:tc>
        <w:tc>
          <w:tcPr>
            <w:tcW w:w="0" w:type="auto"/>
            <w:shd w:val="clear" w:color="auto" w:fill="auto"/>
          </w:tcPr>
          <w:p w14:paraId="33DA9094" w14:textId="77777777" w:rsidR="004D6A64" w:rsidRDefault="004D6A64">
            <w:pPr>
              <w:rPr>
                <w:rFonts w:ascii="宋体"/>
              </w:rPr>
            </w:pPr>
          </w:p>
        </w:tc>
        <w:tc>
          <w:tcPr>
            <w:tcW w:w="0" w:type="auto"/>
            <w:shd w:val="clear" w:color="auto" w:fill="auto"/>
          </w:tcPr>
          <w:p w14:paraId="33DA9095" w14:textId="77777777" w:rsidR="004D6A64" w:rsidRDefault="004D6A64">
            <w:pPr>
              <w:rPr>
                <w:rFonts w:ascii="宋体"/>
              </w:rPr>
            </w:pPr>
          </w:p>
        </w:tc>
        <w:tc>
          <w:tcPr>
            <w:tcW w:w="0" w:type="auto"/>
            <w:shd w:val="clear" w:color="auto" w:fill="auto"/>
          </w:tcPr>
          <w:p w14:paraId="33DA9096" w14:textId="77777777" w:rsidR="004D6A64" w:rsidRDefault="004D6A64">
            <w:pPr>
              <w:rPr>
                <w:rFonts w:ascii="宋体"/>
              </w:rPr>
            </w:pPr>
          </w:p>
        </w:tc>
      </w:tr>
    </w:tbl>
    <w:p w14:paraId="33DA9098" w14:textId="77777777" w:rsidR="004D6A64" w:rsidRDefault="004D6A64">
      <w:pPr>
        <w:jc w:val="center"/>
      </w:pPr>
    </w:p>
    <w:p w14:paraId="33DA9099" w14:textId="77777777" w:rsidR="004D6A64" w:rsidRDefault="00506CD6">
      <w:pPr>
        <w:jc w:val="center"/>
      </w:pPr>
      <w:r>
        <w:rPr>
          <w:rFonts w:ascii="Times New Roman" w:eastAsia="宋体" w:hAnsi="Times New Roman"/>
          <w:color w:val="000000"/>
          <w:sz w:val="20"/>
          <w:szCs w:val="20"/>
          <w:shd w:val="clear" w:color="auto" w:fill="FFFFFF"/>
        </w:rPr>
        <w:t xml:space="preserve">The accompanying notes are an integral part of these Condensed </w:t>
      </w:r>
      <w:r>
        <w:rPr>
          <w:rFonts w:ascii="Times New Roman" w:eastAsia="宋体" w:hAnsi="Times New Roman"/>
          <w:color w:val="000000"/>
          <w:sz w:val="20"/>
          <w:szCs w:val="20"/>
        </w:rPr>
        <w:t>Consolidated Financial Statements.</w:t>
      </w:r>
    </w:p>
    <w:p w14:paraId="33DA909A" w14:textId="77777777" w:rsidR="004D6A64" w:rsidRDefault="004D6A64">
      <w:pPr>
        <w:jc w:val="center"/>
      </w:pPr>
    </w:p>
    <w:p w14:paraId="33DA909B" w14:textId="77777777" w:rsidR="004D6A64" w:rsidRDefault="00506CD6">
      <w:pPr>
        <w:jc w:val="center"/>
      </w:pPr>
      <w:r>
        <w:rPr>
          <w:rFonts w:ascii="Times New Roman" w:eastAsia="宋体" w:hAnsi="Times New Roman"/>
          <w:color w:val="000000"/>
          <w:sz w:val="20"/>
          <w:szCs w:val="20"/>
        </w:rPr>
        <w:t>5</w:t>
      </w:r>
    </w:p>
    <w:p w14:paraId="33DA909C" w14:textId="77777777" w:rsidR="004D6A64" w:rsidRDefault="004D6A64">
      <w:pPr>
        <w:jc w:val="center"/>
      </w:pPr>
    </w:p>
    <w:p w14:paraId="33DA909D" w14:textId="77777777" w:rsidR="004D6A64" w:rsidRDefault="00506CD6">
      <w:r>
        <w:pict w14:anchorId="33DAFAC9">
          <v:rect id="_x0000_i1029" style="width:415.3pt;height:1.5pt" o:hralign="center" o:hrstd="t" o:hr="t" fillcolor="#a0a0a0" stroked="f"/>
        </w:pict>
      </w:r>
    </w:p>
    <w:p w14:paraId="33DA909E" w14:textId="77777777" w:rsidR="004D6A64" w:rsidRDefault="00506CD6">
      <w:hyperlink r:id="rId128" w:anchor="if3e0e1bf9ecd4bf69551d7a85f98d64a_10" w:history="1">
        <w:r>
          <w:rPr>
            <w:rStyle w:val="a5"/>
            <w:rFonts w:ascii="Times New Roman" w:eastAsia="宋体" w:hAnsi="Times New Roman"/>
            <w:sz w:val="20"/>
            <w:szCs w:val="20"/>
          </w:rPr>
          <w:t>Table of Contents</w:t>
        </w:r>
      </w:hyperlink>
    </w:p>
    <w:p w14:paraId="33DA909F" w14:textId="77777777" w:rsidR="004D6A64" w:rsidRDefault="00506CD6">
      <w:pPr>
        <w:spacing w:after="120"/>
        <w:jc w:val="center"/>
      </w:pPr>
      <w:r>
        <w:rPr>
          <w:rFonts w:ascii="Times New Roman" w:eastAsia="宋体" w:hAnsi="Times New Roman"/>
          <w:b/>
          <w:bCs/>
          <w:color w:val="000000"/>
          <w:sz w:val="20"/>
          <w:szCs w:val="20"/>
        </w:rPr>
        <w:t>DELL TECHNOLOGIES INC.</w:t>
      </w:r>
    </w:p>
    <w:p w14:paraId="33DA90A0" w14:textId="77777777" w:rsidR="004D6A64" w:rsidRDefault="00506CD6">
      <w:pPr>
        <w:spacing w:after="60"/>
        <w:jc w:val="center"/>
      </w:pPr>
      <w:r>
        <w:rPr>
          <w:rFonts w:ascii="Times New Roman" w:eastAsia="宋体" w:hAnsi="Times New Roman"/>
          <w:b/>
          <w:bCs/>
          <w:color w:val="000000"/>
          <w:sz w:val="20"/>
          <w:szCs w:val="20"/>
        </w:rPr>
        <w:t>CONDENSED CONSOLIDATED STATEMENTS OF INCOME (LOSS)</w:t>
      </w:r>
    </w:p>
    <w:p w14:paraId="33DA90A1" w14:textId="77777777" w:rsidR="004D6A64" w:rsidRDefault="00506CD6">
      <w:pPr>
        <w:jc w:val="center"/>
      </w:pPr>
      <w:r>
        <w:rPr>
          <w:rFonts w:ascii="Times New Roman" w:eastAsia="宋体" w:hAnsi="Times New Roman"/>
          <w:color w:val="000000"/>
          <w:sz w:val="20"/>
          <w:szCs w:val="20"/>
          <w:shd w:val="clear" w:color="auto" w:fill="FFFFFF"/>
        </w:rPr>
        <w:t xml:space="preserve">(in </w:t>
      </w:r>
      <w:r>
        <w:rPr>
          <w:rFonts w:ascii="Times New Roman" w:eastAsia="宋体" w:hAnsi="Times New Roman"/>
          <w:color w:val="000000"/>
          <w:sz w:val="20"/>
          <w:szCs w:val="20"/>
          <w:shd w:val="clear" w:color="auto" w:fill="FFFFFF"/>
        </w:rPr>
        <w:t>millions, except per share amounts</w:t>
      </w:r>
      <w:r>
        <w:rPr>
          <w:rFonts w:ascii="Times New Roman" w:eastAsia="宋体" w:hAnsi="Times New Roman"/>
          <w:color w:val="000000"/>
          <w:sz w:val="20"/>
          <w:szCs w:val="20"/>
        </w:rPr>
        <w:t>;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178"/>
        <w:gridCol w:w="38"/>
        <w:gridCol w:w="135"/>
        <w:gridCol w:w="877"/>
        <w:gridCol w:w="41"/>
        <w:gridCol w:w="36"/>
        <w:gridCol w:w="36"/>
        <w:gridCol w:w="36"/>
        <w:gridCol w:w="135"/>
        <w:gridCol w:w="878"/>
        <w:gridCol w:w="41"/>
        <w:gridCol w:w="36"/>
        <w:gridCol w:w="36"/>
        <w:gridCol w:w="36"/>
        <w:gridCol w:w="135"/>
        <w:gridCol w:w="878"/>
        <w:gridCol w:w="41"/>
        <w:gridCol w:w="36"/>
        <w:gridCol w:w="36"/>
        <w:gridCol w:w="36"/>
        <w:gridCol w:w="135"/>
        <w:gridCol w:w="879"/>
        <w:gridCol w:w="41"/>
        <w:gridCol w:w="36"/>
        <w:gridCol w:w="36"/>
        <w:gridCol w:w="36"/>
        <w:gridCol w:w="36"/>
        <w:gridCol w:w="36"/>
        <w:gridCol w:w="36"/>
        <w:gridCol w:w="36"/>
        <w:gridCol w:w="36"/>
        <w:gridCol w:w="36"/>
        <w:gridCol w:w="36"/>
        <w:gridCol w:w="36"/>
        <w:gridCol w:w="36"/>
        <w:gridCol w:w="36"/>
        <w:gridCol w:w="36"/>
        <w:gridCol w:w="36"/>
      </w:tblGrid>
      <w:tr w:rsidR="004D6A64" w14:paraId="33DA90BA" w14:textId="77777777">
        <w:trPr>
          <w:gridAfter w:val="15"/>
          <w:jc w:val="center"/>
        </w:trPr>
        <w:tc>
          <w:tcPr>
            <w:tcW w:w="50" w:type="pct"/>
            <w:shd w:val="clear" w:color="auto" w:fill="auto"/>
          </w:tcPr>
          <w:p w14:paraId="33DA90A2" w14:textId="77777777" w:rsidR="004D6A64" w:rsidRDefault="004D6A64">
            <w:pPr>
              <w:rPr>
                <w:rFonts w:ascii="宋体"/>
              </w:rPr>
            </w:pPr>
          </w:p>
        </w:tc>
        <w:tc>
          <w:tcPr>
            <w:tcW w:w="2137" w:type="pct"/>
            <w:shd w:val="clear" w:color="auto" w:fill="auto"/>
          </w:tcPr>
          <w:p w14:paraId="33DA90A3" w14:textId="77777777" w:rsidR="004D6A64" w:rsidRDefault="004D6A64">
            <w:pPr>
              <w:rPr>
                <w:rFonts w:ascii="宋体"/>
              </w:rPr>
            </w:pPr>
          </w:p>
        </w:tc>
        <w:tc>
          <w:tcPr>
            <w:tcW w:w="5" w:type="pct"/>
            <w:shd w:val="clear" w:color="auto" w:fill="auto"/>
          </w:tcPr>
          <w:p w14:paraId="33DA90A4" w14:textId="77777777" w:rsidR="004D6A64" w:rsidRDefault="004D6A64">
            <w:pPr>
              <w:rPr>
                <w:rFonts w:ascii="宋体"/>
              </w:rPr>
            </w:pPr>
          </w:p>
        </w:tc>
        <w:tc>
          <w:tcPr>
            <w:tcW w:w="50" w:type="pct"/>
            <w:shd w:val="clear" w:color="auto" w:fill="auto"/>
          </w:tcPr>
          <w:p w14:paraId="33DA90A5" w14:textId="77777777" w:rsidR="004D6A64" w:rsidRDefault="004D6A64">
            <w:pPr>
              <w:rPr>
                <w:rFonts w:ascii="宋体"/>
              </w:rPr>
            </w:pPr>
          </w:p>
        </w:tc>
        <w:tc>
          <w:tcPr>
            <w:tcW w:w="624" w:type="pct"/>
            <w:shd w:val="clear" w:color="auto" w:fill="auto"/>
          </w:tcPr>
          <w:p w14:paraId="33DA90A6" w14:textId="77777777" w:rsidR="004D6A64" w:rsidRDefault="004D6A64">
            <w:pPr>
              <w:rPr>
                <w:rFonts w:ascii="宋体"/>
              </w:rPr>
            </w:pPr>
          </w:p>
        </w:tc>
        <w:tc>
          <w:tcPr>
            <w:tcW w:w="5" w:type="pct"/>
            <w:shd w:val="clear" w:color="auto" w:fill="auto"/>
          </w:tcPr>
          <w:p w14:paraId="33DA90A7" w14:textId="77777777" w:rsidR="004D6A64" w:rsidRDefault="004D6A64">
            <w:pPr>
              <w:rPr>
                <w:rFonts w:ascii="宋体"/>
              </w:rPr>
            </w:pPr>
          </w:p>
        </w:tc>
        <w:tc>
          <w:tcPr>
            <w:tcW w:w="5" w:type="pct"/>
            <w:shd w:val="clear" w:color="auto" w:fill="auto"/>
          </w:tcPr>
          <w:p w14:paraId="33DA90A8" w14:textId="77777777" w:rsidR="004D6A64" w:rsidRDefault="004D6A64">
            <w:pPr>
              <w:rPr>
                <w:rFonts w:ascii="宋体"/>
              </w:rPr>
            </w:pPr>
          </w:p>
        </w:tc>
        <w:tc>
          <w:tcPr>
            <w:tcW w:w="19" w:type="pct"/>
            <w:shd w:val="clear" w:color="auto" w:fill="auto"/>
          </w:tcPr>
          <w:p w14:paraId="33DA90A9" w14:textId="77777777" w:rsidR="004D6A64" w:rsidRDefault="004D6A64">
            <w:pPr>
              <w:rPr>
                <w:rFonts w:ascii="宋体"/>
              </w:rPr>
            </w:pPr>
          </w:p>
        </w:tc>
        <w:tc>
          <w:tcPr>
            <w:tcW w:w="5" w:type="pct"/>
            <w:shd w:val="clear" w:color="auto" w:fill="auto"/>
          </w:tcPr>
          <w:p w14:paraId="33DA90AA" w14:textId="77777777" w:rsidR="004D6A64" w:rsidRDefault="004D6A64">
            <w:pPr>
              <w:rPr>
                <w:rFonts w:ascii="宋体"/>
              </w:rPr>
            </w:pPr>
          </w:p>
        </w:tc>
        <w:tc>
          <w:tcPr>
            <w:tcW w:w="50" w:type="pct"/>
            <w:shd w:val="clear" w:color="auto" w:fill="auto"/>
          </w:tcPr>
          <w:p w14:paraId="33DA90AB" w14:textId="77777777" w:rsidR="004D6A64" w:rsidRDefault="004D6A64">
            <w:pPr>
              <w:rPr>
                <w:rFonts w:ascii="宋体"/>
              </w:rPr>
            </w:pPr>
          </w:p>
        </w:tc>
        <w:tc>
          <w:tcPr>
            <w:tcW w:w="624" w:type="pct"/>
            <w:shd w:val="clear" w:color="auto" w:fill="auto"/>
          </w:tcPr>
          <w:p w14:paraId="33DA90AC" w14:textId="77777777" w:rsidR="004D6A64" w:rsidRDefault="004D6A64">
            <w:pPr>
              <w:rPr>
                <w:rFonts w:ascii="宋体"/>
              </w:rPr>
            </w:pPr>
          </w:p>
        </w:tc>
        <w:tc>
          <w:tcPr>
            <w:tcW w:w="5" w:type="pct"/>
            <w:shd w:val="clear" w:color="auto" w:fill="auto"/>
          </w:tcPr>
          <w:p w14:paraId="33DA90AD" w14:textId="77777777" w:rsidR="004D6A64" w:rsidRDefault="004D6A64">
            <w:pPr>
              <w:rPr>
                <w:rFonts w:ascii="宋体"/>
              </w:rPr>
            </w:pPr>
          </w:p>
        </w:tc>
        <w:tc>
          <w:tcPr>
            <w:tcW w:w="5" w:type="pct"/>
            <w:shd w:val="clear" w:color="auto" w:fill="auto"/>
          </w:tcPr>
          <w:p w14:paraId="33DA90AE" w14:textId="77777777" w:rsidR="004D6A64" w:rsidRDefault="004D6A64">
            <w:pPr>
              <w:rPr>
                <w:rFonts w:ascii="宋体"/>
              </w:rPr>
            </w:pPr>
          </w:p>
        </w:tc>
        <w:tc>
          <w:tcPr>
            <w:tcW w:w="19" w:type="pct"/>
            <w:shd w:val="clear" w:color="auto" w:fill="auto"/>
          </w:tcPr>
          <w:p w14:paraId="33DA90AF" w14:textId="77777777" w:rsidR="004D6A64" w:rsidRDefault="004D6A64">
            <w:pPr>
              <w:rPr>
                <w:rFonts w:ascii="宋体"/>
              </w:rPr>
            </w:pPr>
          </w:p>
        </w:tc>
        <w:tc>
          <w:tcPr>
            <w:tcW w:w="5" w:type="pct"/>
            <w:shd w:val="clear" w:color="auto" w:fill="auto"/>
          </w:tcPr>
          <w:p w14:paraId="33DA90B0" w14:textId="77777777" w:rsidR="004D6A64" w:rsidRDefault="004D6A64">
            <w:pPr>
              <w:rPr>
                <w:rFonts w:ascii="宋体"/>
              </w:rPr>
            </w:pPr>
          </w:p>
        </w:tc>
        <w:tc>
          <w:tcPr>
            <w:tcW w:w="50" w:type="pct"/>
            <w:shd w:val="clear" w:color="auto" w:fill="auto"/>
          </w:tcPr>
          <w:p w14:paraId="33DA90B1" w14:textId="77777777" w:rsidR="004D6A64" w:rsidRDefault="004D6A64">
            <w:pPr>
              <w:rPr>
                <w:rFonts w:ascii="宋体"/>
              </w:rPr>
            </w:pPr>
          </w:p>
        </w:tc>
        <w:tc>
          <w:tcPr>
            <w:tcW w:w="624" w:type="pct"/>
            <w:shd w:val="clear" w:color="auto" w:fill="auto"/>
          </w:tcPr>
          <w:p w14:paraId="33DA90B2" w14:textId="77777777" w:rsidR="004D6A64" w:rsidRDefault="004D6A64">
            <w:pPr>
              <w:rPr>
                <w:rFonts w:ascii="宋体"/>
              </w:rPr>
            </w:pPr>
          </w:p>
        </w:tc>
        <w:tc>
          <w:tcPr>
            <w:tcW w:w="5" w:type="pct"/>
            <w:shd w:val="clear" w:color="auto" w:fill="auto"/>
          </w:tcPr>
          <w:p w14:paraId="33DA90B3" w14:textId="77777777" w:rsidR="004D6A64" w:rsidRDefault="004D6A64">
            <w:pPr>
              <w:rPr>
                <w:rFonts w:ascii="宋体"/>
              </w:rPr>
            </w:pPr>
          </w:p>
        </w:tc>
        <w:tc>
          <w:tcPr>
            <w:tcW w:w="5" w:type="pct"/>
            <w:shd w:val="clear" w:color="auto" w:fill="auto"/>
          </w:tcPr>
          <w:p w14:paraId="33DA90B4" w14:textId="77777777" w:rsidR="004D6A64" w:rsidRDefault="004D6A64">
            <w:pPr>
              <w:rPr>
                <w:rFonts w:ascii="宋体"/>
              </w:rPr>
            </w:pPr>
          </w:p>
        </w:tc>
        <w:tc>
          <w:tcPr>
            <w:tcW w:w="19" w:type="pct"/>
            <w:shd w:val="clear" w:color="auto" w:fill="auto"/>
          </w:tcPr>
          <w:p w14:paraId="33DA90B5" w14:textId="77777777" w:rsidR="004D6A64" w:rsidRDefault="004D6A64">
            <w:pPr>
              <w:rPr>
                <w:rFonts w:ascii="宋体"/>
              </w:rPr>
            </w:pPr>
          </w:p>
        </w:tc>
        <w:tc>
          <w:tcPr>
            <w:tcW w:w="5" w:type="pct"/>
            <w:shd w:val="clear" w:color="auto" w:fill="auto"/>
          </w:tcPr>
          <w:p w14:paraId="33DA90B6" w14:textId="77777777" w:rsidR="004D6A64" w:rsidRDefault="004D6A64">
            <w:pPr>
              <w:rPr>
                <w:rFonts w:ascii="宋体"/>
              </w:rPr>
            </w:pPr>
          </w:p>
        </w:tc>
        <w:tc>
          <w:tcPr>
            <w:tcW w:w="50" w:type="pct"/>
            <w:shd w:val="clear" w:color="auto" w:fill="auto"/>
          </w:tcPr>
          <w:p w14:paraId="33DA90B7" w14:textId="77777777" w:rsidR="004D6A64" w:rsidRDefault="004D6A64">
            <w:pPr>
              <w:rPr>
                <w:rFonts w:ascii="宋体"/>
              </w:rPr>
            </w:pPr>
          </w:p>
        </w:tc>
        <w:tc>
          <w:tcPr>
            <w:tcW w:w="625" w:type="pct"/>
            <w:shd w:val="clear" w:color="auto" w:fill="auto"/>
          </w:tcPr>
          <w:p w14:paraId="33DA90B8" w14:textId="77777777" w:rsidR="004D6A64" w:rsidRDefault="004D6A64">
            <w:pPr>
              <w:rPr>
                <w:rFonts w:ascii="宋体"/>
              </w:rPr>
            </w:pPr>
          </w:p>
        </w:tc>
        <w:tc>
          <w:tcPr>
            <w:tcW w:w="5" w:type="pct"/>
            <w:shd w:val="clear" w:color="auto" w:fill="auto"/>
          </w:tcPr>
          <w:p w14:paraId="33DA90B9" w14:textId="77777777" w:rsidR="004D6A64" w:rsidRDefault="004D6A64">
            <w:pPr>
              <w:rPr>
                <w:rFonts w:ascii="宋体"/>
              </w:rPr>
            </w:pPr>
          </w:p>
        </w:tc>
      </w:tr>
      <w:tr w:rsidR="004D6A64" w14:paraId="33DA90C3" w14:textId="77777777">
        <w:trPr>
          <w:gridAfter w:val="3"/>
          <w:jc w:val="center"/>
        </w:trPr>
        <w:tc>
          <w:tcPr>
            <w:tcW w:w="0" w:type="auto"/>
            <w:gridSpan w:val="3"/>
            <w:shd w:val="clear" w:color="auto" w:fill="auto"/>
            <w:tcMar>
              <w:left w:w="20" w:type="dxa"/>
              <w:right w:w="20" w:type="dxa"/>
            </w:tcMar>
            <w:vAlign w:val="bottom"/>
          </w:tcPr>
          <w:p w14:paraId="33DA90BB" w14:textId="77777777" w:rsidR="004D6A64" w:rsidRDefault="004D6A64">
            <w:pPr>
              <w:rPr>
                <w:rFonts w:ascii="宋体"/>
              </w:rPr>
            </w:pPr>
          </w:p>
        </w:tc>
        <w:tc>
          <w:tcPr>
            <w:tcW w:w="0" w:type="auto"/>
            <w:gridSpan w:val="9"/>
            <w:shd w:val="clear" w:color="auto" w:fill="auto"/>
            <w:tcMar>
              <w:top w:w="40" w:type="dxa"/>
              <w:left w:w="20" w:type="dxa"/>
              <w:bottom w:w="40" w:type="dxa"/>
              <w:right w:w="20" w:type="dxa"/>
            </w:tcMar>
            <w:vAlign w:val="center"/>
          </w:tcPr>
          <w:p w14:paraId="33DA90BC" w14:textId="77777777" w:rsidR="004D6A64" w:rsidRDefault="00506CD6">
            <w:pPr>
              <w:jc w:val="center"/>
              <w:textAlignment w:val="center"/>
            </w:pPr>
            <w:r>
              <w:rPr>
                <w:rFonts w:ascii="Times New Roman" w:eastAsia="宋体" w:hAnsi="Times New Roman"/>
                <w:b/>
                <w:bCs/>
                <w:color w:val="000000"/>
                <w:sz w:val="20"/>
                <w:szCs w:val="20"/>
              </w:rPr>
              <w:t>Three Months Ended</w:t>
            </w:r>
          </w:p>
        </w:tc>
        <w:tc>
          <w:tcPr>
            <w:tcW w:w="0" w:type="auto"/>
            <w:gridSpan w:val="3"/>
            <w:shd w:val="clear" w:color="auto" w:fill="auto"/>
          </w:tcPr>
          <w:p w14:paraId="33DA90BD" w14:textId="77777777" w:rsidR="004D6A64" w:rsidRDefault="004D6A64">
            <w:pPr>
              <w:rPr>
                <w:rFonts w:ascii="宋体"/>
                <w:vanish/>
              </w:rPr>
            </w:pPr>
          </w:p>
        </w:tc>
        <w:tc>
          <w:tcPr>
            <w:tcW w:w="0" w:type="auto"/>
            <w:gridSpan w:val="3"/>
            <w:shd w:val="clear" w:color="auto" w:fill="auto"/>
          </w:tcPr>
          <w:p w14:paraId="33DA90BE"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90BF" w14:textId="77777777" w:rsidR="004D6A64" w:rsidRDefault="004D6A64">
            <w:pPr>
              <w:rPr>
                <w:rFonts w:ascii="宋体"/>
              </w:rPr>
            </w:pPr>
          </w:p>
        </w:tc>
        <w:tc>
          <w:tcPr>
            <w:tcW w:w="0" w:type="auto"/>
            <w:gridSpan w:val="9"/>
            <w:shd w:val="clear" w:color="auto" w:fill="auto"/>
            <w:tcMar>
              <w:top w:w="40" w:type="dxa"/>
              <w:left w:w="20" w:type="dxa"/>
              <w:bottom w:w="40" w:type="dxa"/>
              <w:right w:w="20" w:type="dxa"/>
            </w:tcMar>
            <w:vAlign w:val="center"/>
          </w:tcPr>
          <w:p w14:paraId="33DA90C0" w14:textId="77777777" w:rsidR="004D6A64" w:rsidRDefault="00506CD6">
            <w:pPr>
              <w:jc w:val="center"/>
              <w:textAlignment w:val="center"/>
            </w:pPr>
            <w:r>
              <w:rPr>
                <w:rFonts w:ascii="Times New Roman" w:eastAsia="宋体" w:hAnsi="Times New Roman"/>
                <w:b/>
                <w:bCs/>
                <w:color w:val="000000"/>
                <w:sz w:val="20"/>
                <w:szCs w:val="20"/>
              </w:rPr>
              <w:t>Six Months Ended</w:t>
            </w:r>
          </w:p>
        </w:tc>
        <w:tc>
          <w:tcPr>
            <w:tcW w:w="0" w:type="auto"/>
            <w:gridSpan w:val="3"/>
            <w:shd w:val="clear" w:color="auto" w:fill="auto"/>
          </w:tcPr>
          <w:p w14:paraId="33DA90C1" w14:textId="77777777" w:rsidR="004D6A64" w:rsidRDefault="004D6A64">
            <w:pPr>
              <w:rPr>
                <w:rFonts w:ascii="宋体"/>
                <w:vanish/>
              </w:rPr>
            </w:pPr>
          </w:p>
        </w:tc>
        <w:tc>
          <w:tcPr>
            <w:tcW w:w="0" w:type="auto"/>
            <w:gridSpan w:val="3"/>
            <w:shd w:val="clear" w:color="auto" w:fill="auto"/>
          </w:tcPr>
          <w:p w14:paraId="33DA90C2" w14:textId="77777777" w:rsidR="004D6A64" w:rsidRDefault="004D6A64">
            <w:pPr>
              <w:rPr>
                <w:rFonts w:ascii="宋体"/>
                <w:vanish/>
              </w:rPr>
            </w:pPr>
          </w:p>
        </w:tc>
      </w:tr>
      <w:tr w:rsidR="004D6A64" w14:paraId="33DA90D8" w14:textId="77777777">
        <w:trPr>
          <w:gridAfter w:val="3"/>
          <w:jc w:val="center"/>
        </w:trPr>
        <w:tc>
          <w:tcPr>
            <w:tcW w:w="0" w:type="auto"/>
            <w:gridSpan w:val="3"/>
            <w:shd w:val="clear" w:color="auto" w:fill="auto"/>
            <w:tcMar>
              <w:top w:w="40" w:type="dxa"/>
              <w:left w:w="20" w:type="dxa"/>
              <w:bottom w:w="40" w:type="dxa"/>
              <w:right w:w="20" w:type="dxa"/>
            </w:tcMar>
            <w:vAlign w:val="center"/>
          </w:tcPr>
          <w:p w14:paraId="33DA90C4" w14:textId="77777777" w:rsidR="004D6A64" w:rsidRDefault="00506CD6">
            <w:pPr>
              <w:jc w:val="center"/>
              <w:textAlignment w:val="center"/>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3DA90C5" w14:textId="77777777" w:rsidR="004D6A64" w:rsidRDefault="00506CD6">
            <w:pPr>
              <w:jc w:val="center"/>
              <w:textAlignment w:val="center"/>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90C6"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3DA90C7" w14:textId="77777777" w:rsidR="004D6A64" w:rsidRDefault="00506CD6">
            <w:pPr>
              <w:jc w:val="center"/>
              <w:textAlignment w:val="center"/>
            </w:pPr>
            <w:r>
              <w:rPr>
                <w:rFonts w:ascii="Times New Roman" w:eastAsia="宋体" w:hAnsi="Times New Roman"/>
                <w:b/>
                <w:bCs/>
                <w:color w:val="000000"/>
                <w:sz w:val="20"/>
                <w:szCs w:val="20"/>
              </w:rPr>
              <w:t>August 2, 2019</w:t>
            </w:r>
          </w:p>
        </w:tc>
        <w:tc>
          <w:tcPr>
            <w:tcW w:w="0" w:type="auto"/>
            <w:gridSpan w:val="3"/>
            <w:shd w:val="clear" w:color="auto" w:fill="auto"/>
            <w:tcMar>
              <w:left w:w="20" w:type="dxa"/>
              <w:right w:w="20" w:type="dxa"/>
            </w:tcMar>
            <w:vAlign w:val="bottom"/>
          </w:tcPr>
          <w:p w14:paraId="33DA90C8"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3DA90C9" w14:textId="77777777" w:rsidR="004D6A64" w:rsidRDefault="00506CD6">
            <w:pPr>
              <w:jc w:val="center"/>
              <w:textAlignment w:val="center"/>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center"/>
          </w:tcPr>
          <w:p w14:paraId="33DA90CA"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3DA90CB" w14:textId="77777777" w:rsidR="004D6A64" w:rsidRDefault="00506CD6">
            <w:pPr>
              <w:jc w:val="center"/>
              <w:textAlignment w:val="center"/>
            </w:pPr>
            <w:r>
              <w:rPr>
                <w:rFonts w:ascii="Times New Roman" w:eastAsia="宋体" w:hAnsi="Times New Roman"/>
                <w:b/>
                <w:bCs/>
                <w:color w:val="000000"/>
                <w:sz w:val="20"/>
                <w:szCs w:val="20"/>
              </w:rPr>
              <w:t>August 2, 2019</w:t>
            </w:r>
          </w:p>
        </w:tc>
        <w:tc>
          <w:tcPr>
            <w:tcW w:w="0" w:type="auto"/>
            <w:shd w:val="clear" w:color="auto" w:fill="auto"/>
          </w:tcPr>
          <w:p w14:paraId="33DA90CC" w14:textId="77777777" w:rsidR="004D6A64" w:rsidRDefault="004D6A64">
            <w:pPr>
              <w:rPr>
                <w:rFonts w:ascii="宋体"/>
              </w:rPr>
            </w:pPr>
          </w:p>
        </w:tc>
        <w:tc>
          <w:tcPr>
            <w:tcW w:w="0" w:type="auto"/>
            <w:shd w:val="clear" w:color="auto" w:fill="auto"/>
          </w:tcPr>
          <w:p w14:paraId="33DA90CD" w14:textId="77777777" w:rsidR="004D6A64" w:rsidRDefault="004D6A64">
            <w:pPr>
              <w:rPr>
                <w:rFonts w:ascii="宋体"/>
              </w:rPr>
            </w:pPr>
          </w:p>
        </w:tc>
        <w:tc>
          <w:tcPr>
            <w:tcW w:w="0" w:type="auto"/>
            <w:shd w:val="clear" w:color="auto" w:fill="auto"/>
          </w:tcPr>
          <w:p w14:paraId="33DA90CE" w14:textId="77777777" w:rsidR="004D6A64" w:rsidRDefault="004D6A64">
            <w:pPr>
              <w:rPr>
                <w:rFonts w:ascii="宋体"/>
              </w:rPr>
            </w:pPr>
          </w:p>
        </w:tc>
        <w:tc>
          <w:tcPr>
            <w:tcW w:w="0" w:type="auto"/>
            <w:shd w:val="clear" w:color="auto" w:fill="auto"/>
          </w:tcPr>
          <w:p w14:paraId="33DA90CF" w14:textId="77777777" w:rsidR="004D6A64" w:rsidRDefault="004D6A64">
            <w:pPr>
              <w:rPr>
                <w:rFonts w:ascii="宋体"/>
              </w:rPr>
            </w:pPr>
          </w:p>
        </w:tc>
        <w:tc>
          <w:tcPr>
            <w:tcW w:w="0" w:type="auto"/>
            <w:shd w:val="clear" w:color="auto" w:fill="auto"/>
          </w:tcPr>
          <w:p w14:paraId="33DA90D0" w14:textId="77777777" w:rsidR="004D6A64" w:rsidRDefault="004D6A64">
            <w:pPr>
              <w:rPr>
                <w:rFonts w:ascii="宋体"/>
              </w:rPr>
            </w:pPr>
          </w:p>
        </w:tc>
        <w:tc>
          <w:tcPr>
            <w:tcW w:w="0" w:type="auto"/>
            <w:shd w:val="clear" w:color="auto" w:fill="auto"/>
          </w:tcPr>
          <w:p w14:paraId="33DA90D1" w14:textId="77777777" w:rsidR="004D6A64" w:rsidRDefault="004D6A64">
            <w:pPr>
              <w:rPr>
                <w:rFonts w:ascii="宋体"/>
              </w:rPr>
            </w:pPr>
          </w:p>
        </w:tc>
        <w:tc>
          <w:tcPr>
            <w:tcW w:w="0" w:type="auto"/>
            <w:shd w:val="clear" w:color="auto" w:fill="auto"/>
          </w:tcPr>
          <w:p w14:paraId="33DA90D2" w14:textId="77777777" w:rsidR="004D6A64" w:rsidRDefault="004D6A64">
            <w:pPr>
              <w:rPr>
                <w:rFonts w:ascii="宋体"/>
              </w:rPr>
            </w:pPr>
          </w:p>
        </w:tc>
        <w:tc>
          <w:tcPr>
            <w:tcW w:w="0" w:type="auto"/>
            <w:shd w:val="clear" w:color="auto" w:fill="auto"/>
          </w:tcPr>
          <w:p w14:paraId="33DA90D3" w14:textId="77777777" w:rsidR="004D6A64" w:rsidRDefault="004D6A64">
            <w:pPr>
              <w:rPr>
                <w:rFonts w:ascii="宋体"/>
              </w:rPr>
            </w:pPr>
          </w:p>
        </w:tc>
        <w:tc>
          <w:tcPr>
            <w:tcW w:w="0" w:type="auto"/>
            <w:shd w:val="clear" w:color="auto" w:fill="auto"/>
          </w:tcPr>
          <w:p w14:paraId="33DA90D4" w14:textId="77777777" w:rsidR="004D6A64" w:rsidRDefault="004D6A64">
            <w:pPr>
              <w:rPr>
                <w:rFonts w:ascii="宋体"/>
              </w:rPr>
            </w:pPr>
          </w:p>
        </w:tc>
        <w:tc>
          <w:tcPr>
            <w:tcW w:w="0" w:type="auto"/>
            <w:shd w:val="clear" w:color="auto" w:fill="auto"/>
          </w:tcPr>
          <w:p w14:paraId="33DA90D5" w14:textId="77777777" w:rsidR="004D6A64" w:rsidRDefault="004D6A64">
            <w:pPr>
              <w:rPr>
                <w:rFonts w:ascii="宋体"/>
              </w:rPr>
            </w:pPr>
          </w:p>
        </w:tc>
        <w:tc>
          <w:tcPr>
            <w:tcW w:w="0" w:type="auto"/>
            <w:shd w:val="clear" w:color="auto" w:fill="auto"/>
          </w:tcPr>
          <w:p w14:paraId="33DA90D6" w14:textId="77777777" w:rsidR="004D6A64" w:rsidRDefault="004D6A64">
            <w:pPr>
              <w:rPr>
                <w:rFonts w:ascii="宋体"/>
              </w:rPr>
            </w:pPr>
          </w:p>
        </w:tc>
        <w:tc>
          <w:tcPr>
            <w:tcW w:w="0" w:type="auto"/>
            <w:shd w:val="clear" w:color="auto" w:fill="auto"/>
          </w:tcPr>
          <w:p w14:paraId="33DA90D7" w14:textId="77777777" w:rsidR="004D6A64" w:rsidRDefault="004D6A64">
            <w:pPr>
              <w:rPr>
                <w:rFonts w:ascii="宋体"/>
              </w:rPr>
            </w:pPr>
          </w:p>
        </w:tc>
      </w:tr>
      <w:tr w:rsidR="004D6A64" w14:paraId="33DA90ED" w14:textId="77777777">
        <w:trPr>
          <w:gridAfter w:val="3"/>
          <w:jc w:val="center"/>
        </w:trPr>
        <w:tc>
          <w:tcPr>
            <w:tcW w:w="0" w:type="auto"/>
            <w:gridSpan w:val="3"/>
            <w:shd w:val="clear" w:color="auto" w:fill="CCEEFF"/>
            <w:tcMar>
              <w:top w:w="40" w:type="dxa"/>
              <w:left w:w="20" w:type="dxa"/>
              <w:bottom w:w="40" w:type="dxa"/>
              <w:right w:w="20" w:type="dxa"/>
            </w:tcMar>
            <w:vAlign w:val="center"/>
          </w:tcPr>
          <w:p w14:paraId="33DA90D9" w14:textId="77777777" w:rsidR="004D6A64" w:rsidRDefault="00506CD6">
            <w:pPr>
              <w:textAlignment w:val="center"/>
            </w:pPr>
            <w:r>
              <w:rPr>
                <w:rFonts w:ascii="Times New Roman" w:eastAsia="宋体" w:hAnsi="Times New Roman"/>
                <w:i/>
                <w:iCs/>
                <w:color w:val="000000"/>
                <w:sz w:val="20"/>
                <w:szCs w:val="20"/>
              </w:rPr>
              <w:t>Net revenue:</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3DA90DA" w14:textId="77777777" w:rsidR="004D6A64" w:rsidRDefault="00506CD6">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left w:w="20" w:type="dxa"/>
              <w:right w:w="20" w:type="dxa"/>
            </w:tcMar>
            <w:vAlign w:val="bottom"/>
          </w:tcPr>
          <w:p w14:paraId="33DA90DB" w14:textId="77777777" w:rsidR="004D6A64" w:rsidRDefault="004D6A64">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90D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90DD" w14:textId="77777777" w:rsidR="004D6A64" w:rsidRDefault="004D6A64">
            <w:pPr>
              <w:rPr>
                <w:rFonts w:ascii="宋体"/>
              </w:rPr>
            </w:pPr>
          </w:p>
        </w:tc>
        <w:tc>
          <w:tcPr>
            <w:tcW w:w="0" w:type="auto"/>
            <w:gridSpan w:val="3"/>
            <w:tcBorders>
              <w:top w:val="single" w:sz="8" w:space="0" w:color="000000"/>
            </w:tcBorders>
            <w:shd w:val="clear" w:color="auto" w:fill="CCEEFF"/>
            <w:tcMar>
              <w:left w:w="20" w:type="dxa"/>
              <w:right w:w="20" w:type="dxa"/>
            </w:tcMar>
            <w:vAlign w:val="center"/>
          </w:tcPr>
          <w:p w14:paraId="33DA90DE" w14:textId="77777777" w:rsidR="004D6A64" w:rsidRDefault="004D6A64">
            <w:pPr>
              <w:jc w:val="right"/>
              <w:rPr>
                <w:rFonts w:ascii="宋体"/>
              </w:rPr>
            </w:pPr>
          </w:p>
        </w:tc>
        <w:tc>
          <w:tcPr>
            <w:tcW w:w="0" w:type="auto"/>
            <w:gridSpan w:val="3"/>
            <w:shd w:val="clear" w:color="auto" w:fill="CCEEFF"/>
            <w:tcMar>
              <w:left w:w="20" w:type="dxa"/>
              <w:right w:w="20" w:type="dxa"/>
            </w:tcMar>
            <w:vAlign w:val="center"/>
          </w:tcPr>
          <w:p w14:paraId="33DA90DF" w14:textId="77777777" w:rsidR="004D6A64" w:rsidRDefault="004D6A64">
            <w:pPr>
              <w:jc w:val="right"/>
              <w:rPr>
                <w:rFonts w:ascii="宋体"/>
              </w:rPr>
            </w:pPr>
          </w:p>
        </w:tc>
        <w:tc>
          <w:tcPr>
            <w:tcW w:w="0" w:type="auto"/>
            <w:gridSpan w:val="3"/>
            <w:tcBorders>
              <w:top w:val="single" w:sz="8" w:space="0" w:color="000000"/>
            </w:tcBorders>
            <w:shd w:val="clear" w:color="auto" w:fill="CCEEFF"/>
            <w:tcMar>
              <w:left w:w="20" w:type="dxa"/>
              <w:right w:w="20" w:type="dxa"/>
            </w:tcMar>
            <w:vAlign w:val="center"/>
          </w:tcPr>
          <w:p w14:paraId="33DA90E0" w14:textId="77777777" w:rsidR="004D6A64" w:rsidRDefault="004D6A64">
            <w:pPr>
              <w:jc w:val="right"/>
              <w:rPr>
                <w:rFonts w:ascii="宋体"/>
              </w:rPr>
            </w:pPr>
          </w:p>
        </w:tc>
        <w:tc>
          <w:tcPr>
            <w:tcW w:w="0" w:type="auto"/>
            <w:shd w:val="clear" w:color="auto" w:fill="auto"/>
          </w:tcPr>
          <w:p w14:paraId="33DA90E1" w14:textId="77777777" w:rsidR="004D6A64" w:rsidRDefault="004D6A64">
            <w:pPr>
              <w:rPr>
                <w:rFonts w:ascii="宋体"/>
              </w:rPr>
            </w:pPr>
          </w:p>
        </w:tc>
        <w:tc>
          <w:tcPr>
            <w:tcW w:w="0" w:type="auto"/>
            <w:shd w:val="clear" w:color="auto" w:fill="auto"/>
          </w:tcPr>
          <w:p w14:paraId="33DA90E2" w14:textId="77777777" w:rsidR="004D6A64" w:rsidRDefault="004D6A64">
            <w:pPr>
              <w:rPr>
                <w:rFonts w:ascii="宋体"/>
              </w:rPr>
            </w:pPr>
          </w:p>
        </w:tc>
        <w:tc>
          <w:tcPr>
            <w:tcW w:w="0" w:type="auto"/>
            <w:shd w:val="clear" w:color="auto" w:fill="auto"/>
          </w:tcPr>
          <w:p w14:paraId="33DA90E3" w14:textId="77777777" w:rsidR="004D6A64" w:rsidRDefault="004D6A64">
            <w:pPr>
              <w:rPr>
                <w:rFonts w:ascii="宋体"/>
              </w:rPr>
            </w:pPr>
          </w:p>
        </w:tc>
        <w:tc>
          <w:tcPr>
            <w:tcW w:w="0" w:type="auto"/>
            <w:shd w:val="clear" w:color="auto" w:fill="auto"/>
          </w:tcPr>
          <w:p w14:paraId="33DA90E4" w14:textId="77777777" w:rsidR="004D6A64" w:rsidRDefault="004D6A64">
            <w:pPr>
              <w:rPr>
                <w:rFonts w:ascii="宋体"/>
              </w:rPr>
            </w:pPr>
          </w:p>
        </w:tc>
        <w:tc>
          <w:tcPr>
            <w:tcW w:w="0" w:type="auto"/>
            <w:shd w:val="clear" w:color="auto" w:fill="auto"/>
          </w:tcPr>
          <w:p w14:paraId="33DA90E5" w14:textId="77777777" w:rsidR="004D6A64" w:rsidRDefault="004D6A64">
            <w:pPr>
              <w:rPr>
                <w:rFonts w:ascii="宋体"/>
              </w:rPr>
            </w:pPr>
          </w:p>
        </w:tc>
        <w:tc>
          <w:tcPr>
            <w:tcW w:w="0" w:type="auto"/>
            <w:shd w:val="clear" w:color="auto" w:fill="auto"/>
          </w:tcPr>
          <w:p w14:paraId="33DA90E6" w14:textId="77777777" w:rsidR="004D6A64" w:rsidRDefault="004D6A64">
            <w:pPr>
              <w:rPr>
                <w:rFonts w:ascii="宋体"/>
              </w:rPr>
            </w:pPr>
          </w:p>
        </w:tc>
        <w:tc>
          <w:tcPr>
            <w:tcW w:w="0" w:type="auto"/>
            <w:shd w:val="clear" w:color="auto" w:fill="auto"/>
          </w:tcPr>
          <w:p w14:paraId="33DA90E7" w14:textId="77777777" w:rsidR="004D6A64" w:rsidRDefault="004D6A64">
            <w:pPr>
              <w:rPr>
                <w:rFonts w:ascii="宋体"/>
              </w:rPr>
            </w:pPr>
          </w:p>
        </w:tc>
        <w:tc>
          <w:tcPr>
            <w:tcW w:w="0" w:type="auto"/>
            <w:shd w:val="clear" w:color="auto" w:fill="auto"/>
          </w:tcPr>
          <w:p w14:paraId="33DA90E8" w14:textId="77777777" w:rsidR="004D6A64" w:rsidRDefault="004D6A64">
            <w:pPr>
              <w:rPr>
                <w:rFonts w:ascii="宋体"/>
              </w:rPr>
            </w:pPr>
          </w:p>
        </w:tc>
        <w:tc>
          <w:tcPr>
            <w:tcW w:w="0" w:type="auto"/>
            <w:shd w:val="clear" w:color="auto" w:fill="auto"/>
          </w:tcPr>
          <w:p w14:paraId="33DA90E9" w14:textId="77777777" w:rsidR="004D6A64" w:rsidRDefault="004D6A64">
            <w:pPr>
              <w:rPr>
                <w:rFonts w:ascii="宋体"/>
              </w:rPr>
            </w:pPr>
          </w:p>
        </w:tc>
        <w:tc>
          <w:tcPr>
            <w:tcW w:w="0" w:type="auto"/>
            <w:shd w:val="clear" w:color="auto" w:fill="auto"/>
          </w:tcPr>
          <w:p w14:paraId="33DA90EA" w14:textId="77777777" w:rsidR="004D6A64" w:rsidRDefault="004D6A64">
            <w:pPr>
              <w:rPr>
                <w:rFonts w:ascii="宋体"/>
              </w:rPr>
            </w:pPr>
          </w:p>
        </w:tc>
        <w:tc>
          <w:tcPr>
            <w:tcW w:w="0" w:type="auto"/>
            <w:shd w:val="clear" w:color="auto" w:fill="auto"/>
          </w:tcPr>
          <w:p w14:paraId="33DA90EB" w14:textId="77777777" w:rsidR="004D6A64" w:rsidRDefault="004D6A64">
            <w:pPr>
              <w:rPr>
                <w:rFonts w:ascii="宋体"/>
              </w:rPr>
            </w:pPr>
          </w:p>
        </w:tc>
        <w:tc>
          <w:tcPr>
            <w:tcW w:w="0" w:type="auto"/>
            <w:shd w:val="clear" w:color="auto" w:fill="auto"/>
          </w:tcPr>
          <w:p w14:paraId="33DA90EC" w14:textId="77777777" w:rsidR="004D6A64" w:rsidRDefault="004D6A64">
            <w:pPr>
              <w:rPr>
                <w:rFonts w:ascii="宋体"/>
              </w:rPr>
            </w:pPr>
          </w:p>
        </w:tc>
      </w:tr>
      <w:tr w:rsidR="004D6A64" w14:paraId="33DA910A" w14:textId="77777777">
        <w:trPr>
          <w:gridAfter w:val="3"/>
          <w:jc w:val="center"/>
        </w:trPr>
        <w:tc>
          <w:tcPr>
            <w:tcW w:w="0" w:type="auto"/>
            <w:gridSpan w:val="3"/>
            <w:shd w:val="clear" w:color="auto" w:fill="FFFFFF"/>
            <w:tcMar>
              <w:top w:w="40" w:type="dxa"/>
              <w:left w:w="225" w:type="dxa"/>
              <w:bottom w:w="40" w:type="dxa"/>
              <w:right w:w="20" w:type="dxa"/>
            </w:tcMar>
            <w:vAlign w:val="center"/>
          </w:tcPr>
          <w:p w14:paraId="33DA90EE" w14:textId="77777777" w:rsidR="004D6A64" w:rsidRDefault="00506CD6">
            <w:pPr>
              <w:textAlignment w:val="center"/>
            </w:pPr>
            <w:r>
              <w:rPr>
                <w:rFonts w:ascii="Times New Roman" w:eastAsia="宋体" w:hAnsi="Times New Roman"/>
                <w:color w:val="000000"/>
                <w:sz w:val="20"/>
                <w:szCs w:val="20"/>
              </w:rPr>
              <w:t>Products</w:t>
            </w:r>
          </w:p>
        </w:tc>
        <w:tc>
          <w:tcPr>
            <w:tcW w:w="0" w:type="auto"/>
            <w:shd w:val="clear" w:color="auto" w:fill="FFFFFF"/>
            <w:tcMar>
              <w:top w:w="40" w:type="dxa"/>
              <w:left w:w="20" w:type="dxa"/>
              <w:bottom w:w="40" w:type="dxa"/>
            </w:tcMar>
            <w:vAlign w:val="center"/>
          </w:tcPr>
          <w:p w14:paraId="33DA90EF"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90F0" w14:textId="77777777" w:rsidR="004D6A64" w:rsidRDefault="00506CD6">
            <w:pPr>
              <w:jc w:val="right"/>
              <w:textAlignment w:val="center"/>
            </w:pPr>
            <w:r>
              <w:rPr>
                <w:rFonts w:ascii="Times New Roman" w:eastAsia="宋体" w:hAnsi="Times New Roman"/>
                <w:color w:val="000000"/>
                <w:sz w:val="20"/>
                <w:szCs w:val="20"/>
              </w:rPr>
              <w:t>16,737 </w:t>
            </w:r>
          </w:p>
        </w:tc>
        <w:tc>
          <w:tcPr>
            <w:tcW w:w="0" w:type="auto"/>
            <w:shd w:val="clear" w:color="auto" w:fill="FFFFFF"/>
            <w:tcMar>
              <w:top w:w="40" w:type="dxa"/>
              <w:bottom w:w="40" w:type="dxa"/>
              <w:right w:w="20" w:type="dxa"/>
            </w:tcMar>
            <w:vAlign w:val="center"/>
          </w:tcPr>
          <w:p w14:paraId="33DA90F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0F2"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90F3"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90F4" w14:textId="77777777" w:rsidR="004D6A64" w:rsidRDefault="00506CD6">
            <w:pPr>
              <w:jc w:val="right"/>
              <w:textAlignment w:val="center"/>
            </w:pPr>
            <w:r>
              <w:rPr>
                <w:rFonts w:ascii="Times New Roman" w:eastAsia="宋体" w:hAnsi="Times New Roman"/>
                <w:color w:val="000000"/>
                <w:sz w:val="20"/>
                <w:szCs w:val="20"/>
              </w:rPr>
              <w:t>17,915 </w:t>
            </w:r>
          </w:p>
        </w:tc>
        <w:tc>
          <w:tcPr>
            <w:tcW w:w="0" w:type="auto"/>
            <w:shd w:val="clear" w:color="auto" w:fill="FFFFFF"/>
            <w:tcMar>
              <w:top w:w="40" w:type="dxa"/>
              <w:bottom w:w="40" w:type="dxa"/>
              <w:right w:w="20" w:type="dxa"/>
            </w:tcMar>
            <w:vAlign w:val="center"/>
          </w:tcPr>
          <w:p w14:paraId="33DA90F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0F6"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90F7"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90F8" w14:textId="77777777" w:rsidR="004D6A64" w:rsidRDefault="00506CD6">
            <w:pPr>
              <w:jc w:val="right"/>
              <w:textAlignment w:val="center"/>
            </w:pPr>
            <w:r>
              <w:rPr>
                <w:rFonts w:ascii="Times New Roman" w:eastAsia="宋体" w:hAnsi="Times New Roman"/>
                <w:color w:val="000000"/>
                <w:sz w:val="20"/>
                <w:szCs w:val="20"/>
              </w:rPr>
              <w:t>32,775 </w:t>
            </w:r>
          </w:p>
        </w:tc>
        <w:tc>
          <w:tcPr>
            <w:tcW w:w="0" w:type="auto"/>
            <w:shd w:val="clear" w:color="auto" w:fill="FFFFFF"/>
            <w:tcMar>
              <w:top w:w="40" w:type="dxa"/>
              <w:bottom w:w="40" w:type="dxa"/>
              <w:right w:w="20" w:type="dxa"/>
            </w:tcMar>
            <w:vAlign w:val="center"/>
          </w:tcPr>
          <w:p w14:paraId="33DA90F9" w14:textId="77777777" w:rsidR="004D6A64" w:rsidRDefault="004D6A64">
            <w:pPr>
              <w:jc w:val="right"/>
              <w:rPr>
                <w:rFonts w:ascii="宋体"/>
              </w:rPr>
            </w:pPr>
          </w:p>
        </w:tc>
        <w:tc>
          <w:tcPr>
            <w:tcW w:w="0" w:type="auto"/>
            <w:gridSpan w:val="3"/>
            <w:shd w:val="clear" w:color="auto" w:fill="auto"/>
            <w:tcMar>
              <w:left w:w="20" w:type="dxa"/>
              <w:right w:w="20" w:type="dxa"/>
            </w:tcMar>
            <w:vAlign w:val="center"/>
          </w:tcPr>
          <w:p w14:paraId="33DA90FA" w14:textId="77777777" w:rsidR="004D6A64" w:rsidRDefault="004D6A64">
            <w:pPr>
              <w:jc w:val="right"/>
              <w:rPr>
                <w:rFonts w:ascii="宋体"/>
              </w:rPr>
            </w:pPr>
          </w:p>
        </w:tc>
        <w:tc>
          <w:tcPr>
            <w:tcW w:w="0" w:type="auto"/>
            <w:shd w:val="clear" w:color="auto" w:fill="auto"/>
            <w:tcMar>
              <w:top w:w="40" w:type="dxa"/>
              <w:left w:w="20" w:type="dxa"/>
              <w:bottom w:w="40" w:type="dxa"/>
            </w:tcMar>
            <w:vAlign w:val="center"/>
          </w:tcPr>
          <w:p w14:paraId="33DA90FB"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auto"/>
            <w:tcMar>
              <w:top w:w="40" w:type="dxa"/>
              <w:bottom w:w="40" w:type="dxa"/>
              <w:right w:w="0" w:type="dxa"/>
            </w:tcMar>
            <w:vAlign w:val="center"/>
          </w:tcPr>
          <w:p w14:paraId="33DA90FC" w14:textId="77777777" w:rsidR="004D6A64" w:rsidRDefault="00506CD6">
            <w:pPr>
              <w:jc w:val="right"/>
              <w:textAlignment w:val="center"/>
            </w:pPr>
            <w:r>
              <w:rPr>
                <w:rFonts w:ascii="Times New Roman" w:eastAsia="宋体" w:hAnsi="Times New Roman"/>
                <w:color w:val="000000"/>
                <w:sz w:val="20"/>
                <w:szCs w:val="20"/>
              </w:rPr>
              <w:t>34,490 </w:t>
            </w:r>
          </w:p>
        </w:tc>
        <w:tc>
          <w:tcPr>
            <w:tcW w:w="0" w:type="auto"/>
            <w:shd w:val="clear" w:color="auto" w:fill="auto"/>
            <w:tcMar>
              <w:top w:w="40" w:type="dxa"/>
              <w:bottom w:w="40" w:type="dxa"/>
              <w:right w:w="20" w:type="dxa"/>
            </w:tcMar>
            <w:vAlign w:val="center"/>
          </w:tcPr>
          <w:p w14:paraId="33DA90FD" w14:textId="77777777" w:rsidR="004D6A64" w:rsidRDefault="004D6A64">
            <w:pPr>
              <w:jc w:val="right"/>
              <w:rPr>
                <w:rFonts w:ascii="宋体"/>
              </w:rPr>
            </w:pPr>
          </w:p>
        </w:tc>
        <w:tc>
          <w:tcPr>
            <w:tcW w:w="0" w:type="auto"/>
            <w:shd w:val="clear" w:color="auto" w:fill="auto"/>
          </w:tcPr>
          <w:p w14:paraId="33DA90FE" w14:textId="77777777" w:rsidR="004D6A64" w:rsidRDefault="004D6A64">
            <w:pPr>
              <w:rPr>
                <w:rFonts w:ascii="宋体"/>
              </w:rPr>
            </w:pPr>
          </w:p>
        </w:tc>
        <w:tc>
          <w:tcPr>
            <w:tcW w:w="0" w:type="auto"/>
            <w:shd w:val="clear" w:color="auto" w:fill="auto"/>
          </w:tcPr>
          <w:p w14:paraId="33DA90FF" w14:textId="77777777" w:rsidR="004D6A64" w:rsidRDefault="004D6A64">
            <w:pPr>
              <w:rPr>
                <w:rFonts w:ascii="宋体"/>
              </w:rPr>
            </w:pPr>
          </w:p>
        </w:tc>
        <w:tc>
          <w:tcPr>
            <w:tcW w:w="0" w:type="auto"/>
            <w:shd w:val="clear" w:color="auto" w:fill="auto"/>
          </w:tcPr>
          <w:p w14:paraId="33DA9100" w14:textId="77777777" w:rsidR="004D6A64" w:rsidRDefault="004D6A64">
            <w:pPr>
              <w:rPr>
                <w:rFonts w:ascii="宋体"/>
              </w:rPr>
            </w:pPr>
          </w:p>
        </w:tc>
        <w:tc>
          <w:tcPr>
            <w:tcW w:w="0" w:type="auto"/>
            <w:shd w:val="clear" w:color="auto" w:fill="auto"/>
          </w:tcPr>
          <w:p w14:paraId="33DA9101" w14:textId="77777777" w:rsidR="004D6A64" w:rsidRDefault="004D6A64">
            <w:pPr>
              <w:rPr>
                <w:rFonts w:ascii="宋体"/>
              </w:rPr>
            </w:pPr>
          </w:p>
        </w:tc>
        <w:tc>
          <w:tcPr>
            <w:tcW w:w="0" w:type="auto"/>
            <w:shd w:val="clear" w:color="auto" w:fill="auto"/>
          </w:tcPr>
          <w:p w14:paraId="33DA9102" w14:textId="77777777" w:rsidR="004D6A64" w:rsidRDefault="004D6A64">
            <w:pPr>
              <w:rPr>
                <w:rFonts w:ascii="宋体"/>
              </w:rPr>
            </w:pPr>
          </w:p>
        </w:tc>
        <w:tc>
          <w:tcPr>
            <w:tcW w:w="0" w:type="auto"/>
            <w:shd w:val="clear" w:color="auto" w:fill="auto"/>
          </w:tcPr>
          <w:p w14:paraId="33DA9103" w14:textId="77777777" w:rsidR="004D6A64" w:rsidRDefault="004D6A64">
            <w:pPr>
              <w:rPr>
                <w:rFonts w:ascii="宋体"/>
              </w:rPr>
            </w:pPr>
          </w:p>
        </w:tc>
        <w:tc>
          <w:tcPr>
            <w:tcW w:w="0" w:type="auto"/>
            <w:shd w:val="clear" w:color="auto" w:fill="auto"/>
          </w:tcPr>
          <w:p w14:paraId="33DA9104" w14:textId="77777777" w:rsidR="004D6A64" w:rsidRDefault="004D6A64">
            <w:pPr>
              <w:rPr>
                <w:rFonts w:ascii="宋体"/>
              </w:rPr>
            </w:pPr>
          </w:p>
        </w:tc>
        <w:tc>
          <w:tcPr>
            <w:tcW w:w="0" w:type="auto"/>
            <w:shd w:val="clear" w:color="auto" w:fill="auto"/>
          </w:tcPr>
          <w:p w14:paraId="33DA9105" w14:textId="77777777" w:rsidR="004D6A64" w:rsidRDefault="004D6A64">
            <w:pPr>
              <w:rPr>
                <w:rFonts w:ascii="宋体"/>
              </w:rPr>
            </w:pPr>
          </w:p>
        </w:tc>
        <w:tc>
          <w:tcPr>
            <w:tcW w:w="0" w:type="auto"/>
            <w:shd w:val="clear" w:color="auto" w:fill="auto"/>
          </w:tcPr>
          <w:p w14:paraId="33DA9106" w14:textId="77777777" w:rsidR="004D6A64" w:rsidRDefault="004D6A64">
            <w:pPr>
              <w:rPr>
                <w:rFonts w:ascii="宋体"/>
              </w:rPr>
            </w:pPr>
          </w:p>
        </w:tc>
        <w:tc>
          <w:tcPr>
            <w:tcW w:w="0" w:type="auto"/>
            <w:shd w:val="clear" w:color="auto" w:fill="auto"/>
          </w:tcPr>
          <w:p w14:paraId="33DA9107" w14:textId="77777777" w:rsidR="004D6A64" w:rsidRDefault="004D6A64">
            <w:pPr>
              <w:rPr>
                <w:rFonts w:ascii="宋体"/>
              </w:rPr>
            </w:pPr>
          </w:p>
        </w:tc>
        <w:tc>
          <w:tcPr>
            <w:tcW w:w="0" w:type="auto"/>
            <w:shd w:val="clear" w:color="auto" w:fill="auto"/>
          </w:tcPr>
          <w:p w14:paraId="33DA9108" w14:textId="77777777" w:rsidR="004D6A64" w:rsidRDefault="004D6A64">
            <w:pPr>
              <w:rPr>
                <w:rFonts w:ascii="宋体"/>
              </w:rPr>
            </w:pPr>
          </w:p>
        </w:tc>
        <w:tc>
          <w:tcPr>
            <w:tcW w:w="0" w:type="auto"/>
            <w:shd w:val="clear" w:color="auto" w:fill="auto"/>
          </w:tcPr>
          <w:p w14:paraId="33DA9109" w14:textId="77777777" w:rsidR="004D6A64" w:rsidRDefault="004D6A64">
            <w:pPr>
              <w:rPr>
                <w:rFonts w:ascii="宋体"/>
              </w:rPr>
            </w:pPr>
          </w:p>
        </w:tc>
      </w:tr>
      <w:tr w:rsidR="004D6A64" w14:paraId="33DA9123" w14:textId="77777777">
        <w:trPr>
          <w:gridAfter w:val="3"/>
          <w:jc w:val="center"/>
        </w:trPr>
        <w:tc>
          <w:tcPr>
            <w:tcW w:w="0" w:type="auto"/>
            <w:gridSpan w:val="3"/>
            <w:shd w:val="clear" w:color="auto" w:fill="CCEEFF"/>
            <w:tcMar>
              <w:top w:w="40" w:type="dxa"/>
              <w:left w:w="225" w:type="dxa"/>
              <w:bottom w:w="40" w:type="dxa"/>
              <w:right w:w="20" w:type="dxa"/>
            </w:tcMar>
            <w:vAlign w:val="center"/>
          </w:tcPr>
          <w:p w14:paraId="33DA910B" w14:textId="77777777" w:rsidR="004D6A64" w:rsidRDefault="00506CD6">
            <w:pPr>
              <w:textAlignment w:val="center"/>
            </w:pPr>
            <w:r>
              <w:rPr>
                <w:rFonts w:ascii="Times New Roman" w:eastAsia="宋体" w:hAnsi="Times New Roman"/>
                <w:color w:val="000000"/>
                <w:sz w:val="20"/>
                <w:szCs w:val="20"/>
              </w:rPr>
              <w:t>Services</w:t>
            </w:r>
          </w:p>
        </w:tc>
        <w:tc>
          <w:tcPr>
            <w:tcW w:w="0" w:type="auto"/>
            <w:gridSpan w:val="2"/>
            <w:shd w:val="clear" w:color="auto" w:fill="CCEEFF"/>
            <w:tcMar>
              <w:top w:w="40" w:type="dxa"/>
              <w:left w:w="20" w:type="dxa"/>
              <w:bottom w:w="40" w:type="dxa"/>
              <w:right w:w="0" w:type="dxa"/>
            </w:tcMar>
            <w:vAlign w:val="center"/>
          </w:tcPr>
          <w:p w14:paraId="33DA910C" w14:textId="77777777" w:rsidR="004D6A64" w:rsidRDefault="00506CD6">
            <w:pPr>
              <w:jc w:val="right"/>
              <w:textAlignment w:val="center"/>
            </w:pPr>
            <w:r>
              <w:rPr>
                <w:rFonts w:ascii="Times New Roman" w:eastAsia="宋体" w:hAnsi="Times New Roman"/>
                <w:color w:val="000000"/>
                <w:sz w:val="20"/>
                <w:szCs w:val="20"/>
              </w:rPr>
              <w:t>5,996 </w:t>
            </w:r>
          </w:p>
        </w:tc>
        <w:tc>
          <w:tcPr>
            <w:tcW w:w="0" w:type="auto"/>
            <w:shd w:val="clear" w:color="auto" w:fill="CCEEFF"/>
            <w:tcMar>
              <w:top w:w="40" w:type="dxa"/>
              <w:bottom w:w="40" w:type="dxa"/>
              <w:right w:w="20" w:type="dxa"/>
            </w:tcMar>
            <w:vAlign w:val="center"/>
          </w:tcPr>
          <w:p w14:paraId="33DA910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10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910F" w14:textId="77777777" w:rsidR="004D6A64" w:rsidRDefault="00506CD6">
            <w:pPr>
              <w:jc w:val="right"/>
              <w:textAlignment w:val="center"/>
            </w:pPr>
            <w:r>
              <w:rPr>
                <w:rFonts w:ascii="Times New Roman" w:eastAsia="宋体" w:hAnsi="Times New Roman"/>
                <w:color w:val="000000"/>
                <w:sz w:val="20"/>
                <w:szCs w:val="20"/>
              </w:rPr>
              <w:t>5,455 </w:t>
            </w:r>
          </w:p>
        </w:tc>
        <w:tc>
          <w:tcPr>
            <w:tcW w:w="0" w:type="auto"/>
            <w:shd w:val="clear" w:color="auto" w:fill="CCEEFF"/>
            <w:tcMar>
              <w:top w:w="40" w:type="dxa"/>
              <w:bottom w:w="40" w:type="dxa"/>
              <w:right w:w="20" w:type="dxa"/>
            </w:tcMar>
            <w:vAlign w:val="center"/>
          </w:tcPr>
          <w:p w14:paraId="33DA911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111"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9112" w14:textId="77777777" w:rsidR="004D6A64" w:rsidRDefault="00506CD6">
            <w:pPr>
              <w:jc w:val="right"/>
              <w:textAlignment w:val="center"/>
            </w:pPr>
            <w:r>
              <w:rPr>
                <w:rFonts w:ascii="Times New Roman" w:eastAsia="宋体" w:hAnsi="Times New Roman"/>
                <w:color w:val="000000"/>
                <w:sz w:val="20"/>
                <w:szCs w:val="20"/>
              </w:rPr>
              <w:t>11,855 </w:t>
            </w:r>
          </w:p>
        </w:tc>
        <w:tc>
          <w:tcPr>
            <w:tcW w:w="0" w:type="auto"/>
            <w:shd w:val="clear" w:color="auto" w:fill="CCEEFF"/>
            <w:tcMar>
              <w:top w:w="40" w:type="dxa"/>
              <w:bottom w:w="40" w:type="dxa"/>
              <w:right w:w="20" w:type="dxa"/>
            </w:tcMar>
            <w:vAlign w:val="center"/>
          </w:tcPr>
          <w:p w14:paraId="33DA9113" w14:textId="77777777" w:rsidR="004D6A64" w:rsidRDefault="004D6A64">
            <w:pPr>
              <w:jc w:val="right"/>
              <w:rPr>
                <w:rFonts w:ascii="宋体"/>
              </w:rPr>
            </w:pPr>
          </w:p>
        </w:tc>
        <w:tc>
          <w:tcPr>
            <w:tcW w:w="0" w:type="auto"/>
            <w:gridSpan w:val="3"/>
            <w:shd w:val="clear" w:color="auto" w:fill="CCEEFF"/>
            <w:tcMar>
              <w:left w:w="20" w:type="dxa"/>
              <w:right w:w="20" w:type="dxa"/>
            </w:tcMar>
            <w:vAlign w:val="center"/>
          </w:tcPr>
          <w:p w14:paraId="33DA9114"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center"/>
          </w:tcPr>
          <w:p w14:paraId="33DA9115" w14:textId="77777777" w:rsidR="004D6A64" w:rsidRDefault="00506CD6">
            <w:pPr>
              <w:jc w:val="right"/>
              <w:textAlignment w:val="center"/>
            </w:pPr>
            <w:r>
              <w:rPr>
                <w:rFonts w:ascii="Times New Roman" w:eastAsia="宋体" w:hAnsi="Times New Roman"/>
                <w:color w:val="000000"/>
                <w:sz w:val="20"/>
                <w:szCs w:val="20"/>
              </w:rPr>
              <w:t>10,788 </w:t>
            </w:r>
          </w:p>
        </w:tc>
        <w:tc>
          <w:tcPr>
            <w:tcW w:w="0" w:type="auto"/>
            <w:shd w:val="clear" w:color="auto" w:fill="CCEEFF"/>
            <w:tcMar>
              <w:top w:w="40" w:type="dxa"/>
              <w:bottom w:w="40" w:type="dxa"/>
              <w:right w:w="20" w:type="dxa"/>
            </w:tcMar>
            <w:vAlign w:val="center"/>
          </w:tcPr>
          <w:p w14:paraId="33DA9116" w14:textId="77777777" w:rsidR="004D6A64" w:rsidRDefault="004D6A64">
            <w:pPr>
              <w:jc w:val="right"/>
              <w:rPr>
                <w:rFonts w:ascii="宋体"/>
              </w:rPr>
            </w:pPr>
          </w:p>
        </w:tc>
        <w:tc>
          <w:tcPr>
            <w:tcW w:w="0" w:type="auto"/>
            <w:shd w:val="clear" w:color="auto" w:fill="auto"/>
          </w:tcPr>
          <w:p w14:paraId="33DA9117" w14:textId="77777777" w:rsidR="004D6A64" w:rsidRDefault="004D6A64">
            <w:pPr>
              <w:rPr>
                <w:rFonts w:ascii="宋体"/>
              </w:rPr>
            </w:pPr>
          </w:p>
        </w:tc>
        <w:tc>
          <w:tcPr>
            <w:tcW w:w="0" w:type="auto"/>
            <w:shd w:val="clear" w:color="auto" w:fill="auto"/>
          </w:tcPr>
          <w:p w14:paraId="33DA9118" w14:textId="77777777" w:rsidR="004D6A64" w:rsidRDefault="004D6A64">
            <w:pPr>
              <w:rPr>
                <w:rFonts w:ascii="宋体"/>
              </w:rPr>
            </w:pPr>
          </w:p>
        </w:tc>
        <w:tc>
          <w:tcPr>
            <w:tcW w:w="0" w:type="auto"/>
            <w:shd w:val="clear" w:color="auto" w:fill="auto"/>
          </w:tcPr>
          <w:p w14:paraId="33DA9119" w14:textId="77777777" w:rsidR="004D6A64" w:rsidRDefault="004D6A64">
            <w:pPr>
              <w:rPr>
                <w:rFonts w:ascii="宋体"/>
              </w:rPr>
            </w:pPr>
          </w:p>
        </w:tc>
        <w:tc>
          <w:tcPr>
            <w:tcW w:w="0" w:type="auto"/>
            <w:shd w:val="clear" w:color="auto" w:fill="auto"/>
          </w:tcPr>
          <w:p w14:paraId="33DA911A" w14:textId="77777777" w:rsidR="004D6A64" w:rsidRDefault="004D6A64">
            <w:pPr>
              <w:rPr>
                <w:rFonts w:ascii="宋体"/>
              </w:rPr>
            </w:pPr>
          </w:p>
        </w:tc>
        <w:tc>
          <w:tcPr>
            <w:tcW w:w="0" w:type="auto"/>
            <w:shd w:val="clear" w:color="auto" w:fill="auto"/>
          </w:tcPr>
          <w:p w14:paraId="33DA911B" w14:textId="77777777" w:rsidR="004D6A64" w:rsidRDefault="004D6A64">
            <w:pPr>
              <w:rPr>
                <w:rFonts w:ascii="宋体"/>
              </w:rPr>
            </w:pPr>
          </w:p>
        </w:tc>
        <w:tc>
          <w:tcPr>
            <w:tcW w:w="0" w:type="auto"/>
            <w:shd w:val="clear" w:color="auto" w:fill="auto"/>
          </w:tcPr>
          <w:p w14:paraId="33DA911C" w14:textId="77777777" w:rsidR="004D6A64" w:rsidRDefault="004D6A64">
            <w:pPr>
              <w:rPr>
                <w:rFonts w:ascii="宋体"/>
              </w:rPr>
            </w:pPr>
          </w:p>
        </w:tc>
        <w:tc>
          <w:tcPr>
            <w:tcW w:w="0" w:type="auto"/>
            <w:shd w:val="clear" w:color="auto" w:fill="auto"/>
          </w:tcPr>
          <w:p w14:paraId="33DA911D" w14:textId="77777777" w:rsidR="004D6A64" w:rsidRDefault="004D6A64">
            <w:pPr>
              <w:rPr>
                <w:rFonts w:ascii="宋体"/>
              </w:rPr>
            </w:pPr>
          </w:p>
        </w:tc>
        <w:tc>
          <w:tcPr>
            <w:tcW w:w="0" w:type="auto"/>
            <w:shd w:val="clear" w:color="auto" w:fill="auto"/>
          </w:tcPr>
          <w:p w14:paraId="33DA911E" w14:textId="77777777" w:rsidR="004D6A64" w:rsidRDefault="004D6A64">
            <w:pPr>
              <w:rPr>
                <w:rFonts w:ascii="宋体"/>
              </w:rPr>
            </w:pPr>
          </w:p>
        </w:tc>
        <w:tc>
          <w:tcPr>
            <w:tcW w:w="0" w:type="auto"/>
            <w:shd w:val="clear" w:color="auto" w:fill="auto"/>
          </w:tcPr>
          <w:p w14:paraId="33DA911F" w14:textId="77777777" w:rsidR="004D6A64" w:rsidRDefault="004D6A64">
            <w:pPr>
              <w:rPr>
                <w:rFonts w:ascii="宋体"/>
              </w:rPr>
            </w:pPr>
          </w:p>
        </w:tc>
        <w:tc>
          <w:tcPr>
            <w:tcW w:w="0" w:type="auto"/>
            <w:shd w:val="clear" w:color="auto" w:fill="auto"/>
          </w:tcPr>
          <w:p w14:paraId="33DA9120" w14:textId="77777777" w:rsidR="004D6A64" w:rsidRDefault="004D6A64">
            <w:pPr>
              <w:rPr>
                <w:rFonts w:ascii="宋体"/>
              </w:rPr>
            </w:pPr>
          </w:p>
        </w:tc>
        <w:tc>
          <w:tcPr>
            <w:tcW w:w="0" w:type="auto"/>
            <w:shd w:val="clear" w:color="auto" w:fill="auto"/>
          </w:tcPr>
          <w:p w14:paraId="33DA9121" w14:textId="77777777" w:rsidR="004D6A64" w:rsidRDefault="004D6A64">
            <w:pPr>
              <w:rPr>
                <w:rFonts w:ascii="宋体"/>
              </w:rPr>
            </w:pPr>
          </w:p>
        </w:tc>
        <w:tc>
          <w:tcPr>
            <w:tcW w:w="0" w:type="auto"/>
            <w:shd w:val="clear" w:color="auto" w:fill="auto"/>
          </w:tcPr>
          <w:p w14:paraId="33DA9122" w14:textId="77777777" w:rsidR="004D6A64" w:rsidRDefault="004D6A64">
            <w:pPr>
              <w:rPr>
                <w:rFonts w:ascii="宋体"/>
              </w:rPr>
            </w:pPr>
          </w:p>
        </w:tc>
      </w:tr>
      <w:tr w:rsidR="004D6A64" w14:paraId="33DA913C" w14:textId="77777777">
        <w:trPr>
          <w:gridAfter w:val="3"/>
          <w:jc w:val="center"/>
        </w:trPr>
        <w:tc>
          <w:tcPr>
            <w:tcW w:w="0" w:type="auto"/>
            <w:gridSpan w:val="3"/>
            <w:shd w:val="clear" w:color="auto" w:fill="FFFFFF"/>
            <w:tcMar>
              <w:top w:w="40" w:type="dxa"/>
              <w:left w:w="495" w:type="dxa"/>
              <w:bottom w:w="40" w:type="dxa"/>
              <w:right w:w="20" w:type="dxa"/>
            </w:tcMar>
            <w:vAlign w:val="center"/>
          </w:tcPr>
          <w:p w14:paraId="33DA9124" w14:textId="77777777" w:rsidR="004D6A64" w:rsidRDefault="00506CD6">
            <w:pPr>
              <w:textAlignment w:val="center"/>
            </w:pPr>
            <w:r>
              <w:rPr>
                <w:rFonts w:ascii="Times New Roman" w:eastAsia="宋体" w:hAnsi="Times New Roman"/>
                <w:color w:val="000000"/>
                <w:sz w:val="20"/>
                <w:szCs w:val="20"/>
              </w:rPr>
              <w:t>Total net revenue</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9125" w14:textId="77777777" w:rsidR="004D6A64" w:rsidRDefault="00506CD6">
            <w:pPr>
              <w:jc w:val="right"/>
              <w:textAlignment w:val="center"/>
            </w:pPr>
            <w:r>
              <w:rPr>
                <w:rFonts w:ascii="Times New Roman" w:eastAsia="宋体" w:hAnsi="Times New Roman"/>
                <w:color w:val="000000"/>
                <w:sz w:val="20"/>
                <w:szCs w:val="20"/>
              </w:rPr>
              <w:t>22,733 </w:t>
            </w:r>
          </w:p>
        </w:tc>
        <w:tc>
          <w:tcPr>
            <w:tcW w:w="0" w:type="auto"/>
            <w:tcBorders>
              <w:top w:val="single" w:sz="8" w:space="0" w:color="000000"/>
            </w:tcBorders>
            <w:shd w:val="clear" w:color="auto" w:fill="FFFFFF"/>
            <w:tcMar>
              <w:top w:w="40" w:type="dxa"/>
              <w:bottom w:w="40" w:type="dxa"/>
              <w:right w:w="20" w:type="dxa"/>
            </w:tcMar>
            <w:vAlign w:val="center"/>
          </w:tcPr>
          <w:p w14:paraId="33DA912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127"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9128" w14:textId="77777777" w:rsidR="004D6A64" w:rsidRDefault="00506CD6">
            <w:pPr>
              <w:jc w:val="right"/>
              <w:textAlignment w:val="center"/>
            </w:pPr>
            <w:r>
              <w:rPr>
                <w:rFonts w:ascii="Times New Roman" w:eastAsia="宋体" w:hAnsi="Times New Roman"/>
                <w:color w:val="000000"/>
                <w:sz w:val="20"/>
                <w:szCs w:val="20"/>
              </w:rPr>
              <w:t>23,370 </w:t>
            </w:r>
          </w:p>
        </w:tc>
        <w:tc>
          <w:tcPr>
            <w:tcW w:w="0" w:type="auto"/>
            <w:tcBorders>
              <w:top w:val="single" w:sz="8" w:space="0" w:color="000000"/>
            </w:tcBorders>
            <w:shd w:val="clear" w:color="auto" w:fill="FFFFFF"/>
            <w:tcMar>
              <w:top w:w="40" w:type="dxa"/>
              <w:bottom w:w="40" w:type="dxa"/>
              <w:right w:w="20" w:type="dxa"/>
            </w:tcMar>
            <w:vAlign w:val="center"/>
          </w:tcPr>
          <w:p w14:paraId="33DA912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12A"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912B" w14:textId="77777777" w:rsidR="004D6A64" w:rsidRDefault="00506CD6">
            <w:pPr>
              <w:jc w:val="right"/>
              <w:textAlignment w:val="center"/>
            </w:pPr>
            <w:r>
              <w:rPr>
                <w:rFonts w:ascii="Times New Roman" w:eastAsia="宋体" w:hAnsi="Times New Roman"/>
                <w:color w:val="000000"/>
                <w:sz w:val="20"/>
                <w:szCs w:val="20"/>
              </w:rPr>
              <w:t>44,630 </w:t>
            </w:r>
          </w:p>
        </w:tc>
        <w:tc>
          <w:tcPr>
            <w:tcW w:w="0" w:type="auto"/>
            <w:tcBorders>
              <w:top w:val="single" w:sz="8" w:space="0" w:color="000000"/>
            </w:tcBorders>
            <w:shd w:val="clear" w:color="auto" w:fill="FFFFFF"/>
            <w:tcMar>
              <w:top w:w="40" w:type="dxa"/>
              <w:bottom w:w="40" w:type="dxa"/>
              <w:right w:w="20" w:type="dxa"/>
            </w:tcMar>
            <w:vAlign w:val="center"/>
          </w:tcPr>
          <w:p w14:paraId="33DA912C" w14:textId="77777777" w:rsidR="004D6A64" w:rsidRDefault="004D6A64">
            <w:pPr>
              <w:jc w:val="right"/>
              <w:rPr>
                <w:rFonts w:ascii="宋体"/>
              </w:rPr>
            </w:pPr>
          </w:p>
        </w:tc>
        <w:tc>
          <w:tcPr>
            <w:tcW w:w="0" w:type="auto"/>
            <w:gridSpan w:val="3"/>
            <w:shd w:val="clear" w:color="auto" w:fill="auto"/>
            <w:tcMar>
              <w:left w:w="20" w:type="dxa"/>
              <w:right w:w="20" w:type="dxa"/>
            </w:tcMar>
            <w:vAlign w:val="center"/>
          </w:tcPr>
          <w:p w14:paraId="33DA912D" w14:textId="77777777" w:rsidR="004D6A64" w:rsidRDefault="004D6A64">
            <w:pPr>
              <w:jc w:val="right"/>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center"/>
          </w:tcPr>
          <w:p w14:paraId="33DA912E" w14:textId="77777777" w:rsidR="004D6A64" w:rsidRDefault="00506CD6">
            <w:pPr>
              <w:jc w:val="right"/>
              <w:textAlignment w:val="center"/>
            </w:pPr>
            <w:r>
              <w:rPr>
                <w:rFonts w:ascii="Times New Roman" w:eastAsia="宋体" w:hAnsi="Times New Roman"/>
                <w:color w:val="000000"/>
                <w:sz w:val="20"/>
                <w:szCs w:val="20"/>
              </w:rPr>
              <w:t>45,278 </w:t>
            </w:r>
          </w:p>
        </w:tc>
        <w:tc>
          <w:tcPr>
            <w:tcW w:w="0" w:type="auto"/>
            <w:tcBorders>
              <w:top w:val="single" w:sz="8" w:space="0" w:color="000000"/>
            </w:tcBorders>
            <w:shd w:val="clear" w:color="auto" w:fill="auto"/>
            <w:tcMar>
              <w:top w:w="40" w:type="dxa"/>
              <w:bottom w:w="40" w:type="dxa"/>
              <w:right w:w="20" w:type="dxa"/>
            </w:tcMar>
            <w:vAlign w:val="center"/>
          </w:tcPr>
          <w:p w14:paraId="33DA912F" w14:textId="77777777" w:rsidR="004D6A64" w:rsidRDefault="004D6A64">
            <w:pPr>
              <w:jc w:val="right"/>
              <w:rPr>
                <w:rFonts w:ascii="宋体"/>
              </w:rPr>
            </w:pPr>
          </w:p>
        </w:tc>
        <w:tc>
          <w:tcPr>
            <w:tcW w:w="0" w:type="auto"/>
            <w:shd w:val="clear" w:color="auto" w:fill="auto"/>
          </w:tcPr>
          <w:p w14:paraId="33DA9130" w14:textId="77777777" w:rsidR="004D6A64" w:rsidRDefault="004D6A64">
            <w:pPr>
              <w:rPr>
                <w:rFonts w:ascii="宋体"/>
              </w:rPr>
            </w:pPr>
          </w:p>
        </w:tc>
        <w:tc>
          <w:tcPr>
            <w:tcW w:w="0" w:type="auto"/>
            <w:shd w:val="clear" w:color="auto" w:fill="auto"/>
          </w:tcPr>
          <w:p w14:paraId="33DA9131" w14:textId="77777777" w:rsidR="004D6A64" w:rsidRDefault="004D6A64">
            <w:pPr>
              <w:rPr>
                <w:rFonts w:ascii="宋体"/>
              </w:rPr>
            </w:pPr>
          </w:p>
        </w:tc>
        <w:tc>
          <w:tcPr>
            <w:tcW w:w="0" w:type="auto"/>
            <w:shd w:val="clear" w:color="auto" w:fill="auto"/>
          </w:tcPr>
          <w:p w14:paraId="33DA9132" w14:textId="77777777" w:rsidR="004D6A64" w:rsidRDefault="004D6A64">
            <w:pPr>
              <w:rPr>
                <w:rFonts w:ascii="宋体"/>
              </w:rPr>
            </w:pPr>
          </w:p>
        </w:tc>
        <w:tc>
          <w:tcPr>
            <w:tcW w:w="0" w:type="auto"/>
            <w:shd w:val="clear" w:color="auto" w:fill="auto"/>
          </w:tcPr>
          <w:p w14:paraId="33DA9133" w14:textId="77777777" w:rsidR="004D6A64" w:rsidRDefault="004D6A64">
            <w:pPr>
              <w:rPr>
                <w:rFonts w:ascii="宋体"/>
              </w:rPr>
            </w:pPr>
          </w:p>
        </w:tc>
        <w:tc>
          <w:tcPr>
            <w:tcW w:w="0" w:type="auto"/>
            <w:shd w:val="clear" w:color="auto" w:fill="auto"/>
          </w:tcPr>
          <w:p w14:paraId="33DA9134" w14:textId="77777777" w:rsidR="004D6A64" w:rsidRDefault="004D6A64">
            <w:pPr>
              <w:rPr>
                <w:rFonts w:ascii="宋体"/>
              </w:rPr>
            </w:pPr>
          </w:p>
        </w:tc>
        <w:tc>
          <w:tcPr>
            <w:tcW w:w="0" w:type="auto"/>
            <w:shd w:val="clear" w:color="auto" w:fill="auto"/>
          </w:tcPr>
          <w:p w14:paraId="33DA9135" w14:textId="77777777" w:rsidR="004D6A64" w:rsidRDefault="004D6A64">
            <w:pPr>
              <w:rPr>
                <w:rFonts w:ascii="宋体"/>
              </w:rPr>
            </w:pPr>
          </w:p>
        </w:tc>
        <w:tc>
          <w:tcPr>
            <w:tcW w:w="0" w:type="auto"/>
            <w:shd w:val="clear" w:color="auto" w:fill="auto"/>
          </w:tcPr>
          <w:p w14:paraId="33DA9136" w14:textId="77777777" w:rsidR="004D6A64" w:rsidRDefault="004D6A64">
            <w:pPr>
              <w:rPr>
                <w:rFonts w:ascii="宋体"/>
              </w:rPr>
            </w:pPr>
          </w:p>
        </w:tc>
        <w:tc>
          <w:tcPr>
            <w:tcW w:w="0" w:type="auto"/>
            <w:shd w:val="clear" w:color="auto" w:fill="auto"/>
          </w:tcPr>
          <w:p w14:paraId="33DA9137" w14:textId="77777777" w:rsidR="004D6A64" w:rsidRDefault="004D6A64">
            <w:pPr>
              <w:rPr>
                <w:rFonts w:ascii="宋体"/>
              </w:rPr>
            </w:pPr>
          </w:p>
        </w:tc>
        <w:tc>
          <w:tcPr>
            <w:tcW w:w="0" w:type="auto"/>
            <w:shd w:val="clear" w:color="auto" w:fill="auto"/>
          </w:tcPr>
          <w:p w14:paraId="33DA9138" w14:textId="77777777" w:rsidR="004D6A64" w:rsidRDefault="004D6A64">
            <w:pPr>
              <w:rPr>
                <w:rFonts w:ascii="宋体"/>
              </w:rPr>
            </w:pPr>
          </w:p>
        </w:tc>
        <w:tc>
          <w:tcPr>
            <w:tcW w:w="0" w:type="auto"/>
            <w:shd w:val="clear" w:color="auto" w:fill="auto"/>
          </w:tcPr>
          <w:p w14:paraId="33DA9139" w14:textId="77777777" w:rsidR="004D6A64" w:rsidRDefault="004D6A64">
            <w:pPr>
              <w:rPr>
                <w:rFonts w:ascii="宋体"/>
              </w:rPr>
            </w:pPr>
          </w:p>
        </w:tc>
        <w:tc>
          <w:tcPr>
            <w:tcW w:w="0" w:type="auto"/>
            <w:shd w:val="clear" w:color="auto" w:fill="auto"/>
          </w:tcPr>
          <w:p w14:paraId="33DA913A" w14:textId="77777777" w:rsidR="004D6A64" w:rsidRDefault="004D6A64">
            <w:pPr>
              <w:rPr>
                <w:rFonts w:ascii="宋体"/>
              </w:rPr>
            </w:pPr>
          </w:p>
        </w:tc>
        <w:tc>
          <w:tcPr>
            <w:tcW w:w="0" w:type="auto"/>
            <w:shd w:val="clear" w:color="auto" w:fill="auto"/>
          </w:tcPr>
          <w:p w14:paraId="33DA913B" w14:textId="77777777" w:rsidR="004D6A64" w:rsidRDefault="004D6A64">
            <w:pPr>
              <w:rPr>
                <w:rFonts w:ascii="宋体"/>
              </w:rPr>
            </w:pPr>
          </w:p>
        </w:tc>
      </w:tr>
      <w:tr w:rsidR="004D6A64" w14:paraId="33DA9151" w14:textId="77777777">
        <w:trPr>
          <w:gridAfter w:val="3"/>
          <w:jc w:val="center"/>
        </w:trPr>
        <w:tc>
          <w:tcPr>
            <w:tcW w:w="0" w:type="auto"/>
            <w:gridSpan w:val="3"/>
            <w:shd w:val="clear" w:color="auto" w:fill="CCEEFF"/>
            <w:tcMar>
              <w:top w:w="40" w:type="dxa"/>
              <w:left w:w="20" w:type="dxa"/>
              <w:bottom w:w="40" w:type="dxa"/>
              <w:right w:w="20" w:type="dxa"/>
            </w:tcMar>
            <w:vAlign w:val="center"/>
          </w:tcPr>
          <w:p w14:paraId="33DA913D" w14:textId="77777777" w:rsidR="004D6A64" w:rsidRDefault="00506CD6">
            <w:pPr>
              <w:textAlignment w:val="center"/>
            </w:pPr>
            <w:r>
              <w:rPr>
                <w:rFonts w:ascii="Times New Roman" w:eastAsia="宋体" w:hAnsi="Times New Roman"/>
                <w:i/>
                <w:iCs/>
                <w:color w:val="000000"/>
                <w:sz w:val="20"/>
                <w:szCs w:val="20"/>
              </w:rPr>
              <w:t>Cost of net revenue:</w:t>
            </w:r>
          </w:p>
        </w:tc>
        <w:tc>
          <w:tcPr>
            <w:tcW w:w="0" w:type="auto"/>
            <w:gridSpan w:val="3"/>
            <w:tcBorders>
              <w:top w:val="single" w:sz="8" w:space="0" w:color="000000"/>
            </w:tcBorders>
            <w:shd w:val="clear" w:color="auto" w:fill="CCEEFF"/>
            <w:tcMar>
              <w:left w:w="20" w:type="dxa"/>
              <w:right w:w="20" w:type="dxa"/>
            </w:tcMar>
            <w:vAlign w:val="bottom"/>
          </w:tcPr>
          <w:p w14:paraId="33DA913E"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913F" w14:textId="77777777" w:rsidR="004D6A64" w:rsidRDefault="004D6A64">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9140"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9141" w14:textId="77777777" w:rsidR="004D6A64" w:rsidRDefault="004D6A64">
            <w:pPr>
              <w:rPr>
                <w:rFonts w:ascii="宋体"/>
              </w:rPr>
            </w:pPr>
          </w:p>
        </w:tc>
        <w:tc>
          <w:tcPr>
            <w:tcW w:w="0" w:type="auto"/>
            <w:gridSpan w:val="3"/>
            <w:tcBorders>
              <w:top w:val="single" w:sz="8" w:space="0" w:color="000000"/>
            </w:tcBorders>
            <w:shd w:val="clear" w:color="auto" w:fill="CCEEFF"/>
            <w:tcMar>
              <w:left w:w="20" w:type="dxa"/>
              <w:right w:w="20" w:type="dxa"/>
            </w:tcMar>
            <w:vAlign w:val="center"/>
          </w:tcPr>
          <w:p w14:paraId="33DA9142" w14:textId="77777777" w:rsidR="004D6A64" w:rsidRDefault="004D6A64">
            <w:pPr>
              <w:jc w:val="right"/>
              <w:rPr>
                <w:rFonts w:ascii="宋体"/>
              </w:rPr>
            </w:pPr>
          </w:p>
        </w:tc>
        <w:tc>
          <w:tcPr>
            <w:tcW w:w="0" w:type="auto"/>
            <w:gridSpan w:val="3"/>
            <w:shd w:val="clear" w:color="auto" w:fill="CCEEFF"/>
            <w:tcMar>
              <w:left w:w="20" w:type="dxa"/>
              <w:right w:w="20" w:type="dxa"/>
            </w:tcMar>
            <w:vAlign w:val="center"/>
          </w:tcPr>
          <w:p w14:paraId="33DA9143" w14:textId="77777777" w:rsidR="004D6A64" w:rsidRDefault="004D6A64">
            <w:pPr>
              <w:jc w:val="right"/>
              <w:rPr>
                <w:rFonts w:ascii="宋体"/>
              </w:rPr>
            </w:pPr>
          </w:p>
        </w:tc>
        <w:tc>
          <w:tcPr>
            <w:tcW w:w="0" w:type="auto"/>
            <w:gridSpan w:val="3"/>
            <w:tcBorders>
              <w:top w:val="single" w:sz="8" w:space="0" w:color="000000"/>
            </w:tcBorders>
            <w:shd w:val="clear" w:color="auto" w:fill="CCEEFF"/>
            <w:tcMar>
              <w:left w:w="20" w:type="dxa"/>
              <w:right w:w="20" w:type="dxa"/>
            </w:tcMar>
            <w:vAlign w:val="center"/>
          </w:tcPr>
          <w:p w14:paraId="33DA9144" w14:textId="77777777" w:rsidR="004D6A64" w:rsidRDefault="004D6A64">
            <w:pPr>
              <w:jc w:val="right"/>
              <w:rPr>
                <w:rFonts w:ascii="宋体"/>
              </w:rPr>
            </w:pPr>
          </w:p>
        </w:tc>
        <w:tc>
          <w:tcPr>
            <w:tcW w:w="0" w:type="auto"/>
            <w:shd w:val="clear" w:color="auto" w:fill="auto"/>
          </w:tcPr>
          <w:p w14:paraId="33DA9145" w14:textId="77777777" w:rsidR="004D6A64" w:rsidRDefault="004D6A64">
            <w:pPr>
              <w:rPr>
                <w:rFonts w:ascii="宋体"/>
              </w:rPr>
            </w:pPr>
          </w:p>
        </w:tc>
        <w:tc>
          <w:tcPr>
            <w:tcW w:w="0" w:type="auto"/>
            <w:shd w:val="clear" w:color="auto" w:fill="auto"/>
          </w:tcPr>
          <w:p w14:paraId="33DA9146" w14:textId="77777777" w:rsidR="004D6A64" w:rsidRDefault="004D6A64">
            <w:pPr>
              <w:rPr>
                <w:rFonts w:ascii="宋体"/>
              </w:rPr>
            </w:pPr>
          </w:p>
        </w:tc>
        <w:tc>
          <w:tcPr>
            <w:tcW w:w="0" w:type="auto"/>
            <w:shd w:val="clear" w:color="auto" w:fill="auto"/>
          </w:tcPr>
          <w:p w14:paraId="33DA9147" w14:textId="77777777" w:rsidR="004D6A64" w:rsidRDefault="004D6A64">
            <w:pPr>
              <w:rPr>
                <w:rFonts w:ascii="宋体"/>
              </w:rPr>
            </w:pPr>
          </w:p>
        </w:tc>
        <w:tc>
          <w:tcPr>
            <w:tcW w:w="0" w:type="auto"/>
            <w:shd w:val="clear" w:color="auto" w:fill="auto"/>
          </w:tcPr>
          <w:p w14:paraId="33DA9148" w14:textId="77777777" w:rsidR="004D6A64" w:rsidRDefault="004D6A64">
            <w:pPr>
              <w:rPr>
                <w:rFonts w:ascii="宋体"/>
              </w:rPr>
            </w:pPr>
          </w:p>
        </w:tc>
        <w:tc>
          <w:tcPr>
            <w:tcW w:w="0" w:type="auto"/>
            <w:shd w:val="clear" w:color="auto" w:fill="auto"/>
          </w:tcPr>
          <w:p w14:paraId="33DA9149" w14:textId="77777777" w:rsidR="004D6A64" w:rsidRDefault="004D6A64">
            <w:pPr>
              <w:rPr>
                <w:rFonts w:ascii="宋体"/>
              </w:rPr>
            </w:pPr>
          </w:p>
        </w:tc>
        <w:tc>
          <w:tcPr>
            <w:tcW w:w="0" w:type="auto"/>
            <w:shd w:val="clear" w:color="auto" w:fill="auto"/>
          </w:tcPr>
          <w:p w14:paraId="33DA914A" w14:textId="77777777" w:rsidR="004D6A64" w:rsidRDefault="004D6A64">
            <w:pPr>
              <w:rPr>
                <w:rFonts w:ascii="宋体"/>
              </w:rPr>
            </w:pPr>
          </w:p>
        </w:tc>
        <w:tc>
          <w:tcPr>
            <w:tcW w:w="0" w:type="auto"/>
            <w:shd w:val="clear" w:color="auto" w:fill="auto"/>
          </w:tcPr>
          <w:p w14:paraId="33DA914B" w14:textId="77777777" w:rsidR="004D6A64" w:rsidRDefault="004D6A64">
            <w:pPr>
              <w:rPr>
                <w:rFonts w:ascii="宋体"/>
              </w:rPr>
            </w:pPr>
          </w:p>
        </w:tc>
        <w:tc>
          <w:tcPr>
            <w:tcW w:w="0" w:type="auto"/>
            <w:shd w:val="clear" w:color="auto" w:fill="auto"/>
          </w:tcPr>
          <w:p w14:paraId="33DA914C" w14:textId="77777777" w:rsidR="004D6A64" w:rsidRDefault="004D6A64">
            <w:pPr>
              <w:rPr>
                <w:rFonts w:ascii="宋体"/>
              </w:rPr>
            </w:pPr>
          </w:p>
        </w:tc>
        <w:tc>
          <w:tcPr>
            <w:tcW w:w="0" w:type="auto"/>
            <w:shd w:val="clear" w:color="auto" w:fill="auto"/>
          </w:tcPr>
          <w:p w14:paraId="33DA914D" w14:textId="77777777" w:rsidR="004D6A64" w:rsidRDefault="004D6A64">
            <w:pPr>
              <w:rPr>
                <w:rFonts w:ascii="宋体"/>
              </w:rPr>
            </w:pPr>
          </w:p>
        </w:tc>
        <w:tc>
          <w:tcPr>
            <w:tcW w:w="0" w:type="auto"/>
            <w:shd w:val="clear" w:color="auto" w:fill="auto"/>
          </w:tcPr>
          <w:p w14:paraId="33DA914E" w14:textId="77777777" w:rsidR="004D6A64" w:rsidRDefault="004D6A64">
            <w:pPr>
              <w:rPr>
                <w:rFonts w:ascii="宋体"/>
              </w:rPr>
            </w:pPr>
          </w:p>
        </w:tc>
        <w:tc>
          <w:tcPr>
            <w:tcW w:w="0" w:type="auto"/>
            <w:shd w:val="clear" w:color="auto" w:fill="auto"/>
          </w:tcPr>
          <w:p w14:paraId="33DA914F" w14:textId="77777777" w:rsidR="004D6A64" w:rsidRDefault="004D6A64">
            <w:pPr>
              <w:rPr>
                <w:rFonts w:ascii="宋体"/>
              </w:rPr>
            </w:pPr>
          </w:p>
        </w:tc>
        <w:tc>
          <w:tcPr>
            <w:tcW w:w="0" w:type="auto"/>
            <w:shd w:val="clear" w:color="auto" w:fill="auto"/>
          </w:tcPr>
          <w:p w14:paraId="33DA9150" w14:textId="77777777" w:rsidR="004D6A64" w:rsidRDefault="004D6A64">
            <w:pPr>
              <w:rPr>
                <w:rFonts w:ascii="宋体"/>
              </w:rPr>
            </w:pPr>
          </w:p>
        </w:tc>
      </w:tr>
      <w:tr w:rsidR="004D6A64" w14:paraId="33DA916A" w14:textId="77777777">
        <w:trPr>
          <w:gridAfter w:val="3"/>
          <w:jc w:val="center"/>
        </w:trPr>
        <w:tc>
          <w:tcPr>
            <w:tcW w:w="0" w:type="auto"/>
            <w:gridSpan w:val="3"/>
            <w:shd w:val="clear" w:color="auto" w:fill="FFFFFF"/>
            <w:tcMar>
              <w:top w:w="40" w:type="dxa"/>
              <w:left w:w="225" w:type="dxa"/>
              <w:bottom w:w="40" w:type="dxa"/>
              <w:right w:w="20" w:type="dxa"/>
            </w:tcMar>
            <w:vAlign w:val="center"/>
          </w:tcPr>
          <w:p w14:paraId="33DA9152" w14:textId="77777777" w:rsidR="004D6A64" w:rsidRDefault="00506CD6">
            <w:pPr>
              <w:textAlignment w:val="center"/>
            </w:pPr>
            <w:r>
              <w:rPr>
                <w:rFonts w:ascii="Times New Roman" w:eastAsia="宋体" w:hAnsi="Times New Roman"/>
                <w:color w:val="000000"/>
                <w:sz w:val="20"/>
                <w:szCs w:val="20"/>
              </w:rPr>
              <w:t>Products</w:t>
            </w:r>
          </w:p>
        </w:tc>
        <w:tc>
          <w:tcPr>
            <w:tcW w:w="0" w:type="auto"/>
            <w:gridSpan w:val="2"/>
            <w:shd w:val="clear" w:color="auto" w:fill="FFFFFF"/>
            <w:tcMar>
              <w:top w:w="40" w:type="dxa"/>
              <w:left w:w="20" w:type="dxa"/>
              <w:bottom w:w="40" w:type="dxa"/>
              <w:right w:w="0" w:type="dxa"/>
            </w:tcMar>
            <w:vAlign w:val="center"/>
          </w:tcPr>
          <w:p w14:paraId="33DA9153" w14:textId="77777777" w:rsidR="004D6A64" w:rsidRDefault="00506CD6">
            <w:pPr>
              <w:jc w:val="right"/>
              <w:textAlignment w:val="center"/>
            </w:pPr>
            <w:r>
              <w:rPr>
                <w:rFonts w:ascii="Times New Roman" w:eastAsia="宋体" w:hAnsi="Times New Roman"/>
                <w:color w:val="000000"/>
                <w:sz w:val="20"/>
                <w:szCs w:val="20"/>
              </w:rPr>
              <w:t>13,330 </w:t>
            </w:r>
          </w:p>
        </w:tc>
        <w:tc>
          <w:tcPr>
            <w:tcW w:w="0" w:type="auto"/>
            <w:shd w:val="clear" w:color="auto" w:fill="FFFFFF"/>
            <w:tcMar>
              <w:top w:w="40" w:type="dxa"/>
              <w:bottom w:w="40" w:type="dxa"/>
              <w:right w:w="20" w:type="dxa"/>
            </w:tcMar>
            <w:vAlign w:val="center"/>
          </w:tcPr>
          <w:p w14:paraId="33DA915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155"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9156" w14:textId="77777777" w:rsidR="004D6A64" w:rsidRDefault="00506CD6">
            <w:pPr>
              <w:jc w:val="right"/>
              <w:textAlignment w:val="center"/>
            </w:pPr>
            <w:r>
              <w:rPr>
                <w:rFonts w:ascii="Times New Roman" w:eastAsia="宋体" w:hAnsi="Times New Roman"/>
                <w:color w:val="000000"/>
                <w:sz w:val="20"/>
                <w:szCs w:val="20"/>
              </w:rPr>
              <w:t>13,889 </w:t>
            </w:r>
          </w:p>
        </w:tc>
        <w:tc>
          <w:tcPr>
            <w:tcW w:w="0" w:type="auto"/>
            <w:shd w:val="clear" w:color="auto" w:fill="FFFFFF"/>
            <w:tcMar>
              <w:top w:w="40" w:type="dxa"/>
              <w:bottom w:w="40" w:type="dxa"/>
              <w:right w:w="20" w:type="dxa"/>
            </w:tcMar>
            <w:vAlign w:val="center"/>
          </w:tcPr>
          <w:p w14:paraId="33DA915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158"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9159" w14:textId="77777777" w:rsidR="004D6A64" w:rsidRDefault="00506CD6">
            <w:pPr>
              <w:jc w:val="right"/>
              <w:textAlignment w:val="center"/>
            </w:pPr>
            <w:r>
              <w:rPr>
                <w:rFonts w:ascii="Times New Roman" w:eastAsia="宋体" w:hAnsi="Times New Roman"/>
                <w:color w:val="000000"/>
                <w:sz w:val="20"/>
                <w:szCs w:val="20"/>
              </w:rPr>
              <w:t>26,134 </w:t>
            </w:r>
          </w:p>
        </w:tc>
        <w:tc>
          <w:tcPr>
            <w:tcW w:w="0" w:type="auto"/>
            <w:shd w:val="clear" w:color="auto" w:fill="FFFFFF"/>
            <w:tcMar>
              <w:top w:w="40" w:type="dxa"/>
              <w:bottom w:w="40" w:type="dxa"/>
              <w:right w:w="20" w:type="dxa"/>
            </w:tcMar>
            <w:vAlign w:val="center"/>
          </w:tcPr>
          <w:p w14:paraId="33DA915A" w14:textId="77777777" w:rsidR="004D6A64" w:rsidRDefault="004D6A64">
            <w:pPr>
              <w:jc w:val="right"/>
              <w:rPr>
                <w:rFonts w:ascii="宋体"/>
              </w:rPr>
            </w:pPr>
          </w:p>
        </w:tc>
        <w:tc>
          <w:tcPr>
            <w:tcW w:w="0" w:type="auto"/>
            <w:gridSpan w:val="3"/>
            <w:shd w:val="clear" w:color="auto" w:fill="auto"/>
            <w:tcMar>
              <w:left w:w="20" w:type="dxa"/>
              <w:right w:w="20" w:type="dxa"/>
            </w:tcMar>
            <w:vAlign w:val="center"/>
          </w:tcPr>
          <w:p w14:paraId="33DA915B" w14:textId="77777777" w:rsidR="004D6A64" w:rsidRDefault="004D6A64">
            <w:pPr>
              <w:jc w:val="right"/>
              <w:rPr>
                <w:rFonts w:ascii="宋体"/>
              </w:rPr>
            </w:pPr>
          </w:p>
        </w:tc>
        <w:tc>
          <w:tcPr>
            <w:tcW w:w="0" w:type="auto"/>
            <w:gridSpan w:val="2"/>
            <w:shd w:val="clear" w:color="auto" w:fill="auto"/>
            <w:tcMar>
              <w:top w:w="40" w:type="dxa"/>
              <w:left w:w="20" w:type="dxa"/>
              <w:bottom w:w="40" w:type="dxa"/>
              <w:right w:w="0" w:type="dxa"/>
            </w:tcMar>
            <w:vAlign w:val="center"/>
          </w:tcPr>
          <w:p w14:paraId="33DA915C" w14:textId="77777777" w:rsidR="004D6A64" w:rsidRDefault="00506CD6">
            <w:pPr>
              <w:jc w:val="right"/>
              <w:textAlignment w:val="center"/>
            </w:pPr>
            <w:r>
              <w:rPr>
                <w:rFonts w:ascii="Times New Roman" w:eastAsia="宋体" w:hAnsi="Times New Roman"/>
                <w:color w:val="000000"/>
                <w:sz w:val="20"/>
                <w:szCs w:val="20"/>
              </w:rPr>
              <w:t>26,968 </w:t>
            </w:r>
          </w:p>
        </w:tc>
        <w:tc>
          <w:tcPr>
            <w:tcW w:w="0" w:type="auto"/>
            <w:shd w:val="clear" w:color="auto" w:fill="auto"/>
            <w:tcMar>
              <w:top w:w="40" w:type="dxa"/>
              <w:bottom w:w="40" w:type="dxa"/>
              <w:right w:w="20" w:type="dxa"/>
            </w:tcMar>
            <w:vAlign w:val="center"/>
          </w:tcPr>
          <w:p w14:paraId="33DA915D" w14:textId="77777777" w:rsidR="004D6A64" w:rsidRDefault="004D6A64">
            <w:pPr>
              <w:jc w:val="right"/>
              <w:rPr>
                <w:rFonts w:ascii="宋体"/>
              </w:rPr>
            </w:pPr>
          </w:p>
        </w:tc>
        <w:tc>
          <w:tcPr>
            <w:tcW w:w="0" w:type="auto"/>
            <w:shd w:val="clear" w:color="auto" w:fill="auto"/>
          </w:tcPr>
          <w:p w14:paraId="33DA915E" w14:textId="77777777" w:rsidR="004D6A64" w:rsidRDefault="004D6A64">
            <w:pPr>
              <w:rPr>
                <w:rFonts w:ascii="宋体"/>
              </w:rPr>
            </w:pPr>
          </w:p>
        </w:tc>
        <w:tc>
          <w:tcPr>
            <w:tcW w:w="0" w:type="auto"/>
            <w:shd w:val="clear" w:color="auto" w:fill="auto"/>
          </w:tcPr>
          <w:p w14:paraId="33DA915F" w14:textId="77777777" w:rsidR="004D6A64" w:rsidRDefault="004D6A64">
            <w:pPr>
              <w:rPr>
                <w:rFonts w:ascii="宋体"/>
              </w:rPr>
            </w:pPr>
          </w:p>
        </w:tc>
        <w:tc>
          <w:tcPr>
            <w:tcW w:w="0" w:type="auto"/>
            <w:shd w:val="clear" w:color="auto" w:fill="auto"/>
          </w:tcPr>
          <w:p w14:paraId="33DA9160" w14:textId="77777777" w:rsidR="004D6A64" w:rsidRDefault="004D6A64">
            <w:pPr>
              <w:rPr>
                <w:rFonts w:ascii="宋体"/>
              </w:rPr>
            </w:pPr>
          </w:p>
        </w:tc>
        <w:tc>
          <w:tcPr>
            <w:tcW w:w="0" w:type="auto"/>
            <w:shd w:val="clear" w:color="auto" w:fill="auto"/>
          </w:tcPr>
          <w:p w14:paraId="33DA9161" w14:textId="77777777" w:rsidR="004D6A64" w:rsidRDefault="004D6A64">
            <w:pPr>
              <w:rPr>
                <w:rFonts w:ascii="宋体"/>
              </w:rPr>
            </w:pPr>
          </w:p>
        </w:tc>
        <w:tc>
          <w:tcPr>
            <w:tcW w:w="0" w:type="auto"/>
            <w:shd w:val="clear" w:color="auto" w:fill="auto"/>
          </w:tcPr>
          <w:p w14:paraId="33DA9162" w14:textId="77777777" w:rsidR="004D6A64" w:rsidRDefault="004D6A64">
            <w:pPr>
              <w:rPr>
                <w:rFonts w:ascii="宋体"/>
              </w:rPr>
            </w:pPr>
          </w:p>
        </w:tc>
        <w:tc>
          <w:tcPr>
            <w:tcW w:w="0" w:type="auto"/>
            <w:shd w:val="clear" w:color="auto" w:fill="auto"/>
          </w:tcPr>
          <w:p w14:paraId="33DA9163" w14:textId="77777777" w:rsidR="004D6A64" w:rsidRDefault="004D6A64">
            <w:pPr>
              <w:rPr>
                <w:rFonts w:ascii="宋体"/>
              </w:rPr>
            </w:pPr>
          </w:p>
        </w:tc>
        <w:tc>
          <w:tcPr>
            <w:tcW w:w="0" w:type="auto"/>
            <w:shd w:val="clear" w:color="auto" w:fill="auto"/>
          </w:tcPr>
          <w:p w14:paraId="33DA9164" w14:textId="77777777" w:rsidR="004D6A64" w:rsidRDefault="004D6A64">
            <w:pPr>
              <w:rPr>
                <w:rFonts w:ascii="宋体"/>
              </w:rPr>
            </w:pPr>
          </w:p>
        </w:tc>
        <w:tc>
          <w:tcPr>
            <w:tcW w:w="0" w:type="auto"/>
            <w:shd w:val="clear" w:color="auto" w:fill="auto"/>
          </w:tcPr>
          <w:p w14:paraId="33DA9165" w14:textId="77777777" w:rsidR="004D6A64" w:rsidRDefault="004D6A64">
            <w:pPr>
              <w:rPr>
                <w:rFonts w:ascii="宋体"/>
              </w:rPr>
            </w:pPr>
          </w:p>
        </w:tc>
        <w:tc>
          <w:tcPr>
            <w:tcW w:w="0" w:type="auto"/>
            <w:shd w:val="clear" w:color="auto" w:fill="auto"/>
          </w:tcPr>
          <w:p w14:paraId="33DA9166" w14:textId="77777777" w:rsidR="004D6A64" w:rsidRDefault="004D6A64">
            <w:pPr>
              <w:rPr>
                <w:rFonts w:ascii="宋体"/>
              </w:rPr>
            </w:pPr>
          </w:p>
        </w:tc>
        <w:tc>
          <w:tcPr>
            <w:tcW w:w="0" w:type="auto"/>
            <w:shd w:val="clear" w:color="auto" w:fill="auto"/>
          </w:tcPr>
          <w:p w14:paraId="33DA9167" w14:textId="77777777" w:rsidR="004D6A64" w:rsidRDefault="004D6A64">
            <w:pPr>
              <w:rPr>
                <w:rFonts w:ascii="宋体"/>
              </w:rPr>
            </w:pPr>
          </w:p>
        </w:tc>
        <w:tc>
          <w:tcPr>
            <w:tcW w:w="0" w:type="auto"/>
            <w:shd w:val="clear" w:color="auto" w:fill="auto"/>
          </w:tcPr>
          <w:p w14:paraId="33DA9168" w14:textId="77777777" w:rsidR="004D6A64" w:rsidRDefault="004D6A64">
            <w:pPr>
              <w:rPr>
                <w:rFonts w:ascii="宋体"/>
              </w:rPr>
            </w:pPr>
          </w:p>
        </w:tc>
        <w:tc>
          <w:tcPr>
            <w:tcW w:w="0" w:type="auto"/>
            <w:shd w:val="clear" w:color="auto" w:fill="auto"/>
          </w:tcPr>
          <w:p w14:paraId="33DA9169" w14:textId="77777777" w:rsidR="004D6A64" w:rsidRDefault="004D6A64">
            <w:pPr>
              <w:rPr>
                <w:rFonts w:ascii="宋体"/>
              </w:rPr>
            </w:pPr>
          </w:p>
        </w:tc>
      </w:tr>
      <w:tr w:rsidR="004D6A64" w14:paraId="33DA9183" w14:textId="77777777">
        <w:trPr>
          <w:gridAfter w:val="3"/>
          <w:jc w:val="center"/>
        </w:trPr>
        <w:tc>
          <w:tcPr>
            <w:tcW w:w="0" w:type="auto"/>
            <w:gridSpan w:val="3"/>
            <w:shd w:val="clear" w:color="auto" w:fill="CCEEFF"/>
            <w:tcMar>
              <w:top w:w="40" w:type="dxa"/>
              <w:left w:w="225" w:type="dxa"/>
              <w:bottom w:w="40" w:type="dxa"/>
              <w:right w:w="20" w:type="dxa"/>
            </w:tcMar>
            <w:vAlign w:val="center"/>
          </w:tcPr>
          <w:p w14:paraId="33DA916B" w14:textId="77777777" w:rsidR="004D6A64" w:rsidRDefault="00506CD6">
            <w:pPr>
              <w:textAlignment w:val="center"/>
            </w:pPr>
            <w:r>
              <w:rPr>
                <w:rFonts w:ascii="Times New Roman" w:eastAsia="宋体" w:hAnsi="Times New Roman"/>
                <w:color w:val="000000"/>
                <w:sz w:val="20"/>
                <w:szCs w:val="20"/>
              </w:rPr>
              <w:t>Services</w:t>
            </w:r>
          </w:p>
        </w:tc>
        <w:tc>
          <w:tcPr>
            <w:tcW w:w="0" w:type="auto"/>
            <w:gridSpan w:val="2"/>
            <w:shd w:val="clear" w:color="auto" w:fill="CCEEFF"/>
            <w:tcMar>
              <w:top w:w="40" w:type="dxa"/>
              <w:left w:w="20" w:type="dxa"/>
              <w:bottom w:w="40" w:type="dxa"/>
              <w:right w:w="0" w:type="dxa"/>
            </w:tcMar>
            <w:vAlign w:val="center"/>
          </w:tcPr>
          <w:p w14:paraId="33DA916C" w14:textId="77777777" w:rsidR="004D6A64" w:rsidRDefault="00506CD6">
            <w:pPr>
              <w:jc w:val="right"/>
              <w:textAlignment w:val="center"/>
            </w:pPr>
            <w:r>
              <w:rPr>
                <w:rFonts w:ascii="Times New Roman" w:eastAsia="宋体" w:hAnsi="Times New Roman"/>
                <w:color w:val="000000"/>
                <w:sz w:val="20"/>
                <w:szCs w:val="20"/>
              </w:rPr>
              <w:t>2,247 </w:t>
            </w:r>
          </w:p>
        </w:tc>
        <w:tc>
          <w:tcPr>
            <w:tcW w:w="0" w:type="auto"/>
            <w:shd w:val="clear" w:color="auto" w:fill="CCEEFF"/>
            <w:tcMar>
              <w:top w:w="40" w:type="dxa"/>
              <w:bottom w:w="40" w:type="dxa"/>
              <w:right w:w="20" w:type="dxa"/>
            </w:tcMar>
            <w:vAlign w:val="center"/>
          </w:tcPr>
          <w:p w14:paraId="33DA916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16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916F" w14:textId="77777777" w:rsidR="004D6A64" w:rsidRDefault="00506CD6">
            <w:pPr>
              <w:jc w:val="right"/>
              <w:textAlignment w:val="center"/>
            </w:pPr>
            <w:r>
              <w:rPr>
                <w:rFonts w:ascii="Times New Roman" w:eastAsia="宋体" w:hAnsi="Times New Roman"/>
                <w:color w:val="000000"/>
                <w:sz w:val="20"/>
                <w:szCs w:val="20"/>
              </w:rPr>
              <w:t>2,155 </w:t>
            </w:r>
          </w:p>
        </w:tc>
        <w:tc>
          <w:tcPr>
            <w:tcW w:w="0" w:type="auto"/>
            <w:shd w:val="clear" w:color="auto" w:fill="CCEEFF"/>
            <w:tcMar>
              <w:top w:w="40" w:type="dxa"/>
              <w:bottom w:w="40" w:type="dxa"/>
              <w:right w:w="20" w:type="dxa"/>
            </w:tcMar>
            <w:vAlign w:val="center"/>
          </w:tcPr>
          <w:p w14:paraId="33DA917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171"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9172" w14:textId="77777777" w:rsidR="004D6A64" w:rsidRDefault="00506CD6">
            <w:pPr>
              <w:jc w:val="right"/>
              <w:textAlignment w:val="center"/>
            </w:pPr>
            <w:r>
              <w:rPr>
                <w:rFonts w:ascii="Times New Roman" w:eastAsia="宋体" w:hAnsi="Times New Roman"/>
                <w:color w:val="000000"/>
                <w:sz w:val="20"/>
                <w:szCs w:val="20"/>
              </w:rPr>
              <w:t>4,487 </w:t>
            </w:r>
          </w:p>
        </w:tc>
        <w:tc>
          <w:tcPr>
            <w:tcW w:w="0" w:type="auto"/>
            <w:shd w:val="clear" w:color="auto" w:fill="CCEEFF"/>
            <w:tcMar>
              <w:top w:w="40" w:type="dxa"/>
              <w:bottom w:w="40" w:type="dxa"/>
              <w:right w:w="20" w:type="dxa"/>
            </w:tcMar>
            <w:vAlign w:val="center"/>
          </w:tcPr>
          <w:p w14:paraId="33DA9173" w14:textId="77777777" w:rsidR="004D6A64" w:rsidRDefault="004D6A64">
            <w:pPr>
              <w:jc w:val="right"/>
              <w:rPr>
                <w:rFonts w:ascii="宋体"/>
              </w:rPr>
            </w:pPr>
          </w:p>
        </w:tc>
        <w:tc>
          <w:tcPr>
            <w:tcW w:w="0" w:type="auto"/>
            <w:gridSpan w:val="3"/>
            <w:shd w:val="clear" w:color="auto" w:fill="CCEEFF"/>
            <w:tcMar>
              <w:left w:w="20" w:type="dxa"/>
              <w:right w:w="20" w:type="dxa"/>
            </w:tcMar>
            <w:vAlign w:val="center"/>
          </w:tcPr>
          <w:p w14:paraId="33DA9174"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center"/>
          </w:tcPr>
          <w:p w14:paraId="33DA9175" w14:textId="77777777" w:rsidR="004D6A64" w:rsidRDefault="00506CD6">
            <w:pPr>
              <w:jc w:val="right"/>
              <w:textAlignment w:val="center"/>
            </w:pPr>
            <w:r>
              <w:rPr>
                <w:rFonts w:ascii="Times New Roman" w:eastAsia="宋体" w:hAnsi="Times New Roman"/>
                <w:color w:val="000000"/>
                <w:sz w:val="20"/>
                <w:szCs w:val="20"/>
              </w:rPr>
              <w:t>4,187 </w:t>
            </w:r>
          </w:p>
        </w:tc>
        <w:tc>
          <w:tcPr>
            <w:tcW w:w="0" w:type="auto"/>
            <w:shd w:val="clear" w:color="auto" w:fill="CCEEFF"/>
            <w:tcMar>
              <w:top w:w="40" w:type="dxa"/>
              <w:bottom w:w="40" w:type="dxa"/>
              <w:right w:w="20" w:type="dxa"/>
            </w:tcMar>
            <w:vAlign w:val="center"/>
          </w:tcPr>
          <w:p w14:paraId="33DA9176" w14:textId="77777777" w:rsidR="004D6A64" w:rsidRDefault="004D6A64">
            <w:pPr>
              <w:jc w:val="right"/>
              <w:rPr>
                <w:rFonts w:ascii="宋体"/>
              </w:rPr>
            </w:pPr>
          </w:p>
        </w:tc>
        <w:tc>
          <w:tcPr>
            <w:tcW w:w="0" w:type="auto"/>
            <w:shd w:val="clear" w:color="auto" w:fill="auto"/>
          </w:tcPr>
          <w:p w14:paraId="33DA9177" w14:textId="77777777" w:rsidR="004D6A64" w:rsidRDefault="004D6A64">
            <w:pPr>
              <w:rPr>
                <w:rFonts w:ascii="宋体"/>
              </w:rPr>
            </w:pPr>
          </w:p>
        </w:tc>
        <w:tc>
          <w:tcPr>
            <w:tcW w:w="0" w:type="auto"/>
            <w:shd w:val="clear" w:color="auto" w:fill="auto"/>
          </w:tcPr>
          <w:p w14:paraId="33DA9178" w14:textId="77777777" w:rsidR="004D6A64" w:rsidRDefault="004D6A64">
            <w:pPr>
              <w:rPr>
                <w:rFonts w:ascii="宋体"/>
              </w:rPr>
            </w:pPr>
          </w:p>
        </w:tc>
        <w:tc>
          <w:tcPr>
            <w:tcW w:w="0" w:type="auto"/>
            <w:shd w:val="clear" w:color="auto" w:fill="auto"/>
          </w:tcPr>
          <w:p w14:paraId="33DA9179" w14:textId="77777777" w:rsidR="004D6A64" w:rsidRDefault="004D6A64">
            <w:pPr>
              <w:rPr>
                <w:rFonts w:ascii="宋体"/>
              </w:rPr>
            </w:pPr>
          </w:p>
        </w:tc>
        <w:tc>
          <w:tcPr>
            <w:tcW w:w="0" w:type="auto"/>
            <w:shd w:val="clear" w:color="auto" w:fill="auto"/>
          </w:tcPr>
          <w:p w14:paraId="33DA917A" w14:textId="77777777" w:rsidR="004D6A64" w:rsidRDefault="004D6A64">
            <w:pPr>
              <w:rPr>
                <w:rFonts w:ascii="宋体"/>
              </w:rPr>
            </w:pPr>
          </w:p>
        </w:tc>
        <w:tc>
          <w:tcPr>
            <w:tcW w:w="0" w:type="auto"/>
            <w:shd w:val="clear" w:color="auto" w:fill="auto"/>
          </w:tcPr>
          <w:p w14:paraId="33DA917B" w14:textId="77777777" w:rsidR="004D6A64" w:rsidRDefault="004D6A64">
            <w:pPr>
              <w:rPr>
                <w:rFonts w:ascii="宋体"/>
              </w:rPr>
            </w:pPr>
          </w:p>
        </w:tc>
        <w:tc>
          <w:tcPr>
            <w:tcW w:w="0" w:type="auto"/>
            <w:shd w:val="clear" w:color="auto" w:fill="auto"/>
          </w:tcPr>
          <w:p w14:paraId="33DA917C" w14:textId="77777777" w:rsidR="004D6A64" w:rsidRDefault="004D6A64">
            <w:pPr>
              <w:rPr>
                <w:rFonts w:ascii="宋体"/>
              </w:rPr>
            </w:pPr>
          </w:p>
        </w:tc>
        <w:tc>
          <w:tcPr>
            <w:tcW w:w="0" w:type="auto"/>
            <w:shd w:val="clear" w:color="auto" w:fill="auto"/>
          </w:tcPr>
          <w:p w14:paraId="33DA917D" w14:textId="77777777" w:rsidR="004D6A64" w:rsidRDefault="004D6A64">
            <w:pPr>
              <w:rPr>
                <w:rFonts w:ascii="宋体"/>
              </w:rPr>
            </w:pPr>
          </w:p>
        </w:tc>
        <w:tc>
          <w:tcPr>
            <w:tcW w:w="0" w:type="auto"/>
            <w:shd w:val="clear" w:color="auto" w:fill="auto"/>
          </w:tcPr>
          <w:p w14:paraId="33DA917E" w14:textId="77777777" w:rsidR="004D6A64" w:rsidRDefault="004D6A64">
            <w:pPr>
              <w:rPr>
                <w:rFonts w:ascii="宋体"/>
              </w:rPr>
            </w:pPr>
          </w:p>
        </w:tc>
        <w:tc>
          <w:tcPr>
            <w:tcW w:w="0" w:type="auto"/>
            <w:shd w:val="clear" w:color="auto" w:fill="auto"/>
          </w:tcPr>
          <w:p w14:paraId="33DA917F" w14:textId="77777777" w:rsidR="004D6A64" w:rsidRDefault="004D6A64">
            <w:pPr>
              <w:rPr>
                <w:rFonts w:ascii="宋体"/>
              </w:rPr>
            </w:pPr>
          </w:p>
        </w:tc>
        <w:tc>
          <w:tcPr>
            <w:tcW w:w="0" w:type="auto"/>
            <w:shd w:val="clear" w:color="auto" w:fill="auto"/>
          </w:tcPr>
          <w:p w14:paraId="33DA9180" w14:textId="77777777" w:rsidR="004D6A64" w:rsidRDefault="004D6A64">
            <w:pPr>
              <w:rPr>
                <w:rFonts w:ascii="宋体"/>
              </w:rPr>
            </w:pPr>
          </w:p>
        </w:tc>
        <w:tc>
          <w:tcPr>
            <w:tcW w:w="0" w:type="auto"/>
            <w:shd w:val="clear" w:color="auto" w:fill="auto"/>
          </w:tcPr>
          <w:p w14:paraId="33DA9181" w14:textId="77777777" w:rsidR="004D6A64" w:rsidRDefault="004D6A64">
            <w:pPr>
              <w:rPr>
                <w:rFonts w:ascii="宋体"/>
              </w:rPr>
            </w:pPr>
          </w:p>
        </w:tc>
        <w:tc>
          <w:tcPr>
            <w:tcW w:w="0" w:type="auto"/>
            <w:shd w:val="clear" w:color="auto" w:fill="auto"/>
          </w:tcPr>
          <w:p w14:paraId="33DA9182" w14:textId="77777777" w:rsidR="004D6A64" w:rsidRDefault="004D6A64">
            <w:pPr>
              <w:rPr>
                <w:rFonts w:ascii="宋体"/>
              </w:rPr>
            </w:pPr>
          </w:p>
        </w:tc>
      </w:tr>
      <w:tr w:rsidR="004D6A64" w14:paraId="33DA919C" w14:textId="77777777">
        <w:trPr>
          <w:gridAfter w:val="3"/>
          <w:jc w:val="center"/>
        </w:trPr>
        <w:tc>
          <w:tcPr>
            <w:tcW w:w="0" w:type="auto"/>
            <w:gridSpan w:val="3"/>
            <w:shd w:val="clear" w:color="auto" w:fill="FFFFFF"/>
            <w:tcMar>
              <w:top w:w="40" w:type="dxa"/>
              <w:left w:w="495" w:type="dxa"/>
              <w:bottom w:w="40" w:type="dxa"/>
              <w:right w:w="20" w:type="dxa"/>
            </w:tcMar>
            <w:vAlign w:val="center"/>
          </w:tcPr>
          <w:p w14:paraId="33DA9184" w14:textId="77777777" w:rsidR="004D6A64" w:rsidRDefault="00506CD6">
            <w:pPr>
              <w:textAlignment w:val="center"/>
            </w:pPr>
            <w:r>
              <w:rPr>
                <w:rFonts w:ascii="Times New Roman" w:eastAsia="宋体" w:hAnsi="Times New Roman"/>
                <w:color w:val="000000"/>
                <w:sz w:val="20"/>
                <w:szCs w:val="20"/>
              </w:rPr>
              <w:t>Total cost of net revenue</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9185" w14:textId="77777777" w:rsidR="004D6A64" w:rsidRDefault="00506CD6">
            <w:pPr>
              <w:jc w:val="right"/>
              <w:textAlignment w:val="center"/>
            </w:pPr>
            <w:r>
              <w:rPr>
                <w:rFonts w:ascii="Times New Roman" w:eastAsia="宋体" w:hAnsi="Times New Roman"/>
                <w:color w:val="000000"/>
                <w:sz w:val="20"/>
                <w:szCs w:val="20"/>
              </w:rPr>
              <w:t>15,577 </w:t>
            </w:r>
          </w:p>
        </w:tc>
        <w:tc>
          <w:tcPr>
            <w:tcW w:w="0" w:type="auto"/>
            <w:tcBorders>
              <w:top w:val="single" w:sz="8" w:space="0" w:color="000000"/>
            </w:tcBorders>
            <w:shd w:val="clear" w:color="auto" w:fill="FFFFFF"/>
            <w:tcMar>
              <w:top w:w="40" w:type="dxa"/>
              <w:bottom w:w="40" w:type="dxa"/>
              <w:right w:w="20" w:type="dxa"/>
            </w:tcMar>
            <w:vAlign w:val="center"/>
          </w:tcPr>
          <w:p w14:paraId="33DA918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187"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9188" w14:textId="77777777" w:rsidR="004D6A64" w:rsidRDefault="00506CD6">
            <w:pPr>
              <w:jc w:val="right"/>
              <w:textAlignment w:val="center"/>
            </w:pPr>
            <w:r>
              <w:rPr>
                <w:rFonts w:ascii="Times New Roman" w:eastAsia="宋体" w:hAnsi="Times New Roman"/>
                <w:color w:val="000000"/>
                <w:sz w:val="20"/>
                <w:szCs w:val="20"/>
              </w:rPr>
              <w:t>16,044 </w:t>
            </w:r>
          </w:p>
        </w:tc>
        <w:tc>
          <w:tcPr>
            <w:tcW w:w="0" w:type="auto"/>
            <w:tcBorders>
              <w:top w:val="single" w:sz="8" w:space="0" w:color="000000"/>
            </w:tcBorders>
            <w:shd w:val="clear" w:color="auto" w:fill="FFFFFF"/>
            <w:tcMar>
              <w:top w:w="40" w:type="dxa"/>
              <w:bottom w:w="40" w:type="dxa"/>
              <w:right w:w="20" w:type="dxa"/>
            </w:tcMar>
            <w:vAlign w:val="center"/>
          </w:tcPr>
          <w:p w14:paraId="33DA918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18A"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918B" w14:textId="77777777" w:rsidR="004D6A64" w:rsidRDefault="00506CD6">
            <w:pPr>
              <w:jc w:val="right"/>
              <w:textAlignment w:val="center"/>
            </w:pPr>
            <w:r>
              <w:rPr>
                <w:rFonts w:ascii="Times New Roman" w:eastAsia="宋体" w:hAnsi="Times New Roman"/>
                <w:color w:val="000000"/>
                <w:sz w:val="20"/>
                <w:szCs w:val="20"/>
              </w:rPr>
              <w:t>30,621 </w:t>
            </w:r>
          </w:p>
        </w:tc>
        <w:tc>
          <w:tcPr>
            <w:tcW w:w="0" w:type="auto"/>
            <w:tcBorders>
              <w:top w:val="single" w:sz="8" w:space="0" w:color="000000"/>
            </w:tcBorders>
            <w:shd w:val="clear" w:color="auto" w:fill="FFFFFF"/>
            <w:tcMar>
              <w:top w:w="40" w:type="dxa"/>
              <w:bottom w:w="40" w:type="dxa"/>
              <w:right w:w="20" w:type="dxa"/>
            </w:tcMar>
            <w:vAlign w:val="center"/>
          </w:tcPr>
          <w:p w14:paraId="33DA918C" w14:textId="77777777" w:rsidR="004D6A64" w:rsidRDefault="004D6A64">
            <w:pPr>
              <w:jc w:val="right"/>
              <w:rPr>
                <w:rFonts w:ascii="宋体"/>
              </w:rPr>
            </w:pPr>
          </w:p>
        </w:tc>
        <w:tc>
          <w:tcPr>
            <w:tcW w:w="0" w:type="auto"/>
            <w:gridSpan w:val="3"/>
            <w:shd w:val="clear" w:color="auto" w:fill="auto"/>
            <w:tcMar>
              <w:left w:w="20" w:type="dxa"/>
              <w:right w:w="20" w:type="dxa"/>
            </w:tcMar>
            <w:vAlign w:val="center"/>
          </w:tcPr>
          <w:p w14:paraId="33DA918D" w14:textId="77777777" w:rsidR="004D6A64" w:rsidRDefault="004D6A64">
            <w:pPr>
              <w:jc w:val="right"/>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center"/>
          </w:tcPr>
          <w:p w14:paraId="33DA918E" w14:textId="77777777" w:rsidR="004D6A64" w:rsidRDefault="00506CD6">
            <w:pPr>
              <w:jc w:val="right"/>
              <w:textAlignment w:val="center"/>
            </w:pPr>
            <w:r>
              <w:rPr>
                <w:rFonts w:ascii="Times New Roman" w:eastAsia="宋体" w:hAnsi="Times New Roman"/>
                <w:color w:val="000000"/>
                <w:sz w:val="20"/>
                <w:szCs w:val="20"/>
              </w:rPr>
              <w:t>31,155 </w:t>
            </w:r>
          </w:p>
        </w:tc>
        <w:tc>
          <w:tcPr>
            <w:tcW w:w="0" w:type="auto"/>
            <w:tcBorders>
              <w:top w:val="single" w:sz="8" w:space="0" w:color="000000"/>
            </w:tcBorders>
            <w:shd w:val="clear" w:color="auto" w:fill="auto"/>
            <w:tcMar>
              <w:top w:w="40" w:type="dxa"/>
              <w:bottom w:w="40" w:type="dxa"/>
              <w:right w:w="20" w:type="dxa"/>
            </w:tcMar>
            <w:vAlign w:val="center"/>
          </w:tcPr>
          <w:p w14:paraId="33DA918F" w14:textId="77777777" w:rsidR="004D6A64" w:rsidRDefault="004D6A64">
            <w:pPr>
              <w:jc w:val="right"/>
              <w:rPr>
                <w:rFonts w:ascii="宋体"/>
              </w:rPr>
            </w:pPr>
          </w:p>
        </w:tc>
        <w:tc>
          <w:tcPr>
            <w:tcW w:w="0" w:type="auto"/>
            <w:shd w:val="clear" w:color="auto" w:fill="auto"/>
          </w:tcPr>
          <w:p w14:paraId="33DA9190" w14:textId="77777777" w:rsidR="004D6A64" w:rsidRDefault="004D6A64">
            <w:pPr>
              <w:rPr>
                <w:rFonts w:ascii="宋体"/>
              </w:rPr>
            </w:pPr>
          </w:p>
        </w:tc>
        <w:tc>
          <w:tcPr>
            <w:tcW w:w="0" w:type="auto"/>
            <w:shd w:val="clear" w:color="auto" w:fill="auto"/>
          </w:tcPr>
          <w:p w14:paraId="33DA9191" w14:textId="77777777" w:rsidR="004D6A64" w:rsidRDefault="004D6A64">
            <w:pPr>
              <w:rPr>
                <w:rFonts w:ascii="宋体"/>
              </w:rPr>
            </w:pPr>
          </w:p>
        </w:tc>
        <w:tc>
          <w:tcPr>
            <w:tcW w:w="0" w:type="auto"/>
            <w:shd w:val="clear" w:color="auto" w:fill="auto"/>
          </w:tcPr>
          <w:p w14:paraId="33DA9192" w14:textId="77777777" w:rsidR="004D6A64" w:rsidRDefault="004D6A64">
            <w:pPr>
              <w:rPr>
                <w:rFonts w:ascii="宋体"/>
              </w:rPr>
            </w:pPr>
          </w:p>
        </w:tc>
        <w:tc>
          <w:tcPr>
            <w:tcW w:w="0" w:type="auto"/>
            <w:shd w:val="clear" w:color="auto" w:fill="auto"/>
          </w:tcPr>
          <w:p w14:paraId="33DA9193" w14:textId="77777777" w:rsidR="004D6A64" w:rsidRDefault="004D6A64">
            <w:pPr>
              <w:rPr>
                <w:rFonts w:ascii="宋体"/>
              </w:rPr>
            </w:pPr>
          </w:p>
        </w:tc>
        <w:tc>
          <w:tcPr>
            <w:tcW w:w="0" w:type="auto"/>
            <w:shd w:val="clear" w:color="auto" w:fill="auto"/>
          </w:tcPr>
          <w:p w14:paraId="33DA9194" w14:textId="77777777" w:rsidR="004D6A64" w:rsidRDefault="004D6A64">
            <w:pPr>
              <w:rPr>
                <w:rFonts w:ascii="宋体"/>
              </w:rPr>
            </w:pPr>
          </w:p>
        </w:tc>
        <w:tc>
          <w:tcPr>
            <w:tcW w:w="0" w:type="auto"/>
            <w:shd w:val="clear" w:color="auto" w:fill="auto"/>
          </w:tcPr>
          <w:p w14:paraId="33DA9195" w14:textId="77777777" w:rsidR="004D6A64" w:rsidRDefault="004D6A64">
            <w:pPr>
              <w:rPr>
                <w:rFonts w:ascii="宋体"/>
              </w:rPr>
            </w:pPr>
          </w:p>
        </w:tc>
        <w:tc>
          <w:tcPr>
            <w:tcW w:w="0" w:type="auto"/>
            <w:shd w:val="clear" w:color="auto" w:fill="auto"/>
          </w:tcPr>
          <w:p w14:paraId="33DA9196" w14:textId="77777777" w:rsidR="004D6A64" w:rsidRDefault="004D6A64">
            <w:pPr>
              <w:rPr>
                <w:rFonts w:ascii="宋体"/>
              </w:rPr>
            </w:pPr>
          </w:p>
        </w:tc>
        <w:tc>
          <w:tcPr>
            <w:tcW w:w="0" w:type="auto"/>
            <w:shd w:val="clear" w:color="auto" w:fill="auto"/>
          </w:tcPr>
          <w:p w14:paraId="33DA9197" w14:textId="77777777" w:rsidR="004D6A64" w:rsidRDefault="004D6A64">
            <w:pPr>
              <w:rPr>
                <w:rFonts w:ascii="宋体"/>
              </w:rPr>
            </w:pPr>
          </w:p>
        </w:tc>
        <w:tc>
          <w:tcPr>
            <w:tcW w:w="0" w:type="auto"/>
            <w:shd w:val="clear" w:color="auto" w:fill="auto"/>
          </w:tcPr>
          <w:p w14:paraId="33DA9198" w14:textId="77777777" w:rsidR="004D6A64" w:rsidRDefault="004D6A64">
            <w:pPr>
              <w:rPr>
                <w:rFonts w:ascii="宋体"/>
              </w:rPr>
            </w:pPr>
          </w:p>
        </w:tc>
        <w:tc>
          <w:tcPr>
            <w:tcW w:w="0" w:type="auto"/>
            <w:shd w:val="clear" w:color="auto" w:fill="auto"/>
          </w:tcPr>
          <w:p w14:paraId="33DA9199" w14:textId="77777777" w:rsidR="004D6A64" w:rsidRDefault="004D6A64">
            <w:pPr>
              <w:rPr>
                <w:rFonts w:ascii="宋体"/>
              </w:rPr>
            </w:pPr>
          </w:p>
        </w:tc>
        <w:tc>
          <w:tcPr>
            <w:tcW w:w="0" w:type="auto"/>
            <w:shd w:val="clear" w:color="auto" w:fill="auto"/>
          </w:tcPr>
          <w:p w14:paraId="33DA919A" w14:textId="77777777" w:rsidR="004D6A64" w:rsidRDefault="004D6A64">
            <w:pPr>
              <w:rPr>
                <w:rFonts w:ascii="宋体"/>
              </w:rPr>
            </w:pPr>
          </w:p>
        </w:tc>
        <w:tc>
          <w:tcPr>
            <w:tcW w:w="0" w:type="auto"/>
            <w:shd w:val="clear" w:color="auto" w:fill="auto"/>
          </w:tcPr>
          <w:p w14:paraId="33DA919B" w14:textId="77777777" w:rsidR="004D6A64" w:rsidRDefault="004D6A64">
            <w:pPr>
              <w:rPr>
                <w:rFonts w:ascii="宋体"/>
              </w:rPr>
            </w:pPr>
          </w:p>
        </w:tc>
      </w:tr>
      <w:tr w:rsidR="004D6A64" w14:paraId="33DA91B5" w14:textId="77777777">
        <w:trPr>
          <w:gridAfter w:val="3"/>
          <w:jc w:val="center"/>
        </w:trPr>
        <w:tc>
          <w:tcPr>
            <w:tcW w:w="0" w:type="auto"/>
            <w:gridSpan w:val="3"/>
            <w:shd w:val="clear" w:color="auto" w:fill="CCEEFF"/>
            <w:tcMar>
              <w:top w:w="40" w:type="dxa"/>
              <w:left w:w="225" w:type="dxa"/>
              <w:bottom w:w="40" w:type="dxa"/>
              <w:right w:w="20" w:type="dxa"/>
            </w:tcMar>
            <w:vAlign w:val="center"/>
          </w:tcPr>
          <w:p w14:paraId="33DA919D" w14:textId="77777777" w:rsidR="004D6A64" w:rsidRDefault="00506CD6">
            <w:pPr>
              <w:textAlignment w:val="center"/>
            </w:pPr>
            <w:r>
              <w:rPr>
                <w:rFonts w:ascii="Times New Roman" w:eastAsia="宋体" w:hAnsi="Times New Roman"/>
                <w:color w:val="000000"/>
                <w:sz w:val="20"/>
                <w:szCs w:val="20"/>
              </w:rPr>
              <w:t>Gross margin</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919E" w14:textId="77777777" w:rsidR="004D6A64" w:rsidRDefault="00506CD6">
            <w:pPr>
              <w:jc w:val="right"/>
              <w:textAlignment w:val="center"/>
            </w:pPr>
            <w:r>
              <w:rPr>
                <w:rFonts w:ascii="Times New Roman" w:eastAsia="宋体" w:hAnsi="Times New Roman"/>
                <w:color w:val="000000"/>
                <w:sz w:val="20"/>
                <w:szCs w:val="20"/>
              </w:rPr>
              <w:t>7,156 </w:t>
            </w:r>
          </w:p>
        </w:tc>
        <w:tc>
          <w:tcPr>
            <w:tcW w:w="0" w:type="auto"/>
            <w:tcBorders>
              <w:top w:val="single" w:sz="8" w:space="0" w:color="000000"/>
            </w:tcBorders>
            <w:shd w:val="clear" w:color="auto" w:fill="CCEEFF"/>
            <w:tcMar>
              <w:top w:w="40" w:type="dxa"/>
              <w:bottom w:w="40" w:type="dxa"/>
              <w:right w:w="20" w:type="dxa"/>
            </w:tcMar>
            <w:vAlign w:val="center"/>
          </w:tcPr>
          <w:p w14:paraId="33DA919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1A0"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91A1" w14:textId="77777777" w:rsidR="004D6A64" w:rsidRDefault="00506CD6">
            <w:pPr>
              <w:jc w:val="right"/>
              <w:textAlignment w:val="center"/>
            </w:pPr>
            <w:r>
              <w:rPr>
                <w:rFonts w:ascii="Times New Roman" w:eastAsia="宋体" w:hAnsi="Times New Roman"/>
                <w:color w:val="000000"/>
                <w:sz w:val="20"/>
                <w:szCs w:val="20"/>
              </w:rPr>
              <w:t>7,326 </w:t>
            </w:r>
          </w:p>
        </w:tc>
        <w:tc>
          <w:tcPr>
            <w:tcW w:w="0" w:type="auto"/>
            <w:tcBorders>
              <w:top w:val="single" w:sz="8" w:space="0" w:color="000000"/>
            </w:tcBorders>
            <w:shd w:val="clear" w:color="auto" w:fill="CCEEFF"/>
            <w:tcMar>
              <w:top w:w="40" w:type="dxa"/>
              <w:bottom w:w="40" w:type="dxa"/>
              <w:right w:w="20" w:type="dxa"/>
            </w:tcMar>
            <w:vAlign w:val="center"/>
          </w:tcPr>
          <w:p w14:paraId="33DA91A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1A3"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91A4" w14:textId="77777777" w:rsidR="004D6A64" w:rsidRDefault="00506CD6">
            <w:pPr>
              <w:jc w:val="right"/>
              <w:textAlignment w:val="center"/>
            </w:pPr>
            <w:r>
              <w:rPr>
                <w:rFonts w:ascii="Times New Roman" w:eastAsia="宋体" w:hAnsi="Times New Roman"/>
                <w:color w:val="000000"/>
                <w:sz w:val="20"/>
                <w:szCs w:val="20"/>
              </w:rPr>
              <w:t>14,009 </w:t>
            </w:r>
          </w:p>
        </w:tc>
        <w:tc>
          <w:tcPr>
            <w:tcW w:w="0" w:type="auto"/>
            <w:tcBorders>
              <w:top w:val="single" w:sz="8" w:space="0" w:color="000000"/>
            </w:tcBorders>
            <w:shd w:val="clear" w:color="auto" w:fill="CCEEFF"/>
            <w:tcMar>
              <w:top w:w="40" w:type="dxa"/>
              <w:bottom w:w="40" w:type="dxa"/>
              <w:right w:w="20" w:type="dxa"/>
            </w:tcMar>
            <w:vAlign w:val="center"/>
          </w:tcPr>
          <w:p w14:paraId="33DA91A5" w14:textId="77777777" w:rsidR="004D6A64" w:rsidRDefault="004D6A64">
            <w:pPr>
              <w:jc w:val="right"/>
              <w:rPr>
                <w:rFonts w:ascii="宋体"/>
              </w:rPr>
            </w:pPr>
          </w:p>
        </w:tc>
        <w:tc>
          <w:tcPr>
            <w:tcW w:w="0" w:type="auto"/>
            <w:gridSpan w:val="3"/>
            <w:shd w:val="clear" w:color="auto" w:fill="CCEEFF"/>
            <w:tcMar>
              <w:left w:w="20" w:type="dxa"/>
              <w:right w:w="20" w:type="dxa"/>
            </w:tcMar>
            <w:vAlign w:val="center"/>
          </w:tcPr>
          <w:p w14:paraId="33DA91A6" w14:textId="77777777" w:rsidR="004D6A64" w:rsidRDefault="004D6A6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91A7" w14:textId="77777777" w:rsidR="004D6A64" w:rsidRDefault="00506CD6">
            <w:pPr>
              <w:jc w:val="right"/>
              <w:textAlignment w:val="center"/>
            </w:pPr>
            <w:r>
              <w:rPr>
                <w:rFonts w:ascii="Times New Roman" w:eastAsia="宋体" w:hAnsi="Times New Roman"/>
                <w:color w:val="000000"/>
                <w:sz w:val="20"/>
                <w:szCs w:val="20"/>
              </w:rPr>
              <w:t>14,123 </w:t>
            </w:r>
          </w:p>
        </w:tc>
        <w:tc>
          <w:tcPr>
            <w:tcW w:w="0" w:type="auto"/>
            <w:tcBorders>
              <w:top w:val="single" w:sz="8" w:space="0" w:color="000000"/>
            </w:tcBorders>
            <w:shd w:val="clear" w:color="auto" w:fill="CCEEFF"/>
            <w:tcMar>
              <w:top w:w="40" w:type="dxa"/>
              <w:bottom w:w="40" w:type="dxa"/>
              <w:right w:w="20" w:type="dxa"/>
            </w:tcMar>
            <w:vAlign w:val="center"/>
          </w:tcPr>
          <w:p w14:paraId="33DA91A8" w14:textId="77777777" w:rsidR="004D6A64" w:rsidRDefault="004D6A64">
            <w:pPr>
              <w:jc w:val="right"/>
              <w:rPr>
                <w:rFonts w:ascii="宋体"/>
              </w:rPr>
            </w:pPr>
          </w:p>
        </w:tc>
        <w:tc>
          <w:tcPr>
            <w:tcW w:w="0" w:type="auto"/>
            <w:shd w:val="clear" w:color="auto" w:fill="auto"/>
          </w:tcPr>
          <w:p w14:paraId="33DA91A9" w14:textId="77777777" w:rsidR="004D6A64" w:rsidRDefault="004D6A64">
            <w:pPr>
              <w:rPr>
                <w:rFonts w:ascii="宋体"/>
              </w:rPr>
            </w:pPr>
          </w:p>
        </w:tc>
        <w:tc>
          <w:tcPr>
            <w:tcW w:w="0" w:type="auto"/>
            <w:shd w:val="clear" w:color="auto" w:fill="auto"/>
          </w:tcPr>
          <w:p w14:paraId="33DA91AA" w14:textId="77777777" w:rsidR="004D6A64" w:rsidRDefault="004D6A64">
            <w:pPr>
              <w:rPr>
                <w:rFonts w:ascii="宋体"/>
              </w:rPr>
            </w:pPr>
          </w:p>
        </w:tc>
        <w:tc>
          <w:tcPr>
            <w:tcW w:w="0" w:type="auto"/>
            <w:shd w:val="clear" w:color="auto" w:fill="auto"/>
          </w:tcPr>
          <w:p w14:paraId="33DA91AB" w14:textId="77777777" w:rsidR="004D6A64" w:rsidRDefault="004D6A64">
            <w:pPr>
              <w:rPr>
                <w:rFonts w:ascii="宋体"/>
              </w:rPr>
            </w:pPr>
          </w:p>
        </w:tc>
        <w:tc>
          <w:tcPr>
            <w:tcW w:w="0" w:type="auto"/>
            <w:shd w:val="clear" w:color="auto" w:fill="auto"/>
          </w:tcPr>
          <w:p w14:paraId="33DA91AC" w14:textId="77777777" w:rsidR="004D6A64" w:rsidRDefault="004D6A64">
            <w:pPr>
              <w:rPr>
                <w:rFonts w:ascii="宋体"/>
              </w:rPr>
            </w:pPr>
          </w:p>
        </w:tc>
        <w:tc>
          <w:tcPr>
            <w:tcW w:w="0" w:type="auto"/>
            <w:shd w:val="clear" w:color="auto" w:fill="auto"/>
          </w:tcPr>
          <w:p w14:paraId="33DA91AD" w14:textId="77777777" w:rsidR="004D6A64" w:rsidRDefault="004D6A64">
            <w:pPr>
              <w:rPr>
                <w:rFonts w:ascii="宋体"/>
              </w:rPr>
            </w:pPr>
          </w:p>
        </w:tc>
        <w:tc>
          <w:tcPr>
            <w:tcW w:w="0" w:type="auto"/>
            <w:shd w:val="clear" w:color="auto" w:fill="auto"/>
          </w:tcPr>
          <w:p w14:paraId="33DA91AE" w14:textId="77777777" w:rsidR="004D6A64" w:rsidRDefault="004D6A64">
            <w:pPr>
              <w:rPr>
                <w:rFonts w:ascii="宋体"/>
              </w:rPr>
            </w:pPr>
          </w:p>
        </w:tc>
        <w:tc>
          <w:tcPr>
            <w:tcW w:w="0" w:type="auto"/>
            <w:shd w:val="clear" w:color="auto" w:fill="auto"/>
          </w:tcPr>
          <w:p w14:paraId="33DA91AF" w14:textId="77777777" w:rsidR="004D6A64" w:rsidRDefault="004D6A64">
            <w:pPr>
              <w:rPr>
                <w:rFonts w:ascii="宋体"/>
              </w:rPr>
            </w:pPr>
          </w:p>
        </w:tc>
        <w:tc>
          <w:tcPr>
            <w:tcW w:w="0" w:type="auto"/>
            <w:shd w:val="clear" w:color="auto" w:fill="auto"/>
          </w:tcPr>
          <w:p w14:paraId="33DA91B0" w14:textId="77777777" w:rsidR="004D6A64" w:rsidRDefault="004D6A64">
            <w:pPr>
              <w:rPr>
                <w:rFonts w:ascii="宋体"/>
              </w:rPr>
            </w:pPr>
          </w:p>
        </w:tc>
        <w:tc>
          <w:tcPr>
            <w:tcW w:w="0" w:type="auto"/>
            <w:shd w:val="clear" w:color="auto" w:fill="auto"/>
          </w:tcPr>
          <w:p w14:paraId="33DA91B1" w14:textId="77777777" w:rsidR="004D6A64" w:rsidRDefault="004D6A64">
            <w:pPr>
              <w:rPr>
                <w:rFonts w:ascii="宋体"/>
              </w:rPr>
            </w:pPr>
          </w:p>
        </w:tc>
        <w:tc>
          <w:tcPr>
            <w:tcW w:w="0" w:type="auto"/>
            <w:shd w:val="clear" w:color="auto" w:fill="auto"/>
          </w:tcPr>
          <w:p w14:paraId="33DA91B2" w14:textId="77777777" w:rsidR="004D6A64" w:rsidRDefault="004D6A64">
            <w:pPr>
              <w:rPr>
                <w:rFonts w:ascii="宋体"/>
              </w:rPr>
            </w:pPr>
          </w:p>
        </w:tc>
        <w:tc>
          <w:tcPr>
            <w:tcW w:w="0" w:type="auto"/>
            <w:shd w:val="clear" w:color="auto" w:fill="auto"/>
          </w:tcPr>
          <w:p w14:paraId="33DA91B3" w14:textId="77777777" w:rsidR="004D6A64" w:rsidRDefault="004D6A64">
            <w:pPr>
              <w:rPr>
                <w:rFonts w:ascii="宋体"/>
              </w:rPr>
            </w:pPr>
          </w:p>
        </w:tc>
        <w:tc>
          <w:tcPr>
            <w:tcW w:w="0" w:type="auto"/>
            <w:shd w:val="clear" w:color="auto" w:fill="auto"/>
          </w:tcPr>
          <w:p w14:paraId="33DA91B4" w14:textId="77777777" w:rsidR="004D6A64" w:rsidRDefault="004D6A64">
            <w:pPr>
              <w:rPr>
                <w:rFonts w:ascii="宋体"/>
              </w:rPr>
            </w:pPr>
          </w:p>
        </w:tc>
      </w:tr>
      <w:tr w:rsidR="004D6A64" w14:paraId="33DA91CA" w14:textId="77777777">
        <w:trPr>
          <w:gridAfter w:val="3"/>
          <w:jc w:val="center"/>
        </w:trPr>
        <w:tc>
          <w:tcPr>
            <w:tcW w:w="0" w:type="auto"/>
            <w:gridSpan w:val="3"/>
            <w:shd w:val="clear" w:color="auto" w:fill="FFFFFF"/>
            <w:tcMar>
              <w:top w:w="40" w:type="dxa"/>
              <w:left w:w="20" w:type="dxa"/>
              <w:bottom w:w="40" w:type="dxa"/>
              <w:right w:w="20" w:type="dxa"/>
            </w:tcMar>
            <w:vAlign w:val="center"/>
          </w:tcPr>
          <w:p w14:paraId="33DA91B6" w14:textId="77777777" w:rsidR="004D6A64" w:rsidRDefault="00506CD6">
            <w:pPr>
              <w:textAlignment w:val="center"/>
            </w:pPr>
            <w:r>
              <w:rPr>
                <w:rFonts w:ascii="Times New Roman" w:eastAsia="宋体" w:hAnsi="Times New Roman"/>
                <w:i/>
                <w:iCs/>
                <w:color w:val="000000"/>
                <w:sz w:val="20"/>
                <w:szCs w:val="20"/>
              </w:rPr>
              <w:t>Operating expenses:</w:t>
            </w:r>
          </w:p>
        </w:tc>
        <w:tc>
          <w:tcPr>
            <w:tcW w:w="0" w:type="auto"/>
            <w:gridSpan w:val="3"/>
            <w:tcBorders>
              <w:top w:val="single" w:sz="8" w:space="0" w:color="000000"/>
            </w:tcBorders>
            <w:shd w:val="clear" w:color="auto" w:fill="FFFFFF"/>
            <w:tcMar>
              <w:left w:w="20" w:type="dxa"/>
              <w:right w:w="20" w:type="dxa"/>
            </w:tcMar>
            <w:vAlign w:val="bottom"/>
          </w:tcPr>
          <w:p w14:paraId="33DA91B7"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91B8" w14:textId="77777777" w:rsidR="004D6A64" w:rsidRDefault="004D6A64">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33DA91B9"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91BA" w14:textId="77777777" w:rsidR="004D6A64" w:rsidRDefault="004D6A64">
            <w:pPr>
              <w:rPr>
                <w:rFonts w:ascii="宋体"/>
              </w:rPr>
            </w:pPr>
          </w:p>
        </w:tc>
        <w:tc>
          <w:tcPr>
            <w:tcW w:w="0" w:type="auto"/>
            <w:gridSpan w:val="3"/>
            <w:tcBorders>
              <w:top w:val="single" w:sz="8" w:space="0" w:color="000000"/>
            </w:tcBorders>
            <w:shd w:val="clear" w:color="auto" w:fill="FFFFFF"/>
            <w:tcMar>
              <w:left w:w="20" w:type="dxa"/>
              <w:right w:w="20" w:type="dxa"/>
            </w:tcMar>
            <w:vAlign w:val="center"/>
          </w:tcPr>
          <w:p w14:paraId="33DA91BB" w14:textId="77777777" w:rsidR="004D6A64" w:rsidRDefault="004D6A64">
            <w:pPr>
              <w:jc w:val="right"/>
              <w:rPr>
                <w:rFonts w:ascii="宋体"/>
              </w:rPr>
            </w:pPr>
          </w:p>
        </w:tc>
        <w:tc>
          <w:tcPr>
            <w:tcW w:w="0" w:type="auto"/>
            <w:gridSpan w:val="3"/>
            <w:shd w:val="clear" w:color="auto" w:fill="auto"/>
            <w:tcMar>
              <w:left w:w="20" w:type="dxa"/>
              <w:right w:w="20" w:type="dxa"/>
            </w:tcMar>
            <w:vAlign w:val="center"/>
          </w:tcPr>
          <w:p w14:paraId="33DA91BC" w14:textId="77777777" w:rsidR="004D6A64" w:rsidRDefault="004D6A64">
            <w:pPr>
              <w:jc w:val="right"/>
              <w:rPr>
                <w:rFonts w:ascii="宋体"/>
              </w:rPr>
            </w:pPr>
          </w:p>
        </w:tc>
        <w:tc>
          <w:tcPr>
            <w:tcW w:w="0" w:type="auto"/>
            <w:gridSpan w:val="3"/>
            <w:tcBorders>
              <w:top w:val="single" w:sz="8" w:space="0" w:color="000000"/>
            </w:tcBorders>
            <w:shd w:val="clear" w:color="auto" w:fill="auto"/>
            <w:tcMar>
              <w:left w:w="20" w:type="dxa"/>
              <w:right w:w="20" w:type="dxa"/>
            </w:tcMar>
            <w:vAlign w:val="center"/>
          </w:tcPr>
          <w:p w14:paraId="33DA91BD" w14:textId="77777777" w:rsidR="004D6A64" w:rsidRDefault="004D6A64">
            <w:pPr>
              <w:jc w:val="right"/>
              <w:rPr>
                <w:rFonts w:ascii="宋体"/>
              </w:rPr>
            </w:pPr>
          </w:p>
        </w:tc>
        <w:tc>
          <w:tcPr>
            <w:tcW w:w="0" w:type="auto"/>
            <w:shd w:val="clear" w:color="auto" w:fill="auto"/>
          </w:tcPr>
          <w:p w14:paraId="33DA91BE" w14:textId="77777777" w:rsidR="004D6A64" w:rsidRDefault="004D6A64">
            <w:pPr>
              <w:rPr>
                <w:rFonts w:ascii="宋体"/>
              </w:rPr>
            </w:pPr>
          </w:p>
        </w:tc>
        <w:tc>
          <w:tcPr>
            <w:tcW w:w="0" w:type="auto"/>
            <w:shd w:val="clear" w:color="auto" w:fill="auto"/>
          </w:tcPr>
          <w:p w14:paraId="33DA91BF" w14:textId="77777777" w:rsidR="004D6A64" w:rsidRDefault="004D6A64">
            <w:pPr>
              <w:rPr>
                <w:rFonts w:ascii="宋体"/>
              </w:rPr>
            </w:pPr>
          </w:p>
        </w:tc>
        <w:tc>
          <w:tcPr>
            <w:tcW w:w="0" w:type="auto"/>
            <w:shd w:val="clear" w:color="auto" w:fill="auto"/>
          </w:tcPr>
          <w:p w14:paraId="33DA91C0" w14:textId="77777777" w:rsidR="004D6A64" w:rsidRDefault="004D6A64">
            <w:pPr>
              <w:rPr>
                <w:rFonts w:ascii="宋体"/>
              </w:rPr>
            </w:pPr>
          </w:p>
        </w:tc>
        <w:tc>
          <w:tcPr>
            <w:tcW w:w="0" w:type="auto"/>
            <w:shd w:val="clear" w:color="auto" w:fill="auto"/>
          </w:tcPr>
          <w:p w14:paraId="33DA91C1" w14:textId="77777777" w:rsidR="004D6A64" w:rsidRDefault="004D6A64">
            <w:pPr>
              <w:rPr>
                <w:rFonts w:ascii="宋体"/>
              </w:rPr>
            </w:pPr>
          </w:p>
        </w:tc>
        <w:tc>
          <w:tcPr>
            <w:tcW w:w="0" w:type="auto"/>
            <w:shd w:val="clear" w:color="auto" w:fill="auto"/>
          </w:tcPr>
          <w:p w14:paraId="33DA91C2" w14:textId="77777777" w:rsidR="004D6A64" w:rsidRDefault="004D6A64">
            <w:pPr>
              <w:rPr>
                <w:rFonts w:ascii="宋体"/>
              </w:rPr>
            </w:pPr>
          </w:p>
        </w:tc>
        <w:tc>
          <w:tcPr>
            <w:tcW w:w="0" w:type="auto"/>
            <w:shd w:val="clear" w:color="auto" w:fill="auto"/>
          </w:tcPr>
          <w:p w14:paraId="33DA91C3" w14:textId="77777777" w:rsidR="004D6A64" w:rsidRDefault="004D6A64">
            <w:pPr>
              <w:rPr>
                <w:rFonts w:ascii="宋体"/>
              </w:rPr>
            </w:pPr>
          </w:p>
        </w:tc>
        <w:tc>
          <w:tcPr>
            <w:tcW w:w="0" w:type="auto"/>
            <w:shd w:val="clear" w:color="auto" w:fill="auto"/>
          </w:tcPr>
          <w:p w14:paraId="33DA91C4" w14:textId="77777777" w:rsidR="004D6A64" w:rsidRDefault="004D6A64">
            <w:pPr>
              <w:rPr>
                <w:rFonts w:ascii="宋体"/>
              </w:rPr>
            </w:pPr>
          </w:p>
        </w:tc>
        <w:tc>
          <w:tcPr>
            <w:tcW w:w="0" w:type="auto"/>
            <w:shd w:val="clear" w:color="auto" w:fill="auto"/>
          </w:tcPr>
          <w:p w14:paraId="33DA91C5" w14:textId="77777777" w:rsidR="004D6A64" w:rsidRDefault="004D6A64">
            <w:pPr>
              <w:rPr>
                <w:rFonts w:ascii="宋体"/>
              </w:rPr>
            </w:pPr>
          </w:p>
        </w:tc>
        <w:tc>
          <w:tcPr>
            <w:tcW w:w="0" w:type="auto"/>
            <w:shd w:val="clear" w:color="auto" w:fill="auto"/>
          </w:tcPr>
          <w:p w14:paraId="33DA91C6" w14:textId="77777777" w:rsidR="004D6A64" w:rsidRDefault="004D6A64">
            <w:pPr>
              <w:rPr>
                <w:rFonts w:ascii="宋体"/>
              </w:rPr>
            </w:pPr>
          </w:p>
        </w:tc>
        <w:tc>
          <w:tcPr>
            <w:tcW w:w="0" w:type="auto"/>
            <w:shd w:val="clear" w:color="auto" w:fill="auto"/>
          </w:tcPr>
          <w:p w14:paraId="33DA91C7" w14:textId="77777777" w:rsidR="004D6A64" w:rsidRDefault="004D6A64">
            <w:pPr>
              <w:rPr>
                <w:rFonts w:ascii="宋体"/>
              </w:rPr>
            </w:pPr>
          </w:p>
        </w:tc>
        <w:tc>
          <w:tcPr>
            <w:tcW w:w="0" w:type="auto"/>
            <w:shd w:val="clear" w:color="auto" w:fill="auto"/>
          </w:tcPr>
          <w:p w14:paraId="33DA91C8" w14:textId="77777777" w:rsidR="004D6A64" w:rsidRDefault="004D6A64">
            <w:pPr>
              <w:rPr>
                <w:rFonts w:ascii="宋体"/>
              </w:rPr>
            </w:pPr>
          </w:p>
        </w:tc>
        <w:tc>
          <w:tcPr>
            <w:tcW w:w="0" w:type="auto"/>
            <w:shd w:val="clear" w:color="auto" w:fill="auto"/>
          </w:tcPr>
          <w:p w14:paraId="33DA91C9" w14:textId="77777777" w:rsidR="004D6A64" w:rsidRDefault="004D6A64">
            <w:pPr>
              <w:rPr>
                <w:rFonts w:ascii="宋体"/>
              </w:rPr>
            </w:pPr>
          </w:p>
        </w:tc>
      </w:tr>
      <w:tr w:rsidR="004D6A64" w14:paraId="33DA91E3" w14:textId="77777777">
        <w:trPr>
          <w:gridAfter w:val="3"/>
          <w:jc w:val="center"/>
        </w:trPr>
        <w:tc>
          <w:tcPr>
            <w:tcW w:w="0" w:type="auto"/>
            <w:gridSpan w:val="3"/>
            <w:shd w:val="clear" w:color="auto" w:fill="CCEEFF"/>
            <w:tcMar>
              <w:top w:w="40" w:type="dxa"/>
              <w:left w:w="225" w:type="dxa"/>
              <w:bottom w:w="40" w:type="dxa"/>
              <w:right w:w="20" w:type="dxa"/>
            </w:tcMar>
            <w:vAlign w:val="center"/>
          </w:tcPr>
          <w:p w14:paraId="33DA91CB" w14:textId="77777777" w:rsidR="004D6A64" w:rsidRDefault="00506CD6">
            <w:pPr>
              <w:textAlignment w:val="center"/>
            </w:pPr>
            <w:r>
              <w:rPr>
                <w:rFonts w:ascii="Times New Roman" w:eastAsia="宋体" w:hAnsi="Times New Roman"/>
                <w:color w:val="000000"/>
                <w:sz w:val="20"/>
                <w:szCs w:val="20"/>
              </w:rPr>
              <w:t>Selling, general, and administrative</w:t>
            </w:r>
          </w:p>
        </w:tc>
        <w:tc>
          <w:tcPr>
            <w:tcW w:w="0" w:type="auto"/>
            <w:gridSpan w:val="2"/>
            <w:shd w:val="clear" w:color="auto" w:fill="CCEEFF"/>
            <w:tcMar>
              <w:top w:w="40" w:type="dxa"/>
              <w:left w:w="20" w:type="dxa"/>
              <w:bottom w:w="40" w:type="dxa"/>
              <w:right w:w="0" w:type="dxa"/>
            </w:tcMar>
            <w:vAlign w:val="center"/>
          </w:tcPr>
          <w:p w14:paraId="33DA91CC" w14:textId="77777777" w:rsidR="004D6A64" w:rsidRDefault="00506CD6">
            <w:pPr>
              <w:jc w:val="right"/>
              <w:textAlignment w:val="center"/>
            </w:pPr>
            <w:r>
              <w:rPr>
                <w:rFonts w:ascii="Times New Roman" w:eastAsia="宋体" w:hAnsi="Times New Roman"/>
                <w:color w:val="000000"/>
                <w:sz w:val="20"/>
                <w:szCs w:val="20"/>
              </w:rPr>
              <w:t>4,761 </w:t>
            </w:r>
          </w:p>
        </w:tc>
        <w:tc>
          <w:tcPr>
            <w:tcW w:w="0" w:type="auto"/>
            <w:shd w:val="clear" w:color="auto" w:fill="CCEEFF"/>
            <w:tcMar>
              <w:top w:w="40" w:type="dxa"/>
              <w:bottom w:w="40" w:type="dxa"/>
              <w:right w:w="20" w:type="dxa"/>
            </w:tcMar>
            <w:vAlign w:val="center"/>
          </w:tcPr>
          <w:p w14:paraId="33DA91C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1C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91CF" w14:textId="77777777" w:rsidR="004D6A64" w:rsidRDefault="00506CD6">
            <w:pPr>
              <w:jc w:val="right"/>
              <w:textAlignment w:val="center"/>
            </w:pPr>
            <w:r>
              <w:rPr>
                <w:rFonts w:ascii="Times New Roman" w:eastAsia="宋体" w:hAnsi="Times New Roman"/>
                <w:color w:val="000000"/>
                <w:sz w:val="20"/>
                <w:szCs w:val="20"/>
              </w:rPr>
              <w:t>5,578 </w:t>
            </w:r>
          </w:p>
        </w:tc>
        <w:tc>
          <w:tcPr>
            <w:tcW w:w="0" w:type="auto"/>
            <w:shd w:val="clear" w:color="auto" w:fill="CCEEFF"/>
            <w:tcMar>
              <w:top w:w="40" w:type="dxa"/>
              <w:bottom w:w="40" w:type="dxa"/>
              <w:right w:w="20" w:type="dxa"/>
            </w:tcMar>
            <w:vAlign w:val="center"/>
          </w:tcPr>
          <w:p w14:paraId="33DA91D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1D1"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91D2" w14:textId="77777777" w:rsidR="004D6A64" w:rsidRDefault="00506CD6">
            <w:pPr>
              <w:jc w:val="right"/>
              <w:textAlignment w:val="center"/>
            </w:pPr>
            <w:r>
              <w:rPr>
                <w:rFonts w:ascii="Times New Roman" w:eastAsia="宋体" w:hAnsi="Times New Roman"/>
                <w:color w:val="000000"/>
                <w:sz w:val="20"/>
                <w:szCs w:val="20"/>
              </w:rPr>
              <w:t>9,647 </w:t>
            </w:r>
          </w:p>
        </w:tc>
        <w:tc>
          <w:tcPr>
            <w:tcW w:w="0" w:type="auto"/>
            <w:shd w:val="clear" w:color="auto" w:fill="CCEEFF"/>
            <w:tcMar>
              <w:top w:w="40" w:type="dxa"/>
              <w:bottom w:w="40" w:type="dxa"/>
              <w:right w:w="20" w:type="dxa"/>
            </w:tcMar>
            <w:vAlign w:val="center"/>
          </w:tcPr>
          <w:p w14:paraId="33DA91D3" w14:textId="77777777" w:rsidR="004D6A64" w:rsidRDefault="004D6A64">
            <w:pPr>
              <w:jc w:val="right"/>
              <w:rPr>
                <w:rFonts w:ascii="宋体"/>
              </w:rPr>
            </w:pPr>
          </w:p>
        </w:tc>
        <w:tc>
          <w:tcPr>
            <w:tcW w:w="0" w:type="auto"/>
            <w:gridSpan w:val="3"/>
            <w:shd w:val="clear" w:color="auto" w:fill="CCEEFF"/>
            <w:tcMar>
              <w:left w:w="20" w:type="dxa"/>
              <w:right w:w="20" w:type="dxa"/>
            </w:tcMar>
            <w:vAlign w:val="center"/>
          </w:tcPr>
          <w:p w14:paraId="33DA91D4"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center"/>
          </w:tcPr>
          <w:p w14:paraId="33DA91D5" w14:textId="77777777" w:rsidR="004D6A64" w:rsidRDefault="00506CD6">
            <w:pPr>
              <w:jc w:val="right"/>
              <w:textAlignment w:val="center"/>
            </w:pPr>
            <w:r>
              <w:rPr>
                <w:rFonts w:ascii="Times New Roman" w:eastAsia="宋体" w:hAnsi="Times New Roman"/>
                <w:color w:val="000000"/>
                <w:sz w:val="20"/>
                <w:szCs w:val="20"/>
              </w:rPr>
              <w:t>10,649 </w:t>
            </w:r>
          </w:p>
        </w:tc>
        <w:tc>
          <w:tcPr>
            <w:tcW w:w="0" w:type="auto"/>
            <w:shd w:val="clear" w:color="auto" w:fill="CCEEFF"/>
            <w:tcMar>
              <w:top w:w="40" w:type="dxa"/>
              <w:bottom w:w="40" w:type="dxa"/>
              <w:right w:w="20" w:type="dxa"/>
            </w:tcMar>
            <w:vAlign w:val="center"/>
          </w:tcPr>
          <w:p w14:paraId="33DA91D6" w14:textId="77777777" w:rsidR="004D6A64" w:rsidRDefault="004D6A64">
            <w:pPr>
              <w:jc w:val="right"/>
              <w:rPr>
                <w:rFonts w:ascii="宋体"/>
              </w:rPr>
            </w:pPr>
          </w:p>
        </w:tc>
        <w:tc>
          <w:tcPr>
            <w:tcW w:w="0" w:type="auto"/>
            <w:shd w:val="clear" w:color="auto" w:fill="auto"/>
          </w:tcPr>
          <w:p w14:paraId="33DA91D7" w14:textId="77777777" w:rsidR="004D6A64" w:rsidRDefault="004D6A64">
            <w:pPr>
              <w:rPr>
                <w:rFonts w:ascii="宋体"/>
              </w:rPr>
            </w:pPr>
          </w:p>
        </w:tc>
        <w:tc>
          <w:tcPr>
            <w:tcW w:w="0" w:type="auto"/>
            <w:shd w:val="clear" w:color="auto" w:fill="auto"/>
          </w:tcPr>
          <w:p w14:paraId="33DA91D8" w14:textId="77777777" w:rsidR="004D6A64" w:rsidRDefault="004D6A64">
            <w:pPr>
              <w:rPr>
                <w:rFonts w:ascii="宋体"/>
              </w:rPr>
            </w:pPr>
          </w:p>
        </w:tc>
        <w:tc>
          <w:tcPr>
            <w:tcW w:w="0" w:type="auto"/>
            <w:shd w:val="clear" w:color="auto" w:fill="auto"/>
          </w:tcPr>
          <w:p w14:paraId="33DA91D9" w14:textId="77777777" w:rsidR="004D6A64" w:rsidRDefault="004D6A64">
            <w:pPr>
              <w:rPr>
                <w:rFonts w:ascii="宋体"/>
              </w:rPr>
            </w:pPr>
          </w:p>
        </w:tc>
        <w:tc>
          <w:tcPr>
            <w:tcW w:w="0" w:type="auto"/>
            <w:shd w:val="clear" w:color="auto" w:fill="auto"/>
          </w:tcPr>
          <w:p w14:paraId="33DA91DA" w14:textId="77777777" w:rsidR="004D6A64" w:rsidRDefault="004D6A64">
            <w:pPr>
              <w:rPr>
                <w:rFonts w:ascii="宋体"/>
              </w:rPr>
            </w:pPr>
          </w:p>
        </w:tc>
        <w:tc>
          <w:tcPr>
            <w:tcW w:w="0" w:type="auto"/>
            <w:shd w:val="clear" w:color="auto" w:fill="auto"/>
          </w:tcPr>
          <w:p w14:paraId="33DA91DB" w14:textId="77777777" w:rsidR="004D6A64" w:rsidRDefault="004D6A64">
            <w:pPr>
              <w:rPr>
                <w:rFonts w:ascii="宋体"/>
              </w:rPr>
            </w:pPr>
          </w:p>
        </w:tc>
        <w:tc>
          <w:tcPr>
            <w:tcW w:w="0" w:type="auto"/>
            <w:shd w:val="clear" w:color="auto" w:fill="auto"/>
          </w:tcPr>
          <w:p w14:paraId="33DA91DC" w14:textId="77777777" w:rsidR="004D6A64" w:rsidRDefault="004D6A64">
            <w:pPr>
              <w:rPr>
                <w:rFonts w:ascii="宋体"/>
              </w:rPr>
            </w:pPr>
          </w:p>
        </w:tc>
        <w:tc>
          <w:tcPr>
            <w:tcW w:w="0" w:type="auto"/>
            <w:shd w:val="clear" w:color="auto" w:fill="auto"/>
          </w:tcPr>
          <w:p w14:paraId="33DA91DD" w14:textId="77777777" w:rsidR="004D6A64" w:rsidRDefault="004D6A64">
            <w:pPr>
              <w:rPr>
                <w:rFonts w:ascii="宋体"/>
              </w:rPr>
            </w:pPr>
          </w:p>
        </w:tc>
        <w:tc>
          <w:tcPr>
            <w:tcW w:w="0" w:type="auto"/>
            <w:shd w:val="clear" w:color="auto" w:fill="auto"/>
          </w:tcPr>
          <w:p w14:paraId="33DA91DE" w14:textId="77777777" w:rsidR="004D6A64" w:rsidRDefault="004D6A64">
            <w:pPr>
              <w:rPr>
                <w:rFonts w:ascii="宋体"/>
              </w:rPr>
            </w:pPr>
          </w:p>
        </w:tc>
        <w:tc>
          <w:tcPr>
            <w:tcW w:w="0" w:type="auto"/>
            <w:shd w:val="clear" w:color="auto" w:fill="auto"/>
          </w:tcPr>
          <w:p w14:paraId="33DA91DF" w14:textId="77777777" w:rsidR="004D6A64" w:rsidRDefault="004D6A64">
            <w:pPr>
              <w:rPr>
                <w:rFonts w:ascii="宋体"/>
              </w:rPr>
            </w:pPr>
          </w:p>
        </w:tc>
        <w:tc>
          <w:tcPr>
            <w:tcW w:w="0" w:type="auto"/>
            <w:shd w:val="clear" w:color="auto" w:fill="auto"/>
          </w:tcPr>
          <w:p w14:paraId="33DA91E0" w14:textId="77777777" w:rsidR="004D6A64" w:rsidRDefault="004D6A64">
            <w:pPr>
              <w:rPr>
                <w:rFonts w:ascii="宋体"/>
              </w:rPr>
            </w:pPr>
          </w:p>
        </w:tc>
        <w:tc>
          <w:tcPr>
            <w:tcW w:w="0" w:type="auto"/>
            <w:shd w:val="clear" w:color="auto" w:fill="auto"/>
          </w:tcPr>
          <w:p w14:paraId="33DA91E1" w14:textId="77777777" w:rsidR="004D6A64" w:rsidRDefault="004D6A64">
            <w:pPr>
              <w:rPr>
                <w:rFonts w:ascii="宋体"/>
              </w:rPr>
            </w:pPr>
          </w:p>
        </w:tc>
        <w:tc>
          <w:tcPr>
            <w:tcW w:w="0" w:type="auto"/>
            <w:shd w:val="clear" w:color="auto" w:fill="auto"/>
          </w:tcPr>
          <w:p w14:paraId="33DA91E2" w14:textId="77777777" w:rsidR="004D6A64" w:rsidRDefault="004D6A64">
            <w:pPr>
              <w:rPr>
                <w:rFonts w:ascii="宋体"/>
              </w:rPr>
            </w:pPr>
          </w:p>
        </w:tc>
      </w:tr>
      <w:tr w:rsidR="004D6A64" w14:paraId="33DA91FC" w14:textId="77777777">
        <w:trPr>
          <w:gridAfter w:val="3"/>
          <w:jc w:val="center"/>
        </w:trPr>
        <w:tc>
          <w:tcPr>
            <w:tcW w:w="0" w:type="auto"/>
            <w:gridSpan w:val="3"/>
            <w:shd w:val="clear" w:color="auto" w:fill="FFFFFF"/>
            <w:tcMar>
              <w:top w:w="40" w:type="dxa"/>
              <w:left w:w="225" w:type="dxa"/>
              <w:bottom w:w="40" w:type="dxa"/>
              <w:right w:w="20" w:type="dxa"/>
            </w:tcMar>
            <w:vAlign w:val="center"/>
          </w:tcPr>
          <w:p w14:paraId="33DA91E4" w14:textId="77777777" w:rsidR="004D6A64" w:rsidRDefault="00506CD6">
            <w:pPr>
              <w:textAlignment w:val="center"/>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center"/>
          </w:tcPr>
          <w:p w14:paraId="33DA91E5" w14:textId="77777777" w:rsidR="004D6A64" w:rsidRDefault="00506CD6">
            <w:pPr>
              <w:jc w:val="right"/>
              <w:textAlignment w:val="center"/>
            </w:pPr>
            <w:r>
              <w:rPr>
                <w:rFonts w:ascii="Times New Roman" w:eastAsia="宋体" w:hAnsi="Times New Roman"/>
                <w:color w:val="000000"/>
                <w:sz w:val="20"/>
                <w:szCs w:val="20"/>
              </w:rPr>
              <w:t>1,259 </w:t>
            </w:r>
          </w:p>
        </w:tc>
        <w:tc>
          <w:tcPr>
            <w:tcW w:w="0" w:type="auto"/>
            <w:shd w:val="clear" w:color="auto" w:fill="FFFFFF"/>
            <w:tcMar>
              <w:top w:w="40" w:type="dxa"/>
              <w:bottom w:w="40" w:type="dxa"/>
              <w:right w:w="20" w:type="dxa"/>
            </w:tcMar>
            <w:vAlign w:val="center"/>
          </w:tcPr>
          <w:p w14:paraId="33DA91E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1E7"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91E8" w14:textId="77777777" w:rsidR="004D6A64" w:rsidRDefault="00506CD6">
            <w:pPr>
              <w:jc w:val="right"/>
              <w:textAlignment w:val="center"/>
            </w:pPr>
            <w:r>
              <w:rPr>
                <w:rFonts w:ascii="Times New Roman" w:eastAsia="宋体" w:hAnsi="Times New Roman"/>
                <w:color w:val="000000"/>
                <w:sz w:val="20"/>
                <w:szCs w:val="20"/>
              </w:rPr>
              <w:t>1,229 </w:t>
            </w:r>
          </w:p>
        </w:tc>
        <w:tc>
          <w:tcPr>
            <w:tcW w:w="0" w:type="auto"/>
            <w:shd w:val="clear" w:color="auto" w:fill="FFFFFF"/>
            <w:tcMar>
              <w:top w:w="40" w:type="dxa"/>
              <w:bottom w:w="40" w:type="dxa"/>
              <w:right w:w="20" w:type="dxa"/>
            </w:tcMar>
            <w:vAlign w:val="center"/>
          </w:tcPr>
          <w:p w14:paraId="33DA91E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1E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91EB" w14:textId="77777777" w:rsidR="004D6A64" w:rsidRDefault="00506CD6">
            <w:pPr>
              <w:jc w:val="right"/>
              <w:textAlignment w:val="center"/>
            </w:pPr>
            <w:r>
              <w:rPr>
                <w:rFonts w:ascii="Times New Roman" w:eastAsia="宋体" w:hAnsi="Times New Roman"/>
                <w:color w:val="000000"/>
                <w:sz w:val="20"/>
                <w:szCs w:val="20"/>
              </w:rPr>
              <w:t>2,524 </w:t>
            </w:r>
          </w:p>
        </w:tc>
        <w:tc>
          <w:tcPr>
            <w:tcW w:w="0" w:type="auto"/>
            <w:shd w:val="clear" w:color="auto" w:fill="FFFFFF"/>
            <w:tcMar>
              <w:top w:w="40" w:type="dxa"/>
              <w:bottom w:w="40" w:type="dxa"/>
              <w:right w:w="20" w:type="dxa"/>
            </w:tcMar>
            <w:vAlign w:val="center"/>
          </w:tcPr>
          <w:p w14:paraId="33DA91EC" w14:textId="77777777" w:rsidR="004D6A64" w:rsidRDefault="004D6A64">
            <w:pPr>
              <w:jc w:val="right"/>
              <w:rPr>
                <w:rFonts w:ascii="宋体"/>
              </w:rPr>
            </w:pPr>
          </w:p>
        </w:tc>
        <w:tc>
          <w:tcPr>
            <w:tcW w:w="0" w:type="auto"/>
            <w:gridSpan w:val="3"/>
            <w:shd w:val="clear" w:color="auto" w:fill="auto"/>
            <w:tcMar>
              <w:left w:w="20" w:type="dxa"/>
              <w:right w:w="20" w:type="dxa"/>
            </w:tcMar>
            <w:vAlign w:val="center"/>
          </w:tcPr>
          <w:p w14:paraId="33DA91ED" w14:textId="77777777" w:rsidR="004D6A64" w:rsidRDefault="004D6A64">
            <w:pPr>
              <w:jc w:val="right"/>
              <w:rPr>
                <w:rFonts w:ascii="宋体"/>
              </w:rPr>
            </w:pPr>
          </w:p>
        </w:tc>
        <w:tc>
          <w:tcPr>
            <w:tcW w:w="0" w:type="auto"/>
            <w:gridSpan w:val="2"/>
            <w:shd w:val="clear" w:color="auto" w:fill="auto"/>
            <w:tcMar>
              <w:top w:w="40" w:type="dxa"/>
              <w:left w:w="20" w:type="dxa"/>
              <w:bottom w:w="40" w:type="dxa"/>
              <w:right w:w="0" w:type="dxa"/>
            </w:tcMar>
            <w:vAlign w:val="center"/>
          </w:tcPr>
          <w:p w14:paraId="33DA91EE" w14:textId="77777777" w:rsidR="004D6A64" w:rsidRDefault="00506CD6">
            <w:pPr>
              <w:jc w:val="right"/>
              <w:textAlignment w:val="center"/>
            </w:pPr>
            <w:r>
              <w:rPr>
                <w:rFonts w:ascii="Times New Roman" w:eastAsia="宋体" w:hAnsi="Times New Roman"/>
                <w:color w:val="000000"/>
                <w:sz w:val="20"/>
                <w:szCs w:val="20"/>
              </w:rPr>
              <w:t>2,405 </w:t>
            </w:r>
          </w:p>
        </w:tc>
        <w:tc>
          <w:tcPr>
            <w:tcW w:w="0" w:type="auto"/>
            <w:shd w:val="clear" w:color="auto" w:fill="auto"/>
            <w:tcMar>
              <w:top w:w="40" w:type="dxa"/>
              <w:bottom w:w="40" w:type="dxa"/>
              <w:right w:w="20" w:type="dxa"/>
            </w:tcMar>
            <w:vAlign w:val="center"/>
          </w:tcPr>
          <w:p w14:paraId="33DA91EF" w14:textId="77777777" w:rsidR="004D6A64" w:rsidRDefault="004D6A64">
            <w:pPr>
              <w:jc w:val="right"/>
              <w:rPr>
                <w:rFonts w:ascii="宋体"/>
              </w:rPr>
            </w:pPr>
          </w:p>
        </w:tc>
        <w:tc>
          <w:tcPr>
            <w:tcW w:w="0" w:type="auto"/>
            <w:shd w:val="clear" w:color="auto" w:fill="auto"/>
          </w:tcPr>
          <w:p w14:paraId="33DA91F0" w14:textId="77777777" w:rsidR="004D6A64" w:rsidRDefault="004D6A64">
            <w:pPr>
              <w:rPr>
                <w:rFonts w:ascii="宋体"/>
              </w:rPr>
            </w:pPr>
          </w:p>
        </w:tc>
        <w:tc>
          <w:tcPr>
            <w:tcW w:w="0" w:type="auto"/>
            <w:shd w:val="clear" w:color="auto" w:fill="auto"/>
          </w:tcPr>
          <w:p w14:paraId="33DA91F1" w14:textId="77777777" w:rsidR="004D6A64" w:rsidRDefault="004D6A64">
            <w:pPr>
              <w:rPr>
                <w:rFonts w:ascii="宋体"/>
              </w:rPr>
            </w:pPr>
          </w:p>
        </w:tc>
        <w:tc>
          <w:tcPr>
            <w:tcW w:w="0" w:type="auto"/>
            <w:shd w:val="clear" w:color="auto" w:fill="auto"/>
          </w:tcPr>
          <w:p w14:paraId="33DA91F2" w14:textId="77777777" w:rsidR="004D6A64" w:rsidRDefault="004D6A64">
            <w:pPr>
              <w:rPr>
                <w:rFonts w:ascii="宋体"/>
              </w:rPr>
            </w:pPr>
          </w:p>
        </w:tc>
        <w:tc>
          <w:tcPr>
            <w:tcW w:w="0" w:type="auto"/>
            <w:shd w:val="clear" w:color="auto" w:fill="auto"/>
          </w:tcPr>
          <w:p w14:paraId="33DA91F3" w14:textId="77777777" w:rsidR="004D6A64" w:rsidRDefault="004D6A64">
            <w:pPr>
              <w:rPr>
                <w:rFonts w:ascii="宋体"/>
              </w:rPr>
            </w:pPr>
          </w:p>
        </w:tc>
        <w:tc>
          <w:tcPr>
            <w:tcW w:w="0" w:type="auto"/>
            <w:shd w:val="clear" w:color="auto" w:fill="auto"/>
          </w:tcPr>
          <w:p w14:paraId="33DA91F4" w14:textId="77777777" w:rsidR="004D6A64" w:rsidRDefault="004D6A64">
            <w:pPr>
              <w:rPr>
                <w:rFonts w:ascii="宋体"/>
              </w:rPr>
            </w:pPr>
          </w:p>
        </w:tc>
        <w:tc>
          <w:tcPr>
            <w:tcW w:w="0" w:type="auto"/>
            <w:shd w:val="clear" w:color="auto" w:fill="auto"/>
          </w:tcPr>
          <w:p w14:paraId="33DA91F5" w14:textId="77777777" w:rsidR="004D6A64" w:rsidRDefault="004D6A64">
            <w:pPr>
              <w:rPr>
                <w:rFonts w:ascii="宋体"/>
              </w:rPr>
            </w:pPr>
          </w:p>
        </w:tc>
        <w:tc>
          <w:tcPr>
            <w:tcW w:w="0" w:type="auto"/>
            <w:shd w:val="clear" w:color="auto" w:fill="auto"/>
          </w:tcPr>
          <w:p w14:paraId="33DA91F6" w14:textId="77777777" w:rsidR="004D6A64" w:rsidRDefault="004D6A64">
            <w:pPr>
              <w:rPr>
                <w:rFonts w:ascii="宋体"/>
              </w:rPr>
            </w:pPr>
          </w:p>
        </w:tc>
        <w:tc>
          <w:tcPr>
            <w:tcW w:w="0" w:type="auto"/>
            <w:shd w:val="clear" w:color="auto" w:fill="auto"/>
          </w:tcPr>
          <w:p w14:paraId="33DA91F7" w14:textId="77777777" w:rsidR="004D6A64" w:rsidRDefault="004D6A64">
            <w:pPr>
              <w:rPr>
                <w:rFonts w:ascii="宋体"/>
              </w:rPr>
            </w:pPr>
          </w:p>
        </w:tc>
        <w:tc>
          <w:tcPr>
            <w:tcW w:w="0" w:type="auto"/>
            <w:shd w:val="clear" w:color="auto" w:fill="auto"/>
          </w:tcPr>
          <w:p w14:paraId="33DA91F8" w14:textId="77777777" w:rsidR="004D6A64" w:rsidRDefault="004D6A64">
            <w:pPr>
              <w:rPr>
                <w:rFonts w:ascii="宋体"/>
              </w:rPr>
            </w:pPr>
          </w:p>
        </w:tc>
        <w:tc>
          <w:tcPr>
            <w:tcW w:w="0" w:type="auto"/>
            <w:shd w:val="clear" w:color="auto" w:fill="auto"/>
          </w:tcPr>
          <w:p w14:paraId="33DA91F9" w14:textId="77777777" w:rsidR="004D6A64" w:rsidRDefault="004D6A64">
            <w:pPr>
              <w:rPr>
                <w:rFonts w:ascii="宋体"/>
              </w:rPr>
            </w:pPr>
          </w:p>
        </w:tc>
        <w:tc>
          <w:tcPr>
            <w:tcW w:w="0" w:type="auto"/>
            <w:shd w:val="clear" w:color="auto" w:fill="auto"/>
          </w:tcPr>
          <w:p w14:paraId="33DA91FA" w14:textId="77777777" w:rsidR="004D6A64" w:rsidRDefault="004D6A64">
            <w:pPr>
              <w:rPr>
                <w:rFonts w:ascii="宋体"/>
              </w:rPr>
            </w:pPr>
          </w:p>
        </w:tc>
        <w:tc>
          <w:tcPr>
            <w:tcW w:w="0" w:type="auto"/>
            <w:shd w:val="clear" w:color="auto" w:fill="auto"/>
          </w:tcPr>
          <w:p w14:paraId="33DA91FB" w14:textId="77777777" w:rsidR="004D6A64" w:rsidRDefault="004D6A64">
            <w:pPr>
              <w:rPr>
                <w:rFonts w:ascii="宋体"/>
              </w:rPr>
            </w:pPr>
          </w:p>
        </w:tc>
      </w:tr>
      <w:tr w:rsidR="004D6A64" w14:paraId="33DA9215" w14:textId="77777777">
        <w:trPr>
          <w:gridAfter w:val="3"/>
          <w:jc w:val="center"/>
        </w:trPr>
        <w:tc>
          <w:tcPr>
            <w:tcW w:w="0" w:type="auto"/>
            <w:gridSpan w:val="3"/>
            <w:shd w:val="clear" w:color="auto" w:fill="CCEEFF"/>
            <w:tcMar>
              <w:top w:w="40" w:type="dxa"/>
              <w:left w:w="495" w:type="dxa"/>
              <w:bottom w:w="40" w:type="dxa"/>
              <w:right w:w="20" w:type="dxa"/>
            </w:tcMar>
            <w:vAlign w:val="center"/>
          </w:tcPr>
          <w:p w14:paraId="33DA91FD" w14:textId="77777777" w:rsidR="004D6A64" w:rsidRDefault="00506CD6">
            <w:pPr>
              <w:textAlignment w:val="center"/>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91FE" w14:textId="77777777" w:rsidR="004D6A64" w:rsidRDefault="00506CD6">
            <w:pPr>
              <w:jc w:val="right"/>
              <w:textAlignment w:val="center"/>
            </w:pPr>
            <w:r>
              <w:rPr>
                <w:rFonts w:ascii="Times New Roman" w:eastAsia="宋体" w:hAnsi="Times New Roman"/>
                <w:color w:val="000000"/>
                <w:sz w:val="20"/>
                <w:szCs w:val="20"/>
              </w:rPr>
              <w:t>6,020 </w:t>
            </w:r>
          </w:p>
        </w:tc>
        <w:tc>
          <w:tcPr>
            <w:tcW w:w="0" w:type="auto"/>
            <w:tcBorders>
              <w:top w:val="single" w:sz="8" w:space="0" w:color="000000"/>
            </w:tcBorders>
            <w:shd w:val="clear" w:color="auto" w:fill="CCEEFF"/>
            <w:tcMar>
              <w:top w:w="40" w:type="dxa"/>
              <w:bottom w:w="40" w:type="dxa"/>
              <w:right w:w="20" w:type="dxa"/>
            </w:tcMar>
            <w:vAlign w:val="center"/>
          </w:tcPr>
          <w:p w14:paraId="33DA91F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200"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9201" w14:textId="77777777" w:rsidR="004D6A64" w:rsidRDefault="00506CD6">
            <w:pPr>
              <w:jc w:val="right"/>
              <w:textAlignment w:val="center"/>
            </w:pPr>
            <w:r>
              <w:rPr>
                <w:rFonts w:ascii="Times New Roman" w:eastAsia="宋体" w:hAnsi="Times New Roman"/>
                <w:color w:val="000000"/>
                <w:sz w:val="20"/>
                <w:szCs w:val="20"/>
              </w:rPr>
              <w:t>6,807 </w:t>
            </w:r>
          </w:p>
        </w:tc>
        <w:tc>
          <w:tcPr>
            <w:tcW w:w="0" w:type="auto"/>
            <w:tcBorders>
              <w:top w:val="single" w:sz="8" w:space="0" w:color="000000"/>
            </w:tcBorders>
            <w:shd w:val="clear" w:color="auto" w:fill="CCEEFF"/>
            <w:tcMar>
              <w:top w:w="40" w:type="dxa"/>
              <w:bottom w:w="40" w:type="dxa"/>
              <w:right w:w="20" w:type="dxa"/>
            </w:tcMar>
            <w:vAlign w:val="center"/>
          </w:tcPr>
          <w:p w14:paraId="33DA920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203"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9204" w14:textId="77777777" w:rsidR="004D6A64" w:rsidRDefault="00506CD6">
            <w:pPr>
              <w:jc w:val="right"/>
              <w:textAlignment w:val="center"/>
            </w:pPr>
            <w:r>
              <w:rPr>
                <w:rFonts w:ascii="Times New Roman" w:eastAsia="宋体" w:hAnsi="Times New Roman"/>
                <w:color w:val="000000"/>
                <w:sz w:val="20"/>
                <w:szCs w:val="20"/>
              </w:rPr>
              <w:t>12,171 </w:t>
            </w:r>
          </w:p>
        </w:tc>
        <w:tc>
          <w:tcPr>
            <w:tcW w:w="0" w:type="auto"/>
            <w:tcBorders>
              <w:top w:val="single" w:sz="8" w:space="0" w:color="000000"/>
            </w:tcBorders>
            <w:shd w:val="clear" w:color="auto" w:fill="CCEEFF"/>
            <w:tcMar>
              <w:top w:w="40" w:type="dxa"/>
              <w:bottom w:w="40" w:type="dxa"/>
              <w:right w:w="20" w:type="dxa"/>
            </w:tcMar>
            <w:vAlign w:val="center"/>
          </w:tcPr>
          <w:p w14:paraId="33DA9205" w14:textId="77777777" w:rsidR="004D6A64" w:rsidRDefault="004D6A64">
            <w:pPr>
              <w:jc w:val="right"/>
              <w:rPr>
                <w:rFonts w:ascii="宋体"/>
              </w:rPr>
            </w:pPr>
          </w:p>
        </w:tc>
        <w:tc>
          <w:tcPr>
            <w:tcW w:w="0" w:type="auto"/>
            <w:gridSpan w:val="3"/>
            <w:shd w:val="clear" w:color="auto" w:fill="CCEEFF"/>
            <w:tcMar>
              <w:left w:w="20" w:type="dxa"/>
              <w:right w:w="20" w:type="dxa"/>
            </w:tcMar>
            <w:vAlign w:val="center"/>
          </w:tcPr>
          <w:p w14:paraId="33DA9206" w14:textId="77777777" w:rsidR="004D6A64" w:rsidRDefault="004D6A6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9207" w14:textId="77777777" w:rsidR="004D6A64" w:rsidRDefault="00506CD6">
            <w:pPr>
              <w:jc w:val="right"/>
              <w:textAlignment w:val="center"/>
            </w:pPr>
            <w:r>
              <w:rPr>
                <w:rFonts w:ascii="Times New Roman" w:eastAsia="宋体" w:hAnsi="Times New Roman"/>
                <w:color w:val="000000"/>
                <w:sz w:val="20"/>
                <w:szCs w:val="20"/>
              </w:rPr>
              <w:t>13,054 </w:t>
            </w:r>
          </w:p>
        </w:tc>
        <w:tc>
          <w:tcPr>
            <w:tcW w:w="0" w:type="auto"/>
            <w:tcBorders>
              <w:top w:val="single" w:sz="8" w:space="0" w:color="000000"/>
            </w:tcBorders>
            <w:shd w:val="clear" w:color="auto" w:fill="CCEEFF"/>
            <w:tcMar>
              <w:top w:w="40" w:type="dxa"/>
              <w:bottom w:w="40" w:type="dxa"/>
              <w:right w:w="20" w:type="dxa"/>
            </w:tcMar>
            <w:vAlign w:val="center"/>
          </w:tcPr>
          <w:p w14:paraId="33DA9208" w14:textId="77777777" w:rsidR="004D6A64" w:rsidRDefault="004D6A64">
            <w:pPr>
              <w:jc w:val="right"/>
              <w:rPr>
                <w:rFonts w:ascii="宋体"/>
              </w:rPr>
            </w:pPr>
          </w:p>
        </w:tc>
        <w:tc>
          <w:tcPr>
            <w:tcW w:w="0" w:type="auto"/>
            <w:shd w:val="clear" w:color="auto" w:fill="auto"/>
          </w:tcPr>
          <w:p w14:paraId="33DA9209" w14:textId="77777777" w:rsidR="004D6A64" w:rsidRDefault="004D6A64">
            <w:pPr>
              <w:rPr>
                <w:rFonts w:ascii="宋体"/>
              </w:rPr>
            </w:pPr>
          </w:p>
        </w:tc>
        <w:tc>
          <w:tcPr>
            <w:tcW w:w="0" w:type="auto"/>
            <w:shd w:val="clear" w:color="auto" w:fill="auto"/>
          </w:tcPr>
          <w:p w14:paraId="33DA920A" w14:textId="77777777" w:rsidR="004D6A64" w:rsidRDefault="004D6A64">
            <w:pPr>
              <w:rPr>
                <w:rFonts w:ascii="宋体"/>
              </w:rPr>
            </w:pPr>
          </w:p>
        </w:tc>
        <w:tc>
          <w:tcPr>
            <w:tcW w:w="0" w:type="auto"/>
            <w:shd w:val="clear" w:color="auto" w:fill="auto"/>
          </w:tcPr>
          <w:p w14:paraId="33DA920B" w14:textId="77777777" w:rsidR="004D6A64" w:rsidRDefault="004D6A64">
            <w:pPr>
              <w:rPr>
                <w:rFonts w:ascii="宋体"/>
              </w:rPr>
            </w:pPr>
          </w:p>
        </w:tc>
        <w:tc>
          <w:tcPr>
            <w:tcW w:w="0" w:type="auto"/>
            <w:shd w:val="clear" w:color="auto" w:fill="auto"/>
          </w:tcPr>
          <w:p w14:paraId="33DA920C" w14:textId="77777777" w:rsidR="004D6A64" w:rsidRDefault="004D6A64">
            <w:pPr>
              <w:rPr>
                <w:rFonts w:ascii="宋体"/>
              </w:rPr>
            </w:pPr>
          </w:p>
        </w:tc>
        <w:tc>
          <w:tcPr>
            <w:tcW w:w="0" w:type="auto"/>
            <w:shd w:val="clear" w:color="auto" w:fill="auto"/>
          </w:tcPr>
          <w:p w14:paraId="33DA920D" w14:textId="77777777" w:rsidR="004D6A64" w:rsidRDefault="004D6A64">
            <w:pPr>
              <w:rPr>
                <w:rFonts w:ascii="宋体"/>
              </w:rPr>
            </w:pPr>
          </w:p>
        </w:tc>
        <w:tc>
          <w:tcPr>
            <w:tcW w:w="0" w:type="auto"/>
            <w:shd w:val="clear" w:color="auto" w:fill="auto"/>
          </w:tcPr>
          <w:p w14:paraId="33DA920E" w14:textId="77777777" w:rsidR="004D6A64" w:rsidRDefault="004D6A64">
            <w:pPr>
              <w:rPr>
                <w:rFonts w:ascii="宋体"/>
              </w:rPr>
            </w:pPr>
          </w:p>
        </w:tc>
        <w:tc>
          <w:tcPr>
            <w:tcW w:w="0" w:type="auto"/>
            <w:shd w:val="clear" w:color="auto" w:fill="auto"/>
          </w:tcPr>
          <w:p w14:paraId="33DA920F" w14:textId="77777777" w:rsidR="004D6A64" w:rsidRDefault="004D6A64">
            <w:pPr>
              <w:rPr>
                <w:rFonts w:ascii="宋体"/>
              </w:rPr>
            </w:pPr>
          </w:p>
        </w:tc>
        <w:tc>
          <w:tcPr>
            <w:tcW w:w="0" w:type="auto"/>
            <w:shd w:val="clear" w:color="auto" w:fill="auto"/>
          </w:tcPr>
          <w:p w14:paraId="33DA9210" w14:textId="77777777" w:rsidR="004D6A64" w:rsidRDefault="004D6A64">
            <w:pPr>
              <w:rPr>
                <w:rFonts w:ascii="宋体"/>
              </w:rPr>
            </w:pPr>
          </w:p>
        </w:tc>
        <w:tc>
          <w:tcPr>
            <w:tcW w:w="0" w:type="auto"/>
            <w:shd w:val="clear" w:color="auto" w:fill="auto"/>
          </w:tcPr>
          <w:p w14:paraId="33DA9211" w14:textId="77777777" w:rsidR="004D6A64" w:rsidRDefault="004D6A64">
            <w:pPr>
              <w:rPr>
                <w:rFonts w:ascii="宋体"/>
              </w:rPr>
            </w:pPr>
          </w:p>
        </w:tc>
        <w:tc>
          <w:tcPr>
            <w:tcW w:w="0" w:type="auto"/>
            <w:shd w:val="clear" w:color="auto" w:fill="auto"/>
          </w:tcPr>
          <w:p w14:paraId="33DA9212" w14:textId="77777777" w:rsidR="004D6A64" w:rsidRDefault="004D6A64">
            <w:pPr>
              <w:rPr>
                <w:rFonts w:ascii="宋体"/>
              </w:rPr>
            </w:pPr>
          </w:p>
        </w:tc>
        <w:tc>
          <w:tcPr>
            <w:tcW w:w="0" w:type="auto"/>
            <w:shd w:val="clear" w:color="auto" w:fill="auto"/>
          </w:tcPr>
          <w:p w14:paraId="33DA9213" w14:textId="77777777" w:rsidR="004D6A64" w:rsidRDefault="004D6A64">
            <w:pPr>
              <w:rPr>
                <w:rFonts w:ascii="宋体"/>
              </w:rPr>
            </w:pPr>
          </w:p>
        </w:tc>
        <w:tc>
          <w:tcPr>
            <w:tcW w:w="0" w:type="auto"/>
            <w:shd w:val="clear" w:color="auto" w:fill="auto"/>
          </w:tcPr>
          <w:p w14:paraId="33DA9214" w14:textId="77777777" w:rsidR="004D6A64" w:rsidRDefault="004D6A64">
            <w:pPr>
              <w:rPr>
                <w:rFonts w:ascii="宋体"/>
              </w:rPr>
            </w:pPr>
          </w:p>
        </w:tc>
      </w:tr>
      <w:tr w:rsidR="004D6A64" w14:paraId="33DA922E" w14:textId="77777777">
        <w:trPr>
          <w:gridAfter w:val="3"/>
          <w:jc w:val="center"/>
        </w:trPr>
        <w:tc>
          <w:tcPr>
            <w:tcW w:w="0" w:type="auto"/>
            <w:gridSpan w:val="3"/>
            <w:shd w:val="clear" w:color="auto" w:fill="FFFFFF"/>
            <w:tcMar>
              <w:top w:w="40" w:type="dxa"/>
              <w:left w:w="225" w:type="dxa"/>
              <w:bottom w:w="40" w:type="dxa"/>
              <w:right w:w="20" w:type="dxa"/>
            </w:tcMar>
            <w:vAlign w:val="center"/>
          </w:tcPr>
          <w:p w14:paraId="33DA9216" w14:textId="77777777" w:rsidR="004D6A64" w:rsidRDefault="00506CD6">
            <w:pPr>
              <w:textAlignment w:val="center"/>
            </w:pPr>
            <w:r>
              <w:rPr>
                <w:rFonts w:ascii="Times New Roman" w:eastAsia="宋体" w:hAnsi="Times New Roman"/>
                <w:color w:val="000000"/>
                <w:sz w:val="20"/>
                <w:szCs w:val="20"/>
              </w:rPr>
              <w:t>Operating income</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9217" w14:textId="77777777" w:rsidR="004D6A64" w:rsidRDefault="00506CD6">
            <w:pPr>
              <w:jc w:val="right"/>
              <w:textAlignment w:val="center"/>
            </w:pPr>
            <w:r>
              <w:rPr>
                <w:rFonts w:ascii="Times New Roman" w:eastAsia="宋体" w:hAnsi="Times New Roman"/>
                <w:color w:val="000000"/>
                <w:sz w:val="20"/>
                <w:szCs w:val="20"/>
              </w:rPr>
              <w:t>1,136 </w:t>
            </w:r>
          </w:p>
        </w:tc>
        <w:tc>
          <w:tcPr>
            <w:tcW w:w="0" w:type="auto"/>
            <w:tcBorders>
              <w:top w:val="single" w:sz="8" w:space="0" w:color="000000"/>
            </w:tcBorders>
            <w:shd w:val="clear" w:color="auto" w:fill="FFFFFF"/>
            <w:tcMar>
              <w:top w:w="40" w:type="dxa"/>
              <w:bottom w:w="40" w:type="dxa"/>
              <w:right w:w="20" w:type="dxa"/>
            </w:tcMar>
            <w:vAlign w:val="center"/>
          </w:tcPr>
          <w:p w14:paraId="33DA921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219"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921A" w14:textId="77777777" w:rsidR="004D6A64" w:rsidRDefault="00506CD6">
            <w:pPr>
              <w:jc w:val="right"/>
              <w:textAlignment w:val="center"/>
            </w:pPr>
            <w:r>
              <w:rPr>
                <w:rFonts w:ascii="Times New Roman" w:eastAsia="宋体" w:hAnsi="Times New Roman"/>
                <w:color w:val="000000"/>
                <w:sz w:val="20"/>
                <w:szCs w:val="20"/>
              </w:rPr>
              <w:t>519 </w:t>
            </w:r>
          </w:p>
        </w:tc>
        <w:tc>
          <w:tcPr>
            <w:tcW w:w="0" w:type="auto"/>
            <w:tcBorders>
              <w:top w:val="single" w:sz="8" w:space="0" w:color="000000"/>
            </w:tcBorders>
            <w:shd w:val="clear" w:color="auto" w:fill="FFFFFF"/>
            <w:tcMar>
              <w:top w:w="40" w:type="dxa"/>
              <w:bottom w:w="40" w:type="dxa"/>
              <w:right w:w="20" w:type="dxa"/>
            </w:tcMar>
            <w:vAlign w:val="center"/>
          </w:tcPr>
          <w:p w14:paraId="33DA921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21C"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921D" w14:textId="77777777" w:rsidR="004D6A64" w:rsidRDefault="00506CD6">
            <w:pPr>
              <w:jc w:val="right"/>
              <w:textAlignment w:val="center"/>
            </w:pPr>
            <w:r>
              <w:rPr>
                <w:rFonts w:ascii="Times New Roman" w:eastAsia="宋体" w:hAnsi="Times New Roman"/>
                <w:color w:val="000000"/>
                <w:sz w:val="20"/>
                <w:szCs w:val="20"/>
              </w:rPr>
              <w:t>1,838 </w:t>
            </w:r>
          </w:p>
        </w:tc>
        <w:tc>
          <w:tcPr>
            <w:tcW w:w="0" w:type="auto"/>
            <w:tcBorders>
              <w:top w:val="single" w:sz="8" w:space="0" w:color="000000"/>
            </w:tcBorders>
            <w:shd w:val="clear" w:color="auto" w:fill="FFFFFF"/>
            <w:tcMar>
              <w:top w:w="40" w:type="dxa"/>
              <w:bottom w:w="40" w:type="dxa"/>
              <w:right w:w="20" w:type="dxa"/>
            </w:tcMar>
            <w:vAlign w:val="center"/>
          </w:tcPr>
          <w:p w14:paraId="33DA921E" w14:textId="77777777" w:rsidR="004D6A64" w:rsidRDefault="004D6A64">
            <w:pPr>
              <w:jc w:val="right"/>
              <w:rPr>
                <w:rFonts w:ascii="宋体"/>
              </w:rPr>
            </w:pPr>
          </w:p>
        </w:tc>
        <w:tc>
          <w:tcPr>
            <w:tcW w:w="0" w:type="auto"/>
            <w:gridSpan w:val="3"/>
            <w:shd w:val="clear" w:color="auto" w:fill="auto"/>
            <w:tcMar>
              <w:left w:w="20" w:type="dxa"/>
              <w:right w:w="20" w:type="dxa"/>
            </w:tcMar>
            <w:vAlign w:val="center"/>
          </w:tcPr>
          <w:p w14:paraId="33DA921F" w14:textId="77777777" w:rsidR="004D6A64" w:rsidRDefault="004D6A64">
            <w:pPr>
              <w:jc w:val="right"/>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center"/>
          </w:tcPr>
          <w:p w14:paraId="33DA9220" w14:textId="77777777" w:rsidR="004D6A64" w:rsidRDefault="00506CD6">
            <w:pPr>
              <w:jc w:val="right"/>
              <w:textAlignment w:val="center"/>
            </w:pPr>
            <w:r>
              <w:rPr>
                <w:rFonts w:ascii="Times New Roman" w:eastAsia="宋体" w:hAnsi="Times New Roman"/>
                <w:color w:val="000000"/>
                <w:sz w:val="20"/>
                <w:szCs w:val="20"/>
              </w:rPr>
              <w:t>1,069 </w:t>
            </w:r>
          </w:p>
        </w:tc>
        <w:tc>
          <w:tcPr>
            <w:tcW w:w="0" w:type="auto"/>
            <w:tcBorders>
              <w:top w:val="single" w:sz="8" w:space="0" w:color="000000"/>
            </w:tcBorders>
            <w:shd w:val="clear" w:color="auto" w:fill="auto"/>
            <w:tcMar>
              <w:top w:w="40" w:type="dxa"/>
              <w:bottom w:w="40" w:type="dxa"/>
              <w:right w:w="20" w:type="dxa"/>
            </w:tcMar>
            <w:vAlign w:val="center"/>
          </w:tcPr>
          <w:p w14:paraId="33DA9221" w14:textId="77777777" w:rsidR="004D6A64" w:rsidRDefault="004D6A64">
            <w:pPr>
              <w:jc w:val="right"/>
              <w:rPr>
                <w:rFonts w:ascii="宋体"/>
              </w:rPr>
            </w:pPr>
          </w:p>
        </w:tc>
        <w:tc>
          <w:tcPr>
            <w:tcW w:w="0" w:type="auto"/>
            <w:shd w:val="clear" w:color="auto" w:fill="auto"/>
          </w:tcPr>
          <w:p w14:paraId="33DA9222" w14:textId="77777777" w:rsidR="004D6A64" w:rsidRDefault="004D6A64">
            <w:pPr>
              <w:rPr>
                <w:rFonts w:ascii="宋体"/>
              </w:rPr>
            </w:pPr>
          </w:p>
        </w:tc>
        <w:tc>
          <w:tcPr>
            <w:tcW w:w="0" w:type="auto"/>
            <w:shd w:val="clear" w:color="auto" w:fill="auto"/>
          </w:tcPr>
          <w:p w14:paraId="33DA9223" w14:textId="77777777" w:rsidR="004D6A64" w:rsidRDefault="004D6A64">
            <w:pPr>
              <w:rPr>
                <w:rFonts w:ascii="宋体"/>
              </w:rPr>
            </w:pPr>
          </w:p>
        </w:tc>
        <w:tc>
          <w:tcPr>
            <w:tcW w:w="0" w:type="auto"/>
            <w:shd w:val="clear" w:color="auto" w:fill="auto"/>
          </w:tcPr>
          <w:p w14:paraId="33DA9224" w14:textId="77777777" w:rsidR="004D6A64" w:rsidRDefault="004D6A64">
            <w:pPr>
              <w:rPr>
                <w:rFonts w:ascii="宋体"/>
              </w:rPr>
            </w:pPr>
          </w:p>
        </w:tc>
        <w:tc>
          <w:tcPr>
            <w:tcW w:w="0" w:type="auto"/>
            <w:shd w:val="clear" w:color="auto" w:fill="auto"/>
          </w:tcPr>
          <w:p w14:paraId="33DA9225" w14:textId="77777777" w:rsidR="004D6A64" w:rsidRDefault="004D6A64">
            <w:pPr>
              <w:rPr>
                <w:rFonts w:ascii="宋体"/>
              </w:rPr>
            </w:pPr>
          </w:p>
        </w:tc>
        <w:tc>
          <w:tcPr>
            <w:tcW w:w="0" w:type="auto"/>
            <w:shd w:val="clear" w:color="auto" w:fill="auto"/>
          </w:tcPr>
          <w:p w14:paraId="33DA9226" w14:textId="77777777" w:rsidR="004D6A64" w:rsidRDefault="004D6A64">
            <w:pPr>
              <w:rPr>
                <w:rFonts w:ascii="宋体"/>
              </w:rPr>
            </w:pPr>
          </w:p>
        </w:tc>
        <w:tc>
          <w:tcPr>
            <w:tcW w:w="0" w:type="auto"/>
            <w:shd w:val="clear" w:color="auto" w:fill="auto"/>
          </w:tcPr>
          <w:p w14:paraId="33DA9227" w14:textId="77777777" w:rsidR="004D6A64" w:rsidRDefault="004D6A64">
            <w:pPr>
              <w:rPr>
                <w:rFonts w:ascii="宋体"/>
              </w:rPr>
            </w:pPr>
          </w:p>
        </w:tc>
        <w:tc>
          <w:tcPr>
            <w:tcW w:w="0" w:type="auto"/>
            <w:shd w:val="clear" w:color="auto" w:fill="auto"/>
          </w:tcPr>
          <w:p w14:paraId="33DA9228" w14:textId="77777777" w:rsidR="004D6A64" w:rsidRDefault="004D6A64">
            <w:pPr>
              <w:rPr>
                <w:rFonts w:ascii="宋体"/>
              </w:rPr>
            </w:pPr>
          </w:p>
        </w:tc>
        <w:tc>
          <w:tcPr>
            <w:tcW w:w="0" w:type="auto"/>
            <w:shd w:val="clear" w:color="auto" w:fill="auto"/>
          </w:tcPr>
          <w:p w14:paraId="33DA9229" w14:textId="77777777" w:rsidR="004D6A64" w:rsidRDefault="004D6A64">
            <w:pPr>
              <w:rPr>
                <w:rFonts w:ascii="宋体"/>
              </w:rPr>
            </w:pPr>
          </w:p>
        </w:tc>
        <w:tc>
          <w:tcPr>
            <w:tcW w:w="0" w:type="auto"/>
            <w:shd w:val="clear" w:color="auto" w:fill="auto"/>
          </w:tcPr>
          <w:p w14:paraId="33DA922A" w14:textId="77777777" w:rsidR="004D6A64" w:rsidRDefault="004D6A64">
            <w:pPr>
              <w:rPr>
                <w:rFonts w:ascii="宋体"/>
              </w:rPr>
            </w:pPr>
          </w:p>
        </w:tc>
        <w:tc>
          <w:tcPr>
            <w:tcW w:w="0" w:type="auto"/>
            <w:shd w:val="clear" w:color="auto" w:fill="auto"/>
          </w:tcPr>
          <w:p w14:paraId="33DA922B" w14:textId="77777777" w:rsidR="004D6A64" w:rsidRDefault="004D6A64">
            <w:pPr>
              <w:rPr>
                <w:rFonts w:ascii="宋体"/>
              </w:rPr>
            </w:pPr>
          </w:p>
        </w:tc>
        <w:tc>
          <w:tcPr>
            <w:tcW w:w="0" w:type="auto"/>
            <w:shd w:val="clear" w:color="auto" w:fill="auto"/>
          </w:tcPr>
          <w:p w14:paraId="33DA922C" w14:textId="77777777" w:rsidR="004D6A64" w:rsidRDefault="004D6A64">
            <w:pPr>
              <w:rPr>
                <w:rFonts w:ascii="宋体"/>
              </w:rPr>
            </w:pPr>
          </w:p>
        </w:tc>
        <w:tc>
          <w:tcPr>
            <w:tcW w:w="0" w:type="auto"/>
            <w:shd w:val="clear" w:color="auto" w:fill="auto"/>
          </w:tcPr>
          <w:p w14:paraId="33DA922D" w14:textId="77777777" w:rsidR="004D6A64" w:rsidRDefault="004D6A64">
            <w:pPr>
              <w:rPr>
                <w:rFonts w:ascii="宋体"/>
              </w:rPr>
            </w:pPr>
          </w:p>
        </w:tc>
      </w:tr>
      <w:tr w:rsidR="004D6A64" w14:paraId="33DA9247" w14:textId="77777777">
        <w:trPr>
          <w:gridAfter w:val="3"/>
          <w:jc w:val="center"/>
        </w:trPr>
        <w:tc>
          <w:tcPr>
            <w:tcW w:w="0" w:type="auto"/>
            <w:gridSpan w:val="3"/>
            <w:shd w:val="clear" w:color="auto" w:fill="CCEEFF"/>
            <w:tcMar>
              <w:top w:w="40" w:type="dxa"/>
              <w:left w:w="20" w:type="dxa"/>
              <w:bottom w:w="40" w:type="dxa"/>
              <w:right w:w="20" w:type="dxa"/>
            </w:tcMar>
            <w:vAlign w:val="center"/>
          </w:tcPr>
          <w:p w14:paraId="33DA922F" w14:textId="77777777" w:rsidR="004D6A64" w:rsidRDefault="00506CD6">
            <w:pPr>
              <w:textAlignment w:val="center"/>
            </w:pPr>
            <w:r>
              <w:rPr>
                <w:rFonts w:ascii="Times New Roman" w:eastAsia="宋体" w:hAnsi="Times New Roman"/>
                <w:color w:val="000000"/>
                <w:sz w:val="20"/>
                <w:szCs w:val="20"/>
              </w:rPr>
              <w:t>Interest and other, net</w:t>
            </w:r>
          </w:p>
        </w:tc>
        <w:tc>
          <w:tcPr>
            <w:tcW w:w="0" w:type="auto"/>
            <w:gridSpan w:val="2"/>
            <w:shd w:val="clear" w:color="auto" w:fill="CCEEFF"/>
            <w:tcMar>
              <w:top w:w="40" w:type="dxa"/>
              <w:left w:w="20" w:type="dxa"/>
              <w:bottom w:w="40" w:type="dxa"/>
              <w:right w:w="0" w:type="dxa"/>
            </w:tcMar>
            <w:vAlign w:val="center"/>
          </w:tcPr>
          <w:p w14:paraId="33DA9230" w14:textId="77777777" w:rsidR="004D6A64" w:rsidRDefault="00506CD6">
            <w:pPr>
              <w:jc w:val="right"/>
              <w:textAlignment w:val="center"/>
            </w:pPr>
            <w:r>
              <w:rPr>
                <w:rFonts w:ascii="Times New Roman" w:eastAsia="宋体" w:hAnsi="Times New Roman"/>
                <w:color w:val="000000"/>
                <w:sz w:val="20"/>
                <w:szCs w:val="20"/>
              </w:rPr>
              <w:t>(636)</w:t>
            </w:r>
          </w:p>
        </w:tc>
        <w:tc>
          <w:tcPr>
            <w:tcW w:w="0" w:type="auto"/>
            <w:shd w:val="clear" w:color="auto" w:fill="CCEEFF"/>
            <w:tcMar>
              <w:top w:w="40" w:type="dxa"/>
              <w:bottom w:w="40" w:type="dxa"/>
              <w:right w:w="20" w:type="dxa"/>
            </w:tcMar>
            <w:vAlign w:val="center"/>
          </w:tcPr>
          <w:p w14:paraId="33DA923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23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9233" w14:textId="77777777" w:rsidR="004D6A64" w:rsidRDefault="00506CD6">
            <w:pPr>
              <w:jc w:val="right"/>
              <w:textAlignment w:val="center"/>
            </w:pPr>
            <w:r>
              <w:rPr>
                <w:rFonts w:ascii="Times New Roman" w:eastAsia="宋体" w:hAnsi="Times New Roman"/>
                <w:color w:val="000000"/>
                <w:sz w:val="20"/>
                <w:szCs w:val="20"/>
              </w:rPr>
              <w:t>(630)</w:t>
            </w:r>
          </w:p>
        </w:tc>
        <w:tc>
          <w:tcPr>
            <w:tcW w:w="0" w:type="auto"/>
            <w:shd w:val="clear" w:color="auto" w:fill="CCEEFF"/>
            <w:tcMar>
              <w:top w:w="40" w:type="dxa"/>
              <w:bottom w:w="40" w:type="dxa"/>
              <w:right w:w="20" w:type="dxa"/>
            </w:tcMar>
            <w:vAlign w:val="center"/>
          </w:tcPr>
          <w:p w14:paraId="33DA923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23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9236" w14:textId="77777777" w:rsidR="004D6A64" w:rsidRDefault="00506CD6">
            <w:pPr>
              <w:jc w:val="right"/>
              <w:textAlignment w:val="center"/>
            </w:pPr>
            <w:r>
              <w:rPr>
                <w:rFonts w:ascii="Times New Roman" w:eastAsia="宋体" w:hAnsi="Times New Roman"/>
                <w:color w:val="000000"/>
                <w:sz w:val="20"/>
                <w:szCs w:val="20"/>
              </w:rPr>
              <w:t>(1,202)</w:t>
            </w:r>
          </w:p>
        </w:tc>
        <w:tc>
          <w:tcPr>
            <w:tcW w:w="0" w:type="auto"/>
            <w:shd w:val="clear" w:color="auto" w:fill="CCEEFF"/>
            <w:tcMar>
              <w:top w:w="40" w:type="dxa"/>
              <w:bottom w:w="40" w:type="dxa"/>
              <w:right w:w="20" w:type="dxa"/>
            </w:tcMar>
            <w:vAlign w:val="center"/>
          </w:tcPr>
          <w:p w14:paraId="33DA9237" w14:textId="77777777" w:rsidR="004D6A64" w:rsidRDefault="004D6A64">
            <w:pPr>
              <w:jc w:val="right"/>
              <w:rPr>
                <w:rFonts w:ascii="宋体"/>
              </w:rPr>
            </w:pPr>
          </w:p>
        </w:tc>
        <w:tc>
          <w:tcPr>
            <w:tcW w:w="0" w:type="auto"/>
            <w:gridSpan w:val="3"/>
            <w:shd w:val="clear" w:color="auto" w:fill="CCEEFF"/>
            <w:tcMar>
              <w:left w:w="20" w:type="dxa"/>
              <w:right w:w="20" w:type="dxa"/>
            </w:tcMar>
            <w:vAlign w:val="center"/>
          </w:tcPr>
          <w:p w14:paraId="33DA9238"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center"/>
          </w:tcPr>
          <w:p w14:paraId="33DA9239" w14:textId="77777777" w:rsidR="004D6A64" w:rsidRDefault="00506CD6">
            <w:pPr>
              <w:jc w:val="right"/>
              <w:textAlignment w:val="center"/>
            </w:pPr>
            <w:r>
              <w:rPr>
                <w:rFonts w:ascii="Times New Roman" w:eastAsia="宋体" w:hAnsi="Times New Roman"/>
                <w:color w:val="000000"/>
                <w:sz w:val="20"/>
                <w:szCs w:val="20"/>
              </w:rPr>
              <w:t>(1,323)</w:t>
            </w:r>
          </w:p>
        </w:tc>
        <w:tc>
          <w:tcPr>
            <w:tcW w:w="0" w:type="auto"/>
            <w:shd w:val="clear" w:color="auto" w:fill="CCEEFF"/>
            <w:tcMar>
              <w:top w:w="40" w:type="dxa"/>
              <w:bottom w:w="40" w:type="dxa"/>
              <w:right w:w="20" w:type="dxa"/>
            </w:tcMar>
            <w:vAlign w:val="center"/>
          </w:tcPr>
          <w:p w14:paraId="33DA923A" w14:textId="77777777" w:rsidR="004D6A64" w:rsidRDefault="004D6A64">
            <w:pPr>
              <w:jc w:val="right"/>
              <w:rPr>
                <w:rFonts w:ascii="宋体"/>
              </w:rPr>
            </w:pPr>
          </w:p>
        </w:tc>
        <w:tc>
          <w:tcPr>
            <w:tcW w:w="0" w:type="auto"/>
            <w:shd w:val="clear" w:color="auto" w:fill="auto"/>
          </w:tcPr>
          <w:p w14:paraId="33DA923B" w14:textId="77777777" w:rsidR="004D6A64" w:rsidRDefault="004D6A64">
            <w:pPr>
              <w:rPr>
                <w:rFonts w:ascii="宋体"/>
              </w:rPr>
            </w:pPr>
          </w:p>
        </w:tc>
        <w:tc>
          <w:tcPr>
            <w:tcW w:w="0" w:type="auto"/>
            <w:shd w:val="clear" w:color="auto" w:fill="auto"/>
          </w:tcPr>
          <w:p w14:paraId="33DA923C" w14:textId="77777777" w:rsidR="004D6A64" w:rsidRDefault="004D6A64">
            <w:pPr>
              <w:rPr>
                <w:rFonts w:ascii="宋体"/>
              </w:rPr>
            </w:pPr>
          </w:p>
        </w:tc>
        <w:tc>
          <w:tcPr>
            <w:tcW w:w="0" w:type="auto"/>
            <w:shd w:val="clear" w:color="auto" w:fill="auto"/>
          </w:tcPr>
          <w:p w14:paraId="33DA923D" w14:textId="77777777" w:rsidR="004D6A64" w:rsidRDefault="004D6A64">
            <w:pPr>
              <w:rPr>
                <w:rFonts w:ascii="宋体"/>
              </w:rPr>
            </w:pPr>
          </w:p>
        </w:tc>
        <w:tc>
          <w:tcPr>
            <w:tcW w:w="0" w:type="auto"/>
            <w:shd w:val="clear" w:color="auto" w:fill="auto"/>
          </w:tcPr>
          <w:p w14:paraId="33DA923E" w14:textId="77777777" w:rsidR="004D6A64" w:rsidRDefault="004D6A64">
            <w:pPr>
              <w:rPr>
                <w:rFonts w:ascii="宋体"/>
              </w:rPr>
            </w:pPr>
          </w:p>
        </w:tc>
        <w:tc>
          <w:tcPr>
            <w:tcW w:w="0" w:type="auto"/>
            <w:shd w:val="clear" w:color="auto" w:fill="auto"/>
          </w:tcPr>
          <w:p w14:paraId="33DA923F" w14:textId="77777777" w:rsidR="004D6A64" w:rsidRDefault="004D6A64">
            <w:pPr>
              <w:rPr>
                <w:rFonts w:ascii="宋体"/>
              </w:rPr>
            </w:pPr>
          </w:p>
        </w:tc>
        <w:tc>
          <w:tcPr>
            <w:tcW w:w="0" w:type="auto"/>
            <w:shd w:val="clear" w:color="auto" w:fill="auto"/>
          </w:tcPr>
          <w:p w14:paraId="33DA9240" w14:textId="77777777" w:rsidR="004D6A64" w:rsidRDefault="004D6A64">
            <w:pPr>
              <w:rPr>
                <w:rFonts w:ascii="宋体"/>
              </w:rPr>
            </w:pPr>
          </w:p>
        </w:tc>
        <w:tc>
          <w:tcPr>
            <w:tcW w:w="0" w:type="auto"/>
            <w:shd w:val="clear" w:color="auto" w:fill="auto"/>
          </w:tcPr>
          <w:p w14:paraId="33DA9241" w14:textId="77777777" w:rsidR="004D6A64" w:rsidRDefault="004D6A64">
            <w:pPr>
              <w:rPr>
                <w:rFonts w:ascii="宋体"/>
              </w:rPr>
            </w:pPr>
          </w:p>
        </w:tc>
        <w:tc>
          <w:tcPr>
            <w:tcW w:w="0" w:type="auto"/>
            <w:shd w:val="clear" w:color="auto" w:fill="auto"/>
          </w:tcPr>
          <w:p w14:paraId="33DA9242" w14:textId="77777777" w:rsidR="004D6A64" w:rsidRDefault="004D6A64">
            <w:pPr>
              <w:rPr>
                <w:rFonts w:ascii="宋体"/>
              </w:rPr>
            </w:pPr>
          </w:p>
        </w:tc>
        <w:tc>
          <w:tcPr>
            <w:tcW w:w="0" w:type="auto"/>
            <w:shd w:val="clear" w:color="auto" w:fill="auto"/>
          </w:tcPr>
          <w:p w14:paraId="33DA9243" w14:textId="77777777" w:rsidR="004D6A64" w:rsidRDefault="004D6A64">
            <w:pPr>
              <w:rPr>
                <w:rFonts w:ascii="宋体"/>
              </w:rPr>
            </w:pPr>
          </w:p>
        </w:tc>
        <w:tc>
          <w:tcPr>
            <w:tcW w:w="0" w:type="auto"/>
            <w:shd w:val="clear" w:color="auto" w:fill="auto"/>
          </w:tcPr>
          <w:p w14:paraId="33DA9244" w14:textId="77777777" w:rsidR="004D6A64" w:rsidRDefault="004D6A64">
            <w:pPr>
              <w:rPr>
                <w:rFonts w:ascii="宋体"/>
              </w:rPr>
            </w:pPr>
          </w:p>
        </w:tc>
        <w:tc>
          <w:tcPr>
            <w:tcW w:w="0" w:type="auto"/>
            <w:shd w:val="clear" w:color="auto" w:fill="auto"/>
          </w:tcPr>
          <w:p w14:paraId="33DA9245" w14:textId="77777777" w:rsidR="004D6A64" w:rsidRDefault="004D6A64">
            <w:pPr>
              <w:rPr>
                <w:rFonts w:ascii="宋体"/>
              </w:rPr>
            </w:pPr>
          </w:p>
        </w:tc>
        <w:tc>
          <w:tcPr>
            <w:tcW w:w="0" w:type="auto"/>
            <w:shd w:val="clear" w:color="auto" w:fill="auto"/>
          </w:tcPr>
          <w:p w14:paraId="33DA9246" w14:textId="77777777" w:rsidR="004D6A64" w:rsidRDefault="004D6A64">
            <w:pPr>
              <w:rPr>
                <w:rFonts w:ascii="宋体"/>
              </w:rPr>
            </w:pPr>
          </w:p>
        </w:tc>
      </w:tr>
      <w:tr w:rsidR="004D6A64" w14:paraId="33DA9260" w14:textId="77777777">
        <w:trPr>
          <w:gridAfter w:val="3"/>
          <w:jc w:val="center"/>
        </w:trPr>
        <w:tc>
          <w:tcPr>
            <w:tcW w:w="0" w:type="auto"/>
            <w:gridSpan w:val="3"/>
            <w:shd w:val="clear" w:color="auto" w:fill="FFFFFF"/>
            <w:tcMar>
              <w:top w:w="40" w:type="dxa"/>
              <w:left w:w="225" w:type="dxa"/>
              <w:bottom w:w="40" w:type="dxa"/>
              <w:right w:w="20" w:type="dxa"/>
            </w:tcMar>
            <w:vAlign w:val="center"/>
          </w:tcPr>
          <w:p w14:paraId="33DA9248" w14:textId="77777777" w:rsidR="004D6A64" w:rsidRDefault="00506CD6">
            <w:pPr>
              <w:textAlignment w:val="center"/>
            </w:pPr>
            <w:r>
              <w:rPr>
                <w:rFonts w:ascii="Times New Roman" w:eastAsia="宋体" w:hAnsi="Times New Roman"/>
                <w:color w:val="000000"/>
                <w:sz w:val="20"/>
                <w:szCs w:val="20"/>
              </w:rPr>
              <w:t>Income (loss) before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9249" w14:textId="77777777" w:rsidR="004D6A64" w:rsidRDefault="00506CD6">
            <w:pPr>
              <w:jc w:val="right"/>
              <w:textAlignment w:val="center"/>
            </w:pPr>
            <w:r>
              <w:rPr>
                <w:rFonts w:ascii="Times New Roman" w:eastAsia="宋体" w:hAnsi="Times New Roman"/>
                <w:color w:val="000000"/>
                <w:sz w:val="20"/>
                <w:szCs w:val="20"/>
              </w:rPr>
              <w:t>500 </w:t>
            </w:r>
          </w:p>
        </w:tc>
        <w:tc>
          <w:tcPr>
            <w:tcW w:w="0" w:type="auto"/>
            <w:tcBorders>
              <w:top w:val="single" w:sz="8" w:space="0" w:color="000000"/>
            </w:tcBorders>
            <w:shd w:val="clear" w:color="auto" w:fill="FFFFFF"/>
            <w:tcMar>
              <w:top w:w="40" w:type="dxa"/>
              <w:bottom w:w="40" w:type="dxa"/>
              <w:right w:w="20" w:type="dxa"/>
            </w:tcMar>
            <w:vAlign w:val="center"/>
          </w:tcPr>
          <w:p w14:paraId="33DA924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24B"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924C" w14:textId="77777777" w:rsidR="004D6A64" w:rsidRDefault="00506CD6">
            <w:pPr>
              <w:jc w:val="right"/>
              <w:textAlignment w:val="center"/>
            </w:pPr>
            <w:r>
              <w:rPr>
                <w:rFonts w:ascii="Times New Roman" w:eastAsia="宋体" w:hAnsi="Times New Roman"/>
                <w:color w:val="000000"/>
                <w:sz w:val="20"/>
                <w:szCs w:val="20"/>
              </w:rPr>
              <w:t>(111)</w:t>
            </w:r>
          </w:p>
        </w:tc>
        <w:tc>
          <w:tcPr>
            <w:tcW w:w="0" w:type="auto"/>
            <w:tcBorders>
              <w:top w:val="single" w:sz="8" w:space="0" w:color="000000"/>
            </w:tcBorders>
            <w:shd w:val="clear" w:color="auto" w:fill="FFFFFF"/>
            <w:tcMar>
              <w:top w:w="40" w:type="dxa"/>
              <w:bottom w:w="40" w:type="dxa"/>
              <w:right w:w="20" w:type="dxa"/>
            </w:tcMar>
            <w:vAlign w:val="center"/>
          </w:tcPr>
          <w:p w14:paraId="33DA924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24E"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924F" w14:textId="77777777" w:rsidR="004D6A64" w:rsidRDefault="00506CD6">
            <w:pPr>
              <w:jc w:val="right"/>
              <w:textAlignment w:val="center"/>
            </w:pPr>
            <w:r>
              <w:rPr>
                <w:rFonts w:ascii="Times New Roman" w:eastAsia="宋体" w:hAnsi="Times New Roman"/>
                <w:color w:val="000000"/>
                <w:sz w:val="20"/>
                <w:szCs w:val="20"/>
              </w:rPr>
              <w:t>636 </w:t>
            </w:r>
          </w:p>
        </w:tc>
        <w:tc>
          <w:tcPr>
            <w:tcW w:w="0" w:type="auto"/>
            <w:tcBorders>
              <w:top w:val="single" w:sz="8" w:space="0" w:color="000000"/>
            </w:tcBorders>
            <w:shd w:val="clear" w:color="auto" w:fill="FFFFFF"/>
            <w:tcMar>
              <w:top w:w="40" w:type="dxa"/>
              <w:bottom w:w="40" w:type="dxa"/>
              <w:right w:w="20" w:type="dxa"/>
            </w:tcMar>
            <w:vAlign w:val="center"/>
          </w:tcPr>
          <w:p w14:paraId="33DA9250" w14:textId="77777777" w:rsidR="004D6A64" w:rsidRDefault="004D6A64">
            <w:pPr>
              <w:jc w:val="right"/>
              <w:rPr>
                <w:rFonts w:ascii="宋体"/>
              </w:rPr>
            </w:pPr>
          </w:p>
        </w:tc>
        <w:tc>
          <w:tcPr>
            <w:tcW w:w="0" w:type="auto"/>
            <w:gridSpan w:val="3"/>
            <w:shd w:val="clear" w:color="auto" w:fill="auto"/>
            <w:tcMar>
              <w:left w:w="20" w:type="dxa"/>
              <w:right w:w="20" w:type="dxa"/>
            </w:tcMar>
            <w:vAlign w:val="center"/>
          </w:tcPr>
          <w:p w14:paraId="33DA9251" w14:textId="77777777" w:rsidR="004D6A64" w:rsidRDefault="004D6A64">
            <w:pPr>
              <w:jc w:val="right"/>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center"/>
          </w:tcPr>
          <w:p w14:paraId="33DA9252" w14:textId="77777777" w:rsidR="004D6A64" w:rsidRDefault="00506CD6">
            <w:pPr>
              <w:jc w:val="right"/>
              <w:textAlignment w:val="center"/>
            </w:pPr>
            <w:r>
              <w:rPr>
                <w:rFonts w:ascii="Times New Roman" w:eastAsia="宋体" w:hAnsi="Times New Roman"/>
                <w:color w:val="000000"/>
                <w:sz w:val="20"/>
                <w:szCs w:val="20"/>
              </w:rPr>
              <w:t>(254)</w:t>
            </w:r>
          </w:p>
        </w:tc>
        <w:tc>
          <w:tcPr>
            <w:tcW w:w="0" w:type="auto"/>
            <w:tcBorders>
              <w:top w:val="single" w:sz="8" w:space="0" w:color="000000"/>
            </w:tcBorders>
            <w:shd w:val="clear" w:color="auto" w:fill="auto"/>
            <w:tcMar>
              <w:top w:w="40" w:type="dxa"/>
              <w:bottom w:w="40" w:type="dxa"/>
              <w:right w:w="20" w:type="dxa"/>
            </w:tcMar>
            <w:vAlign w:val="center"/>
          </w:tcPr>
          <w:p w14:paraId="33DA9253" w14:textId="77777777" w:rsidR="004D6A64" w:rsidRDefault="004D6A64">
            <w:pPr>
              <w:jc w:val="right"/>
              <w:rPr>
                <w:rFonts w:ascii="宋体"/>
              </w:rPr>
            </w:pPr>
          </w:p>
        </w:tc>
        <w:tc>
          <w:tcPr>
            <w:tcW w:w="0" w:type="auto"/>
            <w:shd w:val="clear" w:color="auto" w:fill="auto"/>
          </w:tcPr>
          <w:p w14:paraId="33DA9254" w14:textId="77777777" w:rsidR="004D6A64" w:rsidRDefault="004D6A64">
            <w:pPr>
              <w:rPr>
                <w:rFonts w:ascii="宋体"/>
              </w:rPr>
            </w:pPr>
          </w:p>
        </w:tc>
        <w:tc>
          <w:tcPr>
            <w:tcW w:w="0" w:type="auto"/>
            <w:shd w:val="clear" w:color="auto" w:fill="auto"/>
          </w:tcPr>
          <w:p w14:paraId="33DA9255" w14:textId="77777777" w:rsidR="004D6A64" w:rsidRDefault="004D6A64">
            <w:pPr>
              <w:rPr>
                <w:rFonts w:ascii="宋体"/>
              </w:rPr>
            </w:pPr>
          </w:p>
        </w:tc>
        <w:tc>
          <w:tcPr>
            <w:tcW w:w="0" w:type="auto"/>
            <w:shd w:val="clear" w:color="auto" w:fill="auto"/>
          </w:tcPr>
          <w:p w14:paraId="33DA9256" w14:textId="77777777" w:rsidR="004D6A64" w:rsidRDefault="004D6A64">
            <w:pPr>
              <w:rPr>
                <w:rFonts w:ascii="宋体"/>
              </w:rPr>
            </w:pPr>
          </w:p>
        </w:tc>
        <w:tc>
          <w:tcPr>
            <w:tcW w:w="0" w:type="auto"/>
            <w:shd w:val="clear" w:color="auto" w:fill="auto"/>
          </w:tcPr>
          <w:p w14:paraId="33DA9257" w14:textId="77777777" w:rsidR="004D6A64" w:rsidRDefault="004D6A64">
            <w:pPr>
              <w:rPr>
                <w:rFonts w:ascii="宋体"/>
              </w:rPr>
            </w:pPr>
          </w:p>
        </w:tc>
        <w:tc>
          <w:tcPr>
            <w:tcW w:w="0" w:type="auto"/>
            <w:shd w:val="clear" w:color="auto" w:fill="auto"/>
          </w:tcPr>
          <w:p w14:paraId="33DA9258" w14:textId="77777777" w:rsidR="004D6A64" w:rsidRDefault="004D6A64">
            <w:pPr>
              <w:rPr>
                <w:rFonts w:ascii="宋体"/>
              </w:rPr>
            </w:pPr>
          </w:p>
        </w:tc>
        <w:tc>
          <w:tcPr>
            <w:tcW w:w="0" w:type="auto"/>
            <w:shd w:val="clear" w:color="auto" w:fill="auto"/>
          </w:tcPr>
          <w:p w14:paraId="33DA9259" w14:textId="77777777" w:rsidR="004D6A64" w:rsidRDefault="004D6A64">
            <w:pPr>
              <w:rPr>
                <w:rFonts w:ascii="宋体"/>
              </w:rPr>
            </w:pPr>
          </w:p>
        </w:tc>
        <w:tc>
          <w:tcPr>
            <w:tcW w:w="0" w:type="auto"/>
            <w:shd w:val="clear" w:color="auto" w:fill="auto"/>
          </w:tcPr>
          <w:p w14:paraId="33DA925A" w14:textId="77777777" w:rsidR="004D6A64" w:rsidRDefault="004D6A64">
            <w:pPr>
              <w:rPr>
                <w:rFonts w:ascii="宋体"/>
              </w:rPr>
            </w:pPr>
          </w:p>
        </w:tc>
        <w:tc>
          <w:tcPr>
            <w:tcW w:w="0" w:type="auto"/>
            <w:shd w:val="clear" w:color="auto" w:fill="auto"/>
          </w:tcPr>
          <w:p w14:paraId="33DA925B" w14:textId="77777777" w:rsidR="004D6A64" w:rsidRDefault="004D6A64">
            <w:pPr>
              <w:rPr>
                <w:rFonts w:ascii="宋体"/>
              </w:rPr>
            </w:pPr>
          </w:p>
        </w:tc>
        <w:tc>
          <w:tcPr>
            <w:tcW w:w="0" w:type="auto"/>
            <w:shd w:val="clear" w:color="auto" w:fill="auto"/>
          </w:tcPr>
          <w:p w14:paraId="33DA925C" w14:textId="77777777" w:rsidR="004D6A64" w:rsidRDefault="004D6A64">
            <w:pPr>
              <w:rPr>
                <w:rFonts w:ascii="宋体"/>
              </w:rPr>
            </w:pPr>
          </w:p>
        </w:tc>
        <w:tc>
          <w:tcPr>
            <w:tcW w:w="0" w:type="auto"/>
            <w:shd w:val="clear" w:color="auto" w:fill="auto"/>
          </w:tcPr>
          <w:p w14:paraId="33DA925D" w14:textId="77777777" w:rsidR="004D6A64" w:rsidRDefault="004D6A64">
            <w:pPr>
              <w:rPr>
                <w:rFonts w:ascii="宋体"/>
              </w:rPr>
            </w:pPr>
          </w:p>
        </w:tc>
        <w:tc>
          <w:tcPr>
            <w:tcW w:w="0" w:type="auto"/>
            <w:shd w:val="clear" w:color="auto" w:fill="auto"/>
          </w:tcPr>
          <w:p w14:paraId="33DA925E" w14:textId="77777777" w:rsidR="004D6A64" w:rsidRDefault="004D6A64">
            <w:pPr>
              <w:rPr>
                <w:rFonts w:ascii="宋体"/>
              </w:rPr>
            </w:pPr>
          </w:p>
        </w:tc>
        <w:tc>
          <w:tcPr>
            <w:tcW w:w="0" w:type="auto"/>
            <w:shd w:val="clear" w:color="auto" w:fill="auto"/>
          </w:tcPr>
          <w:p w14:paraId="33DA925F" w14:textId="77777777" w:rsidR="004D6A64" w:rsidRDefault="004D6A64">
            <w:pPr>
              <w:rPr>
                <w:rFonts w:ascii="宋体"/>
              </w:rPr>
            </w:pPr>
          </w:p>
        </w:tc>
      </w:tr>
      <w:tr w:rsidR="004D6A64" w14:paraId="33DA9279" w14:textId="77777777">
        <w:trPr>
          <w:gridAfter w:val="3"/>
          <w:jc w:val="center"/>
        </w:trPr>
        <w:tc>
          <w:tcPr>
            <w:tcW w:w="0" w:type="auto"/>
            <w:gridSpan w:val="3"/>
            <w:shd w:val="clear" w:color="auto" w:fill="CCEEFF"/>
            <w:tcMar>
              <w:top w:w="40" w:type="dxa"/>
              <w:left w:w="20" w:type="dxa"/>
              <w:bottom w:w="40" w:type="dxa"/>
              <w:right w:w="20" w:type="dxa"/>
            </w:tcMar>
            <w:vAlign w:val="center"/>
          </w:tcPr>
          <w:p w14:paraId="33DA9261" w14:textId="77777777" w:rsidR="004D6A64" w:rsidRDefault="00506CD6">
            <w:pPr>
              <w:textAlignment w:val="center"/>
            </w:pPr>
            <w:r>
              <w:rPr>
                <w:rFonts w:ascii="Times New Roman" w:eastAsia="宋体" w:hAnsi="Times New Roman"/>
                <w:color w:val="000000"/>
                <w:sz w:val="20"/>
                <w:szCs w:val="20"/>
              </w:rPr>
              <w:t>Income tax benefit</w:t>
            </w:r>
          </w:p>
        </w:tc>
        <w:tc>
          <w:tcPr>
            <w:tcW w:w="0" w:type="auto"/>
            <w:gridSpan w:val="2"/>
            <w:shd w:val="clear" w:color="auto" w:fill="CCEEFF"/>
            <w:tcMar>
              <w:top w:w="40" w:type="dxa"/>
              <w:left w:w="20" w:type="dxa"/>
              <w:bottom w:w="40" w:type="dxa"/>
              <w:right w:w="0" w:type="dxa"/>
            </w:tcMar>
            <w:vAlign w:val="center"/>
          </w:tcPr>
          <w:p w14:paraId="33DA9262" w14:textId="77777777" w:rsidR="004D6A64" w:rsidRDefault="00506CD6">
            <w:pPr>
              <w:jc w:val="right"/>
              <w:textAlignment w:val="center"/>
            </w:pPr>
            <w:r>
              <w:rPr>
                <w:rFonts w:ascii="Times New Roman" w:eastAsia="宋体" w:hAnsi="Times New Roman"/>
                <w:color w:val="000000"/>
                <w:sz w:val="20"/>
                <w:szCs w:val="20"/>
              </w:rPr>
              <w:t>(599)</w:t>
            </w:r>
          </w:p>
        </w:tc>
        <w:tc>
          <w:tcPr>
            <w:tcW w:w="0" w:type="auto"/>
            <w:shd w:val="clear" w:color="auto" w:fill="CCEEFF"/>
            <w:tcMar>
              <w:top w:w="40" w:type="dxa"/>
              <w:bottom w:w="40" w:type="dxa"/>
              <w:right w:w="20" w:type="dxa"/>
            </w:tcMar>
            <w:vAlign w:val="center"/>
          </w:tcPr>
          <w:p w14:paraId="33DA926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264"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9265" w14:textId="77777777" w:rsidR="004D6A64" w:rsidRDefault="00506CD6">
            <w:pPr>
              <w:jc w:val="right"/>
              <w:textAlignment w:val="center"/>
            </w:pPr>
            <w:r>
              <w:rPr>
                <w:rFonts w:ascii="Times New Roman" w:eastAsia="宋体" w:hAnsi="Times New Roman"/>
                <w:color w:val="000000"/>
                <w:sz w:val="20"/>
                <w:szCs w:val="20"/>
              </w:rPr>
              <w:t>(4,343)</w:t>
            </w:r>
          </w:p>
        </w:tc>
        <w:tc>
          <w:tcPr>
            <w:tcW w:w="0" w:type="auto"/>
            <w:shd w:val="clear" w:color="auto" w:fill="CCEEFF"/>
            <w:tcMar>
              <w:top w:w="40" w:type="dxa"/>
              <w:bottom w:w="40" w:type="dxa"/>
              <w:right w:w="20" w:type="dxa"/>
            </w:tcMar>
            <w:vAlign w:val="center"/>
          </w:tcPr>
          <w:p w14:paraId="33DA926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267"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9268" w14:textId="77777777" w:rsidR="004D6A64" w:rsidRDefault="00506CD6">
            <w:pPr>
              <w:jc w:val="right"/>
              <w:textAlignment w:val="center"/>
            </w:pPr>
            <w:r>
              <w:rPr>
                <w:rFonts w:ascii="Times New Roman" w:eastAsia="宋体" w:hAnsi="Times New Roman"/>
                <w:color w:val="000000"/>
                <w:sz w:val="20"/>
                <w:szCs w:val="20"/>
              </w:rPr>
              <w:t>(645)</w:t>
            </w:r>
          </w:p>
        </w:tc>
        <w:tc>
          <w:tcPr>
            <w:tcW w:w="0" w:type="auto"/>
            <w:shd w:val="clear" w:color="auto" w:fill="CCEEFF"/>
            <w:tcMar>
              <w:top w:w="40" w:type="dxa"/>
              <w:bottom w:w="40" w:type="dxa"/>
              <w:right w:w="20" w:type="dxa"/>
            </w:tcMar>
            <w:vAlign w:val="center"/>
          </w:tcPr>
          <w:p w14:paraId="33DA9269" w14:textId="77777777" w:rsidR="004D6A64" w:rsidRDefault="004D6A64">
            <w:pPr>
              <w:jc w:val="right"/>
              <w:rPr>
                <w:rFonts w:ascii="宋体"/>
              </w:rPr>
            </w:pPr>
          </w:p>
        </w:tc>
        <w:tc>
          <w:tcPr>
            <w:tcW w:w="0" w:type="auto"/>
            <w:gridSpan w:val="3"/>
            <w:shd w:val="clear" w:color="auto" w:fill="CCEEFF"/>
            <w:tcMar>
              <w:left w:w="20" w:type="dxa"/>
              <w:right w:w="20" w:type="dxa"/>
            </w:tcMar>
            <w:vAlign w:val="center"/>
          </w:tcPr>
          <w:p w14:paraId="33DA926A"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center"/>
          </w:tcPr>
          <w:p w14:paraId="33DA926B" w14:textId="77777777" w:rsidR="004D6A64" w:rsidRDefault="00506CD6">
            <w:pPr>
              <w:jc w:val="right"/>
              <w:textAlignment w:val="center"/>
            </w:pPr>
            <w:r>
              <w:rPr>
                <w:rFonts w:ascii="Times New Roman" w:eastAsia="宋体" w:hAnsi="Times New Roman"/>
                <w:color w:val="000000"/>
                <w:sz w:val="20"/>
                <w:szCs w:val="20"/>
              </w:rPr>
              <w:t>(4,815)</w:t>
            </w:r>
          </w:p>
        </w:tc>
        <w:tc>
          <w:tcPr>
            <w:tcW w:w="0" w:type="auto"/>
            <w:shd w:val="clear" w:color="auto" w:fill="CCEEFF"/>
            <w:tcMar>
              <w:top w:w="40" w:type="dxa"/>
              <w:bottom w:w="40" w:type="dxa"/>
              <w:right w:w="20" w:type="dxa"/>
            </w:tcMar>
            <w:vAlign w:val="center"/>
          </w:tcPr>
          <w:p w14:paraId="33DA926C" w14:textId="77777777" w:rsidR="004D6A64" w:rsidRDefault="004D6A64">
            <w:pPr>
              <w:jc w:val="right"/>
              <w:rPr>
                <w:rFonts w:ascii="宋体"/>
              </w:rPr>
            </w:pPr>
          </w:p>
        </w:tc>
        <w:tc>
          <w:tcPr>
            <w:tcW w:w="0" w:type="auto"/>
            <w:shd w:val="clear" w:color="auto" w:fill="auto"/>
          </w:tcPr>
          <w:p w14:paraId="33DA926D" w14:textId="77777777" w:rsidR="004D6A64" w:rsidRDefault="004D6A64">
            <w:pPr>
              <w:rPr>
                <w:rFonts w:ascii="宋体"/>
              </w:rPr>
            </w:pPr>
          </w:p>
        </w:tc>
        <w:tc>
          <w:tcPr>
            <w:tcW w:w="0" w:type="auto"/>
            <w:shd w:val="clear" w:color="auto" w:fill="auto"/>
          </w:tcPr>
          <w:p w14:paraId="33DA926E" w14:textId="77777777" w:rsidR="004D6A64" w:rsidRDefault="004D6A64">
            <w:pPr>
              <w:rPr>
                <w:rFonts w:ascii="宋体"/>
              </w:rPr>
            </w:pPr>
          </w:p>
        </w:tc>
        <w:tc>
          <w:tcPr>
            <w:tcW w:w="0" w:type="auto"/>
            <w:shd w:val="clear" w:color="auto" w:fill="auto"/>
          </w:tcPr>
          <w:p w14:paraId="33DA926F" w14:textId="77777777" w:rsidR="004D6A64" w:rsidRDefault="004D6A64">
            <w:pPr>
              <w:rPr>
                <w:rFonts w:ascii="宋体"/>
              </w:rPr>
            </w:pPr>
          </w:p>
        </w:tc>
        <w:tc>
          <w:tcPr>
            <w:tcW w:w="0" w:type="auto"/>
            <w:shd w:val="clear" w:color="auto" w:fill="auto"/>
          </w:tcPr>
          <w:p w14:paraId="33DA9270" w14:textId="77777777" w:rsidR="004D6A64" w:rsidRDefault="004D6A64">
            <w:pPr>
              <w:rPr>
                <w:rFonts w:ascii="宋体"/>
              </w:rPr>
            </w:pPr>
          </w:p>
        </w:tc>
        <w:tc>
          <w:tcPr>
            <w:tcW w:w="0" w:type="auto"/>
            <w:shd w:val="clear" w:color="auto" w:fill="auto"/>
          </w:tcPr>
          <w:p w14:paraId="33DA9271" w14:textId="77777777" w:rsidR="004D6A64" w:rsidRDefault="004D6A64">
            <w:pPr>
              <w:rPr>
                <w:rFonts w:ascii="宋体"/>
              </w:rPr>
            </w:pPr>
          </w:p>
        </w:tc>
        <w:tc>
          <w:tcPr>
            <w:tcW w:w="0" w:type="auto"/>
            <w:shd w:val="clear" w:color="auto" w:fill="auto"/>
          </w:tcPr>
          <w:p w14:paraId="33DA9272" w14:textId="77777777" w:rsidR="004D6A64" w:rsidRDefault="004D6A64">
            <w:pPr>
              <w:rPr>
                <w:rFonts w:ascii="宋体"/>
              </w:rPr>
            </w:pPr>
          </w:p>
        </w:tc>
        <w:tc>
          <w:tcPr>
            <w:tcW w:w="0" w:type="auto"/>
            <w:shd w:val="clear" w:color="auto" w:fill="auto"/>
          </w:tcPr>
          <w:p w14:paraId="33DA9273" w14:textId="77777777" w:rsidR="004D6A64" w:rsidRDefault="004D6A64">
            <w:pPr>
              <w:rPr>
                <w:rFonts w:ascii="宋体"/>
              </w:rPr>
            </w:pPr>
          </w:p>
        </w:tc>
        <w:tc>
          <w:tcPr>
            <w:tcW w:w="0" w:type="auto"/>
            <w:shd w:val="clear" w:color="auto" w:fill="auto"/>
          </w:tcPr>
          <w:p w14:paraId="33DA9274" w14:textId="77777777" w:rsidR="004D6A64" w:rsidRDefault="004D6A64">
            <w:pPr>
              <w:rPr>
                <w:rFonts w:ascii="宋体"/>
              </w:rPr>
            </w:pPr>
          </w:p>
        </w:tc>
        <w:tc>
          <w:tcPr>
            <w:tcW w:w="0" w:type="auto"/>
            <w:shd w:val="clear" w:color="auto" w:fill="auto"/>
          </w:tcPr>
          <w:p w14:paraId="33DA9275" w14:textId="77777777" w:rsidR="004D6A64" w:rsidRDefault="004D6A64">
            <w:pPr>
              <w:rPr>
                <w:rFonts w:ascii="宋体"/>
              </w:rPr>
            </w:pPr>
          </w:p>
        </w:tc>
        <w:tc>
          <w:tcPr>
            <w:tcW w:w="0" w:type="auto"/>
            <w:shd w:val="clear" w:color="auto" w:fill="auto"/>
          </w:tcPr>
          <w:p w14:paraId="33DA9276" w14:textId="77777777" w:rsidR="004D6A64" w:rsidRDefault="004D6A64">
            <w:pPr>
              <w:rPr>
                <w:rFonts w:ascii="宋体"/>
              </w:rPr>
            </w:pPr>
          </w:p>
        </w:tc>
        <w:tc>
          <w:tcPr>
            <w:tcW w:w="0" w:type="auto"/>
            <w:shd w:val="clear" w:color="auto" w:fill="auto"/>
          </w:tcPr>
          <w:p w14:paraId="33DA9277" w14:textId="77777777" w:rsidR="004D6A64" w:rsidRDefault="004D6A64">
            <w:pPr>
              <w:rPr>
                <w:rFonts w:ascii="宋体"/>
              </w:rPr>
            </w:pPr>
          </w:p>
        </w:tc>
        <w:tc>
          <w:tcPr>
            <w:tcW w:w="0" w:type="auto"/>
            <w:shd w:val="clear" w:color="auto" w:fill="auto"/>
          </w:tcPr>
          <w:p w14:paraId="33DA9278" w14:textId="77777777" w:rsidR="004D6A64" w:rsidRDefault="004D6A64">
            <w:pPr>
              <w:rPr>
                <w:rFonts w:ascii="宋体"/>
              </w:rPr>
            </w:pPr>
          </w:p>
        </w:tc>
      </w:tr>
      <w:tr w:rsidR="004D6A64" w14:paraId="33DA9292" w14:textId="77777777">
        <w:trPr>
          <w:gridAfter w:val="3"/>
          <w:jc w:val="center"/>
        </w:trPr>
        <w:tc>
          <w:tcPr>
            <w:tcW w:w="0" w:type="auto"/>
            <w:gridSpan w:val="3"/>
            <w:shd w:val="clear" w:color="auto" w:fill="FFFFFF"/>
            <w:tcMar>
              <w:top w:w="40" w:type="dxa"/>
              <w:left w:w="225" w:type="dxa"/>
              <w:bottom w:w="40" w:type="dxa"/>
              <w:right w:w="20" w:type="dxa"/>
            </w:tcMar>
            <w:vAlign w:val="center"/>
          </w:tcPr>
          <w:p w14:paraId="33DA927A" w14:textId="77777777" w:rsidR="004D6A64" w:rsidRDefault="00506CD6">
            <w:pPr>
              <w:textAlignment w:val="center"/>
            </w:pPr>
            <w:r>
              <w:rPr>
                <w:rFonts w:ascii="Times New Roman" w:eastAsia="宋体" w:hAnsi="Times New Roman"/>
                <w:color w:val="000000"/>
                <w:sz w:val="20"/>
                <w:szCs w:val="20"/>
              </w:rPr>
              <w:t>Net income</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927B" w14:textId="77777777" w:rsidR="004D6A64" w:rsidRDefault="00506CD6">
            <w:pPr>
              <w:jc w:val="right"/>
              <w:textAlignment w:val="center"/>
            </w:pPr>
            <w:r>
              <w:rPr>
                <w:rFonts w:ascii="Times New Roman" w:eastAsia="宋体" w:hAnsi="Times New Roman"/>
                <w:color w:val="000000"/>
                <w:sz w:val="20"/>
                <w:szCs w:val="20"/>
              </w:rPr>
              <w:t>1,099 </w:t>
            </w:r>
          </w:p>
        </w:tc>
        <w:tc>
          <w:tcPr>
            <w:tcW w:w="0" w:type="auto"/>
            <w:tcBorders>
              <w:top w:val="single" w:sz="8" w:space="0" w:color="000000"/>
            </w:tcBorders>
            <w:shd w:val="clear" w:color="auto" w:fill="FFFFFF"/>
            <w:tcMar>
              <w:top w:w="40" w:type="dxa"/>
              <w:bottom w:w="40" w:type="dxa"/>
              <w:right w:w="20" w:type="dxa"/>
            </w:tcMar>
            <w:vAlign w:val="center"/>
          </w:tcPr>
          <w:p w14:paraId="33DA927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27D"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927E" w14:textId="77777777" w:rsidR="004D6A64" w:rsidRDefault="00506CD6">
            <w:pPr>
              <w:jc w:val="right"/>
              <w:textAlignment w:val="center"/>
            </w:pPr>
            <w:r>
              <w:rPr>
                <w:rFonts w:ascii="Times New Roman" w:eastAsia="宋体" w:hAnsi="Times New Roman"/>
                <w:color w:val="000000"/>
                <w:sz w:val="20"/>
                <w:szCs w:val="20"/>
              </w:rPr>
              <w:t>4,232 </w:t>
            </w:r>
          </w:p>
        </w:tc>
        <w:tc>
          <w:tcPr>
            <w:tcW w:w="0" w:type="auto"/>
            <w:tcBorders>
              <w:top w:val="single" w:sz="8" w:space="0" w:color="000000"/>
            </w:tcBorders>
            <w:shd w:val="clear" w:color="auto" w:fill="FFFFFF"/>
            <w:tcMar>
              <w:top w:w="40" w:type="dxa"/>
              <w:bottom w:w="40" w:type="dxa"/>
              <w:right w:w="20" w:type="dxa"/>
            </w:tcMar>
            <w:vAlign w:val="center"/>
          </w:tcPr>
          <w:p w14:paraId="33DA927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280"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9281" w14:textId="77777777" w:rsidR="004D6A64" w:rsidRDefault="00506CD6">
            <w:pPr>
              <w:jc w:val="right"/>
              <w:textAlignment w:val="center"/>
            </w:pPr>
            <w:r>
              <w:rPr>
                <w:rFonts w:ascii="Times New Roman" w:eastAsia="宋体" w:hAnsi="Times New Roman"/>
                <w:color w:val="000000"/>
                <w:sz w:val="20"/>
                <w:szCs w:val="20"/>
              </w:rPr>
              <w:t>1,281 </w:t>
            </w:r>
          </w:p>
        </w:tc>
        <w:tc>
          <w:tcPr>
            <w:tcW w:w="0" w:type="auto"/>
            <w:tcBorders>
              <w:top w:val="single" w:sz="8" w:space="0" w:color="000000"/>
            </w:tcBorders>
            <w:shd w:val="clear" w:color="auto" w:fill="FFFFFF"/>
            <w:tcMar>
              <w:top w:w="40" w:type="dxa"/>
              <w:bottom w:w="40" w:type="dxa"/>
              <w:right w:w="20" w:type="dxa"/>
            </w:tcMar>
            <w:vAlign w:val="center"/>
          </w:tcPr>
          <w:p w14:paraId="33DA9282" w14:textId="77777777" w:rsidR="004D6A64" w:rsidRDefault="004D6A64">
            <w:pPr>
              <w:jc w:val="right"/>
              <w:rPr>
                <w:rFonts w:ascii="宋体"/>
              </w:rPr>
            </w:pPr>
          </w:p>
        </w:tc>
        <w:tc>
          <w:tcPr>
            <w:tcW w:w="0" w:type="auto"/>
            <w:gridSpan w:val="3"/>
            <w:shd w:val="clear" w:color="auto" w:fill="auto"/>
            <w:tcMar>
              <w:left w:w="20" w:type="dxa"/>
              <w:right w:w="20" w:type="dxa"/>
            </w:tcMar>
            <w:vAlign w:val="center"/>
          </w:tcPr>
          <w:p w14:paraId="33DA9283" w14:textId="77777777" w:rsidR="004D6A64" w:rsidRDefault="004D6A64">
            <w:pPr>
              <w:jc w:val="right"/>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center"/>
          </w:tcPr>
          <w:p w14:paraId="33DA9284" w14:textId="77777777" w:rsidR="004D6A64" w:rsidRDefault="00506CD6">
            <w:pPr>
              <w:jc w:val="right"/>
              <w:textAlignment w:val="center"/>
            </w:pPr>
            <w:r>
              <w:rPr>
                <w:rFonts w:ascii="Times New Roman" w:eastAsia="宋体" w:hAnsi="Times New Roman"/>
                <w:color w:val="000000"/>
                <w:sz w:val="20"/>
                <w:szCs w:val="20"/>
              </w:rPr>
              <w:t>4,561 </w:t>
            </w:r>
          </w:p>
        </w:tc>
        <w:tc>
          <w:tcPr>
            <w:tcW w:w="0" w:type="auto"/>
            <w:tcBorders>
              <w:top w:val="single" w:sz="8" w:space="0" w:color="000000"/>
            </w:tcBorders>
            <w:shd w:val="clear" w:color="auto" w:fill="auto"/>
            <w:tcMar>
              <w:top w:w="40" w:type="dxa"/>
              <w:bottom w:w="40" w:type="dxa"/>
              <w:right w:w="20" w:type="dxa"/>
            </w:tcMar>
            <w:vAlign w:val="center"/>
          </w:tcPr>
          <w:p w14:paraId="33DA9285" w14:textId="77777777" w:rsidR="004D6A64" w:rsidRDefault="004D6A64">
            <w:pPr>
              <w:jc w:val="right"/>
              <w:rPr>
                <w:rFonts w:ascii="宋体"/>
              </w:rPr>
            </w:pPr>
          </w:p>
        </w:tc>
        <w:tc>
          <w:tcPr>
            <w:tcW w:w="0" w:type="auto"/>
            <w:shd w:val="clear" w:color="auto" w:fill="auto"/>
          </w:tcPr>
          <w:p w14:paraId="33DA9286" w14:textId="77777777" w:rsidR="004D6A64" w:rsidRDefault="004D6A64">
            <w:pPr>
              <w:rPr>
                <w:rFonts w:ascii="宋体"/>
              </w:rPr>
            </w:pPr>
          </w:p>
        </w:tc>
        <w:tc>
          <w:tcPr>
            <w:tcW w:w="0" w:type="auto"/>
            <w:shd w:val="clear" w:color="auto" w:fill="auto"/>
          </w:tcPr>
          <w:p w14:paraId="33DA9287" w14:textId="77777777" w:rsidR="004D6A64" w:rsidRDefault="004D6A64">
            <w:pPr>
              <w:rPr>
                <w:rFonts w:ascii="宋体"/>
              </w:rPr>
            </w:pPr>
          </w:p>
        </w:tc>
        <w:tc>
          <w:tcPr>
            <w:tcW w:w="0" w:type="auto"/>
            <w:shd w:val="clear" w:color="auto" w:fill="auto"/>
          </w:tcPr>
          <w:p w14:paraId="33DA9288" w14:textId="77777777" w:rsidR="004D6A64" w:rsidRDefault="004D6A64">
            <w:pPr>
              <w:rPr>
                <w:rFonts w:ascii="宋体"/>
              </w:rPr>
            </w:pPr>
          </w:p>
        </w:tc>
        <w:tc>
          <w:tcPr>
            <w:tcW w:w="0" w:type="auto"/>
            <w:shd w:val="clear" w:color="auto" w:fill="auto"/>
          </w:tcPr>
          <w:p w14:paraId="33DA9289" w14:textId="77777777" w:rsidR="004D6A64" w:rsidRDefault="004D6A64">
            <w:pPr>
              <w:rPr>
                <w:rFonts w:ascii="宋体"/>
              </w:rPr>
            </w:pPr>
          </w:p>
        </w:tc>
        <w:tc>
          <w:tcPr>
            <w:tcW w:w="0" w:type="auto"/>
            <w:shd w:val="clear" w:color="auto" w:fill="auto"/>
          </w:tcPr>
          <w:p w14:paraId="33DA928A" w14:textId="77777777" w:rsidR="004D6A64" w:rsidRDefault="004D6A64">
            <w:pPr>
              <w:rPr>
                <w:rFonts w:ascii="宋体"/>
              </w:rPr>
            </w:pPr>
          </w:p>
        </w:tc>
        <w:tc>
          <w:tcPr>
            <w:tcW w:w="0" w:type="auto"/>
            <w:shd w:val="clear" w:color="auto" w:fill="auto"/>
          </w:tcPr>
          <w:p w14:paraId="33DA928B" w14:textId="77777777" w:rsidR="004D6A64" w:rsidRDefault="004D6A64">
            <w:pPr>
              <w:rPr>
                <w:rFonts w:ascii="宋体"/>
              </w:rPr>
            </w:pPr>
          </w:p>
        </w:tc>
        <w:tc>
          <w:tcPr>
            <w:tcW w:w="0" w:type="auto"/>
            <w:shd w:val="clear" w:color="auto" w:fill="auto"/>
          </w:tcPr>
          <w:p w14:paraId="33DA928C" w14:textId="77777777" w:rsidR="004D6A64" w:rsidRDefault="004D6A64">
            <w:pPr>
              <w:rPr>
                <w:rFonts w:ascii="宋体"/>
              </w:rPr>
            </w:pPr>
          </w:p>
        </w:tc>
        <w:tc>
          <w:tcPr>
            <w:tcW w:w="0" w:type="auto"/>
            <w:shd w:val="clear" w:color="auto" w:fill="auto"/>
          </w:tcPr>
          <w:p w14:paraId="33DA928D" w14:textId="77777777" w:rsidR="004D6A64" w:rsidRDefault="004D6A64">
            <w:pPr>
              <w:rPr>
                <w:rFonts w:ascii="宋体"/>
              </w:rPr>
            </w:pPr>
          </w:p>
        </w:tc>
        <w:tc>
          <w:tcPr>
            <w:tcW w:w="0" w:type="auto"/>
            <w:shd w:val="clear" w:color="auto" w:fill="auto"/>
          </w:tcPr>
          <w:p w14:paraId="33DA928E" w14:textId="77777777" w:rsidR="004D6A64" w:rsidRDefault="004D6A64">
            <w:pPr>
              <w:rPr>
                <w:rFonts w:ascii="宋体"/>
              </w:rPr>
            </w:pPr>
          </w:p>
        </w:tc>
        <w:tc>
          <w:tcPr>
            <w:tcW w:w="0" w:type="auto"/>
            <w:shd w:val="clear" w:color="auto" w:fill="auto"/>
          </w:tcPr>
          <w:p w14:paraId="33DA928F" w14:textId="77777777" w:rsidR="004D6A64" w:rsidRDefault="004D6A64">
            <w:pPr>
              <w:rPr>
                <w:rFonts w:ascii="宋体"/>
              </w:rPr>
            </w:pPr>
          </w:p>
        </w:tc>
        <w:tc>
          <w:tcPr>
            <w:tcW w:w="0" w:type="auto"/>
            <w:shd w:val="clear" w:color="auto" w:fill="auto"/>
          </w:tcPr>
          <w:p w14:paraId="33DA9290" w14:textId="77777777" w:rsidR="004D6A64" w:rsidRDefault="004D6A64">
            <w:pPr>
              <w:rPr>
                <w:rFonts w:ascii="宋体"/>
              </w:rPr>
            </w:pPr>
          </w:p>
        </w:tc>
        <w:tc>
          <w:tcPr>
            <w:tcW w:w="0" w:type="auto"/>
            <w:shd w:val="clear" w:color="auto" w:fill="auto"/>
          </w:tcPr>
          <w:p w14:paraId="33DA9291" w14:textId="77777777" w:rsidR="004D6A64" w:rsidRDefault="004D6A64">
            <w:pPr>
              <w:rPr>
                <w:rFonts w:ascii="宋体"/>
              </w:rPr>
            </w:pPr>
          </w:p>
        </w:tc>
      </w:tr>
      <w:tr w:rsidR="004D6A64" w14:paraId="33DA92AB" w14:textId="77777777">
        <w:trPr>
          <w:gridAfter w:val="3"/>
          <w:jc w:val="center"/>
        </w:trPr>
        <w:tc>
          <w:tcPr>
            <w:tcW w:w="0" w:type="auto"/>
            <w:gridSpan w:val="3"/>
            <w:shd w:val="clear" w:color="auto" w:fill="CCEEFF"/>
            <w:tcMar>
              <w:top w:w="40" w:type="dxa"/>
              <w:left w:w="20" w:type="dxa"/>
              <w:bottom w:w="40" w:type="dxa"/>
              <w:right w:w="20" w:type="dxa"/>
            </w:tcMar>
            <w:vAlign w:val="center"/>
          </w:tcPr>
          <w:p w14:paraId="33DA9293" w14:textId="77777777" w:rsidR="004D6A64" w:rsidRDefault="00506CD6">
            <w:pPr>
              <w:textAlignment w:val="center"/>
            </w:pPr>
            <w:r>
              <w:rPr>
                <w:rFonts w:ascii="Times New Roman" w:eastAsia="宋体" w:hAnsi="Times New Roman"/>
                <w:color w:val="000000"/>
                <w:sz w:val="20"/>
                <w:szCs w:val="20"/>
              </w:rPr>
              <w:t>Less: Net income attributable to non-controlling interests</w:t>
            </w:r>
          </w:p>
        </w:tc>
        <w:tc>
          <w:tcPr>
            <w:tcW w:w="0" w:type="auto"/>
            <w:gridSpan w:val="2"/>
            <w:shd w:val="clear" w:color="auto" w:fill="CCEEFF"/>
            <w:tcMar>
              <w:top w:w="40" w:type="dxa"/>
              <w:left w:w="20" w:type="dxa"/>
              <w:bottom w:w="40" w:type="dxa"/>
              <w:right w:w="0" w:type="dxa"/>
            </w:tcMar>
            <w:vAlign w:val="center"/>
          </w:tcPr>
          <w:p w14:paraId="33DA9294" w14:textId="77777777" w:rsidR="004D6A64" w:rsidRDefault="00506CD6">
            <w:pPr>
              <w:jc w:val="right"/>
              <w:textAlignment w:val="center"/>
            </w:pPr>
            <w:r>
              <w:rPr>
                <w:rFonts w:ascii="Times New Roman" w:eastAsia="宋体" w:hAnsi="Times New Roman"/>
                <w:color w:val="000000"/>
                <w:sz w:val="20"/>
                <w:szCs w:val="20"/>
              </w:rPr>
              <w:t>51 </w:t>
            </w:r>
          </w:p>
        </w:tc>
        <w:tc>
          <w:tcPr>
            <w:tcW w:w="0" w:type="auto"/>
            <w:shd w:val="clear" w:color="auto" w:fill="CCEEFF"/>
            <w:tcMar>
              <w:top w:w="40" w:type="dxa"/>
              <w:bottom w:w="40" w:type="dxa"/>
              <w:right w:w="20" w:type="dxa"/>
            </w:tcMar>
            <w:vAlign w:val="center"/>
          </w:tcPr>
          <w:p w14:paraId="33DA929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29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9297" w14:textId="77777777" w:rsidR="004D6A64" w:rsidRDefault="00506CD6">
            <w:pPr>
              <w:jc w:val="right"/>
              <w:textAlignment w:val="center"/>
            </w:pPr>
            <w:r>
              <w:rPr>
                <w:rFonts w:ascii="Times New Roman" w:eastAsia="宋体" w:hAnsi="Times New Roman"/>
                <w:color w:val="000000"/>
                <w:sz w:val="20"/>
                <w:szCs w:val="20"/>
              </w:rPr>
              <w:t>816 </w:t>
            </w:r>
          </w:p>
        </w:tc>
        <w:tc>
          <w:tcPr>
            <w:tcW w:w="0" w:type="auto"/>
            <w:shd w:val="clear" w:color="auto" w:fill="CCEEFF"/>
            <w:tcMar>
              <w:top w:w="40" w:type="dxa"/>
              <w:bottom w:w="40" w:type="dxa"/>
              <w:right w:w="20" w:type="dxa"/>
            </w:tcMar>
            <w:vAlign w:val="center"/>
          </w:tcPr>
          <w:p w14:paraId="33DA929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29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929A" w14:textId="77777777" w:rsidR="004D6A64" w:rsidRDefault="00506CD6">
            <w:pPr>
              <w:jc w:val="right"/>
              <w:textAlignment w:val="center"/>
            </w:pPr>
            <w:r>
              <w:rPr>
                <w:rFonts w:ascii="Times New Roman" w:eastAsia="宋体" w:hAnsi="Times New Roman"/>
                <w:color w:val="000000"/>
                <w:sz w:val="20"/>
                <w:szCs w:val="20"/>
              </w:rPr>
              <w:t>90 </w:t>
            </w:r>
          </w:p>
        </w:tc>
        <w:tc>
          <w:tcPr>
            <w:tcW w:w="0" w:type="auto"/>
            <w:shd w:val="clear" w:color="auto" w:fill="CCEEFF"/>
            <w:tcMar>
              <w:top w:w="40" w:type="dxa"/>
              <w:bottom w:w="40" w:type="dxa"/>
              <w:right w:w="20" w:type="dxa"/>
            </w:tcMar>
            <w:vAlign w:val="center"/>
          </w:tcPr>
          <w:p w14:paraId="33DA929B" w14:textId="77777777" w:rsidR="004D6A64" w:rsidRDefault="004D6A64">
            <w:pPr>
              <w:jc w:val="right"/>
              <w:rPr>
                <w:rFonts w:ascii="宋体"/>
              </w:rPr>
            </w:pPr>
          </w:p>
        </w:tc>
        <w:tc>
          <w:tcPr>
            <w:tcW w:w="0" w:type="auto"/>
            <w:gridSpan w:val="3"/>
            <w:shd w:val="clear" w:color="auto" w:fill="CCEEFF"/>
            <w:tcMar>
              <w:left w:w="20" w:type="dxa"/>
              <w:right w:w="20" w:type="dxa"/>
            </w:tcMar>
            <w:vAlign w:val="center"/>
          </w:tcPr>
          <w:p w14:paraId="33DA929C"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center"/>
          </w:tcPr>
          <w:p w14:paraId="33DA929D" w14:textId="77777777" w:rsidR="004D6A64" w:rsidRDefault="00506CD6">
            <w:pPr>
              <w:jc w:val="right"/>
              <w:textAlignment w:val="center"/>
            </w:pPr>
            <w:r>
              <w:rPr>
                <w:rFonts w:ascii="Times New Roman" w:eastAsia="宋体" w:hAnsi="Times New Roman"/>
                <w:color w:val="000000"/>
                <w:sz w:val="20"/>
                <w:szCs w:val="20"/>
              </w:rPr>
              <w:t>852 </w:t>
            </w:r>
          </w:p>
        </w:tc>
        <w:tc>
          <w:tcPr>
            <w:tcW w:w="0" w:type="auto"/>
            <w:shd w:val="clear" w:color="auto" w:fill="CCEEFF"/>
            <w:tcMar>
              <w:top w:w="40" w:type="dxa"/>
              <w:bottom w:w="40" w:type="dxa"/>
              <w:right w:w="20" w:type="dxa"/>
            </w:tcMar>
            <w:vAlign w:val="center"/>
          </w:tcPr>
          <w:p w14:paraId="33DA929E" w14:textId="77777777" w:rsidR="004D6A64" w:rsidRDefault="004D6A64">
            <w:pPr>
              <w:jc w:val="right"/>
              <w:rPr>
                <w:rFonts w:ascii="宋体"/>
              </w:rPr>
            </w:pPr>
          </w:p>
        </w:tc>
        <w:tc>
          <w:tcPr>
            <w:tcW w:w="0" w:type="auto"/>
            <w:shd w:val="clear" w:color="auto" w:fill="auto"/>
          </w:tcPr>
          <w:p w14:paraId="33DA929F" w14:textId="77777777" w:rsidR="004D6A64" w:rsidRDefault="004D6A64">
            <w:pPr>
              <w:rPr>
                <w:rFonts w:ascii="宋体"/>
              </w:rPr>
            </w:pPr>
          </w:p>
        </w:tc>
        <w:tc>
          <w:tcPr>
            <w:tcW w:w="0" w:type="auto"/>
            <w:shd w:val="clear" w:color="auto" w:fill="auto"/>
          </w:tcPr>
          <w:p w14:paraId="33DA92A0" w14:textId="77777777" w:rsidR="004D6A64" w:rsidRDefault="004D6A64">
            <w:pPr>
              <w:rPr>
                <w:rFonts w:ascii="宋体"/>
              </w:rPr>
            </w:pPr>
          </w:p>
        </w:tc>
        <w:tc>
          <w:tcPr>
            <w:tcW w:w="0" w:type="auto"/>
            <w:shd w:val="clear" w:color="auto" w:fill="auto"/>
          </w:tcPr>
          <w:p w14:paraId="33DA92A1" w14:textId="77777777" w:rsidR="004D6A64" w:rsidRDefault="004D6A64">
            <w:pPr>
              <w:rPr>
                <w:rFonts w:ascii="宋体"/>
              </w:rPr>
            </w:pPr>
          </w:p>
        </w:tc>
        <w:tc>
          <w:tcPr>
            <w:tcW w:w="0" w:type="auto"/>
            <w:shd w:val="clear" w:color="auto" w:fill="auto"/>
          </w:tcPr>
          <w:p w14:paraId="33DA92A2" w14:textId="77777777" w:rsidR="004D6A64" w:rsidRDefault="004D6A64">
            <w:pPr>
              <w:rPr>
                <w:rFonts w:ascii="宋体"/>
              </w:rPr>
            </w:pPr>
          </w:p>
        </w:tc>
        <w:tc>
          <w:tcPr>
            <w:tcW w:w="0" w:type="auto"/>
            <w:shd w:val="clear" w:color="auto" w:fill="auto"/>
          </w:tcPr>
          <w:p w14:paraId="33DA92A3" w14:textId="77777777" w:rsidR="004D6A64" w:rsidRDefault="004D6A64">
            <w:pPr>
              <w:rPr>
                <w:rFonts w:ascii="宋体"/>
              </w:rPr>
            </w:pPr>
          </w:p>
        </w:tc>
        <w:tc>
          <w:tcPr>
            <w:tcW w:w="0" w:type="auto"/>
            <w:shd w:val="clear" w:color="auto" w:fill="auto"/>
          </w:tcPr>
          <w:p w14:paraId="33DA92A4" w14:textId="77777777" w:rsidR="004D6A64" w:rsidRDefault="004D6A64">
            <w:pPr>
              <w:rPr>
                <w:rFonts w:ascii="宋体"/>
              </w:rPr>
            </w:pPr>
          </w:p>
        </w:tc>
        <w:tc>
          <w:tcPr>
            <w:tcW w:w="0" w:type="auto"/>
            <w:shd w:val="clear" w:color="auto" w:fill="auto"/>
          </w:tcPr>
          <w:p w14:paraId="33DA92A5" w14:textId="77777777" w:rsidR="004D6A64" w:rsidRDefault="004D6A64">
            <w:pPr>
              <w:rPr>
                <w:rFonts w:ascii="宋体"/>
              </w:rPr>
            </w:pPr>
          </w:p>
        </w:tc>
        <w:tc>
          <w:tcPr>
            <w:tcW w:w="0" w:type="auto"/>
            <w:shd w:val="clear" w:color="auto" w:fill="auto"/>
          </w:tcPr>
          <w:p w14:paraId="33DA92A6" w14:textId="77777777" w:rsidR="004D6A64" w:rsidRDefault="004D6A64">
            <w:pPr>
              <w:rPr>
                <w:rFonts w:ascii="宋体"/>
              </w:rPr>
            </w:pPr>
          </w:p>
        </w:tc>
        <w:tc>
          <w:tcPr>
            <w:tcW w:w="0" w:type="auto"/>
            <w:shd w:val="clear" w:color="auto" w:fill="auto"/>
          </w:tcPr>
          <w:p w14:paraId="33DA92A7" w14:textId="77777777" w:rsidR="004D6A64" w:rsidRDefault="004D6A64">
            <w:pPr>
              <w:rPr>
                <w:rFonts w:ascii="宋体"/>
              </w:rPr>
            </w:pPr>
          </w:p>
        </w:tc>
        <w:tc>
          <w:tcPr>
            <w:tcW w:w="0" w:type="auto"/>
            <w:shd w:val="clear" w:color="auto" w:fill="auto"/>
          </w:tcPr>
          <w:p w14:paraId="33DA92A8" w14:textId="77777777" w:rsidR="004D6A64" w:rsidRDefault="004D6A64">
            <w:pPr>
              <w:rPr>
                <w:rFonts w:ascii="宋体"/>
              </w:rPr>
            </w:pPr>
          </w:p>
        </w:tc>
        <w:tc>
          <w:tcPr>
            <w:tcW w:w="0" w:type="auto"/>
            <w:shd w:val="clear" w:color="auto" w:fill="auto"/>
          </w:tcPr>
          <w:p w14:paraId="33DA92A9" w14:textId="77777777" w:rsidR="004D6A64" w:rsidRDefault="004D6A64">
            <w:pPr>
              <w:rPr>
                <w:rFonts w:ascii="宋体"/>
              </w:rPr>
            </w:pPr>
          </w:p>
        </w:tc>
        <w:tc>
          <w:tcPr>
            <w:tcW w:w="0" w:type="auto"/>
            <w:shd w:val="clear" w:color="auto" w:fill="auto"/>
          </w:tcPr>
          <w:p w14:paraId="33DA92AA" w14:textId="77777777" w:rsidR="004D6A64" w:rsidRDefault="004D6A64">
            <w:pPr>
              <w:rPr>
                <w:rFonts w:ascii="宋体"/>
              </w:rPr>
            </w:pPr>
          </w:p>
        </w:tc>
      </w:tr>
      <w:tr w:rsidR="004D6A64" w14:paraId="33DA92C8" w14:textId="77777777">
        <w:trPr>
          <w:gridAfter w:val="3"/>
          <w:jc w:val="center"/>
        </w:trPr>
        <w:tc>
          <w:tcPr>
            <w:tcW w:w="0" w:type="auto"/>
            <w:gridSpan w:val="3"/>
            <w:shd w:val="clear" w:color="auto" w:fill="FFFFFF"/>
            <w:tcMar>
              <w:top w:w="40" w:type="dxa"/>
              <w:left w:w="225" w:type="dxa"/>
              <w:bottom w:w="40" w:type="dxa"/>
              <w:right w:w="20" w:type="dxa"/>
            </w:tcMar>
            <w:vAlign w:val="center"/>
          </w:tcPr>
          <w:p w14:paraId="33DA92AC" w14:textId="77777777" w:rsidR="004D6A64" w:rsidRDefault="00506CD6">
            <w:pPr>
              <w:textAlignment w:val="center"/>
            </w:pPr>
            <w:r>
              <w:rPr>
                <w:rFonts w:ascii="Times New Roman" w:eastAsia="宋体" w:hAnsi="Times New Roman"/>
                <w:color w:val="000000"/>
                <w:sz w:val="20"/>
                <w:szCs w:val="20"/>
              </w:rPr>
              <w:t>Net income attributable to Dell Technologies Inc.</w:t>
            </w:r>
          </w:p>
        </w:tc>
        <w:tc>
          <w:tcPr>
            <w:tcW w:w="0" w:type="auto"/>
            <w:tcBorders>
              <w:top w:val="single" w:sz="8" w:space="0" w:color="000000"/>
            </w:tcBorders>
            <w:shd w:val="clear" w:color="auto" w:fill="FFFFFF"/>
            <w:tcMar>
              <w:top w:w="40" w:type="dxa"/>
              <w:left w:w="20" w:type="dxa"/>
              <w:bottom w:w="40" w:type="dxa"/>
            </w:tcMar>
            <w:vAlign w:val="center"/>
          </w:tcPr>
          <w:p w14:paraId="33DA92AD"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92AE" w14:textId="77777777" w:rsidR="004D6A64" w:rsidRDefault="00506CD6">
            <w:pPr>
              <w:jc w:val="right"/>
              <w:textAlignment w:val="center"/>
            </w:pPr>
            <w:r>
              <w:rPr>
                <w:rFonts w:ascii="Times New Roman" w:eastAsia="宋体" w:hAnsi="Times New Roman"/>
                <w:color w:val="000000"/>
                <w:sz w:val="20"/>
                <w:szCs w:val="20"/>
              </w:rPr>
              <w:t>1,048 </w:t>
            </w:r>
          </w:p>
        </w:tc>
        <w:tc>
          <w:tcPr>
            <w:tcW w:w="0" w:type="auto"/>
            <w:tcBorders>
              <w:top w:val="single" w:sz="8" w:space="0" w:color="000000"/>
            </w:tcBorders>
            <w:shd w:val="clear" w:color="auto" w:fill="FFFFFF"/>
            <w:tcMar>
              <w:top w:w="40" w:type="dxa"/>
              <w:bottom w:w="40" w:type="dxa"/>
              <w:right w:w="20" w:type="dxa"/>
            </w:tcMar>
            <w:vAlign w:val="center"/>
          </w:tcPr>
          <w:p w14:paraId="33DA92A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2B0"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92B1"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92B2" w14:textId="77777777" w:rsidR="004D6A64" w:rsidRDefault="00506CD6">
            <w:pPr>
              <w:jc w:val="right"/>
              <w:textAlignment w:val="center"/>
            </w:pPr>
            <w:r>
              <w:rPr>
                <w:rFonts w:ascii="Times New Roman" w:eastAsia="宋体" w:hAnsi="Times New Roman"/>
                <w:color w:val="000000"/>
                <w:sz w:val="20"/>
                <w:szCs w:val="20"/>
              </w:rPr>
              <w:t>3,416 </w:t>
            </w:r>
          </w:p>
        </w:tc>
        <w:tc>
          <w:tcPr>
            <w:tcW w:w="0" w:type="auto"/>
            <w:tcBorders>
              <w:top w:val="single" w:sz="8" w:space="0" w:color="000000"/>
            </w:tcBorders>
            <w:shd w:val="clear" w:color="auto" w:fill="FFFFFF"/>
            <w:tcMar>
              <w:top w:w="40" w:type="dxa"/>
              <w:bottom w:w="40" w:type="dxa"/>
              <w:right w:w="20" w:type="dxa"/>
            </w:tcMar>
            <w:vAlign w:val="center"/>
          </w:tcPr>
          <w:p w14:paraId="33DA92B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2B4"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92B5"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92B6" w14:textId="77777777" w:rsidR="004D6A64" w:rsidRDefault="00506CD6">
            <w:pPr>
              <w:jc w:val="right"/>
              <w:textAlignment w:val="center"/>
            </w:pPr>
            <w:r>
              <w:rPr>
                <w:rFonts w:ascii="Times New Roman" w:eastAsia="宋体" w:hAnsi="Times New Roman"/>
                <w:color w:val="000000"/>
                <w:sz w:val="20"/>
                <w:szCs w:val="20"/>
              </w:rPr>
              <w:t>1,191 </w:t>
            </w:r>
          </w:p>
        </w:tc>
        <w:tc>
          <w:tcPr>
            <w:tcW w:w="0" w:type="auto"/>
            <w:tcBorders>
              <w:top w:val="single" w:sz="8" w:space="0" w:color="000000"/>
            </w:tcBorders>
            <w:shd w:val="clear" w:color="auto" w:fill="FFFFFF"/>
            <w:tcMar>
              <w:top w:w="40" w:type="dxa"/>
              <w:bottom w:w="40" w:type="dxa"/>
              <w:right w:w="20" w:type="dxa"/>
            </w:tcMar>
            <w:vAlign w:val="center"/>
          </w:tcPr>
          <w:p w14:paraId="33DA92B7" w14:textId="77777777" w:rsidR="004D6A64" w:rsidRDefault="004D6A64">
            <w:pPr>
              <w:jc w:val="right"/>
              <w:rPr>
                <w:rFonts w:ascii="宋体"/>
              </w:rPr>
            </w:pPr>
          </w:p>
        </w:tc>
        <w:tc>
          <w:tcPr>
            <w:tcW w:w="0" w:type="auto"/>
            <w:gridSpan w:val="3"/>
            <w:shd w:val="clear" w:color="auto" w:fill="auto"/>
            <w:tcMar>
              <w:left w:w="20" w:type="dxa"/>
              <w:right w:w="20" w:type="dxa"/>
            </w:tcMar>
            <w:vAlign w:val="center"/>
          </w:tcPr>
          <w:p w14:paraId="33DA92B8" w14:textId="77777777" w:rsidR="004D6A64" w:rsidRDefault="004D6A64">
            <w:pPr>
              <w:jc w:val="right"/>
              <w:rPr>
                <w:rFonts w:ascii="宋体"/>
              </w:rPr>
            </w:pPr>
          </w:p>
        </w:tc>
        <w:tc>
          <w:tcPr>
            <w:tcW w:w="0" w:type="auto"/>
            <w:tcBorders>
              <w:top w:val="single" w:sz="8" w:space="0" w:color="000000"/>
            </w:tcBorders>
            <w:shd w:val="clear" w:color="auto" w:fill="auto"/>
            <w:tcMar>
              <w:top w:w="40" w:type="dxa"/>
              <w:left w:w="20" w:type="dxa"/>
              <w:bottom w:w="40" w:type="dxa"/>
            </w:tcMar>
            <w:vAlign w:val="center"/>
          </w:tcPr>
          <w:p w14:paraId="33DA92B9"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bottom w:w="40" w:type="dxa"/>
              <w:right w:w="0" w:type="dxa"/>
            </w:tcMar>
            <w:vAlign w:val="center"/>
          </w:tcPr>
          <w:p w14:paraId="33DA92BA" w14:textId="77777777" w:rsidR="004D6A64" w:rsidRDefault="00506CD6">
            <w:pPr>
              <w:jc w:val="right"/>
              <w:textAlignment w:val="center"/>
            </w:pPr>
            <w:r>
              <w:rPr>
                <w:rFonts w:ascii="Times New Roman" w:eastAsia="宋体" w:hAnsi="Times New Roman"/>
                <w:color w:val="000000"/>
                <w:sz w:val="20"/>
                <w:szCs w:val="20"/>
              </w:rPr>
              <w:t>3,709 </w:t>
            </w:r>
          </w:p>
        </w:tc>
        <w:tc>
          <w:tcPr>
            <w:tcW w:w="0" w:type="auto"/>
            <w:tcBorders>
              <w:top w:val="single" w:sz="8" w:space="0" w:color="000000"/>
            </w:tcBorders>
            <w:shd w:val="clear" w:color="auto" w:fill="auto"/>
            <w:tcMar>
              <w:top w:w="40" w:type="dxa"/>
              <w:bottom w:w="40" w:type="dxa"/>
              <w:right w:w="20" w:type="dxa"/>
            </w:tcMar>
            <w:vAlign w:val="center"/>
          </w:tcPr>
          <w:p w14:paraId="33DA92BB" w14:textId="77777777" w:rsidR="004D6A64" w:rsidRDefault="004D6A64">
            <w:pPr>
              <w:jc w:val="right"/>
              <w:rPr>
                <w:rFonts w:ascii="宋体"/>
              </w:rPr>
            </w:pPr>
          </w:p>
        </w:tc>
        <w:tc>
          <w:tcPr>
            <w:tcW w:w="0" w:type="auto"/>
            <w:shd w:val="clear" w:color="auto" w:fill="auto"/>
          </w:tcPr>
          <w:p w14:paraId="33DA92BC" w14:textId="77777777" w:rsidR="004D6A64" w:rsidRDefault="004D6A64">
            <w:pPr>
              <w:rPr>
                <w:rFonts w:ascii="宋体"/>
              </w:rPr>
            </w:pPr>
          </w:p>
        </w:tc>
        <w:tc>
          <w:tcPr>
            <w:tcW w:w="0" w:type="auto"/>
            <w:shd w:val="clear" w:color="auto" w:fill="auto"/>
          </w:tcPr>
          <w:p w14:paraId="33DA92BD" w14:textId="77777777" w:rsidR="004D6A64" w:rsidRDefault="004D6A64">
            <w:pPr>
              <w:rPr>
                <w:rFonts w:ascii="宋体"/>
              </w:rPr>
            </w:pPr>
          </w:p>
        </w:tc>
        <w:tc>
          <w:tcPr>
            <w:tcW w:w="0" w:type="auto"/>
            <w:shd w:val="clear" w:color="auto" w:fill="auto"/>
          </w:tcPr>
          <w:p w14:paraId="33DA92BE" w14:textId="77777777" w:rsidR="004D6A64" w:rsidRDefault="004D6A64">
            <w:pPr>
              <w:rPr>
                <w:rFonts w:ascii="宋体"/>
              </w:rPr>
            </w:pPr>
          </w:p>
        </w:tc>
        <w:tc>
          <w:tcPr>
            <w:tcW w:w="0" w:type="auto"/>
            <w:shd w:val="clear" w:color="auto" w:fill="auto"/>
          </w:tcPr>
          <w:p w14:paraId="33DA92BF" w14:textId="77777777" w:rsidR="004D6A64" w:rsidRDefault="004D6A64">
            <w:pPr>
              <w:rPr>
                <w:rFonts w:ascii="宋体"/>
              </w:rPr>
            </w:pPr>
          </w:p>
        </w:tc>
        <w:tc>
          <w:tcPr>
            <w:tcW w:w="0" w:type="auto"/>
            <w:shd w:val="clear" w:color="auto" w:fill="auto"/>
          </w:tcPr>
          <w:p w14:paraId="33DA92C0" w14:textId="77777777" w:rsidR="004D6A64" w:rsidRDefault="004D6A64">
            <w:pPr>
              <w:rPr>
                <w:rFonts w:ascii="宋体"/>
              </w:rPr>
            </w:pPr>
          </w:p>
        </w:tc>
        <w:tc>
          <w:tcPr>
            <w:tcW w:w="0" w:type="auto"/>
            <w:shd w:val="clear" w:color="auto" w:fill="auto"/>
          </w:tcPr>
          <w:p w14:paraId="33DA92C1" w14:textId="77777777" w:rsidR="004D6A64" w:rsidRDefault="004D6A64">
            <w:pPr>
              <w:rPr>
                <w:rFonts w:ascii="宋体"/>
              </w:rPr>
            </w:pPr>
          </w:p>
        </w:tc>
        <w:tc>
          <w:tcPr>
            <w:tcW w:w="0" w:type="auto"/>
            <w:shd w:val="clear" w:color="auto" w:fill="auto"/>
          </w:tcPr>
          <w:p w14:paraId="33DA92C2" w14:textId="77777777" w:rsidR="004D6A64" w:rsidRDefault="004D6A64">
            <w:pPr>
              <w:rPr>
                <w:rFonts w:ascii="宋体"/>
              </w:rPr>
            </w:pPr>
          </w:p>
        </w:tc>
        <w:tc>
          <w:tcPr>
            <w:tcW w:w="0" w:type="auto"/>
            <w:shd w:val="clear" w:color="auto" w:fill="auto"/>
          </w:tcPr>
          <w:p w14:paraId="33DA92C3" w14:textId="77777777" w:rsidR="004D6A64" w:rsidRDefault="004D6A64">
            <w:pPr>
              <w:rPr>
                <w:rFonts w:ascii="宋体"/>
              </w:rPr>
            </w:pPr>
          </w:p>
        </w:tc>
        <w:tc>
          <w:tcPr>
            <w:tcW w:w="0" w:type="auto"/>
            <w:shd w:val="clear" w:color="auto" w:fill="auto"/>
          </w:tcPr>
          <w:p w14:paraId="33DA92C4" w14:textId="77777777" w:rsidR="004D6A64" w:rsidRDefault="004D6A64">
            <w:pPr>
              <w:rPr>
                <w:rFonts w:ascii="宋体"/>
              </w:rPr>
            </w:pPr>
          </w:p>
        </w:tc>
        <w:tc>
          <w:tcPr>
            <w:tcW w:w="0" w:type="auto"/>
            <w:shd w:val="clear" w:color="auto" w:fill="auto"/>
          </w:tcPr>
          <w:p w14:paraId="33DA92C5" w14:textId="77777777" w:rsidR="004D6A64" w:rsidRDefault="004D6A64">
            <w:pPr>
              <w:rPr>
                <w:rFonts w:ascii="宋体"/>
              </w:rPr>
            </w:pPr>
          </w:p>
        </w:tc>
        <w:tc>
          <w:tcPr>
            <w:tcW w:w="0" w:type="auto"/>
            <w:shd w:val="clear" w:color="auto" w:fill="auto"/>
          </w:tcPr>
          <w:p w14:paraId="33DA92C6" w14:textId="77777777" w:rsidR="004D6A64" w:rsidRDefault="004D6A64">
            <w:pPr>
              <w:rPr>
                <w:rFonts w:ascii="宋体"/>
              </w:rPr>
            </w:pPr>
          </w:p>
        </w:tc>
        <w:tc>
          <w:tcPr>
            <w:tcW w:w="0" w:type="auto"/>
            <w:shd w:val="clear" w:color="auto" w:fill="auto"/>
          </w:tcPr>
          <w:p w14:paraId="33DA92C7" w14:textId="77777777" w:rsidR="004D6A64" w:rsidRDefault="004D6A64">
            <w:pPr>
              <w:rPr>
                <w:rFonts w:ascii="宋体"/>
              </w:rPr>
            </w:pPr>
          </w:p>
        </w:tc>
      </w:tr>
      <w:tr w:rsidR="004D6A64" w14:paraId="33DA92DD" w14:textId="77777777">
        <w:trPr>
          <w:gridAfter w:val="3"/>
          <w:trHeight w:val="280"/>
          <w:jc w:val="center"/>
        </w:trPr>
        <w:tc>
          <w:tcPr>
            <w:tcW w:w="0" w:type="auto"/>
            <w:gridSpan w:val="3"/>
            <w:shd w:val="clear" w:color="auto" w:fill="CCEEFF"/>
            <w:tcMar>
              <w:left w:w="20" w:type="dxa"/>
              <w:right w:w="20" w:type="dxa"/>
            </w:tcMar>
            <w:vAlign w:val="bottom"/>
          </w:tcPr>
          <w:p w14:paraId="33DA92C9"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92CA"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92CB"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92C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92CD"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92CE"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92CF"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92D0" w14:textId="77777777" w:rsidR="004D6A64" w:rsidRDefault="004D6A64">
            <w:pPr>
              <w:rPr>
                <w:rFonts w:ascii="宋体"/>
              </w:rPr>
            </w:pPr>
          </w:p>
        </w:tc>
        <w:tc>
          <w:tcPr>
            <w:tcW w:w="0" w:type="auto"/>
            <w:shd w:val="clear" w:color="auto" w:fill="auto"/>
          </w:tcPr>
          <w:p w14:paraId="33DA92D1" w14:textId="77777777" w:rsidR="004D6A64" w:rsidRDefault="004D6A64">
            <w:pPr>
              <w:rPr>
                <w:rFonts w:ascii="宋体"/>
              </w:rPr>
            </w:pPr>
          </w:p>
        </w:tc>
        <w:tc>
          <w:tcPr>
            <w:tcW w:w="0" w:type="auto"/>
            <w:shd w:val="clear" w:color="auto" w:fill="auto"/>
          </w:tcPr>
          <w:p w14:paraId="33DA92D2" w14:textId="77777777" w:rsidR="004D6A64" w:rsidRDefault="004D6A64">
            <w:pPr>
              <w:rPr>
                <w:rFonts w:ascii="宋体"/>
              </w:rPr>
            </w:pPr>
          </w:p>
        </w:tc>
        <w:tc>
          <w:tcPr>
            <w:tcW w:w="0" w:type="auto"/>
            <w:shd w:val="clear" w:color="auto" w:fill="auto"/>
          </w:tcPr>
          <w:p w14:paraId="33DA92D3" w14:textId="77777777" w:rsidR="004D6A64" w:rsidRDefault="004D6A64">
            <w:pPr>
              <w:rPr>
                <w:rFonts w:ascii="宋体"/>
              </w:rPr>
            </w:pPr>
          </w:p>
        </w:tc>
        <w:tc>
          <w:tcPr>
            <w:tcW w:w="0" w:type="auto"/>
            <w:shd w:val="clear" w:color="auto" w:fill="auto"/>
          </w:tcPr>
          <w:p w14:paraId="33DA92D4" w14:textId="77777777" w:rsidR="004D6A64" w:rsidRDefault="004D6A64">
            <w:pPr>
              <w:rPr>
                <w:rFonts w:ascii="宋体"/>
              </w:rPr>
            </w:pPr>
          </w:p>
        </w:tc>
        <w:tc>
          <w:tcPr>
            <w:tcW w:w="0" w:type="auto"/>
            <w:shd w:val="clear" w:color="auto" w:fill="auto"/>
          </w:tcPr>
          <w:p w14:paraId="33DA92D5" w14:textId="77777777" w:rsidR="004D6A64" w:rsidRDefault="004D6A64">
            <w:pPr>
              <w:rPr>
                <w:rFonts w:ascii="宋体"/>
              </w:rPr>
            </w:pPr>
          </w:p>
        </w:tc>
        <w:tc>
          <w:tcPr>
            <w:tcW w:w="0" w:type="auto"/>
            <w:shd w:val="clear" w:color="auto" w:fill="auto"/>
          </w:tcPr>
          <w:p w14:paraId="33DA92D6" w14:textId="77777777" w:rsidR="004D6A64" w:rsidRDefault="004D6A64">
            <w:pPr>
              <w:rPr>
                <w:rFonts w:ascii="宋体"/>
              </w:rPr>
            </w:pPr>
          </w:p>
        </w:tc>
        <w:tc>
          <w:tcPr>
            <w:tcW w:w="0" w:type="auto"/>
            <w:shd w:val="clear" w:color="auto" w:fill="auto"/>
          </w:tcPr>
          <w:p w14:paraId="33DA92D7" w14:textId="77777777" w:rsidR="004D6A64" w:rsidRDefault="004D6A64">
            <w:pPr>
              <w:rPr>
                <w:rFonts w:ascii="宋体"/>
              </w:rPr>
            </w:pPr>
          </w:p>
        </w:tc>
        <w:tc>
          <w:tcPr>
            <w:tcW w:w="0" w:type="auto"/>
            <w:shd w:val="clear" w:color="auto" w:fill="auto"/>
          </w:tcPr>
          <w:p w14:paraId="33DA92D8" w14:textId="77777777" w:rsidR="004D6A64" w:rsidRDefault="004D6A64">
            <w:pPr>
              <w:rPr>
                <w:rFonts w:ascii="宋体"/>
              </w:rPr>
            </w:pPr>
          </w:p>
        </w:tc>
        <w:tc>
          <w:tcPr>
            <w:tcW w:w="0" w:type="auto"/>
            <w:shd w:val="clear" w:color="auto" w:fill="auto"/>
          </w:tcPr>
          <w:p w14:paraId="33DA92D9" w14:textId="77777777" w:rsidR="004D6A64" w:rsidRDefault="004D6A64">
            <w:pPr>
              <w:rPr>
                <w:rFonts w:ascii="宋体"/>
              </w:rPr>
            </w:pPr>
          </w:p>
        </w:tc>
        <w:tc>
          <w:tcPr>
            <w:tcW w:w="0" w:type="auto"/>
            <w:shd w:val="clear" w:color="auto" w:fill="auto"/>
          </w:tcPr>
          <w:p w14:paraId="33DA92DA" w14:textId="77777777" w:rsidR="004D6A64" w:rsidRDefault="004D6A64">
            <w:pPr>
              <w:rPr>
                <w:rFonts w:ascii="宋体"/>
              </w:rPr>
            </w:pPr>
          </w:p>
        </w:tc>
        <w:tc>
          <w:tcPr>
            <w:tcW w:w="0" w:type="auto"/>
            <w:shd w:val="clear" w:color="auto" w:fill="auto"/>
          </w:tcPr>
          <w:p w14:paraId="33DA92DB" w14:textId="77777777" w:rsidR="004D6A64" w:rsidRDefault="004D6A64">
            <w:pPr>
              <w:rPr>
                <w:rFonts w:ascii="宋体"/>
              </w:rPr>
            </w:pPr>
          </w:p>
        </w:tc>
        <w:tc>
          <w:tcPr>
            <w:tcW w:w="0" w:type="auto"/>
            <w:shd w:val="clear" w:color="auto" w:fill="auto"/>
          </w:tcPr>
          <w:p w14:paraId="33DA92DC" w14:textId="77777777" w:rsidR="004D6A64" w:rsidRDefault="004D6A64">
            <w:pPr>
              <w:rPr>
                <w:rFonts w:ascii="宋体"/>
              </w:rPr>
            </w:pPr>
          </w:p>
        </w:tc>
      </w:tr>
      <w:tr w:rsidR="004D6A64" w14:paraId="33DA92E6" w14:textId="77777777">
        <w:trPr>
          <w:jc w:val="center"/>
        </w:trPr>
        <w:tc>
          <w:tcPr>
            <w:tcW w:w="0" w:type="auto"/>
            <w:gridSpan w:val="12"/>
            <w:shd w:val="clear" w:color="auto" w:fill="FFFFFF"/>
            <w:tcMar>
              <w:top w:w="40" w:type="dxa"/>
              <w:left w:w="20" w:type="dxa"/>
              <w:bottom w:w="40" w:type="dxa"/>
              <w:right w:w="20" w:type="dxa"/>
            </w:tcMar>
            <w:vAlign w:val="center"/>
          </w:tcPr>
          <w:p w14:paraId="33DA92DE" w14:textId="77777777" w:rsidR="004D6A64" w:rsidRDefault="00506CD6">
            <w:pPr>
              <w:textAlignment w:val="center"/>
            </w:pPr>
            <w:r>
              <w:rPr>
                <w:rFonts w:ascii="Times New Roman" w:eastAsia="宋体" w:hAnsi="Times New Roman"/>
                <w:i/>
                <w:iCs/>
                <w:color w:val="000000"/>
                <w:sz w:val="20"/>
                <w:szCs w:val="20"/>
              </w:rPr>
              <w:t>Earnings per share attributable to Dell Technologies Inc.</w:t>
            </w:r>
          </w:p>
        </w:tc>
        <w:tc>
          <w:tcPr>
            <w:tcW w:w="0" w:type="auto"/>
            <w:gridSpan w:val="3"/>
            <w:shd w:val="clear" w:color="auto" w:fill="auto"/>
          </w:tcPr>
          <w:p w14:paraId="33DA92DF" w14:textId="77777777" w:rsidR="004D6A64" w:rsidRDefault="004D6A64">
            <w:pPr>
              <w:rPr>
                <w:rFonts w:ascii="宋体"/>
                <w:vanish/>
              </w:rPr>
            </w:pPr>
          </w:p>
        </w:tc>
        <w:tc>
          <w:tcPr>
            <w:tcW w:w="0" w:type="auto"/>
            <w:gridSpan w:val="3"/>
            <w:shd w:val="clear" w:color="auto" w:fill="auto"/>
          </w:tcPr>
          <w:p w14:paraId="33DA92E0" w14:textId="77777777" w:rsidR="004D6A64" w:rsidRDefault="004D6A64">
            <w:pPr>
              <w:rPr>
                <w:rFonts w:ascii="宋体"/>
                <w:vanish/>
              </w:rPr>
            </w:pPr>
          </w:p>
        </w:tc>
        <w:tc>
          <w:tcPr>
            <w:tcW w:w="0" w:type="auto"/>
            <w:gridSpan w:val="3"/>
            <w:shd w:val="clear" w:color="auto" w:fill="auto"/>
          </w:tcPr>
          <w:p w14:paraId="33DA92E1" w14:textId="77777777" w:rsidR="004D6A64" w:rsidRDefault="004D6A64">
            <w:pPr>
              <w:rPr>
                <w:rFonts w:ascii="宋体"/>
                <w:vanish/>
              </w:rPr>
            </w:pPr>
          </w:p>
        </w:tc>
        <w:tc>
          <w:tcPr>
            <w:tcW w:w="0" w:type="auto"/>
            <w:gridSpan w:val="3"/>
            <w:shd w:val="clear" w:color="auto" w:fill="FFFFFF"/>
            <w:tcMar>
              <w:left w:w="20" w:type="dxa"/>
              <w:right w:w="20" w:type="dxa"/>
            </w:tcMar>
            <w:vAlign w:val="bottom"/>
          </w:tcPr>
          <w:p w14:paraId="33DA92E2" w14:textId="77777777" w:rsidR="004D6A64" w:rsidRDefault="004D6A64">
            <w:pPr>
              <w:rPr>
                <w:rFonts w:ascii="宋体"/>
              </w:rPr>
            </w:pPr>
          </w:p>
        </w:tc>
        <w:tc>
          <w:tcPr>
            <w:tcW w:w="0" w:type="auto"/>
            <w:gridSpan w:val="9"/>
            <w:shd w:val="clear" w:color="auto" w:fill="FFFFFF"/>
            <w:tcMar>
              <w:left w:w="20" w:type="dxa"/>
              <w:right w:w="20" w:type="dxa"/>
            </w:tcMar>
            <w:vAlign w:val="bottom"/>
          </w:tcPr>
          <w:p w14:paraId="33DA92E3" w14:textId="77777777" w:rsidR="004D6A64" w:rsidRDefault="004D6A64">
            <w:pPr>
              <w:rPr>
                <w:rFonts w:ascii="宋体"/>
              </w:rPr>
            </w:pPr>
          </w:p>
        </w:tc>
        <w:tc>
          <w:tcPr>
            <w:tcW w:w="0" w:type="auto"/>
            <w:gridSpan w:val="3"/>
            <w:shd w:val="clear" w:color="auto" w:fill="auto"/>
          </w:tcPr>
          <w:p w14:paraId="33DA92E4" w14:textId="77777777" w:rsidR="004D6A64" w:rsidRDefault="004D6A64">
            <w:pPr>
              <w:rPr>
                <w:rFonts w:ascii="宋体"/>
                <w:vanish/>
              </w:rPr>
            </w:pPr>
          </w:p>
        </w:tc>
        <w:tc>
          <w:tcPr>
            <w:tcW w:w="0" w:type="auto"/>
            <w:gridSpan w:val="3"/>
            <w:shd w:val="clear" w:color="auto" w:fill="auto"/>
          </w:tcPr>
          <w:p w14:paraId="33DA92E5" w14:textId="77777777" w:rsidR="004D6A64" w:rsidRDefault="004D6A64">
            <w:pPr>
              <w:rPr>
                <w:rFonts w:ascii="宋体"/>
                <w:vanish/>
              </w:rPr>
            </w:pPr>
          </w:p>
        </w:tc>
      </w:tr>
      <w:tr w:rsidR="004D6A64" w14:paraId="33DA9306" w14:textId="77777777">
        <w:trPr>
          <w:jc w:val="center"/>
        </w:trPr>
        <w:tc>
          <w:tcPr>
            <w:tcW w:w="0" w:type="auto"/>
            <w:gridSpan w:val="3"/>
            <w:shd w:val="clear" w:color="auto" w:fill="CCEEFF"/>
            <w:tcMar>
              <w:top w:w="40" w:type="dxa"/>
              <w:left w:w="225" w:type="dxa"/>
              <w:bottom w:w="40" w:type="dxa"/>
              <w:right w:w="20" w:type="dxa"/>
            </w:tcMar>
            <w:vAlign w:val="center"/>
          </w:tcPr>
          <w:p w14:paraId="33DA92E7" w14:textId="77777777" w:rsidR="004D6A64" w:rsidRDefault="00506CD6">
            <w:pPr>
              <w:textAlignment w:val="center"/>
            </w:pPr>
            <w:r>
              <w:rPr>
                <w:rFonts w:ascii="Times New Roman" w:eastAsia="宋体" w:hAnsi="Times New Roman"/>
                <w:color w:val="000000"/>
                <w:sz w:val="20"/>
                <w:szCs w:val="20"/>
              </w:rPr>
              <w:t xml:space="preserve">Dell </w:t>
            </w:r>
            <w:r>
              <w:rPr>
                <w:rFonts w:ascii="Times New Roman" w:eastAsia="宋体" w:hAnsi="Times New Roman"/>
                <w:color w:val="000000"/>
                <w:sz w:val="20"/>
                <w:szCs w:val="20"/>
              </w:rPr>
              <w:t>Technologies Common Stock — Basic</w:t>
            </w:r>
          </w:p>
        </w:tc>
        <w:tc>
          <w:tcPr>
            <w:tcW w:w="0" w:type="auto"/>
            <w:shd w:val="clear" w:color="auto" w:fill="CCEEFF"/>
            <w:tcMar>
              <w:top w:w="40" w:type="dxa"/>
              <w:left w:w="20" w:type="dxa"/>
              <w:bottom w:w="40" w:type="dxa"/>
            </w:tcMar>
            <w:vAlign w:val="center"/>
          </w:tcPr>
          <w:p w14:paraId="33DA92E8"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92E9" w14:textId="77777777" w:rsidR="004D6A64" w:rsidRDefault="00506CD6">
            <w:pPr>
              <w:jc w:val="right"/>
              <w:textAlignment w:val="center"/>
            </w:pPr>
            <w:r>
              <w:rPr>
                <w:rFonts w:ascii="Times New Roman" w:eastAsia="宋体" w:hAnsi="Times New Roman"/>
                <w:color w:val="000000"/>
                <w:sz w:val="20"/>
                <w:szCs w:val="20"/>
              </w:rPr>
              <w:t>1.41 </w:t>
            </w:r>
          </w:p>
        </w:tc>
        <w:tc>
          <w:tcPr>
            <w:tcW w:w="0" w:type="auto"/>
            <w:shd w:val="clear" w:color="auto" w:fill="CCEEFF"/>
            <w:tcMar>
              <w:top w:w="40" w:type="dxa"/>
              <w:bottom w:w="40" w:type="dxa"/>
              <w:right w:w="20" w:type="dxa"/>
            </w:tcMar>
            <w:vAlign w:val="center"/>
          </w:tcPr>
          <w:p w14:paraId="33DA92E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2EB"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92EC"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92ED" w14:textId="77777777" w:rsidR="004D6A64" w:rsidRDefault="00506CD6">
            <w:pPr>
              <w:jc w:val="right"/>
              <w:textAlignment w:val="center"/>
            </w:pPr>
            <w:r>
              <w:rPr>
                <w:rFonts w:ascii="Times New Roman" w:eastAsia="宋体" w:hAnsi="Times New Roman"/>
                <w:color w:val="000000"/>
                <w:sz w:val="20"/>
                <w:szCs w:val="20"/>
              </w:rPr>
              <w:t>4.75 </w:t>
            </w:r>
          </w:p>
        </w:tc>
        <w:tc>
          <w:tcPr>
            <w:tcW w:w="0" w:type="auto"/>
            <w:shd w:val="clear" w:color="auto" w:fill="CCEEFF"/>
            <w:tcMar>
              <w:top w:w="40" w:type="dxa"/>
              <w:bottom w:w="40" w:type="dxa"/>
              <w:right w:w="20" w:type="dxa"/>
            </w:tcMar>
            <w:vAlign w:val="center"/>
          </w:tcPr>
          <w:p w14:paraId="33DA92E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2EF"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92F0"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92F1" w14:textId="77777777" w:rsidR="004D6A64" w:rsidRDefault="00506CD6">
            <w:pPr>
              <w:jc w:val="right"/>
              <w:textAlignment w:val="center"/>
            </w:pPr>
            <w:r>
              <w:rPr>
                <w:rFonts w:ascii="Times New Roman" w:eastAsia="宋体" w:hAnsi="Times New Roman"/>
                <w:color w:val="000000"/>
                <w:sz w:val="20"/>
                <w:szCs w:val="20"/>
              </w:rPr>
              <w:t>1.61 </w:t>
            </w:r>
          </w:p>
        </w:tc>
        <w:tc>
          <w:tcPr>
            <w:tcW w:w="0" w:type="auto"/>
            <w:shd w:val="clear" w:color="auto" w:fill="CCEEFF"/>
            <w:tcMar>
              <w:top w:w="40" w:type="dxa"/>
              <w:bottom w:w="40" w:type="dxa"/>
              <w:right w:w="20" w:type="dxa"/>
            </w:tcMar>
            <w:vAlign w:val="center"/>
          </w:tcPr>
          <w:p w14:paraId="33DA92F2" w14:textId="77777777" w:rsidR="004D6A64" w:rsidRDefault="004D6A64">
            <w:pPr>
              <w:jc w:val="right"/>
              <w:rPr>
                <w:rFonts w:ascii="宋体"/>
              </w:rPr>
            </w:pPr>
          </w:p>
        </w:tc>
        <w:tc>
          <w:tcPr>
            <w:tcW w:w="0" w:type="auto"/>
            <w:gridSpan w:val="3"/>
            <w:shd w:val="clear" w:color="auto" w:fill="CCEEFF"/>
            <w:tcMar>
              <w:left w:w="20" w:type="dxa"/>
              <w:right w:w="20" w:type="dxa"/>
            </w:tcMar>
            <w:vAlign w:val="center"/>
          </w:tcPr>
          <w:p w14:paraId="33DA92F3" w14:textId="77777777" w:rsidR="004D6A64" w:rsidRDefault="004D6A64">
            <w:pPr>
              <w:jc w:val="right"/>
              <w:rPr>
                <w:rFonts w:ascii="宋体"/>
              </w:rPr>
            </w:pPr>
          </w:p>
        </w:tc>
        <w:tc>
          <w:tcPr>
            <w:tcW w:w="0" w:type="auto"/>
            <w:shd w:val="clear" w:color="auto" w:fill="CCEEFF"/>
            <w:tcMar>
              <w:top w:w="40" w:type="dxa"/>
              <w:left w:w="20" w:type="dxa"/>
              <w:bottom w:w="40" w:type="dxa"/>
            </w:tcMar>
            <w:vAlign w:val="center"/>
          </w:tcPr>
          <w:p w14:paraId="33DA92F4"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92F5" w14:textId="77777777" w:rsidR="004D6A64" w:rsidRDefault="00506CD6">
            <w:pPr>
              <w:jc w:val="right"/>
              <w:textAlignment w:val="center"/>
            </w:pPr>
            <w:r>
              <w:rPr>
                <w:rFonts w:ascii="Times New Roman" w:eastAsia="宋体" w:hAnsi="Times New Roman"/>
                <w:color w:val="000000"/>
                <w:sz w:val="20"/>
                <w:szCs w:val="20"/>
              </w:rPr>
              <w:t>5.17 </w:t>
            </w:r>
          </w:p>
        </w:tc>
        <w:tc>
          <w:tcPr>
            <w:tcW w:w="0" w:type="auto"/>
            <w:shd w:val="clear" w:color="auto" w:fill="CCEEFF"/>
            <w:tcMar>
              <w:top w:w="40" w:type="dxa"/>
              <w:bottom w:w="40" w:type="dxa"/>
              <w:right w:w="20" w:type="dxa"/>
            </w:tcMar>
            <w:vAlign w:val="center"/>
          </w:tcPr>
          <w:p w14:paraId="33DA92F6" w14:textId="77777777" w:rsidR="004D6A64" w:rsidRDefault="004D6A64">
            <w:pPr>
              <w:jc w:val="right"/>
              <w:rPr>
                <w:rFonts w:ascii="宋体"/>
              </w:rPr>
            </w:pPr>
          </w:p>
        </w:tc>
        <w:tc>
          <w:tcPr>
            <w:tcW w:w="0" w:type="auto"/>
            <w:shd w:val="clear" w:color="auto" w:fill="auto"/>
          </w:tcPr>
          <w:p w14:paraId="33DA92F7" w14:textId="77777777" w:rsidR="004D6A64" w:rsidRDefault="004D6A64">
            <w:pPr>
              <w:rPr>
                <w:rFonts w:ascii="宋体"/>
              </w:rPr>
            </w:pPr>
          </w:p>
        </w:tc>
        <w:tc>
          <w:tcPr>
            <w:tcW w:w="0" w:type="auto"/>
            <w:shd w:val="clear" w:color="auto" w:fill="auto"/>
          </w:tcPr>
          <w:p w14:paraId="33DA92F8" w14:textId="77777777" w:rsidR="004D6A64" w:rsidRDefault="004D6A64">
            <w:pPr>
              <w:rPr>
                <w:rFonts w:ascii="宋体"/>
              </w:rPr>
            </w:pPr>
          </w:p>
        </w:tc>
        <w:tc>
          <w:tcPr>
            <w:tcW w:w="0" w:type="auto"/>
            <w:shd w:val="clear" w:color="auto" w:fill="auto"/>
          </w:tcPr>
          <w:p w14:paraId="33DA92F9" w14:textId="77777777" w:rsidR="004D6A64" w:rsidRDefault="004D6A64">
            <w:pPr>
              <w:rPr>
                <w:rFonts w:ascii="宋体"/>
              </w:rPr>
            </w:pPr>
          </w:p>
        </w:tc>
        <w:tc>
          <w:tcPr>
            <w:tcW w:w="0" w:type="auto"/>
            <w:shd w:val="clear" w:color="auto" w:fill="auto"/>
          </w:tcPr>
          <w:p w14:paraId="33DA92FA" w14:textId="77777777" w:rsidR="004D6A64" w:rsidRDefault="004D6A64">
            <w:pPr>
              <w:rPr>
                <w:rFonts w:ascii="宋体"/>
              </w:rPr>
            </w:pPr>
          </w:p>
        </w:tc>
        <w:tc>
          <w:tcPr>
            <w:tcW w:w="0" w:type="auto"/>
            <w:shd w:val="clear" w:color="auto" w:fill="auto"/>
          </w:tcPr>
          <w:p w14:paraId="33DA92FB" w14:textId="77777777" w:rsidR="004D6A64" w:rsidRDefault="004D6A64">
            <w:pPr>
              <w:rPr>
                <w:rFonts w:ascii="宋体"/>
              </w:rPr>
            </w:pPr>
          </w:p>
        </w:tc>
        <w:tc>
          <w:tcPr>
            <w:tcW w:w="0" w:type="auto"/>
            <w:shd w:val="clear" w:color="auto" w:fill="auto"/>
          </w:tcPr>
          <w:p w14:paraId="33DA92FC" w14:textId="77777777" w:rsidR="004D6A64" w:rsidRDefault="004D6A64">
            <w:pPr>
              <w:rPr>
                <w:rFonts w:ascii="宋体"/>
              </w:rPr>
            </w:pPr>
          </w:p>
        </w:tc>
        <w:tc>
          <w:tcPr>
            <w:tcW w:w="0" w:type="auto"/>
            <w:shd w:val="clear" w:color="auto" w:fill="auto"/>
          </w:tcPr>
          <w:p w14:paraId="33DA92FD" w14:textId="77777777" w:rsidR="004D6A64" w:rsidRDefault="004D6A64">
            <w:pPr>
              <w:rPr>
                <w:rFonts w:ascii="宋体"/>
              </w:rPr>
            </w:pPr>
          </w:p>
        </w:tc>
        <w:tc>
          <w:tcPr>
            <w:tcW w:w="0" w:type="auto"/>
            <w:shd w:val="clear" w:color="auto" w:fill="auto"/>
          </w:tcPr>
          <w:p w14:paraId="33DA92FE" w14:textId="77777777" w:rsidR="004D6A64" w:rsidRDefault="004D6A64">
            <w:pPr>
              <w:rPr>
                <w:rFonts w:ascii="宋体"/>
              </w:rPr>
            </w:pPr>
          </w:p>
        </w:tc>
        <w:tc>
          <w:tcPr>
            <w:tcW w:w="0" w:type="auto"/>
            <w:shd w:val="clear" w:color="auto" w:fill="auto"/>
          </w:tcPr>
          <w:p w14:paraId="33DA92FF" w14:textId="77777777" w:rsidR="004D6A64" w:rsidRDefault="004D6A64">
            <w:pPr>
              <w:rPr>
                <w:rFonts w:ascii="宋体"/>
              </w:rPr>
            </w:pPr>
          </w:p>
        </w:tc>
        <w:tc>
          <w:tcPr>
            <w:tcW w:w="0" w:type="auto"/>
            <w:shd w:val="clear" w:color="auto" w:fill="auto"/>
          </w:tcPr>
          <w:p w14:paraId="33DA9300" w14:textId="77777777" w:rsidR="004D6A64" w:rsidRDefault="004D6A64">
            <w:pPr>
              <w:rPr>
                <w:rFonts w:ascii="宋体"/>
              </w:rPr>
            </w:pPr>
          </w:p>
        </w:tc>
        <w:tc>
          <w:tcPr>
            <w:tcW w:w="0" w:type="auto"/>
            <w:shd w:val="clear" w:color="auto" w:fill="auto"/>
          </w:tcPr>
          <w:p w14:paraId="33DA9301" w14:textId="77777777" w:rsidR="004D6A64" w:rsidRDefault="004D6A64">
            <w:pPr>
              <w:rPr>
                <w:rFonts w:ascii="宋体"/>
              </w:rPr>
            </w:pPr>
          </w:p>
        </w:tc>
        <w:tc>
          <w:tcPr>
            <w:tcW w:w="0" w:type="auto"/>
            <w:shd w:val="clear" w:color="auto" w:fill="auto"/>
          </w:tcPr>
          <w:p w14:paraId="33DA9302" w14:textId="77777777" w:rsidR="004D6A64" w:rsidRDefault="004D6A64">
            <w:pPr>
              <w:rPr>
                <w:rFonts w:ascii="宋体"/>
              </w:rPr>
            </w:pPr>
          </w:p>
        </w:tc>
        <w:tc>
          <w:tcPr>
            <w:tcW w:w="0" w:type="auto"/>
            <w:shd w:val="clear" w:color="auto" w:fill="auto"/>
          </w:tcPr>
          <w:p w14:paraId="33DA9303" w14:textId="77777777" w:rsidR="004D6A64" w:rsidRDefault="004D6A64">
            <w:pPr>
              <w:rPr>
                <w:rFonts w:ascii="宋体"/>
              </w:rPr>
            </w:pPr>
          </w:p>
        </w:tc>
        <w:tc>
          <w:tcPr>
            <w:tcW w:w="0" w:type="auto"/>
            <w:shd w:val="clear" w:color="auto" w:fill="auto"/>
          </w:tcPr>
          <w:p w14:paraId="33DA9304" w14:textId="77777777" w:rsidR="004D6A64" w:rsidRDefault="004D6A64">
            <w:pPr>
              <w:rPr>
                <w:rFonts w:ascii="宋体"/>
              </w:rPr>
            </w:pPr>
          </w:p>
        </w:tc>
        <w:tc>
          <w:tcPr>
            <w:tcW w:w="0" w:type="auto"/>
            <w:shd w:val="clear" w:color="auto" w:fill="auto"/>
          </w:tcPr>
          <w:p w14:paraId="33DA9305" w14:textId="77777777" w:rsidR="004D6A64" w:rsidRDefault="004D6A64">
            <w:pPr>
              <w:rPr>
                <w:rFonts w:ascii="宋体"/>
              </w:rPr>
            </w:pPr>
          </w:p>
        </w:tc>
      </w:tr>
      <w:tr w:rsidR="004D6A64" w14:paraId="33DA9326" w14:textId="77777777">
        <w:trPr>
          <w:jc w:val="center"/>
        </w:trPr>
        <w:tc>
          <w:tcPr>
            <w:tcW w:w="0" w:type="auto"/>
            <w:gridSpan w:val="3"/>
            <w:shd w:val="clear" w:color="auto" w:fill="FFFFFF"/>
            <w:tcMar>
              <w:top w:w="40" w:type="dxa"/>
              <w:left w:w="225" w:type="dxa"/>
              <w:bottom w:w="40" w:type="dxa"/>
              <w:right w:w="20" w:type="dxa"/>
            </w:tcMar>
            <w:vAlign w:val="center"/>
          </w:tcPr>
          <w:p w14:paraId="33DA9307" w14:textId="77777777" w:rsidR="004D6A64" w:rsidRDefault="00506CD6">
            <w:pPr>
              <w:textAlignment w:val="center"/>
            </w:pPr>
            <w:r>
              <w:rPr>
                <w:rFonts w:ascii="Times New Roman" w:eastAsia="宋体" w:hAnsi="Times New Roman"/>
                <w:color w:val="000000"/>
                <w:sz w:val="20"/>
                <w:szCs w:val="20"/>
              </w:rPr>
              <w:t>Dell Technologies Common Stock — Diluted</w:t>
            </w:r>
          </w:p>
        </w:tc>
        <w:tc>
          <w:tcPr>
            <w:tcW w:w="0" w:type="auto"/>
            <w:shd w:val="clear" w:color="auto" w:fill="FFFFFF"/>
            <w:tcMar>
              <w:top w:w="40" w:type="dxa"/>
              <w:left w:w="20" w:type="dxa"/>
              <w:bottom w:w="40" w:type="dxa"/>
            </w:tcMar>
            <w:vAlign w:val="center"/>
          </w:tcPr>
          <w:p w14:paraId="33DA9308"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9309" w14:textId="77777777" w:rsidR="004D6A64" w:rsidRDefault="00506CD6">
            <w:pPr>
              <w:jc w:val="right"/>
              <w:textAlignment w:val="center"/>
            </w:pPr>
            <w:r>
              <w:rPr>
                <w:rFonts w:ascii="Times New Roman" w:eastAsia="宋体" w:hAnsi="Times New Roman"/>
                <w:color w:val="000000"/>
                <w:sz w:val="20"/>
                <w:szCs w:val="20"/>
              </w:rPr>
              <w:t>1.37 </w:t>
            </w:r>
          </w:p>
        </w:tc>
        <w:tc>
          <w:tcPr>
            <w:tcW w:w="0" w:type="auto"/>
            <w:shd w:val="clear" w:color="auto" w:fill="FFFFFF"/>
            <w:tcMar>
              <w:top w:w="40" w:type="dxa"/>
              <w:bottom w:w="40" w:type="dxa"/>
              <w:right w:w="20" w:type="dxa"/>
            </w:tcMar>
            <w:vAlign w:val="center"/>
          </w:tcPr>
          <w:p w14:paraId="33DA930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30B"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930C"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930D" w14:textId="77777777" w:rsidR="004D6A64" w:rsidRDefault="00506CD6">
            <w:pPr>
              <w:jc w:val="right"/>
              <w:textAlignment w:val="center"/>
            </w:pPr>
            <w:r>
              <w:rPr>
                <w:rFonts w:ascii="Times New Roman" w:eastAsia="宋体" w:hAnsi="Times New Roman"/>
                <w:color w:val="000000"/>
                <w:sz w:val="20"/>
                <w:szCs w:val="20"/>
              </w:rPr>
              <w:t>4.47 </w:t>
            </w:r>
          </w:p>
        </w:tc>
        <w:tc>
          <w:tcPr>
            <w:tcW w:w="0" w:type="auto"/>
            <w:shd w:val="clear" w:color="auto" w:fill="FFFFFF"/>
            <w:tcMar>
              <w:top w:w="40" w:type="dxa"/>
              <w:bottom w:w="40" w:type="dxa"/>
              <w:right w:w="20" w:type="dxa"/>
            </w:tcMar>
            <w:vAlign w:val="center"/>
          </w:tcPr>
          <w:p w14:paraId="33DA930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30F"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9310"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9311" w14:textId="77777777" w:rsidR="004D6A64" w:rsidRDefault="00506CD6">
            <w:pPr>
              <w:jc w:val="right"/>
              <w:textAlignment w:val="center"/>
            </w:pPr>
            <w:r>
              <w:rPr>
                <w:rFonts w:ascii="Times New Roman" w:eastAsia="宋体" w:hAnsi="Times New Roman"/>
                <w:color w:val="000000"/>
                <w:sz w:val="20"/>
                <w:szCs w:val="20"/>
              </w:rPr>
              <w:t>1.56 </w:t>
            </w:r>
          </w:p>
        </w:tc>
        <w:tc>
          <w:tcPr>
            <w:tcW w:w="0" w:type="auto"/>
            <w:shd w:val="clear" w:color="auto" w:fill="FFFFFF"/>
            <w:tcMar>
              <w:top w:w="40" w:type="dxa"/>
              <w:bottom w:w="40" w:type="dxa"/>
              <w:right w:w="20" w:type="dxa"/>
            </w:tcMar>
            <w:vAlign w:val="center"/>
          </w:tcPr>
          <w:p w14:paraId="33DA9312" w14:textId="77777777" w:rsidR="004D6A64" w:rsidRDefault="004D6A64">
            <w:pPr>
              <w:jc w:val="right"/>
              <w:rPr>
                <w:rFonts w:ascii="宋体"/>
              </w:rPr>
            </w:pPr>
          </w:p>
        </w:tc>
        <w:tc>
          <w:tcPr>
            <w:tcW w:w="0" w:type="auto"/>
            <w:gridSpan w:val="3"/>
            <w:shd w:val="clear" w:color="auto" w:fill="auto"/>
            <w:tcMar>
              <w:left w:w="20" w:type="dxa"/>
              <w:right w:w="20" w:type="dxa"/>
            </w:tcMar>
            <w:vAlign w:val="center"/>
          </w:tcPr>
          <w:p w14:paraId="33DA9313" w14:textId="77777777" w:rsidR="004D6A64" w:rsidRDefault="004D6A64">
            <w:pPr>
              <w:jc w:val="right"/>
              <w:rPr>
                <w:rFonts w:ascii="宋体"/>
              </w:rPr>
            </w:pPr>
          </w:p>
        </w:tc>
        <w:tc>
          <w:tcPr>
            <w:tcW w:w="0" w:type="auto"/>
            <w:shd w:val="clear" w:color="auto" w:fill="auto"/>
            <w:tcMar>
              <w:top w:w="40" w:type="dxa"/>
              <w:left w:w="20" w:type="dxa"/>
              <w:bottom w:w="40" w:type="dxa"/>
            </w:tcMar>
            <w:vAlign w:val="center"/>
          </w:tcPr>
          <w:p w14:paraId="33DA9314"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auto"/>
            <w:tcMar>
              <w:top w:w="40" w:type="dxa"/>
              <w:bottom w:w="40" w:type="dxa"/>
              <w:right w:w="0" w:type="dxa"/>
            </w:tcMar>
            <w:vAlign w:val="center"/>
          </w:tcPr>
          <w:p w14:paraId="33DA9315" w14:textId="77777777" w:rsidR="004D6A64" w:rsidRDefault="00506CD6">
            <w:pPr>
              <w:jc w:val="right"/>
              <w:textAlignment w:val="center"/>
            </w:pPr>
            <w:r>
              <w:rPr>
                <w:rFonts w:ascii="Times New Roman" w:eastAsia="宋体" w:hAnsi="Times New Roman"/>
                <w:color w:val="000000"/>
                <w:sz w:val="20"/>
                <w:szCs w:val="20"/>
              </w:rPr>
              <w:t>4.84 </w:t>
            </w:r>
          </w:p>
        </w:tc>
        <w:tc>
          <w:tcPr>
            <w:tcW w:w="0" w:type="auto"/>
            <w:shd w:val="clear" w:color="auto" w:fill="auto"/>
            <w:tcMar>
              <w:top w:w="40" w:type="dxa"/>
              <w:bottom w:w="40" w:type="dxa"/>
              <w:right w:w="20" w:type="dxa"/>
            </w:tcMar>
            <w:vAlign w:val="center"/>
          </w:tcPr>
          <w:p w14:paraId="33DA9316" w14:textId="77777777" w:rsidR="004D6A64" w:rsidRDefault="004D6A64">
            <w:pPr>
              <w:jc w:val="right"/>
              <w:rPr>
                <w:rFonts w:ascii="宋体"/>
              </w:rPr>
            </w:pPr>
          </w:p>
        </w:tc>
        <w:tc>
          <w:tcPr>
            <w:tcW w:w="0" w:type="auto"/>
            <w:shd w:val="clear" w:color="auto" w:fill="auto"/>
          </w:tcPr>
          <w:p w14:paraId="33DA9317" w14:textId="77777777" w:rsidR="004D6A64" w:rsidRDefault="004D6A64">
            <w:pPr>
              <w:rPr>
                <w:rFonts w:ascii="宋体"/>
              </w:rPr>
            </w:pPr>
          </w:p>
        </w:tc>
        <w:tc>
          <w:tcPr>
            <w:tcW w:w="0" w:type="auto"/>
            <w:shd w:val="clear" w:color="auto" w:fill="auto"/>
          </w:tcPr>
          <w:p w14:paraId="33DA9318" w14:textId="77777777" w:rsidR="004D6A64" w:rsidRDefault="004D6A64">
            <w:pPr>
              <w:rPr>
                <w:rFonts w:ascii="宋体"/>
              </w:rPr>
            </w:pPr>
          </w:p>
        </w:tc>
        <w:tc>
          <w:tcPr>
            <w:tcW w:w="0" w:type="auto"/>
            <w:shd w:val="clear" w:color="auto" w:fill="auto"/>
          </w:tcPr>
          <w:p w14:paraId="33DA9319" w14:textId="77777777" w:rsidR="004D6A64" w:rsidRDefault="004D6A64">
            <w:pPr>
              <w:rPr>
                <w:rFonts w:ascii="宋体"/>
              </w:rPr>
            </w:pPr>
          </w:p>
        </w:tc>
        <w:tc>
          <w:tcPr>
            <w:tcW w:w="0" w:type="auto"/>
            <w:shd w:val="clear" w:color="auto" w:fill="auto"/>
          </w:tcPr>
          <w:p w14:paraId="33DA931A" w14:textId="77777777" w:rsidR="004D6A64" w:rsidRDefault="004D6A64">
            <w:pPr>
              <w:rPr>
                <w:rFonts w:ascii="宋体"/>
              </w:rPr>
            </w:pPr>
          </w:p>
        </w:tc>
        <w:tc>
          <w:tcPr>
            <w:tcW w:w="0" w:type="auto"/>
            <w:shd w:val="clear" w:color="auto" w:fill="auto"/>
          </w:tcPr>
          <w:p w14:paraId="33DA931B" w14:textId="77777777" w:rsidR="004D6A64" w:rsidRDefault="004D6A64">
            <w:pPr>
              <w:rPr>
                <w:rFonts w:ascii="宋体"/>
              </w:rPr>
            </w:pPr>
          </w:p>
        </w:tc>
        <w:tc>
          <w:tcPr>
            <w:tcW w:w="0" w:type="auto"/>
            <w:shd w:val="clear" w:color="auto" w:fill="auto"/>
          </w:tcPr>
          <w:p w14:paraId="33DA931C" w14:textId="77777777" w:rsidR="004D6A64" w:rsidRDefault="004D6A64">
            <w:pPr>
              <w:rPr>
                <w:rFonts w:ascii="宋体"/>
              </w:rPr>
            </w:pPr>
          </w:p>
        </w:tc>
        <w:tc>
          <w:tcPr>
            <w:tcW w:w="0" w:type="auto"/>
            <w:shd w:val="clear" w:color="auto" w:fill="auto"/>
          </w:tcPr>
          <w:p w14:paraId="33DA931D" w14:textId="77777777" w:rsidR="004D6A64" w:rsidRDefault="004D6A64">
            <w:pPr>
              <w:rPr>
                <w:rFonts w:ascii="宋体"/>
              </w:rPr>
            </w:pPr>
          </w:p>
        </w:tc>
        <w:tc>
          <w:tcPr>
            <w:tcW w:w="0" w:type="auto"/>
            <w:shd w:val="clear" w:color="auto" w:fill="auto"/>
          </w:tcPr>
          <w:p w14:paraId="33DA931E" w14:textId="77777777" w:rsidR="004D6A64" w:rsidRDefault="004D6A64">
            <w:pPr>
              <w:rPr>
                <w:rFonts w:ascii="宋体"/>
              </w:rPr>
            </w:pPr>
          </w:p>
        </w:tc>
        <w:tc>
          <w:tcPr>
            <w:tcW w:w="0" w:type="auto"/>
            <w:shd w:val="clear" w:color="auto" w:fill="auto"/>
          </w:tcPr>
          <w:p w14:paraId="33DA931F" w14:textId="77777777" w:rsidR="004D6A64" w:rsidRDefault="004D6A64">
            <w:pPr>
              <w:rPr>
                <w:rFonts w:ascii="宋体"/>
              </w:rPr>
            </w:pPr>
          </w:p>
        </w:tc>
        <w:tc>
          <w:tcPr>
            <w:tcW w:w="0" w:type="auto"/>
            <w:shd w:val="clear" w:color="auto" w:fill="auto"/>
          </w:tcPr>
          <w:p w14:paraId="33DA9320" w14:textId="77777777" w:rsidR="004D6A64" w:rsidRDefault="004D6A64">
            <w:pPr>
              <w:rPr>
                <w:rFonts w:ascii="宋体"/>
              </w:rPr>
            </w:pPr>
          </w:p>
        </w:tc>
        <w:tc>
          <w:tcPr>
            <w:tcW w:w="0" w:type="auto"/>
            <w:shd w:val="clear" w:color="auto" w:fill="auto"/>
          </w:tcPr>
          <w:p w14:paraId="33DA9321" w14:textId="77777777" w:rsidR="004D6A64" w:rsidRDefault="004D6A64">
            <w:pPr>
              <w:rPr>
                <w:rFonts w:ascii="宋体"/>
              </w:rPr>
            </w:pPr>
          </w:p>
        </w:tc>
        <w:tc>
          <w:tcPr>
            <w:tcW w:w="0" w:type="auto"/>
            <w:shd w:val="clear" w:color="auto" w:fill="auto"/>
          </w:tcPr>
          <w:p w14:paraId="33DA9322" w14:textId="77777777" w:rsidR="004D6A64" w:rsidRDefault="004D6A64">
            <w:pPr>
              <w:rPr>
                <w:rFonts w:ascii="宋体"/>
              </w:rPr>
            </w:pPr>
          </w:p>
        </w:tc>
        <w:tc>
          <w:tcPr>
            <w:tcW w:w="0" w:type="auto"/>
            <w:shd w:val="clear" w:color="auto" w:fill="auto"/>
          </w:tcPr>
          <w:p w14:paraId="33DA9323" w14:textId="77777777" w:rsidR="004D6A64" w:rsidRDefault="004D6A64">
            <w:pPr>
              <w:rPr>
                <w:rFonts w:ascii="宋体"/>
              </w:rPr>
            </w:pPr>
          </w:p>
        </w:tc>
        <w:tc>
          <w:tcPr>
            <w:tcW w:w="0" w:type="auto"/>
            <w:shd w:val="clear" w:color="auto" w:fill="auto"/>
          </w:tcPr>
          <w:p w14:paraId="33DA9324" w14:textId="77777777" w:rsidR="004D6A64" w:rsidRDefault="004D6A64">
            <w:pPr>
              <w:rPr>
                <w:rFonts w:ascii="宋体"/>
              </w:rPr>
            </w:pPr>
          </w:p>
        </w:tc>
        <w:tc>
          <w:tcPr>
            <w:tcW w:w="0" w:type="auto"/>
            <w:shd w:val="clear" w:color="auto" w:fill="auto"/>
          </w:tcPr>
          <w:p w14:paraId="33DA9325" w14:textId="77777777" w:rsidR="004D6A64" w:rsidRDefault="004D6A64">
            <w:pPr>
              <w:rPr>
                <w:rFonts w:ascii="宋体"/>
              </w:rPr>
            </w:pPr>
          </w:p>
        </w:tc>
      </w:tr>
    </w:tbl>
    <w:p w14:paraId="33DA9327" w14:textId="77777777" w:rsidR="004D6A64" w:rsidRDefault="00506CD6">
      <w:pPr>
        <w:jc w:val="center"/>
      </w:pPr>
      <w:r>
        <w:rPr>
          <w:rFonts w:ascii="Times New Roman" w:eastAsia="宋体" w:hAnsi="Times New Roman"/>
          <w:color w:val="000000"/>
          <w:sz w:val="20"/>
          <w:szCs w:val="20"/>
        </w:rPr>
        <w:t> </w:t>
      </w:r>
    </w:p>
    <w:p w14:paraId="33DA9328" w14:textId="77777777" w:rsidR="004D6A64" w:rsidRDefault="00506CD6">
      <w:pPr>
        <w:jc w:val="center"/>
      </w:pPr>
      <w:r>
        <w:rPr>
          <w:rFonts w:ascii="Times New Roman" w:eastAsia="宋体" w:hAnsi="Times New Roman"/>
          <w:color w:val="000000"/>
          <w:sz w:val="20"/>
          <w:szCs w:val="20"/>
          <w:shd w:val="clear" w:color="auto" w:fill="FFFFFF"/>
        </w:rPr>
        <w:t xml:space="preserve">The accompanying notes are an integral part of these Condensed </w:t>
      </w:r>
      <w:r>
        <w:rPr>
          <w:rFonts w:ascii="Times New Roman" w:eastAsia="宋体" w:hAnsi="Times New Roman"/>
          <w:color w:val="000000"/>
          <w:sz w:val="20"/>
          <w:szCs w:val="20"/>
        </w:rPr>
        <w:t>Consolidated Financial Statements.</w:t>
      </w:r>
    </w:p>
    <w:p w14:paraId="33DA9329" w14:textId="77777777" w:rsidR="004D6A64" w:rsidRDefault="004D6A64">
      <w:pPr>
        <w:jc w:val="center"/>
      </w:pPr>
    </w:p>
    <w:p w14:paraId="33DA932A" w14:textId="77777777" w:rsidR="004D6A64" w:rsidRDefault="00506CD6">
      <w:pPr>
        <w:jc w:val="center"/>
      </w:pPr>
      <w:r>
        <w:rPr>
          <w:rFonts w:ascii="Times New Roman" w:eastAsia="宋体" w:hAnsi="Times New Roman"/>
          <w:color w:val="000000"/>
          <w:sz w:val="20"/>
          <w:szCs w:val="20"/>
        </w:rPr>
        <w:t>6</w:t>
      </w:r>
    </w:p>
    <w:p w14:paraId="33DA932B" w14:textId="77777777" w:rsidR="004D6A64" w:rsidRDefault="004D6A64">
      <w:pPr>
        <w:jc w:val="center"/>
      </w:pPr>
    </w:p>
    <w:p w14:paraId="33DA932C" w14:textId="77777777" w:rsidR="004D6A64" w:rsidRDefault="00506CD6">
      <w:r>
        <w:pict w14:anchorId="33DAFACA">
          <v:rect id="_x0000_i1030" style="width:415.3pt;height:1.5pt" o:hralign="center" o:hrstd="t" o:hr="t" fillcolor="#a0a0a0" stroked="f"/>
        </w:pict>
      </w:r>
    </w:p>
    <w:p w14:paraId="33DA932D" w14:textId="77777777" w:rsidR="004D6A64" w:rsidRDefault="00506CD6">
      <w:hyperlink r:id="rId129" w:anchor="if3e0e1bf9ecd4bf69551d7a85f98d64a_10" w:history="1">
        <w:r>
          <w:rPr>
            <w:rStyle w:val="a5"/>
            <w:rFonts w:ascii="Times New Roman" w:eastAsia="宋体" w:hAnsi="Times New Roman"/>
            <w:sz w:val="20"/>
            <w:szCs w:val="20"/>
          </w:rPr>
          <w:t>Table of Contents</w:t>
        </w:r>
      </w:hyperlink>
    </w:p>
    <w:p w14:paraId="33DA932E" w14:textId="77777777" w:rsidR="004D6A64" w:rsidRDefault="00506CD6">
      <w:pPr>
        <w:spacing w:after="120"/>
        <w:jc w:val="center"/>
      </w:pPr>
      <w:r>
        <w:rPr>
          <w:rFonts w:ascii="Times New Roman" w:eastAsia="宋体" w:hAnsi="Times New Roman"/>
          <w:b/>
          <w:bCs/>
          <w:color w:val="000000"/>
          <w:sz w:val="20"/>
          <w:szCs w:val="20"/>
        </w:rPr>
        <w:t>DELL TECHNOLOGIES INC.</w:t>
      </w:r>
    </w:p>
    <w:p w14:paraId="33DA932F" w14:textId="77777777" w:rsidR="004D6A64" w:rsidRDefault="00506CD6">
      <w:pPr>
        <w:spacing w:after="60"/>
        <w:jc w:val="center"/>
      </w:pPr>
      <w:r>
        <w:rPr>
          <w:rFonts w:ascii="Times New Roman" w:eastAsia="宋体" w:hAnsi="Times New Roman"/>
          <w:b/>
          <w:bCs/>
          <w:color w:val="000000"/>
          <w:sz w:val="20"/>
          <w:szCs w:val="20"/>
        </w:rPr>
        <w:t>CONDENSED CONSOLIDATED STATEMENTS OF COMPREHENSIVE INCOME (LOSS)</w:t>
      </w:r>
    </w:p>
    <w:p w14:paraId="33DA9330" w14:textId="77777777" w:rsidR="004D6A64" w:rsidRDefault="00506CD6">
      <w:pPr>
        <w:jc w:val="center"/>
      </w:pPr>
      <w:r>
        <w:rPr>
          <w:rFonts w:ascii="Times New Roman" w:eastAsia="宋体" w:hAnsi="Times New Roman"/>
          <w:color w:val="000000"/>
          <w:sz w:val="20"/>
          <w:szCs w:val="20"/>
          <w:shd w:val="clear" w:color="auto" w:fill="FFFFFF"/>
        </w:rPr>
        <w:t xml:space="preserve">(in </w:t>
      </w:r>
      <w:r>
        <w:rPr>
          <w:rFonts w:ascii="Times New Roman" w:eastAsia="宋体" w:hAnsi="Times New Roman"/>
          <w:color w:val="000000"/>
          <w:sz w:val="20"/>
          <w:szCs w:val="20"/>
          <w:shd w:val="clear" w:color="auto" w:fill="FFFFFF"/>
        </w:rPr>
        <w:t>millions</w:t>
      </w:r>
      <w:r>
        <w:rPr>
          <w:rFonts w:ascii="Times New Roman" w:eastAsia="宋体" w:hAnsi="Times New Roman"/>
          <w:color w:val="000000"/>
          <w:sz w:val="20"/>
          <w:szCs w:val="20"/>
        </w:rPr>
        <w:t>; unaudited</w:t>
      </w:r>
      <w:r>
        <w:rPr>
          <w:rFonts w:ascii="Times New Roman" w:eastAsia="宋体" w:hAnsi="Times New Roman"/>
          <w:color w:val="000000"/>
          <w:sz w:val="20"/>
          <w:szCs w:val="20"/>
          <w:shd w:val="clear" w:color="auto" w:fill="FFFFFF"/>
        </w:rPr>
        <w:t>)</w:t>
      </w:r>
    </w:p>
    <w:tbl>
      <w:tblPr>
        <w:tblW w:w="5000" w:type="pct"/>
        <w:tblCellMar>
          <w:top w:w="15" w:type="dxa"/>
          <w:left w:w="15" w:type="dxa"/>
          <w:bottom w:w="15" w:type="dxa"/>
          <w:right w:w="15" w:type="dxa"/>
        </w:tblCellMar>
        <w:tblLook w:val="04A0" w:firstRow="1" w:lastRow="0" w:firstColumn="1" w:lastColumn="0" w:noHBand="0" w:noVBand="1"/>
      </w:tblPr>
      <w:tblGrid>
        <w:gridCol w:w="44"/>
        <w:gridCol w:w="3223"/>
        <w:gridCol w:w="39"/>
        <w:gridCol w:w="135"/>
        <w:gridCol w:w="892"/>
        <w:gridCol w:w="41"/>
        <w:gridCol w:w="36"/>
        <w:gridCol w:w="36"/>
        <w:gridCol w:w="36"/>
        <w:gridCol w:w="135"/>
        <w:gridCol w:w="892"/>
        <w:gridCol w:w="41"/>
        <w:gridCol w:w="36"/>
        <w:gridCol w:w="36"/>
        <w:gridCol w:w="36"/>
        <w:gridCol w:w="135"/>
        <w:gridCol w:w="892"/>
        <w:gridCol w:w="41"/>
        <w:gridCol w:w="36"/>
        <w:gridCol w:w="36"/>
        <w:gridCol w:w="36"/>
        <w:gridCol w:w="135"/>
        <w:gridCol w:w="894"/>
        <w:gridCol w:w="41"/>
        <w:gridCol w:w="36"/>
        <w:gridCol w:w="36"/>
        <w:gridCol w:w="36"/>
        <w:gridCol w:w="36"/>
        <w:gridCol w:w="36"/>
        <w:gridCol w:w="36"/>
        <w:gridCol w:w="36"/>
        <w:gridCol w:w="36"/>
        <w:gridCol w:w="36"/>
        <w:gridCol w:w="36"/>
        <w:gridCol w:w="36"/>
        <w:gridCol w:w="36"/>
      </w:tblGrid>
      <w:tr w:rsidR="004D6A64" w14:paraId="33DA9349" w14:textId="77777777">
        <w:trPr>
          <w:gridAfter w:val="12"/>
        </w:trPr>
        <w:tc>
          <w:tcPr>
            <w:tcW w:w="50" w:type="pct"/>
            <w:shd w:val="clear" w:color="auto" w:fill="auto"/>
          </w:tcPr>
          <w:p w14:paraId="33DA9331" w14:textId="77777777" w:rsidR="004D6A64" w:rsidRDefault="004D6A64">
            <w:pPr>
              <w:rPr>
                <w:rFonts w:ascii="宋体"/>
              </w:rPr>
            </w:pPr>
          </w:p>
        </w:tc>
        <w:tc>
          <w:tcPr>
            <w:tcW w:w="2137" w:type="pct"/>
            <w:shd w:val="clear" w:color="auto" w:fill="auto"/>
          </w:tcPr>
          <w:p w14:paraId="33DA9332" w14:textId="77777777" w:rsidR="004D6A64" w:rsidRDefault="004D6A64">
            <w:pPr>
              <w:rPr>
                <w:rFonts w:ascii="宋体"/>
              </w:rPr>
            </w:pPr>
          </w:p>
        </w:tc>
        <w:tc>
          <w:tcPr>
            <w:tcW w:w="5" w:type="pct"/>
            <w:shd w:val="clear" w:color="auto" w:fill="auto"/>
          </w:tcPr>
          <w:p w14:paraId="33DA9333" w14:textId="77777777" w:rsidR="004D6A64" w:rsidRDefault="004D6A64">
            <w:pPr>
              <w:rPr>
                <w:rFonts w:ascii="宋体"/>
              </w:rPr>
            </w:pPr>
          </w:p>
        </w:tc>
        <w:tc>
          <w:tcPr>
            <w:tcW w:w="50" w:type="pct"/>
            <w:shd w:val="clear" w:color="auto" w:fill="auto"/>
          </w:tcPr>
          <w:p w14:paraId="33DA9334" w14:textId="77777777" w:rsidR="004D6A64" w:rsidRDefault="004D6A64">
            <w:pPr>
              <w:rPr>
                <w:rFonts w:ascii="宋体"/>
              </w:rPr>
            </w:pPr>
          </w:p>
        </w:tc>
        <w:tc>
          <w:tcPr>
            <w:tcW w:w="624" w:type="pct"/>
            <w:shd w:val="clear" w:color="auto" w:fill="auto"/>
          </w:tcPr>
          <w:p w14:paraId="33DA9335" w14:textId="77777777" w:rsidR="004D6A64" w:rsidRDefault="004D6A64">
            <w:pPr>
              <w:rPr>
                <w:rFonts w:ascii="宋体"/>
              </w:rPr>
            </w:pPr>
          </w:p>
        </w:tc>
        <w:tc>
          <w:tcPr>
            <w:tcW w:w="5" w:type="pct"/>
            <w:shd w:val="clear" w:color="auto" w:fill="auto"/>
          </w:tcPr>
          <w:p w14:paraId="33DA9336" w14:textId="77777777" w:rsidR="004D6A64" w:rsidRDefault="004D6A64">
            <w:pPr>
              <w:rPr>
                <w:rFonts w:ascii="宋体"/>
              </w:rPr>
            </w:pPr>
          </w:p>
        </w:tc>
        <w:tc>
          <w:tcPr>
            <w:tcW w:w="5" w:type="pct"/>
            <w:shd w:val="clear" w:color="auto" w:fill="auto"/>
          </w:tcPr>
          <w:p w14:paraId="33DA9337" w14:textId="77777777" w:rsidR="004D6A64" w:rsidRDefault="004D6A64">
            <w:pPr>
              <w:rPr>
                <w:rFonts w:ascii="宋体"/>
              </w:rPr>
            </w:pPr>
          </w:p>
        </w:tc>
        <w:tc>
          <w:tcPr>
            <w:tcW w:w="19" w:type="pct"/>
            <w:shd w:val="clear" w:color="auto" w:fill="auto"/>
          </w:tcPr>
          <w:p w14:paraId="33DA9338" w14:textId="77777777" w:rsidR="004D6A64" w:rsidRDefault="004D6A64">
            <w:pPr>
              <w:rPr>
                <w:rFonts w:ascii="宋体"/>
              </w:rPr>
            </w:pPr>
          </w:p>
        </w:tc>
        <w:tc>
          <w:tcPr>
            <w:tcW w:w="5" w:type="pct"/>
            <w:shd w:val="clear" w:color="auto" w:fill="auto"/>
          </w:tcPr>
          <w:p w14:paraId="33DA9339" w14:textId="77777777" w:rsidR="004D6A64" w:rsidRDefault="004D6A64">
            <w:pPr>
              <w:rPr>
                <w:rFonts w:ascii="宋体"/>
              </w:rPr>
            </w:pPr>
          </w:p>
        </w:tc>
        <w:tc>
          <w:tcPr>
            <w:tcW w:w="50" w:type="pct"/>
            <w:shd w:val="clear" w:color="auto" w:fill="auto"/>
          </w:tcPr>
          <w:p w14:paraId="33DA933A" w14:textId="77777777" w:rsidR="004D6A64" w:rsidRDefault="004D6A64">
            <w:pPr>
              <w:rPr>
                <w:rFonts w:ascii="宋体"/>
              </w:rPr>
            </w:pPr>
          </w:p>
        </w:tc>
        <w:tc>
          <w:tcPr>
            <w:tcW w:w="624" w:type="pct"/>
            <w:shd w:val="clear" w:color="auto" w:fill="auto"/>
          </w:tcPr>
          <w:p w14:paraId="33DA933B" w14:textId="77777777" w:rsidR="004D6A64" w:rsidRDefault="004D6A64">
            <w:pPr>
              <w:rPr>
                <w:rFonts w:ascii="宋体"/>
              </w:rPr>
            </w:pPr>
          </w:p>
        </w:tc>
        <w:tc>
          <w:tcPr>
            <w:tcW w:w="5" w:type="pct"/>
            <w:shd w:val="clear" w:color="auto" w:fill="auto"/>
          </w:tcPr>
          <w:p w14:paraId="33DA933C" w14:textId="77777777" w:rsidR="004D6A64" w:rsidRDefault="004D6A64">
            <w:pPr>
              <w:rPr>
                <w:rFonts w:ascii="宋体"/>
              </w:rPr>
            </w:pPr>
          </w:p>
        </w:tc>
        <w:tc>
          <w:tcPr>
            <w:tcW w:w="5" w:type="pct"/>
            <w:shd w:val="clear" w:color="auto" w:fill="auto"/>
          </w:tcPr>
          <w:p w14:paraId="33DA933D" w14:textId="77777777" w:rsidR="004D6A64" w:rsidRDefault="004D6A64">
            <w:pPr>
              <w:rPr>
                <w:rFonts w:ascii="宋体"/>
              </w:rPr>
            </w:pPr>
          </w:p>
        </w:tc>
        <w:tc>
          <w:tcPr>
            <w:tcW w:w="19" w:type="pct"/>
            <w:shd w:val="clear" w:color="auto" w:fill="auto"/>
          </w:tcPr>
          <w:p w14:paraId="33DA933E" w14:textId="77777777" w:rsidR="004D6A64" w:rsidRDefault="004D6A64">
            <w:pPr>
              <w:rPr>
                <w:rFonts w:ascii="宋体"/>
              </w:rPr>
            </w:pPr>
          </w:p>
        </w:tc>
        <w:tc>
          <w:tcPr>
            <w:tcW w:w="5" w:type="pct"/>
            <w:shd w:val="clear" w:color="auto" w:fill="auto"/>
          </w:tcPr>
          <w:p w14:paraId="33DA933F" w14:textId="77777777" w:rsidR="004D6A64" w:rsidRDefault="004D6A64">
            <w:pPr>
              <w:rPr>
                <w:rFonts w:ascii="宋体"/>
              </w:rPr>
            </w:pPr>
          </w:p>
        </w:tc>
        <w:tc>
          <w:tcPr>
            <w:tcW w:w="50" w:type="pct"/>
            <w:shd w:val="clear" w:color="auto" w:fill="auto"/>
          </w:tcPr>
          <w:p w14:paraId="33DA9340" w14:textId="77777777" w:rsidR="004D6A64" w:rsidRDefault="004D6A64">
            <w:pPr>
              <w:rPr>
                <w:rFonts w:ascii="宋体"/>
              </w:rPr>
            </w:pPr>
          </w:p>
        </w:tc>
        <w:tc>
          <w:tcPr>
            <w:tcW w:w="624" w:type="pct"/>
            <w:shd w:val="clear" w:color="auto" w:fill="auto"/>
          </w:tcPr>
          <w:p w14:paraId="33DA9341" w14:textId="77777777" w:rsidR="004D6A64" w:rsidRDefault="004D6A64">
            <w:pPr>
              <w:rPr>
                <w:rFonts w:ascii="宋体"/>
              </w:rPr>
            </w:pPr>
          </w:p>
        </w:tc>
        <w:tc>
          <w:tcPr>
            <w:tcW w:w="5" w:type="pct"/>
            <w:shd w:val="clear" w:color="auto" w:fill="auto"/>
          </w:tcPr>
          <w:p w14:paraId="33DA9342" w14:textId="77777777" w:rsidR="004D6A64" w:rsidRDefault="004D6A64">
            <w:pPr>
              <w:rPr>
                <w:rFonts w:ascii="宋体"/>
              </w:rPr>
            </w:pPr>
          </w:p>
        </w:tc>
        <w:tc>
          <w:tcPr>
            <w:tcW w:w="5" w:type="pct"/>
            <w:shd w:val="clear" w:color="auto" w:fill="auto"/>
          </w:tcPr>
          <w:p w14:paraId="33DA9343" w14:textId="77777777" w:rsidR="004D6A64" w:rsidRDefault="004D6A64">
            <w:pPr>
              <w:rPr>
                <w:rFonts w:ascii="宋体"/>
              </w:rPr>
            </w:pPr>
          </w:p>
        </w:tc>
        <w:tc>
          <w:tcPr>
            <w:tcW w:w="19" w:type="pct"/>
            <w:shd w:val="clear" w:color="auto" w:fill="auto"/>
          </w:tcPr>
          <w:p w14:paraId="33DA9344" w14:textId="77777777" w:rsidR="004D6A64" w:rsidRDefault="004D6A64">
            <w:pPr>
              <w:rPr>
                <w:rFonts w:ascii="宋体"/>
              </w:rPr>
            </w:pPr>
          </w:p>
        </w:tc>
        <w:tc>
          <w:tcPr>
            <w:tcW w:w="5" w:type="pct"/>
            <w:shd w:val="clear" w:color="auto" w:fill="auto"/>
          </w:tcPr>
          <w:p w14:paraId="33DA9345" w14:textId="77777777" w:rsidR="004D6A64" w:rsidRDefault="004D6A64">
            <w:pPr>
              <w:rPr>
                <w:rFonts w:ascii="宋体"/>
              </w:rPr>
            </w:pPr>
          </w:p>
        </w:tc>
        <w:tc>
          <w:tcPr>
            <w:tcW w:w="50" w:type="pct"/>
            <w:shd w:val="clear" w:color="auto" w:fill="auto"/>
          </w:tcPr>
          <w:p w14:paraId="33DA9346" w14:textId="77777777" w:rsidR="004D6A64" w:rsidRDefault="004D6A64">
            <w:pPr>
              <w:rPr>
                <w:rFonts w:ascii="宋体"/>
              </w:rPr>
            </w:pPr>
          </w:p>
        </w:tc>
        <w:tc>
          <w:tcPr>
            <w:tcW w:w="625" w:type="pct"/>
            <w:shd w:val="clear" w:color="auto" w:fill="auto"/>
          </w:tcPr>
          <w:p w14:paraId="33DA9347" w14:textId="77777777" w:rsidR="004D6A64" w:rsidRDefault="004D6A64">
            <w:pPr>
              <w:rPr>
                <w:rFonts w:ascii="宋体"/>
              </w:rPr>
            </w:pPr>
          </w:p>
        </w:tc>
        <w:tc>
          <w:tcPr>
            <w:tcW w:w="5" w:type="pct"/>
            <w:shd w:val="clear" w:color="auto" w:fill="auto"/>
          </w:tcPr>
          <w:p w14:paraId="33DA9348" w14:textId="77777777" w:rsidR="004D6A64" w:rsidRDefault="004D6A64">
            <w:pPr>
              <w:rPr>
                <w:rFonts w:ascii="宋体"/>
              </w:rPr>
            </w:pPr>
          </w:p>
        </w:tc>
      </w:tr>
      <w:tr w:rsidR="004D6A64" w14:paraId="33DA9352" w14:textId="77777777">
        <w:tc>
          <w:tcPr>
            <w:tcW w:w="0" w:type="auto"/>
            <w:gridSpan w:val="3"/>
            <w:shd w:val="clear" w:color="auto" w:fill="auto"/>
            <w:tcMar>
              <w:left w:w="20" w:type="dxa"/>
              <w:right w:w="20" w:type="dxa"/>
            </w:tcMar>
            <w:vAlign w:val="bottom"/>
          </w:tcPr>
          <w:p w14:paraId="33DA934A" w14:textId="77777777" w:rsidR="004D6A64" w:rsidRDefault="004D6A64">
            <w:pPr>
              <w:rPr>
                <w:rFonts w:ascii="宋体"/>
              </w:rPr>
            </w:pPr>
          </w:p>
        </w:tc>
        <w:tc>
          <w:tcPr>
            <w:tcW w:w="0" w:type="auto"/>
            <w:gridSpan w:val="9"/>
            <w:shd w:val="clear" w:color="auto" w:fill="auto"/>
            <w:tcMar>
              <w:top w:w="40" w:type="dxa"/>
              <w:left w:w="20" w:type="dxa"/>
              <w:bottom w:w="40" w:type="dxa"/>
              <w:right w:w="20" w:type="dxa"/>
            </w:tcMar>
            <w:vAlign w:val="center"/>
          </w:tcPr>
          <w:p w14:paraId="33DA934B" w14:textId="77777777" w:rsidR="004D6A64" w:rsidRDefault="00506CD6">
            <w:pPr>
              <w:jc w:val="center"/>
              <w:textAlignment w:val="center"/>
            </w:pPr>
            <w:r>
              <w:rPr>
                <w:rFonts w:ascii="Times New Roman" w:eastAsia="宋体" w:hAnsi="Times New Roman"/>
                <w:b/>
                <w:bCs/>
                <w:color w:val="000000"/>
                <w:sz w:val="20"/>
                <w:szCs w:val="20"/>
              </w:rPr>
              <w:t>Three Months Ended</w:t>
            </w:r>
          </w:p>
        </w:tc>
        <w:tc>
          <w:tcPr>
            <w:tcW w:w="0" w:type="auto"/>
            <w:gridSpan w:val="3"/>
            <w:shd w:val="clear" w:color="auto" w:fill="auto"/>
          </w:tcPr>
          <w:p w14:paraId="33DA934C" w14:textId="77777777" w:rsidR="004D6A64" w:rsidRDefault="004D6A64">
            <w:pPr>
              <w:rPr>
                <w:rFonts w:ascii="宋体"/>
                <w:vanish/>
              </w:rPr>
            </w:pPr>
          </w:p>
        </w:tc>
        <w:tc>
          <w:tcPr>
            <w:tcW w:w="0" w:type="auto"/>
            <w:gridSpan w:val="3"/>
            <w:shd w:val="clear" w:color="auto" w:fill="auto"/>
          </w:tcPr>
          <w:p w14:paraId="33DA934D"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934E" w14:textId="77777777" w:rsidR="004D6A64" w:rsidRDefault="004D6A64">
            <w:pPr>
              <w:rPr>
                <w:rFonts w:ascii="宋体"/>
              </w:rPr>
            </w:pPr>
          </w:p>
        </w:tc>
        <w:tc>
          <w:tcPr>
            <w:tcW w:w="0" w:type="auto"/>
            <w:gridSpan w:val="9"/>
            <w:shd w:val="clear" w:color="auto" w:fill="auto"/>
            <w:tcMar>
              <w:top w:w="40" w:type="dxa"/>
              <w:left w:w="20" w:type="dxa"/>
              <w:bottom w:w="40" w:type="dxa"/>
              <w:right w:w="20" w:type="dxa"/>
            </w:tcMar>
            <w:vAlign w:val="center"/>
          </w:tcPr>
          <w:p w14:paraId="33DA934F" w14:textId="77777777" w:rsidR="004D6A64" w:rsidRDefault="00506CD6">
            <w:pPr>
              <w:jc w:val="center"/>
              <w:textAlignment w:val="center"/>
            </w:pPr>
            <w:r>
              <w:rPr>
                <w:rFonts w:ascii="Times New Roman" w:eastAsia="宋体" w:hAnsi="Times New Roman"/>
                <w:b/>
                <w:bCs/>
                <w:color w:val="000000"/>
                <w:sz w:val="20"/>
                <w:szCs w:val="20"/>
              </w:rPr>
              <w:t>Six Months Ended</w:t>
            </w:r>
          </w:p>
        </w:tc>
        <w:tc>
          <w:tcPr>
            <w:tcW w:w="0" w:type="auto"/>
            <w:gridSpan w:val="3"/>
            <w:shd w:val="clear" w:color="auto" w:fill="auto"/>
          </w:tcPr>
          <w:p w14:paraId="33DA9350" w14:textId="77777777" w:rsidR="004D6A64" w:rsidRDefault="004D6A64">
            <w:pPr>
              <w:rPr>
                <w:rFonts w:ascii="宋体"/>
                <w:vanish/>
              </w:rPr>
            </w:pPr>
          </w:p>
        </w:tc>
        <w:tc>
          <w:tcPr>
            <w:tcW w:w="0" w:type="auto"/>
            <w:gridSpan w:val="3"/>
            <w:shd w:val="clear" w:color="auto" w:fill="auto"/>
          </w:tcPr>
          <w:p w14:paraId="33DA9351" w14:textId="77777777" w:rsidR="004D6A64" w:rsidRDefault="004D6A64">
            <w:pPr>
              <w:rPr>
                <w:rFonts w:ascii="宋体"/>
                <w:vanish/>
              </w:rPr>
            </w:pPr>
          </w:p>
        </w:tc>
      </w:tr>
      <w:tr w:rsidR="004D6A64" w14:paraId="33DA9367" w14:textId="77777777">
        <w:tc>
          <w:tcPr>
            <w:tcW w:w="0" w:type="auto"/>
            <w:gridSpan w:val="3"/>
            <w:shd w:val="clear" w:color="auto" w:fill="auto"/>
            <w:tcMar>
              <w:left w:w="20" w:type="dxa"/>
              <w:right w:w="20" w:type="dxa"/>
            </w:tcMar>
            <w:vAlign w:val="bottom"/>
          </w:tcPr>
          <w:p w14:paraId="33DA9353"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3DA9354" w14:textId="77777777" w:rsidR="004D6A64" w:rsidRDefault="00506CD6">
            <w:pPr>
              <w:jc w:val="center"/>
              <w:textAlignment w:val="center"/>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9355"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3DA9356" w14:textId="77777777" w:rsidR="004D6A64" w:rsidRDefault="00506CD6">
            <w:pPr>
              <w:jc w:val="center"/>
              <w:textAlignment w:val="center"/>
            </w:pPr>
            <w:r>
              <w:rPr>
                <w:rFonts w:ascii="Times New Roman" w:eastAsia="宋体" w:hAnsi="Times New Roman"/>
                <w:b/>
                <w:bCs/>
                <w:color w:val="000000"/>
                <w:sz w:val="20"/>
                <w:szCs w:val="20"/>
              </w:rPr>
              <w:t>August 2, 2019</w:t>
            </w:r>
          </w:p>
        </w:tc>
        <w:tc>
          <w:tcPr>
            <w:tcW w:w="0" w:type="auto"/>
            <w:gridSpan w:val="3"/>
            <w:shd w:val="clear" w:color="auto" w:fill="auto"/>
            <w:tcMar>
              <w:left w:w="20" w:type="dxa"/>
              <w:right w:w="20" w:type="dxa"/>
            </w:tcMar>
            <w:vAlign w:val="bottom"/>
          </w:tcPr>
          <w:p w14:paraId="33DA9357"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3DA9358" w14:textId="77777777" w:rsidR="004D6A64" w:rsidRDefault="00506CD6">
            <w:pPr>
              <w:jc w:val="center"/>
              <w:textAlignment w:val="center"/>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center"/>
          </w:tcPr>
          <w:p w14:paraId="33DA9359"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3DA935A" w14:textId="77777777" w:rsidR="004D6A64" w:rsidRDefault="00506CD6">
            <w:pPr>
              <w:jc w:val="center"/>
              <w:textAlignment w:val="center"/>
            </w:pPr>
            <w:r>
              <w:rPr>
                <w:rFonts w:ascii="Times New Roman" w:eastAsia="宋体" w:hAnsi="Times New Roman"/>
                <w:b/>
                <w:bCs/>
                <w:color w:val="000000"/>
                <w:sz w:val="20"/>
                <w:szCs w:val="20"/>
              </w:rPr>
              <w:t>August 2, 2019</w:t>
            </w:r>
          </w:p>
        </w:tc>
        <w:tc>
          <w:tcPr>
            <w:tcW w:w="0" w:type="auto"/>
            <w:shd w:val="clear" w:color="auto" w:fill="auto"/>
          </w:tcPr>
          <w:p w14:paraId="33DA935B" w14:textId="77777777" w:rsidR="004D6A64" w:rsidRDefault="004D6A64">
            <w:pPr>
              <w:rPr>
                <w:rFonts w:ascii="宋体"/>
              </w:rPr>
            </w:pPr>
          </w:p>
        </w:tc>
        <w:tc>
          <w:tcPr>
            <w:tcW w:w="0" w:type="auto"/>
            <w:shd w:val="clear" w:color="auto" w:fill="auto"/>
          </w:tcPr>
          <w:p w14:paraId="33DA935C" w14:textId="77777777" w:rsidR="004D6A64" w:rsidRDefault="004D6A64">
            <w:pPr>
              <w:rPr>
                <w:rFonts w:ascii="宋体"/>
              </w:rPr>
            </w:pPr>
          </w:p>
        </w:tc>
        <w:tc>
          <w:tcPr>
            <w:tcW w:w="0" w:type="auto"/>
            <w:shd w:val="clear" w:color="auto" w:fill="auto"/>
          </w:tcPr>
          <w:p w14:paraId="33DA935D" w14:textId="77777777" w:rsidR="004D6A64" w:rsidRDefault="004D6A64">
            <w:pPr>
              <w:rPr>
                <w:rFonts w:ascii="宋体"/>
              </w:rPr>
            </w:pPr>
          </w:p>
        </w:tc>
        <w:tc>
          <w:tcPr>
            <w:tcW w:w="0" w:type="auto"/>
            <w:shd w:val="clear" w:color="auto" w:fill="auto"/>
          </w:tcPr>
          <w:p w14:paraId="33DA935E" w14:textId="77777777" w:rsidR="004D6A64" w:rsidRDefault="004D6A64">
            <w:pPr>
              <w:rPr>
                <w:rFonts w:ascii="宋体"/>
              </w:rPr>
            </w:pPr>
          </w:p>
        </w:tc>
        <w:tc>
          <w:tcPr>
            <w:tcW w:w="0" w:type="auto"/>
            <w:shd w:val="clear" w:color="auto" w:fill="auto"/>
          </w:tcPr>
          <w:p w14:paraId="33DA935F" w14:textId="77777777" w:rsidR="004D6A64" w:rsidRDefault="004D6A64">
            <w:pPr>
              <w:rPr>
                <w:rFonts w:ascii="宋体"/>
              </w:rPr>
            </w:pPr>
          </w:p>
        </w:tc>
        <w:tc>
          <w:tcPr>
            <w:tcW w:w="0" w:type="auto"/>
            <w:shd w:val="clear" w:color="auto" w:fill="auto"/>
          </w:tcPr>
          <w:p w14:paraId="33DA9360" w14:textId="77777777" w:rsidR="004D6A64" w:rsidRDefault="004D6A64">
            <w:pPr>
              <w:rPr>
                <w:rFonts w:ascii="宋体"/>
              </w:rPr>
            </w:pPr>
          </w:p>
        </w:tc>
        <w:tc>
          <w:tcPr>
            <w:tcW w:w="0" w:type="auto"/>
            <w:shd w:val="clear" w:color="auto" w:fill="auto"/>
          </w:tcPr>
          <w:p w14:paraId="33DA9361" w14:textId="77777777" w:rsidR="004D6A64" w:rsidRDefault="004D6A64">
            <w:pPr>
              <w:rPr>
                <w:rFonts w:ascii="宋体"/>
              </w:rPr>
            </w:pPr>
          </w:p>
        </w:tc>
        <w:tc>
          <w:tcPr>
            <w:tcW w:w="0" w:type="auto"/>
            <w:shd w:val="clear" w:color="auto" w:fill="auto"/>
          </w:tcPr>
          <w:p w14:paraId="33DA9362" w14:textId="77777777" w:rsidR="004D6A64" w:rsidRDefault="004D6A64">
            <w:pPr>
              <w:rPr>
                <w:rFonts w:ascii="宋体"/>
              </w:rPr>
            </w:pPr>
          </w:p>
        </w:tc>
        <w:tc>
          <w:tcPr>
            <w:tcW w:w="0" w:type="auto"/>
            <w:shd w:val="clear" w:color="auto" w:fill="auto"/>
          </w:tcPr>
          <w:p w14:paraId="33DA9363" w14:textId="77777777" w:rsidR="004D6A64" w:rsidRDefault="004D6A64">
            <w:pPr>
              <w:rPr>
                <w:rFonts w:ascii="宋体"/>
              </w:rPr>
            </w:pPr>
          </w:p>
        </w:tc>
        <w:tc>
          <w:tcPr>
            <w:tcW w:w="0" w:type="auto"/>
            <w:shd w:val="clear" w:color="auto" w:fill="auto"/>
          </w:tcPr>
          <w:p w14:paraId="33DA9364" w14:textId="77777777" w:rsidR="004D6A64" w:rsidRDefault="004D6A64">
            <w:pPr>
              <w:rPr>
                <w:rFonts w:ascii="宋体"/>
              </w:rPr>
            </w:pPr>
          </w:p>
        </w:tc>
        <w:tc>
          <w:tcPr>
            <w:tcW w:w="0" w:type="auto"/>
            <w:shd w:val="clear" w:color="auto" w:fill="auto"/>
          </w:tcPr>
          <w:p w14:paraId="33DA9365" w14:textId="77777777" w:rsidR="004D6A64" w:rsidRDefault="004D6A64">
            <w:pPr>
              <w:rPr>
                <w:rFonts w:ascii="宋体"/>
              </w:rPr>
            </w:pPr>
          </w:p>
        </w:tc>
        <w:tc>
          <w:tcPr>
            <w:tcW w:w="0" w:type="auto"/>
            <w:shd w:val="clear" w:color="auto" w:fill="auto"/>
          </w:tcPr>
          <w:p w14:paraId="33DA9366" w14:textId="77777777" w:rsidR="004D6A64" w:rsidRDefault="004D6A64">
            <w:pPr>
              <w:rPr>
                <w:rFonts w:ascii="宋体"/>
              </w:rPr>
            </w:pPr>
          </w:p>
        </w:tc>
      </w:tr>
      <w:tr w:rsidR="004D6A64" w14:paraId="33DA9384" w14:textId="77777777">
        <w:tc>
          <w:tcPr>
            <w:tcW w:w="0" w:type="auto"/>
            <w:gridSpan w:val="3"/>
            <w:shd w:val="clear" w:color="auto" w:fill="CCEEFF"/>
            <w:tcMar>
              <w:top w:w="40" w:type="dxa"/>
              <w:left w:w="20" w:type="dxa"/>
              <w:bottom w:w="40" w:type="dxa"/>
              <w:right w:w="20" w:type="dxa"/>
            </w:tcMar>
            <w:vAlign w:val="bottom"/>
          </w:tcPr>
          <w:p w14:paraId="33DA9368" w14:textId="77777777" w:rsidR="004D6A64" w:rsidRDefault="00506CD6">
            <w:pPr>
              <w:textAlignment w:val="bottom"/>
            </w:pPr>
            <w:r>
              <w:rPr>
                <w:rFonts w:ascii="Times New Roman" w:eastAsia="宋体" w:hAnsi="Times New Roman"/>
                <w:color w:val="000000"/>
                <w:sz w:val="20"/>
                <w:szCs w:val="20"/>
              </w:rPr>
              <w:t>Net incom</w:t>
            </w:r>
            <w:r>
              <w:rPr>
                <w:rFonts w:ascii="Times New Roman" w:eastAsia="宋体" w:hAnsi="Times New Roman"/>
                <w:color w:val="000000"/>
                <w:sz w:val="20"/>
                <w:szCs w:val="20"/>
              </w:rPr>
              <w:t>e</w:t>
            </w:r>
          </w:p>
        </w:tc>
        <w:tc>
          <w:tcPr>
            <w:tcW w:w="0" w:type="auto"/>
            <w:tcBorders>
              <w:top w:val="single" w:sz="8" w:space="0" w:color="000000"/>
            </w:tcBorders>
            <w:shd w:val="clear" w:color="auto" w:fill="CCEEFF"/>
            <w:tcMar>
              <w:top w:w="40" w:type="dxa"/>
              <w:left w:w="20" w:type="dxa"/>
              <w:bottom w:w="40" w:type="dxa"/>
            </w:tcMar>
            <w:vAlign w:val="bottom"/>
          </w:tcPr>
          <w:p w14:paraId="33DA9369"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936A" w14:textId="77777777" w:rsidR="004D6A64" w:rsidRDefault="00506CD6">
            <w:pPr>
              <w:jc w:val="right"/>
              <w:textAlignment w:val="bottom"/>
            </w:pPr>
            <w:r>
              <w:rPr>
                <w:rFonts w:ascii="Times New Roman" w:eastAsia="宋体" w:hAnsi="Times New Roman"/>
                <w:color w:val="000000"/>
                <w:sz w:val="20"/>
                <w:szCs w:val="20"/>
              </w:rPr>
              <w:t>1,099 </w:t>
            </w:r>
          </w:p>
        </w:tc>
        <w:tc>
          <w:tcPr>
            <w:tcW w:w="0" w:type="auto"/>
            <w:tcBorders>
              <w:top w:val="single" w:sz="8" w:space="0" w:color="000000"/>
            </w:tcBorders>
            <w:shd w:val="clear" w:color="auto" w:fill="CCEEFF"/>
            <w:tcMar>
              <w:top w:w="40" w:type="dxa"/>
              <w:bottom w:w="40" w:type="dxa"/>
              <w:right w:w="20" w:type="dxa"/>
            </w:tcMar>
            <w:vAlign w:val="bottom"/>
          </w:tcPr>
          <w:p w14:paraId="33DA936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36C" w14:textId="77777777" w:rsidR="004D6A64" w:rsidRDefault="004D6A64">
            <w:pPr>
              <w:jc w:val="right"/>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936D"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936E" w14:textId="77777777" w:rsidR="004D6A64" w:rsidRDefault="00506CD6">
            <w:pPr>
              <w:jc w:val="right"/>
              <w:textAlignment w:val="bottom"/>
            </w:pPr>
            <w:r>
              <w:rPr>
                <w:rFonts w:ascii="Times New Roman" w:eastAsia="宋体" w:hAnsi="Times New Roman"/>
                <w:color w:val="000000"/>
                <w:sz w:val="20"/>
                <w:szCs w:val="20"/>
              </w:rPr>
              <w:t>4,232 </w:t>
            </w:r>
          </w:p>
        </w:tc>
        <w:tc>
          <w:tcPr>
            <w:tcW w:w="0" w:type="auto"/>
            <w:tcBorders>
              <w:top w:val="single" w:sz="8" w:space="0" w:color="000000"/>
            </w:tcBorders>
            <w:shd w:val="clear" w:color="auto" w:fill="CCEEFF"/>
            <w:tcMar>
              <w:top w:w="40" w:type="dxa"/>
              <w:bottom w:w="40" w:type="dxa"/>
              <w:right w:w="20" w:type="dxa"/>
            </w:tcMar>
            <w:vAlign w:val="bottom"/>
          </w:tcPr>
          <w:p w14:paraId="33DA936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370"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9371"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9372" w14:textId="77777777" w:rsidR="004D6A64" w:rsidRDefault="00506CD6">
            <w:pPr>
              <w:jc w:val="right"/>
              <w:textAlignment w:val="bottom"/>
            </w:pPr>
            <w:r>
              <w:rPr>
                <w:rFonts w:ascii="Times New Roman" w:eastAsia="宋体" w:hAnsi="Times New Roman"/>
                <w:color w:val="000000"/>
                <w:sz w:val="20"/>
                <w:szCs w:val="20"/>
              </w:rPr>
              <w:t>1,281 </w:t>
            </w:r>
          </w:p>
        </w:tc>
        <w:tc>
          <w:tcPr>
            <w:tcW w:w="0" w:type="auto"/>
            <w:tcBorders>
              <w:top w:val="single" w:sz="8" w:space="0" w:color="000000"/>
            </w:tcBorders>
            <w:shd w:val="clear" w:color="auto" w:fill="CCEEFF"/>
            <w:tcMar>
              <w:top w:w="40" w:type="dxa"/>
              <w:bottom w:w="40" w:type="dxa"/>
              <w:right w:w="20" w:type="dxa"/>
            </w:tcMar>
            <w:vAlign w:val="bottom"/>
          </w:tcPr>
          <w:p w14:paraId="33DA937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374" w14:textId="77777777" w:rsidR="004D6A64" w:rsidRDefault="004D6A64">
            <w:pPr>
              <w:jc w:val="right"/>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9375"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9376" w14:textId="77777777" w:rsidR="004D6A64" w:rsidRDefault="00506CD6">
            <w:pPr>
              <w:jc w:val="right"/>
              <w:textAlignment w:val="bottom"/>
            </w:pPr>
            <w:r>
              <w:rPr>
                <w:rFonts w:ascii="Times New Roman" w:eastAsia="宋体" w:hAnsi="Times New Roman"/>
                <w:color w:val="000000"/>
                <w:sz w:val="20"/>
                <w:szCs w:val="20"/>
              </w:rPr>
              <w:t>4,561 </w:t>
            </w:r>
          </w:p>
        </w:tc>
        <w:tc>
          <w:tcPr>
            <w:tcW w:w="0" w:type="auto"/>
            <w:tcBorders>
              <w:top w:val="single" w:sz="8" w:space="0" w:color="000000"/>
            </w:tcBorders>
            <w:shd w:val="clear" w:color="auto" w:fill="CCEEFF"/>
            <w:tcMar>
              <w:top w:w="40" w:type="dxa"/>
              <w:bottom w:w="40" w:type="dxa"/>
              <w:right w:w="20" w:type="dxa"/>
            </w:tcMar>
            <w:vAlign w:val="bottom"/>
          </w:tcPr>
          <w:p w14:paraId="33DA9377" w14:textId="77777777" w:rsidR="004D6A64" w:rsidRDefault="004D6A64">
            <w:pPr>
              <w:jc w:val="right"/>
              <w:rPr>
                <w:rFonts w:ascii="宋体"/>
              </w:rPr>
            </w:pPr>
          </w:p>
        </w:tc>
        <w:tc>
          <w:tcPr>
            <w:tcW w:w="0" w:type="auto"/>
            <w:shd w:val="clear" w:color="auto" w:fill="auto"/>
          </w:tcPr>
          <w:p w14:paraId="33DA9378" w14:textId="77777777" w:rsidR="004D6A64" w:rsidRDefault="004D6A64">
            <w:pPr>
              <w:rPr>
                <w:rFonts w:ascii="宋体"/>
              </w:rPr>
            </w:pPr>
          </w:p>
        </w:tc>
        <w:tc>
          <w:tcPr>
            <w:tcW w:w="0" w:type="auto"/>
            <w:shd w:val="clear" w:color="auto" w:fill="auto"/>
          </w:tcPr>
          <w:p w14:paraId="33DA9379" w14:textId="77777777" w:rsidR="004D6A64" w:rsidRDefault="004D6A64">
            <w:pPr>
              <w:rPr>
                <w:rFonts w:ascii="宋体"/>
              </w:rPr>
            </w:pPr>
          </w:p>
        </w:tc>
        <w:tc>
          <w:tcPr>
            <w:tcW w:w="0" w:type="auto"/>
            <w:shd w:val="clear" w:color="auto" w:fill="auto"/>
          </w:tcPr>
          <w:p w14:paraId="33DA937A" w14:textId="77777777" w:rsidR="004D6A64" w:rsidRDefault="004D6A64">
            <w:pPr>
              <w:rPr>
                <w:rFonts w:ascii="宋体"/>
              </w:rPr>
            </w:pPr>
          </w:p>
        </w:tc>
        <w:tc>
          <w:tcPr>
            <w:tcW w:w="0" w:type="auto"/>
            <w:shd w:val="clear" w:color="auto" w:fill="auto"/>
          </w:tcPr>
          <w:p w14:paraId="33DA937B" w14:textId="77777777" w:rsidR="004D6A64" w:rsidRDefault="004D6A64">
            <w:pPr>
              <w:rPr>
                <w:rFonts w:ascii="宋体"/>
              </w:rPr>
            </w:pPr>
          </w:p>
        </w:tc>
        <w:tc>
          <w:tcPr>
            <w:tcW w:w="0" w:type="auto"/>
            <w:shd w:val="clear" w:color="auto" w:fill="auto"/>
          </w:tcPr>
          <w:p w14:paraId="33DA937C" w14:textId="77777777" w:rsidR="004D6A64" w:rsidRDefault="004D6A64">
            <w:pPr>
              <w:rPr>
                <w:rFonts w:ascii="宋体"/>
              </w:rPr>
            </w:pPr>
          </w:p>
        </w:tc>
        <w:tc>
          <w:tcPr>
            <w:tcW w:w="0" w:type="auto"/>
            <w:shd w:val="clear" w:color="auto" w:fill="auto"/>
          </w:tcPr>
          <w:p w14:paraId="33DA937D" w14:textId="77777777" w:rsidR="004D6A64" w:rsidRDefault="004D6A64">
            <w:pPr>
              <w:rPr>
                <w:rFonts w:ascii="宋体"/>
              </w:rPr>
            </w:pPr>
          </w:p>
        </w:tc>
        <w:tc>
          <w:tcPr>
            <w:tcW w:w="0" w:type="auto"/>
            <w:shd w:val="clear" w:color="auto" w:fill="auto"/>
          </w:tcPr>
          <w:p w14:paraId="33DA937E" w14:textId="77777777" w:rsidR="004D6A64" w:rsidRDefault="004D6A64">
            <w:pPr>
              <w:rPr>
                <w:rFonts w:ascii="宋体"/>
              </w:rPr>
            </w:pPr>
          </w:p>
        </w:tc>
        <w:tc>
          <w:tcPr>
            <w:tcW w:w="0" w:type="auto"/>
            <w:shd w:val="clear" w:color="auto" w:fill="auto"/>
          </w:tcPr>
          <w:p w14:paraId="33DA937F" w14:textId="77777777" w:rsidR="004D6A64" w:rsidRDefault="004D6A64">
            <w:pPr>
              <w:rPr>
                <w:rFonts w:ascii="宋体"/>
              </w:rPr>
            </w:pPr>
          </w:p>
        </w:tc>
        <w:tc>
          <w:tcPr>
            <w:tcW w:w="0" w:type="auto"/>
            <w:shd w:val="clear" w:color="auto" w:fill="auto"/>
          </w:tcPr>
          <w:p w14:paraId="33DA9380" w14:textId="77777777" w:rsidR="004D6A64" w:rsidRDefault="004D6A64">
            <w:pPr>
              <w:rPr>
                <w:rFonts w:ascii="宋体"/>
              </w:rPr>
            </w:pPr>
          </w:p>
        </w:tc>
        <w:tc>
          <w:tcPr>
            <w:tcW w:w="0" w:type="auto"/>
            <w:shd w:val="clear" w:color="auto" w:fill="auto"/>
          </w:tcPr>
          <w:p w14:paraId="33DA9381" w14:textId="77777777" w:rsidR="004D6A64" w:rsidRDefault="004D6A64">
            <w:pPr>
              <w:rPr>
                <w:rFonts w:ascii="宋体"/>
              </w:rPr>
            </w:pPr>
          </w:p>
        </w:tc>
        <w:tc>
          <w:tcPr>
            <w:tcW w:w="0" w:type="auto"/>
            <w:shd w:val="clear" w:color="auto" w:fill="auto"/>
          </w:tcPr>
          <w:p w14:paraId="33DA9382" w14:textId="77777777" w:rsidR="004D6A64" w:rsidRDefault="004D6A64">
            <w:pPr>
              <w:rPr>
                <w:rFonts w:ascii="宋体"/>
              </w:rPr>
            </w:pPr>
          </w:p>
        </w:tc>
        <w:tc>
          <w:tcPr>
            <w:tcW w:w="0" w:type="auto"/>
            <w:shd w:val="clear" w:color="auto" w:fill="auto"/>
          </w:tcPr>
          <w:p w14:paraId="33DA9383" w14:textId="77777777" w:rsidR="004D6A64" w:rsidRDefault="004D6A64">
            <w:pPr>
              <w:rPr>
                <w:rFonts w:ascii="宋体"/>
              </w:rPr>
            </w:pPr>
          </w:p>
        </w:tc>
      </w:tr>
      <w:tr w:rsidR="004D6A64" w14:paraId="33DA9399" w14:textId="77777777">
        <w:trPr>
          <w:trHeight w:val="300"/>
        </w:trPr>
        <w:tc>
          <w:tcPr>
            <w:tcW w:w="0" w:type="auto"/>
            <w:gridSpan w:val="3"/>
            <w:shd w:val="clear" w:color="auto" w:fill="FFFFFF"/>
            <w:tcMar>
              <w:left w:w="20" w:type="dxa"/>
              <w:right w:w="20" w:type="dxa"/>
            </w:tcMar>
            <w:vAlign w:val="bottom"/>
          </w:tcPr>
          <w:p w14:paraId="33DA9385"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938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38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38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389"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938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38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38C" w14:textId="77777777" w:rsidR="004D6A64" w:rsidRDefault="004D6A64">
            <w:pPr>
              <w:jc w:val="right"/>
              <w:rPr>
                <w:rFonts w:ascii="宋体"/>
              </w:rPr>
            </w:pPr>
          </w:p>
        </w:tc>
        <w:tc>
          <w:tcPr>
            <w:tcW w:w="0" w:type="auto"/>
            <w:shd w:val="clear" w:color="auto" w:fill="auto"/>
          </w:tcPr>
          <w:p w14:paraId="33DA938D" w14:textId="77777777" w:rsidR="004D6A64" w:rsidRDefault="004D6A64">
            <w:pPr>
              <w:rPr>
                <w:rFonts w:ascii="宋体"/>
              </w:rPr>
            </w:pPr>
          </w:p>
        </w:tc>
        <w:tc>
          <w:tcPr>
            <w:tcW w:w="0" w:type="auto"/>
            <w:shd w:val="clear" w:color="auto" w:fill="auto"/>
          </w:tcPr>
          <w:p w14:paraId="33DA938E" w14:textId="77777777" w:rsidR="004D6A64" w:rsidRDefault="004D6A64">
            <w:pPr>
              <w:rPr>
                <w:rFonts w:ascii="宋体"/>
              </w:rPr>
            </w:pPr>
          </w:p>
        </w:tc>
        <w:tc>
          <w:tcPr>
            <w:tcW w:w="0" w:type="auto"/>
            <w:shd w:val="clear" w:color="auto" w:fill="auto"/>
          </w:tcPr>
          <w:p w14:paraId="33DA938F" w14:textId="77777777" w:rsidR="004D6A64" w:rsidRDefault="004D6A64">
            <w:pPr>
              <w:rPr>
                <w:rFonts w:ascii="宋体"/>
              </w:rPr>
            </w:pPr>
          </w:p>
        </w:tc>
        <w:tc>
          <w:tcPr>
            <w:tcW w:w="0" w:type="auto"/>
            <w:shd w:val="clear" w:color="auto" w:fill="auto"/>
          </w:tcPr>
          <w:p w14:paraId="33DA9390" w14:textId="77777777" w:rsidR="004D6A64" w:rsidRDefault="004D6A64">
            <w:pPr>
              <w:rPr>
                <w:rFonts w:ascii="宋体"/>
              </w:rPr>
            </w:pPr>
          </w:p>
        </w:tc>
        <w:tc>
          <w:tcPr>
            <w:tcW w:w="0" w:type="auto"/>
            <w:shd w:val="clear" w:color="auto" w:fill="auto"/>
          </w:tcPr>
          <w:p w14:paraId="33DA9391" w14:textId="77777777" w:rsidR="004D6A64" w:rsidRDefault="004D6A64">
            <w:pPr>
              <w:rPr>
                <w:rFonts w:ascii="宋体"/>
              </w:rPr>
            </w:pPr>
          </w:p>
        </w:tc>
        <w:tc>
          <w:tcPr>
            <w:tcW w:w="0" w:type="auto"/>
            <w:shd w:val="clear" w:color="auto" w:fill="auto"/>
          </w:tcPr>
          <w:p w14:paraId="33DA9392" w14:textId="77777777" w:rsidR="004D6A64" w:rsidRDefault="004D6A64">
            <w:pPr>
              <w:rPr>
                <w:rFonts w:ascii="宋体"/>
              </w:rPr>
            </w:pPr>
          </w:p>
        </w:tc>
        <w:tc>
          <w:tcPr>
            <w:tcW w:w="0" w:type="auto"/>
            <w:shd w:val="clear" w:color="auto" w:fill="auto"/>
          </w:tcPr>
          <w:p w14:paraId="33DA9393" w14:textId="77777777" w:rsidR="004D6A64" w:rsidRDefault="004D6A64">
            <w:pPr>
              <w:rPr>
                <w:rFonts w:ascii="宋体"/>
              </w:rPr>
            </w:pPr>
          </w:p>
        </w:tc>
        <w:tc>
          <w:tcPr>
            <w:tcW w:w="0" w:type="auto"/>
            <w:shd w:val="clear" w:color="auto" w:fill="auto"/>
          </w:tcPr>
          <w:p w14:paraId="33DA9394" w14:textId="77777777" w:rsidR="004D6A64" w:rsidRDefault="004D6A64">
            <w:pPr>
              <w:rPr>
                <w:rFonts w:ascii="宋体"/>
              </w:rPr>
            </w:pPr>
          </w:p>
        </w:tc>
        <w:tc>
          <w:tcPr>
            <w:tcW w:w="0" w:type="auto"/>
            <w:shd w:val="clear" w:color="auto" w:fill="auto"/>
          </w:tcPr>
          <w:p w14:paraId="33DA9395" w14:textId="77777777" w:rsidR="004D6A64" w:rsidRDefault="004D6A64">
            <w:pPr>
              <w:rPr>
                <w:rFonts w:ascii="宋体"/>
              </w:rPr>
            </w:pPr>
          </w:p>
        </w:tc>
        <w:tc>
          <w:tcPr>
            <w:tcW w:w="0" w:type="auto"/>
            <w:shd w:val="clear" w:color="auto" w:fill="auto"/>
          </w:tcPr>
          <w:p w14:paraId="33DA9396" w14:textId="77777777" w:rsidR="004D6A64" w:rsidRDefault="004D6A64">
            <w:pPr>
              <w:rPr>
                <w:rFonts w:ascii="宋体"/>
              </w:rPr>
            </w:pPr>
          </w:p>
        </w:tc>
        <w:tc>
          <w:tcPr>
            <w:tcW w:w="0" w:type="auto"/>
            <w:shd w:val="clear" w:color="auto" w:fill="auto"/>
          </w:tcPr>
          <w:p w14:paraId="33DA9397" w14:textId="77777777" w:rsidR="004D6A64" w:rsidRDefault="004D6A64">
            <w:pPr>
              <w:rPr>
                <w:rFonts w:ascii="宋体"/>
              </w:rPr>
            </w:pPr>
          </w:p>
        </w:tc>
        <w:tc>
          <w:tcPr>
            <w:tcW w:w="0" w:type="auto"/>
            <w:shd w:val="clear" w:color="auto" w:fill="auto"/>
          </w:tcPr>
          <w:p w14:paraId="33DA9398" w14:textId="77777777" w:rsidR="004D6A64" w:rsidRDefault="004D6A64">
            <w:pPr>
              <w:rPr>
                <w:rFonts w:ascii="宋体"/>
              </w:rPr>
            </w:pPr>
          </w:p>
        </w:tc>
      </w:tr>
      <w:tr w:rsidR="004D6A64" w14:paraId="33DA93AE" w14:textId="77777777">
        <w:tc>
          <w:tcPr>
            <w:tcW w:w="0" w:type="auto"/>
            <w:gridSpan w:val="3"/>
            <w:shd w:val="clear" w:color="auto" w:fill="CCEEFF"/>
            <w:tcMar>
              <w:top w:w="40" w:type="dxa"/>
              <w:left w:w="20" w:type="dxa"/>
              <w:bottom w:w="40" w:type="dxa"/>
              <w:right w:w="20" w:type="dxa"/>
            </w:tcMar>
            <w:vAlign w:val="bottom"/>
          </w:tcPr>
          <w:p w14:paraId="33DA939A" w14:textId="77777777" w:rsidR="004D6A64" w:rsidRDefault="00506CD6">
            <w:pPr>
              <w:textAlignment w:val="bottom"/>
            </w:pPr>
            <w:r>
              <w:rPr>
                <w:rFonts w:ascii="Times New Roman" w:eastAsia="宋体" w:hAnsi="Times New Roman"/>
                <w:i/>
                <w:iCs/>
                <w:color w:val="000000"/>
                <w:sz w:val="20"/>
                <w:szCs w:val="20"/>
              </w:rPr>
              <w:t>Other comprehensive income (loss), net of tax</w:t>
            </w:r>
          </w:p>
        </w:tc>
        <w:tc>
          <w:tcPr>
            <w:tcW w:w="0" w:type="auto"/>
            <w:gridSpan w:val="3"/>
            <w:shd w:val="clear" w:color="auto" w:fill="CCEEFF"/>
            <w:tcMar>
              <w:left w:w="20" w:type="dxa"/>
              <w:right w:w="20" w:type="dxa"/>
            </w:tcMar>
            <w:vAlign w:val="bottom"/>
          </w:tcPr>
          <w:p w14:paraId="33DA939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39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39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39E"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939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3A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3A1" w14:textId="77777777" w:rsidR="004D6A64" w:rsidRDefault="004D6A64">
            <w:pPr>
              <w:jc w:val="right"/>
              <w:rPr>
                <w:rFonts w:ascii="宋体"/>
              </w:rPr>
            </w:pPr>
          </w:p>
        </w:tc>
        <w:tc>
          <w:tcPr>
            <w:tcW w:w="0" w:type="auto"/>
            <w:shd w:val="clear" w:color="auto" w:fill="auto"/>
          </w:tcPr>
          <w:p w14:paraId="33DA93A2" w14:textId="77777777" w:rsidR="004D6A64" w:rsidRDefault="004D6A64">
            <w:pPr>
              <w:rPr>
                <w:rFonts w:ascii="宋体"/>
              </w:rPr>
            </w:pPr>
          </w:p>
        </w:tc>
        <w:tc>
          <w:tcPr>
            <w:tcW w:w="0" w:type="auto"/>
            <w:shd w:val="clear" w:color="auto" w:fill="auto"/>
          </w:tcPr>
          <w:p w14:paraId="33DA93A3" w14:textId="77777777" w:rsidR="004D6A64" w:rsidRDefault="004D6A64">
            <w:pPr>
              <w:rPr>
                <w:rFonts w:ascii="宋体"/>
              </w:rPr>
            </w:pPr>
          </w:p>
        </w:tc>
        <w:tc>
          <w:tcPr>
            <w:tcW w:w="0" w:type="auto"/>
            <w:shd w:val="clear" w:color="auto" w:fill="auto"/>
          </w:tcPr>
          <w:p w14:paraId="33DA93A4" w14:textId="77777777" w:rsidR="004D6A64" w:rsidRDefault="004D6A64">
            <w:pPr>
              <w:rPr>
                <w:rFonts w:ascii="宋体"/>
              </w:rPr>
            </w:pPr>
          </w:p>
        </w:tc>
        <w:tc>
          <w:tcPr>
            <w:tcW w:w="0" w:type="auto"/>
            <w:shd w:val="clear" w:color="auto" w:fill="auto"/>
          </w:tcPr>
          <w:p w14:paraId="33DA93A5" w14:textId="77777777" w:rsidR="004D6A64" w:rsidRDefault="004D6A64">
            <w:pPr>
              <w:rPr>
                <w:rFonts w:ascii="宋体"/>
              </w:rPr>
            </w:pPr>
          </w:p>
        </w:tc>
        <w:tc>
          <w:tcPr>
            <w:tcW w:w="0" w:type="auto"/>
            <w:shd w:val="clear" w:color="auto" w:fill="auto"/>
          </w:tcPr>
          <w:p w14:paraId="33DA93A6" w14:textId="77777777" w:rsidR="004D6A64" w:rsidRDefault="004D6A64">
            <w:pPr>
              <w:rPr>
                <w:rFonts w:ascii="宋体"/>
              </w:rPr>
            </w:pPr>
          </w:p>
        </w:tc>
        <w:tc>
          <w:tcPr>
            <w:tcW w:w="0" w:type="auto"/>
            <w:shd w:val="clear" w:color="auto" w:fill="auto"/>
          </w:tcPr>
          <w:p w14:paraId="33DA93A7" w14:textId="77777777" w:rsidR="004D6A64" w:rsidRDefault="004D6A64">
            <w:pPr>
              <w:rPr>
                <w:rFonts w:ascii="宋体"/>
              </w:rPr>
            </w:pPr>
          </w:p>
        </w:tc>
        <w:tc>
          <w:tcPr>
            <w:tcW w:w="0" w:type="auto"/>
            <w:shd w:val="clear" w:color="auto" w:fill="auto"/>
          </w:tcPr>
          <w:p w14:paraId="33DA93A8" w14:textId="77777777" w:rsidR="004D6A64" w:rsidRDefault="004D6A64">
            <w:pPr>
              <w:rPr>
                <w:rFonts w:ascii="宋体"/>
              </w:rPr>
            </w:pPr>
          </w:p>
        </w:tc>
        <w:tc>
          <w:tcPr>
            <w:tcW w:w="0" w:type="auto"/>
            <w:shd w:val="clear" w:color="auto" w:fill="auto"/>
          </w:tcPr>
          <w:p w14:paraId="33DA93A9" w14:textId="77777777" w:rsidR="004D6A64" w:rsidRDefault="004D6A64">
            <w:pPr>
              <w:rPr>
                <w:rFonts w:ascii="宋体"/>
              </w:rPr>
            </w:pPr>
          </w:p>
        </w:tc>
        <w:tc>
          <w:tcPr>
            <w:tcW w:w="0" w:type="auto"/>
            <w:shd w:val="clear" w:color="auto" w:fill="auto"/>
          </w:tcPr>
          <w:p w14:paraId="33DA93AA" w14:textId="77777777" w:rsidR="004D6A64" w:rsidRDefault="004D6A64">
            <w:pPr>
              <w:rPr>
                <w:rFonts w:ascii="宋体"/>
              </w:rPr>
            </w:pPr>
          </w:p>
        </w:tc>
        <w:tc>
          <w:tcPr>
            <w:tcW w:w="0" w:type="auto"/>
            <w:shd w:val="clear" w:color="auto" w:fill="auto"/>
          </w:tcPr>
          <w:p w14:paraId="33DA93AB" w14:textId="77777777" w:rsidR="004D6A64" w:rsidRDefault="004D6A64">
            <w:pPr>
              <w:rPr>
                <w:rFonts w:ascii="宋体"/>
              </w:rPr>
            </w:pPr>
          </w:p>
        </w:tc>
        <w:tc>
          <w:tcPr>
            <w:tcW w:w="0" w:type="auto"/>
            <w:shd w:val="clear" w:color="auto" w:fill="auto"/>
          </w:tcPr>
          <w:p w14:paraId="33DA93AC" w14:textId="77777777" w:rsidR="004D6A64" w:rsidRDefault="004D6A64">
            <w:pPr>
              <w:rPr>
                <w:rFonts w:ascii="宋体"/>
              </w:rPr>
            </w:pPr>
          </w:p>
        </w:tc>
        <w:tc>
          <w:tcPr>
            <w:tcW w:w="0" w:type="auto"/>
            <w:shd w:val="clear" w:color="auto" w:fill="auto"/>
          </w:tcPr>
          <w:p w14:paraId="33DA93AD" w14:textId="77777777" w:rsidR="004D6A64" w:rsidRDefault="004D6A64">
            <w:pPr>
              <w:rPr>
                <w:rFonts w:ascii="宋体"/>
              </w:rPr>
            </w:pPr>
          </w:p>
        </w:tc>
      </w:tr>
      <w:tr w:rsidR="004D6A64" w14:paraId="33DA93C7" w14:textId="77777777">
        <w:tc>
          <w:tcPr>
            <w:tcW w:w="0" w:type="auto"/>
            <w:gridSpan w:val="3"/>
            <w:shd w:val="clear" w:color="auto" w:fill="FFFFFF"/>
            <w:tcMar>
              <w:top w:w="40" w:type="dxa"/>
              <w:left w:w="225" w:type="dxa"/>
              <w:bottom w:w="40" w:type="dxa"/>
              <w:right w:w="20" w:type="dxa"/>
            </w:tcMar>
            <w:vAlign w:val="bottom"/>
          </w:tcPr>
          <w:p w14:paraId="33DA93AF" w14:textId="77777777" w:rsidR="004D6A64" w:rsidRDefault="00506CD6">
            <w:pPr>
              <w:textAlignment w:val="bottom"/>
            </w:pPr>
            <w:r>
              <w:rPr>
                <w:rFonts w:ascii="Times New Roman" w:eastAsia="宋体" w:hAnsi="Times New Roman"/>
                <w:color w:val="000000"/>
                <w:sz w:val="20"/>
                <w:szCs w:val="20"/>
              </w:rPr>
              <w:t xml:space="preserve">Foreign currency </w:t>
            </w:r>
            <w:r>
              <w:rPr>
                <w:rFonts w:ascii="Times New Roman" w:eastAsia="宋体" w:hAnsi="Times New Roman"/>
                <w:color w:val="000000"/>
                <w:sz w:val="20"/>
                <w:szCs w:val="20"/>
              </w:rPr>
              <w:t>translation adjustments</w:t>
            </w:r>
          </w:p>
        </w:tc>
        <w:tc>
          <w:tcPr>
            <w:tcW w:w="0" w:type="auto"/>
            <w:gridSpan w:val="2"/>
            <w:shd w:val="clear" w:color="auto" w:fill="FFFFFF"/>
            <w:tcMar>
              <w:top w:w="40" w:type="dxa"/>
              <w:left w:w="20" w:type="dxa"/>
              <w:bottom w:w="40" w:type="dxa"/>
              <w:right w:w="0" w:type="dxa"/>
            </w:tcMar>
            <w:vAlign w:val="bottom"/>
          </w:tcPr>
          <w:p w14:paraId="33DA93B0" w14:textId="77777777" w:rsidR="004D6A64" w:rsidRDefault="00506CD6">
            <w:pPr>
              <w:jc w:val="right"/>
              <w:textAlignment w:val="bottom"/>
            </w:pPr>
            <w:r>
              <w:rPr>
                <w:rFonts w:ascii="Times New Roman" w:eastAsia="宋体" w:hAnsi="Times New Roman"/>
                <w:color w:val="000000"/>
                <w:sz w:val="20"/>
                <w:szCs w:val="20"/>
              </w:rPr>
              <w:t>410 </w:t>
            </w:r>
          </w:p>
        </w:tc>
        <w:tc>
          <w:tcPr>
            <w:tcW w:w="0" w:type="auto"/>
            <w:shd w:val="clear" w:color="auto" w:fill="FFFFFF"/>
            <w:tcMar>
              <w:top w:w="40" w:type="dxa"/>
              <w:bottom w:w="40" w:type="dxa"/>
              <w:right w:w="20" w:type="dxa"/>
            </w:tcMar>
            <w:vAlign w:val="bottom"/>
          </w:tcPr>
          <w:p w14:paraId="33DA93B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3B2"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3B3" w14:textId="77777777" w:rsidR="004D6A64" w:rsidRDefault="00506CD6">
            <w:pPr>
              <w:jc w:val="right"/>
              <w:textAlignment w:val="bottom"/>
            </w:pPr>
            <w:r>
              <w:rPr>
                <w:rFonts w:ascii="Times New Roman" w:eastAsia="宋体" w:hAnsi="Times New Roman"/>
                <w:color w:val="000000"/>
                <w:sz w:val="20"/>
                <w:szCs w:val="20"/>
              </w:rPr>
              <w:t>(78)</w:t>
            </w:r>
          </w:p>
        </w:tc>
        <w:tc>
          <w:tcPr>
            <w:tcW w:w="0" w:type="auto"/>
            <w:shd w:val="clear" w:color="auto" w:fill="FFFFFF"/>
            <w:tcMar>
              <w:top w:w="40" w:type="dxa"/>
              <w:bottom w:w="40" w:type="dxa"/>
              <w:right w:w="20" w:type="dxa"/>
            </w:tcMar>
            <w:vAlign w:val="bottom"/>
          </w:tcPr>
          <w:p w14:paraId="33DA93B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3B5"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3B6" w14:textId="77777777" w:rsidR="004D6A64" w:rsidRDefault="00506CD6">
            <w:pPr>
              <w:jc w:val="right"/>
              <w:textAlignment w:val="bottom"/>
            </w:pPr>
            <w:r>
              <w:rPr>
                <w:rFonts w:ascii="Times New Roman" w:eastAsia="宋体" w:hAnsi="Times New Roman"/>
                <w:color w:val="000000"/>
                <w:sz w:val="20"/>
                <w:szCs w:val="20"/>
              </w:rPr>
              <w:t>264 </w:t>
            </w:r>
          </w:p>
        </w:tc>
        <w:tc>
          <w:tcPr>
            <w:tcW w:w="0" w:type="auto"/>
            <w:shd w:val="clear" w:color="auto" w:fill="FFFFFF"/>
            <w:tcMar>
              <w:top w:w="40" w:type="dxa"/>
              <w:bottom w:w="40" w:type="dxa"/>
              <w:right w:w="20" w:type="dxa"/>
            </w:tcMar>
            <w:vAlign w:val="bottom"/>
          </w:tcPr>
          <w:p w14:paraId="33DA93B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3B8"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3B9" w14:textId="77777777" w:rsidR="004D6A64" w:rsidRDefault="00506CD6">
            <w:pPr>
              <w:jc w:val="right"/>
              <w:textAlignment w:val="bottom"/>
            </w:pPr>
            <w:r>
              <w:rPr>
                <w:rFonts w:ascii="Times New Roman" w:eastAsia="宋体" w:hAnsi="Times New Roman"/>
                <w:color w:val="000000"/>
                <w:sz w:val="20"/>
                <w:szCs w:val="20"/>
              </w:rPr>
              <w:t>(236)</w:t>
            </w:r>
          </w:p>
        </w:tc>
        <w:tc>
          <w:tcPr>
            <w:tcW w:w="0" w:type="auto"/>
            <w:shd w:val="clear" w:color="auto" w:fill="FFFFFF"/>
            <w:tcMar>
              <w:top w:w="40" w:type="dxa"/>
              <w:bottom w:w="40" w:type="dxa"/>
              <w:right w:w="20" w:type="dxa"/>
            </w:tcMar>
            <w:vAlign w:val="bottom"/>
          </w:tcPr>
          <w:p w14:paraId="33DA93BA" w14:textId="77777777" w:rsidR="004D6A64" w:rsidRDefault="004D6A64">
            <w:pPr>
              <w:jc w:val="right"/>
              <w:rPr>
                <w:rFonts w:ascii="宋体"/>
              </w:rPr>
            </w:pPr>
          </w:p>
        </w:tc>
        <w:tc>
          <w:tcPr>
            <w:tcW w:w="0" w:type="auto"/>
            <w:shd w:val="clear" w:color="auto" w:fill="auto"/>
          </w:tcPr>
          <w:p w14:paraId="33DA93BB" w14:textId="77777777" w:rsidR="004D6A64" w:rsidRDefault="004D6A64">
            <w:pPr>
              <w:rPr>
                <w:rFonts w:ascii="宋体"/>
              </w:rPr>
            </w:pPr>
          </w:p>
        </w:tc>
        <w:tc>
          <w:tcPr>
            <w:tcW w:w="0" w:type="auto"/>
            <w:shd w:val="clear" w:color="auto" w:fill="auto"/>
          </w:tcPr>
          <w:p w14:paraId="33DA93BC" w14:textId="77777777" w:rsidR="004D6A64" w:rsidRDefault="004D6A64">
            <w:pPr>
              <w:rPr>
                <w:rFonts w:ascii="宋体"/>
              </w:rPr>
            </w:pPr>
          </w:p>
        </w:tc>
        <w:tc>
          <w:tcPr>
            <w:tcW w:w="0" w:type="auto"/>
            <w:shd w:val="clear" w:color="auto" w:fill="auto"/>
          </w:tcPr>
          <w:p w14:paraId="33DA93BD" w14:textId="77777777" w:rsidR="004D6A64" w:rsidRDefault="004D6A64">
            <w:pPr>
              <w:rPr>
                <w:rFonts w:ascii="宋体"/>
              </w:rPr>
            </w:pPr>
          </w:p>
        </w:tc>
        <w:tc>
          <w:tcPr>
            <w:tcW w:w="0" w:type="auto"/>
            <w:shd w:val="clear" w:color="auto" w:fill="auto"/>
          </w:tcPr>
          <w:p w14:paraId="33DA93BE" w14:textId="77777777" w:rsidR="004D6A64" w:rsidRDefault="004D6A64">
            <w:pPr>
              <w:rPr>
                <w:rFonts w:ascii="宋体"/>
              </w:rPr>
            </w:pPr>
          </w:p>
        </w:tc>
        <w:tc>
          <w:tcPr>
            <w:tcW w:w="0" w:type="auto"/>
            <w:shd w:val="clear" w:color="auto" w:fill="auto"/>
          </w:tcPr>
          <w:p w14:paraId="33DA93BF" w14:textId="77777777" w:rsidR="004D6A64" w:rsidRDefault="004D6A64">
            <w:pPr>
              <w:rPr>
                <w:rFonts w:ascii="宋体"/>
              </w:rPr>
            </w:pPr>
          </w:p>
        </w:tc>
        <w:tc>
          <w:tcPr>
            <w:tcW w:w="0" w:type="auto"/>
            <w:shd w:val="clear" w:color="auto" w:fill="auto"/>
          </w:tcPr>
          <w:p w14:paraId="33DA93C0" w14:textId="77777777" w:rsidR="004D6A64" w:rsidRDefault="004D6A64">
            <w:pPr>
              <w:rPr>
                <w:rFonts w:ascii="宋体"/>
              </w:rPr>
            </w:pPr>
          </w:p>
        </w:tc>
        <w:tc>
          <w:tcPr>
            <w:tcW w:w="0" w:type="auto"/>
            <w:shd w:val="clear" w:color="auto" w:fill="auto"/>
          </w:tcPr>
          <w:p w14:paraId="33DA93C1" w14:textId="77777777" w:rsidR="004D6A64" w:rsidRDefault="004D6A64">
            <w:pPr>
              <w:rPr>
                <w:rFonts w:ascii="宋体"/>
              </w:rPr>
            </w:pPr>
          </w:p>
        </w:tc>
        <w:tc>
          <w:tcPr>
            <w:tcW w:w="0" w:type="auto"/>
            <w:shd w:val="clear" w:color="auto" w:fill="auto"/>
          </w:tcPr>
          <w:p w14:paraId="33DA93C2" w14:textId="77777777" w:rsidR="004D6A64" w:rsidRDefault="004D6A64">
            <w:pPr>
              <w:rPr>
                <w:rFonts w:ascii="宋体"/>
              </w:rPr>
            </w:pPr>
          </w:p>
        </w:tc>
        <w:tc>
          <w:tcPr>
            <w:tcW w:w="0" w:type="auto"/>
            <w:shd w:val="clear" w:color="auto" w:fill="auto"/>
          </w:tcPr>
          <w:p w14:paraId="33DA93C3" w14:textId="77777777" w:rsidR="004D6A64" w:rsidRDefault="004D6A64">
            <w:pPr>
              <w:rPr>
                <w:rFonts w:ascii="宋体"/>
              </w:rPr>
            </w:pPr>
          </w:p>
        </w:tc>
        <w:tc>
          <w:tcPr>
            <w:tcW w:w="0" w:type="auto"/>
            <w:shd w:val="clear" w:color="auto" w:fill="auto"/>
          </w:tcPr>
          <w:p w14:paraId="33DA93C4" w14:textId="77777777" w:rsidR="004D6A64" w:rsidRDefault="004D6A64">
            <w:pPr>
              <w:rPr>
                <w:rFonts w:ascii="宋体"/>
              </w:rPr>
            </w:pPr>
          </w:p>
        </w:tc>
        <w:tc>
          <w:tcPr>
            <w:tcW w:w="0" w:type="auto"/>
            <w:shd w:val="clear" w:color="auto" w:fill="auto"/>
          </w:tcPr>
          <w:p w14:paraId="33DA93C5" w14:textId="77777777" w:rsidR="004D6A64" w:rsidRDefault="004D6A64">
            <w:pPr>
              <w:rPr>
                <w:rFonts w:ascii="宋体"/>
              </w:rPr>
            </w:pPr>
          </w:p>
        </w:tc>
        <w:tc>
          <w:tcPr>
            <w:tcW w:w="0" w:type="auto"/>
            <w:shd w:val="clear" w:color="auto" w:fill="auto"/>
          </w:tcPr>
          <w:p w14:paraId="33DA93C6" w14:textId="77777777" w:rsidR="004D6A64" w:rsidRDefault="004D6A64">
            <w:pPr>
              <w:rPr>
                <w:rFonts w:ascii="宋体"/>
              </w:rPr>
            </w:pPr>
          </w:p>
        </w:tc>
      </w:tr>
      <w:tr w:rsidR="004D6A64" w14:paraId="33DA93DC" w14:textId="77777777">
        <w:trPr>
          <w:hidden/>
        </w:trPr>
        <w:tc>
          <w:tcPr>
            <w:tcW w:w="0" w:type="auto"/>
            <w:gridSpan w:val="3"/>
            <w:shd w:val="clear" w:color="auto" w:fill="auto"/>
          </w:tcPr>
          <w:p w14:paraId="33DA93C8" w14:textId="77777777" w:rsidR="004D6A64" w:rsidRDefault="004D6A64">
            <w:pPr>
              <w:rPr>
                <w:rFonts w:ascii="宋体"/>
                <w:vanish/>
              </w:rPr>
            </w:pPr>
          </w:p>
        </w:tc>
        <w:tc>
          <w:tcPr>
            <w:tcW w:w="0" w:type="auto"/>
            <w:gridSpan w:val="3"/>
            <w:shd w:val="clear" w:color="auto" w:fill="auto"/>
          </w:tcPr>
          <w:p w14:paraId="33DA93C9" w14:textId="77777777" w:rsidR="004D6A64" w:rsidRDefault="004D6A64">
            <w:pPr>
              <w:rPr>
                <w:rFonts w:ascii="宋体"/>
                <w:vanish/>
              </w:rPr>
            </w:pPr>
          </w:p>
        </w:tc>
        <w:tc>
          <w:tcPr>
            <w:tcW w:w="0" w:type="auto"/>
            <w:gridSpan w:val="3"/>
            <w:shd w:val="clear" w:color="auto" w:fill="auto"/>
          </w:tcPr>
          <w:p w14:paraId="33DA93CA" w14:textId="77777777" w:rsidR="004D6A64" w:rsidRDefault="004D6A64">
            <w:pPr>
              <w:rPr>
                <w:rFonts w:ascii="宋体"/>
                <w:vanish/>
              </w:rPr>
            </w:pPr>
          </w:p>
        </w:tc>
        <w:tc>
          <w:tcPr>
            <w:tcW w:w="0" w:type="auto"/>
            <w:gridSpan w:val="3"/>
            <w:shd w:val="clear" w:color="auto" w:fill="auto"/>
          </w:tcPr>
          <w:p w14:paraId="33DA93CB" w14:textId="77777777" w:rsidR="004D6A64" w:rsidRDefault="004D6A64">
            <w:pPr>
              <w:rPr>
                <w:rFonts w:ascii="宋体"/>
                <w:vanish/>
              </w:rPr>
            </w:pPr>
          </w:p>
        </w:tc>
        <w:tc>
          <w:tcPr>
            <w:tcW w:w="0" w:type="auto"/>
            <w:gridSpan w:val="3"/>
            <w:shd w:val="clear" w:color="auto" w:fill="auto"/>
          </w:tcPr>
          <w:p w14:paraId="33DA93CC" w14:textId="77777777" w:rsidR="004D6A64" w:rsidRDefault="004D6A64">
            <w:pPr>
              <w:rPr>
                <w:rFonts w:ascii="宋体"/>
                <w:vanish/>
              </w:rPr>
            </w:pPr>
          </w:p>
        </w:tc>
        <w:tc>
          <w:tcPr>
            <w:tcW w:w="0" w:type="auto"/>
            <w:gridSpan w:val="3"/>
            <w:shd w:val="clear" w:color="auto" w:fill="auto"/>
          </w:tcPr>
          <w:p w14:paraId="33DA93CD" w14:textId="77777777" w:rsidR="004D6A64" w:rsidRDefault="004D6A64">
            <w:pPr>
              <w:rPr>
                <w:rFonts w:ascii="宋体"/>
                <w:vanish/>
              </w:rPr>
            </w:pPr>
          </w:p>
        </w:tc>
        <w:tc>
          <w:tcPr>
            <w:tcW w:w="0" w:type="auto"/>
            <w:gridSpan w:val="3"/>
            <w:shd w:val="clear" w:color="auto" w:fill="auto"/>
          </w:tcPr>
          <w:p w14:paraId="33DA93CE" w14:textId="77777777" w:rsidR="004D6A64" w:rsidRDefault="004D6A64">
            <w:pPr>
              <w:rPr>
                <w:rFonts w:ascii="宋体"/>
                <w:vanish/>
              </w:rPr>
            </w:pPr>
          </w:p>
        </w:tc>
        <w:tc>
          <w:tcPr>
            <w:tcW w:w="0" w:type="auto"/>
            <w:gridSpan w:val="3"/>
            <w:shd w:val="clear" w:color="auto" w:fill="auto"/>
          </w:tcPr>
          <w:p w14:paraId="33DA93CF" w14:textId="77777777" w:rsidR="004D6A64" w:rsidRDefault="004D6A64">
            <w:pPr>
              <w:rPr>
                <w:rFonts w:ascii="宋体"/>
                <w:vanish/>
              </w:rPr>
            </w:pPr>
          </w:p>
        </w:tc>
        <w:tc>
          <w:tcPr>
            <w:tcW w:w="0" w:type="auto"/>
            <w:shd w:val="clear" w:color="auto" w:fill="auto"/>
          </w:tcPr>
          <w:p w14:paraId="33DA93D0" w14:textId="77777777" w:rsidR="004D6A64" w:rsidRDefault="004D6A64">
            <w:pPr>
              <w:rPr>
                <w:rFonts w:ascii="宋体"/>
              </w:rPr>
            </w:pPr>
          </w:p>
        </w:tc>
        <w:tc>
          <w:tcPr>
            <w:tcW w:w="0" w:type="auto"/>
            <w:shd w:val="clear" w:color="auto" w:fill="auto"/>
          </w:tcPr>
          <w:p w14:paraId="33DA93D1" w14:textId="77777777" w:rsidR="004D6A64" w:rsidRDefault="004D6A64">
            <w:pPr>
              <w:rPr>
                <w:rFonts w:ascii="宋体"/>
              </w:rPr>
            </w:pPr>
          </w:p>
        </w:tc>
        <w:tc>
          <w:tcPr>
            <w:tcW w:w="0" w:type="auto"/>
            <w:shd w:val="clear" w:color="auto" w:fill="auto"/>
          </w:tcPr>
          <w:p w14:paraId="33DA93D2" w14:textId="77777777" w:rsidR="004D6A64" w:rsidRDefault="004D6A64">
            <w:pPr>
              <w:rPr>
                <w:rFonts w:ascii="宋体"/>
              </w:rPr>
            </w:pPr>
          </w:p>
        </w:tc>
        <w:tc>
          <w:tcPr>
            <w:tcW w:w="0" w:type="auto"/>
            <w:shd w:val="clear" w:color="auto" w:fill="auto"/>
          </w:tcPr>
          <w:p w14:paraId="33DA93D3" w14:textId="77777777" w:rsidR="004D6A64" w:rsidRDefault="004D6A64">
            <w:pPr>
              <w:rPr>
                <w:rFonts w:ascii="宋体"/>
              </w:rPr>
            </w:pPr>
          </w:p>
        </w:tc>
        <w:tc>
          <w:tcPr>
            <w:tcW w:w="0" w:type="auto"/>
            <w:shd w:val="clear" w:color="auto" w:fill="auto"/>
          </w:tcPr>
          <w:p w14:paraId="33DA93D4" w14:textId="77777777" w:rsidR="004D6A64" w:rsidRDefault="004D6A64">
            <w:pPr>
              <w:rPr>
                <w:rFonts w:ascii="宋体"/>
              </w:rPr>
            </w:pPr>
          </w:p>
        </w:tc>
        <w:tc>
          <w:tcPr>
            <w:tcW w:w="0" w:type="auto"/>
            <w:shd w:val="clear" w:color="auto" w:fill="auto"/>
          </w:tcPr>
          <w:p w14:paraId="33DA93D5" w14:textId="77777777" w:rsidR="004D6A64" w:rsidRDefault="004D6A64">
            <w:pPr>
              <w:rPr>
                <w:rFonts w:ascii="宋体"/>
              </w:rPr>
            </w:pPr>
          </w:p>
        </w:tc>
        <w:tc>
          <w:tcPr>
            <w:tcW w:w="0" w:type="auto"/>
            <w:shd w:val="clear" w:color="auto" w:fill="auto"/>
          </w:tcPr>
          <w:p w14:paraId="33DA93D6" w14:textId="77777777" w:rsidR="004D6A64" w:rsidRDefault="004D6A64">
            <w:pPr>
              <w:rPr>
                <w:rFonts w:ascii="宋体"/>
              </w:rPr>
            </w:pPr>
          </w:p>
        </w:tc>
        <w:tc>
          <w:tcPr>
            <w:tcW w:w="0" w:type="auto"/>
            <w:shd w:val="clear" w:color="auto" w:fill="auto"/>
          </w:tcPr>
          <w:p w14:paraId="33DA93D7" w14:textId="77777777" w:rsidR="004D6A64" w:rsidRDefault="004D6A64">
            <w:pPr>
              <w:rPr>
                <w:rFonts w:ascii="宋体"/>
              </w:rPr>
            </w:pPr>
          </w:p>
        </w:tc>
        <w:tc>
          <w:tcPr>
            <w:tcW w:w="0" w:type="auto"/>
            <w:shd w:val="clear" w:color="auto" w:fill="auto"/>
          </w:tcPr>
          <w:p w14:paraId="33DA93D8" w14:textId="77777777" w:rsidR="004D6A64" w:rsidRDefault="004D6A64">
            <w:pPr>
              <w:rPr>
                <w:rFonts w:ascii="宋体"/>
              </w:rPr>
            </w:pPr>
          </w:p>
        </w:tc>
        <w:tc>
          <w:tcPr>
            <w:tcW w:w="0" w:type="auto"/>
            <w:shd w:val="clear" w:color="auto" w:fill="auto"/>
          </w:tcPr>
          <w:p w14:paraId="33DA93D9" w14:textId="77777777" w:rsidR="004D6A64" w:rsidRDefault="004D6A64">
            <w:pPr>
              <w:rPr>
                <w:rFonts w:ascii="宋体"/>
              </w:rPr>
            </w:pPr>
          </w:p>
        </w:tc>
        <w:tc>
          <w:tcPr>
            <w:tcW w:w="0" w:type="auto"/>
            <w:shd w:val="clear" w:color="auto" w:fill="auto"/>
          </w:tcPr>
          <w:p w14:paraId="33DA93DA" w14:textId="77777777" w:rsidR="004D6A64" w:rsidRDefault="004D6A64">
            <w:pPr>
              <w:rPr>
                <w:rFonts w:ascii="宋体"/>
              </w:rPr>
            </w:pPr>
          </w:p>
        </w:tc>
        <w:tc>
          <w:tcPr>
            <w:tcW w:w="0" w:type="auto"/>
            <w:shd w:val="clear" w:color="auto" w:fill="auto"/>
          </w:tcPr>
          <w:p w14:paraId="33DA93DB" w14:textId="77777777" w:rsidR="004D6A64" w:rsidRDefault="004D6A64">
            <w:pPr>
              <w:rPr>
                <w:rFonts w:ascii="宋体"/>
              </w:rPr>
            </w:pPr>
          </w:p>
        </w:tc>
      </w:tr>
      <w:tr w:rsidR="004D6A64" w14:paraId="33DA93F1" w14:textId="77777777">
        <w:trPr>
          <w:hidden/>
        </w:trPr>
        <w:tc>
          <w:tcPr>
            <w:tcW w:w="0" w:type="auto"/>
            <w:gridSpan w:val="3"/>
            <w:shd w:val="clear" w:color="auto" w:fill="auto"/>
          </w:tcPr>
          <w:p w14:paraId="33DA93DD" w14:textId="77777777" w:rsidR="004D6A64" w:rsidRDefault="004D6A64">
            <w:pPr>
              <w:rPr>
                <w:rFonts w:ascii="宋体"/>
                <w:vanish/>
              </w:rPr>
            </w:pPr>
          </w:p>
        </w:tc>
        <w:tc>
          <w:tcPr>
            <w:tcW w:w="0" w:type="auto"/>
            <w:gridSpan w:val="3"/>
            <w:shd w:val="clear" w:color="auto" w:fill="auto"/>
          </w:tcPr>
          <w:p w14:paraId="33DA93DE" w14:textId="77777777" w:rsidR="004D6A64" w:rsidRDefault="004D6A64">
            <w:pPr>
              <w:rPr>
                <w:rFonts w:ascii="宋体"/>
                <w:vanish/>
              </w:rPr>
            </w:pPr>
          </w:p>
        </w:tc>
        <w:tc>
          <w:tcPr>
            <w:tcW w:w="0" w:type="auto"/>
            <w:gridSpan w:val="3"/>
            <w:shd w:val="clear" w:color="auto" w:fill="auto"/>
          </w:tcPr>
          <w:p w14:paraId="33DA93DF" w14:textId="77777777" w:rsidR="004D6A64" w:rsidRDefault="004D6A64">
            <w:pPr>
              <w:rPr>
                <w:rFonts w:ascii="宋体"/>
                <w:vanish/>
              </w:rPr>
            </w:pPr>
          </w:p>
        </w:tc>
        <w:tc>
          <w:tcPr>
            <w:tcW w:w="0" w:type="auto"/>
            <w:gridSpan w:val="3"/>
            <w:shd w:val="clear" w:color="auto" w:fill="auto"/>
          </w:tcPr>
          <w:p w14:paraId="33DA93E0" w14:textId="77777777" w:rsidR="004D6A64" w:rsidRDefault="004D6A64">
            <w:pPr>
              <w:rPr>
                <w:rFonts w:ascii="宋体"/>
                <w:vanish/>
              </w:rPr>
            </w:pPr>
          </w:p>
        </w:tc>
        <w:tc>
          <w:tcPr>
            <w:tcW w:w="0" w:type="auto"/>
            <w:gridSpan w:val="3"/>
            <w:shd w:val="clear" w:color="auto" w:fill="auto"/>
          </w:tcPr>
          <w:p w14:paraId="33DA93E1" w14:textId="77777777" w:rsidR="004D6A64" w:rsidRDefault="004D6A64">
            <w:pPr>
              <w:rPr>
                <w:rFonts w:ascii="宋体"/>
                <w:vanish/>
              </w:rPr>
            </w:pPr>
          </w:p>
        </w:tc>
        <w:tc>
          <w:tcPr>
            <w:tcW w:w="0" w:type="auto"/>
            <w:gridSpan w:val="3"/>
            <w:shd w:val="clear" w:color="auto" w:fill="auto"/>
          </w:tcPr>
          <w:p w14:paraId="33DA93E2" w14:textId="77777777" w:rsidR="004D6A64" w:rsidRDefault="004D6A64">
            <w:pPr>
              <w:rPr>
                <w:rFonts w:ascii="宋体"/>
                <w:vanish/>
              </w:rPr>
            </w:pPr>
          </w:p>
        </w:tc>
        <w:tc>
          <w:tcPr>
            <w:tcW w:w="0" w:type="auto"/>
            <w:gridSpan w:val="3"/>
            <w:shd w:val="clear" w:color="auto" w:fill="auto"/>
          </w:tcPr>
          <w:p w14:paraId="33DA93E3" w14:textId="77777777" w:rsidR="004D6A64" w:rsidRDefault="004D6A64">
            <w:pPr>
              <w:rPr>
                <w:rFonts w:ascii="宋体"/>
                <w:vanish/>
              </w:rPr>
            </w:pPr>
          </w:p>
        </w:tc>
        <w:tc>
          <w:tcPr>
            <w:tcW w:w="0" w:type="auto"/>
            <w:gridSpan w:val="3"/>
            <w:shd w:val="clear" w:color="auto" w:fill="auto"/>
          </w:tcPr>
          <w:p w14:paraId="33DA93E4" w14:textId="77777777" w:rsidR="004D6A64" w:rsidRDefault="004D6A64">
            <w:pPr>
              <w:rPr>
                <w:rFonts w:ascii="宋体"/>
                <w:vanish/>
              </w:rPr>
            </w:pPr>
          </w:p>
        </w:tc>
        <w:tc>
          <w:tcPr>
            <w:tcW w:w="0" w:type="auto"/>
            <w:shd w:val="clear" w:color="auto" w:fill="auto"/>
          </w:tcPr>
          <w:p w14:paraId="33DA93E5" w14:textId="77777777" w:rsidR="004D6A64" w:rsidRDefault="004D6A64">
            <w:pPr>
              <w:rPr>
                <w:rFonts w:ascii="宋体"/>
              </w:rPr>
            </w:pPr>
          </w:p>
        </w:tc>
        <w:tc>
          <w:tcPr>
            <w:tcW w:w="0" w:type="auto"/>
            <w:shd w:val="clear" w:color="auto" w:fill="auto"/>
          </w:tcPr>
          <w:p w14:paraId="33DA93E6" w14:textId="77777777" w:rsidR="004D6A64" w:rsidRDefault="004D6A64">
            <w:pPr>
              <w:rPr>
                <w:rFonts w:ascii="宋体"/>
              </w:rPr>
            </w:pPr>
          </w:p>
        </w:tc>
        <w:tc>
          <w:tcPr>
            <w:tcW w:w="0" w:type="auto"/>
            <w:shd w:val="clear" w:color="auto" w:fill="auto"/>
          </w:tcPr>
          <w:p w14:paraId="33DA93E7" w14:textId="77777777" w:rsidR="004D6A64" w:rsidRDefault="004D6A64">
            <w:pPr>
              <w:rPr>
                <w:rFonts w:ascii="宋体"/>
              </w:rPr>
            </w:pPr>
          </w:p>
        </w:tc>
        <w:tc>
          <w:tcPr>
            <w:tcW w:w="0" w:type="auto"/>
            <w:shd w:val="clear" w:color="auto" w:fill="auto"/>
          </w:tcPr>
          <w:p w14:paraId="33DA93E8" w14:textId="77777777" w:rsidR="004D6A64" w:rsidRDefault="004D6A64">
            <w:pPr>
              <w:rPr>
                <w:rFonts w:ascii="宋体"/>
              </w:rPr>
            </w:pPr>
          </w:p>
        </w:tc>
        <w:tc>
          <w:tcPr>
            <w:tcW w:w="0" w:type="auto"/>
            <w:shd w:val="clear" w:color="auto" w:fill="auto"/>
          </w:tcPr>
          <w:p w14:paraId="33DA93E9" w14:textId="77777777" w:rsidR="004D6A64" w:rsidRDefault="004D6A64">
            <w:pPr>
              <w:rPr>
                <w:rFonts w:ascii="宋体"/>
              </w:rPr>
            </w:pPr>
          </w:p>
        </w:tc>
        <w:tc>
          <w:tcPr>
            <w:tcW w:w="0" w:type="auto"/>
            <w:shd w:val="clear" w:color="auto" w:fill="auto"/>
          </w:tcPr>
          <w:p w14:paraId="33DA93EA" w14:textId="77777777" w:rsidR="004D6A64" w:rsidRDefault="004D6A64">
            <w:pPr>
              <w:rPr>
                <w:rFonts w:ascii="宋体"/>
              </w:rPr>
            </w:pPr>
          </w:p>
        </w:tc>
        <w:tc>
          <w:tcPr>
            <w:tcW w:w="0" w:type="auto"/>
            <w:shd w:val="clear" w:color="auto" w:fill="auto"/>
          </w:tcPr>
          <w:p w14:paraId="33DA93EB" w14:textId="77777777" w:rsidR="004D6A64" w:rsidRDefault="004D6A64">
            <w:pPr>
              <w:rPr>
                <w:rFonts w:ascii="宋体"/>
              </w:rPr>
            </w:pPr>
          </w:p>
        </w:tc>
        <w:tc>
          <w:tcPr>
            <w:tcW w:w="0" w:type="auto"/>
            <w:shd w:val="clear" w:color="auto" w:fill="auto"/>
          </w:tcPr>
          <w:p w14:paraId="33DA93EC" w14:textId="77777777" w:rsidR="004D6A64" w:rsidRDefault="004D6A64">
            <w:pPr>
              <w:rPr>
                <w:rFonts w:ascii="宋体"/>
              </w:rPr>
            </w:pPr>
          </w:p>
        </w:tc>
        <w:tc>
          <w:tcPr>
            <w:tcW w:w="0" w:type="auto"/>
            <w:shd w:val="clear" w:color="auto" w:fill="auto"/>
          </w:tcPr>
          <w:p w14:paraId="33DA93ED" w14:textId="77777777" w:rsidR="004D6A64" w:rsidRDefault="004D6A64">
            <w:pPr>
              <w:rPr>
                <w:rFonts w:ascii="宋体"/>
              </w:rPr>
            </w:pPr>
          </w:p>
        </w:tc>
        <w:tc>
          <w:tcPr>
            <w:tcW w:w="0" w:type="auto"/>
            <w:shd w:val="clear" w:color="auto" w:fill="auto"/>
          </w:tcPr>
          <w:p w14:paraId="33DA93EE" w14:textId="77777777" w:rsidR="004D6A64" w:rsidRDefault="004D6A64">
            <w:pPr>
              <w:rPr>
                <w:rFonts w:ascii="宋体"/>
              </w:rPr>
            </w:pPr>
          </w:p>
        </w:tc>
        <w:tc>
          <w:tcPr>
            <w:tcW w:w="0" w:type="auto"/>
            <w:shd w:val="clear" w:color="auto" w:fill="auto"/>
          </w:tcPr>
          <w:p w14:paraId="33DA93EF" w14:textId="77777777" w:rsidR="004D6A64" w:rsidRDefault="004D6A64">
            <w:pPr>
              <w:rPr>
                <w:rFonts w:ascii="宋体"/>
              </w:rPr>
            </w:pPr>
          </w:p>
        </w:tc>
        <w:tc>
          <w:tcPr>
            <w:tcW w:w="0" w:type="auto"/>
            <w:shd w:val="clear" w:color="auto" w:fill="auto"/>
          </w:tcPr>
          <w:p w14:paraId="33DA93F0" w14:textId="77777777" w:rsidR="004D6A64" w:rsidRDefault="004D6A64">
            <w:pPr>
              <w:rPr>
                <w:rFonts w:ascii="宋体"/>
              </w:rPr>
            </w:pPr>
          </w:p>
        </w:tc>
      </w:tr>
      <w:tr w:rsidR="004D6A64" w14:paraId="33DA9406" w14:textId="77777777">
        <w:trPr>
          <w:hidden/>
        </w:trPr>
        <w:tc>
          <w:tcPr>
            <w:tcW w:w="0" w:type="auto"/>
            <w:gridSpan w:val="3"/>
            <w:shd w:val="clear" w:color="auto" w:fill="auto"/>
          </w:tcPr>
          <w:p w14:paraId="33DA93F2" w14:textId="77777777" w:rsidR="004D6A64" w:rsidRDefault="004D6A64">
            <w:pPr>
              <w:rPr>
                <w:rFonts w:ascii="宋体"/>
                <w:vanish/>
              </w:rPr>
            </w:pPr>
          </w:p>
        </w:tc>
        <w:tc>
          <w:tcPr>
            <w:tcW w:w="0" w:type="auto"/>
            <w:gridSpan w:val="3"/>
            <w:shd w:val="clear" w:color="auto" w:fill="auto"/>
          </w:tcPr>
          <w:p w14:paraId="33DA93F3" w14:textId="77777777" w:rsidR="004D6A64" w:rsidRDefault="004D6A64">
            <w:pPr>
              <w:rPr>
                <w:rFonts w:ascii="宋体"/>
                <w:vanish/>
              </w:rPr>
            </w:pPr>
          </w:p>
        </w:tc>
        <w:tc>
          <w:tcPr>
            <w:tcW w:w="0" w:type="auto"/>
            <w:gridSpan w:val="3"/>
            <w:shd w:val="clear" w:color="auto" w:fill="auto"/>
          </w:tcPr>
          <w:p w14:paraId="33DA93F4" w14:textId="77777777" w:rsidR="004D6A64" w:rsidRDefault="004D6A64">
            <w:pPr>
              <w:rPr>
                <w:rFonts w:ascii="宋体"/>
                <w:vanish/>
              </w:rPr>
            </w:pPr>
          </w:p>
        </w:tc>
        <w:tc>
          <w:tcPr>
            <w:tcW w:w="0" w:type="auto"/>
            <w:gridSpan w:val="3"/>
            <w:shd w:val="clear" w:color="auto" w:fill="auto"/>
          </w:tcPr>
          <w:p w14:paraId="33DA93F5" w14:textId="77777777" w:rsidR="004D6A64" w:rsidRDefault="004D6A64">
            <w:pPr>
              <w:rPr>
                <w:rFonts w:ascii="宋体"/>
                <w:vanish/>
              </w:rPr>
            </w:pPr>
          </w:p>
        </w:tc>
        <w:tc>
          <w:tcPr>
            <w:tcW w:w="0" w:type="auto"/>
            <w:gridSpan w:val="3"/>
            <w:shd w:val="clear" w:color="auto" w:fill="auto"/>
          </w:tcPr>
          <w:p w14:paraId="33DA93F6" w14:textId="77777777" w:rsidR="004D6A64" w:rsidRDefault="004D6A64">
            <w:pPr>
              <w:rPr>
                <w:rFonts w:ascii="宋体"/>
                <w:vanish/>
              </w:rPr>
            </w:pPr>
          </w:p>
        </w:tc>
        <w:tc>
          <w:tcPr>
            <w:tcW w:w="0" w:type="auto"/>
            <w:gridSpan w:val="3"/>
            <w:shd w:val="clear" w:color="auto" w:fill="auto"/>
          </w:tcPr>
          <w:p w14:paraId="33DA93F7" w14:textId="77777777" w:rsidR="004D6A64" w:rsidRDefault="004D6A64">
            <w:pPr>
              <w:rPr>
                <w:rFonts w:ascii="宋体"/>
                <w:vanish/>
              </w:rPr>
            </w:pPr>
          </w:p>
        </w:tc>
        <w:tc>
          <w:tcPr>
            <w:tcW w:w="0" w:type="auto"/>
            <w:gridSpan w:val="3"/>
            <w:shd w:val="clear" w:color="auto" w:fill="auto"/>
          </w:tcPr>
          <w:p w14:paraId="33DA93F8" w14:textId="77777777" w:rsidR="004D6A64" w:rsidRDefault="004D6A64">
            <w:pPr>
              <w:rPr>
                <w:rFonts w:ascii="宋体"/>
                <w:vanish/>
              </w:rPr>
            </w:pPr>
          </w:p>
        </w:tc>
        <w:tc>
          <w:tcPr>
            <w:tcW w:w="0" w:type="auto"/>
            <w:gridSpan w:val="3"/>
            <w:shd w:val="clear" w:color="auto" w:fill="auto"/>
          </w:tcPr>
          <w:p w14:paraId="33DA93F9" w14:textId="77777777" w:rsidR="004D6A64" w:rsidRDefault="004D6A64">
            <w:pPr>
              <w:rPr>
                <w:rFonts w:ascii="宋体"/>
                <w:vanish/>
              </w:rPr>
            </w:pPr>
          </w:p>
        </w:tc>
        <w:tc>
          <w:tcPr>
            <w:tcW w:w="0" w:type="auto"/>
            <w:shd w:val="clear" w:color="auto" w:fill="auto"/>
          </w:tcPr>
          <w:p w14:paraId="33DA93FA" w14:textId="77777777" w:rsidR="004D6A64" w:rsidRDefault="004D6A64">
            <w:pPr>
              <w:rPr>
                <w:rFonts w:ascii="宋体"/>
              </w:rPr>
            </w:pPr>
          </w:p>
        </w:tc>
        <w:tc>
          <w:tcPr>
            <w:tcW w:w="0" w:type="auto"/>
            <w:shd w:val="clear" w:color="auto" w:fill="auto"/>
          </w:tcPr>
          <w:p w14:paraId="33DA93FB" w14:textId="77777777" w:rsidR="004D6A64" w:rsidRDefault="004D6A64">
            <w:pPr>
              <w:rPr>
                <w:rFonts w:ascii="宋体"/>
              </w:rPr>
            </w:pPr>
          </w:p>
        </w:tc>
        <w:tc>
          <w:tcPr>
            <w:tcW w:w="0" w:type="auto"/>
            <w:shd w:val="clear" w:color="auto" w:fill="auto"/>
          </w:tcPr>
          <w:p w14:paraId="33DA93FC" w14:textId="77777777" w:rsidR="004D6A64" w:rsidRDefault="004D6A64">
            <w:pPr>
              <w:rPr>
                <w:rFonts w:ascii="宋体"/>
              </w:rPr>
            </w:pPr>
          </w:p>
        </w:tc>
        <w:tc>
          <w:tcPr>
            <w:tcW w:w="0" w:type="auto"/>
            <w:shd w:val="clear" w:color="auto" w:fill="auto"/>
          </w:tcPr>
          <w:p w14:paraId="33DA93FD" w14:textId="77777777" w:rsidR="004D6A64" w:rsidRDefault="004D6A64">
            <w:pPr>
              <w:rPr>
                <w:rFonts w:ascii="宋体"/>
              </w:rPr>
            </w:pPr>
          </w:p>
        </w:tc>
        <w:tc>
          <w:tcPr>
            <w:tcW w:w="0" w:type="auto"/>
            <w:shd w:val="clear" w:color="auto" w:fill="auto"/>
          </w:tcPr>
          <w:p w14:paraId="33DA93FE" w14:textId="77777777" w:rsidR="004D6A64" w:rsidRDefault="004D6A64">
            <w:pPr>
              <w:rPr>
                <w:rFonts w:ascii="宋体"/>
              </w:rPr>
            </w:pPr>
          </w:p>
        </w:tc>
        <w:tc>
          <w:tcPr>
            <w:tcW w:w="0" w:type="auto"/>
            <w:shd w:val="clear" w:color="auto" w:fill="auto"/>
          </w:tcPr>
          <w:p w14:paraId="33DA93FF" w14:textId="77777777" w:rsidR="004D6A64" w:rsidRDefault="004D6A64">
            <w:pPr>
              <w:rPr>
                <w:rFonts w:ascii="宋体"/>
              </w:rPr>
            </w:pPr>
          </w:p>
        </w:tc>
        <w:tc>
          <w:tcPr>
            <w:tcW w:w="0" w:type="auto"/>
            <w:shd w:val="clear" w:color="auto" w:fill="auto"/>
          </w:tcPr>
          <w:p w14:paraId="33DA9400" w14:textId="77777777" w:rsidR="004D6A64" w:rsidRDefault="004D6A64">
            <w:pPr>
              <w:rPr>
                <w:rFonts w:ascii="宋体"/>
              </w:rPr>
            </w:pPr>
          </w:p>
        </w:tc>
        <w:tc>
          <w:tcPr>
            <w:tcW w:w="0" w:type="auto"/>
            <w:shd w:val="clear" w:color="auto" w:fill="auto"/>
          </w:tcPr>
          <w:p w14:paraId="33DA9401" w14:textId="77777777" w:rsidR="004D6A64" w:rsidRDefault="004D6A64">
            <w:pPr>
              <w:rPr>
                <w:rFonts w:ascii="宋体"/>
              </w:rPr>
            </w:pPr>
          </w:p>
        </w:tc>
        <w:tc>
          <w:tcPr>
            <w:tcW w:w="0" w:type="auto"/>
            <w:shd w:val="clear" w:color="auto" w:fill="auto"/>
          </w:tcPr>
          <w:p w14:paraId="33DA9402" w14:textId="77777777" w:rsidR="004D6A64" w:rsidRDefault="004D6A64">
            <w:pPr>
              <w:rPr>
                <w:rFonts w:ascii="宋体"/>
              </w:rPr>
            </w:pPr>
          </w:p>
        </w:tc>
        <w:tc>
          <w:tcPr>
            <w:tcW w:w="0" w:type="auto"/>
            <w:shd w:val="clear" w:color="auto" w:fill="auto"/>
          </w:tcPr>
          <w:p w14:paraId="33DA9403" w14:textId="77777777" w:rsidR="004D6A64" w:rsidRDefault="004D6A64">
            <w:pPr>
              <w:rPr>
                <w:rFonts w:ascii="宋体"/>
              </w:rPr>
            </w:pPr>
          </w:p>
        </w:tc>
        <w:tc>
          <w:tcPr>
            <w:tcW w:w="0" w:type="auto"/>
            <w:shd w:val="clear" w:color="auto" w:fill="auto"/>
          </w:tcPr>
          <w:p w14:paraId="33DA9404" w14:textId="77777777" w:rsidR="004D6A64" w:rsidRDefault="004D6A64">
            <w:pPr>
              <w:rPr>
                <w:rFonts w:ascii="宋体"/>
              </w:rPr>
            </w:pPr>
          </w:p>
        </w:tc>
        <w:tc>
          <w:tcPr>
            <w:tcW w:w="0" w:type="auto"/>
            <w:shd w:val="clear" w:color="auto" w:fill="auto"/>
          </w:tcPr>
          <w:p w14:paraId="33DA9405" w14:textId="77777777" w:rsidR="004D6A64" w:rsidRDefault="004D6A64">
            <w:pPr>
              <w:rPr>
                <w:rFonts w:ascii="宋体"/>
              </w:rPr>
            </w:pPr>
          </w:p>
        </w:tc>
      </w:tr>
      <w:tr w:rsidR="004D6A64" w14:paraId="33DA941B" w14:textId="77777777">
        <w:trPr>
          <w:hidden/>
        </w:trPr>
        <w:tc>
          <w:tcPr>
            <w:tcW w:w="0" w:type="auto"/>
            <w:gridSpan w:val="3"/>
            <w:shd w:val="clear" w:color="auto" w:fill="auto"/>
          </w:tcPr>
          <w:p w14:paraId="33DA9407" w14:textId="77777777" w:rsidR="004D6A64" w:rsidRDefault="004D6A64">
            <w:pPr>
              <w:rPr>
                <w:rFonts w:ascii="宋体"/>
                <w:vanish/>
              </w:rPr>
            </w:pPr>
          </w:p>
        </w:tc>
        <w:tc>
          <w:tcPr>
            <w:tcW w:w="0" w:type="auto"/>
            <w:gridSpan w:val="3"/>
            <w:shd w:val="clear" w:color="auto" w:fill="auto"/>
          </w:tcPr>
          <w:p w14:paraId="33DA9408" w14:textId="77777777" w:rsidR="004D6A64" w:rsidRDefault="004D6A64">
            <w:pPr>
              <w:rPr>
                <w:rFonts w:ascii="宋体"/>
                <w:vanish/>
              </w:rPr>
            </w:pPr>
          </w:p>
        </w:tc>
        <w:tc>
          <w:tcPr>
            <w:tcW w:w="0" w:type="auto"/>
            <w:gridSpan w:val="3"/>
            <w:shd w:val="clear" w:color="auto" w:fill="auto"/>
          </w:tcPr>
          <w:p w14:paraId="33DA9409" w14:textId="77777777" w:rsidR="004D6A64" w:rsidRDefault="004D6A64">
            <w:pPr>
              <w:rPr>
                <w:rFonts w:ascii="宋体"/>
                <w:vanish/>
              </w:rPr>
            </w:pPr>
          </w:p>
        </w:tc>
        <w:tc>
          <w:tcPr>
            <w:tcW w:w="0" w:type="auto"/>
            <w:gridSpan w:val="3"/>
            <w:shd w:val="clear" w:color="auto" w:fill="auto"/>
          </w:tcPr>
          <w:p w14:paraId="33DA940A" w14:textId="77777777" w:rsidR="004D6A64" w:rsidRDefault="004D6A64">
            <w:pPr>
              <w:rPr>
                <w:rFonts w:ascii="宋体"/>
                <w:vanish/>
              </w:rPr>
            </w:pPr>
          </w:p>
        </w:tc>
        <w:tc>
          <w:tcPr>
            <w:tcW w:w="0" w:type="auto"/>
            <w:gridSpan w:val="3"/>
            <w:shd w:val="clear" w:color="auto" w:fill="auto"/>
          </w:tcPr>
          <w:p w14:paraId="33DA940B" w14:textId="77777777" w:rsidR="004D6A64" w:rsidRDefault="004D6A64">
            <w:pPr>
              <w:rPr>
                <w:rFonts w:ascii="宋体"/>
                <w:vanish/>
              </w:rPr>
            </w:pPr>
          </w:p>
        </w:tc>
        <w:tc>
          <w:tcPr>
            <w:tcW w:w="0" w:type="auto"/>
            <w:gridSpan w:val="3"/>
            <w:shd w:val="clear" w:color="auto" w:fill="auto"/>
          </w:tcPr>
          <w:p w14:paraId="33DA940C" w14:textId="77777777" w:rsidR="004D6A64" w:rsidRDefault="004D6A64">
            <w:pPr>
              <w:rPr>
                <w:rFonts w:ascii="宋体"/>
                <w:vanish/>
              </w:rPr>
            </w:pPr>
          </w:p>
        </w:tc>
        <w:tc>
          <w:tcPr>
            <w:tcW w:w="0" w:type="auto"/>
            <w:gridSpan w:val="3"/>
            <w:shd w:val="clear" w:color="auto" w:fill="auto"/>
          </w:tcPr>
          <w:p w14:paraId="33DA940D" w14:textId="77777777" w:rsidR="004D6A64" w:rsidRDefault="004D6A64">
            <w:pPr>
              <w:rPr>
                <w:rFonts w:ascii="宋体"/>
                <w:vanish/>
              </w:rPr>
            </w:pPr>
          </w:p>
        </w:tc>
        <w:tc>
          <w:tcPr>
            <w:tcW w:w="0" w:type="auto"/>
            <w:gridSpan w:val="3"/>
            <w:shd w:val="clear" w:color="auto" w:fill="auto"/>
          </w:tcPr>
          <w:p w14:paraId="33DA940E" w14:textId="77777777" w:rsidR="004D6A64" w:rsidRDefault="004D6A64">
            <w:pPr>
              <w:rPr>
                <w:rFonts w:ascii="宋体"/>
                <w:vanish/>
              </w:rPr>
            </w:pPr>
          </w:p>
        </w:tc>
        <w:tc>
          <w:tcPr>
            <w:tcW w:w="0" w:type="auto"/>
            <w:shd w:val="clear" w:color="auto" w:fill="auto"/>
          </w:tcPr>
          <w:p w14:paraId="33DA940F" w14:textId="77777777" w:rsidR="004D6A64" w:rsidRDefault="004D6A64">
            <w:pPr>
              <w:rPr>
                <w:rFonts w:ascii="宋体"/>
              </w:rPr>
            </w:pPr>
          </w:p>
        </w:tc>
        <w:tc>
          <w:tcPr>
            <w:tcW w:w="0" w:type="auto"/>
            <w:shd w:val="clear" w:color="auto" w:fill="auto"/>
          </w:tcPr>
          <w:p w14:paraId="33DA9410" w14:textId="77777777" w:rsidR="004D6A64" w:rsidRDefault="004D6A64">
            <w:pPr>
              <w:rPr>
                <w:rFonts w:ascii="宋体"/>
              </w:rPr>
            </w:pPr>
          </w:p>
        </w:tc>
        <w:tc>
          <w:tcPr>
            <w:tcW w:w="0" w:type="auto"/>
            <w:shd w:val="clear" w:color="auto" w:fill="auto"/>
          </w:tcPr>
          <w:p w14:paraId="33DA9411" w14:textId="77777777" w:rsidR="004D6A64" w:rsidRDefault="004D6A64">
            <w:pPr>
              <w:rPr>
                <w:rFonts w:ascii="宋体"/>
              </w:rPr>
            </w:pPr>
          </w:p>
        </w:tc>
        <w:tc>
          <w:tcPr>
            <w:tcW w:w="0" w:type="auto"/>
            <w:shd w:val="clear" w:color="auto" w:fill="auto"/>
          </w:tcPr>
          <w:p w14:paraId="33DA9412" w14:textId="77777777" w:rsidR="004D6A64" w:rsidRDefault="004D6A64">
            <w:pPr>
              <w:rPr>
                <w:rFonts w:ascii="宋体"/>
              </w:rPr>
            </w:pPr>
          </w:p>
        </w:tc>
        <w:tc>
          <w:tcPr>
            <w:tcW w:w="0" w:type="auto"/>
            <w:shd w:val="clear" w:color="auto" w:fill="auto"/>
          </w:tcPr>
          <w:p w14:paraId="33DA9413" w14:textId="77777777" w:rsidR="004D6A64" w:rsidRDefault="004D6A64">
            <w:pPr>
              <w:rPr>
                <w:rFonts w:ascii="宋体"/>
              </w:rPr>
            </w:pPr>
          </w:p>
        </w:tc>
        <w:tc>
          <w:tcPr>
            <w:tcW w:w="0" w:type="auto"/>
            <w:shd w:val="clear" w:color="auto" w:fill="auto"/>
          </w:tcPr>
          <w:p w14:paraId="33DA9414" w14:textId="77777777" w:rsidR="004D6A64" w:rsidRDefault="004D6A64">
            <w:pPr>
              <w:rPr>
                <w:rFonts w:ascii="宋体"/>
              </w:rPr>
            </w:pPr>
          </w:p>
        </w:tc>
        <w:tc>
          <w:tcPr>
            <w:tcW w:w="0" w:type="auto"/>
            <w:shd w:val="clear" w:color="auto" w:fill="auto"/>
          </w:tcPr>
          <w:p w14:paraId="33DA9415" w14:textId="77777777" w:rsidR="004D6A64" w:rsidRDefault="004D6A64">
            <w:pPr>
              <w:rPr>
                <w:rFonts w:ascii="宋体"/>
              </w:rPr>
            </w:pPr>
          </w:p>
        </w:tc>
        <w:tc>
          <w:tcPr>
            <w:tcW w:w="0" w:type="auto"/>
            <w:shd w:val="clear" w:color="auto" w:fill="auto"/>
          </w:tcPr>
          <w:p w14:paraId="33DA9416" w14:textId="77777777" w:rsidR="004D6A64" w:rsidRDefault="004D6A64">
            <w:pPr>
              <w:rPr>
                <w:rFonts w:ascii="宋体"/>
              </w:rPr>
            </w:pPr>
          </w:p>
        </w:tc>
        <w:tc>
          <w:tcPr>
            <w:tcW w:w="0" w:type="auto"/>
            <w:shd w:val="clear" w:color="auto" w:fill="auto"/>
          </w:tcPr>
          <w:p w14:paraId="33DA9417" w14:textId="77777777" w:rsidR="004D6A64" w:rsidRDefault="004D6A64">
            <w:pPr>
              <w:rPr>
                <w:rFonts w:ascii="宋体"/>
              </w:rPr>
            </w:pPr>
          </w:p>
        </w:tc>
        <w:tc>
          <w:tcPr>
            <w:tcW w:w="0" w:type="auto"/>
            <w:shd w:val="clear" w:color="auto" w:fill="auto"/>
          </w:tcPr>
          <w:p w14:paraId="33DA9418" w14:textId="77777777" w:rsidR="004D6A64" w:rsidRDefault="004D6A64">
            <w:pPr>
              <w:rPr>
                <w:rFonts w:ascii="宋体"/>
              </w:rPr>
            </w:pPr>
          </w:p>
        </w:tc>
        <w:tc>
          <w:tcPr>
            <w:tcW w:w="0" w:type="auto"/>
            <w:shd w:val="clear" w:color="auto" w:fill="auto"/>
          </w:tcPr>
          <w:p w14:paraId="33DA9419" w14:textId="77777777" w:rsidR="004D6A64" w:rsidRDefault="004D6A64">
            <w:pPr>
              <w:rPr>
                <w:rFonts w:ascii="宋体"/>
              </w:rPr>
            </w:pPr>
          </w:p>
        </w:tc>
        <w:tc>
          <w:tcPr>
            <w:tcW w:w="0" w:type="auto"/>
            <w:shd w:val="clear" w:color="auto" w:fill="auto"/>
          </w:tcPr>
          <w:p w14:paraId="33DA941A" w14:textId="77777777" w:rsidR="004D6A64" w:rsidRDefault="004D6A64">
            <w:pPr>
              <w:rPr>
                <w:rFonts w:ascii="宋体"/>
              </w:rPr>
            </w:pPr>
          </w:p>
        </w:tc>
      </w:tr>
      <w:tr w:rsidR="004D6A64" w14:paraId="33DA9430" w14:textId="77777777">
        <w:tc>
          <w:tcPr>
            <w:tcW w:w="0" w:type="auto"/>
            <w:gridSpan w:val="3"/>
            <w:shd w:val="clear" w:color="auto" w:fill="CCEEFF"/>
            <w:tcMar>
              <w:top w:w="40" w:type="dxa"/>
              <w:left w:w="225" w:type="dxa"/>
              <w:bottom w:w="40" w:type="dxa"/>
              <w:right w:w="20" w:type="dxa"/>
            </w:tcMar>
            <w:vAlign w:val="bottom"/>
          </w:tcPr>
          <w:p w14:paraId="33DA941C" w14:textId="77777777" w:rsidR="004D6A64" w:rsidRDefault="00506CD6">
            <w:pPr>
              <w:textAlignment w:val="bottom"/>
            </w:pPr>
            <w:r>
              <w:rPr>
                <w:rFonts w:ascii="Times New Roman" w:eastAsia="宋体" w:hAnsi="Times New Roman"/>
                <w:color w:val="000000"/>
                <w:sz w:val="20"/>
                <w:szCs w:val="20"/>
              </w:rPr>
              <w:t>Cash flow hedges:</w:t>
            </w:r>
          </w:p>
        </w:tc>
        <w:tc>
          <w:tcPr>
            <w:tcW w:w="0" w:type="auto"/>
            <w:gridSpan w:val="3"/>
            <w:tcBorders>
              <w:top w:val="single" w:sz="8" w:space="0" w:color="000000"/>
            </w:tcBorders>
            <w:shd w:val="clear" w:color="auto" w:fill="CCEEFF"/>
            <w:tcMar>
              <w:left w:w="20" w:type="dxa"/>
              <w:right w:w="20" w:type="dxa"/>
            </w:tcMar>
            <w:vAlign w:val="bottom"/>
          </w:tcPr>
          <w:p w14:paraId="33DA941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41E" w14:textId="77777777" w:rsidR="004D6A64" w:rsidRDefault="004D6A64">
            <w:pPr>
              <w:jc w:val="right"/>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941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420" w14:textId="77777777" w:rsidR="004D6A64" w:rsidRDefault="004D6A64">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942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422" w14:textId="77777777" w:rsidR="004D6A64" w:rsidRDefault="004D6A64">
            <w:pPr>
              <w:jc w:val="right"/>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9423" w14:textId="77777777" w:rsidR="004D6A64" w:rsidRDefault="004D6A64">
            <w:pPr>
              <w:jc w:val="right"/>
              <w:rPr>
                <w:rFonts w:ascii="宋体"/>
              </w:rPr>
            </w:pPr>
          </w:p>
        </w:tc>
        <w:tc>
          <w:tcPr>
            <w:tcW w:w="0" w:type="auto"/>
            <w:shd w:val="clear" w:color="auto" w:fill="auto"/>
          </w:tcPr>
          <w:p w14:paraId="33DA9424" w14:textId="77777777" w:rsidR="004D6A64" w:rsidRDefault="004D6A64">
            <w:pPr>
              <w:rPr>
                <w:rFonts w:ascii="宋体"/>
              </w:rPr>
            </w:pPr>
          </w:p>
        </w:tc>
        <w:tc>
          <w:tcPr>
            <w:tcW w:w="0" w:type="auto"/>
            <w:shd w:val="clear" w:color="auto" w:fill="auto"/>
          </w:tcPr>
          <w:p w14:paraId="33DA9425" w14:textId="77777777" w:rsidR="004D6A64" w:rsidRDefault="004D6A64">
            <w:pPr>
              <w:rPr>
                <w:rFonts w:ascii="宋体"/>
              </w:rPr>
            </w:pPr>
          </w:p>
        </w:tc>
        <w:tc>
          <w:tcPr>
            <w:tcW w:w="0" w:type="auto"/>
            <w:shd w:val="clear" w:color="auto" w:fill="auto"/>
          </w:tcPr>
          <w:p w14:paraId="33DA9426" w14:textId="77777777" w:rsidR="004D6A64" w:rsidRDefault="004D6A64">
            <w:pPr>
              <w:rPr>
                <w:rFonts w:ascii="宋体"/>
              </w:rPr>
            </w:pPr>
          </w:p>
        </w:tc>
        <w:tc>
          <w:tcPr>
            <w:tcW w:w="0" w:type="auto"/>
            <w:shd w:val="clear" w:color="auto" w:fill="auto"/>
          </w:tcPr>
          <w:p w14:paraId="33DA9427" w14:textId="77777777" w:rsidR="004D6A64" w:rsidRDefault="004D6A64">
            <w:pPr>
              <w:rPr>
                <w:rFonts w:ascii="宋体"/>
              </w:rPr>
            </w:pPr>
          </w:p>
        </w:tc>
        <w:tc>
          <w:tcPr>
            <w:tcW w:w="0" w:type="auto"/>
            <w:shd w:val="clear" w:color="auto" w:fill="auto"/>
          </w:tcPr>
          <w:p w14:paraId="33DA9428" w14:textId="77777777" w:rsidR="004D6A64" w:rsidRDefault="004D6A64">
            <w:pPr>
              <w:rPr>
                <w:rFonts w:ascii="宋体"/>
              </w:rPr>
            </w:pPr>
          </w:p>
        </w:tc>
        <w:tc>
          <w:tcPr>
            <w:tcW w:w="0" w:type="auto"/>
            <w:shd w:val="clear" w:color="auto" w:fill="auto"/>
          </w:tcPr>
          <w:p w14:paraId="33DA9429" w14:textId="77777777" w:rsidR="004D6A64" w:rsidRDefault="004D6A64">
            <w:pPr>
              <w:rPr>
                <w:rFonts w:ascii="宋体"/>
              </w:rPr>
            </w:pPr>
          </w:p>
        </w:tc>
        <w:tc>
          <w:tcPr>
            <w:tcW w:w="0" w:type="auto"/>
            <w:shd w:val="clear" w:color="auto" w:fill="auto"/>
          </w:tcPr>
          <w:p w14:paraId="33DA942A" w14:textId="77777777" w:rsidR="004D6A64" w:rsidRDefault="004D6A64">
            <w:pPr>
              <w:rPr>
                <w:rFonts w:ascii="宋体"/>
              </w:rPr>
            </w:pPr>
          </w:p>
        </w:tc>
        <w:tc>
          <w:tcPr>
            <w:tcW w:w="0" w:type="auto"/>
            <w:shd w:val="clear" w:color="auto" w:fill="auto"/>
          </w:tcPr>
          <w:p w14:paraId="33DA942B" w14:textId="77777777" w:rsidR="004D6A64" w:rsidRDefault="004D6A64">
            <w:pPr>
              <w:rPr>
                <w:rFonts w:ascii="宋体"/>
              </w:rPr>
            </w:pPr>
          </w:p>
        </w:tc>
        <w:tc>
          <w:tcPr>
            <w:tcW w:w="0" w:type="auto"/>
            <w:shd w:val="clear" w:color="auto" w:fill="auto"/>
          </w:tcPr>
          <w:p w14:paraId="33DA942C" w14:textId="77777777" w:rsidR="004D6A64" w:rsidRDefault="004D6A64">
            <w:pPr>
              <w:rPr>
                <w:rFonts w:ascii="宋体"/>
              </w:rPr>
            </w:pPr>
          </w:p>
        </w:tc>
        <w:tc>
          <w:tcPr>
            <w:tcW w:w="0" w:type="auto"/>
            <w:shd w:val="clear" w:color="auto" w:fill="auto"/>
          </w:tcPr>
          <w:p w14:paraId="33DA942D" w14:textId="77777777" w:rsidR="004D6A64" w:rsidRDefault="004D6A64">
            <w:pPr>
              <w:rPr>
                <w:rFonts w:ascii="宋体"/>
              </w:rPr>
            </w:pPr>
          </w:p>
        </w:tc>
        <w:tc>
          <w:tcPr>
            <w:tcW w:w="0" w:type="auto"/>
            <w:shd w:val="clear" w:color="auto" w:fill="auto"/>
          </w:tcPr>
          <w:p w14:paraId="33DA942E" w14:textId="77777777" w:rsidR="004D6A64" w:rsidRDefault="004D6A64">
            <w:pPr>
              <w:rPr>
                <w:rFonts w:ascii="宋体"/>
              </w:rPr>
            </w:pPr>
          </w:p>
        </w:tc>
        <w:tc>
          <w:tcPr>
            <w:tcW w:w="0" w:type="auto"/>
            <w:shd w:val="clear" w:color="auto" w:fill="auto"/>
          </w:tcPr>
          <w:p w14:paraId="33DA942F" w14:textId="77777777" w:rsidR="004D6A64" w:rsidRDefault="004D6A64">
            <w:pPr>
              <w:rPr>
                <w:rFonts w:ascii="宋体"/>
              </w:rPr>
            </w:pPr>
          </w:p>
        </w:tc>
      </w:tr>
      <w:tr w:rsidR="004D6A64" w14:paraId="33DA9449" w14:textId="77777777">
        <w:tc>
          <w:tcPr>
            <w:tcW w:w="0" w:type="auto"/>
            <w:gridSpan w:val="3"/>
            <w:shd w:val="clear" w:color="auto" w:fill="FFFFFF"/>
            <w:tcMar>
              <w:top w:w="40" w:type="dxa"/>
              <w:left w:w="495" w:type="dxa"/>
              <w:bottom w:w="40" w:type="dxa"/>
              <w:right w:w="20" w:type="dxa"/>
            </w:tcMar>
            <w:vAlign w:val="bottom"/>
          </w:tcPr>
          <w:p w14:paraId="33DA9431" w14:textId="77777777" w:rsidR="004D6A64" w:rsidRDefault="00506CD6">
            <w:pPr>
              <w:textAlignment w:val="bottom"/>
            </w:pPr>
            <w:r>
              <w:rPr>
                <w:rFonts w:ascii="Times New Roman" w:eastAsia="宋体" w:hAnsi="Times New Roman"/>
                <w:color w:val="000000"/>
                <w:sz w:val="20"/>
                <w:szCs w:val="20"/>
              </w:rPr>
              <w:t>Change in unrealized gains (losses)</w:t>
            </w:r>
          </w:p>
        </w:tc>
        <w:tc>
          <w:tcPr>
            <w:tcW w:w="0" w:type="auto"/>
            <w:gridSpan w:val="2"/>
            <w:shd w:val="clear" w:color="auto" w:fill="FFFFFF"/>
            <w:tcMar>
              <w:top w:w="40" w:type="dxa"/>
              <w:left w:w="20" w:type="dxa"/>
              <w:bottom w:w="40" w:type="dxa"/>
              <w:right w:w="0" w:type="dxa"/>
            </w:tcMar>
            <w:vAlign w:val="bottom"/>
          </w:tcPr>
          <w:p w14:paraId="33DA9432" w14:textId="77777777" w:rsidR="004D6A64" w:rsidRDefault="00506CD6">
            <w:pPr>
              <w:jc w:val="right"/>
              <w:textAlignment w:val="bottom"/>
            </w:pPr>
            <w:r>
              <w:rPr>
                <w:rFonts w:ascii="Times New Roman" w:eastAsia="宋体" w:hAnsi="Times New Roman"/>
                <w:color w:val="000000"/>
                <w:sz w:val="20"/>
                <w:szCs w:val="20"/>
              </w:rPr>
              <w:t>(257)</w:t>
            </w:r>
          </w:p>
        </w:tc>
        <w:tc>
          <w:tcPr>
            <w:tcW w:w="0" w:type="auto"/>
            <w:shd w:val="clear" w:color="auto" w:fill="FFFFFF"/>
            <w:tcMar>
              <w:top w:w="40" w:type="dxa"/>
              <w:bottom w:w="40" w:type="dxa"/>
              <w:right w:w="20" w:type="dxa"/>
            </w:tcMar>
            <w:vAlign w:val="bottom"/>
          </w:tcPr>
          <w:p w14:paraId="33DA943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434"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435" w14:textId="77777777" w:rsidR="004D6A64" w:rsidRDefault="00506CD6">
            <w:pPr>
              <w:jc w:val="right"/>
              <w:textAlignment w:val="bottom"/>
            </w:pPr>
            <w:r>
              <w:rPr>
                <w:rFonts w:ascii="Times New Roman" w:eastAsia="宋体" w:hAnsi="Times New Roman"/>
                <w:color w:val="000000"/>
                <w:sz w:val="20"/>
                <w:szCs w:val="20"/>
              </w:rPr>
              <w:t>105 </w:t>
            </w:r>
          </w:p>
        </w:tc>
        <w:tc>
          <w:tcPr>
            <w:tcW w:w="0" w:type="auto"/>
            <w:shd w:val="clear" w:color="auto" w:fill="FFFFFF"/>
            <w:tcMar>
              <w:top w:w="40" w:type="dxa"/>
              <w:bottom w:w="40" w:type="dxa"/>
              <w:right w:w="20" w:type="dxa"/>
            </w:tcMar>
            <w:vAlign w:val="bottom"/>
          </w:tcPr>
          <w:p w14:paraId="33DA943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437"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438" w14:textId="77777777" w:rsidR="004D6A64" w:rsidRDefault="00506CD6">
            <w:pPr>
              <w:jc w:val="right"/>
              <w:textAlignment w:val="bottom"/>
            </w:pPr>
            <w:r>
              <w:rPr>
                <w:rFonts w:ascii="Times New Roman" w:eastAsia="宋体" w:hAnsi="Times New Roman"/>
                <w:color w:val="000000"/>
                <w:sz w:val="20"/>
                <w:szCs w:val="20"/>
              </w:rPr>
              <w:t>(90)</w:t>
            </w:r>
          </w:p>
        </w:tc>
        <w:tc>
          <w:tcPr>
            <w:tcW w:w="0" w:type="auto"/>
            <w:shd w:val="clear" w:color="auto" w:fill="FFFFFF"/>
            <w:tcMar>
              <w:top w:w="40" w:type="dxa"/>
              <w:bottom w:w="40" w:type="dxa"/>
              <w:right w:w="20" w:type="dxa"/>
            </w:tcMar>
            <w:vAlign w:val="bottom"/>
          </w:tcPr>
          <w:p w14:paraId="33DA943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43A"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43B" w14:textId="77777777" w:rsidR="004D6A64" w:rsidRDefault="00506CD6">
            <w:pPr>
              <w:jc w:val="right"/>
              <w:textAlignment w:val="bottom"/>
            </w:pPr>
            <w:r>
              <w:rPr>
                <w:rFonts w:ascii="Times New Roman" w:eastAsia="宋体" w:hAnsi="Times New Roman"/>
                <w:color w:val="000000"/>
                <w:sz w:val="20"/>
                <w:szCs w:val="20"/>
              </w:rPr>
              <w:t>257 </w:t>
            </w:r>
          </w:p>
        </w:tc>
        <w:tc>
          <w:tcPr>
            <w:tcW w:w="0" w:type="auto"/>
            <w:shd w:val="clear" w:color="auto" w:fill="FFFFFF"/>
            <w:tcMar>
              <w:top w:w="40" w:type="dxa"/>
              <w:bottom w:w="40" w:type="dxa"/>
              <w:right w:w="20" w:type="dxa"/>
            </w:tcMar>
            <w:vAlign w:val="bottom"/>
          </w:tcPr>
          <w:p w14:paraId="33DA943C" w14:textId="77777777" w:rsidR="004D6A64" w:rsidRDefault="004D6A64">
            <w:pPr>
              <w:jc w:val="right"/>
              <w:rPr>
                <w:rFonts w:ascii="宋体"/>
              </w:rPr>
            </w:pPr>
          </w:p>
        </w:tc>
        <w:tc>
          <w:tcPr>
            <w:tcW w:w="0" w:type="auto"/>
            <w:shd w:val="clear" w:color="auto" w:fill="auto"/>
          </w:tcPr>
          <w:p w14:paraId="33DA943D" w14:textId="77777777" w:rsidR="004D6A64" w:rsidRDefault="004D6A64">
            <w:pPr>
              <w:rPr>
                <w:rFonts w:ascii="宋体"/>
              </w:rPr>
            </w:pPr>
          </w:p>
        </w:tc>
        <w:tc>
          <w:tcPr>
            <w:tcW w:w="0" w:type="auto"/>
            <w:shd w:val="clear" w:color="auto" w:fill="auto"/>
          </w:tcPr>
          <w:p w14:paraId="33DA943E" w14:textId="77777777" w:rsidR="004D6A64" w:rsidRDefault="004D6A64">
            <w:pPr>
              <w:rPr>
                <w:rFonts w:ascii="宋体"/>
              </w:rPr>
            </w:pPr>
          </w:p>
        </w:tc>
        <w:tc>
          <w:tcPr>
            <w:tcW w:w="0" w:type="auto"/>
            <w:shd w:val="clear" w:color="auto" w:fill="auto"/>
          </w:tcPr>
          <w:p w14:paraId="33DA943F" w14:textId="77777777" w:rsidR="004D6A64" w:rsidRDefault="004D6A64">
            <w:pPr>
              <w:rPr>
                <w:rFonts w:ascii="宋体"/>
              </w:rPr>
            </w:pPr>
          </w:p>
        </w:tc>
        <w:tc>
          <w:tcPr>
            <w:tcW w:w="0" w:type="auto"/>
            <w:shd w:val="clear" w:color="auto" w:fill="auto"/>
          </w:tcPr>
          <w:p w14:paraId="33DA9440" w14:textId="77777777" w:rsidR="004D6A64" w:rsidRDefault="004D6A64">
            <w:pPr>
              <w:rPr>
                <w:rFonts w:ascii="宋体"/>
              </w:rPr>
            </w:pPr>
          </w:p>
        </w:tc>
        <w:tc>
          <w:tcPr>
            <w:tcW w:w="0" w:type="auto"/>
            <w:shd w:val="clear" w:color="auto" w:fill="auto"/>
          </w:tcPr>
          <w:p w14:paraId="33DA9441" w14:textId="77777777" w:rsidR="004D6A64" w:rsidRDefault="004D6A64">
            <w:pPr>
              <w:rPr>
                <w:rFonts w:ascii="宋体"/>
              </w:rPr>
            </w:pPr>
          </w:p>
        </w:tc>
        <w:tc>
          <w:tcPr>
            <w:tcW w:w="0" w:type="auto"/>
            <w:shd w:val="clear" w:color="auto" w:fill="auto"/>
          </w:tcPr>
          <w:p w14:paraId="33DA9442" w14:textId="77777777" w:rsidR="004D6A64" w:rsidRDefault="004D6A64">
            <w:pPr>
              <w:rPr>
                <w:rFonts w:ascii="宋体"/>
              </w:rPr>
            </w:pPr>
          </w:p>
        </w:tc>
        <w:tc>
          <w:tcPr>
            <w:tcW w:w="0" w:type="auto"/>
            <w:shd w:val="clear" w:color="auto" w:fill="auto"/>
          </w:tcPr>
          <w:p w14:paraId="33DA9443" w14:textId="77777777" w:rsidR="004D6A64" w:rsidRDefault="004D6A64">
            <w:pPr>
              <w:rPr>
                <w:rFonts w:ascii="宋体"/>
              </w:rPr>
            </w:pPr>
          </w:p>
        </w:tc>
        <w:tc>
          <w:tcPr>
            <w:tcW w:w="0" w:type="auto"/>
            <w:shd w:val="clear" w:color="auto" w:fill="auto"/>
          </w:tcPr>
          <w:p w14:paraId="33DA9444" w14:textId="77777777" w:rsidR="004D6A64" w:rsidRDefault="004D6A64">
            <w:pPr>
              <w:rPr>
                <w:rFonts w:ascii="宋体"/>
              </w:rPr>
            </w:pPr>
          </w:p>
        </w:tc>
        <w:tc>
          <w:tcPr>
            <w:tcW w:w="0" w:type="auto"/>
            <w:shd w:val="clear" w:color="auto" w:fill="auto"/>
          </w:tcPr>
          <w:p w14:paraId="33DA9445" w14:textId="77777777" w:rsidR="004D6A64" w:rsidRDefault="004D6A64">
            <w:pPr>
              <w:rPr>
                <w:rFonts w:ascii="宋体"/>
              </w:rPr>
            </w:pPr>
          </w:p>
        </w:tc>
        <w:tc>
          <w:tcPr>
            <w:tcW w:w="0" w:type="auto"/>
            <w:shd w:val="clear" w:color="auto" w:fill="auto"/>
          </w:tcPr>
          <w:p w14:paraId="33DA9446" w14:textId="77777777" w:rsidR="004D6A64" w:rsidRDefault="004D6A64">
            <w:pPr>
              <w:rPr>
                <w:rFonts w:ascii="宋体"/>
              </w:rPr>
            </w:pPr>
          </w:p>
        </w:tc>
        <w:tc>
          <w:tcPr>
            <w:tcW w:w="0" w:type="auto"/>
            <w:shd w:val="clear" w:color="auto" w:fill="auto"/>
          </w:tcPr>
          <w:p w14:paraId="33DA9447" w14:textId="77777777" w:rsidR="004D6A64" w:rsidRDefault="004D6A64">
            <w:pPr>
              <w:rPr>
                <w:rFonts w:ascii="宋体"/>
              </w:rPr>
            </w:pPr>
          </w:p>
        </w:tc>
        <w:tc>
          <w:tcPr>
            <w:tcW w:w="0" w:type="auto"/>
            <w:shd w:val="clear" w:color="auto" w:fill="auto"/>
          </w:tcPr>
          <w:p w14:paraId="33DA9448" w14:textId="77777777" w:rsidR="004D6A64" w:rsidRDefault="004D6A64">
            <w:pPr>
              <w:rPr>
                <w:rFonts w:ascii="宋体"/>
              </w:rPr>
            </w:pPr>
          </w:p>
        </w:tc>
      </w:tr>
      <w:tr w:rsidR="004D6A64" w14:paraId="33DA9462" w14:textId="77777777">
        <w:tc>
          <w:tcPr>
            <w:tcW w:w="0" w:type="auto"/>
            <w:gridSpan w:val="3"/>
            <w:shd w:val="clear" w:color="auto" w:fill="CCEEFF"/>
            <w:tcMar>
              <w:top w:w="40" w:type="dxa"/>
              <w:left w:w="495" w:type="dxa"/>
              <w:bottom w:w="40" w:type="dxa"/>
              <w:right w:w="20" w:type="dxa"/>
            </w:tcMar>
            <w:vAlign w:val="bottom"/>
          </w:tcPr>
          <w:p w14:paraId="33DA944A" w14:textId="77777777" w:rsidR="004D6A64" w:rsidRDefault="00506CD6">
            <w:pPr>
              <w:textAlignment w:val="bottom"/>
            </w:pPr>
            <w:r>
              <w:rPr>
                <w:rFonts w:ascii="Times New Roman" w:eastAsia="宋体" w:hAnsi="Times New Roman"/>
                <w:color w:val="000000"/>
                <w:sz w:val="20"/>
                <w:szCs w:val="20"/>
              </w:rPr>
              <w:t>Reclassification adjustment for net gains included in net income</w:t>
            </w:r>
          </w:p>
        </w:tc>
        <w:tc>
          <w:tcPr>
            <w:tcW w:w="0" w:type="auto"/>
            <w:gridSpan w:val="2"/>
            <w:shd w:val="clear" w:color="auto" w:fill="CCEEFF"/>
            <w:tcMar>
              <w:top w:w="40" w:type="dxa"/>
              <w:left w:w="20" w:type="dxa"/>
              <w:bottom w:w="40" w:type="dxa"/>
              <w:right w:w="0" w:type="dxa"/>
            </w:tcMar>
            <w:vAlign w:val="bottom"/>
          </w:tcPr>
          <w:p w14:paraId="33DA944B" w14:textId="77777777" w:rsidR="004D6A64" w:rsidRDefault="00506CD6">
            <w:pPr>
              <w:jc w:val="right"/>
              <w:textAlignment w:val="bottom"/>
            </w:pPr>
            <w:r>
              <w:rPr>
                <w:rFonts w:ascii="Times New Roman" w:eastAsia="宋体" w:hAnsi="Times New Roman"/>
                <w:color w:val="000000"/>
                <w:sz w:val="20"/>
                <w:szCs w:val="20"/>
              </w:rPr>
              <w:t>(8)</w:t>
            </w:r>
          </w:p>
        </w:tc>
        <w:tc>
          <w:tcPr>
            <w:tcW w:w="0" w:type="auto"/>
            <w:shd w:val="clear" w:color="auto" w:fill="CCEEFF"/>
            <w:tcMar>
              <w:top w:w="40" w:type="dxa"/>
              <w:bottom w:w="40" w:type="dxa"/>
              <w:right w:w="20" w:type="dxa"/>
            </w:tcMar>
            <w:vAlign w:val="bottom"/>
          </w:tcPr>
          <w:p w14:paraId="33DA944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44D"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44E" w14:textId="77777777" w:rsidR="004D6A64" w:rsidRDefault="00506CD6">
            <w:pPr>
              <w:jc w:val="right"/>
              <w:textAlignment w:val="bottom"/>
            </w:pPr>
            <w:r>
              <w:rPr>
                <w:rFonts w:ascii="Times New Roman" w:eastAsia="宋体" w:hAnsi="Times New Roman"/>
                <w:color w:val="000000"/>
                <w:sz w:val="20"/>
                <w:szCs w:val="20"/>
              </w:rPr>
              <w:t>(68)</w:t>
            </w:r>
          </w:p>
        </w:tc>
        <w:tc>
          <w:tcPr>
            <w:tcW w:w="0" w:type="auto"/>
            <w:shd w:val="clear" w:color="auto" w:fill="CCEEFF"/>
            <w:tcMar>
              <w:top w:w="40" w:type="dxa"/>
              <w:bottom w:w="40" w:type="dxa"/>
              <w:right w:w="20" w:type="dxa"/>
            </w:tcMar>
            <w:vAlign w:val="bottom"/>
          </w:tcPr>
          <w:p w14:paraId="33DA944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450"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451" w14:textId="77777777" w:rsidR="004D6A64" w:rsidRDefault="00506CD6">
            <w:pPr>
              <w:jc w:val="right"/>
              <w:textAlignment w:val="bottom"/>
            </w:pPr>
            <w:r>
              <w:rPr>
                <w:rFonts w:ascii="Times New Roman" w:eastAsia="宋体" w:hAnsi="Times New Roman"/>
                <w:color w:val="000000"/>
                <w:sz w:val="20"/>
                <w:szCs w:val="20"/>
              </w:rPr>
              <w:t>(108)</w:t>
            </w:r>
          </w:p>
        </w:tc>
        <w:tc>
          <w:tcPr>
            <w:tcW w:w="0" w:type="auto"/>
            <w:shd w:val="clear" w:color="auto" w:fill="CCEEFF"/>
            <w:tcMar>
              <w:top w:w="40" w:type="dxa"/>
              <w:bottom w:w="40" w:type="dxa"/>
              <w:right w:w="20" w:type="dxa"/>
            </w:tcMar>
            <w:vAlign w:val="bottom"/>
          </w:tcPr>
          <w:p w14:paraId="33DA945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453"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454" w14:textId="77777777" w:rsidR="004D6A64" w:rsidRDefault="00506CD6">
            <w:pPr>
              <w:jc w:val="right"/>
              <w:textAlignment w:val="bottom"/>
            </w:pPr>
            <w:r>
              <w:rPr>
                <w:rFonts w:ascii="Times New Roman" w:eastAsia="宋体" w:hAnsi="Times New Roman"/>
                <w:color w:val="000000"/>
                <w:sz w:val="20"/>
                <w:szCs w:val="20"/>
              </w:rPr>
              <w:t>(126)</w:t>
            </w:r>
          </w:p>
        </w:tc>
        <w:tc>
          <w:tcPr>
            <w:tcW w:w="0" w:type="auto"/>
            <w:shd w:val="clear" w:color="auto" w:fill="CCEEFF"/>
            <w:tcMar>
              <w:top w:w="40" w:type="dxa"/>
              <w:bottom w:w="40" w:type="dxa"/>
              <w:right w:w="20" w:type="dxa"/>
            </w:tcMar>
            <w:vAlign w:val="bottom"/>
          </w:tcPr>
          <w:p w14:paraId="33DA9455" w14:textId="77777777" w:rsidR="004D6A64" w:rsidRDefault="004D6A64">
            <w:pPr>
              <w:jc w:val="right"/>
              <w:rPr>
                <w:rFonts w:ascii="宋体"/>
              </w:rPr>
            </w:pPr>
          </w:p>
        </w:tc>
        <w:tc>
          <w:tcPr>
            <w:tcW w:w="0" w:type="auto"/>
            <w:shd w:val="clear" w:color="auto" w:fill="auto"/>
          </w:tcPr>
          <w:p w14:paraId="33DA9456" w14:textId="77777777" w:rsidR="004D6A64" w:rsidRDefault="004D6A64">
            <w:pPr>
              <w:rPr>
                <w:rFonts w:ascii="宋体"/>
              </w:rPr>
            </w:pPr>
          </w:p>
        </w:tc>
        <w:tc>
          <w:tcPr>
            <w:tcW w:w="0" w:type="auto"/>
            <w:shd w:val="clear" w:color="auto" w:fill="auto"/>
          </w:tcPr>
          <w:p w14:paraId="33DA9457" w14:textId="77777777" w:rsidR="004D6A64" w:rsidRDefault="004D6A64">
            <w:pPr>
              <w:rPr>
                <w:rFonts w:ascii="宋体"/>
              </w:rPr>
            </w:pPr>
          </w:p>
        </w:tc>
        <w:tc>
          <w:tcPr>
            <w:tcW w:w="0" w:type="auto"/>
            <w:shd w:val="clear" w:color="auto" w:fill="auto"/>
          </w:tcPr>
          <w:p w14:paraId="33DA9458" w14:textId="77777777" w:rsidR="004D6A64" w:rsidRDefault="004D6A64">
            <w:pPr>
              <w:rPr>
                <w:rFonts w:ascii="宋体"/>
              </w:rPr>
            </w:pPr>
          </w:p>
        </w:tc>
        <w:tc>
          <w:tcPr>
            <w:tcW w:w="0" w:type="auto"/>
            <w:shd w:val="clear" w:color="auto" w:fill="auto"/>
          </w:tcPr>
          <w:p w14:paraId="33DA9459" w14:textId="77777777" w:rsidR="004D6A64" w:rsidRDefault="004D6A64">
            <w:pPr>
              <w:rPr>
                <w:rFonts w:ascii="宋体"/>
              </w:rPr>
            </w:pPr>
          </w:p>
        </w:tc>
        <w:tc>
          <w:tcPr>
            <w:tcW w:w="0" w:type="auto"/>
            <w:shd w:val="clear" w:color="auto" w:fill="auto"/>
          </w:tcPr>
          <w:p w14:paraId="33DA945A" w14:textId="77777777" w:rsidR="004D6A64" w:rsidRDefault="004D6A64">
            <w:pPr>
              <w:rPr>
                <w:rFonts w:ascii="宋体"/>
              </w:rPr>
            </w:pPr>
          </w:p>
        </w:tc>
        <w:tc>
          <w:tcPr>
            <w:tcW w:w="0" w:type="auto"/>
            <w:shd w:val="clear" w:color="auto" w:fill="auto"/>
          </w:tcPr>
          <w:p w14:paraId="33DA945B" w14:textId="77777777" w:rsidR="004D6A64" w:rsidRDefault="004D6A64">
            <w:pPr>
              <w:rPr>
                <w:rFonts w:ascii="宋体"/>
              </w:rPr>
            </w:pPr>
          </w:p>
        </w:tc>
        <w:tc>
          <w:tcPr>
            <w:tcW w:w="0" w:type="auto"/>
            <w:shd w:val="clear" w:color="auto" w:fill="auto"/>
          </w:tcPr>
          <w:p w14:paraId="33DA945C" w14:textId="77777777" w:rsidR="004D6A64" w:rsidRDefault="004D6A64">
            <w:pPr>
              <w:rPr>
                <w:rFonts w:ascii="宋体"/>
              </w:rPr>
            </w:pPr>
          </w:p>
        </w:tc>
        <w:tc>
          <w:tcPr>
            <w:tcW w:w="0" w:type="auto"/>
            <w:shd w:val="clear" w:color="auto" w:fill="auto"/>
          </w:tcPr>
          <w:p w14:paraId="33DA945D" w14:textId="77777777" w:rsidR="004D6A64" w:rsidRDefault="004D6A64">
            <w:pPr>
              <w:rPr>
                <w:rFonts w:ascii="宋体"/>
              </w:rPr>
            </w:pPr>
          </w:p>
        </w:tc>
        <w:tc>
          <w:tcPr>
            <w:tcW w:w="0" w:type="auto"/>
            <w:shd w:val="clear" w:color="auto" w:fill="auto"/>
          </w:tcPr>
          <w:p w14:paraId="33DA945E" w14:textId="77777777" w:rsidR="004D6A64" w:rsidRDefault="004D6A64">
            <w:pPr>
              <w:rPr>
                <w:rFonts w:ascii="宋体"/>
              </w:rPr>
            </w:pPr>
          </w:p>
        </w:tc>
        <w:tc>
          <w:tcPr>
            <w:tcW w:w="0" w:type="auto"/>
            <w:shd w:val="clear" w:color="auto" w:fill="auto"/>
          </w:tcPr>
          <w:p w14:paraId="33DA945F" w14:textId="77777777" w:rsidR="004D6A64" w:rsidRDefault="004D6A64">
            <w:pPr>
              <w:rPr>
                <w:rFonts w:ascii="宋体"/>
              </w:rPr>
            </w:pPr>
          </w:p>
        </w:tc>
        <w:tc>
          <w:tcPr>
            <w:tcW w:w="0" w:type="auto"/>
            <w:shd w:val="clear" w:color="auto" w:fill="auto"/>
          </w:tcPr>
          <w:p w14:paraId="33DA9460" w14:textId="77777777" w:rsidR="004D6A64" w:rsidRDefault="004D6A64">
            <w:pPr>
              <w:rPr>
                <w:rFonts w:ascii="宋体"/>
              </w:rPr>
            </w:pPr>
          </w:p>
        </w:tc>
        <w:tc>
          <w:tcPr>
            <w:tcW w:w="0" w:type="auto"/>
            <w:shd w:val="clear" w:color="auto" w:fill="auto"/>
          </w:tcPr>
          <w:p w14:paraId="33DA9461" w14:textId="77777777" w:rsidR="004D6A64" w:rsidRDefault="004D6A64">
            <w:pPr>
              <w:rPr>
                <w:rFonts w:ascii="宋体"/>
              </w:rPr>
            </w:pPr>
          </w:p>
        </w:tc>
      </w:tr>
      <w:tr w:rsidR="004D6A64" w14:paraId="33DA947B" w14:textId="77777777">
        <w:tc>
          <w:tcPr>
            <w:tcW w:w="0" w:type="auto"/>
            <w:gridSpan w:val="3"/>
            <w:shd w:val="clear" w:color="auto" w:fill="FFFFFF"/>
            <w:tcMar>
              <w:top w:w="40" w:type="dxa"/>
              <w:left w:w="720" w:type="dxa"/>
              <w:bottom w:w="40" w:type="dxa"/>
              <w:right w:w="20" w:type="dxa"/>
            </w:tcMar>
            <w:vAlign w:val="bottom"/>
          </w:tcPr>
          <w:p w14:paraId="33DA9463" w14:textId="77777777" w:rsidR="004D6A64" w:rsidRDefault="00506CD6">
            <w:pPr>
              <w:textAlignment w:val="bottom"/>
            </w:pPr>
            <w:r>
              <w:rPr>
                <w:rFonts w:ascii="Times New Roman" w:eastAsia="宋体" w:hAnsi="Times New Roman"/>
                <w:color w:val="000000"/>
                <w:sz w:val="20"/>
                <w:szCs w:val="20"/>
              </w:rPr>
              <w:t>Net change in cash flow hedges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3DA9464" w14:textId="77777777" w:rsidR="004D6A64" w:rsidRDefault="00506CD6">
            <w:pPr>
              <w:jc w:val="right"/>
              <w:textAlignment w:val="bottom"/>
            </w:pPr>
            <w:r>
              <w:rPr>
                <w:rFonts w:ascii="Times New Roman" w:eastAsia="宋体" w:hAnsi="Times New Roman"/>
                <w:color w:val="000000"/>
                <w:sz w:val="20"/>
                <w:szCs w:val="20"/>
              </w:rPr>
              <w:t>(265)</w:t>
            </w:r>
          </w:p>
        </w:tc>
        <w:tc>
          <w:tcPr>
            <w:tcW w:w="0" w:type="auto"/>
            <w:tcBorders>
              <w:top w:val="single" w:sz="8" w:space="0" w:color="000000"/>
            </w:tcBorders>
            <w:shd w:val="clear" w:color="auto" w:fill="FFFFFF"/>
            <w:tcMar>
              <w:top w:w="40" w:type="dxa"/>
              <w:bottom w:w="40" w:type="dxa"/>
              <w:right w:w="20" w:type="dxa"/>
            </w:tcMar>
            <w:vAlign w:val="bottom"/>
          </w:tcPr>
          <w:p w14:paraId="33DA946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466" w14:textId="77777777" w:rsidR="004D6A64" w:rsidRDefault="004D6A6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3DA9467" w14:textId="77777777" w:rsidR="004D6A64" w:rsidRDefault="00506CD6">
            <w:pPr>
              <w:jc w:val="right"/>
              <w:textAlignment w:val="bottom"/>
            </w:pPr>
            <w:r>
              <w:rPr>
                <w:rFonts w:ascii="Times New Roman" w:eastAsia="宋体" w:hAnsi="Times New Roman"/>
                <w:color w:val="000000"/>
                <w:sz w:val="20"/>
                <w:szCs w:val="20"/>
              </w:rPr>
              <w:t>37 </w:t>
            </w:r>
          </w:p>
        </w:tc>
        <w:tc>
          <w:tcPr>
            <w:tcW w:w="0" w:type="auto"/>
            <w:tcBorders>
              <w:top w:val="single" w:sz="8" w:space="0" w:color="000000"/>
            </w:tcBorders>
            <w:shd w:val="clear" w:color="auto" w:fill="FFFFFF"/>
            <w:tcMar>
              <w:top w:w="40" w:type="dxa"/>
              <w:bottom w:w="40" w:type="dxa"/>
              <w:right w:w="20" w:type="dxa"/>
            </w:tcMar>
            <w:vAlign w:val="bottom"/>
          </w:tcPr>
          <w:p w14:paraId="33DA946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469"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3DA946A" w14:textId="77777777" w:rsidR="004D6A64" w:rsidRDefault="00506CD6">
            <w:pPr>
              <w:jc w:val="right"/>
              <w:textAlignment w:val="bottom"/>
            </w:pPr>
            <w:r>
              <w:rPr>
                <w:rFonts w:ascii="Times New Roman" w:eastAsia="宋体" w:hAnsi="Times New Roman"/>
                <w:color w:val="000000"/>
                <w:sz w:val="20"/>
                <w:szCs w:val="20"/>
              </w:rPr>
              <w:t>(198)</w:t>
            </w:r>
          </w:p>
        </w:tc>
        <w:tc>
          <w:tcPr>
            <w:tcW w:w="0" w:type="auto"/>
            <w:tcBorders>
              <w:top w:val="single" w:sz="8" w:space="0" w:color="000000"/>
            </w:tcBorders>
            <w:shd w:val="clear" w:color="auto" w:fill="FFFFFF"/>
            <w:tcMar>
              <w:top w:w="40" w:type="dxa"/>
              <w:bottom w:w="40" w:type="dxa"/>
              <w:right w:w="20" w:type="dxa"/>
            </w:tcMar>
            <w:vAlign w:val="bottom"/>
          </w:tcPr>
          <w:p w14:paraId="33DA946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46C" w14:textId="77777777" w:rsidR="004D6A64" w:rsidRDefault="004D6A6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3DA946D" w14:textId="77777777" w:rsidR="004D6A64" w:rsidRDefault="00506CD6">
            <w:pPr>
              <w:jc w:val="right"/>
              <w:textAlignment w:val="bottom"/>
            </w:pPr>
            <w:r>
              <w:rPr>
                <w:rFonts w:ascii="Times New Roman" w:eastAsia="宋体" w:hAnsi="Times New Roman"/>
                <w:color w:val="000000"/>
                <w:sz w:val="20"/>
                <w:szCs w:val="20"/>
              </w:rPr>
              <w:t>131 </w:t>
            </w:r>
          </w:p>
        </w:tc>
        <w:tc>
          <w:tcPr>
            <w:tcW w:w="0" w:type="auto"/>
            <w:tcBorders>
              <w:top w:val="single" w:sz="8" w:space="0" w:color="000000"/>
            </w:tcBorders>
            <w:shd w:val="clear" w:color="auto" w:fill="FFFFFF"/>
            <w:tcMar>
              <w:top w:w="40" w:type="dxa"/>
              <w:bottom w:w="40" w:type="dxa"/>
              <w:right w:w="20" w:type="dxa"/>
            </w:tcMar>
            <w:vAlign w:val="bottom"/>
          </w:tcPr>
          <w:p w14:paraId="33DA946E" w14:textId="77777777" w:rsidR="004D6A64" w:rsidRDefault="004D6A64">
            <w:pPr>
              <w:jc w:val="right"/>
              <w:rPr>
                <w:rFonts w:ascii="宋体"/>
              </w:rPr>
            </w:pPr>
          </w:p>
        </w:tc>
        <w:tc>
          <w:tcPr>
            <w:tcW w:w="0" w:type="auto"/>
            <w:shd w:val="clear" w:color="auto" w:fill="auto"/>
          </w:tcPr>
          <w:p w14:paraId="33DA946F" w14:textId="77777777" w:rsidR="004D6A64" w:rsidRDefault="004D6A64">
            <w:pPr>
              <w:rPr>
                <w:rFonts w:ascii="宋体"/>
              </w:rPr>
            </w:pPr>
          </w:p>
        </w:tc>
        <w:tc>
          <w:tcPr>
            <w:tcW w:w="0" w:type="auto"/>
            <w:shd w:val="clear" w:color="auto" w:fill="auto"/>
          </w:tcPr>
          <w:p w14:paraId="33DA9470" w14:textId="77777777" w:rsidR="004D6A64" w:rsidRDefault="004D6A64">
            <w:pPr>
              <w:rPr>
                <w:rFonts w:ascii="宋体"/>
              </w:rPr>
            </w:pPr>
          </w:p>
        </w:tc>
        <w:tc>
          <w:tcPr>
            <w:tcW w:w="0" w:type="auto"/>
            <w:shd w:val="clear" w:color="auto" w:fill="auto"/>
          </w:tcPr>
          <w:p w14:paraId="33DA9471" w14:textId="77777777" w:rsidR="004D6A64" w:rsidRDefault="004D6A64">
            <w:pPr>
              <w:rPr>
                <w:rFonts w:ascii="宋体"/>
              </w:rPr>
            </w:pPr>
          </w:p>
        </w:tc>
        <w:tc>
          <w:tcPr>
            <w:tcW w:w="0" w:type="auto"/>
            <w:shd w:val="clear" w:color="auto" w:fill="auto"/>
          </w:tcPr>
          <w:p w14:paraId="33DA9472" w14:textId="77777777" w:rsidR="004D6A64" w:rsidRDefault="004D6A64">
            <w:pPr>
              <w:rPr>
                <w:rFonts w:ascii="宋体"/>
              </w:rPr>
            </w:pPr>
          </w:p>
        </w:tc>
        <w:tc>
          <w:tcPr>
            <w:tcW w:w="0" w:type="auto"/>
            <w:shd w:val="clear" w:color="auto" w:fill="auto"/>
          </w:tcPr>
          <w:p w14:paraId="33DA9473" w14:textId="77777777" w:rsidR="004D6A64" w:rsidRDefault="004D6A64">
            <w:pPr>
              <w:rPr>
                <w:rFonts w:ascii="宋体"/>
              </w:rPr>
            </w:pPr>
          </w:p>
        </w:tc>
        <w:tc>
          <w:tcPr>
            <w:tcW w:w="0" w:type="auto"/>
            <w:shd w:val="clear" w:color="auto" w:fill="auto"/>
          </w:tcPr>
          <w:p w14:paraId="33DA9474" w14:textId="77777777" w:rsidR="004D6A64" w:rsidRDefault="004D6A64">
            <w:pPr>
              <w:rPr>
                <w:rFonts w:ascii="宋体"/>
              </w:rPr>
            </w:pPr>
          </w:p>
        </w:tc>
        <w:tc>
          <w:tcPr>
            <w:tcW w:w="0" w:type="auto"/>
            <w:shd w:val="clear" w:color="auto" w:fill="auto"/>
          </w:tcPr>
          <w:p w14:paraId="33DA9475" w14:textId="77777777" w:rsidR="004D6A64" w:rsidRDefault="004D6A64">
            <w:pPr>
              <w:rPr>
                <w:rFonts w:ascii="宋体"/>
              </w:rPr>
            </w:pPr>
          </w:p>
        </w:tc>
        <w:tc>
          <w:tcPr>
            <w:tcW w:w="0" w:type="auto"/>
            <w:shd w:val="clear" w:color="auto" w:fill="auto"/>
          </w:tcPr>
          <w:p w14:paraId="33DA9476" w14:textId="77777777" w:rsidR="004D6A64" w:rsidRDefault="004D6A64">
            <w:pPr>
              <w:rPr>
                <w:rFonts w:ascii="宋体"/>
              </w:rPr>
            </w:pPr>
          </w:p>
        </w:tc>
        <w:tc>
          <w:tcPr>
            <w:tcW w:w="0" w:type="auto"/>
            <w:shd w:val="clear" w:color="auto" w:fill="auto"/>
          </w:tcPr>
          <w:p w14:paraId="33DA9477" w14:textId="77777777" w:rsidR="004D6A64" w:rsidRDefault="004D6A64">
            <w:pPr>
              <w:rPr>
                <w:rFonts w:ascii="宋体"/>
              </w:rPr>
            </w:pPr>
          </w:p>
        </w:tc>
        <w:tc>
          <w:tcPr>
            <w:tcW w:w="0" w:type="auto"/>
            <w:shd w:val="clear" w:color="auto" w:fill="auto"/>
          </w:tcPr>
          <w:p w14:paraId="33DA9478" w14:textId="77777777" w:rsidR="004D6A64" w:rsidRDefault="004D6A64">
            <w:pPr>
              <w:rPr>
                <w:rFonts w:ascii="宋体"/>
              </w:rPr>
            </w:pPr>
          </w:p>
        </w:tc>
        <w:tc>
          <w:tcPr>
            <w:tcW w:w="0" w:type="auto"/>
            <w:shd w:val="clear" w:color="auto" w:fill="auto"/>
          </w:tcPr>
          <w:p w14:paraId="33DA9479" w14:textId="77777777" w:rsidR="004D6A64" w:rsidRDefault="004D6A64">
            <w:pPr>
              <w:rPr>
                <w:rFonts w:ascii="宋体"/>
              </w:rPr>
            </w:pPr>
          </w:p>
        </w:tc>
        <w:tc>
          <w:tcPr>
            <w:tcW w:w="0" w:type="auto"/>
            <w:shd w:val="clear" w:color="auto" w:fill="auto"/>
          </w:tcPr>
          <w:p w14:paraId="33DA947A" w14:textId="77777777" w:rsidR="004D6A64" w:rsidRDefault="004D6A64">
            <w:pPr>
              <w:rPr>
                <w:rFonts w:ascii="宋体"/>
              </w:rPr>
            </w:pPr>
          </w:p>
        </w:tc>
      </w:tr>
      <w:tr w:rsidR="004D6A64" w14:paraId="33DA9490" w14:textId="77777777">
        <w:tc>
          <w:tcPr>
            <w:tcW w:w="0" w:type="auto"/>
            <w:gridSpan w:val="3"/>
            <w:shd w:val="clear" w:color="auto" w:fill="CCEEFF"/>
            <w:tcMar>
              <w:top w:w="40" w:type="dxa"/>
              <w:left w:w="225" w:type="dxa"/>
              <w:bottom w:w="40" w:type="dxa"/>
              <w:right w:w="20" w:type="dxa"/>
            </w:tcMar>
            <w:vAlign w:val="bottom"/>
          </w:tcPr>
          <w:p w14:paraId="33DA947C" w14:textId="77777777" w:rsidR="004D6A64" w:rsidRDefault="00506CD6">
            <w:pPr>
              <w:textAlignment w:val="bottom"/>
            </w:pPr>
            <w:r>
              <w:rPr>
                <w:rFonts w:ascii="Times New Roman" w:eastAsia="宋体" w:hAnsi="Times New Roman"/>
                <w:color w:val="000000"/>
                <w:sz w:val="20"/>
                <w:szCs w:val="20"/>
              </w:rPr>
              <w:t>Pension and other postretirement plans:</w:t>
            </w:r>
          </w:p>
        </w:tc>
        <w:tc>
          <w:tcPr>
            <w:tcW w:w="0" w:type="auto"/>
            <w:gridSpan w:val="3"/>
            <w:tcBorders>
              <w:top w:val="single" w:sz="8" w:space="0" w:color="000000"/>
            </w:tcBorders>
            <w:shd w:val="clear" w:color="auto" w:fill="CCEEFF"/>
            <w:tcMar>
              <w:left w:w="20" w:type="dxa"/>
              <w:right w:w="20" w:type="dxa"/>
            </w:tcMar>
            <w:vAlign w:val="bottom"/>
          </w:tcPr>
          <w:p w14:paraId="33DA947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47E" w14:textId="77777777" w:rsidR="004D6A64" w:rsidRDefault="004D6A64">
            <w:pPr>
              <w:jc w:val="right"/>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947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480" w14:textId="77777777" w:rsidR="004D6A64" w:rsidRDefault="004D6A64">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948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482" w14:textId="77777777" w:rsidR="004D6A64" w:rsidRDefault="004D6A64">
            <w:pPr>
              <w:jc w:val="right"/>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9483" w14:textId="77777777" w:rsidR="004D6A64" w:rsidRDefault="004D6A64">
            <w:pPr>
              <w:jc w:val="right"/>
              <w:rPr>
                <w:rFonts w:ascii="宋体"/>
              </w:rPr>
            </w:pPr>
          </w:p>
        </w:tc>
        <w:tc>
          <w:tcPr>
            <w:tcW w:w="0" w:type="auto"/>
            <w:shd w:val="clear" w:color="auto" w:fill="auto"/>
          </w:tcPr>
          <w:p w14:paraId="33DA9484" w14:textId="77777777" w:rsidR="004D6A64" w:rsidRDefault="004D6A64">
            <w:pPr>
              <w:rPr>
                <w:rFonts w:ascii="宋体"/>
              </w:rPr>
            </w:pPr>
          </w:p>
        </w:tc>
        <w:tc>
          <w:tcPr>
            <w:tcW w:w="0" w:type="auto"/>
            <w:shd w:val="clear" w:color="auto" w:fill="auto"/>
          </w:tcPr>
          <w:p w14:paraId="33DA9485" w14:textId="77777777" w:rsidR="004D6A64" w:rsidRDefault="004D6A64">
            <w:pPr>
              <w:rPr>
                <w:rFonts w:ascii="宋体"/>
              </w:rPr>
            </w:pPr>
          </w:p>
        </w:tc>
        <w:tc>
          <w:tcPr>
            <w:tcW w:w="0" w:type="auto"/>
            <w:shd w:val="clear" w:color="auto" w:fill="auto"/>
          </w:tcPr>
          <w:p w14:paraId="33DA9486" w14:textId="77777777" w:rsidR="004D6A64" w:rsidRDefault="004D6A64">
            <w:pPr>
              <w:rPr>
                <w:rFonts w:ascii="宋体"/>
              </w:rPr>
            </w:pPr>
          </w:p>
        </w:tc>
        <w:tc>
          <w:tcPr>
            <w:tcW w:w="0" w:type="auto"/>
            <w:shd w:val="clear" w:color="auto" w:fill="auto"/>
          </w:tcPr>
          <w:p w14:paraId="33DA9487" w14:textId="77777777" w:rsidR="004D6A64" w:rsidRDefault="004D6A64">
            <w:pPr>
              <w:rPr>
                <w:rFonts w:ascii="宋体"/>
              </w:rPr>
            </w:pPr>
          </w:p>
        </w:tc>
        <w:tc>
          <w:tcPr>
            <w:tcW w:w="0" w:type="auto"/>
            <w:shd w:val="clear" w:color="auto" w:fill="auto"/>
          </w:tcPr>
          <w:p w14:paraId="33DA9488" w14:textId="77777777" w:rsidR="004D6A64" w:rsidRDefault="004D6A64">
            <w:pPr>
              <w:rPr>
                <w:rFonts w:ascii="宋体"/>
              </w:rPr>
            </w:pPr>
          </w:p>
        </w:tc>
        <w:tc>
          <w:tcPr>
            <w:tcW w:w="0" w:type="auto"/>
            <w:shd w:val="clear" w:color="auto" w:fill="auto"/>
          </w:tcPr>
          <w:p w14:paraId="33DA9489" w14:textId="77777777" w:rsidR="004D6A64" w:rsidRDefault="004D6A64">
            <w:pPr>
              <w:rPr>
                <w:rFonts w:ascii="宋体"/>
              </w:rPr>
            </w:pPr>
          </w:p>
        </w:tc>
        <w:tc>
          <w:tcPr>
            <w:tcW w:w="0" w:type="auto"/>
            <w:shd w:val="clear" w:color="auto" w:fill="auto"/>
          </w:tcPr>
          <w:p w14:paraId="33DA948A" w14:textId="77777777" w:rsidR="004D6A64" w:rsidRDefault="004D6A64">
            <w:pPr>
              <w:rPr>
                <w:rFonts w:ascii="宋体"/>
              </w:rPr>
            </w:pPr>
          </w:p>
        </w:tc>
        <w:tc>
          <w:tcPr>
            <w:tcW w:w="0" w:type="auto"/>
            <w:shd w:val="clear" w:color="auto" w:fill="auto"/>
          </w:tcPr>
          <w:p w14:paraId="33DA948B" w14:textId="77777777" w:rsidR="004D6A64" w:rsidRDefault="004D6A64">
            <w:pPr>
              <w:rPr>
                <w:rFonts w:ascii="宋体"/>
              </w:rPr>
            </w:pPr>
          </w:p>
        </w:tc>
        <w:tc>
          <w:tcPr>
            <w:tcW w:w="0" w:type="auto"/>
            <w:shd w:val="clear" w:color="auto" w:fill="auto"/>
          </w:tcPr>
          <w:p w14:paraId="33DA948C" w14:textId="77777777" w:rsidR="004D6A64" w:rsidRDefault="004D6A64">
            <w:pPr>
              <w:rPr>
                <w:rFonts w:ascii="宋体"/>
              </w:rPr>
            </w:pPr>
          </w:p>
        </w:tc>
        <w:tc>
          <w:tcPr>
            <w:tcW w:w="0" w:type="auto"/>
            <w:shd w:val="clear" w:color="auto" w:fill="auto"/>
          </w:tcPr>
          <w:p w14:paraId="33DA948D" w14:textId="77777777" w:rsidR="004D6A64" w:rsidRDefault="004D6A64">
            <w:pPr>
              <w:rPr>
                <w:rFonts w:ascii="宋体"/>
              </w:rPr>
            </w:pPr>
          </w:p>
        </w:tc>
        <w:tc>
          <w:tcPr>
            <w:tcW w:w="0" w:type="auto"/>
            <w:shd w:val="clear" w:color="auto" w:fill="auto"/>
          </w:tcPr>
          <w:p w14:paraId="33DA948E" w14:textId="77777777" w:rsidR="004D6A64" w:rsidRDefault="004D6A64">
            <w:pPr>
              <w:rPr>
                <w:rFonts w:ascii="宋体"/>
              </w:rPr>
            </w:pPr>
          </w:p>
        </w:tc>
        <w:tc>
          <w:tcPr>
            <w:tcW w:w="0" w:type="auto"/>
            <w:shd w:val="clear" w:color="auto" w:fill="auto"/>
          </w:tcPr>
          <w:p w14:paraId="33DA948F" w14:textId="77777777" w:rsidR="004D6A64" w:rsidRDefault="004D6A64">
            <w:pPr>
              <w:rPr>
                <w:rFonts w:ascii="宋体"/>
              </w:rPr>
            </w:pPr>
          </w:p>
        </w:tc>
      </w:tr>
      <w:tr w:rsidR="004D6A64" w14:paraId="33DA94A9" w14:textId="77777777">
        <w:tc>
          <w:tcPr>
            <w:tcW w:w="0" w:type="auto"/>
            <w:gridSpan w:val="3"/>
            <w:shd w:val="clear" w:color="auto" w:fill="FFFFFF"/>
            <w:tcMar>
              <w:top w:w="40" w:type="dxa"/>
              <w:left w:w="495" w:type="dxa"/>
              <w:bottom w:w="40" w:type="dxa"/>
              <w:right w:w="20" w:type="dxa"/>
            </w:tcMar>
            <w:vAlign w:val="bottom"/>
          </w:tcPr>
          <w:p w14:paraId="33DA9491" w14:textId="77777777" w:rsidR="004D6A64" w:rsidRDefault="00506CD6">
            <w:pPr>
              <w:textAlignment w:val="bottom"/>
            </w:pPr>
            <w:r>
              <w:rPr>
                <w:rFonts w:ascii="Times New Roman" w:eastAsia="宋体" w:hAnsi="Times New Roman"/>
                <w:color w:val="000000"/>
                <w:sz w:val="20"/>
                <w:szCs w:val="20"/>
              </w:rPr>
              <w:t>Recognition of actuarial net gains (losses) from pension and other postretirement plans</w:t>
            </w:r>
          </w:p>
        </w:tc>
        <w:tc>
          <w:tcPr>
            <w:tcW w:w="0" w:type="auto"/>
            <w:gridSpan w:val="2"/>
            <w:shd w:val="clear" w:color="auto" w:fill="FFFFFF"/>
            <w:tcMar>
              <w:top w:w="40" w:type="dxa"/>
              <w:left w:w="20" w:type="dxa"/>
              <w:bottom w:w="40" w:type="dxa"/>
              <w:right w:w="0" w:type="dxa"/>
            </w:tcMar>
            <w:vAlign w:val="bottom"/>
          </w:tcPr>
          <w:p w14:paraId="33DA9492" w14:textId="77777777" w:rsidR="004D6A64" w:rsidRDefault="00506CD6">
            <w:pPr>
              <w:jc w:val="right"/>
              <w:textAlignment w:val="bottom"/>
            </w:pPr>
            <w:r>
              <w:rPr>
                <w:rFonts w:ascii="Times New Roman" w:eastAsia="宋体" w:hAnsi="Times New Roman"/>
                <w:color w:val="000000"/>
                <w:sz w:val="20"/>
                <w:szCs w:val="20"/>
              </w:rPr>
              <w:t>(15)</w:t>
            </w:r>
          </w:p>
        </w:tc>
        <w:tc>
          <w:tcPr>
            <w:tcW w:w="0" w:type="auto"/>
            <w:shd w:val="clear" w:color="auto" w:fill="FFFFFF"/>
            <w:tcMar>
              <w:top w:w="40" w:type="dxa"/>
              <w:bottom w:w="40" w:type="dxa"/>
              <w:right w:w="20" w:type="dxa"/>
            </w:tcMar>
            <w:vAlign w:val="bottom"/>
          </w:tcPr>
          <w:p w14:paraId="33DA949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494"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495" w14:textId="77777777" w:rsidR="004D6A64" w:rsidRDefault="00506CD6">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bottom w:w="40" w:type="dxa"/>
              <w:right w:w="20" w:type="dxa"/>
            </w:tcMar>
            <w:vAlign w:val="bottom"/>
          </w:tcPr>
          <w:p w14:paraId="33DA949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497"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498" w14:textId="77777777" w:rsidR="004D6A64" w:rsidRDefault="00506CD6">
            <w:pPr>
              <w:jc w:val="right"/>
              <w:textAlignment w:val="bottom"/>
            </w:pPr>
            <w:r>
              <w:rPr>
                <w:rFonts w:ascii="Times New Roman" w:eastAsia="宋体" w:hAnsi="Times New Roman"/>
                <w:color w:val="000000"/>
                <w:sz w:val="20"/>
                <w:szCs w:val="20"/>
              </w:rPr>
              <w:t>(22)</w:t>
            </w:r>
          </w:p>
        </w:tc>
        <w:tc>
          <w:tcPr>
            <w:tcW w:w="0" w:type="auto"/>
            <w:shd w:val="clear" w:color="auto" w:fill="FFFFFF"/>
            <w:tcMar>
              <w:top w:w="40" w:type="dxa"/>
              <w:bottom w:w="40" w:type="dxa"/>
              <w:right w:w="20" w:type="dxa"/>
            </w:tcMar>
            <w:vAlign w:val="bottom"/>
          </w:tcPr>
          <w:p w14:paraId="33DA949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49A"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49B" w14:textId="77777777" w:rsidR="004D6A64" w:rsidRDefault="00506CD6">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bottom w:w="40" w:type="dxa"/>
              <w:right w:w="20" w:type="dxa"/>
            </w:tcMar>
            <w:vAlign w:val="bottom"/>
          </w:tcPr>
          <w:p w14:paraId="33DA949C" w14:textId="77777777" w:rsidR="004D6A64" w:rsidRDefault="004D6A64">
            <w:pPr>
              <w:jc w:val="right"/>
              <w:rPr>
                <w:rFonts w:ascii="宋体"/>
              </w:rPr>
            </w:pPr>
          </w:p>
        </w:tc>
        <w:tc>
          <w:tcPr>
            <w:tcW w:w="0" w:type="auto"/>
            <w:shd w:val="clear" w:color="auto" w:fill="auto"/>
          </w:tcPr>
          <w:p w14:paraId="33DA949D" w14:textId="77777777" w:rsidR="004D6A64" w:rsidRDefault="004D6A64">
            <w:pPr>
              <w:rPr>
                <w:rFonts w:ascii="宋体"/>
              </w:rPr>
            </w:pPr>
          </w:p>
        </w:tc>
        <w:tc>
          <w:tcPr>
            <w:tcW w:w="0" w:type="auto"/>
            <w:shd w:val="clear" w:color="auto" w:fill="auto"/>
          </w:tcPr>
          <w:p w14:paraId="33DA949E" w14:textId="77777777" w:rsidR="004D6A64" w:rsidRDefault="004D6A64">
            <w:pPr>
              <w:rPr>
                <w:rFonts w:ascii="宋体"/>
              </w:rPr>
            </w:pPr>
          </w:p>
        </w:tc>
        <w:tc>
          <w:tcPr>
            <w:tcW w:w="0" w:type="auto"/>
            <w:shd w:val="clear" w:color="auto" w:fill="auto"/>
          </w:tcPr>
          <w:p w14:paraId="33DA949F" w14:textId="77777777" w:rsidR="004D6A64" w:rsidRDefault="004D6A64">
            <w:pPr>
              <w:rPr>
                <w:rFonts w:ascii="宋体"/>
              </w:rPr>
            </w:pPr>
          </w:p>
        </w:tc>
        <w:tc>
          <w:tcPr>
            <w:tcW w:w="0" w:type="auto"/>
            <w:shd w:val="clear" w:color="auto" w:fill="auto"/>
          </w:tcPr>
          <w:p w14:paraId="33DA94A0" w14:textId="77777777" w:rsidR="004D6A64" w:rsidRDefault="004D6A64">
            <w:pPr>
              <w:rPr>
                <w:rFonts w:ascii="宋体"/>
              </w:rPr>
            </w:pPr>
          </w:p>
        </w:tc>
        <w:tc>
          <w:tcPr>
            <w:tcW w:w="0" w:type="auto"/>
            <w:shd w:val="clear" w:color="auto" w:fill="auto"/>
          </w:tcPr>
          <w:p w14:paraId="33DA94A1" w14:textId="77777777" w:rsidR="004D6A64" w:rsidRDefault="004D6A64">
            <w:pPr>
              <w:rPr>
                <w:rFonts w:ascii="宋体"/>
              </w:rPr>
            </w:pPr>
          </w:p>
        </w:tc>
        <w:tc>
          <w:tcPr>
            <w:tcW w:w="0" w:type="auto"/>
            <w:shd w:val="clear" w:color="auto" w:fill="auto"/>
          </w:tcPr>
          <w:p w14:paraId="33DA94A2" w14:textId="77777777" w:rsidR="004D6A64" w:rsidRDefault="004D6A64">
            <w:pPr>
              <w:rPr>
                <w:rFonts w:ascii="宋体"/>
              </w:rPr>
            </w:pPr>
          </w:p>
        </w:tc>
        <w:tc>
          <w:tcPr>
            <w:tcW w:w="0" w:type="auto"/>
            <w:shd w:val="clear" w:color="auto" w:fill="auto"/>
          </w:tcPr>
          <w:p w14:paraId="33DA94A3" w14:textId="77777777" w:rsidR="004D6A64" w:rsidRDefault="004D6A64">
            <w:pPr>
              <w:rPr>
                <w:rFonts w:ascii="宋体"/>
              </w:rPr>
            </w:pPr>
          </w:p>
        </w:tc>
        <w:tc>
          <w:tcPr>
            <w:tcW w:w="0" w:type="auto"/>
            <w:shd w:val="clear" w:color="auto" w:fill="auto"/>
          </w:tcPr>
          <w:p w14:paraId="33DA94A4" w14:textId="77777777" w:rsidR="004D6A64" w:rsidRDefault="004D6A64">
            <w:pPr>
              <w:rPr>
                <w:rFonts w:ascii="宋体"/>
              </w:rPr>
            </w:pPr>
          </w:p>
        </w:tc>
        <w:tc>
          <w:tcPr>
            <w:tcW w:w="0" w:type="auto"/>
            <w:shd w:val="clear" w:color="auto" w:fill="auto"/>
          </w:tcPr>
          <w:p w14:paraId="33DA94A5" w14:textId="77777777" w:rsidR="004D6A64" w:rsidRDefault="004D6A64">
            <w:pPr>
              <w:rPr>
                <w:rFonts w:ascii="宋体"/>
              </w:rPr>
            </w:pPr>
          </w:p>
        </w:tc>
        <w:tc>
          <w:tcPr>
            <w:tcW w:w="0" w:type="auto"/>
            <w:shd w:val="clear" w:color="auto" w:fill="auto"/>
          </w:tcPr>
          <w:p w14:paraId="33DA94A6" w14:textId="77777777" w:rsidR="004D6A64" w:rsidRDefault="004D6A64">
            <w:pPr>
              <w:rPr>
                <w:rFonts w:ascii="宋体"/>
              </w:rPr>
            </w:pPr>
          </w:p>
        </w:tc>
        <w:tc>
          <w:tcPr>
            <w:tcW w:w="0" w:type="auto"/>
            <w:shd w:val="clear" w:color="auto" w:fill="auto"/>
          </w:tcPr>
          <w:p w14:paraId="33DA94A7" w14:textId="77777777" w:rsidR="004D6A64" w:rsidRDefault="004D6A64">
            <w:pPr>
              <w:rPr>
                <w:rFonts w:ascii="宋体"/>
              </w:rPr>
            </w:pPr>
          </w:p>
        </w:tc>
        <w:tc>
          <w:tcPr>
            <w:tcW w:w="0" w:type="auto"/>
            <w:shd w:val="clear" w:color="auto" w:fill="auto"/>
          </w:tcPr>
          <w:p w14:paraId="33DA94A8" w14:textId="77777777" w:rsidR="004D6A64" w:rsidRDefault="004D6A64">
            <w:pPr>
              <w:rPr>
                <w:rFonts w:ascii="宋体"/>
              </w:rPr>
            </w:pPr>
          </w:p>
        </w:tc>
      </w:tr>
      <w:tr w:rsidR="004D6A64" w14:paraId="33DA94C2" w14:textId="77777777">
        <w:tc>
          <w:tcPr>
            <w:tcW w:w="0" w:type="auto"/>
            <w:gridSpan w:val="3"/>
            <w:shd w:val="clear" w:color="auto" w:fill="CCEEFF"/>
            <w:tcMar>
              <w:top w:w="40" w:type="dxa"/>
              <w:left w:w="495" w:type="dxa"/>
              <w:bottom w:w="40" w:type="dxa"/>
              <w:right w:w="20" w:type="dxa"/>
            </w:tcMar>
            <w:vAlign w:val="bottom"/>
          </w:tcPr>
          <w:p w14:paraId="33DA94AA" w14:textId="77777777" w:rsidR="004D6A64" w:rsidRDefault="00506CD6">
            <w:pPr>
              <w:textAlignment w:val="bottom"/>
            </w:pPr>
            <w:r>
              <w:rPr>
                <w:rFonts w:ascii="Times New Roman" w:eastAsia="宋体" w:hAnsi="Times New Roman"/>
                <w:color w:val="000000"/>
                <w:sz w:val="20"/>
                <w:szCs w:val="20"/>
              </w:rPr>
              <w:t>Reclassification adjustments for net losses from pension and other postretirement plans</w:t>
            </w:r>
          </w:p>
        </w:tc>
        <w:tc>
          <w:tcPr>
            <w:tcW w:w="0" w:type="auto"/>
            <w:gridSpan w:val="2"/>
            <w:shd w:val="clear" w:color="auto" w:fill="CCEEFF"/>
            <w:tcMar>
              <w:top w:w="40" w:type="dxa"/>
              <w:left w:w="20" w:type="dxa"/>
              <w:bottom w:w="40" w:type="dxa"/>
              <w:right w:w="0" w:type="dxa"/>
            </w:tcMar>
            <w:vAlign w:val="bottom"/>
          </w:tcPr>
          <w:p w14:paraId="33DA94AB" w14:textId="77777777" w:rsidR="004D6A64" w:rsidRDefault="00506CD6">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bottom w:w="40" w:type="dxa"/>
              <w:right w:w="20" w:type="dxa"/>
            </w:tcMar>
            <w:vAlign w:val="bottom"/>
          </w:tcPr>
          <w:p w14:paraId="33DA94A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4AD"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4AE"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4A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4B0"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4B1" w14:textId="77777777" w:rsidR="004D6A64" w:rsidRDefault="00506CD6">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bottom w:w="40" w:type="dxa"/>
              <w:right w:w="20" w:type="dxa"/>
            </w:tcMar>
            <w:vAlign w:val="bottom"/>
          </w:tcPr>
          <w:p w14:paraId="33DA94B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4B3"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4B4"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4B5" w14:textId="77777777" w:rsidR="004D6A64" w:rsidRDefault="004D6A64">
            <w:pPr>
              <w:jc w:val="right"/>
              <w:rPr>
                <w:rFonts w:ascii="宋体"/>
              </w:rPr>
            </w:pPr>
          </w:p>
        </w:tc>
        <w:tc>
          <w:tcPr>
            <w:tcW w:w="0" w:type="auto"/>
            <w:shd w:val="clear" w:color="auto" w:fill="auto"/>
          </w:tcPr>
          <w:p w14:paraId="33DA94B6" w14:textId="77777777" w:rsidR="004D6A64" w:rsidRDefault="004D6A64">
            <w:pPr>
              <w:rPr>
                <w:rFonts w:ascii="宋体"/>
              </w:rPr>
            </w:pPr>
          </w:p>
        </w:tc>
        <w:tc>
          <w:tcPr>
            <w:tcW w:w="0" w:type="auto"/>
            <w:shd w:val="clear" w:color="auto" w:fill="auto"/>
          </w:tcPr>
          <w:p w14:paraId="33DA94B7" w14:textId="77777777" w:rsidR="004D6A64" w:rsidRDefault="004D6A64">
            <w:pPr>
              <w:rPr>
                <w:rFonts w:ascii="宋体"/>
              </w:rPr>
            </w:pPr>
          </w:p>
        </w:tc>
        <w:tc>
          <w:tcPr>
            <w:tcW w:w="0" w:type="auto"/>
            <w:shd w:val="clear" w:color="auto" w:fill="auto"/>
          </w:tcPr>
          <w:p w14:paraId="33DA94B8" w14:textId="77777777" w:rsidR="004D6A64" w:rsidRDefault="004D6A64">
            <w:pPr>
              <w:rPr>
                <w:rFonts w:ascii="宋体"/>
              </w:rPr>
            </w:pPr>
          </w:p>
        </w:tc>
        <w:tc>
          <w:tcPr>
            <w:tcW w:w="0" w:type="auto"/>
            <w:shd w:val="clear" w:color="auto" w:fill="auto"/>
          </w:tcPr>
          <w:p w14:paraId="33DA94B9" w14:textId="77777777" w:rsidR="004D6A64" w:rsidRDefault="004D6A64">
            <w:pPr>
              <w:rPr>
                <w:rFonts w:ascii="宋体"/>
              </w:rPr>
            </w:pPr>
          </w:p>
        </w:tc>
        <w:tc>
          <w:tcPr>
            <w:tcW w:w="0" w:type="auto"/>
            <w:shd w:val="clear" w:color="auto" w:fill="auto"/>
          </w:tcPr>
          <w:p w14:paraId="33DA94BA" w14:textId="77777777" w:rsidR="004D6A64" w:rsidRDefault="004D6A64">
            <w:pPr>
              <w:rPr>
                <w:rFonts w:ascii="宋体"/>
              </w:rPr>
            </w:pPr>
          </w:p>
        </w:tc>
        <w:tc>
          <w:tcPr>
            <w:tcW w:w="0" w:type="auto"/>
            <w:shd w:val="clear" w:color="auto" w:fill="auto"/>
          </w:tcPr>
          <w:p w14:paraId="33DA94BB" w14:textId="77777777" w:rsidR="004D6A64" w:rsidRDefault="004D6A64">
            <w:pPr>
              <w:rPr>
                <w:rFonts w:ascii="宋体"/>
              </w:rPr>
            </w:pPr>
          </w:p>
        </w:tc>
        <w:tc>
          <w:tcPr>
            <w:tcW w:w="0" w:type="auto"/>
            <w:shd w:val="clear" w:color="auto" w:fill="auto"/>
          </w:tcPr>
          <w:p w14:paraId="33DA94BC" w14:textId="77777777" w:rsidR="004D6A64" w:rsidRDefault="004D6A64">
            <w:pPr>
              <w:rPr>
                <w:rFonts w:ascii="宋体"/>
              </w:rPr>
            </w:pPr>
          </w:p>
        </w:tc>
        <w:tc>
          <w:tcPr>
            <w:tcW w:w="0" w:type="auto"/>
            <w:shd w:val="clear" w:color="auto" w:fill="auto"/>
          </w:tcPr>
          <w:p w14:paraId="33DA94BD" w14:textId="77777777" w:rsidR="004D6A64" w:rsidRDefault="004D6A64">
            <w:pPr>
              <w:rPr>
                <w:rFonts w:ascii="宋体"/>
              </w:rPr>
            </w:pPr>
          </w:p>
        </w:tc>
        <w:tc>
          <w:tcPr>
            <w:tcW w:w="0" w:type="auto"/>
            <w:shd w:val="clear" w:color="auto" w:fill="auto"/>
          </w:tcPr>
          <w:p w14:paraId="33DA94BE" w14:textId="77777777" w:rsidR="004D6A64" w:rsidRDefault="004D6A64">
            <w:pPr>
              <w:rPr>
                <w:rFonts w:ascii="宋体"/>
              </w:rPr>
            </w:pPr>
          </w:p>
        </w:tc>
        <w:tc>
          <w:tcPr>
            <w:tcW w:w="0" w:type="auto"/>
            <w:shd w:val="clear" w:color="auto" w:fill="auto"/>
          </w:tcPr>
          <w:p w14:paraId="33DA94BF" w14:textId="77777777" w:rsidR="004D6A64" w:rsidRDefault="004D6A64">
            <w:pPr>
              <w:rPr>
                <w:rFonts w:ascii="宋体"/>
              </w:rPr>
            </w:pPr>
          </w:p>
        </w:tc>
        <w:tc>
          <w:tcPr>
            <w:tcW w:w="0" w:type="auto"/>
            <w:shd w:val="clear" w:color="auto" w:fill="auto"/>
          </w:tcPr>
          <w:p w14:paraId="33DA94C0" w14:textId="77777777" w:rsidR="004D6A64" w:rsidRDefault="004D6A64">
            <w:pPr>
              <w:rPr>
                <w:rFonts w:ascii="宋体"/>
              </w:rPr>
            </w:pPr>
          </w:p>
        </w:tc>
        <w:tc>
          <w:tcPr>
            <w:tcW w:w="0" w:type="auto"/>
            <w:shd w:val="clear" w:color="auto" w:fill="auto"/>
          </w:tcPr>
          <w:p w14:paraId="33DA94C1" w14:textId="77777777" w:rsidR="004D6A64" w:rsidRDefault="004D6A64">
            <w:pPr>
              <w:rPr>
                <w:rFonts w:ascii="宋体"/>
              </w:rPr>
            </w:pPr>
          </w:p>
        </w:tc>
      </w:tr>
      <w:tr w:rsidR="004D6A64" w14:paraId="33DA94DB" w14:textId="77777777">
        <w:tc>
          <w:tcPr>
            <w:tcW w:w="0" w:type="auto"/>
            <w:gridSpan w:val="3"/>
            <w:shd w:val="clear" w:color="auto" w:fill="FFFFFF"/>
            <w:tcMar>
              <w:top w:w="40" w:type="dxa"/>
              <w:left w:w="720" w:type="dxa"/>
              <w:bottom w:w="40" w:type="dxa"/>
              <w:right w:w="20" w:type="dxa"/>
            </w:tcMar>
            <w:vAlign w:val="bottom"/>
          </w:tcPr>
          <w:p w14:paraId="33DA94C3" w14:textId="77777777" w:rsidR="004D6A64" w:rsidRDefault="00506CD6">
            <w:pPr>
              <w:textAlignment w:val="bottom"/>
            </w:pPr>
            <w:r>
              <w:rPr>
                <w:rFonts w:ascii="Times New Roman" w:eastAsia="宋体" w:hAnsi="Times New Roman"/>
                <w:color w:val="000000"/>
                <w:sz w:val="20"/>
                <w:szCs w:val="20"/>
              </w:rPr>
              <w:t>Net change in actuarial net gains (losses) from pension and other postretirement plans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3DA94C4" w14:textId="77777777" w:rsidR="004D6A64" w:rsidRDefault="00506CD6">
            <w:pPr>
              <w:jc w:val="right"/>
              <w:textAlignment w:val="bottom"/>
            </w:pPr>
            <w:r>
              <w:rPr>
                <w:rFonts w:ascii="Times New Roman" w:eastAsia="宋体" w:hAnsi="Times New Roman"/>
                <w:color w:val="000000"/>
                <w:sz w:val="20"/>
                <w:szCs w:val="20"/>
              </w:rPr>
              <w:t>(13)</w:t>
            </w:r>
          </w:p>
        </w:tc>
        <w:tc>
          <w:tcPr>
            <w:tcW w:w="0" w:type="auto"/>
            <w:tcBorders>
              <w:top w:val="single" w:sz="8" w:space="0" w:color="000000"/>
            </w:tcBorders>
            <w:shd w:val="clear" w:color="auto" w:fill="FFFFFF"/>
            <w:tcMar>
              <w:top w:w="40" w:type="dxa"/>
              <w:bottom w:w="40" w:type="dxa"/>
              <w:right w:w="20" w:type="dxa"/>
            </w:tcMar>
            <w:vAlign w:val="bottom"/>
          </w:tcPr>
          <w:p w14:paraId="33DA94C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4C6" w14:textId="77777777" w:rsidR="004D6A64" w:rsidRDefault="004D6A6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3DA94C7" w14:textId="77777777" w:rsidR="004D6A64" w:rsidRDefault="00506CD6">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FFFFFF"/>
            <w:tcMar>
              <w:top w:w="40" w:type="dxa"/>
              <w:bottom w:w="40" w:type="dxa"/>
              <w:right w:w="20" w:type="dxa"/>
            </w:tcMar>
            <w:vAlign w:val="bottom"/>
          </w:tcPr>
          <w:p w14:paraId="33DA94C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4C9"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3DA94CA" w14:textId="77777777" w:rsidR="004D6A64" w:rsidRDefault="00506CD6">
            <w:pPr>
              <w:jc w:val="right"/>
              <w:textAlignment w:val="bottom"/>
            </w:pPr>
            <w:r>
              <w:rPr>
                <w:rFonts w:ascii="Times New Roman" w:eastAsia="宋体" w:hAnsi="Times New Roman"/>
                <w:color w:val="000000"/>
                <w:sz w:val="20"/>
                <w:szCs w:val="20"/>
              </w:rPr>
              <w:t>(18)</w:t>
            </w:r>
          </w:p>
        </w:tc>
        <w:tc>
          <w:tcPr>
            <w:tcW w:w="0" w:type="auto"/>
            <w:tcBorders>
              <w:top w:val="single" w:sz="8" w:space="0" w:color="000000"/>
            </w:tcBorders>
            <w:shd w:val="clear" w:color="auto" w:fill="FFFFFF"/>
            <w:tcMar>
              <w:top w:w="40" w:type="dxa"/>
              <w:bottom w:w="40" w:type="dxa"/>
              <w:right w:w="20" w:type="dxa"/>
            </w:tcMar>
            <w:vAlign w:val="bottom"/>
          </w:tcPr>
          <w:p w14:paraId="33DA94C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4CC" w14:textId="77777777" w:rsidR="004D6A64" w:rsidRDefault="004D6A6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3DA94CD" w14:textId="77777777" w:rsidR="004D6A64" w:rsidRDefault="00506CD6">
            <w:pPr>
              <w:jc w:val="right"/>
              <w:textAlignment w:val="bottom"/>
            </w:pPr>
            <w:r>
              <w:rPr>
                <w:rFonts w:ascii="Times New Roman" w:eastAsia="宋体" w:hAnsi="Times New Roman"/>
                <w:color w:val="000000"/>
                <w:sz w:val="20"/>
                <w:szCs w:val="20"/>
              </w:rPr>
              <w:t>8 </w:t>
            </w:r>
          </w:p>
        </w:tc>
        <w:tc>
          <w:tcPr>
            <w:tcW w:w="0" w:type="auto"/>
            <w:tcBorders>
              <w:top w:val="single" w:sz="8" w:space="0" w:color="000000"/>
            </w:tcBorders>
            <w:shd w:val="clear" w:color="auto" w:fill="FFFFFF"/>
            <w:tcMar>
              <w:top w:w="40" w:type="dxa"/>
              <w:bottom w:w="40" w:type="dxa"/>
              <w:right w:w="20" w:type="dxa"/>
            </w:tcMar>
            <w:vAlign w:val="bottom"/>
          </w:tcPr>
          <w:p w14:paraId="33DA94CE" w14:textId="77777777" w:rsidR="004D6A64" w:rsidRDefault="004D6A64">
            <w:pPr>
              <w:jc w:val="right"/>
              <w:rPr>
                <w:rFonts w:ascii="宋体"/>
              </w:rPr>
            </w:pPr>
          </w:p>
        </w:tc>
        <w:tc>
          <w:tcPr>
            <w:tcW w:w="0" w:type="auto"/>
            <w:shd w:val="clear" w:color="auto" w:fill="auto"/>
          </w:tcPr>
          <w:p w14:paraId="33DA94CF" w14:textId="77777777" w:rsidR="004D6A64" w:rsidRDefault="004D6A64">
            <w:pPr>
              <w:rPr>
                <w:rFonts w:ascii="宋体"/>
              </w:rPr>
            </w:pPr>
          </w:p>
        </w:tc>
        <w:tc>
          <w:tcPr>
            <w:tcW w:w="0" w:type="auto"/>
            <w:shd w:val="clear" w:color="auto" w:fill="auto"/>
          </w:tcPr>
          <w:p w14:paraId="33DA94D0" w14:textId="77777777" w:rsidR="004D6A64" w:rsidRDefault="004D6A64">
            <w:pPr>
              <w:rPr>
                <w:rFonts w:ascii="宋体"/>
              </w:rPr>
            </w:pPr>
          </w:p>
        </w:tc>
        <w:tc>
          <w:tcPr>
            <w:tcW w:w="0" w:type="auto"/>
            <w:shd w:val="clear" w:color="auto" w:fill="auto"/>
          </w:tcPr>
          <w:p w14:paraId="33DA94D1" w14:textId="77777777" w:rsidR="004D6A64" w:rsidRDefault="004D6A64">
            <w:pPr>
              <w:rPr>
                <w:rFonts w:ascii="宋体"/>
              </w:rPr>
            </w:pPr>
          </w:p>
        </w:tc>
        <w:tc>
          <w:tcPr>
            <w:tcW w:w="0" w:type="auto"/>
            <w:shd w:val="clear" w:color="auto" w:fill="auto"/>
          </w:tcPr>
          <w:p w14:paraId="33DA94D2" w14:textId="77777777" w:rsidR="004D6A64" w:rsidRDefault="004D6A64">
            <w:pPr>
              <w:rPr>
                <w:rFonts w:ascii="宋体"/>
              </w:rPr>
            </w:pPr>
          </w:p>
        </w:tc>
        <w:tc>
          <w:tcPr>
            <w:tcW w:w="0" w:type="auto"/>
            <w:shd w:val="clear" w:color="auto" w:fill="auto"/>
          </w:tcPr>
          <w:p w14:paraId="33DA94D3" w14:textId="77777777" w:rsidR="004D6A64" w:rsidRDefault="004D6A64">
            <w:pPr>
              <w:rPr>
                <w:rFonts w:ascii="宋体"/>
              </w:rPr>
            </w:pPr>
          </w:p>
        </w:tc>
        <w:tc>
          <w:tcPr>
            <w:tcW w:w="0" w:type="auto"/>
            <w:shd w:val="clear" w:color="auto" w:fill="auto"/>
          </w:tcPr>
          <w:p w14:paraId="33DA94D4" w14:textId="77777777" w:rsidR="004D6A64" w:rsidRDefault="004D6A64">
            <w:pPr>
              <w:rPr>
                <w:rFonts w:ascii="宋体"/>
              </w:rPr>
            </w:pPr>
          </w:p>
        </w:tc>
        <w:tc>
          <w:tcPr>
            <w:tcW w:w="0" w:type="auto"/>
            <w:shd w:val="clear" w:color="auto" w:fill="auto"/>
          </w:tcPr>
          <w:p w14:paraId="33DA94D5" w14:textId="77777777" w:rsidR="004D6A64" w:rsidRDefault="004D6A64">
            <w:pPr>
              <w:rPr>
                <w:rFonts w:ascii="宋体"/>
              </w:rPr>
            </w:pPr>
          </w:p>
        </w:tc>
        <w:tc>
          <w:tcPr>
            <w:tcW w:w="0" w:type="auto"/>
            <w:shd w:val="clear" w:color="auto" w:fill="auto"/>
          </w:tcPr>
          <w:p w14:paraId="33DA94D6" w14:textId="77777777" w:rsidR="004D6A64" w:rsidRDefault="004D6A64">
            <w:pPr>
              <w:rPr>
                <w:rFonts w:ascii="宋体"/>
              </w:rPr>
            </w:pPr>
          </w:p>
        </w:tc>
        <w:tc>
          <w:tcPr>
            <w:tcW w:w="0" w:type="auto"/>
            <w:shd w:val="clear" w:color="auto" w:fill="auto"/>
          </w:tcPr>
          <w:p w14:paraId="33DA94D7" w14:textId="77777777" w:rsidR="004D6A64" w:rsidRDefault="004D6A64">
            <w:pPr>
              <w:rPr>
                <w:rFonts w:ascii="宋体"/>
              </w:rPr>
            </w:pPr>
          </w:p>
        </w:tc>
        <w:tc>
          <w:tcPr>
            <w:tcW w:w="0" w:type="auto"/>
            <w:shd w:val="clear" w:color="auto" w:fill="auto"/>
          </w:tcPr>
          <w:p w14:paraId="33DA94D8" w14:textId="77777777" w:rsidR="004D6A64" w:rsidRDefault="004D6A64">
            <w:pPr>
              <w:rPr>
                <w:rFonts w:ascii="宋体"/>
              </w:rPr>
            </w:pPr>
          </w:p>
        </w:tc>
        <w:tc>
          <w:tcPr>
            <w:tcW w:w="0" w:type="auto"/>
            <w:shd w:val="clear" w:color="auto" w:fill="auto"/>
          </w:tcPr>
          <w:p w14:paraId="33DA94D9" w14:textId="77777777" w:rsidR="004D6A64" w:rsidRDefault="004D6A64">
            <w:pPr>
              <w:rPr>
                <w:rFonts w:ascii="宋体"/>
              </w:rPr>
            </w:pPr>
          </w:p>
        </w:tc>
        <w:tc>
          <w:tcPr>
            <w:tcW w:w="0" w:type="auto"/>
            <w:shd w:val="clear" w:color="auto" w:fill="auto"/>
          </w:tcPr>
          <w:p w14:paraId="33DA94DA" w14:textId="77777777" w:rsidR="004D6A64" w:rsidRDefault="004D6A64">
            <w:pPr>
              <w:rPr>
                <w:rFonts w:ascii="宋体"/>
              </w:rPr>
            </w:pPr>
          </w:p>
        </w:tc>
      </w:tr>
      <w:tr w:rsidR="004D6A64" w14:paraId="33DA94F0" w14:textId="77777777">
        <w:trPr>
          <w:trHeight w:val="300"/>
        </w:trPr>
        <w:tc>
          <w:tcPr>
            <w:tcW w:w="0" w:type="auto"/>
            <w:gridSpan w:val="3"/>
            <w:shd w:val="clear" w:color="auto" w:fill="CCEEFF"/>
            <w:tcMar>
              <w:left w:w="225" w:type="dxa"/>
              <w:right w:w="20" w:type="dxa"/>
            </w:tcMar>
            <w:vAlign w:val="bottom"/>
          </w:tcPr>
          <w:p w14:paraId="33DA94DC" w14:textId="77777777" w:rsidR="004D6A64" w:rsidRDefault="004D6A64">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94D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4DE" w14:textId="77777777" w:rsidR="004D6A64" w:rsidRDefault="004D6A64">
            <w:pPr>
              <w:jc w:val="right"/>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94D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4E0" w14:textId="77777777" w:rsidR="004D6A64" w:rsidRDefault="004D6A64">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94E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4E2" w14:textId="77777777" w:rsidR="004D6A64" w:rsidRDefault="004D6A64">
            <w:pPr>
              <w:jc w:val="right"/>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94E3" w14:textId="77777777" w:rsidR="004D6A64" w:rsidRDefault="004D6A64">
            <w:pPr>
              <w:jc w:val="right"/>
              <w:rPr>
                <w:rFonts w:ascii="宋体"/>
              </w:rPr>
            </w:pPr>
          </w:p>
        </w:tc>
        <w:tc>
          <w:tcPr>
            <w:tcW w:w="0" w:type="auto"/>
            <w:shd w:val="clear" w:color="auto" w:fill="auto"/>
          </w:tcPr>
          <w:p w14:paraId="33DA94E4" w14:textId="77777777" w:rsidR="004D6A64" w:rsidRDefault="004D6A64">
            <w:pPr>
              <w:rPr>
                <w:rFonts w:ascii="宋体"/>
              </w:rPr>
            </w:pPr>
          </w:p>
        </w:tc>
        <w:tc>
          <w:tcPr>
            <w:tcW w:w="0" w:type="auto"/>
            <w:shd w:val="clear" w:color="auto" w:fill="auto"/>
          </w:tcPr>
          <w:p w14:paraId="33DA94E5" w14:textId="77777777" w:rsidR="004D6A64" w:rsidRDefault="004D6A64">
            <w:pPr>
              <w:rPr>
                <w:rFonts w:ascii="宋体"/>
              </w:rPr>
            </w:pPr>
          </w:p>
        </w:tc>
        <w:tc>
          <w:tcPr>
            <w:tcW w:w="0" w:type="auto"/>
            <w:shd w:val="clear" w:color="auto" w:fill="auto"/>
          </w:tcPr>
          <w:p w14:paraId="33DA94E6" w14:textId="77777777" w:rsidR="004D6A64" w:rsidRDefault="004D6A64">
            <w:pPr>
              <w:rPr>
                <w:rFonts w:ascii="宋体"/>
              </w:rPr>
            </w:pPr>
          </w:p>
        </w:tc>
        <w:tc>
          <w:tcPr>
            <w:tcW w:w="0" w:type="auto"/>
            <w:shd w:val="clear" w:color="auto" w:fill="auto"/>
          </w:tcPr>
          <w:p w14:paraId="33DA94E7" w14:textId="77777777" w:rsidR="004D6A64" w:rsidRDefault="004D6A64">
            <w:pPr>
              <w:rPr>
                <w:rFonts w:ascii="宋体"/>
              </w:rPr>
            </w:pPr>
          </w:p>
        </w:tc>
        <w:tc>
          <w:tcPr>
            <w:tcW w:w="0" w:type="auto"/>
            <w:shd w:val="clear" w:color="auto" w:fill="auto"/>
          </w:tcPr>
          <w:p w14:paraId="33DA94E8" w14:textId="77777777" w:rsidR="004D6A64" w:rsidRDefault="004D6A64">
            <w:pPr>
              <w:rPr>
                <w:rFonts w:ascii="宋体"/>
              </w:rPr>
            </w:pPr>
          </w:p>
        </w:tc>
        <w:tc>
          <w:tcPr>
            <w:tcW w:w="0" w:type="auto"/>
            <w:shd w:val="clear" w:color="auto" w:fill="auto"/>
          </w:tcPr>
          <w:p w14:paraId="33DA94E9" w14:textId="77777777" w:rsidR="004D6A64" w:rsidRDefault="004D6A64">
            <w:pPr>
              <w:rPr>
                <w:rFonts w:ascii="宋体"/>
              </w:rPr>
            </w:pPr>
          </w:p>
        </w:tc>
        <w:tc>
          <w:tcPr>
            <w:tcW w:w="0" w:type="auto"/>
            <w:shd w:val="clear" w:color="auto" w:fill="auto"/>
          </w:tcPr>
          <w:p w14:paraId="33DA94EA" w14:textId="77777777" w:rsidR="004D6A64" w:rsidRDefault="004D6A64">
            <w:pPr>
              <w:rPr>
                <w:rFonts w:ascii="宋体"/>
              </w:rPr>
            </w:pPr>
          </w:p>
        </w:tc>
        <w:tc>
          <w:tcPr>
            <w:tcW w:w="0" w:type="auto"/>
            <w:shd w:val="clear" w:color="auto" w:fill="auto"/>
          </w:tcPr>
          <w:p w14:paraId="33DA94EB" w14:textId="77777777" w:rsidR="004D6A64" w:rsidRDefault="004D6A64">
            <w:pPr>
              <w:rPr>
                <w:rFonts w:ascii="宋体"/>
              </w:rPr>
            </w:pPr>
          </w:p>
        </w:tc>
        <w:tc>
          <w:tcPr>
            <w:tcW w:w="0" w:type="auto"/>
            <w:shd w:val="clear" w:color="auto" w:fill="auto"/>
          </w:tcPr>
          <w:p w14:paraId="33DA94EC" w14:textId="77777777" w:rsidR="004D6A64" w:rsidRDefault="004D6A64">
            <w:pPr>
              <w:rPr>
                <w:rFonts w:ascii="宋体"/>
              </w:rPr>
            </w:pPr>
          </w:p>
        </w:tc>
        <w:tc>
          <w:tcPr>
            <w:tcW w:w="0" w:type="auto"/>
            <w:shd w:val="clear" w:color="auto" w:fill="auto"/>
          </w:tcPr>
          <w:p w14:paraId="33DA94ED" w14:textId="77777777" w:rsidR="004D6A64" w:rsidRDefault="004D6A64">
            <w:pPr>
              <w:rPr>
                <w:rFonts w:ascii="宋体"/>
              </w:rPr>
            </w:pPr>
          </w:p>
        </w:tc>
        <w:tc>
          <w:tcPr>
            <w:tcW w:w="0" w:type="auto"/>
            <w:shd w:val="clear" w:color="auto" w:fill="auto"/>
          </w:tcPr>
          <w:p w14:paraId="33DA94EE" w14:textId="77777777" w:rsidR="004D6A64" w:rsidRDefault="004D6A64">
            <w:pPr>
              <w:rPr>
                <w:rFonts w:ascii="宋体"/>
              </w:rPr>
            </w:pPr>
          </w:p>
        </w:tc>
        <w:tc>
          <w:tcPr>
            <w:tcW w:w="0" w:type="auto"/>
            <w:shd w:val="clear" w:color="auto" w:fill="auto"/>
          </w:tcPr>
          <w:p w14:paraId="33DA94EF" w14:textId="77777777" w:rsidR="004D6A64" w:rsidRDefault="004D6A64">
            <w:pPr>
              <w:rPr>
                <w:rFonts w:ascii="宋体"/>
              </w:rPr>
            </w:pPr>
          </w:p>
        </w:tc>
      </w:tr>
      <w:tr w:rsidR="004D6A64" w14:paraId="33DA9509" w14:textId="77777777">
        <w:tc>
          <w:tcPr>
            <w:tcW w:w="0" w:type="auto"/>
            <w:gridSpan w:val="3"/>
            <w:shd w:val="clear" w:color="auto" w:fill="FFFFFF"/>
            <w:tcMar>
              <w:top w:w="40" w:type="dxa"/>
              <w:left w:w="20" w:type="dxa"/>
              <w:bottom w:w="40" w:type="dxa"/>
              <w:right w:w="20" w:type="dxa"/>
            </w:tcMar>
            <w:vAlign w:val="bottom"/>
          </w:tcPr>
          <w:p w14:paraId="33DA94F1" w14:textId="77777777" w:rsidR="004D6A64" w:rsidRDefault="00506CD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Total other comprehensive income (loss), net of tax expense (benefit) of $(22) and $0, respectively, and $(12) and $7, respectively</w:t>
            </w:r>
          </w:p>
        </w:tc>
        <w:tc>
          <w:tcPr>
            <w:tcW w:w="0" w:type="auto"/>
            <w:gridSpan w:val="2"/>
            <w:shd w:val="clear" w:color="auto" w:fill="FFFFFF"/>
            <w:tcMar>
              <w:top w:w="40" w:type="dxa"/>
              <w:left w:w="20" w:type="dxa"/>
              <w:bottom w:w="40" w:type="dxa"/>
              <w:right w:w="0" w:type="dxa"/>
            </w:tcMar>
            <w:vAlign w:val="bottom"/>
          </w:tcPr>
          <w:p w14:paraId="33DA94F2" w14:textId="77777777" w:rsidR="004D6A64" w:rsidRDefault="00506CD6">
            <w:pPr>
              <w:jc w:val="right"/>
              <w:textAlignment w:val="bottom"/>
            </w:pPr>
            <w:r>
              <w:rPr>
                <w:rFonts w:ascii="Times New Roman" w:eastAsia="宋体" w:hAnsi="Times New Roman"/>
                <w:color w:val="000000"/>
                <w:sz w:val="20"/>
                <w:szCs w:val="20"/>
              </w:rPr>
              <w:t>132 </w:t>
            </w:r>
          </w:p>
        </w:tc>
        <w:tc>
          <w:tcPr>
            <w:tcW w:w="0" w:type="auto"/>
            <w:shd w:val="clear" w:color="auto" w:fill="FFFFFF"/>
            <w:tcMar>
              <w:top w:w="40" w:type="dxa"/>
              <w:bottom w:w="40" w:type="dxa"/>
              <w:right w:w="20" w:type="dxa"/>
            </w:tcMar>
            <w:vAlign w:val="bottom"/>
          </w:tcPr>
          <w:p w14:paraId="33DA94F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4F4"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4F5" w14:textId="77777777" w:rsidR="004D6A64" w:rsidRDefault="00506CD6">
            <w:pPr>
              <w:jc w:val="right"/>
              <w:textAlignment w:val="bottom"/>
            </w:pPr>
            <w:r>
              <w:rPr>
                <w:rFonts w:ascii="Times New Roman" w:eastAsia="宋体" w:hAnsi="Times New Roman"/>
                <w:color w:val="000000"/>
                <w:sz w:val="20"/>
                <w:szCs w:val="20"/>
              </w:rPr>
              <w:t>(40)</w:t>
            </w:r>
          </w:p>
        </w:tc>
        <w:tc>
          <w:tcPr>
            <w:tcW w:w="0" w:type="auto"/>
            <w:shd w:val="clear" w:color="auto" w:fill="FFFFFF"/>
            <w:tcMar>
              <w:top w:w="40" w:type="dxa"/>
              <w:bottom w:w="40" w:type="dxa"/>
              <w:right w:w="20" w:type="dxa"/>
            </w:tcMar>
            <w:vAlign w:val="bottom"/>
          </w:tcPr>
          <w:p w14:paraId="33DA94F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4F7"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4F8" w14:textId="77777777" w:rsidR="004D6A64" w:rsidRDefault="00506CD6">
            <w:pPr>
              <w:jc w:val="right"/>
              <w:textAlignment w:val="bottom"/>
            </w:pPr>
            <w:r>
              <w:rPr>
                <w:rFonts w:ascii="Times New Roman" w:eastAsia="宋体" w:hAnsi="Times New Roman"/>
                <w:color w:val="000000"/>
                <w:sz w:val="20"/>
                <w:szCs w:val="20"/>
              </w:rPr>
              <w:t>48 </w:t>
            </w:r>
          </w:p>
        </w:tc>
        <w:tc>
          <w:tcPr>
            <w:tcW w:w="0" w:type="auto"/>
            <w:shd w:val="clear" w:color="auto" w:fill="FFFFFF"/>
            <w:tcMar>
              <w:top w:w="40" w:type="dxa"/>
              <w:bottom w:w="40" w:type="dxa"/>
              <w:right w:w="20" w:type="dxa"/>
            </w:tcMar>
            <w:vAlign w:val="bottom"/>
          </w:tcPr>
          <w:p w14:paraId="33DA94F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4FA"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4FB" w14:textId="77777777" w:rsidR="004D6A64" w:rsidRDefault="00506CD6">
            <w:pPr>
              <w:jc w:val="right"/>
              <w:textAlignment w:val="bottom"/>
            </w:pPr>
            <w:r>
              <w:rPr>
                <w:rFonts w:ascii="Times New Roman" w:eastAsia="宋体" w:hAnsi="Times New Roman"/>
                <w:color w:val="000000"/>
                <w:sz w:val="20"/>
                <w:szCs w:val="20"/>
              </w:rPr>
              <w:t>(97)</w:t>
            </w:r>
          </w:p>
        </w:tc>
        <w:tc>
          <w:tcPr>
            <w:tcW w:w="0" w:type="auto"/>
            <w:shd w:val="clear" w:color="auto" w:fill="FFFFFF"/>
            <w:tcMar>
              <w:top w:w="40" w:type="dxa"/>
              <w:bottom w:w="40" w:type="dxa"/>
              <w:right w:w="20" w:type="dxa"/>
            </w:tcMar>
            <w:vAlign w:val="bottom"/>
          </w:tcPr>
          <w:p w14:paraId="33DA94FC" w14:textId="77777777" w:rsidR="004D6A64" w:rsidRDefault="004D6A64">
            <w:pPr>
              <w:jc w:val="right"/>
              <w:rPr>
                <w:rFonts w:ascii="宋体"/>
              </w:rPr>
            </w:pPr>
          </w:p>
        </w:tc>
        <w:tc>
          <w:tcPr>
            <w:tcW w:w="0" w:type="auto"/>
            <w:shd w:val="clear" w:color="auto" w:fill="auto"/>
          </w:tcPr>
          <w:p w14:paraId="33DA94FD" w14:textId="77777777" w:rsidR="004D6A64" w:rsidRDefault="004D6A64">
            <w:pPr>
              <w:rPr>
                <w:rFonts w:ascii="宋体"/>
              </w:rPr>
            </w:pPr>
          </w:p>
        </w:tc>
        <w:tc>
          <w:tcPr>
            <w:tcW w:w="0" w:type="auto"/>
            <w:shd w:val="clear" w:color="auto" w:fill="auto"/>
          </w:tcPr>
          <w:p w14:paraId="33DA94FE" w14:textId="77777777" w:rsidR="004D6A64" w:rsidRDefault="004D6A64">
            <w:pPr>
              <w:rPr>
                <w:rFonts w:ascii="宋体"/>
              </w:rPr>
            </w:pPr>
          </w:p>
        </w:tc>
        <w:tc>
          <w:tcPr>
            <w:tcW w:w="0" w:type="auto"/>
            <w:shd w:val="clear" w:color="auto" w:fill="auto"/>
          </w:tcPr>
          <w:p w14:paraId="33DA94FF" w14:textId="77777777" w:rsidR="004D6A64" w:rsidRDefault="004D6A64">
            <w:pPr>
              <w:rPr>
                <w:rFonts w:ascii="宋体"/>
              </w:rPr>
            </w:pPr>
          </w:p>
        </w:tc>
        <w:tc>
          <w:tcPr>
            <w:tcW w:w="0" w:type="auto"/>
            <w:shd w:val="clear" w:color="auto" w:fill="auto"/>
          </w:tcPr>
          <w:p w14:paraId="33DA9500" w14:textId="77777777" w:rsidR="004D6A64" w:rsidRDefault="004D6A64">
            <w:pPr>
              <w:rPr>
                <w:rFonts w:ascii="宋体"/>
              </w:rPr>
            </w:pPr>
          </w:p>
        </w:tc>
        <w:tc>
          <w:tcPr>
            <w:tcW w:w="0" w:type="auto"/>
            <w:shd w:val="clear" w:color="auto" w:fill="auto"/>
          </w:tcPr>
          <w:p w14:paraId="33DA9501" w14:textId="77777777" w:rsidR="004D6A64" w:rsidRDefault="004D6A64">
            <w:pPr>
              <w:rPr>
                <w:rFonts w:ascii="宋体"/>
              </w:rPr>
            </w:pPr>
          </w:p>
        </w:tc>
        <w:tc>
          <w:tcPr>
            <w:tcW w:w="0" w:type="auto"/>
            <w:shd w:val="clear" w:color="auto" w:fill="auto"/>
          </w:tcPr>
          <w:p w14:paraId="33DA9502" w14:textId="77777777" w:rsidR="004D6A64" w:rsidRDefault="004D6A64">
            <w:pPr>
              <w:rPr>
                <w:rFonts w:ascii="宋体"/>
              </w:rPr>
            </w:pPr>
          </w:p>
        </w:tc>
        <w:tc>
          <w:tcPr>
            <w:tcW w:w="0" w:type="auto"/>
            <w:shd w:val="clear" w:color="auto" w:fill="auto"/>
          </w:tcPr>
          <w:p w14:paraId="33DA9503" w14:textId="77777777" w:rsidR="004D6A64" w:rsidRDefault="004D6A64">
            <w:pPr>
              <w:rPr>
                <w:rFonts w:ascii="宋体"/>
              </w:rPr>
            </w:pPr>
          </w:p>
        </w:tc>
        <w:tc>
          <w:tcPr>
            <w:tcW w:w="0" w:type="auto"/>
            <w:shd w:val="clear" w:color="auto" w:fill="auto"/>
          </w:tcPr>
          <w:p w14:paraId="33DA9504" w14:textId="77777777" w:rsidR="004D6A64" w:rsidRDefault="004D6A64">
            <w:pPr>
              <w:rPr>
                <w:rFonts w:ascii="宋体"/>
              </w:rPr>
            </w:pPr>
          </w:p>
        </w:tc>
        <w:tc>
          <w:tcPr>
            <w:tcW w:w="0" w:type="auto"/>
            <w:shd w:val="clear" w:color="auto" w:fill="auto"/>
          </w:tcPr>
          <w:p w14:paraId="33DA9505" w14:textId="77777777" w:rsidR="004D6A64" w:rsidRDefault="004D6A64">
            <w:pPr>
              <w:rPr>
                <w:rFonts w:ascii="宋体"/>
              </w:rPr>
            </w:pPr>
          </w:p>
        </w:tc>
        <w:tc>
          <w:tcPr>
            <w:tcW w:w="0" w:type="auto"/>
            <w:shd w:val="clear" w:color="auto" w:fill="auto"/>
          </w:tcPr>
          <w:p w14:paraId="33DA9506" w14:textId="77777777" w:rsidR="004D6A64" w:rsidRDefault="004D6A64">
            <w:pPr>
              <w:rPr>
                <w:rFonts w:ascii="宋体"/>
              </w:rPr>
            </w:pPr>
          </w:p>
        </w:tc>
        <w:tc>
          <w:tcPr>
            <w:tcW w:w="0" w:type="auto"/>
            <w:shd w:val="clear" w:color="auto" w:fill="auto"/>
          </w:tcPr>
          <w:p w14:paraId="33DA9507" w14:textId="77777777" w:rsidR="004D6A64" w:rsidRDefault="004D6A64">
            <w:pPr>
              <w:rPr>
                <w:rFonts w:ascii="宋体"/>
              </w:rPr>
            </w:pPr>
          </w:p>
        </w:tc>
        <w:tc>
          <w:tcPr>
            <w:tcW w:w="0" w:type="auto"/>
            <w:shd w:val="clear" w:color="auto" w:fill="auto"/>
          </w:tcPr>
          <w:p w14:paraId="33DA9508" w14:textId="77777777" w:rsidR="004D6A64" w:rsidRDefault="004D6A64">
            <w:pPr>
              <w:rPr>
                <w:rFonts w:ascii="宋体"/>
              </w:rPr>
            </w:pPr>
          </w:p>
        </w:tc>
      </w:tr>
      <w:tr w:rsidR="004D6A64" w14:paraId="33DA9522" w14:textId="77777777">
        <w:tc>
          <w:tcPr>
            <w:tcW w:w="0" w:type="auto"/>
            <w:gridSpan w:val="3"/>
            <w:shd w:val="clear" w:color="auto" w:fill="CCEEFF"/>
            <w:tcMar>
              <w:top w:w="40" w:type="dxa"/>
              <w:left w:w="225" w:type="dxa"/>
              <w:bottom w:w="40" w:type="dxa"/>
              <w:right w:w="20" w:type="dxa"/>
            </w:tcMar>
            <w:vAlign w:val="bottom"/>
          </w:tcPr>
          <w:p w14:paraId="33DA950A" w14:textId="77777777" w:rsidR="004D6A64" w:rsidRDefault="00506CD6">
            <w:pPr>
              <w:textAlignment w:val="bottom"/>
            </w:pPr>
            <w:r>
              <w:rPr>
                <w:rFonts w:ascii="Times New Roman" w:eastAsia="宋体" w:hAnsi="Times New Roman"/>
                <w:color w:val="000000"/>
                <w:sz w:val="20"/>
                <w:szCs w:val="20"/>
              </w:rPr>
              <w:t>Comprehensive income, net of tax</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3DA950B" w14:textId="77777777" w:rsidR="004D6A64" w:rsidRDefault="00506CD6">
            <w:pPr>
              <w:jc w:val="right"/>
              <w:textAlignment w:val="bottom"/>
            </w:pPr>
            <w:r>
              <w:rPr>
                <w:rFonts w:ascii="Times New Roman" w:eastAsia="宋体" w:hAnsi="Times New Roman"/>
                <w:color w:val="000000"/>
                <w:sz w:val="20"/>
                <w:szCs w:val="20"/>
              </w:rPr>
              <w:t>1,231 </w:t>
            </w:r>
          </w:p>
        </w:tc>
        <w:tc>
          <w:tcPr>
            <w:tcW w:w="0" w:type="auto"/>
            <w:tcBorders>
              <w:top w:val="single" w:sz="8" w:space="0" w:color="000000"/>
            </w:tcBorders>
            <w:shd w:val="clear" w:color="auto" w:fill="CCEEFF"/>
            <w:tcMar>
              <w:top w:w="40" w:type="dxa"/>
              <w:bottom w:w="40" w:type="dxa"/>
              <w:right w:w="20" w:type="dxa"/>
            </w:tcMar>
            <w:vAlign w:val="bottom"/>
          </w:tcPr>
          <w:p w14:paraId="33DA950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50D" w14:textId="77777777" w:rsidR="004D6A64" w:rsidRDefault="004D6A6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3DA950E" w14:textId="77777777" w:rsidR="004D6A64" w:rsidRDefault="00506CD6">
            <w:pPr>
              <w:jc w:val="right"/>
              <w:textAlignment w:val="bottom"/>
            </w:pPr>
            <w:r>
              <w:rPr>
                <w:rFonts w:ascii="Times New Roman" w:eastAsia="宋体" w:hAnsi="Times New Roman"/>
                <w:color w:val="000000"/>
                <w:sz w:val="20"/>
                <w:szCs w:val="20"/>
              </w:rPr>
              <w:t>4,192 </w:t>
            </w:r>
          </w:p>
        </w:tc>
        <w:tc>
          <w:tcPr>
            <w:tcW w:w="0" w:type="auto"/>
            <w:tcBorders>
              <w:top w:val="single" w:sz="8" w:space="0" w:color="000000"/>
            </w:tcBorders>
            <w:shd w:val="clear" w:color="auto" w:fill="CCEEFF"/>
            <w:tcMar>
              <w:top w:w="40" w:type="dxa"/>
              <w:bottom w:w="40" w:type="dxa"/>
              <w:right w:w="20" w:type="dxa"/>
            </w:tcMar>
            <w:vAlign w:val="bottom"/>
          </w:tcPr>
          <w:p w14:paraId="33DA950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510"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3DA9511" w14:textId="77777777" w:rsidR="004D6A64" w:rsidRDefault="00506CD6">
            <w:pPr>
              <w:jc w:val="right"/>
              <w:textAlignment w:val="bottom"/>
            </w:pPr>
            <w:r>
              <w:rPr>
                <w:rFonts w:ascii="Times New Roman" w:eastAsia="宋体" w:hAnsi="Times New Roman"/>
                <w:color w:val="000000"/>
                <w:sz w:val="20"/>
                <w:szCs w:val="20"/>
              </w:rPr>
              <w:t>1,329 </w:t>
            </w:r>
          </w:p>
        </w:tc>
        <w:tc>
          <w:tcPr>
            <w:tcW w:w="0" w:type="auto"/>
            <w:tcBorders>
              <w:top w:val="single" w:sz="8" w:space="0" w:color="000000"/>
            </w:tcBorders>
            <w:shd w:val="clear" w:color="auto" w:fill="CCEEFF"/>
            <w:tcMar>
              <w:top w:w="40" w:type="dxa"/>
              <w:bottom w:w="40" w:type="dxa"/>
              <w:right w:w="20" w:type="dxa"/>
            </w:tcMar>
            <w:vAlign w:val="bottom"/>
          </w:tcPr>
          <w:p w14:paraId="33DA951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513" w14:textId="77777777" w:rsidR="004D6A64" w:rsidRDefault="004D6A6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3DA9514" w14:textId="77777777" w:rsidR="004D6A64" w:rsidRDefault="00506CD6">
            <w:pPr>
              <w:jc w:val="right"/>
              <w:textAlignment w:val="bottom"/>
            </w:pPr>
            <w:r>
              <w:rPr>
                <w:rFonts w:ascii="Times New Roman" w:eastAsia="宋体" w:hAnsi="Times New Roman"/>
                <w:color w:val="000000"/>
                <w:sz w:val="20"/>
                <w:szCs w:val="20"/>
              </w:rPr>
              <w:t>4,464 </w:t>
            </w:r>
          </w:p>
        </w:tc>
        <w:tc>
          <w:tcPr>
            <w:tcW w:w="0" w:type="auto"/>
            <w:tcBorders>
              <w:top w:val="single" w:sz="8" w:space="0" w:color="000000"/>
            </w:tcBorders>
            <w:shd w:val="clear" w:color="auto" w:fill="CCEEFF"/>
            <w:tcMar>
              <w:top w:w="40" w:type="dxa"/>
              <w:bottom w:w="40" w:type="dxa"/>
              <w:right w:w="20" w:type="dxa"/>
            </w:tcMar>
            <w:vAlign w:val="bottom"/>
          </w:tcPr>
          <w:p w14:paraId="33DA9515" w14:textId="77777777" w:rsidR="004D6A64" w:rsidRDefault="004D6A64">
            <w:pPr>
              <w:jc w:val="right"/>
              <w:rPr>
                <w:rFonts w:ascii="宋体"/>
              </w:rPr>
            </w:pPr>
          </w:p>
        </w:tc>
        <w:tc>
          <w:tcPr>
            <w:tcW w:w="0" w:type="auto"/>
            <w:shd w:val="clear" w:color="auto" w:fill="auto"/>
          </w:tcPr>
          <w:p w14:paraId="33DA9516" w14:textId="77777777" w:rsidR="004D6A64" w:rsidRDefault="004D6A64">
            <w:pPr>
              <w:rPr>
                <w:rFonts w:ascii="宋体"/>
              </w:rPr>
            </w:pPr>
          </w:p>
        </w:tc>
        <w:tc>
          <w:tcPr>
            <w:tcW w:w="0" w:type="auto"/>
            <w:shd w:val="clear" w:color="auto" w:fill="auto"/>
          </w:tcPr>
          <w:p w14:paraId="33DA9517" w14:textId="77777777" w:rsidR="004D6A64" w:rsidRDefault="004D6A64">
            <w:pPr>
              <w:rPr>
                <w:rFonts w:ascii="宋体"/>
              </w:rPr>
            </w:pPr>
          </w:p>
        </w:tc>
        <w:tc>
          <w:tcPr>
            <w:tcW w:w="0" w:type="auto"/>
            <w:shd w:val="clear" w:color="auto" w:fill="auto"/>
          </w:tcPr>
          <w:p w14:paraId="33DA9518" w14:textId="77777777" w:rsidR="004D6A64" w:rsidRDefault="004D6A64">
            <w:pPr>
              <w:rPr>
                <w:rFonts w:ascii="宋体"/>
              </w:rPr>
            </w:pPr>
          </w:p>
        </w:tc>
        <w:tc>
          <w:tcPr>
            <w:tcW w:w="0" w:type="auto"/>
            <w:shd w:val="clear" w:color="auto" w:fill="auto"/>
          </w:tcPr>
          <w:p w14:paraId="33DA9519" w14:textId="77777777" w:rsidR="004D6A64" w:rsidRDefault="004D6A64">
            <w:pPr>
              <w:rPr>
                <w:rFonts w:ascii="宋体"/>
              </w:rPr>
            </w:pPr>
          </w:p>
        </w:tc>
        <w:tc>
          <w:tcPr>
            <w:tcW w:w="0" w:type="auto"/>
            <w:shd w:val="clear" w:color="auto" w:fill="auto"/>
          </w:tcPr>
          <w:p w14:paraId="33DA951A" w14:textId="77777777" w:rsidR="004D6A64" w:rsidRDefault="004D6A64">
            <w:pPr>
              <w:rPr>
                <w:rFonts w:ascii="宋体"/>
              </w:rPr>
            </w:pPr>
          </w:p>
        </w:tc>
        <w:tc>
          <w:tcPr>
            <w:tcW w:w="0" w:type="auto"/>
            <w:shd w:val="clear" w:color="auto" w:fill="auto"/>
          </w:tcPr>
          <w:p w14:paraId="33DA951B" w14:textId="77777777" w:rsidR="004D6A64" w:rsidRDefault="004D6A64">
            <w:pPr>
              <w:rPr>
                <w:rFonts w:ascii="宋体"/>
              </w:rPr>
            </w:pPr>
          </w:p>
        </w:tc>
        <w:tc>
          <w:tcPr>
            <w:tcW w:w="0" w:type="auto"/>
            <w:shd w:val="clear" w:color="auto" w:fill="auto"/>
          </w:tcPr>
          <w:p w14:paraId="33DA951C" w14:textId="77777777" w:rsidR="004D6A64" w:rsidRDefault="004D6A64">
            <w:pPr>
              <w:rPr>
                <w:rFonts w:ascii="宋体"/>
              </w:rPr>
            </w:pPr>
          </w:p>
        </w:tc>
        <w:tc>
          <w:tcPr>
            <w:tcW w:w="0" w:type="auto"/>
            <w:shd w:val="clear" w:color="auto" w:fill="auto"/>
          </w:tcPr>
          <w:p w14:paraId="33DA951D" w14:textId="77777777" w:rsidR="004D6A64" w:rsidRDefault="004D6A64">
            <w:pPr>
              <w:rPr>
                <w:rFonts w:ascii="宋体"/>
              </w:rPr>
            </w:pPr>
          </w:p>
        </w:tc>
        <w:tc>
          <w:tcPr>
            <w:tcW w:w="0" w:type="auto"/>
            <w:shd w:val="clear" w:color="auto" w:fill="auto"/>
          </w:tcPr>
          <w:p w14:paraId="33DA951E" w14:textId="77777777" w:rsidR="004D6A64" w:rsidRDefault="004D6A64">
            <w:pPr>
              <w:rPr>
                <w:rFonts w:ascii="宋体"/>
              </w:rPr>
            </w:pPr>
          </w:p>
        </w:tc>
        <w:tc>
          <w:tcPr>
            <w:tcW w:w="0" w:type="auto"/>
            <w:shd w:val="clear" w:color="auto" w:fill="auto"/>
          </w:tcPr>
          <w:p w14:paraId="33DA951F" w14:textId="77777777" w:rsidR="004D6A64" w:rsidRDefault="004D6A64">
            <w:pPr>
              <w:rPr>
                <w:rFonts w:ascii="宋体"/>
              </w:rPr>
            </w:pPr>
          </w:p>
        </w:tc>
        <w:tc>
          <w:tcPr>
            <w:tcW w:w="0" w:type="auto"/>
            <w:shd w:val="clear" w:color="auto" w:fill="auto"/>
          </w:tcPr>
          <w:p w14:paraId="33DA9520" w14:textId="77777777" w:rsidR="004D6A64" w:rsidRDefault="004D6A64">
            <w:pPr>
              <w:rPr>
                <w:rFonts w:ascii="宋体"/>
              </w:rPr>
            </w:pPr>
          </w:p>
        </w:tc>
        <w:tc>
          <w:tcPr>
            <w:tcW w:w="0" w:type="auto"/>
            <w:shd w:val="clear" w:color="auto" w:fill="auto"/>
          </w:tcPr>
          <w:p w14:paraId="33DA9521" w14:textId="77777777" w:rsidR="004D6A64" w:rsidRDefault="004D6A64">
            <w:pPr>
              <w:rPr>
                <w:rFonts w:ascii="宋体"/>
              </w:rPr>
            </w:pPr>
          </w:p>
        </w:tc>
      </w:tr>
      <w:tr w:rsidR="004D6A64" w14:paraId="33DA953B" w14:textId="77777777">
        <w:tc>
          <w:tcPr>
            <w:tcW w:w="0" w:type="auto"/>
            <w:gridSpan w:val="3"/>
            <w:shd w:val="clear" w:color="auto" w:fill="FFFFFF"/>
            <w:tcMar>
              <w:top w:w="40" w:type="dxa"/>
              <w:left w:w="495" w:type="dxa"/>
              <w:bottom w:w="40" w:type="dxa"/>
              <w:right w:w="20" w:type="dxa"/>
            </w:tcMar>
            <w:vAlign w:val="bottom"/>
          </w:tcPr>
          <w:p w14:paraId="33DA9523" w14:textId="77777777" w:rsidR="004D6A64" w:rsidRDefault="00506CD6">
            <w:pPr>
              <w:textAlignment w:val="bottom"/>
            </w:pPr>
            <w:r>
              <w:rPr>
                <w:rFonts w:ascii="Times New Roman" w:eastAsia="宋体" w:hAnsi="Times New Roman"/>
                <w:color w:val="000000"/>
                <w:sz w:val="20"/>
                <w:szCs w:val="20"/>
              </w:rPr>
              <w:t>Less: Net income attributable to non-controlling interests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3DA9524" w14:textId="77777777" w:rsidR="004D6A64" w:rsidRDefault="00506CD6">
            <w:pPr>
              <w:jc w:val="right"/>
              <w:textAlignment w:val="bottom"/>
            </w:pPr>
            <w:r>
              <w:rPr>
                <w:rFonts w:ascii="Times New Roman" w:eastAsia="宋体" w:hAnsi="Times New Roman"/>
                <w:color w:val="000000"/>
                <w:sz w:val="20"/>
                <w:szCs w:val="20"/>
              </w:rPr>
              <w:t>51 </w:t>
            </w:r>
          </w:p>
        </w:tc>
        <w:tc>
          <w:tcPr>
            <w:tcW w:w="0" w:type="auto"/>
            <w:tcBorders>
              <w:top w:val="single" w:sz="8" w:space="0" w:color="000000"/>
            </w:tcBorders>
            <w:shd w:val="clear" w:color="auto" w:fill="FFFFFF"/>
            <w:tcMar>
              <w:top w:w="40" w:type="dxa"/>
              <w:bottom w:w="40" w:type="dxa"/>
              <w:right w:w="20" w:type="dxa"/>
            </w:tcMar>
            <w:vAlign w:val="bottom"/>
          </w:tcPr>
          <w:p w14:paraId="33DA952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526" w14:textId="77777777" w:rsidR="004D6A64" w:rsidRDefault="004D6A6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3DA9527" w14:textId="77777777" w:rsidR="004D6A64" w:rsidRDefault="00506CD6">
            <w:pPr>
              <w:jc w:val="right"/>
              <w:textAlignment w:val="bottom"/>
            </w:pPr>
            <w:r>
              <w:rPr>
                <w:rFonts w:ascii="Times New Roman" w:eastAsia="宋体" w:hAnsi="Times New Roman"/>
                <w:color w:val="000000"/>
                <w:sz w:val="20"/>
                <w:szCs w:val="20"/>
              </w:rPr>
              <w:t>816 </w:t>
            </w:r>
          </w:p>
        </w:tc>
        <w:tc>
          <w:tcPr>
            <w:tcW w:w="0" w:type="auto"/>
            <w:tcBorders>
              <w:top w:val="single" w:sz="8" w:space="0" w:color="000000"/>
            </w:tcBorders>
            <w:shd w:val="clear" w:color="auto" w:fill="FFFFFF"/>
            <w:tcMar>
              <w:top w:w="40" w:type="dxa"/>
              <w:bottom w:w="40" w:type="dxa"/>
              <w:right w:w="20" w:type="dxa"/>
            </w:tcMar>
            <w:vAlign w:val="bottom"/>
          </w:tcPr>
          <w:p w14:paraId="33DA952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529"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3DA952A" w14:textId="77777777" w:rsidR="004D6A64" w:rsidRDefault="00506CD6">
            <w:pPr>
              <w:jc w:val="right"/>
              <w:textAlignment w:val="bottom"/>
            </w:pPr>
            <w:r>
              <w:rPr>
                <w:rFonts w:ascii="Times New Roman" w:eastAsia="宋体" w:hAnsi="Times New Roman"/>
                <w:color w:val="000000"/>
                <w:sz w:val="20"/>
                <w:szCs w:val="20"/>
              </w:rPr>
              <w:t>90 </w:t>
            </w:r>
          </w:p>
        </w:tc>
        <w:tc>
          <w:tcPr>
            <w:tcW w:w="0" w:type="auto"/>
            <w:tcBorders>
              <w:top w:val="single" w:sz="8" w:space="0" w:color="000000"/>
            </w:tcBorders>
            <w:shd w:val="clear" w:color="auto" w:fill="FFFFFF"/>
            <w:tcMar>
              <w:top w:w="40" w:type="dxa"/>
              <w:bottom w:w="40" w:type="dxa"/>
              <w:right w:w="20" w:type="dxa"/>
            </w:tcMar>
            <w:vAlign w:val="bottom"/>
          </w:tcPr>
          <w:p w14:paraId="33DA952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52C" w14:textId="77777777" w:rsidR="004D6A64" w:rsidRDefault="004D6A6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3DA952D" w14:textId="77777777" w:rsidR="004D6A64" w:rsidRDefault="00506CD6">
            <w:pPr>
              <w:jc w:val="right"/>
              <w:textAlignment w:val="bottom"/>
            </w:pPr>
            <w:r>
              <w:rPr>
                <w:rFonts w:ascii="Times New Roman" w:eastAsia="宋体" w:hAnsi="Times New Roman"/>
                <w:color w:val="000000"/>
                <w:sz w:val="20"/>
                <w:szCs w:val="20"/>
              </w:rPr>
              <w:t>852 </w:t>
            </w:r>
          </w:p>
        </w:tc>
        <w:tc>
          <w:tcPr>
            <w:tcW w:w="0" w:type="auto"/>
            <w:tcBorders>
              <w:top w:val="single" w:sz="8" w:space="0" w:color="000000"/>
            </w:tcBorders>
            <w:shd w:val="clear" w:color="auto" w:fill="FFFFFF"/>
            <w:tcMar>
              <w:top w:w="40" w:type="dxa"/>
              <w:bottom w:w="40" w:type="dxa"/>
              <w:right w:w="20" w:type="dxa"/>
            </w:tcMar>
            <w:vAlign w:val="bottom"/>
          </w:tcPr>
          <w:p w14:paraId="33DA952E" w14:textId="77777777" w:rsidR="004D6A64" w:rsidRDefault="004D6A64">
            <w:pPr>
              <w:jc w:val="right"/>
              <w:rPr>
                <w:rFonts w:ascii="宋体"/>
              </w:rPr>
            </w:pPr>
          </w:p>
        </w:tc>
        <w:tc>
          <w:tcPr>
            <w:tcW w:w="0" w:type="auto"/>
            <w:shd w:val="clear" w:color="auto" w:fill="auto"/>
          </w:tcPr>
          <w:p w14:paraId="33DA952F" w14:textId="77777777" w:rsidR="004D6A64" w:rsidRDefault="004D6A64">
            <w:pPr>
              <w:rPr>
                <w:rFonts w:ascii="宋体"/>
              </w:rPr>
            </w:pPr>
          </w:p>
        </w:tc>
        <w:tc>
          <w:tcPr>
            <w:tcW w:w="0" w:type="auto"/>
            <w:shd w:val="clear" w:color="auto" w:fill="auto"/>
          </w:tcPr>
          <w:p w14:paraId="33DA9530" w14:textId="77777777" w:rsidR="004D6A64" w:rsidRDefault="004D6A64">
            <w:pPr>
              <w:rPr>
                <w:rFonts w:ascii="宋体"/>
              </w:rPr>
            </w:pPr>
          </w:p>
        </w:tc>
        <w:tc>
          <w:tcPr>
            <w:tcW w:w="0" w:type="auto"/>
            <w:shd w:val="clear" w:color="auto" w:fill="auto"/>
          </w:tcPr>
          <w:p w14:paraId="33DA9531" w14:textId="77777777" w:rsidR="004D6A64" w:rsidRDefault="004D6A64">
            <w:pPr>
              <w:rPr>
                <w:rFonts w:ascii="宋体"/>
              </w:rPr>
            </w:pPr>
          </w:p>
        </w:tc>
        <w:tc>
          <w:tcPr>
            <w:tcW w:w="0" w:type="auto"/>
            <w:shd w:val="clear" w:color="auto" w:fill="auto"/>
          </w:tcPr>
          <w:p w14:paraId="33DA9532" w14:textId="77777777" w:rsidR="004D6A64" w:rsidRDefault="004D6A64">
            <w:pPr>
              <w:rPr>
                <w:rFonts w:ascii="宋体"/>
              </w:rPr>
            </w:pPr>
          </w:p>
        </w:tc>
        <w:tc>
          <w:tcPr>
            <w:tcW w:w="0" w:type="auto"/>
            <w:shd w:val="clear" w:color="auto" w:fill="auto"/>
          </w:tcPr>
          <w:p w14:paraId="33DA9533" w14:textId="77777777" w:rsidR="004D6A64" w:rsidRDefault="004D6A64">
            <w:pPr>
              <w:rPr>
                <w:rFonts w:ascii="宋体"/>
              </w:rPr>
            </w:pPr>
          </w:p>
        </w:tc>
        <w:tc>
          <w:tcPr>
            <w:tcW w:w="0" w:type="auto"/>
            <w:shd w:val="clear" w:color="auto" w:fill="auto"/>
          </w:tcPr>
          <w:p w14:paraId="33DA9534" w14:textId="77777777" w:rsidR="004D6A64" w:rsidRDefault="004D6A64">
            <w:pPr>
              <w:rPr>
                <w:rFonts w:ascii="宋体"/>
              </w:rPr>
            </w:pPr>
          </w:p>
        </w:tc>
        <w:tc>
          <w:tcPr>
            <w:tcW w:w="0" w:type="auto"/>
            <w:shd w:val="clear" w:color="auto" w:fill="auto"/>
          </w:tcPr>
          <w:p w14:paraId="33DA9535" w14:textId="77777777" w:rsidR="004D6A64" w:rsidRDefault="004D6A64">
            <w:pPr>
              <w:rPr>
                <w:rFonts w:ascii="宋体"/>
              </w:rPr>
            </w:pPr>
          </w:p>
        </w:tc>
        <w:tc>
          <w:tcPr>
            <w:tcW w:w="0" w:type="auto"/>
            <w:shd w:val="clear" w:color="auto" w:fill="auto"/>
          </w:tcPr>
          <w:p w14:paraId="33DA9536" w14:textId="77777777" w:rsidR="004D6A64" w:rsidRDefault="004D6A64">
            <w:pPr>
              <w:rPr>
                <w:rFonts w:ascii="宋体"/>
              </w:rPr>
            </w:pPr>
          </w:p>
        </w:tc>
        <w:tc>
          <w:tcPr>
            <w:tcW w:w="0" w:type="auto"/>
            <w:shd w:val="clear" w:color="auto" w:fill="auto"/>
          </w:tcPr>
          <w:p w14:paraId="33DA9537" w14:textId="77777777" w:rsidR="004D6A64" w:rsidRDefault="004D6A64">
            <w:pPr>
              <w:rPr>
                <w:rFonts w:ascii="宋体"/>
              </w:rPr>
            </w:pPr>
          </w:p>
        </w:tc>
        <w:tc>
          <w:tcPr>
            <w:tcW w:w="0" w:type="auto"/>
            <w:shd w:val="clear" w:color="auto" w:fill="auto"/>
          </w:tcPr>
          <w:p w14:paraId="33DA9538" w14:textId="77777777" w:rsidR="004D6A64" w:rsidRDefault="004D6A64">
            <w:pPr>
              <w:rPr>
                <w:rFonts w:ascii="宋体"/>
              </w:rPr>
            </w:pPr>
          </w:p>
        </w:tc>
        <w:tc>
          <w:tcPr>
            <w:tcW w:w="0" w:type="auto"/>
            <w:shd w:val="clear" w:color="auto" w:fill="auto"/>
          </w:tcPr>
          <w:p w14:paraId="33DA9539" w14:textId="77777777" w:rsidR="004D6A64" w:rsidRDefault="004D6A64">
            <w:pPr>
              <w:rPr>
                <w:rFonts w:ascii="宋体"/>
              </w:rPr>
            </w:pPr>
          </w:p>
        </w:tc>
        <w:tc>
          <w:tcPr>
            <w:tcW w:w="0" w:type="auto"/>
            <w:shd w:val="clear" w:color="auto" w:fill="auto"/>
          </w:tcPr>
          <w:p w14:paraId="33DA953A" w14:textId="77777777" w:rsidR="004D6A64" w:rsidRDefault="004D6A64">
            <w:pPr>
              <w:rPr>
                <w:rFonts w:ascii="宋体"/>
              </w:rPr>
            </w:pPr>
          </w:p>
        </w:tc>
      </w:tr>
      <w:tr w:rsidR="004D6A64" w14:paraId="33DA9554" w14:textId="77777777">
        <w:tc>
          <w:tcPr>
            <w:tcW w:w="0" w:type="auto"/>
            <w:gridSpan w:val="3"/>
            <w:shd w:val="clear" w:color="auto" w:fill="CCEEFF"/>
            <w:tcMar>
              <w:top w:w="40" w:type="dxa"/>
              <w:left w:w="495" w:type="dxa"/>
              <w:bottom w:w="40" w:type="dxa"/>
              <w:right w:w="20" w:type="dxa"/>
            </w:tcMar>
            <w:vAlign w:val="bottom"/>
          </w:tcPr>
          <w:p w14:paraId="33DA953C" w14:textId="77777777" w:rsidR="004D6A64" w:rsidRDefault="00506CD6">
            <w:pPr>
              <w:textAlignment w:val="bottom"/>
            </w:pPr>
            <w:r>
              <w:rPr>
                <w:rFonts w:ascii="Times New Roman" w:eastAsia="宋体" w:hAnsi="Times New Roman"/>
                <w:color w:val="000000"/>
                <w:sz w:val="20"/>
                <w:szCs w:val="20"/>
              </w:rPr>
              <w:t>Less: Other comprehensive income (loss) attributable to non-controlling interests</w:t>
            </w:r>
          </w:p>
        </w:tc>
        <w:tc>
          <w:tcPr>
            <w:tcW w:w="0" w:type="auto"/>
            <w:gridSpan w:val="2"/>
            <w:shd w:val="clear" w:color="auto" w:fill="CCEEFF"/>
            <w:tcMar>
              <w:top w:w="40" w:type="dxa"/>
              <w:left w:w="20" w:type="dxa"/>
              <w:bottom w:w="40" w:type="dxa"/>
              <w:right w:w="0" w:type="dxa"/>
            </w:tcMar>
            <w:vAlign w:val="bottom"/>
          </w:tcPr>
          <w:p w14:paraId="33DA953D" w14:textId="77777777" w:rsidR="004D6A64" w:rsidRDefault="00506CD6">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bottom w:w="40" w:type="dxa"/>
              <w:right w:w="20" w:type="dxa"/>
            </w:tcMar>
            <w:vAlign w:val="bottom"/>
          </w:tcPr>
          <w:p w14:paraId="33DA953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53F"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540"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54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54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543" w14:textId="77777777" w:rsidR="004D6A64" w:rsidRDefault="00506CD6">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bottom w:w="40" w:type="dxa"/>
              <w:right w:w="20" w:type="dxa"/>
            </w:tcMar>
            <w:vAlign w:val="bottom"/>
          </w:tcPr>
          <w:p w14:paraId="33DA954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545"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546" w14:textId="77777777" w:rsidR="004D6A64" w:rsidRDefault="00506CD6">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bottom w:w="40" w:type="dxa"/>
              <w:right w:w="20" w:type="dxa"/>
            </w:tcMar>
            <w:vAlign w:val="bottom"/>
          </w:tcPr>
          <w:p w14:paraId="33DA9547" w14:textId="77777777" w:rsidR="004D6A64" w:rsidRDefault="004D6A64">
            <w:pPr>
              <w:jc w:val="right"/>
              <w:rPr>
                <w:rFonts w:ascii="宋体"/>
              </w:rPr>
            </w:pPr>
          </w:p>
        </w:tc>
        <w:tc>
          <w:tcPr>
            <w:tcW w:w="0" w:type="auto"/>
            <w:shd w:val="clear" w:color="auto" w:fill="auto"/>
          </w:tcPr>
          <w:p w14:paraId="33DA9548" w14:textId="77777777" w:rsidR="004D6A64" w:rsidRDefault="004D6A64">
            <w:pPr>
              <w:rPr>
                <w:rFonts w:ascii="宋体"/>
              </w:rPr>
            </w:pPr>
          </w:p>
        </w:tc>
        <w:tc>
          <w:tcPr>
            <w:tcW w:w="0" w:type="auto"/>
            <w:shd w:val="clear" w:color="auto" w:fill="auto"/>
          </w:tcPr>
          <w:p w14:paraId="33DA9549" w14:textId="77777777" w:rsidR="004D6A64" w:rsidRDefault="004D6A64">
            <w:pPr>
              <w:rPr>
                <w:rFonts w:ascii="宋体"/>
              </w:rPr>
            </w:pPr>
          </w:p>
        </w:tc>
        <w:tc>
          <w:tcPr>
            <w:tcW w:w="0" w:type="auto"/>
            <w:shd w:val="clear" w:color="auto" w:fill="auto"/>
          </w:tcPr>
          <w:p w14:paraId="33DA954A" w14:textId="77777777" w:rsidR="004D6A64" w:rsidRDefault="004D6A64">
            <w:pPr>
              <w:rPr>
                <w:rFonts w:ascii="宋体"/>
              </w:rPr>
            </w:pPr>
          </w:p>
        </w:tc>
        <w:tc>
          <w:tcPr>
            <w:tcW w:w="0" w:type="auto"/>
            <w:shd w:val="clear" w:color="auto" w:fill="auto"/>
          </w:tcPr>
          <w:p w14:paraId="33DA954B" w14:textId="77777777" w:rsidR="004D6A64" w:rsidRDefault="004D6A64">
            <w:pPr>
              <w:rPr>
                <w:rFonts w:ascii="宋体"/>
              </w:rPr>
            </w:pPr>
          </w:p>
        </w:tc>
        <w:tc>
          <w:tcPr>
            <w:tcW w:w="0" w:type="auto"/>
            <w:shd w:val="clear" w:color="auto" w:fill="auto"/>
          </w:tcPr>
          <w:p w14:paraId="33DA954C" w14:textId="77777777" w:rsidR="004D6A64" w:rsidRDefault="004D6A64">
            <w:pPr>
              <w:rPr>
                <w:rFonts w:ascii="宋体"/>
              </w:rPr>
            </w:pPr>
          </w:p>
        </w:tc>
        <w:tc>
          <w:tcPr>
            <w:tcW w:w="0" w:type="auto"/>
            <w:shd w:val="clear" w:color="auto" w:fill="auto"/>
          </w:tcPr>
          <w:p w14:paraId="33DA954D" w14:textId="77777777" w:rsidR="004D6A64" w:rsidRDefault="004D6A64">
            <w:pPr>
              <w:rPr>
                <w:rFonts w:ascii="宋体"/>
              </w:rPr>
            </w:pPr>
          </w:p>
        </w:tc>
        <w:tc>
          <w:tcPr>
            <w:tcW w:w="0" w:type="auto"/>
            <w:shd w:val="clear" w:color="auto" w:fill="auto"/>
          </w:tcPr>
          <w:p w14:paraId="33DA954E" w14:textId="77777777" w:rsidR="004D6A64" w:rsidRDefault="004D6A64">
            <w:pPr>
              <w:rPr>
                <w:rFonts w:ascii="宋体"/>
              </w:rPr>
            </w:pPr>
          </w:p>
        </w:tc>
        <w:tc>
          <w:tcPr>
            <w:tcW w:w="0" w:type="auto"/>
            <w:shd w:val="clear" w:color="auto" w:fill="auto"/>
          </w:tcPr>
          <w:p w14:paraId="33DA954F" w14:textId="77777777" w:rsidR="004D6A64" w:rsidRDefault="004D6A64">
            <w:pPr>
              <w:rPr>
                <w:rFonts w:ascii="宋体"/>
              </w:rPr>
            </w:pPr>
          </w:p>
        </w:tc>
        <w:tc>
          <w:tcPr>
            <w:tcW w:w="0" w:type="auto"/>
            <w:shd w:val="clear" w:color="auto" w:fill="auto"/>
          </w:tcPr>
          <w:p w14:paraId="33DA9550" w14:textId="77777777" w:rsidR="004D6A64" w:rsidRDefault="004D6A64">
            <w:pPr>
              <w:rPr>
                <w:rFonts w:ascii="宋体"/>
              </w:rPr>
            </w:pPr>
          </w:p>
        </w:tc>
        <w:tc>
          <w:tcPr>
            <w:tcW w:w="0" w:type="auto"/>
            <w:shd w:val="clear" w:color="auto" w:fill="auto"/>
          </w:tcPr>
          <w:p w14:paraId="33DA9551" w14:textId="77777777" w:rsidR="004D6A64" w:rsidRDefault="004D6A64">
            <w:pPr>
              <w:rPr>
                <w:rFonts w:ascii="宋体"/>
              </w:rPr>
            </w:pPr>
          </w:p>
        </w:tc>
        <w:tc>
          <w:tcPr>
            <w:tcW w:w="0" w:type="auto"/>
            <w:shd w:val="clear" w:color="auto" w:fill="auto"/>
          </w:tcPr>
          <w:p w14:paraId="33DA9552" w14:textId="77777777" w:rsidR="004D6A64" w:rsidRDefault="004D6A64">
            <w:pPr>
              <w:rPr>
                <w:rFonts w:ascii="宋体"/>
              </w:rPr>
            </w:pPr>
          </w:p>
        </w:tc>
        <w:tc>
          <w:tcPr>
            <w:tcW w:w="0" w:type="auto"/>
            <w:shd w:val="clear" w:color="auto" w:fill="auto"/>
          </w:tcPr>
          <w:p w14:paraId="33DA9553" w14:textId="77777777" w:rsidR="004D6A64" w:rsidRDefault="004D6A64">
            <w:pPr>
              <w:rPr>
                <w:rFonts w:ascii="宋体"/>
              </w:rPr>
            </w:pPr>
          </w:p>
        </w:tc>
      </w:tr>
      <w:tr w:rsidR="004D6A64" w14:paraId="33DA9571" w14:textId="77777777">
        <w:tc>
          <w:tcPr>
            <w:tcW w:w="0" w:type="auto"/>
            <w:gridSpan w:val="3"/>
            <w:shd w:val="clear" w:color="auto" w:fill="FFFFFF"/>
            <w:tcMar>
              <w:top w:w="40" w:type="dxa"/>
              <w:left w:w="225" w:type="dxa"/>
              <w:bottom w:w="40" w:type="dxa"/>
              <w:right w:w="20" w:type="dxa"/>
            </w:tcMar>
            <w:vAlign w:val="bottom"/>
          </w:tcPr>
          <w:p w14:paraId="33DA9555" w14:textId="77777777" w:rsidR="004D6A64" w:rsidRDefault="00506CD6">
            <w:pPr>
              <w:textAlignment w:val="bottom"/>
            </w:pPr>
            <w:r>
              <w:rPr>
                <w:rFonts w:ascii="Times New Roman" w:eastAsia="宋体" w:hAnsi="Times New Roman"/>
                <w:color w:val="000000"/>
                <w:sz w:val="20"/>
                <w:szCs w:val="20"/>
              </w:rPr>
              <w:t>Comprehensive income attributable to Dell Technologies Inc.</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9556"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9557" w14:textId="77777777" w:rsidR="004D6A64" w:rsidRDefault="00506CD6">
            <w:pPr>
              <w:jc w:val="right"/>
              <w:textAlignment w:val="bottom"/>
            </w:pPr>
            <w:r>
              <w:rPr>
                <w:rFonts w:ascii="Times New Roman" w:eastAsia="宋体" w:hAnsi="Times New Roman"/>
                <w:color w:val="000000"/>
                <w:sz w:val="20"/>
                <w:szCs w:val="20"/>
              </w:rPr>
              <w:t>1,178 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955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559" w14:textId="77777777" w:rsidR="004D6A64" w:rsidRDefault="004D6A64">
            <w:pPr>
              <w:jc w:val="right"/>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955A"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955B" w14:textId="77777777" w:rsidR="004D6A64" w:rsidRDefault="00506CD6">
            <w:pPr>
              <w:jc w:val="right"/>
              <w:textAlignment w:val="bottom"/>
            </w:pPr>
            <w:r>
              <w:rPr>
                <w:rFonts w:ascii="Times New Roman" w:eastAsia="宋体" w:hAnsi="Times New Roman"/>
                <w:color w:val="000000"/>
                <w:sz w:val="20"/>
                <w:szCs w:val="20"/>
              </w:rPr>
              <w:t>3,376 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955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55D"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955E"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955F" w14:textId="77777777" w:rsidR="004D6A64" w:rsidRDefault="00506CD6">
            <w:pPr>
              <w:jc w:val="right"/>
              <w:textAlignment w:val="bottom"/>
            </w:pPr>
            <w:r>
              <w:rPr>
                <w:rFonts w:ascii="Times New Roman" w:eastAsia="宋体" w:hAnsi="Times New Roman"/>
                <w:color w:val="000000"/>
                <w:sz w:val="20"/>
                <w:szCs w:val="20"/>
              </w:rPr>
              <w:t>1,240 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956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561" w14:textId="77777777" w:rsidR="004D6A64" w:rsidRDefault="004D6A64">
            <w:pPr>
              <w:jc w:val="right"/>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9562"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9563" w14:textId="77777777" w:rsidR="004D6A64" w:rsidRDefault="00506CD6">
            <w:pPr>
              <w:jc w:val="right"/>
              <w:textAlignment w:val="bottom"/>
            </w:pPr>
            <w:r>
              <w:rPr>
                <w:rFonts w:ascii="Times New Roman" w:eastAsia="宋体" w:hAnsi="Times New Roman"/>
                <w:color w:val="000000"/>
                <w:sz w:val="20"/>
                <w:szCs w:val="20"/>
              </w:rPr>
              <w:t>3,611 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9564" w14:textId="77777777" w:rsidR="004D6A64" w:rsidRDefault="004D6A64">
            <w:pPr>
              <w:jc w:val="right"/>
              <w:rPr>
                <w:rFonts w:ascii="宋体"/>
              </w:rPr>
            </w:pPr>
          </w:p>
        </w:tc>
        <w:tc>
          <w:tcPr>
            <w:tcW w:w="0" w:type="auto"/>
            <w:shd w:val="clear" w:color="auto" w:fill="auto"/>
          </w:tcPr>
          <w:p w14:paraId="33DA9565" w14:textId="77777777" w:rsidR="004D6A64" w:rsidRDefault="004D6A64">
            <w:pPr>
              <w:rPr>
                <w:rFonts w:ascii="宋体"/>
              </w:rPr>
            </w:pPr>
          </w:p>
        </w:tc>
        <w:tc>
          <w:tcPr>
            <w:tcW w:w="0" w:type="auto"/>
            <w:shd w:val="clear" w:color="auto" w:fill="auto"/>
          </w:tcPr>
          <w:p w14:paraId="33DA9566" w14:textId="77777777" w:rsidR="004D6A64" w:rsidRDefault="004D6A64">
            <w:pPr>
              <w:rPr>
                <w:rFonts w:ascii="宋体"/>
              </w:rPr>
            </w:pPr>
          </w:p>
        </w:tc>
        <w:tc>
          <w:tcPr>
            <w:tcW w:w="0" w:type="auto"/>
            <w:shd w:val="clear" w:color="auto" w:fill="auto"/>
          </w:tcPr>
          <w:p w14:paraId="33DA9567" w14:textId="77777777" w:rsidR="004D6A64" w:rsidRDefault="004D6A64">
            <w:pPr>
              <w:rPr>
                <w:rFonts w:ascii="宋体"/>
              </w:rPr>
            </w:pPr>
          </w:p>
        </w:tc>
        <w:tc>
          <w:tcPr>
            <w:tcW w:w="0" w:type="auto"/>
            <w:shd w:val="clear" w:color="auto" w:fill="auto"/>
          </w:tcPr>
          <w:p w14:paraId="33DA9568" w14:textId="77777777" w:rsidR="004D6A64" w:rsidRDefault="004D6A64">
            <w:pPr>
              <w:rPr>
                <w:rFonts w:ascii="宋体"/>
              </w:rPr>
            </w:pPr>
          </w:p>
        </w:tc>
        <w:tc>
          <w:tcPr>
            <w:tcW w:w="0" w:type="auto"/>
            <w:shd w:val="clear" w:color="auto" w:fill="auto"/>
          </w:tcPr>
          <w:p w14:paraId="33DA9569" w14:textId="77777777" w:rsidR="004D6A64" w:rsidRDefault="004D6A64">
            <w:pPr>
              <w:rPr>
                <w:rFonts w:ascii="宋体"/>
              </w:rPr>
            </w:pPr>
          </w:p>
        </w:tc>
        <w:tc>
          <w:tcPr>
            <w:tcW w:w="0" w:type="auto"/>
            <w:shd w:val="clear" w:color="auto" w:fill="auto"/>
          </w:tcPr>
          <w:p w14:paraId="33DA956A" w14:textId="77777777" w:rsidR="004D6A64" w:rsidRDefault="004D6A64">
            <w:pPr>
              <w:rPr>
                <w:rFonts w:ascii="宋体"/>
              </w:rPr>
            </w:pPr>
          </w:p>
        </w:tc>
        <w:tc>
          <w:tcPr>
            <w:tcW w:w="0" w:type="auto"/>
            <w:shd w:val="clear" w:color="auto" w:fill="auto"/>
          </w:tcPr>
          <w:p w14:paraId="33DA956B" w14:textId="77777777" w:rsidR="004D6A64" w:rsidRDefault="004D6A64">
            <w:pPr>
              <w:rPr>
                <w:rFonts w:ascii="宋体"/>
              </w:rPr>
            </w:pPr>
          </w:p>
        </w:tc>
        <w:tc>
          <w:tcPr>
            <w:tcW w:w="0" w:type="auto"/>
            <w:shd w:val="clear" w:color="auto" w:fill="auto"/>
          </w:tcPr>
          <w:p w14:paraId="33DA956C" w14:textId="77777777" w:rsidR="004D6A64" w:rsidRDefault="004D6A64">
            <w:pPr>
              <w:rPr>
                <w:rFonts w:ascii="宋体"/>
              </w:rPr>
            </w:pPr>
          </w:p>
        </w:tc>
        <w:tc>
          <w:tcPr>
            <w:tcW w:w="0" w:type="auto"/>
            <w:shd w:val="clear" w:color="auto" w:fill="auto"/>
          </w:tcPr>
          <w:p w14:paraId="33DA956D" w14:textId="77777777" w:rsidR="004D6A64" w:rsidRDefault="004D6A64">
            <w:pPr>
              <w:rPr>
                <w:rFonts w:ascii="宋体"/>
              </w:rPr>
            </w:pPr>
          </w:p>
        </w:tc>
        <w:tc>
          <w:tcPr>
            <w:tcW w:w="0" w:type="auto"/>
            <w:shd w:val="clear" w:color="auto" w:fill="auto"/>
          </w:tcPr>
          <w:p w14:paraId="33DA956E" w14:textId="77777777" w:rsidR="004D6A64" w:rsidRDefault="004D6A64">
            <w:pPr>
              <w:rPr>
                <w:rFonts w:ascii="宋体"/>
              </w:rPr>
            </w:pPr>
          </w:p>
        </w:tc>
        <w:tc>
          <w:tcPr>
            <w:tcW w:w="0" w:type="auto"/>
            <w:shd w:val="clear" w:color="auto" w:fill="auto"/>
          </w:tcPr>
          <w:p w14:paraId="33DA956F" w14:textId="77777777" w:rsidR="004D6A64" w:rsidRDefault="004D6A64">
            <w:pPr>
              <w:rPr>
                <w:rFonts w:ascii="宋体"/>
              </w:rPr>
            </w:pPr>
          </w:p>
        </w:tc>
        <w:tc>
          <w:tcPr>
            <w:tcW w:w="0" w:type="auto"/>
            <w:shd w:val="clear" w:color="auto" w:fill="auto"/>
          </w:tcPr>
          <w:p w14:paraId="33DA9570" w14:textId="77777777" w:rsidR="004D6A64" w:rsidRDefault="004D6A64">
            <w:pPr>
              <w:rPr>
                <w:rFonts w:ascii="宋体"/>
              </w:rPr>
            </w:pPr>
          </w:p>
        </w:tc>
      </w:tr>
    </w:tbl>
    <w:p w14:paraId="33DA9572" w14:textId="77777777" w:rsidR="004D6A64" w:rsidRDefault="004D6A64">
      <w:pPr>
        <w:jc w:val="center"/>
      </w:pPr>
    </w:p>
    <w:p w14:paraId="33DA9573" w14:textId="77777777" w:rsidR="004D6A64" w:rsidRDefault="00506CD6">
      <w:pPr>
        <w:jc w:val="center"/>
      </w:pPr>
      <w:r>
        <w:rPr>
          <w:rFonts w:ascii="Times New Roman" w:eastAsia="宋体" w:hAnsi="Times New Roman"/>
          <w:color w:val="000000"/>
          <w:sz w:val="20"/>
          <w:szCs w:val="20"/>
        </w:rPr>
        <w:t xml:space="preserve">The accompanying notes are an integral part of these </w:t>
      </w:r>
      <w:r>
        <w:rPr>
          <w:rFonts w:ascii="Times New Roman" w:eastAsia="宋体" w:hAnsi="Times New Roman"/>
          <w:color w:val="000000"/>
          <w:sz w:val="20"/>
          <w:szCs w:val="20"/>
          <w:shd w:val="clear" w:color="auto" w:fill="FFFFFF"/>
        </w:rPr>
        <w:t xml:space="preserve">Condensed </w:t>
      </w:r>
      <w:r>
        <w:rPr>
          <w:rFonts w:ascii="Times New Roman" w:eastAsia="宋体" w:hAnsi="Times New Roman"/>
          <w:color w:val="000000"/>
          <w:sz w:val="20"/>
          <w:szCs w:val="20"/>
        </w:rPr>
        <w:t>Consolidated Financial Statements.</w:t>
      </w:r>
    </w:p>
    <w:p w14:paraId="33DA9574" w14:textId="77777777" w:rsidR="004D6A64" w:rsidRDefault="004D6A64">
      <w:pPr>
        <w:jc w:val="center"/>
      </w:pPr>
    </w:p>
    <w:p w14:paraId="33DA9575" w14:textId="77777777" w:rsidR="004D6A64" w:rsidRDefault="00506CD6">
      <w:pPr>
        <w:jc w:val="center"/>
      </w:pPr>
      <w:r>
        <w:rPr>
          <w:rFonts w:ascii="Times New Roman" w:eastAsia="宋体" w:hAnsi="Times New Roman"/>
          <w:color w:val="000000"/>
          <w:sz w:val="20"/>
          <w:szCs w:val="20"/>
        </w:rPr>
        <w:t>7</w:t>
      </w:r>
    </w:p>
    <w:p w14:paraId="33DA9576" w14:textId="77777777" w:rsidR="004D6A64" w:rsidRDefault="004D6A64">
      <w:pPr>
        <w:jc w:val="center"/>
      </w:pPr>
    </w:p>
    <w:p w14:paraId="33DA9577" w14:textId="77777777" w:rsidR="004D6A64" w:rsidRDefault="00506CD6">
      <w:r>
        <w:pict w14:anchorId="33DAFACB">
          <v:rect id="_x0000_i1031" style="width:415.3pt;height:1.5pt" o:hralign="center" o:hrstd="t" o:hr="t" fillcolor="#a0a0a0" stroked="f"/>
        </w:pict>
      </w:r>
    </w:p>
    <w:p w14:paraId="33DA9578" w14:textId="77777777" w:rsidR="004D6A64" w:rsidRDefault="00506CD6">
      <w:hyperlink r:id="rId130" w:anchor="if3e0e1bf9ecd4bf69551d7a85f98d64a_10" w:history="1">
        <w:r>
          <w:rPr>
            <w:rStyle w:val="a5"/>
            <w:rFonts w:ascii="Times New Roman" w:eastAsia="宋体" w:hAnsi="Times New Roman"/>
            <w:sz w:val="20"/>
            <w:szCs w:val="20"/>
          </w:rPr>
          <w:t>Table of Contents</w:t>
        </w:r>
      </w:hyperlink>
    </w:p>
    <w:p w14:paraId="33DA9579" w14:textId="77777777" w:rsidR="004D6A64" w:rsidRDefault="00506CD6">
      <w:pPr>
        <w:spacing w:after="120"/>
        <w:jc w:val="center"/>
      </w:pPr>
      <w:r>
        <w:rPr>
          <w:rFonts w:ascii="Times New Roman" w:eastAsia="宋体" w:hAnsi="Times New Roman"/>
          <w:b/>
          <w:bCs/>
          <w:color w:val="000000"/>
          <w:sz w:val="20"/>
          <w:szCs w:val="20"/>
        </w:rPr>
        <w:t>DELL TECHNOLOGIES INC.</w:t>
      </w:r>
    </w:p>
    <w:p w14:paraId="33DA957A" w14:textId="77777777" w:rsidR="004D6A64" w:rsidRDefault="00506CD6">
      <w:pPr>
        <w:spacing w:after="60"/>
        <w:jc w:val="center"/>
      </w:pPr>
      <w:r>
        <w:rPr>
          <w:rFonts w:ascii="Times New Roman" w:eastAsia="宋体" w:hAnsi="Times New Roman"/>
          <w:b/>
          <w:bCs/>
          <w:color w:val="000000"/>
          <w:sz w:val="20"/>
          <w:szCs w:val="20"/>
        </w:rPr>
        <w:t xml:space="preserve">CONDENSED </w:t>
      </w:r>
      <w:r>
        <w:rPr>
          <w:rFonts w:ascii="Times New Roman" w:eastAsia="宋体" w:hAnsi="Times New Roman"/>
          <w:b/>
          <w:bCs/>
          <w:color w:val="000000"/>
          <w:sz w:val="20"/>
          <w:szCs w:val="20"/>
          <w:shd w:val="clear" w:color="auto" w:fill="FFFFFF"/>
        </w:rPr>
        <w:t>CONSOLIDATED STATEMENTS OF CASH FLOWS</w:t>
      </w:r>
    </w:p>
    <w:p w14:paraId="33DA957B" w14:textId="77777777" w:rsidR="004D6A64" w:rsidRDefault="00506CD6">
      <w:pPr>
        <w:spacing w:after="60"/>
        <w:jc w:val="center"/>
      </w:pPr>
      <w:r>
        <w:rPr>
          <w:rFonts w:ascii="Times New Roman" w:eastAsia="宋体" w:hAnsi="Times New Roman"/>
          <w:color w:val="000000"/>
          <w:sz w:val="20"/>
          <w:szCs w:val="20"/>
          <w:shd w:val="clear" w:color="auto" w:fill="FFFFFF"/>
        </w:rPr>
        <w:t xml:space="preserve">(in millions; </w:t>
      </w:r>
      <w:r>
        <w:rPr>
          <w:rFonts w:ascii="Times New Roman" w:eastAsia="宋体" w:hAnsi="Times New Roman"/>
          <w:color w:val="000000"/>
          <w:sz w:val="20"/>
          <w:szCs w:val="20"/>
        </w:rPr>
        <w:t>unaudited</w:t>
      </w:r>
      <w:r>
        <w:rPr>
          <w:rFonts w:ascii="Times New Roman" w:eastAsia="宋体" w:hAnsi="Times New Roman"/>
          <w:color w:val="000000"/>
          <w:sz w:val="20"/>
          <w:szCs w:val="20"/>
          <w:shd w:val="clear" w:color="auto" w:fill="FFFFFF"/>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162"/>
        <w:gridCol w:w="39"/>
        <w:gridCol w:w="135"/>
        <w:gridCol w:w="1209"/>
        <w:gridCol w:w="41"/>
        <w:gridCol w:w="36"/>
        <w:gridCol w:w="36"/>
        <w:gridCol w:w="36"/>
        <w:gridCol w:w="136"/>
        <w:gridCol w:w="1209"/>
        <w:gridCol w:w="41"/>
        <w:gridCol w:w="36"/>
        <w:gridCol w:w="36"/>
        <w:gridCol w:w="36"/>
        <w:gridCol w:w="36"/>
        <w:gridCol w:w="36"/>
        <w:gridCol w:w="36"/>
      </w:tblGrid>
      <w:tr w:rsidR="004D6A64" w14:paraId="33DA9588" w14:textId="77777777">
        <w:trPr>
          <w:gridAfter w:val="6"/>
          <w:jc w:val="center"/>
        </w:trPr>
        <w:tc>
          <w:tcPr>
            <w:tcW w:w="50" w:type="pct"/>
            <w:shd w:val="clear" w:color="auto" w:fill="auto"/>
          </w:tcPr>
          <w:p w14:paraId="33DA957C" w14:textId="77777777" w:rsidR="004D6A64" w:rsidRDefault="004D6A64">
            <w:pPr>
              <w:rPr>
                <w:rFonts w:ascii="宋体"/>
              </w:rPr>
            </w:pPr>
          </w:p>
        </w:tc>
        <w:tc>
          <w:tcPr>
            <w:tcW w:w="3234" w:type="pct"/>
            <w:shd w:val="clear" w:color="auto" w:fill="auto"/>
          </w:tcPr>
          <w:p w14:paraId="33DA957D" w14:textId="77777777" w:rsidR="004D6A64" w:rsidRDefault="004D6A64">
            <w:pPr>
              <w:rPr>
                <w:rFonts w:ascii="宋体"/>
              </w:rPr>
            </w:pPr>
          </w:p>
        </w:tc>
        <w:tc>
          <w:tcPr>
            <w:tcW w:w="5" w:type="pct"/>
            <w:shd w:val="clear" w:color="auto" w:fill="auto"/>
          </w:tcPr>
          <w:p w14:paraId="33DA957E" w14:textId="77777777" w:rsidR="004D6A64" w:rsidRDefault="004D6A64">
            <w:pPr>
              <w:rPr>
                <w:rFonts w:ascii="宋体"/>
              </w:rPr>
            </w:pPr>
          </w:p>
        </w:tc>
        <w:tc>
          <w:tcPr>
            <w:tcW w:w="50" w:type="pct"/>
            <w:shd w:val="clear" w:color="auto" w:fill="auto"/>
          </w:tcPr>
          <w:p w14:paraId="33DA957F" w14:textId="77777777" w:rsidR="004D6A64" w:rsidRDefault="004D6A64">
            <w:pPr>
              <w:rPr>
                <w:rFonts w:ascii="宋体"/>
              </w:rPr>
            </w:pPr>
          </w:p>
        </w:tc>
        <w:tc>
          <w:tcPr>
            <w:tcW w:w="785" w:type="pct"/>
            <w:shd w:val="clear" w:color="auto" w:fill="auto"/>
          </w:tcPr>
          <w:p w14:paraId="33DA9580" w14:textId="77777777" w:rsidR="004D6A64" w:rsidRDefault="004D6A64">
            <w:pPr>
              <w:rPr>
                <w:rFonts w:ascii="宋体"/>
              </w:rPr>
            </w:pPr>
          </w:p>
        </w:tc>
        <w:tc>
          <w:tcPr>
            <w:tcW w:w="5" w:type="pct"/>
            <w:shd w:val="clear" w:color="auto" w:fill="auto"/>
          </w:tcPr>
          <w:p w14:paraId="33DA9581" w14:textId="77777777" w:rsidR="004D6A64" w:rsidRDefault="004D6A64">
            <w:pPr>
              <w:rPr>
                <w:rFonts w:ascii="宋体"/>
              </w:rPr>
            </w:pPr>
          </w:p>
        </w:tc>
        <w:tc>
          <w:tcPr>
            <w:tcW w:w="5" w:type="pct"/>
            <w:shd w:val="clear" w:color="auto" w:fill="auto"/>
          </w:tcPr>
          <w:p w14:paraId="33DA9582" w14:textId="77777777" w:rsidR="004D6A64" w:rsidRDefault="004D6A64">
            <w:pPr>
              <w:rPr>
                <w:rFonts w:ascii="宋体"/>
              </w:rPr>
            </w:pPr>
          </w:p>
        </w:tc>
        <w:tc>
          <w:tcPr>
            <w:tcW w:w="19" w:type="pct"/>
            <w:shd w:val="clear" w:color="auto" w:fill="auto"/>
          </w:tcPr>
          <w:p w14:paraId="33DA9583" w14:textId="77777777" w:rsidR="004D6A64" w:rsidRDefault="004D6A64">
            <w:pPr>
              <w:rPr>
                <w:rFonts w:ascii="宋体"/>
              </w:rPr>
            </w:pPr>
          </w:p>
        </w:tc>
        <w:tc>
          <w:tcPr>
            <w:tcW w:w="5" w:type="pct"/>
            <w:shd w:val="clear" w:color="auto" w:fill="auto"/>
          </w:tcPr>
          <w:p w14:paraId="33DA9584" w14:textId="77777777" w:rsidR="004D6A64" w:rsidRDefault="004D6A64">
            <w:pPr>
              <w:rPr>
                <w:rFonts w:ascii="宋体"/>
              </w:rPr>
            </w:pPr>
          </w:p>
        </w:tc>
        <w:tc>
          <w:tcPr>
            <w:tcW w:w="50" w:type="pct"/>
            <w:shd w:val="clear" w:color="auto" w:fill="auto"/>
          </w:tcPr>
          <w:p w14:paraId="33DA9585" w14:textId="77777777" w:rsidR="004D6A64" w:rsidRDefault="004D6A64">
            <w:pPr>
              <w:rPr>
                <w:rFonts w:ascii="宋体"/>
              </w:rPr>
            </w:pPr>
          </w:p>
        </w:tc>
        <w:tc>
          <w:tcPr>
            <w:tcW w:w="785" w:type="pct"/>
            <w:shd w:val="clear" w:color="auto" w:fill="auto"/>
          </w:tcPr>
          <w:p w14:paraId="33DA9586" w14:textId="77777777" w:rsidR="004D6A64" w:rsidRDefault="004D6A64">
            <w:pPr>
              <w:rPr>
                <w:rFonts w:ascii="宋体"/>
              </w:rPr>
            </w:pPr>
          </w:p>
        </w:tc>
        <w:tc>
          <w:tcPr>
            <w:tcW w:w="5" w:type="pct"/>
            <w:shd w:val="clear" w:color="auto" w:fill="auto"/>
          </w:tcPr>
          <w:p w14:paraId="33DA9587" w14:textId="77777777" w:rsidR="004D6A64" w:rsidRDefault="004D6A64">
            <w:pPr>
              <w:rPr>
                <w:rFonts w:ascii="宋体"/>
              </w:rPr>
            </w:pPr>
          </w:p>
        </w:tc>
      </w:tr>
      <w:tr w:rsidR="004D6A64" w14:paraId="33DA958D" w14:textId="77777777">
        <w:trPr>
          <w:jc w:val="center"/>
        </w:trPr>
        <w:tc>
          <w:tcPr>
            <w:tcW w:w="0" w:type="auto"/>
            <w:gridSpan w:val="3"/>
            <w:shd w:val="clear" w:color="auto" w:fill="auto"/>
            <w:tcMar>
              <w:left w:w="20" w:type="dxa"/>
              <w:right w:w="20" w:type="dxa"/>
            </w:tcMar>
            <w:vAlign w:val="bottom"/>
          </w:tcPr>
          <w:p w14:paraId="33DA9589" w14:textId="77777777" w:rsidR="004D6A64" w:rsidRDefault="004D6A64">
            <w:pPr>
              <w:rPr>
                <w:rFonts w:ascii="宋体"/>
              </w:rPr>
            </w:pPr>
          </w:p>
        </w:tc>
        <w:tc>
          <w:tcPr>
            <w:tcW w:w="0" w:type="auto"/>
            <w:gridSpan w:val="9"/>
            <w:shd w:val="clear" w:color="auto" w:fill="auto"/>
            <w:tcMar>
              <w:top w:w="40" w:type="dxa"/>
              <w:left w:w="20" w:type="dxa"/>
              <w:bottom w:w="40" w:type="dxa"/>
              <w:right w:w="20" w:type="dxa"/>
            </w:tcMar>
            <w:vAlign w:val="center"/>
          </w:tcPr>
          <w:p w14:paraId="33DA958A" w14:textId="77777777" w:rsidR="004D6A64" w:rsidRDefault="00506CD6">
            <w:pPr>
              <w:jc w:val="center"/>
              <w:textAlignment w:val="center"/>
            </w:pPr>
            <w:r>
              <w:rPr>
                <w:rFonts w:ascii="Times New Roman" w:eastAsia="宋体" w:hAnsi="Times New Roman"/>
                <w:b/>
                <w:bCs/>
                <w:color w:val="000000"/>
                <w:sz w:val="20"/>
                <w:szCs w:val="20"/>
              </w:rPr>
              <w:t>Six Months Ended</w:t>
            </w:r>
          </w:p>
        </w:tc>
        <w:tc>
          <w:tcPr>
            <w:tcW w:w="0" w:type="auto"/>
            <w:gridSpan w:val="3"/>
            <w:shd w:val="clear" w:color="auto" w:fill="auto"/>
          </w:tcPr>
          <w:p w14:paraId="33DA958B" w14:textId="77777777" w:rsidR="004D6A64" w:rsidRDefault="004D6A64">
            <w:pPr>
              <w:rPr>
                <w:rFonts w:ascii="宋体"/>
                <w:vanish/>
              </w:rPr>
            </w:pPr>
          </w:p>
        </w:tc>
        <w:tc>
          <w:tcPr>
            <w:tcW w:w="0" w:type="auto"/>
            <w:gridSpan w:val="3"/>
            <w:shd w:val="clear" w:color="auto" w:fill="auto"/>
          </w:tcPr>
          <w:p w14:paraId="33DA958C" w14:textId="77777777" w:rsidR="004D6A64" w:rsidRDefault="004D6A64">
            <w:pPr>
              <w:rPr>
                <w:rFonts w:ascii="宋体"/>
                <w:vanish/>
              </w:rPr>
            </w:pPr>
          </w:p>
        </w:tc>
      </w:tr>
      <w:tr w:rsidR="004D6A64" w14:paraId="33DA9598" w14:textId="77777777">
        <w:trPr>
          <w:jc w:val="center"/>
        </w:trPr>
        <w:tc>
          <w:tcPr>
            <w:tcW w:w="0" w:type="auto"/>
            <w:gridSpan w:val="3"/>
            <w:shd w:val="clear" w:color="auto" w:fill="auto"/>
            <w:tcMar>
              <w:left w:w="20" w:type="dxa"/>
              <w:right w:w="20" w:type="dxa"/>
            </w:tcMar>
            <w:vAlign w:val="bottom"/>
          </w:tcPr>
          <w:p w14:paraId="33DA958E"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3DA958F" w14:textId="77777777" w:rsidR="004D6A64" w:rsidRDefault="00506CD6">
            <w:pPr>
              <w:jc w:val="center"/>
              <w:textAlignment w:val="center"/>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center"/>
          </w:tcPr>
          <w:p w14:paraId="33DA9590"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3DA9591" w14:textId="77777777" w:rsidR="004D6A64" w:rsidRDefault="00506CD6">
            <w:pPr>
              <w:jc w:val="center"/>
              <w:textAlignment w:val="center"/>
            </w:pPr>
            <w:r>
              <w:rPr>
                <w:rFonts w:ascii="Times New Roman" w:eastAsia="宋体" w:hAnsi="Times New Roman"/>
                <w:b/>
                <w:bCs/>
                <w:color w:val="000000"/>
                <w:sz w:val="20"/>
                <w:szCs w:val="20"/>
              </w:rPr>
              <w:t>August 2, 2019</w:t>
            </w:r>
          </w:p>
        </w:tc>
        <w:tc>
          <w:tcPr>
            <w:tcW w:w="0" w:type="auto"/>
            <w:shd w:val="clear" w:color="auto" w:fill="auto"/>
          </w:tcPr>
          <w:p w14:paraId="33DA9592" w14:textId="77777777" w:rsidR="004D6A64" w:rsidRDefault="004D6A64">
            <w:pPr>
              <w:rPr>
                <w:rFonts w:ascii="宋体"/>
              </w:rPr>
            </w:pPr>
          </w:p>
        </w:tc>
        <w:tc>
          <w:tcPr>
            <w:tcW w:w="0" w:type="auto"/>
            <w:shd w:val="clear" w:color="auto" w:fill="auto"/>
          </w:tcPr>
          <w:p w14:paraId="33DA9593" w14:textId="77777777" w:rsidR="004D6A64" w:rsidRDefault="004D6A64">
            <w:pPr>
              <w:rPr>
                <w:rFonts w:ascii="宋体"/>
              </w:rPr>
            </w:pPr>
          </w:p>
        </w:tc>
        <w:tc>
          <w:tcPr>
            <w:tcW w:w="0" w:type="auto"/>
            <w:shd w:val="clear" w:color="auto" w:fill="auto"/>
          </w:tcPr>
          <w:p w14:paraId="33DA9594" w14:textId="77777777" w:rsidR="004D6A64" w:rsidRDefault="004D6A64">
            <w:pPr>
              <w:rPr>
                <w:rFonts w:ascii="宋体"/>
              </w:rPr>
            </w:pPr>
          </w:p>
        </w:tc>
        <w:tc>
          <w:tcPr>
            <w:tcW w:w="0" w:type="auto"/>
            <w:shd w:val="clear" w:color="auto" w:fill="auto"/>
          </w:tcPr>
          <w:p w14:paraId="33DA9595" w14:textId="77777777" w:rsidR="004D6A64" w:rsidRDefault="004D6A64">
            <w:pPr>
              <w:rPr>
                <w:rFonts w:ascii="宋体"/>
              </w:rPr>
            </w:pPr>
          </w:p>
        </w:tc>
        <w:tc>
          <w:tcPr>
            <w:tcW w:w="0" w:type="auto"/>
            <w:shd w:val="clear" w:color="auto" w:fill="auto"/>
          </w:tcPr>
          <w:p w14:paraId="33DA9596" w14:textId="77777777" w:rsidR="004D6A64" w:rsidRDefault="004D6A64">
            <w:pPr>
              <w:rPr>
                <w:rFonts w:ascii="宋体"/>
              </w:rPr>
            </w:pPr>
          </w:p>
        </w:tc>
        <w:tc>
          <w:tcPr>
            <w:tcW w:w="0" w:type="auto"/>
            <w:shd w:val="clear" w:color="auto" w:fill="auto"/>
          </w:tcPr>
          <w:p w14:paraId="33DA9597" w14:textId="77777777" w:rsidR="004D6A64" w:rsidRDefault="004D6A64">
            <w:pPr>
              <w:rPr>
                <w:rFonts w:ascii="宋体"/>
              </w:rPr>
            </w:pPr>
          </w:p>
        </w:tc>
      </w:tr>
      <w:tr w:rsidR="004D6A64" w14:paraId="33DA95A3" w14:textId="77777777">
        <w:trPr>
          <w:jc w:val="center"/>
        </w:trPr>
        <w:tc>
          <w:tcPr>
            <w:tcW w:w="0" w:type="auto"/>
            <w:gridSpan w:val="3"/>
            <w:shd w:val="clear" w:color="auto" w:fill="CCEEFF"/>
            <w:tcMar>
              <w:top w:w="40" w:type="dxa"/>
              <w:left w:w="20" w:type="dxa"/>
              <w:bottom w:w="40" w:type="dxa"/>
              <w:right w:w="20" w:type="dxa"/>
            </w:tcMar>
            <w:vAlign w:val="bottom"/>
          </w:tcPr>
          <w:p w14:paraId="33DA9599" w14:textId="77777777" w:rsidR="004D6A64" w:rsidRDefault="00506CD6">
            <w:pPr>
              <w:textAlignment w:val="bottom"/>
            </w:pPr>
            <w:r>
              <w:rPr>
                <w:rFonts w:ascii="Times New Roman" w:eastAsia="宋体" w:hAnsi="Times New Roman"/>
                <w:color w:val="000000"/>
                <w:sz w:val="20"/>
                <w:szCs w:val="20"/>
              </w:rPr>
              <w:t>Cash flows from operating activities:</w:t>
            </w:r>
          </w:p>
        </w:tc>
        <w:tc>
          <w:tcPr>
            <w:tcW w:w="0" w:type="auto"/>
            <w:gridSpan w:val="3"/>
            <w:tcBorders>
              <w:top w:val="single" w:sz="8" w:space="0" w:color="000000"/>
            </w:tcBorders>
            <w:shd w:val="clear" w:color="auto" w:fill="CCEEFF"/>
            <w:tcMar>
              <w:left w:w="20" w:type="dxa"/>
              <w:right w:w="20" w:type="dxa"/>
            </w:tcMar>
            <w:vAlign w:val="bottom"/>
          </w:tcPr>
          <w:p w14:paraId="33DA959A"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959B" w14:textId="77777777" w:rsidR="004D6A64" w:rsidRDefault="004D6A64">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959C" w14:textId="77777777" w:rsidR="004D6A64" w:rsidRDefault="004D6A64">
            <w:pPr>
              <w:rPr>
                <w:rFonts w:ascii="宋体"/>
              </w:rPr>
            </w:pPr>
          </w:p>
        </w:tc>
        <w:tc>
          <w:tcPr>
            <w:tcW w:w="0" w:type="auto"/>
            <w:shd w:val="clear" w:color="auto" w:fill="auto"/>
          </w:tcPr>
          <w:p w14:paraId="33DA959D" w14:textId="77777777" w:rsidR="004D6A64" w:rsidRDefault="004D6A64">
            <w:pPr>
              <w:rPr>
                <w:rFonts w:ascii="宋体"/>
              </w:rPr>
            </w:pPr>
          </w:p>
        </w:tc>
        <w:tc>
          <w:tcPr>
            <w:tcW w:w="0" w:type="auto"/>
            <w:shd w:val="clear" w:color="auto" w:fill="auto"/>
          </w:tcPr>
          <w:p w14:paraId="33DA959E" w14:textId="77777777" w:rsidR="004D6A64" w:rsidRDefault="004D6A64">
            <w:pPr>
              <w:rPr>
                <w:rFonts w:ascii="宋体"/>
              </w:rPr>
            </w:pPr>
          </w:p>
        </w:tc>
        <w:tc>
          <w:tcPr>
            <w:tcW w:w="0" w:type="auto"/>
            <w:shd w:val="clear" w:color="auto" w:fill="auto"/>
          </w:tcPr>
          <w:p w14:paraId="33DA959F" w14:textId="77777777" w:rsidR="004D6A64" w:rsidRDefault="004D6A64">
            <w:pPr>
              <w:rPr>
                <w:rFonts w:ascii="宋体"/>
              </w:rPr>
            </w:pPr>
          </w:p>
        </w:tc>
        <w:tc>
          <w:tcPr>
            <w:tcW w:w="0" w:type="auto"/>
            <w:shd w:val="clear" w:color="auto" w:fill="auto"/>
          </w:tcPr>
          <w:p w14:paraId="33DA95A0" w14:textId="77777777" w:rsidR="004D6A64" w:rsidRDefault="004D6A64">
            <w:pPr>
              <w:rPr>
                <w:rFonts w:ascii="宋体"/>
              </w:rPr>
            </w:pPr>
          </w:p>
        </w:tc>
        <w:tc>
          <w:tcPr>
            <w:tcW w:w="0" w:type="auto"/>
            <w:shd w:val="clear" w:color="auto" w:fill="auto"/>
          </w:tcPr>
          <w:p w14:paraId="33DA95A1" w14:textId="77777777" w:rsidR="004D6A64" w:rsidRDefault="004D6A64">
            <w:pPr>
              <w:rPr>
                <w:rFonts w:ascii="宋体"/>
              </w:rPr>
            </w:pPr>
          </w:p>
        </w:tc>
        <w:tc>
          <w:tcPr>
            <w:tcW w:w="0" w:type="auto"/>
            <w:shd w:val="clear" w:color="auto" w:fill="auto"/>
          </w:tcPr>
          <w:p w14:paraId="33DA95A2" w14:textId="77777777" w:rsidR="004D6A64" w:rsidRDefault="004D6A64">
            <w:pPr>
              <w:rPr>
                <w:rFonts w:ascii="宋体"/>
              </w:rPr>
            </w:pPr>
          </w:p>
        </w:tc>
      </w:tr>
      <w:tr w:rsidR="004D6A64" w14:paraId="33DA95B2" w14:textId="77777777">
        <w:trPr>
          <w:jc w:val="center"/>
        </w:trPr>
        <w:tc>
          <w:tcPr>
            <w:tcW w:w="0" w:type="auto"/>
            <w:gridSpan w:val="3"/>
            <w:shd w:val="clear" w:color="auto" w:fill="FFFFFF"/>
            <w:tcMar>
              <w:top w:w="40" w:type="dxa"/>
              <w:left w:w="135" w:type="dxa"/>
              <w:bottom w:w="40" w:type="dxa"/>
              <w:right w:w="20" w:type="dxa"/>
            </w:tcMar>
            <w:vAlign w:val="bottom"/>
          </w:tcPr>
          <w:p w14:paraId="33DA95A4" w14:textId="77777777" w:rsidR="004D6A64" w:rsidRDefault="00506CD6">
            <w:pPr>
              <w:textAlignment w:val="bottom"/>
            </w:pPr>
            <w:r>
              <w:rPr>
                <w:rFonts w:ascii="Times New Roman" w:eastAsia="宋体" w:hAnsi="Times New Roman"/>
                <w:color w:val="000000"/>
                <w:sz w:val="20"/>
                <w:szCs w:val="20"/>
              </w:rPr>
              <w:t>Net income</w:t>
            </w:r>
          </w:p>
        </w:tc>
        <w:tc>
          <w:tcPr>
            <w:tcW w:w="0" w:type="auto"/>
            <w:shd w:val="clear" w:color="auto" w:fill="FFFFFF"/>
            <w:tcMar>
              <w:top w:w="40" w:type="dxa"/>
              <w:left w:w="20" w:type="dxa"/>
              <w:bottom w:w="40" w:type="dxa"/>
            </w:tcMar>
            <w:vAlign w:val="bottom"/>
          </w:tcPr>
          <w:p w14:paraId="33DA95A5"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95A6" w14:textId="77777777" w:rsidR="004D6A64" w:rsidRDefault="00506CD6">
            <w:pPr>
              <w:jc w:val="right"/>
              <w:textAlignment w:val="bottom"/>
            </w:pPr>
            <w:r>
              <w:rPr>
                <w:rFonts w:ascii="Times New Roman" w:eastAsia="宋体" w:hAnsi="Times New Roman"/>
                <w:color w:val="000000"/>
                <w:sz w:val="20"/>
                <w:szCs w:val="20"/>
              </w:rPr>
              <w:t>1,281 </w:t>
            </w:r>
          </w:p>
        </w:tc>
        <w:tc>
          <w:tcPr>
            <w:tcW w:w="0" w:type="auto"/>
            <w:shd w:val="clear" w:color="auto" w:fill="FFFFFF"/>
            <w:tcMar>
              <w:top w:w="40" w:type="dxa"/>
              <w:bottom w:w="40" w:type="dxa"/>
              <w:right w:w="20" w:type="dxa"/>
            </w:tcMar>
            <w:vAlign w:val="bottom"/>
          </w:tcPr>
          <w:p w14:paraId="33DA95A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5A8" w14:textId="77777777" w:rsidR="004D6A64" w:rsidRDefault="004D6A64">
            <w:pPr>
              <w:jc w:val="right"/>
              <w:rPr>
                <w:rFonts w:ascii="宋体"/>
              </w:rPr>
            </w:pPr>
          </w:p>
        </w:tc>
        <w:tc>
          <w:tcPr>
            <w:tcW w:w="0" w:type="auto"/>
            <w:shd w:val="clear" w:color="auto" w:fill="FFFFFF"/>
            <w:tcMar>
              <w:top w:w="40" w:type="dxa"/>
              <w:left w:w="20" w:type="dxa"/>
              <w:bottom w:w="40" w:type="dxa"/>
            </w:tcMar>
            <w:vAlign w:val="bottom"/>
          </w:tcPr>
          <w:p w14:paraId="33DA95A9"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95AA" w14:textId="77777777" w:rsidR="004D6A64" w:rsidRDefault="00506CD6">
            <w:pPr>
              <w:jc w:val="right"/>
              <w:textAlignment w:val="bottom"/>
            </w:pPr>
            <w:r>
              <w:rPr>
                <w:rFonts w:ascii="Times New Roman" w:eastAsia="宋体" w:hAnsi="Times New Roman"/>
                <w:color w:val="000000"/>
                <w:sz w:val="20"/>
                <w:szCs w:val="20"/>
              </w:rPr>
              <w:t>4,561 </w:t>
            </w:r>
          </w:p>
        </w:tc>
        <w:tc>
          <w:tcPr>
            <w:tcW w:w="0" w:type="auto"/>
            <w:shd w:val="clear" w:color="auto" w:fill="FFFFFF"/>
            <w:tcMar>
              <w:top w:w="40" w:type="dxa"/>
              <w:bottom w:w="40" w:type="dxa"/>
              <w:right w:w="20" w:type="dxa"/>
            </w:tcMar>
            <w:vAlign w:val="bottom"/>
          </w:tcPr>
          <w:p w14:paraId="33DA95AB" w14:textId="77777777" w:rsidR="004D6A64" w:rsidRDefault="004D6A64">
            <w:pPr>
              <w:jc w:val="right"/>
              <w:rPr>
                <w:rFonts w:ascii="宋体"/>
              </w:rPr>
            </w:pPr>
          </w:p>
        </w:tc>
        <w:tc>
          <w:tcPr>
            <w:tcW w:w="0" w:type="auto"/>
            <w:shd w:val="clear" w:color="auto" w:fill="auto"/>
          </w:tcPr>
          <w:p w14:paraId="33DA95AC" w14:textId="77777777" w:rsidR="004D6A64" w:rsidRDefault="004D6A64">
            <w:pPr>
              <w:rPr>
                <w:rFonts w:ascii="宋体"/>
              </w:rPr>
            </w:pPr>
          </w:p>
        </w:tc>
        <w:tc>
          <w:tcPr>
            <w:tcW w:w="0" w:type="auto"/>
            <w:shd w:val="clear" w:color="auto" w:fill="auto"/>
          </w:tcPr>
          <w:p w14:paraId="33DA95AD" w14:textId="77777777" w:rsidR="004D6A64" w:rsidRDefault="004D6A64">
            <w:pPr>
              <w:rPr>
                <w:rFonts w:ascii="宋体"/>
              </w:rPr>
            </w:pPr>
          </w:p>
        </w:tc>
        <w:tc>
          <w:tcPr>
            <w:tcW w:w="0" w:type="auto"/>
            <w:shd w:val="clear" w:color="auto" w:fill="auto"/>
          </w:tcPr>
          <w:p w14:paraId="33DA95AE" w14:textId="77777777" w:rsidR="004D6A64" w:rsidRDefault="004D6A64">
            <w:pPr>
              <w:rPr>
                <w:rFonts w:ascii="宋体"/>
              </w:rPr>
            </w:pPr>
          </w:p>
        </w:tc>
        <w:tc>
          <w:tcPr>
            <w:tcW w:w="0" w:type="auto"/>
            <w:shd w:val="clear" w:color="auto" w:fill="auto"/>
          </w:tcPr>
          <w:p w14:paraId="33DA95AF" w14:textId="77777777" w:rsidR="004D6A64" w:rsidRDefault="004D6A64">
            <w:pPr>
              <w:rPr>
                <w:rFonts w:ascii="宋体"/>
              </w:rPr>
            </w:pPr>
          </w:p>
        </w:tc>
        <w:tc>
          <w:tcPr>
            <w:tcW w:w="0" w:type="auto"/>
            <w:shd w:val="clear" w:color="auto" w:fill="auto"/>
          </w:tcPr>
          <w:p w14:paraId="33DA95B0" w14:textId="77777777" w:rsidR="004D6A64" w:rsidRDefault="004D6A64">
            <w:pPr>
              <w:rPr>
                <w:rFonts w:ascii="宋体"/>
              </w:rPr>
            </w:pPr>
          </w:p>
        </w:tc>
        <w:tc>
          <w:tcPr>
            <w:tcW w:w="0" w:type="auto"/>
            <w:shd w:val="clear" w:color="auto" w:fill="auto"/>
          </w:tcPr>
          <w:p w14:paraId="33DA95B1" w14:textId="77777777" w:rsidR="004D6A64" w:rsidRDefault="004D6A64">
            <w:pPr>
              <w:rPr>
                <w:rFonts w:ascii="宋体"/>
              </w:rPr>
            </w:pPr>
          </w:p>
        </w:tc>
      </w:tr>
      <w:tr w:rsidR="004D6A64" w14:paraId="33DA95BD" w14:textId="77777777">
        <w:trPr>
          <w:jc w:val="center"/>
        </w:trPr>
        <w:tc>
          <w:tcPr>
            <w:tcW w:w="0" w:type="auto"/>
            <w:gridSpan w:val="3"/>
            <w:shd w:val="clear" w:color="auto" w:fill="CCEEFF"/>
            <w:tcMar>
              <w:top w:w="40" w:type="dxa"/>
              <w:left w:w="135" w:type="dxa"/>
              <w:bottom w:w="40" w:type="dxa"/>
              <w:right w:w="20" w:type="dxa"/>
            </w:tcMar>
            <w:vAlign w:val="bottom"/>
          </w:tcPr>
          <w:p w14:paraId="33DA95B3" w14:textId="77777777" w:rsidR="004D6A64" w:rsidRDefault="00506CD6">
            <w:pPr>
              <w:textAlignment w:val="bottom"/>
            </w:pPr>
            <w:r>
              <w:rPr>
                <w:rFonts w:ascii="Times New Roman" w:eastAsia="宋体" w:hAnsi="Times New Roman"/>
                <w:color w:val="000000"/>
                <w:sz w:val="20"/>
                <w:szCs w:val="20"/>
              </w:rPr>
              <w:t>Adjustments to reconcile net income to net cash provided by (used in) operating activities:</w:t>
            </w:r>
          </w:p>
        </w:tc>
        <w:tc>
          <w:tcPr>
            <w:tcW w:w="0" w:type="auto"/>
            <w:gridSpan w:val="3"/>
            <w:shd w:val="clear" w:color="auto" w:fill="CCEEFF"/>
            <w:tcMar>
              <w:left w:w="20" w:type="dxa"/>
              <w:right w:w="20" w:type="dxa"/>
            </w:tcMar>
            <w:vAlign w:val="bottom"/>
          </w:tcPr>
          <w:p w14:paraId="33DA95B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5B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5B6" w14:textId="77777777" w:rsidR="004D6A64" w:rsidRDefault="004D6A64">
            <w:pPr>
              <w:jc w:val="right"/>
              <w:rPr>
                <w:rFonts w:ascii="宋体"/>
              </w:rPr>
            </w:pPr>
          </w:p>
        </w:tc>
        <w:tc>
          <w:tcPr>
            <w:tcW w:w="0" w:type="auto"/>
            <w:shd w:val="clear" w:color="auto" w:fill="auto"/>
          </w:tcPr>
          <w:p w14:paraId="33DA95B7" w14:textId="77777777" w:rsidR="004D6A64" w:rsidRDefault="004D6A64">
            <w:pPr>
              <w:rPr>
                <w:rFonts w:ascii="宋体"/>
              </w:rPr>
            </w:pPr>
          </w:p>
        </w:tc>
        <w:tc>
          <w:tcPr>
            <w:tcW w:w="0" w:type="auto"/>
            <w:shd w:val="clear" w:color="auto" w:fill="auto"/>
          </w:tcPr>
          <w:p w14:paraId="33DA95B8" w14:textId="77777777" w:rsidR="004D6A64" w:rsidRDefault="004D6A64">
            <w:pPr>
              <w:rPr>
                <w:rFonts w:ascii="宋体"/>
              </w:rPr>
            </w:pPr>
          </w:p>
        </w:tc>
        <w:tc>
          <w:tcPr>
            <w:tcW w:w="0" w:type="auto"/>
            <w:shd w:val="clear" w:color="auto" w:fill="auto"/>
          </w:tcPr>
          <w:p w14:paraId="33DA95B9" w14:textId="77777777" w:rsidR="004D6A64" w:rsidRDefault="004D6A64">
            <w:pPr>
              <w:rPr>
                <w:rFonts w:ascii="宋体"/>
              </w:rPr>
            </w:pPr>
          </w:p>
        </w:tc>
        <w:tc>
          <w:tcPr>
            <w:tcW w:w="0" w:type="auto"/>
            <w:shd w:val="clear" w:color="auto" w:fill="auto"/>
          </w:tcPr>
          <w:p w14:paraId="33DA95BA" w14:textId="77777777" w:rsidR="004D6A64" w:rsidRDefault="004D6A64">
            <w:pPr>
              <w:rPr>
                <w:rFonts w:ascii="宋体"/>
              </w:rPr>
            </w:pPr>
          </w:p>
        </w:tc>
        <w:tc>
          <w:tcPr>
            <w:tcW w:w="0" w:type="auto"/>
            <w:shd w:val="clear" w:color="auto" w:fill="auto"/>
          </w:tcPr>
          <w:p w14:paraId="33DA95BB" w14:textId="77777777" w:rsidR="004D6A64" w:rsidRDefault="004D6A64">
            <w:pPr>
              <w:rPr>
                <w:rFonts w:ascii="宋体"/>
              </w:rPr>
            </w:pPr>
          </w:p>
        </w:tc>
        <w:tc>
          <w:tcPr>
            <w:tcW w:w="0" w:type="auto"/>
            <w:shd w:val="clear" w:color="auto" w:fill="auto"/>
          </w:tcPr>
          <w:p w14:paraId="33DA95BC" w14:textId="77777777" w:rsidR="004D6A64" w:rsidRDefault="004D6A64">
            <w:pPr>
              <w:rPr>
                <w:rFonts w:ascii="宋体"/>
              </w:rPr>
            </w:pPr>
          </w:p>
        </w:tc>
      </w:tr>
      <w:tr w:rsidR="004D6A64" w14:paraId="33DA95CA" w14:textId="77777777">
        <w:trPr>
          <w:jc w:val="center"/>
        </w:trPr>
        <w:tc>
          <w:tcPr>
            <w:tcW w:w="0" w:type="auto"/>
            <w:gridSpan w:val="3"/>
            <w:shd w:val="clear" w:color="auto" w:fill="FFFFFF"/>
            <w:tcMar>
              <w:top w:w="40" w:type="dxa"/>
              <w:left w:w="360" w:type="dxa"/>
              <w:bottom w:w="40" w:type="dxa"/>
              <w:right w:w="20" w:type="dxa"/>
            </w:tcMar>
            <w:vAlign w:val="bottom"/>
          </w:tcPr>
          <w:p w14:paraId="33DA95BE" w14:textId="77777777" w:rsidR="004D6A64" w:rsidRDefault="00506CD6">
            <w:pPr>
              <w:textAlignment w:val="bottom"/>
            </w:pPr>
            <w:r>
              <w:rPr>
                <w:rFonts w:ascii="Times New Roman" w:eastAsia="宋体" w:hAnsi="Times New Roman"/>
                <w:color w:val="000000"/>
                <w:sz w:val="20"/>
                <w:szCs w:val="20"/>
              </w:rPr>
              <w:t>Depreciation and amortization</w:t>
            </w:r>
          </w:p>
        </w:tc>
        <w:tc>
          <w:tcPr>
            <w:tcW w:w="0" w:type="auto"/>
            <w:gridSpan w:val="2"/>
            <w:shd w:val="clear" w:color="auto" w:fill="FFFFFF"/>
            <w:tcMar>
              <w:top w:w="40" w:type="dxa"/>
              <w:left w:w="20" w:type="dxa"/>
              <w:bottom w:w="40" w:type="dxa"/>
              <w:right w:w="0" w:type="dxa"/>
            </w:tcMar>
            <w:vAlign w:val="bottom"/>
          </w:tcPr>
          <w:p w14:paraId="33DA95BF" w14:textId="77777777" w:rsidR="004D6A64" w:rsidRDefault="00506CD6">
            <w:pPr>
              <w:jc w:val="right"/>
              <w:textAlignment w:val="bottom"/>
            </w:pPr>
            <w:r>
              <w:rPr>
                <w:rFonts w:ascii="Times New Roman" w:eastAsia="宋体" w:hAnsi="Times New Roman"/>
                <w:color w:val="000000"/>
                <w:sz w:val="20"/>
                <w:szCs w:val="20"/>
              </w:rPr>
              <w:t>2,656 </w:t>
            </w:r>
          </w:p>
        </w:tc>
        <w:tc>
          <w:tcPr>
            <w:tcW w:w="0" w:type="auto"/>
            <w:shd w:val="clear" w:color="auto" w:fill="FFFFFF"/>
            <w:tcMar>
              <w:top w:w="40" w:type="dxa"/>
              <w:bottom w:w="40" w:type="dxa"/>
              <w:right w:w="20" w:type="dxa"/>
            </w:tcMar>
            <w:vAlign w:val="bottom"/>
          </w:tcPr>
          <w:p w14:paraId="33DA95C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5C1"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5C2" w14:textId="77777777" w:rsidR="004D6A64" w:rsidRDefault="00506CD6">
            <w:pPr>
              <w:jc w:val="right"/>
              <w:textAlignment w:val="bottom"/>
            </w:pPr>
            <w:r>
              <w:rPr>
                <w:rFonts w:ascii="Times New Roman" w:eastAsia="宋体" w:hAnsi="Times New Roman"/>
                <w:color w:val="000000"/>
                <w:sz w:val="20"/>
                <w:szCs w:val="20"/>
              </w:rPr>
              <w:t>3,114 </w:t>
            </w:r>
          </w:p>
        </w:tc>
        <w:tc>
          <w:tcPr>
            <w:tcW w:w="0" w:type="auto"/>
            <w:shd w:val="clear" w:color="auto" w:fill="FFFFFF"/>
            <w:tcMar>
              <w:top w:w="40" w:type="dxa"/>
              <w:bottom w:w="40" w:type="dxa"/>
              <w:right w:w="20" w:type="dxa"/>
            </w:tcMar>
            <w:vAlign w:val="bottom"/>
          </w:tcPr>
          <w:p w14:paraId="33DA95C3" w14:textId="77777777" w:rsidR="004D6A64" w:rsidRDefault="004D6A64">
            <w:pPr>
              <w:jc w:val="right"/>
              <w:rPr>
                <w:rFonts w:ascii="宋体"/>
              </w:rPr>
            </w:pPr>
          </w:p>
        </w:tc>
        <w:tc>
          <w:tcPr>
            <w:tcW w:w="0" w:type="auto"/>
            <w:shd w:val="clear" w:color="auto" w:fill="auto"/>
          </w:tcPr>
          <w:p w14:paraId="33DA95C4" w14:textId="77777777" w:rsidR="004D6A64" w:rsidRDefault="004D6A64">
            <w:pPr>
              <w:rPr>
                <w:rFonts w:ascii="宋体"/>
              </w:rPr>
            </w:pPr>
          </w:p>
        </w:tc>
        <w:tc>
          <w:tcPr>
            <w:tcW w:w="0" w:type="auto"/>
            <w:shd w:val="clear" w:color="auto" w:fill="auto"/>
          </w:tcPr>
          <w:p w14:paraId="33DA95C5" w14:textId="77777777" w:rsidR="004D6A64" w:rsidRDefault="004D6A64">
            <w:pPr>
              <w:rPr>
                <w:rFonts w:ascii="宋体"/>
              </w:rPr>
            </w:pPr>
          </w:p>
        </w:tc>
        <w:tc>
          <w:tcPr>
            <w:tcW w:w="0" w:type="auto"/>
            <w:shd w:val="clear" w:color="auto" w:fill="auto"/>
          </w:tcPr>
          <w:p w14:paraId="33DA95C6" w14:textId="77777777" w:rsidR="004D6A64" w:rsidRDefault="004D6A64">
            <w:pPr>
              <w:rPr>
                <w:rFonts w:ascii="宋体"/>
              </w:rPr>
            </w:pPr>
          </w:p>
        </w:tc>
        <w:tc>
          <w:tcPr>
            <w:tcW w:w="0" w:type="auto"/>
            <w:shd w:val="clear" w:color="auto" w:fill="auto"/>
          </w:tcPr>
          <w:p w14:paraId="33DA95C7" w14:textId="77777777" w:rsidR="004D6A64" w:rsidRDefault="004D6A64">
            <w:pPr>
              <w:rPr>
                <w:rFonts w:ascii="宋体"/>
              </w:rPr>
            </w:pPr>
          </w:p>
        </w:tc>
        <w:tc>
          <w:tcPr>
            <w:tcW w:w="0" w:type="auto"/>
            <w:shd w:val="clear" w:color="auto" w:fill="auto"/>
          </w:tcPr>
          <w:p w14:paraId="33DA95C8" w14:textId="77777777" w:rsidR="004D6A64" w:rsidRDefault="004D6A64">
            <w:pPr>
              <w:rPr>
                <w:rFonts w:ascii="宋体"/>
              </w:rPr>
            </w:pPr>
          </w:p>
        </w:tc>
        <w:tc>
          <w:tcPr>
            <w:tcW w:w="0" w:type="auto"/>
            <w:shd w:val="clear" w:color="auto" w:fill="auto"/>
          </w:tcPr>
          <w:p w14:paraId="33DA95C9" w14:textId="77777777" w:rsidR="004D6A64" w:rsidRDefault="004D6A64">
            <w:pPr>
              <w:rPr>
                <w:rFonts w:ascii="宋体"/>
              </w:rPr>
            </w:pPr>
          </w:p>
        </w:tc>
      </w:tr>
      <w:tr w:rsidR="004D6A64" w14:paraId="33DA95D7" w14:textId="77777777">
        <w:trPr>
          <w:jc w:val="center"/>
        </w:trPr>
        <w:tc>
          <w:tcPr>
            <w:tcW w:w="0" w:type="auto"/>
            <w:gridSpan w:val="3"/>
            <w:shd w:val="clear" w:color="auto" w:fill="CCEEFF"/>
            <w:tcMar>
              <w:top w:w="40" w:type="dxa"/>
              <w:left w:w="360" w:type="dxa"/>
              <w:bottom w:w="40" w:type="dxa"/>
              <w:right w:w="20" w:type="dxa"/>
            </w:tcMar>
            <w:vAlign w:val="bottom"/>
          </w:tcPr>
          <w:p w14:paraId="33DA95CB" w14:textId="77777777" w:rsidR="004D6A64" w:rsidRDefault="00506CD6">
            <w:pPr>
              <w:textAlignment w:val="bottom"/>
            </w:pPr>
            <w:r>
              <w:rPr>
                <w:rFonts w:ascii="Times New Roman" w:eastAsia="宋体" w:hAnsi="Times New Roman"/>
                <w:color w:val="000000"/>
                <w:sz w:val="20"/>
                <w:szCs w:val="20"/>
              </w:rPr>
              <w:t>Stock-based compensation expense</w:t>
            </w:r>
          </w:p>
        </w:tc>
        <w:tc>
          <w:tcPr>
            <w:tcW w:w="0" w:type="auto"/>
            <w:gridSpan w:val="2"/>
            <w:shd w:val="clear" w:color="auto" w:fill="CCEEFF"/>
            <w:tcMar>
              <w:top w:w="40" w:type="dxa"/>
              <w:left w:w="20" w:type="dxa"/>
              <w:bottom w:w="40" w:type="dxa"/>
              <w:right w:w="0" w:type="dxa"/>
            </w:tcMar>
            <w:vAlign w:val="bottom"/>
          </w:tcPr>
          <w:p w14:paraId="33DA95CC" w14:textId="77777777" w:rsidR="004D6A64" w:rsidRDefault="00506CD6">
            <w:pPr>
              <w:jc w:val="right"/>
              <w:textAlignment w:val="bottom"/>
            </w:pPr>
            <w:r>
              <w:rPr>
                <w:rFonts w:ascii="Times New Roman" w:eastAsia="宋体" w:hAnsi="Times New Roman"/>
                <w:color w:val="000000"/>
                <w:sz w:val="20"/>
                <w:szCs w:val="20"/>
              </w:rPr>
              <w:t>783 </w:t>
            </w:r>
          </w:p>
        </w:tc>
        <w:tc>
          <w:tcPr>
            <w:tcW w:w="0" w:type="auto"/>
            <w:shd w:val="clear" w:color="auto" w:fill="CCEEFF"/>
            <w:tcMar>
              <w:top w:w="40" w:type="dxa"/>
              <w:bottom w:w="40" w:type="dxa"/>
              <w:right w:w="20" w:type="dxa"/>
            </w:tcMar>
            <w:vAlign w:val="bottom"/>
          </w:tcPr>
          <w:p w14:paraId="33DA95C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5CE"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5CF" w14:textId="77777777" w:rsidR="004D6A64" w:rsidRDefault="00506CD6">
            <w:pPr>
              <w:jc w:val="right"/>
              <w:textAlignment w:val="bottom"/>
            </w:pPr>
            <w:r>
              <w:rPr>
                <w:rFonts w:ascii="Times New Roman" w:eastAsia="宋体" w:hAnsi="Times New Roman"/>
                <w:color w:val="000000"/>
                <w:sz w:val="20"/>
                <w:szCs w:val="20"/>
              </w:rPr>
              <w:t>564 </w:t>
            </w:r>
          </w:p>
        </w:tc>
        <w:tc>
          <w:tcPr>
            <w:tcW w:w="0" w:type="auto"/>
            <w:shd w:val="clear" w:color="auto" w:fill="CCEEFF"/>
            <w:tcMar>
              <w:top w:w="40" w:type="dxa"/>
              <w:bottom w:w="40" w:type="dxa"/>
              <w:right w:w="20" w:type="dxa"/>
            </w:tcMar>
            <w:vAlign w:val="bottom"/>
          </w:tcPr>
          <w:p w14:paraId="33DA95D0" w14:textId="77777777" w:rsidR="004D6A64" w:rsidRDefault="004D6A64">
            <w:pPr>
              <w:jc w:val="right"/>
              <w:rPr>
                <w:rFonts w:ascii="宋体"/>
              </w:rPr>
            </w:pPr>
          </w:p>
        </w:tc>
        <w:tc>
          <w:tcPr>
            <w:tcW w:w="0" w:type="auto"/>
            <w:shd w:val="clear" w:color="auto" w:fill="auto"/>
          </w:tcPr>
          <w:p w14:paraId="33DA95D1" w14:textId="77777777" w:rsidR="004D6A64" w:rsidRDefault="004D6A64">
            <w:pPr>
              <w:rPr>
                <w:rFonts w:ascii="宋体"/>
              </w:rPr>
            </w:pPr>
          </w:p>
        </w:tc>
        <w:tc>
          <w:tcPr>
            <w:tcW w:w="0" w:type="auto"/>
            <w:shd w:val="clear" w:color="auto" w:fill="auto"/>
          </w:tcPr>
          <w:p w14:paraId="33DA95D2" w14:textId="77777777" w:rsidR="004D6A64" w:rsidRDefault="004D6A64">
            <w:pPr>
              <w:rPr>
                <w:rFonts w:ascii="宋体"/>
              </w:rPr>
            </w:pPr>
          </w:p>
        </w:tc>
        <w:tc>
          <w:tcPr>
            <w:tcW w:w="0" w:type="auto"/>
            <w:shd w:val="clear" w:color="auto" w:fill="auto"/>
          </w:tcPr>
          <w:p w14:paraId="33DA95D3" w14:textId="77777777" w:rsidR="004D6A64" w:rsidRDefault="004D6A64">
            <w:pPr>
              <w:rPr>
                <w:rFonts w:ascii="宋体"/>
              </w:rPr>
            </w:pPr>
          </w:p>
        </w:tc>
        <w:tc>
          <w:tcPr>
            <w:tcW w:w="0" w:type="auto"/>
            <w:shd w:val="clear" w:color="auto" w:fill="auto"/>
          </w:tcPr>
          <w:p w14:paraId="33DA95D4" w14:textId="77777777" w:rsidR="004D6A64" w:rsidRDefault="004D6A64">
            <w:pPr>
              <w:rPr>
                <w:rFonts w:ascii="宋体"/>
              </w:rPr>
            </w:pPr>
          </w:p>
        </w:tc>
        <w:tc>
          <w:tcPr>
            <w:tcW w:w="0" w:type="auto"/>
            <w:shd w:val="clear" w:color="auto" w:fill="auto"/>
          </w:tcPr>
          <w:p w14:paraId="33DA95D5" w14:textId="77777777" w:rsidR="004D6A64" w:rsidRDefault="004D6A64">
            <w:pPr>
              <w:rPr>
                <w:rFonts w:ascii="宋体"/>
              </w:rPr>
            </w:pPr>
          </w:p>
        </w:tc>
        <w:tc>
          <w:tcPr>
            <w:tcW w:w="0" w:type="auto"/>
            <w:shd w:val="clear" w:color="auto" w:fill="auto"/>
          </w:tcPr>
          <w:p w14:paraId="33DA95D6" w14:textId="77777777" w:rsidR="004D6A64" w:rsidRDefault="004D6A64">
            <w:pPr>
              <w:rPr>
                <w:rFonts w:ascii="宋体"/>
              </w:rPr>
            </w:pPr>
          </w:p>
        </w:tc>
      </w:tr>
      <w:tr w:rsidR="004D6A64" w14:paraId="33DA95E4" w14:textId="77777777">
        <w:trPr>
          <w:jc w:val="center"/>
        </w:trPr>
        <w:tc>
          <w:tcPr>
            <w:tcW w:w="0" w:type="auto"/>
            <w:gridSpan w:val="3"/>
            <w:shd w:val="clear" w:color="auto" w:fill="FFFFFF"/>
            <w:tcMar>
              <w:top w:w="40" w:type="dxa"/>
              <w:left w:w="360" w:type="dxa"/>
              <w:bottom w:w="40" w:type="dxa"/>
              <w:right w:w="20" w:type="dxa"/>
            </w:tcMar>
            <w:vAlign w:val="bottom"/>
          </w:tcPr>
          <w:p w14:paraId="33DA95D8" w14:textId="77777777" w:rsidR="004D6A64" w:rsidRDefault="00506CD6">
            <w:pPr>
              <w:textAlignment w:val="bottom"/>
            </w:pPr>
            <w:r>
              <w:rPr>
                <w:rFonts w:ascii="Times New Roman" w:eastAsia="宋体" w:hAnsi="Times New Roman"/>
                <w:color w:val="000000"/>
                <w:sz w:val="20"/>
                <w:szCs w:val="20"/>
              </w:rPr>
              <w:t xml:space="preserve">Deferred income </w:t>
            </w:r>
            <w:r>
              <w:rPr>
                <w:rFonts w:ascii="Times New Roman" w:eastAsia="宋体" w:hAnsi="Times New Roman"/>
                <w:color w:val="000000"/>
                <w:sz w:val="20"/>
                <w:szCs w:val="20"/>
              </w:rPr>
              <w:t>taxes</w:t>
            </w:r>
          </w:p>
        </w:tc>
        <w:tc>
          <w:tcPr>
            <w:tcW w:w="0" w:type="auto"/>
            <w:gridSpan w:val="2"/>
            <w:shd w:val="clear" w:color="auto" w:fill="FFFFFF"/>
            <w:tcMar>
              <w:top w:w="40" w:type="dxa"/>
              <w:left w:w="20" w:type="dxa"/>
              <w:bottom w:w="40" w:type="dxa"/>
              <w:right w:w="0" w:type="dxa"/>
            </w:tcMar>
            <w:vAlign w:val="bottom"/>
          </w:tcPr>
          <w:p w14:paraId="33DA95D9" w14:textId="77777777" w:rsidR="004D6A64" w:rsidRDefault="00506CD6">
            <w:pPr>
              <w:jc w:val="right"/>
              <w:textAlignment w:val="bottom"/>
            </w:pPr>
            <w:r>
              <w:rPr>
                <w:rFonts w:ascii="Times New Roman" w:eastAsia="宋体" w:hAnsi="Times New Roman"/>
                <w:color w:val="000000"/>
                <w:sz w:val="20"/>
                <w:szCs w:val="20"/>
              </w:rPr>
              <w:t>(384)</w:t>
            </w:r>
          </w:p>
        </w:tc>
        <w:tc>
          <w:tcPr>
            <w:tcW w:w="0" w:type="auto"/>
            <w:shd w:val="clear" w:color="auto" w:fill="FFFFFF"/>
            <w:tcMar>
              <w:top w:w="40" w:type="dxa"/>
              <w:bottom w:w="40" w:type="dxa"/>
              <w:right w:w="20" w:type="dxa"/>
            </w:tcMar>
            <w:vAlign w:val="bottom"/>
          </w:tcPr>
          <w:p w14:paraId="33DA95D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5DB"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5DC" w14:textId="77777777" w:rsidR="004D6A64" w:rsidRDefault="00506CD6">
            <w:pPr>
              <w:jc w:val="right"/>
              <w:textAlignment w:val="bottom"/>
            </w:pPr>
            <w:r>
              <w:rPr>
                <w:rFonts w:ascii="Times New Roman" w:eastAsia="宋体" w:hAnsi="Times New Roman"/>
                <w:color w:val="000000"/>
                <w:sz w:val="20"/>
                <w:szCs w:val="20"/>
              </w:rPr>
              <w:t>(5,541)</w:t>
            </w:r>
          </w:p>
        </w:tc>
        <w:tc>
          <w:tcPr>
            <w:tcW w:w="0" w:type="auto"/>
            <w:shd w:val="clear" w:color="auto" w:fill="FFFFFF"/>
            <w:tcMar>
              <w:top w:w="40" w:type="dxa"/>
              <w:bottom w:w="40" w:type="dxa"/>
              <w:right w:w="20" w:type="dxa"/>
            </w:tcMar>
            <w:vAlign w:val="bottom"/>
          </w:tcPr>
          <w:p w14:paraId="33DA95DD" w14:textId="77777777" w:rsidR="004D6A64" w:rsidRDefault="004D6A64">
            <w:pPr>
              <w:jc w:val="right"/>
              <w:rPr>
                <w:rFonts w:ascii="宋体"/>
              </w:rPr>
            </w:pPr>
          </w:p>
        </w:tc>
        <w:tc>
          <w:tcPr>
            <w:tcW w:w="0" w:type="auto"/>
            <w:shd w:val="clear" w:color="auto" w:fill="auto"/>
          </w:tcPr>
          <w:p w14:paraId="33DA95DE" w14:textId="77777777" w:rsidR="004D6A64" w:rsidRDefault="004D6A64">
            <w:pPr>
              <w:rPr>
                <w:rFonts w:ascii="宋体"/>
              </w:rPr>
            </w:pPr>
          </w:p>
        </w:tc>
        <w:tc>
          <w:tcPr>
            <w:tcW w:w="0" w:type="auto"/>
            <w:shd w:val="clear" w:color="auto" w:fill="auto"/>
          </w:tcPr>
          <w:p w14:paraId="33DA95DF" w14:textId="77777777" w:rsidR="004D6A64" w:rsidRDefault="004D6A64">
            <w:pPr>
              <w:rPr>
                <w:rFonts w:ascii="宋体"/>
              </w:rPr>
            </w:pPr>
          </w:p>
        </w:tc>
        <w:tc>
          <w:tcPr>
            <w:tcW w:w="0" w:type="auto"/>
            <w:shd w:val="clear" w:color="auto" w:fill="auto"/>
          </w:tcPr>
          <w:p w14:paraId="33DA95E0" w14:textId="77777777" w:rsidR="004D6A64" w:rsidRDefault="004D6A64">
            <w:pPr>
              <w:rPr>
                <w:rFonts w:ascii="宋体"/>
              </w:rPr>
            </w:pPr>
          </w:p>
        </w:tc>
        <w:tc>
          <w:tcPr>
            <w:tcW w:w="0" w:type="auto"/>
            <w:shd w:val="clear" w:color="auto" w:fill="auto"/>
          </w:tcPr>
          <w:p w14:paraId="33DA95E1" w14:textId="77777777" w:rsidR="004D6A64" w:rsidRDefault="004D6A64">
            <w:pPr>
              <w:rPr>
                <w:rFonts w:ascii="宋体"/>
              </w:rPr>
            </w:pPr>
          </w:p>
        </w:tc>
        <w:tc>
          <w:tcPr>
            <w:tcW w:w="0" w:type="auto"/>
            <w:shd w:val="clear" w:color="auto" w:fill="auto"/>
          </w:tcPr>
          <w:p w14:paraId="33DA95E2" w14:textId="77777777" w:rsidR="004D6A64" w:rsidRDefault="004D6A64">
            <w:pPr>
              <w:rPr>
                <w:rFonts w:ascii="宋体"/>
              </w:rPr>
            </w:pPr>
          </w:p>
        </w:tc>
        <w:tc>
          <w:tcPr>
            <w:tcW w:w="0" w:type="auto"/>
            <w:shd w:val="clear" w:color="auto" w:fill="auto"/>
          </w:tcPr>
          <w:p w14:paraId="33DA95E3" w14:textId="77777777" w:rsidR="004D6A64" w:rsidRDefault="004D6A64">
            <w:pPr>
              <w:rPr>
                <w:rFonts w:ascii="宋体"/>
              </w:rPr>
            </w:pPr>
          </w:p>
        </w:tc>
      </w:tr>
      <w:tr w:rsidR="004D6A64" w14:paraId="33DA95F1" w14:textId="77777777">
        <w:trPr>
          <w:jc w:val="center"/>
        </w:trPr>
        <w:tc>
          <w:tcPr>
            <w:tcW w:w="0" w:type="auto"/>
            <w:gridSpan w:val="3"/>
            <w:shd w:val="clear" w:color="auto" w:fill="CCEEFF"/>
            <w:tcMar>
              <w:top w:w="40" w:type="dxa"/>
              <w:left w:w="360" w:type="dxa"/>
              <w:bottom w:w="40" w:type="dxa"/>
              <w:right w:w="20" w:type="dxa"/>
            </w:tcMar>
            <w:vAlign w:val="bottom"/>
          </w:tcPr>
          <w:p w14:paraId="33DA95E5" w14:textId="77777777" w:rsidR="004D6A64" w:rsidRDefault="00506CD6">
            <w:pPr>
              <w:textAlignment w:val="bottom"/>
            </w:pPr>
            <w:r>
              <w:rPr>
                <w:rFonts w:ascii="Times New Roman" w:eastAsia="宋体" w:hAnsi="Times New Roman"/>
                <w:color w:val="000000"/>
                <w:sz w:val="20"/>
                <w:szCs w:val="20"/>
              </w:rPr>
              <w:t>Other, net</w:t>
            </w:r>
          </w:p>
        </w:tc>
        <w:tc>
          <w:tcPr>
            <w:tcW w:w="0" w:type="auto"/>
            <w:gridSpan w:val="2"/>
            <w:shd w:val="clear" w:color="auto" w:fill="CCEEFF"/>
            <w:tcMar>
              <w:top w:w="40" w:type="dxa"/>
              <w:left w:w="20" w:type="dxa"/>
              <w:bottom w:w="40" w:type="dxa"/>
              <w:right w:w="0" w:type="dxa"/>
            </w:tcMar>
            <w:vAlign w:val="bottom"/>
          </w:tcPr>
          <w:p w14:paraId="33DA95E6" w14:textId="77777777" w:rsidR="004D6A64" w:rsidRDefault="00506CD6">
            <w:pPr>
              <w:jc w:val="right"/>
              <w:textAlignment w:val="bottom"/>
            </w:pPr>
            <w:r>
              <w:rPr>
                <w:rFonts w:ascii="Times New Roman" w:eastAsia="宋体" w:hAnsi="Times New Roman"/>
                <w:color w:val="000000"/>
                <w:sz w:val="20"/>
                <w:szCs w:val="20"/>
              </w:rPr>
              <w:t>489 </w:t>
            </w:r>
          </w:p>
        </w:tc>
        <w:tc>
          <w:tcPr>
            <w:tcW w:w="0" w:type="auto"/>
            <w:shd w:val="clear" w:color="auto" w:fill="CCEEFF"/>
            <w:tcMar>
              <w:top w:w="40" w:type="dxa"/>
              <w:bottom w:w="40" w:type="dxa"/>
              <w:right w:w="20" w:type="dxa"/>
            </w:tcMar>
            <w:vAlign w:val="bottom"/>
          </w:tcPr>
          <w:p w14:paraId="33DA95E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5E8"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5E9" w14:textId="77777777" w:rsidR="004D6A64" w:rsidRDefault="00506CD6">
            <w:pPr>
              <w:jc w:val="right"/>
              <w:textAlignment w:val="bottom"/>
            </w:pPr>
            <w:r>
              <w:rPr>
                <w:rFonts w:ascii="Times New Roman" w:eastAsia="宋体" w:hAnsi="Times New Roman"/>
                <w:color w:val="000000"/>
                <w:sz w:val="20"/>
                <w:szCs w:val="20"/>
              </w:rPr>
              <w:t>700 </w:t>
            </w:r>
          </w:p>
        </w:tc>
        <w:tc>
          <w:tcPr>
            <w:tcW w:w="0" w:type="auto"/>
            <w:shd w:val="clear" w:color="auto" w:fill="CCEEFF"/>
            <w:tcMar>
              <w:top w:w="40" w:type="dxa"/>
              <w:bottom w:w="40" w:type="dxa"/>
              <w:right w:w="20" w:type="dxa"/>
            </w:tcMar>
            <w:vAlign w:val="bottom"/>
          </w:tcPr>
          <w:p w14:paraId="33DA95EA" w14:textId="77777777" w:rsidR="004D6A64" w:rsidRDefault="004D6A64">
            <w:pPr>
              <w:jc w:val="right"/>
              <w:rPr>
                <w:rFonts w:ascii="宋体"/>
              </w:rPr>
            </w:pPr>
          </w:p>
        </w:tc>
        <w:tc>
          <w:tcPr>
            <w:tcW w:w="0" w:type="auto"/>
            <w:shd w:val="clear" w:color="auto" w:fill="auto"/>
          </w:tcPr>
          <w:p w14:paraId="33DA95EB" w14:textId="77777777" w:rsidR="004D6A64" w:rsidRDefault="004D6A64">
            <w:pPr>
              <w:rPr>
                <w:rFonts w:ascii="宋体"/>
              </w:rPr>
            </w:pPr>
          </w:p>
        </w:tc>
        <w:tc>
          <w:tcPr>
            <w:tcW w:w="0" w:type="auto"/>
            <w:shd w:val="clear" w:color="auto" w:fill="auto"/>
          </w:tcPr>
          <w:p w14:paraId="33DA95EC" w14:textId="77777777" w:rsidR="004D6A64" w:rsidRDefault="004D6A64">
            <w:pPr>
              <w:rPr>
                <w:rFonts w:ascii="宋体"/>
              </w:rPr>
            </w:pPr>
          </w:p>
        </w:tc>
        <w:tc>
          <w:tcPr>
            <w:tcW w:w="0" w:type="auto"/>
            <w:shd w:val="clear" w:color="auto" w:fill="auto"/>
          </w:tcPr>
          <w:p w14:paraId="33DA95ED" w14:textId="77777777" w:rsidR="004D6A64" w:rsidRDefault="004D6A64">
            <w:pPr>
              <w:rPr>
                <w:rFonts w:ascii="宋体"/>
              </w:rPr>
            </w:pPr>
          </w:p>
        </w:tc>
        <w:tc>
          <w:tcPr>
            <w:tcW w:w="0" w:type="auto"/>
            <w:shd w:val="clear" w:color="auto" w:fill="auto"/>
          </w:tcPr>
          <w:p w14:paraId="33DA95EE" w14:textId="77777777" w:rsidR="004D6A64" w:rsidRDefault="004D6A64">
            <w:pPr>
              <w:rPr>
                <w:rFonts w:ascii="宋体"/>
              </w:rPr>
            </w:pPr>
          </w:p>
        </w:tc>
        <w:tc>
          <w:tcPr>
            <w:tcW w:w="0" w:type="auto"/>
            <w:shd w:val="clear" w:color="auto" w:fill="auto"/>
          </w:tcPr>
          <w:p w14:paraId="33DA95EF" w14:textId="77777777" w:rsidR="004D6A64" w:rsidRDefault="004D6A64">
            <w:pPr>
              <w:rPr>
                <w:rFonts w:ascii="宋体"/>
              </w:rPr>
            </w:pPr>
          </w:p>
        </w:tc>
        <w:tc>
          <w:tcPr>
            <w:tcW w:w="0" w:type="auto"/>
            <w:shd w:val="clear" w:color="auto" w:fill="auto"/>
          </w:tcPr>
          <w:p w14:paraId="33DA95F0" w14:textId="77777777" w:rsidR="004D6A64" w:rsidRDefault="004D6A64">
            <w:pPr>
              <w:rPr>
                <w:rFonts w:ascii="宋体"/>
              </w:rPr>
            </w:pPr>
          </w:p>
        </w:tc>
      </w:tr>
      <w:tr w:rsidR="004D6A64" w14:paraId="33DA95FC" w14:textId="77777777">
        <w:trPr>
          <w:jc w:val="center"/>
        </w:trPr>
        <w:tc>
          <w:tcPr>
            <w:tcW w:w="0" w:type="auto"/>
            <w:gridSpan w:val="3"/>
            <w:shd w:val="clear" w:color="auto" w:fill="FFFFFF"/>
            <w:tcMar>
              <w:top w:w="40" w:type="dxa"/>
              <w:left w:w="360" w:type="dxa"/>
              <w:bottom w:w="40" w:type="dxa"/>
              <w:right w:w="20" w:type="dxa"/>
            </w:tcMar>
            <w:vAlign w:val="bottom"/>
          </w:tcPr>
          <w:p w14:paraId="33DA95F2" w14:textId="77777777" w:rsidR="004D6A64" w:rsidRDefault="00506CD6">
            <w:pPr>
              <w:textAlignment w:val="bottom"/>
            </w:pPr>
            <w:r>
              <w:rPr>
                <w:rFonts w:ascii="Times New Roman" w:eastAsia="宋体" w:hAnsi="Times New Roman"/>
                <w:color w:val="000000"/>
                <w:sz w:val="20"/>
                <w:szCs w:val="20"/>
              </w:rPr>
              <w:t>Changes in assets and liabilities, net of effects from acquisitions and dispositions:</w:t>
            </w:r>
          </w:p>
        </w:tc>
        <w:tc>
          <w:tcPr>
            <w:tcW w:w="0" w:type="auto"/>
            <w:gridSpan w:val="3"/>
            <w:shd w:val="clear" w:color="auto" w:fill="FFFFFF"/>
            <w:tcMar>
              <w:left w:w="20" w:type="dxa"/>
              <w:right w:w="20" w:type="dxa"/>
            </w:tcMar>
            <w:vAlign w:val="bottom"/>
          </w:tcPr>
          <w:p w14:paraId="33DA95F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5F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5F5" w14:textId="77777777" w:rsidR="004D6A64" w:rsidRDefault="004D6A64">
            <w:pPr>
              <w:jc w:val="right"/>
              <w:rPr>
                <w:rFonts w:ascii="宋体"/>
              </w:rPr>
            </w:pPr>
          </w:p>
        </w:tc>
        <w:tc>
          <w:tcPr>
            <w:tcW w:w="0" w:type="auto"/>
            <w:shd w:val="clear" w:color="auto" w:fill="auto"/>
          </w:tcPr>
          <w:p w14:paraId="33DA95F6" w14:textId="77777777" w:rsidR="004D6A64" w:rsidRDefault="004D6A64">
            <w:pPr>
              <w:rPr>
                <w:rFonts w:ascii="宋体"/>
              </w:rPr>
            </w:pPr>
          </w:p>
        </w:tc>
        <w:tc>
          <w:tcPr>
            <w:tcW w:w="0" w:type="auto"/>
            <w:shd w:val="clear" w:color="auto" w:fill="auto"/>
          </w:tcPr>
          <w:p w14:paraId="33DA95F7" w14:textId="77777777" w:rsidR="004D6A64" w:rsidRDefault="004D6A64">
            <w:pPr>
              <w:rPr>
                <w:rFonts w:ascii="宋体"/>
              </w:rPr>
            </w:pPr>
          </w:p>
        </w:tc>
        <w:tc>
          <w:tcPr>
            <w:tcW w:w="0" w:type="auto"/>
            <w:shd w:val="clear" w:color="auto" w:fill="auto"/>
          </w:tcPr>
          <w:p w14:paraId="33DA95F8" w14:textId="77777777" w:rsidR="004D6A64" w:rsidRDefault="004D6A64">
            <w:pPr>
              <w:rPr>
                <w:rFonts w:ascii="宋体"/>
              </w:rPr>
            </w:pPr>
          </w:p>
        </w:tc>
        <w:tc>
          <w:tcPr>
            <w:tcW w:w="0" w:type="auto"/>
            <w:shd w:val="clear" w:color="auto" w:fill="auto"/>
          </w:tcPr>
          <w:p w14:paraId="33DA95F9" w14:textId="77777777" w:rsidR="004D6A64" w:rsidRDefault="004D6A64">
            <w:pPr>
              <w:rPr>
                <w:rFonts w:ascii="宋体"/>
              </w:rPr>
            </w:pPr>
          </w:p>
        </w:tc>
        <w:tc>
          <w:tcPr>
            <w:tcW w:w="0" w:type="auto"/>
            <w:shd w:val="clear" w:color="auto" w:fill="auto"/>
          </w:tcPr>
          <w:p w14:paraId="33DA95FA" w14:textId="77777777" w:rsidR="004D6A64" w:rsidRDefault="004D6A64">
            <w:pPr>
              <w:rPr>
                <w:rFonts w:ascii="宋体"/>
              </w:rPr>
            </w:pPr>
          </w:p>
        </w:tc>
        <w:tc>
          <w:tcPr>
            <w:tcW w:w="0" w:type="auto"/>
            <w:shd w:val="clear" w:color="auto" w:fill="auto"/>
          </w:tcPr>
          <w:p w14:paraId="33DA95FB" w14:textId="77777777" w:rsidR="004D6A64" w:rsidRDefault="004D6A64">
            <w:pPr>
              <w:rPr>
                <w:rFonts w:ascii="宋体"/>
              </w:rPr>
            </w:pPr>
          </w:p>
        </w:tc>
      </w:tr>
      <w:tr w:rsidR="004D6A64" w14:paraId="33DA9609" w14:textId="77777777">
        <w:trPr>
          <w:jc w:val="center"/>
        </w:trPr>
        <w:tc>
          <w:tcPr>
            <w:tcW w:w="0" w:type="auto"/>
            <w:gridSpan w:val="3"/>
            <w:shd w:val="clear" w:color="auto" w:fill="CCEEFF"/>
            <w:tcMar>
              <w:top w:w="40" w:type="dxa"/>
              <w:left w:w="495" w:type="dxa"/>
              <w:bottom w:w="40" w:type="dxa"/>
              <w:right w:w="20" w:type="dxa"/>
            </w:tcMar>
            <w:vAlign w:val="bottom"/>
          </w:tcPr>
          <w:p w14:paraId="33DA95FD" w14:textId="77777777" w:rsidR="004D6A64" w:rsidRDefault="00506CD6">
            <w:pPr>
              <w:textAlignment w:val="bottom"/>
            </w:pPr>
            <w:r>
              <w:rPr>
                <w:rFonts w:ascii="Times New Roman" w:eastAsia="宋体" w:hAnsi="Times New Roman"/>
                <w:color w:val="000000"/>
                <w:sz w:val="20"/>
                <w:szCs w:val="20"/>
              </w:rPr>
              <w:t>Accounts receivable</w:t>
            </w:r>
          </w:p>
        </w:tc>
        <w:tc>
          <w:tcPr>
            <w:tcW w:w="0" w:type="auto"/>
            <w:gridSpan w:val="2"/>
            <w:shd w:val="clear" w:color="auto" w:fill="CCEEFF"/>
            <w:tcMar>
              <w:top w:w="40" w:type="dxa"/>
              <w:left w:w="20" w:type="dxa"/>
              <w:bottom w:w="40" w:type="dxa"/>
              <w:right w:w="0" w:type="dxa"/>
            </w:tcMar>
            <w:vAlign w:val="bottom"/>
          </w:tcPr>
          <w:p w14:paraId="33DA95FE" w14:textId="77777777" w:rsidR="004D6A64" w:rsidRDefault="00506CD6">
            <w:pPr>
              <w:jc w:val="right"/>
              <w:textAlignment w:val="bottom"/>
            </w:pPr>
            <w:r>
              <w:rPr>
                <w:rFonts w:ascii="Times New Roman" w:eastAsia="宋体" w:hAnsi="Times New Roman"/>
                <w:color w:val="000000"/>
                <w:sz w:val="20"/>
                <w:szCs w:val="20"/>
              </w:rPr>
              <w:t>654 </w:t>
            </w:r>
          </w:p>
        </w:tc>
        <w:tc>
          <w:tcPr>
            <w:tcW w:w="0" w:type="auto"/>
            <w:shd w:val="clear" w:color="auto" w:fill="CCEEFF"/>
            <w:tcMar>
              <w:top w:w="40" w:type="dxa"/>
              <w:bottom w:w="40" w:type="dxa"/>
              <w:right w:w="20" w:type="dxa"/>
            </w:tcMar>
            <w:vAlign w:val="bottom"/>
          </w:tcPr>
          <w:p w14:paraId="33DA95F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600"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601" w14:textId="77777777" w:rsidR="004D6A64" w:rsidRDefault="00506CD6">
            <w:pPr>
              <w:jc w:val="right"/>
              <w:textAlignment w:val="bottom"/>
            </w:pPr>
            <w:r>
              <w:rPr>
                <w:rFonts w:ascii="Times New Roman" w:eastAsia="宋体" w:hAnsi="Times New Roman"/>
                <w:color w:val="000000"/>
                <w:sz w:val="20"/>
                <w:szCs w:val="20"/>
              </w:rPr>
              <w:t>632 </w:t>
            </w:r>
          </w:p>
        </w:tc>
        <w:tc>
          <w:tcPr>
            <w:tcW w:w="0" w:type="auto"/>
            <w:shd w:val="clear" w:color="auto" w:fill="CCEEFF"/>
            <w:tcMar>
              <w:top w:w="40" w:type="dxa"/>
              <w:bottom w:w="40" w:type="dxa"/>
              <w:right w:w="20" w:type="dxa"/>
            </w:tcMar>
            <w:vAlign w:val="bottom"/>
          </w:tcPr>
          <w:p w14:paraId="33DA9602" w14:textId="77777777" w:rsidR="004D6A64" w:rsidRDefault="004D6A64">
            <w:pPr>
              <w:jc w:val="right"/>
              <w:rPr>
                <w:rFonts w:ascii="宋体"/>
              </w:rPr>
            </w:pPr>
          </w:p>
        </w:tc>
        <w:tc>
          <w:tcPr>
            <w:tcW w:w="0" w:type="auto"/>
            <w:shd w:val="clear" w:color="auto" w:fill="auto"/>
          </w:tcPr>
          <w:p w14:paraId="33DA9603" w14:textId="77777777" w:rsidR="004D6A64" w:rsidRDefault="004D6A64">
            <w:pPr>
              <w:rPr>
                <w:rFonts w:ascii="宋体"/>
              </w:rPr>
            </w:pPr>
          </w:p>
        </w:tc>
        <w:tc>
          <w:tcPr>
            <w:tcW w:w="0" w:type="auto"/>
            <w:shd w:val="clear" w:color="auto" w:fill="auto"/>
          </w:tcPr>
          <w:p w14:paraId="33DA9604" w14:textId="77777777" w:rsidR="004D6A64" w:rsidRDefault="004D6A64">
            <w:pPr>
              <w:rPr>
                <w:rFonts w:ascii="宋体"/>
              </w:rPr>
            </w:pPr>
          </w:p>
        </w:tc>
        <w:tc>
          <w:tcPr>
            <w:tcW w:w="0" w:type="auto"/>
            <w:shd w:val="clear" w:color="auto" w:fill="auto"/>
          </w:tcPr>
          <w:p w14:paraId="33DA9605" w14:textId="77777777" w:rsidR="004D6A64" w:rsidRDefault="004D6A64">
            <w:pPr>
              <w:rPr>
                <w:rFonts w:ascii="宋体"/>
              </w:rPr>
            </w:pPr>
          </w:p>
        </w:tc>
        <w:tc>
          <w:tcPr>
            <w:tcW w:w="0" w:type="auto"/>
            <w:shd w:val="clear" w:color="auto" w:fill="auto"/>
          </w:tcPr>
          <w:p w14:paraId="33DA9606" w14:textId="77777777" w:rsidR="004D6A64" w:rsidRDefault="004D6A64">
            <w:pPr>
              <w:rPr>
                <w:rFonts w:ascii="宋体"/>
              </w:rPr>
            </w:pPr>
          </w:p>
        </w:tc>
        <w:tc>
          <w:tcPr>
            <w:tcW w:w="0" w:type="auto"/>
            <w:shd w:val="clear" w:color="auto" w:fill="auto"/>
          </w:tcPr>
          <w:p w14:paraId="33DA9607" w14:textId="77777777" w:rsidR="004D6A64" w:rsidRDefault="004D6A64">
            <w:pPr>
              <w:rPr>
                <w:rFonts w:ascii="宋体"/>
              </w:rPr>
            </w:pPr>
          </w:p>
        </w:tc>
        <w:tc>
          <w:tcPr>
            <w:tcW w:w="0" w:type="auto"/>
            <w:shd w:val="clear" w:color="auto" w:fill="auto"/>
          </w:tcPr>
          <w:p w14:paraId="33DA9608" w14:textId="77777777" w:rsidR="004D6A64" w:rsidRDefault="004D6A64">
            <w:pPr>
              <w:rPr>
                <w:rFonts w:ascii="宋体"/>
              </w:rPr>
            </w:pPr>
          </w:p>
        </w:tc>
      </w:tr>
      <w:tr w:rsidR="004D6A64" w14:paraId="33DA9616" w14:textId="77777777">
        <w:trPr>
          <w:jc w:val="center"/>
        </w:trPr>
        <w:tc>
          <w:tcPr>
            <w:tcW w:w="0" w:type="auto"/>
            <w:gridSpan w:val="3"/>
            <w:shd w:val="clear" w:color="auto" w:fill="FFFFFF"/>
            <w:tcMar>
              <w:top w:w="40" w:type="dxa"/>
              <w:left w:w="495" w:type="dxa"/>
              <w:bottom w:w="40" w:type="dxa"/>
              <w:right w:w="20" w:type="dxa"/>
            </w:tcMar>
            <w:vAlign w:val="bottom"/>
          </w:tcPr>
          <w:p w14:paraId="33DA960A" w14:textId="77777777" w:rsidR="004D6A64" w:rsidRDefault="00506CD6">
            <w:pPr>
              <w:textAlignment w:val="bottom"/>
            </w:pPr>
            <w:r>
              <w:rPr>
                <w:rFonts w:ascii="Times New Roman" w:eastAsia="宋体" w:hAnsi="Times New Roman"/>
                <w:color w:val="000000"/>
                <w:sz w:val="20"/>
                <w:szCs w:val="20"/>
              </w:rPr>
              <w:t>Financing receivables</w:t>
            </w:r>
          </w:p>
        </w:tc>
        <w:tc>
          <w:tcPr>
            <w:tcW w:w="0" w:type="auto"/>
            <w:gridSpan w:val="2"/>
            <w:shd w:val="clear" w:color="auto" w:fill="FFFFFF"/>
            <w:tcMar>
              <w:top w:w="40" w:type="dxa"/>
              <w:left w:w="20" w:type="dxa"/>
              <w:bottom w:w="40" w:type="dxa"/>
              <w:right w:w="0" w:type="dxa"/>
            </w:tcMar>
            <w:vAlign w:val="bottom"/>
          </w:tcPr>
          <w:p w14:paraId="33DA960B" w14:textId="77777777" w:rsidR="004D6A64" w:rsidRDefault="00506CD6">
            <w:pPr>
              <w:jc w:val="right"/>
              <w:textAlignment w:val="bottom"/>
            </w:pPr>
            <w:r>
              <w:rPr>
                <w:rFonts w:ascii="Times New Roman" w:eastAsia="宋体" w:hAnsi="Times New Roman"/>
                <w:color w:val="000000"/>
                <w:sz w:val="20"/>
                <w:szCs w:val="20"/>
              </w:rPr>
              <w:t>(544)</w:t>
            </w:r>
          </w:p>
        </w:tc>
        <w:tc>
          <w:tcPr>
            <w:tcW w:w="0" w:type="auto"/>
            <w:shd w:val="clear" w:color="auto" w:fill="FFFFFF"/>
            <w:tcMar>
              <w:top w:w="40" w:type="dxa"/>
              <w:bottom w:w="40" w:type="dxa"/>
              <w:right w:w="20" w:type="dxa"/>
            </w:tcMar>
            <w:vAlign w:val="bottom"/>
          </w:tcPr>
          <w:p w14:paraId="33DA960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60D"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60E" w14:textId="77777777" w:rsidR="004D6A64" w:rsidRDefault="00506CD6">
            <w:pPr>
              <w:jc w:val="right"/>
              <w:textAlignment w:val="bottom"/>
            </w:pPr>
            <w:r>
              <w:rPr>
                <w:rFonts w:ascii="Times New Roman" w:eastAsia="宋体" w:hAnsi="Times New Roman"/>
                <w:color w:val="000000"/>
                <w:sz w:val="20"/>
                <w:szCs w:val="20"/>
              </w:rPr>
              <w:t>(362)</w:t>
            </w:r>
          </w:p>
        </w:tc>
        <w:tc>
          <w:tcPr>
            <w:tcW w:w="0" w:type="auto"/>
            <w:shd w:val="clear" w:color="auto" w:fill="FFFFFF"/>
            <w:tcMar>
              <w:top w:w="40" w:type="dxa"/>
              <w:bottom w:w="40" w:type="dxa"/>
              <w:right w:w="20" w:type="dxa"/>
            </w:tcMar>
            <w:vAlign w:val="bottom"/>
          </w:tcPr>
          <w:p w14:paraId="33DA960F" w14:textId="77777777" w:rsidR="004D6A64" w:rsidRDefault="004D6A64">
            <w:pPr>
              <w:jc w:val="right"/>
              <w:rPr>
                <w:rFonts w:ascii="宋体"/>
              </w:rPr>
            </w:pPr>
          </w:p>
        </w:tc>
        <w:tc>
          <w:tcPr>
            <w:tcW w:w="0" w:type="auto"/>
            <w:shd w:val="clear" w:color="auto" w:fill="auto"/>
          </w:tcPr>
          <w:p w14:paraId="33DA9610" w14:textId="77777777" w:rsidR="004D6A64" w:rsidRDefault="004D6A64">
            <w:pPr>
              <w:rPr>
                <w:rFonts w:ascii="宋体"/>
              </w:rPr>
            </w:pPr>
          </w:p>
        </w:tc>
        <w:tc>
          <w:tcPr>
            <w:tcW w:w="0" w:type="auto"/>
            <w:shd w:val="clear" w:color="auto" w:fill="auto"/>
          </w:tcPr>
          <w:p w14:paraId="33DA9611" w14:textId="77777777" w:rsidR="004D6A64" w:rsidRDefault="004D6A64">
            <w:pPr>
              <w:rPr>
                <w:rFonts w:ascii="宋体"/>
              </w:rPr>
            </w:pPr>
          </w:p>
        </w:tc>
        <w:tc>
          <w:tcPr>
            <w:tcW w:w="0" w:type="auto"/>
            <w:shd w:val="clear" w:color="auto" w:fill="auto"/>
          </w:tcPr>
          <w:p w14:paraId="33DA9612" w14:textId="77777777" w:rsidR="004D6A64" w:rsidRDefault="004D6A64">
            <w:pPr>
              <w:rPr>
                <w:rFonts w:ascii="宋体"/>
              </w:rPr>
            </w:pPr>
          </w:p>
        </w:tc>
        <w:tc>
          <w:tcPr>
            <w:tcW w:w="0" w:type="auto"/>
            <w:shd w:val="clear" w:color="auto" w:fill="auto"/>
          </w:tcPr>
          <w:p w14:paraId="33DA9613" w14:textId="77777777" w:rsidR="004D6A64" w:rsidRDefault="004D6A64">
            <w:pPr>
              <w:rPr>
                <w:rFonts w:ascii="宋体"/>
              </w:rPr>
            </w:pPr>
          </w:p>
        </w:tc>
        <w:tc>
          <w:tcPr>
            <w:tcW w:w="0" w:type="auto"/>
            <w:shd w:val="clear" w:color="auto" w:fill="auto"/>
          </w:tcPr>
          <w:p w14:paraId="33DA9614" w14:textId="77777777" w:rsidR="004D6A64" w:rsidRDefault="004D6A64">
            <w:pPr>
              <w:rPr>
                <w:rFonts w:ascii="宋体"/>
              </w:rPr>
            </w:pPr>
          </w:p>
        </w:tc>
        <w:tc>
          <w:tcPr>
            <w:tcW w:w="0" w:type="auto"/>
            <w:shd w:val="clear" w:color="auto" w:fill="auto"/>
          </w:tcPr>
          <w:p w14:paraId="33DA9615" w14:textId="77777777" w:rsidR="004D6A64" w:rsidRDefault="004D6A64">
            <w:pPr>
              <w:rPr>
                <w:rFonts w:ascii="宋体"/>
              </w:rPr>
            </w:pPr>
          </w:p>
        </w:tc>
      </w:tr>
      <w:tr w:rsidR="004D6A64" w14:paraId="33DA9623" w14:textId="77777777">
        <w:trPr>
          <w:jc w:val="center"/>
        </w:trPr>
        <w:tc>
          <w:tcPr>
            <w:tcW w:w="0" w:type="auto"/>
            <w:gridSpan w:val="3"/>
            <w:shd w:val="clear" w:color="auto" w:fill="CCEEFF"/>
            <w:tcMar>
              <w:top w:w="40" w:type="dxa"/>
              <w:left w:w="495" w:type="dxa"/>
              <w:bottom w:w="40" w:type="dxa"/>
              <w:right w:w="20" w:type="dxa"/>
            </w:tcMar>
            <w:vAlign w:val="bottom"/>
          </w:tcPr>
          <w:p w14:paraId="33DA9617" w14:textId="77777777" w:rsidR="004D6A64" w:rsidRDefault="00506CD6">
            <w:pPr>
              <w:textAlignment w:val="bottom"/>
            </w:pPr>
            <w:r>
              <w:rPr>
                <w:rFonts w:ascii="Times New Roman" w:eastAsia="宋体" w:hAnsi="Times New Roman"/>
                <w:color w:val="000000"/>
                <w:sz w:val="20"/>
                <w:szCs w:val="20"/>
              </w:rPr>
              <w:t>Inventories</w:t>
            </w:r>
          </w:p>
        </w:tc>
        <w:tc>
          <w:tcPr>
            <w:tcW w:w="0" w:type="auto"/>
            <w:gridSpan w:val="2"/>
            <w:shd w:val="clear" w:color="auto" w:fill="CCEEFF"/>
            <w:tcMar>
              <w:top w:w="40" w:type="dxa"/>
              <w:left w:w="20" w:type="dxa"/>
              <w:bottom w:w="40" w:type="dxa"/>
              <w:right w:w="0" w:type="dxa"/>
            </w:tcMar>
            <w:vAlign w:val="bottom"/>
          </w:tcPr>
          <w:p w14:paraId="33DA9618" w14:textId="77777777" w:rsidR="004D6A64" w:rsidRDefault="00506CD6">
            <w:pPr>
              <w:jc w:val="right"/>
              <w:textAlignment w:val="bottom"/>
            </w:pPr>
            <w:r>
              <w:rPr>
                <w:rFonts w:ascii="Times New Roman" w:eastAsia="宋体" w:hAnsi="Times New Roman"/>
                <w:color w:val="000000"/>
                <w:sz w:val="20"/>
                <w:szCs w:val="20"/>
              </w:rPr>
              <w:t>(362)</w:t>
            </w:r>
          </w:p>
        </w:tc>
        <w:tc>
          <w:tcPr>
            <w:tcW w:w="0" w:type="auto"/>
            <w:shd w:val="clear" w:color="auto" w:fill="CCEEFF"/>
            <w:tcMar>
              <w:top w:w="40" w:type="dxa"/>
              <w:bottom w:w="40" w:type="dxa"/>
              <w:right w:w="20" w:type="dxa"/>
            </w:tcMar>
            <w:vAlign w:val="bottom"/>
          </w:tcPr>
          <w:p w14:paraId="33DA9619"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61A"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61B" w14:textId="77777777" w:rsidR="004D6A64" w:rsidRDefault="00506CD6">
            <w:pPr>
              <w:jc w:val="right"/>
              <w:textAlignment w:val="bottom"/>
            </w:pPr>
            <w:r>
              <w:rPr>
                <w:rFonts w:ascii="Times New Roman" w:eastAsia="宋体" w:hAnsi="Times New Roman"/>
                <w:color w:val="000000"/>
                <w:sz w:val="20"/>
                <w:szCs w:val="20"/>
              </w:rPr>
              <w:t>503 </w:t>
            </w:r>
          </w:p>
        </w:tc>
        <w:tc>
          <w:tcPr>
            <w:tcW w:w="0" w:type="auto"/>
            <w:shd w:val="clear" w:color="auto" w:fill="CCEEFF"/>
            <w:tcMar>
              <w:top w:w="40" w:type="dxa"/>
              <w:bottom w:w="40" w:type="dxa"/>
              <w:right w:w="20" w:type="dxa"/>
            </w:tcMar>
            <w:vAlign w:val="bottom"/>
          </w:tcPr>
          <w:p w14:paraId="33DA961C" w14:textId="77777777" w:rsidR="004D6A64" w:rsidRDefault="004D6A64">
            <w:pPr>
              <w:jc w:val="right"/>
              <w:rPr>
                <w:rFonts w:ascii="宋体"/>
              </w:rPr>
            </w:pPr>
          </w:p>
        </w:tc>
        <w:tc>
          <w:tcPr>
            <w:tcW w:w="0" w:type="auto"/>
            <w:shd w:val="clear" w:color="auto" w:fill="auto"/>
          </w:tcPr>
          <w:p w14:paraId="33DA961D" w14:textId="77777777" w:rsidR="004D6A64" w:rsidRDefault="004D6A64">
            <w:pPr>
              <w:rPr>
                <w:rFonts w:ascii="宋体"/>
              </w:rPr>
            </w:pPr>
          </w:p>
        </w:tc>
        <w:tc>
          <w:tcPr>
            <w:tcW w:w="0" w:type="auto"/>
            <w:shd w:val="clear" w:color="auto" w:fill="auto"/>
          </w:tcPr>
          <w:p w14:paraId="33DA961E" w14:textId="77777777" w:rsidR="004D6A64" w:rsidRDefault="004D6A64">
            <w:pPr>
              <w:rPr>
                <w:rFonts w:ascii="宋体"/>
              </w:rPr>
            </w:pPr>
          </w:p>
        </w:tc>
        <w:tc>
          <w:tcPr>
            <w:tcW w:w="0" w:type="auto"/>
            <w:shd w:val="clear" w:color="auto" w:fill="auto"/>
          </w:tcPr>
          <w:p w14:paraId="33DA961F" w14:textId="77777777" w:rsidR="004D6A64" w:rsidRDefault="004D6A64">
            <w:pPr>
              <w:rPr>
                <w:rFonts w:ascii="宋体"/>
              </w:rPr>
            </w:pPr>
          </w:p>
        </w:tc>
        <w:tc>
          <w:tcPr>
            <w:tcW w:w="0" w:type="auto"/>
            <w:shd w:val="clear" w:color="auto" w:fill="auto"/>
          </w:tcPr>
          <w:p w14:paraId="33DA9620" w14:textId="77777777" w:rsidR="004D6A64" w:rsidRDefault="004D6A64">
            <w:pPr>
              <w:rPr>
                <w:rFonts w:ascii="宋体"/>
              </w:rPr>
            </w:pPr>
          </w:p>
        </w:tc>
        <w:tc>
          <w:tcPr>
            <w:tcW w:w="0" w:type="auto"/>
            <w:shd w:val="clear" w:color="auto" w:fill="auto"/>
          </w:tcPr>
          <w:p w14:paraId="33DA9621" w14:textId="77777777" w:rsidR="004D6A64" w:rsidRDefault="004D6A64">
            <w:pPr>
              <w:rPr>
                <w:rFonts w:ascii="宋体"/>
              </w:rPr>
            </w:pPr>
          </w:p>
        </w:tc>
        <w:tc>
          <w:tcPr>
            <w:tcW w:w="0" w:type="auto"/>
            <w:shd w:val="clear" w:color="auto" w:fill="auto"/>
          </w:tcPr>
          <w:p w14:paraId="33DA9622" w14:textId="77777777" w:rsidR="004D6A64" w:rsidRDefault="004D6A64">
            <w:pPr>
              <w:rPr>
                <w:rFonts w:ascii="宋体"/>
              </w:rPr>
            </w:pPr>
          </w:p>
        </w:tc>
      </w:tr>
      <w:tr w:rsidR="004D6A64" w14:paraId="33DA9630" w14:textId="77777777">
        <w:trPr>
          <w:jc w:val="center"/>
        </w:trPr>
        <w:tc>
          <w:tcPr>
            <w:tcW w:w="0" w:type="auto"/>
            <w:gridSpan w:val="3"/>
            <w:shd w:val="clear" w:color="auto" w:fill="FFFFFF"/>
            <w:tcMar>
              <w:top w:w="40" w:type="dxa"/>
              <w:left w:w="495" w:type="dxa"/>
              <w:bottom w:w="40" w:type="dxa"/>
              <w:right w:w="20" w:type="dxa"/>
            </w:tcMar>
            <w:vAlign w:val="bottom"/>
          </w:tcPr>
          <w:p w14:paraId="33DA9624" w14:textId="77777777" w:rsidR="004D6A64" w:rsidRDefault="00506CD6">
            <w:pPr>
              <w:textAlignment w:val="bottom"/>
            </w:pPr>
            <w:r>
              <w:rPr>
                <w:rFonts w:ascii="Times New Roman" w:eastAsia="宋体" w:hAnsi="Times New Roman"/>
                <w:color w:val="000000"/>
                <w:sz w:val="20"/>
                <w:szCs w:val="20"/>
              </w:rPr>
              <w:t>Other assets and liabilities</w:t>
            </w:r>
          </w:p>
        </w:tc>
        <w:tc>
          <w:tcPr>
            <w:tcW w:w="0" w:type="auto"/>
            <w:gridSpan w:val="2"/>
            <w:shd w:val="clear" w:color="auto" w:fill="FFFFFF"/>
            <w:tcMar>
              <w:top w:w="40" w:type="dxa"/>
              <w:left w:w="20" w:type="dxa"/>
              <w:bottom w:w="40" w:type="dxa"/>
              <w:right w:w="0" w:type="dxa"/>
            </w:tcMar>
            <w:vAlign w:val="bottom"/>
          </w:tcPr>
          <w:p w14:paraId="33DA9625" w14:textId="77777777" w:rsidR="004D6A64" w:rsidRDefault="00506CD6">
            <w:pPr>
              <w:jc w:val="right"/>
              <w:textAlignment w:val="bottom"/>
            </w:pPr>
            <w:r>
              <w:rPr>
                <w:rFonts w:ascii="Times New Roman" w:eastAsia="宋体" w:hAnsi="Times New Roman"/>
                <w:color w:val="000000"/>
                <w:sz w:val="20"/>
                <w:szCs w:val="20"/>
              </w:rPr>
              <w:t>(2,520)</w:t>
            </w:r>
          </w:p>
        </w:tc>
        <w:tc>
          <w:tcPr>
            <w:tcW w:w="0" w:type="auto"/>
            <w:shd w:val="clear" w:color="auto" w:fill="FFFFFF"/>
            <w:tcMar>
              <w:top w:w="40" w:type="dxa"/>
              <w:bottom w:w="40" w:type="dxa"/>
              <w:right w:w="20" w:type="dxa"/>
            </w:tcMar>
            <w:vAlign w:val="bottom"/>
          </w:tcPr>
          <w:p w14:paraId="33DA962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627"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628" w14:textId="77777777" w:rsidR="004D6A64" w:rsidRDefault="00506CD6">
            <w:pPr>
              <w:jc w:val="right"/>
              <w:textAlignment w:val="bottom"/>
            </w:pPr>
            <w:r>
              <w:rPr>
                <w:rFonts w:ascii="Times New Roman" w:eastAsia="宋体" w:hAnsi="Times New Roman"/>
                <w:color w:val="000000"/>
                <w:sz w:val="20"/>
                <w:szCs w:val="20"/>
              </w:rPr>
              <w:t>(1,931)</w:t>
            </w:r>
          </w:p>
        </w:tc>
        <w:tc>
          <w:tcPr>
            <w:tcW w:w="0" w:type="auto"/>
            <w:shd w:val="clear" w:color="auto" w:fill="FFFFFF"/>
            <w:tcMar>
              <w:top w:w="40" w:type="dxa"/>
              <w:bottom w:w="40" w:type="dxa"/>
              <w:right w:w="20" w:type="dxa"/>
            </w:tcMar>
            <w:vAlign w:val="bottom"/>
          </w:tcPr>
          <w:p w14:paraId="33DA9629" w14:textId="77777777" w:rsidR="004D6A64" w:rsidRDefault="004D6A64">
            <w:pPr>
              <w:jc w:val="right"/>
              <w:rPr>
                <w:rFonts w:ascii="宋体"/>
              </w:rPr>
            </w:pPr>
          </w:p>
        </w:tc>
        <w:tc>
          <w:tcPr>
            <w:tcW w:w="0" w:type="auto"/>
            <w:shd w:val="clear" w:color="auto" w:fill="auto"/>
          </w:tcPr>
          <w:p w14:paraId="33DA962A" w14:textId="77777777" w:rsidR="004D6A64" w:rsidRDefault="004D6A64">
            <w:pPr>
              <w:rPr>
                <w:rFonts w:ascii="宋体"/>
              </w:rPr>
            </w:pPr>
          </w:p>
        </w:tc>
        <w:tc>
          <w:tcPr>
            <w:tcW w:w="0" w:type="auto"/>
            <w:shd w:val="clear" w:color="auto" w:fill="auto"/>
          </w:tcPr>
          <w:p w14:paraId="33DA962B" w14:textId="77777777" w:rsidR="004D6A64" w:rsidRDefault="004D6A64">
            <w:pPr>
              <w:rPr>
                <w:rFonts w:ascii="宋体"/>
              </w:rPr>
            </w:pPr>
          </w:p>
        </w:tc>
        <w:tc>
          <w:tcPr>
            <w:tcW w:w="0" w:type="auto"/>
            <w:shd w:val="clear" w:color="auto" w:fill="auto"/>
          </w:tcPr>
          <w:p w14:paraId="33DA962C" w14:textId="77777777" w:rsidR="004D6A64" w:rsidRDefault="004D6A64">
            <w:pPr>
              <w:rPr>
                <w:rFonts w:ascii="宋体"/>
              </w:rPr>
            </w:pPr>
          </w:p>
        </w:tc>
        <w:tc>
          <w:tcPr>
            <w:tcW w:w="0" w:type="auto"/>
            <w:shd w:val="clear" w:color="auto" w:fill="auto"/>
          </w:tcPr>
          <w:p w14:paraId="33DA962D" w14:textId="77777777" w:rsidR="004D6A64" w:rsidRDefault="004D6A64">
            <w:pPr>
              <w:rPr>
                <w:rFonts w:ascii="宋体"/>
              </w:rPr>
            </w:pPr>
          </w:p>
        </w:tc>
        <w:tc>
          <w:tcPr>
            <w:tcW w:w="0" w:type="auto"/>
            <w:shd w:val="clear" w:color="auto" w:fill="auto"/>
          </w:tcPr>
          <w:p w14:paraId="33DA962E" w14:textId="77777777" w:rsidR="004D6A64" w:rsidRDefault="004D6A64">
            <w:pPr>
              <w:rPr>
                <w:rFonts w:ascii="宋体"/>
              </w:rPr>
            </w:pPr>
          </w:p>
        </w:tc>
        <w:tc>
          <w:tcPr>
            <w:tcW w:w="0" w:type="auto"/>
            <w:shd w:val="clear" w:color="auto" w:fill="auto"/>
          </w:tcPr>
          <w:p w14:paraId="33DA962F" w14:textId="77777777" w:rsidR="004D6A64" w:rsidRDefault="004D6A64">
            <w:pPr>
              <w:rPr>
                <w:rFonts w:ascii="宋体"/>
              </w:rPr>
            </w:pPr>
          </w:p>
        </w:tc>
      </w:tr>
      <w:tr w:rsidR="004D6A64" w14:paraId="33DA963D" w14:textId="77777777">
        <w:trPr>
          <w:jc w:val="center"/>
        </w:trPr>
        <w:tc>
          <w:tcPr>
            <w:tcW w:w="0" w:type="auto"/>
            <w:gridSpan w:val="3"/>
            <w:shd w:val="clear" w:color="auto" w:fill="CCEEFF"/>
            <w:tcMar>
              <w:top w:w="40" w:type="dxa"/>
              <w:left w:w="495" w:type="dxa"/>
              <w:bottom w:w="40" w:type="dxa"/>
              <w:right w:w="20" w:type="dxa"/>
            </w:tcMar>
            <w:vAlign w:val="bottom"/>
          </w:tcPr>
          <w:p w14:paraId="33DA9631" w14:textId="77777777" w:rsidR="004D6A64" w:rsidRDefault="00506CD6">
            <w:pPr>
              <w:textAlignment w:val="bottom"/>
            </w:pPr>
            <w:r>
              <w:rPr>
                <w:rFonts w:ascii="Times New Roman" w:eastAsia="宋体" w:hAnsi="Times New Roman"/>
                <w:color w:val="000000"/>
                <w:sz w:val="20"/>
                <w:szCs w:val="20"/>
              </w:rPr>
              <w:t>Accounts payable</w:t>
            </w:r>
          </w:p>
        </w:tc>
        <w:tc>
          <w:tcPr>
            <w:tcW w:w="0" w:type="auto"/>
            <w:gridSpan w:val="2"/>
            <w:shd w:val="clear" w:color="auto" w:fill="CCEEFF"/>
            <w:tcMar>
              <w:top w:w="40" w:type="dxa"/>
              <w:left w:w="20" w:type="dxa"/>
              <w:bottom w:w="40" w:type="dxa"/>
              <w:right w:w="0" w:type="dxa"/>
            </w:tcMar>
            <w:vAlign w:val="bottom"/>
          </w:tcPr>
          <w:p w14:paraId="33DA9632" w14:textId="77777777" w:rsidR="004D6A64" w:rsidRDefault="00506CD6">
            <w:pPr>
              <w:jc w:val="right"/>
              <w:textAlignment w:val="bottom"/>
            </w:pPr>
            <w:r>
              <w:rPr>
                <w:rFonts w:ascii="Times New Roman" w:eastAsia="宋体" w:hAnsi="Times New Roman"/>
                <w:color w:val="000000"/>
                <w:sz w:val="20"/>
                <w:szCs w:val="20"/>
              </w:rPr>
              <w:t>(567)</w:t>
            </w:r>
          </w:p>
        </w:tc>
        <w:tc>
          <w:tcPr>
            <w:tcW w:w="0" w:type="auto"/>
            <w:shd w:val="clear" w:color="auto" w:fill="CCEEFF"/>
            <w:tcMar>
              <w:top w:w="40" w:type="dxa"/>
              <w:bottom w:w="40" w:type="dxa"/>
              <w:right w:w="20" w:type="dxa"/>
            </w:tcMar>
            <w:vAlign w:val="bottom"/>
          </w:tcPr>
          <w:p w14:paraId="33DA963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634"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635" w14:textId="77777777" w:rsidR="004D6A64" w:rsidRDefault="00506CD6">
            <w:pPr>
              <w:jc w:val="right"/>
              <w:textAlignment w:val="bottom"/>
            </w:pPr>
            <w:r>
              <w:rPr>
                <w:rFonts w:ascii="Times New Roman" w:eastAsia="宋体" w:hAnsi="Times New Roman"/>
                <w:color w:val="000000"/>
                <w:sz w:val="20"/>
                <w:szCs w:val="20"/>
              </w:rPr>
              <w:t>240 </w:t>
            </w:r>
          </w:p>
        </w:tc>
        <w:tc>
          <w:tcPr>
            <w:tcW w:w="0" w:type="auto"/>
            <w:shd w:val="clear" w:color="auto" w:fill="CCEEFF"/>
            <w:tcMar>
              <w:top w:w="40" w:type="dxa"/>
              <w:bottom w:w="40" w:type="dxa"/>
              <w:right w:w="20" w:type="dxa"/>
            </w:tcMar>
            <w:vAlign w:val="bottom"/>
          </w:tcPr>
          <w:p w14:paraId="33DA9636" w14:textId="77777777" w:rsidR="004D6A64" w:rsidRDefault="004D6A64">
            <w:pPr>
              <w:jc w:val="right"/>
              <w:rPr>
                <w:rFonts w:ascii="宋体"/>
              </w:rPr>
            </w:pPr>
          </w:p>
        </w:tc>
        <w:tc>
          <w:tcPr>
            <w:tcW w:w="0" w:type="auto"/>
            <w:shd w:val="clear" w:color="auto" w:fill="auto"/>
          </w:tcPr>
          <w:p w14:paraId="33DA9637" w14:textId="77777777" w:rsidR="004D6A64" w:rsidRDefault="004D6A64">
            <w:pPr>
              <w:rPr>
                <w:rFonts w:ascii="宋体"/>
              </w:rPr>
            </w:pPr>
          </w:p>
        </w:tc>
        <w:tc>
          <w:tcPr>
            <w:tcW w:w="0" w:type="auto"/>
            <w:shd w:val="clear" w:color="auto" w:fill="auto"/>
          </w:tcPr>
          <w:p w14:paraId="33DA9638" w14:textId="77777777" w:rsidR="004D6A64" w:rsidRDefault="004D6A64">
            <w:pPr>
              <w:rPr>
                <w:rFonts w:ascii="宋体"/>
              </w:rPr>
            </w:pPr>
          </w:p>
        </w:tc>
        <w:tc>
          <w:tcPr>
            <w:tcW w:w="0" w:type="auto"/>
            <w:shd w:val="clear" w:color="auto" w:fill="auto"/>
          </w:tcPr>
          <w:p w14:paraId="33DA9639" w14:textId="77777777" w:rsidR="004D6A64" w:rsidRDefault="004D6A64">
            <w:pPr>
              <w:rPr>
                <w:rFonts w:ascii="宋体"/>
              </w:rPr>
            </w:pPr>
          </w:p>
        </w:tc>
        <w:tc>
          <w:tcPr>
            <w:tcW w:w="0" w:type="auto"/>
            <w:shd w:val="clear" w:color="auto" w:fill="auto"/>
          </w:tcPr>
          <w:p w14:paraId="33DA963A" w14:textId="77777777" w:rsidR="004D6A64" w:rsidRDefault="004D6A64">
            <w:pPr>
              <w:rPr>
                <w:rFonts w:ascii="宋体"/>
              </w:rPr>
            </w:pPr>
          </w:p>
        </w:tc>
        <w:tc>
          <w:tcPr>
            <w:tcW w:w="0" w:type="auto"/>
            <w:shd w:val="clear" w:color="auto" w:fill="auto"/>
          </w:tcPr>
          <w:p w14:paraId="33DA963B" w14:textId="77777777" w:rsidR="004D6A64" w:rsidRDefault="004D6A64">
            <w:pPr>
              <w:rPr>
                <w:rFonts w:ascii="宋体"/>
              </w:rPr>
            </w:pPr>
          </w:p>
        </w:tc>
        <w:tc>
          <w:tcPr>
            <w:tcW w:w="0" w:type="auto"/>
            <w:shd w:val="clear" w:color="auto" w:fill="auto"/>
          </w:tcPr>
          <w:p w14:paraId="33DA963C" w14:textId="77777777" w:rsidR="004D6A64" w:rsidRDefault="004D6A64">
            <w:pPr>
              <w:rPr>
                <w:rFonts w:ascii="宋体"/>
              </w:rPr>
            </w:pPr>
          </w:p>
        </w:tc>
      </w:tr>
      <w:tr w:rsidR="004D6A64" w14:paraId="33DA964A" w14:textId="77777777">
        <w:trPr>
          <w:jc w:val="center"/>
        </w:trPr>
        <w:tc>
          <w:tcPr>
            <w:tcW w:w="0" w:type="auto"/>
            <w:gridSpan w:val="3"/>
            <w:shd w:val="clear" w:color="auto" w:fill="FFFFFF"/>
            <w:tcMar>
              <w:top w:w="40" w:type="dxa"/>
              <w:left w:w="495" w:type="dxa"/>
              <w:bottom w:w="40" w:type="dxa"/>
              <w:right w:w="20" w:type="dxa"/>
            </w:tcMar>
            <w:vAlign w:val="bottom"/>
          </w:tcPr>
          <w:p w14:paraId="33DA963E" w14:textId="77777777" w:rsidR="004D6A64" w:rsidRDefault="00506CD6">
            <w:pPr>
              <w:textAlignment w:val="bottom"/>
            </w:pPr>
            <w:r>
              <w:rPr>
                <w:rFonts w:ascii="Times New Roman" w:eastAsia="宋体" w:hAnsi="Times New Roman"/>
                <w:color w:val="000000"/>
                <w:sz w:val="20"/>
                <w:szCs w:val="20"/>
              </w:rPr>
              <w:t>Deferred revenue</w:t>
            </w:r>
          </w:p>
        </w:tc>
        <w:tc>
          <w:tcPr>
            <w:tcW w:w="0" w:type="auto"/>
            <w:gridSpan w:val="2"/>
            <w:shd w:val="clear" w:color="auto" w:fill="FFFFFF"/>
            <w:tcMar>
              <w:top w:w="40" w:type="dxa"/>
              <w:left w:w="20" w:type="dxa"/>
              <w:bottom w:w="40" w:type="dxa"/>
              <w:right w:w="0" w:type="dxa"/>
            </w:tcMar>
            <w:vAlign w:val="bottom"/>
          </w:tcPr>
          <w:p w14:paraId="33DA963F" w14:textId="77777777" w:rsidR="004D6A64" w:rsidRDefault="00506CD6">
            <w:pPr>
              <w:jc w:val="right"/>
              <w:textAlignment w:val="bottom"/>
            </w:pPr>
            <w:r>
              <w:rPr>
                <w:rFonts w:ascii="Times New Roman" w:eastAsia="宋体" w:hAnsi="Times New Roman"/>
                <w:color w:val="000000"/>
                <w:sz w:val="20"/>
                <w:szCs w:val="20"/>
              </w:rPr>
              <w:t>1,050 </w:t>
            </w:r>
          </w:p>
        </w:tc>
        <w:tc>
          <w:tcPr>
            <w:tcW w:w="0" w:type="auto"/>
            <w:shd w:val="clear" w:color="auto" w:fill="FFFFFF"/>
            <w:tcMar>
              <w:top w:w="40" w:type="dxa"/>
              <w:bottom w:w="40" w:type="dxa"/>
              <w:right w:w="20" w:type="dxa"/>
            </w:tcMar>
            <w:vAlign w:val="bottom"/>
          </w:tcPr>
          <w:p w14:paraId="33DA964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641"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642" w14:textId="77777777" w:rsidR="004D6A64" w:rsidRDefault="00506CD6">
            <w:pPr>
              <w:jc w:val="right"/>
              <w:textAlignment w:val="bottom"/>
            </w:pPr>
            <w:r>
              <w:rPr>
                <w:rFonts w:ascii="Times New Roman" w:eastAsia="宋体" w:hAnsi="Times New Roman"/>
                <w:color w:val="000000"/>
                <w:sz w:val="20"/>
                <w:szCs w:val="20"/>
              </w:rPr>
              <w:t>1,482 </w:t>
            </w:r>
          </w:p>
        </w:tc>
        <w:tc>
          <w:tcPr>
            <w:tcW w:w="0" w:type="auto"/>
            <w:shd w:val="clear" w:color="auto" w:fill="FFFFFF"/>
            <w:tcMar>
              <w:top w:w="40" w:type="dxa"/>
              <w:bottom w:w="40" w:type="dxa"/>
              <w:right w:w="20" w:type="dxa"/>
            </w:tcMar>
            <w:vAlign w:val="bottom"/>
          </w:tcPr>
          <w:p w14:paraId="33DA9643" w14:textId="77777777" w:rsidR="004D6A64" w:rsidRDefault="004D6A64">
            <w:pPr>
              <w:jc w:val="right"/>
              <w:rPr>
                <w:rFonts w:ascii="宋体"/>
              </w:rPr>
            </w:pPr>
          </w:p>
        </w:tc>
        <w:tc>
          <w:tcPr>
            <w:tcW w:w="0" w:type="auto"/>
            <w:shd w:val="clear" w:color="auto" w:fill="auto"/>
          </w:tcPr>
          <w:p w14:paraId="33DA9644" w14:textId="77777777" w:rsidR="004D6A64" w:rsidRDefault="004D6A64">
            <w:pPr>
              <w:rPr>
                <w:rFonts w:ascii="宋体"/>
              </w:rPr>
            </w:pPr>
          </w:p>
        </w:tc>
        <w:tc>
          <w:tcPr>
            <w:tcW w:w="0" w:type="auto"/>
            <w:shd w:val="clear" w:color="auto" w:fill="auto"/>
          </w:tcPr>
          <w:p w14:paraId="33DA9645" w14:textId="77777777" w:rsidR="004D6A64" w:rsidRDefault="004D6A64">
            <w:pPr>
              <w:rPr>
                <w:rFonts w:ascii="宋体"/>
              </w:rPr>
            </w:pPr>
          </w:p>
        </w:tc>
        <w:tc>
          <w:tcPr>
            <w:tcW w:w="0" w:type="auto"/>
            <w:shd w:val="clear" w:color="auto" w:fill="auto"/>
          </w:tcPr>
          <w:p w14:paraId="33DA9646" w14:textId="77777777" w:rsidR="004D6A64" w:rsidRDefault="004D6A64">
            <w:pPr>
              <w:rPr>
                <w:rFonts w:ascii="宋体"/>
              </w:rPr>
            </w:pPr>
          </w:p>
        </w:tc>
        <w:tc>
          <w:tcPr>
            <w:tcW w:w="0" w:type="auto"/>
            <w:shd w:val="clear" w:color="auto" w:fill="auto"/>
          </w:tcPr>
          <w:p w14:paraId="33DA9647" w14:textId="77777777" w:rsidR="004D6A64" w:rsidRDefault="004D6A64">
            <w:pPr>
              <w:rPr>
                <w:rFonts w:ascii="宋体"/>
              </w:rPr>
            </w:pPr>
          </w:p>
        </w:tc>
        <w:tc>
          <w:tcPr>
            <w:tcW w:w="0" w:type="auto"/>
            <w:shd w:val="clear" w:color="auto" w:fill="auto"/>
          </w:tcPr>
          <w:p w14:paraId="33DA9648" w14:textId="77777777" w:rsidR="004D6A64" w:rsidRDefault="004D6A64">
            <w:pPr>
              <w:rPr>
                <w:rFonts w:ascii="宋体"/>
              </w:rPr>
            </w:pPr>
          </w:p>
        </w:tc>
        <w:tc>
          <w:tcPr>
            <w:tcW w:w="0" w:type="auto"/>
            <w:shd w:val="clear" w:color="auto" w:fill="auto"/>
          </w:tcPr>
          <w:p w14:paraId="33DA9649" w14:textId="77777777" w:rsidR="004D6A64" w:rsidRDefault="004D6A64">
            <w:pPr>
              <w:rPr>
                <w:rFonts w:ascii="宋体"/>
              </w:rPr>
            </w:pPr>
          </w:p>
        </w:tc>
      </w:tr>
      <w:tr w:rsidR="004D6A64" w14:paraId="33DA9657" w14:textId="77777777">
        <w:trPr>
          <w:jc w:val="center"/>
        </w:trPr>
        <w:tc>
          <w:tcPr>
            <w:tcW w:w="0" w:type="auto"/>
            <w:gridSpan w:val="3"/>
            <w:shd w:val="clear" w:color="auto" w:fill="CCEEFF"/>
            <w:tcMar>
              <w:top w:w="40" w:type="dxa"/>
              <w:left w:w="705" w:type="dxa"/>
              <w:bottom w:w="40" w:type="dxa"/>
              <w:right w:w="20" w:type="dxa"/>
            </w:tcMar>
            <w:vAlign w:val="bottom"/>
          </w:tcPr>
          <w:p w14:paraId="33DA964B" w14:textId="77777777" w:rsidR="004D6A64" w:rsidRDefault="00506CD6">
            <w:pPr>
              <w:textAlignment w:val="bottom"/>
            </w:pPr>
            <w:r>
              <w:rPr>
                <w:rFonts w:ascii="Times New Roman" w:eastAsia="宋体" w:hAnsi="Times New Roman"/>
                <w:color w:val="000000"/>
                <w:sz w:val="20"/>
                <w:szCs w:val="20"/>
              </w:rPr>
              <w:t>Change in cash from operating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3DA964C" w14:textId="77777777" w:rsidR="004D6A64" w:rsidRDefault="00506CD6">
            <w:pPr>
              <w:jc w:val="right"/>
              <w:textAlignment w:val="bottom"/>
            </w:pPr>
            <w:r>
              <w:rPr>
                <w:rFonts w:ascii="Times New Roman" w:eastAsia="宋体" w:hAnsi="Times New Roman"/>
                <w:color w:val="000000"/>
                <w:sz w:val="20"/>
                <w:szCs w:val="20"/>
              </w:rPr>
              <w:t>2,536 </w:t>
            </w:r>
          </w:p>
        </w:tc>
        <w:tc>
          <w:tcPr>
            <w:tcW w:w="0" w:type="auto"/>
            <w:tcBorders>
              <w:top w:val="single" w:sz="8" w:space="0" w:color="000000"/>
            </w:tcBorders>
            <w:shd w:val="clear" w:color="auto" w:fill="CCEEFF"/>
            <w:tcMar>
              <w:top w:w="40" w:type="dxa"/>
              <w:bottom w:w="40" w:type="dxa"/>
              <w:right w:w="20" w:type="dxa"/>
            </w:tcMar>
            <w:vAlign w:val="bottom"/>
          </w:tcPr>
          <w:p w14:paraId="33DA964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64E" w14:textId="77777777" w:rsidR="004D6A64" w:rsidRDefault="004D6A6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3DA964F" w14:textId="77777777" w:rsidR="004D6A64" w:rsidRDefault="00506CD6">
            <w:pPr>
              <w:jc w:val="right"/>
              <w:textAlignment w:val="bottom"/>
            </w:pPr>
            <w:r>
              <w:rPr>
                <w:rFonts w:ascii="Times New Roman" w:eastAsia="宋体" w:hAnsi="Times New Roman"/>
                <w:color w:val="000000"/>
                <w:sz w:val="20"/>
                <w:szCs w:val="20"/>
              </w:rPr>
              <w:t>3,962 </w:t>
            </w:r>
          </w:p>
        </w:tc>
        <w:tc>
          <w:tcPr>
            <w:tcW w:w="0" w:type="auto"/>
            <w:tcBorders>
              <w:top w:val="single" w:sz="8" w:space="0" w:color="000000"/>
            </w:tcBorders>
            <w:shd w:val="clear" w:color="auto" w:fill="CCEEFF"/>
            <w:tcMar>
              <w:top w:w="40" w:type="dxa"/>
              <w:bottom w:w="40" w:type="dxa"/>
              <w:right w:w="20" w:type="dxa"/>
            </w:tcMar>
            <w:vAlign w:val="bottom"/>
          </w:tcPr>
          <w:p w14:paraId="33DA9650" w14:textId="77777777" w:rsidR="004D6A64" w:rsidRDefault="004D6A64">
            <w:pPr>
              <w:jc w:val="right"/>
              <w:rPr>
                <w:rFonts w:ascii="宋体"/>
              </w:rPr>
            </w:pPr>
          </w:p>
        </w:tc>
        <w:tc>
          <w:tcPr>
            <w:tcW w:w="0" w:type="auto"/>
            <w:shd w:val="clear" w:color="auto" w:fill="auto"/>
          </w:tcPr>
          <w:p w14:paraId="33DA9651" w14:textId="77777777" w:rsidR="004D6A64" w:rsidRDefault="004D6A64">
            <w:pPr>
              <w:rPr>
                <w:rFonts w:ascii="宋体"/>
              </w:rPr>
            </w:pPr>
          </w:p>
        </w:tc>
        <w:tc>
          <w:tcPr>
            <w:tcW w:w="0" w:type="auto"/>
            <w:shd w:val="clear" w:color="auto" w:fill="auto"/>
          </w:tcPr>
          <w:p w14:paraId="33DA9652" w14:textId="77777777" w:rsidR="004D6A64" w:rsidRDefault="004D6A64">
            <w:pPr>
              <w:rPr>
                <w:rFonts w:ascii="宋体"/>
              </w:rPr>
            </w:pPr>
          </w:p>
        </w:tc>
        <w:tc>
          <w:tcPr>
            <w:tcW w:w="0" w:type="auto"/>
            <w:shd w:val="clear" w:color="auto" w:fill="auto"/>
          </w:tcPr>
          <w:p w14:paraId="33DA9653" w14:textId="77777777" w:rsidR="004D6A64" w:rsidRDefault="004D6A64">
            <w:pPr>
              <w:rPr>
                <w:rFonts w:ascii="宋体"/>
              </w:rPr>
            </w:pPr>
          </w:p>
        </w:tc>
        <w:tc>
          <w:tcPr>
            <w:tcW w:w="0" w:type="auto"/>
            <w:shd w:val="clear" w:color="auto" w:fill="auto"/>
          </w:tcPr>
          <w:p w14:paraId="33DA9654" w14:textId="77777777" w:rsidR="004D6A64" w:rsidRDefault="004D6A64">
            <w:pPr>
              <w:rPr>
                <w:rFonts w:ascii="宋体"/>
              </w:rPr>
            </w:pPr>
          </w:p>
        </w:tc>
        <w:tc>
          <w:tcPr>
            <w:tcW w:w="0" w:type="auto"/>
            <w:shd w:val="clear" w:color="auto" w:fill="auto"/>
          </w:tcPr>
          <w:p w14:paraId="33DA9655" w14:textId="77777777" w:rsidR="004D6A64" w:rsidRDefault="004D6A64">
            <w:pPr>
              <w:rPr>
                <w:rFonts w:ascii="宋体"/>
              </w:rPr>
            </w:pPr>
          </w:p>
        </w:tc>
        <w:tc>
          <w:tcPr>
            <w:tcW w:w="0" w:type="auto"/>
            <w:shd w:val="clear" w:color="auto" w:fill="auto"/>
          </w:tcPr>
          <w:p w14:paraId="33DA9656" w14:textId="77777777" w:rsidR="004D6A64" w:rsidRDefault="004D6A64">
            <w:pPr>
              <w:rPr>
                <w:rFonts w:ascii="宋体"/>
              </w:rPr>
            </w:pPr>
          </w:p>
        </w:tc>
      </w:tr>
      <w:tr w:rsidR="004D6A64" w14:paraId="33DA9662" w14:textId="77777777">
        <w:trPr>
          <w:jc w:val="center"/>
        </w:trPr>
        <w:tc>
          <w:tcPr>
            <w:tcW w:w="0" w:type="auto"/>
            <w:gridSpan w:val="3"/>
            <w:shd w:val="clear" w:color="auto" w:fill="FFFFFF"/>
            <w:tcMar>
              <w:top w:w="40" w:type="dxa"/>
              <w:left w:w="20" w:type="dxa"/>
              <w:bottom w:w="40" w:type="dxa"/>
              <w:right w:w="20" w:type="dxa"/>
            </w:tcMar>
            <w:vAlign w:val="bottom"/>
          </w:tcPr>
          <w:p w14:paraId="33DA9658" w14:textId="77777777" w:rsidR="004D6A64" w:rsidRDefault="00506CD6">
            <w:pPr>
              <w:textAlignment w:val="bottom"/>
            </w:pPr>
            <w:r>
              <w:rPr>
                <w:rFonts w:ascii="Times New Roman" w:eastAsia="宋体" w:hAnsi="Times New Roman"/>
                <w:color w:val="000000"/>
                <w:sz w:val="20"/>
                <w:szCs w:val="20"/>
              </w:rPr>
              <w:t xml:space="preserve">Cash flows from </w:t>
            </w:r>
            <w:r>
              <w:rPr>
                <w:rFonts w:ascii="Times New Roman" w:eastAsia="宋体" w:hAnsi="Times New Roman"/>
                <w:color w:val="000000"/>
                <w:sz w:val="20"/>
                <w:szCs w:val="20"/>
              </w:rPr>
              <w:t>investing activities:</w:t>
            </w:r>
          </w:p>
        </w:tc>
        <w:tc>
          <w:tcPr>
            <w:tcW w:w="0" w:type="auto"/>
            <w:gridSpan w:val="3"/>
            <w:tcBorders>
              <w:top w:val="single" w:sz="8" w:space="0" w:color="000000"/>
            </w:tcBorders>
            <w:shd w:val="clear" w:color="auto" w:fill="FFFFFF"/>
            <w:tcMar>
              <w:left w:w="20" w:type="dxa"/>
              <w:right w:w="20" w:type="dxa"/>
            </w:tcMar>
            <w:vAlign w:val="bottom"/>
          </w:tcPr>
          <w:p w14:paraId="33DA965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65A" w14:textId="77777777" w:rsidR="004D6A64" w:rsidRDefault="004D6A64">
            <w:pPr>
              <w:jc w:val="right"/>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33DA965B" w14:textId="77777777" w:rsidR="004D6A64" w:rsidRDefault="004D6A64">
            <w:pPr>
              <w:jc w:val="right"/>
              <w:rPr>
                <w:rFonts w:ascii="宋体"/>
              </w:rPr>
            </w:pPr>
          </w:p>
        </w:tc>
        <w:tc>
          <w:tcPr>
            <w:tcW w:w="0" w:type="auto"/>
            <w:shd w:val="clear" w:color="auto" w:fill="auto"/>
          </w:tcPr>
          <w:p w14:paraId="33DA965C" w14:textId="77777777" w:rsidR="004D6A64" w:rsidRDefault="004D6A64">
            <w:pPr>
              <w:rPr>
                <w:rFonts w:ascii="宋体"/>
              </w:rPr>
            </w:pPr>
          </w:p>
        </w:tc>
        <w:tc>
          <w:tcPr>
            <w:tcW w:w="0" w:type="auto"/>
            <w:shd w:val="clear" w:color="auto" w:fill="auto"/>
          </w:tcPr>
          <w:p w14:paraId="33DA965D" w14:textId="77777777" w:rsidR="004D6A64" w:rsidRDefault="004D6A64">
            <w:pPr>
              <w:rPr>
                <w:rFonts w:ascii="宋体"/>
              </w:rPr>
            </w:pPr>
          </w:p>
        </w:tc>
        <w:tc>
          <w:tcPr>
            <w:tcW w:w="0" w:type="auto"/>
            <w:shd w:val="clear" w:color="auto" w:fill="auto"/>
          </w:tcPr>
          <w:p w14:paraId="33DA965E" w14:textId="77777777" w:rsidR="004D6A64" w:rsidRDefault="004D6A64">
            <w:pPr>
              <w:rPr>
                <w:rFonts w:ascii="宋体"/>
              </w:rPr>
            </w:pPr>
          </w:p>
        </w:tc>
        <w:tc>
          <w:tcPr>
            <w:tcW w:w="0" w:type="auto"/>
            <w:shd w:val="clear" w:color="auto" w:fill="auto"/>
          </w:tcPr>
          <w:p w14:paraId="33DA965F" w14:textId="77777777" w:rsidR="004D6A64" w:rsidRDefault="004D6A64">
            <w:pPr>
              <w:rPr>
                <w:rFonts w:ascii="宋体"/>
              </w:rPr>
            </w:pPr>
          </w:p>
        </w:tc>
        <w:tc>
          <w:tcPr>
            <w:tcW w:w="0" w:type="auto"/>
            <w:shd w:val="clear" w:color="auto" w:fill="auto"/>
          </w:tcPr>
          <w:p w14:paraId="33DA9660" w14:textId="77777777" w:rsidR="004D6A64" w:rsidRDefault="004D6A64">
            <w:pPr>
              <w:rPr>
                <w:rFonts w:ascii="宋体"/>
              </w:rPr>
            </w:pPr>
          </w:p>
        </w:tc>
        <w:tc>
          <w:tcPr>
            <w:tcW w:w="0" w:type="auto"/>
            <w:shd w:val="clear" w:color="auto" w:fill="auto"/>
          </w:tcPr>
          <w:p w14:paraId="33DA9661" w14:textId="77777777" w:rsidR="004D6A64" w:rsidRDefault="004D6A64">
            <w:pPr>
              <w:rPr>
                <w:rFonts w:ascii="宋体"/>
              </w:rPr>
            </w:pPr>
          </w:p>
        </w:tc>
      </w:tr>
      <w:tr w:rsidR="004D6A64" w14:paraId="33DA966F" w14:textId="77777777">
        <w:trPr>
          <w:jc w:val="center"/>
        </w:trPr>
        <w:tc>
          <w:tcPr>
            <w:tcW w:w="0" w:type="auto"/>
            <w:gridSpan w:val="3"/>
            <w:shd w:val="clear" w:color="auto" w:fill="CCEEFF"/>
            <w:tcMar>
              <w:top w:w="40" w:type="dxa"/>
              <w:left w:w="225" w:type="dxa"/>
              <w:bottom w:w="40" w:type="dxa"/>
              <w:right w:w="20" w:type="dxa"/>
            </w:tcMar>
            <w:vAlign w:val="bottom"/>
          </w:tcPr>
          <w:p w14:paraId="33DA9663" w14:textId="77777777" w:rsidR="004D6A64" w:rsidRDefault="00506CD6">
            <w:pPr>
              <w:textAlignment w:val="bottom"/>
            </w:pPr>
            <w:r>
              <w:rPr>
                <w:rFonts w:ascii="Times New Roman" w:eastAsia="宋体" w:hAnsi="Times New Roman"/>
                <w:color w:val="000000"/>
                <w:sz w:val="20"/>
                <w:szCs w:val="20"/>
              </w:rPr>
              <w:t>Purchases of investments</w:t>
            </w:r>
          </w:p>
        </w:tc>
        <w:tc>
          <w:tcPr>
            <w:tcW w:w="0" w:type="auto"/>
            <w:gridSpan w:val="2"/>
            <w:shd w:val="clear" w:color="auto" w:fill="CCEEFF"/>
            <w:tcMar>
              <w:top w:w="40" w:type="dxa"/>
              <w:left w:w="20" w:type="dxa"/>
              <w:bottom w:w="40" w:type="dxa"/>
              <w:right w:w="0" w:type="dxa"/>
            </w:tcMar>
            <w:vAlign w:val="bottom"/>
          </w:tcPr>
          <w:p w14:paraId="33DA9664" w14:textId="77777777" w:rsidR="004D6A64" w:rsidRDefault="00506CD6">
            <w:pPr>
              <w:jc w:val="right"/>
              <w:textAlignment w:val="bottom"/>
            </w:pPr>
            <w:r>
              <w:rPr>
                <w:rFonts w:ascii="Times New Roman" w:eastAsia="宋体" w:hAnsi="Times New Roman"/>
                <w:color w:val="000000"/>
                <w:sz w:val="20"/>
                <w:szCs w:val="20"/>
              </w:rPr>
              <w:t>(174)</w:t>
            </w:r>
          </w:p>
        </w:tc>
        <w:tc>
          <w:tcPr>
            <w:tcW w:w="0" w:type="auto"/>
            <w:shd w:val="clear" w:color="auto" w:fill="CCEEFF"/>
            <w:tcMar>
              <w:top w:w="40" w:type="dxa"/>
              <w:bottom w:w="40" w:type="dxa"/>
              <w:right w:w="20" w:type="dxa"/>
            </w:tcMar>
            <w:vAlign w:val="bottom"/>
          </w:tcPr>
          <w:p w14:paraId="33DA966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666"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667" w14:textId="77777777" w:rsidR="004D6A64" w:rsidRDefault="00506CD6">
            <w:pPr>
              <w:jc w:val="right"/>
              <w:textAlignment w:val="bottom"/>
            </w:pPr>
            <w:r>
              <w:rPr>
                <w:rFonts w:ascii="Times New Roman" w:eastAsia="宋体" w:hAnsi="Times New Roman"/>
                <w:color w:val="000000"/>
                <w:sz w:val="20"/>
                <w:szCs w:val="20"/>
              </w:rPr>
              <w:t>(70)</w:t>
            </w:r>
          </w:p>
        </w:tc>
        <w:tc>
          <w:tcPr>
            <w:tcW w:w="0" w:type="auto"/>
            <w:shd w:val="clear" w:color="auto" w:fill="CCEEFF"/>
            <w:tcMar>
              <w:top w:w="40" w:type="dxa"/>
              <w:bottom w:w="40" w:type="dxa"/>
              <w:right w:w="20" w:type="dxa"/>
            </w:tcMar>
            <w:vAlign w:val="bottom"/>
          </w:tcPr>
          <w:p w14:paraId="33DA9668" w14:textId="77777777" w:rsidR="004D6A64" w:rsidRDefault="004D6A64">
            <w:pPr>
              <w:jc w:val="right"/>
              <w:rPr>
                <w:rFonts w:ascii="宋体"/>
              </w:rPr>
            </w:pPr>
          </w:p>
        </w:tc>
        <w:tc>
          <w:tcPr>
            <w:tcW w:w="0" w:type="auto"/>
            <w:shd w:val="clear" w:color="auto" w:fill="auto"/>
          </w:tcPr>
          <w:p w14:paraId="33DA9669" w14:textId="77777777" w:rsidR="004D6A64" w:rsidRDefault="004D6A64">
            <w:pPr>
              <w:rPr>
                <w:rFonts w:ascii="宋体"/>
              </w:rPr>
            </w:pPr>
          </w:p>
        </w:tc>
        <w:tc>
          <w:tcPr>
            <w:tcW w:w="0" w:type="auto"/>
            <w:shd w:val="clear" w:color="auto" w:fill="auto"/>
          </w:tcPr>
          <w:p w14:paraId="33DA966A" w14:textId="77777777" w:rsidR="004D6A64" w:rsidRDefault="004D6A64">
            <w:pPr>
              <w:rPr>
                <w:rFonts w:ascii="宋体"/>
              </w:rPr>
            </w:pPr>
          </w:p>
        </w:tc>
        <w:tc>
          <w:tcPr>
            <w:tcW w:w="0" w:type="auto"/>
            <w:shd w:val="clear" w:color="auto" w:fill="auto"/>
          </w:tcPr>
          <w:p w14:paraId="33DA966B" w14:textId="77777777" w:rsidR="004D6A64" w:rsidRDefault="004D6A64">
            <w:pPr>
              <w:rPr>
                <w:rFonts w:ascii="宋体"/>
              </w:rPr>
            </w:pPr>
          </w:p>
        </w:tc>
        <w:tc>
          <w:tcPr>
            <w:tcW w:w="0" w:type="auto"/>
            <w:shd w:val="clear" w:color="auto" w:fill="auto"/>
          </w:tcPr>
          <w:p w14:paraId="33DA966C" w14:textId="77777777" w:rsidR="004D6A64" w:rsidRDefault="004D6A64">
            <w:pPr>
              <w:rPr>
                <w:rFonts w:ascii="宋体"/>
              </w:rPr>
            </w:pPr>
          </w:p>
        </w:tc>
        <w:tc>
          <w:tcPr>
            <w:tcW w:w="0" w:type="auto"/>
            <w:shd w:val="clear" w:color="auto" w:fill="auto"/>
          </w:tcPr>
          <w:p w14:paraId="33DA966D" w14:textId="77777777" w:rsidR="004D6A64" w:rsidRDefault="004D6A64">
            <w:pPr>
              <w:rPr>
                <w:rFonts w:ascii="宋体"/>
              </w:rPr>
            </w:pPr>
          </w:p>
        </w:tc>
        <w:tc>
          <w:tcPr>
            <w:tcW w:w="0" w:type="auto"/>
            <w:shd w:val="clear" w:color="auto" w:fill="auto"/>
          </w:tcPr>
          <w:p w14:paraId="33DA966E" w14:textId="77777777" w:rsidR="004D6A64" w:rsidRDefault="004D6A64">
            <w:pPr>
              <w:rPr>
                <w:rFonts w:ascii="宋体"/>
              </w:rPr>
            </w:pPr>
          </w:p>
        </w:tc>
      </w:tr>
      <w:tr w:rsidR="004D6A64" w14:paraId="33DA967C" w14:textId="77777777">
        <w:trPr>
          <w:jc w:val="center"/>
        </w:trPr>
        <w:tc>
          <w:tcPr>
            <w:tcW w:w="0" w:type="auto"/>
            <w:gridSpan w:val="3"/>
            <w:shd w:val="clear" w:color="auto" w:fill="FFFFFF"/>
            <w:tcMar>
              <w:top w:w="40" w:type="dxa"/>
              <w:left w:w="225" w:type="dxa"/>
              <w:bottom w:w="40" w:type="dxa"/>
              <w:right w:w="20" w:type="dxa"/>
            </w:tcMar>
            <w:vAlign w:val="bottom"/>
          </w:tcPr>
          <w:p w14:paraId="33DA9670" w14:textId="77777777" w:rsidR="004D6A64" w:rsidRDefault="00506CD6">
            <w:pPr>
              <w:textAlignment w:val="bottom"/>
            </w:pPr>
            <w:r>
              <w:rPr>
                <w:rFonts w:ascii="Times New Roman" w:eastAsia="宋体" w:hAnsi="Times New Roman"/>
                <w:color w:val="000000"/>
                <w:sz w:val="20"/>
                <w:szCs w:val="20"/>
              </w:rPr>
              <w:t>Maturities and sales of investments</w:t>
            </w:r>
          </w:p>
        </w:tc>
        <w:tc>
          <w:tcPr>
            <w:tcW w:w="0" w:type="auto"/>
            <w:gridSpan w:val="2"/>
            <w:shd w:val="clear" w:color="auto" w:fill="FFFFFF"/>
            <w:tcMar>
              <w:top w:w="40" w:type="dxa"/>
              <w:left w:w="20" w:type="dxa"/>
              <w:bottom w:w="40" w:type="dxa"/>
              <w:right w:w="0" w:type="dxa"/>
            </w:tcMar>
            <w:vAlign w:val="bottom"/>
          </w:tcPr>
          <w:p w14:paraId="33DA9671" w14:textId="77777777" w:rsidR="004D6A64" w:rsidRDefault="00506CD6">
            <w:pPr>
              <w:jc w:val="right"/>
              <w:textAlignment w:val="bottom"/>
            </w:pPr>
            <w:r>
              <w:rPr>
                <w:rFonts w:ascii="Times New Roman" w:eastAsia="宋体" w:hAnsi="Times New Roman"/>
                <w:color w:val="000000"/>
                <w:sz w:val="20"/>
                <w:szCs w:val="20"/>
              </w:rPr>
              <w:t>71 </w:t>
            </w:r>
          </w:p>
        </w:tc>
        <w:tc>
          <w:tcPr>
            <w:tcW w:w="0" w:type="auto"/>
            <w:shd w:val="clear" w:color="auto" w:fill="FFFFFF"/>
            <w:tcMar>
              <w:top w:w="40" w:type="dxa"/>
              <w:bottom w:w="40" w:type="dxa"/>
              <w:right w:w="20" w:type="dxa"/>
            </w:tcMar>
            <w:vAlign w:val="bottom"/>
          </w:tcPr>
          <w:p w14:paraId="33DA967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673"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674" w14:textId="77777777" w:rsidR="004D6A64" w:rsidRDefault="00506CD6">
            <w:pPr>
              <w:jc w:val="right"/>
              <w:textAlignment w:val="bottom"/>
            </w:pPr>
            <w:r>
              <w:rPr>
                <w:rFonts w:ascii="Times New Roman" w:eastAsia="宋体" w:hAnsi="Times New Roman"/>
                <w:color w:val="000000"/>
                <w:sz w:val="20"/>
                <w:szCs w:val="20"/>
              </w:rPr>
              <w:t>430 </w:t>
            </w:r>
          </w:p>
        </w:tc>
        <w:tc>
          <w:tcPr>
            <w:tcW w:w="0" w:type="auto"/>
            <w:shd w:val="clear" w:color="auto" w:fill="FFFFFF"/>
            <w:tcMar>
              <w:top w:w="40" w:type="dxa"/>
              <w:bottom w:w="40" w:type="dxa"/>
              <w:right w:w="20" w:type="dxa"/>
            </w:tcMar>
            <w:vAlign w:val="bottom"/>
          </w:tcPr>
          <w:p w14:paraId="33DA9675" w14:textId="77777777" w:rsidR="004D6A64" w:rsidRDefault="004D6A64">
            <w:pPr>
              <w:jc w:val="right"/>
              <w:rPr>
                <w:rFonts w:ascii="宋体"/>
              </w:rPr>
            </w:pPr>
          </w:p>
        </w:tc>
        <w:tc>
          <w:tcPr>
            <w:tcW w:w="0" w:type="auto"/>
            <w:shd w:val="clear" w:color="auto" w:fill="auto"/>
          </w:tcPr>
          <w:p w14:paraId="33DA9676" w14:textId="77777777" w:rsidR="004D6A64" w:rsidRDefault="004D6A64">
            <w:pPr>
              <w:rPr>
                <w:rFonts w:ascii="宋体"/>
              </w:rPr>
            </w:pPr>
          </w:p>
        </w:tc>
        <w:tc>
          <w:tcPr>
            <w:tcW w:w="0" w:type="auto"/>
            <w:shd w:val="clear" w:color="auto" w:fill="auto"/>
          </w:tcPr>
          <w:p w14:paraId="33DA9677" w14:textId="77777777" w:rsidR="004D6A64" w:rsidRDefault="004D6A64">
            <w:pPr>
              <w:rPr>
                <w:rFonts w:ascii="宋体"/>
              </w:rPr>
            </w:pPr>
          </w:p>
        </w:tc>
        <w:tc>
          <w:tcPr>
            <w:tcW w:w="0" w:type="auto"/>
            <w:shd w:val="clear" w:color="auto" w:fill="auto"/>
          </w:tcPr>
          <w:p w14:paraId="33DA9678" w14:textId="77777777" w:rsidR="004D6A64" w:rsidRDefault="004D6A64">
            <w:pPr>
              <w:rPr>
                <w:rFonts w:ascii="宋体"/>
              </w:rPr>
            </w:pPr>
          </w:p>
        </w:tc>
        <w:tc>
          <w:tcPr>
            <w:tcW w:w="0" w:type="auto"/>
            <w:shd w:val="clear" w:color="auto" w:fill="auto"/>
          </w:tcPr>
          <w:p w14:paraId="33DA9679" w14:textId="77777777" w:rsidR="004D6A64" w:rsidRDefault="004D6A64">
            <w:pPr>
              <w:rPr>
                <w:rFonts w:ascii="宋体"/>
              </w:rPr>
            </w:pPr>
          </w:p>
        </w:tc>
        <w:tc>
          <w:tcPr>
            <w:tcW w:w="0" w:type="auto"/>
            <w:shd w:val="clear" w:color="auto" w:fill="auto"/>
          </w:tcPr>
          <w:p w14:paraId="33DA967A" w14:textId="77777777" w:rsidR="004D6A64" w:rsidRDefault="004D6A64">
            <w:pPr>
              <w:rPr>
                <w:rFonts w:ascii="宋体"/>
              </w:rPr>
            </w:pPr>
          </w:p>
        </w:tc>
        <w:tc>
          <w:tcPr>
            <w:tcW w:w="0" w:type="auto"/>
            <w:shd w:val="clear" w:color="auto" w:fill="auto"/>
          </w:tcPr>
          <w:p w14:paraId="33DA967B" w14:textId="77777777" w:rsidR="004D6A64" w:rsidRDefault="004D6A64">
            <w:pPr>
              <w:rPr>
                <w:rFonts w:ascii="宋体"/>
              </w:rPr>
            </w:pPr>
          </w:p>
        </w:tc>
      </w:tr>
      <w:tr w:rsidR="004D6A64" w14:paraId="33DA9689" w14:textId="77777777">
        <w:trPr>
          <w:jc w:val="center"/>
        </w:trPr>
        <w:tc>
          <w:tcPr>
            <w:tcW w:w="0" w:type="auto"/>
            <w:gridSpan w:val="3"/>
            <w:shd w:val="clear" w:color="auto" w:fill="CCEEFF"/>
            <w:tcMar>
              <w:top w:w="40" w:type="dxa"/>
              <w:left w:w="135" w:type="dxa"/>
              <w:bottom w:w="40" w:type="dxa"/>
              <w:right w:w="20" w:type="dxa"/>
            </w:tcMar>
            <w:vAlign w:val="bottom"/>
          </w:tcPr>
          <w:p w14:paraId="33DA967D" w14:textId="77777777" w:rsidR="004D6A64" w:rsidRDefault="00506CD6">
            <w:pPr>
              <w:textAlignment w:val="bottom"/>
            </w:pPr>
            <w:r>
              <w:rPr>
                <w:rFonts w:ascii="Times New Roman" w:eastAsia="宋体" w:hAnsi="Times New Roman"/>
                <w:color w:val="000000"/>
                <w:sz w:val="20"/>
                <w:szCs w:val="20"/>
              </w:rPr>
              <w:t>Capital expenditures and capitalized software development costs</w:t>
            </w:r>
          </w:p>
        </w:tc>
        <w:tc>
          <w:tcPr>
            <w:tcW w:w="0" w:type="auto"/>
            <w:gridSpan w:val="2"/>
            <w:shd w:val="clear" w:color="auto" w:fill="CCEEFF"/>
            <w:tcMar>
              <w:top w:w="40" w:type="dxa"/>
              <w:left w:w="20" w:type="dxa"/>
              <w:bottom w:w="40" w:type="dxa"/>
              <w:right w:w="0" w:type="dxa"/>
            </w:tcMar>
            <w:vAlign w:val="bottom"/>
          </w:tcPr>
          <w:p w14:paraId="33DA967E" w14:textId="77777777" w:rsidR="004D6A64" w:rsidRDefault="00506CD6">
            <w:pPr>
              <w:jc w:val="right"/>
              <w:textAlignment w:val="bottom"/>
            </w:pPr>
            <w:r>
              <w:rPr>
                <w:rFonts w:ascii="Times New Roman" w:eastAsia="宋体" w:hAnsi="Times New Roman"/>
                <w:color w:val="000000"/>
                <w:sz w:val="20"/>
                <w:szCs w:val="20"/>
              </w:rPr>
              <w:t>(1,104)</w:t>
            </w:r>
          </w:p>
        </w:tc>
        <w:tc>
          <w:tcPr>
            <w:tcW w:w="0" w:type="auto"/>
            <w:shd w:val="clear" w:color="auto" w:fill="CCEEFF"/>
            <w:tcMar>
              <w:top w:w="40" w:type="dxa"/>
              <w:bottom w:w="40" w:type="dxa"/>
              <w:right w:w="20" w:type="dxa"/>
            </w:tcMar>
            <w:vAlign w:val="bottom"/>
          </w:tcPr>
          <w:p w14:paraId="33DA967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680"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681" w14:textId="77777777" w:rsidR="004D6A64" w:rsidRDefault="00506CD6">
            <w:pPr>
              <w:jc w:val="right"/>
              <w:textAlignment w:val="bottom"/>
            </w:pPr>
            <w:r>
              <w:rPr>
                <w:rFonts w:ascii="Times New Roman" w:eastAsia="宋体" w:hAnsi="Times New Roman"/>
                <w:color w:val="000000"/>
                <w:sz w:val="20"/>
                <w:szCs w:val="20"/>
              </w:rPr>
              <w:t>(1,267)</w:t>
            </w:r>
          </w:p>
        </w:tc>
        <w:tc>
          <w:tcPr>
            <w:tcW w:w="0" w:type="auto"/>
            <w:shd w:val="clear" w:color="auto" w:fill="CCEEFF"/>
            <w:tcMar>
              <w:top w:w="40" w:type="dxa"/>
              <w:bottom w:w="40" w:type="dxa"/>
              <w:right w:w="20" w:type="dxa"/>
            </w:tcMar>
            <w:vAlign w:val="bottom"/>
          </w:tcPr>
          <w:p w14:paraId="33DA9682" w14:textId="77777777" w:rsidR="004D6A64" w:rsidRDefault="004D6A64">
            <w:pPr>
              <w:jc w:val="right"/>
              <w:rPr>
                <w:rFonts w:ascii="宋体"/>
              </w:rPr>
            </w:pPr>
          </w:p>
        </w:tc>
        <w:tc>
          <w:tcPr>
            <w:tcW w:w="0" w:type="auto"/>
            <w:shd w:val="clear" w:color="auto" w:fill="auto"/>
          </w:tcPr>
          <w:p w14:paraId="33DA9683" w14:textId="77777777" w:rsidR="004D6A64" w:rsidRDefault="004D6A64">
            <w:pPr>
              <w:rPr>
                <w:rFonts w:ascii="宋体"/>
              </w:rPr>
            </w:pPr>
          </w:p>
        </w:tc>
        <w:tc>
          <w:tcPr>
            <w:tcW w:w="0" w:type="auto"/>
            <w:shd w:val="clear" w:color="auto" w:fill="auto"/>
          </w:tcPr>
          <w:p w14:paraId="33DA9684" w14:textId="77777777" w:rsidR="004D6A64" w:rsidRDefault="004D6A64">
            <w:pPr>
              <w:rPr>
                <w:rFonts w:ascii="宋体"/>
              </w:rPr>
            </w:pPr>
          </w:p>
        </w:tc>
        <w:tc>
          <w:tcPr>
            <w:tcW w:w="0" w:type="auto"/>
            <w:shd w:val="clear" w:color="auto" w:fill="auto"/>
          </w:tcPr>
          <w:p w14:paraId="33DA9685" w14:textId="77777777" w:rsidR="004D6A64" w:rsidRDefault="004D6A64">
            <w:pPr>
              <w:rPr>
                <w:rFonts w:ascii="宋体"/>
              </w:rPr>
            </w:pPr>
          </w:p>
        </w:tc>
        <w:tc>
          <w:tcPr>
            <w:tcW w:w="0" w:type="auto"/>
            <w:shd w:val="clear" w:color="auto" w:fill="auto"/>
          </w:tcPr>
          <w:p w14:paraId="33DA9686" w14:textId="77777777" w:rsidR="004D6A64" w:rsidRDefault="004D6A64">
            <w:pPr>
              <w:rPr>
                <w:rFonts w:ascii="宋体"/>
              </w:rPr>
            </w:pPr>
          </w:p>
        </w:tc>
        <w:tc>
          <w:tcPr>
            <w:tcW w:w="0" w:type="auto"/>
            <w:shd w:val="clear" w:color="auto" w:fill="auto"/>
          </w:tcPr>
          <w:p w14:paraId="33DA9687" w14:textId="77777777" w:rsidR="004D6A64" w:rsidRDefault="004D6A64">
            <w:pPr>
              <w:rPr>
                <w:rFonts w:ascii="宋体"/>
              </w:rPr>
            </w:pPr>
          </w:p>
        </w:tc>
        <w:tc>
          <w:tcPr>
            <w:tcW w:w="0" w:type="auto"/>
            <w:shd w:val="clear" w:color="auto" w:fill="auto"/>
          </w:tcPr>
          <w:p w14:paraId="33DA9688" w14:textId="77777777" w:rsidR="004D6A64" w:rsidRDefault="004D6A64">
            <w:pPr>
              <w:rPr>
                <w:rFonts w:ascii="宋体"/>
              </w:rPr>
            </w:pPr>
          </w:p>
        </w:tc>
      </w:tr>
      <w:tr w:rsidR="004D6A64" w14:paraId="33DA9696" w14:textId="77777777">
        <w:trPr>
          <w:jc w:val="center"/>
        </w:trPr>
        <w:tc>
          <w:tcPr>
            <w:tcW w:w="0" w:type="auto"/>
            <w:gridSpan w:val="3"/>
            <w:shd w:val="clear" w:color="auto" w:fill="FFFFFF"/>
            <w:tcMar>
              <w:top w:w="40" w:type="dxa"/>
              <w:left w:w="135" w:type="dxa"/>
              <w:bottom w:w="40" w:type="dxa"/>
              <w:right w:w="20" w:type="dxa"/>
            </w:tcMar>
            <w:vAlign w:val="bottom"/>
          </w:tcPr>
          <w:p w14:paraId="33DA968A" w14:textId="77777777" w:rsidR="004D6A64" w:rsidRDefault="00506CD6">
            <w:pPr>
              <w:textAlignment w:val="bottom"/>
            </w:pPr>
            <w:r>
              <w:rPr>
                <w:rFonts w:ascii="Times New Roman" w:eastAsia="宋体" w:hAnsi="Times New Roman"/>
                <w:color w:val="000000"/>
                <w:sz w:val="20"/>
                <w:szCs w:val="20"/>
              </w:rPr>
              <w:t xml:space="preserve">Acquisition of </w:t>
            </w:r>
            <w:r>
              <w:rPr>
                <w:rFonts w:ascii="Times New Roman" w:eastAsia="宋体" w:hAnsi="Times New Roman"/>
                <w:color w:val="000000"/>
                <w:sz w:val="20"/>
                <w:szCs w:val="20"/>
              </w:rPr>
              <w:t>businesses and assets, net</w:t>
            </w:r>
          </w:p>
        </w:tc>
        <w:tc>
          <w:tcPr>
            <w:tcW w:w="0" w:type="auto"/>
            <w:gridSpan w:val="2"/>
            <w:shd w:val="clear" w:color="auto" w:fill="FFFFFF"/>
            <w:tcMar>
              <w:top w:w="40" w:type="dxa"/>
              <w:left w:w="20" w:type="dxa"/>
              <w:bottom w:w="40" w:type="dxa"/>
              <w:right w:w="0" w:type="dxa"/>
            </w:tcMar>
            <w:vAlign w:val="bottom"/>
          </w:tcPr>
          <w:p w14:paraId="33DA968B" w14:textId="77777777" w:rsidR="004D6A64" w:rsidRDefault="00506CD6">
            <w:pPr>
              <w:jc w:val="right"/>
              <w:textAlignment w:val="bottom"/>
            </w:pPr>
            <w:r>
              <w:rPr>
                <w:rFonts w:ascii="Times New Roman" w:eastAsia="宋体" w:hAnsi="Times New Roman"/>
                <w:color w:val="000000"/>
                <w:sz w:val="20"/>
                <w:szCs w:val="20"/>
              </w:rPr>
              <w:t>(334)</w:t>
            </w:r>
          </w:p>
        </w:tc>
        <w:tc>
          <w:tcPr>
            <w:tcW w:w="0" w:type="auto"/>
            <w:shd w:val="clear" w:color="auto" w:fill="FFFFFF"/>
            <w:tcMar>
              <w:top w:w="40" w:type="dxa"/>
              <w:bottom w:w="40" w:type="dxa"/>
              <w:right w:w="20" w:type="dxa"/>
            </w:tcMar>
            <w:vAlign w:val="bottom"/>
          </w:tcPr>
          <w:p w14:paraId="33DA968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68D"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68E" w14:textId="77777777" w:rsidR="004D6A64" w:rsidRDefault="00506CD6">
            <w:pPr>
              <w:jc w:val="right"/>
              <w:textAlignment w:val="bottom"/>
            </w:pPr>
            <w:r>
              <w:rPr>
                <w:rFonts w:ascii="Times New Roman" w:eastAsia="宋体" w:hAnsi="Times New Roman"/>
                <w:color w:val="000000"/>
                <w:sz w:val="20"/>
                <w:szCs w:val="20"/>
              </w:rPr>
              <w:t>(384)</w:t>
            </w:r>
          </w:p>
        </w:tc>
        <w:tc>
          <w:tcPr>
            <w:tcW w:w="0" w:type="auto"/>
            <w:shd w:val="clear" w:color="auto" w:fill="FFFFFF"/>
            <w:tcMar>
              <w:top w:w="40" w:type="dxa"/>
              <w:bottom w:w="40" w:type="dxa"/>
              <w:right w:w="20" w:type="dxa"/>
            </w:tcMar>
            <w:vAlign w:val="bottom"/>
          </w:tcPr>
          <w:p w14:paraId="33DA968F" w14:textId="77777777" w:rsidR="004D6A64" w:rsidRDefault="004D6A64">
            <w:pPr>
              <w:jc w:val="right"/>
              <w:rPr>
                <w:rFonts w:ascii="宋体"/>
              </w:rPr>
            </w:pPr>
          </w:p>
        </w:tc>
        <w:tc>
          <w:tcPr>
            <w:tcW w:w="0" w:type="auto"/>
            <w:shd w:val="clear" w:color="auto" w:fill="auto"/>
          </w:tcPr>
          <w:p w14:paraId="33DA9690" w14:textId="77777777" w:rsidR="004D6A64" w:rsidRDefault="004D6A64">
            <w:pPr>
              <w:rPr>
                <w:rFonts w:ascii="宋体"/>
              </w:rPr>
            </w:pPr>
          </w:p>
        </w:tc>
        <w:tc>
          <w:tcPr>
            <w:tcW w:w="0" w:type="auto"/>
            <w:shd w:val="clear" w:color="auto" w:fill="auto"/>
          </w:tcPr>
          <w:p w14:paraId="33DA9691" w14:textId="77777777" w:rsidR="004D6A64" w:rsidRDefault="004D6A64">
            <w:pPr>
              <w:rPr>
                <w:rFonts w:ascii="宋体"/>
              </w:rPr>
            </w:pPr>
          </w:p>
        </w:tc>
        <w:tc>
          <w:tcPr>
            <w:tcW w:w="0" w:type="auto"/>
            <w:shd w:val="clear" w:color="auto" w:fill="auto"/>
          </w:tcPr>
          <w:p w14:paraId="33DA9692" w14:textId="77777777" w:rsidR="004D6A64" w:rsidRDefault="004D6A64">
            <w:pPr>
              <w:rPr>
                <w:rFonts w:ascii="宋体"/>
              </w:rPr>
            </w:pPr>
          </w:p>
        </w:tc>
        <w:tc>
          <w:tcPr>
            <w:tcW w:w="0" w:type="auto"/>
            <w:shd w:val="clear" w:color="auto" w:fill="auto"/>
          </w:tcPr>
          <w:p w14:paraId="33DA9693" w14:textId="77777777" w:rsidR="004D6A64" w:rsidRDefault="004D6A64">
            <w:pPr>
              <w:rPr>
                <w:rFonts w:ascii="宋体"/>
              </w:rPr>
            </w:pPr>
          </w:p>
        </w:tc>
        <w:tc>
          <w:tcPr>
            <w:tcW w:w="0" w:type="auto"/>
            <w:shd w:val="clear" w:color="auto" w:fill="auto"/>
          </w:tcPr>
          <w:p w14:paraId="33DA9694" w14:textId="77777777" w:rsidR="004D6A64" w:rsidRDefault="004D6A64">
            <w:pPr>
              <w:rPr>
                <w:rFonts w:ascii="宋体"/>
              </w:rPr>
            </w:pPr>
          </w:p>
        </w:tc>
        <w:tc>
          <w:tcPr>
            <w:tcW w:w="0" w:type="auto"/>
            <w:shd w:val="clear" w:color="auto" w:fill="auto"/>
          </w:tcPr>
          <w:p w14:paraId="33DA9695" w14:textId="77777777" w:rsidR="004D6A64" w:rsidRDefault="004D6A64">
            <w:pPr>
              <w:rPr>
                <w:rFonts w:ascii="宋体"/>
              </w:rPr>
            </w:pPr>
          </w:p>
        </w:tc>
      </w:tr>
      <w:tr w:rsidR="004D6A64" w14:paraId="33DA96A3" w14:textId="77777777">
        <w:trPr>
          <w:jc w:val="center"/>
        </w:trPr>
        <w:tc>
          <w:tcPr>
            <w:tcW w:w="0" w:type="auto"/>
            <w:gridSpan w:val="3"/>
            <w:shd w:val="clear" w:color="auto" w:fill="CCEEFF"/>
            <w:tcMar>
              <w:top w:w="40" w:type="dxa"/>
              <w:left w:w="135" w:type="dxa"/>
              <w:bottom w:w="40" w:type="dxa"/>
              <w:right w:w="20" w:type="dxa"/>
            </w:tcMar>
            <w:vAlign w:val="bottom"/>
          </w:tcPr>
          <w:p w14:paraId="33DA9697" w14:textId="77777777" w:rsidR="004D6A64" w:rsidRDefault="00506CD6">
            <w:pPr>
              <w:textAlignment w:val="bottom"/>
            </w:pPr>
            <w:r>
              <w:rPr>
                <w:rFonts w:ascii="Times New Roman" w:eastAsia="宋体" w:hAnsi="Times New Roman"/>
                <w:color w:val="000000"/>
                <w:sz w:val="20"/>
                <w:szCs w:val="20"/>
              </w:rPr>
              <w:t>Divestitures of businesses and assets, net</w:t>
            </w:r>
          </w:p>
        </w:tc>
        <w:tc>
          <w:tcPr>
            <w:tcW w:w="0" w:type="auto"/>
            <w:gridSpan w:val="2"/>
            <w:shd w:val="clear" w:color="auto" w:fill="CCEEFF"/>
            <w:tcMar>
              <w:top w:w="40" w:type="dxa"/>
              <w:left w:w="20" w:type="dxa"/>
              <w:bottom w:w="40" w:type="dxa"/>
              <w:right w:w="0" w:type="dxa"/>
            </w:tcMar>
            <w:vAlign w:val="bottom"/>
          </w:tcPr>
          <w:p w14:paraId="33DA9698" w14:textId="77777777" w:rsidR="004D6A64" w:rsidRDefault="00506CD6">
            <w:pPr>
              <w:jc w:val="right"/>
              <w:textAlignment w:val="bottom"/>
            </w:pPr>
            <w:r>
              <w:rPr>
                <w:rFonts w:ascii="Times New Roman" w:eastAsia="宋体" w:hAnsi="Times New Roman"/>
                <w:color w:val="000000"/>
                <w:sz w:val="20"/>
                <w:szCs w:val="20"/>
              </w:rPr>
              <w:t>120 </w:t>
            </w:r>
          </w:p>
        </w:tc>
        <w:tc>
          <w:tcPr>
            <w:tcW w:w="0" w:type="auto"/>
            <w:shd w:val="clear" w:color="auto" w:fill="CCEEFF"/>
            <w:tcMar>
              <w:top w:w="40" w:type="dxa"/>
              <w:bottom w:w="40" w:type="dxa"/>
              <w:right w:w="20" w:type="dxa"/>
            </w:tcMar>
            <w:vAlign w:val="bottom"/>
          </w:tcPr>
          <w:p w14:paraId="33DA9699"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69A"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69B" w14:textId="77777777" w:rsidR="004D6A64" w:rsidRDefault="00506CD6">
            <w:pPr>
              <w:jc w:val="right"/>
              <w:textAlignment w:val="bottom"/>
            </w:pPr>
            <w:r>
              <w:rPr>
                <w:rFonts w:ascii="Times New Roman" w:eastAsia="宋体" w:hAnsi="Times New Roman"/>
                <w:color w:val="000000"/>
                <w:sz w:val="20"/>
                <w:szCs w:val="20"/>
              </w:rPr>
              <w:t>(3)</w:t>
            </w:r>
          </w:p>
        </w:tc>
        <w:tc>
          <w:tcPr>
            <w:tcW w:w="0" w:type="auto"/>
            <w:shd w:val="clear" w:color="auto" w:fill="CCEEFF"/>
            <w:tcMar>
              <w:top w:w="40" w:type="dxa"/>
              <w:bottom w:w="40" w:type="dxa"/>
              <w:right w:w="20" w:type="dxa"/>
            </w:tcMar>
            <w:vAlign w:val="bottom"/>
          </w:tcPr>
          <w:p w14:paraId="33DA969C" w14:textId="77777777" w:rsidR="004D6A64" w:rsidRDefault="004D6A64">
            <w:pPr>
              <w:jc w:val="right"/>
              <w:rPr>
                <w:rFonts w:ascii="宋体"/>
              </w:rPr>
            </w:pPr>
          </w:p>
        </w:tc>
        <w:tc>
          <w:tcPr>
            <w:tcW w:w="0" w:type="auto"/>
            <w:shd w:val="clear" w:color="auto" w:fill="auto"/>
          </w:tcPr>
          <w:p w14:paraId="33DA969D" w14:textId="77777777" w:rsidR="004D6A64" w:rsidRDefault="004D6A64">
            <w:pPr>
              <w:rPr>
                <w:rFonts w:ascii="宋体"/>
              </w:rPr>
            </w:pPr>
          </w:p>
        </w:tc>
        <w:tc>
          <w:tcPr>
            <w:tcW w:w="0" w:type="auto"/>
            <w:shd w:val="clear" w:color="auto" w:fill="auto"/>
          </w:tcPr>
          <w:p w14:paraId="33DA969E" w14:textId="77777777" w:rsidR="004D6A64" w:rsidRDefault="004D6A64">
            <w:pPr>
              <w:rPr>
                <w:rFonts w:ascii="宋体"/>
              </w:rPr>
            </w:pPr>
          </w:p>
        </w:tc>
        <w:tc>
          <w:tcPr>
            <w:tcW w:w="0" w:type="auto"/>
            <w:shd w:val="clear" w:color="auto" w:fill="auto"/>
          </w:tcPr>
          <w:p w14:paraId="33DA969F" w14:textId="77777777" w:rsidR="004D6A64" w:rsidRDefault="004D6A64">
            <w:pPr>
              <w:rPr>
                <w:rFonts w:ascii="宋体"/>
              </w:rPr>
            </w:pPr>
          </w:p>
        </w:tc>
        <w:tc>
          <w:tcPr>
            <w:tcW w:w="0" w:type="auto"/>
            <w:shd w:val="clear" w:color="auto" w:fill="auto"/>
          </w:tcPr>
          <w:p w14:paraId="33DA96A0" w14:textId="77777777" w:rsidR="004D6A64" w:rsidRDefault="004D6A64">
            <w:pPr>
              <w:rPr>
                <w:rFonts w:ascii="宋体"/>
              </w:rPr>
            </w:pPr>
          </w:p>
        </w:tc>
        <w:tc>
          <w:tcPr>
            <w:tcW w:w="0" w:type="auto"/>
            <w:shd w:val="clear" w:color="auto" w:fill="auto"/>
          </w:tcPr>
          <w:p w14:paraId="33DA96A1" w14:textId="77777777" w:rsidR="004D6A64" w:rsidRDefault="004D6A64">
            <w:pPr>
              <w:rPr>
                <w:rFonts w:ascii="宋体"/>
              </w:rPr>
            </w:pPr>
          </w:p>
        </w:tc>
        <w:tc>
          <w:tcPr>
            <w:tcW w:w="0" w:type="auto"/>
            <w:shd w:val="clear" w:color="auto" w:fill="auto"/>
          </w:tcPr>
          <w:p w14:paraId="33DA96A2" w14:textId="77777777" w:rsidR="004D6A64" w:rsidRDefault="004D6A64">
            <w:pPr>
              <w:rPr>
                <w:rFonts w:ascii="宋体"/>
              </w:rPr>
            </w:pPr>
          </w:p>
        </w:tc>
      </w:tr>
      <w:tr w:rsidR="004D6A64" w14:paraId="33DA96B0" w14:textId="77777777">
        <w:trPr>
          <w:jc w:val="center"/>
        </w:trPr>
        <w:tc>
          <w:tcPr>
            <w:tcW w:w="0" w:type="auto"/>
            <w:gridSpan w:val="3"/>
            <w:shd w:val="clear" w:color="auto" w:fill="FFFFFF"/>
            <w:tcMar>
              <w:top w:w="40" w:type="dxa"/>
              <w:left w:w="135" w:type="dxa"/>
              <w:bottom w:w="40" w:type="dxa"/>
              <w:right w:w="20" w:type="dxa"/>
            </w:tcMar>
            <w:vAlign w:val="bottom"/>
          </w:tcPr>
          <w:p w14:paraId="33DA96A4" w14:textId="77777777" w:rsidR="004D6A64" w:rsidRDefault="00506CD6">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33DA96A5" w14:textId="77777777" w:rsidR="004D6A64" w:rsidRDefault="00506CD6">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bottom w:w="40" w:type="dxa"/>
              <w:right w:w="20" w:type="dxa"/>
            </w:tcMar>
            <w:vAlign w:val="bottom"/>
          </w:tcPr>
          <w:p w14:paraId="33DA96A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6A7"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6A8" w14:textId="77777777" w:rsidR="004D6A64" w:rsidRDefault="00506CD6">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bottom w:w="40" w:type="dxa"/>
              <w:right w:w="20" w:type="dxa"/>
            </w:tcMar>
            <w:vAlign w:val="bottom"/>
          </w:tcPr>
          <w:p w14:paraId="33DA96A9" w14:textId="77777777" w:rsidR="004D6A64" w:rsidRDefault="004D6A64">
            <w:pPr>
              <w:jc w:val="right"/>
              <w:rPr>
                <w:rFonts w:ascii="宋体"/>
              </w:rPr>
            </w:pPr>
          </w:p>
        </w:tc>
        <w:tc>
          <w:tcPr>
            <w:tcW w:w="0" w:type="auto"/>
            <w:shd w:val="clear" w:color="auto" w:fill="auto"/>
          </w:tcPr>
          <w:p w14:paraId="33DA96AA" w14:textId="77777777" w:rsidR="004D6A64" w:rsidRDefault="004D6A64">
            <w:pPr>
              <w:rPr>
                <w:rFonts w:ascii="宋体"/>
              </w:rPr>
            </w:pPr>
          </w:p>
        </w:tc>
        <w:tc>
          <w:tcPr>
            <w:tcW w:w="0" w:type="auto"/>
            <w:shd w:val="clear" w:color="auto" w:fill="auto"/>
          </w:tcPr>
          <w:p w14:paraId="33DA96AB" w14:textId="77777777" w:rsidR="004D6A64" w:rsidRDefault="004D6A64">
            <w:pPr>
              <w:rPr>
                <w:rFonts w:ascii="宋体"/>
              </w:rPr>
            </w:pPr>
          </w:p>
        </w:tc>
        <w:tc>
          <w:tcPr>
            <w:tcW w:w="0" w:type="auto"/>
            <w:shd w:val="clear" w:color="auto" w:fill="auto"/>
          </w:tcPr>
          <w:p w14:paraId="33DA96AC" w14:textId="77777777" w:rsidR="004D6A64" w:rsidRDefault="004D6A64">
            <w:pPr>
              <w:rPr>
                <w:rFonts w:ascii="宋体"/>
              </w:rPr>
            </w:pPr>
          </w:p>
        </w:tc>
        <w:tc>
          <w:tcPr>
            <w:tcW w:w="0" w:type="auto"/>
            <w:shd w:val="clear" w:color="auto" w:fill="auto"/>
          </w:tcPr>
          <w:p w14:paraId="33DA96AD" w14:textId="77777777" w:rsidR="004D6A64" w:rsidRDefault="004D6A64">
            <w:pPr>
              <w:rPr>
                <w:rFonts w:ascii="宋体"/>
              </w:rPr>
            </w:pPr>
          </w:p>
        </w:tc>
        <w:tc>
          <w:tcPr>
            <w:tcW w:w="0" w:type="auto"/>
            <w:shd w:val="clear" w:color="auto" w:fill="auto"/>
          </w:tcPr>
          <w:p w14:paraId="33DA96AE" w14:textId="77777777" w:rsidR="004D6A64" w:rsidRDefault="004D6A64">
            <w:pPr>
              <w:rPr>
                <w:rFonts w:ascii="宋体"/>
              </w:rPr>
            </w:pPr>
          </w:p>
        </w:tc>
        <w:tc>
          <w:tcPr>
            <w:tcW w:w="0" w:type="auto"/>
            <w:shd w:val="clear" w:color="auto" w:fill="auto"/>
          </w:tcPr>
          <w:p w14:paraId="33DA96AF" w14:textId="77777777" w:rsidR="004D6A64" w:rsidRDefault="004D6A64">
            <w:pPr>
              <w:rPr>
                <w:rFonts w:ascii="宋体"/>
              </w:rPr>
            </w:pPr>
          </w:p>
        </w:tc>
      </w:tr>
      <w:tr w:rsidR="004D6A64" w14:paraId="33DA96BD" w14:textId="77777777">
        <w:trPr>
          <w:jc w:val="center"/>
        </w:trPr>
        <w:tc>
          <w:tcPr>
            <w:tcW w:w="0" w:type="auto"/>
            <w:gridSpan w:val="3"/>
            <w:shd w:val="clear" w:color="auto" w:fill="CCEEFF"/>
            <w:tcMar>
              <w:top w:w="40" w:type="dxa"/>
              <w:left w:w="705" w:type="dxa"/>
              <w:bottom w:w="40" w:type="dxa"/>
              <w:right w:w="20" w:type="dxa"/>
            </w:tcMar>
            <w:vAlign w:val="bottom"/>
          </w:tcPr>
          <w:p w14:paraId="33DA96B1" w14:textId="77777777" w:rsidR="004D6A64" w:rsidRDefault="00506CD6">
            <w:pPr>
              <w:textAlignment w:val="bottom"/>
            </w:pPr>
            <w:r>
              <w:rPr>
                <w:rFonts w:ascii="Times New Roman" w:eastAsia="宋体" w:hAnsi="Times New Roman"/>
                <w:color w:val="000000"/>
                <w:sz w:val="20"/>
                <w:szCs w:val="20"/>
              </w:rPr>
              <w:t>Change in cash from investing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3DA96B2" w14:textId="77777777" w:rsidR="004D6A64" w:rsidRDefault="00506CD6">
            <w:pPr>
              <w:jc w:val="right"/>
              <w:textAlignment w:val="bottom"/>
            </w:pPr>
            <w:r>
              <w:rPr>
                <w:rFonts w:ascii="Times New Roman" w:eastAsia="宋体" w:hAnsi="Times New Roman"/>
                <w:color w:val="000000"/>
                <w:sz w:val="20"/>
                <w:szCs w:val="20"/>
              </w:rPr>
              <w:t>(1,409)</w:t>
            </w:r>
          </w:p>
        </w:tc>
        <w:tc>
          <w:tcPr>
            <w:tcW w:w="0" w:type="auto"/>
            <w:tcBorders>
              <w:top w:val="single" w:sz="8" w:space="0" w:color="000000"/>
            </w:tcBorders>
            <w:shd w:val="clear" w:color="auto" w:fill="CCEEFF"/>
            <w:tcMar>
              <w:top w:w="40" w:type="dxa"/>
              <w:bottom w:w="40" w:type="dxa"/>
              <w:right w:w="20" w:type="dxa"/>
            </w:tcMar>
            <w:vAlign w:val="bottom"/>
          </w:tcPr>
          <w:p w14:paraId="33DA96B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6B4" w14:textId="77777777" w:rsidR="004D6A64" w:rsidRDefault="004D6A6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3DA96B5" w14:textId="77777777" w:rsidR="004D6A64" w:rsidRDefault="00506CD6">
            <w:pPr>
              <w:jc w:val="right"/>
              <w:textAlignment w:val="bottom"/>
            </w:pPr>
            <w:r>
              <w:rPr>
                <w:rFonts w:ascii="Times New Roman" w:eastAsia="宋体" w:hAnsi="Times New Roman"/>
                <w:color w:val="000000"/>
                <w:sz w:val="20"/>
                <w:szCs w:val="20"/>
              </w:rPr>
              <w:t>(1,283)</w:t>
            </w:r>
          </w:p>
        </w:tc>
        <w:tc>
          <w:tcPr>
            <w:tcW w:w="0" w:type="auto"/>
            <w:tcBorders>
              <w:top w:val="single" w:sz="8" w:space="0" w:color="000000"/>
            </w:tcBorders>
            <w:shd w:val="clear" w:color="auto" w:fill="CCEEFF"/>
            <w:tcMar>
              <w:top w:w="40" w:type="dxa"/>
              <w:bottom w:w="40" w:type="dxa"/>
              <w:right w:w="20" w:type="dxa"/>
            </w:tcMar>
            <w:vAlign w:val="bottom"/>
          </w:tcPr>
          <w:p w14:paraId="33DA96B6" w14:textId="77777777" w:rsidR="004D6A64" w:rsidRDefault="004D6A64">
            <w:pPr>
              <w:jc w:val="right"/>
              <w:rPr>
                <w:rFonts w:ascii="宋体"/>
              </w:rPr>
            </w:pPr>
          </w:p>
        </w:tc>
        <w:tc>
          <w:tcPr>
            <w:tcW w:w="0" w:type="auto"/>
            <w:shd w:val="clear" w:color="auto" w:fill="auto"/>
          </w:tcPr>
          <w:p w14:paraId="33DA96B7" w14:textId="77777777" w:rsidR="004D6A64" w:rsidRDefault="004D6A64">
            <w:pPr>
              <w:rPr>
                <w:rFonts w:ascii="宋体"/>
              </w:rPr>
            </w:pPr>
          </w:p>
        </w:tc>
        <w:tc>
          <w:tcPr>
            <w:tcW w:w="0" w:type="auto"/>
            <w:shd w:val="clear" w:color="auto" w:fill="auto"/>
          </w:tcPr>
          <w:p w14:paraId="33DA96B8" w14:textId="77777777" w:rsidR="004D6A64" w:rsidRDefault="004D6A64">
            <w:pPr>
              <w:rPr>
                <w:rFonts w:ascii="宋体"/>
              </w:rPr>
            </w:pPr>
          </w:p>
        </w:tc>
        <w:tc>
          <w:tcPr>
            <w:tcW w:w="0" w:type="auto"/>
            <w:shd w:val="clear" w:color="auto" w:fill="auto"/>
          </w:tcPr>
          <w:p w14:paraId="33DA96B9" w14:textId="77777777" w:rsidR="004D6A64" w:rsidRDefault="004D6A64">
            <w:pPr>
              <w:rPr>
                <w:rFonts w:ascii="宋体"/>
              </w:rPr>
            </w:pPr>
          </w:p>
        </w:tc>
        <w:tc>
          <w:tcPr>
            <w:tcW w:w="0" w:type="auto"/>
            <w:shd w:val="clear" w:color="auto" w:fill="auto"/>
          </w:tcPr>
          <w:p w14:paraId="33DA96BA" w14:textId="77777777" w:rsidR="004D6A64" w:rsidRDefault="004D6A64">
            <w:pPr>
              <w:rPr>
                <w:rFonts w:ascii="宋体"/>
              </w:rPr>
            </w:pPr>
          </w:p>
        </w:tc>
        <w:tc>
          <w:tcPr>
            <w:tcW w:w="0" w:type="auto"/>
            <w:shd w:val="clear" w:color="auto" w:fill="auto"/>
          </w:tcPr>
          <w:p w14:paraId="33DA96BB" w14:textId="77777777" w:rsidR="004D6A64" w:rsidRDefault="004D6A64">
            <w:pPr>
              <w:rPr>
                <w:rFonts w:ascii="宋体"/>
              </w:rPr>
            </w:pPr>
          </w:p>
        </w:tc>
        <w:tc>
          <w:tcPr>
            <w:tcW w:w="0" w:type="auto"/>
            <w:shd w:val="clear" w:color="auto" w:fill="auto"/>
          </w:tcPr>
          <w:p w14:paraId="33DA96BC" w14:textId="77777777" w:rsidR="004D6A64" w:rsidRDefault="004D6A64">
            <w:pPr>
              <w:rPr>
                <w:rFonts w:ascii="宋体"/>
              </w:rPr>
            </w:pPr>
          </w:p>
        </w:tc>
      </w:tr>
      <w:tr w:rsidR="004D6A64" w14:paraId="33DA96C8" w14:textId="77777777">
        <w:trPr>
          <w:jc w:val="center"/>
        </w:trPr>
        <w:tc>
          <w:tcPr>
            <w:tcW w:w="0" w:type="auto"/>
            <w:gridSpan w:val="3"/>
            <w:shd w:val="clear" w:color="auto" w:fill="FFFFFF"/>
            <w:tcMar>
              <w:top w:w="40" w:type="dxa"/>
              <w:left w:w="20" w:type="dxa"/>
              <w:bottom w:w="40" w:type="dxa"/>
              <w:right w:w="20" w:type="dxa"/>
            </w:tcMar>
            <w:vAlign w:val="bottom"/>
          </w:tcPr>
          <w:p w14:paraId="33DA96BE" w14:textId="77777777" w:rsidR="004D6A64" w:rsidRDefault="00506CD6">
            <w:pPr>
              <w:textAlignment w:val="bottom"/>
            </w:pPr>
            <w:r>
              <w:rPr>
                <w:rFonts w:ascii="Times New Roman" w:eastAsia="宋体" w:hAnsi="Times New Roman"/>
                <w:color w:val="000000"/>
                <w:sz w:val="20"/>
                <w:szCs w:val="20"/>
              </w:rPr>
              <w:t>Cash flows from financing activities:</w:t>
            </w:r>
          </w:p>
        </w:tc>
        <w:tc>
          <w:tcPr>
            <w:tcW w:w="0" w:type="auto"/>
            <w:gridSpan w:val="3"/>
            <w:tcBorders>
              <w:top w:val="single" w:sz="8" w:space="0" w:color="000000"/>
            </w:tcBorders>
            <w:shd w:val="clear" w:color="auto" w:fill="FFFFFF"/>
            <w:tcMar>
              <w:left w:w="20" w:type="dxa"/>
              <w:right w:w="20" w:type="dxa"/>
            </w:tcMar>
            <w:vAlign w:val="bottom"/>
          </w:tcPr>
          <w:p w14:paraId="33DA96B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6C0" w14:textId="77777777" w:rsidR="004D6A64" w:rsidRDefault="004D6A64">
            <w:pPr>
              <w:jc w:val="right"/>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33DA96C1" w14:textId="77777777" w:rsidR="004D6A64" w:rsidRDefault="004D6A64">
            <w:pPr>
              <w:jc w:val="right"/>
              <w:rPr>
                <w:rFonts w:ascii="宋体"/>
              </w:rPr>
            </w:pPr>
          </w:p>
        </w:tc>
        <w:tc>
          <w:tcPr>
            <w:tcW w:w="0" w:type="auto"/>
            <w:shd w:val="clear" w:color="auto" w:fill="auto"/>
          </w:tcPr>
          <w:p w14:paraId="33DA96C2" w14:textId="77777777" w:rsidR="004D6A64" w:rsidRDefault="004D6A64">
            <w:pPr>
              <w:rPr>
                <w:rFonts w:ascii="宋体"/>
              </w:rPr>
            </w:pPr>
          </w:p>
        </w:tc>
        <w:tc>
          <w:tcPr>
            <w:tcW w:w="0" w:type="auto"/>
            <w:shd w:val="clear" w:color="auto" w:fill="auto"/>
          </w:tcPr>
          <w:p w14:paraId="33DA96C3" w14:textId="77777777" w:rsidR="004D6A64" w:rsidRDefault="004D6A64">
            <w:pPr>
              <w:rPr>
                <w:rFonts w:ascii="宋体"/>
              </w:rPr>
            </w:pPr>
          </w:p>
        </w:tc>
        <w:tc>
          <w:tcPr>
            <w:tcW w:w="0" w:type="auto"/>
            <w:shd w:val="clear" w:color="auto" w:fill="auto"/>
          </w:tcPr>
          <w:p w14:paraId="33DA96C4" w14:textId="77777777" w:rsidR="004D6A64" w:rsidRDefault="004D6A64">
            <w:pPr>
              <w:rPr>
                <w:rFonts w:ascii="宋体"/>
              </w:rPr>
            </w:pPr>
          </w:p>
        </w:tc>
        <w:tc>
          <w:tcPr>
            <w:tcW w:w="0" w:type="auto"/>
            <w:shd w:val="clear" w:color="auto" w:fill="auto"/>
          </w:tcPr>
          <w:p w14:paraId="33DA96C5" w14:textId="77777777" w:rsidR="004D6A64" w:rsidRDefault="004D6A64">
            <w:pPr>
              <w:rPr>
                <w:rFonts w:ascii="宋体"/>
              </w:rPr>
            </w:pPr>
          </w:p>
        </w:tc>
        <w:tc>
          <w:tcPr>
            <w:tcW w:w="0" w:type="auto"/>
            <w:shd w:val="clear" w:color="auto" w:fill="auto"/>
          </w:tcPr>
          <w:p w14:paraId="33DA96C6" w14:textId="77777777" w:rsidR="004D6A64" w:rsidRDefault="004D6A64">
            <w:pPr>
              <w:rPr>
                <w:rFonts w:ascii="宋体"/>
              </w:rPr>
            </w:pPr>
          </w:p>
        </w:tc>
        <w:tc>
          <w:tcPr>
            <w:tcW w:w="0" w:type="auto"/>
            <w:shd w:val="clear" w:color="auto" w:fill="auto"/>
          </w:tcPr>
          <w:p w14:paraId="33DA96C7" w14:textId="77777777" w:rsidR="004D6A64" w:rsidRDefault="004D6A64">
            <w:pPr>
              <w:rPr>
                <w:rFonts w:ascii="宋体"/>
              </w:rPr>
            </w:pPr>
          </w:p>
        </w:tc>
      </w:tr>
      <w:tr w:rsidR="004D6A64" w14:paraId="33DA96D3" w14:textId="77777777">
        <w:trPr>
          <w:jc w:val="center"/>
          <w:hidden/>
        </w:trPr>
        <w:tc>
          <w:tcPr>
            <w:tcW w:w="0" w:type="auto"/>
            <w:gridSpan w:val="3"/>
            <w:shd w:val="clear" w:color="auto" w:fill="auto"/>
          </w:tcPr>
          <w:p w14:paraId="33DA96C9" w14:textId="77777777" w:rsidR="004D6A64" w:rsidRDefault="004D6A64">
            <w:pPr>
              <w:rPr>
                <w:rFonts w:ascii="宋体"/>
                <w:vanish/>
              </w:rPr>
            </w:pPr>
          </w:p>
        </w:tc>
        <w:tc>
          <w:tcPr>
            <w:tcW w:w="0" w:type="auto"/>
            <w:gridSpan w:val="3"/>
            <w:shd w:val="clear" w:color="auto" w:fill="auto"/>
          </w:tcPr>
          <w:p w14:paraId="33DA96CA" w14:textId="77777777" w:rsidR="004D6A64" w:rsidRDefault="004D6A64">
            <w:pPr>
              <w:rPr>
                <w:rFonts w:ascii="宋体"/>
                <w:vanish/>
              </w:rPr>
            </w:pPr>
          </w:p>
        </w:tc>
        <w:tc>
          <w:tcPr>
            <w:tcW w:w="0" w:type="auto"/>
            <w:gridSpan w:val="3"/>
            <w:shd w:val="clear" w:color="auto" w:fill="auto"/>
          </w:tcPr>
          <w:p w14:paraId="33DA96CB" w14:textId="77777777" w:rsidR="004D6A64" w:rsidRDefault="004D6A64">
            <w:pPr>
              <w:rPr>
                <w:rFonts w:ascii="宋体"/>
                <w:vanish/>
              </w:rPr>
            </w:pPr>
          </w:p>
        </w:tc>
        <w:tc>
          <w:tcPr>
            <w:tcW w:w="0" w:type="auto"/>
            <w:gridSpan w:val="3"/>
            <w:shd w:val="clear" w:color="auto" w:fill="auto"/>
          </w:tcPr>
          <w:p w14:paraId="33DA96CC" w14:textId="77777777" w:rsidR="004D6A64" w:rsidRDefault="004D6A64">
            <w:pPr>
              <w:rPr>
                <w:rFonts w:ascii="宋体"/>
                <w:vanish/>
              </w:rPr>
            </w:pPr>
          </w:p>
        </w:tc>
        <w:tc>
          <w:tcPr>
            <w:tcW w:w="0" w:type="auto"/>
            <w:shd w:val="clear" w:color="auto" w:fill="auto"/>
          </w:tcPr>
          <w:p w14:paraId="33DA96CD" w14:textId="77777777" w:rsidR="004D6A64" w:rsidRDefault="004D6A64">
            <w:pPr>
              <w:rPr>
                <w:rFonts w:ascii="宋体"/>
              </w:rPr>
            </w:pPr>
          </w:p>
        </w:tc>
        <w:tc>
          <w:tcPr>
            <w:tcW w:w="0" w:type="auto"/>
            <w:shd w:val="clear" w:color="auto" w:fill="auto"/>
          </w:tcPr>
          <w:p w14:paraId="33DA96CE" w14:textId="77777777" w:rsidR="004D6A64" w:rsidRDefault="004D6A64">
            <w:pPr>
              <w:rPr>
                <w:rFonts w:ascii="宋体"/>
              </w:rPr>
            </w:pPr>
          </w:p>
        </w:tc>
        <w:tc>
          <w:tcPr>
            <w:tcW w:w="0" w:type="auto"/>
            <w:shd w:val="clear" w:color="auto" w:fill="auto"/>
          </w:tcPr>
          <w:p w14:paraId="33DA96CF" w14:textId="77777777" w:rsidR="004D6A64" w:rsidRDefault="004D6A64">
            <w:pPr>
              <w:rPr>
                <w:rFonts w:ascii="宋体"/>
              </w:rPr>
            </w:pPr>
          </w:p>
        </w:tc>
        <w:tc>
          <w:tcPr>
            <w:tcW w:w="0" w:type="auto"/>
            <w:shd w:val="clear" w:color="auto" w:fill="auto"/>
          </w:tcPr>
          <w:p w14:paraId="33DA96D0" w14:textId="77777777" w:rsidR="004D6A64" w:rsidRDefault="004D6A64">
            <w:pPr>
              <w:rPr>
                <w:rFonts w:ascii="宋体"/>
              </w:rPr>
            </w:pPr>
          </w:p>
        </w:tc>
        <w:tc>
          <w:tcPr>
            <w:tcW w:w="0" w:type="auto"/>
            <w:shd w:val="clear" w:color="auto" w:fill="auto"/>
          </w:tcPr>
          <w:p w14:paraId="33DA96D1" w14:textId="77777777" w:rsidR="004D6A64" w:rsidRDefault="004D6A64">
            <w:pPr>
              <w:rPr>
                <w:rFonts w:ascii="宋体"/>
              </w:rPr>
            </w:pPr>
          </w:p>
        </w:tc>
        <w:tc>
          <w:tcPr>
            <w:tcW w:w="0" w:type="auto"/>
            <w:shd w:val="clear" w:color="auto" w:fill="auto"/>
          </w:tcPr>
          <w:p w14:paraId="33DA96D2" w14:textId="77777777" w:rsidR="004D6A64" w:rsidRDefault="004D6A64">
            <w:pPr>
              <w:rPr>
                <w:rFonts w:ascii="宋体"/>
              </w:rPr>
            </w:pPr>
          </w:p>
        </w:tc>
      </w:tr>
      <w:tr w:rsidR="004D6A64" w14:paraId="33DA96E0" w14:textId="77777777">
        <w:trPr>
          <w:jc w:val="center"/>
        </w:trPr>
        <w:tc>
          <w:tcPr>
            <w:tcW w:w="0" w:type="auto"/>
            <w:gridSpan w:val="3"/>
            <w:shd w:val="clear" w:color="auto" w:fill="CCEEFF"/>
            <w:tcMar>
              <w:top w:w="40" w:type="dxa"/>
              <w:left w:w="135" w:type="dxa"/>
              <w:bottom w:w="40" w:type="dxa"/>
              <w:right w:w="20" w:type="dxa"/>
            </w:tcMar>
            <w:vAlign w:val="bottom"/>
          </w:tcPr>
          <w:p w14:paraId="33DA96D4" w14:textId="77777777" w:rsidR="004D6A64" w:rsidRDefault="00506CD6">
            <w:pPr>
              <w:textAlignment w:val="bottom"/>
            </w:pPr>
            <w:r>
              <w:rPr>
                <w:rFonts w:ascii="Times New Roman" w:eastAsia="宋体" w:hAnsi="Times New Roman"/>
                <w:color w:val="000000"/>
                <w:sz w:val="20"/>
                <w:szCs w:val="20"/>
              </w:rPr>
              <w:t>Proceeds from the issuance of common stock</w:t>
            </w:r>
          </w:p>
        </w:tc>
        <w:tc>
          <w:tcPr>
            <w:tcW w:w="0" w:type="auto"/>
            <w:gridSpan w:val="2"/>
            <w:shd w:val="clear" w:color="auto" w:fill="CCEEFF"/>
            <w:tcMar>
              <w:top w:w="40" w:type="dxa"/>
              <w:left w:w="20" w:type="dxa"/>
              <w:bottom w:w="40" w:type="dxa"/>
              <w:right w:w="0" w:type="dxa"/>
            </w:tcMar>
            <w:vAlign w:val="bottom"/>
          </w:tcPr>
          <w:p w14:paraId="33DA96D5" w14:textId="77777777" w:rsidR="004D6A64" w:rsidRDefault="00506CD6">
            <w:pPr>
              <w:jc w:val="right"/>
              <w:textAlignment w:val="bottom"/>
            </w:pPr>
            <w:r>
              <w:rPr>
                <w:rFonts w:ascii="Times New Roman" w:eastAsia="宋体" w:hAnsi="Times New Roman"/>
                <w:color w:val="000000"/>
                <w:sz w:val="20"/>
                <w:szCs w:val="20"/>
              </w:rPr>
              <w:t>221 </w:t>
            </w:r>
          </w:p>
        </w:tc>
        <w:tc>
          <w:tcPr>
            <w:tcW w:w="0" w:type="auto"/>
            <w:shd w:val="clear" w:color="auto" w:fill="CCEEFF"/>
            <w:tcMar>
              <w:top w:w="40" w:type="dxa"/>
              <w:bottom w:w="40" w:type="dxa"/>
              <w:right w:w="20" w:type="dxa"/>
            </w:tcMar>
            <w:vAlign w:val="bottom"/>
          </w:tcPr>
          <w:p w14:paraId="33DA96D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6D7"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6D8" w14:textId="77777777" w:rsidR="004D6A64" w:rsidRDefault="00506CD6">
            <w:pPr>
              <w:jc w:val="right"/>
              <w:textAlignment w:val="bottom"/>
            </w:pPr>
            <w:r>
              <w:rPr>
                <w:rFonts w:ascii="Times New Roman" w:eastAsia="宋体" w:hAnsi="Times New Roman"/>
                <w:color w:val="000000"/>
                <w:sz w:val="20"/>
                <w:szCs w:val="20"/>
              </w:rPr>
              <w:t>239 </w:t>
            </w:r>
          </w:p>
        </w:tc>
        <w:tc>
          <w:tcPr>
            <w:tcW w:w="0" w:type="auto"/>
            <w:shd w:val="clear" w:color="auto" w:fill="CCEEFF"/>
            <w:tcMar>
              <w:top w:w="40" w:type="dxa"/>
              <w:bottom w:w="40" w:type="dxa"/>
              <w:right w:w="20" w:type="dxa"/>
            </w:tcMar>
            <w:vAlign w:val="bottom"/>
          </w:tcPr>
          <w:p w14:paraId="33DA96D9" w14:textId="77777777" w:rsidR="004D6A64" w:rsidRDefault="004D6A64">
            <w:pPr>
              <w:jc w:val="right"/>
              <w:rPr>
                <w:rFonts w:ascii="宋体"/>
              </w:rPr>
            </w:pPr>
          </w:p>
        </w:tc>
        <w:tc>
          <w:tcPr>
            <w:tcW w:w="0" w:type="auto"/>
            <w:shd w:val="clear" w:color="auto" w:fill="auto"/>
          </w:tcPr>
          <w:p w14:paraId="33DA96DA" w14:textId="77777777" w:rsidR="004D6A64" w:rsidRDefault="004D6A64">
            <w:pPr>
              <w:rPr>
                <w:rFonts w:ascii="宋体"/>
              </w:rPr>
            </w:pPr>
          </w:p>
        </w:tc>
        <w:tc>
          <w:tcPr>
            <w:tcW w:w="0" w:type="auto"/>
            <w:shd w:val="clear" w:color="auto" w:fill="auto"/>
          </w:tcPr>
          <w:p w14:paraId="33DA96DB" w14:textId="77777777" w:rsidR="004D6A64" w:rsidRDefault="004D6A64">
            <w:pPr>
              <w:rPr>
                <w:rFonts w:ascii="宋体"/>
              </w:rPr>
            </w:pPr>
          </w:p>
        </w:tc>
        <w:tc>
          <w:tcPr>
            <w:tcW w:w="0" w:type="auto"/>
            <w:shd w:val="clear" w:color="auto" w:fill="auto"/>
          </w:tcPr>
          <w:p w14:paraId="33DA96DC" w14:textId="77777777" w:rsidR="004D6A64" w:rsidRDefault="004D6A64">
            <w:pPr>
              <w:rPr>
                <w:rFonts w:ascii="宋体"/>
              </w:rPr>
            </w:pPr>
          </w:p>
        </w:tc>
        <w:tc>
          <w:tcPr>
            <w:tcW w:w="0" w:type="auto"/>
            <w:shd w:val="clear" w:color="auto" w:fill="auto"/>
          </w:tcPr>
          <w:p w14:paraId="33DA96DD" w14:textId="77777777" w:rsidR="004D6A64" w:rsidRDefault="004D6A64">
            <w:pPr>
              <w:rPr>
                <w:rFonts w:ascii="宋体"/>
              </w:rPr>
            </w:pPr>
          </w:p>
        </w:tc>
        <w:tc>
          <w:tcPr>
            <w:tcW w:w="0" w:type="auto"/>
            <w:shd w:val="clear" w:color="auto" w:fill="auto"/>
          </w:tcPr>
          <w:p w14:paraId="33DA96DE" w14:textId="77777777" w:rsidR="004D6A64" w:rsidRDefault="004D6A64">
            <w:pPr>
              <w:rPr>
                <w:rFonts w:ascii="宋体"/>
              </w:rPr>
            </w:pPr>
          </w:p>
        </w:tc>
        <w:tc>
          <w:tcPr>
            <w:tcW w:w="0" w:type="auto"/>
            <w:shd w:val="clear" w:color="auto" w:fill="auto"/>
          </w:tcPr>
          <w:p w14:paraId="33DA96DF" w14:textId="77777777" w:rsidR="004D6A64" w:rsidRDefault="004D6A64">
            <w:pPr>
              <w:rPr>
                <w:rFonts w:ascii="宋体"/>
              </w:rPr>
            </w:pPr>
          </w:p>
        </w:tc>
      </w:tr>
      <w:tr w:rsidR="004D6A64" w14:paraId="33DA96ED" w14:textId="77777777">
        <w:trPr>
          <w:jc w:val="center"/>
        </w:trPr>
        <w:tc>
          <w:tcPr>
            <w:tcW w:w="0" w:type="auto"/>
            <w:gridSpan w:val="3"/>
            <w:shd w:val="clear" w:color="auto" w:fill="FFFFFF"/>
            <w:tcMar>
              <w:top w:w="40" w:type="dxa"/>
              <w:left w:w="135" w:type="dxa"/>
              <w:bottom w:w="40" w:type="dxa"/>
              <w:right w:w="20" w:type="dxa"/>
            </w:tcMar>
            <w:vAlign w:val="bottom"/>
          </w:tcPr>
          <w:p w14:paraId="33DA96E1" w14:textId="77777777" w:rsidR="004D6A64" w:rsidRDefault="00506CD6">
            <w:pPr>
              <w:textAlignment w:val="bottom"/>
            </w:pPr>
            <w:r>
              <w:rPr>
                <w:rFonts w:ascii="Times New Roman" w:eastAsia="宋体" w:hAnsi="Times New Roman"/>
                <w:color w:val="000000"/>
                <w:sz w:val="20"/>
                <w:szCs w:val="20"/>
              </w:rPr>
              <w:t>Repurchases of parent common stock</w:t>
            </w:r>
          </w:p>
        </w:tc>
        <w:tc>
          <w:tcPr>
            <w:tcW w:w="0" w:type="auto"/>
            <w:gridSpan w:val="2"/>
            <w:shd w:val="clear" w:color="auto" w:fill="FFFFFF"/>
            <w:tcMar>
              <w:top w:w="40" w:type="dxa"/>
              <w:left w:w="20" w:type="dxa"/>
              <w:bottom w:w="40" w:type="dxa"/>
              <w:right w:w="0" w:type="dxa"/>
            </w:tcMar>
            <w:vAlign w:val="bottom"/>
          </w:tcPr>
          <w:p w14:paraId="33DA96E2" w14:textId="77777777" w:rsidR="004D6A64" w:rsidRDefault="00506CD6">
            <w:pPr>
              <w:jc w:val="right"/>
              <w:textAlignment w:val="bottom"/>
            </w:pPr>
            <w:r>
              <w:rPr>
                <w:rFonts w:ascii="Times New Roman" w:eastAsia="宋体" w:hAnsi="Times New Roman"/>
                <w:color w:val="000000"/>
                <w:sz w:val="20"/>
                <w:szCs w:val="20"/>
              </w:rPr>
              <w:t>(240)</w:t>
            </w:r>
          </w:p>
        </w:tc>
        <w:tc>
          <w:tcPr>
            <w:tcW w:w="0" w:type="auto"/>
            <w:shd w:val="clear" w:color="auto" w:fill="FFFFFF"/>
            <w:tcMar>
              <w:top w:w="40" w:type="dxa"/>
              <w:bottom w:w="40" w:type="dxa"/>
              <w:right w:w="20" w:type="dxa"/>
            </w:tcMar>
            <w:vAlign w:val="bottom"/>
          </w:tcPr>
          <w:p w14:paraId="33DA96E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6E4"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6E5" w14:textId="77777777" w:rsidR="004D6A64" w:rsidRDefault="00506CD6">
            <w:pPr>
              <w:jc w:val="right"/>
              <w:textAlignment w:val="bottom"/>
            </w:pPr>
            <w:r>
              <w:rPr>
                <w:rFonts w:ascii="Times New Roman" w:eastAsia="宋体" w:hAnsi="Times New Roman"/>
                <w:color w:val="000000"/>
                <w:sz w:val="20"/>
                <w:szCs w:val="20"/>
              </w:rPr>
              <w:t>(4)</w:t>
            </w:r>
          </w:p>
        </w:tc>
        <w:tc>
          <w:tcPr>
            <w:tcW w:w="0" w:type="auto"/>
            <w:shd w:val="clear" w:color="auto" w:fill="FFFFFF"/>
            <w:tcMar>
              <w:top w:w="40" w:type="dxa"/>
              <w:bottom w:w="40" w:type="dxa"/>
              <w:right w:w="20" w:type="dxa"/>
            </w:tcMar>
            <w:vAlign w:val="bottom"/>
          </w:tcPr>
          <w:p w14:paraId="33DA96E6" w14:textId="77777777" w:rsidR="004D6A64" w:rsidRDefault="004D6A64">
            <w:pPr>
              <w:jc w:val="right"/>
              <w:rPr>
                <w:rFonts w:ascii="宋体"/>
              </w:rPr>
            </w:pPr>
          </w:p>
        </w:tc>
        <w:tc>
          <w:tcPr>
            <w:tcW w:w="0" w:type="auto"/>
            <w:shd w:val="clear" w:color="auto" w:fill="auto"/>
          </w:tcPr>
          <w:p w14:paraId="33DA96E7" w14:textId="77777777" w:rsidR="004D6A64" w:rsidRDefault="004D6A64">
            <w:pPr>
              <w:rPr>
                <w:rFonts w:ascii="宋体"/>
              </w:rPr>
            </w:pPr>
          </w:p>
        </w:tc>
        <w:tc>
          <w:tcPr>
            <w:tcW w:w="0" w:type="auto"/>
            <w:shd w:val="clear" w:color="auto" w:fill="auto"/>
          </w:tcPr>
          <w:p w14:paraId="33DA96E8" w14:textId="77777777" w:rsidR="004D6A64" w:rsidRDefault="004D6A64">
            <w:pPr>
              <w:rPr>
                <w:rFonts w:ascii="宋体"/>
              </w:rPr>
            </w:pPr>
          </w:p>
        </w:tc>
        <w:tc>
          <w:tcPr>
            <w:tcW w:w="0" w:type="auto"/>
            <w:shd w:val="clear" w:color="auto" w:fill="auto"/>
          </w:tcPr>
          <w:p w14:paraId="33DA96E9" w14:textId="77777777" w:rsidR="004D6A64" w:rsidRDefault="004D6A64">
            <w:pPr>
              <w:rPr>
                <w:rFonts w:ascii="宋体"/>
              </w:rPr>
            </w:pPr>
          </w:p>
        </w:tc>
        <w:tc>
          <w:tcPr>
            <w:tcW w:w="0" w:type="auto"/>
            <w:shd w:val="clear" w:color="auto" w:fill="auto"/>
          </w:tcPr>
          <w:p w14:paraId="33DA96EA" w14:textId="77777777" w:rsidR="004D6A64" w:rsidRDefault="004D6A64">
            <w:pPr>
              <w:rPr>
                <w:rFonts w:ascii="宋体"/>
              </w:rPr>
            </w:pPr>
          </w:p>
        </w:tc>
        <w:tc>
          <w:tcPr>
            <w:tcW w:w="0" w:type="auto"/>
            <w:shd w:val="clear" w:color="auto" w:fill="auto"/>
          </w:tcPr>
          <w:p w14:paraId="33DA96EB" w14:textId="77777777" w:rsidR="004D6A64" w:rsidRDefault="004D6A64">
            <w:pPr>
              <w:rPr>
                <w:rFonts w:ascii="宋体"/>
              </w:rPr>
            </w:pPr>
          </w:p>
        </w:tc>
        <w:tc>
          <w:tcPr>
            <w:tcW w:w="0" w:type="auto"/>
            <w:shd w:val="clear" w:color="auto" w:fill="auto"/>
          </w:tcPr>
          <w:p w14:paraId="33DA96EC" w14:textId="77777777" w:rsidR="004D6A64" w:rsidRDefault="004D6A64">
            <w:pPr>
              <w:rPr>
                <w:rFonts w:ascii="宋体"/>
              </w:rPr>
            </w:pPr>
          </w:p>
        </w:tc>
      </w:tr>
      <w:tr w:rsidR="004D6A64" w14:paraId="33DA96FA" w14:textId="77777777">
        <w:trPr>
          <w:jc w:val="center"/>
        </w:trPr>
        <w:tc>
          <w:tcPr>
            <w:tcW w:w="0" w:type="auto"/>
            <w:gridSpan w:val="3"/>
            <w:shd w:val="clear" w:color="auto" w:fill="CCEEFF"/>
            <w:tcMar>
              <w:top w:w="40" w:type="dxa"/>
              <w:left w:w="135" w:type="dxa"/>
              <w:bottom w:w="40" w:type="dxa"/>
              <w:right w:w="20" w:type="dxa"/>
            </w:tcMar>
            <w:vAlign w:val="bottom"/>
          </w:tcPr>
          <w:p w14:paraId="33DA96EE" w14:textId="77777777" w:rsidR="004D6A64" w:rsidRDefault="00506CD6">
            <w:pPr>
              <w:textAlignment w:val="bottom"/>
            </w:pPr>
            <w:r>
              <w:rPr>
                <w:rFonts w:ascii="Times New Roman" w:eastAsia="宋体" w:hAnsi="Times New Roman"/>
                <w:color w:val="000000"/>
                <w:sz w:val="20"/>
                <w:szCs w:val="20"/>
              </w:rPr>
              <w:t>Repurchases of subsidiary common stock</w:t>
            </w:r>
          </w:p>
        </w:tc>
        <w:tc>
          <w:tcPr>
            <w:tcW w:w="0" w:type="auto"/>
            <w:gridSpan w:val="2"/>
            <w:shd w:val="clear" w:color="auto" w:fill="CCEEFF"/>
            <w:tcMar>
              <w:top w:w="40" w:type="dxa"/>
              <w:left w:w="20" w:type="dxa"/>
              <w:bottom w:w="40" w:type="dxa"/>
              <w:right w:w="0" w:type="dxa"/>
            </w:tcMar>
            <w:vAlign w:val="bottom"/>
          </w:tcPr>
          <w:p w14:paraId="33DA96EF" w14:textId="77777777" w:rsidR="004D6A64" w:rsidRDefault="00506CD6">
            <w:pPr>
              <w:jc w:val="right"/>
              <w:textAlignment w:val="bottom"/>
            </w:pPr>
            <w:r>
              <w:rPr>
                <w:rFonts w:ascii="Times New Roman" w:eastAsia="宋体" w:hAnsi="Times New Roman"/>
                <w:color w:val="000000"/>
                <w:sz w:val="20"/>
                <w:szCs w:val="20"/>
              </w:rPr>
              <w:t>(591)</w:t>
            </w:r>
          </w:p>
        </w:tc>
        <w:tc>
          <w:tcPr>
            <w:tcW w:w="0" w:type="auto"/>
            <w:shd w:val="clear" w:color="auto" w:fill="CCEEFF"/>
            <w:tcMar>
              <w:top w:w="40" w:type="dxa"/>
              <w:bottom w:w="40" w:type="dxa"/>
              <w:right w:w="20" w:type="dxa"/>
            </w:tcMar>
            <w:vAlign w:val="bottom"/>
          </w:tcPr>
          <w:p w14:paraId="33DA96F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6F1"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6F2" w14:textId="77777777" w:rsidR="004D6A64" w:rsidRDefault="00506CD6">
            <w:pPr>
              <w:jc w:val="right"/>
              <w:textAlignment w:val="bottom"/>
            </w:pPr>
            <w:r>
              <w:rPr>
                <w:rFonts w:ascii="Times New Roman" w:eastAsia="宋体" w:hAnsi="Times New Roman"/>
                <w:color w:val="000000"/>
                <w:sz w:val="20"/>
                <w:szCs w:val="20"/>
              </w:rPr>
              <w:t>(1,403)</w:t>
            </w:r>
          </w:p>
        </w:tc>
        <w:tc>
          <w:tcPr>
            <w:tcW w:w="0" w:type="auto"/>
            <w:shd w:val="clear" w:color="auto" w:fill="CCEEFF"/>
            <w:tcMar>
              <w:top w:w="40" w:type="dxa"/>
              <w:bottom w:w="40" w:type="dxa"/>
              <w:right w:w="20" w:type="dxa"/>
            </w:tcMar>
            <w:vAlign w:val="bottom"/>
          </w:tcPr>
          <w:p w14:paraId="33DA96F3" w14:textId="77777777" w:rsidR="004D6A64" w:rsidRDefault="004D6A64">
            <w:pPr>
              <w:jc w:val="right"/>
              <w:rPr>
                <w:rFonts w:ascii="宋体"/>
              </w:rPr>
            </w:pPr>
          </w:p>
        </w:tc>
        <w:tc>
          <w:tcPr>
            <w:tcW w:w="0" w:type="auto"/>
            <w:shd w:val="clear" w:color="auto" w:fill="auto"/>
          </w:tcPr>
          <w:p w14:paraId="33DA96F4" w14:textId="77777777" w:rsidR="004D6A64" w:rsidRDefault="004D6A64">
            <w:pPr>
              <w:rPr>
                <w:rFonts w:ascii="宋体"/>
              </w:rPr>
            </w:pPr>
          </w:p>
        </w:tc>
        <w:tc>
          <w:tcPr>
            <w:tcW w:w="0" w:type="auto"/>
            <w:shd w:val="clear" w:color="auto" w:fill="auto"/>
          </w:tcPr>
          <w:p w14:paraId="33DA96F5" w14:textId="77777777" w:rsidR="004D6A64" w:rsidRDefault="004D6A64">
            <w:pPr>
              <w:rPr>
                <w:rFonts w:ascii="宋体"/>
              </w:rPr>
            </w:pPr>
          </w:p>
        </w:tc>
        <w:tc>
          <w:tcPr>
            <w:tcW w:w="0" w:type="auto"/>
            <w:shd w:val="clear" w:color="auto" w:fill="auto"/>
          </w:tcPr>
          <w:p w14:paraId="33DA96F6" w14:textId="77777777" w:rsidR="004D6A64" w:rsidRDefault="004D6A64">
            <w:pPr>
              <w:rPr>
                <w:rFonts w:ascii="宋体"/>
              </w:rPr>
            </w:pPr>
          </w:p>
        </w:tc>
        <w:tc>
          <w:tcPr>
            <w:tcW w:w="0" w:type="auto"/>
            <w:shd w:val="clear" w:color="auto" w:fill="auto"/>
          </w:tcPr>
          <w:p w14:paraId="33DA96F7" w14:textId="77777777" w:rsidR="004D6A64" w:rsidRDefault="004D6A64">
            <w:pPr>
              <w:rPr>
                <w:rFonts w:ascii="宋体"/>
              </w:rPr>
            </w:pPr>
          </w:p>
        </w:tc>
        <w:tc>
          <w:tcPr>
            <w:tcW w:w="0" w:type="auto"/>
            <w:shd w:val="clear" w:color="auto" w:fill="auto"/>
          </w:tcPr>
          <w:p w14:paraId="33DA96F8" w14:textId="77777777" w:rsidR="004D6A64" w:rsidRDefault="004D6A64">
            <w:pPr>
              <w:rPr>
                <w:rFonts w:ascii="宋体"/>
              </w:rPr>
            </w:pPr>
          </w:p>
        </w:tc>
        <w:tc>
          <w:tcPr>
            <w:tcW w:w="0" w:type="auto"/>
            <w:shd w:val="clear" w:color="auto" w:fill="auto"/>
          </w:tcPr>
          <w:p w14:paraId="33DA96F9" w14:textId="77777777" w:rsidR="004D6A64" w:rsidRDefault="004D6A64">
            <w:pPr>
              <w:rPr>
                <w:rFonts w:ascii="宋体"/>
              </w:rPr>
            </w:pPr>
          </w:p>
        </w:tc>
      </w:tr>
      <w:tr w:rsidR="004D6A64" w14:paraId="33DA9707" w14:textId="77777777">
        <w:trPr>
          <w:jc w:val="center"/>
        </w:trPr>
        <w:tc>
          <w:tcPr>
            <w:tcW w:w="0" w:type="auto"/>
            <w:gridSpan w:val="3"/>
            <w:shd w:val="clear" w:color="auto" w:fill="FFFFFF"/>
            <w:tcMar>
              <w:top w:w="40" w:type="dxa"/>
              <w:left w:w="135" w:type="dxa"/>
              <w:bottom w:w="40" w:type="dxa"/>
              <w:right w:w="20" w:type="dxa"/>
            </w:tcMar>
            <w:vAlign w:val="bottom"/>
          </w:tcPr>
          <w:p w14:paraId="33DA96FB" w14:textId="77777777" w:rsidR="004D6A64" w:rsidRDefault="00506CD6">
            <w:pPr>
              <w:textAlignment w:val="bottom"/>
            </w:pPr>
            <w:r>
              <w:rPr>
                <w:rFonts w:ascii="Times New Roman" w:eastAsia="宋体" w:hAnsi="Times New Roman"/>
                <w:color w:val="000000"/>
                <w:sz w:val="20"/>
                <w:szCs w:val="20"/>
              </w:rPr>
              <w:t>Proceeds from debt</w:t>
            </w:r>
          </w:p>
        </w:tc>
        <w:tc>
          <w:tcPr>
            <w:tcW w:w="0" w:type="auto"/>
            <w:gridSpan w:val="2"/>
            <w:shd w:val="clear" w:color="auto" w:fill="FFFFFF"/>
            <w:tcMar>
              <w:top w:w="40" w:type="dxa"/>
              <w:left w:w="20" w:type="dxa"/>
              <w:bottom w:w="40" w:type="dxa"/>
              <w:right w:w="0" w:type="dxa"/>
            </w:tcMar>
            <w:vAlign w:val="bottom"/>
          </w:tcPr>
          <w:p w14:paraId="33DA96FC" w14:textId="77777777" w:rsidR="004D6A64" w:rsidRDefault="00506CD6">
            <w:pPr>
              <w:jc w:val="right"/>
              <w:textAlignment w:val="bottom"/>
            </w:pPr>
            <w:r>
              <w:rPr>
                <w:rFonts w:ascii="Times New Roman" w:eastAsia="宋体" w:hAnsi="Times New Roman"/>
                <w:color w:val="000000"/>
                <w:sz w:val="20"/>
                <w:szCs w:val="20"/>
              </w:rPr>
              <w:t>11,847 </w:t>
            </w:r>
          </w:p>
        </w:tc>
        <w:tc>
          <w:tcPr>
            <w:tcW w:w="0" w:type="auto"/>
            <w:shd w:val="clear" w:color="auto" w:fill="FFFFFF"/>
            <w:tcMar>
              <w:top w:w="40" w:type="dxa"/>
              <w:bottom w:w="40" w:type="dxa"/>
              <w:right w:w="20" w:type="dxa"/>
            </w:tcMar>
            <w:vAlign w:val="bottom"/>
          </w:tcPr>
          <w:p w14:paraId="33DA96F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6FE"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6FF" w14:textId="77777777" w:rsidR="004D6A64" w:rsidRDefault="00506CD6">
            <w:pPr>
              <w:jc w:val="right"/>
              <w:textAlignment w:val="bottom"/>
            </w:pPr>
            <w:r>
              <w:rPr>
                <w:rFonts w:ascii="Times New Roman" w:eastAsia="宋体" w:hAnsi="Times New Roman"/>
                <w:color w:val="000000"/>
                <w:sz w:val="20"/>
                <w:szCs w:val="20"/>
              </w:rPr>
              <w:t>12,201 </w:t>
            </w:r>
          </w:p>
        </w:tc>
        <w:tc>
          <w:tcPr>
            <w:tcW w:w="0" w:type="auto"/>
            <w:shd w:val="clear" w:color="auto" w:fill="FFFFFF"/>
            <w:tcMar>
              <w:top w:w="40" w:type="dxa"/>
              <w:bottom w:w="40" w:type="dxa"/>
              <w:right w:w="20" w:type="dxa"/>
            </w:tcMar>
            <w:vAlign w:val="bottom"/>
          </w:tcPr>
          <w:p w14:paraId="33DA9700" w14:textId="77777777" w:rsidR="004D6A64" w:rsidRDefault="004D6A64">
            <w:pPr>
              <w:jc w:val="right"/>
              <w:rPr>
                <w:rFonts w:ascii="宋体"/>
              </w:rPr>
            </w:pPr>
          </w:p>
        </w:tc>
        <w:tc>
          <w:tcPr>
            <w:tcW w:w="0" w:type="auto"/>
            <w:shd w:val="clear" w:color="auto" w:fill="auto"/>
          </w:tcPr>
          <w:p w14:paraId="33DA9701" w14:textId="77777777" w:rsidR="004D6A64" w:rsidRDefault="004D6A64">
            <w:pPr>
              <w:rPr>
                <w:rFonts w:ascii="宋体"/>
              </w:rPr>
            </w:pPr>
          </w:p>
        </w:tc>
        <w:tc>
          <w:tcPr>
            <w:tcW w:w="0" w:type="auto"/>
            <w:shd w:val="clear" w:color="auto" w:fill="auto"/>
          </w:tcPr>
          <w:p w14:paraId="33DA9702" w14:textId="77777777" w:rsidR="004D6A64" w:rsidRDefault="004D6A64">
            <w:pPr>
              <w:rPr>
                <w:rFonts w:ascii="宋体"/>
              </w:rPr>
            </w:pPr>
          </w:p>
        </w:tc>
        <w:tc>
          <w:tcPr>
            <w:tcW w:w="0" w:type="auto"/>
            <w:shd w:val="clear" w:color="auto" w:fill="auto"/>
          </w:tcPr>
          <w:p w14:paraId="33DA9703" w14:textId="77777777" w:rsidR="004D6A64" w:rsidRDefault="004D6A64">
            <w:pPr>
              <w:rPr>
                <w:rFonts w:ascii="宋体"/>
              </w:rPr>
            </w:pPr>
          </w:p>
        </w:tc>
        <w:tc>
          <w:tcPr>
            <w:tcW w:w="0" w:type="auto"/>
            <w:shd w:val="clear" w:color="auto" w:fill="auto"/>
          </w:tcPr>
          <w:p w14:paraId="33DA9704" w14:textId="77777777" w:rsidR="004D6A64" w:rsidRDefault="004D6A64">
            <w:pPr>
              <w:rPr>
                <w:rFonts w:ascii="宋体"/>
              </w:rPr>
            </w:pPr>
          </w:p>
        </w:tc>
        <w:tc>
          <w:tcPr>
            <w:tcW w:w="0" w:type="auto"/>
            <w:shd w:val="clear" w:color="auto" w:fill="auto"/>
          </w:tcPr>
          <w:p w14:paraId="33DA9705" w14:textId="77777777" w:rsidR="004D6A64" w:rsidRDefault="004D6A64">
            <w:pPr>
              <w:rPr>
                <w:rFonts w:ascii="宋体"/>
              </w:rPr>
            </w:pPr>
          </w:p>
        </w:tc>
        <w:tc>
          <w:tcPr>
            <w:tcW w:w="0" w:type="auto"/>
            <w:shd w:val="clear" w:color="auto" w:fill="auto"/>
          </w:tcPr>
          <w:p w14:paraId="33DA9706" w14:textId="77777777" w:rsidR="004D6A64" w:rsidRDefault="004D6A64">
            <w:pPr>
              <w:rPr>
                <w:rFonts w:ascii="宋体"/>
              </w:rPr>
            </w:pPr>
          </w:p>
        </w:tc>
      </w:tr>
      <w:tr w:rsidR="004D6A64" w14:paraId="33DA9714" w14:textId="77777777">
        <w:trPr>
          <w:jc w:val="center"/>
        </w:trPr>
        <w:tc>
          <w:tcPr>
            <w:tcW w:w="0" w:type="auto"/>
            <w:gridSpan w:val="3"/>
            <w:shd w:val="clear" w:color="auto" w:fill="CCEEFF"/>
            <w:tcMar>
              <w:top w:w="40" w:type="dxa"/>
              <w:left w:w="135" w:type="dxa"/>
              <w:bottom w:w="40" w:type="dxa"/>
              <w:right w:w="20" w:type="dxa"/>
            </w:tcMar>
            <w:vAlign w:val="bottom"/>
          </w:tcPr>
          <w:p w14:paraId="33DA9708" w14:textId="77777777" w:rsidR="004D6A64" w:rsidRDefault="00506CD6">
            <w:pPr>
              <w:textAlignment w:val="bottom"/>
            </w:pPr>
            <w:r>
              <w:rPr>
                <w:rFonts w:ascii="Times New Roman" w:eastAsia="宋体" w:hAnsi="Times New Roman"/>
                <w:color w:val="000000"/>
                <w:sz w:val="20"/>
                <w:szCs w:val="20"/>
              </w:rPr>
              <w:t>Repayments of debt</w:t>
            </w:r>
          </w:p>
        </w:tc>
        <w:tc>
          <w:tcPr>
            <w:tcW w:w="0" w:type="auto"/>
            <w:gridSpan w:val="2"/>
            <w:shd w:val="clear" w:color="auto" w:fill="CCEEFF"/>
            <w:tcMar>
              <w:top w:w="40" w:type="dxa"/>
              <w:left w:w="20" w:type="dxa"/>
              <w:bottom w:w="40" w:type="dxa"/>
              <w:right w:w="0" w:type="dxa"/>
            </w:tcMar>
            <w:vAlign w:val="bottom"/>
          </w:tcPr>
          <w:p w14:paraId="33DA9709" w14:textId="77777777" w:rsidR="004D6A64" w:rsidRDefault="00506CD6">
            <w:pPr>
              <w:jc w:val="right"/>
              <w:textAlignment w:val="bottom"/>
            </w:pPr>
            <w:r>
              <w:rPr>
                <w:rFonts w:ascii="Times New Roman" w:eastAsia="宋体" w:hAnsi="Times New Roman"/>
                <w:color w:val="000000"/>
                <w:sz w:val="20"/>
                <w:szCs w:val="20"/>
              </w:rPr>
              <w:t>(10,220)</w:t>
            </w:r>
          </w:p>
        </w:tc>
        <w:tc>
          <w:tcPr>
            <w:tcW w:w="0" w:type="auto"/>
            <w:shd w:val="clear" w:color="auto" w:fill="CCEEFF"/>
            <w:tcMar>
              <w:top w:w="40" w:type="dxa"/>
              <w:bottom w:w="40" w:type="dxa"/>
              <w:right w:w="20" w:type="dxa"/>
            </w:tcMar>
            <w:vAlign w:val="bottom"/>
          </w:tcPr>
          <w:p w14:paraId="33DA970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70B"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70C" w14:textId="77777777" w:rsidR="004D6A64" w:rsidRDefault="00506CD6">
            <w:pPr>
              <w:jc w:val="right"/>
              <w:textAlignment w:val="bottom"/>
            </w:pPr>
            <w:r>
              <w:rPr>
                <w:rFonts w:ascii="Times New Roman" w:eastAsia="宋体" w:hAnsi="Times New Roman"/>
                <w:color w:val="000000"/>
                <w:sz w:val="20"/>
                <w:szCs w:val="20"/>
              </w:rPr>
              <w:t>(13,911)</w:t>
            </w:r>
          </w:p>
        </w:tc>
        <w:tc>
          <w:tcPr>
            <w:tcW w:w="0" w:type="auto"/>
            <w:shd w:val="clear" w:color="auto" w:fill="CCEEFF"/>
            <w:tcMar>
              <w:top w:w="40" w:type="dxa"/>
              <w:bottom w:w="40" w:type="dxa"/>
              <w:right w:w="20" w:type="dxa"/>
            </w:tcMar>
            <w:vAlign w:val="bottom"/>
          </w:tcPr>
          <w:p w14:paraId="33DA970D" w14:textId="77777777" w:rsidR="004D6A64" w:rsidRDefault="004D6A64">
            <w:pPr>
              <w:jc w:val="right"/>
              <w:rPr>
                <w:rFonts w:ascii="宋体"/>
              </w:rPr>
            </w:pPr>
          </w:p>
        </w:tc>
        <w:tc>
          <w:tcPr>
            <w:tcW w:w="0" w:type="auto"/>
            <w:shd w:val="clear" w:color="auto" w:fill="auto"/>
          </w:tcPr>
          <w:p w14:paraId="33DA970E" w14:textId="77777777" w:rsidR="004D6A64" w:rsidRDefault="004D6A64">
            <w:pPr>
              <w:rPr>
                <w:rFonts w:ascii="宋体"/>
              </w:rPr>
            </w:pPr>
          </w:p>
        </w:tc>
        <w:tc>
          <w:tcPr>
            <w:tcW w:w="0" w:type="auto"/>
            <w:shd w:val="clear" w:color="auto" w:fill="auto"/>
          </w:tcPr>
          <w:p w14:paraId="33DA970F" w14:textId="77777777" w:rsidR="004D6A64" w:rsidRDefault="004D6A64">
            <w:pPr>
              <w:rPr>
                <w:rFonts w:ascii="宋体"/>
              </w:rPr>
            </w:pPr>
          </w:p>
        </w:tc>
        <w:tc>
          <w:tcPr>
            <w:tcW w:w="0" w:type="auto"/>
            <w:shd w:val="clear" w:color="auto" w:fill="auto"/>
          </w:tcPr>
          <w:p w14:paraId="33DA9710" w14:textId="77777777" w:rsidR="004D6A64" w:rsidRDefault="004D6A64">
            <w:pPr>
              <w:rPr>
                <w:rFonts w:ascii="宋体"/>
              </w:rPr>
            </w:pPr>
          </w:p>
        </w:tc>
        <w:tc>
          <w:tcPr>
            <w:tcW w:w="0" w:type="auto"/>
            <w:shd w:val="clear" w:color="auto" w:fill="auto"/>
          </w:tcPr>
          <w:p w14:paraId="33DA9711" w14:textId="77777777" w:rsidR="004D6A64" w:rsidRDefault="004D6A64">
            <w:pPr>
              <w:rPr>
                <w:rFonts w:ascii="宋体"/>
              </w:rPr>
            </w:pPr>
          </w:p>
        </w:tc>
        <w:tc>
          <w:tcPr>
            <w:tcW w:w="0" w:type="auto"/>
            <w:shd w:val="clear" w:color="auto" w:fill="auto"/>
          </w:tcPr>
          <w:p w14:paraId="33DA9712" w14:textId="77777777" w:rsidR="004D6A64" w:rsidRDefault="004D6A64">
            <w:pPr>
              <w:rPr>
                <w:rFonts w:ascii="宋体"/>
              </w:rPr>
            </w:pPr>
          </w:p>
        </w:tc>
        <w:tc>
          <w:tcPr>
            <w:tcW w:w="0" w:type="auto"/>
            <w:shd w:val="clear" w:color="auto" w:fill="auto"/>
          </w:tcPr>
          <w:p w14:paraId="33DA9713" w14:textId="77777777" w:rsidR="004D6A64" w:rsidRDefault="004D6A64">
            <w:pPr>
              <w:rPr>
                <w:rFonts w:ascii="宋体"/>
              </w:rPr>
            </w:pPr>
          </w:p>
        </w:tc>
      </w:tr>
      <w:tr w:rsidR="004D6A64" w14:paraId="33DA9721" w14:textId="77777777">
        <w:trPr>
          <w:jc w:val="center"/>
        </w:trPr>
        <w:tc>
          <w:tcPr>
            <w:tcW w:w="0" w:type="auto"/>
            <w:gridSpan w:val="3"/>
            <w:shd w:val="clear" w:color="auto" w:fill="FFFFFF"/>
            <w:tcMar>
              <w:top w:w="40" w:type="dxa"/>
              <w:left w:w="135" w:type="dxa"/>
              <w:bottom w:w="40" w:type="dxa"/>
              <w:right w:w="20" w:type="dxa"/>
            </w:tcMar>
            <w:vAlign w:val="bottom"/>
          </w:tcPr>
          <w:p w14:paraId="33DA9715" w14:textId="77777777" w:rsidR="004D6A64" w:rsidRDefault="00506CD6">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33DA9716" w14:textId="77777777" w:rsidR="004D6A64" w:rsidRDefault="00506CD6">
            <w:pPr>
              <w:jc w:val="right"/>
              <w:textAlignment w:val="bottom"/>
            </w:pPr>
            <w:r>
              <w:rPr>
                <w:rFonts w:ascii="Times New Roman" w:eastAsia="宋体" w:hAnsi="Times New Roman"/>
                <w:color w:val="000000"/>
                <w:sz w:val="20"/>
                <w:szCs w:val="20"/>
              </w:rPr>
              <w:t>(190)</w:t>
            </w:r>
          </w:p>
        </w:tc>
        <w:tc>
          <w:tcPr>
            <w:tcW w:w="0" w:type="auto"/>
            <w:shd w:val="clear" w:color="auto" w:fill="FFFFFF"/>
            <w:tcMar>
              <w:top w:w="40" w:type="dxa"/>
              <w:bottom w:w="40" w:type="dxa"/>
              <w:right w:w="20" w:type="dxa"/>
            </w:tcMar>
            <w:vAlign w:val="bottom"/>
          </w:tcPr>
          <w:p w14:paraId="33DA971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718"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719" w14:textId="77777777" w:rsidR="004D6A64" w:rsidRDefault="00506CD6">
            <w:pPr>
              <w:jc w:val="right"/>
              <w:textAlignment w:val="bottom"/>
            </w:pPr>
            <w:r>
              <w:rPr>
                <w:rFonts w:ascii="Times New Roman" w:eastAsia="宋体" w:hAnsi="Times New Roman"/>
                <w:color w:val="000000"/>
                <w:sz w:val="20"/>
                <w:szCs w:val="20"/>
              </w:rPr>
              <w:t>(44)</w:t>
            </w:r>
          </w:p>
        </w:tc>
        <w:tc>
          <w:tcPr>
            <w:tcW w:w="0" w:type="auto"/>
            <w:shd w:val="clear" w:color="auto" w:fill="FFFFFF"/>
            <w:tcMar>
              <w:top w:w="40" w:type="dxa"/>
              <w:bottom w:w="40" w:type="dxa"/>
              <w:right w:w="20" w:type="dxa"/>
            </w:tcMar>
            <w:vAlign w:val="bottom"/>
          </w:tcPr>
          <w:p w14:paraId="33DA971A" w14:textId="77777777" w:rsidR="004D6A64" w:rsidRDefault="004D6A64">
            <w:pPr>
              <w:jc w:val="right"/>
              <w:rPr>
                <w:rFonts w:ascii="宋体"/>
              </w:rPr>
            </w:pPr>
          </w:p>
        </w:tc>
        <w:tc>
          <w:tcPr>
            <w:tcW w:w="0" w:type="auto"/>
            <w:shd w:val="clear" w:color="auto" w:fill="auto"/>
          </w:tcPr>
          <w:p w14:paraId="33DA971B" w14:textId="77777777" w:rsidR="004D6A64" w:rsidRDefault="004D6A64">
            <w:pPr>
              <w:rPr>
                <w:rFonts w:ascii="宋体"/>
              </w:rPr>
            </w:pPr>
          </w:p>
        </w:tc>
        <w:tc>
          <w:tcPr>
            <w:tcW w:w="0" w:type="auto"/>
            <w:shd w:val="clear" w:color="auto" w:fill="auto"/>
          </w:tcPr>
          <w:p w14:paraId="33DA971C" w14:textId="77777777" w:rsidR="004D6A64" w:rsidRDefault="004D6A64">
            <w:pPr>
              <w:rPr>
                <w:rFonts w:ascii="宋体"/>
              </w:rPr>
            </w:pPr>
          </w:p>
        </w:tc>
        <w:tc>
          <w:tcPr>
            <w:tcW w:w="0" w:type="auto"/>
            <w:shd w:val="clear" w:color="auto" w:fill="auto"/>
          </w:tcPr>
          <w:p w14:paraId="33DA971D" w14:textId="77777777" w:rsidR="004D6A64" w:rsidRDefault="004D6A64">
            <w:pPr>
              <w:rPr>
                <w:rFonts w:ascii="宋体"/>
              </w:rPr>
            </w:pPr>
          </w:p>
        </w:tc>
        <w:tc>
          <w:tcPr>
            <w:tcW w:w="0" w:type="auto"/>
            <w:shd w:val="clear" w:color="auto" w:fill="auto"/>
          </w:tcPr>
          <w:p w14:paraId="33DA971E" w14:textId="77777777" w:rsidR="004D6A64" w:rsidRDefault="004D6A64">
            <w:pPr>
              <w:rPr>
                <w:rFonts w:ascii="宋体"/>
              </w:rPr>
            </w:pPr>
          </w:p>
        </w:tc>
        <w:tc>
          <w:tcPr>
            <w:tcW w:w="0" w:type="auto"/>
            <w:shd w:val="clear" w:color="auto" w:fill="auto"/>
          </w:tcPr>
          <w:p w14:paraId="33DA971F" w14:textId="77777777" w:rsidR="004D6A64" w:rsidRDefault="004D6A64">
            <w:pPr>
              <w:rPr>
                <w:rFonts w:ascii="宋体"/>
              </w:rPr>
            </w:pPr>
          </w:p>
        </w:tc>
        <w:tc>
          <w:tcPr>
            <w:tcW w:w="0" w:type="auto"/>
            <w:shd w:val="clear" w:color="auto" w:fill="auto"/>
          </w:tcPr>
          <w:p w14:paraId="33DA9720" w14:textId="77777777" w:rsidR="004D6A64" w:rsidRDefault="004D6A64">
            <w:pPr>
              <w:rPr>
                <w:rFonts w:ascii="宋体"/>
              </w:rPr>
            </w:pPr>
          </w:p>
        </w:tc>
      </w:tr>
      <w:tr w:rsidR="004D6A64" w14:paraId="33DA972E" w14:textId="77777777">
        <w:trPr>
          <w:jc w:val="center"/>
        </w:trPr>
        <w:tc>
          <w:tcPr>
            <w:tcW w:w="0" w:type="auto"/>
            <w:gridSpan w:val="3"/>
            <w:shd w:val="clear" w:color="auto" w:fill="CCEEFF"/>
            <w:tcMar>
              <w:top w:w="40" w:type="dxa"/>
              <w:left w:w="705" w:type="dxa"/>
              <w:bottom w:w="40" w:type="dxa"/>
              <w:right w:w="20" w:type="dxa"/>
            </w:tcMar>
            <w:vAlign w:val="bottom"/>
          </w:tcPr>
          <w:p w14:paraId="33DA9722" w14:textId="77777777" w:rsidR="004D6A64" w:rsidRDefault="00506CD6">
            <w:pPr>
              <w:textAlignment w:val="bottom"/>
            </w:pPr>
            <w:r>
              <w:rPr>
                <w:rFonts w:ascii="Times New Roman" w:eastAsia="宋体" w:hAnsi="Times New Roman"/>
                <w:color w:val="000000"/>
                <w:sz w:val="20"/>
                <w:szCs w:val="20"/>
              </w:rPr>
              <w:t>Change in cash from financing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3DA9723" w14:textId="77777777" w:rsidR="004D6A64" w:rsidRDefault="00506CD6">
            <w:pPr>
              <w:jc w:val="right"/>
              <w:textAlignment w:val="bottom"/>
            </w:pPr>
            <w:r>
              <w:rPr>
                <w:rFonts w:ascii="Times New Roman" w:eastAsia="宋体" w:hAnsi="Times New Roman"/>
                <w:color w:val="000000"/>
                <w:sz w:val="20"/>
                <w:szCs w:val="20"/>
              </w:rPr>
              <w:t>827 </w:t>
            </w:r>
          </w:p>
        </w:tc>
        <w:tc>
          <w:tcPr>
            <w:tcW w:w="0" w:type="auto"/>
            <w:tcBorders>
              <w:top w:val="single" w:sz="8" w:space="0" w:color="000000"/>
            </w:tcBorders>
            <w:shd w:val="clear" w:color="auto" w:fill="CCEEFF"/>
            <w:tcMar>
              <w:top w:w="40" w:type="dxa"/>
              <w:bottom w:w="40" w:type="dxa"/>
              <w:right w:w="20" w:type="dxa"/>
            </w:tcMar>
            <w:vAlign w:val="bottom"/>
          </w:tcPr>
          <w:p w14:paraId="33DA972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725" w14:textId="77777777" w:rsidR="004D6A64" w:rsidRDefault="004D6A6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3DA9726" w14:textId="77777777" w:rsidR="004D6A64" w:rsidRDefault="00506CD6">
            <w:pPr>
              <w:jc w:val="right"/>
              <w:textAlignment w:val="bottom"/>
            </w:pPr>
            <w:r>
              <w:rPr>
                <w:rFonts w:ascii="Times New Roman" w:eastAsia="宋体" w:hAnsi="Times New Roman"/>
                <w:color w:val="000000"/>
                <w:sz w:val="20"/>
                <w:szCs w:val="20"/>
              </w:rPr>
              <w:t>(2,922)</w:t>
            </w:r>
          </w:p>
        </w:tc>
        <w:tc>
          <w:tcPr>
            <w:tcW w:w="0" w:type="auto"/>
            <w:tcBorders>
              <w:top w:val="single" w:sz="8" w:space="0" w:color="000000"/>
            </w:tcBorders>
            <w:shd w:val="clear" w:color="auto" w:fill="CCEEFF"/>
            <w:tcMar>
              <w:top w:w="40" w:type="dxa"/>
              <w:bottom w:w="40" w:type="dxa"/>
              <w:right w:w="20" w:type="dxa"/>
            </w:tcMar>
            <w:vAlign w:val="bottom"/>
          </w:tcPr>
          <w:p w14:paraId="33DA9727" w14:textId="77777777" w:rsidR="004D6A64" w:rsidRDefault="004D6A64">
            <w:pPr>
              <w:jc w:val="right"/>
              <w:rPr>
                <w:rFonts w:ascii="宋体"/>
              </w:rPr>
            </w:pPr>
          </w:p>
        </w:tc>
        <w:tc>
          <w:tcPr>
            <w:tcW w:w="0" w:type="auto"/>
            <w:shd w:val="clear" w:color="auto" w:fill="auto"/>
          </w:tcPr>
          <w:p w14:paraId="33DA9728" w14:textId="77777777" w:rsidR="004D6A64" w:rsidRDefault="004D6A64">
            <w:pPr>
              <w:rPr>
                <w:rFonts w:ascii="宋体"/>
              </w:rPr>
            </w:pPr>
          </w:p>
        </w:tc>
        <w:tc>
          <w:tcPr>
            <w:tcW w:w="0" w:type="auto"/>
            <w:shd w:val="clear" w:color="auto" w:fill="auto"/>
          </w:tcPr>
          <w:p w14:paraId="33DA9729" w14:textId="77777777" w:rsidR="004D6A64" w:rsidRDefault="004D6A64">
            <w:pPr>
              <w:rPr>
                <w:rFonts w:ascii="宋体"/>
              </w:rPr>
            </w:pPr>
          </w:p>
        </w:tc>
        <w:tc>
          <w:tcPr>
            <w:tcW w:w="0" w:type="auto"/>
            <w:shd w:val="clear" w:color="auto" w:fill="auto"/>
          </w:tcPr>
          <w:p w14:paraId="33DA972A" w14:textId="77777777" w:rsidR="004D6A64" w:rsidRDefault="004D6A64">
            <w:pPr>
              <w:rPr>
                <w:rFonts w:ascii="宋体"/>
              </w:rPr>
            </w:pPr>
          </w:p>
        </w:tc>
        <w:tc>
          <w:tcPr>
            <w:tcW w:w="0" w:type="auto"/>
            <w:shd w:val="clear" w:color="auto" w:fill="auto"/>
          </w:tcPr>
          <w:p w14:paraId="33DA972B" w14:textId="77777777" w:rsidR="004D6A64" w:rsidRDefault="004D6A64">
            <w:pPr>
              <w:rPr>
                <w:rFonts w:ascii="宋体"/>
              </w:rPr>
            </w:pPr>
          </w:p>
        </w:tc>
        <w:tc>
          <w:tcPr>
            <w:tcW w:w="0" w:type="auto"/>
            <w:shd w:val="clear" w:color="auto" w:fill="auto"/>
          </w:tcPr>
          <w:p w14:paraId="33DA972C" w14:textId="77777777" w:rsidR="004D6A64" w:rsidRDefault="004D6A64">
            <w:pPr>
              <w:rPr>
                <w:rFonts w:ascii="宋体"/>
              </w:rPr>
            </w:pPr>
          </w:p>
        </w:tc>
        <w:tc>
          <w:tcPr>
            <w:tcW w:w="0" w:type="auto"/>
            <w:shd w:val="clear" w:color="auto" w:fill="auto"/>
          </w:tcPr>
          <w:p w14:paraId="33DA972D" w14:textId="77777777" w:rsidR="004D6A64" w:rsidRDefault="004D6A64">
            <w:pPr>
              <w:rPr>
                <w:rFonts w:ascii="宋体"/>
              </w:rPr>
            </w:pPr>
          </w:p>
        </w:tc>
      </w:tr>
      <w:tr w:rsidR="004D6A64" w14:paraId="33DA973B" w14:textId="77777777">
        <w:trPr>
          <w:jc w:val="center"/>
        </w:trPr>
        <w:tc>
          <w:tcPr>
            <w:tcW w:w="0" w:type="auto"/>
            <w:gridSpan w:val="3"/>
            <w:shd w:val="clear" w:color="auto" w:fill="FFFFFF"/>
            <w:tcMar>
              <w:top w:w="40" w:type="dxa"/>
              <w:left w:w="20" w:type="dxa"/>
              <w:bottom w:w="40" w:type="dxa"/>
              <w:right w:w="20" w:type="dxa"/>
            </w:tcMar>
            <w:vAlign w:val="bottom"/>
          </w:tcPr>
          <w:p w14:paraId="33DA972F" w14:textId="77777777" w:rsidR="004D6A64" w:rsidRDefault="00506CD6">
            <w:pPr>
              <w:textAlignment w:val="bottom"/>
            </w:pPr>
            <w:r>
              <w:rPr>
                <w:rFonts w:ascii="Times New Roman" w:eastAsia="宋体" w:hAnsi="Times New Roman"/>
                <w:color w:val="000000"/>
                <w:sz w:val="20"/>
                <w:szCs w:val="20"/>
              </w:rPr>
              <w:t>Effect of exchange rate changes on cash, cash equivalents, and restricted cash</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3DA9730" w14:textId="77777777" w:rsidR="004D6A64" w:rsidRDefault="00506CD6">
            <w:pPr>
              <w:jc w:val="right"/>
              <w:textAlignment w:val="bottom"/>
            </w:pPr>
            <w:r>
              <w:rPr>
                <w:rFonts w:ascii="Times New Roman" w:eastAsia="宋体" w:hAnsi="Times New Roman"/>
                <w:color w:val="000000"/>
                <w:sz w:val="20"/>
                <w:szCs w:val="20"/>
              </w:rPr>
              <w:t>(52)</w:t>
            </w:r>
          </w:p>
        </w:tc>
        <w:tc>
          <w:tcPr>
            <w:tcW w:w="0" w:type="auto"/>
            <w:tcBorders>
              <w:top w:val="single" w:sz="8" w:space="0" w:color="000000"/>
            </w:tcBorders>
            <w:shd w:val="clear" w:color="auto" w:fill="FFFFFF"/>
            <w:tcMar>
              <w:top w:w="40" w:type="dxa"/>
              <w:bottom w:w="40" w:type="dxa"/>
              <w:right w:w="20" w:type="dxa"/>
            </w:tcMar>
            <w:vAlign w:val="bottom"/>
          </w:tcPr>
          <w:p w14:paraId="33DA973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732" w14:textId="77777777" w:rsidR="004D6A64" w:rsidRDefault="004D6A6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3DA9733" w14:textId="77777777" w:rsidR="004D6A64" w:rsidRDefault="00506CD6">
            <w:pPr>
              <w:jc w:val="right"/>
              <w:textAlignment w:val="bottom"/>
            </w:pPr>
            <w:r>
              <w:rPr>
                <w:rFonts w:ascii="Times New Roman" w:eastAsia="宋体" w:hAnsi="Times New Roman"/>
                <w:color w:val="000000"/>
                <w:sz w:val="20"/>
                <w:szCs w:val="20"/>
              </w:rPr>
              <w:t>(62)</w:t>
            </w:r>
          </w:p>
        </w:tc>
        <w:tc>
          <w:tcPr>
            <w:tcW w:w="0" w:type="auto"/>
            <w:tcBorders>
              <w:top w:val="single" w:sz="8" w:space="0" w:color="000000"/>
            </w:tcBorders>
            <w:shd w:val="clear" w:color="auto" w:fill="FFFFFF"/>
            <w:tcMar>
              <w:top w:w="40" w:type="dxa"/>
              <w:bottom w:w="40" w:type="dxa"/>
              <w:right w:w="20" w:type="dxa"/>
            </w:tcMar>
            <w:vAlign w:val="bottom"/>
          </w:tcPr>
          <w:p w14:paraId="33DA9734" w14:textId="77777777" w:rsidR="004D6A64" w:rsidRDefault="004D6A64">
            <w:pPr>
              <w:jc w:val="right"/>
              <w:rPr>
                <w:rFonts w:ascii="宋体"/>
              </w:rPr>
            </w:pPr>
          </w:p>
        </w:tc>
        <w:tc>
          <w:tcPr>
            <w:tcW w:w="0" w:type="auto"/>
            <w:shd w:val="clear" w:color="auto" w:fill="auto"/>
          </w:tcPr>
          <w:p w14:paraId="33DA9735" w14:textId="77777777" w:rsidR="004D6A64" w:rsidRDefault="004D6A64">
            <w:pPr>
              <w:rPr>
                <w:rFonts w:ascii="宋体"/>
              </w:rPr>
            </w:pPr>
          </w:p>
        </w:tc>
        <w:tc>
          <w:tcPr>
            <w:tcW w:w="0" w:type="auto"/>
            <w:shd w:val="clear" w:color="auto" w:fill="auto"/>
          </w:tcPr>
          <w:p w14:paraId="33DA9736" w14:textId="77777777" w:rsidR="004D6A64" w:rsidRDefault="004D6A64">
            <w:pPr>
              <w:rPr>
                <w:rFonts w:ascii="宋体"/>
              </w:rPr>
            </w:pPr>
          </w:p>
        </w:tc>
        <w:tc>
          <w:tcPr>
            <w:tcW w:w="0" w:type="auto"/>
            <w:shd w:val="clear" w:color="auto" w:fill="auto"/>
          </w:tcPr>
          <w:p w14:paraId="33DA9737" w14:textId="77777777" w:rsidR="004D6A64" w:rsidRDefault="004D6A64">
            <w:pPr>
              <w:rPr>
                <w:rFonts w:ascii="宋体"/>
              </w:rPr>
            </w:pPr>
          </w:p>
        </w:tc>
        <w:tc>
          <w:tcPr>
            <w:tcW w:w="0" w:type="auto"/>
            <w:shd w:val="clear" w:color="auto" w:fill="auto"/>
          </w:tcPr>
          <w:p w14:paraId="33DA9738" w14:textId="77777777" w:rsidR="004D6A64" w:rsidRDefault="004D6A64">
            <w:pPr>
              <w:rPr>
                <w:rFonts w:ascii="宋体"/>
              </w:rPr>
            </w:pPr>
          </w:p>
        </w:tc>
        <w:tc>
          <w:tcPr>
            <w:tcW w:w="0" w:type="auto"/>
            <w:shd w:val="clear" w:color="auto" w:fill="auto"/>
          </w:tcPr>
          <w:p w14:paraId="33DA9739" w14:textId="77777777" w:rsidR="004D6A64" w:rsidRDefault="004D6A64">
            <w:pPr>
              <w:rPr>
                <w:rFonts w:ascii="宋体"/>
              </w:rPr>
            </w:pPr>
          </w:p>
        </w:tc>
        <w:tc>
          <w:tcPr>
            <w:tcW w:w="0" w:type="auto"/>
            <w:shd w:val="clear" w:color="auto" w:fill="auto"/>
          </w:tcPr>
          <w:p w14:paraId="33DA973A" w14:textId="77777777" w:rsidR="004D6A64" w:rsidRDefault="004D6A64">
            <w:pPr>
              <w:rPr>
                <w:rFonts w:ascii="宋体"/>
              </w:rPr>
            </w:pPr>
          </w:p>
        </w:tc>
      </w:tr>
      <w:tr w:rsidR="004D6A64" w14:paraId="33DA9748" w14:textId="77777777">
        <w:trPr>
          <w:jc w:val="center"/>
        </w:trPr>
        <w:tc>
          <w:tcPr>
            <w:tcW w:w="0" w:type="auto"/>
            <w:gridSpan w:val="3"/>
            <w:shd w:val="clear" w:color="auto" w:fill="CCEEFF"/>
            <w:tcMar>
              <w:top w:w="40" w:type="dxa"/>
              <w:left w:w="20" w:type="dxa"/>
              <w:bottom w:w="40" w:type="dxa"/>
              <w:right w:w="20" w:type="dxa"/>
            </w:tcMar>
            <w:vAlign w:val="bottom"/>
          </w:tcPr>
          <w:p w14:paraId="33DA973C" w14:textId="77777777" w:rsidR="004D6A64" w:rsidRDefault="00506CD6">
            <w:pPr>
              <w:textAlignment w:val="bottom"/>
            </w:pPr>
            <w:r>
              <w:rPr>
                <w:rFonts w:ascii="Times New Roman" w:eastAsia="宋体" w:hAnsi="Times New Roman"/>
                <w:color w:val="000000"/>
                <w:sz w:val="20"/>
                <w:szCs w:val="20"/>
              </w:rPr>
              <w:t xml:space="preserve">Change in cash, cash </w:t>
            </w:r>
            <w:r>
              <w:rPr>
                <w:rFonts w:ascii="Times New Roman" w:eastAsia="宋体" w:hAnsi="Times New Roman"/>
                <w:color w:val="000000"/>
                <w:sz w:val="20"/>
                <w:szCs w:val="20"/>
              </w:rPr>
              <w:t>equivalents, and restricted cash</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3DA973D" w14:textId="77777777" w:rsidR="004D6A64" w:rsidRDefault="00506CD6">
            <w:pPr>
              <w:jc w:val="right"/>
              <w:textAlignment w:val="bottom"/>
            </w:pPr>
            <w:r>
              <w:rPr>
                <w:rFonts w:ascii="Times New Roman" w:eastAsia="宋体" w:hAnsi="Times New Roman"/>
                <w:color w:val="000000"/>
                <w:sz w:val="20"/>
                <w:szCs w:val="20"/>
              </w:rPr>
              <w:t>1,902 </w:t>
            </w:r>
          </w:p>
        </w:tc>
        <w:tc>
          <w:tcPr>
            <w:tcW w:w="0" w:type="auto"/>
            <w:tcBorders>
              <w:top w:val="single" w:sz="8" w:space="0" w:color="000000"/>
            </w:tcBorders>
            <w:shd w:val="clear" w:color="auto" w:fill="CCEEFF"/>
            <w:tcMar>
              <w:top w:w="40" w:type="dxa"/>
              <w:bottom w:w="40" w:type="dxa"/>
              <w:right w:w="20" w:type="dxa"/>
            </w:tcMar>
            <w:vAlign w:val="bottom"/>
          </w:tcPr>
          <w:p w14:paraId="33DA973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73F" w14:textId="77777777" w:rsidR="004D6A64" w:rsidRDefault="004D6A6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3DA9740" w14:textId="77777777" w:rsidR="004D6A64" w:rsidRDefault="00506CD6">
            <w:pPr>
              <w:jc w:val="right"/>
              <w:textAlignment w:val="bottom"/>
            </w:pPr>
            <w:r>
              <w:rPr>
                <w:rFonts w:ascii="Times New Roman" w:eastAsia="宋体" w:hAnsi="Times New Roman"/>
                <w:color w:val="000000"/>
                <w:sz w:val="20"/>
                <w:szCs w:val="20"/>
              </w:rPr>
              <w:t>(305)</w:t>
            </w:r>
          </w:p>
        </w:tc>
        <w:tc>
          <w:tcPr>
            <w:tcW w:w="0" w:type="auto"/>
            <w:tcBorders>
              <w:top w:val="single" w:sz="8" w:space="0" w:color="000000"/>
            </w:tcBorders>
            <w:shd w:val="clear" w:color="auto" w:fill="CCEEFF"/>
            <w:tcMar>
              <w:top w:w="40" w:type="dxa"/>
              <w:bottom w:w="40" w:type="dxa"/>
              <w:right w:w="20" w:type="dxa"/>
            </w:tcMar>
            <w:vAlign w:val="bottom"/>
          </w:tcPr>
          <w:p w14:paraId="33DA9741" w14:textId="77777777" w:rsidR="004D6A64" w:rsidRDefault="004D6A64">
            <w:pPr>
              <w:jc w:val="right"/>
              <w:rPr>
                <w:rFonts w:ascii="宋体"/>
              </w:rPr>
            </w:pPr>
          </w:p>
        </w:tc>
        <w:tc>
          <w:tcPr>
            <w:tcW w:w="0" w:type="auto"/>
            <w:shd w:val="clear" w:color="auto" w:fill="auto"/>
          </w:tcPr>
          <w:p w14:paraId="33DA9742" w14:textId="77777777" w:rsidR="004D6A64" w:rsidRDefault="004D6A64">
            <w:pPr>
              <w:rPr>
                <w:rFonts w:ascii="宋体"/>
              </w:rPr>
            </w:pPr>
          </w:p>
        </w:tc>
        <w:tc>
          <w:tcPr>
            <w:tcW w:w="0" w:type="auto"/>
            <w:shd w:val="clear" w:color="auto" w:fill="auto"/>
          </w:tcPr>
          <w:p w14:paraId="33DA9743" w14:textId="77777777" w:rsidR="004D6A64" w:rsidRDefault="004D6A64">
            <w:pPr>
              <w:rPr>
                <w:rFonts w:ascii="宋体"/>
              </w:rPr>
            </w:pPr>
          </w:p>
        </w:tc>
        <w:tc>
          <w:tcPr>
            <w:tcW w:w="0" w:type="auto"/>
            <w:shd w:val="clear" w:color="auto" w:fill="auto"/>
          </w:tcPr>
          <w:p w14:paraId="33DA9744" w14:textId="77777777" w:rsidR="004D6A64" w:rsidRDefault="004D6A64">
            <w:pPr>
              <w:rPr>
                <w:rFonts w:ascii="宋体"/>
              </w:rPr>
            </w:pPr>
          </w:p>
        </w:tc>
        <w:tc>
          <w:tcPr>
            <w:tcW w:w="0" w:type="auto"/>
            <w:shd w:val="clear" w:color="auto" w:fill="auto"/>
          </w:tcPr>
          <w:p w14:paraId="33DA9745" w14:textId="77777777" w:rsidR="004D6A64" w:rsidRDefault="004D6A64">
            <w:pPr>
              <w:rPr>
                <w:rFonts w:ascii="宋体"/>
              </w:rPr>
            </w:pPr>
          </w:p>
        </w:tc>
        <w:tc>
          <w:tcPr>
            <w:tcW w:w="0" w:type="auto"/>
            <w:shd w:val="clear" w:color="auto" w:fill="auto"/>
          </w:tcPr>
          <w:p w14:paraId="33DA9746" w14:textId="77777777" w:rsidR="004D6A64" w:rsidRDefault="004D6A64">
            <w:pPr>
              <w:rPr>
                <w:rFonts w:ascii="宋体"/>
              </w:rPr>
            </w:pPr>
          </w:p>
        </w:tc>
        <w:tc>
          <w:tcPr>
            <w:tcW w:w="0" w:type="auto"/>
            <w:shd w:val="clear" w:color="auto" w:fill="auto"/>
          </w:tcPr>
          <w:p w14:paraId="33DA9747" w14:textId="77777777" w:rsidR="004D6A64" w:rsidRDefault="004D6A64">
            <w:pPr>
              <w:rPr>
                <w:rFonts w:ascii="宋体"/>
              </w:rPr>
            </w:pPr>
          </w:p>
        </w:tc>
      </w:tr>
      <w:tr w:rsidR="004D6A64" w14:paraId="33DA9755" w14:textId="77777777">
        <w:trPr>
          <w:jc w:val="center"/>
        </w:trPr>
        <w:tc>
          <w:tcPr>
            <w:tcW w:w="0" w:type="auto"/>
            <w:gridSpan w:val="3"/>
            <w:shd w:val="clear" w:color="auto" w:fill="FFFFFF"/>
            <w:tcMar>
              <w:top w:w="40" w:type="dxa"/>
              <w:left w:w="20" w:type="dxa"/>
              <w:bottom w:w="40" w:type="dxa"/>
              <w:right w:w="20" w:type="dxa"/>
            </w:tcMar>
            <w:vAlign w:val="bottom"/>
          </w:tcPr>
          <w:p w14:paraId="33DA9749" w14:textId="77777777" w:rsidR="004D6A64" w:rsidRDefault="00506CD6">
            <w:pPr>
              <w:textAlignment w:val="bottom"/>
            </w:pPr>
            <w:r>
              <w:rPr>
                <w:rFonts w:ascii="Times New Roman" w:eastAsia="宋体" w:hAnsi="Times New Roman"/>
                <w:color w:val="000000"/>
                <w:sz w:val="20"/>
                <w:szCs w:val="20"/>
              </w:rPr>
              <w:t>Cash, cash equivalents, and restricted cash at beginning of the period</w:t>
            </w:r>
          </w:p>
        </w:tc>
        <w:tc>
          <w:tcPr>
            <w:tcW w:w="0" w:type="auto"/>
            <w:gridSpan w:val="2"/>
            <w:shd w:val="clear" w:color="auto" w:fill="FFFFFF"/>
            <w:tcMar>
              <w:top w:w="40" w:type="dxa"/>
              <w:left w:w="20" w:type="dxa"/>
              <w:bottom w:w="40" w:type="dxa"/>
              <w:right w:w="0" w:type="dxa"/>
            </w:tcMar>
            <w:vAlign w:val="bottom"/>
          </w:tcPr>
          <w:p w14:paraId="33DA974A" w14:textId="77777777" w:rsidR="004D6A64" w:rsidRDefault="00506CD6">
            <w:pPr>
              <w:jc w:val="right"/>
              <w:textAlignment w:val="bottom"/>
            </w:pPr>
            <w:r>
              <w:rPr>
                <w:rFonts w:ascii="Times New Roman" w:eastAsia="宋体" w:hAnsi="Times New Roman"/>
                <w:color w:val="000000"/>
                <w:sz w:val="20"/>
                <w:szCs w:val="20"/>
              </w:rPr>
              <w:t>10,151 </w:t>
            </w:r>
          </w:p>
        </w:tc>
        <w:tc>
          <w:tcPr>
            <w:tcW w:w="0" w:type="auto"/>
            <w:shd w:val="clear" w:color="auto" w:fill="FFFFFF"/>
            <w:tcMar>
              <w:top w:w="40" w:type="dxa"/>
              <w:bottom w:w="40" w:type="dxa"/>
              <w:right w:w="20" w:type="dxa"/>
            </w:tcMar>
            <w:vAlign w:val="bottom"/>
          </w:tcPr>
          <w:p w14:paraId="33DA974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74C"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74D" w14:textId="77777777" w:rsidR="004D6A64" w:rsidRDefault="00506CD6">
            <w:pPr>
              <w:jc w:val="right"/>
              <w:textAlignment w:val="bottom"/>
            </w:pPr>
            <w:r>
              <w:rPr>
                <w:rFonts w:ascii="Times New Roman" w:eastAsia="宋体" w:hAnsi="Times New Roman"/>
                <w:color w:val="000000"/>
                <w:sz w:val="20"/>
                <w:szCs w:val="20"/>
              </w:rPr>
              <w:t>10,240 </w:t>
            </w:r>
          </w:p>
        </w:tc>
        <w:tc>
          <w:tcPr>
            <w:tcW w:w="0" w:type="auto"/>
            <w:shd w:val="clear" w:color="auto" w:fill="FFFFFF"/>
            <w:tcMar>
              <w:top w:w="40" w:type="dxa"/>
              <w:bottom w:w="40" w:type="dxa"/>
              <w:right w:w="20" w:type="dxa"/>
            </w:tcMar>
            <w:vAlign w:val="bottom"/>
          </w:tcPr>
          <w:p w14:paraId="33DA974E" w14:textId="77777777" w:rsidR="004D6A64" w:rsidRDefault="004D6A64">
            <w:pPr>
              <w:jc w:val="right"/>
              <w:rPr>
                <w:rFonts w:ascii="宋体"/>
              </w:rPr>
            </w:pPr>
          </w:p>
        </w:tc>
        <w:tc>
          <w:tcPr>
            <w:tcW w:w="0" w:type="auto"/>
            <w:shd w:val="clear" w:color="auto" w:fill="auto"/>
          </w:tcPr>
          <w:p w14:paraId="33DA974F" w14:textId="77777777" w:rsidR="004D6A64" w:rsidRDefault="004D6A64">
            <w:pPr>
              <w:rPr>
                <w:rFonts w:ascii="宋体"/>
              </w:rPr>
            </w:pPr>
          </w:p>
        </w:tc>
        <w:tc>
          <w:tcPr>
            <w:tcW w:w="0" w:type="auto"/>
            <w:shd w:val="clear" w:color="auto" w:fill="auto"/>
          </w:tcPr>
          <w:p w14:paraId="33DA9750" w14:textId="77777777" w:rsidR="004D6A64" w:rsidRDefault="004D6A64">
            <w:pPr>
              <w:rPr>
                <w:rFonts w:ascii="宋体"/>
              </w:rPr>
            </w:pPr>
          </w:p>
        </w:tc>
        <w:tc>
          <w:tcPr>
            <w:tcW w:w="0" w:type="auto"/>
            <w:shd w:val="clear" w:color="auto" w:fill="auto"/>
          </w:tcPr>
          <w:p w14:paraId="33DA9751" w14:textId="77777777" w:rsidR="004D6A64" w:rsidRDefault="004D6A64">
            <w:pPr>
              <w:rPr>
                <w:rFonts w:ascii="宋体"/>
              </w:rPr>
            </w:pPr>
          </w:p>
        </w:tc>
        <w:tc>
          <w:tcPr>
            <w:tcW w:w="0" w:type="auto"/>
            <w:shd w:val="clear" w:color="auto" w:fill="auto"/>
          </w:tcPr>
          <w:p w14:paraId="33DA9752" w14:textId="77777777" w:rsidR="004D6A64" w:rsidRDefault="004D6A64">
            <w:pPr>
              <w:rPr>
                <w:rFonts w:ascii="宋体"/>
              </w:rPr>
            </w:pPr>
          </w:p>
        </w:tc>
        <w:tc>
          <w:tcPr>
            <w:tcW w:w="0" w:type="auto"/>
            <w:shd w:val="clear" w:color="auto" w:fill="auto"/>
          </w:tcPr>
          <w:p w14:paraId="33DA9753" w14:textId="77777777" w:rsidR="004D6A64" w:rsidRDefault="004D6A64">
            <w:pPr>
              <w:rPr>
                <w:rFonts w:ascii="宋体"/>
              </w:rPr>
            </w:pPr>
          </w:p>
        </w:tc>
        <w:tc>
          <w:tcPr>
            <w:tcW w:w="0" w:type="auto"/>
            <w:shd w:val="clear" w:color="auto" w:fill="auto"/>
          </w:tcPr>
          <w:p w14:paraId="33DA9754" w14:textId="77777777" w:rsidR="004D6A64" w:rsidRDefault="004D6A64">
            <w:pPr>
              <w:rPr>
                <w:rFonts w:ascii="宋体"/>
              </w:rPr>
            </w:pPr>
          </w:p>
        </w:tc>
      </w:tr>
      <w:tr w:rsidR="004D6A64" w14:paraId="33DA9764" w14:textId="77777777">
        <w:trPr>
          <w:jc w:val="center"/>
        </w:trPr>
        <w:tc>
          <w:tcPr>
            <w:tcW w:w="0" w:type="auto"/>
            <w:gridSpan w:val="3"/>
            <w:shd w:val="clear" w:color="auto" w:fill="CCEEFF"/>
            <w:tcMar>
              <w:top w:w="40" w:type="dxa"/>
              <w:left w:w="20" w:type="dxa"/>
              <w:bottom w:w="40" w:type="dxa"/>
              <w:right w:w="20" w:type="dxa"/>
            </w:tcMar>
            <w:vAlign w:val="bottom"/>
          </w:tcPr>
          <w:p w14:paraId="33DA9756" w14:textId="77777777" w:rsidR="004D6A64" w:rsidRDefault="00506CD6">
            <w:pPr>
              <w:textAlignment w:val="bottom"/>
            </w:pPr>
            <w:r>
              <w:rPr>
                <w:rFonts w:ascii="Times New Roman" w:eastAsia="宋体" w:hAnsi="Times New Roman"/>
                <w:color w:val="000000"/>
                <w:sz w:val="20"/>
                <w:szCs w:val="20"/>
              </w:rPr>
              <w:t>Cash, cash equivalents, and restricted cash at end of the period</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33DA9757"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33DA9758" w14:textId="77777777" w:rsidR="004D6A64" w:rsidRDefault="00506CD6">
            <w:pPr>
              <w:jc w:val="right"/>
              <w:textAlignment w:val="bottom"/>
            </w:pPr>
            <w:r>
              <w:rPr>
                <w:rFonts w:ascii="Times New Roman" w:eastAsia="宋体" w:hAnsi="Times New Roman"/>
                <w:color w:val="000000"/>
                <w:sz w:val="20"/>
                <w:szCs w:val="20"/>
              </w:rPr>
              <w:t>12,053 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33DA9759"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75A" w14:textId="77777777" w:rsidR="004D6A64" w:rsidRDefault="004D6A64">
            <w:pPr>
              <w:jc w:val="right"/>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33DA975B"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33DA975C" w14:textId="77777777" w:rsidR="004D6A64" w:rsidRDefault="00506CD6">
            <w:pPr>
              <w:jc w:val="right"/>
              <w:textAlignment w:val="bottom"/>
            </w:pPr>
            <w:r>
              <w:rPr>
                <w:rFonts w:ascii="Times New Roman" w:eastAsia="宋体" w:hAnsi="Times New Roman"/>
                <w:color w:val="000000"/>
                <w:sz w:val="20"/>
                <w:szCs w:val="20"/>
              </w:rPr>
              <w:t>9,935 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33DA975D" w14:textId="77777777" w:rsidR="004D6A64" w:rsidRDefault="004D6A64">
            <w:pPr>
              <w:jc w:val="right"/>
              <w:rPr>
                <w:rFonts w:ascii="宋体"/>
              </w:rPr>
            </w:pPr>
          </w:p>
        </w:tc>
        <w:tc>
          <w:tcPr>
            <w:tcW w:w="0" w:type="auto"/>
            <w:shd w:val="clear" w:color="auto" w:fill="auto"/>
          </w:tcPr>
          <w:p w14:paraId="33DA975E" w14:textId="77777777" w:rsidR="004D6A64" w:rsidRDefault="004D6A64">
            <w:pPr>
              <w:rPr>
                <w:rFonts w:ascii="宋体"/>
              </w:rPr>
            </w:pPr>
          </w:p>
        </w:tc>
        <w:tc>
          <w:tcPr>
            <w:tcW w:w="0" w:type="auto"/>
            <w:shd w:val="clear" w:color="auto" w:fill="auto"/>
          </w:tcPr>
          <w:p w14:paraId="33DA975F" w14:textId="77777777" w:rsidR="004D6A64" w:rsidRDefault="004D6A64">
            <w:pPr>
              <w:rPr>
                <w:rFonts w:ascii="宋体"/>
              </w:rPr>
            </w:pPr>
          </w:p>
        </w:tc>
        <w:tc>
          <w:tcPr>
            <w:tcW w:w="0" w:type="auto"/>
            <w:shd w:val="clear" w:color="auto" w:fill="auto"/>
          </w:tcPr>
          <w:p w14:paraId="33DA9760" w14:textId="77777777" w:rsidR="004D6A64" w:rsidRDefault="004D6A64">
            <w:pPr>
              <w:rPr>
                <w:rFonts w:ascii="宋体"/>
              </w:rPr>
            </w:pPr>
          </w:p>
        </w:tc>
        <w:tc>
          <w:tcPr>
            <w:tcW w:w="0" w:type="auto"/>
            <w:shd w:val="clear" w:color="auto" w:fill="auto"/>
          </w:tcPr>
          <w:p w14:paraId="33DA9761" w14:textId="77777777" w:rsidR="004D6A64" w:rsidRDefault="004D6A64">
            <w:pPr>
              <w:rPr>
                <w:rFonts w:ascii="宋体"/>
              </w:rPr>
            </w:pPr>
          </w:p>
        </w:tc>
        <w:tc>
          <w:tcPr>
            <w:tcW w:w="0" w:type="auto"/>
            <w:shd w:val="clear" w:color="auto" w:fill="auto"/>
          </w:tcPr>
          <w:p w14:paraId="33DA9762" w14:textId="77777777" w:rsidR="004D6A64" w:rsidRDefault="004D6A64">
            <w:pPr>
              <w:rPr>
                <w:rFonts w:ascii="宋体"/>
              </w:rPr>
            </w:pPr>
          </w:p>
        </w:tc>
        <w:tc>
          <w:tcPr>
            <w:tcW w:w="0" w:type="auto"/>
            <w:shd w:val="clear" w:color="auto" w:fill="auto"/>
          </w:tcPr>
          <w:p w14:paraId="33DA9763" w14:textId="77777777" w:rsidR="004D6A64" w:rsidRDefault="004D6A64">
            <w:pPr>
              <w:rPr>
                <w:rFonts w:ascii="宋体"/>
              </w:rPr>
            </w:pPr>
          </w:p>
        </w:tc>
      </w:tr>
    </w:tbl>
    <w:p w14:paraId="33DA9765" w14:textId="77777777" w:rsidR="004D6A64" w:rsidRDefault="004D6A64">
      <w:pPr>
        <w:spacing w:after="60"/>
      </w:pPr>
    </w:p>
    <w:p w14:paraId="33DA9766" w14:textId="77777777" w:rsidR="004D6A64" w:rsidRDefault="00506CD6">
      <w:pPr>
        <w:jc w:val="center"/>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accompanying notes are an integral part of these Condensed Consolidated Financial Statements.</w:t>
      </w:r>
    </w:p>
    <w:p w14:paraId="33DA9767" w14:textId="77777777" w:rsidR="004D6A64" w:rsidRDefault="004D6A64">
      <w:pPr>
        <w:spacing w:after="60"/>
        <w:jc w:val="center"/>
      </w:pPr>
    </w:p>
    <w:p w14:paraId="33DA9768" w14:textId="77777777" w:rsidR="004D6A64" w:rsidRDefault="004D6A64">
      <w:pPr>
        <w:jc w:val="center"/>
      </w:pPr>
    </w:p>
    <w:p w14:paraId="33DA9769" w14:textId="77777777" w:rsidR="004D6A64" w:rsidRDefault="00506CD6">
      <w:pPr>
        <w:jc w:val="center"/>
      </w:pPr>
      <w:r>
        <w:rPr>
          <w:rFonts w:ascii="Times New Roman" w:eastAsia="宋体" w:hAnsi="Times New Roman"/>
          <w:color w:val="000000"/>
          <w:sz w:val="20"/>
          <w:szCs w:val="20"/>
        </w:rPr>
        <w:t>8</w:t>
      </w:r>
    </w:p>
    <w:p w14:paraId="33DA976A" w14:textId="77777777" w:rsidR="004D6A64" w:rsidRDefault="004D6A64">
      <w:pPr>
        <w:jc w:val="center"/>
      </w:pPr>
    </w:p>
    <w:p w14:paraId="33DA976B" w14:textId="77777777" w:rsidR="004D6A64" w:rsidRDefault="00506CD6">
      <w:r>
        <w:pict w14:anchorId="33DAFACC">
          <v:rect id="_x0000_i1032" style="width:415.3pt;height:1.5pt" o:hralign="center" o:hrstd="t" o:hr="t" fillcolor="#a0a0a0" stroked="f"/>
        </w:pict>
      </w:r>
    </w:p>
    <w:p w14:paraId="33DA976C" w14:textId="77777777" w:rsidR="004D6A64" w:rsidRDefault="00506CD6">
      <w:hyperlink r:id="rId131" w:anchor="if3e0e1bf9ecd4bf69551d7a85f98d64a_10" w:history="1">
        <w:r>
          <w:rPr>
            <w:rStyle w:val="a5"/>
            <w:rFonts w:ascii="Times New Roman" w:eastAsia="宋体" w:hAnsi="Times New Roman"/>
            <w:sz w:val="20"/>
            <w:szCs w:val="20"/>
          </w:rPr>
          <w:t>Tabl</w:t>
        </w:r>
        <w:r>
          <w:rPr>
            <w:rStyle w:val="a5"/>
            <w:rFonts w:ascii="Times New Roman" w:eastAsia="宋体" w:hAnsi="Times New Roman"/>
            <w:sz w:val="20"/>
            <w:szCs w:val="20"/>
          </w:rPr>
          <w:t>e of Contents</w:t>
        </w:r>
      </w:hyperlink>
    </w:p>
    <w:p w14:paraId="33DA976D" w14:textId="77777777" w:rsidR="004D6A64" w:rsidRDefault="00506CD6">
      <w:pPr>
        <w:spacing w:after="120"/>
        <w:jc w:val="center"/>
      </w:pPr>
      <w:r>
        <w:rPr>
          <w:rFonts w:ascii="Times New Roman" w:eastAsia="宋体" w:hAnsi="Times New Roman"/>
          <w:b/>
          <w:bCs/>
          <w:color w:val="000000"/>
          <w:sz w:val="20"/>
          <w:szCs w:val="20"/>
        </w:rPr>
        <w:t>DELL TECHNOLOGIES INC.</w:t>
      </w:r>
    </w:p>
    <w:p w14:paraId="33DA976E" w14:textId="77777777" w:rsidR="004D6A64" w:rsidRDefault="00506CD6">
      <w:pPr>
        <w:spacing w:after="60"/>
        <w:jc w:val="center"/>
      </w:pPr>
      <w:r>
        <w:rPr>
          <w:rFonts w:ascii="Times New Roman" w:eastAsia="宋体" w:hAnsi="Times New Roman"/>
          <w:b/>
          <w:bCs/>
          <w:color w:val="000000"/>
          <w:sz w:val="20"/>
          <w:szCs w:val="20"/>
        </w:rPr>
        <w:t>CONDENSED CONSOLIDATED STATEMENTS OF STOCKHOLDERS’ EQUITY (DEFICIT)</w:t>
      </w:r>
    </w:p>
    <w:p w14:paraId="33DA976F" w14:textId="77777777" w:rsidR="004D6A64" w:rsidRDefault="00506CD6">
      <w:pPr>
        <w:jc w:val="center"/>
      </w:pPr>
      <w:r>
        <w:rPr>
          <w:rFonts w:ascii="Times New Roman" w:eastAsia="宋体" w:hAnsi="Times New Roman"/>
          <w:color w:val="000000"/>
          <w:sz w:val="20"/>
          <w:szCs w:val="20"/>
          <w:shd w:val="clear" w:color="auto" w:fill="FFFFFF"/>
        </w:rPr>
        <w:t xml:space="preserve">(in millions; continued on next page; </w:t>
      </w:r>
      <w:r>
        <w:rPr>
          <w:rFonts w:ascii="Times New Roman" w:eastAsia="宋体" w:hAnsi="Times New Roman"/>
          <w:color w:val="000000"/>
          <w:sz w:val="20"/>
          <w:szCs w:val="20"/>
        </w:rPr>
        <w:t>unaudited)</w:t>
      </w:r>
    </w:p>
    <w:p w14:paraId="33DA9770" w14:textId="77777777" w:rsidR="004D6A64" w:rsidRDefault="004D6A64">
      <w:pPr>
        <w:jc w:val="center"/>
      </w:pPr>
    </w:p>
    <w:p w14:paraId="33DA9771" w14:textId="77777777" w:rsidR="004D6A64" w:rsidRDefault="00506CD6">
      <w:r>
        <w:rPr>
          <w:rFonts w:ascii="Times New Roman" w:eastAsia="宋体" w:hAnsi="Times New Roman"/>
          <w:b/>
          <w:bCs/>
          <w:color w:val="000000"/>
          <w:sz w:val="20"/>
          <w:szCs w:val="20"/>
        </w:rPr>
        <w:t>Three Months Ended July 31, 2020</w:t>
      </w:r>
    </w:p>
    <w:tbl>
      <w:tblPr>
        <w:tblW w:w="5000" w:type="pct"/>
        <w:tblCellMar>
          <w:top w:w="15" w:type="dxa"/>
          <w:left w:w="15" w:type="dxa"/>
          <w:bottom w:w="15" w:type="dxa"/>
          <w:right w:w="15" w:type="dxa"/>
        </w:tblCellMar>
        <w:tblLook w:val="04A0" w:firstRow="1" w:lastRow="0" w:firstColumn="1" w:lastColumn="0" w:noHBand="0" w:noVBand="1"/>
      </w:tblPr>
      <w:tblGrid>
        <w:gridCol w:w="155"/>
        <w:gridCol w:w="829"/>
        <w:gridCol w:w="36"/>
        <w:gridCol w:w="73"/>
        <w:gridCol w:w="323"/>
        <w:gridCol w:w="40"/>
        <w:gridCol w:w="40"/>
        <w:gridCol w:w="31"/>
        <w:gridCol w:w="34"/>
        <w:gridCol w:w="104"/>
        <w:gridCol w:w="422"/>
        <w:gridCol w:w="39"/>
        <w:gridCol w:w="40"/>
        <w:gridCol w:w="31"/>
        <w:gridCol w:w="34"/>
        <w:gridCol w:w="72"/>
        <w:gridCol w:w="322"/>
        <w:gridCol w:w="39"/>
        <w:gridCol w:w="40"/>
        <w:gridCol w:w="31"/>
        <w:gridCol w:w="34"/>
        <w:gridCol w:w="104"/>
        <w:gridCol w:w="392"/>
        <w:gridCol w:w="39"/>
        <w:gridCol w:w="40"/>
        <w:gridCol w:w="31"/>
        <w:gridCol w:w="34"/>
        <w:gridCol w:w="104"/>
        <w:gridCol w:w="627"/>
        <w:gridCol w:w="39"/>
        <w:gridCol w:w="40"/>
        <w:gridCol w:w="31"/>
        <w:gridCol w:w="34"/>
        <w:gridCol w:w="104"/>
        <w:gridCol w:w="744"/>
        <w:gridCol w:w="39"/>
        <w:gridCol w:w="40"/>
        <w:gridCol w:w="31"/>
        <w:gridCol w:w="34"/>
        <w:gridCol w:w="104"/>
        <w:gridCol w:w="655"/>
        <w:gridCol w:w="39"/>
        <w:gridCol w:w="40"/>
        <w:gridCol w:w="31"/>
        <w:gridCol w:w="34"/>
        <w:gridCol w:w="131"/>
        <w:gridCol w:w="760"/>
        <w:gridCol w:w="39"/>
        <w:gridCol w:w="40"/>
        <w:gridCol w:w="31"/>
        <w:gridCol w:w="34"/>
        <w:gridCol w:w="104"/>
        <w:gridCol w:w="654"/>
        <w:gridCol w:w="39"/>
        <w:gridCol w:w="40"/>
        <w:gridCol w:w="31"/>
        <w:gridCol w:w="34"/>
        <w:gridCol w:w="40"/>
        <w:gridCol w:w="31"/>
        <w:gridCol w:w="34"/>
        <w:gridCol w:w="40"/>
        <w:gridCol w:w="31"/>
        <w:gridCol w:w="44"/>
      </w:tblGrid>
      <w:tr w:rsidR="004D6A64" w14:paraId="33DA97A8" w14:textId="77777777">
        <w:trPr>
          <w:gridAfter w:val="9"/>
        </w:trPr>
        <w:tc>
          <w:tcPr>
            <w:tcW w:w="50" w:type="pct"/>
            <w:shd w:val="clear" w:color="auto" w:fill="auto"/>
          </w:tcPr>
          <w:p w14:paraId="33DA9772" w14:textId="77777777" w:rsidR="004D6A64" w:rsidRDefault="004D6A64">
            <w:pPr>
              <w:rPr>
                <w:rFonts w:ascii="宋体"/>
              </w:rPr>
            </w:pPr>
          </w:p>
        </w:tc>
        <w:tc>
          <w:tcPr>
            <w:tcW w:w="1286" w:type="pct"/>
            <w:shd w:val="clear" w:color="auto" w:fill="auto"/>
          </w:tcPr>
          <w:p w14:paraId="33DA9773" w14:textId="77777777" w:rsidR="004D6A64" w:rsidRDefault="004D6A64">
            <w:pPr>
              <w:rPr>
                <w:rFonts w:ascii="宋体"/>
              </w:rPr>
            </w:pPr>
          </w:p>
        </w:tc>
        <w:tc>
          <w:tcPr>
            <w:tcW w:w="5" w:type="pct"/>
            <w:shd w:val="clear" w:color="auto" w:fill="auto"/>
          </w:tcPr>
          <w:p w14:paraId="33DA9774" w14:textId="77777777" w:rsidR="004D6A64" w:rsidRDefault="004D6A64">
            <w:pPr>
              <w:rPr>
                <w:rFonts w:ascii="宋体"/>
              </w:rPr>
            </w:pPr>
          </w:p>
        </w:tc>
        <w:tc>
          <w:tcPr>
            <w:tcW w:w="50" w:type="pct"/>
            <w:shd w:val="clear" w:color="auto" w:fill="auto"/>
          </w:tcPr>
          <w:p w14:paraId="33DA9775" w14:textId="77777777" w:rsidR="004D6A64" w:rsidRDefault="004D6A64">
            <w:pPr>
              <w:rPr>
                <w:rFonts w:ascii="宋体"/>
              </w:rPr>
            </w:pPr>
          </w:p>
        </w:tc>
        <w:tc>
          <w:tcPr>
            <w:tcW w:w="264" w:type="pct"/>
            <w:shd w:val="clear" w:color="auto" w:fill="auto"/>
          </w:tcPr>
          <w:p w14:paraId="33DA9776" w14:textId="77777777" w:rsidR="004D6A64" w:rsidRDefault="004D6A64">
            <w:pPr>
              <w:rPr>
                <w:rFonts w:ascii="宋体"/>
              </w:rPr>
            </w:pPr>
          </w:p>
        </w:tc>
        <w:tc>
          <w:tcPr>
            <w:tcW w:w="5" w:type="pct"/>
            <w:shd w:val="clear" w:color="auto" w:fill="auto"/>
          </w:tcPr>
          <w:p w14:paraId="33DA9777" w14:textId="77777777" w:rsidR="004D6A64" w:rsidRDefault="004D6A64">
            <w:pPr>
              <w:rPr>
                <w:rFonts w:ascii="宋体"/>
              </w:rPr>
            </w:pPr>
          </w:p>
        </w:tc>
        <w:tc>
          <w:tcPr>
            <w:tcW w:w="5" w:type="pct"/>
            <w:shd w:val="clear" w:color="auto" w:fill="auto"/>
          </w:tcPr>
          <w:p w14:paraId="33DA9778" w14:textId="77777777" w:rsidR="004D6A64" w:rsidRDefault="004D6A64">
            <w:pPr>
              <w:rPr>
                <w:rFonts w:ascii="宋体"/>
              </w:rPr>
            </w:pPr>
          </w:p>
        </w:tc>
        <w:tc>
          <w:tcPr>
            <w:tcW w:w="11" w:type="pct"/>
            <w:shd w:val="clear" w:color="auto" w:fill="auto"/>
          </w:tcPr>
          <w:p w14:paraId="33DA9779" w14:textId="77777777" w:rsidR="004D6A64" w:rsidRDefault="004D6A64">
            <w:pPr>
              <w:rPr>
                <w:rFonts w:ascii="宋体"/>
              </w:rPr>
            </w:pPr>
          </w:p>
        </w:tc>
        <w:tc>
          <w:tcPr>
            <w:tcW w:w="5" w:type="pct"/>
            <w:shd w:val="clear" w:color="auto" w:fill="auto"/>
          </w:tcPr>
          <w:p w14:paraId="33DA977A" w14:textId="77777777" w:rsidR="004D6A64" w:rsidRDefault="004D6A64">
            <w:pPr>
              <w:rPr>
                <w:rFonts w:ascii="宋体"/>
              </w:rPr>
            </w:pPr>
          </w:p>
        </w:tc>
        <w:tc>
          <w:tcPr>
            <w:tcW w:w="50" w:type="pct"/>
            <w:shd w:val="clear" w:color="auto" w:fill="auto"/>
          </w:tcPr>
          <w:p w14:paraId="33DA977B" w14:textId="77777777" w:rsidR="004D6A64" w:rsidRDefault="004D6A64">
            <w:pPr>
              <w:rPr>
                <w:rFonts w:ascii="宋体"/>
              </w:rPr>
            </w:pPr>
          </w:p>
        </w:tc>
        <w:tc>
          <w:tcPr>
            <w:tcW w:w="307" w:type="pct"/>
            <w:shd w:val="clear" w:color="auto" w:fill="auto"/>
          </w:tcPr>
          <w:p w14:paraId="33DA977C" w14:textId="77777777" w:rsidR="004D6A64" w:rsidRDefault="004D6A64">
            <w:pPr>
              <w:rPr>
                <w:rFonts w:ascii="宋体"/>
              </w:rPr>
            </w:pPr>
          </w:p>
        </w:tc>
        <w:tc>
          <w:tcPr>
            <w:tcW w:w="5" w:type="pct"/>
            <w:shd w:val="clear" w:color="auto" w:fill="auto"/>
          </w:tcPr>
          <w:p w14:paraId="33DA977D" w14:textId="77777777" w:rsidR="004D6A64" w:rsidRDefault="004D6A64">
            <w:pPr>
              <w:rPr>
                <w:rFonts w:ascii="宋体"/>
              </w:rPr>
            </w:pPr>
          </w:p>
        </w:tc>
        <w:tc>
          <w:tcPr>
            <w:tcW w:w="5" w:type="pct"/>
            <w:shd w:val="clear" w:color="auto" w:fill="auto"/>
          </w:tcPr>
          <w:p w14:paraId="33DA977E" w14:textId="77777777" w:rsidR="004D6A64" w:rsidRDefault="004D6A64">
            <w:pPr>
              <w:rPr>
                <w:rFonts w:ascii="宋体"/>
              </w:rPr>
            </w:pPr>
          </w:p>
        </w:tc>
        <w:tc>
          <w:tcPr>
            <w:tcW w:w="11" w:type="pct"/>
            <w:shd w:val="clear" w:color="auto" w:fill="auto"/>
          </w:tcPr>
          <w:p w14:paraId="33DA977F" w14:textId="77777777" w:rsidR="004D6A64" w:rsidRDefault="004D6A64">
            <w:pPr>
              <w:rPr>
                <w:rFonts w:ascii="宋体"/>
              </w:rPr>
            </w:pPr>
          </w:p>
        </w:tc>
        <w:tc>
          <w:tcPr>
            <w:tcW w:w="5" w:type="pct"/>
            <w:shd w:val="clear" w:color="auto" w:fill="auto"/>
          </w:tcPr>
          <w:p w14:paraId="33DA9780" w14:textId="77777777" w:rsidR="004D6A64" w:rsidRDefault="004D6A64">
            <w:pPr>
              <w:rPr>
                <w:rFonts w:ascii="宋体"/>
              </w:rPr>
            </w:pPr>
          </w:p>
        </w:tc>
        <w:tc>
          <w:tcPr>
            <w:tcW w:w="50" w:type="pct"/>
            <w:shd w:val="clear" w:color="auto" w:fill="auto"/>
          </w:tcPr>
          <w:p w14:paraId="33DA9781" w14:textId="77777777" w:rsidR="004D6A64" w:rsidRDefault="004D6A64">
            <w:pPr>
              <w:rPr>
                <w:rFonts w:ascii="宋体"/>
              </w:rPr>
            </w:pPr>
          </w:p>
        </w:tc>
        <w:tc>
          <w:tcPr>
            <w:tcW w:w="264" w:type="pct"/>
            <w:shd w:val="clear" w:color="auto" w:fill="auto"/>
          </w:tcPr>
          <w:p w14:paraId="33DA9782" w14:textId="77777777" w:rsidR="004D6A64" w:rsidRDefault="004D6A64">
            <w:pPr>
              <w:rPr>
                <w:rFonts w:ascii="宋体"/>
              </w:rPr>
            </w:pPr>
          </w:p>
        </w:tc>
        <w:tc>
          <w:tcPr>
            <w:tcW w:w="5" w:type="pct"/>
            <w:shd w:val="clear" w:color="auto" w:fill="auto"/>
          </w:tcPr>
          <w:p w14:paraId="33DA9783" w14:textId="77777777" w:rsidR="004D6A64" w:rsidRDefault="004D6A64">
            <w:pPr>
              <w:rPr>
                <w:rFonts w:ascii="宋体"/>
              </w:rPr>
            </w:pPr>
          </w:p>
        </w:tc>
        <w:tc>
          <w:tcPr>
            <w:tcW w:w="5" w:type="pct"/>
            <w:shd w:val="clear" w:color="auto" w:fill="auto"/>
          </w:tcPr>
          <w:p w14:paraId="33DA9784" w14:textId="77777777" w:rsidR="004D6A64" w:rsidRDefault="004D6A64">
            <w:pPr>
              <w:rPr>
                <w:rFonts w:ascii="宋体"/>
              </w:rPr>
            </w:pPr>
          </w:p>
        </w:tc>
        <w:tc>
          <w:tcPr>
            <w:tcW w:w="11" w:type="pct"/>
            <w:shd w:val="clear" w:color="auto" w:fill="auto"/>
          </w:tcPr>
          <w:p w14:paraId="33DA9785" w14:textId="77777777" w:rsidR="004D6A64" w:rsidRDefault="004D6A64">
            <w:pPr>
              <w:rPr>
                <w:rFonts w:ascii="宋体"/>
              </w:rPr>
            </w:pPr>
          </w:p>
        </w:tc>
        <w:tc>
          <w:tcPr>
            <w:tcW w:w="5" w:type="pct"/>
            <w:shd w:val="clear" w:color="auto" w:fill="auto"/>
          </w:tcPr>
          <w:p w14:paraId="33DA9786" w14:textId="77777777" w:rsidR="004D6A64" w:rsidRDefault="004D6A64">
            <w:pPr>
              <w:rPr>
                <w:rFonts w:ascii="宋体"/>
              </w:rPr>
            </w:pPr>
          </w:p>
        </w:tc>
        <w:tc>
          <w:tcPr>
            <w:tcW w:w="50" w:type="pct"/>
            <w:shd w:val="clear" w:color="auto" w:fill="auto"/>
          </w:tcPr>
          <w:p w14:paraId="33DA9787" w14:textId="77777777" w:rsidR="004D6A64" w:rsidRDefault="004D6A64">
            <w:pPr>
              <w:rPr>
                <w:rFonts w:ascii="宋体"/>
              </w:rPr>
            </w:pPr>
          </w:p>
        </w:tc>
        <w:tc>
          <w:tcPr>
            <w:tcW w:w="307" w:type="pct"/>
            <w:shd w:val="clear" w:color="auto" w:fill="auto"/>
          </w:tcPr>
          <w:p w14:paraId="33DA9788" w14:textId="77777777" w:rsidR="004D6A64" w:rsidRDefault="004D6A64">
            <w:pPr>
              <w:rPr>
                <w:rFonts w:ascii="宋体"/>
              </w:rPr>
            </w:pPr>
          </w:p>
        </w:tc>
        <w:tc>
          <w:tcPr>
            <w:tcW w:w="5" w:type="pct"/>
            <w:shd w:val="clear" w:color="auto" w:fill="auto"/>
          </w:tcPr>
          <w:p w14:paraId="33DA9789" w14:textId="77777777" w:rsidR="004D6A64" w:rsidRDefault="004D6A64">
            <w:pPr>
              <w:rPr>
                <w:rFonts w:ascii="宋体"/>
              </w:rPr>
            </w:pPr>
          </w:p>
        </w:tc>
        <w:tc>
          <w:tcPr>
            <w:tcW w:w="5" w:type="pct"/>
            <w:shd w:val="clear" w:color="auto" w:fill="auto"/>
          </w:tcPr>
          <w:p w14:paraId="33DA978A" w14:textId="77777777" w:rsidR="004D6A64" w:rsidRDefault="004D6A64">
            <w:pPr>
              <w:rPr>
                <w:rFonts w:ascii="宋体"/>
              </w:rPr>
            </w:pPr>
          </w:p>
        </w:tc>
        <w:tc>
          <w:tcPr>
            <w:tcW w:w="11" w:type="pct"/>
            <w:shd w:val="clear" w:color="auto" w:fill="auto"/>
          </w:tcPr>
          <w:p w14:paraId="33DA978B" w14:textId="77777777" w:rsidR="004D6A64" w:rsidRDefault="004D6A64">
            <w:pPr>
              <w:rPr>
                <w:rFonts w:ascii="宋体"/>
              </w:rPr>
            </w:pPr>
          </w:p>
        </w:tc>
        <w:tc>
          <w:tcPr>
            <w:tcW w:w="5" w:type="pct"/>
            <w:shd w:val="clear" w:color="auto" w:fill="auto"/>
          </w:tcPr>
          <w:p w14:paraId="33DA978C" w14:textId="77777777" w:rsidR="004D6A64" w:rsidRDefault="004D6A64">
            <w:pPr>
              <w:rPr>
                <w:rFonts w:ascii="宋体"/>
              </w:rPr>
            </w:pPr>
          </w:p>
        </w:tc>
        <w:tc>
          <w:tcPr>
            <w:tcW w:w="50" w:type="pct"/>
            <w:shd w:val="clear" w:color="auto" w:fill="auto"/>
          </w:tcPr>
          <w:p w14:paraId="33DA978D" w14:textId="77777777" w:rsidR="004D6A64" w:rsidRDefault="004D6A64">
            <w:pPr>
              <w:rPr>
                <w:rFonts w:ascii="宋体"/>
              </w:rPr>
            </w:pPr>
          </w:p>
        </w:tc>
        <w:tc>
          <w:tcPr>
            <w:tcW w:w="361" w:type="pct"/>
            <w:shd w:val="clear" w:color="auto" w:fill="auto"/>
          </w:tcPr>
          <w:p w14:paraId="33DA978E" w14:textId="77777777" w:rsidR="004D6A64" w:rsidRDefault="004D6A64">
            <w:pPr>
              <w:rPr>
                <w:rFonts w:ascii="宋体"/>
              </w:rPr>
            </w:pPr>
          </w:p>
        </w:tc>
        <w:tc>
          <w:tcPr>
            <w:tcW w:w="5" w:type="pct"/>
            <w:shd w:val="clear" w:color="auto" w:fill="auto"/>
          </w:tcPr>
          <w:p w14:paraId="33DA978F" w14:textId="77777777" w:rsidR="004D6A64" w:rsidRDefault="004D6A64">
            <w:pPr>
              <w:rPr>
                <w:rFonts w:ascii="宋体"/>
              </w:rPr>
            </w:pPr>
          </w:p>
        </w:tc>
        <w:tc>
          <w:tcPr>
            <w:tcW w:w="5" w:type="pct"/>
            <w:shd w:val="clear" w:color="auto" w:fill="auto"/>
          </w:tcPr>
          <w:p w14:paraId="33DA9790" w14:textId="77777777" w:rsidR="004D6A64" w:rsidRDefault="004D6A64">
            <w:pPr>
              <w:rPr>
                <w:rFonts w:ascii="宋体"/>
              </w:rPr>
            </w:pPr>
          </w:p>
        </w:tc>
        <w:tc>
          <w:tcPr>
            <w:tcW w:w="11" w:type="pct"/>
            <w:shd w:val="clear" w:color="auto" w:fill="auto"/>
          </w:tcPr>
          <w:p w14:paraId="33DA9791" w14:textId="77777777" w:rsidR="004D6A64" w:rsidRDefault="004D6A64">
            <w:pPr>
              <w:rPr>
                <w:rFonts w:ascii="宋体"/>
              </w:rPr>
            </w:pPr>
          </w:p>
        </w:tc>
        <w:tc>
          <w:tcPr>
            <w:tcW w:w="5" w:type="pct"/>
            <w:shd w:val="clear" w:color="auto" w:fill="auto"/>
          </w:tcPr>
          <w:p w14:paraId="33DA9792" w14:textId="77777777" w:rsidR="004D6A64" w:rsidRDefault="004D6A64">
            <w:pPr>
              <w:rPr>
                <w:rFonts w:ascii="宋体"/>
              </w:rPr>
            </w:pPr>
          </w:p>
        </w:tc>
        <w:tc>
          <w:tcPr>
            <w:tcW w:w="50" w:type="pct"/>
            <w:shd w:val="clear" w:color="auto" w:fill="auto"/>
          </w:tcPr>
          <w:p w14:paraId="33DA9793" w14:textId="77777777" w:rsidR="004D6A64" w:rsidRDefault="004D6A64">
            <w:pPr>
              <w:rPr>
                <w:rFonts w:ascii="宋体"/>
              </w:rPr>
            </w:pPr>
          </w:p>
        </w:tc>
        <w:tc>
          <w:tcPr>
            <w:tcW w:w="415" w:type="pct"/>
            <w:shd w:val="clear" w:color="auto" w:fill="auto"/>
          </w:tcPr>
          <w:p w14:paraId="33DA9794" w14:textId="77777777" w:rsidR="004D6A64" w:rsidRDefault="004D6A64">
            <w:pPr>
              <w:rPr>
                <w:rFonts w:ascii="宋体"/>
              </w:rPr>
            </w:pPr>
          </w:p>
        </w:tc>
        <w:tc>
          <w:tcPr>
            <w:tcW w:w="5" w:type="pct"/>
            <w:shd w:val="clear" w:color="auto" w:fill="auto"/>
          </w:tcPr>
          <w:p w14:paraId="33DA9795" w14:textId="77777777" w:rsidR="004D6A64" w:rsidRDefault="004D6A64">
            <w:pPr>
              <w:rPr>
                <w:rFonts w:ascii="宋体"/>
              </w:rPr>
            </w:pPr>
          </w:p>
        </w:tc>
        <w:tc>
          <w:tcPr>
            <w:tcW w:w="5" w:type="pct"/>
            <w:shd w:val="clear" w:color="auto" w:fill="auto"/>
          </w:tcPr>
          <w:p w14:paraId="33DA9796" w14:textId="77777777" w:rsidR="004D6A64" w:rsidRDefault="004D6A64">
            <w:pPr>
              <w:rPr>
                <w:rFonts w:ascii="宋体"/>
              </w:rPr>
            </w:pPr>
          </w:p>
        </w:tc>
        <w:tc>
          <w:tcPr>
            <w:tcW w:w="11" w:type="pct"/>
            <w:shd w:val="clear" w:color="auto" w:fill="auto"/>
          </w:tcPr>
          <w:p w14:paraId="33DA9797" w14:textId="77777777" w:rsidR="004D6A64" w:rsidRDefault="004D6A64">
            <w:pPr>
              <w:rPr>
                <w:rFonts w:ascii="宋体"/>
              </w:rPr>
            </w:pPr>
          </w:p>
        </w:tc>
        <w:tc>
          <w:tcPr>
            <w:tcW w:w="5" w:type="pct"/>
            <w:shd w:val="clear" w:color="auto" w:fill="auto"/>
          </w:tcPr>
          <w:p w14:paraId="33DA9798" w14:textId="77777777" w:rsidR="004D6A64" w:rsidRDefault="004D6A64">
            <w:pPr>
              <w:rPr>
                <w:rFonts w:ascii="宋体"/>
              </w:rPr>
            </w:pPr>
          </w:p>
        </w:tc>
        <w:tc>
          <w:tcPr>
            <w:tcW w:w="50" w:type="pct"/>
            <w:shd w:val="clear" w:color="auto" w:fill="auto"/>
          </w:tcPr>
          <w:p w14:paraId="33DA9799" w14:textId="77777777" w:rsidR="004D6A64" w:rsidRDefault="004D6A64">
            <w:pPr>
              <w:rPr>
                <w:rFonts w:ascii="宋体"/>
              </w:rPr>
            </w:pPr>
          </w:p>
        </w:tc>
        <w:tc>
          <w:tcPr>
            <w:tcW w:w="377" w:type="pct"/>
            <w:shd w:val="clear" w:color="auto" w:fill="auto"/>
          </w:tcPr>
          <w:p w14:paraId="33DA979A" w14:textId="77777777" w:rsidR="004D6A64" w:rsidRDefault="004D6A64">
            <w:pPr>
              <w:rPr>
                <w:rFonts w:ascii="宋体"/>
              </w:rPr>
            </w:pPr>
          </w:p>
        </w:tc>
        <w:tc>
          <w:tcPr>
            <w:tcW w:w="5" w:type="pct"/>
            <w:shd w:val="clear" w:color="auto" w:fill="auto"/>
          </w:tcPr>
          <w:p w14:paraId="33DA979B" w14:textId="77777777" w:rsidR="004D6A64" w:rsidRDefault="004D6A64">
            <w:pPr>
              <w:rPr>
                <w:rFonts w:ascii="宋体"/>
              </w:rPr>
            </w:pPr>
          </w:p>
        </w:tc>
        <w:tc>
          <w:tcPr>
            <w:tcW w:w="5" w:type="pct"/>
            <w:shd w:val="clear" w:color="auto" w:fill="auto"/>
          </w:tcPr>
          <w:p w14:paraId="33DA979C" w14:textId="77777777" w:rsidR="004D6A64" w:rsidRDefault="004D6A64">
            <w:pPr>
              <w:rPr>
                <w:rFonts w:ascii="宋体"/>
              </w:rPr>
            </w:pPr>
          </w:p>
        </w:tc>
        <w:tc>
          <w:tcPr>
            <w:tcW w:w="11" w:type="pct"/>
            <w:shd w:val="clear" w:color="auto" w:fill="auto"/>
          </w:tcPr>
          <w:p w14:paraId="33DA979D" w14:textId="77777777" w:rsidR="004D6A64" w:rsidRDefault="004D6A64">
            <w:pPr>
              <w:rPr>
                <w:rFonts w:ascii="宋体"/>
              </w:rPr>
            </w:pPr>
          </w:p>
        </w:tc>
        <w:tc>
          <w:tcPr>
            <w:tcW w:w="5" w:type="pct"/>
            <w:shd w:val="clear" w:color="auto" w:fill="auto"/>
          </w:tcPr>
          <w:p w14:paraId="33DA979E" w14:textId="77777777" w:rsidR="004D6A64" w:rsidRDefault="004D6A64">
            <w:pPr>
              <w:rPr>
                <w:rFonts w:ascii="宋体"/>
              </w:rPr>
            </w:pPr>
          </w:p>
        </w:tc>
        <w:tc>
          <w:tcPr>
            <w:tcW w:w="50" w:type="pct"/>
            <w:shd w:val="clear" w:color="auto" w:fill="auto"/>
          </w:tcPr>
          <w:p w14:paraId="33DA979F" w14:textId="77777777" w:rsidR="004D6A64" w:rsidRDefault="004D6A64">
            <w:pPr>
              <w:rPr>
                <w:rFonts w:ascii="宋体"/>
              </w:rPr>
            </w:pPr>
          </w:p>
        </w:tc>
        <w:tc>
          <w:tcPr>
            <w:tcW w:w="318" w:type="pct"/>
            <w:shd w:val="clear" w:color="auto" w:fill="auto"/>
          </w:tcPr>
          <w:p w14:paraId="33DA97A0" w14:textId="77777777" w:rsidR="004D6A64" w:rsidRDefault="004D6A64">
            <w:pPr>
              <w:rPr>
                <w:rFonts w:ascii="宋体"/>
              </w:rPr>
            </w:pPr>
          </w:p>
        </w:tc>
        <w:tc>
          <w:tcPr>
            <w:tcW w:w="5" w:type="pct"/>
            <w:shd w:val="clear" w:color="auto" w:fill="auto"/>
          </w:tcPr>
          <w:p w14:paraId="33DA97A1" w14:textId="77777777" w:rsidR="004D6A64" w:rsidRDefault="004D6A64">
            <w:pPr>
              <w:rPr>
                <w:rFonts w:ascii="宋体"/>
              </w:rPr>
            </w:pPr>
          </w:p>
        </w:tc>
        <w:tc>
          <w:tcPr>
            <w:tcW w:w="5" w:type="pct"/>
            <w:shd w:val="clear" w:color="auto" w:fill="auto"/>
          </w:tcPr>
          <w:p w14:paraId="33DA97A2" w14:textId="77777777" w:rsidR="004D6A64" w:rsidRDefault="004D6A64">
            <w:pPr>
              <w:rPr>
                <w:rFonts w:ascii="宋体"/>
              </w:rPr>
            </w:pPr>
          </w:p>
        </w:tc>
        <w:tc>
          <w:tcPr>
            <w:tcW w:w="11" w:type="pct"/>
            <w:shd w:val="clear" w:color="auto" w:fill="auto"/>
          </w:tcPr>
          <w:p w14:paraId="33DA97A3" w14:textId="77777777" w:rsidR="004D6A64" w:rsidRDefault="004D6A64">
            <w:pPr>
              <w:rPr>
                <w:rFonts w:ascii="宋体"/>
              </w:rPr>
            </w:pPr>
          </w:p>
        </w:tc>
        <w:tc>
          <w:tcPr>
            <w:tcW w:w="5" w:type="pct"/>
            <w:shd w:val="clear" w:color="auto" w:fill="auto"/>
          </w:tcPr>
          <w:p w14:paraId="33DA97A4" w14:textId="77777777" w:rsidR="004D6A64" w:rsidRDefault="004D6A64">
            <w:pPr>
              <w:rPr>
                <w:rFonts w:ascii="宋体"/>
              </w:rPr>
            </w:pPr>
          </w:p>
        </w:tc>
        <w:tc>
          <w:tcPr>
            <w:tcW w:w="50" w:type="pct"/>
            <w:shd w:val="clear" w:color="auto" w:fill="auto"/>
          </w:tcPr>
          <w:p w14:paraId="33DA97A5" w14:textId="77777777" w:rsidR="004D6A64" w:rsidRDefault="004D6A64">
            <w:pPr>
              <w:rPr>
                <w:rFonts w:ascii="宋体"/>
              </w:rPr>
            </w:pPr>
          </w:p>
        </w:tc>
        <w:tc>
          <w:tcPr>
            <w:tcW w:w="373" w:type="pct"/>
            <w:shd w:val="clear" w:color="auto" w:fill="auto"/>
          </w:tcPr>
          <w:p w14:paraId="33DA97A6" w14:textId="77777777" w:rsidR="004D6A64" w:rsidRDefault="004D6A64">
            <w:pPr>
              <w:rPr>
                <w:rFonts w:ascii="宋体"/>
              </w:rPr>
            </w:pPr>
          </w:p>
        </w:tc>
        <w:tc>
          <w:tcPr>
            <w:tcW w:w="5" w:type="pct"/>
            <w:shd w:val="clear" w:color="auto" w:fill="auto"/>
          </w:tcPr>
          <w:p w14:paraId="33DA97A7" w14:textId="77777777" w:rsidR="004D6A64" w:rsidRDefault="004D6A64">
            <w:pPr>
              <w:rPr>
                <w:rFonts w:ascii="宋体"/>
              </w:rPr>
            </w:pPr>
          </w:p>
        </w:tc>
      </w:tr>
      <w:tr w:rsidR="004D6A64" w14:paraId="33DA97BB" w14:textId="77777777">
        <w:tc>
          <w:tcPr>
            <w:tcW w:w="0" w:type="auto"/>
            <w:gridSpan w:val="3"/>
            <w:shd w:val="clear" w:color="auto" w:fill="auto"/>
            <w:tcMar>
              <w:left w:w="20" w:type="dxa"/>
              <w:right w:w="20" w:type="dxa"/>
            </w:tcMar>
            <w:vAlign w:val="bottom"/>
          </w:tcPr>
          <w:p w14:paraId="33DA97A9" w14:textId="77777777" w:rsidR="004D6A64" w:rsidRDefault="004D6A64">
            <w:pPr>
              <w:rPr>
                <w:rFonts w:ascii="宋体"/>
              </w:rPr>
            </w:pPr>
          </w:p>
        </w:tc>
        <w:tc>
          <w:tcPr>
            <w:tcW w:w="0" w:type="auto"/>
            <w:gridSpan w:val="9"/>
            <w:shd w:val="clear" w:color="auto" w:fill="auto"/>
            <w:tcMar>
              <w:top w:w="40" w:type="dxa"/>
              <w:left w:w="20" w:type="dxa"/>
              <w:bottom w:w="40" w:type="dxa"/>
              <w:right w:w="20" w:type="dxa"/>
            </w:tcMar>
            <w:vAlign w:val="bottom"/>
          </w:tcPr>
          <w:p w14:paraId="33DA97AA" w14:textId="77777777" w:rsidR="004D6A64" w:rsidRDefault="00506CD6">
            <w:pPr>
              <w:jc w:val="center"/>
              <w:textAlignment w:val="bottom"/>
            </w:pPr>
            <w:r>
              <w:rPr>
                <w:rFonts w:ascii="Times New Roman" w:eastAsia="宋体" w:hAnsi="Times New Roman"/>
                <w:b/>
                <w:bCs/>
                <w:color w:val="000000"/>
                <w:sz w:val="18"/>
                <w:szCs w:val="18"/>
              </w:rPr>
              <w:t>Common Stock and Capital in Excess of Par Value</w:t>
            </w:r>
          </w:p>
        </w:tc>
        <w:tc>
          <w:tcPr>
            <w:tcW w:w="0" w:type="auto"/>
            <w:gridSpan w:val="3"/>
            <w:shd w:val="clear" w:color="auto" w:fill="auto"/>
          </w:tcPr>
          <w:p w14:paraId="33DA97AB" w14:textId="77777777" w:rsidR="004D6A64" w:rsidRDefault="004D6A64">
            <w:pPr>
              <w:rPr>
                <w:rFonts w:ascii="宋体"/>
                <w:vanish/>
              </w:rPr>
            </w:pPr>
          </w:p>
        </w:tc>
        <w:tc>
          <w:tcPr>
            <w:tcW w:w="0" w:type="auto"/>
            <w:gridSpan w:val="3"/>
            <w:shd w:val="clear" w:color="auto" w:fill="auto"/>
          </w:tcPr>
          <w:p w14:paraId="33DA97AC"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97AD" w14:textId="77777777" w:rsidR="004D6A64" w:rsidRDefault="004D6A64">
            <w:pPr>
              <w:rPr>
                <w:rFonts w:ascii="宋体"/>
              </w:rPr>
            </w:pPr>
          </w:p>
        </w:tc>
        <w:tc>
          <w:tcPr>
            <w:tcW w:w="0" w:type="auto"/>
            <w:gridSpan w:val="9"/>
            <w:shd w:val="clear" w:color="auto" w:fill="auto"/>
            <w:tcMar>
              <w:top w:w="40" w:type="dxa"/>
              <w:left w:w="20" w:type="dxa"/>
              <w:bottom w:w="40" w:type="dxa"/>
              <w:right w:w="20" w:type="dxa"/>
            </w:tcMar>
            <w:vAlign w:val="bottom"/>
          </w:tcPr>
          <w:p w14:paraId="33DA97AE" w14:textId="77777777" w:rsidR="004D6A64" w:rsidRDefault="00506CD6">
            <w:pPr>
              <w:jc w:val="center"/>
              <w:textAlignment w:val="bottom"/>
            </w:pPr>
            <w:r>
              <w:rPr>
                <w:rFonts w:ascii="Times New Roman" w:eastAsia="宋体" w:hAnsi="Times New Roman"/>
                <w:b/>
                <w:bCs/>
                <w:color w:val="000000"/>
                <w:sz w:val="18"/>
                <w:szCs w:val="18"/>
              </w:rPr>
              <w:t>Treasury Stock</w:t>
            </w:r>
          </w:p>
        </w:tc>
        <w:tc>
          <w:tcPr>
            <w:tcW w:w="0" w:type="auto"/>
            <w:gridSpan w:val="3"/>
            <w:shd w:val="clear" w:color="auto" w:fill="auto"/>
          </w:tcPr>
          <w:p w14:paraId="33DA97AF" w14:textId="77777777" w:rsidR="004D6A64" w:rsidRDefault="004D6A64">
            <w:pPr>
              <w:rPr>
                <w:rFonts w:ascii="宋体"/>
                <w:vanish/>
              </w:rPr>
            </w:pPr>
          </w:p>
        </w:tc>
        <w:tc>
          <w:tcPr>
            <w:tcW w:w="0" w:type="auto"/>
            <w:gridSpan w:val="3"/>
            <w:shd w:val="clear" w:color="auto" w:fill="auto"/>
          </w:tcPr>
          <w:p w14:paraId="33DA97B0"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97B1"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97B2"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97B3"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97B4"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97B5"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97B6"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97B7"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97B8" w14:textId="77777777" w:rsidR="004D6A64" w:rsidRDefault="004D6A64">
            <w:pPr>
              <w:rPr>
                <w:rFonts w:ascii="宋体"/>
              </w:rPr>
            </w:pPr>
          </w:p>
        </w:tc>
        <w:tc>
          <w:tcPr>
            <w:tcW w:w="0" w:type="auto"/>
            <w:gridSpan w:val="2"/>
            <w:shd w:val="clear" w:color="auto" w:fill="auto"/>
            <w:tcMar>
              <w:left w:w="20" w:type="dxa"/>
              <w:right w:w="20" w:type="dxa"/>
            </w:tcMar>
            <w:vAlign w:val="bottom"/>
          </w:tcPr>
          <w:p w14:paraId="33DA97B9" w14:textId="77777777" w:rsidR="004D6A64" w:rsidRDefault="004D6A64">
            <w:pPr>
              <w:rPr>
                <w:rFonts w:ascii="宋体"/>
              </w:rPr>
            </w:pPr>
          </w:p>
        </w:tc>
        <w:tc>
          <w:tcPr>
            <w:tcW w:w="0" w:type="auto"/>
            <w:shd w:val="clear" w:color="auto" w:fill="auto"/>
            <w:tcMar>
              <w:left w:w="20" w:type="dxa"/>
              <w:right w:w="20" w:type="dxa"/>
            </w:tcMar>
            <w:vAlign w:val="bottom"/>
          </w:tcPr>
          <w:p w14:paraId="33DA97BA" w14:textId="77777777" w:rsidR="004D6A64" w:rsidRDefault="004D6A64">
            <w:pPr>
              <w:rPr>
                <w:rFonts w:ascii="宋体"/>
              </w:rPr>
            </w:pPr>
          </w:p>
        </w:tc>
      </w:tr>
      <w:tr w:rsidR="004D6A64" w14:paraId="33DA97D7" w14:textId="77777777">
        <w:tc>
          <w:tcPr>
            <w:tcW w:w="0" w:type="auto"/>
            <w:gridSpan w:val="3"/>
            <w:shd w:val="clear" w:color="auto" w:fill="auto"/>
            <w:tcMar>
              <w:left w:w="20" w:type="dxa"/>
              <w:right w:w="20" w:type="dxa"/>
            </w:tcMar>
            <w:vAlign w:val="bottom"/>
          </w:tcPr>
          <w:p w14:paraId="33DA97BC"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97BD" w14:textId="77777777" w:rsidR="004D6A64" w:rsidRDefault="00506CD6">
            <w:pPr>
              <w:jc w:val="center"/>
              <w:textAlignment w:val="bottom"/>
            </w:pPr>
            <w:r>
              <w:rPr>
                <w:rFonts w:ascii="Times New Roman" w:eastAsia="宋体" w:hAnsi="Times New Roman"/>
                <w:b/>
                <w:bCs/>
                <w:color w:val="000000"/>
                <w:sz w:val="18"/>
                <w:szCs w:val="18"/>
              </w:rPr>
              <w:t>Issued Shares</w:t>
            </w:r>
          </w:p>
        </w:tc>
        <w:tc>
          <w:tcPr>
            <w:tcW w:w="0" w:type="auto"/>
            <w:gridSpan w:val="3"/>
            <w:tcBorders>
              <w:top w:val="single" w:sz="8" w:space="0" w:color="000000"/>
            </w:tcBorders>
            <w:shd w:val="clear" w:color="auto" w:fill="auto"/>
            <w:tcMar>
              <w:left w:w="20" w:type="dxa"/>
              <w:right w:w="20" w:type="dxa"/>
            </w:tcMar>
            <w:vAlign w:val="bottom"/>
          </w:tcPr>
          <w:p w14:paraId="33DA97BE"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97BF" w14:textId="77777777" w:rsidR="004D6A64" w:rsidRDefault="00506CD6">
            <w:pPr>
              <w:jc w:val="center"/>
              <w:textAlignment w:val="bottom"/>
            </w:pPr>
            <w:r>
              <w:rPr>
                <w:rFonts w:ascii="Times New Roman" w:eastAsia="宋体" w:hAnsi="Times New Roman"/>
                <w:b/>
                <w:bCs/>
                <w:color w:val="000000"/>
                <w:sz w:val="18"/>
                <w:szCs w:val="18"/>
              </w:rPr>
              <w:t>Amount</w:t>
            </w:r>
          </w:p>
        </w:tc>
        <w:tc>
          <w:tcPr>
            <w:tcW w:w="0" w:type="auto"/>
            <w:gridSpan w:val="3"/>
            <w:shd w:val="clear" w:color="auto" w:fill="auto"/>
            <w:tcMar>
              <w:left w:w="20" w:type="dxa"/>
              <w:right w:w="20" w:type="dxa"/>
            </w:tcMar>
            <w:vAlign w:val="bottom"/>
          </w:tcPr>
          <w:p w14:paraId="33DA97C0"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97C1" w14:textId="77777777" w:rsidR="004D6A64" w:rsidRDefault="00506CD6">
            <w:pPr>
              <w:jc w:val="center"/>
              <w:textAlignment w:val="bottom"/>
            </w:pPr>
            <w:r>
              <w:rPr>
                <w:rFonts w:ascii="Times New Roman" w:eastAsia="宋体" w:hAnsi="Times New Roman"/>
                <w:b/>
                <w:bCs/>
                <w:color w:val="000000"/>
                <w:sz w:val="18"/>
                <w:szCs w:val="18"/>
              </w:rPr>
              <w:t>Shares</w:t>
            </w:r>
          </w:p>
        </w:tc>
        <w:tc>
          <w:tcPr>
            <w:tcW w:w="0" w:type="auto"/>
            <w:gridSpan w:val="3"/>
            <w:tcBorders>
              <w:top w:val="single" w:sz="8" w:space="0" w:color="000000"/>
            </w:tcBorders>
            <w:shd w:val="clear" w:color="auto" w:fill="auto"/>
            <w:tcMar>
              <w:left w:w="20" w:type="dxa"/>
              <w:right w:w="20" w:type="dxa"/>
            </w:tcMar>
            <w:vAlign w:val="bottom"/>
          </w:tcPr>
          <w:p w14:paraId="33DA97C2"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97C3" w14:textId="77777777" w:rsidR="004D6A64" w:rsidRDefault="00506CD6">
            <w:pPr>
              <w:jc w:val="center"/>
              <w:textAlignment w:val="bottom"/>
            </w:pPr>
            <w:r>
              <w:rPr>
                <w:rFonts w:ascii="Times New Roman" w:eastAsia="宋体" w:hAnsi="Times New Roman"/>
                <w:b/>
                <w:bCs/>
                <w:color w:val="000000"/>
                <w:sz w:val="18"/>
                <w:szCs w:val="18"/>
              </w:rPr>
              <w:t>Amount</w:t>
            </w:r>
          </w:p>
        </w:tc>
        <w:tc>
          <w:tcPr>
            <w:tcW w:w="0" w:type="auto"/>
            <w:gridSpan w:val="3"/>
            <w:shd w:val="clear" w:color="auto" w:fill="auto"/>
            <w:tcMar>
              <w:left w:w="20" w:type="dxa"/>
              <w:right w:w="20" w:type="dxa"/>
            </w:tcMar>
            <w:vAlign w:val="bottom"/>
          </w:tcPr>
          <w:p w14:paraId="33DA97C4"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97C5" w14:textId="77777777" w:rsidR="004D6A64" w:rsidRDefault="00506CD6">
            <w:pPr>
              <w:jc w:val="center"/>
              <w:textAlignment w:val="bottom"/>
            </w:pPr>
            <w:r>
              <w:rPr>
                <w:rFonts w:ascii="Times New Roman" w:eastAsia="宋体" w:hAnsi="Times New Roman"/>
                <w:b/>
                <w:bCs/>
                <w:color w:val="000000"/>
                <w:sz w:val="18"/>
                <w:szCs w:val="18"/>
              </w:rPr>
              <w:t>Accumulated Deficit</w:t>
            </w:r>
          </w:p>
        </w:tc>
        <w:tc>
          <w:tcPr>
            <w:tcW w:w="0" w:type="auto"/>
            <w:gridSpan w:val="3"/>
            <w:shd w:val="clear" w:color="auto" w:fill="auto"/>
            <w:tcMar>
              <w:left w:w="20" w:type="dxa"/>
              <w:right w:w="20" w:type="dxa"/>
            </w:tcMar>
            <w:vAlign w:val="bottom"/>
          </w:tcPr>
          <w:p w14:paraId="33DA97C6"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97C7" w14:textId="77777777" w:rsidR="004D6A64" w:rsidRDefault="00506CD6">
            <w:pPr>
              <w:jc w:val="center"/>
              <w:textAlignment w:val="bottom"/>
            </w:pPr>
            <w:r>
              <w:rPr>
                <w:rFonts w:ascii="Times New Roman" w:eastAsia="宋体" w:hAnsi="Times New Roman"/>
                <w:b/>
                <w:bCs/>
                <w:color w:val="000000"/>
                <w:sz w:val="18"/>
                <w:szCs w:val="18"/>
              </w:rPr>
              <w:t xml:space="preserve">Accumulated Other </w:t>
            </w:r>
            <w:r>
              <w:rPr>
                <w:rFonts w:ascii="Times New Roman" w:eastAsia="宋体" w:hAnsi="Times New Roman"/>
                <w:b/>
                <w:bCs/>
                <w:color w:val="000000"/>
                <w:sz w:val="18"/>
                <w:szCs w:val="18"/>
              </w:rPr>
              <w:t>Comprehensive Income/(Loss)</w:t>
            </w:r>
          </w:p>
        </w:tc>
        <w:tc>
          <w:tcPr>
            <w:tcW w:w="0" w:type="auto"/>
            <w:gridSpan w:val="3"/>
            <w:shd w:val="clear" w:color="auto" w:fill="auto"/>
            <w:tcMar>
              <w:left w:w="20" w:type="dxa"/>
              <w:right w:w="20" w:type="dxa"/>
            </w:tcMar>
            <w:vAlign w:val="bottom"/>
          </w:tcPr>
          <w:p w14:paraId="33DA97C8"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97C9" w14:textId="77777777" w:rsidR="004D6A64" w:rsidRDefault="00506CD6">
            <w:pPr>
              <w:jc w:val="center"/>
              <w:textAlignment w:val="bottom"/>
            </w:pPr>
            <w:r>
              <w:rPr>
                <w:rFonts w:ascii="Times New Roman" w:eastAsia="宋体" w:hAnsi="Times New Roman"/>
                <w:b/>
                <w:bCs/>
                <w:color w:val="000000"/>
                <w:sz w:val="18"/>
                <w:szCs w:val="18"/>
              </w:rPr>
              <w:t>Dell Technologies Stockholders’ Equity (Deficit)</w:t>
            </w:r>
          </w:p>
        </w:tc>
        <w:tc>
          <w:tcPr>
            <w:tcW w:w="0" w:type="auto"/>
            <w:gridSpan w:val="3"/>
            <w:shd w:val="clear" w:color="auto" w:fill="auto"/>
            <w:tcMar>
              <w:left w:w="20" w:type="dxa"/>
              <w:right w:w="20" w:type="dxa"/>
            </w:tcMar>
            <w:vAlign w:val="bottom"/>
          </w:tcPr>
          <w:p w14:paraId="33DA97CA"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97CB" w14:textId="77777777" w:rsidR="004D6A64" w:rsidRDefault="00506CD6">
            <w:pPr>
              <w:jc w:val="center"/>
              <w:textAlignment w:val="bottom"/>
            </w:pPr>
            <w:r>
              <w:rPr>
                <w:rFonts w:ascii="Times New Roman" w:eastAsia="宋体" w:hAnsi="Times New Roman"/>
                <w:b/>
                <w:bCs/>
                <w:color w:val="000000"/>
                <w:sz w:val="18"/>
                <w:szCs w:val="18"/>
              </w:rPr>
              <w:t>Non-Controlling Interests</w:t>
            </w:r>
          </w:p>
        </w:tc>
        <w:tc>
          <w:tcPr>
            <w:tcW w:w="0" w:type="auto"/>
            <w:gridSpan w:val="3"/>
            <w:shd w:val="clear" w:color="auto" w:fill="auto"/>
            <w:tcMar>
              <w:left w:w="20" w:type="dxa"/>
              <w:right w:w="20" w:type="dxa"/>
            </w:tcMar>
            <w:vAlign w:val="bottom"/>
          </w:tcPr>
          <w:p w14:paraId="33DA97CC"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97CD" w14:textId="77777777" w:rsidR="004D6A64" w:rsidRDefault="00506CD6">
            <w:pPr>
              <w:jc w:val="center"/>
              <w:textAlignment w:val="bottom"/>
            </w:pPr>
            <w:r>
              <w:rPr>
                <w:rFonts w:ascii="Times New Roman" w:eastAsia="宋体" w:hAnsi="Times New Roman"/>
                <w:b/>
                <w:bCs/>
                <w:color w:val="000000"/>
                <w:sz w:val="18"/>
                <w:szCs w:val="18"/>
              </w:rPr>
              <w:t>Total Stockholders’ Equity (Deficit)</w:t>
            </w:r>
          </w:p>
        </w:tc>
        <w:tc>
          <w:tcPr>
            <w:tcW w:w="0" w:type="auto"/>
            <w:shd w:val="clear" w:color="auto" w:fill="auto"/>
          </w:tcPr>
          <w:p w14:paraId="33DA97CE" w14:textId="77777777" w:rsidR="004D6A64" w:rsidRDefault="004D6A64">
            <w:pPr>
              <w:rPr>
                <w:rFonts w:ascii="宋体"/>
              </w:rPr>
            </w:pPr>
          </w:p>
        </w:tc>
        <w:tc>
          <w:tcPr>
            <w:tcW w:w="0" w:type="auto"/>
            <w:shd w:val="clear" w:color="auto" w:fill="auto"/>
          </w:tcPr>
          <w:p w14:paraId="33DA97CF" w14:textId="77777777" w:rsidR="004D6A64" w:rsidRDefault="004D6A64">
            <w:pPr>
              <w:rPr>
                <w:rFonts w:ascii="宋体"/>
              </w:rPr>
            </w:pPr>
          </w:p>
        </w:tc>
        <w:tc>
          <w:tcPr>
            <w:tcW w:w="0" w:type="auto"/>
            <w:shd w:val="clear" w:color="auto" w:fill="auto"/>
          </w:tcPr>
          <w:p w14:paraId="33DA97D0" w14:textId="77777777" w:rsidR="004D6A64" w:rsidRDefault="004D6A64">
            <w:pPr>
              <w:rPr>
                <w:rFonts w:ascii="宋体"/>
              </w:rPr>
            </w:pPr>
          </w:p>
        </w:tc>
        <w:tc>
          <w:tcPr>
            <w:tcW w:w="0" w:type="auto"/>
            <w:shd w:val="clear" w:color="auto" w:fill="auto"/>
          </w:tcPr>
          <w:p w14:paraId="33DA97D1" w14:textId="77777777" w:rsidR="004D6A64" w:rsidRDefault="004D6A64">
            <w:pPr>
              <w:rPr>
                <w:rFonts w:ascii="宋体"/>
              </w:rPr>
            </w:pPr>
          </w:p>
        </w:tc>
        <w:tc>
          <w:tcPr>
            <w:tcW w:w="0" w:type="auto"/>
            <w:shd w:val="clear" w:color="auto" w:fill="auto"/>
          </w:tcPr>
          <w:p w14:paraId="33DA97D2" w14:textId="77777777" w:rsidR="004D6A64" w:rsidRDefault="004D6A64">
            <w:pPr>
              <w:rPr>
                <w:rFonts w:ascii="宋体"/>
              </w:rPr>
            </w:pPr>
          </w:p>
        </w:tc>
        <w:tc>
          <w:tcPr>
            <w:tcW w:w="0" w:type="auto"/>
            <w:shd w:val="clear" w:color="auto" w:fill="auto"/>
          </w:tcPr>
          <w:p w14:paraId="33DA97D3" w14:textId="77777777" w:rsidR="004D6A64" w:rsidRDefault="004D6A64">
            <w:pPr>
              <w:rPr>
                <w:rFonts w:ascii="宋体"/>
              </w:rPr>
            </w:pPr>
          </w:p>
        </w:tc>
        <w:tc>
          <w:tcPr>
            <w:tcW w:w="0" w:type="auto"/>
            <w:shd w:val="clear" w:color="auto" w:fill="auto"/>
          </w:tcPr>
          <w:p w14:paraId="33DA97D4" w14:textId="77777777" w:rsidR="004D6A64" w:rsidRDefault="004D6A64">
            <w:pPr>
              <w:rPr>
                <w:rFonts w:ascii="宋体"/>
              </w:rPr>
            </w:pPr>
          </w:p>
        </w:tc>
        <w:tc>
          <w:tcPr>
            <w:tcW w:w="0" w:type="auto"/>
            <w:shd w:val="clear" w:color="auto" w:fill="auto"/>
          </w:tcPr>
          <w:p w14:paraId="33DA97D5" w14:textId="77777777" w:rsidR="004D6A64" w:rsidRDefault="004D6A64">
            <w:pPr>
              <w:rPr>
                <w:rFonts w:ascii="宋体"/>
              </w:rPr>
            </w:pPr>
          </w:p>
        </w:tc>
        <w:tc>
          <w:tcPr>
            <w:tcW w:w="0" w:type="auto"/>
            <w:shd w:val="clear" w:color="auto" w:fill="auto"/>
          </w:tcPr>
          <w:p w14:paraId="33DA97D6" w14:textId="77777777" w:rsidR="004D6A64" w:rsidRDefault="004D6A64">
            <w:pPr>
              <w:rPr>
                <w:rFonts w:ascii="宋体"/>
              </w:rPr>
            </w:pPr>
          </w:p>
        </w:tc>
      </w:tr>
      <w:tr w:rsidR="00506CD6" w14:paraId="33DA9803" w14:textId="77777777">
        <w:tc>
          <w:tcPr>
            <w:tcW w:w="0" w:type="auto"/>
            <w:gridSpan w:val="3"/>
            <w:shd w:val="clear" w:color="auto" w:fill="CCEEFF"/>
            <w:tcMar>
              <w:top w:w="40" w:type="dxa"/>
              <w:bottom w:w="40" w:type="dxa"/>
              <w:right w:w="20" w:type="dxa"/>
            </w:tcMar>
            <w:vAlign w:val="bottom"/>
          </w:tcPr>
          <w:p w14:paraId="33DA97D8" w14:textId="77777777" w:rsidR="004D6A64" w:rsidRDefault="00506CD6">
            <w:pPr>
              <w:textAlignment w:val="bottom"/>
            </w:pPr>
            <w:r>
              <w:rPr>
                <w:rFonts w:ascii="Times New Roman" w:eastAsia="宋体" w:hAnsi="Times New Roman"/>
                <w:b/>
                <w:bCs/>
                <w:color w:val="000000"/>
                <w:sz w:val="20"/>
                <w:szCs w:val="20"/>
              </w:rPr>
              <w:t>Balances as of May 1,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3DA97D9" w14:textId="77777777" w:rsidR="004D6A64" w:rsidRDefault="00506CD6">
            <w:pPr>
              <w:jc w:val="right"/>
              <w:textAlignment w:val="bottom"/>
            </w:pPr>
            <w:r>
              <w:rPr>
                <w:rFonts w:ascii="Times New Roman" w:eastAsia="宋体" w:hAnsi="Times New Roman"/>
                <w:color w:val="000000"/>
                <w:sz w:val="20"/>
                <w:szCs w:val="20"/>
              </w:rPr>
              <w:t>748 </w:t>
            </w:r>
          </w:p>
        </w:tc>
        <w:tc>
          <w:tcPr>
            <w:tcW w:w="0" w:type="auto"/>
            <w:tcBorders>
              <w:top w:val="single" w:sz="8" w:space="0" w:color="000000"/>
            </w:tcBorders>
            <w:shd w:val="clear" w:color="auto" w:fill="CCEEFF"/>
            <w:tcMar>
              <w:top w:w="40" w:type="dxa"/>
              <w:bottom w:w="40" w:type="dxa"/>
              <w:right w:w="20" w:type="dxa"/>
            </w:tcMar>
            <w:vAlign w:val="bottom"/>
          </w:tcPr>
          <w:p w14:paraId="33DA97D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7DB"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97DC"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97DD" w14:textId="77777777" w:rsidR="004D6A64" w:rsidRDefault="00506CD6">
            <w:pPr>
              <w:jc w:val="right"/>
              <w:textAlignment w:val="bottom"/>
            </w:pPr>
            <w:r>
              <w:rPr>
                <w:rFonts w:ascii="Times New Roman" w:eastAsia="宋体" w:hAnsi="Times New Roman"/>
                <w:color w:val="000000"/>
                <w:sz w:val="20"/>
                <w:szCs w:val="20"/>
              </w:rPr>
              <w:t>16,339 </w:t>
            </w:r>
          </w:p>
        </w:tc>
        <w:tc>
          <w:tcPr>
            <w:tcW w:w="0" w:type="auto"/>
            <w:tcBorders>
              <w:top w:val="single" w:sz="8" w:space="0" w:color="000000"/>
            </w:tcBorders>
            <w:shd w:val="clear" w:color="auto" w:fill="CCEEFF"/>
            <w:tcMar>
              <w:top w:w="40" w:type="dxa"/>
              <w:bottom w:w="40" w:type="dxa"/>
              <w:right w:w="20" w:type="dxa"/>
            </w:tcMar>
            <w:vAlign w:val="bottom"/>
          </w:tcPr>
          <w:p w14:paraId="33DA97D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7DF"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3DA97E0" w14:textId="77777777" w:rsidR="004D6A64" w:rsidRDefault="00506CD6">
            <w:pPr>
              <w:jc w:val="right"/>
              <w:textAlignment w:val="bottom"/>
            </w:pPr>
            <w:r>
              <w:rPr>
                <w:rFonts w:ascii="Times New Roman" w:eastAsia="宋体" w:hAnsi="Times New Roman"/>
                <w:color w:val="000000"/>
                <w:sz w:val="20"/>
                <w:szCs w:val="20"/>
              </w:rPr>
              <w:t>8 </w:t>
            </w:r>
          </w:p>
        </w:tc>
        <w:tc>
          <w:tcPr>
            <w:tcW w:w="0" w:type="auto"/>
            <w:tcBorders>
              <w:top w:val="single" w:sz="8" w:space="0" w:color="000000"/>
            </w:tcBorders>
            <w:shd w:val="clear" w:color="auto" w:fill="CCEEFF"/>
            <w:tcMar>
              <w:top w:w="40" w:type="dxa"/>
              <w:bottom w:w="40" w:type="dxa"/>
              <w:right w:w="20" w:type="dxa"/>
            </w:tcMar>
            <w:vAlign w:val="bottom"/>
          </w:tcPr>
          <w:p w14:paraId="33DA97E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7E2"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97E3"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97E4" w14:textId="77777777" w:rsidR="004D6A64" w:rsidRDefault="00506CD6">
            <w:pPr>
              <w:jc w:val="right"/>
              <w:textAlignment w:val="bottom"/>
            </w:pPr>
            <w:r>
              <w:rPr>
                <w:rFonts w:ascii="Times New Roman" w:eastAsia="宋体" w:hAnsi="Times New Roman"/>
                <w:color w:val="000000"/>
                <w:sz w:val="20"/>
                <w:szCs w:val="20"/>
              </w:rPr>
              <w:t>(305)</w:t>
            </w:r>
          </w:p>
        </w:tc>
        <w:tc>
          <w:tcPr>
            <w:tcW w:w="0" w:type="auto"/>
            <w:tcBorders>
              <w:top w:val="single" w:sz="8" w:space="0" w:color="000000"/>
            </w:tcBorders>
            <w:shd w:val="clear" w:color="auto" w:fill="CCEEFF"/>
            <w:tcMar>
              <w:top w:w="40" w:type="dxa"/>
              <w:bottom w:w="40" w:type="dxa"/>
              <w:right w:w="20" w:type="dxa"/>
            </w:tcMar>
            <w:vAlign w:val="bottom"/>
          </w:tcPr>
          <w:p w14:paraId="33DA97E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7E6"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97E7"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97E8" w14:textId="77777777" w:rsidR="004D6A64" w:rsidRDefault="00506CD6">
            <w:pPr>
              <w:jc w:val="right"/>
              <w:textAlignment w:val="bottom"/>
            </w:pPr>
            <w:r>
              <w:rPr>
                <w:rFonts w:ascii="Times New Roman" w:eastAsia="宋体" w:hAnsi="Times New Roman"/>
                <w:color w:val="000000"/>
                <w:sz w:val="20"/>
                <w:szCs w:val="20"/>
              </w:rPr>
              <w:t>(16,858)</w:t>
            </w:r>
          </w:p>
        </w:tc>
        <w:tc>
          <w:tcPr>
            <w:tcW w:w="0" w:type="auto"/>
            <w:tcBorders>
              <w:top w:val="single" w:sz="8" w:space="0" w:color="000000"/>
            </w:tcBorders>
            <w:shd w:val="clear" w:color="auto" w:fill="CCEEFF"/>
            <w:tcMar>
              <w:top w:w="40" w:type="dxa"/>
              <w:bottom w:w="40" w:type="dxa"/>
              <w:right w:w="20" w:type="dxa"/>
            </w:tcMar>
            <w:vAlign w:val="bottom"/>
          </w:tcPr>
          <w:p w14:paraId="33DA97E9"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7EA"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97EB"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97EC" w14:textId="77777777" w:rsidR="004D6A64" w:rsidRDefault="00506CD6">
            <w:pPr>
              <w:jc w:val="right"/>
              <w:textAlignment w:val="bottom"/>
            </w:pPr>
            <w:r>
              <w:rPr>
                <w:rFonts w:ascii="Times New Roman" w:eastAsia="宋体" w:hAnsi="Times New Roman"/>
                <w:color w:val="000000"/>
                <w:sz w:val="20"/>
                <w:szCs w:val="20"/>
              </w:rPr>
              <w:t>(790)</w:t>
            </w:r>
          </w:p>
        </w:tc>
        <w:tc>
          <w:tcPr>
            <w:tcW w:w="0" w:type="auto"/>
            <w:tcBorders>
              <w:top w:val="single" w:sz="8" w:space="0" w:color="000000"/>
            </w:tcBorders>
            <w:shd w:val="clear" w:color="auto" w:fill="CCEEFF"/>
            <w:tcMar>
              <w:top w:w="40" w:type="dxa"/>
              <w:bottom w:w="40" w:type="dxa"/>
              <w:right w:w="20" w:type="dxa"/>
            </w:tcMar>
            <w:vAlign w:val="bottom"/>
          </w:tcPr>
          <w:p w14:paraId="33DA97E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7EE"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97EF"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97F0" w14:textId="77777777" w:rsidR="004D6A64" w:rsidRDefault="00506CD6">
            <w:pPr>
              <w:jc w:val="right"/>
              <w:textAlignment w:val="bottom"/>
            </w:pPr>
            <w:r>
              <w:rPr>
                <w:rFonts w:ascii="Times New Roman" w:eastAsia="宋体" w:hAnsi="Times New Roman"/>
                <w:color w:val="000000"/>
                <w:sz w:val="20"/>
                <w:szCs w:val="20"/>
              </w:rPr>
              <w:t>(1,614)</w:t>
            </w:r>
          </w:p>
        </w:tc>
        <w:tc>
          <w:tcPr>
            <w:tcW w:w="0" w:type="auto"/>
            <w:tcBorders>
              <w:top w:val="single" w:sz="8" w:space="0" w:color="000000"/>
            </w:tcBorders>
            <w:shd w:val="clear" w:color="auto" w:fill="CCEEFF"/>
            <w:tcMar>
              <w:top w:w="40" w:type="dxa"/>
              <w:bottom w:w="40" w:type="dxa"/>
              <w:right w:w="20" w:type="dxa"/>
            </w:tcMar>
            <w:vAlign w:val="bottom"/>
          </w:tcPr>
          <w:p w14:paraId="33DA97F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7F2"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97F3"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97F4" w14:textId="77777777" w:rsidR="004D6A64" w:rsidRDefault="00506CD6">
            <w:pPr>
              <w:jc w:val="right"/>
              <w:textAlignment w:val="bottom"/>
            </w:pPr>
            <w:r>
              <w:rPr>
                <w:rFonts w:ascii="Times New Roman" w:eastAsia="宋体" w:hAnsi="Times New Roman"/>
                <w:color w:val="000000"/>
                <w:sz w:val="20"/>
                <w:szCs w:val="20"/>
              </w:rPr>
              <w:t>4,854 </w:t>
            </w:r>
          </w:p>
        </w:tc>
        <w:tc>
          <w:tcPr>
            <w:tcW w:w="0" w:type="auto"/>
            <w:tcBorders>
              <w:top w:val="single" w:sz="8" w:space="0" w:color="000000"/>
            </w:tcBorders>
            <w:shd w:val="clear" w:color="auto" w:fill="CCEEFF"/>
            <w:tcMar>
              <w:top w:w="40" w:type="dxa"/>
              <w:bottom w:w="40" w:type="dxa"/>
              <w:right w:w="20" w:type="dxa"/>
            </w:tcMar>
            <w:vAlign w:val="bottom"/>
          </w:tcPr>
          <w:p w14:paraId="33DA97F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7F6"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97F7"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97F8" w14:textId="77777777" w:rsidR="004D6A64" w:rsidRDefault="00506CD6">
            <w:pPr>
              <w:jc w:val="right"/>
              <w:textAlignment w:val="bottom"/>
            </w:pPr>
            <w:r>
              <w:rPr>
                <w:rFonts w:ascii="Times New Roman" w:eastAsia="宋体" w:hAnsi="Times New Roman"/>
                <w:color w:val="000000"/>
                <w:sz w:val="20"/>
                <w:szCs w:val="20"/>
              </w:rPr>
              <w:t>3,240 </w:t>
            </w:r>
          </w:p>
        </w:tc>
        <w:tc>
          <w:tcPr>
            <w:tcW w:w="0" w:type="auto"/>
            <w:tcBorders>
              <w:top w:val="single" w:sz="8" w:space="0" w:color="000000"/>
            </w:tcBorders>
            <w:shd w:val="clear" w:color="auto" w:fill="CCEEFF"/>
            <w:tcMar>
              <w:top w:w="40" w:type="dxa"/>
              <w:bottom w:w="40" w:type="dxa"/>
              <w:right w:w="20" w:type="dxa"/>
            </w:tcMar>
            <w:vAlign w:val="bottom"/>
          </w:tcPr>
          <w:p w14:paraId="33DA97F9" w14:textId="77777777" w:rsidR="004D6A64" w:rsidRDefault="004D6A64">
            <w:pPr>
              <w:jc w:val="right"/>
              <w:rPr>
                <w:rFonts w:ascii="宋体"/>
              </w:rPr>
            </w:pPr>
          </w:p>
        </w:tc>
        <w:tc>
          <w:tcPr>
            <w:tcW w:w="0" w:type="auto"/>
            <w:shd w:val="clear" w:color="auto" w:fill="auto"/>
          </w:tcPr>
          <w:p w14:paraId="33DA97FA" w14:textId="77777777" w:rsidR="004D6A64" w:rsidRDefault="004D6A64">
            <w:pPr>
              <w:rPr>
                <w:rFonts w:ascii="宋体"/>
              </w:rPr>
            </w:pPr>
          </w:p>
        </w:tc>
        <w:tc>
          <w:tcPr>
            <w:tcW w:w="0" w:type="auto"/>
            <w:shd w:val="clear" w:color="auto" w:fill="auto"/>
          </w:tcPr>
          <w:p w14:paraId="33DA97FB" w14:textId="77777777" w:rsidR="004D6A64" w:rsidRDefault="004D6A64">
            <w:pPr>
              <w:rPr>
                <w:rFonts w:ascii="宋体"/>
              </w:rPr>
            </w:pPr>
          </w:p>
        </w:tc>
        <w:tc>
          <w:tcPr>
            <w:tcW w:w="0" w:type="auto"/>
            <w:shd w:val="clear" w:color="auto" w:fill="auto"/>
          </w:tcPr>
          <w:p w14:paraId="33DA97FC" w14:textId="77777777" w:rsidR="004D6A64" w:rsidRDefault="004D6A64">
            <w:pPr>
              <w:rPr>
                <w:rFonts w:ascii="宋体"/>
              </w:rPr>
            </w:pPr>
          </w:p>
        </w:tc>
        <w:tc>
          <w:tcPr>
            <w:tcW w:w="0" w:type="auto"/>
            <w:shd w:val="clear" w:color="auto" w:fill="auto"/>
          </w:tcPr>
          <w:p w14:paraId="33DA97FD" w14:textId="77777777" w:rsidR="004D6A64" w:rsidRDefault="004D6A64">
            <w:pPr>
              <w:rPr>
                <w:rFonts w:ascii="宋体"/>
              </w:rPr>
            </w:pPr>
          </w:p>
        </w:tc>
        <w:tc>
          <w:tcPr>
            <w:tcW w:w="0" w:type="auto"/>
            <w:shd w:val="clear" w:color="auto" w:fill="auto"/>
          </w:tcPr>
          <w:p w14:paraId="33DA97FE" w14:textId="77777777" w:rsidR="004D6A64" w:rsidRDefault="004D6A64">
            <w:pPr>
              <w:rPr>
                <w:rFonts w:ascii="宋体"/>
              </w:rPr>
            </w:pPr>
          </w:p>
        </w:tc>
        <w:tc>
          <w:tcPr>
            <w:tcW w:w="0" w:type="auto"/>
            <w:shd w:val="clear" w:color="auto" w:fill="auto"/>
          </w:tcPr>
          <w:p w14:paraId="33DA97FF" w14:textId="77777777" w:rsidR="004D6A64" w:rsidRDefault="004D6A64">
            <w:pPr>
              <w:rPr>
                <w:rFonts w:ascii="宋体"/>
              </w:rPr>
            </w:pPr>
          </w:p>
        </w:tc>
        <w:tc>
          <w:tcPr>
            <w:tcW w:w="0" w:type="auto"/>
            <w:shd w:val="clear" w:color="auto" w:fill="auto"/>
          </w:tcPr>
          <w:p w14:paraId="33DA9800" w14:textId="77777777" w:rsidR="004D6A64" w:rsidRDefault="004D6A64">
            <w:pPr>
              <w:rPr>
                <w:rFonts w:ascii="宋体"/>
              </w:rPr>
            </w:pPr>
          </w:p>
        </w:tc>
        <w:tc>
          <w:tcPr>
            <w:tcW w:w="0" w:type="auto"/>
            <w:shd w:val="clear" w:color="auto" w:fill="auto"/>
          </w:tcPr>
          <w:p w14:paraId="33DA9801" w14:textId="77777777" w:rsidR="004D6A64" w:rsidRDefault="004D6A64">
            <w:pPr>
              <w:rPr>
                <w:rFonts w:ascii="宋体"/>
              </w:rPr>
            </w:pPr>
          </w:p>
        </w:tc>
        <w:tc>
          <w:tcPr>
            <w:tcW w:w="0" w:type="auto"/>
            <w:shd w:val="clear" w:color="auto" w:fill="auto"/>
          </w:tcPr>
          <w:p w14:paraId="33DA9802" w14:textId="77777777" w:rsidR="004D6A64" w:rsidRDefault="004D6A64">
            <w:pPr>
              <w:rPr>
                <w:rFonts w:ascii="宋体"/>
              </w:rPr>
            </w:pPr>
          </w:p>
        </w:tc>
      </w:tr>
      <w:tr w:rsidR="00506CD6" w14:paraId="33DA9828" w14:textId="77777777">
        <w:tc>
          <w:tcPr>
            <w:tcW w:w="0" w:type="auto"/>
            <w:gridSpan w:val="3"/>
            <w:shd w:val="clear" w:color="auto" w:fill="FFFFFF"/>
            <w:tcMar>
              <w:top w:w="40" w:type="dxa"/>
              <w:left w:w="135" w:type="dxa"/>
              <w:bottom w:w="40" w:type="dxa"/>
              <w:right w:w="20" w:type="dxa"/>
            </w:tcMar>
            <w:vAlign w:val="bottom"/>
          </w:tcPr>
          <w:p w14:paraId="33DA9804" w14:textId="77777777" w:rsidR="004D6A64" w:rsidRDefault="00506CD6">
            <w:pPr>
              <w:textAlignment w:val="bottom"/>
            </w:pPr>
            <w:r>
              <w:rPr>
                <w:rFonts w:ascii="Times New Roman" w:eastAsia="宋体" w:hAnsi="Times New Roman"/>
                <w:color w:val="000000"/>
                <w:sz w:val="20"/>
                <w:szCs w:val="20"/>
              </w:rPr>
              <w:t>Net income</w:t>
            </w:r>
          </w:p>
        </w:tc>
        <w:tc>
          <w:tcPr>
            <w:tcW w:w="0" w:type="auto"/>
            <w:gridSpan w:val="2"/>
            <w:shd w:val="clear" w:color="auto" w:fill="FFFFFF"/>
            <w:tcMar>
              <w:top w:w="40" w:type="dxa"/>
              <w:left w:w="20" w:type="dxa"/>
              <w:bottom w:w="40" w:type="dxa"/>
              <w:right w:w="0" w:type="dxa"/>
            </w:tcMar>
            <w:vAlign w:val="bottom"/>
          </w:tcPr>
          <w:p w14:paraId="33DA9805"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80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807"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808"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80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80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80B"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80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80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80E"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80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81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811" w14:textId="77777777" w:rsidR="004D6A64" w:rsidRDefault="00506CD6">
            <w:pPr>
              <w:jc w:val="right"/>
              <w:textAlignment w:val="bottom"/>
            </w:pPr>
            <w:r>
              <w:rPr>
                <w:rFonts w:ascii="Times New Roman" w:eastAsia="宋体" w:hAnsi="Times New Roman"/>
                <w:color w:val="000000"/>
                <w:sz w:val="20"/>
                <w:szCs w:val="20"/>
              </w:rPr>
              <w:t>1,048 </w:t>
            </w:r>
          </w:p>
        </w:tc>
        <w:tc>
          <w:tcPr>
            <w:tcW w:w="0" w:type="auto"/>
            <w:shd w:val="clear" w:color="auto" w:fill="FFFFFF"/>
            <w:tcMar>
              <w:top w:w="40" w:type="dxa"/>
              <w:bottom w:w="40" w:type="dxa"/>
              <w:right w:w="20" w:type="dxa"/>
            </w:tcMar>
            <w:vAlign w:val="bottom"/>
          </w:tcPr>
          <w:p w14:paraId="33DA981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81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814"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81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81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817" w14:textId="77777777" w:rsidR="004D6A64" w:rsidRDefault="00506CD6">
            <w:pPr>
              <w:jc w:val="right"/>
              <w:textAlignment w:val="bottom"/>
            </w:pPr>
            <w:r>
              <w:rPr>
                <w:rFonts w:ascii="Times New Roman" w:eastAsia="宋体" w:hAnsi="Times New Roman"/>
                <w:color w:val="000000"/>
                <w:sz w:val="20"/>
                <w:szCs w:val="20"/>
              </w:rPr>
              <w:t>1,048 </w:t>
            </w:r>
          </w:p>
        </w:tc>
        <w:tc>
          <w:tcPr>
            <w:tcW w:w="0" w:type="auto"/>
            <w:shd w:val="clear" w:color="auto" w:fill="FFFFFF"/>
            <w:tcMar>
              <w:top w:w="40" w:type="dxa"/>
              <w:bottom w:w="40" w:type="dxa"/>
              <w:right w:w="20" w:type="dxa"/>
            </w:tcMar>
            <w:vAlign w:val="bottom"/>
          </w:tcPr>
          <w:p w14:paraId="33DA981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819"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81A" w14:textId="77777777" w:rsidR="004D6A64" w:rsidRDefault="00506CD6">
            <w:pPr>
              <w:jc w:val="right"/>
              <w:textAlignment w:val="bottom"/>
            </w:pPr>
            <w:r>
              <w:rPr>
                <w:rFonts w:ascii="Times New Roman" w:eastAsia="宋体" w:hAnsi="Times New Roman"/>
                <w:color w:val="000000"/>
                <w:sz w:val="20"/>
                <w:szCs w:val="20"/>
              </w:rPr>
              <w:t>51 </w:t>
            </w:r>
          </w:p>
        </w:tc>
        <w:tc>
          <w:tcPr>
            <w:tcW w:w="0" w:type="auto"/>
            <w:shd w:val="clear" w:color="auto" w:fill="FFFFFF"/>
            <w:tcMar>
              <w:top w:w="40" w:type="dxa"/>
              <w:bottom w:w="40" w:type="dxa"/>
              <w:right w:w="20" w:type="dxa"/>
            </w:tcMar>
            <w:vAlign w:val="bottom"/>
          </w:tcPr>
          <w:p w14:paraId="33DA981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81C"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81D" w14:textId="77777777" w:rsidR="004D6A64" w:rsidRDefault="00506CD6">
            <w:pPr>
              <w:jc w:val="right"/>
              <w:textAlignment w:val="bottom"/>
            </w:pPr>
            <w:r>
              <w:rPr>
                <w:rFonts w:ascii="Times New Roman" w:eastAsia="宋体" w:hAnsi="Times New Roman"/>
                <w:color w:val="000000"/>
                <w:sz w:val="20"/>
                <w:szCs w:val="20"/>
              </w:rPr>
              <w:t>1,099 </w:t>
            </w:r>
          </w:p>
        </w:tc>
        <w:tc>
          <w:tcPr>
            <w:tcW w:w="0" w:type="auto"/>
            <w:shd w:val="clear" w:color="auto" w:fill="FFFFFF"/>
            <w:tcMar>
              <w:top w:w="40" w:type="dxa"/>
              <w:bottom w:w="40" w:type="dxa"/>
              <w:right w:w="20" w:type="dxa"/>
            </w:tcMar>
            <w:vAlign w:val="bottom"/>
          </w:tcPr>
          <w:p w14:paraId="33DA981E" w14:textId="77777777" w:rsidR="004D6A64" w:rsidRDefault="004D6A64">
            <w:pPr>
              <w:jc w:val="right"/>
              <w:rPr>
                <w:rFonts w:ascii="宋体"/>
              </w:rPr>
            </w:pPr>
          </w:p>
        </w:tc>
        <w:tc>
          <w:tcPr>
            <w:tcW w:w="0" w:type="auto"/>
            <w:shd w:val="clear" w:color="auto" w:fill="auto"/>
          </w:tcPr>
          <w:p w14:paraId="33DA981F" w14:textId="77777777" w:rsidR="004D6A64" w:rsidRDefault="004D6A64">
            <w:pPr>
              <w:rPr>
                <w:rFonts w:ascii="宋体"/>
              </w:rPr>
            </w:pPr>
          </w:p>
        </w:tc>
        <w:tc>
          <w:tcPr>
            <w:tcW w:w="0" w:type="auto"/>
            <w:shd w:val="clear" w:color="auto" w:fill="auto"/>
          </w:tcPr>
          <w:p w14:paraId="33DA9820" w14:textId="77777777" w:rsidR="004D6A64" w:rsidRDefault="004D6A64">
            <w:pPr>
              <w:rPr>
                <w:rFonts w:ascii="宋体"/>
              </w:rPr>
            </w:pPr>
          </w:p>
        </w:tc>
        <w:tc>
          <w:tcPr>
            <w:tcW w:w="0" w:type="auto"/>
            <w:shd w:val="clear" w:color="auto" w:fill="auto"/>
          </w:tcPr>
          <w:p w14:paraId="33DA9821" w14:textId="77777777" w:rsidR="004D6A64" w:rsidRDefault="004D6A64">
            <w:pPr>
              <w:rPr>
                <w:rFonts w:ascii="宋体"/>
              </w:rPr>
            </w:pPr>
          </w:p>
        </w:tc>
        <w:tc>
          <w:tcPr>
            <w:tcW w:w="0" w:type="auto"/>
            <w:shd w:val="clear" w:color="auto" w:fill="auto"/>
          </w:tcPr>
          <w:p w14:paraId="33DA9822" w14:textId="77777777" w:rsidR="004D6A64" w:rsidRDefault="004D6A64">
            <w:pPr>
              <w:rPr>
                <w:rFonts w:ascii="宋体"/>
              </w:rPr>
            </w:pPr>
          </w:p>
        </w:tc>
        <w:tc>
          <w:tcPr>
            <w:tcW w:w="0" w:type="auto"/>
            <w:shd w:val="clear" w:color="auto" w:fill="auto"/>
          </w:tcPr>
          <w:p w14:paraId="33DA9823" w14:textId="77777777" w:rsidR="004D6A64" w:rsidRDefault="004D6A64">
            <w:pPr>
              <w:rPr>
                <w:rFonts w:ascii="宋体"/>
              </w:rPr>
            </w:pPr>
          </w:p>
        </w:tc>
        <w:tc>
          <w:tcPr>
            <w:tcW w:w="0" w:type="auto"/>
            <w:shd w:val="clear" w:color="auto" w:fill="auto"/>
          </w:tcPr>
          <w:p w14:paraId="33DA9824" w14:textId="77777777" w:rsidR="004D6A64" w:rsidRDefault="004D6A64">
            <w:pPr>
              <w:rPr>
                <w:rFonts w:ascii="宋体"/>
              </w:rPr>
            </w:pPr>
          </w:p>
        </w:tc>
        <w:tc>
          <w:tcPr>
            <w:tcW w:w="0" w:type="auto"/>
            <w:shd w:val="clear" w:color="auto" w:fill="auto"/>
          </w:tcPr>
          <w:p w14:paraId="33DA9825" w14:textId="77777777" w:rsidR="004D6A64" w:rsidRDefault="004D6A64">
            <w:pPr>
              <w:rPr>
                <w:rFonts w:ascii="宋体"/>
              </w:rPr>
            </w:pPr>
          </w:p>
        </w:tc>
        <w:tc>
          <w:tcPr>
            <w:tcW w:w="0" w:type="auto"/>
            <w:shd w:val="clear" w:color="auto" w:fill="auto"/>
          </w:tcPr>
          <w:p w14:paraId="33DA9826" w14:textId="77777777" w:rsidR="004D6A64" w:rsidRDefault="004D6A64">
            <w:pPr>
              <w:rPr>
                <w:rFonts w:ascii="宋体"/>
              </w:rPr>
            </w:pPr>
          </w:p>
        </w:tc>
        <w:tc>
          <w:tcPr>
            <w:tcW w:w="0" w:type="auto"/>
            <w:shd w:val="clear" w:color="auto" w:fill="auto"/>
          </w:tcPr>
          <w:p w14:paraId="33DA9827" w14:textId="77777777" w:rsidR="004D6A64" w:rsidRDefault="004D6A64">
            <w:pPr>
              <w:rPr>
                <w:rFonts w:ascii="宋体"/>
              </w:rPr>
            </w:pPr>
          </w:p>
        </w:tc>
      </w:tr>
      <w:tr w:rsidR="00506CD6" w14:paraId="33DA984D" w14:textId="77777777">
        <w:tc>
          <w:tcPr>
            <w:tcW w:w="0" w:type="auto"/>
            <w:gridSpan w:val="3"/>
            <w:shd w:val="clear" w:color="auto" w:fill="CCEEFF"/>
            <w:tcMar>
              <w:top w:w="40" w:type="dxa"/>
              <w:left w:w="135" w:type="dxa"/>
              <w:bottom w:w="40" w:type="dxa"/>
              <w:right w:w="20" w:type="dxa"/>
            </w:tcMar>
            <w:vAlign w:val="bottom"/>
          </w:tcPr>
          <w:p w14:paraId="33DA9829" w14:textId="77777777" w:rsidR="004D6A64" w:rsidRDefault="00506CD6">
            <w:pPr>
              <w:textAlignment w:val="bottom"/>
            </w:pPr>
            <w:r>
              <w:rPr>
                <w:rFonts w:ascii="Times New Roman" w:eastAsia="宋体" w:hAnsi="Times New Roman"/>
                <w:color w:val="000000"/>
                <w:sz w:val="20"/>
                <w:szCs w:val="20"/>
              </w:rPr>
              <w:t>Foreign currency translation adjustments</w:t>
            </w:r>
          </w:p>
        </w:tc>
        <w:tc>
          <w:tcPr>
            <w:tcW w:w="0" w:type="auto"/>
            <w:gridSpan w:val="2"/>
            <w:shd w:val="clear" w:color="auto" w:fill="CCEEFF"/>
            <w:tcMar>
              <w:top w:w="40" w:type="dxa"/>
              <w:left w:w="20" w:type="dxa"/>
              <w:bottom w:w="40" w:type="dxa"/>
              <w:right w:w="0" w:type="dxa"/>
            </w:tcMar>
            <w:vAlign w:val="bottom"/>
          </w:tcPr>
          <w:p w14:paraId="33DA982A"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82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82C"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82D"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82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82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830"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83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83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833"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83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83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836"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83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838"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839" w14:textId="77777777" w:rsidR="004D6A64" w:rsidRDefault="00506CD6">
            <w:pPr>
              <w:jc w:val="right"/>
              <w:textAlignment w:val="bottom"/>
            </w:pPr>
            <w:r>
              <w:rPr>
                <w:rFonts w:ascii="Times New Roman" w:eastAsia="宋体" w:hAnsi="Times New Roman"/>
                <w:color w:val="000000"/>
                <w:sz w:val="20"/>
                <w:szCs w:val="20"/>
              </w:rPr>
              <w:t>410 </w:t>
            </w:r>
          </w:p>
        </w:tc>
        <w:tc>
          <w:tcPr>
            <w:tcW w:w="0" w:type="auto"/>
            <w:shd w:val="clear" w:color="auto" w:fill="CCEEFF"/>
            <w:tcMar>
              <w:top w:w="40" w:type="dxa"/>
              <w:bottom w:w="40" w:type="dxa"/>
              <w:right w:w="20" w:type="dxa"/>
            </w:tcMar>
            <w:vAlign w:val="bottom"/>
          </w:tcPr>
          <w:p w14:paraId="33DA983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83B"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83C" w14:textId="77777777" w:rsidR="004D6A64" w:rsidRDefault="00506CD6">
            <w:pPr>
              <w:jc w:val="right"/>
              <w:textAlignment w:val="bottom"/>
            </w:pPr>
            <w:r>
              <w:rPr>
                <w:rFonts w:ascii="Times New Roman" w:eastAsia="宋体" w:hAnsi="Times New Roman"/>
                <w:color w:val="000000"/>
                <w:sz w:val="20"/>
                <w:szCs w:val="20"/>
              </w:rPr>
              <w:t>410 </w:t>
            </w:r>
          </w:p>
        </w:tc>
        <w:tc>
          <w:tcPr>
            <w:tcW w:w="0" w:type="auto"/>
            <w:shd w:val="clear" w:color="auto" w:fill="CCEEFF"/>
            <w:tcMar>
              <w:top w:w="40" w:type="dxa"/>
              <w:bottom w:w="40" w:type="dxa"/>
              <w:right w:w="20" w:type="dxa"/>
            </w:tcMar>
            <w:vAlign w:val="bottom"/>
          </w:tcPr>
          <w:p w14:paraId="33DA983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83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83F"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84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841"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842" w14:textId="77777777" w:rsidR="004D6A64" w:rsidRDefault="00506CD6">
            <w:pPr>
              <w:jc w:val="right"/>
              <w:textAlignment w:val="bottom"/>
            </w:pPr>
            <w:r>
              <w:rPr>
                <w:rFonts w:ascii="Times New Roman" w:eastAsia="宋体" w:hAnsi="Times New Roman"/>
                <w:color w:val="000000"/>
                <w:sz w:val="20"/>
                <w:szCs w:val="20"/>
              </w:rPr>
              <w:t>410 </w:t>
            </w:r>
          </w:p>
        </w:tc>
        <w:tc>
          <w:tcPr>
            <w:tcW w:w="0" w:type="auto"/>
            <w:shd w:val="clear" w:color="auto" w:fill="CCEEFF"/>
            <w:tcMar>
              <w:top w:w="40" w:type="dxa"/>
              <w:bottom w:w="40" w:type="dxa"/>
              <w:right w:w="20" w:type="dxa"/>
            </w:tcMar>
            <w:vAlign w:val="bottom"/>
          </w:tcPr>
          <w:p w14:paraId="33DA9843" w14:textId="77777777" w:rsidR="004D6A64" w:rsidRDefault="004D6A64">
            <w:pPr>
              <w:jc w:val="right"/>
              <w:rPr>
                <w:rFonts w:ascii="宋体"/>
              </w:rPr>
            </w:pPr>
          </w:p>
        </w:tc>
        <w:tc>
          <w:tcPr>
            <w:tcW w:w="0" w:type="auto"/>
            <w:shd w:val="clear" w:color="auto" w:fill="auto"/>
          </w:tcPr>
          <w:p w14:paraId="33DA9844" w14:textId="77777777" w:rsidR="004D6A64" w:rsidRDefault="004D6A64">
            <w:pPr>
              <w:rPr>
                <w:rFonts w:ascii="宋体"/>
              </w:rPr>
            </w:pPr>
          </w:p>
        </w:tc>
        <w:tc>
          <w:tcPr>
            <w:tcW w:w="0" w:type="auto"/>
            <w:shd w:val="clear" w:color="auto" w:fill="auto"/>
          </w:tcPr>
          <w:p w14:paraId="33DA9845" w14:textId="77777777" w:rsidR="004D6A64" w:rsidRDefault="004D6A64">
            <w:pPr>
              <w:rPr>
                <w:rFonts w:ascii="宋体"/>
              </w:rPr>
            </w:pPr>
          </w:p>
        </w:tc>
        <w:tc>
          <w:tcPr>
            <w:tcW w:w="0" w:type="auto"/>
            <w:shd w:val="clear" w:color="auto" w:fill="auto"/>
          </w:tcPr>
          <w:p w14:paraId="33DA9846" w14:textId="77777777" w:rsidR="004D6A64" w:rsidRDefault="004D6A64">
            <w:pPr>
              <w:rPr>
                <w:rFonts w:ascii="宋体"/>
              </w:rPr>
            </w:pPr>
          </w:p>
        </w:tc>
        <w:tc>
          <w:tcPr>
            <w:tcW w:w="0" w:type="auto"/>
            <w:shd w:val="clear" w:color="auto" w:fill="auto"/>
          </w:tcPr>
          <w:p w14:paraId="33DA9847" w14:textId="77777777" w:rsidR="004D6A64" w:rsidRDefault="004D6A64">
            <w:pPr>
              <w:rPr>
                <w:rFonts w:ascii="宋体"/>
              </w:rPr>
            </w:pPr>
          </w:p>
        </w:tc>
        <w:tc>
          <w:tcPr>
            <w:tcW w:w="0" w:type="auto"/>
            <w:shd w:val="clear" w:color="auto" w:fill="auto"/>
          </w:tcPr>
          <w:p w14:paraId="33DA9848" w14:textId="77777777" w:rsidR="004D6A64" w:rsidRDefault="004D6A64">
            <w:pPr>
              <w:rPr>
                <w:rFonts w:ascii="宋体"/>
              </w:rPr>
            </w:pPr>
          </w:p>
        </w:tc>
        <w:tc>
          <w:tcPr>
            <w:tcW w:w="0" w:type="auto"/>
            <w:shd w:val="clear" w:color="auto" w:fill="auto"/>
          </w:tcPr>
          <w:p w14:paraId="33DA9849" w14:textId="77777777" w:rsidR="004D6A64" w:rsidRDefault="004D6A64">
            <w:pPr>
              <w:rPr>
                <w:rFonts w:ascii="宋体"/>
              </w:rPr>
            </w:pPr>
          </w:p>
        </w:tc>
        <w:tc>
          <w:tcPr>
            <w:tcW w:w="0" w:type="auto"/>
            <w:shd w:val="clear" w:color="auto" w:fill="auto"/>
          </w:tcPr>
          <w:p w14:paraId="33DA984A" w14:textId="77777777" w:rsidR="004D6A64" w:rsidRDefault="004D6A64">
            <w:pPr>
              <w:rPr>
                <w:rFonts w:ascii="宋体"/>
              </w:rPr>
            </w:pPr>
          </w:p>
        </w:tc>
        <w:tc>
          <w:tcPr>
            <w:tcW w:w="0" w:type="auto"/>
            <w:shd w:val="clear" w:color="auto" w:fill="auto"/>
          </w:tcPr>
          <w:p w14:paraId="33DA984B" w14:textId="77777777" w:rsidR="004D6A64" w:rsidRDefault="004D6A64">
            <w:pPr>
              <w:rPr>
                <w:rFonts w:ascii="宋体"/>
              </w:rPr>
            </w:pPr>
          </w:p>
        </w:tc>
        <w:tc>
          <w:tcPr>
            <w:tcW w:w="0" w:type="auto"/>
            <w:shd w:val="clear" w:color="auto" w:fill="auto"/>
          </w:tcPr>
          <w:p w14:paraId="33DA984C" w14:textId="77777777" w:rsidR="004D6A64" w:rsidRDefault="004D6A64">
            <w:pPr>
              <w:rPr>
                <w:rFonts w:ascii="宋体"/>
              </w:rPr>
            </w:pPr>
          </w:p>
        </w:tc>
      </w:tr>
      <w:tr w:rsidR="00506CD6" w14:paraId="33DA9872" w14:textId="77777777">
        <w:tc>
          <w:tcPr>
            <w:tcW w:w="0" w:type="auto"/>
            <w:gridSpan w:val="3"/>
            <w:shd w:val="clear" w:color="auto" w:fill="FFFFFF"/>
            <w:tcMar>
              <w:top w:w="40" w:type="dxa"/>
              <w:left w:w="135" w:type="dxa"/>
              <w:bottom w:w="40" w:type="dxa"/>
              <w:right w:w="20" w:type="dxa"/>
            </w:tcMar>
            <w:vAlign w:val="bottom"/>
          </w:tcPr>
          <w:p w14:paraId="33DA984E" w14:textId="77777777" w:rsidR="004D6A64" w:rsidRDefault="00506CD6">
            <w:pPr>
              <w:textAlignment w:val="bottom"/>
            </w:pPr>
            <w:r>
              <w:rPr>
                <w:rFonts w:ascii="Times New Roman" w:eastAsia="宋体" w:hAnsi="Times New Roman"/>
                <w:color w:val="000000"/>
                <w:sz w:val="20"/>
                <w:szCs w:val="20"/>
              </w:rPr>
              <w:t>Cash flow hedges, net change</w:t>
            </w:r>
          </w:p>
        </w:tc>
        <w:tc>
          <w:tcPr>
            <w:tcW w:w="0" w:type="auto"/>
            <w:gridSpan w:val="2"/>
            <w:shd w:val="clear" w:color="auto" w:fill="FFFFFF"/>
            <w:tcMar>
              <w:top w:w="40" w:type="dxa"/>
              <w:left w:w="20" w:type="dxa"/>
              <w:bottom w:w="40" w:type="dxa"/>
              <w:right w:w="0" w:type="dxa"/>
            </w:tcMar>
            <w:vAlign w:val="bottom"/>
          </w:tcPr>
          <w:p w14:paraId="33DA984F"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85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85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852"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85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854"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855"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85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857"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858"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85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85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85B"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85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85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85E" w14:textId="77777777" w:rsidR="004D6A64" w:rsidRDefault="00506CD6">
            <w:pPr>
              <w:jc w:val="right"/>
              <w:textAlignment w:val="bottom"/>
            </w:pPr>
            <w:r>
              <w:rPr>
                <w:rFonts w:ascii="Times New Roman" w:eastAsia="宋体" w:hAnsi="Times New Roman"/>
                <w:color w:val="000000"/>
                <w:sz w:val="20"/>
                <w:szCs w:val="20"/>
              </w:rPr>
              <w:t>(267)</w:t>
            </w:r>
          </w:p>
        </w:tc>
        <w:tc>
          <w:tcPr>
            <w:tcW w:w="0" w:type="auto"/>
            <w:shd w:val="clear" w:color="auto" w:fill="FFFFFF"/>
            <w:tcMar>
              <w:top w:w="40" w:type="dxa"/>
              <w:bottom w:w="40" w:type="dxa"/>
              <w:right w:w="20" w:type="dxa"/>
            </w:tcMar>
            <w:vAlign w:val="bottom"/>
          </w:tcPr>
          <w:p w14:paraId="33DA985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86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861" w14:textId="77777777" w:rsidR="004D6A64" w:rsidRDefault="00506CD6">
            <w:pPr>
              <w:jc w:val="right"/>
              <w:textAlignment w:val="bottom"/>
            </w:pPr>
            <w:r>
              <w:rPr>
                <w:rFonts w:ascii="Times New Roman" w:eastAsia="宋体" w:hAnsi="Times New Roman"/>
                <w:color w:val="000000"/>
                <w:sz w:val="20"/>
                <w:szCs w:val="20"/>
              </w:rPr>
              <w:t>(267)</w:t>
            </w:r>
          </w:p>
        </w:tc>
        <w:tc>
          <w:tcPr>
            <w:tcW w:w="0" w:type="auto"/>
            <w:shd w:val="clear" w:color="auto" w:fill="FFFFFF"/>
            <w:tcMar>
              <w:top w:w="40" w:type="dxa"/>
              <w:bottom w:w="40" w:type="dxa"/>
              <w:right w:w="20" w:type="dxa"/>
            </w:tcMar>
            <w:vAlign w:val="bottom"/>
          </w:tcPr>
          <w:p w14:paraId="33DA986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86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864" w14:textId="77777777" w:rsidR="004D6A64" w:rsidRDefault="00506CD6">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bottom w:w="40" w:type="dxa"/>
              <w:right w:w="20" w:type="dxa"/>
            </w:tcMar>
            <w:vAlign w:val="bottom"/>
          </w:tcPr>
          <w:p w14:paraId="33DA986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86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867" w14:textId="77777777" w:rsidR="004D6A64" w:rsidRDefault="00506CD6">
            <w:pPr>
              <w:jc w:val="right"/>
              <w:textAlignment w:val="bottom"/>
            </w:pPr>
            <w:r>
              <w:rPr>
                <w:rFonts w:ascii="Times New Roman" w:eastAsia="宋体" w:hAnsi="Times New Roman"/>
                <w:color w:val="000000"/>
                <w:sz w:val="20"/>
                <w:szCs w:val="20"/>
              </w:rPr>
              <w:t>(265)</w:t>
            </w:r>
          </w:p>
        </w:tc>
        <w:tc>
          <w:tcPr>
            <w:tcW w:w="0" w:type="auto"/>
            <w:shd w:val="clear" w:color="auto" w:fill="FFFFFF"/>
            <w:tcMar>
              <w:top w:w="40" w:type="dxa"/>
              <w:bottom w:w="40" w:type="dxa"/>
              <w:right w:w="20" w:type="dxa"/>
            </w:tcMar>
            <w:vAlign w:val="bottom"/>
          </w:tcPr>
          <w:p w14:paraId="33DA9868" w14:textId="77777777" w:rsidR="004D6A64" w:rsidRDefault="004D6A64">
            <w:pPr>
              <w:jc w:val="right"/>
              <w:rPr>
                <w:rFonts w:ascii="宋体"/>
              </w:rPr>
            </w:pPr>
          </w:p>
        </w:tc>
        <w:tc>
          <w:tcPr>
            <w:tcW w:w="0" w:type="auto"/>
            <w:shd w:val="clear" w:color="auto" w:fill="auto"/>
          </w:tcPr>
          <w:p w14:paraId="33DA9869" w14:textId="77777777" w:rsidR="004D6A64" w:rsidRDefault="004D6A64">
            <w:pPr>
              <w:rPr>
                <w:rFonts w:ascii="宋体"/>
              </w:rPr>
            </w:pPr>
          </w:p>
        </w:tc>
        <w:tc>
          <w:tcPr>
            <w:tcW w:w="0" w:type="auto"/>
            <w:shd w:val="clear" w:color="auto" w:fill="auto"/>
          </w:tcPr>
          <w:p w14:paraId="33DA986A" w14:textId="77777777" w:rsidR="004D6A64" w:rsidRDefault="004D6A64">
            <w:pPr>
              <w:rPr>
                <w:rFonts w:ascii="宋体"/>
              </w:rPr>
            </w:pPr>
          </w:p>
        </w:tc>
        <w:tc>
          <w:tcPr>
            <w:tcW w:w="0" w:type="auto"/>
            <w:shd w:val="clear" w:color="auto" w:fill="auto"/>
          </w:tcPr>
          <w:p w14:paraId="33DA986B" w14:textId="77777777" w:rsidR="004D6A64" w:rsidRDefault="004D6A64">
            <w:pPr>
              <w:rPr>
                <w:rFonts w:ascii="宋体"/>
              </w:rPr>
            </w:pPr>
          </w:p>
        </w:tc>
        <w:tc>
          <w:tcPr>
            <w:tcW w:w="0" w:type="auto"/>
            <w:shd w:val="clear" w:color="auto" w:fill="auto"/>
          </w:tcPr>
          <w:p w14:paraId="33DA986C" w14:textId="77777777" w:rsidR="004D6A64" w:rsidRDefault="004D6A64">
            <w:pPr>
              <w:rPr>
                <w:rFonts w:ascii="宋体"/>
              </w:rPr>
            </w:pPr>
          </w:p>
        </w:tc>
        <w:tc>
          <w:tcPr>
            <w:tcW w:w="0" w:type="auto"/>
            <w:shd w:val="clear" w:color="auto" w:fill="auto"/>
          </w:tcPr>
          <w:p w14:paraId="33DA986D" w14:textId="77777777" w:rsidR="004D6A64" w:rsidRDefault="004D6A64">
            <w:pPr>
              <w:rPr>
                <w:rFonts w:ascii="宋体"/>
              </w:rPr>
            </w:pPr>
          </w:p>
        </w:tc>
        <w:tc>
          <w:tcPr>
            <w:tcW w:w="0" w:type="auto"/>
            <w:shd w:val="clear" w:color="auto" w:fill="auto"/>
          </w:tcPr>
          <w:p w14:paraId="33DA986E" w14:textId="77777777" w:rsidR="004D6A64" w:rsidRDefault="004D6A64">
            <w:pPr>
              <w:rPr>
                <w:rFonts w:ascii="宋体"/>
              </w:rPr>
            </w:pPr>
          </w:p>
        </w:tc>
        <w:tc>
          <w:tcPr>
            <w:tcW w:w="0" w:type="auto"/>
            <w:shd w:val="clear" w:color="auto" w:fill="auto"/>
          </w:tcPr>
          <w:p w14:paraId="33DA986F" w14:textId="77777777" w:rsidR="004D6A64" w:rsidRDefault="004D6A64">
            <w:pPr>
              <w:rPr>
                <w:rFonts w:ascii="宋体"/>
              </w:rPr>
            </w:pPr>
          </w:p>
        </w:tc>
        <w:tc>
          <w:tcPr>
            <w:tcW w:w="0" w:type="auto"/>
            <w:shd w:val="clear" w:color="auto" w:fill="auto"/>
          </w:tcPr>
          <w:p w14:paraId="33DA9870" w14:textId="77777777" w:rsidR="004D6A64" w:rsidRDefault="004D6A64">
            <w:pPr>
              <w:rPr>
                <w:rFonts w:ascii="宋体"/>
              </w:rPr>
            </w:pPr>
          </w:p>
        </w:tc>
        <w:tc>
          <w:tcPr>
            <w:tcW w:w="0" w:type="auto"/>
            <w:shd w:val="clear" w:color="auto" w:fill="auto"/>
          </w:tcPr>
          <w:p w14:paraId="33DA9871" w14:textId="77777777" w:rsidR="004D6A64" w:rsidRDefault="004D6A64">
            <w:pPr>
              <w:rPr>
                <w:rFonts w:ascii="宋体"/>
              </w:rPr>
            </w:pPr>
          </w:p>
        </w:tc>
      </w:tr>
      <w:tr w:rsidR="00506CD6" w14:paraId="33DA9897" w14:textId="77777777">
        <w:tc>
          <w:tcPr>
            <w:tcW w:w="0" w:type="auto"/>
            <w:gridSpan w:val="3"/>
            <w:shd w:val="clear" w:color="auto" w:fill="CCEEFF"/>
            <w:tcMar>
              <w:top w:w="40" w:type="dxa"/>
              <w:left w:w="135" w:type="dxa"/>
              <w:bottom w:w="40" w:type="dxa"/>
              <w:right w:w="20" w:type="dxa"/>
            </w:tcMar>
            <w:vAlign w:val="bottom"/>
          </w:tcPr>
          <w:p w14:paraId="33DA9873" w14:textId="77777777" w:rsidR="004D6A64" w:rsidRDefault="00506CD6">
            <w:pPr>
              <w:textAlignment w:val="bottom"/>
            </w:pPr>
            <w:r>
              <w:rPr>
                <w:rFonts w:ascii="Times New Roman" w:eastAsia="宋体" w:hAnsi="Times New Roman"/>
                <w:color w:val="000000"/>
                <w:sz w:val="20"/>
                <w:szCs w:val="20"/>
              </w:rPr>
              <w:t>Pension and other post-retirement</w:t>
            </w:r>
          </w:p>
        </w:tc>
        <w:tc>
          <w:tcPr>
            <w:tcW w:w="0" w:type="auto"/>
            <w:gridSpan w:val="2"/>
            <w:shd w:val="clear" w:color="auto" w:fill="CCEEFF"/>
            <w:tcMar>
              <w:top w:w="40" w:type="dxa"/>
              <w:left w:w="20" w:type="dxa"/>
              <w:bottom w:w="40" w:type="dxa"/>
              <w:right w:w="0" w:type="dxa"/>
            </w:tcMar>
            <w:vAlign w:val="bottom"/>
          </w:tcPr>
          <w:p w14:paraId="33DA9874"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87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87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877"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87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87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87A"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87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87C"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87D"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87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87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880"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88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88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883" w14:textId="77777777" w:rsidR="004D6A64" w:rsidRDefault="00506CD6">
            <w:pPr>
              <w:jc w:val="right"/>
              <w:textAlignment w:val="bottom"/>
            </w:pPr>
            <w:r>
              <w:rPr>
                <w:rFonts w:ascii="Times New Roman" w:eastAsia="宋体" w:hAnsi="Times New Roman"/>
                <w:color w:val="000000"/>
                <w:sz w:val="20"/>
                <w:szCs w:val="20"/>
              </w:rPr>
              <w:t>(13)</w:t>
            </w:r>
          </w:p>
        </w:tc>
        <w:tc>
          <w:tcPr>
            <w:tcW w:w="0" w:type="auto"/>
            <w:shd w:val="clear" w:color="auto" w:fill="CCEEFF"/>
            <w:tcMar>
              <w:top w:w="40" w:type="dxa"/>
              <w:bottom w:w="40" w:type="dxa"/>
              <w:right w:w="20" w:type="dxa"/>
            </w:tcMar>
            <w:vAlign w:val="bottom"/>
          </w:tcPr>
          <w:p w14:paraId="33DA988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88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886" w14:textId="77777777" w:rsidR="004D6A64" w:rsidRDefault="00506CD6">
            <w:pPr>
              <w:jc w:val="right"/>
              <w:textAlignment w:val="bottom"/>
            </w:pPr>
            <w:r>
              <w:rPr>
                <w:rFonts w:ascii="Times New Roman" w:eastAsia="宋体" w:hAnsi="Times New Roman"/>
                <w:color w:val="000000"/>
                <w:sz w:val="20"/>
                <w:szCs w:val="20"/>
              </w:rPr>
              <w:t>(13)</w:t>
            </w:r>
          </w:p>
        </w:tc>
        <w:tc>
          <w:tcPr>
            <w:tcW w:w="0" w:type="auto"/>
            <w:shd w:val="clear" w:color="auto" w:fill="CCEEFF"/>
            <w:tcMar>
              <w:top w:w="40" w:type="dxa"/>
              <w:bottom w:w="40" w:type="dxa"/>
              <w:right w:w="20" w:type="dxa"/>
            </w:tcMar>
            <w:vAlign w:val="bottom"/>
          </w:tcPr>
          <w:p w14:paraId="33DA988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888"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889"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88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88B"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88C" w14:textId="77777777" w:rsidR="004D6A64" w:rsidRDefault="00506CD6">
            <w:pPr>
              <w:jc w:val="right"/>
              <w:textAlignment w:val="bottom"/>
            </w:pPr>
            <w:r>
              <w:rPr>
                <w:rFonts w:ascii="Times New Roman" w:eastAsia="宋体" w:hAnsi="Times New Roman"/>
                <w:color w:val="000000"/>
                <w:sz w:val="20"/>
                <w:szCs w:val="20"/>
              </w:rPr>
              <w:t>(13)</w:t>
            </w:r>
          </w:p>
        </w:tc>
        <w:tc>
          <w:tcPr>
            <w:tcW w:w="0" w:type="auto"/>
            <w:shd w:val="clear" w:color="auto" w:fill="CCEEFF"/>
            <w:tcMar>
              <w:top w:w="40" w:type="dxa"/>
              <w:bottom w:w="40" w:type="dxa"/>
              <w:right w:w="20" w:type="dxa"/>
            </w:tcMar>
            <w:vAlign w:val="bottom"/>
          </w:tcPr>
          <w:p w14:paraId="33DA988D" w14:textId="77777777" w:rsidR="004D6A64" w:rsidRDefault="004D6A64">
            <w:pPr>
              <w:jc w:val="right"/>
              <w:rPr>
                <w:rFonts w:ascii="宋体"/>
              </w:rPr>
            </w:pPr>
          </w:p>
        </w:tc>
        <w:tc>
          <w:tcPr>
            <w:tcW w:w="0" w:type="auto"/>
            <w:shd w:val="clear" w:color="auto" w:fill="auto"/>
          </w:tcPr>
          <w:p w14:paraId="33DA988E" w14:textId="77777777" w:rsidR="004D6A64" w:rsidRDefault="004D6A64">
            <w:pPr>
              <w:rPr>
                <w:rFonts w:ascii="宋体"/>
              </w:rPr>
            </w:pPr>
          </w:p>
        </w:tc>
        <w:tc>
          <w:tcPr>
            <w:tcW w:w="0" w:type="auto"/>
            <w:shd w:val="clear" w:color="auto" w:fill="auto"/>
          </w:tcPr>
          <w:p w14:paraId="33DA988F" w14:textId="77777777" w:rsidR="004D6A64" w:rsidRDefault="004D6A64">
            <w:pPr>
              <w:rPr>
                <w:rFonts w:ascii="宋体"/>
              </w:rPr>
            </w:pPr>
          </w:p>
        </w:tc>
        <w:tc>
          <w:tcPr>
            <w:tcW w:w="0" w:type="auto"/>
            <w:shd w:val="clear" w:color="auto" w:fill="auto"/>
          </w:tcPr>
          <w:p w14:paraId="33DA9890" w14:textId="77777777" w:rsidR="004D6A64" w:rsidRDefault="004D6A64">
            <w:pPr>
              <w:rPr>
                <w:rFonts w:ascii="宋体"/>
              </w:rPr>
            </w:pPr>
          </w:p>
        </w:tc>
        <w:tc>
          <w:tcPr>
            <w:tcW w:w="0" w:type="auto"/>
            <w:shd w:val="clear" w:color="auto" w:fill="auto"/>
          </w:tcPr>
          <w:p w14:paraId="33DA9891" w14:textId="77777777" w:rsidR="004D6A64" w:rsidRDefault="004D6A64">
            <w:pPr>
              <w:rPr>
                <w:rFonts w:ascii="宋体"/>
              </w:rPr>
            </w:pPr>
          </w:p>
        </w:tc>
        <w:tc>
          <w:tcPr>
            <w:tcW w:w="0" w:type="auto"/>
            <w:shd w:val="clear" w:color="auto" w:fill="auto"/>
          </w:tcPr>
          <w:p w14:paraId="33DA9892" w14:textId="77777777" w:rsidR="004D6A64" w:rsidRDefault="004D6A64">
            <w:pPr>
              <w:rPr>
                <w:rFonts w:ascii="宋体"/>
              </w:rPr>
            </w:pPr>
          </w:p>
        </w:tc>
        <w:tc>
          <w:tcPr>
            <w:tcW w:w="0" w:type="auto"/>
            <w:shd w:val="clear" w:color="auto" w:fill="auto"/>
          </w:tcPr>
          <w:p w14:paraId="33DA9893" w14:textId="77777777" w:rsidR="004D6A64" w:rsidRDefault="004D6A64">
            <w:pPr>
              <w:rPr>
                <w:rFonts w:ascii="宋体"/>
              </w:rPr>
            </w:pPr>
          </w:p>
        </w:tc>
        <w:tc>
          <w:tcPr>
            <w:tcW w:w="0" w:type="auto"/>
            <w:shd w:val="clear" w:color="auto" w:fill="auto"/>
          </w:tcPr>
          <w:p w14:paraId="33DA9894" w14:textId="77777777" w:rsidR="004D6A64" w:rsidRDefault="004D6A64">
            <w:pPr>
              <w:rPr>
                <w:rFonts w:ascii="宋体"/>
              </w:rPr>
            </w:pPr>
          </w:p>
        </w:tc>
        <w:tc>
          <w:tcPr>
            <w:tcW w:w="0" w:type="auto"/>
            <w:shd w:val="clear" w:color="auto" w:fill="auto"/>
          </w:tcPr>
          <w:p w14:paraId="33DA9895" w14:textId="77777777" w:rsidR="004D6A64" w:rsidRDefault="004D6A64">
            <w:pPr>
              <w:rPr>
                <w:rFonts w:ascii="宋体"/>
              </w:rPr>
            </w:pPr>
          </w:p>
        </w:tc>
        <w:tc>
          <w:tcPr>
            <w:tcW w:w="0" w:type="auto"/>
            <w:shd w:val="clear" w:color="auto" w:fill="auto"/>
          </w:tcPr>
          <w:p w14:paraId="33DA9896" w14:textId="77777777" w:rsidR="004D6A64" w:rsidRDefault="004D6A64">
            <w:pPr>
              <w:rPr>
                <w:rFonts w:ascii="宋体"/>
              </w:rPr>
            </w:pPr>
          </w:p>
        </w:tc>
      </w:tr>
      <w:tr w:rsidR="00506CD6" w14:paraId="33DA98BC" w14:textId="77777777">
        <w:tc>
          <w:tcPr>
            <w:tcW w:w="0" w:type="auto"/>
            <w:gridSpan w:val="3"/>
            <w:shd w:val="clear" w:color="auto" w:fill="FFFFFF"/>
            <w:tcMar>
              <w:top w:w="40" w:type="dxa"/>
              <w:left w:w="135" w:type="dxa"/>
              <w:bottom w:w="40" w:type="dxa"/>
              <w:right w:w="20" w:type="dxa"/>
            </w:tcMar>
            <w:vAlign w:val="bottom"/>
          </w:tcPr>
          <w:p w14:paraId="33DA9898" w14:textId="77777777" w:rsidR="004D6A64" w:rsidRDefault="00506CD6">
            <w:pPr>
              <w:textAlignment w:val="bottom"/>
            </w:pPr>
            <w:r>
              <w:rPr>
                <w:rFonts w:ascii="Times New Roman" w:eastAsia="宋体" w:hAnsi="Times New Roman"/>
                <w:color w:val="000000"/>
                <w:sz w:val="20"/>
                <w:szCs w:val="20"/>
              </w:rPr>
              <w:t>Issuance of common stock</w:t>
            </w:r>
          </w:p>
        </w:tc>
        <w:tc>
          <w:tcPr>
            <w:tcW w:w="0" w:type="auto"/>
            <w:gridSpan w:val="2"/>
            <w:shd w:val="clear" w:color="auto" w:fill="FFFFFF"/>
            <w:tcMar>
              <w:top w:w="40" w:type="dxa"/>
              <w:left w:w="20" w:type="dxa"/>
              <w:bottom w:w="40" w:type="dxa"/>
              <w:right w:w="0" w:type="dxa"/>
            </w:tcMar>
            <w:vAlign w:val="bottom"/>
          </w:tcPr>
          <w:p w14:paraId="33DA9899" w14:textId="77777777" w:rsidR="004D6A64" w:rsidRDefault="00506CD6">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bottom w:w="40" w:type="dxa"/>
              <w:right w:w="20" w:type="dxa"/>
            </w:tcMar>
            <w:vAlign w:val="bottom"/>
          </w:tcPr>
          <w:p w14:paraId="33DA989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89B"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89C" w14:textId="77777777" w:rsidR="004D6A64" w:rsidRDefault="00506CD6">
            <w:pPr>
              <w:jc w:val="right"/>
              <w:textAlignment w:val="bottom"/>
            </w:pPr>
            <w:r>
              <w:rPr>
                <w:rFonts w:ascii="Times New Roman" w:eastAsia="宋体" w:hAnsi="Times New Roman"/>
                <w:color w:val="000000"/>
                <w:sz w:val="20"/>
                <w:szCs w:val="20"/>
              </w:rPr>
              <w:t>69 </w:t>
            </w:r>
          </w:p>
        </w:tc>
        <w:tc>
          <w:tcPr>
            <w:tcW w:w="0" w:type="auto"/>
            <w:shd w:val="clear" w:color="auto" w:fill="FFFFFF"/>
            <w:tcMar>
              <w:top w:w="40" w:type="dxa"/>
              <w:bottom w:w="40" w:type="dxa"/>
              <w:right w:w="20" w:type="dxa"/>
            </w:tcMar>
            <w:vAlign w:val="bottom"/>
          </w:tcPr>
          <w:p w14:paraId="33DA989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89E"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89F"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8A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8A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8A2"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8A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8A4"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8A5"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8A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8A7"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8A8"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8A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8A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8AB" w14:textId="77777777" w:rsidR="004D6A64" w:rsidRDefault="00506CD6">
            <w:pPr>
              <w:jc w:val="right"/>
              <w:textAlignment w:val="bottom"/>
            </w:pPr>
            <w:r>
              <w:rPr>
                <w:rFonts w:ascii="Times New Roman" w:eastAsia="宋体" w:hAnsi="Times New Roman"/>
                <w:color w:val="000000"/>
                <w:sz w:val="20"/>
                <w:szCs w:val="20"/>
              </w:rPr>
              <w:t>69 </w:t>
            </w:r>
          </w:p>
        </w:tc>
        <w:tc>
          <w:tcPr>
            <w:tcW w:w="0" w:type="auto"/>
            <w:shd w:val="clear" w:color="auto" w:fill="FFFFFF"/>
            <w:tcMar>
              <w:top w:w="40" w:type="dxa"/>
              <w:bottom w:w="40" w:type="dxa"/>
              <w:right w:w="20" w:type="dxa"/>
            </w:tcMar>
            <w:vAlign w:val="bottom"/>
          </w:tcPr>
          <w:p w14:paraId="33DA98A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8A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8AE"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8A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8B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8B1" w14:textId="77777777" w:rsidR="004D6A64" w:rsidRDefault="00506CD6">
            <w:pPr>
              <w:jc w:val="right"/>
              <w:textAlignment w:val="bottom"/>
            </w:pPr>
            <w:r>
              <w:rPr>
                <w:rFonts w:ascii="Times New Roman" w:eastAsia="宋体" w:hAnsi="Times New Roman"/>
                <w:color w:val="000000"/>
                <w:sz w:val="20"/>
                <w:szCs w:val="20"/>
              </w:rPr>
              <w:t>69 </w:t>
            </w:r>
          </w:p>
        </w:tc>
        <w:tc>
          <w:tcPr>
            <w:tcW w:w="0" w:type="auto"/>
            <w:shd w:val="clear" w:color="auto" w:fill="FFFFFF"/>
            <w:tcMar>
              <w:top w:w="40" w:type="dxa"/>
              <w:bottom w:w="40" w:type="dxa"/>
              <w:right w:w="20" w:type="dxa"/>
            </w:tcMar>
            <w:vAlign w:val="bottom"/>
          </w:tcPr>
          <w:p w14:paraId="33DA98B2" w14:textId="77777777" w:rsidR="004D6A64" w:rsidRDefault="004D6A64">
            <w:pPr>
              <w:jc w:val="right"/>
              <w:rPr>
                <w:rFonts w:ascii="宋体"/>
              </w:rPr>
            </w:pPr>
          </w:p>
        </w:tc>
        <w:tc>
          <w:tcPr>
            <w:tcW w:w="0" w:type="auto"/>
            <w:shd w:val="clear" w:color="auto" w:fill="auto"/>
          </w:tcPr>
          <w:p w14:paraId="33DA98B3" w14:textId="77777777" w:rsidR="004D6A64" w:rsidRDefault="004D6A64">
            <w:pPr>
              <w:rPr>
                <w:rFonts w:ascii="宋体"/>
              </w:rPr>
            </w:pPr>
          </w:p>
        </w:tc>
        <w:tc>
          <w:tcPr>
            <w:tcW w:w="0" w:type="auto"/>
            <w:shd w:val="clear" w:color="auto" w:fill="auto"/>
          </w:tcPr>
          <w:p w14:paraId="33DA98B4" w14:textId="77777777" w:rsidR="004D6A64" w:rsidRDefault="004D6A64">
            <w:pPr>
              <w:rPr>
                <w:rFonts w:ascii="宋体"/>
              </w:rPr>
            </w:pPr>
          </w:p>
        </w:tc>
        <w:tc>
          <w:tcPr>
            <w:tcW w:w="0" w:type="auto"/>
            <w:shd w:val="clear" w:color="auto" w:fill="auto"/>
          </w:tcPr>
          <w:p w14:paraId="33DA98B5" w14:textId="77777777" w:rsidR="004D6A64" w:rsidRDefault="004D6A64">
            <w:pPr>
              <w:rPr>
                <w:rFonts w:ascii="宋体"/>
              </w:rPr>
            </w:pPr>
          </w:p>
        </w:tc>
        <w:tc>
          <w:tcPr>
            <w:tcW w:w="0" w:type="auto"/>
            <w:shd w:val="clear" w:color="auto" w:fill="auto"/>
          </w:tcPr>
          <w:p w14:paraId="33DA98B6" w14:textId="77777777" w:rsidR="004D6A64" w:rsidRDefault="004D6A64">
            <w:pPr>
              <w:rPr>
                <w:rFonts w:ascii="宋体"/>
              </w:rPr>
            </w:pPr>
          </w:p>
        </w:tc>
        <w:tc>
          <w:tcPr>
            <w:tcW w:w="0" w:type="auto"/>
            <w:shd w:val="clear" w:color="auto" w:fill="auto"/>
          </w:tcPr>
          <w:p w14:paraId="33DA98B7" w14:textId="77777777" w:rsidR="004D6A64" w:rsidRDefault="004D6A64">
            <w:pPr>
              <w:rPr>
                <w:rFonts w:ascii="宋体"/>
              </w:rPr>
            </w:pPr>
          </w:p>
        </w:tc>
        <w:tc>
          <w:tcPr>
            <w:tcW w:w="0" w:type="auto"/>
            <w:shd w:val="clear" w:color="auto" w:fill="auto"/>
          </w:tcPr>
          <w:p w14:paraId="33DA98B8" w14:textId="77777777" w:rsidR="004D6A64" w:rsidRDefault="004D6A64">
            <w:pPr>
              <w:rPr>
                <w:rFonts w:ascii="宋体"/>
              </w:rPr>
            </w:pPr>
          </w:p>
        </w:tc>
        <w:tc>
          <w:tcPr>
            <w:tcW w:w="0" w:type="auto"/>
            <w:shd w:val="clear" w:color="auto" w:fill="auto"/>
          </w:tcPr>
          <w:p w14:paraId="33DA98B9" w14:textId="77777777" w:rsidR="004D6A64" w:rsidRDefault="004D6A64">
            <w:pPr>
              <w:rPr>
                <w:rFonts w:ascii="宋体"/>
              </w:rPr>
            </w:pPr>
          </w:p>
        </w:tc>
        <w:tc>
          <w:tcPr>
            <w:tcW w:w="0" w:type="auto"/>
            <w:shd w:val="clear" w:color="auto" w:fill="auto"/>
          </w:tcPr>
          <w:p w14:paraId="33DA98BA" w14:textId="77777777" w:rsidR="004D6A64" w:rsidRDefault="004D6A64">
            <w:pPr>
              <w:rPr>
                <w:rFonts w:ascii="宋体"/>
              </w:rPr>
            </w:pPr>
          </w:p>
        </w:tc>
        <w:tc>
          <w:tcPr>
            <w:tcW w:w="0" w:type="auto"/>
            <w:shd w:val="clear" w:color="auto" w:fill="auto"/>
          </w:tcPr>
          <w:p w14:paraId="33DA98BB" w14:textId="77777777" w:rsidR="004D6A64" w:rsidRDefault="004D6A64">
            <w:pPr>
              <w:rPr>
                <w:rFonts w:ascii="宋体"/>
              </w:rPr>
            </w:pPr>
          </w:p>
        </w:tc>
      </w:tr>
      <w:tr w:rsidR="00506CD6" w14:paraId="33DA98E1" w14:textId="77777777">
        <w:tc>
          <w:tcPr>
            <w:tcW w:w="0" w:type="auto"/>
            <w:gridSpan w:val="3"/>
            <w:shd w:val="clear" w:color="auto" w:fill="CCEEFF"/>
            <w:tcMar>
              <w:top w:w="40" w:type="dxa"/>
              <w:left w:w="135" w:type="dxa"/>
              <w:bottom w:w="40" w:type="dxa"/>
              <w:right w:w="20" w:type="dxa"/>
            </w:tcMar>
            <w:vAlign w:val="bottom"/>
          </w:tcPr>
          <w:p w14:paraId="33DA98BD" w14:textId="77777777" w:rsidR="004D6A64" w:rsidRDefault="00506CD6">
            <w:pPr>
              <w:textAlignment w:val="bottom"/>
            </w:pPr>
            <w:r>
              <w:rPr>
                <w:rFonts w:ascii="Times New Roman" w:eastAsia="宋体" w:hAnsi="Times New Roman"/>
                <w:color w:val="000000"/>
                <w:sz w:val="20"/>
                <w:szCs w:val="20"/>
              </w:rPr>
              <w:t>Stock-based compensation expense</w:t>
            </w:r>
          </w:p>
        </w:tc>
        <w:tc>
          <w:tcPr>
            <w:tcW w:w="0" w:type="auto"/>
            <w:gridSpan w:val="2"/>
            <w:shd w:val="clear" w:color="auto" w:fill="CCEEFF"/>
            <w:tcMar>
              <w:top w:w="40" w:type="dxa"/>
              <w:left w:w="20" w:type="dxa"/>
              <w:bottom w:w="40" w:type="dxa"/>
              <w:right w:w="0" w:type="dxa"/>
            </w:tcMar>
            <w:vAlign w:val="bottom"/>
          </w:tcPr>
          <w:p w14:paraId="33DA98BE"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8B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8C0"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8C1" w14:textId="77777777" w:rsidR="004D6A64" w:rsidRDefault="00506CD6">
            <w:pPr>
              <w:jc w:val="right"/>
              <w:textAlignment w:val="bottom"/>
            </w:pPr>
            <w:r>
              <w:rPr>
                <w:rFonts w:ascii="Times New Roman" w:eastAsia="宋体" w:hAnsi="Times New Roman"/>
                <w:color w:val="000000"/>
                <w:sz w:val="20"/>
                <w:szCs w:val="20"/>
              </w:rPr>
              <w:t>114 </w:t>
            </w:r>
          </w:p>
        </w:tc>
        <w:tc>
          <w:tcPr>
            <w:tcW w:w="0" w:type="auto"/>
            <w:shd w:val="clear" w:color="auto" w:fill="CCEEFF"/>
            <w:tcMar>
              <w:top w:w="40" w:type="dxa"/>
              <w:bottom w:w="40" w:type="dxa"/>
              <w:right w:w="20" w:type="dxa"/>
            </w:tcMar>
            <w:vAlign w:val="bottom"/>
          </w:tcPr>
          <w:p w14:paraId="33DA98C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8C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8C4"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8C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8C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8C7"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8C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8C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8CA"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8C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8CC"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8CD"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8C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8C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8D0" w14:textId="77777777" w:rsidR="004D6A64" w:rsidRDefault="00506CD6">
            <w:pPr>
              <w:jc w:val="right"/>
              <w:textAlignment w:val="bottom"/>
            </w:pPr>
            <w:r>
              <w:rPr>
                <w:rFonts w:ascii="Times New Roman" w:eastAsia="宋体" w:hAnsi="Times New Roman"/>
                <w:color w:val="000000"/>
                <w:sz w:val="20"/>
                <w:szCs w:val="20"/>
              </w:rPr>
              <w:t>114 </w:t>
            </w:r>
          </w:p>
        </w:tc>
        <w:tc>
          <w:tcPr>
            <w:tcW w:w="0" w:type="auto"/>
            <w:shd w:val="clear" w:color="auto" w:fill="CCEEFF"/>
            <w:tcMar>
              <w:top w:w="40" w:type="dxa"/>
              <w:bottom w:w="40" w:type="dxa"/>
              <w:right w:w="20" w:type="dxa"/>
            </w:tcMar>
            <w:vAlign w:val="bottom"/>
          </w:tcPr>
          <w:p w14:paraId="33DA98D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8D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8D3" w14:textId="77777777" w:rsidR="004D6A64" w:rsidRDefault="00506CD6">
            <w:pPr>
              <w:jc w:val="right"/>
              <w:textAlignment w:val="bottom"/>
            </w:pPr>
            <w:r>
              <w:rPr>
                <w:rFonts w:ascii="Times New Roman" w:eastAsia="宋体" w:hAnsi="Times New Roman"/>
                <w:color w:val="000000"/>
                <w:sz w:val="20"/>
                <w:szCs w:val="20"/>
              </w:rPr>
              <w:t>299 </w:t>
            </w:r>
          </w:p>
        </w:tc>
        <w:tc>
          <w:tcPr>
            <w:tcW w:w="0" w:type="auto"/>
            <w:shd w:val="clear" w:color="auto" w:fill="CCEEFF"/>
            <w:tcMar>
              <w:top w:w="40" w:type="dxa"/>
              <w:bottom w:w="40" w:type="dxa"/>
              <w:right w:w="20" w:type="dxa"/>
            </w:tcMar>
            <w:vAlign w:val="bottom"/>
          </w:tcPr>
          <w:p w14:paraId="33DA98D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8D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8D6" w14:textId="77777777" w:rsidR="004D6A64" w:rsidRDefault="00506CD6">
            <w:pPr>
              <w:jc w:val="right"/>
              <w:textAlignment w:val="bottom"/>
            </w:pPr>
            <w:r>
              <w:rPr>
                <w:rFonts w:ascii="Times New Roman" w:eastAsia="宋体" w:hAnsi="Times New Roman"/>
                <w:color w:val="000000"/>
                <w:sz w:val="20"/>
                <w:szCs w:val="20"/>
              </w:rPr>
              <w:t>413 </w:t>
            </w:r>
          </w:p>
        </w:tc>
        <w:tc>
          <w:tcPr>
            <w:tcW w:w="0" w:type="auto"/>
            <w:shd w:val="clear" w:color="auto" w:fill="CCEEFF"/>
            <w:tcMar>
              <w:top w:w="40" w:type="dxa"/>
              <w:bottom w:w="40" w:type="dxa"/>
              <w:right w:w="20" w:type="dxa"/>
            </w:tcMar>
            <w:vAlign w:val="bottom"/>
          </w:tcPr>
          <w:p w14:paraId="33DA98D7" w14:textId="77777777" w:rsidR="004D6A64" w:rsidRDefault="004D6A64">
            <w:pPr>
              <w:jc w:val="right"/>
              <w:rPr>
                <w:rFonts w:ascii="宋体"/>
              </w:rPr>
            </w:pPr>
          </w:p>
        </w:tc>
        <w:tc>
          <w:tcPr>
            <w:tcW w:w="0" w:type="auto"/>
            <w:shd w:val="clear" w:color="auto" w:fill="auto"/>
          </w:tcPr>
          <w:p w14:paraId="33DA98D8" w14:textId="77777777" w:rsidR="004D6A64" w:rsidRDefault="004D6A64">
            <w:pPr>
              <w:rPr>
                <w:rFonts w:ascii="宋体"/>
              </w:rPr>
            </w:pPr>
          </w:p>
        </w:tc>
        <w:tc>
          <w:tcPr>
            <w:tcW w:w="0" w:type="auto"/>
            <w:shd w:val="clear" w:color="auto" w:fill="auto"/>
          </w:tcPr>
          <w:p w14:paraId="33DA98D9" w14:textId="77777777" w:rsidR="004D6A64" w:rsidRDefault="004D6A64">
            <w:pPr>
              <w:rPr>
                <w:rFonts w:ascii="宋体"/>
              </w:rPr>
            </w:pPr>
          </w:p>
        </w:tc>
        <w:tc>
          <w:tcPr>
            <w:tcW w:w="0" w:type="auto"/>
            <w:shd w:val="clear" w:color="auto" w:fill="auto"/>
          </w:tcPr>
          <w:p w14:paraId="33DA98DA" w14:textId="77777777" w:rsidR="004D6A64" w:rsidRDefault="004D6A64">
            <w:pPr>
              <w:rPr>
                <w:rFonts w:ascii="宋体"/>
              </w:rPr>
            </w:pPr>
          </w:p>
        </w:tc>
        <w:tc>
          <w:tcPr>
            <w:tcW w:w="0" w:type="auto"/>
            <w:shd w:val="clear" w:color="auto" w:fill="auto"/>
          </w:tcPr>
          <w:p w14:paraId="33DA98DB" w14:textId="77777777" w:rsidR="004D6A64" w:rsidRDefault="004D6A64">
            <w:pPr>
              <w:rPr>
                <w:rFonts w:ascii="宋体"/>
              </w:rPr>
            </w:pPr>
          </w:p>
        </w:tc>
        <w:tc>
          <w:tcPr>
            <w:tcW w:w="0" w:type="auto"/>
            <w:shd w:val="clear" w:color="auto" w:fill="auto"/>
          </w:tcPr>
          <w:p w14:paraId="33DA98DC" w14:textId="77777777" w:rsidR="004D6A64" w:rsidRDefault="004D6A64">
            <w:pPr>
              <w:rPr>
                <w:rFonts w:ascii="宋体"/>
              </w:rPr>
            </w:pPr>
          </w:p>
        </w:tc>
        <w:tc>
          <w:tcPr>
            <w:tcW w:w="0" w:type="auto"/>
            <w:shd w:val="clear" w:color="auto" w:fill="auto"/>
          </w:tcPr>
          <w:p w14:paraId="33DA98DD" w14:textId="77777777" w:rsidR="004D6A64" w:rsidRDefault="004D6A64">
            <w:pPr>
              <w:rPr>
                <w:rFonts w:ascii="宋体"/>
              </w:rPr>
            </w:pPr>
          </w:p>
        </w:tc>
        <w:tc>
          <w:tcPr>
            <w:tcW w:w="0" w:type="auto"/>
            <w:shd w:val="clear" w:color="auto" w:fill="auto"/>
          </w:tcPr>
          <w:p w14:paraId="33DA98DE" w14:textId="77777777" w:rsidR="004D6A64" w:rsidRDefault="004D6A64">
            <w:pPr>
              <w:rPr>
                <w:rFonts w:ascii="宋体"/>
              </w:rPr>
            </w:pPr>
          </w:p>
        </w:tc>
        <w:tc>
          <w:tcPr>
            <w:tcW w:w="0" w:type="auto"/>
            <w:shd w:val="clear" w:color="auto" w:fill="auto"/>
          </w:tcPr>
          <w:p w14:paraId="33DA98DF" w14:textId="77777777" w:rsidR="004D6A64" w:rsidRDefault="004D6A64">
            <w:pPr>
              <w:rPr>
                <w:rFonts w:ascii="宋体"/>
              </w:rPr>
            </w:pPr>
          </w:p>
        </w:tc>
        <w:tc>
          <w:tcPr>
            <w:tcW w:w="0" w:type="auto"/>
            <w:shd w:val="clear" w:color="auto" w:fill="auto"/>
          </w:tcPr>
          <w:p w14:paraId="33DA98E0" w14:textId="77777777" w:rsidR="004D6A64" w:rsidRDefault="004D6A64">
            <w:pPr>
              <w:rPr>
                <w:rFonts w:ascii="宋体"/>
              </w:rPr>
            </w:pPr>
          </w:p>
        </w:tc>
      </w:tr>
      <w:tr w:rsidR="00506CD6" w14:paraId="33DA9906" w14:textId="77777777">
        <w:tc>
          <w:tcPr>
            <w:tcW w:w="0" w:type="auto"/>
            <w:gridSpan w:val="3"/>
            <w:shd w:val="clear" w:color="auto" w:fill="FFFFFF"/>
            <w:tcMar>
              <w:top w:w="40" w:type="dxa"/>
              <w:left w:w="135" w:type="dxa"/>
              <w:bottom w:w="40" w:type="dxa"/>
              <w:right w:w="20" w:type="dxa"/>
            </w:tcMar>
            <w:vAlign w:val="bottom"/>
          </w:tcPr>
          <w:p w14:paraId="33DA98E2" w14:textId="77777777" w:rsidR="004D6A64" w:rsidRDefault="00506CD6">
            <w:pPr>
              <w:textAlignment w:val="bottom"/>
            </w:pPr>
            <w:r>
              <w:rPr>
                <w:rFonts w:ascii="Times New Roman" w:eastAsia="宋体" w:hAnsi="Times New Roman"/>
                <w:color w:val="000000"/>
                <w:sz w:val="20"/>
                <w:szCs w:val="20"/>
              </w:rPr>
              <w:t>Treasury stock repurchases</w:t>
            </w:r>
          </w:p>
        </w:tc>
        <w:tc>
          <w:tcPr>
            <w:tcW w:w="0" w:type="auto"/>
            <w:gridSpan w:val="2"/>
            <w:shd w:val="clear" w:color="auto" w:fill="FFFFFF"/>
            <w:tcMar>
              <w:top w:w="40" w:type="dxa"/>
              <w:left w:w="20" w:type="dxa"/>
              <w:bottom w:w="40" w:type="dxa"/>
              <w:right w:w="0" w:type="dxa"/>
            </w:tcMar>
            <w:vAlign w:val="bottom"/>
          </w:tcPr>
          <w:p w14:paraId="33DA98E3"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8E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8E5"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8E6"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8E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8E8"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8E9"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8E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8EB"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8EC"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8E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8EE"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8EF"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8F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8F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8F2"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8F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8F4"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8F5"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8F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8F7"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8F8"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8F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8F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8FB"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8FC" w14:textId="77777777" w:rsidR="004D6A64" w:rsidRDefault="004D6A64">
            <w:pPr>
              <w:jc w:val="right"/>
              <w:rPr>
                <w:rFonts w:ascii="宋体"/>
              </w:rPr>
            </w:pPr>
          </w:p>
        </w:tc>
        <w:tc>
          <w:tcPr>
            <w:tcW w:w="0" w:type="auto"/>
            <w:shd w:val="clear" w:color="auto" w:fill="auto"/>
          </w:tcPr>
          <w:p w14:paraId="33DA98FD" w14:textId="77777777" w:rsidR="004D6A64" w:rsidRDefault="004D6A64">
            <w:pPr>
              <w:rPr>
                <w:rFonts w:ascii="宋体"/>
              </w:rPr>
            </w:pPr>
          </w:p>
        </w:tc>
        <w:tc>
          <w:tcPr>
            <w:tcW w:w="0" w:type="auto"/>
            <w:shd w:val="clear" w:color="auto" w:fill="auto"/>
          </w:tcPr>
          <w:p w14:paraId="33DA98FE" w14:textId="77777777" w:rsidR="004D6A64" w:rsidRDefault="004D6A64">
            <w:pPr>
              <w:rPr>
                <w:rFonts w:ascii="宋体"/>
              </w:rPr>
            </w:pPr>
          </w:p>
        </w:tc>
        <w:tc>
          <w:tcPr>
            <w:tcW w:w="0" w:type="auto"/>
            <w:shd w:val="clear" w:color="auto" w:fill="auto"/>
          </w:tcPr>
          <w:p w14:paraId="33DA98FF" w14:textId="77777777" w:rsidR="004D6A64" w:rsidRDefault="004D6A64">
            <w:pPr>
              <w:rPr>
                <w:rFonts w:ascii="宋体"/>
              </w:rPr>
            </w:pPr>
          </w:p>
        </w:tc>
        <w:tc>
          <w:tcPr>
            <w:tcW w:w="0" w:type="auto"/>
            <w:shd w:val="clear" w:color="auto" w:fill="auto"/>
          </w:tcPr>
          <w:p w14:paraId="33DA9900" w14:textId="77777777" w:rsidR="004D6A64" w:rsidRDefault="004D6A64">
            <w:pPr>
              <w:rPr>
                <w:rFonts w:ascii="宋体"/>
              </w:rPr>
            </w:pPr>
          </w:p>
        </w:tc>
        <w:tc>
          <w:tcPr>
            <w:tcW w:w="0" w:type="auto"/>
            <w:shd w:val="clear" w:color="auto" w:fill="auto"/>
          </w:tcPr>
          <w:p w14:paraId="33DA9901" w14:textId="77777777" w:rsidR="004D6A64" w:rsidRDefault="004D6A64">
            <w:pPr>
              <w:rPr>
                <w:rFonts w:ascii="宋体"/>
              </w:rPr>
            </w:pPr>
          </w:p>
        </w:tc>
        <w:tc>
          <w:tcPr>
            <w:tcW w:w="0" w:type="auto"/>
            <w:shd w:val="clear" w:color="auto" w:fill="auto"/>
          </w:tcPr>
          <w:p w14:paraId="33DA9902" w14:textId="77777777" w:rsidR="004D6A64" w:rsidRDefault="004D6A64">
            <w:pPr>
              <w:rPr>
                <w:rFonts w:ascii="宋体"/>
              </w:rPr>
            </w:pPr>
          </w:p>
        </w:tc>
        <w:tc>
          <w:tcPr>
            <w:tcW w:w="0" w:type="auto"/>
            <w:shd w:val="clear" w:color="auto" w:fill="auto"/>
          </w:tcPr>
          <w:p w14:paraId="33DA9903" w14:textId="77777777" w:rsidR="004D6A64" w:rsidRDefault="004D6A64">
            <w:pPr>
              <w:rPr>
                <w:rFonts w:ascii="宋体"/>
              </w:rPr>
            </w:pPr>
          </w:p>
        </w:tc>
        <w:tc>
          <w:tcPr>
            <w:tcW w:w="0" w:type="auto"/>
            <w:shd w:val="clear" w:color="auto" w:fill="auto"/>
          </w:tcPr>
          <w:p w14:paraId="33DA9904" w14:textId="77777777" w:rsidR="004D6A64" w:rsidRDefault="004D6A64">
            <w:pPr>
              <w:rPr>
                <w:rFonts w:ascii="宋体"/>
              </w:rPr>
            </w:pPr>
          </w:p>
        </w:tc>
        <w:tc>
          <w:tcPr>
            <w:tcW w:w="0" w:type="auto"/>
            <w:shd w:val="clear" w:color="auto" w:fill="auto"/>
          </w:tcPr>
          <w:p w14:paraId="33DA9905" w14:textId="77777777" w:rsidR="004D6A64" w:rsidRDefault="004D6A64">
            <w:pPr>
              <w:rPr>
                <w:rFonts w:ascii="宋体"/>
              </w:rPr>
            </w:pPr>
          </w:p>
        </w:tc>
      </w:tr>
      <w:tr w:rsidR="00506CD6" w14:paraId="33DA992B" w14:textId="77777777">
        <w:tc>
          <w:tcPr>
            <w:tcW w:w="0" w:type="auto"/>
            <w:gridSpan w:val="3"/>
            <w:shd w:val="clear" w:color="auto" w:fill="CCEEFF"/>
            <w:tcMar>
              <w:top w:w="40" w:type="dxa"/>
              <w:left w:w="135" w:type="dxa"/>
              <w:bottom w:w="40" w:type="dxa"/>
              <w:right w:w="20" w:type="dxa"/>
            </w:tcMar>
            <w:vAlign w:val="bottom"/>
          </w:tcPr>
          <w:p w14:paraId="33DA9907" w14:textId="77777777" w:rsidR="004D6A64" w:rsidRDefault="00506CD6">
            <w:pPr>
              <w:textAlignment w:val="bottom"/>
            </w:pPr>
            <w:r>
              <w:rPr>
                <w:rFonts w:ascii="Times New Roman" w:eastAsia="宋体" w:hAnsi="Times New Roman"/>
                <w:color w:val="000000"/>
                <w:sz w:val="20"/>
                <w:szCs w:val="20"/>
              </w:rPr>
              <w:t>Revaluation of redeemable shares</w:t>
            </w:r>
          </w:p>
        </w:tc>
        <w:tc>
          <w:tcPr>
            <w:tcW w:w="0" w:type="auto"/>
            <w:gridSpan w:val="2"/>
            <w:shd w:val="clear" w:color="auto" w:fill="CCEEFF"/>
            <w:tcMar>
              <w:top w:w="40" w:type="dxa"/>
              <w:left w:w="20" w:type="dxa"/>
              <w:bottom w:w="40" w:type="dxa"/>
              <w:right w:w="0" w:type="dxa"/>
            </w:tcMar>
            <w:vAlign w:val="bottom"/>
          </w:tcPr>
          <w:p w14:paraId="33DA9908"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909"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90A"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90B" w14:textId="77777777" w:rsidR="004D6A64" w:rsidRDefault="00506CD6">
            <w:pPr>
              <w:jc w:val="right"/>
              <w:textAlignment w:val="bottom"/>
            </w:pPr>
            <w:r>
              <w:rPr>
                <w:rFonts w:ascii="Times New Roman" w:eastAsia="宋体" w:hAnsi="Times New Roman"/>
                <w:color w:val="000000"/>
                <w:sz w:val="20"/>
                <w:szCs w:val="20"/>
              </w:rPr>
              <w:t>(169)</w:t>
            </w:r>
          </w:p>
        </w:tc>
        <w:tc>
          <w:tcPr>
            <w:tcW w:w="0" w:type="auto"/>
            <w:shd w:val="clear" w:color="auto" w:fill="CCEEFF"/>
            <w:tcMar>
              <w:top w:w="40" w:type="dxa"/>
              <w:bottom w:w="40" w:type="dxa"/>
              <w:right w:w="20" w:type="dxa"/>
            </w:tcMar>
            <w:vAlign w:val="bottom"/>
          </w:tcPr>
          <w:p w14:paraId="33DA990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90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90E"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90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910"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911"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91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91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914"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91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91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917"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91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91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91A" w14:textId="77777777" w:rsidR="004D6A64" w:rsidRDefault="00506CD6">
            <w:pPr>
              <w:jc w:val="right"/>
              <w:textAlignment w:val="bottom"/>
            </w:pPr>
            <w:r>
              <w:rPr>
                <w:rFonts w:ascii="Times New Roman" w:eastAsia="宋体" w:hAnsi="Times New Roman"/>
                <w:color w:val="000000"/>
                <w:sz w:val="20"/>
                <w:szCs w:val="20"/>
              </w:rPr>
              <w:t>(169)</w:t>
            </w:r>
          </w:p>
        </w:tc>
        <w:tc>
          <w:tcPr>
            <w:tcW w:w="0" w:type="auto"/>
            <w:shd w:val="clear" w:color="auto" w:fill="CCEEFF"/>
            <w:tcMar>
              <w:top w:w="40" w:type="dxa"/>
              <w:bottom w:w="40" w:type="dxa"/>
              <w:right w:w="20" w:type="dxa"/>
            </w:tcMar>
            <w:vAlign w:val="bottom"/>
          </w:tcPr>
          <w:p w14:paraId="33DA991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91C"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91D"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91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91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920" w14:textId="77777777" w:rsidR="004D6A64" w:rsidRDefault="00506CD6">
            <w:pPr>
              <w:jc w:val="right"/>
              <w:textAlignment w:val="bottom"/>
            </w:pPr>
            <w:r>
              <w:rPr>
                <w:rFonts w:ascii="Times New Roman" w:eastAsia="宋体" w:hAnsi="Times New Roman"/>
                <w:color w:val="000000"/>
                <w:sz w:val="20"/>
                <w:szCs w:val="20"/>
              </w:rPr>
              <w:t>(169)</w:t>
            </w:r>
          </w:p>
        </w:tc>
        <w:tc>
          <w:tcPr>
            <w:tcW w:w="0" w:type="auto"/>
            <w:shd w:val="clear" w:color="auto" w:fill="CCEEFF"/>
            <w:tcMar>
              <w:top w:w="40" w:type="dxa"/>
              <w:bottom w:w="40" w:type="dxa"/>
              <w:right w:w="20" w:type="dxa"/>
            </w:tcMar>
            <w:vAlign w:val="bottom"/>
          </w:tcPr>
          <w:p w14:paraId="33DA9921" w14:textId="77777777" w:rsidR="004D6A64" w:rsidRDefault="004D6A64">
            <w:pPr>
              <w:jc w:val="right"/>
              <w:rPr>
                <w:rFonts w:ascii="宋体"/>
              </w:rPr>
            </w:pPr>
          </w:p>
        </w:tc>
        <w:tc>
          <w:tcPr>
            <w:tcW w:w="0" w:type="auto"/>
            <w:shd w:val="clear" w:color="auto" w:fill="auto"/>
          </w:tcPr>
          <w:p w14:paraId="33DA9922" w14:textId="77777777" w:rsidR="004D6A64" w:rsidRDefault="004D6A64">
            <w:pPr>
              <w:rPr>
                <w:rFonts w:ascii="宋体"/>
              </w:rPr>
            </w:pPr>
          </w:p>
        </w:tc>
        <w:tc>
          <w:tcPr>
            <w:tcW w:w="0" w:type="auto"/>
            <w:shd w:val="clear" w:color="auto" w:fill="auto"/>
          </w:tcPr>
          <w:p w14:paraId="33DA9923" w14:textId="77777777" w:rsidR="004D6A64" w:rsidRDefault="004D6A64">
            <w:pPr>
              <w:rPr>
                <w:rFonts w:ascii="宋体"/>
              </w:rPr>
            </w:pPr>
          </w:p>
        </w:tc>
        <w:tc>
          <w:tcPr>
            <w:tcW w:w="0" w:type="auto"/>
            <w:shd w:val="clear" w:color="auto" w:fill="auto"/>
          </w:tcPr>
          <w:p w14:paraId="33DA9924" w14:textId="77777777" w:rsidR="004D6A64" w:rsidRDefault="004D6A64">
            <w:pPr>
              <w:rPr>
                <w:rFonts w:ascii="宋体"/>
              </w:rPr>
            </w:pPr>
          </w:p>
        </w:tc>
        <w:tc>
          <w:tcPr>
            <w:tcW w:w="0" w:type="auto"/>
            <w:shd w:val="clear" w:color="auto" w:fill="auto"/>
          </w:tcPr>
          <w:p w14:paraId="33DA9925" w14:textId="77777777" w:rsidR="004D6A64" w:rsidRDefault="004D6A64">
            <w:pPr>
              <w:rPr>
                <w:rFonts w:ascii="宋体"/>
              </w:rPr>
            </w:pPr>
          </w:p>
        </w:tc>
        <w:tc>
          <w:tcPr>
            <w:tcW w:w="0" w:type="auto"/>
            <w:shd w:val="clear" w:color="auto" w:fill="auto"/>
          </w:tcPr>
          <w:p w14:paraId="33DA9926" w14:textId="77777777" w:rsidR="004D6A64" w:rsidRDefault="004D6A64">
            <w:pPr>
              <w:rPr>
                <w:rFonts w:ascii="宋体"/>
              </w:rPr>
            </w:pPr>
          </w:p>
        </w:tc>
        <w:tc>
          <w:tcPr>
            <w:tcW w:w="0" w:type="auto"/>
            <w:shd w:val="clear" w:color="auto" w:fill="auto"/>
          </w:tcPr>
          <w:p w14:paraId="33DA9927" w14:textId="77777777" w:rsidR="004D6A64" w:rsidRDefault="004D6A64">
            <w:pPr>
              <w:rPr>
                <w:rFonts w:ascii="宋体"/>
              </w:rPr>
            </w:pPr>
          </w:p>
        </w:tc>
        <w:tc>
          <w:tcPr>
            <w:tcW w:w="0" w:type="auto"/>
            <w:shd w:val="clear" w:color="auto" w:fill="auto"/>
          </w:tcPr>
          <w:p w14:paraId="33DA9928" w14:textId="77777777" w:rsidR="004D6A64" w:rsidRDefault="004D6A64">
            <w:pPr>
              <w:rPr>
                <w:rFonts w:ascii="宋体"/>
              </w:rPr>
            </w:pPr>
          </w:p>
        </w:tc>
        <w:tc>
          <w:tcPr>
            <w:tcW w:w="0" w:type="auto"/>
            <w:shd w:val="clear" w:color="auto" w:fill="auto"/>
          </w:tcPr>
          <w:p w14:paraId="33DA9929" w14:textId="77777777" w:rsidR="004D6A64" w:rsidRDefault="004D6A64">
            <w:pPr>
              <w:rPr>
                <w:rFonts w:ascii="宋体"/>
              </w:rPr>
            </w:pPr>
          </w:p>
        </w:tc>
        <w:tc>
          <w:tcPr>
            <w:tcW w:w="0" w:type="auto"/>
            <w:shd w:val="clear" w:color="auto" w:fill="auto"/>
          </w:tcPr>
          <w:p w14:paraId="33DA992A" w14:textId="77777777" w:rsidR="004D6A64" w:rsidRDefault="004D6A64">
            <w:pPr>
              <w:rPr>
                <w:rFonts w:ascii="宋体"/>
              </w:rPr>
            </w:pPr>
          </w:p>
        </w:tc>
      </w:tr>
      <w:tr w:rsidR="00506CD6" w14:paraId="33DA9950" w14:textId="77777777">
        <w:tc>
          <w:tcPr>
            <w:tcW w:w="0" w:type="auto"/>
            <w:gridSpan w:val="3"/>
            <w:shd w:val="clear" w:color="auto" w:fill="FFFFFF"/>
            <w:tcMar>
              <w:top w:w="40" w:type="dxa"/>
              <w:left w:w="135" w:type="dxa"/>
              <w:bottom w:w="40" w:type="dxa"/>
              <w:right w:w="20" w:type="dxa"/>
            </w:tcMar>
            <w:vAlign w:val="bottom"/>
          </w:tcPr>
          <w:p w14:paraId="33DA992C" w14:textId="77777777" w:rsidR="004D6A64" w:rsidRDefault="00506CD6">
            <w:pPr>
              <w:textAlignment w:val="bottom"/>
            </w:pPr>
            <w:r>
              <w:rPr>
                <w:rFonts w:ascii="Times New Roman" w:eastAsia="宋体" w:hAnsi="Times New Roman"/>
                <w:color w:val="000000"/>
                <w:sz w:val="20"/>
                <w:szCs w:val="20"/>
              </w:rPr>
              <w:t>Impact from equity transactions of non-controlling interests</w:t>
            </w:r>
          </w:p>
        </w:tc>
        <w:tc>
          <w:tcPr>
            <w:tcW w:w="0" w:type="auto"/>
            <w:gridSpan w:val="2"/>
            <w:shd w:val="clear" w:color="auto" w:fill="FFFFFF"/>
            <w:tcMar>
              <w:top w:w="40" w:type="dxa"/>
              <w:left w:w="20" w:type="dxa"/>
              <w:bottom w:w="40" w:type="dxa"/>
              <w:right w:w="0" w:type="dxa"/>
            </w:tcMar>
            <w:vAlign w:val="bottom"/>
          </w:tcPr>
          <w:p w14:paraId="33DA992D"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92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92F"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930" w14:textId="77777777" w:rsidR="004D6A64" w:rsidRDefault="00506CD6">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bottom w:w="40" w:type="dxa"/>
              <w:right w:w="20" w:type="dxa"/>
            </w:tcMar>
            <w:vAlign w:val="bottom"/>
          </w:tcPr>
          <w:p w14:paraId="33DA993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932"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933"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93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935"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936"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93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938"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939"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93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93B"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93C"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93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93E"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93F" w14:textId="77777777" w:rsidR="004D6A64" w:rsidRDefault="00506CD6">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bottom w:w="40" w:type="dxa"/>
              <w:right w:w="20" w:type="dxa"/>
            </w:tcMar>
            <w:vAlign w:val="bottom"/>
          </w:tcPr>
          <w:p w14:paraId="33DA994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94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942" w14:textId="77777777" w:rsidR="004D6A64" w:rsidRDefault="00506CD6">
            <w:pPr>
              <w:jc w:val="right"/>
              <w:textAlignment w:val="bottom"/>
            </w:pPr>
            <w:r>
              <w:rPr>
                <w:rFonts w:ascii="Times New Roman" w:eastAsia="宋体" w:hAnsi="Times New Roman"/>
                <w:color w:val="000000"/>
                <w:sz w:val="20"/>
                <w:szCs w:val="20"/>
              </w:rPr>
              <w:t>(229)</w:t>
            </w:r>
          </w:p>
        </w:tc>
        <w:tc>
          <w:tcPr>
            <w:tcW w:w="0" w:type="auto"/>
            <w:shd w:val="clear" w:color="auto" w:fill="FFFFFF"/>
            <w:tcMar>
              <w:top w:w="40" w:type="dxa"/>
              <w:bottom w:w="40" w:type="dxa"/>
              <w:right w:w="20" w:type="dxa"/>
            </w:tcMar>
            <w:vAlign w:val="bottom"/>
          </w:tcPr>
          <w:p w14:paraId="33DA994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944"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945" w14:textId="77777777" w:rsidR="004D6A64" w:rsidRDefault="00506CD6">
            <w:pPr>
              <w:jc w:val="right"/>
              <w:textAlignment w:val="bottom"/>
            </w:pPr>
            <w:r>
              <w:rPr>
                <w:rFonts w:ascii="Times New Roman" w:eastAsia="宋体" w:hAnsi="Times New Roman"/>
                <w:color w:val="000000"/>
                <w:sz w:val="20"/>
                <w:szCs w:val="20"/>
              </w:rPr>
              <w:t>(226)</w:t>
            </w:r>
          </w:p>
        </w:tc>
        <w:tc>
          <w:tcPr>
            <w:tcW w:w="0" w:type="auto"/>
            <w:shd w:val="clear" w:color="auto" w:fill="FFFFFF"/>
            <w:tcMar>
              <w:top w:w="40" w:type="dxa"/>
              <w:bottom w:w="40" w:type="dxa"/>
              <w:right w:w="20" w:type="dxa"/>
            </w:tcMar>
            <w:vAlign w:val="bottom"/>
          </w:tcPr>
          <w:p w14:paraId="33DA9946" w14:textId="77777777" w:rsidR="004D6A64" w:rsidRDefault="004D6A64">
            <w:pPr>
              <w:jc w:val="right"/>
              <w:rPr>
                <w:rFonts w:ascii="宋体"/>
              </w:rPr>
            </w:pPr>
          </w:p>
        </w:tc>
        <w:tc>
          <w:tcPr>
            <w:tcW w:w="0" w:type="auto"/>
            <w:shd w:val="clear" w:color="auto" w:fill="auto"/>
          </w:tcPr>
          <w:p w14:paraId="33DA9947" w14:textId="77777777" w:rsidR="004D6A64" w:rsidRDefault="004D6A64">
            <w:pPr>
              <w:rPr>
                <w:rFonts w:ascii="宋体"/>
              </w:rPr>
            </w:pPr>
          </w:p>
        </w:tc>
        <w:tc>
          <w:tcPr>
            <w:tcW w:w="0" w:type="auto"/>
            <w:shd w:val="clear" w:color="auto" w:fill="auto"/>
          </w:tcPr>
          <w:p w14:paraId="33DA9948" w14:textId="77777777" w:rsidR="004D6A64" w:rsidRDefault="004D6A64">
            <w:pPr>
              <w:rPr>
                <w:rFonts w:ascii="宋体"/>
              </w:rPr>
            </w:pPr>
          </w:p>
        </w:tc>
        <w:tc>
          <w:tcPr>
            <w:tcW w:w="0" w:type="auto"/>
            <w:shd w:val="clear" w:color="auto" w:fill="auto"/>
          </w:tcPr>
          <w:p w14:paraId="33DA9949" w14:textId="77777777" w:rsidR="004D6A64" w:rsidRDefault="004D6A64">
            <w:pPr>
              <w:rPr>
                <w:rFonts w:ascii="宋体"/>
              </w:rPr>
            </w:pPr>
          </w:p>
        </w:tc>
        <w:tc>
          <w:tcPr>
            <w:tcW w:w="0" w:type="auto"/>
            <w:shd w:val="clear" w:color="auto" w:fill="auto"/>
          </w:tcPr>
          <w:p w14:paraId="33DA994A" w14:textId="77777777" w:rsidR="004D6A64" w:rsidRDefault="004D6A64">
            <w:pPr>
              <w:rPr>
                <w:rFonts w:ascii="宋体"/>
              </w:rPr>
            </w:pPr>
          </w:p>
        </w:tc>
        <w:tc>
          <w:tcPr>
            <w:tcW w:w="0" w:type="auto"/>
            <w:shd w:val="clear" w:color="auto" w:fill="auto"/>
          </w:tcPr>
          <w:p w14:paraId="33DA994B" w14:textId="77777777" w:rsidR="004D6A64" w:rsidRDefault="004D6A64">
            <w:pPr>
              <w:rPr>
                <w:rFonts w:ascii="宋体"/>
              </w:rPr>
            </w:pPr>
          </w:p>
        </w:tc>
        <w:tc>
          <w:tcPr>
            <w:tcW w:w="0" w:type="auto"/>
            <w:shd w:val="clear" w:color="auto" w:fill="auto"/>
          </w:tcPr>
          <w:p w14:paraId="33DA994C" w14:textId="77777777" w:rsidR="004D6A64" w:rsidRDefault="004D6A64">
            <w:pPr>
              <w:rPr>
                <w:rFonts w:ascii="宋体"/>
              </w:rPr>
            </w:pPr>
          </w:p>
        </w:tc>
        <w:tc>
          <w:tcPr>
            <w:tcW w:w="0" w:type="auto"/>
            <w:shd w:val="clear" w:color="auto" w:fill="auto"/>
          </w:tcPr>
          <w:p w14:paraId="33DA994D" w14:textId="77777777" w:rsidR="004D6A64" w:rsidRDefault="004D6A64">
            <w:pPr>
              <w:rPr>
                <w:rFonts w:ascii="宋体"/>
              </w:rPr>
            </w:pPr>
          </w:p>
        </w:tc>
        <w:tc>
          <w:tcPr>
            <w:tcW w:w="0" w:type="auto"/>
            <w:shd w:val="clear" w:color="auto" w:fill="auto"/>
          </w:tcPr>
          <w:p w14:paraId="33DA994E" w14:textId="77777777" w:rsidR="004D6A64" w:rsidRDefault="004D6A64">
            <w:pPr>
              <w:rPr>
                <w:rFonts w:ascii="宋体"/>
              </w:rPr>
            </w:pPr>
          </w:p>
        </w:tc>
        <w:tc>
          <w:tcPr>
            <w:tcW w:w="0" w:type="auto"/>
            <w:shd w:val="clear" w:color="auto" w:fill="auto"/>
          </w:tcPr>
          <w:p w14:paraId="33DA994F" w14:textId="77777777" w:rsidR="004D6A64" w:rsidRDefault="004D6A64">
            <w:pPr>
              <w:rPr>
                <w:rFonts w:ascii="宋体"/>
              </w:rPr>
            </w:pPr>
          </w:p>
        </w:tc>
      </w:tr>
      <w:tr w:rsidR="004D6A64" w14:paraId="33DA996C" w14:textId="77777777">
        <w:trPr>
          <w:hidden/>
        </w:trPr>
        <w:tc>
          <w:tcPr>
            <w:tcW w:w="0" w:type="auto"/>
            <w:gridSpan w:val="3"/>
            <w:shd w:val="clear" w:color="auto" w:fill="auto"/>
          </w:tcPr>
          <w:p w14:paraId="33DA9951" w14:textId="77777777" w:rsidR="004D6A64" w:rsidRDefault="004D6A64">
            <w:pPr>
              <w:rPr>
                <w:rFonts w:ascii="宋体"/>
                <w:vanish/>
              </w:rPr>
            </w:pPr>
          </w:p>
        </w:tc>
        <w:tc>
          <w:tcPr>
            <w:tcW w:w="0" w:type="auto"/>
            <w:gridSpan w:val="3"/>
            <w:shd w:val="clear" w:color="auto" w:fill="auto"/>
          </w:tcPr>
          <w:p w14:paraId="33DA9952" w14:textId="77777777" w:rsidR="004D6A64" w:rsidRDefault="004D6A64">
            <w:pPr>
              <w:rPr>
                <w:rFonts w:ascii="宋体"/>
                <w:vanish/>
              </w:rPr>
            </w:pPr>
          </w:p>
        </w:tc>
        <w:tc>
          <w:tcPr>
            <w:tcW w:w="0" w:type="auto"/>
            <w:gridSpan w:val="3"/>
            <w:shd w:val="clear" w:color="auto" w:fill="auto"/>
          </w:tcPr>
          <w:p w14:paraId="33DA9953" w14:textId="77777777" w:rsidR="004D6A64" w:rsidRDefault="004D6A64">
            <w:pPr>
              <w:rPr>
                <w:rFonts w:ascii="宋体"/>
                <w:vanish/>
              </w:rPr>
            </w:pPr>
          </w:p>
        </w:tc>
        <w:tc>
          <w:tcPr>
            <w:tcW w:w="0" w:type="auto"/>
            <w:gridSpan w:val="3"/>
            <w:shd w:val="clear" w:color="auto" w:fill="auto"/>
          </w:tcPr>
          <w:p w14:paraId="33DA9954" w14:textId="77777777" w:rsidR="004D6A64" w:rsidRDefault="004D6A64">
            <w:pPr>
              <w:rPr>
                <w:rFonts w:ascii="宋体"/>
                <w:vanish/>
              </w:rPr>
            </w:pPr>
          </w:p>
        </w:tc>
        <w:tc>
          <w:tcPr>
            <w:tcW w:w="0" w:type="auto"/>
            <w:gridSpan w:val="3"/>
            <w:shd w:val="clear" w:color="auto" w:fill="auto"/>
          </w:tcPr>
          <w:p w14:paraId="33DA9955" w14:textId="77777777" w:rsidR="004D6A64" w:rsidRDefault="004D6A64">
            <w:pPr>
              <w:rPr>
                <w:rFonts w:ascii="宋体"/>
                <w:vanish/>
              </w:rPr>
            </w:pPr>
          </w:p>
        </w:tc>
        <w:tc>
          <w:tcPr>
            <w:tcW w:w="0" w:type="auto"/>
            <w:gridSpan w:val="3"/>
            <w:shd w:val="clear" w:color="auto" w:fill="auto"/>
          </w:tcPr>
          <w:p w14:paraId="33DA9956" w14:textId="77777777" w:rsidR="004D6A64" w:rsidRDefault="004D6A64">
            <w:pPr>
              <w:rPr>
                <w:rFonts w:ascii="宋体"/>
                <w:vanish/>
              </w:rPr>
            </w:pPr>
          </w:p>
        </w:tc>
        <w:tc>
          <w:tcPr>
            <w:tcW w:w="0" w:type="auto"/>
            <w:gridSpan w:val="3"/>
            <w:shd w:val="clear" w:color="auto" w:fill="auto"/>
          </w:tcPr>
          <w:p w14:paraId="33DA9957" w14:textId="77777777" w:rsidR="004D6A64" w:rsidRDefault="004D6A64">
            <w:pPr>
              <w:rPr>
                <w:rFonts w:ascii="宋体"/>
                <w:vanish/>
              </w:rPr>
            </w:pPr>
          </w:p>
        </w:tc>
        <w:tc>
          <w:tcPr>
            <w:tcW w:w="0" w:type="auto"/>
            <w:gridSpan w:val="3"/>
            <w:shd w:val="clear" w:color="auto" w:fill="auto"/>
          </w:tcPr>
          <w:p w14:paraId="33DA9958" w14:textId="77777777" w:rsidR="004D6A64" w:rsidRDefault="004D6A64">
            <w:pPr>
              <w:rPr>
                <w:rFonts w:ascii="宋体"/>
                <w:vanish/>
              </w:rPr>
            </w:pPr>
          </w:p>
        </w:tc>
        <w:tc>
          <w:tcPr>
            <w:tcW w:w="0" w:type="auto"/>
            <w:gridSpan w:val="3"/>
            <w:shd w:val="clear" w:color="auto" w:fill="auto"/>
          </w:tcPr>
          <w:p w14:paraId="33DA9959" w14:textId="77777777" w:rsidR="004D6A64" w:rsidRDefault="004D6A64">
            <w:pPr>
              <w:rPr>
                <w:rFonts w:ascii="宋体"/>
                <w:vanish/>
              </w:rPr>
            </w:pPr>
          </w:p>
        </w:tc>
        <w:tc>
          <w:tcPr>
            <w:tcW w:w="0" w:type="auto"/>
            <w:gridSpan w:val="3"/>
            <w:shd w:val="clear" w:color="auto" w:fill="auto"/>
          </w:tcPr>
          <w:p w14:paraId="33DA995A" w14:textId="77777777" w:rsidR="004D6A64" w:rsidRDefault="004D6A64">
            <w:pPr>
              <w:rPr>
                <w:rFonts w:ascii="宋体"/>
                <w:vanish/>
              </w:rPr>
            </w:pPr>
          </w:p>
        </w:tc>
        <w:tc>
          <w:tcPr>
            <w:tcW w:w="0" w:type="auto"/>
            <w:gridSpan w:val="3"/>
            <w:shd w:val="clear" w:color="auto" w:fill="auto"/>
          </w:tcPr>
          <w:p w14:paraId="33DA995B" w14:textId="77777777" w:rsidR="004D6A64" w:rsidRDefault="004D6A64">
            <w:pPr>
              <w:rPr>
                <w:rFonts w:ascii="宋体"/>
                <w:vanish/>
              </w:rPr>
            </w:pPr>
          </w:p>
        </w:tc>
        <w:tc>
          <w:tcPr>
            <w:tcW w:w="0" w:type="auto"/>
            <w:gridSpan w:val="3"/>
            <w:shd w:val="clear" w:color="auto" w:fill="auto"/>
          </w:tcPr>
          <w:p w14:paraId="33DA995C" w14:textId="77777777" w:rsidR="004D6A64" w:rsidRDefault="004D6A64">
            <w:pPr>
              <w:rPr>
                <w:rFonts w:ascii="宋体"/>
                <w:vanish/>
              </w:rPr>
            </w:pPr>
          </w:p>
        </w:tc>
        <w:tc>
          <w:tcPr>
            <w:tcW w:w="0" w:type="auto"/>
            <w:gridSpan w:val="3"/>
            <w:shd w:val="clear" w:color="auto" w:fill="auto"/>
          </w:tcPr>
          <w:p w14:paraId="33DA995D" w14:textId="77777777" w:rsidR="004D6A64" w:rsidRDefault="004D6A64">
            <w:pPr>
              <w:rPr>
                <w:rFonts w:ascii="宋体"/>
                <w:vanish/>
              </w:rPr>
            </w:pPr>
          </w:p>
        </w:tc>
        <w:tc>
          <w:tcPr>
            <w:tcW w:w="0" w:type="auto"/>
            <w:gridSpan w:val="3"/>
            <w:shd w:val="clear" w:color="auto" w:fill="auto"/>
          </w:tcPr>
          <w:p w14:paraId="33DA995E" w14:textId="77777777" w:rsidR="004D6A64" w:rsidRDefault="004D6A64">
            <w:pPr>
              <w:rPr>
                <w:rFonts w:ascii="宋体"/>
                <w:vanish/>
              </w:rPr>
            </w:pPr>
          </w:p>
        </w:tc>
        <w:tc>
          <w:tcPr>
            <w:tcW w:w="0" w:type="auto"/>
            <w:gridSpan w:val="3"/>
            <w:shd w:val="clear" w:color="auto" w:fill="auto"/>
          </w:tcPr>
          <w:p w14:paraId="33DA995F" w14:textId="77777777" w:rsidR="004D6A64" w:rsidRDefault="004D6A64">
            <w:pPr>
              <w:rPr>
                <w:rFonts w:ascii="宋体"/>
                <w:vanish/>
              </w:rPr>
            </w:pPr>
          </w:p>
        </w:tc>
        <w:tc>
          <w:tcPr>
            <w:tcW w:w="0" w:type="auto"/>
            <w:gridSpan w:val="3"/>
            <w:shd w:val="clear" w:color="auto" w:fill="auto"/>
          </w:tcPr>
          <w:p w14:paraId="33DA9960" w14:textId="77777777" w:rsidR="004D6A64" w:rsidRDefault="004D6A64">
            <w:pPr>
              <w:rPr>
                <w:rFonts w:ascii="宋体"/>
                <w:vanish/>
              </w:rPr>
            </w:pPr>
          </w:p>
        </w:tc>
        <w:tc>
          <w:tcPr>
            <w:tcW w:w="0" w:type="auto"/>
            <w:gridSpan w:val="3"/>
            <w:shd w:val="clear" w:color="auto" w:fill="auto"/>
          </w:tcPr>
          <w:p w14:paraId="33DA9961" w14:textId="77777777" w:rsidR="004D6A64" w:rsidRDefault="004D6A64">
            <w:pPr>
              <w:rPr>
                <w:rFonts w:ascii="宋体"/>
                <w:vanish/>
              </w:rPr>
            </w:pPr>
          </w:p>
        </w:tc>
        <w:tc>
          <w:tcPr>
            <w:tcW w:w="0" w:type="auto"/>
            <w:gridSpan w:val="3"/>
            <w:shd w:val="clear" w:color="auto" w:fill="auto"/>
          </w:tcPr>
          <w:p w14:paraId="33DA9962" w14:textId="77777777" w:rsidR="004D6A64" w:rsidRDefault="004D6A64">
            <w:pPr>
              <w:rPr>
                <w:rFonts w:ascii="宋体"/>
                <w:vanish/>
              </w:rPr>
            </w:pPr>
          </w:p>
        </w:tc>
        <w:tc>
          <w:tcPr>
            <w:tcW w:w="0" w:type="auto"/>
            <w:shd w:val="clear" w:color="auto" w:fill="auto"/>
          </w:tcPr>
          <w:p w14:paraId="33DA9963" w14:textId="77777777" w:rsidR="004D6A64" w:rsidRDefault="004D6A64">
            <w:pPr>
              <w:rPr>
                <w:rFonts w:ascii="宋体"/>
              </w:rPr>
            </w:pPr>
          </w:p>
        </w:tc>
        <w:tc>
          <w:tcPr>
            <w:tcW w:w="0" w:type="auto"/>
            <w:shd w:val="clear" w:color="auto" w:fill="auto"/>
          </w:tcPr>
          <w:p w14:paraId="33DA9964" w14:textId="77777777" w:rsidR="004D6A64" w:rsidRDefault="004D6A64">
            <w:pPr>
              <w:rPr>
                <w:rFonts w:ascii="宋体"/>
              </w:rPr>
            </w:pPr>
          </w:p>
        </w:tc>
        <w:tc>
          <w:tcPr>
            <w:tcW w:w="0" w:type="auto"/>
            <w:shd w:val="clear" w:color="auto" w:fill="auto"/>
          </w:tcPr>
          <w:p w14:paraId="33DA9965" w14:textId="77777777" w:rsidR="004D6A64" w:rsidRDefault="004D6A64">
            <w:pPr>
              <w:rPr>
                <w:rFonts w:ascii="宋体"/>
              </w:rPr>
            </w:pPr>
          </w:p>
        </w:tc>
        <w:tc>
          <w:tcPr>
            <w:tcW w:w="0" w:type="auto"/>
            <w:shd w:val="clear" w:color="auto" w:fill="auto"/>
          </w:tcPr>
          <w:p w14:paraId="33DA9966" w14:textId="77777777" w:rsidR="004D6A64" w:rsidRDefault="004D6A64">
            <w:pPr>
              <w:rPr>
                <w:rFonts w:ascii="宋体"/>
              </w:rPr>
            </w:pPr>
          </w:p>
        </w:tc>
        <w:tc>
          <w:tcPr>
            <w:tcW w:w="0" w:type="auto"/>
            <w:shd w:val="clear" w:color="auto" w:fill="auto"/>
          </w:tcPr>
          <w:p w14:paraId="33DA9967" w14:textId="77777777" w:rsidR="004D6A64" w:rsidRDefault="004D6A64">
            <w:pPr>
              <w:rPr>
                <w:rFonts w:ascii="宋体"/>
              </w:rPr>
            </w:pPr>
          </w:p>
        </w:tc>
        <w:tc>
          <w:tcPr>
            <w:tcW w:w="0" w:type="auto"/>
            <w:shd w:val="clear" w:color="auto" w:fill="auto"/>
          </w:tcPr>
          <w:p w14:paraId="33DA9968" w14:textId="77777777" w:rsidR="004D6A64" w:rsidRDefault="004D6A64">
            <w:pPr>
              <w:rPr>
                <w:rFonts w:ascii="宋体"/>
              </w:rPr>
            </w:pPr>
          </w:p>
        </w:tc>
        <w:tc>
          <w:tcPr>
            <w:tcW w:w="0" w:type="auto"/>
            <w:shd w:val="clear" w:color="auto" w:fill="auto"/>
          </w:tcPr>
          <w:p w14:paraId="33DA9969" w14:textId="77777777" w:rsidR="004D6A64" w:rsidRDefault="004D6A64">
            <w:pPr>
              <w:rPr>
                <w:rFonts w:ascii="宋体"/>
              </w:rPr>
            </w:pPr>
          </w:p>
        </w:tc>
        <w:tc>
          <w:tcPr>
            <w:tcW w:w="0" w:type="auto"/>
            <w:shd w:val="clear" w:color="auto" w:fill="auto"/>
          </w:tcPr>
          <w:p w14:paraId="33DA996A" w14:textId="77777777" w:rsidR="004D6A64" w:rsidRDefault="004D6A64">
            <w:pPr>
              <w:rPr>
                <w:rFonts w:ascii="宋体"/>
              </w:rPr>
            </w:pPr>
          </w:p>
        </w:tc>
        <w:tc>
          <w:tcPr>
            <w:tcW w:w="0" w:type="auto"/>
            <w:shd w:val="clear" w:color="auto" w:fill="auto"/>
          </w:tcPr>
          <w:p w14:paraId="33DA996B" w14:textId="77777777" w:rsidR="004D6A64" w:rsidRDefault="004D6A64">
            <w:pPr>
              <w:rPr>
                <w:rFonts w:ascii="宋体"/>
              </w:rPr>
            </w:pPr>
          </w:p>
        </w:tc>
      </w:tr>
      <w:tr w:rsidR="00506CD6" w14:paraId="33DA9998" w14:textId="77777777">
        <w:tc>
          <w:tcPr>
            <w:tcW w:w="0" w:type="auto"/>
            <w:gridSpan w:val="3"/>
            <w:shd w:val="clear" w:color="auto" w:fill="CCEEFF"/>
            <w:tcMar>
              <w:top w:w="40" w:type="dxa"/>
              <w:left w:w="20" w:type="dxa"/>
              <w:bottom w:w="40" w:type="dxa"/>
              <w:right w:w="20" w:type="dxa"/>
            </w:tcMar>
            <w:vAlign w:val="bottom"/>
          </w:tcPr>
          <w:p w14:paraId="33DA996D" w14:textId="77777777" w:rsidR="004D6A64" w:rsidRDefault="00506CD6">
            <w:pPr>
              <w:textAlignment w:val="bottom"/>
            </w:pPr>
            <w:r>
              <w:rPr>
                <w:rFonts w:ascii="Times New Roman" w:eastAsia="宋体" w:hAnsi="Times New Roman"/>
                <w:b/>
                <w:bCs/>
                <w:color w:val="000000"/>
                <w:sz w:val="20"/>
                <w:szCs w:val="20"/>
              </w:rPr>
              <w:t>Balances as of July 31, 2020</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3DA996E" w14:textId="77777777" w:rsidR="004D6A64" w:rsidRDefault="00506CD6">
            <w:pPr>
              <w:jc w:val="right"/>
              <w:textAlignment w:val="bottom"/>
            </w:pPr>
            <w:r>
              <w:rPr>
                <w:rFonts w:ascii="Times New Roman" w:eastAsia="宋体" w:hAnsi="Times New Roman"/>
                <w:color w:val="000000"/>
                <w:sz w:val="20"/>
                <w:szCs w:val="20"/>
              </w:rPr>
              <w:t>753 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33DA996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970"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33DA9971"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33DA9972" w14:textId="77777777" w:rsidR="004D6A64" w:rsidRDefault="00506CD6">
            <w:pPr>
              <w:jc w:val="right"/>
              <w:textAlignment w:val="bottom"/>
            </w:pPr>
            <w:r>
              <w:rPr>
                <w:rFonts w:ascii="Times New Roman" w:eastAsia="宋体" w:hAnsi="Times New Roman"/>
                <w:color w:val="000000"/>
                <w:sz w:val="20"/>
                <w:szCs w:val="20"/>
              </w:rPr>
              <w:t>16,356 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33DA997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974" w14:textId="77777777" w:rsidR="004D6A64" w:rsidRDefault="004D6A6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3DA9975" w14:textId="77777777" w:rsidR="004D6A64" w:rsidRDefault="00506CD6">
            <w:pPr>
              <w:jc w:val="right"/>
              <w:textAlignment w:val="bottom"/>
            </w:pPr>
            <w:r>
              <w:rPr>
                <w:rFonts w:ascii="Times New Roman" w:eastAsia="宋体" w:hAnsi="Times New Roman"/>
                <w:color w:val="000000"/>
                <w:sz w:val="20"/>
                <w:szCs w:val="20"/>
              </w:rPr>
              <w:t>8 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33DA997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977"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33DA9978"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33DA9979" w14:textId="77777777" w:rsidR="004D6A64" w:rsidRDefault="00506CD6">
            <w:pPr>
              <w:jc w:val="right"/>
              <w:textAlignment w:val="bottom"/>
            </w:pPr>
            <w:r>
              <w:rPr>
                <w:rFonts w:ascii="Times New Roman" w:eastAsia="宋体" w:hAnsi="Times New Roman"/>
                <w:color w:val="000000"/>
                <w:sz w:val="20"/>
                <w:szCs w:val="20"/>
              </w:rPr>
              <w:t>(305)</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33DA997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97B"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33DA997C"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33DA997D" w14:textId="77777777" w:rsidR="004D6A64" w:rsidRDefault="00506CD6">
            <w:pPr>
              <w:jc w:val="right"/>
              <w:textAlignment w:val="bottom"/>
            </w:pPr>
            <w:r>
              <w:rPr>
                <w:rFonts w:ascii="Times New Roman" w:eastAsia="宋体" w:hAnsi="Times New Roman"/>
                <w:color w:val="000000"/>
                <w:sz w:val="20"/>
                <w:szCs w:val="20"/>
              </w:rPr>
              <w:t>(15,810)</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33DA997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97F"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33DA9980"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33DA9981" w14:textId="77777777" w:rsidR="004D6A64" w:rsidRDefault="00506CD6">
            <w:pPr>
              <w:jc w:val="right"/>
              <w:textAlignment w:val="bottom"/>
            </w:pPr>
            <w:r>
              <w:rPr>
                <w:rFonts w:ascii="Times New Roman" w:eastAsia="宋体" w:hAnsi="Times New Roman"/>
                <w:color w:val="000000"/>
                <w:sz w:val="20"/>
                <w:szCs w:val="20"/>
              </w:rPr>
              <w:t>(660)</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33DA998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983"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33DA9984"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33DA9985" w14:textId="77777777" w:rsidR="004D6A64" w:rsidRDefault="00506CD6">
            <w:pPr>
              <w:jc w:val="right"/>
              <w:textAlignment w:val="bottom"/>
            </w:pPr>
            <w:r>
              <w:rPr>
                <w:rFonts w:ascii="Times New Roman" w:eastAsia="宋体" w:hAnsi="Times New Roman"/>
                <w:color w:val="000000"/>
                <w:sz w:val="20"/>
                <w:szCs w:val="20"/>
              </w:rPr>
              <w:t>(419)</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33DA998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987"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33DA9988"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33DA9989" w14:textId="77777777" w:rsidR="004D6A64" w:rsidRDefault="00506CD6">
            <w:pPr>
              <w:jc w:val="right"/>
              <w:textAlignment w:val="bottom"/>
            </w:pPr>
            <w:r>
              <w:rPr>
                <w:rFonts w:ascii="Times New Roman" w:eastAsia="宋体" w:hAnsi="Times New Roman"/>
                <w:color w:val="000000"/>
                <w:sz w:val="20"/>
                <w:szCs w:val="20"/>
              </w:rPr>
              <w:t>4,977 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33DA998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98B"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33DA998C"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33DA998D" w14:textId="77777777" w:rsidR="004D6A64" w:rsidRDefault="00506CD6">
            <w:pPr>
              <w:jc w:val="right"/>
              <w:textAlignment w:val="bottom"/>
            </w:pPr>
            <w:r>
              <w:rPr>
                <w:rFonts w:ascii="Times New Roman" w:eastAsia="宋体" w:hAnsi="Times New Roman"/>
                <w:color w:val="000000"/>
                <w:sz w:val="20"/>
                <w:szCs w:val="20"/>
              </w:rPr>
              <w:t>4,558 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33DA998E" w14:textId="77777777" w:rsidR="004D6A64" w:rsidRDefault="004D6A64">
            <w:pPr>
              <w:jc w:val="right"/>
              <w:rPr>
                <w:rFonts w:ascii="宋体"/>
              </w:rPr>
            </w:pPr>
          </w:p>
        </w:tc>
        <w:tc>
          <w:tcPr>
            <w:tcW w:w="0" w:type="auto"/>
            <w:shd w:val="clear" w:color="auto" w:fill="auto"/>
          </w:tcPr>
          <w:p w14:paraId="33DA998F" w14:textId="77777777" w:rsidR="004D6A64" w:rsidRDefault="004D6A64">
            <w:pPr>
              <w:rPr>
                <w:rFonts w:ascii="宋体"/>
              </w:rPr>
            </w:pPr>
          </w:p>
        </w:tc>
        <w:tc>
          <w:tcPr>
            <w:tcW w:w="0" w:type="auto"/>
            <w:shd w:val="clear" w:color="auto" w:fill="auto"/>
          </w:tcPr>
          <w:p w14:paraId="33DA9990" w14:textId="77777777" w:rsidR="004D6A64" w:rsidRDefault="004D6A64">
            <w:pPr>
              <w:rPr>
                <w:rFonts w:ascii="宋体"/>
              </w:rPr>
            </w:pPr>
          </w:p>
        </w:tc>
        <w:tc>
          <w:tcPr>
            <w:tcW w:w="0" w:type="auto"/>
            <w:shd w:val="clear" w:color="auto" w:fill="auto"/>
          </w:tcPr>
          <w:p w14:paraId="33DA9991" w14:textId="77777777" w:rsidR="004D6A64" w:rsidRDefault="004D6A64">
            <w:pPr>
              <w:rPr>
                <w:rFonts w:ascii="宋体"/>
              </w:rPr>
            </w:pPr>
          </w:p>
        </w:tc>
        <w:tc>
          <w:tcPr>
            <w:tcW w:w="0" w:type="auto"/>
            <w:shd w:val="clear" w:color="auto" w:fill="auto"/>
          </w:tcPr>
          <w:p w14:paraId="33DA9992" w14:textId="77777777" w:rsidR="004D6A64" w:rsidRDefault="004D6A64">
            <w:pPr>
              <w:rPr>
                <w:rFonts w:ascii="宋体"/>
              </w:rPr>
            </w:pPr>
          </w:p>
        </w:tc>
        <w:tc>
          <w:tcPr>
            <w:tcW w:w="0" w:type="auto"/>
            <w:shd w:val="clear" w:color="auto" w:fill="auto"/>
          </w:tcPr>
          <w:p w14:paraId="33DA9993" w14:textId="77777777" w:rsidR="004D6A64" w:rsidRDefault="004D6A64">
            <w:pPr>
              <w:rPr>
                <w:rFonts w:ascii="宋体"/>
              </w:rPr>
            </w:pPr>
          </w:p>
        </w:tc>
        <w:tc>
          <w:tcPr>
            <w:tcW w:w="0" w:type="auto"/>
            <w:shd w:val="clear" w:color="auto" w:fill="auto"/>
          </w:tcPr>
          <w:p w14:paraId="33DA9994" w14:textId="77777777" w:rsidR="004D6A64" w:rsidRDefault="004D6A64">
            <w:pPr>
              <w:rPr>
                <w:rFonts w:ascii="宋体"/>
              </w:rPr>
            </w:pPr>
          </w:p>
        </w:tc>
        <w:tc>
          <w:tcPr>
            <w:tcW w:w="0" w:type="auto"/>
            <w:shd w:val="clear" w:color="auto" w:fill="auto"/>
          </w:tcPr>
          <w:p w14:paraId="33DA9995" w14:textId="77777777" w:rsidR="004D6A64" w:rsidRDefault="004D6A64">
            <w:pPr>
              <w:rPr>
                <w:rFonts w:ascii="宋体"/>
              </w:rPr>
            </w:pPr>
          </w:p>
        </w:tc>
        <w:tc>
          <w:tcPr>
            <w:tcW w:w="0" w:type="auto"/>
            <w:shd w:val="clear" w:color="auto" w:fill="auto"/>
          </w:tcPr>
          <w:p w14:paraId="33DA9996" w14:textId="77777777" w:rsidR="004D6A64" w:rsidRDefault="004D6A64">
            <w:pPr>
              <w:rPr>
                <w:rFonts w:ascii="宋体"/>
              </w:rPr>
            </w:pPr>
          </w:p>
        </w:tc>
        <w:tc>
          <w:tcPr>
            <w:tcW w:w="0" w:type="auto"/>
            <w:shd w:val="clear" w:color="auto" w:fill="auto"/>
          </w:tcPr>
          <w:p w14:paraId="33DA9997" w14:textId="77777777" w:rsidR="004D6A64" w:rsidRDefault="004D6A64">
            <w:pPr>
              <w:rPr>
                <w:rFonts w:ascii="宋体"/>
              </w:rPr>
            </w:pPr>
          </w:p>
        </w:tc>
      </w:tr>
    </w:tbl>
    <w:p w14:paraId="33DA9999" w14:textId="77777777" w:rsidR="004D6A64" w:rsidRDefault="004D6A64">
      <w:pPr>
        <w:jc w:val="center"/>
      </w:pPr>
    </w:p>
    <w:p w14:paraId="33DA999A" w14:textId="77777777" w:rsidR="004D6A64" w:rsidRDefault="004D6A64">
      <w:pPr>
        <w:jc w:val="center"/>
      </w:pPr>
    </w:p>
    <w:p w14:paraId="33DA999B" w14:textId="77777777" w:rsidR="004D6A64" w:rsidRDefault="00506CD6">
      <w:pPr>
        <w:jc w:val="center"/>
      </w:pPr>
      <w:r>
        <w:rPr>
          <w:rFonts w:ascii="Times New Roman" w:eastAsia="宋体" w:hAnsi="Times New Roman"/>
          <w:color w:val="000000"/>
          <w:sz w:val="20"/>
          <w:szCs w:val="20"/>
        </w:rPr>
        <w:t>The accompanying notes are an integral part of these Condensed Consolidated Financial Statements.</w:t>
      </w:r>
    </w:p>
    <w:p w14:paraId="33DA999C" w14:textId="77777777" w:rsidR="004D6A64" w:rsidRDefault="004D6A64">
      <w:pPr>
        <w:jc w:val="center"/>
      </w:pPr>
    </w:p>
    <w:p w14:paraId="33DA999D" w14:textId="77777777" w:rsidR="004D6A64" w:rsidRDefault="004D6A64">
      <w:pPr>
        <w:jc w:val="center"/>
      </w:pPr>
    </w:p>
    <w:p w14:paraId="33DA999E" w14:textId="77777777" w:rsidR="004D6A64" w:rsidRDefault="004D6A64">
      <w:pPr>
        <w:jc w:val="center"/>
      </w:pPr>
    </w:p>
    <w:p w14:paraId="33DA999F" w14:textId="77777777" w:rsidR="004D6A64" w:rsidRDefault="00506CD6">
      <w:pPr>
        <w:jc w:val="center"/>
      </w:pPr>
      <w:r>
        <w:rPr>
          <w:rFonts w:ascii="Times New Roman" w:eastAsia="宋体" w:hAnsi="Times New Roman"/>
          <w:color w:val="000000"/>
          <w:sz w:val="20"/>
          <w:szCs w:val="20"/>
        </w:rPr>
        <w:t>9</w:t>
      </w:r>
    </w:p>
    <w:p w14:paraId="33DA99A0" w14:textId="77777777" w:rsidR="004D6A64" w:rsidRDefault="004D6A64">
      <w:pPr>
        <w:jc w:val="center"/>
      </w:pPr>
    </w:p>
    <w:p w14:paraId="33DA99A1" w14:textId="77777777" w:rsidR="004D6A64" w:rsidRDefault="00506CD6">
      <w:r>
        <w:pict w14:anchorId="33DAFACD">
          <v:rect id="_x0000_i1033" style="width:415.3pt;height:1.5pt" o:hralign="center" o:hrstd="t" o:hr="t" fillcolor="#a0a0a0" stroked="f"/>
        </w:pict>
      </w:r>
    </w:p>
    <w:p w14:paraId="33DA99A2" w14:textId="77777777" w:rsidR="004D6A64" w:rsidRDefault="00506CD6">
      <w:hyperlink r:id="rId132" w:anchor="if3e0e1bf9ecd4bf69551d7a85f98d64a_10" w:history="1">
        <w:r>
          <w:rPr>
            <w:rStyle w:val="a5"/>
            <w:rFonts w:ascii="Times New Roman" w:eastAsia="宋体" w:hAnsi="Times New Roman"/>
            <w:sz w:val="20"/>
            <w:szCs w:val="20"/>
          </w:rPr>
          <w:t>Table of Contents</w:t>
        </w:r>
      </w:hyperlink>
    </w:p>
    <w:p w14:paraId="33DA99A3" w14:textId="77777777" w:rsidR="004D6A64" w:rsidRDefault="00506CD6">
      <w:pPr>
        <w:jc w:val="center"/>
      </w:pPr>
      <w:r>
        <w:rPr>
          <w:rFonts w:ascii="Times New Roman" w:eastAsia="宋体" w:hAnsi="Times New Roman"/>
          <w:b/>
          <w:bCs/>
          <w:color w:val="000000"/>
          <w:sz w:val="20"/>
          <w:szCs w:val="20"/>
        </w:rPr>
        <w:t>DELL TECHNOLOGIES INC.</w:t>
      </w:r>
    </w:p>
    <w:p w14:paraId="33DA99A4" w14:textId="77777777" w:rsidR="004D6A64" w:rsidRDefault="00506CD6">
      <w:pPr>
        <w:spacing w:after="60"/>
        <w:jc w:val="center"/>
      </w:pPr>
      <w:r>
        <w:rPr>
          <w:rFonts w:ascii="Times New Roman" w:eastAsia="宋体" w:hAnsi="Times New Roman"/>
          <w:b/>
          <w:bCs/>
          <w:color w:val="000000"/>
          <w:sz w:val="20"/>
          <w:szCs w:val="20"/>
        </w:rPr>
        <w:t xml:space="preserve">CONDENSED CONSOLIDATED STATEMENTS OF </w:t>
      </w:r>
      <w:r>
        <w:rPr>
          <w:rFonts w:ascii="Times New Roman" w:eastAsia="宋体" w:hAnsi="Times New Roman"/>
          <w:b/>
          <w:bCs/>
          <w:color w:val="000000"/>
          <w:sz w:val="20"/>
          <w:szCs w:val="20"/>
        </w:rPr>
        <w:t>STOCKHOLDERS’ EQUITY (DEFICIT)</w:t>
      </w:r>
    </w:p>
    <w:p w14:paraId="33DA99A5" w14:textId="77777777" w:rsidR="004D6A64" w:rsidRDefault="00506CD6">
      <w:pPr>
        <w:jc w:val="center"/>
      </w:pPr>
      <w:r>
        <w:rPr>
          <w:rFonts w:ascii="Times New Roman" w:eastAsia="宋体" w:hAnsi="Times New Roman"/>
          <w:color w:val="000000"/>
          <w:sz w:val="20"/>
          <w:szCs w:val="20"/>
          <w:shd w:val="clear" w:color="auto" w:fill="FFFFFF"/>
        </w:rPr>
        <w:t xml:space="preserve">(in millions; continued on next page; </w:t>
      </w:r>
      <w:r>
        <w:rPr>
          <w:rFonts w:ascii="Times New Roman" w:eastAsia="宋体" w:hAnsi="Times New Roman"/>
          <w:color w:val="000000"/>
          <w:sz w:val="20"/>
          <w:szCs w:val="20"/>
        </w:rPr>
        <w:t>unaudited)</w:t>
      </w:r>
    </w:p>
    <w:p w14:paraId="33DA99A6" w14:textId="77777777" w:rsidR="004D6A64" w:rsidRDefault="004D6A64">
      <w:pPr>
        <w:jc w:val="center"/>
      </w:pPr>
    </w:p>
    <w:p w14:paraId="33DA99A7" w14:textId="77777777" w:rsidR="004D6A64" w:rsidRDefault="00506CD6">
      <w:r>
        <w:rPr>
          <w:rFonts w:ascii="Times New Roman" w:eastAsia="宋体" w:hAnsi="Times New Roman"/>
          <w:b/>
          <w:bCs/>
          <w:color w:val="000000"/>
          <w:sz w:val="20"/>
          <w:szCs w:val="20"/>
        </w:rPr>
        <w:t>Six Months Ended July 31, 2020</w:t>
      </w:r>
    </w:p>
    <w:tbl>
      <w:tblPr>
        <w:tblW w:w="5000" w:type="pct"/>
        <w:jc w:val="center"/>
        <w:tblCellMar>
          <w:top w:w="15" w:type="dxa"/>
          <w:left w:w="15" w:type="dxa"/>
          <w:bottom w:w="15" w:type="dxa"/>
          <w:right w:w="15" w:type="dxa"/>
        </w:tblCellMar>
        <w:tblLook w:val="04A0" w:firstRow="1" w:lastRow="0" w:firstColumn="1" w:lastColumn="0" w:noHBand="0" w:noVBand="1"/>
      </w:tblPr>
      <w:tblGrid>
        <w:gridCol w:w="155"/>
        <w:gridCol w:w="829"/>
        <w:gridCol w:w="37"/>
        <w:gridCol w:w="73"/>
        <w:gridCol w:w="323"/>
        <w:gridCol w:w="39"/>
        <w:gridCol w:w="40"/>
        <w:gridCol w:w="31"/>
        <w:gridCol w:w="34"/>
        <w:gridCol w:w="104"/>
        <w:gridCol w:w="422"/>
        <w:gridCol w:w="39"/>
        <w:gridCol w:w="40"/>
        <w:gridCol w:w="31"/>
        <w:gridCol w:w="34"/>
        <w:gridCol w:w="72"/>
        <w:gridCol w:w="322"/>
        <w:gridCol w:w="39"/>
        <w:gridCol w:w="40"/>
        <w:gridCol w:w="31"/>
        <w:gridCol w:w="34"/>
        <w:gridCol w:w="104"/>
        <w:gridCol w:w="391"/>
        <w:gridCol w:w="39"/>
        <w:gridCol w:w="40"/>
        <w:gridCol w:w="31"/>
        <w:gridCol w:w="34"/>
        <w:gridCol w:w="104"/>
        <w:gridCol w:w="627"/>
        <w:gridCol w:w="39"/>
        <w:gridCol w:w="40"/>
        <w:gridCol w:w="31"/>
        <w:gridCol w:w="34"/>
        <w:gridCol w:w="104"/>
        <w:gridCol w:w="744"/>
        <w:gridCol w:w="39"/>
        <w:gridCol w:w="40"/>
        <w:gridCol w:w="31"/>
        <w:gridCol w:w="34"/>
        <w:gridCol w:w="104"/>
        <w:gridCol w:w="654"/>
        <w:gridCol w:w="39"/>
        <w:gridCol w:w="40"/>
        <w:gridCol w:w="31"/>
        <w:gridCol w:w="34"/>
        <w:gridCol w:w="131"/>
        <w:gridCol w:w="760"/>
        <w:gridCol w:w="39"/>
        <w:gridCol w:w="40"/>
        <w:gridCol w:w="31"/>
        <w:gridCol w:w="34"/>
        <w:gridCol w:w="104"/>
        <w:gridCol w:w="656"/>
        <w:gridCol w:w="39"/>
        <w:gridCol w:w="40"/>
        <w:gridCol w:w="31"/>
        <w:gridCol w:w="34"/>
        <w:gridCol w:w="40"/>
        <w:gridCol w:w="31"/>
        <w:gridCol w:w="34"/>
        <w:gridCol w:w="40"/>
        <w:gridCol w:w="31"/>
        <w:gridCol w:w="44"/>
      </w:tblGrid>
      <w:tr w:rsidR="004D6A64" w14:paraId="33DA99DE" w14:textId="77777777">
        <w:trPr>
          <w:gridAfter w:val="9"/>
          <w:jc w:val="center"/>
        </w:trPr>
        <w:tc>
          <w:tcPr>
            <w:tcW w:w="50" w:type="pct"/>
            <w:shd w:val="clear" w:color="auto" w:fill="auto"/>
          </w:tcPr>
          <w:p w14:paraId="33DA99A8" w14:textId="77777777" w:rsidR="004D6A64" w:rsidRDefault="004D6A64">
            <w:pPr>
              <w:rPr>
                <w:rFonts w:ascii="宋体"/>
              </w:rPr>
            </w:pPr>
          </w:p>
        </w:tc>
        <w:tc>
          <w:tcPr>
            <w:tcW w:w="1286" w:type="pct"/>
            <w:shd w:val="clear" w:color="auto" w:fill="auto"/>
          </w:tcPr>
          <w:p w14:paraId="33DA99A9" w14:textId="77777777" w:rsidR="004D6A64" w:rsidRDefault="004D6A64">
            <w:pPr>
              <w:rPr>
                <w:rFonts w:ascii="宋体"/>
              </w:rPr>
            </w:pPr>
          </w:p>
        </w:tc>
        <w:tc>
          <w:tcPr>
            <w:tcW w:w="5" w:type="pct"/>
            <w:shd w:val="clear" w:color="auto" w:fill="auto"/>
          </w:tcPr>
          <w:p w14:paraId="33DA99AA" w14:textId="77777777" w:rsidR="004D6A64" w:rsidRDefault="004D6A64">
            <w:pPr>
              <w:rPr>
                <w:rFonts w:ascii="宋体"/>
              </w:rPr>
            </w:pPr>
          </w:p>
        </w:tc>
        <w:tc>
          <w:tcPr>
            <w:tcW w:w="50" w:type="pct"/>
            <w:shd w:val="clear" w:color="auto" w:fill="auto"/>
          </w:tcPr>
          <w:p w14:paraId="33DA99AB" w14:textId="77777777" w:rsidR="004D6A64" w:rsidRDefault="004D6A64">
            <w:pPr>
              <w:rPr>
                <w:rFonts w:ascii="宋体"/>
              </w:rPr>
            </w:pPr>
          </w:p>
        </w:tc>
        <w:tc>
          <w:tcPr>
            <w:tcW w:w="264" w:type="pct"/>
            <w:shd w:val="clear" w:color="auto" w:fill="auto"/>
          </w:tcPr>
          <w:p w14:paraId="33DA99AC" w14:textId="77777777" w:rsidR="004D6A64" w:rsidRDefault="004D6A64">
            <w:pPr>
              <w:rPr>
                <w:rFonts w:ascii="宋体"/>
              </w:rPr>
            </w:pPr>
          </w:p>
        </w:tc>
        <w:tc>
          <w:tcPr>
            <w:tcW w:w="5" w:type="pct"/>
            <w:shd w:val="clear" w:color="auto" w:fill="auto"/>
          </w:tcPr>
          <w:p w14:paraId="33DA99AD" w14:textId="77777777" w:rsidR="004D6A64" w:rsidRDefault="004D6A64">
            <w:pPr>
              <w:rPr>
                <w:rFonts w:ascii="宋体"/>
              </w:rPr>
            </w:pPr>
          </w:p>
        </w:tc>
        <w:tc>
          <w:tcPr>
            <w:tcW w:w="5" w:type="pct"/>
            <w:shd w:val="clear" w:color="auto" w:fill="auto"/>
          </w:tcPr>
          <w:p w14:paraId="33DA99AE" w14:textId="77777777" w:rsidR="004D6A64" w:rsidRDefault="004D6A64">
            <w:pPr>
              <w:rPr>
                <w:rFonts w:ascii="宋体"/>
              </w:rPr>
            </w:pPr>
          </w:p>
        </w:tc>
        <w:tc>
          <w:tcPr>
            <w:tcW w:w="11" w:type="pct"/>
            <w:shd w:val="clear" w:color="auto" w:fill="auto"/>
          </w:tcPr>
          <w:p w14:paraId="33DA99AF" w14:textId="77777777" w:rsidR="004D6A64" w:rsidRDefault="004D6A64">
            <w:pPr>
              <w:rPr>
                <w:rFonts w:ascii="宋体"/>
              </w:rPr>
            </w:pPr>
          </w:p>
        </w:tc>
        <w:tc>
          <w:tcPr>
            <w:tcW w:w="5" w:type="pct"/>
            <w:shd w:val="clear" w:color="auto" w:fill="auto"/>
          </w:tcPr>
          <w:p w14:paraId="33DA99B0" w14:textId="77777777" w:rsidR="004D6A64" w:rsidRDefault="004D6A64">
            <w:pPr>
              <w:rPr>
                <w:rFonts w:ascii="宋体"/>
              </w:rPr>
            </w:pPr>
          </w:p>
        </w:tc>
        <w:tc>
          <w:tcPr>
            <w:tcW w:w="50" w:type="pct"/>
            <w:shd w:val="clear" w:color="auto" w:fill="auto"/>
          </w:tcPr>
          <w:p w14:paraId="33DA99B1" w14:textId="77777777" w:rsidR="004D6A64" w:rsidRDefault="004D6A64">
            <w:pPr>
              <w:rPr>
                <w:rFonts w:ascii="宋体"/>
              </w:rPr>
            </w:pPr>
          </w:p>
        </w:tc>
        <w:tc>
          <w:tcPr>
            <w:tcW w:w="302" w:type="pct"/>
            <w:shd w:val="clear" w:color="auto" w:fill="auto"/>
          </w:tcPr>
          <w:p w14:paraId="33DA99B2" w14:textId="77777777" w:rsidR="004D6A64" w:rsidRDefault="004D6A64">
            <w:pPr>
              <w:rPr>
                <w:rFonts w:ascii="宋体"/>
              </w:rPr>
            </w:pPr>
          </w:p>
        </w:tc>
        <w:tc>
          <w:tcPr>
            <w:tcW w:w="5" w:type="pct"/>
            <w:shd w:val="clear" w:color="auto" w:fill="auto"/>
          </w:tcPr>
          <w:p w14:paraId="33DA99B3" w14:textId="77777777" w:rsidR="004D6A64" w:rsidRDefault="004D6A64">
            <w:pPr>
              <w:rPr>
                <w:rFonts w:ascii="宋体"/>
              </w:rPr>
            </w:pPr>
          </w:p>
        </w:tc>
        <w:tc>
          <w:tcPr>
            <w:tcW w:w="5" w:type="pct"/>
            <w:shd w:val="clear" w:color="auto" w:fill="auto"/>
          </w:tcPr>
          <w:p w14:paraId="33DA99B4" w14:textId="77777777" w:rsidR="004D6A64" w:rsidRDefault="004D6A64">
            <w:pPr>
              <w:rPr>
                <w:rFonts w:ascii="宋体"/>
              </w:rPr>
            </w:pPr>
          </w:p>
        </w:tc>
        <w:tc>
          <w:tcPr>
            <w:tcW w:w="11" w:type="pct"/>
            <w:shd w:val="clear" w:color="auto" w:fill="auto"/>
          </w:tcPr>
          <w:p w14:paraId="33DA99B5" w14:textId="77777777" w:rsidR="004D6A64" w:rsidRDefault="004D6A64">
            <w:pPr>
              <w:rPr>
                <w:rFonts w:ascii="宋体"/>
              </w:rPr>
            </w:pPr>
          </w:p>
        </w:tc>
        <w:tc>
          <w:tcPr>
            <w:tcW w:w="5" w:type="pct"/>
            <w:shd w:val="clear" w:color="auto" w:fill="auto"/>
          </w:tcPr>
          <w:p w14:paraId="33DA99B6" w14:textId="77777777" w:rsidR="004D6A64" w:rsidRDefault="004D6A64">
            <w:pPr>
              <w:rPr>
                <w:rFonts w:ascii="宋体"/>
              </w:rPr>
            </w:pPr>
          </w:p>
        </w:tc>
        <w:tc>
          <w:tcPr>
            <w:tcW w:w="50" w:type="pct"/>
            <w:shd w:val="clear" w:color="auto" w:fill="auto"/>
          </w:tcPr>
          <w:p w14:paraId="33DA99B7" w14:textId="77777777" w:rsidR="004D6A64" w:rsidRDefault="004D6A64">
            <w:pPr>
              <w:rPr>
                <w:rFonts w:ascii="宋体"/>
              </w:rPr>
            </w:pPr>
          </w:p>
        </w:tc>
        <w:tc>
          <w:tcPr>
            <w:tcW w:w="264" w:type="pct"/>
            <w:shd w:val="clear" w:color="auto" w:fill="auto"/>
          </w:tcPr>
          <w:p w14:paraId="33DA99B8" w14:textId="77777777" w:rsidR="004D6A64" w:rsidRDefault="004D6A64">
            <w:pPr>
              <w:rPr>
                <w:rFonts w:ascii="宋体"/>
              </w:rPr>
            </w:pPr>
          </w:p>
        </w:tc>
        <w:tc>
          <w:tcPr>
            <w:tcW w:w="5" w:type="pct"/>
            <w:shd w:val="clear" w:color="auto" w:fill="auto"/>
          </w:tcPr>
          <w:p w14:paraId="33DA99B9" w14:textId="77777777" w:rsidR="004D6A64" w:rsidRDefault="004D6A64">
            <w:pPr>
              <w:rPr>
                <w:rFonts w:ascii="宋体"/>
              </w:rPr>
            </w:pPr>
          </w:p>
        </w:tc>
        <w:tc>
          <w:tcPr>
            <w:tcW w:w="5" w:type="pct"/>
            <w:shd w:val="clear" w:color="auto" w:fill="auto"/>
          </w:tcPr>
          <w:p w14:paraId="33DA99BA" w14:textId="77777777" w:rsidR="004D6A64" w:rsidRDefault="004D6A64">
            <w:pPr>
              <w:rPr>
                <w:rFonts w:ascii="宋体"/>
              </w:rPr>
            </w:pPr>
          </w:p>
        </w:tc>
        <w:tc>
          <w:tcPr>
            <w:tcW w:w="11" w:type="pct"/>
            <w:shd w:val="clear" w:color="auto" w:fill="auto"/>
          </w:tcPr>
          <w:p w14:paraId="33DA99BB" w14:textId="77777777" w:rsidR="004D6A64" w:rsidRDefault="004D6A64">
            <w:pPr>
              <w:rPr>
                <w:rFonts w:ascii="宋体"/>
              </w:rPr>
            </w:pPr>
          </w:p>
        </w:tc>
        <w:tc>
          <w:tcPr>
            <w:tcW w:w="5" w:type="pct"/>
            <w:shd w:val="clear" w:color="auto" w:fill="auto"/>
          </w:tcPr>
          <w:p w14:paraId="33DA99BC" w14:textId="77777777" w:rsidR="004D6A64" w:rsidRDefault="004D6A64">
            <w:pPr>
              <w:rPr>
                <w:rFonts w:ascii="宋体"/>
              </w:rPr>
            </w:pPr>
          </w:p>
        </w:tc>
        <w:tc>
          <w:tcPr>
            <w:tcW w:w="50" w:type="pct"/>
            <w:shd w:val="clear" w:color="auto" w:fill="auto"/>
          </w:tcPr>
          <w:p w14:paraId="33DA99BD" w14:textId="77777777" w:rsidR="004D6A64" w:rsidRDefault="004D6A64">
            <w:pPr>
              <w:rPr>
                <w:rFonts w:ascii="宋体"/>
              </w:rPr>
            </w:pPr>
          </w:p>
        </w:tc>
        <w:tc>
          <w:tcPr>
            <w:tcW w:w="302" w:type="pct"/>
            <w:shd w:val="clear" w:color="auto" w:fill="auto"/>
          </w:tcPr>
          <w:p w14:paraId="33DA99BE" w14:textId="77777777" w:rsidR="004D6A64" w:rsidRDefault="004D6A64">
            <w:pPr>
              <w:rPr>
                <w:rFonts w:ascii="宋体"/>
              </w:rPr>
            </w:pPr>
          </w:p>
        </w:tc>
        <w:tc>
          <w:tcPr>
            <w:tcW w:w="5" w:type="pct"/>
            <w:shd w:val="clear" w:color="auto" w:fill="auto"/>
          </w:tcPr>
          <w:p w14:paraId="33DA99BF" w14:textId="77777777" w:rsidR="004D6A64" w:rsidRDefault="004D6A64">
            <w:pPr>
              <w:rPr>
                <w:rFonts w:ascii="宋体"/>
              </w:rPr>
            </w:pPr>
          </w:p>
        </w:tc>
        <w:tc>
          <w:tcPr>
            <w:tcW w:w="5" w:type="pct"/>
            <w:shd w:val="clear" w:color="auto" w:fill="auto"/>
          </w:tcPr>
          <w:p w14:paraId="33DA99C0" w14:textId="77777777" w:rsidR="004D6A64" w:rsidRDefault="004D6A64">
            <w:pPr>
              <w:rPr>
                <w:rFonts w:ascii="宋体"/>
              </w:rPr>
            </w:pPr>
          </w:p>
        </w:tc>
        <w:tc>
          <w:tcPr>
            <w:tcW w:w="11" w:type="pct"/>
            <w:shd w:val="clear" w:color="auto" w:fill="auto"/>
          </w:tcPr>
          <w:p w14:paraId="33DA99C1" w14:textId="77777777" w:rsidR="004D6A64" w:rsidRDefault="004D6A64">
            <w:pPr>
              <w:rPr>
                <w:rFonts w:ascii="宋体"/>
              </w:rPr>
            </w:pPr>
          </w:p>
        </w:tc>
        <w:tc>
          <w:tcPr>
            <w:tcW w:w="5" w:type="pct"/>
            <w:shd w:val="clear" w:color="auto" w:fill="auto"/>
          </w:tcPr>
          <w:p w14:paraId="33DA99C2" w14:textId="77777777" w:rsidR="004D6A64" w:rsidRDefault="004D6A64">
            <w:pPr>
              <w:rPr>
                <w:rFonts w:ascii="宋体"/>
              </w:rPr>
            </w:pPr>
          </w:p>
        </w:tc>
        <w:tc>
          <w:tcPr>
            <w:tcW w:w="50" w:type="pct"/>
            <w:shd w:val="clear" w:color="auto" w:fill="auto"/>
          </w:tcPr>
          <w:p w14:paraId="33DA99C3" w14:textId="77777777" w:rsidR="004D6A64" w:rsidRDefault="004D6A64">
            <w:pPr>
              <w:rPr>
                <w:rFonts w:ascii="宋体"/>
              </w:rPr>
            </w:pPr>
          </w:p>
        </w:tc>
        <w:tc>
          <w:tcPr>
            <w:tcW w:w="361" w:type="pct"/>
            <w:shd w:val="clear" w:color="auto" w:fill="auto"/>
          </w:tcPr>
          <w:p w14:paraId="33DA99C4" w14:textId="77777777" w:rsidR="004D6A64" w:rsidRDefault="004D6A64">
            <w:pPr>
              <w:rPr>
                <w:rFonts w:ascii="宋体"/>
              </w:rPr>
            </w:pPr>
          </w:p>
        </w:tc>
        <w:tc>
          <w:tcPr>
            <w:tcW w:w="5" w:type="pct"/>
            <w:shd w:val="clear" w:color="auto" w:fill="auto"/>
          </w:tcPr>
          <w:p w14:paraId="33DA99C5" w14:textId="77777777" w:rsidR="004D6A64" w:rsidRDefault="004D6A64">
            <w:pPr>
              <w:rPr>
                <w:rFonts w:ascii="宋体"/>
              </w:rPr>
            </w:pPr>
          </w:p>
        </w:tc>
        <w:tc>
          <w:tcPr>
            <w:tcW w:w="5" w:type="pct"/>
            <w:shd w:val="clear" w:color="auto" w:fill="auto"/>
          </w:tcPr>
          <w:p w14:paraId="33DA99C6" w14:textId="77777777" w:rsidR="004D6A64" w:rsidRDefault="004D6A64">
            <w:pPr>
              <w:rPr>
                <w:rFonts w:ascii="宋体"/>
              </w:rPr>
            </w:pPr>
          </w:p>
        </w:tc>
        <w:tc>
          <w:tcPr>
            <w:tcW w:w="11" w:type="pct"/>
            <w:shd w:val="clear" w:color="auto" w:fill="auto"/>
          </w:tcPr>
          <w:p w14:paraId="33DA99C7" w14:textId="77777777" w:rsidR="004D6A64" w:rsidRDefault="004D6A64">
            <w:pPr>
              <w:rPr>
                <w:rFonts w:ascii="宋体"/>
              </w:rPr>
            </w:pPr>
          </w:p>
        </w:tc>
        <w:tc>
          <w:tcPr>
            <w:tcW w:w="5" w:type="pct"/>
            <w:shd w:val="clear" w:color="auto" w:fill="auto"/>
          </w:tcPr>
          <w:p w14:paraId="33DA99C8" w14:textId="77777777" w:rsidR="004D6A64" w:rsidRDefault="004D6A64">
            <w:pPr>
              <w:rPr>
                <w:rFonts w:ascii="宋体"/>
              </w:rPr>
            </w:pPr>
          </w:p>
        </w:tc>
        <w:tc>
          <w:tcPr>
            <w:tcW w:w="50" w:type="pct"/>
            <w:shd w:val="clear" w:color="auto" w:fill="auto"/>
          </w:tcPr>
          <w:p w14:paraId="33DA99C9" w14:textId="77777777" w:rsidR="004D6A64" w:rsidRDefault="004D6A64">
            <w:pPr>
              <w:rPr>
                <w:rFonts w:ascii="宋体"/>
              </w:rPr>
            </w:pPr>
          </w:p>
        </w:tc>
        <w:tc>
          <w:tcPr>
            <w:tcW w:w="415" w:type="pct"/>
            <w:shd w:val="clear" w:color="auto" w:fill="auto"/>
          </w:tcPr>
          <w:p w14:paraId="33DA99CA" w14:textId="77777777" w:rsidR="004D6A64" w:rsidRDefault="004D6A64">
            <w:pPr>
              <w:rPr>
                <w:rFonts w:ascii="宋体"/>
              </w:rPr>
            </w:pPr>
          </w:p>
        </w:tc>
        <w:tc>
          <w:tcPr>
            <w:tcW w:w="5" w:type="pct"/>
            <w:shd w:val="clear" w:color="auto" w:fill="auto"/>
          </w:tcPr>
          <w:p w14:paraId="33DA99CB" w14:textId="77777777" w:rsidR="004D6A64" w:rsidRDefault="004D6A64">
            <w:pPr>
              <w:rPr>
                <w:rFonts w:ascii="宋体"/>
              </w:rPr>
            </w:pPr>
          </w:p>
        </w:tc>
        <w:tc>
          <w:tcPr>
            <w:tcW w:w="5" w:type="pct"/>
            <w:shd w:val="clear" w:color="auto" w:fill="auto"/>
          </w:tcPr>
          <w:p w14:paraId="33DA99CC" w14:textId="77777777" w:rsidR="004D6A64" w:rsidRDefault="004D6A64">
            <w:pPr>
              <w:rPr>
                <w:rFonts w:ascii="宋体"/>
              </w:rPr>
            </w:pPr>
          </w:p>
        </w:tc>
        <w:tc>
          <w:tcPr>
            <w:tcW w:w="11" w:type="pct"/>
            <w:shd w:val="clear" w:color="auto" w:fill="auto"/>
          </w:tcPr>
          <w:p w14:paraId="33DA99CD" w14:textId="77777777" w:rsidR="004D6A64" w:rsidRDefault="004D6A64">
            <w:pPr>
              <w:rPr>
                <w:rFonts w:ascii="宋体"/>
              </w:rPr>
            </w:pPr>
          </w:p>
        </w:tc>
        <w:tc>
          <w:tcPr>
            <w:tcW w:w="5" w:type="pct"/>
            <w:shd w:val="clear" w:color="auto" w:fill="auto"/>
          </w:tcPr>
          <w:p w14:paraId="33DA99CE" w14:textId="77777777" w:rsidR="004D6A64" w:rsidRDefault="004D6A64">
            <w:pPr>
              <w:rPr>
                <w:rFonts w:ascii="宋体"/>
              </w:rPr>
            </w:pPr>
          </w:p>
        </w:tc>
        <w:tc>
          <w:tcPr>
            <w:tcW w:w="50" w:type="pct"/>
            <w:shd w:val="clear" w:color="auto" w:fill="auto"/>
          </w:tcPr>
          <w:p w14:paraId="33DA99CF" w14:textId="77777777" w:rsidR="004D6A64" w:rsidRDefault="004D6A64">
            <w:pPr>
              <w:rPr>
                <w:rFonts w:ascii="宋体"/>
              </w:rPr>
            </w:pPr>
          </w:p>
        </w:tc>
        <w:tc>
          <w:tcPr>
            <w:tcW w:w="377" w:type="pct"/>
            <w:shd w:val="clear" w:color="auto" w:fill="auto"/>
          </w:tcPr>
          <w:p w14:paraId="33DA99D0" w14:textId="77777777" w:rsidR="004D6A64" w:rsidRDefault="004D6A64">
            <w:pPr>
              <w:rPr>
                <w:rFonts w:ascii="宋体"/>
              </w:rPr>
            </w:pPr>
          </w:p>
        </w:tc>
        <w:tc>
          <w:tcPr>
            <w:tcW w:w="5" w:type="pct"/>
            <w:shd w:val="clear" w:color="auto" w:fill="auto"/>
          </w:tcPr>
          <w:p w14:paraId="33DA99D1" w14:textId="77777777" w:rsidR="004D6A64" w:rsidRDefault="004D6A64">
            <w:pPr>
              <w:rPr>
                <w:rFonts w:ascii="宋体"/>
              </w:rPr>
            </w:pPr>
          </w:p>
        </w:tc>
        <w:tc>
          <w:tcPr>
            <w:tcW w:w="5" w:type="pct"/>
            <w:shd w:val="clear" w:color="auto" w:fill="auto"/>
          </w:tcPr>
          <w:p w14:paraId="33DA99D2" w14:textId="77777777" w:rsidR="004D6A64" w:rsidRDefault="004D6A64">
            <w:pPr>
              <w:rPr>
                <w:rFonts w:ascii="宋体"/>
              </w:rPr>
            </w:pPr>
          </w:p>
        </w:tc>
        <w:tc>
          <w:tcPr>
            <w:tcW w:w="11" w:type="pct"/>
            <w:shd w:val="clear" w:color="auto" w:fill="auto"/>
          </w:tcPr>
          <w:p w14:paraId="33DA99D3" w14:textId="77777777" w:rsidR="004D6A64" w:rsidRDefault="004D6A64">
            <w:pPr>
              <w:rPr>
                <w:rFonts w:ascii="宋体"/>
              </w:rPr>
            </w:pPr>
          </w:p>
        </w:tc>
        <w:tc>
          <w:tcPr>
            <w:tcW w:w="5" w:type="pct"/>
            <w:shd w:val="clear" w:color="auto" w:fill="auto"/>
          </w:tcPr>
          <w:p w14:paraId="33DA99D4" w14:textId="77777777" w:rsidR="004D6A64" w:rsidRDefault="004D6A64">
            <w:pPr>
              <w:rPr>
                <w:rFonts w:ascii="宋体"/>
              </w:rPr>
            </w:pPr>
          </w:p>
        </w:tc>
        <w:tc>
          <w:tcPr>
            <w:tcW w:w="50" w:type="pct"/>
            <w:shd w:val="clear" w:color="auto" w:fill="auto"/>
          </w:tcPr>
          <w:p w14:paraId="33DA99D5" w14:textId="77777777" w:rsidR="004D6A64" w:rsidRDefault="004D6A64">
            <w:pPr>
              <w:rPr>
                <w:rFonts w:ascii="宋体"/>
              </w:rPr>
            </w:pPr>
          </w:p>
        </w:tc>
        <w:tc>
          <w:tcPr>
            <w:tcW w:w="318" w:type="pct"/>
            <w:shd w:val="clear" w:color="auto" w:fill="auto"/>
          </w:tcPr>
          <w:p w14:paraId="33DA99D6" w14:textId="77777777" w:rsidR="004D6A64" w:rsidRDefault="004D6A64">
            <w:pPr>
              <w:rPr>
                <w:rFonts w:ascii="宋体"/>
              </w:rPr>
            </w:pPr>
          </w:p>
        </w:tc>
        <w:tc>
          <w:tcPr>
            <w:tcW w:w="5" w:type="pct"/>
            <w:shd w:val="clear" w:color="auto" w:fill="auto"/>
          </w:tcPr>
          <w:p w14:paraId="33DA99D7" w14:textId="77777777" w:rsidR="004D6A64" w:rsidRDefault="004D6A64">
            <w:pPr>
              <w:rPr>
                <w:rFonts w:ascii="宋体"/>
              </w:rPr>
            </w:pPr>
          </w:p>
        </w:tc>
        <w:tc>
          <w:tcPr>
            <w:tcW w:w="5" w:type="pct"/>
            <w:shd w:val="clear" w:color="auto" w:fill="auto"/>
          </w:tcPr>
          <w:p w14:paraId="33DA99D8" w14:textId="77777777" w:rsidR="004D6A64" w:rsidRDefault="004D6A64">
            <w:pPr>
              <w:rPr>
                <w:rFonts w:ascii="宋体"/>
              </w:rPr>
            </w:pPr>
          </w:p>
        </w:tc>
        <w:tc>
          <w:tcPr>
            <w:tcW w:w="11" w:type="pct"/>
            <w:shd w:val="clear" w:color="auto" w:fill="auto"/>
          </w:tcPr>
          <w:p w14:paraId="33DA99D9" w14:textId="77777777" w:rsidR="004D6A64" w:rsidRDefault="004D6A64">
            <w:pPr>
              <w:rPr>
                <w:rFonts w:ascii="宋体"/>
              </w:rPr>
            </w:pPr>
          </w:p>
        </w:tc>
        <w:tc>
          <w:tcPr>
            <w:tcW w:w="5" w:type="pct"/>
            <w:shd w:val="clear" w:color="auto" w:fill="auto"/>
          </w:tcPr>
          <w:p w14:paraId="33DA99DA" w14:textId="77777777" w:rsidR="004D6A64" w:rsidRDefault="004D6A64">
            <w:pPr>
              <w:rPr>
                <w:rFonts w:ascii="宋体"/>
              </w:rPr>
            </w:pPr>
          </w:p>
        </w:tc>
        <w:tc>
          <w:tcPr>
            <w:tcW w:w="50" w:type="pct"/>
            <w:shd w:val="clear" w:color="auto" w:fill="auto"/>
          </w:tcPr>
          <w:p w14:paraId="33DA99DB" w14:textId="77777777" w:rsidR="004D6A64" w:rsidRDefault="004D6A64">
            <w:pPr>
              <w:rPr>
                <w:rFonts w:ascii="宋体"/>
              </w:rPr>
            </w:pPr>
          </w:p>
        </w:tc>
        <w:tc>
          <w:tcPr>
            <w:tcW w:w="383" w:type="pct"/>
            <w:shd w:val="clear" w:color="auto" w:fill="auto"/>
          </w:tcPr>
          <w:p w14:paraId="33DA99DC" w14:textId="77777777" w:rsidR="004D6A64" w:rsidRDefault="004D6A64">
            <w:pPr>
              <w:rPr>
                <w:rFonts w:ascii="宋体"/>
              </w:rPr>
            </w:pPr>
          </w:p>
        </w:tc>
        <w:tc>
          <w:tcPr>
            <w:tcW w:w="5" w:type="pct"/>
            <w:shd w:val="clear" w:color="auto" w:fill="auto"/>
          </w:tcPr>
          <w:p w14:paraId="33DA99DD" w14:textId="77777777" w:rsidR="004D6A64" w:rsidRDefault="004D6A64">
            <w:pPr>
              <w:rPr>
                <w:rFonts w:ascii="宋体"/>
              </w:rPr>
            </w:pPr>
          </w:p>
        </w:tc>
      </w:tr>
      <w:tr w:rsidR="004D6A64" w14:paraId="33DA99F1" w14:textId="77777777">
        <w:trPr>
          <w:jc w:val="center"/>
        </w:trPr>
        <w:tc>
          <w:tcPr>
            <w:tcW w:w="0" w:type="auto"/>
            <w:gridSpan w:val="3"/>
            <w:shd w:val="clear" w:color="auto" w:fill="auto"/>
            <w:tcMar>
              <w:left w:w="20" w:type="dxa"/>
              <w:right w:w="20" w:type="dxa"/>
            </w:tcMar>
            <w:vAlign w:val="bottom"/>
          </w:tcPr>
          <w:p w14:paraId="33DA99DF" w14:textId="77777777" w:rsidR="004D6A64" w:rsidRDefault="004D6A64">
            <w:pPr>
              <w:rPr>
                <w:rFonts w:ascii="宋体"/>
              </w:rPr>
            </w:pPr>
          </w:p>
        </w:tc>
        <w:tc>
          <w:tcPr>
            <w:tcW w:w="0" w:type="auto"/>
            <w:gridSpan w:val="9"/>
            <w:shd w:val="clear" w:color="auto" w:fill="auto"/>
            <w:tcMar>
              <w:top w:w="40" w:type="dxa"/>
              <w:left w:w="20" w:type="dxa"/>
              <w:bottom w:w="40" w:type="dxa"/>
              <w:right w:w="20" w:type="dxa"/>
            </w:tcMar>
            <w:vAlign w:val="bottom"/>
          </w:tcPr>
          <w:p w14:paraId="33DA99E0" w14:textId="77777777" w:rsidR="004D6A64" w:rsidRDefault="00506CD6">
            <w:pPr>
              <w:jc w:val="center"/>
              <w:textAlignment w:val="bottom"/>
            </w:pPr>
            <w:r>
              <w:rPr>
                <w:rFonts w:ascii="Times New Roman" w:eastAsia="宋体" w:hAnsi="Times New Roman"/>
                <w:b/>
                <w:bCs/>
                <w:color w:val="000000"/>
                <w:sz w:val="18"/>
                <w:szCs w:val="18"/>
              </w:rPr>
              <w:t>Common Stock and Capital in Excess of Par Value</w:t>
            </w:r>
          </w:p>
        </w:tc>
        <w:tc>
          <w:tcPr>
            <w:tcW w:w="0" w:type="auto"/>
            <w:gridSpan w:val="3"/>
            <w:shd w:val="clear" w:color="auto" w:fill="auto"/>
          </w:tcPr>
          <w:p w14:paraId="33DA99E1" w14:textId="77777777" w:rsidR="004D6A64" w:rsidRDefault="004D6A64">
            <w:pPr>
              <w:rPr>
                <w:rFonts w:ascii="宋体"/>
                <w:vanish/>
              </w:rPr>
            </w:pPr>
          </w:p>
        </w:tc>
        <w:tc>
          <w:tcPr>
            <w:tcW w:w="0" w:type="auto"/>
            <w:gridSpan w:val="3"/>
            <w:shd w:val="clear" w:color="auto" w:fill="auto"/>
          </w:tcPr>
          <w:p w14:paraId="33DA99E2"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99E3" w14:textId="77777777" w:rsidR="004D6A64" w:rsidRDefault="004D6A64">
            <w:pPr>
              <w:rPr>
                <w:rFonts w:ascii="宋体"/>
              </w:rPr>
            </w:pPr>
          </w:p>
        </w:tc>
        <w:tc>
          <w:tcPr>
            <w:tcW w:w="0" w:type="auto"/>
            <w:gridSpan w:val="9"/>
            <w:shd w:val="clear" w:color="auto" w:fill="auto"/>
            <w:tcMar>
              <w:top w:w="40" w:type="dxa"/>
              <w:left w:w="20" w:type="dxa"/>
              <w:bottom w:w="40" w:type="dxa"/>
              <w:right w:w="20" w:type="dxa"/>
            </w:tcMar>
            <w:vAlign w:val="bottom"/>
          </w:tcPr>
          <w:p w14:paraId="33DA99E4" w14:textId="77777777" w:rsidR="004D6A64" w:rsidRDefault="00506CD6">
            <w:pPr>
              <w:jc w:val="center"/>
              <w:textAlignment w:val="bottom"/>
            </w:pPr>
            <w:r>
              <w:rPr>
                <w:rFonts w:ascii="Times New Roman" w:eastAsia="宋体" w:hAnsi="Times New Roman"/>
                <w:b/>
                <w:bCs/>
                <w:color w:val="000000"/>
                <w:sz w:val="18"/>
                <w:szCs w:val="18"/>
              </w:rPr>
              <w:t>Treasury Stock</w:t>
            </w:r>
          </w:p>
        </w:tc>
        <w:tc>
          <w:tcPr>
            <w:tcW w:w="0" w:type="auto"/>
            <w:gridSpan w:val="3"/>
            <w:shd w:val="clear" w:color="auto" w:fill="auto"/>
          </w:tcPr>
          <w:p w14:paraId="33DA99E5" w14:textId="77777777" w:rsidR="004D6A64" w:rsidRDefault="004D6A64">
            <w:pPr>
              <w:rPr>
                <w:rFonts w:ascii="宋体"/>
                <w:vanish/>
              </w:rPr>
            </w:pPr>
          </w:p>
        </w:tc>
        <w:tc>
          <w:tcPr>
            <w:tcW w:w="0" w:type="auto"/>
            <w:gridSpan w:val="3"/>
            <w:shd w:val="clear" w:color="auto" w:fill="auto"/>
          </w:tcPr>
          <w:p w14:paraId="33DA99E6"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99E7"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99E8"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99E9"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99EA"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99EB"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99EC"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99ED"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99EE" w14:textId="77777777" w:rsidR="004D6A64" w:rsidRDefault="004D6A64">
            <w:pPr>
              <w:rPr>
                <w:rFonts w:ascii="宋体"/>
              </w:rPr>
            </w:pPr>
          </w:p>
        </w:tc>
        <w:tc>
          <w:tcPr>
            <w:tcW w:w="0" w:type="auto"/>
            <w:gridSpan w:val="2"/>
            <w:shd w:val="clear" w:color="auto" w:fill="auto"/>
            <w:tcMar>
              <w:left w:w="20" w:type="dxa"/>
              <w:right w:w="20" w:type="dxa"/>
            </w:tcMar>
            <w:vAlign w:val="bottom"/>
          </w:tcPr>
          <w:p w14:paraId="33DA99EF" w14:textId="77777777" w:rsidR="004D6A64" w:rsidRDefault="004D6A64">
            <w:pPr>
              <w:rPr>
                <w:rFonts w:ascii="宋体"/>
              </w:rPr>
            </w:pPr>
          </w:p>
        </w:tc>
        <w:tc>
          <w:tcPr>
            <w:tcW w:w="0" w:type="auto"/>
            <w:shd w:val="clear" w:color="auto" w:fill="auto"/>
            <w:tcMar>
              <w:left w:w="20" w:type="dxa"/>
              <w:right w:w="20" w:type="dxa"/>
            </w:tcMar>
            <w:vAlign w:val="bottom"/>
          </w:tcPr>
          <w:p w14:paraId="33DA99F0" w14:textId="77777777" w:rsidR="004D6A64" w:rsidRDefault="004D6A64">
            <w:pPr>
              <w:rPr>
                <w:rFonts w:ascii="宋体"/>
              </w:rPr>
            </w:pPr>
          </w:p>
        </w:tc>
      </w:tr>
      <w:tr w:rsidR="004D6A64" w14:paraId="33DA9A0D" w14:textId="77777777">
        <w:trPr>
          <w:jc w:val="center"/>
        </w:trPr>
        <w:tc>
          <w:tcPr>
            <w:tcW w:w="0" w:type="auto"/>
            <w:gridSpan w:val="3"/>
            <w:shd w:val="clear" w:color="auto" w:fill="auto"/>
            <w:tcMar>
              <w:left w:w="20" w:type="dxa"/>
              <w:right w:w="20" w:type="dxa"/>
            </w:tcMar>
            <w:vAlign w:val="bottom"/>
          </w:tcPr>
          <w:p w14:paraId="33DA99F2"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99F3" w14:textId="77777777" w:rsidR="004D6A64" w:rsidRDefault="00506CD6">
            <w:pPr>
              <w:jc w:val="center"/>
              <w:textAlignment w:val="bottom"/>
            </w:pPr>
            <w:r>
              <w:rPr>
                <w:rFonts w:ascii="Times New Roman" w:eastAsia="宋体" w:hAnsi="Times New Roman"/>
                <w:b/>
                <w:bCs/>
                <w:color w:val="000000"/>
                <w:sz w:val="18"/>
                <w:szCs w:val="18"/>
              </w:rPr>
              <w:t>Issued Shares</w:t>
            </w:r>
          </w:p>
        </w:tc>
        <w:tc>
          <w:tcPr>
            <w:tcW w:w="0" w:type="auto"/>
            <w:gridSpan w:val="3"/>
            <w:tcBorders>
              <w:top w:val="single" w:sz="8" w:space="0" w:color="000000"/>
            </w:tcBorders>
            <w:shd w:val="clear" w:color="auto" w:fill="auto"/>
            <w:tcMar>
              <w:left w:w="20" w:type="dxa"/>
              <w:right w:w="20" w:type="dxa"/>
            </w:tcMar>
            <w:vAlign w:val="bottom"/>
          </w:tcPr>
          <w:p w14:paraId="33DA99F4"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99F5" w14:textId="77777777" w:rsidR="004D6A64" w:rsidRDefault="00506CD6">
            <w:pPr>
              <w:jc w:val="center"/>
              <w:textAlignment w:val="bottom"/>
            </w:pPr>
            <w:r>
              <w:rPr>
                <w:rFonts w:ascii="Times New Roman" w:eastAsia="宋体" w:hAnsi="Times New Roman"/>
                <w:b/>
                <w:bCs/>
                <w:color w:val="000000"/>
                <w:sz w:val="18"/>
                <w:szCs w:val="18"/>
              </w:rPr>
              <w:t>Amount</w:t>
            </w:r>
          </w:p>
        </w:tc>
        <w:tc>
          <w:tcPr>
            <w:tcW w:w="0" w:type="auto"/>
            <w:gridSpan w:val="3"/>
            <w:shd w:val="clear" w:color="auto" w:fill="auto"/>
            <w:tcMar>
              <w:left w:w="20" w:type="dxa"/>
              <w:right w:w="20" w:type="dxa"/>
            </w:tcMar>
            <w:vAlign w:val="bottom"/>
          </w:tcPr>
          <w:p w14:paraId="33DA99F6"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99F7" w14:textId="77777777" w:rsidR="004D6A64" w:rsidRDefault="00506CD6">
            <w:pPr>
              <w:jc w:val="center"/>
              <w:textAlignment w:val="bottom"/>
            </w:pPr>
            <w:r>
              <w:rPr>
                <w:rFonts w:ascii="Times New Roman" w:eastAsia="宋体" w:hAnsi="Times New Roman"/>
                <w:b/>
                <w:bCs/>
                <w:color w:val="000000"/>
                <w:sz w:val="18"/>
                <w:szCs w:val="18"/>
              </w:rPr>
              <w:t>Shares</w:t>
            </w:r>
          </w:p>
        </w:tc>
        <w:tc>
          <w:tcPr>
            <w:tcW w:w="0" w:type="auto"/>
            <w:gridSpan w:val="3"/>
            <w:tcBorders>
              <w:top w:val="single" w:sz="8" w:space="0" w:color="000000"/>
            </w:tcBorders>
            <w:shd w:val="clear" w:color="auto" w:fill="auto"/>
            <w:tcMar>
              <w:left w:w="20" w:type="dxa"/>
              <w:right w:w="20" w:type="dxa"/>
            </w:tcMar>
            <w:vAlign w:val="bottom"/>
          </w:tcPr>
          <w:p w14:paraId="33DA99F8"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99F9" w14:textId="77777777" w:rsidR="004D6A64" w:rsidRDefault="00506CD6">
            <w:pPr>
              <w:jc w:val="center"/>
              <w:textAlignment w:val="bottom"/>
            </w:pPr>
            <w:r>
              <w:rPr>
                <w:rFonts w:ascii="Times New Roman" w:eastAsia="宋体" w:hAnsi="Times New Roman"/>
                <w:b/>
                <w:bCs/>
                <w:color w:val="000000"/>
                <w:sz w:val="18"/>
                <w:szCs w:val="18"/>
              </w:rPr>
              <w:t>Amount</w:t>
            </w:r>
          </w:p>
        </w:tc>
        <w:tc>
          <w:tcPr>
            <w:tcW w:w="0" w:type="auto"/>
            <w:gridSpan w:val="3"/>
            <w:shd w:val="clear" w:color="auto" w:fill="auto"/>
            <w:tcMar>
              <w:left w:w="20" w:type="dxa"/>
              <w:right w:w="20" w:type="dxa"/>
            </w:tcMar>
            <w:vAlign w:val="bottom"/>
          </w:tcPr>
          <w:p w14:paraId="33DA99FA"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99FB" w14:textId="77777777" w:rsidR="004D6A64" w:rsidRDefault="00506CD6">
            <w:pPr>
              <w:jc w:val="center"/>
              <w:textAlignment w:val="bottom"/>
            </w:pPr>
            <w:r>
              <w:rPr>
                <w:rFonts w:ascii="Times New Roman" w:eastAsia="宋体" w:hAnsi="Times New Roman"/>
                <w:b/>
                <w:bCs/>
                <w:color w:val="000000"/>
                <w:sz w:val="18"/>
                <w:szCs w:val="18"/>
              </w:rPr>
              <w:t>Accumulated Deficit</w:t>
            </w:r>
          </w:p>
        </w:tc>
        <w:tc>
          <w:tcPr>
            <w:tcW w:w="0" w:type="auto"/>
            <w:gridSpan w:val="3"/>
            <w:shd w:val="clear" w:color="auto" w:fill="auto"/>
            <w:tcMar>
              <w:left w:w="20" w:type="dxa"/>
              <w:right w:w="20" w:type="dxa"/>
            </w:tcMar>
            <w:vAlign w:val="bottom"/>
          </w:tcPr>
          <w:p w14:paraId="33DA99FC"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99FD" w14:textId="77777777" w:rsidR="004D6A64" w:rsidRDefault="00506CD6">
            <w:pPr>
              <w:jc w:val="center"/>
              <w:textAlignment w:val="bottom"/>
            </w:pPr>
            <w:r>
              <w:rPr>
                <w:rFonts w:ascii="Times New Roman" w:eastAsia="宋体" w:hAnsi="Times New Roman"/>
                <w:b/>
                <w:bCs/>
                <w:color w:val="000000"/>
                <w:sz w:val="18"/>
                <w:szCs w:val="18"/>
              </w:rPr>
              <w:t>Accumulated Other Comprehensive Income/(Loss)</w:t>
            </w:r>
          </w:p>
        </w:tc>
        <w:tc>
          <w:tcPr>
            <w:tcW w:w="0" w:type="auto"/>
            <w:gridSpan w:val="3"/>
            <w:shd w:val="clear" w:color="auto" w:fill="auto"/>
            <w:tcMar>
              <w:left w:w="20" w:type="dxa"/>
              <w:right w:w="20" w:type="dxa"/>
            </w:tcMar>
            <w:vAlign w:val="bottom"/>
          </w:tcPr>
          <w:p w14:paraId="33DA99FE"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99FF" w14:textId="77777777" w:rsidR="004D6A64" w:rsidRDefault="00506CD6">
            <w:pPr>
              <w:jc w:val="center"/>
              <w:textAlignment w:val="bottom"/>
            </w:pPr>
            <w:r>
              <w:rPr>
                <w:rFonts w:ascii="Times New Roman" w:eastAsia="宋体" w:hAnsi="Times New Roman"/>
                <w:b/>
                <w:bCs/>
                <w:color w:val="000000"/>
                <w:sz w:val="18"/>
                <w:szCs w:val="18"/>
              </w:rPr>
              <w:t>Dell Technologies</w:t>
            </w:r>
            <w:r>
              <w:rPr>
                <w:rFonts w:ascii="Times New Roman" w:eastAsia="宋体" w:hAnsi="Times New Roman"/>
                <w:b/>
                <w:bCs/>
                <w:color w:val="000000"/>
                <w:sz w:val="18"/>
                <w:szCs w:val="18"/>
              </w:rPr>
              <w:br/>
              <w:t>Stockholders’ Equity (Deficit)</w:t>
            </w:r>
          </w:p>
        </w:tc>
        <w:tc>
          <w:tcPr>
            <w:tcW w:w="0" w:type="auto"/>
            <w:gridSpan w:val="3"/>
            <w:shd w:val="clear" w:color="auto" w:fill="auto"/>
            <w:tcMar>
              <w:left w:w="20" w:type="dxa"/>
              <w:right w:w="20" w:type="dxa"/>
            </w:tcMar>
            <w:vAlign w:val="bottom"/>
          </w:tcPr>
          <w:p w14:paraId="33DA9A00"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9A01" w14:textId="77777777" w:rsidR="004D6A64" w:rsidRDefault="00506CD6">
            <w:pPr>
              <w:jc w:val="center"/>
              <w:textAlignment w:val="bottom"/>
            </w:pPr>
            <w:r>
              <w:rPr>
                <w:rFonts w:ascii="Times New Roman" w:eastAsia="宋体" w:hAnsi="Times New Roman"/>
                <w:b/>
                <w:bCs/>
                <w:color w:val="000000"/>
                <w:sz w:val="18"/>
                <w:szCs w:val="18"/>
              </w:rPr>
              <w:t>Non-Controlling Interests</w:t>
            </w:r>
          </w:p>
        </w:tc>
        <w:tc>
          <w:tcPr>
            <w:tcW w:w="0" w:type="auto"/>
            <w:gridSpan w:val="3"/>
            <w:shd w:val="clear" w:color="auto" w:fill="auto"/>
            <w:tcMar>
              <w:left w:w="20" w:type="dxa"/>
              <w:right w:w="20" w:type="dxa"/>
            </w:tcMar>
            <w:vAlign w:val="bottom"/>
          </w:tcPr>
          <w:p w14:paraId="33DA9A02"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9A03" w14:textId="77777777" w:rsidR="004D6A64" w:rsidRDefault="00506CD6">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000000"/>
                <w:sz w:val="18"/>
                <w:szCs w:val="18"/>
              </w:rPr>
              <w:t>Total Stockholders’ Equity (Deficit)</w:t>
            </w:r>
          </w:p>
        </w:tc>
        <w:tc>
          <w:tcPr>
            <w:tcW w:w="0" w:type="auto"/>
            <w:shd w:val="clear" w:color="auto" w:fill="auto"/>
          </w:tcPr>
          <w:p w14:paraId="33DA9A04" w14:textId="77777777" w:rsidR="004D6A64" w:rsidRDefault="004D6A64">
            <w:pPr>
              <w:rPr>
                <w:rFonts w:ascii="宋体"/>
              </w:rPr>
            </w:pPr>
          </w:p>
        </w:tc>
        <w:tc>
          <w:tcPr>
            <w:tcW w:w="0" w:type="auto"/>
            <w:shd w:val="clear" w:color="auto" w:fill="auto"/>
          </w:tcPr>
          <w:p w14:paraId="33DA9A05" w14:textId="77777777" w:rsidR="004D6A64" w:rsidRDefault="004D6A64">
            <w:pPr>
              <w:rPr>
                <w:rFonts w:ascii="宋体"/>
              </w:rPr>
            </w:pPr>
          </w:p>
        </w:tc>
        <w:tc>
          <w:tcPr>
            <w:tcW w:w="0" w:type="auto"/>
            <w:shd w:val="clear" w:color="auto" w:fill="auto"/>
          </w:tcPr>
          <w:p w14:paraId="33DA9A06" w14:textId="77777777" w:rsidR="004D6A64" w:rsidRDefault="004D6A64">
            <w:pPr>
              <w:rPr>
                <w:rFonts w:ascii="宋体"/>
              </w:rPr>
            </w:pPr>
          </w:p>
        </w:tc>
        <w:tc>
          <w:tcPr>
            <w:tcW w:w="0" w:type="auto"/>
            <w:shd w:val="clear" w:color="auto" w:fill="auto"/>
          </w:tcPr>
          <w:p w14:paraId="33DA9A07" w14:textId="77777777" w:rsidR="004D6A64" w:rsidRDefault="004D6A64">
            <w:pPr>
              <w:rPr>
                <w:rFonts w:ascii="宋体"/>
              </w:rPr>
            </w:pPr>
          </w:p>
        </w:tc>
        <w:tc>
          <w:tcPr>
            <w:tcW w:w="0" w:type="auto"/>
            <w:shd w:val="clear" w:color="auto" w:fill="auto"/>
          </w:tcPr>
          <w:p w14:paraId="33DA9A08" w14:textId="77777777" w:rsidR="004D6A64" w:rsidRDefault="004D6A64">
            <w:pPr>
              <w:rPr>
                <w:rFonts w:ascii="宋体"/>
              </w:rPr>
            </w:pPr>
          </w:p>
        </w:tc>
        <w:tc>
          <w:tcPr>
            <w:tcW w:w="0" w:type="auto"/>
            <w:shd w:val="clear" w:color="auto" w:fill="auto"/>
          </w:tcPr>
          <w:p w14:paraId="33DA9A09" w14:textId="77777777" w:rsidR="004D6A64" w:rsidRDefault="004D6A64">
            <w:pPr>
              <w:rPr>
                <w:rFonts w:ascii="宋体"/>
              </w:rPr>
            </w:pPr>
          </w:p>
        </w:tc>
        <w:tc>
          <w:tcPr>
            <w:tcW w:w="0" w:type="auto"/>
            <w:shd w:val="clear" w:color="auto" w:fill="auto"/>
          </w:tcPr>
          <w:p w14:paraId="33DA9A0A" w14:textId="77777777" w:rsidR="004D6A64" w:rsidRDefault="004D6A64">
            <w:pPr>
              <w:rPr>
                <w:rFonts w:ascii="宋体"/>
              </w:rPr>
            </w:pPr>
          </w:p>
        </w:tc>
        <w:tc>
          <w:tcPr>
            <w:tcW w:w="0" w:type="auto"/>
            <w:shd w:val="clear" w:color="auto" w:fill="auto"/>
          </w:tcPr>
          <w:p w14:paraId="33DA9A0B" w14:textId="77777777" w:rsidR="004D6A64" w:rsidRDefault="004D6A64">
            <w:pPr>
              <w:rPr>
                <w:rFonts w:ascii="宋体"/>
              </w:rPr>
            </w:pPr>
          </w:p>
        </w:tc>
        <w:tc>
          <w:tcPr>
            <w:tcW w:w="0" w:type="auto"/>
            <w:shd w:val="clear" w:color="auto" w:fill="auto"/>
          </w:tcPr>
          <w:p w14:paraId="33DA9A0C" w14:textId="77777777" w:rsidR="004D6A64" w:rsidRDefault="004D6A64">
            <w:pPr>
              <w:rPr>
                <w:rFonts w:ascii="宋体"/>
              </w:rPr>
            </w:pPr>
          </w:p>
        </w:tc>
      </w:tr>
      <w:tr w:rsidR="00506CD6" w14:paraId="33DA9A39" w14:textId="77777777">
        <w:trPr>
          <w:jc w:val="center"/>
        </w:trPr>
        <w:tc>
          <w:tcPr>
            <w:tcW w:w="0" w:type="auto"/>
            <w:gridSpan w:val="3"/>
            <w:shd w:val="clear" w:color="auto" w:fill="CCEEFF"/>
            <w:tcMar>
              <w:top w:w="40" w:type="dxa"/>
              <w:left w:w="20" w:type="dxa"/>
              <w:bottom w:w="40" w:type="dxa"/>
              <w:right w:w="20" w:type="dxa"/>
            </w:tcMar>
            <w:vAlign w:val="bottom"/>
          </w:tcPr>
          <w:p w14:paraId="33DA9A0E" w14:textId="77777777" w:rsidR="004D6A64" w:rsidRDefault="00506CD6">
            <w:pPr>
              <w:textAlignment w:val="bottom"/>
            </w:pPr>
            <w:r>
              <w:rPr>
                <w:rFonts w:ascii="Times New Roman" w:eastAsia="宋体" w:hAnsi="Times New Roman"/>
                <w:b/>
                <w:bCs/>
                <w:color w:val="000000"/>
                <w:sz w:val="20"/>
                <w:szCs w:val="20"/>
              </w:rPr>
              <w:t>Balances as of January 31,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3DA9A0F" w14:textId="77777777" w:rsidR="004D6A64" w:rsidRDefault="00506CD6">
            <w:pPr>
              <w:jc w:val="right"/>
              <w:textAlignment w:val="bottom"/>
            </w:pPr>
            <w:r>
              <w:rPr>
                <w:rFonts w:ascii="Times New Roman" w:eastAsia="宋体" w:hAnsi="Times New Roman"/>
                <w:color w:val="000000"/>
                <w:sz w:val="20"/>
                <w:szCs w:val="20"/>
              </w:rPr>
              <w:t>745 </w:t>
            </w:r>
          </w:p>
        </w:tc>
        <w:tc>
          <w:tcPr>
            <w:tcW w:w="0" w:type="auto"/>
            <w:tcBorders>
              <w:top w:val="single" w:sz="8" w:space="0" w:color="000000"/>
            </w:tcBorders>
            <w:shd w:val="clear" w:color="auto" w:fill="CCEEFF"/>
            <w:tcMar>
              <w:top w:w="40" w:type="dxa"/>
              <w:bottom w:w="40" w:type="dxa"/>
              <w:right w:w="20" w:type="dxa"/>
            </w:tcMar>
            <w:vAlign w:val="bottom"/>
          </w:tcPr>
          <w:p w14:paraId="33DA9A1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A11"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9A12"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9A13" w14:textId="77777777" w:rsidR="004D6A64" w:rsidRDefault="00506CD6">
            <w:pPr>
              <w:jc w:val="right"/>
              <w:textAlignment w:val="bottom"/>
            </w:pPr>
            <w:r>
              <w:rPr>
                <w:rFonts w:ascii="Times New Roman" w:eastAsia="宋体" w:hAnsi="Times New Roman"/>
                <w:color w:val="000000"/>
                <w:sz w:val="20"/>
                <w:szCs w:val="20"/>
              </w:rPr>
              <w:t>16,091 </w:t>
            </w:r>
          </w:p>
        </w:tc>
        <w:tc>
          <w:tcPr>
            <w:tcW w:w="0" w:type="auto"/>
            <w:tcBorders>
              <w:top w:val="single" w:sz="8" w:space="0" w:color="000000"/>
            </w:tcBorders>
            <w:shd w:val="clear" w:color="auto" w:fill="CCEEFF"/>
            <w:tcMar>
              <w:top w:w="40" w:type="dxa"/>
              <w:bottom w:w="40" w:type="dxa"/>
              <w:right w:w="20" w:type="dxa"/>
            </w:tcMar>
            <w:vAlign w:val="bottom"/>
          </w:tcPr>
          <w:p w14:paraId="33DA9A1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A15"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3DA9A16" w14:textId="77777777" w:rsidR="004D6A64" w:rsidRDefault="00506CD6">
            <w:pPr>
              <w:jc w:val="right"/>
              <w:textAlignment w:val="bottom"/>
            </w:pPr>
            <w:r>
              <w:rPr>
                <w:rFonts w:ascii="Times New Roman" w:eastAsia="宋体" w:hAnsi="Times New Roman"/>
                <w:color w:val="000000"/>
                <w:sz w:val="20"/>
                <w:szCs w:val="20"/>
              </w:rPr>
              <w:t>2 </w:t>
            </w:r>
          </w:p>
        </w:tc>
        <w:tc>
          <w:tcPr>
            <w:tcW w:w="0" w:type="auto"/>
            <w:tcBorders>
              <w:top w:val="single" w:sz="8" w:space="0" w:color="000000"/>
            </w:tcBorders>
            <w:shd w:val="clear" w:color="auto" w:fill="CCEEFF"/>
            <w:tcMar>
              <w:top w:w="40" w:type="dxa"/>
              <w:bottom w:w="40" w:type="dxa"/>
              <w:right w:w="20" w:type="dxa"/>
            </w:tcMar>
            <w:vAlign w:val="bottom"/>
          </w:tcPr>
          <w:p w14:paraId="33DA9A1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A18"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9A19"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9A1A" w14:textId="77777777" w:rsidR="004D6A64" w:rsidRDefault="00506CD6">
            <w:pPr>
              <w:jc w:val="right"/>
              <w:textAlignment w:val="bottom"/>
            </w:pPr>
            <w:r>
              <w:rPr>
                <w:rFonts w:ascii="Times New Roman" w:eastAsia="宋体" w:hAnsi="Times New Roman"/>
                <w:color w:val="000000"/>
                <w:sz w:val="20"/>
                <w:szCs w:val="20"/>
              </w:rPr>
              <w:t>(65)</w:t>
            </w:r>
          </w:p>
        </w:tc>
        <w:tc>
          <w:tcPr>
            <w:tcW w:w="0" w:type="auto"/>
            <w:tcBorders>
              <w:top w:val="single" w:sz="8" w:space="0" w:color="000000"/>
            </w:tcBorders>
            <w:shd w:val="clear" w:color="auto" w:fill="CCEEFF"/>
            <w:tcMar>
              <w:top w:w="40" w:type="dxa"/>
              <w:bottom w:w="40" w:type="dxa"/>
              <w:right w:w="20" w:type="dxa"/>
            </w:tcMar>
            <w:vAlign w:val="bottom"/>
          </w:tcPr>
          <w:p w14:paraId="33DA9A1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A1C"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9A1D"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9A1E" w14:textId="77777777" w:rsidR="004D6A64" w:rsidRDefault="00506CD6">
            <w:pPr>
              <w:jc w:val="right"/>
              <w:textAlignment w:val="bottom"/>
            </w:pPr>
            <w:r>
              <w:rPr>
                <w:rFonts w:ascii="Times New Roman" w:eastAsia="宋体" w:hAnsi="Times New Roman"/>
                <w:color w:val="000000"/>
                <w:sz w:val="20"/>
                <w:szCs w:val="20"/>
              </w:rPr>
              <w:t>(16,891)</w:t>
            </w:r>
          </w:p>
        </w:tc>
        <w:tc>
          <w:tcPr>
            <w:tcW w:w="0" w:type="auto"/>
            <w:tcBorders>
              <w:top w:val="single" w:sz="8" w:space="0" w:color="000000"/>
            </w:tcBorders>
            <w:shd w:val="clear" w:color="auto" w:fill="CCEEFF"/>
            <w:tcMar>
              <w:top w:w="40" w:type="dxa"/>
              <w:bottom w:w="40" w:type="dxa"/>
              <w:right w:w="20" w:type="dxa"/>
            </w:tcMar>
            <w:vAlign w:val="bottom"/>
          </w:tcPr>
          <w:p w14:paraId="33DA9A1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A20"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9A21"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9A22" w14:textId="77777777" w:rsidR="004D6A64" w:rsidRDefault="00506CD6">
            <w:pPr>
              <w:jc w:val="right"/>
              <w:textAlignment w:val="bottom"/>
            </w:pPr>
            <w:r>
              <w:rPr>
                <w:rFonts w:ascii="Times New Roman" w:eastAsia="宋体" w:hAnsi="Times New Roman"/>
                <w:color w:val="000000"/>
                <w:sz w:val="20"/>
                <w:szCs w:val="20"/>
              </w:rPr>
              <w:t>(709)</w:t>
            </w:r>
          </w:p>
        </w:tc>
        <w:tc>
          <w:tcPr>
            <w:tcW w:w="0" w:type="auto"/>
            <w:tcBorders>
              <w:top w:val="single" w:sz="8" w:space="0" w:color="000000"/>
            </w:tcBorders>
            <w:shd w:val="clear" w:color="auto" w:fill="CCEEFF"/>
            <w:tcMar>
              <w:top w:w="40" w:type="dxa"/>
              <w:bottom w:w="40" w:type="dxa"/>
              <w:right w:w="20" w:type="dxa"/>
            </w:tcMar>
            <w:vAlign w:val="bottom"/>
          </w:tcPr>
          <w:p w14:paraId="33DA9A2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A24"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9A25"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9A26" w14:textId="77777777" w:rsidR="004D6A64" w:rsidRDefault="00506CD6">
            <w:pPr>
              <w:jc w:val="right"/>
              <w:textAlignment w:val="bottom"/>
            </w:pPr>
            <w:r>
              <w:rPr>
                <w:rFonts w:ascii="Times New Roman" w:eastAsia="宋体" w:hAnsi="Times New Roman"/>
                <w:color w:val="000000"/>
                <w:sz w:val="20"/>
                <w:szCs w:val="20"/>
              </w:rPr>
              <w:t>(1,574)</w:t>
            </w:r>
          </w:p>
        </w:tc>
        <w:tc>
          <w:tcPr>
            <w:tcW w:w="0" w:type="auto"/>
            <w:tcBorders>
              <w:top w:val="single" w:sz="8" w:space="0" w:color="000000"/>
            </w:tcBorders>
            <w:shd w:val="clear" w:color="auto" w:fill="CCEEFF"/>
            <w:tcMar>
              <w:top w:w="40" w:type="dxa"/>
              <w:bottom w:w="40" w:type="dxa"/>
              <w:right w:w="20" w:type="dxa"/>
            </w:tcMar>
            <w:vAlign w:val="bottom"/>
          </w:tcPr>
          <w:p w14:paraId="33DA9A2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A28"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9A29"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9A2A" w14:textId="77777777" w:rsidR="004D6A64" w:rsidRDefault="00506CD6">
            <w:pPr>
              <w:jc w:val="right"/>
              <w:textAlignment w:val="bottom"/>
            </w:pPr>
            <w:r>
              <w:rPr>
                <w:rFonts w:ascii="Times New Roman" w:eastAsia="宋体" w:hAnsi="Times New Roman"/>
                <w:color w:val="000000"/>
                <w:sz w:val="20"/>
                <w:szCs w:val="20"/>
              </w:rPr>
              <w:t>4,729 </w:t>
            </w:r>
          </w:p>
        </w:tc>
        <w:tc>
          <w:tcPr>
            <w:tcW w:w="0" w:type="auto"/>
            <w:tcBorders>
              <w:top w:val="single" w:sz="8" w:space="0" w:color="000000"/>
            </w:tcBorders>
            <w:shd w:val="clear" w:color="auto" w:fill="CCEEFF"/>
            <w:tcMar>
              <w:top w:w="40" w:type="dxa"/>
              <w:bottom w:w="40" w:type="dxa"/>
              <w:right w:w="20" w:type="dxa"/>
            </w:tcMar>
            <w:vAlign w:val="bottom"/>
          </w:tcPr>
          <w:p w14:paraId="33DA9A2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A2C"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9A2D"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9A2E" w14:textId="77777777" w:rsidR="004D6A64" w:rsidRDefault="00506CD6">
            <w:pPr>
              <w:jc w:val="right"/>
              <w:textAlignment w:val="bottom"/>
            </w:pPr>
            <w:r>
              <w:rPr>
                <w:rFonts w:ascii="Times New Roman" w:eastAsia="宋体" w:hAnsi="Times New Roman"/>
                <w:color w:val="000000"/>
                <w:sz w:val="20"/>
                <w:szCs w:val="20"/>
              </w:rPr>
              <w:t>3,155 </w:t>
            </w:r>
          </w:p>
        </w:tc>
        <w:tc>
          <w:tcPr>
            <w:tcW w:w="0" w:type="auto"/>
            <w:tcBorders>
              <w:top w:val="single" w:sz="8" w:space="0" w:color="000000"/>
            </w:tcBorders>
            <w:shd w:val="clear" w:color="auto" w:fill="CCEEFF"/>
            <w:tcMar>
              <w:top w:w="40" w:type="dxa"/>
              <w:bottom w:w="40" w:type="dxa"/>
              <w:right w:w="20" w:type="dxa"/>
            </w:tcMar>
            <w:vAlign w:val="bottom"/>
          </w:tcPr>
          <w:p w14:paraId="33DA9A2F" w14:textId="77777777" w:rsidR="004D6A64" w:rsidRDefault="004D6A64">
            <w:pPr>
              <w:jc w:val="right"/>
              <w:rPr>
                <w:rFonts w:ascii="宋体"/>
              </w:rPr>
            </w:pPr>
          </w:p>
        </w:tc>
        <w:tc>
          <w:tcPr>
            <w:tcW w:w="0" w:type="auto"/>
            <w:shd w:val="clear" w:color="auto" w:fill="auto"/>
          </w:tcPr>
          <w:p w14:paraId="33DA9A30" w14:textId="77777777" w:rsidR="004D6A64" w:rsidRDefault="004D6A64">
            <w:pPr>
              <w:rPr>
                <w:rFonts w:ascii="宋体"/>
              </w:rPr>
            </w:pPr>
          </w:p>
        </w:tc>
        <w:tc>
          <w:tcPr>
            <w:tcW w:w="0" w:type="auto"/>
            <w:shd w:val="clear" w:color="auto" w:fill="auto"/>
          </w:tcPr>
          <w:p w14:paraId="33DA9A31" w14:textId="77777777" w:rsidR="004D6A64" w:rsidRDefault="004D6A64">
            <w:pPr>
              <w:rPr>
                <w:rFonts w:ascii="宋体"/>
              </w:rPr>
            </w:pPr>
          </w:p>
        </w:tc>
        <w:tc>
          <w:tcPr>
            <w:tcW w:w="0" w:type="auto"/>
            <w:shd w:val="clear" w:color="auto" w:fill="auto"/>
          </w:tcPr>
          <w:p w14:paraId="33DA9A32" w14:textId="77777777" w:rsidR="004D6A64" w:rsidRDefault="004D6A64">
            <w:pPr>
              <w:rPr>
                <w:rFonts w:ascii="宋体"/>
              </w:rPr>
            </w:pPr>
          </w:p>
        </w:tc>
        <w:tc>
          <w:tcPr>
            <w:tcW w:w="0" w:type="auto"/>
            <w:shd w:val="clear" w:color="auto" w:fill="auto"/>
          </w:tcPr>
          <w:p w14:paraId="33DA9A33" w14:textId="77777777" w:rsidR="004D6A64" w:rsidRDefault="004D6A64">
            <w:pPr>
              <w:rPr>
                <w:rFonts w:ascii="宋体"/>
              </w:rPr>
            </w:pPr>
          </w:p>
        </w:tc>
        <w:tc>
          <w:tcPr>
            <w:tcW w:w="0" w:type="auto"/>
            <w:shd w:val="clear" w:color="auto" w:fill="auto"/>
          </w:tcPr>
          <w:p w14:paraId="33DA9A34" w14:textId="77777777" w:rsidR="004D6A64" w:rsidRDefault="004D6A64">
            <w:pPr>
              <w:rPr>
                <w:rFonts w:ascii="宋体"/>
              </w:rPr>
            </w:pPr>
          </w:p>
        </w:tc>
        <w:tc>
          <w:tcPr>
            <w:tcW w:w="0" w:type="auto"/>
            <w:shd w:val="clear" w:color="auto" w:fill="auto"/>
          </w:tcPr>
          <w:p w14:paraId="33DA9A35" w14:textId="77777777" w:rsidR="004D6A64" w:rsidRDefault="004D6A64">
            <w:pPr>
              <w:rPr>
                <w:rFonts w:ascii="宋体"/>
              </w:rPr>
            </w:pPr>
          </w:p>
        </w:tc>
        <w:tc>
          <w:tcPr>
            <w:tcW w:w="0" w:type="auto"/>
            <w:shd w:val="clear" w:color="auto" w:fill="auto"/>
          </w:tcPr>
          <w:p w14:paraId="33DA9A36" w14:textId="77777777" w:rsidR="004D6A64" w:rsidRDefault="004D6A64">
            <w:pPr>
              <w:rPr>
                <w:rFonts w:ascii="宋体"/>
              </w:rPr>
            </w:pPr>
          </w:p>
        </w:tc>
        <w:tc>
          <w:tcPr>
            <w:tcW w:w="0" w:type="auto"/>
            <w:shd w:val="clear" w:color="auto" w:fill="auto"/>
          </w:tcPr>
          <w:p w14:paraId="33DA9A37" w14:textId="77777777" w:rsidR="004D6A64" w:rsidRDefault="004D6A64">
            <w:pPr>
              <w:rPr>
                <w:rFonts w:ascii="宋体"/>
              </w:rPr>
            </w:pPr>
          </w:p>
        </w:tc>
        <w:tc>
          <w:tcPr>
            <w:tcW w:w="0" w:type="auto"/>
            <w:shd w:val="clear" w:color="auto" w:fill="auto"/>
          </w:tcPr>
          <w:p w14:paraId="33DA9A38" w14:textId="77777777" w:rsidR="004D6A64" w:rsidRDefault="004D6A64">
            <w:pPr>
              <w:rPr>
                <w:rFonts w:ascii="宋体"/>
              </w:rPr>
            </w:pPr>
          </w:p>
        </w:tc>
      </w:tr>
      <w:tr w:rsidR="00506CD6" w14:paraId="33DA9A5E" w14:textId="77777777">
        <w:trPr>
          <w:jc w:val="center"/>
        </w:trPr>
        <w:tc>
          <w:tcPr>
            <w:tcW w:w="0" w:type="auto"/>
            <w:gridSpan w:val="3"/>
            <w:shd w:val="clear" w:color="auto" w:fill="FFFFFF"/>
            <w:tcMar>
              <w:top w:w="40" w:type="dxa"/>
              <w:left w:w="20" w:type="dxa"/>
              <w:bottom w:w="40" w:type="dxa"/>
              <w:right w:w="20" w:type="dxa"/>
            </w:tcMar>
            <w:vAlign w:val="bottom"/>
          </w:tcPr>
          <w:p w14:paraId="33DA9A3A" w14:textId="77777777" w:rsidR="004D6A64" w:rsidRDefault="00506CD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Adjustment for adoption of accounting standards (Note 1)</w:t>
            </w:r>
          </w:p>
        </w:tc>
        <w:tc>
          <w:tcPr>
            <w:tcW w:w="0" w:type="auto"/>
            <w:gridSpan w:val="2"/>
            <w:shd w:val="clear" w:color="auto" w:fill="FFFFFF"/>
            <w:tcMar>
              <w:top w:w="40" w:type="dxa"/>
              <w:left w:w="20" w:type="dxa"/>
              <w:bottom w:w="40" w:type="dxa"/>
              <w:right w:w="0" w:type="dxa"/>
            </w:tcMar>
            <w:vAlign w:val="bottom"/>
          </w:tcPr>
          <w:p w14:paraId="33DA9A3B"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A3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A3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A3E"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A3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A4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A41"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A4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A4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A44"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A4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A4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A47" w14:textId="77777777" w:rsidR="004D6A64" w:rsidRDefault="00506CD6">
            <w:pPr>
              <w:jc w:val="right"/>
              <w:textAlignment w:val="bottom"/>
            </w:pPr>
            <w:r>
              <w:rPr>
                <w:rFonts w:ascii="Times New Roman" w:eastAsia="宋体" w:hAnsi="Times New Roman"/>
                <w:color w:val="000000"/>
                <w:sz w:val="20"/>
                <w:szCs w:val="20"/>
              </w:rPr>
              <w:t>(110)</w:t>
            </w:r>
          </w:p>
        </w:tc>
        <w:tc>
          <w:tcPr>
            <w:tcW w:w="0" w:type="auto"/>
            <w:shd w:val="clear" w:color="auto" w:fill="FFFFFF"/>
            <w:tcMar>
              <w:top w:w="40" w:type="dxa"/>
              <w:bottom w:w="40" w:type="dxa"/>
              <w:right w:w="20" w:type="dxa"/>
            </w:tcMar>
            <w:vAlign w:val="bottom"/>
          </w:tcPr>
          <w:p w14:paraId="33DA9A4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A49"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A4A"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A4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A4C"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A4D" w14:textId="77777777" w:rsidR="004D6A64" w:rsidRDefault="00506CD6">
            <w:pPr>
              <w:jc w:val="right"/>
              <w:textAlignment w:val="bottom"/>
            </w:pPr>
            <w:r>
              <w:rPr>
                <w:rFonts w:ascii="Times New Roman" w:eastAsia="宋体" w:hAnsi="Times New Roman"/>
                <w:color w:val="000000"/>
                <w:sz w:val="20"/>
                <w:szCs w:val="20"/>
              </w:rPr>
              <w:t>(110)</w:t>
            </w:r>
          </w:p>
        </w:tc>
        <w:tc>
          <w:tcPr>
            <w:tcW w:w="0" w:type="auto"/>
            <w:shd w:val="clear" w:color="auto" w:fill="FFFFFF"/>
            <w:tcMar>
              <w:top w:w="40" w:type="dxa"/>
              <w:bottom w:w="40" w:type="dxa"/>
              <w:right w:w="20" w:type="dxa"/>
            </w:tcMar>
            <w:vAlign w:val="bottom"/>
          </w:tcPr>
          <w:p w14:paraId="33DA9A4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A4F"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A50"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A5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A52"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A53" w14:textId="77777777" w:rsidR="004D6A64" w:rsidRDefault="00506CD6">
            <w:pPr>
              <w:jc w:val="right"/>
              <w:textAlignment w:val="bottom"/>
            </w:pPr>
            <w:r>
              <w:rPr>
                <w:rFonts w:ascii="Times New Roman" w:eastAsia="宋体" w:hAnsi="Times New Roman"/>
                <w:color w:val="000000"/>
                <w:sz w:val="20"/>
                <w:szCs w:val="20"/>
              </w:rPr>
              <w:t>(110)</w:t>
            </w:r>
          </w:p>
        </w:tc>
        <w:tc>
          <w:tcPr>
            <w:tcW w:w="0" w:type="auto"/>
            <w:shd w:val="clear" w:color="auto" w:fill="FFFFFF"/>
            <w:tcMar>
              <w:top w:w="40" w:type="dxa"/>
              <w:bottom w:w="40" w:type="dxa"/>
              <w:right w:w="20" w:type="dxa"/>
            </w:tcMar>
            <w:vAlign w:val="bottom"/>
          </w:tcPr>
          <w:p w14:paraId="33DA9A54" w14:textId="77777777" w:rsidR="004D6A64" w:rsidRDefault="004D6A64">
            <w:pPr>
              <w:jc w:val="right"/>
              <w:rPr>
                <w:rFonts w:ascii="宋体"/>
              </w:rPr>
            </w:pPr>
          </w:p>
        </w:tc>
        <w:tc>
          <w:tcPr>
            <w:tcW w:w="0" w:type="auto"/>
            <w:shd w:val="clear" w:color="auto" w:fill="auto"/>
          </w:tcPr>
          <w:p w14:paraId="33DA9A55" w14:textId="77777777" w:rsidR="004D6A64" w:rsidRDefault="004D6A64">
            <w:pPr>
              <w:rPr>
                <w:rFonts w:ascii="宋体"/>
              </w:rPr>
            </w:pPr>
          </w:p>
        </w:tc>
        <w:tc>
          <w:tcPr>
            <w:tcW w:w="0" w:type="auto"/>
            <w:shd w:val="clear" w:color="auto" w:fill="auto"/>
          </w:tcPr>
          <w:p w14:paraId="33DA9A56" w14:textId="77777777" w:rsidR="004D6A64" w:rsidRDefault="004D6A64">
            <w:pPr>
              <w:rPr>
                <w:rFonts w:ascii="宋体"/>
              </w:rPr>
            </w:pPr>
          </w:p>
        </w:tc>
        <w:tc>
          <w:tcPr>
            <w:tcW w:w="0" w:type="auto"/>
            <w:shd w:val="clear" w:color="auto" w:fill="auto"/>
          </w:tcPr>
          <w:p w14:paraId="33DA9A57" w14:textId="77777777" w:rsidR="004D6A64" w:rsidRDefault="004D6A64">
            <w:pPr>
              <w:rPr>
                <w:rFonts w:ascii="宋体"/>
              </w:rPr>
            </w:pPr>
          </w:p>
        </w:tc>
        <w:tc>
          <w:tcPr>
            <w:tcW w:w="0" w:type="auto"/>
            <w:shd w:val="clear" w:color="auto" w:fill="auto"/>
          </w:tcPr>
          <w:p w14:paraId="33DA9A58" w14:textId="77777777" w:rsidR="004D6A64" w:rsidRDefault="004D6A64">
            <w:pPr>
              <w:rPr>
                <w:rFonts w:ascii="宋体"/>
              </w:rPr>
            </w:pPr>
          </w:p>
        </w:tc>
        <w:tc>
          <w:tcPr>
            <w:tcW w:w="0" w:type="auto"/>
            <w:shd w:val="clear" w:color="auto" w:fill="auto"/>
          </w:tcPr>
          <w:p w14:paraId="33DA9A59" w14:textId="77777777" w:rsidR="004D6A64" w:rsidRDefault="004D6A64">
            <w:pPr>
              <w:rPr>
                <w:rFonts w:ascii="宋体"/>
              </w:rPr>
            </w:pPr>
          </w:p>
        </w:tc>
        <w:tc>
          <w:tcPr>
            <w:tcW w:w="0" w:type="auto"/>
            <w:shd w:val="clear" w:color="auto" w:fill="auto"/>
          </w:tcPr>
          <w:p w14:paraId="33DA9A5A" w14:textId="77777777" w:rsidR="004D6A64" w:rsidRDefault="004D6A64">
            <w:pPr>
              <w:rPr>
                <w:rFonts w:ascii="宋体"/>
              </w:rPr>
            </w:pPr>
          </w:p>
        </w:tc>
        <w:tc>
          <w:tcPr>
            <w:tcW w:w="0" w:type="auto"/>
            <w:shd w:val="clear" w:color="auto" w:fill="auto"/>
          </w:tcPr>
          <w:p w14:paraId="33DA9A5B" w14:textId="77777777" w:rsidR="004D6A64" w:rsidRDefault="004D6A64">
            <w:pPr>
              <w:rPr>
                <w:rFonts w:ascii="宋体"/>
              </w:rPr>
            </w:pPr>
          </w:p>
        </w:tc>
        <w:tc>
          <w:tcPr>
            <w:tcW w:w="0" w:type="auto"/>
            <w:shd w:val="clear" w:color="auto" w:fill="auto"/>
          </w:tcPr>
          <w:p w14:paraId="33DA9A5C" w14:textId="77777777" w:rsidR="004D6A64" w:rsidRDefault="004D6A64">
            <w:pPr>
              <w:rPr>
                <w:rFonts w:ascii="宋体"/>
              </w:rPr>
            </w:pPr>
          </w:p>
        </w:tc>
        <w:tc>
          <w:tcPr>
            <w:tcW w:w="0" w:type="auto"/>
            <w:shd w:val="clear" w:color="auto" w:fill="auto"/>
          </w:tcPr>
          <w:p w14:paraId="33DA9A5D" w14:textId="77777777" w:rsidR="004D6A64" w:rsidRDefault="004D6A64">
            <w:pPr>
              <w:rPr>
                <w:rFonts w:ascii="宋体"/>
              </w:rPr>
            </w:pPr>
          </w:p>
        </w:tc>
      </w:tr>
      <w:tr w:rsidR="00506CD6" w14:paraId="33DA9A83" w14:textId="77777777">
        <w:trPr>
          <w:jc w:val="center"/>
        </w:trPr>
        <w:tc>
          <w:tcPr>
            <w:tcW w:w="0" w:type="auto"/>
            <w:gridSpan w:val="3"/>
            <w:shd w:val="clear" w:color="auto" w:fill="CCEEFF"/>
            <w:tcMar>
              <w:top w:w="40" w:type="dxa"/>
              <w:left w:w="135" w:type="dxa"/>
              <w:bottom w:w="40" w:type="dxa"/>
              <w:right w:w="20" w:type="dxa"/>
            </w:tcMar>
            <w:vAlign w:val="bottom"/>
          </w:tcPr>
          <w:p w14:paraId="33DA9A5F" w14:textId="77777777" w:rsidR="004D6A64" w:rsidRDefault="00506CD6">
            <w:pPr>
              <w:textAlignment w:val="bottom"/>
            </w:pPr>
            <w:r>
              <w:rPr>
                <w:rFonts w:ascii="Times New Roman" w:eastAsia="宋体" w:hAnsi="Times New Roman"/>
                <w:color w:val="000000"/>
                <w:sz w:val="20"/>
                <w:szCs w:val="20"/>
              </w:rPr>
              <w:t>Net income</w:t>
            </w:r>
          </w:p>
        </w:tc>
        <w:tc>
          <w:tcPr>
            <w:tcW w:w="0" w:type="auto"/>
            <w:gridSpan w:val="2"/>
            <w:shd w:val="clear" w:color="auto" w:fill="CCEEFF"/>
            <w:tcMar>
              <w:top w:w="40" w:type="dxa"/>
              <w:left w:w="20" w:type="dxa"/>
              <w:bottom w:w="40" w:type="dxa"/>
              <w:right w:w="0" w:type="dxa"/>
            </w:tcMar>
            <w:vAlign w:val="bottom"/>
          </w:tcPr>
          <w:p w14:paraId="33DA9A60"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A6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A6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A63"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A6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A6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A66"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A6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A68"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A69"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A6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A6B"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A6C" w14:textId="77777777" w:rsidR="004D6A64" w:rsidRDefault="00506CD6">
            <w:pPr>
              <w:jc w:val="right"/>
              <w:textAlignment w:val="bottom"/>
            </w:pPr>
            <w:r>
              <w:rPr>
                <w:rFonts w:ascii="Times New Roman" w:eastAsia="宋体" w:hAnsi="Times New Roman"/>
                <w:color w:val="000000"/>
                <w:sz w:val="20"/>
                <w:szCs w:val="20"/>
              </w:rPr>
              <w:t>1,191 </w:t>
            </w:r>
          </w:p>
        </w:tc>
        <w:tc>
          <w:tcPr>
            <w:tcW w:w="0" w:type="auto"/>
            <w:shd w:val="clear" w:color="auto" w:fill="CCEEFF"/>
            <w:tcMar>
              <w:top w:w="40" w:type="dxa"/>
              <w:bottom w:w="40" w:type="dxa"/>
              <w:right w:w="20" w:type="dxa"/>
            </w:tcMar>
            <w:vAlign w:val="bottom"/>
          </w:tcPr>
          <w:p w14:paraId="33DA9A6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A6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A6F"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A7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A71"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A72" w14:textId="77777777" w:rsidR="004D6A64" w:rsidRDefault="00506CD6">
            <w:pPr>
              <w:jc w:val="right"/>
              <w:textAlignment w:val="bottom"/>
            </w:pPr>
            <w:r>
              <w:rPr>
                <w:rFonts w:ascii="Times New Roman" w:eastAsia="宋体" w:hAnsi="Times New Roman"/>
                <w:color w:val="000000"/>
                <w:sz w:val="20"/>
                <w:szCs w:val="20"/>
              </w:rPr>
              <w:t>1,191 </w:t>
            </w:r>
          </w:p>
        </w:tc>
        <w:tc>
          <w:tcPr>
            <w:tcW w:w="0" w:type="auto"/>
            <w:shd w:val="clear" w:color="auto" w:fill="CCEEFF"/>
            <w:tcMar>
              <w:top w:w="40" w:type="dxa"/>
              <w:bottom w:w="40" w:type="dxa"/>
              <w:right w:w="20" w:type="dxa"/>
            </w:tcMar>
            <w:vAlign w:val="bottom"/>
          </w:tcPr>
          <w:p w14:paraId="33DA9A7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A74"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A75" w14:textId="77777777" w:rsidR="004D6A64" w:rsidRDefault="00506CD6">
            <w:pPr>
              <w:jc w:val="right"/>
              <w:textAlignment w:val="bottom"/>
            </w:pPr>
            <w:r>
              <w:rPr>
                <w:rFonts w:ascii="Times New Roman" w:eastAsia="宋体" w:hAnsi="Times New Roman"/>
                <w:color w:val="000000"/>
                <w:sz w:val="20"/>
                <w:szCs w:val="20"/>
              </w:rPr>
              <w:t>90 </w:t>
            </w:r>
          </w:p>
        </w:tc>
        <w:tc>
          <w:tcPr>
            <w:tcW w:w="0" w:type="auto"/>
            <w:shd w:val="clear" w:color="auto" w:fill="CCEEFF"/>
            <w:tcMar>
              <w:top w:w="40" w:type="dxa"/>
              <w:bottom w:w="40" w:type="dxa"/>
              <w:right w:w="20" w:type="dxa"/>
            </w:tcMar>
            <w:vAlign w:val="bottom"/>
          </w:tcPr>
          <w:p w14:paraId="33DA9A7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A77"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A78" w14:textId="77777777" w:rsidR="004D6A64" w:rsidRDefault="00506CD6">
            <w:pPr>
              <w:jc w:val="right"/>
              <w:textAlignment w:val="bottom"/>
            </w:pPr>
            <w:r>
              <w:rPr>
                <w:rFonts w:ascii="Times New Roman" w:eastAsia="宋体" w:hAnsi="Times New Roman"/>
                <w:color w:val="000000"/>
                <w:sz w:val="20"/>
                <w:szCs w:val="20"/>
              </w:rPr>
              <w:t>1,281 </w:t>
            </w:r>
          </w:p>
        </w:tc>
        <w:tc>
          <w:tcPr>
            <w:tcW w:w="0" w:type="auto"/>
            <w:shd w:val="clear" w:color="auto" w:fill="CCEEFF"/>
            <w:tcMar>
              <w:top w:w="40" w:type="dxa"/>
              <w:bottom w:w="40" w:type="dxa"/>
              <w:right w:w="20" w:type="dxa"/>
            </w:tcMar>
            <w:vAlign w:val="bottom"/>
          </w:tcPr>
          <w:p w14:paraId="33DA9A79" w14:textId="77777777" w:rsidR="004D6A64" w:rsidRDefault="004D6A64">
            <w:pPr>
              <w:jc w:val="right"/>
              <w:rPr>
                <w:rFonts w:ascii="宋体"/>
              </w:rPr>
            </w:pPr>
          </w:p>
        </w:tc>
        <w:tc>
          <w:tcPr>
            <w:tcW w:w="0" w:type="auto"/>
            <w:shd w:val="clear" w:color="auto" w:fill="auto"/>
          </w:tcPr>
          <w:p w14:paraId="33DA9A7A" w14:textId="77777777" w:rsidR="004D6A64" w:rsidRDefault="004D6A64">
            <w:pPr>
              <w:rPr>
                <w:rFonts w:ascii="宋体"/>
              </w:rPr>
            </w:pPr>
          </w:p>
        </w:tc>
        <w:tc>
          <w:tcPr>
            <w:tcW w:w="0" w:type="auto"/>
            <w:shd w:val="clear" w:color="auto" w:fill="auto"/>
          </w:tcPr>
          <w:p w14:paraId="33DA9A7B" w14:textId="77777777" w:rsidR="004D6A64" w:rsidRDefault="004D6A64">
            <w:pPr>
              <w:rPr>
                <w:rFonts w:ascii="宋体"/>
              </w:rPr>
            </w:pPr>
          </w:p>
        </w:tc>
        <w:tc>
          <w:tcPr>
            <w:tcW w:w="0" w:type="auto"/>
            <w:shd w:val="clear" w:color="auto" w:fill="auto"/>
          </w:tcPr>
          <w:p w14:paraId="33DA9A7C" w14:textId="77777777" w:rsidR="004D6A64" w:rsidRDefault="004D6A64">
            <w:pPr>
              <w:rPr>
                <w:rFonts w:ascii="宋体"/>
              </w:rPr>
            </w:pPr>
          </w:p>
        </w:tc>
        <w:tc>
          <w:tcPr>
            <w:tcW w:w="0" w:type="auto"/>
            <w:shd w:val="clear" w:color="auto" w:fill="auto"/>
          </w:tcPr>
          <w:p w14:paraId="33DA9A7D" w14:textId="77777777" w:rsidR="004D6A64" w:rsidRDefault="004D6A64">
            <w:pPr>
              <w:rPr>
                <w:rFonts w:ascii="宋体"/>
              </w:rPr>
            </w:pPr>
          </w:p>
        </w:tc>
        <w:tc>
          <w:tcPr>
            <w:tcW w:w="0" w:type="auto"/>
            <w:shd w:val="clear" w:color="auto" w:fill="auto"/>
          </w:tcPr>
          <w:p w14:paraId="33DA9A7E" w14:textId="77777777" w:rsidR="004D6A64" w:rsidRDefault="004D6A64">
            <w:pPr>
              <w:rPr>
                <w:rFonts w:ascii="宋体"/>
              </w:rPr>
            </w:pPr>
          </w:p>
        </w:tc>
        <w:tc>
          <w:tcPr>
            <w:tcW w:w="0" w:type="auto"/>
            <w:shd w:val="clear" w:color="auto" w:fill="auto"/>
          </w:tcPr>
          <w:p w14:paraId="33DA9A7F" w14:textId="77777777" w:rsidR="004D6A64" w:rsidRDefault="004D6A64">
            <w:pPr>
              <w:rPr>
                <w:rFonts w:ascii="宋体"/>
              </w:rPr>
            </w:pPr>
          </w:p>
        </w:tc>
        <w:tc>
          <w:tcPr>
            <w:tcW w:w="0" w:type="auto"/>
            <w:shd w:val="clear" w:color="auto" w:fill="auto"/>
          </w:tcPr>
          <w:p w14:paraId="33DA9A80" w14:textId="77777777" w:rsidR="004D6A64" w:rsidRDefault="004D6A64">
            <w:pPr>
              <w:rPr>
                <w:rFonts w:ascii="宋体"/>
              </w:rPr>
            </w:pPr>
          </w:p>
        </w:tc>
        <w:tc>
          <w:tcPr>
            <w:tcW w:w="0" w:type="auto"/>
            <w:shd w:val="clear" w:color="auto" w:fill="auto"/>
          </w:tcPr>
          <w:p w14:paraId="33DA9A81" w14:textId="77777777" w:rsidR="004D6A64" w:rsidRDefault="004D6A64">
            <w:pPr>
              <w:rPr>
                <w:rFonts w:ascii="宋体"/>
              </w:rPr>
            </w:pPr>
          </w:p>
        </w:tc>
        <w:tc>
          <w:tcPr>
            <w:tcW w:w="0" w:type="auto"/>
            <w:shd w:val="clear" w:color="auto" w:fill="auto"/>
          </w:tcPr>
          <w:p w14:paraId="33DA9A82" w14:textId="77777777" w:rsidR="004D6A64" w:rsidRDefault="004D6A64">
            <w:pPr>
              <w:rPr>
                <w:rFonts w:ascii="宋体"/>
              </w:rPr>
            </w:pPr>
          </w:p>
        </w:tc>
      </w:tr>
      <w:tr w:rsidR="00506CD6" w14:paraId="33DA9AA8" w14:textId="77777777">
        <w:trPr>
          <w:jc w:val="center"/>
        </w:trPr>
        <w:tc>
          <w:tcPr>
            <w:tcW w:w="0" w:type="auto"/>
            <w:gridSpan w:val="3"/>
            <w:shd w:val="clear" w:color="auto" w:fill="FFFFFF"/>
            <w:tcMar>
              <w:top w:w="40" w:type="dxa"/>
              <w:left w:w="135" w:type="dxa"/>
              <w:bottom w:w="40" w:type="dxa"/>
              <w:right w:w="20" w:type="dxa"/>
            </w:tcMar>
            <w:vAlign w:val="bottom"/>
          </w:tcPr>
          <w:p w14:paraId="33DA9A84" w14:textId="77777777" w:rsidR="004D6A64" w:rsidRDefault="00506CD6">
            <w:pPr>
              <w:textAlignment w:val="bottom"/>
            </w:pPr>
            <w:r>
              <w:rPr>
                <w:rFonts w:ascii="Times New Roman" w:eastAsia="宋体" w:hAnsi="Times New Roman"/>
                <w:color w:val="000000"/>
                <w:sz w:val="20"/>
                <w:szCs w:val="20"/>
              </w:rPr>
              <w:t>Foreign currency translation adjustments</w:t>
            </w:r>
          </w:p>
        </w:tc>
        <w:tc>
          <w:tcPr>
            <w:tcW w:w="0" w:type="auto"/>
            <w:gridSpan w:val="2"/>
            <w:shd w:val="clear" w:color="auto" w:fill="FFFFFF"/>
            <w:tcMar>
              <w:top w:w="40" w:type="dxa"/>
              <w:left w:w="20" w:type="dxa"/>
              <w:bottom w:w="40" w:type="dxa"/>
              <w:right w:w="0" w:type="dxa"/>
            </w:tcMar>
            <w:vAlign w:val="bottom"/>
          </w:tcPr>
          <w:p w14:paraId="33DA9A85"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A8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A87"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A88"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A8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A8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A8B"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A8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A8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A8E"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A8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A9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A91"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A9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A9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A94" w14:textId="77777777" w:rsidR="004D6A64" w:rsidRDefault="00506CD6">
            <w:pPr>
              <w:jc w:val="right"/>
              <w:textAlignment w:val="bottom"/>
            </w:pPr>
            <w:r>
              <w:rPr>
                <w:rFonts w:ascii="Times New Roman" w:eastAsia="宋体" w:hAnsi="Times New Roman"/>
                <w:color w:val="000000"/>
                <w:sz w:val="20"/>
                <w:szCs w:val="20"/>
              </w:rPr>
              <w:t>264 </w:t>
            </w:r>
          </w:p>
        </w:tc>
        <w:tc>
          <w:tcPr>
            <w:tcW w:w="0" w:type="auto"/>
            <w:shd w:val="clear" w:color="auto" w:fill="FFFFFF"/>
            <w:tcMar>
              <w:top w:w="40" w:type="dxa"/>
              <w:bottom w:w="40" w:type="dxa"/>
              <w:right w:w="20" w:type="dxa"/>
            </w:tcMar>
            <w:vAlign w:val="bottom"/>
          </w:tcPr>
          <w:p w14:paraId="33DA9A9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A9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A97" w14:textId="77777777" w:rsidR="004D6A64" w:rsidRDefault="00506CD6">
            <w:pPr>
              <w:jc w:val="right"/>
              <w:textAlignment w:val="bottom"/>
            </w:pPr>
            <w:r>
              <w:rPr>
                <w:rFonts w:ascii="Times New Roman" w:eastAsia="宋体" w:hAnsi="Times New Roman"/>
                <w:color w:val="000000"/>
                <w:sz w:val="20"/>
                <w:szCs w:val="20"/>
              </w:rPr>
              <w:t>264 </w:t>
            </w:r>
          </w:p>
        </w:tc>
        <w:tc>
          <w:tcPr>
            <w:tcW w:w="0" w:type="auto"/>
            <w:shd w:val="clear" w:color="auto" w:fill="FFFFFF"/>
            <w:tcMar>
              <w:top w:w="40" w:type="dxa"/>
              <w:bottom w:w="40" w:type="dxa"/>
              <w:right w:w="20" w:type="dxa"/>
            </w:tcMar>
            <w:vAlign w:val="bottom"/>
          </w:tcPr>
          <w:p w14:paraId="33DA9A9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A99"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A9A"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A9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A9C"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A9D" w14:textId="77777777" w:rsidR="004D6A64" w:rsidRDefault="00506CD6">
            <w:pPr>
              <w:jc w:val="right"/>
              <w:textAlignment w:val="bottom"/>
            </w:pPr>
            <w:r>
              <w:rPr>
                <w:rFonts w:ascii="Times New Roman" w:eastAsia="宋体" w:hAnsi="Times New Roman"/>
                <w:color w:val="000000"/>
                <w:sz w:val="20"/>
                <w:szCs w:val="20"/>
              </w:rPr>
              <w:t>264 </w:t>
            </w:r>
          </w:p>
        </w:tc>
        <w:tc>
          <w:tcPr>
            <w:tcW w:w="0" w:type="auto"/>
            <w:shd w:val="clear" w:color="auto" w:fill="FFFFFF"/>
            <w:tcMar>
              <w:top w:w="40" w:type="dxa"/>
              <w:bottom w:w="40" w:type="dxa"/>
              <w:right w:w="20" w:type="dxa"/>
            </w:tcMar>
            <w:vAlign w:val="bottom"/>
          </w:tcPr>
          <w:p w14:paraId="33DA9A9E" w14:textId="77777777" w:rsidR="004D6A64" w:rsidRDefault="004D6A64">
            <w:pPr>
              <w:jc w:val="right"/>
              <w:rPr>
                <w:rFonts w:ascii="宋体"/>
              </w:rPr>
            </w:pPr>
          </w:p>
        </w:tc>
        <w:tc>
          <w:tcPr>
            <w:tcW w:w="0" w:type="auto"/>
            <w:shd w:val="clear" w:color="auto" w:fill="auto"/>
          </w:tcPr>
          <w:p w14:paraId="33DA9A9F" w14:textId="77777777" w:rsidR="004D6A64" w:rsidRDefault="004D6A64">
            <w:pPr>
              <w:rPr>
                <w:rFonts w:ascii="宋体"/>
              </w:rPr>
            </w:pPr>
          </w:p>
        </w:tc>
        <w:tc>
          <w:tcPr>
            <w:tcW w:w="0" w:type="auto"/>
            <w:shd w:val="clear" w:color="auto" w:fill="auto"/>
          </w:tcPr>
          <w:p w14:paraId="33DA9AA0" w14:textId="77777777" w:rsidR="004D6A64" w:rsidRDefault="004D6A64">
            <w:pPr>
              <w:rPr>
                <w:rFonts w:ascii="宋体"/>
              </w:rPr>
            </w:pPr>
          </w:p>
        </w:tc>
        <w:tc>
          <w:tcPr>
            <w:tcW w:w="0" w:type="auto"/>
            <w:shd w:val="clear" w:color="auto" w:fill="auto"/>
          </w:tcPr>
          <w:p w14:paraId="33DA9AA1" w14:textId="77777777" w:rsidR="004D6A64" w:rsidRDefault="004D6A64">
            <w:pPr>
              <w:rPr>
                <w:rFonts w:ascii="宋体"/>
              </w:rPr>
            </w:pPr>
          </w:p>
        </w:tc>
        <w:tc>
          <w:tcPr>
            <w:tcW w:w="0" w:type="auto"/>
            <w:shd w:val="clear" w:color="auto" w:fill="auto"/>
          </w:tcPr>
          <w:p w14:paraId="33DA9AA2" w14:textId="77777777" w:rsidR="004D6A64" w:rsidRDefault="004D6A64">
            <w:pPr>
              <w:rPr>
                <w:rFonts w:ascii="宋体"/>
              </w:rPr>
            </w:pPr>
          </w:p>
        </w:tc>
        <w:tc>
          <w:tcPr>
            <w:tcW w:w="0" w:type="auto"/>
            <w:shd w:val="clear" w:color="auto" w:fill="auto"/>
          </w:tcPr>
          <w:p w14:paraId="33DA9AA3" w14:textId="77777777" w:rsidR="004D6A64" w:rsidRDefault="004D6A64">
            <w:pPr>
              <w:rPr>
                <w:rFonts w:ascii="宋体"/>
              </w:rPr>
            </w:pPr>
          </w:p>
        </w:tc>
        <w:tc>
          <w:tcPr>
            <w:tcW w:w="0" w:type="auto"/>
            <w:shd w:val="clear" w:color="auto" w:fill="auto"/>
          </w:tcPr>
          <w:p w14:paraId="33DA9AA4" w14:textId="77777777" w:rsidR="004D6A64" w:rsidRDefault="004D6A64">
            <w:pPr>
              <w:rPr>
                <w:rFonts w:ascii="宋体"/>
              </w:rPr>
            </w:pPr>
          </w:p>
        </w:tc>
        <w:tc>
          <w:tcPr>
            <w:tcW w:w="0" w:type="auto"/>
            <w:shd w:val="clear" w:color="auto" w:fill="auto"/>
          </w:tcPr>
          <w:p w14:paraId="33DA9AA5" w14:textId="77777777" w:rsidR="004D6A64" w:rsidRDefault="004D6A64">
            <w:pPr>
              <w:rPr>
                <w:rFonts w:ascii="宋体"/>
              </w:rPr>
            </w:pPr>
          </w:p>
        </w:tc>
        <w:tc>
          <w:tcPr>
            <w:tcW w:w="0" w:type="auto"/>
            <w:shd w:val="clear" w:color="auto" w:fill="auto"/>
          </w:tcPr>
          <w:p w14:paraId="33DA9AA6" w14:textId="77777777" w:rsidR="004D6A64" w:rsidRDefault="004D6A64">
            <w:pPr>
              <w:rPr>
                <w:rFonts w:ascii="宋体"/>
              </w:rPr>
            </w:pPr>
          </w:p>
        </w:tc>
        <w:tc>
          <w:tcPr>
            <w:tcW w:w="0" w:type="auto"/>
            <w:shd w:val="clear" w:color="auto" w:fill="auto"/>
          </w:tcPr>
          <w:p w14:paraId="33DA9AA7" w14:textId="77777777" w:rsidR="004D6A64" w:rsidRDefault="004D6A64">
            <w:pPr>
              <w:rPr>
                <w:rFonts w:ascii="宋体"/>
              </w:rPr>
            </w:pPr>
          </w:p>
        </w:tc>
      </w:tr>
      <w:tr w:rsidR="00506CD6" w14:paraId="33DA9ACD" w14:textId="77777777">
        <w:trPr>
          <w:jc w:val="center"/>
        </w:trPr>
        <w:tc>
          <w:tcPr>
            <w:tcW w:w="0" w:type="auto"/>
            <w:gridSpan w:val="3"/>
            <w:shd w:val="clear" w:color="auto" w:fill="CCEEFF"/>
            <w:tcMar>
              <w:top w:w="40" w:type="dxa"/>
              <w:left w:w="135" w:type="dxa"/>
              <w:bottom w:w="40" w:type="dxa"/>
              <w:right w:w="20" w:type="dxa"/>
            </w:tcMar>
            <w:vAlign w:val="bottom"/>
          </w:tcPr>
          <w:p w14:paraId="33DA9AA9" w14:textId="77777777" w:rsidR="004D6A64" w:rsidRDefault="00506CD6">
            <w:pPr>
              <w:textAlignment w:val="bottom"/>
            </w:pPr>
            <w:r>
              <w:rPr>
                <w:rFonts w:ascii="Times New Roman" w:eastAsia="宋体" w:hAnsi="Times New Roman"/>
                <w:color w:val="000000"/>
                <w:sz w:val="20"/>
                <w:szCs w:val="20"/>
              </w:rPr>
              <w:t>Cash flow hedges, net change</w:t>
            </w:r>
          </w:p>
        </w:tc>
        <w:tc>
          <w:tcPr>
            <w:tcW w:w="0" w:type="auto"/>
            <w:gridSpan w:val="2"/>
            <w:shd w:val="clear" w:color="auto" w:fill="CCEEFF"/>
            <w:tcMar>
              <w:top w:w="40" w:type="dxa"/>
              <w:left w:w="20" w:type="dxa"/>
              <w:bottom w:w="40" w:type="dxa"/>
              <w:right w:w="0" w:type="dxa"/>
            </w:tcMar>
            <w:vAlign w:val="bottom"/>
          </w:tcPr>
          <w:p w14:paraId="33DA9AAA"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AA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AAC"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AAD"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AA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AA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AB0"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AB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AB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AB3"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AB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AB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AB6"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AB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AB8"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AB9" w14:textId="77777777" w:rsidR="004D6A64" w:rsidRDefault="00506CD6">
            <w:pPr>
              <w:jc w:val="right"/>
              <w:textAlignment w:val="bottom"/>
            </w:pPr>
            <w:r>
              <w:rPr>
                <w:rFonts w:ascii="Times New Roman" w:eastAsia="宋体" w:hAnsi="Times New Roman"/>
                <w:color w:val="000000"/>
                <w:sz w:val="20"/>
                <w:szCs w:val="20"/>
              </w:rPr>
              <w:t>(197)</w:t>
            </w:r>
          </w:p>
        </w:tc>
        <w:tc>
          <w:tcPr>
            <w:tcW w:w="0" w:type="auto"/>
            <w:shd w:val="clear" w:color="auto" w:fill="CCEEFF"/>
            <w:tcMar>
              <w:top w:w="40" w:type="dxa"/>
              <w:bottom w:w="40" w:type="dxa"/>
              <w:right w:w="20" w:type="dxa"/>
            </w:tcMar>
            <w:vAlign w:val="bottom"/>
          </w:tcPr>
          <w:p w14:paraId="33DA9AB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ABB"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ABC" w14:textId="77777777" w:rsidR="004D6A64" w:rsidRDefault="00506CD6">
            <w:pPr>
              <w:jc w:val="right"/>
              <w:textAlignment w:val="bottom"/>
            </w:pPr>
            <w:r>
              <w:rPr>
                <w:rFonts w:ascii="Times New Roman" w:eastAsia="宋体" w:hAnsi="Times New Roman"/>
                <w:color w:val="000000"/>
                <w:sz w:val="20"/>
                <w:szCs w:val="20"/>
              </w:rPr>
              <w:t>(197)</w:t>
            </w:r>
          </w:p>
        </w:tc>
        <w:tc>
          <w:tcPr>
            <w:tcW w:w="0" w:type="auto"/>
            <w:shd w:val="clear" w:color="auto" w:fill="CCEEFF"/>
            <w:tcMar>
              <w:top w:w="40" w:type="dxa"/>
              <w:bottom w:w="40" w:type="dxa"/>
              <w:right w:w="20" w:type="dxa"/>
            </w:tcMar>
            <w:vAlign w:val="bottom"/>
          </w:tcPr>
          <w:p w14:paraId="33DA9AB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AB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ABF" w14:textId="77777777" w:rsidR="004D6A64" w:rsidRDefault="00506CD6">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bottom w:w="40" w:type="dxa"/>
              <w:right w:w="20" w:type="dxa"/>
            </w:tcMar>
            <w:vAlign w:val="bottom"/>
          </w:tcPr>
          <w:p w14:paraId="33DA9AC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AC1"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AC2" w14:textId="77777777" w:rsidR="004D6A64" w:rsidRDefault="00506CD6">
            <w:pPr>
              <w:jc w:val="right"/>
              <w:textAlignment w:val="bottom"/>
            </w:pPr>
            <w:r>
              <w:rPr>
                <w:rFonts w:ascii="Times New Roman" w:eastAsia="宋体" w:hAnsi="Times New Roman"/>
                <w:color w:val="000000"/>
                <w:sz w:val="20"/>
                <w:szCs w:val="20"/>
              </w:rPr>
              <w:t>(198)</w:t>
            </w:r>
          </w:p>
        </w:tc>
        <w:tc>
          <w:tcPr>
            <w:tcW w:w="0" w:type="auto"/>
            <w:shd w:val="clear" w:color="auto" w:fill="CCEEFF"/>
            <w:tcMar>
              <w:top w:w="40" w:type="dxa"/>
              <w:bottom w:w="40" w:type="dxa"/>
              <w:right w:w="20" w:type="dxa"/>
            </w:tcMar>
            <w:vAlign w:val="bottom"/>
          </w:tcPr>
          <w:p w14:paraId="33DA9AC3" w14:textId="77777777" w:rsidR="004D6A64" w:rsidRDefault="004D6A64">
            <w:pPr>
              <w:jc w:val="right"/>
              <w:rPr>
                <w:rFonts w:ascii="宋体"/>
              </w:rPr>
            </w:pPr>
          </w:p>
        </w:tc>
        <w:tc>
          <w:tcPr>
            <w:tcW w:w="0" w:type="auto"/>
            <w:shd w:val="clear" w:color="auto" w:fill="auto"/>
          </w:tcPr>
          <w:p w14:paraId="33DA9AC4" w14:textId="77777777" w:rsidR="004D6A64" w:rsidRDefault="004D6A64">
            <w:pPr>
              <w:rPr>
                <w:rFonts w:ascii="宋体"/>
              </w:rPr>
            </w:pPr>
          </w:p>
        </w:tc>
        <w:tc>
          <w:tcPr>
            <w:tcW w:w="0" w:type="auto"/>
            <w:shd w:val="clear" w:color="auto" w:fill="auto"/>
          </w:tcPr>
          <w:p w14:paraId="33DA9AC5" w14:textId="77777777" w:rsidR="004D6A64" w:rsidRDefault="004D6A64">
            <w:pPr>
              <w:rPr>
                <w:rFonts w:ascii="宋体"/>
              </w:rPr>
            </w:pPr>
          </w:p>
        </w:tc>
        <w:tc>
          <w:tcPr>
            <w:tcW w:w="0" w:type="auto"/>
            <w:shd w:val="clear" w:color="auto" w:fill="auto"/>
          </w:tcPr>
          <w:p w14:paraId="33DA9AC6" w14:textId="77777777" w:rsidR="004D6A64" w:rsidRDefault="004D6A64">
            <w:pPr>
              <w:rPr>
                <w:rFonts w:ascii="宋体"/>
              </w:rPr>
            </w:pPr>
          </w:p>
        </w:tc>
        <w:tc>
          <w:tcPr>
            <w:tcW w:w="0" w:type="auto"/>
            <w:shd w:val="clear" w:color="auto" w:fill="auto"/>
          </w:tcPr>
          <w:p w14:paraId="33DA9AC7" w14:textId="77777777" w:rsidR="004D6A64" w:rsidRDefault="004D6A64">
            <w:pPr>
              <w:rPr>
                <w:rFonts w:ascii="宋体"/>
              </w:rPr>
            </w:pPr>
          </w:p>
        </w:tc>
        <w:tc>
          <w:tcPr>
            <w:tcW w:w="0" w:type="auto"/>
            <w:shd w:val="clear" w:color="auto" w:fill="auto"/>
          </w:tcPr>
          <w:p w14:paraId="33DA9AC8" w14:textId="77777777" w:rsidR="004D6A64" w:rsidRDefault="004D6A64">
            <w:pPr>
              <w:rPr>
                <w:rFonts w:ascii="宋体"/>
              </w:rPr>
            </w:pPr>
          </w:p>
        </w:tc>
        <w:tc>
          <w:tcPr>
            <w:tcW w:w="0" w:type="auto"/>
            <w:shd w:val="clear" w:color="auto" w:fill="auto"/>
          </w:tcPr>
          <w:p w14:paraId="33DA9AC9" w14:textId="77777777" w:rsidR="004D6A64" w:rsidRDefault="004D6A64">
            <w:pPr>
              <w:rPr>
                <w:rFonts w:ascii="宋体"/>
              </w:rPr>
            </w:pPr>
          </w:p>
        </w:tc>
        <w:tc>
          <w:tcPr>
            <w:tcW w:w="0" w:type="auto"/>
            <w:shd w:val="clear" w:color="auto" w:fill="auto"/>
          </w:tcPr>
          <w:p w14:paraId="33DA9ACA" w14:textId="77777777" w:rsidR="004D6A64" w:rsidRDefault="004D6A64">
            <w:pPr>
              <w:rPr>
                <w:rFonts w:ascii="宋体"/>
              </w:rPr>
            </w:pPr>
          </w:p>
        </w:tc>
        <w:tc>
          <w:tcPr>
            <w:tcW w:w="0" w:type="auto"/>
            <w:shd w:val="clear" w:color="auto" w:fill="auto"/>
          </w:tcPr>
          <w:p w14:paraId="33DA9ACB" w14:textId="77777777" w:rsidR="004D6A64" w:rsidRDefault="004D6A64">
            <w:pPr>
              <w:rPr>
                <w:rFonts w:ascii="宋体"/>
              </w:rPr>
            </w:pPr>
          </w:p>
        </w:tc>
        <w:tc>
          <w:tcPr>
            <w:tcW w:w="0" w:type="auto"/>
            <w:shd w:val="clear" w:color="auto" w:fill="auto"/>
          </w:tcPr>
          <w:p w14:paraId="33DA9ACC" w14:textId="77777777" w:rsidR="004D6A64" w:rsidRDefault="004D6A64">
            <w:pPr>
              <w:rPr>
                <w:rFonts w:ascii="宋体"/>
              </w:rPr>
            </w:pPr>
          </w:p>
        </w:tc>
      </w:tr>
      <w:tr w:rsidR="00506CD6" w14:paraId="33DA9AF2" w14:textId="77777777">
        <w:trPr>
          <w:jc w:val="center"/>
        </w:trPr>
        <w:tc>
          <w:tcPr>
            <w:tcW w:w="0" w:type="auto"/>
            <w:gridSpan w:val="3"/>
            <w:shd w:val="clear" w:color="auto" w:fill="FFFFFF"/>
            <w:tcMar>
              <w:top w:w="40" w:type="dxa"/>
              <w:left w:w="135" w:type="dxa"/>
              <w:bottom w:w="40" w:type="dxa"/>
              <w:right w:w="20" w:type="dxa"/>
            </w:tcMar>
            <w:vAlign w:val="bottom"/>
          </w:tcPr>
          <w:p w14:paraId="33DA9ACE" w14:textId="77777777" w:rsidR="004D6A64" w:rsidRDefault="00506CD6">
            <w:pPr>
              <w:textAlignment w:val="bottom"/>
            </w:pPr>
            <w:r>
              <w:rPr>
                <w:rFonts w:ascii="Times New Roman" w:eastAsia="宋体" w:hAnsi="Times New Roman"/>
                <w:color w:val="000000"/>
                <w:sz w:val="20"/>
                <w:szCs w:val="20"/>
              </w:rPr>
              <w:t>Pension and other post-retirement</w:t>
            </w:r>
          </w:p>
        </w:tc>
        <w:tc>
          <w:tcPr>
            <w:tcW w:w="0" w:type="auto"/>
            <w:gridSpan w:val="2"/>
            <w:shd w:val="clear" w:color="auto" w:fill="FFFFFF"/>
            <w:tcMar>
              <w:top w:w="40" w:type="dxa"/>
              <w:left w:w="20" w:type="dxa"/>
              <w:bottom w:w="40" w:type="dxa"/>
              <w:right w:w="0" w:type="dxa"/>
            </w:tcMar>
            <w:vAlign w:val="bottom"/>
          </w:tcPr>
          <w:p w14:paraId="33DA9ACF"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AD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AD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AD2"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AD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AD4"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AD5"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AD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AD7"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AD8"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AD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AD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ADB"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AD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AD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ADE" w14:textId="77777777" w:rsidR="004D6A64" w:rsidRDefault="00506CD6">
            <w:pPr>
              <w:jc w:val="right"/>
              <w:textAlignment w:val="bottom"/>
            </w:pPr>
            <w:r>
              <w:rPr>
                <w:rFonts w:ascii="Times New Roman" w:eastAsia="宋体" w:hAnsi="Times New Roman"/>
                <w:color w:val="000000"/>
                <w:sz w:val="20"/>
                <w:szCs w:val="20"/>
              </w:rPr>
              <w:t>(18)</w:t>
            </w:r>
          </w:p>
        </w:tc>
        <w:tc>
          <w:tcPr>
            <w:tcW w:w="0" w:type="auto"/>
            <w:shd w:val="clear" w:color="auto" w:fill="FFFFFF"/>
            <w:tcMar>
              <w:top w:w="40" w:type="dxa"/>
              <w:bottom w:w="40" w:type="dxa"/>
              <w:right w:w="20" w:type="dxa"/>
            </w:tcMar>
            <w:vAlign w:val="bottom"/>
          </w:tcPr>
          <w:p w14:paraId="33DA9AD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AE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AE1" w14:textId="77777777" w:rsidR="004D6A64" w:rsidRDefault="00506CD6">
            <w:pPr>
              <w:jc w:val="right"/>
              <w:textAlignment w:val="bottom"/>
            </w:pPr>
            <w:r>
              <w:rPr>
                <w:rFonts w:ascii="Times New Roman" w:eastAsia="宋体" w:hAnsi="Times New Roman"/>
                <w:color w:val="000000"/>
                <w:sz w:val="20"/>
                <w:szCs w:val="20"/>
              </w:rPr>
              <w:t>(18)</w:t>
            </w:r>
          </w:p>
        </w:tc>
        <w:tc>
          <w:tcPr>
            <w:tcW w:w="0" w:type="auto"/>
            <w:shd w:val="clear" w:color="auto" w:fill="FFFFFF"/>
            <w:tcMar>
              <w:top w:w="40" w:type="dxa"/>
              <w:bottom w:w="40" w:type="dxa"/>
              <w:right w:w="20" w:type="dxa"/>
            </w:tcMar>
            <w:vAlign w:val="bottom"/>
          </w:tcPr>
          <w:p w14:paraId="33DA9AE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AE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AE4"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AE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AE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AE7" w14:textId="77777777" w:rsidR="004D6A64" w:rsidRDefault="00506CD6">
            <w:pPr>
              <w:jc w:val="right"/>
              <w:textAlignment w:val="bottom"/>
            </w:pPr>
            <w:r>
              <w:rPr>
                <w:rFonts w:ascii="Times New Roman" w:eastAsia="宋体" w:hAnsi="Times New Roman"/>
                <w:color w:val="000000"/>
                <w:sz w:val="20"/>
                <w:szCs w:val="20"/>
              </w:rPr>
              <w:t>(18)</w:t>
            </w:r>
          </w:p>
        </w:tc>
        <w:tc>
          <w:tcPr>
            <w:tcW w:w="0" w:type="auto"/>
            <w:shd w:val="clear" w:color="auto" w:fill="FFFFFF"/>
            <w:tcMar>
              <w:top w:w="40" w:type="dxa"/>
              <w:bottom w:w="40" w:type="dxa"/>
              <w:right w:w="20" w:type="dxa"/>
            </w:tcMar>
            <w:vAlign w:val="bottom"/>
          </w:tcPr>
          <w:p w14:paraId="33DA9AE8" w14:textId="77777777" w:rsidR="004D6A64" w:rsidRDefault="004D6A64">
            <w:pPr>
              <w:jc w:val="right"/>
              <w:rPr>
                <w:rFonts w:ascii="宋体"/>
              </w:rPr>
            </w:pPr>
          </w:p>
        </w:tc>
        <w:tc>
          <w:tcPr>
            <w:tcW w:w="0" w:type="auto"/>
            <w:shd w:val="clear" w:color="auto" w:fill="auto"/>
          </w:tcPr>
          <w:p w14:paraId="33DA9AE9" w14:textId="77777777" w:rsidR="004D6A64" w:rsidRDefault="004D6A64">
            <w:pPr>
              <w:rPr>
                <w:rFonts w:ascii="宋体"/>
              </w:rPr>
            </w:pPr>
          </w:p>
        </w:tc>
        <w:tc>
          <w:tcPr>
            <w:tcW w:w="0" w:type="auto"/>
            <w:shd w:val="clear" w:color="auto" w:fill="auto"/>
          </w:tcPr>
          <w:p w14:paraId="33DA9AEA" w14:textId="77777777" w:rsidR="004D6A64" w:rsidRDefault="004D6A64">
            <w:pPr>
              <w:rPr>
                <w:rFonts w:ascii="宋体"/>
              </w:rPr>
            </w:pPr>
          </w:p>
        </w:tc>
        <w:tc>
          <w:tcPr>
            <w:tcW w:w="0" w:type="auto"/>
            <w:shd w:val="clear" w:color="auto" w:fill="auto"/>
          </w:tcPr>
          <w:p w14:paraId="33DA9AEB" w14:textId="77777777" w:rsidR="004D6A64" w:rsidRDefault="004D6A64">
            <w:pPr>
              <w:rPr>
                <w:rFonts w:ascii="宋体"/>
              </w:rPr>
            </w:pPr>
          </w:p>
        </w:tc>
        <w:tc>
          <w:tcPr>
            <w:tcW w:w="0" w:type="auto"/>
            <w:shd w:val="clear" w:color="auto" w:fill="auto"/>
          </w:tcPr>
          <w:p w14:paraId="33DA9AEC" w14:textId="77777777" w:rsidR="004D6A64" w:rsidRDefault="004D6A64">
            <w:pPr>
              <w:rPr>
                <w:rFonts w:ascii="宋体"/>
              </w:rPr>
            </w:pPr>
          </w:p>
        </w:tc>
        <w:tc>
          <w:tcPr>
            <w:tcW w:w="0" w:type="auto"/>
            <w:shd w:val="clear" w:color="auto" w:fill="auto"/>
          </w:tcPr>
          <w:p w14:paraId="33DA9AED" w14:textId="77777777" w:rsidR="004D6A64" w:rsidRDefault="004D6A64">
            <w:pPr>
              <w:rPr>
                <w:rFonts w:ascii="宋体"/>
              </w:rPr>
            </w:pPr>
          </w:p>
        </w:tc>
        <w:tc>
          <w:tcPr>
            <w:tcW w:w="0" w:type="auto"/>
            <w:shd w:val="clear" w:color="auto" w:fill="auto"/>
          </w:tcPr>
          <w:p w14:paraId="33DA9AEE" w14:textId="77777777" w:rsidR="004D6A64" w:rsidRDefault="004D6A64">
            <w:pPr>
              <w:rPr>
                <w:rFonts w:ascii="宋体"/>
              </w:rPr>
            </w:pPr>
          </w:p>
        </w:tc>
        <w:tc>
          <w:tcPr>
            <w:tcW w:w="0" w:type="auto"/>
            <w:shd w:val="clear" w:color="auto" w:fill="auto"/>
          </w:tcPr>
          <w:p w14:paraId="33DA9AEF" w14:textId="77777777" w:rsidR="004D6A64" w:rsidRDefault="004D6A64">
            <w:pPr>
              <w:rPr>
                <w:rFonts w:ascii="宋体"/>
              </w:rPr>
            </w:pPr>
          </w:p>
        </w:tc>
        <w:tc>
          <w:tcPr>
            <w:tcW w:w="0" w:type="auto"/>
            <w:shd w:val="clear" w:color="auto" w:fill="auto"/>
          </w:tcPr>
          <w:p w14:paraId="33DA9AF0" w14:textId="77777777" w:rsidR="004D6A64" w:rsidRDefault="004D6A64">
            <w:pPr>
              <w:rPr>
                <w:rFonts w:ascii="宋体"/>
              </w:rPr>
            </w:pPr>
          </w:p>
        </w:tc>
        <w:tc>
          <w:tcPr>
            <w:tcW w:w="0" w:type="auto"/>
            <w:shd w:val="clear" w:color="auto" w:fill="auto"/>
          </w:tcPr>
          <w:p w14:paraId="33DA9AF1" w14:textId="77777777" w:rsidR="004D6A64" w:rsidRDefault="004D6A64">
            <w:pPr>
              <w:rPr>
                <w:rFonts w:ascii="宋体"/>
              </w:rPr>
            </w:pPr>
          </w:p>
        </w:tc>
      </w:tr>
      <w:tr w:rsidR="00506CD6" w14:paraId="33DA9B17" w14:textId="77777777">
        <w:trPr>
          <w:jc w:val="center"/>
        </w:trPr>
        <w:tc>
          <w:tcPr>
            <w:tcW w:w="0" w:type="auto"/>
            <w:gridSpan w:val="3"/>
            <w:shd w:val="clear" w:color="auto" w:fill="CCEEFF"/>
            <w:tcMar>
              <w:top w:w="40" w:type="dxa"/>
              <w:left w:w="135" w:type="dxa"/>
              <w:bottom w:w="40" w:type="dxa"/>
              <w:right w:w="20" w:type="dxa"/>
            </w:tcMar>
            <w:vAlign w:val="bottom"/>
          </w:tcPr>
          <w:p w14:paraId="33DA9AF3" w14:textId="77777777" w:rsidR="004D6A64" w:rsidRDefault="00506CD6">
            <w:pPr>
              <w:textAlignment w:val="bottom"/>
            </w:pPr>
            <w:r>
              <w:rPr>
                <w:rFonts w:ascii="Times New Roman" w:eastAsia="宋体" w:hAnsi="Times New Roman"/>
                <w:color w:val="000000"/>
                <w:sz w:val="20"/>
                <w:szCs w:val="20"/>
              </w:rPr>
              <w:t>Issuance of common stock</w:t>
            </w:r>
          </w:p>
        </w:tc>
        <w:tc>
          <w:tcPr>
            <w:tcW w:w="0" w:type="auto"/>
            <w:gridSpan w:val="2"/>
            <w:shd w:val="clear" w:color="auto" w:fill="CCEEFF"/>
            <w:tcMar>
              <w:top w:w="40" w:type="dxa"/>
              <w:left w:w="20" w:type="dxa"/>
              <w:bottom w:w="40" w:type="dxa"/>
              <w:right w:w="0" w:type="dxa"/>
            </w:tcMar>
            <w:vAlign w:val="bottom"/>
          </w:tcPr>
          <w:p w14:paraId="33DA9AF4" w14:textId="77777777" w:rsidR="004D6A64" w:rsidRDefault="00506CD6">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bottom w:w="40" w:type="dxa"/>
              <w:right w:w="20" w:type="dxa"/>
            </w:tcMar>
            <w:vAlign w:val="bottom"/>
          </w:tcPr>
          <w:p w14:paraId="33DA9AF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AF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AF7" w14:textId="77777777" w:rsidR="004D6A64" w:rsidRDefault="00506CD6">
            <w:pPr>
              <w:jc w:val="right"/>
              <w:textAlignment w:val="bottom"/>
            </w:pPr>
            <w:r>
              <w:rPr>
                <w:rFonts w:ascii="Times New Roman" w:eastAsia="宋体" w:hAnsi="Times New Roman"/>
                <w:color w:val="000000"/>
                <w:sz w:val="20"/>
                <w:szCs w:val="20"/>
              </w:rPr>
              <w:t>78 </w:t>
            </w:r>
          </w:p>
        </w:tc>
        <w:tc>
          <w:tcPr>
            <w:tcW w:w="0" w:type="auto"/>
            <w:shd w:val="clear" w:color="auto" w:fill="CCEEFF"/>
            <w:tcMar>
              <w:top w:w="40" w:type="dxa"/>
              <w:bottom w:w="40" w:type="dxa"/>
              <w:right w:w="20" w:type="dxa"/>
            </w:tcMar>
            <w:vAlign w:val="bottom"/>
          </w:tcPr>
          <w:p w14:paraId="33DA9AF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AF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AFA"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AF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AFC"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AFD"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AF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AF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B00"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B0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B0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B03"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B0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B0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B06" w14:textId="77777777" w:rsidR="004D6A64" w:rsidRDefault="00506CD6">
            <w:pPr>
              <w:jc w:val="right"/>
              <w:textAlignment w:val="bottom"/>
            </w:pPr>
            <w:r>
              <w:rPr>
                <w:rFonts w:ascii="Times New Roman" w:eastAsia="宋体" w:hAnsi="Times New Roman"/>
                <w:color w:val="000000"/>
                <w:sz w:val="20"/>
                <w:szCs w:val="20"/>
              </w:rPr>
              <w:t>78 </w:t>
            </w:r>
          </w:p>
        </w:tc>
        <w:tc>
          <w:tcPr>
            <w:tcW w:w="0" w:type="auto"/>
            <w:shd w:val="clear" w:color="auto" w:fill="CCEEFF"/>
            <w:tcMar>
              <w:top w:w="40" w:type="dxa"/>
              <w:bottom w:w="40" w:type="dxa"/>
              <w:right w:w="20" w:type="dxa"/>
            </w:tcMar>
            <w:vAlign w:val="bottom"/>
          </w:tcPr>
          <w:p w14:paraId="33DA9B0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B08"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B09"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B0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B0B"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B0C" w14:textId="77777777" w:rsidR="004D6A64" w:rsidRDefault="00506CD6">
            <w:pPr>
              <w:jc w:val="right"/>
              <w:textAlignment w:val="bottom"/>
            </w:pPr>
            <w:r>
              <w:rPr>
                <w:rFonts w:ascii="Times New Roman" w:eastAsia="宋体" w:hAnsi="Times New Roman"/>
                <w:color w:val="000000"/>
                <w:sz w:val="20"/>
                <w:szCs w:val="20"/>
              </w:rPr>
              <w:t>78 </w:t>
            </w:r>
          </w:p>
        </w:tc>
        <w:tc>
          <w:tcPr>
            <w:tcW w:w="0" w:type="auto"/>
            <w:shd w:val="clear" w:color="auto" w:fill="CCEEFF"/>
            <w:tcMar>
              <w:top w:w="40" w:type="dxa"/>
              <w:bottom w:w="40" w:type="dxa"/>
              <w:right w:w="20" w:type="dxa"/>
            </w:tcMar>
            <w:vAlign w:val="bottom"/>
          </w:tcPr>
          <w:p w14:paraId="33DA9B0D" w14:textId="77777777" w:rsidR="004D6A64" w:rsidRDefault="004D6A64">
            <w:pPr>
              <w:jc w:val="right"/>
              <w:rPr>
                <w:rFonts w:ascii="宋体"/>
              </w:rPr>
            </w:pPr>
          </w:p>
        </w:tc>
        <w:tc>
          <w:tcPr>
            <w:tcW w:w="0" w:type="auto"/>
            <w:shd w:val="clear" w:color="auto" w:fill="auto"/>
          </w:tcPr>
          <w:p w14:paraId="33DA9B0E" w14:textId="77777777" w:rsidR="004D6A64" w:rsidRDefault="004D6A64">
            <w:pPr>
              <w:rPr>
                <w:rFonts w:ascii="宋体"/>
              </w:rPr>
            </w:pPr>
          </w:p>
        </w:tc>
        <w:tc>
          <w:tcPr>
            <w:tcW w:w="0" w:type="auto"/>
            <w:shd w:val="clear" w:color="auto" w:fill="auto"/>
          </w:tcPr>
          <w:p w14:paraId="33DA9B0F" w14:textId="77777777" w:rsidR="004D6A64" w:rsidRDefault="004D6A64">
            <w:pPr>
              <w:rPr>
                <w:rFonts w:ascii="宋体"/>
              </w:rPr>
            </w:pPr>
          </w:p>
        </w:tc>
        <w:tc>
          <w:tcPr>
            <w:tcW w:w="0" w:type="auto"/>
            <w:shd w:val="clear" w:color="auto" w:fill="auto"/>
          </w:tcPr>
          <w:p w14:paraId="33DA9B10" w14:textId="77777777" w:rsidR="004D6A64" w:rsidRDefault="004D6A64">
            <w:pPr>
              <w:rPr>
                <w:rFonts w:ascii="宋体"/>
              </w:rPr>
            </w:pPr>
          </w:p>
        </w:tc>
        <w:tc>
          <w:tcPr>
            <w:tcW w:w="0" w:type="auto"/>
            <w:shd w:val="clear" w:color="auto" w:fill="auto"/>
          </w:tcPr>
          <w:p w14:paraId="33DA9B11" w14:textId="77777777" w:rsidR="004D6A64" w:rsidRDefault="004D6A64">
            <w:pPr>
              <w:rPr>
                <w:rFonts w:ascii="宋体"/>
              </w:rPr>
            </w:pPr>
          </w:p>
        </w:tc>
        <w:tc>
          <w:tcPr>
            <w:tcW w:w="0" w:type="auto"/>
            <w:shd w:val="clear" w:color="auto" w:fill="auto"/>
          </w:tcPr>
          <w:p w14:paraId="33DA9B12" w14:textId="77777777" w:rsidR="004D6A64" w:rsidRDefault="004D6A64">
            <w:pPr>
              <w:rPr>
                <w:rFonts w:ascii="宋体"/>
              </w:rPr>
            </w:pPr>
          </w:p>
        </w:tc>
        <w:tc>
          <w:tcPr>
            <w:tcW w:w="0" w:type="auto"/>
            <w:shd w:val="clear" w:color="auto" w:fill="auto"/>
          </w:tcPr>
          <w:p w14:paraId="33DA9B13" w14:textId="77777777" w:rsidR="004D6A64" w:rsidRDefault="004D6A64">
            <w:pPr>
              <w:rPr>
                <w:rFonts w:ascii="宋体"/>
              </w:rPr>
            </w:pPr>
          </w:p>
        </w:tc>
        <w:tc>
          <w:tcPr>
            <w:tcW w:w="0" w:type="auto"/>
            <w:shd w:val="clear" w:color="auto" w:fill="auto"/>
          </w:tcPr>
          <w:p w14:paraId="33DA9B14" w14:textId="77777777" w:rsidR="004D6A64" w:rsidRDefault="004D6A64">
            <w:pPr>
              <w:rPr>
                <w:rFonts w:ascii="宋体"/>
              </w:rPr>
            </w:pPr>
          </w:p>
        </w:tc>
        <w:tc>
          <w:tcPr>
            <w:tcW w:w="0" w:type="auto"/>
            <w:shd w:val="clear" w:color="auto" w:fill="auto"/>
          </w:tcPr>
          <w:p w14:paraId="33DA9B15" w14:textId="77777777" w:rsidR="004D6A64" w:rsidRDefault="004D6A64">
            <w:pPr>
              <w:rPr>
                <w:rFonts w:ascii="宋体"/>
              </w:rPr>
            </w:pPr>
          </w:p>
        </w:tc>
        <w:tc>
          <w:tcPr>
            <w:tcW w:w="0" w:type="auto"/>
            <w:shd w:val="clear" w:color="auto" w:fill="auto"/>
          </w:tcPr>
          <w:p w14:paraId="33DA9B16" w14:textId="77777777" w:rsidR="004D6A64" w:rsidRDefault="004D6A64">
            <w:pPr>
              <w:rPr>
                <w:rFonts w:ascii="宋体"/>
              </w:rPr>
            </w:pPr>
          </w:p>
        </w:tc>
      </w:tr>
      <w:tr w:rsidR="00506CD6" w14:paraId="33DA9B3C" w14:textId="77777777">
        <w:trPr>
          <w:jc w:val="center"/>
        </w:trPr>
        <w:tc>
          <w:tcPr>
            <w:tcW w:w="0" w:type="auto"/>
            <w:gridSpan w:val="3"/>
            <w:shd w:val="clear" w:color="auto" w:fill="FFFFFF"/>
            <w:tcMar>
              <w:top w:w="40" w:type="dxa"/>
              <w:left w:w="135" w:type="dxa"/>
              <w:bottom w:w="40" w:type="dxa"/>
              <w:right w:w="20" w:type="dxa"/>
            </w:tcMar>
            <w:vAlign w:val="bottom"/>
          </w:tcPr>
          <w:p w14:paraId="33DA9B18" w14:textId="77777777" w:rsidR="004D6A64" w:rsidRDefault="00506CD6">
            <w:pPr>
              <w:textAlignment w:val="bottom"/>
            </w:pPr>
            <w:r>
              <w:rPr>
                <w:rFonts w:ascii="Times New Roman" w:eastAsia="宋体" w:hAnsi="Times New Roman"/>
                <w:color w:val="000000"/>
                <w:sz w:val="20"/>
                <w:szCs w:val="20"/>
              </w:rPr>
              <w:t>Stock-based compensation expense</w:t>
            </w:r>
          </w:p>
        </w:tc>
        <w:tc>
          <w:tcPr>
            <w:tcW w:w="0" w:type="auto"/>
            <w:gridSpan w:val="2"/>
            <w:shd w:val="clear" w:color="auto" w:fill="FFFFFF"/>
            <w:tcMar>
              <w:top w:w="40" w:type="dxa"/>
              <w:left w:w="20" w:type="dxa"/>
              <w:bottom w:w="40" w:type="dxa"/>
              <w:right w:w="0" w:type="dxa"/>
            </w:tcMar>
            <w:vAlign w:val="bottom"/>
          </w:tcPr>
          <w:p w14:paraId="33DA9B19"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B1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B1B"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B1C" w14:textId="77777777" w:rsidR="004D6A64" w:rsidRDefault="00506CD6">
            <w:pPr>
              <w:jc w:val="right"/>
              <w:textAlignment w:val="bottom"/>
            </w:pPr>
            <w:r>
              <w:rPr>
                <w:rFonts w:ascii="Times New Roman" w:eastAsia="宋体" w:hAnsi="Times New Roman"/>
                <w:color w:val="000000"/>
                <w:sz w:val="20"/>
                <w:szCs w:val="20"/>
              </w:rPr>
              <w:t>206 </w:t>
            </w:r>
          </w:p>
        </w:tc>
        <w:tc>
          <w:tcPr>
            <w:tcW w:w="0" w:type="auto"/>
            <w:shd w:val="clear" w:color="auto" w:fill="FFFFFF"/>
            <w:tcMar>
              <w:top w:w="40" w:type="dxa"/>
              <w:bottom w:w="40" w:type="dxa"/>
              <w:right w:w="20" w:type="dxa"/>
            </w:tcMar>
            <w:vAlign w:val="bottom"/>
          </w:tcPr>
          <w:p w14:paraId="33DA9B1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B1E"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B1F"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B2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B2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B22"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B2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B24"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B25"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B2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B27"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B28"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B2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B2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B2B" w14:textId="77777777" w:rsidR="004D6A64" w:rsidRDefault="00506CD6">
            <w:pPr>
              <w:jc w:val="right"/>
              <w:textAlignment w:val="bottom"/>
            </w:pPr>
            <w:r>
              <w:rPr>
                <w:rFonts w:ascii="Times New Roman" w:eastAsia="宋体" w:hAnsi="Times New Roman"/>
                <w:color w:val="000000"/>
                <w:sz w:val="20"/>
                <w:szCs w:val="20"/>
              </w:rPr>
              <w:t>206 </w:t>
            </w:r>
          </w:p>
        </w:tc>
        <w:tc>
          <w:tcPr>
            <w:tcW w:w="0" w:type="auto"/>
            <w:shd w:val="clear" w:color="auto" w:fill="FFFFFF"/>
            <w:tcMar>
              <w:top w:w="40" w:type="dxa"/>
              <w:bottom w:w="40" w:type="dxa"/>
              <w:right w:w="20" w:type="dxa"/>
            </w:tcMar>
            <w:vAlign w:val="bottom"/>
          </w:tcPr>
          <w:p w14:paraId="33DA9B2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B2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B2E" w14:textId="77777777" w:rsidR="004D6A64" w:rsidRDefault="00506CD6">
            <w:pPr>
              <w:jc w:val="right"/>
              <w:textAlignment w:val="bottom"/>
            </w:pPr>
            <w:r>
              <w:rPr>
                <w:rFonts w:ascii="Times New Roman" w:eastAsia="宋体" w:hAnsi="Times New Roman"/>
                <w:color w:val="000000"/>
                <w:sz w:val="20"/>
                <w:szCs w:val="20"/>
              </w:rPr>
              <w:t>577 </w:t>
            </w:r>
          </w:p>
        </w:tc>
        <w:tc>
          <w:tcPr>
            <w:tcW w:w="0" w:type="auto"/>
            <w:shd w:val="clear" w:color="auto" w:fill="FFFFFF"/>
            <w:tcMar>
              <w:top w:w="40" w:type="dxa"/>
              <w:bottom w:w="40" w:type="dxa"/>
              <w:right w:w="20" w:type="dxa"/>
            </w:tcMar>
            <w:vAlign w:val="bottom"/>
          </w:tcPr>
          <w:p w14:paraId="33DA9B2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B3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B31" w14:textId="77777777" w:rsidR="004D6A64" w:rsidRDefault="00506CD6">
            <w:pPr>
              <w:jc w:val="right"/>
              <w:textAlignment w:val="bottom"/>
            </w:pPr>
            <w:r>
              <w:rPr>
                <w:rFonts w:ascii="Times New Roman" w:eastAsia="宋体" w:hAnsi="Times New Roman"/>
                <w:color w:val="000000"/>
                <w:sz w:val="20"/>
                <w:szCs w:val="20"/>
              </w:rPr>
              <w:t>783 </w:t>
            </w:r>
          </w:p>
        </w:tc>
        <w:tc>
          <w:tcPr>
            <w:tcW w:w="0" w:type="auto"/>
            <w:shd w:val="clear" w:color="auto" w:fill="FFFFFF"/>
            <w:tcMar>
              <w:top w:w="40" w:type="dxa"/>
              <w:bottom w:w="40" w:type="dxa"/>
              <w:right w:w="20" w:type="dxa"/>
            </w:tcMar>
            <w:vAlign w:val="bottom"/>
          </w:tcPr>
          <w:p w14:paraId="33DA9B32" w14:textId="77777777" w:rsidR="004D6A64" w:rsidRDefault="004D6A64">
            <w:pPr>
              <w:jc w:val="right"/>
              <w:rPr>
                <w:rFonts w:ascii="宋体"/>
              </w:rPr>
            </w:pPr>
          </w:p>
        </w:tc>
        <w:tc>
          <w:tcPr>
            <w:tcW w:w="0" w:type="auto"/>
            <w:shd w:val="clear" w:color="auto" w:fill="auto"/>
          </w:tcPr>
          <w:p w14:paraId="33DA9B33" w14:textId="77777777" w:rsidR="004D6A64" w:rsidRDefault="004D6A64">
            <w:pPr>
              <w:rPr>
                <w:rFonts w:ascii="宋体"/>
              </w:rPr>
            </w:pPr>
          </w:p>
        </w:tc>
        <w:tc>
          <w:tcPr>
            <w:tcW w:w="0" w:type="auto"/>
            <w:shd w:val="clear" w:color="auto" w:fill="auto"/>
          </w:tcPr>
          <w:p w14:paraId="33DA9B34" w14:textId="77777777" w:rsidR="004D6A64" w:rsidRDefault="004D6A64">
            <w:pPr>
              <w:rPr>
                <w:rFonts w:ascii="宋体"/>
              </w:rPr>
            </w:pPr>
          </w:p>
        </w:tc>
        <w:tc>
          <w:tcPr>
            <w:tcW w:w="0" w:type="auto"/>
            <w:shd w:val="clear" w:color="auto" w:fill="auto"/>
          </w:tcPr>
          <w:p w14:paraId="33DA9B35" w14:textId="77777777" w:rsidR="004D6A64" w:rsidRDefault="004D6A64">
            <w:pPr>
              <w:rPr>
                <w:rFonts w:ascii="宋体"/>
              </w:rPr>
            </w:pPr>
          </w:p>
        </w:tc>
        <w:tc>
          <w:tcPr>
            <w:tcW w:w="0" w:type="auto"/>
            <w:shd w:val="clear" w:color="auto" w:fill="auto"/>
          </w:tcPr>
          <w:p w14:paraId="33DA9B36" w14:textId="77777777" w:rsidR="004D6A64" w:rsidRDefault="004D6A64">
            <w:pPr>
              <w:rPr>
                <w:rFonts w:ascii="宋体"/>
              </w:rPr>
            </w:pPr>
          </w:p>
        </w:tc>
        <w:tc>
          <w:tcPr>
            <w:tcW w:w="0" w:type="auto"/>
            <w:shd w:val="clear" w:color="auto" w:fill="auto"/>
          </w:tcPr>
          <w:p w14:paraId="33DA9B37" w14:textId="77777777" w:rsidR="004D6A64" w:rsidRDefault="004D6A64">
            <w:pPr>
              <w:rPr>
                <w:rFonts w:ascii="宋体"/>
              </w:rPr>
            </w:pPr>
          </w:p>
        </w:tc>
        <w:tc>
          <w:tcPr>
            <w:tcW w:w="0" w:type="auto"/>
            <w:shd w:val="clear" w:color="auto" w:fill="auto"/>
          </w:tcPr>
          <w:p w14:paraId="33DA9B38" w14:textId="77777777" w:rsidR="004D6A64" w:rsidRDefault="004D6A64">
            <w:pPr>
              <w:rPr>
                <w:rFonts w:ascii="宋体"/>
              </w:rPr>
            </w:pPr>
          </w:p>
        </w:tc>
        <w:tc>
          <w:tcPr>
            <w:tcW w:w="0" w:type="auto"/>
            <w:shd w:val="clear" w:color="auto" w:fill="auto"/>
          </w:tcPr>
          <w:p w14:paraId="33DA9B39" w14:textId="77777777" w:rsidR="004D6A64" w:rsidRDefault="004D6A64">
            <w:pPr>
              <w:rPr>
                <w:rFonts w:ascii="宋体"/>
              </w:rPr>
            </w:pPr>
          </w:p>
        </w:tc>
        <w:tc>
          <w:tcPr>
            <w:tcW w:w="0" w:type="auto"/>
            <w:shd w:val="clear" w:color="auto" w:fill="auto"/>
          </w:tcPr>
          <w:p w14:paraId="33DA9B3A" w14:textId="77777777" w:rsidR="004D6A64" w:rsidRDefault="004D6A64">
            <w:pPr>
              <w:rPr>
                <w:rFonts w:ascii="宋体"/>
              </w:rPr>
            </w:pPr>
          </w:p>
        </w:tc>
        <w:tc>
          <w:tcPr>
            <w:tcW w:w="0" w:type="auto"/>
            <w:shd w:val="clear" w:color="auto" w:fill="auto"/>
          </w:tcPr>
          <w:p w14:paraId="33DA9B3B" w14:textId="77777777" w:rsidR="004D6A64" w:rsidRDefault="004D6A64">
            <w:pPr>
              <w:rPr>
                <w:rFonts w:ascii="宋体"/>
              </w:rPr>
            </w:pPr>
          </w:p>
        </w:tc>
      </w:tr>
      <w:tr w:rsidR="00506CD6" w14:paraId="33DA9B61" w14:textId="77777777">
        <w:trPr>
          <w:jc w:val="center"/>
        </w:trPr>
        <w:tc>
          <w:tcPr>
            <w:tcW w:w="0" w:type="auto"/>
            <w:gridSpan w:val="3"/>
            <w:shd w:val="clear" w:color="auto" w:fill="CCEEFF"/>
            <w:tcMar>
              <w:top w:w="40" w:type="dxa"/>
              <w:left w:w="135" w:type="dxa"/>
              <w:bottom w:w="40" w:type="dxa"/>
              <w:right w:w="20" w:type="dxa"/>
            </w:tcMar>
            <w:vAlign w:val="bottom"/>
          </w:tcPr>
          <w:p w14:paraId="33DA9B3D" w14:textId="77777777" w:rsidR="004D6A64" w:rsidRDefault="00506CD6">
            <w:pPr>
              <w:textAlignment w:val="bottom"/>
            </w:pPr>
            <w:r>
              <w:rPr>
                <w:rFonts w:ascii="Times New Roman" w:eastAsia="宋体" w:hAnsi="Times New Roman"/>
                <w:color w:val="000000"/>
                <w:sz w:val="20"/>
                <w:szCs w:val="20"/>
              </w:rPr>
              <w:t>Treasury stock repurchases</w:t>
            </w:r>
          </w:p>
        </w:tc>
        <w:tc>
          <w:tcPr>
            <w:tcW w:w="0" w:type="auto"/>
            <w:gridSpan w:val="2"/>
            <w:shd w:val="clear" w:color="auto" w:fill="CCEEFF"/>
            <w:tcMar>
              <w:top w:w="40" w:type="dxa"/>
              <w:left w:w="20" w:type="dxa"/>
              <w:bottom w:w="40" w:type="dxa"/>
              <w:right w:w="0" w:type="dxa"/>
            </w:tcMar>
            <w:vAlign w:val="bottom"/>
          </w:tcPr>
          <w:p w14:paraId="33DA9B3E"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B3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B40"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B41"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B4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B4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B44" w14:textId="77777777" w:rsidR="004D6A64" w:rsidRDefault="00506CD6">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bottom w:w="40" w:type="dxa"/>
              <w:right w:w="20" w:type="dxa"/>
            </w:tcMar>
            <w:vAlign w:val="bottom"/>
          </w:tcPr>
          <w:p w14:paraId="33DA9B4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B4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B47" w14:textId="77777777" w:rsidR="004D6A64" w:rsidRDefault="00506CD6">
            <w:pPr>
              <w:jc w:val="right"/>
              <w:textAlignment w:val="bottom"/>
            </w:pPr>
            <w:r>
              <w:rPr>
                <w:rFonts w:ascii="Times New Roman" w:eastAsia="宋体" w:hAnsi="Times New Roman"/>
                <w:color w:val="000000"/>
                <w:sz w:val="20"/>
                <w:szCs w:val="20"/>
              </w:rPr>
              <w:t>(240)</w:t>
            </w:r>
          </w:p>
        </w:tc>
        <w:tc>
          <w:tcPr>
            <w:tcW w:w="0" w:type="auto"/>
            <w:shd w:val="clear" w:color="auto" w:fill="CCEEFF"/>
            <w:tcMar>
              <w:top w:w="40" w:type="dxa"/>
              <w:bottom w:w="40" w:type="dxa"/>
              <w:right w:w="20" w:type="dxa"/>
            </w:tcMar>
            <w:vAlign w:val="bottom"/>
          </w:tcPr>
          <w:p w14:paraId="33DA9B4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B4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B4A"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B4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B4C"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B4D"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B4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B4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B50" w14:textId="77777777" w:rsidR="004D6A64" w:rsidRDefault="00506CD6">
            <w:pPr>
              <w:jc w:val="right"/>
              <w:textAlignment w:val="bottom"/>
            </w:pPr>
            <w:r>
              <w:rPr>
                <w:rFonts w:ascii="Times New Roman" w:eastAsia="宋体" w:hAnsi="Times New Roman"/>
                <w:color w:val="000000"/>
                <w:sz w:val="20"/>
                <w:szCs w:val="20"/>
              </w:rPr>
              <w:t>(240)</w:t>
            </w:r>
          </w:p>
        </w:tc>
        <w:tc>
          <w:tcPr>
            <w:tcW w:w="0" w:type="auto"/>
            <w:shd w:val="clear" w:color="auto" w:fill="CCEEFF"/>
            <w:tcMar>
              <w:top w:w="40" w:type="dxa"/>
              <w:bottom w:w="40" w:type="dxa"/>
              <w:right w:w="20" w:type="dxa"/>
            </w:tcMar>
            <w:vAlign w:val="bottom"/>
          </w:tcPr>
          <w:p w14:paraId="33DA9B5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B5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B53"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B5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B5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B56" w14:textId="77777777" w:rsidR="004D6A64" w:rsidRDefault="00506CD6">
            <w:pPr>
              <w:jc w:val="right"/>
              <w:textAlignment w:val="bottom"/>
            </w:pPr>
            <w:r>
              <w:rPr>
                <w:rFonts w:ascii="Times New Roman" w:eastAsia="宋体" w:hAnsi="Times New Roman"/>
                <w:color w:val="000000"/>
                <w:sz w:val="20"/>
                <w:szCs w:val="20"/>
              </w:rPr>
              <w:t>(240)</w:t>
            </w:r>
          </w:p>
        </w:tc>
        <w:tc>
          <w:tcPr>
            <w:tcW w:w="0" w:type="auto"/>
            <w:shd w:val="clear" w:color="auto" w:fill="CCEEFF"/>
            <w:tcMar>
              <w:top w:w="40" w:type="dxa"/>
              <w:bottom w:w="40" w:type="dxa"/>
              <w:right w:w="20" w:type="dxa"/>
            </w:tcMar>
            <w:vAlign w:val="bottom"/>
          </w:tcPr>
          <w:p w14:paraId="33DA9B57" w14:textId="77777777" w:rsidR="004D6A64" w:rsidRDefault="004D6A64">
            <w:pPr>
              <w:jc w:val="right"/>
              <w:rPr>
                <w:rFonts w:ascii="宋体"/>
              </w:rPr>
            </w:pPr>
          </w:p>
        </w:tc>
        <w:tc>
          <w:tcPr>
            <w:tcW w:w="0" w:type="auto"/>
            <w:shd w:val="clear" w:color="auto" w:fill="auto"/>
          </w:tcPr>
          <w:p w14:paraId="33DA9B58" w14:textId="77777777" w:rsidR="004D6A64" w:rsidRDefault="004D6A64">
            <w:pPr>
              <w:rPr>
                <w:rFonts w:ascii="宋体"/>
              </w:rPr>
            </w:pPr>
          </w:p>
        </w:tc>
        <w:tc>
          <w:tcPr>
            <w:tcW w:w="0" w:type="auto"/>
            <w:shd w:val="clear" w:color="auto" w:fill="auto"/>
          </w:tcPr>
          <w:p w14:paraId="33DA9B59" w14:textId="77777777" w:rsidR="004D6A64" w:rsidRDefault="004D6A64">
            <w:pPr>
              <w:rPr>
                <w:rFonts w:ascii="宋体"/>
              </w:rPr>
            </w:pPr>
          </w:p>
        </w:tc>
        <w:tc>
          <w:tcPr>
            <w:tcW w:w="0" w:type="auto"/>
            <w:shd w:val="clear" w:color="auto" w:fill="auto"/>
          </w:tcPr>
          <w:p w14:paraId="33DA9B5A" w14:textId="77777777" w:rsidR="004D6A64" w:rsidRDefault="004D6A64">
            <w:pPr>
              <w:rPr>
                <w:rFonts w:ascii="宋体"/>
              </w:rPr>
            </w:pPr>
          </w:p>
        </w:tc>
        <w:tc>
          <w:tcPr>
            <w:tcW w:w="0" w:type="auto"/>
            <w:shd w:val="clear" w:color="auto" w:fill="auto"/>
          </w:tcPr>
          <w:p w14:paraId="33DA9B5B" w14:textId="77777777" w:rsidR="004D6A64" w:rsidRDefault="004D6A64">
            <w:pPr>
              <w:rPr>
                <w:rFonts w:ascii="宋体"/>
              </w:rPr>
            </w:pPr>
          </w:p>
        </w:tc>
        <w:tc>
          <w:tcPr>
            <w:tcW w:w="0" w:type="auto"/>
            <w:shd w:val="clear" w:color="auto" w:fill="auto"/>
          </w:tcPr>
          <w:p w14:paraId="33DA9B5C" w14:textId="77777777" w:rsidR="004D6A64" w:rsidRDefault="004D6A64">
            <w:pPr>
              <w:rPr>
                <w:rFonts w:ascii="宋体"/>
              </w:rPr>
            </w:pPr>
          </w:p>
        </w:tc>
        <w:tc>
          <w:tcPr>
            <w:tcW w:w="0" w:type="auto"/>
            <w:shd w:val="clear" w:color="auto" w:fill="auto"/>
          </w:tcPr>
          <w:p w14:paraId="33DA9B5D" w14:textId="77777777" w:rsidR="004D6A64" w:rsidRDefault="004D6A64">
            <w:pPr>
              <w:rPr>
                <w:rFonts w:ascii="宋体"/>
              </w:rPr>
            </w:pPr>
          </w:p>
        </w:tc>
        <w:tc>
          <w:tcPr>
            <w:tcW w:w="0" w:type="auto"/>
            <w:shd w:val="clear" w:color="auto" w:fill="auto"/>
          </w:tcPr>
          <w:p w14:paraId="33DA9B5E" w14:textId="77777777" w:rsidR="004D6A64" w:rsidRDefault="004D6A64">
            <w:pPr>
              <w:rPr>
                <w:rFonts w:ascii="宋体"/>
              </w:rPr>
            </w:pPr>
          </w:p>
        </w:tc>
        <w:tc>
          <w:tcPr>
            <w:tcW w:w="0" w:type="auto"/>
            <w:shd w:val="clear" w:color="auto" w:fill="auto"/>
          </w:tcPr>
          <w:p w14:paraId="33DA9B5F" w14:textId="77777777" w:rsidR="004D6A64" w:rsidRDefault="004D6A64">
            <w:pPr>
              <w:rPr>
                <w:rFonts w:ascii="宋体"/>
              </w:rPr>
            </w:pPr>
          </w:p>
        </w:tc>
        <w:tc>
          <w:tcPr>
            <w:tcW w:w="0" w:type="auto"/>
            <w:shd w:val="clear" w:color="auto" w:fill="auto"/>
          </w:tcPr>
          <w:p w14:paraId="33DA9B60" w14:textId="77777777" w:rsidR="004D6A64" w:rsidRDefault="004D6A64">
            <w:pPr>
              <w:rPr>
                <w:rFonts w:ascii="宋体"/>
              </w:rPr>
            </w:pPr>
          </w:p>
        </w:tc>
      </w:tr>
      <w:tr w:rsidR="00506CD6" w14:paraId="33DA9B86" w14:textId="77777777">
        <w:trPr>
          <w:jc w:val="center"/>
        </w:trPr>
        <w:tc>
          <w:tcPr>
            <w:tcW w:w="0" w:type="auto"/>
            <w:gridSpan w:val="3"/>
            <w:shd w:val="clear" w:color="auto" w:fill="FFFFFF"/>
            <w:tcMar>
              <w:top w:w="40" w:type="dxa"/>
              <w:left w:w="135" w:type="dxa"/>
              <w:bottom w:w="40" w:type="dxa"/>
              <w:right w:w="20" w:type="dxa"/>
            </w:tcMar>
            <w:vAlign w:val="bottom"/>
          </w:tcPr>
          <w:p w14:paraId="33DA9B62" w14:textId="77777777" w:rsidR="004D6A64" w:rsidRDefault="00506CD6">
            <w:pPr>
              <w:textAlignment w:val="bottom"/>
            </w:pPr>
            <w:r>
              <w:rPr>
                <w:rFonts w:ascii="Times New Roman" w:eastAsia="宋体" w:hAnsi="Times New Roman"/>
                <w:color w:val="000000"/>
                <w:sz w:val="20"/>
                <w:szCs w:val="20"/>
              </w:rPr>
              <w:t>Revaluation of redeemable shares</w:t>
            </w:r>
          </w:p>
        </w:tc>
        <w:tc>
          <w:tcPr>
            <w:tcW w:w="0" w:type="auto"/>
            <w:gridSpan w:val="2"/>
            <w:shd w:val="clear" w:color="auto" w:fill="FFFFFF"/>
            <w:tcMar>
              <w:top w:w="40" w:type="dxa"/>
              <w:left w:w="20" w:type="dxa"/>
              <w:bottom w:w="40" w:type="dxa"/>
              <w:right w:w="0" w:type="dxa"/>
            </w:tcMar>
            <w:vAlign w:val="bottom"/>
          </w:tcPr>
          <w:p w14:paraId="33DA9B63"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B6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B65"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B66" w14:textId="77777777" w:rsidR="004D6A64" w:rsidRDefault="00506CD6">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bottom w:w="40" w:type="dxa"/>
              <w:right w:w="20" w:type="dxa"/>
            </w:tcMar>
            <w:vAlign w:val="bottom"/>
          </w:tcPr>
          <w:p w14:paraId="33DA9B6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B68"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B69"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B6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B6B"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B6C"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B6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B6E"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B6F"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B7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B7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B72"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B7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B74"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B75" w14:textId="77777777" w:rsidR="004D6A64" w:rsidRDefault="00506CD6">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bottom w:w="40" w:type="dxa"/>
              <w:right w:w="20" w:type="dxa"/>
            </w:tcMar>
            <w:vAlign w:val="bottom"/>
          </w:tcPr>
          <w:p w14:paraId="33DA9B7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B77"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B78"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B7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B7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B7B" w14:textId="77777777" w:rsidR="004D6A64" w:rsidRDefault="00506CD6">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bottom w:w="40" w:type="dxa"/>
              <w:right w:w="20" w:type="dxa"/>
            </w:tcMar>
            <w:vAlign w:val="bottom"/>
          </w:tcPr>
          <w:p w14:paraId="33DA9B7C" w14:textId="77777777" w:rsidR="004D6A64" w:rsidRDefault="004D6A64">
            <w:pPr>
              <w:jc w:val="right"/>
              <w:rPr>
                <w:rFonts w:ascii="宋体"/>
              </w:rPr>
            </w:pPr>
          </w:p>
        </w:tc>
        <w:tc>
          <w:tcPr>
            <w:tcW w:w="0" w:type="auto"/>
            <w:shd w:val="clear" w:color="auto" w:fill="auto"/>
          </w:tcPr>
          <w:p w14:paraId="33DA9B7D" w14:textId="77777777" w:rsidR="004D6A64" w:rsidRDefault="004D6A64">
            <w:pPr>
              <w:rPr>
                <w:rFonts w:ascii="宋体"/>
              </w:rPr>
            </w:pPr>
          </w:p>
        </w:tc>
        <w:tc>
          <w:tcPr>
            <w:tcW w:w="0" w:type="auto"/>
            <w:shd w:val="clear" w:color="auto" w:fill="auto"/>
          </w:tcPr>
          <w:p w14:paraId="33DA9B7E" w14:textId="77777777" w:rsidR="004D6A64" w:rsidRDefault="004D6A64">
            <w:pPr>
              <w:rPr>
                <w:rFonts w:ascii="宋体"/>
              </w:rPr>
            </w:pPr>
          </w:p>
        </w:tc>
        <w:tc>
          <w:tcPr>
            <w:tcW w:w="0" w:type="auto"/>
            <w:shd w:val="clear" w:color="auto" w:fill="auto"/>
          </w:tcPr>
          <w:p w14:paraId="33DA9B7F" w14:textId="77777777" w:rsidR="004D6A64" w:rsidRDefault="004D6A64">
            <w:pPr>
              <w:rPr>
                <w:rFonts w:ascii="宋体"/>
              </w:rPr>
            </w:pPr>
          </w:p>
        </w:tc>
        <w:tc>
          <w:tcPr>
            <w:tcW w:w="0" w:type="auto"/>
            <w:shd w:val="clear" w:color="auto" w:fill="auto"/>
          </w:tcPr>
          <w:p w14:paraId="33DA9B80" w14:textId="77777777" w:rsidR="004D6A64" w:rsidRDefault="004D6A64">
            <w:pPr>
              <w:rPr>
                <w:rFonts w:ascii="宋体"/>
              </w:rPr>
            </w:pPr>
          </w:p>
        </w:tc>
        <w:tc>
          <w:tcPr>
            <w:tcW w:w="0" w:type="auto"/>
            <w:shd w:val="clear" w:color="auto" w:fill="auto"/>
          </w:tcPr>
          <w:p w14:paraId="33DA9B81" w14:textId="77777777" w:rsidR="004D6A64" w:rsidRDefault="004D6A64">
            <w:pPr>
              <w:rPr>
                <w:rFonts w:ascii="宋体"/>
              </w:rPr>
            </w:pPr>
          </w:p>
        </w:tc>
        <w:tc>
          <w:tcPr>
            <w:tcW w:w="0" w:type="auto"/>
            <w:shd w:val="clear" w:color="auto" w:fill="auto"/>
          </w:tcPr>
          <w:p w14:paraId="33DA9B82" w14:textId="77777777" w:rsidR="004D6A64" w:rsidRDefault="004D6A64">
            <w:pPr>
              <w:rPr>
                <w:rFonts w:ascii="宋体"/>
              </w:rPr>
            </w:pPr>
          </w:p>
        </w:tc>
        <w:tc>
          <w:tcPr>
            <w:tcW w:w="0" w:type="auto"/>
            <w:shd w:val="clear" w:color="auto" w:fill="auto"/>
          </w:tcPr>
          <w:p w14:paraId="33DA9B83" w14:textId="77777777" w:rsidR="004D6A64" w:rsidRDefault="004D6A64">
            <w:pPr>
              <w:rPr>
                <w:rFonts w:ascii="宋体"/>
              </w:rPr>
            </w:pPr>
          </w:p>
        </w:tc>
        <w:tc>
          <w:tcPr>
            <w:tcW w:w="0" w:type="auto"/>
            <w:shd w:val="clear" w:color="auto" w:fill="auto"/>
          </w:tcPr>
          <w:p w14:paraId="33DA9B84" w14:textId="77777777" w:rsidR="004D6A64" w:rsidRDefault="004D6A64">
            <w:pPr>
              <w:rPr>
                <w:rFonts w:ascii="宋体"/>
              </w:rPr>
            </w:pPr>
          </w:p>
        </w:tc>
        <w:tc>
          <w:tcPr>
            <w:tcW w:w="0" w:type="auto"/>
            <w:shd w:val="clear" w:color="auto" w:fill="auto"/>
          </w:tcPr>
          <w:p w14:paraId="33DA9B85" w14:textId="77777777" w:rsidR="004D6A64" w:rsidRDefault="004D6A64">
            <w:pPr>
              <w:rPr>
                <w:rFonts w:ascii="宋体"/>
              </w:rPr>
            </w:pPr>
          </w:p>
        </w:tc>
      </w:tr>
      <w:tr w:rsidR="00506CD6" w14:paraId="33DA9BAB" w14:textId="77777777">
        <w:trPr>
          <w:jc w:val="center"/>
        </w:trPr>
        <w:tc>
          <w:tcPr>
            <w:tcW w:w="0" w:type="auto"/>
            <w:gridSpan w:val="3"/>
            <w:shd w:val="clear" w:color="auto" w:fill="CCEEFF"/>
            <w:tcMar>
              <w:top w:w="40" w:type="dxa"/>
              <w:left w:w="135" w:type="dxa"/>
              <w:bottom w:w="40" w:type="dxa"/>
              <w:right w:w="20" w:type="dxa"/>
            </w:tcMar>
            <w:vAlign w:val="bottom"/>
          </w:tcPr>
          <w:p w14:paraId="33DA9B87" w14:textId="77777777" w:rsidR="004D6A64" w:rsidRDefault="00506CD6">
            <w:pPr>
              <w:textAlignment w:val="bottom"/>
            </w:pPr>
            <w:r>
              <w:rPr>
                <w:rFonts w:ascii="Times New Roman" w:eastAsia="宋体" w:hAnsi="Times New Roman"/>
                <w:color w:val="000000"/>
                <w:sz w:val="20"/>
                <w:szCs w:val="20"/>
              </w:rPr>
              <w:t>Impact from equity transactions of non-controlling interests</w:t>
            </w:r>
          </w:p>
        </w:tc>
        <w:tc>
          <w:tcPr>
            <w:tcW w:w="0" w:type="auto"/>
            <w:gridSpan w:val="2"/>
            <w:shd w:val="clear" w:color="auto" w:fill="CCEEFF"/>
            <w:tcMar>
              <w:top w:w="40" w:type="dxa"/>
              <w:left w:w="20" w:type="dxa"/>
              <w:bottom w:w="40" w:type="dxa"/>
              <w:right w:w="0" w:type="dxa"/>
            </w:tcMar>
            <w:vAlign w:val="bottom"/>
          </w:tcPr>
          <w:p w14:paraId="33DA9B88"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B89"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B8A"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B8B" w14:textId="77777777" w:rsidR="004D6A64" w:rsidRDefault="00506CD6">
            <w:pPr>
              <w:jc w:val="right"/>
              <w:textAlignment w:val="bottom"/>
            </w:pPr>
            <w:r>
              <w:rPr>
                <w:rFonts w:ascii="Times New Roman" w:eastAsia="宋体" w:hAnsi="Times New Roman"/>
                <w:color w:val="000000"/>
                <w:sz w:val="20"/>
                <w:szCs w:val="20"/>
              </w:rPr>
              <w:t>(38)</w:t>
            </w:r>
          </w:p>
        </w:tc>
        <w:tc>
          <w:tcPr>
            <w:tcW w:w="0" w:type="auto"/>
            <w:shd w:val="clear" w:color="auto" w:fill="CCEEFF"/>
            <w:tcMar>
              <w:top w:w="40" w:type="dxa"/>
              <w:bottom w:w="40" w:type="dxa"/>
              <w:right w:w="20" w:type="dxa"/>
            </w:tcMar>
            <w:vAlign w:val="bottom"/>
          </w:tcPr>
          <w:p w14:paraId="33DA9B8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B8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B8E"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B8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B90"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B91"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B9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B9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B94"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B9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B9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B97"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B9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B9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B9A" w14:textId="77777777" w:rsidR="004D6A64" w:rsidRDefault="00506CD6">
            <w:pPr>
              <w:jc w:val="right"/>
              <w:textAlignment w:val="bottom"/>
            </w:pPr>
            <w:r>
              <w:rPr>
                <w:rFonts w:ascii="Times New Roman" w:eastAsia="宋体" w:hAnsi="Times New Roman"/>
                <w:color w:val="000000"/>
                <w:sz w:val="20"/>
                <w:szCs w:val="20"/>
              </w:rPr>
              <w:t>(38)</w:t>
            </w:r>
          </w:p>
        </w:tc>
        <w:tc>
          <w:tcPr>
            <w:tcW w:w="0" w:type="auto"/>
            <w:shd w:val="clear" w:color="auto" w:fill="CCEEFF"/>
            <w:tcMar>
              <w:top w:w="40" w:type="dxa"/>
              <w:bottom w:w="40" w:type="dxa"/>
              <w:right w:w="20" w:type="dxa"/>
            </w:tcMar>
            <w:vAlign w:val="bottom"/>
          </w:tcPr>
          <w:p w14:paraId="33DA9B9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B9C"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B9D" w14:textId="77777777" w:rsidR="004D6A64" w:rsidRDefault="00506CD6">
            <w:pPr>
              <w:jc w:val="right"/>
              <w:textAlignment w:val="bottom"/>
            </w:pPr>
            <w:r>
              <w:rPr>
                <w:rFonts w:ascii="Times New Roman" w:eastAsia="宋体" w:hAnsi="Times New Roman"/>
                <w:color w:val="000000"/>
                <w:sz w:val="20"/>
                <w:szCs w:val="20"/>
              </w:rPr>
              <w:t>(418)</w:t>
            </w:r>
          </w:p>
        </w:tc>
        <w:tc>
          <w:tcPr>
            <w:tcW w:w="0" w:type="auto"/>
            <w:shd w:val="clear" w:color="auto" w:fill="CCEEFF"/>
            <w:tcMar>
              <w:top w:w="40" w:type="dxa"/>
              <w:bottom w:w="40" w:type="dxa"/>
              <w:right w:w="20" w:type="dxa"/>
            </w:tcMar>
            <w:vAlign w:val="bottom"/>
          </w:tcPr>
          <w:p w14:paraId="33DA9B9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B9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BA0" w14:textId="77777777" w:rsidR="004D6A64" w:rsidRDefault="00506CD6">
            <w:pPr>
              <w:jc w:val="right"/>
              <w:textAlignment w:val="bottom"/>
            </w:pPr>
            <w:r>
              <w:rPr>
                <w:rFonts w:ascii="Times New Roman" w:eastAsia="宋体" w:hAnsi="Times New Roman"/>
                <w:color w:val="000000"/>
                <w:sz w:val="20"/>
                <w:szCs w:val="20"/>
              </w:rPr>
              <w:t>(456)</w:t>
            </w:r>
          </w:p>
        </w:tc>
        <w:tc>
          <w:tcPr>
            <w:tcW w:w="0" w:type="auto"/>
            <w:shd w:val="clear" w:color="auto" w:fill="CCEEFF"/>
            <w:tcMar>
              <w:top w:w="40" w:type="dxa"/>
              <w:bottom w:w="40" w:type="dxa"/>
              <w:right w:w="20" w:type="dxa"/>
            </w:tcMar>
            <w:vAlign w:val="bottom"/>
          </w:tcPr>
          <w:p w14:paraId="33DA9BA1" w14:textId="77777777" w:rsidR="004D6A64" w:rsidRDefault="004D6A64">
            <w:pPr>
              <w:jc w:val="right"/>
              <w:rPr>
                <w:rFonts w:ascii="宋体"/>
              </w:rPr>
            </w:pPr>
          </w:p>
        </w:tc>
        <w:tc>
          <w:tcPr>
            <w:tcW w:w="0" w:type="auto"/>
            <w:shd w:val="clear" w:color="auto" w:fill="auto"/>
          </w:tcPr>
          <w:p w14:paraId="33DA9BA2" w14:textId="77777777" w:rsidR="004D6A64" w:rsidRDefault="004D6A64">
            <w:pPr>
              <w:rPr>
                <w:rFonts w:ascii="宋体"/>
              </w:rPr>
            </w:pPr>
          </w:p>
        </w:tc>
        <w:tc>
          <w:tcPr>
            <w:tcW w:w="0" w:type="auto"/>
            <w:shd w:val="clear" w:color="auto" w:fill="auto"/>
          </w:tcPr>
          <w:p w14:paraId="33DA9BA3" w14:textId="77777777" w:rsidR="004D6A64" w:rsidRDefault="004D6A64">
            <w:pPr>
              <w:rPr>
                <w:rFonts w:ascii="宋体"/>
              </w:rPr>
            </w:pPr>
          </w:p>
        </w:tc>
        <w:tc>
          <w:tcPr>
            <w:tcW w:w="0" w:type="auto"/>
            <w:shd w:val="clear" w:color="auto" w:fill="auto"/>
          </w:tcPr>
          <w:p w14:paraId="33DA9BA4" w14:textId="77777777" w:rsidR="004D6A64" w:rsidRDefault="004D6A64">
            <w:pPr>
              <w:rPr>
                <w:rFonts w:ascii="宋体"/>
              </w:rPr>
            </w:pPr>
          </w:p>
        </w:tc>
        <w:tc>
          <w:tcPr>
            <w:tcW w:w="0" w:type="auto"/>
            <w:shd w:val="clear" w:color="auto" w:fill="auto"/>
          </w:tcPr>
          <w:p w14:paraId="33DA9BA5" w14:textId="77777777" w:rsidR="004D6A64" w:rsidRDefault="004D6A64">
            <w:pPr>
              <w:rPr>
                <w:rFonts w:ascii="宋体"/>
              </w:rPr>
            </w:pPr>
          </w:p>
        </w:tc>
        <w:tc>
          <w:tcPr>
            <w:tcW w:w="0" w:type="auto"/>
            <w:shd w:val="clear" w:color="auto" w:fill="auto"/>
          </w:tcPr>
          <w:p w14:paraId="33DA9BA6" w14:textId="77777777" w:rsidR="004D6A64" w:rsidRDefault="004D6A64">
            <w:pPr>
              <w:rPr>
                <w:rFonts w:ascii="宋体"/>
              </w:rPr>
            </w:pPr>
          </w:p>
        </w:tc>
        <w:tc>
          <w:tcPr>
            <w:tcW w:w="0" w:type="auto"/>
            <w:shd w:val="clear" w:color="auto" w:fill="auto"/>
          </w:tcPr>
          <w:p w14:paraId="33DA9BA7" w14:textId="77777777" w:rsidR="004D6A64" w:rsidRDefault="004D6A64">
            <w:pPr>
              <w:rPr>
                <w:rFonts w:ascii="宋体"/>
              </w:rPr>
            </w:pPr>
          </w:p>
        </w:tc>
        <w:tc>
          <w:tcPr>
            <w:tcW w:w="0" w:type="auto"/>
            <w:shd w:val="clear" w:color="auto" w:fill="auto"/>
          </w:tcPr>
          <w:p w14:paraId="33DA9BA8" w14:textId="77777777" w:rsidR="004D6A64" w:rsidRDefault="004D6A64">
            <w:pPr>
              <w:rPr>
                <w:rFonts w:ascii="宋体"/>
              </w:rPr>
            </w:pPr>
          </w:p>
        </w:tc>
        <w:tc>
          <w:tcPr>
            <w:tcW w:w="0" w:type="auto"/>
            <w:shd w:val="clear" w:color="auto" w:fill="auto"/>
          </w:tcPr>
          <w:p w14:paraId="33DA9BA9" w14:textId="77777777" w:rsidR="004D6A64" w:rsidRDefault="004D6A64">
            <w:pPr>
              <w:rPr>
                <w:rFonts w:ascii="宋体"/>
              </w:rPr>
            </w:pPr>
          </w:p>
        </w:tc>
        <w:tc>
          <w:tcPr>
            <w:tcW w:w="0" w:type="auto"/>
            <w:shd w:val="clear" w:color="auto" w:fill="auto"/>
          </w:tcPr>
          <w:p w14:paraId="33DA9BAA" w14:textId="77777777" w:rsidR="004D6A64" w:rsidRDefault="004D6A64">
            <w:pPr>
              <w:rPr>
                <w:rFonts w:ascii="宋体"/>
              </w:rPr>
            </w:pPr>
          </w:p>
        </w:tc>
      </w:tr>
      <w:tr w:rsidR="004D6A64" w14:paraId="33DA9BC7" w14:textId="77777777">
        <w:trPr>
          <w:jc w:val="center"/>
          <w:hidden/>
        </w:trPr>
        <w:tc>
          <w:tcPr>
            <w:tcW w:w="0" w:type="auto"/>
            <w:gridSpan w:val="3"/>
            <w:shd w:val="clear" w:color="auto" w:fill="auto"/>
          </w:tcPr>
          <w:p w14:paraId="33DA9BAC" w14:textId="77777777" w:rsidR="004D6A64" w:rsidRDefault="004D6A64">
            <w:pPr>
              <w:rPr>
                <w:rFonts w:ascii="宋体"/>
                <w:vanish/>
              </w:rPr>
            </w:pPr>
          </w:p>
        </w:tc>
        <w:tc>
          <w:tcPr>
            <w:tcW w:w="0" w:type="auto"/>
            <w:gridSpan w:val="3"/>
            <w:shd w:val="clear" w:color="auto" w:fill="auto"/>
          </w:tcPr>
          <w:p w14:paraId="33DA9BAD" w14:textId="77777777" w:rsidR="004D6A64" w:rsidRDefault="004D6A64">
            <w:pPr>
              <w:rPr>
                <w:rFonts w:ascii="宋体"/>
                <w:vanish/>
              </w:rPr>
            </w:pPr>
          </w:p>
        </w:tc>
        <w:tc>
          <w:tcPr>
            <w:tcW w:w="0" w:type="auto"/>
            <w:gridSpan w:val="3"/>
            <w:shd w:val="clear" w:color="auto" w:fill="auto"/>
          </w:tcPr>
          <w:p w14:paraId="33DA9BAE" w14:textId="77777777" w:rsidR="004D6A64" w:rsidRDefault="004D6A64">
            <w:pPr>
              <w:rPr>
                <w:rFonts w:ascii="宋体"/>
                <w:vanish/>
              </w:rPr>
            </w:pPr>
          </w:p>
        </w:tc>
        <w:tc>
          <w:tcPr>
            <w:tcW w:w="0" w:type="auto"/>
            <w:gridSpan w:val="3"/>
            <w:shd w:val="clear" w:color="auto" w:fill="auto"/>
          </w:tcPr>
          <w:p w14:paraId="33DA9BAF" w14:textId="77777777" w:rsidR="004D6A64" w:rsidRDefault="004D6A64">
            <w:pPr>
              <w:rPr>
                <w:rFonts w:ascii="宋体"/>
                <w:vanish/>
              </w:rPr>
            </w:pPr>
          </w:p>
        </w:tc>
        <w:tc>
          <w:tcPr>
            <w:tcW w:w="0" w:type="auto"/>
            <w:gridSpan w:val="3"/>
            <w:shd w:val="clear" w:color="auto" w:fill="auto"/>
          </w:tcPr>
          <w:p w14:paraId="33DA9BB0" w14:textId="77777777" w:rsidR="004D6A64" w:rsidRDefault="004D6A64">
            <w:pPr>
              <w:rPr>
                <w:rFonts w:ascii="宋体"/>
                <w:vanish/>
              </w:rPr>
            </w:pPr>
          </w:p>
        </w:tc>
        <w:tc>
          <w:tcPr>
            <w:tcW w:w="0" w:type="auto"/>
            <w:gridSpan w:val="3"/>
            <w:shd w:val="clear" w:color="auto" w:fill="auto"/>
          </w:tcPr>
          <w:p w14:paraId="33DA9BB1" w14:textId="77777777" w:rsidR="004D6A64" w:rsidRDefault="004D6A64">
            <w:pPr>
              <w:rPr>
                <w:rFonts w:ascii="宋体"/>
                <w:vanish/>
              </w:rPr>
            </w:pPr>
          </w:p>
        </w:tc>
        <w:tc>
          <w:tcPr>
            <w:tcW w:w="0" w:type="auto"/>
            <w:gridSpan w:val="3"/>
            <w:shd w:val="clear" w:color="auto" w:fill="auto"/>
          </w:tcPr>
          <w:p w14:paraId="33DA9BB2" w14:textId="77777777" w:rsidR="004D6A64" w:rsidRDefault="004D6A64">
            <w:pPr>
              <w:rPr>
                <w:rFonts w:ascii="宋体"/>
                <w:vanish/>
              </w:rPr>
            </w:pPr>
          </w:p>
        </w:tc>
        <w:tc>
          <w:tcPr>
            <w:tcW w:w="0" w:type="auto"/>
            <w:gridSpan w:val="3"/>
            <w:shd w:val="clear" w:color="auto" w:fill="auto"/>
          </w:tcPr>
          <w:p w14:paraId="33DA9BB3" w14:textId="77777777" w:rsidR="004D6A64" w:rsidRDefault="004D6A64">
            <w:pPr>
              <w:rPr>
                <w:rFonts w:ascii="宋体"/>
                <w:vanish/>
              </w:rPr>
            </w:pPr>
          </w:p>
        </w:tc>
        <w:tc>
          <w:tcPr>
            <w:tcW w:w="0" w:type="auto"/>
            <w:gridSpan w:val="3"/>
            <w:shd w:val="clear" w:color="auto" w:fill="auto"/>
          </w:tcPr>
          <w:p w14:paraId="33DA9BB4" w14:textId="77777777" w:rsidR="004D6A64" w:rsidRDefault="004D6A64">
            <w:pPr>
              <w:rPr>
                <w:rFonts w:ascii="宋体"/>
                <w:vanish/>
              </w:rPr>
            </w:pPr>
          </w:p>
        </w:tc>
        <w:tc>
          <w:tcPr>
            <w:tcW w:w="0" w:type="auto"/>
            <w:gridSpan w:val="3"/>
            <w:shd w:val="clear" w:color="auto" w:fill="auto"/>
          </w:tcPr>
          <w:p w14:paraId="33DA9BB5" w14:textId="77777777" w:rsidR="004D6A64" w:rsidRDefault="004D6A64">
            <w:pPr>
              <w:rPr>
                <w:rFonts w:ascii="宋体"/>
                <w:vanish/>
              </w:rPr>
            </w:pPr>
          </w:p>
        </w:tc>
        <w:tc>
          <w:tcPr>
            <w:tcW w:w="0" w:type="auto"/>
            <w:gridSpan w:val="3"/>
            <w:shd w:val="clear" w:color="auto" w:fill="auto"/>
          </w:tcPr>
          <w:p w14:paraId="33DA9BB6" w14:textId="77777777" w:rsidR="004D6A64" w:rsidRDefault="004D6A64">
            <w:pPr>
              <w:rPr>
                <w:rFonts w:ascii="宋体"/>
                <w:vanish/>
              </w:rPr>
            </w:pPr>
          </w:p>
        </w:tc>
        <w:tc>
          <w:tcPr>
            <w:tcW w:w="0" w:type="auto"/>
            <w:gridSpan w:val="3"/>
            <w:shd w:val="clear" w:color="auto" w:fill="auto"/>
          </w:tcPr>
          <w:p w14:paraId="33DA9BB7" w14:textId="77777777" w:rsidR="004D6A64" w:rsidRDefault="004D6A64">
            <w:pPr>
              <w:rPr>
                <w:rFonts w:ascii="宋体"/>
                <w:vanish/>
              </w:rPr>
            </w:pPr>
          </w:p>
        </w:tc>
        <w:tc>
          <w:tcPr>
            <w:tcW w:w="0" w:type="auto"/>
            <w:gridSpan w:val="3"/>
            <w:shd w:val="clear" w:color="auto" w:fill="auto"/>
          </w:tcPr>
          <w:p w14:paraId="33DA9BB8" w14:textId="77777777" w:rsidR="004D6A64" w:rsidRDefault="004D6A64">
            <w:pPr>
              <w:rPr>
                <w:rFonts w:ascii="宋体"/>
                <w:vanish/>
              </w:rPr>
            </w:pPr>
          </w:p>
        </w:tc>
        <w:tc>
          <w:tcPr>
            <w:tcW w:w="0" w:type="auto"/>
            <w:gridSpan w:val="3"/>
            <w:shd w:val="clear" w:color="auto" w:fill="auto"/>
          </w:tcPr>
          <w:p w14:paraId="33DA9BB9" w14:textId="77777777" w:rsidR="004D6A64" w:rsidRDefault="004D6A64">
            <w:pPr>
              <w:rPr>
                <w:rFonts w:ascii="宋体"/>
                <w:vanish/>
              </w:rPr>
            </w:pPr>
          </w:p>
        </w:tc>
        <w:tc>
          <w:tcPr>
            <w:tcW w:w="0" w:type="auto"/>
            <w:gridSpan w:val="3"/>
            <w:shd w:val="clear" w:color="auto" w:fill="auto"/>
          </w:tcPr>
          <w:p w14:paraId="33DA9BBA" w14:textId="77777777" w:rsidR="004D6A64" w:rsidRDefault="004D6A64">
            <w:pPr>
              <w:rPr>
                <w:rFonts w:ascii="宋体"/>
                <w:vanish/>
              </w:rPr>
            </w:pPr>
          </w:p>
        </w:tc>
        <w:tc>
          <w:tcPr>
            <w:tcW w:w="0" w:type="auto"/>
            <w:gridSpan w:val="3"/>
            <w:shd w:val="clear" w:color="auto" w:fill="auto"/>
          </w:tcPr>
          <w:p w14:paraId="33DA9BBB" w14:textId="77777777" w:rsidR="004D6A64" w:rsidRDefault="004D6A64">
            <w:pPr>
              <w:rPr>
                <w:rFonts w:ascii="宋体"/>
                <w:vanish/>
              </w:rPr>
            </w:pPr>
          </w:p>
        </w:tc>
        <w:tc>
          <w:tcPr>
            <w:tcW w:w="0" w:type="auto"/>
            <w:gridSpan w:val="3"/>
            <w:shd w:val="clear" w:color="auto" w:fill="auto"/>
          </w:tcPr>
          <w:p w14:paraId="33DA9BBC" w14:textId="77777777" w:rsidR="004D6A64" w:rsidRDefault="004D6A64">
            <w:pPr>
              <w:rPr>
                <w:rFonts w:ascii="宋体"/>
                <w:vanish/>
              </w:rPr>
            </w:pPr>
          </w:p>
        </w:tc>
        <w:tc>
          <w:tcPr>
            <w:tcW w:w="0" w:type="auto"/>
            <w:gridSpan w:val="3"/>
            <w:shd w:val="clear" w:color="auto" w:fill="auto"/>
          </w:tcPr>
          <w:p w14:paraId="33DA9BBD" w14:textId="77777777" w:rsidR="004D6A64" w:rsidRDefault="004D6A64">
            <w:pPr>
              <w:rPr>
                <w:rFonts w:ascii="宋体"/>
                <w:vanish/>
              </w:rPr>
            </w:pPr>
          </w:p>
        </w:tc>
        <w:tc>
          <w:tcPr>
            <w:tcW w:w="0" w:type="auto"/>
            <w:shd w:val="clear" w:color="auto" w:fill="auto"/>
          </w:tcPr>
          <w:p w14:paraId="33DA9BBE" w14:textId="77777777" w:rsidR="004D6A64" w:rsidRDefault="004D6A64">
            <w:pPr>
              <w:rPr>
                <w:rFonts w:ascii="宋体"/>
              </w:rPr>
            </w:pPr>
          </w:p>
        </w:tc>
        <w:tc>
          <w:tcPr>
            <w:tcW w:w="0" w:type="auto"/>
            <w:shd w:val="clear" w:color="auto" w:fill="auto"/>
          </w:tcPr>
          <w:p w14:paraId="33DA9BBF" w14:textId="77777777" w:rsidR="004D6A64" w:rsidRDefault="004D6A64">
            <w:pPr>
              <w:rPr>
                <w:rFonts w:ascii="宋体"/>
              </w:rPr>
            </w:pPr>
          </w:p>
        </w:tc>
        <w:tc>
          <w:tcPr>
            <w:tcW w:w="0" w:type="auto"/>
            <w:shd w:val="clear" w:color="auto" w:fill="auto"/>
          </w:tcPr>
          <w:p w14:paraId="33DA9BC0" w14:textId="77777777" w:rsidR="004D6A64" w:rsidRDefault="004D6A64">
            <w:pPr>
              <w:rPr>
                <w:rFonts w:ascii="宋体"/>
              </w:rPr>
            </w:pPr>
          </w:p>
        </w:tc>
        <w:tc>
          <w:tcPr>
            <w:tcW w:w="0" w:type="auto"/>
            <w:shd w:val="clear" w:color="auto" w:fill="auto"/>
          </w:tcPr>
          <w:p w14:paraId="33DA9BC1" w14:textId="77777777" w:rsidR="004D6A64" w:rsidRDefault="004D6A64">
            <w:pPr>
              <w:rPr>
                <w:rFonts w:ascii="宋体"/>
              </w:rPr>
            </w:pPr>
          </w:p>
        </w:tc>
        <w:tc>
          <w:tcPr>
            <w:tcW w:w="0" w:type="auto"/>
            <w:shd w:val="clear" w:color="auto" w:fill="auto"/>
          </w:tcPr>
          <w:p w14:paraId="33DA9BC2" w14:textId="77777777" w:rsidR="004D6A64" w:rsidRDefault="004D6A64">
            <w:pPr>
              <w:rPr>
                <w:rFonts w:ascii="宋体"/>
              </w:rPr>
            </w:pPr>
          </w:p>
        </w:tc>
        <w:tc>
          <w:tcPr>
            <w:tcW w:w="0" w:type="auto"/>
            <w:shd w:val="clear" w:color="auto" w:fill="auto"/>
          </w:tcPr>
          <w:p w14:paraId="33DA9BC3" w14:textId="77777777" w:rsidR="004D6A64" w:rsidRDefault="004D6A64">
            <w:pPr>
              <w:rPr>
                <w:rFonts w:ascii="宋体"/>
              </w:rPr>
            </w:pPr>
          </w:p>
        </w:tc>
        <w:tc>
          <w:tcPr>
            <w:tcW w:w="0" w:type="auto"/>
            <w:shd w:val="clear" w:color="auto" w:fill="auto"/>
          </w:tcPr>
          <w:p w14:paraId="33DA9BC4" w14:textId="77777777" w:rsidR="004D6A64" w:rsidRDefault="004D6A64">
            <w:pPr>
              <w:rPr>
                <w:rFonts w:ascii="宋体"/>
              </w:rPr>
            </w:pPr>
          </w:p>
        </w:tc>
        <w:tc>
          <w:tcPr>
            <w:tcW w:w="0" w:type="auto"/>
            <w:shd w:val="clear" w:color="auto" w:fill="auto"/>
          </w:tcPr>
          <w:p w14:paraId="33DA9BC5" w14:textId="77777777" w:rsidR="004D6A64" w:rsidRDefault="004D6A64">
            <w:pPr>
              <w:rPr>
                <w:rFonts w:ascii="宋体"/>
              </w:rPr>
            </w:pPr>
          </w:p>
        </w:tc>
        <w:tc>
          <w:tcPr>
            <w:tcW w:w="0" w:type="auto"/>
            <w:shd w:val="clear" w:color="auto" w:fill="auto"/>
          </w:tcPr>
          <w:p w14:paraId="33DA9BC6" w14:textId="77777777" w:rsidR="004D6A64" w:rsidRDefault="004D6A64">
            <w:pPr>
              <w:rPr>
                <w:rFonts w:ascii="宋体"/>
              </w:rPr>
            </w:pPr>
          </w:p>
        </w:tc>
      </w:tr>
      <w:tr w:rsidR="00506CD6" w14:paraId="33DA9BF3" w14:textId="77777777">
        <w:trPr>
          <w:jc w:val="center"/>
        </w:trPr>
        <w:tc>
          <w:tcPr>
            <w:tcW w:w="0" w:type="auto"/>
            <w:gridSpan w:val="3"/>
            <w:shd w:val="clear" w:color="auto" w:fill="FFFFFF"/>
            <w:tcMar>
              <w:top w:w="40" w:type="dxa"/>
              <w:left w:w="20" w:type="dxa"/>
              <w:bottom w:w="40" w:type="dxa"/>
              <w:right w:w="20" w:type="dxa"/>
            </w:tcMar>
            <w:vAlign w:val="bottom"/>
          </w:tcPr>
          <w:p w14:paraId="33DA9BC8" w14:textId="77777777" w:rsidR="004D6A64" w:rsidRDefault="00506CD6">
            <w:pPr>
              <w:textAlignment w:val="bottom"/>
            </w:pPr>
            <w:r>
              <w:rPr>
                <w:rFonts w:ascii="Times New Roman" w:eastAsia="宋体" w:hAnsi="Times New Roman"/>
                <w:b/>
                <w:bCs/>
                <w:color w:val="000000"/>
                <w:sz w:val="20"/>
                <w:szCs w:val="20"/>
              </w:rPr>
              <w:t>Balances as of July 31, 2020</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3DA9BC9" w14:textId="77777777" w:rsidR="004D6A64" w:rsidRDefault="00506CD6">
            <w:pPr>
              <w:jc w:val="right"/>
              <w:textAlignment w:val="bottom"/>
            </w:pPr>
            <w:r>
              <w:rPr>
                <w:rFonts w:ascii="Times New Roman" w:eastAsia="宋体" w:hAnsi="Times New Roman"/>
                <w:color w:val="000000"/>
                <w:sz w:val="20"/>
                <w:szCs w:val="20"/>
              </w:rPr>
              <w:t>753 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9BC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BCB"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9BCC"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9BCD" w14:textId="77777777" w:rsidR="004D6A64" w:rsidRDefault="00506CD6">
            <w:pPr>
              <w:jc w:val="right"/>
              <w:textAlignment w:val="bottom"/>
            </w:pPr>
            <w:r>
              <w:rPr>
                <w:rFonts w:ascii="Times New Roman" w:eastAsia="宋体" w:hAnsi="Times New Roman"/>
                <w:color w:val="000000"/>
                <w:sz w:val="20"/>
                <w:szCs w:val="20"/>
              </w:rPr>
              <w:t>16,356 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9BC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BCF" w14:textId="77777777" w:rsidR="004D6A64" w:rsidRDefault="004D6A6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3DA9BD0" w14:textId="77777777" w:rsidR="004D6A64" w:rsidRDefault="00506CD6">
            <w:pPr>
              <w:jc w:val="right"/>
              <w:textAlignment w:val="bottom"/>
            </w:pPr>
            <w:r>
              <w:rPr>
                <w:rFonts w:ascii="Times New Roman" w:eastAsia="宋体" w:hAnsi="Times New Roman"/>
                <w:color w:val="000000"/>
                <w:sz w:val="20"/>
                <w:szCs w:val="20"/>
              </w:rPr>
              <w:t>8 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9BD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BD2"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9BD3"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9BD4" w14:textId="77777777" w:rsidR="004D6A64" w:rsidRDefault="00506CD6">
            <w:pPr>
              <w:jc w:val="right"/>
              <w:textAlignment w:val="bottom"/>
            </w:pPr>
            <w:r>
              <w:rPr>
                <w:rFonts w:ascii="Times New Roman" w:eastAsia="宋体" w:hAnsi="Times New Roman"/>
                <w:color w:val="000000"/>
                <w:sz w:val="20"/>
                <w:szCs w:val="20"/>
              </w:rPr>
              <w:t>(305)</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9BD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BD6"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9BD7"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9BD8" w14:textId="77777777" w:rsidR="004D6A64" w:rsidRDefault="00506CD6">
            <w:pPr>
              <w:jc w:val="right"/>
              <w:textAlignment w:val="bottom"/>
            </w:pPr>
            <w:r>
              <w:rPr>
                <w:rFonts w:ascii="Times New Roman" w:eastAsia="宋体" w:hAnsi="Times New Roman"/>
                <w:color w:val="000000"/>
                <w:sz w:val="20"/>
                <w:szCs w:val="20"/>
              </w:rPr>
              <w:t>(15,810)</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9BD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BDA"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9BDB"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9BDC" w14:textId="77777777" w:rsidR="004D6A64" w:rsidRDefault="00506CD6">
            <w:pPr>
              <w:jc w:val="right"/>
              <w:textAlignment w:val="bottom"/>
            </w:pPr>
            <w:r>
              <w:rPr>
                <w:rFonts w:ascii="Times New Roman" w:eastAsia="宋体" w:hAnsi="Times New Roman"/>
                <w:color w:val="000000"/>
                <w:sz w:val="20"/>
                <w:szCs w:val="20"/>
              </w:rPr>
              <w:t>(660)</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9BD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BDE"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9BDF"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9BE0" w14:textId="77777777" w:rsidR="004D6A64" w:rsidRDefault="00506CD6">
            <w:pPr>
              <w:jc w:val="right"/>
              <w:textAlignment w:val="bottom"/>
            </w:pPr>
            <w:r>
              <w:rPr>
                <w:rFonts w:ascii="Times New Roman" w:eastAsia="宋体" w:hAnsi="Times New Roman"/>
                <w:color w:val="000000"/>
                <w:sz w:val="20"/>
                <w:szCs w:val="20"/>
              </w:rPr>
              <w:t>(419)</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9BE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BE2"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9BE3"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9BE4" w14:textId="77777777" w:rsidR="004D6A64" w:rsidRDefault="00506CD6">
            <w:pPr>
              <w:jc w:val="right"/>
              <w:textAlignment w:val="bottom"/>
            </w:pPr>
            <w:r>
              <w:rPr>
                <w:rFonts w:ascii="Times New Roman" w:eastAsia="宋体" w:hAnsi="Times New Roman"/>
                <w:color w:val="000000"/>
                <w:sz w:val="20"/>
                <w:szCs w:val="20"/>
              </w:rPr>
              <w:t>4,977 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9BE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BE6"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9BE7"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9BE8" w14:textId="77777777" w:rsidR="004D6A64" w:rsidRDefault="00506CD6">
            <w:pPr>
              <w:jc w:val="right"/>
              <w:textAlignment w:val="bottom"/>
            </w:pPr>
            <w:r>
              <w:rPr>
                <w:rFonts w:ascii="Times New Roman" w:eastAsia="宋体" w:hAnsi="Times New Roman"/>
                <w:color w:val="000000"/>
                <w:sz w:val="20"/>
                <w:szCs w:val="20"/>
              </w:rPr>
              <w:t>4,558 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9BE9" w14:textId="77777777" w:rsidR="004D6A64" w:rsidRDefault="004D6A64">
            <w:pPr>
              <w:jc w:val="right"/>
              <w:rPr>
                <w:rFonts w:ascii="宋体"/>
              </w:rPr>
            </w:pPr>
          </w:p>
        </w:tc>
        <w:tc>
          <w:tcPr>
            <w:tcW w:w="0" w:type="auto"/>
            <w:shd w:val="clear" w:color="auto" w:fill="auto"/>
          </w:tcPr>
          <w:p w14:paraId="33DA9BEA" w14:textId="77777777" w:rsidR="004D6A64" w:rsidRDefault="004D6A64">
            <w:pPr>
              <w:rPr>
                <w:rFonts w:ascii="宋体"/>
              </w:rPr>
            </w:pPr>
          </w:p>
        </w:tc>
        <w:tc>
          <w:tcPr>
            <w:tcW w:w="0" w:type="auto"/>
            <w:shd w:val="clear" w:color="auto" w:fill="auto"/>
          </w:tcPr>
          <w:p w14:paraId="33DA9BEB" w14:textId="77777777" w:rsidR="004D6A64" w:rsidRDefault="004D6A64">
            <w:pPr>
              <w:rPr>
                <w:rFonts w:ascii="宋体"/>
              </w:rPr>
            </w:pPr>
          </w:p>
        </w:tc>
        <w:tc>
          <w:tcPr>
            <w:tcW w:w="0" w:type="auto"/>
            <w:shd w:val="clear" w:color="auto" w:fill="auto"/>
          </w:tcPr>
          <w:p w14:paraId="33DA9BEC" w14:textId="77777777" w:rsidR="004D6A64" w:rsidRDefault="004D6A64">
            <w:pPr>
              <w:rPr>
                <w:rFonts w:ascii="宋体"/>
              </w:rPr>
            </w:pPr>
          </w:p>
        </w:tc>
        <w:tc>
          <w:tcPr>
            <w:tcW w:w="0" w:type="auto"/>
            <w:shd w:val="clear" w:color="auto" w:fill="auto"/>
          </w:tcPr>
          <w:p w14:paraId="33DA9BED" w14:textId="77777777" w:rsidR="004D6A64" w:rsidRDefault="004D6A64">
            <w:pPr>
              <w:rPr>
                <w:rFonts w:ascii="宋体"/>
              </w:rPr>
            </w:pPr>
          </w:p>
        </w:tc>
        <w:tc>
          <w:tcPr>
            <w:tcW w:w="0" w:type="auto"/>
            <w:shd w:val="clear" w:color="auto" w:fill="auto"/>
          </w:tcPr>
          <w:p w14:paraId="33DA9BEE" w14:textId="77777777" w:rsidR="004D6A64" w:rsidRDefault="004D6A64">
            <w:pPr>
              <w:rPr>
                <w:rFonts w:ascii="宋体"/>
              </w:rPr>
            </w:pPr>
          </w:p>
        </w:tc>
        <w:tc>
          <w:tcPr>
            <w:tcW w:w="0" w:type="auto"/>
            <w:shd w:val="clear" w:color="auto" w:fill="auto"/>
          </w:tcPr>
          <w:p w14:paraId="33DA9BEF" w14:textId="77777777" w:rsidR="004D6A64" w:rsidRDefault="004D6A64">
            <w:pPr>
              <w:rPr>
                <w:rFonts w:ascii="宋体"/>
              </w:rPr>
            </w:pPr>
          </w:p>
        </w:tc>
        <w:tc>
          <w:tcPr>
            <w:tcW w:w="0" w:type="auto"/>
            <w:shd w:val="clear" w:color="auto" w:fill="auto"/>
          </w:tcPr>
          <w:p w14:paraId="33DA9BF0" w14:textId="77777777" w:rsidR="004D6A64" w:rsidRDefault="004D6A64">
            <w:pPr>
              <w:rPr>
                <w:rFonts w:ascii="宋体"/>
              </w:rPr>
            </w:pPr>
          </w:p>
        </w:tc>
        <w:tc>
          <w:tcPr>
            <w:tcW w:w="0" w:type="auto"/>
            <w:shd w:val="clear" w:color="auto" w:fill="auto"/>
          </w:tcPr>
          <w:p w14:paraId="33DA9BF1" w14:textId="77777777" w:rsidR="004D6A64" w:rsidRDefault="004D6A64">
            <w:pPr>
              <w:rPr>
                <w:rFonts w:ascii="宋体"/>
              </w:rPr>
            </w:pPr>
          </w:p>
        </w:tc>
        <w:tc>
          <w:tcPr>
            <w:tcW w:w="0" w:type="auto"/>
            <w:shd w:val="clear" w:color="auto" w:fill="auto"/>
          </w:tcPr>
          <w:p w14:paraId="33DA9BF2" w14:textId="77777777" w:rsidR="004D6A64" w:rsidRDefault="004D6A64">
            <w:pPr>
              <w:rPr>
                <w:rFonts w:ascii="宋体"/>
              </w:rPr>
            </w:pPr>
          </w:p>
        </w:tc>
      </w:tr>
    </w:tbl>
    <w:p w14:paraId="33DA9BF4" w14:textId="77777777" w:rsidR="004D6A64" w:rsidRDefault="004D6A64"/>
    <w:p w14:paraId="33DA9BF5" w14:textId="77777777" w:rsidR="004D6A64" w:rsidRDefault="004D6A64"/>
    <w:p w14:paraId="33DA9BF6" w14:textId="77777777" w:rsidR="004D6A64" w:rsidRDefault="00506CD6">
      <w:pPr>
        <w:spacing w:after="60"/>
        <w:jc w:val="center"/>
      </w:pPr>
      <w:r>
        <w:rPr>
          <w:rFonts w:ascii="Times New Roman" w:eastAsia="宋体" w:hAnsi="Times New Roman"/>
          <w:color w:val="000000"/>
          <w:sz w:val="20"/>
          <w:szCs w:val="20"/>
        </w:rPr>
        <w:t>The accompanying notes are an integral part of these Condensed Consolidated Financial Statements.</w:t>
      </w:r>
    </w:p>
    <w:p w14:paraId="33DA9BF7" w14:textId="77777777" w:rsidR="004D6A64" w:rsidRDefault="004D6A64">
      <w:pPr>
        <w:spacing w:after="60"/>
        <w:jc w:val="center"/>
      </w:pPr>
    </w:p>
    <w:p w14:paraId="33DA9BF8" w14:textId="77777777" w:rsidR="004D6A64" w:rsidRDefault="004D6A64">
      <w:pPr>
        <w:jc w:val="center"/>
      </w:pPr>
    </w:p>
    <w:p w14:paraId="33DA9BF9" w14:textId="77777777" w:rsidR="004D6A64" w:rsidRDefault="00506CD6">
      <w:pPr>
        <w:jc w:val="center"/>
      </w:pPr>
      <w:r>
        <w:rPr>
          <w:rFonts w:ascii="Times New Roman" w:eastAsia="宋体" w:hAnsi="Times New Roman"/>
          <w:color w:val="000000"/>
          <w:sz w:val="20"/>
          <w:szCs w:val="20"/>
        </w:rPr>
        <w:t>10</w:t>
      </w:r>
    </w:p>
    <w:p w14:paraId="33DA9BFA" w14:textId="77777777" w:rsidR="004D6A64" w:rsidRDefault="004D6A64">
      <w:pPr>
        <w:jc w:val="center"/>
      </w:pPr>
    </w:p>
    <w:p w14:paraId="33DA9BFB" w14:textId="77777777" w:rsidR="004D6A64" w:rsidRDefault="00506CD6">
      <w:r>
        <w:pict w14:anchorId="33DAFACE">
          <v:rect id="_x0000_i1034" style="width:415.3pt;height:1.5pt" o:hralign="center" o:hrstd="t" o:hr="t" fillcolor="#a0a0a0" stroked="f"/>
        </w:pict>
      </w:r>
    </w:p>
    <w:p w14:paraId="33DA9BFC" w14:textId="77777777" w:rsidR="004D6A64" w:rsidRDefault="00506CD6">
      <w:hyperlink r:id="rId133" w:anchor="if3e0e1bf9ecd4bf69551d7a85f98d64a_10" w:history="1">
        <w:r>
          <w:rPr>
            <w:rStyle w:val="a5"/>
            <w:rFonts w:ascii="Times New Roman" w:eastAsia="宋体" w:hAnsi="Times New Roman"/>
            <w:sz w:val="20"/>
            <w:szCs w:val="20"/>
          </w:rPr>
          <w:t>Table of Contents</w:t>
        </w:r>
      </w:hyperlink>
    </w:p>
    <w:p w14:paraId="33DA9BFD" w14:textId="77777777" w:rsidR="004D6A64" w:rsidRDefault="00506CD6">
      <w:pPr>
        <w:spacing w:after="60"/>
        <w:jc w:val="center"/>
      </w:pPr>
      <w:r>
        <w:rPr>
          <w:rFonts w:ascii="Times New Roman" w:eastAsia="宋体" w:hAnsi="Times New Roman"/>
          <w:b/>
          <w:bCs/>
          <w:color w:val="000000"/>
          <w:sz w:val="20"/>
          <w:szCs w:val="20"/>
        </w:rPr>
        <w:t>DELL TECHNOLOGIES INC.</w:t>
      </w:r>
    </w:p>
    <w:p w14:paraId="33DA9BFE" w14:textId="77777777" w:rsidR="004D6A64" w:rsidRDefault="00506CD6">
      <w:pPr>
        <w:spacing w:after="60"/>
        <w:jc w:val="center"/>
      </w:pPr>
      <w:r>
        <w:rPr>
          <w:rFonts w:ascii="Times New Roman" w:eastAsia="宋体" w:hAnsi="Times New Roman"/>
          <w:b/>
          <w:bCs/>
          <w:color w:val="000000"/>
          <w:sz w:val="20"/>
          <w:szCs w:val="20"/>
        </w:rPr>
        <w:t xml:space="preserve">CONDENSED CONSOLIDATED STATEMENTS OF </w:t>
      </w:r>
      <w:r>
        <w:rPr>
          <w:rFonts w:ascii="Times New Roman" w:eastAsia="宋体" w:hAnsi="Times New Roman"/>
          <w:b/>
          <w:bCs/>
          <w:color w:val="000000"/>
          <w:sz w:val="20"/>
          <w:szCs w:val="20"/>
        </w:rPr>
        <w:t>STOCKHOLDERS’ EQUITY (DEFICIT)</w:t>
      </w:r>
    </w:p>
    <w:p w14:paraId="33DA9BFF" w14:textId="77777777" w:rsidR="004D6A64" w:rsidRDefault="00506CD6">
      <w:pPr>
        <w:jc w:val="center"/>
      </w:pPr>
      <w:r>
        <w:rPr>
          <w:rFonts w:ascii="Times New Roman" w:eastAsia="宋体" w:hAnsi="Times New Roman"/>
          <w:color w:val="000000"/>
          <w:sz w:val="20"/>
          <w:szCs w:val="20"/>
          <w:shd w:val="clear" w:color="auto" w:fill="FFFFFF"/>
        </w:rPr>
        <w:t>(continued; in millions</w:t>
      </w:r>
      <w:r>
        <w:rPr>
          <w:rFonts w:ascii="Times New Roman" w:eastAsia="宋体" w:hAnsi="Times New Roman"/>
          <w:color w:val="000000"/>
          <w:sz w:val="20"/>
          <w:szCs w:val="20"/>
        </w:rPr>
        <w:t>; unaudited)</w:t>
      </w:r>
    </w:p>
    <w:p w14:paraId="33DA9C00" w14:textId="77777777" w:rsidR="004D6A64" w:rsidRDefault="004D6A64">
      <w:pPr>
        <w:jc w:val="center"/>
      </w:pPr>
    </w:p>
    <w:p w14:paraId="33DA9C01" w14:textId="77777777" w:rsidR="004D6A64" w:rsidRDefault="00506CD6">
      <w:r>
        <w:rPr>
          <w:rFonts w:ascii="Times New Roman" w:eastAsia="宋体" w:hAnsi="Times New Roman"/>
          <w:b/>
          <w:bCs/>
          <w:color w:val="000000"/>
          <w:sz w:val="20"/>
          <w:szCs w:val="20"/>
        </w:rPr>
        <w:t>Three Months Ended August 2, 2019</w:t>
      </w:r>
    </w:p>
    <w:tbl>
      <w:tblPr>
        <w:tblW w:w="5000" w:type="pct"/>
        <w:tblCellMar>
          <w:top w:w="15" w:type="dxa"/>
          <w:left w:w="15" w:type="dxa"/>
          <w:bottom w:w="15" w:type="dxa"/>
          <w:right w:w="15" w:type="dxa"/>
        </w:tblCellMar>
        <w:tblLook w:val="04A0" w:firstRow="1" w:lastRow="0" w:firstColumn="1" w:lastColumn="0" w:noHBand="0" w:noVBand="1"/>
      </w:tblPr>
      <w:tblGrid>
        <w:gridCol w:w="140"/>
        <w:gridCol w:w="831"/>
        <w:gridCol w:w="36"/>
        <w:gridCol w:w="73"/>
        <w:gridCol w:w="323"/>
        <w:gridCol w:w="39"/>
        <w:gridCol w:w="40"/>
        <w:gridCol w:w="31"/>
        <w:gridCol w:w="34"/>
        <w:gridCol w:w="104"/>
        <w:gridCol w:w="423"/>
        <w:gridCol w:w="39"/>
        <w:gridCol w:w="40"/>
        <w:gridCol w:w="31"/>
        <w:gridCol w:w="34"/>
        <w:gridCol w:w="72"/>
        <w:gridCol w:w="323"/>
        <w:gridCol w:w="39"/>
        <w:gridCol w:w="40"/>
        <w:gridCol w:w="31"/>
        <w:gridCol w:w="34"/>
        <w:gridCol w:w="105"/>
        <w:gridCol w:w="392"/>
        <w:gridCol w:w="39"/>
        <w:gridCol w:w="40"/>
        <w:gridCol w:w="31"/>
        <w:gridCol w:w="34"/>
        <w:gridCol w:w="105"/>
        <w:gridCol w:w="628"/>
        <w:gridCol w:w="39"/>
        <w:gridCol w:w="40"/>
        <w:gridCol w:w="31"/>
        <w:gridCol w:w="34"/>
        <w:gridCol w:w="105"/>
        <w:gridCol w:w="746"/>
        <w:gridCol w:w="39"/>
        <w:gridCol w:w="40"/>
        <w:gridCol w:w="31"/>
        <w:gridCol w:w="34"/>
        <w:gridCol w:w="105"/>
        <w:gridCol w:w="656"/>
        <w:gridCol w:w="39"/>
        <w:gridCol w:w="40"/>
        <w:gridCol w:w="31"/>
        <w:gridCol w:w="34"/>
        <w:gridCol w:w="131"/>
        <w:gridCol w:w="762"/>
        <w:gridCol w:w="39"/>
        <w:gridCol w:w="40"/>
        <w:gridCol w:w="31"/>
        <w:gridCol w:w="34"/>
        <w:gridCol w:w="105"/>
        <w:gridCol w:w="655"/>
        <w:gridCol w:w="39"/>
        <w:gridCol w:w="40"/>
        <w:gridCol w:w="31"/>
        <w:gridCol w:w="34"/>
        <w:gridCol w:w="40"/>
        <w:gridCol w:w="31"/>
        <w:gridCol w:w="34"/>
        <w:gridCol w:w="40"/>
        <w:gridCol w:w="31"/>
        <w:gridCol w:w="44"/>
      </w:tblGrid>
      <w:tr w:rsidR="004D6A64" w14:paraId="33DA9C38" w14:textId="77777777">
        <w:trPr>
          <w:gridAfter w:val="9"/>
        </w:trPr>
        <w:tc>
          <w:tcPr>
            <w:tcW w:w="50" w:type="pct"/>
            <w:shd w:val="clear" w:color="auto" w:fill="auto"/>
          </w:tcPr>
          <w:p w14:paraId="33DA9C02" w14:textId="77777777" w:rsidR="004D6A64" w:rsidRDefault="004D6A64">
            <w:pPr>
              <w:rPr>
                <w:rFonts w:ascii="宋体"/>
              </w:rPr>
            </w:pPr>
          </w:p>
        </w:tc>
        <w:tc>
          <w:tcPr>
            <w:tcW w:w="1286" w:type="pct"/>
            <w:shd w:val="clear" w:color="auto" w:fill="auto"/>
          </w:tcPr>
          <w:p w14:paraId="33DA9C03" w14:textId="77777777" w:rsidR="004D6A64" w:rsidRDefault="004D6A64">
            <w:pPr>
              <w:rPr>
                <w:rFonts w:ascii="宋体"/>
              </w:rPr>
            </w:pPr>
          </w:p>
        </w:tc>
        <w:tc>
          <w:tcPr>
            <w:tcW w:w="5" w:type="pct"/>
            <w:shd w:val="clear" w:color="auto" w:fill="auto"/>
          </w:tcPr>
          <w:p w14:paraId="33DA9C04" w14:textId="77777777" w:rsidR="004D6A64" w:rsidRDefault="004D6A64">
            <w:pPr>
              <w:rPr>
                <w:rFonts w:ascii="宋体"/>
              </w:rPr>
            </w:pPr>
          </w:p>
        </w:tc>
        <w:tc>
          <w:tcPr>
            <w:tcW w:w="50" w:type="pct"/>
            <w:shd w:val="clear" w:color="auto" w:fill="auto"/>
          </w:tcPr>
          <w:p w14:paraId="33DA9C05" w14:textId="77777777" w:rsidR="004D6A64" w:rsidRDefault="004D6A64">
            <w:pPr>
              <w:rPr>
                <w:rFonts w:ascii="宋体"/>
              </w:rPr>
            </w:pPr>
          </w:p>
        </w:tc>
        <w:tc>
          <w:tcPr>
            <w:tcW w:w="264" w:type="pct"/>
            <w:shd w:val="clear" w:color="auto" w:fill="auto"/>
          </w:tcPr>
          <w:p w14:paraId="33DA9C06" w14:textId="77777777" w:rsidR="004D6A64" w:rsidRDefault="004D6A64">
            <w:pPr>
              <w:rPr>
                <w:rFonts w:ascii="宋体"/>
              </w:rPr>
            </w:pPr>
          </w:p>
        </w:tc>
        <w:tc>
          <w:tcPr>
            <w:tcW w:w="5" w:type="pct"/>
            <w:shd w:val="clear" w:color="auto" w:fill="auto"/>
          </w:tcPr>
          <w:p w14:paraId="33DA9C07" w14:textId="77777777" w:rsidR="004D6A64" w:rsidRDefault="004D6A64">
            <w:pPr>
              <w:rPr>
                <w:rFonts w:ascii="宋体"/>
              </w:rPr>
            </w:pPr>
          </w:p>
        </w:tc>
        <w:tc>
          <w:tcPr>
            <w:tcW w:w="5" w:type="pct"/>
            <w:shd w:val="clear" w:color="auto" w:fill="auto"/>
          </w:tcPr>
          <w:p w14:paraId="33DA9C08" w14:textId="77777777" w:rsidR="004D6A64" w:rsidRDefault="004D6A64">
            <w:pPr>
              <w:rPr>
                <w:rFonts w:ascii="宋体"/>
              </w:rPr>
            </w:pPr>
          </w:p>
        </w:tc>
        <w:tc>
          <w:tcPr>
            <w:tcW w:w="11" w:type="pct"/>
            <w:shd w:val="clear" w:color="auto" w:fill="auto"/>
          </w:tcPr>
          <w:p w14:paraId="33DA9C09" w14:textId="77777777" w:rsidR="004D6A64" w:rsidRDefault="004D6A64">
            <w:pPr>
              <w:rPr>
                <w:rFonts w:ascii="宋体"/>
              </w:rPr>
            </w:pPr>
          </w:p>
        </w:tc>
        <w:tc>
          <w:tcPr>
            <w:tcW w:w="5" w:type="pct"/>
            <w:shd w:val="clear" w:color="auto" w:fill="auto"/>
          </w:tcPr>
          <w:p w14:paraId="33DA9C0A" w14:textId="77777777" w:rsidR="004D6A64" w:rsidRDefault="004D6A64">
            <w:pPr>
              <w:rPr>
                <w:rFonts w:ascii="宋体"/>
              </w:rPr>
            </w:pPr>
          </w:p>
        </w:tc>
        <w:tc>
          <w:tcPr>
            <w:tcW w:w="50" w:type="pct"/>
            <w:shd w:val="clear" w:color="auto" w:fill="auto"/>
          </w:tcPr>
          <w:p w14:paraId="33DA9C0B" w14:textId="77777777" w:rsidR="004D6A64" w:rsidRDefault="004D6A64">
            <w:pPr>
              <w:rPr>
                <w:rFonts w:ascii="宋体"/>
              </w:rPr>
            </w:pPr>
          </w:p>
        </w:tc>
        <w:tc>
          <w:tcPr>
            <w:tcW w:w="307" w:type="pct"/>
            <w:shd w:val="clear" w:color="auto" w:fill="auto"/>
          </w:tcPr>
          <w:p w14:paraId="33DA9C0C" w14:textId="77777777" w:rsidR="004D6A64" w:rsidRDefault="004D6A64">
            <w:pPr>
              <w:rPr>
                <w:rFonts w:ascii="宋体"/>
              </w:rPr>
            </w:pPr>
          </w:p>
        </w:tc>
        <w:tc>
          <w:tcPr>
            <w:tcW w:w="5" w:type="pct"/>
            <w:shd w:val="clear" w:color="auto" w:fill="auto"/>
          </w:tcPr>
          <w:p w14:paraId="33DA9C0D" w14:textId="77777777" w:rsidR="004D6A64" w:rsidRDefault="004D6A64">
            <w:pPr>
              <w:rPr>
                <w:rFonts w:ascii="宋体"/>
              </w:rPr>
            </w:pPr>
          </w:p>
        </w:tc>
        <w:tc>
          <w:tcPr>
            <w:tcW w:w="5" w:type="pct"/>
            <w:shd w:val="clear" w:color="auto" w:fill="auto"/>
          </w:tcPr>
          <w:p w14:paraId="33DA9C0E" w14:textId="77777777" w:rsidR="004D6A64" w:rsidRDefault="004D6A64">
            <w:pPr>
              <w:rPr>
                <w:rFonts w:ascii="宋体"/>
              </w:rPr>
            </w:pPr>
          </w:p>
        </w:tc>
        <w:tc>
          <w:tcPr>
            <w:tcW w:w="11" w:type="pct"/>
            <w:shd w:val="clear" w:color="auto" w:fill="auto"/>
          </w:tcPr>
          <w:p w14:paraId="33DA9C0F" w14:textId="77777777" w:rsidR="004D6A64" w:rsidRDefault="004D6A64">
            <w:pPr>
              <w:rPr>
                <w:rFonts w:ascii="宋体"/>
              </w:rPr>
            </w:pPr>
          </w:p>
        </w:tc>
        <w:tc>
          <w:tcPr>
            <w:tcW w:w="5" w:type="pct"/>
            <w:shd w:val="clear" w:color="auto" w:fill="auto"/>
          </w:tcPr>
          <w:p w14:paraId="33DA9C10" w14:textId="77777777" w:rsidR="004D6A64" w:rsidRDefault="004D6A64">
            <w:pPr>
              <w:rPr>
                <w:rFonts w:ascii="宋体"/>
              </w:rPr>
            </w:pPr>
          </w:p>
        </w:tc>
        <w:tc>
          <w:tcPr>
            <w:tcW w:w="50" w:type="pct"/>
            <w:shd w:val="clear" w:color="auto" w:fill="auto"/>
          </w:tcPr>
          <w:p w14:paraId="33DA9C11" w14:textId="77777777" w:rsidR="004D6A64" w:rsidRDefault="004D6A64">
            <w:pPr>
              <w:rPr>
                <w:rFonts w:ascii="宋体"/>
              </w:rPr>
            </w:pPr>
          </w:p>
        </w:tc>
        <w:tc>
          <w:tcPr>
            <w:tcW w:w="264" w:type="pct"/>
            <w:shd w:val="clear" w:color="auto" w:fill="auto"/>
          </w:tcPr>
          <w:p w14:paraId="33DA9C12" w14:textId="77777777" w:rsidR="004D6A64" w:rsidRDefault="004D6A64">
            <w:pPr>
              <w:rPr>
                <w:rFonts w:ascii="宋体"/>
              </w:rPr>
            </w:pPr>
          </w:p>
        </w:tc>
        <w:tc>
          <w:tcPr>
            <w:tcW w:w="5" w:type="pct"/>
            <w:shd w:val="clear" w:color="auto" w:fill="auto"/>
          </w:tcPr>
          <w:p w14:paraId="33DA9C13" w14:textId="77777777" w:rsidR="004D6A64" w:rsidRDefault="004D6A64">
            <w:pPr>
              <w:rPr>
                <w:rFonts w:ascii="宋体"/>
              </w:rPr>
            </w:pPr>
          </w:p>
        </w:tc>
        <w:tc>
          <w:tcPr>
            <w:tcW w:w="5" w:type="pct"/>
            <w:shd w:val="clear" w:color="auto" w:fill="auto"/>
          </w:tcPr>
          <w:p w14:paraId="33DA9C14" w14:textId="77777777" w:rsidR="004D6A64" w:rsidRDefault="004D6A64">
            <w:pPr>
              <w:rPr>
                <w:rFonts w:ascii="宋体"/>
              </w:rPr>
            </w:pPr>
          </w:p>
        </w:tc>
        <w:tc>
          <w:tcPr>
            <w:tcW w:w="11" w:type="pct"/>
            <w:shd w:val="clear" w:color="auto" w:fill="auto"/>
          </w:tcPr>
          <w:p w14:paraId="33DA9C15" w14:textId="77777777" w:rsidR="004D6A64" w:rsidRDefault="004D6A64">
            <w:pPr>
              <w:rPr>
                <w:rFonts w:ascii="宋体"/>
              </w:rPr>
            </w:pPr>
          </w:p>
        </w:tc>
        <w:tc>
          <w:tcPr>
            <w:tcW w:w="5" w:type="pct"/>
            <w:shd w:val="clear" w:color="auto" w:fill="auto"/>
          </w:tcPr>
          <w:p w14:paraId="33DA9C16" w14:textId="77777777" w:rsidR="004D6A64" w:rsidRDefault="004D6A64">
            <w:pPr>
              <w:rPr>
                <w:rFonts w:ascii="宋体"/>
              </w:rPr>
            </w:pPr>
          </w:p>
        </w:tc>
        <w:tc>
          <w:tcPr>
            <w:tcW w:w="50" w:type="pct"/>
            <w:shd w:val="clear" w:color="auto" w:fill="auto"/>
          </w:tcPr>
          <w:p w14:paraId="33DA9C17" w14:textId="77777777" w:rsidR="004D6A64" w:rsidRDefault="004D6A64">
            <w:pPr>
              <w:rPr>
                <w:rFonts w:ascii="宋体"/>
              </w:rPr>
            </w:pPr>
          </w:p>
        </w:tc>
        <w:tc>
          <w:tcPr>
            <w:tcW w:w="307" w:type="pct"/>
            <w:shd w:val="clear" w:color="auto" w:fill="auto"/>
          </w:tcPr>
          <w:p w14:paraId="33DA9C18" w14:textId="77777777" w:rsidR="004D6A64" w:rsidRDefault="004D6A64">
            <w:pPr>
              <w:rPr>
                <w:rFonts w:ascii="宋体"/>
              </w:rPr>
            </w:pPr>
          </w:p>
        </w:tc>
        <w:tc>
          <w:tcPr>
            <w:tcW w:w="5" w:type="pct"/>
            <w:shd w:val="clear" w:color="auto" w:fill="auto"/>
          </w:tcPr>
          <w:p w14:paraId="33DA9C19" w14:textId="77777777" w:rsidR="004D6A64" w:rsidRDefault="004D6A64">
            <w:pPr>
              <w:rPr>
                <w:rFonts w:ascii="宋体"/>
              </w:rPr>
            </w:pPr>
          </w:p>
        </w:tc>
        <w:tc>
          <w:tcPr>
            <w:tcW w:w="5" w:type="pct"/>
            <w:shd w:val="clear" w:color="auto" w:fill="auto"/>
          </w:tcPr>
          <w:p w14:paraId="33DA9C1A" w14:textId="77777777" w:rsidR="004D6A64" w:rsidRDefault="004D6A64">
            <w:pPr>
              <w:rPr>
                <w:rFonts w:ascii="宋体"/>
              </w:rPr>
            </w:pPr>
          </w:p>
        </w:tc>
        <w:tc>
          <w:tcPr>
            <w:tcW w:w="11" w:type="pct"/>
            <w:shd w:val="clear" w:color="auto" w:fill="auto"/>
          </w:tcPr>
          <w:p w14:paraId="33DA9C1B" w14:textId="77777777" w:rsidR="004D6A64" w:rsidRDefault="004D6A64">
            <w:pPr>
              <w:rPr>
                <w:rFonts w:ascii="宋体"/>
              </w:rPr>
            </w:pPr>
          </w:p>
        </w:tc>
        <w:tc>
          <w:tcPr>
            <w:tcW w:w="5" w:type="pct"/>
            <w:shd w:val="clear" w:color="auto" w:fill="auto"/>
          </w:tcPr>
          <w:p w14:paraId="33DA9C1C" w14:textId="77777777" w:rsidR="004D6A64" w:rsidRDefault="004D6A64">
            <w:pPr>
              <w:rPr>
                <w:rFonts w:ascii="宋体"/>
              </w:rPr>
            </w:pPr>
          </w:p>
        </w:tc>
        <w:tc>
          <w:tcPr>
            <w:tcW w:w="50" w:type="pct"/>
            <w:shd w:val="clear" w:color="auto" w:fill="auto"/>
          </w:tcPr>
          <w:p w14:paraId="33DA9C1D" w14:textId="77777777" w:rsidR="004D6A64" w:rsidRDefault="004D6A64">
            <w:pPr>
              <w:rPr>
                <w:rFonts w:ascii="宋体"/>
              </w:rPr>
            </w:pPr>
          </w:p>
        </w:tc>
        <w:tc>
          <w:tcPr>
            <w:tcW w:w="361" w:type="pct"/>
            <w:shd w:val="clear" w:color="auto" w:fill="auto"/>
          </w:tcPr>
          <w:p w14:paraId="33DA9C1E" w14:textId="77777777" w:rsidR="004D6A64" w:rsidRDefault="004D6A64">
            <w:pPr>
              <w:rPr>
                <w:rFonts w:ascii="宋体"/>
              </w:rPr>
            </w:pPr>
          </w:p>
        </w:tc>
        <w:tc>
          <w:tcPr>
            <w:tcW w:w="5" w:type="pct"/>
            <w:shd w:val="clear" w:color="auto" w:fill="auto"/>
          </w:tcPr>
          <w:p w14:paraId="33DA9C1F" w14:textId="77777777" w:rsidR="004D6A64" w:rsidRDefault="004D6A64">
            <w:pPr>
              <w:rPr>
                <w:rFonts w:ascii="宋体"/>
              </w:rPr>
            </w:pPr>
          </w:p>
        </w:tc>
        <w:tc>
          <w:tcPr>
            <w:tcW w:w="5" w:type="pct"/>
            <w:shd w:val="clear" w:color="auto" w:fill="auto"/>
          </w:tcPr>
          <w:p w14:paraId="33DA9C20" w14:textId="77777777" w:rsidR="004D6A64" w:rsidRDefault="004D6A64">
            <w:pPr>
              <w:rPr>
                <w:rFonts w:ascii="宋体"/>
              </w:rPr>
            </w:pPr>
          </w:p>
        </w:tc>
        <w:tc>
          <w:tcPr>
            <w:tcW w:w="11" w:type="pct"/>
            <w:shd w:val="clear" w:color="auto" w:fill="auto"/>
          </w:tcPr>
          <w:p w14:paraId="33DA9C21" w14:textId="77777777" w:rsidR="004D6A64" w:rsidRDefault="004D6A64">
            <w:pPr>
              <w:rPr>
                <w:rFonts w:ascii="宋体"/>
              </w:rPr>
            </w:pPr>
          </w:p>
        </w:tc>
        <w:tc>
          <w:tcPr>
            <w:tcW w:w="5" w:type="pct"/>
            <w:shd w:val="clear" w:color="auto" w:fill="auto"/>
          </w:tcPr>
          <w:p w14:paraId="33DA9C22" w14:textId="77777777" w:rsidR="004D6A64" w:rsidRDefault="004D6A64">
            <w:pPr>
              <w:rPr>
                <w:rFonts w:ascii="宋体"/>
              </w:rPr>
            </w:pPr>
          </w:p>
        </w:tc>
        <w:tc>
          <w:tcPr>
            <w:tcW w:w="50" w:type="pct"/>
            <w:shd w:val="clear" w:color="auto" w:fill="auto"/>
          </w:tcPr>
          <w:p w14:paraId="33DA9C23" w14:textId="77777777" w:rsidR="004D6A64" w:rsidRDefault="004D6A64">
            <w:pPr>
              <w:rPr>
                <w:rFonts w:ascii="宋体"/>
              </w:rPr>
            </w:pPr>
          </w:p>
        </w:tc>
        <w:tc>
          <w:tcPr>
            <w:tcW w:w="415" w:type="pct"/>
            <w:shd w:val="clear" w:color="auto" w:fill="auto"/>
          </w:tcPr>
          <w:p w14:paraId="33DA9C24" w14:textId="77777777" w:rsidR="004D6A64" w:rsidRDefault="004D6A64">
            <w:pPr>
              <w:rPr>
                <w:rFonts w:ascii="宋体"/>
              </w:rPr>
            </w:pPr>
          </w:p>
        </w:tc>
        <w:tc>
          <w:tcPr>
            <w:tcW w:w="5" w:type="pct"/>
            <w:shd w:val="clear" w:color="auto" w:fill="auto"/>
          </w:tcPr>
          <w:p w14:paraId="33DA9C25" w14:textId="77777777" w:rsidR="004D6A64" w:rsidRDefault="004D6A64">
            <w:pPr>
              <w:rPr>
                <w:rFonts w:ascii="宋体"/>
              </w:rPr>
            </w:pPr>
          </w:p>
        </w:tc>
        <w:tc>
          <w:tcPr>
            <w:tcW w:w="5" w:type="pct"/>
            <w:shd w:val="clear" w:color="auto" w:fill="auto"/>
          </w:tcPr>
          <w:p w14:paraId="33DA9C26" w14:textId="77777777" w:rsidR="004D6A64" w:rsidRDefault="004D6A64">
            <w:pPr>
              <w:rPr>
                <w:rFonts w:ascii="宋体"/>
              </w:rPr>
            </w:pPr>
          </w:p>
        </w:tc>
        <w:tc>
          <w:tcPr>
            <w:tcW w:w="11" w:type="pct"/>
            <w:shd w:val="clear" w:color="auto" w:fill="auto"/>
          </w:tcPr>
          <w:p w14:paraId="33DA9C27" w14:textId="77777777" w:rsidR="004D6A64" w:rsidRDefault="004D6A64">
            <w:pPr>
              <w:rPr>
                <w:rFonts w:ascii="宋体"/>
              </w:rPr>
            </w:pPr>
          </w:p>
        </w:tc>
        <w:tc>
          <w:tcPr>
            <w:tcW w:w="5" w:type="pct"/>
            <w:shd w:val="clear" w:color="auto" w:fill="auto"/>
          </w:tcPr>
          <w:p w14:paraId="33DA9C28" w14:textId="77777777" w:rsidR="004D6A64" w:rsidRDefault="004D6A64">
            <w:pPr>
              <w:rPr>
                <w:rFonts w:ascii="宋体"/>
              </w:rPr>
            </w:pPr>
          </w:p>
        </w:tc>
        <w:tc>
          <w:tcPr>
            <w:tcW w:w="50" w:type="pct"/>
            <w:shd w:val="clear" w:color="auto" w:fill="auto"/>
          </w:tcPr>
          <w:p w14:paraId="33DA9C29" w14:textId="77777777" w:rsidR="004D6A64" w:rsidRDefault="004D6A64">
            <w:pPr>
              <w:rPr>
                <w:rFonts w:ascii="宋体"/>
              </w:rPr>
            </w:pPr>
          </w:p>
        </w:tc>
        <w:tc>
          <w:tcPr>
            <w:tcW w:w="377" w:type="pct"/>
            <w:shd w:val="clear" w:color="auto" w:fill="auto"/>
          </w:tcPr>
          <w:p w14:paraId="33DA9C2A" w14:textId="77777777" w:rsidR="004D6A64" w:rsidRDefault="004D6A64">
            <w:pPr>
              <w:rPr>
                <w:rFonts w:ascii="宋体"/>
              </w:rPr>
            </w:pPr>
          </w:p>
        </w:tc>
        <w:tc>
          <w:tcPr>
            <w:tcW w:w="5" w:type="pct"/>
            <w:shd w:val="clear" w:color="auto" w:fill="auto"/>
          </w:tcPr>
          <w:p w14:paraId="33DA9C2B" w14:textId="77777777" w:rsidR="004D6A64" w:rsidRDefault="004D6A64">
            <w:pPr>
              <w:rPr>
                <w:rFonts w:ascii="宋体"/>
              </w:rPr>
            </w:pPr>
          </w:p>
        </w:tc>
        <w:tc>
          <w:tcPr>
            <w:tcW w:w="5" w:type="pct"/>
            <w:shd w:val="clear" w:color="auto" w:fill="auto"/>
          </w:tcPr>
          <w:p w14:paraId="33DA9C2C" w14:textId="77777777" w:rsidR="004D6A64" w:rsidRDefault="004D6A64">
            <w:pPr>
              <w:rPr>
                <w:rFonts w:ascii="宋体"/>
              </w:rPr>
            </w:pPr>
          </w:p>
        </w:tc>
        <w:tc>
          <w:tcPr>
            <w:tcW w:w="11" w:type="pct"/>
            <w:shd w:val="clear" w:color="auto" w:fill="auto"/>
          </w:tcPr>
          <w:p w14:paraId="33DA9C2D" w14:textId="77777777" w:rsidR="004D6A64" w:rsidRDefault="004D6A64">
            <w:pPr>
              <w:rPr>
                <w:rFonts w:ascii="宋体"/>
              </w:rPr>
            </w:pPr>
          </w:p>
        </w:tc>
        <w:tc>
          <w:tcPr>
            <w:tcW w:w="5" w:type="pct"/>
            <w:shd w:val="clear" w:color="auto" w:fill="auto"/>
          </w:tcPr>
          <w:p w14:paraId="33DA9C2E" w14:textId="77777777" w:rsidR="004D6A64" w:rsidRDefault="004D6A64">
            <w:pPr>
              <w:rPr>
                <w:rFonts w:ascii="宋体"/>
              </w:rPr>
            </w:pPr>
          </w:p>
        </w:tc>
        <w:tc>
          <w:tcPr>
            <w:tcW w:w="50" w:type="pct"/>
            <w:shd w:val="clear" w:color="auto" w:fill="auto"/>
          </w:tcPr>
          <w:p w14:paraId="33DA9C2F" w14:textId="77777777" w:rsidR="004D6A64" w:rsidRDefault="004D6A64">
            <w:pPr>
              <w:rPr>
                <w:rFonts w:ascii="宋体"/>
              </w:rPr>
            </w:pPr>
          </w:p>
        </w:tc>
        <w:tc>
          <w:tcPr>
            <w:tcW w:w="318" w:type="pct"/>
            <w:shd w:val="clear" w:color="auto" w:fill="auto"/>
          </w:tcPr>
          <w:p w14:paraId="33DA9C30" w14:textId="77777777" w:rsidR="004D6A64" w:rsidRDefault="004D6A64">
            <w:pPr>
              <w:rPr>
                <w:rFonts w:ascii="宋体"/>
              </w:rPr>
            </w:pPr>
          </w:p>
        </w:tc>
        <w:tc>
          <w:tcPr>
            <w:tcW w:w="5" w:type="pct"/>
            <w:shd w:val="clear" w:color="auto" w:fill="auto"/>
          </w:tcPr>
          <w:p w14:paraId="33DA9C31" w14:textId="77777777" w:rsidR="004D6A64" w:rsidRDefault="004D6A64">
            <w:pPr>
              <w:rPr>
                <w:rFonts w:ascii="宋体"/>
              </w:rPr>
            </w:pPr>
          </w:p>
        </w:tc>
        <w:tc>
          <w:tcPr>
            <w:tcW w:w="5" w:type="pct"/>
            <w:shd w:val="clear" w:color="auto" w:fill="auto"/>
          </w:tcPr>
          <w:p w14:paraId="33DA9C32" w14:textId="77777777" w:rsidR="004D6A64" w:rsidRDefault="004D6A64">
            <w:pPr>
              <w:rPr>
                <w:rFonts w:ascii="宋体"/>
              </w:rPr>
            </w:pPr>
          </w:p>
        </w:tc>
        <w:tc>
          <w:tcPr>
            <w:tcW w:w="11" w:type="pct"/>
            <w:shd w:val="clear" w:color="auto" w:fill="auto"/>
          </w:tcPr>
          <w:p w14:paraId="33DA9C33" w14:textId="77777777" w:rsidR="004D6A64" w:rsidRDefault="004D6A64">
            <w:pPr>
              <w:rPr>
                <w:rFonts w:ascii="宋体"/>
              </w:rPr>
            </w:pPr>
          </w:p>
        </w:tc>
        <w:tc>
          <w:tcPr>
            <w:tcW w:w="5" w:type="pct"/>
            <w:shd w:val="clear" w:color="auto" w:fill="auto"/>
          </w:tcPr>
          <w:p w14:paraId="33DA9C34" w14:textId="77777777" w:rsidR="004D6A64" w:rsidRDefault="004D6A64">
            <w:pPr>
              <w:rPr>
                <w:rFonts w:ascii="宋体"/>
              </w:rPr>
            </w:pPr>
          </w:p>
        </w:tc>
        <w:tc>
          <w:tcPr>
            <w:tcW w:w="50" w:type="pct"/>
            <w:shd w:val="clear" w:color="auto" w:fill="auto"/>
          </w:tcPr>
          <w:p w14:paraId="33DA9C35" w14:textId="77777777" w:rsidR="004D6A64" w:rsidRDefault="004D6A64">
            <w:pPr>
              <w:rPr>
                <w:rFonts w:ascii="宋体"/>
              </w:rPr>
            </w:pPr>
          </w:p>
        </w:tc>
        <w:tc>
          <w:tcPr>
            <w:tcW w:w="373" w:type="pct"/>
            <w:shd w:val="clear" w:color="auto" w:fill="auto"/>
          </w:tcPr>
          <w:p w14:paraId="33DA9C36" w14:textId="77777777" w:rsidR="004D6A64" w:rsidRDefault="004D6A64">
            <w:pPr>
              <w:rPr>
                <w:rFonts w:ascii="宋体"/>
              </w:rPr>
            </w:pPr>
          </w:p>
        </w:tc>
        <w:tc>
          <w:tcPr>
            <w:tcW w:w="5" w:type="pct"/>
            <w:shd w:val="clear" w:color="auto" w:fill="auto"/>
          </w:tcPr>
          <w:p w14:paraId="33DA9C37" w14:textId="77777777" w:rsidR="004D6A64" w:rsidRDefault="004D6A64">
            <w:pPr>
              <w:rPr>
                <w:rFonts w:ascii="宋体"/>
              </w:rPr>
            </w:pPr>
          </w:p>
        </w:tc>
      </w:tr>
      <w:tr w:rsidR="004D6A64" w14:paraId="33DA9C4B" w14:textId="77777777">
        <w:tc>
          <w:tcPr>
            <w:tcW w:w="0" w:type="auto"/>
            <w:gridSpan w:val="3"/>
            <w:shd w:val="clear" w:color="auto" w:fill="auto"/>
            <w:tcMar>
              <w:left w:w="20" w:type="dxa"/>
              <w:right w:w="20" w:type="dxa"/>
            </w:tcMar>
            <w:vAlign w:val="bottom"/>
          </w:tcPr>
          <w:p w14:paraId="33DA9C39" w14:textId="77777777" w:rsidR="004D6A64" w:rsidRDefault="004D6A64">
            <w:pPr>
              <w:rPr>
                <w:rFonts w:ascii="宋体"/>
              </w:rPr>
            </w:pPr>
          </w:p>
        </w:tc>
        <w:tc>
          <w:tcPr>
            <w:tcW w:w="0" w:type="auto"/>
            <w:gridSpan w:val="9"/>
            <w:shd w:val="clear" w:color="auto" w:fill="auto"/>
            <w:tcMar>
              <w:top w:w="40" w:type="dxa"/>
              <w:left w:w="20" w:type="dxa"/>
              <w:bottom w:w="40" w:type="dxa"/>
              <w:right w:w="20" w:type="dxa"/>
            </w:tcMar>
            <w:vAlign w:val="bottom"/>
          </w:tcPr>
          <w:p w14:paraId="33DA9C3A" w14:textId="77777777" w:rsidR="004D6A64" w:rsidRDefault="00506CD6">
            <w:pPr>
              <w:jc w:val="center"/>
              <w:textAlignment w:val="bottom"/>
            </w:pPr>
            <w:r>
              <w:rPr>
                <w:rFonts w:ascii="Times New Roman" w:eastAsia="宋体" w:hAnsi="Times New Roman"/>
                <w:b/>
                <w:bCs/>
                <w:color w:val="000000"/>
                <w:sz w:val="18"/>
                <w:szCs w:val="18"/>
              </w:rPr>
              <w:t>Common Stock and Capital in Excess of Par Value</w:t>
            </w:r>
          </w:p>
        </w:tc>
        <w:tc>
          <w:tcPr>
            <w:tcW w:w="0" w:type="auto"/>
            <w:gridSpan w:val="3"/>
            <w:shd w:val="clear" w:color="auto" w:fill="auto"/>
          </w:tcPr>
          <w:p w14:paraId="33DA9C3B" w14:textId="77777777" w:rsidR="004D6A64" w:rsidRDefault="004D6A64">
            <w:pPr>
              <w:rPr>
                <w:rFonts w:ascii="宋体"/>
                <w:vanish/>
              </w:rPr>
            </w:pPr>
          </w:p>
        </w:tc>
        <w:tc>
          <w:tcPr>
            <w:tcW w:w="0" w:type="auto"/>
            <w:gridSpan w:val="3"/>
            <w:shd w:val="clear" w:color="auto" w:fill="auto"/>
          </w:tcPr>
          <w:p w14:paraId="33DA9C3C"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9C3D" w14:textId="77777777" w:rsidR="004D6A64" w:rsidRDefault="004D6A64">
            <w:pPr>
              <w:rPr>
                <w:rFonts w:ascii="宋体"/>
              </w:rPr>
            </w:pPr>
          </w:p>
        </w:tc>
        <w:tc>
          <w:tcPr>
            <w:tcW w:w="0" w:type="auto"/>
            <w:gridSpan w:val="9"/>
            <w:shd w:val="clear" w:color="auto" w:fill="auto"/>
            <w:tcMar>
              <w:top w:w="40" w:type="dxa"/>
              <w:left w:w="20" w:type="dxa"/>
              <w:bottom w:w="40" w:type="dxa"/>
              <w:right w:w="20" w:type="dxa"/>
            </w:tcMar>
            <w:vAlign w:val="bottom"/>
          </w:tcPr>
          <w:p w14:paraId="33DA9C3E" w14:textId="77777777" w:rsidR="004D6A64" w:rsidRDefault="00506CD6">
            <w:pPr>
              <w:jc w:val="center"/>
              <w:textAlignment w:val="bottom"/>
            </w:pPr>
            <w:r>
              <w:rPr>
                <w:rFonts w:ascii="Times New Roman" w:eastAsia="宋体" w:hAnsi="Times New Roman"/>
                <w:b/>
                <w:bCs/>
                <w:color w:val="000000"/>
                <w:sz w:val="18"/>
                <w:szCs w:val="18"/>
              </w:rPr>
              <w:t>Treasury Stock</w:t>
            </w:r>
          </w:p>
        </w:tc>
        <w:tc>
          <w:tcPr>
            <w:tcW w:w="0" w:type="auto"/>
            <w:gridSpan w:val="3"/>
            <w:shd w:val="clear" w:color="auto" w:fill="auto"/>
          </w:tcPr>
          <w:p w14:paraId="33DA9C3F" w14:textId="77777777" w:rsidR="004D6A64" w:rsidRDefault="004D6A64">
            <w:pPr>
              <w:rPr>
                <w:rFonts w:ascii="宋体"/>
                <w:vanish/>
              </w:rPr>
            </w:pPr>
          </w:p>
        </w:tc>
        <w:tc>
          <w:tcPr>
            <w:tcW w:w="0" w:type="auto"/>
            <w:gridSpan w:val="3"/>
            <w:shd w:val="clear" w:color="auto" w:fill="auto"/>
          </w:tcPr>
          <w:p w14:paraId="33DA9C40"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9C41"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9C42"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9C43"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9C44"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9C45"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9C46"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9C47"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9C48" w14:textId="77777777" w:rsidR="004D6A64" w:rsidRDefault="004D6A64">
            <w:pPr>
              <w:rPr>
                <w:rFonts w:ascii="宋体"/>
              </w:rPr>
            </w:pPr>
          </w:p>
        </w:tc>
        <w:tc>
          <w:tcPr>
            <w:tcW w:w="0" w:type="auto"/>
            <w:gridSpan w:val="2"/>
            <w:shd w:val="clear" w:color="auto" w:fill="auto"/>
            <w:tcMar>
              <w:left w:w="20" w:type="dxa"/>
              <w:right w:w="20" w:type="dxa"/>
            </w:tcMar>
            <w:vAlign w:val="bottom"/>
          </w:tcPr>
          <w:p w14:paraId="33DA9C49" w14:textId="77777777" w:rsidR="004D6A64" w:rsidRDefault="004D6A64">
            <w:pPr>
              <w:rPr>
                <w:rFonts w:ascii="宋体"/>
              </w:rPr>
            </w:pPr>
          </w:p>
        </w:tc>
        <w:tc>
          <w:tcPr>
            <w:tcW w:w="0" w:type="auto"/>
            <w:shd w:val="clear" w:color="auto" w:fill="auto"/>
            <w:tcMar>
              <w:left w:w="20" w:type="dxa"/>
              <w:right w:w="20" w:type="dxa"/>
            </w:tcMar>
            <w:vAlign w:val="bottom"/>
          </w:tcPr>
          <w:p w14:paraId="33DA9C4A" w14:textId="77777777" w:rsidR="004D6A64" w:rsidRDefault="004D6A64">
            <w:pPr>
              <w:rPr>
                <w:rFonts w:ascii="宋体"/>
              </w:rPr>
            </w:pPr>
          </w:p>
        </w:tc>
      </w:tr>
      <w:tr w:rsidR="004D6A64" w14:paraId="33DA9C67" w14:textId="77777777">
        <w:tc>
          <w:tcPr>
            <w:tcW w:w="0" w:type="auto"/>
            <w:gridSpan w:val="3"/>
            <w:shd w:val="clear" w:color="auto" w:fill="auto"/>
            <w:tcMar>
              <w:left w:w="20" w:type="dxa"/>
              <w:right w:w="20" w:type="dxa"/>
            </w:tcMar>
            <w:vAlign w:val="bottom"/>
          </w:tcPr>
          <w:p w14:paraId="33DA9C4C"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9C4D" w14:textId="77777777" w:rsidR="004D6A64" w:rsidRDefault="00506CD6">
            <w:pPr>
              <w:jc w:val="center"/>
              <w:textAlignment w:val="bottom"/>
            </w:pPr>
            <w:r>
              <w:rPr>
                <w:rFonts w:ascii="Times New Roman" w:eastAsia="宋体" w:hAnsi="Times New Roman"/>
                <w:b/>
                <w:bCs/>
                <w:color w:val="000000"/>
                <w:sz w:val="18"/>
                <w:szCs w:val="18"/>
              </w:rPr>
              <w:t>Issued Shares</w:t>
            </w:r>
          </w:p>
        </w:tc>
        <w:tc>
          <w:tcPr>
            <w:tcW w:w="0" w:type="auto"/>
            <w:gridSpan w:val="3"/>
            <w:tcBorders>
              <w:top w:val="single" w:sz="8" w:space="0" w:color="000000"/>
            </w:tcBorders>
            <w:shd w:val="clear" w:color="auto" w:fill="auto"/>
            <w:tcMar>
              <w:left w:w="20" w:type="dxa"/>
              <w:right w:w="20" w:type="dxa"/>
            </w:tcMar>
            <w:vAlign w:val="bottom"/>
          </w:tcPr>
          <w:p w14:paraId="33DA9C4E"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9C4F" w14:textId="77777777" w:rsidR="004D6A64" w:rsidRDefault="00506CD6">
            <w:pPr>
              <w:jc w:val="center"/>
              <w:textAlignment w:val="bottom"/>
            </w:pPr>
            <w:r>
              <w:rPr>
                <w:rFonts w:ascii="Times New Roman" w:eastAsia="宋体" w:hAnsi="Times New Roman"/>
                <w:b/>
                <w:bCs/>
                <w:color w:val="000000"/>
                <w:sz w:val="18"/>
                <w:szCs w:val="18"/>
              </w:rPr>
              <w:t>Amount</w:t>
            </w:r>
          </w:p>
        </w:tc>
        <w:tc>
          <w:tcPr>
            <w:tcW w:w="0" w:type="auto"/>
            <w:gridSpan w:val="3"/>
            <w:shd w:val="clear" w:color="auto" w:fill="auto"/>
            <w:tcMar>
              <w:left w:w="20" w:type="dxa"/>
              <w:right w:w="20" w:type="dxa"/>
            </w:tcMar>
            <w:vAlign w:val="bottom"/>
          </w:tcPr>
          <w:p w14:paraId="33DA9C50"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9C51" w14:textId="77777777" w:rsidR="004D6A64" w:rsidRDefault="00506CD6">
            <w:pPr>
              <w:jc w:val="center"/>
              <w:textAlignment w:val="bottom"/>
            </w:pPr>
            <w:r>
              <w:rPr>
                <w:rFonts w:ascii="Times New Roman" w:eastAsia="宋体" w:hAnsi="Times New Roman"/>
                <w:b/>
                <w:bCs/>
                <w:color w:val="000000"/>
                <w:sz w:val="18"/>
                <w:szCs w:val="18"/>
              </w:rPr>
              <w:t>Shares</w:t>
            </w:r>
          </w:p>
        </w:tc>
        <w:tc>
          <w:tcPr>
            <w:tcW w:w="0" w:type="auto"/>
            <w:gridSpan w:val="3"/>
            <w:tcBorders>
              <w:top w:val="single" w:sz="8" w:space="0" w:color="000000"/>
            </w:tcBorders>
            <w:shd w:val="clear" w:color="auto" w:fill="auto"/>
            <w:tcMar>
              <w:left w:w="20" w:type="dxa"/>
              <w:right w:w="20" w:type="dxa"/>
            </w:tcMar>
            <w:vAlign w:val="bottom"/>
          </w:tcPr>
          <w:p w14:paraId="33DA9C52"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9C53" w14:textId="77777777" w:rsidR="004D6A64" w:rsidRDefault="00506CD6">
            <w:pPr>
              <w:jc w:val="center"/>
              <w:textAlignment w:val="bottom"/>
            </w:pPr>
            <w:r>
              <w:rPr>
                <w:rFonts w:ascii="Times New Roman" w:eastAsia="宋体" w:hAnsi="Times New Roman"/>
                <w:b/>
                <w:bCs/>
                <w:color w:val="000000"/>
                <w:sz w:val="18"/>
                <w:szCs w:val="18"/>
              </w:rPr>
              <w:t>Amount</w:t>
            </w:r>
          </w:p>
        </w:tc>
        <w:tc>
          <w:tcPr>
            <w:tcW w:w="0" w:type="auto"/>
            <w:gridSpan w:val="3"/>
            <w:shd w:val="clear" w:color="auto" w:fill="auto"/>
            <w:tcMar>
              <w:left w:w="20" w:type="dxa"/>
              <w:right w:w="20" w:type="dxa"/>
            </w:tcMar>
            <w:vAlign w:val="bottom"/>
          </w:tcPr>
          <w:p w14:paraId="33DA9C54"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9C55" w14:textId="77777777" w:rsidR="004D6A64" w:rsidRDefault="00506CD6">
            <w:pPr>
              <w:jc w:val="center"/>
              <w:textAlignment w:val="bottom"/>
            </w:pPr>
            <w:r>
              <w:rPr>
                <w:rFonts w:ascii="Times New Roman" w:eastAsia="宋体" w:hAnsi="Times New Roman"/>
                <w:b/>
                <w:bCs/>
                <w:color w:val="000000"/>
                <w:sz w:val="18"/>
                <w:szCs w:val="18"/>
              </w:rPr>
              <w:t>Accumulated Deficit</w:t>
            </w:r>
          </w:p>
        </w:tc>
        <w:tc>
          <w:tcPr>
            <w:tcW w:w="0" w:type="auto"/>
            <w:gridSpan w:val="3"/>
            <w:shd w:val="clear" w:color="auto" w:fill="auto"/>
            <w:tcMar>
              <w:left w:w="20" w:type="dxa"/>
              <w:right w:w="20" w:type="dxa"/>
            </w:tcMar>
            <w:vAlign w:val="bottom"/>
          </w:tcPr>
          <w:p w14:paraId="33DA9C56"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9C57" w14:textId="77777777" w:rsidR="004D6A64" w:rsidRDefault="00506CD6">
            <w:pPr>
              <w:jc w:val="center"/>
              <w:textAlignment w:val="bottom"/>
            </w:pPr>
            <w:r>
              <w:rPr>
                <w:rFonts w:ascii="Times New Roman" w:eastAsia="宋体" w:hAnsi="Times New Roman"/>
                <w:b/>
                <w:bCs/>
                <w:color w:val="000000"/>
                <w:sz w:val="18"/>
                <w:szCs w:val="18"/>
              </w:rPr>
              <w:t xml:space="preserve">Accumulated Other </w:t>
            </w:r>
            <w:r>
              <w:rPr>
                <w:rFonts w:ascii="Times New Roman" w:eastAsia="宋体" w:hAnsi="Times New Roman"/>
                <w:b/>
                <w:bCs/>
                <w:color w:val="000000"/>
                <w:sz w:val="18"/>
                <w:szCs w:val="18"/>
              </w:rPr>
              <w:t>Comprehensive Income/(Loss)</w:t>
            </w:r>
          </w:p>
        </w:tc>
        <w:tc>
          <w:tcPr>
            <w:tcW w:w="0" w:type="auto"/>
            <w:gridSpan w:val="3"/>
            <w:shd w:val="clear" w:color="auto" w:fill="auto"/>
            <w:tcMar>
              <w:left w:w="20" w:type="dxa"/>
              <w:right w:w="20" w:type="dxa"/>
            </w:tcMar>
            <w:vAlign w:val="bottom"/>
          </w:tcPr>
          <w:p w14:paraId="33DA9C58"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9C59" w14:textId="77777777" w:rsidR="004D6A64" w:rsidRDefault="00506CD6">
            <w:pPr>
              <w:jc w:val="center"/>
              <w:textAlignment w:val="bottom"/>
            </w:pPr>
            <w:r>
              <w:rPr>
                <w:rFonts w:ascii="Times New Roman" w:eastAsia="宋体" w:hAnsi="Times New Roman"/>
                <w:b/>
                <w:bCs/>
                <w:color w:val="000000"/>
                <w:sz w:val="18"/>
                <w:szCs w:val="18"/>
              </w:rPr>
              <w:t>Dell Technologies Stockholders’ Equity (Deficit)</w:t>
            </w:r>
          </w:p>
        </w:tc>
        <w:tc>
          <w:tcPr>
            <w:tcW w:w="0" w:type="auto"/>
            <w:gridSpan w:val="3"/>
            <w:shd w:val="clear" w:color="auto" w:fill="auto"/>
            <w:tcMar>
              <w:left w:w="20" w:type="dxa"/>
              <w:right w:w="20" w:type="dxa"/>
            </w:tcMar>
            <w:vAlign w:val="bottom"/>
          </w:tcPr>
          <w:p w14:paraId="33DA9C5A"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9C5B" w14:textId="77777777" w:rsidR="004D6A64" w:rsidRDefault="00506CD6">
            <w:pPr>
              <w:jc w:val="center"/>
              <w:textAlignment w:val="bottom"/>
            </w:pPr>
            <w:r>
              <w:rPr>
                <w:rFonts w:ascii="Times New Roman" w:eastAsia="宋体" w:hAnsi="Times New Roman"/>
                <w:b/>
                <w:bCs/>
                <w:color w:val="000000"/>
                <w:sz w:val="18"/>
                <w:szCs w:val="18"/>
              </w:rPr>
              <w:t>Non-Controlling Interests</w:t>
            </w:r>
          </w:p>
        </w:tc>
        <w:tc>
          <w:tcPr>
            <w:tcW w:w="0" w:type="auto"/>
            <w:gridSpan w:val="3"/>
            <w:shd w:val="clear" w:color="auto" w:fill="auto"/>
            <w:tcMar>
              <w:left w:w="20" w:type="dxa"/>
              <w:right w:w="20" w:type="dxa"/>
            </w:tcMar>
            <w:vAlign w:val="bottom"/>
          </w:tcPr>
          <w:p w14:paraId="33DA9C5C"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9C5D" w14:textId="77777777" w:rsidR="004D6A64" w:rsidRDefault="00506CD6">
            <w:pPr>
              <w:jc w:val="center"/>
              <w:textAlignment w:val="bottom"/>
            </w:pPr>
            <w:r>
              <w:rPr>
                <w:rFonts w:ascii="Times New Roman" w:eastAsia="宋体" w:hAnsi="Times New Roman"/>
                <w:b/>
                <w:bCs/>
                <w:color w:val="000000"/>
                <w:sz w:val="18"/>
                <w:szCs w:val="18"/>
              </w:rPr>
              <w:t>Total Stockholders’ Equity (Deficit)</w:t>
            </w:r>
          </w:p>
        </w:tc>
        <w:tc>
          <w:tcPr>
            <w:tcW w:w="0" w:type="auto"/>
            <w:shd w:val="clear" w:color="auto" w:fill="auto"/>
          </w:tcPr>
          <w:p w14:paraId="33DA9C5E" w14:textId="77777777" w:rsidR="004D6A64" w:rsidRDefault="004D6A64">
            <w:pPr>
              <w:rPr>
                <w:rFonts w:ascii="宋体"/>
              </w:rPr>
            </w:pPr>
          </w:p>
        </w:tc>
        <w:tc>
          <w:tcPr>
            <w:tcW w:w="0" w:type="auto"/>
            <w:shd w:val="clear" w:color="auto" w:fill="auto"/>
          </w:tcPr>
          <w:p w14:paraId="33DA9C5F" w14:textId="77777777" w:rsidR="004D6A64" w:rsidRDefault="004D6A64">
            <w:pPr>
              <w:rPr>
                <w:rFonts w:ascii="宋体"/>
              </w:rPr>
            </w:pPr>
          </w:p>
        </w:tc>
        <w:tc>
          <w:tcPr>
            <w:tcW w:w="0" w:type="auto"/>
            <w:shd w:val="clear" w:color="auto" w:fill="auto"/>
          </w:tcPr>
          <w:p w14:paraId="33DA9C60" w14:textId="77777777" w:rsidR="004D6A64" w:rsidRDefault="004D6A64">
            <w:pPr>
              <w:rPr>
                <w:rFonts w:ascii="宋体"/>
              </w:rPr>
            </w:pPr>
          </w:p>
        </w:tc>
        <w:tc>
          <w:tcPr>
            <w:tcW w:w="0" w:type="auto"/>
            <w:shd w:val="clear" w:color="auto" w:fill="auto"/>
          </w:tcPr>
          <w:p w14:paraId="33DA9C61" w14:textId="77777777" w:rsidR="004D6A64" w:rsidRDefault="004D6A64">
            <w:pPr>
              <w:rPr>
                <w:rFonts w:ascii="宋体"/>
              </w:rPr>
            </w:pPr>
          </w:p>
        </w:tc>
        <w:tc>
          <w:tcPr>
            <w:tcW w:w="0" w:type="auto"/>
            <w:shd w:val="clear" w:color="auto" w:fill="auto"/>
          </w:tcPr>
          <w:p w14:paraId="33DA9C62" w14:textId="77777777" w:rsidR="004D6A64" w:rsidRDefault="004D6A64">
            <w:pPr>
              <w:rPr>
                <w:rFonts w:ascii="宋体"/>
              </w:rPr>
            </w:pPr>
          </w:p>
        </w:tc>
        <w:tc>
          <w:tcPr>
            <w:tcW w:w="0" w:type="auto"/>
            <w:shd w:val="clear" w:color="auto" w:fill="auto"/>
          </w:tcPr>
          <w:p w14:paraId="33DA9C63" w14:textId="77777777" w:rsidR="004D6A64" w:rsidRDefault="004D6A64">
            <w:pPr>
              <w:rPr>
                <w:rFonts w:ascii="宋体"/>
              </w:rPr>
            </w:pPr>
          </w:p>
        </w:tc>
        <w:tc>
          <w:tcPr>
            <w:tcW w:w="0" w:type="auto"/>
            <w:shd w:val="clear" w:color="auto" w:fill="auto"/>
          </w:tcPr>
          <w:p w14:paraId="33DA9C64" w14:textId="77777777" w:rsidR="004D6A64" w:rsidRDefault="004D6A64">
            <w:pPr>
              <w:rPr>
                <w:rFonts w:ascii="宋体"/>
              </w:rPr>
            </w:pPr>
          </w:p>
        </w:tc>
        <w:tc>
          <w:tcPr>
            <w:tcW w:w="0" w:type="auto"/>
            <w:shd w:val="clear" w:color="auto" w:fill="auto"/>
          </w:tcPr>
          <w:p w14:paraId="33DA9C65" w14:textId="77777777" w:rsidR="004D6A64" w:rsidRDefault="004D6A64">
            <w:pPr>
              <w:rPr>
                <w:rFonts w:ascii="宋体"/>
              </w:rPr>
            </w:pPr>
          </w:p>
        </w:tc>
        <w:tc>
          <w:tcPr>
            <w:tcW w:w="0" w:type="auto"/>
            <w:shd w:val="clear" w:color="auto" w:fill="auto"/>
          </w:tcPr>
          <w:p w14:paraId="33DA9C66" w14:textId="77777777" w:rsidR="004D6A64" w:rsidRDefault="004D6A64">
            <w:pPr>
              <w:rPr>
                <w:rFonts w:ascii="宋体"/>
              </w:rPr>
            </w:pPr>
          </w:p>
        </w:tc>
      </w:tr>
      <w:tr w:rsidR="00506CD6" w14:paraId="33DA9C93" w14:textId="77777777">
        <w:tc>
          <w:tcPr>
            <w:tcW w:w="0" w:type="auto"/>
            <w:gridSpan w:val="3"/>
            <w:shd w:val="clear" w:color="auto" w:fill="CCEEFF"/>
            <w:tcMar>
              <w:top w:w="40" w:type="dxa"/>
              <w:left w:w="20" w:type="dxa"/>
              <w:bottom w:w="40" w:type="dxa"/>
              <w:right w:w="20" w:type="dxa"/>
            </w:tcMar>
            <w:vAlign w:val="bottom"/>
          </w:tcPr>
          <w:p w14:paraId="33DA9C68" w14:textId="77777777" w:rsidR="004D6A64" w:rsidRDefault="00506CD6">
            <w:pPr>
              <w:textAlignment w:val="bottom"/>
            </w:pPr>
            <w:r>
              <w:rPr>
                <w:rFonts w:ascii="Times New Roman" w:eastAsia="宋体" w:hAnsi="Times New Roman"/>
                <w:b/>
                <w:bCs/>
                <w:color w:val="000000"/>
                <w:sz w:val="20"/>
                <w:szCs w:val="20"/>
              </w:rPr>
              <w:t>Balances as of May 3, 2019</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3DA9C69" w14:textId="77777777" w:rsidR="004D6A64" w:rsidRDefault="00506CD6">
            <w:pPr>
              <w:jc w:val="right"/>
              <w:textAlignment w:val="bottom"/>
            </w:pPr>
            <w:r>
              <w:rPr>
                <w:rFonts w:ascii="Times New Roman" w:eastAsia="宋体" w:hAnsi="Times New Roman"/>
                <w:color w:val="000000"/>
                <w:sz w:val="20"/>
                <w:szCs w:val="20"/>
              </w:rPr>
              <w:t>721 </w:t>
            </w:r>
          </w:p>
        </w:tc>
        <w:tc>
          <w:tcPr>
            <w:tcW w:w="0" w:type="auto"/>
            <w:tcBorders>
              <w:top w:val="single" w:sz="8" w:space="0" w:color="000000"/>
            </w:tcBorders>
            <w:shd w:val="clear" w:color="auto" w:fill="CCEEFF"/>
            <w:tcMar>
              <w:top w:w="40" w:type="dxa"/>
              <w:bottom w:w="40" w:type="dxa"/>
              <w:right w:w="20" w:type="dxa"/>
            </w:tcMar>
            <w:vAlign w:val="bottom"/>
          </w:tcPr>
          <w:p w14:paraId="33DA9C6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C6B" w14:textId="77777777" w:rsidR="004D6A64" w:rsidRDefault="004D6A64">
            <w:pPr>
              <w:jc w:val="right"/>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9C6C"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9C6D" w14:textId="77777777" w:rsidR="004D6A64" w:rsidRDefault="00506CD6">
            <w:pPr>
              <w:jc w:val="right"/>
              <w:textAlignment w:val="bottom"/>
            </w:pPr>
            <w:r>
              <w:rPr>
                <w:rFonts w:ascii="Times New Roman" w:eastAsia="宋体" w:hAnsi="Times New Roman"/>
                <w:color w:val="000000"/>
                <w:sz w:val="20"/>
                <w:szCs w:val="20"/>
              </w:rPr>
              <w:t>15,179 </w:t>
            </w:r>
          </w:p>
        </w:tc>
        <w:tc>
          <w:tcPr>
            <w:tcW w:w="0" w:type="auto"/>
            <w:tcBorders>
              <w:top w:val="single" w:sz="8" w:space="0" w:color="000000"/>
            </w:tcBorders>
            <w:shd w:val="clear" w:color="auto" w:fill="CCEEFF"/>
            <w:tcMar>
              <w:top w:w="40" w:type="dxa"/>
              <w:bottom w:w="40" w:type="dxa"/>
              <w:right w:w="20" w:type="dxa"/>
            </w:tcMar>
            <w:vAlign w:val="bottom"/>
          </w:tcPr>
          <w:p w14:paraId="33DA9C6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C6F" w14:textId="77777777" w:rsidR="004D6A64" w:rsidRDefault="004D6A6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3DA9C70" w14:textId="77777777" w:rsidR="004D6A64" w:rsidRDefault="00506CD6">
            <w:pPr>
              <w:jc w:val="right"/>
              <w:textAlignment w:val="bottom"/>
            </w:pPr>
            <w:r>
              <w:rPr>
                <w:rFonts w:ascii="Times New Roman" w:eastAsia="宋体" w:hAnsi="Times New Roman"/>
                <w:color w:val="000000"/>
                <w:sz w:val="20"/>
                <w:szCs w:val="20"/>
              </w:rPr>
              <w:t>2 </w:t>
            </w:r>
          </w:p>
        </w:tc>
        <w:tc>
          <w:tcPr>
            <w:tcW w:w="0" w:type="auto"/>
            <w:tcBorders>
              <w:top w:val="single" w:sz="8" w:space="0" w:color="000000"/>
            </w:tcBorders>
            <w:shd w:val="clear" w:color="auto" w:fill="CCEEFF"/>
            <w:tcMar>
              <w:top w:w="40" w:type="dxa"/>
              <w:bottom w:w="40" w:type="dxa"/>
              <w:right w:w="20" w:type="dxa"/>
            </w:tcMar>
            <w:vAlign w:val="bottom"/>
          </w:tcPr>
          <w:p w14:paraId="33DA9C7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C72" w14:textId="77777777" w:rsidR="004D6A64" w:rsidRDefault="004D6A64">
            <w:pPr>
              <w:jc w:val="right"/>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9C73"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9C74" w14:textId="77777777" w:rsidR="004D6A64" w:rsidRDefault="00506CD6">
            <w:pPr>
              <w:jc w:val="right"/>
              <w:textAlignment w:val="bottom"/>
            </w:pPr>
            <w:r>
              <w:rPr>
                <w:rFonts w:ascii="Times New Roman" w:eastAsia="宋体" w:hAnsi="Times New Roman"/>
                <w:color w:val="000000"/>
                <w:sz w:val="20"/>
                <w:szCs w:val="20"/>
              </w:rPr>
              <w:t>(65)</w:t>
            </w:r>
          </w:p>
        </w:tc>
        <w:tc>
          <w:tcPr>
            <w:tcW w:w="0" w:type="auto"/>
            <w:tcBorders>
              <w:top w:val="single" w:sz="8" w:space="0" w:color="000000"/>
            </w:tcBorders>
            <w:shd w:val="clear" w:color="auto" w:fill="CCEEFF"/>
            <w:tcMar>
              <w:top w:w="40" w:type="dxa"/>
              <w:bottom w:w="40" w:type="dxa"/>
              <w:right w:w="20" w:type="dxa"/>
            </w:tcMar>
            <w:vAlign w:val="bottom"/>
          </w:tcPr>
          <w:p w14:paraId="33DA9C7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C76" w14:textId="77777777" w:rsidR="004D6A64" w:rsidRDefault="004D6A64">
            <w:pPr>
              <w:jc w:val="right"/>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9C77"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9C78" w14:textId="77777777" w:rsidR="004D6A64" w:rsidRDefault="00506CD6">
            <w:pPr>
              <w:jc w:val="right"/>
              <w:textAlignment w:val="bottom"/>
            </w:pPr>
            <w:r>
              <w:rPr>
                <w:rFonts w:ascii="Times New Roman" w:eastAsia="宋体" w:hAnsi="Times New Roman"/>
                <w:color w:val="000000"/>
                <w:sz w:val="20"/>
                <w:szCs w:val="20"/>
              </w:rPr>
              <w:t>(21,053)</w:t>
            </w:r>
          </w:p>
        </w:tc>
        <w:tc>
          <w:tcPr>
            <w:tcW w:w="0" w:type="auto"/>
            <w:tcBorders>
              <w:top w:val="single" w:sz="8" w:space="0" w:color="000000"/>
            </w:tcBorders>
            <w:shd w:val="clear" w:color="auto" w:fill="CCEEFF"/>
            <w:tcMar>
              <w:top w:w="40" w:type="dxa"/>
              <w:bottom w:w="40" w:type="dxa"/>
              <w:right w:w="20" w:type="dxa"/>
            </w:tcMar>
            <w:vAlign w:val="bottom"/>
          </w:tcPr>
          <w:p w14:paraId="33DA9C79"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C7A" w14:textId="77777777" w:rsidR="004D6A64" w:rsidRDefault="004D6A64">
            <w:pPr>
              <w:jc w:val="right"/>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9C7B"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9C7C" w14:textId="77777777" w:rsidR="004D6A64" w:rsidRDefault="00506CD6">
            <w:pPr>
              <w:jc w:val="right"/>
              <w:textAlignment w:val="bottom"/>
            </w:pPr>
            <w:r>
              <w:rPr>
                <w:rFonts w:ascii="Times New Roman" w:eastAsia="宋体" w:hAnsi="Times New Roman"/>
                <w:color w:val="000000"/>
                <w:sz w:val="20"/>
                <w:szCs w:val="20"/>
              </w:rPr>
              <w:t>(525)</w:t>
            </w:r>
          </w:p>
        </w:tc>
        <w:tc>
          <w:tcPr>
            <w:tcW w:w="0" w:type="auto"/>
            <w:tcBorders>
              <w:top w:val="single" w:sz="8" w:space="0" w:color="000000"/>
            </w:tcBorders>
            <w:shd w:val="clear" w:color="auto" w:fill="CCEEFF"/>
            <w:tcMar>
              <w:top w:w="40" w:type="dxa"/>
              <w:bottom w:w="40" w:type="dxa"/>
              <w:right w:w="20" w:type="dxa"/>
            </w:tcMar>
            <w:vAlign w:val="bottom"/>
          </w:tcPr>
          <w:p w14:paraId="33DA9C7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C7E" w14:textId="77777777" w:rsidR="004D6A64" w:rsidRDefault="004D6A64">
            <w:pPr>
              <w:jc w:val="right"/>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9C7F"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9C80" w14:textId="77777777" w:rsidR="004D6A64" w:rsidRDefault="00506CD6">
            <w:pPr>
              <w:jc w:val="right"/>
              <w:textAlignment w:val="bottom"/>
            </w:pPr>
            <w:r>
              <w:rPr>
                <w:rFonts w:ascii="Times New Roman" w:eastAsia="宋体" w:hAnsi="Times New Roman"/>
                <w:color w:val="000000"/>
                <w:sz w:val="20"/>
                <w:szCs w:val="20"/>
              </w:rPr>
              <w:t>(6,464)</w:t>
            </w:r>
          </w:p>
        </w:tc>
        <w:tc>
          <w:tcPr>
            <w:tcW w:w="0" w:type="auto"/>
            <w:tcBorders>
              <w:top w:val="single" w:sz="8" w:space="0" w:color="000000"/>
            </w:tcBorders>
            <w:shd w:val="clear" w:color="auto" w:fill="CCEEFF"/>
            <w:tcMar>
              <w:top w:w="40" w:type="dxa"/>
              <w:bottom w:w="40" w:type="dxa"/>
              <w:right w:w="20" w:type="dxa"/>
            </w:tcMar>
            <w:vAlign w:val="bottom"/>
          </w:tcPr>
          <w:p w14:paraId="33DA9C8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C82" w14:textId="77777777" w:rsidR="004D6A64" w:rsidRDefault="004D6A64">
            <w:pPr>
              <w:jc w:val="right"/>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9C83"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9C84" w14:textId="77777777" w:rsidR="004D6A64" w:rsidRDefault="00506CD6">
            <w:pPr>
              <w:jc w:val="right"/>
              <w:textAlignment w:val="bottom"/>
            </w:pPr>
            <w:r>
              <w:rPr>
                <w:rFonts w:ascii="Times New Roman" w:eastAsia="宋体" w:hAnsi="Times New Roman"/>
                <w:color w:val="000000"/>
                <w:sz w:val="20"/>
                <w:szCs w:val="20"/>
              </w:rPr>
              <w:t>4,803 </w:t>
            </w:r>
          </w:p>
        </w:tc>
        <w:tc>
          <w:tcPr>
            <w:tcW w:w="0" w:type="auto"/>
            <w:tcBorders>
              <w:top w:val="single" w:sz="8" w:space="0" w:color="000000"/>
            </w:tcBorders>
            <w:shd w:val="clear" w:color="auto" w:fill="CCEEFF"/>
            <w:tcMar>
              <w:top w:w="40" w:type="dxa"/>
              <w:bottom w:w="40" w:type="dxa"/>
              <w:right w:w="20" w:type="dxa"/>
            </w:tcMar>
            <w:vAlign w:val="bottom"/>
          </w:tcPr>
          <w:p w14:paraId="33DA9C8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C86" w14:textId="77777777" w:rsidR="004D6A64" w:rsidRDefault="004D6A64">
            <w:pPr>
              <w:jc w:val="right"/>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9C87"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9C88" w14:textId="77777777" w:rsidR="004D6A64" w:rsidRDefault="00506CD6">
            <w:pPr>
              <w:jc w:val="right"/>
              <w:textAlignment w:val="bottom"/>
            </w:pPr>
            <w:r>
              <w:rPr>
                <w:rFonts w:ascii="Times New Roman" w:eastAsia="宋体" w:hAnsi="Times New Roman"/>
                <w:color w:val="000000"/>
                <w:sz w:val="20"/>
                <w:szCs w:val="20"/>
              </w:rPr>
              <w:t>(1,661)</w:t>
            </w:r>
          </w:p>
        </w:tc>
        <w:tc>
          <w:tcPr>
            <w:tcW w:w="0" w:type="auto"/>
            <w:tcBorders>
              <w:top w:val="single" w:sz="8" w:space="0" w:color="000000"/>
            </w:tcBorders>
            <w:shd w:val="clear" w:color="auto" w:fill="CCEEFF"/>
            <w:tcMar>
              <w:top w:w="40" w:type="dxa"/>
              <w:bottom w:w="40" w:type="dxa"/>
              <w:right w:w="20" w:type="dxa"/>
            </w:tcMar>
            <w:vAlign w:val="bottom"/>
          </w:tcPr>
          <w:p w14:paraId="33DA9C89" w14:textId="77777777" w:rsidR="004D6A64" w:rsidRDefault="004D6A64">
            <w:pPr>
              <w:jc w:val="right"/>
              <w:rPr>
                <w:rFonts w:ascii="宋体"/>
              </w:rPr>
            </w:pPr>
          </w:p>
        </w:tc>
        <w:tc>
          <w:tcPr>
            <w:tcW w:w="0" w:type="auto"/>
            <w:shd w:val="clear" w:color="auto" w:fill="auto"/>
          </w:tcPr>
          <w:p w14:paraId="33DA9C8A" w14:textId="77777777" w:rsidR="004D6A64" w:rsidRDefault="004D6A64">
            <w:pPr>
              <w:rPr>
                <w:rFonts w:ascii="宋体"/>
              </w:rPr>
            </w:pPr>
          </w:p>
        </w:tc>
        <w:tc>
          <w:tcPr>
            <w:tcW w:w="0" w:type="auto"/>
            <w:shd w:val="clear" w:color="auto" w:fill="auto"/>
          </w:tcPr>
          <w:p w14:paraId="33DA9C8B" w14:textId="77777777" w:rsidR="004D6A64" w:rsidRDefault="004D6A64">
            <w:pPr>
              <w:rPr>
                <w:rFonts w:ascii="宋体"/>
              </w:rPr>
            </w:pPr>
          </w:p>
        </w:tc>
        <w:tc>
          <w:tcPr>
            <w:tcW w:w="0" w:type="auto"/>
            <w:shd w:val="clear" w:color="auto" w:fill="auto"/>
          </w:tcPr>
          <w:p w14:paraId="33DA9C8C" w14:textId="77777777" w:rsidR="004D6A64" w:rsidRDefault="004D6A64">
            <w:pPr>
              <w:rPr>
                <w:rFonts w:ascii="宋体"/>
              </w:rPr>
            </w:pPr>
          </w:p>
        </w:tc>
        <w:tc>
          <w:tcPr>
            <w:tcW w:w="0" w:type="auto"/>
            <w:shd w:val="clear" w:color="auto" w:fill="auto"/>
          </w:tcPr>
          <w:p w14:paraId="33DA9C8D" w14:textId="77777777" w:rsidR="004D6A64" w:rsidRDefault="004D6A64">
            <w:pPr>
              <w:rPr>
                <w:rFonts w:ascii="宋体"/>
              </w:rPr>
            </w:pPr>
          </w:p>
        </w:tc>
        <w:tc>
          <w:tcPr>
            <w:tcW w:w="0" w:type="auto"/>
            <w:shd w:val="clear" w:color="auto" w:fill="auto"/>
          </w:tcPr>
          <w:p w14:paraId="33DA9C8E" w14:textId="77777777" w:rsidR="004D6A64" w:rsidRDefault="004D6A64">
            <w:pPr>
              <w:rPr>
                <w:rFonts w:ascii="宋体"/>
              </w:rPr>
            </w:pPr>
          </w:p>
        </w:tc>
        <w:tc>
          <w:tcPr>
            <w:tcW w:w="0" w:type="auto"/>
            <w:shd w:val="clear" w:color="auto" w:fill="auto"/>
          </w:tcPr>
          <w:p w14:paraId="33DA9C8F" w14:textId="77777777" w:rsidR="004D6A64" w:rsidRDefault="004D6A64">
            <w:pPr>
              <w:rPr>
                <w:rFonts w:ascii="宋体"/>
              </w:rPr>
            </w:pPr>
          </w:p>
        </w:tc>
        <w:tc>
          <w:tcPr>
            <w:tcW w:w="0" w:type="auto"/>
            <w:shd w:val="clear" w:color="auto" w:fill="auto"/>
          </w:tcPr>
          <w:p w14:paraId="33DA9C90" w14:textId="77777777" w:rsidR="004D6A64" w:rsidRDefault="004D6A64">
            <w:pPr>
              <w:rPr>
                <w:rFonts w:ascii="宋体"/>
              </w:rPr>
            </w:pPr>
          </w:p>
        </w:tc>
        <w:tc>
          <w:tcPr>
            <w:tcW w:w="0" w:type="auto"/>
            <w:shd w:val="clear" w:color="auto" w:fill="auto"/>
          </w:tcPr>
          <w:p w14:paraId="33DA9C91" w14:textId="77777777" w:rsidR="004D6A64" w:rsidRDefault="004D6A64">
            <w:pPr>
              <w:rPr>
                <w:rFonts w:ascii="宋体"/>
              </w:rPr>
            </w:pPr>
          </w:p>
        </w:tc>
        <w:tc>
          <w:tcPr>
            <w:tcW w:w="0" w:type="auto"/>
            <w:shd w:val="clear" w:color="auto" w:fill="auto"/>
          </w:tcPr>
          <w:p w14:paraId="33DA9C92" w14:textId="77777777" w:rsidR="004D6A64" w:rsidRDefault="004D6A64">
            <w:pPr>
              <w:rPr>
                <w:rFonts w:ascii="宋体"/>
              </w:rPr>
            </w:pPr>
          </w:p>
        </w:tc>
      </w:tr>
      <w:tr w:rsidR="00506CD6" w14:paraId="33DA9CB8" w14:textId="77777777">
        <w:tc>
          <w:tcPr>
            <w:tcW w:w="0" w:type="auto"/>
            <w:gridSpan w:val="3"/>
            <w:shd w:val="clear" w:color="auto" w:fill="FFFFFF"/>
            <w:tcMar>
              <w:top w:w="40" w:type="dxa"/>
              <w:left w:w="120" w:type="dxa"/>
              <w:bottom w:w="40" w:type="dxa"/>
              <w:right w:w="20" w:type="dxa"/>
            </w:tcMar>
            <w:vAlign w:val="bottom"/>
          </w:tcPr>
          <w:p w14:paraId="33DA9C94" w14:textId="77777777" w:rsidR="004D6A64" w:rsidRDefault="00506CD6">
            <w:pPr>
              <w:textAlignment w:val="bottom"/>
            </w:pPr>
            <w:r>
              <w:rPr>
                <w:rFonts w:ascii="Times New Roman" w:eastAsia="宋体" w:hAnsi="Times New Roman"/>
                <w:color w:val="000000"/>
                <w:sz w:val="20"/>
                <w:szCs w:val="20"/>
              </w:rPr>
              <w:t>Net income</w:t>
            </w:r>
          </w:p>
        </w:tc>
        <w:tc>
          <w:tcPr>
            <w:tcW w:w="0" w:type="auto"/>
            <w:gridSpan w:val="2"/>
            <w:shd w:val="clear" w:color="auto" w:fill="FFFFFF"/>
            <w:tcMar>
              <w:top w:w="40" w:type="dxa"/>
              <w:left w:w="20" w:type="dxa"/>
              <w:bottom w:w="40" w:type="dxa"/>
              <w:right w:w="0" w:type="dxa"/>
            </w:tcMar>
            <w:vAlign w:val="bottom"/>
          </w:tcPr>
          <w:p w14:paraId="33DA9C95"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C9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C97"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C98"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C9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C9A"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C9B"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C9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C9D"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C9E"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C9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CA0"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CA1" w14:textId="77777777" w:rsidR="004D6A64" w:rsidRDefault="00506CD6">
            <w:pPr>
              <w:jc w:val="right"/>
              <w:textAlignment w:val="bottom"/>
            </w:pPr>
            <w:r>
              <w:rPr>
                <w:rFonts w:ascii="Times New Roman" w:eastAsia="宋体" w:hAnsi="Times New Roman"/>
                <w:color w:val="000000"/>
                <w:sz w:val="20"/>
                <w:szCs w:val="20"/>
              </w:rPr>
              <w:t>3,416 </w:t>
            </w:r>
          </w:p>
        </w:tc>
        <w:tc>
          <w:tcPr>
            <w:tcW w:w="0" w:type="auto"/>
            <w:shd w:val="clear" w:color="auto" w:fill="FFFFFF"/>
            <w:tcMar>
              <w:top w:w="40" w:type="dxa"/>
              <w:bottom w:w="40" w:type="dxa"/>
              <w:right w:w="20" w:type="dxa"/>
            </w:tcMar>
            <w:vAlign w:val="bottom"/>
          </w:tcPr>
          <w:p w14:paraId="33DA9CA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CA3"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CA4"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CA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CA6"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CA7" w14:textId="77777777" w:rsidR="004D6A64" w:rsidRDefault="00506CD6">
            <w:pPr>
              <w:jc w:val="right"/>
              <w:textAlignment w:val="bottom"/>
            </w:pPr>
            <w:r>
              <w:rPr>
                <w:rFonts w:ascii="Times New Roman" w:eastAsia="宋体" w:hAnsi="Times New Roman"/>
                <w:color w:val="000000"/>
                <w:sz w:val="20"/>
                <w:szCs w:val="20"/>
              </w:rPr>
              <w:t>3,416 </w:t>
            </w:r>
          </w:p>
        </w:tc>
        <w:tc>
          <w:tcPr>
            <w:tcW w:w="0" w:type="auto"/>
            <w:shd w:val="clear" w:color="auto" w:fill="FFFFFF"/>
            <w:tcMar>
              <w:top w:w="40" w:type="dxa"/>
              <w:bottom w:w="40" w:type="dxa"/>
              <w:right w:w="20" w:type="dxa"/>
            </w:tcMar>
            <w:vAlign w:val="bottom"/>
          </w:tcPr>
          <w:p w14:paraId="33DA9CA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CA9"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CAA" w14:textId="77777777" w:rsidR="004D6A64" w:rsidRDefault="00506CD6">
            <w:pPr>
              <w:jc w:val="right"/>
              <w:textAlignment w:val="bottom"/>
            </w:pPr>
            <w:r>
              <w:rPr>
                <w:rFonts w:ascii="Times New Roman" w:eastAsia="宋体" w:hAnsi="Times New Roman"/>
                <w:color w:val="000000"/>
                <w:sz w:val="20"/>
                <w:szCs w:val="20"/>
              </w:rPr>
              <w:t>816 </w:t>
            </w:r>
          </w:p>
        </w:tc>
        <w:tc>
          <w:tcPr>
            <w:tcW w:w="0" w:type="auto"/>
            <w:shd w:val="clear" w:color="auto" w:fill="FFFFFF"/>
            <w:tcMar>
              <w:top w:w="40" w:type="dxa"/>
              <w:bottom w:w="40" w:type="dxa"/>
              <w:right w:w="20" w:type="dxa"/>
            </w:tcMar>
            <w:vAlign w:val="bottom"/>
          </w:tcPr>
          <w:p w14:paraId="33DA9CA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CAC"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CAD" w14:textId="77777777" w:rsidR="004D6A64" w:rsidRDefault="00506CD6">
            <w:pPr>
              <w:jc w:val="right"/>
              <w:textAlignment w:val="bottom"/>
            </w:pPr>
            <w:r>
              <w:rPr>
                <w:rFonts w:ascii="Times New Roman" w:eastAsia="宋体" w:hAnsi="Times New Roman"/>
                <w:color w:val="000000"/>
                <w:sz w:val="20"/>
                <w:szCs w:val="20"/>
              </w:rPr>
              <w:t>4,232 </w:t>
            </w:r>
          </w:p>
        </w:tc>
        <w:tc>
          <w:tcPr>
            <w:tcW w:w="0" w:type="auto"/>
            <w:shd w:val="clear" w:color="auto" w:fill="FFFFFF"/>
            <w:tcMar>
              <w:top w:w="40" w:type="dxa"/>
              <w:bottom w:w="40" w:type="dxa"/>
              <w:right w:w="20" w:type="dxa"/>
            </w:tcMar>
            <w:vAlign w:val="bottom"/>
          </w:tcPr>
          <w:p w14:paraId="33DA9CAE" w14:textId="77777777" w:rsidR="004D6A64" w:rsidRDefault="004D6A64">
            <w:pPr>
              <w:jc w:val="right"/>
              <w:rPr>
                <w:rFonts w:ascii="宋体"/>
              </w:rPr>
            </w:pPr>
          </w:p>
        </w:tc>
        <w:tc>
          <w:tcPr>
            <w:tcW w:w="0" w:type="auto"/>
            <w:shd w:val="clear" w:color="auto" w:fill="auto"/>
          </w:tcPr>
          <w:p w14:paraId="33DA9CAF" w14:textId="77777777" w:rsidR="004D6A64" w:rsidRDefault="004D6A64">
            <w:pPr>
              <w:rPr>
                <w:rFonts w:ascii="宋体"/>
              </w:rPr>
            </w:pPr>
          </w:p>
        </w:tc>
        <w:tc>
          <w:tcPr>
            <w:tcW w:w="0" w:type="auto"/>
            <w:shd w:val="clear" w:color="auto" w:fill="auto"/>
          </w:tcPr>
          <w:p w14:paraId="33DA9CB0" w14:textId="77777777" w:rsidR="004D6A64" w:rsidRDefault="004D6A64">
            <w:pPr>
              <w:rPr>
                <w:rFonts w:ascii="宋体"/>
              </w:rPr>
            </w:pPr>
          </w:p>
        </w:tc>
        <w:tc>
          <w:tcPr>
            <w:tcW w:w="0" w:type="auto"/>
            <w:shd w:val="clear" w:color="auto" w:fill="auto"/>
          </w:tcPr>
          <w:p w14:paraId="33DA9CB1" w14:textId="77777777" w:rsidR="004D6A64" w:rsidRDefault="004D6A64">
            <w:pPr>
              <w:rPr>
                <w:rFonts w:ascii="宋体"/>
              </w:rPr>
            </w:pPr>
          </w:p>
        </w:tc>
        <w:tc>
          <w:tcPr>
            <w:tcW w:w="0" w:type="auto"/>
            <w:shd w:val="clear" w:color="auto" w:fill="auto"/>
          </w:tcPr>
          <w:p w14:paraId="33DA9CB2" w14:textId="77777777" w:rsidR="004D6A64" w:rsidRDefault="004D6A64">
            <w:pPr>
              <w:rPr>
                <w:rFonts w:ascii="宋体"/>
              </w:rPr>
            </w:pPr>
          </w:p>
        </w:tc>
        <w:tc>
          <w:tcPr>
            <w:tcW w:w="0" w:type="auto"/>
            <w:shd w:val="clear" w:color="auto" w:fill="auto"/>
          </w:tcPr>
          <w:p w14:paraId="33DA9CB3" w14:textId="77777777" w:rsidR="004D6A64" w:rsidRDefault="004D6A64">
            <w:pPr>
              <w:rPr>
                <w:rFonts w:ascii="宋体"/>
              </w:rPr>
            </w:pPr>
          </w:p>
        </w:tc>
        <w:tc>
          <w:tcPr>
            <w:tcW w:w="0" w:type="auto"/>
            <w:shd w:val="clear" w:color="auto" w:fill="auto"/>
          </w:tcPr>
          <w:p w14:paraId="33DA9CB4" w14:textId="77777777" w:rsidR="004D6A64" w:rsidRDefault="004D6A64">
            <w:pPr>
              <w:rPr>
                <w:rFonts w:ascii="宋体"/>
              </w:rPr>
            </w:pPr>
          </w:p>
        </w:tc>
        <w:tc>
          <w:tcPr>
            <w:tcW w:w="0" w:type="auto"/>
            <w:shd w:val="clear" w:color="auto" w:fill="auto"/>
          </w:tcPr>
          <w:p w14:paraId="33DA9CB5" w14:textId="77777777" w:rsidR="004D6A64" w:rsidRDefault="004D6A64">
            <w:pPr>
              <w:rPr>
                <w:rFonts w:ascii="宋体"/>
              </w:rPr>
            </w:pPr>
          </w:p>
        </w:tc>
        <w:tc>
          <w:tcPr>
            <w:tcW w:w="0" w:type="auto"/>
            <w:shd w:val="clear" w:color="auto" w:fill="auto"/>
          </w:tcPr>
          <w:p w14:paraId="33DA9CB6" w14:textId="77777777" w:rsidR="004D6A64" w:rsidRDefault="004D6A64">
            <w:pPr>
              <w:rPr>
                <w:rFonts w:ascii="宋体"/>
              </w:rPr>
            </w:pPr>
          </w:p>
        </w:tc>
        <w:tc>
          <w:tcPr>
            <w:tcW w:w="0" w:type="auto"/>
            <w:shd w:val="clear" w:color="auto" w:fill="auto"/>
          </w:tcPr>
          <w:p w14:paraId="33DA9CB7" w14:textId="77777777" w:rsidR="004D6A64" w:rsidRDefault="004D6A64">
            <w:pPr>
              <w:rPr>
                <w:rFonts w:ascii="宋体"/>
              </w:rPr>
            </w:pPr>
          </w:p>
        </w:tc>
      </w:tr>
      <w:tr w:rsidR="00506CD6" w14:paraId="33DA9CDD" w14:textId="77777777">
        <w:tc>
          <w:tcPr>
            <w:tcW w:w="0" w:type="auto"/>
            <w:gridSpan w:val="3"/>
            <w:shd w:val="clear" w:color="auto" w:fill="CCEEFF"/>
            <w:tcMar>
              <w:top w:w="40" w:type="dxa"/>
              <w:left w:w="120" w:type="dxa"/>
              <w:bottom w:w="40" w:type="dxa"/>
              <w:right w:w="20" w:type="dxa"/>
            </w:tcMar>
            <w:vAlign w:val="bottom"/>
          </w:tcPr>
          <w:p w14:paraId="33DA9CB9" w14:textId="77777777" w:rsidR="004D6A64" w:rsidRDefault="00506CD6">
            <w:pPr>
              <w:textAlignment w:val="bottom"/>
            </w:pPr>
            <w:r>
              <w:rPr>
                <w:rFonts w:ascii="Times New Roman" w:eastAsia="宋体" w:hAnsi="Times New Roman"/>
                <w:color w:val="000000"/>
                <w:sz w:val="20"/>
                <w:szCs w:val="20"/>
              </w:rPr>
              <w:t>Foreign currency translation adjustments</w:t>
            </w:r>
          </w:p>
        </w:tc>
        <w:tc>
          <w:tcPr>
            <w:tcW w:w="0" w:type="auto"/>
            <w:gridSpan w:val="2"/>
            <w:shd w:val="clear" w:color="auto" w:fill="CCEEFF"/>
            <w:tcMar>
              <w:top w:w="40" w:type="dxa"/>
              <w:left w:w="20" w:type="dxa"/>
              <w:bottom w:w="40" w:type="dxa"/>
              <w:right w:w="0" w:type="dxa"/>
            </w:tcMar>
            <w:vAlign w:val="bottom"/>
          </w:tcPr>
          <w:p w14:paraId="33DA9CBA"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CB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CBC"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CBD"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CB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CBF"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CC0"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CC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CC2"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CC3"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CC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CC5"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CC6"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CC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CC8"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CC9" w14:textId="77777777" w:rsidR="004D6A64" w:rsidRDefault="00506CD6">
            <w:pPr>
              <w:jc w:val="right"/>
              <w:textAlignment w:val="bottom"/>
            </w:pPr>
            <w:r>
              <w:rPr>
                <w:rFonts w:ascii="Times New Roman" w:eastAsia="宋体" w:hAnsi="Times New Roman"/>
                <w:color w:val="000000"/>
                <w:sz w:val="20"/>
                <w:szCs w:val="20"/>
              </w:rPr>
              <w:t>(78)</w:t>
            </w:r>
          </w:p>
        </w:tc>
        <w:tc>
          <w:tcPr>
            <w:tcW w:w="0" w:type="auto"/>
            <w:shd w:val="clear" w:color="auto" w:fill="CCEEFF"/>
            <w:tcMar>
              <w:top w:w="40" w:type="dxa"/>
              <w:bottom w:w="40" w:type="dxa"/>
              <w:right w:w="20" w:type="dxa"/>
            </w:tcMar>
            <w:vAlign w:val="bottom"/>
          </w:tcPr>
          <w:p w14:paraId="33DA9CC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CCB"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CCC" w14:textId="77777777" w:rsidR="004D6A64" w:rsidRDefault="00506CD6">
            <w:pPr>
              <w:jc w:val="right"/>
              <w:textAlignment w:val="bottom"/>
            </w:pPr>
            <w:r>
              <w:rPr>
                <w:rFonts w:ascii="Times New Roman" w:eastAsia="宋体" w:hAnsi="Times New Roman"/>
                <w:color w:val="000000"/>
                <w:sz w:val="20"/>
                <w:szCs w:val="20"/>
              </w:rPr>
              <w:t>(78)</w:t>
            </w:r>
          </w:p>
        </w:tc>
        <w:tc>
          <w:tcPr>
            <w:tcW w:w="0" w:type="auto"/>
            <w:shd w:val="clear" w:color="auto" w:fill="CCEEFF"/>
            <w:tcMar>
              <w:top w:w="40" w:type="dxa"/>
              <w:bottom w:w="40" w:type="dxa"/>
              <w:right w:w="20" w:type="dxa"/>
            </w:tcMar>
            <w:vAlign w:val="bottom"/>
          </w:tcPr>
          <w:p w14:paraId="33DA9CC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CCE"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CCF"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CD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CD1"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CD2" w14:textId="77777777" w:rsidR="004D6A64" w:rsidRDefault="00506CD6">
            <w:pPr>
              <w:jc w:val="right"/>
              <w:textAlignment w:val="bottom"/>
            </w:pPr>
            <w:r>
              <w:rPr>
                <w:rFonts w:ascii="Times New Roman" w:eastAsia="宋体" w:hAnsi="Times New Roman"/>
                <w:color w:val="000000"/>
                <w:sz w:val="20"/>
                <w:szCs w:val="20"/>
              </w:rPr>
              <w:t>(78)</w:t>
            </w:r>
          </w:p>
        </w:tc>
        <w:tc>
          <w:tcPr>
            <w:tcW w:w="0" w:type="auto"/>
            <w:shd w:val="clear" w:color="auto" w:fill="CCEEFF"/>
            <w:tcMar>
              <w:top w:w="40" w:type="dxa"/>
              <w:bottom w:w="40" w:type="dxa"/>
              <w:right w:w="20" w:type="dxa"/>
            </w:tcMar>
            <w:vAlign w:val="bottom"/>
          </w:tcPr>
          <w:p w14:paraId="33DA9CD3" w14:textId="77777777" w:rsidR="004D6A64" w:rsidRDefault="004D6A64">
            <w:pPr>
              <w:jc w:val="right"/>
              <w:rPr>
                <w:rFonts w:ascii="宋体"/>
              </w:rPr>
            </w:pPr>
          </w:p>
        </w:tc>
        <w:tc>
          <w:tcPr>
            <w:tcW w:w="0" w:type="auto"/>
            <w:shd w:val="clear" w:color="auto" w:fill="auto"/>
          </w:tcPr>
          <w:p w14:paraId="33DA9CD4" w14:textId="77777777" w:rsidR="004D6A64" w:rsidRDefault="004D6A64">
            <w:pPr>
              <w:rPr>
                <w:rFonts w:ascii="宋体"/>
              </w:rPr>
            </w:pPr>
          </w:p>
        </w:tc>
        <w:tc>
          <w:tcPr>
            <w:tcW w:w="0" w:type="auto"/>
            <w:shd w:val="clear" w:color="auto" w:fill="auto"/>
          </w:tcPr>
          <w:p w14:paraId="33DA9CD5" w14:textId="77777777" w:rsidR="004D6A64" w:rsidRDefault="004D6A64">
            <w:pPr>
              <w:rPr>
                <w:rFonts w:ascii="宋体"/>
              </w:rPr>
            </w:pPr>
          </w:p>
        </w:tc>
        <w:tc>
          <w:tcPr>
            <w:tcW w:w="0" w:type="auto"/>
            <w:shd w:val="clear" w:color="auto" w:fill="auto"/>
          </w:tcPr>
          <w:p w14:paraId="33DA9CD6" w14:textId="77777777" w:rsidR="004D6A64" w:rsidRDefault="004D6A64">
            <w:pPr>
              <w:rPr>
                <w:rFonts w:ascii="宋体"/>
              </w:rPr>
            </w:pPr>
          </w:p>
        </w:tc>
        <w:tc>
          <w:tcPr>
            <w:tcW w:w="0" w:type="auto"/>
            <w:shd w:val="clear" w:color="auto" w:fill="auto"/>
          </w:tcPr>
          <w:p w14:paraId="33DA9CD7" w14:textId="77777777" w:rsidR="004D6A64" w:rsidRDefault="004D6A64">
            <w:pPr>
              <w:rPr>
                <w:rFonts w:ascii="宋体"/>
              </w:rPr>
            </w:pPr>
          </w:p>
        </w:tc>
        <w:tc>
          <w:tcPr>
            <w:tcW w:w="0" w:type="auto"/>
            <w:shd w:val="clear" w:color="auto" w:fill="auto"/>
          </w:tcPr>
          <w:p w14:paraId="33DA9CD8" w14:textId="77777777" w:rsidR="004D6A64" w:rsidRDefault="004D6A64">
            <w:pPr>
              <w:rPr>
                <w:rFonts w:ascii="宋体"/>
              </w:rPr>
            </w:pPr>
          </w:p>
        </w:tc>
        <w:tc>
          <w:tcPr>
            <w:tcW w:w="0" w:type="auto"/>
            <w:shd w:val="clear" w:color="auto" w:fill="auto"/>
          </w:tcPr>
          <w:p w14:paraId="33DA9CD9" w14:textId="77777777" w:rsidR="004D6A64" w:rsidRDefault="004D6A64">
            <w:pPr>
              <w:rPr>
                <w:rFonts w:ascii="宋体"/>
              </w:rPr>
            </w:pPr>
          </w:p>
        </w:tc>
        <w:tc>
          <w:tcPr>
            <w:tcW w:w="0" w:type="auto"/>
            <w:shd w:val="clear" w:color="auto" w:fill="auto"/>
          </w:tcPr>
          <w:p w14:paraId="33DA9CDA" w14:textId="77777777" w:rsidR="004D6A64" w:rsidRDefault="004D6A64">
            <w:pPr>
              <w:rPr>
                <w:rFonts w:ascii="宋体"/>
              </w:rPr>
            </w:pPr>
          </w:p>
        </w:tc>
        <w:tc>
          <w:tcPr>
            <w:tcW w:w="0" w:type="auto"/>
            <w:shd w:val="clear" w:color="auto" w:fill="auto"/>
          </w:tcPr>
          <w:p w14:paraId="33DA9CDB" w14:textId="77777777" w:rsidR="004D6A64" w:rsidRDefault="004D6A64">
            <w:pPr>
              <w:rPr>
                <w:rFonts w:ascii="宋体"/>
              </w:rPr>
            </w:pPr>
          </w:p>
        </w:tc>
        <w:tc>
          <w:tcPr>
            <w:tcW w:w="0" w:type="auto"/>
            <w:shd w:val="clear" w:color="auto" w:fill="auto"/>
          </w:tcPr>
          <w:p w14:paraId="33DA9CDC" w14:textId="77777777" w:rsidR="004D6A64" w:rsidRDefault="004D6A64">
            <w:pPr>
              <w:rPr>
                <w:rFonts w:ascii="宋体"/>
              </w:rPr>
            </w:pPr>
          </w:p>
        </w:tc>
      </w:tr>
      <w:tr w:rsidR="004D6A64" w14:paraId="33DA9CF9" w14:textId="77777777">
        <w:trPr>
          <w:hidden/>
        </w:trPr>
        <w:tc>
          <w:tcPr>
            <w:tcW w:w="0" w:type="auto"/>
            <w:gridSpan w:val="3"/>
            <w:shd w:val="clear" w:color="auto" w:fill="auto"/>
          </w:tcPr>
          <w:p w14:paraId="33DA9CDE" w14:textId="77777777" w:rsidR="004D6A64" w:rsidRDefault="004D6A64">
            <w:pPr>
              <w:rPr>
                <w:rFonts w:ascii="宋体"/>
                <w:vanish/>
              </w:rPr>
            </w:pPr>
          </w:p>
        </w:tc>
        <w:tc>
          <w:tcPr>
            <w:tcW w:w="0" w:type="auto"/>
            <w:gridSpan w:val="3"/>
            <w:shd w:val="clear" w:color="auto" w:fill="auto"/>
          </w:tcPr>
          <w:p w14:paraId="33DA9CDF" w14:textId="77777777" w:rsidR="004D6A64" w:rsidRDefault="004D6A64">
            <w:pPr>
              <w:rPr>
                <w:rFonts w:ascii="宋体"/>
                <w:vanish/>
              </w:rPr>
            </w:pPr>
          </w:p>
        </w:tc>
        <w:tc>
          <w:tcPr>
            <w:tcW w:w="0" w:type="auto"/>
            <w:gridSpan w:val="3"/>
            <w:shd w:val="clear" w:color="auto" w:fill="auto"/>
          </w:tcPr>
          <w:p w14:paraId="33DA9CE0" w14:textId="77777777" w:rsidR="004D6A64" w:rsidRDefault="004D6A64">
            <w:pPr>
              <w:rPr>
                <w:rFonts w:ascii="宋体"/>
                <w:vanish/>
              </w:rPr>
            </w:pPr>
          </w:p>
        </w:tc>
        <w:tc>
          <w:tcPr>
            <w:tcW w:w="0" w:type="auto"/>
            <w:gridSpan w:val="3"/>
            <w:shd w:val="clear" w:color="auto" w:fill="auto"/>
          </w:tcPr>
          <w:p w14:paraId="33DA9CE1" w14:textId="77777777" w:rsidR="004D6A64" w:rsidRDefault="004D6A64">
            <w:pPr>
              <w:rPr>
                <w:rFonts w:ascii="宋体"/>
                <w:vanish/>
              </w:rPr>
            </w:pPr>
          </w:p>
        </w:tc>
        <w:tc>
          <w:tcPr>
            <w:tcW w:w="0" w:type="auto"/>
            <w:gridSpan w:val="3"/>
            <w:shd w:val="clear" w:color="auto" w:fill="auto"/>
          </w:tcPr>
          <w:p w14:paraId="33DA9CE2" w14:textId="77777777" w:rsidR="004D6A64" w:rsidRDefault="004D6A64">
            <w:pPr>
              <w:rPr>
                <w:rFonts w:ascii="宋体"/>
                <w:vanish/>
              </w:rPr>
            </w:pPr>
          </w:p>
        </w:tc>
        <w:tc>
          <w:tcPr>
            <w:tcW w:w="0" w:type="auto"/>
            <w:gridSpan w:val="3"/>
            <w:shd w:val="clear" w:color="auto" w:fill="auto"/>
          </w:tcPr>
          <w:p w14:paraId="33DA9CE3" w14:textId="77777777" w:rsidR="004D6A64" w:rsidRDefault="004D6A64">
            <w:pPr>
              <w:rPr>
                <w:rFonts w:ascii="宋体"/>
                <w:vanish/>
              </w:rPr>
            </w:pPr>
          </w:p>
        </w:tc>
        <w:tc>
          <w:tcPr>
            <w:tcW w:w="0" w:type="auto"/>
            <w:gridSpan w:val="3"/>
            <w:shd w:val="clear" w:color="auto" w:fill="auto"/>
          </w:tcPr>
          <w:p w14:paraId="33DA9CE4" w14:textId="77777777" w:rsidR="004D6A64" w:rsidRDefault="004D6A64">
            <w:pPr>
              <w:rPr>
                <w:rFonts w:ascii="宋体"/>
                <w:vanish/>
              </w:rPr>
            </w:pPr>
          </w:p>
        </w:tc>
        <w:tc>
          <w:tcPr>
            <w:tcW w:w="0" w:type="auto"/>
            <w:gridSpan w:val="3"/>
            <w:shd w:val="clear" w:color="auto" w:fill="auto"/>
          </w:tcPr>
          <w:p w14:paraId="33DA9CE5" w14:textId="77777777" w:rsidR="004D6A64" w:rsidRDefault="004D6A64">
            <w:pPr>
              <w:rPr>
                <w:rFonts w:ascii="宋体"/>
                <w:vanish/>
              </w:rPr>
            </w:pPr>
          </w:p>
        </w:tc>
        <w:tc>
          <w:tcPr>
            <w:tcW w:w="0" w:type="auto"/>
            <w:gridSpan w:val="3"/>
            <w:shd w:val="clear" w:color="auto" w:fill="auto"/>
          </w:tcPr>
          <w:p w14:paraId="33DA9CE6" w14:textId="77777777" w:rsidR="004D6A64" w:rsidRDefault="004D6A64">
            <w:pPr>
              <w:rPr>
                <w:rFonts w:ascii="宋体"/>
                <w:vanish/>
              </w:rPr>
            </w:pPr>
          </w:p>
        </w:tc>
        <w:tc>
          <w:tcPr>
            <w:tcW w:w="0" w:type="auto"/>
            <w:gridSpan w:val="3"/>
            <w:shd w:val="clear" w:color="auto" w:fill="auto"/>
          </w:tcPr>
          <w:p w14:paraId="33DA9CE7" w14:textId="77777777" w:rsidR="004D6A64" w:rsidRDefault="004D6A64">
            <w:pPr>
              <w:rPr>
                <w:rFonts w:ascii="宋体"/>
                <w:vanish/>
              </w:rPr>
            </w:pPr>
          </w:p>
        </w:tc>
        <w:tc>
          <w:tcPr>
            <w:tcW w:w="0" w:type="auto"/>
            <w:gridSpan w:val="3"/>
            <w:shd w:val="clear" w:color="auto" w:fill="auto"/>
          </w:tcPr>
          <w:p w14:paraId="33DA9CE8" w14:textId="77777777" w:rsidR="004D6A64" w:rsidRDefault="004D6A64">
            <w:pPr>
              <w:rPr>
                <w:rFonts w:ascii="宋体"/>
                <w:vanish/>
              </w:rPr>
            </w:pPr>
          </w:p>
        </w:tc>
        <w:tc>
          <w:tcPr>
            <w:tcW w:w="0" w:type="auto"/>
            <w:gridSpan w:val="3"/>
            <w:shd w:val="clear" w:color="auto" w:fill="auto"/>
          </w:tcPr>
          <w:p w14:paraId="33DA9CE9" w14:textId="77777777" w:rsidR="004D6A64" w:rsidRDefault="004D6A64">
            <w:pPr>
              <w:rPr>
                <w:rFonts w:ascii="宋体"/>
                <w:vanish/>
              </w:rPr>
            </w:pPr>
          </w:p>
        </w:tc>
        <w:tc>
          <w:tcPr>
            <w:tcW w:w="0" w:type="auto"/>
            <w:gridSpan w:val="3"/>
            <w:shd w:val="clear" w:color="auto" w:fill="auto"/>
          </w:tcPr>
          <w:p w14:paraId="33DA9CEA" w14:textId="77777777" w:rsidR="004D6A64" w:rsidRDefault="004D6A64">
            <w:pPr>
              <w:rPr>
                <w:rFonts w:ascii="宋体"/>
                <w:vanish/>
              </w:rPr>
            </w:pPr>
          </w:p>
        </w:tc>
        <w:tc>
          <w:tcPr>
            <w:tcW w:w="0" w:type="auto"/>
            <w:gridSpan w:val="3"/>
            <w:shd w:val="clear" w:color="auto" w:fill="auto"/>
          </w:tcPr>
          <w:p w14:paraId="33DA9CEB" w14:textId="77777777" w:rsidR="004D6A64" w:rsidRDefault="004D6A64">
            <w:pPr>
              <w:rPr>
                <w:rFonts w:ascii="宋体"/>
                <w:vanish/>
              </w:rPr>
            </w:pPr>
          </w:p>
        </w:tc>
        <w:tc>
          <w:tcPr>
            <w:tcW w:w="0" w:type="auto"/>
            <w:gridSpan w:val="3"/>
            <w:shd w:val="clear" w:color="auto" w:fill="auto"/>
          </w:tcPr>
          <w:p w14:paraId="33DA9CEC" w14:textId="77777777" w:rsidR="004D6A64" w:rsidRDefault="004D6A64">
            <w:pPr>
              <w:rPr>
                <w:rFonts w:ascii="宋体"/>
                <w:vanish/>
              </w:rPr>
            </w:pPr>
          </w:p>
        </w:tc>
        <w:tc>
          <w:tcPr>
            <w:tcW w:w="0" w:type="auto"/>
            <w:gridSpan w:val="3"/>
            <w:shd w:val="clear" w:color="auto" w:fill="auto"/>
          </w:tcPr>
          <w:p w14:paraId="33DA9CED" w14:textId="77777777" w:rsidR="004D6A64" w:rsidRDefault="004D6A64">
            <w:pPr>
              <w:rPr>
                <w:rFonts w:ascii="宋体"/>
                <w:vanish/>
              </w:rPr>
            </w:pPr>
          </w:p>
        </w:tc>
        <w:tc>
          <w:tcPr>
            <w:tcW w:w="0" w:type="auto"/>
            <w:gridSpan w:val="3"/>
            <w:shd w:val="clear" w:color="auto" w:fill="auto"/>
          </w:tcPr>
          <w:p w14:paraId="33DA9CEE" w14:textId="77777777" w:rsidR="004D6A64" w:rsidRDefault="004D6A64">
            <w:pPr>
              <w:rPr>
                <w:rFonts w:ascii="宋体"/>
                <w:vanish/>
              </w:rPr>
            </w:pPr>
          </w:p>
        </w:tc>
        <w:tc>
          <w:tcPr>
            <w:tcW w:w="0" w:type="auto"/>
            <w:gridSpan w:val="3"/>
            <w:shd w:val="clear" w:color="auto" w:fill="auto"/>
          </w:tcPr>
          <w:p w14:paraId="33DA9CEF" w14:textId="77777777" w:rsidR="004D6A64" w:rsidRDefault="004D6A64">
            <w:pPr>
              <w:rPr>
                <w:rFonts w:ascii="宋体"/>
                <w:vanish/>
              </w:rPr>
            </w:pPr>
          </w:p>
        </w:tc>
        <w:tc>
          <w:tcPr>
            <w:tcW w:w="0" w:type="auto"/>
            <w:shd w:val="clear" w:color="auto" w:fill="auto"/>
          </w:tcPr>
          <w:p w14:paraId="33DA9CF0" w14:textId="77777777" w:rsidR="004D6A64" w:rsidRDefault="004D6A64">
            <w:pPr>
              <w:rPr>
                <w:rFonts w:ascii="宋体"/>
              </w:rPr>
            </w:pPr>
          </w:p>
        </w:tc>
        <w:tc>
          <w:tcPr>
            <w:tcW w:w="0" w:type="auto"/>
            <w:shd w:val="clear" w:color="auto" w:fill="auto"/>
          </w:tcPr>
          <w:p w14:paraId="33DA9CF1" w14:textId="77777777" w:rsidR="004D6A64" w:rsidRDefault="004D6A64">
            <w:pPr>
              <w:rPr>
                <w:rFonts w:ascii="宋体"/>
              </w:rPr>
            </w:pPr>
          </w:p>
        </w:tc>
        <w:tc>
          <w:tcPr>
            <w:tcW w:w="0" w:type="auto"/>
            <w:shd w:val="clear" w:color="auto" w:fill="auto"/>
          </w:tcPr>
          <w:p w14:paraId="33DA9CF2" w14:textId="77777777" w:rsidR="004D6A64" w:rsidRDefault="004D6A64">
            <w:pPr>
              <w:rPr>
                <w:rFonts w:ascii="宋体"/>
              </w:rPr>
            </w:pPr>
          </w:p>
        </w:tc>
        <w:tc>
          <w:tcPr>
            <w:tcW w:w="0" w:type="auto"/>
            <w:shd w:val="clear" w:color="auto" w:fill="auto"/>
          </w:tcPr>
          <w:p w14:paraId="33DA9CF3" w14:textId="77777777" w:rsidR="004D6A64" w:rsidRDefault="004D6A64">
            <w:pPr>
              <w:rPr>
                <w:rFonts w:ascii="宋体"/>
              </w:rPr>
            </w:pPr>
          </w:p>
        </w:tc>
        <w:tc>
          <w:tcPr>
            <w:tcW w:w="0" w:type="auto"/>
            <w:shd w:val="clear" w:color="auto" w:fill="auto"/>
          </w:tcPr>
          <w:p w14:paraId="33DA9CF4" w14:textId="77777777" w:rsidR="004D6A64" w:rsidRDefault="004D6A64">
            <w:pPr>
              <w:rPr>
                <w:rFonts w:ascii="宋体"/>
              </w:rPr>
            </w:pPr>
          </w:p>
        </w:tc>
        <w:tc>
          <w:tcPr>
            <w:tcW w:w="0" w:type="auto"/>
            <w:shd w:val="clear" w:color="auto" w:fill="auto"/>
          </w:tcPr>
          <w:p w14:paraId="33DA9CF5" w14:textId="77777777" w:rsidR="004D6A64" w:rsidRDefault="004D6A64">
            <w:pPr>
              <w:rPr>
                <w:rFonts w:ascii="宋体"/>
              </w:rPr>
            </w:pPr>
          </w:p>
        </w:tc>
        <w:tc>
          <w:tcPr>
            <w:tcW w:w="0" w:type="auto"/>
            <w:shd w:val="clear" w:color="auto" w:fill="auto"/>
          </w:tcPr>
          <w:p w14:paraId="33DA9CF6" w14:textId="77777777" w:rsidR="004D6A64" w:rsidRDefault="004D6A64">
            <w:pPr>
              <w:rPr>
                <w:rFonts w:ascii="宋体"/>
              </w:rPr>
            </w:pPr>
          </w:p>
        </w:tc>
        <w:tc>
          <w:tcPr>
            <w:tcW w:w="0" w:type="auto"/>
            <w:shd w:val="clear" w:color="auto" w:fill="auto"/>
          </w:tcPr>
          <w:p w14:paraId="33DA9CF7" w14:textId="77777777" w:rsidR="004D6A64" w:rsidRDefault="004D6A64">
            <w:pPr>
              <w:rPr>
                <w:rFonts w:ascii="宋体"/>
              </w:rPr>
            </w:pPr>
          </w:p>
        </w:tc>
        <w:tc>
          <w:tcPr>
            <w:tcW w:w="0" w:type="auto"/>
            <w:shd w:val="clear" w:color="auto" w:fill="auto"/>
          </w:tcPr>
          <w:p w14:paraId="33DA9CF8" w14:textId="77777777" w:rsidR="004D6A64" w:rsidRDefault="004D6A64">
            <w:pPr>
              <w:rPr>
                <w:rFonts w:ascii="宋体"/>
              </w:rPr>
            </w:pPr>
          </w:p>
        </w:tc>
      </w:tr>
      <w:tr w:rsidR="00506CD6" w14:paraId="33DA9D1E" w14:textId="77777777">
        <w:tc>
          <w:tcPr>
            <w:tcW w:w="0" w:type="auto"/>
            <w:gridSpan w:val="3"/>
            <w:shd w:val="clear" w:color="auto" w:fill="FFFFFF"/>
            <w:tcMar>
              <w:top w:w="40" w:type="dxa"/>
              <w:left w:w="120" w:type="dxa"/>
              <w:bottom w:w="40" w:type="dxa"/>
              <w:right w:w="20" w:type="dxa"/>
            </w:tcMar>
            <w:vAlign w:val="bottom"/>
          </w:tcPr>
          <w:p w14:paraId="33DA9CFA" w14:textId="77777777" w:rsidR="004D6A64" w:rsidRDefault="00506CD6">
            <w:pPr>
              <w:textAlignment w:val="bottom"/>
            </w:pPr>
            <w:r>
              <w:rPr>
                <w:rFonts w:ascii="Times New Roman" w:eastAsia="宋体" w:hAnsi="Times New Roman"/>
                <w:color w:val="000000"/>
                <w:sz w:val="20"/>
                <w:szCs w:val="20"/>
              </w:rPr>
              <w:t>Cash flow hedges, net change</w:t>
            </w:r>
          </w:p>
        </w:tc>
        <w:tc>
          <w:tcPr>
            <w:tcW w:w="0" w:type="auto"/>
            <w:gridSpan w:val="2"/>
            <w:shd w:val="clear" w:color="auto" w:fill="FFFFFF"/>
            <w:tcMar>
              <w:top w:w="40" w:type="dxa"/>
              <w:left w:w="20" w:type="dxa"/>
              <w:bottom w:w="40" w:type="dxa"/>
              <w:right w:w="0" w:type="dxa"/>
            </w:tcMar>
            <w:vAlign w:val="bottom"/>
          </w:tcPr>
          <w:p w14:paraId="33DA9CFB"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CF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CFD"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CFE"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CF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D00"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D01"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D0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D03"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D04"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D0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D06"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D07"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D0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D09"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D0A" w14:textId="77777777" w:rsidR="004D6A64" w:rsidRDefault="00506CD6">
            <w:pPr>
              <w:jc w:val="right"/>
              <w:textAlignment w:val="bottom"/>
            </w:pPr>
            <w:r>
              <w:rPr>
                <w:rFonts w:ascii="Times New Roman" w:eastAsia="宋体" w:hAnsi="Times New Roman"/>
                <w:color w:val="000000"/>
                <w:sz w:val="20"/>
                <w:szCs w:val="20"/>
              </w:rPr>
              <w:t>37 </w:t>
            </w:r>
          </w:p>
        </w:tc>
        <w:tc>
          <w:tcPr>
            <w:tcW w:w="0" w:type="auto"/>
            <w:shd w:val="clear" w:color="auto" w:fill="FFFFFF"/>
            <w:tcMar>
              <w:top w:w="40" w:type="dxa"/>
              <w:bottom w:w="40" w:type="dxa"/>
              <w:right w:w="20" w:type="dxa"/>
            </w:tcMar>
            <w:vAlign w:val="bottom"/>
          </w:tcPr>
          <w:p w14:paraId="33DA9D0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D0C"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D0D" w14:textId="77777777" w:rsidR="004D6A64" w:rsidRDefault="00506CD6">
            <w:pPr>
              <w:jc w:val="right"/>
              <w:textAlignment w:val="bottom"/>
            </w:pPr>
            <w:r>
              <w:rPr>
                <w:rFonts w:ascii="Times New Roman" w:eastAsia="宋体" w:hAnsi="Times New Roman"/>
                <w:color w:val="000000"/>
                <w:sz w:val="20"/>
                <w:szCs w:val="20"/>
              </w:rPr>
              <w:t>37 </w:t>
            </w:r>
          </w:p>
        </w:tc>
        <w:tc>
          <w:tcPr>
            <w:tcW w:w="0" w:type="auto"/>
            <w:shd w:val="clear" w:color="auto" w:fill="FFFFFF"/>
            <w:tcMar>
              <w:top w:w="40" w:type="dxa"/>
              <w:bottom w:w="40" w:type="dxa"/>
              <w:right w:w="20" w:type="dxa"/>
            </w:tcMar>
            <w:vAlign w:val="bottom"/>
          </w:tcPr>
          <w:p w14:paraId="33DA9D0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D0F"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D10"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D1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D12"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D13" w14:textId="77777777" w:rsidR="004D6A64" w:rsidRDefault="00506CD6">
            <w:pPr>
              <w:jc w:val="right"/>
              <w:textAlignment w:val="bottom"/>
            </w:pPr>
            <w:r>
              <w:rPr>
                <w:rFonts w:ascii="Times New Roman" w:eastAsia="宋体" w:hAnsi="Times New Roman"/>
                <w:color w:val="000000"/>
                <w:sz w:val="20"/>
                <w:szCs w:val="20"/>
              </w:rPr>
              <w:t>37 </w:t>
            </w:r>
          </w:p>
        </w:tc>
        <w:tc>
          <w:tcPr>
            <w:tcW w:w="0" w:type="auto"/>
            <w:shd w:val="clear" w:color="auto" w:fill="FFFFFF"/>
            <w:tcMar>
              <w:top w:w="40" w:type="dxa"/>
              <w:bottom w:w="40" w:type="dxa"/>
              <w:right w:w="20" w:type="dxa"/>
            </w:tcMar>
            <w:vAlign w:val="bottom"/>
          </w:tcPr>
          <w:p w14:paraId="33DA9D14" w14:textId="77777777" w:rsidR="004D6A64" w:rsidRDefault="004D6A64">
            <w:pPr>
              <w:jc w:val="right"/>
              <w:rPr>
                <w:rFonts w:ascii="宋体"/>
              </w:rPr>
            </w:pPr>
          </w:p>
        </w:tc>
        <w:tc>
          <w:tcPr>
            <w:tcW w:w="0" w:type="auto"/>
            <w:shd w:val="clear" w:color="auto" w:fill="auto"/>
          </w:tcPr>
          <w:p w14:paraId="33DA9D15" w14:textId="77777777" w:rsidR="004D6A64" w:rsidRDefault="004D6A64">
            <w:pPr>
              <w:rPr>
                <w:rFonts w:ascii="宋体"/>
              </w:rPr>
            </w:pPr>
          </w:p>
        </w:tc>
        <w:tc>
          <w:tcPr>
            <w:tcW w:w="0" w:type="auto"/>
            <w:shd w:val="clear" w:color="auto" w:fill="auto"/>
          </w:tcPr>
          <w:p w14:paraId="33DA9D16" w14:textId="77777777" w:rsidR="004D6A64" w:rsidRDefault="004D6A64">
            <w:pPr>
              <w:rPr>
                <w:rFonts w:ascii="宋体"/>
              </w:rPr>
            </w:pPr>
          </w:p>
        </w:tc>
        <w:tc>
          <w:tcPr>
            <w:tcW w:w="0" w:type="auto"/>
            <w:shd w:val="clear" w:color="auto" w:fill="auto"/>
          </w:tcPr>
          <w:p w14:paraId="33DA9D17" w14:textId="77777777" w:rsidR="004D6A64" w:rsidRDefault="004D6A64">
            <w:pPr>
              <w:rPr>
                <w:rFonts w:ascii="宋体"/>
              </w:rPr>
            </w:pPr>
          </w:p>
        </w:tc>
        <w:tc>
          <w:tcPr>
            <w:tcW w:w="0" w:type="auto"/>
            <w:shd w:val="clear" w:color="auto" w:fill="auto"/>
          </w:tcPr>
          <w:p w14:paraId="33DA9D18" w14:textId="77777777" w:rsidR="004D6A64" w:rsidRDefault="004D6A64">
            <w:pPr>
              <w:rPr>
                <w:rFonts w:ascii="宋体"/>
              </w:rPr>
            </w:pPr>
          </w:p>
        </w:tc>
        <w:tc>
          <w:tcPr>
            <w:tcW w:w="0" w:type="auto"/>
            <w:shd w:val="clear" w:color="auto" w:fill="auto"/>
          </w:tcPr>
          <w:p w14:paraId="33DA9D19" w14:textId="77777777" w:rsidR="004D6A64" w:rsidRDefault="004D6A64">
            <w:pPr>
              <w:rPr>
                <w:rFonts w:ascii="宋体"/>
              </w:rPr>
            </w:pPr>
          </w:p>
        </w:tc>
        <w:tc>
          <w:tcPr>
            <w:tcW w:w="0" w:type="auto"/>
            <w:shd w:val="clear" w:color="auto" w:fill="auto"/>
          </w:tcPr>
          <w:p w14:paraId="33DA9D1A" w14:textId="77777777" w:rsidR="004D6A64" w:rsidRDefault="004D6A64">
            <w:pPr>
              <w:rPr>
                <w:rFonts w:ascii="宋体"/>
              </w:rPr>
            </w:pPr>
          </w:p>
        </w:tc>
        <w:tc>
          <w:tcPr>
            <w:tcW w:w="0" w:type="auto"/>
            <w:shd w:val="clear" w:color="auto" w:fill="auto"/>
          </w:tcPr>
          <w:p w14:paraId="33DA9D1B" w14:textId="77777777" w:rsidR="004D6A64" w:rsidRDefault="004D6A64">
            <w:pPr>
              <w:rPr>
                <w:rFonts w:ascii="宋体"/>
              </w:rPr>
            </w:pPr>
          </w:p>
        </w:tc>
        <w:tc>
          <w:tcPr>
            <w:tcW w:w="0" w:type="auto"/>
            <w:shd w:val="clear" w:color="auto" w:fill="auto"/>
          </w:tcPr>
          <w:p w14:paraId="33DA9D1C" w14:textId="77777777" w:rsidR="004D6A64" w:rsidRDefault="004D6A64">
            <w:pPr>
              <w:rPr>
                <w:rFonts w:ascii="宋体"/>
              </w:rPr>
            </w:pPr>
          </w:p>
        </w:tc>
        <w:tc>
          <w:tcPr>
            <w:tcW w:w="0" w:type="auto"/>
            <w:shd w:val="clear" w:color="auto" w:fill="auto"/>
          </w:tcPr>
          <w:p w14:paraId="33DA9D1D" w14:textId="77777777" w:rsidR="004D6A64" w:rsidRDefault="004D6A64">
            <w:pPr>
              <w:rPr>
                <w:rFonts w:ascii="宋体"/>
              </w:rPr>
            </w:pPr>
          </w:p>
        </w:tc>
      </w:tr>
      <w:tr w:rsidR="00506CD6" w14:paraId="33DA9D43" w14:textId="77777777">
        <w:tc>
          <w:tcPr>
            <w:tcW w:w="0" w:type="auto"/>
            <w:gridSpan w:val="3"/>
            <w:shd w:val="clear" w:color="auto" w:fill="CCEEFF"/>
            <w:tcMar>
              <w:top w:w="40" w:type="dxa"/>
              <w:left w:w="120" w:type="dxa"/>
              <w:bottom w:w="40" w:type="dxa"/>
              <w:right w:w="20" w:type="dxa"/>
            </w:tcMar>
            <w:vAlign w:val="bottom"/>
          </w:tcPr>
          <w:p w14:paraId="33DA9D1F" w14:textId="77777777" w:rsidR="004D6A64" w:rsidRDefault="00506CD6">
            <w:pPr>
              <w:textAlignment w:val="bottom"/>
            </w:pPr>
            <w:r>
              <w:rPr>
                <w:rFonts w:ascii="Times New Roman" w:eastAsia="宋体" w:hAnsi="Times New Roman"/>
                <w:color w:val="000000"/>
                <w:sz w:val="20"/>
                <w:szCs w:val="20"/>
              </w:rPr>
              <w:t>Pension and other post-retirement</w:t>
            </w:r>
          </w:p>
        </w:tc>
        <w:tc>
          <w:tcPr>
            <w:tcW w:w="0" w:type="auto"/>
            <w:gridSpan w:val="2"/>
            <w:shd w:val="clear" w:color="auto" w:fill="CCEEFF"/>
            <w:tcMar>
              <w:top w:w="40" w:type="dxa"/>
              <w:left w:w="20" w:type="dxa"/>
              <w:bottom w:w="40" w:type="dxa"/>
              <w:right w:w="0" w:type="dxa"/>
            </w:tcMar>
            <w:vAlign w:val="bottom"/>
          </w:tcPr>
          <w:p w14:paraId="33DA9D20"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D2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D22"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D23"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D2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D25"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D26"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D2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D28"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D29"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D2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D2B"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D2C"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D2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D2E"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D2F" w14:textId="77777777" w:rsidR="004D6A64" w:rsidRDefault="00506CD6">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bottom w:w="40" w:type="dxa"/>
              <w:right w:w="20" w:type="dxa"/>
            </w:tcMar>
            <w:vAlign w:val="bottom"/>
          </w:tcPr>
          <w:p w14:paraId="33DA9D3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D31"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D32" w14:textId="77777777" w:rsidR="004D6A64" w:rsidRDefault="00506CD6">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bottom w:w="40" w:type="dxa"/>
              <w:right w:w="20" w:type="dxa"/>
            </w:tcMar>
            <w:vAlign w:val="bottom"/>
          </w:tcPr>
          <w:p w14:paraId="33DA9D3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D34"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D35"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D3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D37"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D38" w14:textId="77777777" w:rsidR="004D6A64" w:rsidRDefault="00506CD6">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bottom w:w="40" w:type="dxa"/>
              <w:right w:w="20" w:type="dxa"/>
            </w:tcMar>
            <w:vAlign w:val="bottom"/>
          </w:tcPr>
          <w:p w14:paraId="33DA9D39" w14:textId="77777777" w:rsidR="004D6A64" w:rsidRDefault="004D6A64">
            <w:pPr>
              <w:jc w:val="right"/>
              <w:rPr>
                <w:rFonts w:ascii="宋体"/>
              </w:rPr>
            </w:pPr>
          </w:p>
        </w:tc>
        <w:tc>
          <w:tcPr>
            <w:tcW w:w="0" w:type="auto"/>
            <w:shd w:val="clear" w:color="auto" w:fill="auto"/>
          </w:tcPr>
          <w:p w14:paraId="33DA9D3A" w14:textId="77777777" w:rsidR="004D6A64" w:rsidRDefault="004D6A64">
            <w:pPr>
              <w:rPr>
                <w:rFonts w:ascii="宋体"/>
              </w:rPr>
            </w:pPr>
          </w:p>
        </w:tc>
        <w:tc>
          <w:tcPr>
            <w:tcW w:w="0" w:type="auto"/>
            <w:shd w:val="clear" w:color="auto" w:fill="auto"/>
          </w:tcPr>
          <w:p w14:paraId="33DA9D3B" w14:textId="77777777" w:rsidR="004D6A64" w:rsidRDefault="004D6A64">
            <w:pPr>
              <w:rPr>
                <w:rFonts w:ascii="宋体"/>
              </w:rPr>
            </w:pPr>
          </w:p>
        </w:tc>
        <w:tc>
          <w:tcPr>
            <w:tcW w:w="0" w:type="auto"/>
            <w:shd w:val="clear" w:color="auto" w:fill="auto"/>
          </w:tcPr>
          <w:p w14:paraId="33DA9D3C" w14:textId="77777777" w:rsidR="004D6A64" w:rsidRDefault="004D6A64">
            <w:pPr>
              <w:rPr>
                <w:rFonts w:ascii="宋体"/>
              </w:rPr>
            </w:pPr>
          </w:p>
        </w:tc>
        <w:tc>
          <w:tcPr>
            <w:tcW w:w="0" w:type="auto"/>
            <w:shd w:val="clear" w:color="auto" w:fill="auto"/>
          </w:tcPr>
          <w:p w14:paraId="33DA9D3D" w14:textId="77777777" w:rsidR="004D6A64" w:rsidRDefault="004D6A64">
            <w:pPr>
              <w:rPr>
                <w:rFonts w:ascii="宋体"/>
              </w:rPr>
            </w:pPr>
          </w:p>
        </w:tc>
        <w:tc>
          <w:tcPr>
            <w:tcW w:w="0" w:type="auto"/>
            <w:shd w:val="clear" w:color="auto" w:fill="auto"/>
          </w:tcPr>
          <w:p w14:paraId="33DA9D3E" w14:textId="77777777" w:rsidR="004D6A64" w:rsidRDefault="004D6A64">
            <w:pPr>
              <w:rPr>
                <w:rFonts w:ascii="宋体"/>
              </w:rPr>
            </w:pPr>
          </w:p>
        </w:tc>
        <w:tc>
          <w:tcPr>
            <w:tcW w:w="0" w:type="auto"/>
            <w:shd w:val="clear" w:color="auto" w:fill="auto"/>
          </w:tcPr>
          <w:p w14:paraId="33DA9D3F" w14:textId="77777777" w:rsidR="004D6A64" w:rsidRDefault="004D6A64">
            <w:pPr>
              <w:rPr>
                <w:rFonts w:ascii="宋体"/>
              </w:rPr>
            </w:pPr>
          </w:p>
        </w:tc>
        <w:tc>
          <w:tcPr>
            <w:tcW w:w="0" w:type="auto"/>
            <w:shd w:val="clear" w:color="auto" w:fill="auto"/>
          </w:tcPr>
          <w:p w14:paraId="33DA9D40" w14:textId="77777777" w:rsidR="004D6A64" w:rsidRDefault="004D6A64">
            <w:pPr>
              <w:rPr>
                <w:rFonts w:ascii="宋体"/>
              </w:rPr>
            </w:pPr>
          </w:p>
        </w:tc>
        <w:tc>
          <w:tcPr>
            <w:tcW w:w="0" w:type="auto"/>
            <w:shd w:val="clear" w:color="auto" w:fill="auto"/>
          </w:tcPr>
          <w:p w14:paraId="33DA9D41" w14:textId="77777777" w:rsidR="004D6A64" w:rsidRDefault="004D6A64">
            <w:pPr>
              <w:rPr>
                <w:rFonts w:ascii="宋体"/>
              </w:rPr>
            </w:pPr>
          </w:p>
        </w:tc>
        <w:tc>
          <w:tcPr>
            <w:tcW w:w="0" w:type="auto"/>
            <w:shd w:val="clear" w:color="auto" w:fill="auto"/>
          </w:tcPr>
          <w:p w14:paraId="33DA9D42" w14:textId="77777777" w:rsidR="004D6A64" w:rsidRDefault="004D6A64">
            <w:pPr>
              <w:rPr>
                <w:rFonts w:ascii="宋体"/>
              </w:rPr>
            </w:pPr>
          </w:p>
        </w:tc>
      </w:tr>
      <w:tr w:rsidR="00506CD6" w14:paraId="33DA9D68" w14:textId="77777777">
        <w:tc>
          <w:tcPr>
            <w:tcW w:w="0" w:type="auto"/>
            <w:gridSpan w:val="3"/>
            <w:shd w:val="clear" w:color="auto" w:fill="FFFFFF"/>
            <w:tcMar>
              <w:top w:w="40" w:type="dxa"/>
              <w:left w:w="120" w:type="dxa"/>
              <w:bottom w:w="40" w:type="dxa"/>
              <w:right w:w="20" w:type="dxa"/>
            </w:tcMar>
            <w:vAlign w:val="bottom"/>
          </w:tcPr>
          <w:p w14:paraId="33DA9D44" w14:textId="77777777" w:rsidR="004D6A64" w:rsidRDefault="00506CD6">
            <w:pPr>
              <w:textAlignment w:val="bottom"/>
            </w:pPr>
            <w:r>
              <w:rPr>
                <w:rFonts w:ascii="Times New Roman" w:eastAsia="宋体" w:hAnsi="Times New Roman"/>
                <w:color w:val="000000"/>
                <w:sz w:val="20"/>
                <w:szCs w:val="20"/>
              </w:rPr>
              <w:t>Issuance of common stock</w:t>
            </w:r>
          </w:p>
        </w:tc>
        <w:tc>
          <w:tcPr>
            <w:tcW w:w="0" w:type="auto"/>
            <w:gridSpan w:val="2"/>
            <w:shd w:val="clear" w:color="auto" w:fill="FFFFFF"/>
            <w:tcMar>
              <w:top w:w="40" w:type="dxa"/>
              <w:left w:w="20" w:type="dxa"/>
              <w:bottom w:w="40" w:type="dxa"/>
              <w:right w:w="0" w:type="dxa"/>
            </w:tcMar>
            <w:vAlign w:val="bottom"/>
          </w:tcPr>
          <w:p w14:paraId="33DA9D45" w14:textId="77777777" w:rsidR="004D6A64" w:rsidRDefault="00506CD6">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bottom w:w="40" w:type="dxa"/>
              <w:right w:w="20" w:type="dxa"/>
            </w:tcMar>
            <w:vAlign w:val="bottom"/>
          </w:tcPr>
          <w:p w14:paraId="33DA9D4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D47"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D48" w14:textId="77777777" w:rsidR="004D6A64" w:rsidRDefault="00506CD6">
            <w:pPr>
              <w:jc w:val="right"/>
              <w:textAlignment w:val="bottom"/>
            </w:pPr>
            <w:r>
              <w:rPr>
                <w:rFonts w:ascii="Times New Roman" w:eastAsia="宋体" w:hAnsi="Times New Roman"/>
                <w:color w:val="000000"/>
                <w:sz w:val="20"/>
                <w:szCs w:val="20"/>
              </w:rPr>
              <w:t>88 </w:t>
            </w:r>
          </w:p>
        </w:tc>
        <w:tc>
          <w:tcPr>
            <w:tcW w:w="0" w:type="auto"/>
            <w:shd w:val="clear" w:color="auto" w:fill="FFFFFF"/>
            <w:tcMar>
              <w:top w:w="40" w:type="dxa"/>
              <w:bottom w:w="40" w:type="dxa"/>
              <w:right w:w="20" w:type="dxa"/>
            </w:tcMar>
            <w:vAlign w:val="bottom"/>
          </w:tcPr>
          <w:p w14:paraId="33DA9D4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D4A"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D4B"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D4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D4D"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D4E"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D4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D50"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D51"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D5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D53"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D54"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D5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D56"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D57" w14:textId="77777777" w:rsidR="004D6A64" w:rsidRDefault="00506CD6">
            <w:pPr>
              <w:jc w:val="right"/>
              <w:textAlignment w:val="bottom"/>
            </w:pPr>
            <w:r>
              <w:rPr>
                <w:rFonts w:ascii="Times New Roman" w:eastAsia="宋体" w:hAnsi="Times New Roman"/>
                <w:color w:val="000000"/>
                <w:sz w:val="20"/>
                <w:szCs w:val="20"/>
              </w:rPr>
              <w:t>88 </w:t>
            </w:r>
          </w:p>
        </w:tc>
        <w:tc>
          <w:tcPr>
            <w:tcW w:w="0" w:type="auto"/>
            <w:shd w:val="clear" w:color="auto" w:fill="FFFFFF"/>
            <w:tcMar>
              <w:top w:w="40" w:type="dxa"/>
              <w:bottom w:w="40" w:type="dxa"/>
              <w:right w:w="20" w:type="dxa"/>
            </w:tcMar>
            <w:vAlign w:val="bottom"/>
          </w:tcPr>
          <w:p w14:paraId="33DA9D5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D59"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D5A"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D5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D5C"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D5D" w14:textId="77777777" w:rsidR="004D6A64" w:rsidRDefault="00506CD6">
            <w:pPr>
              <w:jc w:val="right"/>
              <w:textAlignment w:val="bottom"/>
            </w:pPr>
            <w:r>
              <w:rPr>
                <w:rFonts w:ascii="Times New Roman" w:eastAsia="宋体" w:hAnsi="Times New Roman"/>
                <w:color w:val="000000"/>
                <w:sz w:val="20"/>
                <w:szCs w:val="20"/>
              </w:rPr>
              <w:t>88 </w:t>
            </w:r>
          </w:p>
        </w:tc>
        <w:tc>
          <w:tcPr>
            <w:tcW w:w="0" w:type="auto"/>
            <w:shd w:val="clear" w:color="auto" w:fill="FFFFFF"/>
            <w:tcMar>
              <w:top w:w="40" w:type="dxa"/>
              <w:bottom w:w="40" w:type="dxa"/>
              <w:right w:w="20" w:type="dxa"/>
            </w:tcMar>
            <w:vAlign w:val="bottom"/>
          </w:tcPr>
          <w:p w14:paraId="33DA9D5E" w14:textId="77777777" w:rsidR="004D6A64" w:rsidRDefault="004D6A64">
            <w:pPr>
              <w:jc w:val="right"/>
              <w:rPr>
                <w:rFonts w:ascii="宋体"/>
              </w:rPr>
            </w:pPr>
          </w:p>
        </w:tc>
        <w:tc>
          <w:tcPr>
            <w:tcW w:w="0" w:type="auto"/>
            <w:shd w:val="clear" w:color="auto" w:fill="auto"/>
          </w:tcPr>
          <w:p w14:paraId="33DA9D5F" w14:textId="77777777" w:rsidR="004D6A64" w:rsidRDefault="004D6A64">
            <w:pPr>
              <w:rPr>
                <w:rFonts w:ascii="宋体"/>
              </w:rPr>
            </w:pPr>
          </w:p>
        </w:tc>
        <w:tc>
          <w:tcPr>
            <w:tcW w:w="0" w:type="auto"/>
            <w:shd w:val="clear" w:color="auto" w:fill="auto"/>
          </w:tcPr>
          <w:p w14:paraId="33DA9D60" w14:textId="77777777" w:rsidR="004D6A64" w:rsidRDefault="004D6A64">
            <w:pPr>
              <w:rPr>
                <w:rFonts w:ascii="宋体"/>
              </w:rPr>
            </w:pPr>
          </w:p>
        </w:tc>
        <w:tc>
          <w:tcPr>
            <w:tcW w:w="0" w:type="auto"/>
            <w:shd w:val="clear" w:color="auto" w:fill="auto"/>
          </w:tcPr>
          <w:p w14:paraId="33DA9D61" w14:textId="77777777" w:rsidR="004D6A64" w:rsidRDefault="004D6A64">
            <w:pPr>
              <w:rPr>
                <w:rFonts w:ascii="宋体"/>
              </w:rPr>
            </w:pPr>
          </w:p>
        </w:tc>
        <w:tc>
          <w:tcPr>
            <w:tcW w:w="0" w:type="auto"/>
            <w:shd w:val="clear" w:color="auto" w:fill="auto"/>
          </w:tcPr>
          <w:p w14:paraId="33DA9D62" w14:textId="77777777" w:rsidR="004D6A64" w:rsidRDefault="004D6A64">
            <w:pPr>
              <w:rPr>
                <w:rFonts w:ascii="宋体"/>
              </w:rPr>
            </w:pPr>
          </w:p>
        </w:tc>
        <w:tc>
          <w:tcPr>
            <w:tcW w:w="0" w:type="auto"/>
            <w:shd w:val="clear" w:color="auto" w:fill="auto"/>
          </w:tcPr>
          <w:p w14:paraId="33DA9D63" w14:textId="77777777" w:rsidR="004D6A64" w:rsidRDefault="004D6A64">
            <w:pPr>
              <w:rPr>
                <w:rFonts w:ascii="宋体"/>
              </w:rPr>
            </w:pPr>
          </w:p>
        </w:tc>
        <w:tc>
          <w:tcPr>
            <w:tcW w:w="0" w:type="auto"/>
            <w:shd w:val="clear" w:color="auto" w:fill="auto"/>
          </w:tcPr>
          <w:p w14:paraId="33DA9D64" w14:textId="77777777" w:rsidR="004D6A64" w:rsidRDefault="004D6A64">
            <w:pPr>
              <w:rPr>
                <w:rFonts w:ascii="宋体"/>
              </w:rPr>
            </w:pPr>
          </w:p>
        </w:tc>
        <w:tc>
          <w:tcPr>
            <w:tcW w:w="0" w:type="auto"/>
            <w:shd w:val="clear" w:color="auto" w:fill="auto"/>
          </w:tcPr>
          <w:p w14:paraId="33DA9D65" w14:textId="77777777" w:rsidR="004D6A64" w:rsidRDefault="004D6A64">
            <w:pPr>
              <w:rPr>
                <w:rFonts w:ascii="宋体"/>
              </w:rPr>
            </w:pPr>
          </w:p>
        </w:tc>
        <w:tc>
          <w:tcPr>
            <w:tcW w:w="0" w:type="auto"/>
            <w:shd w:val="clear" w:color="auto" w:fill="auto"/>
          </w:tcPr>
          <w:p w14:paraId="33DA9D66" w14:textId="77777777" w:rsidR="004D6A64" w:rsidRDefault="004D6A64">
            <w:pPr>
              <w:rPr>
                <w:rFonts w:ascii="宋体"/>
              </w:rPr>
            </w:pPr>
          </w:p>
        </w:tc>
        <w:tc>
          <w:tcPr>
            <w:tcW w:w="0" w:type="auto"/>
            <w:shd w:val="clear" w:color="auto" w:fill="auto"/>
          </w:tcPr>
          <w:p w14:paraId="33DA9D67" w14:textId="77777777" w:rsidR="004D6A64" w:rsidRDefault="004D6A64">
            <w:pPr>
              <w:rPr>
                <w:rFonts w:ascii="宋体"/>
              </w:rPr>
            </w:pPr>
          </w:p>
        </w:tc>
      </w:tr>
      <w:tr w:rsidR="00506CD6" w14:paraId="33DA9D8D" w14:textId="77777777">
        <w:tc>
          <w:tcPr>
            <w:tcW w:w="0" w:type="auto"/>
            <w:gridSpan w:val="3"/>
            <w:shd w:val="clear" w:color="auto" w:fill="CCEEFF"/>
            <w:tcMar>
              <w:top w:w="40" w:type="dxa"/>
              <w:left w:w="120" w:type="dxa"/>
              <w:bottom w:w="40" w:type="dxa"/>
              <w:right w:w="20" w:type="dxa"/>
            </w:tcMar>
            <w:vAlign w:val="bottom"/>
          </w:tcPr>
          <w:p w14:paraId="33DA9D69" w14:textId="77777777" w:rsidR="004D6A64" w:rsidRDefault="00506CD6">
            <w:pPr>
              <w:textAlignment w:val="bottom"/>
            </w:pPr>
            <w:r>
              <w:rPr>
                <w:rFonts w:ascii="Times New Roman" w:eastAsia="宋体" w:hAnsi="Times New Roman"/>
                <w:color w:val="000000"/>
                <w:sz w:val="20"/>
                <w:szCs w:val="20"/>
              </w:rPr>
              <w:t>Stock-based compensation expense</w:t>
            </w:r>
          </w:p>
        </w:tc>
        <w:tc>
          <w:tcPr>
            <w:tcW w:w="0" w:type="auto"/>
            <w:gridSpan w:val="2"/>
            <w:shd w:val="clear" w:color="auto" w:fill="CCEEFF"/>
            <w:tcMar>
              <w:top w:w="40" w:type="dxa"/>
              <w:left w:w="20" w:type="dxa"/>
              <w:bottom w:w="40" w:type="dxa"/>
              <w:right w:w="0" w:type="dxa"/>
            </w:tcMar>
            <w:vAlign w:val="bottom"/>
          </w:tcPr>
          <w:p w14:paraId="33DA9D6A"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D6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D6C"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D6D" w14:textId="77777777" w:rsidR="004D6A64" w:rsidRDefault="00506CD6">
            <w:pPr>
              <w:jc w:val="right"/>
              <w:textAlignment w:val="bottom"/>
            </w:pPr>
            <w:r>
              <w:rPr>
                <w:rFonts w:ascii="Times New Roman" w:eastAsia="宋体" w:hAnsi="Times New Roman"/>
                <w:color w:val="000000"/>
                <w:sz w:val="20"/>
                <w:szCs w:val="20"/>
              </w:rPr>
              <w:t>62 </w:t>
            </w:r>
          </w:p>
        </w:tc>
        <w:tc>
          <w:tcPr>
            <w:tcW w:w="0" w:type="auto"/>
            <w:shd w:val="clear" w:color="auto" w:fill="CCEEFF"/>
            <w:tcMar>
              <w:top w:w="40" w:type="dxa"/>
              <w:bottom w:w="40" w:type="dxa"/>
              <w:right w:w="20" w:type="dxa"/>
            </w:tcMar>
            <w:vAlign w:val="bottom"/>
          </w:tcPr>
          <w:p w14:paraId="33DA9D6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D6F"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D70"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D7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D72"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D73"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D7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D75"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D76"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D7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D78"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D79"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D7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D7B"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D7C" w14:textId="77777777" w:rsidR="004D6A64" w:rsidRDefault="00506CD6">
            <w:pPr>
              <w:jc w:val="right"/>
              <w:textAlignment w:val="bottom"/>
            </w:pPr>
            <w:r>
              <w:rPr>
                <w:rFonts w:ascii="Times New Roman" w:eastAsia="宋体" w:hAnsi="Times New Roman"/>
                <w:color w:val="000000"/>
                <w:sz w:val="20"/>
                <w:szCs w:val="20"/>
              </w:rPr>
              <w:t>62 </w:t>
            </w:r>
          </w:p>
        </w:tc>
        <w:tc>
          <w:tcPr>
            <w:tcW w:w="0" w:type="auto"/>
            <w:shd w:val="clear" w:color="auto" w:fill="CCEEFF"/>
            <w:tcMar>
              <w:top w:w="40" w:type="dxa"/>
              <w:bottom w:w="40" w:type="dxa"/>
              <w:right w:w="20" w:type="dxa"/>
            </w:tcMar>
            <w:vAlign w:val="bottom"/>
          </w:tcPr>
          <w:p w14:paraId="33DA9D7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D7E"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D7F" w14:textId="77777777" w:rsidR="004D6A64" w:rsidRDefault="00506CD6">
            <w:pPr>
              <w:jc w:val="right"/>
              <w:textAlignment w:val="bottom"/>
            </w:pPr>
            <w:r>
              <w:rPr>
                <w:rFonts w:ascii="Times New Roman" w:eastAsia="宋体" w:hAnsi="Times New Roman"/>
                <w:color w:val="000000"/>
                <w:sz w:val="20"/>
                <w:szCs w:val="20"/>
              </w:rPr>
              <w:t>239 </w:t>
            </w:r>
          </w:p>
        </w:tc>
        <w:tc>
          <w:tcPr>
            <w:tcW w:w="0" w:type="auto"/>
            <w:shd w:val="clear" w:color="auto" w:fill="CCEEFF"/>
            <w:tcMar>
              <w:top w:w="40" w:type="dxa"/>
              <w:bottom w:w="40" w:type="dxa"/>
              <w:right w:w="20" w:type="dxa"/>
            </w:tcMar>
            <w:vAlign w:val="bottom"/>
          </w:tcPr>
          <w:p w14:paraId="33DA9D8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D81"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D82" w14:textId="77777777" w:rsidR="004D6A64" w:rsidRDefault="00506CD6">
            <w:pPr>
              <w:jc w:val="right"/>
              <w:textAlignment w:val="bottom"/>
            </w:pPr>
            <w:r>
              <w:rPr>
                <w:rFonts w:ascii="Times New Roman" w:eastAsia="宋体" w:hAnsi="Times New Roman"/>
                <w:color w:val="000000"/>
                <w:sz w:val="20"/>
                <w:szCs w:val="20"/>
              </w:rPr>
              <w:t>301 </w:t>
            </w:r>
          </w:p>
        </w:tc>
        <w:tc>
          <w:tcPr>
            <w:tcW w:w="0" w:type="auto"/>
            <w:shd w:val="clear" w:color="auto" w:fill="CCEEFF"/>
            <w:tcMar>
              <w:top w:w="40" w:type="dxa"/>
              <w:bottom w:w="40" w:type="dxa"/>
              <w:right w:w="20" w:type="dxa"/>
            </w:tcMar>
            <w:vAlign w:val="bottom"/>
          </w:tcPr>
          <w:p w14:paraId="33DA9D83" w14:textId="77777777" w:rsidR="004D6A64" w:rsidRDefault="004D6A64">
            <w:pPr>
              <w:jc w:val="right"/>
              <w:rPr>
                <w:rFonts w:ascii="宋体"/>
              </w:rPr>
            </w:pPr>
          </w:p>
        </w:tc>
        <w:tc>
          <w:tcPr>
            <w:tcW w:w="0" w:type="auto"/>
            <w:shd w:val="clear" w:color="auto" w:fill="auto"/>
          </w:tcPr>
          <w:p w14:paraId="33DA9D84" w14:textId="77777777" w:rsidR="004D6A64" w:rsidRDefault="004D6A64">
            <w:pPr>
              <w:rPr>
                <w:rFonts w:ascii="宋体"/>
              </w:rPr>
            </w:pPr>
          </w:p>
        </w:tc>
        <w:tc>
          <w:tcPr>
            <w:tcW w:w="0" w:type="auto"/>
            <w:shd w:val="clear" w:color="auto" w:fill="auto"/>
          </w:tcPr>
          <w:p w14:paraId="33DA9D85" w14:textId="77777777" w:rsidR="004D6A64" w:rsidRDefault="004D6A64">
            <w:pPr>
              <w:rPr>
                <w:rFonts w:ascii="宋体"/>
              </w:rPr>
            </w:pPr>
          </w:p>
        </w:tc>
        <w:tc>
          <w:tcPr>
            <w:tcW w:w="0" w:type="auto"/>
            <w:shd w:val="clear" w:color="auto" w:fill="auto"/>
          </w:tcPr>
          <w:p w14:paraId="33DA9D86" w14:textId="77777777" w:rsidR="004D6A64" w:rsidRDefault="004D6A64">
            <w:pPr>
              <w:rPr>
                <w:rFonts w:ascii="宋体"/>
              </w:rPr>
            </w:pPr>
          </w:p>
        </w:tc>
        <w:tc>
          <w:tcPr>
            <w:tcW w:w="0" w:type="auto"/>
            <w:shd w:val="clear" w:color="auto" w:fill="auto"/>
          </w:tcPr>
          <w:p w14:paraId="33DA9D87" w14:textId="77777777" w:rsidR="004D6A64" w:rsidRDefault="004D6A64">
            <w:pPr>
              <w:rPr>
                <w:rFonts w:ascii="宋体"/>
              </w:rPr>
            </w:pPr>
          </w:p>
        </w:tc>
        <w:tc>
          <w:tcPr>
            <w:tcW w:w="0" w:type="auto"/>
            <w:shd w:val="clear" w:color="auto" w:fill="auto"/>
          </w:tcPr>
          <w:p w14:paraId="33DA9D88" w14:textId="77777777" w:rsidR="004D6A64" w:rsidRDefault="004D6A64">
            <w:pPr>
              <w:rPr>
                <w:rFonts w:ascii="宋体"/>
              </w:rPr>
            </w:pPr>
          </w:p>
        </w:tc>
        <w:tc>
          <w:tcPr>
            <w:tcW w:w="0" w:type="auto"/>
            <w:shd w:val="clear" w:color="auto" w:fill="auto"/>
          </w:tcPr>
          <w:p w14:paraId="33DA9D89" w14:textId="77777777" w:rsidR="004D6A64" w:rsidRDefault="004D6A64">
            <w:pPr>
              <w:rPr>
                <w:rFonts w:ascii="宋体"/>
              </w:rPr>
            </w:pPr>
          </w:p>
        </w:tc>
        <w:tc>
          <w:tcPr>
            <w:tcW w:w="0" w:type="auto"/>
            <w:shd w:val="clear" w:color="auto" w:fill="auto"/>
          </w:tcPr>
          <w:p w14:paraId="33DA9D8A" w14:textId="77777777" w:rsidR="004D6A64" w:rsidRDefault="004D6A64">
            <w:pPr>
              <w:rPr>
                <w:rFonts w:ascii="宋体"/>
              </w:rPr>
            </w:pPr>
          </w:p>
        </w:tc>
        <w:tc>
          <w:tcPr>
            <w:tcW w:w="0" w:type="auto"/>
            <w:shd w:val="clear" w:color="auto" w:fill="auto"/>
          </w:tcPr>
          <w:p w14:paraId="33DA9D8B" w14:textId="77777777" w:rsidR="004D6A64" w:rsidRDefault="004D6A64">
            <w:pPr>
              <w:rPr>
                <w:rFonts w:ascii="宋体"/>
              </w:rPr>
            </w:pPr>
          </w:p>
        </w:tc>
        <w:tc>
          <w:tcPr>
            <w:tcW w:w="0" w:type="auto"/>
            <w:shd w:val="clear" w:color="auto" w:fill="auto"/>
          </w:tcPr>
          <w:p w14:paraId="33DA9D8C" w14:textId="77777777" w:rsidR="004D6A64" w:rsidRDefault="004D6A64">
            <w:pPr>
              <w:rPr>
                <w:rFonts w:ascii="宋体"/>
              </w:rPr>
            </w:pPr>
          </w:p>
        </w:tc>
      </w:tr>
      <w:tr w:rsidR="004D6A64" w14:paraId="33DA9DA9" w14:textId="77777777">
        <w:trPr>
          <w:hidden/>
        </w:trPr>
        <w:tc>
          <w:tcPr>
            <w:tcW w:w="0" w:type="auto"/>
            <w:gridSpan w:val="3"/>
            <w:shd w:val="clear" w:color="auto" w:fill="auto"/>
          </w:tcPr>
          <w:p w14:paraId="33DA9D8E" w14:textId="77777777" w:rsidR="004D6A64" w:rsidRDefault="004D6A64">
            <w:pPr>
              <w:rPr>
                <w:rFonts w:ascii="宋体"/>
                <w:vanish/>
              </w:rPr>
            </w:pPr>
          </w:p>
        </w:tc>
        <w:tc>
          <w:tcPr>
            <w:tcW w:w="0" w:type="auto"/>
            <w:gridSpan w:val="3"/>
            <w:shd w:val="clear" w:color="auto" w:fill="auto"/>
          </w:tcPr>
          <w:p w14:paraId="33DA9D8F" w14:textId="77777777" w:rsidR="004D6A64" w:rsidRDefault="004D6A64">
            <w:pPr>
              <w:rPr>
                <w:rFonts w:ascii="宋体"/>
                <w:vanish/>
              </w:rPr>
            </w:pPr>
          </w:p>
        </w:tc>
        <w:tc>
          <w:tcPr>
            <w:tcW w:w="0" w:type="auto"/>
            <w:gridSpan w:val="3"/>
            <w:shd w:val="clear" w:color="auto" w:fill="auto"/>
          </w:tcPr>
          <w:p w14:paraId="33DA9D90" w14:textId="77777777" w:rsidR="004D6A64" w:rsidRDefault="004D6A64">
            <w:pPr>
              <w:rPr>
                <w:rFonts w:ascii="宋体"/>
                <w:vanish/>
              </w:rPr>
            </w:pPr>
          </w:p>
        </w:tc>
        <w:tc>
          <w:tcPr>
            <w:tcW w:w="0" w:type="auto"/>
            <w:gridSpan w:val="3"/>
            <w:shd w:val="clear" w:color="auto" w:fill="auto"/>
          </w:tcPr>
          <w:p w14:paraId="33DA9D91" w14:textId="77777777" w:rsidR="004D6A64" w:rsidRDefault="004D6A64">
            <w:pPr>
              <w:rPr>
                <w:rFonts w:ascii="宋体"/>
                <w:vanish/>
              </w:rPr>
            </w:pPr>
          </w:p>
        </w:tc>
        <w:tc>
          <w:tcPr>
            <w:tcW w:w="0" w:type="auto"/>
            <w:gridSpan w:val="3"/>
            <w:shd w:val="clear" w:color="auto" w:fill="auto"/>
          </w:tcPr>
          <w:p w14:paraId="33DA9D92" w14:textId="77777777" w:rsidR="004D6A64" w:rsidRDefault="004D6A64">
            <w:pPr>
              <w:rPr>
                <w:rFonts w:ascii="宋体"/>
                <w:vanish/>
              </w:rPr>
            </w:pPr>
          </w:p>
        </w:tc>
        <w:tc>
          <w:tcPr>
            <w:tcW w:w="0" w:type="auto"/>
            <w:gridSpan w:val="3"/>
            <w:shd w:val="clear" w:color="auto" w:fill="auto"/>
          </w:tcPr>
          <w:p w14:paraId="33DA9D93" w14:textId="77777777" w:rsidR="004D6A64" w:rsidRDefault="004D6A64">
            <w:pPr>
              <w:rPr>
                <w:rFonts w:ascii="宋体"/>
                <w:vanish/>
              </w:rPr>
            </w:pPr>
          </w:p>
        </w:tc>
        <w:tc>
          <w:tcPr>
            <w:tcW w:w="0" w:type="auto"/>
            <w:gridSpan w:val="3"/>
            <w:shd w:val="clear" w:color="auto" w:fill="auto"/>
          </w:tcPr>
          <w:p w14:paraId="33DA9D94" w14:textId="77777777" w:rsidR="004D6A64" w:rsidRDefault="004D6A64">
            <w:pPr>
              <w:rPr>
                <w:rFonts w:ascii="宋体"/>
                <w:vanish/>
              </w:rPr>
            </w:pPr>
          </w:p>
        </w:tc>
        <w:tc>
          <w:tcPr>
            <w:tcW w:w="0" w:type="auto"/>
            <w:gridSpan w:val="3"/>
            <w:shd w:val="clear" w:color="auto" w:fill="auto"/>
          </w:tcPr>
          <w:p w14:paraId="33DA9D95" w14:textId="77777777" w:rsidR="004D6A64" w:rsidRDefault="004D6A64">
            <w:pPr>
              <w:rPr>
                <w:rFonts w:ascii="宋体"/>
                <w:vanish/>
              </w:rPr>
            </w:pPr>
          </w:p>
        </w:tc>
        <w:tc>
          <w:tcPr>
            <w:tcW w:w="0" w:type="auto"/>
            <w:gridSpan w:val="3"/>
            <w:shd w:val="clear" w:color="auto" w:fill="auto"/>
          </w:tcPr>
          <w:p w14:paraId="33DA9D96" w14:textId="77777777" w:rsidR="004D6A64" w:rsidRDefault="004D6A64">
            <w:pPr>
              <w:rPr>
                <w:rFonts w:ascii="宋体"/>
                <w:vanish/>
              </w:rPr>
            </w:pPr>
          </w:p>
        </w:tc>
        <w:tc>
          <w:tcPr>
            <w:tcW w:w="0" w:type="auto"/>
            <w:gridSpan w:val="3"/>
            <w:shd w:val="clear" w:color="auto" w:fill="auto"/>
          </w:tcPr>
          <w:p w14:paraId="33DA9D97" w14:textId="77777777" w:rsidR="004D6A64" w:rsidRDefault="004D6A64">
            <w:pPr>
              <w:rPr>
                <w:rFonts w:ascii="宋体"/>
                <w:vanish/>
              </w:rPr>
            </w:pPr>
          </w:p>
        </w:tc>
        <w:tc>
          <w:tcPr>
            <w:tcW w:w="0" w:type="auto"/>
            <w:gridSpan w:val="3"/>
            <w:shd w:val="clear" w:color="auto" w:fill="auto"/>
          </w:tcPr>
          <w:p w14:paraId="33DA9D98" w14:textId="77777777" w:rsidR="004D6A64" w:rsidRDefault="004D6A64">
            <w:pPr>
              <w:rPr>
                <w:rFonts w:ascii="宋体"/>
                <w:vanish/>
              </w:rPr>
            </w:pPr>
          </w:p>
        </w:tc>
        <w:tc>
          <w:tcPr>
            <w:tcW w:w="0" w:type="auto"/>
            <w:gridSpan w:val="3"/>
            <w:shd w:val="clear" w:color="auto" w:fill="auto"/>
          </w:tcPr>
          <w:p w14:paraId="33DA9D99" w14:textId="77777777" w:rsidR="004D6A64" w:rsidRDefault="004D6A64">
            <w:pPr>
              <w:rPr>
                <w:rFonts w:ascii="宋体"/>
                <w:vanish/>
              </w:rPr>
            </w:pPr>
          </w:p>
        </w:tc>
        <w:tc>
          <w:tcPr>
            <w:tcW w:w="0" w:type="auto"/>
            <w:gridSpan w:val="3"/>
            <w:shd w:val="clear" w:color="auto" w:fill="auto"/>
          </w:tcPr>
          <w:p w14:paraId="33DA9D9A" w14:textId="77777777" w:rsidR="004D6A64" w:rsidRDefault="004D6A64">
            <w:pPr>
              <w:rPr>
                <w:rFonts w:ascii="宋体"/>
                <w:vanish/>
              </w:rPr>
            </w:pPr>
          </w:p>
        </w:tc>
        <w:tc>
          <w:tcPr>
            <w:tcW w:w="0" w:type="auto"/>
            <w:gridSpan w:val="3"/>
            <w:shd w:val="clear" w:color="auto" w:fill="auto"/>
          </w:tcPr>
          <w:p w14:paraId="33DA9D9B" w14:textId="77777777" w:rsidR="004D6A64" w:rsidRDefault="004D6A64">
            <w:pPr>
              <w:rPr>
                <w:rFonts w:ascii="宋体"/>
                <w:vanish/>
              </w:rPr>
            </w:pPr>
          </w:p>
        </w:tc>
        <w:tc>
          <w:tcPr>
            <w:tcW w:w="0" w:type="auto"/>
            <w:gridSpan w:val="3"/>
            <w:shd w:val="clear" w:color="auto" w:fill="auto"/>
          </w:tcPr>
          <w:p w14:paraId="33DA9D9C" w14:textId="77777777" w:rsidR="004D6A64" w:rsidRDefault="004D6A64">
            <w:pPr>
              <w:rPr>
                <w:rFonts w:ascii="宋体"/>
                <w:vanish/>
              </w:rPr>
            </w:pPr>
          </w:p>
        </w:tc>
        <w:tc>
          <w:tcPr>
            <w:tcW w:w="0" w:type="auto"/>
            <w:gridSpan w:val="3"/>
            <w:shd w:val="clear" w:color="auto" w:fill="auto"/>
          </w:tcPr>
          <w:p w14:paraId="33DA9D9D" w14:textId="77777777" w:rsidR="004D6A64" w:rsidRDefault="004D6A64">
            <w:pPr>
              <w:rPr>
                <w:rFonts w:ascii="宋体"/>
                <w:vanish/>
              </w:rPr>
            </w:pPr>
          </w:p>
        </w:tc>
        <w:tc>
          <w:tcPr>
            <w:tcW w:w="0" w:type="auto"/>
            <w:gridSpan w:val="3"/>
            <w:shd w:val="clear" w:color="auto" w:fill="auto"/>
          </w:tcPr>
          <w:p w14:paraId="33DA9D9E" w14:textId="77777777" w:rsidR="004D6A64" w:rsidRDefault="004D6A64">
            <w:pPr>
              <w:rPr>
                <w:rFonts w:ascii="宋体"/>
                <w:vanish/>
              </w:rPr>
            </w:pPr>
          </w:p>
        </w:tc>
        <w:tc>
          <w:tcPr>
            <w:tcW w:w="0" w:type="auto"/>
            <w:gridSpan w:val="3"/>
            <w:shd w:val="clear" w:color="auto" w:fill="auto"/>
          </w:tcPr>
          <w:p w14:paraId="33DA9D9F" w14:textId="77777777" w:rsidR="004D6A64" w:rsidRDefault="004D6A64">
            <w:pPr>
              <w:rPr>
                <w:rFonts w:ascii="宋体"/>
                <w:vanish/>
              </w:rPr>
            </w:pPr>
          </w:p>
        </w:tc>
        <w:tc>
          <w:tcPr>
            <w:tcW w:w="0" w:type="auto"/>
            <w:shd w:val="clear" w:color="auto" w:fill="auto"/>
          </w:tcPr>
          <w:p w14:paraId="33DA9DA0" w14:textId="77777777" w:rsidR="004D6A64" w:rsidRDefault="004D6A64">
            <w:pPr>
              <w:rPr>
                <w:rFonts w:ascii="宋体"/>
              </w:rPr>
            </w:pPr>
          </w:p>
        </w:tc>
        <w:tc>
          <w:tcPr>
            <w:tcW w:w="0" w:type="auto"/>
            <w:shd w:val="clear" w:color="auto" w:fill="auto"/>
          </w:tcPr>
          <w:p w14:paraId="33DA9DA1" w14:textId="77777777" w:rsidR="004D6A64" w:rsidRDefault="004D6A64">
            <w:pPr>
              <w:rPr>
                <w:rFonts w:ascii="宋体"/>
              </w:rPr>
            </w:pPr>
          </w:p>
        </w:tc>
        <w:tc>
          <w:tcPr>
            <w:tcW w:w="0" w:type="auto"/>
            <w:shd w:val="clear" w:color="auto" w:fill="auto"/>
          </w:tcPr>
          <w:p w14:paraId="33DA9DA2" w14:textId="77777777" w:rsidR="004D6A64" w:rsidRDefault="004D6A64">
            <w:pPr>
              <w:rPr>
                <w:rFonts w:ascii="宋体"/>
              </w:rPr>
            </w:pPr>
          </w:p>
        </w:tc>
        <w:tc>
          <w:tcPr>
            <w:tcW w:w="0" w:type="auto"/>
            <w:shd w:val="clear" w:color="auto" w:fill="auto"/>
          </w:tcPr>
          <w:p w14:paraId="33DA9DA3" w14:textId="77777777" w:rsidR="004D6A64" w:rsidRDefault="004D6A64">
            <w:pPr>
              <w:rPr>
                <w:rFonts w:ascii="宋体"/>
              </w:rPr>
            </w:pPr>
          </w:p>
        </w:tc>
        <w:tc>
          <w:tcPr>
            <w:tcW w:w="0" w:type="auto"/>
            <w:shd w:val="clear" w:color="auto" w:fill="auto"/>
          </w:tcPr>
          <w:p w14:paraId="33DA9DA4" w14:textId="77777777" w:rsidR="004D6A64" w:rsidRDefault="004D6A64">
            <w:pPr>
              <w:rPr>
                <w:rFonts w:ascii="宋体"/>
              </w:rPr>
            </w:pPr>
          </w:p>
        </w:tc>
        <w:tc>
          <w:tcPr>
            <w:tcW w:w="0" w:type="auto"/>
            <w:shd w:val="clear" w:color="auto" w:fill="auto"/>
          </w:tcPr>
          <w:p w14:paraId="33DA9DA5" w14:textId="77777777" w:rsidR="004D6A64" w:rsidRDefault="004D6A64">
            <w:pPr>
              <w:rPr>
                <w:rFonts w:ascii="宋体"/>
              </w:rPr>
            </w:pPr>
          </w:p>
        </w:tc>
        <w:tc>
          <w:tcPr>
            <w:tcW w:w="0" w:type="auto"/>
            <w:shd w:val="clear" w:color="auto" w:fill="auto"/>
          </w:tcPr>
          <w:p w14:paraId="33DA9DA6" w14:textId="77777777" w:rsidR="004D6A64" w:rsidRDefault="004D6A64">
            <w:pPr>
              <w:rPr>
                <w:rFonts w:ascii="宋体"/>
              </w:rPr>
            </w:pPr>
          </w:p>
        </w:tc>
        <w:tc>
          <w:tcPr>
            <w:tcW w:w="0" w:type="auto"/>
            <w:shd w:val="clear" w:color="auto" w:fill="auto"/>
          </w:tcPr>
          <w:p w14:paraId="33DA9DA7" w14:textId="77777777" w:rsidR="004D6A64" w:rsidRDefault="004D6A64">
            <w:pPr>
              <w:rPr>
                <w:rFonts w:ascii="宋体"/>
              </w:rPr>
            </w:pPr>
          </w:p>
        </w:tc>
        <w:tc>
          <w:tcPr>
            <w:tcW w:w="0" w:type="auto"/>
            <w:shd w:val="clear" w:color="auto" w:fill="auto"/>
          </w:tcPr>
          <w:p w14:paraId="33DA9DA8" w14:textId="77777777" w:rsidR="004D6A64" w:rsidRDefault="004D6A64">
            <w:pPr>
              <w:rPr>
                <w:rFonts w:ascii="宋体"/>
              </w:rPr>
            </w:pPr>
          </w:p>
        </w:tc>
      </w:tr>
      <w:tr w:rsidR="00506CD6" w14:paraId="33DA9DCE" w14:textId="77777777">
        <w:tc>
          <w:tcPr>
            <w:tcW w:w="0" w:type="auto"/>
            <w:gridSpan w:val="3"/>
            <w:shd w:val="clear" w:color="auto" w:fill="FFFFFF"/>
            <w:tcMar>
              <w:top w:w="40" w:type="dxa"/>
              <w:left w:w="120" w:type="dxa"/>
              <w:bottom w:w="40" w:type="dxa"/>
              <w:right w:w="20" w:type="dxa"/>
            </w:tcMar>
            <w:vAlign w:val="bottom"/>
          </w:tcPr>
          <w:p w14:paraId="33DA9DAA" w14:textId="77777777" w:rsidR="004D6A64" w:rsidRDefault="00506CD6">
            <w:pPr>
              <w:textAlignment w:val="bottom"/>
            </w:pPr>
            <w:r>
              <w:rPr>
                <w:rFonts w:ascii="Times New Roman" w:eastAsia="宋体" w:hAnsi="Times New Roman"/>
                <w:color w:val="000000"/>
                <w:sz w:val="20"/>
                <w:szCs w:val="20"/>
              </w:rPr>
              <w:t>Revaluation of redeemable shares</w:t>
            </w:r>
          </w:p>
        </w:tc>
        <w:tc>
          <w:tcPr>
            <w:tcW w:w="0" w:type="auto"/>
            <w:gridSpan w:val="2"/>
            <w:shd w:val="clear" w:color="auto" w:fill="FFFFFF"/>
            <w:tcMar>
              <w:top w:w="40" w:type="dxa"/>
              <w:left w:w="20" w:type="dxa"/>
              <w:bottom w:w="40" w:type="dxa"/>
              <w:right w:w="0" w:type="dxa"/>
            </w:tcMar>
            <w:vAlign w:val="bottom"/>
          </w:tcPr>
          <w:p w14:paraId="33DA9DAB"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DA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DAD"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DAE" w14:textId="77777777" w:rsidR="004D6A64" w:rsidRDefault="00506CD6">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bottom w:w="40" w:type="dxa"/>
              <w:right w:w="20" w:type="dxa"/>
            </w:tcMar>
            <w:vAlign w:val="bottom"/>
          </w:tcPr>
          <w:p w14:paraId="33DA9DA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DB0"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DB1"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DB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DB3"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DB4"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DB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DB6"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DB7"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DB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DB9"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DBA"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DB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DBC"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DBD" w14:textId="77777777" w:rsidR="004D6A64" w:rsidRDefault="00506CD6">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bottom w:w="40" w:type="dxa"/>
              <w:right w:w="20" w:type="dxa"/>
            </w:tcMar>
            <w:vAlign w:val="bottom"/>
          </w:tcPr>
          <w:p w14:paraId="33DA9DB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DBF"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DC0"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DC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DC2"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bottom"/>
          </w:tcPr>
          <w:p w14:paraId="33DA9DC3" w14:textId="77777777" w:rsidR="004D6A64" w:rsidRDefault="00506CD6">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bottom w:w="40" w:type="dxa"/>
              <w:right w:w="20" w:type="dxa"/>
            </w:tcMar>
            <w:vAlign w:val="bottom"/>
          </w:tcPr>
          <w:p w14:paraId="33DA9DC4" w14:textId="77777777" w:rsidR="004D6A64" w:rsidRDefault="004D6A64">
            <w:pPr>
              <w:jc w:val="right"/>
              <w:rPr>
                <w:rFonts w:ascii="宋体"/>
              </w:rPr>
            </w:pPr>
          </w:p>
        </w:tc>
        <w:tc>
          <w:tcPr>
            <w:tcW w:w="0" w:type="auto"/>
            <w:shd w:val="clear" w:color="auto" w:fill="auto"/>
          </w:tcPr>
          <w:p w14:paraId="33DA9DC5" w14:textId="77777777" w:rsidR="004D6A64" w:rsidRDefault="004D6A64">
            <w:pPr>
              <w:rPr>
                <w:rFonts w:ascii="宋体"/>
              </w:rPr>
            </w:pPr>
          </w:p>
        </w:tc>
        <w:tc>
          <w:tcPr>
            <w:tcW w:w="0" w:type="auto"/>
            <w:shd w:val="clear" w:color="auto" w:fill="auto"/>
          </w:tcPr>
          <w:p w14:paraId="33DA9DC6" w14:textId="77777777" w:rsidR="004D6A64" w:rsidRDefault="004D6A64">
            <w:pPr>
              <w:rPr>
                <w:rFonts w:ascii="宋体"/>
              </w:rPr>
            </w:pPr>
          </w:p>
        </w:tc>
        <w:tc>
          <w:tcPr>
            <w:tcW w:w="0" w:type="auto"/>
            <w:shd w:val="clear" w:color="auto" w:fill="auto"/>
          </w:tcPr>
          <w:p w14:paraId="33DA9DC7" w14:textId="77777777" w:rsidR="004D6A64" w:rsidRDefault="004D6A64">
            <w:pPr>
              <w:rPr>
                <w:rFonts w:ascii="宋体"/>
              </w:rPr>
            </w:pPr>
          </w:p>
        </w:tc>
        <w:tc>
          <w:tcPr>
            <w:tcW w:w="0" w:type="auto"/>
            <w:shd w:val="clear" w:color="auto" w:fill="auto"/>
          </w:tcPr>
          <w:p w14:paraId="33DA9DC8" w14:textId="77777777" w:rsidR="004D6A64" w:rsidRDefault="004D6A64">
            <w:pPr>
              <w:rPr>
                <w:rFonts w:ascii="宋体"/>
              </w:rPr>
            </w:pPr>
          </w:p>
        </w:tc>
        <w:tc>
          <w:tcPr>
            <w:tcW w:w="0" w:type="auto"/>
            <w:shd w:val="clear" w:color="auto" w:fill="auto"/>
          </w:tcPr>
          <w:p w14:paraId="33DA9DC9" w14:textId="77777777" w:rsidR="004D6A64" w:rsidRDefault="004D6A64">
            <w:pPr>
              <w:rPr>
                <w:rFonts w:ascii="宋体"/>
              </w:rPr>
            </w:pPr>
          </w:p>
        </w:tc>
        <w:tc>
          <w:tcPr>
            <w:tcW w:w="0" w:type="auto"/>
            <w:shd w:val="clear" w:color="auto" w:fill="auto"/>
          </w:tcPr>
          <w:p w14:paraId="33DA9DCA" w14:textId="77777777" w:rsidR="004D6A64" w:rsidRDefault="004D6A64">
            <w:pPr>
              <w:rPr>
                <w:rFonts w:ascii="宋体"/>
              </w:rPr>
            </w:pPr>
          </w:p>
        </w:tc>
        <w:tc>
          <w:tcPr>
            <w:tcW w:w="0" w:type="auto"/>
            <w:shd w:val="clear" w:color="auto" w:fill="auto"/>
          </w:tcPr>
          <w:p w14:paraId="33DA9DCB" w14:textId="77777777" w:rsidR="004D6A64" w:rsidRDefault="004D6A64">
            <w:pPr>
              <w:rPr>
                <w:rFonts w:ascii="宋体"/>
              </w:rPr>
            </w:pPr>
          </w:p>
        </w:tc>
        <w:tc>
          <w:tcPr>
            <w:tcW w:w="0" w:type="auto"/>
            <w:shd w:val="clear" w:color="auto" w:fill="auto"/>
          </w:tcPr>
          <w:p w14:paraId="33DA9DCC" w14:textId="77777777" w:rsidR="004D6A64" w:rsidRDefault="004D6A64">
            <w:pPr>
              <w:rPr>
                <w:rFonts w:ascii="宋体"/>
              </w:rPr>
            </w:pPr>
          </w:p>
        </w:tc>
        <w:tc>
          <w:tcPr>
            <w:tcW w:w="0" w:type="auto"/>
            <w:shd w:val="clear" w:color="auto" w:fill="auto"/>
          </w:tcPr>
          <w:p w14:paraId="33DA9DCD" w14:textId="77777777" w:rsidR="004D6A64" w:rsidRDefault="004D6A64">
            <w:pPr>
              <w:rPr>
                <w:rFonts w:ascii="宋体"/>
              </w:rPr>
            </w:pPr>
          </w:p>
        </w:tc>
      </w:tr>
      <w:tr w:rsidR="00506CD6" w14:paraId="33DA9DF3" w14:textId="77777777">
        <w:tc>
          <w:tcPr>
            <w:tcW w:w="0" w:type="auto"/>
            <w:gridSpan w:val="3"/>
            <w:shd w:val="clear" w:color="auto" w:fill="CCEEFF"/>
            <w:tcMar>
              <w:top w:w="40" w:type="dxa"/>
              <w:left w:w="120" w:type="dxa"/>
              <w:bottom w:w="40" w:type="dxa"/>
              <w:right w:w="20" w:type="dxa"/>
            </w:tcMar>
            <w:vAlign w:val="bottom"/>
          </w:tcPr>
          <w:p w14:paraId="33DA9DCF" w14:textId="77777777" w:rsidR="004D6A64" w:rsidRDefault="00506CD6">
            <w:pPr>
              <w:textAlignment w:val="bottom"/>
            </w:pPr>
            <w:r>
              <w:rPr>
                <w:rFonts w:ascii="Times New Roman" w:eastAsia="宋体" w:hAnsi="Times New Roman"/>
                <w:color w:val="000000"/>
                <w:sz w:val="20"/>
                <w:szCs w:val="20"/>
              </w:rPr>
              <w:t>Impact from equity transactions of non-controlling interests</w:t>
            </w:r>
          </w:p>
        </w:tc>
        <w:tc>
          <w:tcPr>
            <w:tcW w:w="0" w:type="auto"/>
            <w:gridSpan w:val="2"/>
            <w:shd w:val="clear" w:color="auto" w:fill="CCEEFF"/>
            <w:tcMar>
              <w:top w:w="40" w:type="dxa"/>
              <w:left w:w="20" w:type="dxa"/>
              <w:bottom w:w="40" w:type="dxa"/>
              <w:right w:w="0" w:type="dxa"/>
            </w:tcMar>
            <w:vAlign w:val="bottom"/>
          </w:tcPr>
          <w:p w14:paraId="33DA9DD0"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DD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DD2"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DD3" w14:textId="77777777" w:rsidR="004D6A64" w:rsidRDefault="00506CD6">
            <w:pPr>
              <w:jc w:val="right"/>
              <w:textAlignment w:val="bottom"/>
            </w:pPr>
            <w:r>
              <w:rPr>
                <w:rFonts w:ascii="Times New Roman" w:eastAsia="宋体" w:hAnsi="Times New Roman"/>
                <w:color w:val="000000"/>
                <w:sz w:val="20"/>
                <w:szCs w:val="20"/>
              </w:rPr>
              <w:t>(123)</w:t>
            </w:r>
          </w:p>
        </w:tc>
        <w:tc>
          <w:tcPr>
            <w:tcW w:w="0" w:type="auto"/>
            <w:shd w:val="clear" w:color="auto" w:fill="CCEEFF"/>
            <w:tcMar>
              <w:top w:w="40" w:type="dxa"/>
              <w:bottom w:w="40" w:type="dxa"/>
              <w:right w:w="20" w:type="dxa"/>
            </w:tcMar>
            <w:vAlign w:val="bottom"/>
          </w:tcPr>
          <w:p w14:paraId="33DA9DD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DD5"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DD6"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DD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DD8"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DD9"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DD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DDB"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DDC" w14:textId="77777777" w:rsidR="004D6A64" w:rsidRDefault="00506CD6">
            <w:pPr>
              <w:jc w:val="right"/>
              <w:textAlignment w:val="bottom"/>
            </w:pPr>
            <w:r>
              <w:rPr>
                <w:rFonts w:ascii="Times New Roman" w:eastAsia="宋体" w:hAnsi="Times New Roman"/>
                <w:color w:val="000000"/>
                <w:sz w:val="20"/>
                <w:szCs w:val="20"/>
              </w:rPr>
              <w:t>(138)</w:t>
            </w:r>
          </w:p>
        </w:tc>
        <w:tc>
          <w:tcPr>
            <w:tcW w:w="0" w:type="auto"/>
            <w:shd w:val="clear" w:color="auto" w:fill="CCEEFF"/>
            <w:tcMar>
              <w:top w:w="40" w:type="dxa"/>
              <w:bottom w:w="40" w:type="dxa"/>
              <w:right w:w="20" w:type="dxa"/>
            </w:tcMar>
            <w:vAlign w:val="bottom"/>
          </w:tcPr>
          <w:p w14:paraId="33DA9DD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DDE"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DDF"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DE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DE1"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DE2" w14:textId="77777777" w:rsidR="004D6A64" w:rsidRDefault="00506CD6">
            <w:pPr>
              <w:jc w:val="right"/>
              <w:textAlignment w:val="bottom"/>
            </w:pPr>
            <w:r>
              <w:rPr>
                <w:rFonts w:ascii="Times New Roman" w:eastAsia="宋体" w:hAnsi="Times New Roman"/>
                <w:color w:val="000000"/>
                <w:sz w:val="20"/>
                <w:szCs w:val="20"/>
              </w:rPr>
              <w:t>(261)</w:t>
            </w:r>
          </w:p>
        </w:tc>
        <w:tc>
          <w:tcPr>
            <w:tcW w:w="0" w:type="auto"/>
            <w:shd w:val="clear" w:color="auto" w:fill="CCEEFF"/>
            <w:tcMar>
              <w:top w:w="40" w:type="dxa"/>
              <w:bottom w:w="40" w:type="dxa"/>
              <w:right w:w="20" w:type="dxa"/>
            </w:tcMar>
            <w:vAlign w:val="bottom"/>
          </w:tcPr>
          <w:p w14:paraId="33DA9DE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DE4"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DE5" w14:textId="77777777" w:rsidR="004D6A64" w:rsidRDefault="00506CD6">
            <w:pPr>
              <w:jc w:val="right"/>
              <w:textAlignment w:val="bottom"/>
            </w:pPr>
            <w:r>
              <w:rPr>
                <w:rFonts w:ascii="Times New Roman" w:eastAsia="宋体" w:hAnsi="Times New Roman"/>
                <w:color w:val="000000"/>
                <w:sz w:val="20"/>
                <w:szCs w:val="20"/>
              </w:rPr>
              <w:t>(314)</w:t>
            </w:r>
          </w:p>
        </w:tc>
        <w:tc>
          <w:tcPr>
            <w:tcW w:w="0" w:type="auto"/>
            <w:shd w:val="clear" w:color="auto" w:fill="CCEEFF"/>
            <w:tcMar>
              <w:top w:w="40" w:type="dxa"/>
              <w:bottom w:w="40" w:type="dxa"/>
              <w:right w:w="20" w:type="dxa"/>
            </w:tcMar>
            <w:vAlign w:val="bottom"/>
          </w:tcPr>
          <w:p w14:paraId="33DA9DE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DE7"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bottom"/>
          </w:tcPr>
          <w:p w14:paraId="33DA9DE8" w14:textId="77777777" w:rsidR="004D6A64" w:rsidRDefault="00506CD6">
            <w:pPr>
              <w:jc w:val="right"/>
              <w:textAlignment w:val="bottom"/>
            </w:pPr>
            <w:r>
              <w:rPr>
                <w:rFonts w:ascii="Times New Roman" w:eastAsia="宋体" w:hAnsi="Times New Roman"/>
                <w:color w:val="000000"/>
                <w:sz w:val="20"/>
                <w:szCs w:val="20"/>
              </w:rPr>
              <w:t>(575)</w:t>
            </w:r>
          </w:p>
        </w:tc>
        <w:tc>
          <w:tcPr>
            <w:tcW w:w="0" w:type="auto"/>
            <w:shd w:val="clear" w:color="auto" w:fill="CCEEFF"/>
            <w:tcMar>
              <w:top w:w="40" w:type="dxa"/>
              <w:bottom w:w="40" w:type="dxa"/>
              <w:right w:w="20" w:type="dxa"/>
            </w:tcMar>
            <w:vAlign w:val="bottom"/>
          </w:tcPr>
          <w:p w14:paraId="33DA9DE9" w14:textId="77777777" w:rsidR="004D6A64" w:rsidRDefault="004D6A64">
            <w:pPr>
              <w:jc w:val="right"/>
              <w:rPr>
                <w:rFonts w:ascii="宋体"/>
              </w:rPr>
            </w:pPr>
          </w:p>
        </w:tc>
        <w:tc>
          <w:tcPr>
            <w:tcW w:w="0" w:type="auto"/>
            <w:shd w:val="clear" w:color="auto" w:fill="auto"/>
          </w:tcPr>
          <w:p w14:paraId="33DA9DEA" w14:textId="77777777" w:rsidR="004D6A64" w:rsidRDefault="004D6A64">
            <w:pPr>
              <w:rPr>
                <w:rFonts w:ascii="宋体"/>
              </w:rPr>
            </w:pPr>
          </w:p>
        </w:tc>
        <w:tc>
          <w:tcPr>
            <w:tcW w:w="0" w:type="auto"/>
            <w:shd w:val="clear" w:color="auto" w:fill="auto"/>
          </w:tcPr>
          <w:p w14:paraId="33DA9DEB" w14:textId="77777777" w:rsidR="004D6A64" w:rsidRDefault="004D6A64">
            <w:pPr>
              <w:rPr>
                <w:rFonts w:ascii="宋体"/>
              </w:rPr>
            </w:pPr>
          </w:p>
        </w:tc>
        <w:tc>
          <w:tcPr>
            <w:tcW w:w="0" w:type="auto"/>
            <w:shd w:val="clear" w:color="auto" w:fill="auto"/>
          </w:tcPr>
          <w:p w14:paraId="33DA9DEC" w14:textId="77777777" w:rsidR="004D6A64" w:rsidRDefault="004D6A64">
            <w:pPr>
              <w:rPr>
                <w:rFonts w:ascii="宋体"/>
              </w:rPr>
            </w:pPr>
          </w:p>
        </w:tc>
        <w:tc>
          <w:tcPr>
            <w:tcW w:w="0" w:type="auto"/>
            <w:shd w:val="clear" w:color="auto" w:fill="auto"/>
          </w:tcPr>
          <w:p w14:paraId="33DA9DED" w14:textId="77777777" w:rsidR="004D6A64" w:rsidRDefault="004D6A64">
            <w:pPr>
              <w:rPr>
                <w:rFonts w:ascii="宋体"/>
              </w:rPr>
            </w:pPr>
          </w:p>
        </w:tc>
        <w:tc>
          <w:tcPr>
            <w:tcW w:w="0" w:type="auto"/>
            <w:shd w:val="clear" w:color="auto" w:fill="auto"/>
          </w:tcPr>
          <w:p w14:paraId="33DA9DEE" w14:textId="77777777" w:rsidR="004D6A64" w:rsidRDefault="004D6A64">
            <w:pPr>
              <w:rPr>
                <w:rFonts w:ascii="宋体"/>
              </w:rPr>
            </w:pPr>
          </w:p>
        </w:tc>
        <w:tc>
          <w:tcPr>
            <w:tcW w:w="0" w:type="auto"/>
            <w:shd w:val="clear" w:color="auto" w:fill="auto"/>
          </w:tcPr>
          <w:p w14:paraId="33DA9DEF" w14:textId="77777777" w:rsidR="004D6A64" w:rsidRDefault="004D6A64">
            <w:pPr>
              <w:rPr>
                <w:rFonts w:ascii="宋体"/>
              </w:rPr>
            </w:pPr>
          </w:p>
        </w:tc>
        <w:tc>
          <w:tcPr>
            <w:tcW w:w="0" w:type="auto"/>
            <w:shd w:val="clear" w:color="auto" w:fill="auto"/>
          </w:tcPr>
          <w:p w14:paraId="33DA9DF0" w14:textId="77777777" w:rsidR="004D6A64" w:rsidRDefault="004D6A64">
            <w:pPr>
              <w:rPr>
                <w:rFonts w:ascii="宋体"/>
              </w:rPr>
            </w:pPr>
          </w:p>
        </w:tc>
        <w:tc>
          <w:tcPr>
            <w:tcW w:w="0" w:type="auto"/>
            <w:shd w:val="clear" w:color="auto" w:fill="auto"/>
          </w:tcPr>
          <w:p w14:paraId="33DA9DF1" w14:textId="77777777" w:rsidR="004D6A64" w:rsidRDefault="004D6A64">
            <w:pPr>
              <w:rPr>
                <w:rFonts w:ascii="宋体"/>
              </w:rPr>
            </w:pPr>
          </w:p>
        </w:tc>
        <w:tc>
          <w:tcPr>
            <w:tcW w:w="0" w:type="auto"/>
            <w:shd w:val="clear" w:color="auto" w:fill="auto"/>
          </w:tcPr>
          <w:p w14:paraId="33DA9DF2" w14:textId="77777777" w:rsidR="004D6A64" w:rsidRDefault="004D6A64">
            <w:pPr>
              <w:rPr>
                <w:rFonts w:ascii="宋体"/>
              </w:rPr>
            </w:pPr>
          </w:p>
        </w:tc>
      </w:tr>
      <w:tr w:rsidR="004D6A64" w14:paraId="33DA9E0F" w14:textId="77777777">
        <w:trPr>
          <w:hidden/>
        </w:trPr>
        <w:tc>
          <w:tcPr>
            <w:tcW w:w="0" w:type="auto"/>
            <w:gridSpan w:val="3"/>
            <w:shd w:val="clear" w:color="auto" w:fill="auto"/>
          </w:tcPr>
          <w:p w14:paraId="33DA9DF4" w14:textId="77777777" w:rsidR="004D6A64" w:rsidRDefault="004D6A64">
            <w:pPr>
              <w:rPr>
                <w:rFonts w:ascii="宋体"/>
                <w:vanish/>
              </w:rPr>
            </w:pPr>
          </w:p>
        </w:tc>
        <w:tc>
          <w:tcPr>
            <w:tcW w:w="0" w:type="auto"/>
            <w:gridSpan w:val="3"/>
            <w:shd w:val="clear" w:color="auto" w:fill="auto"/>
          </w:tcPr>
          <w:p w14:paraId="33DA9DF5" w14:textId="77777777" w:rsidR="004D6A64" w:rsidRDefault="004D6A64">
            <w:pPr>
              <w:rPr>
                <w:rFonts w:ascii="宋体"/>
                <w:vanish/>
              </w:rPr>
            </w:pPr>
          </w:p>
        </w:tc>
        <w:tc>
          <w:tcPr>
            <w:tcW w:w="0" w:type="auto"/>
            <w:gridSpan w:val="3"/>
            <w:shd w:val="clear" w:color="auto" w:fill="auto"/>
          </w:tcPr>
          <w:p w14:paraId="33DA9DF6" w14:textId="77777777" w:rsidR="004D6A64" w:rsidRDefault="004D6A64">
            <w:pPr>
              <w:rPr>
                <w:rFonts w:ascii="宋体"/>
                <w:vanish/>
              </w:rPr>
            </w:pPr>
          </w:p>
        </w:tc>
        <w:tc>
          <w:tcPr>
            <w:tcW w:w="0" w:type="auto"/>
            <w:gridSpan w:val="3"/>
            <w:shd w:val="clear" w:color="auto" w:fill="auto"/>
          </w:tcPr>
          <w:p w14:paraId="33DA9DF7" w14:textId="77777777" w:rsidR="004D6A64" w:rsidRDefault="004D6A64">
            <w:pPr>
              <w:rPr>
                <w:rFonts w:ascii="宋体"/>
                <w:vanish/>
              </w:rPr>
            </w:pPr>
          </w:p>
        </w:tc>
        <w:tc>
          <w:tcPr>
            <w:tcW w:w="0" w:type="auto"/>
            <w:gridSpan w:val="3"/>
            <w:shd w:val="clear" w:color="auto" w:fill="auto"/>
          </w:tcPr>
          <w:p w14:paraId="33DA9DF8" w14:textId="77777777" w:rsidR="004D6A64" w:rsidRDefault="004D6A64">
            <w:pPr>
              <w:rPr>
                <w:rFonts w:ascii="宋体"/>
                <w:vanish/>
              </w:rPr>
            </w:pPr>
          </w:p>
        </w:tc>
        <w:tc>
          <w:tcPr>
            <w:tcW w:w="0" w:type="auto"/>
            <w:gridSpan w:val="3"/>
            <w:shd w:val="clear" w:color="auto" w:fill="auto"/>
          </w:tcPr>
          <w:p w14:paraId="33DA9DF9" w14:textId="77777777" w:rsidR="004D6A64" w:rsidRDefault="004D6A64">
            <w:pPr>
              <w:rPr>
                <w:rFonts w:ascii="宋体"/>
                <w:vanish/>
              </w:rPr>
            </w:pPr>
          </w:p>
        </w:tc>
        <w:tc>
          <w:tcPr>
            <w:tcW w:w="0" w:type="auto"/>
            <w:gridSpan w:val="3"/>
            <w:shd w:val="clear" w:color="auto" w:fill="auto"/>
          </w:tcPr>
          <w:p w14:paraId="33DA9DFA" w14:textId="77777777" w:rsidR="004D6A64" w:rsidRDefault="004D6A64">
            <w:pPr>
              <w:rPr>
                <w:rFonts w:ascii="宋体"/>
                <w:vanish/>
              </w:rPr>
            </w:pPr>
          </w:p>
        </w:tc>
        <w:tc>
          <w:tcPr>
            <w:tcW w:w="0" w:type="auto"/>
            <w:gridSpan w:val="3"/>
            <w:shd w:val="clear" w:color="auto" w:fill="auto"/>
          </w:tcPr>
          <w:p w14:paraId="33DA9DFB" w14:textId="77777777" w:rsidR="004D6A64" w:rsidRDefault="004D6A64">
            <w:pPr>
              <w:rPr>
                <w:rFonts w:ascii="宋体"/>
                <w:vanish/>
              </w:rPr>
            </w:pPr>
          </w:p>
        </w:tc>
        <w:tc>
          <w:tcPr>
            <w:tcW w:w="0" w:type="auto"/>
            <w:gridSpan w:val="3"/>
            <w:shd w:val="clear" w:color="auto" w:fill="auto"/>
          </w:tcPr>
          <w:p w14:paraId="33DA9DFC" w14:textId="77777777" w:rsidR="004D6A64" w:rsidRDefault="004D6A64">
            <w:pPr>
              <w:rPr>
                <w:rFonts w:ascii="宋体"/>
                <w:vanish/>
              </w:rPr>
            </w:pPr>
          </w:p>
        </w:tc>
        <w:tc>
          <w:tcPr>
            <w:tcW w:w="0" w:type="auto"/>
            <w:gridSpan w:val="3"/>
            <w:shd w:val="clear" w:color="auto" w:fill="auto"/>
          </w:tcPr>
          <w:p w14:paraId="33DA9DFD" w14:textId="77777777" w:rsidR="004D6A64" w:rsidRDefault="004D6A64">
            <w:pPr>
              <w:rPr>
                <w:rFonts w:ascii="宋体"/>
                <w:vanish/>
              </w:rPr>
            </w:pPr>
          </w:p>
        </w:tc>
        <w:tc>
          <w:tcPr>
            <w:tcW w:w="0" w:type="auto"/>
            <w:gridSpan w:val="3"/>
            <w:shd w:val="clear" w:color="auto" w:fill="auto"/>
          </w:tcPr>
          <w:p w14:paraId="33DA9DFE" w14:textId="77777777" w:rsidR="004D6A64" w:rsidRDefault="004D6A64">
            <w:pPr>
              <w:rPr>
                <w:rFonts w:ascii="宋体"/>
                <w:vanish/>
              </w:rPr>
            </w:pPr>
          </w:p>
        </w:tc>
        <w:tc>
          <w:tcPr>
            <w:tcW w:w="0" w:type="auto"/>
            <w:gridSpan w:val="3"/>
            <w:shd w:val="clear" w:color="auto" w:fill="auto"/>
          </w:tcPr>
          <w:p w14:paraId="33DA9DFF" w14:textId="77777777" w:rsidR="004D6A64" w:rsidRDefault="004D6A64">
            <w:pPr>
              <w:rPr>
                <w:rFonts w:ascii="宋体"/>
                <w:vanish/>
              </w:rPr>
            </w:pPr>
          </w:p>
        </w:tc>
        <w:tc>
          <w:tcPr>
            <w:tcW w:w="0" w:type="auto"/>
            <w:gridSpan w:val="3"/>
            <w:shd w:val="clear" w:color="auto" w:fill="auto"/>
          </w:tcPr>
          <w:p w14:paraId="33DA9E00" w14:textId="77777777" w:rsidR="004D6A64" w:rsidRDefault="004D6A64">
            <w:pPr>
              <w:rPr>
                <w:rFonts w:ascii="宋体"/>
                <w:vanish/>
              </w:rPr>
            </w:pPr>
          </w:p>
        </w:tc>
        <w:tc>
          <w:tcPr>
            <w:tcW w:w="0" w:type="auto"/>
            <w:gridSpan w:val="3"/>
            <w:shd w:val="clear" w:color="auto" w:fill="auto"/>
          </w:tcPr>
          <w:p w14:paraId="33DA9E01" w14:textId="77777777" w:rsidR="004D6A64" w:rsidRDefault="004D6A64">
            <w:pPr>
              <w:rPr>
                <w:rFonts w:ascii="宋体"/>
                <w:vanish/>
              </w:rPr>
            </w:pPr>
          </w:p>
        </w:tc>
        <w:tc>
          <w:tcPr>
            <w:tcW w:w="0" w:type="auto"/>
            <w:gridSpan w:val="3"/>
            <w:shd w:val="clear" w:color="auto" w:fill="auto"/>
          </w:tcPr>
          <w:p w14:paraId="33DA9E02" w14:textId="77777777" w:rsidR="004D6A64" w:rsidRDefault="004D6A64">
            <w:pPr>
              <w:rPr>
                <w:rFonts w:ascii="宋体"/>
                <w:vanish/>
              </w:rPr>
            </w:pPr>
          </w:p>
        </w:tc>
        <w:tc>
          <w:tcPr>
            <w:tcW w:w="0" w:type="auto"/>
            <w:gridSpan w:val="3"/>
            <w:shd w:val="clear" w:color="auto" w:fill="auto"/>
          </w:tcPr>
          <w:p w14:paraId="33DA9E03" w14:textId="77777777" w:rsidR="004D6A64" w:rsidRDefault="004D6A64">
            <w:pPr>
              <w:rPr>
                <w:rFonts w:ascii="宋体"/>
                <w:vanish/>
              </w:rPr>
            </w:pPr>
          </w:p>
        </w:tc>
        <w:tc>
          <w:tcPr>
            <w:tcW w:w="0" w:type="auto"/>
            <w:gridSpan w:val="3"/>
            <w:shd w:val="clear" w:color="auto" w:fill="auto"/>
          </w:tcPr>
          <w:p w14:paraId="33DA9E04" w14:textId="77777777" w:rsidR="004D6A64" w:rsidRDefault="004D6A64">
            <w:pPr>
              <w:rPr>
                <w:rFonts w:ascii="宋体"/>
                <w:vanish/>
              </w:rPr>
            </w:pPr>
          </w:p>
        </w:tc>
        <w:tc>
          <w:tcPr>
            <w:tcW w:w="0" w:type="auto"/>
            <w:gridSpan w:val="3"/>
            <w:shd w:val="clear" w:color="auto" w:fill="auto"/>
          </w:tcPr>
          <w:p w14:paraId="33DA9E05" w14:textId="77777777" w:rsidR="004D6A64" w:rsidRDefault="004D6A64">
            <w:pPr>
              <w:rPr>
                <w:rFonts w:ascii="宋体"/>
                <w:vanish/>
              </w:rPr>
            </w:pPr>
          </w:p>
        </w:tc>
        <w:tc>
          <w:tcPr>
            <w:tcW w:w="0" w:type="auto"/>
            <w:shd w:val="clear" w:color="auto" w:fill="auto"/>
          </w:tcPr>
          <w:p w14:paraId="33DA9E06" w14:textId="77777777" w:rsidR="004D6A64" w:rsidRDefault="004D6A64">
            <w:pPr>
              <w:rPr>
                <w:rFonts w:ascii="宋体"/>
              </w:rPr>
            </w:pPr>
          </w:p>
        </w:tc>
        <w:tc>
          <w:tcPr>
            <w:tcW w:w="0" w:type="auto"/>
            <w:shd w:val="clear" w:color="auto" w:fill="auto"/>
          </w:tcPr>
          <w:p w14:paraId="33DA9E07" w14:textId="77777777" w:rsidR="004D6A64" w:rsidRDefault="004D6A64">
            <w:pPr>
              <w:rPr>
                <w:rFonts w:ascii="宋体"/>
              </w:rPr>
            </w:pPr>
          </w:p>
        </w:tc>
        <w:tc>
          <w:tcPr>
            <w:tcW w:w="0" w:type="auto"/>
            <w:shd w:val="clear" w:color="auto" w:fill="auto"/>
          </w:tcPr>
          <w:p w14:paraId="33DA9E08" w14:textId="77777777" w:rsidR="004D6A64" w:rsidRDefault="004D6A64">
            <w:pPr>
              <w:rPr>
                <w:rFonts w:ascii="宋体"/>
              </w:rPr>
            </w:pPr>
          </w:p>
        </w:tc>
        <w:tc>
          <w:tcPr>
            <w:tcW w:w="0" w:type="auto"/>
            <w:shd w:val="clear" w:color="auto" w:fill="auto"/>
          </w:tcPr>
          <w:p w14:paraId="33DA9E09" w14:textId="77777777" w:rsidR="004D6A64" w:rsidRDefault="004D6A64">
            <w:pPr>
              <w:rPr>
                <w:rFonts w:ascii="宋体"/>
              </w:rPr>
            </w:pPr>
          </w:p>
        </w:tc>
        <w:tc>
          <w:tcPr>
            <w:tcW w:w="0" w:type="auto"/>
            <w:shd w:val="clear" w:color="auto" w:fill="auto"/>
          </w:tcPr>
          <w:p w14:paraId="33DA9E0A" w14:textId="77777777" w:rsidR="004D6A64" w:rsidRDefault="004D6A64">
            <w:pPr>
              <w:rPr>
                <w:rFonts w:ascii="宋体"/>
              </w:rPr>
            </w:pPr>
          </w:p>
        </w:tc>
        <w:tc>
          <w:tcPr>
            <w:tcW w:w="0" w:type="auto"/>
            <w:shd w:val="clear" w:color="auto" w:fill="auto"/>
          </w:tcPr>
          <w:p w14:paraId="33DA9E0B" w14:textId="77777777" w:rsidR="004D6A64" w:rsidRDefault="004D6A64">
            <w:pPr>
              <w:rPr>
                <w:rFonts w:ascii="宋体"/>
              </w:rPr>
            </w:pPr>
          </w:p>
        </w:tc>
        <w:tc>
          <w:tcPr>
            <w:tcW w:w="0" w:type="auto"/>
            <w:shd w:val="clear" w:color="auto" w:fill="auto"/>
          </w:tcPr>
          <w:p w14:paraId="33DA9E0C" w14:textId="77777777" w:rsidR="004D6A64" w:rsidRDefault="004D6A64">
            <w:pPr>
              <w:rPr>
                <w:rFonts w:ascii="宋体"/>
              </w:rPr>
            </w:pPr>
          </w:p>
        </w:tc>
        <w:tc>
          <w:tcPr>
            <w:tcW w:w="0" w:type="auto"/>
            <w:shd w:val="clear" w:color="auto" w:fill="auto"/>
          </w:tcPr>
          <w:p w14:paraId="33DA9E0D" w14:textId="77777777" w:rsidR="004D6A64" w:rsidRDefault="004D6A64">
            <w:pPr>
              <w:rPr>
                <w:rFonts w:ascii="宋体"/>
              </w:rPr>
            </w:pPr>
          </w:p>
        </w:tc>
        <w:tc>
          <w:tcPr>
            <w:tcW w:w="0" w:type="auto"/>
            <w:shd w:val="clear" w:color="auto" w:fill="auto"/>
          </w:tcPr>
          <w:p w14:paraId="33DA9E0E" w14:textId="77777777" w:rsidR="004D6A64" w:rsidRDefault="004D6A64">
            <w:pPr>
              <w:rPr>
                <w:rFonts w:ascii="宋体"/>
              </w:rPr>
            </w:pPr>
          </w:p>
        </w:tc>
      </w:tr>
      <w:tr w:rsidR="00506CD6" w14:paraId="33DA9E3B" w14:textId="77777777">
        <w:tc>
          <w:tcPr>
            <w:tcW w:w="0" w:type="auto"/>
            <w:gridSpan w:val="3"/>
            <w:shd w:val="clear" w:color="auto" w:fill="FFFFFF"/>
            <w:tcMar>
              <w:top w:w="40" w:type="dxa"/>
              <w:left w:w="20" w:type="dxa"/>
              <w:bottom w:w="40" w:type="dxa"/>
              <w:right w:w="20" w:type="dxa"/>
            </w:tcMar>
            <w:vAlign w:val="bottom"/>
          </w:tcPr>
          <w:p w14:paraId="33DA9E10" w14:textId="77777777" w:rsidR="004D6A64" w:rsidRDefault="00506CD6">
            <w:pPr>
              <w:textAlignment w:val="bottom"/>
            </w:pPr>
            <w:r>
              <w:rPr>
                <w:rFonts w:ascii="Times New Roman" w:eastAsia="宋体" w:hAnsi="Times New Roman"/>
                <w:b/>
                <w:bCs/>
                <w:color w:val="000000"/>
                <w:sz w:val="20"/>
                <w:szCs w:val="20"/>
              </w:rPr>
              <w:t>Balances as of August 2, 2019</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3DA9E11" w14:textId="77777777" w:rsidR="004D6A64" w:rsidRDefault="00506CD6">
            <w:pPr>
              <w:jc w:val="right"/>
              <w:textAlignment w:val="bottom"/>
            </w:pPr>
            <w:r>
              <w:rPr>
                <w:rFonts w:ascii="Times New Roman" w:eastAsia="宋体" w:hAnsi="Times New Roman"/>
                <w:color w:val="000000"/>
                <w:sz w:val="20"/>
                <w:szCs w:val="20"/>
              </w:rPr>
              <w:t>726 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9E1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E13" w14:textId="77777777" w:rsidR="004D6A64" w:rsidRDefault="004D6A64">
            <w:pPr>
              <w:jc w:val="right"/>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9E14"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9E15" w14:textId="77777777" w:rsidR="004D6A64" w:rsidRDefault="00506CD6">
            <w:pPr>
              <w:jc w:val="right"/>
              <w:textAlignment w:val="bottom"/>
            </w:pPr>
            <w:r>
              <w:rPr>
                <w:rFonts w:ascii="Times New Roman" w:eastAsia="宋体" w:hAnsi="Times New Roman"/>
                <w:color w:val="000000"/>
                <w:sz w:val="20"/>
                <w:szCs w:val="20"/>
              </w:rPr>
              <w:t>15,956 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9E1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E17" w14:textId="77777777" w:rsidR="004D6A64" w:rsidRDefault="004D6A64">
            <w:pPr>
              <w:jc w:val="right"/>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3DA9E18" w14:textId="77777777" w:rsidR="004D6A64" w:rsidRDefault="00506CD6">
            <w:pPr>
              <w:jc w:val="right"/>
              <w:textAlignment w:val="bottom"/>
            </w:pPr>
            <w:r>
              <w:rPr>
                <w:rFonts w:ascii="Times New Roman" w:eastAsia="宋体" w:hAnsi="Times New Roman"/>
                <w:color w:val="000000"/>
                <w:sz w:val="20"/>
                <w:szCs w:val="20"/>
              </w:rPr>
              <w:t>2 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9E1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E1A" w14:textId="77777777" w:rsidR="004D6A64" w:rsidRDefault="004D6A64">
            <w:pPr>
              <w:jc w:val="right"/>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9E1B"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9E1C" w14:textId="77777777" w:rsidR="004D6A64" w:rsidRDefault="00506CD6">
            <w:pPr>
              <w:jc w:val="right"/>
              <w:textAlignment w:val="bottom"/>
            </w:pPr>
            <w:r>
              <w:rPr>
                <w:rFonts w:ascii="Times New Roman" w:eastAsia="宋体" w:hAnsi="Times New Roman"/>
                <w:color w:val="000000"/>
                <w:sz w:val="20"/>
                <w:szCs w:val="20"/>
              </w:rPr>
              <w:t>(65)</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9E1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E1E" w14:textId="77777777" w:rsidR="004D6A64" w:rsidRDefault="004D6A64">
            <w:pPr>
              <w:jc w:val="right"/>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9E1F"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9E20" w14:textId="77777777" w:rsidR="004D6A64" w:rsidRDefault="00506CD6">
            <w:pPr>
              <w:jc w:val="right"/>
              <w:textAlignment w:val="bottom"/>
            </w:pPr>
            <w:r>
              <w:rPr>
                <w:rFonts w:ascii="Times New Roman" w:eastAsia="宋体" w:hAnsi="Times New Roman"/>
                <w:color w:val="000000"/>
                <w:sz w:val="20"/>
                <w:szCs w:val="20"/>
              </w:rPr>
              <w:t>(17,775)</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9E2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E22" w14:textId="77777777" w:rsidR="004D6A64" w:rsidRDefault="004D6A64">
            <w:pPr>
              <w:jc w:val="right"/>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9E23"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9E24" w14:textId="77777777" w:rsidR="004D6A64" w:rsidRDefault="00506CD6">
            <w:pPr>
              <w:jc w:val="right"/>
              <w:textAlignment w:val="bottom"/>
            </w:pPr>
            <w:r>
              <w:rPr>
                <w:rFonts w:ascii="Times New Roman" w:eastAsia="宋体" w:hAnsi="Times New Roman"/>
                <w:color w:val="000000"/>
                <w:sz w:val="20"/>
                <w:szCs w:val="20"/>
              </w:rPr>
              <w:t>(565)</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9E2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E26" w14:textId="77777777" w:rsidR="004D6A64" w:rsidRDefault="004D6A64">
            <w:pPr>
              <w:jc w:val="right"/>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9E27"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9E28" w14:textId="77777777" w:rsidR="004D6A64" w:rsidRDefault="00506CD6">
            <w:pPr>
              <w:jc w:val="right"/>
              <w:textAlignment w:val="bottom"/>
            </w:pPr>
            <w:r>
              <w:rPr>
                <w:rFonts w:ascii="Times New Roman" w:eastAsia="宋体" w:hAnsi="Times New Roman"/>
                <w:color w:val="000000"/>
                <w:sz w:val="20"/>
                <w:szCs w:val="20"/>
              </w:rPr>
              <w:t>(2,449)</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9E2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E2A" w14:textId="77777777" w:rsidR="004D6A64" w:rsidRDefault="004D6A64">
            <w:pPr>
              <w:jc w:val="right"/>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9E2B"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9E2C" w14:textId="77777777" w:rsidR="004D6A64" w:rsidRDefault="00506CD6">
            <w:pPr>
              <w:jc w:val="right"/>
              <w:textAlignment w:val="bottom"/>
            </w:pPr>
            <w:r>
              <w:rPr>
                <w:rFonts w:ascii="Times New Roman" w:eastAsia="宋体" w:hAnsi="Times New Roman"/>
                <w:color w:val="000000"/>
                <w:sz w:val="20"/>
                <w:szCs w:val="20"/>
              </w:rPr>
              <w:t>5,544 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9E2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E2E" w14:textId="77777777" w:rsidR="004D6A64" w:rsidRDefault="004D6A64">
            <w:pPr>
              <w:jc w:val="right"/>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9E2F"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9E30" w14:textId="77777777" w:rsidR="004D6A64" w:rsidRDefault="00506CD6">
            <w:pPr>
              <w:jc w:val="right"/>
              <w:textAlignment w:val="bottom"/>
            </w:pPr>
            <w:r>
              <w:rPr>
                <w:rFonts w:ascii="Times New Roman" w:eastAsia="宋体" w:hAnsi="Times New Roman"/>
                <w:color w:val="000000"/>
                <w:sz w:val="20"/>
                <w:szCs w:val="20"/>
              </w:rPr>
              <w:t>3,095 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9E31" w14:textId="77777777" w:rsidR="004D6A64" w:rsidRDefault="004D6A64">
            <w:pPr>
              <w:jc w:val="right"/>
              <w:rPr>
                <w:rFonts w:ascii="宋体"/>
              </w:rPr>
            </w:pPr>
          </w:p>
        </w:tc>
        <w:tc>
          <w:tcPr>
            <w:tcW w:w="0" w:type="auto"/>
            <w:shd w:val="clear" w:color="auto" w:fill="auto"/>
          </w:tcPr>
          <w:p w14:paraId="33DA9E32" w14:textId="77777777" w:rsidR="004D6A64" w:rsidRDefault="004D6A64">
            <w:pPr>
              <w:rPr>
                <w:rFonts w:ascii="宋体"/>
              </w:rPr>
            </w:pPr>
          </w:p>
        </w:tc>
        <w:tc>
          <w:tcPr>
            <w:tcW w:w="0" w:type="auto"/>
            <w:shd w:val="clear" w:color="auto" w:fill="auto"/>
          </w:tcPr>
          <w:p w14:paraId="33DA9E33" w14:textId="77777777" w:rsidR="004D6A64" w:rsidRDefault="004D6A64">
            <w:pPr>
              <w:rPr>
                <w:rFonts w:ascii="宋体"/>
              </w:rPr>
            </w:pPr>
          </w:p>
        </w:tc>
        <w:tc>
          <w:tcPr>
            <w:tcW w:w="0" w:type="auto"/>
            <w:shd w:val="clear" w:color="auto" w:fill="auto"/>
          </w:tcPr>
          <w:p w14:paraId="33DA9E34" w14:textId="77777777" w:rsidR="004D6A64" w:rsidRDefault="004D6A64">
            <w:pPr>
              <w:rPr>
                <w:rFonts w:ascii="宋体"/>
              </w:rPr>
            </w:pPr>
          </w:p>
        </w:tc>
        <w:tc>
          <w:tcPr>
            <w:tcW w:w="0" w:type="auto"/>
            <w:shd w:val="clear" w:color="auto" w:fill="auto"/>
          </w:tcPr>
          <w:p w14:paraId="33DA9E35" w14:textId="77777777" w:rsidR="004D6A64" w:rsidRDefault="004D6A64">
            <w:pPr>
              <w:rPr>
                <w:rFonts w:ascii="宋体"/>
              </w:rPr>
            </w:pPr>
          </w:p>
        </w:tc>
        <w:tc>
          <w:tcPr>
            <w:tcW w:w="0" w:type="auto"/>
            <w:shd w:val="clear" w:color="auto" w:fill="auto"/>
          </w:tcPr>
          <w:p w14:paraId="33DA9E36" w14:textId="77777777" w:rsidR="004D6A64" w:rsidRDefault="004D6A64">
            <w:pPr>
              <w:rPr>
                <w:rFonts w:ascii="宋体"/>
              </w:rPr>
            </w:pPr>
          </w:p>
        </w:tc>
        <w:tc>
          <w:tcPr>
            <w:tcW w:w="0" w:type="auto"/>
            <w:shd w:val="clear" w:color="auto" w:fill="auto"/>
          </w:tcPr>
          <w:p w14:paraId="33DA9E37" w14:textId="77777777" w:rsidR="004D6A64" w:rsidRDefault="004D6A64">
            <w:pPr>
              <w:rPr>
                <w:rFonts w:ascii="宋体"/>
              </w:rPr>
            </w:pPr>
          </w:p>
        </w:tc>
        <w:tc>
          <w:tcPr>
            <w:tcW w:w="0" w:type="auto"/>
            <w:shd w:val="clear" w:color="auto" w:fill="auto"/>
          </w:tcPr>
          <w:p w14:paraId="33DA9E38" w14:textId="77777777" w:rsidR="004D6A64" w:rsidRDefault="004D6A64">
            <w:pPr>
              <w:rPr>
                <w:rFonts w:ascii="宋体"/>
              </w:rPr>
            </w:pPr>
          </w:p>
        </w:tc>
        <w:tc>
          <w:tcPr>
            <w:tcW w:w="0" w:type="auto"/>
            <w:shd w:val="clear" w:color="auto" w:fill="auto"/>
          </w:tcPr>
          <w:p w14:paraId="33DA9E39" w14:textId="77777777" w:rsidR="004D6A64" w:rsidRDefault="004D6A64">
            <w:pPr>
              <w:rPr>
                <w:rFonts w:ascii="宋体"/>
              </w:rPr>
            </w:pPr>
          </w:p>
        </w:tc>
        <w:tc>
          <w:tcPr>
            <w:tcW w:w="0" w:type="auto"/>
            <w:shd w:val="clear" w:color="auto" w:fill="auto"/>
          </w:tcPr>
          <w:p w14:paraId="33DA9E3A" w14:textId="77777777" w:rsidR="004D6A64" w:rsidRDefault="004D6A64">
            <w:pPr>
              <w:rPr>
                <w:rFonts w:ascii="宋体"/>
              </w:rPr>
            </w:pPr>
          </w:p>
        </w:tc>
      </w:tr>
    </w:tbl>
    <w:p w14:paraId="33DA9E3C" w14:textId="77777777" w:rsidR="004D6A64" w:rsidRDefault="004D6A64">
      <w:pPr>
        <w:spacing w:after="60"/>
        <w:jc w:val="center"/>
      </w:pPr>
    </w:p>
    <w:p w14:paraId="33DA9E3D" w14:textId="77777777" w:rsidR="004D6A64" w:rsidRDefault="004D6A64">
      <w:pPr>
        <w:spacing w:after="60"/>
        <w:jc w:val="center"/>
      </w:pPr>
    </w:p>
    <w:p w14:paraId="33DA9E3E" w14:textId="77777777" w:rsidR="004D6A64" w:rsidRDefault="00506CD6">
      <w:pPr>
        <w:spacing w:after="60"/>
        <w:jc w:val="center"/>
      </w:pPr>
      <w:r>
        <w:rPr>
          <w:rFonts w:ascii="Times New Roman" w:eastAsia="宋体" w:hAnsi="Times New Roman"/>
          <w:color w:val="000000"/>
          <w:sz w:val="20"/>
          <w:szCs w:val="20"/>
        </w:rPr>
        <w:t>The accompanying notes are an integral part of these Condensed Consolidated Financial Statements.</w:t>
      </w:r>
    </w:p>
    <w:p w14:paraId="33DA9E3F" w14:textId="77777777" w:rsidR="004D6A64" w:rsidRDefault="004D6A64">
      <w:pPr>
        <w:spacing w:after="60"/>
        <w:jc w:val="center"/>
      </w:pPr>
    </w:p>
    <w:p w14:paraId="33DA9E40" w14:textId="77777777" w:rsidR="004D6A64" w:rsidRDefault="004D6A64">
      <w:pPr>
        <w:jc w:val="center"/>
      </w:pPr>
    </w:p>
    <w:p w14:paraId="33DA9E41" w14:textId="77777777" w:rsidR="004D6A64" w:rsidRDefault="00506CD6">
      <w:pPr>
        <w:jc w:val="center"/>
      </w:pPr>
      <w:r>
        <w:rPr>
          <w:rFonts w:ascii="Times New Roman" w:eastAsia="宋体" w:hAnsi="Times New Roman"/>
          <w:color w:val="000000"/>
          <w:sz w:val="20"/>
          <w:szCs w:val="20"/>
        </w:rPr>
        <w:t>11</w:t>
      </w:r>
    </w:p>
    <w:p w14:paraId="33DA9E42" w14:textId="77777777" w:rsidR="004D6A64" w:rsidRDefault="004D6A64">
      <w:pPr>
        <w:jc w:val="center"/>
      </w:pPr>
    </w:p>
    <w:p w14:paraId="33DA9E43" w14:textId="77777777" w:rsidR="004D6A64" w:rsidRDefault="00506CD6">
      <w:r>
        <w:pict w14:anchorId="33DAFACF">
          <v:rect id="_x0000_i1035" style="width:415.3pt;height:1.5pt" o:hralign="center" o:hrstd="t" o:hr="t" fillcolor="#a0a0a0" stroked="f"/>
        </w:pict>
      </w:r>
    </w:p>
    <w:p w14:paraId="33DA9E44" w14:textId="77777777" w:rsidR="004D6A64" w:rsidRDefault="00506CD6">
      <w:hyperlink r:id="rId134" w:anchor="if3e0e1bf9ecd4bf69551d7a85f98d64a_10" w:history="1">
        <w:r>
          <w:rPr>
            <w:rStyle w:val="a5"/>
            <w:rFonts w:ascii="Times New Roman" w:eastAsia="宋体" w:hAnsi="Times New Roman"/>
            <w:sz w:val="20"/>
            <w:szCs w:val="20"/>
          </w:rPr>
          <w:t>Table of Contents</w:t>
        </w:r>
      </w:hyperlink>
    </w:p>
    <w:p w14:paraId="33DA9E45" w14:textId="77777777" w:rsidR="004D6A64" w:rsidRDefault="00506CD6">
      <w:pPr>
        <w:spacing w:after="60"/>
        <w:jc w:val="center"/>
      </w:pPr>
      <w:r>
        <w:rPr>
          <w:rFonts w:ascii="Times New Roman" w:eastAsia="宋体" w:hAnsi="Times New Roman"/>
          <w:b/>
          <w:bCs/>
          <w:color w:val="000000"/>
          <w:sz w:val="20"/>
          <w:szCs w:val="20"/>
        </w:rPr>
        <w:t>DELL TECHNOLOGIES INC.</w:t>
      </w:r>
    </w:p>
    <w:p w14:paraId="33DA9E46" w14:textId="77777777" w:rsidR="004D6A64" w:rsidRDefault="00506CD6">
      <w:pPr>
        <w:spacing w:after="60"/>
        <w:jc w:val="center"/>
      </w:pPr>
      <w:r>
        <w:rPr>
          <w:rFonts w:ascii="Times New Roman" w:eastAsia="宋体" w:hAnsi="Times New Roman"/>
          <w:b/>
          <w:bCs/>
          <w:color w:val="000000"/>
          <w:sz w:val="20"/>
          <w:szCs w:val="20"/>
        </w:rPr>
        <w:t>CONDENSED CONSOLIDATED STATEMENTS OF STOCKHOLDERS’ EQUITY (DE</w:t>
      </w:r>
      <w:r>
        <w:rPr>
          <w:rFonts w:ascii="Times New Roman" w:eastAsia="宋体" w:hAnsi="Times New Roman"/>
          <w:b/>
          <w:bCs/>
          <w:color w:val="000000"/>
          <w:sz w:val="20"/>
          <w:szCs w:val="20"/>
        </w:rPr>
        <w:t>FICIT)</w:t>
      </w:r>
    </w:p>
    <w:p w14:paraId="33DA9E47" w14:textId="77777777" w:rsidR="004D6A64" w:rsidRDefault="00506CD6">
      <w:pPr>
        <w:jc w:val="center"/>
      </w:pPr>
      <w:r>
        <w:rPr>
          <w:rFonts w:ascii="Times New Roman" w:eastAsia="宋体" w:hAnsi="Times New Roman"/>
          <w:color w:val="000000"/>
          <w:sz w:val="20"/>
          <w:szCs w:val="20"/>
          <w:shd w:val="clear" w:color="auto" w:fill="FFFFFF"/>
        </w:rPr>
        <w:t>(continued; in millions</w:t>
      </w:r>
      <w:r>
        <w:rPr>
          <w:rFonts w:ascii="Times New Roman" w:eastAsia="宋体" w:hAnsi="Times New Roman"/>
          <w:color w:val="000000"/>
          <w:sz w:val="20"/>
          <w:szCs w:val="20"/>
        </w:rPr>
        <w:t>; unaudited)</w:t>
      </w:r>
    </w:p>
    <w:p w14:paraId="33DA9E48" w14:textId="77777777" w:rsidR="004D6A64" w:rsidRDefault="004D6A64">
      <w:pPr>
        <w:jc w:val="center"/>
      </w:pPr>
    </w:p>
    <w:p w14:paraId="33DA9E49" w14:textId="77777777" w:rsidR="004D6A64" w:rsidRDefault="00506CD6">
      <w:r>
        <w:rPr>
          <w:rFonts w:ascii="Times New Roman" w:eastAsia="宋体" w:hAnsi="Times New Roman"/>
          <w:b/>
          <w:bCs/>
          <w:color w:val="000000"/>
          <w:sz w:val="20"/>
          <w:szCs w:val="20"/>
        </w:rPr>
        <w:t>Six Months Ended August 2, 2019</w:t>
      </w:r>
    </w:p>
    <w:tbl>
      <w:tblPr>
        <w:tblW w:w="5000" w:type="pct"/>
        <w:jc w:val="center"/>
        <w:tblCellMar>
          <w:top w:w="15" w:type="dxa"/>
          <w:left w:w="15" w:type="dxa"/>
          <w:bottom w:w="15" w:type="dxa"/>
          <w:right w:w="15" w:type="dxa"/>
        </w:tblCellMar>
        <w:tblLook w:val="04A0" w:firstRow="1" w:lastRow="0" w:firstColumn="1" w:lastColumn="0" w:noHBand="0" w:noVBand="1"/>
      </w:tblPr>
      <w:tblGrid>
        <w:gridCol w:w="155"/>
        <w:gridCol w:w="829"/>
        <w:gridCol w:w="36"/>
        <w:gridCol w:w="73"/>
        <w:gridCol w:w="323"/>
        <w:gridCol w:w="40"/>
        <w:gridCol w:w="40"/>
        <w:gridCol w:w="31"/>
        <w:gridCol w:w="34"/>
        <w:gridCol w:w="104"/>
        <w:gridCol w:w="422"/>
        <w:gridCol w:w="39"/>
        <w:gridCol w:w="40"/>
        <w:gridCol w:w="31"/>
        <w:gridCol w:w="34"/>
        <w:gridCol w:w="72"/>
        <w:gridCol w:w="322"/>
        <w:gridCol w:w="39"/>
        <w:gridCol w:w="40"/>
        <w:gridCol w:w="31"/>
        <w:gridCol w:w="34"/>
        <w:gridCol w:w="104"/>
        <w:gridCol w:w="392"/>
        <w:gridCol w:w="39"/>
        <w:gridCol w:w="40"/>
        <w:gridCol w:w="31"/>
        <w:gridCol w:w="34"/>
        <w:gridCol w:w="104"/>
        <w:gridCol w:w="627"/>
        <w:gridCol w:w="39"/>
        <w:gridCol w:w="40"/>
        <w:gridCol w:w="31"/>
        <w:gridCol w:w="34"/>
        <w:gridCol w:w="104"/>
        <w:gridCol w:w="744"/>
        <w:gridCol w:w="39"/>
        <w:gridCol w:w="40"/>
        <w:gridCol w:w="31"/>
        <w:gridCol w:w="34"/>
        <w:gridCol w:w="104"/>
        <w:gridCol w:w="655"/>
        <w:gridCol w:w="39"/>
        <w:gridCol w:w="40"/>
        <w:gridCol w:w="31"/>
        <w:gridCol w:w="34"/>
        <w:gridCol w:w="131"/>
        <w:gridCol w:w="760"/>
        <w:gridCol w:w="39"/>
        <w:gridCol w:w="40"/>
        <w:gridCol w:w="31"/>
        <w:gridCol w:w="34"/>
        <w:gridCol w:w="104"/>
        <w:gridCol w:w="654"/>
        <w:gridCol w:w="39"/>
        <w:gridCol w:w="40"/>
        <w:gridCol w:w="31"/>
        <w:gridCol w:w="34"/>
        <w:gridCol w:w="40"/>
        <w:gridCol w:w="31"/>
        <w:gridCol w:w="34"/>
        <w:gridCol w:w="40"/>
        <w:gridCol w:w="31"/>
        <w:gridCol w:w="44"/>
      </w:tblGrid>
      <w:tr w:rsidR="004D6A64" w14:paraId="33DA9E80" w14:textId="77777777">
        <w:trPr>
          <w:gridAfter w:val="9"/>
          <w:jc w:val="center"/>
        </w:trPr>
        <w:tc>
          <w:tcPr>
            <w:tcW w:w="50" w:type="pct"/>
            <w:shd w:val="clear" w:color="auto" w:fill="auto"/>
          </w:tcPr>
          <w:p w14:paraId="33DA9E4A" w14:textId="77777777" w:rsidR="004D6A64" w:rsidRDefault="004D6A64">
            <w:pPr>
              <w:rPr>
                <w:rFonts w:ascii="宋体"/>
              </w:rPr>
            </w:pPr>
          </w:p>
        </w:tc>
        <w:tc>
          <w:tcPr>
            <w:tcW w:w="1286" w:type="pct"/>
            <w:shd w:val="clear" w:color="auto" w:fill="auto"/>
          </w:tcPr>
          <w:p w14:paraId="33DA9E4B" w14:textId="77777777" w:rsidR="004D6A64" w:rsidRDefault="004D6A64">
            <w:pPr>
              <w:rPr>
                <w:rFonts w:ascii="宋体"/>
              </w:rPr>
            </w:pPr>
          </w:p>
        </w:tc>
        <w:tc>
          <w:tcPr>
            <w:tcW w:w="5" w:type="pct"/>
            <w:shd w:val="clear" w:color="auto" w:fill="auto"/>
          </w:tcPr>
          <w:p w14:paraId="33DA9E4C" w14:textId="77777777" w:rsidR="004D6A64" w:rsidRDefault="004D6A64">
            <w:pPr>
              <w:rPr>
                <w:rFonts w:ascii="宋体"/>
              </w:rPr>
            </w:pPr>
          </w:p>
        </w:tc>
        <w:tc>
          <w:tcPr>
            <w:tcW w:w="50" w:type="pct"/>
            <w:shd w:val="clear" w:color="auto" w:fill="auto"/>
          </w:tcPr>
          <w:p w14:paraId="33DA9E4D" w14:textId="77777777" w:rsidR="004D6A64" w:rsidRDefault="004D6A64">
            <w:pPr>
              <w:rPr>
                <w:rFonts w:ascii="宋体"/>
              </w:rPr>
            </w:pPr>
          </w:p>
        </w:tc>
        <w:tc>
          <w:tcPr>
            <w:tcW w:w="264" w:type="pct"/>
            <w:shd w:val="clear" w:color="auto" w:fill="auto"/>
          </w:tcPr>
          <w:p w14:paraId="33DA9E4E" w14:textId="77777777" w:rsidR="004D6A64" w:rsidRDefault="004D6A64">
            <w:pPr>
              <w:rPr>
                <w:rFonts w:ascii="宋体"/>
              </w:rPr>
            </w:pPr>
          </w:p>
        </w:tc>
        <w:tc>
          <w:tcPr>
            <w:tcW w:w="5" w:type="pct"/>
            <w:shd w:val="clear" w:color="auto" w:fill="auto"/>
          </w:tcPr>
          <w:p w14:paraId="33DA9E4F" w14:textId="77777777" w:rsidR="004D6A64" w:rsidRDefault="004D6A64">
            <w:pPr>
              <w:rPr>
                <w:rFonts w:ascii="宋体"/>
              </w:rPr>
            </w:pPr>
          </w:p>
        </w:tc>
        <w:tc>
          <w:tcPr>
            <w:tcW w:w="5" w:type="pct"/>
            <w:shd w:val="clear" w:color="auto" w:fill="auto"/>
          </w:tcPr>
          <w:p w14:paraId="33DA9E50" w14:textId="77777777" w:rsidR="004D6A64" w:rsidRDefault="004D6A64">
            <w:pPr>
              <w:rPr>
                <w:rFonts w:ascii="宋体"/>
              </w:rPr>
            </w:pPr>
          </w:p>
        </w:tc>
        <w:tc>
          <w:tcPr>
            <w:tcW w:w="11" w:type="pct"/>
            <w:shd w:val="clear" w:color="auto" w:fill="auto"/>
          </w:tcPr>
          <w:p w14:paraId="33DA9E51" w14:textId="77777777" w:rsidR="004D6A64" w:rsidRDefault="004D6A64">
            <w:pPr>
              <w:rPr>
                <w:rFonts w:ascii="宋体"/>
              </w:rPr>
            </w:pPr>
          </w:p>
        </w:tc>
        <w:tc>
          <w:tcPr>
            <w:tcW w:w="5" w:type="pct"/>
            <w:shd w:val="clear" w:color="auto" w:fill="auto"/>
          </w:tcPr>
          <w:p w14:paraId="33DA9E52" w14:textId="77777777" w:rsidR="004D6A64" w:rsidRDefault="004D6A64">
            <w:pPr>
              <w:rPr>
                <w:rFonts w:ascii="宋体"/>
              </w:rPr>
            </w:pPr>
          </w:p>
        </w:tc>
        <w:tc>
          <w:tcPr>
            <w:tcW w:w="50" w:type="pct"/>
            <w:shd w:val="clear" w:color="auto" w:fill="auto"/>
          </w:tcPr>
          <w:p w14:paraId="33DA9E53" w14:textId="77777777" w:rsidR="004D6A64" w:rsidRDefault="004D6A64">
            <w:pPr>
              <w:rPr>
                <w:rFonts w:ascii="宋体"/>
              </w:rPr>
            </w:pPr>
          </w:p>
        </w:tc>
        <w:tc>
          <w:tcPr>
            <w:tcW w:w="307" w:type="pct"/>
            <w:shd w:val="clear" w:color="auto" w:fill="auto"/>
          </w:tcPr>
          <w:p w14:paraId="33DA9E54" w14:textId="77777777" w:rsidR="004D6A64" w:rsidRDefault="004D6A64">
            <w:pPr>
              <w:rPr>
                <w:rFonts w:ascii="宋体"/>
              </w:rPr>
            </w:pPr>
          </w:p>
        </w:tc>
        <w:tc>
          <w:tcPr>
            <w:tcW w:w="5" w:type="pct"/>
            <w:shd w:val="clear" w:color="auto" w:fill="auto"/>
          </w:tcPr>
          <w:p w14:paraId="33DA9E55" w14:textId="77777777" w:rsidR="004D6A64" w:rsidRDefault="004D6A64">
            <w:pPr>
              <w:rPr>
                <w:rFonts w:ascii="宋体"/>
              </w:rPr>
            </w:pPr>
          </w:p>
        </w:tc>
        <w:tc>
          <w:tcPr>
            <w:tcW w:w="5" w:type="pct"/>
            <w:shd w:val="clear" w:color="auto" w:fill="auto"/>
          </w:tcPr>
          <w:p w14:paraId="33DA9E56" w14:textId="77777777" w:rsidR="004D6A64" w:rsidRDefault="004D6A64">
            <w:pPr>
              <w:rPr>
                <w:rFonts w:ascii="宋体"/>
              </w:rPr>
            </w:pPr>
          </w:p>
        </w:tc>
        <w:tc>
          <w:tcPr>
            <w:tcW w:w="11" w:type="pct"/>
            <w:shd w:val="clear" w:color="auto" w:fill="auto"/>
          </w:tcPr>
          <w:p w14:paraId="33DA9E57" w14:textId="77777777" w:rsidR="004D6A64" w:rsidRDefault="004D6A64">
            <w:pPr>
              <w:rPr>
                <w:rFonts w:ascii="宋体"/>
              </w:rPr>
            </w:pPr>
          </w:p>
        </w:tc>
        <w:tc>
          <w:tcPr>
            <w:tcW w:w="5" w:type="pct"/>
            <w:shd w:val="clear" w:color="auto" w:fill="auto"/>
          </w:tcPr>
          <w:p w14:paraId="33DA9E58" w14:textId="77777777" w:rsidR="004D6A64" w:rsidRDefault="004D6A64">
            <w:pPr>
              <w:rPr>
                <w:rFonts w:ascii="宋体"/>
              </w:rPr>
            </w:pPr>
          </w:p>
        </w:tc>
        <w:tc>
          <w:tcPr>
            <w:tcW w:w="50" w:type="pct"/>
            <w:shd w:val="clear" w:color="auto" w:fill="auto"/>
          </w:tcPr>
          <w:p w14:paraId="33DA9E59" w14:textId="77777777" w:rsidR="004D6A64" w:rsidRDefault="004D6A64">
            <w:pPr>
              <w:rPr>
                <w:rFonts w:ascii="宋体"/>
              </w:rPr>
            </w:pPr>
          </w:p>
        </w:tc>
        <w:tc>
          <w:tcPr>
            <w:tcW w:w="264" w:type="pct"/>
            <w:shd w:val="clear" w:color="auto" w:fill="auto"/>
          </w:tcPr>
          <w:p w14:paraId="33DA9E5A" w14:textId="77777777" w:rsidR="004D6A64" w:rsidRDefault="004D6A64">
            <w:pPr>
              <w:rPr>
                <w:rFonts w:ascii="宋体"/>
              </w:rPr>
            </w:pPr>
          </w:p>
        </w:tc>
        <w:tc>
          <w:tcPr>
            <w:tcW w:w="5" w:type="pct"/>
            <w:shd w:val="clear" w:color="auto" w:fill="auto"/>
          </w:tcPr>
          <w:p w14:paraId="33DA9E5B" w14:textId="77777777" w:rsidR="004D6A64" w:rsidRDefault="004D6A64">
            <w:pPr>
              <w:rPr>
                <w:rFonts w:ascii="宋体"/>
              </w:rPr>
            </w:pPr>
          </w:p>
        </w:tc>
        <w:tc>
          <w:tcPr>
            <w:tcW w:w="5" w:type="pct"/>
            <w:shd w:val="clear" w:color="auto" w:fill="auto"/>
          </w:tcPr>
          <w:p w14:paraId="33DA9E5C" w14:textId="77777777" w:rsidR="004D6A64" w:rsidRDefault="004D6A64">
            <w:pPr>
              <w:rPr>
                <w:rFonts w:ascii="宋体"/>
              </w:rPr>
            </w:pPr>
          </w:p>
        </w:tc>
        <w:tc>
          <w:tcPr>
            <w:tcW w:w="11" w:type="pct"/>
            <w:shd w:val="clear" w:color="auto" w:fill="auto"/>
          </w:tcPr>
          <w:p w14:paraId="33DA9E5D" w14:textId="77777777" w:rsidR="004D6A64" w:rsidRDefault="004D6A64">
            <w:pPr>
              <w:rPr>
                <w:rFonts w:ascii="宋体"/>
              </w:rPr>
            </w:pPr>
          </w:p>
        </w:tc>
        <w:tc>
          <w:tcPr>
            <w:tcW w:w="5" w:type="pct"/>
            <w:shd w:val="clear" w:color="auto" w:fill="auto"/>
          </w:tcPr>
          <w:p w14:paraId="33DA9E5E" w14:textId="77777777" w:rsidR="004D6A64" w:rsidRDefault="004D6A64">
            <w:pPr>
              <w:rPr>
                <w:rFonts w:ascii="宋体"/>
              </w:rPr>
            </w:pPr>
          </w:p>
        </w:tc>
        <w:tc>
          <w:tcPr>
            <w:tcW w:w="50" w:type="pct"/>
            <w:shd w:val="clear" w:color="auto" w:fill="auto"/>
          </w:tcPr>
          <w:p w14:paraId="33DA9E5F" w14:textId="77777777" w:rsidR="004D6A64" w:rsidRDefault="004D6A64">
            <w:pPr>
              <w:rPr>
                <w:rFonts w:ascii="宋体"/>
              </w:rPr>
            </w:pPr>
          </w:p>
        </w:tc>
        <w:tc>
          <w:tcPr>
            <w:tcW w:w="307" w:type="pct"/>
            <w:shd w:val="clear" w:color="auto" w:fill="auto"/>
          </w:tcPr>
          <w:p w14:paraId="33DA9E60" w14:textId="77777777" w:rsidR="004D6A64" w:rsidRDefault="004D6A64">
            <w:pPr>
              <w:rPr>
                <w:rFonts w:ascii="宋体"/>
              </w:rPr>
            </w:pPr>
          </w:p>
        </w:tc>
        <w:tc>
          <w:tcPr>
            <w:tcW w:w="5" w:type="pct"/>
            <w:shd w:val="clear" w:color="auto" w:fill="auto"/>
          </w:tcPr>
          <w:p w14:paraId="33DA9E61" w14:textId="77777777" w:rsidR="004D6A64" w:rsidRDefault="004D6A64">
            <w:pPr>
              <w:rPr>
                <w:rFonts w:ascii="宋体"/>
              </w:rPr>
            </w:pPr>
          </w:p>
        </w:tc>
        <w:tc>
          <w:tcPr>
            <w:tcW w:w="5" w:type="pct"/>
            <w:shd w:val="clear" w:color="auto" w:fill="auto"/>
          </w:tcPr>
          <w:p w14:paraId="33DA9E62" w14:textId="77777777" w:rsidR="004D6A64" w:rsidRDefault="004D6A64">
            <w:pPr>
              <w:rPr>
                <w:rFonts w:ascii="宋体"/>
              </w:rPr>
            </w:pPr>
          </w:p>
        </w:tc>
        <w:tc>
          <w:tcPr>
            <w:tcW w:w="11" w:type="pct"/>
            <w:shd w:val="clear" w:color="auto" w:fill="auto"/>
          </w:tcPr>
          <w:p w14:paraId="33DA9E63" w14:textId="77777777" w:rsidR="004D6A64" w:rsidRDefault="004D6A64">
            <w:pPr>
              <w:rPr>
                <w:rFonts w:ascii="宋体"/>
              </w:rPr>
            </w:pPr>
          </w:p>
        </w:tc>
        <w:tc>
          <w:tcPr>
            <w:tcW w:w="5" w:type="pct"/>
            <w:shd w:val="clear" w:color="auto" w:fill="auto"/>
          </w:tcPr>
          <w:p w14:paraId="33DA9E64" w14:textId="77777777" w:rsidR="004D6A64" w:rsidRDefault="004D6A64">
            <w:pPr>
              <w:rPr>
                <w:rFonts w:ascii="宋体"/>
              </w:rPr>
            </w:pPr>
          </w:p>
        </w:tc>
        <w:tc>
          <w:tcPr>
            <w:tcW w:w="50" w:type="pct"/>
            <w:shd w:val="clear" w:color="auto" w:fill="auto"/>
          </w:tcPr>
          <w:p w14:paraId="33DA9E65" w14:textId="77777777" w:rsidR="004D6A64" w:rsidRDefault="004D6A64">
            <w:pPr>
              <w:rPr>
                <w:rFonts w:ascii="宋体"/>
              </w:rPr>
            </w:pPr>
          </w:p>
        </w:tc>
        <w:tc>
          <w:tcPr>
            <w:tcW w:w="361" w:type="pct"/>
            <w:shd w:val="clear" w:color="auto" w:fill="auto"/>
          </w:tcPr>
          <w:p w14:paraId="33DA9E66" w14:textId="77777777" w:rsidR="004D6A64" w:rsidRDefault="004D6A64">
            <w:pPr>
              <w:rPr>
                <w:rFonts w:ascii="宋体"/>
              </w:rPr>
            </w:pPr>
          </w:p>
        </w:tc>
        <w:tc>
          <w:tcPr>
            <w:tcW w:w="5" w:type="pct"/>
            <w:shd w:val="clear" w:color="auto" w:fill="auto"/>
          </w:tcPr>
          <w:p w14:paraId="33DA9E67" w14:textId="77777777" w:rsidR="004D6A64" w:rsidRDefault="004D6A64">
            <w:pPr>
              <w:rPr>
                <w:rFonts w:ascii="宋体"/>
              </w:rPr>
            </w:pPr>
          </w:p>
        </w:tc>
        <w:tc>
          <w:tcPr>
            <w:tcW w:w="5" w:type="pct"/>
            <w:shd w:val="clear" w:color="auto" w:fill="auto"/>
          </w:tcPr>
          <w:p w14:paraId="33DA9E68" w14:textId="77777777" w:rsidR="004D6A64" w:rsidRDefault="004D6A64">
            <w:pPr>
              <w:rPr>
                <w:rFonts w:ascii="宋体"/>
              </w:rPr>
            </w:pPr>
          </w:p>
        </w:tc>
        <w:tc>
          <w:tcPr>
            <w:tcW w:w="11" w:type="pct"/>
            <w:shd w:val="clear" w:color="auto" w:fill="auto"/>
          </w:tcPr>
          <w:p w14:paraId="33DA9E69" w14:textId="77777777" w:rsidR="004D6A64" w:rsidRDefault="004D6A64">
            <w:pPr>
              <w:rPr>
                <w:rFonts w:ascii="宋体"/>
              </w:rPr>
            </w:pPr>
          </w:p>
        </w:tc>
        <w:tc>
          <w:tcPr>
            <w:tcW w:w="5" w:type="pct"/>
            <w:shd w:val="clear" w:color="auto" w:fill="auto"/>
          </w:tcPr>
          <w:p w14:paraId="33DA9E6A" w14:textId="77777777" w:rsidR="004D6A64" w:rsidRDefault="004D6A64">
            <w:pPr>
              <w:rPr>
                <w:rFonts w:ascii="宋体"/>
              </w:rPr>
            </w:pPr>
          </w:p>
        </w:tc>
        <w:tc>
          <w:tcPr>
            <w:tcW w:w="50" w:type="pct"/>
            <w:shd w:val="clear" w:color="auto" w:fill="auto"/>
          </w:tcPr>
          <w:p w14:paraId="33DA9E6B" w14:textId="77777777" w:rsidR="004D6A64" w:rsidRDefault="004D6A64">
            <w:pPr>
              <w:rPr>
                <w:rFonts w:ascii="宋体"/>
              </w:rPr>
            </w:pPr>
          </w:p>
        </w:tc>
        <w:tc>
          <w:tcPr>
            <w:tcW w:w="415" w:type="pct"/>
            <w:shd w:val="clear" w:color="auto" w:fill="auto"/>
          </w:tcPr>
          <w:p w14:paraId="33DA9E6C" w14:textId="77777777" w:rsidR="004D6A64" w:rsidRDefault="004D6A64">
            <w:pPr>
              <w:rPr>
                <w:rFonts w:ascii="宋体"/>
              </w:rPr>
            </w:pPr>
          </w:p>
        </w:tc>
        <w:tc>
          <w:tcPr>
            <w:tcW w:w="5" w:type="pct"/>
            <w:shd w:val="clear" w:color="auto" w:fill="auto"/>
          </w:tcPr>
          <w:p w14:paraId="33DA9E6D" w14:textId="77777777" w:rsidR="004D6A64" w:rsidRDefault="004D6A64">
            <w:pPr>
              <w:rPr>
                <w:rFonts w:ascii="宋体"/>
              </w:rPr>
            </w:pPr>
          </w:p>
        </w:tc>
        <w:tc>
          <w:tcPr>
            <w:tcW w:w="5" w:type="pct"/>
            <w:shd w:val="clear" w:color="auto" w:fill="auto"/>
          </w:tcPr>
          <w:p w14:paraId="33DA9E6E" w14:textId="77777777" w:rsidR="004D6A64" w:rsidRDefault="004D6A64">
            <w:pPr>
              <w:rPr>
                <w:rFonts w:ascii="宋体"/>
              </w:rPr>
            </w:pPr>
          </w:p>
        </w:tc>
        <w:tc>
          <w:tcPr>
            <w:tcW w:w="11" w:type="pct"/>
            <w:shd w:val="clear" w:color="auto" w:fill="auto"/>
          </w:tcPr>
          <w:p w14:paraId="33DA9E6F" w14:textId="77777777" w:rsidR="004D6A64" w:rsidRDefault="004D6A64">
            <w:pPr>
              <w:rPr>
                <w:rFonts w:ascii="宋体"/>
              </w:rPr>
            </w:pPr>
          </w:p>
        </w:tc>
        <w:tc>
          <w:tcPr>
            <w:tcW w:w="5" w:type="pct"/>
            <w:shd w:val="clear" w:color="auto" w:fill="auto"/>
          </w:tcPr>
          <w:p w14:paraId="33DA9E70" w14:textId="77777777" w:rsidR="004D6A64" w:rsidRDefault="004D6A64">
            <w:pPr>
              <w:rPr>
                <w:rFonts w:ascii="宋体"/>
              </w:rPr>
            </w:pPr>
          </w:p>
        </w:tc>
        <w:tc>
          <w:tcPr>
            <w:tcW w:w="50" w:type="pct"/>
            <w:shd w:val="clear" w:color="auto" w:fill="auto"/>
          </w:tcPr>
          <w:p w14:paraId="33DA9E71" w14:textId="77777777" w:rsidR="004D6A64" w:rsidRDefault="004D6A64">
            <w:pPr>
              <w:rPr>
                <w:rFonts w:ascii="宋体"/>
              </w:rPr>
            </w:pPr>
          </w:p>
        </w:tc>
        <w:tc>
          <w:tcPr>
            <w:tcW w:w="377" w:type="pct"/>
            <w:shd w:val="clear" w:color="auto" w:fill="auto"/>
          </w:tcPr>
          <w:p w14:paraId="33DA9E72" w14:textId="77777777" w:rsidR="004D6A64" w:rsidRDefault="004D6A64">
            <w:pPr>
              <w:rPr>
                <w:rFonts w:ascii="宋体"/>
              </w:rPr>
            </w:pPr>
          </w:p>
        </w:tc>
        <w:tc>
          <w:tcPr>
            <w:tcW w:w="5" w:type="pct"/>
            <w:shd w:val="clear" w:color="auto" w:fill="auto"/>
          </w:tcPr>
          <w:p w14:paraId="33DA9E73" w14:textId="77777777" w:rsidR="004D6A64" w:rsidRDefault="004D6A64">
            <w:pPr>
              <w:rPr>
                <w:rFonts w:ascii="宋体"/>
              </w:rPr>
            </w:pPr>
          </w:p>
        </w:tc>
        <w:tc>
          <w:tcPr>
            <w:tcW w:w="5" w:type="pct"/>
            <w:shd w:val="clear" w:color="auto" w:fill="auto"/>
          </w:tcPr>
          <w:p w14:paraId="33DA9E74" w14:textId="77777777" w:rsidR="004D6A64" w:rsidRDefault="004D6A64">
            <w:pPr>
              <w:rPr>
                <w:rFonts w:ascii="宋体"/>
              </w:rPr>
            </w:pPr>
          </w:p>
        </w:tc>
        <w:tc>
          <w:tcPr>
            <w:tcW w:w="11" w:type="pct"/>
            <w:shd w:val="clear" w:color="auto" w:fill="auto"/>
          </w:tcPr>
          <w:p w14:paraId="33DA9E75" w14:textId="77777777" w:rsidR="004D6A64" w:rsidRDefault="004D6A64">
            <w:pPr>
              <w:rPr>
                <w:rFonts w:ascii="宋体"/>
              </w:rPr>
            </w:pPr>
          </w:p>
        </w:tc>
        <w:tc>
          <w:tcPr>
            <w:tcW w:w="5" w:type="pct"/>
            <w:shd w:val="clear" w:color="auto" w:fill="auto"/>
          </w:tcPr>
          <w:p w14:paraId="33DA9E76" w14:textId="77777777" w:rsidR="004D6A64" w:rsidRDefault="004D6A64">
            <w:pPr>
              <w:rPr>
                <w:rFonts w:ascii="宋体"/>
              </w:rPr>
            </w:pPr>
          </w:p>
        </w:tc>
        <w:tc>
          <w:tcPr>
            <w:tcW w:w="50" w:type="pct"/>
            <w:shd w:val="clear" w:color="auto" w:fill="auto"/>
          </w:tcPr>
          <w:p w14:paraId="33DA9E77" w14:textId="77777777" w:rsidR="004D6A64" w:rsidRDefault="004D6A64">
            <w:pPr>
              <w:rPr>
                <w:rFonts w:ascii="宋体"/>
              </w:rPr>
            </w:pPr>
          </w:p>
        </w:tc>
        <w:tc>
          <w:tcPr>
            <w:tcW w:w="318" w:type="pct"/>
            <w:shd w:val="clear" w:color="auto" w:fill="auto"/>
          </w:tcPr>
          <w:p w14:paraId="33DA9E78" w14:textId="77777777" w:rsidR="004D6A64" w:rsidRDefault="004D6A64">
            <w:pPr>
              <w:rPr>
                <w:rFonts w:ascii="宋体"/>
              </w:rPr>
            </w:pPr>
          </w:p>
        </w:tc>
        <w:tc>
          <w:tcPr>
            <w:tcW w:w="5" w:type="pct"/>
            <w:shd w:val="clear" w:color="auto" w:fill="auto"/>
          </w:tcPr>
          <w:p w14:paraId="33DA9E79" w14:textId="77777777" w:rsidR="004D6A64" w:rsidRDefault="004D6A64">
            <w:pPr>
              <w:rPr>
                <w:rFonts w:ascii="宋体"/>
              </w:rPr>
            </w:pPr>
          </w:p>
        </w:tc>
        <w:tc>
          <w:tcPr>
            <w:tcW w:w="5" w:type="pct"/>
            <w:shd w:val="clear" w:color="auto" w:fill="auto"/>
          </w:tcPr>
          <w:p w14:paraId="33DA9E7A" w14:textId="77777777" w:rsidR="004D6A64" w:rsidRDefault="004D6A64">
            <w:pPr>
              <w:rPr>
                <w:rFonts w:ascii="宋体"/>
              </w:rPr>
            </w:pPr>
          </w:p>
        </w:tc>
        <w:tc>
          <w:tcPr>
            <w:tcW w:w="11" w:type="pct"/>
            <w:shd w:val="clear" w:color="auto" w:fill="auto"/>
          </w:tcPr>
          <w:p w14:paraId="33DA9E7B" w14:textId="77777777" w:rsidR="004D6A64" w:rsidRDefault="004D6A64">
            <w:pPr>
              <w:rPr>
                <w:rFonts w:ascii="宋体"/>
              </w:rPr>
            </w:pPr>
          </w:p>
        </w:tc>
        <w:tc>
          <w:tcPr>
            <w:tcW w:w="5" w:type="pct"/>
            <w:shd w:val="clear" w:color="auto" w:fill="auto"/>
          </w:tcPr>
          <w:p w14:paraId="33DA9E7C" w14:textId="77777777" w:rsidR="004D6A64" w:rsidRDefault="004D6A64">
            <w:pPr>
              <w:rPr>
                <w:rFonts w:ascii="宋体"/>
              </w:rPr>
            </w:pPr>
          </w:p>
        </w:tc>
        <w:tc>
          <w:tcPr>
            <w:tcW w:w="50" w:type="pct"/>
            <w:shd w:val="clear" w:color="auto" w:fill="auto"/>
          </w:tcPr>
          <w:p w14:paraId="33DA9E7D" w14:textId="77777777" w:rsidR="004D6A64" w:rsidRDefault="004D6A64">
            <w:pPr>
              <w:rPr>
                <w:rFonts w:ascii="宋体"/>
              </w:rPr>
            </w:pPr>
          </w:p>
        </w:tc>
        <w:tc>
          <w:tcPr>
            <w:tcW w:w="373" w:type="pct"/>
            <w:shd w:val="clear" w:color="auto" w:fill="auto"/>
          </w:tcPr>
          <w:p w14:paraId="33DA9E7E" w14:textId="77777777" w:rsidR="004D6A64" w:rsidRDefault="004D6A64">
            <w:pPr>
              <w:rPr>
                <w:rFonts w:ascii="宋体"/>
              </w:rPr>
            </w:pPr>
          </w:p>
        </w:tc>
        <w:tc>
          <w:tcPr>
            <w:tcW w:w="5" w:type="pct"/>
            <w:shd w:val="clear" w:color="auto" w:fill="auto"/>
          </w:tcPr>
          <w:p w14:paraId="33DA9E7F" w14:textId="77777777" w:rsidR="004D6A64" w:rsidRDefault="004D6A64">
            <w:pPr>
              <w:rPr>
                <w:rFonts w:ascii="宋体"/>
              </w:rPr>
            </w:pPr>
          </w:p>
        </w:tc>
      </w:tr>
      <w:tr w:rsidR="004D6A64" w14:paraId="33DA9E93" w14:textId="77777777">
        <w:trPr>
          <w:jc w:val="center"/>
        </w:trPr>
        <w:tc>
          <w:tcPr>
            <w:tcW w:w="0" w:type="auto"/>
            <w:gridSpan w:val="3"/>
            <w:shd w:val="clear" w:color="auto" w:fill="auto"/>
            <w:tcMar>
              <w:left w:w="20" w:type="dxa"/>
              <w:right w:w="20" w:type="dxa"/>
            </w:tcMar>
            <w:vAlign w:val="bottom"/>
          </w:tcPr>
          <w:p w14:paraId="33DA9E81" w14:textId="77777777" w:rsidR="004D6A64" w:rsidRDefault="004D6A64">
            <w:pPr>
              <w:rPr>
                <w:rFonts w:ascii="宋体"/>
              </w:rPr>
            </w:pPr>
          </w:p>
        </w:tc>
        <w:tc>
          <w:tcPr>
            <w:tcW w:w="0" w:type="auto"/>
            <w:gridSpan w:val="9"/>
            <w:shd w:val="clear" w:color="auto" w:fill="auto"/>
            <w:tcMar>
              <w:top w:w="40" w:type="dxa"/>
              <w:left w:w="20" w:type="dxa"/>
              <w:bottom w:w="40" w:type="dxa"/>
              <w:right w:w="20" w:type="dxa"/>
            </w:tcMar>
            <w:vAlign w:val="bottom"/>
          </w:tcPr>
          <w:p w14:paraId="33DA9E82" w14:textId="77777777" w:rsidR="004D6A64" w:rsidRDefault="00506CD6">
            <w:pPr>
              <w:jc w:val="center"/>
              <w:textAlignment w:val="bottom"/>
            </w:pPr>
            <w:r>
              <w:rPr>
                <w:rFonts w:ascii="Times New Roman" w:eastAsia="宋体" w:hAnsi="Times New Roman"/>
                <w:b/>
                <w:bCs/>
                <w:color w:val="000000"/>
                <w:sz w:val="18"/>
                <w:szCs w:val="18"/>
              </w:rPr>
              <w:t>Common Stock and Capital in Excess of Par Value</w:t>
            </w:r>
          </w:p>
        </w:tc>
        <w:tc>
          <w:tcPr>
            <w:tcW w:w="0" w:type="auto"/>
            <w:gridSpan w:val="3"/>
            <w:shd w:val="clear" w:color="auto" w:fill="auto"/>
          </w:tcPr>
          <w:p w14:paraId="33DA9E83" w14:textId="77777777" w:rsidR="004D6A64" w:rsidRDefault="004D6A64">
            <w:pPr>
              <w:rPr>
                <w:rFonts w:ascii="宋体"/>
                <w:vanish/>
              </w:rPr>
            </w:pPr>
          </w:p>
        </w:tc>
        <w:tc>
          <w:tcPr>
            <w:tcW w:w="0" w:type="auto"/>
            <w:gridSpan w:val="3"/>
            <w:shd w:val="clear" w:color="auto" w:fill="auto"/>
          </w:tcPr>
          <w:p w14:paraId="33DA9E84"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9E85" w14:textId="77777777" w:rsidR="004D6A64" w:rsidRDefault="004D6A64">
            <w:pPr>
              <w:rPr>
                <w:rFonts w:ascii="宋体"/>
              </w:rPr>
            </w:pPr>
          </w:p>
        </w:tc>
        <w:tc>
          <w:tcPr>
            <w:tcW w:w="0" w:type="auto"/>
            <w:gridSpan w:val="9"/>
            <w:shd w:val="clear" w:color="auto" w:fill="auto"/>
            <w:tcMar>
              <w:top w:w="40" w:type="dxa"/>
              <w:left w:w="20" w:type="dxa"/>
              <w:bottom w:w="40" w:type="dxa"/>
              <w:right w:w="20" w:type="dxa"/>
            </w:tcMar>
            <w:vAlign w:val="bottom"/>
          </w:tcPr>
          <w:p w14:paraId="33DA9E86" w14:textId="77777777" w:rsidR="004D6A64" w:rsidRDefault="00506CD6">
            <w:pPr>
              <w:jc w:val="center"/>
              <w:textAlignment w:val="bottom"/>
            </w:pPr>
            <w:r>
              <w:rPr>
                <w:rFonts w:ascii="Times New Roman" w:eastAsia="宋体" w:hAnsi="Times New Roman"/>
                <w:b/>
                <w:bCs/>
                <w:color w:val="000000"/>
                <w:sz w:val="18"/>
                <w:szCs w:val="18"/>
              </w:rPr>
              <w:t>Treasury Stock</w:t>
            </w:r>
          </w:p>
        </w:tc>
        <w:tc>
          <w:tcPr>
            <w:tcW w:w="0" w:type="auto"/>
            <w:gridSpan w:val="3"/>
            <w:shd w:val="clear" w:color="auto" w:fill="auto"/>
          </w:tcPr>
          <w:p w14:paraId="33DA9E87" w14:textId="77777777" w:rsidR="004D6A64" w:rsidRDefault="004D6A64">
            <w:pPr>
              <w:rPr>
                <w:rFonts w:ascii="宋体"/>
                <w:vanish/>
              </w:rPr>
            </w:pPr>
          </w:p>
        </w:tc>
        <w:tc>
          <w:tcPr>
            <w:tcW w:w="0" w:type="auto"/>
            <w:gridSpan w:val="3"/>
            <w:shd w:val="clear" w:color="auto" w:fill="auto"/>
          </w:tcPr>
          <w:p w14:paraId="33DA9E88"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9E89"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9E8A"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9E8B"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9E8C"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9E8D"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9E8E"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9E8F"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9E90" w14:textId="77777777" w:rsidR="004D6A64" w:rsidRDefault="004D6A64">
            <w:pPr>
              <w:rPr>
                <w:rFonts w:ascii="宋体"/>
              </w:rPr>
            </w:pPr>
          </w:p>
        </w:tc>
        <w:tc>
          <w:tcPr>
            <w:tcW w:w="0" w:type="auto"/>
            <w:gridSpan w:val="2"/>
            <w:shd w:val="clear" w:color="auto" w:fill="auto"/>
            <w:tcMar>
              <w:left w:w="20" w:type="dxa"/>
              <w:right w:w="20" w:type="dxa"/>
            </w:tcMar>
            <w:vAlign w:val="bottom"/>
          </w:tcPr>
          <w:p w14:paraId="33DA9E91" w14:textId="77777777" w:rsidR="004D6A64" w:rsidRDefault="004D6A64">
            <w:pPr>
              <w:rPr>
                <w:rFonts w:ascii="宋体"/>
              </w:rPr>
            </w:pPr>
          </w:p>
        </w:tc>
        <w:tc>
          <w:tcPr>
            <w:tcW w:w="0" w:type="auto"/>
            <w:shd w:val="clear" w:color="auto" w:fill="auto"/>
            <w:tcMar>
              <w:left w:w="20" w:type="dxa"/>
              <w:right w:w="20" w:type="dxa"/>
            </w:tcMar>
            <w:vAlign w:val="bottom"/>
          </w:tcPr>
          <w:p w14:paraId="33DA9E92" w14:textId="77777777" w:rsidR="004D6A64" w:rsidRDefault="004D6A64">
            <w:pPr>
              <w:rPr>
                <w:rFonts w:ascii="宋体"/>
              </w:rPr>
            </w:pPr>
          </w:p>
        </w:tc>
      </w:tr>
      <w:tr w:rsidR="004D6A64" w14:paraId="33DA9EAF" w14:textId="77777777">
        <w:trPr>
          <w:jc w:val="center"/>
        </w:trPr>
        <w:tc>
          <w:tcPr>
            <w:tcW w:w="0" w:type="auto"/>
            <w:gridSpan w:val="3"/>
            <w:shd w:val="clear" w:color="auto" w:fill="auto"/>
            <w:tcMar>
              <w:left w:w="20" w:type="dxa"/>
              <w:right w:w="20" w:type="dxa"/>
            </w:tcMar>
            <w:vAlign w:val="bottom"/>
          </w:tcPr>
          <w:p w14:paraId="33DA9E94"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9E95" w14:textId="77777777" w:rsidR="004D6A64" w:rsidRDefault="00506CD6">
            <w:pPr>
              <w:jc w:val="center"/>
              <w:textAlignment w:val="bottom"/>
            </w:pPr>
            <w:r>
              <w:rPr>
                <w:rFonts w:ascii="Times New Roman" w:eastAsia="宋体" w:hAnsi="Times New Roman"/>
                <w:b/>
                <w:bCs/>
                <w:color w:val="000000"/>
                <w:sz w:val="18"/>
                <w:szCs w:val="18"/>
              </w:rPr>
              <w:t>Issued Shares</w:t>
            </w:r>
          </w:p>
        </w:tc>
        <w:tc>
          <w:tcPr>
            <w:tcW w:w="0" w:type="auto"/>
            <w:gridSpan w:val="3"/>
            <w:tcBorders>
              <w:top w:val="single" w:sz="8" w:space="0" w:color="000000"/>
            </w:tcBorders>
            <w:shd w:val="clear" w:color="auto" w:fill="auto"/>
            <w:tcMar>
              <w:left w:w="20" w:type="dxa"/>
              <w:right w:w="20" w:type="dxa"/>
            </w:tcMar>
            <w:vAlign w:val="bottom"/>
          </w:tcPr>
          <w:p w14:paraId="33DA9E96"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9E97" w14:textId="77777777" w:rsidR="004D6A64" w:rsidRDefault="00506CD6">
            <w:pPr>
              <w:jc w:val="center"/>
              <w:textAlignment w:val="bottom"/>
            </w:pPr>
            <w:r>
              <w:rPr>
                <w:rFonts w:ascii="Times New Roman" w:eastAsia="宋体" w:hAnsi="Times New Roman"/>
                <w:b/>
                <w:bCs/>
                <w:color w:val="000000"/>
                <w:sz w:val="18"/>
                <w:szCs w:val="18"/>
              </w:rPr>
              <w:t>Amount</w:t>
            </w:r>
          </w:p>
        </w:tc>
        <w:tc>
          <w:tcPr>
            <w:tcW w:w="0" w:type="auto"/>
            <w:gridSpan w:val="3"/>
            <w:shd w:val="clear" w:color="auto" w:fill="auto"/>
            <w:tcMar>
              <w:left w:w="20" w:type="dxa"/>
              <w:right w:w="20" w:type="dxa"/>
            </w:tcMar>
            <w:vAlign w:val="bottom"/>
          </w:tcPr>
          <w:p w14:paraId="33DA9E98"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9E99" w14:textId="77777777" w:rsidR="004D6A64" w:rsidRDefault="00506CD6">
            <w:pPr>
              <w:jc w:val="center"/>
              <w:textAlignment w:val="bottom"/>
            </w:pPr>
            <w:r>
              <w:rPr>
                <w:rFonts w:ascii="Times New Roman" w:eastAsia="宋体" w:hAnsi="Times New Roman"/>
                <w:b/>
                <w:bCs/>
                <w:color w:val="000000"/>
                <w:sz w:val="18"/>
                <w:szCs w:val="18"/>
              </w:rPr>
              <w:t>Shares</w:t>
            </w:r>
          </w:p>
        </w:tc>
        <w:tc>
          <w:tcPr>
            <w:tcW w:w="0" w:type="auto"/>
            <w:gridSpan w:val="3"/>
            <w:tcBorders>
              <w:top w:val="single" w:sz="8" w:space="0" w:color="000000"/>
            </w:tcBorders>
            <w:shd w:val="clear" w:color="auto" w:fill="auto"/>
            <w:tcMar>
              <w:left w:w="20" w:type="dxa"/>
              <w:right w:w="20" w:type="dxa"/>
            </w:tcMar>
            <w:vAlign w:val="bottom"/>
          </w:tcPr>
          <w:p w14:paraId="33DA9E9A"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9E9B" w14:textId="77777777" w:rsidR="004D6A64" w:rsidRDefault="00506CD6">
            <w:pPr>
              <w:jc w:val="center"/>
              <w:textAlignment w:val="bottom"/>
            </w:pPr>
            <w:r>
              <w:rPr>
                <w:rFonts w:ascii="Times New Roman" w:eastAsia="宋体" w:hAnsi="Times New Roman"/>
                <w:b/>
                <w:bCs/>
                <w:color w:val="000000"/>
                <w:sz w:val="18"/>
                <w:szCs w:val="18"/>
              </w:rPr>
              <w:t>Amount</w:t>
            </w:r>
          </w:p>
        </w:tc>
        <w:tc>
          <w:tcPr>
            <w:tcW w:w="0" w:type="auto"/>
            <w:gridSpan w:val="3"/>
            <w:shd w:val="clear" w:color="auto" w:fill="auto"/>
            <w:tcMar>
              <w:left w:w="20" w:type="dxa"/>
              <w:right w:w="20" w:type="dxa"/>
            </w:tcMar>
            <w:vAlign w:val="bottom"/>
          </w:tcPr>
          <w:p w14:paraId="33DA9E9C"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9E9D" w14:textId="77777777" w:rsidR="004D6A64" w:rsidRDefault="00506CD6">
            <w:pPr>
              <w:jc w:val="center"/>
              <w:textAlignment w:val="bottom"/>
            </w:pPr>
            <w:r>
              <w:rPr>
                <w:rFonts w:ascii="Times New Roman" w:eastAsia="宋体" w:hAnsi="Times New Roman"/>
                <w:b/>
                <w:bCs/>
                <w:color w:val="000000"/>
                <w:sz w:val="18"/>
                <w:szCs w:val="18"/>
              </w:rPr>
              <w:t>Accumulated Deficit</w:t>
            </w:r>
          </w:p>
        </w:tc>
        <w:tc>
          <w:tcPr>
            <w:tcW w:w="0" w:type="auto"/>
            <w:gridSpan w:val="3"/>
            <w:shd w:val="clear" w:color="auto" w:fill="auto"/>
            <w:tcMar>
              <w:left w:w="20" w:type="dxa"/>
              <w:right w:w="20" w:type="dxa"/>
            </w:tcMar>
            <w:vAlign w:val="bottom"/>
          </w:tcPr>
          <w:p w14:paraId="33DA9E9E"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9E9F" w14:textId="77777777" w:rsidR="004D6A64" w:rsidRDefault="00506CD6">
            <w:pPr>
              <w:jc w:val="center"/>
              <w:textAlignment w:val="bottom"/>
            </w:pPr>
            <w:r>
              <w:rPr>
                <w:rFonts w:ascii="Times New Roman" w:eastAsia="宋体" w:hAnsi="Times New Roman"/>
                <w:b/>
                <w:bCs/>
                <w:color w:val="000000"/>
                <w:sz w:val="18"/>
                <w:szCs w:val="18"/>
              </w:rPr>
              <w:t>Accumulated Other Comprehensive Income/(Loss)</w:t>
            </w:r>
          </w:p>
        </w:tc>
        <w:tc>
          <w:tcPr>
            <w:tcW w:w="0" w:type="auto"/>
            <w:gridSpan w:val="3"/>
            <w:shd w:val="clear" w:color="auto" w:fill="auto"/>
            <w:tcMar>
              <w:left w:w="20" w:type="dxa"/>
              <w:right w:w="20" w:type="dxa"/>
            </w:tcMar>
            <w:vAlign w:val="bottom"/>
          </w:tcPr>
          <w:p w14:paraId="33DA9EA0"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9EA1" w14:textId="77777777" w:rsidR="004D6A64" w:rsidRDefault="00506CD6">
            <w:pPr>
              <w:jc w:val="center"/>
              <w:textAlignment w:val="bottom"/>
            </w:pPr>
            <w:r>
              <w:rPr>
                <w:rFonts w:ascii="Times New Roman" w:eastAsia="宋体" w:hAnsi="Times New Roman"/>
                <w:b/>
                <w:bCs/>
                <w:color w:val="000000"/>
                <w:sz w:val="18"/>
                <w:szCs w:val="18"/>
              </w:rPr>
              <w:t>Dell Technologies</w:t>
            </w:r>
            <w:r>
              <w:rPr>
                <w:rFonts w:ascii="Times New Roman" w:eastAsia="宋体" w:hAnsi="Times New Roman"/>
                <w:b/>
                <w:bCs/>
                <w:color w:val="000000"/>
                <w:sz w:val="18"/>
                <w:szCs w:val="18"/>
              </w:rPr>
              <w:br/>
              <w:t>Stockholders’ Equity (Deficit)</w:t>
            </w:r>
          </w:p>
        </w:tc>
        <w:tc>
          <w:tcPr>
            <w:tcW w:w="0" w:type="auto"/>
            <w:gridSpan w:val="3"/>
            <w:shd w:val="clear" w:color="auto" w:fill="auto"/>
            <w:tcMar>
              <w:left w:w="20" w:type="dxa"/>
              <w:right w:w="20" w:type="dxa"/>
            </w:tcMar>
            <w:vAlign w:val="bottom"/>
          </w:tcPr>
          <w:p w14:paraId="33DA9EA2"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9EA3" w14:textId="77777777" w:rsidR="004D6A64" w:rsidRDefault="00506CD6">
            <w:pPr>
              <w:jc w:val="center"/>
              <w:textAlignment w:val="bottom"/>
            </w:pPr>
            <w:r>
              <w:rPr>
                <w:rFonts w:ascii="Times New Roman" w:eastAsia="宋体" w:hAnsi="Times New Roman"/>
                <w:b/>
                <w:bCs/>
                <w:color w:val="000000"/>
                <w:sz w:val="18"/>
                <w:szCs w:val="18"/>
              </w:rPr>
              <w:t>Non-Controlling Interests</w:t>
            </w:r>
          </w:p>
        </w:tc>
        <w:tc>
          <w:tcPr>
            <w:tcW w:w="0" w:type="auto"/>
            <w:gridSpan w:val="3"/>
            <w:shd w:val="clear" w:color="auto" w:fill="auto"/>
            <w:tcMar>
              <w:left w:w="20" w:type="dxa"/>
              <w:right w:w="20" w:type="dxa"/>
            </w:tcMar>
            <w:vAlign w:val="bottom"/>
          </w:tcPr>
          <w:p w14:paraId="33DA9EA4"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9EA5" w14:textId="77777777" w:rsidR="004D6A64" w:rsidRDefault="00506CD6">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000000"/>
                <w:sz w:val="18"/>
                <w:szCs w:val="18"/>
              </w:rPr>
              <w:t>Total Stockholders</w:t>
            </w:r>
            <w:r>
              <w:rPr>
                <w:rFonts w:ascii="Times New Roman" w:eastAsia="宋体" w:hAnsi="Times New Roman"/>
                <w:color w:val="000000"/>
                <w:sz w:val="18"/>
                <w:szCs w:val="18"/>
              </w:rPr>
              <w:t>’</w:t>
            </w:r>
            <w:r>
              <w:rPr>
                <w:rFonts w:ascii="Times New Roman" w:eastAsia="宋体" w:hAnsi="Times New Roman"/>
                <w:b/>
                <w:bCs/>
                <w:color w:val="000000"/>
                <w:sz w:val="18"/>
                <w:szCs w:val="18"/>
              </w:rPr>
              <w:t xml:space="preserve"> Equity (Deficit)</w:t>
            </w:r>
          </w:p>
        </w:tc>
        <w:tc>
          <w:tcPr>
            <w:tcW w:w="0" w:type="auto"/>
            <w:shd w:val="clear" w:color="auto" w:fill="auto"/>
          </w:tcPr>
          <w:p w14:paraId="33DA9EA6" w14:textId="77777777" w:rsidR="004D6A64" w:rsidRDefault="004D6A64">
            <w:pPr>
              <w:rPr>
                <w:rFonts w:ascii="宋体"/>
              </w:rPr>
            </w:pPr>
          </w:p>
        </w:tc>
        <w:tc>
          <w:tcPr>
            <w:tcW w:w="0" w:type="auto"/>
            <w:shd w:val="clear" w:color="auto" w:fill="auto"/>
          </w:tcPr>
          <w:p w14:paraId="33DA9EA7" w14:textId="77777777" w:rsidR="004D6A64" w:rsidRDefault="004D6A64">
            <w:pPr>
              <w:rPr>
                <w:rFonts w:ascii="宋体"/>
              </w:rPr>
            </w:pPr>
          </w:p>
        </w:tc>
        <w:tc>
          <w:tcPr>
            <w:tcW w:w="0" w:type="auto"/>
            <w:shd w:val="clear" w:color="auto" w:fill="auto"/>
          </w:tcPr>
          <w:p w14:paraId="33DA9EA8" w14:textId="77777777" w:rsidR="004D6A64" w:rsidRDefault="004D6A64">
            <w:pPr>
              <w:rPr>
                <w:rFonts w:ascii="宋体"/>
              </w:rPr>
            </w:pPr>
          </w:p>
        </w:tc>
        <w:tc>
          <w:tcPr>
            <w:tcW w:w="0" w:type="auto"/>
            <w:shd w:val="clear" w:color="auto" w:fill="auto"/>
          </w:tcPr>
          <w:p w14:paraId="33DA9EA9" w14:textId="77777777" w:rsidR="004D6A64" w:rsidRDefault="004D6A64">
            <w:pPr>
              <w:rPr>
                <w:rFonts w:ascii="宋体"/>
              </w:rPr>
            </w:pPr>
          </w:p>
        </w:tc>
        <w:tc>
          <w:tcPr>
            <w:tcW w:w="0" w:type="auto"/>
            <w:shd w:val="clear" w:color="auto" w:fill="auto"/>
          </w:tcPr>
          <w:p w14:paraId="33DA9EAA" w14:textId="77777777" w:rsidR="004D6A64" w:rsidRDefault="004D6A64">
            <w:pPr>
              <w:rPr>
                <w:rFonts w:ascii="宋体"/>
              </w:rPr>
            </w:pPr>
          </w:p>
        </w:tc>
        <w:tc>
          <w:tcPr>
            <w:tcW w:w="0" w:type="auto"/>
            <w:shd w:val="clear" w:color="auto" w:fill="auto"/>
          </w:tcPr>
          <w:p w14:paraId="33DA9EAB" w14:textId="77777777" w:rsidR="004D6A64" w:rsidRDefault="004D6A64">
            <w:pPr>
              <w:rPr>
                <w:rFonts w:ascii="宋体"/>
              </w:rPr>
            </w:pPr>
          </w:p>
        </w:tc>
        <w:tc>
          <w:tcPr>
            <w:tcW w:w="0" w:type="auto"/>
            <w:shd w:val="clear" w:color="auto" w:fill="auto"/>
          </w:tcPr>
          <w:p w14:paraId="33DA9EAC" w14:textId="77777777" w:rsidR="004D6A64" w:rsidRDefault="004D6A64">
            <w:pPr>
              <w:rPr>
                <w:rFonts w:ascii="宋体"/>
              </w:rPr>
            </w:pPr>
          </w:p>
        </w:tc>
        <w:tc>
          <w:tcPr>
            <w:tcW w:w="0" w:type="auto"/>
            <w:shd w:val="clear" w:color="auto" w:fill="auto"/>
          </w:tcPr>
          <w:p w14:paraId="33DA9EAD" w14:textId="77777777" w:rsidR="004D6A64" w:rsidRDefault="004D6A64">
            <w:pPr>
              <w:rPr>
                <w:rFonts w:ascii="宋体"/>
              </w:rPr>
            </w:pPr>
          </w:p>
        </w:tc>
        <w:tc>
          <w:tcPr>
            <w:tcW w:w="0" w:type="auto"/>
            <w:shd w:val="clear" w:color="auto" w:fill="auto"/>
          </w:tcPr>
          <w:p w14:paraId="33DA9EAE" w14:textId="77777777" w:rsidR="004D6A64" w:rsidRDefault="004D6A64">
            <w:pPr>
              <w:rPr>
                <w:rFonts w:ascii="宋体"/>
              </w:rPr>
            </w:pPr>
          </w:p>
        </w:tc>
      </w:tr>
      <w:tr w:rsidR="00506CD6" w14:paraId="33DA9EDB" w14:textId="77777777">
        <w:trPr>
          <w:jc w:val="center"/>
        </w:trPr>
        <w:tc>
          <w:tcPr>
            <w:tcW w:w="0" w:type="auto"/>
            <w:gridSpan w:val="3"/>
            <w:shd w:val="clear" w:color="auto" w:fill="CCEEFF"/>
            <w:tcMar>
              <w:top w:w="40" w:type="dxa"/>
              <w:left w:w="20" w:type="dxa"/>
              <w:bottom w:w="40" w:type="dxa"/>
              <w:right w:w="20" w:type="dxa"/>
            </w:tcMar>
            <w:vAlign w:val="bottom"/>
          </w:tcPr>
          <w:p w14:paraId="33DA9EB0" w14:textId="77777777" w:rsidR="004D6A64" w:rsidRDefault="00506CD6">
            <w:pPr>
              <w:textAlignment w:val="bottom"/>
            </w:pPr>
            <w:r>
              <w:rPr>
                <w:rFonts w:ascii="Times New Roman" w:eastAsia="宋体" w:hAnsi="Times New Roman"/>
                <w:b/>
                <w:bCs/>
                <w:color w:val="000000"/>
                <w:sz w:val="20"/>
                <w:szCs w:val="20"/>
              </w:rPr>
              <w:t>Balances as of February 1, 2019</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3DA9EB1" w14:textId="77777777" w:rsidR="004D6A64" w:rsidRDefault="00506CD6">
            <w:pPr>
              <w:jc w:val="right"/>
              <w:textAlignment w:val="bottom"/>
            </w:pPr>
            <w:r>
              <w:rPr>
                <w:rFonts w:ascii="Times New Roman" w:eastAsia="宋体" w:hAnsi="Times New Roman"/>
                <w:color w:val="000000"/>
                <w:sz w:val="20"/>
                <w:szCs w:val="20"/>
              </w:rPr>
              <w:t>721 </w:t>
            </w:r>
          </w:p>
        </w:tc>
        <w:tc>
          <w:tcPr>
            <w:tcW w:w="0" w:type="auto"/>
            <w:tcBorders>
              <w:top w:val="single" w:sz="8" w:space="0" w:color="000000"/>
            </w:tcBorders>
            <w:shd w:val="clear" w:color="auto" w:fill="CCEEFF"/>
            <w:tcMar>
              <w:top w:w="40" w:type="dxa"/>
              <w:bottom w:w="40" w:type="dxa"/>
              <w:right w:w="20" w:type="dxa"/>
            </w:tcMar>
            <w:vAlign w:val="bottom"/>
          </w:tcPr>
          <w:p w14:paraId="33DA9EB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EB3"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9EB4"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9EB5" w14:textId="77777777" w:rsidR="004D6A64" w:rsidRDefault="00506CD6">
            <w:pPr>
              <w:jc w:val="right"/>
              <w:textAlignment w:val="bottom"/>
            </w:pPr>
            <w:r>
              <w:rPr>
                <w:rFonts w:ascii="Times New Roman" w:eastAsia="宋体" w:hAnsi="Times New Roman"/>
                <w:color w:val="000000"/>
                <w:sz w:val="20"/>
                <w:szCs w:val="20"/>
              </w:rPr>
              <w:t>16,114 </w:t>
            </w:r>
          </w:p>
        </w:tc>
        <w:tc>
          <w:tcPr>
            <w:tcW w:w="0" w:type="auto"/>
            <w:tcBorders>
              <w:top w:val="single" w:sz="8" w:space="0" w:color="000000"/>
            </w:tcBorders>
            <w:shd w:val="clear" w:color="auto" w:fill="CCEEFF"/>
            <w:tcMar>
              <w:top w:w="40" w:type="dxa"/>
              <w:bottom w:w="40" w:type="dxa"/>
              <w:right w:w="20" w:type="dxa"/>
            </w:tcMar>
            <w:vAlign w:val="bottom"/>
          </w:tcPr>
          <w:p w14:paraId="33DA9EB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EB7"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3DA9EB8" w14:textId="77777777" w:rsidR="004D6A64" w:rsidRDefault="00506CD6">
            <w:pPr>
              <w:jc w:val="right"/>
              <w:textAlignment w:val="bottom"/>
            </w:pPr>
            <w:r>
              <w:rPr>
                <w:rFonts w:ascii="Times New Roman" w:eastAsia="宋体" w:hAnsi="Times New Roman"/>
                <w:color w:val="000000"/>
                <w:sz w:val="20"/>
                <w:szCs w:val="20"/>
              </w:rPr>
              <w:t>2 </w:t>
            </w:r>
          </w:p>
        </w:tc>
        <w:tc>
          <w:tcPr>
            <w:tcW w:w="0" w:type="auto"/>
            <w:tcBorders>
              <w:top w:val="single" w:sz="8" w:space="0" w:color="000000"/>
            </w:tcBorders>
            <w:shd w:val="clear" w:color="auto" w:fill="CCEEFF"/>
            <w:tcMar>
              <w:top w:w="40" w:type="dxa"/>
              <w:bottom w:w="40" w:type="dxa"/>
              <w:right w:w="20" w:type="dxa"/>
            </w:tcMar>
            <w:vAlign w:val="bottom"/>
          </w:tcPr>
          <w:p w14:paraId="33DA9EB9"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EBA"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9EBB"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9EBC" w14:textId="77777777" w:rsidR="004D6A64" w:rsidRDefault="00506CD6">
            <w:pPr>
              <w:jc w:val="right"/>
              <w:textAlignment w:val="bottom"/>
            </w:pPr>
            <w:r>
              <w:rPr>
                <w:rFonts w:ascii="Times New Roman" w:eastAsia="宋体" w:hAnsi="Times New Roman"/>
                <w:color w:val="000000"/>
                <w:sz w:val="20"/>
                <w:szCs w:val="20"/>
              </w:rPr>
              <w:t>(63)</w:t>
            </w:r>
          </w:p>
        </w:tc>
        <w:tc>
          <w:tcPr>
            <w:tcW w:w="0" w:type="auto"/>
            <w:tcBorders>
              <w:top w:val="single" w:sz="8" w:space="0" w:color="000000"/>
            </w:tcBorders>
            <w:shd w:val="clear" w:color="auto" w:fill="CCEEFF"/>
            <w:tcMar>
              <w:top w:w="40" w:type="dxa"/>
              <w:bottom w:w="40" w:type="dxa"/>
              <w:right w:w="20" w:type="dxa"/>
            </w:tcMar>
            <w:vAlign w:val="bottom"/>
          </w:tcPr>
          <w:p w14:paraId="33DA9EB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EBE"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9EBF"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9EC0" w14:textId="77777777" w:rsidR="004D6A64" w:rsidRDefault="00506CD6">
            <w:pPr>
              <w:jc w:val="right"/>
              <w:textAlignment w:val="bottom"/>
            </w:pPr>
            <w:r>
              <w:rPr>
                <w:rFonts w:ascii="Times New Roman" w:eastAsia="宋体" w:hAnsi="Times New Roman"/>
                <w:color w:val="000000"/>
                <w:sz w:val="20"/>
                <w:szCs w:val="20"/>
              </w:rPr>
              <w:t>(21,349)</w:t>
            </w:r>
          </w:p>
        </w:tc>
        <w:tc>
          <w:tcPr>
            <w:tcW w:w="0" w:type="auto"/>
            <w:tcBorders>
              <w:top w:val="single" w:sz="8" w:space="0" w:color="000000"/>
            </w:tcBorders>
            <w:shd w:val="clear" w:color="auto" w:fill="CCEEFF"/>
            <w:tcMar>
              <w:top w:w="40" w:type="dxa"/>
              <w:bottom w:w="40" w:type="dxa"/>
              <w:right w:w="20" w:type="dxa"/>
            </w:tcMar>
            <w:vAlign w:val="bottom"/>
          </w:tcPr>
          <w:p w14:paraId="33DA9EC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EC2"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9EC3"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9EC4" w14:textId="77777777" w:rsidR="004D6A64" w:rsidRDefault="00506CD6">
            <w:pPr>
              <w:jc w:val="right"/>
              <w:textAlignment w:val="bottom"/>
            </w:pPr>
            <w:r>
              <w:rPr>
                <w:rFonts w:ascii="Times New Roman" w:eastAsia="宋体" w:hAnsi="Times New Roman"/>
                <w:color w:val="000000"/>
                <w:sz w:val="20"/>
                <w:szCs w:val="20"/>
              </w:rPr>
              <w:t>(467)</w:t>
            </w:r>
          </w:p>
        </w:tc>
        <w:tc>
          <w:tcPr>
            <w:tcW w:w="0" w:type="auto"/>
            <w:tcBorders>
              <w:top w:val="single" w:sz="8" w:space="0" w:color="000000"/>
            </w:tcBorders>
            <w:shd w:val="clear" w:color="auto" w:fill="CCEEFF"/>
            <w:tcMar>
              <w:top w:w="40" w:type="dxa"/>
              <w:bottom w:w="40" w:type="dxa"/>
              <w:right w:w="20" w:type="dxa"/>
            </w:tcMar>
            <w:vAlign w:val="bottom"/>
          </w:tcPr>
          <w:p w14:paraId="33DA9EC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EC6"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9EC7"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9EC8" w14:textId="77777777" w:rsidR="004D6A64" w:rsidRDefault="00506CD6">
            <w:pPr>
              <w:jc w:val="right"/>
              <w:textAlignment w:val="bottom"/>
            </w:pPr>
            <w:r>
              <w:rPr>
                <w:rFonts w:ascii="Times New Roman" w:eastAsia="宋体" w:hAnsi="Times New Roman"/>
                <w:color w:val="000000"/>
                <w:sz w:val="20"/>
                <w:szCs w:val="20"/>
              </w:rPr>
              <w:t>(5,765)</w:t>
            </w:r>
          </w:p>
        </w:tc>
        <w:tc>
          <w:tcPr>
            <w:tcW w:w="0" w:type="auto"/>
            <w:tcBorders>
              <w:top w:val="single" w:sz="8" w:space="0" w:color="000000"/>
            </w:tcBorders>
            <w:shd w:val="clear" w:color="auto" w:fill="CCEEFF"/>
            <w:tcMar>
              <w:top w:w="40" w:type="dxa"/>
              <w:bottom w:w="40" w:type="dxa"/>
              <w:right w:w="20" w:type="dxa"/>
            </w:tcMar>
            <w:vAlign w:val="bottom"/>
          </w:tcPr>
          <w:p w14:paraId="33DA9EC9"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ECA"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9ECB"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9ECC" w14:textId="77777777" w:rsidR="004D6A64" w:rsidRDefault="00506CD6">
            <w:pPr>
              <w:jc w:val="right"/>
              <w:textAlignment w:val="bottom"/>
            </w:pPr>
            <w:r>
              <w:rPr>
                <w:rFonts w:ascii="Times New Roman" w:eastAsia="宋体" w:hAnsi="Times New Roman"/>
                <w:color w:val="000000"/>
                <w:sz w:val="20"/>
                <w:szCs w:val="20"/>
              </w:rPr>
              <w:t>4,823 </w:t>
            </w:r>
          </w:p>
        </w:tc>
        <w:tc>
          <w:tcPr>
            <w:tcW w:w="0" w:type="auto"/>
            <w:tcBorders>
              <w:top w:val="single" w:sz="8" w:space="0" w:color="000000"/>
            </w:tcBorders>
            <w:shd w:val="clear" w:color="auto" w:fill="CCEEFF"/>
            <w:tcMar>
              <w:top w:w="40" w:type="dxa"/>
              <w:bottom w:w="40" w:type="dxa"/>
              <w:right w:w="20" w:type="dxa"/>
            </w:tcMar>
            <w:vAlign w:val="bottom"/>
          </w:tcPr>
          <w:p w14:paraId="33DA9EC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ECE"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9ECF"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9ED0" w14:textId="77777777" w:rsidR="004D6A64" w:rsidRDefault="00506CD6">
            <w:pPr>
              <w:jc w:val="right"/>
              <w:textAlignment w:val="bottom"/>
            </w:pPr>
            <w:r>
              <w:rPr>
                <w:rFonts w:ascii="Times New Roman" w:eastAsia="宋体" w:hAnsi="Times New Roman"/>
                <w:color w:val="000000"/>
                <w:sz w:val="20"/>
                <w:szCs w:val="20"/>
              </w:rPr>
              <w:t>(942)</w:t>
            </w:r>
          </w:p>
        </w:tc>
        <w:tc>
          <w:tcPr>
            <w:tcW w:w="0" w:type="auto"/>
            <w:tcBorders>
              <w:top w:val="single" w:sz="8" w:space="0" w:color="000000"/>
            </w:tcBorders>
            <w:shd w:val="clear" w:color="auto" w:fill="CCEEFF"/>
            <w:tcMar>
              <w:top w:w="40" w:type="dxa"/>
              <w:bottom w:w="40" w:type="dxa"/>
              <w:right w:w="20" w:type="dxa"/>
            </w:tcMar>
            <w:vAlign w:val="bottom"/>
          </w:tcPr>
          <w:p w14:paraId="33DA9ED1" w14:textId="77777777" w:rsidR="004D6A64" w:rsidRDefault="004D6A64">
            <w:pPr>
              <w:jc w:val="right"/>
              <w:rPr>
                <w:rFonts w:ascii="宋体"/>
              </w:rPr>
            </w:pPr>
          </w:p>
        </w:tc>
        <w:tc>
          <w:tcPr>
            <w:tcW w:w="0" w:type="auto"/>
            <w:shd w:val="clear" w:color="auto" w:fill="auto"/>
          </w:tcPr>
          <w:p w14:paraId="33DA9ED2" w14:textId="77777777" w:rsidR="004D6A64" w:rsidRDefault="004D6A64">
            <w:pPr>
              <w:rPr>
                <w:rFonts w:ascii="宋体"/>
              </w:rPr>
            </w:pPr>
          </w:p>
        </w:tc>
        <w:tc>
          <w:tcPr>
            <w:tcW w:w="0" w:type="auto"/>
            <w:shd w:val="clear" w:color="auto" w:fill="auto"/>
          </w:tcPr>
          <w:p w14:paraId="33DA9ED3" w14:textId="77777777" w:rsidR="004D6A64" w:rsidRDefault="004D6A64">
            <w:pPr>
              <w:rPr>
                <w:rFonts w:ascii="宋体"/>
              </w:rPr>
            </w:pPr>
          </w:p>
        </w:tc>
        <w:tc>
          <w:tcPr>
            <w:tcW w:w="0" w:type="auto"/>
            <w:shd w:val="clear" w:color="auto" w:fill="auto"/>
          </w:tcPr>
          <w:p w14:paraId="33DA9ED4" w14:textId="77777777" w:rsidR="004D6A64" w:rsidRDefault="004D6A64">
            <w:pPr>
              <w:rPr>
                <w:rFonts w:ascii="宋体"/>
              </w:rPr>
            </w:pPr>
          </w:p>
        </w:tc>
        <w:tc>
          <w:tcPr>
            <w:tcW w:w="0" w:type="auto"/>
            <w:shd w:val="clear" w:color="auto" w:fill="auto"/>
          </w:tcPr>
          <w:p w14:paraId="33DA9ED5" w14:textId="77777777" w:rsidR="004D6A64" w:rsidRDefault="004D6A64">
            <w:pPr>
              <w:rPr>
                <w:rFonts w:ascii="宋体"/>
              </w:rPr>
            </w:pPr>
          </w:p>
        </w:tc>
        <w:tc>
          <w:tcPr>
            <w:tcW w:w="0" w:type="auto"/>
            <w:shd w:val="clear" w:color="auto" w:fill="auto"/>
          </w:tcPr>
          <w:p w14:paraId="33DA9ED6" w14:textId="77777777" w:rsidR="004D6A64" w:rsidRDefault="004D6A64">
            <w:pPr>
              <w:rPr>
                <w:rFonts w:ascii="宋体"/>
              </w:rPr>
            </w:pPr>
          </w:p>
        </w:tc>
        <w:tc>
          <w:tcPr>
            <w:tcW w:w="0" w:type="auto"/>
            <w:shd w:val="clear" w:color="auto" w:fill="auto"/>
          </w:tcPr>
          <w:p w14:paraId="33DA9ED7" w14:textId="77777777" w:rsidR="004D6A64" w:rsidRDefault="004D6A64">
            <w:pPr>
              <w:rPr>
                <w:rFonts w:ascii="宋体"/>
              </w:rPr>
            </w:pPr>
          </w:p>
        </w:tc>
        <w:tc>
          <w:tcPr>
            <w:tcW w:w="0" w:type="auto"/>
            <w:shd w:val="clear" w:color="auto" w:fill="auto"/>
          </w:tcPr>
          <w:p w14:paraId="33DA9ED8" w14:textId="77777777" w:rsidR="004D6A64" w:rsidRDefault="004D6A64">
            <w:pPr>
              <w:rPr>
                <w:rFonts w:ascii="宋体"/>
              </w:rPr>
            </w:pPr>
          </w:p>
        </w:tc>
        <w:tc>
          <w:tcPr>
            <w:tcW w:w="0" w:type="auto"/>
            <w:shd w:val="clear" w:color="auto" w:fill="auto"/>
          </w:tcPr>
          <w:p w14:paraId="33DA9ED9" w14:textId="77777777" w:rsidR="004D6A64" w:rsidRDefault="004D6A64">
            <w:pPr>
              <w:rPr>
                <w:rFonts w:ascii="宋体"/>
              </w:rPr>
            </w:pPr>
          </w:p>
        </w:tc>
        <w:tc>
          <w:tcPr>
            <w:tcW w:w="0" w:type="auto"/>
            <w:shd w:val="clear" w:color="auto" w:fill="auto"/>
          </w:tcPr>
          <w:p w14:paraId="33DA9EDA" w14:textId="77777777" w:rsidR="004D6A64" w:rsidRDefault="004D6A64">
            <w:pPr>
              <w:rPr>
                <w:rFonts w:ascii="宋体"/>
              </w:rPr>
            </w:pPr>
          </w:p>
        </w:tc>
      </w:tr>
      <w:tr w:rsidR="00506CD6" w14:paraId="33DA9F00" w14:textId="77777777">
        <w:trPr>
          <w:jc w:val="center"/>
        </w:trPr>
        <w:tc>
          <w:tcPr>
            <w:tcW w:w="0" w:type="auto"/>
            <w:gridSpan w:val="3"/>
            <w:shd w:val="clear" w:color="auto" w:fill="FFFFFF"/>
            <w:tcMar>
              <w:top w:w="40" w:type="dxa"/>
              <w:left w:w="135" w:type="dxa"/>
              <w:bottom w:w="40" w:type="dxa"/>
              <w:right w:w="20" w:type="dxa"/>
            </w:tcMar>
            <w:vAlign w:val="bottom"/>
          </w:tcPr>
          <w:p w14:paraId="33DA9EDC" w14:textId="77777777" w:rsidR="004D6A64" w:rsidRDefault="00506CD6">
            <w:pPr>
              <w:textAlignment w:val="bottom"/>
            </w:pPr>
            <w:r>
              <w:rPr>
                <w:rFonts w:ascii="Times New Roman" w:eastAsia="宋体" w:hAnsi="Times New Roman"/>
                <w:color w:val="000000"/>
                <w:sz w:val="20"/>
                <w:szCs w:val="20"/>
              </w:rPr>
              <w:t>Adjustment for adoption of accounting standards</w:t>
            </w:r>
          </w:p>
        </w:tc>
        <w:tc>
          <w:tcPr>
            <w:tcW w:w="0" w:type="auto"/>
            <w:gridSpan w:val="2"/>
            <w:shd w:val="clear" w:color="auto" w:fill="FFFFFF"/>
            <w:tcMar>
              <w:top w:w="40" w:type="dxa"/>
              <w:left w:w="20" w:type="dxa"/>
              <w:bottom w:w="40" w:type="dxa"/>
              <w:right w:w="0" w:type="dxa"/>
            </w:tcMar>
            <w:vAlign w:val="bottom"/>
          </w:tcPr>
          <w:p w14:paraId="33DA9EDD"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ED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EDF"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EE0"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EE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EE2"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EE3" w14:textId="77777777" w:rsidR="004D6A64" w:rsidRDefault="00506CD6">
            <w:pPr>
              <w:jc w:val="right"/>
              <w:textAlignment w:val="bottom"/>
            </w:pPr>
            <w:r>
              <w:rPr>
                <w:rFonts w:ascii="Times New Roman" w:eastAsia="宋体" w:hAnsi="Times New Roman"/>
                <w:color w:val="000000"/>
                <w:sz w:val="20"/>
                <w:szCs w:val="20"/>
              </w:rPr>
              <w:t>—</w:t>
            </w: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EE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EE5"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EE6"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EE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EE8"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EE9" w14:textId="77777777" w:rsidR="004D6A64" w:rsidRDefault="00506CD6">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bottom w:w="40" w:type="dxa"/>
              <w:right w:w="20" w:type="dxa"/>
            </w:tcMar>
            <w:vAlign w:val="bottom"/>
          </w:tcPr>
          <w:p w14:paraId="33DA9EE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EEB"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EEC"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EE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EEE"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EEF" w14:textId="77777777" w:rsidR="004D6A64" w:rsidRDefault="00506CD6">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bottom w:w="40" w:type="dxa"/>
              <w:right w:w="20" w:type="dxa"/>
            </w:tcMar>
            <w:vAlign w:val="bottom"/>
          </w:tcPr>
          <w:p w14:paraId="33DA9EF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EF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EF2"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EF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EF4"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EF5" w14:textId="77777777" w:rsidR="004D6A64" w:rsidRDefault="00506CD6">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bottom w:w="40" w:type="dxa"/>
              <w:right w:w="20" w:type="dxa"/>
            </w:tcMar>
            <w:vAlign w:val="bottom"/>
          </w:tcPr>
          <w:p w14:paraId="33DA9EF6" w14:textId="77777777" w:rsidR="004D6A64" w:rsidRDefault="004D6A64">
            <w:pPr>
              <w:jc w:val="right"/>
              <w:rPr>
                <w:rFonts w:ascii="宋体"/>
              </w:rPr>
            </w:pPr>
          </w:p>
        </w:tc>
        <w:tc>
          <w:tcPr>
            <w:tcW w:w="0" w:type="auto"/>
            <w:shd w:val="clear" w:color="auto" w:fill="auto"/>
          </w:tcPr>
          <w:p w14:paraId="33DA9EF7" w14:textId="77777777" w:rsidR="004D6A64" w:rsidRDefault="004D6A64">
            <w:pPr>
              <w:rPr>
                <w:rFonts w:ascii="宋体"/>
              </w:rPr>
            </w:pPr>
          </w:p>
        </w:tc>
        <w:tc>
          <w:tcPr>
            <w:tcW w:w="0" w:type="auto"/>
            <w:shd w:val="clear" w:color="auto" w:fill="auto"/>
          </w:tcPr>
          <w:p w14:paraId="33DA9EF8" w14:textId="77777777" w:rsidR="004D6A64" w:rsidRDefault="004D6A64">
            <w:pPr>
              <w:rPr>
                <w:rFonts w:ascii="宋体"/>
              </w:rPr>
            </w:pPr>
          </w:p>
        </w:tc>
        <w:tc>
          <w:tcPr>
            <w:tcW w:w="0" w:type="auto"/>
            <w:shd w:val="clear" w:color="auto" w:fill="auto"/>
          </w:tcPr>
          <w:p w14:paraId="33DA9EF9" w14:textId="77777777" w:rsidR="004D6A64" w:rsidRDefault="004D6A64">
            <w:pPr>
              <w:rPr>
                <w:rFonts w:ascii="宋体"/>
              </w:rPr>
            </w:pPr>
          </w:p>
        </w:tc>
        <w:tc>
          <w:tcPr>
            <w:tcW w:w="0" w:type="auto"/>
            <w:shd w:val="clear" w:color="auto" w:fill="auto"/>
          </w:tcPr>
          <w:p w14:paraId="33DA9EFA" w14:textId="77777777" w:rsidR="004D6A64" w:rsidRDefault="004D6A64">
            <w:pPr>
              <w:rPr>
                <w:rFonts w:ascii="宋体"/>
              </w:rPr>
            </w:pPr>
          </w:p>
        </w:tc>
        <w:tc>
          <w:tcPr>
            <w:tcW w:w="0" w:type="auto"/>
            <w:shd w:val="clear" w:color="auto" w:fill="auto"/>
          </w:tcPr>
          <w:p w14:paraId="33DA9EFB" w14:textId="77777777" w:rsidR="004D6A64" w:rsidRDefault="004D6A64">
            <w:pPr>
              <w:rPr>
                <w:rFonts w:ascii="宋体"/>
              </w:rPr>
            </w:pPr>
          </w:p>
        </w:tc>
        <w:tc>
          <w:tcPr>
            <w:tcW w:w="0" w:type="auto"/>
            <w:shd w:val="clear" w:color="auto" w:fill="auto"/>
          </w:tcPr>
          <w:p w14:paraId="33DA9EFC" w14:textId="77777777" w:rsidR="004D6A64" w:rsidRDefault="004D6A64">
            <w:pPr>
              <w:rPr>
                <w:rFonts w:ascii="宋体"/>
              </w:rPr>
            </w:pPr>
          </w:p>
        </w:tc>
        <w:tc>
          <w:tcPr>
            <w:tcW w:w="0" w:type="auto"/>
            <w:shd w:val="clear" w:color="auto" w:fill="auto"/>
          </w:tcPr>
          <w:p w14:paraId="33DA9EFD" w14:textId="77777777" w:rsidR="004D6A64" w:rsidRDefault="004D6A64">
            <w:pPr>
              <w:rPr>
                <w:rFonts w:ascii="宋体"/>
              </w:rPr>
            </w:pPr>
          </w:p>
        </w:tc>
        <w:tc>
          <w:tcPr>
            <w:tcW w:w="0" w:type="auto"/>
            <w:shd w:val="clear" w:color="auto" w:fill="auto"/>
          </w:tcPr>
          <w:p w14:paraId="33DA9EFE" w14:textId="77777777" w:rsidR="004D6A64" w:rsidRDefault="004D6A64">
            <w:pPr>
              <w:rPr>
                <w:rFonts w:ascii="宋体"/>
              </w:rPr>
            </w:pPr>
          </w:p>
        </w:tc>
        <w:tc>
          <w:tcPr>
            <w:tcW w:w="0" w:type="auto"/>
            <w:shd w:val="clear" w:color="auto" w:fill="auto"/>
          </w:tcPr>
          <w:p w14:paraId="33DA9EFF" w14:textId="77777777" w:rsidR="004D6A64" w:rsidRDefault="004D6A64">
            <w:pPr>
              <w:rPr>
                <w:rFonts w:ascii="宋体"/>
              </w:rPr>
            </w:pPr>
          </w:p>
        </w:tc>
      </w:tr>
      <w:tr w:rsidR="00506CD6" w14:paraId="33DA9F25" w14:textId="77777777">
        <w:trPr>
          <w:jc w:val="center"/>
        </w:trPr>
        <w:tc>
          <w:tcPr>
            <w:tcW w:w="0" w:type="auto"/>
            <w:gridSpan w:val="3"/>
            <w:shd w:val="clear" w:color="auto" w:fill="CCEEFF"/>
            <w:tcMar>
              <w:top w:w="40" w:type="dxa"/>
              <w:left w:w="135" w:type="dxa"/>
              <w:bottom w:w="40" w:type="dxa"/>
              <w:right w:w="20" w:type="dxa"/>
            </w:tcMar>
            <w:vAlign w:val="bottom"/>
          </w:tcPr>
          <w:p w14:paraId="33DA9F01" w14:textId="77777777" w:rsidR="004D6A64" w:rsidRDefault="00506CD6">
            <w:pPr>
              <w:textAlignment w:val="bottom"/>
            </w:pPr>
            <w:r>
              <w:rPr>
                <w:rFonts w:ascii="Times New Roman" w:eastAsia="宋体" w:hAnsi="Times New Roman"/>
                <w:color w:val="000000"/>
                <w:sz w:val="20"/>
                <w:szCs w:val="20"/>
              </w:rPr>
              <w:t>Net income</w:t>
            </w:r>
          </w:p>
        </w:tc>
        <w:tc>
          <w:tcPr>
            <w:tcW w:w="0" w:type="auto"/>
            <w:gridSpan w:val="2"/>
            <w:shd w:val="clear" w:color="auto" w:fill="CCEEFF"/>
            <w:tcMar>
              <w:top w:w="40" w:type="dxa"/>
              <w:left w:w="20" w:type="dxa"/>
              <w:bottom w:w="40" w:type="dxa"/>
              <w:right w:w="0" w:type="dxa"/>
            </w:tcMar>
            <w:vAlign w:val="bottom"/>
          </w:tcPr>
          <w:p w14:paraId="33DA9F02"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F0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F04"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F05"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F0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F07"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F08"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F09"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F0A"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F0B"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F0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F0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F0E" w14:textId="77777777" w:rsidR="004D6A64" w:rsidRDefault="00506CD6">
            <w:pPr>
              <w:jc w:val="right"/>
              <w:textAlignment w:val="bottom"/>
            </w:pPr>
            <w:r>
              <w:rPr>
                <w:rFonts w:ascii="Times New Roman" w:eastAsia="宋体" w:hAnsi="Times New Roman"/>
                <w:color w:val="000000"/>
                <w:sz w:val="20"/>
                <w:szCs w:val="20"/>
              </w:rPr>
              <w:t>3,709 </w:t>
            </w:r>
          </w:p>
        </w:tc>
        <w:tc>
          <w:tcPr>
            <w:tcW w:w="0" w:type="auto"/>
            <w:shd w:val="clear" w:color="auto" w:fill="CCEEFF"/>
            <w:tcMar>
              <w:top w:w="40" w:type="dxa"/>
              <w:bottom w:w="40" w:type="dxa"/>
              <w:right w:w="20" w:type="dxa"/>
            </w:tcMar>
            <w:vAlign w:val="bottom"/>
          </w:tcPr>
          <w:p w14:paraId="33DA9F0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F10"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F11"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F1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F1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F14" w14:textId="77777777" w:rsidR="004D6A64" w:rsidRDefault="00506CD6">
            <w:pPr>
              <w:jc w:val="right"/>
              <w:textAlignment w:val="bottom"/>
            </w:pPr>
            <w:r>
              <w:rPr>
                <w:rFonts w:ascii="Times New Roman" w:eastAsia="宋体" w:hAnsi="Times New Roman"/>
                <w:color w:val="000000"/>
                <w:sz w:val="20"/>
                <w:szCs w:val="20"/>
              </w:rPr>
              <w:t>3,709 </w:t>
            </w:r>
          </w:p>
        </w:tc>
        <w:tc>
          <w:tcPr>
            <w:tcW w:w="0" w:type="auto"/>
            <w:shd w:val="clear" w:color="auto" w:fill="CCEEFF"/>
            <w:tcMar>
              <w:top w:w="40" w:type="dxa"/>
              <w:bottom w:w="40" w:type="dxa"/>
              <w:right w:w="20" w:type="dxa"/>
            </w:tcMar>
            <w:vAlign w:val="bottom"/>
          </w:tcPr>
          <w:p w14:paraId="33DA9F1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F1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F17" w14:textId="77777777" w:rsidR="004D6A64" w:rsidRDefault="00506CD6">
            <w:pPr>
              <w:jc w:val="right"/>
              <w:textAlignment w:val="bottom"/>
            </w:pPr>
            <w:r>
              <w:rPr>
                <w:rFonts w:ascii="Times New Roman" w:eastAsia="宋体" w:hAnsi="Times New Roman"/>
                <w:color w:val="000000"/>
                <w:sz w:val="20"/>
                <w:szCs w:val="20"/>
              </w:rPr>
              <w:t>852 </w:t>
            </w:r>
          </w:p>
        </w:tc>
        <w:tc>
          <w:tcPr>
            <w:tcW w:w="0" w:type="auto"/>
            <w:shd w:val="clear" w:color="auto" w:fill="CCEEFF"/>
            <w:tcMar>
              <w:top w:w="40" w:type="dxa"/>
              <w:bottom w:w="40" w:type="dxa"/>
              <w:right w:w="20" w:type="dxa"/>
            </w:tcMar>
            <w:vAlign w:val="bottom"/>
          </w:tcPr>
          <w:p w14:paraId="33DA9F1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F1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F1A" w14:textId="77777777" w:rsidR="004D6A64" w:rsidRDefault="00506CD6">
            <w:pPr>
              <w:jc w:val="right"/>
              <w:textAlignment w:val="bottom"/>
            </w:pPr>
            <w:r>
              <w:rPr>
                <w:rFonts w:ascii="Times New Roman" w:eastAsia="宋体" w:hAnsi="Times New Roman"/>
                <w:color w:val="000000"/>
                <w:sz w:val="20"/>
                <w:szCs w:val="20"/>
              </w:rPr>
              <w:t>4,561 </w:t>
            </w:r>
          </w:p>
        </w:tc>
        <w:tc>
          <w:tcPr>
            <w:tcW w:w="0" w:type="auto"/>
            <w:shd w:val="clear" w:color="auto" w:fill="CCEEFF"/>
            <w:tcMar>
              <w:top w:w="40" w:type="dxa"/>
              <w:bottom w:w="40" w:type="dxa"/>
              <w:right w:w="20" w:type="dxa"/>
            </w:tcMar>
            <w:vAlign w:val="bottom"/>
          </w:tcPr>
          <w:p w14:paraId="33DA9F1B" w14:textId="77777777" w:rsidR="004D6A64" w:rsidRDefault="004D6A64">
            <w:pPr>
              <w:jc w:val="right"/>
              <w:rPr>
                <w:rFonts w:ascii="宋体"/>
              </w:rPr>
            </w:pPr>
          </w:p>
        </w:tc>
        <w:tc>
          <w:tcPr>
            <w:tcW w:w="0" w:type="auto"/>
            <w:shd w:val="clear" w:color="auto" w:fill="auto"/>
          </w:tcPr>
          <w:p w14:paraId="33DA9F1C" w14:textId="77777777" w:rsidR="004D6A64" w:rsidRDefault="004D6A64">
            <w:pPr>
              <w:rPr>
                <w:rFonts w:ascii="宋体"/>
              </w:rPr>
            </w:pPr>
          </w:p>
        </w:tc>
        <w:tc>
          <w:tcPr>
            <w:tcW w:w="0" w:type="auto"/>
            <w:shd w:val="clear" w:color="auto" w:fill="auto"/>
          </w:tcPr>
          <w:p w14:paraId="33DA9F1D" w14:textId="77777777" w:rsidR="004D6A64" w:rsidRDefault="004D6A64">
            <w:pPr>
              <w:rPr>
                <w:rFonts w:ascii="宋体"/>
              </w:rPr>
            </w:pPr>
          </w:p>
        </w:tc>
        <w:tc>
          <w:tcPr>
            <w:tcW w:w="0" w:type="auto"/>
            <w:shd w:val="clear" w:color="auto" w:fill="auto"/>
          </w:tcPr>
          <w:p w14:paraId="33DA9F1E" w14:textId="77777777" w:rsidR="004D6A64" w:rsidRDefault="004D6A64">
            <w:pPr>
              <w:rPr>
                <w:rFonts w:ascii="宋体"/>
              </w:rPr>
            </w:pPr>
          </w:p>
        </w:tc>
        <w:tc>
          <w:tcPr>
            <w:tcW w:w="0" w:type="auto"/>
            <w:shd w:val="clear" w:color="auto" w:fill="auto"/>
          </w:tcPr>
          <w:p w14:paraId="33DA9F1F" w14:textId="77777777" w:rsidR="004D6A64" w:rsidRDefault="004D6A64">
            <w:pPr>
              <w:rPr>
                <w:rFonts w:ascii="宋体"/>
              </w:rPr>
            </w:pPr>
          </w:p>
        </w:tc>
        <w:tc>
          <w:tcPr>
            <w:tcW w:w="0" w:type="auto"/>
            <w:shd w:val="clear" w:color="auto" w:fill="auto"/>
          </w:tcPr>
          <w:p w14:paraId="33DA9F20" w14:textId="77777777" w:rsidR="004D6A64" w:rsidRDefault="004D6A64">
            <w:pPr>
              <w:rPr>
                <w:rFonts w:ascii="宋体"/>
              </w:rPr>
            </w:pPr>
          </w:p>
        </w:tc>
        <w:tc>
          <w:tcPr>
            <w:tcW w:w="0" w:type="auto"/>
            <w:shd w:val="clear" w:color="auto" w:fill="auto"/>
          </w:tcPr>
          <w:p w14:paraId="33DA9F21" w14:textId="77777777" w:rsidR="004D6A64" w:rsidRDefault="004D6A64">
            <w:pPr>
              <w:rPr>
                <w:rFonts w:ascii="宋体"/>
              </w:rPr>
            </w:pPr>
          </w:p>
        </w:tc>
        <w:tc>
          <w:tcPr>
            <w:tcW w:w="0" w:type="auto"/>
            <w:shd w:val="clear" w:color="auto" w:fill="auto"/>
          </w:tcPr>
          <w:p w14:paraId="33DA9F22" w14:textId="77777777" w:rsidR="004D6A64" w:rsidRDefault="004D6A64">
            <w:pPr>
              <w:rPr>
                <w:rFonts w:ascii="宋体"/>
              </w:rPr>
            </w:pPr>
          </w:p>
        </w:tc>
        <w:tc>
          <w:tcPr>
            <w:tcW w:w="0" w:type="auto"/>
            <w:shd w:val="clear" w:color="auto" w:fill="auto"/>
          </w:tcPr>
          <w:p w14:paraId="33DA9F23" w14:textId="77777777" w:rsidR="004D6A64" w:rsidRDefault="004D6A64">
            <w:pPr>
              <w:rPr>
                <w:rFonts w:ascii="宋体"/>
              </w:rPr>
            </w:pPr>
          </w:p>
        </w:tc>
        <w:tc>
          <w:tcPr>
            <w:tcW w:w="0" w:type="auto"/>
            <w:shd w:val="clear" w:color="auto" w:fill="auto"/>
          </w:tcPr>
          <w:p w14:paraId="33DA9F24" w14:textId="77777777" w:rsidR="004D6A64" w:rsidRDefault="004D6A64">
            <w:pPr>
              <w:rPr>
                <w:rFonts w:ascii="宋体"/>
              </w:rPr>
            </w:pPr>
          </w:p>
        </w:tc>
      </w:tr>
      <w:tr w:rsidR="00506CD6" w14:paraId="33DA9F4A" w14:textId="77777777">
        <w:trPr>
          <w:jc w:val="center"/>
        </w:trPr>
        <w:tc>
          <w:tcPr>
            <w:tcW w:w="0" w:type="auto"/>
            <w:gridSpan w:val="3"/>
            <w:shd w:val="clear" w:color="auto" w:fill="FFFFFF"/>
            <w:tcMar>
              <w:top w:w="40" w:type="dxa"/>
              <w:left w:w="135" w:type="dxa"/>
              <w:bottom w:w="40" w:type="dxa"/>
              <w:right w:w="20" w:type="dxa"/>
            </w:tcMar>
            <w:vAlign w:val="bottom"/>
          </w:tcPr>
          <w:p w14:paraId="33DA9F26" w14:textId="77777777" w:rsidR="004D6A64" w:rsidRDefault="00506CD6">
            <w:pPr>
              <w:textAlignment w:val="bottom"/>
            </w:pPr>
            <w:r>
              <w:rPr>
                <w:rFonts w:ascii="Times New Roman" w:eastAsia="宋体" w:hAnsi="Times New Roman"/>
                <w:color w:val="000000"/>
                <w:sz w:val="20"/>
                <w:szCs w:val="20"/>
              </w:rPr>
              <w:t>Foreign currency translation adjustments</w:t>
            </w:r>
          </w:p>
        </w:tc>
        <w:tc>
          <w:tcPr>
            <w:tcW w:w="0" w:type="auto"/>
            <w:gridSpan w:val="2"/>
            <w:shd w:val="clear" w:color="auto" w:fill="FFFFFF"/>
            <w:tcMar>
              <w:top w:w="40" w:type="dxa"/>
              <w:left w:w="20" w:type="dxa"/>
              <w:bottom w:w="40" w:type="dxa"/>
              <w:right w:w="0" w:type="dxa"/>
            </w:tcMar>
            <w:vAlign w:val="bottom"/>
          </w:tcPr>
          <w:p w14:paraId="33DA9F27"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F2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F29"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F2A"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F2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F2C"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F2D"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F2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F2F"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F30"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F3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F32"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F33"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F3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F35"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F36" w14:textId="77777777" w:rsidR="004D6A64" w:rsidRDefault="00506CD6">
            <w:pPr>
              <w:jc w:val="right"/>
              <w:textAlignment w:val="bottom"/>
            </w:pPr>
            <w:r>
              <w:rPr>
                <w:rFonts w:ascii="Times New Roman" w:eastAsia="宋体" w:hAnsi="Times New Roman"/>
                <w:color w:val="000000"/>
                <w:sz w:val="20"/>
                <w:szCs w:val="20"/>
              </w:rPr>
              <w:t>(236)</w:t>
            </w:r>
          </w:p>
        </w:tc>
        <w:tc>
          <w:tcPr>
            <w:tcW w:w="0" w:type="auto"/>
            <w:shd w:val="clear" w:color="auto" w:fill="FFFFFF"/>
            <w:tcMar>
              <w:top w:w="40" w:type="dxa"/>
              <w:bottom w:w="40" w:type="dxa"/>
              <w:right w:w="20" w:type="dxa"/>
            </w:tcMar>
            <w:vAlign w:val="bottom"/>
          </w:tcPr>
          <w:p w14:paraId="33DA9F3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F38"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F39" w14:textId="77777777" w:rsidR="004D6A64" w:rsidRDefault="00506CD6">
            <w:pPr>
              <w:jc w:val="right"/>
              <w:textAlignment w:val="bottom"/>
            </w:pPr>
            <w:r>
              <w:rPr>
                <w:rFonts w:ascii="Times New Roman" w:eastAsia="宋体" w:hAnsi="Times New Roman"/>
                <w:color w:val="000000"/>
                <w:sz w:val="20"/>
                <w:szCs w:val="20"/>
              </w:rPr>
              <w:t>(236)</w:t>
            </w:r>
          </w:p>
        </w:tc>
        <w:tc>
          <w:tcPr>
            <w:tcW w:w="0" w:type="auto"/>
            <w:shd w:val="clear" w:color="auto" w:fill="FFFFFF"/>
            <w:tcMar>
              <w:top w:w="40" w:type="dxa"/>
              <w:bottom w:w="40" w:type="dxa"/>
              <w:right w:w="20" w:type="dxa"/>
            </w:tcMar>
            <w:vAlign w:val="bottom"/>
          </w:tcPr>
          <w:p w14:paraId="33DA9F3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F3B"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F3C"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F3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F3E"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F3F" w14:textId="77777777" w:rsidR="004D6A64" w:rsidRDefault="00506CD6">
            <w:pPr>
              <w:jc w:val="right"/>
              <w:textAlignment w:val="bottom"/>
            </w:pPr>
            <w:r>
              <w:rPr>
                <w:rFonts w:ascii="Times New Roman" w:eastAsia="宋体" w:hAnsi="Times New Roman"/>
                <w:color w:val="000000"/>
                <w:sz w:val="20"/>
                <w:szCs w:val="20"/>
              </w:rPr>
              <w:t>(236)</w:t>
            </w:r>
          </w:p>
        </w:tc>
        <w:tc>
          <w:tcPr>
            <w:tcW w:w="0" w:type="auto"/>
            <w:shd w:val="clear" w:color="auto" w:fill="FFFFFF"/>
            <w:tcMar>
              <w:top w:w="40" w:type="dxa"/>
              <w:bottom w:w="40" w:type="dxa"/>
              <w:right w:w="20" w:type="dxa"/>
            </w:tcMar>
            <w:vAlign w:val="bottom"/>
          </w:tcPr>
          <w:p w14:paraId="33DA9F40" w14:textId="77777777" w:rsidR="004D6A64" w:rsidRDefault="004D6A64">
            <w:pPr>
              <w:jc w:val="right"/>
              <w:rPr>
                <w:rFonts w:ascii="宋体"/>
              </w:rPr>
            </w:pPr>
          </w:p>
        </w:tc>
        <w:tc>
          <w:tcPr>
            <w:tcW w:w="0" w:type="auto"/>
            <w:shd w:val="clear" w:color="auto" w:fill="auto"/>
          </w:tcPr>
          <w:p w14:paraId="33DA9F41" w14:textId="77777777" w:rsidR="004D6A64" w:rsidRDefault="004D6A64">
            <w:pPr>
              <w:rPr>
                <w:rFonts w:ascii="宋体"/>
              </w:rPr>
            </w:pPr>
          </w:p>
        </w:tc>
        <w:tc>
          <w:tcPr>
            <w:tcW w:w="0" w:type="auto"/>
            <w:shd w:val="clear" w:color="auto" w:fill="auto"/>
          </w:tcPr>
          <w:p w14:paraId="33DA9F42" w14:textId="77777777" w:rsidR="004D6A64" w:rsidRDefault="004D6A64">
            <w:pPr>
              <w:rPr>
                <w:rFonts w:ascii="宋体"/>
              </w:rPr>
            </w:pPr>
          </w:p>
        </w:tc>
        <w:tc>
          <w:tcPr>
            <w:tcW w:w="0" w:type="auto"/>
            <w:shd w:val="clear" w:color="auto" w:fill="auto"/>
          </w:tcPr>
          <w:p w14:paraId="33DA9F43" w14:textId="77777777" w:rsidR="004D6A64" w:rsidRDefault="004D6A64">
            <w:pPr>
              <w:rPr>
                <w:rFonts w:ascii="宋体"/>
              </w:rPr>
            </w:pPr>
          </w:p>
        </w:tc>
        <w:tc>
          <w:tcPr>
            <w:tcW w:w="0" w:type="auto"/>
            <w:shd w:val="clear" w:color="auto" w:fill="auto"/>
          </w:tcPr>
          <w:p w14:paraId="33DA9F44" w14:textId="77777777" w:rsidR="004D6A64" w:rsidRDefault="004D6A64">
            <w:pPr>
              <w:rPr>
                <w:rFonts w:ascii="宋体"/>
              </w:rPr>
            </w:pPr>
          </w:p>
        </w:tc>
        <w:tc>
          <w:tcPr>
            <w:tcW w:w="0" w:type="auto"/>
            <w:shd w:val="clear" w:color="auto" w:fill="auto"/>
          </w:tcPr>
          <w:p w14:paraId="33DA9F45" w14:textId="77777777" w:rsidR="004D6A64" w:rsidRDefault="004D6A64">
            <w:pPr>
              <w:rPr>
                <w:rFonts w:ascii="宋体"/>
              </w:rPr>
            </w:pPr>
          </w:p>
        </w:tc>
        <w:tc>
          <w:tcPr>
            <w:tcW w:w="0" w:type="auto"/>
            <w:shd w:val="clear" w:color="auto" w:fill="auto"/>
          </w:tcPr>
          <w:p w14:paraId="33DA9F46" w14:textId="77777777" w:rsidR="004D6A64" w:rsidRDefault="004D6A64">
            <w:pPr>
              <w:rPr>
                <w:rFonts w:ascii="宋体"/>
              </w:rPr>
            </w:pPr>
          </w:p>
        </w:tc>
        <w:tc>
          <w:tcPr>
            <w:tcW w:w="0" w:type="auto"/>
            <w:shd w:val="clear" w:color="auto" w:fill="auto"/>
          </w:tcPr>
          <w:p w14:paraId="33DA9F47" w14:textId="77777777" w:rsidR="004D6A64" w:rsidRDefault="004D6A64">
            <w:pPr>
              <w:rPr>
                <w:rFonts w:ascii="宋体"/>
              </w:rPr>
            </w:pPr>
          </w:p>
        </w:tc>
        <w:tc>
          <w:tcPr>
            <w:tcW w:w="0" w:type="auto"/>
            <w:shd w:val="clear" w:color="auto" w:fill="auto"/>
          </w:tcPr>
          <w:p w14:paraId="33DA9F48" w14:textId="77777777" w:rsidR="004D6A64" w:rsidRDefault="004D6A64">
            <w:pPr>
              <w:rPr>
                <w:rFonts w:ascii="宋体"/>
              </w:rPr>
            </w:pPr>
          </w:p>
        </w:tc>
        <w:tc>
          <w:tcPr>
            <w:tcW w:w="0" w:type="auto"/>
            <w:shd w:val="clear" w:color="auto" w:fill="auto"/>
          </w:tcPr>
          <w:p w14:paraId="33DA9F49" w14:textId="77777777" w:rsidR="004D6A64" w:rsidRDefault="004D6A64">
            <w:pPr>
              <w:rPr>
                <w:rFonts w:ascii="宋体"/>
              </w:rPr>
            </w:pPr>
          </w:p>
        </w:tc>
      </w:tr>
      <w:tr w:rsidR="00506CD6" w14:paraId="33DA9F6F" w14:textId="77777777">
        <w:trPr>
          <w:jc w:val="center"/>
        </w:trPr>
        <w:tc>
          <w:tcPr>
            <w:tcW w:w="0" w:type="auto"/>
            <w:gridSpan w:val="3"/>
            <w:shd w:val="clear" w:color="auto" w:fill="CCEEFF"/>
            <w:tcMar>
              <w:top w:w="40" w:type="dxa"/>
              <w:left w:w="135" w:type="dxa"/>
              <w:bottom w:w="40" w:type="dxa"/>
              <w:right w:w="20" w:type="dxa"/>
            </w:tcMar>
            <w:vAlign w:val="bottom"/>
          </w:tcPr>
          <w:p w14:paraId="33DA9F4B" w14:textId="77777777" w:rsidR="004D6A64" w:rsidRDefault="00506CD6">
            <w:pPr>
              <w:textAlignment w:val="bottom"/>
            </w:pPr>
            <w:r>
              <w:rPr>
                <w:rFonts w:ascii="Times New Roman" w:eastAsia="宋体" w:hAnsi="Times New Roman"/>
                <w:color w:val="000000"/>
                <w:sz w:val="20"/>
                <w:szCs w:val="20"/>
              </w:rPr>
              <w:t>Cash flow hedges, net change</w:t>
            </w:r>
          </w:p>
        </w:tc>
        <w:tc>
          <w:tcPr>
            <w:tcW w:w="0" w:type="auto"/>
            <w:gridSpan w:val="2"/>
            <w:shd w:val="clear" w:color="auto" w:fill="CCEEFF"/>
            <w:tcMar>
              <w:top w:w="40" w:type="dxa"/>
              <w:left w:w="20" w:type="dxa"/>
              <w:bottom w:w="40" w:type="dxa"/>
              <w:right w:w="0" w:type="dxa"/>
            </w:tcMar>
            <w:vAlign w:val="bottom"/>
          </w:tcPr>
          <w:p w14:paraId="33DA9F4C"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F4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F4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F4F"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F5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F51"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F52"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F5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F54"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F55"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F5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F57"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F58"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F59"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F5A"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F5B" w14:textId="77777777" w:rsidR="004D6A64" w:rsidRDefault="00506CD6">
            <w:pPr>
              <w:jc w:val="right"/>
              <w:textAlignment w:val="bottom"/>
            </w:pPr>
            <w:r>
              <w:rPr>
                <w:rFonts w:ascii="Times New Roman" w:eastAsia="宋体" w:hAnsi="Times New Roman"/>
                <w:color w:val="000000"/>
                <w:sz w:val="20"/>
                <w:szCs w:val="20"/>
              </w:rPr>
              <w:t>130 </w:t>
            </w:r>
          </w:p>
        </w:tc>
        <w:tc>
          <w:tcPr>
            <w:tcW w:w="0" w:type="auto"/>
            <w:shd w:val="clear" w:color="auto" w:fill="CCEEFF"/>
            <w:tcMar>
              <w:top w:w="40" w:type="dxa"/>
              <w:bottom w:w="40" w:type="dxa"/>
              <w:right w:w="20" w:type="dxa"/>
            </w:tcMar>
            <w:vAlign w:val="bottom"/>
          </w:tcPr>
          <w:p w14:paraId="33DA9F5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F5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F5E" w14:textId="77777777" w:rsidR="004D6A64" w:rsidRDefault="00506CD6">
            <w:pPr>
              <w:jc w:val="right"/>
              <w:textAlignment w:val="bottom"/>
            </w:pPr>
            <w:r>
              <w:rPr>
                <w:rFonts w:ascii="Times New Roman" w:eastAsia="宋体" w:hAnsi="Times New Roman"/>
                <w:color w:val="000000"/>
                <w:sz w:val="20"/>
                <w:szCs w:val="20"/>
              </w:rPr>
              <w:t>130 </w:t>
            </w:r>
          </w:p>
        </w:tc>
        <w:tc>
          <w:tcPr>
            <w:tcW w:w="0" w:type="auto"/>
            <w:shd w:val="clear" w:color="auto" w:fill="CCEEFF"/>
            <w:tcMar>
              <w:top w:w="40" w:type="dxa"/>
              <w:bottom w:w="40" w:type="dxa"/>
              <w:right w:w="20" w:type="dxa"/>
            </w:tcMar>
            <w:vAlign w:val="bottom"/>
          </w:tcPr>
          <w:p w14:paraId="33DA9F5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F60"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F61" w14:textId="77777777" w:rsidR="004D6A64" w:rsidRDefault="00506CD6">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bottom w:w="40" w:type="dxa"/>
              <w:right w:w="20" w:type="dxa"/>
            </w:tcMar>
            <w:vAlign w:val="bottom"/>
          </w:tcPr>
          <w:p w14:paraId="33DA9F6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F6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F64" w14:textId="77777777" w:rsidR="004D6A64" w:rsidRDefault="00506CD6">
            <w:pPr>
              <w:jc w:val="right"/>
              <w:textAlignment w:val="bottom"/>
            </w:pPr>
            <w:r>
              <w:rPr>
                <w:rFonts w:ascii="Times New Roman" w:eastAsia="宋体" w:hAnsi="Times New Roman"/>
                <w:color w:val="000000"/>
                <w:sz w:val="20"/>
                <w:szCs w:val="20"/>
              </w:rPr>
              <w:t>131 </w:t>
            </w:r>
          </w:p>
        </w:tc>
        <w:tc>
          <w:tcPr>
            <w:tcW w:w="0" w:type="auto"/>
            <w:shd w:val="clear" w:color="auto" w:fill="CCEEFF"/>
            <w:tcMar>
              <w:top w:w="40" w:type="dxa"/>
              <w:bottom w:w="40" w:type="dxa"/>
              <w:right w:w="20" w:type="dxa"/>
            </w:tcMar>
            <w:vAlign w:val="bottom"/>
          </w:tcPr>
          <w:p w14:paraId="33DA9F65" w14:textId="77777777" w:rsidR="004D6A64" w:rsidRDefault="004D6A64">
            <w:pPr>
              <w:jc w:val="right"/>
              <w:rPr>
                <w:rFonts w:ascii="宋体"/>
              </w:rPr>
            </w:pPr>
          </w:p>
        </w:tc>
        <w:tc>
          <w:tcPr>
            <w:tcW w:w="0" w:type="auto"/>
            <w:shd w:val="clear" w:color="auto" w:fill="auto"/>
          </w:tcPr>
          <w:p w14:paraId="33DA9F66" w14:textId="77777777" w:rsidR="004D6A64" w:rsidRDefault="004D6A64">
            <w:pPr>
              <w:rPr>
                <w:rFonts w:ascii="宋体"/>
              </w:rPr>
            </w:pPr>
          </w:p>
        </w:tc>
        <w:tc>
          <w:tcPr>
            <w:tcW w:w="0" w:type="auto"/>
            <w:shd w:val="clear" w:color="auto" w:fill="auto"/>
          </w:tcPr>
          <w:p w14:paraId="33DA9F67" w14:textId="77777777" w:rsidR="004D6A64" w:rsidRDefault="004D6A64">
            <w:pPr>
              <w:rPr>
                <w:rFonts w:ascii="宋体"/>
              </w:rPr>
            </w:pPr>
          </w:p>
        </w:tc>
        <w:tc>
          <w:tcPr>
            <w:tcW w:w="0" w:type="auto"/>
            <w:shd w:val="clear" w:color="auto" w:fill="auto"/>
          </w:tcPr>
          <w:p w14:paraId="33DA9F68" w14:textId="77777777" w:rsidR="004D6A64" w:rsidRDefault="004D6A64">
            <w:pPr>
              <w:rPr>
                <w:rFonts w:ascii="宋体"/>
              </w:rPr>
            </w:pPr>
          </w:p>
        </w:tc>
        <w:tc>
          <w:tcPr>
            <w:tcW w:w="0" w:type="auto"/>
            <w:shd w:val="clear" w:color="auto" w:fill="auto"/>
          </w:tcPr>
          <w:p w14:paraId="33DA9F69" w14:textId="77777777" w:rsidR="004D6A64" w:rsidRDefault="004D6A64">
            <w:pPr>
              <w:rPr>
                <w:rFonts w:ascii="宋体"/>
              </w:rPr>
            </w:pPr>
          </w:p>
        </w:tc>
        <w:tc>
          <w:tcPr>
            <w:tcW w:w="0" w:type="auto"/>
            <w:shd w:val="clear" w:color="auto" w:fill="auto"/>
          </w:tcPr>
          <w:p w14:paraId="33DA9F6A" w14:textId="77777777" w:rsidR="004D6A64" w:rsidRDefault="004D6A64">
            <w:pPr>
              <w:rPr>
                <w:rFonts w:ascii="宋体"/>
              </w:rPr>
            </w:pPr>
          </w:p>
        </w:tc>
        <w:tc>
          <w:tcPr>
            <w:tcW w:w="0" w:type="auto"/>
            <w:shd w:val="clear" w:color="auto" w:fill="auto"/>
          </w:tcPr>
          <w:p w14:paraId="33DA9F6B" w14:textId="77777777" w:rsidR="004D6A64" w:rsidRDefault="004D6A64">
            <w:pPr>
              <w:rPr>
                <w:rFonts w:ascii="宋体"/>
              </w:rPr>
            </w:pPr>
          </w:p>
        </w:tc>
        <w:tc>
          <w:tcPr>
            <w:tcW w:w="0" w:type="auto"/>
            <w:shd w:val="clear" w:color="auto" w:fill="auto"/>
          </w:tcPr>
          <w:p w14:paraId="33DA9F6C" w14:textId="77777777" w:rsidR="004D6A64" w:rsidRDefault="004D6A64">
            <w:pPr>
              <w:rPr>
                <w:rFonts w:ascii="宋体"/>
              </w:rPr>
            </w:pPr>
          </w:p>
        </w:tc>
        <w:tc>
          <w:tcPr>
            <w:tcW w:w="0" w:type="auto"/>
            <w:shd w:val="clear" w:color="auto" w:fill="auto"/>
          </w:tcPr>
          <w:p w14:paraId="33DA9F6D" w14:textId="77777777" w:rsidR="004D6A64" w:rsidRDefault="004D6A64">
            <w:pPr>
              <w:rPr>
                <w:rFonts w:ascii="宋体"/>
              </w:rPr>
            </w:pPr>
          </w:p>
        </w:tc>
        <w:tc>
          <w:tcPr>
            <w:tcW w:w="0" w:type="auto"/>
            <w:shd w:val="clear" w:color="auto" w:fill="auto"/>
          </w:tcPr>
          <w:p w14:paraId="33DA9F6E" w14:textId="77777777" w:rsidR="004D6A64" w:rsidRDefault="004D6A64">
            <w:pPr>
              <w:rPr>
                <w:rFonts w:ascii="宋体"/>
              </w:rPr>
            </w:pPr>
          </w:p>
        </w:tc>
      </w:tr>
      <w:tr w:rsidR="00506CD6" w14:paraId="33DA9F94" w14:textId="77777777">
        <w:trPr>
          <w:jc w:val="center"/>
        </w:trPr>
        <w:tc>
          <w:tcPr>
            <w:tcW w:w="0" w:type="auto"/>
            <w:gridSpan w:val="3"/>
            <w:shd w:val="clear" w:color="auto" w:fill="FFFFFF"/>
            <w:tcMar>
              <w:top w:w="40" w:type="dxa"/>
              <w:left w:w="135" w:type="dxa"/>
              <w:bottom w:w="40" w:type="dxa"/>
              <w:right w:w="20" w:type="dxa"/>
            </w:tcMar>
            <w:vAlign w:val="bottom"/>
          </w:tcPr>
          <w:p w14:paraId="33DA9F70" w14:textId="77777777" w:rsidR="004D6A64" w:rsidRDefault="00506CD6">
            <w:pPr>
              <w:textAlignment w:val="bottom"/>
            </w:pPr>
            <w:r>
              <w:rPr>
                <w:rFonts w:ascii="Times New Roman" w:eastAsia="宋体" w:hAnsi="Times New Roman"/>
                <w:color w:val="000000"/>
                <w:sz w:val="20"/>
                <w:szCs w:val="20"/>
              </w:rPr>
              <w:t>Pension and other post-retirement</w:t>
            </w:r>
          </w:p>
        </w:tc>
        <w:tc>
          <w:tcPr>
            <w:tcW w:w="0" w:type="auto"/>
            <w:gridSpan w:val="2"/>
            <w:shd w:val="clear" w:color="auto" w:fill="FFFFFF"/>
            <w:tcMar>
              <w:top w:w="40" w:type="dxa"/>
              <w:left w:w="20" w:type="dxa"/>
              <w:bottom w:w="40" w:type="dxa"/>
              <w:right w:w="0" w:type="dxa"/>
            </w:tcMar>
            <w:vAlign w:val="bottom"/>
          </w:tcPr>
          <w:p w14:paraId="33DA9F71"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F7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F7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F74"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F7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F7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F77"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F7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F79"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F7A"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F7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F7C"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F7D"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F7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F7F"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F80" w14:textId="77777777" w:rsidR="004D6A64" w:rsidRDefault="00506CD6">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bottom w:w="40" w:type="dxa"/>
              <w:right w:w="20" w:type="dxa"/>
            </w:tcMar>
            <w:vAlign w:val="bottom"/>
          </w:tcPr>
          <w:p w14:paraId="33DA9F8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F82"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F83" w14:textId="77777777" w:rsidR="004D6A64" w:rsidRDefault="00506CD6">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bottom w:w="40" w:type="dxa"/>
              <w:right w:w="20" w:type="dxa"/>
            </w:tcMar>
            <w:vAlign w:val="bottom"/>
          </w:tcPr>
          <w:p w14:paraId="33DA9F8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F85"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F86"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F8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F88"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F89" w14:textId="77777777" w:rsidR="004D6A64" w:rsidRDefault="00506CD6">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bottom w:w="40" w:type="dxa"/>
              <w:right w:w="20" w:type="dxa"/>
            </w:tcMar>
            <w:vAlign w:val="bottom"/>
          </w:tcPr>
          <w:p w14:paraId="33DA9F8A" w14:textId="77777777" w:rsidR="004D6A64" w:rsidRDefault="004D6A64">
            <w:pPr>
              <w:jc w:val="right"/>
              <w:rPr>
                <w:rFonts w:ascii="宋体"/>
              </w:rPr>
            </w:pPr>
          </w:p>
        </w:tc>
        <w:tc>
          <w:tcPr>
            <w:tcW w:w="0" w:type="auto"/>
            <w:shd w:val="clear" w:color="auto" w:fill="auto"/>
          </w:tcPr>
          <w:p w14:paraId="33DA9F8B" w14:textId="77777777" w:rsidR="004D6A64" w:rsidRDefault="004D6A64">
            <w:pPr>
              <w:rPr>
                <w:rFonts w:ascii="宋体"/>
              </w:rPr>
            </w:pPr>
          </w:p>
        </w:tc>
        <w:tc>
          <w:tcPr>
            <w:tcW w:w="0" w:type="auto"/>
            <w:shd w:val="clear" w:color="auto" w:fill="auto"/>
          </w:tcPr>
          <w:p w14:paraId="33DA9F8C" w14:textId="77777777" w:rsidR="004D6A64" w:rsidRDefault="004D6A64">
            <w:pPr>
              <w:rPr>
                <w:rFonts w:ascii="宋体"/>
              </w:rPr>
            </w:pPr>
          </w:p>
        </w:tc>
        <w:tc>
          <w:tcPr>
            <w:tcW w:w="0" w:type="auto"/>
            <w:shd w:val="clear" w:color="auto" w:fill="auto"/>
          </w:tcPr>
          <w:p w14:paraId="33DA9F8D" w14:textId="77777777" w:rsidR="004D6A64" w:rsidRDefault="004D6A64">
            <w:pPr>
              <w:rPr>
                <w:rFonts w:ascii="宋体"/>
              </w:rPr>
            </w:pPr>
          </w:p>
        </w:tc>
        <w:tc>
          <w:tcPr>
            <w:tcW w:w="0" w:type="auto"/>
            <w:shd w:val="clear" w:color="auto" w:fill="auto"/>
          </w:tcPr>
          <w:p w14:paraId="33DA9F8E" w14:textId="77777777" w:rsidR="004D6A64" w:rsidRDefault="004D6A64">
            <w:pPr>
              <w:rPr>
                <w:rFonts w:ascii="宋体"/>
              </w:rPr>
            </w:pPr>
          </w:p>
        </w:tc>
        <w:tc>
          <w:tcPr>
            <w:tcW w:w="0" w:type="auto"/>
            <w:shd w:val="clear" w:color="auto" w:fill="auto"/>
          </w:tcPr>
          <w:p w14:paraId="33DA9F8F" w14:textId="77777777" w:rsidR="004D6A64" w:rsidRDefault="004D6A64">
            <w:pPr>
              <w:rPr>
                <w:rFonts w:ascii="宋体"/>
              </w:rPr>
            </w:pPr>
          </w:p>
        </w:tc>
        <w:tc>
          <w:tcPr>
            <w:tcW w:w="0" w:type="auto"/>
            <w:shd w:val="clear" w:color="auto" w:fill="auto"/>
          </w:tcPr>
          <w:p w14:paraId="33DA9F90" w14:textId="77777777" w:rsidR="004D6A64" w:rsidRDefault="004D6A64">
            <w:pPr>
              <w:rPr>
                <w:rFonts w:ascii="宋体"/>
              </w:rPr>
            </w:pPr>
          </w:p>
        </w:tc>
        <w:tc>
          <w:tcPr>
            <w:tcW w:w="0" w:type="auto"/>
            <w:shd w:val="clear" w:color="auto" w:fill="auto"/>
          </w:tcPr>
          <w:p w14:paraId="33DA9F91" w14:textId="77777777" w:rsidR="004D6A64" w:rsidRDefault="004D6A64">
            <w:pPr>
              <w:rPr>
                <w:rFonts w:ascii="宋体"/>
              </w:rPr>
            </w:pPr>
          </w:p>
        </w:tc>
        <w:tc>
          <w:tcPr>
            <w:tcW w:w="0" w:type="auto"/>
            <w:shd w:val="clear" w:color="auto" w:fill="auto"/>
          </w:tcPr>
          <w:p w14:paraId="33DA9F92" w14:textId="77777777" w:rsidR="004D6A64" w:rsidRDefault="004D6A64">
            <w:pPr>
              <w:rPr>
                <w:rFonts w:ascii="宋体"/>
              </w:rPr>
            </w:pPr>
          </w:p>
        </w:tc>
        <w:tc>
          <w:tcPr>
            <w:tcW w:w="0" w:type="auto"/>
            <w:shd w:val="clear" w:color="auto" w:fill="auto"/>
          </w:tcPr>
          <w:p w14:paraId="33DA9F93" w14:textId="77777777" w:rsidR="004D6A64" w:rsidRDefault="004D6A64">
            <w:pPr>
              <w:rPr>
                <w:rFonts w:ascii="宋体"/>
              </w:rPr>
            </w:pPr>
          </w:p>
        </w:tc>
      </w:tr>
      <w:tr w:rsidR="00506CD6" w14:paraId="33DA9FB9" w14:textId="77777777">
        <w:trPr>
          <w:jc w:val="center"/>
        </w:trPr>
        <w:tc>
          <w:tcPr>
            <w:tcW w:w="0" w:type="auto"/>
            <w:gridSpan w:val="3"/>
            <w:shd w:val="clear" w:color="auto" w:fill="CCEEFF"/>
            <w:tcMar>
              <w:top w:w="40" w:type="dxa"/>
              <w:left w:w="135" w:type="dxa"/>
              <w:bottom w:w="40" w:type="dxa"/>
              <w:right w:w="20" w:type="dxa"/>
            </w:tcMar>
            <w:vAlign w:val="bottom"/>
          </w:tcPr>
          <w:p w14:paraId="33DA9F95" w14:textId="77777777" w:rsidR="004D6A64" w:rsidRDefault="00506CD6">
            <w:pPr>
              <w:textAlignment w:val="bottom"/>
            </w:pPr>
            <w:r>
              <w:rPr>
                <w:rFonts w:ascii="Times New Roman" w:eastAsia="宋体" w:hAnsi="Times New Roman"/>
                <w:color w:val="000000"/>
                <w:sz w:val="20"/>
                <w:szCs w:val="20"/>
              </w:rPr>
              <w:t>Issuance of common stock</w:t>
            </w:r>
          </w:p>
        </w:tc>
        <w:tc>
          <w:tcPr>
            <w:tcW w:w="0" w:type="auto"/>
            <w:gridSpan w:val="2"/>
            <w:shd w:val="clear" w:color="auto" w:fill="CCEEFF"/>
            <w:tcMar>
              <w:top w:w="40" w:type="dxa"/>
              <w:left w:w="20" w:type="dxa"/>
              <w:bottom w:w="40" w:type="dxa"/>
              <w:right w:w="0" w:type="dxa"/>
            </w:tcMar>
            <w:vAlign w:val="bottom"/>
          </w:tcPr>
          <w:p w14:paraId="33DA9F96" w14:textId="77777777" w:rsidR="004D6A64" w:rsidRDefault="00506CD6">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bottom w:w="40" w:type="dxa"/>
              <w:right w:w="20" w:type="dxa"/>
            </w:tcMar>
            <w:vAlign w:val="bottom"/>
          </w:tcPr>
          <w:p w14:paraId="33DA9F9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F98"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F99" w14:textId="77777777" w:rsidR="004D6A64" w:rsidRDefault="00506CD6">
            <w:pPr>
              <w:jc w:val="right"/>
              <w:textAlignment w:val="bottom"/>
            </w:pPr>
            <w:r>
              <w:rPr>
                <w:rFonts w:ascii="Times New Roman" w:eastAsia="宋体" w:hAnsi="Times New Roman"/>
                <w:color w:val="000000"/>
                <w:sz w:val="20"/>
                <w:szCs w:val="20"/>
              </w:rPr>
              <w:t>85 </w:t>
            </w:r>
          </w:p>
        </w:tc>
        <w:tc>
          <w:tcPr>
            <w:tcW w:w="0" w:type="auto"/>
            <w:shd w:val="clear" w:color="auto" w:fill="CCEEFF"/>
            <w:tcMar>
              <w:top w:w="40" w:type="dxa"/>
              <w:bottom w:w="40" w:type="dxa"/>
              <w:right w:w="20" w:type="dxa"/>
            </w:tcMar>
            <w:vAlign w:val="bottom"/>
          </w:tcPr>
          <w:p w14:paraId="33DA9F9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F9B"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F9C"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F9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F9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F9F"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FA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FA1"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FA2"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FA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FA4"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FA5"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FA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FA7"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FA8" w14:textId="77777777" w:rsidR="004D6A64" w:rsidRDefault="00506CD6">
            <w:pPr>
              <w:jc w:val="right"/>
              <w:textAlignment w:val="bottom"/>
            </w:pPr>
            <w:r>
              <w:rPr>
                <w:rFonts w:ascii="Times New Roman" w:eastAsia="宋体" w:hAnsi="Times New Roman"/>
                <w:color w:val="000000"/>
                <w:sz w:val="20"/>
                <w:szCs w:val="20"/>
              </w:rPr>
              <w:t>85 </w:t>
            </w:r>
          </w:p>
        </w:tc>
        <w:tc>
          <w:tcPr>
            <w:tcW w:w="0" w:type="auto"/>
            <w:shd w:val="clear" w:color="auto" w:fill="CCEEFF"/>
            <w:tcMar>
              <w:top w:w="40" w:type="dxa"/>
              <w:bottom w:w="40" w:type="dxa"/>
              <w:right w:w="20" w:type="dxa"/>
            </w:tcMar>
            <w:vAlign w:val="bottom"/>
          </w:tcPr>
          <w:p w14:paraId="33DA9FA9"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FAA"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FAB"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FA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FA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FAE" w14:textId="77777777" w:rsidR="004D6A64" w:rsidRDefault="00506CD6">
            <w:pPr>
              <w:jc w:val="right"/>
              <w:textAlignment w:val="bottom"/>
            </w:pPr>
            <w:r>
              <w:rPr>
                <w:rFonts w:ascii="Times New Roman" w:eastAsia="宋体" w:hAnsi="Times New Roman"/>
                <w:color w:val="000000"/>
                <w:sz w:val="20"/>
                <w:szCs w:val="20"/>
              </w:rPr>
              <w:t>85 </w:t>
            </w:r>
          </w:p>
        </w:tc>
        <w:tc>
          <w:tcPr>
            <w:tcW w:w="0" w:type="auto"/>
            <w:shd w:val="clear" w:color="auto" w:fill="CCEEFF"/>
            <w:tcMar>
              <w:top w:w="40" w:type="dxa"/>
              <w:bottom w:w="40" w:type="dxa"/>
              <w:right w:w="20" w:type="dxa"/>
            </w:tcMar>
            <w:vAlign w:val="bottom"/>
          </w:tcPr>
          <w:p w14:paraId="33DA9FAF" w14:textId="77777777" w:rsidR="004D6A64" w:rsidRDefault="004D6A64">
            <w:pPr>
              <w:jc w:val="right"/>
              <w:rPr>
                <w:rFonts w:ascii="宋体"/>
              </w:rPr>
            </w:pPr>
          </w:p>
        </w:tc>
        <w:tc>
          <w:tcPr>
            <w:tcW w:w="0" w:type="auto"/>
            <w:shd w:val="clear" w:color="auto" w:fill="auto"/>
          </w:tcPr>
          <w:p w14:paraId="33DA9FB0" w14:textId="77777777" w:rsidR="004D6A64" w:rsidRDefault="004D6A64">
            <w:pPr>
              <w:rPr>
                <w:rFonts w:ascii="宋体"/>
              </w:rPr>
            </w:pPr>
          </w:p>
        </w:tc>
        <w:tc>
          <w:tcPr>
            <w:tcW w:w="0" w:type="auto"/>
            <w:shd w:val="clear" w:color="auto" w:fill="auto"/>
          </w:tcPr>
          <w:p w14:paraId="33DA9FB1" w14:textId="77777777" w:rsidR="004D6A64" w:rsidRDefault="004D6A64">
            <w:pPr>
              <w:rPr>
                <w:rFonts w:ascii="宋体"/>
              </w:rPr>
            </w:pPr>
          </w:p>
        </w:tc>
        <w:tc>
          <w:tcPr>
            <w:tcW w:w="0" w:type="auto"/>
            <w:shd w:val="clear" w:color="auto" w:fill="auto"/>
          </w:tcPr>
          <w:p w14:paraId="33DA9FB2" w14:textId="77777777" w:rsidR="004D6A64" w:rsidRDefault="004D6A64">
            <w:pPr>
              <w:rPr>
                <w:rFonts w:ascii="宋体"/>
              </w:rPr>
            </w:pPr>
          </w:p>
        </w:tc>
        <w:tc>
          <w:tcPr>
            <w:tcW w:w="0" w:type="auto"/>
            <w:shd w:val="clear" w:color="auto" w:fill="auto"/>
          </w:tcPr>
          <w:p w14:paraId="33DA9FB3" w14:textId="77777777" w:rsidR="004D6A64" w:rsidRDefault="004D6A64">
            <w:pPr>
              <w:rPr>
                <w:rFonts w:ascii="宋体"/>
              </w:rPr>
            </w:pPr>
          </w:p>
        </w:tc>
        <w:tc>
          <w:tcPr>
            <w:tcW w:w="0" w:type="auto"/>
            <w:shd w:val="clear" w:color="auto" w:fill="auto"/>
          </w:tcPr>
          <w:p w14:paraId="33DA9FB4" w14:textId="77777777" w:rsidR="004D6A64" w:rsidRDefault="004D6A64">
            <w:pPr>
              <w:rPr>
                <w:rFonts w:ascii="宋体"/>
              </w:rPr>
            </w:pPr>
          </w:p>
        </w:tc>
        <w:tc>
          <w:tcPr>
            <w:tcW w:w="0" w:type="auto"/>
            <w:shd w:val="clear" w:color="auto" w:fill="auto"/>
          </w:tcPr>
          <w:p w14:paraId="33DA9FB5" w14:textId="77777777" w:rsidR="004D6A64" w:rsidRDefault="004D6A64">
            <w:pPr>
              <w:rPr>
                <w:rFonts w:ascii="宋体"/>
              </w:rPr>
            </w:pPr>
          </w:p>
        </w:tc>
        <w:tc>
          <w:tcPr>
            <w:tcW w:w="0" w:type="auto"/>
            <w:shd w:val="clear" w:color="auto" w:fill="auto"/>
          </w:tcPr>
          <w:p w14:paraId="33DA9FB6" w14:textId="77777777" w:rsidR="004D6A64" w:rsidRDefault="004D6A64">
            <w:pPr>
              <w:rPr>
                <w:rFonts w:ascii="宋体"/>
              </w:rPr>
            </w:pPr>
          </w:p>
        </w:tc>
        <w:tc>
          <w:tcPr>
            <w:tcW w:w="0" w:type="auto"/>
            <w:shd w:val="clear" w:color="auto" w:fill="auto"/>
          </w:tcPr>
          <w:p w14:paraId="33DA9FB7" w14:textId="77777777" w:rsidR="004D6A64" w:rsidRDefault="004D6A64">
            <w:pPr>
              <w:rPr>
                <w:rFonts w:ascii="宋体"/>
              </w:rPr>
            </w:pPr>
          </w:p>
        </w:tc>
        <w:tc>
          <w:tcPr>
            <w:tcW w:w="0" w:type="auto"/>
            <w:shd w:val="clear" w:color="auto" w:fill="auto"/>
          </w:tcPr>
          <w:p w14:paraId="33DA9FB8" w14:textId="77777777" w:rsidR="004D6A64" w:rsidRDefault="004D6A64">
            <w:pPr>
              <w:rPr>
                <w:rFonts w:ascii="宋体"/>
              </w:rPr>
            </w:pPr>
          </w:p>
        </w:tc>
      </w:tr>
      <w:tr w:rsidR="00506CD6" w14:paraId="33DA9FDE" w14:textId="77777777">
        <w:trPr>
          <w:jc w:val="center"/>
        </w:trPr>
        <w:tc>
          <w:tcPr>
            <w:tcW w:w="0" w:type="auto"/>
            <w:gridSpan w:val="3"/>
            <w:shd w:val="clear" w:color="auto" w:fill="FFFFFF"/>
            <w:tcMar>
              <w:top w:w="40" w:type="dxa"/>
              <w:left w:w="135" w:type="dxa"/>
              <w:bottom w:w="40" w:type="dxa"/>
              <w:right w:w="20" w:type="dxa"/>
            </w:tcMar>
            <w:vAlign w:val="bottom"/>
          </w:tcPr>
          <w:p w14:paraId="33DA9FBA" w14:textId="77777777" w:rsidR="004D6A64" w:rsidRDefault="00506CD6">
            <w:pPr>
              <w:textAlignment w:val="bottom"/>
            </w:pPr>
            <w:r>
              <w:rPr>
                <w:rFonts w:ascii="Times New Roman" w:eastAsia="宋体" w:hAnsi="Times New Roman"/>
                <w:color w:val="000000"/>
                <w:sz w:val="20"/>
                <w:szCs w:val="20"/>
              </w:rPr>
              <w:t>Stock-based compensation expense</w:t>
            </w:r>
          </w:p>
        </w:tc>
        <w:tc>
          <w:tcPr>
            <w:tcW w:w="0" w:type="auto"/>
            <w:gridSpan w:val="2"/>
            <w:shd w:val="clear" w:color="auto" w:fill="FFFFFF"/>
            <w:tcMar>
              <w:top w:w="40" w:type="dxa"/>
              <w:left w:w="20" w:type="dxa"/>
              <w:bottom w:w="40" w:type="dxa"/>
              <w:right w:w="0" w:type="dxa"/>
            </w:tcMar>
            <w:vAlign w:val="bottom"/>
          </w:tcPr>
          <w:p w14:paraId="33DA9FBB"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FB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FB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FBE" w14:textId="77777777" w:rsidR="004D6A64" w:rsidRDefault="00506CD6">
            <w:pPr>
              <w:jc w:val="right"/>
              <w:textAlignment w:val="bottom"/>
            </w:pPr>
            <w:r>
              <w:rPr>
                <w:rFonts w:ascii="Times New Roman" w:eastAsia="宋体" w:hAnsi="Times New Roman"/>
                <w:color w:val="000000"/>
                <w:sz w:val="20"/>
                <w:szCs w:val="20"/>
              </w:rPr>
              <w:t>104 </w:t>
            </w:r>
          </w:p>
        </w:tc>
        <w:tc>
          <w:tcPr>
            <w:tcW w:w="0" w:type="auto"/>
            <w:shd w:val="clear" w:color="auto" w:fill="FFFFFF"/>
            <w:tcMar>
              <w:top w:w="40" w:type="dxa"/>
              <w:bottom w:w="40" w:type="dxa"/>
              <w:right w:w="20" w:type="dxa"/>
            </w:tcMar>
            <w:vAlign w:val="bottom"/>
          </w:tcPr>
          <w:p w14:paraId="33DA9FB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FC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FC1"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FC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FC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FC4"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FC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FC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FC7"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FC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FC9"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FCA"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9FC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FCC"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FCD" w14:textId="77777777" w:rsidR="004D6A64" w:rsidRDefault="00506CD6">
            <w:pPr>
              <w:jc w:val="right"/>
              <w:textAlignment w:val="bottom"/>
            </w:pPr>
            <w:r>
              <w:rPr>
                <w:rFonts w:ascii="Times New Roman" w:eastAsia="宋体" w:hAnsi="Times New Roman"/>
                <w:color w:val="000000"/>
                <w:sz w:val="20"/>
                <w:szCs w:val="20"/>
              </w:rPr>
              <w:t>104 </w:t>
            </w:r>
          </w:p>
        </w:tc>
        <w:tc>
          <w:tcPr>
            <w:tcW w:w="0" w:type="auto"/>
            <w:shd w:val="clear" w:color="auto" w:fill="FFFFFF"/>
            <w:tcMar>
              <w:top w:w="40" w:type="dxa"/>
              <w:bottom w:w="40" w:type="dxa"/>
              <w:right w:w="20" w:type="dxa"/>
            </w:tcMar>
            <w:vAlign w:val="bottom"/>
          </w:tcPr>
          <w:p w14:paraId="33DA9FC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FCF"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FD0" w14:textId="77777777" w:rsidR="004D6A64" w:rsidRDefault="00506CD6">
            <w:pPr>
              <w:jc w:val="right"/>
              <w:textAlignment w:val="bottom"/>
            </w:pPr>
            <w:r>
              <w:rPr>
                <w:rFonts w:ascii="Times New Roman" w:eastAsia="宋体" w:hAnsi="Times New Roman"/>
                <w:color w:val="000000"/>
                <w:sz w:val="20"/>
                <w:szCs w:val="20"/>
              </w:rPr>
              <w:t>460 </w:t>
            </w:r>
          </w:p>
        </w:tc>
        <w:tc>
          <w:tcPr>
            <w:tcW w:w="0" w:type="auto"/>
            <w:shd w:val="clear" w:color="auto" w:fill="FFFFFF"/>
            <w:tcMar>
              <w:top w:w="40" w:type="dxa"/>
              <w:bottom w:w="40" w:type="dxa"/>
              <w:right w:w="20" w:type="dxa"/>
            </w:tcMar>
            <w:vAlign w:val="bottom"/>
          </w:tcPr>
          <w:p w14:paraId="33DA9FD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9FD2"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9FD3" w14:textId="77777777" w:rsidR="004D6A64" w:rsidRDefault="00506CD6">
            <w:pPr>
              <w:jc w:val="right"/>
              <w:textAlignment w:val="bottom"/>
            </w:pPr>
            <w:r>
              <w:rPr>
                <w:rFonts w:ascii="Times New Roman" w:eastAsia="宋体" w:hAnsi="Times New Roman"/>
                <w:color w:val="000000"/>
                <w:sz w:val="20"/>
                <w:szCs w:val="20"/>
              </w:rPr>
              <w:t>564 </w:t>
            </w:r>
          </w:p>
        </w:tc>
        <w:tc>
          <w:tcPr>
            <w:tcW w:w="0" w:type="auto"/>
            <w:shd w:val="clear" w:color="auto" w:fill="FFFFFF"/>
            <w:tcMar>
              <w:top w:w="40" w:type="dxa"/>
              <w:bottom w:w="40" w:type="dxa"/>
              <w:right w:w="20" w:type="dxa"/>
            </w:tcMar>
            <w:vAlign w:val="bottom"/>
          </w:tcPr>
          <w:p w14:paraId="33DA9FD4" w14:textId="77777777" w:rsidR="004D6A64" w:rsidRDefault="004D6A64">
            <w:pPr>
              <w:jc w:val="right"/>
              <w:rPr>
                <w:rFonts w:ascii="宋体"/>
              </w:rPr>
            </w:pPr>
          </w:p>
        </w:tc>
        <w:tc>
          <w:tcPr>
            <w:tcW w:w="0" w:type="auto"/>
            <w:shd w:val="clear" w:color="auto" w:fill="auto"/>
          </w:tcPr>
          <w:p w14:paraId="33DA9FD5" w14:textId="77777777" w:rsidR="004D6A64" w:rsidRDefault="004D6A64">
            <w:pPr>
              <w:rPr>
                <w:rFonts w:ascii="宋体"/>
              </w:rPr>
            </w:pPr>
          </w:p>
        </w:tc>
        <w:tc>
          <w:tcPr>
            <w:tcW w:w="0" w:type="auto"/>
            <w:shd w:val="clear" w:color="auto" w:fill="auto"/>
          </w:tcPr>
          <w:p w14:paraId="33DA9FD6" w14:textId="77777777" w:rsidR="004D6A64" w:rsidRDefault="004D6A64">
            <w:pPr>
              <w:rPr>
                <w:rFonts w:ascii="宋体"/>
              </w:rPr>
            </w:pPr>
          </w:p>
        </w:tc>
        <w:tc>
          <w:tcPr>
            <w:tcW w:w="0" w:type="auto"/>
            <w:shd w:val="clear" w:color="auto" w:fill="auto"/>
          </w:tcPr>
          <w:p w14:paraId="33DA9FD7" w14:textId="77777777" w:rsidR="004D6A64" w:rsidRDefault="004D6A64">
            <w:pPr>
              <w:rPr>
                <w:rFonts w:ascii="宋体"/>
              </w:rPr>
            </w:pPr>
          </w:p>
        </w:tc>
        <w:tc>
          <w:tcPr>
            <w:tcW w:w="0" w:type="auto"/>
            <w:shd w:val="clear" w:color="auto" w:fill="auto"/>
          </w:tcPr>
          <w:p w14:paraId="33DA9FD8" w14:textId="77777777" w:rsidR="004D6A64" w:rsidRDefault="004D6A64">
            <w:pPr>
              <w:rPr>
                <w:rFonts w:ascii="宋体"/>
              </w:rPr>
            </w:pPr>
          </w:p>
        </w:tc>
        <w:tc>
          <w:tcPr>
            <w:tcW w:w="0" w:type="auto"/>
            <w:shd w:val="clear" w:color="auto" w:fill="auto"/>
          </w:tcPr>
          <w:p w14:paraId="33DA9FD9" w14:textId="77777777" w:rsidR="004D6A64" w:rsidRDefault="004D6A64">
            <w:pPr>
              <w:rPr>
                <w:rFonts w:ascii="宋体"/>
              </w:rPr>
            </w:pPr>
          </w:p>
        </w:tc>
        <w:tc>
          <w:tcPr>
            <w:tcW w:w="0" w:type="auto"/>
            <w:shd w:val="clear" w:color="auto" w:fill="auto"/>
          </w:tcPr>
          <w:p w14:paraId="33DA9FDA" w14:textId="77777777" w:rsidR="004D6A64" w:rsidRDefault="004D6A64">
            <w:pPr>
              <w:rPr>
                <w:rFonts w:ascii="宋体"/>
              </w:rPr>
            </w:pPr>
          </w:p>
        </w:tc>
        <w:tc>
          <w:tcPr>
            <w:tcW w:w="0" w:type="auto"/>
            <w:shd w:val="clear" w:color="auto" w:fill="auto"/>
          </w:tcPr>
          <w:p w14:paraId="33DA9FDB" w14:textId="77777777" w:rsidR="004D6A64" w:rsidRDefault="004D6A64">
            <w:pPr>
              <w:rPr>
                <w:rFonts w:ascii="宋体"/>
              </w:rPr>
            </w:pPr>
          </w:p>
        </w:tc>
        <w:tc>
          <w:tcPr>
            <w:tcW w:w="0" w:type="auto"/>
            <w:shd w:val="clear" w:color="auto" w:fill="auto"/>
          </w:tcPr>
          <w:p w14:paraId="33DA9FDC" w14:textId="77777777" w:rsidR="004D6A64" w:rsidRDefault="004D6A64">
            <w:pPr>
              <w:rPr>
                <w:rFonts w:ascii="宋体"/>
              </w:rPr>
            </w:pPr>
          </w:p>
        </w:tc>
        <w:tc>
          <w:tcPr>
            <w:tcW w:w="0" w:type="auto"/>
            <w:shd w:val="clear" w:color="auto" w:fill="auto"/>
          </w:tcPr>
          <w:p w14:paraId="33DA9FDD" w14:textId="77777777" w:rsidR="004D6A64" w:rsidRDefault="004D6A64">
            <w:pPr>
              <w:rPr>
                <w:rFonts w:ascii="宋体"/>
              </w:rPr>
            </w:pPr>
          </w:p>
        </w:tc>
      </w:tr>
      <w:tr w:rsidR="00506CD6" w14:paraId="33DAA003" w14:textId="77777777">
        <w:trPr>
          <w:jc w:val="center"/>
        </w:trPr>
        <w:tc>
          <w:tcPr>
            <w:tcW w:w="0" w:type="auto"/>
            <w:gridSpan w:val="3"/>
            <w:shd w:val="clear" w:color="auto" w:fill="CCEEFF"/>
            <w:tcMar>
              <w:top w:w="40" w:type="dxa"/>
              <w:left w:w="135" w:type="dxa"/>
              <w:bottom w:w="40" w:type="dxa"/>
              <w:right w:w="20" w:type="dxa"/>
            </w:tcMar>
            <w:vAlign w:val="bottom"/>
          </w:tcPr>
          <w:p w14:paraId="33DA9FDF" w14:textId="77777777" w:rsidR="004D6A64" w:rsidRDefault="00506CD6">
            <w:pPr>
              <w:textAlignment w:val="bottom"/>
            </w:pPr>
            <w:r>
              <w:rPr>
                <w:rFonts w:ascii="Times New Roman" w:eastAsia="宋体" w:hAnsi="Times New Roman"/>
                <w:color w:val="000000"/>
                <w:sz w:val="20"/>
                <w:szCs w:val="20"/>
              </w:rPr>
              <w:t>Treasury stock repurchases</w:t>
            </w:r>
          </w:p>
        </w:tc>
        <w:tc>
          <w:tcPr>
            <w:tcW w:w="0" w:type="auto"/>
            <w:gridSpan w:val="2"/>
            <w:shd w:val="clear" w:color="auto" w:fill="CCEEFF"/>
            <w:tcMar>
              <w:top w:w="40" w:type="dxa"/>
              <w:left w:w="20" w:type="dxa"/>
              <w:bottom w:w="40" w:type="dxa"/>
              <w:right w:w="0" w:type="dxa"/>
            </w:tcMar>
            <w:vAlign w:val="bottom"/>
          </w:tcPr>
          <w:p w14:paraId="33DA9FE0"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FE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FE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FE3"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FE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FE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FE6"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FE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FE8"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FE9" w14:textId="77777777" w:rsidR="004D6A64" w:rsidRDefault="00506CD6">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bottom w:w="40" w:type="dxa"/>
              <w:right w:w="20" w:type="dxa"/>
            </w:tcMar>
            <w:vAlign w:val="bottom"/>
          </w:tcPr>
          <w:p w14:paraId="33DA9FE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FEB"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FEC"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FE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FE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FEF"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FF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FF1"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FF2" w14:textId="77777777" w:rsidR="004D6A64" w:rsidRDefault="00506CD6">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bottom w:w="40" w:type="dxa"/>
              <w:right w:w="20" w:type="dxa"/>
            </w:tcMar>
            <w:vAlign w:val="bottom"/>
          </w:tcPr>
          <w:p w14:paraId="33DA9FF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FF4"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FF5"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9FF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9FF7"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9FF8" w14:textId="77777777" w:rsidR="004D6A64" w:rsidRDefault="00506CD6">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bottom w:w="40" w:type="dxa"/>
              <w:right w:w="20" w:type="dxa"/>
            </w:tcMar>
            <w:vAlign w:val="bottom"/>
          </w:tcPr>
          <w:p w14:paraId="33DA9FF9" w14:textId="77777777" w:rsidR="004D6A64" w:rsidRDefault="004D6A64">
            <w:pPr>
              <w:jc w:val="right"/>
              <w:rPr>
                <w:rFonts w:ascii="宋体"/>
              </w:rPr>
            </w:pPr>
          </w:p>
        </w:tc>
        <w:tc>
          <w:tcPr>
            <w:tcW w:w="0" w:type="auto"/>
            <w:shd w:val="clear" w:color="auto" w:fill="auto"/>
          </w:tcPr>
          <w:p w14:paraId="33DA9FFA" w14:textId="77777777" w:rsidR="004D6A64" w:rsidRDefault="004D6A64">
            <w:pPr>
              <w:rPr>
                <w:rFonts w:ascii="宋体"/>
              </w:rPr>
            </w:pPr>
          </w:p>
        </w:tc>
        <w:tc>
          <w:tcPr>
            <w:tcW w:w="0" w:type="auto"/>
            <w:shd w:val="clear" w:color="auto" w:fill="auto"/>
          </w:tcPr>
          <w:p w14:paraId="33DA9FFB" w14:textId="77777777" w:rsidR="004D6A64" w:rsidRDefault="004D6A64">
            <w:pPr>
              <w:rPr>
                <w:rFonts w:ascii="宋体"/>
              </w:rPr>
            </w:pPr>
          </w:p>
        </w:tc>
        <w:tc>
          <w:tcPr>
            <w:tcW w:w="0" w:type="auto"/>
            <w:shd w:val="clear" w:color="auto" w:fill="auto"/>
          </w:tcPr>
          <w:p w14:paraId="33DA9FFC" w14:textId="77777777" w:rsidR="004D6A64" w:rsidRDefault="004D6A64">
            <w:pPr>
              <w:rPr>
                <w:rFonts w:ascii="宋体"/>
              </w:rPr>
            </w:pPr>
          </w:p>
        </w:tc>
        <w:tc>
          <w:tcPr>
            <w:tcW w:w="0" w:type="auto"/>
            <w:shd w:val="clear" w:color="auto" w:fill="auto"/>
          </w:tcPr>
          <w:p w14:paraId="33DA9FFD" w14:textId="77777777" w:rsidR="004D6A64" w:rsidRDefault="004D6A64">
            <w:pPr>
              <w:rPr>
                <w:rFonts w:ascii="宋体"/>
              </w:rPr>
            </w:pPr>
          </w:p>
        </w:tc>
        <w:tc>
          <w:tcPr>
            <w:tcW w:w="0" w:type="auto"/>
            <w:shd w:val="clear" w:color="auto" w:fill="auto"/>
          </w:tcPr>
          <w:p w14:paraId="33DA9FFE" w14:textId="77777777" w:rsidR="004D6A64" w:rsidRDefault="004D6A64">
            <w:pPr>
              <w:rPr>
                <w:rFonts w:ascii="宋体"/>
              </w:rPr>
            </w:pPr>
          </w:p>
        </w:tc>
        <w:tc>
          <w:tcPr>
            <w:tcW w:w="0" w:type="auto"/>
            <w:shd w:val="clear" w:color="auto" w:fill="auto"/>
          </w:tcPr>
          <w:p w14:paraId="33DA9FFF" w14:textId="77777777" w:rsidR="004D6A64" w:rsidRDefault="004D6A64">
            <w:pPr>
              <w:rPr>
                <w:rFonts w:ascii="宋体"/>
              </w:rPr>
            </w:pPr>
          </w:p>
        </w:tc>
        <w:tc>
          <w:tcPr>
            <w:tcW w:w="0" w:type="auto"/>
            <w:shd w:val="clear" w:color="auto" w:fill="auto"/>
          </w:tcPr>
          <w:p w14:paraId="33DAA000" w14:textId="77777777" w:rsidR="004D6A64" w:rsidRDefault="004D6A64">
            <w:pPr>
              <w:rPr>
                <w:rFonts w:ascii="宋体"/>
              </w:rPr>
            </w:pPr>
          </w:p>
        </w:tc>
        <w:tc>
          <w:tcPr>
            <w:tcW w:w="0" w:type="auto"/>
            <w:shd w:val="clear" w:color="auto" w:fill="auto"/>
          </w:tcPr>
          <w:p w14:paraId="33DAA001" w14:textId="77777777" w:rsidR="004D6A64" w:rsidRDefault="004D6A64">
            <w:pPr>
              <w:rPr>
                <w:rFonts w:ascii="宋体"/>
              </w:rPr>
            </w:pPr>
          </w:p>
        </w:tc>
        <w:tc>
          <w:tcPr>
            <w:tcW w:w="0" w:type="auto"/>
            <w:shd w:val="clear" w:color="auto" w:fill="auto"/>
          </w:tcPr>
          <w:p w14:paraId="33DAA002" w14:textId="77777777" w:rsidR="004D6A64" w:rsidRDefault="004D6A64">
            <w:pPr>
              <w:rPr>
                <w:rFonts w:ascii="宋体"/>
              </w:rPr>
            </w:pPr>
          </w:p>
        </w:tc>
      </w:tr>
      <w:tr w:rsidR="00506CD6" w14:paraId="33DAA028" w14:textId="77777777">
        <w:trPr>
          <w:jc w:val="center"/>
        </w:trPr>
        <w:tc>
          <w:tcPr>
            <w:tcW w:w="0" w:type="auto"/>
            <w:gridSpan w:val="3"/>
            <w:shd w:val="clear" w:color="auto" w:fill="FFFFFF"/>
            <w:tcMar>
              <w:top w:w="40" w:type="dxa"/>
              <w:left w:w="135" w:type="dxa"/>
              <w:bottom w:w="40" w:type="dxa"/>
              <w:right w:w="20" w:type="dxa"/>
            </w:tcMar>
            <w:vAlign w:val="bottom"/>
          </w:tcPr>
          <w:p w14:paraId="33DAA004" w14:textId="77777777" w:rsidR="004D6A64" w:rsidRDefault="00506CD6">
            <w:pPr>
              <w:textAlignment w:val="bottom"/>
            </w:pPr>
            <w:r>
              <w:rPr>
                <w:rFonts w:ascii="Times New Roman" w:eastAsia="宋体" w:hAnsi="Times New Roman"/>
                <w:color w:val="000000"/>
                <w:sz w:val="20"/>
                <w:szCs w:val="20"/>
              </w:rPr>
              <w:t>Revaluation of redeemable shares</w:t>
            </w:r>
          </w:p>
        </w:tc>
        <w:tc>
          <w:tcPr>
            <w:tcW w:w="0" w:type="auto"/>
            <w:gridSpan w:val="2"/>
            <w:shd w:val="clear" w:color="auto" w:fill="FFFFFF"/>
            <w:tcMar>
              <w:top w:w="40" w:type="dxa"/>
              <w:left w:w="20" w:type="dxa"/>
              <w:bottom w:w="40" w:type="dxa"/>
              <w:right w:w="0" w:type="dxa"/>
            </w:tcMar>
            <w:vAlign w:val="bottom"/>
          </w:tcPr>
          <w:p w14:paraId="33DAA005"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A00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007"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A008" w14:textId="77777777" w:rsidR="004D6A64" w:rsidRDefault="00506CD6">
            <w:pPr>
              <w:jc w:val="right"/>
              <w:textAlignment w:val="bottom"/>
            </w:pPr>
            <w:r>
              <w:rPr>
                <w:rFonts w:ascii="Times New Roman" w:eastAsia="宋体" w:hAnsi="Times New Roman"/>
                <w:color w:val="000000"/>
                <w:sz w:val="20"/>
                <w:szCs w:val="20"/>
              </w:rPr>
              <w:t>172 </w:t>
            </w:r>
          </w:p>
        </w:tc>
        <w:tc>
          <w:tcPr>
            <w:tcW w:w="0" w:type="auto"/>
            <w:shd w:val="clear" w:color="auto" w:fill="FFFFFF"/>
            <w:tcMar>
              <w:top w:w="40" w:type="dxa"/>
              <w:bottom w:w="40" w:type="dxa"/>
              <w:right w:w="20" w:type="dxa"/>
            </w:tcMar>
            <w:vAlign w:val="bottom"/>
          </w:tcPr>
          <w:p w14:paraId="33DAA00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00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A00B"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A00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00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A00E"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A00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01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A011"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A01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01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A014"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A01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01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A017" w14:textId="77777777" w:rsidR="004D6A64" w:rsidRDefault="00506CD6">
            <w:pPr>
              <w:jc w:val="right"/>
              <w:textAlignment w:val="bottom"/>
            </w:pPr>
            <w:r>
              <w:rPr>
                <w:rFonts w:ascii="Times New Roman" w:eastAsia="宋体" w:hAnsi="Times New Roman"/>
                <w:color w:val="000000"/>
                <w:sz w:val="20"/>
                <w:szCs w:val="20"/>
              </w:rPr>
              <w:t>172 </w:t>
            </w:r>
          </w:p>
        </w:tc>
        <w:tc>
          <w:tcPr>
            <w:tcW w:w="0" w:type="auto"/>
            <w:shd w:val="clear" w:color="auto" w:fill="FFFFFF"/>
            <w:tcMar>
              <w:top w:w="40" w:type="dxa"/>
              <w:bottom w:w="40" w:type="dxa"/>
              <w:right w:w="20" w:type="dxa"/>
            </w:tcMar>
            <w:vAlign w:val="bottom"/>
          </w:tcPr>
          <w:p w14:paraId="33DAA01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019"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A01A"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A01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01C"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A01D" w14:textId="77777777" w:rsidR="004D6A64" w:rsidRDefault="00506CD6">
            <w:pPr>
              <w:jc w:val="right"/>
              <w:textAlignment w:val="bottom"/>
            </w:pPr>
            <w:r>
              <w:rPr>
                <w:rFonts w:ascii="Times New Roman" w:eastAsia="宋体" w:hAnsi="Times New Roman"/>
                <w:color w:val="000000"/>
                <w:sz w:val="20"/>
                <w:szCs w:val="20"/>
              </w:rPr>
              <w:t>172 </w:t>
            </w:r>
          </w:p>
        </w:tc>
        <w:tc>
          <w:tcPr>
            <w:tcW w:w="0" w:type="auto"/>
            <w:shd w:val="clear" w:color="auto" w:fill="FFFFFF"/>
            <w:tcMar>
              <w:top w:w="40" w:type="dxa"/>
              <w:bottom w:w="40" w:type="dxa"/>
              <w:right w:w="20" w:type="dxa"/>
            </w:tcMar>
            <w:vAlign w:val="bottom"/>
          </w:tcPr>
          <w:p w14:paraId="33DAA01E" w14:textId="77777777" w:rsidR="004D6A64" w:rsidRDefault="004D6A64">
            <w:pPr>
              <w:jc w:val="right"/>
              <w:rPr>
                <w:rFonts w:ascii="宋体"/>
              </w:rPr>
            </w:pPr>
          </w:p>
        </w:tc>
        <w:tc>
          <w:tcPr>
            <w:tcW w:w="0" w:type="auto"/>
            <w:shd w:val="clear" w:color="auto" w:fill="auto"/>
          </w:tcPr>
          <w:p w14:paraId="33DAA01F" w14:textId="77777777" w:rsidR="004D6A64" w:rsidRDefault="004D6A64">
            <w:pPr>
              <w:rPr>
                <w:rFonts w:ascii="宋体"/>
              </w:rPr>
            </w:pPr>
          </w:p>
        </w:tc>
        <w:tc>
          <w:tcPr>
            <w:tcW w:w="0" w:type="auto"/>
            <w:shd w:val="clear" w:color="auto" w:fill="auto"/>
          </w:tcPr>
          <w:p w14:paraId="33DAA020" w14:textId="77777777" w:rsidR="004D6A64" w:rsidRDefault="004D6A64">
            <w:pPr>
              <w:rPr>
                <w:rFonts w:ascii="宋体"/>
              </w:rPr>
            </w:pPr>
          </w:p>
        </w:tc>
        <w:tc>
          <w:tcPr>
            <w:tcW w:w="0" w:type="auto"/>
            <w:shd w:val="clear" w:color="auto" w:fill="auto"/>
          </w:tcPr>
          <w:p w14:paraId="33DAA021" w14:textId="77777777" w:rsidR="004D6A64" w:rsidRDefault="004D6A64">
            <w:pPr>
              <w:rPr>
                <w:rFonts w:ascii="宋体"/>
              </w:rPr>
            </w:pPr>
          </w:p>
        </w:tc>
        <w:tc>
          <w:tcPr>
            <w:tcW w:w="0" w:type="auto"/>
            <w:shd w:val="clear" w:color="auto" w:fill="auto"/>
          </w:tcPr>
          <w:p w14:paraId="33DAA022" w14:textId="77777777" w:rsidR="004D6A64" w:rsidRDefault="004D6A64">
            <w:pPr>
              <w:rPr>
                <w:rFonts w:ascii="宋体"/>
              </w:rPr>
            </w:pPr>
          </w:p>
        </w:tc>
        <w:tc>
          <w:tcPr>
            <w:tcW w:w="0" w:type="auto"/>
            <w:shd w:val="clear" w:color="auto" w:fill="auto"/>
          </w:tcPr>
          <w:p w14:paraId="33DAA023" w14:textId="77777777" w:rsidR="004D6A64" w:rsidRDefault="004D6A64">
            <w:pPr>
              <w:rPr>
                <w:rFonts w:ascii="宋体"/>
              </w:rPr>
            </w:pPr>
          </w:p>
        </w:tc>
        <w:tc>
          <w:tcPr>
            <w:tcW w:w="0" w:type="auto"/>
            <w:shd w:val="clear" w:color="auto" w:fill="auto"/>
          </w:tcPr>
          <w:p w14:paraId="33DAA024" w14:textId="77777777" w:rsidR="004D6A64" w:rsidRDefault="004D6A64">
            <w:pPr>
              <w:rPr>
                <w:rFonts w:ascii="宋体"/>
              </w:rPr>
            </w:pPr>
          </w:p>
        </w:tc>
        <w:tc>
          <w:tcPr>
            <w:tcW w:w="0" w:type="auto"/>
            <w:shd w:val="clear" w:color="auto" w:fill="auto"/>
          </w:tcPr>
          <w:p w14:paraId="33DAA025" w14:textId="77777777" w:rsidR="004D6A64" w:rsidRDefault="004D6A64">
            <w:pPr>
              <w:rPr>
                <w:rFonts w:ascii="宋体"/>
              </w:rPr>
            </w:pPr>
          </w:p>
        </w:tc>
        <w:tc>
          <w:tcPr>
            <w:tcW w:w="0" w:type="auto"/>
            <w:shd w:val="clear" w:color="auto" w:fill="auto"/>
          </w:tcPr>
          <w:p w14:paraId="33DAA026" w14:textId="77777777" w:rsidR="004D6A64" w:rsidRDefault="004D6A64">
            <w:pPr>
              <w:rPr>
                <w:rFonts w:ascii="宋体"/>
              </w:rPr>
            </w:pPr>
          </w:p>
        </w:tc>
        <w:tc>
          <w:tcPr>
            <w:tcW w:w="0" w:type="auto"/>
            <w:shd w:val="clear" w:color="auto" w:fill="auto"/>
          </w:tcPr>
          <w:p w14:paraId="33DAA027" w14:textId="77777777" w:rsidR="004D6A64" w:rsidRDefault="004D6A64">
            <w:pPr>
              <w:rPr>
                <w:rFonts w:ascii="宋体"/>
              </w:rPr>
            </w:pPr>
          </w:p>
        </w:tc>
      </w:tr>
      <w:tr w:rsidR="00506CD6" w14:paraId="33DAA04D" w14:textId="77777777">
        <w:trPr>
          <w:jc w:val="center"/>
        </w:trPr>
        <w:tc>
          <w:tcPr>
            <w:tcW w:w="0" w:type="auto"/>
            <w:gridSpan w:val="3"/>
            <w:shd w:val="clear" w:color="auto" w:fill="CCEEFF"/>
            <w:tcMar>
              <w:top w:w="40" w:type="dxa"/>
              <w:left w:w="135" w:type="dxa"/>
              <w:bottom w:w="40" w:type="dxa"/>
              <w:right w:w="20" w:type="dxa"/>
            </w:tcMar>
            <w:vAlign w:val="bottom"/>
          </w:tcPr>
          <w:p w14:paraId="33DAA029" w14:textId="77777777" w:rsidR="004D6A64" w:rsidRDefault="00506CD6">
            <w:pPr>
              <w:textAlignment w:val="bottom"/>
            </w:pPr>
            <w:r>
              <w:rPr>
                <w:rFonts w:ascii="Times New Roman" w:eastAsia="宋体" w:hAnsi="Times New Roman"/>
                <w:color w:val="000000"/>
                <w:sz w:val="20"/>
                <w:szCs w:val="20"/>
              </w:rPr>
              <w:t>Impact from equity transactions of non-controlling interests</w:t>
            </w:r>
          </w:p>
        </w:tc>
        <w:tc>
          <w:tcPr>
            <w:tcW w:w="0" w:type="auto"/>
            <w:gridSpan w:val="2"/>
            <w:shd w:val="clear" w:color="auto" w:fill="CCEEFF"/>
            <w:tcMar>
              <w:top w:w="40" w:type="dxa"/>
              <w:left w:w="20" w:type="dxa"/>
              <w:bottom w:w="40" w:type="dxa"/>
              <w:right w:w="0" w:type="dxa"/>
            </w:tcMar>
            <w:vAlign w:val="bottom"/>
          </w:tcPr>
          <w:p w14:paraId="33DAA02A"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A02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02C"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A02D" w14:textId="77777777" w:rsidR="004D6A64" w:rsidRDefault="00506CD6">
            <w:pPr>
              <w:jc w:val="right"/>
              <w:textAlignment w:val="bottom"/>
            </w:pPr>
            <w:r>
              <w:rPr>
                <w:rFonts w:ascii="Times New Roman" w:eastAsia="宋体" w:hAnsi="Times New Roman"/>
                <w:color w:val="000000"/>
                <w:sz w:val="20"/>
                <w:szCs w:val="20"/>
              </w:rPr>
              <w:t>(519)</w:t>
            </w:r>
          </w:p>
        </w:tc>
        <w:tc>
          <w:tcPr>
            <w:tcW w:w="0" w:type="auto"/>
            <w:shd w:val="clear" w:color="auto" w:fill="CCEEFF"/>
            <w:tcMar>
              <w:top w:w="40" w:type="dxa"/>
              <w:bottom w:w="40" w:type="dxa"/>
              <w:right w:w="20" w:type="dxa"/>
            </w:tcMar>
            <w:vAlign w:val="bottom"/>
          </w:tcPr>
          <w:p w14:paraId="33DAA02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02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A030"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A03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03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A033"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A03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03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A036" w14:textId="77777777" w:rsidR="004D6A64" w:rsidRDefault="00506CD6">
            <w:pPr>
              <w:jc w:val="right"/>
              <w:textAlignment w:val="bottom"/>
            </w:pPr>
            <w:r>
              <w:rPr>
                <w:rFonts w:ascii="Times New Roman" w:eastAsia="宋体" w:hAnsi="Times New Roman"/>
                <w:color w:val="000000"/>
                <w:sz w:val="20"/>
                <w:szCs w:val="20"/>
              </w:rPr>
              <w:t>(138)</w:t>
            </w:r>
          </w:p>
        </w:tc>
        <w:tc>
          <w:tcPr>
            <w:tcW w:w="0" w:type="auto"/>
            <w:shd w:val="clear" w:color="auto" w:fill="CCEEFF"/>
            <w:tcMar>
              <w:top w:w="40" w:type="dxa"/>
              <w:bottom w:w="40" w:type="dxa"/>
              <w:right w:w="20" w:type="dxa"/>
            </w:tcMar>
            <w:vAlign w:val="bottom"/>
          </w:tcPr>
          <w:p w14:paraId="33DAA03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038"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A039"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A03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03B"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A03C" w14:textId="77777777" w:rsidR="004D6A64" w:rsidRDefault="00506CD6">
            <w:pPr>
              <w:jc w:val="right"/>
              <w:textAlignment w:val="bottom"/>
            </w:pPr>
            <w:r>
              <w:rPr>
                <w:rFonts w:ascii="Times New Roman" w:eastAsia="宋体" w:hAnsi="Times New Roman"/>
                <w:color w:val="000000"/>
                <w:sz w:val="20"/>
                <w:szCs w:val="20"/>
              </w:rPr>
              <w:t>(657)</w:t>
            </w:r>
          </w:p>
        </w:tc>
        <w:tc>
          <w:tcPr>
            <w:tcW w:w="0" w:type="auto"/>
            <w:shd w:val="clear" w:color="auto" w:fill="CCEEFF"/>
            <w:tcMar>
              <w:top w:w="40" w:type="dxa"/>
              <w:bottom w:w="40" w:type="dxa"/>
              <w:right w:w="20" w:type="dxa"/>
            </w:tcMar>
            <w:vAlign w:val="bottom"/>
          </w:tcPr>
          <w:p w14:paraId="33DAA03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03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A03F" w14:textId="77777777" w:rsidR="004D6A64" w:rsidRDefault="00506CD6">
            <w:pPr>
              <w:jc w:val="right"/>
              <w:textAlignment w:val="bottom"/>
            </w:pPr>
            <w:r>
              <w:rPr>
                <w:rFonts w:ascii="Times New Roman" w:eastAsia="宋体" w:hAnsi="Times New Roman"/>
                <w:color w:val="000000"/>
                <w:sz w:val="20"/>
                <w:szCs w:val="20"/>
              </w:rPr>
              <w:t>(592)</w:t>
            </w:r>
          </w:p>
        </w:tc>
        <w:tc>
          <w:tcPr>
            <w:tcW w:w="0" w:type="auto"/>
            <w:shd w:val="clear" w:color="auto" w:fill="CCEEFF"/>
            <w:tcMar>
              <w:top w:w="40" w:type="dxa"/>
              <w:bottom w:w="40" w:type="dxa"/>
              <w:right w:w="20" w:type="dxa"/>
            </w:tcMar>
            <w:vAlign w:val="bottom"/>
          </w:tcPr>
          <w:p w14:paraId="33DAA04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041"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A042" w14:textId="77777777" w:rsidR="004D6A64" w:rsidRDefault="00506CD6">
            <w:pPr>
              <w:jc w:val="right"/>
              <w:textAlignment w:val="bottom"/>
            </w:pPr>
            <w:r>
              <w:rPr>
                <w:rFonts w:ascii="Times New Roman" w:eastAsia="宋体" w:hAnsi="Times New Roman"/>
                <w:color w:val="000000"/>
                <w:sz w:val="20"/>
                <w:szCs w:val="20"/>
              </w:rPr>
              <w:t>(1,249)</w:t>
            </w:r>
          </w:p>
        </w:tc>
        <w:tc>
          <w:tcPr>
            <w:tcW w:w="0" w:type="auto"/>
            <w:shd w:val="clear" w:color="auto" w:fill="CCEEFF"/>
            <w:tcMar>
              <w:top w:w="40" w:type="dxa"/>
              <w:bottom w:w="40" w:type="dxa"/>
              <w:right w:w="20" w:type="dxa"/>
            </w:tcMar>
            <w:vAlign w:val="bottom"/>
          </w:tcPr>
          <w:p w14:paraId="33DAA043" w14:textId="77777777" w:rsidR="004D6A64" w:rsidRDefault="004D6A64">
            <w:pPr>
              <w:jc w:val="right"/>
              <w:rPr>
                <w:rFonts w:ascii="宋体"/>
              </w:rPr>
            </w:pPr>
          </w:p>
        </w:tc>
        <w:tc>
          <w:tcPr>
            <w:tcW w:w="0" w:type="auto"/>
            <w:shd w:val="clear" w:color="auto" w:fill="auto"/>
          </w:tcPr>
          <w:p w14:paraId="33DAA044" w14:textId="77777777" w:rsidR="004D6A64" w:rsidRDefault="004D6A64">
            <w:pPr>
              <w:rPr>
                <w:rFonts w:ascii="宋体"/>
              </w:rPr>
            </w:pPr>
          </w:p>
        </w:tc>
        <w:tc>
          <w:tcPr>
            <w:tcW w:w="0" w:type="auto"/>
            <w:shd w:val="clear" w:color="auto" w:fill="auto"/>
          </w:tcPr>
          <w:p w14:paraId="33DAA045" w14:textId="77777777" w:rsidR="004D6A64" w:rsidRDefault="004D6A64">
            <w:pPr>
              <w:rPr>
                <w:rFonts w:ascii="宋体"/>
              </w:rPr>
            </w:pPr>
          </w:p>
        </w:tc>
        <w:tc>
          <w:tcPr>
            <w:tcW w:w="0" w:type="auto"/>
            <w:shd w:val="clear" w:color="auto" w:fill="auto"/>
          </w:tcPr>
          <w:p w14:paraId="33DAA046" w14:textId="77777777" w:rsidR="004D6A64" w:rsidRDefault="004D6A64">
            <w:pPr>
              <w:rPr>
                <w:rFonts w:ascii="宋体"/>
              </w:rPr>
            </w:pPr>
          </w:p>
        </w:tc>
        <w:tc>
          <w:tcPr>
            <w:tcW w:w="0" w:type="auto"/>
            <w:shd w:val="clear" w:color="auto" w:fill="auto"/>
          </w:tcPr>
          <w:p w14:paraId="33DAA047" w14:textId="77777777" w:rsidR="004D6A64" w:rsidRDefault="004D6A64">
            <w:pPr>
              <w:rPr>
                <w:rFonts w:ascii="宋体"/>
              </w:rPr>
            </w:pPr>
          </w:p>
        </w:tc>
        <w:tc>
          <w:tcPr>
            <w:tcW w:w="0" w:type="auto"/>
            <w:shd w:val="clear" w:color="auto" w:fill="auto"/>
          </w:tcPr>
          <w:p w14:paraId="33DAA048" w14:textId="77777777" w:rsidR="004D6A64" w:rsidRDefault="004D6A64">
            <w:pPr>
              <w:rPr>
                <w:rFonts w:ascii="宋体"/>
              </w:rPr>
            </w:pPr>
          </w:p>
        </w:tc>
        <w:tc>
          <w:tcPr>
            <w:tcW w:w="0" w:type="auto"/>
            <w:shd w:val="clear" w:color="auto" w:fill="auto"/>
          </w:tcPr>
          <w:p w14:paraId="33DAA049" w14:textId="77777777" w:rsidR="004D6A64" w:rsidRDefault="004D6A64">
            <w:pPr>
              <w:rPr>
                <w:rFonts w:ascii="宋体"/>
              </w:rPr>
            </w:pPr>
          </w:p>
        </w:tc>
        <w:tc>
          <w:tcPr>
            <w:tcW w:w="0" w:type="auto"/>
            <w:shd w:val="clear" w:color="auto" w:fill="auto"/>
          </w:tcPr>
          <w:p w14:paraId="33DAA04A" w14:textId="77777777" w:rsidR="004D6A64" w:rsidRDefault="004D6A64">
            <w:pPr>
              <w:rPr>
                <w:rFonts w:ascii="宋体"/>
              </w:rPr>
            </w:pPr>
          </w:p>
        </w:tc>
        <w:tc>
          <w:tcPr>
            <w:tcW w:w="0" w:type="auto"/>
            <w:shd w:val="clear" w:color="auto" w:fill="auto"/>
          </w:tcPr>
          <w:p w14:paraId="33DAA04B" w14:textId="77777777" w:rsidR="004D6A64" w:rsidRDefault="004D6A64">
            <w:pPr>
              <w:rPr>
                <w:rFonts w:ascii="宋体"/>
              </w:rPr>
            </w:pPr>
          </w:p>
        </w:tc>
        <w:tc>
          <w:tcPr>
            <w:tcW w:w="0" w:type="auto"/>
            <w:shd w:val="clear" w:color="auto" w:fill="auto"/>
          </w:tcPr>
          <w:p w14:paraId="33DAA04C" w14:textId="77777777" w:rsidR="004D6A64" w:rsidRDefault="004D6A64">
            <w:pPr>
              <w:rPr>
                <w:rFonts w:ascii="宋体"/>
              </w:rPr>
            </w:pPr>
          </w:p>
        </w:tc>
      </w:tr>
      <w:tr w:rsidR="004D6A64" w14:paraId="33DAA069" w14:textId="77777777">
        <w:trPr>
          <w:jc w:val="center"/>
          <w:hidden/>
        </w:trPr>
        <w:tc>
          <w:tcPr>
            <w:tcW w:w="0" w:type="auto"/>
            <w:gridSpan w:val="3"/>
            <w:shd w:val="clear" w:color="auto" w:fill="auto"/>
          </w:tcPr>
          <w:p w14:paraId="33DAA04E" w14:textId="77777777" w:rsidR="004D6A64" w:rsidRDefault="004D6A64">
            <w:pPr>
              <w:rPr>
                <w:rFonts w:ascii="宋体"/>
                <w:vanish/>
              </w:rPr>
            </w:pPr>
          </w:p>
        </w:tc>
        <w:tc>
          <w:tcPr>
            <w:tcW w:w="0" w:type="auto"/>
            <w:gridSpan w:val="3"/>
            <w:shd w:val="clear" w:color="auto" w:fill="auto"/>
          </w:tcPr>
          <w:p w14:paraId="33DAA04F" w14:textId="77777777" w:rsidR="004D6A64" w:rsidRDefault="004D6A64">
            <w:pPr>
              <w:rPr>
                <w:rFonts w:ascii="宋体"/>
                <w:vanish/>
              </w:rPr>
            </w:pPr>
          </w:p>
        </w:tc>
        <w:tc>
          <w:tcPr>
            <w:tcW w:w="0" w:type="auto"/>
            <w:gridSpan w:val="3"/>
            <w:shd w:val="clear" w:color="auto" w:fill="auto"/>
          </w:tcPr>
          <w:p w14:paraId="33DAA050" w14:textId="77777777" w:rsidR="004D6A64" w:rsidRDefault="004D6A64">
            <w:pPr>
              <w:rPr>
                <w:rFonts w:ascii="宋体"/>
                <w:vanish/>
              </w:rPr>
            </w:pPr>
          </w:p>
        </w:tc>
        <w:tc>
          <w:tcPr>
            <w:tcW w:w="0" w:type="auto"/>
            <w:gridSpan w:val="3"/>
            <w:shd w:val="clear" w:color="auto" w:fill="auto"/>
          </w:tcPr>
          <w:p w14:paraId="33DAA051" w14:textId="77777777" w:rsidR="004D6A64" w:rsidRDefault="004D6A64">
            <w:pPr>
              <w:rPr>
                <w:rFonts w:ascii="宋体"/>
                <w:vanish/>
              </w:rPr>
            </w:pPr>
          </w:p>
        </w:tc>
        <w:tc>
          <w:tcPr>
            <w:tcW w:w="0" w:type="auto"/>
            <w:gridSpan w:val="3"/>
            <w:shd w:val="clear" w:color="auto" w:fill="auto"/>
          </w:tcPr>
          <w:p w14:paraId="33DAA052" w14:textId="77777777" w:rsidR="004D6A64" w:rsidRDefault="004D6A64">
            <w:pPr>
              <w:rPr>
                <w:rFonts w:ascii="宋体"/>
                <w:vanish/>
              </w:rPr>
            </w:pPr>
          </w:p>
        </w:tc>
        <w:tc>
          <w:tcPr>
            <w:tcW w:w="0" w:type="auto"/>
            <w:gridSpan w:val="3"/>
            <w:shd w:val="clear" w:color="auto" w:fill="auto"/>
          </w:tcPr>
          <w:p w14:paraId="33DAA053" w14:textId="77777777" w:rsidR="004D6A64" w:rsidRDefault="004D6A64">
            <w:pPr>
              <w:rPr>
                <w:rFonts w:ascii="宋体"/>
                <w:vanish/>
              </w:rPr>
            </w:pPr>
          </w:p>
        </w:tc>
        <w:tc>
          <w:tcPr>
            <w:tcW w:w="0" w:type="auto"/>
            <w:gridSpan w:val="3"/>
            <w:shd w:val="clear" w:color="auto" w:fill="auto"/>
          </w:tcPr>
          <w:p w14:paraId="33DAA054" w14:textId="77777777" w:rsidR="004D6A64" w:rsidRDefault="004D6A64">
            <w:pPr>
              <w:rPr>
                <w:rFonts w:ascii="宋体"/>
                <w:vanish/>
              </w:rPr>
            </w:pPr>
          </w:p>
        </w:tc>
        <w:tc>
          <w:tcPr>
            <w:tcW w:w="0" w:type="auto"/>
            <w:gridSpan w:val="3"/>
            <w:shd w:val="clear" w:color="auto" w:fill="auto"/>
          </w:tcPr>
          <w:p w14:paraId="33DAA055" w14:textId="77777777" w:rsidR="004D6A64" w:rsidRDefault="004D6A64">
            <w:pPr>
              <w:rPr>
                <w:rFonts w:ascii="宋体"/>
                <w:vanish/>
              </w:rPr>
            </w:pPr>
          </w:p>
        </w:tc>
        <w:tc>
          <w:tcPr>
            <w:tcW w:w="0" w:type="auto"/>
            <w:gridSpan w:val="3"/>
            <w:shd w:val="clear" w:color="auto" w:fill="auto"/>
          </w:tcPr>
          <w:p w14:paraId="33DAA056" w14:textId="77777777" w:rsidR="004D6A64" w:rsidRDefault="004D6A64">
            <w:pPr>
              <w:rPr>
                <w:rFonts w:ascii="宋体"/>
                <w:vanish/>
              </w:rPr>
            </w:pPr>
          </w:p>
        </w:tc>
        <w:tc>
          <w:tcPr>
            <w:tcW w:w="0" w:type="auto"/>
            <w:gridSpan w:val="3"/>
            <w:shd w:val="clear" w:color="auto" w:fill="auto"/>
          </w:tcPr>
          <w:p w14:paraId="33DAA057" w14:textId="77777777" w:rsidR="004D6A64" w:rsidRDefault="004D6A64">
            <w:pPr>
              <w:rPr>
                <w:rFonts w:ascii="宋体"/>
                <w:vanish/>
              </w:rPr>
            </w:pPr>
          </w:p>
        </w:tc>
        <w:tc>
          <w:tcPr>
            <w:tcW w:w="0" w:type="auto"/>
            <w:gridSpan w:val="3"/>
            <w:shd w:val="clear" w:color="auto" w:fill="auto"/>
          </w:tcPr>
          <w:p w14:paraId="33DAA058" w14:textId="77777777" w:rsidR="004D6A64" w:rsidRDefault="004D6A64">
            <w:pPr>
              <w:rPr>
                <w:rFonts w:ascii="宋体"/>
                <w:vanish/>
              </w:rPr>
            </w:pPr>
          </w:p>
        </w:tc>
        <w:tc>
          <w:tcPr>
            <w:tcW w:w="0" w:type="auto"/>
            <w:gridSpan w:val="3"/>
            <w:shd w:val="clear" w:color="auto" w:fill="auto"/>
          </w:tcPr>
          <w:p w14:paraId="33DAA059" w14:textId="77777777" w:rsidR="004D6A64" w:rsidRDefault="004D6A64">
            <w:pPr>
              <w:rPr>
                <w:rFonts w:ascii="宋体"/>
                <w:vanish/>
              </w:rPr>
            </w:pPr>
          </w:p>
        </w:tc>
        <w:tc>
          <w:tcPr>
            <w:tcW w:w="0" w:type="auto"/>
            <w:gridSpan w:val="3"/>
            <w:shd w:val="clear" w:color="auto" w:fill="auto"/>
          </w:tcPr>
          <w:p w14:paraId="33DAA05A" w14:textId="77777777" w:rsidR="004D6A64" w:rsidRDefault="004D6A64">
            <w:pPr>
              <w:rPr>
                <w:rFonts w:ascii="宋体"/>
                <w:vanish/>
              </w:rPr>
            </w:pPr>
          </w:p>
        </w:tc>
        <w:tc>
          <w:tcPr>
            <w:tcW w:w="0" w:type="auto"/>
            <w:gridSpan w:val="3"/>
            <w:shd w:val="clear" w:color="auto" w:fill="auto"/>
          </w:tcPr>
          <w:p w14:paraId="33DAA05B" w14:textId="77777777" w:rsidR="004D6A64" w:rsidRDefault="004D6A64">
            <w:pPr>
              <w:rPr>
                <w:rFonts w:ascii="宋体"/>
                <w:vanish/>
              </w:rPr>
            </w:pPr>
          </w:p>
        </w:tc>
        <w:tc>
          <w:tcPr>
            <w:tcW w:w="0" w:type="auto"/>
            <w:gridSpan w:val="3"/>
            <w:shd w:val="clear" w:color="auto" w:fill="auto"/>
          </w:tcPr>
          <w:p w14:paraId="33DAA05C" w14:textId="77777777" w:rsidR="004D6A64" w:rsidRDefault="004D6A64">
            <w:pPr>
              <w:rPr>
                <w:rFonts w:ascii="宋体"/>
                <w:vanish/>
              </w:rPr>
            </w:pPr>
          </w:p>
        </w:tc>
        <w:tc>
          <w:tcPr>
            <w:tcW w:w="0" w:type="auto"/>
            <w:gridSpan w:val="3"/>
            <w:shd w:val="clear" w:color="auto" w:fill="auto"/>
          </w:tcPr>
          <w:p w14:paraId="33DAA05D" w14:textId="77777777" w:rsidR="004D6A64" w:rsidRDefault="004D6A64">
            <w:pPr>
              <w:rPr>
                <w:rFonts w:ascii="宋体"/>
                <w:vanish/>
              </w:rPr>
            </w:pPr>
          </w:p>
        </w:tc>
        <w:tc>
          <w:tcPr>
            <w:tcW w:w="0" w:type="auto"/>
            <w:gridSpan w:val="3"/>
            <w:shd w:val="clear" w:color="auto" w:fill="auto"/>
          </w:tcPr>
          <w:p w14:paraId="33DAA05E" w14:textId="77777777" w:rsidR="004D6A64" w:rsidRDefault="004D6A64">
            <w:pPr>
              <w:rPr>
                <w:rFonts w:ascii="宋体"/>
                <w:vanish/>
              </w:rPr>
            </w:pPr>
          </w:p>
        </w:tc>
        <w:tc>
          <w:tcPr>
            <w:tcW w:w="0" w:type="auto"/>
            <w:gridSpan w:val="3"/>
            <w:shd w:val="clear" w:color="auto" w:fill="auto"/>
          </w:tcPr>
          <w:p w14:paraId="33DAA05F" w14:textId="77777777" w:rsidR="004D6A64" w:rsidRDefault="004D6A64">
            <w:pPr>
              <w:rPr>
                <w:rFonts w:ascii="宋体"/>
                <w:vanish/>
              </w:rPr>
            </w:pPr>
          </w:p>
        </w:tc>
        <w:tc>
          <w:tcPr>
            <w:tcW w:w="0" w:type="auto"/>
            <w:shd w:val="clear" w:color="auto" w:fill="auto"/>
          </w:tcPr>
          <w:p w14:paraId="33DAA060" w14:textId="77777777" w:rsidR="004D6A64" w:rsidRDefault="004D6A64">
            <w:pPr>
              <w:rPr>
                <w:rFonts w:ascii="宋体"/>
              </w:rPr>
            </w:pPr>
          </w:p>
        </w:tc>
        <w:tc>
          <w:tcPr>
            <w:tcW w:w="0" w:type="auto"/>
            <w:shd w:val="clear" w:color="auto" w:fill="auto"/>
          </w:tcPr>
          <w:p w14:paraId="33DAA061" w14:textId="77777777" w:rsidR="004D6A64" w:rsidRDefault="004D6A64">
            <w:pPr>
              <w:rPr>
                <w:rFonts w:ascii="宋体"/>
              </w:rPr>
            </w:pPr>
          </w:p>
        </w:tc>
        <w:tc>
          <w:tcPr>
            <w:tcW w:w="0" w:type="auto"/>
            <w:shd w:val="clear" w:color="auto" w:fill="auto"/>
          </w:tcPr>
          <w:p w14:paraId="33DAA062" w14:textId="77777777" w:rsidR="004D6A64" w:rsidRDefault="004D6A64">
            <w:pPr>
              <w:rPr>
                <w:rFonts w:ascii="宋体"/>
              </w:rPr>
            </w:pPr>
          </w:p>
        </w:tc>
        <w:tc>
          <w:tcPr>
            <w:tcW w:w="0" w:type="auto"/>
            <w:shd w:val="clear" w:color="auto" w:fill="auto"/>
          </w:tcPr>
          <w:p w14:paraId="33DAA063" w14:textId="77777777" w:rsidR="004D6A64" w:rsidRDefault="004D6A64">
            <w:pPr>
              <w:rPr>
                <w:rFonts w:ascii="宋体"/>
              </w:rPr>
            </w:pPr>
          </w:p>
        </w:tc>
        <w:tc>
          <w:tcPr>
            <w:tcW w:w="0" w:type="auto"/>
            <w:shd w:val="clear" w:color="auto" w:fill="auto"/>
          </w:tcPr>
          <w:p w14:paraId="33DAA064" w14:textId="77777777" w:rsidR="004D6A64" w:rsidRDefault="004D6A64">
            <w:pPr>
              <w:rPr>
                <w:rFonts w:ascii="宋体"/>
              </w:rPr>
            </w:pPr>
          </w:p>
        </w:tc>
        <w:tc>
          <w:tcPr>
            <w:tcW w:w="0" w:type="auto"/>
            <w:shd w:val="clear" w:color="auto" w:fill="auto"/>
          </w:tcPr>
          <w:p w14:paraId="33DAA065" w14:textId="77777777" w:rsidR="004D6A64" w:rsidRDefault="004D6A64">
            <w:pPr>
              <w:rPr>
                <w:rFonts w:ascii="宋体"/>
              </w:rPr>
            </w:pPr>
          </w:p>
        </w:tc>
        <w:tc>
          <w:tcPr>
            <w:tcW w:w="0" w:type="auto"/>
            <w:shd w:val="clear" w:color="auto" w:fill="auto"/>
          </w:tcPr>
          <w:p w14:paraId="33DAA066" w14:textId="77777777" w:rsidR="004D6A64" w:rsidRDefault="004D6A64">
            <w:pPr>
              <w:rPr>
                <w:rFonts w:ascii="宋体"/>
              </w:rPr>
            </w:pPr>
          </w:p>
        </w:tc>
        <w:tc>
          <w:tcPr>
            <w:tcW w:w="0" w:type="auto"/>
            <w:shd w:val="clear" w:color="auto" w:fill="auto"/>
          </w:tcPr>
          <w:p w14:paraId="33DAA067" w14:textId="77777777" w:rsidR="004D6A64" w:rsidRDefault="004D6A64">
            <w:pPr>
              <w:rPr>
                <w:rFonts w:ascii="宋体"/>
              </w:rPr>
            </w:pPr>
          </w:p>
        </w:tc>
        <w:tc>
          <w:tcPr>
            <w:tcW w:w="0" w:type="auto"/>
            <w:shd w:val="clear" w:color="auto" w:fill="auto"/>
          </w:tcPr>
          <w:p w14:paraId="33DAA068" w14:textId="77777777" w:rsidR="004D6A64" w:rsidRDefault="004D6A64">
            <w:pPr>
              <w:rPr>
                <w:rFonts w:ascii="宋体"/>
              </w:rPr>
            </w:pPr>
          </w:p>
        </w:tc>
      </w:tr>
      <w:tr w:rsidR="00506CD6" w14:paraId="33DAA095" w14:textId="77777777">
        <w:trPr>
          <w:jc w:val="center"/>
        </w:trPr>
        <w:tc>
          <w:tcPr>
            <w:tcW w:w="0" w:type="auto"/>
            <w:gridSpan w:val="3"/>
            <w:shd w:val="clear" w:color="auto" w:fill="FFFFFF"/>
            <w:tcMar>
              <w:top w:w="40" w:type="dxa"/>
              <w:left w:w="20" w:type="dxa"/>
              <w:bottom w:w="40" w:type="dxa"/>
              <w:right w:w="20" w:type="dxa"/>
            </w:tcMar>
            <w:vAlign w:val="bottom"/>
          </w:tcPr>
          <w:p w14:paraId="33DAA06A" w14:textId="77777777" w:rsidR="004D6A64" w:rsidRDefault="00506CD6">
            <w:pPr>
              <w:textAlignment w:val="bottom"/>
            </w:pPr>
            <w:r>
              <w:rPr>
                <w:rFonts w:ascii="Times New Roman" w:eastAsia="宋体" w:hAnsi="Times New Roman"/>
                <w:b/>
                <w:bCs/>
                <w:color w:val="000000"/>
                <w:sz w:val="20"/>
                <w:szCs w:val="20"/>
              </w:rPr>
              <w:t>Balances as of August 2, 2019</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3DAA06B" w14:textId="77777777" w:rsidR="004D6A64" w:rsidRDefault="00506CD6">
            <w:pPr>
              <w:jc w:val="right"/>
              <w:textAlignment w:val="bottom"/>
            </w:pPr>
            <w:r>
              <w:rPr>
                <w:rFonts w:ascii="Times New Roman" w:eastAsia="宋体" w:hAnsi="Times New Roman"/>
                <w:color w:val="000000"/>
                <w:sz w:val="20"/>
                <w:szCs w:val="20"/>
              </w:rPr>
              <w:t>726 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A06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06D"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A06E"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A06F" w14:textId="77777777" w:rsidR="004D6A64" w:rsidRDefault="00506CD6">
            <w:pPr>
              <w:jc w:val="right"/>
              <w:textAlignment w:val="bottom"/>
            </w:pPr>
            <w:r>
              <w:rPr>
                <w:rFonts w:ascii="Times New Roman" w:eastAsia="宋体" w:hAnsi="Times New Roman"/>
                <w:color w:val="000000"/>
                <w:sz w:val="20"/>
                <w:szCs w:val="20"/>
              </w:rPr>
              <w:t>15,956 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A07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071" w14:textId="77777777" w:rsidR="004D6A64" w:rsidRDefault="004D6A6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3DAA072" w14:textId="77777777" w:rsidR="004D6A64" w:rsidRDefault="00506CD6">
            <w:pPr>
              <w:jc w:val="right"/>
              <w:textAlignment w:val="bottom"/>
            </w:pPr>
            <w:r>
              <w:rPr>
                <w:rFonts w:ascii="Times New Roman" w:eastAsia="宋体" w:hAnsi="Times New Roman"/>
                <w:color w:val="000000"/>
                <w:sz w:val="20"/>
                <w:szCs w:val="20"/>
              </w:rPr>
              <w:t>2 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A07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074"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A075"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A076" w14:textId="77777777" w:rsidR="004D6A64" w:rsidRDefault="00506CD6">
            <w:pPr>
              <w:jc w:val="right"/>
              <w:textAlignment w:val="bottom"/>
            </w:pPr>
            <w:r>
              <w:rPr>
                <w:rFonts w:ascii="Times New Roman" w:eastAsia="宋体" w:hAnsi="Times New Roman"/>
                <w:color w:val="000000"/>
                <w:sz w:val="20"/>
                <w:szCs w:val="20"/>
              </w:rPr>
              <w:t>(65)</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A07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078"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A079"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A07A" w14:textId="77777777" w:rsidR="004D6A64" w:rsidRDefault="00506CD6">
            <w:pPr>
              <w:jc w:val="right"/>
              <w:textAlignment w:val="bottom"/>
            </w:pPr>
            <w:r>
              <w:rPr>
                <w:rFonts w:ascii="Times New Roman" w:eastAsia="宋体" w:hAnsi="Times New Roman"/>
                <w:color w:val="000000"/>
                <w:sz w:val="20"/>
                <w:szCs w:val="20"/>
              </w:rPr>
              <w:t>(17,775)</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A07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07C"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A07D"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A07E" w14:textId="77777777" w:rsidR="004D6A64" w:rsidRDefault="00506CD6">
            <w:pPr>
              <w:jc w:val="right"/>
              <w:textAlignment w:val="bottom"/>
            </w:pPr>
            <w:r>
              <w:rPr>
                <w:rFonts w:ascii="Times New Roman" w:eastAsia="宋体" w:hAnsi="Times New Roman"/>
                <w:color w:val="000000"/>
                <w:sz w:val="20"/>
                <w:szCs w:val="20"/>
              </w:rPr>
              <w:t>(565)</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A07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080"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A081"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A082" w14:textId="77777777" w:rsidR="004D6A64" w:rsidRDefault="00506CD6">
            <w:pPr>
              <w:jc w:val="right"/>
              <w:textAlignment w:val="bottom"/>
            </w:pPr>
            <w:r>
              <w:rPr>
                <w:rFonts w:ascii="Times New Roman" w:eastAsia="宋体" w:hAnsi="Times New Roman"/>
                <w:color w:val="000000"/>
                <w:sz w:val="20"/>
                <w:szCs w:val="20"/>
              </w:rPr>
              <w:t>(2,449)</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A08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084"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A085"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A086" w14:textId="77777777" w:rsidR="004D6A64" w:rsidRDefault="00506CD6">
            <w:pPr>
              <w:jc w:val="right"/>
              <w:textAlignment w:val="bottom"/>
            </w:pPr>
            <w:r>
              <w:rPr>
                <w:rFonts w:ascii="Times New Roman" w:eastAsia="宋体" w:hAnsi="Times New Roman"/>
                <w:color w:val="000000"/>
                <w:sz w:val="20"/>
                <w:szCs w:val="20"/>
              </w:rPr>
              <w:t>5,544 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A08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088"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A089"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A08A" w14:textId="77777777" w:rsidR="004D6A64" w:rsidRDefault="00506CD6">
            <w:pPr>
              <w:jc w:val="right"/>
              <w:textAlignment w:val="bottom"/>
            </w:pPr>
            <w:r>
              <w:rPr>
                <w:rFonts w:ascii="Times New Roman" w:eastAsia="宋体" w:hAnsi="Times New Roman"/>
                <w:color w:val="000000"/>
                <w:sz w:val="20"/>
                <w:szCs w:val="20"/>
              </w:rPr>
              <w:t>3,095 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A08B" w14:textId="77777777" w:rsidR="004D6A64" w:rsidRDefault="004D6A64">
            <w:pPr>
              <w:jc w:val="right"/>
              <w:rPr>
                <w:rFonts w:ascii="宋体"/>
              </w:rPr>
            </w:pPr>
          </w:p>
        </w:tc>
        <w:tc>
          <w:tcPr>
            <w:tcW w:w="0" w:type="auto"/>
            <w:shd w:val="clear" w:color="auto" w:fill="auto"/>
          </w:tcPr>
          <w:p w14:paraId="33DAA08C" w14:textId="77777777" w:rsidR="004D6A64" w:rsidRDefault="004D6A64">
            <w:pPr>
              <w:rPr>
                <w:rFonts w:ascii="宋体"/>
              </w:rPr>
            </w:pPr>
          </w:p>
        </w:tc>
        <w:tc>
          <w:tcPr>
            <w:tcW w:w="0" w:type="auto"/>
            <w:shd w:val="clear" w:color="auto" w:fill="auto"/>
          </w:tcPr>
          <w:p w14:paraId="33DAA08D" w14:textId="77777777" w:rsidR="004D6A64" w:rsidRDefault="004D6A64">
            <w:pPr>
              <w:rPr>
                <w:rFonts w:ascii="宋体"/>
              </w:rPr>
            </w:pPr>
          </w:p>
        </w:tc>
        <w:tc>
          <w:tcPr>
            <w:tcW w:w="0" w:type="auto"/>
            <w:shd w:val="clear" w:color="auto" w:fill="auto"/>
          </w:tcPr>
          <w:p w14:paraId="33DAA08E" w14:textId="77777777" w:rsidR="004D6A64" w:rsidRDefault="004D6A64">
            <w:pPr>
              <w:rPr>
                <w:rFonts w:ascii="宋体"/>
              </w:rPr>
            </w:pPr>
          </w:p>
        </w:tc>
        <w:tc>
          <w:tcPr>
            <w:tcW w:w="0" w:type="auto"/>
            <w:shd w:val="clear" w:color="auto" w:fill="auto"/>
          </w:tcPr>
          <w:p w14:paraId="33DAA08F" w14:textId="77777777" w:rsidR="004D6A64" w:rsidRDefault="004D6A64">
            <w:pPr>
              <w:rPr>
                <w:rFonts w:ascii="宋体"/>
              </w:rPr>
            </w:pPr>
          </w:p>
        </w:tc>
        <w:tc>
          <w:tcPr>
            <w:tcW w:w="0" w:type="auto"/>
            <w:shd w:val="clear" w:color="auto" w:fill="auto"/>
          </w:tcPr>
          <w:p w14:paraId="33DAA090" w14:textId="77777777" w:rsidR="004D6A64" w:rsidRDefault="004D6A64">
            <w:pPr>
              <w:rPr>
                <w:rFonts w:ascii="宋体"/>
              </w:rPr>
            </w:pPr>
          </w:p>
        </w:tc>
        <w:tc>
          <w:tcPr>
            <w:tcW w:w="0" w:type="auto"/>
            <w:shd w:val="clear" w:color="auto" w:fill="auto"/>
          </w:tcPr>
          <w:p w14:paraId="33DAA091" w14:textId="77777777" w:rsidR="004D6A64" w:rsidRDefault="004D6A64">
            <w:pPr>
              <w:rPr>
                <w:rFonts w:ascii="宋体"/>
              </w:rPr>
            </w:pPr>
          </w:p>
        </w:tc>
        <w:tc>
          <w:tcPr>
            <w:tcW w:w="0" w:type="auto"/>
            <w:shd w:val="clear" w:color="auto" w:fill="auto"/>
          </w:tcPr>
          <w:p w14:paraId="33DAA092" w14:textId="77777777" w:rsidR="004D6A64" w:rsidRDefault="004D6A64">
            <w:pPr>
              <w:rPr>
                <w:rFonts w:ascii="宋体"/>
              </w:rPr>
            </w:pPr>
          </w:p>
        </w:tc>
        <w:tc>
          <w:tcPr>
            <w:tcW w:w="0" w:type="auto"/>
            <w:shd w:val="clear" w:color="auto" w:fill="auto"/>
          </w:tcPr>
          <w:p w14:paraId="33DAA093" w14:textId="77777777" w:rsidR="004D6A64" w:rsidRDefault="004D6A64">
            <w:pPr>
              <w:rPr>
                <w:rFonts w:ascii="宋体"/>
              </w:rPr>
            </w:pPr>
          </w:p>
        </w:tc>
        <w:tc>
          <w:tcPr>
            <w:tcW w:w="0" w:type="auto"/>
            <w:shd w:val="clear" w:color="auto" w:fill="auto"/>
          </w:tcPr>
          <w:p w14:paraId="33DAA094" w14:textId="77777777" w:rsidR="004D6A64" w:rsidRDefault="004D6A64">
            <w:pPr>
              <w:rPr>
                <w:rFonts w:ascii="宋体"/>
              </w:rPr>
            </w:pPr>
          </w:p>
        </w:tc>
      </w:tr>
    </w:tbl>
    <w:p w14:paraId="33DAA096" w14:textId="77777777" w:rsidR="004D6A64" w:rsidRDefault="004D6A64"/>
    <w:p w14:paraId="33DAA097" w14:textId="77777777" w:rsidR="004D6A64" w:rsidRDefault="004D6A64">
      <w:pPr>
        <w:spacing w:after="60"/>
      </w:pPr>
    </w:p>
    <w:p w14:paraId="33DAA098" w14:textId="77777777" w:rsidR="004D6A64" w:rsidRDefault="00506CD6">
      <w:pPr>
        <w:spacing w:after="60"/>
        <w:jc w:val="center"/>
      </w:pPr>
      <w:r>
        <w:rPr>
          <w:rFonts w:ascii="Times New Roman" w:eastAsia="宋体" w:hAnsi="Times New Roman"/>
          <w:color w:val="000000"/>
          <w:sz w:val="20"/>
          <w:szCs w:val="20"/>
        </w:rPr>
        <w:t>The accompanying notes are an integral part of these Condensed Consolidated Financial Statements.</w:t>
      </w:r>
    </w:p>
    <w:p w14:paraId="33DAA099" w14:textId="77777777" w:rsidR="004D6A64" w:rsidRDefault="004D6A64">
      <w:pPr>
        <w:spacing w:after="60"/>
        <w:jc w:val="center"/>
      </w:pPr>
    </w:p>
    <w:p w14:paraId="33DAA09A" w14:textId="77777777" w:rsidR="004D6A64" w:rsidRDefault="004D6A64">
      <w:pPr>
        <w:jc w:val="center"/>
      </w:pPr>
    </w:p>
    <w:p w14:paraId="33DAA09B" w14:textId="77777777" w:rsidR="004D6A64" w:rsidRDefault="00506CD6">
      <w:pPr>
        <w:jc w:val="center"/>
      </w:pPr>
      <w:r>
        <w:rPr>
          <w:rFonts w:ascii="Times New Roman" w:eastAsia="宋体" w:hAnsi="Times New Roman"/>
          <w:color w:val="000000"/>
          <w:sz w:val="20"/>
          <w:szCs w:val="20"/>
        </w:rPr>
        <w:t>12</w:t>
      </w:r>
    </w:p>
    <w:p w14:paraId="33DAA09C" w14:textId="77777777" w:rsidR="004D6A64" w:rsidRDefault="004D6A64">
      <w:pPr>
        <w:jc w:val="center"/>
      </w:pPr>
    </w:p>
    <w:p w14:paraId="33DAA09D" w14:textId="77777777" w:rsidR="004D6A64" w:rsidRDefault="00506CD6">
      <w:r>
        <w:pict w14:anchorId="33DAFAD0">
          <v:rect id="_x0000_i1036" style="width:415.3pt;height:1.5pt" o:hralign="center" o:hrstd="t" o:hr="t" fillcolor="#a0a0a0" stroked="f"/>
        </w:pict>
      </w:r>
    </w:p>
    <w:p w14:paraId="33DAA09E" w14:textId="77777777" w:rsidR="004D6A64" w:rsidRDefault="00506CD6">
      <w:hyperlink r:id="rId135" w:anchor="if3e0e1bf9ecd4bf69551d7a85f98d64a_10" w:history="1">
        <w:r>
          <w:rPr>
            <w:rStyle w:val="a5"/>
            <w:rFonts w:ascii="Times New Roman" w:eastAsia="宋体" w:hAnsi="Times New Roman"/>
            <w:sz w:val="20"/>
            <w:szCs w:val="20"/>
          </w:rPr>
          <w:t>Table of Contents</w:t>
        </w:r>
      </w:hyperlink>
    </w:p>
    <w:p w14:paraId="33DAA09F"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A0A0"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w:t>
      </w:r>
    </w:p>
    <w:p w14:paraId="33DAA0A1" w14:textId="77777777" w:rsidR="004D6A64" w:rsidRDefault="00506CD6">
      <w:pPr>
        <w:jc w:val="center"/>
      </w:pPr>
      <w:r>
        <w:rPr>
          <w:rFonts w:ascii="Times New Roman" w:eastAsia="宋体" w:hAnsi="Times New Roman"/>
          <w:b/>
          <w:bCs/>
          <w:color w:val="000000"/>
          <w:sz w:val="20"/>
          <w:szCs w:val="20"/>
          <w:shd w:val="clear" w:color="auto" w:fill="FFFFFF"/>
        </w:rPr>
        <w:t>(un</w:t>
      </w:r>
      <w:r>
        <w:rPr>
          <w:rFonts w:ascii="Times New Roman" w:eastAsia="宋体" w:hAnsi="Times New Roman"/>
          <w:b/>
          <w:bCs/>
          <w:color w:val="000000"/>
          <w:sz w:val="20"/>
          <w:szCs w:val="20"/>
          <w:shd w:val="clear" w:color="auto" w:fill="FFFFFF"/>
        </w:rPr>
        <w:t>audited)</w:t>
      </w:r>
    </w:p>
    <w:p w14:paraId="33DAA0A2" w14:textId="77777777" w:rsidR="004D6A64" w:rsidRDefault="004D6A64">
      <w:pPr>
        <w:jc w:val="center"/>
      </w:pPr>
    </w:p>
    <w:p w14:paraId="33DAA0A3" w14:textId="77777777" w:rsidR="004D6A64" w:rsidRDefault="004D6A64"/>
    <w:p w14:paraId="33DAA0A4" w14:textId="77777777" w:rsidR="004D6A64" w:rsidRDefault="004D6A64">
      <w:pPr>
        <w:spacing w:before="240"/>
      </w:pPr>
    </w:p>
    <w:p w14:paraId="33DAA0A5" w14:textId="77777777" w:rsidR="004D6A64" w:rsidRDefault="00506CD6">
      <w:r>
        <w:rPr>
          <w:rFonts w:ascii="Times New Roman" w:eastAsia="宋体" w:hAnsi="Times New Roman"/>
          <w:b/>
          <w:bCs/>
          <w:color w:val="000000"/>
          <w:sz w:val="20"/>
          <w:szCs w:val="20"/>
        </w:rPr>
        <w:t xml:space="preserve">NOTE 1 — BASIS OF PRESENTATION </w:t>
      </w:r>
    </w:p>
    <w:p w14:paraId="33DAA0A6" w14:textId="77777777" w:rsidR="004D6A64" w:rsidRDefault="004D6A64"/>
    <w:p w14:paraId="33DAA0A7" w14:textId="77777777" w:rsidR="004D6A64" w:rsidRDefault="00506CD6">
      <w:r>
        <w:rPr>
          <w:rFonts w:ascii="Times New Roman" w:eastAsia="宋体" w:hAnsi="Times New Roman"/>
          <w:color w:val="000000"/>
          <w:sz w:val="20"/>
          <w:szCs w:val="20"/>
        </w:rPr>
        <w:t xml:space="preserve">References in these Notes to the Condensed Consolidated Financial Statements to the “Company” or “Dell Technologies” mean Dell Technologies Inc. individually and together with its consolidated </w:t>
      </w:r>
      <w:r>
        <w:rPr>
          <w:rFonts w:ascii="Times New Roman" w:eastAsia="宋体" w:hAnsi="Times New Roman"/>
          <w:color w:val="000000"/>
          <w:sz w:val="20"/>
          <w:szCs w:val="20"/>
        </w:rPr>
        <w:t>subsidiaries.</w:t>
      </w:r>
    </w:p>
    <w:p w14:paraId="33DAA0A8" w14:textId="77777777" w:rsidR="004D6A64" w:rsidRDefault="004D6A64"/>
    <w:p w14:paraId="33DAA0A9" w14:textId="77777777" w:rsidR="004D6A64" w:rsidRDefault="00506CD6">
      <w:r>
        <w:rPr>
          <w:rFonts w:ascii="Times New Roman" w:eastAsia="宋体" w:hAnsi="Times New Roman"/>
          <w:i/>
          <w:iCs/>
          <w:color w:val="000000"/>
          <w:sz w:val="20"/>
          <w:szCs w:val="20"/>
        </w:rPr>
        <w:t xml:space="preserve">Basis of Presentation — </w:t>
      </w:r>
      <w:r>
        <w:rPr>
          <w:rFonts w:ascii="Times New Roman" w:eastAsia="宋体" w:hAnsi="Times New Roman"/>
          <w:color w:val="000000"/>
          <w:sz w:val="20"/>
          <w:szCs w:val="20"/>
        </w:rPr>
        <w:t>The accompanying unaudited Condensed Consolidated Financial Statements should be read in conjunction with the audited Consolidated Financial Statements and accompanying Notes filed with the U.S. Securities and Exchang</w:t>
      </w:r>
      <w:r>
        <w:rPr>
          <w:rFonts w:ascii="Times New Roman" w:eastAsia="宋体" w:hAnsi="Times New Roman"/>
          <w:color w:val="000000"/>
          <w:sz w:val="20"/>
          <w:szCs w:val="20"/>
        </w:rPr>
        <w:t>e Commission (“SEC”) in the Company’s Annual Report on Form 10-K for the fiscal year ended January 31, 2020. These Condensed Consolidated Financial Statements have been prepared in accordance with accounting principles generally accepted in the United Stat</w:t>
      </w:r>
      <w:r>
        <w:rPr>
          <w:rFonts w:ascii="Times New Roman" w:eastAsia="宋体" w:hAnsi="Times New Roman"/>
          <w:color w:val="000000"/>
          <w:sz w:val="20"/>
          <w:szCs w:val="20"/>
        </w:rPr>
        <w:t>es of America (“GAAP”). In the opinion of management, the accompanying Condensed Consolidated Financial Statements reflect all adjustments of a normal recurring nature considered necessary to fairly state the financial position of Dell Technologies Inc. as</w:t>
      </w:r>
      <w:r>
        <w:rPr>
          <w:rFonts w:ascii="Times New Roman" w:eastAsia="宋体" w:hAnsi="Times New Roman"/>
          <w:color w:val="000000"/>
          <w:sz w:val="20"/>
          <w:szCs w:val="20"/>
        </w:rPr>
        <w:t xml:space="preserve"> of July 31, 2020 and January 31, 2020, the results of its operations and corresponding comprehensive income (loss) for the three and six months ended July 31, 2020 and August 2, 2019, and its cash flows for the six months ended July 31, 2020 and August 2,</w:t>
      </w:r>
      <w:r>
        <w:rPr>
          <w:rFonts w:ascii="Times New Roman" w:eastAsia="宋体" w:hAnsi="Times New Roman"/>
          <w:color w:val="000000"/>
          <w:sz w:val="20"/>
          <w:szCs w:val="20"/>
        </w:rPr>
        <w:t xml:space="preserve"> 2019.</w:t>
      </w:r>
    </w:p>
    <w:p w14:paraId="33DAA0AA" w14:textId="77777777" w:rsidR="004D6A64" w:rsidRDefault="004D6A64"/>
    <w:p w14:paraId="33DAA0AB" w14:textId="77777777" w:rsidR="004D6A64" w:rsidRDefault="00506CD6">
      <w:r>
        <w:rPr>
          <w:rFonts w:ascii="Times New Roman" w:eastAsia="宋体" w:hAnsi="Times New Roman"/>
          <w:color w:val="000000"/>
          <w:sz w:val="20"/>
          <w:szCs w:val="20"/>
        </w:rPr>
        <w:t>The preparation of financial statements in accordance with GAAP requires management to make estimates and assumptions that affect the amounts reported in the Condensed Consolidated Financial Statements and the accompanying Notes. Management has con</w:t>
      </w:r>
      <w:r>
        <w:rPr>
          <w:rFonts w:ascii="Times New Roman" w:eastAsia="宋体" w:hAnsi="Times New Roman"/>
          <w:color w:val="000000"/>
          <w:sz w:val="20"/>
          <w:szCs w:val="20"/>
        </w:rPr>
        <w:t>sidered the potential economic implications of the outbreak of the coronavirus disease 2019 (“COVID-19”) pandemic on the Company’s critical and significant accounting estimates. Actual results could differ materially from those estimates. The results of op</w:t>
      </w:r>
      <w:r>
        <w:rPr>
          <w:rFonts w:ascii="Times New Roman" w:eastAsia="宋体" w:hAnsi="Times New Roman"/>
          <w:color w:val="000000"/>
          <w:sz w:val="20"/>
          <w:szCs w:val="20"/>
        </w:rPr>
        <w:t>erations and comprehensive income (loss) for the three and six months ended July 31, 2020 and August 2, 2019 and the cash flows for the six months ended July 31, 2020 and August 2, 2019 are not necessarily indicative of the results to be expected for the f</w:t>
      </w:r>
      <w:r>
        <w:rPr>
          <w:rFonts w:ascii="Times New Roman" w:eastAsia="宋体" w:hAnsi="Times New Roman"/>
          <w:color w:val="000000"/>
          <w:sz w:val="20"/>
          <w:szCs w:val="20"/>
        </w:rPr>
        <w:t>ull fiscal year or for any other fiscal period.</w:t>
      </w:r>
    </w:p>
    <w:p w14:paraId="33DAA0AC" w14:textId="77777777" w:rsidR="004D6A64" w:rsidRDefault="004D6A64"/>
    <w:p w14:paraId="33DAA0AD" w14:textId="77777777" w:rsidR="004D6A64" w:rsidRDefault="00506CD6">
      <w:r>
        <w:rPr>
          <w:rFonts w:ascii="Times New Roman" w:eastAsia="宋体" w:hAnsi="Times New Roman"/>
          <w:color w:val="000000"/>
          <w:sz w:val="20"/>
          <w:szCs w:val="20"/>
        </w:rPr>
        <w:t>The Company’s fiscal year is the 52- or 53-week period ending on the Friday nearest January 31. The fiscal year ended January 31, 2020 (“Fiscal 2020”) was a 52-week period, and the fiscal year ending January</w:t>
      </w:r>
      <w:r>
        <w:rPr>
          <w:rFonts w:ascii="Times New Roman" w:eastAsia="宋体" w:hAnsi="Times New Roman"/>
          <w:color w:val="000000"/>
          <w:sz w:val="20"/>
          <w:szCs w:val="20"/>
        </w:rPr>
        <w:t> 29, 2021 (“Fiscal 2021”) will be a 52-week period.</w:t>
      </w:r>
    </w:p>
    <w:p w14:paraId="33DAA0AE" w14:textId="77777777" w:rsidR="004D6A64" w:rsidRDefault="004D6A64"/>
    <w:p w14:paraId="33DAA0AF" w14:textId="77777777" w:rsidR="004D6A64" w:rsidRDefault="00506CD6">
      <w:r>
        <w:rPr>
          <w:rFonts w:ascii="Times New Roman" w:eastAsia="宋体" w:hAnsi="Times New Roman"/>
          <w:i/>
          <w:iCs/>
          <w:color w:val="000000"/>
          <w:sz w:val="20"/>
          <w:szCs w:val="20"/>
        </w:rPr>
        <w:t xml:space="preserve">Principles of Consolidation </w:t>
      </w:r>
      <w:r>
        <w:rPr>
          <w:rFonts w:ascii="Times New Roman" w:eastAsia="宋体" w:hAnsi="Times New Roman"/>
          <w:color w:val="000000"/>
          <w:sz w:val="20"/>
          <w:szCs w:val="20"/>
        </w:rPr>
        <w:t>— These Condensed Consolidated Financial Statements include the accounts of Dell Technologies and its wholly-owned subsidiaries, as well as the accounts of VMware, Inc. and Se</w:t>
      </w:r>
      <w:r>
        <w:rPr>
          <w:rFonts w:ascii="Times New Roman" w:eastAsia="宋体" w:hAnsi="Times New Roman"/>
          <w:color w:val="000000"/>
          <w:sz w:val="20"/>
          <w:szCs w:val="20"/>
        </w:rPr>
        <w:t>cureWorks Corp. (“Secureworks”), each of which is majority-owned by Dell Technologies. All intercompany transactions have been eliminated.</w:t>
      </w:r>
    </w:p>
    <w:p w14:paraId="33DAA0B0" w14:textId="77777777" w:rsidR="004D6A64" w:rsidRDefault="004D6A64"/>
    <w:p w14:paraId="33DAA0B1" w14:textId="77777777" w:rsidR="004D6A64" w:rsidRDefault="00506CD6">
      <w:r>
        <w:rPr>
          <w:rFonts w:ascii="Times New Roman" w:eastAsia="宋体" w:hAnsi="Times New Roman"/>
          <w:color w:val="000000"/>
          <w:sz w:val="20"/>
          <w:szCs w:val="20"/>
        </w:rPr>
        <w:t>Unless the context indicates otherwise, references in these Notes to the Condensed Consolidated Financial Statements</w:t>
      </w:r>
      <w:r>
        <w:rPr>
          <w:rFonts w:ascii="Times New Roman" w:eastAsia="宋体" w:hAnsi="Times New Roman"/>
          <w:color w:val="000000"/>
          <w:sz w:val="20"/>
          <w:szCs w:val="20"/>
        </w:rPr>
        <w:t xml:space="preserve"> to “VMware” mean the VMware reportable segment, which reflects the operations of VMware, Inc. (NYSE: VMW) within Dell Technologies.</w:t>
      </w:r>
    </w:p>
    <w:p w14:paraId="33DAA0B2" w14:textId="77777777" w:rsidR="004D6A64" w:rsidRDefault="004D6A64"/>
    <w:p w14:paraId="33DAA0B3" w14:textId="77777777" w:rsidR="004D6A64" w:rsidRDefault="00506CD6">
      <w:r>
        <w:rPr>
          <w:rFonts w:ascii="Times New Roman" w:eastAsia="宋体" w:hAnsi="Times New Roman"/>
          <w:i/>
          <w:iCs/>
          <w:color w:val="000000"/>
          <w:sz w:val="20"/>
          <w:szCs w:val="20"/>
        </w:rPr>
        <w:t xml:space="preserve">Revenue Reclassification </w:t>
      </w:r>
      <w:r>
        <w:rPr>
          <w:rFonts w:ascii="Times New Roman" w:eastAsia="宋体" w:hAnsi="Times New Roman"/>
          <w:color w:val="000000"/>
          <w:sz w:val="20"/>
          <w:szCs w:val="20"/>
        </w:rPr>
        <w:t>— For the fiscal year ended January 31, 2020, Dell Technologies made certain reclassifications of net revenue between the products and services categories on the Consolidated Statements of Income (Loss), which impacted previously reported amounts for the t</w:t>
      </w:r>
      <w:r>
        <w:rPr>
          <w:rFonts w:ascii="Times New Roman" w:eastAsia="宋体" w:hAnsi="Times New Roman"/>
          <w:color w:val="000000"/>
          <w:sz w:val="20"/>
          <w:szCs w:val="20"/>
        </w:rPr>
        <w:t>hree and six months ended August 2, 2019. The reclassifications were made to provide a more meaningful representation of the nature of certain service and software-as-a-service offerings of VMware, Inc. Prior period results were recast to conform with thes</w:t>
      </w:r>
      <w:r>
        <w:rPr>
          <w:rFonts w:ascii="Times New Roman" w:eastAsia="宋体" w:hAnsi="Times New Roman"/>
          <w:color w:val="000000"/>
          <w:sz w:val="20"/>
          <w:szCs w:val="20"/>
        </w:rPr>
        <w:t>e changes, and resulted in an increase to services revenue and an equal and offsetting decrease to product revenue of $195 million and $374 million for the three and six months ended August 2, 2019, respectively. Total net revenue as previously reported re</w:t>
      </w:r>
      <w:r>
        <w:rPr>
          <w:rFonts w:ascii="Times New Roman" w:eastAsia="宋体" w:hAnsi="Times New Roman"/>
          <w:color w:val="000000"/>
          <w:sz w:val="20"/>
          <w:szCs w:val="20"/>
        </w:rPr>
        <w:t xml:space="preserve">mains unchanged. The Company did not recast cost of goods sold for the related revenue reclassifications due to immateriality. </w:t>
      </w:r>
    </w:p>
    <w:p w14:paraId="33DAA0B4" w14:textId="77777777" w:rsidR="004D6A64" w:rsidRDefault="004D6A64"/>
    <w:p w14:paraId="33DAA0B5" w14:textId="77777777" w:rsidR="004D6A64" w:rsidRDefault="00506CD6">
      <w:r>
        <w:rPr>
          <w:rFonts w:ascii="Times New Roman" w:eastAsia="宋体" w:hAnsi="Times New Roman"/>
          <w:i/>
          <w:iCs/>
          <w:color w:val="000000"/>
          <w:sz w:val="20"/>
          <w:szCs w:val="20"/>
        </w:rPr>
        <w:t>RSA Security Divestiture</w:t>
      </w:r>
      <w:r>
        <w:rPr>
          <w:rFonts w:ascii="Times New Roman" w:eastAsia="宋体" w:hAnsi="Times New Roman"/>
          <w:color w:val="000000"/>
          <w:sz w:val="20"/>
          <w:szCs w:val="20"/>
        </w:rPr>
        <w:t xml:space="preserve"> — On February 18, 2020, Dell Technologies announced its entry into a definitive agreement with a conso</w:t>
      </w:r>
      <w:r>
        <w:rPr>
          <w:rFonts w:ascii="Times New Roman" w:eastAsia="宋体" w:hAnsi="Times New Roman"/>
          <w:color w:val="000000"/>
          <w:sz w:val="20"/>
          <w:szCs w:val="20"/>
        </w:rPr>
        <w:t>rtium led by Symphony Technology Group, Ontario Teachers’ Pension Plan Board and AlpInvest Partners to sell RSA Security. The transaction includes the purchase of RSA Archer, RSA NetWitness Platform, RSA SecurID, RSA Fraud and Risk Intelligence, and RSA Co</w:t>
      </w:r>
      <w:r>
        <w:rPr>
          <w:rFonts w:ascii="Times New Roman" w:eastAsia="宋体" w:hAnsi="Times New Roman"/>
          <w:color w:val="000000"/>
          <w:sz w:val="20"/>
          <w:szCs w:val="20"/>
        </w:rPr>
        <w:t xml:space="preserve">nference and is intended to further simplify Dell Technologies’ product portfolio and corporate structure. </w:t>
      </w:r>
    </w:p>
    <w:p w14:paraId="33DAA0B6" w14:textId="77777777" w:rsidR="004D6A64" w:rsidRDefault="004D6A64"/>
    <w:p w14:paraId="33DAA0B7" w14:textId="77777777" w:rsidR="004D6A64" w:rsidRDefault="00506CD6">
      <w:r>
        <w:rPr>
          <w:rFonts w:ascii="Times New Roman" w:eastAsia="宋体" w:hAnsi="Times New Roman"/>
          <w:color w:val="000000"/>
          <w:sz w:val="20"/>
          <w:szCs w:val="20"/>
        </w:rPr>
        <w:t>On September 1, 2020, subsequent to the Company's second quarter of Fiscal 2021, the parties closed the transaction. Total cash consideration recei</w:t>
      </w:r>
      <w:r>
        <w:rPr>
          <w:rFonts w:ascii="Times New Roman" w:eastAsia="宋体" w:hAnsi="Times New Roman"/>
          <w:color w:val="000000"/>
          <w:sz w:val="20"/>
          <w:szCs w:val="20"/>
        </w:rPr>
        <w:t>ved by the Company through the date of this report was approximately $2.082 billion.</w:t>
      </w:r>
    </w:p>
    <w:p w14:paraId="33DAA0B8" w14:textId="77777777" w:rsidR="004D6A64" w:rsidRDefault="004D6A64"/>
    <w:p w14:paraId="33DAA0B9" w14:textId="77777777" w:rsidR="004D6A64" w:rsidRDefault="004D6A64">
      <w:pPr>
        <w:jc w:val="center"/>
      </w:pPr>
    </w:p>
    <w:p w14:paraId="33DAA0BA" w14:textId="77777777" w:rsidR="004D6A64" w:rsidRDefault="00506CD6">
      <w:pPr>
        <w:jc w:val="center"/>
      </w:pPr>
      <w:r>
        <w:rPr>
          <w:rFonts w:ascii="Times New Roman" w:eastAsia="宋体" w:hAnsi="Times New Roman"/>
          <w:color w:val="000000"/>
          <w:sz w:val="20"/>
          <w:szCs w:val="20"/>
        </w:rPr>
        <w:t>13</w:t>
      </w:r>
    </w:p>
    <w:p w14:paraId="33DAA0BB" w14:textId="77777777" w:rsidR="004D6A64" w:rsidRDefault="004D6A64">
      <w:pPr>
        <w:jc w:val="center"/>
      </w:pPr>
    </w:p>
    <w:p w14:paraId="33DAA0BC" w14:textId="77777777" w:rsidR="004D6A64" w:rsidRDefault="00506CD6">
      <w:r>
        <w:pict w14:anchorId="33DAFAD1">
          <v:rect id="_x0000_i1037" style="width:415.3pt;height:1.5pt" o:hralign="center" o:hrstd="t" o:hr="t" fillcolor="#a0a0a0" stroked="f"/>
        </w:pict>
      </w:r>
    </w:p>
    <w:p w14:paraId="33DAA0BD" w14:textId="77777777" w:rsidR="004D6A64" w:rsidRDefault="00506CD6">
      <w:hyperlink r:id="rId136" w:anchor="if3e0e1bf9ecd4bf69551d7a85f98d64a_10" w:history="1">
        <w:r>
          <w:rPr>
            <w:rStyle w:val="a5"/>
            <w:rFonts w:ascii="Times New Roman" w:eastAsia="宋体" w:hAnsi="Times New Roman"/>
            <w:sz w:val="20"/>
            <w:szCs w:val="20"/>
          </w:rPr>
          <w:t>Table of Con</w:t>
        </w:r>
        <w:r>
          <w:rPr>
            <w:rStyle w:val="a5"/>
            <w:rFonts w:ascii="Times New Roman" w:eastAsia="宋体" w:hAnsi="Times New Roman"/>
            <w:sz w:val="20"/>
            <w:szCs w:val="20"/>
          </w:rPr>
          <w:t>tents</w:t>
        </w:r>
      </w:hyperlink>
    </w:p>
    <w:p w14:paraId="33DAA0BE"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A0BF"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33DAA0C0"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A0C1" w14:textId="77777777" w:rsidR="004D6A64" w:rsidRDefault="004D6A64">
      <w:pPr>
        <w:jc w:val="center"/>
      </w:pPr>
    </w:p>
    <w:p w14:paraId="33DAA0C2" w14:textId="77777777" w:rsidR="004D6A64" w:rsidRDefault="00506CD6">
      <w:r>
        <w:rPr>
          <w:rFonts w:ascii="Times New Roman" w:eastAsia="宋体" w:hAnsi="Times New Roman"/>
          <w:color w:val="000000"/>
          <w:sz w:val="20"/>
          <w:szCs w:val="20"/>
        </w:rPr>
        <w:t xml:space="preserve">In accordance with applicable accounting guidance, the Company concluded that RSA Security’s long-lived assets have met the criteria to be </w:t>
      </w:r>
      <w:r>
        <w:rPr>
          <w:rFonts w:ascii="Times New Roman" w:eastAsia="宋体" w:hAnsi="Times New Roman"/>
          <w:color w:val="000000"/>
          <w:sz w:val="20"/>
          <w:szCs w:val="20"/>
        </w:rPr>
        <w:t>classified as held-for-sale as of July 31, 2020. The Company reclassified the related assets and liabilities as “Current assets held for sale” and “Current liabilities held for sale” on the accompanying Condensed Consolidated Statements of Financial Positi</w:t>
      </w:r>
      <w:r>
        <w:rPr>
          <w:rFonts w:ascii="Times New Roman" w:eastAsia="宋体" w:hAnsi="Times New Roman"/>
          <w:color w:val="000000"/>
          <w:sz w:val="20"/>
          <w:szCs w:val="20"/>
        </w:rPr>
        <w:t>on as of July 31, 2020.</w:t>
      </w:r>
    </w:p>
    <w:p w14:paraId="33DAA0C3" w14:textId="77777777" w:rsidR="004D6A64" w:rsidRDefault="004D6A64"/>
    <w:p w14:paraId="33DAA0C4" w14:textId="77777777" w:rsidR="004D6A64" w:rsidRDefault="00506CD6">
      <w:r>
        <w:rPr>
          <w:rFonts w:ascii="Times New Roman" w:eastAsia="宋体" w:hAnsi="Times New Roman"/>
          <w:color w:val="000000"/>
          <w:sz w:val="20"/>
          <w:szCs w:val="20"/>
        </w:rPr>
        <w:t>The following table presents the major classes of assets and liabilities as of July 31, 2020 related to RSA Security which were classified as held for sale as of the date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6499"/>
        <w:gridCol w:w="37"/>
        <w:gridCol w:w="136"/>
        <w:gridCol w:w="1471"/>
        <w:gridCol w:w="42"/>
        <w:gridCol w:w="36"/>
        <w:gridCol w:w="36"/>
        <w:gridCol w:w="36"/>
      </w:tblGrid>
      <w:tr w:rsidR="004D6A64" w14:paraId="33DAA0CB" w14:textId="77777777">
        <w:trPr>
          <w:gridAfter w:val="3"/>
          <w:jc w:val="center"/>
        </w:trPr>
        <w:tc>
          <w:tcPr>
            <w:tcW w:w="50" w:type="pct"/>
            <w:shd w:val="clear" w:color="auto" w:fill="auto"/>
          </w:tcPr>
          <w:p w14:paraId="33DAA0C5" w14:textId="77777777" w:rsidR="004D6A64" w:rsidRDefault="004D6A64">
            <w:pPr>
              <w:rPr>
                <w:rFonts w:ascii="宋体"/>
              </w:rPr>
            </w:pPr>
          </w:p>
        </w:tc>
        <w:tc>
          <w:tcPr>
            <w:tcW w:w="3972" w:type="pct"/>
            <w:shd w:val="clear" w:color="auto" w:fill="auto"/>
          </w:tcPr>
          <w:p w14:paraId="33DAA0C6" w14:textId="77777777" w:rsidR="004D6A64" w:rsidRDefault="004D6A64">
            <w:pPr>
              <w:rPr>
                <w:rFonts w:ascii="宋体"/>
              </w:rPr>
            </w:pPr>
          </w:p>
        </w:tc>
        <w:tc>
          <w:tcPr>
            <w:tcW w:w="5" w:type="pct"/>
            <w:shd w:val="clear" w:color="auto" w:fill="auto"/>
          </w:tcPr>
          <w:p w14:paraId="33DAA0C7" w14:textId="77777777" w:rsidR="004D6A64" w:rsidRDefault="004D6A64">
            <w:pPr>
              <w:rPr>
                <w:rFonts w:ascii="宋体"/>
              </w:rPr>
            </w:pPr>
          </w:p>
        </w:tc>
        <w:tc>
          <w:tcPr>
            <w:tcW w:w="50" w:type="pct"/>
            <w:shd w:val="clear" w:color="auto" w:fill="auto"/>
          </w:tcPr>
          <w:p w14:paraId="33DAA0C8" w14:textId="77777777" w:rsidR="004D6A64" w:rsidRDefault="004D6A64">
            <w:pPr>
              <w:rPr>
                <w:rFonts w:ascii="宋体"/>
              </w:rPr>
            </w:pPr>
          </w:p>
        </w:tc>
        <w:tc>
          <w:tcPr>
            <w:tcW w:w="917" w:type="pct"/>
            <w:shd w:val="clear" w:color="auto" w:fill="auto"/>
          </w:tcPr>
          <w:p w14:paraId="33DAA0C9" w14:textId="77777777" w:rsidR="004D6A64" w:rsidRDefault="004D6A64">
            <w:pPr>
              <w:rPr>
                <w:rFonts w:ascii="宋体"/>
              </w:rPr>
            </w:pPr>
          </w:p>
        </w:tc>
        <w:tc>
          <w:tcPr>
            <w:tcW w:w="5" w:type="pct"/>
            <w:shd w:val="clear" w:color="auto" w:fill="auto"/>
          </w:tcPr>
          <w:p w14:paraId="33DAA0CA" w14:textId="77777777" w:rsidR="004D6A64" w:rsidRDefault="004D6A64">
            <w:pPr>
              <w:rPr>
                <w:rFonts w:ascii="宋体"/>
              </w:rPr>
            </w:pPr>
          </w:p>
        </w:tc>
      </w:tr>
      <w:tr w:rsidR="004D6A64" w14:paraId="33DAA0CE" w14:textId="77777777">
        <w:trPr>
          <w:gridAfter w:val="3"/>
          <w:jc w:val="center"/>
        </w:trPr>
        <w:tc>
          <w:tcPr>
            <w:tcW w:w="0" w:type="auto"/>
            <w:gridSpan w:val="3"/>
            <w:shd w:val="clear" w:color="auto" w:fill="auto"/>
            <w:tcMar>
              <w:left w:w="20" w:type="dxa"/>
              <w:right w:w="20" w:type="dxa"/>
            </w:tcMar>
            <w:vAlign w:val="bottom"/>
          </w:tcPr>
          <w:p w14:paraId="33DAA0CC"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center"/>
          </w:tcPr>
          <w:p w14:paraId="33DAA0CD" w14:textId="77777777" w:rsidR="004D6A64" w:rsidRDefault="00506CD6">
            <w:pPr>
              <w:jc w:val="center"/>
              <w:textAlignment w:val="center"/>
            </w:pPr>
            <w:r>
              <w:rPr>
                <w:rFonts w:ascii="Times New Roman" w:eastAsia="宋体" w:hAnsi="Times New Roman"/>
                <w:b/>
                <w:bCs/>
                <w:color w:val="000000"/>
                <w:sz w:val="20"/>
                <w:szCs w:val="20"/>
              </w:rPr>
              <w:t>July 31, 2020</w:t>
            </w:r>
          </w:p>
        </w:tc>
      </w:tr>
      <w:tr w:rsidR="004D6A64" w14:paraId="33DAA0D1" w14:textId="77777777">
        <w:trPr>
          <w:gridAfter w:val="3"/>
          <w:jc w:val="center"/>
        </w:trPr>
        <w:tc>
          <w:tcPr>
            <w:tcW w:w="0" w:type="auto"/>
            <w:gridSpan w:val="3"/>
            <w:shd w:val="clear" w:color="auto" w:fill="auto"/>
            <w:tcMar>
              <w:left w:w="20" w:type="dxa"/>
              <w:right w:w="20" w:type="dxa"/>
            </w:tcMar>
            <w:vAlign w:val="bottom"/>
          </w:tcPr>
          <w:p w14:paraId="33DAA0CF"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3DAA0D0" w14:textId="77777777" w:rsidR="004D6A64" w:rsidRDefault="00506CD6">
            <w:pPr>
              <w:jc w:val="center"/>
              <w:textAlignment w:val="center"/>
            </w:pPr>
            <w:r>
              <w:rPr>
                <w:rFonts w:ascii="Times New Roman" w:eastAsia="宋体" w:hAnsi="Times New Roman"/>
                <w:color w:val="000000"/>
                <w:sz w:val="20"/>
                <w:szCs w:val="20"/>
              </w:rPr>
              <w:t>(in millions)</w:t>
            </w:r>
          </w:p>
        </w:tc>
      </w:tr>
      <w:tr w:rsidR="004D6A64" w14:paraId="33DAA0D4" w14:textId="77777777">
        <w:trPr>
          <w:jc w:val="center"/>
        </w:trPr>
        <w:tc>
          <w:tcPr>
            <w:tcW w:w="0" w:type="auto"/>
            <w:gridSpan w:val="6"/>
            <w:shd w:val="clear" w:color="auto" w:fill="auto"/>
            <w:tcMar>
              <w:top w:w="40" w:type="dxa"/>
              <w:left w:w="20" w:type="dxa"/>
              <w:bottom w:w="40" w:type="dxa"/>
              <w:right w:w="20" w:type="dxa"/>
            </w:tcMar>
            <w:vAlign w:val="center"/>
          </w:tcPr>
          <w:p w14:paraId="33DAA0D2" w14:textId="77777777" w:rsidR="004D6A64" w:rsidRDefault="00506CD6">
            <w:pPr>
              <w:jc w:val="center"/>
              <w:textAlignment w:val="center"/>
            </w:pPr>
            <w:r>
              <w:rPr>
                <w:rFonts w:ascii="Times New Roman" w:eastAsia="宋体" w:hAnsi="Times New Roman"/>
                <w:b/>
                <w:bCs/>
                <w:color w:val="000000"/>
                <w:sz w:val="20"/>
                <w:szCs w:val="20"/>
              </w:rPr>
              <w:t>ASSETS</w:t>
            </w:r>
          </w:p>
        </w:tc>
        <w:tc>
          <w:tcPr>
            <w:tcW w:w="0" w:type="auto"/>
            <w:gridSpan w:val="3"/>
            <w:shd w:val="clear" w:color="auto" w:fill="auto"/>
          </w:tcPr>
          <w:p w14:paraId="33DAA0D3" w14:textId="77777777" w:rsidR="004D6A64" w:rsidRDefault="004D6A64">
            <w:pPr>
              <w:rPr>
                <w:rFonts w:ascii="宋体"/>
                <w:vanish/>
              </w:rPr>
            </w:pPr>
          </w:p>
        </w:tc>
      </w:tr>
      <w:tr w:rsidR="004D6A64" w14:paraId="33DAA0DA" w14:textId="77777777">
        <w:trPr>
          <w:jc w:val="center"/>
        </w:trPr>
        <w:tc>
          <w:tcPr>
            <w:tcW w:w="0" w:type="auto"/>
            <w:gridSpan w:val="3"/>
            <w:shd w:val="clear" w:color="auto" w:fill="CCEEFF"/>
            <w:tcMar>
              <w:top w:w="40" w:type="dxa"/>
              <w:left w:w="20" w:type="dxa"/>
              <w:bottom w:w="40" w:type="dxa"/>
              <w:right w:w="20" w:type="dxa"/>
            </w:tcMar>
            <w:vAlign w:val="center"/>
          </w:tcPr>
          <w:p w14:paraId="33DAA0D5" w14:textId="77777777" w:rsidR="004D6A64" w:rsidRDefault="00506CD6">
            <w:pPr>
              <w:textAlignment w:val="center"/>
            </w:pPr>
            <w:r>
              <w:rPr>
                <w:rFonts w:ascii="Times New Roman" w:eastAsia="宋体" w:hAnsi="Times New Roman"/>
                <w:color w:val="000000"/>
                <w:sz w:val="20"/>
                <w:szCs w:val="20"/>
              </w:rPr>
              <w:t>Current assets:</w:t>
            </w:r>
          </w:p>
        </w:tc>
        <w:tc>
          <w:tcPr>
            <w:tcW w:w="0" w:type="auto"/>
            <w:gridSpan w:val="3"/>
            <w:shd w:val="clear" w:color="auto" w:fill="CCEEFF"/>
            <w:tcMar>
              <w:left w:w="20" w:type="dxa"/>
              <w:right w:w="20" w:type="dxa"/>
            </w:tcMar>
            <w:vAlign w:val="bottom"/>
          </w:tcPr>
          <w:p w14:paraId="33DAA0D6" w14:textId="77777777" w:rsidR="004D6A64" w:rsidRDefault="004D6A64">
            <w:pPr>
              <w:rPr>
                <w:rFonts w:ascii="宋体"/>
              </w:rPr>
            </w:pPr>
          </w:p>
        </w:tc>
        <w:tc>
          <w:tcPr>
            <w:tcW w:w="0" w:type="auto"/>
            <w:shd w:val="clear" w:color="auto" w:fill="auto"/>
          </w:tcPr>
          <w:p w14:paraId="33DAA0D7" w14:textId="77777777" w:rsidR="004D6A64" w:rsidRDefault="004D6A64">
            <w:pPr>
              <w:rPr>
                <w:rFonts w:ascii="宋体"/>
              </w:rPr>
            </w:pPr>
          </w:p>
        </w:tc>
        <w:tc>
          <w:tcPr>
            <w:tcW w:w="0" w:type="auto"/>
            <w:shd w:val="clear" w:color="auto" w:fill="auto"/>
          </w:tcPr>
          <w:p w14:paraId="33DAA0D8" w14:textId="77777777" w:rsidR="004D6A64" w:rsidRDefault="004D6A64">
            <w:pPr>
              <w:rPr>
                <w:rFonts w:ascii="宋体"/>
              </w:rPr>
            </w:pPr>
          </w:p>
        </w:tc>
        <w:tc>
          <w:tcPr>
            <w:tcW w:w="0" w:type="auto"/>
            <w:shd w:val="clear" w:color="auto" w:fill="auto"/>
          </w:tcPr>
          <w:p w14:paraId="33DAA0D9" w14:textId="77777777" w:rsidR="004D6A64" w:rsidRDefault="004D6A64">
            <w:pPr>
              <w:rPr>
                <w:rFonts w:ascii="宋体"/>
              </w:rPr>
            </w:pPr>
          </w:p>
        </w:tc>
      </w:tr>
      <w:tr w:rsidR="004D6A64" w14:paraId="33DAA0E2" w14:textId="77777777">
        <w:trPr>
          <w:jc w:val="center"/>
        </w:trPr>
        <w:tc>
          <w:tcPr>
            <w:tcW w:w="0" w:type="auto"/>
            <w:gridSpan w:val="3"/>
            <w:shd w:val="clear" w:color="auto" w:fill="FFFFFF"/>
            <w:tcMar>
              <w:top w:w="40" w:type="dxa"/>
              <w:left w:w="135" w:type="dxa"/>
              <w:bottom w:w="40" w:type="dxa"/>
              <w:right w:w="20" w:type="dxa"/>
            </w:tcMar>
            <w:vAlign w:val="center"/>
          </w:tcPr>
          <w:p w14:paraId="33DAA0DB" w14:textId="77777777" w:rsidR="004D6A64" w:rsidRDefault="00506CD6">
            <w:pPr>
              <w:textAlignment w:val="center"/>
            </w:pPr>
            <w:r>
              <w:rPr>
                <w:rFonts w:ascii="Times New Roman" w:eastAsia="宋体" w:hAnsi="Times New Roman"/>
                <w:color w:val="000000"/>
                <w:sz w:val="20"/>
                <w:szCs w:val="20"/>
              </w:rPr>
              <w:t>Accounts receivable, net</w:t>
            </w:r>
          </w:p>
        </w:tc>
        <w:tc>
          <w:tcPr>
            <w:tcW w:w="0" w:type="auto"/>
            <w:shd w:val="clear" w:color="auto" w:fill="FFFFFF"/>
            <w:tcMar>
              <w:top w:w="40" w:type="dxa"/>
              <w:left w:w="20" w:type="dxa"/>
              <w:bottom w:w="40" w:type="dxa"/>
            </w:tcMar>
            <w:vAlign w:val="center"/>
          </w:tcPr>
          <w:p w14:paraId="33DAA0DC"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0DD" w14:textId="77777777" w:rsidR="004D6A64" w:rsidRDefault="00506CD6">
            <w:pPr>
              <w:jc w:val="right"/>
              <w:textAlignment w:val="center"/>
            </w:pPr>
            <w:r>
              <w:rPr>
                <w:rFonts w:ascii="Times New Roman" w:eastAsia="宋体" w:hAnsi="Times New Roman"/>
                <w:color w:val="000000"/>
                <w:sz w:val="20"/>
                <w:szCs w:val="20"/>
              </w:rPr>
              <w:t>146 </w:t>
            </w:r>
          </w:p>
        </w:tc>
        <w:tc>
          <w:tcPr>
            <w:tcW w:w="0" w:type="auto"/>
            <w:shd w:val="clear" w:color="auto" w:fill="FFFFFF"/>
            <w:tcMar>
              <w:top w:w="40" w:type="dxa"/>
              <w:bottom w:w="40" w:type="dxa"/>
              <w:right w:w="20" w:type="dxa"/>
            </w:tcMar>
            <w:vAlign w:val="center"/>
          </w:tcPr>
          <w:p w14:paraId="33DAA0DE" w14:textId="77777777" w:rsidR="004D6A64" w:rsidRDefault="004D6A64">
            <w:pPr>
              <w:jc w:val="right"/>
              <w:rPr>
                <w:rFonts w:ascii="宋体"/>
              </w:rPr>
            </w:pPr>
          </w:p>
        </w:tc>
        <w:tc>
          <w:tcPr>
            <w:tcW w:w="0" w:type="auto"/>
            <w:shd w:val="clear" w:color="auto" w:fill="auto"/>
          </w:tcPr>
          <w:p w14:paraId="33DAA0DF" w14:textId="77777777" w:rsidR="004D6A64" w:rsidRDefault="004D6A64">
            <w:pPr>
              <w:rPr>
                <w:rFonts w:ascii="宋体"/>
              </w:rPr>
            </w:pPr>
          </w:p>
        </w:tc>
        <w:tc>
          <w:tcPr>
            <w:tcW w:w="0" w:type="auto"/>
            <w:shd w:val="clear" w:color="auto" w:fill="auto"/>
          </w:tcPr>
          <w:p w14:paraId="33DAA0E0" w14:textId="77777777" w:rsidR="004D6A64" w:rsidRDefault="004D6A64">
            <w:pPr>
              <w:rPr>
                <w:rFonts w:ascii="宋体"/>
              </w:rPr>
            </w:pPr>
          </w:p>
        </w:tc>
        <w:tc>
          <w:tcPr>
            <w:tcW w:w="0" w:type="auto"/>
            <w:shd w:val="clear" w:color="auto" w:fill="auto"/>
          </w:tcPr>
          <w:p w14:paraId="33DAA0E1" w14:textId="77777777" w:rsidR="004D6A64" w:rsidRDefault="004D6A64">
            <w:pPr>
              <w:rPr>
                <w:rFonts w:ascii="宋体"/>
              </w:rPr>
            </w:pPr>
          </w:p>
        </w:tc>
      </w:tr>
      <w:tr w:rsidR="004D6A64" w14:paraId="33DAA0E9" w14:textId="77777777">
        <w:trPr>
          <w:jc w:val="center"/>
        </w:trPr>
        <w:tc>
          <w:tcPr>
            <w:tcW w:w="0" w:type="auto"/>
            <w:gridSpan w:val="3"/>
            <w:shd w:val="clear" w:color="auto" w:fill="CCEEFF"/>
            <w:tcMar>
              <w:top w:w="40" w:type="dxa"/>
              <w:left w:w="135" w:type="dxa"/>
              <w:bottom w:w="40" w:type="dxa"/>
              <w:right w:w="20" w:type="dxa"/>
            </w:tcMar>
            <w:vAlign w:val="center"/>
          </w:tcPr>
          <w:p w14:paraId="33DAA0E3" w14:textId="77777777" w:rsidR="004D6A64" w:rsidRDefault="00506CD6">
            <w:pPr>
              <w:textAlignment w:val="center"/>
            </w:pPr>
            <w:r>
              <w:rPr>
                <w:rFonts w:ascii="Times New Roman" w:eastAsia="宋体" w:hAnsi="Times New Roman"/>
                <w:color w:val="000000"/>
                <w:sz w:val="20"/>
                <w:szCs w:val="20"/>
              </w:rPr>
              <w:t>Other current assets</w:t>
            </w:r>
          </w:p>
        </w:tc>
        <w:tc>
          <w:tcPr>
            <w:tcW w:w="0" w:type="auto"/>
            <w:gridSpan w:val="2"/>
            <w:shd w:val="clear" w:color="auto" w:fill="CCEEFF"/>
            <w:tcMar>
              <w:top w:w="40" w:type="dxa"/>
              <w:left w:w="20" w:type="dxa"/>
              <w:bottom w:w="40" w:type="dxa"/>
              <w:right w:w="0" w:type="dxa"/>
            </w:tcMar>
            <w:vAlign w:val="center"/>
          </w:tcPr>
          <w:p w14:paraId="33DAA0E4" w14:textId="77777777" w:rsidR="004D6A64" w:rsidRDefault="00506CD6">
            <w:pPr>
              <w:jc w:val="right"/>
              <w:textAlignment w:val="center"/>
            </w:pPr>
            <w:r>
              <w:rPr>
                <w:rFonts w:ascii="Times New Roman" w:eastAsia="宋体" w:hAnsi="Times New Roman"/>
                <w:color w:val="000000"/>
                <w:sz w:val="20"/>
                <w:szCs w:val="20"/>
              </w:rPr>
              <w:t>30 </w:t>
            </w:r>
          </w:p>
        </w:tc>
        <w:tc>
          <w:tcPr>
            <w:tcW w:w="0" w:type="auto"/>
            <w:shd w:val="clear" w:color="auto" w:fill="CCEEFF"/>
            <w:tcMar>
              <w:top w:w="40" w:type="dxa"/>
              <w:bottom w:w="40" w:type="dxa"/>
              <w:right w:w="20" w:type="dxa"/>
            </w:tcMar>
            <w:vAlign w:val="center"/>
          </w:tcPr>
          <w:p w14:paraId="33DAA0E5" w14:textId="77777777" w:rsidR="004D6A64" w:rsidRDefault="004D6A64">
            <w:pPr>
              <w:jc w:val="right"/>
              <w:rPr>
                <w:rFonts w:ascii="宋体"/>
              </w:rPr>
            </w:pPr>
          </w:p>
        </w:tc>
        <w:tc>
          <w:tcPr>
            <w:tcW w:w="0" w:type="auto"/>
            <w:shd w:val="clear" w:color="auto" w:fill="auto"/>
          </w:tcPr>
          <w:p w14:paraId="33DAA0E6" w14:textId="77777777" w:rsidR="004D6A64" w:rsidRDefault="004D6A64">
            <w:pPr>
              <w:rPr>
                <w:rFonts w:ascii="宋体"/>
              </w:rPr>
            </w:pPr>
          </w:p>
        </w:tc>
        <w:tc>
          <w:tcPr>
            <w:tcW w:w="0" w:type="auto"/>
            <w:shd w:val="clear" w:color="auto" w:fill="auto"/>
          </w:tcPr>
          <w:p w14:paraId="33DAA0E7" w14:textId="77777777" w:rsidR="004D6A64" w:rsidRDefault="004D6A64">
            <w:pPr>
              <w:rPr>
                <w:rFonts w:ascii="宋体"/>
              </w:rPr>
            </w:pPr>
          </w:p>
        </w:tc>
        <w:tc>
          <w:tcPr>
            <w:tcW w:w="0" w:type="auto"/>
            <w:shd w:val="clear" w:color="auto" w:fill="auto"/>
          </w:tcPr>
          <w:p w14:paraId="33DAA0E8" w14:textId="77777777" w:rsidR="004D6A64" w:rsidRDefault="004D6A64">
            <w:pPr>
              <w:rPr>
                <w:rFonts w:ascii="宋体"/>
              </w:rPr>
            </w:pPr>
          </w:p>
        </w:tc>
      </w:tr>
      <w:tr w:rsidR="004D6A64" w14:paraId="33DAA0F0" w14:textId="77777777">
        <w:trPr>
          <w:jc w:val="center"/>
        </w:trPr>
        <w:tc>
          <w:tcPr>
            <w:tcW w:w="0" w:type="auto"/>
            <w:gridSpan w:val="3"/>
            <w:shd w:val="clear" w:color="auto" w:fill="FFFFFF"/>
            <w:tcMar>
              <w:top w:w="40" w:type="dxa"/>
              <w:left w:w="225" w:type="dxa"/>
              <w:bottom w:w="40" w:type="dxa"/>
              <w:right w:w="20" w:type="dxa"/>
            </w:tcMar>
            <w:vAlign w:val="center"/>
          </w:tcPr>
          <w:p w14:paraId="33DAA0EA" w14:textId="77777777" w:rsidR="004D6A64" w:rsidRDefault="00506CD6">
            <w:pPr>
              <w:textAlignment w:val="center"/>
            </w:pPr>
            <w:r>
              <w:rPr>
                <w:rFonts w:ascii="Times New Roman" w:eastAsia="宋体" w:hAnsi="Times New Roman"/>
                <w:color w:val="000000"/>
                <w:sz w:val="20"/>
                <w:szCs w:val="20"/>
              </w:rPr>
              <w:t>Total current assets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A0EB" w14:textId="77777777" w:rsidR="004D6A64" w:rsidRDefault="00506CD6">
            <w:pPr>
              <w:jc w:val="right"/>
              <w:textAlignment w:val="center"/>
            </w:pPr>
            <w:r>
              <w:rPr>
                <w:rFonts w:ascii="Times New Roman" w:eastAsia="宋体" w:hAnsi="Times New Roman"/>
                <w:color w:val="000000"/>
                <w:sz w:val="20"/>
                <w:szCs w:val="20"/>
              </w:rPr>
              <w:t>176 </w:t>
            </w:r>
          </w:p>
        </w:tc>
        <w:tc>
          <w:tcPr>
            <w:tcW w:w="0" w:type="auto"/>
            <w:tcBorders>
              <w:top w:val="single" w:sz="8" w:space="0" w:color="000000"/>
            </w:tcBorders>
            <w:shd w:val="clear" w:color="auto" w:fill="FFFFFF"/>
            <w:tcMar>
              <w:top w:w="40" w:type="dxa"/>
              <w:bottom w:w="40" w:type="dxa"/>
              <w:right w:w="20" w:type="dxa"/>
            </w:tcMar>
            <w:vAlign w:val="center"/>
          </w:tcPr>
          <w:p w14:paraId="33DAA0EC" w14:textId="77777777" w:rsidR="004D6A64" w:rsidRDefault="004D6A64">
            <w:pPr>
              <w:jc w:val="right"/>
              <w:rPr>
                <w:rFonts w:ascii="宋体"/>
              </w:rPr>
            </w:pPr>
          </w:p>
        </w:tc>
        <w:tc>
          <w:tcPr>
            <w:tcW w:w="0" w:type="auto"/>
            <w:shd w:val="clear" w:color="auto" w:fill="auto"/>
          </w:tcPr>
          <w:p w14:paraId="33DAA0ED" w14:textId="77777777" w:rsidR="004D6A64" w:rsidRDefault="004D6A64">
            <w:pPr>
              <w:rPr>
                <w:rFonts w:ascii="宋体"/>
              </w:rPr>
            </w:pPr>
          </w:p>
        </w:tc>
        <w:tc>
          <w:tcPr>
            <w:tcW w:w="0" w:type="auto"/>
            <w:shd w:val="clear" w:color="auto" w:fill="auto"/>
          </w:tcPr>
          <w:p w14:paraId="33DAA0EE" w14:textId="77777777" w:rsidR="004D6A64" w:rsidRDefault="004D6A64">
            <w:pPr>
              <w:rPr>
                <w:rFonts w:ascii="宋体"/>
              </w:rPr>
            </w:pPr>
          </w:p>
        </w:tc>
        <w:tc>
          <w:tcPr>
            <w:tcW w:w="0" w:type="auto"/>
            <w:shd w:val="clear" w:color="auto" w:fill="auto"/>
          </w:tcPr>
          <w:p w14:paraId="33DAA0EF" w14:textId="77777777" w:rsidR="004D6A64" w:rsidRDefault="004D6A64">
            <w:pPr>
              <w:rPr>
                <w:rFonts w:ascii="宋体"/>
              </w:rPr>
            </w:pPr>
          </w:p>
        </w:tc>
      </w:tr>
      <w:tr w:rsidR="004D6A64" w14:paraId="33DAA0F7" w14:textId="77777777">
        <w:trPr>
          <w:jc w:val="center"/>
        </w:trPr>
        <w:tc>
          <w:tcPr>
            <w:tcW w:w="0" w:type="auto"/>
            <w:gridSpan w:val="3"/>
            <w:shd w:val="clear" w:color="auto" w:fill="CCEEFF"/>
            <w:tcMar>
              <w:top w:w="40" w:type="dxa"/>
              <w:left w:w="20" w:type="dxa"/>
              <w:bottom w:w="40" w:type="dxa"/>
              <w:right w:w="20" w:type="dxa"/>
            </w:tcMar>
            <w:vAlign w:val="center"/>
          </w:tcPr>
          <w:p w14:paraId="33DAA0F1" w14:textId="77777777" w:rsidR="004D6A64" w:rsidRDefault="00506CD6">
            <w:pPr>
              <w:textAlignment w:val="center"/>
            </w:pPr>
            <w:r>
              <w:rPr>
                <w:rFonts w:ascii="Times New Roman" w:eastAsia="宋体" w:hAnsi="Times New Roman"/>
                <w:color w:val="000000"/>
                <w:sz w:val="20"/>
                <w:szCs w:val="20"/>
              </w:rPr>
              <w:t>Goodwill</w:t>
            </w:r>
          </w:p>
        </w:tc>
        <w:tc>
          <w:tcPr>
            <w:tcW w:w="0" w:type="auto"/>
            <w:gridSpan w:val="2"/>
            <w:shd w:val="clear" w:color="auto" w:fill="CCEEFF"/>
            <w:tcMar>
              <w:top w:w="40" w:type="dxa"/>
              <w:left w:w="20" w:type="dxa"/>
              <w:bottom w:w="40" w:type="dxa"/>
              <w:right w:w="0" w:type="dxa"/>
            </w:tcMar>
            <w:vAlign w:val="center"/>
          </w:tcPr>
          <w:p w14:paraId="33DAA0F2" w14:textId="77777777" w:rsidR="004D6A64" w:rsidRDefault="00506CD6">
            <w:pPr>
              <w:jc w:val="right"/>
              <w:textAlignment w:val="center"/>
            </w:pPr>
            <w:r>
              <w:rPr>
                <w:rFonts w:ascii="Times New Roman" w:eastAsia="宋体" w:hAnsi="Times New Roman"/>
                <w:color w:val="000000"/>
                <w:sz w:val="20"/>
                <w:szCs w:val="20"/>
              </w:rPr>
              <w:t>1,383 </w:t>
            </w:r>
          </w:p>
        </w:tc>
        <w:tc>
          <w:tcPr>
            <w:tcW w:w="0" w:type="auto"/>
            <w:shd w:val="clear" w:color="auto" w:fill="CCEEFF"/>
            <w:tcMar>
              <w:top w:w="40" w:type="dxa"/>
              <w:bottom w:w="40" w:type="dxa"/>
              <w:right w:w="20" w:type="dxa"/>
            </w:tcMar>
            <w:vAlign w:val="center"/>
          </w:tcPr>
          <w:p w14:paraId="33DAA0F3" w14:textId="77777777" w:rsidR="004D6A64" w:rsidRDefault="004D6A64">
            <w:pPr>
              <w:jc w:val="right"/>
              <w:rPr>
                <w:rFonts w:ascii="宋体"/>
              </w:rPr>
            </w:pPr>
          </w:p>
        </w:tc>
        <w:tc>
          <w:tcPr>
            <w:tcW w:w="0" w:type="auto"/>
            <w:shd w:val="clear" w:color="auto" w:fill="auto"/>
          </w:tcPr>
          <w:p w14:paraId="33DAA0F4" w14:textId="77777777" w:rsidR="004D6A64" w:rsidRDefault="004D6A64">
            <w:pPr>
              <w:rPr>
                <w:rFonts w:ascii="宋体"/>
              </w:rPr>
            </w:pPr>
          </w:p>
        </w:tc>
        <w:tc>
          <w:tcPr>
            <w:tcW w:w="0" w:type="auto"/>
            <w:shd w:val="clear" w:color="auto" w:fill="auto"/>
          </w:tcPr>
          <w:p w14:paraId="33DAA0F5" w14:textId="77777777" w:rsidR="004D6A64" w:rsidRDefault="004D6A64">
            <w:pPr>
              <w:rPr>
                <w:rFonts w:ascii="宋体"/>
              </w:rPr>
            </w:pPr>
          </w:p>
        </w:tc>
        <w:tc>
          <w:tcPr>
            <w:tcW w:w="0" w:type="auto"/>
            <w:shd w:val="clear" w:color="auto" w:fill="auto"/>
          </w:tcPr>
          <w:p w14:paraId="33DAA0F6" w14:textId="77777777" w:rsidR="004D6A64" w:rsidRDefault="004D6A64">
            <w:pPr>
              <w:rPr>
                <w:rFonts w:ascii="宋体"/>
              </w:rPr>
            </w:pPr>
          </w:p>
        </w:tc>
      </w:tr>
      <w:tr w:rsidR="004D6A64" w14:paraId="33DAA0FE" w14:textId="77777777">
        <w:trPr>
          <w:jc w:val="center"/>
        </w:trPr>
        <w:tc>
          <w:tcPr>
            <w:tcW w:w="0" w:type="auto"/>
            <w:gridSpan w:val="3"/>
            <w:shd w:val="clear" w:color="auto" w:fill="FFFFFF"/>
            <w:tcMar>
              <w:top w:w="40" w:type="dxa"/>
              <w:left w:w="20" w:type="dxa"/>
              <w:bottom w:w="40" w:type="dxa"/>
              <w:right w:w="20" w:type="dxa"/>
            </w:tcMar>
            <w:vAlign w:val="center"/>
          </w:tcPr>
          <w:p w14:paraId="33DAA0F8" w14:textId="77777777" w:rsidR="004D6A64" w:rsidRDefault="00506CD6">
            <w:pPr>
              <w:textAlignment w:val="center"/>
            </w:pPr>
            <w:r>
              <w:rPr>
                <w:rFonts w:ascii="Times New Roman" w:eastAsia="宋体" w:hAnsi="Times New Roman"/>
                <w:color w:val="000000"/>
                <w:sz w:val="20"/>
                <w:szCs w:val="20"/>
              </w:rPr>
              <w:t>Intangible assets, net</w:t>
            </w:r>
          </w:p>
        </w:tc>
        <w:tc>
          <w:tcPr>
            <w:tcW w:w="0" w:type="auto"/>
            <w:gridSpan w:val="2"/>
            <w:shd w:val="clear" w:color="auto" w:fill="FFFFFF"/>
            <w:tcMar>
              <w:top w:w="40" w:type="dxa"/>
              <w:left w:w="20" w:type="dxa"/>
              <w:bottom w:w="40" w:type="dxa"/>
              <w:right w:w="0" w:type="dxa"/>
            </w:tcMar>
            <w:vAlign w:val="center"/>
          </w:tcPr>
          <w:p w14:paraId="33DAA0F9" w14:textId="77777777" w:rsidR="004D6A64" w:rsidRDefault="00506CD6">
            <w:pPr>
              <w:jc w:val="right"/>
              <w:textAlignment w:val="center"/>
            </w:pPr>
            <w:r>
              <w:rPr>
                <w:rFonts w:ascii="Times New Roman" w:eastAsia="宋体" w:hAnsi="Times New Roman"/>
                <w:color w:val="000000"/>
                <w:sz w:val="20"/>
                <w:szCs w:val="20"/>
              </w:rPr>
              <w:t>440 </w:t>
            </w:r>
          </w:p>
        </w:tc>
        <w:tc>
          <w:tcPr>
            <w:tcW w:w="0" w:type="auto"/>
            <w:shd w:val="clear" w:color="auto" w:fill="FFFFFF"/>
            <w:tcMar>
              <w:top w:w="40" w:type="dxa"/>
              <w:bottom w:w="40" w:type="dxa"/>
              <w:right w:w="20" w:type="dxa"/>
            </w:tcMar>
            <w:vAlign w:val="center"/>
          </w:tcPr>
          <w:p w14:paraId="33DAA0FA" w14:textId="77777777" w:rsidR="004D6A64" w:rsidRDefault="004D6A64">
            <w:pPr>
              <w:jc w:val="right"/>
              <w:rPr>
                <w:rFonts w:ascii="宋体"/>
              </w:rPr>
            </w:pPr>
          </w:p>
        </w:tc>
        <w:tc>
          <w:tcPr>
            <w:tcW w:w="0" w:type="auto"/>
            <w:shd w:val="clear" w:color="auto" w:fill="auto"/>
          </w:tcPr>
          <w:p w14:paraId="33DAA0FB" w14:textId="77777777" w:rsidR="004D6A64" w:rsidRDefault="004D6A64">
            <w:pPr>
              <w:rPr>
                <w:rFonts w:ascii="宋体"/>
              </w:rPr>
            </w:pPr>
          </w:p>
        </w:tc>
        <w:tc>
          <w:tcPr>
            <w:tcW w:w="0" w:type="auto"/>
            <w:shd w:val="clear" w:color="auto" w:fill="auto"/>
          </w:tcPr>
          <w:p w14:paraId="33DAA0FC" w14:textId="77777777" w:rsidR="004D6A64" w:rsidRDefault="004D6A64">
            <w:pPr>
              <w:rPr>
                <w:rFonts w:ascii="宋体"/>
              </w:rPr>
            </w:pPr>
          </w:p>
        </w:tc>
        <w:tc>
          <w:tcPr>
            <w:tcW w:w="0" w:type="auto"/>
            <w:shd w:val="clear" w:color="auto" w:fill="auto"/>
          </w:tcPr>
          <w:p w14:paraId="33DAA0FD" w14:textId="77777777" w:rsidR="004D6A64" w:rsidRDefault="004D6A64">
            <w:pPr>
              <w:rPr>
                <w:rFonts w:ascii="宋体"/>
              </w:rPr>
            </w:pPr>
          </w:p>
        </w:tc>
      </w:tr>
      <w:tr w:rsidR="004D6A64" w14:paraId="33DAA105" w14:textId="77777777">
        <w:trPr>
          <w:jc w:val="center"/>
        </w:trPr>
        <w:tc>
          <w:tcPr>
            <w:tcW w:w="0" w:type="auto"/>
            <w:gridSpan w:val="3"/>
            <w:shd w:val="clear" w:color="auto" w:fill="CCEEFF"/>
            <w:tcMar>
              <w:top w:w="40" w:type="dxa"/>
              <w:left w:w="20" w:type="dxa"/>
              <w:bottom w:w="40" w:type="dxa"/>
              <w:right w:w="20" w:type="dxa"/>
            </w:tcMar>
            <w:vAlign w:val="center"/>
          </w:tcPr>
          <w:p w14:paraId="33DAA0FF" w14:textId="77777777" w:rsidR="004D6A64" w:rsidRDefault="00506CD6">
            <w:pPr>
              <w:textAlignment w:val="center"/>
            </w:pPr>
            <w:r>
              <w:rPr>
                <w:rFonts w:ascii="Times New Roman" w:eastAsia="宋体" w:hAnsi="Times New Roman"/>
                <w:color w:val="000000"/>
                <w:sz w:val="20"/>
                <w:szCs w:val="20"/>
              </w:rPr>
              <w:t>Other non-current assets</w:t>
            </w:r>
          </w:p>
        </w:tc>
        <w:tc>
          <w:tcPr>
            <w:tcW w:w="0" w:type="auto"/>
            <w:gridSpan w:val="2"/>
            <w:shd w:val="clear" w:color="auto" w:fill="CCEEFF"/>
            <w:tcMar>
              <w:top w:w="40" w:type="dxa"/>
              <w:left w:w="20" w:type="dxa"/>
              <w:bottom w:w="40" w:type="dxa"/>
              <w:right w:w="0" w:type="dxa"/>
            </w:tcMar>
            <w:vAlign w:val="center"/>
          </w:tcPr>
          <w:p w14:paraId="33DAA100" w14:textId="77777777" w:rsidR="004D6A64" w:rsidRDefault="00506CD6">
            <w:pPr>
              <w:jc w:val="right"/>
              <w:textAlignment w:val="center"/>
            </w:pPr>
            <w:r>
              <w:rPr>
                <w:rFonts w:ascii="Times New Roman" w:eastAsia="宋体" w:hAnsi="Times New Roman"/>
                <w:color w:val="000000"/>
                <w:sz w:val="20"/>
                <w:szCs w:val="20"/>
              </w:rPr>
              <w:t>57 </w:t>
            </w:r>
          </w:p>
        </w:tc>
        <w:tc>
          <w:tcPr>
            <w:tcW w:w="0" w:type="auto"/>
            <w:shd w:val="clear" w:color="auto" w:fill="CCEEFF"/>
            <w:tcMar>
              <w:top w:w="40" w:type="dxa"/>
              <w:bottom w:w="40" w:type="dxa"/>
              <w:right w:w="20" w:type="dxa"/>
            </w:tcMar>
            <w:vAlign w:val="center"/>
          </w:tcPr>
          <w:p w14:paraId="33DAA101" w14:textId="77777777" w:rsidR="004D6A64" w:rsidRDefault="004D6A64">
            <w:pPr>
              <w:jc w:val="right"/>
              <w:rPr>
                <w:rFonts w:ascii="宋体"/>
              </w:rPr>
            </w:pPr>
          </w:p>
        </w:tc>
        <w:tc>
          <w:tcPr>
            <w:tcW w:w="0" w:type="auto"/>
            <w:shd w:val="clear" w:color="auto" w:fill="auto"/>
          </w:tcPr>
          <w:p w14:paraId="33DAA102" w14:textId="77777777" w:rsidR="004D6A64" w:rsidRDefault="004D6A64">
            <w:pPr>
              <w:rPr>
                <w:rFonts w:ascii="宋体"/>
              </w:rPr>
            </w:pPr>
          </w:p>
        </w:tc>
        <w:tc>
          <w:tcPr>
            <w:tcW w:w="0" w:type="auto"/>
            <w:shd w:val="clear" w:color="auto" w:fill="auto"/>
          </w:tcPr>
          <w:p w14:paraId="33DAA103" w14:textId="77777777" w:rsidR="004D6A64" w:rsidRDefault="004D6A64">
            <w:pPr>
              <w:rPr>
                <w:rFonts w:ascii="宋体"/>
              </w:rPr>
            </w:pPr>
          </w:p>
        </w:tc>
        <w:tc>
          <w:tcPr>
            <w:tcW w:w="0" w:type="auto"/>
            <w:shd w:val="clear" w:color="auto" w:fill="auto"/>
          </w:tcPr>
          <w:p w14:paraId="33DAA104" w14:textId="77777777" w:rsidR="004D6A64" w:rsidRDefault="004D6A64">
            <w:pPr>
              <w:rPr>
                <w:rFonts w:ascii="宋体"/>
              </w:rPr>
            </w:pPr>
          </w:p>
        </w:tc>
      </w:tr>
      <w:tr w:rsidR="004D6A64" w14:paraId="33DAA10D" w14:textId="77777777">
        <w:trPr>
          <w:jc w:val="center"/>
        </w:trPr>
        <w:tc>
          <w:tcPr>
            <w:tcW w:w="0" w:type="auto"/>
            <w:gridSpan w:val="3"/>
            <w:shd w:val="clear" w:color="auto" w:fill="FFFFFF"/>
            <w:tcMar>
              <w:top w:w="40" w:type="dxa"/>
              <w:left w:w="225" w:type="dxa"/>
              <w:bottom w:w="40" w:type="dxa"/>
              <w:right w:w="20" w:type="dxa"/>
            </w:tcMar>
            <w:vAlign w:val="center"/>
          </w:tcPr>
          <w:p w14:paraId="33DAA106" w14:textId="77777777" w:rsidR="004D6A64" w:rsidRDefault="00506CD6">
            <w:pPr>
              <w:textAlignment w:val="center"/>
            </w:pPr>
            <w:r>
              <w:rPr>
                <w:rFonts w:ascii="Times New Roman" w:eastAsia="宋体" w:hAnsi="Times New Roman"/>
                <w:color w:val="000000"/>
                <w:sz w:val="20"/>
                <w:szCs w:val="20"/>
              </w:rPr>
              <w:t>Total assets</w:t>
            </w: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A107"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A108" w14:textId="77777777" w:rsidR="004D6A64" w:rsidRDefault="00506CD6">
            <w:pPr>
              <w:jc w:val="right"/>
              <w:textAlignment w:val="center"/>
            </w:pPr>
            <w:r>
              <w:rPr>
                <w:rFonts w:ascii="Times New Roman" w:eastAsia="宋体" w:hAnsi="Times New Roman"/>
                <w:color w:val="000000"/>
                <w:sz w:val="20"/>
                <w:szCs w:val="20"/>
              </w:rPr>
              <w:t>2,056 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A109" w14:textId="77777777" w:rsidR="004D6A64" w:rsidRDefault="004D6A64">
            <w:pPr>
              <w:jc w:val="right"/>
              <w:rPr>
                <w:rFonts w:ascii="宋体"/>
              </w:rPr>
            </w:pPr>
          </w:p>
        </w:tc>
        <w:tc>
          <w:tcPr>
            <w:tcW w:w="0" w:type="auto"/>
            <w:shd w:val="clear" w:color="auto" w:fill="auto"/>
          </w:tcPr>
          <w:p w14:paraId="33DAA10A" w14:textId="77777777" w:rsidR="004D6A64" w:rsidRDefault="004D6A64">
            <w:pPr>
              <w:rPr>
                <w:rFonts w:ascii="宋体"/>
              </w:rPr>
            </w:pPr>
          </w:p>
        </w:tc>
        <w:tc>
          <w:tcPr>
            <w:tcW w:w="0" w:type="auto"/>
            <w:shd w:val="clear" w:color="auto" w:fill="auto"/>
          </w:tcPr>
          <w:p w14:paraId="33DAA10B" w14:textId="77777777" w:rsidR="004D6A64" w:rsidRDefault="004D6A64">
            <w:pPr>
              <w:rPr>
                <w:rFonts w:ascii="宋体"/>
              </w:rPr>
            </w:pPr>
          </w:p>
        </w:tc>
        <w:tc>
          <w:tcPr>
            <w:tcW w:w="0" w:type="auto"/>
            <w:shd w:val="clear" w:color="auto" w:fill="auto"/>
          </w:tcPr>
          <w:p w14:paraId="33DAA10C" w14:textId="77777777" w:rsidR="004D6A64" w:rsidRDefault="004D6A64">
            <w:pPr>
              <w:rPr>
                <w:rFonts w:ascii="宋体"/>
              </w:rPr>
            </w:pPr>
          </w:p>
        </w:tc>
      </w:tr>
      <w:tr w:rsidR="004D6A64" w14:paraId="33DAA110" w14:textId="77777777">
        <w:trPr>
          <w:jc w:val="center"/>
        </w:trPr>
        <w:tc>
          <w:tcPr>
            <w:tcW w:w="0" w:type="auto"/>
            <w:gridSpan w:val="6"/>
            <w:shd w:val="clear" w:color="auto" w:fill="CCEEFF"/>
            <w:tcMar>
              <w:top w:w="40" w:type="dxa"/>
              <w:left w:w="20" w:type="dxa"/>
              <w:bottom w:w="40" w:type="dxa"/>
              <w:right w:w="20" w:type="dxa"/>
            </w:tcMar>
            <w:vAlign w:val="center"/>
          </w:tcPr>
          <w:p w14:paraId="33DAA10E" w14:textId="77777777" w:rsidR="004D6A64" w:rsidRDefault="00506CD6">
            <w:pPr>
              <w:jc w:val="center"/>
              <w:textAlignment w:val="center"/>
            </w:pPr>
            <w:r>
              <w:rPr>
                <w:rFonts w:ascii="Times New Roman" w:eastAsia="宋体" w:hAnsi="Times New Roman"/>
                <w:b/>
                <w:bCs/>
                <w:color w:val="000000"/>
                <w:sz w:val="20"/>
                <w:szCs w:val="20"/>
              </w:rPr>
              <w:t>LIABILITIES</w:t>
            </w:r>
          </w:p>
        </w:tc>
        <w:tc>
          <w:tcPr>
            <w:tcW w:w="0" w:type="auto"/>
            <w:gridSpan w:val="3"/>
            <w:shd w:val="clear" w:color="auto" w:fill="auto"/>
          </w:tcPr>
          <w:p w14:paraId="33DAA10F" w14:textId="77777777" w:rsidR="004D6A64" w:rsidRDefault="004D6A64">
            <w:pPr>
              <w:rPr>
                <w:rFonts w:ascii="宋体"/>
                <w:vanish/>
              </w:rPr>
            </w:pPr>
          </w:p>
        </w:tc>
      </w:tr>
      <w:tr w:rsidR="004D6A64" w14:paraId="33DAA116" w14:textId="77777777">
        <w:trPr>
          <w:jc w:val="center"/>
        </w:trPr>
        <w:tc>
          <w:tcPr>
            <w:tcW w:w="0" w:type="auto"/>
            <w:gridSpan w:val="3"/>
            <w:shd w:val="clear" w:color="auto" w:fill="FFFFFF"/>
            <w:tcMar>
              <w:top w:w="40" w:type="dxa"/>
              <w:left w:w="20" w:type="dxa"/>
              <w:bottom w:w="40" w:type="dxa"/>
              <w:right w:w="20" w:type="dxa"/>
            </w:tcMar>
            <w:vAlign w:val="center"/>
          </w:tcPr>
          <w:p w14:paraId="33DAA111" w14:textId="77777777" w:rsidR="004D6A64" w:rsidRDefault="00506CD6">
            <w:pPr>
              <w:textAlignment w:val="center"/>
            </w:pPr>
            <w:r>
              <w:rPr>
                <w:rFonts w:ascii="Times New Roman" w:eastAsia="宋体" w:hAnsi="Times New Roman"/>
                <w:color w:val="000000"/>
                <w:sz w:val="20"/>
                <w:szCs w:val="20"/>
              </w:rPr>
              <w:t>Current liabilities:</w:t>
            </w:r>
          </w:p>
        </w:tc>
        <w:tc>
          <w:tcPr>
            <w:tcW w:w="0" w:type="auto"/>
            <w:gridSpan w:val="3"/>
            <w:shd w:val="clear" w:color="auto" w:fill="FFFFFF"/>
            <w:tcMar>
              <w:left w:w="20" w:type="dxa"/>
              <w:right w:w="20" w:type="dxa"/>
            </w:tcMar>
            <w:vAlign w:val="bottom"/>
          </w:tcPr>
          <w:p w14:paraId="33DAA112" w14:textId="77777777" w:rsidR="004D6A64" w:rsidRDefault="004D6A64">
            <w:pPr>
              <w:rPr>
                <w:rFonts w:ascii="宋体"/>
              </w:rPr>
            </w:pPr>
          </w:p>
        </w:tc>
        <w:tc>
          <w:tcPr>
            <w:tcW w:w="0" w:type="auto"/>
            <w:shd w:val="clear" w:color="auto" w:fill="auto"/>
          </w:tcPr>
          <w:p w14:paraId="33DAA113" w14:textId="77777777" w:rsidR="004D6A64" w:rsidRDefault="004D6A64">
            <w:pPr>
              <w:rPr>
                <w:rFonts w:ascii="宋体"/>
              </w:rPr>
            </w:pPr>
          </w:p>
        </w:tc>
        <w:tc>
          <w:tcPr>
            <w:tcW w:w="0" w:type="auto"/>
            <w:shd w:val="clear" w:color="auto" w:fill="auto"/>
          </w:tcPr>
          <w:p w14:paraId="33DAA114" w14:textId="77777777" w:rsidR="004D6A64" w:rsidRDefault="004D6A64">
            <w:pPr>
              <w:rPr>
                <w:rFonts w:ascii="宋体"/>
              </w:rPr>
            </w:pPr>
          </w:p>
        </w:tc>
        <w:tc>
          <w:tcPr>
            <w:tcW w:w="0" w:type="auto"/>
            <w:shd w:val="clear" w:color="auto" w:fill="auto"/>
          </w:tcPr>
          <w:p w14:paraId="33DAA115" w14:textId="77777777" w:rsidR="004D6A64" w:rsidRDefault="004D6A64">
            <w:pPr>
              <w:rPr>
                <w:rFonts w:ascii="宋体"/>
              </w:rPr>
            </w:pPr>
          </w:p>
        </w:tc>
      </w:tr>
      <w:tr w:rsidR="004D6A64" w14:paraId="33DAA11E" w14:textId="77777777">
        <w:trPr>
          <w:jc w:val="center"/>
        </w:trPr>
        <w:tc>
          <w:tcPr>
            <w:tcW w:w="0" w:type="auto"/>
            <w:gridSpan w:val="3"/>
            <w:shd w:val="clear" w:color="auto" w:fill="CCEEFF"/>
            <w:tcMar>
              <w:top w:w="40" w:type="dxa"/>
              <w:left w:w="135" w:type="dxa"/>
              <w:bottom w:w="40" w:type="dxa"/>
              <w:right w:w="20" w:type="dxa"/>
            </w:tcMar>
            <w:vAlign w:val="center"/>
          </w:tcPr>
          <w:p w14:paraId="33DAA117" w14:textId="77777777" w:rsidR="004D6A64" w:rsidRDefault="00506CD6">
            <w:pPr>
              <w:textAlignment w:val="center"/>
            </w:pPr>
            <w:r>
              <w:rPr>
                <w:rFonts w:ascii="Times New Roman" w:eastAsia="宋体" w:hAnsi="Times New Roman"/>
                <w:color w:val="000000"/>
                <w:sz w:val="20"/>
                <w:szCs w:val="20"/>
              </w:rPr>
              <w:t>Accrued and other</w:t>
            </w:r>
          </w:p>
        </w:tc>
        <w:tc>
          <w:tcPr>
            <w:tcW w:w="0" w:type="auto"/>
            <w:shd w:val="clear" w:color="auto" w:fill="CCEEFF"/>
            <w:tcMar>
              <w:top w:w="40" w:type="dxa"/>
              <w:left w:w="20" w:type="dxa"/>
              <w:bottom w:w="40" w:type="dxa"/>
            </w:tcMar>
            <w:vAlign w:val="center"/>
          </w:tcPr>
          <w:p w14:paraId="33DAA118"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119" w14:textId="77777777" w:rsidR="004D6A64" w:rsidRDefault="00506CD6">
            <w:pPr>
              <w:jc w:val="right"/>
              <w:textAlignment w:val="center"/>
            </w:pPr>
            <w:r>
              <w:rPr>
                <w:rFonts w:ascii="Times New Roman" w:eastAsia="宋体" w:hAnsi="Times New Roman"/>
                <w:color w:val="000000"/>
                <w:sz w:val="20"/>
                <w:szCs w:val="20"/>
              </w:rPr>
              <w:t>65 </w:t>
            </w:r>
          </w:p>
        </w:tc>
        <w:tc>
          <w:tcPr>
            <w:tcW w:w="0" w:type="auto"/>
            <w:shd w:val="clear" w:color="auto" w:fill="CCEEFF"/>
            <w:tcMar>
              <w:top w:w="40" w:type="dxa"/>
              <w:bottom w:w="40" w:type="dxa"/>
              <w:right w:w="20" w:type="dxa"/>
            </w:tcMar>
            <w:vAlign w:val="center"/>
          </w:tcPr>
          <w:p w14:paraId="33DAA11A" w14:textId="77777777" w:rsidR="004D6A64" w:rsidRDefault="004D6A64">
            <w:pPr>
              <w:jc w:val="right"/>
              <w:rPr>
                <w:rFonts w:ascii="宋体"/>
              </w:rPr>
            </w:pPr>
          </w:p>
        </w:tc>
        <w:tc>
          <w:tcPr>
            <w:tcW w:w="0" w:type="auto"/>
            <w:shd w:val="clear" w:color="auto" w:fill="auto"/>
          </w:tcPr>
          <w:p w14:paraId="33DAA11B" w14:textId="77777777" w:rsidR="004D6A64" w:rsidRDefault="004D6A64">
            <w:pPr>
              <w:rPr>
                <w:rFonts w:ascii="宋体"/>
              </w:rPr>
            </w:pPr>
          </w:p>
        </w:tc>
        <w:tc>
          <w:tcPr>
            <w:tcW w:w="0" w:type="auto"/>
            <w:shd w:val="clear" w:color="auto" w:fill="auto"/>
          </w:tcPr>
          <w:p w14:paraId="33DAA11C" w14:textId="77777777" w:rsidR="004D6A64" w:rsidRDefault="004D6A64">
            <w:pPr>
              <w:rPr>
                <w:rFonts w:ascii="宋体"/>
              </w:rPr>
            </w:pPr>
          </w:p>
        </w:tc>
        <w:tc>
          <w:tcPr>
            <w:tcW w:w="0" w:type="auto"/>
            <w:shd w:val="clear" w:color="auto" w:fill="auto"/>
          </w:tcPr>
          <w:p w14:paraId="33DAA11D" w14:textId="77777777" w:rsidR="004D6A64" w:rsidRDefault="004D6A64">
            <w:pPr>
              <w:rPr>
                <w:rFonts w:ascii="宋体"/>
              </w:rPr>
            </w:pPr>
          </w:p>
        </w:tc>
      </w:tr>
      <w:tr w:rsidR="004D6A64" w14:paraId="33DAA125" w14:textId="77777777">
        <w:trPr>
          <w:jc w:val="center"/>
        </w:trPr>
        <w:tc>
          <w:tcPr>
            <w:tcW w:w="0" w:type="auto"/>
            <w:gridSpan w:val="3"/>
            <w:shd w:val="clear" w:color="auto" w:fill="FFFFFF"/>
            <w:tcMar>
              <w:top w:w="40" w:type="dxa"/>
              <w:left w:w="135" w:type="dxa"/>
              <w:bottom w:w="40" w:type="dxa"/>
              <w:right w:w="20" w:type="dxa"/>
            </w:tcMar>
            <w:vAlign w:val="center"/>
          </w:tcPr>
          <w:p w14:paraId="33DAA11F" w14:textId="77777777" w:rsidR="004D6A64" w:rsidRDefault="00506CD6">
            <w:pPr>
              <w:textAlignment w:val="center"/>
            </w:pPr>
            <w:r>
              <w:rPr>
                <w:rFonts w:ascii="Times New Roman" w:eastAsia="宋体" w:hAnsi="Times New Roman"/>
                <w:color w:val="000000"/>
                <w:sz w:val="20"/>
                <w:szCs w:val="20"/>
              </w:rPr>
              <w:t>Short-term deferred revenue</w:t>
            </w:r>
          </w:p>
        </w:tc>
        <w:tc>
          <w:tcPr>
            <w:tcW w:w="0" w:type="auto"/>
            <w:gridSpan w:val="2"/>
            <w:shd w:val="clear" w:color="auto" w:fill="FFFFFF"/>
            <w:tcMar>
              <w:top w:w="40" w:type="dxa"/>
              <w:left w:w="20" w:type="dxa"/>
              <w:bottom w:w="40" w:type="dxa"/>
              <w:right w:w="0" w:type="dxa"/>
            </w:tcMar>
            <w:vAlign w:val="center"/>
          </w:tcPr>
          <w:p w14:paraId="33DAA120" w14:textId="77777777" w:rsidR="004D6A64" w:rsidRDefault="00506CD6">
            <w:pPr>
              <w:jc w:val="right"/>
              <w:textAlignment w:val="center"/>
            </w:pPr>
            <w:r>
              <w:rPr>
                <w:rFonts w:ascii="Times New Roman" w:eastAsia="宋体" w:hAnsi="Times New Roman"/>
                <w:color w:val="000000"/>
                <w:sz w:val="20"/>
                <w:szCs w:val="20"/>
              </w:rPr>
              <w:t>229 </w:t>
            </w:r>
          </w:p>
        </w:tc>
        <w:tc>
          <w:tcPr>
            <w:tcW w:w="0" w:type="auto"/>
            <w:shd w:val="clear" w:color="auto" w:fill="FFFFFF"/>
            <w:tcMar>
              <w:top w:w="40" w:type="dxa"/>
              <w:bottom w:w="40" w:type="dxa"/>
              <w:right w:w="20" w:type="dxa"/>
            </w:tcMar>
            <w:vAlign w:val="center"/>
          </w:tcPr>
          <w:p w14:paraId="33DAA121" w14:textId="77777777" w:rsidR="004D6A64" w:rsidRDefault="004D6A64">
            <w:pPr>
              <w:jc w:val="right"/>
              <w:rPr>
                <w:rFonts w:ascii="宋体"/>
              </w:rPr>
            </w:pPr>
          </w:p>
        </w:tc>
        <w:tc>
          <w:tcPr>
            <w:tcW w:w="0" w:type="auto"/>
            <w:shd w:val="clear" w:color="auto" w:fill="auto"/>
          </w:tcPr>
          <w:p w14:paraId="33DAA122" w14:textId="77777777" w:rsidR="004D6A64" w:rsidRDefault="004D6A64">
            <w:pPr>
              <w:rPr>
                <w:rFonts w:ascii="宋体"/>
              </w:rPr>
            </w:pPr>
          </w:p>
        </w:tc>
        <w:tc>
          <w:tcPr>
            <w:tcW w:w="0" w:type="auto"/>
            <w:shd w:val="clear" w:color="auto" w:fill="auto"/>
          </w:tcPr>
          <w:p w14:paraId="33DAA123" w14:textId="77777777" w:rsidR="004D6A64" w:rsidRDefault="004D6A64">
            <w:pPr>
              <w:rPr>
                <w:rFonts w:ascii="宋体"/>
              </w:rPr>
            </w:pPr>
          </w:p>
        </w:tc>
        <w:tc>
          <w:tcPr>
            <w:tcW w:w="0" w:type="auto"/>
            <w:shd w:val="clear" w:color="auto" w:fill="auto"/>
          </w:tcPr>
          <w:p w14:paraId="33DAA124" w14:textId="77777777" w:rsidR="004D6A64" w:rsidRDefault="004D6A64">
            <w:pPr>
              <w:rPr>
                <w:rFonts w:ascii="宋体"/>
              </w:rPr>
            </w:pPr>
          </w:p>
        </w:tc>
      </w:tr>
      <w:tr w:rsidR="004D6A64" w14:paraId="33DAA12C" w14:textId="77777777">
        <w:trPr>
          <w:jc w:val="center"/>
        </w:trPr>
        <w:tc>
          <w:tcPr>
            <w:tcW w:w="0" w:type="auto"/>
            <w:gridSpan w:val="3"/>
            <w:shd w:val="clear" w:color="auto" w:fill="CCEEFF"/>
            <w:tcMar>
              <w:top w:w="40" w:type="dxa"/>
              <w:left w:w="225" w:type="dxa"/>
              <w:bottom w:w="40" w:type="dxa"/>
              <w:right w:w="20" w:type="dxa"/>
            </w:tcMar>
            <w:vAlign w:val="center"/>
          </w:tcPr>
          <w:p w14:paraId="33DAA126" w14:textId="77777777" w:rsidR="004D6A64" w:rsidRDefault="00506CD6">
            <w:pPr>
              <w:textAlignment w:val="center"/>
            </w:pPr>
            <w:r>
              <w:rPr>
                <w:rFonts w:ascii="Times New Roman" w:eastAsia="宋体" w:hAnsi="Times New Roman"/>
                <w:color w:val="000000"/>
                <w:sz w:val="20"/>
                <w:szCs w:val="20"/>
              </w:rPr>
              <w:t>Total current liabilities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A127" w14:textId="77777777" w:rsidR="004D6A64" w:rsidRDefault="00506CD6">
            <w:pPr>
              <w:jc w:val="right"/>
              <w:textAlignment w:val="center"/>
            </w:pPr>
            <w:r>
              <w:rPr>
                <w:rFonts w:ascii="Times New Roman" w:eastAsia="宋体" w:hAnsi="Times New Roman"/>
                <w:color w:val="000000"/>
                <w:sz w:val="20"/>
                <w:szCs w:val="20"/>
              </w:rPr>
              <w:t>294 </w:t>
            </w:r>
          </w:p>
        </w:tc>
        <w:tc>
          <w:tcPr>
            <w:tcW w:w="0" w:type="auto"/>
            <w:tcBorders>
              <w:top w:val="single" w:sz="8" w:space="0" w:color="000000"/>
            </w:tcBorders>
            <w:shd w:val="clear" w:color="auto" w:fill="CCEEFF"/>
            <w:tcMar>
              <w:top w:w="40" w:type="dxa"/>
              <w:bottom w:w="40" w:type="dxa"/>
              <w:right w:w="20" w:type="dxa"/>
            </w:tcMar>
            <w:vAlign w:val="center"/>
          </w:tcPr>
          <w:p w14:paraId="33DAA128" w14:textId="77777777" w:rsidR="004D6A64" w:rsidRDefault="004D6A64">
            <w:pPr>
              <w:jc w:val="right"/>
              <w:rPr>
                <w:rFonts w:ascii="宋体"/>
              </w:rPr>
            </w:pPr>
          </w:p>
        </w:tc>
        <w:tc>
          <w:tcPr>
            <w:tcW w:w="0" w:type="auto"/>
            <w:shd w:val="clear" w:color="auto" w:fill="auto"/>
          </w:tcPr>
          <w:p w14:paraId="33DAA129" w14:textId="77777777" w:rsidR="004D6A64" w:rsidRDefault="004D6A64">
            <w:pPr>
              <w:rPr>
                <w:rFonts w:ascii="宋体"/>
              </w:rPr>
            </w:pPr>
          </w:p>
        </w:tc>
        <w:tc>
          <w:tcPr>
            <w:tcW w:w="0" w:type="auto"/>
            <w:shd w:val="clear" w:color="auto" w:fill="auto"/>
          </w:tcPr>
          <w:p w14:paraId="33DAA12A" w14:textId="77777777" w:rsidR="004D6A64" w:rsidRDefault="004D6A64">
            <w:pPr>
              <w:rPr>
                <w:rFonts w:ascii="宋体"/>
              </w:rPr>
            </w:pPr>
          </w:p>
        </w:tc>
        <w:tc>
          <w:tcPr>
            <w:tcW w:w="0" w:type="auto"/>
            <w:shd w:val="clear" w:color="auto" w:fill="auto"/>
          </w:tcPr>
          <w:p w14:paraId="33DAA12B" w14:textId="77777777" w:rsidR="004D6A64" w:rsidRDefault="004D6A64">
            <w:pPr>
              <w:rPr>
                <w:rFonts w:ascii="宋体"/>
              </w:rPr>
            </w:pPr>
          </w:p>
        </w:tc>
      </w:tr>
      <w:tr w:rsidR="004D6A64" w14:paraId="33DAA133" w14:textId="77777777">
        <w:trPr>
          <w:jc w:val="center"/>
        </w:trPr>
        <w:tc>
          <w:tcPr>
            <w:tcW w:w="0" w:type="auto"/>
            <w:gridSpan w:val="3"/>
            <w:shd w:val="clear" w:color="auto" w:fill="FFFFFF"/>
            <w:tcMar>
              <w:top w:w="40" w:type="dxa"/>
              <w:left w:w="20" w:type="dxa"/>
              <w:bottom w:w="40" w:type="dxa"/>
              <w:right w:w="20" w:type="dxa"/>
            </w:tcMar>
            <w:vAlign w:val="center"/>
          </w:tcPr>
          <w:p w14:paraId="33DAA12D" w14:textId="77777777" w:rsidR="004D6A64" w:rsidRDefault="00506CD6">
            <w:pPr>
              <w:textAlignment w:val="center"/>
            </w:pPr>
            <w:r>
              <w:rPr>
                <w:rFonts w:ascii="Times New Roman" w:eastAsia="宋体" w:hAnsi="Times New Roman"/>
                <w:color w:val="000000"/>
                <w:sz w:val="20"/>
                <w:szCs w:val="20"/>
              </w:rPr>
              <w:t>Long-term deferred revenue</w:t>
            </w:r>
          </w:p>
        </w:tc>
        <w:tc>
          <w:tcPr>
            <w:tcW w:w="0" w:type="auto"/>
            <w:gridSpan w:val="2"/>
            <w:shd w:val="clear" w:color="auto" w:fill="FFFFFF"/>
            <w:tcMar>
              <w:top w:w="40" w:type="dxa"/>
              <w:left w:w="20" w:type="dxa"/>
              <w:bottom w:w="40" w:type="dxa"/>
              <w:right w:w="0" w:type="dxa"/>
            </w:tcMar>
            <w:vAlign w:val="center"/>
          </w:tcPr>
          <w:p w14:paraId="33DAA12E" w14:textId="77777777" w:rsidR="004D6A64" w:rsidRDefault="00506CD6">
            <w:pPr>
              <w:jc w:val="right"/>
              <w:textAlignment w:val="center"/>
            </w:pPr>
            <w:r>
              <w:rPr>
                <w:rFonts w:ascii="Times New Roman" w:eastAsia="宋体" w:hAnsi="Times New Roman"/>
                <w:color w:val="000000"/>
                <w:sz w:val="20"/>
                <w:szCs w:val="20"/>
              </w:rPr>
              <w:t>32 </w:t>
            </w:r>
          </w:p>
        </w:tc>
        <w:tc>
          <w:tcPr>
            <w:tcW w:w="0" w:type="auto"/>
            <w:shd w:val="clear" w:color="auto" w:fill="FFFFFF"/>
            <w:tcMar>
              <w:top w:w="40" w:type="dxa"/>
              <w:bottom w:w="40" w:type="dxa"/>
              <w:right w:w="20" w:type="dxa"/>
            </w:tcMar>
            <w:vAlign w:val="center"/>
          </w:tcPr>
          <w:p w14:paraId="33DAA12F" w14:textId="77777777" w:rsidR="004D6A64" w:rsidRDefault="004D6A64">
            <w:pPr>
              <w:jc w:val="right"/>
              <w:rPr>
                <w:rFonts w:ascii="宋体"/>
              </w:rPr>
            </w:pPr>
          </w:p>
        </w:tc>
        <w:tc>
          <w:tcPr>
            <w:tcW w:w="0" w:type="auto"/>
            <w:shd w:val="clear" w:color="auto" w:fill="auto"/>
          </w:tcPr>
          <w:p w14:paraId="33DAA130" w14:textId="77777777" w:rsidR="004D6A64" w:rsidRDefault="004D6A64">
            <w:pPr>
              <w:rPr>
                <w:rFonts w:ascii="宋体"/>
              </w:rPr>
            </w:pPr>
          </w:p>
        </w:tc>
        <w:tc>
          <w:tcPr>
            <w:tcW w:w="0" w:type="auto"/>
            <w:shd w:val="clear" w:color="auto" w:fill="auto"/>
          </w:tcPr>
          <w:p w14:paraId="33DAA131" w14:textId="77777777" w:rsidR="004D6A64" w:rsidRDefault="004D6A64">
            <w:pPr>
              <w:rPr>
                <w:rFonts w:ascii="宋体"/>
              </w:rPr>
            </w:pPr>
          </w:p>
        </w:tc>
        <w:tc>
          <w:tcPr>
            <w:tcW w:w="0" w:type="auto"/>
            <w:shd w:val="clear" w:color="auto" w:fill="auto"/>
          </w:tcPr>
          <w:p w14:paraId="33DAA132" w14:textId="77777777" w:rsidR="004D6A64" w:rsidRDefault="004D6A64">
            <w:pPr>
              <w:rPr>
                <w:rFonts w:ascii="宋体"/>
              </w:rPr>
            </w:pPr>
          </w:p>
        </w:tc>
      </w:tr>
      <w:tr w:rsidR="004D6A64" w14:paraId="33DAA13A" w14:textId="77777777">
        <w:trPr>
          <w:jc w:val="center"/>
        </w:trPr>
        <w:tc>
          <w:tcPr>
            <w:tcW w:w="0" w:type="auto"/>
            <w:gridSpan w:val="3"/>
            <w:shd w:val="clear" w:color="auto" w:fill="CCEEFF"/>
            <w:tcMar>
              <w:top w:w="40" w:type="dxa"/>
              <w:left w:w="20" w:type="dxa"/>
              <w:bottom w:w="40" w:type="dxa"/>
              <w:right w:w="20" w:type="dxa"/>
            </w:tcMar>
            <w:vAlign w:val="center"/>
          </w:tcPr>
          <w:p w14:paraId="33DAA134" w14:textId="77777777" w:rsidR="004D6A64" w:rsidRDefault="00506CD6">
            <w:pPr>
              <w:textAlignment w:val="center"/>
            </w:pPr>
            <w:r>
              <w:rPr>
                <w:rFonts w:ascii="Times New Roman" w:eastAsia="宋体" w:hAnsi="Times New Roman"/>
                <w:color w:val="000000"/>
                <w:sz w:val="20"/>
                <w:szCs w:val="20"/>
              </w:rPr>
              <w:t>Other non-current liabilities</w:t>
            </w:r>
          </w:p>
        </w:tc>
        <w:tc>
          <w:tcPr>
            <w:tcW w:w="0" w:type="auto"/>
            <w:gridSpan w:val="2"/>
            <w:shd w:val="clear" w:color="auto" w:fill="CCEEFF"/>
            <w:tcMar>
              <w:top w:w="40" w:type="dxa"/>
              <w:left w:w="20" w:type="dxa"/>
              <w:bottom w:w="40" w:type="dxa"/>
              <w:right w:w="0" w:type="dxa"/>
            </w:tcMar>
            <w:vAlign w:val="center"/>
          </w:tcPr>
          <w:p w14:paraId="33DAA135" w14:textId="77777777" w:rsidR="004D6A64" w:rsidRDefault="00506CD6">
            <w:pPr>
              <w:jc w:val="right"/>
              <w:textAlignment w:val="center"/>
            </w:pPr>
            <w:r>
              <w:rPr>
                <w:rFonts w:ascii="Times New Roman" w:eastAsia="宋体" w:hAnsi="Times New Roman"/>
                <w:color w:val="000000"/>
                <w:sz w:val="20"/>
                <w:szCs w:val="20"/>
              </w:rPr>
              <w:t>18 </w:t>
            </w:r>
          </w:p>
        </w:tc>
        <w:tc>
          <w:tcPr>
            <w:tcW w:w="0" w:type="auto"/>
            <w:shd w:val="clear" w:color="auto" w:fill="CCEEFF"/>
            <w:tcMar>
              <w:top w:w="40" w:type="dxa"/>
              <w:bottom w:w="40" w:type="dxa"/>
              <w:right w:w="20" w:type="dxa"/>
            </w:tcMar>
            <w:vAlign w:val="center"/>
          </w:tcPr>
          <w:p w14:paraId="33DAA136" w14:textId="77777777" w:rsidR="004D6A64" w:rsidRDefault="004D6A64">
            <w:pPr>
              <w:jc w:val="right"/>
              <w:rPr>
                <w:rFonts w:ascii="宋体"/>
              </w:rPr>
            </w:pPr>
          </w:p>
        </w:tc>
        <w:tc>
          <w:tcPr>
            <w:tcW w:w="0" w:type="auto"/>
            <w:shd w:val="clear" w:color="auto" w:fill="auto"/>
          </w:tcPr>
          <w:p w14:paraId="33DAA137" w14:textId="77777777" w:rsidR="004D6A64" w:rsidRDefault="004D6A64">
            <w:pPr>
              <w:rPr>
                <w:rFonts w:ascii="宋体"/>
              </w:rPr>
            </w:pPr>
          </w:p>
        </w:tc>
        <w:tc>
          <w:tcPr>
            <w:tcW w:w="0" w:type="auto"/>
            <w:shd w:val="clear" w:color="auto" w:fill="auto"/>
          </w:tcPr>
          <w:p w14:paraId="33DAA138" w14:textId="77777777" w:rsidR="004D6A64" w:rsidRDefault="004D6A64">
            <w:pPr>
              <w:rPr>
                <w:rFonts w:ascii="宋体"/>
              </w:rPr>
            </w:pPr>
          </w:p>
        </w:tc>
        <w:tc>
          <w:tcPr>
            <w:tcW w:w="0" w:type="auto"/>
            <w:shd w:val="clear" w:color="auto" w:fill="auto"/>
          </w:tcPr>
          <w:p w14:paraId="33DAA139" w14:textId="77777777" w:rsidR="004D6A64" w:rsidRDefault="004D6A64">
            <w:pPr>
              <w:rPr>
                <w:rFonts w:ascii="宋体"/>
              </w:rPr>
            </w:pPr>
          </w:p>
        </w:tc>
      </w:tr>
      <w:tr w:rsidR="004D6A64" w14:paraId="33DAA142" w14:textId="77777777">
        <w:trPr>
          <w:jc w:val="center"/>
        </w:trPr>
        <w:tc>
          <w:tcPr>
            <w:tcW w:w="0" w:type="auto"/>
            <w:gridSpan w:val="3"/>
            <w:shd w:val="clear" w:color="auto" w:fill="FFFFFF"/>
            <w:tcMar>
              <w:top w:w="40" w:type="dxa"/>
              <w:left w:w="225" w:type="dxa"/>
              <w:bottom w:w="40" w:type="dxa"/>
              <w:right w:w="20" w:type="dxa"/>
            </w:tcMar>
            <w:vAlign w:val="center"/>
          </w:tcPr>
          <w:p w14:paraId="33DAA13B" w14:textId="77777777" w:rsidR="004D6A64" w:rsidRDefault="00506CD6">
            <w:pPr>
              <w:textAlignment w:val="center"/>
            </w:pPr>
            <w:r>
              <w:rPr>
                <w:rFonts w:ascii="Times New Roman" w:eastAsia="宋体" w:hAnsi="Times New Roman"/>
                <w:color w:val="000000"/>
                <w:sz w:val="20"/>
                <w:szCs w:val="20"/>
              </w:rPr>
              <w:t>Total liabilities</w:t>
            </w: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A13C"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A13D" w14:textId="77777777" w:rsidR="004D6A64" w:rsidRDefault="00506CD6">
            <w:pPr>
              <w:jc w:val="right"/>
              <w:textAlignment w:val="center"/>
            </w:pPr>
            <w:r>
              <w:rPr>
                <w:rFonts w:ascii="Times New Roman" w:eastAsia="宋体" w:hAnsi="Times New Roman"/>
                <w:color w:val="000000"/>
                <w:sz w:val="20"/>
                <w:szCs w:val="20"/>
              </w:rPr>
              <w:t>344 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A13E" w14:textId="77777777" w:rsidR="004D6A64" w:rsidRDefault="004D6A64">
            <w:pPr>
              <w:jc w:val="right"/>
              <w:rPr>
                <w:rFonts w:ascii="宋体"/>
              </w:rPr>
            </w:pPr>
          </w:p>
        </w:tc>
        <w:tc>
          <w:tcPr>
            <w:tcW w:w="0" w:type="auto"/>
            <w:shd w:val="clear" w:color="auto" w:fill="auto"/>
          </w:tcPr>
          <w:p w14:paraId="33DAA13F" w14:textId="77777777" w:rsidR="004D6A64" w:rsidRDefault="004D6A64">
            <w:pPr>
              <w:rPr>
                <w:rFonts w:ascii="宋体"/>
              </w:rPr>
            </w:pPr>
          </w:p>
        </w:tc>
        <w:tc>
          <w:tcPr>
            <w:tcW w:w="0" w:type="auto"/>
            <w:shd w:val="clear" w:color="auto" w:fill="auto"/>
          </w:tcPr>
          <w:p w14:paraId="33DAA140" w14:textId="77777777" w:rsidR="004D6A64" w:rsidRDefault="004D6A64">
            <w:pPr>
              <w:rPr>
                <w:rFonts w:ascii="宋体"/>
              </w:rPr>
            </w:pPr>
          </w:p>
        </w:tc>
        <w:tc>
          <w:tcPr>
            <w:tcW w:w="0" w:type="auto"/>
            <w:shd w:val="clear" w:color="auto" w:fill="auto"/>
          </w:tcPr>
          <w:p w14:paraId="33DAA141" w14:textId="77777777" w:rsidR="004D6A64" w:rsidRDefault="004D6A64">
            <w:pPr>
              <w:rPr>
                <w:rFonts w:ascii="宋体"/>
              </w:rPr>
            </w:pPr>
          </w:p>
        </w:tc>
      </w:tr>
    </w:tbl>
    <w:p w14:paraId="33DAA143" w14:textId="77777777" w:rsidR="004D6A64" w:rsidRDefault="004D6A64"/>
    <w:p w14:paraId="33DAA144" w14:textId="77777777" w:rsidR="004D6A64" w:rsidRDefault="00506CD6">
      <w:r>
        <w:rPr>
          <w:rFonts w:ascii="Times New Roman" w:eastAsia="宋体" w:hAnsi="Times New Roman"/>
          <w:color w:val="000000"/>
          <w:sz w:val="20"/>
          <w:szCs w:val="20"/>
        </w:rPr>
        <w:t xml:space="preserve">RSA </w:t>
      </w:r>
      <w:r>
        <w:rPr>
          <w:rFonts w:ascii="Times New Roman" w:eastAsia="宋体" w:hAnsi="Times New Roman"/>
          <w:color w:val="000000"/>
          <w:sz w:val="20"/>
          <w:szCs w:val="20"/>
        </w:rPr>
        <w:t>Security does not meet the criteria for discontinued operations reporting, and as a result its operating results and cash flows are not separately stated as a discontinued operation in the accompanying unaudited Condensed Consolidated Financial Statements.</w:t>
      </w:r>
      <w:r>
        <w:rPr>
          <w:rFonts w:ascii="Times New Roman" w:eastAsia="宋体" w:hAnsi="Times New Roman"/>
          <w:color w:val="000000"/>
          <w:sz w:val="20"/>
          <w:szCs w:val="20"/>
        </w:rPr>
        <w:t xml:space="preserve"> RSA Security does not meet the requirements for a reportable segment and, consequently, its operating results are included within Other businesses.</w:t>
      </w:r>
    </w:p>
    <w:p w14:paraId="33DAA145" w14:textId="77777777" w:rsidR="004D6A64" w:rsidRDefault="004D6A64"/>
    <w:p w14:paraId="33DAA146" w14:textId="77777777" w:rsidR="004D6A64" w:rsidRDefault="00506CD6">
      <w:r>
        <w:rPr>
          <w:rFonts w:ascii="Times New Roman" w:eastAsia="宋体" w:hAnsi="Times New Roman"/>
          <w:i/>
          <w:iCs/>
          <w:color w:val="000000"/>
          <w:sz w:val="20"/>
          <w:szCs w:val="20"/>
        </w:rPr>
        <w:t xml:space="preserve">VMware, Inc. Acquisition of Pivotal </w:t>
      </w:r>
      <w:r>
        <w:rPr>
          <w:rFonts w:ascii="Times New Roman" w:eastAsia="宋体" w:hAnsi="Times New Roman"/>
          <w:color w:val="000000"/>
          <w:sz w:val="20"/>
          <w:szCs w:val="20"/>
        </w:rPr>
        <w:t>— On December 30, 2019, VMware, Inc. completed its acquisition of Pivo</w:t>
      </w:r>
      <w:r>
        <w:rPr>
          <w:rFonts w:ascii="Times New Roman" w:eastAsia="宋体" w:hAnsi="Times New Roman"/>
          <w:color w:val="000000"/>
          <w:sz w:val="20"/>
          <w:szCs w:val="20"/>
        </w:rPr>
        <w:t>tal Software, Inc. (“Pivotal”) from the Company by merger (the “Pivotal acquisition”), with Pivotal surviving the merger as a wholly-owned subsidiary of VMware, Inc. Each outstanding share of Pivotal’s Class A common stock (other than shares held by Pivota</w:t>
      </w:r>
      <w:r>
        <w:rPr>
          <w:rFonts w:ascii="Times New Roman" w:eastAsia="宋体" w:hAnsi="Times New Roman"/>
          <w:color w:val="000000"/>
          <w:sz w:val="20"/>
          <w:szCs w:val="20"/>
        </w:rPr>
        <w:t xml:space="preserve">l stockholders who properly exercised their appraisal rights under Delaware law) was converted into the right to receive $15.00 in cash, without interest, and each outstanding share of Pivotal’s Class B common stock was converted into the right to receive </w:t>
      </w:r>
      <w:r>
        <w:rPr>
          <w:rFonts w:ascii="Times New Roman" w:eastAsia="宋体" w:hAnsi="Times New Roman"/>
          <w:color w:val="000000"/>
          <w:sz w:val="20"/>
          <w:szCs w:val="20"/>
        </w:rPr>
        <w:t>0.0550 of a share of Class B common stock of VMware, Inc. Dell Technologies, which held all outstanding shares of Pivotal’s Class B common stock, received approximately 7.2 million shares of Class B common stock of VMware, Inc. in the transaction. As of th</w:t>
      </w:r>
      <w:r>
        <w:rPr>
          <w:rFonts w:ascii="Times New Roman" w:eastAsia="宋体" w:hAnsi="Times New Roman"/>
          <w:color w:val="000000"/>
          <w:sz w:val="20"/>
          <w:szCs w:val="20"/>
        </w:rPr>
        <w:t>e transaction date, Pivotal’s Class A common stock (NYSE: PVTL) ceased to be listed and traded on the New York Stock Exchange (“NYSE”).</w:t>
      </w:r>
    </w:p>
    <w:p w14:paraId="33DAA147" w14:textId="77777777" w:rsidR="004D6A64" w:rsidRDefault="004D6A64"/>
    <w:p w14:paraId="33DAA148" w14:textId="77777777" w:rsidR="004D6A64" w:rsidRDefault="00506CD6">
      <w:r>
        <w:rPr>
          <w:rFonts w:ascii="Times New Roman" w:eastAsia="宋体" w:hAnsi="Times New Roman"/>
          <w:color w:val="000000"/>
          <w:sz w:val="20"/>
          <w:szCs w:val="20"/>
        </w:rPr>
        <w:t>Due to the Company’s ownership of a controlling interest in Pivotal, the Company and VMware, Inc. accounted for the acq</w:t>
      </w:r>
      <w:r>
        <w:rPr>
          <w:rFonts w:ascii="Times New Roman" w:eastAsia="宋体" w:hAnsi="Times New Roman"/>
          <w:color w:val="000000"/>
          <w:sz w:val="20"/>
          <w:szCs w:val="20"/>
        </w:rPr>
        <w:t xml:space="preserve">uisition of the controlling interest in Pivotal as a transaction between entities under common control, and, consequently, the transaction had no net effect to the Company’s consolidated financial statements. Subsequent to the Pivotal acquisition, Pivotal </w:t>
      </w:r>
      <w:r>
        <w:rPr>
          <w:rFonts w:ascii="Times New Roman" w:eastAsia="宋体" w:hAnsi="Times New Roman"/>
          <w:color w:val="000000"/>
          <w:sz w:val="20"/>
          <w:szCs w:val="20"/>
        </w:rPr>
        <w:t>operates as a wholly-owned subsidiary of VMware, Inc. and Dell Technologies reports Pivotal results within the VMware reportable segment. Prior to the Pivotal acquisition, Pivotal results were reported within Other businesses. This change in Pivotal segmen</w:t>
      </w:r>
      <w:r>
        <w:rPr>
          <w:rFonts w:ascii="Times New Roman" w:eastAsia="宋体" w:hAnsi="Times New Roman"/>
          <w:color w:val="000000"/>
          <w:sz w:val="20"/>
          <w:szCs w:val="20"/>
        </w:rPr>
        <w:t>t classification was reflected retrospectively and is presented in Note 17 of the Notes to the Condensed Consolidated Financial Statements.</w:t>
      </w:r>
    </w:p>
    <w:p w14:paraId="33DAA149" w14:textId="77777777" w:rsidR="004D6A64" w:rsidRDefault="004D6A64"/>
    <w:p w14:paraId="33DAA14A" w14:textId="77777777" w:rsidR="004D6A64" w:rsidRDefault="004D6A64">
      <w:pPr>
        <w:jc w:val="center"/>
      </w:pPr>
    </w:p>
    <w:p w14:paraId="33DAA14B" w14:textId="77777777" w:rsidR="004D6A64" w:rsidRDefault="00506CD6">
      <w:pPr>
        <w:jc w:val="center"/>
      </w:pPr>
      <w:r>
        <w:rPr>
          <w:rFonts w:ascii="Times New Roman" w:eastAsia="宋体" w:hAnsi="Times New Roman"/>
          <w:color w:val="000000"/>
          <w:sz w:val="20"/>
          <w:szCs w:val="20"/>
        </w:rPr>
        <w:t>14</w:t>
      </w:r>
    </w:p>
    <w:p w14:paraId="33DAA14C" w14:textId="77777777" w:rsidR="004D6A64" w:rsidRDefault="004D6A64">
      <w:pPr>
        <w:jc w:val="center"/>
      </w:pPr>
    </w:p>
    <w:p w14:paraId="33DAA14D" w14:textId="77777777" w:rsidR="004D6A64" w:rsidRDefault="00506CD6">
      <w:r>
        <w:pict w14:anchorId="33DAFAD2">
          <v:rect id="_x0000_i1038" style="width:415.3pt;height:1.5pt" o:hralign="center" o:hrstd="t" o:hr="t" fillcolor="#a0a0a0" stroked="f"/>
        </w:pict>
      </w:r>
    </w:p>
    <w:p w14:paraId="33DAA14E" w14:textId="77777777" w:rsidR="004D6A64" w:rsidRDefault="00506CD6">
      <w:hyperlink r:id="rId137" w:anchor="if3e0e1bf9ecd4bf69551d7a85f98d64a_10" w:history="1">
        <w:r>
          <w:rPr>
            <w:rStyle w:val="a5"/>
            <w:rFonts w:ascii="Times New Roman" w:eastAsia="宋体" w:hAnsi="Times New Roman"/>
            <w:sz w:val="20"/>
            <w:szCs w:val="20"/>
          </w:rPr>
          <w:t>Table of Contents</w:t>
        </w:r>
      </w:hyperlink>
    </w:p>
    <w:p w14:paraId="33DAA14F"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A150" w14:textId="77777777" w:rsidR="004D6A64" w:rsidRDefault="00506CD6">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33DAA151"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A152" w14:textId="77777777" w:rsidR="004D6A64" w:rsidRDefault="004D6A64">
      <w:pPr>
        <w:jc w:val="center"/>
      </w:pPr>
    </w:p>
    <w:p w14:paraId="33DAA153" w14:textId="77777777" w:rsidR="004D6A64" w:rsidRDefault="00506CD6">
      <w:r>
        <w:rPr>
          <w:rFonts w:ascii="Times New Roman" w:eastAsia="宋体" w:hAnsi="Times New Roman"/>
          <w:i/>
          <w:iCs/>
          <w:color w:val="000000"/>
          <w:sz w:val="20"/>
          <w:szCs w:val="20"/>
        </w:rPr>
        <w:t>Class V Transaction</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On December 28, 2018, the Company completed a transaction (the “Class V transaction”) in which it paid $14.0 billion in cash and issued 149,387,617 shares of its Class C Common Stock to holders of i</w:t>
      </w:r>
      <w:r>
        <w:rPr>
          <w:rFonts w:ascii="Times New Roman" w:eastAsia="宋体" w:hAnsi="Times New Roman"/>
          <w:color w:val="000000"/>
          <w:sz w:val="20"/>
          <w:szCs w:val="20"/>
        </w:rPr>
        <w:t xml:space="preserve">ts Class V Common Stock in exchange for all outstanding shares of Class V Common Stock. The non-cash consideration portion of the Class V transaction totaled $6.9 billion. As a result of the Class V transaction, the tracking stock feature of the Company’s </w:t>
      </w:r>
      <w:r>
        <w:rPr>
          <w:rFonts w:ascii="Times New Roman" w:eastAsia="宋体" w:hAnsi="Times New Roman"/>
          <w:color w:val="000000"/>
          <w:sz w:val="20"/>
          <w:szCs w:val="20"/>
        </w:rPr>
        <w:t>capital structure associated with the Class V Common Stock was terminated. The Class C Common Stock is traded on the NYSE.</w:t>
      </w:r>
    </w:p>
    <w:p w14:paraId="33DAA154" w14:textId="77777777" w:rsidR="004D6A64" w:rsidRDefault="004D6A64"/>
    <w:p w14:paraId="33DAA155" w14:textId="77777777" w:rsidR="004D6A64" w:rsidRDefault="00506CD6">
      <w:r>
        <w:rPr>
          <w:rFonts w:ascii="Times New Roman" w:eastAsia="宋体" w:hAnsi="Times New Roman"/>
          <w:color w:val="000000"/>
          <w:sz w:val="20"/>
          <w:szCs w:val="20"/>
        </w:rPr>
        <w:t>The merger pursuant to which the Class V transaction was effected and the Class V transaction have been accounted for as a hybrid li</w:t>
      </w:r>
      <w:r>
        <w:rPr>
          <w:rFonts w:ascii="Times New Roman" w:eastAsia="宋体" w:hAnsi="Times New Roman"/>
          <w:color w:val="000000"/>
          <w:sz w:val="20"/>
          <w:szCs w:val="20"/>
        </w:rPr>
        <w:t xml:space="preserve">ability and equity transaction involving the repurchase of outstanding common stock, with the consideration consisting of a variable combination of cash and shares. Upon settlement, the accounting for the Class V transaction reflected that the outstanding </w:t>
      </w:r>
      <w:r>
        <w:rPr>
          <w:rFonts w:ascii="Times New Roman" w:eastAsia="宋体" w:hAnsi="Times New Roman"/>
          <w:color w:val="000000"/>
          <w:sz w:val="20"/>
          <w:szCs w:val="20"/>
        </w:rPr>
        <w:t xml:space="preserve">Class V Common Stock was canceled and exchanged for shares of Class C Common Stock at $120.00 per share in cash or combination of cash and shares, depending on each holder’s election and subject to proration of the cash elections. </w:t>
      </w:r>
    </w:p>
    <w:p w14:paraId="33DAA156" w14:textId="77777777" w:rsidR="004D6A64" w:rsidRDefault="004D6A64"/>
    <w:p w14:paraId="33DAA157" w14:textId="77777777" w:rsidR="004D6A64" w:rsidRDefault="00506CD6">
      <w:r>
        <w:rPr>
          <w:rFonts w:ascii="Times New Roman" w:eastAsia="宋体" w:hAnsi="Times New Roman"/>
          <w:i/>
          <w:iCs/>
          <w:color w:val="000000"/>
          <w:sz w:val="20"/>
          <w:szCs w:val="20"/>
        </w:rPr>
        <w:t>EMC Merger Transaction</w:t>
      </w:r>
      <w:r>
        <w:rPr>
          <w:rFonts w:ascii="Times New Roman" w:eastAsia="宋体" w:hAnsi="Times New Roman"/>
          <w:color w:val="000000"/>
          <w:sz w:val="20"/>
          <w:szCs w:val="20"/>
        </w:rPr>
        <w:t xml:space="preserve"> </w:t>
      </w:r>
      <w:r>
        <w:rPr>
          <w:rFonts w:ascii="Times New Roman" w:eastAsia="宋体" w:hAnsi="Times New Roman"/>
          <w:color w:val="000000"/>
          <w:sz w:val="20"/>
          <w:szCs w:val="20"/>
        </w:rPr>
        <w:t>— On September 7, 2016, the Company completed its acquisition of EMC Corporation (“EMC”) by merger (the “EMC merger transaction”). The consolidated results of EMC are included in Dell Technologies’ consolidated results presented in these financial statemen</w:t>
      </w:r>
      <w:r>
        <w:rPr>
          <w:rFonts w:ascii="Times New Roman" w:eastAsia="宋体" w:hAnsi="Times New Roman"/>
          <w:color w:val="000000"/>
          <w:sz w:val="20"/>
          <w:szCs w:val="20"/>
        </w:rPr>
        <w:t>ts.</w:t>
      </w:r>
    </w:p>
    <w:p w14:paraId="33DAA158" w14:textId="77777777" w:rsidR="004D6A64" w:rsidRDefault="004D6A64"/>
    <w:p w14:paraId="33DAA159" w14:textId="77777777" w:rsidR="004D6A64" w:rsidRDefault="00506CD6">
      <w:r>
        <w:rPr>
          <w:rFonts w:ascii="Times New Roman" w:eastAsia="宋体" w:hAnsi="Times New Roman"/>
          <w:i/>
          <w:iCs/>
          <w:color w:val="000000"/>
          <w:sz w:val="20"/>
          <w:szCs w:val="20"/>
          <w:u w:val="single"/>
        </w:rPr>
        <w:t>Recently Issued Accounting Pronouncements</w:t>
      </w:r>
    </w:p>
    <w:p w14:paraId="33DAA15A" w14:textId="77777777" w:rsidR="004D6A64" w:rsidRDefault="004D6A64"/>
    <w:p w14:paraId="33DAA15B" w14:textId="77777777" w:rsidR="004D6A64" w:rsidRDefault="00506CD6">
      <w:r>
        <w:rPr>
          <w:rFonts w:ascii="Times New Roman" w:eastAsia="宋体" w:hAnsi="Times New Roman"/>
          <w:i/>
          <w:iCs/>
          <w:color w:val="000000"/>
          <w:sz w:val="20"/>
          <w:szCs w:val="20"/>
        </w:rPr>
        <w:t xml:space="preserve">Accounting for Convertible Instruments and Contracts in an Entity’s Own Equity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In August 2020, the Financial Accounting Standards Board (“FASB”) issued guidance to simplify the accounting for convertible de</w:t>
      </w:r>
      <w:r>
        <w:rPr>
          <w:rFonts w:ascii="Times New Roman" w:eastAsia="宋体" w:hAnsi="Times New Roman"/>
          <w:color w:val="000000"/>
          <w:sz w:val="20"/>
          <w:szCs w:val="20"/>
        </w:rPr>
        <w:t>bt instruments and convertible preferred stock, and the derivatives scope exception for contracts in an entity's own equity. In addition, the guidance on calculating diluted earnings per share has been simplified and made more internally consistent. Public</w:t>
      </w:r>
      <w:r>
        <w:rPr>
          <w:rFonts w:ascii="Times New Roman" w:eastAsia="宋体" w:hAnsi="Times New Roman"/>
          <w:color w:val="000000"/>
          <w:sz w:val="20"/>
          <w:szCs w:val="20"/>
        </w:rPr>
        <w:t xml:space="preserve"> entities must adopt the new guidance for fiscal years beginning after December 15, 2021, and interim periods within those fiscal years, with early adoption permitted for fiscal periods beginning after December 15, 2020. The Company is currently evaluating</w:t>
      </w:r>
      <w:r>
        <w:rPr>
          <w:rFonts w:ascii="Times New Roman" w:eastAsia="宋体" w:hAnsi="Times New Roman"/>
          <w:color w:val="000000"/>
          <w:sz w:val="20"/>
          <w:szCs w:val="20"/>
        </w:rPr>
        <w:t xml:space="preserve"> the impact and timing of adoption of this guidance.</w:t>
      </w:r>
    </w:p>
    <w:p w14:paraId="33DAA15C" w14:textId="77777777" w:rsidR="004D6A64" w:rsidRDefault="004D6A64"/>
    <w:p w14:paraId="33DAA15D" w14:textId="77777777" w:rsidR="004D6A64" w:rsidRDefault="00506CD6">
      <w:r>
        <w:rPr>
          <w:rFonts w:ascii="Times New Roman" w:eastAsia="宋体" w:hAnsi="Times New Roman"/>
          <w:i/>
          <w:iCs/>
          <w:color w:val="000000"/>
          <w:sz w:val="20"/>
          <w:szCs w:val="20"/>
        </w:rPr>
        <w:t xml:space="preserve">Simplifying Accounting for Income Taxes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In December 2019, the FASB issued guidance to simplify the accounting for income taxes by removing certain exceptions to the general principles in Topic 740, </w:t>
      </w:r>
      <w:r>
        <w:rPr>
          <w:rFonts w:ascii="Times New Roman" w:eastAsia="宋体" w:hAnsi="Times New Roman"/>
          <w:i/>
          <w:iCs/>
          <w:color w:val="000000"/>
          <w:sz w:val="20"/>
          <w:szCs w:val="20"/>
        </w:rPr>
        <w:t>In</w:t>
      </w:r>
      <w:r>
        <w:rPr>
          <w:rFonts w:ascii="Times New Roman" w:eastAsia="宋体" w:hAnsi="Times New Roman"/>
          <w:i/>
          <w:iCs/>
          <w:color w:val="000000"/>
          <w:sz w:val="20"/>
          <w:szCs w:val="20"/>
        </w:rPr>
        <w:t>come Taxes</w:t>
      </w:r>
      <w:r>
        <w:rPr>
          <w:rFonts w:ascii="Times New Roman" w:eastAsia="宋体" w:hAnsi="Times New Roman"/>
          <w:color w:val="000000"/>
          <w:sz w:val="20"/>
          <w:szCs w:val="20"/>
        </w:rPr>
        <w:t>, and by clarifying and amending existing guidance in order to improve consistent application of GAAP for other areas of Topic 740. Public entities must adopt the new guidance for fiscal years beginning after December 15, 2020, and interim period</w:t>
      </w:r>
      <w:r>
        <w:rPr>
          <w:rFonts w:ascii="Times New Roman" w:eastAsia="宋体" w:hAnsi="Times New Roman"/>
          <w:color w:val="000000"/>
          <w:sz w:val="20"/>
          <w:szCs w:val="20"/>
        </w:rPr>
        <w:t>s within those fiscal years, with early adoption permitted for fiscal periods beginning after December 15, 2019. The Company is currently evaluating the impact and timing of adoption of this guidance.</w:t>
      </w:r>
    </w:p>
    <w:p w14:paraId="33DAA15E" w14:textId="77777777" w:rsidR="004D6A64" w:rsidRDefault="004D6A64"/>
    <w:p w14:paraId="33DAA15F" w14:textId="77777777" w:rsidR="004D6A64" w:rsidRDefault="00506CD6">
      <w:r>
        <w:rPr>
          <w:rFonts w:ascii="Times New Roman" w:eastAsia="宋体" w:hAnsi="Times New Roman"/>
          <w:i/>
          <w:iCs/>
          <w:color w:val="000000"/>
          <w:sz w:val="20"/>
          <w:szCs w:val="20"/>
          <w:u w:val="single"/>
        </w:rPr>
        <w:t>Recently Adopted Accounting Pronouncements</w:t>
      </w:r>
    </w:p>
    <w:p w14:paraId="33DAA160" w14:textId="77777777" w:rsidR="004D6A64" w:rsidRDefault="004D6A64"/>
    <w:p w14:paraId="33DAA161" w14:textId="77777777" w:rsidR="004D6A64" w:rsidRDefault="00506CD6">
      <w:r>
        <w:rPr>
          <w:rFonts w:ascii="Times New Roman" w:eastAsia="宋体" w:hAnsi="Times New Roman"/>
          <w:i/>
          <w:iCs/>
          <w:color w:val="000000"/>
          <w:sz w:val="20"/>
          <w:szCs w:val="20"/>
        </w:rPr>
        <w:t>Measuremen</w:t>
      </w:r>
      <w:r>
        <w:rPr>
          <w:rFonts w:ascii="Times New Roman" w:eastAsia="宋体" w:hAnsi="Times New Roman"/>
          <w:i/>
          <w:iCs/>
          <w:color w:val="000000"/>
          <w:sz w:val="20"/>
          <w:szCs w:val="20"/>
        </w:rPr>
        <w:t>t of Credit Losses on Financial Instruments</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In June 2016, the FASB issued amended guidance which replaces the current incurred loss impairment methodology for measurement of credit losses on financial instruments with a methodology (the “current expected</w:t>
      </w:r>
      <w:r>
        <w:rPr>
          <w:rFonts w:ascii="Times New Roman" w:eastAsia="宋体" w:hAnsi="Times New Roman"/>
          <w:color w:val="000000"/>
          <w:sz w:val="20"/>
          <w:szCs w:val="20"/>
        </w:rPr>
        <w:t xml:space="preserve"> credit losses model” or “CECL model”) that reflects expected credit losses and requires consideration of a broader range of reasonable and supportable information to inform credit loss estimates. Under the CECL model, the allowance for losses on financial</w:t>
      </w:r>
      <w:r>
        <w:rPr>
          <w:rFonts w:ascii="Times New Roman" w:eastAsia="宋体" w:hAnsi="Times New Roman"/>
          <w:color w:val="000000"/>
          <w:sz w:val="20"/>
          <w:szCs w:val="20"/>
        </w:rPr>
        <w:t xml:space="preserve"> assets, measured at amortized cost, reflects management’s estimate of credit losses over the remaining expected life of such assets. </w:t>
      </w:r>
    </w:p>
    <w:p w14:paraId="33DAA162" w14:textId="77777777" w:rsidR="004D6A64" w:rsidRDefault="004D6A64"/>
    <w:p w14:paraId="33DAA163" w14:textId="77777777" w:rsidR="004D6A64" w:rsidRDefault="00506CD6">
      <w:r>
        <w:rPr>
          <w:rFonts w:ascii="Times New Roman" w:eastAsia="宋体" w:hAnsi="Times New Roman"/>
          <w:color w:val="000000"/>
          <w:sz w:val="20"/>
          <w:szCs w:val="20"/>
        </w:rPr>
        <w:t>The Company adopted the standard (the “new CECL standard”) as of February 1, 2020 using the modified retrospective metho</w:t>
      </w:r>
      <w:r>
        <w:rPr>
          <w:rFonts w:ascii="Times New Roman" w:eastAsia="宋体" w:hAnsi="Times New Roman"/>
          <w:color w:val="000000"/>
          <w:sz w:val="20"/>
          <w:szCs w:val="20"/>
        </w:rPr>
        <w:t xml:space="preserve">d, with the cumulative-effect adjustment to the opening balance of stockholders’ equity (deficit) as of the adoption date. The cumulative effect of adopting the new CECL standard resulted in an increase of $111 million and $27 million to the allowance for </w:t>
      </w:r>
      <w:r>
        <w:rPr>
          <w:rFonts w:ascii="Times New Roman" w:eastAsia="宋体" w:hAnsi="Times New Roman"/>
          <w:color w:val="000000"/>
          <w:sz w:val="20"/>
          <w:szCs w:val="20"/>
        </w:rPr>
        <w:t>expected credit losses within financing receivables, net and accounts receivable, net, respectively, on the Condensed Consolidated Statements of Financial Position, and a corresponding decrease of $28 million to other non-current liabilities related to def</w:t>
      </w:r>
      <w:r>
        <w:rPr>
          <w:rFonts w:ascii="Times New Roman" w:eastAsia="宋体" w:hAnsi="Times New Roman"/>
          <w:color w:val="000000"/>
          <w:sz w:val="20"/>
          <w:szCs w:val="20"/>
        </w:rPr>
        <w:t>erred taxes and $110 million to stockholders’ equity (deficit) as of February 1, 2020. See Note 2, Note 4, and Note 18 of the Notes to the Condensed Consolidated Financial Statements for additional information about the Company’s allowance for financing re</w:t>
      </w:r>
      <w:r>
        <w:rPr>
          <w:rFonts w:ascii="Times New Roman" w:eastAsia="宋体" w:hAnsi="Times New Roman"/>
          <w:color w:val="000000"/>
          <w:sz w:val="20"/>
          <w:szCs w:val="20"/>
        </w:rPr>
        <w:t>ceivables losses and allowance for expected credit losses of accounts receivable.</w:t>
      </w:r>
    </w:p>
    <w:p w14:paraId="33DAA164" w14:textId="77777777" w:rsidR="004D6A64" w:rsidRDefault="004D6A64"/>
    <w:p w14:paraId="33DAA165" w14:textId="77777777" w:rsidR="004D6A64" w:rsidRDefault="004D6A64">
      <w:pPr>
        <w:jc w:val="center"/>
      </w:pPr>
    </w:p>
    <w:p w14:paraId="33DAA166" w14:textId="77777777" w:rsidR="004D6A64" w:rsidRDefault="00506CD6">
      <w:pPr>
        <w:jc w:val="center"/>
      </w:pPr>
      <w:r>
        <w:rPr>
          <w:rFonts w:ascii="Times New Roman" w:eastAsia="宋体" w:hAnsi="Times New Roman"/>
          <w:color w:val="000000"/>
          <w:sz w:val="20"/>
          <w:szCs w:val="20"/>
        </w:rPr>
        <w:t>15</w:t>
      </w:r>
    </w:p>
    <w:p w14:paraId="33DAA167" w14:textId="77777777" w:rsidR="004D6A64" w:rsidRDefault="004D6A64">
      <w:pPr>
        <w:jc w:val="center"/>
      </w:pPr>
    </w:p>
    <w:p w14:paraId="33DAA168" w14:textId="77777777" w:rsidR="004D6A64" w:rsidRDefault="00506CD6">
      <w:r>
        <w:pict w14:anchorId="33DAFAD3">
          <v:rect id="_x0000_i1039" style="width:415.3pt;height:1.5pt" o:hralign="center" o:hrstd="t" o:hr="t" fillcolor="#a0a0a0" stroked="f"/>
        </w:pict>
      </w:r>
    </w:p>
    <w:p w14:paraId="33DAA169" w14:textId="77777777" w:rsidR="004D6A64" w:rsidRDefault="00506CD6">
      <w:hyperlink r:id="rId138" w:anchor="if3e0e1bf9ecd4bf69551d7a85f98d64a_10" w:history="1">
        <w:r>
          <w:rPr>
            <w:rStyle w:val="a5"/>
            <w:rFonts w:ascii="Times New Roman" w:eastAsia="宋体" w:hAnsi="Times New Roman"/>
            <w:sz w:val="20"/>
            <w:szCs w:val="20"/>
          </w:rPr>
          <w:t>Table of Contents</w:t>
        </w:r>
      </w:hyperlink>
    </w:p>
    <w:p w14:paraId="33DAA16A"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A16B" w14:textId="77777777" w:rsidR="004D6A64" w:rsidRDefault="00506CD6">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33DAA16C"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A16D" w14:textId="77777777" w:rsidR="004D6A64" w:rsidRDefault="004D6A64">
      <w:pPr>
        <w:jc w:val="center"/>
      </w:pPr>
    </w:p>
    <w:p w14:paraId="33DAA16E" w14:textId="77777777" w:rsidR="004D6A64" w:rsidRDefault="00506CD6">
      <w:r>
        <w:rPr>
          <w:rFonts w:ascii="Times New Roman" w:eastAsia="宋体" w:hAnsi="Times New Roman"/>
          <w:i/>
          <w:iCs/>
          <w:color w:val="000000"/>
          <w:sz w:val="20"/>
          <w:szCs w:val="20"/>
        </w:rPr>
        <w:t xml:space="preserve">Intangibles - Goodwill and Other - Internal-Use Software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In August 2018, the FASB issued guidance on a customer’s accounting for implementation costs incurred in a cloud-computing arrangement when hosted by a vendor. T</w:t>
      </w:r>
      <w:r>
        <w:rPr>
          <w:rFonts w:ascii="Times New Roman" w:eastAsia="宋体" w:hAnsi="Times New Roman"/>
          <w:color w:val="000000"/>
          <w:sz w:val="20"/>
          <w:szCs w:val="20"/>
        </w:rPr>
        <w:t xml:space="preserve">he guidance provides that, in a hosting arrangement that is a service contract, certain implementation costs should be capitalized and amortized over the term of the arrangement. The Company adopted the standard (the “new cloud computing standard”) during </w:t>
      </w:r>
      <w:r>
        <w:rPr>
          <w:rFonts w:ascii="Times New Roman" w:eastAsia="宋体" w:hAnsi="Times New Roman"/>
          <w:color w:val="000000"/>
          <w:sz w:val="20"/>
          <w:szCs w:val="20"/>
        </w:rPr>
        <w:t>the three months ended May 1, 2020 using the prospective method. The impact of the adoption of this standard was immaterial to the Condensed Consolidated Financial Statements.</w:t>
      </w:r>
    </w:p>
    <w:p w14:paraId="33DAA16F" w14:textId="77777777" w:rsidR="004D6A64" w:rsidRDefault="004D6A64"/>
    <w:p w14:paraId="33DAA170" w14:textId="77777777" w:rsidR="004D6A64" w:rsidRDefault="004D6A64">
      <w:pPr>
        <w:jc w:val="center"/>
      </w:pPr>
    </w:p>
    <w:p w14:paraId="33DAA171" w14:textId="77777777" w:rsidR="004D6A64" w:rsidRDefault="00506CD6">
      <w:pPr>
        <w:jc w:val="center"/>
      </w:pPr>
      <w:r>
        <w:rPr>
          <w:rFonts w:ascii="Times New Roman" w:eastAsia="宋体" w:hAnsi="Times New Roman"/>
          <w:color w:val="000000"/>
          <w:sz w:val="20"/>
          <w:szCs w:val="20"/>
        </w:rPr>
        <w:t>16</w:t>
      </w:r>
    </w:p>
    <w:p w14:paraId="33DAA172" w14:textId="77777777" w:rsidR="004D6A64" w:rsidRDefault="004D6A64">
      <w:pPr>
        <w:jc w:val="center"/>
      </w:pPr>
    </w:p>
    <w:p w14:paraId="33DAA173" w14:textId="77777777" w:rsidR="004D6A64" w:rsidRDefault="00506CD6">
      <w:r>
        <w:pict w14:anchorId="33DAFAD4">
          <v:rect id="_x0000_i1040" style="width:415.3pt;height:1.5pt" o:hralign="center" o:hrstd="t" o:hr="t" fillcolor="#a0a0a0" stroked="f"/>
        </w:pict>
      </w:r>
    </w:p>
    <w:p w14:paraId="33DAA174" w14:textId="77777777" w:rsidR="004D6A64" w:rsidRDefault="00506CD6">
      <w:hyperlink r:id="rId139" w:anchor="if3e0e1bf9ecd4bf69551d7a85f98d64a_10" w:history="1">
        <w:r>
          <w:rPr>
            <w:rStyle w:val="a5"/>
            <w:rFonts w:ascii="Times New Roman" w:eastAsia="宋体" w:hAnsi="Times New Roman"/>
            <w:sz w:val="20"/>
            <w:szCs w:val="20"/>
          </w:rPr>
          <w:t>Table of Contents</w:t>
        </w:r>
      </w:hyperlink>
    </w:p>
    <w:p w14:paraId="33DAA175"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A176"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33DAA177"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A178" w14:textId="77777777" w:rsidR="004D6A64" w:rsidRDefault="004D6A64">
      <w:pPr>
        <w:jc w:val="center"/>
      </w:pPr>
    </w:p>
    <w:p w14:paraId="33DAA179" w14:textId="77777777" w:rsidR="004D6A64" w:rsidRDefault="00506CD6">
      <w:r>
        <w:rPr>
          <w:rFonts w:ascii="Times New Roman" w:eastAsia="宋体" w:hAnsi="Times New Roman"/>
          <w:b/>
          <w:bCs/>
          <w:color w:val="000000"/>
          <w:sz w:val="20"/>
          <w:szCs w:val="20"/>
        </w:rPr>
        <w:t>NOTE 2 — INTERIM UPDATE TO SUMMARY OF SIGNIFICANT A</w:t>
      </w:r>
      <w:r>
        <w:rPr>
          <w:rFonts w:ascii="Times New Roman" w:eastAsia="宋体" w:hAnsi="Times New Roman"/>
          <w:b/>
          <w:bCs/>
          <w:color w:val="000000"/>
          <w:sz w:val="20"/>
          <w:szCs w:val="20"/>
        </w:rPr>
        <w:t xml:space="preserve">CCOUNTING POLICIES </w:t>
      </w:r>
    </w:p>
    <w:p w14:paraId="33DAA17A" w14:textId="77777777" w:rsidR="004D6A64" w:rsidRDefault="004D6A64"/>
    <w:p w14:paraId="33DAA17B" w14:textId="77777777" w:rsidR="004D6A64" w:rsidRDefault="00506CD6">
      <w:r>
        <w:rPr>
          <w:rFonts w:ascii="Times New Roman" w:eastAsia="宋体" w:hAnsi="Times New Roman"/>
          <w:color w:val="000000"/>
          <w:sz w:val="20"/>
          <w:szCs w:val="20"/>
        </w:rPr>
        <w:t>As discussed in Note 1 of the Notes to the Condensed Consolidated Financial Statements, the Company adopted the new CECL standard as of February 1, 2020 using the modified retrospective method. The new impairment methodology for measur</w:t>
      </w:r>
      <w:r>
        <w:rPr>
          <w:rFonts w:ascii="Times New Roman" w:eastAsia="宋体" w:hAnsi="Times New Roman"/>
          <w:color w:val="000000"/>
          <w:sz w:val="20"/>
          <w:szCs w:val="20"/>
        </w:rPr>
        <w:t>ement of credit losses on financial instruments reflects expected credit losses and requires consideration of a broader range of reasonable and supportable information to inform credit loss estimates. Additionally, the Company adopted the new cloud computi</w:t>
      </w:r>
      <w:r>
        <w:rPr>
          <w:rFonts w:ascii="Times New Roman" w:eastAsia="宋体" w:hAnsi="Times New Roman"/>
          <w:color w:val="000000"/>
          <w:sz w:val="20"/>
          <w:szCs w:val="20"/>
        </w:rPr>
        <w:t>ng standard during the three months ended May 1, 2020 using the prospective method. In a cloud-computing hosting arrangement hosted by a vendor that is a service contract, certain implementation costs should be capitalized and amortized over the term of th</w:t>
      </w:r>
      <w:r>
        <w:rPr>
          <w:rFonts w:ascii="Times New Roman" w:eastAsia="宋体" w:hAnsi="Times New Roman"/>
          <w:color w:val="000000"/>
          <w:sz w:val="20"/>
          <w:szCs w:val="20"/>
        </w:rPr>
        <w:t>e arrangement. The following accounting policies have been updated as part of the adoption of the new standards.</w:t>
      </w:r>
    </w:p>
    <w:p w14:paraId="33DAA17C" w14:textId="77777777" w:rsidR="004D6A64" w:rsidRDefault="004D6A64"/>
    <w:p w14:paraId="33DAA17D" w14:textId="77777777" w:rsidR="004D6A64" w:rsidRDefault="00506CD6">
      <w:r>
        <w:rPr>
          <w:rFonts w:ascii="Times New Roman" w:eastAsia="宋体" w:hAnsi="Times New Roman"/>
          <w:i/>
          <w:iCs/>
          <w:color w:val="000000"/>
          <w:sz w:val="20"/>
          <w:szCs w:val="20"/>
        </w:rPr>
        <w:t xml:space="preserve">Allowance for Expected Credit Losses </w:t>
      </w:r>
      <w:r>
        <w:rPr>
          <w:rFonts w:ascii="Times New Roman" w:eastAsia="宋体" w:hAnsi="Times New Roman"/>
          <w:color w:val="000000"/>
          <w:sz w:val="20"/>
          <w:szCs w:val="20"/>
        </w:rPr>
        <w:t>— The Company recognizes an allowance for losses on accounts receivable in an amount equal to the current</w:t>
      </w:r>
      <w:r>
        <w:rPr>
          <w:rFonts w:ascii="Times New Roman" w:eastAsia="宋体" w:hAnsi="Times New Roman"/>
          <w:color w:val="000000"/>
          <w:sz w:val="20"/>
          <w:szCs w:val="20"/>
        </w:rPr>
        <w:t xml:space="preserve"> expected credit losses. The estimation of the allowance is based on an analysis of historical loss experience, current receivables aging, and management’s assessment of current conditions and reasonable and supportable expectation of future conditions, as</w:t>
      </w:r>
      <w:r>
        <w:rPr>
          <w:rFonts w:ascii="Times New Roman" w:eastAsia="宋体" w:hAnsi="Times New Roman"/>
          <w:color w:val="000000"/>
          <w:sz w:val="20"/>
          <w:szCs w:val="20"/>
        </w:rPr>
        <w:t xml:space="preserve"> well as an assessment of specific identifiable customer accounts considered at risk or uncollectible. The Company assesses collectibility by pooling receivables where similar characteristics exist and evaluates receivables individually when specific custo</w:t>
      </w:r>
      <w:r>
        <w:rPr>
          <w:rFonts w:ascii="Times New Roman" w:eastAsia="宋体" w:hAnsi="Times New Roman"/>
          <w:color w:val="000000"/>
          <w:sz w:val="20"/>
          <w:szCs w:val="20"/>
        </w:rPr>
        <w:t>mer balances no longer share those risk characteristics and are considered at risk or uncollectible. The expense associated with the allowance for expected credit losses is recognized in selling, general, and administrative expenses.</w:t>
      </w:r>
    </w:p>
    <w:p w14:paraId="33DAA17E" w14:textId="77777777" w:rsidR="004D6A64" w:rsidRDefault="004D6A64"/>
    <w:p w14:paraId="33DAA17F" w14:textId="77777777" w:rsidR="004D6A64" w:rsidRDefault="00506CD6">
      <w:r>
        <w:rPr>
          <w:rFonts w:ascii="Times New Roman" w:eastAsia="宋体" w:hAnsi="Times New Roman"/>
          <w:i/>
          <w:iCs/>
          <w:color w:val="000000"/>
          <w:sz w:val="20"/>
          <w:szCs w:val="20"/>
        </w:rPr>
        <w:t xml:space="preserve">Allowance for Financing Receivables Losses </w:t>
      </w:r>
      <w:r>
        <w:rPr>
          <w:rFonts w:ascii="Times New Roman" w:eastAsia="宋体" w:hAnsi="Times New Roman"/>
          <w:color w:val="000000"/>
          <w:sz w:val="20"/>
          <w:szCs w:val="20"/>
        </w:rPr>
        <w:t>— The Company recognizes an allowance for losses on financing receivables in an amount equal to the probable losses net of recoveries. The allowance for losses is determined based on various factors, including lif</w:t>
      </w:r>
      <w:r>
        <w:rPr>
          <w:rFonts w:ascii="Times New Roman" w:eastAsia="宋体" w:hAnsi="Times New Roman"/>
          <w:color w:val="000000"/>
          <w:sz w:val="20"/>
          <w:szCs w:val="20"/>
        </w:rPr>
        <w:t>etime expected losses determined using macroeconomic forecast assumptions and management judgments applicable to and through the expected life of the portfolios as well as past due receivables, receivable type, and customer risk profile. Both fixed and rev</w:t>
      </w:r>
      <w:r>
        <w:rPr>
          <w:rFonts w:ascii="Times New Roman" w:eastAsia="宋体" w:hAnsi="Times New Roman"/>
          <w:color w:val="000000"/>
          <w:sz w:val="20"/>
          <w:szCs w:val="20"/>
        </w:rPr>
        <w:t xml:space="preserve">olving receivable loss rates are affected by macroeconomic conditions, including the level of gross domestic product (“GDP”) growth, the level of commercial capital equipment investment, unemployment rates, and the credit quality of the borrower. </w:t>
      </w:r>
    </w:p>
    <w:p w14:paraId="33DAA180" w14:textId="77777777" w:rsidR="004D6A64" w:rsidRDefault="004D6A64"/>
    <w:p w14:paraId="33DAA181" w14:textId="77777777" w:rsidR="004D6A64" w:rsidRDefault="00506CD6">
      <w:r>
        <w:rPr>
          <w:rFonts w:ascii="Times New Roman" w:eastAsia="宋体" w:hAnsi="Times New Roman"/>
          <w:color w:val="000000"/>
          <w:sz w:val="20"/>
          <w:szCs w:val="20"/>
        </w:rPr>
        <w:t>Custome</w:t>
      </w:r>
      <w:r>
        <w:rPr>
          <w:rFonts w:ascii="Times New Roman" w:eastAsia="宋体" w:hAnsi="Times New Roman"/>
          <w:color w:val="000000"/>
          <w:sz w:val="20"/>
          <w:szCs w:val="20"/>
        </w:rPr>
        <w:t>r account principal and interest are charged to the allowance for losses when an account is deemed to be uncollectible or generally when the account is 180 days delinquent. While the Company does not generally place financing receivables on non-accrual sta</w:t>
      </w:r>
      <w:r>
        <w:rPr>
          <w:rFonts w:ascii="Times New Roman" w:eastAsia="宋体" w:hAnsi="Times New Roman"/>
          <w:color w:val="000000"/>
          <w:sz w:val="20"/>
          <w:szCs w:val="20"/>
        </w:rPr>
        <w:t>tus during the delinquency period, accrued interest is included in the allowance for loss calculation and, therefore, the Company is adequately reserved in the event of charge off. Recoveries on receivables previously charged off as uncollectible are recor</w:t>
      </w:r>
      <w:r>
        <w:rPr>
          <w:rFonts w:ascii="Times New Roman" w:eastAsia="宋体" w:hAnsi="Times New Roman"/>
          <w:color w:val="000000"/>
          <w:sz w:val="20"/>
          <w:szCs w:val="20"/>
        </w:rPr>
        <w:t xml:space="preserve">ded to the allowance for financing receivables losses. The expense associated with the allowance for financing receivables losses is recognized as cost of net revenue. </w:t>
      </w:r>
    </w:p>
    <w:p w14:paraId="33DAA182" w14:textId="77777777" w:rsidR="004D6A64" w:rsidRDefault="004D6A64"/>
    <w:p w14:paraId="33DAA183" w14:textId="77777777" w:rsidR="004D6A64" w:rsidRDefault="00506CD6">
      <w:r>
        <w:rPr>
          <w:rFonts w:ascii="Times New Roman" w:eastAsia="宋体" w:hAnsi="Times New Roman"/>
          <w:i/>
          <w:iCs/>
          <w:color w:val="000000"/>
          <w:sz w:val="20"/>
          <w:szCs w:val="20"/>
        </w:rPr>
        <w:t xml:space="preserve">Capitalized Software Development Costs </w:t>
      </w:r>
      <w:r>
        <w:rPr>
          <w:rFonts w:ascii="Times New Roman" w:eastAsia="宋体" w:hAnsi="Times New Roman"/>
          <w:color w:val="000000"/>
          <w:sz w:val="20"/>
          <w:szCs w:val="20"/>
        </w:rPr>
        <w:t xml:space="preserve">— The Company capitalizes certain internal and </w:t>
      </w:r>
      <w:r>
        <w:rPr>
          <w:rFonts w:ascii="Times New Roman" w:eastAsia="宋体" w:hAnsi="Times New Roman"/>
          <w:color w:val="000000"/>
          <w:sz w:val="20"/>
          <w:szCs w:val="20"/>
        </w:rPr>
        <w:t>external costs to acquire or create internal use software which are incurred subsequent to the completion of the preliminary project stage. Development costs are generally amortized on a straight-line basis over five years. Costs associated with maintenanc</w:t>
      </w:r>
      <w:r>
        <w:rPr>
          <w:rFonts w:ascii="Times New Roman" w:eastAsia="宋体" w:hAnsi="Times New Roman"/>
          <w:color w:val="000000"/>
          <w:sz w:val="20"/>
          <w:szCs w:val="20"/>
        </w:rPr>
        <w:t>e and minor enhancements to the features and functionality of the Company’s website are expensed as incurred.</w:t>
      </w:r>
    </w:p>
    <w:p w14:paraId="33DAA184" w14:textId="77777777" w:rsidR="004D6A64" w:rsidRDefault="004D6A64"/>
    <w:p w14:paraId="33DAA185" w14:textId="77777777" w:rsidR="004D6A64" w:rsidRDefault="004D6A64">
      <w:pPr>
        <w:jc w:val="center"/>
      </w:pPr>
    </w:p>
    <w:p w14:paraId="33DAA186" w14:textId="77777777" w:rsidR="004D6A64" w:rsidRDefault="00506CD6">
      <w:pPr>
        <w:jc w:val="center"/>
      </w:pPr>
      <w:r>
        <w:rPr>
          <w:rFonts w:ascii="Times New Roman" w:eastAsia="宋体" w:hAnsi="Times New Roman"/>
          <w:color w:val="000000"/>
          <w:sz w:val="20"/>
          <w:szCs w:val="20"/>
        </w:rPr>
        <w:t>17</w:t>
      </w:r>
    </w:p>
    <w:p w14:paraId="33DAA187" w14:textId="77777777" w:rsidR="004D6A64" w:rsidRDefault="004D6A64">
      <w:pPr>
        <w:jc w:val="center"/>
      </w:pPr>
    </w:p>
    <w:p w14:paraId="33DAA188" w14:textId="77777777" w:rsidR="004D6A64" w:rsidRDefault="00506CD6">
      <w:r>
        <w:pict w14:anchorId="33DAFAD5">
          <v:rect id="_x0000_i1041" style="width:415.3pt;height:1.5pt" o:hralign="center" o:hrstd="t" o:hr="t" fillcolor="#a0a0a0" stroked="f"/>
        </w:pict>
      </w:r>
    </w:p>
    <w:p w14:paraId="33DAA189" w14:textId="77777777" w:rsidR="004D6A64" w:rsidRDefault="00506CD6">
      <w:hyperlink r:id="rId140" w:anchor="if3e0e1bf9ecd4bf69551d7a85f98d64a_10" w:history="1">
        <w:r>
          <w:rPr>
            <w:rStyle w:val="a5"/>
            <w:rFonts w:ascii="Times New Roman" w:eastAsia="宋体" w:hAnsi="Times New Roman"/>
            <w:sz w:val="20"/>
            <w:szCs w:val="20"/>
          </w:rPr>
          <w:t>Table of Contents</w:t>
        </w:r>
      </w:hyperlink>
    </w:p>
    <w:p w14:paraId="33DAA18A"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A18B"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33DAA18C"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A18D" w14:textId="77777777" w:rsidR="004D6A64" w:rsidRDefault="004D6A64">
      <w:pPr>
        <w:jc w:val="center"/>
      </w:pPr>
    </w:p>
    <w:p w14:paraId="33DAA18E" w14:textId="77777777" w:rsidR="004D6A64" w:rsidRDefault="00506CD6">
      <w:r>
        <w:rPr>
          <w:rFonts w:ascii="Times New Roman" w:eastAsia="宋体" w:hAnsi="Times New Roman"/>
          <w:b/>
          <w:bCs/>
          <w:color w:val="000000"/>
          <w:sz w:val="20"/>
          <w:szCs w:val="20"/>
        </w:rPr>
        <w:t xml:space="preserve">NOTE 3 — FAIR VALUE MEASUREMENTS AND INVESTMENTS </w:t>
      </w:r>
    </w:p>
    <w:p w14:paraId="33DAA18F" w14:textId="77777777" w:rsidR="004D6A64" w:rsidRDefault="004D6A64"/>
    <w:p w14:paraId="33DAA190" w14:textId="77777777" w:rsidR="004D6A64" w:rsidRDefault="00506CD6">
      <w:r>
        <w:rPr>
          <w:rFonts w:ascii="Times New Roman" w:eastAsia="宋体" w:hAnsi="Times New Roman"/>
          <w:color w:val="000000"/>
          <w:sz w:val="20"/>
          <w:szCs w:val="20"/>
        </w:rPr>
        <w:t>The following table presents the Company’s hierarchy for its assets and liabilities measured at fair value on a recurring basis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245"/>
        <w:gridCol w:w="755"/>
        <w:gridCol w:w="36"/>
        <w:gridCol w:w="122"/>
        <w:gridCol w:w="447"/>
        <w:gridCol w:w="41"/>
        <w:gridCol w:w="40"/>
        <w:gridCol w:w="32"/>
        <w:gridCol w:w="35"/>
        <w:gridCol w:w="122"/>
        <w:gridCol w:w="664"/>
        <w:gridCol w:w="40"/>
        <w:gridCol w:w="40"/>
        <w:gridCol w:w="32"/>
        <w:gridCol w:w="35"/>
        <w:gridCol w:w="123"/>
        <w:gridCol w:w="808"/>
        <w:gridCol w:w="40"/>
        <w:gridCol w:w="40"/>
        <w:gridCol w:w="32"/>
        <w:gridCol w:w="35"/>
        <w:gridCol w:w="121"/>
        <w:gridCol w:w="446"/>
        <w:gridCol w:w="40"/>
        <w:gridCol w:w="40"/>
        <w:gridCol w:w="32"/>
        <w:gridCol w:w="35"/>
        <w:gridCol w:w="121"/>
        <w:gridCol w:w="446"/>
        <w:gridCol w:w="40"/>
        <w:gridCol w:w="40"/>
        <w:gridCol w:w="32"/>
        <w:gridCol w:w="35"/>
        <w:gridCol w:w="123"/>
        <w:gridCol w:w="664"/>
        <w:gridCol w:w="40"/>
        <w:gridCol w:w="40"/>
        <w:gridCol w:w="32"/>
        <w:gridCol w:w="35"/>
        <w:gridCol w:w="123"/>
        <w:gridCol w:w="808"/>
        <w:gridCol w:w="40"/>
        <w:gridCol w:w="40"/>
        <w:gridCol w:w="32"/>
        <w:gridCol w:w="35"/>
        <w:gridCol w:w="121"/>
        <w:gridCol w:w="446"/>
        <w:gridCol w:w="40"/>
        <w:gridCol w:w="35"/>
        <w:gridCol w:w="35"/>
        <w:gridCol w:w="35"/>
        <w:gridCol w:w="35"/>
        <w:gridCol w:w="35"/>
        <w:gridCol w:w="35"/>
        <w:gridCol w:w="35"/>
        <w:gridCol w:w="35"/>
        <w:gridCol w:w="35"/>
        <w:gridCol w:w="35"/>
        <w:gridCol w:w="35"/>
        <w:gridCol w:w="35"/>
        <w:gridCol w:w="35"/>
        <w:gridCol w:w="35"/>
        <w:gridCol w:w="35"/>
      </w:tblGrid>
      <w:tr w:rsidR="004D6A64" w14:paraId="33DAA1C1" w14:textId="77777777">
        <w:trPr>
          <w:gridAfter w:val="15"/>
        </w:trPr>
        <w:tc>
          <w:tcPr>
            <w:tcW w:w="50" w:type="pct"/>
            <w:shd w:val="clear" w:color="auto" w:fill="auto"/>
          </w:tcPr>
          <w:p w14:paraId="33DAA191" w14:textId="77777777" w:rsidR="004D6A64" w:rsidRDefault="004D6A64">
            <w:pPr>
              <w:rPr>
                <w:rFonts w:ascii="宋体"/>
              </w:rPr>
            </w:pPr>
          </w:p>
        </w:tc>
        <w:tc>
          <w:tcPr>
            <w:tcW w:w="1070" w:type="pct"/>
            <w:shd w:val="clear" w:color="auto" w:fill="auto"/>
          </w:tcPr>
          <w:p w14:paraId="33DAA192" w14:textId="77777777" w:rsidR="004D6A64" w:rsidRDefault="004D6A64">
            <w:pPr>
              <w:rPr>
                <w:rFonts w:ascii="宋体"/>
              </w:rPr>
            </w:pPr>
          </w:p>
        </w:tc>
        <w:tc>
          <w:tcPr>
            <w:tcW w:w="5" w:type="pct"/>
            <w:shd w:val="clear" w:color="auto" w:fill="auto"/>
          </w:tcPr>
          <w:p w14:paraId="33DAA193" w14:textId="77777777" w:rsidR="004D6A64" w:rsidRDefault="004D6A64">
            <w:pPr>
              <w:rPr>
                <w:rFonts w:ascii="宋体"/>
              </w:rPr>
            </w:pPr>
          </w:p>
        </w:tc>
        <w:tc>
          <w:tcPr>
            <w:tcW w:w="50" w:type="pct"/>
            <w:shd w:val="clear" w:color="auto" w:fill="auto"/>
          </w:tcPr>
          <w:p w14:paraId="33DAA194" w14:textId="77777777" w:rsidR="004D6A64" w:rsidRDefault="004D6A64">
            <w:pPr>
              <w:rPr>
                <w:rFonts w:ascii="宋体"/>
              </w:rPr>
            </w:pPr>
          </w:p>
        </w:tc>
        <w:tc>
          <w:tcPr>
            <w:tcW w:w="383" w:type="pct"/>
            <w:shd w:val="clear" w:color="auto" w:fill="auto"/>
          </w:tcPr>
          <w:p w14:paraId="33DAA195" w14:textId="77777777" w:rsidR="004D6A64" w:rsidRDefault="004D6A64">
            <w:pPr>
              <w:rPr>
                <w:rFonts w:ascii="宋体"/>
              </w:rPr>
            </w:pPr>
          </w:p>
        </w:tc>
        <w:tc>
          <w:tcPr>
            <w:tcW w:w="5" w:type="pct"/>
            <w:shd w:val="clear" w:color="auto" w:fill="auto"/>
          </w:tcPr>
          <w:p w14:paraId="33DAA196" w14:textId="77777777" w:rsidR="004D6A64" w:rsidRDefault="004D6A64">
            <w:pPr>
              <w:rPr>
                <w:rFonts w:ascii="宋体"/>
              </w:rPr>
            </w:pPr>
          </w:p>
        </w:tc>
        <w:tc>
          <w:tcPr>
            <w:tcW w:w="5" w:type="pct"/>
            <w:shd w:val="clear" w:color="auto" w:fill="auto"/>
          </w:tcPr>
          <w:p w14:paraId="33DAA197" w14:textId="77777777" w:rsidR="004D6A64" w:rsidRDefault="004D6A64">
            <w:pPr>
              <w:rPr>
                <w:rFonts w:ascii="宋体"/>
              </w:rPr>
            </w:pPr>
          </w:p>
        </w:tc>
        <w:tc>
          <w:tcPr>
            <w:tcW w:w="19" w:type="pct"/>
            <w:shd w:val="clear" w:color="auto" w:fill="auto"/>
          </w:tcPr>
          <w:p w14:paraId="33DAA198" w14:textId="77777777" w:rsidR="004D6A64" w:rsidRDefault="004D6A64">
            <w:pPr>
              <w:rPr>
                <w:rFonts w:ascii="宋体"/>
              </w:rPr>
            </w:pPr>
          </w:p>
        </w:tc>
        <w:tc>
          <w:tcPr>
            <w:tcW w:w="5" w:type="pct"/>
            <w:shd w:val="clear" w:color="auto" w:fill="auto"/>
          </w:tcPr>
          <w:p w14:paraId="33DAA199" w14:textId="77777777" w:rsidR="004D6A64" w:rsidRDefault="004D6A64">
            <w:pPr>
              <w:rPr>
                <w:rFonts w:ascii="宋体"/>
              </w:rPr>
            </w:pPr>
          </w:p>
        </w:tc>
        <w:tc>
          <w:tcPr>
            <w:tcW w:w="50" w:type="pct"/>
            <w:shd w:val="clear" w:color="auto" w:fill="auto"/>
          </w:tcPr>
          <w:p w14:paraId="33DAA19A" w14:textId="77777777" w:rsidR="004D6A64" w:rsidRDefault="004D6A64">
            <w:pPr>
              <w:rPr>
                <w:rFonts w:ascii="宋体"/>
              </w:rPr>
            </w:pPr>
          </w:p>
        </w:tc>
        <w:tc>
          <w:tcPr>
            <w:tcW w:w="412" w:type="pct"/>
            <w:shd w:val="clear" w:color="auto" w:fill="auto"/>
          </w:tcPr>
          <w:p w14:paraId="33DAA19B" w14:textId="77777777" w:rsidR="004D6A64" w:rsidRDefault="004D6A64">
            <w:pPr>
              <w:rPr>
                <w:rFonts w:ascii="宋体"/>
              </w:rPr>
            </w:pPr>
          </w:p>
        </w:tc>
        <w:tc>
          <w:tcPr>
            <w:tcW w:w="5" w:type="pct"/>
            <w:shd w:val="clear" w:color="auto" w:fill="auto"/>
          </w:tcPr>
          <w:p w14:paraId="33DAA19C" w14:textId="77777777" w:rsidR="004D6A64" w:rsidRDefault="004D6A64">
            <w:pPr>
              <w:rPr>
                <w:rFonts w:ascii="宋体"/>
              </w:rPr>
            </w:pPr>
          </w:p>
        </w:tc>
        <w:tc>
          <w:tcPr>
            <w:tcW w:w="5" w:type="pct"/>
            <w:shd w:val="clear" w:color="auto" w:fill="auto"/>
          </w:tcPr>
          <w:p w14:paraId="33DAA19D" w14:textId="77777777" w:rsidR="004D6A64" w:rsidRDefault="004D6A64">
            <w:pPr>
              <w:rPr>
                <w:rFonts w:ascii="宋体"/>
              </w:rPr>
            </w:pPr>
          </w:p>
        </w:tc>
        <w:tc>
          <w:tcPr>
            <w:tcW w:w="19" w:type="pct"/>
            <w:shd w:val="clear" w:color="auto" w:fill="auto"/>
          </w:tcPr>
          <w:p w14:paraId="33DAA19E" w14:textId="77777777" w:rsidR="004D6A64" w:rsidRDefault="004D6A64">
            <w:pPr>
              <w:rPr>
                <w:rFonts w:ascii="宋体"/>
              </w:rPr>
            </w:pPr>
          </w:p>
        </w:tc>
        <w:tc>
          <w:tcPr>
            <w:tcW w:w="5" w:type="pct"/>
            <w:shd w:val="clear" w:color="auto" w:fill="auto"/>
          </w:tcPr>
          <w:p w14:paraId="33DAA19F" w14:textId="77777777" w:rsidR="004D6A64" w:rsidRDefault="004D6A64">
            <w:pPr>
              <w:rPr>
                <w:rFonts w:ascii="宋体"/>
              </w:rPr>
            </w:pPr>
          </w:p>
        </w:tc>
        <w:tc>
          <w:tcPr>
            <w:tcW w:w="50" w:type="pct"/>
            <w:shd w:val="clear" w:color="auto" w:fill="auto"/>
          </w:tcPr>
          <w:p w14:paraId="33DAA1A0" w14:textId="77777777" w:rsidR="004D6A64" w:rsidRDefault="004D6A64">
            <w:pPr>
              <w:rPr>
                <w:rFonts w:ascii="宋体"/>
              </w:rPr>
            </w:pPr>
          </w:p>
        </w:tc>
        <w:tc>
          <w:tcPr>
            <w:tcW w:w="493" w:type="pct"/>
            <w:shd w:val="clear" w:color="auto" w:fill="auto"/>
          </w:tcPr>
          <w:p w14:paraId="33DAA1A1" w14:textId="77777777" w:rsidR="004D6A64" w:rsidRDefault="004D6A64">
            <w:pPr>
              <w:rPr>
                <w:rFonts w:ascii="宋体"/>
              </w:rPr>
            </w:pPr>
          </w:p>
        </w:tc>
        <w:tc>
          <w:tcPr>
            <w:tcW w:w="5" w:type="pct"/>
            <w:shd w:val="clear" w:color="auto" w:fill="auto"/>
          </w:tcPr>
          <w:p w14:paraId="33DAA1A2" w14:textId="77777777" w:rsidR="004D6A64" w:rsidRDefault="004D6A64">
            <w:pPr>
              <w:rPr>
                <w:rFonts w:ascii="宋体"/>
              </w:rPr>
            </w:pPr>
          </w:p>
        </w:tc>
        <w:tc>
          <w:tcPr>
            <w:tcW w:w="5" w:type="pct"/>
            <w:shd w:val="clear" w:color="auto" w:fill="auto"/>
          </w:tcPr>
          <w:p w14:paraId="33DAA1A3" w14:textId="77777777" w:rsidR="004D6A64" w:rsidRDefault="004D6A64">
            <w:pPr>
              <w:rPr>
                <w:rFonts w:ascii="宋体"/>
              </w:rPr>
            </w:pPr>
          </w:p>
        </w:tc>
        <w:tc>
          <w:tcPr>
            <w:tcW w:w="19" w:type="pct"/>
            <w:shd w:val="clear" w:color="auto" w:fill="auto"/>
          </w:tcPr>
          <w:p w14:paraId="33DAA1A4" w14:textId="77777777" w:rsidR="004D6A64" w:rsidRDefault="004D6A64">
            <w:pPr>
              <w:rPr>
                <w:rFonts w:ascii="宋体"/>
              </w:rPr>
            </w:pPr>
          </w:p>
        </w:tc>
        <w:tc>
          <w:tcPr>
            <w:tcW w:w="5" w:type="pct"/>
            <w:shd w:val="clear" w:color="auto" w:fill="auto"/>
          </w:tcPr>
          <w:p w14:paraId="33DAA1A5" w14:textId="77777777" w:rsidR="004D6A64" w:rsidRDefault="004D6A64">
            <w:pPr>
              <w:rPr>
                <w:rFonts w:ascii="宋体"/>
              </w:rPr>
            </w:pPr>
          </w:p>
        </w:tc>
        <w:tc>
          <w:tcPr>
            <w:tcW w:w="50" w:type="pct"/>
            <w:shd w:val="clear" w:color="auto" w:fill="auto"/>
          </w:tcPr>
          <w:p w14:paraId="33DAA1A6" w14:textId="77777777" w:rsidR="004D6A64" w:rsidRDefault="004D6A64">
            <w:pPr>
              <w:rPr>
                <w:rFonts w:ascii="宋体"/>
              </w:rPr>
            </w:pPr>
          </w:p>
        </w:tc>
        <w:tc>
          <w:tcPr>
            <w:tcW w:w="325" w:type="pct"/>
            <w:shd w:val="clear" w:color="auto" w:fill="auto"/>
          </w:tcPr>
          <w:p w14:paraId="33DAA1A7" w14:textId="77777777" w:rsidR="004D6A64" w:rsidRDefault="004D6A64">
            <w:pPr>
              <w:rPr>
                <w:rFonts w:ascii="宋体"/>
              </w:rPr>
            </w:pPr>
          </w:p>
        </w:tc>
        <w:tc>
          <w:tcPr>
            <w:tcW w:w="5" w:type="pct"/>
            <w:shd w:val="clear" w:color="auto" w:fill="auto"/>
          </w:tcPr>
          <w:p w14:paraId="33DAA1A8" w14:textId="77777777" w:rsidR="004D6A64" w:rsidRDefault="004D6A64">
            <w:pPr>
              <w:rPr>
                <w:rFonts w:ascii="宋体"/>
              </w:rPr>
            </w:pPr>
          </w:p>
        </w:tc>
        <w:tc>
          <w:tcPr>
            <w:tcW w:w="5" w:type="pct"/>
            <w:shd w:val="clear" w:color="auto" w:fill="auto"/>
          </w:tcPr>
          <w:p w14:paraId="33DAA1A9" w14:textId="77777777" w:rsidR="004D6A64" w:rsidRDefault="004D6A64">
            <w:pPr>
              <w:rPr>
                <w:rFonts w:ascii="宋体"/>
              </w:rPr>
            </w:pPr>
          </w:p>
        </w:tc>
        <w:tc>
          <w:tcPr>
            <w:tcW w:w="19" w:type="pct"/>
            <w:shd w:val="clear" w:color="auto" w:fill="auto"/>
          </w:tcPr>
          <w:p w14:paraId="33DAA1AA" w14:textId="77777777" w:rsidR="004D6A64" w:rsidRDefault="004D6A64">
            <w:pPr>
              <w:rPr>
                <w:rFonts w:ascii="宋体"/>
              </w:rPr>
            </w:pPr>
          </w:p>
        </w:tc>
        <w:tc>
          <w:tcPr>
            <w:tcW w:w="5" w:type="pct"/>
            <w:shd w:val="clear" w:color="auto" w:fill="auto"/>
          </w:tcPr>
          <w:p w14:paraId="33DAA1AB" w14:textId="77777777" w:rsidR="004D6A64" w:rsidRDefault="004D6A64">
            <w:pPr>
              <w:rPr>
                <w:rFonts w:ascii="宋体"/>
              </w:rPr>
            </w:pPr>
          </w:p>
        </w:tc>
        <w:tc>
          <w:tcPr>
            <w:tcW w:w="50" w:type="pct"/>
            <w:shd w:val="clear" w:color="auto" w:fill="auto"/>
          </w:tcPr>
          <w:p w14:paraId="33DAA1AC" w14:textId="77777777" w:rsidR="004D6A64" w:rsidRDefault="004D6A64">
            <w:pPr>
              <w:rPr>
                <w:rFonts w:ascii="宋体"/>
              </w:rPr>
            </w:pPr>
          </w:p>
        </w:tc>
        <w:tc>
          <w:tcPr>
            <w:tcW w:w="383" w:type="pct"/>
            <w:shd w:val="clear" w:color="auto" w:fill="auto"/>
          </w:tcPr>
          <w:p w14:paraId="33DAA1AD" w14:textId="77777777" w:rsidR="004D6A64" w:rsidRDefault="004D6A64">
            <w:pPr>
              <w:rPr>
                <w:rFonts w:ascii="宋体"/>
              </w:rPr>
            </w:pPr>
          </w:p>
        </w:tc>
        <w:tc>
          <w:tcPr>
            <w:tcW w:w="5" w:type="pct"/>
            <w:shd w:val="clear" w:color="auto" w:fill="auto"/>
          </w:tcPr>
          <w:p w14:paraId="33DAA1AE" w14:textId="77777777" w:rsidR="004D6A64" w:rsidRDefault="004D6A64">
            <w:pPr>
              <w:rPr>
                <w:rFonts w:ascii="宋体"/>
              </w:rPr>
            </w:pPr>
          </w:p>
        </w:tc>
        <w:tc>
          <w:tcPr>
            <w:tcW w:w="5" w:type="pct"/>
            <w:shd w:val="clear" w:color="auto" w:fill="auto"/>
          </w:tcPr>
          <w:p w14:paraId="33DAA1AF" w14:textId="77777777" w:rsidR="004D6A64" w:rsidRDefault="004D6A64">
            <w:pPr>
              <w:rPr>
                <w:rFonts w:ascii="宋体"/>
              </w:rPr>
            </w:pPr>
          </w:p>
        </w:tc>
        <w:tc>
          <w:tcPr>
            <w:tcW w:w="19" w:type="pct"/>
            <w:shd w:val="clear" w:color="auto" w:fill="auto"/>
          </w:tcPr>
          <w:p w14:paraId="33DAA1B0" w14:textId="77777777" w:rsidR="004D6A64" w:rsidRDefault="004D6A64">
            <w:pPr>
              <w:rPr>
                <w:rFonts w:ascii="宋体"/>
              </w:rPr>
            </w:pPr>
          </w:p>
        </w:tc>
        <w:tc>
          <w:tcPr>
            <w:tcW w:w="5" w:type="pct"/>
            <w:shd w:val="clear" w:color="auto" w:fill="auto"/>
          </w:tcPr>
          <w:p w14:paraId="33DAA1B1" w14:textId="77777777" w:rsidR="004D6A64" w:rsidRDefault="004D6A64">
            <w:pPr>
              <w:rPr>
                <w:rFonts w:ascii="宋体"/>
              </w:rPr>
            </w:pPr>
          </w:p>
        </w:tc>
        <w:tc>
          <w:tcPr>
            <w:tcW w:w="50" w:type="pct"/>
            <w:shd w:val="clear" w:color="auto" w:fill="auto"/>
          </w:tcPr>
          <w:p w14:paraId="33DAA1B2" w14:textId="77777777" w:rsidR="004D6A64" w:rsidRDefault="004D6A64">
            <w:pPr>
              <w:rPr>
                <w:rFonts w:ascii="宋体"/>
              </w:rPr>
            </w:pPr>
          </w:p>
        </w:tc>
        <w:tc>
          <w:tcPr>
            <w:tcW w:w="412" w:type="pct"/>
            <w:shd w:val="clear" w:color="auto" w:fill="auto"/>
          </w:tcPr>
          <w:p w14:paraId="33DAA1B3" w14:textId="77777777" w:rsidR="004D6A64" w:rsidRDefault="004D6A64">
            <w:pPr>
              <w:rPr>
                <w:rFonts w:ascii="宋体"/>
              </w:rPr>
            </w:pPr>
          </w:p>
        </w:tc>
        <w:tc>
          <w:tcPr>
            <w:tcW w:w="5" w:type="pct"/>
            <w:shd w:val="clear" w:color="auto" w:fill="auto"/>
          </w:tcPr>
          <w:p w14:paraId="33DAA1B4" w14:textId="77777777" w:rsidR="004D6A64" w:rsidRDefault="004D6A64">
            <w:pPr>
              <w:rPr>
                <w:rFonts w:ascii="宋体"/>
              </w:rPr>
            </w:pPr>
          </w:p>
        </w:tc>
        <w:tc>
          <w:tcPr>
            <w:tcW w:w="5" w:type="pct"/>
            <w:shd w:val="clear" w:color="auto" w:fill="auto"/>
          </w:tcPr>
          <w:p w14:paraId="33DAA1B5" w14:textId="77777777" w:rsidR="004D6A64" w:rsidRDefault="004D6A64">
            <w:pPr>
              <w:rPr>
                <w:rFonts w:ascii="宋体"/>
              </w:rPr>
            </w:pPr>
          </w:p>
        </w:tc>
        <w:tc>
          <w:tcPr>
            <w:tcW w:w="19" w:type="pct"/>
            <w:shd w:val="clear" w:color="auto" w:fill="auto"/>
          </w:tcPr>
          <w:p w14:paraId="33DAA1B6" w14:textId="77777777" w:rsidR="004D6A64" w:rsidRDefault="004D6A64">
            <w:pPr>
              <w:rPr>
                <w:rFonts w:ascii="宋体"/>
              </w:rPr>
            </w:pPr>
          </w:p>
        </w:tc>
        <w:tc>
          <w:tcPr>
            <w:tcW w:w="5" w:type="pct"/>
            <w:shd w:val="clear" w:color="auto" w:fill="auto"/>
          </w:tcPr>
          <w:p w14:paraId="33DAA1B7" w14:textId="77777777" w:rsidR="004D6A64" w:rsidRDefault="004D6A64">
            <w:pPr>
              <w:rPr>
                <w:rFonts w:ascii="宋体"/>
              </w:rPr>
            </w:pPr>
          </w:p>
        </w:tc>
        <w:tc>
          <w:tcPr>
            <w:tcW w:w="50" w:type="pct"/>
            <w:shd w:val="clear" w:color="auto" w:fill="auto"/>
          </w:tcPr>
          <w:p w14:paraId="33DAA1B8" w14:textId="77777777" w:rsidR="004D6A64" w:rsidRDefault="004D6A64">
            <w:pPr>
              <w:rPr>
                <w:rFonts w:ascii="宋体"/>
              </w:rPr>
            </w:pPr>
          </w:p>
        </w:tc>
        <w:tc>
          <w:tcPr>
            <w:tcW w:w="493" w:type="pct"/>
            <w:shd w:val="clear" w:color="auto" w:fill="auto"/>
          </w:tcPr>
          <w:p w14:paraId="33DAA1B9" w14:textId="77777777" w:rsidR="004D6A64" w:rsidRDefault="004D6A64">
            <w:pPr>
              <w:rPr>
                <w:rFonts w:ascii="宋体"/>
              </w:rPr>
            </w:pPr>
          </w:p>
        </w:tc>
        <w:tc>
          <w:tcPr>
            <w:tcW w:w="5" w:type="pct"/>
            <w:shd w:val="clear" w:color="auto" w:fill="auto"/>
          </w:tcPr>
          <w:p w14:paraId="33DAA1BA" w14:textId="77777777" w:rsidR="004D6A64" w:rsidRDefault="004D6A64">
            <w:pPr>
              <w:rPr>
                <w:rFonts w:ascii="宋体"/>
              </w:rPr>
            </w:pPr>
          </w:p>
        </w:tc>
        <w:tc>
          <w:tcPr>
            <w:tcW w:w="5" w:type="pct"/>
            <w:shd w:val="clear" w:color="auto" w:fill="auto"/>
          </w:tcPr>
          <w:p w14:paraId="33DAA1BB" w14:textId="77777777" w:rsidR="004D6A64" w:rsidRDefault="004D6A64">
            <w:pPr>
              <w:rPr>
                <w:rFonts w:ascii="宋体"/>
              </w:rPr>
            </w:pPr>
          </w:p>
        </w:tc>
        <w:tc>
          <w:tcPr>
            <w:tcW w:w="19" w:type="pct"/>
            <w:shd w:val="clear" w:color="auto" w:fill="auto"/>
          </w:tcPr>
          <w:p w14:paraId="33DAA1BC" w14:textId="77777777" w:rsidR="004D6A64" w:rsidRDefault="004D6A64">
            <w:pPr>
              <w:rPr>
                <w:rFonts w:ascii="宋体"/>
              </w:rPr>
            </w:pPr>
          </w:p>
        </w:tc>
        <w:tc>
          <w:tcPr>
            <w:tcW w:w="5" w:type="pct"/>
            <w:shd w:val="clear" w:color="auto" w:fill="auto"/>
          </w:tcPr>
          <w:p w14:paraId="33DAA1BD" w14:textId="77777777" w:rsidR="004D6A64" w:rsidRDefault="004D6A64">
            <w:pPr>
              <w:rPr>
                <w:rFonts w:ascii="宋体"/>
              </w:rPr>
            </w:pPr>
          </w:p>
        </w:tc>
        <w:tc>
          <w:tcPr>
            <w:tcW w:w="50" w:type="pct"/>
            <w:shd w:val="clear" w:color="auto" w:fill="auto"/>
          </w:tcPr>
          <w:p w14:paraId="33DAA1BE" w14:textId="77777777" w:rsidR="004D6A64" w:rsidRDefault="004D6A64">
            <w:pPr>
              <w:rPr>
                <w:rFonts w:ascii="宋体"/>
              </w:rPr>
            </w:pPr>
          </w:p>
        </w:tc>
        <w:tc>
          <w:tcPr>
            <w:tcW w:w="325" w:type="pct"/>
            <w:shd w:val="clear" w:color="auto" w:fill="auto"/>
          </w:tcPr>
          <w:p w14:paraId="33DAA1BF" w14:textId="77777777" w:rsidR="004D6A64" w:rsidRDefault="004D6A64">
            <w:pPr>
              <w:rPr>
                <w:rFonts w:ascii="宋体"/>
              </w:rPr>
            </w:pPr>
          </w:p>
        </w:tc>
        <w:tc>
          <w:tcPr>
            <w:tcW w:w="5" w:type="pct"/>
            <w:shd w:val="clear" w:color="auto" w:fill="auto"/>
          </w:tcPr>
          <w:p w14:paraId="33DAA1C0" w14:textId="77777777" w:rsidR="004D6A64" w:rsidRDefault="004D6A64">
            <w:pPr>
              <w:rPr>
                <w:rFonts w:ascii="宋体"/>
              </w:rPr>
            </w:pPr>
          </w:p>
        </w:tc>
      </w:tr>
      <w:tr w:rsidR="004D6A64" w14:paraId="33DAA1CD" w14:textId="77777777">
        <w:tc>
          <w:tcPr>
            <w:tcW w:w="0" w:type="auto"/>
            <w:gridSpan w:val="3"/>
            <w:shd w:val="clear" w:color="auto" w:fill="auto"/>
            <w:tcMar>
              <w:top w:w="40" w:type="dxa"/>
              <w:left w:w="20" w:type="dxa"/>
              <w:bottom w:w="40" w:type="dxa"/>
              <w:right w:w="20" w:type="dxa"/>
            </w:tcMar>
            <w:vAlign w:val="bottom"/>
          </w:tcPr>
          <w:p w14:paraId="33DAA1C2" w14:textId="77777777" w:rsidR="004D6A64" w:rsidRDefault="00506CD6">
            <w:pPr>
              <w:textAlignment w:val="bottom"/>
            </w:pPr>
            <w:r>
              <w:rPr>
                <w:rFonts w:ascii="Times New Roman" w:eastAsia="宋体" w:hAnsi="Times New Roman"/>
                <w:color w:val="000000"/>
                <w:sz w:val="20"/>
                <w:szCs w:val="20"/>
              </w:rPr>
              <w:t> </w:t>
            </w:r>
          </w:p>
        </w:tc>
        <w:tc>
          <w:tcPr>
            <w:tcW w:w="0" w:type="auto"/>
            <w:gridSpan w:val="21"/>
            <w:shd w:val="clear" w:color="auto" w:fill="auto"/>
            <w:tcMar>
              <w:top w:w="40" w:type="dxa"/>
              <w:left w:w="20" w:type="dxa"/>
              <w:bottom w:w="40" w:type="dxa"/>
              <w:right w:w="20" w:type="dxa"/>
            </w:tcMar>
            <w:vAlign w:val="bottom"/>
          </w:tcPr>
          <w:p w14:paraId="33DAA1C3"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shd w:val="clear" w:color="auto" w:fill="auto"/>
          </w:tcPr>
          <w:p w14:paraId="33DAA1C4" w14:textId="77777777" w:rsidR="004D6A64" w:rsidRDefault="004D6A64">
            <w:pPr>
              <w:rPr>
                <w:rFonts w:ascii="宋体"/>
                <w:vanish/>
              </w:rPr>
            </w:pPr>
          </w:p>
        </w:tc>
        <w:tc>
          <w:tcPr>
            <w:tcW w:w="0" w:type="auto"/>
            <w:gridSpan w:val="3"/>
            <w:shd w:val="clear" w:color="auto" w:fill="auto"/>
          </w:tcPr>
          <w:p w14:paraId="33DAA1C5" w14:textId="77777777" w:rsidR="004D6A64" w:rsidRDefault="004D6A64">
            <w:pPr>
              <w:rPr>
                <w:rFonts w:ascii="宋体"/>
                <w:vanish/>
              </w:rPr>
            </w:pPr>
          </w:p>
        </w:tc>
        <w:tc>
          <w:tcPr>
            <w:tcW w:w="0" w:type="auto"/>
            <w:gridSpan w:val="3"/>
            <w:shd w:val="clear" w:color="auto" w:fill="auto"/>
          </w:tcPr>
          <w:p w14:paraId="33DAA1C6" w14:textId="77777777" w:rsidR="004D6A64" w:rsidRDefault="004D6A64">
            <w:pPr>
              <w:rPr>
                <w:rFonts w:ascii="宋体"/>
                <w:vanish/>
              </w:rPr>
            </w:pPr>
          </w:p>
        </w:tc>
        <w:tc>
          <w:tcPr>
            <w:tcW w:w="0" w:type="auto"/>
            <w:gridSpan w:val="3"/>
            <w:shd w:val="clear" w:color="auto" w:fill="auto"/>
          </w:tcPr>
          <w:p w14:paraId="33DAA1C7" w14:textId="77777777" w:rsidR="004D6A64" w:rsidRDefault="004D6A64">
            <w:pPr>
              <w:rPr>
                <w:rFonts w:ascii="宋体"/>
                <w:vanish/>
              </w:rPr>
            </w:pPr>
          </w:p>
        </w:tc>
        <w:tc>
          <w:tcPr>
            <w:tcW w:w="0" w:type="auto"/>
            <w:gridSpan w:val="3"/>
            <w:shd w:val="clear" w:color="auto" w:fill="auto"/>
          </w:tcPr>
          <w:p w14:paraId="33DAA1C8" w14:textId="77777777" w:rsidR="004D6A64" w:rsidRDefault="004D6A64">
            <w:pPr>
              <w:rPr>
                <w:rFonts w:ascii="宋体"/>
                <w:vanish/>
              </w:rPr>
            </w:pPr>
          </w:p>
        </w:tc>
        <w:tc>
          <w:tcPr>
            <w:tcW w:w="0" w:type="auto"/>
            <w:gridSpan w:val="3"/>
            <w:shd w:val="clear" w:color="auto" w:fill="auto"/>
          </w:tcPr>
          <w:p w14:paraId="33DAA1C9"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A1CA" w14:textId="77777777" w:rsidR="004D6A64" w:rsidRDefault="004D6A64">
            <w:pPr>
              <w:rPr>
                <w:rFonts w:ascii="宋体"/>
              </w:rPr>
            </w:pPr>
          </w:p>
        </w:tc>
        <w:tc>
          <w:tcPr>
            <w:tcW w:w="0" w:type="auto"/>
            <w:gridSpan w:val="17"/>
            <w:shd w:val="clear" w:color="auto" w:fill="auto"/>
            <w:tcMar>
              <w:top w:w="40" w:type="dxa"/>
              <w:left w:w="20" w:type="dxa"/>
              <w:bottom w:w="40" w:type="dxa"/>
              <w:right w:w="20" w:type="dxa"/>
            </w:tcMar>
            <w:vAlign w:val="bottom"/>
          </w:tcPr>
          <w:p w14:paraId="33DAA1CB" w14:textId="77777777" w:rsidR="004D6A64" w:rsidRDefault="00506CD6">
            <w:pPr>
              <w:jc w:val="center"/>
              <w:textAlignment w:val="bottom"/>
            </w:pPr>
            <w:r>
              <w:rPr>
                <w:rFonts w:ascii="Times New Roman" w:eastAsia="宋体" w:hAnsi="Times New Roman"/>
                <w:b/>
                <w:bCs/>
                <w:color w:val="000000"/>
                <w:sz w:val="20"/>
                <w:szCs w:val="20"/>
              </w:rPr>
              <w:t>January 31, 2020</w:t>
            </w:r>
          </w:p>
        </w:tc>
        <w:tc>
          <w:tcPr>
            <w:tcW w:w="0" w:type="auto"/>
            <w:shd w:val="clear" w:color="auto" w:fill="auto"/>
          </w:tcPr>
          <w:p w14:paraId="33DAA1CC" w14:textId="77777777" w:rsidR="004D6A64" w:rsidRDefault="004D6A64">
            <w:pPr>
              <w:rPr>
                <w:rFonts w:ascii="宋体"/>
                <w:vanish/>
              </w:rPr>
            </w:pPr>
          </w:p>
        </w:tc>
      </w:tr>
      <w:tr w:rsidR="004D6A64" w14:paraId="33DAA1ED" w14:textId="77777777">
        <w:tc>
          <w:tcPr>
            <w:tcW w:w="0" w:type="auto"/>
            <w:gridSpan w:val="3"/>
            <w:shd w:val="clear" w:color="auto" w:fill="auto"/>
            <w:tcMar>
              <w:top w:w="40" w:type="dxa"/>
              <w:left w:w="20" w:type="dxa"/>
              <w:bottom w:w="40" w:type="dxa"/>
              <w:right w:w="20" w:type="dxa"/>
            </w:tcMar>
            <w:vAlign w:val="bottom"/>
          </w:tcPr>
          <w:p w14:paraId="33DAA1CE" w14:textId="77777777" w:rsidR="004D6A64" w:rsidRDefault="00506CD6">
            <w:pPr>
              <w:jc w:val="center"/>
              <w:textAlignment w:val="bottom"/>
            </w:pPr>
            <w:r>
              <w:rPr>
                <w:rFonts w:ascii="Times New Roman" w:eastAsia="宋体" w:hAnsi="Times New Roman"/>
                <w:color w:val="000000"/>
                <w:sz w:val="12"/>
                <w:szCs w:val="12"/>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A1CF" w14:textId="77777777" w:rsidR="004D6A64" w:rsidRDefault="00506CD6">
            <w:pPr>
              <w:jc w:val="center"/>
              <w:textAlignment w:val="bottom"/>
            </w:pPr>
            <w:r>
              <w:rPr>
                <w:rFonts w:ascii="Times New Roman" w:eastAsia="宋体" w:hAnsi="Times New Roman"/>
                <w:b/>
                <w:bCs/>
                <w:color w:val="000000"/>
                <w:sz w:val="20"/>
                <w:szCs w:val="20"/>
              </w:rPr>
              <w:t>Level 1</w:t>
            </w:r>
          </w:p>
        </w:tc>
        <w:tc>
          <w:tcPr>
            <w:tcW w:w="0" w:type="auto"/>
            <w:gridSpan w:val="3"/>
            <w:tcBorders>
              <w:top w:val="single" w:sz="8" w:space="0" w:color="000000"/>
            </w:tcBorders>
            <w:shd w:val="clear" w:color="auto" w:fill="auto"/>
            <w:tcMar>
              <w:left w:w="20" w:type="dxa"/>
              <w:right w:w="20" w:type="dxa"/>
            </w:tcMar>
            <w:vAlign w:val="bottom"/>
          </w:tcPr>
          <w:p w14:paraId="33DAA1D0"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A1D1" w14:textId="77777777" w:rsidR="004D6A64" w:rsidRDefault="00506CD6">
            <w:pPr>
              <w:jc w:val="center"/>
              <w:textAlignment w:val="bottom"/>
            </w:pPr>
            <w:r>
              <w:rPr>
                <w:rFonts w:ascii="Times New Roman" w:eastAsia="宋体" w:hAnsi="Times New Roman"/>
                <w:b/>
                <w:bCs/>
                <w:color w:val="000000"/>
                <w:sz w:val="20"/>
                <w:szCs w:val="20"/>
              </w:rPr>
              <w:t>Level 2</w:t>
            </w:r>
          </w:p>
        </w:tc>
        <w:tc>
          <w:tcPr>
            <w:tcW w:w="0" w:type="auto"/>
            <w:gridSpan w:val="3"/>
            <w:tcBorders>
              <w:top w:val="single" w:sz="8" w:space="0" w:color="000000"/>
            </w:tcBorders>
            <w:shd w:val="clear" w:color="auto" w:fill="auto"/>
            <w:tcMar>
              <w:left w:w="20" w:type="dxa"/>
              <w:right w:w="20" w:type="dxa"/>
            </w:tcMar>
            <w:vAlign w:val="bottom"/>
          </w:tcPr>
          <w:p w14:paraId="33DAA1D2"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A1D3" w14:textId="77777777" w:rsidR="004D6A64" w:rsidRDefault="00506CD6">
            <w:pPr>
              <w:jc w:val="center"/>
              <w:textAlignment w:val="bottom"/>
            </w:pPr>
            <w:r>
              <w:rPr>
                <w:rFonts w:ascii="Times New Roman" w:eastAsia="宋体" w:hAnsi="Times New Roman"/>
                <w:b/>
                <w:bCs/>
                <w:color w:val="000000"/>
                <w:sz w:val="20"/>
                <w:szCs w:val="20"/>
              </w:rPr>
              <w:t>Level 3</w:t>
            </w:r>
          </w:p>
        </w:tc>
        <w:tc>
          <w:tcPr>
            <w:tcW w:w="0" w:type="auto"/>
            <w:gridSpan w:val="3"/>
            <w:tcBorders>
              <w:top w:val="single" w:sz="8" w:space="0" w:color="000000"/>
            </w:tcBorders>
            <w:shd w:val="clear" w:color="auto" w:fill="auto"/>
            <w:tcMar>
              <w:left w:w="20" w:type="dxa"/>
              <w:right w:w="20" w:type="dxa"/>
            </w:tcMar>
            <w:vAlign w:val="bottom"/>
          </w:tcPr>
          <w:p w14:paraId="33DAA1D4"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A1D5" w14:textId="77777777" w:rsidR="004D6A64" w:rsidRDefault="00506CD6">
            <w:pPr>
              <w:jc w:val="center"/>
              <w:textAlignment w:val="bottom"/>
            </w:pPr>
            <w:r>
              <w:rPr>
                <w:rFonts w:ascii="Times New Roman" w:eastAsia="宋体" w:hAnsi="Times New Roman"/>
                <w:b/>
                <w:bCs/>
                <w:color w:val="000000"/>
                <w:sz w:val="20"/>
                <w:szCs w:val="20"/>
              </w:rPr>
              <w:t>Total</w:t>
            </w:r>
          </w:p>
        </w:tc>
        <w:tc>
          <w:tcPr>
            <w:tcW w:w="0" w:type="auto"/>
            <w:gridSpan w:val="3"/>
            <w:shd w:val="clear" w:color="auto" w:fill="auto"/>
            <w:tcMar>
              <w:left w:w="20" w:type="dxa"/>
              <w:right w:w="20" w:type="dxa"/>
            </w:tcMar>
            <w:vAlign w:val="bottom"/>
          </w:tcPr>
          <w:p w14:paraId="33DAA1D6"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A1D7" w14:textId="77777777" w:rsidR="004D6A64" w:rsidRDefault="00506CD6">
            <w:pPr>
              <w:jc w:val="center"/>
              <w:textAlignment w:val="bottom"/>
            </w:pPr>
            <w:r>
              <w:rPr>
                <w:rFonts w:ascii="Times New Roman" w:eastAsia="宋体" w:hAnsi="Times New Roman"/>
                <w:b/>
                <w:bCs/>
                <w:color w:val="000000"/>
                <w:sz w:val="20"/>
                <w:szCs w:val="20"/>
              </w:rPr>
              <w:t>Level 1</w:t>
            </w:r>
          </w:p>
        </w:tc>
        <w:tc>
          <w:tcPr>
            <w:tcW w:w="0" w:type="auto"/>
            <w:gridSpan w:val="3"/>
            <w:tcBorders>
              <w:top w:val="single" w:sz="8" w:space="0" w:color="000000"/>
            </w:tcBorders>
            <w:shd w:val="clear" w:color="auto" w:fill="auto"/>
            <w:tcMar>
              <w:left w:w="20" w:type="dxa"/>
              <w:right w:w="20" w:type="dxa"/>
            </w:tcMar>
            <w:vAlign w:val="bottom"/>
          </w:tcPr>
          <w:p w14:paraId="33DAA1D8"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A1D9" w14:textId="77777777" w:rsidR="004D6A64" w:rsidRDefault="00506CD6">
            <w:pPr>
              <w:jc w:val="center"/>
              <w:textAlignment w:val="bottom"/>
            </w:pPr>
            <w:r>
              <w:rPr>
                <w:rFonts w:ascii="Times New Roman" w:eastAsia="宋体" w:hAnsi="Times New Roman"/>
                <w:b/>
                <w:bCs/>
                <w:color w:val="000000"/>
                <w:sz w:val="20"/>
                <w:szCs w:val="20"/>
              </w:rPr>
              <w:t>Level 2</w:t>
            </w:r>
          </w:p>
        </w:tc>
        <w:tc>
          <w:tcPr>
            <w:tcW w:w="0" w:type="auto"/>
            <w:gridSpan w:val="3"/>
            <w:tcBorders>
              <w:top w:val="single" w:sz="8" w:space="0" w:color="000000"/>
            </w:tcBorders>
            <w:shd w:val="clear" w:color="auto" w:fill="auto"/>
            <w:tcMar>
              <w:left w:w="20" w:type="dxa"/>
              <w:right w:w="20" w:type="dxa"/>
            </w:tcMar>
            <w:vAlign w:val="bottom"/>
          </w:tcPr>
          <w:p w14:paraId="33DAA1DA"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A1DB" w14:textId="77777777" w:rsidR="004D6A64" w:rsidRDefault="00506CD6">
            <w:pPr>
              <w:jc w:val="center"/>
              <w:textAlignment w:val="bottom"/>
            </w:pPr>
            <w:r>
              <w:rPr>
                <w:rFonts w:ascii="Times New Roman" w:eastAsia="宋体" w:hAnsi="Times New Roman"/>
                <w:b/>
                <w:bCs/>
                <w:color w:val="000000"/>
                <w:sz w:val="20"/>
                <w:szCs w:val="20"/>
              </w:rPr>
              <w:t>Level 3</w:t>
            </w:r>
          </w:p>
        </w:tc>
        <w:tc>
          <w:tcPr>
            <w:tcW w:w="0" w:type="auto"/>
            <w:gridSpan w:val="3"/>
            <w:tcBorders>
              <w:top w:val="single" w:sz="8" w:space="0" w:color="000000"/>
            </w:tcBorders>
            <w:shd w:val="clear" w:color="auto" w:fill="auto"/>
            <w:tcMar>
              <w:left w:w="20" w:type="dxa"/>
              <w:right w:w="20" w:type="dxa"/>
            </w:tcMar>
            <w:vAlign w:val="bottom"/>
          </w:tcPr>
          <w:p w14:paraId="33DAA1DC"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A1DD" w14:textId="77777777" w:rsidR="004D6A64" w:rsidRDefault="00506CD6">
            <w:pPr>
              <w:jc w:val="center"/>
              <w:textAlignment w:val="bottom"/>
            </w:pPr>
            <w:r>
              <w:rPr>
                <w:rFonts w:ascii="Times New Roman" w:eastAsia="宋体" w:hAnsi="Times New Roman"/>
                <w:b/>
                <w:bCs/>
                <w:color w:val="000000"/>
                <w:sz w:val="20"/>
                <w:szCs w:val="20"/>
              </w:rPr>
              <w:t>Total</w:t>
            </w:r>
          </w:p>
        </w:tc>
        <w:tc>
          <w:tcPr>
            <w:tcW w:w="0" w:type="auto"/>
            <w:shd w:val="clear" w:color="auto" w:fill="auto"/>
          </w:tcPr>
          <w:p w14:paraId="33DAA1DE" w14:textId="77777777" w:rsidR="004D6A64" w:rsidRDefault="004D6A64">
            <w:pPr>
              <w:rPr>
                <w:rFonts w:ascii="宋体"/>
              </w:rPr>
            </w:pPr>
          </w:p>
        </w:tc>
        <w:tc>
          <w:tcPr>
            <w:tcW w:w="0" w:type="auto"/>
            <w:shd w:val="clear" w:color="auto" w:fill="auto"/>
          </w:tcPr>
          <w:p w14:paraId="33DAA1DF" w14:textId="77777777" w:rsidR="004D6A64" w:rsidRDefault="004D6A64">
            <w:pPr>
              <w:rPr>
                <w:rFonts w:ascii="宋体"/>
              </w:rPr>
            </w:pPr>
          </w:p>
        </w:tc>
        <w:tc>
          <w:tcPr>
            <w:tcW w:w="0" w:type="auto"/>
            <w:shd w:val="clear" w:color="auto" w:fill="auto"/>
          </w:tcPr>
          <w:p w14:paraId="33DAA1E0" w14:textId="77777777" w:rsidR="004D6A64" w:rsidRDefault="004D6A64">
            <w:pPr>
              <w:rPr>
                <w:rFonts w:ascii="宋体"/>
              </w:rPr>
            </w:pPr>
          </w:p>
        </w:tc>
        <w:tc>
          <w:tcPr>
            <w:tcW w:w="0" w:type="auto"/>
            <w:shd w:val="clear" w:color="auto" w:fill="auto"/>
          </w:tcPr>
          <w:p w14:paraId="33DAA1E1" w14:textId="77777777" w:rsidR="004D6A64" w:rsidRDefault="004D6A64">
            <w:pPr>
              <w:rPr>
                <w:rFonts w:ascii="宋体"/>
              </w:rPr>
            </w:pPr>
          </w:p>
        </w:tc>
        <w:tc>
          <w:tcPr>
            <w:tcW w:w="0" w:type="auto"/>
            <w:shd w:val="clear" w:color="auto" w:fill="auto"/>
          </w:tcPr>
          <w:p w14:paraId="33DAA1E2" w14:textId="77777777" w:rsidR="004D6A64" w:rsidRDefault="004D6A64">
            <w:pPr>
              <w:rPr>
                <w:rFonts w:ascii="宋体"/>
              </w:rPr>
            </w:pPr>
          </w:p>
        </w:tc>
        <w:tc>
          <w:tcPr>
            <w:tcW w:w="0" w:type="auto"/>
            <w:shd w:val="clear" w:color="auto" w:fill="auto"/>
          </w:tcPr>
          <w:p w14:paraId="33DAA1E3" w14:textId="77777777" w:rsidR="004D6A64" w:rsidRDefault="004D6A64">
            <w:pPr>
              <w:rPr>
                <w:rFonts w:ascii="宋体"/>
              </w:rPr>
            </w:pPr>
          </w:p>
        </w:tc>
        <w:tc>
          <w:tcPr>
            <w:tcW w:w="0" w:type="auto"/>
            <w:shd w:val="clear" w:color="auto" w:fill="auto"/>
          </w:tcPr>
          <w:p w14:paraId="33DAA1E4" w14:textId="77777777" w:rsidR="004D6A64" w:rsidRDefault="004D6A64">
            <w:pPr>
              <w:rPr>
                <w:rFonts w:ascii="宋体"/>
              </w:rPr>
            </w:pPr>
          </w:p>
        </w:tc>
        <w:tc>
          <w:tcPr>
            <w:tcW w:w="0" w:type="auto"/>
            <w:shd w:val="clear" w:color="auto" w:fill="auto"/>
          </w:tcPr>
          <w:p w14:paraId="33DAA1E5" w14:textId="77777777" w:rsidR="004D6A64" w:rsidRDefault="004D6A64">
            <w:pPr>
              <w:rPr>
                <w:rFonts w:ascii="宋体"/>
              </w:rPr>
            </w:pPr>
          </w:p>
        </w:tc>
        <w:tc>
          <w:tcPr>
            <w:tcW w:w="0" w:type="auto"/>
            <w:shd w:val="clear" w:color="auto" w:fill="auto"/>
          </w:tcPr>
          <w:p w14:paraId="33DAA1E6" w14:textId="77777777" w:rsidR="004D6A64" w:rsidRDefault="004D6A64">
            <w:pPr>
              <w:rPr>
                <w:rFonts w:ascii="宋体"/>
              </w:rPr>
            </w:pPr>
          </w:p>
        </w:tc>
        <w:tc>
          <w:tcPr>
            <w:tcW w:w="0" w:type="auto"/>
            <w:shd w:val="clear" w:color="auto" w:fill="auto"/>
          </w:tcPr>
          <w:p w14:paraId="33DAA1E7" w14:textId="77777777" w:rsidR="004D6A64" w:rsidRDefault="004D6A64">
            <w:pPr>
              <w:rPr>
                <w:rFonts w:ascii="宋体"/>
              </w:rPr>
            </w:pPr>
          </w:p>
        </w:tc>
        <w:tc>
          <w:tcPr>
            <w:tcW w:w="0" w:type="auto"/>
            <w:shd w:val="clear" w:color="auto" w:fill="auto"/>
          </w:tcPr>
          <w:p w14:paraId="33DAA1E8" w14:textId="77777777" w:rsidR="004D6A64" w:rsidRDefault="004D6A64">
            <w:pPr>
              <w:rPr>
                <w:rFonts w:ascii="宋体"/>
              </w:rPr>
            </w:pPr>
          </w:p>
        </w:tc>
        <w:tc>
          <w:tcPr>
            <w:tcW w:w="0" w:type="auto"/>
            <w:shd w:val="clear" w:color="auto" w:fill="auto"/>
          </w:tcPr>
          <w:p w14:paraId="33DAA1E9" w14:textId="77777777" w:rsidR="004D6A64" w:rsidRDefault="004D6A64">
            <w:pPr>
              <w:rPr>
                <w:rFonts w:ascii="宋体"/>
              </w:rPr>
            </w:pPr>
          </w:p>
        </w:tc>
        <w:tc>
          <w:tcPr>
            <w:tcW w:w="0" w:type="auto"/>
            <w:shd w:val="clear" w:color="auto" w:fill="auto"/>
          </w:tcPr>
          <w:p w14:paraId="33DAA1EA" w14:textId="77777777" w:rsidR="004D6A64" w:rsidRDefault="004D6A64">
            <w:pPr>
              <w:rPr>
                <w:rFonts w:ascii="宋体"/>
              </w:rPr>
            </w:pPr>
          </w:p>
        </w:tc>
        <w:tc>
          <w:tcPr>
            <w:tcW w:w="0" w:type="auto"/>
            <w:shd w:val="clear" w:color="auto" w:fill="auto"/>
          </w:tcPr>
          <w:p w14:paraId="33DAA1EB" w14:textId="77777777" w:rsidR="004D6A64" w:rsidRDefault="004D6A64">
            <w:pPr>
              <w:rPr>
                <w:rFonts w:ascii="宋体"/>
              </w:rPr>
            </w:pPr>
          </w:p>
        </w:tc>
        <w:tc>
          <w:tcPr>
            <w:tcW w:w="0" w:type="auto"/>
            <w:shd w:val="clear" w:color="auto" w:fill="auto"/>
          </w:tcPr>
          <w:p w14:paraId="33DAA1EC" w14:textId="77777777" w:rsidR="004D6A64" w:rsidRDefault="004D6A64">
            <w:pPr>
              <w:rPr>
                <w:rFonts w:ascii="宋体"/>
              </w:rPr>
            </w:pPr>
          </w:p>
        </w:tc>
      </w:tr>
      <w:tr w:rsidR="004D6A64" w14:paraId="33DAA20D" w14:textId="77777777">
        <w:tc>
          <w:tcPr>
            <w:tcW w:w="0" w:type="auto"/>
            <w:gridSpan w:val="3"/>
            <w:shd w:val="clear" w:color="auto" w:fill="auto"/>
            <w:tcMar>
              <w:top w:w="40" w:type="dxa"/>
              <w:left w:w="20" w:type="dxa"/>
              <w:bottom w:w="40" w:type="dxa"/>
              <w:right w:w="20" w:type="dxa"/>
            </w:tcMar>
            <w:vAlign w:val="bottom"/>
          </w:tcPr>
          <w:p w14:paraId="33DAA1EE" w14:textId="77777777" w:rsidR="004D6A64" w:rsidRDefault="00506CD6">
            <w:pPr>
              <w:jc w:val="center"/>
              <w:textAlignment w:val="bottom"/>
            </w:pPr>
            <w:r>
              <w:rPr>
                <w:rFonts w:ascii="Times New Roman" w:eastAsia="宋体" w:hAnsi="Times New Roman"/>
                <w:color w:val="000000"/>
                <w:sz w:val="12"/>
                <w:szCs w:val="12"/>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A1EF" w14:textId="77777777" w:rsidR="004D6A64" w:rsidRDefault="00506CD6">
            <w:pPr>
              <w:jc w:val="center"/>
              <w:textAlignment w:val="bottom"/>
            </w:pPr>
            <w:r>
              <w:rPr>
                <w:rFonts w:ascii="Times New Roman" w:eastAsia="宋体" w:hAnsi="Times New Roman"/>
                <w:b/>
                <w:bCs/>
                <w:color w:val="000000"/>
                <w:sz w:val="17"/>
                <w:szCs w:val="17"/>
              </w:rPr>
              <w:t>Quoted Prices in Active Markets for Identical Assets</w:t>
            </w:r>
          </w:p>
        </w:tc>
        <w:tc>
          <w:tcPr>
            <w:tcW w:w="0" w:type="auto"/>
            <w:gridSpan w:val="3"/>
            <w:shd w:val="clear" w:color="auto" w:fill="auto"/>
            <w:tcMar>
              <w:left w:w="20" w:type="dxa"/>
              <w:right w:w="20" w:type="dxa"/>
            </w:tcMar>
            <w:vAlign w:val="bottom"/>
          </w:tcPr>
          <w:p w14:paraId="33DAA1F0"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1F1" w14:textId="77777777" w:rsidR="004D6A64" w:rsidRDefault="00506CD6">
            <w:pPr>
              <w:jc w:val="center"/>
              <w:textAlignment w:val="bottom"/>
            </w:pPr>
            <w:r>
              <w:rPr>
                <w:rFonts w:ascii="Times New Roman" w:eastAsia="宋体" w:hAnsi="Times New Roman"/>
                <w:b/>
                <w:bCs/>
                <w:color w:val="000000"/>
                <w:sz w:val="17"/>
                <w:szCs w:val="17"/>
              </w:rPr>
              <w:t>Significant Other Observable Inputs</w:t>
            </w:r>
          </w:p>
        </w:tc>
        <w:tc>
          <w:tcPr>
            <w:tcW w:w="0" w:type="auto"/>
            <w:gridSpan w:val="3"/>
            <w:shd w:val="clear" w:color="auto" w:fill="auto"/>
            <w:tcMar>
              <w:left w:w="20" w:type="dxa"/>
              <w:right w:w="20" w:type="dxa"/>
            </w:tcMar>
            <w:vAlign w:val="bottom"/>
          </w:tcPr>
          <w:p w14:paraId="33DAA1F2"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1F3" w14:textId="77777777" w:rsidR="004D6A64" w:rsidRDefault="00506CD6">
            <w:pPr>
              <w:jc w:val="center"/>
              <w:textAlignment w:val="bottom"/>
            </w:pPr>
            <w:r>
              <w:rPr>
                <w:rFonts w:ascii="Times New Roman" w:eastAsia="宋体" w:hAnsi="Times New Roman"/>
                <w:b/>
                <w:bCs/>
                <w:color w:val="000000"/>
                <w:sz w:val="17"/>
                <w:szCs w:val="17"/>
              </w:rPr>
              <w:t>Significant Unobservable Inputs</w:t>
            </w:r>
          </w:p>
        </w:tc>
        <w:tc>
          <w:tcPr>
            <w:tcW w:w="0" w:type="auto"/>
            <w:gridSpan w:val="3"/>
            <w:shd w:val="clear" w:color="auto" w:fill="auto"/>
            <w:tcMar>
              <w:left w:w="20" w:type="dxa"/>
              <w:right w:w="20" w:type="dxa"/>
            </w:tcMar>
            <w:vAlign w:val="bottom"/>
          </w:tcPr>
          <w:p w14:paraId="33DAA1F4"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1F5" w14:textId="77777777" w:rsidR="004D6A64" w:rsidRDefault="00506CD6">
            <w:pPr>
              <w:jc w:val="center"/>
              <w:textAlignment w:val="bottom"/>
            </w:pPr>
            <w:r>
              <w:rPr>
                <w:rFonts w:ascii="Times New Roman" w:eastAsia="宋体" w:hAnsi="Times New Roman"/>
                <w:b/>
                <w:bCs/>
                <w:color w:val="000000"/>
                <w:sz w:val="17"/>
                <w:szCs w:val="17"/>
              </w:rPr>
              <w:t> </w:t>
            </w:r>
          </w:p>
        </w:tc>
        <w:tc>
          <w:tcPr>
            <w:tcW w:w="0" w:type="auto"/>
            <w:gridSpan w:val="3"/>
            <w:shd w:val="clear" w:color="auto" w:fill="auto"/>
            <w:tcMar>
              <w:left w:w="20" w:type="dxa"/>
              <w:right w:w="20" w:type="dxa"/>
            </w:tcMar>
            <w:vAlign w:val="bottom"/>
          </w:tcPr>
          <w:p w14:paraId="33DAA1F6"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1F7" w14:textId="77777777" w:rsidR="004D6A64" w:rsidRDefault="00506CD6">
            <w:pPr>
              <w:jc w:val="center"/>
              <w:textAlignment w:val="bottom"/>
            </w:pPr>
            <w:r>
              <w:rPr>
                <w:rFonts w:ascii="Times New Roman" w:eastAsia="宋体" w:hAnsi="Times New Roman"/>
                <w:b/>
                <w:bCs/>
                <w:color w:val="000000"/>
                <w:sz w:val="17"/>
                <w:szCs w:val="17"/>
              </w:rPr>
              <w:t xml:space="preserve">Quoted </w:t>
            </w:r>
            <w:r>
              <w:rPr>
                <w:rFonts w:ascii="Times New Roman" w:eastAsia="宋体" w:hAnsi="Times New Roman"/>
                <w:b/>
                <w:bCs/>
                <w:color w:val="000000"/>
                <w:sz w:val="17"/>
                <w:szCs w:val="17"/>
              </w:rPr>
              <w:t>Prices in Active Markets for Identical Assets</w:t>
            </w:r>
          </w:p>
        </w:tc>
        <w:tc>
          <w:tcPr>
            <w:tcW w:w="0" w:type="auto"/>
            <w:gridSpan w:val="3"/>
            <w:shd w:val="clear" w:color="auto" w:fill="auto"/>
            <w:tcMar>
              <w:left w:w="20" w:type="dxa"/>
              <w:right w:w="20" w:type="dxa"/>
            </w:tcMar>
            <w:vAlign w:val="bottom"/>
          </w:tcPr>
          <w:p w14:paraId="33DAA1F8"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1F9" w14:textId="77777777" w:rsidR="004D6A64" w:rsidRDefault="00506CD6">
            <w:pPr>
              <w:jc w:val="center"/>
              <w:textAlignment w:val="bottom"/>
            </w:pPr>
            <w:r>
              <w:rPr>
                <w:rFonts w:ascii="Times New Roman" w:eastAsia="宋体" w:hAnsi="Times New Roman"/>
                <w:b/>
                <w:bCs/>
                <w:color w:val="000000"/>
                <w:sz w:val="17"/>
                <w:szCs w:val="17"/>
              </w:rPr>
              <w:t>Significant Other Observable Inputs</w:t>
            </w:r>
          </w:p>
        </w:tc>
        <w:tc>
          <w:tcPr>
            <w:tcW w:w="0" w:type="auto"/>
            <w:gridSpan w:val="3"/>
            <w:shd w:val="clear" w:color="auto" w:fill="auto"/>
            <w:tcMar>
              <w:left w:w="20" w:type="dxa"/>
              <w:right w:w="20" w:type="dxa"/>
            </w:tcMar>
            <w:vAlign w:val="bottom"/>
          </w:tcPr>
          <w:p w14:paraId="33DAA1FA"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1FB" w14:textId="77777777" w:rsidR="004D6A64" w:rsidRDefault="00506CD6">
            <w:pPr>
              <w:jc w:val="center"/>
              <w:textAlignment w:val="bottom"/>
            </w:pPr>
            <w:r>
              <w:rPr>
                <w:rFonts w:ascii="Times New Roman" w:eastAsia="宋体" w:hAnsi="Times New Roman"/>
                <w:b/>
                <w:bCs/>
                <w:color w:val="000000"/>
                <w:sz w:val="17"/>
                <w:szCs w:val="17"/>
              </w:rPr>
              <w:t>Significant Unobservable Inputs</w:t>
            </w:r>
          </w:p>
        </w:tc>
        <w:tc>
          <w:tcPr>
            <w:tcW w:w="0" w:type="auto"/>
            <w:gridSpan w:val="3"/>
            <w:shd w:val="clear" w:color="auto" w:fill="auto"/>
            <w:tcMar>
              <w:left w:w="20" w:type="dxa"/>
              <w:right w:w="20" w:type="dxa"/>
            </w:tcMar>
            <w:vAlign w:val="bottom"/>
          </w:tcPr>
          <w:p w14:paraId="33DAA1FC"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1FD" w14:textId="77777777" w:rsidR="004D6A64" w:rsidRDefault="00506CD6">
            <w:pPr>
              <w:jc w:val="center"/>
              <w:textAlignment w:val="bottom"/>
            </w:pPr>
            <w:r>
              <w:rPr>
                <w:rFonts w:ascii="Times New Roman" w:eastAsia="宋体" w:hAnsi="Times New Roman"/>
                <w:b/>
                <w:bCs/>
                <w:color w:val="000000"/>
                <w:sz w:val="17"/>
                <w:szCs w:val="17"/>
              </w:rPr>
              <w:t> </w:t>
            </w:r>
          </w:p>
        </w:tc>
        <w:tc>
          <w:tcPr>
            <w:tcW w:w="0" w:type="auto"/>
            <w:shd w:val="clear" w:color="auto" w:fill="auto"/>
          </w:tcPr>
          <w:p w14:paraId="33DAA1FE" w14:textId="77777777" w:rsidR="004D6A64" w:rsidRDefault="004D6A64">
            <w:pPr>
              <w:rPr>
                <w:rFonts w:ascii="宋体"/>
              </w:rPr>
            </w:pPr>
          </w:p>
        </w:tc>
        <w:tc>
          <w:tcPr>
            <w:tcW w:w="0" w:type="auto"/>
            <w:shd w:val="clear" w:color="auto" w:fill="auto"/>
          </w:tcPr>
          <w:p w14:paraId="33DAA1FF" w14:textId="77777777" w:rsidR="004D6A64" w:rsidRDefault="004D6A64">
            <w:pPr>
              <w:rPr>
                <w:rFonts w:ascii="宋体"/>
              </w:rPr>
            </w:pPr>
          </w:p>
        </w:tc>
        <w:tc>
          <w:tcPr>
            <w:tcW w:w="0" w:type="auto"/>
            <w:shd w:val="clear" w:color="auto" w:fill="auto"/>
          </w:tcPr>
          <w:p w14:paraId="33DAA200" w14:textId="77777777" w:rsidR="004D6A64" w:rsidRDefault="004D6A64">
            <w:pPr>
              <w:rPr>
                <w:rFonts w:ascii="宋体"/>
              </w:rPr>
            </w:pPr>
          </w:p>
        </w:tc>
        <w:tc>
          <w:tcPr>
            <w:tcW w:w="0" w:type="auto"/>
            <w:shd w:val="clear" w:color="auto" w:fill="auto"/>
          </w:tcPr>
          <w:p w14:paraId="33DAA201" w14:textId="77777777" w:rsidR="004D6A64" w:rsidRDefault="004D6A64">
            <w:pPr>
              <w:rPr>
                <w:rFonts w:ascii="宋体"/>
              </w:rPr>
            </w:pPr>
          </w:p>
        </w:tc>
        <w:tc>
          <w:tcPr>
            <w:tcW w:w="0" w:type="auto"/>
            <w:shd w:val="clear" w:color="auto" w:fill="auto"/>
          </w:tcPr>
          <w:p w14:paraId="33DAA202" w14:textId="77777777" w:rsidR="004D6A64" w:rsidRDefault="004D6A64">
            <w:pPr>
              <w:rPr>
                <w:rFonts w:ascii="宋体"/>
              </w:rPr>
            </w:pPr>
          </w:p>
        </w:tc>
        <w:tc>
          <w:tcPr>
            <w:tcW w:w="0" w:type="auto"/>
            <w:shd w:val="clear" w:color="auto" w:fill="auto"/>
          </w:tcPr>
          <w:p w14:paraId="33DAA203" w14:textId="77777777" w:rsidR="004D6A64" w:rsidRDefault="004D6A64">
            <w:pPr>
              <w:rPr>
                <w:rFonts w:ascii="宋体"/>
              </w:rPr>
            </w:pPr>
          </w:p>
        </w:tc>
        <w:tc>
          <w:tcPr>
            <w:tcW w:w="0" w:type="auto"/>
            <w:shd w:val="clear" w:color="auto" w:fill="auto"/>
          </w:tcPr>
          <w:p w14:paraId="33DAA204" w14:textId="77777777" w:rsidR="004D6A64" w:rsidRDefault="004D6A64">
            <w:pPr>
              <w:rPr>
                <w:rFonts w:ascii="宋体"/>
              </w:rPr>
            </w:pPr>
          </w:p>
        </w:tc>
        <w:tc>
          <w:tcPr>
            <w:tcW w:w="0" w:type="auto"/>
            <w:shd w:val="clear" w:color="auto" w:fill="auto"/>
          </w:tcPr>
          <w:p w14:paraId="33DAA205" w14:textId="77777777" w:rsidR="004D6A64" w:rsidRDefault="004D6A64">
            <w:pPr>
              <w:rPr>
                <w:rFonts w:ascii="宋体"/>
              </w:rPr>
            </w:pPr>
          </w:p>
        </w:tc>
        <w:tc>
          <w:tcPr>
            <w:tcW w:w="0" w:type="auto"/>
            <w:shd w:val="clear" w:color="auto" w:fill="auto"/>
          </w:tcPr>
          <w:p w14:paraId="33DAA206" w14:textId="77777777" w:rsidR="004D6A64" w:rsidRDefault="004D6A64">
            <w:pPr>
              <w:rPr>
                <w:rFonts w:ascii="宋体"/>
              </w:rPr>
            </w:pPr>
          </w:p>
        </w:tc>
        <w:tc>
          <w:tcPr>
            <w:tcW w:w="0" w:type="auto"/>
            <w:shd w:val="clear" w:color="auto" w:fill="auto"/>
          </w:tcPr>
          <w:p w14:paraId="33DAA207" w14:textId="77777777" w:rsidR="004D6A64" w:rsidRDefault="004D6A64">
            <w:pPr>
              <w:rPr>
                <w:rFonts w:ascii="宋体"/>
              </w:rPr>
            </w:pPr>
          </w:p>
        </w:tc>
        <w:tc>
          <w:tcPr>
            <w:tcW w:w="0" w:type="auto"/>
            <w:shd w:val="clear" w:color="auto" w:fill="auto"/>
          </w:tcPr>
          <w:p w14:paraId="33DAA208" w14:textId="77777777" w:rsidR="004D6A64" w:rsidRDefault="004D6A64">
            <w:pPr>
              <w:rPr>
                <w:rFonts w:ascii="宋体"/>
              </w:rPr>
            </w:pPr>
          </w:p>
        </w:tc>
        <w:tc>
          <w:tcPr>
            <w:tcW w:w="0" w:type="auto"/>
            <w:shd w:val="clear" w:color="auto" w:fill="auto"/>
          </w:tcPr>
          <w:p w14:paraId="33DAA209" w14:textId="77777777" w:rsidR="004D6A64" w:rsidRDefault="004D6A64">
            <w:pPr>
              <w:rPr>
                <w:rFonts w:ascii="宋体"/>
              </w:rPr>
            </w:pPr>
          </w:p>
        </w:tc>
        <w:tc>
          <w:tcPr>
            <w:tcW w:w="0" w:type="auto"/>
            <w:shd w:val="clear" w:color="auto" w:fill="auto"/>
          </w:tcPr>
          <w:p w14:paraId="33DAA20A" w14:textId="77777777" w:rsidR="004D6A64" w:rsidRDefault="004D6A64">
            <w:pPr>
              <w:rPr>
                <w:rFonts w:ascii="宋体"/>
              </w:rPr>
            </w:pPr>
          </w:p>
        </w:tc>
        <w:tc>
          <w:tcPr>
            <w:tcW w:w="0" w:type="auto"/>
            <w:shd w:val="clear" w:color="auto" w:fill="auto"/>
          </w:tcPr>
          <w:p w14:paraId="33DAA20B" w14:textId="77777777" w:rsidR="004D6A64" w:rsidRDefault="004D6A64">
            <w:pPr>
              <w:rPr>
                <w:rFonts w:ascii="宋体"/>
              </w:rPr>
            </w:pPr>
          </w:p>
        </w:tc>
        <w:tc>
          <w:tcPr>
            <w:tcW w:w="0" w:type="auto"/>
            <w:shd w:val="clear" w:color="auto" w:fill="auto"/>
          </w:tcPr>
          <w:p w14:paraId="33DAA20C" w14:textId="77777777" w:rsidR="004D6A64" w:rsidRDefault="004D6A64">
            <w:pPr>
              <w:rPr>
                <w:rFonts w:ascii="宋体"/>
              </w:rPr>
            </w:pPr>
          </w:p>
        </w:tc>
      </w:tr>
      <w:tr w:rsidR="004D6A64" w14:paraId="33DAA216" w14:textId="77777777">
        <w:tc>
          <w:tcPr>
            <w:tcW w:w="0" w:type="auto"/>
            <w:gridSpan w:val="3"/>
            <w:shd w:val="clear" w:color="auto" w:fill="auto"/>
            <w:tcMar>
              <w:top w:w="40" w:type="dxa"/>
              <w:left w:w="20" w:type="dxa"/>
              <w:bottom w:w="40" w:type="dxa"/>
              <w:right w:w="20" w:type="dxa"/>
            </w:tcMar>
            <w:vAlign w:val="center"/>
          </w:tcPr>
          <w:p w14:paraId="33DAA20E" w14:textId="77777777" w:rsidR="004D6A64" w:rsidRDefault="00506CD6">
            <w:pPr>
              <w:jc w:val="center"/>
              <w:textAlignment w:val="center"/>
            </w:pPr>
            <w:r>
              <w:rPr>
                <w:rFonts w:ascii="Times New Roman" w:eastAsia="宋体" w:hAnsi="Times New Roman"/>
                <w:color w:val="000000"/>
                <w:sz w:val="18"/>
                <w:szCs w:val="18"/>
              </w:rPr>
              <w:t> </w:t>
            </w:r>
          </w:p>
        </w:tc>
        <w:tc>
          <w:tcPr>
            <w:tcW w:w="0" w:type="auto"/>
            <w:gridSpan w:val="45"/>
            <w:tcBorders>
              <w:top w:val="single" w:sz="8" w:space="0" w:color="000000"/>
            </w:tcBorders>
            <w:shd w:val="clear" w:color="auto" w:fill="auto"/>
            <w:tcMar>
              <w:top w:w="40" w:type="dxa"/>
              <w:left w:w="20" w:type="dxa"/>
              <w:bottom w:w="40" w:type="dxa"/>
              <w:right w:w="20" w:type="dxa"/>
            </w:tcMar>
            <w:vAlign w:val="center"/>
          </w:tcPr>
          <w:p w14:paraId="33DAA20F" w14:textId="77777777" w:rsidR="004D6A64" w:rsidRDefault="00506CD6">
            <w:pPr>
              <w:jc w:val="center"/>
              <w:textAlignment w:val="center"/>
            </w:pPr>
            <w:r>
              <w:rPr>
                <w:rFonts w:ascii="Times New Roman" w:eastAsia="宋体" w:hAnsi="Times New Roman"/>
                <w:color w:val="000000"/>
                <w:sz w:val="20"/>
                <w:szCs w:val="20"/>
              </w:rPr>
              <w:t>(in millions)</w:t>
            </w:r>
          </w:p>
        </w:tc>
        <w:tc>
          <w:tcPr>
            <w:tcW w:w="0" w:type="auto"/>
            <w:gridSpan w:val="3"/>
            <w:shd w:val="clear" w:color="auto" w:fill="auto"/>
          </w:tcPr>
          <w:p w14:paraId="33DAA210" w14:textId="77777777" w:rsidR="004D6A64" w:rsidRDefault="004D6A64">
            <w:pPr>
              <w:rPr>
                <w:rFonts w:ascii="宋体"/>
                <w:vanish/>
              </w:rPr>
            </w:pPr>
          </w:p>
        </w:tc>
        <w:tc>
          <w:tcPr>
            <w:tcW w:w="0" w:type="auto"/>
            <w:gridSpan w:val="3"/>
            <w:shd w:val="clear" w:color="auto" w:fill="auto"/>
          </w:tcPr>
          <w:p w14:paraId="33DAA211" w14:textId="77777777" w:rsidR="004D6A64" w:rsidRDefault="004D6A64">
            <w:pPr>
              <w:rPr>
                <w:rFonts w:ascii="宋体"/>
                <w:vanish/>
              </w:rPr>
            </w:pPr>
          </w:p>
        </w:tc>
        <w:tc>
          <w:tcPr>
            <w:tcW w:w="0" w:type="auto"/>
            <w:gridSpan w:val="3"/>
            <w:shd w:val="clear" w:color="auto" w:fill="auto"/>
          </w:tcPr>
          <w:p w14:paraId="33DAA212" w14:textId="77777777" w:rsidR="004D6A64" w:rsidRDefault="004D6A64">
            <w:pPr>
              <w:rPr>
                <w:rFonts w:ascii="宋体"/>
                <w:vanish/>
              </w:rPr>
            </w:pPr>
          </w:p>
        </w:tc>
        <w:tc>
          <w:tcPr>
            <w:tcW w:w="0" w:type="auto"/>
            <w:gridSpan w:val="3"/>
            <w:shd w:val="clear" w:color="auto" w:fill="auto"/>
          </w:tcPr>
          <w:p w14:paraId="33DAA213" w14:textId="77777777" w:rsidR="004D6A64" w:rsidRDefault="004D6A64">
            <w:pPr>
              <w:rPr>
                <w:rFonts w:ascii="宋体"/>
                <w:vanish/>
              </w:rPr>
            </w:pPr>
          </w:p>
        </w:tc>
        <w:tc>
          <w:tcPr>
            <w:tcW w:w="0" w:type="auto"/>
            <w:gridSpan w:val="2"/>
            <w:shd w:val="clear" w:color="auto" w:fill="auto"/>
          </w:tcPr>
          <w:p w14:paraId="33DAA214" w14:textId="77777777" w:rsidR="004D6A64" w:rsidRDefault="004D6A64">
            <w:pPr>
              <w:rPr>
                <w:rFonts w:ascii="宋体"/>
                <w:vanish/>
              </w:rPr>
            </w:pPr>
          </w:p>
        </w:tc>
        <w:tc>
          <w:tcPr>
            <w:tcW w:w="0" w:type="auto"/>
            <w:shd w:val="clear" w:color="auto" w:fill="auto"/>
          </w:tcPr>
          <w:p w14:paraId="33DAA215" w14:textId="77777777" w:rsidR="004D6A64" w:rsidRDefault="004D6A64">
            <w:pPr>
              <w:rPr>
                <w:rFonts w:ascii="宋体"/>
                <w:vanish/>
              </w:rPr>
            </w:pPr>
          </w:p>
        </w:tc>
      </w:tr>
      <w:tr w:rsidR="004D6A64" w14:paraId="33DAA236" w14:textId="77777777">
        <w:tc>
          <w:tcPr>
            <w:tcW w:w="0" w:type="auto"/>
            <w:gridSpan w:val="3"/>
            <w:shd w:val="clear" w:color="auto" w:fill="CCEEFF"/>
            <w:tcMar>
              <w:top w:w="40" w:type="dxa"/>
              <w:left w:w="20" w:type="dxa"/>
              <w:bottom w:w="40" w:type="dxa"/>
              <w:right w:w="20" w:type="dxa"/>
            </w:tcMar>
            <w:vAlign w:val="center"/>
          </w:tcPr>
          <w:p w14:paraId="33DAA217" w14:textId="77777777" w:rsidR="004D6A64" w:rsidRDefault="00506CD6">
            <w:pPr>
              <w:textAlignment w:val="center"/>
            </w:pPr>
            <w:r>
              <w:rPr>
                <w:rFonts w:ascii="Times New Roman" w:eastAsia="宋体" w:hAnsi="Times New Roman"/>
                <w:i/>
                <w:iCs/>
                <w:color w:val="000000"/>
                <w:sz w:val="20"/>
                <w:szCs w:val="20"/>
              </w:rPr>
              <w:t>Assets:</w:t>
            </w:r>
          </w:p>
        </w:tc>
        <w:tc>
          <w:tcPr>
            <w:tcW w:w="0" w:type="auto"/>
            <w:gridSpan w:val="3"/>
            <w:shd w:val="clear" w:color="auto" w:fill="CCEEFF"/>
            <w:tcMar>
              <w:top w:w="40" w:type="dxa"/>
              <w:left w:w="20" w:type="dxa"/>
              <w:bottom w:w="40" w:type="dxa"/>
              <w:right w:w="20" w:type="dxa"/>
            </w:tcMar>
            <w:vAlign w:val="center"/>
          </w:tcPr>
          <w:p w14:paraId="33DAA218" w14:textId="77777777" w:rsidR="004D6A64" w:rsidRDefault="00506CD6">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left w:w="20" w:type="dxa"/>
              <w:right w:w="20" w:type="dxa"/>
            </w:tcMar>
            <w:vAlign w:val="bottom"/>
          </w:tcPr>
          <w:p w14:paraId="33DAA219" w14:textId="77777777" w:rsidR="004D6A64" w:rsidRDefault="004D6A64">
            <w:pPr>
              <w:rPr>
                <w:rFonts w:ascii="宋体"/>
              </w:rPr>
            </w:pPr>
          </w:p>
        </w:tc>
        <w:tc>
          <w:tcPr>
            <w:tcW w:w="0" w:type="auto"/>
            <w:gridSpan w:val="3"/>
            <w:shd w:val="clear" w:color="auto" w:fill="CCEEFF"/>
            <w:tcMar>
              <w:top w:w="40" w:type="dxa"/>
              <w:left w:w="20" w:type="dxa"/>
              <w:bottom w:w="40" w:type="dxa"/>
              <w:right w:w="20" w:type="dxa"/>
            </w:tcMar>
            <w:vAlign w:val="center"/>
          </w:tcPr>
          <w:p w14:paraId="33DAA21A" w14:textId="77777777" w:rsidR="004D6A64" w:rsidRDefault="00506CD6">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left w:w="20" w:type="dxa"/>
              <w:right w:w="20" w:type="dxa"/>
            </w:tcMar>
            <w:vAlign w:val="bottom"/>
          </w:tcPr>
          <w:p w14:paraId="33DAA21B" w14:textId="77777777" w:rsidR="004D6A64" w:rsidRDefault="004D6A64">
            <w:pPr>
              <w:rPr>
                <w:rFonts w:ascii="宋体"/>
              </w:rPr>
            </w:pPr>
          </w:p>
        </w:tc>
        <w:tc>
          <w:tcPr>
            <w:tcW w:w="0" w:type="auto"/>
            <w:gridSpan w:val="3"/>
            <w:shd w:val="clear" w:color="auto" w:fill="CCEEFF"/>
            <w:tcMar>
              <w:top w:w="40" w:type="dxa"/>
              <w:left w:w="20" w:type="dxa"/>
              <w:bottom w:w="40" w:type="dxa"/>
              <w:right w:w="20" w:type="dxa"/>
            </w:tcMar>
            <w:vAlign w:val="center"/>
          </w:tcPr>
          <w:p w14:paraId="33DAA21C" w14:textId="77777777" w:rsidR="004D6A64" w:rsidRDefault="00506CD6">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left w:w="20" w:type="dxa"/>
              <w:right w:w="20" w:type="dxa"/>
            </w:tcMar>
            <w:vAlign w:val="bottom"/>
          </w:tcPr>
          <w:p w14:paraId="33DAA21D" w14:textId="77777777" w:rsidR="004D6A64" w:rsidRDefault="004D6A64">
            <w:pPr>
              <w:rPr>
                <w:rFonts w:ascii="宋体"/>
              </w:rPr>
            </w:pPr>
          </w:p>
        </w:tc>
        <w:tc>
          <w:tcPr>
            <w:tcW w:w="0" w:type="auto"/>
            <w:gridSpan w:val="3"/>
            <w:shd w:val="clear" w:color="auto" w:fill="CCEEFF"/>
            <w:tcMar>
              <w:top w:w="40" w:type="dxa"/>
              <w:left w:w="20" w:type="dxa"/>
              <w:bottom w:w="40" w:type="dxa"/>
              <w:right w:w="20" w:type="dxa"/>
            </w:tcMar>
            <w:vAlign w:val="center"/>
          </w:tcPr>
          <w:p w14:paraId="33DAA21E" w14:textId="77777777" w:rsidR="004D6A64" w:rsidRDefault="00506CD6">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left w:w="20" w:type="dxa"/>
              <w:right w:w="20" w:type="dxa"/>
            </w:tcMar>
            <w:vAlign w:val="bottom"/>
          </w:tcPr>
          <w:p w14:paraId="33DAA21F" w14:textId="77777777" w:rsidR="004D6A64" w:rsidRDefault="004D6A64">
            <w:pPr>
              <w:rPr>
                <w:rFonts w:ascii="宋体"/>
              </w:rPr>
            </w:pPr>
          </w:p>
        </w:tc>
        <w:tc>
          <w:tcPr>
            <w:tcW w:w="0" w:type="auto"/>
            <w:gridSpan w:val="3"/>
            <w:shd w:val="clear" w:color="auto" w:fill="CCEEFF"/>
            <w:tcMar>
              <w:top w:w="40" w:type="dxa"/>
              <w:left w:w="20" w:type="dxa"/>
              <w:bottom w:w="40" w:type="dxa"/>
              <w:right w:w="20" w:type="dxa"/>
            </w:tcMar>
            <w:vAlign w:val="center"/>
          </w:tcPr>
          <w:p w14:paraId="33DAA220" w14:textId="77777777" w:rsidR="004D6A64" w:rsidRDefault="00506CD6">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left w:w="20" w:type="dxa"/>
              <w:right w:w="20" w:type="dxa"/>
            </w:tcMar>
            <w:vAlign w:val="bottom"/>
          </w:tcPr>
          <w:p w14:paraId="33DAA221" w14:textId="77777777" w:rsidR="004D6A64" w:rsidRDefault="004D6A64">
            <w:pPr>
              <w:rPr>
                <w:rFonts w:ascii="宋体"/>
              </w:rPr>
            </w:pPr>
          </w:p>
        </w:tc>
        <w:tc>
          <w:tcPr>
            <w:tcW w:w="0" w:type="auto"/>
            <w:gridSpan w:val="3"/>
            <w:shd w:val="clear" w:color="auto" w:fill="CCEEFF"/>
            <w:tcMar>
              <w:top w:w="40" w:type="dxa"/>
              <w:left w:w="20" w:type="dxa"/>
              <w:bottom w:w="40" w:type="dxa"/>
              <w:right w:w="20" w:type="dxa"/>
            </w:tcMar>
            <w:vAlign w:val="center"/>
          </w:tcPr>
          <w:p w14:paraId="33DAA222" w14:textId="77777777" w:rsidR="004D6A64" w:rsidRDefault="00506CD6">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left w:w="20" w:type="dxa"/>
              <w:right w:w="20" w:type="dxa"/>
            </w:tcMar>
            <w:vAlign w:val="bottom"/>
          </w:tcPr>
          <w:p w14:paraId="33DAA223" w14:textId="77777777" w:rsidR="004D6A64" w:rsidRDefault="004D6A64">
            <w:pPr>
              <w:rPr>
                <w:rFonts w:ascii="宋体"/>
              </w:rPr>
            </w:pPr>
          </w:p>
        </w:tc>
        <w:tc>
          <w:tcPr>
            <w:tcW w:w="0" w:type="auto"/>
            <w:gridSpan w:val="3"/>
            <w:shd w:val="clear" w:color="auto" w:fill="CCEEFF"/>
            <w:tcMar>
              <w:top w:w="40" w:type="dxa"/>
              <w:left w:w="20" w:type="dxa"/>
              <w:bottom w:w="40" w:type="dxa"/>
              <w:right w:w="20" w:type="dxa"/>
            </w:tcMar>
            <w:vAlign w:val="center"/>
          </w:tcPr>
          <w:p w14:paraId="33DAA224" w14:textId="77777777" w:rsidR="004D6A64" w:rsidRDefault="00506CD6">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left w:w="20" w:type="dxa"/>
              <w:right w:w="20" w:type="dxa"/>
            </w:tcMar>
            <w:vAlign w:val="bottom"/>
          </w:tcPr>
          <w:p w14:paraId="33DAA225" w14:textId="77777777" w:rsidR="004D6A64" w:rsidRDefault="004D6A64">
            <w:pPr>
              <w:rPr>
                <w:rFonts w:ascii="宋体"/>
              </w:rPr>
            </w:pPr>
          </w:p>
        </w:tc>
        <w:tc>
          <w:tcPr>
            <w:tcW w:w="0" w:type="auto"/>
            <w:gridSpan w:val="3"/>
            <w:shd w:val="clear" w:color="auto" w:fill="CCEEFF"/>
            <w:tcMar>
              <w:top w:w="40" w:type="dxa"/>
              <w:left w:w="20" w:type="dxa"/>
              <w:bottom w:w="40" w:type="dxa"/>
              <w:right w:w="20" w:type="dxa"/>
            </w:tcMar>
            <w:vAlign w:val="center"/>
          </w:tcPr>
          <w:p w14:paraId="33DAA226"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auto"/>
          </w:tcPr>
          <w:p w14:paraId="33DAA227" w14:textId="77777777" w:rsidR="004D6A64" w:rsidRDefault="004D6A64">
            <w:pPr>
              <w:rPr>
                <w:rFonts w:ascii="宋体"/>
              </w:rPr>
            </w:pPr>
          </w:p>
        </w:tc>
        <w:tc>
          <w:tcPr>
            <w:tcW w:w="0" w:type="auto"/>
            <w:shd w:val="clear" w:color="auto" w:fill="auto"/>
          </w:tcPr>
          <w:p w14:paraId="33DAA228" w14:textId="77777777" w:rsidR="004D6A64" w:rsidRDefault="004D6A64">
            <w:pPr>
              <w:rPr>
                <w:rFonts w:ascii="宋体"/>
              </w:rPr>
            </w:pPr>
          </w:p>
        </w:tc>
        <w:tc>
          <w:tcPr>
            <w:tcW w:w="0" w:type="auto"/>
            <w:shd w:val="clear" w:color="auto" w:fill="auto"/>
          </w:tcPr>
          <w:p w14:paraId="33DAA229" w14:textId="77777777" w:rsidR="004D6A64" w:rsidRDefault="004D6A64">
            <w:pPr>
              <w:rPr>
                <w:rFonts w:ascii="宋体"/>
              </w:rPr>
            </w:pPr>
          </w:p>
        </w:tc>
        <w:tc>
          <w:tcPr>
            <w:tcW w:w="0" w:type="auto"/>
            <w:shd w:val="clear" w:color="auto" w:fill="auto"/>
          </w:tcPr>
          <w:p w14:paraId="33DAA22A" w14:textId="77777777" w:rsidR="004D6A64" w:rsidRDefault="004D6A64">
            <w:pPr>
              <w:rPr>
                <w:rFonts w:ascii="宋体"/>
              </w:rPr>
            </w:pPr>
          </w:p>
        </w:tc>
        <w:tc>
          <w:tcPr>
            <w:tcW w:w="0" w:type="auto"/>
            <w:shd w:val="clear" w:color="auto" w:fill="auto"/>
          </w:tcPr>
          <w:p w14:paraId="33DAA22B" w14:textId="77777777" w:rsidR="004D6A64" w:rsidRDefault="004D6A64">
            <w:pPr>
              <w:rPr>
                <w:rFonts w:ascii="宋体"/>
              </w:rPr>
            </w:pPr>
          </w:p>
        </w:tc>
        <w:tc>
          <w:tcPr>
            <w:tcW w:w="0" w:type="auto"/>
            <w:shd w:val="clear" w:color="auto" w:fill="auto"/>
          </w:tcPr>
          <w:p w14:paraId="33DAA22C" w14:textId="77777777" w:rsidR="004D6A64" w:rsidRDefault="004D6A64">
            <w:pPr>
              <w:rPr>
                <w:rFonts w:ascii="宋体"/>
              </w:rPr>
            </w:pPr>
          </w:p>
        </w:tc>
        <w:tc>
          <w:tcPr>
            <w:tcW w:w="0" w:type="auto"/>
            <w:shd w:val="clear" w:color="auto" w:fill="auto"/>
          </w:tcPr>
          <w:p w14:paraId="33DAA22D" w14:textId="77777777" w:rsidR="004D6A64" w:rsidRDefault="004D6A64">
            <w:pPr>
              <w:rPr>
                <w:rFonts w:ascii="宋体"/>
              </w:rPr>
            </w:pPr>
          </w:p>
        </w:tc>
        <w:tc>
          <w:tcPr>
            <w:tcW w:w="0" w:type="auto"/>
            <w:shd w:val="clear" w:color="auto" w:fill="auto"/>
          </w:tcPr>
          <w:p w14:paraId="33DAA22E" w14:textId="77777777" w:rsidR="004D6A64" w:rsidRDefault="004D6A64">
            <w:pPr>
              <w:rPr>
                <w:rFonts w:ascii="宋体"/>
              </w:rPr>
            </w:pPr>
          </w:p>
        </w:tc>
        <w:tc>
          <w:tcPr>
            <w:tcW w:w="0" w:type="auto"/>
            <w:shd w:val="clear" w:color="auto" w:fill="auto"/>
          </w:tcPr>
          <w:p w14:paraId="33DAA22F" w14:textId="77777777" w:rsidR="004D6A64" w:rsidRDefault="004D6A64">
            <w:pPr>
              <w:rPr>
                <w:rFonts w:ascii="宋体"/>
              </w:rPr>
            </w:pPr>
          </w:p>
        </w:tc>
        <w:tc>
          <w:tcPr>
            <w:tcW w:w="0" w:type="auto"/>
            <w:shd w:val="clear" w:color="auto" w:fill="auto"/>
          </w:tcPr>
          <w:p w14:paraId="33DAA230" w14:textId="77777777" w:rsidR="004D6A64" w:rsidRDefault="004D6A64">
            <w:pPr>
              <w:rPr>
                <w:rFonts w:ascii="宋体"/>
              </w:rPr>
            </w:pPr>
          </w:p>
        </w:tc>
        <w:tc>
          <w:tcPr>
            <w:tcW w:w="0" w:type="auto"/>
            <w:shd w:val="clear" w:color="auto" w:fill="auto"/>
          </w:tcPr>
          <w:p w14:paraId="33DAA231" w14:textId="77777777" w:rsidR="004D6A64" w:rsidRDefault="004D6A64">
            <w:pPr>
              <w:rPr>
                <w:rFonts w:ascii="宋体"/>
              </w:rPr>
            </w:pPr>
          </w:p>
        </w:tc>
        <w:tc>
          <w:tcPr>
            <w:tcW w:w="0" w:type="auto"/>
            <w:shd w:val="clear" w:color="auto" w:fill="auto"/>
          </w:tcPr>
          <w:p w14:paraId="33DAA232" w14:textId="77777777" w:rsidR="004D6A64" w:rsidRDefault="004D6A64">
            <w:pPr>
              <w:rPr>
                <w:rFonts w:ascii="宋体"/>
              </w:rPr>
            </w:pPr>
          </w:p>
        </w:tc>
        <w:tc>
          <w:tcPr>
            <w:tcW w:w="0" w:type="auto"/>
            <w:shd w:val="clear" w:color="auto" w:fill="auto"/>
          </w:tcPr>
          <w:p w14:paraId="33DAA233" w14:textId="77777777" w:rsidR="004D6A64" w:rsidRDefault="004D6A64">
            <w:pPr>
              <w:rPr>
                <w:rFonts w:ascii="宋体"/>
              </w:rPr>
            </w:pPr>
          </w:p>
        </w:tc>
        <w:tc>
          <w:tcPr>
            <w:tcW w:w="0" w:type="auto"/>
            <w:shd w:val="clear" w:color="auto" w:fill="auto"/>
          </w:tcPr>
          <w:p w14:paraId="33DAA234" w14:textId="77777777" w:rsidR="004D6A64" w:rsidRDefault="004D6A64">
            <w:pPr>
              <w:rPr>
                <w:rFonts w:ascii="宋体"/>
              </w:rPr>
            </w:pPr>
          </w:p>
        </w:tc>
        <w:tc>
          <w:tcPr>
            <w:tcW w:w="0" w:type="auto"/>
            <w:shd w:val="clear" w:color="auto" w:fill="auto"/>
          </w:tcPr>
          <w:p w14:paraId="33DAA235" w14:textId="77777777" w:rsidR="004D6A64" w:rsidRDefault="004D6A64">
            <w:pPr>
              <w:rPr>
                <w:rFonts w:ascii="宋体"/>
              </w:rPr>
            </w:pPr>
          </w:p>
        </w:tc>
      </w:tr>
      <w:tr w:rsidR="004D6A64" w14:paraId="33DAA256" w14:textId="77777777">
        <w:tc>
          <w:tcPr>
            <w:tcW w:w="0" w:type="auto"/>
            <w:gridSpan w:val="3"/>
            <w:shd w:val="clear" w:color="auto" w:fill="FFFFFF"/>
            <w:tcMar>
              <w:top w:w="40" w:type="dxa"/>
              <w:left w:w="135" w:type="dxa"/>
              <w:bottom w:w="40" w:type="dxa"/>
              <w:right w:w="20" w:type="dxa"/>
            </w:tcMar>
            <w:vAlign w:val="center"/>
          </w:tcPr>
          <w:p w14:paraId="33DAA237" w14:textId="77777777" w:rsidR="004D6A64" w:rsidRDefault="00506CD6">
            <w:pPr>
              <w:textAlignment w:val="center"/>
            </w:pPr>
            <w:r>
              <w:rPr>
                <w:rFonts w:ascii="Times New Roman" w:eastAsia="宋体" w:hAnsi="Times New Roman"/>
                <w:color w:val="000000"/>
                <w:sz w:val="20"/>
                <w:szCs w:val="20"/>
              </w:rPr>
              <w:t>Cash and cash equivalents:</w:t>
            </w:r>
          </w:p>
        </w:tc>
        <w:tc>
          <w:tcPr>
            <w:tcW w:w="0" w:type="auto"/>
            <w:gridSpan w:val="3"/>
            <w:shd w:val="clear" w:color="auto" w:fill="FFFFFF"/>
            <w:tcMar>
              <w:left w:w="20" w:type="dxa"/>
              <w:right w:w="20" w:type="dxa"/>
            </w:tcMar>
            <w:vAlign w:val="bottom"/>
          </w:tcPr>
          <w:p w14:paraId="33DAA238"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A239"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A23A"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A23B"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A23C"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A23D"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A23E"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A23F"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A240"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A241"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A242"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A243"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A244"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A245"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A246" w14:textId="77777777" w:rsidR="004D6A64" w:rsidRDefault="004D6A64">
            <w:pPr>
              <w:rPr>
                <w:rFonts w:ascii="宋体"/>
              </w:rPr>
            </w:pPr>
          </w:p>
        </w:tc>
        <w:tc>
          <w:tcPr>
            <w:tcW w:w="0" w:type="auto"/>
            <w:shd w:val="clear" w:color="auto" w:fill="auto"/>
          </w:tcPr>
          <w:p w14:paraId="33DAA247" w14:textId="77777777" w:rsidR="004D6A64" w:rsidRDefault="004D6A64">
            <w:pPr>
              <w:rPr>
                <w:rFonts w:ascii="宋体"/>
              </w:rPr>
            </w:pPr>
          </w:p>
        </w:tc>
        <w:tc>
          <w:tcPr>
            <w:tcW w:w="0" w:type="auto"/>
            <w:shd w:val="clear" w:color="auto" w:fill="auto"/>
          </w:tcPr>
          <w:p w14:paraId="33DAA248" w14:textId="77777777" w:rsidR="004D6A64" w:rsidRDefault="004D6A64">
            <w:pPr>
              <w:rPr>
                <w:rFonts w:ascii="宋体"/>
              </w:rPr>
            </w:pPr>
          </w:p>
        </w:tc>
        <w:tc>
          <w:tcPr>
            <w:tcW w:w="0" w:type="auto"/>
            <w:shd w:val="clear" w:color="auto" w:fill="auto"/>
          </w:tcPr>
          <w:p w14:paraId="33DAA249" w14:textId="77777777" w:rsidR="004D6A64" w:rsidRDefault="004D6A64">
            <w:pPr>
              <w:rPr>
                <w:rFonts w:ascii="宋体"/>
              </w:rPr>
            </w:pPr>
          </w:p>
        </w:tc>
        <w:tc>
          <w:tcPr>
            <w:tcW w:w="0" w:type="auto"/>
            <w:shd w:val="clear" w:color="auto" w:fill="auto"/>
          </w:tcPr>
          <w:p w14:paraId="33DAA24A" w14:textId="77777777" w:rsidR="004D6A64" w:rsidRDefault="004D6A64">
            <w:pPr>
              <w:rPr>
                <w:rFonts w:ascii="宋体"/>
              </w:rPr>
            </w:pPr>
          </w:p>
        </w:tc>
        <w:tc>
          <w:tcPr>
            <w:tcW w:w="0" w:type="auto"/>
            <w:shd w:val="clear" w:color="auto" w:fill="auto"/>
          </w:tcPr>
          <w:p w14:paraId="33DAA24B" w14:textId="77777777" w:rsidR="004D6A64" w:rsidRDefault="004D6A64">
            <w:pPr>
              <w:rPr>
                <w:rFonts w:ascii="宋体"/>
              </w:rPr>
            </w:pPr>
          </w:p>
        </w:tc>
        <w:tc>
          <w:tcPr>
            <w:tcW w:w="0" w:type="auto"/>
            <w:shd w:val="clear" w:color="auto" w:fill="auto"/>
          </w:tcPr>
          <w:p w14:paraId="33DAA24C" w14:textId="77777777" w:rsidR="004D6A64" w:rsidRDefault="004D6A64">
            <w:pPr>
              <w:rPr>
                <w:rFonts w:ascii="宋体"/>
              </w:rPr>
            </w:pPr>
          </w:p>
        </w:tc>
        <w:tc>
          <w:tcPr>
            <w:tcW w:w="0" w:type="auto"/>
            <w:shd w:val="clear" w:color="auto" w:fill="auto"/>
          </w:tcPr>
          <w:p w14:paraId="33DAA24D" w14:textId="77777777" w:rsidR="004D6A64" w:rsidRDefault="004D6A64">
            <w:pPr>
              <w:rPr>
                <w:rFonts w:ascii="宋体"/>
              </w:rPr>
            </w:pPr>
          </w:p>
        </w:tc>
        <w:tc>
          <w:tcPr>
            <w:tcW w:w="0" w:type="auto"/>
            <w:shd w:val="clear" w:color="auto" w:fill="auto"/>
          </w:tcPr>
          <w:p w14:paraId="33DAA24E" w14:textId="77777777" w:rsidR="004D6A64" w:rsidRDefault="004D6A64">
            <w:pPr>
              <w:rPr>
                <w:rFonts w:ascii="宋体"/>
              </w:rPr>
            </w:pPr>
          </w:p>
        </w:tc>
        <w:tc>
          <w:tcPr>
            <w:tcW w:w="0" w:type="auto"/>
            <w:shd w:val="clear" w:color="auto" w:fill="auto"/>
          </w:tcPr>
          <w:p w14:paraId="33DAA24F" w14:textId="77777777" w:rsidR="004D6A64" w:rsidRDefault="004D6A64">
            <w:pPr>
              <w:rPr>
                <w:rFonts w:ascii="宋体"/>
              </w:rPr>
            </w:pPr>
          </w:p>
        </w:tc>
        <w:tc>
          <w:tcPr>
            <w:tcW w:w="0" w:type="auto"/>
            <w:shd w:val="clear" w:color="auto" w:fill="auto"/>
          </w:tcPr>
          <w:p w14:paraId="33DAA250" w14:textId="77777777" w:rsidR="004D6A64" w:rsidRDefault="004D6A64">
            <w:pPr>
              <w:rPr>
                <w:rFonts w:ascii="宋体"/>
              </w:rPr>
            </w:pPr>
          </w:p>
        </w:tc>
        <w:tc>
          <w:tcPr>
            <w:tcW w:w="0" w:type="auto"/>
            <w:shd w:val="clear" w:color="auto" w:fill="auto"/>
          </w:tcPr>
          <w:p w14:paraId="33DAA251" w14:textId="77777777" w:rsidR="004D6A64" w:rsidRDefault="004D6A64">
            <w:pPr>
              <w:rPr>
                <w:rFonts w:ascii="宋体"/>
              </w:rPr>
            </w:pPr>
          </w:p>
        </w:tc>
        <w:tc>
          <w:tcPr>
            <w:tcW w:w="0" w:type="auto"/>
            <w:shd w:val="clear" w:color="auto" w:fill="auto"/>
          </w:tcPr>
          <w:p w14:paraId="33DAA252" w14:textId="77777777" w:rsidR="004D6A64" w:rsidRDefault="004D6A64">
            <w:pPr>
              <w:rPr>
                <w:rFonts w:ascii="宋体"/>
              </w:rPr>
            </w:pPr>
          </w:p>
        </w:tc>
        <w:tc>
          <w:tcPr>
            <w:tcW w:w="0" w:type="auto"/>
            <w:shd w:val="clear" w:color="auto" w:fill="auto"/>
          </w:tcPr>
          <w:p w14:paraId="33DAA253" w14:textId="77777777" w:rsidR="004D6A64" w:rsidRDefault="004D6A64">
            <w:pPr>
              <w:rPr>
                <w:rFonts w:ascii="宋体"/>
              </w:rPr>
            </w:pPr>
          </w:p>
        </w:tc>
        <w:tc>
          <w:tcPr>
            <w:tcW w:w="0" w:type="auto"/>
            <w:shd w:val="clear" w:color="auto" w:fill="auto"/>
          </w:tcPr>
          <w:p w14:paraId="33DAA254" w14:textId="77777777" w:rsidR="004D6A64" w:rsidRDefault="004D6A64">
            <w:pPr>
              <w:rPr>
                <w:rFonts w:ascii="宋体"/>
              </w:rPr>
            </w:pPr>
          </w:p>
        </w:tc>
        <w:tc>
          <w:tcPr>
            <w:tcW w:w="0" w:type="auto"/>
            <w:shd w:val="clear" w:color="auto" w:fill="auto"/>
          </w:tcPr>
          <w:p w14:paraId="33DAA255" w14:textId="77777777" w:rsidR="004D6A64" w:rsidRDefault="004D6A64">
            <w:pPr>
              <w:rPr>
                <w:rFonts w:ascii="宋体"/>
              </w:rPr>
            </w:pPr>
          </w:p>
        </w:tc>
      </w:tr>
      <w:tr w:rsidR="00506CD6" w14:paraId="33DAA286" w14:textId="77777777">
        <w:tc>
          <w:tcPr>
            <w:tcW w:w="0" w:type="auto"/>
            <w:gridSpan w:val="3"/>
            <w:shd w:val="clear" w:color="auto" w:fill="CCEEFF"/>
            <w:tcMar>
              <w:top w:w="40" w:type="dxa"/>
              <w:left w:w="135" w:type="dxa"/>
              <w:bottom w:w="40" w:type="dxa"/>
              <w:right w:w="20" w:type="dxa"/>
            </w:tcMar>
            <w:vAlign w:val="center"/>
          </w:tcPr>
          <w:p w14:paraId="33DAA257" w14:textId="77777777" w:rsidR="004D6A64" w:rsidRDefault="00506CD6">
            <w:pPr>
              <w:textAlignment w:val="center"/>
            </w:pPr>
            <w:r>
              <w:rPr>
                <w:rFonts w:ascii="Times New Roman" w:eastAsia="宋体" w:hAnsi="Times New Roman"/>
                <w:color w:val="000000"/>
                <w:sz w:val="20"/>
                <w:szCs w:val="20"/>
              </w:rPr>
              <w:t>Money market funds</w:t>
            </w:r>
          </w:p>
        </w:tc>
        <w:tc>
          <w:tcPr>
            <w:tcW w:w="0" w:type="auto"/>
            <w:shd w:val="clear" w:color="auto" w:fill="CCEEFF"/>
            <w:tcMar>
              <w:top w:w="40" w:type="dxa"/>
              <w:left w:w="20" w:type="dxa"/>
              <w:bottom w:w="40" w:type="dxa"/>
            </w:tcMar>
            <w:vAlign w:val="center"/>
          </w:tcPr>
          <w:p w14:paraId="33DAA258"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259" w14:textId="77777777" w:rsidR="004D6A64" w:rsidRDefault="00506CD6">
            <w:pPr>
              <w:jc w:val="right"/>
              <w:textAlignment w:val="center"/>
            </w:pPr>
            <w:r>
              <w:rPr>
                <w:rFonts w:ascii="Times New Roman" w:eastAsia="宋体" w:hAnsi="Times New Roman"/>
                <w:color w:val="000000"/>
                <w:sz w:val="20"/>
                <w:szCs w:val="20"/>
              </w:rPr>
              <w:t>5,965 </w:t>
            </w:r>
          </w:p>
        </w:tc>
        <w:tc>
          <w:tcPr>
            <w:tcW w:w="0" w:type="auto"/>
            <w:shd w:val="clear" w:color="auto" w:fill="CCEEFF"/>
            <w:tcMar>
              <w:top w:w="40" w:type="dxa"/>
              <w:bottom w:w="40" w:type="dxa"/>
              <w:right w:w="20" w:type="dxa"/>
            </w:tcMar>
            <w:vAlign w:val="center"/>
          </w:tcPr>
          <w:p w14:paraId="33DAA25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25B"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25C"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25D"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A25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25F"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260"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261"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A26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263"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264"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265" w14:textId="77777777" w:rsidR="004D6A64" w:rsidRDefault="00506CD6">
            <w:pPr>
              <w:jc w:val="right"/>
              <w:textAlignment w:val="center"/>
            </w:pPr>
            <w:r>
              <w:rPr>
                <w:rFonts w:ascii="Times New Roman" w:eastAsia="宋体" w:hAnsi="Times New Roman"/>
                <w:color w:val="000000"/>
                <w:sz w:val="20"/>
                <w:szCs w:val="20"/>
              </w:rPr>
              <w:t>5,965 </w:t>
            </w:r>
          </w:p>
        </w:tc>
        <w:tc>
          <w:tcPr>
            <w:tcW w:w="0" w:type="auto"/>
            <w:shd w:val="clear" w:color="auto" w:fill="CCEEFF"/>
            <w:tcMar>
              <w:top w:w="40" w:type="dxa"/>
              <w:bottom w:w="40" w:type="dxa"/>
              <w:right w:w="20" w:type="dxa"/>
            </w:tcMar>
            <w:vAlign w:val="center"/>
          </w:tcPr>
          <w:p w14:paraId="33DAA26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267"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268"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269" w14:textId="77777777" w:rsidR="004D6A64" w:rsidRDefault="00506CD6">
            <w:pPr>
              <w:jc w:val="right"/>
              <w:textAlignment w:val="center"/>
            </w:pPr>
            <w:r>
              <w:rPr>
                <w:rFonts w:ascii="Times New Roman" w:eastAsia="宋体" w:hAnsi="Times New Roman"/>
                <w:color w:val="000000"/>
                <w:sz w:val="20"/>
                <w:szCs w:val="20"/>
              </w:rPr>
              <w:t>4,621 </w:t>
            </w:r>
          </w:p>
        </w:tc>
        <w:tc>
          <w:tcPr>
            <w:tcW w:w="0" w:type="auto"/>
            <w:shd w:val="clear" w:color="auto" w:fill="CCEEFF"/>
            <w:tcMar>
              <w:top w:w="40" w:type="dxa"/>
              <w:bottom w:w="40" w:type="dxa"/>
              <w:right w:w="20" w:type="dxa"/>
            </w:tcMar>
            <w:vAlign w:val="center"/>
          </w:tcPr>
          <w:p w14:paraId="33DAA26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26B"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26C"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26D"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A26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26F"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270"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271"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A27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273"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274"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275" w14:textId="77777777" w:rsidR="004D6A64" w:rsidRDefault="00506CD6">
            <w:pPr>
              <w:jc w:val="right"/>
              <w:textAlignment w:val="center"/>
            </w:pPr>
            <w:r>
              <w:rPr>
                <w:rFonts w:ascii="Times New Roman" w:eastAsia="宋体" w:hAnsi="Times New Roman"/>
                <w:color w:val="000000"/>
                <w:sz w:val="20"/>
                <w:szCs w:val="20"/>
              </w:rPr>
              <w:t>4,621 </w:t>
            </w:r>
          </w:p>
        </w:tc>
        <w:tc>
          <w:tcPr>
            <w:tcW w:w="0" w:type="auto"/>
            <w:shd w:val="clear" w:color="auto" w:fill="CCEEFF"/>
            <w:tcMar>
              <w:top w:w="40" w:type="dxa"/>
              <w:bottom w:w="40" w:type="dxa"/>
              <w:right w:w="20" w:type="dxa"/>
            </w:tcMar>
            <w:vAlign w:val="center"/>
          </w:tcPr>
          <w:p w14:paraId="33DAA276" w14:textId="77777777" w:rsidR="004D6A64" w:rsidRDefault="004D6A64">
            <w:pPr>
              <w:jc w:val="right"/>
              <w:rPr>
                <w:rFonts w:ascii="宋体"/>
              </w:rPr>
            </w:pPr>
          </w:p>
        </w:tc>
        <w:tc>
          <w:tcPr>
            <w:tcW w:w="0" w:type="auto"/>
            <w:shd w:val="clear" w:color="auto" w:fill="auto"/>
          </w:tcPr>
          <w:p w14:paraId="33DAA277" w14:textId="77777777" w:rsidR="004D6A64" w:rsidRDefault="004D6A64">
            <w:pPr>
              <w:rPr>
                <w:rFonts w:ascii="宋体"/>
              </w:rPr>
            </w:pPr>
          </w:p>
        </w:tc>
        <w:tc>
          <w:tcPr>
            <w:tcW w:w="0" w:type="auto"/>
            <w:shd w:val="clear" w:color="auto" w:fill="auto"/>
          </w:tcPr>
          <w:p w14:paraId="33DAA278" w14:textId="77777777" w:rsidR="004D6A64" w:rsidRDefault="004D6A64">
            <w:pPr>
              <w:rPr>
                <w:rFonts w:ascii="宋体"/>
              </w:rPr>
            </w:pPr>
          </w:p>
        </w:tc>
        <w:tc>
          <w:tcPr>
            <w:tcW w:w="0" w:type="auto"/>
            <w:shd w:val="clear" w:color="auto" w:fill="auto"/>
          </w:tcPr>
          <w:p w14:paraId="33DAA279" w14:textId="77777777" w:rsidR="004D6A64" w:rsidRDefault="004D6A64">
            <w:pPr>
              <w:rPr>
                <w:rFonts w:ascii="宋体"/>
              </w:rPr>
            </w:pPr>
          </w:p>
        </w:tc>
        <w:tc>
          <w:tcPr>
            <w:tcW w:w="0" w:type="auto"/>
            <w:shd w:val="clear" w:color="auto" w:fill="auto"/>
          </w:tcPr>
          <w:p w14:paraId="33DAA27A" w14:textId="77777777" w:rsidR="004D6A64" w:rsidRDefault="004D6A64">
            <w:pPr>
              <w:rPr>
                <w:rFonts w:ascii="宋体"/>
              </w:rPr>
            </w:pPr>
          </w:p>
        </w:tc>
        <w:tc>
          <w:tcPr>
            <w:tcW w:w="0" w:type="auto"/>
            <w:shd w:val="clear" w:color="auto" w:fill="auto"/>
          </w:tcPr>
          <w:p w14:paraId="33DAA27B" w14:textId="77777777" w:rsidR="004D6A64" w:rsidRDefault="004D6A64">
            <w:pPr>
              <w:rPr>
                <w:rFonts w:ascii="宋体"/>
              </w:rPr>
            </w:pPr>
          </w:p>
        </w:tc>
        <w:tc>
          <w:tcPr>
            <w:tcW w:w="0" w:type="auto"/>
            <w:shd w:val="clear" w:color="auto" w:fill="auto"/>
          </w:tcPr>
          <w:p w14:paraId="33DAA27C" w14:textId="77777777" w:rsidR="004D6A64" w:rsidRDefault="004D6A64">
            <w:pPr>
              <w:rPr>
                <w:rFonts w:ascii="宋体"/>
              </w:rPr>
            </w:pPr>
          </w:p>
        </w:tc>
        <w:tc>
          <w:tcPr>
            <w:tcW w:w="0" w:type="auto"/>
            <w:shd w:val="clear" w:color="auto" w:fill="auto"/>
          </w:tcPr>
          <w:p w14:paraId="33DAA27D" w14:textId="77777777" w:rsidR="004D6A64" w:rsidRDefault="004D6A64">
            <w:pPr>
              <w:rPr>
                <w:rFonts w:ascii="宋体"/>
              </w:rPr>
            </w:pPr>
          </w:p>
        </w:tc>
        <w:tc>
          <w:tcPr>
            <w:tcW w:w="0" w:type="auto"/>
            <w:shd w:val="clear" w:color="auto" w:fill="auto"/>
          </w:tcPr>
          <w:p w14:paraId="33DAA27E" w14:textId="77777777" w:rsidR="004D6A64" w:rsidRDefault="004D6A64">
            <w:pPr>
              <w:rPr>
                <w:rFonts w:ascii="宋体"/>
              </w:rPr>
            </w:pPr>
          </w:p>
        </w:tc>
        <w:tc>
          <w:tcPr>
            <w:tcW w:w="0" w:type="auto"/>
            <w:shd w:val="clear" w:color="auto" w:fill="auto"/>
          </w:tcPr>
          <w:p w14:paraId="33DAA27F" w14:textId="77777777" w:rsidR="004D6A64" w:rsidRDefault="004D6A64">
            <w:pPr>
              <w:rPr>
                <w:rFonts w:ascii="宋体"/>
              </w:rPr>
            </w:pPr>
          </w:p>
        </w:tc>
        <w:tc>
          <w:tcPr>
            <w:tcW w:w="0" w:type="auto"/>
            <w:shd w:val="clear" w:color="auto" w:fill="auto"/>
          </w:tcPr>
          <w:p w14:paraId="33DAA280" w14:textId="77777777" w:rsidR="004D6A64" w:rsidRDefault="004D6A64">
            <w:pPr>
              <w:rPr>
                <w:rFonts w:ascii="宋体"/>
              </w:rPr>
            </w:pPr>
          </w:p>
        </w:tc>
        <w:tc>
          <w:tcPr>
            <w:tcW w:w="0" w:type="auto"/>
            <w:shd w:val="clear" w:color="auto" w:fill="auto"/>
          </w:tcPr>
          <w:p w14:paraId="33DAA281" w14:textId="77777777" w:rsidR="004D6A64" w:rsidRDefault="004D6A64">
            <w:pPr>
              <w:rPr>
                <w:rFonts w:ascii="宋体"/>
              </w:rPr>
            </w:pPr>
          </w:p>
        </w:tc>
        <w:tc>
          <w:tcPr>
            <w:tcW w:w="0" w:type="auto"/>
            <w:shd w:val="clear" w:color="auto" w:fill="auto"/>
          </w:tcPr>
          <w:p w14:paraId="33DAA282" w14:textId="77777777" w:rsidR="004D6A64" w:rsidRDefault="004D6A64">
            <w:pPr>
              <w:rPr>
                <w:rFonts w:ascii="宋体"/>
              </w:rPr>
            </w:pPr>
          </w:p>
        </w:tc>
        <w:tc>
          <w:tcPr>
            <w:tcW w:w="0" w:type="auto"/>
            <w:shd w:val="clear" w:color="auto" w:fill="auto"/>
          </w:tcPr>
          <w:p w14:paraId="33DAA283" w14:textId="77777777" w:rsidR="004D6A64" w:rsidRDefault="004D6A64">
            <w:pPr>
              <w:rPr>
                <w:rFonts w:ascii="宋体"/>
              </w:rPr>
            </w:pPr>
          </w:p>
        </w:tc>
        <w:tc>
          <w:tcPr>
            <w:tcW w:w="0" w:type="auto"/>
            <w:shd w:val="clear" w:color="auto" w:fill="auto"/>
          </w:tcPr>
          <w:p w14:paraId="33DAA284" w14:textId="77777777" w:rsidR="004D6A64" w:rsidRDefault="004D6A64">
            <w:pPr>
              <w:rPr>
                <w:rFonts w:ascii="宋体"/>
              </w:rPr>
            </w:pPr>
          </w:p>
        </w:tc>
        <w:tc>
          <w:tcPr>
            <w:tcW w:w="0" w:type="auto"/>
            <w:shd w:val="clear" w:color="auto" w:fill="auto"/>
          </w:tcPr>
          <w:p w14:paraId="33DAA285" w14:textId="77777777" w:rsidR="004D6A64" w:rsidRDefault="004D6A64">
            <w:pPr>
              <w:rPr>
                <w:rFonts w:ascii="宋体"/>
              </w:rPr>
            </w:pPr>
          </w:p>
        </w:tc>
      </w:tr>
      <w:tr w:rsidR="004D6A64" w14:paraId="33DAA2A6" w14:textId="77777777">
        <w:trPr>
          <w:hidden/>
        </w:trPr>
        <w:tc>
          <w:tcPr>
            <w:tcW w:w="0" w:type="auto"/>
            <w:gridSpan w:val="3"/>
            <w:shd w:val="clear" w:color="auto" w:fill="auto"/>
          </w:tcPr>
          <w:p w14:paraId="33DAA287" w14:textId="77777777" w:rsidR="004D6A64" w:rsidRDefault="004D6A64">
            <w:pPr>
              <w:rPr>
                <w:rFonts w:ascii="宋体"/>
                <w:vanish/>
              </w:rPr>
            </w:pPr>
          </w:p>
        </w:tc>
        <w:tc>
          <w:tcPr>
            <w:tcW w:w="0" w:type="auto"/>
            <w:gridSpan w:val="3"/>
            <w:shd w:val="clear" w:color="auto" w:fill="auto"/>
          </w:tcPr>
          <w:p w14:paraId="33DAA288" w14:textId="77777777" w:rsidR="004D6A64" w:rsidRDefault="004D6A64">
            <w:pPr>
              <w:rPr>
                <w:rFonts w:ascii="宋体"/>
                <w:vanish/>
              </w:rPr>
            </w:pPr>
          </w:p>
        </w:tc>
        <w:tc>
          <w:tcPr>
            <w:tcW w:w="0" w:type="auto"/>
            <w:gridSpan w:val="3"/>
            <w:shd w:val="clear" w:color="auto" w:fill="auto"/>
          </w:tcPr>
          <w:p w14:paraId="33DAA289" w14:textId="77777777" w:rsidR="004D6A64" w:rsidRDefault="004D6A64">
            <w:pPr>
              <w:rPr>
                <w:rFonts w:ascii="宋体"/>
                <w:vanish/>
              </w:rPr>
            </w:pPr>
          </w:p>
        </w:tc>
        <w:tc>
          <w:tcPr>
            <w:tcW w:w="0" w:type="auto"/>
            <w:gridSpan w:val="3"/>
            <w:shd w:val="clear" w:color="auto" w:fill="auto"/>
          </w:tcPr>
          <w:p w14:paraId="33DAA28A" w14:textId="77777777" w:rsidR="004D6A64" w:rsidRDefault="004D6A64">
            <w:pPr>
              <w:rPr>
                <w:rFonts w:ascii="宋体"/>
                <w:vanish/>
              </w:rPr>
            </w:pPr>
          </w:p>
        </w:tc>
        <w:tc>
          <w:tcPr>
            <w:tcW w:w="0" w:type="auto"/>
            <w:gridSpan w:val="3"/>
            <w:shd w:val="clear" w:color="auto" w:fill="auto"/>
          </w:tcPr>
          <w:p w14:paraId="33DAA28B" w14:textId="77777777" w:rsidR="004D6A64" w:rsidRDefault="004D6A64">
            <w:pPr>
              <w:rPr>
                <w:rFonts w:ascii="宋体"/>
                <w:vanish/>
              </w:rPr>
            </w:pPr>
          </w:p>
        </w:tc>
        <w:tc>
          <w:tcPr>
            <w:tcW w:w="0" w:type="auto"/>
            <w:gridSpan w:val="3"/>
            <w:shd w:val="clear" w:color="auto" w:fill="auto"/>
          </w:tcPr>
          <w:p w14:paraId="33DAA28C" w14:textId="77777777" w:rsidR="004D6A64" w:rsidRDefault="004D6A64">
            <w:pPr>
              <w:rPr>
                <w:rFonts w:ascii="宋体"/>
                <w:vanish/>
              </w:rPr>
            </w:pPr>
          </w:p>
        </w:tc>
        <w:tc>
          <w:tcPr>
            <w:tcW w:w="0" w:type="auto"/>
            <w:gridSpan w:val="3"/>
            <w:shd w:val="clear" w:color="auto" w:fill="auto"/>
          </w:tcPr>
          <w:p w14:paraId="33DAA28D" w14:textId="77777777" w:rsidR="004D6A64" w:rsidRDefault="004D6A64">
            <w:pPr>
              <w:rPr>
                <w:rFonts w:ascii="宋体"/>
                <w:vanish/>
              </w:rPr>
            </w:pPr>
          </w:p>
        </w:tc>
        <w:tc>
          <w:tcPr>
            <w:tcW w:w="0" w:type="auto"/>
            <w:gridSpan w:val="3"/>
            <w:shd w:val="clear" w:color="auto" w:fill="auto"/>
          </w:tcPr>
          <w:p w14:paraId="33DAA28E" w14:textId="77777777" w:rsidR="004D6A64" w:rsidRDefault="004D6A64">
            <w:pPr>
              <w:rPr>
                <w:rFonts w:ascii="宋体"/>
                <w:vanish/>
              </w:rPr>
            </w:pPr>
          </w:p>
        </w:tc>
        <w:tc>
          <w:tcPr>
            <w:tcW w:w="0" w:type="auto"/>
            <w:gridSpan w:val="3"/>
            <w:shd w:val="clear" w:color="auto" w:fill="auto"/>
          </w:tcPr>
          <w:p w14:paraId="33DAA28F" w14:textId="77777777" w:rsidR="004D6A64" w:rsidRDefault="004D6A64">
            <w:pPr>
              <w:rPr>
                <w:rFonts w:ascii="宋体"/>
                <w:vanish/>
              </w:rPr>
            </w:pPr>
          </w:p>
        </w:tc>
        <w:tc>
          <w:tcPr>
            <w:tcW w:w="0" w:type="auto"/>
            <w:gridSpan w:val="3"/>
            <w:shd w:val="clear" w:color="auto" w:fill="auto"/>
          </w:tcPr>
          <w:p w14:paraId="33DAA290" w14:textId="77777777" w:rsidR="004D6A64" w:rsidRDefault="004D6A64">
            <w:pPr>
              <w:rPr>
                <w:rFonts w:ascii="宋体"/>
                <w:vanish/>
              </w:rPr>
            </w:pPr>
          </w:p>
        </w:tc>
        <w:tc>
          <w:tcPr>
            <w:tcW w:w="0" w:type="auto"/>
            <w:gridSpan w:val="3"/>
            <w:shd w:val="clear" w:color="auto" w:fill="auto"/>
          </w:tcPr>
          <w:p w14:paraId="33DAA291" w14:textId="77777777" w:rsidR="004D6A64" w:rsidRDefault="004D6A64">
            <w:pPr>
              <w:rPr>
                <w:rFonts w:ascii="宋体"/>
                <w:vanish/>
              </w:rPr>
            </w:pPr>
          </w:p>
        </w:tc>
        <w:tc>
          <w:tcPr>
            <w:tcW w:w="0" w:type="auto"/>
            <w:gridSpan w:val="3"/>
            <w:shd w:val="clear" w:color="auto" w:fill="auto"/>
          </w:tcPr>
          <w:p w14:paraId="33DAA292" w14:textId="77777777" w:rsidR="004D6A64" w:rsidRDefault="004D6A64">
            <w:pPr>
              <w:rPr>
                <w:rFonts w:ascii="宋体"/>
                <w:vanish/>
              </w:rPr>
            </w:pPr>
          </w:p>
        </w:tc>
        <w:tc>
          <w:tcPr>
            <w:tcW w:w="0" w:type="auto"/>
            <w:gridSpan w:val="3"/>
            <w:shd w:val="clear" w:color="auto" w:fill="auto"/>
          </w:tcPr>
          <w:p w14:paraId="33DAA293" w14:textId="77777777" w:rsidR="004D6A64" w:rsidRDefault="004D6A64">
            <w:pPr>
              <w:rPr>
                <w:rFonts w:ascii="宋体"/>
                <w:vanish/>
              </w:rPr>
            </w:pPr>
          </w:p>
        </w:tc>
        <w:tc>
          <w:tcPr>
            <w:tcW w:w="0" w:type="auto"/>
            <w:gridSpan w:val="3"/>
            <w:shd w:val="clear" w:color="auto" w:fill="auto"/>
          </w:tcPr>
          <w:p w14:paraId="33DAA294" w14:textId="77777777" w:rsidR="004D6A64" w:rsidRDefault="004D6A64">
            <w:pPr>
              <w:rPr>
                <w:rFonts w:ascii="宋体"/>
                <w:vanish/>
              </w:rPr>
            </w:pPr>
          </w:p>
        </w:tc>
        <w:tc>
          <w:tcPr>
            <w:tcW w:w="0" w:type="auto"/>
            <w:gridSpan w:val="3"/>
            <w:shd w:val="clear" w:color="auto" w:fill="auto"/>
          </w:tcPr>
          <w:p w14:paraId="33DAA295" w14:textId="77777777" w:rsidR="004D6A64" w:rsidRDefault="004D6A64">
            <w:pPr>
              <w:rPr>
                <w:rFonts w:ascii="宋体"/>
                <w:vanish/>
              </w:rPr>
            </w:pPr>
          </w:p>
        </w:tc>
        <w:tc>
          <w:tcPr>
            <w:tcW w:w="0" w:type="auto"/>
            <w:gridSpan w:val="3"/>
            <w:shd w:val="clear" w:color="auto" w:fill="auto"/>
          </w:tcPr>
          <w:p w14:paraId="33DAA296" w14:textId="77777777" w:rsidR="004D6A64" w:rsidRDefault="004D6A64">
            <w:pPr>
              <w:rPr>
                <w:rFonts w:ascii="宋体"/>
                <w:vanish/>
              </w:rPr>
            </w:pPr>
          </w:p>
        </w:tc>
        <w:tc>
          <w:tcPr>
            <w:tcW w:w="0" w:type="auto"/>
            <w:shd w:val="clear" w:color="auto" w:fill="auto"/>
          </w:tcPr>
          <w:p w14:paraId="33DAA297" w14:textId="77777777" w:rsidR="004D6A64" w:rsidRDefault="004D6A64">
            <w:pPr>
              <w:rPr>
                <w:rFonts w:ascii="宋体"/>
              </w:rPr>
            </w:pPr>
          </w:p>
        </w:tc>
        <w:tc>
          <w:tcPr>
            <w:tcW w:w="0" w:type="auto"/>
            <w:shd w:val="clear" w:color="auto" w:fill="auto"/>
          </w:tcPr>
          <w:p w14:paraId="33DAA298" w14:textId="77777777" w:rsidR="004D6A64" w:rsidRDefault="004D6A64">
            <w:pPr>
              <w:rPr>
                <w:rFonts w:ascii="宋体"/>
              </w:rPr>
            </w:pPr>
          </w:p>
        </w:tc>
        <w:tc>
          <w:tcPr>
            <w:tcW w:w="0" w:type="auto"/>
            <w:shd w:val="clear" w:color="auto" w:fill="auto"/>
          </w:tcPr>
          <w:p w14:paraId="33DAA299" w14:textId="77777777" w:rsidR="004D6A64" w:rsidRDefault="004D6A64">
            <w:pPr>
              <w:rPr>
                <w:rFonts w:ascii="宋体"/>
              </w:rPr>
            </w:pPr>
          </w:p>
        </w:tc>
        <w:tc>
          <w:tcPr>
            <w:tcW w:w="0" w:type="auto"/>
            <w:shd w:val="clear" w:color="auto" w:fill="auto"/>
          </w:tcPr>
          <w:p w14:paraId="33DAA29A" w14:textId="77777777" w:rsidR="004D6A64" w:rsidRDefault="004D6A64">
            <w:pPr>
              <w:rPr>
                <w:rFonts w:ascii="宋体"/>
              </w:rPr>
            </w:pPr>
          </w:p>
        </w:tc>
        <w:tc>
          <w:tcPr>
            <w:tcW w:w="0" w:type="auto"/>
            <w:shd w:val="clear" w:color="auto" w:fill="auto"/>
          </w:tcPr>
          <w:p w14:paraId="33DAA29B" w14:textId="77777777" w:rsidR="004D6A64" w:rsidRDefault="004D6A64">
            <w:pPr>
              <w:rPr>
                <w:rFonts w:ascii="宋体"/>
              </w:rPr>
            </w:pPr>
          </w:p>
        </w:tc>
        <w:tc>
          <w:tcPr>
            <w:tcW w:w="0" w:type="auto"/>
            <w:shd w:val="clear" w:color="auto" w:fill="auto"/>
          </w:tcPr>
          <w:p w14:paraId="33DAA29C" w14:textId="77777777" w:rsidR="004D6A64" w:rsidRDefault="004D6A64">
            <w:pPr>
              <w:rPr>
                <w:rFonts w:ascii="宋体"/>
              </w:rPr>
            </w:pPr>
          </w:p>
        </w:tc>
        <w:tc>
          <w:tcPr>
            <w:tcW w:w="0" w:type="auto"/>
            <w:shd w:val="clear" w:color="auto" w:fill="auto"/>
          </w:tcPr>
          <w:p w14:paraId="33DAA29D" w14:textId="77777777" w:rsidR="004D6A64" w:rsidRDefault="004D6A64">
            <w:pPr>
              <w:rPr>
                <w:rFonts w:ascii="宋体"/>
              </w:rPr>
            </w:pPr>
          </w:p>
        </w:tc>
        <w:tc>
          <w:tcPr>
            <w:tcW w:w="0" w:type="auto"/>
            <w:shd w:val="clear" w:color="auto" w:fill="auto"/>
          </w:tcPr>
          <w:p w14:paraId="33DAA29E" w14:textId="77777777" w:rsidR="004D6A64" w:rsidRDefault="004D6A64">
            <w:pPr>
              <w:rPr>
                <w:rFonts w:ascii="宋体"/>
              </w:rPr>
            </w:pPr>
          </w:p>
        </w:tc>
        <w:tc>
          <w:tcPr>
            <w:tcW w:w="0" w:type="auto"/>
            <w:shd w:val="clear" w:color="auto" w:fill="auto"/>
          </w:tcPr>
          <w:p w14:paraId="33DAA29F" w14:textId="77777777" w:rsidR="004D6A64" w:rsidRDefault="004D6A64">
            <w:pPr>
              <w:rPr>
                <w:rFonts w:ascii="宋体"/>
              </w:rPr>
            </w:pPr>
          </w:p>
        </w:tc>
        <w:tc>
          <w:tcPr>
            <w:tcW w:w="0" w:type="auto"/>
            <w:shd w:val="clear" w:color="auto" w:fill="auto"/>
          </w:tcPr>
          <w:p w14:paraId="33DAA2A0" w14:textId="77777777" w:rsidR="004D6A64" w:rsidRDefault="004D6A64">
            <w:pPr>
              <w:rPr>
                <w:rFonts w:ascii="宋体"/>
              </w:rPr>
            </w:pPr>
          </w:p>
        </w:tc>
        <w:tc>
          <w:tcPr>
            <w:tcW w:w="0" w:type="auto"/>
            <w:shd w:val="clear" w:color="auto" w:fill="auto"/>
          </w:tcPr>
          <w:p w14:paraId="33DAA2A1" w14:textId="77777777" w:rsidR="004D6A64" w:rsidRDefault="004D6A64">
            <w:pPr>
              <w:rPr>
                <w:rFonts w:ascii="宋体"/>
              </w:rPr>
            </w:pPr>
          </w:p>
        </w:tc>
        <w:tc>
          <w:tcPr>
            <w:tcW w:w="0" w:type="auto"/>
            <w:shd w:val="clear" w:color="auto" w:fill="auto"/>
          </w:tcPr>
          <w:p w14:paraId="33DAA2A2" w14:textId="77777777" w:rsidR="004D6A64" w:rsidRDefault="004D6A64">
            <w:pPr>
              <w:rPr>
                <w:rFonts w:ascii="宋体"/>
              </w:rPr>
            </w:pPr>
          </w:p>
        </w:tc>
        <w:tc>
          <w:tcPr>
            <w:tcW w:w="0" w:type="auto"/>
            <w:shd w:val="clear" w:color="auto" w:fill="auto"/>
          </w:tcPr>
          <w:p w14:paraId="33DAA2A3" w14:textId="77777777" w:rsidR="004D6A64" w:rsidRDefault="004D6A64">
            <w:pPr>
              <w:rPr>
                <w:rFonts w:ascii="宋体"/>
              </w:rPr>
            </w:pPr>
          </w:p>
        </w:tc>
        <w:tc>
          <w:tcPr>
            <w:tcW w:w="0" w:type="auto"/>
            <w:shd w:val="clear" w:color="auto" w:fill="auto"/>
          </w:tcPr>
          <w:p w14:paraId="33DAA2A4" w14:textId="77777777" w:rsidR="004D6A64" w:rsidRDefault="004D6A64">
            <w:pPr>
              <w:rPr>
                <w:rFonts w:ascii="宋体"/>
              </w:rPr>
            </w:pPr>
          </w:p>
        </w:tc>
        <w:tc>
          <w:tcPr>
            <w:tcW w:w="0" w:type="auto"/>
            <w:shd w:val="clear" w:color="auto" w:fill="auto"/>
          </w:tcPr>
          <w:p w14:paraId="33DAA2A5" w14:textId="77777777" w:rsidR="004D6A64" w:rsidRDefault="004D6A64">
            <w:pPr>
              <w:rPr>
                <w:rFonts w:ascii="宋体"/>
              </w:rPr>
            </w:pPr>
          </w:p>
        </w:tc>
      </w:tr>
      <w:tr w:rsidR="004D6A64" w14:paraId="33DAA2C6" w14:textId="77777777">
        <w:trPr>
          <w:hidden/>
        </w:trPr>
        <w:tc>
          <w:tcPr>
            <w:tcW w:w="0" w:type="auto"/>
            <w:gridSpan w:val="3"/>
            <w:shd w:val="clear" w:color="auto" w:fill="auto"/>
          </w:tcPr>
          <w:p w14:paraId="33DAA2A7" w14:textId="77777777" w:rsidR="004D6A64" w:rsidRDefault="004D6A64">
            <w:pPr>
              <w:rPr>
                <w:rFonts w:ascii="宋体"/>
                <w:vanish/>
              </w:rPr>
            </w:pPr>
          </w:p>
        </w:tc>
        <w:tc>
          <w:tcPr>
            <w:tcW w:w="0" w:type="auto"/>
            <w:gridSpan w:val="3"/>
            <w:shd w:val="clear" w:color="auto" w:fill="auto"/>
          </w:tcPr>
          <w:p w14:paraId="33DAA2A8" w14:textId="77777777" w:rsidR="004D6A64" w:rsidRDefault="004D6A64">
            <w:pPr>
              <w:rPr>
                <w:rFonts w:ascii="宋体"/>
                <w:vanish/>
              </w:rPr>
            </w:pPr>
          </w:p>
        </w:tc>
        <w:tc>
          <w:tcPr>
            <w:tcW w:w="0" w:type="auto"/>
            <w:gridSpan w:val="3"/>
            <w:shd w:val="clear" w:color="auto" w:fill="auto"/>
          </w:tcPr>
          <w:p w14:paraId="33DAA2A9" w14:textId="77777777" w:rsidR="004D6A64" w:rsidRDefault="004D6A64">
            <w:pPr>
              <w:rPr>
                <w:rFonts w:ascii="宋体"/>
                <w:vanish/>
              </w:rPr>
            </w:pPr>
          </w:p>
        </w:tc>
        <w:tc>
          <w:tcPr>
            <w:tcW w:w="0" w:type="auto"/>
            <w:gridSpan w:val="3"/>
            <w:shd w:val="clear" w:color="auto" w:fill="auto"/>
          </w:tcPr>
          <w:p w14:paraId="33DAA2AA" w14:textId="77777777" w:rsidR="004D6A64" w:rsidRDefault="004D6A64">
            <w:pPr>
              <w:rPr>
                <w:rFonts w:ascii="宋体"/>
                <w:vanish/>
              </w:rPr>
            </w:pPr>
          </w:p>
        </w:tc>
        <w:tc>
          <w:tcPr>
            <w:tcW w:w="0" w:type="auto"/>
            <w:gridSpan w:val="3"/>
            <w:shd w:val="clear" w:color="auto" w:fill="auto"/>
          </w:tcPr>
          <w:p w14:paraId="33DAA2AB" w14:textId="77777777" w:rsidR="004D6A64" w:rsidRDefault="004D6A64">
            <w:pPr>
              <w:rPr>
                <w:rFonts w:ascii="宋体"/>
                <w:vanish/>
              </w:rPr>
            </w:pPr>
          </w:p>
        </w:tc>
        <w:tc>
          <w:tcPr>
            <w:tcW w:w="0" w:type="auto"/>
            <w:gridSpan w:val="3"/>
            <w:shd w:val="clear" w:color="auto" w:fill="auto"/>
          </w:tcPr>
          <w:p w14:paraId="33DAA2AC" w14:textId="77777777" w:rsidR="004D6A64" w:rsidRDefault="004D6A64">
            <w:pPr>
              <w:rPr>
                <w:rFonts w:ascii="宋体"/>
                <w:vanish/>
              </w:rPr>
            </w:pPr>
          </w:p>
        </w:tc>
        <w:tc>
          <w:tcPr>
            <w:tcW w:w="0" w:type="auto"/>
            <w:gridSpan w:val="3"/>
            <w:shd w:val="clear" w:color="auto" w:fill="auto"/>
          </w:tcPr>
          <w:p w14:paraId="33DAA2AD" w14:textId="77777777" w:rsidR="004D6A64" w:rsidRDefault="004D6A64">
            <w:pPr>
              <w:rPr>
                <w:rFonts w:ascii="宋体"/>
                <w:vanish/>
              </w:rPr>
            </w:pPr>
          </w:p>
        </w:tc>
        <w:tc>
          <w:tcPr>
            <w:tcW w:w="0" w:type="auto"/>
            <w:gridSpan w:val="3"/>
            <w:shd w:val="clear" w:color="auto" w:fill="auto"/>
          </w:tcPr>
          <w:p w14:paraId="33DAA2AE" w14:textId="77777777" w:rsidR="004D6A64" w:rsidRDefault="004D6A64">
            <w:pPr>
              <w:rPr>
                <w:rFonts w:ascii="宋体"/>
                <w:vanish/>
              </w:rPr>
            </w:pPr>
          </w:p>
        </w:tc>
        <w:tc>
          <w:tcPr>
            <w:tcW w:w="0" w:type="auto"/>
            <w:gridSpan w:val="3"/>
            <w:shd w:val="clear" w:color="auto" w:fill="auto"/>
          </w:tcPr>
          <w:p w14:paraId="33DAA2AF" w14:textId="77777777" w:rsidR="004D6A64" w:rsidRDefault="004D6A64">
            <w:pPr>
              <w:rPr>
                <w:rFonts w:ascii="宋体"/>
                <w:vanish/>
              </w:rPr>
            </w:pPr>
          </w:p>
        </w:tc>
        <w:tc>
          <w:tcPr>
            <w:tcW w:w="0" w:type="auto"/>
            <w:gridSpan w:val="3"/>
            <w:shd w:val="clear" w:color="auto" w:fill="auto"/>
          </w:tcPr>
          <w:p w14:paraId="33DAA2B0" w14:textId="77777777" w:rsidR="004D6A64" w:rsidRDefault="004D6A64">
            <w:pPr>
              <w:rPr>
                <w:rFonts w:ascii="宋体"/>
                <w:vanish/>
              </w:rPr>
            </w:pPr>
          </w:p>
        </w:tc>
        <w:tc>
          <w:tcPr>
            <w:tcW w:w="0" w:type="auto"/>
            <w:gridSpan w:val="3"/>
            <w:shd w:val="clear" w:color="auto" w:fill="auto"/>
          </w:tcPr>
          <w:p w14:paraId="33DAA2B1" w14:textId="77777777" w:rsidR="004D6A64" w:rsidRDefault="004D6A64">
            <w:pPr>
              <w:rPr>
                <w:rFonts w:ascii="宋体"/>
                <w:vanish/>
              </w:rPr>
            </w:pPr>
          </w:p>
        </w:tc>
        <w:tc>
          <w:tcPr>
            <w:tcW w:w="0" w:type="auto"/>
            <w:gridSpan w:val="3"/>
            <w:shd w:val="clear" w:color="auto" w:fill="auto"/>
          </w:tcPr>
          <w:p w14:paraId="33DAA2B2" w14:textId="77777777" w:rsidR="004D6A64" w:rsidRDefault="004D6A64">
            <w:pPr>
              <w:rPr>
                <w:rFonts w:ascii="宋体"/>
                <w:vanish/>
              </w:rPr>
            </w:pPr>
          </w:p>
        </w:tc>
        <w:tc>
          <w:tcPr>
            <w:tcW w:w="0" w:type="auto"/>
            <w:gridSpan w:val="3"/>
            <w:shd w:val="clear" w:color="auto" w:fill="auto"/>
          </w:tcPr>
          <w:p w14:paraId="33DAA2B3" w14:textId="77777777" w:rsidR="004D6A64" w:rsidRDefault="004D6A64">
            <w:pPr>
              <w:rPr>
                <w:rFonts w:ascii="宋体"/>
                <w:vanish/>
              </w:rPr>
            </w:pPr>
          </w:p>
        </w:tc>
        <w:tc>
          <w:tcPr>
            <w:tcW w:w="0" w:type="auto"/>
            <w:gridSpan w:val="3"/>
            <w:shd w:val="clear" w:color="auto" w:fill="auto"/>
          </w:tcPr>
          <w:p w14:paraId="33DAA2B4" w14:textId="77777777" w:rsidR="004D6A64" w:rsidRDefault="004D6A64">
            <w:pPr>
              <w:rPr>
                <w:rFonts w:ascii="宋体"/>
                <w:vanish/>
              </w:rPr>
            </w:pPr>
          </w:p>
        </w:tc>
        <w:tc>
          <w:tcPr>
            <w:tcW w:w="0" w:type="auto"/>
            <w:gridSpan w:val="3"/>
            <w:shd w:val="clear" w:color="auto" w:fill="auto"/>
          </w:tcPr>
          <w:p w14:paraId="33DAA2B5" w14:textId="77777777" w:rsidR="004D6A64" w:rsidRDefault="004D6A64">
            <w:pPr>
              <w:rPr>
                <w:rFonts w:ascii="宋体"/>
                <w:vanish/>
              </w:rPr>
            </w:pPr>
          </w:p>
        </w:tc>
        <w:tc>
          <w:tcPr>
            <w:tcW w:w="0" w:type="auto"/>
            <w:gridSpan w:val="3"/>
            <w:shd w:val="clear" w:color="auto" w:fill="auto"/>
          </w:tcPr>
          <w:p w14:paraId="33DAA2B6" w14:textId="77777777" w:rsidR="004D6A64" w:rsidRDefault="004D6A64">
            <w:pPr>
              <w:rPr>
                <w:rFonts w:ascii="宋体"/>
                <w:vanish/>
              </w:rPr>
            </w:pPr>
          </w:p>
        </w:tc>
        <w:tc>
          <w:tcPr>
            <w:tcW w:w="0" w:type="auto"/>
            <w:shd w:val="clear" w:color="auto" w:fill="auto"/>
          </w:tcPr>
          <w:p w14:paraId="33DAA2B7" w14:textId="77777777" w:rsidR="004D6A64" w:rsidRDefault="004D6A64">
            <w:pPr>
              <w:rPr>
                <w:rFonts w:ascii="宋体"/>
              </w:rPr>
            </w:pPr>
          </w:p>
        </w:tc>
        <w:tc>
          <w:tcPr>
            <w:tcW w:w="0" w:type="auto"/>
            <w:shd w:val="clear" w:color="auto" w:fill="auto"/>
          </w:tcPr>
          <w:p w14:paraId="33DAA2B8" w14:textId="77777777" w:rsidR="004D6A64" w:rsidRDefault="004D6A64">
            <w:pPr>
              <w:rPr>
                <w:rFonts w:ascii="宋体"/>
              </w:rPr>
            </w:pPr>
          </w:p>
        </w:tc>
        <w:tc>
          <w:tcPr>
            <w:tcW w:w="0" w:type="auto"/>
            <w:shd w:val="clear" w:color="auto" w:fill="auto"/>
          </w:tcPr>
          <w:p w14:paraId="33DAA2B9" w14:textId="77777777" w:rsidR="004D6A64" w:rsidRDefault="004D6A64">
            <w:pPr>
              <w:rPr>
                <w:rFonts w:ascii="宋体"/>
              </w:rPr>
            </w:pPr>
          </w:p>
        </w:tc>
        <w:tc>
          <w:tcPr>
            <w:tcW w:w="0" w:type="auto"/>
            <w:shd w:val="clear" w:color="auto" w:fill="auto"/>
          </w:tcPr>
          <w:p w14:paraId="33DAA2BA" w14:textId="77777777" w:rsidR="004D6A64" w:rsidRDefault="004D6A64">
            <w:pPr>
              <w:rPr>
                <w:rFonts w:ascii="宋体"/>
              </w:rPr>
            </w:pPr>
          </w:p>
        </w:tc>
        <w:tc>
          <w:tcPr>
            <w:tcW w:w="0" w:type="auto"/>
            <w:shd w:val="clear" w:color="auto" w:fill="auto"/>
          </w:tcPr>
          <w:p w14:paraId="33DAA2BB" w14:textId="77777777" w:rsidR="004D6A64" w:rsidRDefault="004D6A64">
            <w:pPr>
              <w:rPr>
                <w:rFonts w:ascii="宋体"/>
              </w:rPr>
            </w:pPr>
          </w:p>
        </w:tc>
        <w:tc>
          <w:tcPr>
            <w:tcW w:w="0" w:type="auto"/>
            <w:shd w:val="clear" w:color="auto" w:fill="auto"/>
          </w:tcPr>
          <w:p w14:paraId="33DAA2BC" w14:textId="77777777" w:rsidR="004D6A64" w:rsidRDefault="004D6A64">
            <w:pPr>
              <w:rPr>
                <w:rFonts w:ascii="宋体"/>
              </w:rPr>
            </w:pPr>
          </w:p>
        </w:tc>
        <w:tc>
          <w:tcPr>
            <w:tcW w:w="0" w:type="auto"/>
            <w:shd w:val="clear" w:color="auto" w:fill="auto"/>
          </w:tcPr>
          <w:p w14:paraId="33DAA2BD" w14:textId="77777777" w:rsidR="004D6A64" w:rsidRDefault="004D6A64">
            <w:pPr>
              <w:rPr>
                <w:rFonts w:ascii="宋体"/>
              </w:rPr>
            </w:pPr>
          </w:p>
        </w:tc>
        <w:tc>
          <w:tcPr>
            <w:tcW w:w="0" w:type="auto"/>
            <w:shd w:val="clear" w:color="auto" w:fill="auto"/>
          </w:tcPr>
          <w:p w14:paraId="33DAA2BE" w14:textId="77777777" w:rsidR="004D6A64" w:rsidRDefault="004D6A64">
            <w:pPr>
              <w:rPr>
                <w:rFonts w:ascii="宋体"/>
              </w:rPr>
            </w:pPr>
          </w:p>
        </w:tc>
        <w:tc>
          <w:tcPr>
            <w:tcW w:w="0" w:type="auto"/>
            <w:shd w:val="clear" w:color="auto" w:fill="auto"/>
          </w:tcPr>
          <w:p w14:paraId="33DAA2BF" w14:textId="77777777" w:rsidR="004D6A64" w:rsidRDefault="004D6A64">
            <w:pPr>
              <w:rPr>
                <w:rFonts w:ascii="宋体"/>
              </w:rPr>
            </w:pPr>
          </w:p>
        </w:tc>
        <w:tc>
          <w:tcPr>
            <w:tcW w:w="0" w:type="auto"/>
            <w:shd w:val="clear" w:color="auto" w:fill="auto"/>
          </w:tcPr>
          <w:p w14:paraId="33DAA2C0" w14:textId="77777777" w:rsidR="004D6A64" w:rsidRDefault="004D6A64">
            <w:pPr>
              <w:rPr>
                <w:rFonts w:ascii="宋体"/>
              </w:rPr>
            </w:pPr>
          </w:p>
        </w:tc>
        <w:tc>
          <w:tcPr>
            <w:tcW w:w="0" w:type="auto"/>
            <w:shd w:val="clear" w:color="auto" w:fill="auto"/>
          </w:tcPr>
          <w:p w14:paraId="33DAA2C1" w14:textId="77777777" w:rsidR="004D6A64" w:rsidRDefault="004D6A64">
            <w:pPr>
              <w:rPr>
                <w:rFonts w:ascii="宋体"/>
              </w:rPr>
            </w:pPr>
          </w:p>
        </w:tc>
        <w:tc>
          <w:tcPr>
            <w:tcW w:w="0" w:type="auto"/>
            <w:shd w:val="clear" w:color="auto" w:fill="auto"/>
          </w:tcPr>
          <w:p w14:paraId="33DAA2C2" w14:textId="77777777" w:rsidR="004D6A64" w:rsidRDefault="004D6A64">
            <w:pPr>
              <w:rPr>
                <w:rFonts w:ascii="宋体"/>
              </w:rPr>
            </w:pPr>
          </w:p>
        </w:tc>
        <w:tc>
          <w:tcPr>
            <w:tcW w:w="0" w:type="auto"/>
            <w:shd w:val="clear" w:color="auto" w:fill="auto"/>
          </w:tcPr>
          <w:p w14:paraId="33DAA2C3" w14:textId="77777777" w:rsidR="004D6A64" w:rsidRDefault="004D6A64">
            <w:pPr>
              <w:rPr>
                <w:rFonts w:ascii="宋体"/>
              </w:rPr>
            </w:pPr>
          </w:p>
        </w:tc>
        <w:tc>
          <w:tcPr>
            <w:tcW w:w="0" w:type="auto"/>
            <w:shd w:val="clear" w:color="auto" w:fill="auto"/>
          </w:tcPr>
          <w:p w14:paraId="33DAA2C4" w14:textId="77777777" w:rsidR="004D6A64" w:rsidRDefault="004D6A64">
            <w:pPr>
              <w:rPr>
                <w:rFonts w:ascii="宋体"/>
              </w:rPr>
            </w:pPr>
          </w:p>
        </w:tc>
        <w:tc>
          <w:tcPr>
            <w:tcW w:w="0" w:type="auto"/>
            <w:shd w:val="clear" w:color="auto" w:fill="auto"/>
          </w:tcPr>
          <w:p w14:paraId="33DAA2C5" w14:textId="77777777" w:rsidR="004D6A64" w:rsidRDefault="004D6A64">
            <w:pPr>
              <w:rPr>
                <w:rFonts w:ascii="宋体"/>
              </w:rPr>
            </w:pPr>
          </w:p>
        </w:tc>
      </w:tr>
      <w:tr w:rsidR="004D6A64" w14:paraId="33DAA2E6" w14:textId="77777777">
        <w:trPr>
          <w:hidden/>
        </w:trPr>
        <w:tc>
          <w:tcPr>
            <w:tcW w:w="0" w:type="auto"/>
            <w:gridSpan w:val="3"/>
            <w:shd w:val="clear" w:color="auto" w:fill="auto"/>
          </w:tcPr>
          <w:p w14:paraId="33DAA2C7" w14:textId="77777777" w:rsidR="004D6A64" w:rsidRDefault="004D6A64">
            <w:pPr>
              <w:rPr>
                <w:rFonts w:ascii="宋体"/>
                <w:vanish/>
              </w:rPr>
            </w:pPr>
          </w:p>
        </w:tc>
        <w:tc>
          <w:tcPr>
            <w:tcW w:w="0" w:type="auto"/>
            <w:gridSpan w:val="3"/>
            <w:shd w:val="clear" w:color="auto" w:fill="auto"/>
          </w:tcPr>
          <w:p w14:paraId="33DAA2C8" w14:textId="77777777" w:rsidR="004D6A64" w:rsidRDefault="004D6A64">
            <w:pPr>
              <w:rPr>
                <w:rFonts w:ascii="宋体"/>
                <w:vanish/>
              </w:rPr>
            </w:pPr>
          </w:p>
        </w:tc>
        <w:tc>
          <w:tcPr>
            <w:tcW w:w="0" w:type="auto"/>
            <w:gridSpan w:val="3"/>
            <w:shd w:val="clear" w:color="auto" w:fill="auto"/>
          </w:tcPr>
          <w:p w14:paraId="33DAA2C9" w14:textId="77777777" w:rsidR="004D6A64" w:rsidRDefault="004D6A64">
            <w:pPr>
              <w:rPr>
                <w:rFonts w:ascii="宋体"/>
                <w:vanish/>
              </w:rPr>
            </w:pPr>
          </w:p>
        </w:tc>
        <w:tc>
          <w:tcPr>
            <w:tcW w:w="0" w:type="auto"/>
            <w:gridSpan w:val="3"/>
            <w:shd w:val="clear" w:color="auto" w:fill="auto"/>
          </w:tcPr>
          <w:p w14:paraId="33DAA2CA" w14:textId="77777777" w:rsidR="004D6A64" w:rsidRDefault="004D6A64">
            <w:pPr>
              <w:rPr>
                <w:rFonts w:ascii="宋体"/>
                <w:vanish/>
              </w:rPr>
            </w:pPr>
          </w:p>
        </w:tc>
        <w:tc>
          <w:tcPr>
            <w:tcW w:w="0" w:type="auto"/>
            <w:gridSpan w:val="3"/>
            <w:shd w:val="clear" w:color="auto" w:fill="auto"/>
          </w:tcPr>
          <w:p w14:paraId="33DAA2CB" w14:textId="77777777" w:rsidR="004D6A64" w:rsidRDefault="004D6A64">
            <w:pPr>
              <w:rPr>
                <w:rFonts w:ascii="宋体"/>
                <w:vanish/>
              </w:rPr>
            </w:pPr>
          </w:p>
        </w:tc>
        <w:tc>
          <w:tcPr>
            <w:tcW w:w="0" w:type="auto"/>
            <w:gridSpan w:val="3"/>
            <w:shd w:val="clear" w:color="auto" w:fill="auto"/>
          </w:tcPr>
          <w:p w14:paraId="33DAA2CC" w14:textId="77777777" w:rsidR="004D6A64" w:rsidRDefault="004D6A64">
            <w:pPr>
              <w:rPr>
                <w:rFonts w:ascii="宋体"/>
                <w:vanish/>
              </w:rPr>
            </w:pPr>
          </w:p>
        </w:tc>
        <w:tc>
          <w:tcPr>
            <w:tcW w:w="0" w:type="auto"/>
            <w:gridSpan w:val="3"/>
            <w:shd w:val="clear" w:color="auto" w:fill="auto"/>
          </w:tcPr>
          <w:p w14:paraId="33DAA2CD" w14:textId="77777777" w:rsidR="004D6A64" w:rsidRDefault="004D6A64">
            <w:pPr>
              <w:rPr>
                <w:rFonts w:ascii="宋体"/>
                <w:vanish/>
              </w:rPr>
            </w:pPr>
          </w:p>
        </w:tc>
        <w:tc>
          <w:tcPr>
            <w:tcW w:w="0" w:type="auto"/>
            <w:gridSpan w:val="3"/>
            <w:shd w:val="clear" w:color="auto" w:fill="auto"/>
          </w:tcPr>
          <w:p w14:paraId="33DAA2CE" w14:textId="77777777" w:rsidR="004D6A64" w:rsidRDefault="004D6A64">
            <w:pPr>
              <w:rPr>
                <w:rFonts w:ascii="宋体"/>
                <w:vanish/>
              </w:rPr>
            </w:pPr>
          </w:p>
        </w:tc>
        <w:tc>
          <w:tcPr>
            <w:tcW w:w="0" w:type="auto"/>
            <w:gridSpan w:val="3"/>
            <w:shd w:val="clear" w:color="auto" w:fill="auto"/>
          </w:tcPr>
          <w:p w14:paraId="33DAA2CF" w14:textId="77777777" w:rsidR="004D6A64" w:rsidRDefault="004D6A64">
            <w:pPr>
              <w:rPr>
                <w:rFonts w:ascii="宋体"/>
                <w:vanish/>
              </w:rPr>
            </w:pPr>
          </w:p>
        </w:tc>
        <w:tc>
          <w:tcPr>
            <w:tcW w:w="0" w:type="auto"/>
            <w:gridSpan w:val="3"/>
            <w:shd w:val="clear" w:color="auto" w:fill="auto"/>
          </w:tcPr>
          <w:p w14:paraId="33DAA2D0" w14:textId="77777777" w:rsidR="004D6A64" w:rsidRDefault="004D6A64">
            <w:pPr>
              <w:rPr>
                <w:rFonts w:ascii="宋体"/>
                <w:vanish/>
              </w:rPr>
            </w:pPr>
          </w:p>
        </w:tc>
        <w:tc>
          <w:tcPr>
            <w:tcW w:w="0" w:type="auto"/>
            <w:gridSpan w:val="3"/>
            <w:shd w:val="clear" w:color="auto" w:fill="auto"/>
          </w:tcPr>
          <w:p w14:paraId="33DAA2D1" w14:textId="77777777" w:rsidR="004D6A64" w:rsidRDefault="004D6A64">
            <w:pPr>
              <w:rPr>
                <w:rFonts w:ascii="宋体"/>
                <w:vanish/>
              </w:rPr>
            </w:pPr>
          </w:p>
        </w:tc>
        <w:tc>
          <w:tcPr>
            <w:tcW w:w="0" w:type="auto"/>
            <w:gridSpan w:val="3"/>
            <w:shd w:val="clear" w:color="auto" w:fill="auto"/>
          </w:tcPr>
          <w:p w14:paraId="33DAA2D2" w14:textId="77777777" w:rsidR="004D6A64" w:rsidRDefault="004D6A64">
            <w:pPr>
              <w:rPr>
                <w:rFonts w:ascii="宋体"/>
                <w:vanish/>
              </w:rPr>
            </w:pPr>
          </w:p>
        </w:tc>
        <w:tc>
          <w:tcPr>
            <w:tcW w:w="0" w:type="auto"/>
            <w:gridSpan w:val="3"/>
            <w:shd w:val="clear" w:color="auto" w:fill="auto"/>
          </w:tcPr>
          <w:p w14:paraId="33DAA2D3" w14:textId="77777777" w:rsidR="004D6A64" w:rsidRDefault="004D6A64">
            <w:pPr>
              <w:rPr>
                <w:rFonts w:ascii="宋体"/>
                <w:vanish/>
              </w:rPr>
            </w:pPr>
          </w:p>
        </w:tc>
        <w:tc>
          <w:tcPr>
            <w:tcW w:w="0" w:type="auto"/>
            <w:gridSpan w:val="3"/>
            <w:shd w:val="clear" w:color="auto" w:fill="auto"/>
          </w:tcPr>
          <w:p w14:paraId="33DAA2D4" w14:textId="77777777" w:rsidR="004D6A64" w:rsidRDefault="004D6A64">
            <w:pPr>
              <w:rPr>
                <w:rFonts w:ascii="宋体"/>
                <w:vanish/>
              </w:rPr>
            </w:pPr>
          </w:p>
        </w:tc>
        <w:tc>
          <w:tcPr>
            <w:tcW w:w="0" w:type="auto"/>
            <w:gridSpan w:val="3"/>
            <w:shd w:val="clear" w:color="auto" w:fill="auto"/>
          </w:tcPr>
          <w:p w14:paraId="33DAA2D5" w14:textId="77777777" w:rsidR="004D6A64" w:rsidRDefault="004D6A64">
            <w:pPr>
              <w:rPr>
                <w:rFonts w:ascii="宋体"/>
                <w:vanish/>
              </w:rPr>
            </w:pPr>
          </w:p>
        </w:tc>
        <w:tc>
          <w:tcPr>
            <w:tcW w:w="0" w:type="auto"/>
            <w:gridSpan w:val="3"/>
            <w:shd w:val="clear" w:color="auto" w:fill="auto"/>
          </w:tcPr>
          <w:p w14:paraId="33DAA2D6" w14:textId="77777777" w:rsidR="004D6A64" w:rsidRDefault="004D6A64">
            <w:pPr>
              <w:rPr>
                <w:rFonts w:ascii="宋体"/>
                <w:vanish/>
              </w:rPr>
            </w:pPr>
          </w:p>
        </w:tc>
        <w:tc>
          <w:tcPr>
            <w:tcW w:w="0" w:type="auto"/>
            <w:shd w:val="clear" w:color="auto" w:fill="auto"/>
          </w:tcPr>
          <w:p w14:paraId="33DAA2D7" w14:textId="77777777" w:rsidR="004D6A64" w:rsidRDefault="004D6A64">
            <w:pPr>
              <w:rPr>
                <w:rFonts w:ascii="宋体"/>
              </w:rPr>
            </w:pPr>
          </w:p>
        </w:tc>
        <w:tc>
          <w:tcPr>
            <w:tcW w:w="0" w:type="auto"/>
            <w:shd w:val="clear" w:color="auto" w:fill="auto"/>
          </w:tcPr>
          <w:p w14:paraId="33DAA2D8" w14:textId="77777777" w:rsidR="004D6A64" w:rsidRDefault="004D6A64">
            <w:pPr>
              <w:rPr>
                <w:rFonts w:ascii="宋体"/>
              </w:rPr>
            </w:pPr>
          </w:p>
        </w:tc>
        <w:tc>
          <w:tcPr>
            <w:tcW w:w="0" w:type="auto"/>
            <w:shd w:val="clear" w:color="auto" w:fill="auto"/>
          </w:tcPr>
          <w:p w14:paraId="33DAA2D9" w14:textId="77777777" w:rsidR="004D6A64" w:rsidRDefault="004D6A64">
            <w:pPr>
              <w:rPr>
                <w:rFonts w:ascii="宋体"/>
              </w:rPr>
            </w:pPr>
          </w:p>
        </w:tc>
        <w:tc>
          <w:tcPr>
            <w:tcW w:w="0" w:type="auto"/>
            <w:shd w:val="clear" w:color="auto" w:fill="auto"/>
          </w:tcPr>
          <w:p w14:paraId="33DAA2DA" w14:textId="77777777" w:rsidR="004D6A64" w:rsidRDefault="004D6A64">
            <w:pPr>
              <w:rPr>
                <w:rFonts w:ascii="宋体"/>
              </w:rPr>
            </w:pPr>
          </w:p>
        </w:tc>
        <w:tc>
          <w:tcPr>
            <w:tcW w:w="0" w:type="auto"/>
            <w:shd w:val="clear" w:color="auto" w:fill="auto"/>
          </w:tcPr>
          <w:p w14:paraId="33DAA2DB" w14:textId="77777777" w:rsidR="004D6A64" w:rsidRDefault="004D6A64">
            <w:pPr>
              <w:rPr>
                <w:rFonts w:ascii="宋体"/>
              </w:rPr>
            </w:pPr>
          </w:p>
        </w:tc>
        <w:tc>
          <w:tcPr>
            <w:tcW w:w="0" w:type="auto"/>
            <w:shd w:val="clear" w:color="auto" w:fill="auto"/>
          </w:tcPr>
          <w:p w14:paraId="33DAA2DC" w14:textId="77777777" w:rsidR="004D6A64" w:rsidRDefault="004D6A64">
            <w:pPr>
              <w:rPr>
                <w:rFonts w:ascii="宋体"/>
              </w:rPr>
            </w:pPr>
          </w:p>
        </w:tc>
        <w:tc>
          <w:tcPr>
            <w:tcW w:w="0" w:type="auto"/>
            <w:shd w:val="clear" w:color="auto" w:fill="auto"/>
          </w:tcPr>
          <w:p w14:paraId="33DAA2DD" w14:textId="77777777" w:rsidR="004D6A64" w:rsidRDefault="004D6A64">
            <w:pPr>
              <w:rPr>
                <w:rFonts w:ascii="宋体"/>
              </w:rPr>
            </w:pPr>
          </w:p>
        </w:tc>
        <w:tc>
          <w:tcPr>
            <w:tcW w:w="0" w:type="auto"/>
            <w:shd w:val="clear" w:color="auto" w:fill="auto"/>
          </w:tcPr>
          <w:p w14:paraId="33DAA2DE" w14:textId="77777777" w:rsidR="004D6A64" w:rsidRDefault="004D6A64">
            <w:pPr>
              <w:rPr>
                <w:rFonts w:ascii="宋体"/>
              </w:rPr>
            </w:pPr>
          </w:p>
        </w:tc>
        <w:tc>
          <w:tcPr>
            <w:tcW w:w="0" w:type="auto"/>
            <w:shd w:val="clear" w:color="auto" w:fill="auto"/>
          </w:tcPr>
          <w:p w14:paraId="33DAA2DF" w14:textId="77777777" w:rsidR="004D6A64" w:rsidRDefault="004D6A64">
            <w:pPr>
              <w:rPr>
                <w:rFonts w:ascii="宋体"/>
              </w:rPr>
            </w:pPr>
          </w:p>
        </w:tc>
        <w:tc>
          <w:tcPr>
            <w:tcW w:w="0" w:type="auto"/>
            <w:shd w:val="clear" w:color="auto" w:fill="auto"/>
          </w:tcPr>
          <w:p w14:paraId="33DAA2E0" w14:textId="77777777" w:rsidR="004D6A64" w:rsidRDefault="004D6A64">
            <w:pPr>
              <w:rPr>
                <w:rFonts w:ascii="宋体"/>
              </w:rPr>
            </w:pPr>
          </w:p>
        </w:tc>
        <w:tc>
          <w:tcPr>
            <w:tcW w:w="0" w:type="auto"/>
            <w:shd w:val="clear" w:color="auto" w:fill="auto"/>
          </w:tcPr>
          <w:p w14:paraId="33DAA2E1" w14:textId="77777777" w:rsidR="004D6A64" w:rsidRDefault="004D6A64">
            <w:pPr>
              <w:rPr>
                <w:rFonts w:ascii="宋体"/>
              </w:rPr>
            </w:pPr>
          </w:p>
        </w:tc>
        <w:tc>
          <w:tcPr>
            <w:tcW w:w="0" w:type="auto"/>
            <w:shd w:val="clear" w:color="auto" w:fill="auto"/>
          </w:tcPr>
          <w:p w14:paraId="33DAA2E2" w14:textId="77777777" w:rsidR="004D6A64" w:rsidRDefault="004D6A64">
            <w:pPr>
              <w:rPr>
                <w:rFonts w:ascii="宋体"/>
              </w:rPr>
            </w:pPr>
          </w:p>
        </w:tc>
        <w:tc>
          <w:tcPr>
            <w:tcW w:w="0" w:type="auto"/>
            <w:shd w:val="clear" w:color="auto" w:fill="auto"/>
          </w:tcPr>
          <w:p w14:paraId="33DAA2E3" w14:textId="77777777" w:rsidR="004D6A64" w:rsidRDefault="004D6A64">
            <w:pPr>
              <w:rPr>
                <w:rFonts w:ascii="宋体"/>
              </w:rPr>
            </w:pPr>
          </w:p>
        </w:tc>
        <w:tc>
          <w:tcPr>
            <w:tcW w:w="0" w:type="auto"/>
            <w:shd w:val="clear" w:color="auto" w:fill="auto"/>
          </w:tcPr>
          <w:p w14:paraId="33DAA2E4" w14:textId="77777777" w:rsidR="004D6A64" w:rsidRDefault="004D6A64">
            <w:pPr>
              <w:rPr>
                <w:rFonts w:ascii="宋体"/>
              </w:rPr>
            </w:pPr>
          </w:p>
        </w:tc>
        <w:tc>
          <w:tcPr>
            <w:tcW w:w="0" w:type="auto"/>
            <w:shd w:val="clear" w:color="auto" w:fill="auto"/>
          </w:tcPr>
          <w:p w14:paraId="33DAA2E5" w14:textId="77777777" w:rsidR="004D6A64" w:rsidRDefault="004D6A64">
            <w:pPr>
              <w:rPr>
                <w:rFonts w:ascii="宋体"/>
              </w:rPr>
            </w:pPr>
          </w:p>
        </w:tc>
      </w:tr>
      <w:tr w:rsidR="004D6A64" w14:paraId="33DAA306" w14:textId="77777777">
        <w:trPr>
          <w:hidden/>
        </w:trPr>
        <w:tc>
          <w:tcPr>
            <w:tcW w:w="0" w:type="auto"/>
            <w:gridSpan w:val="3"/>
            <w:shd w:val="clear" w:color="auto" w:fill="auto"/>
          </w:tcPr>
          <w:p w14:paraId="33DAA2E7" w14:textId="77777777" w:rsidR="004D6A64" w:rsidRDefault="004D6A64">
            <w:pPr>
              <w:rPr>
                <w:rFonts w:ascii="宋体"/>
                <w:vanish/>
              </w:rPr>
            </w:pPr>
          </w:p>
        </w:tc>
        <w:tc>
          <w:tcPr>
            <w:tcW w:w="0" w:type="auto"/>
            <w:gridSpan w:val="3"/>
            <w:shd w:val="clear" w:color="auto" w:fill="auto"/>
          </w:tcPr>
          <w:p w14:paraId="33DAA2E8" w14:textId="77777777" w:rsidR="004D6A64" w:rsidRDefault="004D6A64">
            <w:pPr>
              <w:rPr>
                <w:rFonts w:ascii="宋体"/>
                <w:vanish/>
              </w:rPr>
            </w:pPr>
          </w:p>
        </w:tc>
        <w:tc>
          <w:tcPr>
            <w:tcW w:w="0" w:type="auto"/>
            <w:gridSpan w:val="3"/>
            <w:shd w:val="clear" w:color="auto" w:fill="auto"/>
          </w:tcPr>
          <w:p w14:paraId="33DAA2E9" w14:textId="77777777" w:rsidR="004D6A64" w:rsidRDefault="004D6A64">
            <w:pPr>
              <w:rPr>
                <w:rFonts w:ascii="宋体"/>
                <w:vanish/>
              </w:rPr>
            </w:pPr>
          </w:p>
        </w:tc>
        <w:tc>
          <w:tcPr>
            <w:tcW w:w="0" w:type="auto"/>
            <w:gridSpan w:val="3"/>
            <w:shd w:val="clear" w:color="auto" w:fill="auto"/>
          </w:tcPr>
          <w:p w14:paraId="33DAA2EA" w14:textId="77777777" w:rsidR="004D6A64" w:rsidRDefault="004D6A64">
            <w:pPr>
              <w:rPr>
                <w:rFonts w:ascii="宋体"/>
                <w:vanish/>
              </w:rPr>
            </w:pPr>
          </w:p>
        </w:tc>
        <w:tc>
          <w:tcPr>
            <w:tcW w:w="0" w:type="auto"/>
            <w:gridSpan w:val="3"/>
            <w:shd w:val="clear" w:color="auto" w:fill="auto"/>
          </w:tcPr>
          <w:p w14:paraId="33DAA2EB" w14:textId="77777777" w:rsidR="004D6A64" w:rsidRDefault="004D6A64">
            <w:pPr>
              <w:rPr>
                <w:rFonts w:ascii="宋体"/>
                <w:vanish/>
              </w:rPr>
            </w:pPr>
          </w:p>
        </w:tc>
        <w:tc>
          <w:tcPr>
            <w:tcW w:w="0" w:type="auto"/>
            <w:gridSpan w:val="3"/>
            <w:shd w:val="clear" w:color="auto" w:fill="auto"/>
          </w:tcPr>
          <w:p w14:paraId="33DAA2EC" w14:textId="77777777" w:rsidR="004D6A64" w:rsidRDefault="004D6A64">
            <w:pPr>
              <w:rPr>
                <w:rFonts w:ascii="宋体"/>
                <w:vanish/>
              </w:rPr>
            </w:pPr>
          </w:p>
        </w:tc>
        <w:tc>
          <w:tcPr>
            <w:tcW w:w="0" w:type="auto"/>
            <w:gridSpan w:val="3"/>
            <w:shd w:val="clear" w:color="auto" w:fill="auto"/>
          </w:tcPr>
          <w:p w14:paraId="33DAA2ED" w14:textId="77777777" w:rsidR="004D6A64" w:rsidRDefault="004D6A64">
            <w:pPr>
              <w:rPr>
                <w:rFonts w:ascii="宋体"/>
                <w:vanish/>
              </w:rPr>
            </w:pPr>
          </w:p>
        </w:tc>
        <w:tc>
          <w:tcPr>
            <w:tcW w:w="0" w:type="auto"/>
            <w:gridSpan w:val="3"/>
            <w:shd w:val="clear" w:color="auto" w:fill="auto"/>
          </w:tcPr>
          <w:p w14:paraId="33DAA2EE" w14:textId="77777777" w:rsidR="004D6A64" w:rsidRDefault="004D6A64">
            <w:pPr>
              <w:rPr>
                <w:rFonts w:ascii="宋体"/>
                <w:vanish/>
              </w:rPr>
            </w:pPr>
          </w:p>
        </w:tc>
        <w:tc>
          <w:tcPr>
            <w:tcW w:w="0" w:type="auto"/>
            <w:gridSpan w:val="3"/>
            <w:shd w:val="clear" w:color="auto" w:fill="auto"/>
          </w:tcPr>
          <w:p w14:paraId="33DAA2EF" w14:textId="77777777" w:rsidR="004D6A64" w:rsidRDefault="004D6A64">
            <w:pPr>
              <w:rPr>
                <w:rFonts w:ascii="宋体"/>
                <w:vanish/>
              </w:rPr>
            </w:pPr>
          </w:p>
        </w:tc>
        <w:tc>
          <w:tcPr>
            <w:tcW w:w="0" w:type="auto"/>
            <w:gridSpan w:val="3"/>
            <w:shd w:val="clear" w:color="auto" w:fill="auto"/>
          </w:tcPr>
          <w:p w14:paraId="33DAA2F0" w14:textId="77777777" w:rsidR="004D6A64" w:rsidRDefault="004D6A64">
            <w:pPr>
              <w:rPr>
                <w:rFonts w:ascii="宋体"/>
                <w:vanish/>
              </w:rPr>
            </w:pPr>
          </w:p>
        </w:tc>
        <w:tc>
          <w:tcPr>
            <w:tcW w:w="0" w:type="auto"/>
            <w:gridSpan w:val="3"/>
            <w:shd w:val="clear" w:color="auto" w:fill="auto"/>
          </w:tcPr>
          <w:p w14:paraId="33DAA2F1" w14:textId="77777777" w:rsidR="004D6A64" w:rsidRDefault="004D6A64">
            <w:pPr>
              <w:rPr>
                <w:rFonts w:ascii="宋体"/>
                <w:vanish/>
              </w:rPr>
            </w:pPr>
          </w:p>
        </w:tc>
        <w:tc>
          <w:tcPr>
            <w:tcW w:w="0" w:type="auto"/>
            <w:gridSpan w:val="3"/>
            <w:shd w:val="clear" w:color="auto" w:fill="auto"/>
          </w:tcPr>
          <w:p w14:paraId="33DAA2F2" w14:textId="77777777" w:rsidR="004D6A64" w:rsidRDefault="004D6A64">
            <w:pPr>
              <w:rPr>
                <w:rFonts w:ascii="宋体"/>
                <w:vanish/>
              </w:rPr>
            </w:pPr>
          </w:p>
        </w:tc>
        <w:tc>
          <w:tcPr>
            <w:tcW w:w="0" w:type="auto"/>
            <w:gridSpan w:val="3"/>
            <w:shd w:val="clear" w:color="auto" w:fill="auto"/>
          </w:tcPr>
          <w:p w14:paraId="33DAA2F3" w14:textId="77777777" w:rsidR="004D6A64" w:rsidRDefault="004D6A64">
            <w:pPr>
              <w:rPr>
                <w:rFonts w:ascii="宋体"/>
                <w:vanish/>
              </w:rPr>
            </w:pPr>
          </w:p>
        </w:tc>
        <w:tc>
          <w:tcPr>
            <w:tcW w:w="0" w:type="auto"/>
            <w:gridSpan w:val="3"/>
            <w:shd w:val="clear" w:color="auto" w:fill="auto"/>
          </w:tcPr>
          <w:p w14:paraId="33DAA2F4" w14:textId="77777777" w:rsidR="004D6A64" w:rsidRDefault="004D6A64">
            <w:pPr>
              <w:rPr>
                <w:rFonts w:ascii="宋体"/>
                <w:vanish/>
              </w:rPr>
            </w:pPr>
          </w:p>
        </w:tc>
        <w:tc>
          <w:tcPr>
            <w:tcW w:w="0" w:type="auto"/>
            <w:gridSpan w:val="3"/>
            <w:shd w:val="clear" w:color="auto" w:fill="auto"/>
          </w:tcPr>
          <w:p w14:paraId="33DAA2F5" w14:textId="77777777" w:rsidR="004D6A64" w:rsidRDefault="004D6A64">
            <w:pPr>
              <w:rPr>
                <w:rFonts w:ascii="宋体"/>
                <w:vanish/>
              </w:rPr>
            </w:pPr>
          </w:p>
        </w:tc>
        <w:tc>
          <w:tcPr>
            <w:tcW w:w="0" w:type="auto"/>
            <w:gridSpan w:val="3"/>
            <w:shd w:val="clear" w:color="auto" w:fill="auto"/>
          </w:tcPr>
          <w:p w14:paraId="33DAA2F6" w14:textId="77777777" w:rsidR="004D6A64" w:rsidRDefault="004D6A64">
            <w:pPr>
              <w:rPr>
                <w:rFonts w:ascii="宋体"/>
                <w:vanish/>
              </w:rPr>
            </w:pPr>
          </w:p>
        </w:tc>
        <w:tc>
          <w:tcPr>
            <w:tcW w:w="0" w:type="auto"/>
            <w:shd w:val="clear" w:color="auto" w:fill="auto"/>
          </w:tcPr>
          <w:p w14:paraId="33DAA2F7" w14:textId="77777777" w:rsidR="004D6A64" w:rsidRDefault="004D6A64">
            <w:pPr>
              <w:rPr>
                <w:rFonts w:ascii="宋体"/>
              </w:rPr>
            </w:pPr>
          </w:p>
        </w:tc>
        <w:tc>
          <w:tcPr>
            <w:tcW w:w="0" w:type="auto"/>
            <w:shd w:val="clear" w:color="auto" w:fill="auto"/>
          </w:tcPr>
          <w:p w14:paraId="33DAA2F8" w14:textId="77777777" w:rsidR="004D6A64" w:rsidRDefault="004D6A64">
            <w:pPr>
              <w:rPr>
                <w:rFonts w:ascii="宋体"/>
              </w:rPr>
            </w:pPr>
          </w:p>
        </w:tc>
        <w:tc>
          <w:tcPr>
            <w:tcW w:w="0" w:type="auto"/>
            <w:shd w:val="clear" w:color="auto" w:fill="auto"/>
          </w:tcPr>
          <w:p w14:paraId="33DAA2F9" w14:textId="77777777" w:rsidR="004D6A64" w:rsidRDefault="004D6A64">
            <w:pPr>
              <w:rPr>
                <w:rFonts w:ascii="宋体"/>
              </w:rPr>
            </w:pPr>
          </w:p>
        </w:tc>
        <w:tc>
          <w:tcPr>
            <w:tcW w:w="0" w:type="auto"/>
            <w:shd w:val="clear" w:color="auto" w:fill="auto"/>
          </w:tcPr>
          <w:p w14:paraId="33DAA2FA" w14:textId="77777777" w:rsidR="004D6A64" w:rsidRDefault="004D6A64">
            <w:pPr>
              <w:rPr>
                <w:rFonts w:ascii="宋体"/>
              </w:rPr>
            </w:pPr>
          </w:p>
        </w:tc>
        <w:tc>
          <w:tcPr>
            <w:tcW w:w="0" w:type="auto"/>
            <w:shd w:val="clear" w:color="auto" w:fill="auto"/>
          </w:tcPr>
          <w:p w14:paraId="33DAA2FB" w14:textId="77777777" w:rsidR="004D6A64" w:rsidRDefault="004D6A64">
            <w:pPr>
              <w:rPr>
                <w:rFonts w:ascii="宋体"/>
              </w:rPr>
            </w:pPr>
          </w:p>
        </w:tc>
        <w:tc>
          <w:tcPr>
            <w:tcW w:w="0" w:type="auto"/>
            <w:shd w:val="clear" w:color="auto" w:fill="auto"/>
          </w:tcPr>
          <w:p w14:paraId="33DAA2FC" w14:textId="77777777" w:rsidR="004D6A64" w:rsidRDefault="004D6A64">
            <w:pPr>
              <w:rPr>
                <w:rFonts w:ascii="宋体"/>
              </w:rPr>
            </w:pPr>
          </w:p>
        </w:tc>
        <w:tc>
          <w:tcPr>
            <w:tcW w:w="0" w:type="auto"/>
            <w:shd w:val="clear" w:color="auto" w:fill="auto"/>
          </w:tcPr>
          <w:p w14:paraId="33DAA2FD" w14:textId="77777777" w:rsidR="004D6A64" w:rsidRDefault="004D6A64">
            <w:pPr>
              <w:rPr>
                <w:rFonts w:ascii="宋体"/>
              </w:rPr>
            </w:pPr>
          </w:p>
        </w:tc>
        <w:tc>
          <w:tcPr>
            <w:tcW w:w="0" w:type="auto"/>
            <w:shd w:val="clear" w:color="auto" w:fill="auto"/>
          </w:tcPr>
          <w:p w14:paraId="33DAA2FE" w14:textId="77777777" w:rsidR="004D6A64" w:rsidRDefault="004D6A64">
            <w:pPr>
              <w:rPr>
                <w:rFonts w:ascii="宋体"/>
              </w:rPr>
            </w:pPr>
          </w:p>
        </w:tc>
        <w:tc>
          <w:tcPr>
            <w:tcW w:w="0" w:type="auto"/>
            <w:shd w:val="clear" w:color="auto" w:fill="auto"/>
          </w:tcPr>
          <w:p w14:paraId="33DAA2FF" w14:textId="77777777" w:rsidR="004D6A64" w:rsidRDefault="004D6A64">
            <w:pPr>
              <w:rPr>
                <w:rFonts w:ascii="宋体"/>
              </w:rPr>
            </w:pPr>
          </w:p>
        </w:tc>
        <w:tc>
          <w:tcPr>
            <w:tcW w:w="0" w:type="auto"/>
            <w:shd w:val="clear" w:color="auto" w:fill="auto"/>
          </w:tcPr>
          <w:p w14:paraId="33DAA300" w14:textId="77777777" w:rsidR="004D6A64" w:rsidRDefault="004D6A64">
            <w:pPr>
              <w:rPr>
                <w:rFonts w:ascii="宋体"/>
              </w:rPr>
            </w:pPr>
          </w:p>
        </w:tc>
        <w:tc>
          <w:tcPr>
            <w:tcW w:w="0" w:type="auto"/>
            <w:shd w:val="clear" w:color="auto" w:fill="auto"/>
          </w:tcPr>
          <w:p w14:paraId="33DAA301" w14:textId="77777777" w:rsidR="004D6A64" w:rsidRDefault="004D6A64">
            <w:pPr>
              <w:rPr>
                <w:rFonts w:ascii="宋体"/>
              </w:rPr>
            </w:pPr>
          </w:p>
        </w:tc>
        <w:tc>
          <w:tcPr>
            <w:tcW w:w="0" w:type="auto"/>
            <w:shd w:val="clear" w:color="auto" w:fill="auto"/>
          </w:tcPr>
          <w:p w14:paraId="33DAA302" w14:textId="77777777" w:rsidR="004D6A64" w:rsidRDefault="004D6A64">
            <w:pPr>
              <w:rPr>
                <w:rFonts w:ascii="宋体"/>
              </w:rPr>
            </w:pPr>
          </w:p>
        </w:tc>
        <w:tc>
          <w:tcPr>
            <w:tcW w:w="0" w:type="auto"/>
            <w:shd w:val="clear" w:color="auto" w:fill="auto"/>
          </w:tcPr>
          <w:p w14:paraId="33DAA303" w14:textId="77777777" w:rsidR="004D6A64" w:rsidRDefault="004D6A64">
            <w:pPr>
              <w:rPr>
                <w:rFonts w:ascii="宋体"/>
              </w:rPr>
            </w:pPr>
          </w:p>
        </w:tc>
        <w:tc>
          <w:tcPr>
            <w:tcW w:w="0" w:type="auto"/>
            <w:shd w:val="clear" w:color="auto" w:fill="auto"/>
          </w:tcPr>
          <w:p w14:paraId="33DAA304" w14:textId="77777777" w:rsidR="004D6A64" w:rsidRDefault="004D6A64">
            <w:pPr>
              <w:rPr>
                <w:rFonts w:ascii="宋体"/>
              </w:rPr>
            </w:pPr>
          </w:p>
        </w:tc>
        <w:tc>
          <w:tcPr>
            <w:tcW w:w="0" w:type="auto"/>
            <w:shd w:val="clear" w:color="auto" w:fill="auto"/>
          </w:tcPr>
          <w:p w14:paraId="33DAA305" w14:textId="77777777" w:rsidR="004D6A64" w:rsidRDefault="004D6A64">
            <w:pPr>
              <w:rPr>
                <w:rFonts w:ascii="宋体"/>
              </w:rPr>
            </w:pPr>
          </w:p>
        </w:tc>
      </w:tr>
      <w:tr w:rsidR="004D6A64" w14:paraId="33DAA326" w14:textId="77777777">
        <w:trPr>
          <w:hidden/>
        </w:trPr>
        <w:tc>
          <w:tcPr>
            <w:tcW w:w="0" w:type="auto"/>
            <w:gridSpan w:val="3"/>
            <w:shd w:val="clear" w:color="auto" w:fill="auto"/>
          </w:tcPr>
          <w:p w14:paraId="33DAA307" w14:textId="77777777" w:rsidR="004D6A64" w:rsidRDefault="004D6A64">
            <w:pPr>
              <w:rPr>
                <w:rFonts w:ascii="宋体"/>
                <w:vanish/>
              </w:rPr>
            </w:pPr>
          </w:p>
        </w:tc>
        <w:tc>
          <w:tcPr>
            <w:tcW w:w="0" w:type="auto"/>
            <w:gridSpan w:val="3"/>
            <w:shd w:val="clear" w:color="auto" w:fill="auto"/>
          </w:tcPr>
          <w:p w14:paraId="33DAA308" w14:textId="77777777" w:rsidR="004D6A64" w:rsidRDefault="004D6A64">
            <w:pPr>
              <w:rPr>
                <w:rFonts w:ascii="宋体"/>
                <w:vanish/>
              </w:rPr>
            </w:pPr>
          </w:p>
        </w:tc>
        <w:tc>
          <w:tcPr>
            <w:tcW w:w="0" w:type="auto"/>
            <w:gridSpan w:val="3"/>
            <w:shd w:val="clear" w:color="auto" w:fill="auto"/>
          </w:tcPr>
          <w:p w14:paraId="33DAA309" w14:textId="77777777" w:rsidR="004D6A64" w:rsidRDefault="004D6A64">
            <w:pPr>
              <w:rPr>
                <w:rFonts w:ascii="宋体"/>
                <w:vanish/>
              </w:rPr>
            </w:pPr>
          </w:p>
        </w:tc>
        <w:tc>
          <w:tcPr>
            <w:tcW w:w="0" w:type="auto"/>
            <w:gridSpan w:val="3"/>
            <w:shd w:val="clear" w:color="auto" w:fill="auto"/>
          </w:tcPr>
          <w:p w14:paraId="33DAA30A" w14:textId="77777777" w:rsidR="004D6A64" w:rsidRDefault="004D6A64">
            <w:pPr>
              <w:rPr>
                <w:rFonts w:ascii="宋体"/>
                <w:vanish/>
              </w:rPr>
            </w:pPr>
          </w:p>
        </w:tc>
        <w:tc>
          <w:tcPr>
            <w:tcW w:w="0" w:type="auto"/>
            <w:gridSpan w:val="3"/>
            <w:shd w:val="clear" w:color="auto" w:fill="auto"/>
          </w:tcPr>
          <w:p w14:paraId="33DAA30B" w14:textId="77777777" w:rsidR="004D6A64" w:rsidRDefault="004D6A64">
            <w:pPr>
              <w:rPr>
                <w:rFonts w:ascii="宋体"/>
                <w:vanish/>
              </w:rPr>
            </w:pPr>
          </w:p>
        </w:tc>
        <w:tc>
          <w:tcPr>
            <w:tcW w:w="0" w:type="auto"/>
            <w:gridSpan w:val="3"/>
            <w:shd w:val="clear" w:color="auto" w:fill="auto"/>
          </w:tcPr>
          <w:p w14:paraId="33DAA30C" w14:textId="77777777" w:rsidR="004D6A64" w:rsidRDefault="004D6A64">
            <w:pPr>
              <w:rPr>
                <w:rFonts w:ascii="宋体"/>
                <w:vanish/>
              </w:rPr>
            </w:pPr>
          </w:p>
        </w:tc>
        <w:tc>
          <w:tcPr>
            <w:tcW w:w="0" w:type="auto"/>
            <w:gridSpan w:val="3"/>
            <w:shd w:val="clear" w:color="auto" w:fill="auto"/>
          </w:tcPr>
          <w:p w14:paraId="33DAA30D" w14:textId="77777777" w:rsidR="004D6A64" w:rsidRDefault="004D6A64">
            <w:pPr>
              <w:rPr>
                <w:rFonts w:ascii="宋体"/>
                <w:vanish/>
              </w:rPr>
            </w:pPr>
          </w:p>
        </w:tc>
        <w:tc>
          <w:tcPr>
            <w:tcW w:w="0" w:type="auto"/>
            <w:gridSpan w:val="3"/>
            <w:shd w:val="clear" w:color="auto" w:fill="auto"/>
          </w:tcPr>
          <w:p w14:paraId="33DAA30E" w14:textId="77777777" w:rsidR="004D6A64" w:rsidRDefault="004D6A64">
            <w:pPr>
              <w:rPr>
                <w:rFonts w:ascii="宋体"/>
                <w:vanish/>
              </w:rPr>
            </w:pPr>
          </w:p>
        </w:tc>
        <w:tc>
          <w:tcPr>
            <w:tcW w:w="0" w:type="auto"/>
            <w:gridSpan w:val="3"/>
            <w:shd w:val="clear" w:color="auto" w:fill="auto"/>
          </w:tcPr>
          <w:p w14:paraId="33DAA30F" w14:textId="77777777" w:rsidR="004D6A64" w:rsidRDefault="004D6A64">
            <w:pPr>
              <w:rPr>
                <w:rFonts w:ascii="宋体"/>
                <w:vanish/>
              </w:rPr>
            </w:pPr>
          </w:p>
        </w:tc>
        <w:tc>
          <w:tcPr>
            <w:tcW w:w="0" w:type="auto"/>
            <w:gridSpan w:val="3"/>
            <w:shd w:val="clear" w:color="auto" w:fill="auto"/>
          </w:tcPr>
          <w:p w14:paraId="33DAA310" w14:textId="77777777" w:rsidR="004D6A64" w:rsidRDefault="004D6A64">
            <w:pPr>
              <w:rPr>
                <w:rFonts w:ascii="宋体"/>
                <w:vanish/>
              </w:rPr>
            </w:pPr>
          </w:p>
        </w:tc>
        <w:tc>
          <w:tcPr>
            <w:tcW w:w="0" w:type="auto"/>
            <w:gridSpan w:val="3"/>
            <w:shd w:val="clear" w:color="auto" w:fill="auto"/>
          </w:tcPr>
          <w:p w14:paraId="33DAA311" w14:textId="77777777" w:rsidR="004D6A64" w:rsidRDefault="004D6A64">
            <w:pPr>
              <w:rPr>
                <w:rFonts w:ascii="宋体"/>
                <w:vanish/>
              </w:rPr>
            </w:pPr>
          </w:p>
        </w:tc>
        <w:tc>
          <w:tcPr>
            <w:tcW w:w="0" w:type="auto"/>
            <w:gridSpan w:val="3"/>
            <w:shd w:val="clear" w:color="auto" w:fill="auto"/>
          </w:tcPr>
          <w:p w14:paraId="33DAA312" w14:textId="77777777" w:rsidR="004D6A64" w:rsidRDefault="004D6A64">
            <w:pPr>
              <w:rPr>
                <w:rFonts w:ascii="宋体"/>
                <w:vanish/>
              </w:rPr>
            </w:pPr>
          </w:p>
        </w:tc>
        <w:tc>
          <w:tcPr>
            <w:tcW w:w="0" w:type="auto"/>
            <w:gridSpan w:val="3"/>
            <w:shd w:val="clear" w:color="auto" w:fill="auto"/>
          </w:tcPr>
          <w:p w14:paraId="33DAA313" w14:textId="77777777" w:rsidR="004D6A64" w:rsidRDefault="004D6A64">
            <w:pPr>
              <w:rPr>
                <w:rFonts w:ascii="宋体"/>
                <w:vanish/>
              </w:rPr>
            </w:pPr>
          </w:p>
        </w:tc>
        <w:tc>
          <w:tcPr>
            <w:tcW w:w="0" w:type="auto"/>
            <w:gridSpan w:val="3"/>
            <w:shd w:val="clear" w:color="auto" w:fill="auto"/>
          </w:tcPr>
          <w:p w14:paraId="33DAA314" w14:textId="77777777" w:rsidR="004D6A64" w:rsidRDefault="004D6A64">
            <w:pPr>
              <w:rPr>
                <w:rFonts w:ascii="宋体"/>
                <w:vanish/>
              </w:rPr>
            </w:pPr>
          </w:p>
        </w:tc>
        <w:tc>
          <w:tcPr>
            <w:tcW w:w="0" w:type="auto"/>
            <w:gridSpan w:val="3"/>
            <w:shd w:val="clear" w:color="auto" w:fill="auto"/>
          </w:tcPr>
          <w:p w14:paraId="33DAA315" w14:textId="77777777" w:rsidR="004D6A64" w:rsidRDefault="004D6A64">
            <w:pPr>
              <w:rPr>
                <w:rFonts w:ascii="宋体"/>
                <w:vanish/>
              </w:rPr>
            </w:pPr>
          </w:p>
        </w:tc>
        <w:tc>
          <w:tcPr>
            <w:tcW w:w="0" w:type="auto"/>
            <w:gridSpan w:val="3"/>
            <w:shd w:val="clear" w:color="auto" w:fill="auto"/>
          </w:tcPr>
          <w:p w14:paraId="33DAA316" w14:textId="77777777" w:rsidR="004D6A64" w:rsidRDefault="004D6A64">
            <w:pPr>
              <w:rPr>
                <w:rFonts w:ascii="宋体"/>
                <w:vanish/>
              </w:rPr>
            </w:pPr>
          </w:p>
        </w:tc>
        <w:tc>
          <w:tcPr>
            <w:tcW w:w="0" w:type="auto"/>
            <w:shd w:val="clear" w:color="auto" w:fill="auto"/>
          </w:tcPr>
          <w:p w14:paraId="33DAA317" w14:textId="77777777" w:rsidR="004D6A64" w:rsidRDefault="004D6A64">
            <w:pPr>
              <w:rPr>
                <w:rFonts w:ascii="宋体"/>
              </w:rPr>
            </w:pPr>
          </w:p>
        </w:tc>
        <w:tc>
          <w:tcPr>
            <w:tcW w:w="0" w:type="auto"/>
            <w:shd w:val="clear" w:color="auto" w:fill="auto"/>
          </w:tcPr>
          <w:p w14:paraId="33DAA318" w14:textId="77777777" w:rsidR="004D6A64" w:rsidRDefault="004D6A64">
            <w:pPr>
              <w:rPr>
                <w:rFonts w:ascii="宋体"/>
              </w:rPr>
            </w:pPr>
          </w:p>
        </w:tc>
        <w:tc>
          <w:tcPr>
            <w:tcW w:w="0" w:type="auto"/>
            <w:shd w:val="clear" w:color="auto" w:fill="auto"/>
          </w:tcPr>
          <w:p w14:paraId="33DAA319" w14:textId="77777777" w:rsidR="004D6A64" w:rsidRDefault="004D6A64">
            <w:pPr>
              <w:rPr>
                <w:rFonts w:ascii="宋体"/>
              </w:rPr>
            </w:pPr>
          </w:p>
        </w:tc>
        <w:tc>
          <w:tcPr>
            <w:tcW w:w="0" w:type="auto"/>
            <w:shd w:val="clear" w:color="auto" w:fill="auto"/>
          </w:tcPr>
          <w:p w14:paraId="33DAA31A" w14:textId="77777777" w:rsidR="004D6A64" w:rsidRDefault="004D6A64">
            <w:pPr>
              <w:rPr>
                <w:rFonts w:ascii="宋体"/>
              </w:rPr>
            </w:pPr>
          </w:p>
        </w:tc>
        <w:tc>
          <w:tcPr>
            <w:tcW w:w="0" w:type="auto"/>
            <w:shd w:val="clear" w:color="auto" w:fill="auto"/>
          </w:tcPr>
          <w:p w14:paraId="33DAA31B" w14:textId="77777777" w:rsidR="004D6A64" w:rsidRDefault="004D6A64">
            <w:pPr>
              <w:rPr>
                <w:rFonts w:ascii="宋体"/>
              </w:rPr>
            </w:pPr>
          </w:p>
        </w:tc>
        <w:tc>
          <w:tcPr>
            <w:tcW w:w="0" w:type="auto"/>
            <w:shd w:val="clear" w:color="auto" w:fill="auto"/>
          </w:tcPr>
          <w:p w14:paraId="33DAA31C" w14:textId="77777777" w:rsidR="004D6A64" w:rsidRDefault="004D6A64">
            <w:pPr>
              <w:rPr>
                <w:rFonts w:ascii="宋体"/>
              </w:rPr>
            </w:pPr>
          </w:p>
        </w:tc>
        <w:tc>
          <w:tcPr>
            <w:tcW w:w="0" w:type="auto"/>
            <w:shd w:val="clear" w:color="auto" w:fill="auto"/>
          </w:tcPr>
          <w:p w14:paraId="33DAA31D" w14:textId="77777777" w:rsidR="004D6A64" w:rsidRDefault="004D6A64">
            <w:pPr>
              <w:rPr>
                <w:rFonts w:ascii="宋体"/>
              </w:rPr>
            </w:pPr>
          </w:p>
        </w:tc>
        <w:tc>
          <w:tcPr>
            <w:tcW w:w="0" w:type="auto"/>
            <w:shd w:val="clear" w:color="auto" w:fill="auto"/>
          </w:tcPr>
          <w:p w14:paraId="33DAA31E" w14:textId="77777777" w:rsidR="004D6A64" w:rsidRDefault="004D6A64">
            <w:pPr>
              <w:rPr>
                <w:rFonts w:ascii="宋体"/>
              </w:rPr>
            </w:pPr>
          </w:p>
        </w:tc>
        <w:tc>
          <w:tcPr>
            <w:tcW w:w="0" w:type="auto"/>
            <w:shd w:val="clear" w:color="auto" w:fill="auto"/>
          </w:tcPr>
          <w:p w14:paraId="33DAA31F" w14:textId="77777777" w:rsidR="004D6A64" w:rsidRDefault="004D6A64">
            <w:pPr>
              <w:rPr>
                <w:rFonts w:ascii="宋体"/>
              </w:rPr>
            </w:pPr>
          </w:p>
        </w:tc>
        <w:tc>
          <w:tcPr>
            <w:tcW w:w="0" w:type="auto"/>
            <w:shd w:val="clear" w:color="auto" w:fill="auto"/>
          </w:tcPr>
          <w:p w14:paraId="33DAA320" w14:textId="77777777" w:rsidR="004D6A64" w:rsidRDefault="004D6A64">
            <w:pPr>
              <w:rPr>
                <w:rFonts w:ascii="宋体"/>
              </w:rPr>
            </w:pPr>
          </w:p>
        </w:tc>
        <w:tc>
          <w:tcPr>
            <w:tcW w:w="0" w:type="auto"/>
            <w:shd w:val="clear" w:color="auto" w:fill="auto"/>
          </w:tcPr>
          <w:p w14:paraId="33DAA321" w14:textId="77777777" w:rsidR="004D6A64" w:rsidRDefault="004D6A64">
            <w:pPr>
              <w:rPr>
                <w:rFonts w:ascii="宋体"/>
              </w:rPr>
            </w:pPr>
          </w:p>
        </w:tc>
        <w:tc>
          <w:tcPr>
            <w:tcW w:w="0" w:type="auto"/>
            <w:shd w:val="clear" w:color="auto" w:fill="auto"/>
          </w:tcPr>
          <w:p w14:paraId="33DAA322" w14:textId="77777777" w:rsidR="004D6A64" w:rsidRDefault="004D6A64">
            <w:pPr>
              <w:rPr>
                <w:rFonts w:ascii="宋体"/>
              </w:rPr>
            </w:pPr>
          </w:p>
        </w:tc>
        <w:tc>
          <w:tcPr>
            <w:tcW w:w="0" w:type="auto"/>
            <w:shd w:val="clear" w:color="auto" w:fill="auto"/>
          </w:tcPr>
          <w:p w14:paraId="33DAA323" w14:textId="77777777" w:rsidR="004D6A64" w:rsidRDefault="004D6A64">
            <w:pPr>
              <w:rPr>
                <w:rFonts w:ascii="宋体"/>
              </w:rPr>
            </w:pPr>
          </w:p>
        </w:tc>
        <w:tc>
          <w:tcPr>
            <w:tcW w:w="0" w:type="auto"/>
            <w:shd w:val="clear" w:color="auto" w:fill="auto"/>
          </w:tcPr>
          <w:p w14:paraId="33DAA324" w14:textId="77777777" w:rsidR="004D6A64" w:rsidRDefault="004D6A64">
            <w:pPr>
              <w:rPr>
                <w:rFonts w:ascii="宋体"/>
              </w:rPr>
            </w:pPr>
          </w:p>
        </w:tc>
        <w:tc>
          <w:tcPr>
            <w:tcW w:w="0" w:type="auto"/>
            <w:shd w:val="clear" w:color="auto" w:fill="auto"/>
          </w:tcPr>
          <w:p w14:paraId="33DAA325" w14:textId="77777777" w:rsidR="004D6A64" w:rsidRDefault="004D6A64">
            <w:pPr>
              <w:rPr>
                <w:rFonts w:ascii="宋体"/>
              </w:rPr>
            </w:pPr>
          </w:p>
        </w:tc>
      </w:tr>
      <w:tr w:rsidR="004D6A64" w14:paraId="33DAA346" w14:textId="77777777">
        <w:trPr>
          <w:hidden/>
        </w:trPr>
        <w:tc>
          <w:tcPr>
            <w:tcW w:w="0" w:type="auto"/>
            <w:gridSpan w:val="3"/>
            <w:shd w:val="clear" w:color="auto" w:fill="auto"/>
          </w:tcPr>
          <w:p w14:paraId="33DAA327" w14:textId="77777777" w:rsidR="004D6A64" w:rsidRDefault="004D6A64">
            <w:pPr>
              <w:rPr>
                <w:rFonts w:ascii="宋体"/>
                <w:vanish/>
              </w:rPr>
            </w:pPr>
          </w:p>
        </w:tc>
        <w:tc>
          <w:tcPr>
            <w:tcW w:w="0" w:type="auto"/>
            <w:gridSpan w:val="3"/>
            <w:shd w:val="clear" w:color="auto" w:fill="auto"/>
          </w:tcPr>
          <w:p w14:paraId="33DAA328" w14:textId="77777777" w:rsidR="004D6A64" w:rsidRDefault="004D6A64">
            <w:pPr>
              <w:rPr>
                <w:rFonts w:ascii="宋体"/>
                <w:vanish/>
              </w:rPr>
            </w:pPr>
          </w:p>
        </w:tc>
        <w:tc>
          <w:tcPr>
            <w:tcW w:w="0" w:type="auto"/>
            <w:gridSpan w:val="3"/>
            <w:shd w:val="clear" w:color="auto" w:fill="auto"/>
          </w:tcPr>
          <w:p w14:paraId="33DAA329" w14:textId="77777777" w:rsidR="004D6A64" w:rsidRDefault="004D6A64">
            <w:pPr>
              <w:rPr>
                <w:rFonts w:ascii="宋体"/>
                <w:vanish/>
              </w:rPr>
            </w:pPr>
          </w:p>
        </w:tc>
        <w:tc>
          <w:tcPr>
            <w:tcW w:w="0" w:type="auto"/>
            <w:gridSpan w:val="3"/>
            <w:shd w:val="clear" w:color="auto" w:fill="auto"/>
          </w:tcPr>
          <w:p w14:paraId="33DAA32A" w14:textId="77777777" w:rsidR="004D6A64" w:rsidRDefault="004D6A64">
            <w:pPr>
              <w:rPr>
                <w:rFonts w:ascii="宋体"/>
                <w:vanish/>
              </w:rPr>
            </w:pPr>
          </w:p>
        </w:tc>
        <w:tc>
          <w:tcPr>
            <w:tcW w:w="0" w:type="auto"/>
            <w:gridSpan w:val="3"/>
            <w:shd w:val="clear" w:color="auto" w:fill="auto"/>
          </w:tcPr>
          <w:p w14:paraId="33DAA32B" w14:textId="77777777" w:rsidR="004D6A64" w:rsidRDefault="004D6A64">
            <w:pPr>
              <w:rPr>
                <w:rFonts w:ascii="宋体"/>
                <w:vanish/>
              </w:rPr>
            </w:pPr>
          </w:p>
        </w:tc>
        <w:tc>
          <w:tcPr>
            <w:tcW w:w="0" w:type="auto"/>
            <w:gridSpan w:val="3"/>
            <w:shd w:val="clear" w:color="auto" w:fill="auto"/>
          </w:tcPr>
          <w:p w14:paraId="33DAA32C" w14:textId="77777777" w:rsidR="004D6A64" w:rsidRDefault="004D6A64">
            <w:pPr>
              <w:rPr>
                <w:rFonts w:ascii="宋体"/>
                <w:vanish/>
              </w:rPr>
            </w:pPr>
          </w:p>
        </w:tc>
        <w:tc>
          <w:tcPr>
            <w:tcW w:w="0" w:type="auto"/>
            <w:gridSpan w:val="3"/>
            <w:shd w:val="clear" w:color="auto" w:fill="auto"/>
          </w:tcPr>
          <w:p w14:paraId="33DAA32D" w14:textId="77777777" w:rsidR="004D6A64" w:rsidRDefault="004D6A64">
            <w:pPr>
              <w:rPr>
                <w:rFonts w:ascii="宋体"/>
                <w:vanish/>
              </w:rPr>
            </w:pPr>
          </w:p>
        </w:tc>
        <w:tc>
          <w:tcPr>
            <w:tcW w:w="0" w:type="auto"/>
            <w:gridSpan w:val="3"/>
            <w:shd w:val="clear" w:color="auto" w:fill="auto"/>
          </w:tcPr>
          <w:p w14:paraId="33DAA32E" w14:textId="77777777" w:rsidR="004D6A64" w:rsidRDefault="004D6A64">
            <w:pPr>
              <w:rPr>
                <w:rFonts w:ascii="宋体"/>
                <w:vanish/>
              </w:rPr>
            </w:pPr>
          </w:p>
        </w:tc>
        <w:tc>
          <w:tcPr>
            <w:tcW w:w="0" w:type="auto"/>
            <w:gridSpan w:val="3"/>
            <w:shd w:val="clear" w:color="auto" w:fill="auto"/>
          </w:tcPr>
          <w:p w14:paraId="33DAA32F" w14:textId="77777777" w:rsidR="004D6A64" w:rsidRDefault="004D6A64">
            <w:pPr>
              <w:rPr>
                <w:rFonts w:ascii="宋体"/>
                <w:vanish/>
              </w:rPr>
            </w:pPr>
          </w:p>
        </w:tc>
        <w:tc>
          <w:tcPr>
            <w:tcW w:w="0" w:type="auto"/>
            <w:gridSpan w:val="3"/>
            <w:shd w:val="clear" w:color="auto" w:fill="auto"/>
          </w:tcPr>
          <w:p w14:paraId="33DAA330" w14:textId="77777777" w:rsidR="004D6A64" w:rsidRDefault="004D6A64">
            <w:pPr>
              <w:rPr>
                <w:rFonts w:ascii="宋体"/>
                <w:vanish/>
              </w:rPr>
            </w:pPr>
          </w:p>
        </w:tc>
        <w:tc>
          <w:tcPr>
            <w:tcW w:w="0" w:type="auto"/>
            <w:gridSpan w:val="3"/>
            <w:shd w:val="clear" w:color="auto" w:fill="auto"/>
          </w:tcPr>
          <w:p w14:paraId="33DAA331" w14:textId="77777777" w:rsidR="004D6A64" w:rsidRDefault="004D6A64">
            <w:pPr>
              <w:rPr>
                <w:rFonts w:ascii="宋体"/>
                <w:vanish/>
              </w:rPr>
            </w:pPr>
          </w:p>
        </w:tc>
        <w:tc>
          <w:tcPr>
            <w:tcW w:w="0" w:type="auto"/>
            <w:gridSpan w:val="3"/>
            <w:shd w:val="clear" w:color="auto" w:fill="auto"/>
          </w:tcPr>
          <w:p w14:paraId="33DAA332" w14:textId="77777777" w:rsidR="004D6A64" w:rsidRDefault="004D6A64">
            <w:pPr>
              <w:rPr>
                <w:rFonts w:ascii="宋体"/>
                <w:vanish/>
              </w:rPr>
            </w:pPr>
          </w:p>
        </w:tc>
        <w:tc>
          <w:tcPr>
            <w:tcW w:w="0" w:type="auto"/>
            <w:gridSpan w:val="3"/>
            <w:shd w:val="clear" w:color="auto" w:fill="auto"/>
          </w:tcPr>
          <w:p w14:paraId="33DAA333" w14:textId="77777777" w:rsidR="004D6A64" w:rsidRDefault="004D6A64">
            <w:pPr>
              <w:rPr>
                <w:rFonts w:ascii="宋体"/>
                <w:vanish/>
              </w:rPr>
            </w:pPr>
          </w:p>
        </w:tc>
        <w:tc>
          <w:tcPr>
            <w:tcW w:w="0" w:type="auto"/>
            <w:gridSpan w:val="3"/>
            <w:shd w:val="clear" w:color="auto" w:fill="auto"/>
          </w:tcPr>
          <w:p w14:paraId="33DAA334" w14:textId="77777777" w:rsidR="004D6A64" w:rsidRDefault="004D6A64">
            <w:pPr>
              <w:rPr>
                <w:rFonts w:ascii="宋体"/>
                <w:vanish/>
              </w:rPr>
            </w:pPr>
          </w:p>
        </w:tc>
        <w:tc>
          <w:tcPr>
            <w:tcW w:w="0" w:type="auto"/>
            <w:gridSpan w:val="3"/>
            <w:shd w:val="clear" w:color="auto" w:fill="auto"/>
          </w:tcPr>
          <w:p w14:paraId="33DAA335" w14:textId="77777777" w:rsidR="004D6A64" w:rsidRDefault="004D6A64">
            <w:pPr>
              <w:rPr>
                <w:rFonts w:ascii="宋体"/>
                <w:vanish/>
              </w:rPr>
            </w:pPr>
          </w:p>
        </w:tc>
        <w:tc>
          <w:tcPr>
            <w:tcW w:w="0" w:type="auto"/>
            <w:gridSpan w:val="3"/>
            <w:shd w:val="clear" w:color="auto" w:fill="auto"/>
          </w:tcPr>
          <w:p w14:paraId="33DAA336" w14:textId="77777777" w:rsidR="004D6A64" w:rsidRDefault="004D6A64">
            <w:pPr>
              <w:rPr>
                <w:rFonts w:ascii="宋体"/>
                <w:vanish/>
              </w:rPr>
            </w:pPr>
          </w:p>
        </w:tc>
        <w:tc>
          <w:tcPr>
            <w:tcW w:w="0" w:type="auto"/>
            <w:shd w:val="clear" w:color="auto" w:fill="auto"/>
          </w:tcPr>
          <w:p w14:paraId="33DAA337" w14:textId="77777777" w:rsidR="004D6A64" w:rsidRDefault="004D6A64">
            <w:pPr>
              <w:rPr>
                <w:rFonts w:ascii="宋体"/>
              </w:rPr>
            </w:pPr>
          </w:p>
        </w:tc>
        <w:tc>
          <w:tcPr>
            <w:tcW w:w="0" w:type="auto"/>
            <w:shd w:val="clear" w:color="auto" w:fill="auto"/>
          </w:tcPr>
          <w:p w14:paraId="33DAA338" w14:textId="77777777" w:rsidR="004D6A64" w:rsidRDefault="004D6A64">
            <w:pPr>
              <w:rPr>
                <w:rFonts w:ascii="宋体"/>
              </w:rPr>
            </w:pPr>
          </w:p>
        </w:tc>
        <w:tc>
          <w:tcPr>
            <w:tcW w:w="0" w:type="auto"/>
            <w:shd w:val="clear" w:color="auto" w:fill="auto"/>
          </w:tcPr>
          <w:p w14:paraId="33DAA339" w14:textId="77777777" w:rsidR="004D6A64" w:rsidRDefault="004D6A64">
            <w:pPr>
              <w:rPr>
                <w:rFonts w:ascii="宋体"/>
              </w:rPr>
            </w:pPr>
          </w:p>
        </w:tc>
        <w:tc>
          <w:tcPr>
            <w:tcW w:w="0" w:type="auto"/>
            <w:shd w:val="clear" w:color="auto" w:fill="auto"/>
          </w:tcPr>
          <w:p w14:paraId="33DAA33A" w14:textId="77777777" w:rsidR="004D6A64" w:rsidRDefault="004D6A64">
            <w:pPr>
              <w:rPr>
                <w:rFonts w:ascii="宋体"/>
              </w:rPr>
            </w:pPr>
          </w:p>
        </w:tc>
        <w:tc>
          <w:tcPr>
            <w:tcW w:w="0" w:type="auto"/>
            <w:shd w:val="clear" w:color="auto" w:fill="auto"/>
          </w:tcPr>
          <w:p w14:paraId="33DAA33B" w14:textId="77777777" w:rsidR="004D6A64" w:rsidRDefault="004D6A64">
            <w:pPr>
              <w:rPr>
                <w:rFonts w:ascii="宋体"/>
              </w:rPr>
            </w:pPr>
          </w:p>
        </w:tc>
        <w:tc>
          <w:tcPr>
            <w:tcW w:w="0" w:type="auto"/>
            <w:shd w:val="clear" w:color="auto" w:fill="auto"/>
          </w:tcPr>
          <w:p w14:paraId="33DAA33C" w14:textId="77777777" w:rsidR="004D6A64" w:rsidRDefault="004D6A64">
            <w:pPr>
              <w:rPr>
                <w:rFonts w:ascii="宋体"/>
              </w:rPr>
            </w:pPr>
          </w:p>
        </w:tc>
        <w:tc>
          <w:tcPr>
            <w:tcW w:w="0" w:type="auto"/>
            <w:shd w:val="clear" w:color="auto" w:fill="auto"/>
          </w:tcPr>
          <w:p w14:paraId="33DAA33D" w14:textId="77777777" w:rsidR="004D6A64" w:rsidRDefault="004D6A64">
            <w:pPr>
              <w:rPr>
                <w:rFonts w:ascii="宋体"/>
              </w:rPr>
            </w:pPr>
          </w:p>
        </w:tc>
        <w:tc>
          <w:tcPr>
            <w:tcW w:w="0" w:type="auto"/>
            <w:shd w:val="clear" w:color="auto" w:fill="auto"/>
          </w:tcPr>
          <w:p w14:paraId="33DAA33E" w14:textId="77777777" w:rsidR="004D6A64" w:rsidRDefault="004D6A64">
            <w:pPr>
              <w:rPr>
                <w:rFonts w:ascii="宋体"/>
              </w:rPr>
            </w:pPr>
          </w:p>
        </w:tc>
        <w:tc>
          <w:tcPr>
            <w:tcW w:w="0" w:type="auto"/>
            <w:shd w:val="clear" w:color="auto" w:fill="auto"/>
          </w:tcPr>
          <w:p w14:paraId="33DAA33F" w14:textId="77777777" w:rsidR="004D6A64" w:rsidRDefault="004D6A64">
            <w:pPr>
              <w:rPr>
                <w:rFonts w:ascii="宋体"/>
              </w:rPr>
            </w:pPr>
          </w:p>
        </w:tc>
        <w:tc>
          <w:tcPr>
            <w:tcW w:w="0" w:type="auto"/>
            <w:shd w:val="clear" w:color="auto" w:fill="auto"/>
          </w:tcPr>
          <w:p w14:paraId="33DAA340" w14:textId="77777777" w:rsidR="004D6A64" w:rsidRDefault="004D6A64">
            <w:pPr>
              <w:rPr>
                <w:rFonts w:ascii="宋体"/>
              </w:rPr>
            </w:pPr>
          </w:p>
        </w:tc>
        <w:tc>
          <w:tcPr>
            <w:tcW w:w="0" w:type="auto"/>
            <w:shd w:val="clear" w:color="auto" w:fill="auto"/>
          </w:tcPr>
          <w:p w14:paraId="33DAA341" w14:textId="77777777" w:rsidR="004D6A64" w:rsidRDefault="004D6A64">
            <w:pPr>
              <w:rPr>
                <w:rFonts w:ascii="宋体"/>
              </w:rPr>
            </w:pPr>
          </w:p>
        </w:tc>
        <w:tc>
          <w:tcPr>
            <w:tcW w:w="0" w:type="auto"/>
            <w:shd w:val="clear" w:color="auto" w:fill="auto"/>
          </w:tcPr>
          <w:p w14:paraId="33DAA342" w14:textId="77777777" w:rsidR="004D6A64" w:rsidRDefault="004D6A64">
            <w:pPr>
              <w:rPr>
                <w:rFonts w:ascii="宋体"/>
              </w:rPr>
            </w:pPr>
          </w:p>
        </w:tc>
        <w:tc>
          <w:tcPr>
            <w:tcW w:w="0" w:type="auto"/>
            <w:shd w:val="clear" w:color="auto" w:fill="auto"/>
          </w:tcPr>
          <w:p w14:paraId="33DAA343" w14:textId="77777777" w:rsidR="004D6A64" w:rsidRDefault="004D6A64">
            <w:pPr>
              <w:rPr>
                <w:rFonts w:ascii="宋体"/>
              </w:rPr>
            </w:pPr>
          </w:p>
        </w:tc>
        <w:tc>
          <w:tcPr>
            <w:tcW w:w="0" w:type="auto"/>
            <w:shd w:val="clear" w:color="auto" w:fill="auto"/>
          </w:tcPr>
          <w:p w14:paraId="33DAA344" w14:textId="77777777" w:rsidR="004D6A64" w:rsidRDefault="004D6A64">
            <w:pPr>
              <w:rPr>
                <w:rFonts w:ascii="宋体"/>
              </w:rPr>
            </w:pPr>
          </w:p>
        </w:tc>
        <w:tc>
          <w:tcPr>
            <w:tcW w:w="0" w:type="auto"/>
            <w:shd w:val="clear" w:color="auto" w:fill="auto"/>
          </w:tcPr>
          <w:p w14:paraId="33DAA345" w14:textId="77777777" w:rsidR="004D6A64" w:rsidRDefault="004D6A64">
            <w:pPr>
              <w:rPr>
                <w:rFonts w:ascii="宋体"/>
              </w:rPr>
            </w:pPr>
          </w:p>
        </w:tc>
      </w:tr>
      <w:tr w:rsidR="004D6A64" w14:paraId="33DAA36E" w14:textId="77777777">
        <w:tc>
          <w:tcPr>
            <w:tcW w:w="0" w:type="auto"/>
            <w:gridSpan w:val="3"/>
            <w:shd w:val="clear" w:color="auto" w:fill="FFFFFF"/>
            <w:tcMar>
              <w:top w:w="40" w:type="dxa"/>
              <w:left w:w="135" w:type="dxa"/>
              <w:bottom w:w="40" w:type="dxa"/>
              <w:right w:w="20" w:type="dxa"/>
            </w:tcMar>
            <w:vAlign w:val="center"/>
          </w:tcPr>
          <w:p w14:paraId="33DAA347" w14:textId="77777777" w:rsidR="004D6A64" w:rsidRDefault="00506CD6">
            <w:pPr>
              <w:textAlignment w:val="center"/>
            </w:pPr>
            <w:r>
              <w:rPr>
                <w:rFonts w:ascii="Times New Roman" w:eastAsia="宋体" w:hAnsi="Times New Roman"/>
                <w:color w:val="000000"/>
                <w:sz w:val="20"/>
                <w:szCs w:val="20"/>
              </w:rPr>
              <w:t>Equity and other securities</w:t>
            </w:r>
          </w:p>
        </w:tc>
        <w:tc>
          <w:tcPr>
            <w:tcW w:w="0" w:type="auto"/>
            <w:gridSpan w:val="2"/>
            <w:shd w:val="clear" w:color="auto" w:fill="FFFFFF"/>
            <w:tcMar>
              <w:top w:w="40" w:type="dxa"/>
              <w:left w:w="20" w:type="dxa"/>
              <w:bottom w:w="40" w:type="dxa"/>
              <w:right w:w="0" w:type="dxa"/>
            </w:tcMar>
            <w:vAlign w:val="center"/>
          </w:tcPr>
          <w:p w14:paraId="33DAA348" w14:textId="77777777" w:rsidR="004D6A64" w:rsidRDefault="00506CD6">
            <w:pPr>
              <w:jc w:val="right"/>
              <w:textAlignment w:val="center"/>
            </w:pPr>
            <w:r>
              <w:rPr>
                <w:rFonts w:ascii="Times New Roman" w:eastAsia="宋体" w:hAnsi="Times New Roman"/>
                <w:color w:val="000000"/>
                <w:sz w:val="20"/>
                <w:szCs w:val="20"/>
              </w:rPr>
              <w:t>1 </w:t>
            </w:r>
          </w:p>
        </w:tc>
        <w:tc>
          <w:tcPr>
            <w:tcW w:w="0" w:type="auto"/>
            <w:shd w:val="clear" w:color="auto" w:fill="FFFFFF"/>
            <w:tcMar>
              <w:top w:w="40" w:type="dxa"/>
              <w:bottom w:w="40" w:type="dxa"/>
              <w:right w:w="20" w:type="dxa"/>
            </w:tcMar>
            <w:vAlign w:val="center"/>
          </w:tcPr>
          <w:p w14:paraId="33DAA34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34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A34B"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A34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34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A34E"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A34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35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A351" w14:textId="77777777" w:rsidR="004D6A64" w:rsidRDefault="00506CD6">
            <w:pPr>
              <w:jc w:val="right"/>
              <w:textAlignment w:val="center"/>
            </w:pPr>
            <w:r>
              <w:rPr>
                <w:rFonts w:ascii="Times New Roman" w:eastAsia="宋体" w:hAnsi="Times New Roman"/>
                <w:color w:val="000000"/>
                <w:sz w:val="20"/>
                <w:szCs w:val="20"/>
              </w:rPr>
              <w:t>1 </w:t>
            </w:r>
          </w:p>
        </w:tc>
        <w:tc>
          <w:tcPr>
            <w:tcW w:w="0" w:type="auto"/>
            <w:shd w:val="clear" w:color="auto" w:fill="FFFFFF"/>
            <w:tcMar>
              <w:top w:w="40" w:type="dxa"/>
              <w:bottom w:w="40" w:type="dxa"/>
              <w:right w:w="20" w:type="dxa"/>
            </w:tcMar>
            <w:vAlign w:val="center"/>
          </w:tcPr>
          <w:p w14:paraId="33DAA35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35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A354" w14:textId="77777777" w:rsidR="004D6A64" w:rsidRDefault="00506CD6">
            <w:pPr>
              <w:jc w:val="right"/>
              <w:textAlignment w:val="center"/>
            </w:pPr>
            <w:r>
              <w:rPr>
                <w:rFonts w:ascii="Times New Roman" w:eastAsia="宋体" w:hAnsi="Times New Roman"/>
                <w:color w:val="000000"/>
                <w:sz w:val="20"/>
                <w:szCs w:val="20"/>
              </w:rPr>
              <w:t>12 </w:t>
            </w:r>
          </w:p>
        </w:tc>
        <w:tc>
          <w:tcPr>
            <w:tcW w:w="0" w:type="auto"/>
            <w:shd w:val="clear" w:color="auto" w:fill="FFFFFF"/>
            <w:tcMar>
              <w:top w:w="40" w:type="dxa"/>
              <w:bottom w:w="40" w:type="dxa"/>
              <w:right w:w="20" w:type="dxa"/>
            </w:tcMar>
            <w:vAlign w:val="center"/>
          </w:tcPr>
          <w:p w14:paraId="33DAA35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35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A357"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A35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359"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A35A"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A35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35C"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A35D" w14:textId="77777777" w:rsidR="004D6A64" w:rsidRDefault="00506CD6">
            <w:pPr>
              <w:jc w:val="right"/>
              <w:textAlignment w:val="center"/>
            </w:pPr>
            <w:r>
              <w:rPr>
                <w:rFonts w:ascii="Times New Roman" w:eastAsia="宋体" w:hAnsi="Times New Roman"/>
                <w:color w:val="000000"/>
                <w:sz w:val="20"/>
                <w:szCs w:val="20"/>
              </w:rPr>
              <w:t>12 </w:t>
            </w:r>
          </w:p>
        </w:tc>
        <w:tc>
          <w:tcPr>
            <w:tcW w:w="0" w:type="auto"/>
            <w:shd w:val="clear" w:color="auto" w:fill="FFFFFF"/>
            <w:tcMar>
              <w:top w:w="40" w:type="dxa"/>
              <w:bottom w:w="40" w:type="dxa"/>
              <w:right w:w="20" w:type="dxa"/>
            </w:tcMar>
            <w:vAlign w:val="center"/>
          </w:tcPr>
          <w:p w14:paraId="33DAA35E" w14:textId="77777777" w:rsidR="004D6A64" w:rsidRDefault="004D6A64">
            <w:pPr>
              <w:jc w:val="right"/>
              <w:rPr>
                <w:rFonts w:ascii="宋体"/>
              </w:rPr>
            </w:pPr>
          </w:p>
        </w:tc>
        <w:tc>
          <w:tcPr>
            <w:tcW w:w="0" w:type="auto"/>
            <w:shd w:val="clear" w:color="auto" w:fill="auto"/>
          </w:tcPr>
          <w:p w14:paraId="33DAA35F" w14:textId="77777777" w:rsidR="004D6A64" w:rsidRDefault="004D6A64">
            <w:pPr>
              <w:rPr>
                <w:rFonts w:ascii="宋体"/>
              </w:rPr>
            </w:pPr>
          </w:p>
        </w:tc>
        <w:tc>
          <w:tcPr>
            <w:tcW w:w="0" w:type="auto"/>
            <w:shd w:val="clear" w:color="auto" w:fill="auto"/>
          </w:tcPr>
          <w:p w14:paraId="33DAA360" w14:textId="77777777" w:rsidR="004D6A64" w:rsidRDefault="004D6A64">
            <w:pPr>
              <w:rPr>
                <w:rFonts w:ascii="宋体"/>
              </w:rPr>
            </w:pPr>
          </w:p>
        </w:tc>
        <w:tc>
          <w:tcPr>
            <w:tcW w:w="0" w:type="auto"/>
            <w:shd w:val="clear" w:color="auto" w:fill="auto"/>
          </w:tcPr>
          <w:p w14:paraId="33DAA361" w14:textId="77777777" w:rsidR="004D6A64" w:rsidRDefault="004D6A64">
            <w:pPr>
              <w:rPr>
                <w:rFonts w:ascii="宋体"/>
              </w:rPr>
            </w:pPr>
          </w:p>
        </w:tc>
        <w:tc>
          <w:tcPr>
            <w:tcW w:w="0" w:type="auto"/>
            <w:shd w:val="clear" w:color="auto" w:fill="auto"/>
          </w:tcPr>
          <w:p w14:paraId="33DAA362" w14:textId="77777777" w:rsidR="004D6A64" w:rsidRDefault="004D6A64">
            <w:pPr>
              <w:rPr>
                <w:rFonts w:ascii="宋体"/>
              </w:rPr>
            </w:pPr>
          </w:p>
        </w:tc>
        <w:tc>
          <w:tcPr>
            <w:tcW w:w="0" w:type="auto"/>
            <w:shd w:val="clear" w:color="auto" w:fill="auto"/>
          </w:tcPr>
          <w:p w14:paraId="33DAA363" w14:textId="77777777" w:rsidR="004D6A64" w:rsidRDefault="004D6A64">
            <w:pPr>
              <w:rPr>
                <w:rFonts w:ascii="宋体"/>
              </w:rPr>
            </w:pPr>
          </w:p>
        </w:tc>
        <w:tc>
          <w:tcPr>
            <w:tcW w:w="0" w:type="auto"/>
            <w:shd w:val="clear" w:color="auto" w:fill="auto"/>
          </w:tcPr>
          <w:p w14:paraId="33DAA364" w14:textId="77777777" w:rsidR="004D6A64" w:rsidRDefault="004D6A64">
            <w:pPr>
              <w:rPr>
                <w:rFonts w:ascii="宋体"/>
              </w:rPr>
            </w:pPr>
          </w:p>
        </w:tc>
        <w:tc>
          <w:tcPr>
            <w:tcW w:w="0" w:type="auto"/>
            <w:shd w:val="clear" w:color="auto" w:fill="auto"/>
          </w:tcPr>
          <w:p w14:paraId="33DAA365" w14:textId="77777777" w:rsidR="004D6A64" w:rsidRDefault="004D6A64">
            <w:pPr>
              <w:rPr>
                <w:rFonts w:ascii="宋体"/>
              </w:rPr>
            </w:pPr>
          </w:p>
        </w:tc>
        <w:tc>
          <w:tcPr>
            <w:tcW w:w="0" w:type="auto"/>
            <w:shd w:val="clear" w:color="auto" w:fill="auto"/>
          </w:tcPr>
          <w:p w14:paraId="33DAA366" w14:textId="77777777" w:rsidR="004D6A64" w:rsidRDefault="004D6A64">
            <w:pPr>
              <w:rPr>
                <w:rFonts w:ascii="宋体"/>
              </w:rPr>
            </w:pPr>
          </w:p>
        </w:tc>
        <w:tc>
          <w:tcPr>
            <w:tcW w:w="0" w:type="auto"/>
            <w:shd w:val="clear" w:color="auto" w:fill="auto"/>
          </w:tcPr>
          <w:p w14:paraId="33DAA367" w14:textId="77777777" w:rsidR="004D6A64" w:rsidRDefault="004D6A64">
            <w:pPr>
              <w:rPr>
                <w:rFonts w:ascii="宋体"/>
              </w:rPr>
            </w:pPr>
          </w:p>
        </w:tc>
        <w:tc>
          <w:tcPr>
            <w:tcW w:w="0" w:type="auto"/>
            <w:shd w:val="clear" w:color="auto" w:fill="auto"/>
          </w:tcPr>
          <w:p w14:paraId="33DAA368" w14:textId="77777777" w:rsidR="004D6A64" w:rsidRDefault="004D6A64">
            <w:pPr>
              <w:rPr>
                <w:rFonts w:ascii="宋体"/>
              </w:rPr>
            </w:pPr>
          </w:p>
        </w:tc>
        <w:tc>
          <w:tcPr>
            <w:tcW w:w="0" w:type="auto"/>
            <w:shd w:val="clear" w:color="auto" w:fill="auto"/>
          </w:tcPr>
          <w:p w14:paraId="33DAA369" w14:textId="77777777" w:rsidR="004D6A64" w:rsidRDefault="004D6A64">
            <w:pPr>
              <w:rPr>
                <w:rFonts w:ascii="宋体"/>
              </w:rPr>
            </w:pPr>
          </w:p>
        </w:tc>
        <w:tc>
          <w:tcPr>
            <w:tcW w:w="0" w:type="auto"/>
            <w:shd w:val="clear" w:color="auto" w:fill="auto"/>
          </w:tcPr>
          <w:p w14:paraId="33DAA36A" w14:textId="77777777" w:rsidR="004D6A64" w:rsidRDefault="004D6A64">
            <w:pPr>
              <w:rPr>
                <w:rFonts w:ascii="宋体"/>
              </w:rPr>
            </w:pPr>
          </w:p>
        </w:tc>
        <w:tc>
          <w:tcPr>
            <w:tcW w:w="0" w:type="auto"/>
            <w:shd w:val="clear" w:color="auto" w:fill="auto"/>
          </w:tcPr>
          <w:p w14:paraId="33DAA36B" w14:textId="77777777" w:rsidR="004D6A64" w:rsidRDefault="004D6A64">
            <w:pPr>
              <w:rPr>
                <w:rFonts w:ascii="宋体"/>
              </w:rPr>
            </w:pPr>
          </w:p>
        </w:tc>
        <w:tc>
          <w:tcPr>
            <w:tcW w:w="0" w:type="auto"/>
            <w:shd w:val="clear" w:color="auto" w:fill="auto"/>
          </w:tcPr>
          <w:p w14:paraId="33DAA36C" w14:textId="77777777" w:rsidR="004D6A64" w:rsidRDefault="004D6A64">
            <w:pPr>
              <w:rPr>
                <w:rFonts w:ascii="宋体"/>
              </w:rPr>
            </w:pPr>
          </w:p>
        </w:tc>
        <w:tc>
          <w:tcPr>
            <w:tcW w:w="0" w:type="auto"/>
            <w:shd w:val="clear" w:color="auto" w:fill="auto"/>
          </w:tcPr>
          <w:p w14:paraId="33DAA36D" w14:textId="77777777" w:rsidR="004D6A64" w:rsidRDefault="004D6A64">
            <w:pPr>
              <w:rPr>
                <w:rFonts w:ascii="宋体"/>
              </w:rPr>
            </w:pPr>
          </w:p>
        </w:tc>
      </w:tr>
      <w:tr w:rsidR="004D6A64" w14:paraId="33DAA396" w14:textId="77777777">
        <w:tc>
          <w:tcPr>
            <w:tcW w:w="0" w:type="auto"/>
            <w:gridSpan w:val="3"/>
            <w:shd w:val="clear" w:color="auto" w:fill="CCEEFF"/>
            <w:tcMar>
              <w:top w:w="40" w:type="dxa"/>
              <w:left w:w="135" w:type="dxa"/>
              <w:bottom w:w="40" w:type="dxa"/>
              <w:right w:w="20" w:type="dxa"/>
            </w:tcMar>
            <w:vAlign w:val="center"/>
          </w:tcPr>
          <w:p w14:paraId="33DAA36F" w14:textId="77777777" w:rsidR="004D6A64" w:rsidRDefault="00506CD6">
            <w:pPr>
              <w:textAlignment w:val="center"/>
            </w:pPr>
            <w:r>
              <w:rPr>
                <w:rFonts w:ascii="Times New Roman" w:eastAsia="宋体" w:hAnsi="Times New Roman"/>
                <w:color w:val="000000"/>
                <w:sz w:val="20"/>
                <w:szCs w:val="20"/>
              </w:rPr>
              <w:t>Derivative instruments</w:t>
            </w:r>
          </w:p>
        </w:tc>
        <w:tc>
          <w:tcPr>
            <w:tcW w:w="0" w:type="auto"/>
            <w:gridSpan w:val="2"/>
            <w:shd w:val="clear" w:color="auto" w:fill="CCEEFF"/>
            <w:tcMar>
              <w:top w:w="40" w:type="dxa"/>
              <w:left w:w="20" w:type="dxa"/>
              <w:bottom w:w="40" w:type="dxa"/>
              <w:right w:w="0" w:type="dxa"/>
            </w:tcMar>
            <w:vAlign w:val="center"/>
          </w:tcPr>
          <w:p w14:paraId="33DAA370"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A37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37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373" w14:textId="77777777" w:rsidR="004D6A64" w:rsidRDefault="00506CD6">
            <w:pPr>
              <w:jc w:val="right"/>
              <w:textAlignment w:val="center"/>
            </w:pPr>
            <w:r>
              <w:rPr>
                <w:rFonts w:ascii="Times New Roman" w:eastAsia="宋体" w:hAnsi="Times New Roman"/>
                <w:color w:val="000000"/>
                <w:sz w:val="20"/>
                <w:szCs w:val="20"/>
              </w:rPr>
              <w:t>338 </w:t>
            </w:r>
          </w:p>
        </w:tc>
        <w:tc>
          <w:tcPr>
            <w:tcW w:w="0" w:type="auto"/>
            <w:shd w:val="clear" w:color="auto" w:fill="CCEEFF"/>
            <w:tcMar>
              <w:top w:w="40" w:type="dxa"/>
              <w:bottom w:w="40" w:type="dxa"/>
              <w:right w:w="20" w:type="dxa"/>
            </w:tcMar>
            <w:vAlign w:val="center"/>
          </w:tcPr>
          <w:p w14:paraId="33DAA37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37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376"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A37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378"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379" w14:textId="77777777" w:rsidR="004D6A64" w:rsidRDefault="00506CD6">
            <w:pPr>
              <w:jc w:val="right"/>
              <w:textAlignment w:val="center"/>
            </w:pPr>
            <w:r>
              <w:rPr>
                <w:rFonts w:ascii="Times New Roman" w:eastAsia="宋体" w:hAnsi="Times New Roman"/>
                <w:color w:val="000000"/>
                <w:sz w:val="20"/>
                <w:szCs w:val="20"/>
              </w:rPr>
              <w:t>338 </w:t>
            </w:r>
          </w:p>
        </w:tc>
        <w:tc>
          <w:tcPr>
            <w:tcW w:w="0" w:type="auto"/>
            <w:shd w:val="clear" w:color="auto" w:fill="CCEEFF"/>
            <w:tcMar>
              <w:top w:w="40" w:type="dxa"/>
              <w:bottom w:w="40" w:type="dxa"/>
              <w:right w:w="20" w:type="dxa"/>
            </w:tcMar>
            <w:vAlign w:val="center"/>
          </w:tcPr>
          <w:p w14:paraId="33DAA37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37B"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37C"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A37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37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37F" w14:textId="77777777" w:rsidR="004D6A64" w:rsidRDefault="00506CD6">
            <w:pPr>
              <w:jc w:val="right"/>
              <w:textAlignment w:val="center"/>
            </w:pPr>
            <w:r>
              <w:rPr>
                <w:rFonts w:ascii="Times New Roman" w:eastAsia="宋体" w:hAnsi="Times New Roman"/>
                <w:color w:val="000000"/>
                <w:sz w:val="20"/>
                <w:szCs w:val="20"/>
              </w:rPr>
              <w:t>81 </w:t>
            </w:r>
          </w:p>
        </w:tc>
        <w:tc>
          <w:tcPr>
            <w:tcW w:w="0" w:type="auto"/>
            <w:shd w:val="clear" w:color="auto" w:fill="CCEEFF"/>
            <w:tcMar>
              <w:top w:w="40" w:type="dxa"/>
              <w:bottom w:w="40" w:type="dxa"/>
              <w:right w:w="20" w:type="dxa"/>
            </w:tcMar>
            <w:vAlign w:val="center"/>
          </w:tcPr>
          <w:p w14:paraId="33DAA38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381"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382"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A38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384"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385" w14:textId="77777777" w:rsidR="004D6A64" w:rsidRDefault="00506CD6">
            <w:pPr>
              <w:jc w:val="right"/>
              <w:textAlignment w:val="center"/>
            </w:pPr>
            <w:r>
              <w:rPr>
                <w:rFonts w:ascii="Times New Roman" w:eastAsia="宋体" w:hAnsi="Times New Roman"/>
                <w:color w:val="000000"/>
                <w:sz w:val="20"/>
                <w:szCs w:val="20"/>
              </w:rPr>
              <w:t>81 </w:t>
            </w:r>
          </w:p>
        </w:tc>
        <w:tc>
          <w:tcPr>
            <w:tcW w:w="0" w:type="auto"/>
            <w:shd w:val="clear" w:color="auto" w:fill="CCEEFF"/>
            <w:tcMar>
              <w:top w:w="40" w:type="dxa"/>
              <w:bottom w:w="40" w:type="dxa"/>
              <w:right w:w="20" w:type="dxa"/>
            </w:tcMar>
            <w:vAlign w:val="center"/>
          </w:tcPr>
          <w:p w14:paraId="33DAA386" w14:textId="77777777" w:rsidR="004D6A64" w:rsidRDefault="004D6A64">
            <w:pPr>
              <w:jc w:val="right"/>
              <w:rPr>
                <w:rFonts w:ascii="宋体"/>
              </w:rPr>
            </w:pPr>
          </w:p>
        </w:tc>
        <w:tc>
          <w:tcPr>
            <w:tcW w:w="0" w:type="auto"/>
            <w:shd w:val="clear" w:color="auto" w:fill="auto"/>
          </w:tcPr>
          <w:p w14:paraId="33DAA387" w14:textId="77777777" w:rsidR="004D6A64" w:rsidRDefault="004D6A64">
            <w:pPr>
              <w:rPr>
                <w:rFonts w:ascii="宋体"/>
              </w:rPr>
            </w:pPr>
          </w:p>
        </w:tc>
        <w:tc>
          <w:tcPr>
            <w:tcW w:w="0" w:type="auto"/>
            <w:shd w:val="clear" w:color="auto" w:fill="auto"/>
          </w:tcPr>
          <w:p w14:paraId="33DAA388" w14:textId="77777777" w:rsidR="004D6A64" w:rsidRDefault="004D6A64">
            <w:pPr>
              <w:rPr>
                <w:rFonts w:ascii="宋体"/>
              </w:rPr>
            </w:pPr>
          </w:p>
        </w:tc>
        <w:tc>
          <w:tcPr>
            <w:tcW w:w="0" w:type="auto"/>
            <w:shd w:val="clear" w:color="auto" w:fill="auto"/>
          </w:tcPr>
          <w:p w14:paraId="33DAA389" w14:textId="77777777" w:rsidR="004D6A64" w:rsidRDefault="004D6A64">
            <w:pPr>
              <w:rPr>
                <w:rFonts w:ascii="宋体"/>
              </w:rPr>
            </w:pPr>
          </w:p>
        </w:tc>
        <w:tc>
          <w:tcPr>
            <w:tcW w:w="0" w:type="auto"/>
            <w:shd w:val="clear" w:color="auto" w:fill="auto"/>
          </w:tcPr>
          <w:p w14:paraId="33DAA38A" w14:textId="77777777" w:rsidR="004D6A64" w:rsidRDefault="004D6A64">
            <w:pPr>
              <w:rPr>
                <w:rFonts w:ascii="宋体"/>
              </w:rPr>
            </w:pPr>
          </w:p>
        </w:tc>
        <w:tc>
          <w:tcPr>
            <w:tcW w:w="0" w:type="auto"/>
            <w:shd w:val="clear" w:color="auto" w:fill="auto"/>
          </w:tcPr>
          <w:p w14:paraId="33DAA38B" w14:textId="77777777" w:rsidR="004D6A64" w:rsidRDefault="004D6A64">
            <w:pPr>
              <w:rPr>
                <w:rFonts w:ascii="宋体"/>
              </w:rPr>
            </w:pPr>
          </w:p>
        </w:tc>
        <w:tc>
          <w:tcPr>
            <w:tcW w:w="0" w:type="auto"/>
            <w:shd w:val="clear" w:color="auto" w:fill="auto"/>
          </w:tcPr>
          <w:p w14:paraId="33DAA38C" w14:textId="77777777" w:rsidR="004D6A64" w:rsidRDefault="004D6A64">
            <w:pPr>
              <w:rPr>
                <w:rFonts w:ascii="宋体"/>
              </w:rPr>
            </w:pPr>
          </w:p>
        </w:tc>
        <w:tc>
          <w:tcPr>
            <w:tcW w:w="0" w:type="auto"/>
            <w:shd w:val="clear" w:color="auto" w:fill="auto"/>
          </w:tcPr>
          <w:p w14:paraId="33DAA38D" w14:textId="77777777" w:rsidR="004D6A64" w:rsidRDefault="004D6A64">
            <w:pPr>
              <w:rPr>
                <w:rFonts w:ascii="宋体"/>
              </w:rPr>
            </w:pPr>
          </w:p>
        </w:tc>
        <w:tc>
          <w:tcPr>
            <w:tcW w:w="0" w:type="auto"/>
            <w:shd w:val="clear" w:color="auto" w:fill="auto"/>
          </w:tcPr>
          <w:p w14:paraId="33DAA38E" w14:textId="77777777" w:rsidR="004D6A64" w:rsidRDefault="004D6A64">
            <w:pPr>
              <w:rPr>
                <w:rFonts w:ascii="宋体"/>
              </w:rPr>
            </w:pPr>
          </w:p>
        </w:tc>
        <w:tc>
          <w:tcPr>
            <w:tcW w:w="0" w:type="auto"/>
            <w:shd w:val="clear" w:color="auto" w:fill="auto"/>
          </w:tcPr>
          <w:p w14:paraId="33DAA38F" w14:textId="77777777" w:rsidR="004D6A64" w:rsidRDefault="004D6A64">
            <w:pPr>
              <w:rPr>
                <w:rFonts w:ascii="宋体"/>
              </w:rPr>
            </w:pPr>
          </w:p>
        </w:tc>
        <w:tc>
          <w:tcPr>
            <w:tcW w:w="0" w:type="auto"/>
            <w:shd w:val="clear" w:color="auto" w:fill="auto"/>
          </w:tcPr>
          <w:p w14:paraId="33DAA390" w14:textId="77777777" w:rsidR="004D6A64" w:rsidRDefault="004D6A64">
            <w:pPr>
              <w:rPr>
                <w:rFonts w:ascii="宋体"/>
              </w:rPr>
            </w:pPr>
          </w:p>
        </w:tc>
        <w:tc>
          <w:tcPr>
            <w:tcW w:w="0" w:type="auto"/>
            <w:shd w:val="clear" w:color="auto" w:fill="auto"/>
          </w:tcPr>
          <w:p w14:paraId="33DAA391" w14:textId="77777777" w:rsidR="004D6A64" w:rsidRDefault="004D6A64">
            <w:pPr>
              <w:rPr>
                <w:rFonts w:ascii="宋体"/>
              </w:rPr>
            </w:pPr>
          </w:p>
        </w:tc>
        <w:tc>
          <w:tcPr>
            <w:tcW w:w="0" w:type="auto"/>
            <w:shd w:val="clear" w:color="auto" w:fill="auto"/>
          </w:tcPr>
          <w:p w14:paraId="33DAA392" w14:textId="77777777" w:rsidR="004D6A64" w:rsidRDefault="004D6A64">
            <w:pPr>
              <w:rPr>
                <w:rFonts w:ascii="宋体"/>
              </w:rPr>
            </w:pPr>
          </w:p>
        </w:tc>
        <w:tc>
          <w:tcPr>
            <w:tcW w:w="0" w:type="auto"/>
            <w:shd w:val="clear" w:color="auto" w:fill="auto"/>
          </w:tcPr>
          <w:p w14:paraId="33DAA393" w14:textId="77777777" w:rsidR="004D6A64" w:rsidRDefault="004D6A64">
            <w:pPr>
              <w:rPr>
                <w:rFonts w:ascii="宋体"/>
              </w:rPr>
            </w:pPr>
          </w:p>
        </w:tc>
        <w:tc>
          <w:tcPr>
            <w:tcW w:w="0" w:type="auto"/>
            <w:shd w:val="clear" w:color="auto" w:fill="auto"/>
          </w:tcPr>
          <w:p w14:paraId="33DAA394" w14:textId="77777777" w:rsidR="004D6A64" w:rsidRDefault="004D6A64">
            <w:pPr>
              <w:rPr>
                <w:rFonts w:ascii="宋体"/>
              </w:rPr>
            </w:pPr>
          </w:p>
        </w:tc>
        <w:tc>
          <w:tcPr>
            <w:tcW w:w="0" w:type="auto"/>
            <w:shd w:val="clear" w:color="auto" w:fill="auto"/>
          </w:tcPr>
          <w:p w14:paraId="33DAA395" w14:textId="77777777" w:rsidR="004D6A64" w:rsidRDefault="004D6A64">
            <w:pPr>
              <w:rPr>
                <w:rFonts w:ascii="宋体"/>
              </w:rPr>
            </w:pPr>
          </w:p>
        </w:tc>
      </w:tr>
      <w:tr w:rsidR="00506CD6" w14:paraId="33DAA3C6" w14:textId="77777777">
        <w:tc>
          <w:tcPr>
            <w:tcW w:w="0" w:type="auto"/>
            <w:gridSpan w:val="3"/>
            <w:shd w:val="clear" w:color="auto" w:fill="FFFFFF"/>
            <w:tcMar>
              <w:top w:w="40" w:type="dxa"/>
              <w:left w:w="225" w:type="dxa"/>
              <w:bottom w:w="40" w:type="dxa"/>
              <w:right w:w="20" w:type="dxa"/>
            </w:tcMar>
            <w:vAlign w:val="center"/>
          </w:tcPr>
          <w:p w14:paraId="33DAA397" w14:textId="77777777" w:rsidR="004D6A64" w:rsidRDefault="00506CD6">
            <w:pPr>
              <w:textAlignment w:val="center"/>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FFFFFF"/>
            <w:tcMar>
              <w:top w:w="40" w:type="dxa"/>
              <w:left w:w="20" w:type="dxa"/>
              <w:bottom w:w="40" w:type="dxa"/>
            </w:tcMar>
            <w:vAlign w:val="center"/>
          </w:tcPr>
          <w:p w14:paraId="33DAA398"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A399" w14:textId="77777777" w:rsidR="004D6A64" w:rsidRDefault="00506CD6">
            <w:pPr>
              <w:jc w:val="right"/>
              <w:textAlignment w:val="center"/>
            </w:pPr>
            <w:r>
              <w:rPr>
                <w:rFonts w:ascii="Times New Roman" w:eastAsia="宋体" w:hAnsi="Times New Roman"/>
                <w:color w:val="000000"/>
                <w:sz w:val="20"/>
                <w:szCs w:val="20"/>
              </w:rPr>
              <w:t>5,966 </w:t>
            </w:r>
          </w:p>
        </w:tc>
        <w:tc>
          <w:tcPr>
            <w:tcW w:w="0" w:type="auto"/>
            <w:tcBorders>
              <w:top w:val="single" w:sz="8" w:space="0" w:color="000000"/>
            </w:tcBorders>
            <w:shd w:val="clear" w:color="auto" w:fill="FFFFFF"/>
            <w:tcMar>
              <w:top w:w="40" w:type="dxa"/>
              <w:bottom w:w="40" w:type="dxa"/>
              <w:right w:w="20" w:type="dxa"/>
            </w:tcMar>
            <w:vAlign w:val="center"/>
          </w:tcPr>
          <w:p w14:paraId="33DAA39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39B"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A39C"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A39D" w14:textId="77777777" w:rsidR="004D6A64" w:rsidRDefault="00506CD6">
            <w:pPr>
              <w:jc w:val="right"/>
              <w:textAlignment w:val="center"/>
            </w:pPr>
            <w:r>
              <w:rPr>
                <w:rFonts w:ascii="Times New Roman" w:eastAsia="宋体" w:hAnsi="Times New Roman"/>
                <w:color w:val="000000"/>
                <w:sz w:val="20"/>
                <w:szCs w:val="20"/>
              </w:rPr>
              <w:t>338 </w:t>
            </w:r>
          </w:p>
        </w:tc>
        <w:tc>
          <w:tcPr>
            <w:tcW w:w="0" w:type="auto"/>
            <w:tcBorders>
              <w:top w:val="single" w:sz="8" w:space="0" w:color="000000"/>
            </w:tcBorders>
            <w:shd w:val="clear" w:color="auto" w:fill="FFFFFF"/>
            <w:tcMar>
              <w:top w:w="40" w:type="dxa"/>
              <w:bottom w:w="40" w:type="dxa"/>
              <w:right w:w="20" w:type="dxa"/>
            </w:tcMar>
            <w:vAlign w:val="center"/>
          </w:tcPr>
          <w:p w14:paraId="33DAA39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39F"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A3A0"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A3A1" w14:textId="77777777" w:rsidR="004D6A64" w:rsidRDefault="00506CD6">
            <w:pPr>
              <w:jc w:val="right"/>
              <w:textAlignment w:val="center"/>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bottom w:w="40" w:type="dxa"/>
              <w:right w:w="20" w:type="dxa"/>
            </w:tcMar>
            <w:vAlign w:val="center"/>
          </w:tcPr>
          <w:p w14:paraId="33DAA3A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3A3"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A3A4"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A3A5" w14:textId="77777777" w:rsidR="004D6A64" w:rsidRDefault="00506CD6">
            <w:pPr>
              <w:jc w:val="right"/>
              <w:textAlignment w:val="center"/>
            </w:pPr>
            <w:r>
              <w:rPr>
                <w:rFonts w:ascii="Times New Roman" w:eastAsia="宋体" w:hAnsi="Times New Roman"/>
                <w:color w:val="000000"/>
                <w:sz w:val="20"/>
                <w:szCs w:val="20"/>
              </w:rPr>
              <w:t>6,304 </w:t>
            </w:r>
          </w:p>
        </w:tc>
        <w:tc>
          <w:tcPr>
            <w:tcW w:w="0" w:type="auto"/>
            <w:tcBorders>
              <w:top w:val="single" w:sz="8" w:space="0" w:color="000000"/>
            </w:tcBorders>
            <w:shd w:val="clear" w:color="auto" w:fill="FFFFFF"/>
            <w:tcMar>
              <w:top w:w="40" w:type="dxa"/>
              <w:bottom w:w="40" w:type="dxa"/>
              <w:right w:w="20" w:type="dxa"/>
            </w:tcMar>
            <w:vAlign w:val="center"/>
          </w:tcPr>
          <w:p w14:paraId="33DAA3A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3A7"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A3A8"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A3A9" w14:textId="77777777" w:rsidR="004D6A64" w:rsidRDefault="00506CD6">
            <w:pPr>
              <w:jc w:val="right"/>
              <w:textAlignment w:val="center"/>
            </w:pPr>
            <w:r>
              <w:rPr>
                <w:rFonts w:ascii="Times New Roman" w:eastAsia="宋体" w:hAnsi="Times New Roman"/>
                <w:color w:val="000000"/>
                <w:sz w:val="20"/>
                <w:szCs w:val="20"/>
              </w:rPr>
              <w:t>4,633 </w:t>
            </w:r>
          </w:p>
        </w:tc>
        <w:tc>
          <w:tcPr>
            <w:tcW w:w="0" w:type="auto"/>
            <w:tcBorders>
              <w:top w:val="single" w:sz="8" w:space="0" w:color="000000"/>
            </w:tcBorders>
            <w:shd w:val="clear" w:color="auto" w:fill="FFFFFF"/>
            <w:tcMar>
              <w:top w:w="40" w:type="dxa"/>
              <w:bottom w:w="40" w:type="dxa"/>
              <w:right w:w="20" w:type="dxa"/>
            </w:tcMar>
            <w:vAlign w:val="center"/>
          </w:tcPr>
          <w:p w14:paraId="33DAA3A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3AB"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A3AC"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A3AD" w14:textId="77777777" w:rsidR="004D6A64" w:rsidRDefault="00506CD6">
            <w:pPr>
              <w:jc w:val="right"/>
              <w:textAlignment w:val="center"/>
            </w:pPr>
            <w:r>
              <w:rPr>
                <w:rFonts w:ascii="Times New Roman" w:eastAsia="宋体" w:hAnsi="Times New Roman"/>
                <w:color w:val="000000"/>
                <w:sz w:val="20"/>
                <w:szCs w:val="20"/>
              </w:rPr>
              <w:t>81 </w:t>
            </w:r>
          </w:p>
        </w:tc>
        <w:tc>
          <w:tcPr>
            <w:tcW w:w="0" w:type="auto"/>
            <w:tcBorders>
              <w:top w:val="single" w:sz="8" w:space="0" w:color="000000"/>
            </w:tcBorders>
            <w:shd w:val="clear" w:color="auto" w:fill="FFFFFF"/>
            <w:tcMar>
              <w:top w:w="40" w:type="dxa"/>
              <w:bottom w:w="40" w:type="dxa"/>
              <w:right w:w="20" w:type="dxa"/>
            </w:tcMar>
            <w:vAlign w:val="center"/>
          </w:tcPr>
          <w:p w14:paraId="33DAA3A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3AF"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A3B0"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A3B1" w14:textId="77777777" w:rsidR="004D6A64" w:rsidRDefault="00506CD6">
            <w:pPr>
              <w:jc w:val="right"/>
              <w:textAlignment w:val="center"/>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bottom w:w="40" w:type="dxa"/>
              <w:right w:w="20" w:type="dxa"/>
            </w:tcMar>
            <w:vAlign w:val="center"/>
          </w:tcPr>
          <w:p w14:paraId="33DAA3B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3B3"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A3B4"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A3B5" w14:textId="77777777" w:rsidR="004D6A64" w:rsidRDefault="00506CD6">
            <w:pPr>
              <w:jc w:val="right"/>
              <w:textAlignment w:val="center"/>
            </w:pPr>
            <w:r>
              <w:rPr>
                <w:rFonts w:ascii="Times New Roman" w:eastAsia="宋体" w:hAnsi="Times New Roman"/>
                <w:color w:val="000000"/>
                <w:sz w:val="20"/>
                <w:szCs w:val="20"/>
              </w:rPr>
              <w:t>4,714 </w:t>
            </w:r>
          </w:p>
        </w:tc>
        <w:tc>
          <w:tcPr>
            <w:tcW w:w="0" w:type="auto"/>
            <w:tcBorders>
              <w:top w:val="single" w:sz="8" w:space="0" w:color="000000"/>
            </w:tcBorders>
            <w:shd w:val="clear" w:color="auto" w:fill="FFFFFF"/>
            <w:tcMar>
              <w:top w:w="40" w:type="dxa"/>
              <w:bottom w:w="40" w:type="dxa"/>
              <w:right w:w="20" w:type="dxa"/>
            </w:tcMar>
            <w:vAlign w:val="center"/>
          </w:tcPr>
          <w:p w14:paraId="33DAA3B6" w14:textId="77777777" w:rsidR="004D6A64" w:rsidRDefault="004D6A64">
            <w:pPr>
              <w:jc w:val="right"/>
              <w:rPr>
                <w:rFonts w:ascii="宋体"/>
              </w:rPr>
            </w:pPr>
          </w:p>
        </w:tc>
        <w:tc>
          <w:tcPr>
            <w:tcW w:w="0" w:type="auto"/>
            <w:shd w:val="clear" w:color="auto" w:fill="auto"/>
          </w:tcPr>
          <w:p w14:paraId="33DAA3B7" w14:textId="77777777" w:rsidR="004D6A64" w:rsidRDefault="004D6A64">
            <w:pPr>
              <w:rPr>
                <w:rFonts w:ascii="宋体"/>
              </w:rPr>
            </w:pPr>
          </w:p>
        </w:tc>
        <w:tc>
          <w:tcPr>
            <w:tcW w:w="0" w:type="auto"/>
            <w:shd w:val="clear" w:color="auto" w:fill="auto"/>
          </w:tcPr>
          <w:p w14:paraId="33DAA3B8" w14:textId="77777777" w:rsidR="004D6A64" w:rsidRDefault="004D6A64">
            <w:pPr>
              <w:rPr>
                <w:rFonts w:ascii="宋体"/>
              </w:rPr>
            </w:pPr>
          </w:p>
        </w:tc>
        <w:tc>
          <w:tcPr>
            <w:tcW w:w="0" w:type="auto"/>
            <w:shd w:val="clear" w:color="auto" w:fill="auto"/>
          </w:tcPr>
          <w:p w14:paraId="33DAA3B9" w14:textId="77777777" w:rsidR="004D6A64" w:rsidRDefault="004D6A64">
            <w:pPr>
              <w:rPr>
                <w:rFonts w:ascii="宋体"/>
              </w:rPr>
            </w:pPr>
          </w:p>
        </w:tc>
        <w:tc>
          <w:tcPr>
            <w:tcW w:w="0" w:type="auto"/>
            <w:shd w:val="clear" w:color="auto" w:fill="auto"/>
          </w:tcPr>
          <w:p w14:paraId="33DAA3BA" w14:textId="77777777" w:rsidR="004D6A64" w:rsidRDefault="004D6A64">
            <w:pPr>
              <w:rPr>
                <w:rFonts w:ascii="宋体"/>
              </w:rPr>
            </w:pPr>
          </w:p>
        </w:tc>
        <w:tc>
          <w:tcPr>
            <w:tcW w:w="0" w:type="auto"/>
            <w:shd w:val="clear" w:color="auto" w:fill="auto"/>
          </w:tcPr>
          <w:p w14:paraId="33DAA3BB" w14:textId="77777777" w:rsidR="004D6A64" w:rsidRDefault="004D6A64">
            <w:pPr>
              <w:rPr>
                <w:rFonts w:ascii="宋体"/>
              </w:rPr>
            </w:pPr>
          </w:p>
        </w:tc>
        <w:tc>
          <w:tcPr>
            <w:tcW w:w="0" w:type="auto"/>
            <w:shd w:val="clear" w:color="auto" w:fill="auto"/>
          </w:tcPr>
          <w:p w14:paraId="33DAA3BC" w14:textId="77777777" w:rsidR="004D6A64" w:rsidRDefault="004D6A64">
            <w:pPr>
              <w:rPr>
                <w:rFonts w:ascii="宋体"/>
              </w:rPr>
            </w:pPr>
          </w:p>
        </w:tc>
        <w:tc>
          <w:tcPr>
            <w:tcW w:w="0" w:type="auto"/>
            <w:shd w:val="clear" w:color="auto" w:fill="auto"/>
          </w:tcPr>
          <w:p w14:paraId="33DAA3BD" w14:textId="77777777" w:rsidR="004D6A64" w:rsidRDefault="004D6A64">
            <w:pPr>
              <w:rPr>
                <w:rFonts w:ascii="宋体"/>
              </w:rPr>
            </w:pPr>
          </w:p>
        </w:tc>
        <w:tc>
          <w:tcPr>
            <w:tcW w:w="0" w:type="auto"/>
            <w:shd w:val="clear" w:color="auto" w:fill="auto"/>
          </w:tcPr>
          <w:p w14:paraId="33DAA3BE" w14:textId="77777777" w:rsidR="004D6A64" w:rsidRDefault="004D6A64">
            <w:pPr>
              <w:rPr>
                <w:rFonts w:ascii="宋体"/>
              </w:rPr>
            </w:pPr>
          </w:p>
        </w:tc>
        <w:tc>
          <w:tcPr>
            <w:tcW w:w="0" w:type="auto"/>
            <w:shd w:val="clear" w:color="auto" w:fill="auto"/>
          </w:tcPr>
          <w:p w14:paraId="33DAA3BF" w14:textId="77777777" w:rsidR="004D6A64" w:rsidRDefault="004D6A64">
            <w:pPr>
              <w:rPr>
                <w:rFonts w:ascii="宋体"/>
              </w:rPr>
            </w:pPr>
          </w:p>
        </w:tc>
        <w:tc>
          <w:tcPr>
            <w:tcW w:w="0" w:type="auto"/>
            <w:shd w:val="clear" w:color="auto" w:fill="auto"/>
          </w:tcPr>
          <w:p w14:paraId="33DAA3C0" w14:textId="77777777" w:rsidR="004D6A64" w:rsidRDefault="004D6A64">
            <w:pPr>
              <w:rPr>
                <w:rFonts w:ascii="宋体"/>
              </w:rPr>
            </w:pPr>
          </w:p>
        </w:tc>
        <w:tc>
          <w:tcPr>
            <w:tcW w:w="0" w:type="auto"/>
            <w:shd w:val="clear" w:color="auto" w:fill="auto"/>
          </w:tcPr>
          <w:p w14:paraId="33DAA3C1" w14:textId="77777777" w:rsidR="004D6A64" w:rsidRDefault="004D6A64">
            <w:pPr>
              <w:rPr>
                <w:rFonts w:ascii="宋体"/>
              </w:rPr>
            </w:pPr>
          </w:p>
        </w:tc>
        <w:tc>
          <w:tcPr>
            <w:tcW w:w="0" w:type="auto"/>
            <w:shd w:val="clear" w:color="auto" w:fill="auto"/>
          </w:tcPr>
          <w:p w14:paraId="33DAA3C2" w14:textId="77777777" w:rsidR="004D6A64" w:rsidRDefault="004D6A64">
            <w:pPr>
              <w:rPr>
                <w:rFonts w:ascii="宋体"/>
              </w:rPr>
            </w:pPr>
          </w:p>
        </w:tc>
        <w:tc>
          <w:tcPr>
            <w:tcW w:w="0" w:type="auto"/>
            <w:shd w:val="clear" w:color="auto" w:fill="auto"/>
          </w:tcPr>
          <w:p w14:paraId="33DAA3C3" w14:textId="77777777" w:rsidR="004D6A64" w:rsidRDefault="004D6A64">
            <w:pPr>
              <w:rPr>
                <w:rFonts w:ascii="宋体"/>
              </w:rPr>
            </w:pPr>
          </w:p>
        </w:tc>
        <w:tc>
          <w:tcPr>
            <w:tcW w:w="0" w:type="auto"/>
            <w:shd w:val="clear" w:color="auto" w:fill="auto"/>
          </w:tcPr>
          <w:p w14:paraId="33DAA3C4" w14:textId="77777777" w:rsidR="004D6A64" w:rsidRDefault="004D6A64">
            <w:pPr>
              <w:rPr>
                <w:rFonts w:ascii="宋体"/>
              </w:rPr>
            </w:pPr>
          </w:p>
        </w:tc>
        <w:tc>
          <w:tcPr>
            <w:tcW w:w="0" w:type="auto"/>
            <w:shd w:val="clear" w:color="auto" w:fill="auto"/>
          </w:tcPr>
          <w:p w14:paraId="33DAA3C5" w14:textId="77777777" w:rsidR="004D6A64" w:rsidRDefault="004D6A64">
            <w:pPr>
              <w:rPr>
                <w:rFonts w:ascii="宋体"/>
              </w:rPr>
            </w:pPr>
          </w:p>
        </w:tc>
      </w:tr>
      <w:tr w:rsidR="004D6A64" w14:paraId="33DAA3E6" w14:textId="77777777">
        <w:tc>
          <w:tcPr>
            <w:tcW w:w="0" w:type="auto"/>
            <w:gridSpan w:val="3"/>
            <w:shd w:val="clear" w:color="auto" w:fill="CCEEFF"/>
            <w:tcMar>
              <w:top w:w="40" w:type="dxa"/>
              <w:left w:w="20" w:type="dxa"/>
              <w:bottom w:w="40" w:type="dxa"/>
              <w:right w:w="20" w:type="dxa"/>
            </w:tcMar>
            <w:vAlign w:val="center"/>
          </w:tcPr>
          <w:p w14:paraId="33DAA3C7" w14:textId="77777777" w:rsidR="004D6A64" w:rsidRDefault="00506CD6">
            <w:pPr>
              <w:textAlignment w:val="center"/>
            </w:pPr>
            <w:r>
              <w:rPr>
                <w:rFonts w:ascii="Times New Roman" w:eastAsia="宋体" w:hAnsi="Times New Roman"/>
                <w:i/>
                <w:iCs/>
                <w:color w:val="000000"/>
                <w:sz w:val="20"/>
                <w:szCs w:val="20"/>
              </w:rPr>
              <w:t>Liabilities:</w:t>
            </w:r>
          </w:p>
        </w:tc>
        <w:tc>
          <w:tcPr>
            <w:tcW w:w="0" w:type="auto"/>
            <w:gridSpan w:val="3"/>
            <w:tcBorders>
              <w:top w:val="double" w:sz="6" w:space="0" w:color="000000"/>
            </w:tcBorders>
            <w:shd w:val="clear" w:color="auto" w:fill="CCEEFF"/>
            <w:tcMar>
              <w:top w:w="40" w:type="dxa"/>
              <w:left w:w="20" w:type="dxa"/>
              <w:bottom w:w="40" w:type="dxa"/>
              <w:right w:w="20" w:type="dxa"/>
            </w:tcMar>
            <w:vAlign w:val="center"/>
          </w:tcPr>
          <w:p w14:paraId="33DAA3C8" w14:textId="77777777" w:rsidR="004D6A64" w:rsidRDefault="00506CD6">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left w:w="20" w:type="dxa"/>
              <w:right w:w="20" w:type="dxa"/>
            </w:tcMar>
            <w:vAlign w:val="bottom"/>
          </w:tcPr>
          <w:p w14:paraId="33DAA3C9" w14:textId="77777777" w:rsidR="004D6A64" w:rsidRDefault="004D6A64">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center"/>
          </w:tcPr>
          <w:p w14:paraId="33DAA3CA" w14:textId="77777777" w:rsidR="004D6A64" w:rsidRDefault="00506CD6">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left w:w="20" w:type="dxa"/>
              <w:right w:w="20" w:type="dxa"/>
            </w:tcMar>
            <w:vAlign w:val="bottom"/>
          </w:tcPr>
          <w:p w14:paraId="33DAA3CB" w14:textId="77777777" w:rsidR="004D6A64" w:rsidRDefault="004D6A64">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center"/>
          </w:tcPr>
          <w:p w14:paraId="33DAA3CC" w14:textId="77777777" w:rsidR="004D6A64" w:rsidRDefault="00506CD6">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left w:w="20" w:type="dxa"/>
              <w:right w:w="20" w:type="dxa"/>
            </w:tcMar>
            <w:vAlign w:val="bottom"/>
          </w:tcPr>
          <w:p w14:paraId="33DAA3CD" w14:textId="77777777" w:rsidR="004D6A64" w:rsidRDefault="004D6A64">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center"/>
          </w:tcPr>
          <w:p w14:paraId="33DAA3CE" w14:textId="77777777" w:rsidR="004D6A64" w:rsidRDefault="00506CD6">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left w:w="20" w:type="dxa"/>
              <w:right w:w="20" w:type="dxa"/>
            </w:tcMar>
            <w:vAlign w:val="bottom"/>
          </w:tcPr>
          <w:p w14:paraId="33DAA3CF" w14:textId="77777777" w:rsidR="004D6A64" w:rsidRDefault="004D6A64">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center"/>
          </w:tcPr>
          <w:p w14:paraId="33DAA3D0" w14:textId="77777777" w:rsidR="004D6A64" w:rsidRDefault="00506CD6">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left w:w="20" w:type="dxa"/>
              <w:right w:w="20" w:type="dxa"/>
            </w:tcMar>
            <w:vAlign w:val="bottom"/>
          </w:tcPr>
          <w:p w14:paraId="33DAA3D1" w14:textId="77777777" w:rsidR="004D6A64" w:rsidRDefault="004D6A64">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center"/>
          </w:tcPr>
          <w:p w14:paraId="33DAA3D2" w14:textId="77777777" w:rsidR="004D6A64" w:rsidRDefault="00506CD6">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left w:w="20" w:type="dxa"/>
              <w:right w:w="20" w:type="dxa"/>
            </w:tcMar>
            <w:vAlign w:val="bottom"/>
          </w:tcPr>
          <w:p w14:paraId="33DAA3D3" w14:textId="77777777" w:rsidR="004D6A64" w:rsidRDefault="004D6A64">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center"/>
          </w:tcPr>
          <w:p w14:paraId="33DAA3D4" w14:textId="77777777" w:rsidR="004D6A64" w:rsidRDefault="00506CD6">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left w:w="20" w:type="dxa"/>
              <w:right w:w="20" w:type="dxa"/>
            </w:tcMar>
            <w:vAlign w:val="bottom"/>
          </w:tcPr>
          <w:p w14:paraId="33DAA3D5" w14:textId="77777777" w:rsidR="004D6A64" w:rsidRDefault="004D6A64">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center"/>
          </w:tcPr>
          <w:p w14:paraId="33DAA3D6"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auto"/>
          </w:tcPr>
          <w:p w14:paraId="33DAA3D7" w14:textId="77777777" w:rsidR="004D6A64" w:rsidRDefault="004D6A64">
            <w:pPr>
              <w:rPr>
                <w:rFonts w:ascii="宋体"/>
              </w:rPr>
            </w:pPr>
          </w:p>
        </w:tc>
        <w:tc>
          <w:tcPr>
            <w:tcW w:w="0" w:type="auto"/>
            <w:shd w:val="clear" w:color="auto" w:fill="auto"/>
          </w:tcPr>
          <w:p w14:paraId="33DAA3D8" w14:textId="77777777" w:rsidR="004D6A64" w:rsidRDefault="004D6A64">
            <w:pPr>
              <w:rPr>
                <w:rFonts w:ascii="宋体"/>
              </w:rPr>
            </w:pPr>
          </w:p>
        </w:tc>
        <w:tc>
          <w:tcPr>
            <w:tcW w:w="0" w:type="auto"/>
            <w:shd w:val="clear" w:color="auto" w:fill="auto"/>
          </w:tcPr>
          <w:p w14:paraId="33DAA3D9" w14:textId="77777777" w:rsidR="004D6A64" w:rsidRDefault="004D6A64">
            <w:pPr>
              <w:rPr>
                <w:rFonts w:ascii="宋体"/>
              </w:rPr>
            </w:pPr>
          </w:p>
        </w:tc>
        <w:tc>
          <w:tcPr>
            <w:tcW w:w="0" w:type="auto"/>
            <w:shd w:val="clear" w:color="auto" w:fill="auto"/>
          </w:tcPr>
          <w:p w14:paraId="33DAA3DA" w14:textId="77777777" w:rsidR="004D6A64" w:rsidRDefault="004D6A64">
            <w:pPr>
              <w:rPr>
                <w:rFonts w:ascii="宋体"/>
              </w:rPr>
            </w:pPr>
          </w:p>
        </w:tc>
        <w:tc>
          <w:tcPr>
            <w:tcW w:w="0" w:type="auto"/>
            <w:shd w:val="clear" w:color="auto" w:fill="auto"/>
          </w:tcPr>
          <w:p w14:paraId="33DAA3DB" w14:textId="77777777" w:rsidR="004D6A64" w:rsidRDefault="004D6A64">
            <w:pPr>
              <w:rPr>
                <w:rFonts w:ascii="宋体"/>
              </w:rPr>
            </w:pPr>
          </w:p>
        </w:tc>
        <w:tc>
          <w:tcPr>
            <w:tcW w:w="0" w:type="auto"/>
            <w:shd w:val="clear" w:color="auto" w:fill="auto"/>
          </w:tcPr>
          <w:p w14:paraId="33DAA3DC" w14:textId="77777777" w:rsidR="004D6A64" w:rsidRDefault="004D6A64">
            <w:pPr>
              <w:rPr>
                <w:rFonts w:ascii="宋体"/>
              </w:rPr>
            </w:pPr>
          </w:p>
        </w:tc>
        <w:tc>
          <w:tcPr>
            <w:tcW w:w="0" w:type="auto"/>
            <w:shd w:val="clear" w:color="auto" w:fill="auto"/>
          </w:tcPr>
          <w:p w14:paraId="33DAA3DD" w14:textId="77777777" w:rsidR="004D6A64" w:rsidRDefault="004D6A64">
            <w:pPr>
              <w:rPr>
                <w:rFonts w:ascii="宋体"/>
              </w:rPr>
            </w:pPr>
          </w:p>
        </w:tc>
        <w:tc>
          <w:tcPr>
            <w:tcW w:w="0" w:type="auto"/>
            <w:shd w:val="clear" w:color="auto" w:fill="auto"/>
          </w:tcPr>
          <w:p w14:paraId="33DAA3DE" w14:textId="77777777" w:rsidR="004D6A64" w:rsidRDefault="004D6A64">
            <w:pPr>
              <w:rPr>
                <w:rFonts w:ascii="宋体"/>
              </w:rPr>
            </w:pPr>
          </w:p>
        </w:tc>
        <w:tc>
          <w:tcPr>
            <w:tcW w:w="0" w:type="auto"/>
            <w:shd w:val="clear" w:color="auto" w:fill="auto"/>
          </w:tcPr>
          <w:p w14:paraId="33DAA3DF" w14:textId="77777777" w:rsidR="004D6A64" w:rsidRDefault="004D6A64">
            <w:pPr>
              <w:rPr>
                <w:rFonts w:ascii="宋体"/>
              </w:rPr>
            </w:pPr>
          </w:p>
        </w:tc>
        <w:tc>
          <w:tcPr>
            <w:tcW w:w="0" w:type="auto"/>
            <w:shd w:val="clear" w:color="auto" w:fill="auto"/>
          </w:tcPr>
          <w:p w14:paraId="33DAA3E0" w14:textId="77777777" w:rsidR="004D6A64" w:rsidRDefault="004D6A64">
            <w:pPr>
              <w:rPr>
                <w:rFonts w:ascii="宋体"/>
              </w:rPr>
            </w:pPr>
          </w:p>
        </w:tc>
        <w:tc>
          <w:tcPr>
            <w:tcW w:w="0" w:type="auto"/>
            <w:shd w:val="clear" w:color="auto" w:fill="auto"/>
          </w:tcPr>
          <w:p w14:paraId="33DAA3E1" w14:textId="77777777" w:rsidR="004D6A64" w:rsidRDefault="004D6A64">
            <w:pPr>
              <w:rPr>
                <w:rFonts w:ascii="宋体"/>
              </w:rPr>
            </w:pPr>
          </w:p>
        </w:tc>
        <w:tc>
          <w:tcPr>
            <w:tcW w:w="0" w:type="auto"/>
            <w:shd w:val="clear" w:color="auto" w:fill="auto"/>
          </w:tcPr>
          <w:p w14:paraId="33DAA3E2" w14:textId="77777777" w:rsidR="004D6A64" w:rsidRDefault="004D6A64">
            <w:pPr>
              <w:rPr>
                <w:rFonts w:ascii="宋体"/>
              </w:rPr>
            </w:pPr>
          </w:p>
        </w:tc>
        <w:tc>
          <w:tcPr>
            <w:tcW w:w="0" w:type="auto"/>
            <w:shd w:val="clear" w:color="auto" w:fill="auto"/>
          </w:tcPr>
          <w:p w14:paraId="33DAA3E3" w14:textId="77777777" w:rsidR="004D6A64" w:rsidRDefault="004D6A64">
            <w:pPr>
              <w:rPr>
                <w:rFonts w:ascii="宋体"/>
              </w:rPr>
            </w:pPr>
          </w:p>
        </w:tc>
        <w:tc>
          <w:tcPr>
            <w:tcW w:w="0" w:type="auto"/>
            <w:shd w:val="clear" w:color="auto" w:fill="auto"/>
          </w:tcPr>
          <w:p w14:paraId="33DAA3E4" w14:textId="77777777" w:rsidR="004D6A64" w:rsidRDefault="004D6A64">
            <w:pPr>
              <w:rPr>
                <w:rFonts w:ascii="宋体"/>
              </w:rPr>
            </w:pPr>
          </w:p>
        </w:tc>
        <w:tc>
          <w:tcPr>
            <w:tcW w:w="0" w:type="auto"/>
            <w:shd w:val="clear" w:color="auto" w:fill="auto"/>
          </w:tcPr>
          <w:p w14:paraId="33DAA3E5" w14:textId="77777777" w:rsidR="004D6A64" w:rsidRDefault="004D6A64">
            <w:pPr>
              <w:rPr>
                <w:rFonts w:ascii="宋体"/>
              </w:rPr>
            </w:pPr>
          </w:p>
        </w:tc>
      </w:tr>
      <w:tr w:rsidR="00506CD6" w14:paraId="33DAA416" w14:textId="77777777">
        <w:tc>
          <w:tcPr>
            <w:tcW w:w="0" w:type="auto"/>
            <w:gridSpan w:val="3"/>
            <w:shd w:val="clear" w:color="auto" w:fill="FFFFFF"/>
            <w:tcMar>
              <w:top w:w="40" w:type="dxa"/>
              <w:left w:w="120" w:type="dxa"/>
              <w:bottom w:w="40" w:type="dxa"/>
              <w:right w:w="20" w:type="dxa"/>
            </w:tcMar>
            <w:vAlign w:val="center"/>
          </w:tcPr>
          <w:p w14:paraId="33DAA3E7" w14:textId="77777777" w:rsidR="004D6A64" w:rsidRDefault="00506CD6">
            <w:pPr>
              <w:textAlignment w:val="center"/>
            </w:pPr>
            <w:r>
              <w:rPr>
                <w:rFonts w:ascii="Times New Roman" w:eastAsia="宋体" w:hAnsi="Times New Roman"/>
                <w:color w:val="000000"/>
                <w:sz w:val="20"/>
                <w:szCs w:val="20"/>
              </w:rPr>
              <w:t>Derivative instruments</w:t>
            </w:r>
          </w:p>
        </w:tc>
        <w:tc>
          <w:tcPr>
            <w:tcW w:w="0" w:type="auto"/>
            <w:shd w:val="clear" w:color="auto" w:fill="FFFFFF"/>
            <w:tcMar>
              <w:top w:w="40" w:type="dxa"/>
              <w:left w:w="20" w:type="dxa"/>
              <w:bottom w:w="40" w:type="dxa"/>
            </w:tcMar>
            <w:vAlign w:val="center"/>
          </w:tcPr>
          <w:p w14:paraId="33DAA3E8"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3E9"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A3E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3EB"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A3EC"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3ED" w14:textId="77777777" w:rsidR="004D6A64" w:rsidRDefault="00506CD6">
            <w:pPr>
              <w:jc w:val="right"/>
              <w:textAlignment w:val="center"/>
            </w:pPr>
            <w:r>
              <w:rPr>
                <w:rFonts w:ascii="Times New Roman" w:eastAsia="宋体" w:hAnsi="Times New Roman"/>
                <w:color w:val="000000"/>
                <w:sz w:val="20"/>
                <w:szCs w:val="20"/>
              </w:rPr>
              <w:t>319 </w:t>
            </w:r>
          </w:p>
        </w:tc>
        <w:tc>
          <w:tcPr>
            <w:tcW w:w="0" w:type="auto"/>
            <w:shd w:val="clear" w:color="auto" w:fill="FFFFFF"/>
            <w:tcMar>
              <w:top w:w="40" w:type="dxa"/>
              <w:bottom w:w="40" w:type="dxa"/>
              <w:right w:w="20" w:type="dxa"/>
            </w:tcMar>
            <w:vAlign w:val="center"/>
          </w:tcPr>
          <w:p w14:paraId="33DAA3E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3EF"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A3F0"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3F1"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A3F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3F3"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A3F4"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3F5" w14:textId="77777777" w:rsidR="004D6A64" w:rsidRDefault="00506CD6">
            <w:pPr>
              <w:jc w:val="right"/>
              <w:textAlignment w:val="center"/>
            </w:pPr>
            <w:r>
              <w:rPr>
                <w:rFonts w:ascii="Times New Roman" w:eastAsia="宋体" w:hAnsi="Times New Roman"/>
                <w:color w:val="000000"/>
                <w:sz w:val="20"/>
                <w:szCs w:val="20"/>
              </w:rPr>
              <w:t>319 </w:t>
            </w:r>
          </w:p>
        </w:tc>
        <w:tc>
          <w:tcPr>
            <w:tcW w:w="0" w:type="auto"/>
            <w:shd w:val="clear" w:color="auto" w:fill="FFFFFF"/>
            <w:tcMar>
              <w:top w:w="40" w:type="dxa"/>
              <w:bottom w:w="40" w:type="dxa"/>
              <w:right w:w="20" w:type="dxa"/>
            </w:tcMar>
            <w:vAlign w:val="center"/>
          </w:tcPr>
          <w:p w14:paraId="33DAA3F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3F7"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A3F8"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3F9"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A3F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3FB"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A3FC"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3FD" w14:textId="77777777" w:rsidR="004D6A64" w:rsidRDefault="00506CD6">
            <w:pPr>
              <w:jc w:val="right"/>
              <w:textAlignment w:val="center"/>
            </w:pPr>
            <w:r>
              <w:rPr>
                <w:rFonts w:ascii="Times New Roman" w:eastAsia="宋体" w:hAnsi="Times New Roman"/>
                <w:color w:val="000000"/>
                <w:sz w:val="20"/>
                <w:szCs w:val="20"/>
              </w:rPr>
              <w:t>68 </w:t>
            </w:r>
          </w:p>
        </w:tc>
        <w:tc>
          <w:tcPr>
            <w:tcW w:w="0" w:type="auto"/>
            <w:shd w:val="clear" w:color="auto" w:fill="FFFFFF"/>
            <w:tcMar>
              <w:top w:w="40" w:type="dxa"/>
              <w:bottom w:w="40" w:type="dxa"/>
              <w:right w:w="20" w:type="dxa"/>
            </w:tcMar>
            <w:vAlign w:val="center"/>
          </w:tcPr>
          <w:p w14:paraId="33DAA3F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3FF"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A400"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401"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A40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403"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A404"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405" w14:textId="77777777" w:rsidR="004D6A64" w:rsidRDefault="00506CD6">
            <w:pPr>
              <w:jc w:val="right"/>
              <w:textAlignment w:val="center"/>
            </w:pPr>
            <w:r>
              <w:rPr>
                <w:rFonts w:ascii="Times New Roman" w:eastAsia="宋体" w:hAnsi="Times New Roman"/>
                <w:color w:val="000000"/>
                <w:sz w:val="20"/>
                <w:szCs w:val="20"/>
              </w:rPr>
              <w:t>68 </w:t>
            </w:r>
          </w:p>
        </w:tc>
        <w:tc>
          <w:tcPr>
            <w:tcW w:w="0" w:type="auto"/>
            <w:shd w:val="clear" w:color="auto" w:fill="FFFFFF"/>
            <w:tcMar>
              <w:top w:w="40" w:type="dxa"/>
              <w:bottom w:w="40" w:type="dxa"/>
              <w:right w:w="20" w:type="dxa"/>
            </w:tcMar>
            <w:vAlign w:val="center"/>
          </w:tcPr>
          <w:p w14:paraId="33DAA406" w14:textId="77777777" w:rsidR="004D6A64" w:rsidRDefault="004D6A64">
            <w:pPr>
              <w:jc w:val="right"/>
              <w:rPr>
                <w:rFonts w:ascii="宋体"/>
              </w:rPr>
            </w:pPr>
          </w:p>
        </w:tc>
        <w:tc>
          <w:tcPr>
            <w:tcW w:w="0" w:type="auto"/>
            <w:shd w:val="clear" w:color="auto" w:fill="auto"/>
          </w:tcPr>
          <w:p w14:paraId="33DAA407" w14:textId="77777777" w:rsidR="004D6A64" w:rsidRDefault="004D6A64">
            <w:pPr>
              <w:rPr>
                <w:rFonts w:ascii="宋体"/>
              </w:rPr>
            </w:pPr>
          </w:p>
        </w:tc>
        <w:tc>
          <w:tcPr>
            <w:tcW w:w="0" w:type="auto"/>
            <w:shd w:val="clear" w:color="auto" w:fill="auto"/>
          </w:tcPr>
          <w:p w14:paraId="33DAA408" w14:textId="77777777" w:rsidR="004D6A64" w:rsidRDefault="004D6A64">
            <w:pPr>
              <w:rPr>
                <w:rFonts w:ascii="宋体"/>
              </w:rPr>
            </w:pPr>
          </w:p>
        </w:tc>
        <w:tc>
          <w:tcPr>
            <w:tcW w:w="0" w:type="auto"/>
            <w:shd w:val="clear" w:color="auto" w:fill="auto"/>
          </w:tcPr>
          <w:p w14:paraId="33DAA409" w14:textId="77777777" w:rsidR="004D6A64" w:rsidRDefault="004D6A64">
            <w:pPr>
              <w:rPr>
                <w:rFonts w:ascii="宋体"/>
              </w:rPr>
            </w:pPr>
          </w:p>
        </w:tc>
        <w:tc>
          <w:tcPr>
            <w:tcW w:w="0" w:type="auto"/>
            <w:shd w:val="clear" w:color="auto" w:fill="auto"/>
          </w:tcPr>
          <w:p w14:paraId="33DAA40A" w14:textId="77777777" w:rsidR="004D6A64" w:rsidRDefault="004D6A64">
            <w:pPr>
              <w:rPr>
                <w:rFonts w:ascii="宋体"/>
              </w:rPr>
            </w:pPr>
          </w:p>
        </w:tc>
        <w:tc>
          <w:tcPr>
            <w:tcW w:w="0" w:type="auto"/>
            <w:shd w:val="clear" w:color="auto" w:fill="auto"/>
          </w:tcPr>
          <w:p w14:paraId="33DAA40B" w14:textId="77777777" w:rsidR="004D6A64" w:rsidRDefault="004D6A64">
            <w:pPr>
              <w:rPr>
                <w:rFonts w:ascii="宋体"/>
              </w:rPr>
            </w:pPr>
          </w:p>
        </w:tc>
        <w:tc>
          <w:tcPr>
            <w:tcW w:w="0" w:type="auto"/>
            <w:shd w:val="clear" w:color="auto" w:fill="auto"/>
          </w:tcPr>
          <w:p w14:paraId="33DAA40C" w14:textId="77777777" w:rsidR="004D6A64" w:rsidRDefault="004D6A64">
            <w:pPr>
              <w:rPr>
                <w:rFonts w:ascii="宋体"/>
              </w:rPr>
            </w:pPr>
          </w:p>
        </w:tc>
        <w:tc>
          <w:tcPr>
            <w:tcW w:w="0" w:type="auto"/>
            <w:shd w:val="clear" w:color="auto" w:fill="auto"/>
          </w:tcPr>
          <w:p w14:paraId="33DAA40D" w14:textId="77777777" w:rsidR="004D6A64" w:rsidRDefault="004D6A64">
            <w:pPr>
              <w:rPr>
                <w:rFonts w:ascii="宋体"/>
              </w:rPr>
            </w:pPr>
          </w:p>
        </w:tc>
        <w:tc>
          <w:tcPr>
            <w:tcW w:w="0" w:type="auto"/>
            <w:shd w:val="clear" w:color="auto" w:fill="auto"/>
          </w:tcPr>
          <w:p w14:paraId="33DAA40E" w14:textId="77777777" w:rsidR="004D6A64" w:rsidRDefault="004D6A64">
            <w:pPr>
              <w:rPr>
                <w:rFonts w:ascii="宋体"/>
              </w:rPr>
            </w:pPr>
          </w:p>
        </w:tc>
        <w:tc>
          <w:tcPr>
            <w:tcW w:w="0" w:type="auto"/>
            <w:shd w:val="clear" w:color="auto" w:fill="auto"/>
          </w:tcPr>
          <w:p w14:paraId="33DAA40F" w14:textId="77777777" w:rsidR="004D6A64" w:rsidRDefault="004D6A64">
            <w:pPr>
              <w:rPr>
                <w:rFonts w:ascii="宋体"/>
              </w:rPr>
            </w:pPr>
          </w:p>
        </w:tc>
        <w:tc>
          <w:tcPr>
            <w:tcW w:w="0" w:type="auto"/>
            <w:shd w:val="clear" w:color="auto" w:fill="auto"/>
          </w:tcPr>
          <w:p w14:paraId="33DAA410" w14:textId="77777777" w:rsidR="004D6A64" w:rsidRDefault="004D6A64">
            <w:pPr>
              <w:rPr>
                <w:rFonts w:ascii="宋体"/>
              </w:rPr>
            </w:pPr>
          </w:p>
        </w:tc>
        <w:tc>
          <w:tcPr>
            <w:tcW w:w="0" w:type="auto"/>
            <w:shd w:val="clear" w:color="auto" w:fill="auto"/>
          </w:tcPr>
          <w:p w14:paraId="33DAA411" w14:textId="77777777" w:rsidR="004D6A64" w:rsidRDefault="004D6A64">
            <w:pPr>
              <w:rPr>
                <w:rFonts w:ascii="宋体"/>
              </w:rPr>
            </w:pPr>
          </w:p>
        </w:tc>
        <w:tc>
          <w:tcPr>
            <w:tcW w:w="0" w:type="auto"/>
            <w:shd w:val="clear" w:color="auto" w:fill="auto"/>
          </w:tcPr>
          <w:p w14:paraId="33DAA412" w14:textId="77777777" w:rsidR="004D6A64" w:rsidRDefault="004D6A64">
            <w:pPr>
              <w:rPr>
                <w:rFonts w:ascii="宋体"/>
              </w:rPr>
            </w:pPr>
          </w:p>
        </w:tc>
        <w:tc>
          <w:tcPr>
            <w:tcW w:w="0" w:type="auto"/>
            <w:shd w:val="clear" w:color="auto" w:fill="auto"/>
          </w:tcPr>
          <w:p w14:paraId="33DAA413" w14:textId="77777777" w:rsidR="004D6A64" w:rsidRDefault="004D6A64">
            <w:pPr>
              <w:rPr>
                <w:rFonts w:ascii="宋体"/>
              </w:rPr>
            </w:pPr>
          </w:p>
        </w:tc>
        <w:tc>
          <w:tcPr>
            <w:tcW w:w="0" w:type="auto"/>
            <w:shd w:val="clear" w:color="auto" w:fill="auto"/>
          </w:tcPr>
          <w:p w14:paraId="33DAA414" w14:textId="77777777" w:rsidR="004D6A64" w:rsidRDefault="004D6A64">
            <w:pPr>
              <w:rPr>
                <w:rFonts w:ascii="宋体"/>
              </w:rPr>
            </w:pPr>
          </w:p>
        </w:tc>
        <w:tc>
          <w:tcPr>
            <w:tcW w:w="0" w:type="auto"/>
            <w:shd w:val="clear" w:color="auto" w:fill="auto"/>
          </w:tcPr>
          <w:p w14:paraId="33DAA415" w14:textId="77777777" w:rsidR="004D6A64" w:rsidRDefault="004D6A64">
            <w:pPr>
              <w:rPr>
                <w:rFonts w:ascii="宋体"/>
              </w:rPr>
            </w:pPr>
          </w:p>
        </w:tc>
      </w:tr>
      <w:tr w:rsidR="00506CD6" w14:paraId="33DAA446" w14:textId="77777777">
        <w:tc>
          <w:tcPr>
            <w:tcW w:w="0" w:type="auto"/>
            <w:gridSpan w:val="3"/>
            <w:shd w:val="clear" w:color="auto" w:fill="CCEEFF"/>
            <w:tcMar>
              <w:top w:w="40" w:type="dxa"/>
              <w:left w:w="225" w:type="dxa"/>
              <w:bottom w:w="40" w:type="dxa"/>
              <w:right w:w="20" w:type="dxa"/>
            </w:tcMar>
            <w:vAlign w:val="center"/>
          </w:tcPr>
          <w:p w14:paraId="33DAA417" w14:textId="77777777" w:rsidR="004D6A64" w:rsidRDefault="00506CD6">
            <w:pPr>
              <w:textAlignment w:val="center"/>
            </w:pPr>
            <w:r>
              <w:rPr>
                <w:rFonts w:ascii="Times New Roman" w:eastAsia="宋体" w:hAnsi="Times New Roman"/>
                <w:color w:val="000000"/>
                <w:sz w:val="20"/>
                <w:szCs w:val="20"/>
              </w:rPr>
              <w:t>Total liabilities</w:t>
            </w: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A418"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A419" w14:textId="77777777" w:rsidR="004D6A64" w:rsidRDefault="00506CD6">
            <w:pPr>
              <w:jc w:val="right"/>
              <w:textAlignment w:val="center"/>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A41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41B"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A41C"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A41D" w14:textId="77777777" w:rsidR="004D6A64" w:rsidRDefault="00506CD6">
            <w:pPr>
              <w:jc w:val="right"/>
              <w:textAlignment w:val="center"/>
            </w:pPr>
            <w:r>
              <w:rPr>
                <w:rFonts w:ascii="Times New Roman" w:eastAsia="宋体" w:hAnsi="Times New Roman"/>
                <w:color w:val="000000"/>
                <w:sz w:val="20"/>
                <w:szCs w:val="20"/>
              </w:rPr>
              <w:t>319 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A41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41F"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A420"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A421" w14:textId="77777777" w:rsidR="004D6A64" w:rsidRDefault="00506CD6">
            <w:pPr>
              <w:jc w:val="right"/>
              <w:textAlignment w:val="center"/>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A42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423"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A424"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A425" w14:textId="77777777" w:rsidR="004D6A64" w:rsidRDefault="00506CD6">
            <w:pPr>
              <w:jc w:val="right"/>
              <w:textAlignment w:val="center"/>
            </w:pPr>
            <w:r>
              <w:rPr>
                <w:rFonts w:ascii="Times New Roman" w:eastAsia="宋体" w:hAnsi="Times New Roman"/>
                <w:color w:val="000000"/>
                <w:sz w:val="20"/>
                <w:szCs w:val="20"/>
              </w:rPr>
              <w:t>319 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A42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427"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A428"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A429" w14:textId="77777777" w:rsidR="004D6A64" w:rsidRDefault="00506CD6">
            <w:pPr>
              <w:jc w:val="right"/>
              <w:textAlignment w:val="center"/>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A42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42B"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A42C"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A42D" w14:textId="77777777" w:rsidR="004D6A64" w:rsidRDefault="00506CD6">
            <w:pPr>
              <w:jc w:val="right"/>
              <w:textAlignment w:val="center"/>
            </w:pPr>
            <w:r>
              <w:rPr>
                <w:rFonts w:ascii="Times New Roman" w:eastAsia="宋体" w:hAnsi="Times New Roman"/>
                <w:color w:val="000000"/>
                <w:sz w:val="20"/>
                <w:szCs w:val="20"/>
              </w:rPr>
              <w:t>68 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A42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42F"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A430"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A431" w14:textId="77777777" w:rsidR="004D6A64" w:rsidRDefault="00506CD6">
            <w:pPr>
              <w:jc w:val="right"/>
              <w:textAlignment w:val="center"/>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A43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433"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A434"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A435" w14:textId="77777777" w:rsidR="004D6A64" w:rsidRDefault="00506CD6">
            <w:pPr>
              <w:jc w:val="right"/>
              <w:textAlignment w:val="center"/>
            </w:pPr>
            <w:r>
              <w:rPr>
                <w:rFonts w:ascii="Times New Roman" w:eastAsia="宋体" w:hAnsi="Times New Roman"/>
                <w:color w:val="000000"/>
                <w:sz w:val="20"/>
                <w:szCs w:val="20"/>
              </w:rPr>
              <w:t>68 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A436" w14:textId="77777777" w:rsidR="004D6A64" w:rsidRDefault="004D6A64">
            <w:pPr>
              <w:jc w:val="right"/>
              <w:rPr>
                <w:rFonts w:ascii="宋体"/>
              </w:rPr>
            </w:pPr>
          </w:p>
        </w:tc>
        <w:tc>
          <w:tcPr>
            <w:tcW w:w="0" w:type="auto"/>
            <w:shd w:val="clear" w:color="auto" w:fill="auto"/>
          </w:tcPr>
          <w:p w14:paraId="33DAA437" w14:textId="77777777" w:rsidR="004D6A64" w:rsidRDefault="004D6A64">
            <w:pPr>
              <w:rPr>
                <w:rFonts w:ascii="宋体"/>
              </w:rPr>
            </w:pPr>
          </w:p>
        </w:tc>
        <w:tc>
          <w:tcPr>
            <w:tcW w:w="0" w:type="auto"/>
            <w:shd w:val="clear" w:color="auto" w:fill="auto"/>
          </w:tcPr>
          <w:p w14:paraId="33DAA438" w14:textId="77777777" w:rsidR="004D6A64" w:rsidRDefault="004D6A64">
            <w:pPr>
              <w:rPr>
                <w:rFonts w:ascii="宋体"/>
              </w:rPr>
            </w:pPr>
          </w:p>
        </w:tc>
        <w:tc>
          <w:tcPr>
            <w:tcW w:w="0" w:type="auto"/>
            <w:shd w:val="clear" w:color="auto" w:fill="auto"/>
          </w:tcPr>
          <w:p w14:paraId="33DAA439" w14:textId="77777777" w:rsidR="004D6A64" w:rsidRDefault="004D6A64">
            <w:pPr>
              <w:rPr>
                <w:rFonts w:ascii="宋体"/>
              </w:rPr>
            </w:pPr>
          </w:p>
        </w:tc>
        <w:tc>
          <w:tcPr>
            <w:tcW w:w="0" w:type="auto"/>
            <w:shd w:val="clear" w:color="auto" w:fill="auto"/>
          </w:tcPr>
          <w:p w14:paraId="33DAA43A" w14:textId="77777777" w:rsidR="004D6A64" w:rsidRDefault="004D6A64">
            <w:pPr>
              <w:rPr>
                <w:rFonts w:ascii="宋体"/>
              </w:rPr>
            </w:pPr>
          </w:p>
        </w:tc>
        <w:tc>
          <w:tcPr>
            <w:tcW w:w="0" w:type="auto"/>
            <w:shd w:val="clear" w:color="auto" w:fill="auto"/>
          </w:tcPr>
          <w:p w14:paraId="33DAA43B" w14:textId="77777777" w:rsidR="004D6A64" w:rsidRDefault="004D6A64">
            <w:pPr>
              <w:rPr>
                <w:rFonts w:ascii="宋体"/>
              </w:rPr>
            </w:pPr>
          </w:p>
        </w:tc>
        <w:tc>
          <w:tcPr>
            <w:tcW w:w="0" w:type="auto"/>
            <w:shd w:val="clear" w:color="auto" w:fill="auto"/>
          </w:tcPr>
          <w:p w14:paraId="33DAA43C" w14:textId="77777777" w:rsidR="004D6A64" w:rsidRDefault="004D6A64">
            <w:pPr>
              <w:rPr>
                <w:rFonts w:ascii="宋体"/>
              </w:rPr>
            </w:pPr>
          </w:p>
        </w:tc>
        <w:tc>
          <w:tcPr>
            <w:tcW w:w="0" w:type="auto"/>
            <w:shd w:val="clear" w:color="auto" w:fill="auto"/>
          </w:tcPr>
          <w:p w14:paraId="33DAA43D" w14:textId="77777777" w:rsidR="004D6A64" w:rsidRDefault="004D6A64">
            <w:pPr>
              <w:rPr>
                <w:rFonts w:ascii="宋体"/>
              </w:rPr>
            </w:pPr>
          </w:p>
        </w:tc>
        <w:tc>
          <w:tcPr>
            <w:tcW w:w="0" w:type="auto"/>
            <w:shd w:val="clear" w:color="auto" w:fill="auto"/>
          </w:tcPr>
          <w:p w14:paraId="33DAA43E" w14:textId="77777777" w:rsidR="004D6A64" w:rsidRDefault="004D6A64">
            <w:pPr>
              <w:rPr>
                <w:rFonts w:ascii="宋体"/>
              </w:rPr>
            </w:pPr>
          </w:p>
        </w:tc>
        <w:tc>
          <w:tcPr>
            <w:tcW w:w="0" w:type="auto"/>
            <w:shd w:val="clear" w:color="auto" w:fill="auto"/>
          </w:tcPr>
          <w:p w14:paraId="33DAA43F" w14:textId="77777777" w:rsidR="004D6A64" w:rsidRDefault="004D6A64">
            <w:pPr>
              <w:rPr>
                <w:rFonts w:ascii="宋体"/>
              </w:rPr>
            </w:pPr>
          </w:p>
        </w:tc>
        <w:tc>
          <w:tcPr>
            <w:tcW w:w="0" w:type="auto"/>
            <w:shd w:val="clear" w:color="auto" w:fill="auto"/>
          </w:tcPr>
          <w:p w14:paraId="33DAA440" w14:textId="77777777" w:rsidR="004D6A64" w:rsidRDefault="004D6A64">
            <w:pPr>
              <w:rPr>
                <w:rFonts w:ascii="宋体"/>
              </w:rPr>
            </w:pPr>
          </w:p>
        </w:tc>
        <w:tc>
          <w:tcPr>
            <w:tcW w:w="0" w:type="auto"/>
            <w:shd w:val="clear" w:color="auto" w:fill="auto"/>
          </w:tcPr>
          <w:p w14:paraId="33DAA441" w14:textId="77777777" w:rsidR="004D6A64" w:rsidRDefault="004D6A64">
            <w:pPr>
              <w:rPr>
                <w:rFonts w:ascii="宋体"/>
              </w:rPr>
            </w:pPr>
          </w:p>
        </w:tc>
        <w:tc>
          <w:tcPr>
            <w:tcW w:w="0" w:type="auto"/>
            <w:shd w:val="clear" w:color="auto" w:fill="auto"/>
          </w:tcPr>
          <w:p w14:paraId="33DAA442" w14:textId="77777777" w:rsidR="004D6A64" w:rsidRDefault="004D6A64">
            <w:pPr>
              <w:rPr>
                <w:rFonts w:ascii="宋体"/>
              </w:rPr>
            </w:pPr>
          </w:p>
        </w:tc>
        <w:tc>
          <w:tcPr>
            <w:tcW w:w="0" w:type="auto"/>
            <w:shd w:val="clear" w:color="auto" w:fill="auto"/>
          </w:tcPr>
          <w:p w14:paraId="33DAA443" w14:textId="77777777" w:rsidR="004D6A64" w:rsidRDefault="004D6A64">
            <w:pPr>
              <w:rPr>
                <w:rFonts w:ascii="宋体"/>
              </w:rPr>
            </w:pPr>
          </w:p>
        </w:tc>
        <w:tc>
          <w:tcPr>
            <w:tcW w:w="0" w:type="auto"/>
            <w:shd w:val="clear" w:color="auto" w:fill="auto"/>
          </w:tcPr>
          <w:p w14:paraId="33DAA444" w14:textId="77777777" w:rsidR="004D6A64" w:rsidRDefault="004D6A64">
            <w:pPr>
              <w:rPr>
                <w:rFonts w:ascii="宋体"/>
              </w:rPr>
            </w:pPr>
          </w:p>
        </w:tc>
        <w:tc>
          <w:tcPr>
            <w:tcW w:w="0" w:type="auto"/>
            <w:shd w:val="clear" w:color="auto" w:fill="auto"/>
          </w:tcPr>
          <w:p w14:paraId="33DAA445" w14:textId="77777777" w:rsidR="004D6A64" w:rsidRDefault="004D6A64">
            <w:pPr>
              <w:rPr>
                <w:rFonts w:ascii="宋体"/>
              </w:rPr>
            </w:pPr>
          </w:p>
        </w:tc>
      </w:tr>
    </w:tbl>
    <w:p w14:paraId="33DAA447" w14:textId="77777777" w:rsidR="004D6A64" w:rsidRDefault="004D6A64"/>
    <w:p w14:paraId="33DAA448" w14:textId="77777777" w:rsidR="004D6A64" w:rsidRDefault="00506CD6">
      <w:r>
        <w:rPr>
          <w:rFonts w:ascii="Times New Roman" w:eastAsia="宋体" w:hAnsi="Times New Roman"/>
          <w:color w:val="000000"/>
          <w:sz w:val="20"/>
          <w:szCs w:val="20"/>
          <w:shd w:val="clear" w:color="auto" w:fill="FFFFFF"/>
        </w:rPr>
        <w:t>The following section describes the valuation methodologies the Company uses to measure financial instruments at fair value:</w:t>
      </w:r>
    </w:p>
    <w:p w14:paraId="33DAA449" w14:textId="77777777" w:rsidR="004D6A64" w:rsidRDefault="004D6A64"/>
    <w:p w14:paraId="33DAA44A" w14:textId="77777777" w:rsidR="004D6A64" w:rsidRDefault="00506CD6">
      <w:r>
        <w:rPr>
          <w:rFonts w:ascii="Times New Roman" w:eastAsia="宋体" w:hAnsi="Times New Roman"/>
          <w:i/>
          <w:iCs/>
          <w:color w:val="000000"/>
          <w:sz w:val="20"/>
          <w:szCs w:val="20"/>
        </w:rPr>
        <w:t xml:space="preserve">Money Market Funds </w:t>
      </w:r>
      <w:r>
        <w:rPr>
          <w:rFonts w:ascii="Times New Roman" w:eastAsia="宋体" w:hAnsi="Times New Roman"/>
          <w:color w:val="000000"/>
          <w:sz w:val="20"/>
          <w:szCs w:val="20"/>
        </w:rPr>
        <w:t>— The Company’s investments in money market funds that are classified as cash equivale</w:t>
      </w:r>
      <w:r>
        <w:rPr>
          <w:rFonts w:ascii="Times New Roman" w:eastAsia="宋体" w:hAnsi="Times New Roman"/>
          <w:color w:val="000000"/>
          <w:sz w:val="20"/>
          <w:szCs w:val="20"/>
        </w:rPr>
        <w:t>nts hold underlying investments with a weighted average maturity of 90 days or less and are recognized at fair value. The valuations of these securities are based on quoted prices in active markets for identical assets, when available, or pricing models wh</w:t>
      </w:r>
      <w:r>
        <w:rPr>
          <w:rFonts w:ascii="Times New Roman" w:eastAsia="宋体" w:hAnsi="Times New Roman"/>
          <w:color w:val="000000"/>
          <w:sz w:val="20"/>
          <w:szCs w:val="20"/>
        </w:rPr>
        <w:t>ereby all significant inputs are observable or can be derived from or corroborated by observable market data. The Company reviews security pricing and assesses liquidity on a quarterly basis. As of July 31, 2020, the Company’s U.S. portfolio had no materia</w:t>
      </w:r>
      <w:r>
        <w:rPr>
          <w:rFonts w:ascii="Times New Roman" w:eastAsia="宋体" w:hAnsi="Times New Roman"/>
          <w:color w:val="000000"/>
          <w:sz w:val="20"/>
          <w:szCs w:val="20"/>
        </w:rPr>
        <w:t>l exposure to money market funds with a fluctuating net asset value.</w:t>
      </w:r>
    </w:p>
    <w:p w14:paraId="33DAA44B" w14:textId="77777777" w:rsidR="004D6A64" w:rsidRDefault="004D6A64"/>
    <w:p w14:paraId="33DAA44C" w14:textId="77777777" w:rsidR="004D6A64" w:rsidRDefault="00506CD6">
      <w:r>
        <w:rPr>
          <w:rFonts w:ascii="Times New Roman" w:eastAsia="宋体" w:hAnsi="Times New Roman"/>
          <w:i/>
          <w:iCs/>
          <w:color w:val="000000"/>
          <w:sz w:val="20"/>
          <w:szCs w:val="20"/>
        </w:rPr>
        <w:t xml:space="preserve">Equity and Other Securities </w:t>
      </w:r>
      <w:r>
        <w:rPr>
          <w:rFonts w:ascii="Times New Roman" w:eastAsia="宋体" w:hAnsi="Times New Roman"/>
          <w:color w:val="000000"/>
          <w:sz w:val="20"/>
          <w:szCs w:val="20"/>
        </w:rPr>
        <w:t>— The majority of the Company’s investments in equity and other securities that are measured at fair value on a recurring basis consist of strategic investments in publicly-traded companies. The valuation of these securities is based on quoted prices in ac</w:t>
      </w:r>
      <w:r>
        <w:rPr>
          <w:rFonts w:ascii="Times New Roman" w:eastAsia="宋体" w:hAnsi="Times New Roman"/>
          <w:color w:val="000000"/>
          <w:sz w:val="20"/>
          <w:szCs w:val="20"/>
        </w:rPr>
        <w:t xml:space="preserve">tive markets. </w:t>
      </w:r>
    </w:p>
    <w:p w14:paraId="33DAA44D" w14:textId="77777777" w:rsidR="004D6A64" w:rsidRDefault="004D6A64"/>
    <w:p w14:paraId="33DAA44E" w14:textId="77777777" w:rsidR="004D6A64" w:rsidRDefault="00506CD6">
      <w:r>
        <w:rPr>
          <w:rFonts w:ascii="Times New Roman" w:eastAsia="宋体" w:hAnsi="Times New Roman"/>
          <w:i/>
          <w:iCs/>
          <w:color w:val="000000"/>
          <w:sz w:val="20"/>
          <w:szCs w:val="20"/>
        </w:rPr>
        <w:t>Derivative Instruments</w:t>
      </w:r>
      <w:r>
        <w:rPr>
          <w:rFonts w:ascii="Times New Roman" w:eastAsia="宋体" w:hAnsi="Times New Roman"/>
          <w:color w:val="000000"/>
          <w:sz w:val="20"/>
          <w:szCs w:val="20"/>
        </w:rPr>
        <w:t xml:space="preserve"> — The Company’s derivative financial instruments consist primarily of foreign currency forward and purchased option contracts and interest rate swaps. The fair value of the portfolio is determined using valuation mode</w:t>
      </w:r>
      <w:r>
        <w:rPr>
          <w:rFonts w:ascii="Times New Roman" w:eastAsia="宋体" w:hAnsi="Times New Roman"/>
          <w:color w:val="000000"/>
          <w:sz w:val="20"/>
          <w:szCs w:val="20"/>
        </w:rPr>
        <w:t xml:space="preserve">ls based on market observable inputs, including interest rate curves, forward and spot prices for currencies, and implied volatilities. Credit risk is also factored into the fair value calculation of the Company’s derivative instrument portfolio. See Note </w:t>
      </w:r>
      <w:r>
        <w:rPr>
          <w:rFonts w:ascii="Times New Roman" w:eastAsia="宋体" w:hAnsi="Times New Roman"/>
          <w:color w:val="000000"/>
          <w:sz w:val="20"/>
          <w:szCs w:val="20"/>
        </w:rPr>
        <w:t>7 of the Notes to the Condensed Consolidated Financial Statements for a description of the Company’s derivative financial instrument activities.</w:t>
      </w:r>
    </w:p>
    <w:p w14:paraId="33DAA44F" w14:textId="77777777" w:rsidR="004D6A64" w:rsidRDefault="004D6A64"/>
    <w:p w14:paraId="33DAA450" w14:textId="77777777" w:rsidR="004D6A64" w:rsidRDefault="00506CD6">
      <w:r>
        <w:rPr>
          <w:rFonts w:ascii="Times New Roman" w:eastAsia="宋体" w:hAnsi="Times New Roman"/>
          <w:i/>
          <w:iCs/>
          <w:color w:val="000000"/>
          <w:sz w:val="20"/>
          <w:szCs w:val="20"/>
        </w:rPr>
        <w:t>Deferred Compensation Plans</w:t>
      </w:r>
      <w:r>
        <w:rPr>
          <w:rFonts w:ascii="Times New Roman" w:eastAsia="宋体" w:hAnsi="Times New Roman"/>
          <w:color w:val="000000"/>
          <w:sz w:val="20"/>
          <w:szCs w:val="20"/>
        </w:rPr>
        <w:t xml:space="preserve"> — The Company offers deferred compensation plans for eligible employees, which all</w:t>
      </w:r>
      <w:r>
        <w:rPr>
          <w:rFonts w:ascii="Times New Roman" w:eastAsia="宋体" w:hAnsi="Times New Roman"/>
          <w:color w:val="000000"/>
          <w:sz w:val="20"/>
          <w:szCs w:val="20"/>
        </w:rPr>
        <w:t>ow participants to defer payment for a portion of their compensation. Assets were the same as liabilities associated with the plans at approximately $264 million and $241 million as of July 31, 2020 and January 31, 2020, respectively, and are included in o</w:t>
      </w:r>
      <w:r>
        <w:rPr>
          <w:rFonts w:ascii="Times New Roman" w:eastAsia="宋体" w:hAnsi="Times New Roman"/>
          <w:color w:val="000000"/>
          <w:sz w:val="20"/>
          <w:szCs w:val="20"/>
        </w:rPr>
        <w:t>ther assets and other liabilities on the Condensed Consolidated Statements of Financial Position. The net impact to the Condensed Consolidated Statements of Income (Loss) is not material since changes in the fair value of the assets substantially offset ch</w:t>
      </w:r>
      <w:r>
        <w:rPr>
          <w:rFonts w:ascii="Times New Roman" w:eastAsia="宋体" w:hAnsi="Times New Roman"/>
          <w:color w:val="000000"/>
          <w:sz w:val="20"/>
          <w:szCs w:val="20"/>
        </w:rPr>
        <w:t xml:space="preserve">anges in the fair value of the liabilities. As such, assets and liabilities associated with these plans have not been included in the recurring fair value table above. </w:t>
      </w:r>
    </w:p>
    <w:p w14:paraId="33DAA451" w14:textId="77777777" w:rsidR="004D6A64" w:rsidRDefault="004D6A64"/>
    <w:p w14:paraId="33DAA452" w14:textId="77777777" w:rsidR="004D6A64" w:rsidRDefault="004D6A64">
      <w:pPr>
        <w:jc w:val="center"/>
      </w:pPr>
    </w:p>
    <w:p w14:paraId="33DAA453" w14:textId="77777777" w:rsidR="004D6A64" w:rsidRDefault="00506CD6">
      <w:pPr>
        <w:jc w:val="center"/>
      </w:pPr>
      <w:r>
        <w:rPr>
          <w:rFonts w:ascii="Times New Roman" w:eastAsia="宋体" w:hAnsi="Times New Roman"/>
          <w:color w:val="000000"/>
          <w:sz w:val="20"/>
          <w:szCs w:val="20"/>
        </w:rPr>
        <w:t>18</w:t>
      </w:r>
    </w:p>
    <w:p w14:paraId="33DAA454" w14:textId="77777777" w:rsidR="004D6A64" w:rsidRDefault="004D6A64">
      <w:pPr>
        <w:jc w:val="center"/>
      </w:pPr>
    </w:p>
    <w:p w14:paraId="33DAA455" w14:textId="77777777" w:rsidR="004D6A64" w:rsidRDefault="00506CD6">
      <w:r>
        <w:pict w14:anchorId="33DAFAD6">
          <v:rect id="_x0000_i1042" style="width:415.3pt;height:1.5pt" o:hralign="center" o:hrstd="t" o:hr="t" fillcolor="#a0a0a0" stroked="f"/>
        </w:pict>
      </w:r>
    </w:p>
    <w:p w14:paraId="33DAA456" w14:textId="77777777" w:rsidR="004D6A64" w:rsidRDefault="00506CD6">
      <w:hyperlink r:id="rId141" w:anchor="if3e0e1bf9ecd4bf69551d7a85f98d64a_10" w:history="1">
        <w:r>
          <w:rPr>
            <w:rStyle w:val="a5"/>
            <w:rFonts w:ascii="Times New Roman" w:eastAsia="宋体" w:hAnsi="Times New Roman"/>
            <w:sz w:val="20"/>
            <w:szCs w:val="20"/>
          </w:rPr>
          <w:t>Table of Contents</w:t>
        </w:r>
      </w:hyperlink>
    </w:p>
    <w:p w14:paraId="33DAA457"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A458"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33DAA459"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A45A" w14:textId="77777777" w:rsidR="004D6A64" w:rsidRDefault="004D6A64">
      <w:pPr>
        <w:jc w:val="center"/>
      </w:pPr>
    </w:p>
    <w:p w14:paraId="33DAA45B" w14:textId="77777777" w:rsidR="004D6A64" w:rsidRDefault="00506CD6">
      <w:r>
        <w:rPr>
          <w:rFonts w:ascii="Times New Roman" w:eastAsia="宋体" w:hAnsi="Times New Roman"/>
          <w:i/>
          <w:iCs/>
          <w:color w:val="000000"/>
          <w:sz w:val="20"/>
          <w:szCs w:val="20"/>
        </w:rPr>
        <w:t>Assets and Liabilities Measured at Fair Value on a Nonrecu</w:t>
      </w:r>
      <w:r>
        <w:rPr>
          <w:rFonts w:ascii="Times New Roman" w:eastAsia="宋体" w:hAnsi="Times New Roman"/>
          <w:i/>
          <w:iCs/>
          <w:color w:val="000000"/>
          <w:sz w:val="20"/>
          <w:szCs w:val="20"/>
        </w:rPr>
        <w:t>rring Basis</w:t>
      </w:r>
      <w:r>
        <w:rPr>
          <w:rFonts w:ascii="Times New Roman" w:eastAsia="宋体" w:hAnsi="Times New Roman"/>
          <w:color w:val="000000"/>
          <w:sz w:val="20"/>
          <w:szCs w:val="20"/>
        </w:rPr>
        <w:t xml:space="preserve"> — Certain assets are measured at fair value on a nonrecurring basis and therefore are not included in the recurring fair value table above. These assets consist primarily of non-financial assets such as goodwill and intangible assets. See Note </w:t>
      </w:r>
      <w:r>
        <w:rPr>
          <w:rFonts w:ascii="Times New Roman" w:eastAsia="宋体" w:hAnsi="Times New Roman"/>
          <w:color w:val="000000"/>
          <w:sz w:val="20"/>
          <w:szCs w:val="20"/>
        </w:rPr>
        <w:t>8 of the Notes to the Condensed Consolidated Financial Statements for additional information about goodwill and intangible assets.</w:t>
      </w:r>
    </w:p>
    <w:p w14:paraId="33DAA45C" w14:textId="77777777" w:rsidR="004D6A64" w:rsidRDefault="004D6A64"/>
    <w:p w14:paraId="33DAA45D" w14:textId="77777777" w:rsidR="004D6A64" w:rsidRDefault="00506CD6">
      <w:r>
        <w:rPr>
          <w:rFonts w:ascii="Times New Roman" w:eastAsia="宋体" w:hAnsi="Times New Roman"/>
          <w:color w:val="000000"/>
          <w:sz w:val="20"/>
          <w:szCs w:val="20"/>
        </w:rPr>
        <w:t>As of July 31, 2020 and January 31, 2020, the Company held private strategic investments of $983 million and $852 million, r</w:t>
      </w:r>
      <w:r>
        <w:rPr>
          <w:rFonts w:ascii="Times New Roman" w:eastAsia="宋体" w:hAnsi="Times New Roman"/>
          <w:color w:val="000000"/>
          <w:sz w:val="20"/>
          <w:szCs w:val="20"/>
        </w:rPr>
        <w:t>espectively. As these investments represent early-stage companies without readily determinable fair values, they are not included in the recurring fair value table above.</w:t>
      </w:r>
    </w:p>
    <w:p w14:paraId="33DAA45E" w14:textId="77777777" w:rsidR="004D6A64" w:rsidRDefault="004D6A64"/>
    <w:p w14:paraId="33DAA45F" w14:textId="77777777" w:rsidR="004D6A64" w:rsidRDefault="00506CD6">
      <w:r>
        <w:rPr>
          <w:rFonts w:ascii="Times New Roman" w:eastAsia="宋体" w:hAnsi="Times New Roman"/>
          <w:color w:val="000000"/>
          <w:sz w:val="20"/>
          <w:szCs w:val="20"/>
        </w:rPr>
        <w:t xml:space="preserve">The Company has elected to apply the measurement alternative for these </w:t>
      </w:r>
      <w:r>
        <w:rPr>
          <w:rFonts w:ascii="Times New Roman" w:eastAsia="宋体" w:hAnsi="Times New Roman"/>
          <w:color w:val="000000"/>
          <w:sz w:val="20"/>
          <w:szCs w:val="20"/>
        </w:rPr>
        <w:t>investments. Under the alternative, the Company measures investments without readily determinable fair values at cost, less impairment, adjusted by observable price changes. The Company must make a separate election to use the alternative for each eligible</w:t>
      </w:r>
      <w:r>
        <w:rPr>
          <w:rFonts w:ascii="Times New Roman" w:eastAsia="宋体" w:hAnsi="Times New Roman"/>
          <w:color w:val="000000"/>
          <w:sz w:val="20"/>
          <w:szCs w:val="20"/>
        </w:rPr>
        <w:t xml:space="preserve"> investment and is required to reassess at each reporting period whether an investment qualifies for the alternative. In evaluating these investments for impairment or observable price changes, the Company uses inputs including pre- and post-money valuatio</w:t>
      </w:r>
      <w:r>
        <w:rPr>
          <w:rFonts w:ascii="Times New Roman" w:eastAsia="宋体" w:hAnsi="Times New Roman"/>
          <w:color w:val="000000"/>
          <w:sz w:val="20"/>
          <w:szCs w:val="20"/>
        </w:rPr>
        <w:t>ns of recent financing events and the impact of those events on its fully diluted ownership percentages, as well as other available information regarding the issuer’s historical and forecasted performance.</w:t>
      </w:r>
    </w:p>
    <w:p w14:paraId="33DAA460" w14:textId="77777777" w:rsidR="004D6A64" w:rsidRDefault="004D6A64"/>
    <w:p w14:paraId="33DAA461" w14:textId="77777777" w:rsidR="004D6A64" w:rsidRDefault="00506CD6">
      <w:r>
        <w:rPr>
          <w:rFonts w:ascii="Times New Roman" w:eastAsia="宋体" w:hAnsi="Times New Roman"/>
          <w:i/>
          <w:iCs/>
          <w:color w:val="000000"/>
          <w:sz w:val="20"/>
          <w:szCs w:val="20"/>
        </w:rPr>
        <w:t>Carrying Value and Estimated Fair Value of Outsta</w:t>
      </w:r>
      <w:r>
        <w:rPr>
          <w:rFonts w:ascii="Times New Roman" w:eastAsia="宋体" w:hAnsi="Times New Roman"/>
          <w:i/>
          <w:iCs/>
          <w:color w:val="000000"/>
          <w:sz w:val="20"/>
          <w:szCs w:val="20"/>
        </w:rPr>
        <w:t xml:space="preserve">nding Debt </w:t>
      </w:r>
      <w:r>
        <w:rPr>
          <w:rFonts w:ascii="Times New Roman" w:eastAsia="宋体" w:hAnsi="Times New Roman"/>
          <w:color w:val="000000"/>
          <w:sz w:val="20"/>
          <w:szCs w:val="20"/>
        </w:rPr>
        <w:t>— The following table presents the carrying value and estimated fair value of the Company’s outstanding debt as described in Note 6 of the Notes to the Condensed Consolidated Financial Statements, including the current portion, as of the dates i</w:t>
      </w:r>
      <w:r>
        <w:rPr>
          <w:rFonts w:ascii="Times New Roman" w:eastAsia="宋体" w:hAnsi="Times New Roman"/>
          <w:color w:val="000000"/>
          <w:sz w:val="20"/>
          <w:szCs w:val="20"/>
        </w:rPr>
        <w:t>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997"/>
        <w:gridCol w:w="37"/>
        <w:gridCol w:w="136"/>
        <w:gridCol w:w="896"/>
        <w:gridCol w:w="41"/>
        <w:gridCol w:w="36"/>
        <w:gridCol w:w="36"/>
        <w:gridCol w:w="36"/>
        <w:gridCol w:w="135"/>
        <w:gridCol w:w="896"/>
        <w:gridCol w:w="41"/>
        <w:gridCol w:w="36"/>
        <w:gridCol w:w="36"/>
        <w:gridCol w:w="36"/>
        <w:gridCol w:w="136"/>
        <w:gridCol w:w="897"/>
        <w:gridCol w:w="41"/>
        <w:gridCol w:w="36"/>
        <w:gridCol w:w="36"/>
        <w:gridCol w:w="36"/>
        <w:gridCol w:w="135"/>
        <w:gridCol w:w="897"/>
        <w:gridCol w:w="41"/>
        <w:gridCol w:w="36"/>
        <w:gridCol w:w="36"/>
        <w:gridCol w:w="36"/>
        <w:gridCol w:w="36"/>
        <w:gridCol w:w="36"/>
        <w:gridCol w:w="36"/>
        <w:gridCol w:w="36"/>
        <w:gridCol w:w="36"/>
        <w:gridCol w:w="36"/>
        <w:gridCol w:w="36"/>
        <w:gridCol w:w="36"/>
        <w:gridCol w:w="36"/>
        <w:gridCol w:w="36"/>
        <w:gridCol w:w="36"/>
        <w:gridCol w:w="36"/>
        <w:gridCol w:w="36"/>
        <w:gridCol w:w="36"/>
        <w:gridCol w:w="36"/>
      </w:tblGrid>
      <w:tr w:rsidR="004D6A64" w14:paraId="33DAA47A" w14:textId="77777777">
        <w:trPr>
          <w:gridAfter w:val="18"/>
          <w:jc w:val="center"/>
        </w:trPr>
        <w:tc>
          <w:tcPr>
            <w:tcW w:w="50" w:type="pct"/>
            <w:shd w:val="clear" w:color="auto" w:fill="auto"/>
          </w:tcPr>
          <w:p w14:paraId="33DAA462" w14:textId="77777777" w:rsidR="004D6A64" w:rsidRDefault="004D6A64">
            <w:pPr>
              <w:rPr>
                <w:rFonts w:ascii="宋体"/>
              </w:rPr>
            </w:pPr>
          </w:p>
        </w:tc>
        <w:tc>
          <w:tcPr>
            <w:tcW w:w="2050" w:type="pct"/>
            <w:shd w:val="clear" w:color="auto" w:fill="auto"/>
          </w:tcPr>
          <w:p w14:paraId="33DAA463" w14:textId="77777777" w:rsidR="004D6A64" w:rsidRDefault="004D6A64">
            <w:pPr>
              <w:rPr>
                <w:rFonts w:ascii="宋体"/>
              </w:rPr>
            </w:pPr>
          </w:p>
        </w:tc>
        <w:tc>
          <w:tcPr>
            <w:tcW w:w="5" w:type="pct"/>
            <w:shd w:val="clear" w:color="auto" w:fill="auto"/>
          </w:tcPr>
          <w:p w14:paraId="33DAA464" w14:textId="77777777" w:rsidR="004D6A64" w:rsidRDefault="004D6A64">
            <w:pPr>
              <w:rPr>
                <w:rFonts w:ascii="宋体"/>
              </w:rPr>
            </w:pPr>
          </w:p>
        </w:tc>
        <w:tc>
          <w:tcPr>
            <w:tcW w:w="50" w:type="pct"/>
            <w:shd w:val="clear" w:color="auto" w:fill="auto"/>
          </w:tcPr>
          <w:p w14:paraId="33DAA465" w14:textId="77777777" w:rsidR="004D6A64" w:rsidRDefault="004D6A64">
            <w:pPr>
              <w:rPr>
                <w:rFonts w:ascii="宋体"/>
              </w:rPr>
            </w:pPr>
          </w:p>
        </w:tc>
        <w:tc>
          <w:tcPr>
            <w:tcW w:w="646" w:type="pct"/>
            <w:shd w:val="clear" w:color="auto" w:fill="auto"/>
          </w:tcPr>
          <w:p w14:paraId="33DAA466" w14:textId="77777777" w:rsidR="004D6A64" w:rsidRDefault="004D6A64">
            <w:pPr>
              <w:rPr>
                <w:rFonts w:ascii="宋体"/>
              </w:rPr>
            </w:pPr>
          </w:p>
        </w:tc>
        <w:tc>
          <w:tcPr>
            <w:tcW w:w="5" w:type="pct"/>
            <w:shd w:val="clear" w:color="auto" w:fill="auto"/>
          </w:tcPr>
          <w:p w14:paraId="33DAA467" w14:textId="77777777" w:rsidR="004D6A64" w:rsidRDefault="004D6A64">
            <w:pPr>
              <w:rPr>
                <w:rFonts w:ascii="宋体"/>
              </w:rPr>
            </w:pPr>
          </w:p>
        </w:tc>
        <w:tc>
          <w:tcPr>
            <w:tcW w:w="5" w:type="pct"/>
            <w:shd w:val="clear" w:color="auto" w:fill="auto"/>
          </w:tcPr>
          <w:p w14:paraId="33DAA468" w14:textId="77777777" w:rsidR="004D6A64" w:rsidRDefault="004D6A64">
            <w:pPr>
              <w:rPr>
                <w:rFonts w:ascii="宋体"/>
              </w:rPr>
            </w:pPr>
          </w:p>
        </w:tc>
        <w:tc>
          <w:tcPr>
            <w:tcW w:w="19" w:type="pct"/>
            <w:shd w:val="clear" w:color="auto" w:fill="auto"/>
          </w:tcPr>
          <w:p w14:paraId="33DAA469" w14:textId="77777777" w:rsidR="004D6A64" w:rsidRDefault="004D6A64">
            <w:pPr>
              <w:rPr>
                <w:rFonts w:ascii="宋体"/>
              </w:rPr>
            </w:pPr>
          </w:p>
        </w:tc>
        <w:tc>
          <w:tcPr>
            <w:tcW w:w="5" w:type="pct"/>
            <w:shd w:val="clear" w:color="auto" w:fill="auto"/>
          </w:tcPr>
          <w:p w14:paraId="33DAA46A" w14:textId="77777777" w:rsidR="004D6A64" w:rsidRDefault="004D6A64">
            <w:pPr>
              <w:rPr>
                <w:rFonts w:ascii="宋体"/>
              </w:rPr>
            </w:pPr>
          </w:p>
        </w:tc>
        <w:tc>
          <w:tcPr>
            <w:tcW w:w="50" w:type="pct"/>
            <w:shd w:val="clear" w:color="auto" w:fill="auto"/>
          </w:tcPr>
          <w:p w14:paraId="33DAA46B" w14:textId="77777777" w:rsidR="004D6A64" w:rsidRDefault="004D6A64">
            <w:pPr>
              <w:rPr>
                <w:rFonts w:ascii="宋体"/>
              </w:rPr>
            </w:pPr>
          </w:p>
        </w:tc>
        <w:tc>
          <w:tcPr>
            <w:tcW w:w="646" w:type="pct"/>
            <w:shd w:val="clear" w:color="auto" w:fill="auto"/>
          </w:tcPr>
          <w:p w14:paraId="33DAA46C" w14:textId="77777777" w:rsidR="004D6A64" w:rsidRDefault="004D6A64">
            <w:pPr>
              <w:rPr>
                <w:rFonts w:ascii="宋体"/>
              </w:rPr>
            </w:pPr>
          </w:p>
        </w:tc>
        <w:tc>
          <w:tcPr>
            <w:tcW w:w="5" w:type="pct"/>
            <w:shd w:val="clear" w:color="auto" w:fill="auto"/>
          </w:tcPr>
          <w:p w14:paraId="33DAA46D" w14:textId="77777777" w:rsidR="004D6A64" w:rsidRDefault="004D6A64">
            <w:pPr>
              <w:rPr>
                <w:rFonts w:ascii="宋体"/>
              </w:rPr>
            </w:pPr>
          </w:p>
        </w:tc>
        <w:tc>
          <w:tcPr>
            <w:tcW w:w="5" w:type="pct"/>
            <w:shd w:val="clear" w:color="auto" w:fill="auto"/>
          </w:tcPr>
          <w:p w14:paraId="33DAA46E" w14:textId="77777777" w:rsidR="004D6A64" w:rsidRDefault="004D6A64">
            <w:pPr>
              <w:rPr>
                <w:rFonts w:ascii="宋体"/>
              </w:rPr>
            </w:pPr>
          </w:p>
        </w:tc>
        <w:tc>
          <w:tcPr>
            <w:tcW w:w="19" w:type="pct"/>
            <w:shd w:val="clear" w:color="auto" w:fill="auto"/>
          </w:tcPr>
          <w:p w14:paraId="33DAA46F" w14:textId="77777777" w:rsidR="004D6A64" w:rsidRDefault="004D6A64">
            <w:pPr>
              <w:rPr>
                <w:rFonts w:ascii="宋体"/>
              </w:rPr>
            </w:pPr>
          </w:p>
        </w:tc>
        <w:tc>
          <w:tcPr>
            <w:tcW w:w="5" w:type="pct"/>
            <w:shd w:val="clear" w:color="auto" w:fill="auto"/>
          </w:tcPr>
          <w:p w14:paraId="33DAA470" w14:textId="77777777" w:rsidR="004D6A64" w:rsidRDefault="004D6A64">
            <w:pPr>
              <w:rPr>
                <w:rFonts w:ascii="宋体"/>
              </w:rPr>
            </w:pPr>
          </w:p>
        </w:tc>
        <w:tc>
          <w:tcPr>
            <w:tcW w:w="50" w:type="pct"/>
            <w:shd w:val="clear" w:color="auto" w:fill="auto"/>
          </w:tcPr>
          <w:p w14:paraId="33DAA471" w14:textId="77777777" w:rsidR="004D6A64" w:rsidRDefault="004D6A64">
            <w:pPr>
              <w:rPr>
                <w:rFonts w:ascii="宋体"/>
              </w:rPr>
            </w:pPr>
          </w:p>
        </w:tc>
        <w:tc>
          <w:tcPr>
            <w:tcW w:w="646" w:type="pct"/>
            <w:shd w:val="clear" w:color="auto" w:fill="auto"/>
          </w:tcPr>
          <w:p w14:paraId="33DAA472" w14:textId="77777777" w:rsidR="004D6A64" w:rsidRDefault="004D6A64">
            <w:pPr>
              <w:rPr>
                <w:rFonts w:ascii="宋体"/>
              </w:rPr>
            </w:pPr>
          </w:p>
        </w:tc>
        <w:tc>
          <w:tcPr>
            <w:tcW w:w="5" w:type="pct"/>
            <w:shd w:val="clear" w:color="auto" w:fill="auto"/>
          </w:tcPr>
          <w:p w14:paraId="33DAA473" w14:textId="77777777" w:rsidR="004D6A64" w:rsidRDefault="004D6A64">
            <w:pPr>
              <w:rPr>
                <w:rFonts w:ascii="宋体"/>
              </w:rPr>
            </w:pPr>
          </w:p>
        </w:tc>
        <w:tc>
          <w:tcPr>
            <w:tcW w:w="5" w:type="pct"/>
            <w:shd w:val="clear" w:color="auto" w:fill="auto"/>
          </w:tcPr>
          <w:p w14:paraId="33DAA474" w14:textId="77777777" w:rsidR="004D6A64" w:rsidRDefault="004D6A64">
            <w:pPr>
              <w:rPr>
                <w:rFonts w:ascii="宋体"/>
              </w:rPr>
            </w:pPr>
          </w:p>
        </w:tc>
        <w:tc>
          <w:tcPr>
            <w:tcW w:w="19" w:type="pct"/>
            <w:shd w:val="clear" w:color="auto" w:fill="auto"/>
          </w:tcPr>
          <w:p w14:paraId="33DAA475" w14:textId="77777777" w:rsidR="004D6A64" w:rsidRDefault="004D6A64">
            <w:pPr>
              <w:rPr>
                <w:rFonts w:ascii="宋体"/>
              </w:rPr>
            </w:pPr>
          </w:p>
        </w:tc>
        <w:tc>
          <w:tcPr>
            <w:tcW w:w="5" w:type="pct"/>
            <w:shd w:val="clear" w:color="auto" w:fill="auto"/>
          </w:tcPr>
          <w:p w14:paraId="33DAA476" w14:textId="77777777" w:rsidR="004D6A64" w:rsidRDefault="004D6A64">
            <w:pPr>
              <w:rPr>
                <w:rFonts w:ascii="宋体"/>
              </w:rPr>
            </w:pPr>
          </w:p>
        </w:tc>
        <w:tc>
          <w:tcPr>
            <w:tcW w:w="50" w:type="pct"/>
            <w:shd w:val="clear" w:color="auto" w:fill="auto"/>
          </w:tcPr>
          <w:p w14:paraId="33DAA477" w14:textId="77777777" w:rsidR="004D6A64" w:rsidRDefault="004D6A64">
            <w:pPr>
              <w:rPr>
                <w:rFonts w:ascii="宋体"/>
              </w:rPr>
            </w:pPr>
          </w:p>
        </w:tc>
        <w:tc>
          <w:tcPr>
            <w:tcW w:w="646" w:type="pct"/>
            <w:shd w:val="clear" w:color="auto" w:fill="auto"/>
          </w:tcPr>
          <w:p w14:paraId="33DAA478" w14:textId="77777777" w:rsidR="004D6A64" w:rsidRDefault="004D6A64">
            <w:pPr>
              <w:rPr>
                <w:rFonts w:ascii="宋体"/>
              </w:rPr>
            </w:pPr>
          </w:p>
        </w:tc>
        <w:tc>
          <w:tcPr>
            <w:tcW w:w="5" w:type="pct"/>
            <w:shd w:val="clear" w:color="auto" w:fill="auto"/>
          </w:tcPr>
          <w:p w14:paraId="33DAA479" w14:textId="77777777" w:rsidR="004D6A64" w:rsidRDefault="004D6A64">
            <w:pPr>
              <w:rPr>
                <w:rFonts w:ascii="宋体"/>
              </w:rPr>
            </w:pPr>
          </w:p>
        </w:tc>
      </w:tr>
      <w:tr w:rsidR="004D6A64" w14:paraId="33DAA483" w14:textId="77777777">
        <w:trPr>
          <w:gridAfter w:val="6"/>
          <w:jc w:val="center"/>
        </w:trPr>
        <w:tc>
          <w:tcPr>
            <w:tcW w:w="0" w:type="auto"/>
            <w:gridSpan w:val="3"/>
            <w:shd w:val="clear" w:color="auto" w:fill="auto"/>
            <w:tcMar>
              <w:left w:w="20" w:type="dxa"/>
              <w:right w:w="20" w:type="dxa"/>
            </w:tcMar>
            <w:vAlign w:val="bottom"/>
          </w:tcPr>
          <w:p w14:paraId="33DAA47B" w14:textId="77777777" w:rsidR="004D6A64" w:rsidRDefault="004D6A64">
            <w:pPr>
              <w:rPr>
                <w:rFonts w:ascii="宋体"/>
              </w:rPr>
            </w:pPr>
          </w:p>
        </w:tc>
        <w:tc>
          <w:tcPr>
            <w:tcW w:w="0" w:type="auto"/>
            <w:gridSpan w:val="9"/>
            <w:shd w:val="clear" w:color="auto" w:fill="auto"/>
            <w:tcMar>
              <w:top w:w="40" w:type="dxa"/>
              <w:left w:w="20" w:type="dxa"/>
              <w:bottom w:w="40" w:type="dxa"/>
              <w:right w:w="20" w:type="dxa"/>
            </w:tcMar>
            <w:vAlign w:val="bottom"/>
          </w:tcPr>
          <w:p w14:paraId="33DAA47C"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shd w:val="clear" w:color="auto" w:fill="auto"/>
          </w:tcPr>
          <w:p w14:paraId="33DAA47D" w14:textId="77777777" w:rsidR="004D6A64" w:rsidRDefault="004D6A64">
            <w:pPr>
              <w:rPr>
                <w:rFonts w:ascii="宋体"/>
                <w:vanish/>
              </w:rPr>
            </w:pPr>
          </w:p>
        </w:tc>
        <w:tc>
          <w:tcPr>
            <w:tcW w:w="0" w:type="auto"/>
            <w:gridSpan w:val="3"/>
            <w:shd w:val="clear" w:color="auto" w:fill="auto"/>
          </w:tcPr>
          <w:p w14:paraId="33DAA47E"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A47F" w14:textId="77777777" w:rsidR="004D6A64" w:rsidRDefault="004D6A64">
            <w:pPr>
              <w:rPr>
                <w:rFonts w:ascii="宋体"/>
              </w:rPr>
            </w:pPr>
          </w:p>
        </w:tc>
        <w:tc>
          <w:tcPr>
            <w:tcW w:w="0" w:type="auto"/>
            <w:gridSpan w:val="9"/>
            <w:shd w:val="clear" w:color="auto" w:fill="auto"/>
            <w:tcMar>
              <w:top w:w="40" w:type="dxa"/>
              <w:left w:w="20" w:type="dxa"/>
              <w:bottom w:w="40" w:type="dxa"/>
              <w:right w:w="20" w:type="dxa"/>
            </w:tcMar>
            <w:vAlign w:val="bottom"/>
          </w:tcPr>
          <w:p w14:paraId="33DAA480" w14:textId="77777777" w:rsidR="004D6A64" w:rsidRDefault="00506CD6">
            <w:pPr>
              <w:jc w:val="center"/>
              <w:textAlignment w:val="bottom"/>
            </w:pPr>
            <w:r>
              <w:rPr>
                <w:rFonts w:ascii="Times New Roman" w:eastAsia="宋体" w:hAnsi="Times New Roman"/>
                <w:b/>
                <w:bCs/>
                <w:color w:val="000000"/>
                <w:sz w:val="20"/>
                <w:szCs w:val="20"/>
              </w:rPr>
              <w:t>January 31, 2020</w:t>
            </w:r>
          </w:p>
        </w:tc>
        <w:tc>
          <w:tcPr>
            <w:tcW w:w="0" w:type="auto"/>
            <w:gridSpan w:val="3"/>
            <w:shd w:val="clear" w:color="auto" w:fill="auto"/>
          </w:tcPr>
          <w:p w14:paraId="33DAA481" w14:textId="77777777" w:rsidR="004D6A64" w:rsidRDefault="004D6A64">
            <w:pPr>
              <w:rPr>
                <w:rFonts w:ascii="宋体"/>
                <w:vanish/>
              </w:rPr>
            </w:pPr>
          </w:p>
        </w:tc>
        <w:tc>
          <w:tcPr>
            <w:tcW w:w="0" w:type="auto"/>
            <w:gridSpan w:val="3"/>
            <w:shd w:val="clear" w:color="auto" w:fill="auto"/>
          </w:tcPr>
          <w:p w14:paraId="33DAA482" w14:textId="77777777" w:rsidR="004D6A64" w:rsidRDefault="004D6A64">
            <w:pPr>
              <w:rPr>
                <w:rFonts w:ascii="宋体"/>
                <w:vanish/>
              </w:rPr>
            </w:pPr>
          </w:p>
        </w:tc>
      </w:tr>
      <w:tr w:rsidR="004D6A64" w14:paraId="33DAA498" w14:textId="77777777">
        <w:trPr>
          <w:gridAfter w:val="6"/>
          <w:jc w:val="center"/>
        </w:trPr>
        <w:tc>
          <w:tcPr>
            <w:tcW w:w="0" w:type="auto"/>
            <w:gridSpan w:val="3"/>
            <w:shd w:val="clear" w:color="auto" w:fill="auto"/>
            <w:tcMar>
              <w:left w:w="20" w:type="dxa"/>
              <w:right w:w="20" w:type="dxa"/>
            </w:tcMar>
            <w:vAlign w:val="bottom"/>
          </w:tcPr>
          <w:p w14:paraId="33DAA484"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A485" w14:textId="77777777" w:rsidR="004D6A64" w:rsidRDefault="00506CD6">
            <w:pPr>
              <w:jc w:val="center"/>
              <w:textAlignment w:val="bottom"/>
            </w:pPr>
            <w:r>
              <w:rPr>
                <w:rFonts w:ascii="Times New Roman" w:eastAsia="宋体" w:hAnsi="Times New Roman"/>
                <w:b/>
                <w:bCs/>
                <w:color w:val="000000"/>
                <w:sz w:val="20"/>
                <w:szCs w:val="20"/>
              </w:rPr>
              <w:t>Carrying Value</w:t>
            </w:r>
          </w:p>
        </w:tc>
        <w:tc>
          <w:tcPr>
            <w:tcW w:w="0" w:type="auto"/>
            <w:gridSpan w:val="3"/>
            <w:tcBorders>
              <w:top w:val="single" w:sz="8" w:space="0" w:color="000000"/>
            </w:tcBorders>
            <w:shd w:val="clear" w:color="auto" w:fill="auto"/>
            <w:tcMar>
              <w:left w:w="20" w:type="dxa"/>
              <w:right w:w="20" w:type="dxa"/>
            </w:tcMar>
            <w:vAlign w:val="bottom"/>
          </w:tcPr>
          <w:p w14:paraId="33DAA486"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487" w14:textId="77777777" w:rsidR="004D6A64" w:rsidRDefault="00506CD6">
            <w:pPr>
              <w:jc w:val="center"/>
              <w:textAlignment w:val="bottom"/>
            </w:pPr>
            <w:r>
              <w:rPr>
                <w:rFonts w:ascii="Times New Roman" w:eastAsia="宋体" w:hAnsi="Times New Roman"/>
                <w:b/>
                <w:bCs/>
                <w:color w:val="000000"/>
                <w:sz w:val="20"/>
                <w:szCs w:val="20"/>
              </w:rPr>
              <w:t>Fair Value</w:t>
            </w:r>
          </w:p>
        </w:tc>
        <w:tc>
          <w:tcPr>
            <w:tcW w:w="0" w:type="auto"/>
            <w:gridSpan w:val="3"/>
            <w:shd w:val="clear" w:color="auto" w:fill="auto"/>
            <w:tcMar>
              <w:left w:w="20" w:type="dxa"/>
              <w:right w:w="20" w:type="dxa"/>
            </w:tcMar>
            <w:vAlign w:val="bottom"/>
          </w:tcPr>
          <w:p w14:paraId="33DAA488"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489" w14:textId="77777777" w:rsidR="004D6A64" w:rsidRDefault="00506CD6">
            <w:pPr>
              <w:jc w:val="center"/>
              <w:textAlignment w:val="bottom"/>
            </w:pPr>
            <w:r>
              <w:rPr>
                <w:rFonts w:ascii="Times New Roman" w:eastAsia="宋体" w:hAnsi="Times New Roman"/>
                <w:b/>
                <w:bCs/>
                <w:color w:val="000000"/>
                <w:sz w:val="20"/>
                <w:szCs w:val="20"/>
              </w:rPr>
              <w:t>Carrying Value</w:t>
            </w:r>
          </w:p>
        </w:tc>
        <w:tc>
          <w:tcPr>
            <w:tcW w:w="0" w:type="auto"/>
            <w:gridSpan w:val="3"/>
            <w:tcBorders>
              <w:top w:val="single" w:sz="8" w:space="0" w:color="000000"/>
            </w:tcBorders>
            <w:shd w:val="clear" w:color="auto" w:fill="auto"/>
            <w:tcMar>
              <w:left w:w="20" w:type="dxa"/>
              <w:right w:w="20" w:type="dxa"/>
            </w:tcMar>
            <w:vAlign w:val="bottom"/>
          </w:tcPr>
          <w:p w14:paraId="33DAA48A"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48B" w14:textId="77777777" w:rsidR="004D6A64" w:rsidRDefault="00506CD6">
            <w:pPr>
              <w:jc w:val="center"/>
              <w:textAlignment w:val="bottom"/>
            </w:pPr>
            <w:r>
              <w:rPr>
                <w:rFonts w:ascii="Times New Roman" w:eastAsia="宋体" w:hAnsi="Times New Roman"/>
                <w:b/>
                <w:bCs/>
                <w:color w:val="000000"/>
                <w:sz w:val="20"/>
                <w:szCs w:val="20"/>
              </w:rPr>
              <w:t>Fair Value</w:t>
            </w:r>
          </w:p>
        </w:tc>
        <w:tc>
          <w:tcPr>
            <w:tcW w:w="0" w:type="auto"/>
            <w:shd w:val="clear" w:color="auto" w:fill="auto"/>
          </w:tcPr>
          <w:p w14:paraId="33DAA48C" w14:textId="77777777" w:rsidR="004D6A64" w:rsidRDefault="004D6A64">
            <w:pPr>
              <w:rPr>
                <w:rFonts w:ascii="宋体"/>
              </w:rPr>
            </w:pPr>
          </w:p>
        </w:tc>
        <w:tc>
          <w:tcPr>
            <w:tcW w:w="0" w:type="auto"/>
            <w:shd w:val="clear" w:color="auto" w:fill="auto"/>
          </w:tcPr>
          <w:p w14:paraId="33DAA48D" w14:textId="77777777" w:rsidR="004D6A64" w:rsidRDefault="004D6A64">
            <w:pPr>
              <w:rPr>
                <w:rFonts w:ascii="宋体"/>
              </w:rPr>
            </w:pPr>
          </w:p>
        </w:tc>
        <w:tc>
          <w:tcPr>
            <w:tcW w:w="0" w:type="auto"/>
            <w:shd w:val="clear" w:color="auto" w:fill="auto"/>
          </w:tcPr>
          <w:p w14:paraId="33DAA48E" w14:textId="77777777" w:rsidR="004D6A64" w:rsidRDefault="004D6A64">
            <w:pPr>
              <w:rPr>
                <w:rFonts w:ascii="宋体"/>
              </w:rPr>
            </w:pPr>
          </w:p>
        </w:tc>
        <w:tc>
          <w:tcPr>
            <w:tcW w:w="0" w:type="auto"/>
            <w:shd w:val="clear" w:color="auto" w:fill="auto"/>
          </w:tcPr>
          <w:p w14:paraId="33DAA48F" w14:textId="77777777" w:rsidR="004D6A64" w:rsidRDefault="004D6A64">
            <w:pPr>
              <w:rPr>
                <w:rFonts w:ascii="宋体"/>
              </w:rPr>
            </w:pPr>
          </w:p>
        </w:tc>
        <w:tc>
          <w:tcPr>
            <w:tcW w:w="0" w:type="auto"/>
            <w:shd w:val="clear" w:color="auto" w:fill="auto"/>
          </w:tcPr>
          <w:p w14:paraId="33DAA490" w14:textId="77777777" w:rsidR="004D6A64" w:rsidRDefault="004D6A64">
            <w:pPr>
              <w:rPr>
                <w:rFonts w:ascii="宋体"/>
              </w:rPr>
            </w:pPr>
          </w:p>
        </w:tc>
        <w:tc>
          <w:tcPr>
            <w:tcW w:w="0" w:type="auto"/>
            <w:shd w:val="clear" w:color="auto" w:fill="auto"/>
          </w:tcPr>
          <w:p w14:paraId="33DAA491" w14:textId="77777777" w:rsidR="004D6A64" w:rsidRDefault="004D6A64">
            <w:pPr>
              <w:rPr>
                <w:rFonts w:ascii="宋体"/>
              </w:rPr>
            </w:pPr>
          </w:p>
        </w:tc>
        <w:tc>
          <w:tcPr>
            <w:tcW w:w="0" w:type="auto"/>
            <w:shd w:val="clear" w:color="auto" w:fill="auto"/>
          </w:tcPr>
          <w:p w14:paraId="33DAA492" w14:textId="77777777" w:rsidR="004D6A64" w:rsidRDefault="004D6A64">
            <w:pPr>
              <w:rPr>
                <w:rFonts w:ascii="宋体"/>
              </w:rPr>
            </w:pPr>
          </w:p>
        </w:tc>
        <w:tc>
          <w:tcPr>
            <w:tcW w:w="0" w:type="auto"/>
            <w:shd w:val="clear" w:color="auto" w:fill="auto"/>
          </w:tcPr>
          <w:p w14:paraId="33DAA493" w14:textId="77777777" w:rsidR="004D6A64" w:rsidRDefault="004D6A64">
            <w:pPr>
              <w:rPr>
                <w:rFonts w:ascii="宋体"/>
              </w:rPr>
            </w:pPr>
          </w:p>
        </w:tc>
        <w:tc>
          <w:tcPr>
            <w:tcW w:w="0" w:type="auto"/>
            <w:shd w:val="clear" w:color="auto" w:fill="auto"/>
          </w:tcPr>
          <w:p w14:paraId="33DAA494" w14:textId="77777777" w:rsidR="004D6A64" w:rsidRDefault="004D6A64">
            <w:pPr>
              <w:rPr>
                <w:rFonts w:ascii="宋体"/>
              </w:rPr>
            </w:pPr>
          </w:p>
        </w:tc>
        <w:tc>
          <w:tcPr>
            <w:tcW w:w="0" w:type="auto"/>
            <w:shd w:val="clear" w:color="auto" w:fill="auto"/>
          </w:tcPr>
          <w:p w14:paraId="33DAA495" w14:textId="77777777" w:rsidR="004D6A64" w:rsidRDefault="004D6A64">
            <w:pPr>
              <w:rPr>
                <w:rFonts w:ascii="宋体"/>
              </w:rPr>
            </w:pPr>
          </w:p>
        </w:tc>
        <w:tc>
          <w:tcPr>
            <w:tcW w:w="0" w:type="auto"/>
            <w:shd w:val="clear" w:color="auto" w:fill="auto"/>
          </w:tcPr>
          <w:p w14:paraId="33DAA496" w14:textId="77777777" w:rsidR="004D6A64" w:rsidRDefault="004D6A64">
            <w:pPr>
              <w:rPr>
                <w:rFonts w:ascii="宋体"/>
              </w:rPr>
            </w:pPr>
          </w:p>
        </w:tc>
        <w:tc>
          <w:tcPr>
            <w:tcW w:w="0" w:type="auto"/>
            <w:shd w:val="clear" w:color="auto" w:fill="auto"/>
          </w:tcPr>
          <w:p w14:paraId="33DAA497" w14:textId="77777777" w:rsidR="004D6A64" w:rsidRDefault="004D6A64">
            <w:pPr>
              <w:rPr>
                <w:rFonts w:ascii="宋体"/>
              </w:rPr>
            </w:pPr>
          </w:p>
        </w:tc>
      </w:tr>
      <w:tr w:rsidR="004D6A64" w14:paraId="33DAA4A1" w14:textId="77777777">
        <w:trPr>
          <w:jc w:val="center"/>
        </w:trPr>
        <w:tc>
          <w:tcPr>
            <w:tcW w:w="0" w:type="auto"/>
            <w:gridSpan w:val="3"/>
            <w:shd w:val="clear" w:color="auto" w:fill="auto"/>
            <w:tcMar>
              <w:left w:w="20" w:type="dxa"/>
              <w:right w:w="20" w:type="dxa"/>
            </w:tcMar>
            <w:vAlign w:val="bottom"/>
          </w:tcPr>
          <w:p w14:paraId="33DAA499" w14:textId="77777777" w:rsidR="004D6A64" w:rsidRDefault="004D6A64">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33DAA49A" w14:textId="77777777" w:rsidR="004D6A64" w:rsidRDefault="00506CD6">
            <w:pPr>
              <w:jc w:val="center"/>
              <w:textAlignment w:val="center"/>
            </w:pPr>
            <w:r>
              <w:rPr>
                <w:rFonts w:ascii="Times New Roman" w:eastAsia="宋体" w:hAnsi="Times New Roman"/>
                <w:color w:val="000000"/>
                <w:sz w:val="20"/>
                <w:szCs w:val="20"/>
              </w:rPr>
              <w:t>(in billions)</w:t>
            </w:r>
          </w:p>
        </w:tc>
        <w:tc>
          <w:tcPr>
            <w:tcW w:w="0" w:type="auto"/>
            <w:gridSpan w:val="3"/>
            <w:shd w:val="clear" w:color="auto" w:fill="auto"/>
          </w:tcPr>
          <w:p w14:paraId="33DAA49B" w14:textId="77777777" w:rsidR="004D6A64" w:rsidRDefault="004D6A64">
            <w:pPr>
              <w:rPr>
                <w:rFonts w:ascii="宋体"/>
                <w:vanish/>
              </w:rPr>
            </w:pPr>
          </w:p>
        </w:tc>
        <w:tc>
          <w:tcPr>
            <w:tcW w:w="0" w:type="auto"/>
            <w:gridSpan w:val="3"/>
            <w:shd w:val="clear" w:color="auto" w:fill="auto"/>
          </w:tcPr>
          <w:p w14:paraId="33DAA49C" w14:textId="77777777" w:rsidR="004D6A64" w:rsidRDefault="004D6A64">
            <w:pPr>
              <w:rPr>
                <w:rFonts w:ascii="宋体"/>
                <w:vanish/>
              </w:rPr>
            </w:pPr>
          </w:p>
        </w:tc>
        <w:tc>
          <w:tcPr>
            <w:tcW w:w="0" w:type="auto"/>
            <w:gridSpan w:val="3"/>
            <w:shd w:val="clear" w:color="auto" w:fill="auto"/>
          </w:tcPr>
          <w:p w14:paraId="33DAA49D" w14:textId="77777777" w:rsidR="004D6A64" w:rsidRDefault="004D6A64">
            <w:pPr>
              <w:rPr>
                <w:rFonts w:ascii="宋体"/>
                <w:vanish/>
              </w:rPr>
            </w:pPr>
          </w:p>
        </w:tc>
        <w:tc>
          <w:tcPr>
            <w:tcW w:w="0" w:type="auto"/>
            <w:gridSpan w:val="3"/>
            <w:shd w:val="clear" w:color="auto" w:fill="auto"/>
          </w:tcPr>
          <w:p w14:paraId="33DAA49E" w14:textId="77777777" w:rsidR="004D6A64" w:rsidRDefault="004D6A64">
            <w:pPr>
              <w:rPr>
                <w:rFonts w:ascii="宋体"/>
                <w:vanish/>
              </w:rPr>
            </w:pPr>
          </w:p>
        </w:tc>
        <w:tc>
          <w:tcPr>
            <w:tcW w:w="0" w:type="auto"/>
            <w:gridSpan w:val="3"/>
            <w:shd w:val="clear" w:color="auto" w:fill="auto"/>
          </w:tcPr>
          <w:p w14:paraId="33DAA49F" w14:textId="77777777" w:rsidR="004D6A64" w:rsidRDefault="004D6A64">
            <w:pPr>
              <w:rPr>
                <w:rFonts w:ascii="宋体"/>
                <w:vanish/>
              </w:rPr>
            </w:pPr>
          </w:p>
        </w:tc>
        <w:tc>
          <w:tcPr>
            <w:tcW w:w="0" w:type="auto"/>
            <w:gridSpan w:val="3"/>
            <w:shd w:val="clear" w:color="auto" w:fill="auto"/>
          </w:tcPr>
          <w:p w14:paraId="33DAA4A0" w14:textId="77777777" w:rsidR="004D6A64" w:rsidRDefault="004D6A64">
            <w:pPr>
              <w:rPr>
                <w:rFonts w:ascii="宋体"/>
                <w:vanish/>
              </w:rPr>
            </w:pPr>
          </w:p>
        </w:tc>
      </w:tr>
      <w:tr w:rsidR="004D6A64" w14:paraId="33DAA4C4" w14:textId="77777777">
        <w:trPr>
          <w:jc w:val="center"/>
        </w:trPr>
        <w:tc>
          <w:tcPr>
            <w:tcW w:w="0" w:type="auto"/>
            <w:gridSpan w:val="3"/>
            <w:shd w:val="clear" w:color="auto" w:fill="CCEEFF"/>
            <w:tcMar>
              <w:top w:w="40" w:type="dxa"/>
              <w:left w:w="20" w:type="dxa"/>
              <w:bottom w:w="40" w:type="dxa"/>
              <w:right w:w="20" w:type="dxa"/>
            </w:tcMar>
            <w:vAlign w:val="center"/>
          </w:tcPr>
          <w:p w14:paraId="33DAA4A2" w14:textId="77777777" w:rsidR="004D6A64" w:rsidRDefault="00506CD6">
            <w:pPr>
              <w:textAlignment w:val="center"/>
            </w:pPr>
            <w:r>
              <w:rPr>
                <w:rFonts w:ascii="Times New Roman" w:eastAsia="宋体" w:hAnsi="Times New Roman"/>
                <w:color w:val="000000"/>
                <w:sz w:val="20"/>
                <w:szCs w:val="20"/>
              </w:rPr>
              <w:t>Senior Secured Credit Facilities</w:t>
            </w:r>
          </w:p>
        </w:tc>
        <w:tc>
          <w:tcPr>
            <w:tcW w:w="0" w:type="auto"/>
            <w:shd w:val="clear" w:color="auto" w:fill="CCEEFF"/>
            <w:tcMar>
              <w:top w:w="40" w:type="dxa"/>
              <w:left w:w="20" w:type="dxa"/>
              <w:bottom w:w="40" w:type="dxa"/>
            </w:tcMar>
            <w:vAlign w:val="center"/>
          </w:tcPr>
          <w:p w14:paraId="33DAA4A3"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4A4" w14:textId="77777777" w:rsidR="004D6A64" w:rsidRDefault="00506CD6">
            <w:pPr>
              <w:jc w:val="right"/>
              <w:textAlignment w:val="center"/>
            </w:pPr>
            <w:r>
              <w:rPr>
                <w:rFonts w:ascii="Times New Roman" w:eastAsia="宋体" w:hAnsi="Times New Roman"/>
                <w:color w:val="000000"/>
                <w:sz w:val="20"/>
                <w:szCs w:val="20"/>
              </w:rPr>
              <w:t>8.6 </w:t>
            </w:r>
          </w:p>
        </w:tc>
        <w:tc>
          <w:tcPr>
            <w:tcW w:w="0" w:type="auto"/>
            <w:shd w:val="clear" w:color="auto" w:fill="CCEEFF"/>
            <w:tcMar>
              <w:top w:w="40" w:type="dxa"/>
              <w:bottom w:w="40" w:type="dxa"/>
              <w:right w:w="20" w:type="dxa"/>
            </w:tcMar>
            <w:vAlign w:val="center"/>
          </w:tcPr>
          <w:p w14:paraId="33DAA4A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4A6"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4A7"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4A8" w14:textId="77777777" w:rsidR="004D6A64" w:rsidRDefault="00506CD6">
            <w:pPr>
              <w:jc w:val="right"/>
              <w:textAlignment w:val="center"/>
            </w:pPr>
            <w:r>
              <w:rPr>
                <w:rFonts w:ascii="Times New Roman" w:eastAsia="宋体" w:hAnsi="Times New Roman"/>
                <w:color w:val="000000"/>
                <w:sz w:val="20"/>
                <w:szCs w:val="20"/>
              </w:rPr>
              <w:t>8.6 </w:t>
            </w:r>
          </w:p>
        </w:tc>
        <w:tc>
          <w:tcPr>
            <w:tcW w:w="0" w:type="auto"/>
            <w:shd w:val="clear" w:color="auto" w:fill="CCEEFF"/>
            <w:tcMar>
              <w:top w:w="40" w:type="dxa"/>
              <w:bottom w:w="40" w:type="dxa"/>
              <w:right w:w="20" w:type="dxa"/>
            </w:tcMar>
            <w:vAlign w:val="center"/>
          </w:tcPr>
          <w:p w14:paraId="33DAA4A9"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4AA"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4AB"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4AC" w14:textId="77777777" w:rsidR="004D6A64" w:rsidRDefault="00506CD6">
            <w:pPr>
              <w:jc w:val="right"/>
              <w:textAlignment w:val="center"/>
            </w:pPr>
            <w:r>
              <w:rPr>
                <w:rFonts w:ascii="Times New Roman" w:eastAsia="宋体" w:hAnsi="Times New Roman"/>
                <w:color w:val="000000"/>
                <w:sz w:val="20"/>
                <w:szCs w:val="20"/>
              </w:rPr>
              <w:t>8.8 </w:t>
            </w:r>
          </w:p>
        </w:tc>
        <w:tc>
          <w:tcPr>
            <w:tcW w:w="0" w:type="auto"/>
            <w:shd w:val="clear" w:color="auto" w:fill="CCEEFF"/>
            <w:tcMar>
              <w:top w:w="40" w:type="dxa"/>
              <w:bottom w:w="40" w:type="dxa"/>
              <w:right w:w="20" w:type="dxa"/>
            </w:tcMar>
            <w:vAlign w:val="center"/>
          </w:tcPr>
          <w:p w14:paraId="33DAA4A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4AE"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4AF"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4B0" w14:textId="77777777" w:rsidR="004D6A64" w:rsidRDefault="00506CD6">
            <w:pPr>
              <w:jc w:val="right"/>
              <w:textAlignment w:val="center"/>
            </w:pPr>
            <w:r>
              <w:rPr>
                <w:rFonts w:ascii="Times New Roman" w:eastAsia="宋体" w:hAnsi="Times New Roman"/>
                <w:color w:val="000000"/>
                <w:sz w:val="20"/>
                <w:szCs w:val="20"/>
              </w:rPr>
              <w:t>9.0 </w:t>
            </w:r>
          </w:p>
        </w:tc>
        <w:tc>
          <w:tcPr>
            <w:tcW w:w="0" w:type="auto"/>
            <w:shd w:val="clear" w:color="auto" w:fill="CCEEFF"/>
            <w:tcMar>
              <w:top w:w="40" w:type="dxa"/>
              <w:bottom w:w="40" w:type="dxa"/>
              <w:right w:w="20" w:type="dxa"/>
            </w:tcMar>
            <w:vAlign w:val="center"/>
          </w:tcPr>
          <w:p w14:paraId="33DAA4B1" w14:textId="77777777" w:rsidR="004D6A64" w:rsidRDefault="004D6A64">
            <w:pPr>
              <w:jc w:val="right"/>
              <w:rPr>
                <w:rFonts w:ascii="宋体"/>
              </w:rPr>
            </w:pPr>
          </w:p>
        </w:tc>
        <w:tc>
          <w:tcPr>
            <w:tcW w:w="0" w:type="auto"/>
            <w:shd w:val="clear" w:color="auto" w:fill="auto"/>
          </w:tcPr>
          <w:p w14:paraId="33DAA4B2" w14:textId="77777777" w:rsidR="004D6A64" w:rsidRDefault="004D6A64">
            <w:pPr>
              <w:rPr>
                <w:rFonts w:ascii="宋体"/>
              </w:rPr>
            </w:pPr>
          </w:p>
        </w:tc>
        <w:tc>
          <w:tcPr>
            <w:tcW w:w="0" w:type="auto"/>
            <w:shd w:val="clear" w:color="auto" w:fill="auto"/>
          </w:tcPr>
          <w:p w14:paraId="33DAA4B3" w14:textId="77777777" w:rsidR="004D6A64" w:rsidRDefault="004D6A64">
            <w:pPr>
              <w:rPr>
                <w:rFonts w:ascii="宋体"/>
              </w:rPr>
            </w:pPr>
          </w:p>
        </w:tc>
        <w:tc>
          <w:tcPr>
            <w:tcW w:w="0" w:type="auto"/>
            <w:shd w:val="clear" w:color="auto" w:fill="auto"/>
          </w:tcPr>
          <w:p w14:paraId="33DAA4B4" w14:textId="77777777" w:rsidR="004D6A64" w:rsidRDefault="004D6A64">
            <w:pPr>
              <w:rPr>
                <w:rFonts w:ascii="宋体"/>
              </w:rPr>
            </w:pPr>
          </w:p>
        </w:tc>
        <w:tc>
          <w:tcPr>
            <w:tcW w:w="0" w:type="auto"/>
            <w:shd w:val="clear" w:color="auto" w:fill="auto"/>
          </w:tcPr>
          <w:p w14:paraId="33DAA4B5" w14:textId="77777777" w:rsidR="004D6A64" w:rsidRDefault="004D6A64">
            <w:pPr>
              <w:rPr>
                <w:rFonts w:ascii="宋体"/>
              </w:rPr>
            </w:pPr>
          </w:p>
        </w:tc>
        <w:tc>
          <w:tcPr>
            <w:tcW w:w="0" w:type="auto"/>
            <w:shd w:val="clear" w:color="auto" w:fill="auto"/>
          </w:tcPr>
          <w:p w14:paraId="33DAA4B6" w14:textId="77777777" w:rsidR="004D6A64" w:rsidRDefault="004D6A64">
            <w:pPr>
              <w:rPr>
                <w:rFonts w:ascii="宋体"/>
              </w:rPr>
            </w:pPr>
          </w:p>
        </w:tc>
        <w:tc>
          <w:tcPr>
            <w:tcW w:w="0" w:type="auto"/>
            <w:shd w:val="clear" w:color="auto" w:fill="auto"/>
          </w:tcPr>
          <w:p w14:paraId="33DAA4B7" w14:textId="77777777" w:rsidR="004D6A64" w:rsidRDefault="004D6A64">
            <w:pPr>
              <w:rPr>
                <w:rFonts w:ascii="宋体"/>
              </w:rPr>
            </w:pPr>
          </w:p>
        </w:tc>
        <w:tc>
          <w:tcPr>
            <w:tcW w:w="0" w:type="auto"/>
            <w:shd w:val="clear" w:color="auto" w:fill="auto"/>
          </w:tcPr>
          <w:p w14:paraId="33DAA4B8" w14:textId="77777777" w:rsidR="004D6A64" w:rsidRDefault="004D6A64">
            <w:pPr>
              <w:rPr>
                <w:rFonts w:ascii="宋体"/>
              </w:rPr>
            </w:pPr>
          </w:p>
        </w:tc>
        <w:tc>
          <w:tcPr>
            <w:tcW w:w="0" w:type="auto"/>
            <w:shd w:val="clear" w:color="auto" w:fill="auto"/>
          </w:tcPr>
          <w:p w14:paraId="33DAA4B9" w14:textId="77777777" w:rsidR="004D6A64" w:rsidRDefault="004D6A64">
            <w:pPr>
              <w:rPr>
                <w:rFonts w:ascii="宋体"/>
              </w:rPr>
            </w:pPr>
          </w:p>
        </w:tc>
        <w:tc>
          <w:tcPr>
            <w:tcW w:w="0" w:type="auto"/>
            <w:shd w:val="clear" w:color="auto" w:fill="auto"/>
          </w:tcPr>
          <w:p w14:paraId="33DAA4BA" w14:textId="77777777" w:rsidR="004D6A64" w:rsidRDefault="004D6A64">
            <w:pPr>
              <w:rPr>
                <w:rFonts w:ascii="宋体"/>
              </w:rPr>
            </w:pPr>
          </w:p>
        </w:tc>
        <w:tc>
          <w:tcPr>
            <w:tcW w:w="0" w:type="auto"/>
            <w:shd w:val="clear" w:color="auto" w:fill="auto"/>
          </w:tcPr>
          <w:p w14:paraId="33DAA4BB" w14:textId="77777777" w:rsidR="004D6A64" w:rsidRDefault="004D6A64">
            <w:pPr>
              <w:rPr>
                <w:rFonts w:ascii="宋体"/>
              </w:rPr>
            </w:pPr>
          </w:p>
        </w:tc>
        <w:tc>
          <w:tcPr>
            <w:tcW w:w="0" w:type="auto"/>
            <w:shd w:val="clear" w:color="auto" w:fill="auto"/>
          </w:tcPr>
          <w:p w14:paraId="33DAA4BC" w14:textId="77777777" w:rsidR="004D6A64" w:rsidRDefault="004D6A64">
            <w:pPr>
              <w:rPr>
                <w:rFonts w:ascii="宋体"/>
              </w:rPr>
            </w:pPr>
          </w:p>
        </w:tc>
        <w:tc>
          <w:tcPr>
            <w:tcW w:w="0" w:type="auto"/>
            <w:shd w:val="clear" w:color="auto" w:fill="auto"/>
          </w:tcPr>
          <w:p w14:paraId="33DAA4BD" w14:textId="77777777" w:rsidR="004D6A64" w:rsidRDefault="004D6A64">
            <w:pPr>
              <w:rPr>
                <w:rFonts w:ascii="宋体"/>
              </w:rPr>
            </w:pPr>
          </w:p>
        </w:tc>
        <w:tc>
          <w:tcPr>
            <w:tcW w:w="0" w:type="auto"/>
            <w:shd w:val="clear" w:color="auto" w:fill="auto"/>
          </w:tcPr>
          <w:p w14:paraId="33DAA4BE" w14:textId="77777777" w:rsidR="004D6A64" w:rsidRDefault="004D6A64">
            <w:pPr>
              <w:rPr>
                <w:rFonts w:ascii="宋体"/>
              </w:rPr>
            </w:pPr>
          </w:p>
        </w:tc>
        <w:tc>
          <w:tcPr>
            <w:tcW w:w="0" w:type="auto"/>
            <w:shd w:val="clear" w:color="auto" w:fill="auto"/>
          </w:tcPr>
          <w:p w14:paraId="33DAA4BF" w14:textId="77777777" w:rsidR="004D6A64" w:rsidRDefault="004D6A64">
            <w:pPr>
              <w:rPr>
                <w:rFonts w:ascii="宋体"/>
              </w:rPr>
            </w:pPr>
          </w:p>
        </w:tc>
        <w:tc>
          <w:tcPr>
            <w:tcW w:w="0" w:type="auto"/>
            <w:shd w:val="clear" w:color="auto" w:fill="auto"/>
          </w:tcPr>
          <w:p w14:paraId="33DAA4C0" w14:textId="77777777" w:rsidR="004D6A64" w:rsidRDefault="004D6A64">
            <w:pPr>
              <w:rPr>
                <w:rFonts w:ascii="宋体"/>
              </w:rPr>
            </w:pPr>
          </w:p>
        </w:tc>
        <w:tc>
          <w:tcPr>
            <w:tcW w:w="0" w:type="auto"/>
            <w:shd w:val="clear" w:color="auto" w:fill="auto"/>
          </w:tcPr>
          <w:p w14:paraId="33DAA4C1" w14:textId="77777777" w:rsidR="004D6A64" w:rsidRDefault="004D6A64">
            <w:pPr>
              <w:rPr>
                <w:rFonts w:ascii="宋体"/>
              </w:rPr>
            </w:pPr>
          </w:p>
        </w:tc>
        <w:tc>
          <w:tcPr>
            <w:tcW w:w="0" w:type="auto"/>
            <w:shd w:val="clear" w:color="auto" w:fill="auto"/>
          </w:tcPr>
          <w:p w14:paraId="33DAA4C2" w14:textId="77777777" w:rsidR="004D6A64" w:rsidRDefault="004D6A64">
            <w:pPr>
              <w:rPr>
                <w:rFonts w:ascii="宋体"/>
              </w:rPr>
            </w:pPr>
          </w:p>
        </w:tc>
        <w:tc>
          <w:tcPr>
            <w:tcW w:w="0" w:type="auto"/>
            <w:shd w:val="clear" w:color="auto" w:fill="auto"/>
          </w:tcPr>
          <w:p w14:paraId="33DAA4C3" w14:textId="77777777" w:rsidR="004D6A64" w:rsidRDefault="004D6A64">
            <w:pPr>
              <w:rPr>
                <w:rFonts w:ascii="宋体"/>
              </w:rPr>
            </w:pPr>
          </w:p>
        </w:tc>
      </w:tr>
      <w:tr w:rsidR="004D6A64" w14:paraId="33DAA4E7" w14:textId="77777777">
        <w:trPr>
          <w:jc w:val="center"/>
        </w:trPr>
        <w:tc>
          <w:tcPr>
            <w:tcW w:w="0" w:type="auto"/>
            <w:gridSpan w:val="3"/>
            <w:shd w:val="clear" w:color="auto" w:fill="FFFFFF"/>
            <w:tcMar>
              <w:top w:w="40" w:type="dxa"/>
              <w:left w:w="20" w:type="dxa"/>
              <w:bottom w:w="40" w:type="dxa"/>
              <w:right w:w="20" w:type="dxa"/>
            </w:tcMar>
            <w:vAlign w:val="center"/>
          </w:tcPr>
          <w:p w14:paraId="33DAA4C5" w14:textId="77777777" w:rsidR="004D6A64" w:rsidRDefault="00506CD6">
            <w:pPr>
              <w:textAlignment w:val="center"/>
            </w:pPr>
            <w:r>
              <w:rPr>
                <w:rFonts w:ascii="Times New Roman" w:eastAsia="宋体" w:hAnsi="Times New Roman"/>
                <w:color w:val="000000"/>
                <w:sz w:val="20"/>
                <w:szCs w:val="20"/>
              </w:rPr>
              <w:t>First Lien Notes</w:t>
            </w:r>
          </w:p>
        </w:tc>
        <w:tc>
          <w:tcPr>
            <w:tcW w:w="0" w:type="auto"/>
            <w:shd w:val="clear" w:color="auto" w:fill="FFFFFF"/>
            <w:tcMar>
              <w:top w:w="40" w:type="dxa"/>
              <w:left w:w="20" w:type="dxa"/>
              <w:bottom w:w="40" w:type="dxa"/>
            </w:tcMar>
            <w:vAlign w:val="center"/>
          </w:tcPr>
          <w:p w14:paraId="33DAA4C6"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4C7" w14:textId="77777777" w:rsidR="004D6A64" w:rsidRDefault="00506CD6">
            <w:pPr>
              <w:jc w:val="right"/>
              <w:textAlignment w:val="center"/>
            </w:pPr>
            <w:r>
              <w:rPr>
                <w:rFonts w:ascii="Times New Roman" w:eastAsia="宋体" w:hAnsi="Times New Roman"/>
                <w:color w:val="000000"/>
                <w:sz w:val="20"/>
                <w:szCs w:val="20"/>
              </w:rPr>
              <w:t>21.3 </w:t>
            </w:r>
          </w:p>
        </w:tc>
        <w:tc>
          <w:tcPr>
            <w:tcW w:w="0" w:type="auto"/>
            <w:shd w:val="clear" w:color="auto" w:fill="FFFFFF"/>
            <w:tcMar>
              <w:top w:w="40" w:type="dxa"/>
              <w:bottom w:w="40" w:type="dxa"/>
              <w:right w:w="20" w:type="dxa"/>
            </w:tcMar>
            <w:vAlign w:val="center"/>
          </w:tcPr>
          <w:p w14:paraId="33DAA4C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4C9"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A4CA"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4CB" w14:textId="77777777" w:rsidR="004D6A64" w:rsidRDefault="00506CD6">
            <w:pPr>
              <w:jc w:val="right"/>
              <w:textAlignment w:val="center"/>
            </w:pPr>
            <w:r>
              <w:rPr>
                <w:rFonts w:ascii="Times New Roman" w:eastAsia="宋体" w:hAnsi="Times New Roman"/>
                <w:color w:val="000000"/>
                <w:sz w:val="20"/>
                <w:szCs w:val="20"/>
              </w:rPr>
              <w:t>25.1 </w:t>
            </w:r>
          </w:p>
        </w:tc>
        <w:tc>
          <w:tcPr>
            <w:tcW w:w="0" w:type="auto"/>
            <w:shd w:val="clear" w:color="auto" w:fill="FFFFFF"/>
            <w:tcMar>
              <w:top w:w="40" w:type="dxa"/>
              <w:bottom w:w="40" w:type="dxa"/>
              <w:right w:w="20" w:type="dxa"/>
            </w:tcMar>
            <w:vAlign w:val="center"/>
          </w:tcPr>
          <w:p w14:paraId="33DAA4C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4CD"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A4CE"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4CF" w14:textId="77777777" w:rsidR="004D6A64" w:rsidRDefault="00506CD6">
            <w:pPr>
              <w:jc w:val="right"/>
              <w:textAlignment w:val="center"/>
            </w:pPr>
            <w:r>
              <w:rPr>
                <w:rFonts w:ascii="Times New Roman" w:eastAsia="宋体" w:hAnsi="Times New Roman"/>
                <w:color w:val="000000"/>
                <w:sz w:val="20"/>
                <w:szCs w:val="20"/>
              </w:rPr>
              <w:t>20.5 </w:t>
            </w:r>
          </w:p>
        </w:tc>
        <w:tc>
          <w:tcPr>
            <w:tcW w:w="0" w:type="auto"/>
            <w:shd w:val="clear" w:color="auto" w:fill="FFFFFF"/>
            <w:tcMar>
              <w:top w:w="40" w:type="dxa"/>
              <w:bottom w:w="40" w:type="dxa"/>
              <w:right w:w="20" w:type="dxa"/>
            </w:tcMar>
            <w:vAlign w:val="center"/>
          </w:tcPr>
          <w:p w14:paraId="33DAA4D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4D1"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A4D2"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4D3" w14:textId="77777777" w:rsidR="004D6A64" w:rsidRDefault="00506CD6">
            <w:pPr>
              <w:jc w:val="right"/>
              <w:textAlignment w:val="center"/>
            </w:pPr>
            <w:r>
              <w:rPr>
                <w:rFonts w:ascii="Times New Roman" w:eastAsia="宋体" w:hAnsi="Times New Roman"/>
                <w:color w:val="000000"/>
                <w:sz w:val="20"/>
                <w:szCs w:val="20"/>
              </w:rPr>
              <w:t>23.9 </w:t>
            </w:r>
          </w:p>
        </w:tc>
        <w:tc>
          <w:tcPr>
            <w:tcW w:w="0" w:type="auto"/>
            <w:shd w:val="clear" w:color="auto" w:fill="FFFFFF"/>
            <w:tcMar>
              <w:top w:w="40" w:type="dxa"/>
              <w:bottom w:w="40" w:type="dxa"/>
              <w:right w:w="20" w:type="dxa"/>
            </w:tcMar>
            <w:vAlign w:val="center"/>
          </w:tcPr>
          <w:p w14:paraId="33DAA4D4" w14:textId="77777777" w:rsidR="004D6A64" w:rsidRDefault="004D6A64">
            <w:pPr>
              <w:jc w:val="right"/>
              <w:rPr>
                <w:rFonts w:ascii="宋体"/>
              </w:rPr>
            </w:pPr>
          </w:p>
        </w:tc>
        <w:tc>
          <w:tcPr>
            <w:tcW w:w="0" w:type="auto"/>
            <w:shd w:val="clear" w:color="auto" w:fill="auto"/>
          </w:tcPr>
          <w:p w14:paraId="33DAA4D5" w14:textId="77777777" w:rsidR="004D6A64" w:rsidRDefault="004D6A64">
            <w:pPr>
              <w:rPr>
                <w:rFonts w:ascii="宋体"/>
              </w:rPr>
            </w:pPr>
          </w:p>
        </w:tc>
        <w:tc>
          <w:tcPr>
            <w:tcW w:w="0" w:type="auto"/>
            <w:shd w:val="clear" w:color="auto" w:fill="auto"/>
          </w:tcPr>
          <w:p w14:paraId="33DAA4D6" w14:textId="77777777" w:rsidR="004D6A64" w:rsidRDefault="004D6A64">
            <w:pPr>
              <w:rPr>
                <w:rFonts w:ascii="宋体"/>
              </w:rPr>
            </w:pPr>
          </w:p>
        </w:tc>
        <w:tc>
          <w:tcPr>
            <w:tcW w:w="0" w:type="auto"/>
            <w:shd w:val="clear" w:color="auto" w:fill="auto"/>
          </w:tcPr>
          <w:p w14:paraId="33DAA4D7" w14:textId="77777777" w:rsidR="004D6A64" w:rsidRDefault="004D6A64">
            <w:pPr>
              <w:rPr>
                <w:rFonts w:ascii="宋体"/>
              </w:rPr>
            </w:pPr>
          </w:p>
        </w:tc>
        <w:tc>
          <w:tcPr>
            <w:tcW w:w="0" w:type="auto"/>
            <w:shd w:val="clear" w:color="auto" w:fill="auto"/>
          </w:tcPr>
          <w:p w14:paraId="33DAA4D8" w14:textId="77777777" w:rsidR="004D6A64" w:rsidRDefault="004D6A64">
            <w:pPr>
              <w:rPr>
                <w:rFonts w:ascii="宋体"/>
              </w:rPr>
            </w:pPr>
          </w:p>
        </w:tc>
        <w:tc>
          <w:tcPr>
            <w:tcW w:w="0" w:type="auto"/>
            <w:shd w:val="clear" w:color="auto" w:fill="auto"/>
          </w:tcPr>
          <w:p w14:paraId="33DAA4D9" w14:textId="77777777" w:rsidR="004D6A64" w:rsidRDefault="004D6A64">
            <w:pPr>
              <w:rPr>
                <w:rFonts w:ascii="宋体"/>
              </w:rPr>
            </w:pPr>
          </w:p>
        </w:tc>
        <w:tc>
          <w:tcPr>
            <w:tcW w:w="0" w:type="auto"/>
            <w:shd w:val="clear" w:color="auto" w:fill="auto"/>
          </w:tcPr>
          <w:p w14:paraId="33DAA4DA" w14:textId="77777777" w:rsidR="004D6A64" w:rsidRDefault="004D6A64">
            <w:pPr>
              <w:rPr>
                <w:rFonts w:ascii="宋体"/>
              </w:rPr>
            </w:pPr>
          </w:p>
        </w:tc>
        <w:tc>
          <w:tcPr>
            <w:tcW w:w="0" w:type="auto"/>
            <w:shd w:val="clear" w:color="auto" w:fill="auto"/>
          </w:tcPr>
          <w:p w14:paraId="33DAA4DB" w14:textId="77777777" w:rsidR="004D6A64" w:rsidRDefault="004D6A64">
            <w:pPr>
              <w:rPr>
                <w:rFonts w:ascii="宋体"/>
              </w:rPr>
            </w:pPr>
          </w:p>
        </w:tc>
        <w:tc>
          <w:tcPr>
            <w:tcW w:w="0" w:type="auto"/>
            <w:shd w:val="clear" w:color="auto" w:fill="auto"/>
          </w:tcPr>
          <w:p w14:paraId="33DAA4DC" w14:textId="77777777" w:rsidR="004D6A64" w:rsidRDefault="004D6A64">
            <w:pPr>
              <w:rPr>
                <w:rFonts w:ascii="宋体"/>
              </w:rPr>
            </w:pPr>
          </w:p>
        </w:tc>
        <w:tc>
          <w:tcPr>
            <w:tcW w:w="0" w:type="auto"/>
            <w:shd w:val="clear" w:color="auto" w:fill="auto"/>
          </w:tcPr>
          <w:p w14:paraId="33DAA4DD" w14:textId="77777777" w:rsidR="004D6A64" w:rsidRDefault="004D6A64">
            <w:pPr>
              <w:rPr>
                <w:rFonts w:ascii="宋体"/>
              </w:rPr>
            </w:pPr>
          </w:p>
        </w:tc>
        <w:tc>
          <w:tcPr>
            <w:tcW w:w="0" w:type="auto"/>
            <w:shd w:val="clear" w:color="auto" w:fill="auto"/>
          </w:tcPr>
          <w:p w14:paraId="33DAA4DE" w14:textId="77777777" w:rsidR="004D6A64" w:rsidRDefault="004D6A64">
            <w:pPr>
              <w:rPr>
                <w:rFonts w:ascii="宋体"/>
              </w:rPr>
            </w:pPr>
          </w:p>
        </w:tc>
        <w:tc>
          <w:tcPr>
            <w:tcW w:w="0" w:type="auto"/>
            <w:shd w:val="clear" w:color="auto" w:fill="auto"/>
          </w:tcPr>
          <w:p w14:paraId="33DAA4DF" w14:textId="77777777" w:rsidR="004D6A64" w:rsidRDefault="004D6A64">
            <w:pPr>
              <w:rPr>
                <w:rFonts w:ascii="宋体"/>
              </w:rPr>
            </w:pPr>
          </w:p>
        </w:tc>
        <w:tc>
          <w:tcPr>
            <w:tcW w:w="0" w:type="auto"/>
            <w:shd w:val="clear" w:color="auto" w:fill="auto"/>
          </w:tcPr>
          <w:p w14:paraId="33DAA4E0" w14:textId="77777777" w:rsidR="004D6A64" w:rsidRDefault="004D6A64">
            <w:pPr>
              <w:rPr>
                <w:rFonts w:ascii="宋体"/>
              </w:rPr>
            </w:pPr>
          </w:p>
        </w:tc>
        <w:tc>
          <w:tcPr>
            <w:tcW w:w="0" w:type="auto"/>
            <w:shd w:val="clear" w:color="auto" w:fill="auto"/>
          </w:tcPr>
          <w:p w14:paraId="33DAA4E1" w14:textId="77777777" w:rsidR="004D6A64" w:rsidRDefault="004D6A64">
            <w:pPr>
              <w:rPr>
                <w:rFonts w:ascii="宋体"/>
              </w:rPr>
            </w:pPr>
          </w:p>
        </w:tc>
        <w:tc>
          <w:tcPr>
            <w:tcW w:w="0" w:type="auto"/>
            <w:shd w:val="clear" w:color="auto" w:fill="auto"/>
          </w:tcPr>
          <w:p w14:paraId="33DAA4E2" w14:textId="77777777" w:rsidR="004D6A64" w:rsidRDefault="004D6A64">
            <w:pPr>
              <w:rPr>
                <w:rFonts w:ascii="宋体"/>
              </w:rPr>
            </w:pPr>
          </w:p>
        </w:tc>
        <w:tc>
          <w:tcPr>
            <w:tcW w:w="0" w:type="auto"/>
            <w:shd w:val="clear" w:color="auto" w:fill="auto"/>
          </w:tcPr>
          <w:p w14:paraId="33DAA4E3" w14:textId="77777777" w:rsidR="004D6A64" w:rsidRDefault="004D6A64">
            <w:pPr>
              <w:rPr>
                <w:rFonts w:ascii="宋体"/>
              </w:rPr>
            </w:pPr>
          </w:p>
        </w:tc>
        <w:tc>
          <w:tcPr>
            <w:tcW w:w="0" w:type="auto"/>
            <w:shd w:val="clear" w:color="auto" w:fill="auto"/>
          </w:tcPr>
          <w:p w14:paraId="33DAA4E4" w14:textId="77777777" w:rsidR="004D6A64" w:rsidRDefault="004D6A64">
            <w:pPr>
              <w:rPr>
                <w:rFonts w:ascii="宋体"/>
              </w:rPr>
            </w:pPr>
          </w:p>
        </w:tc>
        <w:tc>
          <w:tcPr>
            <w:tcW w:w="0" w:type="auto"/>
            <w:shd w:val="clear" w:color="auto" w:fill="auto"/>
          </w:tcPr>
          <w:p w14:paraId="33DAA4E5" w14:textId="77777777" w:rsidR="004D6A64" w:rsidRDefault="004D6A64">
            <w:pPr>
              <w:rPr>
                <w:rFonts w:ascii="宋体"/>
              </w:rPr>
            </w:pPr>
          </w:p>
        </w:tc>
        <w:tc>
          <w:tcPr>
            <w:tcW w:w="0" w:type="auto"/>
            <w:shd w:val="clear" w:color="auto" w:fill="auto"/>
          </w:tcPr>
          <w:p w14:paraId="33DAA4E6" w14:textId="77777777" w:rsidR="004D6A64" w:rsidRDefault="004D6A64">
            <w:pPr>
              <w:rPr>
                <w:rFonts w:ascii="宋体"/>
              </w:rPr>
            </w:pPr>
          </w:p>
        </w:tc>
      </w:tr>
      <w:tr w:rsidR="004D6A64" w14:paraId="33DAA50A" w14:textId="77777777">
        <w:trPr>
          <w:jc w:val="center"/>
        </w:trPr>
        <w:tc>
          <w:tcPr>
            <w:tcW w:w="0" w:type="auto"/>
            <w:gridSpan w:val="3"/>
            <w:shd w:val="clear" w:color="auto" w:fill="CCEEFF"/>
            <w:tcMar>
              <w:top w:w="40" w:type="dxa"/>
              <w:left w:w="20" w:type="dxa"/>
              <w:bottom w:w="40" w:type="dxa"/>
              <w:right w:w="20" w:type="dxa"/>
            </w:tcMar>
            <w:vAlign w:val="center"/>
          </w:tcPr>
          <w:p w14:paraId="33DAA4E8" w14:textId="77777777" w:rsidR="004D6A64" w:rsidRDefault="00506CD6">
            <w:pPr>
              <w:textAlignment w:val="center"/>
            </w:pPr>
            <w:r>
              <w:rPr>
                <w:rFonts w:ascii="Times New Roman" w:eastAsia="宋体" w:hAnsi="Times New Roman"/>
                <w:color w:val="000000"/>
                <w:sz w:val="20"/>
                <w:szCs w:val="20"/>
              </w:rPr>
              <w:t>Unsecured Notes and Debentures</w:t>
            </w:r>
          </w:p>
        </w:tc>
        <w:tc>
          <w:tcPr>
            <w:tcW w:w="0" w:type="auto"/>
            <w:shd w:val="clear" w:color="auto" w:fill="CCEEFF"/>
            <w:tcMar>
              <w:top w:w="40" w:type="dxa"/>
              <w:left w:w="20" w:type="dxa"/>
              <w:bottom w:w="40" w:type="dxa"/>
            </w:tcMar>
            <w:vAlign w:val="center"/>
          </w:tcPr>
          <w:p w14:paraId="33DAA4E9"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4EA" w14:textId="77777777" w:rsidR="004D6A64" w:rsidRDefault="00506CD6">
            <w:pPr>
              <w:jc w:val="right"/>
              <w:textAlignment w:val="center"/>
            </w:pPr>
            <w:r>
              <w:rPr>
                <w:rFonts w:ascii="Times New Roman" w:eastAsia="宋体" w:hAnsi="Times New Roman"/>
                <w:color w:val="000000"/>
                <w:sz w:val="20"/>
                <w:szCs w:val="20"/>
              </w:rPr>
              <w:t>1.2 </w:t>
            </w:r>
          </w:p>
        </w:tc>
        <w:tc>
          <w:tcPr>
            <w:tcW w:w="0" w:type="auto"/>
            <w:shd w:val="clear" w:color="auto" w:fill="CCEEFF"/>
            <w:tcMar>
              <w:top w:w="40" w:type="dxa"/>
              <w:bottom w:w="40" w:type="dxa"/>
              <w:right w:w="20" w:type="dxa"/>
            </w:tcMar>
            <w:vAlign w:val="center"/>
          </w:tcPr>
          <w:p w14:paraId="33DAA4E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4EC"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4ED"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4EE" w14:textId="77777777" w:rsidR="004D6A64" w:rsidRDefault="00506CD6">
            <w:pPr>
              <w:jc w:val="right"/>
              <w:textAlignment w:val="center"/>
            </w:pPr>
            <w:r>
              <w:rPr>
                <w:rFonts w:ascii="Times New Roman" w:eastAsia="宋体" w:hAnsi="Times New Roman"/>
                <w:color w:val="000000"/>
                <w:sz w:val="20"/>
                <w:szCs w:val="20"/>
              </w:rPr>
              <w:t>1.5 </w:t>
            </w:r>
          </w:p>
        </w:tc>
        <w:tc>
          <w:tcPr>
            <w:tcW w:w="0" w:type="auto"/>
            <w:shd w:val="clear" w:color="auto" w:fill="CCEEFF"/>
            <w:tcMar>
              <w:top w:w="40" w:type="dxa"/>
              <w:bottom w:w="40" w:type="dxa"/>
              <w:right w:w="20" w:type="dxa"/>
            </w:tcMar>
            <w:vAlign w:val="center"/>
          </w:tcPr>
          <w:p w14:paraId="33DAA4E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4F0"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4F1"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4F2" w14:textId="77777777" w:rsidR="004D6A64" w:rsidRDefault="00506CD6">
            <w:pPr>
              <w:jc w:val="right"/>
              <w:textAlignment w:val="center"/>
            </w:pPr>
            <w:r>
              <w:rPr>
                <w:rFonts w:ascii="Times New Roman" w:eastAsia="宋体" w:hAnsi="Times New Roman"/>
                <w:color w:val="000000"/>
                <w:sz w:val="20"/>
                <w:szCs w:val="20"/>
              </w:rPr>
              <w:t>1.2 </w:t>
            </w:r>
          </w:p>
        </w:tc>
        <w:tc>
          <w:tcPr>
            <w:tcW w:w="0" w:type="auto"/>
            <w:shd w:val="clear" w:color="auto" w:fill="CCEEFF"/>
            <w:tcMar>
              <w:top w:w="40" w:type="dxa"/>
              <w:bottom w:w="40" w:type="dxa"/>
              <w:right w:w="20" w:type="dxa"/>
            </w:tcMar>
            <w:vAlign w:val="center"/>
          </w:tcPr>
          <w:p w14:paraId="33DAA4F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4F4"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4F5"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4F6" w14:textId="77777777" w:rsidR="004D6A64" w:rsidRDefault="00506CD6">
            <w:pPr>
              <w:jc w:val="right"/>
              <w:textAlignment w:val="center"/>
            </w:pPr>
            <w:r>
              <w:rPr>
                <w:rFonts w:ascii="Times New Roman" w:eastAsia="宋体" w:hAnsi="Times New Roman"/>
                <w:color w:val="000000"/>
                <w:sz w:val="20"/>
                <w:szCs w:val="20"/>
              </w:rPr>
              <w:t>1.5 </w:t>
            </w:r>
          </w:p>
        </w:tc>
        <w:tc>
          <w:tcPr>
            <w:tcW w:w="0" w:type="auto"/>
            <w:shd w:val="clear" w:color="auto" w:fill="CCEEFF"/>
            <w:tcMar>
              <w:top w:w="40" w:type="dxa"/>
              <w:bottom w:w="40" w:type="dxa"/>
              <w:right w:w="20" w:type="dxa"/>
            </w:tcMar>
            <w:vAlign w:val="center"/>
          </w:tcPr>
          <w:p w14:paraId="33DAA4F7" w14:textId="77777777" w:rsidR="004D6A64" w:rsidRDefault="004D6A64">
            <w:pPr>
              <w:jc w:val="right"/>
              <w:rPr>
                <w:rFonts w:ascii="宋体"/>
              </w:rPr>
            </w:pPr>
          </w:p>
        </w:tc>
        <w:tc>
          <w:tcPr>
            <w:tcW w:w="0" w:type="auto"/>
            <w:shd w:val="clear" w:color="auto" w:fill="auto"/>
          </w:tcPr>
          <w:p w14:paraId="33DAA4F8" w14:textId="77777777" w:rsidR="004D6A64" w:rsidRDefault="004D6A64">
            <w:pPr>
              <w:rPr>
                <w:rFonts w:ascii="宋体"/>
              </w:rPr>
            </w:pPr>
          </w:p>
        </w:tc>
        <w:tc>
          <w:tcPr>
            <w:tcW w:w="0" w:type="auto"/>
            <w:shd w:val="clear" w:color="auto" w:fill="auto"/>
          </w:tcPr>
          <w:p w14:paraId="33DAA4F9" w14:textId="77777777" w:rsidR="004D6A64" w:rsidRDefault="004D6A64">
            <w:pPr>
              <w:rPr>
                <w:rFonts w:ascii="宋体"/>
              </w:rPr>
            </w:pPr>
          </w:p>
        </w:tc>
        <w:tc>
          <w:tcPr>
            <w:tcW w:w="0" w:type="auto"/>
            <w:shd w:val="clear" w:color="auto" w:fill="auto"/>
          </w:tcPr>
          <w:p w14:paraId="33DAA4FA" w14:textId="77777777" w:rsidR="004D6A64" w:rsidRDefault="004D6A64">
            <w:pPr>
              <w:rPr>
                <w:rFonts w:ascii="宋体"/>
              </w:rPr>
            </w:pPr>
          </w:p>
        </w:tc>
        <w:tc>
          <w:tcPr>
            <w:tcW w:w="0" w:type="auto"/>
            <w:shd w:val="clear" w:color="auto" w:fill="auto"/>
          </w:tcPr>
          <w:p w14:paraId="33DAA4FB" w14:textId="77777777" w:rsidR="004D6A64" w:rsidRDefault="004D6A64">
            <w:pPr>
              <w:rPr>
                <w:rFonts w:ascii="宋体"/>
              </w:rPr>
            </w:pPr>
          </w:p>
        </w:tc>
        <w:tc>
          <w:tcPr>
            <w:tcW w:w="0" w:type="auto"/>
            <w:shd w:val="clear" w:color="auto" w:fill="auto"/>
          </w:tcPr>
          <w:p w14:paraId="33DAA4FC" w14:textId="77777777" w:rsidR="004D6A64" w:rsidRDefault="004D6A64">
            <w:pPr>
              <w:rPr>
                <w:rFonts w:ascii="宋体"/>
              </w:rPr>
            </w:pPr>
          </w:p>
        </w:tc>
        <w:tc>
          <w:tcPr>
            <w:tcW w:w="0" w:type="auto"/>
            <w:shd w:val="clear" w:color="auto" w:fill="auto"/>
          </w:tcPr>
          <w:p w14:paraId="33DAA4FD" w14:textId="77777777" w:rsidR="004D6A64" w:rsidRDefault="004D6A64">
            <w:pPr>
              <w:rPr>
                <w:rFonts w:ascii="宋体"/>
              </w:rPr>
            </w:pPr>
          </w:p>
        </w:tc>
        <w:tc>
          <w:tcPr>
            <w:tcW w:w="0" w:type="auto"/>
            <w:shd w:val="clear" w:color="auto" w:fill="auto"/>
          </w:tcPr>
          <w:p w14:paraId="33DAA4FE" w14:textId="77777777" w:rsidR="004D6A64" w:rsidRDefault="004D6A64">
            <w:pPr>
              <w:rPr>
                <w:rFonts w:ascii="宋体"/>
              </w:rPr>
            </w:pPr>
          </w:p>
        </w:tc>
        <w:tc>
          <w:tcPr>
            <w:tcW w:w="0" w:type="auto"/>
            <w:shd w:val="clear" w:color="auto" w:fill="auto"/>
          </w:tcPr>
          <w:p w14:paraId="33DAA4FF" w14:textId="77777777" w:rsidR="004D6A64" w:rsidRDefault="004D6A64">
            <w:pPr>
              <w:rPr>
                <w:rFonts w:ascii="宋体"/>
              </w:rPr>
            </w:pPr>
          </w:p>
        </w:tc>
        <w:tc>
          <w:tcPr>
            <w:tcW w:w="0" w:type="auto"/>
            <w:shd w:val="clear" w:color="auto" w:fill="auto"/>
          </w:tcPr>
          <w:p w14:paraId="33DAA500" w14:textId="77777777" w:rsidR="004D6A64" w:rsidRDefault="004D6A64">
            <w:pPr>
              <w:rPr>
                <w:rFonts w:ascii="宋体"/>
              </w:rPr>
            </w:pPr>
          </w:p>
        </w:tc>
        <w:tc>
          <w:tcPr>
            <w:tcW w:w="0" w:type="auto"/>
            <w:shd w:val="clear" w:color="auto" w:fill="auto"/>
          </w:tcPr>
          <w:p w14:paraId="33DAA501" w14:textId="77777777" w:rsidR="004D6A64" w:rsidRDefault="004D6A64">
            <w:pPr>
              <w:rPr>
                <w:rFonts w:ascii="宋体"/>
              </w:rPr>
            </w:pPr>
          </w:p>
        </w:tc>
        <w:tc>
          <w:tcPr>
            <w:tcW w:w="0" w:type="auto"/>
            <w:shd w:val="clear" w:color="auto" w:fill="auto"/>
          </w:tcPr>
          <w:p w14:paraId="33DAA502" w14:textId="77777777" w:rsidR="004D6A64" w:rsidRDefault="004D6A64">
            <w:pPr>
              <w:rPr>
                <w:rFonts w:ascii="宋体"/>
              </w:rPr>
            </w:pPr>
          </w:p>
        </w:tc>
        <w:tc>
          <w:tcPr>
            <w:tcW w:w="0" w:type="auto"/>
            <w:shd w:val="clear" w:color="auto" w:fill="auto"/>
          </w:tcPr>
          <w:p w14:paraId="33DAA503" w14:textId="77777777" w:rsidR="004D6A64" w:rsidRDefault="004D6A64">
            <w:pPr>
              <w:rPr>
                <w:rFonts w:ascii="宋体"/>
              </w:rPr>
            </w:pPr>
          </w:p>
        </w:tc>
        <w:tc>
          <w:tcPr>
            <w:tcW w:w="0" w:type="auto"/>
            <w:shd w:val="clear" w:color="auto" w:fill="auto"/>
          </w:tcPr>
          <w:p w14:paraId="33DAA504" w14:textId="77777777" w:rsidR="004D6A64" w:rsidRDefault="004D6A64">
            <w:pPr>
              <w:rPr>
                <w:rFonts w:ascii="宋体"/>
              </w:rPr>
            </w:pPr>
          </w:p>
        </w:tc>
        <w:tc>
          <w:tcPr>
            <w:tcW w:w="0" w:type="auto"/>
            <w:shd w:val="clear" w:color="auto" w:fill="auto"/>
          </w:tcPr>
          <w:p w14:paraId="33DAA505" w14:textId="77777777" w:rsidR="004D6A64" w:rsidRDefault="004D6A64">
            <w:pPr>
              <w:rPr>
                <w:rFonts w:ascii="宋体"/>
              </w:rPr>
            </w:pPr>
          </w:p>
        </w:tc>
        <w:tc>
          <w:tcPr>
            <w:tcW w:w="0" w:type="auto"/>
            <w:shd w:val="clear" w:color="auto" w:fill="auto"/>
          </w:tcPr>
          <w:p w14:paraId="33DAA506" w14:textId="77777777" w:rsidR="004D6A64" w:rsidRDefault="004D6A64">
            <w:pPr>
              <w:rPr>
                <w:rFonts w:ascii="宋体"/>
              </w:rPr>
            </w:pPr>
          </w:p>
        </w:tc>
        <w:tc>
          <w:tcPr>
            <w:tcW w:w="0" w:type="auto"/>
            <w:shd w:val="clear" w:color="auto" w:fill="auto"/>
          </w:tcPr>
          <w:p w14:paraId="33DAA507" w14:textId="77777777" w:rsidR="004D6A64" w:rsidRDefault="004D6A64">
            <w:pPr>
              <w:rPr>
                <w:rFonts w:ascii="宋体"/>
              </w:rPr>
            </w:pPr>
          </w:p>
        </w:tc>
        <w:tc>
          <w:tcPr>
            <w:tcW w:w="0" w:type="auto"/>
            <w:shd w:val="clear" w:color="auto" w:fill="auto"/>
          </w:tcPr>
          <w:p w14:paraId="33DAA508" w14:textId="77777777" w:rsidR="004D6A64" w:rsidRDefault="004D6A64">
            <w:pPr>
              <w:rPr>
                <w:rFonts w:ascii="宋体"/>
              </w:rPr>
            </w:pPr>
          </w:p>
        </w:tc>
        <w:tc>
          <w:tcPr>
            <w:tcW w:w="0" w:type="auto"/>
            <w:shd w:val="clear" w:color="auto" w:fill="auto"/>
          </w:tcPr>
          <w:p w14:paraId="33DAA509" w14:textId="77777777" w:rsidR="004D6A64" w:rsidRDefault="004D6A64">
            <w:pPr>
              <w:rPr>
                <w:rFonts w:ascii="宋体"/>
              </w:rPr>
            </w:pPr>
          </w:p>
        </w:tc>
      </w:tr>
      <w:tr w:rsidR="004D6A64" w14:paraId="33DAA52D" w14:textId="77777777">
        <w:trPr>
          <w:jc w:val="center"/>
        </w:trPr>
        <w:tc>
          <w:tcPr>
            <w:tcW w:w="0" w:type="auto"/>
            <w:gridSpan w:val="3"/>
            <w:shd w:val="clear" w:color="auto" w:fill="FFFFFF"/>
            <w:tcMar>
              <w:top w:w="40" w:type="dxa"/>
              <w:left w:w="20" w:type="dxa"/>
              <w:bottom w:w="40" w:type="dxa"/>
              <w:right w:w="20" w:type="dxa"/>
            </w:tcMar>
            <w:vAlign w:val="center"/>
          </w:tcPr>
          <w:p w14:paraId="33DAA50B" w14:textId="77777777" w:rsidR="004D6A64" w:rsidRDefault="00506CD6">
            <w:pPr>
              <w:textAlignment w:val="center"/>
            </w:pPr>
            <w:r>
              <w:rPr>
                <w:rFonts w:ascii="Times New Roman" w:eastAsia="宋体" w:hAnsi="Times New Roman"/>
                <w:color w:val="000000"/>
                <w:sz w:val="20"/>
                <w:szCs w:val="20"/>
              </w:rPr>
              <w:t>Senior Notes</w:t>
            </w:r>
          </w:p>
        </w:tc>
        <w:tc>
          <w:tcPr>
            <w:tcW w:w="0" w:type="auto"/>
            <w:shd w:val="clear" w:color="auto" w:fill="FFFFFF"/>
            <w:tcMar>
              <w:top w:w="40" w:type="dxa"/>
              <w:left w:w="20" w:type="dxa"/>
              <w:bottom w:w="40" w:type="dxa"/>
            </w:tcMar>
            <w:vAlign w:val="center"/>
          </w:tcPr>
          <w:p w14:paraId="33DAA50C"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50D" w14:textId="77777777" w:rsidR="004D6A64" w:rsidRDefault="00506CD6">
            <w:pPr>
              <w:jc w:val="right"/>
              <w:textAlignment w:val="center"/>
            </w:pPr>
            <w:r>
              <w:rPr>
                <w:rFonts w:ascii="Times New Roman" w:eastAsia="宋体" w:hAnsi="Times New Roman"/>
                <w:color w:val="000000"/>
                <w:sz w:val="20"/>
                <w:szCs w:val="20"/>
              </w:rPr>
              <w:t>2.6 </w:t>
            </w:r>
          </w:p>
        </w:tc>
        <w:tc>
          <w:tcPr>
            <w:tcW w:w="0" w:type="auto"/>
            <w:shd w:val="clear" w:color="auto" w:fill="FFFFFF"/>
            <w:tcMar>
              <w:top w:w="40" w:type="dxa"/>
              <w:bottom w:w="40" w:type="dxa"/>
              <w:right w:w="20" w:type="dxa"/>
            </w:tcMar>
            <w:vAlign w:val="center"/>
          </w:tcPr>
          <w:p w14:paraId="33DAA50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50F"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A510"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511" w14:textId="77777777" w:rsidR="004D6A64" w:rsidRDefault="00506CD6">
            <w:pPr>
              <w:jc w:val="right"/>
              <w:textAlignment w:val="center"/>
            </w:pPr>
            <w:r>
              <w:rPr>
                <w:rFonts w:ascii="Times New Roman" w:eastAsia="宋体" w:hAnsi="Times New Roman"/>
                <w:color w:val="000000"/>
                <w:sz w:val="20"/>
                <w:szCs w:val="20"/>
              </w:rPr>
              <w:t>2.8 </w:t>
            </w:r>
          </w:p>
        </w:tc>
        <w:tc>
          <w:tcPr>
            <w:tcW w:w="0" w:type="auto"/>
            <w:shd w:val="clear" w:color="auto" w:fill="FFFFFF"/>
            <w:tcMar>
              <w:top w:w="40" w:type="dxa"/>
              <w:bottom w:w="40" w:type="dxa"/>
              <w:right w:w="20" w:type="dxa"/>
            </w:tcMar>
            <w:vAlign w:val="center"/>
          </w:tcPr>
          <w:p w14:paraId="33DAA51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513"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A514"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515" w14:textId="77777777" w:rsidR="004D6A64" w:rsidRDefault="00506CD6">
            <w:pPr>
              <w:jc w:val="right"/>
              <w:textAlignment w:val="center"/>
            </w:pPr>
            <w:r>
              <w:rPr>
                <w:rFonts w:ascii="Times New Roman" w:eastAsia="宋体" w:hAnsi="Times New Roman"/>
                <w:color w:val="000000"/>
                <w:sz w:val="20"/>
                <w:szCs w:val="20"/>
              </w:rPr>
              <w:t>2.6 </w:t>
            </w:r>
          </w:p>
        </w:tc>
        <w:tc>
          <w:tcPr>
            <w:tcW w:w="0" w:type="auto"/>
            <w:shd w:val="clear" w:color="auto" w:fill="FFFFFF"/>
            <w:tcMar>
              <w:top w:w="40" w:type="dxa"/>
              <w:bottom w:w="40" w:type="dxa"/>
              <w:right w:w="20" w:type="dxa"/>
            </w:tcMar>
            <w:vAlign w:val="center"/>
          </w:tcPr>
          <w:p w14:paraId="33DAA51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517"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A518"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519" w14:textId="77777777" w:rsidR="004D6A64" w:rsidRDefault="00506CD6">
            <w:pPr>
              <w:jc w:val="right"/>
              <w:textAlignment w:val="center"/>
            </w:pPr>
            <w:r>
              <w:rPr>
                <w:rFonts w:ascii="Times New Roman" w:eastAsia="宋体" w:hAnsi="Times New Roman"/>
                <w:color w:val="000000"/>
                <w:sz w:val="20"/>
                <w:szCs w:val="20"/>
              </w:rPr>
              <w:t>2.8 </w:t>
            </w:r>
          </w:p>
        </w:tc>
        <w:tc>
          <w:tcPr>
            <w:tcW w:w="0" w:type="auto"/>
            <w:shd w:val="clear" w:color="auto" w:fill="FFFFFF"/>
            <w:tcMar>
              <w:top w:w="40" w:type="dxa"/>
              <w:bottom w:w="40" w:type="dxa"/>
              <w:right w:w="20" w:type="dxa"/>
            </w:tcMar>
            <w:vAlign w:val="center"/>
          </w:tcPr>
          <w:p w14:paraId="33DAA51A" w14:textId="77777777" w:rsidR="004D6A64" w:rsidRDefault="004D6A64">
            <w:pPr>
              <w:jc w:val="right"/>
              <w:rPr>
                <w:rFonts w:ascii="宋体"/>
              </w:rPr>
            </w:pPr>
          </w:p>
        </w:tc>
        <w:tc>
          <w:tcPr>
            <w:tcW w:w="0" w:type="auto"/>
            <w:shd w:val="clear" w:color="auto" w:fill="auto"/>
          </w:tcPr>
          <w:p w14:paraId="33DAA51B" w14:textId="77777777" w:rsidR="004D6A64" w:rsidRDefault="004D6A64">
            <w:pPr>
              <w:rPr>
                <w:rFonts w:ascii="宋体"/>
              </w:rPr>
            </w:pPr>
          </w:p>
        </w:tc>
        <w:tc>
          <w:tcPr>
            <w:tcW w:w="0" w:type="auto"/>
            <w:shd w:val="clear" w:color="auto" w:fill="auto"/>
          </w:tcPr>
          <w:p w14:paraId="33DAA51C" w14:textId="77777777" w:rsidR="004D6A64" w:rsidRDefault="004D6A64">
            <w:pPr>
              <w:rPr>
                <w:rFonts w:ascii="宋体"/>
              </w:rPr>
            </w:pPr>
          </w:p>
        </w:tc>
        <w:tc>
          <w:tcPr>
            <w:tcW w:w="0" w:type="auto"/>
            <w:shd w:val="clear" w:color="auto" w:fill="auto"/>
          </w:tcPr>
          <w:p w14:paraId="33DAA51D" w14:textId="77777777" w:rsidR="004D6A64" w:rsidRDefault="004D6A64">
            <w:pPr>
              <w:rPr>
                <w:rFonts w:ascii="宋体"/>
              </w:rPr>
            </w:pPr>
          </w:p>
        </w:tc>
        <w:tc>
          <w:tcPr>
            <w:tcW w:w="0" w:type="auto"/>
            <w:shd w:val="clear" w:color="auto" w:fill="auto"/>
          </w:tcPr>
          <w:p w14:paraId="33DAA51E" w14:textId="77777777" w:rsidR="004D6A64" w:rsidRDefault="004D6A64">
            <w:pPr>
              <w:rPr>
                <w:rFonts w:ascii="宋体"/>
              </w:rPr>
            </w:pPr>
          </w:p>
        </w:tc>
        <w:tc>
          <w:tcPr>
            <w:tcW w:w="0" w:type="auto"/>
            <w:shd w:val="clear" w:color="auto" w:fill="auto"/>
          </w:tcPr>
          <w:p w14:paraId="33DAA51F" w14:textId="77777777" w:rsidR="004D6A64" w:rsidRDefault="004D6A64">
            <w:pPr>
              <w:rPr>
                <w:rFonts w:ascii="宋体"/>
              </w:rPr>
            </w:pPr>
          </w:p>
        </w:tc>
        <w:tc>
          <w:tcPr>
            <w:tcW w:w="0" w:type="auto"/>
            <w:shd w:val="clear" w:color="auto" w:fill="auto"/>
          </w:tcPr>
          <w:p w14:paraId="33DAA520" w14:textId="77777777" w:rsidR="004D6A64" w:rsidRDefault="004D6A64">
            <w:pPr>
              <w:rPr>
                <w:rFonts w:ascii="宋体"/>
              </w:rPr>
            </w:pPr>
          </w:p>
        </w:tc>
        <w:tc>
          <w:tcPr>
            <w:tcW w:w="0" w:type="auto"/>
            <w:shd w:val="clear" w:color="auto" w:fill="auto"/>
          </w:tcPr>
          <w:p w14:paraId="33DAA521" w14:textId="77777777" w:rsidR="004D6A64" w:rsidRDefault="004D6A64">
            <w:pPr>
              <w:rPr>
                <w:rFonts w:ascii="宋体"/>
              </w:rPr>
            </w:pPr>
          </w:p>
        </w:tc>
        <w:tc>
          <w:tcPr>
            <w:tcW w:w="0" w:type="auto"/>
            <w:shd w:val="clear" w:color="auto" w:fill="auto"/>
          </w:tcPr>
          <w:p w14:paraId="33DAA522" w14:textId="77777777" w:rsidR="004D6A64" w:rsidRDefault="004D6A64">
            <w:pPr>
              <w:rPr>
                <w:rFonts w:ascii="宋体"/>
              </w:rPr>
            </w:pPr>
          </w:p>
        </w:tc>
        <w:tc>
          <w:tcPr>
            <w:tcW w:w="0" w:type="auto"/>
            <w:shd w:val="clear" w:color="auto" w:fill="auto"/>
          </w:tcPr>
          <w:p w14:paraId="33DAA523" w14:textId="77777777" w:rsidR="004D6A64" w:rsidRDefault="004D6A64">
            <w:pPr>
              <w:rPr>
                <w:rFonts w:ascii="宋体"/>
              </w:rPr>
            </w:pPr>
          </w:p>
        </w:tc>
        <w:tc>
          <w:tcPr>
            <w:tcW w:w="0" w:type="auto"/>
            <w:shd w:val="clear" w:color="auto" w:fill="auto"/>
          </w:tcPr>
          <w:p w14:paraId="33DAA524" w14:textId="77777777" w:rsidR="004D6A64" w:rsidRDefault="004D6A64">
            <w:pPr>
              <w:rPr>
                <w:rFonts w:ascii="宋体"/>
              </w:rPr>
            </w:pPr>
          </w:p>
        </w:tc>
        <w:tc>
          <w:tcPr>
            <w:tcW w:w="0" w:type="auto"/>
            <w:shd w:val="clear" w:color="auto" w:fill="auto"/>
          </w:tcPr>
          <w:p w14:paraId="33DAA525" w14:textId="77777777" w:rsidR="004D6A64" w:rsidRDefault="004D6A64">
            <w:pPr>
              <w:rPr>
                <w:rFonts w:ascii="宋体"/>
              </w:rPr>
            </w:pPr>
          </w:p>
        </w:tc>
        <w:tc>
          <w:tcPr>
            <w:tcW w:w="0" w:type="auto"/>
            <w:shd w:val="clear" w:color="auto" w:fill="auto"/>
          </w:tcPr>
          <w:p w14:paraId="33DAA526" w14:textId="77777777" w:rsidR="004D6A64" w:rsidRDefault="004D6A64">
            <w:pPr>
              <w:rPr>
                <w:rFonts w:ascii="宋体"/>
              </w:rPr>
            </w:pPr>
          </w:p>
        </w:tc>
        <w:tc>
          <w:tcPr>
            <w:tcW w:w="0" w:type="auto"/>
            <w:shd w:val="clear" w:color="auto" w:fill="auto"/>
          </w:tcPr>
          <w:p w14:paraId="33DAA527" w14:textId="77777777" w:rsidR="004D6A64" w:rsidRDefault="004D6A64">
            <w:pPr>
              <w:rPr>
                <w:rFonts w:ascii="宋体"/>
              </w:rPr>
            </w:pPr>
          </w:p>
        </w:tc>
        <w:tc>
          <w:tcPr>
            <w:tcW w:w="0" w:type="auto"/>
            <w:shd w:val="clear" w:color="auto" w:fill="auto"/>
          </w:tcPr>
          <w:p w14:paraId="33DAA528" w14:textId="77777777" w:rsidR="004D6A64" w:rsidRDefault="004D6A64">
            <w:pPr>
              <w:rPr>
                <w:rFonts w:ascii="宋体"/>
              </w:rPr>
            </w:pPr>
          </w:p>
        </w:tc>
        <w:tc>
          <w:tcPr>
            <w:tcW w:w="0" w:type="auto"/>
            <w:shd w:val="clear" w:color="auto" w:fill="auto"/>
          </w:tcPr>
          <w:p w14:paraId="33DAA529" w14:textId="77777777" w:rsidR="004D6A64" w:rsidRDefault="004D6A64">
            <w:pPr>
              <w:rPr>
                <w:rFonts w:ascii="宋体"/>
              </w:rPr>
            </w:pPr>
          </w:p>
        </w:tc>
        <w:tc>
          <w:tcPr>
            <w:tcW w:w="0" w:type="auto"/>
            <w:shd w:val="clear" w:color="auto" w:fill="auto"/>
          </w:tcPr>
          <w:p w14:paraId="33DAA52A" w14:textId="77777777" w:rsidR="004D6A64" w:rsidRDefault="004D6A64">
            <w:pPr>
              <w:rPr>
                <w:rFonts w:ascii="宋体"/>
              </w:rPr>
            </w:pPr>
          </w:p>
        </w:tc>
        <w:tc>
          <w:tcPr>
            <w:tcW w:w="0" w:type="auto"/>
            <w:shd w:val="clear" w:color="auto" w:fill="auto"/>
          </w:tcPr>
          <w:p w14:paraId="33DAA52B" w14:textId="77777777" w:rsidR="004D6A64" w:rsidRDefault="004D6A64">
            <w:pPr>
              <w:rPr>
                <w:rFonts w:ascii="宋体"/>
              </w:rPr>
            </w:pPr>
          </w:p>
        </w:tc>
        <w:tc>
          <w:tcPr>
            <w:tcW w:w="0" w:type="auto"/>
            <w:shd w:val="clear" w:color="auto" w:fill="auto"/>
          </w:tcPr>
          <w:p w14:paraId="33DAA52C" w14:textId="77777777" w:rsidR="004D6A64" w:rsidRDefault="004D6A64">
            <w:pPr>
              <w:rPr>
                <w:rFonts w:ascii="宋体"/>
              </w:rPr>
            </w:pPr>
          </w:p>
        </w:tc>
      </w:tr>
      <w:tr w:rsidR="004D6A64" w14:paraId="33DAA550" w14:textId="77777777">
        <w:trPr>
          <w:jc w:val="center"/>
        </w:trPr>
        <w:tc>
          <w:tcPr>
            <w:tcW w:w="0" w:type="auto"/>
            <w:gridSpan w:val="3"/>
            <w:shd w:val="clear" w:color="auto" w:fill="CCEEFF"/>
            <w:tcMar>
              <w:top w:w="40" w:type="dxa"/>
              <w:left w:w="20" w:type="dxa"/>
              <w:bottom w:w="40" w:type="dxa"/>
              <w:right w:w="20" w:type="dxa"/>
            </w:tcMar>
            <w:vAlign w:val="center"/>
          </w:tcPr>
          <w:p w14:paraId="33DAA52E" w14:textId="77777777" w:rsidR="004D6A64" w:rsidRDefault="00506CD6">
            <w:pPr>
              <w:textAlignment w:val="center"/>
            </w:pPr>
            <w:r>
              <w:rPr>
                <w:rFonts w:ascii="Times New Roman" w:eastAsia="宋体" w:hAnsi="Times New Roman"/>
                <w:color w:val="000000"/>
                <w:sz w:val="20"/>
                <w:szCs w:val="20"/>
              </w:rPr>
              <w:t>EMC Notes</w:t>
            </w:r>
          </w:p>
        </w:tc>
        <w:tc>
          <w:tcPr>
            <w:tcW w:w="0" w:type="auto"/>
            <w:shd w:val="clear" w:color="auto" w:fill="CCEEFF"/>
            <w:tcMar>
              <w:top w:w="40" w:type="dxa"/>
              <w:left w:w="20" w:type="dxa"/>
              <w:bottom w:w="40" w:type="dxa"/>
            </w:tcMar>
            <w:vAlign w:val="center"/>
          </w:tcPr>
          <w:p w14:paraId="33DAA52F"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530" w14:textId="77777777" w:rsidR="004D6A64" w:rsidRDefault="00506CD6">
            <w:pPr>
              <w:jc w:val="right"/>
              <w:textAlignment w:val="center"/>
            </w:pPr>
            <w:r>
              <w:rPr>
                <w:rFonts w:ascii="Times New Roman" w:eastAsia="宋体" w:hAnsi="Times New Roman"/>
                <w:color w:val="000000"/>
                <w:sz w:val="20"/>
                <w:szCs w:val="20"/>
              </w:rPr>
              <w:t>1.0 </w:t>
            </w:r>
          </w:p>
        </w:tc>
        <w:tc>
          <w:tcPr>
            <w:tcW w:w="0" w:type="auto"/>
            <w:shd w:val="clear" w:color="auto" w:fill="CCEEFF"/>
            <w:tcMar>
              <w:top w:w="40" w:type="dxa"/>
              <w:bottom w:w="40" w:type="dxa"/>
              <w:right w:w="20" w:type="dxa"/>
            </w:tcMar>
            <w:vAlign w:val="center"/>
          </w:tcPr>
          <w:p w14:paraId="33DAA53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532"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533"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534" w14:textId="77777777" w:rsidR="004D6A64" w:rsidRDefault="00506CD6">
            <w:pPr>
              <w:jc w:val="right"/>
              <w:textAlignment w:val="center"/>
            </w:pPr>
            <w:r>
              <w:rPr>
                <w:rFonts w:ascii="Times New Roman" w:eastAsia="宋体" w:hAnsi="Times New Roman"/>
                <w:color w:val="000000"/>
                <w:sz w:val="20"/>
                <w:szCs w:val="20"/>
              </w:rPr>
              <w:t>1.1 </w:t>
            </w:r>
          </w:p>
        </w:tc>
        <w:tc>
          <w:tcPr>
            <w:tcW w:w="0" w:type="auto"/>
            <w:shd w:val="clear" w:color="auto" w:fill="CCEEFF"/>
            <w:tcMar>
              <w:top w:w="40" w:type="dxa"/>
              <w:bottom w:w="40" w:type="dxa"/>
              <w:right w:w="20" w:type="dxa"/>
            </w:tcMar>
            <w:vAlign w:val="center"/>
          </w:tcPr>
          <w:p w14:paraId="33DAA53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536"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537"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538" w14:textId="77777777" w:rsidR="004D6A64" w:rsidRDefault="00506CD6">
            <w:pPr>
              <w:jc w:val="right"/>
              <w:textAlignment w:val="center"/>
            </w:pPr>
            <w:r>
              <w:rPr>
                <w:rFonts w:ascii="Times New Roman" w:eastAsia="宋体" w:hAnsi="Times New Roman"/>
                <w:color w:val="000000"/>
                <w:sz w:val="20"/>
                <w:szCs w:val="20"/>
              </w:rPr>
              <w:t>1.6 </w:t>
            </w:r>
          </w:p>
        </w:tc>
        <w:tc>
          <w:tcPr>
            <w:tcW w:w="0" w:type="auto"/>
            <w:shd w:val="clear" w:color="auto" w:fill="CCEEFF"/>
            <w:tcMar>
              <w:top w:w="40" w:type="dxa"/>
              <w:bottom w:w="40" w:type="dxa"/>
              <w:right w:w="20" w:type="dxa"/>
            </w:tcMar>
            <w:vAlign w:val="center"/>
          </w:tcPr>
          <w:p w14:paraId="33DAA539"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53A"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53B"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53C" w14:textId="77777777" w:rsidR="004D6A64" w:rsidRDefault="00506CD6">
            <w:pPr>
              <w:jc w:val="right"/>
              <w:textAlignment w:val="center"/>
            </w:pPr>
            <w:r>
              <w:rPr>
                <w:rFonts w:ascii="Times New Roman" w:eastAsia="宋体" w:hAnsi="Times New Roman"/>
                <w:color w:val="000000"/>
                <w:sz w:val="20"/>
                <w:szCs w:val="20"/>
              </w:rPr>
              <w:t>1.6 </w:t>
            </w:r>
          </w:p>
        </w:tc>
        <w:tc>
          <w:tcPr>
            <w:tcW w:w="0" w:type="auto"/>
            <w:shd w:val="clear" w:color="auto" w:fill="CCEEFF"/>
            <w:tcMar>
              <w:top w:w="40" w:type="dxa"/>
              <w:bottom w:w="40" w:type="dxa"/>
              <w:right w:w="20" w:type="dxa"/>
            </w:tcMar>
            <w:vAlign w:val="center"/>
          </w:tcPr>
          <w:p w14:paraId="33DAA53D" w14:textId="77777777" w:rsidR="004D6A64" w:rsidRDefault="004D6A64">
            <w:pPr>
              <w:jc w:val="right"/>
              <w:rPr>
                <w:rFonts w:ascii="宋体"/>
              </w:rPr>
            </w:pPr>
          </w:p>
        </w:tc>
        <w:tc>
          <w:tcPr>
            <w:tcW w:w="0" w:type="auto"/>
            <w:shd w:val="clear" w:color="auto" w:fill="auto"/>
          </w:tcPr>
          <w:p w14:paraId="33DAA53E" w14:textId="77777777" w:rsidR="004D6A64" w:rsidRDefault="004D6A64">
            <w:pPr>
              <w:rPr>
                <w:rFonts w:ascii="宋体"/>
              </w:rPr>
            </w:pPr>
          </w:p>
        </w:tc>
        <w:tc>
          <w:tcPr>
            <w:tcW w:w="0" w:type="auto"/>
            <w:shd w:val="clear" w:color="auto" w:fill="auto"/>
          </w:tcPr>
          <w:p w14:paraId="33DAA53F" w14:textId="77777777" w:rsidR="004D6A64" w:rsidRDefault="004D6A64">
            <w:pPr>
              <w:rPr>
                <w:rFonts w:ascii="宋体"/>
              </w:rPr>
            </w:pPr>
          </w:p>
        </w:tc>
        <w:tc>
          <w:tcPr>
            <w:tcW w:w="0" w:type="auto"/>
            <w:shd w:val="clear" w:color="auto" w:fill="auto"/>
          </w:tcPr>
          <w:p w14:paraId="33DAA540" w14:textId="77777777" w:rsidR="004D6A64" w:rsidRDefault="004D6A64">
            <w:pPr>
              <w:rPr>
                <w:rFonts w:ascii="宋体"/>
              </w:rPr>
            </w:pPr>
          </w:p>
        </w:tc>
        <w:tc>
          <w:tcPr>
            <w:tcW w:w="0" w:type="auto"/>
            <w:shd w:val="clear" w:color="auto" w:fill="auto"/>
          </w:tcPr>
          <w:p w14:paraId="33DAA541" w14:textId="77777777" w:rsidR="004D6A64" w:rsidRDefault="004D6A64">
            <w:pPr>
              <w:rPr>
                <w:rFonts w:ascii="宋体"/>
              </w:rPr>
            </w:pPr>
          </w:p>
        </w:tc>
        <w:tc>
          <w:tcPr>
            <w:tcW w:w="0" w:type="auto"/>
            <w:shd w:val="clear" w:color="auto" w:fill="auto"/>
          </w:tcPr>
          <w:p w14:paraId="33DAA542" w14:textId="77777777" w:rsidR="004D6A64" w:rsidRDefault="004D6A64">
            <w:pPr>
              <w:rPr>
                <w:rFonts w:ascii="宋体"/>
              </w:rPr>
            </w:pPr>
          </w:p>
        </w:tc>
        <w:tc>
          <w:tcPr>
            <w:tcW w:w="0" w:type="auto"/>
            <w:shd w:val="clear" w:color="auto" w:fill="auto"/>
          </w:tcPr>
          <w:p w14:paraId="33DAA543" w14:textId="77777777" w:rsidR="004D6A64" w:rsidRDefault="004D6A64">
            <w:pPr>
              <w:rPr>
                <w:rFonts w:ascii="宋体"/>
              </w:rPr>
            </w:pPr>
          </w:p>
        </w:tc>
        <w:tc>
          <w:tcPr>
            <w:tcW w:w="0" w:type="auto"/>
            <w:shd w:val="clear" w:color="auto" w:fill="auto"/>
          </w:tcPr>
          <w:p w14:paraId="33DAA544" w14:textId="77777777" w:rsidR="004D6A64" w:rsidRDefault="004D6A64">
            <w:pPr>
              <w:rPr>
                <w:rFonts w:ascii="宋体"/>
              </w:rPr>
            </w:pPr>
          </w:p>
        </w:tc>
        <w:tc>
          <w:tcPr>
            <w:tcW w:w="0" w:type="auto"/>
            <w:shd w:val="clear" w:color="auto" w:fill="auto"/>
          </w:tcPr>
          <w:p w14:paraId="33DAA545" w14:textId="77777777" w:rsidR="004D6A64" w:rsidRDefault="004D6A64">
            <w:pPr>
              <w:rPr>
                <w:rFonts w:ascii="宋体"/>
              </w:rPr>
            </w:pPr>
          </w:p>
        </w:tc>
        <w:tc>
          <w:tcPr>
            <w:tcW w:w="0" w:type="auto"/>
            <w:shd w:val="clear" w:color="auto" w:fill="auto"/>
          </w:tcPr>
          <w:p w14:paraId="33DAA546" w14:textId="77777777" w:rsidR="004D6A64" w:rsidRDefault="004D6A64">
            <w:pPr>
              <w:rPr>
                <w:rFonts w:ascii="宋体"/>
              </w:rPr>
            </w:pPr>
          </w:p>
        </w:tc>
        <w:tc>
          <w:tcPr>
            <w:tcW w:w="0" w:type="auto"/>
            <w:shd w:val="clear" w:color="auto" w:fill="auto"/>
          </w:tcPr>
          <w:p w14:paraId="33DAA547" w14:textId="77777777" w:rsidR="004D6A64" w:rsidRDefault="004D6A64">
            <w:pPr>
              <w:rPr>
                <w:rFonts w:ascii="宋体"/>
              </w:rPr>
            </w:pPr>
          </w:p>
        </w:tc>
        <w:tc>
          <w:tcPr>
            <w:tcW w:w="0" w:type="auto"/>
            <w:shd w:val="clear" w:color="auto" w:fill="auto"/>
          </w:tcPr>
          <w:p w14:paraId="33DAA548" w14:textId="77777777" w:rsidR="004D6A64" w:rsidRDefault="004D6A64">
            <w:pPr>
              <w:rPr>
                <w:rFonts w:ascii="宋体"/>
              </w:rPr>
            </w:pPr>
          </w:p>
        </w:tc>
        <w:tc>
          <w:tcPr>
            <w:tcW w:w="0" w:type="auto"/>
            <w:shd w:val="clear" w:color="auto" w:fill="auto"/>
          </w:tcPr>
          <w:p w14:paraId="33DAA549" w14:textId="77777777" w:rsidR="004D6A64" w:rsidRDefault="004D6A64">
            <w:pPr>
              <w:rPr>
                <w:rFonts w:ascii="宋体"/>
              </w:rPr>
            </w:pPr>
          </w:p>
        </w:tc>
        <w:tc>
          <w:tcPr>
            <w:tcW w:w="0" w:type="auto"/>
            <w:shd w:val="clear" w:color="auto" w:fill="auto"/>
          </w:tcPr>
          <w:p w14:paraId="33DAA54A" w14:textId="77777777" w:rsidR="004D6A64" w:rsidRDefault="004D6A64">
            <w:pPr>
              <w:rPr>
                <w:rFonts w:ascii="宋体"/>
              </w:rPr>
            </w:pPr>
          </w:p>
        </w:tc>
        <w:tc>
          <w:tcPr>
            <w:tcW w:w="0" w:type="auto"/>
            <w:shd w:val="clear" w:color="auto" w:fill="auto"/>
          </w:tcPr>
          <w:p w14:paraId="33DAA54B" w14:textId="77777777" w:rsidR="004D6A64" w:rsidRDefault="004D6A64">
            <w:pPr>
              <w:rPr>
                <w:rFonts w:ascii="宋体"/>
              </w:rPr>
            </w:pPr>
          </w:p>
        </w:tc>
        <w:tc>
          <w:tcPr>
            <w:tcW w:w="0" w:type="auto"/>
            <w:shd w:val="clear" w:color="auto" w:fill="auto"/>
          </w:tcPr>
          <w:p w14:paraId="33DAA54C" w14:textId="77777777" w:rsidR="004D6A64" w:rsidRDefault="004D6A64">
            <w:pPr>
              <w:rPr>
                <w:rFonts w:ascii="宋体"/>
              </w:rPr>
            </w:pPr>
          </w:p>
        </w:tc>
        <w:tc>
          <w:tcPr>
            <w:tcW w:w="0" w:type="auto"/>
            <w:shd w:val="clear" w:color="auto" w:fill="auto"/>
          </w:tcPr>
          <w:p w14:paraId="33DAA54D" w14:textId="77777777" w:rsidR="004D6A64" w:rsidRDefault="004D6A64">
            <w:pPr>
              <w:rPr>
                <w:rFonts w:ascii="宋体"/>
              </w:rPr>
            </w:pPr>
          </w:p>
        </w:tc>
        <w:tc>
          <w:tcPr>
            <w:tcW w:w="0" w:type="auto"/>
            <w:shd w:val="clear" w:color="auto" w:fill="auto"/>
          </w:tcPr>
          <w:p w14:paraId="33DAA54E" w14:textId="77777777" w:rsidR="004D6A64" w:rsidRDefault="004D6A64">
            <w:pPr>
              <w:rPr>
                <w:rFonts w:ascii="宋体"/>
              </w:rPr>
            </w:pPr>
          </w:p>
        </w:tc>
        <w:tc>
          <w:tcPr>
            <w:tcW w:w="0" w:type="auto"/>
            <w:shd w:val="clear" w:color="auto" w:fill="auto"/>
          </w:tcPr>
          <w:p w14:paraId="33DAA54F" w14:textId="77777777" w:rsidR="004D6A64" w:rsidRDefault="004D6A64">
            <w:pPr>
              <w:rPr>
                <w:rFonts w:ascii="宋体"/>
              </w:rPr>
            </w:pPr>
          </w:p>
        </w:tc>
      </w:tr>
      <w:tr w:rsidR="004D6A64" w14:paraId="33DAA573" w14:textId="77777777">
        <w:trPr>
          <w:jc w:val="center"/>
        </w:trPr>
        <w:tc>
          <w:tcPr>
            <w:tcW w:w="0" w:type="auto"/>
            <w:gridSpan w:val="3"/>
            <w:shd w:val="clear" w:color="auto" w:fill="FFFFFF"/>
            <w:tcMar>
              <w:top w:w="40" w:type="dxa"/>
              <w:left w:w="20" w:type="dxa"/>
              <w:bottom w:w="40" w:type="dxa"/>
              <w:right w:w="20" w:type="dxa"/>
            </w:tcMar>
            <w:vAlign w:val="center"/>
          </w:tcPr>
          <w:p w14:paraId="33DAA551" w14:textId="77777777" w:rsidR="004D6A64" w:rsidRDefault="00506CD6">
            <w:pPr>
              <w:textAlignment w:val="center"/>
            </w:pPr>
            <w:r>
              <w:rPr>
                <w:rFonts w:ascii="Times New Roman" w:eastAsia="宋体" w:hAnsi="Times New Roman"/>
                <w:color w:val="000000"/>
                <w:sz w:val="20"/>
                <w:szCs w:val="20"/>
              </w:rPr>
              <w:t>VMware Notes and VMware Term Loan Facility</w:t>
            </w:r>
          </w:p>
        </w:tc>
        <w:tc>
          <w:tcPr>
            <w:tcW w:w="0" w:type="auto"/>
            <w:shd w:val="clear" w:color="auto" w:fill="FFFFFF"/>
            <w:tcMar>
              <w:top w:w="40" w:type="dxa"/>
              <w:left w:w="20" w:type="dxa"/>
              <w:bottom w:w="40" w:type="dxa"/>
            </w:tcMar>
            <w:vAlign w:val="center"/>
          </w:tcPr>
          <w:p w14:paraId="33DAA552"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553" w14:textId="77777777" w:rsidR="004D6A64" w:rsidRDefault="00506CD6">
            <w:pPr>
              <w:jc w:val="right"/>
              <w:textAlignment w:val="center"/>
            </w:pPr>
            <w:r>
              <w:rPr>
                <w:rFonts w:ascii="Times New Roman" w:eastAsia="宋体" w:hAnsi="Times New Roman"/>
                <w:color w:val="000000"/>
                <w:sz w:val="20"/>
                <w:szCs w:val="20"/>
              </w:rPr>
              <w:t>6.2 </w:t>
            </w:r>
          </w:p>
        </w:tc>
        <w:tc>
          <w:tcPr>
            <w:tcW w:w="0" w:type="auto"/>
            <w:shd w:val="clear" w:color="auto" w:fill="FFFFFF"/>
            <w:tcMar>
              <w:top w:w="40" w:type="dxa"/>
              <w:bottom w:w="40" w:type="dxa"/>
              <w:right w:w="20" w:type="dxa"/>
            </w:tcMar>
            <w:vAlign w:val="center"/>
          </w:tcPr>
          <w:p w14:paraId="33DAA55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555"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A556"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557" w14:textId="77777777" w:rsidR="004D6A64" w:rsidRDefault="00506CD6">
            <w:pPr>
              <w:jc w:val="right"/>
              <w:textAlignment w:val="center"/>
            </w:pPr>
            <w:r>
              <w:rPr>
                <w:rFonts w:ascii="Times New Roman" w:eastAsia="宋体" w:hAnsi="Times New Roman"/>
                <w:color w:val="000000"/>
                <w:sz w:val="20"/>
                <w:szCs w:val="20"/>
              </w:rPr>
              <w:t>6.8 </w:t>
            </w:r>
          </w:p>
        </w:tc>
        <w:tc>
          <w:tcPr>
            <w:tcW w:w="0" w:type="auto"/>
            <w:shd w:val="clear" w:color="auto" w:fill="FFFFFF"/>
            <w:tcMar>
              <w:top w:w="40" w:type="dxa"/>
              <w:bottom w:w="40" w:type="dxa"/>
              <w:right w:w="20" w:type="dxa"/>
            </w:tcMar>
            <w:vAlign w:val="center"/>
          </w:tcPr>
          <w:p w14:paraId="33DAA55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559"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A55A"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55B" w14:textId="77777777" w:rsidR="004D6A64" w:rsidRDefault="00506CD6">
            <w:pPr>
              <w:jc w:val="right"/>
              <w:textAlignment w:val="center"/>
            </w:pPr>
            <w:r>
              <w:rPr>
                <w:rFonts w:ascii="Times New Roman" w:eastAsia="宋体" w:hAnsi="Times New Roman"/>
                <w:color w:val="000000"/>
                <w:sz w:val="20"/>
                <w:szCs w:val="20"/>
              </w:rPr>
              <w:t>5.5 </w:t>
            </w:r>
          </w:p>
        </w:tc>
        <w:tc>
          <w:tcPr>
            <w:tcW w:w="0" w:type="auto"/>
            <w:shd w:val="clear" w:color="auto" w:fill="FFFFFF"/>
            <w:tcMar>
              <w:top w:w="40" w:type="dxa"/>
              <w:bottom w:w="40" w:type="dxa"/>
              <w:right w:w="20" w:type="dxa"/>
            </w:tcMar>
            <w:vAlign w:val="center"/>
          </w:tcPr>
          <w:p w14:paraId="33DAA55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55D"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A55E"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55F" w14:textId="77777777" w:rsidR="004D6A64" w:rsidRDefault="00506CD6">
            <w:pPr>
              <w:jc w:val="right"/>
              <w:textAlignment w:val="center"/>
            </w:pPr>
            <w:r>
              <w:rPr>
                <w:rFonts w:ascii="Times New Roman" w:eastAsia="宋体" w:hAnsi="Times New Roman"/>
                <w:color w:val="000000"/>
                <w:sz w:val="20"/>
                <w:szCs w:val="20"/>
              </w:rPr>
              <w:t>5.6 </w:t>
            </w:r>
          </w:p>
        </w:tc>
        <w:tc>
          <w:tcPr>
            <w:tcW w:w="0" w:type="auto"/>
            <w:shd w:val="clear" w:color="auto" w:fill="FFFFFF"/>
            <w:tcMar>
              <w:top w:w="40" w:type="dxa"/>
              <w:bottom w:w="40" w:type="dxa"/>
              <w:right w:w="20" w:type="dxa"/>
            </w:tcMar>
            <w:vAlign w:val="center"/>
          </w:tcPr>
          <w:p w14:paraId="33DAA560" w14:textId="77777777" w:rsidR="004D6A64" w:rsidRDefault="004D6A64">
            <w:pPr>
              <w:jc w:val="right"/>
              <w:rPr>
                <w:rFonts w:ascii="宋体"/>
              </w:rPr>
            </w:pPr>
          </w:p>
        </w:tc>
        <w:tc>
          <w:tcPr>
            <w:tcW w:w="0" w:type="auto"/>
            <w:shd w:val="clear" w:color="auto" w:fill="auto"/>
          </w:tcPr>
          <w:p w14:paraId="33DAA561" w14:textId="77777777" w:rsidR="004D6A64" w:rsidRDefault="004D6A64">
            <w:pPr>
              <w:rPr>
                <w:rFonts w:ascii="宋体"/>
              </w:rPr>
            </w:pPr>
          </w:p>
        </w:tc>
        <w:tc>
          <w:tcPr>
            <w:tcW w:w="0" w:type="auto"/>
            <w:shd w:val="clear" w:color="auto" w:fill="auto"/>
          </w:tcPr>
          <w:p w14:paraId="33DAA562" w14:textId="77777777" w:rsidR="004D6A64" w:rsidRDefault="004D6A64">
            <w:pPr>
              <w:rPr>
                <w:rFonts w:ascii="宋体"/>
              </w:rPr>
            </w:pPr>
          </w:p>
        </w:tc>
        <w:tc>
          <w:tcPr>
            <w:tcW w:w="0" w:type="auto"/>
            <w:shd w:val="clear" w:color="auto" w:fill="auto"/>
          </w:tcPr>
          <w:p w14:paraId="33DAA563" w14:textId="77777777" w:rsidR="004D6A64" w:rsidRDefault="004D6A64">
            <w:pPr>
              <w:rPr>
                <w:rFonts w:ascii="宋体"/>
              </w:rPr>
            </w:pPr>
          </w:p>
        </w:tc>
        <w:tc>
          <w:tcPr>
            <w:tcW w:w="0" w:type="auto"/>
            <w:shd w:val="clear" w:color="auto" w:fill="auto"/>
          </w:tcPr>
          <w:p w14:paraId="33DAA564" w14:textId="77777777" w:rsidR="004D6A64" w:rsidRDefault="004D6A64">
            <w:pPr>
              <w:rPr>
                <w:rFonts w:ascii="宋体"/>
              </w:rPr>
            </w:pPr>
          </w:p>
        </w:tc>
        <w:tc>
          <w:tcPr>
            <w:tcW w:w="0" w:type="auto"/>
            <w:shd w:val="clear" w:color="auto" w:fill="auto"/>
          </w:tcPr>
          <w:p w14:paraId="33DAA565" w14:textId="77777777" w:rsidR="004D6A64" w:rsidRDefault="004D6A64">
            <w:pPr>
              <w:rPr>
                <w:rFonts w:ascii="宋体"/>
              </w:rPr>
            </w:pPr>
          </w:p>
        </w:tc>
        <w:tc>
          <w:tcPr>
            <w:tcW w:w="0" w:type="auto"/>
            <w:shd w:val="clear" w:color="auto" w:fill="auto"/>
          </w:tcPr>
          <w:p w14:paraId="33DAA566" w14:textId="77777777" w:rsidR="004D6A64" w:rsidRDefault="004D6A64">
            <w:pPr>
              <w:rPr>
                <w:rFonts w:ascii="宋体"/>
              </w:rPr>
            </w:pPr>
          </w:p>
        </w:tc>
        <w:tc>
          <w:tcPr>
            <w:tcW w:w="0" w:type="auto"/>
            <w:shd w:val="clear" w:color="auto" w:fill="auto"/>
          </w:tcPr>
          <w:p w14:paraId="33DAA567" w14:textId="77777777" w:rsidR="004D6A64" w:rsidRDefault="004D6A64">
            <w:pPr>
              <w:rPr>
                <w:rFonts w:ascii="宋体"/>
              </w:rPr>
            </w:pPr>
          </w:p>
        </w:tc>
        <w:tc>
          <w:tcPr>
            <w:tcW w:w="0" w:type="auto"/>
            <w:shd w:val="clear" w:color="auto" w:fill="auto"/>
          </w:tcPr>
          <w:p w14:paraId="33DAA568" w14:textId="77777777" w:rsidR="004D6A64" w:rsidRDefault="004D6A64">
            <w:pPr>
              <w:rPr>
                <w:rFonts w:ascii="宋体"/>
              </w:rPr>
            </w:pPr>
          </w:p>
        </w:tc>
        <w:tc>
          <w:tcPr>
            <w:tcW w:w="0" w:type="auto"/>
            <w:shd w:val="clear" w:color="auto" w:fill="auto"/>
          </w:tcPr>
          <w:p w14:paraId="33DAA569" w14:textId="77777777" w:rsidR="004D6A64" w:rsidRDefault="004D6A64">
            <w:pPr>
              <w:rPr>
                <w:rFonts w:ascii="宋体"/>
              </w:rPr>
            </w:pPr>
          </w:p>
        </w:tc>
        <w:tc>
          <w:tcPr>
            <w:tcW w:w="0" w:type="auto"/>
            <w:shd w:val="clear" w:color="auto" w:fill="auto"/>
          </w:tcPr>
          <w:p w14:paraId="33DAA56A" w14:textId="77777777" w:rsidR="004D6A64" w:rsidRDefault="004D6A64">
            <w:pPr>
              <w:rPr>
                <w:rFonts w:ascii="宋体"/>
              </w:rPr>
            </w:pPr>
          </w:p>
        </w:tc>
        <w:tc>
          <w:tcPr>
            <w:tcW w:w="0" w:type="auto"/>
            <w:shd w:val="clear" w:color="auto" w:fill="auto"/>
          </w:tcPr>
          <w:p w14:paraId="33DAA56B" w14:textId="77777777" w:rsidR="004D6A64" w:rsidRDefault="004D6A64">
            <w:pPr>
              <w:rPr>
                <w:rFonts w:ascii="宋体"/>
              </w:rPr>
            </w:pPr>
          </w:p>
        </w:tc>
        <w:tc>
          <w:tcPr>
            <w:tcW w:w="0" w:type="auto"/>
            <w:shd w:val="clear" w:color="auto" w:fill="auto"/>
          </w:tcPr>
          <w:p w14:paraId="33DAA56C" w14:textId="77777777" w:rsidR="004D6A64" w:rsidRDefault="004D6A64">
            <w:pPr>
              <w:rPr>
                <w:rFonts w:ascii="宋体"/>
              </w:rPr>
            </w:pPr>
          </w:p>
        </w:tc>
        <w:tc>
          <w:tcPr>
            <w:tcW w:w="0" w:type="auto"/>
            <w:shd w:val="clear" w:color="auto" w:fill="auto"/>
          </w:tcPr>
          <w:p w14:paraId="33DAA56D" w14:textId="77777777" w:rsidR="004D6A64" w:rsidRDefault="004D6A64">
            <w:pPr>
              <w:rPr>
                <w:rFonts w:ascii="宋体"/>
              </w:rPr>
            </w:pPr>
          </w:p>
        </w:tc>
        <w:tc>
          <w:tcPr>
            <w:tcW w:w="0" w:type="auto"/>
            <w:shd w:val="clear" w:color="auto" w:fill="auto"/>
          </w:tcPr>
          <w:p w14:paraId="33DAA56E" w14:textId="77777777" w:rsidR="004D6A64" w:rsidRDefault="004D6A64">
            <w:pPr>
              <w:rPr>
                <w:rFonts w:ascii="宋体"/>
              </w:rPr>
            </w:pPr>
          </w:p>
        </w:tc>
        <w:tc>
          <w:tcPr>
            <w:tcW w:w="0" w:type="auto"/>
            <w:shd w:val="clear" w:color="auto" w:fill="auto"/>
          </w:tcPr>
          <w:p w14:paraId="33DAA56F" w14:textId="77777777" w:rsidR="004D6A64" w:rsidRDefault="004D6A64">
            <w:pPr>
              <w:rPr>
                <w:rFonts w:ascii="宋体"/>
              </w:rPr>
            </w:pPr>
          </w:p>
        </w:tc>
        <w:tc>
          <w:tcPr>
            <w:tcW w:w="0" w:type="auto"/>
            <w:shd w:val="clear" w:color="auto" w:fill="auto"/>
          </w:tcPr>
          <w:p w14:paraId="33DAA570" w14:textId="77777777" w:rsidR="004D6A64" w:rsidRDefault="004D6A64">
            <w:pPr>
              <w:rPr>
                <w:rFonts w:ascii="宋体"/>
              </w:rPr>
            </w:pPr>
          </w:p>
        </w:tc>
        <w:tc>
          <w:tcPr>
            <w:tcW w:w="0" w:type="auto"/>
            <w:shd w:val="clear" w:color="auto" w:fill="auto"/>
          </w:tcPr>
          <w:p w14:paraId="33DAA571" w14:textId="77777777" w:rsidR="004D6A64" w:rsidRDefault="004D6A64">
            <w:pPr>
              <w:rPr>
                <w:rFonts w:ascii="宋体"/>
              </w:rPr>
            </w:pPr>
          </w:p>
        </w:tc>
        <w:tc>
          <w:tcPr>
            <w:tcW w:w="0" w:type="auto"/>
            <w:shd w:val="clear" w:color="auto" w:fill="auto"/>
          </w:tcPr>
          <w:p w14:paraId="33DAA572" w14:textId="77777777" w:rsidR="004D6A64" w:rsidRDefault="004D6A64">
            <w:pPr>
              <w:rPr>
                <w:rFonts w:ascii="宋体"/>
              </w:rPr>
            </w:pPr>
          </w:p>
        </w:tc>
      </w:tr>
      <w:tr w:rsidR="004D6A64" w14:paraId="33DAA596" w14:textId="77777777">
        <w:trPr>
          <w:jc w:val="center"/>
        </w:trPr>
        <w:tc>
          <w:tcPr>
            <w:tcW w:w="0" w:type="auto"/>
            <w:gridSpan w:val="3"/>
            <w:shd w:val="clear" w:color="auto" w:fill="CCEEFF"/>
            <w:tcMar>
              <w:top w:w="40" w:type="dxa"/>
              <w:left w:w="20" w:type="dxa"/>
              <w:bottom w:w="40" w:type="dxa"/>
              <w:right w:w="20" w:type="dxa"/>
            </w:tcMar>
            <w:vAlign w:val="center"/>
          </w:tcPr>
          <w:p w14:paraId="33DAA574" w14:textId="77777777" w:rsidR="004D6A64" w:rsidRDefault="00506CD6">
            <w:pPr>
              <w:textAlignment w:val="center"/>
            </w:pPr>
            <w:r>
              <w:rPr>
                <w:rFonts w:ascii="Times New Roman" w:eastAsia="宋体" w:hAnsi="Times New Roman"/>
                <w:color w:val="000000"/>
                <w:sz w:val="20"/>
                <w:szCs w:val="20"/>
              </w:rPr>
              <w:t>Margin Loan Facility</w:t>
            </w:r>
          </w:p>
        </w:tc>
        <w:tc>
          <w:tcPr>
            <w:tcW w:w="0" w:type="auto"/>
            <w:shd w:val="clear" w:color="auto" w:fill="CCEEFF"/>
            <w:tcMar>
              <w:top w:w="40" w:type="dxa"/>
              <w:left w:w="20" w:type="dxa"/>
              <w:bottom w:w="40" w:type="dxa"/>
            </w:tcMar>
            <w:vAlign w:val="center"/>
          </w:tcPr>
          <w:p w14:paraId="33DAA575"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576" w14:textId="77777777" w:rsidR="004D6A64" w:rsidRDefault="00506CD6">
            <w:pPr>
              <w:jc w:val="right"/>
              <w:textAlignment w:val="center"/>
            </w:pPr>
            <w:r>
              <w:rPr>
                <w:rFonts w:ascii="Times New Roman" w:eastAsia="宋体" w:hAnsi="Times New Roman"/>
                <w:color w:val="000000"/>
                <w:sz w:val="20"/>
                <w:szCs w:val="20"/>
              </w:rPr>
              <w:t>4.0 </w:t>
            </w:r>
          </w:p>
        </w:tc>
        <w:tc>
          <w:tcPr>
            <w:tcW w:w="0" w:type="auto"/>
            <w:shd w:val="clear" w:color="auto" w:fill="CCEEFF"/>
            <w:tcMar>
              <w:top w:w="40" w:type="dxa"/>
              <w:bottom w:w="40" w:type="dxa"/>
              <w:right w:w="20" w:type="dxa"/>
            </w:tcMar>
            <w:vAlign w:val="center"/>
          </w:tcPr>
          <w:p w14:paraId="33DAA57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578"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579"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57A" w14:textId="77777777" w:rsidR="004D6A64" w:rsidRDefault="00506CD6">
            <w:pPr>
              <w:jc w:val="right"/>
              <w:textAlignment w:val="center"/>
            </w:pPr>
            <w:r>
              <w:rPr>
                <w:rFonts w:ascii="Times New Roman" w:eastAsia="宋体" w:hAnsi="Times New Roman"/>
                <w:color w:val="000000"/>
                <w:sz w:val="20"/>
                <w:szCs w:val="20"/>
              </w:rPr>
              <w:t>3.9 </w:t>
            </w:r>
          </w:p>
        </w:tc>
        <w:tc>
          <w:tcPr>
            <w:tcW w:w="0" w:type="auto"/>
            <w:shd w:val="clear" w:color="auto" w:fill="CCEEFF"/>
            <w:tcMar>
              <w:top w:w="40" w:type="dxa"/>
              <w:bottom w:w="40" w:type="dxa"/>
              <w:right w:w="20" w:type="dxa"/>
            </w:tcMar>
            <w:vAlign w:val="center"/>
          </w:tcPr>
          <w:p w14:paraId="33DAA57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57C"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57D"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57E" w14:textId="77777777" w:rsidR="004D6A64" w:rsidRDefault="00506CD6">
            <w:pPr>
              <w:jc w:val="right"/>
              <w:textAlignment w:val="center"/>
            </w:pPr>
            <w:r>
              <w:rPr>
                <w:rFonts w:ascii="Times New Roman" w:eastAsia="宋体" w:hAnsi="Times New Roman"/>
                <w:color w:val="000000"/>
                <w:sz w:val="20"/>
                <w:szCs w:val="20"/>
              </w:rPr>
              <w:t>4.0 </w:t>
            </w:r>
          </w:p>
        </w:tc>
        <w:tc>
          <w:tcPr>
            <w:tcW w:w="0" w:type="auto"/>
            <w:shd w:val="clear" w:color="auto" w:fill="CCEEFF"/>
            <w:tcMar>
              <w:top w:w="40" w:type="dxa"/>
              <w:bottom w:w="40" w:type="dxa"/>
              <w:right w:w="20" w:type="dxa"/>
            </w:tcMar>
            <w:vAlign w:val="center"/>
          </w:tcPr>
          <w:p w14:paraId="33DAA57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580"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581"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582" w14:textId="77777777" w:rsidR="004D6A64" w:rsidRDefault="00506CD6">
            <w:pPr>
              <w:jc w:val="right"/>
              <w:textAlignment w:val="center"/>
            </w:pPr>
            <w:r>
              <w:rPr>
                <w:rFonts w:ascii="Times New Roman" w:eastAsia="宋体" w:hAnsi="Times New Roman"/>
                <w:color w:val="000000"/>
                <w:sz w:val="20"/>
                <w:szCs w:val="20"/>
              </w:rPr>
              <w:t>3.9 </w:t>
            </w:r>
          </w:p>
        </w:tc>
        <w:tc>
          <w:tcPr>
            <w:tcW w:w="0" w:type="auto"/>
            <w:shd w:val="clear" w:color="auto" w:fill="CCEEFF"/>
            <w:tcMar>
              <w:top w:w="40" w:type="dxa"/>
              <w:bottom w:w="40" w:type="dxa"/>
              <w:right w:w="20" w:type="dxa"/>
            </w:tcMar>
            <w:vAlign w:val="center"/>
          </w:tcPr>
          <w:p w14:paraId="33DAA583" w14:textId="77777777" w:rsidR="004D6A64" w:rsidRDefault="004D6A64">
            <w:pPr>
              <w:jc w:val="right"/>
              <w:rPr>
                <w:rFonts w:ascii="宋体"/>
              </w:rPr>
            </w:pPr>
          </w:p>
        </w:tc>
        <w:tc>
          <w:tcPr>
            <w:tcW w:w="0" w:type="auto"/>
            <w:shd w:val="clear" w:color="auto" w:fill="auto"/>
          </w:tcPr>
          <w:p w14:paraId="33DAA584" w14:textId="77777777" w:rsidR="004D6A64" w:rsidRDefault="004D6A64">
            <w:pPr>
              <w:rPr>
                <w:rFonts w:ascii="宋体"/>
              </w:rPr>
            </w:pPr>
          </w:p>
        </w:tc>
        <w:tc>
          <w:tcPr>
            <w:tcW w:w="0" w:type="auto"/>
            <w:shd w:val="clear" w:color="auto" w:fill="auto"/>
          </w:tcPr>
          <w:p w14:paraId="33DAA585" w14:textId="77777777" w:rsidR="004D6A64" w:rsidRDefault="004D6A64">
            <w:pPr>
              <w:rPr>
                <w:rFonts w:ascii="宋体"/>
              </w:rPr>
            </w:pPr>
          </w:p>
        </w:tc>
        <w:tc>
          <w:tcPr>
            <w:tcW w:w="0" w:type="auto"/>
            <w:shd w:val="clear" w:color="auto" w:fill="auto"/>
          </w:tcPr>
          <w:p w14:paraId="33DAA586" w14:textId="77777777" w:rsidR="004D6A64" w:rsidRDefault="004D6A64">
            <w:pPr>
              <w:rPr>
                <w:rFonts w:ascii="宋体"/>
              </w:rPr>
            </w:pPr>
          </w:p>
        </w:tc>
        <w:tc>
          <w:tcPr>
            <w:tcW w:w="0" w:type="auto"/>
            <w:shd w:val="clear" w:color="auto" w:fill="auto"/>
          </w:tcPr>
          <w:p w14:paraId="33DAA587" w14:textId="77777777" w:rsidR="004D6A64" w:rsidRDefault="004D6A64">
            <w:pPr>
              <w:rPr>
                <w:rFonts w:ascii="宋体"/>
              </w:rPr>
            </w:pPr>
          </w:p>
        </w:tc>
        <w:tc>
          <w:tcPr>
            <w:tcW w:w="0" w:type="auto"/>
            <w:shd w:val="clear" w:color="auto" w:fill="auto"/>
          </w:tcPr>
          <w:p w14:paraId="33DAA588" w14:textId="77777777" w:rsidR="004D6A64" w:rsidRDefault="004D6A64">
            <w:pPr>
              <w:rPr>
                <w:rFonts w:ascii="宋体"/>
              </w:rPr>
            </w:pPr>
          </w:p>
        </w:tc>
        <w:tc>
          <w:tcPr>
            <w:tcW w:w="0" w:type="auto"/>
            <w:shd w:val="clear" w:color="auto" w:fill="auto"/>
          </w:tcPr>
          <w:p w14:paraId="33DAA589" w14:textId="77777777" w:rsidR="004D6A64" w:rsidRDefault="004D6A64">
            <w:pPr>
              <w:rPr>
                <w:rFonts w:ascii="宋体"/>
              </w:rPr>
            </w:pPr>
          </w:p>
        </w:tc>
        <w:tc>
          <w:tcPr>
            <w:tcW w:w="0" w:type="auto"/>
            <w:shd w:val="clear" w:color="auto" w:fill="auto"/>
          </w:tcPr>
          <w:p w14:paraId="33DAA58A" w14:textId="77777777" w:rsidR="004D6A64" w:rsidRDefault="004D6A64">
            <w:pPr>
              <w:rPr>
                <w:rFonts w:ascii="宋体"/>
              </w:rPr>
            </w:pPr>
          </w:p>
        </w:tc>
        <w:tc>
          <w:tcPr>
            <w:tcW w:w="0" w:type="auto"/>
            <w:shd w:val="clear" w:color="auto" w:fill="auto"/>
          </w:tcPr>
          <w:p w14:paraId="33DAA58B" w14:textId="77777777" w:rsidR="004D6A64" w:rsidRDefault="004D6A64">
            <w:pPr>
              <w:rPr>
                <w:rFonts w:ascii="宋体"/>
              </w:rPr>
            </w:pPr>
          </w:p>
        </w:tc>
        <w:tc>
          <w:tcPr>
            <w:tcW w:w="0" w:type="auto"/>
            <w:shd w:val="clear" w:color="auto" w:fill="auto"/>
          </w:tcPr>
          <w:p w14:paraId="33DAA58C" w14:textId="77777777" w:rsidR="004D6A64" w:rsidRDefault="004D6A64">
            <w:pPr>
              <w:rPr>
                <w:rFonts w:ascii="宋体"/>
              </w:rPr>
            </w:pPr>
          </w:p>
        </w:tc>
        <w:tc>
          <w:tcPr>
            <w:tcW w:w="0" w:type="auto"/>
            <w:shd w:val="clear" w:color="auto" w:fill="auto"/>
          </w:tcPr>
          <w:p w14:paraId="33DAA58D" w14:textId="77777777" w:rsidR="004D6A64" w:rsidRDefault="004D6A64">
            <w:pPr>
              <w:rPr>
                <w:rFonts w:ascii="宋体"/>
              </w:rPr>
            </w:pPr>
          </w:p>
        </w:tc>
        <w:tc>
          <w:tcPr>
            <w:tcW w:w="0" w:type="auto"/>
            <w:shd w:val="clear" w:color="auto" w:fill="auto"/>
          </w:tcPr>
          <w:p w14:paraId="33DAA58E" w14:textId="77777777" w:rsidR="004D6A64" w:rsidRDefault="004D6A64">
            <w:pPr>
              <w:rPr>
                <w:rFonts w:ascii="宋体"/>
              </w:rPr>
            </w:pPr>
          </w:p>
        </w:tc>
        <w:tc>
          <w:tcPr>
            <w:tcW w:w="0" w:type="auto"/>
            <w:shd w:val="clear" w:color="auto" w:fill="auto"/>
          </w:tcPr>
          <w:p w14:paraId="33DAA58F" w14:textId="77777777" w:rsidR="004D6A64" w:rsidRDefault="004D6A64">
            <w:pPr>
              <w:rPr>
                <w:rFonts w:ascii="宋体"/>
              </w:rPr>
            </w:pPr>
          </w:p>
        </w:tc>
        <w:tc>
          <w:tcPr>
            <w:tcW w:w="0" w:type="auto"/>
            <w:shd w:val="clear" w:color="auto" w:fill="auto"/>
          </w:tcPr>
          <w:p w14:paraId="33DAA590" w14:textId="77777777" w:rsidR="004D6A64" w:rsidRDefault="004D6A64">
            <w:pPr>
              <w:rPr>
                <w:rFonts w:ascii="宋体"/>
              </w:rPr>
            </w:pPr>
          </w:p>
        </w:tc>
        <w:tc>
          <w:tcPr>
            <w:tcW w:w="0" w:type="auto"/>
            <w:shd w:val="clear" w:color="auto" w:fill="auto"/>
          </w:tcPr>
          <w:p w14:paraId="33DAA591" w14:textId="77777777" w:rsidR="004D6A64" w:rsidRDefault="004D6A64">
            <w:pPr>
              <w:rPr>
                <w:rFonts w:ascii="宋体"/>
              </w:rPr>
            </w:pPr>
          </w:p>
        </w:tc>
        <w:tc>
          <w:tcPr>
            <w:tcW w:w="0" w:type="auto"/>
            <w:shd w:val="clear" w:color="auto" w:fill="auto"/>
          </w:tcPr>
          <w:p w14:paraId="33DAA592" w14:textId="77777777" w:rsidR="004D6A64" w:rsidRDefault="004D6A64">
            <w:pPr>
              <w:rPr>
                <w:rFonts w:ascii="宋体"/>
              </w:rPr>
            </w:pPr>
          </w:p>
        </w:tc>
        <w:tc>
          <w:tcPr>
            <w:tcW w:w="0" w:type="auto"/>
            <w:shd w:val="clear" w:color="auto" w:fill="auto"/>
          </w:tcPr>
          <w:p w14:paraId="33DAA593" w14:textId="77777777" w:rsidR="004D6A64" w:rsidRDefault="004D6A64">
            <w:pPr>
              <w:rPr>
                <w:rFonts w:ascii="宋体"/>
              </w:rPr>
            </w:pPr>
          </w:p>
        </w:tc>
        <w:tc>
          <w:tcPr>
            <w:tcW w:w="0" w:type="auto"/>
            <w:shd w:val="clear" w:color="auto" w:fill="auto"/>
          </w:tcPr>
          <w:p w14:paraId="33DAA594" w14:textId="77777777" w:rsidR="004D6A64" w:rsidRDefault="004D6A64">
            <w:pPr>
              <w:rPr>
                <w:rFonts w:ascii="宋体"/>
              </w:rPr>
            </w:pPr>
          </w:p>
        </w:tc>
        <w:tc>
          <w:tcPr>
            <w:tcW w:w="0" w:type="auto"/>
            <w:shd w:val="clear" w:color="auto" w:fill="auto"/>
          </w:tcPr>
          <w:p w14:paraId="33DAA595" w14:textId="77777777" w:rsidR="004D6A64" w:rsidRDefault="004D6A64">
            <w:pPr>
              <w:rPr>
                <w:rFonts w:ascii="宋体"/>
              </w:rPr>
            </w:pPr>
          </w:p>
        </w:tc>
      </w:tr>
    </w:tbl>
    <w:p w14:paraId="33DAA597" w14:textId="77777777" w:rsidR="004D6A64" w:rsidRDefault="004D6A64">
      <w:pPr>
        <w:jc w:val="center"/>
      </w:pPr>
    </w:p>
    <w:p w14:paraId="33DAA598" w14:textId="77777777" w:rsidR="004D6A64" w:rsidRDefault="00506CD6">
      <w:r>
        <w:rPr>
          <w:rFonts w:ascii="Times New Roman" w:eastAsia="宋体" w:hAnsi="Times New Roman"/>
          <w:color w:val="000000"/>
          <w:sz w:val="20"/>
          <w:szCs w:val="20"/>
        </w:rPr>
        <w:t>The fair values of the outstanding debt shown in the table above, as well as the Dell Financial Servi</w:t>
      </w:r>
      <w:r>
        <w:rPr>
          <w:rFonts w:ascii="Times New Roman" w:eastAsia="宋体" w:hAnsi="Times New Roman"/>
          <w:color w:val="000000"/>
          <w:sz w:val="20"/>
          <w:szCs w:val="20"/>
        </w:rPr>
        <w:t>ces (“DFS”) debt described in Note 4 of the Notes to the Condensed Consolidated Financial Statements, were determined based on observable market prices in a less active market or based on valuation methodologies using observable inputs and were categorized</w:t>
      </w:r>
      <w:r>
        <w:rPr>
          <w:rFonts w:ascii="Times New Roman" w:eastAsia="宋体" w:hAnsi="Times New Roman"/>
          <w:color w:val="000000"/>
          <w:sz w:val="20"/>
          <w:szCs w:val="20"/>
        </w:rPr>
        <w:t xml:space="preserve"> as Level 2 in the fair value hierarchy. The carrying value of DFS debt approximates fair value.</w:t>
      </w:r>
    </w:p>
    <w:p w14:paraId="33DAA599" w14:textId="77777777" w:rsidR="004D6A64" w:rsidRDefault="004D6A64"/>
    <w:p w14:paraId="33DAA59A" w14:textId="77777777" w:rsidR="004D6A64" w:rsidRDefault="004D6A64"/>
    <w:p w14:paraId="33DAA59B" w14:textId="77777777" w:rsidR="004D6A64" w:rsidRDefault="004D6A64">
      <w:pPr>
        <w:jc w:val="center"/>
      </w:pPr>
    </w:p>
    <w:p w14:paraId="33DAA59C" w14:textId="77777777" w:rsidR="004D6A64" w:rsidRDefault="00506CD6">
      <w:pPr>
        <w:jc w:val="center"/>
      </w:pPr>
      <w:r>
        <w:rPr>
          <w:rFonts w:ascii="Times New Roman" w:eastAsia="宋体" w:hAnsi="Times New Roman"/>
          <w:color w:val="000000"/>
          <w:sz w:val="20"/>
          <w:szCs w:val="20"/>
        </w:rPr>
        <w:t>19</w:t>
      </w:r>
    </w:p>
    <w:p w14:paraId="33DAA59D" w14:textId="77777777" w:rsidR="004D6A64" w:rsidRDefault="004D6A64">
      <w:pPr>
        <w:jc w:val="center"/>
      </w:pPr>
    </w:p>
    <w:p w14:paraId="33DAA59E" w14:textId="77777777" w:rsidR="004D6A64" w:rsidRDefault="00506CD6">
      <w:r>
        <w:pict w14:anchorId="33DAFAD7">
          <v:rect id="_x0000_i1043" style="width:415.3pt;height:1.5pt" o:hralign="center" o:hrstd="t" o:hr="t" fillcolor="#a0a0a0" stroked="f"/>
        </w:pict>
      </w:r>
    </w:p>
    <w:p w14:paraId="33DAA59F" w14:textId="77777777" w:rsidR="004D6A64" w:rsidRDefault="00506CD6">
      <w:hyperlink r:id="rId142" w:anchor="if3e0e1bf9ecd4bf69551d7a85f98d64a_10" w:history="1">
        <w:r>
          <w:rPr>
            <w:rStyle w:val="a5"/>
            <w:rFonts w:ascii="Times New Roman" w:eastAsia="宋体" w:hAnsi="Times New Roman"/>
            <w:sz w:val="20"/>
            <w:szCs w:val="20"/>
          </w:rPr>
          <w:t>Table of Contents</w:t>
        </w:r>
      </w:hyperlink>
    </w:p>
    <w:p w14:paraId="33DAA5A0"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A5A1"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33DAA5A2"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A5A3" w14:textId="77777777" w:rsidR="004D6A64" w:rsidRDefault="004D6A64">
      <w:pPr>
        <w:jc w:val="center"/>
      </w:pPr>
    </w:p>
    <w:p w14:paraId="33DAA5A4" w14:textId="77777777" w:rsidR="004D6A64" w:rsidRDefault="00506CD6">
      <w:r>
        <w:rPr>
          <w:rFonts w:ascii="Times New Roman" w:eastAsia="宋体" w:hAnsi="Times New Roman"/>
          <w:b/>
          <w:bCs/>
          <w:color w:val="000000"/>
          <w:sz w:val="20"/>
          <w:szCs w:val="20"/>
        </w:rPr>
        <w:t>Investments</w:t>
      </w:r>
    </w:p>
    <w:p w14:paraId="33DAA5A5" w14:textId="77777777" w:rsidR="004D6A64" w:rsidRDefault="004D6A64"/>
    <w:p w14:paraId="33DAA5A6" w14:textId="77777777" w:rsidR="004D6A64" w:rsidRDefault="00506CD6">
      <w:r>
        <w:rPr>
          <w:rFonts w:ascii="Times New Roman" w:eastAsia="宋体" w:hAnsi="Times New Roman"/>
          <w:color w:val="000000"/>
          <w:sz w:val="20"/>
          <w:szCs w:val="20"/>
        </w:rPr>
        <w:t>The following table presents the carrying value of the Company’s investments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719"/>
        <w:gridCol w:w="35"/>
        <w:gridCol w:w="129"/>
        <w:gridCol w:w="346"/>
        <w:gridCol w:w="40"/>
        <w:gridCol w:w="36"/>
        <w:gridCol w:w="35"/>
        <w:gridCol w:w="35"/>
        <w:gridCol w:w="130"/>
        <w:gridCol w:w="735"/>
        <w:gridCol w:w="40"/>
        <w:gridCol w:w="36"/>
        <w:gridCol w:w="35"/>
        <w:gridCol w:w="35"/>
        <w:gridCol w:w="131"/>
        <w:gridCol w:w="736"/>
        <w:gridCol w:w="41"/>
        <w:gridCol w:w="36"/>
        <w:gridCol w:w="36"/>
        <w:gridCol w:w="36"/>
        <w:gridCol w:w="131"/>
        <w:gridCol w:w="623"/>
        <w:gridCol w:w="41"/>
        <w:gridCol w:w="36"/>
        <w:gridCol w:w="36"/>
        <w:gridCol w:w="36"/>
        <w:gridCol w:w="130"/>
        <w:gridCol w:w="347"/>
        <w:gridCol w:w="41"/>
        <w:gridCol w:w="36"/>
        <w:gridCol w:w="36"/>
        <w:gridCol w:w="36"/>
        <w:gridCol w:w="131"/>
        <w:gridCol w:w="736"/>
        <w:gridCol w:w="41"/>
        <w:gridCol w:w="36"/>
        <w:gridCol w:w="36"/>
        <w:gridCol w:w="36"/>
        <w:gridCol w:w="131"/>
        <w:gridCol w:w="736"/>
        <w:gridCol w:w="41"/>
        <w:gridCol w:w="36"/>
        <w:gridCol w:w="36"/>
        <w:gridCol w:w="36"/>
        <w:gridCol w:w="131"/>
        <w:gridCol w:w="623"/>
        <w:gridCol w:w="42"/>
        <w:gridCol w:w="36"/>
        <w:gridCol w:w="36"/>
        <w:gridCol w:w="36"/>
        <w:gridCol w:w="36"/>
        <w:gridCol w:w="36"/>
        <w:gridCol w:w="36"/>
        <w:gridCol w:w="36"/>
        <w:gridCol w:w="36"/>
        <w:gridCol w:w="36"/>
        <w:gridCol w:w="36"/>
        <w:gridCol w:w="36"/>
        <w:gridCol w:w="36"/>
        <w:gridCol w:w="36"/>
        <w:gridCol w:w="36"/>
        <w:gridCol w:w="36"/>
      </w:tblGrid>
      <w:tr w:rsidR="004D6A64" w14:paraId="33DAA5D7" w14:textId="77777777">
        <w:trPr>
          <w:gridAfter w:val="15"/>
          <w:jc w:val="center"/>
        </w:trPr>
        <w:tc>
          <w:tcPr>
            <w:tcW w:w="50" w:type="pct"/>
            <w:shd w:val="clear" w:color="auto" w:fill="auto"/>
          </w:tcPr>
          <w:p w14:paraId="33DAA5A7" w14:textId="77777777" w:rsidR="004D6A64" w:rsidRDefault="004D6A64">
            <w:pPr>
              <w:rPr>
                <w:rFonts w:ascii="宋体"/>
              </w:rPr>
            </w:pPr>
          </w:p>
        </w:tc>
        <w:tc>
          <w:tcPr>
            <w:tcW w:w="1129" w:type="pct"/>
            <w:shd w:val="clear" w:color="auto" w:fill="auto"/>
          </w:tcPr>
          <w:p w14:paraId="33DAA5A8" w14:textId="77777777" w:rsidR="004D6A64" w:rsidRDefault="004D6A64">
            <w:pPr>
              <w:rPr>
                <w:rFonts w:ascii="宋体"/>
              </w:rPr>
            </w:pPr>
          </w:p>
        </w:tc>
        <w:tc>
          <w:tcPr>
            <w:tcW w:w="5" w:type="pct"/>
            <w:shd w:val="clear" w:color="auto" w:fill="auto"/>
          </w:tcPr>
          <w:p w14:paraId="33DAA5A9" w14:textId="77777777" w:rsidR="004D6A64" w:rsidRDefault="004D6A64">
            <w:pPr>
              <w:rPr>
                <w:rFonts w:ascii="宋体"/>
              </w:rPr>
            </w:pPr>
          </w:p>
        </w:tc>
        <w:tc>
          <w:tcPr>
            <w:tcW w:w="50" w:type="pct"/>
            <w:shd w:val="clear" w:color="auto" w:fill="auto"/>
          </w:tcPr>
          <w:p w14:paraId="33DAA5AA" w14:textId="77777777" w:rsidR="004D6A64" w:rsidRDefault="004D6A64">
            <w:pPr>
              <w:rPr>
                <w:rFonts w:ascii="宋体"/>
              </w:rPr>
            </w:pPr>
          </w:p>
        </w:tc>
        <w:tc>
          <w:tcPr>
            <w:tcW w:w="376" w:type="pct"/>
            <w:shd w:val="clear" w:color="auto" w:fill="auto"/>
          </w:tcPr>
          <w:p w14:paraId="33DAA5AB" w14:textId="77777777" w:rsidR="004D6A64" w:rsidRDefault="004D6A64">
            <w:pPr>
              <w:rPr>
                <w:rFonts w:ascii="宋体"/>
              </w:rPr>
            </w:pPr>
          </w:p>
        </w:tc>
        <w:tc>
          <w:tcPr>
            <w:tcW w:w="5" w:type="pct"/>
            <w:shd w:val="clear" w:color="auto" w:fill="auto"/>
          </w:tcPr>
          <w:p w14:paraId="33DAA5AC" w14:textId="77777777" w:rsidR="004D6A64" w:rsidRDefault="004D6A64">
            <w:pPr>
              <w:rPr>
                <w:rFonts w:ascii="宋体"/>
              </w:rPr>
            </w:pPr>
          </w:p>
        </w:tc>
        <w:tc>
          <w:tcPr>
            <w:tcW w:w="5" w:type="pct"/>
            <w:shd w:val="clear" w:color="auto" w:fill="auto"/>
          </w:tcPr>
          <w:p w14:paraId="33DAA5AD" w14:textId="77777777" w:rsidR="004D6A64" w:rsidRDefault="004D6A64">
            <w:pPr>
              <w:rPr>
                <w:rFonts w:ascii="宋体"/>
              </w:rPr>
            </w:pPr>
          </w:p>
        </w:tc>
        <w:tc>
          <w:tcPr>
            <w:tcW w:w="19" w:type="pct"/>
            <w:shd w:val="clear" w:color="auto" w:fill="auto"/>
          </w:tcPr>
          <w:p w14:paraId="33DAA5AE" w14:textId="77777777" w:rsidR="004D6A64" w:rsidRDefault="004D6A64">
            <w:pPr>
              <w:rPr>
                <w:rFonts w:ascii="宋体"/>
              </w:rPr>
            </w:pPr>
          </w:p>
        </w:tc>
        <w:tc>
          <w:tcPr>
            <w:tcW w:w="5" w:type="pct"/>
            <w:shd w:val="clear" w:color="auto" w:fill="auto"/>
          </w:tcPr>
          <w:p w14:paraId="33DAA5AF" w14:textId="77777777" w:rsidR="004D6A64" w:rsidRDefault="004D6A64">
            <w:pPr>
              <w:rPr>
                <w:rFonts w:ascii="宋体"/>
              </w:rPr>
            </w:pPr>
          </w:p>
        </w:tc>
        <w:tc>
          <w:tcPr>
            <w:tcW w:w="50" w:type="pct"/>
            <w:shd w:val="clear" w:color="auto" w:fill="auto"/>
          </w:tcPr>
          <w:p w14:paraId="33DAA5B0" w14:textId="77777777" w:rsidR="004D6A64" w:rsidRDefault="004D6A64">
            <w:pPr>
              <w:rPr>
                <w:rFonts w:ascii="宋体"/>
              </w:rPr>
            </w:pPr>
          </w:p>
        </w:tc>
        <w:tc>
          <w:tcPr>
            <w:tcW w:w="412" w:type="pct"/>
            <w:shd w:val="clear" w:color="auto" w:fill="auto"/>
          </w:tcPr>
          <w:p w14:paraId="33DAA5B1" w14:textId="77777777" w:rsidR="004D6A64" w:rsidRDefault="004D6A64">
            <w:pPr>
              <w:rPr>
                <w:rFonts w:ascii="宋体"/>
              </w:rPr>
            </w:pPr>
          </w:p>
        </w:tc>
        <w:tc>
          <w:tcPr>
            <w:tcW w:w="5" w:type="pct"/>
            <w:shd w:val="clear" w:color="auto" w:fill="auto"/>
          </w:tcPr>
          <w:p w14:paraId="33DAA5B2" w14:textId="77777777" w:rsidR="004D6A64" w:rsidRDefault="004D6A64">
            <w:pPr>
              <w:rPr>
                <w:rFonts w:ascii="宋体"/>
              </w:rPr>
            </w:pPr>
          </w:p>
        </w:tc>
        <w:tc>
          <w:tcPr>
            <w:tcW w:w="5" w:type="pct"/>
            <w:shd w:val="clear" w:color="auto" w:fill="auto"/>
          </w:tcPr>
          <w:p w14:paraId="33DAA5B3" w14:textId="77777777" w:rsidR="004D6A64" w:rsidRDefault="004D6A64">
            <w:pPr>
              <w:rPr>
                <w:rFonts w:ascii="宋体"/>
              </w:rPr>
            </w:pPr>
          </w:p>
        </w:tc>
        <w:tc>
          <w:tcPr>
            <w:tcW w:w="19" w:type="pct"/>
            <w:shd w:val="clear" w:color="auto" w:fill="auto"/>
          </w:tcPr>
          <w:p w14:paraId="33DAA5B4" w14:textId="77777777" w:rsidR="004D6A64" w:rsidRDefault="004D6A64">
            <w:pPr>
              <w:rPr>
                <w:rFonts w:ascii="宋体"/>
              </w:rPr>
            </w:pPr>
          </w:p>
        </w:tc>
        <w:tc>
          <w:tcPr>
            <w:tcW w:w="5" w:type="pct"/>
            <w:shd w:val="clear" w:color="auto" w:fill="auto"/>
          </w:tcPr>
          <w:p w14:paraId="33DAA5B5" w14:textId="77777777" w:rsidR="004D6A64" w:rsidRDefault="004D6A64">
            <w:pPr>
              <w:rPr>
                <w:rFonts w:ascii="宋体"/>
              </w:rPr>
            </w:pPr>
          </w:p>
        </w:tc>
        <w:tc>
          <w:tcPr>
            <w:tcW w:w="50" w:type="pct"/>
            <w:shd w:val="clear" w:color="auto" w:fill="auto"/>
          </w:tcPr>
          <w:p w14:paraId="33DAA5B6" w14:textId="77777777" w:rsidR="004D6A64" w:rsidRDefault="004D6A64">
            <w:pPr>
              <w:rPr>
                <w:rFonts w:ascii="宋体"/>
              </w:rPr>
            </w:pPr>
          </w:p>
        </w:tc>
        <w:tc>
          <w:tcPr>
            <w:tcW w:w="412" w:type="pct"/>
            <w:shd w:val="clear" w:color="auto" w:fill="auto"/>
          </w:tcPr>
          <w:p w14:paraId="33DAA5B7" w14:textId="77777777" w:rsidR="004D6A64" w:rsidRDefault="004D6A64">
            <w:pPr>
              <w:rPr>
                <w:rFonts w:ascii="宋体"/>
              </w:rPr>
            </w:pPr>
          </w:p>
        </w:tc>
        <w:tc>
          <w:tcPr>
            <w:tcW w:w="5" w:type="pct"/>
            <w:shd w:val="clear" w:color="auto" w:fill="auto"/>
          </w:tcPr>
          <w:p w14:paraId="33DAA5B8" w14:textId="77777777" w:rsidR="004D6A64" w:rsidRDefault="004D6A64">
            <w:pPr>
              <w:rPr>
                <w:rFonts w:ascii="宋体"/>
              </w:rPr>
            </w:pPr>
          </w:p>
        </w:tc>
        <w:tc>
          <w:tcPr>
            <w:tcW w:w="5" w:type="pct"/>
            <w:shd w:val="clear" w:color="auto" w:fill="auto"/>
          </w:tcPr>
          <w:p w14:paraId="33DAA5B9" w14:textId="77777777" w:rsidR="004D6A64" w:rsidRDefault="004D6A64">
            <w:pPr>
              <w:rPr>
                <w:rFonts w:ascii="宋体"/>
              </w:rPr>
            </w:pPr>
          </w:p>
        </w:tc>
        <w:tc>
          <w:tcPr>
            <w:tcW w:w="19" w:type="pct"/>
            <w:shd w:val="clear" w:color="auto" w:fill="auto"/>
          </w:tcPr>
          <w:p w14:paraId="33DAA5BA" w14:textId="77777777" w:rsidR="004D6A64" w:rsidRDefault="004D6A64">
            <w:pPr>
              <w:rPr>
                <w:rFonts w:ascii="宋体"/>
              </w:rPr>
            </w:pPr>
          </w:p>
        </w:tc>
        <w:tc>
          <w:tcPr>
            <w:tcW w:w="5" w:type="pct"/>
            <w:shd w:val="clear" w:color="auto" w:fill="auto"/>
          </w:tcPr>
          <w:p w14:paraId="33DAA5BB" w14:textId="77777777" w:rsidR="004D6A64" w:rsidRDefault="004D6A64">
            <w:pPr>
              <w:rPr>
                <w:rFonts w:ascii="宋体"/>
              </w:rPr>
            </w:pPr>
          </w:p>
        </w:tc>
        <w:tc>
          <w:tcPr>
            <w:tcW w:w="50" w:type="pct"/>
            <w:shd w:val="clear" w:color="auto" w:fill="auto"/>
          </w:tcPr>
          <w:p w14:paraId="33DAA5BC" w14:textId="77777777" w:rsidR="004D6A64" w:rsidRDefault="004D6A64">
            <w:pPr>
              <w:rPr>
                <w:rFonts w:ascii="宋体"/>
              </w:rPr>
            </w:pPr>
          </w:p>
        </w:tc>
        <w:tc>
          <w:tcPr>
            <w:tcW w:w="383" w:type="pct"/>
            <w:shd w:val="clear" w:color="auto" w:fill="auto"/>
          </w:tcPr>
          <w:p w14:paraId="33DAA5BD" w14:textId="77777777" w:rsidR="004D6A64" w:rsidRDefault="004D6A64">
            <w:pPr>
              <w:rPr>
                <w:rFonts w:ascii="宋体"/>
              </w:rPr>
            </w:pPr>
          </w:p>
        </w:tc>
        <w:tc>
          <w:tcPr>
            <w:tcW w:w="5" w:type="pct"/>
            <w:shd w:val="clear" w:color="auto" w:fill="auto"/>
          </w:tcPr>
          <w:p w14:paraId="33DAA5BE" w14:textId="77777777" w:rsidR="004D6A64" w:rsidRDefault="004D6A64">
            <w:pPr>
              <w:rPr>
                <w:rFonts w:ascii="宋体"/>
              </w:rPr>
            </w:pPr>
          </w:p>
        </w:tc>
        <w:tc>
          <w:tcPr>
            <w:tcW w:w="5" w:type="pct"/>
            <w:shd w:val="clear" w:color="auto" w:fill="auto"/>
          </w:tcPr>
          <w:p w14:paraId="33DAA5BF" w14:textId="77777777" w:rsidR="004D6A64" w:rsidRDefault="004D6A64">
            <w:pPr>
              <w:rPr>
                <w:rFonts w:ascii="宋体"/>
              </w:rPr>
            </w:pPr>
          </w:p>
        </w:tc>
        <w:tc>
          <w:tcPr>
            <w:tcW w:w="19" w:type="pct"/>
            <w:shd w:val="clear" w:color="auto" w:fill="auto"/>
          </w:tcPr>
          <w:p w14:paraId="33DAA5C0" w14:textId="77777777" w:rsidR="004D6A64" w:rsidRDefault="004D6A64">
            <w:pPr>
              <w:rPr>
                <w:rFonts w:ascii="宋体"/>
              </w:rPr>
            </w:pPr>
          </w:p>
        </w:tc>
        <w:tc>
          <w:tcPr>
            <w:tcW w:w="5" w:type="pct"/>
            <w:shd w:val="clear" w:color="auto" w:fill="auto"/>
          </w:tcPr>
          <w:p w14:paraId="33DAA5C1" w14:textId="77777777" w:rsidR="004D6A64" w:rsidRDefault="004D6A64">
            <w:pPr>
              <w:rPr>
                <w:rFonts w:ascii="宋体"/>
              </w:rPr>
            </w:pPr>
          </w:p>
        </w:tc>
        <w:tc>
          <w:tcPr>
            <w:tcW w:w="50" w:type="pct"/>
            <w:shd w:val="clear" w:color="auto" w:fill="auto"/>
          </w:tcPr>
          <w:p w14:paraId="33DAA5C2" w14:textId="77777777" w:rsidR="004D6A64" w:rsidRDefault="004D6A64">
            <w:pPr>
              <w:rPr>
                <w:rFonts w:ascii="宋体"/>
              </w:rPr>
            </w:pPr>
          </w:p>
        </w:tc>
        <w:tc>
          <w:tcPr>
            <w:tcW w:w="376" w:type="pct"/>
            <w:shd w:val="clear" w:color="auto" w:fill="auto"/>
          </w:tcPr>
          <w:p w14:paraId="33DAA5C3" w14:textId="77777777" w:rsidR="004D6A64" w:rsidRDefault="004D6A64">
            <w:pPr>
              <w:rPr>
                <w:rFonts w:ascii="宋体"/>
              </w:rPr>
            </w:pPr>
          </w:p>
        </w:tc>
        <w:tc>
          <w:tcPr>
            <w:tcW w:w="5" w:type="pct"/>
            <w:shd w:val="clear" w:color="auto" w:fill="auto"/>
          </w:tcPr>
          <w:p w14:paraId="33DAA5C4" w14:textId="77777777" w:rsidR="004D6A64" w:rsidRDefault="004D6A64">
            <w:pPr>
              <w:rPr>
                <w:rFonts w:ascii="宋体"/>
              </w:rPr>
            </w:pPr>
          </w:p>
        </w:tc>
        <w:tc>
          <w:tcPr>
            <w:tcW w:w="5" w:type="pct"/>
            <w:shd w:val="clear" w:color="auto" w:fill="auto"/>
          </w:tcPr>
          <w:p w14:paraId="33DAA5C5" w14:textId="77777777" w:rsidR="004D6A64" w:rsidRDefault="004D6A64">
            <w:pPr>
              <w:rPr>
                <w:rFonts w:ascii="宋体"/>
              </w:rPr>
            </w:pPr>
          </w:p>
        </w:tc>
        <w:tc>
          <w:tcPr>
            <w:tcW w:w="19" w:type="pct"/>
            <w:shd w:val="clear" w:color="auto" w:fill="auto"/>
          </w:tcPr>
          <w:p w14:paraId="33DAA5C6" w14:textId="77777777" w:rsidR="004D6A64" w:rsidRDefault="004D6A64">
            <w:pPr>
              <w:rPr>
                <w:rFonts w:ascii="宋体"/>
              </w:rPr>
            </w:pPr>
          </w:p>
        </w:tc>
        <w:tc>
          <w:tcPr>
            <w:tcW w:w="5" w:type="pct"/>
            <w:shd w:val="clear" w:color="auto" w:fill="auto"/>
          </w:tcPr>
          <w:p w14:paraId="33DAA5C7" w14:textId="77777777" w:rsidR="004D6A64" w:rsidRDefault="004D6A64">
            <w:pPr>
              <w:rPr>
                <w:rFonts w:ascii="宋体"/>
              </w:rPr>
            </w:pPr>
          </w:p>
        </w:tc>
        <w:tc>
          <w:tcPr>
            <w:tcW w:w="50" w:type="pct"/>
            <w:shd w:val="clear" w:color="auto" w:fill="auto"/>
          </w:tcPr>
          <w:p w14:paraId="33DAA5C8" w14:textId="77777777" w:rsidR="004D6A64" w:rsidRDefault="004D6A64">
            <w:pPr>
              <w:rPr>
                <w:rFonts w:ascii="宋体"/>
              </w:rPr>
            </w:pPr>
          </w:p>
        </w:tc>
        <w:tc>
          <w:tcPr>
            <w:tcW w:w="412" w:type="pct"/>
            <w:shd w:val="clear" w:color="auto" w:fill="auto"/>
          </w:tcPr>
          <w:p w14:paraId="33DAA5C9" w14:textId="77777777" w:rsidR="004D6A64" w:rsidRDefault="004D6A64">
            <w:pPr>
              <w:rPr>
                <w:rFonts w:ascii="宋体"/>
              </w:rPr>
            </w:pPr>
          </w:p>
        </w:tc>
        <w:tc>
          <w:tcPr>
            <w:tcW w:w="5" w:type="pct"/>
            <w:shd w:val="clear" w:color="auto" w:fill="auto"/>
          </w:tcPr>
          <w:p w14:paraId="33DAA5CA" w14:textId="77777777" w:rsidR="004D6A64" w:rsidRDefault="004D6A64">
            <w:pPr>
              <w:rPr>
                <w:rFonts w:ascii="宋体"/>
              </w:rPr>
            </w:pPr>
          </w:p>
        </w:tc>
        <w:tc>
          <w:tcPr>
            <w:tcW w:w="5" w:type="pct"/>
            <w:shd w:val="clear" w:color="auto" w:fill="auto"/>
          </w:tcPr>
          <w:p w14:paraId="33DAA5CB" w14:textId="77777777" w:rsidR="004D6A64" w:rsidRDefault="004D6A64">
            <w:pPr>
              <w:rPr>
                <w:rFonts w:ascii="宋体"/>
              </w:rPr>
            </w:pPr>
          </w:p>
        </w:tc>
        <w:tc>
          <w:tcPr>
            <w:tcW w:w="19" w:type="pct"/>
            <w:shd w:val="clear" w:color="auto" w:fill="auto"/>
          </w:tcPr>
          <w:p w14:paraId="33DAA5CC" w14:textId="77777777" w:rsidR="004D6A64" w:rsidRDefault="004D6A64">
            <w:pPr>
              <w:rPr>
                <w:rFonts w:ascii="宋体"/>
              </w:rPr>
            </w:pPr>
          </w:p>
        </w:tc>
        <w:tc>
          <w:tcPr>
            <w:tcW w:w="5" w:type="pct"/>
            <w:shd w:val="clear" w:color="auto" w:fill="auto"/>
          </w:tcPr>
          <w:p w14:paraId="33DAA5CD" w14:textId="77777777" w:rsidR="004D6A64" w:rsidRDefault="004D6A64">
            <w:pPr>
              <w:rPr>
                <w:rFonts w:ascii="宋体"/>
              </w:rPr>
            </w:pPr>
          </w:p>
        </w:tc>
        <w:tc>
          <w:tcPr>
            <w:tcW w:w="50" w:type="pct"/>
            <w:shd w:val="clear" w:color="auto" w:fill="auto"/>
          </w:tcPr>
          <w:p w14:paraId="33DAA5CE" w14:textId="77777777" w:rsidR="004D6A64" w:rsidRDefault="004D6A64">
            <w:pPr>
              <w:rPr>
                <w:rFonts w:ascii="宋体"/>
              </w:rPr>
            </w:pPr>
          </w:p>
        </w:tc>
        <w:tc>
          <w:tcPr>
            <w:tcW w:w="412" w:type="pct"/>
            <w:shd w:val="clear" w:color="auto" w:fill="auto"/>
          </w:tcPr>
          <w:p w14:paraId="33DAA5CF" w14:textId="77777777" w:rsidR="004D6A64" w:rsidRDefault="004D6A64">
            <w:pPr>
              <w:rPr>
                <w:rFonts w:ascii="宋体"/>
              </w:rPr>
            </w:pPr>
          </w:p>
        </w:tc>
        <w:tc>
          <w:tcPr>
            <w:tcW w:w="5" w:type="pct"/>
            <w:shd w:val="clear" w:color="auto" w:fill="auto"/>
          </w:tcPr>
          <w:p w14:paraId="33DAA5D0" w14:textId="77777777" w:rsidR="004D6A64" w:rsidRDefault="004D6A64">
            <w:pPr>
              <w:rPr>
                <w:rFonts w:ascii="宋体"/>
              </w:rPr>
            </w:pPr>
          </w:p>
        </w:tc>
        <w:tc>
          <w:tcPr>
            <w:tcW w:w="5" w:type="pct"/>
            <w:shd w:val="clear" w:color="auto" w:fill="auto"/>
          </w:tcPr>
          <w:p w14:paraId="33DAA5D1" w14:textId="77777777" w:rsidR="004D6A64" w:rsidRDefault="004D6A64">
            <w:pPr>
              <w:rPr>
                <w:rFonts w:ascii="宋体"/>
              </w:rPr>
            </w:pPr>
          </w:p>
        </w:tc>
        <w:tc>
          <w:tcPr>
            <w:tcW w:w="19" w:type="pct"/>
            <w:shd w:val="clear" w:color="auto" w:fill="auto"/>
          </w:tcPr>
          <w:p w14:paraId="33DAA5D2" w14:textId="77777777" w:rsidR="004D6A64" w:rsidRDefault="004D6A64">
            <w:pPr>
              <w:rPr>
                <w:rFonts w:ascii="宋体"/>
              </w:rPr>
            </w:pPr>
          </w:p>
        </w:tc>
        <w:tc>
          <w:tcPr>
            <w:tcW w:w="5" w:type="pct"/>
            <w:shd w:val="clear" w:color="auto" w:fill="auto"/>
          </w:tcPr>
          <w:p w14:paraId="33DAA5D3" w14:textId="77777777" w:rsidR="004D6A64" w:rsidRDefault="004D6A64">
            <w:pPr>
              <w:rPr>
                <w:rFonts w:ascii="宋体"/>
              </w:rPr>
            </w:pPr>
          </w:p>
        </w:tc>
        <w:tc>
          <w:tcPr>
            <w:tcW w:w="50" w:type="pct"/>
            <w:shd w:val="clear" w:color="auto" w:fill="auto"/>
          </w:tcPr>
          <w:p w14:paraId="33DAA5D4" w14:textId="77777777" w:rsidR="004D6A64" w:rsidRDefault="004D6A64">
            <w:pPr>
              <w:rPr>
                <w:rFonts w:ascii="宋体"/>
              </w:rPr>
            </w:pPr>
          </w:p>
        </w:tc>
        <w:tc>
          <w:tcPr>
            <w:tcW w:w="384" w:type="pct"/>
            <w:shd w:val="clear" w:color="auto" w:fill="auto"/>
          </w:tcPr>
          <w:p w14:paraId="33DAA5D5" w14:textId="77777777" w:rsidR="004D6A64" w:rsidRDefault="004D6A64">
            <w:pPr>
              <w:rPr>
                <w:rFonts w:ascii="宋体"/>
              </w:rPr>
            </w:pPr>
          </w:p>
        </w:tc>
        <w:tc>
          <w:tcPr>
            <w:tcW w:w="5" w:type="pct"/>
            <w:shd w:val="clear" w:color="auto" w:fill="auto"/>
          </w:tcPr>
          <w:p w14:paraId="33DAA5D6" w14:textId="77777777" w:rsidR="004D6A64" w:rsidRDefault="004D6A64">
            <w:pPr>
              <w:rPr>
                <w:rFonts w:ascii="宋体"/>
              </w:rPr>
            </w:pPr>
          </w:p>
        </w:tc>
      </w:tr>
      <w:tr w:rsidR="004D6A64" w14:paraId="33DAA5E3" w14:textId="77777777">
        <w:trPr>
          <w:jc w:val="center"/>
        </w:trPr>
        <w:tc>
          <w:tcPr>
            <w:tcW w:w="0" w:type="auto"/>
            <w:gridSpan w:val="3"/>
            <w:shd w:val="clear" w:color="auto" w:fill="auto"/>
            <w:tcMar>
              <w:left w:w="20" w:type="dxa"/>
              <w:right w:w="20" w:type="dxa"/>
            </w:tcMar>
            <w:vAlign w:val="bottom"/>
          </w:tcPr>
          <w:p w14:paraId="33DAA5D8" w14:textId="77777777" w:rsidR="004D6A64" w:rsidRDefault="004D6A64">
            <w:pPr>
              <w:rPr>
                <w:rFonts w:ascii="宋体"/>
              </w:rPr>
            </w:pPr>
          </w:p>
        </w:tc>
        <w:tc>
          <w:tcPr>
            <w:tcW w:w="0" w:type="auto"/>
            <w:gridSpan w:val="21"/>
            <w:shd w:val="clear" w:color="auto" w:fill="auto"/>
            <w:tcMar>
              <w:top w:w="40" w:type="dxa"/>
              <w:left w:w="20" w:type="dxa"/>
              <w:bottom w:w="40" w:type="dxa"/>
              <w:right w:w="20" w:type="dxa"/>
            </w:tcMar>
            <w:vAlign w:val="bottom"/>
          </w:tcPr>
          <w:p w14:paraId="33DAA5D9"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shd w:val="clear" w:color="auto" w:fill="auto"/>
          </w:tcPr>
          <w:p w14:paraId="33DAA5DA" w14:textId="77777777" w:rsidR="004D6A64" w:rsidRDefault="004D6A64">
            <w:pPr>
              <w:rPr>
                <w:rFonts w:ascii="宋体"/>
                <w:vanish/>
              </w:rPr>
            </w:pPr>
          </w:p>
        </w:tc>
        <w:tc>
          <w:tcPr>
            <w:tcW w:w="0" w:type="auto"/>
            <w:gridSpan w:val="3"/>
            <w:shd w:val="clear" w:color="auto" w:fill="auto"/>
          </w:tcPr>
          <w:p w14:paraId="33DAA5DB" w14:textId="77777777" w:rsidR="004D6A64" w:rsidRDefault="004D6A64">
            <w:pPr>
              <w:rPr>
                <w:rFonts w:ascii="宋体"/>
                <w:vanish/>
              </w:rPr>
            </w:pPr>
          </w:p>
        </w:tc>
        <w:tc>
          <w:tcPr>
            <w:tcW w:w="0" w:type="auto"/>
            <w:gridSpan w:val="3"/>
            <w:shd w:val="clear" w:color="auto" w:fill="auto"/>
          </w:tcPr>
          <w:p w14:paraId="33DAA5DC" w14:textId="77777777" w:rsidR="004D6A64" w:rsidRDefault="004D6A64">
            <w:pPr>
              <w:rPr>
                <w:rFonts w:ascii="宋体"/>
                <w:vanish/>
              </w:rPr>
            </w:pPr>
          </w:p>
        </w:tc>
        <w:tc>
          <w:tcPr>
            <w:tcW w:w="0" w:type="auto"/>
            <w:gridSpan w:val="3"/>
            <w:shd w:val="clear" w:color="auto" w:fill="auto"/>
          </w:tcPr>
          <w:p w14:paraId="33DAA5DD" w14:textId="77777777" w:rsidR="004D6A64" w:rsidRDefault="004D6A64">
            <w:pPr>
              <w:rPr>
                <w:rFonts w:ascii="宋体"/>
                <w:vanish/>
              </w:rPr>
            </w:pPr>
          </w:p>
        </w:tc>
        <w:tc>
          <w:tcPr>
            <w:tcW w:w="0" w:type="auto"/>
            <w:gridSpan w:val="3"/>
            <w:shd w:val="clear" w:color="auto" w:fill="auto"/>
          </w:tcPr>
          <w:p w14:paraId="33DAA5DE" w14:textId="77777777" w:rsidR="004D6A64" w:rsidRDefault="004D6A64">
            <w:pPr>
              <w:rPr>
                <w:rFonts w:ascii="宋体"/>
                <w:vanish/>
              </w:rPr>
            </w:pPr>
          </w:p>
        </w:tc>
        <w:tc>
          <w:tcPr>
            <w:tcW w:w="0" w:type="auto"/>
            <w:gridSpan w:val="3"/>
            <w:shd w:val="clear" w:color="auto" w:fill="auto"/>
          </w:tcPr>
          <w:p w14:paraId="33DAA5DF"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A5E0" w14:textId="77777777" w:rsidR="004D6A64" w:rsidRDefault="004D6A64">
            <w:pPr>
              <w:rPr>
                <w:rFonts w:ascii="宋体"/>
              </w:rPr>
            </w:pPr>
          </w:p>
        </w:tc>
        <w:tc>
          <w:tcPr>
            <w:tcW w:w="0" w:type="auto"/>
            <w:gridSpan w:val="17"/>
            <w:shd w:val="clear" w:color="auto" w:fill="auto"/>
            <w:tcMar>
              <w:top w:w="40" w:type="dxa"/>
              <w:left w:w="20" w:type="dxa"/>
              <w:bottom w:w="40" w:type="dxa"/>
              <w:right w:w="20" w:type="dxa"/>
            </w:tcMar>
            <w:vAlign w:val="bottom"/>
          </w:tcPr>
          <w:p w14:paraId="33DAA5E1" w14:textId="77777777" w:rsidR="004D6A64" w:rsidRDefault="00506CD6">
            <w:pPr>
              <w:jc w:val="center"/>
              <w:textAlignment w:val="bottom"/>
            </w:pPr>
            <w:r>
              <w:rPr>
                <w:rFonts w:ascii="Times New Roman" w:eastAsia="宋体" w:hAnsi="Times New Roman"/>
                <w:b/>
                <w:bCs/>
                <w:color w:val="000000"/>
                <w:sz w:val="20"/>
                <w:szCs w:val="20"/>
              </w:rPr>
              <w:t>January 31, 2020</w:t>
            </w:r>
          </w:p>
        </w:tc>
        <w:tc>
          <w:tcPr>
            <w:tcW w:w="0" w:type="auto"/>
            <w:shd w:val="clear" w:color="auto" w:fill="auto"/>
          </w:tcPr>
          <w:p w14:paraId="33DAA5E2" w14:textId="77777777" w:rsidR="004D6A64" w:rsidRDefault="004D6A64">
            <w:pPr>
              <w:rPr>
                <w:rFonts w:ascii="宋体"/>
                <w:vanish/>
              </w:rPr>
            </w:pPr>
          </w:p>
        </w:tc>
      </w:tr>
      <w:tr w:rsidR="004D6A64" w14:paraId="33DAA603" w14:textId="77777777">
        <w:trPr>
          <w:jc w:val="center"/>
        </w:trPr>
        <w:tc>
          <w:tcPr>
            <w:tcW w:w="0" w:type="auto"/>
            <w:gridSpan w:val="3"/>
            <w:shd w:val="clear" w:color="auto" w:fill="auto"/>
            <w:tcMar>
              <w:left w:w="20" w:type="dxa"/>
              <w:right w:w="20" w:type="dxa"/>
            </w:tcMar>
            <w:vAlign w:val="bottom"/>
          </w:tcPr>
          <w:p w14:paraId="33DAA5E4"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A5E5" w14:textId="77777777" w:rsidR="004D6A64" w:rsidRDefault="00506CD6">
            <w:pPr>
              <w:jc w:val="center"/>
              <w:textAlignment w:val="bottom"/>
            </w:pPr>
            <w:r>
              <w:rPr>
                <w:rFonts w:ascii="Times New Roman" w:eastAsia="宋体" w:hAnsi="Times New Roman"/>
                <w:b/>
                <w:bCs/>
                <w:color w:val="000000"/>
                <w:sz w:val="18"/>
                <w:szCs w:val="18"/>
              </w:rPr>
              <w:t>Cost</w:t>
            </w:r>
          </w:p>
        </w:tc>
        <w:tc>
          <w:tcPr>
            <w:tcW w:w="0" w:type="auto"/>
            <w:gridSpan w:val="3"/>
            <w:tcBorders>
              <w:top w:val="single" w:sz="8" w:space="0" w:color="000000"/>
            </w:tcBorders>
            <w:shd w:val="clear" w:color="auto" w:fill="auto"/>
            <w:tcMar>
              <w:left w:w="20" w:type="dxa"/>
              <w:right w:w="20" w:type="dxa"/>
            </w:tcMar>
            <w:vAlign w:val="bottom"/>
          </w:tcPr>
          <w:p w14:paraId="33DAA5E6"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5E7" w14:textId="77777777" w:rsidR="004D6A64" w:rsidRDefault="00506CD6">
            <w:pPr>
              <w:jc w:val="center"/>
              <w:textAlignment w:val="bottom"/>
            </w:pPr>
            <w:r>
              <w:rPr>
                <w:rFonts w:ascii="Times New Roman" w:eastAsia="宋体" w:hAnsi="Times New Roman"/>
                <w:b/>
                <w:bCs/>
                <w:color w:val="000000"/>
                <w:sz w:val="18"/>
                <w:szCs w:val="18"/>
              </w:rPr>
              <w:t>Unrealized Gain</w:t>
            </w:r>
          </w:p>
        </w:tc>
        <w:tc>
          <w:tcPr>
            <w:tcW w:w="0" w:type="auto"/>
            <w:gridSpan w:val="3"/>
            <w:tcBorders>
              <w:top w:val="single" w:sz="8" w:space="0" w:color="000000"/>
            </w:tcBorders>
            <w:shd w:val="clear" w:color="auto" w:fill="auto"/>
            <w:tcMar>
              <w:left w:w="20" w:type="dxa"/>
              <w:right w:w="20" w:type="dxa"/>
            </w:tcMar>
            <w:vAlign w:val="bottom"/>
          </w:tcPr>
          <w:p w14:paraId="33DAA5E8"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5E9" w14:textId="77777777" w:rsidR="004D6A64" w:rsidRDefault="00506CD6">
            <w:pPr>
              <w:jc w:val="center"/>
              <w:textAlignment w:val="bottom"/>
            </w:pPr>
            <w:r>
              <w:rPr>
                <w:rFonts w:ascii="Times New Roman" w:eastAsia="宋体" w:hAnsi="Times New Roman"/>
                <w:b/>
                <w:bCs/>
                <w:color w:val="000000"/>
                <w:sz w:val="18"/>
                <w:szCs w:val="18"/>
              </w:rPr>
              <w:t>Unrealized (Loss)</w:t>
            </w:r>
          </w:p>
        </w:tc>
        <w:tc>
          <w:tcPr>
            <w:tcW w:w="0" w:type="auto"/>
            <w:gridSpan w:val="3"/>
            <w:tcBorders>
              <w:top w:val="single" w:sz="8" w:space="0" w:color="000000"/>
            </w:tcBorders>
            <w:shd w:val="clear" w:color="auto" w:fill="auto"/>
            <w:tcMar>
              <w:left w:w="20" w:type="dxa"/>
              <w:right w:w="20" w:type="dxa"/>
            </w:tcMar>
            <w:vAlign w:val="bottom"/>
          </w:tcPr>
          <w:p w14:paraId="33DAA5EA"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5EB" w14:textId="77777777" w:rsidR="004D6A64" w:rsidRDefault="00506CD6">
            <w:pPr>
              <w:jc w:val="center"/>
              <w:textAlignment w:val="bottom"/>
            </w:pPr>
            <w:r>
              <w:rPr>
                <w:rFonts w:ascii="Times New Roman" w:eastAsia="宋体" w:hAnsi="Times New Roman"/>
                <w:b/>
                <w:bCs/>
                <w:color w:val="000000"/>
                <w:sz w:val="18"/>
                <w:szCs w:val="18"/>
              </w:rPr>
              <w:t>Carrying Value</w:t>
            </w:r>
          </w:p>
        </w:tc>
        <w:tc>
          <w:tcPr>
            <w:tcW w:w="0" w:type="auto"/>
            <w:gridSpan w:val="3"/>
            <w:shd w:val="clear" w:color="auto" w:fill="auto"/>
            <w:tcMar>
              <w:left w:w="20" w:type="dxa"/>
              <w:right w:w="20" w:type="dxa"/>
            </w:tcMar>
            <w:vAlign w:val="bottom"/>
          </w:tcPr>
          <w:p w14:paraId="33DAA5EC"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5ED" w14:textId="77777777" w:rsidR="004D6A64" w:rsidRDefault="00506CD6">
            <w:pPr>
              <w:jc w:val="center"/>
              <w:textAlignment w:val="bottom"/>
            </w:pPr>
            <w:r>
              <w:rPr>
                <w:rFonts w:ascii="Times New Roman" w:eastAsia="宋体" w:hAnsi="Times New Roman"/>
                <w:b/>
                <w:bCs/>
                <w:color w:val="000000"/>
                <w:sz w:val="18"/>
                <w:szCs w:val="18"/>
              </w:rPr>
              <w:t>Cost</w:t>
            </w:r>
          </w:p>
        </w:tc>
        <w:tc>
          <w:tcPr>
            <w:tcW w:w="0" w:type="auto"/>
            <w:gridSpan w:val="3"/>
            <w:tcBorders>
              <w:top w:val="single" w:sz="8" w:space="0" w:color="000000"/>
            </w:tcBorders>
            <w:shd w:val="clear" w:color="auto" w:fill="auto"/>
            <w:tcMar>
              <w:left w:w="20" w:type="dxa"/>
              <w:right w:w="20" w:type="dxa"/>
            </w:tcMar>
            <w:vAlign w:val="bottom"/>
          </w:tcPr>
          <w:p w14:paraId="33DAA5EE"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5EF" w14:textId="77777777" w:rsidR="004D6A64" w:rsidRDefault="00506CD6">
            <w:pPr>
              <w:jc w:val="center"/>
              <w:textAlignment w:val="bottom"/>
            </w:pPr>
            <w:r>
              <w:rPr>
                <w:rFonts w:ascii="Times New Roman" w:eastAsia="宋体" w:hAnsi="Times New Roman"/>
                <w:b/>
                <w:bCs/>
                <w:color w:val="000000"/>
                <w:sz w:val="18"/>
                <w:szCs w:val="18"/>
              </w:rPr>
              <w:t>Unrealized Gain</w:t>
            </w:r>
          </w:p>
        </w:tc>
        <w:tc>
          <w:tcPr>
            <w:tcW w:w="0" w:type="auto"/>
            <w:gridSpan w:val="3"/>
            <w:tcBorders>
              <w:top w:val="single" w:sz="8" w:space="0" w:color="000000"/>
            </w:tcBorders>
            <w:shd w:val="clear" w:color="auto" w:fill="auto"/>
            <w:tcMar>
              <w:left w:w="20" w:type="dxa"/>
              <w:right w:w="20" w:type="dxa"/>
            </w:tcMar>
            <w:vAlign w:val="bottom"/>
          </w:tcPr>
          <w:p w14:paraId="33DAA5F0"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5F1" w14:textId="77777777" w:rsidR="004D6A64" w:rsidRDefault="00506CD6">
            <w:pPr>
              <w:jc w:val="center"/>
              <w:textAlignment w:val="bottom"/>
            </w:pPr>
            <w:r>
              <w:rPr>
                <w:rFonts w:ascii="Times New Roman" w:eastAsia="宋体" w:hAnsi="Times New Roman"/>
                <w:b/>
                <w:bCs/>
                <w:color w:val="000000"/>
                <w:sz w:val="18"/>
                <w:szCs w:val="18"/>
              </w:rPr>
              <w:t>Unrealized (Loss)</w:t>
            </w:r>
          </w:p>
        </w:tc>
        <w:tc>
          <w:tcPr>
            <w:tcW w:w="0" w:type="auto"/>
            <w:gridSpan w:val="3"/>
            <w:tcBorders>
              <w:top w:val="single" w:sz="8" w:space="0" w:color="000000"/>
            </w:tcBorders>
            <w:shd w:val="clear" w:color="auto" w:fill="auto"/>
            <w:tcMar>
              <w:left w:w="20" w:type="dxa"/>
              <w:right w:w="20" w:type="dxa"/>
            </w:tcMar>
            <w:vAlign w:val="bottom"/>
          </w:tcPr>
          <w:p w14:paraId="33DAA5F2"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5F3" w14:textId="77777777" w:rsidR="004D6A64" w:rsidRDefault="00506CD6">
            <w:pPr>
              <w:jc w:val="center"/>
              <w:textAlignment w:val="bottom"/>
            </w:pPr>
            <w:r>
              <w:rPr>
                <w:rFonts w:ascii="Times New Roman" w:eastAsia="宋体" w:hAnsi="Times New Roman"/>
                <w:b/>
                <w:bCs/>
                <w:color w:val="000000"/>
                <w:sz w:val="18"/>
                <w:szCs w:val="18"/>
              </w:rPr>
              <w:t>Carrying Value</w:t>
            </w:r>
          </w:p>
        </w:tc>
        <w:tc>
          <w:tcPr>
            <w:tcW w:w="0" w:type="auto"/>
            <w:shd w:val="clear" w:color="auto" w:fill="auto"/>
          </w:tcPr>
          <w:p w14:paraId="33DAA5F4" w14:textId="77777777" w:rsidR="004D6A64" w:rsidRDefault="004D6A64">
            <w:pPr>
              <w:rPr>
                <w:rFonts w:ascii="宋体"/>
              </w:rPr>
            </w:pPr>
          </w:p>
        </w:tc>
        <w:tc>
          <w:tcPr>
            <w:tcW w:w="0" w:type="auto"/>
            <w:shd w:val="clear" w:color="auto" w:fill="auto"/>
          </w:tcPr>
          <w:p w14:paraId="33DAA5F5" w14:textId="77777777" w:rsidR="004D6A64" w:rsidRDefault="004D6A64">
            <w:pPr>
              <w:rPr>
                <w:rFonts w:ascii="宋体"/>
              </w:rPr>
            </w:pPr>
          </w:p>
        </w:tc>
        <w:tc>
          <w:tcPr>
            <w:tcW w:w="0" w:type="auto"/>
            <w:shd w:val="clear" w:color="auto" w:fill="auto"/>
          </w:tcPr>
          <w:p w14:paraId="33DAA5F6" w14:textId="77777777" w:rsidR="004D6A64" w:rsidRDefault="004D6A64">
            <w:pPr>
              <w:rPr>
                <w:rFonts w:ascii="宋体"/>
              </w:rPr>
            </w:pPr>
          </w:p>
        </w:tc>
        <w:tc>
          <w:tcPr>
            <w:tcW w:w="0" w:type="auto"/>
            <w:shd w:val="clear" w:color="auto" w:fill="auto"/>
          </w:tcPr>
          <w:p w14:paraId="33DAA5F7" w14:textId="77777777" w:rsidR="004D6A64" w:rsidRDefault="004D6A64">
            <w:pPr>
              <w:rPr>
                <w:rFonts w:ascii="宋体"/>
              </w:rPr>
            </w:pPr>
          </w:p>
        </w:tc>
        <w:tc>
          <w:tcPr>
            <w:tcW w:w="0" w:type="auto"/>
            <w:shd w:val="clear" w:color="auto" w:fill="auto"/>
          </w:tcPr>
          <w:p w14:paraId="33DAA5F8" w14:textId="77777777" w:rsidR="004D6A64" w:rsidRDefault="004D6A64">
            <w:pPr>
              <w:rPr>
                <w:rFonts w:ascii="宋体"/>
              </w:rPr>
            </w:pPr>
          </w:p>
        </w:tc>
        <w:tc>
          <w:tcPr>
            <w:tcW w:w="0" w:type="auto"/>
            <w:shd w:val="clear" w:color="auto" w:fill="auto"/>
          </w:tcPr>
          <w:p w14:paraId="33DAA5F9" w14:textId="77777777" w:rsidR="004D6A64" w:rsidRDefault="004D6A64">
            <w:pPr>
              <w:rPr>
                <w:rFonts w:ascii="宋体"/>
              </w:rPr>
            </w:pPr>
          </w:p>
        </w:tc>
        <w:tc>
          <w:tcPr>
            <w:tcW w:w="0" w:type="auto"/>
            <w:shd w:val="clear" w:color="auto" w:fill="auto"/>
          </w:tcPr>
          <w:p w14:paraId="33DAA5FA" w14:textId="77777777" w:rsidR="004D6A64" w:rsidRDefault="004D6A64">
            <w:pPr>
              <w:rPr>
                <w:rFonts w:ascii="宋体"/>
              </w:rPr>
            </w:pPr>
          </w:p>
        </w:tc>
        <w:tc>
          <w:tcPr>
            <w:tcW w:w="0" w:type="auto"/>
            <w:shd w:val="clear" w:color="auto" w:fill="auto"/>
          </w:tcPr>
          <w:p w14:paraId="33DAA5FB" w14:textId="77777777" w:rsidR="004D6A64" w:rsidRDefault="004D6A64">
            <w:pPr>
              <w:rPr>
                <w:rFonts w:ascii="宋体"/>
              </w:rPr>
            </w:pPr>
          </w:p>
        </w:tc>
        <w:tc>
          <w:tcPr>
            <w:tcW w:w="0" w:type="auto"/>
            <w:shd w:val="clear" w:color="auto" w:fill="auto"/>
          </w:tcPr>
          <w:p w14:paraId="33DAA5FC" w14:textId="77777777" w:rsidR="004D6A64" w:rsidRDefault="004D6A64">
            <w:pPr>
              <w:rPr>
                <w:rFonts w:ascii="宋体"/>
              </w:rPr>
            </w:pPr>
          </w:p>
        </w:tc>
        <w:tc>
          <w:tcPr>
            <w:tcW w:w="0" w:type="auto"/>
            <w:shd w:val="clear" w:color="auto" w:fill="auto"/>
          </w:tcPr>
          <w:p w14:paraId="33DAA5FD" w14:textId="77777777" w:rsidR="004D6A64" w:rsidRDefault="004D6A64">
            <w:pPr>
              <w:rPr>
                <w:rFonts w:ascii="宋体"/>
              </w:rPr>
            </w:pPr>
          </w:p>
        </w:tc>
        <w:tc>
          <w:tcPr>
            <w:tcW w:w="0" w:type="auto"/>
            <w:shd w:val="clear" w:color="auto" w:fill="auto"/>
          </w:tcPr>
          <w:p w14:paraId="33DAA5FE" w14:textId="77777777" w:rsidR="004D6A64" w:rsidRDefault="004D6A64">
            <w:pPr>
              <w:rPr>
                <w:rFonts w:ascii="宋体"/>
              </w:rPr>
            </w:pPr>
          </w:p>
        </w:tc>
        <w:tc>
          <w:tcPr>
            <w:tcW w:w="0" w:type="auto"/>
            <w:shd w:val="clear" w:color="auto" w:fill="auto"/>
          </w:tcPr>
          <w:p w14:paraId="33DAA5FF" w14:textId="77777777" w:rsidR="004D6A64" w:rsidRDefault="004D6A64">
            <w:pPr>
              <w:rPr>
                <w:rFonts w:ascii="宋体"/>
              </w:rPr>
            </w:pPr>
          </w:p>
        </w:tc>
        <w:tc>
          <w:tcPr>
            <w:tcW w:w="0" w:type="auto"/>
            <w:shd w:val="clear" w:color="auto" w:fill="auto"/>
          </w:tcPr>
          <w:p w14:paraId="33DAA600" w14:textId="77777777" w:rsidR="004D6A64" w:rsidRDefault="004D6A64">
            <w:pPr>
              <w:rPr>
                <w:rFonts w:ascii="宋体"/>
              </w:rPr>
            </w:pPr>
          </w:p>
        </w:tc>
        <w:tc>
          <w:tcPr>
            <w:tcW w:w="0" w:type="auto"/>
            <w:shd w:val="clear" w:color="auto" w:fill="auto"/>
          </w:tcPr>
          <w:p w14:paraId="33DAA601" w14:textId="77777777" w:rsidR="004D6A64" w:rsidRDefault="004D6A64">
            <w:pPr>
              <w:rPr>
                <w:rFonts w:ascii="宋体"/>
              </w:rPr>
            </w:pPr>
          </w:p>
        </w:tc>
        <w:tc>
          <w:tcPr>
            <w:tcW w:w="0" w:type="auto"/>
            <w:shd w:val="clear" w:color="auto" w:fill="auto"/>
          </w:tcPr>
          <w:p w14:paraId="33DAA602" w14:textId="77777777" w:rsidR="004D6A64" w:rsidRDefault="004D6A64">
            <w:pPr>
              <w:rPr>
                <w:rFonts w:ascii="宋体"/>
              </w:rPr>
            </w:pPr>
          </w:p>
        </w:tc>
      </w:tr>
      <w:tr w:rsidR="004D6A64" w14:paraId="33DAA60C" w14:textId="77777777">
        <w:trPr>
          <w:jc w:val="center"/>
        </w:trPr>
        <w:tc>
          <w:tcPr>
            <w:tcW w:w="0" w:type="auto"/>
            <w:gridSpan w:val="3"/>
            <w:shd w:val="clear" w:color="auto" w:fill="auto"/>
            <w:tcMar>
              <w:left w:w="20" w:type="dxa"/>
              <w:right w:w="20" w:type="dxa"/>
            </w:tcMar>
            <w:vAlign w:val="bottom"/>
          </w:tcPr>
          <w:p w14:paraId="33DAA604" w14:textId="77777777" w:rsidR="004D6A64" w:rsidRDefault="004D6A64">
            <w:pPr>
              <w:rPr>
                <w:rFonts w:ascii="宋体"/>
              </w:rPr>
            </w:pPr>
          </w:p>
        </w:tc>
        <w:tc>
          <w:tcPr>
            <w:tcW w:w="0" w:type="auto"/>
            <w:gridSpan w:val="45"/>
            <w:tcBorders>
              <w:top w:val="single" w:sz="8" w:space="0" w:color="000000"/>
            </w:tcBorders>
            <w:shd w:val="clear" w:color="auto" w:fill="auto"/>
            <w:tcMar>
              <w:top w:w="40" w:type="dxa"/>
              <w:left w:w="20" w:type="dxa"/>
              <w:bottom w:w="40" w:type="dxa"/>
              <w:right w:w="20" w:type="dxa"/>
            </w:tcMar>
            <w:vAlign w:val="center"/>
          </w:tcPr>
          <w:p w14:paraId="33DAA605" w14:textId="77777777" w:rsidR="004D6A64" w:rsidRDefault="00506CD6">
            <w:pPr>
              <w:jc w:val="center"/>
              <w:textAlignment w:val="center"/>
            </w:pPr>
            <w:r>
              <w:rPr>
                <w:rFonts w:ascii="Times New Roman" w:eastAsia="宋体" w:hAnsi="Times New Roman"/>
                <w:color w:val="000000"/>
                <w:sz w:val="20"/>
                <w:szCs w:val="20"/>
              </w:rPr>
              <w:t>(in millions)</w:t>
            </w:r>
          </w:p>
        </w:tc>
        <w:tc>
          <w:tcPr>
            <w:tcW w:w="0" w:type="auto"/>
            <w:gridSpan w:val="3"/>
            <w:shd w:val="clear" w:color="auto" w:fill="auto"/>
          </w:tcPr>
          <w:p w14:paraId="33DAA606" w14:textId="77777777" w:rsidR="004D6A64" w:rsidRDefault="004D6A64">
            <w:pPr>
              <w:rPr>
                <w:rFonts w:ascii="宋体"/>
                <w:vanish/>
              </w:rPr>
            </w:pPr>
          </w:p>
        </w:tc>
        <w:tc>
          <w:tcPr>
            <w:tcW w:w="0" w:type="auto"/>
            <w:gridSpan w:val="3"/>
            <w:shd w:val="clear" w:color="auto" w:fill="auto"/>
          </w:tcPr>
          <w:p w14:paraId="33DAA607" w14:textId="77777777" w:rsidR="004D6A64" w:rsidRDefault="004D6A64">
            <w:pPr>
              <w:rPr>
                <w:rFonts w:ascii="宋体"/>
                <w:vanish/>
              </w:rPr>
            </w:pPr>
          </w:p>
        </w:tc>
        <w:tc>
          <w:tcPr>
            <w:tcW w:w="0" w:type="auto"/>
            <w:gridSpan w:val="3"/>
            <w:shd w:val="clear" w:color="auto" w:fill="auto"/>
          </w:tcPr>
          <w:p w14:paraId="33DAA608" w14:textId="77777777" w:rsidR="004D6A64" w:rsidRDefault="004D6A64">
            <w:pPr>
              <w:rPr>
                <w:rFonts w:ascii="宋体"/>
                <w:vanish/>
              </w:rPr>
            </w:pPr>
          </w:p>
        </w:tc>
        <w:tc>
          <w:tcPr>
            <w:tcW w:w="0" w:type="auto"/>
            <w:gridSpan w:val="3"/>
            <w:shd w:val="clear" w:color="auto" w:fill="auto"/>
          </w:tcPr>
          <w:p w14:paraId="33DAA609" w14:textId="77777777" w:rsidR="004D6A64" w:rsidRDefault="004D6A64">
            <w:pPr>
              <w:rPr>
                <w:rFonts w:ascii="宋体"/>
                <w:vanish/>
              </w:rPr>
            </w:pPr>
          </w:p>
        </w:tc>
        <w:tc>
          <w:tcPr>
            <w:tcW w:w="0" w:type="auto"/>
            <w:gridSpan w:val="2"/>
            <w:shd w:val="clear" w:color="auto" w:fill="auto"/>
          </w:tcPr>
          <w:p w14:paraId="33DAA60A" w14:textId="77777777" w:rsidR="004D6A64" w:rsidRDefault="004D6A64">
            <w:pPr>
              <w:rPr>
                <w:rFonts w:ascii="宋体"/>
                <w:vanish/>
              </w:rPr>
            </w:pPr>
          </w:p>
        </w:tc>
        <w:tc>
          <w:tcPr>
            <w:tcW w:w="0" w:type="auto"/>
            <w:shd w:val="clear" w:color="auto" w:fill="auto"/>
          </w:tcPr>
          <w:p w14:paraId="33DAA60B" w14:textId="77777777" w:rsidR="004D6A64" w:rsidRDefault="004D6A64">
            <w:pPr>
              <w:rPr>
                <w:rFonts w:ascii="宋体"/>
                <w:vanish/>
              </w:rPr>
            </w:pPr>
          </w:p>
        </w:tc>
      </w:tr>
      <w:tr w:rsidR="00506CD6" w14:paraId="33DAA63C" w14:textId="77777777">
        <w:trPr>
          <w:jc w:val="center"/>
        </w:trPr>
        <w:tc>
          <w:tcPr>
            <w:tcW w:w="0" w:type="auto"/>
            <w:gridSpan w:val="3"/>
            <w:shd w:val="clear" w:color="auto" w:fill="CCEEFF"/>
            <w:tcMar>
              <w:top w:w="40" w:type="dxa"/>
              <w:left w:w="20" w:type="dxa"/>
              <w:bottom w:w="40" w:type="dxa"/>
              <w:right w:w="20" w:type="dxa"/>
            </w:tcMar>
            <w:vAlign w:val="center"/>
          </w:tcPr>
          <w:p w14:paraId="33DAA60D" w14:textId="77777777" w:rsidR="004D6A64" w:rsidRDefault="00506CD6">
            <w:pPr>
              <w:textAlignment w:val="center"/>
            </w:pPr>
            <w:r>
              <w:rPr>
                <w:rFonts w:ascii="Times New Roman" w:eastAsia="宋体" w:hAnsi="Times New Roman"/>
                <w:color w:val="000000"/>
                <w:sz w:val="20"/>
                <w:szCs w:val="20"/>
              </w:rPr>
              <w:t>Equity and other securities</w:t>
            </w:r>
          </w:p>
        </w:tc>
        <w:tc>
          <w:tcPr>
            <w:tcW w:w="0" w:type="auto"/>
            <w:shd w:val="clear" w:color="auto" w:fill="CCEEFF"/>
            <w:tcMar>
              <w:top w:w="40" w:type="dxa"/>
              <w:left w:w="20" w:type="dxa"/>
              <w:bottom w:w="40" w:type="dxa"/>
            </w:tcMar>
            <w:vAlign w:val="center"/>
          </w:tcPr>
          <w:p w14:paraId="33DAA60E"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60F" w14:textId="77777777" w:rsidR="004D6A64" w:rsidRDefault="00506CD6">
            <w:pPr>
              <w:jc w:val="right"/>
              <w:textAlignment w:val="center"/>
            </w:pPr>
            <w:r>
              <w:rPr>
                <w:rFonts w:ascii="Times New Roman" w:eastAsia="宋体" w:hAnsi="Times New Roman"/>
                <w:color w:val="000000"/>
                <w:sz w:val="20"/>
                <w:szCs w:val="20"/>
              </w:rPr>
              <w:t>909 </w:t>
            </w:r>
          </w:p>
        </w:tc>
        <w:tc>
          <w:tcPr>
            <w:tcW w:w="0" w:type="auto"/>
            <w:shd w:val="clear" w:color="auto" w:fill="CCEEFF"/>
            <w:tcMar>
              <w:top w:w="40" w:type="dxa"/>
              <w:bottom w:w="40" w:type="dxa"/>
              <w:right w:w="20" w:type="dxa"/>
            </w:tcMar>
            <w:vAlign w:val="center"/>
          </w:tcPr>
          <w:p w14:paraId="33DAA61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611"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612"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613" w14:textId="77777777" w:rsidR="004D6A64" w:rsidRDefault="00506CD6">
            <w:pPr>
              <w:jc w:val="right"/>
              <w:textAlignment w:val="center"/>
            </w:pPr>
            <w:r>
              <w:rPr>
                <w:rFonts w:ascii="Times New Roman" w:eastAsia="宋体" w:hAnsi="Times New Roman"/>
                <w:color w:val="000000"/>
                <w:sz w:val="20"/>
                <w:szCs w:val="20"/>
              </w:rPr>
              <w:t>89 </w:t>
            </w:r>
          </w:p>
        </w:tc>
        <w:tc>
          <w:tcPr>
            <w:tcW w:w="0" w:type="auto"/>
            <w:shd w:val="clear" w:color="auto" w:fill="CCEEFF"/>
            <w:tcMar>
              <w:top w:w="40" w:type="dxa"/>
              <w:bottom w:w="40" w:type="dxa"/>
              <w:right w:w="20" w:type="dxa"/>
            </w:tcMar>
            <w:vAlign w:val="center"/>
          </w:tcPr>
          <w:p w14:paraId="33DAA61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615"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616"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617" w14:textId="77777777" w:rsidR="004D6A64" w:rsidRDefault="00506CD6">
            <w:pPr>
              <w:jc w:val="right"/>
              <w:textAlignment w:val="center"/>
            </w:pPr>
            <w:r>
              <w:rPr>
                <w:rFonts w:ascii="Times New Roman" w:eastAsia="宋体" w:hAnsi="Times New Roman"/>
                <w:color w:val="000000"/>
                <w:sz w:val="20"/>
                <w:szCs w:val="20"/>
              </w:rPr>
              <w:t>(14)</w:t>
            </w:r>
          </w:p>
        </w:tc>
        <w:tc>
          <w:tcPr>
            <w:tcW w:w="0" w:type="auto"/>
            <w:shd w:val="clear" w:color="auto" w:fill="CCEEFF"/>
            <w:tcMar>
              <w:top w:w="40" w:type="dxa"/>
              <w:bottom w:w="40" w:type="dxa"/>
              <w:right w:w="20" w:type="dxa"/>
            </w:tcMar>
            <w:vAlign w:val="center"/>
          </w:tcPr>
          <w:p w14:paraId="33DAA61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619"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61A"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61B" w14:textId="77777777" w:rsidR="004D6A64" w:rsidRDefault="00506CD6">
            <w:pPr>
              <w:jc w:val="right"/>
              <w:textAlignment w:val="center"/>
            </w:pPr>
            <w:r>
              <w:rPr>
                <w:rFonts w:ascii="Times New Roman" w:eastAsia="宋体" w:hAnsi="Times New Roman"/>
                <w:color w:val="000000"/>
                <w:sz w:val="20"/>
                <w:szCs w:val="20"/>
              </w:rPr>
              <w:t>984 </w:t>
            </w:r>
          </w:p>
        </w:tc>
        <w:tc>
          <w:tcPr>
            <w:tcW w:w="0" w:type="auto"/>
            <w:shd w:val="clear" w:color="auto" w:fill="CCEEFF"/>
            <w:tcMar>
              <w:top w:w="40" w:type="dxa"/>
              <w:bottom w:w="40" w:type="dxa"/>
              <w:right w:w="20" w:type="dxa"/>
            </w:tcMar>
            <w:vAlign w:val="center"/>
          </w:tcPr>
          <w:p w14:paraId="33DAA61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61D"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61E"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61F" w14:textId="77777777" w:rsidR="004D6A64" w:rsidRDefault="00506CD6">
            <w:pPr>
              <w:jc w:val="right"/>
              <w:textAlignment w:val="center"/>
            </w:pPr>
            <w:r>
              <w:rPr>
                <w:rFonts w:ascii="Times New Roman" w:eastAsia="宋体" w:hAnsi="Times New Roman"/>
                <w:color w:val="000000"/>
                <w:sz w:val="20"/>
                <w:szCs w:val="20"/>
              </w:rPr>
              <w:t>783 </w:t>
            </w:r>
          </w:p>
        </w:tc>
        <w:tc>
          <w:tcPr>
            <w:tcW w:w="0" w:type="auto"/>
            <w:shd w:val="clear" w:color="auto" w:fill="CCEEFF"/>
            <w:tcMar>
              <w:top w:w="40" w:type="dxa"/>
              <w:bottom w:w="40" w:type="dxa"/>
              <w:right w:w="20" w:type="dxa"/>
            </w:tcMar>
            <w:vAlign w:val="center"/>
          </w:tcPr>
          <w:p w14:paraId="33DAA62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621"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622"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623" w14:textId="77777777" w:rsidR="004D6A64" w:rsidRDefault="00506CD6">
            <w:pPr>
              <w:jc w:val="right"/>
              <w:textAlignment w:val="center"/>
            </w:pPr>
            <w:r>
              <w:rPr>
                <w:rFonts w:ascii="Times New Roman" w:eastAsia="宋体" w:hAnsi="Times New Roman"/>
                <w:color w:val="000000"/>
                <w:sz w:val="20"/>
                <w:szCs w:val="20"/>
              </w:rPr>
              <w:t>116 </w:t>
            </w:r>
          </w:p>
        </w:tc>
        <w:tc>
          <w:tcPr>
            <w:tcW w:w="0" w:type="auto"/>
            <w:shd w:val="clear" w:color="auto" w:fill="CCEEFF"/>
            <w:tcMar>
              <w:top w:w="40" w:type="dxa"/>
              <w:bottom w:w="40" w:type="dxa"/>
              <w:right w:w="20" w:type="dxa"/>
            </w:tcMar>
            <w:vAlign w:val="center"/>
          </w:tcPr>
          <w:p w14:paraId="33DAA62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625"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626"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627" w14:textId="77777777" w:rsidR="004D6A64" w:rsidRDefault="00506CD6">
            <w:pPr>
              <w:jc w:val="right"/>
              <w:textAlignment w:val="center"/>
            </w:pPr>
            <w:r>
              <w:rPr>
                <w:rFonts w:ascii="Times New Roman" w:eastAsia="宋体" w:hAnsi="Times New Roman"/>
                <w:color w:val="000000"/>
                <w:sz w:val="20"/>
                <w:szCs w:val="20"/>
              </w:rPr>
              <w:t>(35)</w:t>
            </w:r>
          </w:p>
        </w:tc>
        <w:tc>
          <w:tcPr>
            <w:tcW w:w="0" w:type="auto"/>
            <w:shd w:val="clear" w:color="auto" w:fill="CCEEFF"/>
            <w:tcMar>
              <w:top w:w="40" w:type="dxa"/>
              <w:bottom w:w="40" w:type="dxa"/>
              <w:right w:w="20" w:type="dxa"/>
            </w:tcMar>
            <w:vAlign w:val="center"/>
          </w:tcPr>
          <w:p w14:paraId="33DAA62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629"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62A"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62B" w14:textId="77777777" w:rsidR="004D6A64" w:rsidRDefault="00506CD6">
            <w:pPr>
              <w:jc w:val="right"/>
              <w:textAlignment w:val="center"/>
            </w:pPr>
            <w:r>
              <w:rPr>
                <w:rFonts w:ascii="Times New Roman" w:eastAsia="宋体" w:hAnsi="Times New Roman"/>
                <w:color w:val="000000"/>
                <w:sz w:val="20"/>
                <w:szCs w:val="20"/>
              </w:rPr>
              <w:t>864 </w:t>
            </w:r>
          </w:p>
        </w:tc>
        <w:tc>
          <w:tcPr>
            <w:tcW w:w="0" w:type="auto"/>
            <w:shd w:val="clear" w:color="auto" w:fill="CCEEFF"/>
            <w:tcMar>
              <w:top w:w="40" w:type="dxa"/>
              <w:bottom w:w="40" w:type="dxa"/>
              <w:right w:w="20" w:type="dxa"/>
            </w:tcMar>
            <w:vAlign w:val="center"/>
          </w:tcPr>
          <w:p w14:paraId="33DAA62C" w14:textId="77777777" w:rsidR="004D6A64" w:rsidRDefault="004D6A64">
            <w:pPr>
              <w:jc w:val="right"/>
              <w:rPr>
                <w:rFonts w:ascii="宋体"/>
              </w:rPr>
            </w:pPr>
          </w:p>
        </w:tc>
        <w:tc>
          <w:tcPr>
            <w:tcW w:w="0" w:type="auto"/>
            <w:shd w:val="clear" w:color="auto" w:fill="auto"/>
          </w:tcPr>
          <w:p w14:paraId="33DAA62D" w14:textId="77777777" w:rsidR="004D6A64" w:rsidRDefault="004D6A64">
            <w:pPr>
              <w:rPr>
                <w:rFonts w:ascii="宋体"/>
              </w:rPr>
            </w:pPr>
          </w:p>
        </w:tc>
        <w:tc>
          <w:tcPr>
            <w:tcW w:w="0" w:type="auto"/>
            <w:shd w:val="clear" w:color="auto" w:fill="auto"/>
          </w:tcPr>
          <w:p w14:paraId="33DAA62E" w14:textId="77777777" w:rsidR="004D6A64" w:rsidRDefault="004D6A64">
            <w:pPr>
              <w:rPr>
                <w:rFonts w:ascii="宋体"/>
              </w:rPr>
            </w:pPr>
          </w:p>
        </w:tc>
        <w:tc>
          <w:tcPr>
            <w:tcW w:w="0" w:type="auto"/>
            <w:shd w:val="clear" w:color="auto" w:fill="auto"/>
          </w:tcPr>
          <w:p w14:paraId="33DAA62F" w14:textId="77777777" w:rsidR="004D6A64" w:rsidRDefault="004D6A64">
            <w:pPr>
              <w:rPr>
                <w:rFonts w:ascii="宋体"/>
              </w:rPr>
            </w:pPr>
          </w:p>
        </w:tc>
        <w:tc>
          <w:tcPr>
            <w:tcW w:w="0" w:type="auto"/>
            <w:shd w:val="clear" w:color="auto" w:fill="auto"/>
          </w:tcPr>
          <w:p w14:paraId="33DAA630" w14:textId="77777777" w:rsidR="004D6A64" w:rsidRDefault="004D6A64">
            <w:pPr>
              <w:rPr>
                <w:rFonts w:ascii="宋体"/>
              </w:rPr>
            </w:pPr>
          </w:p>
        </w:tc>
        <w:tc>
          <w:tcPr>
            <w:tcW w:w="0" w:type="auto"/>
            <w:shd w:val="clear" w:color="auto" w:fill="auto"/>
          </w:tcPr>
          <w:p w14:paraId="33DAA631" w14:textId="77777777" w:rsidR="004D6A64" w:rsidRDefault="004D6A64">
            <w:pPr>
              <w:rPr>
                <w:rFonts w:ascii="宋体"/>
              </w:rPr>
            </w:pPr>
          </w:p>
        </w:tc>
        <w:tc>
          <w:tcPr>
            <w:tcW w:w="0" w:type="auto"/>
            <w:shd w:val="clear" w:color="auto" w:fill="auto"/>
          </w:tcPr>
          <w:p w14:paraId="33DAA632" w14:textId="77777777" w:rsidR="004D6A64" w:rsidRDefault="004D6A64">
            <w:pPr>
              <w:rPr>
                <w:rFonts w:ascii="宋体"/>
              </w:rPr>
            </w:pPr>
          </w:p>
        </w:tc>
        <w:tc>
          <w:tcPr>
            <w:tcW w:w="0" w:type="auto"/>
            <w:shd w:val="clear" w:color="auto" w:fill="auto"/>
          </w:tcPr>
          <w:p w14:paraId="33DAA633" w14:textId="77777777" w:rsidR="004D6A64" w:rsidRDefault="004D6A64">
            <w:pPr>
              <w:rPr>
                <w:rFonts w:ascii="宋体"/>
              </w:rPr>
            </w:pPr>
          </w:p>
        </w:tc>
        <w:tc>
          <w:tcPr>
            <w:tcW w:w="0" w:type="auto"/>
            <w:shd w:val="clear" w:color="auto" w:fill="auto"/>
          </w:tcPr>
          <w:p w14:paraId="33DAA634" w14:textId="77777777" w:rsidR="004D6A64" w:rsidRDefault="004D6A64">
            <w:pPr>
              <w:rPr>
                <w:rFonts w:ascii="宋体"/>
              </w:rPr>
            </w:pPr>
          </w:p>
        </w:tc>
        <w:tc>
          <w:tcPr>
            <w:tcW w:w="0" w:type="auto"/>
            <w:shd w:val="clear" w:color="auto" w:fill="auto"/>
          </w:tcPr>
          <w:p w14:paraId="33DAA635" w14:textId="77777777" w:rsidR="004D6A64" w:rsidRDefault="004D6A64">
            <w:pPr>
              <w:rPr>
                <w:rFonts w:ascii="宋体"/>
              </w:rPr>
            </w:pPr>
          </w:p>
        </w:tc>
        <w:tc>
          <w:tcPr>
            <w:tcW w:w="0" w:type="auto"/>
            <w:shd w:val="clear" w:color="auto" w:fill="auto"/>
          </w:tcPr>
          <w:p w14:paraId="33DAA636" w14:textId="77777777" w:rsidR="004D6A64" w:rsidRDefault="004D6A64">
            <w:pPr>
              <w:rPr>
                <w:rFonts w:ascii="宋体"/>
              </w:rPr>
            </w:pPr>
          </w:p>
        </w:tc>
        <w:tc>
          <w:tcPr>
            <w:tcW w:w="0" w:type="auto"/>
            <w:shd w:val="clear" w:color="auto" w:fill="auto"/>
          </w:tcPr>
          <w:p w14:paraId="33DAA637" w14:textId="77777777" w:rsidR="004D6A64" w:rsidRDefault="004D6A64">
            <w:pPr>
              <w:rPr>
                <w:rFonts w:ascii="宋体"/>
              </w:rPr>
            </w:pPr>
          </w:p>
        </w:tc>
        <w:tc>
          <w:tcPr>
            <w:tcW w:w="0" w:type="auto"/>
            <w:shd w:val="clear" w:color="auto" w:fill="auto"/>
          </w:tcPr>
          <w:p w14:paraId="33DAA638" w14:textId="77777777" w:rsidR="004D6A64" w:rsidRDefault="004D6A64">
            <w:pPr>
              <w:rPr>
                <w:rFonts w:ascii="宋体"/>
              </w:rPr>
            </w:pPr>
          </w:p>
        </w:tc>
        <w:tc>
          <w:tcPr>
            <w:tcW w:w="0" w:type="auto"/>
            <w:shd w:val="clear" w:color="auto" w:fill="auto"/>
          </w:tcPr>
          <w:p w14:paraId="33DAA639" w14:textId="77777777" w:rsidR="004D6A64" w:rsidRDefault="004D6A64">
            <w:pPr>
              <w:rPr>
                <w:rFonts w:ascii="宋体"/>
              </w:rPr>
            </w:pPr>
          </w:p>
        </w:tc>
        <w:tc>
          <w:tcPr>
            <w:tcW w:w="0" w:type="auto"/>
            <w:shd w:val="clear" w:color="auto" w:fill="auto"/>
          </w:tcPr>
          <w:p w14:paraId="33DAA63A" w14:textId="77777777" w:rsidR="004D6A64" w:rsidRDefault="004D6A64">
            <w:pPr>
              <w:rPr>
                <w:rFonts w:ascii="宋体"/>
              </w:rPr>
            </w:pPr>
          </w:p>
        </w:tc>
        <w:tc>
          <w:tcPr>
            <w:tcW w:w="0" w:type="auto"/>
            <w:shd w:val="clear" w:color="auto" w:fill="auto"/>
          </w:tcPr>
          <w:p w14:paraId="33DAA63B" w14:textId="77777777" w:rsidR="004D6A64" w:rsidRDefault="004D6A64">
            <w:pPr>
              <w:rPr>
                <w:rFonts w:ascii="宋体"/>
              </w:rPr>
            </w:pPr>
          </w:p>
        </w:tc>
      </w:tr>
      <w:tr w:rsidR="00506CD6" w14:paraId="33DAA66C" w14:textId="77777777">
        <w:trPr>
          <w:jc w:val="center"/>
        </w:trPr>
        <w:tc>
          <w:tcPr>
            <w:tcW w:w="0" w:type="auto"/>
            <w:gridSpan w:val="3"/>
            <w:shd w:val="clear" w:color="auto" w:fill="FFFFFF"/>
            <w:tcMar>
              <w:top w:w="40" w:type="dxa"/>
              <w:left w:w="20" w:type="dxa"/>
              <w:bottom w:w="40" w:type="dxa"/>
              <w:right w:w="20" w:type="dxa"/>
            </w:tcMar>
            <w:vAlign w:val="center"/>
          </w:tcPr>
          <w:p w14:paraId="33DAA63D" w14:textId="77777777" w:rsidR="004D6A64" w:rsidRDefault="00506CD6">
            <w:pPr>
              <w:textAlignment w:val="center"/>
            </w:pPr>
            <w:r>
              <w:rPr>
                <w:rFonts w:ascii="Times New Roman" w:eastAsia="宋体" w:hAnsi="Times New Roman"/>
                <w:color w:val="000000"/>
                <w:sz w:val="20"/>
                <w:szCs w:val="20"/>
              </w:rPr>
              <w:t>Fixed income debt securities</w:t>
            </w:r>
          </w:p>
        </w:tc>
        <w:tc>
          <w:tcPr>
            <w:tcW w:w="0" w:type="auto"/>
            <w:shd w:val="clear" w:color="auto" w:fill="FFFFFF"/>
            <w:tcMar>
              <w:top w:w="40" w:type="dxa"/>
              <w:left w:w="20" w:type="dxa"/>
              <w:bottom w:w="40" w:type="dxa"/>
            </w:tcMar>
            <w:vAlign w:val="center"/>
          </w:tcPr>
          <w:p w14:paraId="33DAA63E"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63F" w14:textId="77777777" w:rsidR="004D6A64" w:rsidRDefault="00506CD6">
            <w:pPr>
              <w:jc w:val="right"/>
              <w:textAlignment w:val="center"/>
            </w:pPr>
            <w:r>
              <w:rPr>
                <w:rFonts w:ascii="Times New Roman" w:eastAsia="宋体" w:hAnsi="Times New Roman"/>
                <w:color w:val="000000"/>
                <w:sz w:val="20"/>
                <w:szCs w:val="20"/>
              </w:rPr>
              <w:t>85 </w:t>
            </w:r>
          </w:p>
        </w:tc>
        <w:tc>
          <w:tcPr>
            <w:tcW w:w="0" w:type="auto"/>
            <w:shd w:val="clear" w:color="auto" w:fill="FFFFFF"/>
            <w:tcMar>
              <w:top w:w="40" w:type="dxa"/>
              <w:bottom w:w="40" w:type="dxa"/>
              <w:right w:w="20" w:type="dxa"/>
            </w:tcMar>
            <w:vAlign w:val="center"/>
          </w:tcPr>
          <w:p w14:paraId="33DAA640" w14:textId="77777777" w:rsidR="004D6A64" w:rsidRDefault="004D6A64">
            <w:pPr>
              <w:jc w:val="right"/>
              <w:rPr>
                <w:rFonts w:ascii="宋体"/>
              </w:rPr>
            </w:pPr>
          </w:p>
        </w:tc>
        <w:tc>
          <w:tcPr>
            <w:tcW w:w="0" w:type="auto"/>
            <w:gridSpan w:val="3"/>
            <w:shd w:val="clear" w:color="auto" w:fill="FFFFFF"/>
            <w:tcMar>
              <w:left w:w="20" w:type="dxa"/>
              <w:right w:w="20" w:type="dxa"/>
            </w:tcMar>
            <w:vAlign w:val="center"/>
          </w:tcPr>
          <w:p w14:paraId="33DAA641"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A642"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643" w14:textId="77777777" w:rsidR="004D6A64" w:rsidRDefault="00506CD6">
            <w:pPr>
              <w:jc w:val="right"/>
              <w:textAlignment w:val="center"/>
            </w:pPr>
            <w:r>
              <w:rPr>
                <w:rFonts w:ascii="Times New Roman" w:eastAsia="宋体" w:hAnsi="Times New Roman"/>
                <w:color w:val="000000"/>
                <w:sz w:val="20"/>
                <w:szCs w:val="20"/>
              </w:rPr>
              <w:t>4 </w:t>
            </w:r>
          </w:p>
        </w:tc>
        <w:tc>
          <w:tcPr>
            <w:tcW w:w="0" w:type="auto"/>
            <w:shd w:val="clear" w:color="auto" w:fill="FFFFFF"/>
            <w:tcMar>
              <w:top w:w="40" w:type="dxa"/>
              <w:bottom w:w="40" w:type="dxa"/>
              <w:right w:w="20" w:type="dxa"/>
            </w:tcMar>
            <w:vAlign w:val="center"/>
          </w:tcPr>
          <w:p w14:paraId="33DAA644" w14:textId="77777777" w:rsidR="004D6A64" w:rsidRDefault="004D6A64">
            <w:pPr>
              <w:jc w:val="right"/>
              <w:rPr>
                <w:rFonts w:ascii="宋体"/>
              </w:rPr>
            </w:pPr>
          </w:p>
        </w:tc>
        <w:tc>
          <w:tcPr>
            <w:tcW w:w="0" w:type="auto"/>
            <w:gridSpan w:val="3"/>
            <w:shd w:val="clear" w:color="auto" w:fill="FFFFFF"/>
            <w:tcMar>
              <w:left w:w="20" w:type="dxa"/>
              <w:right w:w="20" w:type="dxa"/>
            </w:tcMar>
            <w:vAlign w:val="center"/>
          </w:tcPr>
          <w:p w14:paraId="33DAA645"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A646"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647"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A648" w14:textId="77777777" w:rsidR="004D6A64" w:rsidRDefault="004D6A64">
            <w:pPr>
              <w:jc w:val="right"/>
              <w:rPr>
                <w:rFonts w:ascii="宋体"/>
              </w:rPr>
            </w:pPr>
          </w:p>
        </w:tc>
        <w:tc>
          <w:tcPr>
            <w:tcW w:w="0" w:type="auto"/>
            <w:gridSpan w:val="3"/>
            <w:shd w:val="clear" w:color="auto" w:fill="FFFFFF"/>
            <w:tcMar>
              <w:left w:w="20" w:type="dxa"/>
              <w:right w:w="20" w:type="dxa"/>
            </w:tcMar>
            <w:vAlign w:val="center"/>
          </w:tcPr>
          <w:p w14:paraId="33DAA649" w14:textId="77777777" w:rsidR="004D6A64" w:rsidRDefault="004D6A64">
            <w:pPr>
              <w:jc w:val="right"/>
              <w:rPr>
                <w:rFonts w:ascii="宋体"/>
              </w:rPr>
            </w:pPr>
          </w:p>
        </w:tc>
        <w:tc>
          <w:tcPr>
            <w:tcW w:w="0" w:type="auto"/>
            <w:shd w:val="clear" w:color="auto" w:fill="FFFFFF"/>
            <w:tcMar>
              <w:top w:w="40" w:type="dxa"/>
              <w:left w:w="20" w:type="dxa"/>
              <w:bottom w:w="40" w:type="dxa"/>
            </w:tcMar>
            <w:vAlign w:val="center"/>
          </w:tcPr>
          <w:p w14:paraId="33DAA64A"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64B" w14:textId="77777777" w:rsidR="004D6A64" w:rsidRDefault="00506CD6">
            <w:pPr>
              <w:jc w:val="right"/>
              <w:textAlignment w:val="center"/>
            </w:pPr>
            <w:r>
              <w:rPr>
                <w:rFonts w:ascii="Times New Roman" w:eastAsia="宋体" w:hAnsi="Times New Roman"/>
                <w:color w:val="000000"/>
                <w:sz w:val="20"/>
                <w:szCs w:val="20"/>
              </w:rPr>
              <w:t>89 </w:t>
            </w:r>
          </w:p>
        </w:tc>
        <w:tc>
          <w:tcPr>
            <w:tcW w:w="0" w:type="auto"/>
            <w:shd w:val="clear" w:color="auto" w:fill="FFFFFF"/>
            <w:tcMar>
              <w:top w:w="40" w:type="dxa"/>
              <w:bottom w:w="40" w:type="dxa"/>
              <w:right w:w="20" w:type="dxa"/>
            </w:tcMar>
            <w:vAlign w:val="center"/>
          </w:tcPr>
          <w:p w14:paraId="33DAA64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64D"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A64E"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64F"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A650" w14:textId="77777777" w:rsidR="004D6A64" w:rsidRDefault="004D6A64">
            <w:pPr>
              <w:jc w:val="right"/>
              <w:rPr>
                <w:rFonts w:ascii="宋体"/>
              </w:rPr>
            </w:pPr>
          </w:p>
        </w:tc>
        <w:tc>
          <w:tcPr>
            <w:tcW w:w="0" w:type="auto"/>
            <w:gridSpan w:val="3"/>
            <w:shd w:val="clear" w:color="auto" w:fill="FFFFFF"/>
            <w:tcMar>
              <w:left w:w="20" w:type="dxa"/>
              <w:right w:w="20" w:type="dxa"/>
            </w:tcMar>
            <w:vAlign w:val="center"/>
          </w:tcPr>
          <w:p w14:paraId="33DAA651"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A652"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653"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A654" w14:textId="77777777" w:rsidR="004D6A64" w:rsidRDefault="004D6A64">
            <w:pPr>
              <w:jc w:val="right"/>
              <w:rPr>
                <w:rFonts w:ascii="宋体"/>
              </w:rPr>
            </w:pPr>
          </w:p>
        </w:tc>
        <w:tc>
          <w:tcPr>
            <w:tcW w:w="0" w:type="auto"/>
            <w:gridSpan w:val="3"/>
            <w:shd w:val="clear" w:color="auto" w:fill="FFFFFF"/>
            <w:tcMar>
              <w:left w:w="20" w:type="dxa"/>
              <w:right w:w="20" w:type="dxa"/>
            </w:tcMar>
            <w:vAlign w:val="center"/>
          </w:tcPr>
          <w:p w14:paraId="33DAA655"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A656"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657"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A658" w14:textId="77777777" w:rsidR="004D6A64" w:rsidRDefault="004D6A64">
            <w:pPr>
              <w:jc w:val="right"/>
              <w:rPr>
                <w:rFonts w:ascii="宋体"/>
              </w:rPr>
            </w:pPr>
          </w:p>
        </w:tc>
        <w:tc>
          <w:tcPr>
            <w:tcW w:w="0" w:type="auto"/>
            <w:gridSpan w:val="3"/>
            <w:shd w:val="clear" w:color="auto" w:fill="FFFFFF"/>
            <w:tcMar>
              <w:left w:w="20" w:type="dxa"/>
              <w:right w:w="20" w:type="dxa"/>
            </w:tcMar>
            <w:vAlign w:val="center"/>
          </w:tcPr>
          <w:p w14:paraId="33DAA659" w14:textId="77777777" w:rsidR="004D6A64" w:rsidRDefault="004D6A64">
            <w:pPr>
              <w:jc w:val="right"/>
              <w:rPr>
                <w:rFonts w:ascii="宋体"/>
              </w:rPr>
            </w:pPr>
          </w:p>
        </w:tc>
        <w:tc>
          <w:tcPr>
            <w:tcW w:w="0" w:type="auto"/>
            <w:shd w:val="clear" w:color="auto" w:fill="FFFFFF"/>
            <w:tcMar>
              <w:top w:w="40" w:type="dxa"/>
              <w:left w:w="20" w:type="dxa"/>
              <w:bottom w:w="40" w:type="dxa"/>
            </w:tcMar>
            <w:vAlign w:val="center"/>
          </w:tcPr>
          <w:p w14:paraId="33DAA65A"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65B"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A65C" w14:textId="77777777" w:rsidR="004D6A64" w:rsidRDefault="004D6A64">
            <w:pPr>
              <w:jc w:val="right"/>
              <w:rPr>
                <w:rFonts w:ascii="宋体"/>
              </w:rPr>
            </w:pPr>
          </w:p>
        </w:tc>
        <w:tc>
          <w:tcPr>
            <w:tcW w:w="0" w:type="auto"/>
            <w:shd w:val="clear" w:color="auto" w:fill="auto"/>
          </w:tcPr>
          <w:p w14:paraId="33DAA65D" w14:textId="77777777" w:rsidR="004D6A64" w:rsidRDefault="004D6A64">
            <w:pPr>
              <w:rPr>
                <w:rFonts w:ascii="宋体"/>
              </w:rPr>
            </w:pPr>
          </w:p>
        </w:tc>
        <w:tc>
          <w:tcPr>
            <w:tcW w:w="0" w:type="auto"/>
            <w:shd w:val="clear" w:color="auto" w:fill="auto"/>
          </w:tcPr>
          <w:p w14:paraId="33DAA65E" w14:textId="77777777" w:rsidR="004D6A64" w:rsidRDefault="004D6A64">
            <w:pPr>
              <w:rPr>
                <w:rFonts w:ascii="宋体"/>
              </w:rPr>
            </w:pPr>
          </w:p>
        </w:tc>
        <w:tc>
          <w:tcPr>
            <w:tcW w:w="0" w:type="auto"/>
            <w:shd w:val="clear" w:color="auto" w:fill="auto"/>
          </w:tcPr>
          <w:p w14:paraId="33DAA65F" w14:textId="77777777" w:rsidR="004D6A64" w:rsidRDefault="004D6A64">
            <w:pPr>
              <w:rPr>
                <w:rFonts w:ascii="宋体"/>
              </w:rPr>
            </w:pPr>
          </w:p>
        </w:tc>
        <w:tc>
          <w:tcPr>
            <w:tcW w:w="0" w:type="auto"/>
            <w:shd w:val="clear" w:color="auto" w:fill="auto"/>
          </w:tcPr>
          <w:p w14:paraId="33DAA660" w14:textId="77777777" w:rsidR="004D6A64" w:rsidRDefault="004D6A64">
            <w:pPr>
              <w:rPr>
                <w:rFonts w:ascii="宋体"/>
              </w:rPr>
            </w:pPr>
          </w:p>
        </w:tc>
        <w:tc>
          <w:tcPr>
            <w:tcW w:w="0" w:type="auto"/>
            <w:shd w:val="clear" w:color="auto" w:fill="auto"/>
          </w:tcPr>
          <w:p w14:paraId="33DAA661" w14:textId="77777777" w:rsidR="004D6A64" w:rsidRDefault="004D6A64">
            <w:pPr>
              <w:rPr>
                <w:rFonts w:ascii="宋体"/>
              </w:rPr>
            </w:pPr>
          </w:p>
        </w:tc>
        <w:tc>
          <w:tcPr>
            <w:tcW w:w="0" w:type="auto"/>
            <w:shd w:val="clear" w:color="auto" w:fill="auto"/>
          </w:tcPr>
          <w:p w14:paraId="33DAA662" w14:textId="77777777" w:rsidR="004D6A64" w:rsidRDefault="004D6A64">
            <w:pPr>
              <w:rPr>
                <w:rFonts w:ascii="宋体"/>
              </w:rPr>
            </w:pPr>
          </w:p>
        </w:tc>
        <w:tc>
          <w:tcPr>
            <w:tcW w:w="0" w:type="auto"/>
            <w:shd w:val="clear" w:color="auto" w:fill="auto"/>
          </w:tcPr>
          <w:p w14:paraId="33DAA663" w14:textId="77777777" w:rsidR="004D6A64" w:rsidRDefault="004D6A64">
            <w:pPr>
              <w:rPr>
                <w:rFonts w:ascii="宋体"/>
              </w:rPr>
            </w:pPr>
          </w:p>
        </w:tc>
        <w:tc>
          <w:tcPr>
            <w:tcW w:w="0" w:type="auto"/>
            <w:shd w:val="clear" w:color="auto" w:fill="auto"/>
          </w:tcPr>
          <w:p w14:paraId="33DAA664" w14:textId="77777777" w:rsidR="004D6A64" w:rsidRDefault="004D6A64">
            <w:pPr>
              <w:rPr>
                <w:rFonts w:ascii="宋体"/>
              </w:rPr>
            </w:pPr>
          </w:p>
        </w:tc>
        <w:tc>
          <w:tcPr>
            <w:tcW w:w="0" w:type="auto"/>
            <w:shd w:val="clear" w:color="auto" w:fill="auto"/>
          </w:tcPr>
          <w:p w14:paraId="33DAA665" w14:textId="77777777" w:rsidR="004D6A64" w:rsidRDefault="004D6A64">
            <w:pPr>
              <w:rPr>
                <w:rFonts w:ascii="宋体"/>
              </w:rPr>
            </w:pPr>
          </w:p>
        </w:tc>
        <w:tc>
          <w:tcPr>
            <w:tcW w:w="0" w:type="auto"/>
            <w:shd w:val="clear" w:color="auto" w:fill="auto"/>
          </w:tcPr>
          <w:p w14:paraId="33DAA666" w14:textId="77777777" w:rsidR="004D6A64" w:rsidRDefault="004D6A64">
            <w:pPr>
              <w:rPr>
                <w:rFonts w:ascii="宋体"/>
              </w:rPr>
            </w:pPr>
          </w:p>
        </w:tc>
        <w:tc>
          <w:tcPr>
            <w:tcW w:w="0" w:type="auto"/>
            <w:shd w:val="clear" w:color="auto" w:fill="auto"/>
          </w:tcPr>
          <w:p w14:paraId="33DAA667" w14:textId="77777777" w:rsidR="004D6A64" w:rsidRDefault="004D6A64">
            <w:pPr>
              <w:rPr>
                <w:rFonts w:ascii="宋体"/>
              </w:rPr>
            </w:pPr>
          </w:p>
        </w:tc>
        <w:tc>
          <w:tcPr>
            <w:tcW w:w="0" w:type="auto"/>
            <w:shd w:val="clear" w:color="auto" w:fill="auto"/>
          </w:tcPr>
          <w:p w14:paraId="33DAA668" w14:textId="77777777" w:rsidR="004D6A64" w:rsidRDefault="004D6A64">
            <w:pPr>
              <w:rPr>
                <w:rFonts w:ascii="宋体"/>
              </w:rPr>
            </w:pPr>
          </w:p>
        </w:tc>
        <w:tc>
          <w:tcPr>
            <w:tcW w:w="0" w:type="auto"/>
            <w:shd w:val="clear" w:color="auto" w:fill="auto"/>
          </w:tcPr>
          <w:p w14:paraId="33DAA669" w14:textId="77777777" w:rsidR="004D6A64" w:rsidRDefault="004D6A64">
            <w:pPr>
              <w:rPr>
                <w:rFonts w:ascii="宋体"/>
              </w:rPr>
            </w:pPr>
          </w:p>
        </w:tc>
        <w:tc>
          <w:tcPr>
            <w:tcW w:w="0" w:type="auto"/>
            <w:shd w:val="clear" w:color="auto" w:fill="auto"/>
          </w:tcPr>
          <w:p w14:paraId="33DAA66A" w14:textId="77777777" w:rsidR="004D6A64" w:rsidRDefault="004D6A64">
            <w:pPr>
              <w:rPr>
                <w:rFonts w:ascii="宋体"/>
              </w:rPr>
            </w:pPr>
          </w:p>
        </w:tc>
        <w:tc>
          <w:tcPr>
            <w:tcW w:w="0" w:type="auto"/>
            <w:shd w:val="clear" w:color="auto" w:fill="auto"/>
          </w:tcPr>
          <w:p w14:paraId="33DAA66B" w14:textId="77777777" w:rsidR="004D6A64" w:rsidRDefault="004D6A64">
            <w:pPr>
              <w:rPr>
                <w:rFonts w:ascii="宋体"/>
              </w:rPr>
            </w:pPr>
          </w:p>
        </w:tc>
      </w:tr>
    </w:tbl>
    <w:p w14:paraId="33DAA66D" w14:textId="77777777" w:rsidR="004D6A64" w:rsidRDefault="004D6A64"/>
    <w:p w14:paraId="33DAA66E" w14:textId="77777777" w:rsidR="004D6A64" w:rsidRDefault="00506CD6">
      <w:r>
        <w:rPr>
          <w:rFonts w:ascii="Times New Roman" w:eastAsia="宋体" w:hAnsi="Times New Roman"/>
          <w:i/>
          <w:iCs/>
          <w:color w:val="000000"/>
          <w:sz w:val="20"/>
          <w:szCs w:val="20"/>
        </w:rPr>
        <w:t xml:space="preserve">Equity and other securities </w:t>
      </w:r>
      <w:r>
        <w:rPr>
          <w:rFonts w:ascii="Times New Roman" w:eastAsia="宋体" w:hAnsi="Times New Roman"/>
          <w:color w:val="000000"/>
          <w:sz w:val="20"/>
          <w:szCs w:val="20"/>
        </w:rPr>
        <w:t>— The Company has strategic investments in publicly-traded and privately-held companies. For the six</w:t>
      </w:r>
      <w:r>
        <w:rPr>
          <w:rFonts w:ascii="Times New Roman" w:eastAsia="宋体" w:hAnsi="Times New Roman"/>
          <w:color w:val="000000"/>
          <w:sz w:val="20"/>
          <w:szCs w:val="20"/>
        </w:rPr>
        <w:t xml:space="preserve"> months ended July 31, 2020, the equity and other securities without readily determinable fair values of $983 million increased by $89 million, due to upward adjustments for observable price changes, offset by $11 million of downward adjustments primarily </w:t>
      </w:r>
      <w:r>
        <w:rPr>
          <w:rFonts w:ascii="Times New Roman" w:eastAsia="宋体" w:hAnsi="Times New Roman"/>
          <w:color w:val="000000"/>
          <w:sz w:val="20"/>
          <w:szCs w:val="20"/>
        </w:rPr>
        <w:t>attributable to observable price changes. The remainder of equity and other securities consists of publicly-traded investments that are measured at fair value on a recurring basis.</w:t>
      </w:r>
    </w:p>
    <w:p w14:paraId="33DAA66F" w14:textId="77777777" w:rsidR="004D6A64" w:rsidRDefault="004D6A64"/>
    <w:p w14:paraId="33DAA670" w14:textId="77777777" w:rsidR="004D6A64" w:rsidRDefault="00506CD6">
      <w:r>
        <w:rPr>
          <w:rFonts w:ascii="Times New Roman" w:eastAsia="宋体" w:hAnsi="Times New Roman"/>
          <w:i/>
          <w:iCs/>
          <w:color w:val="000000"/>
          <w:sz w:val="20"/>
          <w:szCs w:val="20"/>
        </w:rPr>
        <w:t xml:space="preserve">Fixed income debt securities </w:t>
      </w:r>
      <w:r>
        <w:rPr>
          <w:rFonts w:ascii="Times New Roman" w:eastAsia="宋体" w:hAnsi="Times New Roman"/>
          <w:color w:val="000000"/>
          <w:sz w:val="20"/>
          <w:szCs w:val="20"/>
        </w:rPr>
        <w:t>— The Company has fixed income debt securitie</w:t>
      </w:r>
      <w:r>
        <w:rPr>
          <w:rFonts w:ascii="Times New Roman" w:eastAsia="宋体" w:hAnsi="Times New Roman"/>
          <w:color w:val="000000"/>
          <w:sz w:val="20"/>
          <w:szCs w:val="20"/>
        </w:rPr>
        <w:t>s carried at amortized cost. The debt securities are held as collateral for borrowings. The Company intends to hold the investments to maturity. Unrealized gains relate to foreign currency impacts.</w:t>
      </w:r>
    </w:p>
    <w:p w14:paraId="33DAA671" w14:textId="77777777" w:rsidR="004D6A64" w:rsidRDefault="004D6A64">
      <w:pPr>
        <w:jc w:val="center"/>
      </w:pPr>
    </w:p>
    <w:p w14:paraId="33DAA672" w14:textId="77777777" w:rsidR="004D6A64" w:rsidRDefault="00506CD6">
      <w:pPr>
        <w:jc w:val="center"/>
      </w:pPr>
      <w:r>
        <w:rPr>
          <w:rFonts w:ascii="Times New Roman" w:eastAsia="宋体" w:hAnsi="Times New Roman"/>
          <w:color w:val="000000"/>
          <w:sz w:val="20"/>
          <w:szCs w:val="20"/>
        </w:rPr>
        <w:t>20</w:t>
      </w:r>
    </w:p>
    <w:p w14:paraId="33DAA673" w14:textId="77777777" w:rsidR="004D6A64" w:rsidRDefault="004D6A64">
      <w:pPr>
        <w:jc w:val="center"/>
      </w:pPr>
    </w:p>
    <w:p w14:paraId="33DAA674" w14:textId="77777777" w:rsidR="004D6A64" w:rsidRDefault="00506CD6">
      <w:r>
        <w:pict w14:anchorId="33DAFAD8">
          <v:rect id="_x0000_i1044" style="width:415.3pt;height:1.5pt" o:hralign="center" o:hrstd="t" o:hr="t" fillcolor="#a0a0a0" stroked="f"/>
        </w:pict>
      </w:r>
    </w:p>
    <w:p w14:paraId="33DAA675" w14:textId="77777777" w:rsidR="004D6A64" w:rsidRDefault="00506CD6">
      <w:hyperlink r:id="rId143" w:anchor="if3e0e1bf9ecd4bf69551d7a85f98d64a_10" w:history="1">
        <w:r>
          <w:rPr>
            <w:rStyle w:val="a5"/>
            <w:rFonts w:ascii="Times New Roman" w:eastAsia="宋体" w:hAnsi="Times New Roman"/>
            <w:sz w:val="20"/>
            <w:szCs w:val="20"/>
          </w:rPr>
          <w:t>Table of Contents</w:t>
        </w:r>
      </w:hyperlink>
    </w:p>
    <w:p w14:paraId="33DAA676"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A677"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33DAA678"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A679" w14:textId="77777777" w:rsidR="004D6A64" w:rsidRDefault="004D6A64">
      <w:pPr>
        <w:jc w:val="center"/>
      </w:pPr>
    </w:p>
    <w:p w14:paraId="33DAA67A" w14:textId="77777777" w:rsidR="004D6A64" w:rsidRDefault="00506CD6">
      <w:r>
        <w:rPr>
          <w:rFonts w:ascii="Times New Roman" w:eastAsia="宋体" w:hAnsi="Times New Roman"/>
          <w:b/>
          <w:bCs/>
          <w:color w:val="000000"/>
          <w:sz w:val="20"/>
          <w:szCs w:val="20"/>
        </w:rPr>
        <w:t xml:space="preserve">NOTE 4 — FINANCIAL SERVICES </w:t>
      </w:r>
    </w:p>
    <w:p w14:paraId="33DAA67B" w14:textId="77777777" w:rsidR="004D6A64" w:rsidRDefault="004D6A64"/>
    <w:p w14:paraId="33DAA67C" w14:textId="77777777" w:rsidR="004D6A64" w:rsidRDefault="00506CD6">
      <w:r>
        <w:rPr>
          <w:rFonts w:ascii="Times New Roman" w:eastAsia="宋体" w:hAnsi="Times New Roman"/>
          <w:color w:val="000000"/>
          <w:sz w:val="20"/>
          <w:szCs w:val="20"/>
        </w:rPr>
        <w:t>The Company offers or arranges various financing options, services, and alternative payment structures for its customers in North America, Europe, Australia, and New Zealand through Dell Financial Services and its affiliates (</w:t>
      </w:r>
      <w:r>
        <w:rPr>
          <w:rFonts w:ascii="Times New Roman" w:eastAsia="宋体" w:hAnsi="Times New Roman"/>
          <w:color w:val="000000"/>
          <w:sz w:val="20"/>
          <w:szCs w:val="20"/>
        </w:rPr>
        <w:t>“DFS”). The Company also arranges financing for some of its customers in various countries where DFS does not currently operate as a captive enterprise. The key activities of DFS include originating, collecting, and servicing customer financing arrangement</w:t>
      </w:r>
      <w:r>
        <w:rPr>
          <w:rFonts w:ascii="Times New Roman" w:eastAsia="宋体" w:hAnsi="Times New Roman"/>
          <w:color w:val="000000"/>
          <w:sz w:val="20"/>
          <w:szCs w:val="20"/>
        </w:rPr>
        <w:t>s primarily related to the purchase or use of Dell Technologies products and services. In some cases, DFS also offers financing on the purchase of third-party technology products that complement the Dell Technologies portfolio of products and services. New</w:t>
      </w:r>
      <w:r>
        <w:rPr>
          <w:rFonts w:ascii="Times New Roman" w:eastAsia="宋体" w:hAnsi="Times New Roman"/>
          <w:color w:val="000000"/>
          <w:sz w:val="20"/>
          <w:szCs w:val="20"/>
        </w:rPr>
        <w:t xml:space="preserve"> financing originations were $2.6 billion and $2.0 billion for the three months ended July 31, 2020 and August 2, 2019, respectively, and $4.4 billion and $3.7 billion for the six months ended July 31, 2020 and August 2, 2019, respectively.</w:t>
      </w:r>
    </w:p>
    <w:p w14:paraId="33DAA67D" w14:textId="77777777" w:rsidR="004D6A64" w:rsidRDefault="004D6A64"/>
    <w:p w14:paraId="33DAA67E" w14:textId="77777777" w:rsidR="004D6A64" w:rsidRDefault="00506CD6">
      <w:r>
        <w:rPr>
          <w:rFonts w:ascii="Times New Roman" w:eastAsia="宋体" w:hAnsi="Times New Roman"/>
          <w:color w:val="000000"/>
          <w:sz w:val="20"/>
          <w:szCs w:val="20"/>
        </w:rPr>
        <w:t xml:space="preserve">The Company’s </w:t>
      </w:r>
      <w:r>
        <w:rPr>
          <w:rFonts w:ascii="Times New Roman" w:eastAsia="宋体" w:hAnsi="Times New Roman"/>
          <w:color w:val="000000"/>
          <w:sz w:val="20"/>
          <w:szCs w:val="20"/>
        </w:rPr>
        <w:t>loan and lease arrangements with customers are aggregated into the following categories:</w:t>
      </w:r>
    </w:p>
    <w:p w14:paraId="33DAA67F" w14:textId="77777777" w:rsidR="004D6A64" w:rsidRDefault="004D6A64"/>
    <w:p w14:paraId="33DAA680" w14:textId="77777777" w:rsidR="004D6A64" w:rsidRDefault="00506CD6">
      <w:pPr>
        <w:pBdr>
          <w:left w:val="none" w:sz="0" w:space="0" w:color="auto"/>
        </w:pBdr>
      </w:pPr>
      <w:r>
        <w:rPr>
          <w:rFonts w:ascii="Times New Roman" w:eastAsia="宋体" w:hAnsi="Times New Roman"/>
          <w:i/>
          <w:iCs/>
          <w:color w:val="000000"/>
          <w:sz w:val="20"/>
          <w:szCs w:val="20"/>
        </w:rPr>
        <w:t>Revolving loans</w:t>
      </w:r>
      <w:r>
        <w:rPr>
          <w:rFonts w:ascii="Times New Roman" w:eastAsia="宋体" w:hAnsi="Times New Roman"/>
          <w:color w:val="000000"/>
          <w:sz w:val="20"/>
          <w:szCs w:val="20"/>
        </w:rPr>
        <w:t xml:space="preserve"> — Revolving loans offered under private label credit financing programs provide qualified customers with a revolving credit line for the purchase of p</w:t>
      </w:r>
      <w:r>
        <w:rPr>
          <w:rFonts w:ascii="Times New Roman" w:eastAsia="宋体" w:hAnsi="Times New Roman"/>
          <w:color w:val="000000"/>
          <w:sz w:val="20"/>
          <w:szCs w:val="20"/>
        </w:rPr>
        <w:t xml:space="preserve">roducts and services offered by Dell Technologies. These private label credit financing programs are referred to as Dell Preferred Account (“DPA”) and Dell Business Credit (“DBC”). The DPA product is primarily offered to individual consumer customers, and </w:t>
      </w:r>
      <w:r>
        <w:rPr>
          <w:rFonts w:ascii="Times New Roman" w:eastAsia="宋体" w:hAnsi="Times New Roman"/>
          <w:color w:val="000000"/>
          <w:sz w:val="20"/>
          <w:szCs w:val="20"/>
        </w:rPr>
        <w:t>the DBC product is primarily offered to small and medium-sized commercial customers. Revolving loans in the United States bear interest at a variable annual percentage rate that is tied to the prime rate. Based on historical payment patterns, revolving loa</w:t>
      </w:r>
      <w:r>
        <w:rPr>
          <w:rFonts w:ascii="Times New Roman" w:eastAsia="宋体" w:hAnsi="Times New Roman"/>
          <w:color w:val="000000"/>
          <w:sz w:val="20"/>
          <w:szCs w:val="20"/>
        </w:rPr>
        <w:t>n transactions are typically repaid within twelve months on average. Due to the short-term nature of the revolving loan portfolio, the carrying value of the portfolio approximates fair value.</w:t>
      </w:r>
    </w:p>
    <w:p w14:paraId="33DAA681" w14:textId="77777777" w:rsidR="004D6A64" w:rsidRDefault="004D6A64">
      <w:pPr>
        <w:pBdr>
          <w:left w:val="none" w:sz="0" w:space="0" w:color="auto"/>
        </w:pBdr>
      </w:pPr>
    </w:p>
    <w:p w14:paraId="33DAA682" w14:textId="77777777" w:rsidR="004D6A64" w:rsidRDefault="00506CD6">
      <w:pPr>
        <w:pBdr>
          <w:left w:val="none" w:sz="0" w:space="0" w:color="auto"/>
        </w:pBdr>
      </w:pPr>
      <w:r>
        <w:rPr>
          <w:rFonts w:ascii="Times New Roman" w:eastAsia="宋体" w:hAnsi="Times New Roman"/>
          <w:i/>
          <w:iCs/>
          <w:color w:val="000000"/>
          <w:sz w:val="20"/>
          <w:szCs w:val="20"/>
        </w:rPr>
        <w:t xml:space="preserve">Fixed-term leases and loans </w:t>
      </w:r>
      <w:r>
        <w:rPr>
          <w:rFonts w:ascii="Times New Roman" w:eastAsia="宋体" w:hAnsi="Times New Roman"/>
          <w:color w:val="000000"/>
          <w:sz w:val="20"/>
          <w:szCs w:val="20"/>
        </w:rPr>
        <w:t>— The Company enters into financing arrangements with customers who seek lease financing for equipment. Pursuant to the current lease accounting standard effective February 2, 2019, new DFS leases are classified as sales-type leases, direct financing lease</w:t>
      </w:r>
      <w:r>
        <w:rPr>
          <w:rFonts w:ascii="Times New Roman" w:eastAsia="宋体" w:hAnsi="Times New Roman"/>
          <w:color w:val="000000"/>
          <w:sz w:val="20"/>
          <w:szCs w:val="20"/>
        </w:rPr>
        <w:t>s, or operating leases. When the terms of the DFS lease transfer control of the underlying asset to the lessee, the contract is typically classified as a sales-type lease. Direct financing leases are immaterial. All other new DFS leases are classified as o</w:t>
      </w:r>
      <w:r>
        <w:rPr>
          <w:rFonts w:ascii="Times New Roman" w:eastAsia="宋体" w:hAnsi="Times New Roman"/>
          <w:color w:val="000000"/>
          <w:sz w:val="20"/>
          <w:szCs w:val="20"/>
        </w:rPr>
        <w:t>perating leases. Leases that commenced prior to the effective date of the current lease accounting standard continue to be accounted for under previous lease accounting guidance. Leases with business customers have fixed terms of generally two to four year</w:t>
      </w:r>
      <w:r>
        <w:rPr>
          <w:rFonts w:ascii="Times New Roman" w:eastAsia="宋体" w:hAnsi="Times New Roman"/>
          <w:color w:val="000000"/>
          <w:sz w:val="20"/>
          <w:szCs w:val="20"/>
        </w:rPr>
        <w:t xml:space="preserve">s. </w:t>
      </w:r>
    </w:p>
    <w:p w14:paraId="33DAA683" w14:textId="77777777" w:rsidR="004D6A64" w:rsidRDefault="004D6A64">
      <w:pPr>
        <w:pBdr>
          <w:left w:val="none" w:sz="0" w:space="0" w:color="auto"/>
        </w:pBdr>
      </w:pPr>
    </w:p>
    <w:p w14:paraId="33DAA684" w14:textId="77777777" w:rsidR="004D6A64" w:rsidRDefault="00506CD6">
      <w:pPr>
        <w:pBdr>
          <w:left w:val="none" w:sz="0" w:space="0" w:color="auto"/>
        </w:pBdr>
      </w:pPr>
      <w:r>
        <w:rPr>
          <w:rFonts w:ascii="Times New Roman" w:eastAsia="宋体" w:hAnsi="Times New Roman"/>
          <w:color w:val="000000"/>
          <w:sz w:val="20"/>
          <w:szCs w:val="20"/>
        </w:rPr>
        <w:t>The Company also offers fixed-term loans to qualified small businesses, large commercial accounts, governmental organizations, educational entities, and certain individual consumer customers. These loans are repaid in equal payments including interest</w:t>
      </w:r>
      <w:r>
        <w:rPr>
          <w:rFonts w:ascii="Times New Roman" w:eastAsia="宋体" w:hAnsi="Times New Roman"/>
          <w:color w:val="000000"/>
          <w:sz w:val="20"/>
          <w:szCs w:val="20"/>
        </w:rPr>
        <w:t xml:space="preserve"> and have defined terms of generally three to five years. The fair value of the fixed-term loan portfolio is determined using market observable inputs.  The carrying value of these loans approximates fair value.  </w:t>
      </w:r>
    </w:p>
    <w:p w14:paraId="33DAA685" w14:textId="77777777" w:rsidR="004D6A64" w:rsidRDefault="004D6A64"/>
    <w:p w14:paraId="33DAA686" w14:textId="77777777" w:rsidR="004D6A64" w:rsidRDefault="004D6A64">
      <w:pPr>
        <w:jc w:val="center"/>
      </w:pPr>
    </w:p>
    <w:p w14:paraId="33DAA687" w14:textId="77777777" w:rsidR="004D6A64" w:rsidRDefault="00506CD6">
      <w:pPr>
        <w:jc w:val="center"/>
      </w:pPr>
      <w:r>
        <w:rPr>
          <w:rFonts w:ascii="Times New Roman" w:eastAsia="宋体" w:hAnsi="Times New Roman"/>
          <w:color w:val="000000"/>
          <w:sz w:val="20"/>
          <w:szCs w:val="20"/>
        </w:rPr>
        <w:t>21</w:t>
      </w:r>
    </w:p>
    <w:p w14:paraId="33DAA688" w14:textId="77777777" w:rsidR="004D6A64" w:rsidRDefault="004D6A64">
      <w:pPr>
        <w:jc w:val="center"/>
      </w:pPr>
    </w:p>
    <w:p w14:paraId="33DAA689" w14:textId="77777777" w:rsidR="004D6A64" w:rsidRDefault="00506CD6">
      <w:r>
        <w:pict w14:anchorId="33DAFAD9">
          <v:rect id="_x0000_i1045" style="width:415.3pt;height:1.5pt" o:hralign="center" o:hrstd="t" o:hr="t" fillcolor="#a0a0a0" stroked="f"/>
        </w:pict>
      </w:r>
    </w:p>
    <w:p w14:paraId="33DAA68A" w14:textId="77777777" w:rsidR="004D6A64" w:rsidRDefault="00506CD6">
      <w:hyperlink r:id="rId144" w:anchor="if3e0e1bf9ecd4bf69551d7a85f98d64a_10" w:history="1">
        <w:r>
          <w:rPr>
            <w:rStyle w:val="a5"/>
            <w:rFonts w:ascii="Times New Roman" w:eastAsia="宋体" w:hAnsi="Times New Roman"/>
            <w:sz w:val="20"/>
            <w:szCs w:val="20"/>
          </w:rPr>
          <w:t>Table of Contents</w:t>
        </w:r>
      </w:hyperlink>
    </w:p>
    <w:p w14:paraId="33DAA68B"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A68C"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33DAA68D"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A68E" w14:textId="77777777" w:rsidR="004D6A64" w:rsidRDefault="004D6A64">
      <w:pPr>
        <w:jc w:val="center"/>
      </w:pPr>
    </w:p>
    <w:p w14:paraId="33DAA68F" w14:textId="77777777" w:rsidR="004D6A64" w:rsidRDefault="00506CD6">
      <w:r>
        <w:rPr>
          <w:rFonts w:ascii="Times New Roman" w:eastAsia="宋体" w:hAnsi="Times New Roman"/>
          <w:b/>
          <w:bCs/>
          <w:color w:val="000000"/>
          <w:sz w:val="20"/>
          <w:szCs w:val="20"/>
        </w:rPr>
        <w:t>Financing Receivables</w:t>
      </w:r>
    </w:p>
    <w:p w14:paraId="33DAA690" w14:textId="77777777" w:rsidR="004D6A64" w:rsidRDefault="004D6A64"/>
    <w:p w14:paraId="33DAA691" w14:textId="77777777" w:rsidR="004D6A64" w:rsidRDefault="00506CD6">
      <w:r>
        <w:rPr>
          <w:rFonts w:ascii="Times New Roman" w:eastAsia="宋体" w:hAnsi="Times New Roman"/>
          <w:color w:val="000000"/>
          <w:sz w:val="20"/>
          <w:szCs w:val="20"/>
        </w:rPr>
        <w:t>The following table presents the components of the Company’s financing receivables segregated by portfolio segment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9"/>
        <w:gridCol w:w="1263"/>
        <w:gridCol w:w="38"/>
        <w:gridCol w:w="133"/>
        <w:gridCol w:w="785"/>
        <w:gridCol w:w="41"/>
        <w:gridCol w:w="36"/>
        <w:gridCol w:w="36"/>
        <w:gridCol w:w="36"/>
        <w:gridCol w:w="134"/>
        <w:gridCol w:w="874"/>
        <w:gridCol w:w="41"/>
        <w:gridCol w:w="36"/>
        <w:gridCol w:w="36"/>
        <w:gridCol w:w="36"/>
        <w:gridCol w:w="133"/>
        <w:gridCol w:w="603"/>
        <w:gridCol w:w="41"/>
        <w:gridCol w:w="36"/>
        <w:gridCol w:w="36"/>
        <w:gridCol w:w="36"/>
        <w:gridCol w:w="134"/>
        <w:gridCol w:w="786"/>
        <w:gridCol w:w="41"/>
        <w:gridCol w:w="36"/>
        <w:gridCol w:w="36"/>
        <w:gridCol w:w="36"/>
        <w:gridCol w:w="134"/>
        <w:gridCol w:w="874"/>
        <w:gridCol w:w="41"/>
        <w:gridCol w:w="36"/>
        <w:gridCol w:w="36"/>
        <w:gridCol w:w="36"/>
        <w:gridCol w:w="133"/>
        <w:gridCol w:w="505"/>
        <w:gridCol w:w="4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4D6A64" w14:paraId="33DAA6B6" w14:textId="77777777">
        <w:trPr>
          <w:gridAfter w:val="27"/>
        </w:trPr>
        <w:tc>
          <w:tcPr>
            <w:tcW w:w="50" w:type="pct"/>
            <w:shd w:val="clear" w:color="auto" w:fill="auto"/>
          </w:tcPr>
          <w:p w14:paraId="33DAA692" w14:textId="77777777" w:rsidR="004D6A64" w:rsidRDefault="004D6A64">
            <w:pPr>
              <w:rPr>
                <w:rFonts w:ascii="宋体"/>
              </w:rPr>
            </w:pPr>
          </w:p>
        </w:tc>
        <w:tc>
          <w:tcPr>
            <w:tcW w:w="1757" w:type="pct"/>
            <w:shd w:val="clear" w:color="auto" w:fill="auto"/>
          </w:tcPr>
          <w:p w14:paraId="33DAA693" w14:textId="77777777" w:rsidR="004D6A64" w:rsidRDefault="004D6A64">
            <w:pPr>
              <w:rPr>
                <w:rFonts w:ascii="宋体"/>
              </w:rPr>
            </w:pPr>
          </w:p>
        </w:tc>
        <w:tc>
          <w:tcPr>
            <w:tcW w:w="5" w:type="pct"/>
            <w:shd w:val="clear" w:color="auto" w:fill="auto"/>
          </w:tcPr>
          <w:p w14:paraId="33DAA694" w14:textId="77777777" w:rsidR="004D6A64" w:rsidRDefault="004D6A64">
            <w:pPr>
              <w:rPr>
                <w:rFonts w:ascii="宋体"/>
              </w:rPr>
            </w:pPr>
          </w:p>
        </w:tc>
        <w:tc>
          <w:tcPr>
            <w:tcW w:w="50" w:type="pct"/>
            <w:shd w:val="clear" w:color="auto" w:fill="auto"/>
          </w:tcPr>
          <w:p w14:paraId="33DAA695" w14:textId="77777777" w:rsidR="004D6A64" w:rsidRDefault="004D6A64">
            <w:pPr>
              <w:rPr>
                <w:rFonts w:ascii="宋体"/>
              </w:rPr>
            </w:pPr>
          </w:p>
        </w:tc>
        <w:tc>
          <w:tcPr>
            <w:tcW w:w="471" w:type="pct"/>
            <w:shd w:val="clear" w:color="auto" w:fill="auto"/>
          </w:tcPr>
          <w:p w14:paraId="33DAA696" w14:textId="77777777" w:rsidR="004D6A64" w:rsidRDefault="004D6A64">
            <w:pPr>
              <w:rPr>
                <w:rFonts w:ascii="宋体"/>
              </w:rPr>
            </w:pPr>
          </w:p>
        </w:tc>
        <w:tc>
          <w:tcPr>
            <w:tcW w:w="5" w:type="pct"/>
            <w:shd w:val="clear" w:color="auto" w:fill="auto"/>
          </w:tcPr>
          <w:p w14:paraId="33DAA697" w14:textId="77777777" w:rsidR="004D6A64" w:rsidRDefault="004D6A64">
            <w:pPr>
              <w:rPr>
                <w:rFonts w:ascii="宋体"/>
              </w:rPr>
            </w:pPr>
          </w:p>
        </w:tc>
        <w:tc>
          <w:tcPr>
            <w:tcW w:w="5" w:type="pct"/>
            <w:shd w:val="clear" w:color="auto" w:fill="auto"/>
          </w:tcPr>
          <w:p w14:paraId="33DAA698" w14:textId="77777777" w:rsidR="004D6A64" w:rsidRDefault="004D6A64">
            <w:pPr>
              <w:rPr>
                <w:rFonts w:ascii="宋体"/>
              </w:rPr>
            </w:pPr>
          </w:p>
        </w:tc>
        <w:tc>
          <w:tcPr>
            <w:tcW w:w="19" w:type="pct"/>
            <w:shd w:val="clear" w:color="auto" w:fill="auto"/>
          </w:tcPr>
          <w:p w14:paraId="33DAA699" w14:textId="77777777" w:rsidR="004D6A64" w:rsidRDefault="004D6A64">
            <w:pPr>
              <w:rPr>
                <w:rFonts w:ascii="宋体"/>
              </w:rPr>
            </w:pPr>
          </w:p>
        </w:tc>
        <w:tc>
          <w:tcPr>
            <w:tcW w:w="5" w:type="pct"/>
            <w:shd w:val="clear" w:color="auto" w:fill="auto"/>
          </w:tcPr>
          <w:p w14:paraId="33DAA69A" w14:textId="77777777" w:rsidR="004D6A64" w:rsidRDefault="004D6A64">
            <w:pPr>
              <w:rPr>
                <w:rFonts w:ascii="宋体"/>
              </w:rPr>
            </w:pPr>
          </w:p>
        </w:tc>
        <w:tc>
          <w:tcPr>
            <w:tcW w:w="50" w:type="pct"/>
            <w:shd w:val="clear" w:color="auto" w:fill="auto"/>
          </w:tcPr>
          <w:p w14:paraId="33DAA69B" w14:textId="77777777" w:rsidR="004D6A64" w:rsidRDefault="004D6A64">
            <w:pPr>
              <w:rPr>
                <w:rFonts w:ascii="宋体"/>
              </w:rPr>
            </w:pPr>
          </w:p>
        </w:tc>
        <w:tc>
          <w:tcPr>
            <w:tcW w:w="471" w:type="pct"/>
            <w:shd w:val="clear" w:color="auto" w:fill="auto"/>
          </w:tcPr>
          <w:p w14:paraId="33DAA69C" w14:textId="77777777" w:rsidR="004D6A64" w:rsidRDefault="004D6A64">
            <w:pPr>
              <w:rPr>
                <w:rFonts w:ascii="宋体"/>
              </w:rPr>
            </w:pPr>
          </w:p>
        </w:tc>
        <w:tc>
          <w:tcPr>
            <w:tcW w:w="5" w:type="pct"/>
            <w:shd w:val="clear" w:color="auto" w:fill="auto"/>
          </w:tcPr>
          <w:p w14:paraId="33DAA69D" w14:textId="77777777" w:rsidR="004D6A64" w:rsidRDefault="004D6A64">
            <w:pPr>
              <w:rPr>
                <w:rFonts w:ascii="宋体"/>
              </w:rPr>
            </w:pPr>
          </w:p>
        </w:tc>
        <w:tc>
          <w:tcPr>
            <w:tcW w:w="5" w:type="pct"/>
            <w:shd w:val="clear" w:color="auto" w:fill="auto"/>
          </w:tcPr>
          <w:p w14:paraId="33DAA69E" w14:textId="77777777" w:rsidR="004D6A64" w:rsidRDefault="004D6A64">
            <w:pPr>
              <w:rPr>
                <w:rFonts w:ascii="宋体"/>
              </w:rPr>
            </w:pPr>
          </w:p>
        </w:tc>
        <w:tc>
          <w:tcPr>
            <w:tcW w:w="19" w:type="pct"/>
            <w:shd w:val="clear" w:color="auto" w:fill="auto"/>
          </w:tcPr>
          <w:p w14:paraId="33DAA69F" w14:textId="77777777" w:rsidR="004D6A64" w:rsidRDefault="004D6A64">
            <w:pPr>
              <w:rPr>
                <w:rFonts w:ascii="宋体"/>
              </w:rPr>
            </w:pPr>
          </w:p>
        </w:tc>
        <w:tc>
          <w:tcPr>
            <w:tcW w:w="5" w:type="pct"/>
            <w:shd w:val="clear" w:color="auto" w:fill="auto"/>
          </w:tcPr>
          <w:p w14:paraId="33DAA6A0" w14:textId="77777777" w:rsidR="004D6A64" w:rsidRDefault="004D6A64">
            <w:pPr>
              <w:rPr>
                <w:rFonts w:ascii="宋体"/>
              </w:rPr>
            </w:pPr>
          </w:p>
        </w:tc>
        <w:tc>
          <w:tcPr>
            <w:tcW w:w="50" w:type="pct"/>
            <w:shd w:val="clear" w:color="auto" w:fill="auto"/>
          </w:tcPr>
          <w:p w14:paraId="33DAA6A1" w14:textId="77777777" w:rsidR="004D6A64" w:rsidRDefault="004D6A64">
            <w:pPr>
              <w:rPr>
                <w:rFonts w:ascii="宋体"/>
              </w:rPr>
            </w:pPr>
          </w:p>
        </w:tc>
        <w:tc>
          <w:tcPr>
            <w:tcW w:w="412" w:type="pct"/>
            <w:shd w:val="clear" w:color="auto" w:fill="auto"/>
          </w:tcPr>
          <w:p w14:paraId="33DAA6A2" w14:textId="77777777" w:rsidR="004D6A64" w:rsidRDefault="004D6A64">
            <w:pPr>
              <w:rPr>
                <w:rFonts w:ascii="宋体"/>
              </w:rPr>
            </w:pPr>
          </w:p>
        </w:tc>
        <w:tc>
          <w:tcPr>
            <w:tcW w:w="5" w:type="pct"/>
            <w:shd w:val="clear" w:color="auto" w:fill="auto"/>
          </w:tcPr>
          <w:p w14:paraId="33DAA6A3" w14:textId="77777777" w:rsidR="004D6A64" w:rsidRDefault="004D6A64">
            <w:pPr>
              <w:rPr>
                <w:rFonts w:ascii="宋体"/>
              </w:rPr>
            </w:pPr>
          </w:p>
        </w:tc>
        <w:tc>
          <w:tcPr>
            <w:tcW w:w="5" w:type="pct"/>
            <w:shd w:val="clear" w:color="auto" w:fill="auto"/>
          </w:tcPr>
          <w:p w14:paraId="33DAA6A4" w14:textId="77777777" w:rsidR="004D6A64" w:rsidRDefault="004D6A64">
            <w:pPr>
              <w:rPr>
                <w:rFonts w:ascii="宋体"/>
              </w:rPr>
            </w:pPr>
          </w:p>
        </w:tc>
        <w:tc>
          <w:tcPr>
            <w:tcW w:w="19" w:type="pct"/>
            <w:shd w:val="clear" w:color="auto" w:fill="auto"/>
          </w:tcPr>
          <w:p w14:paraId="33DAA6A5" w14:textId="77777777" w:rsidR="004D6A64" w:rsidRDefault="004D6A64">
            <w:pPr>
              <w:rPr>
                <w:rFonts w:ascii="宋体"/>
              </w:rPr>
            </w:pPr>
          </w:p>
        </w:tc>
        <w:tc>
          <w:tcPr>
            <w:tcW w:w="5" w:type="pct"/>
            <w:shd w:val="clear" w:color="auto" w:fill="auto"/>
          </w:tcPr>
          <w:p w14:paraId="33DAA6A6" w14:textId="77777777" w:rsidR="004D6A64" w:rsidRDefault="004D6A64">
            <w:pPr>
              <w:rPr>
                <w:rFonts w:ascii="宋体"/>
              </w:rPr>
            </w:pPr>
          </w:p>
        </w:tc>
        <w:tc>
          <w:tcPr>
            <w:tcW w:w="50" w:type="pct"/>
            <w:shd w:val="clear" w:color="auto" w:fill="auto"/>
          </w:tcPr>
          <w:p w14:paraId="33DAA6A7" w14:textId="77777777" w:rsidR="004D6A64" w:rsidRDefault="004D6A64">
            <w:pPr>
              <w:rPr>
                <w:rFonts w:ascii="宋体"/>
              </w:rPr>
            </w:pPr>
          </w:p>
        </w:tc>
        <w:tc>
          <w:tcPr>
            <w:tcW w:w="471" w:type="pct"/>
            <w:shd w:val="clear" w:color="auto" w:fill="auto"/>
          </w:tcPr>
          <w:p w14:paraId="33DAA6A8" w14:textId="77777777" w:rsidR="004D6A64" w:rsidRDefault="004D6A64">
            <w:pPr>
              <w:rPr>
                <w:rFonts w:ascii="宋体"/>
              </w:rPr>
            </w:pPr>
          </w:p>
        </w:tc>
        <w:tc>
          <w:tcPr>
            <w:tcW w:w="5" w:type="pct"/>
            <w:shd w:val="clear" w:color="auto" w:fill="auto"/>
          </w:tcPr>
          <w:p w14:paraId="33DAA6A9" w14:textId="77777777" w:rsidR="004D6A64" w:rsidRDefault="004D6A64">
            <w:pPr>
              <w:rPr>
                <w:rFonts w:ascii="宋体"/>
              </w:rPr>
            </w:pPr>
          </w:p>
        </w:tc>
        <w:tc>
          <w:tcPr>
            <w:tcW w:w="5" w:type="pct"/>
            <w:shd w:val="clear" w:color="auto" w:fill="auto"/>
          </w:tcPr>
          <w:p w14:paraId="33DAA6AA" w14:textId="77777777" w:rsidR="004D6A64" w:rsidRDefault="004D6A64">
            <w:pPr>
              <w:rPr>
                <w:rFonts w:ascii="宋体"/>
              </w:rPr>
            </w:pPr>
          </w:p>
        </w:tc>
        <w:tc>
          <w:tcPr>
            <w:tcW w:w="19" w:type="pct"/>
            <w:shd w:val="clear" w:color="auto" w:fill="auto"/>
          </w:tcPr>
          <w:p w14:paraId="33DAA6AB" w14:textId="77777777" w:rsidR="004D6A64" w:rsidRDefault="004D6A64">
            <w:pPr>
              <w:rPr>
                <w:rFonts w:ascii="宋体"/>
              </w:rPr>
            </w:pPr>
          </w:p>
        </w:tc>
        <w:tc>
          <w:tcPr>
            <w:tcW w:w="5" w:type="pct"/>
            <w:shd w:val="clear" w:color="auto" w:fill="auto"/>
          </w:tcPr>
          <w:p w14:paraId="33DAA6AC" w14:textId="77777777" w:rsidR="004D6A64" w:rsidRDefault="004D6A64">
            <w:pPr>
              <w:rPr>
                <w:rFonts w:ascii="宋体"/>
              </w:rPr>
            </w:pPr>
          </w:p>
        </w:tc>
        <w:tc>
          <w:tcPr>
            <w:tcW w:w="50" w:type="pct"/>
            <w:shd w:val="clear" w:color="auto" w:fill="auto"/>
          </w:tcPr>
          <w:p w14:paraId="33DAA6AD" w14:textId="77777777" w:rsidR="004D6A64" w:rsidRDefault="004D6A64">
            <w:pPr>
              <w:rPr>
                <w:rFonts w:ascii="宋体"/>
              </w:rPr>
            </w:pPr>
          </w:p>
        </w:tc>
        <w:tc>
          <w:tcPr>
            <w:tcW w:w="471" w:type="pct"/>
            <w:shd w:val="clear" w:color="auto" w:fill="auto"/>
          </w:tcPr>
          <w:p w14:paraId="33DAA6AE" w14:textId="77777777" w:rsidR="004D6A64" w:rsidRDefault="004D6A64">
            <w:pPr>
              <w:rPr>
                <w:rFonts w:ascii="宋体"/>
              </w:rPr>
            </w:pPr>
          </w:p>
        </w:tc>
        <w:tc>
          <w:tcPr>
            <w:tcW w:w="5" w:type="pct"/>
            <w:shd w:val="clear" w:color="auto" w:fill="auto"/>
          </w:tcPr>
          <w:p w14:paraId="33DAA6AF" w14:textId="77777777" w:rsidR="004D6A64" w:rsidRDefault="004D6A64">
            <w:pPr>
              <w:rPr>
                <w:rFonts w:ascii="宋体"/>
              </w:rPr>
            </w:pPr>
          </w:p>
        </w:tc>
        <w:tc>
          <w:tcPr>
            <w:tcW w:w="5" w:type="pct"/>
            <w:shd w:val="clear" w:color="auto" w:fill="auto"/>
          </w:tcPr>
          <w:p w14:paraId="33DAA6B0" w14:textId="77777777" w:rsidR="004D6A64" w:rsidRDefault="004D6A64">
            <w:pPr>
              <w:rPr>
                <w:rFonts w:ascii="宋体"/>
              </w:rPr>
            </w:pPr>
          </w:p>
        </w:tc>
        <w:tc>
          <w:tcPr>
            <w:tcW w:w="19" w:type="pct"/>
            <w:shd w:val="clear" w:color="auto" w:fill="auto"/>
          </w:tcPr>
          <w:p w14:paraId="33DAA6B1" w14:textId="77777777" w:rsidR="004D6A64" w:rsidRDefault="004D6A64">
            <w:pPr>
              <w:rPr>
                <w:rFonts w:ascii="宋体"/>
              </w:rPr>
            </w:pPr>
          </w:p>
        </w:tc>
        <w:tc>
          <w:tcPr>
            <w:tcW w:w="5" w:type="pct"/>
            <w:shd w:val="clear" w:color="auto" w:fill="auto"/>
          </w:tcPr>
          <w:p w14:paraId="33DAA6B2" w14:textId="77777777" w:rsidR="004D6A64" w:rsidRDefault="004D6A64">
            <w:pPr>
              <w:rPr>
                <w:rFonts w:ascii="宋体"/>
              </w:rPr>
            </w:pPr>
          </w:p>
        </w:tc>
        <w:tc>
          <w:tcPr>
            <w:tcW w:w="50" w:type="pct"/>
            <w:shd w:val="clear" w:color="auto" w:fill="auto"/>
          </w:tcPr>
          <w:p w14:paraId="33DAA6B3" w14:textId="77777777" w:rsidR="004D6A64" w:rsidRDefault="004D6A64">
            <w:pPr>
              <w:rPr>
                <w:rFonts w:ascii="宋体"/>
              </w:rPr>
            </w:pPr>
          </w:p>
        </w:tc>
        <w:tc>
          <w:tcPr>
            <w:tcW w:w="413" w:type="pct"/>
            <w:shd w:val="clear" w:color="auto" w:fill="auto"/>
          </w:tcPr>
          <w:p w14:paraId="33DAA6B4" w14:textId="77777777" w:rsidR="004D6A64" w:rsidRDefault="004D6A64">
            <w:pPr>
              <w:rPr>
                <w:rFonts w:ascii="宋体"/>
              </w:rPr>
            </w:pPr>
          </w:p>
        </w:tc>
        <w:tc>
          <w:tcPr>
            <w:tcW w:w="5" w:type="pct"/>
            <w:shd w:val="clear" w:color="auto" w:fill="auto"/>
          </w:tcPr>
          <w:p w14:paraId="33DAA6B5" w14:textId="77777777" w:rsidR="004D6A64" w:rsidRDefault="004D6A64">
            <w:pPr>
              <w:rPr>
                <w:rFonts w:ascii="宋体"/>
              </w:rPr>
            </w:pPr>
          </w:p>
        </w:tc>
      </w:tr>
      <w:tr w:rsidR="004D6A64" w14:paraId="33DAA6C3" w14:textId="77777777">
        <w:trPr>
          <w:gridAfter w:val="3"/>
        </w:trPr>
        <w:tc>
          <w:tcPr>
            <w:tcW w:w="0" w:type="auto"/>
            <w:gridSpan w:val="3"/>
            <w:shd w:val="clear" w:color="auto" w:fill="auto"/>
            <w:tcMar>
              <w:top w:w="40" w:type="dxa"/>
              <w:left w:w="20" w:type="dxa"/>
              <w:bottom w:w="40" w:type="dxa"/>
              <w:right w:w="20" w:type="dxa"/>
            </w:tcMar>
            <w:vAlign w:val="bottom"/>
          </w:tcPr>
          <w:p w14:paraId="33DAA6B7" w14:textId="77777777" w:rsidR="004D6A64" w:rsidRDefault="00506CD6">
            <w:pPr>
              <w:jc w:val="center"/>
              <w:textAlignment w:val="bottom"/>
            </w:pPr>
            <w:r>
              <w:rPr>
                <w:rFonts w:ascii="Times New Roman" w:eastAsia="宋体" w:hAnsi="Times New Roman"/>
                <w:color w:val="000000"/>
                <w:sz w:val="20"/>
                <w:szCs w:val="20"/>
              </w:rPr>
              <w:t> </w:t>
            </w:r>
          </w:p>
        </w:tc>
        <w:tc>
          <w:tcPr>
            <w:tcW w:w="0" w:type="auto"/>
            <w:gridSpan w:val="15"/>
            <w:shd w:val="clear" w:color="auto" w:fill="auto"/>
            <w:tcMar>
              <w:top w:w="40" w:type="dxa"/>
              <w:left w:w="20" w:type="dxa"/>
              <w:bottom w:w="40" w:type="dxa"/>
              <w:right w:w="20" w:type="dxa"/>
            </w:tcMar>
            <w:vAlign w:val="bottom"/>
          </w:tcPr>
          <w:p w14:paraId="33DAA6B8"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shd w:val="clear" w:color="auto" w:fill="auto"/>
          </w:tcPr>
          <w:p w14:paraId="33DAA6B9" w14:textId="77777777" w:rsidR="004D6A64" w:rsidRDefault="004D6A64">
            <w:pPr>
              <w:rPr>
                <w:rFonts w:ascii="宋体"/>
                <w:vanish/>
              </w:rPr>
            </w:pPr>
          </w:p>
        </w:tc>
        <w:tc>
          <w:tcPr>
            <w:tcW w:w="0" w:type="auto"/>
            <w:gridSpan w:val="3"/>
            <w:shd w:val="clear" w:color="auto" w:fill="auto"/>
          </w:tcPr>
          <w:p w14:paraId="33DAA6BA" w14:textId="77777777" w:rsidR="004D6A64" w:rsidRDefault="004D6A64">
            <w:pPr>
              <w:rPr>
                <w:rFonts w:ascii="宋体"/>
                <w:vanish/>
              </w:rPr>
            </w:pPr>
          </w:p>
        </w:tc>
        <w:tc>
          <w:tcPr>
            <w:tcW w:w="0" w:type="auto"/>
            <w:gridSpan w:val="3"/>
            <w:shd w:val="clear" w:color="auto" w:fill="auto"/>
          </w:tcPr>
          <w:p w14:paraId="33DAA6BB" w14:textId="77777777" w:rsidR="004D6A64" w:rsidRDefault="004D6A64">
            <w:pPr>
              <w:rPr>
                <w:rFonts w:ascii="宋体"/>
                <w:vanish/>
              </w:rPr>
            </w:pPr>
          </w:p>
        </w:tc>
        <w:tc>
          <w:tcPr>
            <w:tcW w:w="0" w:type="auto"/>
            <w:gridSpan w:val="3"/>
            <w:shd w:val="clear" w:color="auto" w:fill="auto"/>
          </w:tcPr>
          <w:p w14:paraId="33DAA6BC"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A6BD" w14:textId="77777777" w:rsidR="004D6A64" w:rsidRDefault="004D6A64">
            <w:pPr>
              <w:rPr>
                <w:rFonts w:ascii="宋体"/>
              </w:rPr>
            </w:pPr>
          </w:p>
        </w:tc>
        <w:tc>
          <w:tcPr>
            <w:tcW w:w="0" w:type="auto"/>
            <w:gridSpan w:val="15"/>
            <w:shd w:val="clear" w:color="auto" w:fill="auto"/>
            <w:tcMar>
              <w:top w:w="40" w:type="dxa"/>
              <w:left w:w="20" w:type="dxa"/>
              <w:bottom w:w="40" w:type="dxa"/>
              <w:right w:w="20" w:type="dxa"/>
            </w:tcMar>
            <w:vAlign w:val="bottom"/>
          </w:tcPr>
          <w:p w14:paraId="33DAA6BE" w14:textId="77777777" w:rsidR="004D6A64" w:rsidRDefault="00506CD6">
            <w:pPr>
              <w:jc w:val="center"/>
              <w:textAlignment w:val="bottom"/>
            </w:pPr>
            <w:r>
              <w:rPr>
                <w:rFonts w:ascii="Times New Roman" w:eastAsia="宋体" w:hAnsi="Times New Roman"/>
                <w:b/>
                <w:bCs/>
                <w:color w:val="000000"/>
                <w:sz w:val="20"/>
                <w:szCs w:val="20"/>
              </w:rPr>
              <w:t>January 31, 2020</w:t>
            </w:r>
          </w:p>
        </w:tc>
        <w:tc>
          <w:tcPr>
            <w:tcW w:w="0" w:type="auto"/>
            <w:gridSpan w:val="3"/>
            <w:shd w:val="clear" w:color="auto" w:fill="auto"/>
          </w:tcPr>
          <w:p w14:paraId="33DAA6BF" w14:textId="77777777" w:rsidR="004D6A64" w:rsidRDefault="004D6A64">
            <w:pPr>
              <w:rPr>
                <w:rFonts w:ascii="宋体"/>
                <w:vanish/>
              </w:rPr>
            </w:pPr>
          </w:p>
        </w:tc>
        <w:tc>
          <w:tcPr>
            <w:tcW w:w="0" w:type="auto"/>
            <w:gridSpan w:val="3"/>
            <w:shd w:val="clear" w:color="auto" w:fill="auto"/>
          </w:tcPr>
          <w:p w14:paraId="33DAA6C0" w14:textId="77777777" w:rsidR="004D6A64" w:rsidRDefault="004D6A64">
            <w:pPr>
              <w:rPr>
                <w:rFonts w:ascii="宋体"/>
                <w:vanish/>
              </w:rPr>
            </w:pPr>
          </w:p>
        </w:tc>
        <w:tc>
          <w:tcPr>
            <w:tcW w:w="0" w:type="auto"/>
            <w:gridSpan w:val="3"/>
            <w:shd w:val="clear" w:color="auto" w:fill="auto"/>
          </w:tcPr>
          <w:p w14:paraId="33DAA6C1" w14:textId="77777777" w:rsidR="004D6A64" w:rsidRDefault="004D6A64">
            <w:pPr>
              <w:rPr>
                <w:rFonts w:ascii="宋体"/>
                <w:vanish/>
              </w:rPr>
            </w:pPr>
          </w:p>
        </w:tc>
        <w:tc>
          <w:tcPr>
            <w:tcW w:w="0" w:type="auto"/>
            <w:gridSpan w:val="3"/>
            <w:shd w:val="clear" w:color="auto" w:fill="auto"/>
          </w:tcPr>
          <w:p w14:paraId="33DAA6C2" w14:textId="77777777" w:rsidR="004D6A64" w:rsidRDefault="004D6A64">
            <w:pPr>
              <w:rPr>
                <w:rFonts w:ascii="宋体"/>
                <w:vanish/>
              </w:rPr>
            </w:pPr>
          </w:p>
        </w:tc>
      </w:tr>
      <w:tr w:rsidR="004D6A64" w14:paraId="33DAA6E8" w14:textId="77777777">
        <w:trPr>
          <w:gridAfter w:val="3"/>
        </w:trPr>
        <w:tc>
          <w:tcPr>
            <w:tcW w:w="0" w:type="auto"/>
            <w:gridSpan w:val="3"/>
            <w:shd w:val="clear" w:color="auto" w:fill="auto"/>
            <w:tcMar>
              <w:left w:w="20" w:type="dxa"/>
              <w:right w:w="20" w:type="dxa"/>
            </w:tcMar>
            <w:vAlign w:val="bottom"/>
          </w:tcPr>
          <w:p w14:paraId="33DAA6C4"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A6C5" w14:textId="77777777" w:rsidR="004D6A64" w:rsidRDefault="00506CD6">
            <w:pPr>
              <w:jc w:val="center"/>
              <w:textAlignment w:val="bottom"/>
            </w:pPr>
            <w:r>
              <w:rPr>
                <w:rFonts w:ascii="Times New Roman" w:eastAsia="宋体" w:hAnsi="Times New Roman"/>
                <w:b/>
                <w:bCs/>
                <w:color w:val="000000"/>
                <w:sz w:val="20"/>
                <w:szCs w:val="20"/>
              </w:rPr>
              <w:t>Revolving</w:t>
            </w:r>
          </w:p>
        </w:tc>
        <w:tc>
          <w:tcPr>
            <w:tcW w:w="0" w:type="auto"/>
            <w:gridSpan w:val="3"/>
            <w:tcBorders>
              <w:top w:val="single" w:sz="8" w:space="0" w:color="000000"/>
            </w:tcBorders>
            <w:shd w:val="clear" w:color="auto" w:fill="auto"/>
            <w:tcMar>
              <w:left w:w="20" w:type="dxa"/>
              <w:right w:w="20" w:type="dxa"/>
            </w:tcMar>
            <w:vAlign w:val="bottom"/>
          </w:tcPr>
          <w:p w14:paraId="33DAA6C6"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6C7" w14:textId="77777777" w:rsidR="004D6A64" w:rsidRDefault="00506CD6">
            <w:pPr>
              <w:jc w:val="center"/>
              <w:textAlignment w:val="bottom"/>
            </w:pPr>
            <w:r>
              <w:rPr>
                <w:rFonts w:ascii="Times New Roman" w:eastAsia="宋体" w:hAnsi="Times New Roman"/>
                <w:b/>
                <w:bCs/>
                <w:color w:val="000000"/>
                <w:sz w:val="20"/>
                <w:szCs w:val="20"/>
              </w:rPr>
              <w:t>Fixed-term</w:t>
            </w:r>
          </w:p>
        </w:tc>
        <w:tc>
          <w:tcPr>
            <w:tcW w:w="0" w:type="auto"/>
            <w:gridSpan w:val="3"/>
            <w:tcBorders>
              <w:top w:val="single" w:sz="8" w:space="0" w:color="000000"/>
            </w:tcBorders>
            <w:shd w:val="clear" w:color="auto" w:fill="auto"/>
            <w:tcMar>
              <w:left w:w="20" w:type="dxa"/>
              <w:right w:w="20" w:type="dxa"/>
            </w:tcMar>
            <w:vAlign w:val="bottom"/>
          </w:tcPr>
          <w:p w14:paraId="33DAA6C8"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6C9" w14:textId="77777777" w:rsidR="004D6A64" w:rsidRDefault="00506CD6">
            <w:pPr>
              <w:jc w:val="center"/>
              <w:textAlignment w:val="bottom"/>
            </w:pPr>
            <w:r>
              <w:rPr>
                <w:rFonts w:ascii="Times New Roman" w:eastAsia="宋体" w:hAnsi="Times New Roman"/>
                <w:b/>
                <w:bCs/>
                <w:color w:val="000000"/>
                <w:sz w:val="20"/>
                <w:szCs w:val="20"/>
              </w:rPr>
              <w:t>Total</w:t>
            </w:r>
          </w:p>
        </w:tc>
        <w:tc>
          <w:tcPr>
            <w:tcW w:w="0" w:type="auto"/>
            <w:gridSpan w:val="3"/>
            <w:shd w:val="clear" w:color="auto" w:fill="auto"/>
            <w:tcMar>
              <w:left w:w="20" w:type="dxa"/>
              <w:right w:w="20" w:type="dxa"/>
            </w:tcMar>
            <w:vAlign w:val="bottom"/>
          </w:tcPr>
          <w:p w14:paraId="33DAA6CA"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6CB" w14:textId="77777777" w:rsidR="004D6A64" w:rsidRDefault="00506CD6">
            <w:pPr>
              <w:jc w:val="center"/>
              <w:textAlignment w:val="bottom"/>
            </w:pPr>
            <w:r>
              <w:rPr>
                <w:rFonts w:ascii="Times New Roman" w:eastAsia="宋体" w:hAnsi="Times New Roman"/>
                <w:b/>
                <w:bCs/>
                <w:color w:val="000000"/>
                <w:sz w:val="20"/>
                <w:szCs w:val="20"/>
              </w:rPr>
              <w:t>Revolving</w:t>
            </w:r>
          </w:p>
        </w:tc>
        <w:tc>
          <w:tcPr>
            <w:tcW w:w="0" w:type="auto"/>
            <w:gridSpan w:val="3"/>
            <w:tcBorders>
              <w:top w:val="single" w:sz="8" w:space="0" w:color="000000"/>
            </w:tcBorders>
            <w:shd w:val="clear" w:color="auto" w:fill="auto"/>
            <w:tcMar>
              <w:left w:w="20" w:type="dxa"/>
              <w:right w:w="20" w:type="dxa"/>
            </w:tcMar>
            <w:vAlign w:val="bottom"/>
          </w:tcPr>
          <w:p w14:paraId="33DAA6CC"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6CD" w14:textId="77777777" w:rsidR="004D6A64" w:rsidRDefault="00506CD6">
            <w:pPr>
              <w:jc w:val="center"/>
              <w:textAlignment w:val="bottom"/>
            </w:pPr>
            <w:r>
              <w:rPr>
                <w:rFonts w:ascii="Times New Roman" w:eastAsia="宋体" w:hAnsi="Times New Roman"/>
                <w:b/>
                <w:bCs/>
                <w:color w:val="000000"/>
                <w:sz w:val="20"/>
                <w:szCs w:val="20"/>
              </w:rPr>
              <w:t>Fixed-term</w:t>
            </w:r>
          </w:p>
        </w:tc>
        <w:tc>
          <w:tcPr>
            <w:tcW w:w="0" w:type="auto"/>
            <w:gridSpan w:val="3"/>
            <w:tcBorders>
              <w:top w:val="single" w:sz="8" w:space="0" w:color="000000"/>
            </w:tcBorders>
            <w:shd w:val="clear" w:color="auto" w:fill="auto"/>
            <w:tcMar>
              <w:left w:w="20" w:type="dxa"/>
              <w:right w:w="20" w:type="dxa"/>
            </w:tcMar>
            <w:vAlign w:val="bottom"/>
          </w:tcPr>
          <w:p w14:paraId="33DAA6CE"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6CF" w14:textId="77777777" w:rsidR="004D6A64" w:rsidRDefault="00506CD6">
            <w:pPr>
              <w:jc w:val="center"/>
              <w:textAlignment w:val="bottom"/>
            </w:pPr>
            <w:r>
              <w:rPr>
                <w:rFonts w:ascii="Times New Roman" w:eastAsia="宋体" w:hAnsi="Times New Roman"/>
                <w:b/>
                <w:bCs/>
                <w:color w:val="000000"/>
                <w:sz w:val="20"/>
                <w:szCs w:val="20"/>
              </w:rPr>
              <w:t>Total</w:t>
            </w:r>
          </w:p>
        </w:tc>
        <w:tc>
          <w:tcPr>
            <w:tcW w:w="0" w:type="auto"/>
            <w:shd w:val="clear" w:color="auto" w:fill="auto"/>
          </w:tcPr>
          <w:p w14:paraId="33DAA6D0" w14:textId="77777777" w:rsidR="004D6A64" w:rsidRDefault="004D6A64">
            <w:pPr>
              <w:rPr>
                <w:rFonts w:ascii="宋体"/>
              </w:rPr>
            </w:pPr>
          </w:p>
        </w:tc>
        <w:tc>
          <w:tcPr>
            <w:tcW w:w="0" w:type="auto"/>
            <w:shd w:val="clear" w:color="auto" w:fill="auto"/>
          </w:tcPr>
          <w:p w14:paraId="33DAA6D1" w14:textId="77777777" w:rsidR="004D6A64" w:rsidRDefault="004D6A64">
            <w:pPr>
              <w:rPr>
                <w:rFonts w:ascii="宋体"/>
              </w:rPr>
            </w:pPr>
          </w:p>
        </w:tc>
        <w:tc>
          <w:tcPr>
            <w:tcW w:w="0" w:type="auto"/>
            <w:shd w:val="clear" w:color="auto" w:fill="auto"/>
          </w:tcPr>
          <w:p w14:paraId="33DAA6D2" w14:textId="77777777" w:rsidR="004D6A64" w:rsidRDefault="004D6A64">
            <w:pPr>
              <w:rPr>
                <w:rFonts w:ascii="宋体"/>
              </w:rPr>
            </w:pPr>
          </w:p>
        </w:tc>
        <w:tc>
          <w:tcPr>
            <w:tcW w:w="0" w:type="auto"/>
            <w:shd w:val="clear" w:color="auto" w:fill="auto"/>
          </w:tcPr>
          <w:p w14:paraId="33DAA6D3" w14:textId="77777777" w:rsidR="004D6A64" w:rsidRDefault="004D6A64">
            <w:pPr>
              <w:rPr>
                <w:rFonts w:ascii="宋体"/>
              </w:rPr>
            </w:pPr>
          </w:p>
        </w:tc>
        <w:tc>
          <w:tcPr>
            <w:tcW w:w="0" w:type="auto"/>
            <w:shd w:val="clear" w:color="auto" w:fill="auto"/>
          </w:tcPr>
          <w:p w14:paraId="33DAA6D4" w14:textId="77777777" w:rsidR="004D6A64" w:rsidRDefault="004D6A64">
            <w:pPr>
              <w:rPr>
                <w:rFonts w:ascii="宋体"/>
              </w:rPr>
            </w:pPr>
          </w:p>
        </w:tc>
        <w:tc>
          <w:tcPr>
            <w:tcW w:w="0" w:type="auto"/>
            <w:shd w:val="clear" w:color="auto" w:fill="auto"/>
          </w:tcPr>
          <w:p w14:paraId="33DAA6D5" w14:textId="77777777" w:rsidR="004D6A64" w:rsidRDefault="004D6A64">
            <w:pPr>
              <w:rPr>
                <w:rFonts w:ascii="宋体"/>
              </w:rPr>
            </w:pPr>
          </w:p>
        </w:tc>
        <w:tc>
          <w:tcPr>
            <w:tcW w:w="0" w:type="auto"/>
            <w:shd w:val="clear" w:color="auto" w:fill="auto"/>
          </w:tcPr>
          <w:p w14:paraId="33DAA6D6" w14:textId="77777777" w:rsidR="004D6A64" w:rsidRDefault="004D6A64">
            <w:pPr>
              <w:rPr>
                <w:rFonts w:ascii="宋体"/>
              </w:rPr>
            </w:pPr>
          </w:p>
        </w:tc>
        <w:tc>
          <w:tcPr>
            <w:tcW w:w="0" w:type="auto"/>
            <w:shd w:val="clear" w:color="auto" w:fill="auto"/>
          </w:tcPr>
          <w:p w14:paraId="33DAA6D7" w14:textId="77777777" w:rsidR="004D6A64" w:rsidRDefault="004D6A64">
            <w:pPr>
              <w:rPr>
                <w:rFonts w:ascii="宋体"/>
              </w:rPr>
            </w:pPr>
          </w:p>
        </w:tc>
        <w:tc>
          <w:tcPr>
            <w:tcW w:w="0" w:type="auto"/>
            <w:shd w:val="clear" w:color="auto" w:fill="auto"/>
          </w:tcPr>
          <w:p w14:paraId="33DAA6D8" w14:textId="77777777" w:rsidR="004D6A64" w:rsidRDefault="004D6A64">
            <w:pPr>
              <w:rPr>
                <w:rFonts w:ascii="宋体"/>
              </w:rPr>
            </w:pPr>
          </w:p>
        </w:tc>
        <w:tc>
          <w:tcPr>
            <w:tcW w:w="0" w:type="auto"/>
            <w:shd w:val="clear" w:color="auto" w:fill="auto"/>
          </w:tcPr>
          <w:p w14:paraId="33DAA6D9" w14:textId="77777777" w:rsidR="004D6A64" w:rsidRDefault="004D6A64">
            <w:pPr>
              <w:rPr>
                <w:rFonts w:ascii="宋体"/>
              </w:rPr>
            </w:pPr>
          </w:p>
        </w:tc>
        <w:tc>
          <w:tcPr>
            <w:tcW w:w="0" w:type="auto"/>
            <w:shd w:val="clear" w:color="auto" w:fill="auto"/>
          </w:tcPr>
          <w:p w14:paraId="33DAA6DA" w14:textId="77777777" w:rsidR="004D6A64" w:rsidRDefault="004D6A64">
            <w:pPr>
              <w:rPr>
                <w:rFonts w:ascii="宋体"/>
              </w:rPr>
            </w:pPr>
          </w:p>
        </w:tc>
        <w:tc>
          <w:tcPr>
            <w:tcW w:w="0" w:type="auto"/>
            <w:shd w:val="clear" w:color="auto" w:fill="auto"/>
          </w:tcPr>
          <w:p w14:paraId="33DAA6DB" w14:textId="77777777" w:rsidR="004D6A64" w:rsidRDefault="004D6A64">
            <w:pPr>
              <w:rPr>
                <w:rFonts w:ascii="宋体"/>
              </w:rPr>
            </w:pPr>
          </w:p>
        </w:tc>
        <w:tc>
          <w:tcPr>
            <w:tcW w:w="0" w:type="auto"/>
            <w:shd w:val="clear" w:color="auto" w:fill="auto"/>
          </w:tcPr>
          <w:p w14:paraId="33DAA6DC" w14:textId="77777777" w:rsidR="004D6A64" w:rsidRDefault="004D6A64">
            <w:pPr>
              <w:rPr>
                <w:rFonts w:ascii="宋体"/>
              </w:rPr>
            </w:pPr>
          </w:p>
        </w:tc>
        <w:tc>
          <w:tcPr>
            <w:tcW w:w="0" w:type="auto"/>
            <w:shd w:val="clear" w:color="auto" w:fill="auto"/>
          </w:tcPr>
          <w:p w14:paraId="33DAA6DD" w14:textId="77777777" w:rsidR="004D6A64" w:rsidRDefault="004D6A64">
            <w:pPr>
              <w:rPr>
                <w:rFonts w:ascii="宋体"/>
              </w:rPr>
            </w:pPr>
          </w:p>
        </w:tc>
        <w:tc>
          <w:tcPr>
            <w:tcW w:w="0" w:type="auto"/>
            <w:shd w:val="clear" w:color="auto" w:fill="auto"/>
          </w:tcPr>
          <w:p w14:paraId="33DAA6DE" w14:textId="77777777" w:rsidR="004D6A64" w:rsidRDefault="004D6A64">
            <w:pPr>
              <w:rPr>
                <w:rFonts w:ascii="宋体"/>
              </w:rPr>
            </w:pPr>
          </w:p>
        </w:tc>
        <w:tc>
          <w:tcPr>
            <w:tcW w:w="0" w:type="auto"/>
            <w:shd w:val="clear" w:color="auto" w:fill="auto"/>
          </w:tcPr>
          <w:p w14:paraId="33DAA6DF" w14:textId="77777777" w:rsidR="004D6A64" w:rsidRDefault="004D6A64">
            <w:pPr>
              <w:rPr>
                <w:rFonts w:ascii="宋体"/>
              </w:rPr>
            </w:pPr>
          </w:p>
        </w:tc>
        <w:tc>
          <w:tcPr>
            <w:tcW w:w="0" w:type="auto"/>
            <w:shd w:val="clear" w:color="auto" w:fill="auto"/>
          </w:tcPr>
          <w:p w14:paraId="33DAA6E0" w14:textId="77777777" w:rsidR="004D6A64" w:rsidRDefault="004D6A64">
            <w:pPr>
              <w:rPr>
                <w:rFonts w:ascii="宋体"/>
              </w:rPr>
            </w:pPr>
          </w:p>
        </w:tc>
        <w:tc>
          <w:tcPr>
            <w:tcW w:w="0" w:type="auto"/>
            <w:shd w:val="clear" w:color="auto" w:fill="auto"/>
          </w:tcPr>
          <w:p w14:paraId="33DAA6E1" w14:textId="77777777" w:rsidR="004D6A64" w:rsidRDefault="004D6A64">
            <w:pPr>
              <w:rPr>
                <w:rFonts w:ascii="宋体"/>
              </w:rPr>
            </w:pPr>
          </w:p>
        </w:tc>
        <w:tc>
          <w:tcPr>
            <w:tcW w:w="0" w:type="auto"/>
            <w:shd w:val="clear" w:color="auto" w:fill="auto"/>
          </w:tcPr>
          <w:p w14:paraId="33DAA6E2" w14:textId="77777777" w:rsidR="004D6A64" w:rsidRDefault="004D6A64">
            <w:pPr>
              <w:rPr>
                <w:rFonts w:ascii="宋体"/>
              </w:rPr>
            </w:pPr>
          </w:p>
        </w:tc>
        <w:tc>
          <w:tcPr>
            <w:tcW w:w="0" w:type="auto"/>
            <w:shd w:val="clear" w:color="auto" w:fill="auto"/>
          </w:tcPr>
          <w:p w14:paraId="33DAA6E3" w14:textId="77777777" w:rsidR="004D6A64" w:rsidRDefault="004D6A64">
            <w:pPr>
              <w:rPr>
                <w:rFonts w:ascii="宋体"/>
              </w:rPr>
            </w:pPr>
          </w:p>
        </w:tc>
        <w:tc>
          <w:tcPr>
            <w:tcW w:w="0" w:type="auto"/>
            <w:shd w:val="clear" w:color="auto" w:fill="auto"/>
          </w:tcPr>
          <w:p w14:paraId="33DAA6E4" w14:textId="77777777" w:rsidR="004D6A64" w:rsidRDefault="004D6A64">
            <w:pPr>
              <w:rPr>
                <w:rFonts w:ascii="宋体"/>
              </w:rPr>
            </w:pPr>
          </w:p>
        </w:tc>
        <w:tc>
          <w:tcPr>
            <w:tcW w:w="0" w:type="auto"/>
            <w:shd w:val="clear" w:color="auto" w:fill="auto"/>
          </w:tcPr>
          <w:p w14:paraId="33DAA6E5" w14:textId="77777777" w:rsidR="004D6A64" w:rsidRDefault="004D6A64">
            <w:pPr>
              <w:rPr>
                <w:rFonts w:ascii="宋体"/>
              </w:rPr>
            </w:pPr>
          </w:p>
        </w:tc>
        <w:tc>
          <w:tcPr>
            <w:tcW w:w="0" w:type="auto"/>
            <w:shd w:val="clear" w:color="auto" w:fill="auto"/>
          </w:tcPr>
          <w:p w14:paraId="33DAA6E6" w14:textId="77777777" w:rsidR="004D6A64" w:rsidRDefault="004D6A64">
            <w:pPr>
              <w:rPr>
                <w:rFonts w:ascii="宋体"/>
              </w:rPr>
            </w:pPr>
          </w:p>
        </w:tc>
        <w:tc>
          <w:tcPr>
            <w:tcW w:w="0" w:type="auto"/>
            <w:shd w:val="clear" w:color="auto" w:fill="auto"/>
          </w:tcPr>
          <w:p w14:paraId="33DAA6E7" w14:textId="77777777" w:rsidR="004D6A64" w:rsidRDefault="004D6A64">
            <w:pPr>
              <w:rPr>
                <w:rFonts w:ascii="宋体"/>
              </w:rPr>
            </w:pPr>
          </w:p>
        </w:tc>
      </w:tr>
      <w:tr w:rsidR="004D6A64" w14:paraId="33DAA6F5" w14:textId="77777777">
        <w:tc>
          <w:tcPr>
            <w:tcW w:w="0" w:type="auto"/>
            <w:gridSpan w:val="3"/>
            <w:shd w:val="clear" w:color="auto" w:fill="auto"/>
            <w:tcMar>
              <w:top w:w="40" w:type="dxa"/>
              <w:left w:w="20" w:type="dxa"/>
              <w:bottom w:w="40" w:type="dxa"/>
              <w:right w:w="20" w:type="dxa"/>
            </w:tcMar>
            <w:vAlign w:val="center"/>
          </w:tcPr>
          <w:p w14:paraId="33DAA6E9" w14:textId="77777777" w:rsidR="004D6A64" w:rsidRDefault="00506CD6">
            <w:pPr>
              <w:jc w:val="center"/>
              <w:textAlignment w:val="center"/>
            </w:pPr>
            <w:r>
              <w:rPr>
                <w:rFonts w:ascii="Times New Roman" w:eastAsia="宋体" w:hAnsi="Times New Roman"/>
                <w:color w:val="000000"/>
                <w:sz w:val="20"/>
                <w:szCs w:val="20"/>
              </w:rPr>
              <w:t> </w:t>
            </w:r>
          </w:p>
        </w:tc>
        <w:tc>
          <w:tcPr>
            <w:tcW w:w="0" w:type="auto"/>
            <w:gridSpan w:val="33"/>
            <w:tcBorders>
              <w:top w:val="single" w:sz="8" w:space="0" w:color="000000"/>
            </w:tcBorders>
            <w:shd w:val="clear" w:color="auto" w:fill="auto"/>
            <w:tcMar>
              <w:top w:w="40" w:type="dxa"/>
              <w:left w:w="20" w:type="dxa"/>
              <w:bottom w:w="40" w:type="dxa"/>
              <w:right w:w="20" w:type="dxa"/>
            </w:tcMar>
            <w:vAlign w:val="center"/>
          </w:tcPr>
          <w:p w14:paraId="33DAA6EA" w14:textId="77777777" w:rsidR="004D6A64" w:rsidRDefault="00506CD6">
            <w:pPr>
              <w:jc w:val="center"/>
              <w:textAlignment w:val="center"/>
            </w:pPr>
            <w:r>
              <w:rPr>
                <w:rFonts w:ascii="Times New Roman" w:eastAsia="宋体" w:hAnsi="Times New Roman"/>
                <w:color w:val="000000"/>
                <w:sz w:val="20"/>
                <w:szCs w:val="20"/>
              </w:rPr>
              <w:t>(in millions)</w:t>
            </w:r>
          </w:p>
        </w:tc>
        <w:tc>
          <w:tcPr>
            <w:tcW w:w="0" w:type="auto"/>
            <w:gridSpan w:val="3"/>
            <w:shd w:val="clear" w:color="auto" w:fill="auto"/>
          </w:tcPr>
          <w:p w14:paraId="33DAA6EB" w14:textId="77777777" w:rsidR="004D6A64" w:rsidRDefault="004D6A64">
            <w:pPr>
              <w:rPr>
                <w:rFonts w:ascii="宋体"/>
                <w:vanish/>
              </w:rPr>
            </w:pPr>
          </w:p>
        </w:tc>
        <w:tc>
          <w:tcPr>
            <w:tcW w:w="0" w:type="auto"/>
            <w:gridSpan w:val="3"/>
            <w:shd w:val="clear" w:color="auto" w:fill="auto"/>
          </w:tcPr>
          <w:p w14:paraId="33DAA6EC" w14:textId="77777777" w:rsidR="004D6A64" w:rsidRDefault="004D6A64">
            <w:pPr>
              <w:rPr>
                <w:rFonts w:ascii="宋体"/>
                <w:vanish/>
              </w:rPr>
            </w:pPr>
          </w:p>
        </w:tc>
        <w:tc>
          <w:tcPr>
            <w:tcW w:w="0" w:type="auto"/>
            <w:gridSpan w:val="3"/>
            <w:shd w:val="clear" w:color="auto" w:fill="auto"/>
          </w:tcPr>
          <w:p w14:paraId="33DAA6ED" w14:textId="77777777" w:rsidR="004D6A64" w:rsidRDefault="004D6A64">
            <w:pPr>
              <w:rPr>
                <w:rFonts w:ascii="宋体"/>
                <w:vanish/>
              </w:rPr>
            </w:pPr>
          </w:p>
        </w:tc>
        <w:tc>
          <w:tcPr>
            <w:tcW w:w="0" w:type="auto"/>
            <w:gridSpan w:val="3"/>
            <w:shd w:val="clear" w:color="auto" w:fill="auto"/>
          </w:tcPr>
          <w:p w14:paraId="33DAA6EE" w14:textId="77777777" w:rsidR="004D6A64" w:rsidRDefault="004D6A64">
            <w:pPr>
              <w:rPr>
                <w:rFonts w:ascii="宋体"/>
                <w:vanish/>
              </w:rPr>
            </w:pPr>
          </w:p>
        </w:tc>
        <w:tc>
          <w:tcPr>
            <w:tcW w:w="0" w:type="auto"/>
            <w:gridSpan w:val="3"/>
            <w:shd w:val="clear" w:color="auto" w:fill="auto"/>
          </w:tcPr>
          <w:p w14:paraId="33DAA6EF" w14:textId="77777777" w:rsidR="004D6A64" w:rsidRDefault="004D6A64">
            <w:pPr>
              <w:rPr>
                <w:rFonts w:ascii="宋体"/>
                <w:vanish/>
              </w:rPr>
            </w:pPr>
          </w:p>
        </w:tc>
        <w:tc>
          <w:tcPr>
            <w:tcW w:w="0" w:type="auto"/>
            <w:gridSpan w:val="3"/>
            <w:shd w:val="clear" w:color="auto" w:fill="auto"/>
          </w:tcPr>
          <w:p w14:paraId="33DAA6F0" w14:textId="77777777" w:rsidR="004D6A64" w:rsidRDefault="004D6A64">
            <w:pPr>
              <w:rPr>
                <w:rFonts w:ascii="宋体"/>
                <w:vanish/>
              </w:rPr>
            </w:pPr>
          </w:p>
        </w:tc>
        <w:tc>
          <w:tcPr>
            <w:tcW w:w="0" w:type="auto"/>
            <w:gridSpan w:val="3"/>
            <w:shd w:val="clear" w:color="auto" w:fill="auto"/>
          </w:tcPr>
          <w:p w14:paraId="33DAA6F1" w14:textId="77777777" w:rsidR="004D6A64" w:rsidRDefault="004D6A64">
            <w:pPr>
              <w:rPr>
                <w:rFonts w:ascii="宋体"/>
                <w:vanish/>
              </w:rPr>
            </w:pPr>
          </w:p>
        </w:tc>
        <w:tc>
          <w:tcPr>
            <w:tcW w:w="0" w:type="auto"/>
            <w:gridSpan w:val="3"/>
            <w:shd w:val="clear" w:color="auto" w:fill="auto"/>
          </w:tcPr>
          <w:p w14:paraId="33DAA6F2" w14:textId="77777777" w:rsidR="004D6A64" w:rsidRDefault="004D6A64">
            <w:pPr>
              <w:rPr>
                <w:rFonts w:ascii="宋体"/>
                <w:vanish/>
              </w:rPr>
            </w:pPr>
          </w:p>
        </w:tc>
        <w:tc>
          <w:tcPr>
            <w:tcW w:w="0" w:type="auto"/>
            <w:gridSpan w:val="2"/>
            <w:shd w:val="clear" w:color="auto" w:fill="auto"/>
          </w:tcPr>
          <w:p w14:paraId="33DAA6F3" w14:textId="77777777" w:rsidR="004D6A64" w:rsidRDefault="004D6A64">
            <w:pPr>
              <w:rPr>
                <w:rFonts w:ascii="宋体"/>
                <w:vanish/>
              </w:rPr>
            </w:pPr>
          </w:p>
        </w:tc>
        <w:tc>
          <w:tcPr>
            <w:tcW w:w="0" w:type="auto"/>
            <w:shd w:val="clear" w:color="auto" w:fill="auto"/>
          </w:tcPr>
          <w:p w14:paraId="33DAA6F4" w14:textId="77777777" w:rsidR="004D6A64" w:rsidRDefault="004D6A64">
            <w:pPr>
              <w:rPr>
                <w:rFonts w:ascii="宋体"/>
                <w:vanish/>
              </w:rPr>
            </w:pPr>
          </w:p>
        </w:tc>
      </w:tr>
      <w:tr w:rsidR="004D6A64" w14:paraId="33DAA71D" w14:textId="77777777">
        <w:tc>
          <w:tcPr>
            <w:tcW w:w="0" w:type="auto"/>
            <w:gridSpan w:val="3"/>
            <w:shd w:val="clear" w:color="auto" w:fill="CCEEFF"/>
            <w:tcMar>
              <w:top w:w="40" w:type="dxa"/>
              <w:left w:w="20" w:type="dxa"/>
              <w:bottom w:w="40" w:type="dxa"/>
              <w:right w:w="20" w:type="dxa"/>
            </w:tcMar>
            <w:vAlign w:val="center"/>
          </w:tcPr>
          <w:p w14:paraId="33DAA6F6" w14:textId="77777777" w:rsidR="004D6A64" w:rsidRDefault="00506CD6">
            <w:pPr>
              <w:textAlignment w:val="center"/>
            </w:pPr>
            <w:r>
              <w:rPr>
                <w:rFonts w:ascii="Times New Roman" w:eastAsia="宋体" w:hAnsi="Times New Roman"/>
                <w:i/>
                <w:iCs/>
                <w:color w:val="000000"/>
                <w:sz w:val="20"/>
                <w:szCs w:val="20"/>
              </w:rPr>
              <w:t>Financing receivables, net:</w:t>
            </w:r>
          </w:p>
        </w:tc>
        <w:tc>
          <w:tcPr>
            <w:tcW w:w="0" w:type="auto"/>
            <w:gridSpan w:val="3"/>
            <w:shd w:val="clear" w:color="auto" w:fill="CCEEFF"/>
            <w:tcMar>
              <w:top w:w="40" w:type="dxa"/>
              <w:left w:w="20" w:type="dxa"/>
              <w:bottom w:w="40" w:type="dxa"/>
              <w:right w:w="20" w:type="dxa"/>
            </w:tcMar>
            <w:vAlign w:val="center"/>
          </w:tcPr>
          <w:p w14:paraId="33DAA6F7" w14:textId="77777777" w:rsidR="004D6A64" w:rsidRDefault="00506CD6">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left w:w="20" w:type="dxa"/>
              <w:right w:w="20" w:type="dxa"/>
            </w:tcMar>
            <w:vAlign w:val="bottom"/>
          </w:tcPr>
          <w:p w14:paraId="33DAA6F8" w14:textId="77777777" w:rsidR="004D6A64" w:rsidRDefault="004D6A64">
            <w:pPr>
              <w:rPr>
                <w:rFonts w:ascii="宋体"/>
              </w:rPr>
            </w:pPr>
          </w:p>
        </w:tc>
        <w:tc>
          <w:tcPr>
            <w:tcW w:w="0" w:type="auto"/>
            <w:gridSpan w:val="3"/>
            <w:shd w:val="clear" w:color="auto" w:fill="CCEEFF"/>
            <w:tcMar>
              <w:top w:w="40" w:type="dxa"/>
              <w:left w:w="20" w:type="dxa"/>
              <w:bottom w:w="40" w:type="dxa"/>
              <w:right w:w="20" w:type="dxa"/>
            </w:tcMar>
            <w:vAlign w:val="center"/>
          </w:tcPr>
          <w:p w14:paraId="33DAA6F9" w14:textId="77777777" w:rsidR="004D6A64" w:rsidRDefault="00506CD6">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left w:w="20" w:type="dxa"/>
              <w:right w:w="20" w:type="dxa"/>
            </w:tcMar>
            <w:vAlign w:val="bottom"/>
          </w:tcPr>
          <w:p w14:paraId="33DAA6FA"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A6FB"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A6F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A6F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A6FE"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A6FF"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A700"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A701" w14:textId="77777777" w:rsidR="004D6A64" w:rsidRDefault="004D6A64">
            <w:pPr>
              <w:rPr>
                <w:rFonts w:ascii="宋体"/>
              </w:rPr>
            </w:pPr>
          </w:p>
        </w:tc>
        <w:tc>
          <w:tcPr>
            <w:tcW w:w="0" w:type="auto"/>
            <w:shd w:val="clear" w:color="auto" w:fill="auto"/>
          </w:tcPr>
          <w:p w14:paraId="33DAA702" w14:textId="77777777" w:rsidR="004D6A64" w:rsidRDefault="004D6A64">
            <w:pPr>
              <w:rPr>
                <w:rFonts w:ascii="宋体"/>
              </w:rPr>
            </w:pPr>
          </w:p>
        </w:tc>
        <w:tc>
          <w:tcPr>
            <w:tcW w:w="0" w:type="auto"/>
            <w:shd w:val="clear" w:color="auto" w:fill="auto"/>
          </w:tcPr>
          <w:p w14:paraId="33DAA703" w14:textId="77777777" w:rsidR="004D6A64" w:rsidRDefault="004D6A64">
            <w:pPr>
              <w:rPr>
                <w:rFonts w:ascii="宋体"/>
              </w:rPr>
            </w:pPr>
          </w:p>
        </w:tc>
        <w:tc>
          <w:tcPr>
            <w:tcW w:w="0" w:type="auto"/>
            <w:shd w:val="clear" w:color="auto" w:fill="auto"/>
          </w:tcPr>
          <w:p w14:paraId="33DAA704" w14:textId="77777777" w:rsidR="004D6A64" w:rsidRDefault="004D6A64">
            <w:pPr>
              <w:rPr>
                <w:rFonts w:ascii="宋体"/>
              </w:rPr>
            </w:pPr>
          </w:p>
        </w:tc>
        <w:tc>
          <w:tcPr>
            <w:tcW w:w="0" w:type="auto"/>
            <w:shd w:val="clear" w:color="auto" w:fill="auto"/>
          </w:tcPr>
          <w:p w14:paraId="33DAA705" w14:textId="77777777" w:rsidR="004D6A64" w:rsidRDefault="004D6A64">
            <w:pPr>
              <w:rPr>
                <w:rFonts w:ascii="宋体"/>
              </w:rPr>
            </w:pPr>
          </w:p>
        </w:tc>
        <w:tc>
          <w:tcPr>
            <w:tcW w:w="0" w:type="auto"/>
            <w:shd w:val="clear" w:color="auto" w:fill="auto"/>
          </w:tcPr>
          <w:p w14:paraId="33DAA706" w14:textId="77777777" w:rsidR="004D6A64" w:rsidRDefault="004D6A64">
            <w:pPr>
              <w:rPr>
                <w:rFonts w:ascii="宋体"/>
              </w:rPr>
            </w:pPr>
          </w:p>
        </w:tc>
        <w:tc>
          <w:tcPr>
            <w:tcW w:w="0" w:type="auto"/>
            <w:shd w:val="clear" w:color="auto" w:fill="auto"/>
          </w:tcPr>
          <w:p w14:paraId="33DAA707" w14:textId="77777777" w:rsidR="004D6A64" w:rsidRDefault="004D6A64">
            <w:pPr>
              <w:rPr>
                <w:rFonts w:ascii="宋体"/>
              </w:rPr>
            </w:pPr>
          </w:p>
        </w:tc>
        <w:tc>
          <w:tcPr>
            <w:tcW w:w="0" w:type="auto"/>
            <w:shd w:val="clear" w:color="auto" w:fill="auto"/>
          </w:tcPr>
          <w:p w14:paraId="33DAA708" w14:textId="77777777" w:rsidR="004D6A64" w:rsidRDefault="004D6A64">
            <w:pPr>
              <w:rPr>
                <w:rFonts w:ascii="宋体"/>
              </w:rPr>
            </w:pPr>
          </w:p>
        </w:tc>
        <w:tc>
          <w:tcPr>
            <w:tcW w:w="0" w:type="auto"/>
            <w:shd w:val="clear" w:color="auto" w:fill="auto"/>
          </w:tcPr>
          <w:p w14:paraId="33DAA709" w14:textId="77777777" w:rsidR="004D6A64" w:rsidRDefault="004D6A64">
            <w:pPr>
              <w:rPr>
                <w:rFonts w:ascii="宋体"/>
              </w:rPr>
            </w:pPr>
          </w:p>
        </w:tc>
        <w:tc>
          <w:tcPr>
            <w:tcW w:w="0" w:type="auto"/>
            <w:shd w:val="clear" w:color="auto" w:fill="auto"/>
          </w:tcPr>
          <w:p w14:paraId="33DAA70A" w14:textId="77777777" w:rsidR="004D6A64" w:rsidRDefault="004D6A64">
            <w:pPr>
              <w:rPr>
                <w:rFonts w:ascii="宋体"/>
              </w:rPr>
            </w:pPr>
          </w:p>
        </w:tc>
        <w:tc>
          <w:tcPr>
            <w:tcW w:w="0" w:type="auto"/>
            <w:shd w:val="clear" w:color="auto" w:fill="auto"/>
          </w:tcPr>
          <w:p w14:paraId="33DAA70B" w14:textId="77777777" w:rsidR="004D6A64" w:rsidRDefault="004D6A64">
            <w:pPr>
              <w:rPr>
                <w:rFonts w:ascii="宋体"/>
              </w:rPr>
            </w:pPr>
          </w:p>
        </w:tc>
        <w:tc>
          <w:tcPr>
            <w:tcW w:w="0" w:type="auto"/>
            <w:shd w:val="clear" w:color="auto" w:fill="auto"/>
          </w:tcPr>
          <w:p w14:paraId="33DAA70C" w14:textId="77777777" w:rsidR="004D6A64" w:rsidRDefault="004D6A64">
            <w:pPr>
              <w:rPr>
                <w:rFonts w:ascii="宋体"/>
              </w:rPr>
            </w:pPr>
          </w:p>
        </w:tc>
        <w:tc>
          <w:tcPr>
            <w:tcW w:w="0" w:type="auto"/>
            <w:shd w:val="clear" w:color="auto" w:fill="auto"/>
          </w:tcPr>
          <w:p w14:paraId="33DAA70D" w14:textId="77777777" w:rsidR="004D6A64" w:rsidRDefault="004D6A64">
            <w:pPr>
              <w:rPr>
                <w:rFonts w:ascii="宋体"/>
              </w:rPr>
            </w:pPr>
          </w:p>
        </w:tc>
        <w:tc>
          <w:tcPr>
            <w:tcW w:w="0" w:type="auto"/>
            <w:shd w:val="clear" w:color="auto" w:fill="auto"/>
          </w:tcPr>
          <w:p w14:paraId="33DAA70E" w14:textId="77777777" w:rsidR="004D6A64" w:rsidRDefault="004D6A64">
            <w:pPr>
              <w:rPr>
                <w:rFonts w:ascii="宋体"/>
              </w:rPr>
            </w:pPr>
          </w:p>
        </w:tc>
        <w:tc>
          <w:tcPr>
            <w:tcW w:w="0" w:type="auto"/>
            <w:shd w:val="clear" w:color="auto" w:fill="auto"/>
          </w:tcPr>
          <w:p w14:paraId="33DAA70F" w14:textId="77777777" w:rsidR="004D6A64" w:rsidRDefault="004D6A64">
            <w:pPr>
              <w:rPr>
                <w:rFonts w:ascii="宋体"/>
              </w:rPr>
            </w:pPr>
          </w:p>
        </w:tc>
        <w:tc>
          <w:tcPr>
            <w:tcW w:w="0" w:type="auto"/>
            <w:shd w:val="clear" w:color="auto" w:fill="auto"/>
          </w:tcPr>
          <w:p w14:paraId="33DAA710" w14:textId="77777777" w:rsidR="004D6A64" w:rsidRDefault="004D6A64">
            <w:pPr>
              <w:rPr>
                <w:rFonts w:ascii="宋体"/>
              </w:rPr>
            </w:pPr>
          </w:p>
        </w:tc>
        <w:tc>
          <w:tcPr>
            <w:tcW w:w="0" w:type="auto"/>
            <w:shd w:val="clear" w:color="auto" w:fill="auto"/>
          </w:tcPr>
          <w:p w14:paraId="33DAA711" w14:textId="77777777" w:rsidR="004D6A64" w:rsidRDefault="004D6A64">
            <w:pPr>
              <w:rPr>
                <w:rFonts w:ascii="宋体"/>
              </w:rPr>
            </w:pPr>
          </w:p>
        </w:tc>
        <w:tc>
          <w:tcPr>
            <w:tcW w:w="0" w:type="auto"/>
            <w:shd w:val="clear" w:color="auto" w:fill="auto"/>
          </w:tcPr>
          <w:p w14:paraId="33DAA712" w14:textId="77777777" w:rsidR="004D6A64" w:rsidRDefault="004D6A64">
            <w:pPr>
              <w:rPr>
                <w:rFonts w:ascii="宋体"/>
              </w:rPr>
            </w:pPr>
          </w:p>
        </w:tc>
        <w:tc>
          <w:tcPr>
            <w:tcW w:w="0" w:type="auto"/>
            <w:shd w:val="clear" w:color="auto" w:fill="auto"/>
          </w:tcPr>
          <w:p w14:paraId="33DAA713" w14:textId="77777777" w:rsidR="004D6A64" w:rsidRDefault="004D6A64">
            <w:pPr>
              <w:rPr>
                <w:rFonts w:ascii="宋体"/>
              </w:rPr>
            </w:pPr>
          </w:p>
        </w:tc>
        <w:tc>
          <w:tcPr>
            <w:tcW w:w="0" w:type="auto"/>
            <w:shd w:val="clear" w:color="auto" w:fill="auto"/>
          </w:tcPr>
          <w:p w14:paraId="33DAA714" w14:textId="77777777" w:rsidR="004D6A64" w:rsidRDefault="004D6A64">
            <w:pPr>
              <w:rPr>
                <w:rFonts w:ascii="宋体"/>
              </w:rPr>
            </w:pPr>
          </w:p>
        </w:tc>
        <w:tc>
          <w:tcPr>
            <w:tcW w:w="0" w:type="auto"/>
            <w:shd w:val="clear" w:color="auto" w:fill="auto"/>
          </w:tcPr>
          <w:p w14:paraId="33DAA715" w14:textId="77777777" w:rsidR="004D6A64" w:rsidRDefault="004D6A64">
            <w:pPr>
              <w:rPr>
                <w:rFonts w:ascii="宋体"/>
              </w:rPr>
            </w:pPr>
          </w:p>
        </w:tc>
        <w:tc>
          <w:tcPr>
            <w:tcW w:w="0" w:type="auto"/>
            <w:shd w:val="clear" w:color="auto" w:fill="auto"/>
          </w:tcPr>
          <w:p w14:paraId="33DAA716" w14:textId="77777777" w:rsidR="004D6A64" w:rsidRDefault="004D6A64">
            <w:pPr>
              <w:rPr>
                <w:rFonts w:ascii="宋体"/>
              </w:rPr>
            </w:pPr>
          </w:p>
        </w:tc>
        <w:tc>
          <w:tcPr>
            <w:tcW w:w="0" w:type="auto"/>
            <w:shd w:val="clear" w:color="auto" w:fill="auto"/>
          </w:tcPr>
          <w:p w14:paraId="33DAA717" w14:textId="77777777" w:rsidR="004D6A64" w:rsidRDefault="004D6A64">
            <w:pPr>
              <w:rPr>
                <w:rFonts w:ascii="宋体"/>
              </w:rPr>
            </w:pPr>
          </w:p>
        </w:tc>
        <w:tc>
          <w:tcPr>
            <w:tcW w:w="0" w:type="auto"/>
            <w:shd w:val="clear" w:color="auto" w:fill="auto"/>
          </w:tcPr>
          <w:p w14:paraId="33DAA718" w14:textId="77777777" w:rsidR="004D6A64" w:rsidRDefault="004D6A64">
            <w:pPr>
              <w:rPr>
                <w:rFonts w:ascii="宋体"/>
              </w:rPr>
            </w:pPr>
          </w:p>
        </w:tc>
        <w:tc>
          <w:tcPr>
            <w:tcW w:w="0" w:type="auto"/>
            <w:shd w:val="clear" w:color="auto" w:fill="auto"/>
          </w:tcPr>
          <w:p w14:paraId="33DAA719" w14:textId="77777777" w:rsidR="004D6A64" w:rsidRDefault="004D6A64">
            <w:pPr>
              <w:rPr>
                <w:rFonts w:ascii="宋体"/>
              </w:rPr>
            </w:pPr>
          </w:p>
        </w:tc>
        <w:tc>
          <w:tcPr>
            <w:tcW w:w="0" w:type="auto"/>
            <w:shd w:val="clear" w:color="auto" w:fill="auto"/>
          </w:tcPr>
          <w:p w14:paraId="33DAA71A" w14:textId="77777777" w:rsidR="004D6A64" w:rsidRDefault="004D6A64">
            <w:pPr>
              <w:rPr>
                <w:rFonts w:ascii="宋体"/>
              </w:rPr>
            </w:pPr>
          </w:p>
        </w:tc>
        <w:tc>
          <w:tcPr>
            <w:tcW w:w="0" w:type="auto"/>
            <w:shd w:val="clear" w:color="auto" w:fill="auto"/>
          </w:tcPr>
          <w:p w14:paraId="33DAA71B" w14:textId="77777777" w:rsidR="004D6A64" w:rsidRDefault="004D6A64">
            <w:pPr>
              <w:rPr>
                <w:rFonts w:ascii="宋体"/>
              </w:rPr>
            </w:pPr>
          </w:p>
        </w:tc>
        <w:tc>
          <w:tcPr>
            <w:tcW w:w="0" w:type="auto"/>
            <w:shd w:val="clear" w:color="auto" w:fill="auto"/>
          </w:tcPr>
          <w:p w14:paraId="33DAA71C" w14:textId="77777777" w:rsidR="004D6A64" w:rsidRDefault="004D6A64">
            <w:pPr>
              <w:rPr>
                <w:rFonts w:ascii="宋体"/>
              </w:rPr>
            </w:pPr>
          </w:p>
        </w:tc>
      </w:tr>
      <w:tr w:rsidR="004D6A64" w14:paraId="33DAA751" w14:textId="77777777">
        <w:tc>
          <w:tcPr>
            <w:tcW w:w="0" w:type="auto"/>
            <w:gridSpan w:val="3"/>
            <w:shd w:val="clear" w:color="auto" w:fill="FFFFFF"/>
            <w:tcMar>
              <w:top w:w="40" w:type="dxa"/>
              <w:left w:w="120" w:type="dxa"/>
              <w:bottom w:w="40" w:type="dxa"/>
              <w:right w:w="20" w:type="dxa"/>
            </w:tcMar>
            <w:vAlign w:val="center"/>
          </w:tcPr>
          <w:p w14:paraId="33DAA71E" w14:textId="77777777" w:rsidR="004D6A64" w:rsidRDefault="00506CD6">
            <w:pPr>
              <w:textAlignment w:val="center"/>
            </w:pPr>
            <w:r>
              <w:rPr>
                <w:rFonts w:ascii="Times New Roman" w:eastAsia="宋体" w:hAnsi="Times New Roman"/>
                <w:color w:val="000000"/>
                <w:sz w:val="20"/>
                <w:szCs w:val="20"/>
              </w:rPr>
              <w:t>Customer receivables, gross (a)</w:t>
            </w:r>
          </w:p>
        </w:tc>
        <w:tc>
          <w:tcPr>
            <w:tcW w:w="0" w:type="auto"/>
            <w:shd w:val="clear" w:color="auto" w:fill="FFFFFF"/>
            <w:tcMar>
              <w:top w:w="40" w:type="dxa"/>
              <w:left w:w="20" w:type="dxa"/>
              <w:bottom w:w="40" w:type="dxa"/>
            </w:tcMar>
            <w:vAlign w:val="center"/>
          </w:tcPr>
          <w:p w14:paraId="33DAA71F"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720" w14:textId="77777777" w:rsidR="004D6A64" w:rsidRDefault="00506CD6">
            <w:pPr>
              <w:jc w:val="right"/>
              <w:textAlignment w:val="center"/>
            </w:pPr>
            <w:r>
              <w:rPr>
                <w:rFonts w:ascii="Times New Roman" w:eastAsia="宋体" w:hAnsi="Times New Roman"/>
                <w:color w:val="000000"/>
                <w:sz w:val="20"/>
                <w:szCs w:val="20"/>
              </w:rPr>
              <w:t>778 </w:t>
            </w:r>
          </w:p>
        </w:tc>
        <w:tc>
          <w:tcPr>
            <w:tcW w:w="0" w:type="auto"/>
            <w:shd w:val="clear" w:color="auto" w:fill="FFFFFF"/>
            <w:tcMar>
              <w:top w:w="40" w:type="dxa"/>
              <w:bottom w:w="40" w:type="dxa"/>
              <w:right w:w="20" w:type="dxa"/>
            </w:tcMar>
            <w:vAlign w:val="center"/>
          </w:tcPr>
          <w:p w14:paraId="33DAA72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722"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A723"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724" w14:textId="77777777" w:rsidR="004D6A64" w:rsidRDefault="00506CD6">
            <w:pPr>
              <w:jc w:val="right"/>
              <w:textAlignment w:val="center"/>
            </w:pPr>
            <w:r>
              <w:rPr>
                <w:rFonts w:ascii="Times New Roman" w:eastAsia="宋体" w:hAnsi="Times New Roman"/>
                <w:color w:val="000000"/>
                <w:sz w:val="20"/>
                <w:szCs w:val="20"/>
              </w:rPr>
              <w:t>9,255 </w:t>
            </w:r>
          </w:p>
        </w:tc>
        <w:tc>
          <w:tcPr>
            <w:tcW w:w="0" w:type="auto"/>
            <w:shd w:val="clear" w:color="auto" w:fill="FFFFFF"/>
            <w:tcMar>
              <w:top w:w="40" w:type="dxa"/>
              <w:bottom w:w="40" w:type="dxa"/>
              <w:right w:w="20" w:type="dxa"/>
            </w:tcMar>
            <w:vAlign w:val="center"/>
          </w:tcPr>
          <w:p w14:paraId="33DAA72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726"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A727"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728" w14:textId="77777777" w:rsidR="004D6A64" w:rsidRDefault="00506CD6">
            <w:pPr>
              <w:jc w:val="right"/>
              <w:textAlignment w:val="center"/>
            </w:pPr>
            <w:r>
              <w:rPr>
                <w:rFonts w:ascii="Times New Roman" w:eastAsia="宋体" w:hAnsi="Times New Roman"/>
                <w:color w:val="000000"/>
                <w:sz w:val="20"/>
                <w:szCs w:val="20"/>
              </w:rPr>
              <w:t>10,033 </w:t>
            </w:r>
          </w:p>
        </w:tc>
        <w:tc>
          <w:tcPr>
            <w:tcW w:w="0" w:type="auto"/>
            <w:shd w:val="clear" w:color="auto" w:fill="FFFFFF"/>
            <w:tcMar>
              <w:top w:w="40" w:type="dxa"/>
              <w:bottom w:w="40" w:type="dxa"/>
              <w:right w:w="20" w:type="dxa"/>
            </w:tcMar>
            <w:vAlign w:val="center"/>
          </w:tcPr>
          <w:p w14:paraId="33DAA72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72A"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A72B"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72C" w14:textId="77777777" w:rsidR="004D6A64" w:rsidRDefault="00506CD6">
            <w:pPr>
              <w:jc w:val="right"/>
              <w:textAlignment w:val="center"/>
            </w:pPr>
            <w:r>
              <w:rPr>
                <w:rFonts w:ascii="Times New Roman" w:eastAsia="宋体" w:hAnsi="Times New Roman"/>
                <w:color w:val="000000"/>
                <w:sz w:val="20"/>
                <w:szCs w:val="20"/>
              </w:rPr>
              <w:t>824 </w:t>
            </w:r>
          </w:p>
        </w:tc>
        <w:tc>
          <w:tcPr>
            <w:tcW w:w="0" w:type="auto"/>
            <w:shd w:val="clear" w:color="auto" w:fill="FFFFFF"/>
            <w:tcMar>
              <w:top w:w="40" w:type="dxa"/>
              <w:bottom w:w="40" w:type="dxa"/>
              <w:right w:w="20" w:type="dxa"/>
            </w:tcMar>
            <w:vAlign w:val="center"/>
          </w:tcPr>
          <w:p w14:paraId="33DAA72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72E"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A72F"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730" w14:textId="77777777" w:rsidR="004D6A64" w:rsidRDefault="00506CD6">
            <w:pPr>
              <w:jc w:val="right"/>
              <w:textAlignment w:val="center"/>
            </w:pPr>
            <w:r>
              <w:rPr>
                <w:rFonts w:ascii="Times New Roman" w:eastAsia="宋体" w:hAnsi="Times New Roman"/>
                <w:color w:val="000000"/>
                <w:sz w:val="20"/>
                <w:szCs w:val="20"/>
              </w:rPr>
              <w:t>8,486 </w:t>
            </w:r>
          </w:p>
        </w:tc>
        <w:tc>
          <w:tcPr>
            <w:tcW w:w="0" w:type="auto"/>
            <w:shd w:val="clear" w:color="auto" w:fill="FFFFFF"/>
            <w:tcMar>
              <w:top w:w="40" w:type="dxa"/>
              <w:bottom w:w="40" w:type="dxa"/>
              <w:right w:w="20" w:type="dxa"/>
            </w:tcMar>
            <w:vAlign w:val="center"/>
          </w:tcPr>
          <w:p w14:paraId="33DAA73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732"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A733"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734" w14:textId="77777777" w:rsidR="004D6A64" w:rsidRDefault="00506CD6">
            <w:pPr>
              <w:jc w:val="right"/>
              <w:textAlignment w:val="center"/>
            </w:pPr>
            <w:r>
              <w:rPr>
                <w:rFonts w:ascii="Times New Roman" w:eastAsia="宋体" w:hAnsi="Times New Roman"/>
                <w:color w:val="000000"/>
                <w:sz w:val="20"/>
                <w:szCs w:val="20"/>
              </w:rPr>
              <w:t>9,310 </w:t>
            </w:r>
          </w:p>
        </w:tc>
        <w:tc>
          <w:tcPr>
            <w:tcW w:w="0" w:type="auto"/>
            <w:shd w:val="clear" w:color="auto" w:fill="FFFFFF"/>
            <w:tcMar>
              <w:top w:w="40" w:type="dxa"/>
              <w:bottom w:w="40" w:type="dxa"/>
              <w:right w:w="20" w:type="dxa"/>
            </w:tcMar>
            <w:vAlign w:val="center"/>
          </w:tcPr>
          <w:p w14:paraId="33DAA735" w14:textId="77777777" w:rsidR="004D6A64" w:rsidRDefault="004D6A64">
            <w:pPr>
              <w:jc w:val="right"/>
              <w:rPr>
                <w:rFonts w:ascii="宋体"/>
              </w:rPr>
            </w:pPr>
          </w:p>
        </w:tc>
        <w:tc>
          <w:tcPr>
            <w:tcW w:w="0" w:type="auto"/>
            <w:shd w:val="clear" w:color="auto" w:fill="auto"/>
          </w:tcPr>
          <w:p w14:paraId="33DAA736" w14:textId="77777777" w:rsidR="004D6A64" w:rsidRDefault="004D6A64">
            <w:pPr>
              <w:rPr>
                <w:rFonts w:ascii="宋体"/>
              </w:rPr>
            </w:pPr>
          </w:p>
        </w:tc>
        <w:tc>
          <w:tcPr>
            <w:tcW w:w="0" w:type="auto"/>
            <w:shd w:val="clear" w:color="auto" w:fill="auto"/>
          </w:tcPr>
          <w:p w14:paraId="33DAA737" w14:textId="77777777" w:rsidR="004D6A64" w:rsidRDefault="004D6A64">
            <w:pPr>
              <w:rPr>
                <w:rFonts w:ascii="宋体"/>
              </w:rPr>
            </w:pPr>
          </w:p>
        </w:tc>
        <w:tc>
          <w:tcPr>
            <w:tcW w:w="0" w:type="auto"/>
            <w:shd w:val="clear" w:color="auto" w:fill="auto"/>
          </w:tcPr>
          <w:p w14:paraId="33DAA738" w14:textId="77777777" w:rsidR="004D6A64" w:rsidRDefault="004D6A64">
            <w:pPr>
              <w:rPr>
                <w:rFonts w:ascii="宋体"/>
              </w:rPr>
            </w:pPr>
          </w:p>
        </w:tc>
        <w:tc>
          <w:tcPr>
            <w:tcW w:w="0" w:type="auto"/>
            <w:shd w:val="clear" w:color="auto" w:fill="auto"/>
          </w:tcPr>
          <w:p w14:paraId="33DAA739" w14:textId="77777777" w:rsidR="004D6A64" w:rsidRDefault="004D6A64">
            <w:pPr>
              <w:rPr>
                <w:rFonts w:ascii="宋体"/>
              </w:rPr>
            </w:pPr>
          </w:p>
        </w:tc>
        <w:tc>
          <w:tcPr>
            <w:tcW w:w="0" w:type="auto"/>
            <w:shd w:val="clear" w:color="auto" w:fill="auto"/>
          </w:tcPr>
          <w:p w14:paraId="33DAA73A" w14:textId="77777777" w:rsidR="004D6A64" w:rsidRDefault="004D6A64">
            <w:pPr>
              <w:rPr>
                <w:rFonts w:ascii="宋体"/>
              </w:rPr>
            </w:pPr>
          </w:p>
        </w:tc>
        <w:tc>
          <w:tcPr>
            <w:tcW w:w="0" w:type="auto"/>
            <w:shd w:val="clear" w:color="auto" w:fill="auto"/>
          </w:tcPr>
          <w:p w14:paraId="33DAA73B" w14:textId="77777777" w:rsidR="004D6A64" w:rsidRDefault="004D6A64">
            <w:pPr>
              <w:rPr>
                <w:rFonts w:ascii="宋体"/>
              </w:rPr>
            </w:pPr>
          </w:p>
        </w:tc>
        <w:tc>
          <w:tcPr>
            <w:tcW w:w="0" w:type="auto"/>
            <w:shd w:val="clear" w:color="auto" w:fill="auto"/>
          </w:tcPr>
          <w:p w14:paraId="33DAA73C" w14:textId="77777777" w:rsidR="004D6A64" w:rsidRDefault="004D6A64">
            <w:pPr>
              <w:rPr>
                <w:rFonts w:ascii="宋体"/>
              </w:rPr>
            </w:pPr>
          </w:p>
        </w:tc>
        <w:tc>
          <w:tcPr>
            <w:tcW w:w="0" w:type="auto"/>
            <w:shd w:val="clear" w:color="auto" w:fill="auto"/>
          </w:tcPr>
          <w:p w14:paraId="33DAA73D" w14:textId="77777777" w:rsidR="004D6A64" w:rsidRDefault="004D6A64">
            <w:pPr>
              <w:rPr>
                <w:rFonts w:ascii="宋体"/>
              </w:rPr>
            </w:pPr>
          </w:p>
        </w:tc>
        <w:tc>
          <w:tcPr>
            <w:tcW w:w="0" w:type="auto"/>
            <w:shd w:val="clear" w:color="auto" w:fill="auto"/>
          </w:tcPr>
          <w:p w14:paraId="33DAA73E" w14:textId="77777777" w:rsidR="004D6A64" w:rsidRDefault="004D6A64">
            <w:pPr>
              <w:rPr>
                <w:rFonts w:ascii="宋体"/>
              </w:rPr>
            </w:pPr>
          </w:p>
        </w:tc>
        <w:tc>
          <w:tcPr>
            <w:tcW w:w="0" w:type="auto"/>
            <w:shd w:val="clear" w:color="auto" w:fill="auto"/>
          </w:tcPr>
          <w:p w14:paraId="33DAA73F" w14:textId="77777777" w:rsidR="004D6A64" w:rsidRDefault="004D6A64">
            <w:pPr>
              <w:rPr>
                <w:rFonts w:ascii="宋体"/>
              </w:rPr>
            </w:pPr>
          </w:p>
        </w:tc>
        <w:tc>
          <w:tcPr>
            <w:tcW w:w="0" w:type="auto"/>
            <w:shd w:val="clear" w:color="auto" w:fill="auto"/>
          </w:tcPr>
          <w:p w14:paraId="33DAA740" w14:textId="77777777" w:rsidR="004D6A64" w:rsidRDefault="004D6A64">
            <w:pPr>
              <w:rPr>
                <w:rFonts w:ascii="宋体"/>
              </w:rPr>
            </w:pPr>
          </w:p>
        </w:tc>
        <w:tc>
          <w:tcPr>
            <w:tcW w:w="0" w:type="auto"/>
            <w:shd w:val="clear" w:color="auto" w:fill="auto"/>
          </w:tcPr>
          <w:p w14:paraId="33DAA741" w14:textId="77777777" w:rsidR="004D6A64" w:rsidRDefault="004D6A64">
            <w:pPr>
              <w:rPr>
                <w:rFonts w:ascii="宋体"/>
              </w:rPr>
            </w:pPr>
          </w:p>
        </w:tc>
        <w:tc>
          <w:tcPr>
            <w:tcW w:w="0" w:type="auto"/>
            <w:shd w:val="clear" w:color="auto" w:fill="auto"/>
          </w:tcPr>
          <w:p w14:paraId="33DAA742" w14:textId="77777777" w:rsidR="004D6A64" w:rsidRDefault="004D6A64">
            <w:pPr>
              <w:rPr>
                <w:rFonts w:ascii="宋体"/>
              </w:rPr>
            </w:pPr>
          </w:p>
        </w:tc>
        <w:tc>
          <w:tcPr>
            <w:tcW w:w="0" w:type="auto"/>
            <w:shd w:val="clear" w:color="auto" w:fill="auto"/>
          </w:tcPr>
          <w:p w14:paraId="33DAA743" w14:textId="77777777" w:rsidR="004D6A64" w:rsidRDefault="004D6A64">
            <w:pPr>
              <w:rPr>
                <w:rFonts w:ascii="宋体"/>
              </w:rPr>
            </w:pPr>
          </w:p>
        </w:tc>
        <w:tc>
          <w:tcPr>
            <w:tcW w:w="0" w:type="auto"/>
            <w:shd w:val="clear" w:color="auto" w:fill="auto"/>
          </w:tcPr>
          <w:p w14:paraId="33DAA744" w14:textId="77777777" w:rsidR="004D6A64" w:rsidRDefault="004D6A64">
            <w:pPr>
              <w:rPr>
                <w:rFonts w:ascii="宋体"/>
              </w:rPr>
            </w:pPr>
          </w:p>
        </w:tc>
        <w:tc>
          <w:tcPr>
            <w:tcW w:w="0" w:type="auto"/>
            <w:shd w:val="clear" w:color="auto" w:fill="auto"/>
          </w:tcPr>
          <w:p w14:paraId="33DAA745" w14:textId="77777777" w:rsidR="004D6A64" w:rsidRDefault="004D6A64">
            <w:pPr>
              <w:rPr>
                <w:rFonts w:ascii="宋体"/>
              </w:rPr>
            </w:pPr>
          </w:p>
        </w:tc>
        <w:tc>
          <w:tcPr>
            <w:tcW w:w="0" w:type="auto"/>
            <w:shd w:val="clear" w:color="auto" w:fill="auto"/>
          </w:tcPr>
          <w:p w14:paraId="33DAA746" w14:textId="77777777" w:rsidR="004D6A64" w:rsidRDefault="004D6A64">
            <w:pPr>
              <w:rPr>
                <w:rFonts w:ascii="宋体"/>
              </w:rPr>
            </w:pPr>
          </w:p>
        </w:tc>
        <w:tc>
          <w:tcPr>
            <w:tcW w:w="0" w:type="auto"/>
            <w:shd w:val="clear" w:color="auto" w:fill="auto"/>
          </w:tcPr>
          <w:p w14:paraId="33DAA747" w14:textId="77777777" w:rsidR="004D6A64" w:rsidRDefault="004D6A64">
            <w:pPr>
              <w:rPr>
                <w:rFonts w:ascii="宋体"/>
              </w:rPr>
            </w:pPr>
          </w:p>
        </w:tc>
        <w:tc>
          <w:tcPr>
            <w:tcW w:w="0" w:type="auto"/>
            <w:shd w:val="clear" w:color="auto" w:fill="auto"/>
          </w:tcPr>
          <w:p w14:paraId="33DAA748" w14:textId="77777777" w:rsidR="004D6A64" w:rsidRDefault="004D6A64">
            <w:pPr>
              <w:rPr>
                <w:rFonts w:ascii="宋体"/>
              </w:rPr>
            </w:pPr>
          </w:p>
        </w:tc>
        <w:tc>
          <w:tcPr>
            <w:tcW w:w="0" w:type="auto"/>
            <w:shd w:val="clear" w:color="auto" w:fill="auto"/>
          </w:tcPr>
          <w:p w14:paraId="33DAA749" w14:textId="77777777" w:rsidR="004D6A64" w:rsidRDefault="004D6A64">
            <w:pPr>
              <w:rPr>
                <w:rFonts w:ascii="宋体"/>
              </w:rPr>
            </w:pPr>
          </w:p>
        </w:tc>
        <w:tc>
          <w:tcPr>
            <w:tcW w:w="0" w:type="auto"/>
            <w:shd w:val="clear" w:color="auto" w:fill="auto"/>
          </w:tcPr>
          <w:p w14:paraId="33DAA74A" w14:textId="77777777" w:rsidR="004D6A64" w:rsidRDefault="004D6A64">
            <w:pPr>
              <w:rPr>
                <w:rFonts w:ascii="宋体"/>
              </w:rPr>
            </w:pPr>
          </w:p>
        </w:tc>
        <w:tc>
          <w:tcPr>
            <w:tcW w:w="0" w:type="auto"/>
            <w:shd w:val="clear" w:color="auto" w:fill="auto"/>
          </w:tcPr>
          <w:p w14:paraId="33DAA74B" w14:textId="77777777" w:rsidR="004D6A64" w:rsidRDefault="004D6A64">
            <w:pPr>
              <w:rPr>
                <w:rFonts w:ascii="宋体"/>
              </w:rPr>
            </w:pPr>
          </w:p>
        </w:tc>
        <w:tc>
          <w:tcPr>
            <w:tcW w:w="0" w:type="auto"/>
            <w:shd w:val="clear" w:color="auto" w:fill="auto"/>
          </w:tcPr>
          <w:p w14:paraId="33DAA74C" w14:textId="77777777" w:rsidR="004D6A64" w:rsidRDefault="004D6A64">
            <w:pPr>
              <w:rPr>
                <w:rFonts w:ascii="宋体"/>
              </w:rPr>
            </w:pPr>
          </w:p>
        </w:tc>
        <w:tc>
          <w:tcPr>
            <w:tcW w:w="0" w:type="auto"/>
            <w:shd w:val="clear" w:color="auto" w:fill="auto"/>
          </w:tcPr>
          <w:p w14:paraId="33DAA74D" w14:textId="77777777" w:rsidR="004D6A64" w:rsidRDefault="004D6A64">
            <w:pPr>
              <w:rPr>
                <w:rFonts w:ascii="宋体"/>
              </w:rPr>
            </w:pPr>
          </w:p>
        </w:tc>
        <w:tc>
          <w:tcPr>
            <w:tcW w:w="0" w:type="auto"/>
            <w:shd w:val="clear" w:color="auto" w:fill="auto"/>
          </w:tcPr>
          <w:p w14:paraId="33DAA74E" w14:textId="77777777" w:rsidR="004D6A64" w:rsidRDefault="004D6A64">
            <w:pPr>
              <w:rPr>
                <w:rFonts w:ascii="宋体"/>
              </w:rPr>
            </w:pPr>
          </w:p>
        </w:tc>
        <w:tc>
          <w:tcPr>
            <w:tcW w:w="0" w:type="auto"/>
            <w:shd w:val="clear" w:color="auto" w:fill="auto"/>
          </w:tcPr>
          <w:p w14:paraId="33DAA74F" w14:textId="77777777" w:rsidR="004D6A64" w:rsidRDefault="004D6A64">
            <w:pPr>
              <w:rPr>
                <w:rFonts w:ascii="宋体"/>
              </w:rPr>
            </w:pPr>
          </w:p>
        </w:tc>
        <w:tc>
          <w:tcPr>
            <w:tcW w:w="0" w:type="auto"/>
            <w:shd w:val="clear" w:color="auto" w:fill="auto"/>
          </w:tcPr>
          <w:p w14:paraId="33DAA750" w14:textId="77777777" w:rsidR="004D6A64" w:rsidRDefault="004D6A64">
            <w:pPr>
              <w:rPr>
                <w:rFonts w:ascii="宋体"/>
              </w:rPr>
            </w:pPr>
          </w:p>
        </w:tc>
      </w:tr>
      <w:tr w:rsidR="004D6A64" w14:paraId="33DAA77F" w14:textId="77777777">
        <w:tc>
          <w:tcPr>
            <w:tcW w:w="0" w:type="auto"/>
            <w:gridSpan w:val="3"/>
            <w:shd w:val="clear" w:color="auto" w:fill="CCEEFF"/>
            <w:tcMar>
              <w:top w:w="40" w:type="dxa"/>
              <w:left w:w="240" w:type="dxa"/>
              <w:bottom w:w="40" w:type="dxa"/>
              <w:right w:w="20" w:type="dxa"/>
            </w:tcMar>
            <w:vAlign w:val="center"/>
          </w:tcPr>
          <w:p w14:paraId="33DAA752" w14:textId="77777777" w:rsidR="004D6A64" w:rsidRDefault="00506CD6">
            <w:pPr>
              <w:textAlignment w:val="center"/>
            </w:pPr>
            <w:r>
              <w:rPr>
                <w:rFonts w:ascii="Times New Roman" w:eastAsia="宋体" w:hAnsi="Times New Roman"/>
                <w:color w:val="000000"/>
                <w:sz w:val="20"/>
                <w:szCs w:val="20"/>
              </w:rPr>
              <w:t>Allowances for losses</w:t>
            </w:r>
          </w:p>
        </w:tc>
        <w:tc>
          <w:tcPr>
            <w:tcW w:w="0" w:type="auto"/>
            <w:gridSpan w:val="2"/>
            <w:shd w:val="clear" w:color="auto" w:fill="CCEEFF"/>
            <w:tcMar>
              <w:top w:w="40" w:type="dxa"/>
              <w:left w:w="20" w:type="dxa"/>
              <w:bottom w:w="40" w:type="dxa"/>
              <w:right w:w="0" w:type="dxa"/>
            </w:tcMar>
            <w:vAlign w:val="center"/>
          </w:tcPr>
          <w:p w14:paraId="33DAA753" w14:textId="77777777" w:rsidR="004D6A64" w:rsidRDefault="00506CD6">
            <w:pPr>
              <w:jc w:val="right"/>
              <w:textAlignment w:val="center"/>
            </w:pPr>
            <w:r>
              <w:rPr>
                <w:rFonts w:ascii="Times New Roman" w:eastAsia="宋体" w:hAnsi="Times New Roman"/>
                <w:color w:val="000000"/>
                <w:sz w:val="20"/>
                <w:szCs w:val="20"/>
              </w:rPr>
              <w:t>(143)</w:t>
            </w:r>
          </w:p>
        </w:tc>
        <w:tc>
          <w:tcPr>
            <w:tcW w:w="0" w:type="auto"/>
            <w:shd w:val="clear" w:color="auto" w:fill="CCEEFF"/>
            <w:tcMar>
              <w:top w:w="40" w:type="dxa"/>
              <w:bottom w:w="40" w:type="dxa"/>
              <w:right w:w="20" w:type="dxa"/>
            </w:tcMar>
            <w:vAlign w:val="center"/>
          </w:tcPr>
          <w:p w14:paraId="33DAA75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75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756" w14:textId="77777777" w:rsidR="004D6A64" w:rsidRDefault="00506CD6">
            <w:pPr>
              <w:jc w:val="right"/>
              <w:textAlignment w:val="center"/>
            </w:pPr>
            <w:r>
              <w:rPr>
                <w:rFonts w:ascii="Times New Roman" w:eastAsia="宋体" w:hAnsi="Times New Roman"/>
                <w:color w:val="000000"/>
                <w:sz w:val="20"/>
                <w:szCs w:val="20"/>
              </w:rPr>
              <w:t>(180)</w:t>
            </w:r>
          </w:p>
        </w:tc>
        <w:tc>
          <w:tcPr>
            <w:tcW w:w="0" w:type="auto"/>
            <w:shd w:val="clear" w:color="auto" w:fill="CCEEFF"/>
            <w:tcMar>
              <w:top w:w="40" w:type="dxa"/>
              <w:bottom w:w="40" w:type="dxa"/>
              <w:right w:w="20" w:type="dxa"/>
            </w:tcMar>
            <w:vAlign w:val="center"/>
          </w:tcPr>
          <w:p w14:paraId="33DAA75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758"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759" w14:textId="77777777" w:rsidR="004D6A64" w:rsidRDefault="00506CD6">
            <w:pPr>
              <w:jc w:val="right"/>
              <w:textAlignment w:val="center"/>
            </w:pPr>
            <w:r>
              <w:rPr>
                <w:rFonts w:ascii="Times New Roman" w:eastAsia="宋体" w:hAnsi="Times New Roman"/>
                <w:color w:val="000000"/>
                <w:sz w:val="20"/>
                <w:szCs w:val="20"/>
              </w:rPr>
              <w:t>(323)</w:t>
            </w:r>
          </w:p>
        </w:tc>
        <w:tc>
          <w:tcPr>
            <w:tcW w:w="0" w:type="auto"/>
            <w:shd w:val="clear" w:color="auto" w:fill="CCEEFF"/>
            <w:tcMar>
              <w:top w:w="40" w:type="dxa"/>
              <w:bottom w:w="40" w:type="dxa"/>
              <w:right w:w="20" w:type="dxa"/>
            </w:tcMar>
            <w:vAlign w:val="center"/>
          </w:tcPr>
          <w:p w14:paraId="33DAA75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75B"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75C" w14:textId="77777777" w:rsidR="004D6A64" w:rsidRDefault="00506CD6">
            <w:pPr>
              <w:jc w:val="right"/>
              <w:textAlignment w:val="center"/>
            </w:pPr>
            <w:r>
              <w:rPr>
                <w:rFonts w:ascii="Times New Roman" w:eastAsia="宋体" w:hAnsi="Times New Roman"/>
                <w:color w:val="000000"/>
                <w:sz w:val="20"/>
                <w:szCs w:val="20"/>
              </w:rPr>
              <w:t>(70)</w:t>
            </w:r>
          </w:p>
        </w:tc>
        <w:tc>
          <w:tcPr>
            <w:tcW w:w="0" w:type="auto"/>
            <w:shd w:val="clear" w:color="auto" w:fill="CCEEFF"/>
            <w:tcMar>
              <w:top w:w="40" w:type="dxa"/>
              <w:bottom w:w="40" w:type="dxa"/>
              <w:right w:w="20" w:type="dxa"/>
            </w:tcMar>
            <w:vAlign w:val="center"/>
          </w:tcPr>
          <w:p w14:paraId="33DAA75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75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75F" w14:textId="77777777" w:rsidR="004D6A64" w:rsidRDefault="00506CD6">
            <w:pPr>
              <w:jc w:val="right"/>
              <w:textAlignment w:val="center"/>
            </w:pPr>
            <w:r>
              <w:rPr>
                <w:rFonts w:ascii="Times New Roman" w:eastAsia="宋体" w:hAnsi="Times New Roman"/>
                <w:color w:val="000000"/>
                <w:sz w:val="20"/>
                <w:szCs w:val="20"/>
              </w:rPr>
              <w:t>(79)</w:t>
            </w:r>
          </w:p>
        </w:tc>
        <w:tc>
          <w:tcPr>
            <w:tcW w:w="0" w:type="auto"/>
            <w:shd w:val="clear" w:color="auto" w:fill="CCEEFF"/>
            <w:tcMar>
              <w:top w:w="40" w:type="dxa"/>
              <w:bottom w:w="40" w:type="dxa"/>
              <w:right w:w="20" w:type="dxa"/>
            </w:tcMar>
            <w:vAlign w:val="center"/>
          </w:tcPr>
          <w:p w14:paraId="33DAA76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761"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762" w14:textId="77777777" w:rsidR="004D6A64" w:rsidRDefault="00506CD6">
            <w:pPr>
              <w:jc w:val="right"/>
              <w:textAlignment w:val="center"/>
            </w:pPr>
            <w:r>
              <w:rPr>
                <w:rFonts w:ascii="Times New Roman" w:eastAsia="宋体" w:hAnsi="Times New Roman"/>
                <w:color w:val="000000"/>
                <w:sz w:val="20"/>
                <w:szCs w:val="20"/>
              </w:rPr>
              <w:t>(149)</w:t>
            </w:r>
          </w:p>
        </w:tc>
        <w:tc>
          <w:tcPr>
            <w:tcW w:w="0" w:type="auto"/>
            <w:shd w:val="clear" w:color="auto" w:fill="CCEEFF"/>
            <w:tcMar>
              <w:top w:w="40" w:type="dxa"/>
              <w:bottom w:w="40" w:type="dxa"/>
              <w:right w:w="20" w:type="dxa"/>
            </w:tcMar>
            <w:vAlign w:val="center"/>
          </w:tcPr>
          <w:p w14:paraId="33DAA763" w14:textId="77777777" w:rsidR="004D6A64" w:rsidRDefault="004D6A64">
            <w:pPr>
              <w:jc w:val="right"/>
              <w:rPr>
                <w:rFonts w:ascii="宋体"/>
              </w:rPr>
            </w:pPr>
          </w:p>
        </w:tc>
        <w:tc>
          <w:tcPr>
            <w:tcW w:w="0" w:type="auto"/>
            <w:shd w:val="clear" w:color="auto" w:fill="auto"/>
          </w:tcPr>
          <w:p w14:paraId="33DAA764" w14:textId="77777777" w:rsidR="004D6A64" w:rsidRDefault="004D6A64">
            <w:pPr>
              <w:rPr>
                <w:rFonts w:ascii="宋体"/>
              </w:rPr>
            </w:pPr>
          </w:p>
        </w:tc>
        <w:tc>
          <w:tcPr>
            <w:tcW w:w="0" w:type="auto"/>
            <w:shd w:val="clear" w:color="auto" w:fill="auto"/>
          </w:tcPr>
          <w:p w14:paraId="33DAA765" w14:textId="77777777" w:rsidR="004D6A64" w:rsidRDefault="004D6A64">
            <w:pPr>
              <w:rPr>
                <w:rFonts w:ascii="宋体"/>
              </w:rPr>
            </w:pPr>
          </w:p>
        </w:tc>
        <w:tc>
          <w:tcPr>
            <w:tcW w:w="0" w:type="auto"/>
            <w:shd w:val="clear" w:color="auto" w:fill="auto"/>
          </w:tcPr>
          <w:p w14:paraId="33DAA766" w14:textId="77777777" w:rsidR="004D6A64" w:rsidRDefault="004D6A64">
            <w:pPr>
              <w:rPr>
                <w:rFonts w:ascii="宋体"/>
              </w:rPr>
            </w:pPr>
          </w:p>
        </w:tc>
        <w:tc>
          <w:tcPr>
            <w:tcW w:w="0" w:type="auto"/>
            <w:shd w:val="clear" w:color="auto" w:fill="auto"/>
          </w:tcPr>
          <w:p w14:paraId="33DAA767" w14:textId="77777777" w:rsidR="004D6A64" w:rsidRDefault="004D6A64">
            <w:pPr>
              <w:rPr>
                <w:rFonts w:ascii="宋体"/>
              </w:rPr>
            </w:pPr>
          </w:p>
        </w:tc>
        <w:tc>
          <w:tcPr>
            <w:tcW w:w="0" w:type="auto"/>
            <w:shd w:val="clear" w:color="auto" w:fill="auto"/>
          </w:tcPr>
          <w:p w14:paraId="33DAA768" w14:textId="77777777" w:rsidR="004D6A64" w:rsidRDefault="004D6A64">
            <w:pPr>
              <w:rPr>
                <w:rFonts w:ascii="宋体"/>
              </w:rPr>
            </w:pPr>
          </w:p>
        </w:tc>
        <w:tc>
          <w:tcPr>
            <w:tcW w:w="0" w:type="auto"/>
            <w:shd w:val="clear" w:color="auto" w:fill="auto"/>
          </w:tcPr>
          <w:p w14:paraId="33DAA769" w14:textId="77777777" w:rsidR="004D6A64" w:rsidRDefault="004D6A64">
            <w:pPr>
              <w:rPr>
                <w:rFonts w:ascii="宋体"/>
              </w:rPr>
            </w:pPr>
          </w:p>
        </w:tc>
        <w:tc>
          <w:tcPr>
            <w:tcW w:w="0" w:type="auto"/>
            <w:shd w:val="clear" w:color="auto" w:fill="auto"/>
          </w:tcPr>
          <w:p w14:paraId="33DAA76A" w14:textId="77777777" w:rsidR="004D6A64" w:rsidRDefault="004D6A64">
            <w:pPr>
              <w:rPr>
                <w:rFonts w:ascii="宋体"/>
              </w:rPr>
            </w:pPr>
          </w:p>
        </w:tc>
        <w:tc>
          <w:tcPr>
            <w:tcW w:w="0" w:type="auto"/>
            <w:shd w:val="clear" w:color="auto" w:fill="auto"/>
          </w:tcPr>
          <w:p w14:paraId="33DAA76B" w14:textId="77777777" w:rsidR="004D6A64" w:rsidRDefault="004D6A64">
            <w:pPr>
              <w:rPr>
                <w:rFonts w:ascii="宋体"/>
              </w:rPr>
            </w:pPr>
          </w:p>
        </w:tc>
        <w:tc>
          <w:tcPr>
            <w:tcW w:w="0" w:type="auto"/>
            <w:shd w:val="clear" w:color="auto" w:fill="auto"/>
          </w:tcPr>
          <w:p w14:paraId="33DAA76C" w14:textId="77777777" w:rsidR="004D6A64" w:rsidRDefault="004D6A64">
            <w:pPr>
              <w:rPr>
                <w:rFonts w:ascii="宋体"/>
              </w:rPr>
            </w:pPr>
          </w:p>
        </w:tc>
        <w:tc>
          <w:tcPr>
            <w:tcW w:w="0" w:type="auto"/>
            <w:shd w:val="clear" w:color="auto" w:fill="auto"/>
          </w:tcPr>
          <w:p w14:paraId="33DAA76D" w14:textId="77777777" w:rsidR="004D6A64" w:rsidRDefault="004D6A64">
            <w:pPr>
              <w:rPr>
                <w:rFonts w:ascii="宋体"/>
              </w:rPr>
            </w:pPr>
          </w:p>
        </w:tc>
        <w:tc>
          <w:tcPr>
            <w:tcW w:w="0" w:type="auto"/>
            <w:shd w:val="clear" w:color="auto" w:fill="auto"/>
          </w:tcPr>
          <w:p w14:paraId="33DAA76E" w14:textId="77777777" w:rsidR="004D6A64" w:rsidRDefault="004D6A64">
            <w:pPr>
              <w:rPr>
                <w:rFonts w:ascii="宋体"/>
              </w:rPr>
            </w:pPr>
          </w:p>
        </w:tc>
        <w:tc>
          <w:tcPr>
            <w:tcW w:w="0" w:type="auto"/>
            <w:shd w:val="clear" w:color="auto" w:fill="auto"/>
          </w:tcPr>
          <w:p w14:paraId="33DAA76F" w14:textId="77777777" w:rsidR="004D6A64" w:rsidRDefault="004D6A64">
            <w:pPr>
              <w:rPr>
                <w:rFonts w:ascii="宋体"/>
              </w:rPr>
            </w:pPr>
          </w:p>
        </w:tc>
        <w:tc>
          <w:tcPr>
            <w:tcW w:w="0" w:type="auto"/>
            <w:shd w:val="clear" w:color="auto" w:fill="auto"/>
          </w:tcPr>
          <w:p w14:paraId="33DAA770" w14:textId="77777777" w:rsidR="004D6A64" w:rsidRDefault="004D6A64">
            <w:pPr>
              <w:rPr>
                <w:rFonts w:ascii="宋体"/>
              </w:rPr>
            </w:pPr>
          </w:p>
        </w:tc>
        <w:tc>
          <w:tcPr>
            <w:tcW w:w="0" w:type="auto"/>
            <w:shd w:val="clear" w:color="auto" w:fill="auto"/>
          </w:tcPr>
          <w:p w14:paraId="33DAA771" w14:textId="77777777" w:rsidR="004D6A64" w:rsidRDefault="004D6A64">
            <w:pPr>
              <w:rPr>
                <w:rFonts w:ascii="宋体"/>
              </w:rPr>
            </w:pPr>
          </w:p>
        </w:tc>
        <w:tc>
          <w:tcPr>
            <w:tcW w:w="0" w:type="auto"/>
            <w:shd w:val="clear" w:color="auto" w:fill="auto"/>
          </w:tcPr>
          <w:p w14:paraId="33DAA772" w14:textId="77777777" w:rsidR="004D6A64" w:rsidRDefault="004D6A64">
            <w:pPr>
              <w:rPr>
                <w:rFonts w:ascii="宋体"/>
              </w:rPr>
            </w:pPr>
          </w:p>
        </w:tc>
        <w:tc>
          <w:tcPr>
            <w:tcW w:w="0" w:type="auto"/>
            <w:shd w:val="clear" w:color="auto" w:fill="auto"/>
          </w:tcPr>
          <w:p w14:paraId="33DAA773" w14:textId="77777777" w:rsidR="004D6A64" w:rsidRDefault="004D6A64">
            <w:pPr>
              <w:rPr>
                <w:rFonts w:ascii="宋体"/>
              </w:rPr>
            </w:pPr>
          </w:p>
        </w:tc>
        <w:tc>
          <w:tcPr>
            <w:tcW w:w="0" w:type="auto"/>
            <w:shd w:val="clear" w:color="auto" w:fill="auto"/>
          </w:tcPr>
          <w:p w14:paraId="33DAA774" w14:textId="77777777" w:rsidR="004D6A64" w:rsidRDefault="004D6A64">
            <w:pPr>
              <w:rPr>
                <w:rFonts w:ascii="宋体"/>
              </w:rPr>
            </w:pPr>
          </w:p>
        </w:tc>
        <w:tc>
          <w:tcPr>
            <w:tcW w:w="0" w:type="auto"/>
            <w:shd w:val="clear" w:color="auto" w:fill="auto"/>
          </w:tcPr>
          <w:p w14:paraId="33DAA775" w14:textId="77777777" w:rsidR="004D6A64" w:rsidRDefault="004D6A64">
            <w:pPr>
              <w:rPr>
                <w:rFonts w:ascii="宋体"/>
              </w:rPr>
            </w:pPr>
          </w:p>
        </w:tc>
        <w:tc>
          <w:tcPr>
            <w:tcW w:w="0" w:type="auto"/>
            <w:shd w:val="clear" w:color="auto" w:fill="auto"/>
          </w:tcPr>
          <w:p w14:paraId="33DAA776" w14:textId="77777777" w:rsidR="004D6A64" w:rsidRDefault="004D6A64">
            <w:pPr>
              <w:rPr>
                <w:rFonts w:ascii="宋体"/>
              </w:rPr>
            </w:pPr>
          </w:p>
        </w:tc>
        <w:tc>
          <w:tcPr>
            <w:tcW w:w="0" w:type="auto"/>
            <w:shd w:val="clear" w:color="auto" w:fill="auto"/>
          </w:tcPr>
          <w:p w14:paraId="33DAA777" w14:textId="77777777" w:rsidR="004D6A64" w:rsidRDefault="004D6A64">
            <w:pPr>
              <w:rPr>
                <w:rFonts w:ascii="宋体"/>
              </w:rPr>
            </w:pPr>
          </w:p>
        </w:tc>
        <w:tc>
          <w:tcPr>
            <w:tcW w:w="0" w:type="auto"/>
            <w:shd w:val="clear" w:color="auto" w:fill="auto"/>
          </w:tcPr>
          <w:p w14:paraId="33DAA778" w14:textId="77777777" w:rsidR="004D6A64" w:rsidRDefault="004D6A64">
            <w:pPr>
              <w:rPr>
                <w:rFonts w:ascii="宋体"/>
              </w:rPr>
            </w:pPr>
          </w:p>
        </w:tc>
        <w:tc>
          <w:tcPr>
            <w:tcW w:w="0" w:type="auto"/>
            <w:shd w:val="clear" w:color="auto" w:fill="auto"/>
          </w:tcPr>
          <w:p w14:paraId="33DAA779" w14:textId="77777777" w:rsidR="004D6A64" w:rsidRDefault="004D6A64">
            <w:pPr>
              <w:rPr>
                <w:rFonts w:ascii="宋体"/>
              </w:rPr>
            </w:pPr>
          </w:p>
        </w:tc>
        <w:tc>
          <w:tcPr>
            <w:tcW w:w="0" w:type="auto"/>
            <w:shd w:val="clear" w:color="auto" w:fill="auto"/>
          </w:tcPr>
          <w:p w14:paraId="33DAA77A" w14:textId="77777777" w:rsidR="004D6A64" w:rsidRDefault="004D6A64">
            <w:pPr>
              <w:rPr>
                <w:rFonts w:ascii="宋体"/>
              </w:rPr>
            </w:pPr>
          </w:p>
        </w:tc>
        <w:tc>
          <w:tcPr>
            <w:tcW w:w="0" w:type="auto"/>
            <w:shd w:val="clear" w:color="auto" w:fill="auto"/>
          </w:tcPr>
          <w:p w14:paraId="33DAA77B" w14:textId="77777777" w:rsidR="004D6A64" w:rsidRDefault="004D6A64">
            <w:pPr>
              <w:rPr>
                <w:rFonts w:ascii="宋体"/>
              </w:rPr>
            </w:pPr>
          </w:p>
        </w:tc>
        <w:tc>
          <w:tcPr>
            <w:tcW w:w="0" w:type="auto"/>
            <w:shd w:val="clear" w:color="auto" w:fill="auto"/>
          </w:tcPr>
          <w:p w14:paraId="33DAA77C" w14:textId="77777777" w:rsidR="004D6A64" w:rsidRDefault="004D6A64">
            <w:pPr>
              <w:rPr>
                <w:rFonts w:ascii="宋体"/>
              </w:rPr>
            </w:pPr>
          </w:p>
        </w:tc>
        <w:tc>
          <w:tcPr>
            <w:tcW w:w="0" w:type="auto"/>
            <w:shd w:val="clear" w:color="auto" w:fill="auto"/>
          </w:tcPr>
          <w:p w14:paraId="33DAA77D" w14:textId="77777777" w:rsidR="004D6A64" w:rsidRDefault="004D6A64">
            <w:pPr>
              <w:rPr>
                <w:rFonts w:ascii="宋体"/>
              </w:rPr>
            </w:pPr>
          </w:p>
        </w:tc>
        <w:tc>
          <w:tcPr>
            <w:tcW w:w="0" w:type="auto"/>
            <w:shd w:val="clear" w:color="auto" w:fill="auto"/>
          </w:tcPr>
          <w:p w14:paraId="33DAA77E" w14:textId="77777777" w:rsidR="004D6A64" w:rsidRDefault="004D6A64">
            <w:pPr>
              <w:rPr>
                <w:rFonts w:ascii="宋体"/>
              </w:rPr>
            </w:pPr>
          </w:p>
        </w:tc>
      </w:tr>
      <w:tr w:rsidR="004D6A64" w14:paraId="33DAA7AD" w14:textId="77777777">
        <w:tc>
          <w:tcPr>
            <w:tcW w:w="0" w:type="auto"/>
            <w:gridSpan w:val="3"/>
            <w:shd w:val="clear" w:color="auto" w:fill="FFFFFF"/>
            <w:tcMar>
              <w:top w:w="40" w:type="dxa"/>
              <w:left w:w="360" w:type="dxa"/>
              <w:bottom w:w="40" w:type="dxa"/>
              <w:right w:w="20" w:type="dxa"/>
            </w:tcMar>
            <w:vAlign w:val="center"/>
          </w:tcPr>
          <w:p w14:paraId="33DAA780" w14:textId="77777777" w:rsidR="004D6A64" w:rsidRDefault="00506CD6">
            <w:pPr>
              <w:textAlignment w:val="center"/>
            </w:pPr>
            <w:r>
              <w:rPr>
                <w:rFonts w:ascii="Times New Roman" w:eastAsia="宋体" w:hAnsi="Times New Roman"/>
                <w:color w:val="000000"/>
                <w:sz w:val="20"/>
                <w:szCs w:val="20"/>
              </w:rPr>
              <w:t>Customer receivables, net</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A781" w14:textId="77777777" w:rsidR="004D6A64" w:rsidRDefault="00506CD6">
            <w:pPr>
              <w:jc w:val="right"/>
              <w:textAlignment w:val="center"/>
            </w:pPr>
            <w:r>
              <w:rPr>
                <w:rFonts w:ascii="Times New Roman" w:eastAsia="宋体" w:hAnsi="Times New Roman"/>
                <w:color w:val="000000"/>
                <w:sz w:val="20"/>
                <w:szCs w:val="20"/>
              </w:rPr>
              <w:t>635 </w:t>
            </w:r>
          </w:p>
        </w:tc>
        <w:tc>
          <w:tcPr>
            <w:tcW w:w="0" w:type="auto"/>
            <w:tcBorders>
              <w:top w:val="single" w:sz="8" w:space="0" w:color="000000"/>
            </w:tcBorders>
            <w:shd w:val="clear" w:color="auto" w:fill="FFFFFF"/>
            <w:tcMar>
              <w:top w:w="40" w:type="dxa"/>
              <w:bottom w:w="40" w:type="dxa"/>
              <w:right w:w="20" w:type="dxa"/>
            </w:tcMar>
            <w:vAlign w:val="center"/>
          </w:tcPr>
          <w:p w14:paraId="33DAA78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783"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A784" w14:textId="77777777" w:rsidR="004D6A64" w:rsidRDefault="00506CD6">
            <w:pPr>
              <w:jc w:val="right"/>
              <w:textAlignment w:val="center"/>
            </w:pPr>
            <w:r>
              <w:rPr>
                <w:rFonts w:ascii="Times New Roman" w:eastAsia="宋体" w:hAnsi="Times New Roman"/>
                <w:color w:val="000000"/>
                <w:sz w:val="20"/>
                <w:szCs w:val="20"/>
              </w:rPr>
              <w:t>9,075 </w:t>
            </w:r>
          </w:p>
        </w:tc>
        <w:tc>
          <w:tcPr>
            <w:tcW w:w="0" w:type="auto"/>
            <w:tcBorders>
              <w:top w:val="single" w:sz="8" w:space="0" w:color="000000"/>
            </w:tcBorders>
            <w:shd w:val="clear" w:color="auto" w:fill="FFFFFF"/>
            <w:tcMar>
              <w:top w:w="40" w:type="dxa"/>
              <w:bottom w:w="40" w:type="dxa"/>
              <w:right w:w="20" w:type="dxa"/>
            </w:tcMar>
            <w:vAlign w:val="center"/>
          </w:tcPr>
          <w:p w14:paraId="33DAA78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786"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A787" w14:textId="77777777" w:rsidR="004D6A64" w:rsidRDefault="00506CD6">
            <w:pPr>
              <w:jc w:val="right"/>
              <w:textAlignment w:val="center"/>
            </w:pPr>
            <w:r>
              <w:rPr>
                <w:rFonts w:ascii="Times New Roman" w:eastAsia="宋体" w:hAnsi="Times New Roman"/>
                <w:color w:val="000000"/>
                <w:sz w:val="20"/>
                <w:szCs w:val="20"/>
              </w:rPr>
              <w:t>9,710 </w:t>
            </w:r>
          </w:p>
        </w:tc>
        <w:tc>
          <w:tcPr>
            <w:tcW w:w="0" w:type="auto"/>
            <w:tcBorders>
              <w:top w:val="single" w:sz="8" w:space="0" w:color="000000"/>
            </w:tcBorders>
            <w:shd w:val="clear" w:color="auto" w:fill="FFFFFF"/>
            <w:tcMar>
              <w:top w:w="40" w:type="dxa"/>
              <w:bottom w:w="40" w:type="dxa"/>
              <w:right w:w="20" w:type="dxa"/>
            </w:tcMar>
            <w:vAlign w:val="center"/>
          </w:tcPr>
          <w:p w14:paraId="33DAA78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789"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A78A" w14:textId="77777777" w:rsidR="004D6A64" w:rsidRDefault="00506CD6">
            <w:pPr>
              <w:jc w:val="right"/>
              <w:textAlignment w:val="center"/>
            </w:pPr>
            <w:r>
              <w:rPr>
                <w:rFonts w:ascii="Times New Roman" w:eastAsia="宋体" w:hAnsi="Times New Roman"/>
                <w:color w:val="000000"/>
                <w:sz w:val="20"/>
                <w:szCs w:val="20"/>
              </w:rPr>
              <w:t>754 </w:t>
            </w:r>
          </w:p>
        </w:tc>
        <w:tc>
          <w:tcPr>
            <w:tcW w:w="0" w:type="auto"/>
            <w:tcBorders>
              <w:top w:val="single" w:sz="8" w:space="0" w:color="000000"/>
            </w:tcBorders>
            <w:shd w:val="clear" w:color="auto" w:fill="FFFFFF"/>
            <w:tcMar>
              <w:top w:w="40" w:type="dxa"/>
              <w:bottom w:w="40" w:type="dxa"/>
              <w:right w:w="20" w:type="dxa"/>
            </w:tcMar>
            <w:vAlign w:val="center"/>
          </w:tcPr>
          <w:p w14:paraId="33DAA78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78C"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A78D" w14:textId="77777777" w:rsidR="004D6A64" w:rsidRDefault="00506CD6">
            <w:pPr>
              <w:jc w:val="right"/>
              <w:textAlignment w:val="center"/>
            </w:pPr>
            <w:r>
              <w:rPr>
                <w:rFonts w:ascii="Times New Roman" w:eastAsia="宋体" w:hAnsi="Times New Roman"/>
                <w:color w:val="000000"/>
                <w:sz w:val="20"/>
                <w:szCs w:val="20"/>
              </w:rPr>
              <w:t>8,407 </w:t>
            </w:r>
          </w:p>
        </w:tc>
        <w:tc>
          <w:tcPr>
            <w:tcW w:w="0" w:type="auto"/>
            <w:tcBorders>
              <w:top w:val="single" w:sz="8" w:space="0" w:color="000000"/>
            </w:tcBorders>
            <w:shd w:val="clear" w:color="auto" w:fill="FFFFFF"/>
            <w:tcMar>
              <w:top w:w="40" w:type="dxa"/>
              <w:bottom w:w="40" w:type="dxa"/>
              <w:right w:w="20" w:type="dxa"/>
            </w:tcMar>
            <w:vAlign w:val="center"/>
          </w:tcPr>
          <w:p w14:paraId="33DAA78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78F"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A790" w14:textId="77777777" w:rsidR="004D6A64" w:rsidRDefault="00506CD6">
            <w:pPr>
              <w:jc w:val="right"/>
              <w:textAlignment w:val="center"/>
            </w:pPr>
            <w:r>
              <w:rPr>
                <w:rFonts w:ascii="Times New Roman" w:eastAsia="宋体" w:hAnsi="Times New Roman"/>
                <w:color w:val="000000"/>
                <w:sz w:val="20"/>
                <w:szCs w:val="20"/>
              </w:rPr>
              <w:t>9,161 </w:t>
            </w:r>
          </w:p>
        </w:tc>
        <w:tc>
          <w:tcPr>
            <w:tcW w:w="0" w:type="auto"/>
            <w:tcBorders>
              <w:top w:val="single" w:sz="8" w:space="0" w:color="000000"/>
            </w:tcBorders>
            <w:shd w:val="clear" w:color="auto" w:fill="FFFFFF"/>
            <w:tcMar>
              <w:top w:w="40" w:type="dxa"/>
              <w:bottom w:w="40" w:type="dxa"/>
              <w:right w:w="20" w:type="dxa"/>
            </w:tcMar>
            <w:vAlign w:val="center"/>
          </w:tcPr>
          <w:p w14:paraId="33DAA791" w14:textId="77777777" w:rsidR="004D6A64" w:rsidRDefault="004D6A64">
            <w:pPr>
              <w:jc w:val="right"/>
              <w:rPr>
                <w:rFonts w:ascii="宋体"/>
              </w:rPr>
            </w:pPr>
          </w:p>
        </w:tc>
        <w:tc>
          <w:tcPr>
            <w:tcW w:w="0" w:type="auto"/>
            <w:shd w:val="clear" w:color="auto" w:fill="auto"/>
          </w:tcPr>
          <w:p w14:paraId="33DAA792" w14:textId="77777777" w:rsidR="004D6A64" w:rsidRDefault="004D6A64">
            <w:pPr>
              <w:rPr>
                <w:rFonts w:ascii="宋体"/>
              </w:rPr>
            </w:pPr>
          </w:p>
        </w:tc>
        <w:tc>
          <w:tcPr>
            <w:tcW w:w="0" w:type="auto"/>
            <w:shd w:val="clear" w:color="auto" w:fill="auto"/>
          </w:tcPr>
          <w:p w14:paraId="33DAA793" w14:textId="77777777" w:rsidR="004D6A64" w:rsidRDefault="004D6A64">
            <w:pPr>
              <w:rPr>
                <w:rFonts w:ascii="宋体"/>
              </w:rPr>
            </w:pPr>
          </w:p>
        </w:tc>
        <w:tc>
          <w:tcPr>
            <w:tcW w:w="0" w:type="auto"/>
            <w:shd w:val="clear" w:color="auto" w:fill="auto"/>
          </w:tcPr>
          <w:p w14:paraId="33DAA794" w14:textId="77777777" w:rsidR="004D6A64" w:rsidRDefault="004D6A64">
            <w:pPr>
              <w:rPr>
                <w:rFonts w:ascii="宋体"/>
              </w:rPr>
            </w:pPr>
          </w:p>
        </w:tc>
        <w:tc>
          <w:tcPr>
            <w:tcW w:w="0" w:type="auto"/>
            <w:shd w:val="clear" w:color="auto" w:fill="auto"/>
          </w:tcPr>
          <w:p w14:paraId="33DAA795" w14:textId="77777777" w:rsidR="004D6A64" w:rsidRDefault="004D6A64">
            <w:pPr>
              <w:rPr>
                <w:rFonts w:ascii="宋体"/>
              </w:rPr>
            </w:pPr>
          </w:p>
        </w:tc>
        <w:tc>
          <w:tcPr>
            <w:tcW w:w="0" w:type="auto"/>
            <w:shd w:val="clear" w:color="auto" w:fill="auto"/>
          </w:tcPr>
          <w:p w14:paraId="33DAA796" w14:textId="77777777" w:rsidR="004D6A64" w:rsidRDefault="004D6A64">
            <w:pPr>
              <w:rPr>
                <w:rFonts w:ascii="宋体"/>
              </w:rPr>
            </w:pPr>
          </w:p>
        </w:tc>
        <w:tc>
          <w:tcPr>
            <w:tcW w:w="0" w:type="auto"/>
            <w:shd w:val="clear" w:color="auto" w:fill="auto"/>
          </w:tcPr>
          <w:p w14:paraId="33DAA797" w14:textId="77777777" w:rsidR="004D6A64" w:rsidRDefault="004D6A64">
            <w:pPr>
              <w:rPr>
                <w:rFonts w:ascii="宋体"/>
              </w:rPr>
            </w:pPr>
          </w:p>
        </w:tc>
        <w:tc>
          <w:tcPr>
            <w:tcW w:w="0" w:type="auto"/>
            <w:shd w:val="clear" w:color="auto" w:fill="auto"/>
          </w:tcPr>
          <w:p w14:paraId="33DAA798" w14:textId="77777777" w:rsidR="004D6A64" w:rsidRDefault="004D6A64">
            <w:pPr>
              <w:rPr>
                <w:rFonts w:ascii="宋体"/>
              </w:rPr>
            </w:pPr>
          </w:p>
        </w:tc>
        <w:tc>
          <w:tcPr>
            <w:tcW w:w="0" w:type="auto"/>
            <w:shd w:val="clear" w:color="auto" w:fill="auto"/>
          </w:tcPr>
          <w:p w14:paraId="33DAA799" w14:textId="77777777" w:rsidR="004D6A64" w:rsidRDefault="004D6A64">
            <w:pPr>
              <w:rPr>
                <w:rFonts w:ascii="宋体"/>
              </w:rPr>
            </w:pPr>
          </w:p>
        </w:tc>
        <w:tc>
          <w:tcPr>
            <w:tcW w:w="0" w:type="auto"/>
            <w:shd w:val="clear" w:color="auto" w:fill="auto"/>
          </w:tcPr>
          <w:p w14:paraId="33DAA79A" w14:textId="77777777" w:rsidR="004D6A64" w:rsidRDefault="004D6A64">
            <w:pPr>
              <w:rPr>
                <w:rFonts w:ascii="宋体"/>
              </w:rPr>
            </w:pPr>
          </w:p>
        </w:tc>
        <w:tc>
          <w:tcPr>
            <w:tcW w:w="0" w:type="auto"/>
            <w:shd w:val="clear" w:color="auto" w:fill="auto"/>
          </w:tcPr>
          <w:p w14:paraId="33DAA79B" w14:textId="77777777" w:rsidR="004D6A64" w:rsidRDefault="004D6A64">
            <w:pPr>
              <w:rPr>
                <w:rFonts w:ascii="宋体"/>
              </w:rPr>
            </w:pPr>
          </w:p>
        </w:tc>
        <w:tc>
          <w:tcPr>
            <w:tcW w:w="0" w:type="auto"/>
            <w:shd w:val="clear" w:color="auto" w:fill="auto"/>
          </w:tcPr>
          <w:p w14:paraId="33DAA79C" w14:textId="77777777" w:rsidR="004D6A64" w:rsidRDefault="004D6A64">
            <w:pPr>
              <w:rPr>
                <w:rFonts w:ascii="宋体"/>
              </w:rPr>
            </w:pPr>
          </w:p>
        </w:tc>
        <w:tc>
          <w:tcPr>
            <w:tcW w:w="0" w:type="auto"/>
            <w:shd w:val="clear" w:color="auto" w:fill="auto"/>
          </w:tcPr>
          <w:p w14:paraId="33DAA79D" w14:textId="77777777" w:rsidR="004D6A64" w:rsidRDefault="004D6A64">
            <w:pPr>
              <w:rPr>
                <w:rFonts w:ascii="宋体"/>
              </w:rPr>
            </w:pPr>
          </w:p>
        </w:tc>
        <w:tc>
          <w:tcPr>
            <w:tcW w:w="0" w:type="auto"/>
            <w:shd w:val="clear" w:color="auto" w:fill="auto"/>
          </w:tcPr>
          <w:p w14:paraId="33DAA79E" w14:textId="77777777" w:rsidR="004D6A64" w:rsidRDefault="004D6A64">
            <w:pPr>
              <w:rPr>
                <w:rFonts w:ascii="宋体"/>
              </w:rPr>
            </w:pPr>
          </w:p>
        </w:tc>
        <w:tc>
          <w:tcPr>
            <w:tcW w:w="0" w:type="auto"/>
            <w:shd w:val="clear" w:color="auto" w:fill="auto"/>
          </w:tcPr>
          <w:p w14:paraId="33DAA79F" w14:textId="77777777" w:rsidR="004D6A64" w:rsidRDefault="004D6A64">
            <w:pPr>
              <w:rPr>
                <w:rFonts w:ascii="宋体"/>
              </w:rPr>
            </w:pPr>
          </w:p>
        </w:tc>
        <w:tc>
          <w:tcPr>
            <w:tcW w:w="0" w:type="auto"/>
            <w:shd w:val="clear" w:color="auto" w:fill="auto"/>
          </w:tcPr>
          <w:p w14:paraId="33DAA7A0" w14:textId="77777777" w:rsidR="004D6A64" w:rsidRDefault="004D6A64">
            <w:pPr>
              <w:rPr>
                <w:rFonts w:ascii="宋体"/>
              </w:rPr>
            </w:pPr>
          </w:p>
        </w:tc>
        <w:tc>
          <w:tcPr>
            <w:tcW w:w="0" w:type="auto"/>
            <w:shd w:val="clear" w:color="auto" w:fill="auto"/>
          </w:tcPr>
          <w:p w14:paraId="33DAA7A1" w14:textId="77777777" w:rsidR="004D6A64" w:rsidRDefault="004D6A64">
            <w:pPr>
              <w:rPr>
                <w:rFonts w:ascii="宋体"/>
              </w:rPr>
            </w:pPr>
          </w:p>
        </w:tc>
        <w:tc>
          <w:tcPr>
            <w:tcW w:w="0" w:type="auto"/>
            <w:shd w:val="clear" w:color="auto" w:fill="auto"/>
          </w:tcPr>
          <w:p w14:paraId="33DAA7A2" w14:textId="77777777" w:rsidR="004D6A64" w:rsidRDefault="004D6A64">
            <w:pPr>
              <w:rPr>
                <w:rFonts w:ascii="宋体"/>
              </w:rPr>
            </w:pPr>
          </w:p>
        </w:tc>
        <w:tc>
          <w:tcPr>
            <w:tcW w:w="0" w:type="auto"/>
            <w:shd w:val="clear" w:color="auto" w:fill="auto"/>
          </w:tcPr>
          <w:p w14:paraId="33DAA7A3" w14:textId="77777777" w:rsidR="004D6A64" w:rsidRDefault="004D6A64">
            <w:pPr>
              <w:rPr>
                <w:rFonts w:ascii="宋体"/>
              </w:rPr>
            </w:pPr>
          </w:p>
        </w:tc>
        <w:tc>
          <w:tcPr>
            <w:tcW w:w="0" w:type="auto"/>
            <w:shd w:val="clear" w:color="auto" w:fill="auto"/>
          </w:tcPr>
          <w:p w14:paraId="33DAA7A4" w14:textId="77777777" w:rsidR="004D6A64" w:rsidRDefault="004D6A64">
            <w:pPr>
              <w:rPr>
                <w:rFonts w:ascii="宋体"/>
              </w:rPr>
            </w:pPr>
          </w:p>
        </w:tc>
        <w:tc>
          <w:tcPr>
            <w:tcW w:w="0" w:type="auto"/>
            <w:shd w:val="clear" w:color="auto" w:fill="auto"/>
          </w:tcPr>
          <w:p w14:paraId="33DAA7A5" w14:textId="77777777" w:rsidR="004D6A64" w:rsidRDefault="004D6A64">
            <w:pPr>
              <w:rPr>
                <w:rFonts w:ascii="宋体"/>
              </w:rPr>
            </w:pPr>
          </w:p>
        </w:tc>
        <w:tc>
          <w:tcPr>
            <w:tcW w:w="0" w:type="auto"/>
            <w:shd w:val="clear" w:color="auto" w:fill="auto"/>
          </w:tcPr>
          <w:p w14:paraId="33DAA7A6" w14:textId="77777777" w:rsidR="004D6A64" w:rsidRDefault="004D6A64">
            <w:pPr>
              <w:rPr>
                <w:rFonts w:ascii="宋体"/>
              </w:rPr>
            </w:pPr>
          </w:p>
        </w:tc>
        <w:tc>
          <w:tcPr>
            <w:tcW w:w="0" w:type="auto"/>
            <w:shd w:val="clear" w:color="auto" w:fill="auto"/>
          </w:tcPr>
          <w:p w14:paraId="33DAA7A7" w14:textId="77777777" w:rsidR="004D6A64" w:rsidRDefault="004D6A64">
            <w:pPr>
              <w:rPr>
                <w:rFonts w:ascii="宋体"/>
              </w:rPr>
            </w:pPr>
          </w:p>
        </w:tc>
        <w:tc>
          <w:tcPr>
            <w:tcW w:w="0" w:type="auto"/>
            <w:shd w:val="clear" w:color="auto" w:fill="auto"/>
          </w:tcPr>
          <w:p w14:paraId="33DAA7A8" w14:textId="77777777" w:rsidR="004D6A64" w:rsidRDefault="004D6A64">
            <w:pPr>
              <w:rPr>
                <w:rFonts w:ascii="宋体"/>
              </w:rPr>
            </w:pPr>
          </w:p>
        </w:tc>
        <w:tc>
          <w:tcPr>
            <w:tcW w:w="0" w:type="auto"/>
            <w:shd w:val="clear" w:color="auto" w:fill="auto"/>
          </w:tcPr>
          <w:p w14:paraId="33DAA7A9" w14:textId="77777777" w:rsidR="004D6A64" w:rsidRDefault="004D6A64">
            <w:pPr>
              <w:rPr>
                <w:rFonts w:ascii="宋体"/>
              </w:rPr>
            </w:pPr>
          </w:p>
        </w:tc>
        <w:tc>
          <w:tcPr>
            <w:tcW w:w="0" w:type="auto"/>
            <w:shd w:val="clear" w:color="auto" w:fill="auto"/>
          </w:tcPr>
          <w:p w14:paraId="33DAA7AA" w14:textId="77777777" w:rsidR="004D6A64" w:rsidRDefault="004D6A64">
            <w:pPr>
              <w:rPr>
                <w:rFonts w:ascii="宋体"/>
              </w:rPr>
            </w:pPr>
          </w:p>
        </w:tc>
        <w:tc>
          <w:tcPr>
            <w:tcW w:w="0" w:type="auto"/>
            <w:shd w:val="clear" w:color="auto" w:fill="auto"/>
          </w:tcPr>
          <w:p w14:paraId="33DAA7AB" w14:textId="77777777" w:rsidR="004D6A64" w:rsidRDefault="004D6A64">
            <w:pPr>
              <w:rPr>
                <w:rFonts w:ascii="宋体"/>
              </w:rPr>
            </w:pPr>
          </w:p>
        </w:tc>
        <w:tc>
          <w:tcPr>
            <w:tcW w:w="0" w:type="auto"/>
            <w:shd w:val="clear" w:color="auto" w:fill="auto"/>
          </w:tcPr>
          <w:p w14:paraId="33DAA7AC" w14:textId="77777777" w:rsidR="004D6A64" w:rsidRDefault="004D6A64">
            <w:pPr>
              <w:rPr>
                <w:rFonts w:ascii="宋体"/>
              </w:rPr>
            </w:pPr>
          </w:p>
        </w:tc>
      </w:tr>
      <w:tr w:rsidR="004D6A64" w14:paraId="33DAA7DB" w14:textId="77777777">
        <w:tc>
          <w:tcPr>
            <w:tcW w:w="0" w:type="auto"/>
            <w:gridSpan w:val="3"/>
            <w:shd w:val="clear" w:color="auto" w:fill="CCEEFF"/>
            <w:tcMar>
              <w:top w:w="40" w:type="dxa"/>
              <w:left w:w="240" w:type="dxa"/>
              <w:bottom w:w="40" w:type="dxa"/>
              <w:right w:w="20" w:type="dxa"/>
            </w:tcMar>
            <w:vAlign w:val="center"/>
          </w:tcPr>
          <w:p w14:paraId="33DAA7AE" w14:textId="77777777" w:rsidR="004D6A64" w:rsidRDefault="00506CD6">
            <w:pPr>
              <w:textAlignment w:val="center"/>
            </w:pPr>
            <w:r>
              <w:rPr>
                <w:rFonts w:ascii="Times New Roman" w:eastAsia="宋体" w:hAnsi="Times New Roman"/>
                <w:color w:val="000000"/>
                <w:sz w:val="20"/>
                <w:szCs w:val="20"/>
              </w:rPr>
              <w:t>Residual interest</w:t>
            </w:r>
          </w:p>
        </w:tc>
        <w:tc>
          <w:tcPr>
            <w:tcW w:w="0" w:type="auto"/>
            <w:gridSpan w:val="2"/>
            <w:shd w:val="clear" w:color="auto" w:fill="CCEEFF"/>
            <w:tcMar>
              <w:top w:w="40" w:type="dxa"/>
              <w:left w:w="20" w:type="dxa"/>
              <w:bottom w:w="40" w:type="dxa"/>
              <w:right w:w="0" w:type="dxa"/>
            </w:tcMar>
            <w:vAlign w:val="center"/>
          </w:tcPr>
          <w:p w14:paraId="33DAA7AF"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A7B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7B1"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7B2" w14:textId="77777777" w:rsidR="004D6A64" w:rsidRDefault="00506CD6">
            <w:pPr>
              <w:jc w:val="right"/>
              <w:textAlignment w:val="center"/>
            </w:pPr>
            <w:r>
              <w:rPr>
                <w:rFonts w:ascii="Times New Roman" w:eastAsia="宋体" w:hAnsi="Times New Roman"/>
                <w:color w:val="000000"/>
                <w:sz w:val="20"/>
                <w:szCs w:val="20"/>
              </w:rPr>
              <w:t>523 </w:t>
            </w:r>
          </w:p>
        </w:tc>
        <w:tc>
          <w:tcPr>
            <w:tcW w:w="0" w:type="auto"/>
            <w:shd w:val="clear" w:color="auto" w:fill="CCEEFF"/>
            <w:tcMar>
              <w:top w:w="40" w:type="dxa"/>
              <w:bottom w:w="40" w:type="dxa"/>
              <w:right w:w="20" w:type="dxa"/>
            </w:tcMar>
            <w:vAlign w:val="center"/>
          </w:tcPr>
          <w:p w14:paraId="33DAA7B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7B4"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7B5" w14:textId="77777777" w:rsidR="004D6A64" w:rsidRDefault="00506CD6">
            <w:pPr>
              <w:jc w:val="right"/>
              <w:textAlignment w:val="center"/>
            </w:pPr>
            <w:r>
              <w:rPr>
                <w:rFonts w:ascii="Times New Roman" w:eastAsia="宋体" w:hAnsi="Times New Roman"/>
                <w:color w:val="000000"/>
                <w:sz w:val="20"/>
                <w:szCs w:val="20"/>
              </w:rPr>
              <w:t>523 </w:t>
            </w:r>
          </w:p>
        </w:tc>
        <w:tc>
          <w:tcPr>
            <w:tcW w:w="0" w:type="auto"/>
            <w:shd w:val="clear" w:color="auto" w:fill="CCEEFF"/>
            <w:tcMar>
              <w:top w:w="40" w:type="dxa"/>
              <w:bottom w:w="40" w:type="dxa"/>
              <w:right w:w="20" w:type="dxa"/>
            </w:tcMar>
            <w:vAlign w:val="center"/>
          </w:tcPr>
          <w:p w14:paraId="33DAA7B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7B7"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7B8"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A7B9"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7BA"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7BB" w14:textId="77777777" w:rsidR="004D6A64" w:rsidRDefault="00506CD6">
            <w:pPr>
              <w:jc w:val="right"/>
              <w:textAlignment w:val="center"/>
            </w:pPr>
            <w:r>
              <w:rPr>
                <w:rFonts w:ascii="Times New Roman" w:eastAsia="宋体" w:hAnsi="Times New Roman"/>
                <w:color w:val="000000"/>
                <w:sz w:val="20"/>
                <w:szCs w:val="20"/>
              </w:rPr>
              <w:t>582 </w:t>
            </w:r>
          </w:p>
        </w:tc>
        <w:tc>
          <w:tcPr>
            <w:tcW w:w="0" w:type="auto"/>
            <w:shd w:val="clear" w:color="auto" w:fill="CCEEFF"/>
            <w:tcMar>
              <w:top w:w="40" w:type="dxa"/>
              <w:bottom w:w="40" w:type="dxa"/>
              <w:right w:w="20" w:type="dxa"/>
            </w:tcMar>
            <w:vAlign w:val="center"/>
          </w:tcPr>
          <w:p w14:paraId="33DAA7B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7B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7BE" w14:textId="77777777" w:rsidR="004D6A64" w:rsidRDefault="00506CD6">
            <w:pPr>
              <w:jc w:val="right"/>
              <w:textAlignment w:val="center"/>
            </w:pPr>
            <w:r>
              <w:rPr>
                <w:rFonts w:ascii="Times New Roman" w:eastAsia="宋体" w:hAnsi="Times New Roman"/>
                <w:color w:val="000000"/>
                <w:sz w:val="20"/>
                <w:szCs w:val="20"/>
              </w:rPr>
              <w:t>582 </w:t>
            </w:r>
          </w:p>
        </w:tc>
        <w:tc>
          <w:tcPr>
            <w:tcW w:w="0" w:type="auto"/>
            <w:shd w:val="clear" w:color="auto" w:fill="CCEEFF"/>
            <w:tcMar>
              <w:top w:w="40" w:type="dxa"/>
              <w:bottom w:w="40" w:type="dxa"/>
              <w:right w:w="20" w:type="dxa"/>
            </w:tcMar>
            <w:vAlign w:val="center"/>
          </w:tcPr>
          <w:p w14:paraId="33DAA7BF" w14:textId="77777777" w:rsidR="004D6A64" w:rsidRDefault="004D6A64">
            <w:pPr>
              <w:jc w:val="right"/>
              <w:rPr>
                <w:rFonts w:ascii="宋体"/>
              </w:rPr>
            </w:pPr>
          </w:p>
        </w:tc>
        <w:tc>
          <w:tcPr>
            <w:tcW w:w="0" w:type="auto"/>
            <w:shd w:val="clear" w:color="auto" w:fill="auto"/>
          </w:tcPr>
          <w:p w14:paraId="33DAA7C0" w14:textId="77777777" w:rsidR="004D6A64" w:rsidRDefault="004D6A64">
            <w:pPr>
              <w:rPr>
                <w:rFonts w:ascii="宋体"/>
              </w:rPr>
            </w:pPr>
          </w:p>
        </w:tc>
        <w:tc>
          <w:tcPr>
            <w:tcW w:w="0" w:type="auto"/>
            <w:shd w:val="clear" w:color="auto" w:fill="auto"/>
          </w:tcPr>
          <w:p w14:paraId="33DAA7C1" w14:textId="77777777" w:rsidR="004D6A64" w:rsidRDefault="004D6A64">
            <w:pPr>
              <w:rPr>
                <w:rFonts w:ascii="宋体"/>
              </w:rPr>
            </w:pPr>
          </w:p>
        </w:tc>
        <w:tc>
          <w:tcPr>
            <w:tcW w:w="0" w:type="auto"/>
            <w:shd w:val="clear" w:color="auto" w:fill="auto"/>
          </w:tcPr>
          <w:p w14:paraId="33DAA7C2" w14:textId="77777777" w:rsidR="004D6A64" w:rsidRDefault="004D6A64">
            <w:pPr>
              <w:rPr>
                <w:rFonts w:ascii="宋体"/>
              </w:rPr>
            </w:pPr>
          </w:p>
        </w:tc>
        <w:tc>
          <w:tcPr>
            <w:tcW w:w="0" w:type="auto"/>
            <w:shd w:val="clear" w:color="auto" w:fill="auto"/>
          </w:tcPr>
          <w:p w14:paraId="33DAA7C3" w14:textId="77777777" w:rsidR="004D6A64" w:rsidRDefault="004D6A64">
            <w:pPr>
              <w:rPr>
                <w:rFonts w:ascii="宋体"/>
              </w:rPr>
            </w:pPr>
          </w:p>
        </w:tc>
        <w:tc>
          <w:tcPr>
            <w:tcW w:w="0" w:type="auto"/>
            <w:shd w:val="clear" w:color="auto" w:fill="auto"/>
          </w:tcPr>
          <w:p w14:paraId="33DAA7C4" w14:textId="77777777" w:rsidR="004D6A64" w:rsidRDefault="004D6A64">
            <w:pPr>
              <w:rPr>
                <w:rFonts w:ascii="宋体"/>
              </w:rPr>
            </w:pPr>
          </w:p>
        </w:tc>
        <w:tc>
          <w:tcPr>
            <w:tcW w:w="0" w:type="auto"/>
            <w:shd w:val="clear" w:color="auto" w:fill="auto"/>
          </w:tcPr>
          <w:p w14:paraId="33DAA7C5" w14:textId="77777777" w:rsidR="004D6A64" w:rsidRDefault="004D6A64">
            <w:pPr>
              <w:rPr>
                <w:rFonts w:ascii="宋体"/>
              </w:rPr>
            </w:pPr>
          </w:p>
        </w:tc>
        <w:tc>
          <w:tcPr>
            <w:tcW w:w="0" w:type="auto"/>
            <w:shd w:val="clear" w:color="auto" w:fill="auto"/>
          </w:tcPr>
          <w:p w14:paraId="33DAA7C6" w14:textId="77777777" w:rsidR="004D6A64" w:rsidRDefault="004D6A64">
            <w:pPr>
              <w:rPr>
                <w:rFonts w:ascii="宋体"/>
              </w:rPr>
            </w:pPr>
          </w:p>
        </w:tc>
        <w:tc>
          <w:tcPr>
            <w:tcW w:w="0" w:type="auto"/>
            <w:shd w:val="clear" w:color="auto" w:fill="auto"/>
          </w:tcPr>
          <w:p w14:paraId="33DAA7C7" w14:textId="77777777" w:rsidR="004D6A64" w:rsidRDefault="004D6A64">
            <w:pPr>
              <w:rPr>
                <w:rFonts w:ascii="宋体"/>
              </w:rPr>
            </w:pPr>
          </w:p>
        </w:tc>
        <w:tc>
          <w:tcPr>
            <w:tcW w:w="0" w:type="auto"/>
            <w:shd w:val="clear" w:color="auto" w:fill="auto"/>
          </w:tcPr>
          <w:p w14:paraId="33DAA7C8" w14:textId="77777777" w:rsidR="004D6A64" w:rsidRDefault="004D6A64">
            <w:pPr>
              <w:rPr>
                <w:rFonts w:ascii="宋体"/>
              </w:rPr>
            </w:pPr>
          </w:p>
        </w:tc>
        <w:tc>
          <w:tcPr>
            <w:tcW w:w="0" w:type="auto"/>
            <w:shd w:val="clear" w:color="auto" w:fill="auto"/>
          </w:tcPr>
          <w:p w14:paraId="33DAA7C9" w14:textId="77777777" w:rsidR="004D6A64" w:rsidRDefault="004D6A64">
            <w:pPr>
              <w:rPr>
                <w:rFonts w:ascii="宋体"/>
              </w:rPr>
            </w:pPr>
          </w:p>
        </w:tc>
        <w:tc>
          <w:tcPr>
            <w:tcW w:w="0" w:type="auto"/>
            <w:shd w:val="clear" w:color="auto" w:fill="auto"/>
          </w:tcPr>
          <w:p w14:paraId="33DAA7CA" w14:textId="77777777" w:rsidR="004D6A64" w:rsidRDefault="004D6A64">
            <w:pPr>
              <w:rPr>
                <w:rFonts w:ascii="宋体"/>
              </w:rPr>
            </w:pPr>
          </w:p>
        </w:tc>
        <w:tc>
          <w:tcPr>
            <w:tcW w:w="0" w:type="auto"/>
            <w:shd w:val="clear" w:color="auto" w:fill="auto"/>
          </w:tcPr>
          <w:p w14:paraId="33DAA7CB" w14:textId="77777777" w:rsidR="004D6A64" w:rsidRDefault="004D6A64">
            <w:pPr>
              <w:rPr>
                <w:rFonts w:ascii="宋体"/>
              </w:rPr>
            </w:pPr>
          </w:p>
        </w:tc>
        <w:tc>
          <w:tcPr>
            <w:tcW w:w="0" w:type="auto"/>
            <w:shd w:val="clear" w:color="auto" w:fill="auto"/>
          </w:tcPr>
          <w:p w14:paraId="33DAA7CC" w14:textId="77777777" w:rsidR="004D6A64" w:rsidRDefault="004D6A64">
            <w:pPr>
              <w:rPr>
                <w:rFonts w:ascii="宋体"/>
              </w:rPr>
            </w:pPr>
          </w:p>
        </w:tc>
        <w:tc>
          <w:tcPr>
            <w:tcW w:w="0" w:type="auto"/>
            <w:shd w:val="clear" w:color="auto" w:fill="auto"/>
          </w:tcPr>
          <w:p w14:paraId="33DAA7CD" w14:textId="77777777" w:rsidR="004D6A64" w:rsidRDefault="004D6A64">
            <w:pPr>
              <w:rPr>
                <w:rFonts w:ascii="宋体"/>
              </w:rPr>
            </w:pPr>
          </w:p>
        </w:tc>
        <w:tc>
          <w:tcPr>
            <w:tcW w:w="0" w:type="auto"/>
            <w:shd w:val="clear" w:color="auto" w:fill="auto"/>
          </w:tcPr>
          <w:p w14:paraId="33DAA7CE" w14:textId="77777777" w:rsidR="004D6A64" w:rsidRDefault="004D6A64">
            <w:pPr>
              <w:rPr>
                <w:rFonts w:ascii="宋体"/>
              </w:rPr>
            </w:pPr>
          </w:p>
        </w:tc>
        <w:tc>
          <w:tcPr>
            <w:tcW w:w="0" w:type="auto"/>
            <w:shd w:val="clear" w:color="auto" w:fill="auto"/>
          </w:tcPr>
          <w:p w14:paraId="33DAA7CF" w14:textId="77777777" w:rsidR="004D6A64" w:rsidRDefault="004D6A64">
            <w:pPr>
              <w:rPr>
                <w:rFonts w:ascii="宋体"/>
              </w:rPr>
            </w:pPr>
          </w:p>
        </w:tc>
        <w:tc>
          <w:tcPr>
            <w:tcW w:w="0" w:type="auto"/>
            <w:shd w:val="clear" w:color="auto" w:fill="auto"/>
          </w:tcPr>
          <w:p w14:paraId="33DAA7D0" w14:textId="77777777" w:rsidR="004D6A64" w:rsidRDefault="004D6A64">
            <w:pPr>
              <w:rPr>
                <w:rFonts w:ascii="宋体"/>
              </w:rPr>
            </w:pPr>
          </w:p>
        </w:tc>
        <w:tc>
          <w:tcPr>
            <w:tcW w:w="0" w:type="auto"/>
            <w:shd w:val="clear" w:color="auto" w:fill="auto"/>
          </w:tcPr>
          <w:p w14:paraId="33DAA7D1" w14:textId="77777777" w:rsidR="004D6A64" w:rsidRDefault="004D6A64">
            <w:pPr>
              <w:rPr>
                <w:rFonts w:ascii="宋体"/>
              </w:rPr>
            </w:pPr>
          </w:p>
        </w:tc>
        <w:tc>
          <w:tcPr>
            <w:tcW w:w="0" w:type="auto"/>
            <w:shd w:val="clear" w:color="auto" w:fill="auto"/>
          </w:tcPr>
          <w:p w14:paraId="33DAA7D2" w14:textId="77777777" w:rsidR="004D6A64" w:rsidRDefault="004D6A64">
            <w:pPr>
              <w:rPr>
                <w:rFonts w:ascii="宋体"/>
              </w:rPr>
            </w:pPr>
          </w:p>
        </w:tc>
        <w:tc>
          <w:tcPr>
            <w:tcW w:w="0" w:type="auto"/>
            <w:shd w:val="clear" w:color="auto" w:fill="auto"/>
          </w:tcPr>
          <w:p w14:paraId="33DAA7D3" w14:textId="77777777" w:rsidR="004D6A64" w:rsidRDefault="004D6A64">
            <w:pPr>
              <w:rPr>
                <w:rFonts w:ascii="宋体"/>
              </w:rPr>
            </w:pPr>
          </w:p>
        </w:tc>
        <w:tc>
          <w:tcPr>
            <w:tcW w:w="0" w:type="auto"/>
            <w:shd w:val="clear" w:color="auto" w:fill="auto"/>
          </w:tcPr>
          <w:p w14:paraId="33DAA7D4" w14:textId="77777777" w:rsidR="004D6A64" w:rsidRDefault="004D6A64">
            <w:pPr>
              <w:rPr>
                <w:rFonts w:ascii="宋体"/>
              </w:rPr>
            </w:pPr>
          </w:p>
        </w:tc>
        <w:tc>
          <w:tcPr>
            <w:tcW w:w="0" w:type="auto"/>
            <w:shd w:val="clear" w:color="auto" w:fill="auto"/>
          </w:tcPr>
          <w:p w14:paraId="33DAA7D5" w14:textId="77777777" w:rsidR="004D6A64" w:rsidRDefault="004D6A64">
            <w:pPr>
              <w:rPr>
                <w:rFonts w:ascii="宋体"/>
              </w:rPr>
            </w:pPr>
          </w:p>
        </w:tc>
        <w:tc>
          <w:tcPr>
            <w:tcW w:w="0" w:type="auto"/>
            <w:shd w:val="clear" w:color="auto" w:fill="auto"/>
          </w:tcPr>
          <w:p w14:paraId="33DAA7D6" w14:textId="77777777" w:rsidR="004D6A64" w:rsidRDefault="004D6A64">
            <w:pPr>
              <w:rPr>
                <w:rFonts w:ascii="宋体"/>
              </w:rPr>
            </w:pPr>
          </w:p>
        </w:tc>
        <w:tc>
          <w:tcPr>
            <w:tcW w:w="0" w:type="auto"/>
            <w:shd w:val="clear" w:color="auto" w:fill="auto"/>
          </w:tcPr>
          <w:p w14:paraId="33DAA7D7" w14:textId="77777777" w:rsidR="004D6A64" w:rsidRDefault="004D6A64">
            <w:pPr>
              <w:rPr>
                <w:rFonts w:ascii="宋体"/>
              </w:rPr>
            </w:pPr>
          </w:p>
        </w:tc>
        <w:tc>
          <w:tcPr>
            <w:tcW w:w="0" w:type="auto"/>
            <w:shd w:val="clear" w:color="auto" w:fill="auto"/>
          </w:tcPr>
          <w:p w14:paraId="33DAA7D8" w14:textId="77777777" w:rsidR="004D6A64" w:rsidRDefault="004D6A64">
            <w:pPr>
              <w:rPr>
                <w:rFonts w:ascii="宋体"/>
              </w:rPr>
            </w:pPr>
          </w:p>
        </w:tc>
        <w:tc>
          <w:tcPr>
            <w:tcW w:w="0" w:type="auto"/>
            <w:shd w:val="clear" w:color="auto" w:fill="auto"/>
          </w:tcPr>
          <w:p w14:paraId="33DAA7D9" w14:textId="77777777" w:rsidR="004D6A64" w:rsidRDefault="004D6A64">
            <w:pPr>
              <w:rPr>
                <w:rFonts w:ascii="宋体"/>
              </w:rPr>
            </w:pPr>
          </w:p>
        </w:tc>
        <w:tc>
          <w:tcPr>
            <w:tcW w:w="0" w:type="auto"/>
            <w:shd w:val="clear" w:color="auto" w:fill="auto"/>
          </w:tcPr>
          <w:p w14:paraId="33DAA7DA" w14:textId="77777777" w:rsidR="004D6A64" w:rsidRDefault="004D6A64">
            <w:pPr>
              <w:rPr>
                <w:rFonts w:ascii="宋体"/>
              </w:rPr>
            </w:pPr>
          </w:p>
        </w:tc>
      </w:tr>
      <w:tr w:rsidR="004D6A64" w14:paraId="33DAA80F" w14:textId="77777777">
        <w:tc>
          <w:tcPr>
            <w:tcW w:w="0" w:type="auto"/>
            <w:gridSpan w:val="3"/>
            <w:shd w:val="clear" w:color="auto" w:fill="FFFFFF"/>
            <w:tcMar>
              <w:top w:w="40" w:type="dxa"/>
              <w:left w:w="375" w:type="dxa"/>
              <w:bottom w:w="40" w:type="dxa"/>
              <w:right w:w="20" w:type="dxa"/>
            </w:tcMar>
            <w:vAlign w:val="center"/>
          </w:tcPr>
          <w:p w14:paraId="33DAA7DC" w14:textId="77777777" w:rsidR="004D6A64" w:rsidRDefault="00506CD6">
            <w:pPr>
              <w:textAlignment w:val="center"/>
            </w:pPr>
            <w:r>
              <w:rPr>
                <w:rFonts w:ascii="Times New Roman" w:eastAsia="宋体" w:hAnsi="Times New Roman"/>
                <w:color w:val="000000"/>
                <w:sz w:val="20"/>
                <w:szCs w:val="20"/>
              </w:rPr>
              <w:t>Financing receivables, net</w:t>
            </w:r>
          </w:p>
        </w:tc>
        <w:tc>
          <w:tcPr>
            <w:tcW w:w="0" w:type="auto"/>
            <w:tcBorders>
              <w:top w:val="single" w:sz="8" w:space="0" w:color="000000"/>
            </w:tcBorders>
            <w:shd w:val="clear" w:color="auto" w:fill="FFFFFF"/>
            <w:tcMar>
              <w:top w:w="40" w:type="dxa"/>
              <w:left w:w="20" w:type="dxa"/>
              <w:bottom w:w="40" w:type="dxa"/>
            </w:tcMar>
            <w:vAlign w:val="center"/>
          </w:tcPr>
          <w:p w14:paraId="33DAA7DD"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A7DE" w14:textId="77777777" w:rsidR="004D6A64" w:rsidRDefault="00506CD6">
            <w:pPr>
              <w:jc w:val="right"/>
              <w:textAlignment w:val="center"/>
            </w:pPr>
            <w:r>
              <w:rPr>
                <w:rFonts w:ascii="Times New Roman" w:eastAsia="宋体" w:hAnsi="Times New Roman"/>
                <w:color w:val="000000"/>
                <w:sz w:val="20"/>
                <w:szCs w:val="20"/>
              </w:rPr>
              <w:t>635 </w:t>
            </w:r>
          </w:p>
        </w:tc>
        <w:tc>
          <w:tcPr>
            <w:tcW w:w="0" w:type="auto"/>
            <w:tcBorders>
              <w:top w:val="single" w:sz="8" w:space="0" w:color="000000"/>
            </w:tcBorders>
            <w:shd w:val="clear" w:color="auto" w:fill="FFFFFF"/>
            <w:tcMar>
              <w:top w:w="40" w:type="dxa"/>
              <w:bottom w:w="40" w:type="dxa"/>
              <w:right w:w="20" w:type="dxa"/>
            </w:tcMar>
            <w:vAlign w:val="center"/>
          </w:tcPr>
          <w:p w14:paraId="33DAA7D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7E0"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A7E1"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A7E2" w14:textId="77777777" w:rsidR="004D6A64" w:rsidRDefault="00506CD6">
            <w:pPr>
              <w:jc w:val="right"/>
              <w:textAlignment w:val="center"/>
            </w:pPr>
            <w:r>
              <w:rPr>
                <w:rFonts w:ascii="Times New Roman" w:eastAsia="宋体" w:hAnsi="Times New Roman"/>
                <w:color w:val="000000"/>
                <w:sz w:val="20"/>
                <w:szCs w:val="20"/>
              </w:rPr>
              <w:t>9,598 </w:t>
            </w:r>
          </w:p>
        </w:tc>
        <w:tc>
          <w:tcPr>
            <w:tcW w:w="0" w:type="auto"/>
            <w:tcBorders>
              <w:top w:val="single" w:sz="8" w:space="0" w:color="000000"/>
            </w:tcBorders>
            <w:shd w:val="clear" w:color="auto" w:fill="FFFFFF"/>
            <w:tcMar>
              <w:top w:w="40" w:type="dxa"/>
              <w:bottom w:w="40" w:type="dxa"/>
              <w:right w:w="20" w:type="dxa"/>
            </w:tcMar>
            <w:vAlign w:val="center"/>
          </w:tcPr>
          <w:p w14:paraId="33DAA7E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7E4"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A7E5"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A7E6" w14:textId="77777777" w:rsidR="004D6A64" w:rsidRDefault="00506CD6">
            <w:pPr>
              <w:jc w:val="right"/>
              <w:textAlignment w:val="center"/>
            </w:pPr>
            <w:r>
              <w:rPr>
                <w:rFonts w:ascii="Times New Roman" w:eastAsia="宋体" w:hAnsi="Times New Roman"/>
                <w:color w:val="000000"/>
                <w:sz w:val="20"/>
                <w:szCs w:val="20"/>
              </w:rPr>
              <w:t>10,233 </w:t>
            </w:r>
          </w:p>
        </w:tc>
        <w:tc>
          <w:tcPr>
            <w:tcW w:w="0" w:type="auto"/>
            <w:tcBorders>
              <w:top w:val="single" w:sz="8" w:space="0" w:color="000000"/>
            </w:tcBorders>
            <w:shd w:val="clear" w:color="auto" w:fill="FFFFFF"/>
            <w:tcMar>
              <w:top w:w="40" w:type="dxa"/>
              <w:bottom w:w="40" w:type="dxa"/>
              <w:right w:w="20" w:type="dxa"/>
            </w:tcMar>
            <w:vAlign w:val="center"/>
          </w:tcPr>
          <w:p w14:paraId="33DAA7E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7E8"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A7E9"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A7EA" w14:textId="77777777" w:rsidR="004D6A64" w:rsidRDefault="00506CD6">
            <w:pPr>
              <w:jc w:val="right"/>
              <w:textAlignment w:val="center"/>
            </w:pPr>
            <w:r>
              <w:rPr>
                <w:rFonts w:ascii="Times New Roman" w:eastAsia="宋体" w:hAnsi="Times New Roman"/>
                <w:color w:val="000000"/>
                <w:sz w:val="20"/>
                <w:szCs w:val="20"/>
              </w:rPr>
              <w:t>754 </w:t>
            </w:r>
          </w:p>
        </w:tc>
        <w:tc>
          <w:tcPr>
            <w:tcW w:w="0" w:type="auto"/>
            <w:tcBorders>
              <w:top w:val="single" w:sz="8" w:space="0" w:color="000000"/>
            </w:tcBorders>
            <w:shd w:val="clear" w:color="auto" w:fill="FFFFFF"/>
            <w:tcMar>
              <w:top w:w="40" w:type="dxa"/>
              <w:bottom w:w="40" w:type="dxa"/>
              <w:right w:w="20" w:type="dxa"/>
            </w:tcMar>
            <w:vAlign w:val="center"/>
          </w:tcPr>
          <w:p w14:paraId="33DAA7E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7EC"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A7ED"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A7EE" w14:textId="77777777" w:rsidR="004D6A64" w:rsidRDefault="00506CD6">
            <w:pPr>
              <w:jc w:val="right"/>
              <w:textAlignment w:val="center"/>
            </w:pPr>
            <w:r>
              <w:rPr>
                <w:rFonts w:ascii="Times New Roman" w:eastAsia="宋体" w:hAnsi="Times New Roman"/>
                <w:color w:val="000000"/>
                <w:sz w:val="20"/>
                <w:szCs w:val="20"/>
              </w:rPr>
              <w:t>8,989 </w:t>
            </w:r>
          </w:p>
        </w:tc>
        <w:tc>
          <w:tcPr>
            <w:tcW w:w="0" w:type="auto"/>
            <w:tcBorders>
              <w:top w:val="single" w:sz="8" w:space="0" w:color="000000"/>
            </w:tcBorders>
            <w:shd w:val="clear" w:color="auto" w:fill="FFFFFF"/>
            <w:tcMar>
              <w:top w:w="40" w:type="dxa"/>
              <w:bottom w:w="40" w:type="dxa"/>
              <w:right w:w="20" w:type="dxa"/>
            </w:tcMar>
            <w:vAlign w:val="center"/>
          </w:tcPr>
          <w:p w14:paraId="33DAA7E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7F0"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A7F1"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A7F2" w14:textId="77777777" w:rsidR="004D6A64" w:rsidRDefault="00506CD6">
            <w:pPr>
              <w:jc w:val="right"/>
              <w:textAlignment w:val="center"/>
            </w:pPr>
            <w:r>
              <w:rPr>
                <w:rFonts w:ascii="Times New Roman" w:eastAsia="宋体" w:hAnsi="Times New Roman"/>
                <w:color w:val="000000"/>
                <w:sz w:val="20"/>
                <w:szCs w:val="20"/>
              </w:rPr>
              <w:t>9,743 </w:t>
            </w:r>
          </w:p>
        </w:tc>
        <w:tc>
          <w:tcPr>
            <w:tcW w:w="0" w:type="auto"/>
            <w:tcBorders>
              <w:top w:val="single" w:sz="8" w:space="0" w:color="000000"/>
            </w:tcBorders>
            <w:shd w:val="clear" w:color="auto" w:fill="FFFFFF"/>
            <w:tcMar>
              <w:top w:w="40" w:type="dxa"/>
              <w:bottom w:w="40" w:type="dxa"/>
              <w:right w:w="20" w:type="dxa"/>
            </w:tcMar>
            <w:vAlign w:val="center"/>
          </w:tcPr>
          <w:p w14:paraId="33DAA7F3" w14:textId="77777777" w:rsidR="004D6A64" w:rsidRDefault="004D6A64">
            <w:pPr>
              <w:jc w:val="right"/>
              <w:rPr>
                <w:rFonts w:ascii="宋体"/>
              </w:rPr>
            </w:pPr>
          </w:p>
        </w:tc>
        <w:tc>
          <w:tcPr>
            <w:tcW w:w="0" w:type="auto"/>
            <w:shd w:val="clear" w:color="auto" w:fill="auto"/>
          </w:tcPr>
          <w:p w14:paraId="33DAA7F4" w14:textId="77777777" w:rsidR="004D6A64" w:rsidRDefault="004D6A64">
            <w:pPr>
              <w:rPr>
                <w:rFonts w:ascii="宋体"/>
              </w:rPr>
            </w:pPr>
          </w:p>
        </w:tc>
        <w:tc>
          <w:tcPr>
            <w:tcW w:w="0" w:type="auto"/>
            <w:shd w:val="clear" w:color="auto" w:fill="auto"/>
          </w:tcPr>
          <w:p w14:paraId="33DAA7F5" w14:textId="77777777" w:rsidR="004D6A64" w:rsidRDefault="004D6A64">
            <w:pPr>
              <w:rPr>
                <w:rFonts w:ascii="宋体"/>
              </w:rPr>
            </w:pPr>
          </w:p>
        </w:tc>
        <w:tc>
          <w:tcPr>
            <w:tcW w:w="0" w:type="auto"/>
            <w:shd w:val="clear" w:color="auto" w:fill="auto"/>
          </w:tcPr>
          <w:p w14:paraId="33DAA7F6" w14:textId="77777777" w:rsidR="004D6A64" w:rsidRDefault="004D6A64">
            <w:pPr>
              <w:rPr>
                <w:rFonts w:ascii="宋体"/>
              </w:rPr>
            </w:pPr>
          </w:p>
        </w:tc>
        <w:tc>
          <w:tcPr>
            <w:tcW w:w="0" w:type="auto"/>
            <w:shd w:val="clear" w:color="auto" w:fill="auto"/>
          </w:tcPr>
          <w:p w14:paraId="33DAA7F7" w14:textId="77777777" w:rsidR="004D6A64" w:rsidRDefault="004D6A64">
            <w:pPr>
              <w:rPr>
                <w:rFonts w:ascii="宋体"/>
              </w:rPr>
            </w:pPr>
          </w:p>
        </w:tc>
        <w:tc>
          <w:tcPr>
            <w:tcW w:w="0" w:type="auto"/>
            <w:shd w:val="clear" w:color="auto" w:fill="auto"/>
          </w:tcPr>
          <w:p w14:paraId="33DAA7F8" w14:textId="77777777" w:rsidR="004D6A64" w:rsidRDefault="004D6A64">
            <w:pPr>
              <w:rPr>
                <w:rFonts w:ascii="宋体"/>
              </w:rPr>
            </w:pPr>
          </w:p>
        </w:tc>
        <w:tc>
          <w:tcPr>
            <w:tcW w:w="0" w:type="auto"/>
            <w:shd w:val="clear" w:color="auto" w:fill="auto"/>
          </w:tcPr>
          <w:p w14:paraId="33DAA7F9" w14:textId="77777777" w:rsidR="004D6A64" w:rsidRDefault="004D6A64">
            <w:pPr>
              <w:rPr>
                <w:rFonts w:ascii="宋体"/>
              </w:rPr>
            </w:pPr>
          </w:p>
        </w:tc>
        <w:tc>
          <w:tcPr>
            <w:tcW w:w="0" w:type="auto"/>
            <w:shd w:val="clear" w:color="auto" w:fill="auto"/>
          </w:tcPr>
          <w:p w14:paraId="33DAA7FA" w14:textId="77777777" w:rsidR="004D6A64" w:rsidRDefault="004D6A64">
            <w:pPr>
              <w:rPr>
                <w:rFonts w:ascii="宋体"/>
              </w:rPr>
            </w:pPr>
          </w:p>
        </w:tc>
        <w:tc>
          <w:tcPr>
            <w:tcW w:w="0" w:type="auto"/>
            <w:shd w:val="clear" w:color="auto" w:fill="auto"/>
          </w:tcPr>
          <w:p w14:paraId="33DAA7FB" w14:textId="77777777" w:rsidR="004D6A64" w:rsidRDefault="004D6A64">
            <w:pPr>
              <w:rPr>
                <w:rFonts w:ascii="宋体"/>
              </w:rPr>
            </w:pPr>
          </w:p>
        </w:tc>
        <w:tc>
          <w:tcPr>
            <w:tcW w:w="0" w:type="auto"/>
            <w:shd w:val="clear" w:color="auto" w:fill="auto"/>
          </w:tcPr>
          <w:p w14:paraId="33DAA7FC" w14:textId="77777777" w:rsidR="004D6A64" w:rsidRDefault="004D6A64">
            <w:pPr>
              <w:rPr>
                <w:rFonts w:ascii="宋体"/>
              </w:rPr>
            </w:pPr>
          </w:p>
        </w:tc>
        <w:tc>
          <w:tcPr>
            <w:tcW w:w="0" w:type="auto"/>
            <w:shd w:val="clear" w:color="auto" w:fill="auto"/>
          </w:tcPr>
          <w:p w14:paraId="33DAA7FD" w14:textId="77777777" w:rsidR="004D6A64" w:rsidRDefault="004D6A64">
            <w:pPr>
              <w:rPr>
                <w:rFonts w:ascii="宋体"/>
              </w:rPr>
            </w:pPr>
          </w:p>
        </w:tc>
        <w:tc>
          <w:tcPr>
            <w:tcW w:w="0" w:type="auto"/>
            <w:shd w:val="clear" w:color="auto" w:fill="auto"/>
          </w:tcPr>
          <w:p w14:paraId="33DAA7FE" w14:textId="77777777" w:rsidR="004D6A64" w:rsidRDefault="004D6A64">
            <w:pPr>
              <w:rPr>
                <w:rFonts w:ascii="宋体"/>
              </w:rPr>
            </w:pPr>
          </w:p>
        </w:tc>
        <w:tc>
          <w:tcPr>
            <w:tcW w:w="0" w:type="auto"/>
            <w:shd w:val="clear" w:color="auto" w:fill="auto"/>
          </w:tcPr>
          <w:p w14:paraId="33DAA7FF" w14:textId="77777777" w:rsidR="004D6A64" w:rsidRDefault="004D6A64">
            <w:pPr>
              <w:rPr>
                <w:rFonts w:ascii="宋体"/>
              </w:rPr>
            </w:pPr>
          </w:p>
        </w:tc>
        <w:tc>
          <w:tcPr>
            <w:tcW w:w="0" w:type="auto"/>
            <w:shd w:val="clear" w:color="auto" w:fill="auto"/>
          </w:tcPr>
          <w:p w14:paraId="33DAA800" w14:textId="77777777" w:rsidR="004D6A64" w:rsidRDefault="004D6A64">
            <w:pPr>
              <w:rPr>
                <w:rFonts w:ascii="宋体"/>
              </w:rPr>
            </w:pPr>
          </w:p>
        </w:tc>
        <w:tc>
          <w:tcPr>
            <w:tcW w:w="0" w:type="auto"/>
            <w:shd w:val="clear" w:color="auto" w:fill="auto"/>
          </w:tcPr>
          <w:p w14:paraId="33DAA801" w14:textId="77777777" w:rsidR="004D6A64" w:rsidRDefault="004D6A64">
            <w:pPr>
              <w:rPr>
                <w:rFonts w:ascii="宋体"/>
              </w:rPr>
            </w:pPr>
          </w:p>
        </w:tc>
        <w:tc>
          <w:tcPr>
            <w:tcW w:w="0" w:type="auto"/>
            <w:shd w:val="clear" w:color="auto" w:fill="auto"/>
          </w:tcPr>
          <w:p w14:paraId="33DAA802" w14:textId="77777777" w:rsidR="004D6A64" w:rsidRDefault="004D6A64">
            <w:pPr>
              <w:rPr>
                <w:rFonts w:ascii="宋体"/>
              </w:rPr>
            </w:pPr>
          </w:p>
        </w:tc>
        <w:tc>
          <w:tcPr>
            <w:tcW w:w="0" w:type="auto"/>
            <w:shd w:val="clear" w:color="auto" w:fill="auto"/>
          </w:tcPr>
          <w:p w14:paraId="33DAA803" w14:textId="77777777" w:rsidR="004D6A64" w:rsidRDefault="004D6A64">
            <w:pPr>
              <w:rPr>
                <w:rFonts w:ascii="宋体"/>
              </w:rPr>
            </w:pPr>
          </w:p>
        </w:tc>
        <w:tc>
          <w:tcPr>
            <w:tcW w:w="0" w:type="auto"/>
            <w:shd w:val="clear" w:color="auto" w:fill="auto"/>
          </w:tcPr>
          <w:p w14:paraId="33DAA804" w14:textId="77777777" w:rsidR="004D6A64" w:rsidRDefault="004D6A64">
            <w:pPr>
              <w:rPr>
                <w:rFonts w:ascii="宋体"/>
              </w:rPr>
            </w:pPr>
          </w:p>
        </w:tc>
        <w:tc>
          <w:tcPr>
            <w:tcW w:w="0" w:type="auto"/>
            <w:shd w:val="clear" w:color="auto" w:fill="auto"/>
          </w:tcPr>
          <w:p w14:paraId="33DAA805" w14:textId="77777777" w:rsidR="004D6A64" w:rsidRDefault="004D6A64">
            <w:pPr>
              <w:rPr>
                <w:rFonts w:ascii="宋体"/>
              </w:rPr>
            </w:pPr>
          </w:p>
        </w:tc>
        <w:tc>
          <w:tcPr>
            <w:tcW w:w="0" w:type="auto"/>
            <w:shd w:val="clear" w:color="auto" w:fill="auto"/>
          </w:tcPr>
          <w:p w14:paraId="33DAA806" w14:textId="77777777" w:rsidR="004D6A64" w:rsidRDefault="004D6A64">
            <w:pPr>
              <w:rPr>
                <w:rFonts w:ascii="宋体"/>
              </w:rPr>
            </w:pPr>
          </w:p>
        </w:tc>
        <w:tc>
          <w:tcPr>
            <w:tcW w:w="0" w:type="auto"/>
            <w:shd w:val="clear" w:color="auto" w:fill="auto"/>
          </w:tcPr>
          <w:p w14:paraId="33DAA807" w14:textId="77777777" w:rsidR="004D6A64" w:rsidRDefault="004D6A64">
            <w:pPr>
              <w:rPr>
                <w:rFonts w:ascii="宋体"/>
              </w:rPr>
            </w:pPr>
          </w:p>
        </w:tc>
        <w:tc>
          <w:tcPr>
            <w:tcW w:w="0" w:type="auto"/>
            <w:shd w:val="clear" w:color="auto" w:fill="auto"/>
          </w:tcPr>
          <w:p w14:paraId="33DAA808" w14:textId="77777777" w:rsidR="004D6A64" w:rsidRDefault="004D6A64">
            <w:pPr>
              <w:rPr>
                <w:rFonts w:ascii="宋体"/>
              </w:rPr>
            </w:pPr>
          </w:p>
        </w:tc>
        <w:tc>
          <w:tcPr>
            <w:tcW w:w="0" w:type="auto"/>
            <w:shd w:val="clear" w:color="auto" w:fill="auto"/>
          </w:tcPr>
          <w:p w14:paraId="33DAA809" w14:textId="77777777" w:rsidR="004D6A64" w:rsidRDefault="004D6A64">
            <w:pPr>
              <w:rPr>
                <w:rFonts w:ascii="宋体"/>
              </w:rPr>
            </w:pPr>
          </w:p>
        </w:tc>
        <w:tc>
          <w:tcPr>
            <w:tcW w:w="0" w:type="auto"/>
            <w:shd w:val="clear" w:color="auto" w:fill="auto"/>
          </w:tcPr>
          <w:p w14:paraId="33DAA80A" w14:textId="77777777" w:rsidR="004D6A64" w:rsidRDefault="004D6A64">
            <w:pPr>
              <w:rPr>
                <w:rFonts w:ascii="宋体"/>
              </w:rPr>
            </w:pPr>
          </w:p>
        </w:tc>
        <w:tc>
          <w:tcPr>
            <w:tcW w:w="0" w:type="auto"/>
            <w:shd w:val="clear" w:color="auto" w:fill="auto"/>
          </w:tcPr>
          <w:p w14:paraId="33DAA80B" w14:textId="77777777" w:rsidR="004D6A64" w:rsidRDefault="004D6A64">
            <w:pPr>
              <w:rPr>
                <w:rFonts w:ascii="宋体"/>
              </w:rPr>
            </w:pPr>
          </w:p>
        </w:tc>
        <w:tc>
          <w:tcPr>
            <w:tcW w:w="0" w:type="auto"/>
            <w:shd w:val="clear" w:color="auto" w:fill="auto"/>
          </w:tcPr>
          <w:p w14:paraId="33DAA80C" w14:textId="77777777" w:rsidR="004D6A64" w:rsidRDefault="004D6A64">
            <w:pPr>
              <w:rPr>
                <w:rFonts w:ascii="宋体"/>
              </w:rPr>
            </w:pPr>
          </w:p>
        </w:tc>
        <w:tc>
          <w:tcPr>
            <w:tcW w:w="0" w:type="auto"/>
            <w:shd w:val="clear" w:color="auto" w:fill="auto"/>
          </w:tcPr>
          <w:p w14:paraId="33DAA80D" w14:textId="77777777" w:rsidR="004D6A64" w:rsidRDefault="004D6A64">
            <w:pPr>
              <w:rPr>
                <w:rFonts w:ascii="宋体"/>
              </w:rPr>
            </w:pPr>
          </w:p>
        </w:tc>
        <w:tc>
          <w:tcPr>
            <w:tcW w:w="0" w:type="auto"/>
            <w:shd w:val="clear" w:color="auto" w:fill="auto"/>
          </w:tcPr>
          <w:p w14:paraId="33DAA80E" w14:textId="77777777" w:rsidR="004D6A64" w:rsidRDefault="004D6A64">
            <w:pPr>
              <w:rPr>
                <w:rFonts w:ascii="宋体"/>
              </w:rPr>
            </w:pPr>
          </w:p>
        </w:tc>
      </w:tr>
      <w:tr w:rsidR="004D6A64" w14:paraId="33DAA843" w14:textId="77777777">
        <w:tc>
          <w:tcPr>
            <w:tcW w:w="0" w:type="auto"/>
            <w:gridSpan w:val="3"/>
            <w:shd w:val="clear" w:color="auto" w:fill="CCEEFF"/>
            <w:tcMar>
              <w:top w:w="40" w:type="dxa"/>
              <w:left w:w="480" w:type="dxa"/>
              <w:bottom w:w="40" w:type="dxa"/>
              <w:right w:w="20" w:type="dxa"/>
            </w:tcMar>
            <w:vAlign w:val="center"/>
          </w:tcPr>
          <w:p w14:paraId="33DAA810" w14:textId="77777777" w:rsidR="004D6A64" w:rsidRDefault="00506CD6">
            <w:pPr>
              <w:textAlignment w:val="center"/>
            </w:pPr>
            <w:r>
              <w:rPr>
                <w:rFonts w:ascii="Times New Roman" w:eastAsia="宋体" w:hAnsi="Times New Roman"/>
                <w:color w:val="000000"/>
                <w:sz w:val="20"/>
                <w:szCs w:val="20"/>
              </w:rPr>
              <w:t>Short-term</w:t>
            </w:r>
          </w:p>
        </w:tc>
        <w:tc>
          <w:tcPr>
            <w:tcW w:w="0" w:type="auto"/>
            <w:tcBorders>
              <w:top w:val="double" w:sz="6" w:space="0" w:color="000000"/>
            </w:tcBorders>
            <w:shd w:val="clear" w:color="auto" w:fill="CCEEFF"/>
            <w:tcMar>
              <w:top w:w="40" w:type="dxa"/>
              <w:left w:w="20" w:type="dxa"/>
              <w:bottom w:w="40" w:type="dxa"/>
            </w:tcMar>
            <w:vAlign w:val="center"/>
          </w:tcPr>
          <w:p w14:paraId="33DAA811" w14:textId="77777777" w:rsidR="004D6A64" w:rsidRDefault="00506CD6">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bottom w:w="40" w:type="dxa"/>
              <w:right w:w="0" w:type="dxa"/>
            </w:tcMar>
            <w:vAlign w:val="center"/>
          </w:tcPr>
          <w:p w14:paraId="33DAA812" w14:textId="77777777" w:rsidR="004D6A64" w:rsidRDefault="00506CD6">
            <w:pPr>
              <w:jc w:val="right"/>
              <w:textAlignment w:val="center"/>
            </w:pPr>
            <w:r>
              <w:rPr>
                <w:rFonts w:ascii="Times New Roman" w:eastAsia="宋体" w:hAnsi="Times New Roman"/>
                <w:color w:val="000000"/>
                <w:sz w:val="20"/>
                <w:szCs w:val="20"/>
              </w:rPr>
              <w:t>635 </w:t>
            </w:r>
          </w:p>
        </w:tc>
        <w:tc>
          <w:tcPr>
            <w:tcW w:w="0" w:type="auto"/>
            <w:tcBorders>
              <w:top w:val="double" w:sz="6" w:space="0" w:color="000000"/>
            </w:tcBorders>
            <w:shd w:val="clear" w:color="auto" w:fill="CCEEFF"/>
            <w:tcMar>
              <w:top w:w="40" w:type="dxa"/>
              <w:bottom w:w="40" w:type="dxa"/>
              <w:right w:w="20" w:type="dxa"/>
            </w:tcMar>
            <w:vAlign w:val="center"/>
          </w:tcPr>
          <w:p w14:paraId="33DAA81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814" w14:textId="77777777" w:rsidR="004D6A64" w:rsidRDefault="004D6A64">
            <w:pPr>
              <w:rPr>
                <w:rFonts w:ascii="宋体"/>
              </w:rPr>
            </w:pPr>
          </w:p>
        </w:tc>
        <w:tc>
          <w:tcPr>
            <w:tcW w:w="0" w:type="auto"/>
            <w:tcBorders>
              <w:top w:val="double" w:sz="6" w:space="0" w:color="000000"/>
            </w:tcBorders>
            <w:shd w:val="clear" w:color="auto" w:fill="CCEEFF"/>
            <w:tcMar>
              <w:top w:w="40" w:type="dxa"/>
              <w:left w:w="20" w:type="dxa"/>
              <w:bottom w:w="40" w:type="dxa"/>
            </w:tcMar>
            <w:vAlign w:val="center"/>
          </w:tcPr>
          <w:p w14:paraId="33DAA815" w14:textId="77777777" w:rsidR="004D6A64" w:rsidRDefault="00506CD6">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bottom w:w="40" w:type="dxa"/>
              <w:right w:w="0" w:type="dxa"/>
            </w:tcMar>
            <w:vAlign w:val="center"/>
          </w:tcPr>
          <w:p w14:paraId="33DAA816" w14:textId="77777777" w:rsidR="004D6A64" w:rsidRDefault="00506CD6">
            <w:pPr>
              <w:jc w:val="right"/>
              <w:textAlignment w:val="center"/>
            </w:pPr>
            <w:r>
              <w:rPr>
                <w:rFonts w:ascii="Times New Roman" w:eastAsia="宋体" w:hAnsi="Times New Roman"/>
                <w:color w:val="000000"/>
                <w:sz w:val="20"/>
                <w:szCs w:val="20"/>
              </w:rPr>
              <w:t>4,220 </w:t>
            </w:r>
          </w:p>
        </w:tc>
        <w:tc>
          <w:tcPr>
            <w:tcW w:w="0" w:type="auto"/>
            <w:tcBorders>
              <w:top w:val="double" w:sz="6" w:space="0" w:color="000000"/>
            </w:tcBorders>
            <w:shd w:val="clear" w:color="auto" w:fill="CCEEFF"/>
            <w:tcMar>
              <w:top w:w="40" w:type="dxa"/>
              <w:bottom w:w="40" w:type="dxa"/>
              <w:right w:w="20" w:type="dxa"/>
            </w:tcMar>
            <w:vAlign w:val="center"/>
          </w:tcPr>
          <w:p w14:paraId="33DAA81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818" w14:textId="77777777" w:rsidR="004D6A64" w:rsidRDefault="004D6A64">
            <w:pPr>
              <w:rPr>
                <w:rFonts w:ascii="宋体"/>
              </w:rPr>
            </w:pPr>
          </w:p>
        </w:tc>
        <w:tc>
          <w:tcPr>
            <w:tcW w:w="0" w:type="auto"/>
            <w:tcBorders>
              <w:top w:val="double" w:sz="6" w:space="0" w:color="000000"/>
            </w:tcBorders>
            <w:shd w:val="clear" w:color="auto" w:fill="CCEEFF"/>
            <w:tcMar>
              <w:top w:w="40" w:type="dxa"/>
              <w:left w:w="20" w:type="dxa"/>
              <w:bottom w:w="40" w:type="dxa"/>
            </w:tcMar>
            <w:vAlign w:val="center"/>
          </w:tcPr>
          <w:p w14:paraId="33DAA819" w14:textId="77777777" w:rsidR="004D6A64" w:rsidRDefault="00506CD6">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bottom w:w="40" w:type="dxa"/>
              <w:right w:w="0" w:type="dxa"/>
            </w:tcMar>
            <w:vAlign w:val="center"/>
          </w:tcPr>
          <w:p w14:paraId="33DAA81A" w14:textId="77777777" w:rsidR="004D6A64" w:rsidRDefault="00506CD6">
            <w:pPr>
              <w:jc w:val="right"/>
              <w:textAlignment w:val="center"/>
            </w:pPr>
            <w:r>
              <w:rPr>
                <w:rFonts w:ascii="Times New Roman" w:eastAsia="宋体" w:hAnsi="Times New Roman"/>
                <w:color w:val="000000"/>
                <w:sz w:val="20"/>
                <w:szCs w:val="20"/>
              </w:rPr>
              <w:t>4,855 </w:t>
            </w:r>
          </w:p>
        </w:tc>
        <w:tc>
          <w:tcPr>
            <w:tcW w:w="0" w:type="auto"/>
            <w:tcBorders>
              <w:top w:val="double" w:sz="6" w:space="0" w:color="000000"/>
            </w:tcBorders>
            <w:shd w:val="clear" w:color="auto" w:fill="CCEEFF"/>
            <w:tcMar>
              <w:top w:w="40" w:type="dxa"/>
              <w:bottom w:w="40" w:type="dxa"/>
              <w:right w:w="20" w:type="dxa"/>
            </w:tcMar>
            <w:vAlign w:val="center"/>
          </w:tcPr>
          <w:p w14:paraId="33DAA81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81C" w14:textId="77777777" w:rsidR="004D6A64" w:rsidRDefault="004D6A64">
            <w:pPr>
              <w:rPr>
                <w:rFonts w:ascii="宋体"/>
              </w:rPr>
            </w:pPr>
          </w:p>
        </w:tc>
        <w:tc>
          <w:tcPr>
            <w:tcW w:w="0" w:type="auto"/>
            <w:tcBorders>
              <w:top w:val="double" w:sz="6" w:space="0" w:color="000000"/>
            </w:tcBorders>
            <w:shd w:val="clear" w:color="auto" w:fill="CCEEFF"/>
            <w:tcMar>
              <w:top w:w="40" w:type="dxa"/>
              <w:left w:w="20" w:type="dxa"/>
              <w:bottom w:w="40" w:type="dxa"/>
            </w:tcMar>
            <w:vAlign w:val="center"/>
          </w:tcPr>
          <w:p w14:paraId="33DAA81D" w14:textId="77777777" w:rsidR="004D6A64" w:rsidRDefault="00506CD6">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bottom w:w="40" w:type="dxa"/>
              <w:right w:w="0" w:type="dxa"/>
            </w:tcMar>
            <w:vAlign w:val="center"/>
          </w:tcPr>
          <w:p w14:paraId="33DAA81E" w14:textId="77777777" w:rsidR="004D6A64" w:rsidRDefault="00506CD6">
            <w:pPr>
              <w:jc w:val="right"/>
              <w:textAlignment w:val="center"/>
            </w:pPr>
            <w:r>
              <w:rPr>
                <w:rFonts w:ascii="Times New Roman" w:eastAsia="宋体" w:hAnsi="Times New Roman"/>
                <w:color w:val="000000"/>
                <w:sz w:val="20"/>
                <w:szCs w:val="20"/>
              </w:rPr>
              <w:t>754 </w:t>
            </w:r>
          </w:p>
        </w:tc>
        <w:tc>
          <w:tcPr>
            <w:tcW w:w="0" w:type="auto"/>
            <w:tcBorders>
              <w:top w:val="double" w:sz="6" w:space="0" w:color="000000"/>
            </w:tcBorders>
            <w:shd w:val="clear" w:color="auto" w:fill="CCEEFF"/>
            <w:tcMar>
              <w:top w:w="40" w:type="dxa"/>
              <w:bottom w:w="40" w:type="dxa"/>
              <w:right w:w="20" w:type="dxa"/>
            </w:tcMar>
            <w:vAlign w:val="center"/>
          </w:tcPr>
          <w:p w14:paraId="33DAA81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820" w14:textId="77777777" w:rsidR="004D6A64" w:rsidRDefault="004D6A64">
            <w:pPr>
              <w:rPr>
                <w:rFonts w:ascii="宋体"/>
              </w:rPr>
            </w:pPr>
          </w:p>
        </w:tc>
        <w:tc>
          <w:tcPr>
            <w:tcW w:w="0" w:type="auto"/>
            <w:tcBorders>
              <w:top w:val="double" w:sz="6" w:space="0" w:color="000000"/>
            </w:tcBorders>
            <w:shd w:val="clear" w:color="auto" w:fill="CCEEFF"/>
            <w:tcMar>
              <w:top w:w="40" w:type="dxa"/>
              <w:left w:w="20" w:type="dxa"/>
              <w:bottom w:w="40" w:type="dxa"/>
            </w:tcMar>
            <w:vAlign w:val="center"/>
          </w:tcPr>
          <w:p w14:paraId="33DAA821" w14:textId="77777777" w:rsidR="004D6A64" w:rsidRDefault="00506CD6">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bottom w:w="40" w:type="dxa"/>
              <w:right w:w="0" w:type="dxa"/>
            </w:tcMar>
            <w:vAlign w:val="center"/>
          </w:tcPr>
          <w:p w14:paraId="33DAA822" w14:textId="77777777" w:rsidR="004D6A64" w:rsidRDefault="00506CD6">
            <w:pPr>
              <w:jc w:val="right"/>
              <w:textAlignment w:val="center"/>
            </w:pPr>
            <w:r>
              <w:rPr>
                <w:rFonts w:ascii="Times New Roman" w:eastAsia="宋体" w:hAnsi="Times New Roman"/>
                <w:color w:val="000000"/>
                <w:sz w:val="20"/>
                <w:szCs w:val="20"/>
              </w:rPr>
              <w:t>4,141 </w:t>
            </w:r>
          </w:p>
        </w:tc>
        <w:tc>
          <w:tcPr>
            <w:tcW w:w="0" w:type="auto"/>
            <w:tcBorders>
              <w:top w:val="double" w:sz="6" w:space="0" w:color="000000"/>
            </w:tcBorders>
            <w:shd w:val="clear" w:color="auto" w:fill="CCEEFF"/>
            <w:tcMar>
              <w:top w:w="40" w:type="dxa"/>
              <w:bottom w:w="40" w:type="dxa"/>
              <w:right w:w="20" w:type="dxa"/>
            </w:tcMar>
            <w:vAlign w:val="center"/>
          </w:tcPr>
          <w:p w14:paraId="33DAA82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824" w14:textId="77777777" w:rsidR="004D6A64" w:rsidRDefault="004D6A64">
            <w:pPr>
              <w:rPr>
                <w:rFonts w:ascii="宋体"/>
              </w:rPr>
            </w:pPr>
          </w:p>
        </w:tc>
        <w:tc>
          <w:tcPr>
            <w:tcW w:w="0" w:type="auto"/>
            <w:tcBorders>
              <w:top w:val="double" w:sz="6" w:space="0" w:color="000000"/>
            </w:tcBorders>
            <w:shd w:val="clear" w:color="auto" w:fill="CCEEFF"/>
            <w:tcMar>
              <w:top w:w="40" w:type="dxa"/>
              <w:left w:w="20" w:type="dxa"/>
              <w:bottom w:w="40" w:type="dxa"/>
            </w:tcMar>
            <w:vAlign w:val="center"/>
          </w:tcPr>
          <w:p w14:paraId="33DAA825" w14:textId="77777777" w:rsidR="004D6A64" w:rsidRDefault="00506CD6">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bottom w:w="40" w:type="dxa"/>
              <w:right w:w="0" w:type="dxa"/>
            </w:tcMar>
            <w:vAlign w:val="center"/>
          </w:tcPr>
          <w:p w14:paraId="33DAA826" w14:textId="77777777" w:rsidR="004D6A64" w:rsidRDefault="00506CD6">
            <w:pPr>
              <w:jc w:val="right"/>
              <w:textAlignment w:val="center"/>
            </w:pPr>
            <w:r>
              <w:rPr>
                <w:rFonts w:ascii="Times New Roman" w:eastAsia="宋体" w:hAnsi="Times New Roman"/>
                <w:color w:val="000000"/>
                <w:sz w:val="20"/>
                <w:szCs w:val="20"/>
              </w:rPr>
              <w:t>4,895 </w:t>
            </w:r>
          </w:p>
        </w:tc>
        <w:tc>
          <w:tcPr>
            <w:tcW w:w="0" w:type="auto"/>
            <w:tcBorders>
              <w:top w:val="double" w:sz="6" w:space="0" w:color="000000"/>
            </w:tcBorders>
            <w:shd w:val="clear" w:color="auto" w:fill="CCEEFF"/>
            <w:tcMar>
              <w:top w:w="40" w:type="dxa"/>
              <w:bottom w:w="40" w:type="dxa"/>
              <w:right w:w="20" w:type="dxa"/>
            </w:tcMar>
            <w:vAlign w:val="center"/>
          </w:tcPr>
          <w:p w14:paraId="33DAA827" w14:textId="77777777" w:rsidR="004D6A64" w:rsidRDefault="004D6A64">
            <w:pPr>
              <w:jc w:val="right"/>
              <w:rPr>
                <w:rFonts w:ascii="宋体"/>
              </w:rPr>
            </w:pPr>
          </w:p>
        </w:tc>
        <w:tc>
          <w:tcPr>
            <w:tcW w:w="0" w:type="auto"/>
            <w:shd w:val="clear" w:color="auto" w:fill="auto"/>
          </w:tcPr>
          <w:p w14:paraId="33DAA828" w14:textId="77777777" w:rsidR="004D6A64" w:rsidRDefault="004D6A64">
            <w:pPr>
              <w:rPr>
                <w:rFonts w:ascii="宋体"/>
              </w:rPr>
            </w:pPr>
          </w:p>
        </w:tc>
        <w:tc>
          <w:tcPr>
            <w:tcW w:w="0" w:type="auto"/>
            <w:shd w:val="clear" w:color="auto" w:fill="auto"/>
          </w:tcPr>
          <w:p w14:paraId="33DAA829" w14:textId="77777777" w:rsidR="004D6A64" w:rsidRDefault="004D6A64">
            <w:pPr>
              <w:rPr>
                <w:rFonts w:ascii="宋体"/>
              </w:rPr>
            </w:pPr>
          </w:p>
        </w:tc>
        <w:tc>
          <w:tcPr>
            <w:tcW w:w="0" w:type="auto"/>
            <w:shd w:val="clear" w:color="auto" w:fill="auto"/>
          </w:tcPr>
          <w:p w14:paraId="33DAA82A" w14:textId="77777777" w:rsidR="004D6A64" w:rsidRDefault="004D6A64">
            <w:pPr>
              <w:rPr>
                <w:rFonts w:ascii="宋体"/>
              </w:rPr>
            </w:pPr>
          </w:p>
        </w:tc>
        <w:tc>
          <w:tcPr>
            <w:tcW w:w="0" w:type="auto"/>
            <w:shd w:val="clear" w:color="auto" w:fill="auto"/>
          </w:tcPr>
          <w:p w14:paraId="33DAA82B" w14:textId="77777777" w:rsidR="004D6A64" w:rsidRDefault="004D6A64">
            <w:pPr>
              <w:rPr>
                <w:rFonts w:ascii="宋体"/>
              </w:rPr>
            </w:pPr>
          </w:p>
        </w:tc>
        <w:tc>
          <w:tcPr>
            <w:tcW w:w="0" w:type="auto"/>
            <w:shd w:val="clear" w:color="auto" w:fill="auto"/>
          </w:tcPr>
          <w:p w14:paraId="33DAA82C" w14:textId="77777777" w:rsidR="004D6A64" w:rsidRDefault="004D6A64">
            <w:pPr>
              <w:rPr>
                <w:rFonts w:ascii="宋体"/>
              </w:rPr>
            </w:pPr>
          </w:p>
        </w:tc>
        <w:tc>
          <w:tcPr>
            <w:tcW w:w="0" w:type="auto"/>
            <w:shd w:val="clear" w:color="auto" w:fill="auto"/>
          </w:tcPr>
          <w:p w14:paraId="33DAA82D" w14:textId="77777777" w:rsidR="004D6A64" w:rsidRDefault="004D6A64">
            <w:pPr>
              <w:rPr>
                <w:rFonts w:ascii="宋体"/>
              </w:rPr>
            </w:pPr>
          </w:p>
        </w:tc>
        <w:tc>
          <w:tcPr>
            <w:tcW w:w="0" w:type="auto"/>
            <w:shd w:val="clear" w:color="auto" w:fill="auto"/>
          </w:tcPr>
          <w:p w14:paraId="33DAA82E" w14:textId="77777777" w:rsidR="004D6A64" w:rsidRDefault="004D6A64">
            <w:pPr>
              <w:rPr>
                <w:rFonts w:ascii="宋体"/>
              </w:rPr>
            </w:pPr>
          </w:p>
        </w:tc>
        <w:tc>
          <w:tcPr>
            <w:tcW w:w="0" w:type="auto"/>
            <w:shd w:val="clear" w:color="auto" w:fill="auto"/>
          </w:tcPr>
          <w:p w14:paraId="33DAA82F" w14:textId="77777777" w:rsidR="004D6A64" w:rsidRDefault="004D6A64">
            <w:pPr>
              <w:rPr>
                <w:rFonts w:ascii="宋体"/>
              </w:rPr>
            </w:pPr>
          </w:p>
        </w:tc>
        <w:tc>
          <w:tcPr>
            <w:tcW w:w="0" w:type="auto"/>
            <w:shd w:val="clear" w:color="auto" w:fill="auto"/>
          </w:tcPr>
          <w:p w14:paraId="33DAA830" w14:textId="77777777" w:rsidR="004D6A64" w:rsidRDefault="004D6A64">
            <w:pPr>
              <w:rPr>
                <w:rFonts w:ascii="宋体"/>
              </w:rPr>
            </w:pPr>
          </w:p>
        </w:tc>
        <w:tc>
          <w:tcPr>
            <w:tcW w:w="0" w:type="auto"/>
            <w:shd w:val="clear" w:color="auto" w:fill="auto"/>
          </w:tcPr>
          <w:p w14:paraId="33DAA831" w14:textId="77777777" w:rsidR="004D6A64" w:rsidRDefault="004D6A64">
            <w:pPr>
              <w:rPr>
                <w:rFonts w:ascii="宋体"/>
              </w:rPr>
            </w:pPr>
          </w:p>
        </w:tc>
        <w:tc>
          <w:tcPr>
            <w:tcW w:w="0" w:type="auto"/>
            <w:shd w:val="clear" w:color="auto" w:fill="auto"/>
          </w:tcPr>
          <w:p w14:paraId="33DAA832" w14:textId="77777777" w:rsidR="004D6A64" w:rsidRDefault="004D6A64">
            <w:pPr>
              <w:rPr>
                <w:rFonts w:ascii="宋体"/>
              </w:rPr>
            </w:pPr>
          </w:p>
        </w:tc>
        <w:tc>
          <w:tcPr>
            <w:tcW w:w="0" w:type="auto"/>
            <w:shd w:val="clear" w:color="auto" w:fill="auto"/>
          </w:tcPr>
          <w:p w14:paraId="33DAA833" w14:textId="77777777" w:rsidR="004D6A64" w:rsidRDefault="004D6A64">
            <w:pPr>
              <w:rPr>
                <w:rFonts w:ascii="宋体"/>
              </w:rPr>
            </w:pPr>
          </w:p>
        </w:tc>
        <w:tc>
          <w:tcPr>
            <w:tcW w:w="0" w:type="auto"/>
            <w:shd w:val="clear" w:color="auto" w:fill="auto"/>
          </w:tcPr>
          <w:p w14:paraId="33DAA834" w14:textId="77777777" w:rsidR="004D6A64" w:rsidRDefault="004D6A64">
            <w:pPr>
              <w:rPr>
                <w:rFonts w:ascii="宋体"/>
              </w:rPr>
            </w:pPr>
          </w:p>
        </w:tc>
        <w:tc>
          <w:tcPr>
            <w:tcW w:w="0" w:type="auto"/>
            <w:shd w:val="clear" w:color="auto" w:fill="auto"/>
          </w:tcPr>
          <w:p w14:paraId="33DAA835" w14:textId="77777777" w:rsidR="004D6A64" w:rsidRDefault="004D6A64">
            <w:pPr>
              <w:rPr>
                <w:rFonts w:ascii="宋体"/>
              </w:rPr>
            </w:pPr>
          </w:p>
        </w:tc>
        <w:tc>
          <w:tcPr>
            <w:tcW w:w="0" w:type="auto"/>
            <w:shd w:val="clear" w:color="auto" w:fill="auto"/>
          </w:tcPr>
          <w:p w14:paraId="33DAA836" w14:textId="77777777" w:rsidR="004D6A64" w:rsidRDefault="004D6A64">
            <w:pPr>
              <w:rPr>
                <w:rFonts w:ascii="宋体"/>
              </w:rPr>
            </w:pPr>
          </w:p>
        </w:tc>
        <w:tc>
          <w:tcPr>
            <w:tcW w:w="0" w:type="auto"/>
            <w:shd w:val="clear" w:color="auto" w:fill="auto"/>
          </w:tcPr>
          <w:p w14:paraId="33DAA837" w14:textId="77777777" w:rsidR="004D6A64" w:rsidRDefault="004D6A64">
            <w:pPr>
              <w:rPr>
                <w:rFonts w:ascii="宋体"/>
              </w:rPr>
            </w:pPr>
          </w:p>
        </w:tc>
        <w:tc>
          <w:tcPr>
            <w:tcW w:w="0" w:type="auto"/>
            <w:shd w:val="clear" w:color="auto" w:fill="auto"/>
          </w:tcPr>
          <w:p w14:paraId="33DAA838" w14:textId="77777777" w:rsidR="004D6A64" w:rsidRDefault="004D6A64">
            <w:pPr>
              <w:rPr>
                <w:rFonts w:ascii="宋体"/>
              </w:rPr>
            </w:pPr>
          </w:p>
        </w:tc>
        <w:tc>
          <w:tcPr>
            <w:tcW w:w="0" w:type="auto"/>
            <w:shd w:val="clear" w:color="auto" w:fill="auto"/>
          </w:tcPr>
          <w:p w14:paraId="33DAA839" w14:textId="77777777" w:rsidR="004D6A64" w:rsidRDefault="004D6A64">
            <w:pPr>
              <w:rPr>
                <w:rFonts w:ascii="宋体"/>
              </w:rPr>
            </w:pPr>
          </w:p>
        </w:tc>
        <w:tc>
          <w:tcPr>
            <w:tcW w:w="0" w:type="auto"/>
            <w:shd w:val="clear" w:color="auto" w:fill="auto"/>
          </w:tcPr>
          <w:p w14:paraId="33DAA83A" w14:textId="77777777" w:rsidR="004D6A64" w:rsidRDefault="004D6A64">
            <w:pPr>
              <w:rPr>
                <w:rFonts w:ascii="宋体"/>
              </w:rPr>
            </w:pPr>
          </w:p>
        </w:tc>
        <w:tc>
          <w:tcPr>
            <w:tcW w:w="0" w:type="auto"/>
            <w:shd w:val="clear" w:color="auto" w:fill="auto"/>
          </w:tcPr>
          <w:p w14:paraId="33DAA83B" w14:textId="77777777" w:rsidR="004D6A64" w:rsidRDefault="004D6A64">
            <w:pPr>
              <w:rPr>
                <w:rFonts w:ascii="宋体"/>
              </w:rPr>
            </w:pPr>
          </w:p>
        </w:tc>
        <w:tc>
          <w:tcPr>
            <w:tcW w:w="0" w:type="auto"/>
            <w:shd w:val="clear" w:color="auto" w:fill="auto"/>
          </w:tcPr>
          <w:p w14:paraId="33DAA83C" w14:textId="77777777" w:rsidR="004D6A64" w:rsidRDefault="004D6A64">
            <w:pPr>
              <w:rPr>
                <w:rFonts w:ascii="宋体"/>
              </w:rPr>
            </w:pPr>
          </w:p>
        </w:tc>
        <w:tc>
          <w:tcPr>
            <w:tcW w:w="0" w:type="auto"/>
            <w:shd w:val="clear" w:color="auto" w:fill="auto"/>
          </w:tcPr>
          <w:p w14:paraId="33DAA83D" w14:textId="77777777" w:rsidR="004D6A64" w:rsidRDefault="004D6A64">
            <w:pPr>
              <w:rPr>
                <w:rFonts w:ascii="宋体"/>
              </w:rPr>
            </w:pPr>
          </w:p>
        </w:tc>
        <w:tc>
          <w:tcPr>
            <w:tcW w:w="0" w:type="auto"/>
            <w:shd w:val="clear" w:color="auto" w:fill="auto"/>
          </w:tcPr>
          <w:p w14:paraId="33DAA83E" w14:textId="77777777" w:rsidR="004D6A64" w:rsidRDefault="004D6A64">
            <w:pPr>
              <w:rPr>
                <w:rFonts w:ascii="宋体"/>
              </w:rPr>
            </w:pPr>
          </w:p>
        </w:tc>
        <w:tc>
          <w:tcPr>
            <w:tcW w:w="0" w:type="auto"/>
            <w:shd w:val="clear" w:color="auto" w:fill="auto"/>
          </w:tcPr>
          <w:p w14:paraId="33DAA83F" w14:textId="77777777" w:rsidR="004D6A64" w:rsidRDefault="004D6A64">
            <w:pPr>
              <w:rPr>
                <w:rFonts w:ascii="宋体"/>
              </w:rPr>
            </w:pPr>
          </w:p>
        </w:tc>
        <w:tc>
          <w:tcPr>
            <w:tcW w:w="0" w:type="auto"/>
            <w:shd w:val="clear" w:color="auto" w:fill="auto"/>
          </w:tcPr>
          <w:p w14:paraId="33DAA840" w14:textId="77777777" w:rsidR="004D6A64" w:rsidRDefault="004D6A64">
            <w:pPr>
              <w:rPr>
                <w:rFonts w:ascii="宋体"/>
              </w:rPr>
            </w:pPr>
          </w:p>
        </w:tc>
        <w:tc>
          <w:tcPr>
            <w:tcW w:w="0" w:type="auto"/>
            <w:shd w:val="clear" w:color="auto" w:fill="auto"/>
          </w:tcPr>
          <w:p w14:paraId="33DAA841" w14:textId="77777777" w:rsidR="004D6A64" w:rsidRDefault="004D6A64">
            <w:pPr>
              <w:rPr>
                <w:rFonts w:ascii="宋体"/>
              </w:rPr>
            </w:pPr>
          </w:p>
        </w:tc>
        <w:tc>
          <w:tcPr>
            <w:tcW w:w="0" w:type="auto"/>
            <w:shd w:val="clear" w:color="auto" w:fill="auto"/>
          </w:tcPr>
          <w:p w14:paraId="33DAA842" w14:textId="77777777" w:rsidR="004D6A64" w:rsidRDefault="004D6A64">
            <w:pPr>
              <w:rPr>
                <w:rFonts w:ascii="宋体"/>
              </w:rPr>
            </w:pPr>
          </w:p>
        </w:tc>
      </w:tr>
      <w:tr w:rsidR="004D6A64" w14:paraId="33DAA877" w14:textId="77777777">
        <w:tc>
          <w:tcPr>
            <w:tcW w:w="0" w:type="auto"/>
            <w:gridSpan w:val="3"/>
            <w:shd w:val="clear" w:color="auto" w:fill="FFFFFF"/>
            <w:tcMar>
              <w:top w:w="40" w:type="dxa"/>
              <w:left w:w="480" w:type="dxa"/>
              <w:bottom w:w="40" w:type="dxa"/>
              <w:right w:w="20" w:type="dxa"/>
            </w:tcMar>
            <w:vAlign w:val="center"/>
          </w:tcPr>
          <w:p w14:paraId="33DAA844" w14:textId="77777777" w:rsidR="004D6A64" w:rsidRDefault="00506CD6">
            <w:pPr>
              <w:textAlignment w:val="center"/>
            </w:pPr>
            <w:r>
              <w:rPr>
                <w:rFonts w:ascii="Times New Roman" w:eastAsia="宋体" w:hAnsi="Times New Roman"/>
                <w:color w:val="000000"/>
                <w:sz w:val="20"/>
                <w:szCs w:val="20"/>
              </w:rPr>
              <w:t>Long-term</w:t>
            </w:r>
          </w:p>
        </w:tc>
        <w:tc>
          <w:tcPr>
            <w:tcW w:w="0" w:type="auto"/>
            <w:shd w:val="clear" w:color="auto" w:fill="FFFFFF"/>
            <w:tcMar>
              <w:top w:w="40" w:type="dxa"/>
              <w:left w:w="20" w:type="dxa"/>
              <w:bottom w:w="40" w:type="dxa"/>
            </w:tcMar>
            <w:vAlign w:val="center"/>
          </w:tcPr>
          <w:p w14:paraId="33DAA845"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846"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A84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848"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A849"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84A" w14:textId="77777777" w:rsidR="004D6A64" w:rsidRDefault="00506CD6">
            <w:pPr>
              <w:jc w:val="right"/>
              <w:textAlignment w:val="center"/>
            </w:pPr>
            <w:r>
              <w:rPr>
                <w:rFonts w:ascii="Times New Roman" w:eastAsia="宋体" w:hAnsi="Times New Roman"/>
                <w:color w:val="000000"/>
                <w:sz w:val="20"/>
                <w:szCs w:val="20"/>
              </w:rPr>
              <w:t>5,378 </w:t>
            </w:r>
          </w:p>
        </w:tc>
        <w:tc>
          <w:tcPr>
            <w:tcW w:w="0" w:type="auto"/>
            <w:shd w:val="clear" w:color="auto" w:fill="FFFFFF"/>
            <w:tcMar>
              <w:top w:w="40" w:type="dxa"/>
              <w:bottom w:w="40" w:type="dxa"/>
              <w:right w:w="20" w:type="dxa"/>
            </w:tcMar>
            <w:vAlign w:val="center"/>
          </w:tcPr>
          <w:p w14:paraId="33DAA84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84C"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A84D"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84E" w14:textId="77777777" w:rsidR="004D6A64" w:rsidRDefault="00506CD6">
            <w:pPr>
              <w:jc w:val="right"/>
              <w:textAlignment w:val="center"/>
            </w:pPr>
            <w:r>
              <w:rPr>
                <w:rFonts w:ascii="Times New Roman" w:eastAsia="宋体" w:hAnsi="Times New Roman"/>
                <w:color w:val="000000"/>
                <w:sz w:val="20"/>
                <w:szCs w:val="20"/>
              </w:rPr>
              <w:t>5,378 </w:t>
            </w:r>
          </w:p>
        </w:tc>
        <w:tc>
          <w:tcPr>
            <w:tcW w:w="0" w:type="auto"/>
            <w:shd w:val="clear" w:color="auto" w:fill="FFFFFF"/>
            <w:tcMar>
              <w:top w:w="40" w:type="dxa"/>
              <w:bottom w:w="40" w:type="dxa"/>
              <w:right w:w="20" w:type="dxa"/>
            </w:tcMar>
            <w:vAlign w:val="center"/>
          </w:tcPr>
          <w:p w14:paraId="33DAA84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850"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A851"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852"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A85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854"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A855"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856" w14:textId="77777777" w:rsidR="004D6A64" w:rsidRDefault="00506CD6">
            <w:pPr>
              <w:jc w:val="right"/>
              <w:textAlignment w:val="center"/>
            </w:pPr>
            <w:r>
              <w:rPr>
                <w:rFonts w:ascii="Times New Roman" w:eastAsia="宋体" w:hAnsi="Times New Roman"/>
                <w:color w:val="000000"/>
                <w:sz w:val="20"/>
                <w:szCs w:val="20"/>
              </w:rPr>
              <w:t>4,848 </w:t>
            </w:r>
          </w:p>
        </w:tc>
        <w:tc>
          <w:tcPr>
            <w:tcW w:w="0" w:type="auto"/>
            <w:shd w:val="clear" w:color="auto" w:fill="FFFFFF"/>
            <w:tcMar>
              <w:top w:w="40" w:type="dxa"/>
              <w:bottom w:w="40" w:type="dxa"/>
              <w:right w:w="20" w:type="dxa"/>
            </w:tcMar>
            <w:vAlign w:val="center"/>
          </w:tcPr>
          <w:p w14:paraId="33DAA85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858"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A859"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85A" w14:textId="77777777" w:rsidR="004D6A64" w:rsidRDefault="00506CD6">
            <w:pPr>
              <w:jc w:val="right"/>
              <w:textAlignment w:val="center"/>
            </w:pPr>
            <w:r>
              <w:rPr>
                <w:rFonts w:ascii="Times New Roman" w:eastAsia="宋体" w:hAnsi="Times New Roman"/>
                <w:color w:val="000000"/>
                <w:sz w:val="20"/>
                <w:szCs w:val="20"/>
              </w:rPr>
              <w:t>4,848 </w:t>
            </w:r>
          </w:p>
        </w:tc>
        <w:tc>
          <w:tcPr>
            <w:tcW w:w="0" w:type="auto"/>
            <w:shd w:val="clear" w:color="auto" w:fill="FFFFFF"/>
            <w:tcMar>
              <w:top w:w="40" w:type="dxa"/>
              <w:bottom w:w="40" w:type="dxa"/>
              <w:right w:w="20" w:type="dxa"/>
            </w:tcMar>
            <w:vAlign w:val="center"/>
          </w:tcPr>
          <w:p w14:paraId="33DAA85B" w14:textId="77777777" w:rsidR="004D6A64" w:rsidRDefault="004D6A64">
            <w:pPr>
              <w:jc w:val="right"/>
              <w:rPr>
                <w:rFonts w:ascii="宋体"/>
              </w:rPr>
            </w:pPr>
          </w:p>
        </w:tc>
        <w:tc>
          <w:tcPr>
            <w:tcW w:w="0" w:type="auto"/>
            <w:shd w:val="clear" w:color="auto" w:fill="auto"/>
          </w:tcPr>
          <w:p w14:paraId="33DAA85C" w14:textId="77777777" w:rsidR="004D6A64" w:rsidRDefault="004D6A64">
            <w:pPr>
              <w:rPr>
                <w:rFonts w:ascii="宋体"/>
              </w:rPr>
            </w:pPr>
          </w:p>
        </w:tc>
        <w:tc>
          <w:tcPr>
            <w:tcW w:w="0" w:type="auto"/>
            <w:shd w:val="clear" w:color="auto" w:fill="auto"/>
          </w:tcPr>
          <w:p w14:paraId="33DAA85D" w14:textId="77777777" w:rsidR="004D6A64" w:rsidRDefault="004D6A64">
            <w:pPr>
              <w:rPr>
                <w:rFonts w:ascii="宋体"/>
              </w:rPr>
            </w:pPr>
          </w:p>
        </w:tc>
        <w:tc>
          <w:tcPr>
            <w:tcW w:w="0" w:type="auto"/>
            <w:shd w:val="clear" w:color="auto" w:fill="auto"/>
          </w:tcPr>
          <w:p w14:paraId="33DAA85E" w14:textId="77777777" w:rsidR="004D6A64" w:rsidRDefault="004D6A64">
            <w:pPr>
              <w:rPr>
                <w:rFonts w:ascii="宋体"/>
              </w:rPr>
            </w:pPr>
          </w:p>
        </w:tc>
        <w:tc>
          <w:tcPr>
            <w:tcW w:w="0" w:type="auto"/>
            <w:shd w:val="clear" w:color="auto" w:fill="auto"/>
          </w:tcPr>
          <w:p w14:paraId="33DAA85F" w14:textId="77777777" w:rsidR="004D6A64" w:rsidRDefault="004D6A64">
            <w:pPr>
              <w:rPr>
                <w:rFonts w:ascii="宋体"/>
              </w:rPr>
            </w:pPr>
          </w:p>
        </w:tc>
        <w:tc>
          <w:tcPr>
            <w:tcW w:w="0" w:type="auto"/>
            <w:shd w:val="clear" w:color="auto" w:fill="auto"/>
          </w:tcPr>
          <w:p w14:paraId="33DAA860" w14:textId="77777777" w:rsidR="004D6A64" w:rsidRDefault="004D6A64">
            <w:pPr>
              <w:rPr>
                <w:rFonts w:ascii="宋体"/>
              </w:rPr>
            </w:pPr>
          </w:p>
        </w:tc>
        <w:tc>
          <w:tcPr>
            <w:tcW w:w="0" w:type="auto"/>
            <w:shd w:val="clear" w:color="auto" w:fill="auto"/>
          </w:tcPr>
          <w:p w14:paraId="33DAA861" w14:textId="77777777" w:rsidR="004D6A64" w:rsidRDefault="004D6A64">
            <w:pPr>
              <w:rPr>
                <w:rFonts w:ascii="宋体"/>
              </w:rPr>
            </w:pPr>
          </w:p>
        </w:tc>
        <w:tc>
          <w:tcPr>
            <w:tcW w:w="0" w:type="auto"/>
            <w:shd w:val="clear" w:color="auto" w:fill="auto"/>
          </w:tcPr>
          <w:p w14:paraId="33DAA862" w14:textId="77777777" w:rsidR="004D6A64" w:rsidRDefault="004D6A64">
            <w:pPr>
              <w:rPr>
                <w:rFonts w:ascii="宋体"/>
              </w:rPr>
            </w:pPr>
          </w:p>
        </w:tc>
        <w:tc>
          <w:tcPr>
            <w:tcW w:w="0" w:type="auto"/>
            <w:shd w:val="clear" w:color="auto" w:fill="auto"/>
          </w:tcPr>
          <w:p w14:paraId="33DAA863" w14:textId="77777777" w:rsidR="004D6A64" w:rsidRDefault="004D6A64">
            <w:pPr>
              <w:rPr>
                <w:rFonts w:ascii="宋体"/>
              </w:rPr>
            </w:pPr>
          </w:p>
        </w:tc>
        <w:tc>
          <w:tcPr>
            <w:tcW w:w="0" w:type="auto"/>
            <w:shd w:val="clear" w:color="auto" w:fill="auto"/>
          </w:tcPr>
          <w:p w14:paraId="33DAA864" w14:textId="77777777" w:rsidR="004D6A64" w:rsidRDefault="004D6A64">
            <w:pPr>
              <w:rPr>
                <w:rFonts w:ascii="宋体"/>
              </w:rPr>
            </w:pPr>
          </w:p>
        </w:tc>
        <w:tc>
          <w:tcPr>
            <w:tcW w:w="0" w:type="auto"/>
            <w:shd w:val="clear" w:color="auto" w:fill="auto"/>
          </w:tcPr>
          <w:p w14:paraId="33DAA865" w14:textId="77777777" w:rsidR="004D6A64" w:rsidRDefault="004D6A64">
            <w:pPr>
              <w:rPr>
                <w:rFonts w:ascii="宋体"/>
              </w:rPr>
            </w:pPr>
          </w:p>
        </w:tc>
        <w:tc>
          <w:tcPr>
            <w:tcW w:w="0" w:type="auto"/>
            <w:shd w:val="clear" w:color="auto" w:fill="auto"/>
          </w:tcPr>
          <w:p w14:paraId="33DAA866" w14:textId="77777777" w:rsidR="004D6A64" w:rsidRDefault="004D6A64">
            <w:pPr>
              <w:rPr>
                <w:rFonts w:ascii="宋体"/>
              </w:rPr>
            </w:pPr>
          </w:p>
        </w:tc>
        <w:tc>
          <w:tcPr>
            <w:tcW w:w="0" w:type="auto"/>
            <w:shd w:val="clear" w:color="auto" w:fill="auto"/>
          </w:tcPr>
          <w:p w14:paraId="33DAA867" w14:textId="77777777" w:rsidR="004D6A64" w:rsidRDefault="004D6A64">
            <w:pPr>
              <w:rPr>
                <w:rFonts w:ascii="宋体"/>
              </w:rPr>
            </w:pPr>
          </w:p>
        </w:tc>
        <w:tc>
          <w:tcPr>
            <w:tcW w:w="0" w:type="auto"/>
            <w:shd w:val="clear" w:color="auto" w:fill="auto"/>
          </w:tcPr>
          <w:p w14:paraId="33DAA868" w14:textId="77777777" w:rsidR="004D6A64" w:rsidRDefault="004D6A64">
            <w:pPr>
              <w:rPr>
                <w:rFonts w:ascii="宋体"/>
              </w:rPr>
            </w:pPr>
          </w:p>
        </w:tc>
        <w:tc>
          <w:tcPr>
            <w:tcW w:w="0" w:type="auto"/>
            <w:shd w:val="clear" w:color="auto" w:fill="auto"/>
          </w:tcPr>
          <w:p w14:paraId="33DAA869" w14:textId="77777777" w:rsidR="004D6A64" w:rsidRDefault="004D6A64">
            <w:pPr>
              <w:rPr>
                <w:rFonts w:ascii="宋体"/>
              </w:rPr>
            </w:pPr>
          </w:p>
        </w:tc>
        <w:tc>
          <w:tcPr>
            <w:tcW w:w="0" w:type="auto"/>
            <w:shd w:val="clear" w:color="auto" w:fill="auto"/>
          </w:tcPr>
          <w:p w14:paraId="33DAA86A" w14:textId="77777777" w:rsidR="004D6A64" w:rsidRDefault="004D6A64">
            <w:pPr>
              <w:rPr>
                <w:rFonts w:ascii="宋体"/>
              </w:rPr>
            </w:pPr>
          </w:p>
        </w:tc>
        <w:tc>
          <w:tcPr>
            <w:tcW w:w="0" w:type="auto"/>
            <w:shd w:val="clear" w:color="auto" w:fill="auto"/>
          </w:tcPr>
          <w:p w14:paraId="33DAA86B" w14:textId="77777777" w:rsidR="004D6A64" w:rsidRDefault="004D6A64">
            <w:pPr>
              <w:rPr>
                <w:rFonts w:ascii="宋体"/>
              </w:rPr>
            </w:pPr>
          </w:p>
        </w:tc>
        <w:tc>
          <w:tcPr>
            <w:tcW w:w="0" w:type="auto"/>
            <w:shd w:val="clear" w:color="auto" w:fill="auto"/>
          </w:tcPr>
          <w:p w14:paraId="33DAA86C" w14:textId="77777777" w:rsidR="004D6A64" w:rsidRDefault="004D6A64">
            <w:pPr>
              <w:rPr>
                <w:rFonts w:ascii="宋体"/>
              </w:rPr>
            </w:pPr>
          </w:p>
        </w:tc>
        <w:tc>
          <w:tcPr>
            <w:tcW w:w="0" w:type="auto"/>
            <w:shd w:val="clear" w:color="auto" w:fill="auto"/>
          </w:tcPr>
          <w:p w14:paraId="33DAA86D" w14:textId="77777777" w:rsidR="004D6A64" w:rsidRDefault="004D6A64">
            <w:pPr>
              <w:rPr>
                <w:rFonts w:ascii="宋体"/>
              </w:rPr>
            </w:pPr>
          </w:p>
        </w:tc>
        <w:tc>
          <w:tcPr>
            <w:tcW w:w="0" w:type="auto"/>
            <w:shd w:val="clear" w:color="auto" w:fill="auto"/>
          </w:tcPr>
          <w:p w14:paraId="33DAA86E" w14:textId="77777777" w:rsidR="004D6A64" w:rsidRDefault="004D6A64">
            <w:pPr>
              <w:rPr>
                <w:rFonts w:ascii="宋体"/>
              </w:rPr>
            </w:pPr>
          </w:p>
        </w:tc>
        <w:tc>
          <w:tcPr>
            <w:tcW w:w="0" w:type="auto"/>
            <w:shd w:val="clear" w:color="auto" w:fill="auto"/>
          </w:tcPr>
          <w:p w14:paraId="33DAA86F" w14:textId="77777777" w:rsidR="004D6A64" w:rsidRDefault="004D6A64">
            <w:pPr>
              <w:rPr>
                <w:rFonts w:ascii="宋体"/>
              </w:rPr>
            </w:pPr>
          </w:p>
        </w:tc>
        <w:tc>
          <w:tcPr>
            <w:tcW w:w="0" w:type="auto"/>
            <w:shd w:val="clear" w:color="auto" w:fill="auto"/>
          </w:tcPr>
          <w:p w14:paraId="33DAA870" w14:textId="77777777" w:rsidR="004D6A64" w:rsidRDefault="004D6A64">
            <w:pPr>
              <w:rPr>
                <w:rFonts w:ascii="宋体"/>
              </w:rPr>
            </w:pPr>
          </w:p>
        </w:tc>
        <w:tc>
          <w:tcPr>
            <w:tcW w:w="0" w:type="auto"/>
            <w:shd w:val="clear" w:color="auto" w:fill="auto"/>
          </w:tcPr>
          <w:p w14:paraId="33DAA871" w14:textId="77777777" w:rsidR="004D6A64" w:rsidRDefault="004D6A64">
            <w:pPr>
              <w:rPr>
                <w:rFonts w:ascii="宋体"/>
              </w:rPr>
            </w:pPr>
          </w:p>
        </w:tc>
        <w:tc>
          <w:tcPr>
            <w:tcW w:w="0" w:type="auto"/>
            <w:shd w:val="clear" w:color="auto" w:fill="auto"/>
          </w:tcPr>
          <w:p w14:paraId="33DAA872" w14:textId="77777777" w:rsidR="004D6A64" w:rsidRDefault="004D6A64">
            <w:pPr>
              <w:rPr>
                <w:rFonts w:ascii="宋体"/>
              </w:rPr>
            </w:pPr>
          </w:p>
        </w:tc>
        <w:tc>
          <w:tcPr>
            <w:tcW w:w="0" w:type="auto"/>
            <w:shd w:val="clear" w:color="auto" w:fill="auto"/>
          </w:tcPr>
          <w:p w14:paraId="33DAA873" w14:textId="77777777" w:rsidR="004D6A64" w:rsidRDefault="004D6A64">
            <w:pPr>
              <w:rPr>
                <w:rFonts w:ascii="宋体"/>
              </w:rPr>
            </w:pPr>
          </w:p>
        </w:tc>
        <w:tc>
          <w:tcPr>
            <w:tcW w:w="0" w:type="auto"/>
            <w:shd w:val="clear" w:color="auto" w:fill="auto"/>
          </w:tcPr>
          <w:p w14:paraId="33DAA874" w14:textId="77777777" w:rsidR="004D6A64" w:rsidRDefault="004D6A64">
            <w:pPr>
              <w:rPr>
                <w:rFonts w:ascii="宋体"/>
              </w:rPr>
            </w:pPr>
          </w:p>
        </w:tc>
        <w:tc>
          <w:tcPr>
            <w:tcW w:w="0" w:type="auto"/>
            <w:shd w:val="clear" w:color="auto" w:fill="auto"/>
          </w:tcPr>
          <w:p w14:paraId="33DAA875" w14:textId="77777777" w:rsidR="004D6A64" w:rsidRDefault="004D6A64">
            <w:pPr>
              <w:rPr>
                <w:rFonts w:ascii="宋体"/>
              </w:rPr>
            </w:pPr>
          </w:p>
        </w:tc>
        <w:tc>
          <w:tcPr>
            <w:tcW w:w="0" w:type="auto"/>
            <w:shd w:val="clear" w:color="auto" w:fill="auto"/>
          </w:tcPr>
          <w:p w14:paraId="33DAA876" w14:textId="77777777" w:rsidR="004D6A64" w:rsidRDefault="004D6A64">
            <w:pPr>
              <w:rPr>
                <w:rFonts w:ascii="宋体"/>
              </w:rPr>
            </w:pPr>
          </w:p>
        </w:tc>
      </w:tr>
    </w:tbl>
    <w:p w14:paraId="33DAA878" w14:textId="77777777" w:rsidR="004D6A64" w:rsidRDefault="00506CD6">
      <w:r>
        <w:rPr>
          <w:rFonts w:ascii="Times New Roman" w:eastAsia="宋体" w:hAnsi="Times New Roman"/>
          <w:color w:val="000000"/>
          <w:sz w:val="20"/>
          <w:szCs w:val="20"/>
        </w:rPr>
        <w:t>____________________</w:t>
      </w:r>
    </w:p>
    <w:p w14:paraId="33DAA879" w14:textId="77777777" w:rsidR="004D6A64" w:rsidRDefault="00506CD6">
      <w:pPr>
        <w:pBdr>
          <w:left w:val="none" w:sz="0" w:space="0" w:color="auto"/>
        </w:pBdr>
        <w:ind w:hanging="360"/>
      </w:pPr>
      <w:r>
        <w:rPr>
          <w:rFonts w:ascii="Times New Roman" w:eastAsia="宋体" w:hAnsi="Times New Roman"/>
          <w:color w:val="000000"/>
          <w:sz w:val="20"/>
          <w:szCs w:val="20"/>
        </w:rPr>
        <w:t xml:space="preserve">(a) Customer receivables, gross includes amounts due from customers under revolving loans, fixed-term loans, fixed-term sales-type or direct financing leases, and accrued interest. </w:t>
      </w:r>
    </w:p>
    <w:p w14:paraId="33DAA87A" w14:textId="77777777" w:rsidR="004D6A64" w:rsidRDefault="004D6A64">
      <w:pPr>
        <w:pBdr>
          <w:left w:val="none" w:sz="0" w:space="0" w:color="auto"/>
        </w:pBdr>
        <w:ind w:hanging="360"/>
      </w:pPr>
    </w:p>
    <w:p w14:paraId="33DAA87B" w14:textId="77777777" w:rsidR="004D6A64" w:rsidRDefault="00506CD6">
      <w:r>
        <w:rPr>
          <w:rFonts w:ascii="Times New Roman" w:eastAsia="宋体" w:hAnsi="Times New Roman"/>
          <w:color w:val="000000"/>
          <w:sz w:val="20"/>
          <w:szCs w:val="20"/>
        </w:rPr>
        <w:t>The allowance for losses as of July 31, 2020 includes the adoption of the</w:t>
      </w:r>
      <w:r>
        <w:rPr>
          <w:rFonts w:ascii="Times New Roman" w:eastAsia="宋体" w:hAnsi="Times New Roman"/>
          <w:color w:val="000000"/>
          <w:sz w:val="20"/>
          <w:szCs w:val="20"/>
        </w:rPr>
        <w:t xml:space="preserve"> new CECL standard, which was adopted as of February 1, 2020 using the modified retrospective method. Prior period amounts have not been recast. The provision recognized on the Condensed Consolidated Statements of Income (Loss) for the three and six months</w:t>
      </w:r>
      <w:r>
        <w:rPr>
          <w:rFonts w:ascii="Times New Roman" w:eastAsia="宋体" w:hAnsi="Times New Roman"/>
          <w:color w:val="000000"/>
          <w:sz w:val="20"/>
          <w:szCs w:val="20"/>
        </w:rPr>
        <w:t xml:space="preserve"> ended July 31, 2020 is based on an assessment of the impact of current and expected future economic conditions, inclusive of the effect of the COVID-19 pandemic on credit losses. The duration and severity of COVID-19 and continued market volatility is hig</w:t>
      </w:r>
      <w:r>
        <w:rPr>
          <w:rFonts w:ascii="Times New Roman" w:eastAsia="宋体" w:hAnsi="Times New Roman"/>
          <w:color w:val="000000"/>
          <w:sz w:val="20"/>
          <w:szCs w:val="20"/>
        </w:rPr>
        <w:t>hly uncertain and, as such, the impact on expected losses is subject to significant judgment and may cause variability in the Company’s allowance for credit losses in future periods. See Note 1 and Note 2 of the Notes to the Condensed Consolidated Financia</w:t>
      </w:r>
      <w:r>
        <w:rPr>
          <w:rFonts w:ascii="Times New Roman" w:eastAsia="宋体" w:hAnsi="Times New Roman"/>
          <w:color w:val="000000"/>
          <w:sz w:val="20"/>
          <w:szCs w:val="20"/>
        </w:rPr>
        <w:t xml:space="preserve">l Statements for additional information about the new CECL standard. </w:t>
      </w:r>
    </w:p>
    <w:p w14:paraId="33DAA87C" w14:textId="77777777" w:rsidR="004D6A64" w:rsidRDefault="004D6A64"/>
    <w:p w14:paraId="33DAA87D" w14:textId="77777777" w:rsidR="004D6A64" w:rsidRDefault="00506CD6">
      <w:r>
        <w:rPr>
          <w:rFonts w:ascii="Times New Roman" w:eastAsia="宋体" w:hAnsi="Times New Roman"/>
          <w:color w:val="000000"/>
          <w:sz w:val="20"/>
          <w:szCs w:val="20"/>
        </w:rPr>
        <w:t>The following table presents the changes in allowance for financing receivable losses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1571"/>
        <w:gridCol w:w="37"/>
        <w:gridCol w:w="136"/>
        <w:gridCol w:w="802"/>
        <w:gridCol w:w="41"/>
        <w:gridCol w:w="36"/>
        <w:gridCol w:w="36"/>
        <w:gridCol w:w="36"/>
        <w:gridCol w:w="136"/>
        <w:gridCol w:w="892"/>
        <w:gridCol w:w="41"/>
        <w:gridCol w:w="36"/>
        <w:gridCol w:w="36"/>
        <w:gridCol w:w="36"/>
        <w:gridCol w:w="135"/>
        <w:gridCol w:w="365"/>
        <w:gridCol w:w="41"/>
        <w:gridCol w:w="36"/>
        <w:gridCol w:w="36"/>
        <w:gridCol w:w="36"/>
        <w:gridCol w:w="136"/>
        <w:gridCol w:w="802"/>
        <w:gridCol w:w="41"/>
        <w:gridCol w:w="36"/>
        <w:gridCol w:w="36"/>
        <w:gridCol w:w="36"/>
        <w:gridCol w:w="136"/>
        <w:gridCol w:w="892"/>
        <w:gridCol w:w="41"/>
        <w:gridCol w:w="36"/>
        <w:gridCol w:w="36"/>
        <w:gridCol w:w="36"/>
        <w:gridCol w:w="135"/>
        <w:gridCol w:w="365"/>
        <w:gridCol w:w="4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4D6A64" w14:paraId="33DAA8A2" w14:textId="77777777">
        <w:trPr>
          <w:gridAfter w:val="27"/>
        </w:trPr>
        <w:tc>
          <w:tcPr>
            <w:tcW w:w="50" w:type="pct"/>
            <w:shd w:val="clear" w:color="auto" w:fill="auto"/>
          </w:tcPr>
          <w:p w14:paraId="33DAA87E" w14:textId="77777777" w:rsidR="004D6A64" w:rsidRDefault="004D6A64">
            <w:pPr>
              <w:rPr>
                <w:rFonts w:ascii="宋体"/>
              </w:rPr>
            </w:pPr>
          </w:p>
        </w:tc>
        <w:tc>
          <w:tcPr>
            <w:tcW w:w="1757" w:type="pct"/>
            <w:shd w:val="clear" w:color="auto" w:fill="auto"/>
          </w:tcPr>
          <w:p w14:paraId="33DAA87F" w14:textId="77777777" w:rsidR="004D6A64" w:rsidRDefault="004D6A64">
            <w:pPr>
              <w:rPr>
                <w:rFonts w:ascii="宋体"/>
              </w:rPr>
            </w:pPr>
          </w:p>
        </w:tc>
        <w:tc>
          <w:tcPr>
            <w:tcW w:w="5" w:type="pct"/>
            <w:shd w:val="clear" w:color="auto" w:fill="auto"/>
          </w:tcPr>
          <w:p w14:paraId="33DAA880" w14:textId="77777777" w:rsidR="004D6A64" w:rsidRDefault="004D6A64">
            <w:pPr>
              <w:rPr>
                <w:rFonts w:ascii="宋体"/>
              </w:rPr>
            </w:pPr>
          </w:p>
        </w:tc>
        <w:tc>
          <w:tcPr>
            <w:tcW w:w="50" w:type="pct"/>
            <w:shd w:val="clear" w:color="auto" w:fill="auto"/>
          </w:tcPr>
          <w:p w14:paraId="33DAA881" w14:textId="77777777" w:rsidR="004D6A64" w:rsidRDefault="004D6A64">
            <w:pPr>
              <w:rPr>
                <w:rFonts w:ascii="宋体"/>
              </w:rPr>
            </w:pPr>
          </w:p>
        </w:tc>
        <w:tc>
          <w:tcPr>
            <w:tcW w:w="471" w:type="pct"/>
            <w:shd w:val="clear" w:color="auto" w:fill="auto"/>
          </w:tcPr>
          <w:p w14:paraId="33DAA882" w14:textId="77777777" w:rsidR="004D6A64" w:rsidRDefault="004D6A64">
            <w:pPr>
              <w:rPr>
                <w:rFonts w:ascii="宋体"/>
              </w:rPr>
            </w:pPr>
          </w:p>
        </w:tc>
        <w:tc>
          <w:tcPr>
            <w:tcW w:w="5" w:type="pct"/>
            <w:shd w:val="clear" w:color="auto" w:fill="auto"/>
          </w:tcPr>
          <w:p w14:paraId="33DAA883" w14:textId="77777777" w:rsidR="004D6A64" w:rsidRDefault="004D6A64">
            <w:pPr>
              <w:rPr>
                <w:rFonts w:ascii="宋体"/>
              </w:rPr>
            </w:pPr>
          </w:p>
        </w:tc>
        <w:tc>
          <w:tcPr>
            <w:tcW w:w="5" w:type="pct"/>
            <w:shd w:val="clear" w:color="auto" w:fill="auto"/>
          </w:tcPr>
          <w:p w14:paraId="33DAA884" w14:textId="77777777" w:rsidR="004D6A64" w:rsidRDefault="004D6A64">
            <w:pPr>
              <w:rPr>
                <w:rFonts w:ascii="宋体"/>
              </w:rPr>
            </w:pPr>
          </w:p>
        </w:tc>
        <w:tc>
          <w:tcPr>
            <w:tcW w:w="19" w:type="pct"/>
            <w:shd w:val="clear" w:color="auto" w:fill="auto"/>
          </w:tcPr>
          <w:p w14:paraId="33DAA885" w14:textId="77777777" w:rsidR="004D6A64" w:rsidRDefault="004D6A64">
            <w:pPr>
              <w:rPr>
                <w:rFonts w:ascii="宋体"/>
              </w:rPr>
            </w:pPr>
          </w:p>
        </w:tc>
        <w:tc>
          <w:tcPr>
            <w:tcW w:w="5" w:type="pct"/>
            <w:shd w:val="clear" w:color="auto" w:fill="auto"/>
          </w:tcPr>
          <w:p w14:paraId="33DAA886" w14:textId="77777777" w:rsidR="004D6A64" w:rsidRDefault="004D6A64">
            <w:pPr>
              <w:rPr>
                <w:rFonts w:ascii="宋体"/>
              </w:rPr>
            </w:pPr>
          </w:p>
        </w:tc>
        <w:tc>
          <w:tcPr>
            <w:tcW w:w="50" w:type="pct"/>
            <w:shd w:val="clear" w:color="auto" w:fill="auto"/>
          </w:tcPr>
          <w:p w14:paraId="33DAA887" w14:textId="77777777" w:rsidR="004D6A64" w:rsidRDefault="004D6A64">
            <w:pPr>
              <w:rPr>
                <w:rFonts w:ascii="宋体"/>
              </w:rPr>
            </w:pPr>
          </w:p>
        </w:tc>
        <w:tc>
          <w:tcPr>
            <w:tcW w:w="471" w:type="pct"/>
            <w:shd w:val="clear" w:color="auto" w:fill="auto"/>
          </w:tcPr>
          <w:p w14:paraId="33DAA888" w14:textId="77777777" w:rsidR="004D6A64" w:rsidRDefault="004D6A64">
            <w:pPr>
              <w:rPr>
                <w:rFonts w:ascii="宋体"/>
              </w:rPr>
            </w:pPr>
          </w:p>
        </w:tc>
        <w:tc>
          <w:tcPr>
            <w:tcW w:w="5" w:type="pct"/>
            <w:shd w:val="clear" w:color="auto" w:fill="auto"/>
          </w:tcPr>
          <w:p w14:paraId="33DAA889" w14:textId="77777777" w:rsidR="004D6A64" w:rsidRDefault="004D6A64">
            <w:pPr>
              <w:rPr>
                <w:rFonts w:ascii="宋体"/>
              </w:rPr>
            </w:pPr>
          </w:p>
        </w:tc>
        <w:tc>
          <w:tcPr>
            <w:tcW w:w="5" w:type="pct"/>
            <w:shd w:val="clear" w:color="auto" w:fill="auto"/>
          </w:tcPr>
          <w:p w14:paraId="33DAA88A" w14:textId="77777777" w:rsidR="004D6A64" w:rsidRDefault="004D6A64">
            <w:pPr>
              <w:rPr>
                <w:rFonts w:ascii="宋体"/>
              </w:rPr>
            </w:pPr>
          </w:p>
        </w:tc>
        <w:tc>
          <w:tcPr>
            <w:tcW w:w="19" w:type="pct"/>
            <w:shd w:val="clear" w:color="auto" w:fill="auto"/>
          </w:tcPr>
          <w:p w14:paraId="33DAA88B" w14:textId="77777777" w:rsidR="004D6A64" w:rsidRDefault="004D6A64">
            <w:pPr>
              <w:rPr>
                <w:rFonts w:ascii="宋体"/>
              </w:rPr>
            </w:pPr>
          </w:p>
        </w:tc>
        <w:tc>
          <w:tcPr>
            <w:tcW w:w="5" w:type="pct"/>
            <w:shd w:val="clear" w:color="auto" w:fill="auto"/>
          </w:tcPr>
          <w:p w14:paraId="33DAA88C" w14:textId="77777777" w:rsidR="004D6A64" w:rsidRDefault="004D6A64">
            <w:pPr>
              <w:rPr>
                <w:rFonts w:ascii="宋体"/>
              </w:rPr>
            </w:pPr>
          </w:p>
        </w:tc>
        <w:tc>
          <w:tcPr>
            <w:tcW w:w="50" w:type="pct"/>
            <w:shd w:val="clear" w:color="auto" w:fill="auto"/>
          </w:tcPr>
          <w:p w14:paraId="33DAA88D" w14:textId="77777777" w:rsidR="004D6A64" w:rsidRDefault="004D6A64">
            <w:pPr>
              <w:rPr>
                <w:rFonts w:ascii="宋体"/>
              </w:rPr>
            </w:pPr>
          </w:p>
        </w:tc>
        <w:tc>
          <w:tcPr>
            <w:tcW w:w="412" w:type="pct"/>
            <w:shd w:val="clear" w:color="auto" w:fill="auto"/>
          </w:tcPr>
          <w:p w14:paraId="33DAA88E" w14:textId="77777777" w:rsidR="004D6A64" w:rsidRDefault="004D6A64">
            <w:pPr>
              <w:rPr>
                <w:rFonts w:ascii="宋体"/>
              </w:rPr>
            </w:pPr>
          </w:p>
        </w:tc>
        <w:tc>
          <w:tcPr>
            <w:tcW w:w="5" w:type="pct"/>
            <w:shd w:val="clear" w:color="auto" w:fill="auto"/>
          </w:tcPr>
          <w:p w14:paraId="33DAA88F" w14:textId="77777777" w:rsidR="004D6A64" w:rsidRDefault="004D6A64">
            <w:pPr>
              <w:rPr>
                <w:rFonts w:ascii="宋体"/>
              </w:rPr>
            </w:pPr>
          </w:p>
        </w:tc>
        <w:tc>
          <w:tcPr>
            <w:tcW w:w="5" w:type="pct"/>
            <w:shd w:val="clear" w:color="auto" w:fill="auto"/>
          </w:tcPr>
          <w:p w14:paraId="33DAA890" w14:textId="77777777" w:rsidR="004D6A64" w:rsidRDefault="004D6A64">
            <w:pPr>
              <w:rPr>
                <w:rFonts w:ascii="宋体"/>
              </w:rPr>
            </w:pPr>
          </w:p>
        </w:tc>
        <w:tc>
          <w:tcPr>
            <w:tcW w:w="19" w:type="pct"/>
            <w:shd w:val="clear" w:color="auto" w:fill="auto"/>
          </w:tcPr>
          <w:p w14:paraId="33DAA891" w14:textId="77777777" w:rsidR="004D6A64" w:rsidRDefault="004D6A64">
            <w:pPr>
              <w:rPr>
                <w:rFonts w:ascii="宋体"/>
              </w:rPr>
            </w:pPr>
          </w:p>
        </w:tc>
        <w:tc>
          <w:tcPr>
            <w:tcW w:w="5" w:type="pct"/>
            <w:shd w:val="clear" w:color="auto" w:fill="auto"/>
          </w:tcPr>
          <w:p w14:paraId="33DAA892" w14:textId="77777777" w:rsidR="004D6A64" w:rsidRDefault="004D6A64">
            <w:pPr>
              <w:rPr>
                <w:rFonts w:ascii="宋体"/>
              </w:rPr>
            </w:pPr>
          </w:p>
        </w:tc>
        <w:tc>
          <w:tcPr>
            <w:tcW w:w="50" w:type="pct"/>
            <w:shd w:val="clear" w:color="auto" w:fill="auto"/>
          </w:tcPr>
          <w:p w14:paraId="33DAA893" w14:textId="77777777" w:rsidR="004D6A64" w:rsidRDefault="004D6A64">
            <w:pPr>
              <w:rPr>
                <w:rFonts w:ascii="宋体"/>
              </w:rPr>
            </w:pPr>
          </w:p>
        </w:tc>
        <w:tc>
          <w:tcPr>
            <w:tcW w:w="471" w:type="pct"/>
            <w:shd w:val="clear" w:color="auto" w:fill="auto"/>
          </w:tcPr>
          <w:p w14:paraId="33DAA894" w14:textId="77777777" w:rsidR="004D6A64" w:rsidRDefault="004D6A64">
            <w:pPr>
              <w:rPr>
                <w:rFonts w:ascii="宋体"/>
              </w:rPr>
            </w:pPr>
          </w:p>
        </w:tc>
        <w:tc>
          <w:tcPr>
            <w:tcW w:w="5" w:type="pct"/>
            <w:shd w:val="clear" w:color="auto" w:fill="auto"/>
          </w:tcPr>
          <w:p w14:paraId="33DAA895" w14:textId="77777777" w:rsidR="004D6A64" w:rsidRDefault="004D6A64">
            <w:pPr>
              <w:rPr>
                <w:rFonts w:ascii="宋体"/>
              </w:rPr>
            </w:pPr>
          </w:p>
        </w:tc>
        <w:tc>
          <w:tcPr>
            <w:tcW w:w="5" w:type="pct"/>
            <w:shd w:val="clear" w:color="auto" w:fill="auto"/>
          </w:tcPr>
          <w:p w14:paraId="33DAA896" w14:textId="77777777" w:rsidR="004D6A64" w:rsidRDefault="004D6A64">
            <w:pPr>
              <w:rPr>
                <w:rFonts w:ascii="宋体"/>
              </w:rPr>
            </w:pPr>
          </w:p>
        </w:tc>
        <w:tc>
          <w:tcPr>
            <w:tcW w:w="19" w:type="pct"/>
            <w:shd w:val="clear" w:color="auto" w:fill="auto"/>
          </w:tcPr>
          <w:p w14:paraId="33DAA897" w14:textId="77777777" w:rsidR="004D6A64" w:rsidRDefault="004D6A64">
            <w:pPr>
              <w:rPr>
                <w:rFonts w:ascii="宋体"/>
              </w:rPr>
            </w:pPr>
          </w:p>
        </w:tc>
        <w:tc>
          <w:tcPr>
            <w:tcW w:w="5" w:type="pct"/>
            <w:shd w:val="clear" w:color="auto" w:fill="auto"/>
          </w:tcPr>
          <w:p w14:paraId="33DAA898" w14:textId="77777777" w:rsidR="004D6A64" w:rsidRDefault="004D6A64">
            <w:pPr>
              <w:rPr>
                <w:rFonts w:ascii="宋体"/>
              </w:rPr>
            </w:pPr>
          </w:p>
        </w:tc>
        <w:tc>
          <w:tcPr>
            <w:tcW w:w="50" w:type="pct"/>
            <w:shd w:val="clear" w:color="auto" w:fill="auto"/>
          </w:tcPr>
          <w:p w14:paraId="33DAA899" w14:textId="77777777" w:rsidR="004D6A64" w:rsidRDefault="004D6A64">
            <w:pPr>
              <w:rPr>
                <w:rFonts w:ascii="宋体"/>
              </w:rPr>
            </w:pPr>
          </w:p>
        </w:tc>
        <w:tc>
          <w:tcPr>
            <w:tcW w:w="471" w:type="pct"/>
            <w:shd w:val="clear" w:color="auto" w:fill="auto"/>
          </w:tcPr>
          <w:p w14:paraId="33DAA89A" w14:textId="77777777" w:rsidR="004D6A64" w:rsidRDefault="004D6A64">
            <w:pPr>
              <w:rPr>
                <w:rFonts w:ascii="宋体"/>
              </w:rPr>
            </w:pPr>
          </w:p>
        </w:tc>
        <w:tc>
          <w:tcPr>
            <w:tcW w:w="5" w:type="pct"/>
            <w:shd w:val="clear" w:color="auto" w:fill="auto"/>
          </w:tcPr>
          <w:p w14:paraId="33DAA89B" w14:textId="77777777" w:rsidR="004D6A64" w:rsidRDefault="004D6A64">
            <w:pPr>
              <w:rPr>
                <w:rFonts w:ascii="宋体"/>
              </w:rPr>
            </w:pPr>
          </w:p>
        </w:tc>
        <w:tc>
          <w:tcPr>
            <w:tcW w:w="5" w:type="pct"/>
            <w:shd w:val="clear" w:color="auto" w:fill="auto"/>
          </w:tcPr>
          <w:p w14:paraId="33DAA89C" w14:textId="77777777" w:rsidR="004D6A64" w:rsidRDefault="004D6A64">
            <w:pPr>
              <w:rPr>
                <w:rFonts w:ascii="宋体"/>
              </w:rPr>
            </w:pPr>
          </w:p>
        </w:tc>
        <w:tc>
          <w:tcPr>
            <w:tcW w:w="19" w:type="pct"/>
            <w:shd w:val="clear" w:color="auto" w:fill="auto"/>
          </w:tcPr>
          <w:p w14:paraId="33DAA89D" w14:textId="77777777" w:rsidR="004D6A64" w:rsidRDefault="004D6A64">
            <w:pPr>
              <w:rPr>
                <w:rFonts w:ascii="宋体"/>
              </w:rPr>
            </w:pPr>
          </w:p>
        </w:tc>
        <w:tc>
          <w:tcPr>
            <w:tcW w:w="5" w:type="pct"/>
            <w:shd w:val="clear" w:color="auto" w:fill="auto"/>
          </w:tcPr>
          <w:p w14:paraId="33DAA89E" w14:textId="77777777" w:rsidR="004D6A64" w:rsidRDefault="004D6A64">
            <w:pPr>
              <w:rPr>
                <w:rFonts w:ascii="宋体"/>
              </w:rPr>
            </w:pPr>
          </w:p>
        </w:tc>
        <w:tc>
          <w:tcPr>
            <w:tcW w:w="50" w:type="pct"/>
            <w:shd w:val="clear" w:color="auto" w:fill="auto"/>
          </w:tcPr>
          <w:p w14:paraId="33DAA89F" w14:textId="77777777" w:rsidR="004D6A64" w:rsidRDefault="004D6A64">
            <w:pPr>
              <w:rPr>
                <w:rFonts w:ascii="宋体"/>
              </w:rPr>
            </w:pPr>
          </w:p>
        </w:tc>
        <w:tc>
          <w:tcPr>
            <w:tcW w:w="413" w:type="pct"/>
            <w:shd w:val="clear" w:color="auto" w:fill="auto"/>
          </w:tcPr>
          <w:p w14:paraId="33DAA8A0" w14:textId="77777777" w:rsidR="004D6A64" w:rsidRDefault="004D6A64">
            <w:pPr>
              <w:rPr>
                <w:rFonts w:ascii="宋体"/>
              </w:rPr>
            </w:pPr>
          </w:p>
        </w:tc>
        <w:tc>
          <w:tcPr>
            <w:tcW w:w="5" w:type="pct"/>
            <w:shd w:val="clear" w:color="auto" w:fill="auto"/>
          </w:tcPr>
          <w:p w14:paraId="33DAA8A1" w14:textId="77777777" w:rsidR="004D6A64" w:rsidRDefault="004D6A64">
            <w:pPr>
              <w:rPr>
                <w:rFonts w:ascii="宋体"/>
              </w:rPr>
            </w:pPr>
          </w:p>
        </w:tc>
      </w:tr>
      <w:tr w:rsidR="004D6A64" w14:paraId="33DAA8AF" w14:textId="77777777">
        <w:tc>
          <w:tcPr>
            <w:tcW w:w="0" w:type="auto"/>
            <w:gridSpan w:val="3"/>
            <w:shd w:val="clear" w:color="auto" w:fill="auto"/>
            <w:tcMar>
              <w:left w:w="20" w:type="dxa"/>
              <w:right w:w="20" w:type="dxa"/>
            </w:tcMar>
            <w:vAlign w:val="bottom"/>
          </w:tcPr>
          <w:p w14:paraId="33DAA8A3" w14:textId="77777777" w:rsidR="004D6A64" w:rsidRDefault="004D6A64">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center"/>
          </w:tcPr>
          <w:p w14:paraId="33DAA8A4" w14:textId="77777777" w:rsidR="004D6A64" w:rsidRDefault="00506CD6">
            <w:pPr>
              <w:jc w:val="center"/>
              <w:textAlignment w:val="center"/>
            </w:pPr>
            <w:r>
              <w:rPr>
                <w:rFonts w:ascii="Times New Roman" w:eastAsia="宋体" w:hAnsi="Times New Roman"/>
                <w:b/>
                <w:bCs/>
                <w:color w:val="000000"/>
                <w:sz w:val="20"/>
                <w:szCs w:val="20"/>
              </w:rPr>
              <w:t>Three Months Ended</w:t>
            </w:r>
          </w:p>
        </w:tc>
        <w:tc>
          <w:tcPr>
            <w:tcW w:w="0" w:type="auto"/>
            <w:gridSpan w:val="3"/>
            <w:shd w:val="clear" w:color="auto" w:fill="auto"/>
          </w:tcPr>
          <w:p w14:paraId="33DAA8A5" w14:textId="77777777" w:rsidR="004D6A64" w:rsidRDefault="004D6A64">
            <w:pPr>
              <w:rPr>
                <w:rFonts w:ascii="宋体"/>
                <w:vanish/>
              </w:rPr>
            </w:pPr>
          </w:p>
        </w:tc>
        <w:tc>
          <w:tcPr>
            <w:tcW w:w="0" w:type="auto"/>
            <w:gridSpan w:val="3"/>
            <w:shd w:val="clear" w:color="auto" w:fill="auto"/>
          </w:tcPr>
          <w:p w14:paraId="33DAA8A6" w14:textId="77777777" w:rsidR="004D6A64" w:rsidRDefault="004D6A64">
            <w:pPr>
              <w:rPr>
                <w:rFonts w:ascii="宋体"/>
                <w:vanish/>
              </w:rPr>
            </w:pPr>
          </w:p>
        </w:tc>
        <w:tc>
          <w:tcPr>
            <w:tcW w:w="0" w:type="auto"/>
            <w:gridSpan w:val="3"/>
            <w:shd w:val="clear" w:color="auto" w:fill="auto"/>
          </w:tcPr>
          <w:p w14:paraId="33DAA8A7" w14:textId="77777777" w:rsidR="004D6A64" w:rsidRDefault="004D6A64">
            <w:pPr>
              <w:rPr>
                <w:rFonts w:ascii="宋体"/>
                <w:vanish/>
              </w:rPr>
            </w:pPr>
          </w:p>
        </w:tc>
        <w:tc>
          <w:tcPr>
            <w:tcW w:w="0" w:type="auto"/>
            <w:gridSpan w:val="3"/>
            <w:shd w:val="clear" w:color="auto" w:fill="auto"/>
          </w:tcPr>
          <w:p w14:paraId="33DAA8A8" w14:textId="77777777" w:rsidR="004D6A64" w:rsidRDefault="004D6A64">
            <w:pPr>
              <w:rPr>
                <w:rFonts w:ascii="宋体"/>
                <w:vanish/>
              </w:rPr>
            </w:pPr>
          </w:p>
        </w:tc>
        <w:tc>
          <w:tcPr>
            <w:tcW w:w="0" w:type="auto"/>
            <w:gridSpan w:val="3"/>
            <w:shd w:val="clear" w:color="auto" w:fill="auto"/>
          </w:tcPr>
          <w:p w14:paraId="33DAA8A9" w14:textId="77777777" w:rsidR="004D6A64" w:rsidRDefault="004D6A64">
            <w:pPr>
              <w:rPr>
                <w:rFonts w:ascii="宋体"/>
                <w:vanish/>
              </w:rPr>
            </w:pPr>
          </w:p>
        </w:tc>
        <w:tc>
          <w:tcPr>
            <w:tcW w:w="0" w:type="auto"/>
            <w:gridSpan w:val="3"/>
            <w:shd w:val="clear" w:color="auto" w:fill="auto"/>
          </w:tcPr>
          <w:p w14:paraId="33DAA8AA" w14:textId="77777777" w:rsidR="004D6A64" w:rsidRDefault="004D6A64">
            <w:pPr>
              <w:rPr>
                <w:rFonts w:ascii="宋体"/>
                <w:vanish/>
              </w:rPr>
            </w:pPr>
          </w:p>
        </w:tc>
        <w:tc>
          <w:tcPr>
            <w:tcW w:w="0" w:type="auto"/>
            <w:gridSpan w:val="3"/>
            <w:shd w:val="clear" w:color="auto" w:fill="auto"/>
          </w:tcPr>
          <w:p w14:paraId="33DAA8AB" w14:textId="77777777" w:rsidR="004D6A64" w:rsidRDefault="004D6A64">
            <w:pPr>
              <w:rPr>
                <w:rFonts w:ascii="宋体"/>
                <w:vanish/>
              </w:rPr>
            </w:pPr>
          </w:p>
        </w:tc>
        <w:tc>
          <w:tcPr>
            <w:tcW w:w="0" w:type="auto"/>
            <w:gridSpan w:val="3"/>
            <w:shd w:val="clear" w:color="auto" w:fill="auto"/>
          </w:tcPr>
          <w:p w14:paraId="33DAA8AC" w14:textId="77777777" w:rsidR="004D6A64" w:rsidRDefault="004D6A64">
            <w:pPr>
              <w:rPr>
                <w:rFonts w:ascii="宋体"/>
                <w:vanish/>
              </w:rPr>
            </w:pPr>
          </w:p>
        </w:tc>
        <w:tc>
          <w:tcPr>
            <w:tcW w:w="0" w:type="auto"/>
            <w:gridSpan w:val="2"/>
            <w:shd w:val="clear" w:color="auto" w:fill="auto"/>
          </w:tcPr>
          <w:p w14:paraId="33DAA8AD" w14:textId="77777777" w:rsidR="004D6A64" w:rsidRDefault="004D6A64">
            <w:pPr>
              <w:rPr>
                <w:rFonts w:ascii="宋体"/>
                <w:vanish/>
              </w:rPr>
            </w:pPr>
          </w:p>
        </w:tc>
        <w:tc>
          <w:tcPr>
            <w:tcW w:w="0" w:type="auto"/>
            <w:shd w:val="clear" w:color="auto" w:fill="auto"/>
          </w:tcPr>
          <w:p w14:paraId="33DAA8AE" w14:textId="77777777" w:rsidR="004D6A64" w:rsidRDefault="004D6A64">
            <w:pPr>
              <w:rPr>
                <w:rFonts w:ascii="宋体"/>
                <w:vanish/>
              </w:rPr>
            </w:pPr>
          </w:p>
        </w:tc>
      </w:tr>
      <w:tr w:rsidR="004D6A64" w14:paraId="33DAA8BF" w14:textId="77777777">
        <w:tc>
          <w:tcPr>
            <w:tcW w:w="0" w:type="auto"/>
            <w:gridSpan w:val="3"/>
            <w:shd w:val="clear" w:color="auto" w:fill="auto"/>
            <w:tcMar>
              <w:left w:w="20" w:type="dxa"/>
              <w:right w:w="20" w:type="dxa"/>
            </w:tcMar>
            <w:vAlign w:val="bottom"/>
          </w:tcPr>
          <w:p w14:paraId="33DAA8B0" w14:textId="77777777" w:rsidR="004D6A64" w:rsidRDefault="004D6A64">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center"/>
          </w:tcPr>
          <w:p w14:paraId="33DAA8B1" w14:textId="77777777" w:rsidR="004D6A64" w:rsidRDefault="00506CD6">
            <w:pPr>
              <w:jc w:val="center"/>
              <w:textAlignment w:val="center"/>
            </w:pPr>
            <w:r>
              <w:rPr>
                <w:rFonts w:ascii="Times New Roman" w:eastAsia="宋体" w:hAnsi="Times New Roman"/>
                <w:b/>
                <w:bCs/>
                <w:color w:val="000000"/>
                <w:sz w:val="20"/>
                <w:szCs w:val="20"/>
              </w:rPr>
              <w:t>July 31, 2020</w:t>
            </w:r>
          </w:p>
        </w:tc>
        <w:tc>
          <w:tcPr>
            <w:tcW w:w="0" w:type="auto"/>
            <w:gridSpan w:val="3"/>
            <w:shd w:val="clear" w:color="auto" w:fill="auto"/>
          </w:tcPr>
          <w:p w14:paraId="33DAA8B2" w14:textId="77777777" w:rsidR="004D6A64" w:rsidRDefault="004D6A64">
            <w:pPr>
              <w:rPr>
                <w:rFonts w:ascii="宋体"/>
                <w:vanish/>
              </w:rPr>
            </w:pPr>
          </w:p>
        </w:tc>
        <w:tc>
          <w:tcPr>
            <w:tcW w:w="0" w:type="auto"/>
            <w:gridSpan w:val="3"/>
            <w:shd w:val="clear" w:color="auto" w:fill="auto"/>
          </w:tcPr>
          <w:p w14:paraId="33DAA8B3" w14:textId="77777777" w:rsidR="004D6A64" w:rsidRDefault="004D6A64">
            <w:pPr>
              <w:rPr>
                <w:rFonts w:ascii="宋体"/>
                <w:vanish/>
              </w:rPr>
            </w:pPr>
          </w:p>
        </w:tc>
        <w:tc>
          <w:tcPr>
            <w:tcW w:w="0" w:type="auto"/>
            <w:gridSpan w:val="3"/>
            <w:shd w:val="clear" w:color="auto" w:fill="auto"/>
          </w:tcPr>
          <w:p w14:paraId="33DAA8B4" w14:textId="77777777" w:rsidR="004D6A64" w:rsidRDefault="004D6A64">
            <w:pPr>
              <w:rPr>
                <w:rFonts w:ascii="宋体"/>
                <w:vanish/>
              </w:rPr>
            </w:pPr>
          </w:p>
        </w:tc>
        <w:tc>
          <w:tcPr>
            <w:tcW w:w="0" w:type="auto"/>
            <w:gridSpan w:val="3"/>
            <w:shd w:val="clear" w:color="auto" w:fill="auto"/>
          </w:tcPr>
          <w:p w14:paraId="33DAA8B5" w14:textId="77777777" w:rsidR="004D6A64" w:rsidRDefault="004D6A64">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33DAA8B6" w14:textId="77777777" w:rsidR="004D6A64" w:rsidRDefault="004D6A64">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center"/>
          </w:tcPr>
          <w:p w14:paraId="33DAA8B7" w14:textId="77777777" w:rsidR="004D6A64" w:rsidRDefault="00506CD6">
            <w:pPr>
              <w:jc w:val="center"/>
              <w:textAlignment w:val="center"/>
            </w:pPr>
            <w:r>
              <w:rPr>
                <w:rFonts w:ascii="Times New Roman" w:eastAsia="宋体" w:hAnsi="Times New Roman"/>
                <w:b/>
                <w:bCs/>
                <w:color w:val="000000"/>
                <w:sz w:val="20"/>
                <w:szCs w:val="20"/>
              </w:rPr>
              <w:t>August 2, 2019</w:t>
            </w:r>
          </w:p>
        </w:tc>
        <w:tc>
          <w:tcPr>
            <w:tcW w:w="0" w:type="auto"/>
            <w:gridSpan w:val="3"/>
            <w:shd w:val="clear" w:color="auto" w:fill="auto"/>
          </w:tcPr>
          <w:p w14:paraId="33DAA8B8" w14:textId="77777777" w:rsidR="004D6A64" w:rsidRDefault="004D6A64">
            <w:pPr>
              <w:rPr>
                <w:rFonts w:ascii="宋体"/>
                <w:vanish/>
              </w:rPr>
            </w:pPr>
          </w:p>
        </w:tc>
        <w:tc>
          <w:tcPr>
            <w:tcW w:w="0" w:type="auto"/>
            <w:gridSpan w:val="3"/>
            <w:shd w:val="clear" w:color="auto" w:fill="auto"/>
          </w:tcPr>
          <w:p w14:paraId="33DAA8B9" w14:textId="77777777" w:rsidR="004D6A64" w:rsidRDefault="004D6A64">
            <w:pPr>
              <w:rPr>
                <w:rFonts w:ascii="宋体"/>
                <w:vanish/>
              </w:rPr>
            </w:pPr>
          </w:p>
        </w:tc>
        <w:tc>
          <w:tcPr>
            <w:tcW w:w="0" w:type="auto"/>
            <w:gridSpan w:val="3"/>
            <w:shd w:val="clear" w:color="auto" w:fill="auto"/>
          </w:tcPr>
          <w:p w14:paraId="33DAA8BA" w14:textId="77777777" w:rsidR="004D6A64" w:rsidRDefault="004D6A64">
            <w:pPr>
              <w:rPr>
                <w:rFonts w:ascii="宋体"/>
                <w:vanish/>
              </w:rPr>
            </w:pPr>
          </w:p>
        </w:tc>
        <w:tc>
          <w:tcPr>
            <w:tcW w:w="0" w:type="auto"/>
            <w:gridSpan w:val="3"/>
            <w:shd w:val="clear" w:color="auto" w:fill="auto"/>
          </w:tcPr>
          <w:p w14:paraId="33DAA8BB" w14:textId="77777777" w:rsidR="004D6A64" w:rsidRDefault="004D6A64">
            <w:pPr>
              <w:rPr>
                <w:rFonts w:ascii="宋体"/>
                <w:vanish/>
              </w:rPr>
            </w:pPr>
          </w:p>
        </w:tc>
        <w:tc>
          <w:tcPr>
            <w:tcW w:w="0" w:type="auto"/>
            <w:shd w:val="clear" w:color="auto" w:fill="auto"/>
          </w:tcPr>
          <w:p w14:paraId="33DAA8BC" w14:textId="77777777" w:rsidR="004D6A64" w:rsidRDefault="004D6A64">
            <w:pPr>
              <w:rPr>
                <w:rFonts w:ascii="宋体"/>
              </w:rPr>
            </w:pPr>
          </w:p>
        </w:tc>
        <w:tc>
          <w:tcPr>
            <w:tcW w:w="0" w:type="auto"/>
            <w:shd w:val="clear" w:color="auto" w:fill="auto"/>
          </w:tcPr>
          <w:p w14:paraId="33DAA8BD" w14:textId="77777777" w:rsidR="004D6A64" w:rsidRDefault="004D6A64">
            <w:pPr>
              <w:rPr>
                <w:rFonts w:ascii="宋体"/>
              </w:rPr>
            </w:pPr>
          </w:p>
        </w:tc>
        <w:tc>
          <w:tcPr>
            <w:tcW w:w="0" w:type="auto"/>
            <w:shd w:val="clear" w:color="auto" w:fill="auto"/>
          </w:tcPr>
          <w:p w14:paraId="33DAA8BE" w14:textId="77777777" w:rsidR="004D6A64" w:rsidRDefault="004D6A64">
            <w:pPr>
              <w:rPr>
                <w:rFonts w:ascii="宋体"/>
              </w:rPr>
            </w:pPr>
          </w:p>
        </w:tc>
      </w:tr>
      <w:tr w:rsidR="004D6A64" w14:paraId="33DAA8E7" w14:textId="77777777">
        <w:tc>
          <w:tcPr>
            <w:tcW w:w="0" w:type="auto"/>
            <w:gridSpan w:val="3"/>
            <w:shd w:val="clear" w:color="auto" w:fill="auto"/>
            <w:tcMar>
              <w:left w:w="20" w:type="dxa"/>
              <w:right w:w="20" w:type="dxa"/>
            </w:tcMar>
            <w:vAlign w:val="bottom"/>
          </w:tcPr>
          <w:p w14:paraId="33DAA8C0"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3DAA8C1" w14:textId="77777777" w:rsidR="004D6A64" w:rsidRDefault="00506CD6">
            <w:pPr>
              <w:jc w:val="center"/>
              <w:textAlignment w:val="center"/>
            </w:pPr>
            <w:r>
              <w:rPr>
                <w:rFonts w:ascii="Times New Roman" w:eastAsia="宋体" w:hAnsi="Times New Roman"/>
                <w:b/>
                <w:bCs/>
                <w:color w:val="000000"/>
                <w:sz w:val="20"/>
                <w:szCs w:val="20"/>
              </w:rPr>
              <w:t>Revolving</w:t>
            </w:r>
          </w:p>
        </w:tc>
        <w:tc>
          <w:tcPr>
            <w:tcW w:w="0" w:type="auto"/>
            <w:gridSpan w:val="3"/>
            <w:tcBorders>
              <w:top w:val="single" w:sz="8" w:space="0" w:color="000000"/>
            </w:tcBorders>
            <w:shd w:val="clear" w:color="auto" w:fill="auto"/>
            <w:tcMar>
              <w:left w:w="20" w:type="dxa"/>
              <w:right w:w="20" w:type="dxa"/>
            </w:tcMar>
            <w:vAlign w:val="bottom"/>
          </w:tcPr>
          <w:p w14:paraId="33DAA8C2"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33DAA8C3" w14:textId="77777777" w:rsidR="004D6A64" w:rsidRDefault="00506CD6">
            <w:pPr>
              <w:jc w:val="center"/>
              <w:textAlignment w:val="center"/>
            </w:pPr>
            <w:r>
              <w:rPr>
                <w:rFonts w:ascii="Times New Roman" w:eastAsia="宋体" w:hAnsi="Times New Roman"/>
                <w:b/>
                <w:bCs/>
                <w:color w:val="000000"/>
                <w:sz w:val="20"/>
                <w:szCs w:val="20"/>
              </w:rPr>
              <w:t>Fixed-term</w:t>
            </w:r>
          </w:p>
        </w:tc>
        <w:tc>
          <w:tcPr>
            <w:tcW w:w="0" w:type="auto"/>
            <w:gridSpan w:val="3"/>
            <w:tcBorders>
              <w:top w:val="single" w:sz="8" w:space="0" w:color="000000"/>
            </w:tcBorders>
            <w:shd w:val="clear" w:color="auto" w:fill="auto"/>
            <w:tcMar>
              <w:left w:w="20" w:type="dxa"/>
              <w:right w:w="20" w:type="dxa"/>
            </w:tcMar>
            <w:vAlign w:val="bottom"/>
          </w:tcPr>
          <w:p w14:paraId="33DAA8C4"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33DAA8C5" w14:textId="77777777" w:rsidR="004D6A64" w:rsidRDefault="00506CD6">
            <w:pPr>
              <w:jc w:val="center"/>
              <w:textAlignment w:val="center"/>
            </w:pPr>
            <w:r>
              <w:rPr>
                <w:rFonts w:ascii="Times New Roman" w:eastAsia="宋体" w:hAnsi="Times New Roman"/>
                <w:b/>
                <w:bCs/>
                <w:color w:val="000000"/>
                <w:sz w:val="20"/>
                <w:szCs w:val="20"/>
              </w:rPr>
              <w:t>Total</w:t>
            </w:r>
          </w:p>
        </w:tc>
        <w:tc>
          <w:tcPr>
            <w:tcW w:w="0" w:type="auto"/>
            <w:gridSpan w:val="3"/>
            <w:shd w:val="clear" w:color="auto" w:fill="auto"/>
            <w:tcMar>
              <w:left w:w="20" w:type="dxa"/>
              <w:right w:w="20" w:type="dxa"/>
            </w:tcMar>
            <w:vAlign w:val="bottom"/>
          </w:tcPr>
          <w:p w14:paraId="33DAA8C6"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33DAA8C7" w14:textId="77777777" w:rsidR="004D6A64" w:rsidRDefault="00506CD6">
            <w:pPr>
              <w:jc w:val="center"/>
              <w:textAlignment w:val="center"/>
            </w:pPr>
            <w:r>
              <w:rPr>
                <w:rFonts w:ascii="Times New Roman" w:eastAsia="宋体" w:hAnsi="Times New Roman"/>
                <w:b/>
                <w:bCs/>
                <w:color w:val="000000"/>
                <w:sz w:val="20"/>
                <w:szCs w:val="20"/>
              </w:rPr>
              <w:t>Revolving</w:t>
            </w:r>
          </w:p>
        </w:tc>
        <w:tc>
          <w:tcPr>
            <w:tcW w:w="0" w:type="auto"/>
            <w:gridSpan w:val="3"/>
            <w:tcBorders>
              <w:top w:val="single" w:sz="8" w:space="0" w:color="000000"/>
            </w:tcBorders>
            <w:shd w:val="clear" w:color="auto" w:fill="auto"/>
            <w:tcMar>
              <w:left w:w="20" w:type="dxa"/>
              <w:right w:w="20" w:type="dxa"/>
            </w:tcMar>
            <w:vAlign w:val="bottom"/>
          </w:tcPr>
          <w:p w14:paraId="33DAA8C8"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33DAA8C9" w14:textId="77777777" w:rsidR="004D6A64" w:rsidRDefault="00506CD6">
            <w:pPr>
              <w:jc w:val="center"/>
              <w:textAlignment w:val="center"/>
            </w:pPr>
            <w:r>
              <w:rPr>
                <w:rFonts w:ascii="Times New Roman" w:eastAsia="宋体" w:hAnsi="Times New Roman"/>
                <w:b/>
                <w:bCs/>
                <w:color w:val="000000"/>
                <w:sz w:val="20"/>
                <w:szCs w:val="20"/>
              </w:rPr>
              <w:t>Fixed-term</w:t>
            </w:r>
          </w:p>
        </w:tc>
        <w:tc>
          <w:tcPr>
            <w:tcW w:w="0" w:type="auto"/>
            <w:gridSpan w:val="3"/>
            <w:tcBorders>
              <w:top w:val="single" w:sz="8" w:space="0" w:color="000000"/>
            </w:tcBorders>
            <w:shd w:val="clear" w:color="auto" w:fill="auto"/>
            <w:tcMar>
              <w:left w:w="20" w:type="dxa"/>
              <w:right w:w="20" w:type="dxa"/>
            </w:tcMar>
            <w:vAlign w:val="bottom"/>
          </w:tcPr>
          <w:p w14:paraId="33DAA8CA"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33DAA8CB" w14:textId="77777777" w:rsidR="004D6A64" w:rsidRDefault="00506CD6">
            <w:pPr>
              <w:jc w:val="center"/>
              <w:textAlignment w:val="center"/>
            </w:pPr>
            <w:r>
              <w:rPr>
                <w:rFonts w:ascii="Times New Roman" w:eastAsia="宋体" w:hAnsi="Times New Roman"/>
                <w:b/>
                <w:bCs/>
                <w:color w:val="000000"/>
                <w:sz w:val="20"/>
                <w:szCs w:val="20"/>
              </w:rPr>
              <w:t>Total</w:t>
            </w:r>
          </w:p>
        </w:tc>
        <w:tc>
          <w:tcPr>
            <w:tcW w:w="0" w:type="auto"/>
            <w:shd w:val="clear" w:color="auto" w:fill="auto"/>
          </w:tcPr>
          <w:p w14:paraId="33DAA8CC" w14:textId="77777777" w:rsidR="004D6A64" w:rsidRDefault="004D6A64">
            <w:pPr>
              <w:rPr>
                <w:rFonts w:ascii="宋体"/>
              </w:rPr>
            </w:pPr>
          </w:p>
        </w:tc>
        <w:tc>
          <w:tcPr>
            <w:tcW w:w="0" w:type="auto"/>
            <w:shd w:val="clear" w:color="auto" w:fill="auto"/>
          </w:tcPr>
          <w:p w14:paraId="33DAA8CD" w14:textId="77777777" w:rsidR="004D6A64" w:rsidRDefault="004D6A64">
            <w:pPr>
              <w:rPr>
                <w:rFonts w:ascii="宋体"/>
              </w:rPr>
            </w:pPr>
          </w:p>
        </w:tc>
        <w:tc>
          <w:tcPr>
            <w:tcW w:w="0" w:type="auto"/>
            <w:shd w:val="clear" w:color="auto" w:fill="auto"/>
          </w:tcPr>
          <w:p w14:paraId="33DAA8CE" w14:textId="77777777" w:rsidR="004D6A64" w:rsidRDefault="004D6A64">
            <w:pPr>
              <w:rPr>
                <w:rFonts w:ascii="宋体"/>
              </w:rPr>
            </w:pPr>
          </w:p>
        </w:tc>
        <w:tc>
          <w:tcPr>
            <w:tcW w:w="0" w:type="auto"/>
            <w:shd w:val="clear" w:color="auto" w:fill="auto"/>
          </w:tcPr>
          <w:p w14:paraId="33DAA8CF" w14:textId="77777777" w:rsidR="004D6A64" w:rsidRDefault="004D6A64">
            <w:pPr>
              <w:rPr>
                <w:rFonts w:ascii="宋体"/>
              </w:rPr>
            </w:pPr>
          </w:p>
        </w:tc>
        <w:tc>
          <w:tcPr>
            <w:tcW w:w="0" w:type="auto"/>
            <w:shd w:val="clear" w:color="auto" w:fill="auto"/>
          </w:tcPr>
          <w:p w14:paraId="33DAA8D0" w14:textId="77777777" w:rsidR="004D6A64" w:rsidRDefault="004D6A64">
            <w:pPr>
              <w:rPr>
                <w:rFonts w:ascii="宋体"/>
              </w:rPr>
            </w:pPr>
          </w:p>
        </w:tc>
        <w:tc>
          <w:tcPr>
            <w:tcW w:w="0" w:type="auto"/>
            <w:shd w:val="clear" w:color="auto" w:fill="auto"/>
          </w:tcPr>
          <w:p w14:paraId="33DAA8D1" w14:textId="77777777" w:rsidR="004D6A64" w:rsidRDefault="004D6A64">
            <w:pPr>
              <w:rPr>
                <w:rFonts w:ascii="宋体"/>
              </w:rPr>
            </w:pPr>
          </w:p>
        </w:tc>
        <w:tc>
          <w:tcPr>
            <w:tcW w:w="0" w:type="auto"/>
            <w:shd w:val="clear" w:color="auto" w:fill="auto"/>
          </w:tcPr>
          <w:p w14:paraId="33DAA8D2" w14:textId="77777777" w:rsidR="004D6A64" w:rsidRDefault="004D6A64">
            <w:pPr>
              <w:rPr>
                <w:rFonts w:ascii="宋体"/>
              </w:rPr>
            </w:pPr>
          </w:p>
        </w:tc>
        <w:tc>
          <w:tcPr>
            <w:tcW w:w="0" w:type="auto"/>
            <w:shd w:val="clear" w:color="auto" w:fill="auto"/>
          </w:tcPr>
          <w:p w14:paraId="33DAA8D3" w14:textId="77777777" w:rsidR="004D6A64" w:rsidRDefault="004D6A64">
            <w:pPr>
              <w:rPr>
                <w:rFonts w:ascii="宋体"/>
              </w:rPr>
            </w:pPr>
          </w:p>
        </w:tc>
        <w:tc>
          <w:tcPr>
            <w:tcW w:w="0" w:type="auto"/>
            <w:shd w:val="clear" w:color="auto" w:fill="auto"/>
          </w:tcPr>
          <w:p w14:paraId="33DAA8D4" w14:textId="77777777" w:rsidR="004D6A64" w:rsidRDefault="004D6A64">
            <w:pPr>
              <w:rPr>
                <w:rFonts w:ascii="宋体"/>
              </w:rPr>
            </w:pPr>
          </w:p>
        </w:tc>
        <w:tc>
          <w:tcPr>
            <w:tcW w:w="0" w:type="auto"/>
            <w:shd w:val="clear" w:color="auto" w:fill="auto"/>
          </w:tcPr>
          <w:p w14:paraId="33DAA8D5" w14:textId="77777777" w:rsidR="004D6A64" w:rsidRDefault="004D6A64">
            <w:pPr>
              <w:rPr>
                <w:rFonts w:ascii="宋体"/>
              </w:rPr>
            </w:pPr>
          </w:p>
        </w:tc>
        <w:tc>
          <w:tcPr>
            <w:tcW w:w="0" w:type="auto"/>
            <w:shd w:val="clear" w:color="auto" w:fill="auto"/>
          </w:tcPr>
          <w:p w14:paraId="33DAA8D6" w14:textId="77777777" w:rsidR="004D6A64" w:rsidRDefault="004D6A64">
            <w:pPr>
              <w:rPr>
                <w:rFonts w:ascii="宋体"/>
              </w:rPr>
            </w:pPr>
          </w:p>
        </w:tc>
        <w:tc>
          <w:tcPr>
            <w:tcW w:w="0" w:type="auto"/>
            <w:shd w:val="clear" w:color="auto" w:fill="auto"/>
          </w:tcPr>
          <w:p w14:paraId="33DAA8D7" w14:textId="77777777" w:rsidR="004D6A64" w:rsidRDefault="004D6A64">
            <w:pPr>
              <w:rPr>
                <w:rFonts w:ascii="宋体"/>
              </w:rPr>
            </w:pPr>
          </w:p>
        </w:tc>
        <w:tc>
          <w:tcPr>
            <w:tcW w:w="0" w:type="auto"/>
            <w:shd w:val="clear" w:color="auto" w:fill="auto"/>
          </w:tcPr>
          <w:p w14:paraId="33DAA8D8" w14:textId="77777777" w:rsidR="004D6A64" w:rsidRDefault="004D6A64">
            <w:pPr>
              <w:rPr>
                <w:rFonts w:ascii="宋体"/>
              </w:rPr>
            </w:pPr>
          </w:p>
        </w:tc>
        <w:tc>
          <w:tcPr>
            <w:tcW w:w="0" w:type="auto"/>
            <w:shd w:val="clear" w:color="auto" w:fill="auto"/>
          </w:tcPr>
          <w:p w14:paraId="33DAA8D9" w14:textId="77777777" w:rsidR="004D6A64" w:rsidRDefault="004D6A64">
            <w:pPr>
              <w:rPr>
                <w:rFonts w:ascii="宋体"/>
              </w:rPr>
            </w:pPr>
          </w:p>
        </w:tc>
        <w:tc>
          <w:tcPr>
            <w:tcW w:w="0" w:type="auto"/>
            <w:shd w:val="clear" w:color="auto" w:fill="auto"/>
          </w:tcPr>
          <w:p w14:paraId="33DAA8DA" w14:textId="77777777" w:rsidR="004D6A64" w:rsidRDefault="004D6A64">
            <w:pPr>
              <w:rPr>
                <w:rFonts w:ascii="宋体"/>
              </w:rPr>
            </w:pPr>
          </w:p>
        </w:tc>
        <w:tc>
          <w:tcPr>
            <w:tcW w:w="0" w:type="auto"/>
            <w:shd w:val="clear" w:color="auto" w:fill="auto"/>
          </w:tcPr>
          <w:p w14:paraId="33DAA8DB" w14:textId="77777777" w:rsidR="004D6A64" w:rsidRDefault="004D6A64">
            <w:pPr>
              <w:rPr>
                <w:rFonts w:ascii="宋体"/>
              </w:rPr>
            </w:pPr>
          </w:p>
        </w:tc>
        <w:tc>
          <w:tcPr>
            <w:tcW w:w="0" w:type="auto"/>
            <w:shd w:val="clear" w:color="auto" w:fill="auto"/>
          </w:tcPr>
          <w:p w14:paraId="33DAA8DC" w14:textId="77777777" w:rsidR="004D6A64" w:rsidRDefault="004D6A64">
            <w:pPr>
              <w:rPr>
                <w:rFonts w:ascii="宋体"/>
              </w:rPr>
            </w:pPr>
          </w:p>
        </w:tc>
        <w:tc>
          <w:tcPr>
            <w:tcW w:w="0" w:type="auto"/>
            <w:shd w:val="clear" w:color="auto" w:fill="auto"/>
          </w:tcPr>
          <w:p w14:paraId="33DAA8DD" w14:textId="77777777" w:rsidR="004D6A64" w:rsidRDefault="004D6A64">
            <w:pPr>
              <w:rPr>
                <w:rFonts w:ascii="宋体"/>
              </w:rPr>
            </w:pPr>
          </w:p>
        </w:tc>
        <w:tc>
          <w:tcPr>
            <w:tcW w:w="0" w:type="auto"/>
            <w:shd w:val="clear" w:color="auto" w:fill="auto"/>
          </w:tcPr>
          <w:p w14:paraId="33DAA8DE" w14:textId="77777777" w:rsidR="004D6A64" w:rsidRDefault="004D6A64">
            <w:pPr>
              <w:rPr>
                <w:rFonts w:ascii="宋体"/>
              </w:rPr>
            </w:pPr>
          </w:p>
        </w:tc>
        <w:tc>
          <w:tcPr>
            <w:tcW w:w="0" w:type="auto"/>
            <w:shd w:val="clear" w:color="auto" w:fill="auto"/>
          </w:tcPr>
          <w:p w14:paraId="33DAA8DF" w14:textId="77777777" w:rsidR="004D6A64" w:rsidRDefault="004D6A64">
            <w:pPr>
              <w:rPr>
                <w:rFonts w:ascii="宋体"/>
              </w:rPr>
            </w:pPr>
          </w:p>
        </w:tc>
        <w:tc>
          <w:tcPr>
            <w:tcW w:w="0" w:type="auto"/>
            <w:shd w:val="clear" w:color="auto" w:fill="auto"/>
          </w:tcPr>
          <w:p w14:paraId="33DAA8E0" w14:textId="77777777" w:rsidR="004D6A64" w:rsidRDefault="004D6A64">
            <w:pPr>
              <w:rPr>
                <w:rFonts w:ascii="宋体"/>
              </w:rPr>
            </w:pPr>
          </w:p>
        </w:tc>
        <w:tc>
          <w:tcPr>
            <w:tcW w:w="0" w:type="auto"/>
            <w:shd w:val="clear" w:color="auto" w:fill="auto"/>
          </w:tcPr>
          <w:p w14:paraId="33DAA8E1" w14:textId="77777777" w:rsidR="004D6A64" w:rsidRDefault="004D6A64">
            <w:pPr>
              <w:rPr>
                <w:rFonts w:ascii="宋体"/>
              </w:rPr>
            </w:pPr>
          </w:p>
        </w:tc>
        <w:tc>
          <w:tcPr>
            <w:tcW w:w="0" w:type="auto"/>
            <w:shd w:val="clear" w:color="auto" w:fill="auto"/>
          </w:tcPr>
          <w:p w14:paraId="33DAA8E2" w14:textId="77777777" w:rsidR="004D6A64" w:rsidRDefault="004D6A64">
            <w:pPr>
              <w:rPr>
                <w:rFonts w:ascii="宋体"/>
              </w:rPr>
            </w:pPr>
          </w:p>
        </w:tc>
        <w:tc>
          <w:tcPr>
            <w:tcW w:w="0" w:type="auto"/>
            <w:shd w:val="clear" w:color="auto" w:fill="auto"/>
          </w:tcPr>
          <w:p w14:paraId="33DAA8E3" w14:textId="77777777" w:rsidR="004D6A64" w:rsidRDefault="004D6A64">
            <w:pPr>
              <w:rPr>
                <w:rFonts w:ascii="宋体"/>
              </w:rPr>
            </w:pPr>
          </w:p>
        </w:tc>
        <w:tc>
          <w:tcPr>
            <w:tcW w:w="0" w:type="auto"/>
            <w:shd w:val="clear" w:color="auto" w:fill="auto"/>
          </w:tcPr>
          <w:p w14:paraId="33DAA8E4" w14:textId="77777777" w:rsidR="004D6A64" w:rsidRDefault="004D6A64">
            <w:pPr>
              <w:rPr>
                <w:rFonts w:ascii="宋体"/>
              </w:rPr>
            </w:pPr>
          </w:p>
        </w:tc>
        <w:tc>
          <w:tcPr>
            <w:tcW w:w="0" w:type="auto"/>
            <w:shd w:val="clear" w:color="auto" w:fill="auto"/>
          </w:tcPr>
          <w:p w14:paraId="33DAA8E5" w14:textId="77777777" w:rsidR="004D6A64" w:rsidRDefault="004D6A64">
            <w:pPr>
              <w:rPr>
                <w:rFonts w:ascii="宋体"/>
              </w:rPr>
            </w:pPr>
          </w:p>
        </w:tc>
        <w:tc>
          <w:tcPr>
            <w:tcW w:w="0" w:type="auto"/>
            <w:shd w:val="clear" w:color="auto" w:fill="auto"/>
          </w:tcPr>
          <w:p w14:paraId="33DAA8E6" w14:textId="77777777" w:rsidR="004D6A64" w:rsidRDefault="004D6A64">
            <w:pPr>
              <w:rPr>
                <w:rFonts w:ascii="宋体"/>
              </w:rPr>
            </w:pPr>
          </w:p>
        </w:tc>
      </w:tr>
      <w:tr w:rsidR="004D6A64" w14:paraId="33DAA8F4" w14:textId="77777777">
        <w:tc>
          <w:tcPr>
            <w:tcW w:w="0" w:type="auto"/>
            <w:gridSpan w:val="3"/>
            <w:shd w:val="clear" w:color="auto" w:fill="auto"/>
            <w:tcMar>
              <w:left w:w="20" w:type="dxa"/>
              <w:right w:w="20" w:type="dxa"/>
            </w:tcMar>
            <w:vAlign w:val="bottom"/>
          </w:tcPr>
          <w:p w14:paraId="33DAA8E8" w14:textId="77777777" w:rsidR="004D6A64" w:rsidRDefault="004D6A64">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33DAA8E9" w14:textId="77777777" w:rsidR="004D6A64" w:rsidRDefault="00506CD6">
            <w:pPr>
              <w:jc w:val="center"/>
              <w:textAlignment w:val="bottom"/>
            </w:pPr>
            <w:r>
              <w:rPr>
                <w:rFonts w:ascii="Times New Roman" w:eastAsia="宋体" w:hAnsi="Times New Roman"/>
                <w:color w:val="000000"/>
                <w:sz w:val="20"/>
                <w:szCs w:val="20"/>
              </w:rPr>
              <w:t>(in millions)</w:t>
            </w:r>
          </w:p>
        </w:tc>
        <w:tc>
          <w:tcPr>
            <w:tcW w:w="0" w:type="auto"/>
            <w:gridSpan w:val="3"/>
            <w:shd w:val="clear" w:color="auto" w:fill="auto"/>
          </w:tcPr>
          <w:p w14:paraId="33DAA8EA" w14:textId="77777777" w:rsidR="004D6A64" w:rsidRDefault="004D6A64">
            <w:pPr>
              <w:rPr>
                <w:rFonts w:ascii="宋体"/>
                <w:vanish/>
              </w:rPr>
            </w:pPr>
          </w:p>
        </w:tc>
        <w:tc>
          <w:tcPr>
            <w:tcW w:w="0" w:type="auto"/>
            <w:gridSpan w:val="3"/>
            <w:shd w:val="clear" w:color="auto" w:fill="auto"/>
          </w:tcPr>
          <w:p w14:paraId="33DAA8EB" w14:textId="77777777" w:rsidR="004D6A64" w:rsidRDefault="004D6A64">
            <w:pPr>
              <w:rPr>
                <w:rFonts w:ascii="宋体"/>
                <w:vanish/>
              </w:rPr>
            </w:pPr>
          </w:p>
        </w:tc>
        <w:tc>
          <w:tcPr>
            <w:tcW w:w="0" w:type="auto"/>
            <w:gridSpan w:val="3"/>
            <w:shd w:val="clear" w:color="auto" w:fill="auto"/>
          </w:tcPr>
          <w:p w14:paraId="33DAA8EC" w14:textId="77777777" w:rsidR="004D6A64" w:rsidRDefault="004D6A64">
            <w:pPr>
              <w:rPr>
                <w:rFonts w:ascii="宋体"/>
                <w:vanish/>
              </w:rPr>
            </w:pPr>
          </w:p>
        </w:tc>
        <w:tc>
          <w:tcPr>
            <w:tcW w:w="0" w:type="auto"/>
            <w:gridSpan w:val="3"/>
            <w:shd w:val="clear" w:color="auto" w:fill="auto"/>
          </w:tcPr>
          <w:p w14:paraId="33DAA8ED" w14:textId="77777777" w:rsidR="004D6A64" w:rsidRDefault="004D6A64">
            <w:pPr>
              <w:rPr>
                <w:rFonts w:ascii="宋体"/>
                <w:vanish/>
              </w:rPr>
            </w:pPr>
          </w:p>
        </w:tc>
        <w:tc>
          <w:tcPr>
            <w:tcW w:w="0" w:type="auto"/>
            <w:gridSpan w:val="3"/>
            <w:shd w:val="clear" w:color="auto" w:fill="auto"/>
          </w:tcPr>
          <w:p w14:paraId="33DAA8EE" w14:textId="77777777" w:rsidR="004D6A64" w:rsidRDefault="004D6A64">
            <w:pPr>
              <w:rPr>
                <w:rFonts w:ascii="宋体"/>
                <w:vanish/>
              </w:rPr>
            </w:pPr>
          </w:p>
        </w:tc>
        <w:tc>
          <w:tcPr>
            <w:tcW w:w="0" w:type="auto"/>
            <w:gridSpan w:val="3"/>
            <w:shd w:val="clear" w:color="auto" w:fill="auto"/>
          </w:tcPr>
          <w:p w14:paraId="33DAA8EF" w14:textId="77777777" w:rsidR="004D6A64" w:rsidRDefault="004D6A64">
            <w:pPr>
              <w:rPr>
                <w:rFonts w:ascii="宋体"/>
                <w:vanish/>
              </w:rPr>
            </w:pPr>
          </w:p>
        </w:tc>
        <w:tc>
          <w:tcPr>
            <w:tcW w:w="0" w:type="auto"/>
            <w:gridSpan w:val="3"/>
            <w:shd w:val="clear" w:color="auto" w:fill="auto"/>
          </w:tcPr>
          <w:p w14:paraId="33DAA8F0" w14:textId="77777777" w:rsidR="004D6A64" w:rsidRDefault="004D6A64">
            <w:pPr>
              <w:rPr>
                <w:rFonts w:ascii="宋体"/>
                <w:vanish/>
              </w:rPr>
            </w:pPr>
          </w:p>
        </w:tc>
        <w:tc>
          <w:tcPr>
            <w:tcW w:w="0" w:type="auto"/>
            <w:gridSpan w:val="3"/>
            <w:shd w:val="clear" w:color="auto" w:fill="auto"/>
          </w:tcPr>
          <w:p w14:paraId="33DAA8F1" w14:textId="77777777" w:rsidR="004D6A64" w:rsidRDefault="004D6A64">
            <w:pPr>
              <w:rPr>
                <w:rFonts w:ascii="宋体"/>
                <w:vanish/>
              </w:rPr>
            </w:pPr>
          </w:p>
        </w:tc>
        <w:tc>
          <w:tcPr>
            <w:tcW w:w="0" w:type="auto"/>
            <w:gridSpan w:val="2"/>
            <w:shd w:val="clear" w:color="auto" w:fill="auto"/>
          </w:tcPr>
          <w:p w14:paraId="33DAA8F2" w14:textId="77777777" w:rsidR="004D6A64" w:rsidRDefault="004D6A64">
            <w:pPr>
              <w:rPr>
                <w:rFonts w:ascii="宋体"/>
                <w:vanish/>
              </w:rPr>
            </w:pPr>
          </w:p>
        </w:tc>
        <w:tc>
          <w:tcPr>
            <w:tcW w:w="0" w:type="auto"/>
            <w:shd w:val="clear" w:color="auto" w:fill="auto"/>
          </w:tcPr>
          <w:p w14:paraId="33DAA8F3" w14:textId="77777777" w:rsidR="004D6A64" w:rsidRDefault="004D6A64">
            <w:pPr>
              <w:rPr>
                <w:rFonts w:ascii="宋体"/>
                <w:vanish/>
              </w:rPr>
            </w:pPr>
          </w:p>
        </w:tc>
      </w:tr>
      <w:tr w:rsidR="004D6A64" w14:paraId="33DAA91C" w14:textId="77777777">
        <w:tc>
          <w:tcPr>
            <w:tcW w:w="0" w:type="auto"/>
            <w:gridSpan w:val="3"/>
            <w:shd w:val="clear" w:color="auto" w:fill="CCEEFF"/>
            <w:tcMar>
              <w:top w:w="40" w:type="dxa"/>
              <w:left w:w="20" w:type="dxa"/>
              <w:bottom w:w="40" w:type="dxa"/>
              <w:right w:w="20" w:type="dxa"/>
            </w:tcMar>
            <w:vAlign w:val="bottom"/>
          </w:tcPr>
          <w:p w14:paraId="33DAA8F5" w14:textId="77777777" w:rsidR="004D6A64" w:rsidRDefault="00506CD6">
            <w:pPr>
              <w:textAlignment w:val="bottom"/>
            </w:pPr>
            <w:r>
              <w:rPr>
                <w:rFonts w:ascii="Times New Roman" w:eastAsia="宋体" w:hAnsi="Times New Roman"/>
                <w:i/>
                <w:iCs/>
                <w:color w:val="000000"/>
                <w:sz w:val="20"/>
                <w:szCs w:val="20"/>
              </w:rPr>
              <w:t xml:space="preserve">Allowance for financing </w:t>
            </w:r>
            <w:r>
              <w:rPr>
                <w:rFonts w:ascii="Times New Roman" w:eastAsia="宋体" w:hAnsi="Times New Roman"/>
                <w:i/>
                <w:iCs/>
                <w:color w:val="000000"/>
                <w:sz w:val="20"/>
                <w:szCs w:val="20"/>
              </w:rPr>
              <w:t>receivable losses:</w:t>
            </w:r>
          </w:p>
        </w:tc>
        <w:tc>
          <w:tcPr>
            <w:tcW w:w="0" w:type="auto"/>
            <w:gridSpan w:val="3"/>
            <w:shd w:val="clear" w:color="auto" w:fill="CCEEFF"/>
            <w:tcMar>
              <w:left w:w="20" w:type="dxa"/>
              <w:right w:w="20" w:type="dxa"/>
            </w:tcMar>
            <w:vAlign w:val="bottom"/>
          </w:tcPr>
          <w:p w14:paraId="33DAA8F6"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A8F7"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A8F8"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A8F9"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A8FA"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A8FB"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A8F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A8F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A8FE"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A8FF"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A900" w14:textId="77777777" w:rsidR="004D6A64" w:rsidRDefault="004D6A64">
            <w:pPr>
              <w:rPr>
                <w:rFonts w:ascii="宋体"/>
              </w:rPr>
            </w:pPr>
          </w:p>
        </w:tc>
        <w:tc>
          <w:tcPr>
            <w:tcW w:w="0" w:type="auto"/>
            <w:shd w:val="clear" w:color="auto" w:fill="auto"/>
          </w:tcPr>
          <w:p w14:paraId="33DAA901" w14:textId="77777777" w:rsidR="004D6A64" w:rsidRDefault="004D6A64">
            <w:pPr>
              <w:rPr>
                <w:rFonts w:ascii="宋体"/>
              </w:rPr>
            </w:pPr>
          </w:p>
        </w:tc>
        <w:tc>
          <w:tcPr>
            <w:tcW w:w="0" w:type="auto"/>
            <w:shd w:val="clear" w:color="auto" w:fill="auto"/>
          </w:tcPr>
          <w:p w14:paraId="33DAA902" w14:textId="77777777" w:rsidR="004D6A64" w:rsidRDefault="004D6A64">
            <w:pPr>
              <w:rPr>
                <w:rFonts w:ascii="宋体"/>
              </w:rPr>
            </w:pPr>
          </w:p>
        </w:tc>
        <w:tc>
          <w:tcPr>
            <w:tcW w:w="0" w:type="auto"/>
            <w:shd w:val="clear" w:color="auto" w:fill="auto"/>
          </w:tcPr>
          <w:p w14:paraId="33DAA903" w14:textId="77777777" w:rsidR="004D6A64" w:rsidRDefault="004D6A64">
            <w:pPr>
              <w:rPr>
                <w:rFonts w:ascii="宋体"/>
              </w:rPr>
            </w:pPr>
          </w:p>
        </w:tc>
        <w:tc>
          <w:tcPr>
            <w:tcW w:w="0" w:type="auto"/>
            <w:shd w:val="clear" w:color="auto" w:fill="auto"/>
          </w:tcPr>
          <w:p w14:paraId="33DAA904" w14:textId="77777777" w:rsidR="004D6A64" w:rsidRDefault="004D6A64">
            <w:pPr>
              <w:rPr>
                <w:rFonts w:ascii="宋体"/>
              </w:rPr>
            </w:pPr>
          </w:p>
        </w:tc>
        <w:tc>
          <w:tcPr>
            <w:tcW w:w="0" w:type="auto"/>
            <w:shd w:val="clear" w:color="auto" w:fill="auto"/>
          </w:tcPr>
          <w:p w14:paraId="33DAA905" w14:textId="77777777" w:rsidR="004D6A64" w:rsidRDefault="004D6A64">
            <w:pPr>
              <w:rPr>
                <w:rFonts w:ascii="宋体"/>
              </w:rPr>
            </w:pPr>
          </w:p>
        </w:tc>
        <w:tc>
          <w:tcPr>
            <w:tcW w:w="0" w:type="auto"/>
            <w:shd w:val="clear" w:color="auto" w:fill="auto"/>
          </w:tcPr>
          <w:p w14:paraId="33DAA906" w14:textId="77777777" w:rsidR="004D6A64" w:rsidRDefault="004D6A64">
            <w:pPr>
              <w:rPr>
                <w:rFonts w:ascii="宋体"/>
              </w:rPr>
            </w:pPr>
          </w:p>
        </w:tc>
        <w:tc>
          <w:tcPr>
            <w:tcW w:w="0" w:type="auto"/>
            <w:shd w:val="clear" w:color="auto" w:fill="auto"/>
          </w:tcPr>
          <w:p w14:paraId="33DAA907" w14:textId="77777777" w:rsidR="004D6A64" w:rsidRDefault="004D6A64">
            <w:pPr>
              <w:rPr>
                <w:rFonts w:ascii="宋体"/>
              </w:rPr>
            </w:pPr>
          </w:p>
        </w:tc>
        <w:tc>
          <w:tcPr>
            <w:tcW w:w="0" w:type="auto"/>
            <w:shd w:val="clear" w:color="auto" w:fill="auto"/>
          </w:tcPr>
          <w:p w14:paraId="33DAA908" w14:textId="77777777" w:rsidR="004D6A64" w:rsidRDefault="004D6A64">
            <w:pPr>
              <w:rPr>
                <w:rFonts w:ascii="宋体"/>
              </w:rPr>
            </w:pPr>
          </w:p>
        </w:tc>
        <w:tc>
          <w:tcPr>
            <w:tcW w:w="0" w:type="auto"/>
            <w:shd w:val="clear" w:color="auto" w:fill="auto"/>
          </w:tcPr>
          <w:p w14:paraId="33DAA909" w14:textId="77777777" w:rsidR="004D6A64" w:rsidRDefault="004D6A64">
            <w:pPr>
              <w:rPr>
                <w:rFonts w:ascii="宋体"/>
              </w:rPr>
            </w:pPr>
          </w:p>
        </w:tc>
        <w:tc>
          <w:tcPr>
            <w:tcW w:w="0" w:type="auto"/>
            <w:shd w:val="clear" w:color="auto" w:fill="auto"/>
          </w:tcPr>
          <w:p w14:paraId="33DAA90A" w14:textId="77777777" w:rsidR="004D6A64" w:rsidRDefault="004D6A64">
            <w:pPr>
              <w:rPr>
                <w:rFonts w:ascii="宋体"/>
              </w:rPr>
            </w:pPr>
          </w:p>
        </w:tc>
        <w:tc>
          <w:tcPr>
            <w:tcW w:w="0" w:type="auto"/>
            <w:shd w:val="clear" w:color="auto" w:fill="auto"/>
          </w:tcPr>
          <w:p w14:paraId="33DAA90B" w14:textId="77777777" w:rsidR="004D6A64" w:rsidRDefault="004D6A64">
            <w:pPr>
              <w:rPr>
                <w:rFonts w:ascii="宋体"/>
              </w:rPr>
            </w:pPr>
          </w:p>
        </w:tc>
        <w:tc>
          <w:tcPr>
            <w:tcW w:w="0" w:type="auto"/>
            <w:shd w:val="clear" w:color="auto" w:fill="auto"/>
          </w:tcPr>
          <w:p w14:paraId="33DAA90C" w14:textId="77777777" w:rsidR="004D6A64" w:rsidRDefault="004D6A64">
            <w:pPr>
              <w:rPr>
                <w:rFonts w:ascii="宋体"/>
              </w:rPr>
            </w:pPr>
          </w:p>
        </w:tc>
        <w:tc>
          <w:tcPr>
            <w:tcW w:w="0" w:type="auto"/>
            <w:shd w:val="clear" w:color="auto" w:fill="auto"/>
          </w:tcPr>
          <w:p w14:paraId="33DAA90D" w14:textId="77777777" w:rsidR="004D6A64" w:rsidRDefault="004D6A64">
            <w:pPr>
              <w:rPr>
                <w:rFonts w:ascii="宋体"/>
              </w:rPr>
            </w:pPr>
          </w:p>
        </w:tc>
        <w:tc>
          <w:tcPr>
            <w:tcW w:w="0" w:type="auto"/>
            <w:shd w:val="clear" w:color="auto" w:fill="auto"/>
          </w:tcPr>
          <w:p w14:paraId="33DAA90E" w14:textId="77777777" w:rsidR="004D6A64" w:rsidRDefault="004D6A64">
            <w:pPr>
              <w:rPr>
                <w:rFonts w:ascii="宋体"/>
              </w:rPr>
            </w:pPr>
          </w:p>
        </w:tc>
        <w:tc>
          <w:tcPr>
            <w:tcW w:w="0" w:type="auto"/>
            <w:shd w:val="clear" w:color="auto" w:fill="auto"/>
          </w:tcPr>
          <w:p w14:paraId="33DAA90F" w14:textId="77777777" w:rsidR="004D6A64" w:rsidRDefault="004D6A64">
            <w:pPr>
              <w:rPr>
                <w:rFonts w:ascii="宋体"/>
              </w:rPr>
            </w:pPr>
          </w:p>
        </w:tc>
        <w:tc>
          <w:tcPr>
            <w:tcW w:w="0" w:type="auto"/>
            <w:shd w:val="clear" w:color="auto" w:fill="auto"/>
          </w:tcPr>
          <w:p w14:paraId="33DAA910" w14:textId="77777777" w:rsidR="004D6A64" w:rsidRDefault="004D6A64">
            <w:pPr>
              <w:rPr>
                <w:rFonts w:ascii="宋体"/>
              </w:rPr>
            </w:pPr>
          </w:p>
        </w:tc>
        <w:tc>
          <w:tcPr>
            <w:tcW w:w="0" w:type="auto"/>
            <w:shd w:val="clear" w:color="auto" w:fill="auto"/>
          </w:tcPr>
          <w:p w14:paraId="33DAA911" w14:textId="77777777" w:rsidR="004D6A64" w:rsidRDefault="004D6A64">
            <w:pPr>
              <w:rPr>
                <w:rFonts w:ascii="宋体"/>
              </w:rPr>
            </w:pPr>
          </w:p>
        </w:tc>
        <w:tc>
          <w:tcPr>
            <w:tcW w:w="0" w:type="auto"/>
            <w:shd w:val="clear" w:color="auto" w:fill="auto"/>
          </w:tcPr>
          <w:p w14:paraId="33DAA912" w14:textId="77777777" w:rsidR="004D6A64" w:rsidRDefault="004D6A64">
            <w:pPr>
              <w:rPr>
                <w:rFonts w:ascii="宋体"/>
              </w:rPr>
            </w:pPr>
          </w:p>
        </w:tc>
        <w:tc>
          <w:tcPr>
            <w:tcW w:w="0" w:type="auto"/>
            <w:shd w:val="clear" w:color="auto" w:fill="auto"/>
          </w:tcPr>
          <w:p w14:paraId="33DAA913" w14:textId="77777777" w:rsidR="004D6A64" w:rsidRDefault="004D6A64">
            <w:pPr>
              <w:rPr>
                <w:rFonts w:ascii="宋体"/>
              </w:rPr>
            </w:pPr>
          </w:p>
        </w:tc>
        <w:tc>
          <w:tcPr>
            <w:tcW w:w="0" w:type="auto"/>
            <w:shd w:val="clear" w:color="auto" w:fill="auto"/>
          </w:tcPr>
          <w:p w14:paraId="33DAA914" w14:textId="77777777" w:rsidR="004D6A64" w:rsidRDefault="004D6A64">
            <w:pPr>
              <w:rPr>
                <w:rFonts w:ascii="宋体"/>
              </w:rPr>
            </w:pPr>
          </w:p>
        </w:tc>
        <w:tc>
          <w:tcPr>
            <w:tcW w:w="0" w:type="auto"/>
            <w:shd w:val="clear" w:color="auto" w:fill="auto"/>
          </w:tcPr>
          <w:p w14:paraId="33DAA915" w14:textId="77777777" w:rsidR="004D6A64" w:rsidRDefault="004D6A64">
            <w:pPr>
              <w:rPr>
                <w:rFonts w:ascii="宋体"/>
              </w:rPr>
            </w:pPr>
          </w:p>
        </w:tc>
        <w:tc>
          <w:tcPr>
            <w:tcW w:w="0" w:type="auto"/>
            <w:shd w:val="clear" w:color="auto" w:fill="auto"/>
          </w:tcPr>
          <w:p w14:paraId="33DAA916" w14:textId="77777777" w:rsidR="004D6A64" w:rsidRDefault="004D6A64">
            <w:pPr>
              <w:rPr>
                <w:rFonts w:ascii="宋体"/>
              </w:rPr>
            </w:pPr>
          </w:p>
        </w:tc>
        <w:tc>
          <w:tcPr>
            <w:tcW w:w="0" w:type="auto"/>
            <w:shd w:val="clear" w:color="auto" w:fill="auto"/>
          </w:tcPr>
          <w:p w14:paraId="33DAA917" w14:textId="77777777" w:rsidR="004D6A64" w:rsidRDefault="004D6A64">
            <w:pPr>
              <w:rPr>
                <w:rFonts w:ascii="宋体"/>
              </w:rPr>
            </w:pPr>
          </w:p>
        </w:tc>
        <w:tc>
          <w:tcPr>
            <w:tcW w:w="0" w:type="auto"/>
            <w:shd w:val="clear" w:color="auto" w:fill="auto"/>
          </w:tcPr>
          <w:p w14:paraId="33DAA918" w14:textId="77777777" w:rsidR="004D6A64" w:rsidRDefault="004D6A64">
            <w:pPr>
              <w:rPr>
                <w:rFonts w:ascii="宋体"/>
              </w:rPr>
            </w:pPr>
          </w:p>
        </w:tc>
        <w:tc>
          <w:tcPr>
            <w:tcW w:w="0" w:type="auto"/>
            <w:shd w:val="clear" w:color="auto" w:fill="auto"/>
          </w:tcPr>
          <w:p w14:paraId="33DAA919" w14:textId="77777777" w:rsidR="004D6A64" w:rsidRDefault="004D6A64">
            <w:pPr>
              <w:rPr>
                <w:rFonts w:ascii="宋体"/>
              </w:rPr>
            </w:pPr>
          </w:p>
        </w:tc>
        <w:tc>
          <w:tcPr>
            <w:tcW w:w="0" w:type="auto"/>
            <w:shd w:val="clear" w:color="auto" w:fill="auto"/>
          </w:tcPr>
          <w:p w14:paraId="33DAA91A" w14:textId="77777777" w:rsidR="004D6A64" w:rsidRDefault="004D6A64">
            <w:pPr>
              <w:rPr>
                <w:rFonts w:ascii="宋体"/>
              </w:rPr>
            </w:pPr>
          </w:p>
        </w:tc>
        <w:tc>
          <w:tcPr>
            <w:tcW w:w="0" w:type="auto"/>
            <w:shd w:val="clear" w:color="auto" w:fill="auto"/>
          </w:tcPr>
          <w:p w14:paraId="33DAA91B" w14:textId="77777777" w:rsidR="004D6A64" w:rsidRDefault="004D6A64">
            <w:pPr>
              <w:rPr>
                <w:rFonts w:ascii="宋体"/>
              </w:rPr>
            </w:pPr>
          </w:p>
        </w:tc>
      </w:tr>
      <w:tr w:rsidR="004D6A64" w14:paraId="33DAA950" w14:textId="77777777">
        <w:tc>
          <w:tcPr>
            <w:tcW w:w="0" w:type="auto"/>
            <w:gridSpan w:val="3"/>
            <w:shd w:val="clear" w:color="auto" w:fill="FFFFFF"/>
            <w:tcMar>
              <w:top w:w="40" w:type="dxa"/>
              <w:left w:w="20" w:type="dxa"/>
              <w:bottom w:w="40" w:type="dxa"/>
              <w:right w:w="20" w:type="dxa"/>
            </w:tcMar>
            <w:vAlign w:val="bottom"/>
          </w:tcPr>
          <w:p w14:paraId="33DAA91D" w14:textId="77777777" w:rsidR="004D6A64" w:rsidRDefault="00506CD6">
            <w:pPr>
              <w:textAlignment w:val="bottom"/>
            </w:pPr>
            <w:r>
              <w:rPr>
                <w:rFonts w:ascii="Times New Roman" w:eastAsia="宋体" w:hAnsi="Times New Roman"/>
                <w:i/>
                <w:iCs/>
                <w:color w:val="000000"/>
                <w:sz w:val="20"/>
                <w:szCs w:val="20"/>
              </w:rPr>
              <w:t>Balances at beginning of period</w:t>
            </w:r>
          </w:p>
        </w:tc>
        <w:tc>
          <w:tcPr>
            <w:tcW w:w="0" w:type="auto"/>
            <w:shd w:val="clear" w:color="auto" w:fill="FFFFFF"/>
            <w:tcMar>
              <w:top w:w="40" w:type="dxa"/>
              <w:left w:w="20" w:type="dxa"/>
              <w:bottom w:w="40" w:type="dxa"/>
            </w:tcMar>
            <w:vAlign w:val="bottom"/>
          </w:tcPr>
          <w:p w14:paraId="33DAA91E"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A91F" w14:textId="77777777" w:rsidR="004D6A64" w:rsidRDefault="00506CD6">
            <w:pPr>
              <w:jc w:val="right"/>
              <w:textAlignment w:val="bottom"/>
            </w:pPr>
            <w:r>
              <w:rPr>
                <w:rFonts w:ascii="Times New Roman" w:eastAsia="宋体" w:hAnsi="Times New Roman"/>
                <w:color w:val="000000"/>
                <w:sz w:val="20"/>
                <w:szCs w:val="20"/>
              </w:rPr>
              <w:t>144 </w:t>
            </w:r>
          </w:p>
        </w:tc>
        <w:tc>
          <w:tcPr>
            <w:tcW w:w="0" w:type="auto"/>
            <w:shd w:val="clear" w:color="auto" w:fill="FFFFFF"/>
            <w:tcMar>
              <w:top w:w="40" w:type="dxa"/>
              <w:bottom w:w="40" w:type="dxa"/>
              <w:right w:w="20" w:type="dxa"/>
            </w:tcMar>
            <w:vAlign w:val="bottom"/>
          </w:tcPr>
          <w:p w14:paraId="33DAA92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921"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A922"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A923" w14:textId="77777777" w:rsidR="004D6A64" w:rsidRDefault="00506CD6">
            <w:pPr>
              <w:jc w:val="right"/>
              <w:textAlignment w:val="bottom"/>
            </w:pPr>
            <w:r>
              <w:rPr>
                <w:rFonts w:ascii="Times New Roman" w:eastAsia="宋体" w:hAnsi="Times New Roman"/>
                <w:color w:val="000000"/>
                <w:sz w:val="20"/>
                <w:szCs w:val="20"/>
              </w:rPr>
              <w:t>177 </w:t>
            </w:r>
          </w:p>
        </w:tc>
        <w:tc>
          <w:tcPr>
            <w:tcW w:w="0" w:type="auto"/>
            <w:shd w:val="clear" w:color="auto" w:fill="FFFFFF"/>
            <w:tcMar>
              <w:top w:w="40" w:type="dxa"/>
              <w:bottom w:w="40" w:type="dxa"/>
              <w:right w:w="20" w:type="dxa"/>
            </w:tcMar>
            <w:vAlign w:val="bottom"/>
          </w:tcPr>
          <w:p w14:paraId="33DAA92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925"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A926"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A927" w14:textId="77777777" w:rsidR="004D6A64" w:rsidRDefault="00506CD6">
            <w:pPr>
              <w:jc w:val="right"/>
              <w:textAlignment w:val="bottom"/>
            </w:pPr>
            <w:r>
              <w:rPr>
                <w:rFonts w:ascii="Times New Roman" w:eastAsia="宋体" w:hAnsi="Times New Roman"/>
                <w:color w:val="000000"/>
                <w:sz w:val="20"/>
                <w:szCs w:val="20"/>
              </w:rPr>
              <w:t>321 </w:t>
            </w:r>
          </w:p>
        </w:tc>
        <w:tc>
          <w:tcPr>
            <w:tcW w:w="0" w:type="auto"/>
            <w:shd w:val="clear" w:color="auto" w:fill="FFFFFF"/>
            <w:tcMar>
              <w:top w:w="40" w:type="dxa"/>
              <w:bottom w:w="40" w:type="dxa"/>
              <w:right w:w="20" w:type="dxa"/>
            </w:tcMar>
            <w:vAlign w:val="bottom"/>
          </w:tcPr>
          <w:p w14:paraId="33DAA92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929"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A92A"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A92B" w14:textId="77777777" w:rsidR="004D6A64" w:rsidRDefault="00506CD6">
            <w:pPr>
              <w:jc w:val="right"/>
              <w:textAlignment w:val="bottom"/>
            </w:pPr>
            <w:r>
              <w:rPr>
                <w:rFonts w:ascii="Times New Roman" w:eastAsia="宋体" w:hAnsi="Times New Roman"/>
                <w:color w:val="000000"/>
                <w:sz w:val="20"/>
                <w:szCs w:val="20"/>
              </w:rPr>
              <w:t>70 </w:t>
            </w:r>
          </w:p>
        </w:tc>
        <w:tc>
          <w:tcPr>
            <w:tcW w:w="0" w:type="auto"/>
            <w:shd w:val="clear" w:color="auto" w:fill="FFFFFF"/>
            <w:tcMar>
              <w:top w:w="40" w:type="dxa"/>
              <w:bottom w:w="40" w:type="dxa"/>
              <w:right w:w="20" w:type="dxa"/>
            </w:tcMar>
            <w:vAlign w:val="bottom"/>
          </w:tcPr>
          <w:p w14:paraId="33DAA92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92D"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A92E"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A92F" w14:textId="77777777" w:rsidR="004D6A64" w:rsidRDefault="00506CD6">
            <w:pPr>
              <w:jc w:val="right"/>
              <w:textAlignment w:val="bottom"/>
            </w:pPr>
            <w:r>
              <w:rPr>
                <w:rFonts w:ascii="Times New Roman" w:eastAsia="宋体" w:hAnsi="Times New Roman"/>
                <w:color w:val="000000"/>
                <w:sz w:val="20"/>
                <w:szCs w:val="20"/>
              </w:rPr>
              <w:t>73 </w:t>
            </w:r>
          </w:p>
        </w:tc>
        <w:tc>
          <w:tcPr>
            <w:tcW w:w="0" w:type="auto"/>
            <w:shd w:val="clear" w:color="auto" w:fill="FFFFFF"/>
            <w:tcMar>
              <w:top w:w="40" w:type="dxa"/>
              <w:bottom w:w="40" w:type="dxa"/>
              <w:right w:w="20" w:type="dxa"/>
            </w:tcMar>
            <w:vAlign w:val="bottom"/>
          </w:tcPr>
          <w:p w14:paraId="33DAA93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931"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A932"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A933" w14:textId="77777777" w:rsidR="004D6A64" w:rsidRDefault="00506CD6">
            <w:pPr>
              <w:jc w:val="right"/>
              <w:textAlignment w:val="bottom"/>
            </w:pPr>
            <w:r>
              <w:rPr>
                <w:rFonts w:ascii="Times New Roman" w:eastAsia="宋体" w:hAnsi="Times New Roman"/>
                <w:color w:val="000000"/>
                <w:sz w:val="20"/>
                <w:szCs w:val="20"/>
              </w:rPr>
              <w:t>143 </w:t>
            </w:r>
          </w:p>
        </w:tc>
        <w:tc>
          <w:tcPr>
            <w:tcW w:w="0" w:type="auto"/>
            <w:shd w:val="clear" w:color="auto" w:fill="FFFFFF"/>
            <w:tcMar>
              <w:top w:w="40" w:type="dxa"/>
              <w:bottom w:w="40" w:type="dxa"/>
              <w:right w:w="20" w:type="dxa"/>
            </w:tcMar>
            <w:vAlign w:val="bottom"/>
          </w:tcPr>
          <w:p w14:paraId="33DAA934" w14:textId="77777777" w:rsidR="004D6A64" w:rsidRDefault="004D6A64">
            <w:pPr>
              <w:jc w:val="right"/>
              <w:rPr>
                <w:rFonts w:ascii="宋体"/>
              </w:rPr>
            </w:pPr>
          </w:p>
        </w:tc>
        <w:tc>
          <w:tcPr>
            <w:tcW w:w="0" w:type="auto"/>
            <w:shd w:val="clear" w:color="auto" w:fill="auto"/>
          </w:tcPr>
          <w:p w14:paraId="33DAA935" w14:textId="77777777" w:rsidR="004D6A64" w:rsidRDefault="004D6A64">
            <w:pPr>
              <w:rPr>
                <w:rFonts w:ascii="宋体"/>
              </w:rPr>
            </w:pPr>
          </w:p>
        </w:tc>
        <w:tc>
          <w:tcPr>
            <w:tcW w:w="0" w:type="auto"/>
            <w:shd w:val="clear" w:color="auto" w:fill="auto"/>
          </w:tcPr>
          <w:p w14:paraId="33DAA936" w14:textId="77777777" w:rsidR="004D6A64" w:rsidRDefault="004D6A64">
            <w:pPr>
              <w:rPr>
                <w:rFonts w:ascii="宋体"/>
              </w:rPr>
            </w:pPr>
          </w:p>
        </w:tc>
        <w:tc>
          <w:tcPr>
            <w:tcW w:w="0" w:type="auto"/>
            <w:shd w:val="clear" w:color="auto" w:fill="auto"/>
          </w:tcPr>
          <w:p w14:paraId="33DAA937" w14:textId="77777777" w:rsidR="004D6A64" w:rsidRDefault="004D6A64">
            <w:pPr>
              <w:rPr>
                <w:rFonts w:ascii="宋体"/>
              </w:rPr>
            </w:pPr>
          </w:p>
        </w:tc>
        <w:tc>
          <w:tcPr>
            <w:tcW w:w="0" w:type="auto"/>
            <w:shd w:val="clear" w:color="auto" w:fill="auto"/>
          </w:tcPr>
          <w:p w14:paraId="33DAA938" w14:textId="77777777" w:rsidR="004D6A64" w:rsidRDefault="004D6A64">
            <w:pPr>
              <w:rPr>
                <w:rFonts w:ascii="宋体"/>
              </w:rPr>
            </w:pPr>
          </w:p>
        </w:tc>
        <w:tc>
          <w:tcPr>
            <w:tcW w:w="0" w:type="auto"/>
            <w:shd w:val="clear" w:color="auto" w:fill="auto"/>
          </w:tcPr>
          <w:p w14:paraId="33DAA939" w14:textId="77777777" w:rsidR="004D6A64" w:rsidRDefault="004D6A64">
            <w:pPr>
              <w:rPr>
                <w:rFonts w:ascii="宋体"/>
              </w:rPr>
            </w:pPr>
          </w:p>
        </w:tc>
        <w:tc>
          <w:tcPr>
            <w:tcW w:w="0" w:type="auto"/>
            <w:shd w:val="clear" w:color="auto" w:fill="auto"/>
          </w:tcPr>
          <w:p w14:paraId="33DAA93A" w14:textId="77777777" w:rsidR="004D6A64" w:rsidRDefault="004D6A64">
            <w:pPr>
              <w:rPr>
                <w:rFonts w:ascii="宋体"/>
              </w:rPr>
            </w:pPr>
          </w:p>
        </w:tc>
        <w:tc>
          <w:tcPr>
            <w:tcW w:w="0" w:type="auto"/>
            <w:shd w:val="clear" w:color="auto" w:fill="auto"/>
          </w:tcPr>
          <w:p w14:paraId="33DAA93B" w14:textId="77777777" w:rsidR="004D6A64" w:rsidRDefault="004D6A64">
            <w:pPr>
              <w:rPr>
                <w:rFonts w:ascii="宋体"/>
              </w:rPr>
            </w:pPr>
          </w:p>
        </w:tc>
        <w:tc>
          <w:tcPr>
            <w:tcW w:w="0" w:type="auto"/>
            <w:shd w:val="clear" w:color="auto" w:fill="auto"/>
          </w:tcPr>
          <w:p w14:paraId="33DAA93C" w14:textId="77777777" w:rsidR="004D6A64" w:rsidRDefault="004D6A64">
            <w:pPr>
              <w:rPr>
                <w:rFonts w:ascii="宋体"/>
              </w:rPr>
            </w:pPr>
          </w:p>
        </w:tc>
        <w:tc>
          <w:tcPr>
            <w:tcW w:w="0" w:type="auto"/>
            <w:shd w:val="clear" w:color="auto" w:fill="auto"/>
          </w:tcPr>
          <w:p w14:paraId="33DAA93D" w14:textId="77777777" w:rsidR="004D6A64" w:rsidRDefault="004D6A64">
            <w:pPr>
              <w:rPr>
                <w:rFonts w:ascii="宋体"/>
              </w:rPr>
            </w:pPr>
          </w:p>
        </w:tc>
        <w:tc>
          <w:tcPr>
            <w:tcW w:w="0" w:type="auto"/>
            <w:shd w:val="clear" w:color="auto" w:fill="auto"/>
          </w:tcPr>
          <w:p w14:paraId="33DAA93E" w14:textId="77777777" w:rsidR="004D6A64" w:rsidRDefault="004D6A64">
            <w:pPr>
              <w:rPr>
                <w:rFonts w:ascii="宋体"/>
              </w:rPr>
            </w:pPr>
          </w:p>
        </w:tc>
        <w:tc>
          <w:tcPr>
            <w:tcW w:w="0" w:type="auto"/>
            <w:shd w:val="clear" w:color="auto" w:fill="auto"/>
          </w:tcPr>
          <w:p w14:paraId="33DAA93F" w14:textId="77777777" w:rsidR="004D6A64" w:rsidRDefault="004D6A64">
            <w:pPr>
              <w:rPr>
                <w:rFonts w:ascii="宋体"/>
              </w:rPr>
            </w:pPr>
          </w:p>
        </w:tc>
        <w:tc>
          <w:tcPr>
            <w:tcW w:w="0" w:type="auto"/>
            <w:shd w:val="clear" w:color="auto" w:fill="auto"/>
          </w:tcPr>
          <w:p w14:paraId="33DAA940" w14:textId="77777777" w:rsidR="004D6A64" w:rsidRDefault="004D6A64">
            <w:pPr>
              <w:rPr>
                <w:rFonts w:ascii="宋体"/>
              </w:rPr>
            </w:pPr>
          </w:p>
        </w:tc>
        <w:tc>
          <w:tcPr>
            <w:tcW w:w="0" w:type="auto"/>
            <w:shd w:val="clear" w:color="auto" w:fill="auto"/>
          </w:tcPr>
          <w:p w14:paraId="33DAA941" w14:textId="77777777" w:rsidR="004D6A64" w:rsidRDefault="004D6A64">
            <w:pPr>
              <w:rPr>
                <w:rFonts w:ascii="宋体"/>
              </w:rPr>
            </w:pPr>
          </w:p>
        </w:tc>
        <w:tc>
          <w:tcPr>
            <w:tcW w:w="0" w:type="auto"/>
            <w:shd w:val="clear" w:color="auto" w:fill="auto"/>
          </w:tcPr>
          <w:p w14:paraId="33DAA942" w14:textId="77777777" w:rsidR="004D6A64" w:rsidRDefault="004D6A64">
            <w:pPr>
              <w:rPr>
                <w:rFonts w:ascii="宋体"/>
              </w:rPr>
            </w:pPr>
          </w:p>
        </w:tc>
        <w:tc>
          <w:tcPr>
            <w:tcW w:w="0" w:type="auto"/>
            <w:shd w:val="clear" w:color="auto" w:fill="auto"/>
          </w:tcPr>
          <w:p w14:paraId="33DAA943" w14:textId="77777777" w:rsidR="004D6A64" w:rsidRDefault="004D6A64">
            <w:pPr>
              <w:rPr>
                <w:rFonts w:ascii="宋体"/>
              </w:rPr>
            </w:pPr>
          </w:p>
        </w:tc>
        <w:tc>
          <w:tcPr>
            <w:tcW w:w="0" w:type="auto"/>
            <w:shd w:val="clear" w:color="auto" w:fill="auto"/>
          </w:tcPr>
          <w:p w14:paraId="33DAA944" w14:textId="77777777" w:rsidR="004D6A64" w:rsidRDefault="004D6A64">
            <w:pPr>
              <w:rPr>
                <w:rFonts w:ascii="宋体"/>
              </w:rPr>
            </w:pPr>
          </w:p>
        </w:tc>
        <w:tc>
          <w:tcPr>
            <w:tcW w:w="0" w:type="auto"/>
            <w:shd w:val="clear" w:color="auto" w:fill="auto"/>
          </w:tcPr>
          <w:p w14:paraId="33DAA945" w14:textId="77777777" w:rsidR="004D6A64" w:rsidRDefault="004D6A64">
            <w:pPr>
              <w:rPr>
                <w:rFonts w:ascii="宋体"/>
              </w:rPr>
            </w:pPr>
          </w:p>
        </w:tc>
        <w:tc>
          <w:tcPr>
            <w:tcW w:w="0" w:type="auto"/>
            <w:shd w:val="clear" w:color="auto" w:fill="auto"/>
          </w:tcPr>
          <w:p w14:paraId="33DAA946" w14:textId="77777777" w:rsidR="004D6A64" w:rsidRDefault="004D6A64">
            <w:pPr>
              <w:rPr>
                <w:rFonts w:ascii="宋体"/>
              </w:rPr>
            </w:pPr>
          </w:p>
        </w:tc>
        <w:tc>
          <w:tcPr>
            <w:tcW w:w="0" w:type="auto"/>
            <w:shd w:val="clear" w:color="auto" w:fill="auto"/>
          </w:tcPr>
          <w:p w14:paraId="33DAA947" w14:textId="77777777" w:rsidR="004D6A64" w:rsidRDefault="004D6A64">
            <w:pPr>
              <w:rPr>
                <w:rFonts w:ascii="宋体"/>
              </w:rPr>
            </w:pPr>
          </w:p>
        </w:tc>
        <w:tc>
          <w:tcPr>
            <w:tcW w:w="0" w:type="auto"/>
            <w:shd w:val="clear" w:color="auto" w:fill="auto"/>
          </w:tcPr>
          <w:p w14:paraId="33DAA948" w14:textId="77777777" w:rsidR="004D6A64" w:rsidRDefault="004D6A64">
            <w:pPr>
              <w:rPr>
                <w:rFonts w:ascii="宋体"/>
              </w:rPr>
            </w:pPr>
          </w:p>
        </w:tc>
        <w:tc>
          <w:tcPr>
            <w:tcW w:w="0" w:type="auto"/>
            <w:shd w:val="clear" w:color="auto" w:fill="auto"/>
          </w:tcPr>
          <w:p w14:paraId="33DAA949" w14:textId="77777777" w:rsidR="004D6A64" w:rsidRDefault="004D6A64">
            <w:pPr>
              <w:rPr>
                <w:rFonts w:ascii="宋体"/>
              </w:rPr>
            </w:pPr>
          </w:p>
        </w:tc>
        <w:tc>
          <w:tcPr>
            <w:tcW w:w="0" w:type="auto"/>
            <w:shd w:val="clear" w:color="auto" w:fill="auto"/>
          </w:tcPr>
          <w:p w14:paraId="33DAA94A" w14:textId="77777777" w:rsidR="004D6A64" w:rsidRDefault="004D6A64">
            <w:pPr>
              <w:rPr>
                <w:rFonts w:ascii="宋体"/>
              </w:rPr>
            </w:pPr>
          </w:p>
        </w:tc>
        <w:tc>
          <w:tcPr>
            <w:tcW w:w="0" w:type="auto"/>
            <w:shd w:val="clear" w:color="auto" w:fill="auto"/>
          </w:tcPr>
          <w:p w14:paraId="33DAA94B" w14:textId="77777777" w:rsidR="004D6A64" w:rsidRDefault="004D6A64">
            <w:pPr>
              <w:rPr>
                <w:rFonts w:ascii="宋体"/>
              </w:rPr>
            </w:pPr>
          </w:p>
        </w:tc>
        <w:tc>
          <w:tcPr>
            <w:tcW w:w="0" w:type="auto"/>
            <w:shd w:val="clear" w:color="auto" w:fill="auto"/>
          </w:tcPr>
          <w:p w14:paraId="33DAA94C" w14:textId="77777777" w:rsidR="004D6A64" w:rsidRDefault="004D6A64">
            <w:pPr>
              <w:rPr>
                <w:rFonts w:ascii="宋体"/>
              </w:rPr>
            </w:pPr>
          </w:p>
        </w:tc>
        <w:tc>
          <w:tcPr>
            <w:tcW w:w="0" w:type="auto"/>
            <w:shd w:val="clear" w:color="auto" w:fill="auto"/>
          </w:tcPr>
          <w:p w14:paraId="33DAA94D" w14:textId="77777777" w:rsidR="004D6A64" w:rsidRDefault="004D6A64">
            <w:pPr>
              <w:rPr>
                <w:rFonts w:ascii="宋体"/>
              </w:rPr>
            </w:pPr>
          </w:p>
        </w:tc>
        <w:tc>
          <w:tcPr>
            <w:tcW w:w="0" w:type="auto"/>
            <w:shd w:val="clear" w:color="auto" w:fill="auto"/>
          </w:tcPr>
          <w:p w14:paraId="33DAA94E" w14:textId="77777777" w:rsidR="004D6A64" w:rsidRDefault="004D6A64">
            <w:pPr>
              <w:rPr>
                <w:rFonts w:ascii="宋体"/>
              </w:rPr>
            </w:pPr>
          </w:p>
        </w:tc>
        <w:tc>
          <w:tcPr>
            <w:tcW w:w="0" w:type="auto"/>
            <w:shd w:val="clear" w:color="auto" w:fill="auto"/>
          </w:tcPr>
          <w:p w14:paraId="33DAA94F" w14:textId="77777777" w:rsidR="004D6A64" w:rsidRDefault="004D6A64">
            <w:pPr>
              <w:rPr>
                <w:rFonts w:ascii="宋体"/>
              </w:rPr>
            </w:pPr>
          </w:p>
        </w:tc>
      </w:tr>
      <w:tr w:rsidR="004D6A64" w14:paraId="33DAA97E" w14:textId="77777777">
        <w:tc>
          <w:tcPr>
            <w:tcW w:w="0" w:type="auto"/>
            <w:gridSpan w:val="3"/>
            <w:shd w:val="clear" w:color="auto" w:fill="CCEEFF"/>
            <w:tcMar>
              <w:top w:w="40" w:type="dxa"/>
              <w:left w:w="135" w:type="dxa"/>
              <w:bottom w:w="40" w:type="dxa"/>
              <w:right w:w="20" w:type="dxa"/>
            </w:tcMar>
            <w:vAlign w:val="bottom"/>
          </w:tcPr>
          <w:p w14:paraId="33DAA951" w14:textId="77777777" w:rsidR="004D6A64" w:rsidRDefault="00506CD6">
            <w:pPr>
              <w:textAlignment w:val="bottom"/>
            </w:pPr>
            <w:r>
              <w:rPr>
                <w:rFonts w:ascii="Times New Roman" w:eastAsia="宋体" w:hAnsi="Times New Roman"/>
                <w:color w:val="000000"/>
                <w:sz w:val="20"/>
                <w:szCs w:val="20"/>
              </w:rPr>
              <w:t>Charge-offs, net of recoveries</w:t>
            </w:r>
          </w:p>
        </w:tc>
        <w:tc>
          <w:tcPr>
            <w:tcW w:w="0" w:type="auto"/>
            <w:gridSpan w:val="2"/>
            <w:shd w:val="clear" w:color="auto" w:fill="CCEEFF"/>
            <w:tcMar>
              <w:top w:w="40" w:type="dxa"/>
              <w:left w:w="20" w:type="dxa"/>
              <w:bottom w:w="40" w:type="dxa"/>
              <w:right w:w="0" w:type="dxa"/>
            </w:tcMar>
            <w:vAlign w:val="bottom"/>
          </w:tcPr>
          <w:p w14:paraId="33DAA952" w14:textId="77777777" w:rsidR="004D6A64" w:rsidRDefault="00506CD6">
            <w:pPr>
              <w:jc w:val="right"/>
              <w:textAlignment w:val="bottom"/>
            </w:pPr>
            <w:r>
              <w:rPr>
                <w:rFonts w:ascii="Times New Roman" w:eastAsia="宋体" w:hAnsi="Times New Roman"/>
                <w:color w:val="000000"/>
                <w:sz w:val="20"/>
                <w:szCs w:val="20"/>
              </w:rPr>
              <w:t>(18)</w:t>
            </w:r>
          </w:p>
        </w:tc>
        <w:tc>
          <w:tcPr>
            <w:tcW w:w="0" w:type="auto"/>
            <w:shd w:val="clear" w:color="auto" w:fill="CCEEFF"/>
            <w:tcMar>
              <w:top w:w="40" w:type="dxa"/>
              <w:bottom w:w="40" w:type="dxa"/>
              <w:right w:w="20" w:type="dxa"/>
            </w:tcMar>
            <w:vAlign w:val="bottom"/>
          </w:tcPr>
          <w:p w14:paraId="33DAA95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954"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A955" w14:textId="77777777" w:rsidR="004D6A64" w:rsidRDefault="00506CD6">
            <w:pPr>
              <w:jc w:val="right"/>
              <w:textAlignment w:val="bottom"/>
            </w:pPr>
            <w:r>
              <w:rPr>
                <w:rFonts w:ascii="Times New Roman" w:eastAsia="宋体" w:hAnsi="Times New Roman"/>
                <w:color w:val="000000"/>
                <w:sz w:val="20"/>
                <w:szCs w:val="20"/>
              </w:rPr>
              <w:t>(7)</w:t>
            </w:r>
          </w:p>
        </w:tc>
        <w:tc>
          <w:tcPr>
            <w:tcW w:w="0" w:type="auto"/>
            <w:shd w:val="clear" w:color="auto" w:fill="CCEEFF"/>
            <w:tcMar>
              <w:top w:w="40" w:type="dxa"/>
              <w:bottom w:w="40" w:type="dxa"/>
              <w:right w:w="20" w:type="dxa"/>
            </w:tcMar>
            <w:vAlign w:val="bottom"/>
          </w:tcPr>
          <w:p w14:paraId="33DAA95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957"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A958" w14:textId="77777777" w:rsidR="004D6A64" w:rsidRDefault="00506CD6">
            <w:pPr>
              <w:jc w:val="right"/>
              <w:textAlignment w:val="bottom"/>
            </w:pPr>
            <w:r>
              <w:rPr>
                <w:rFonts w:ascii="Times New Roman" w:eastAsia="宋体" w:hAnsi="Times New Roman"/>
                <w:color w:val="000000"/>
                <w:sz w:val="20"/>
                <w:szCs w:val="20"/>
              </w:rPr>
              <w:t>(25)</w:t>
            </w:r>
          </w:p>
        </w:tc>
        <w:tc>
          <w:tcPr>
            <w:tcW w:w="0" w:type="auto"/>
            <w:shd w:val="clear" w:color="auto" w:fill="CCEEFF"/>
            <w:tcMar>
              <w:top w:w="40" w:type="dxa"/>
              <w:bottom w:w="40" w:type="dxa"/>
              <w:right w:w="20" w:type="dxa"/>
            </w:tcMar>
            <w:vAlign w:val="bottom"/>
          </w:tcPr>
          <w:p w14:paraId="33DAA959"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95A"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A95B" w14:textId="77777777" w:rsidR="004D6A64" w:rsidRDefault="00506CD6">
            <w:pPr>
              <w:jc w:val="right"/>
              <w:textAlignment w:val="bottom"/>
            </w:pPr>
            <w:r>
              <w:rPr>
                <w:rFonts w:ascii="Times New Roman" w:eastAsia="宋体" w:hAnsi="Times New Roman"/>
                <w:color w:val="000000"/>
                <w:sz w:val="20"/>
                <w:szCs w:val="20"/>
              </w:rPr>
              <w:t>(15)</w:t>
            </w:r>
          </w:p>
        </w:tc>
        <w:tc>
          <w:tcPr>
            <w:tcW w:w="0" w:type="auto"/>
            <w:shd w:val="clear" w:color="auto" w:fill="CCEEFF"/>
            <w:tcMar>
              <w:top w:w="40" w:type="dxa"/>
              <w:bottom w:w="40" w:type="dxa"/>
              <w:right w:w="20" w:type="dxa"/>
            </w:tcMar>
            <w:vAlign w:val="bottom"/>
          </w:tcPr>
          <w:p w14:paraId="33DAA95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95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A95E" w14:textId="77777777" w:rsidR="004D6A64" w:rsidRDefault="00506CD6">
            <w:pPr>
              <w:jc w:val="right"/>
              <w:textAlignment w:val="bottom"/>
            </w:pPr>
            <w:r>
              <w:rPr>
                <w:rFonts w:ascii="Times New Roman" w:eastAsia="宋体" w:hAnsi="Times New Roman"/>
                <w:color w:val="000000"/>
                <w:sz w:val="20"/>
                <w:szCs w:val="20"/>
              </w:rPr>
              <w:t>(9)</w:t>
            </w:r>
          </w:p>
        </w:tc>
        <w:tc>
          <w:tcPr>
            <w:tcW w:w="0" w:type="auto"/>
            <w:shd w:val="clear" w:color="auto" w:fill="CCEEFF"/>
            <w:tcMar>
              <w:top w:w="40" w:type="dxa"/>
              <w:bottom w:w="40" w:type="dxa"/>
              <w:right w:w="20" w:type="dxa"/>
            </w:tcMar>
            <w:vAlign w:val="bottom"/>
          </w:tcPr>
          <w:p w14:paraId="33DAA95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960"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A961" w14:textId="77777777" w:rsidR="004D6A64" w:rsidRDefault="00506CD6">
            <w:pPr>
              <w:jc w:val="right"/>
              <w:textAlignment w:val="bottom"/>
            </w:pPr>
            <w:r>
              <w:rPr>
                <w:rFonts w:ascii="Times New Roman" w:eastAsia="宋体" w:hAnsi="Times New Roman"/>
                <w:color w:val="000000"/>
                <w:sz w:val="20"/>
                <w:szCs w:val="20"/>
              </w:rPr>
              <w:t>(24)</w:t>
            </w:r>
          </w:p>
        </w:tc>
        <w:tc>
          <w:tcPr>
            <w:tcW w:w="0" w:type="auto"/>
            <w:shd w:val="clear" w:color="auto" w:fill="CCEEFF"/>
            <w:tcMar>
              <w:top w:w="40" w:type="dxa"/>
              <w:bottom w:w="40" w:type="dxa"/>
              <w:right w:w="20" w:type="dxa"/>
            </w:tcMar>
            <w:vAlign w:val="bottom"/>
          </w:tcPr>
          <w:p w14:paraId="33DAA962" w14:textId="77777777" w:rsidR="004D6A64" w:rsidRDefault="004D6A64">
            <w:pPr>
              <w:jc w:val="right"/>
              <w:rPr>
                <w:rFonts w:ascii="宋体"/>
              </w:rPr>
            </w:pPr>
          </w:p>
        </w:tc>
        <w:tc>
          <w:tcPr>
            <w:tcW w:w="0" w:type="auto"/>
            <w:shd w:val="clear" w:color="auto" w:fill="auto"/>
          </w:tcPr>
          <w:p w14:paraId="33DAA963" w14:textId="77777777" w:rsidR="004D6A64" w:rsidRDefault="004D6A64">
            <w:pPr>
              <w:rPr>
                <w:rFonts w:ascii="宋体"/>
              </w:rPr>
            </w:pPr>
          </w:p>
        </w:tc>
        <w:tc>
          <w:tcPr>
            <w:tcW w:w="0" w:type="auto"/>
            <w:shd w:val="clear" w:color="auto" w:fill="auto"/>
          </w:tcPr>
          <w:p w14:paraId="33DAA964" w14:textId="77777777" w:rsidR="004D6A64" w:rsidRDefault="004D6A64">
            <w:pPr>
              <w:rPr>
                <w:rFonts w:ascii="宋体"/>
              </w:rPr>
            </w:pPr>
          </w:p>
        </w:tc>
        <w:tc>
          <w:tcPr>
            <w:tcW w:w="0" w:type="auto"/>
            <w:shd w:val="clear" w:color="auto" w:fill="auto"/>
          </w:tcPr>
          <w:p w14:paraId="33DAA965" w14:textId="77777777" w:rsidR="004D6A64" w:rsidRDefault="004D6A64">
            <w:pPr>
              <w:rPr>
                <w:rFonts w:ascii="宋体"/>
              </w:rPr>
            </w:pPr>
          </w:p>
        </w:tc>
        <w:tc>
          <w:tcPr>
            <w:tcW w:w="0" w:type="auto"/>
            <w:shd w:val="clear" w:color="auto" w:fill="auto"/>
          </w:tcPr>
          <w:p w14:paraId="33DAA966" w14:textId="77777777" w:rsidR="004D6A64" w:rsidRDefault="004D6A64">
            <w:pPr>
              <w:rPr>
                <w:rFonts w:ascii="宋体"/>
              </w:rPr>
            </w:pPr>
          </w:p>
        </w:tc>
        <w:tc>
          <w:tcPr>
            <w:tcW w:w="0" w:type="auto"/>
            <w:shd w:val="clear" w:color="auto" w:fill="auto"/>
          </w:tcPr>
          <w:p w14:paraId="33DAA967" w14:textId="77777777" w:rsidR="004D6A64" w:rsidRDefault="004D6A64">
            <w:pPr>
              <w:rPr>
                <w:rFonts w:ascii="宋体"/>
              </w:rPr>
            </w:pPr>
          </w:p>
        </w:tc>
        <w:tc>
          <w:tcPr>
            <w:tcW w:w="0" w:type="auto"/>
            <w:shd w:val="clear" w:color="auto" w:fill="auto"/>
          </w:tcPr>
          <w:p w14:paraId="33DAA968" w14:textId="77777777" w:rsidR="004D6A64" w:rsidRDefault="004D6A64">
            <w:pPr>
              <w:rPr>
                <w:rFonts w:ascii="宋体"/>
              </w:rPr>
            </w:pPr>
          </w:p>
        </w:tc>
        <w:tc>
          <w:tcPr>
            <w:tcW w:w="0" w:type="auto"/>
            <w:shd w:val="clear" w:color="auto" w:fill="auto"/>
          </w:tcPr>
          <w:p w14:paraId="33DAA969" w14:textId="77777777" w:rsidR="004D6A64" w:rsidRDefault="004D6A64">
            <w:pPr>
              <w:rPr>
                <w:rFonts w:ascii="宋体"/>
              </w:rPr>
            </w:pPr>
          </w:p>
        </w:tc>
        <w:tc>
          <w:tcPr>
            <w:tcW w:w="0" w:type="auto"/>
            <w:shd w:val="clear" w:color="auto" w:fill="auto"/>
          </w:tcPr>
          <w:p w14:paraId="33DAA96A" w14:textId="77777777" w:rsidR="004D6A64" w:rsidRDefault="004D6A64">
            <w:pPr>
              <w:rPr>
                <w:rFonts w:ascii="宋体"/>
              </w:rPr>
            </w:pPr>
          </w:p>
        </w:tc>
        <w:tc>
          <w:tcPr>
            <w:tcW w:w="0" w:type="auto"/>
            <w:shd w:val="clear" w:color="auto" w:fill="auto"/>
          </w:tcPr>
          <w:p w14:paraId="33DAA96B" w14:textId="77777777" w:rsidR="004D6A64" w:rsidRDefault="004D6A64">
            <w:pPr>
              <w:rPr>
                <w:rFonts w:ascii="宋体"/>
              </w:rPr>
            </w:pPr>
          </w:p>
        </w:tc>
        <w:tc>
          <w:tcPr>
            <w:tcW w:w="0" w:type="auto"/>
            <w:shd w:val="clear" w:color="auto" w:fill="auto"/>
          </w:tcPr>
          <w:p w14:paraId="33DAA96C" w14:textId="77777777" w:rsidR="004D6A64" w:rsidRDefault="004D6A64">
            <w:pPr>
              <w:rPr>
                <w:rFonts w:ascii="宋体"/>
              </w:rPr>
            </w:pPr>
          </w:p>
        </w:tc>
        <w:tc>
          <w:tcPr>
            <w:tcW w:w="0" w:type="auto"/>
            <w:shd w:val="clear" w:color="auto" w:fill="auto"/>
          </w:tcPr>
          <w:p w14:paraId="33DAA96D" w14:textId="77777777" w:rsidR="004D6A64" w:rsidRDefault="004D6A64">
            <w:pPr>
              <w:rPr>
                <w:rFonts w:ascii="宋体"/>
              </w:rPr>
            </w:pPr>
          </w:p>
        </w:tc>
        <w:tc>
          <w:tcPr>
            <w:tcW w:w="0" w:type="auto"/>
            <w:shd w:val="clear" w:color="auto" w:fill="auto"/>
          </w:tcPr>
          <w:p w14:paraId="33DAA96E" w14:textId="77777777" w:rsidR="004D6A64" w:rsidRDefault="004D6A64">
            <w:pPr>
              <w:rPr>
                <w:rFonts w:ascii="宋体"/>
              </w:rPr>
            </w:pPr>
          </w:p>
        </w:tc>
        <w:tc>
          <w:tcPr>
            <w:tcW w:w="0" w:type="auto"/>
            <w:shd w:val="clear" w:color="auto" w:fill="auto"/>
          </w:tcPr>
          <w:p w14:paraId="33DAA96F" w14:textId="77777777" w:rsidR="004D6A64" w:rsidRDefault="004D6A64">
            <w:pPr>
              <w:rPr>
                <w:rFonts w:ascii="宋体"/>
              </w:rPr>
            </w:pPr>
          </w:p>
        </w:tc>
        <w:tc>
          <w:tcPr>
            <w:tcW w:w="0" w:type="auto"/>
            <w:shd w:val="clear" w:color="auto" w:fill="auto"/>
          </w:tcPr>
          <w:p w14:paraId="33DAA970" w14:textId="77777777" w:rsidR="004D6A64" w:rsidRDefault="004D6A64">
            <w:pPr>
              <w:rPr>
                <w:rFonts w:ascii="宋体"/>
              </w:rPr>
            </w:pPr>
          </w:p>
        </w:tc>
        <w:tc>
          <w:tcPr>
            <w:tcW w:w="0" w:type="auto"/>
            <w:shd w:val="clear" w:color="auto" w:fill="auto"/>
          </w:tcPr>
          <w:p w14:paraId="33DAA971" w14:textId="77777777" w:rsidR="004D6A64" w:rsidRDefault="004D6A64">
            <w:pPr>
              <w:rPr>
                <w:rFonts w:ascii="宋体"/>
              </w:rPr>
            </w:pPr>
          </w:p>
        </w:tc>
        <w:tc>
          <w:tcPr>
            <w:tcW w:w="0" w:type="auto"/>
            <w:shd w:val="clear" w:color="auto" w:fill="auto"/>
          </w:tcPr>
          <w:p w14:paraId="33DAA972" w14:textId="77777777" w:rsidR="004D6A64" w:rsidRDefault="004D6A64">
            <w:pPr>
              <w:rPr>
                <w:rFonts w:ascii="宋体"/>
              </w:rPr>
            </w:pPr>
          </w:p>
        </w:tc>
        <w:tc>
          <w:tcPr>
            <w:tcW w:w="0" w:type="auto"/>
            <w:shd w:val="clear" w:color="auto" w:fill="auto"/>
          </w:tcPr>
          <w:p w14:paraId="33DAA973" w14:textId="77777777" w:rsidR="004D6A64" w:rsidRDefault="004D6A64">
            <w:pPr>
              <w:rPr>
                <w:rFonts w:ascii="宋体"/>
              </w:rPr>
            </w:pPr>
          </w:p>
        </w:tc>
        <w:tc>
          <w:tcPr>
            <w:tcW w:w="0" w:type="auto"/>
            <w:shd w:val="clear" w:color="auto" w:fill="auto"/>
          </w:tcPr>
          <w:p w14:paraId="33DAA974" w14:textId="77777777" w:rsidR="004D6A64" w:rsidRDefault="004D6A64">
            <w:pPr>
              <w:rPr>
                <w:rFonts w:ascii="宋体"/>
              </w:rPr>
            </w:pPr>
          </w:p>
        </w:tc>
        <w:tc>
          <w:tcPr>
            <w:tcW w:w="0" w:type="auto"/>
            <w:shd w:val="clear" w:color="auto" w:fill="auto"/>
          </w:tcPr>
          <w:p w14:paraId="33DAA975" w14:textId="77777777" w:rsidR="004D6A64" w:rsidRDefault="004D6A64">
            <w:pPr>
              <w:rPr>
                <w:rFonts w:ascii="宋体"/>
              </w:rPr>
            </w:pPr>
          </w:p>
        </w:tc>
        <w:tc>
          <w:tcPr>
            <w:tcW w:w="0" w:type="auto"/>
            <w:shd w:val="clear" w:color="auto" w:fill="auto"/>
          </w:tcPr>
          <w:p w14:paraId="33DAA976" w14:textId="77777777" w:rsidR="004D6A64" w:rsidRDefault="004D6A64">
            <w:pPr>
              <w:rPr>
                <w:rFonts w:ascii="宋体"/>
              </w:rPr>
            </w:pPr>
          </w:p>
        </w:tc>
        <w:tc>
          <w:tcPr>
            <w:tcW w:w="0" w:type="auto"/>
            <w:shd w:val="clear" w:color="auto" w:fill="auto"/>
          </w:tcPr>
          <w:p w14:paraId="33DAA977" w14:textId="77777777" w:rsidR="004D6A64" w:rsidRDefault="004D6A64">
            <w:pPr>
              <w:rPr>
                <w:rFonts w:ascii="宋体"/>
              </w:rPr>
            </w:pPr>
          </w:p>
        </w:tc>
        <w:tc>
          <w:tcPr>
            <w:tcW w:w="0" w:type="auto"/>
            <w:shd w:val="clear" w:color="auto" w:fill="auto"/>
          </w:tcPr>
          <w:p w14:paraId="33DAA978" w14:textId="77777777" w:rsidR="004D6A64" w:rsidRDefault="004D6A64">
            <w:pPr>
              <w:rPr>
                <w:rFonts w:ascii="宋体"/>
              </w:rPr>
            </w:pPr>
          </w:p>
        </w:tc>
        <w:tc>
          <w:tcPr>
            <w:tcW w:w="0" w:type="auto"/>
            <w:shd w:val="clear" w:color="auto" w:fill="auto"/>
          </w:tcPr>
          <w:p w14:paraId="33DAA979" w14:textId="77777777" w:rsidR="004D6A64" w:rsidRDefault="004D6A64">
            <w:pPr>
              <w:rPr>
                <w:rFonts w:ascii="宋体"/>
              </w:rPr>
            </w:pPr>
          </w:p>
        </w:tc>
        <w:tc>
          <w:tcPr>
            <w:tcW w:w="0" w:type="auto"/>
            <w:shd w:val="clear" w:color="auto" w:fill="auto"/>
          </w:tcPr>
          <w:p w14:paraId="33DAA97A" w14:textId="77777777" w:rsidR="004D6A64" w:rsidRDefault="004D6A64">
            <w:pPr>
              <w:rPr>
                <w:rFonts w:ascii="宋体"/>
              </w:rPr>
            </w:pPr>
          </w:p>
        </w:tc>
        <w:tc>
          <w:tcPr>
            <w:tcW w:w="0" w:type="auto"/>
            <w:shd w:val="clear" w:color="auto" w:fill="auto"/>
          </w:tcPr>
          <w:p w14:paraId="33DAA97B" w14:textId="77777777" w:rsidR="004D6A64" w:rsidRDefault="004D6A64">
            <w:pPr>
              <w:rPr>
                <w:rFonts w:ascii="宋体"/>
              </w:rPr>
            </w:pPr>
          </w:p>
        </w:tc>
        <w:tc>
          <w:tcPr>
            <w:tcW w:w="0" w:type="auto"/>
            <w:shd w:val="clear" w:color="auto" w:fill="auto"/>
          </w:tcPr>
          <w:p w14:paraId="33DAA97C" w14:textId="77777777" w:rsidR="004D6A64" w:rsidRDefault="004D6A64">
            <w:pPr>
              <w:rPr>
                <w:rFonts w:ascii="宋体"/>
              </w:rPr>
            </w:pPr>
          </w:p>
        </w:tc>
        <w:tc>
          <w:tcPr>
            <w:tcW w:w="0" w:type="auto"/>
            <w:shd w:val="clear" w:color="auto" w:fill="auto"/>
          </w:tcPr>
          <w:p w14:paraId="33DAA97D" w14:textId="77777777" w:rsidR="004D6A64" w:rsidRDefault="004D6A64">
            <w:pPr>
              <w:rPr>
                <w:rFonts w:ascii="宋体"/>
              </w:rPr>
            </w:pPr>
          </w:p>
        </w:tc>
      </w:tr>
      <w:tr w:rsidR="004D6A64" w14:paraId="33DAA9AC" w14:textId="77777777">
        <w:tc>
          <w:tcPr>
            <w:tcW w:w="0" w:type="auto"/>
            <w:gridSpan w:val="3"/>
            <w:shd w:val="clear" w:color="auto" w:fill="FFFFFF"/>
            <w:tcMar>
              <w:top w:w="40" w:type="dxa"/>
              <w:left w:w="135" w:type="dxa"/>
              <w:bottom w:w="40" w:type="dxa"/>
              <w:right w:w="20" w:type="dxa"/>
            </w:tcMar>
            <w:vAlign w:val="bottom"/>
          </w:tcPr>
          <w:p w14:paraId="33DAA97F" w14:textId="77777777" w:rsidR="004D6A64" w:rsidRDefault="00506CD6">
            <w:pPr>
              <w:textAlignment w:val="bottom"/>
            </w:pPr>
            <w:r>
              <w:rPr>
                <w:rFonts w:ascii="Times New Roman" w:eastAsia="宋体" w:hAnsi="Times New Roman"/>
                <w:color w:val="000000"/>
                <w:sz w:val="20"/>
                <w:szCs w:val="20"/>
              </w:rPr>
              <w:t>Provision charge</w:t>
            </w:r>
            <w:r>
              <w:rPr>
                <w:rFonts w:ascii="Times New Roman" w:eastAsia="宋体" w:hAnsi="Times New Roman"/>
                <w:color w:val="000000"/>
                <w:sz w:val="20"/>
                <w:szCs w:val="20"/>
              </w:rPr>
              <w:t>d to income statement</w:t>
            </w:r>
          </w:p>
        </w:tc>
        <w:tc>
          <w:tcPr>
            <w:tcW w:w="0" w:type="auto"/>
            <w:gridSpan w:val="2"/>
            <w:shd w:val="clear" w:color="auto" w:fill="FFFFFF"/>
            <w:tcMar>
              <w:top w:w="40" w:type="dxa"/>
              <w:left w:w="20" w:type="dxa"/>
              <w:bottom w:w="40" w:type="dxa"/>
              <w:right w:w="0" w:type="dxa"/>
            </w:tcMar>
            <w:vAlign w:val="bottom"/>
          </w:tcPr>
          <w:p w14:paraId="33DAA980" w14:textId="77777777" w:rsidR="004D6A64" w:rsidRDefault="00506CD6">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bottom w:w="40" w:type="dxa"/>
              <w:right w:w="20" w:type="dxa"/>
            </w:tcMar>
            <w:vAlign w:val="bottom"/>
          </w:tcPr>
          <w:p w14:paraId="33DAA98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982"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A983" w14:textId="77777777" w:rsidR="004D6A64" w:rsidRDefault="00506CD6">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bottom w:w="40" w:type="dxa"/>
              <w:right w:w="20" w:type="dxa"/>
            </w:tcMar>
            <w:vAlign w:val="bottom"/>
          </w:tcPr>
          <w:p w14:paraId="33DAA98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985"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A986" w14:textId="77777777" w:rsidR="004D6A64" w:rsidRDefault="00506CD6">
            <w:pPr>
              <w:jc w:val="right"/>
              <w:textAlignment w:val="bottom"/>
            </w:pPr>
            <w:r>
              <w:rPr>
                <w:rFonts w:ascii="Times New Roman" w:eastAsia="宋体" w:hAnsi="Times New Roman"/>
                <w:color w:val="000000"/>
                <w:sz w:val="20"/>
                <w:szCs w:val="20"/>
              </w:rPr>
              <w:t>27 </w:t>
            </w:r>
          </w:p>
        </w:tc>
        <w:tc>
          <w:tcPr>
            <w:tcW w:w="0" w:type="auto"/>
            <w:shd w:val="clear" w:color="auto" w:fill="FFFFFF"/>
            <w:tcMar>
              <w:top w:w="40" w:type="dxa"/>
              <w:bottom w:w="40" w:type="dxa"/>
              <w:right w:w="20" w:type="dxa"/>
            </w:tcMar>
            <w:vAlign w:val="bottom"/>
          </w:tcPr>
          <w:p w14:paraId="33DAA98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988"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A989" w14:textId="77777777" w:rsidR="004D6A64" w:rsidRDefault="00506CD6">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bottom w:w="40" w:type="dxa"/>
              <w:right w:w="20" w:type="dxa"/>
            </w:tcMar>
            <w:vAlign w:val="bottom"/>
          </w:tcPr>
          <w:p w14:paraId="33DAA98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98B"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A98C" w14:textId="77777777" w:rsidR="004D6A64" w:rsidRDefault="00506CD6">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bottom w:w="40" w:type="dxa"/>
              <w:right w:w="20" w:type="dxa"/>
            </w:tcMar>
            <w:vAlign w:val="bottom"/>
          </w:tcPr>
          <w:p w14:paraId="33DAA98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98E"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A98F" w14:textId="77777777" w:rsidR="004D6A64" w:rsidRDefault="00506CD6">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bottom w:w="40" w:type="dxa"/>
              <w:right w:w="20" w:type="dxa"/>
            </w:tcMar>
            <w:vAlign w:val="bottom"/>
          </w:tcPr>
          <w:p w14:paraId="33DAA990" w14:textId="77777777" w:rsidR="004D6A64" w:rsidRDefault="004D6A64">
            <w:pPr>
              <w:jc w:val="right"/>
              <w:rPr>
                <w:rFonts w:ascii="宋体"/>
              </w:rPr>
            </w:pPr>
          </w:p>
        </w:tc>
        <w:tc>
          <w:tcPr>
            <w:tcW w:w="0" w:type="auto"/>
            <w:shd w:val="clear" w:color="auto" w:fill="auto"/>
          </w:tcPr>
          <w:p w14:paraId="33DAA991" w14:textId="77777777" w:rsidR="004D6A64" w:rsidRDefault="004D6A64">
            <w:pPr>
              <w:rPr>
                <w:rFonts w:ascii="宋体"/>
              </w:rPr>
            </w:pPr>
          </w:p>
        </w:tc>
        <w:tc>
          <w:tcPr>
            <w:tcW w:w="0" w:type="auto"/>
            <w:shd w:val="clear" w:color="auto" w:fill="auto"/>
          </w:tcPr>
          <w:p w14:paraId="33DAA992" w14:textId="77777777" w:rsidR="004D6A64" w:rsidRDefault="004D6A64">
            <w:pPr>
              <w:rPr>
                <w:rFonts w:ascii="宋体"/>
              </w:rPr>
            </w:pPr>
          </w:p>
        </w:tc>
        <w:tc>
          <w:tcPr>
            <w:tcW w:w="0" w:type="auto"/>
            <w:shd w:val="clear" w:color="auto" w:fill="auto"/>
          </w:tcPr>
          <w:p w14:paraId="33DAA993" w14:textId="77777777" w:rsidR="004D6A64" w:rsidRDefault="004D6A64">
            <w:pPr>
              <w:rPr>
                <w:rFonts w:ascii="宋体"/>
              </w:rPr>
            </w:pPr>
          </w:p>
        </w:tc>
        <w:tc>
          <w:tcPr>
            <w:tcW w:w="0" w:type="auto"/>
            <w:shd w:val="clear" w:color="auto" w:fill="auto"/>
          </w:tcPr>
          <w:p w14:paraId="33DAA994" w14:textId="77777777" w:rsidR="004D6A64" w:rsidRDefault="004D6A64">
            <w:pPr>
              <w:rPr>
                <w:rFonts w:ascii="宋体"/>
              </w:rPr>
            </w:pPr>
          </w:p>
        </w:tc>
        <w:tc>
          <w:tcPr>
            <w:tcW w:w="0" w:type="auto"/>
            <w:shd w:val="clear" w:color="auto" w:fill="auto"/>
          </w:tcPr>
          <w:p w14:paraId="33DAA995" w14:textId="77777777" w:rsidR="004D6A64" w:rsidRDefault="004D6A64">
            <w:pPr>
              <w:rPr>
                <w:rFonts w:ascii="宋体"/>
              </w:rPr>
            </w:pPr>
          </w:p>
        </w:tc>
        <w:tc>
          <w:tcPr>
            <w:tcW w:w="0" w:type="auto"/>
            <w:shd w:val="clear" w:color="auto" w:fill="auto"/>
          </w:tcPr>
          <w:p w14:paraId="33DAA996" w14:textId="77777777" w:rsidR="004D6A64" w:rsidRDefault="004D6A64">
            <w:pPr>
              <w:rPr>
                <w:rFonts w:ascii="宋体"/>
              </w:rPr>
            </w:pPr>
          </w:p>
        </w:tc>
        <w:tc>
          <w:tcPr>
            <w:tcW w:w="0" w:type="auto"/>
            <w:shd w:val="clear" w:color="auto" w:fill="auto"/>
          </w:tcPr>
          <w:p w14:paraId="33DAA997" w14:textId="77777777" w:rsidR="004D6A64" w:rsidRDefault="004D6A64">
            <w:pPr>
              <w:rPr>
                <w:rFonts w:ascii="宋体"/>
              </w:rPr>
            </w:pPr>
          </w:p>
        </w:tc>
        <w:tc>
          <w:tcPr>
            <w:tcW w:w="0" w:type="auto"/>
            <w:shd w:val="clear" w:color="auto" w:fill="auto"/>
          </w:tcPr>
          <w:p w14:paraId="33DAA998" w14:textId="77777777" w:rsidR="004D6A64" w:rsidRDefault="004D6A64">
            <w:pPr>
              <w:rPr>
                <w:rFonts w:ascii="宋体"/>
              </w:rPr>
            </w:pPr>
          </w:p>
        </w:tc>
        <w:tc>
          <w:tcPr>
            <w:tcW w:w="0" w:type="auto"/>
            <w:shd w:val="clear" w:color="auto" w:fill="auto"/>
          </w:tcPr>
          <w:p w14:paraId="33DAA999" w14:textId="77777777" w:rsidR="004D6A64" w:rsidRDefault="004D6A64">
            <w:pPr>
              <w:rPr>
                <w:rFonts w:ascii="宋体"/>
              </w:rPr>
            </w:pPr>
          </w:p>
        </w:tc>
        <w:tc>
          <w:tcPr>
            <w:tcW w:w="0" w:type="auto"/>
            <w:shd w:val="clear" w:color="auto" w:fill="auto"/>
          </w:tcPr>
          <w:p w14:paraId="33DAA99A" w14:textId="77777777" w:rsidR="004D6A64" w:rsidRDefault="004D6A64">
            <w:pPr>
              <w:rPr>
                <w:rFonts w:ascii="宋体"/>
              </w:rPr>
            </w:pPr>
          </w:p>
        </w:tc>
        <w:tc>
          <w:tcPr>
            <w:tcW w:w="0" w:type="auto"/>
            <w:shd w:val="clear" w:color="auto" w:fill="auto"/>
          </w:tcPr>
          <w:p w14:paraId="33DAA99B" w14:textId="77777777" w:rsidR="004D6A64" w:rsidRDefault="004D6A64">
            <w:pPr>
              <w:rPr>
                <w:rFonts w:ascii="宋体"/>
              </w:rPr>
            </w:pPr>
          </w:p>
        </w:tc>
        <w:tc>
          <w:tcPr>
            <w:tcW w:w="0" w:type="auto"/>
            <w:shd w:val="clear" w:color="auto" w:fill="auto"/>
          </w:tcPr>
          <w:p w14:paraId="33DAA99C" w14:textId="77777777" w:rsidR="004D6A64" w:rsidRDefault="004D6A64">
            <w:pPr>
              <w:rPr>
                <w:rFonts w:ascii="宋体"/>
              </w:rPr>
            </w:pPr>
          </w:p>
        </w:tc>
        <w:tc>
          <w:tcPr>
            <w:tcW w:w="0" w:type="auto"/>
            <w:shd w:val="clear" w:color="auto" w:fill="auto"/>
          </w:tcPr>
          <w:p w14:paraId="33DAA99D" w14:textId="77777777" w:rsidR="004D6A64" w:rsidRDefault="004D6A64">
            <w:pPr>
              <w:rPr>
                <w:rFonts w:ascii="宋体"/>
              </w:rPr>
            </w:pPr>
          </w:p>
        </w:tc>
        <w:tc>
          <w:tcPr>
            <w:tcW w:w="0" w:type="auto"/>
            <w:shd w:val="clear" w:color="auto" w:fill="auto"/>
          </w:tcPr>
          <w:p w14:paraId="33DAA99E" w14:textId="77777777" w:rsidR="004D6A64" w:rsidRDefault="004D6A64">
            <w:pPr>
              <w:rPr>
                <w:rFonts w:ascii="宋体"/>
              </w:rPr>
            </w:pPr>
          </w:p>
        </w:tc>
        <w:tc>
          <w:tcPr>
            <w:tcW w:w="0" w:type="auto"/>
            <w:shd w:val="clear" w:color="auto" w:fill="auto"/>
          </w:tcPr>
          <w:p w14:paraId="33DAA99F" w14:textId="77777777" w:rsidR="004D6A64" w:rsidRDefault="004D6A64">
            <w:pPr>
              <w:rPr>
                <w:rFonts w:ascii="宋体"/>
              </w:rPr>
            </w:pPr>
          </w:p>
        </w:tc>
        <w:tc>
          <w:tcPr>
            <w:tcW w:w="0" w:type="auto"/>
            <w:shd w:val="clear" w:color="auto" w:fill="auto"/>
          </w:tcPr>
          <w:p w14:paraId="33DAA9A0" w14:textId="77777777" w:rsidR="004D6A64" w:rsidRDefault="004D6A64">
            <w:pPr>
              <w:rPr>
                <w:rFonts w:ascii="宋体"/>
              </w:rPr>
            </w:pPr>
          </w:p>
        </w:tc>
        <w:tc>
          <w:tcPr>
            <w:tcW w:w="0" w:type="auto"/>
            <w:shd w:val="clear" w:color="auto" w:fill="auto"/>
          </w:tcPr>
          <w:p w14:paraId="33DAA9A1" w14:textId="77777777" w:rsidR="004D6A64" w:rsidRDefault="004D6A64">
            <w:pPr>
              <w:rPr>
                <w:rFonts w:ascii="宋体"/>
              </w:rPr>
            </w:pPr>
          </w:p>
        </w:tc>
        <w:tc>
          <w:tcPr>
            <w:tcW w:w="0" w:type="auto"/>
            <w:shd w:val="clear" w:color="auto" w:fill="auto"/>
          </w:tcPr>
          <w:p w14:paraId="33DAA9A2" w14:textId="77777777" w:rsidR="004D6A64" w:rsidRDefault="004D6A64">
            <w:pPr>
              <w:rPr>
                <w:rFonts w:ascii="宋体"/>
              </w:rPr>
            </w:pPr>
          </w:p>
        </w:tc>
        <w:tc>
          <w:tcPr>
            <w:tcW w:w="0" w:type="auto"/>
            <w:shd w:val="clear" w:color="auto" w:fill="auto"/>
          </w:tcPr>
          <w:p w14:paraId="33DAA9A3" w14:textId="77777777" w:rsidR="004D6A64" w:rsidRDefault="004D6A64">
            <w:pPr>
              <w:rPr>
                <w:rFonts w:ascii="宋体"/>
              </w:rPr>
            </w:pPr>
          </w:p>
        </w:tc>
        <w:tc>
          <w:tcPr>
            <w:tcW w:w="0" w:type="auto"/>
            <w:shd w:val="clear" w:color="auto" w:fill="auto"/>
          </w:tcPr>
          <w:p w14:paraId="33DAA9A4" w14:textId="77777777" w:rsidR="004D6A64" w:rsidRDefault="004D6A64">
            <w:pPr>
              <w:rPr>
                <w:rFonts w:ascii="宋体"/>
              </w:rPr>
            </w:pPr>
          </w:p>
        </w:tc>
        <w:tc>
          <w:tcPr>
            <w:tcW w:w="0" w:type="auto"/>
            <w:shd w:val="clear" w:color="auto" w:fill="auto"/>
          </w:tcPr>
          <w:p w14:paraId="33DAA9A5" w14:textId="77777777" w:rsidR="004D6A64" w:rsidRDefault="004D6A64">
            <w:pPr>
              <w:rPr>
                <w:rFonts w:ascii="宋体"/>
              </w:rPr>
            </w:pPr>
          </w:p>
        </w:tc>
        <w:tc>
          <w:tcPr>
            <w:tcW w:w="0" w:type="auto"/>
            <w:shd w:val="clear" w:color="auto" w:fill="auto"/>
          </w:tcPr>
          <w:p w14:paraId="33DAA9A6" w14:textId="77777777" w:rsidR="004D6A64" w:rsidRDefault="004D6A64">
            <w:pPr>
              <w:rPr>
                <w:rFonts w:ascii="宋体"/>
              </w:rPr>
            </w:pPr>
          </w:p>
        </w:tc>
        <w:tc>
          <w:tcPr>
            <w:tcW w:w="0" w:type="auto"/>
            <w:shd w:val="clear" w:color="auto" w:fill="auto"/>
          </w:tcPr>
          <w:p w14:paraId="33DAA9A7" w14:textId="77777777" w:rsidR="004D6A64" w:rsidRDefault="004D6A64">
            <w:pPr>
              <w:rPr>
                <w:rFonts w:ascii="宋体"/>
              </w:rPr>
            </w:pPr>
          </w:p>
        </w:tc>
        <w:tc>
          <w:tcPr>
            <w:tcW w:w="0" w:type="auto"/>
            <w:shd w:val="clear" w:color="auto" w:fill="auto"/>
          </w:tcPr>
          <w:p w14:paraId="33DAA9A8" w14:textId="77777777" w:rsidR="004D6A64" w:rsidRDefault="004D6A64">
            <w:pPr>
              <w:rPr>
                <w:rFonts w:ascii="宋体"/>
              </w:rPr>
            </w:pPr>
          </w:p>
        </w:tc>
        <w:tc>
          <w:tcPr>
            <w:tcW w:w="0" w:type="auto"/>
            <w:shd w:val="clear" w:color="auto" w:fill="auto"/>
          </w:tcPr>
          <w:p w14:paraId="33DAA9A9" w14:textId="77777777" w:rsidR="004D6A64" w:rsidRDefault="004D6A64">
            <w:pPr>
              <w:rPr>
                <w:rFonts w:ascii="宋体"/>
              </w:rPr>
            </w:pPr>
          </w:p>
        </w:tc>
        <w:tc>
          <w:tcPr>
            <w:tcW w:w="0" w:type="auto"/>
            <w:shd w:val="clear" w:color="auto" w:fill="auto"/>
          </w:tcPr>
          <w:p w14:paraId="33DAA9AA" w14:textId="77777777" w:rsidR="004D6A64" w:rsidRDefault="004D6A64">
            <w:pPr>
              <w:rPr>
                <w:rFonts w:ascii="宋体"/>
              </w:rPr>
            </w:pPr>
          </w:p>
        </w:tc>
        <w:tc>
          <w:tcPr>
            <w:tcW w:w="0" w:type="auto"/>
            <w:shd w:val="clear" w:color="auto" w:fill="auto"/>
          </w:tcPr>
          <w:p w14:paraId="33DAA9AB" w14:textId="77777777" w:rsidR="004D6A64" w:rsidRDefault="004D6A64">
            <w:pPr>
              <w:rPr>
                <w:rFonts w:ascii="宋体"/>
              </w:rPr>
            </w:pPr>
          </w:p>
        </w:tc>
      </w:tr>
      <w:tr w:rsidR="004D6A64" w14:paraId="33DAA9E0" w14:textId="77777777">
        <w:tc>
          <w:tcPr>
            <w:tcW w:w="0" w:type="auto"/>
            <w:gridSpan w:val="3"/>
            <w:shd w:val="clear" w:color="auto" w:fill="CCEEFF"/>
            <w:tcMar>
              <w:top w:w="40" w:type="dxa"/>
              <w:left w:w="20" w:type="dxa"/>
              <w:bottom w:w="40" w:type="dxa"/>
              <w:right w:w="20" w:type="dxa"/>
            </w:tcMar>
            <w:vAlign w:val="bottom"/>
          </w:tcPr>
          <w:p w14:paraId="33DAA9AD" w14:textId="77777777" w:rsidR="004D6A64" w:rsidRDefault="00506CD6">
            <w:pPr>
              <w:textAlignment w:val="bottom"/>
            </w:pPr>
            <w:r>
              <w:rPr>
                <w:rFonts w:ascii="Times New Roman" w:eastAsia="宋体" w:hAnsi="Times New Roman"/>
                <w:i/>
                <w:iCs/>
                <w:color w:val="000000"/>
                <w:sz w:val="20"/>
                <w:szCs w:val="20"/>
              </w:rPr>
              <w:t xml:space="preserve">Balances at end </w:t>
            </w:r>
            <w:r>
              <w:rPr>
                <w:rFonts w:ascii="Times New Roman" w:eastAsia="宋体" w:hAnsi="Times New Roman"/>
                <w:i/>
                <w:iCs/>
                <w:color w:val="000000"/>
                <w:sz w:val="20"/>
                <w:szCs w:val="20"/>
              </w:rPr>
              <w:t>of period</w:t>
            </w: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33DAA9AE"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33DAA9AF" w14:textId="77777777" w:rsidR="004D6A64" w:rsidRDefault="00506CD6">
            <w:pPr>
              <w:jc w:val="right"/>
              <w:textAlignment w:val="bottom"/>
            </w:pPr>
            <w:r>
              <w:rPr>
                <w:rFonts w:ascii="Times New Roman" w:eastAsia="宋体" w:hAnsi="Times New Roman"/>
                <w:color w:val="000000"/>
                <w:sz w:val="20"/>
                <w:szCs w:val="20"/>
              </w:rPr>
              <w:t>143 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33DAA9B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9B1"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33DAA9B2"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33DAA9B3" w14:textId="77777777" w:rsidR="004D6A64" w:rsidRDefault="00506CD6">
            <w:pPr>
              <w:jc w:val="right"/>
              <w:textAlignment w:val="bottom"/>
            </w:pPr>
            <w:r>
              <w:rPr>
                <w:rFonts w:ascii="Times New Roman" w:eastAsia="宋体" w:hAnsi="Times New Roman"/>
                <w:color w:val="000000"/>
                <w:sz w:val="20"/>
                <w:szCs w:val="20"/>
              </w:rPr>
              <w:t>180 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33DAA9B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9B5"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33DAA9B6"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33DAA9B7" w14:textId="77777777" w:rsidR="004D6A64" w:rsidRDefault="00506CD6">
            <w:pPr>
              <w:jc w:val="right"/>
              <w:textAlignment w:val="bottom"/>
            </w:pPr>
            <w:r>
              <w:rPr>
                <w:rFonts w:ascii="Times New Roman" w:eastAsia="宋体" w:hAnsi="Times New Roman"/>
                <w:color w:val="000000"/>
                <w:sz w:val="20"/>
                <w:szCs w:val="20"/>
              </w:rPr>
              <w:t>323 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33DAA9B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9B9"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33DAA9BA"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33DAA9BB" w14:textId="77777777" w:rsidR="004D6A64" w:rsidRDefault="00506CD6">
            <w:pPr>
              <w:jc w:val="right"/>
              <w:textAlignment w:val="bottom"/>
            </w:pPr>
            <w:r>
              <w:rPr>
                <w:rFonts w:ascii="Times New Roman" w:eastAsia="宋体" w:hAnsi="Times New Roman"/>
                <w:color w:val="000000"/>
                <w:sz w:val="20"/>
                <w:szCs w:val="20"/>
              </w:rPr>
              <w:t>67 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33DAA9B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9BD"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33DAA9BE"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33DAA9BF" w14:textId="77777777" w:rsidR="004D6A64" w:rsidRDefault="00506CD6">
            <w:pPr>
              <w:jc w:val="right"/>
              <w:textAlignment w:val="bottom"/>
            </w:pPr>
            <w:r>
              <w:rPr>
                <w:rFonts w:ascii="Times New Roman" w:eastAsia="宋体" w:hAnsi="Times New Roman"/>
                <w:color w:val="000000"/>
                <w:sz w:val="20"/>
                <w:szCs w:val="20"/>
              </w:rPr>
              <w:t>71 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33DAA9C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9C1"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33DAA9C2"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33DAA9C3" w14:textId="77777777" w:rsidR="004D6A64" w:rsidRDefault="00506CD6">
            <w:pPr>
              <w:jc w:val="right"/>
              <w:textAlignment w:val="bottom"/>
            </w:pPr>
            <w:r>
              <w:rPr>
                <w:rFonts w:ascii="Times New Roman" w:eastAsia="宋体" w:hAnsi="Times New Roman"/>
                <w:color w:val="000000"/>
                <w:sz w:val="20"/>
                <w:szCs w:val="20"/>
              </w:rPr>
              <w:t>138 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33DAA9C4" w14:textId="77777777" w:rsidR="004D6A64" w:rsidRDefault="004D6A64">
            <w:pPr>
              <w:jc w:val="right"/>
              <w:rPr>
                <w:rFonts w:ascii="宋体"/>
              </w:rPr>
            </w:pPr>
          </w:p>
        </w:tc>
        <w:tc>
          <w:tcPr>
            <w:tcW w:w="0" w:type="auto"/>
            <w:shd w:val="clear" w:color="auto" w:fill="auto"/>
          </w:tcPr>
          <w:p w14:paraId="33DAA9C5" w14:textId="77777777" w:rsidR="004D6A64" w:rsidRDefault="004D6A64">
            <w:pPr>
              <w:rPr>
                <w:rFonts w:ascii="宋体"/>
              </w:rPr>
            </w:pPr>
          </w:p>
        </w:tc>
        <w:tc>
          <w:tcPr>
            <w:tcW w:w="0" w:type="auto"/>
            <w:shd w:val="clear" w:color="auto" w:fill="auto"/>
          </w:tcPr>
          <w:p w14:paraId="33DAA9C6" w14:textId="77777777" w:rsidR="004D6A64" w:rsidRDefault="004D6A64">
            <w:pPr>
              <w:rPr>
                <w:rFonts w:ascii="宋体"/>
              </w:rPr>
            </w:pPr>
          </w:p>
        </w:tc>
        <w:tc>
          <w:tcPr>
            <w:tcW w:w="0" w:type="auto"/>
            <w:shd w:val="clear" w:color="auto" w:fill="auto"/>
          </w:tcPr>
          <w:p w14:paraId="33DAA9C7" w14:textId="77777777" w:rsidR="004D6A64" w:rsidRDefault="004D6A64">
            <w:pPr>
              <w:rPr>
                <w:rFonts w:ascii="宋体"/>
              </w:rPr>
            </w:pPr>
          </w:p>
        </w:tc>
        <w:tc>
          <w:tcPr>
            <w:tcW w:w="0" w:type="auto"/>
            <w:shd w:val="clear" w:color="auto" w:fill="auto"/>
          </w:tcPr>
          <w:p w14:paraId="33DAA9C8" w14:textId="77777777" w:rsidR="004D6A64" w:rsidRDefault="004D6A64">
            <w:pPr>
              <w:rPr>
                <w:rFonts w:ascii="宋体"/>
              </w:rPr>
            </w:pPr>
          </w:p>
        </w:tc>
        <w:tc>
          <w:tcPr>
            <w:tcW w:w="0" w:type="auto"/>
            <w:shd w:val="clear" w:color="auto" w:fill="auto"/>
          </w:tcPr>
          <w:p w14:paraId="33DAA9C9" w14:textId="77777777" w:rsidR="004D6A64" w:rsidRDefault="004D6A64">
            <w:pPr>
              <w:rPr>
                <w:rFonts w:ascii="宋体"/>
              </w:rPr>
            </w:pPr>
          </w:p>
        </w:tc>
        <w:tc>
          <w:tcPr>
            <w:tcW w:w="0" w:type="auto"/>
            <w:shd w:val="clear" w:color="auto" w:fill="auto"/>
          </w:tcPr>
          <w:p w14:paraId="33DAA9CA" w14:textId="77777777" w:rsidR="004D6A64" w:rsidRDefault="004D6A64">
            <w:pPr>
              <w:rPr>
                <w:rFonts w:ascii="宋体"/>
              </w:rPr>
            </w:pPr>
          </w:p>
        </w:tc>
        <w:tc>
          <w:tcPr>
            <w:tcW w:w="0" w:type="auto"/>
            <w:shd w:val="clear" w:color="auto" w:fill="auto"/>
          </w:tcPr>
          <w:p w14:paraId="33DAA9CB" w14:textId="77777777" w:rsidR="004D6A64" w:rsidRDefault="004D6A64">
            <w:pPr>
              <w:rPr>
                <w:rFonts w:ascii="宋体"/>
              </w:rPr>
            </w:pPr>
          </w:p>
        </w:tc>
        <w:tc>
          <w:tcPr>
            <w:tcW w:w="0" w:type="auto"/>
            <w:shd w:val="clear" w:color="auto" w:fill="auto"/>
          </w:tcPr>
          <w:p w14:paraId="33DAA9CC" w14:textId="77777777" w:rsidR="004D6A64" w:rsidRDefault="004D6A64">
            <w:pPr>
              <w:rPr>
                <w:rFonts w:ascii="宋体"/>
              </w:rPr>
            </w:pPr>
          </w:p>
        </w:tc>
        <w:tc>
          <w:tcPr>
            <w:tcW w:w="0" w:type="auto"/>
            <w:shd w:val="clear" w:color="auto" w:fill="auto"/>
          </w:tcPr>
          <w:p w14:paraId="33DAA9CD" w14:textId="77777777" w:rsidR="004D6A64" w:rsidRDefault="004D6A64">
            <w:pPr>
              <w:rPr>
                <w:rFonts w:ascii="宋体"/>
              </w:rPr>
            </w:pPr>
          </w:p>
        </w:tc>
        <w:tc>
          <w:tcPr>
            <w:tcW w:w="0" w:type="auto"/>
            <w:shd w:val="clear" w:color="auto" w:fill="auto"/>
          </w:tcPr>
          <w:p w14:paraId="33DAA9CE" w14:textId="77777777" w:rsidR="004D6A64" w:rsidRDefault="004D6A64">
            <w:pPr>
              <w:rPr>
                <w:rFonts w:ascii="宋体"/>
              </w:rPr>
            </w:pPr>
          </w:p>
        </w:tc>
        <w:tc>
          <w:tcPr>
            <w:tcW w:w="0" w:type="auto"/>
            <w:shd w:val="clear" w:color="auto" w:fill="auto"/>
          </w:tcPr>
          <w:p w14:paraId="33DAA9CF" w14:textId="77777777" w:rsidR="004D6A64" w:rsidRDefault="004D6A64">
            <w:pPr>
              <w:rPr>
                <w:rFonts w:ascii="宋体"/>
              </w:rPr>
            </w:pPr>
          </w:p>
        </w:tc>
        <w:tc>
          <w:tcPr>
            <w:tcW w:w="0" w:type="auto"/>
            <w:shd w:val="clear" w:color="auto" w:fill="auto"/>
          </w:tcPr>
          <w:p w14:paraId="33DAA9D0" w14:textId="77777777" w:rsidR="004D6A64" w:rsidRDefault="004D6A64">
            <w:pPr>
              <w:rPr>
                <w:rFonts w:ascii="宋体"/>
              </w:rPr>
            </w:pPr>
          </w:p>
        </w:tc>
        <w:tc>
          <w:tcPr>
            <w:tcW w:w="0" w:type="auto"/>
            <w:shd w:val="clear" w:color="auto" w:fill="auto"/>
          </w:tcPr>
          <w:p w14:paraId="33DAA9D1" w14:textId="77777777" w:rsidR="004D6A64" w:rsidRDefault="004D6A64">
            <w:pPr>
              <w:rPr>
                <w:rFonts w:ascii="宋体"/>
              </w:rPr>
            </w:pPr>
          </w:p>
        </w:tc>
        <w:tc>
          <w:tcPr>
            <w:tcW w:w="0" w:type="auto"/>
            <w:shd w:val="clear" w:color="auto" w:fill="auto"/>
          </w:tcPr>
          <w:p w14:paraId="33DAA9D2" w14:textId="77777777" w:rsidR="004D6A64" w:rsidRDefault="004D6A64">
            <w:pPr>
              <w:rPr>
                <w:rFonts w:ascii="宋体"/>
              </w:rPr>
            </w:pPr>
          </w:p>
        </w:tc>
        <w:tc>
          <w:tcPr>
            <w:tcW w:w="0" w:type="auto"/>
            <w:shd w:val="clear" w:color="auto" w:fill="auto"/>
          </w:tcPr>
          <w:p w14:paraId="33DAA9D3" w14:textId="77777777" w:rsidR="004D6A64" w:rsidRDefault="004D6A64">
            <w:pPr>
              <w:rPr>
                <w:rFonts w:ascii="宋体"/>
              </w:rPr>
            </w:pPr>
          </w:p>
        </w:tc>
        <w:tc>
          <w:tcPr>
            <w:tcW w:w="0" w:type="auto"/>
            <w:shd w:val="clear" w:color="auto" w:fill="auto"/>
          </w:tcPr>
          <w:p w14:paraId="33DAA9D4" w14:textId="77777777" w:rsidR="004D6A64" w:rsidRDefault="004D6A64">
            <w:pPr>
              <w:rPr>
                <w:rFonts w:ascii="宋体"/>
              </w:rPr>
            </w:pPr>
          </w:p>
        </w:tc>
        <w:tc>
          <w:tcPr>
            <w:tcW w:w="0" w:type="auto"/>
            <w:shd w:val="clear" w:color="auto" w:fill="auto"/>
          </w:tcPr>
          <w:p w14:paraId="33DAA9D5" w14:textId="77777777" w:rsidR="004D6A64" w:rsidRDefault="004D6A64">
            <w:pPr>
              <w:rPr>
                <w:rFonts w:ascii="宋体"/>
              </w:rPr>
            </w:pPr>
          </w:p>
        </w:tc>
        <w:tc>
          <w:tcPr>
            <w:tcW w:w="0" w:type="auto"/>
            <w:shd w:val="clear" w:color="auto" w:fill="auto"/>
          </w:tcPr>
          <w:p w14:paraId="33DAA9D6" w14:textId="77777777" w:rsidR="004D6A64" w:rsidRDefault="004D6A64">
            <w:pPr>
              <w:rPr>
                <w:rFonts w:ascii="宋体"/>
              </w:rPr>
            </w:pPr>
          </w:p>
        </w:tc>
        <w:tc>
          <w:tcPr>
            <w:tcW w:w="0" w:type="auto"/>
            <w:shd w:val="clear" w:color="auto" w:fill="auto"/>
          </w:tcPr>
          <w:p w14:paraId="33DAA9D7" w14:textId="77777777" w:rsidR="004D6A64" w:rsidRDefault="004D6A64">
            <w:pPr>
              <w:rPr>
                <w:rFonts w:ascii="宋体"/>
              </w:rPr>
            </w:pPr>
          </w:p>
        </w:tc>
        <w:tc>
          <w:tcPr>
            <w:tcW w:w="0" w:type="auto"/>
            <w:shd w:val="clear" w:color="auto" w:fill="auto"/>
          </w:tcPr>
          <w:p w14:paraId="33DAA9D8" w14:textId="77777777" w:rsidR="004D6A64" w:rsidRDefault="004D6A64">
            <w:pPr>
              <w:rPr>
                <w:rFonts w:ascii="宋体"/>
              </w:rPr>
            </w:pPr>
          </w:p>
        </w:tc>
        <w:tc>
          <w:tcPr>
            <w:tcW w:w="0" w:type="auto"/>
            <w:shd w:val="clear" w:color="auto" w:fill="auto"/>
          </w:tcPr>
          <w:p w14:paraId="33DAA9D9" w14:textId="77777777" w:rsidR="004D6A64" w:rsidRDefault="004D6A64">
            <w:pPr>
              <w:rPr>
                <w:rFonts w:ascii="宋体"/>
              </w:rPr>
            </w:pPr>
          </w:p>
        </w:tc>
        <w:tc>
          <w:tcPr>
            <w:tcW w:w="0" w:type="auto"/>
            <w:shd w:val="clear" w:color="auto" w:fill="auto"/>
          </w:tcPr>
          <w:p w14:paraId="33DAA9DA" w14:textId="77777777" w:rsidR="004D6A64" w:rsidRDefault="004D6A64">
            <w:pPr>
              <w:rPr>
                <w:rFonts w:ascii="宋体"/>
              </w:rPr>
            </w:pPr>
          </w:p>
        </w:tc>
        <w:tc>
          <w:tcPr>
            <w:tcW w:w="0" w:type="auto"/>
            <w:shd w:val="clear" w:color="auto" w:fill="auto"/>
          </w:tcPr>
          <w:p w14:paraId="33DAA9DB" w14:textId="77777777" w:rsidR="004D6A64" w:rsidRDefault="004D6A64">
            <w:pPr>
              <w:rPr>
                <w:rFonts w:ascii="宋体"/>
              </w:rPr>
            </w:pPr>
          </w:p>
        </w:tc>
        <w:tc>
          <w:tcPr>
            <w:tcW w:w="0" w:type="auto"/>
            <w:shd w:val="clear" w:color="auto" w:fill="auto"/>
          </w:tcPr>
          <w:p w14:paraId="33DAA9DC" w14:textId="77777777" w:rsidR="004D6A64" w:rsidRDefault="004D6A64">
            <w:pPr>
              <w:rPr>
                <w:rFonts w:ascii="宋体"/>
              </w:rPr>
            </w:pPr>
          </w:p>
        </w:tc>
        <w:tc>
          <w:tcPr>
            <w:tcW w:w="0" w:type="auto"/>
            <w:shd w:val="clear" w:color="auto" w:fill="auto"/>
          </w:tcPr>
          <w:p w14:paraId="33DAA9DD" w14:textId="77777777" w:rsidR="004D6A64" w:rsidRDefault="004D6A64">
            <w:pPr>
              <w:rPr>
                <w:rFonts w:ascii="宋体"/>
              </w:rPr>
            </w:pPr>
          </w:p>
        </w:tc>
        <w:tc>
          <w:tcPr>
            <w:tcW w:w="0" w:type="auto"/>
            <w:shd w:val="clear" w:color="auto" w:fill="auto"/>
          </w:tcPr>
          <w:p w14:paraId="33DAA9DE" w14:textId="77777777" w:rsidR="004D6A64" w:rsidRDefault="004D6A64">
            <w:pPr>
              <w:rPr>
                <w:rFonts w:ascii="宋体"/>
              </w:rPr>
            </w:pPr>
          </w:p>
        </w:tc>
        <w:tc>
          <w:tcPr>
            <w:tcW w:w="0" w:type="auto"/>
            <w:shd w:val="clear" w:color="auto" w:fill="auto"/>
          </w:tcPr>
          <w:p w14:paraId="33DAA9DF" w14:textId="77777777" w:rsidR="004D6A64" w:rsidRDefault="004D6A64">
            <w:pPr>
              <w:rPr>
                <w:rFonts w:ascii="宋体"/>
              </w:rPr>
            </w:pPr>
          </w:p>
        </w:tc>
      </w:tr>
    </w:tbl>
    <w:p w14:paraId="33DAA9E1" w14:textId="77777777" w:rsidR="004D6A64" w:rsidRDefault="004D6A64">
      <w:pPr>
        <w:jc w:val="center"/>
      </w:pPr>
    </w:p>
    <w:p w14:paraId="33DAA9E2" w14:textId="77777777" w:rsidR="004D6A64" w:rsidRDefault="00506CD6">
      <w:pPr>
        <w:jc w:val="center"/>
      </w:pPr>
      <w:r>
        <w:rPr>
          <w:rFonts w:ascii="Times New Roman" w:eastAsia="宋体" w:hAnsi="Times New Roman"/>
          <w:color w:val="000000"/>
          <w:sz w:val="20"/>
          <w:szCs w:val="20"/>
        </w:rPr>
        <w:t>22</w:t>
      </w:r>
    </w:p>
    <w:p w14:paraId="33DAA9E3" w14:textId="77777777" w:rsidR="004D6A64" w:rsidRDefault="004D6A64">
      <w:pPr>
        <w:jc w:val="center"/>
      </w:pPr>
    </w:p>
    <w:p w14:paraId="33DAA9E4" w14:textId="77777777" w:rsidR="004D6A64" w:rsidRDefault="00506CD6">
      <w:r>
        <w:pict w14:anchorId="33DAFADA">
          <v:rect id="_x0000_i1046" style="width:415.3pt;height:1.5pt" o:hralign="center" o:hrstd="t" o:hr="t" fillcolor="#a0a0a0" stroked="f"/>
        </w:pict>
      </w:r>
    </w:p>
    <w:p w14:paraId="33DAA9E5" w14:textId="77777777" w:rsidR="004D6A64" w:rsidRDefault="00506CD6">
      <w:hyperlink r:id="rId145" w:anchor="if3e0e1bf9ecd4bf69551d7a85f98d64a_10" w:history="1">
        <w:r>
          <w:rPr>
            <w:rStyle w:val="a5"/>
            <w:rFonts w:ascii="Times New Roman" w:eastAsia="宋体" w:hAnsi="Times New Roman"/>
            <w:sz w:val="20"/>
            <w:szCs w:val="20"/>
          </w:rPr>
          <w:t>Table of Contents</w:t>
        </w:r>
      </w:hyperlink>
    </w:p>
    <w:p w14:paraId="33DAA9E6"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A9E7"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33DAA9E8"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A9E9" w14:textId="77777777" w:rsidR="004D6A64" w:rsidRDefault="004D6A64">
      <w:pPr>
        <w:jc w:val="center"/>
      </w:pPr>
    </w:p>
    <w:p w14:paraId="33DAA9EA" w14:textId="77777777" w:rsidR="004D6A64" w:rsidRDefault="004D6A64">
      <w:pPr>
        <w:pBdr>
          <w:left w:val="none" w:sz="0" w:space="0" w:color="auto"/>
        </w:pBdr>
        <w:ind w:hanging="360"/>
      </w:pPr>
    </w:p>
    <w:tbl>
      <w:tblPr>
        <w:tblW w:w="5000" w:type="pct"/>
        <w:tblCellMar>
          <w:top w:w="15" w:type="dxa"/>
          <w:left w:w="15" w:type="dxa"/>
          <w:bottom w:w="15" w:type="dxa"/>
          <w:right w:w="15" w:type="dxa"/>
        </w:tblCellMar>
        <w:tblLook w:val="04A0" w:firstRow="1" w:lastRow="0" w:firstColumn="1" w:lastColumn="0" w:noHBand="0" w:noVBand="1"/>
      </w:tblPr>
      <w:tblGrid>
        <w:gridCol w:w="39"/>
        <w:gridCol w:w="1569"/>
        <w:gridCol w:w="38"/>
        <w:gridCol w:w="136"/>
        <w:gridCol w:w="802"/>
        <w:gridCol w:w="41"/>
        <w:gridCol w:w="36"/>
        <w:gridCol w:w="36"/>
        <w:gridCol w:w="36"/>
        <w:gridCol w:w="136"/>
        <w:gridCol w:w="892"/>
        <w:gridCol w:w="41"/>
        <w:gridCol w:w="36"/>
        <w:gridCol w:w="36"/>
        <w:gridCol w:w="36"/>
        <w:gridCol w:w="135"/>
        <w:gridCol w:w="365"/>
        <w:gridCol w:w="41"/>
        <w:gridCol w:w="36"/>
        <w:gridCol w:w="36"/>
        <w:gridCol w:w="36"/>
        <w:gridCol w:w="136"/>
        <w:gridCol w:w="802"/>
        <w:gridCol w:w="41"/>
        <w:gridCol w:w="36"/>
        <w:gridCol w:w="36"/>
        <w:gridCol w:w="36"/>
        <w:gridCol w:w="136"/>
        <w:gridCol w:w="892"/>
        <w:gridCol w:w="41"/>
        <w:gridCol w:w="36"/>
        <w:gridCol w:w="36"/>
        <w:gridCol w:w="36"/>
        <w:gridCol w:w="135"/>
        <w:gridCol w:w="365"/>
        <w:gridCol w:w="4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4D6A64" w14:paraId="33DAAA0F" w14:textId="77777777">
        <w:trPr>
          <w:gridAfter w:val="27"/>
        </w:trPr>
        <w:tc>
          <w:tcPr>
            <w:tcW w:w="50" w:type="pct"/>
            <w:shd w:val="clear" w:color="auto" w:fill="auto"/>
          </w:tcPr>
          <w:p w14:paraId="33DAA9EB" w14:textId="77777777" w:rsidR="004D6A64" w:rsidRDefault="004D6A64">
            <w:pPr>
              <w:rPr>
                <w:rFonts w:ascii="宋体"/>
              </w:rPr>
            </w:pPr>
          </w:p>
        </w:tc>
        <w:tc>
          <w:tcPr>
            <w:tcW w:w="1757" w:type="pct"/>
            <w:shd w:val="clear" w:color="auto" w:fill="auto"/>
          </w:tcPr>
          <w:p w14:paraId="33DAA9EC" w14:textId="77777777" w:rsidR="004D6A64" w:rsidRDefault="004D6A64">
            <w:pPr>
              <w:rPr>
                <w:rFonts w:ascii="宋体"/>
              </w:rPr>
            </w:pPr>
          </w:p>
        </w:tc>
        <w:tc>
          <w:tcPr>
            <w:tcW w:w="5" w:type="pct"/>
            <w:shd w:val="clear" w:color="auto" w:fill="auto"/>
          </w:tcPr>
          <w:p w14:paraId="33DAA9ED" w14:textId="77777777" w:rsidR="004D6A64" w:rsidRDefault="004D6A64">
            <w:pPr>
              <w:rPr>
                <w:rFonts w:ascii="宋体"/>
              </w:rPr>
            </w:pPr>
          </w:p>
        </w:tc>
        <w:tc>
          <w:tcPr>
            <w:tcW w:w="50" w:type="pct"/>
            <w:shd w:val="clear" w:color="auto" w:fill="auto"/>
          </w:tcPr>
          <w:p w14:paraId="33DAA9EE" w14:textId="77777777" w:rsidR="004D6A64" w:rsidRDefault="004D6A64">
            <w:pPr>
              <w:rPr>
                <w:rFonts w:ascii="宋体"/>
              </w:rPr>
            </w:pPr>
          </w:p>
        </w:tc>
        <w:tc>
          <w:tcPr>
            <w:tcW w:w="471" w:type="pct"/>
            <w:shd w:val="clear" w:color="auto" w:fill="auto"/>
          </w:tcPr>
          <w:p w14:paraId="33DAA9EF" w14:textId="77777777" w:rsidR="004D6A64" w:rsidRDefault="004D6A64">
            <w:pPr>
              <w:rPr>
                <w:rFonts w:ascii="宋体"/>
              </w:rPr>
            </w:pPr>
          </w:p>
        </w:tc>
        <w:tc>
          <w:tcPr>
            <w:tcW w:w="5" w:type="pct"/>
            <w:shd w:val="clear" w:color="auto" w:fill="auto"/>
          </w:tcPr>
          <w:p w14:paraId="33DAA9F0" w14:textId="77777777" w:rsidR="004D6A64" w:rsidRDefault="004D6A64">
            <w:pPr>
              <w:rPr>
                <w:rFonts w:ascii="宋体"/>
              </w:rPr>
            </w:pPr>
          </w:p>
        </w:tc>
        <w:tc>
          <w:tcPr>
            <w:tcW w:w="5" w:type="pct"/>
            <w:shd w:val="clear" w:color="auto" w:fill="auto"/>
          </w:tcPr>
          <w:p w14:paraId="33DAA9F1" w14:textId="77777777" w:rsidR="004D6A64" w:rsidRDefault="004D6A64">
            <w:pPr>
              <w:rPr>
                <w:rFonts w:ascii="宋体"/>
              </w:rPr>
            </w:pPr>
          </w:p>
        </w:tc>
        <w:tc>
          <w:tcPr>
            <w:tcW w:w="19" w:type="pct"/>
            <w:shd w:val="clear" w:color="auto" w:fill="auto"/>
          </w:tcPr>
          <w:p w14:paraId="33DAA9F2" w14:textId="77777777" w:rsidR="004D6A64" w:rsidRDefault="004D6A64">
            <w:pPr>
              <w:rPr>
                <w:rFonts w:ascii="宋体"/>
              </w:rPr>
            </w:pPr>
          </w:p>
        </w:tc>
        <w:tc>
          <w:tcPr>
            <w:tcW w:w="5" w:type="pct"/>
            <w:shd w:val="clear" w:color="auto" w:fill="auto"/>
          </w:tcPr>
          <w:p w14:paraId="33DAA9F3" w14:textId="77777777" w:rsidR="004D6A64" w:rsidRDefault="004D6A64">
            <w:pPr>
              <w:rPr>
                <w:rFonts w:ascii="宋体"/>
              </w:rPr>
            </w:pPr>
          </w:p>
        </w:tc>
        <w:tc>
          <w:tcPr>
            <w:tcW w:w="50" w:type="pct"/>
            <w:shd w:val="clear" w:color="auto" w:fill="auto"/>
          </w:tcPr>
          <w:p w14:paraId="33DAA9F4" w14:textId="77777777" w:rsidR="004D6A64" w:rsidRDefault="004D6A64">
            <w:pPr>
              <w:rPr>
                <w:rFonts w:ascii="宋体"/>
              </w:rPr>
            </w:pPr>
          </w:p>
        </w:tc>
        <w:tc>
          <w:tcPr>
            <w:tcW w:w="471" w:type="pct"/>
            <w:shd w:val="clear" w:color="auto" w:fill="auto"/>
          </w:tcPr>
          <w:p w14:paraId="33DAA9F5" w14:textId="77777777" w:rsidR="004D6A64" w:rsidRDefault="004D6A64">
            <w:pPr>
              <w:rPr>
                <w:rFonts w:ascii="宋体"/>
              </w:rPr>
            </w:pPr>
          </w:p>
        </w:tc>
        <w:tc>
          <w:tcPr>
            <w:tcW w:w="5" w:type="pct"/>
            <w:shd w:val="clear" w:color="auto" w:fill="auto"/>
          </w:tcPr>
          <w:p w14:paraId="33DAA9F6" w14:textId="77777777" w:rsidR="004D6A64" w:rsidRDefault="004D6A64">
            <w:pPr>
              <w:rPr>
                <w:rFonts w:ascii="宋体"/>
              </w:rPr>
            </w:pPr>
          </w:p>
        </w:tc>
        <w:tc>
          <w:tcPr>
            <w:tcW w:w="5" w:type="pct"/>
            <w:shd w:val="clear" w:color="auto" w:fill="auto"/>
          </w:tcPr>
          <w:p w14:paraId="33DAA9F7" w14:textId="77777777" w:rsidR="004D6A64" w:rsidRDefault="004D6A64">
            <w:pPr>
              <w:rPr>
                <w:rFonts w:ascii="宋体"/>
              </w:rPr>
            </w:pPr>
          </w:p>
        </w:tc>
        <w:tc>
          <w:tcPr>
            <w:tcW w:w="19" w:type="pct"/>
            <w:shd w:val="clear" w:color="auto" w:fill="auto"/>
          </w:tcPr>
          <w:p w14:paraId="33DAA9F8" w14:textId="77777777" w:rsidR="004D6A64" w:rsidRDefault="004D6A64">
            <w:pPr>
              <w:rPr>
                <w:rFonts w:ascii="宋体"/>
              </w:rPr>
            </w:pPr>
          </w:p>
        </w:tc>
        <w:tc>
          <w:tcPr>
            <w:tcW w:w="5" w:type="pct"/>
            <w:shd w:val="clear" w:color="auto" w:fill="auto"/>
          </w:tcPr>
          <w:p w14:paraId="33DAA9F9" w14:textId="77777777" w:rsidR="004D6A64" w:rsidRDefault="004D6A64">
            <w:pPr>
              <w:rPr>
                <w:rFonts w:ascii="宋体"/>
              </w:rPr>
            </w:pPr>
          </w:p>
        </w:tc>
        <w:tc>
          <w:tcPr>
            <w:tcW w:w="50" w:type="pct"/>
            <w:shd w:val="clear" w:color="auto" w:fill="auto"/>
          </w:tcPr>
          <w:p w14:paraId="33DAA9FA" w14:textId="77777777" w:rsidR="004D6A64" w:rsidRDefault="004D6A64">
            <w:pPr>
              <w:rPr>
                <w:rFonts w:ascii="宋体"/>
              </w:rPr>
            </w:pPr>
          </w:p>
        </w:tc>
        <w:tc>
          <w:tcPr>
            <w:tcW w:w="412" w:type="pct"/>
            <w:shd w:val="clear" w:color="auto" w:fill="auto"/>
          </w:tcPr>
          <w:p w14:paraId="33DAA9FB" w14:textId="77777777" w:rsidR="004D6A64" w:rsidRDefault="004D6A64">
            <w:pPr>
              <w:rPr>
                <w:rFonts w:ascii="宋体"/>
              </w:rPr>
            </w:pPr>
          </w:p>
        </w:tc>
        <w:tc>
          <w:tcPr>
            <w:tcW w:w="5" w:type="pct"/>
            <w:shd w:val="clear" w:color="auto" w:fill="auto"/>
          </w:tcPr>
          <w:p w14:paraId="33DAA9FC" w14:textId="77777777" w:rsidR="004D6A64" w:rsidRDefault="004D6A64">
            <w:pPr>
              <w:rPr>
                <w:rFonts w:ascii="宋体"/>
              </w:rPr>
            </w:pPr>
          </w:p>
        </w:tc>
        <w:tc>
          <w:tcPr>
            <w:tcW w:w="5" w:type="pct"/>
            <w:shd w:val="clear" w:color="auto" w:fill="auto"/>
          </w:tcPr>
          <w:p w14:paraId="33DAA9FD" w14:textId="77777777" w:rsidR="004D6A64" w:rsidRDefault="004D6A64">
            <w:pPr>
              <w:rPr>
                <w:rFonts w:ascii="宋体"/>
              </w:rPr>
            </w:pPr>
          </w:p>
        </w:tc>
        <w:tc>
          <w:tcPr>
            <w:tcW w:w="19" w:type="pct"/>
            <w:shd w:val="clear" w:color="auto" w:fill="auto"/>
          </w:tcPr>
          <w:p w14:paraId="33DAA9FE" w14:textId="77777777" w:rsidR="004D6A64" w:rsidRDefault="004D6A64">
            <w:pPr>
              <w:rPr>
                <w:rFonts w:ascii="宋体"/>
              </w:rPr>
            </w:pPr>
          </w:p>
        </w:tc>
        <w:tc>
          <w:tcPr>
            <w:tcW w:w="5" w:type="pct"/>
            <w:shd w:val="clear" w:color="auto" w:fill="auto"/>
          </w:tcPr>
          <w:p w14:paraId="33DAA9FF" w14:textId="77777777" w:rsidR="004D6A64" w:rsidRDefault="004D6A64">
            <w:pPr>
              <w:rPr>
                <w:rFonts w:ascii="宋体"/>
              </w:rPr>
            </w:pPr>
          </w:p>
        </w:tc>
        <w:tc>
          <w:tcPr>
            <w:tcW w:w="50" w:type="pct"/>
            <w:shd w:val="clear" w:color="auto" w:fill="auto"/>
          </w:tcPr>
          <w:p w14:paraId="33DAAA00" w14:textId="77777777" w:rsidR="004D6A64" w:rsidRDefault="004D6A64">
            <w:pPr>
              <w:rPr>
                <w:rFonts w:ascii="宋体"/>
              </w:rPr>
            </w:pPr>
          </w:p>
        </w:tc>
        <w:tc>
          <w:tcPr>
            <w:tcW w:w="471" w:type="pct"/>
            <w:shd w:val="clear" w:color="auto" w:fill="auto"/>
          </w:tcPr>
          <w:p w14:paraId="33DAAA01" w14:textId="77777777" w:rsidR="004D6A64" w:rsidRDefault="004D6A64">
            <w:pPr>
              <w:rPr>
                <w:rFonts w:ascii="宋体"/>
              </w:rPr>
            </w:pPr>
          </w:p>
        </w:tc>
        <w:tc>
          <w:tcPr>
            <w:tcW w:w="5" w:type="pct"/>
            <w:shd w:val="clear" w:color="auto" w:fill="auto"/>
          </w:tcPr>
          <w:p w14:paraId="33DAAA02" w14:textId="77777777" w:rsidR="004D6A64" w:rsidRDefault="004D6A64">
            <w:pPr>
              <w:rPr>
                <w:rFonts w:ascii="宋体"/>
              </w:rPr>
            </w:pPr>
          </w:p>
        </w:tc>
        <w:tc>
          <w:tcPr>
            <w:tcW w:w="5" w:type="pct"/>
            <w:shd w:val="clear" w:color="auto" w:fill="auto"/>
          </w:tcPr>
          <w:p w14:paraId="33DAAA03" w14:textId="77777777" w:rsidR="004D6A64" w:rsidRDefault="004D6A64">
            <w:pPr>
              <w:rPr>
                <w:rFonts w:ascii="宋体"/>
              </w:rPr>
            </w:pPr>
          </w:p>
        </w:tc>
        <w:tc>
          <w:tcPr>
            <w:tcW w:w="19" w:type="pct"/>
            <w:shd w:val="clear" w:color="auto" w:fill="auto"/>
          </w:tcPr>
          <w:p w14:paraId="33DAAA04" w14:textId="77777777" w:rsidR="004D6A64" w:rsidRDefault="004D6A64">
            <w:pPr>
              <w:rPr>
                <w:rFonts w:ascii="宋体"/>
              </w:rPr>
            </w:pPr>
          </w:p>
        </w:tc>
        <w:tc>
          <w:tcPr>
            <w:tcW w:w="5" w:type="pct"/>
            <w:shd w:val="clear" w:color="auto" w:fill="auto"/>
          </w:tcPr>
          <w:p w14:paraId="33DAAA05" w14:textId="77777777" w:rsidR="004D6A64" w:rsidRDefault="004D6A64">
            <w:pPr>
              <w:rPr>
                <w:rFonts w:ascii="宋体"/>
              </w:rPr>
            </w:pPr>
          </w:p>
        </w:tc>
        <w:tc>
          <w:tcPr>
            <w:tcW w:w="50" w:type="pct"/>
            <w:shd w:val="clear" w:color="auto" w:fill="auto"/>
          </w:tcPr>
          <w:p w14:paraId="33DAAA06" w14:textId="77777777" w:rsidR="004D6A64" w:rsidRDefault="004D6A64">
            <w:pPr>
              <w:rPr>
                <w:rFonts w:ascii="宋体"/>
              </w:rPr>
            </w:pPr>
          </w:p>
        </w:tc>
        <w:tc>
          <w:tcPr>
            <w:tcW w:w="471" w:type="pct"/>
            <w:shd w:val="clear" w:color="auto" w:fill="auto"/>
          </w:tcPr>
          <w:p w14:paraId="33DAAA07" w14:textId="77777777" w:rsidR="004D6A64" w:rsidRDefault="004D6A64">
            <w:pPr>
              <w:rPr>
                <w:rFonts w:ascii="宋体"/>
              </w:rPr>
            </w:pPr>
          </w:p>
        </w:tc>
        <w:tc>
          <w:tcPr>
            <w:tcW w:w="5" w:type="pct"/>
            <w:shd w:val="clear" w:color="auto" w:fill="auto"/>
          </w:tcPr>
          <w:p w14:paraId="33DAAA08" w14:textId="77777777" w:rsidR="004D6A64" w:rsidRDefault="004D6A64">
            <w:pPr>
              <w:rPr>
                <w:rFonts w:ascii="宋体"/>
              </w:rPr>
            </w:pPr>
          </w:p>
        </w:tc>
        <w:tc>
          <w:tcPr>
            <w:tcW w:w="5" w:type="pct"/>
            <w:shd w:val="clear" w:color="auto" w:fill="auto"/>
          </w:tcPr>
          <w:p w14:paraId="33DAAA09" w14:textId="77777777" w:rsidR="004D6A64" w:rsidRDefault="004D6A64">
            <w:pPr>
              <w:rPr>
                <w:rFonts w:ascii="宋体"/>
              </w:rPr>
            </w:pPr>
          </w:p>
        </w:tc>
        <w:tc>
          <w:tcPr>
            <w:tcW w:w="19" w:type="pct"/>
            <w:shd w:val="clear" w:color="auto" w:fill="auto"/>
          </w:tcPr>
          <w:p w14:paraId="33DAAA0A" w14:textId="77777777" w:rsidR="004D6A64" w:rsidRDefault="004D6A64">
            <w:pPr>
              <w:rPr>
                <w:rFonts w:ascii="宋体"/>
              </w:rPr>
            </w:pPr>
          </w:p>
        </w:tc>
        <w:tc>
          <w:tcPr>
            <w:tcW w:w="5" w:type="pct"/>
            <w:shd w:val="clear" w:color="auto" w:fill="auto"/>
          </w:tcPr>
          <w:p w14:paraId="33DAAA0B" w14:textId="77777777" w:rsidR="004D6A64" w:rsidRDefault="004D6A64">
            <w:pPr>
              <w:rPr>
                <w:rFonts w:ascii="宋体"/>
              </w:rPr>
            </w:pPr>
          </w:p>
        </w:tc>
        <w:tc>
          <w:tcPr>
            <w:tcW w:w="50" w:type="pct"/>
            <w:shd w:val="clear" w:color="auto" w:fill="auto"/>
          </w:tcPr>
          <w:p w14:paraId="33DAAA0C" w14:textId="77777777" w:rsidR="004D6A64" w:rsidRDefault="004D6A64">
            <w:pPr>
              <w:rPr>
                <w:rFonts w:ascii="宋体"/>
              </w:rPr>
            </w:pPr>
          </w:p>
        </w:tc>
        <w:tc>
          <w:tcPr>
            <w:tcW w:w="413" w:type="pct"/>
            <w:shd w:val="clear" w:color="auto" w:fill="auto"/>
          </w:tcPr>
          <w:p w14:paraId="33DAAA0D" w14:textId="77777777" w:rsidR="004D6A64" w:rsidRDefault="004D6A64">
            <w:pPr>
              <w:rPr>
                <w:rFonts w:ascii="宋体"/>
              </w:rPr>
            </w:pPr>
          </w:p>
        </w:tc>
        <w:tc>
          <w:tcPr>
            <w:tcW w:w="5" w:type="pct"/>
            <w:shd w:val="clear" w:color="auto" w:fill="auto"/>
          </w:tcPr>
          <w:p w14:paraId="33DAAA0E" w14:textId="77777777" w:rsidR="004D6A64" w:rsidRDefault="004D6A64">
            <w:pPr>
              <w:rPr>
                <w:rFonts w:ascii="宋体"/>
              </w:rPr>
            </w:pPr>
          </w:p>
        </w:tc>
      </w:tr>
      <w:tr w:rsidR="004D6A64" w14:paraId="33DAAA1C" w14:textId="77777777">
        <w:tc>
          <w:tcPr>
            <w:tcW w:w="0" w:type="auto"/>
            <w:gridSpan w:val="3"/>
            <w:shd w:val="clear" w:color="auto" w:fill="auto"/>
            <w:tcMar>
              <w:left w:w="20" w:type="dxa"/>
              <w:right w:w="20" w:type="dxa"/>
            </w:tcMar>
            <w:vAlign w:val="bottom"/>
          </w:tcPr>
          <w:p w14:paraId="33DAAA10" w14:textId="77777777" w:rsidR="004D6A64" w:rsidRDefault="004D6A64">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center"/>
          </w:tcPr>
          <w:p w14:paraId="33DAAA11" w14:textId="77777777" w:rsidR="004D6A64" w:rsidRDefault="00506CD6">
            <w:pPr>
              <w:jc w:val="center"/>
              <w:textAlignment w:val="center"/>
            </w:pPr>
            <w:r>
              <w:rPr>
                <w:rFonts w:ascii="Times New Roman" w:eastAsia="宋体" w:hAnsi="Times New Roman"/>
                <w:b/>
                <w:bCs/>
                <w:color w:val="000000"/>
                <w:sz w:val="20"/>
                <w:szCs w:val="20"/>
              </w:rPr>
              <w:t>Six Months Ended</w:t>
            </w:r>
          </w:p>
        </w:tc>
        <w:tc>
          <w:tcPr>
            <w:tcW w:w="0" w:type="auto"/>
            <w:gridSpan w:val="3"/>
            <w:shd w:val="clear" w:color="auto" w:fill="auto"/>
          </w:tcPr>
          <w:p w14:paraId="33DAAA12" w14:textId="77777777" w:rsidR="004D6A64" w:rsidRDefault="004D6A64">
            <w:pPr>
              <w:rPr>
                <w:rFonts w:ascii="宋体"/>
                <w:vanish/>
              </w:rPr>
            </w:pPr>
          </w:p>
        </w:tc>
        <w:tc>
          <w:tcPr>
            <w:tcW w:w="0" w:type="auto"/>
            <w:gridSpan w:val="3"/>
            <w:shd w:val="clear" w:color="auto" w:fill="auto"/>
          </w:tcPr>
          <w:p w14:paraId="33DAAA13" w14:textId="77777777" w:rsidR="004D6A64" w:rsidRDefault="004D6A64">
            <w:pPr>
              <w:rPr>
                <w:rFonts w:ascii="宋体"/>
                <w:vanish/>
              </w:rPr>
            </w:pPr>
          </w:p>
        </w:tc>
        <w:tc>
          <w:tcPr>
            <w:tcW w:w="0" w:type="auto"/>
            <w:gridSpan w:val="3"/>
            <w:shd w:val="clear" w:color="auto" w:fill="auto"/>
          </w:tcPr>
          <w:p w14:paraId="33DAAA14" w14:textId="77777777" w:rsidR="004D6A64" w:rsidRDefault="004D6A64">
            <w:pPr>
              <w:rPr>
                <w:rFonts w:ascii="宋体"/>
                <w:vanish/>
              </w:rPr>
            </w:pPr>
          </w:p>
        </w:tc>
        <w:tc>
          <w:tcPr>
            <w:tcW w:w="0" w:type="auto"/>
            <w:gridSpan w:val="3"/>
            <w:shd w:val="clear" w:color="auto" w:fill="auto"/>
          </w:tcPr>
          <w:p w14:paraId="33DAAA15" w14:textId="77777777" w:rsidR="004D6A64" w:rsidRDefault="004D6A64">
            <w:pPr>
              <w:rPr>
                <w:rFonts w:ascii="宋体"/>
                <w:vanish/>
              </w:rPr>
            </w:pPr>
          </w:p>
        </w:tc>
        <w:tc>
          <w:tcPr>
            <w:tcW w:w="0" w:type="auto"/>
            <w:gridSpan w:val="3"/>
            <w:shd w:val="clear" w:color="auto" w:fill="auto"/>
          </w:tcPr>
          <w:p w14:paraId="33DAAA16" w14:textId="77777777" w:rsidR="004D6A64" w:rsidRDefault="004D6A64">
            <w:pPr>
              <w:rPr>
                <w:rFonts w:ascii="宋体"/>
                <w:vanish/>
              </w:rPr>
            </w:pPr>
          </w:p>
        </w:tc>
        <w:tc>
          <w:tcPr>
            <w:tcW w:w="0" w:type="auto"/>
            <w:gridSpan w:val="3"/>
            <w:shd w:val="clear" w:color="auto" w:fill="auto"/>
          </w:tcPr>
          <w:p w14:paraId="33DAAA17" w14:textId="77777777" w:rsidR="004D6A64" w:rsidRDefault="004D6A64">
            <w:pPr>
              <w:rPr>
                <w:rFonts w:ascii="宋体"/>
                <w:vanish/>
              </w:rPr>
            </w:pPr>
          </w:p>
        </w:tc>
        <w:tc>
          <w:tcPr>
            <w:tcW w:w="0" w:type="auto"/>
            <w:gridSpan w:val="3"/>
            <w:shd w:val="clear" w:color="auto" w:fill="auto"/>
          </w:tcPr>
          <w:p w14:paraId="33DAAA18" w14:textId="77777777" w:rsidR="004D6A64" w:rsidRDefault="004D6A64">
            <w:pPr>
              <w:rPr>
                <w:rFonts w:ascii="宋体"/>
                <w:vanish/>
              </w:rPr>
            </w:pPr>
          </w:p>
        </w:tc>
        <w:tc>
          <w:tcPr>
            <w:tcW w:w="0" w:type="auto"/>
            <w:gridSpan w:val="3"/>
            <w:shd w:val="clear" w:color="auto" w:fill="auto"/>
          </w:tcPr>
          <w:p w14:paraId="33DAAA19" w14:textId="77777777" w:rsidR="004D6A64" w:rsidRDefault="004D6A64">
            <w:pPr>
              <w:rPr>
                <w:rFonts w:ascii="宋体"/>
                <w:vanish/>
              </w:rPr>
            </w:pPr>
          </w:p>
        </w:tc>
        <w:tc>
          <w:tcPr>
            <w:tcW w:w="0" w:type="auto"/>
            <w:gridSpan w:val="2"/>
            <w:shd w:val="clear" w:color="auto" w:fill="auto"/>
          </w:tcPr>
          <w:p w14:paraId="33DAAA1A" w14:textId="77777777" w:rsidR="004D6A64" w:rsidRDefault="004D6A64">
            <w:pPr>
              <w:rPr>
                <w:rFonts w:ascii="宋体"/>
                <w:vanish/>
              </w:rPr>
            </w:pPr>
          </w:p>
        </w:tc>
        <w:tc>
          <w:tcPr>
            <w:tcW w:w="0" w:type="auto"/>
            <w:shd w:val="clear" w:color="auto" w:fill="auto"/>
          </w:tcPr>
          <w:p w14:paraId="33DAAA1B" w14:textId="77777777" w:rsidR="004D6A64" w:rsidRDefault="004D6A64">
            <w:pPr>
              <w:rPr>
                <w:rFonts w:ascii="宋体"/>
                <w:vanish/>
              </w:rPr>
            </w:pPr>
          </w:p>
        </w:tc>
      </w:tr>
      <w:tr w:rsidR="004D6A64" w14:paraId="33DAAA2C" w14:textId="77777777">
        <w:tc>
          <w:tcPr>
            <w:tcW w:w="0" w:type="auto"/>
            <w:gridSpan w:val="3"/>
            <w:shd w:val="clear" w:color="auto" w:fill="auto"/>
            <w:tcMar>
              <w:left w:w="20" w:type="dxa"/>
              <w:right w:w="20" w:type="dxa"/>
            </w:tcMar>
            <w:vAlign w:val="bottom"/>
          </w:tcPr>
          <w:p w14:paraId="33DAAA1D" w14:textId="77777777" w:rsidR="004D6A64" w:rsidRDefault="004D6A64">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center"/>
          </w:tcPr>
          <w:p w14:paraId="33DAAA1E" w14:textId="77777777" w:rsidR="004D6A64" w:rsidRDefault="00506CD6">
            <w:pPr>
              <w:jc w:val="center"/>
              <w:textAlignment w:val="center"/>
            </w:pPr>
            <w:r>
              <w:rPr>
                <w:rFonts w:ascii="Times New Roman" w:eastAsia="宋体" w:hAnsi="Times New Roman"/>
                <w:b/>
                <w:bCs/>
                <w:color w:val="000000"/>
                <w:sz w:val="20"/>
                <w:szCs w:val="20"/>
              </w:rPr>
              <w:t>July 31, 2020</w:t>
            </w:r>
          </w:p>
        </w:tc>
        <w:tc>
          <w:tcPr>
            <w:tcW w:w="0" w:type="auto"/>
            <w:gridSpan w:val="3"/>
            <w:shd w:val="clear" w:color="auto" w:fill="auto"/>
          </w:tcPr>
          <w:p w14:paraId="33DAAA1F" w14:textId="77777777" w:rsidR="004D6A64" w:rsidRDefault="004D6A64">
            <w:pPr>
              <w:rPr>
                <w:rFonts w:ascii="宋体"/>
                <w:vanish/>
              </w:rPr>
            </w:pPr>
          </w:p>
        </w:tc>
        <w:tc>
          <w:tcPr>
            <w:tcW w:w="0" w:type="auto"/>
            <w:gridSpan w:val="3"/>
            <w:shd w:val="clear" w:color="auto" w:fill="auto"/>
          </w:tcPr>
          <w:p w14:paraId="33DAAA20" w14:textId="77777777" w:rsidR="004D6A64" w:rsidRDefault="004D6A64">
            <w:pPr>
              <w:rPr>
                <w:rFonts w:ascii="宋体"/>
                <w:vanish/>
              </w:rPr>
            </w:pPr>
          </w:p>
        </w:tc>
        <w:tc>
          <w:tcPr>
            <w:tcW w:w="0" w:type="auto"/>
            <w:gridSpan w:val="3"/>
            <w:shd w:val="clear" w:color="auto" w:fill="auto"/>
          </w:tcPr>
          <w:p w14:paraId="33DAAA21" w14:textId="77777777" w:rsidR="004D6A64" w:rsidRDefault="004D6A64">
            <w:pPr>
              <w:rPr>
                <w:rFonts w:ascii="宋体"/>
                <w:vanish/>
              </w:rPr>
            </w:pPr>
          </w:p>
        </w:tc>
        <w:tc>
          <w:tcPr>
            <w:tcW w:w="0" w:type="auto"/>
            <w:gridSpan w:val="3"/>
            <w:shd w:val="clear" w:color="auto" w:fill="auto"/>
          </w:tcPr>
          <w:p w14:paraId="33DAAA22" w14:textId="77777777" w:rsidR="004D6A64" w:rsidRDefault="004D6A64">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33DAAA23" w14:textId="77777777" w:rsidR="004D6A64" w:rsidRDefault="004D6A64">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center"/>
          </w:tcPr>
          <w:p w14:paraId="33DAAA24" w14:textId="77777777" w:rsidR="004D6A64" w:rsidRDefault="00506CD6">
            <w:pPr>
              <w:jc w:val="center"/>
              <w:textAlignment w:val="center"/>
            </w:pPr>
            <w:r>
              <w:rPr>
                <w:rFonts w:ascii="Times New Roman" w:eastAsia="宋体" w:hAnsi="Times New Roman"/>
                <w:b/>
                <w:bCs/>
                <w:color w:val="000000"/>
                <w:sz w:val="20"/>
                <w:szCs w:val="20"/>
              </w:rPr>
              <w:t>August 2, 2019</w:t>
            </w:r>
          </w:p>
        </w:tc>
        <w:tc>
          <w:tcPr>
            <w:tcW w:w="0" w:type="auto"/>
            <w:gridSpan w:val="3"/>
            <w:shd w:val="clear" w:color="auto" w:fill="auto"/>
          </w:tcPr>
          <w:p w14:paraId="33DAAA25" w14:textId="77777777" w:rsidR="004D6A64" w:rsidRDefault="004D6A64">
            <w:pPr>
              <w:rPr>
                <w:rFonts w:ascii="宋体"/>
                <w:vanish/>
              </w:rPr>
            </w:pPr>
          </w:p>
        </w:tc>
        <w:tc>
          <w:tcPr>
            <w:tcW w:w="0" w:type="auto"/>
            <w:gridSpan w:val="3"/>
            <w:shd w:val="clear" w:color="auto" w:fill="auto"/>
          </w:tcPr>
          <w:p w14:paraId="33DAAA26" w14:textId="77777777" w:rsidR="004D6A64" w:rsidRDefault="004D6A64">
            <w:pPr>
              <w:rPr>
                <w:rFonts w:ascii="宋体"/>
                <w:vanish/>
              </w:rPr>
            </w:pPr>
          </w:p>
        </w:tc>
        <w:tc>
          <w:tcPr>
            <w:tcW w:w="0" w:type="auto"/>
            <w:gridSpan w:val="3"/>
            <w:shd w:val="clear" w:color="auto" w:fill="auto"/>
          </w:tcPr>
          <w:p w14:paraId="33DAAA27" w14:textId="77777777" w:rsidR="004D6A64" w:rsidRDefault="004D6A64">
            <w:pPr>
              <w:rPr>
                <w:rFonts w:ascii="宋体"/>
                <w:vanish/>
              </w:rPr>
            </w:pPr>
          </w:p>
        </w:tc>
        <w:tc>
          <w:tcPr>
            <w:tcW w:w="0" w:type="auto"/>
            <w:gridSpan w:val="3"/>
            <w:shd w:val="clear" w:color="auto" w:fill="auto"/>
          </w:tcPr>
          <w:p w14:paraId="33DAAA28" w14:textId="77777777" w:rsidR="004D6A64" w:rsidRDefault="004D6A64">
            <w:pPr>
              <w:rPr>
                <w:rFonts w:ascii="宋体"/>
                <w:vanish/>
              </w:rPr>
            </w:pPr>
          </w:p>
        </w:tc>
        <w:tc>
          <w:tcPr>
            <w:tcW w:w="0" w:type="auto"/>
            <w:shd w:val="clear" w:color="auto" w:fill="auto"/>
          </w:tcPr>
          <w:p w14:paraId="33DAAA29" w14:textId="77777777" w:rsidR="004D6A64" w:rsidRDefault="004D6A64">
            <w:pPr>
              <w:rPr>
                <w:rFonts w:ascii="宋体"/>
              </w:rPr>
            </w:pPr>
          </w:p>
        </w:tc>
        <w:tc>
          <w:tcPr>
            <w:tcW w:w="0" w:type="auto"/>
            <w:shd w:val="clear" w:color="auto" w:fill="auto"/>
          </w:tcPr>
          <w:p w14:paraId="33DAAA2A" w14:textId="77777777" w:rsidR="004D6A64" w:rsidRDefault="004D6A64">
            <w:pPr>
              <w:rPr>
                <w:rFonts w:ascii="宋体"/>
              </w:rPr>
            </w:pPr>
          </w:p>
        </w:tc>
        <w:tc>
          <w:tcPr>
            <w:tcW w:w="0" w:type="auto"/>
            <w:shd w:val="clear" w:color="auto" w:fill="auto"/>
          </w:tcPr>
          <w:p w14:paraId="33DAAA2B" w14:textId="77777777" w:rsidR="004D6A64" w:rsidRDefault="004D6A64">
            <w:pPr>
              <w:rPr>
                <w:rFonts w:ascii="宋体"/>
              </w:rPr>
            </w:pPr>
          </w:p>
        </w:tc>
      </w:tr>
      <w:tr w:rsidR="004D6A64" w14:paraId="33DAAA54" w14:textId="77777777">
        <w:tc>
          <w:tcPr>
            <w:tcW w:w="0" w:type="auto"/>
            <w:gridSpan w:val="3"/>
            <w:shd w:val="clear" w:color="auto" w:fill="auto"/>
            <w:tcMar>
              <w:left w:w="20" w:type="dxa"/>
              <w:right w:w="20" w:type="dxa"/>
            </w:tcMar>
            <w:vAlign w:val="bottom"/>
          </w:tcPr>
          <w:p w14:paraId="33DAAA2D"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3DAAA2E" w14:textId="77777777" w:rsidR="004D6A64" w:rsidRDefault="00506CD6">
            <w:pPr>
              <w:jc w:val="center"/>
              <w:textAlignment w:val="center"/>
            </w:pPr>
            <w:r>
              <w:rPr>
                <w:rFonts w:ascii="Times New Roman" w:eastAsia="宋体" w:hAnsi="Times New Roman"/>
                <w:b/>
                <w:bCs/>
                <w:color w:val="000000"/>
                <w:sz w:val="20"/>
                <w:szCs w:val="20"/>
              </w:rPr>
              <w:t>Revolving</w:t>
            </w:r>
          </w:p>
        </w:tc>
        <w:tc>
          <w:tcPr>
            <w:tcW w:w="0" w:type="auto"/>
            <w:gridSpan w:val="3"/>
            <w:tcBorders>
              <w:top w:val="single" w:sz="8" w:space="0" w:color="000000"/>
            </w:tcBorders>
            <w:shd w:val="clear" w:color="auto" w:fill="auto"/>
            <w:tcMar>
              <w:left w:w="20" w:type="dxa"/>
              <w:right w:w="20" w:type="dxa"/>
            </w:tcMar>
            <w:vAlign w:val="bottom"/>
          </w:tcPr>
          <w:p w14:paraId="33DAAA2F"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33DAAA30" w14:textId="77777777" w:rsidR="004D6A64" w:rsidRDefault="00506CD6">
            <w:pPr>
              <w:jc w:val="center"/>
              <w:textAlignment w:val="center"/>
            </w:pPr>
            <w:r>
              <w:rPr>
                <w:rFonts w:ascii="Times New Roman" w:eastAsia="宋体" w:hAnsi="Times New Roman"/>
                <w:b/>
                <w:bCs/>
                <w:color w:val="000000"/>
                <w:sz w:val="20"/>
                <w:szCs w:val="20"/>
              </w:rPr>
              <w:t>Fixed-term</w:t>
            </w:r>
          </w:p>
        </w:tc>
        <w:tc>
          <w:tcPr>
            <w:tcW w:w="0" w:type="auto"/>
            <w:gridSpan w:val="3"/>
            <w:tcBorders>
              <w:top w:val="single" w:sz="8" w:space="0" w:color="000000"/>
            </w:tcBorders>
            <w:shd w:val="clear" w:color="auto" w:fill="auto"/>
            <w:tcMar>
              <w:left w:w="20" w:type="dxa"/>
              <w:right w:w="20" w:type="dxa"/>
            </w:tcMar>
            <w:vAlign w:val="bottom"/>
          </w:tcPr>
          <w:p w14:paraId="33DAAA31"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33DAAA32" w14:textId="77777777" w:rsidR="004D6A64" w:rsidRDefault="00506CD6">
            <w:pPr>
              <w:jc w:val="center"/>
              <w:textAlignment w:val="center"/>
            </w:pPr>
            <w:r>
              <w:rPr>
                <w:rFonts w:ascii="Times New Roman" w:eastAsia="宋体" w:hAnsi="Times New Roman"/>
                <w:b/>
                <w:bCs/>
                <w:color w:val="000000"/>
                <w:sz w:val="20"/>
                <w:szCs w:val="20"/>
              </w:rPr>
              <w:t>Total</w:t>
            </w:r>
          </w:p>
        </w:tc>
        <w:tc>
          <w:tcPr>
            <w:tcW w:w="0" w:type="auto"/>
            <w:gridSpan w:val="3"/>
            <w:shd w:val="clear" w:color="auto" w:fill="auto"/>
            <w:tcMar>
              <w:left w:w="20" w:type="dxa"/>
              <w:right w:w="20" w:type="dxa"/>
            </w:tcMar>
            <w:vAlign w:val="bottom"/>
          </w:tcPr>
          <w:p w14:paraId="33DAAA33"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33DAAA34" w14:textId="77777777" w:rsidR="004D6A64" w:rsidRDefault="00506CD6">
            <w:pPr>
              <w:jc w:val="center"/>
              <w:textAlignment w:val="center"/>
            </w:pPr>
            <w:r>
              <w:rPr>
                <w:rFonts w:ascii="Times New Roman" w:eastAsia="宋体" w:hAnsi="Times New Roman"/>
                <w:b/>
                <w:bCs/>
                <w:color w:val="000000"/>
                <w:sz w:val="20"/>
                <w:szCs w:val="20"/>
              </w:rPr>
              <w:t>Revolving</w:t>
            </w:r>
          </w:p>
        </w:tc>
        <w:tc>
          <w:tcPr>
            <w:tcW w:w="0" w:type="auto"/>
            <w:gridSpan w:val="3"/>
            <w:tcBorders>
              <w:top w:val="single" w:sz="8" w:space="0" w:color="000000"/>
            </w:tcBorders>
            <w:shd w:val="clear" w:color="auto" w:fill="auto"/>
            <w:tcMar>
              <w:left w:w="20" w:type="dxa"/>
              <w:right w:w="20" w:type="dxa"/>
            </w:tcMar>
            <w:vAlign w:val="bottom"/>
          </w:tcPr>
          <w:p w14:paraId="33DAAA35"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33DAAA36" w14:textId="77777777" w:rsidR="004D6A64" w:rsidRDefault="00506CD6">
            <w:pPr>
              <w:jc w:val="center"/>
              <w:textAlignment w:val="center"/>
            </w:pPr>
            <w:r>
              <w:rPr>
                <w:rFonts w:ascii="Times New Roman" w:eastAsia="宋体" w:hAnsi="Times New Roman"/>
                <w:b/>
                <w:bCs/>
                <w:color w:val="000000"/>
                <w:sz w:val="20"/>
                <w:szCs w:val="20"/>
              </w:rPr>
              <w:t>Fixed-term</w:t>
            </w:r>
          </w:p>
        </w:tc>
        <w:tc>
          <w:tcPr>
            <w:tcW w:w="0" w:type="auto"/>
            <w:gridSpan w:val="3"/>
            <w:tcBorders>
              <w:top w:val="single" w:sz="8" w:space="0" w:color="000000"/>
            </w:tcBorders>
            <w:shd w:val="clear" w:color="auto" w:fill="auto"/>
            <w:tcMar>
              <w:left w:w="20" w:type="dxa"/>
              <w:right w:w="20" w:type="dxa"/>
            </w:tcMar>
            <w:vAlign w:val="bottom"/>
          </w:tcPr>
          <w:p w14:paraId="33DAAA37"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33DAAA38" w14:textId="77777777" w:rsidR="004D6A64" w:rsidRDefault="00506CD6">
            <w:pPr>
              <w:jc w:val="center"/>
              <w:textAlignment w:val="center"/>
            </w:pPr>
            <w:r>
              <w:rPr>
                <w:rFonts w:ascii="Times New Roman" w:eastAsia="宋体" w:hAnsi="Times New Roman"/>
                <w:b/>
                <w:bCs/>
                <w:color w:val="000000"/>
                <w:sz w:val="20"/>
                <w:szCs w:val="20"/>
              </w:rPr>
              <w:t>Total</w:t>
            </w:r>
          </w:p>
        </w:tc>
        <w:tc>
          <w:tcPr>
            <w:tcW w:w="0" w:type="auto"/>
            <w:shd w:val="clear" w:color="auto" w:fill="auto"/>
          </w:tcPr>
          <w:p w14:paraId="33DAAA39" w14:textId="77777777" w:rsidR="004D6A64" w:rsidRDefault="004D6A64">
            <w:pPr>
              <w:rPr>
                <w:rFonts w:ascii="宋体"/>
              </w:rPr>
            </w:pPr>
          </w:p>
        </w:tc>
        <w:tc>
          <w:tcPr>
            <w:tcW w:w="0" w:type="auto"/>
            <w:shd w:val="clear" w:color="auto" w:fill="auto"/>
          </w:tcPr>
          <w:p w14:paraId="33DAAA3A" w14:textId="77777777" w:rsidR="004D6A64" w:rsidRDefault="004D6A64">
            <w:pPr>
              <w:rPr>
                <w:rFonts w:ascii="宋体"/>
              </w:rPr>
            </w:pPr>
          </w:p>
        </w:tc>
        <w:tc>
          <w:tcPr>
            <w:tcW w:w="0" w:type="auto"/>
            <w:shd w:val="clear" w:color="auto" w:fill="auto"/>
          </w:tcPr>
          <w:p w14:paraId="33DAAA3B" w14:textId="77777777" w:rsidR="004D6A64" w:rsidRDefault="004D6A64">
            <w:pPr>
              <w:rPr>
                <w:rFonts w:ascii="宋体"/>
              </w:rPr>
            </w:pPr>
          </w:p>
        </w:tc>
        <w:tc>
          <w:tcPr>
            <w:tcW w:w="0" w:type="auto"/>
            <w:shd w:val="clear" w:color="auto" w:fill="auto"/>
          </w:tcPr>
          <w:p w14:paraId="33DAAA3C" w14:textId="77777777" w:rsidR="004D6A64" w:rsidRDefault="004D6A64">
            <w:pPr>
              <w:rPr>
                <w:rFonts w:ascii="宋体"/>
              </w:rPr>
            </w:pPr>
          </w:p>
        </w:tc>
        <w:tc>
          <w:tcPr>
            <w:tcW w:w="0" w:type="auto"/>
            <w:shd w:val="clear" w:color="auto" w:fill="auto"/>
          </w:tcPr>
          <w:p w14:paraId="33DAAA3D" w14:textId="77777777" w:rsidR="004D6A64" w:rsidRDefault="004D6A64">
            <w:pPr>
              <w:rPr>
                <w:rFonts w:ascii="宋体"/>
              </w:rPr>
            </w:pPr>
          </w:p>
        </w:tc>
        <w:tc>
          <w:tcPr>
            <w:tcW w:w="0" w:type="auto"/>
            <w:shd w:val="clear" w:color="auto" w:fill="auto"/>
          </w:tcPr>
          <w:p w14:paraId="33DAAA3E" w14:textId="77777777" w:rsidR="004D6A64" w:rsidRDefault="004D6A64">
            <w:pPr>
              <w:rPr>
                <w:rFonts w:ascii="宋体"/>
              </w:rPr>
            </w:pPr>
          </w:p>
        </w:tc>
        <w:tc>
          <w:tcPr>
            <w:tcW w:w="0" w:type="auto"/>
            <w:shd w:val="clear" w:color="auto" w:fill="auto"/>
          </w:tcPr>
          <w:p w14:paraId="33DAAA3F" w14:textId="77777777" w:rsidR="004D6A64" w:rsidRDefault="004D6A64">
            <w:pPr>
              <w:rPr>
                <w:rFonts w:ascii="宋体"/>
              </w:rPr>
            </w:pPr>
          </w:p>
        </w:tc>
        <w:tc>
          <w:tcPr>
            <w:tcW w:w="0" w:type="auto"/>
            <w:shd w:val="clear" w:color="auto" w:fill="auto"/>
          </w:tcPr>
          <w:p w14:paraId="33DAAA40" w14:textId="77777777" w:rsidR="004D6A64" w:rsidRDefault="004D6A64">
            <w:pPr>
              <w:rPr>
                <w:rFonts w:ascii="宋体"/>
              </w:rPr>
            </w:pPr>
          </w:p>
        </w:tc>
        <w:tc>
          <w:tcPr>
            <w:tcW w:w="0" w:type="auto"/>
            <w:shd w:val="clear" w:color="auto" w:fill="auto"/>
          </w:tcPr>
          <w:p w14:paraId="33DAAA41" w14:textId="77777777" w:rsidR="004D6A64" w:rsidRDefault="004D6A64">
            <w:pPr>
              <w:rPr>
                <w:rFonts w:ascii="宋体"/>
              </w:rPr>
            </w:pPr>
          </w:p>
        </w:tc>
        <w:tc>
          <w:tcPr>
            <w:tcW w:w="0" w:type="auto"/>
            <w:shd w:val="clear" w:color="auto" w:fill="auto"/>
          </w:tcPr>
          <w:p w14:paraId="33DAAA42" w14:textId="77777777" w:rsidR="004D6A64" w:rsidRDefault="004D6A64">
            <w:pPr>
              <w:rPr>
                <w:rFonts w:ascii="宋体"/>
              </w:rPr>
            </w:pPr>
          </w:p>
        </w:tc>
        <w:tc>
          <w:tcPr>
            <w:tcW w:w="0" w:type="auto"/>
            <w:shd w:val="clear" w:color="auto" w:fill="auto"/>
          </w:tcPr>
          <w:p w14:paraId="33DAAA43" w14:textId="77777777" w:rsidR="004D6A64" w:rsidRDefault="004D6A64">
            <w:pPr>
              <w:rPr>
                <w:rFonts w:ascii="宋体"/>
              </w:rPr>
            </w:pPr>
          </w:p>
        </w:tc>
        <w:tc>
          <w:tcPr>
            <w:tcW w:w="0" w:type="auto"/>
            <w:shd w:val="clear" w:color="auto" w:fill="auto"/>
          </w:tcPr>
          <w:p w14:paraId="33DAAA44" w14:textId="77777777" w:rsidR="004D6A64" w:rsidRDefault="004D6A64">
            <w:pPr>
              <w:rPr>
                <w:rFonts w:ascii="宋体"/>
              </w:rPr>
            </w:pPr>
          </w:p>
        </w:tc>
        <w:tc>
          <w:tcPr>
            <w:tcW w:w="0" w:type="auto"/>
            <w:shd w:val="clear" w:color="auto" w:fill="auto"/>
          </w:tcPr>
          <w:p w14:paraId="33DAAA45" w14:textId="77777777" w:rsidR="004D6A64" w:rsidRDefault="004D6A64">
            <w:pPr>
              <w:rPr>
                <w:rFonts w:ascii="宋体"/>
              </w:rPr>
            </w:pPr>
          </w:p>
        </w:tc>
        <w:tc>
          <w:tcPr>
            <w:tcW w:w="0" w:type="auto"/>
            <w:shd w:val="clear" w:color="auto" w:fill="auto"/>
          </w:tcPr>
          <w:p w14:paraId="33DAAA46" w14:textId="77777777" w:rsidR="004D6A64" w:rsidRDefault="004D6A64">
            <w:pPr>
              <w:rPr>
                <w:rFonts w:ascii="宋体"/>
              </w:rPr>
            </w:pPr>
          </w:p>
        </w:tc>
        <w:tc>
          <w:tcPr>
            <w:tcW w:w="0" w:type="auto"/>
            <w:shd w:val="clear" w:color="auto" w:fill="auto"/>
          </w:tcPr>
          <w:p w14:paraId="33DAAA47" w14:textId="77777777" w:rsidR="004D6A64" w:rsidRDefault="004D6A64">
            <w:pPr>
              <w:rPr>
                <w:rFonts w:ascii="宋体"/>
              </w:rPr>
            </w:pPr>
          </w:p>
        </w:tc>
        <w:tc>
          <w:tcPr>
            <w:tcW w:w="0" w:type="auto"/>
            <w:shd w:val="clear" w:color="auto" w:fill="auto"/>
          </w:tcPr>
          <w:p w14:paraId="33DAAA48" w14:textId="77777777" w:rsidR="004D6A64" w:rsidRDefault="004D6A64">
            <w:pPr>
              <w:rPr>
                <w:rFonts w:ascii="宋体"/>
              </w:rPr>
            </w:pPr>
          </w:p>
        </w:tc>
        <w:tc>
          <w:tcPr>
            <w:tcW w:w="0" w:type="auto"/>
            <w:shd w:val="clear" w:color="auto" w:fill="auto"/>
          </w:tcPr>
          <w:p w14:paraId="33DAAA49" w14:textId="77777777" w:rsidR="004D6A64" w:rsidRDefault="004D6A64">
            <w:pPr>
              <w:rPr>
                <w:rFonts w:ascii="宋体"/>
              </w:rPr>
            </w:pPr>
          </w:p>
        </w:tc>
        <w:tc>
          <w:tcPr>
            <w:tcW w:w="0" w:type="auto"/>
            <w:shd w:val="clear" w:color="auto" w:fill="auto"/>
          </w:tcPr>
          <w:p w14:paraId="33DAAA4A" w14:textId="77777777" w:rsidR="004D6A64" w:rsidRDefault="004D6A64">
            <w:pPr>
              <w:rPr>
                <w:rFonts w:ascii="宋体"/>
              </w:rPr>
            </w:pPr>
          </w:p>
        </w:tc>
        <w:tc>
          <w:tcPr>
            <w:tcW w:w="0" w:type="auto"/>
            <w:shd w:val="clear" w:color="auto" w:fill="auto"/>
          </w:tcPr>
          <w:p w14:paraId="33DAAA4B" w14:textId="77777777" w:rsidR="004D6A64" w:rsidRDefault="004D6A64">
            <w:pPr>
              <w:rPr>
                <w:rFonts w:ascii="宋体"/>
              </w:rPr>
            </w:pPr>
          </w:p>
        </w:tc>
        <w:tc>
          <w:tcPr>
            <w:tcW w:w="0" w:type="auto"/>
            <w:shd w:val="clear" w:color="auto" w:fill="auto"/>
          </w:tcPr>
          <w:p w14:paraId="33DAAA4C" w14:textId="77777777" w:rsidR="004D6A64" w:rsidRDefault="004D6A64">
            <w:pPr>
              <w:rPr>
                <w:rFonts w:ascii="宋体"/>
              </w:rPr>
            </w:pPr>
          </w:p>
        </w:tc>
        <w:tc>
          <w:tcPr>
            <w:tcW w:w="0" w:type="auto"/>
            <w:shd w:val="clear" w:color="auto" w:fill="auto"/>
          </w:tcPr>
          <w:p w14:paraId="33DAAA4D" w14:textId="77777777" w:rsidR="004D6A64" w:rsidRDefault="004D6A64">
            <w:pPr>
              <w:rPr>
                <w:rFonts w:ascii="宋体"/>
              </w:rPr>
            </w:pPr>
          </w:p>
        </w:tc>
        <w:tc>
          <w:tcPr>
            <w:tcW w:w="0" w:type="auto"/>
            <w:shd w:val="clear" w:color="auto" w:fill="auto"/>
          </w:tcPr>
          <w:p w14:paraId="33DAAA4E" w14:textId="77777777" w:rsidR="004D6A64" w:rsidRDefault="004D6A64">
            <w:pPr>
              <w:rPr>
                <w:rFonts w:ascii="宋体"/>
              </w:rPr>
            </w:pPr>
          </w:p>
        </w:tc>
        <w:tc>
          <w:tcPr>
            <w:tcW w:w="0" w:type="auto"/>
            <w:shd w:val="clear" w:color="auto" w:fill="auto"/>
          </w:tcPr>
          <w:p w14:paraId="33DAAA4F" w14:textId="77777777" w:rsidR="004D6A64" w:rsidRDefault="004D6A64">
            <w:pPr>
              <w:rPr>
                <w:rFonts w:ascii="宋体"/>
              </w:rPr>
            </w:pPr>
          </w:p>
        </w:tc>
        <w:tc>
          <w:tcPr>
            <w:tcW w:w="0" w:type="auto"/>
            <w:shd w:val="clear" w:color="auto" w:fill="auto"/>
          </w:tcPr>
          <w:p w14:paraId="33DAAA50" w14:textId="77777777" w:rsidR="004D6A64" w:rsidRDefault="004D6A64">
            <w:pPr>
              <w:rPr>
                <w:rFonts w:ascii="宋体"/>
              </w:rPr>
            </w:pPr>
          </w:p>
        </w:tc>
        <w:tc>
          <w:tcPr>
            <w:tcW w:w="0" w:type="auto"/>
            <w:shd w:val="clear" w:color="auto" w:fill="auto"/>
          </w:tcPr>
          <w:p w14:paraId="33DAAA51" w14:textId="77777777" w:rsidR="004D6A64" w:rsidRDefault="004D6A64">
            <w:pPr>
              <w:rPr>
                <w:rFonts w:ascii="宋体"/>
              </w:rPr>
            </w:pPr>
          </w:p>
        </w:tc>
        <w:tc>
          <w:tcPr>
            <w:tcW w:w="0" w:type="auto"/>
            <w:shd w:val="clear" w:color="auto" w:fill="auto"/>
          </w:tcPr>
          <w:p w14:paraId="33DAAA52" w14:textId="77777777" w:rsidR="004D6A64" w:rsidRDefault="004D6A64">
            <w:pPr>
              <w:rPr>
                <w:rFonts w:ascii="宋体"/>
              </w:rPr>
            </w:pPr>
          </w:p>
        </w:tc>
        <w:tc>
          <w:tcPr>
            <w:tcW w:w="0" w:type="auto"/>
            <w:shd w:val="clear" w:color="auto" w:fill="auto"/>
          </w:tcPr>
          <w:p w14:paraId="33DAAA53" w14:textId="77777777" w:rsidR="004D6A64" w:rsidRDefault="004D6A64">
            <w:pPr>
              <w:rPr>
                <w:rFonts w:ascii="宋体"/>
              </w:rPr>
            </w:pPr>
          </w:p>
        </w:tc>
      </w:tr>
      <w:tr w:rsidR="004D6A64" w14:paraId="33DAAA61" w14:textId="77777777">
        <w:tc>
          <w:tcPr>
            <w:tcW w:w="0" w:type="auto"/>
            <w:gridSpan w:val="3"/>
            <w:shd w:val="clear" w:color="auto" w:fill="auto"/>
            <w:tcMar>
              <w:left w:w="20" w:type="dxa"/>
              <w:right w:w="20" w:type="dxa"/>
            </w:tcMar>
            <w:vAlign w:val="bottom"/>
          </w:tcPr>
          <w:p w14:paraId="33DAAA55" w14:textId="77777777" w:rsidR="004D6A64" w:rsidRDefault="004D6A64">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center"/>
          </w:tcPr>
          <w:p w14:paraId="33DAAA56" w14:textId="77777777" w:rsidR="004D6A64" w:rsidRDefault="00506CD6">
            <w:pPr>
              <w:jc w:val="center"/>
              <w:textAlignment w:val="center"/>
            </w:pPr>
            <w:r>
              <w:rPr>
                <w:rFonts w:ascii="Times New Roman" w:eastAsia="宋体" w:hAnsi="Times New Roman"/>
                <w:color w:val="000000"/>
                <w:sz w:val="20"/>
                <w:szCs w:val="20"/>
              </w:rPr>
              <w:t>(in millions)</w:t>
            </w:r>
          </w:p>
        </w:tc>
        <w:tc>
          <w:tcPr>
            <w:tcW w:w="0" w:type="auto"/>
            <w:gridSpan w:val="3"/>
            <w:shd w:val="clear" w:color="auto" w:fill="auto"/>
          </w:tcPr>
          <w:p w14:paraId="33DAAA57" w14:textId="77777777" w:rsidR="004D6A64" w:rsidRDefault="004D6A64">
            <w:pPr>
              <w:rPr>
                <w:rFonts w:ascii="宋体"/>
                <w:vanish/>
              </w:rPr>
            </w:pPr>
          </w:p>
        </w:tc>
        <w:tc>
          <w:tcPr>
            <w:tcW w:w="0" w:type="auto"/>
            <w:gridSpan w:val="3"/>
            <w:shd w:val="clear" w:color="auto" w:fill="auto"/>
          </w:tcPr>
          <w:p w14:paraId="33DAAA58" w14:textId="77777777" w:rsidR="004D6A64" w:rsidRDefault="004D6A64">
            <w:pPr>
              <w:rPr>
                <w:rFonts w:ascii="宋体"/>
                <w:vanish/>
              </w:rPr>
            </w:pPr>
          </w:p>
        </w:tc>
        <w:tc>
          <w:tcPr>
            <w:tcW w:w="0" w:type="auto"/>
            <w:gridSpan w:val="3"/>
            <w:shd w:val="clear" w:color="auto" w:fill="auto"/>
          </w:tcPr>
          <w:p w14:paraId="33DAAA59" w14:textId="77777777" w:rsidR="004D6A64" w:rsidRDefault="004D6A64">
            <w:pPr>
              <w:rPr>
                <w:rFonts w:ascii="宋体"/>
                <w:vanish/>
              </w:rPr>
            </w:pPr>
          </w:p>
        </w:tc>
        <w:tc>
          <w:tcPr>
            <w:tcW w:w="0" w:type="auto"/>
            <w:gridSpan w:val="3"/>
            <w:shd w:val="clear" w:color="auto" w:fill="auto"/>
          </w:tcPr>
          <w:p w14:paraId="33DAAA5A" w14:textId="77777777" w:rsidR="004D6A64" w:rsidRDefault="004D6A64">
            <w:pPr>
              <w:rPr>
                <w:rFonts w:ascii="宋体"/>
                <w:vanish/>
              </w:rPr>
            </w:pPr>
          </w:p>
        </w:tc>
        <w:tc>
          <w:tcPr>
            <w:tcW w:w="0" w:type="auto"/>
            <w:gridSpan w:val="3"/>
            <w:shd w:val="clear" w:color="auto" w:fill="auto"/>
          </w:tcPr>
          <w:p w14:paraId="33DAAA5B" w14:textId="77777777" w:rsidR="004D6A64" w:rsidRDefault="004D6A64">
            <w:pPr>
              <w:rPr>
                <w:rFonts w:ascii="宋体"/>
                <w:vanish/>
              </w:rPr>
            </w:pPr>
          </w:p>
        </w:tc>
        <w:tc>
          <w:tcPr>
            <w:tcW w:w="0" w:type="auto"/>
            <w:gridSpan w:val="3"/>
            <w:shd w:val="clear" w:color="auto" w:fill="auto"/>
          </w:tcPr>
          <w:p w14:paraId="33DAAA5C" w14:textId="77777777" w:rsidR="004D6A64" w:rsidRDefault="004D6A64">
            <w:pPr>
              <w:rPr>
                <w:rFonts w:ascii="宋体"/>
                <w:vanish/>
              </w:rPr>
            </w:pPr>
          </w:p>
        </w:tc>
        <w:tc>
          <w:tcPr>
            <w:tcW w:w="0" w:type="auto"/>
            <w:gridSpan w:val="3"/>
            <w:shd w:val="clear" w:color="auto" w:fill="auto"/>
          </w:tcPr>
          <w:p w14:paraId="33DAAA5D" w14:textId="77777777" w:rsidR="004D6A64" w:rsidRDefault="004D6A64">
            <w:pPr>
              <w:rPr>
                <w:rFonts w:ascii="宋体"/>
                <w:vanish/>
              </w:rPr>
            </w:pPr>
          </w:p>
        </w:tc>
        <w:tc>
          <w:tcPr>
            <w:tcW w:w="0" w:type="auto"/>
            <w:gridSpan w:val="3"/>
            <w:shd w:val="clear" w:color="auto" w:fill="auto"/>
          </w:tcPr>
          <w:p w14:paraId="33DAAA5E" w14:textId="77777777" w:rsidR="004D6A64" w:rsidRDefault="004D6A64">
            <w:pPr>
              <w:rPr>
                <w:rFonts w:ascii="宋体"/>
                <w:vanish/>
              </w:rPr>
            </w:pPr>
          </w:p>
        </w:tc>
        <w:tc>
          <w:tcPr>
            <w:tcW w:w="0" w:type="auto"/>
            <w:gridSpan w:val="2"/>
            <w:shd w:val="clear" w:color="auto" w:fill="auto"/>
          </w:tcPr>
          <w:p w14:paraId="33DAAA5F" w14:textId="77777777" w:rsidR="004D6A64" w:rsidRDefault="004D6A64">
            <w:pPr>
              <w:rPr>
                <w:rFonts w:ascii="宋体"/>
                <w:vanish/>
              </w:rPr>
            </w:pPr>
          </w:p>
        </w:tc>
        <w:tc>
          <w:tcPr>
            <w:tcW w:w="0" w:type="auto"/>
            <w:shd w:val="clear" w:color="auto" w:fill="auto"/>
          </w:tcPr>
          <w:p w14:paraId="33DAAA60" w14:textId="77777777" w:rsidR="004D6A64" w:rsidRDefault="004D6A64">
            <w:pPr>
              <w:rPr>
                <w:rFonts w:ascii="宋体"/>
                <w:vanish/>
              </w:rPr>
            </w:pPr>
          </w:p>
        </w:tc>
      </w:tr>
      <w:tr w:rsidR="004D6A64" w14:paraId="33DAAA89" w14:textId="77777777">
        <w:tc>
          <w:tcPr>
            <w:tcW w:w="0" w:type="auto"/>
            <w:gridSpan w:val="3"/>
            <w:shd w:val="clear" w:color="auto" w:fill="CCEEFF"/>
            <w:tcMar>
              <w:top w:w="40" w:type="dxa"/>
              <w:left w:w="20" w:type="dxa"/>
              <w:bottom w:w="40" w:type="dxa"/>
              <w:right w:w="20" w:type="dxa"/>
            </w:tcMar>
            <w:vAlign w:val="center"/>
          </w:tcPr>
          <w:p w14:paraId="33DAAA62" w14:textId="77777777" w:rsidR="004D6A64" w:rsidRDefault="00506CD6">
            <w:pPr>
              <w:textAlignment w:val="center"/>
            </w:pPr>
            <w:r>
              <w:rPr>
                <w:rFonts w:ascii="Times New Roman" w:eastAsia="宋体" w:hAnsi="Times New Roman"/>
                <w:i/>
                <w:iCs/>
                <w:color w:val="000000"/>
                <w:sz w:val="20"/>
                <w:szCs w:val="20"/>
              </w:rPr>
              <w:t xml:space="preserve">Allowance for financing </w:t>
            </w:r>
            <w:r>
              <w:rPr>
                <w:rFonts w:ascii="Times New Roman" w:eastAsia="宋体" w:hAnsi="Times New Roman"/>
                <w:i/>
                <w:iCs/>
                <w:color w:val="000000"/>
                <w:sz w:val="20"/>
                <w:szCs w:val="20"/>
              </w:rPr>
              <w:t>receivable losses:</w:t>
            </w:r>
          </w:p>
        </w:tc>
        <w:tc>
          <w:tcPr>
            <w:tcW w:w="0" w:type="auto"/>
            <w:gridSpan w:val="3"/>
            <w:shd w:val="clear" w:color="auto" w:fill="CCEEFF"/>
            <w:tcMar>
              <w:left w:w="20" w:type="dxa"/>
              <w:right w:w="20" w:type="dxa"/>
            </w:tcMar>
            <w:vAlign w:val="bottom"/>
          </w:tcPr>
          <w:p w14:paraId="33DAAA63"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AA64"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AA6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AA66"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AA67"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AA68"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AA69"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AA6A"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AA6B"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AA6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AA6D" w14:textId="77777777" w:rsidR="004D6A64" w:rsidRDefault="004D6A64">
            <w:pPr>
              <w:rPr>
                <w:rFonts w:ascii="宋体"/>
              </w:rPr>
            </w:pPr>
          </w:p>
        </w:tc>
        <w:tc>
          <w:tcPr>
            <w:tcW w:w="0" w:type="auto"/>
            <w:shd w:val="clear" w:color="auto" w:fill="auto"/>
          </w:tcPr>
          <w:p w14:paraId="33DAAA6E" w14:textId="77777777" w:rsidR="004D6A64" w:rsidRDefault="004D6A64">
            <w:pPr>
              <w:rPr>
                <w:rFonts w:ascii="宋体"/>
              </w:rPr>
            </w:pPr>
          </w:p>
        </w:tc>
        <w:tc>
          <w:tcPr>
            <w:tcW w:w="0" w:type="auto"/>
            <w:shd w:val="clear" w:color="auto" w:fill="auto"/>
          </w:tcPr>
          <w:p w14:paraId="33DAAA6F" w14:textId="77777777" w:rsidR="004D6A64" w:rsidRDefault="004D6A64">
            <w:pPr>
              <w:rPr>
                <w:rFonts w:ascii="宋体"/>
              </w:rPr>
            </w:pPr>
          </w:p>
        </w:tc>
        <w:tc>
          <w:tcPr>
            <w:tcW w:w="0" w:type="auto"/>
            <w:shd w:val="clear" w:color="auto" w:fill="auto"/>
          </w:tcPr>
          <w:p w14:paraId="33DAAA70" w14:textId="77777777" w:rsidR="004D6A64" w:rsidRDefault="004D6A64">
            <w:pPr>
              <w:rPr>
                <w:rFonts w:ascii="宋体"/>
              </w:rPr>
            </w:pPr>
          </w:p>
        </w:tc>
        <w:tc>
          <w:tcPr>
            <w:tcW w:w="0" w:type="auto"/>
            <w:shd w:val="clear" w:color="auto" w:fill="auto"/>
          </w:tcPr>
          <w:p w14:paraId="33DAAA71" w14:textId="77777777" w:rsidR="004D6A64" w:rsidRDefault="004D6A64">
            <w:pPr>
              <w:rPr>
                <w:rFonts w:ascii="宋体"/>
              </w:rPr>
            </w:pPr>
          </w:p>
        </w:tc>
        <w:tc>
          <w:tcPr>
            <w:tcW w:w="0" w:type="auto"/>
            <w:shd w:val="clear" w:color="auto" w:fill="auto"/>
          </w:tcPr>
          <w:p w14:paraId="33DAAA72" w14:textId="77777777" w:rsidR="004D6A64" w:rsidRDefault="004D6A64">
            <w:pPr>
              <w:rPr>
                <w:rFonts w:ascii="宋体"/>
              </w:rPr>
            </w:pPr>
          </w:p>
        </w:tc>
        <w:tc>
          <w:tcPr>
            <w:tcW w:w="0" w:type="auto"/>
            <w:shd w:val="clear" w:color="auto" w:fill="auto"/>
          </w:tcPr>
          <w:p w14:paraId="33DAAA73" w14:textId="77777777" w:rsidR="004D6A64" w:rsidRDefault="004D6A64">
            <w:pPr>
              <w:rPr>
                <w:rFonts w:ascii="宋体"/>
              </w:rPr>
            </w:pPr>
          </w:p>
        </w:tc>
        <w:tc>
          <w:tcPr>
            <w:tcW w:w="0" w:type="auto"/>
            <w:shd w:val="clear" w:color="auto" w:fill="auto"/>
          </w:tcPr>
          <w:p w14:paraId="33DAAA74" w14:textId="77777777" w:rsidR="004D6A64" w:rsidRDefault="004D6A64">
            <w:pPr>
              <w:rPr>
                <w:rFonts w:ascii="宋体"/>
              </w:rPr>
            </w:pPr>
          </w:p>
        </w:tc>
        <w:tc>
          <w:tcPr>
            <w:tcW w:w="0" w:type="auto"/>
            <w:shd w:val="clear" w:color="auto" w:fill="auto"/>
          </w:tcPr>
          <w:p w14:paraId="33DAAA75" w14:textId="77777777" w:rsidR="004D6A64" w:rsidRDefault="004D6A64">
            <w:pPr>
              <w:rPr>
                <w:rFonts w:ascii="宋体"/>
              </w:rPr>
            </w:pPr>
          </w:p>
        </w:tc>
        <w:tc>
          <w:tcPr>
            <w:tcW w:w="0" w:type="auto"/>
            <w:shd w:val="clear" w:color="auto" w:fill="auto"/>
          </w:tcPr>
          <w:p w14:paraId="33DAAA76" w14:textId="77777777" w:rsidR="004D6A64" w:rsidRDefault="004D6A64">
            <w:pPr>
              <w:rPr>
                <w:rFonts w:ascii="宋体"/>
              </w:rPr>
            </w:pPr>
          </w:p>
        </w:tc>
        <w:tc>
          <w:tcPr>
            <w:tcW w:w="0" w:type="auto"/>
            <w:shd w:val="clear" w:color="auto" w:fill="auto"/>
          </w:tcPr>
          <w:p w14:paraId="33DAAA77" w14:textId="77777777" w:rsidR="004D6A64" w:rsidRDefault="004D6A64">
            <w:pPr>
              <w:rPr>
                <w:rFonts w:ascii="宋体"/>
              </w:rPr>
            </w:pPr>
          </w:p>
        </w:tc>
        <w:tc>
          <w:tcPr>
            <w:tcW w:w="0" w:type="auto"/>
            <w:shd w:val="clear" w:color="auto" w:fill="auto"/>
          </w:tcPr>
          <w:p w14:paraId="33DAAA78" w14:textId="77777777" w:rsidR="004D6A64" w:rsidRDefault="004D6A64">
            <w:pPr>
              <w:rPr>
                <w:rFonts w:ascii="宋体"/>
              </w:rPr>
            </w:pPr>
          </w:p>
        </w:tc>
        <w:tc>
          <w:tcPr>
            <w:tcW w:w="0" w:type="auto"/>
            <w:shd w:val="clear" w:color="auto" w:fill="auto"/>
          </w:tcPr>
          <w:p w14:paraId="33DAAA79" w14:textId="77777777" w:rsidR="004D6A64" w:rsidRDefault="004D6A64">
            <w:pPr>
              <w:rPr>
                <w:rFonts w:ascii="宋体"/>
              </w:rPr>
            </w:pPr>
          </w:p>
        </w:tc>
        <w:tc>
          <w:tcPr>
            <w:tcW w:w="0" w:type="auto"/>
            <w:shd w:val="clear" w:color="auto" w:fill="auto"/>
          </w:tcPr>
          <w:p w14:paraId="33DAAA7A" w14:textId="77777777" w:rsidR="004D6A64" w:rsidRDefault="004D6A64">
            <w:pPr>
              <w:rPr>
                <w:rFonts w:ascii="宋体"/>
              </w:rPr>
            </w:pPr>
          </w:p>
        </w:tc>
        <w:tc>
          <w:tcPr>
            <w:tcW w:w="0" w:type="auto"/>
            <w:shd w:val="clear" w:color="auto" w:fill="auto"/>
          </w:tcPr>
          <w:p w14:paraId="33DAAA7B" w14:textId="77777777" w:rsidR="004D6A64" w:rsidRDefault="004D6A64">
            <w:pPr>
              <w:rPr>
                <w:rFonts w:ascii="宋体"/>
              </w:rPr>
            </w:pPr>
          </w:p>
        </w:tc>
        <w:tc>
          <w:tcPr>
            <w:tcW w:w="0" w:type="auto"/>
            <w:shd w:val="clear" w:color="auto" w:fill="auto"/>
          </w:tcPr>
          <w:p w14:paraId="33DAAA7C" w14:textId="77777777" w:rsidR="004D6A64" w:rsidRDefault="004D6A64">
            <w:pPr>
              <w:rPr>
                <w:rFonts w:ascii="宋体"/>
              </w:rPr>
            </w:pPr>
          </w:p>
        </w:tc>
        <w:tc>
          <w:tcPr>
            <w:tcW w:w="0" w:type="auto"/>
            <w:shd w:val="clear" w:color="auto" w:fill="auto"/>
          </w:tcPr>
          <w:p w14:paraId="33DAAA7D" w14:textId="77777777" w:rsidR="004D6A64" w:rsidRDefault="004D6A64">
            <w:pPr>
              <w:rPr>
                <w:rFonts w:ascii="宋体"/>
              </w:rPr>
            </w:pPr>
          </w:p>
        </w:tc>
        <w:tc>
          <w:tcPr>
            <w:tcW w:w="0" w:type="auto"/>
            <w:shd w:val="clear" w:color="auto" w:fill="auto"/>
          </w:tcPr>
          <w:p w14:paraId="33DAAA7E" w14:textId="77777777" w:rsidR="004D6A64" w:rsidRDefault="004D6A64">
            <w:pPr>
              <w:rPr>
                <w:rFonts w:ascii="宋体"/>
              </w:rPr>
            </w:pPr>
          </w:p>
        </w:tc>
        <w:tc>
          <w:tcPr>
            <w:tcW w:w="0" w:type="auto"/>
            <w:shd w:val="clear" w:color="auto" w:fill="auto"/>
          </w:tcPr>
          <w:p w14:paraId="33DAAA7F" w14:textId="77777777" w:rsidR="004D6A64" w:rsidRDefault="004D6A64">
            <w:pPr>
              <w:rPr>
                <w:rFonts w:ascii="宋体"/>
              </w:rPr>
            </w:pPr>
          </w:p>
        </w:tc>
        <w:tc>
          <w:tcPr>
            <w:tcW w:w="0" w:type="auto"/>
            <w:shd w:val="clear" w:color="auto" w:fill="auto"/>
          </w:tcPr>
          <w:p w14:paraId="33DAAA80" w14:textId="77777777" w:rsidR="004D6A64" w:rsidRDefault="004D6A64">
            <w:pPr>
              <w:rPr>
                <w:rFonts w:ascii="宋体"/>
              </w:rPr>
            </w:pPr>
          </w:p>
        </w:tc>
        <w:tc>
          <w:tcPr>
            <w:tcW w:w="0" w:type="auto"/>
            <w:shd w:val="clear" w:color="auto" w:fill="auto"/>
          </w:tcPr>
          <w:p w14:paraId="33DAAA81" w14:textId="77777777" w:rsidR="004D6A64" w:rsidRDefault="004D6A64">
            <w:pPr>
              <w:rPr>
                <w:rFonts w:ascii="宋体"/>
              </w:rPr>
            </w:pPr>
          </w:p>
        </w:tc>
        <w:tc>
          <w:tcPr>
            <w:tcW w:w="0" w:type="auto"/>
            <w:shd w:val="clear" w:color="auto" w:fill="auto"/>
          </w:tcPr>
          <w:p w14:paraId="33DAAA82" w14:textId="77777777" w:rsidR="004D6A64" w:rsidRDefault="004D6A64">
            <w:pPr>
              <w:rPr>
                <w:rFonts w:ascii="宋体"/>
              </w:rPr>
            </w:pPr>
          </w:p>
        </w:tc>
        <w:tc>
          <w:tcPr>
            <w:tcW w:w="0" w:type="auto"/>
            <w:shd w:val="clear" w:color="auto" w:fill="auto"/>
          </w:tcPr>
          <w:p w14:paraId="33DAAA83" w14:textId="77777777" w:rsidR="004D6A64" w:rsidRDefault="004D6A64">
            <w:pPr>
              <w:rPr>
                <w:rFonts w:ascii="宋体"/>
              </w:rPr>
            </w:pPr>
          </w:p>
        </w:tc>
        <w:tc>
          <w:tcPr>
            <w:tcW w:w="0" w:type="auto"/>
            <w:shd w:val="clear" w:color="auto" w:fill="auto"/>
          </w:tcPr>
          <w:p w14:paraId="33DAAA84" w14:textId="77777777" w:rsidR="004D6A64" w:rsidRDefault="004D6A64">
            <w:pPr>
              <w:rPr>
                <w:rFonts w:ascii="宋体"/>
              </w:rPr>
            </w:pPr>
          </w:p>
        </w:tc>
        <w:tc>
          <w:tcPr>
            <w:tcW w:w="0" w:type="auto"/>
            <w:shd w:val="clear" w:color="auto" w:fill="auto"/>
          </w:tcPr>
          <w:p w14:paraId="33DAAA85" w14:textId="77777777" w:rsidR="004D6A64" w:rsidRDefault="004D6A64">
            <w:pPr>
              <w:rPr>
                <w:rFonts w:ascii="宋体"/>
              </w:rPr>
            </w:pPr>
          </w:p>
        </w:tc>
        <w:tc>
          <w:tcPr>
            <w:tcW w:w="0" w:type="auto"/>
            <w:shd w:val="clear" w:color="auto" w:fill="auto"/>
          </w:tcPr>
          <w:p w14:paraId="33DAAA86" w14:textId="77777777" w:rsidR="004D6A64" w:rsidRDefault="004D6A64">
            <w:pPr>
              <w:rPr>
                <w:rFonts w:ascii="宋体"/>
              </w:rPr>
            </w:pPr>
          </w:p>
        </w:tc>
        <w:tc>
          <w:tcPr>
            <w:tcW w:w="0" w:type="auto"/>
            <w:shd w:val="clear" w:color="auto" w:fill="auto"/>
          </w:tcPr>
          <w:p w14:paraId="33DAAA87" w14:textId="77777777" w:rsidR="004D6A64" w:rsidRDefault="004D6A64">
            <w:pPr>
              <w:rPr>
                <w:rFonts w:ascii="宋体"/>
              </w:rPr>
            </w:pPr>
          </w:p>
        </w:tc>
        <w:tc>
          <w:tcPr>
            <w:tcW w:w="0" w:type="auto"/>
            <w:shd w:val="clear" w:color="auto" w:fill="auto"/>
          </w:tcPr>
          <w:p w14:paraId="33DAAA88" w14:textId="77777777" w:rsidR="004D6A64" w:rsidRDefault="004D6A64">
            <w:pPr>
              <w:rPr>
                <w:rFonts w:ascii="宋体"/>
              </w:rPr>
            </w:pPr>
          </w:p>
        </w:tc>
      </w:tr>
      <w:tr w:rsidR="004D6A64" w14:paraId="33DAAABD" w14:textId="77777777">
        <w:tc>
          <w:tcPr>
            <w:tcW w:w="0" w:type="auto"/>
            <w:gridSpan w:val="3"/>
            <w:shd w:val="clear" w:color="auto" w:fill="FFFFFF"/>
            <w:tcMar>
              <w:top w:w="40" w:type="dxa"/>
              <w:left w:w="20" w:type="dxa"/>
              <w:bottom w:w="40" w:type="dxa"/>
              <w:right w:w="20" w:type="dxa"/>
            </w:tcMar>
            <w:vAlign w:val="center"/>
          </w:tcPr>
          <w:p w14:paraId="33DAAA8A" w14:textId="77777777" w:rsidR="004D6A64" w:rsidRDefault="00506CD6">
            <w:pPr>
              <w:textAlignment w:val="center"/>
            </w:pPr>
            <w:r>
              <w:rPr>
                <w:rFonts w:ascii="Times New Roman" w:eastAsia="宋体" w:hAnsi="Times New Roman"/>
                <w:i/>
                <w:iCs/>
                <w:color w:val="000000"/>
                <w:sz w:val="20"/>
                <w:szCs w:val="20"/>
              </w:rPr>
              <w:t>Balances at beginning of period</w:t>
            </w:r>
          </w:p>
        </w:tc>
        <w:tc>
          <w:tcPr>
            <w:tcW w:w="0" w:type="auto"/>
            <w:shd w:val="clear" w:color="auto" w:fill="FFFFFF"/>
            <w:tcMar>
              <w:top w:w="40" w:type="dxa"/>
              <w:left w:w="20" w:type="dxa"/>
              <w:bottom w:w="40" w:type="dxa"/>
            </w:tcMar>
            <w:vAlign w:val="center"/>
          </w:tcPr>
          <w:p w14:paraId="33DAAA8B"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A8C" w14:textId="77777777" w:rsidR="004D6A64" w:rsidRDefault="00506CD6">
            <w:pPr>
              <w:jc w:val="right"/>
              <w:textAlignment w:val="center"/>
            </w:pPr>
            <w:r>
              <w:rPr>
                <w:rFonts w:ascii="Times New Roman" w:eastAsia="宋体" w:hAnsi="Times New Roman"/>
                <w:color w:val="000000"/>
                <w:sz w:val="20"/>
                <w:szCs w:val="20"/>
              </w:rPr>
              <w:t>70 </w:t>
            </w:r>
          </w:p>
        </w:tc>
        <w:tc>
          <w:tcPr>
            <w:tcW w:w="0" w:type="auto"/>
            <w:shd w:val="clear" w:color="auto" w:fill="FFFFFF"/>
            <w:tcMar>
              <w:top w:w="40" w:type="dxa"/>
              <w:bottom w:w="40" w:type="dxa"/>
              <w:right w:w="20" w:type="dxa"/>
            </w:tcMar>
            <w:vAlign w:val="center"/>
          </w:tcPr>
          <w:p w14:paraId="33DAAA8D" w14:textId="77777777" w:rsidR="004D6A64" w:rsidRDefault="004D6A64">
            <w:pPr>
              <w:jc w:val="right"/>
              <w:rPr>
                <w:rFonts w:ascii="宋体"/>
              </w:rPr>
            </w:pPr>
          </w:p>
        </w:tc>
        <w:tc>
          <w:tcPr>
            <w:tcW w:w="0" w:type="auto"/>
            <w:gridSpan w:val="3"/>
            <w:shd w:val="clear" w:color="auto" w:fill="FFFFFF"/>
            <w:tcMar>
              <w:left w:w="20" w:type="dxa"/>
              <w:right w:w="20" w:type="dxa"/>
            </w:tcMar>
            <w:vAlign w:val="center"/>
          </w:tcPr>
          <w:p w14:paraId="33DAAA8E" w14:textId="77777777" w:rsidR="004D6A64" w:rsidRDefault="004D6A64">
            <w:pPr>
              <w:jc w:val="right"/>
              <w:rPr>
                <w:rFonts w:ascii="宋体"/>
              </w:rPr>
            </w:pPr>
          </w:p>
        </w:tc>
        <w:tc>
          <w:tcPr>
            <w:tcW w:w="0" w:type="auto"/>
            <w:shd w:val="clear" w:color="auto" w:fill="FFFFFF"/>
            <w:tcMar>
              <w:top w:w="40" w:type="dxa"/>
              <w:left w:w="20" w:type="dxa"/>
              <w:bottom w:w="40" w:type="dxa"/>
            </w:tcMar>
            <w:vAlign w:val="center"/>
          </w:tcPr>
          <w:p w14:paraId="33DAAA8F"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A90" w14:textId="77777777" w:rsidR="004D6A64" w:rsidRDefault="00506CD6">
            <w:pPr>
              <w:jc w:val="right"/>
              <w:textAlignment w:val="center"/>
            </w:pPr>
            <w:r>
              <w:rPr>
                <w:rFonts w:ascii="Times New Roman" w:eastAsia="宋体" w:hAnsi="Times New Roman"/>
                <w:color w:val="000000"/>
                <w:sz w:val="20"/>
                <w:szCs w:val="20"/>
              </w:rPr>
              <w:t>79 </w:t>
            </w:r>
          </w:p>
        </w:tc>
        <w:tc>
          <w:tcPr>
            <w:tcW w:w="0" w:type="auto"/>
            <w:shd w:val="clear" w:color="auto" w:fill="FFFFFF"/>
            <w:tcMar>
              <w:top w:w="40" w:type="dxa"/>
              <w:bottom w:w="40" w:type="dxa"/>
              <w:right w:w="20" w:type="dxa"/>
            </w:tcMar>
            <w:vAlign w:val="center"/>
          </w:tcPr>
          <w:p w14:paraId="33DAAA91" w14:textId="77777777" w:rsidR="004D6A64" w:rsidRDefault="004D6A64">
            <w:pPr>
              <w:jc w:val="right"/>
              <w:rPr>
                <w:rFonts w:ascii="宋体"/>
              </w:rPr>
            </w:pPr>
          </w:p>
        </w:tc>
        <w:tc>
          <w:tcPr>
            <w:tcW w:w="0" w:type="auto"/>
            <w:gridSpan w:val="3"/>
            <w:shd w:val="clear" w:color="auto" w:fill="FFFFFF"/>
            <w:tcMar>
              <w:left w:w="20" w:type="dxa"/>
              <w:right w:w="20" w:type="dxa"/>
            </w:tcMar>
            <w:vAlign w:val="center"/>
          </w:tcPr>
          <w:p w14:paraId="33DAAA92" w14:textId="77777777" w:rsidR="004D6A64" w:rsidRDefault="004D6A64">
            <w:pPr>
              <w:jc w:val="right"/>
              <w:rPr>
                <w:rFonts w:ascii="宋体"/>
              </w:rPr>
            </w:pPr>
          </w:p>
        </w:tc>
        <w:tc>
          <w:tcPr>
            <w:tcW w:w="0" w:type="auto"/>
            <w:shd w:val="clear" w:color="auto" w:fill="FFFFFF"/>
            <w:tcMar>
              <w:top w:w="40" w:type="dxa"/>
              <w:left w:w="20" w:type="dxa"/>
              <w:bottom w:w="40" w:type="dxa"/>
            </w:tcMar>
            <w:vAlign w:val="center"/>
          </w:tcPr>
          <w:p w14:paraId="33DAAA93"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A94" w14:textId="77777777" w:rsidR="004D6A64" w:rsidRDefault="00506CD6">
            <w:pPr>
              <w:jc w:val="right"/>
              <w:textAlignment w:val="center"/>
            </w:pPr>
            <w:r>
              <w:rPr>
                <w:rFonts w:ascii="Times New Roman" w:eastAsia="宋体" w:hAnsi="Times New Roman"/>
                <w:color w:val="000000"/>
                <w:sz w:val="20"/>
                <w:szCs w:val="20"/>
              </w:rPr>
              <w:t>149 </w:t>
            </w:r>
          </w:p>
        </w:tc>
        <w:tc>
          <w:tcPr>
            <w:tcW w:w="0" w:type="auto"/>
            <w:shd w:val="clear" w:color="auto" w:fill="FFFFFF"/>
            <w:tcMar>
              <w:top w:w="40" w:type="dxa"/>
              <w:bottom w:w="40" w:type="dxa"/>
              <w:right w:w="20" w:type="dxa"/>
            </w:tcMar>
            <w:vAlign w:val="center"/>
          </w:tcPr>
          <w:p w14:paraId="33DAAA95" w14:textId="77777777" w:rsidR="004D6A64" w:rsidRDefault="004D6A64">
            <w:pPr>
              <w:jc w:val="right"/>
              <w:rPr>
                <w:rFonts w:ascii="宋体"/>
              </w:rPr>
            </w:pPr>
          </w:p>
        </w:tc>
        <w:tc>
          <w:tcPr>
            <w:tcW w:w="0" w:type="auto"/>
            <w:gridSpan w:val="3"/>
            <w:shd w:val="clear" w:color="auto" w:fill="FFFFFF"/>
            <w:tcMar>
              <w:left w:w="20" w:type="dxa"/>
              <w:right w:w="20" w:type="dxa"/>
            </w:tcMar>
            <w:vAlign w:val="center"/>
          </w:tcPr>
          <w:p w14:paraId="33DAAA96" w14:textId="77777777" w:rsidR="004D6A64" w:rsidRDefault="004D6A64">
            <w:pPr>
              <w:jc w:val="right"/>
              <w:rPr>
                <w:rFonts w:ascii="宋体"/>
              </w:rPr>
            </w:pPr>
          </w:p>
        </w:tc>
        <w:tc>
          <w:tcPr>
            <w:tcW w:w="0" w:type="auto"/>
            <w:shd w:val="clear" w:color="auto" w:fill="FFFFFF"/>
            <w:tcMar>
              <w:top w:w="40" w:type="dxa"/>
              <w:left w:w="20" w:type="dxa"/>
              <w:bottom w:w="40" w:type="dxa"/>
            </w:tcMar>
            <w:vAlign w:val="center"/>
          </w:tcPr>
          <w:p w14:paraId="33DAAA97"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A98" w14:textId="77777777" w:rsidR="004D6A64" w:rsidRDefault="00506CD6">
            <w:pPr>
              <w:jc w:val="right"/>
              <w:textAlignment w:val="center"/>
            </w:pPr>
            <w:r>
              <w:rPr>
                <w:rFonts w:ascii="Times New Roman" w:eastAsia="宋体" w:hAnsi="Times New Roman"/>
                <w:color w:val="000000"/>
                <w:sz w:val="20"/>
                <w:szCs w:val="20"/>
              </w:rPr>
              <w:t>75 </w:t>
            </w:r>
          </w:p>
        </w:tc>
        <w:tc>
          <w:tcPr>
            <w:tcW w:w="0" w:type="auto"/>
            <w:shd w:val="clear" w:color="auto" w:fill="FFFFFF"/>
            <w:tcMar>
              <w:top w:w="40" w:type="dxa"/>
              <w:bottom w:w="40" w:type="dxa"/>
              <w:right w:w="20" w:type="dxa"/>
            </w:tcMar>
            <w:vAlign w:val="center"/>
          </w:tcPr>
          <w:p w14:paraId="33DAAA99" w14:textId="77777777" w:rsidR="004D6A64" w:rsidRDefault="004D6A64">
            <w:pPr>
              <w:jc w:val="right"/>
              <w:rPr>
                <w:rFonts w:ascii="宋体"/>
              </w:rPr>
            </w:pPr>
          </w:p>
        </w:tc>
        <w:tc>
          <w:tcPr>
            <w:tcW w:w="0" w:type="auto"/>
            <w:gridSpan w:val="3"/>
            <w:shd w:val="clear" w:color="auto" w:fill="FFFFFF"/>
            <w:tcMar>
              <w:left w:w="20" w:type="dxa"/>
              <w:right w:w="20" w:type="dxa"/>
            </w:tcMar>
            <w:vAlign w:val="center"/>
          </w:tcPr>
          <w:p w14:paraId="33DAAA9A" w14:textId="77777777" w:rsidR="004D6A64" w:rsidRDefault="004D6A64">
            <w:pPr>
              <w:jc w:val="right"/>
              <w:rPr>
                <w:rFonts w:ascii="宋体"/>
              </w:rPr>
            </w:pPr>
          </w:p>
        </w:tc>
        <w:tc>
          <w:tcPr>
            <w:tcW w:w="0" w:type="auto"/>
            <w:shd w:val="clear" w:color="auto" w:fill="FFFFFF"/>
            <w:tcMar>
              <w:top w:w="40" w:type="dxa"/>
              <w:left w:w="20" w:type="dxa"/>
              <w:bottom w:w="40" w:type="dxa"/>
            </w:tcMar>
            <w:vAlign w:val="center"/>
          </w:tcPr>
          <w:p w14:paraId="33DAAA9B"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A9C" w14:textId="77777777" w:rsidR="004D6A64" w:rsidRDefault="00506CD6">
            <w:pPr>
              <w:jc w:val="right"/>
              <w:textAlignment w:val="center"/>
            </w:pPr>
            <w:r>
              <w:rPr>
                <w:rFonts w:ascii="Times New Roman" w:eastAsia="宋体" w:hAnsi="Times New Roman"/>
                <w:color w:val="000000"/>
                <w:sz w:val="20"/>
                <w:szCs w:val="20"/>
              </w:rPr>
              <w:t>61 </w:t>
            </w:r>
          </w:p>
        </w:tc>
        <w:tc>
          <w:tcPr>
            <w:tcW w:w="0" w:type="auto"/>
            <w:shd w:val="clear" w:color="auto" w:fill="FFFFFF"/>
            <w:tcMar>
              <w:top w:w="40" w:type="dxa"/>
              <w:bottom w:w="40" w:type="dxa"/>
              <w:right w:w="20" w:type="dxa"/>
            </w:tcMar>
            <w:vAlign w:val="center"/>
          </w:tcPr>
          <w:p w14:paraId="33DAAA9D" w14:textId="77777777" w:rsidR="004D6A64" w:rsidRDefault="004D6A64">
            <w:pPr>
              <w:jc w:val="right"/>
              <w:rPr>
                <w:rFonts w:ascii="宋体"/>
              </w:rPr>
            </w:pPr>
          </w:p>
        </w:tc>
        <w:tc>
          <w:tcPr>
            <w:tcW w:w="0" w:type="auto"/>
            <w:gridSpan w:val="3"/>
            <w:shd w:val="clear" w:color="auto" w:fill="FFFFFF"/>
            <w:tcMar>
              <w:left w:w="20" w:type="dxa"/>
              <w:right w:w="20" w:type="dxa"/>
            </w:tcMar>
            <w:vAlign w:val="center"/>
          </w:tcPr>
          <w:p w14:paraId="33DAAA9E" w14:textId="77777777" w:rsidR="004D6A64" w:rsidRDefault="004D6A64">
            <w:pPr>
              <w:jc w:val="right"/>
              <w:rPr>
                <w:rFonts w:ascii="宋体"/>
              </w:rPr>
            </w:pPr>
          </w:p>
        </w:tc>
        <w:tc>
          <w:tcPr>
            <w:tcW w:w="0" w:type="auto"/>
            <w:shd w:val="clear" w:color="auto" w:fill="FFFFFF"/>
            <w:tcMar>
              <w:top w:w="40" w:type="dxa"/>
              <w:left w:w="20" w:type="dxa"/>
              <w:bottom w:w="40" w:type="dxa"/>
            </w:tcMar>
            <w:vAlign w:val="center"/>
          </w:tcPr>
          <w:p w14:paraId="33DAAA9F"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AAA0" w14:textId="77777777" w:rsidR="004D6A64" w:rsidRDefault="00506CD6">
            <w:pPr>
              <w:jc w:val="right"/>
              <w:textAlignment w:val="center"/>
            </w:pPr>
            <w:r>
              <w:rPr>
                <w:rFonts w:ascii="Times New Roman" w:eastAsia="宋体" w:hAnsi="Times New Roman"/>
                <w:color w:val="000000"/>
                <w:sz w:val="20"/>
                <w:szCs w:val="20"/>
              </w:rPr>
              <w:t>136 </w:t>
            </w:r>
          </w:p>
        </w:tc>
        <w:tc>
          <w:tcPr>
            <w:tcW w:w="0" w:type="auto"/>
            <w:shd w:val="clear" w:color="auto" w:fill="FFFFFF"/>
            <w:tcMar>
              <w:top w:w="40" w:type="dxa"/>
              <w:bottom w:w="40" w:type="dxa"/>
              <w:right w:w="20" w:type="dxa"/>
            </w:tcMar>
            <w:vAlign w:val="center"/>
          </w:tcPr>
          <w:p w14:paraId="33DAAAA1" w14:textId="77777777" w:rsidR="004D6A64" w:rsidRDefault="004D6A64">
            <w:pPr>
              <w:jc w:val="right"/>
              <w:rPr>
                <w:rFonts w:ascii="宋体"/>
              </w:rPr>
            </w:pPr>
          </w:p>
        </w:tc>
        <w:tc>
          <w:tcPr>
            <w:tcW w:w="0" w:type="auto"/>
            <w:shd w:val="clear" w:color="auto" w:fill="auto"/>
          </w:tcPr>
          <w:p w14:paraId="33DAAAA2" w14:textId="77777777" w:rsidR="004D6A64" w:rsidRDefault="004D6A64">
            <w:pPr>
              <w:rPr>
                <w:rFonts w:ascii="宋体"/>
              </w:rPr>
            </w:pPr>
          </w:p>
        </w:tc>
        <w:tc>
          <w:tcPr>
            <w:tcW w:w="0" w:type="auto"/>
            <w:shd w:val="clear" w:color="auto" w:fill="auto"/>
          </w:tcPr>
          <w:p w14:paraId="33DAAAA3" w14:textId="77777777" w:rsidR="004D6A64" w:rsidRDefault="004D6A64">
            <w:pPr>
              <w:rPr>
                <w:rFonts w:ascii="宋体"/>
              </w:rPr>
            </w:pPr>
          </w:p>
        </w:tc>
        <w:tc>
          <w:tcPr>
            <w:tcW w:w="0" w:type="auto"/>
            <w:shd w:val="clear" w:color="auto" w:fill="auto"/>
          </w:tcPr>
          <w:p w14:paraId="33DAAAA4" w14:textId="77777777" w:rsidR="004D6A64" w:rsidRDefault="004D6A64">
            <w:pPr>
              <w:rPr>
                <w:rFonts w:ascii="宋体"/>
              </w:rPr>
            </w:pPr>
          </w:p>
        </w:tc>
        <w:tc>
          <w:tcPr>
            <w:tcW w:w="0" w:type="auto"/>
            <w:shd w:val="clear" w:color="auto" w:fill="auto"/>
          </w:tcPr>
          <w:p w14:paraId="33DAAAA5" w14:textId="77777777" w:rsidR="004D6A64" w:rsidRDefault="004D6A64">
            <w:pPr>
              <w:rPr>
                <w:rFonts w:ascii="宋体"/>
              </w:rPr>
            </w:pPr>
          </w:p>
        </w:tc>
        <w:tc>
          <w:tcPr>
            <w:tcW w:w="0" w:type="auto"/>
            <w:shd w:val="clear" w:color="auto" w:fill="auto"/>
          </w:tcPr>
          <w:p w14:paraId="33DAAAA6" w14:textId="77777777" w:rsidR="004D6A64" w:rsidRDefault="004D6A64">
            <w:pPr>
              <w:rPr>
                <w:rFonts w:ascii="宋体"/>
              </w:rPr>
            </w:pPr>
          </w:p>
        </w:tc>
        <w:tc>
          <w:tcPr>
            <w:tcW w:w="0" w:type="auto"/>
            <w:shd w:val="clear" w:color="auto" w:fill="auto"/>
          </w:tcPr>
          <w:p w14:paraId="33DAAAA7" w14:textId="77777777" w:rsidR="004D6A64" w:rsidRDefault="004D6A64">
            <w:pPr>
              <w:rPr>
                <w:rFonts w:ascii="宋体"/>
              </w:rPr>
            </w:pPr>
          </w:p>
        </w:tc>
        <w:tc>
          <w:tcPr>
            <w:tcW w:w="0" w:type="auto"/>
            <w:shd w:val="clear" w:color="auto" w:fill="auto"/>
          </w:tcPr>
          <w:p w14:paraId="33DAAAA8" w14:textId="77777777" w:rsidR="004D6A64" w:rsidRDefault="004D6A64">
            <w:pPr>
              <w:rPr>
                <w:rFonts w:ascii="宋体"/>
              </w:rPr>
            </w:pPr>
          </w:p>
        </w:tc>
        <w:tc>
          <w:tcPr>
            <w:tcW w:w="0" w:type="auto"/>
            <w:shd w:val="clear" w:color="auto" w:fill="auto"/>
          </w:tcPr>
          <w:p w14:paraId="33DAAAA9" w14:textId="77777777" w:rsidR="004D6A64" w:rsidRDefault="004D6A64">
            <w:pPr>
              <w:rPr>
                <w:rFonts w:ascii="宋体"/>
              </w:rPr>
            </w:pPr>
          </w:p>
        </w:tc>
        <w:tc>
          <w:tcPr>
            <w:tcW w:w="0" w:type="auto"/>
            <w:shd w:val="clear" w:color="auto" w:fill="auto"/>
          </w:tcPr>
          <w:p w14:paraId="33DAAAAA" w14:textId="77777777" w:rsidR="004D6A64" w:rsidRDefault="004D6A64">
            <w:pPr>
              <w:rPr>
                <w:rFonts w:ascii="宋体"/>
              </w:rPr>
            </w:pPr>
          </w:p>
        </w:tc>
        <w:tc>
          <w:tcPr>
            <w:tcW w:w="0" w:type="auto"/>
            <w:shd w:val="clear" w:color="auto" w:fill="auto"/>
          </w:tcPr>
          <w:p w14:paraId="33DAAAAB" w14:textId="77777777" w:rsidR="004D6A64" w:rsidRDefault="004D6A64">
            <w:pPr>
              <w:rPr>
                <w:rFonts w:ascii="宋体"/>
              </w:rPr>
            </w:pPr>
          </w:p>
        </w:tc>
        <w:tc>
          <w:tcPr>
            <w:tcW w:w="0" w:type="auto"/>
            <w:shd w:val="clear" w:color="auto" w:fill="auto"/>
          </w:tcPr>
          <w:p w14:paraId="33DAAAAC" w14:textId="77777777" w:rsidR="004D6A64" w:rsidRDefault="004D6A64">
            <w:pPr>
              <w:rPr>
                <w:rFonts w:ascii="宋体"/>
              </w:rPr>
            </w:pPr>
          </w:p>
        </w:tc>
        <w:tc>
          <w:tcPr>
            <w:tcW w:w="0" w:type="auto"/>
            <w:shd w:val="clear" w:color="auto" w:fill="auto"/>
          </w:tcPr>
          <w:p w14:paraId="33DAAAAD" w14:textId="77777777" w:rsidR="004D6A64" w:rsidRDefault="004D6A64">
            <w:pPr>
              <w:rPr>
                <w:rFonts w:ascii="宋体"/>
              </w:rPr>
            </w:pPr>
          </w:p>
        </w:tc>
        <w:tc>
          <w:tcPr>
            <w:tcW w:w="0" w:type="auto"/>
            <w:shd w:val="clear" w:color="auto" w:fill="auto"/>
          </w:tcPr>
          <w:p w14:paraId="33DAAAAE" w14:textId="77777777" w:rsidR="004D6A64" w:rsidRDefault="004D6A64">
            <w:pPr>
              <w:rPr>
                <w:rFonts w:ascii="宋体"/>
              </w:rPr>
            </w:pPr>
          </w:p>
        </w:tc>
        <w:tc>
          <w:tcPr>
            <w:tcW w:w="0" w:type="auto"/>
            <w:shd w:val="clear" w:color="auto" w:fill="auto"/>
          </w:tcPr>
          <w:p w14:paraId="33DAAAAF" w14:textId="77777777" w:rsidR="004D6A64" w:rsidRDefault="004D6A64">
            <w:pPr>
              <w:rPr>
                <w:rFonts w:ascii="宋体"/>
              </w:rPr>
            </w:pPr>
          </w:p>
        </w:tc>
        <w:tc>
          <w:tcPr>
            <w:tcW w:w="0" w:type="auto"/>
            <w:shd w:val="clear" w:color="auto" w:fill="auto"/>
          </w:tcPr>
          <w:p w14:paraId="33DAAAB0" w14:textId="77777777" w:rsidR="004D6A64" w:rsidRDefault="004D6A64">
            <w:pPr>
              <w:rPr>
                <w:rFonts w:ascii="宋体"/>
              </w:rPr>
            </w:pPr>
          </w:p>
        </w:tc>
        <w:tc>
          <w:tcPr>
            <w:tcW w:w="0" w:type="auto"/>
            <w:shd w:val="clear" w:color="auto" w:fill="auto"/>
          </w:tcPr>
          <w:p w14:paraId="33DAAAB1" w14:textId="77777777" w:rsidR="004D6A64" w:rsidRDefault="004D6A64">
            <w:pPr>
              <w:rPr>
                <w:rFonts w:ascii="宋体"/>
              </w:rPr>
            </w:pPr>
          </w:p>
        </w:tc>
        <w:tc>
          <w:tcPr>
            <w:tcW w:w="0" w:type="auto"/>
            <w:shd w:val="clear" w:color="auto" w:fill="auto"/>
          </w:tcPr>
          <w:p w14:paraId="33DAAAB2" w14:textId="77777777" w:rsidR="004D6A64" w:rsidRDefault="004D6A64">
            <w:pPr>
              <w:rPr>
                <w:rFonts w:ascii="宋体"/>
              </w:rPr>
            </w:pPr>
          </w:p>
        </w:tc>
        <w:tc>
          <w:tcPr>
            <w:tcW w:w="0" w:type="auto"/>
            <w:shd w:val="clear" w:color="auto" w:fill="auto"/>
          </w:tcPr>
          <w:p w14:paraId="33DAAAB3" w14:textId="77777777" w:rsidR="004D6A64" w:rsidRDefault="004D6A64">
            <w:pPr>
              <w:rPr>
                <w:rFonts w:ascii="宋体"/>
              </w:rPr>
            </w:pPr>
          </w:p>
        </w:tc>
        <w:tc>
          <w:tcPr>
            <w:tcW w:w="0" w:type="auto"/>
            <w:shd w:val="clear" w:color="auto" w:fill="auto"/>
          </w:tcPr>
          <w:p w14:paraId="33DAAAB4" w14:textId="77777777" w:rsidR="004D6A64" w:rsidRDefault="004D6A64">
            <w:pPr>
              <w:rPr>
                <w:rFonts w:ascii="宋体"/>
              </w:rPr>
            </w:pPr>
          </w:p>
        </w:tc>
        <w:tc>
          <w:tcPr>
            <w:tcW w:w="0" w:type="auto"/>
            <w:shd w:val="clear" w:color="auto" w:fill="auto"/>
          </w:tcPr>
          <w:p w14:paraId="33DAAAB5" w14:textId="77777777" w:rsidR="004D6A64" w:rsidRDefault="004D6A64">
            <w:pPr>
              <w:rPr>
                <w:rFonts w:ascii="宋体"/>
              </w:rPr>
            </w:pPr>
          </w:p>
        </w:tc>
        <w:tc>
          <w:tcPr>
            <w:tcW w:w="0" w:type="auto"/>
            <w:shd w:val="clear" w:color="auto" w:fill="auto"/>
          </w:tcPr>
          <w:p w14:paraId="33DAAAB6" w14:textId="77777777" w:rsidR="004D6A64" w:rsidRDefault="004D6A64">
            <w:pPr>
              <w:rPr>
                <w:rFonts w:ascii="宋体"/>
              </w:rPr>
            </w:pPr>
          </w:p>
        </w:tc>
        <w:tc>
          <w:tcPr>
            <w:tcW w:w="0" w:type="auto"/>
            <w:shd w:val="clear" w:color="auto" w:fill="auto"/>
          </w:tcPr>
          <w:p w14:paraId="33DAAAB7" w14:textId="77777777" w:rsidR="004D6A64" w:rsidRDefault="004D6A64">
            <w:pPr>
              <w:rPr>
                <w:rFonts w:ascii="宋体"/>
              </w:rPr>
            </w:pPr>
          </w:p>
        </w:tc>
        <w:tc>
          <w:tcPr>
            <w:tcW w:w="0" w:type="auto"/>
            <w:shd w:val="clear" w:color="auto" w:fill="auto"/>
          </w:tcPr>
          <w:p w14:paraId="33DAAAB8" w14:textId="77777777" w:rsidR="004D6A64" w:rsidRDefault="004D6A64">
            <w:pPr>
              <w:rPr>
                <w:rFonts w:ascii="宋体"/>
              </w:rPr>
            </w:pPr>
          </w:p>
        </w:tc>
        <w:tc>
          <w:tcPr>
            <w:tcW w:w="0" w:type="auto"/>
            <w:shd w:val="clear" w:color="auto" w:fill="auto"/>
          </w:tcPr>
          <w:p w14:paraId="33DAAAB9" w14:textId="77777777" w:rsidR="004D6A64" w:rsidRDefault="004D6A64">
            <w:pPr>
              <w:rPr>
                <w:rFonts w:ascii="宋体"/>
              </w:rPr>
            </w:pPr>
          </w:p>
        </w:tc>
        <w:tc>
          <w:tcPr>
            <w:tcW w:w="0" w:type="auto"/>
            <w:shd w:val="clear" w:color="auto" w:fill="auto"/>
          </w:tcPr>
          <w:p w14:paraId="33DAAABA" w14:textId="77777777" w:rsidR="004D6A64" w:rsidRDefault="004D6A64">
            <w:pPr>
              <w:rPr>
                <w:rFonts w:ascii="宋体"/>
              </w:rPr>
            </w:pPr>
          </w:p>
        </w:tc>
        <w:tc>
          <w:tcPr>
            <w:tcW w:w="0" w:type="auto"/>
            <w:shd w:val="clear" w:color="auto" w:fill="auto"/>
          </w:tcPr>
          <w:p w14:paraId="33DAAABB" w14:textId="77777777" w:rsidR="004D6A64" w:rsidRDefault="004D6A64">
            <w:pPr>
              <w:rPr>
                <w:rFonts w:ascii="宋体"/>
              </w:rPr>
            </w:pPr>
          </w:p>
        </w:tc>
        <w:tc>
          <w:tcPr>
            <w:tcW w:w="0" w:type="auto"/>
            <w:shd w:val="clear" w:color="auto" w:fill="auto"/>
          </w:tcPr>
          <w:p w14:paraId="33DAAABC" w14:textId="77777777" w:rsidR="004D6A64" w:rsidRDefault="004D6A64">
            <w:pPr>
              <w:rPr>
                <w:rFonts w:ascii="宋体"/>
              </w:rPr>
            </w:pPr>
          </w:p>
        </w:tc>
      </w:tr>
      <w:tr w:rsidR="004D6A64" w14:paraId="33DAAAEB" w14:textId="77777777">
        <w:tc>
          <w:tcPr>
            <w:tcW w:w="0" w:type="auto"/>
            <w:gridSpan w:val="3"/>
            <w:shd w:val="clear" w:color="auto" w:fill="CCEEFF"/>
            <w:tcMar>
              <w:top w:w="40" w:type="dxa"/>
              <w:left w:w="20" w:type="dxa"/>
              <w:bottom w:w="40" w:type="dxa"/>
              <w:right w:w="20" w:type="dxa"/>
            </w:tcMar>
            <w:vAlign w:val="center"/>
          </w:tcPr>
          <w:p w14:paraId="33DAAABE"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Adjustment for adoption of accounting standard (Note 1)</w:t>
            </w:r>
          </w:p>
        </w:tc>
        <w:tc>
          <w:tcPr>
            <w:tcW w:w="0" w:type="auto"/>
            <w:gridSpan w:val="2"/>
            <w:shd w:val="clear" w:color="auto" w:fill="CCEEFF"/>
            <w:tcMar>
              <w:top w:w="40" w:type="dxa"/>
              <w:left w:w="20" w:type="dxa"/>
              <w:bottom w:w="40" w:type="dxa"/>
              <w:right w:w="0" w:type="dxa"/>
            </w:tcMar>
            <w:vAlign w:val="center"/>
          </w:tcPr>
          <w:p w14:paraId="33DAAABF" w14:textId="77777777" w:rsidR="004D6A64" w:rsidRDefault="00506CD6">
            <w:pPr>
              <w:jc w:val="right"/>
              <w:textAlignment w:val="center"/>
            </w:pPr>
            <w:r>
              <w:rPr>
                <w:rFonts w:ascii="Times New Roman" w:eastAsia="宋体" w:hAnsi="Times New Roman"/>
                <w:color w:val="000000"/>
                <w:sz w:val="20"/>
                <w:szCs w:val="20"/>
              </w:rPr>
              <w:t>40 </w:t>
            </w:r>
          </w:p>
        </w:tc>
        <w:tc>
          <w:tcPr>
            <w:tcW w:w="0" w:type="auto"/>
            <w:shd w:val="clear" w:color="auto" w:fill="CCEEFF"/>
            <w:tcMar>
              <w:top w:w="40" w:type="dxa"/>
              <w:bottom w:w="40" w:type="dxa"/>
              <w:right w:w="20" w:type="dxa"/>
            </w:tcMar>
            <w:vAlign w:val="center"/>
          </w:tcPr>
          <w:p w14:paraId="33DAAAC0" w14:textId="77777777" w:rsidR="004D6A64" w:rsidRDefault="004D6A64">
            <w:pPr>
              <w:jc w:val="right"/>
              <w:rPr>
                <w:rFonts w:ascii="宋体"/>
              </w:rPr>
            </w:pPr>
          </w:p>
        </w:tc>
        <w:tc>
          <w:tcPr>
            <w:tcW w:w="0" w:type="auto"/>
            <w:gridSpan w:val="3"/>
            <w:shd w:val="clear" w:color="auto" w:fill="CCEEFF"/>
            <w:tcMar>
              <w:left w:w="20" w:type="dxa"/>
              <w:right w:w="20" w:type="dxa"/>
            </w:tcMar>
            <w:vAlign w:val="center"/>
          </w:tcPr>
          <w:p w14:paraId="33DAAAC1"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center"/>
          </w:tcPr>
          <w:p w14:paraId="33DAAAC2" w14:textId="77777777" w:rsidR="004D6A64" w:rsidRDefault="00506CD6">
            <w:pPr>
              <w:jc w:val="right"/>
              <w:textAlignment w:val="center"/>
            </w:pPr>
            <w:r>
              <w:rPr>
                <w:rFonts w:ascii="Times New Roman" w:eastAsia="宋体" w:hAnsi="Times New Roman"/>
                <w:color w:val="000000"/>
                <w:sz w:val="20"/>
                <w:szCs w:val="20"/>
              </w:rPr>
              <w:t>71 </w:t>
            </w:r>
          </w:p>
        </w:tc>
        <w:tc>
          <w:tcPr>
            <w:tcW w:w="0" w:type="auto"/>
            <w:shd w:val="clear" w:color="auto" w:fill="CCEEFF"/>
            <w:tcMar>
              <w:top w:w="40" w:type="dxa"/>
              <w:bottom w:w="40" w:type="dxa"/>
              <w:right w:w="20" w:type="dxa"/>
            </w:tcMar>
            <w:vAlign w:val="center"/>
          </w:tcPr>
          <w:p w14:paraId="33DAAAC3" w14:textId="77777777" w:rsidR="004D6A64" w:rsidRDefault="004D6A64">
            <w:pPr>
              <w:jc w:val="right"/>
              <w:rPr>
                <w:rFonts w:ascii="宋体"/>
              </w:rPr>
            </w:pPr>
          </w:p>
        </w:tc>
        <w:tc>
          <w:tcPr>
            <w:tcW w:w="0" w:type="auto"/>
            <w:gridSpan w:val="3"/>
            <w:shd w:val="clear" w:color="auto" w:fill="CCEEFF"/>
            <w:tcMar>
              <w:left w:w="20" w:type="dxa"/>
              <w:right w:w="20" w:type="dxa"/>
            </w:tcMar>
            <w:vAlign w:val="center"/>
          </w:tcPr>
          <w:p w14:paraId="33DAAAC4"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center"/>
          </w:tcPr>
          <w:p w14:paraId="33DAAAC5" w14:textId="77777777" w:rsidR="004D6A64" w:rsidRDefault="00506CD6">
            <w:pPr>
              <w:jc w:val="right"/>
              <w:textAlignment w:val="center"/>
            </w:pPr>
            <w:r>
              <w:rPr>
                <w:rFonts w:ascii="Times New Roman" w:eastAsia="宋体" w:hAnsi="Times New Roman"/>
                <w:color w:val="000000"/>
                <w:sz w:val="20"/>
                <w:szCs w:val="20"/>
              </w:rPr>
              <w:t>111 </w:t>
            </w:r>
          </w:p>
        </w:tc>
        <w:tc>
          <w:tcPr>
            <w:tcW w:w="0" w:type="auto"/>
            <w:shd w:val="clear" w:color="auto" w:fill="CCEEFF"/>
            <w:tcMar>
              <w:top w:w="40" w:type="dxa"/>
              <w:bottom w:w="40" w:type="dxa"/>
              <w:right w:w="20" w:type="dxa"/>
            </w:tcMar>
            <w:vAlign w:val="center"/>
          </w:tcPr>
          <w:p w14:paraId="33DAAAC6" w14:textId="77777777" w:rsidR="004D6A64" w:rsidRDefault="004D6A64">
            <w:pPr>
              <w:jc w:val="right"/>
              <w:rPr>
                <w:rFonts w:ascii="宋体"/>
              </w:rPr>
            </w:pPr>
          </w:p>
        </w:tc>
        <w:tc>
          <w:tcPr>
            <w:tcW w:w="0" w:type="auto"/>
            <w:gridSpan w:val="3"/>
            <w:shd w:val="clear" w:color="auto" w:fill="CCEEFF"/>
            <w:tcMar>
              <w:left w:w="20" w:type="dxa"/>
              <w:right w:w="20" w:type="dxa"/>
            </w:tcMar>
            <w:vAlign w:val="center"/>
          </w:tcPr>
          <w:p w14:paraId="33DAAAC7"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center"/>
          </w:tcPr>
          <w:p w14:paraId="33DAAAC8"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AAC9" w14:textId="77777777" w:rsidR="004D6A64" w:rsidRDefault="004D6A64">
            <w:pPr>
              <w:jc w:val="right"/>
              <w:rPr>
                <w:rFonts w:ascii="宋体"/>
              </w:rPr>
            </w:pPr>
          </w:p>
        </w:tc>
        <w:tc>
          <w:tcPr>
            <w:tcW w:w="0" w:type="auto"/>
            <w:gridSpan w:val="3"/>
            <w:shd w:val="clear" w:color="auto" w:fill="CCEEFF"/>
            <w:tcMar>
              <w:left w:w="20" w:type="dxa"/>
              <w:right w:w="20" w:type="dxa"/>
            </w:tcMar>
            <w:vAlign w:val="center"/>
          </w:tcPr>
          <w:p w14:paraId="33DAAACA"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center"/>
          </w:tcPr>
          <w:p w14:paraId="33DAAACB"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AACC" w14:textId="77777777" w:rsidR="004D6A64" w:rsidRDefault="004D6A64">
            <w:pPr>
              <w:jc w:val="right"/>
              <w:rPr>
                <w:rFonts w:ascii="宋体"/>
              </w:rPr>
            </w:pPr>
          </w:p>
        </w:tc>
        <w:tc>
          <w:tcPr>
            <w:tcW w:w="0" w:type="auto"/>
            <w:gridSpan w:val="3"/>
            <w:shd w:val="clear" w:color="auto" w:fill="CCEEFF"/>
            <w:tcMar>
              <w:left w:w="20" w:type="dxa"/>
              <w:right w:w="20" w:type="dxa"/>
            </w:tcMar>
            <w:vAlign w:val="center"/>
          </w:tcPr>
          <w:p w14:paraId="33DAAACD"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center"/>
          </w:tcPr>
          <w:p w14:paraId="33DAAACE"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AACF" w14:textId="77777777" w:rsidR="004D6A64" w:rsidRDefault="004D6A64">
            <w:pPr>
              <w:jc w:val="right"/>
              <w:rPr>
                <w:rFonts w:ascii="宋体"/>
              </w:rPr>
            </w:pPr>
          </w:p>
        </w:tc>
        <w:tc>
          <w:tcPr>
            <w:tcW w:w="0" w:type="auto"/>
            <w:shd w:val="clear" w:color="auto" w:fill="auto"/>
          </w:tcPr>
          <w:p w14:paraId="33DAAAD0" w14:textId="77777777" w:rsidR="004D6A64" w:rsidRDefault="004D6A64">
            <w:pPr>
              <w:rPr>
                <w:rFonts w:ascii="宋体"/>
              </w:rPr>
            </w:pPr>
          </w:p>
        </w:tc>
        <w:tc>
          <w:tcPr>
            <w:tcW w:w="0" w:type="auto"/>
            <w:shd w:val="clear" w:color="auto" w:fill="auto"/>
          </w:tcPr>
          <w:p w14:paraId="33DAAAD1" w14:textId="77777777" w:rsidR="004D6A64" w:rsidRDefault="004D6A64">
            <w:pPr>
              <w:rPr>
                <w:rFonts w:ascii="宋体"/>
              </w:rPr>
            </w:pPr>
          </w:p>
        </w:tc>
        <w:tc>
          <w:tcPr>
            <w:tcW w:w="0" w:type="auto"/>
            <w:shd w:val="clear" w:color="auto" w:fill="auto"/>
          </w:tcPr>
          <w:p w14:paraId="33DAAAD2" w14:textId="77777777" w:rsidR="004D6A64" w:rsidRDefault="004D6A64">
            <w:pPr>
              <w:rPr>
                <w:rFonts w:ascii="宋体"/>
              </w:rPr>
            </w:pPr>
          </w:p>
        </w:tc>
        <w:tc>
          <w:tcPr>
            <w:tcW w:w="0" w:type="auto"/>
            <w:shd w:val="clear" w:color="auto" w:fill="auto"/>
          </w:tcPr>
          <w:p w14:paraId="33DAAAD3" w14:textId="77777777" w:rsidR="004D6A64" w:rsidRDefault="004D6A64">
            <w:pPr>
              <w:rPr>
                <w:rFonts w:ascii="宋体"/>
              </w:rPr>
            </w:pPr>
          </w:p>
        </w:tc>
        <w:tc>
          <w:tcPr>
            <w:tcW w:w="0" w:type="auto"/>
            <w:shd w:val="clear" w:color="auto" w:fill="auto"/>
          </w:tcPr>
          <w:p w14:paraId="33DAAAD4" w14:textId="77777777" w:rsidR="004D6A64" w:rsidRDefault="004D6A64">
            <w:pPr>
              <w:rPr>
                <w:rFonts w:ascii="宋体"/>
              </w:rPr>
            </w:pPr>
          </w:p>
        </w:tc>
        <w:tc>
          <w:tcPr>
            <w:tcW w:w="0" w:type="auto"/>
            <w:shd w:val="clear" w:color="auto" w:fill="auto"/>
          </w:tcPr>
          <w:p w14:paraId="33DAAAD5" w14:textId="77777777" w:rsidR="004D6A64" w:rsidRDefault="004D6A64">
            <w:pPr>
              <w:rPr>
                <w:rFonts w:ascii="宋体"/>
              </w:rPr>
            </w:pPr>
          </w:p>
        </w:tc>
        <w:tc>
          <w:tcPr>
            <w:tcW w:w="0" w:type="auto"/>
            <w:shd w:val="clear" w:color="auto" w:fill="auto"/>
          </w:tcPr>
          <w:p w14:paraId="33DAAAD6" w14:textId="77777777" w:rsidR="004D6A64" w:rsidRDefault="004D6A64">
            <w:pPr>
              <w:rPr>
                <w:rFonts w:ascii="宋体"/>
              </w:rPr>
            </w:pPr>
          </w:p>
        </w:tc>
        <w:tc>
          <w:tcPr>
            <w:tcW w:w="0" w:type="auto"/>
            <w:shd w:val="clear" w:color="auto" w:fill="auto"/>
          </w:tcPr>
          <w:p w14:paraId="33DAAAD7" w14:textId="77777777" w:rsidR="004D6A64" w:rsidRDefault="004D6A64">
            <w:pPr>
              <w:rPr>
                <w:rFonts w:ascii="宋体"/>
              </w:rPr>
            </w:pPr>
          </w:p>
        </w:tc>
        <w:tc>
          <w:tcPr>
            <w:tcW w:w="0" w:type="auto"/>
            <w:shd w:val="clear" w:color="auto" w:fill="auto"/>
          </w:tcPr>
          <w:p w14:paraId="33DAAAD8" w14:textId="77777777" w:rsidR="004D6A64" w:rsidRDefault="004D6A64">
            <w:pPr>
              <w:rPr>
                <w:rFonts w:ascii="宋体"/>
              </w:rPr>
            </w:pPr>
          </w:p>
        </w:tc>
        <w:tc>
          <w:tcPr>
            <w:tcW w:w="0" w:type="auto"/>
            <w:shd w:val="clear" w:color="auto" w:fill="auto"/>
          </w:tcPr>
          <w:p w14:paraId="33DAAAD9" w14:textId="77777777" w:rsidR="004D6A64" w:rsidRDefault="004D6A64">
            <w:pPr>
              <w:rPr>
                <w:rFonts w:ascii="宋体"/>
              </w:rPr>
            </w:pPr>
          </w:p>
        </w:tc>
        <w:tc>
          <w:tcPr>
            <w:tcW w:w="0" w:type="auto"/>
            <w:shd w:val="clear" w:color="auto" w:fill="auto"/>
          </w:tcPr>
          <w:p w14:paraId="33DAAADA" w14:textId="77777777" w:rsidR="004D6A64" w:rsidRDefault="004D6A64">
            <w:pPr>
              <w:rPr>
                <w:rFonts w:ascii="宋体"/>
              </w:rPr>
            </w:pPr>
          </w:p>
        </w:tc>
        <w:tc>
          <w:tcPr>
            <w:tcW w:w="0" w:type="auto"/>
            <w:shd w:val="clear" w:color="auto" w:fill="auto"/>
          </w:tcPr>
          <w:p w14:paraId="33DAAADB" w14:textId="77777777" w:rsidR="004D6A64" w:rsidRDefault="004D6A64">
            <w:pPr>
              <w:rPr>
                <w:rFonts w:ascii="宋体"/>
              </w:rPr>
            </w:pPr>
          </w:p>
        </w:tc>
        <w:tc>
          <w:tcPr>
            <w:tcW w:w="0" w:type="auto"/>
            <w:shd w:val="clear" w:color="auto" w:fill="auto"/>
          </w:tcPr>
          <w:p w14:paraId="33DAAADC" w14:textId="77777777" w:rsidR="004D6A64" w:rsidRDefault="004D6A64">
            <w:pPr>
              <w:rPr>
                <w:rFonts w:ascii="宋体"/>
              </w:rPr>
            </w:pPr>
          </w:p>
        </w:tc>
        <w:tc>
          <w:tcPr>
            <w:tcW w:w="0" w:type="auto"/>
            <w:shd w:val="clear" w:color="auto" w:fill="auto"/>
          </w:tcPr>
          <w:p w14:paraId="33DAAADD" w14:textId="77777777" w:rsidR="004D6A64" w:rsidRDefault="004D6A64">
            <w:pPr>
              <w:rPr>
                <w:rFonts w:ascii="宋体"/>
              </w:rPr>
            </w:pPr>
          </w:p>
        </w:tc>
        <w:tc>
          <w:tcPr>
            <w:tcW w:w="0" w:type="auto"/>
            <w:shd w:val="clear" w:color="auto" w:fill="auto"/>
          </w:tcPr>
          <w:p w14:paraId="33DAAADE" w14:textId="77777777" w:rsidR="004D6A64" w:rsidRDefault="004D6A64">
            <w:pPr>
              <w:rPr>
                <w:rFonts w:ascii="宋体"/>
              </w:rPr>
            </w:pPr>
          </w:p>
        </w:tc>
        <w:tc>
          <w:tcPr>
            <w:tcW w:w="0" w:type="auto"/>
            <w:shd w:val="clear" w:color="auto" w:fill="auto"/>
          </w:tcPr>
          <w:p w14:paraId="33DAAADF" w14:textId="77777777" w:rsidR="004D6A64" w:rsidRDefault="004D6A64">
            <w:pPr>
              <w:rPr>
                <w:rFonts w:ascii="宋体"/>
              </w:rPr>
            </w:pPr>
          </w:p>
        </w:tc>
        <w:tc>
          <w:tcPr>
            <w:tcW w:w="0" w:type="auto"/>
            <w:shd w:val="clear" w:color="auto" w:fill="auto"/>
          </w:tcPr>
          <w:p w14:paraId="33DAAAE0" w14:textId="77777777" w:rsidR="004D6A64" w:rsidRDefault="004D6A64">
            <w:pPr>
              <w:rPr>
                <w:rFonts w:ascii="宋体"/>
              </w:rPr>
            </w:pPr>
          </w:p>
        </w:tc>
        <w:tc>
          <w:tcPr>
            <w:tcW w:w="0" w:type="auto"/>
            <w:shd w:val="clear" w:color="auto" w:fill="auto"/>
          </w:tcPr>
          <w:p w14:paraId="33DAAAE1" w14:textId="77777777" w:rsidR="004D6A64" w:rsidRDefault="004D6A64">
            <w:pPr>
              <w:rPr>
                <w:rFonts w:ascii="宋体"/>
              </w:rPr>
            </w:pPr>
          </w:p>
        </w:tc>
        <w:tc>
          <w:tcPr>
            <w:tcW w:w="0" w:type="auto"/>
            <w:shd w:val="clear" w:color="auto" w:fill="auto"/>
          </w:tcPr>
          <w:p w14:paraId="33DAAAE2" w14:textId="77777777" w:rsidR="004D6A64" w:rsidRDefault="004D6A64">
            <w:pPr>
              <w:rPr>
                <w:rFonts w:ascii="宋体"/>
              </w:rPr>
            </w:pPr>
          </w:p>
        </w:tc>
        <w:tc>
          <w:tcPr>
            <w:tcW w:w="0" w:type="auto"/>
            <w:shd w:val="clear" w:color="auto" w:fill="auto"/>
          </w:tcPr>
          <w:p w14:paraId="33DAAAE3" w14:textId="77777777" w:rsidR="004D6A64" w:rsidRDefault="004D6A64">
            <w:pPr>
              <w:rPr>
                <w:rFonts w:ascii="宋体"/>
              </w:rPr>
            </w:pPr>
          </w:p>
        </w:tc>
        <w:tc>
          <w:tcPr>
            <w:tcW w:w="0" w:type="auto"/>
            <w:shd w:val="clear" w:color="auto" w:fill="auto"/>
          </w:tcPr>
          <w:p w14:paraId="33DAAAE4" w14:textId="77777777" w:rsidR="004D6A64" w:rsidRDefault="004D6A64">
            <w:pPr>
              <w:rPr>
                <w:rFonts w:ascii="宋体"/>
              </w:rPr>
            </w:pPr>
          </w:p>
        </w:tc>
        <w:tc>
          <w:tcPr>
            <w:tcW w:w="0" w:type="auto"/>
            <w:shd w:val="clear" w:color="auto" w:fill="auto"/>
          </w:tcPr>
          <w:p w14:paraId="33DAAAE5" w14:textId="77777777" w:rsidR="004D6A64" w:rsidRDefault="004D6A64">
            <w:pPr>
              <w:rPr>
                <w:rFonts w:ascii="宋体"/>
              </w:rPr>
            </w:pPr>
          </w:p>
        </w:tc>
        <w:tc>
          <w:tcPr>
            <w:tcW w:w="0" w:type="auto"/>
            <w:shd w:val="clear" w:color="auto" w:fill="auto"/>
          </w:tcPr>
          <w:p w14:paraId="33DAAAE6" w14:textId="77777777" w:rsidR="004D6A64" w:rsidRDefault="004D6A64">
            <w:pPr>
              <w:rPr>
                <w:rFonts w:ascii="宋体"/>
              </w:rPr>
            </w:pPr>
          </w:p>
        </w:tc>
        <w:tc>
          <w:tcPr>
            <w:tcW w:w="0" w:type="auto"/>
            <w:shd w:val="clear" w:color="auto" w:fill="auto"/>
          </w:tcPr>
          <w:p w14:paraId="33DAAAE7" w14:textId="77777777" w:rsidR="004D6A64" w:rsidRDefault="004D6A64">
            <w:pPr>
              <w:rPr>
                <w:rFonts w:ascii="宋体"/>
              </w:rPr>
            </w:pPr>
          </w:p>
        </w:tc>
        <w:tc>
          <w:tcPr>
            <w:tcW w:w="0" w:type="auto"/>
            <w:shd w:val="clear" w:color="auto" w:fill="auto"/>
          </w:tcPr>
          <w:p w14:paraId="33DAAAE8" w14:textId="77777777" w:rsidR="004D6A64" w:rsidRDefault="004D6A64">
            <w:pPr>
              <w:rPr>
                <w:rFonts w:ascii="宋体"/>
              </w:rPr>
            </w:pPr>
          </w:p>
        </w:tc>
        <w:tc>
          <w:tcPr>
            <w:tcW w:w="0" w:type="auto"/>
            <w:shd w:val="clear" w:color="auto" w:fill="auto"/>
          </w:tcPr>
          <w:p w14:paraId="33DAAAE9" w14:textId="77777777" w:rsidR="004D6A64" w:rsidRDefault="004D6A64">
            <w:pPr>
              <w:rPr>
                <w:rFonts w:ascii="宋体"/>
              </w:rPr>
            </w:pPr>
          </w:p>
        </w:tc>
        <w:tc>
          <w:tcPr>
            <w:tcW w:w="0" w:type="auto"/>
            <w:shd w:val="clear" w:color="auto" w:fill="auto"/>
          </w:tcPr>
          <w:p w14:paraId="33DAAAEA" w14:textId="77777777" w:rsidR="004D6A64" w:rsidRDefault="004D6A64">
            <w:pPr>
              <w:rPr>
                <w:rFonts w:ascii="宋体"/>
              </w:rPr>
            </w:pPr>
          </w:p>
        </w:tc>
      </w:tr>
      <w:tr w:rsidR="004D6A64" w14:paraId="33DAAB19" w14:textId="77777777">
        <w:tc>
          <w:tcPr>
            <w:tcW w:w="0" w:type="auto"/>
            <w:gridSpan w:val="3"/>
            <w:shd w:val="clear" w:color="auto" w:fill="FFFFFF"/>
            <w:tcMar>
              <w:top w:w="40" w:type="dxa"/>
              <w:left w:w="120" w:type="dxa"/>
              <w:bottom w:w="40" w:type="dxa"/>
              <w:right w:w="20" w:type="dxa"/>
            </w:tcMar>
            <w:vAlign w:val="center"/>
          </w:tcPr>
          <w:p w14:paraId="33DAAAEC" w14:textId="77777777" w:rsidR="004D6A64" w:rsidRDefault="00506CD6">
            <w:pPr>
              <w:textAlignment w:val="center"/>
            </w:pPr>
            <w:r>
              <w:rPr>
                <w:rFonts w:ascii="Times New Roman" w:eastAsia="宋体" w:hAnsi="Times New Roman"/>
                <w:color w:val="000000"/>
                <w:sz w:val="20"/>
                <w:szCs w:val="20"/>
              </w:rPr>
              <w:t xml:space="preserve">Charge-offs, net of </w:t>
            </w:r>
            <w:r>
              <w:rPr>
                <w:rFonts w:ascii="Times New Roman" w:eastAsia="宋体" w:hAnsi="Times New Roman"/>
                <w:color w:val="000000"/>
                <w:sz w:val="20"/>
                <w:szCs w:val="20"/>
              </w:rPr>
              <w:t>recoveries</w:t>
            </w:r>
          </w:p>
        </w:tc>
        <w:tc>
          <w:tcPr>
            <w:tcW w:w="0" w:type="auto"/>
            <w:gridSpan w:val="2"/>
            <w:shd w:val="clear" w:color="auto" w:fill="FFFFFF"/>
            <w:tcMar>
              <w:top w:w="40" w:type="dxa"/>
              <w:left w:w="20" w:type="dxa"/>
              <w:bottom w:w="40" w:type="dxa"/>
              <w:right w:w="0" w:type="dxa"/>
            </w:tcMar>
            <w:vAlign w:val="center"/>
          </w:tcPr>
          <w:p w14:paraId="33DAAAED" w14:textId="77777777" w:rsidR="004D6A64" w:rsidRDefault="00506CD6">
            <w:pPr>
              <w:jc w:val="right"/>
              <w:textAlignment w:val="center"/>
            </w:pPr>
            <w:r>
              <w:rPr>
                <w:rFonts w:ascii="Times New Roman" w:eastAsia="宋体" w:hAnsi="Times New Roman"/>
                <w:color w:val="000000"/>
                <w:sz w:val="20"/>
                <w:szCs w:val="20"/>
              </w:rPr>
              <w:t>(38)</w:t>
            </w:r>
          </w:p>
        </w:tc>
        <w:tc>
          <w:tcPr>
            <w:tcW w:w="0" w:type="auto"/>
            <w:shd w:val="clear" w:color="auto" w:fill="FFFFFF"/>
            <w:tcMar>
              <w:top w:w="40" w:type="dxa"/>
              <w:bottom w:w="40" w:type="dxa"/>
              <w:right w:w="20" w:type="dxa"/>
            </w:tcMar>
            <w:vAlign w:val="center"/>
          </w:tcPr>
          <w:p w14:paraId="33DAAAEE" w14:textId="77777777" w:rsidR="004D6A64" w:rsidRDefault="004D6A64">
            <w:pPr>
              <w:jc w:val="right"/>
              <w:rPr>
                <w:rFonts w:ascii="宋体"/>
              </w:rPr>
            </w:pPr>
          </w:p>
        </w:tc>
        <w:tc>
          <w:tcPr>
            <w:tcW w:w="0" w:type="auto"/>
            <w:gridSpan w:val="3"/>
            <w:shd w:val="clear" w:color="auto" w:fill="FFFFFF"/>
            <w:tcMar>
              <w:left w:w="20" w:type="dxa"/>
              <w:right w:w="20" w:type="dxa"/>
            </w:tcMar>
            <w:vAlign w:val="center"/>
          </w:tcPr>
          <w:p w14:paraId="33DAAAEF"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center"/>
          </w:tcPr>
          <w:p w14:paraId="33DAAAF0" w14:textId="77777777" w:rsidR="004D6A64" w:rsidRDefault="00506CD6">
            <w:pPr>
              <w:jc w:val="right"/>
              <w:textAlignment w:val="center"/>
            </w:pPr>
            <w:r>
              <w:rPr>
                <w:rFonts w:ascii="Times New Roman" w:eastAsia="宋体" w:hAnsi="Times New Roman"/>
                <w:color w:val="000000"/>
                <w:sz w:val="20"/>
                <w:szCs w:val="20"/>
              </w:rPr>
              <w:t>(16)</w:t>
            </w:r>
          </w:p>
        </w:tc>
        <w:tc>
          <w:tcPr>
            <w:tcW w:w="0" w:type="auto"/>
            <w:shd w:val="clear" w:color="auto" w:fill="FFFFFF"/>
            <w:tcMar>
              <w:top w:w="40" w:type="dxa"/>
              <w:bottom w:w="40" w:type="dxa"/>
              <w:right w:w="20" w:type="dxa"/>
            </w:tcMar>
            <w:vAlign w:val="center"/>
          </w:tcPr>
          <w:p w14:paraId="33DAAAF1" w14:textId="77777777" w:rsidR="004D6A64" w:rsidRDefault="004D6A64">
            <w:pPr>
              <w:jc w:val="right"/>
              <w:rPr>
                <w:rFonts w:ascii="宋体"/>
              </w:rPr>
            </w:pPr>
          </w:p>
        </w:tc>
        <w:tc>
          <w:tcPr>
            <w:tcW w:w="0" w:type="auto"/>
            <w:gridSpan w:val="3"/>
            <w:shd w:val="clear" w:color="auto" w:fill="FFFFFF"/>
            <w:tcMar>
              <w:left w:w="20" w:type="dxa"/>
              <w:right w:w="20" w:type="dxa"/>
            </w:tcMar>
            <w:vAlign w:val="center"/>
          </w:tcPr>
          <w:p w14:paraId="33DAAAF2"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center"/>
          </w:tcPr>
          <w:p w14:paraId="33DAAAF3" w14:textId="77777777" w:rsidR="004D6A64" w:rsidRDefault="00506CD6">
            <w:pPr>
              <w:jc w:val="right"/>
              <w:textAlignment w:val="center"/>
            </w:pPr>
            <w:r>
              <w:rPr>
                <w:rFonts w:ascii="Times New Roman" w:eastAsia="宋体" w:hAnsi="Times New Roman"/>
                <w:color w:val="000000"/>
                <w:sz w:val="20"/>
                <w:szCs w:val="20"/>
              </w:rPr>
              <w:t>(54)</w:t>
            </w:r>
          </w:p>
        </w:tc>
        <w:tc>
          <w:tcPr>
            <w:tcW w:w="0" w:type="auto"/>
            <w:shd w:val="clear" w:color="auto" w:fill="FFFFFF"/>
            <w:tcMar>
              <w:top w:w="40" w:type="dxa"/>
              <w:bottom w:w="40" w:type="dxa"/>
              <w:right w:w="20" w:type="dxa"/>
            </w:tcMar>
            <w:vAlign w:val="center"/>
          </w:tcPr>
          <w:p w14:paraId="33DAAAF4" w14:textId="77777777" w:rsidR="004D6A64" w:rsidRDefault="004D6A64">
            <w:pPr>
              <w:jc w:val="right"/>
              <w:rPr>
                <w:rFonts w:ascii="宋体"/>
              </w:rPr>
            </w:pPr>
          </w:p>
        </w:tc>
        <w:tc>
          <w:tcPr>
            <w:tcW w:w="0" w:type="auto"/>
            <w:gridSpan w:val="3"/>
            <w:shd w:val="clear" w:color="auto" w:fill="FFFFFF"/>
            <w:tcMar>
              <w:left w:w="20" w:type="dxa"/>
              <w:right w:w="20" w:type="dxa"/>
            </w:tcMar>
            <w:vAlign w:val="center"/>
          </w:tcPr>
          <w:p w14:paraId="33DAAAF5"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center"/>
          </w:tcPr>
          <w:p w14:paraId="33DAAAF6" w14:textId="77777777" w:rsidR="004D6A64" w:rsidRDefault="00506CD6">
            <w:pPr>
              <w:jc w:val="right"/>
              <w:textAlignment w:val="center"/>
            </w:pPr>
            <w:r>
              <w:rPr>
                <w:rFonts w:ascii="Times New Roman" w:eastAsia="宋体" w:hAnsi="Times New Roman"/>
                <w:color w:val="000000"/>
                <w:sz w:val="20"/>
                <w:szCs w:val="20"/>
              </w:rPr>
              <w:t>(35)</w:t>
            </w:r>
          </w:p>
        </w:tc>
        <w:tc>
          <w:tcPr>
            <w:tcW w:w="0" w:type="auto"/>
            <w:shd w:val="clear" w:color="auto" w:fill="FFFFFF"/>
            <w:tcMar>
              <w:top w:w="40" w:type="dxa"/>
              <w:bottom w:w="40" w:type="dxa"/>
              <w:right w:w="20" w:type="dxa"/>
            </w:tcMar>
            <w:vAlign w:val="center"/>
          </w:tcPr>
          <w:p w14:paraId="33DAAAF7" w14:textId="77777777" w:rsidR="004D6A64" w:rsidRDefault="004D6A64">
            <w:pPr>
              <w:jc w:val="right"/>
              <w:rPr>
                <w:rFonts w:ascii="宋体"/>
              </w:rPr>
            </w:pPr>
          </w:p>
        </w:tc>
        <w:tc>
          <w:tcPr>
            <w:tcW w:w="0" w:type="auto"/>
            <w:gridSpan w:val="3"/>
            <w:shd w:val="clear" w:color="auto" w:fill="FFFFFF"/>
            <w:tcMar>
              <w:left w:w="20" w:type="dxa"/>
              <w:right w:w="20" w:type="dxa"/>
            </w:tcMar>
            <w:vAlign w:val="center"/>
          </w:tcPr>
          <w:p w14:paraId="33DAAAF8"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center"/>
          </w:tcPr>
          <w:p w14:paraId="33DAAAF9" w14:textId="77777777" w:rsidR="004D6A64" w:rsidRDefault="00506CD6">
            <w:pPr>
              <w:jc w:val="right"/>
              <w:textAlignment w:val="center"/>
            </w:pPr>
            <w:r>
              <w:rPr>
                <w:rFonts w:ascii="Times New Roman" w:eastAsia="宋体" w:hAnsi="Times New Roman"/>
                <w:color w:val="000000"/>
                <w:sz w:val="20"/>
                <w:szCs w:val="20"/>
              </w:rPr>
              <w:t>(12)</w:t>
            </w:r>
          </w:p>
        </w:tc>
        <w:tc>
          <w:tcPr>
            <w:tcW w:w="0" w:type="auto"/>
            <w:shd w:val="clear" w:color="auto" w:fill="FFFFFF"/>
            <w:tcMar>
              <w:top w:w="40" w:type="dxa"/>
              <w:bottom w:w="40" w:type="dxa"/>
              <w:right w:w="20" w:type="dxa"/>
            </w:tcMar>
            <w:vAlign w:val="center"/>
          </w:tcPr>
          <w:p w14:paraId="33DAAAFA" w14:textId="77777777" w:rsidR="004D6A64" w:rsidRDefault="004D6A64">
            <w:pPr>
              <w:jc w:val="right"/>
              <w:rPr>
                <w:rFonts w:ascii="宋体"/>
              </w:rPr>
            </w:pPr>
          </w:p>
        </w:tc>
        <w:tc>
          <w:tcPr>
            <w:tcW w:w="0" w:type="auto"/>
            <w:gridSpan w:val="3"/>
            <w:shd w:val="clear" w:color="auto" w:fill="FFFFFF"/>
            <w:tcMar>
              <w:left w:w="20" w:type="dxa"/>
              <w:right w:w="20" w:type="dxa"/>
            </w:tcMar>
            <w:vAlign w:val="center"/>
          </w:tcPr>
          <w:p w14:paraId="33DAAAFB"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center"/>
          </w:tcPr>
          <w:p w14:paraId="33DAAAFC" w14:textId="77777777" w:rsidR="004D6A64" w:rsidRDefault="00506CD6">
            <w:pPr>
              <w:jc w:val="right"/>
              <w:textAlignment w:val="center"/>
            </w:pPr>
            <w:r>
              <w:rPr>
                <w:rFonts w:ascii="Times New Roman" w:eastAsia="宋体" w:hAnsi="Times New Roman"/>
                <w:color w:val="000000"/>
                <w:sz w:val="20"/>
                <w:szCs w:val="20"/>
              </w:rPr>
              <w:t>(47)</w:t>
            </w:r>
          </w:p>
        </w:tc>
        <w:tc>
          <w:tcPr>
            <w:tcW w:w="0" w:type="auto"/>
            <w:shd w:val="clear" w:color="auto" w:fill="FFFFFF"/>
            <w:tcMar>
              <w:top w:w="40" w:type="dxa"/>
              <w:bottom w:w="40" w:type="dxa"/>
              <w:right w:w="20" w:type="dxa"/>
            </w:tcMar>
            <w:vAlign w:val="center"/>
          </w:tcPr>
          <w:p w14:paraId="33DAAAFD" w14:textId="77777777" w:rsidR="004D6A64" w:rsidRDefault="004D6A64">
            <w:pPr>
              <w:jc w:val="right"/>
              <w:rPr>
                <w:rFonts w:ascii="宋体"/>
              </w:rPr>
            </w:pPr>
          </w:p>
        </w:tc>
        <w:tc>
          <w:tcPr>
            <w:tcW w:w="0" w:type="auto"/>
            <w:shd w:val="clear" w:color="auto" w:fill="auto"/>
          </w:tcPr>
          <w:p w14:paraId="33DAAAFE" w14:textId="77777777" w:rsidR="004D6A64" w:rsidRDefault="004D6A64">
            <w:pPr>
              <w:rPr>
                <w:rFonts w:ascii="宋体"/>
              </w:rPr>
            </w:pPr>
          </w:p>
        </w:tc>
        <w:tc>
          <w:tcPr>
            <w:tcW w:w="0" w:type="auto"/>
            <w:shd w:val="clear" w:color="auto" w:fill="auto"/>
          </w:tcPr>
          <w:p w14:paraId="33DAAAFF" w14:textId="77777777" w:rsidR="004D6A64" w:rsidRDefault="004D6A64">
            <w:pPr>
              <w:rPr>
                <w:rFonts w:ascii="宋体"/>
              </w:rPr>
            </w:pPr>
          </w:p>
        </w:tc>
        <w:tc>
          <w:tcPr>
            <w:tcW w:w="0" w:type="auto"/>
            <w:shd w:val="clear" w:color="auto" w:fill="auto"/>
          </w:tcPr>
          <w:p w14:paraId="33DAAB00" w14:textId="77777777" w:rsidR="004D6A64" w:rsidRDefault="004D6A64">
            <w:pPr>
              <w:rPr>
                <w:rFonts w:ascii="宋体"/>
              </w:rPr>
            </w:pPr>
          </w:p>
        </w:tc>
        <w:tc>
          <w:tcPr>
            <w:tcW w:w="0" w:type="auto"/>
            <w:shd w:val="clear" w:color="auto" w:fill="auto"/>
          </w:tcPr>
          <w:p w14:paraId="33DAAB01" w14:textId="77777777" w:rsidR="004D6A64" w:rsidRDefault="004D6A64">
            <w:pPr>
              <w:rPr>
                <w:rFonts w:ascii="宋体"/>
              </w:rPr>
            </w:pPr>
          </w:p>
        </w:tc>
        <w:tc>
          <w:tcPr>
            <w:tcW w:w="0" w:type="auto"/>
            <w:shd w:val="clear" w:color="auto" w:fill="auto"/>
          </w:tcPr>
          <w:p w14:paraId="33DAAB02" w14:textId="77777777" w:rsidR="004D6A64" w:rsidRDefault="004D6A64">
            <w:pPr>
              <w:rPr>
                <w:rFonts w:ascii="宋体"/>
              </w:rPr>
            </w:pPr>
          </w:p>
        </w:tc>
        <w:tc>
          <w:tcPr>
            <w:tcW w:w="0" w:type="auto"/>
            <w:shd w:val="clear" w:color="auto" w:fill="auto"/>
          </w:tcPr>
          <w:p w14:paraId="33DAAB03" w14:textId="77777777" w:rsidR="004D6A64" w:rsidRDefault="004D6A64">
            <w:pPr>
              <w:rPr>
                <w:rFonts w:ascii="宋体"/>
              </w:rPr>
            </w:pPr>
          </w:p>
        </w:tc>
        <w:tc>
          <w:tcPr>
            <w:tcW w:w="0" w:type="auto"/>
            <w:shd w:val="clear" w:color="auto" w:fill="auto"/>
          </w:tcPr>
          <w:p w14:paraId="33DAAB04" w14:textId="77777777" w:rsidR="004D6A64" w:rsidRDefault="004D6A64">
            <w:pPr>
              <w:rPr>
                <w:rFonts w:ascii="宋体"/>
              </w:rPr>
            </w:pPr>
          </w:p>
        </w:tc>
        <w:tc>
          <w:tcPr>
            <w:tcW w:w="0" w:type="auto"/>
            <w:shd w:val="clear" w:color="auto" w:fill="auto"/>
          </w:tcPr>
          <w:p w14:paraId="33DAAB05" w14:textId="77777777" w:rsidR="004D6A64" w:rsidRDefault="004D6A64">
            <w:pPr>
              <w:rPr>
                <w:rFonts w:ascii="宋体"/>
              </w:rPr>
            </w:pPr>
          </w:p>
        </w:tc>
        <w:tc>
          <w:tcPr>
            <w:tcW w:w="0" w:type="auto"/>
            <w:shd w:val="clear" w:color="auto" w:fill="auto"/>
          </w:tcPr>
          <w:p w14:paraId="33DAAB06" w14:textId="77777777" w:rsidR="004D6A64" w:rsidRDefault="004D6A64">
            <w:pPr>
              <w:rPr>
                <w:rFonts w:ascii="宋体"/>
              </w:rPr>
            </w:pPr>
          </w:p>
        </w:tc>
        <w:tc>
          <w:tcPr>
            <w:tcW w:w="0" w:type="auto"/>
            <w:shd w:val="clear" w:color="auto" w:fill="auto"/>
          </w:tcPr>
          <w:p w14:paraId="33DAAB07" w14:textId="77777777" w:rsidR="004D6A64" w:rsidRDefault="004D6A64">
            <w:pPr>
              <w:rPr>
                <w:rFonts w:ascii="宋体"/>
              </w:rPr>
            </w:pPr>
          </w:p>
        </w:tc>
        <w:tc>
          <w:tcPr>
            <w:tcW w:w="0" w:type="auto"/>
            <w:shd w:val="clear" w:color="auto" w:fill="auto"/>
          </w:tcPr>
          <w:p w14:paraId="33DAAB08" w14:textId="77777777" w:rsidR="004D6A64" w:rsidRDefault="004D6A64">
            <w:pPr>
              <w:rPr>
                <w:rFonts w:ascii="宋体"/>
              </w:rPr>
            </w:pPr>
          </w:p>
        </w:tc>
        <w:tc>
          <w:tcPr>
            <w:tcW w:w="0" w:type="auto"/>
            <w:shd w:val="clear" w:color="auto" w:fill="auto"/>
          </w:tcPr>
          <w:p w14:paraId="33DAAB09" w14:textId="77777777" w:rsidR="004D6A64" w:rsidRDefault="004D6A64">
            <w:pPr>
              <w:rPr>
                <w:rFonts w:ascii="宋体"/>
              </w:rPr>
            </w:pPr>
          </w:p>
        </w:tc>
        <w:tc>
          <w:tcPr>
            <w:tcW w:w="0" w:type="auto"/>
            <w:shd w:val="clear" w:color="auto" w:fill="auto"/>
          </w:tcPr>
          <w:p w14:paraId="33DAAB0A" w14:textId="77777777" w:rsidR="004D6A64" w:rsidRDefault="004D6A64">
            <w:pPr>
              <w:rPr>
                <w:rFonts w:ascii="宋体"/>
              </w:rPr>
            </w:pPr>
          </w:p>
        </w:tc>
        <w:tc>
          <w:tcPr>
            <w:tcW w:w="0" w:type="auto"/>
            <w:shd w:val="clear" w:color="auto" w:fill="auto"/>
          </w:tcPr>
          <w:p w14:paraId="33DAAB0B" w14:textId="77777777" w:rsidR="004D6A64" w:rsidRDefault="004D6A64">
            <w:pPr>
              <w:rPr>
                <w:rFonts w:ascii="宋体"/>
              </w:rPr>
            </w:pPr>
          </w:p>
        </w:tc>
        <w:tc>
          <w:tcPr>
            <w:tcW w:w="0" w:type="auto"/>
            <w:shd w:val="clear" w:color="auto" w:fill="auto"/>
          </w:tcPr>
          <w:p w14:paraId="33DAAB0C" w14:textId="77777777" w:rsidR="004D6A64" w:rsidRDefault="004D6A64">
            <w:pPr>
              <w:rPr>
                <w:rFonts w:ascii="宋体"/>
              </w:rPr>
            </w:pPr>
          </w:p>
        </w:tc>
        <w:tc>
          <w:tcPr>
            <w:tcW w:w="0" w:type="auto"/>
            <w:shd w:val="clear" w:color="auto" w:fill="auto"/>
          </w:tcPr>
          <w:p w14:paraId="33DAAB0D" w14:textId="77777777" w:rsidR="004D6A64" w:rsidRDefault="004D6A64">
            <w:pPr>
              <w:rPr>
                <w:rFonts w:ascii="宋体"/>
              </w:rPr>
            </w:pPr>
          </w:p>
        </w:tc>
        <w:tc>
          <w:tcPr>
            <w:tcW w:w="0" w:type="auto"/>
            <w:shd w:val="clear" w:color="auto" w:fill="auto"/>
          </w:tcPr>
          <w:p w14:paraId="33DAAB0E" w14:textId="77777777" w:rsidR="004D6A64" w:rsidRDefault="004D6A64">
            <w:pPr>
              <w:rPr>
                <w:rFonts w:ascii="宋体"/>
              </w:rPr>
            </w:pPr>
          </w:p>
        </w:tc>
        <w:tc>
          <w:tcPr>
            <w:tcW w:w="0" w:type="auto"/>
            <w:shd w:val="clear" w:color="auto" w:fill="auto"/>
          </w:tcPr>
          <w:p w14:paraId="33DAAB0F" w14:textId="77777777" w:rsidR="004D6A64" w:rsidRDefault="004D6A64">
            <w:pPr>
              <w:rPr>
                <w:rFonts w:ascii="宋体"/>
              </w:rPr>
            </w:pPr>
          </w:p>
        </w:tc>
        <w:tc>
          <w:tcPr>
            <w:tcW w:w="0" w:type="auto"/>
            <w:shd w:val="clear" w:color="auto" w:fill="auto"/>
          </w:tcPr>
          <w:p w14:paraId="33DAAB10" w14:textId="77777777" w:rsidR="004D6A64" w:rsidRDefault="004D6A64">
            <w:pPr>
              <w:rPr>
                <w:rFonts w:ascii="宋体"/>
              </w:rPr>
            </w:pPr>
          </w:p>
        </w:tc>
        <w:tc>
          <w:tcPr>
            <w:tcW w:w="0" w:type="auto"/>
            <w:shd w:val="clear" w:color="auto" w:fill="auto"/>
          </w:tcPr>
          <w:p w14:paraId="33DAAB11" w14:textId="77777777" w:rsidR="004D6A64" w:rsidRDefault="004D6A64">
            <w:pPr>
              <w:rPr>
                <w:rFonts w:ascii="宋体"/>
              </w:rPr>
            </w:pPr>
          </w:p>
        </w:tc>
        <w:tc>
          <w:tcPr>
            <w:tcW w:w="0" w:type="auto"/>
            <w:shd w:val="clear" w:color="auto" w:fill="auto"/>
          </w:tcPr>
          <w:p w14:paraId="33DAAB12" w14:textId="77777777" w:rsidR="004D6A64" w:rsidRDefault="004D6A64">
            <w:pPr>
              <w:rPr>
                <w:rFonts w:ascii="宋体"/>
              </w:rPr>
            </w:pPr>
          </w:p>
        </w:tc>
        <w:tc>
          <w:tcPr>
            <w:tcW w:w="0" w:type="auto"/>
            <w:shd w:val="clear" w:color="auto" w:fill="auto"/>
          </w:tcPr>
          <w:p w14:paraId="33DAAB13" w14:textId="77777777" w:rsidR="004D6A64" w:rsidRDefault="004D6A64">
            <w:pPr>
              <w:rPr>
                <w:rFonts w:ascii="宋体"/>
              </w:rPr>
            </w:pPr>
          </w:p>
        </w:tc>
        <w:tc>
          <w:tcPr>
            <w:tcW w:w="0" w:type="auto"/>
            <w:shd w:val="clear" w:color="auto" w:fill="auto"/>
          </w:tcPr>
          <w:p w14:paraId="33DAAB14" w14:textId="77777777" w:rsidR="004D6A64" w:rsidRDefault="004D6A64">
            <w:pPr>
              <w:rPr>
                <w:rFonts w:ascii="宋体"/>
              </w:rPr>
            </w:pPr>
          </w:p>
        </w:tc>
        <w:tc>
          <w:tcPr>
            <w:tcW w:w="0" w:type="auto"/>
            <w:shd w:val="clear" w:color="auto" w:fill="auto"/>
          </w:tcPr>
          <w:p w14:paraId="33DAAB15" w14:textId="77777777" w:rsidR="004D6A64" w:rsidRDefault="004D6A64">
            <w:pPr>
              <w:rPr>
                <w:rFonts w:ascii="宋体"/>
              </w:rPr>
            </w:pPr>
          </w:p>
        </w:tc>
        <w:tc>
          <w:tcPr>
            <w:tcW w:w="0" w:type="auto"/>
            <w:shd w:val="clear" w:color="auto" w:fill="auto"/>
          </w:tcPr>
          <w:p w14:paraId="33DAAB16" w14:textId="77777777" w:rsidR="004D6A64" w:rsidRDefault="004D6A64">
            <w:pPr>
              <w:rPr>
                <w:rFonts w:ascii="宋体"/>
              </w:rPr>
            </w:pPr>
          </w:p>
        </w:tc>
        <w:tc>
          <w:tcPr>
            <w:tcW w:w="0" w:type="auto"/>
            <w:shd w:val="clear" w:color="auto" w:fill="auto"/>
          </w:tcPr>
          <w:p w14:paraId="33DAAB17" w14:textId="77777777" w:rsidR="004D6A64" w:rsidRDefault="004D6A64">
            <w:pPr>
              <w:rPr>
                <w:rFonts w:ascii="宋体"/>
              </w:rPr>
            </w:pPr>
          </w:p>
        </w:tc>
        <w:tc>
          <w:tcPr>
            <w:tcW w:w="0" w:type="auto"/>
            <w:shd w:val="clear" w:color="auto" w:fill="auto"/>
          </w:tcPr>
          <w:p w14:paraId="33DAAB18" w14:textId="77777777" w:rsidR="004D6A64" w:rsidRDefault="004D6A64">
            <w:pPr>
              <w:rPr>
                <w:rFonts w:ascii="宋体"/>
              </w:rPr>
            </w:pPr>
          </w:p>
        </w:tc>
      </w:tr>
      <w:tr w:rsidR="004D6A64" w14:paraId="33DAAB47" w14:textId="77777777">
        <w:tc>
          <w:tcPr>
            <w:tcW w:w="0" w:type="auto"/>
            <w:gridSpan w:val="3"/>
            <w:shd w:val="clear" w:color="auto" w:fill="CCEEFF"/>
            <w:tcMar>
              <w:top w:w="40" w:type="dxa"/>
              <w:left w:w="120" w:type="dxa"/>
              <w:bottom w:w="40" w:type="dxa"/>
              <w:right w:w="20" w:type="dxa"/>
            </w:tcMar>
            <w:vAlign w:val="center"/>
          </w:tcPr>
          <w:p w14:paraId="33DAAB1A" w14:textId="77777777" w:rsidR="004D6A64" w:rsidRDefault="00506CD6">
            <w:pPr>
              <w:textAlignment w:val="center"/>
            </w:pPr>
            <w:r>
              <w:rPr>
                <w:rFonts w:ascii="Times New Roman" w:eastAsia="宋体" w:hAnsi="Times New Roman"/>
                <w:color w:val="000000"/>
                <w:sz w:val="20"/>
                <w:szCs w:val="20"/>
              </w:rPr>
              <w:t>Provision charge</w:t>
            </w:r>
            <w:r>
              <w:rPr>
                <w:rFonts w:ascii="Times New Roman" w:eastAsia="宋体" w:hAnsi="Times New Roman"/>
                <w:color w:val="000000"/>
                <w:sz w:val="20"/>
                <w:szCs w:val="20"/>
              </w:rPr>
              <w:t>d to income statement</w:t>
            </w:r>
          </w:p>
        </w:tc>
        <w:tc>
          <w:tcPr>
            <w:tcW w:w="0" w:type="auto"/>
            <w:gridSpan w:val="2"/>
            <w:shd w:val="clear" w:color="auto" w:fill="CCEEFF"/>
            <w:tcMar>
              <w:top w:w="40" w:type="dxa"/>
              <w:left w:w="20" w:type="dxa"/>
              <w:bottom w:w="40" w:type="dxa"/>
              <w:right w:w="0" w:type="dxa"/>
            </w:tcMar>
            <w:vAlign w:val="center"/>
          </w:tcPr>
          <w:p w14:paraId="33DAAB1B" w14:textId="77777777" w:rsidR="004D6A64" w:rsidRDefault="00506CD6">
            <w:pPr>
              <w:jc w:val="right"/>
              <w:textAlignment w:val="center"/>
            </w:pPr>
            <w:r>
              <w:rPr>
                <w:rFonts w:ascii="Times New Roman" w:eastAsia="宋体" w:hAnsi="Times New Roman"/>
                <w:color w:val="000000"/>
                <w:sz w:val="20"/>
                <w:szCs w:val="20"/>
              </w:rPr>
              <w:t>71 </w:t>
            </w:r>
          </w:p>
        </w:tc>
        <w:tc>
          <w:tcPr>
            <w:tcW w:w="0" w:type="auto"/>
            <w:shd w:val="clear" w:color="auto" w:fill="CCEEFF"/>
            <w:tcMar>
              <w:top w:w="40" w:type="dxa"/>
              <w:bottom w:w="40" w:type="dxa"/>
              <w:right w:w="20" w:type="dxa"/>
            </w:tcMar>
            <w:vAlign w:val="center"/>
          </w:tcPr>
          <w:p w14:paraId="33DAAB1C" w14:textId="77777777" w:rsidR="004D6A64" w:rsidRDefault="004D6A64">
            <w:pPr>
              <w:jc w:val="right"/>
              <w:rPr>
                <w:rFonts w:ascii="宋体"/>
              </w:rPr>
            </w:pPr>
          </w:p>
        </w:tc>
        <w:tc>
          <w:tcPr>
            <w:tcW w:w="0" w:type="auto"/>
            <w:gridSpan w:val="3"/>
            <w:shd w:val="clear" w:color="auto" w:fill="CCEEFF"/>
            <w:tcMar>
              <w:left w:w="20" w:type="dxa"/>
              <w:right w:w="20" w:type="dxa"/>
            </w:tcMar>
            <w:vAlign w:val="center"/>
          </w:tcPr>
          <w:p w14:paraId="33DAAB1D"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center"/>
          </w:tcPr>
          <w:p w14:paraId="33DAAB1E" w14:textId="77777777" w:rsidR="004D6A64" w:rsidRDefault="00506CD6">
            <w:pPr>
              <w:jc w:val="right"/>
              <w:textAlignment w:val="center"/>
            </w:pPr>
            <w:r>
              <w:rPr>
                <w:rFonts w:ascii="Times New Roman" w:eastAsia="宋体" w:hAnsi="Times New Roman"/>
                <w:color w:val="000000"/>
                <w:sz w:val="20"/>
                <w:szCs w:val="20"/>
              </w:rPr>
              <w:t>46 </w:t>
            </w:r>
          </w:p>
        </w:tc>
        <w:tc>
          <w:tcPr>
            <w:tcW w:w="0" w:type="auto"/>
            <w:shd w:val="clear" w:color="auto" w:fill="CCEEFF"/>
            <w:tcMar>
              <w:top w:w="40" w:type="dxa"/>
              <w:bottom w:w="40" w:type="dxa"/>
              <w:right w:w="20" w:type="dxa"/>
            </w:tcMar>
            <w:vAlign w:val="center"/>
          </w:tcPr>
          <w:p w14:paraId="33DAAB1F" w14:textId="77777777" w:rsidR="004D6A64" w:rsidRDefault="004D6A64">
            <w:pPr>
              <w:jc w:val="right"/>
              <w:rPr>
                <w:rFonts w:ascii="宋体"/>
              </w:rPr>
            </w:pPr>
          </w:p>
        </w:tc>
        <w:tc>
          <w:tcPr>
            <w:tcW w:w="0" w:type="auto"/>
            <w:gridSpan w:val="3"/>
            <w:shd w:val="clear" w:color="auto" w:fill="CCEEFF"/>
            <w:tcMar>
              <w:left w:w="20" w:type="dxa"/>
              <w:right w:w="20" w:type="dxa"/>
            </w:tcMar>
            <w:vAlign w:val="center"/>
          </w:tcPr>
          <w:p w14:paraId="33DAAB20"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center"/>
          </w:tcPr>
          <w:p w14:paraId="33DAAB21" w14:textId="77777777" w:rsidR="004D6A64" w:rsidRDefault="00506CD6">
            <w:pPr>
              <w:jc w:val="right"/>
              <w:textAlignment w:val="center"/>
            </w:pPr>
            <w:r>
              <w:rPr>
                <w:rFonts w:ascii="Times New Roman" w:eastAsia="宋体" w:hAnsi="Times New Roman"/>
                <w:color w:val="000000"/>
                <w:sz w:val="20"/>
                <w:szCs w:val="20"/>
              </w:rPr>
              <w:t>117 </w:t>
            </w:r>
          </w:p>
        </w:tc>
        <w:tc>
          <w:tcPr>
            <w:tcW w:w="0" w:type="auto"/>
            <w:shd w:val="clear" w:color="auto" w:fill="CCEEFF"/>
            <w:tcMar>
              <w:top w:w="40" w:type="dxa"/>
              <w:bottom w:w="40" w:type="dxa"/>
              <w:right w:w="20" w:type="dxa"/>
            </w:tcMar>
            <w:vAlign w:val="center"/>
          </w:tcPr>
          <w:p w14:paraId="33DAAB22" w14:textId="77777777" w:rsidR="004D6A64" w:rsidRDefault="004D6A64">
            <w:pPr>
              <w:jc w:val="right"/>
              <w:rPr>
                <w:rFonts w:ascii="宋体"/>
              </w:rPr>
            </w:pPr>
          </w:p>
        </w:tc>
        <w:tc>
          <w:tcPr>
            <w:tcW w:w="0" w:type="auto"/>
            <w:gridSpan w:val="3"/>
            <w:shd w:val="clear" w:color="auto" w:fill="CCEEFF"/>
            <w:tcMar>
              <w:left w:w="20" w:type="dxa"/>
              <w:right w:w="20" w:type="dxa"/>
            </w:tcMar>
            <w:vAlign w:val="center"/>
          </w:tcPr>
          <w:p w14:paraId="33DAAB23"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center"/>
          </w:tcPr>
          <w:p w14:paraId="33DAAB24" w14:textId="77777777" w:rsidR="004D6A64" w:rsidRDefault="00506CD6">
            <w:pPr>
              <w:jc w:val="right"/>
              <w:textAlignment w:val="center"/>
            </w:pPr>
            <w:r>
              <w:rPr>
                <w:rFonts w:ascii="Times New Roman" w:eastAsia="宋体" w:hAnsi="Times New Roman"/>
                <w:color w:val="000000"/>
                <w:sz w:val="20"/>
                <w:szCs w:val="20"/>
              </w:rPr>
              <w:t>27 </w:t>
            </w:r>
          </w:p>
        </w:tc>
        <w:tc>
          <w:tcPr>
            <w:tcW w:w="0" w:type="auto"/>
            <w:shd w:val="clear" w:color="auto" w:fill="CCEEFF"/>
            <w:tcMar>
              <w:top w:w="40" w:type="dxa"/>
              <w:bottom w:w="40" w:type="dxa"/>
              <w:right w:w="20" w:type="dxa"/>
            </w:tcMar>
            <w:vAlign w:val="center"/>
          </w:tcPr>
          <w:p w14:paraId="33DAAB25" w14:textId="77777777" w:rsidR="004D6A64" w:rsidRDefault="004D6A64">
            <w:pPr>
              <w:jc w:val="right"/>
              <w:rPr>
                <w:rFonts w:ascii="宋体"/>
              </w:rPr>
            </w:pPr>
          </w:p>
        </w:tc>
        <w:tc>
          <w:tcPr>
            <w:tcW w:w="0" w:type="auto"/>
            <w:gridSpan w:val="3"/>
            <w:shd w:val="clear" w:color="auto" w:fill="CCEEFF"/>
            <w:tcMar>
              <w:left w:w="20" w:type="dxa"/>
              <w:right w:w="20" w:type="dxa"/>
            </w:tcMar>
            <w:vAlign w:val="center"/>
          </w:tcPr>
          <w:p w14:paraId="33DAAB26"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center"/>
          </w:tcPr>
          <w:p w14:paraId="33DAAB27" w14:textId="77777777" w:rsidR="004D6A64" w:rsidRDefault="00506CD6">
            <w:pPr>
              <w:jc w:val="right"/>
              <w:textAlignment w:val="center"/>
            </w:pPr>
            <w:r>
              <w:rPr>
                <w:rFonts w:ascii="Times New Roman" w:eastAsia="宋体" w:hAnsi="Times New Roman"/>
                <w:color w:val="000000"/>
                <w:sz w:val="20"/>
                <w:szCs w:val="20"/>
              </w:rPr>
              <w:t>22 </w:t>
            </w:r>
          </w:p>
        </w:tc>
        <w:tc>
          <w:tcPr>
            <w:tcW w:w="0" w:type="auto"/>
            <w:shd w:val="clear" w:color="auto" w:fill="CCEEFF"/>
            <w:tcMar>
              <w:top w:w="40" w:type="dxa"/>
              <w:bottom w:w="40" w:type="dxa"/>
              <w:right w:w="20" w:type="dxa"/>
            </w:tcMar>
            <w:vAlign w:val="center"/>
          </w:tcPr>
          <w:p w14:paraId="33DAAB28" w14:textId="77777777" w:rsidR="004D6A64" w:rsidRDefault="004D6A64">
            <w:pPr>
              <w:jc w:val="right"/>
              <w:rPr>
                <w:rFonts w:ascii="宋体"/>
              </w:rPr>
            </w:pPr>
          </w:p>
        </w:tc>
        <w:tc>
          <w:tcPr>
            <w:tcW w:w="0" w:type="auto"/>
            <w:gridSpan w:val="3"/>
            <w:shd w:val="clear" w:color="auto" w:fill="CCEEFF"/>
            <w:tcMar>
              <w:left w:w="20" w:type="dxa"/>
              <w:right w:w="20" w:type="dxa"/>
            </w:tcMar>
            <w:vAlign w:val="center"/>
          </w:tcPr>
          <w:p w14:paraId="33DAAB29" w14:textId="77777777" w:rsidR="004D6A64" w:rsidRDefault="004D6A64">
            <w:pPr>
              <w:jc w:val="right"/>
              <w:rPr>
                <w:rFonts w:ascii="宋体"/>
              </w:rPr>
            </w:pPr>
          </w:p>
        </w:tc>
        <w:tc>
          <w:tcPr>
            <w:tcW w:w="0" w:type="auto"/>
            <w:gridSpan w:val="2"/>
            <w:shd w:val="clear" w:color="auto" w:fill="CCEEFF"/>
            <w:tcMar>
              <w:top w:w="40" w:type="dxa"/>
              <w:left w:w="20" w:type="dxa"/>
              <w:bottom w:w="40" w:type="dxa"/>
              <w:right w:w="0" w:type="dxa"/>
            </w:tcMar>
            <w:vAlign w:val="center"/>
          </w:tcPr>
          <w:p w14:paraId="33DAAB2A" w14:textId="77777777" w:rsidR="004D6A64" w:rsidRDefault="00506CD6">
            <w:pPr>
              <w:jc w:val="right"/>
              <w:textAlignment w:val="center"/>
            </w:pPr>
            <w:r>
              <w:rPr>
                <w:rFonts w:ascii="Times New Roman" w:eastAsia="宋体" w:hAnsi="Times New Roman"/>
                <w:color w:val="000000"/>
                <w:sz w:val="20"/>
                <w:szCs w:val="20"/>
              </w:rPr>
              <w:t>49 </w:t>
            </w:r>
          </w:p>
        </w:tc>
        <w:tc>
          <w:tcPr>
            <w:tcW w:w="0" w:type="auto"/>
            <w:shd w:val="clear" w:color="auto" w:fill="CCEEFF"/>
            <w:tcMar>
              <w:top w:w="40" w:type="dxa"/>
              <w:bottom w:w="40" w:type="dxa"/>
              <w:right w:w="20" w:type="dxa"/>
            </w:tcMar>
            <w:vAlign w:val="center"/>
          </w:tcPr>
          <w:p w14:paraId="33DAAB2B" w14:textId="77777777" w:rsidR="004D6A64" w:rsidRDefault="004D6A64">
            <w:pPr>
              <w:jc w:val="right"/>
              <w:rPr>
                <w:rFonts w:ascii="宋体"/>
              </w:rPr>
            </w:pPr>
          </w:p>
        </w:tc>
        <w:tc>
          <w:tcPr>
            <w:tcW w:w="0" w:type="auto"/>
            <w:shd w:val="clear" w:color="auto" w:fill="auto"/>
          </w:tcPr>
          <w:p w14:paraId="33DAAB2C" w14:textId="77777777" w:rsidR="004D6A64" w:rsidRDefault="004D6A64">
            <w:pPr>
              <w:rPr>
                <w:rFonts w:ascii="宋体"/>
              </w:rPr>
            </w:pPr>
          </w:p>
        </w:tc>
        <w:tc>
          <w:tcPr>
            <w:tcW w:w="0" w:type="auto"/>
            <w:shd w:val="clear" w:color="auto" w:fill="auto"/>
          </w:tcPr>
          <w:p w14:paraId="33DAAB2D" w14:textId="77777777" w:rsidR="004D6A64" w:rsidRDefault="004D6A64">
            <w:pPr>
              <w:rPr>
                <w:rFonts w:ascii="宋体"/>
              </w:rPr>
            </w:pPr>
          </w:p>
        </w:tc>
        <w:tc>
          <w:tcPr>
            <w:tcW w:w="0" w:type="auto"/>
            <w:shd w:val="clear" w:color="auto" w:fill="auto"/>
          </w:tcPr>
          <w:p w14:paraId="33DAAB2E" w14:textId="77777777" w:rsidR="004D6A64" w:rsidRDefault="004D6A64">
            <w:pPr>
              <w:rPr>
                <w:rFonts w:ascii="宋体"/>
              </w:rPr>
            </w:pPr>
          </w:p>
        </w:tc>
        <w:tc>
          <w:tcPr>
            <w:tcW w:w="0" w:type="auto"/>
            <w:shd w:val="clear" w:color="auto" w:fill="auto"/>
          </w:tcPr>
          <w:p w14:paraId="33DAAB2F" w14:textId="77777777" w:rsidR="004D6A64" w:rsidRDefault="004D6A64">
            <w:pPr>
              <w:rPr>
                <w:rFonts w:ascii="宋体"/>
              </w:rPr>
            </w:pPr>
          </w:p>
        </w:tc>
        <w:tc>
          <w:tcPr>
            <w:tcW w:w="0" w:type="auto"/>
            <w:shd w:val="clear" w:color="auto" w:fill="auto"/>
          </w:tcPr>
          <w:p w14:paraId="33DAAB30" w14:textId="77777777" w:rsidR="004D6A64" w:rsidRDefault="004D6A64">
            <w:pPr>
              <w:rPr>
                <w:rFonts w:ascii="宋体"/>
              </w:rPr>
            </w:pPr>
          </w:p>
        </w:tc>
        <w:tc>
          <w:tcPr>
            <w:tcW w:w="0" w:type="auto"/>
            <w:shd w:val="clear" w:color="auto" w:fill="auto"/>
          </w:tcPr>
          <w:p w14:paraId="33DAAB31" w14:textId="77777777" w:rsidR="004D6A64" w:rsidRDefault="004D6A64">
            <w:pPr>
              <w:rPr>
                <w:rFonts w:ascii="宋体"/>
              </w:rPr>
            </w:pPr>
          </w:p>
        </w:tc>
        <w:tc>
          <w:tcPr>
            <w:tcW w:w="0" w:type="auto"/>
            <w:shd w:val="clear" w:color="auto" w:fill="auto"/>
          </w:tcPr>
          <w:p w14:paraId="33DAAB32" w14:textId="77777777" w:rsidR="004D6A64" w:rsidRDefault="004D6A64">
            <w:pPr>
              <w:rPr>
                <w:rFonts w:ascii="宋体"/>
              </w:rPr>
            </w:pPr>
          </w:p>
        </w:tc>
        <w:tc>
          <w:tcPr>
            <w:tcW w:w="0" w:type="auto"/>
            <w:shd w:val="clear" w:color="auto" w:fill="auto"/>
          </w:tcPr>
          <w:p w14:paraId="33DAAB33" w14:textId="77777777" w:rsidR="004D6A64" w:rsidRDefault="004D6A64">
            <w:pPr>
              <w:rPr>
                <w:rFonts w:ascii="宋体"/>
              </w:rPr>
            </w:pPr>
          </w:p>
        </w:tc>
        <w:tc>
          <w:tcPr>
            <w:tcW w:w="0" w:type="auto"/>
            <w:shd w:val="clear" w:color="auto" w:fill="auto"/>
          </w:tcPr>
          <w:p w14:paraId="33DAAB34" w14:textId="77777777" w:rsidR="004D6A64" w:rsidRDefault="004D6A64">
            <w:pPr>
              <w:rPr>
                <w:rFonts w:ascii="宋体"/>
              </w:rPr>
            </w:pPr>
          </w:p>
        </w:tc>
        <w:tc>
          <w:tcPr>
            <w:tcW w:w="0" w:type="auto"/>
            <w:shd w:val="clear" w:color="auto" w:fill="auto"/>
          </w:tcPr>
          <w:p w14:paraId="33DAAB35" w14:textId="77777777" w:rsidR="004D6A64" w:rsidRDefault="004D6A64">
            <w:pPr>
              <w:rPr>
                <w:rFonts w:ascii="宋体"/>
              </w:rPr>
            </w:pPr>
          </w:p>
        </w:tc>
        <w:tc>
          <w:tcPr>
            <w:tcW w:w="0" w:type="auto"/>
            <w:shd w:val="clear" w:color="auto" w:fill="auto"/>
          </w:tcPr>
          <w:p w14:paraId="33DAAB36" w14:textId="77777777" w:rsidR="004D6A64" w:rsidRDefault="004D6A64">
            <w:pPr>
              <w:rPr>
                <w:rFonts w:ascii="宋体"/>
              </w:rPr>
            </w:pPr>
          </w:p>
        </w:tc>
        <w:tc>
          <w:tcPr>
            <w:tcW w:w="0" w:type="auto"/>
            <w:shd w:val="clear" w:color="auto" w:fill="auto"/>
          </w:tcPr>
          <w:p w14:paraId="33DAAB37" w14:textId="77777777" w:rsidR="004D6A64" w:rsidRDefault="004D6A64">
            <w:pPr>
              <w:rPr>
                <w:rFonts w:ascii="宋体"/>
              </w:rPr>
            </w:pPr>
          </w:p>
        </w:tc>
        <w:tc>
          <w:tcPr>
            <w:tcW w:w="0" w:type="auto"/>
            <w:shd w:val="clear" w:color="auto" w:fill="auto"/>
          </w:tcPr>
          <w:p w14:paraId="33DAAB38" w14:textId="77777777" w:rsidR="004D6A64" w:rsidRDefault="004D6A64">
            <w:pPr>
              <w:rPr>
                <w:rFonts w:ascii="宋体"/>
              </w:rPr>
            </w:pPr>
          </w:p>
        </w:tc>
        <w:tc>
          <w:tcPr>
            <w:tcW w:w="0" w:type="auto"/>
            <w:shd w:val="clear" w:color="auto" w:fill="auto"/>
          </w:tcPr>
          <w:p w14:paraId="33DAAB39" w14:textId="77777777" w:rsidR="004D6A64" w:rsidRDefault="004D6A64">
            <w:pPr>
              <w:rPr>
                <w:rFonts w:ascii="宋体"/>
              </w:rPr>
            </w:pPr>
          </w:p>
        </w:tc>
        <w:tc>
          <w:tcPr>
            <w:tcW w:w="0" w:type="auto"/>
            <w:shd w:val="clear" w:color="auto" w:fill="auto"/>
          </w:tcPr>
          <w:p w14:paraId="33DAAB3A" w14:textId="77777777" w:rsidR="004D6A64" w:rsidRDefault="004D6A64">
            <w:pPr>
              <w:rPr>
                <w:rFonts w:ascii="宋体"/>
              </w:rPr>
            </w:pPr>
          </w:p>
        </w:tc>
        <w:tc>
          <w:tcPr>
            <w:tcW w:w="0" w:type="auto"/>
            <w:shd w:val="clear" w:color="auto" w:fill="auto"/>
          </w:tcPr>
          <w:p w14:paraId="33DAAB3B" w14:textId="77777777" w:rsidR="004D6A64" w:rsidRDefault="004D6A64">
            <w:pPr>
              <w:rPr>
                <w:rFonts w:ascii="宋体"/>
              </w:rPr>
            </w:pPr>
          </w:p>
        </w:tc>
        <w:tc>
          <w:tcPr>
            <w:tcW w:w="0" w:type="auto"/>
            <w:shd w:val="clear" w:color="auto" w:fill="auto"/>
          </w:tcPr>
          <w:p w14:paraId="33DAAB3C" w14:textId="77777777" w:rsidR="004D6A64" w:rsidRDefault="004D6A64">
            <w:pPr>
              <w:rPr>
                <w:rFonts w:ascii="宋体"/>
              </w:rPr>
            </w:pPr>
          </w:p>
        </w:tc>
        <w:tc>
          <w:tcPr>
            <w:tcW w:w="0" w:type="auto"/>
            <w:shd w:val="clear" w:color="auto" w:fill="auto"/>
          </w:tcPr>
          <w:p w14:paraId="33DAAB3D" w14:textId="77777777" w:rsidR="004D6A64" w:rsidRDefault="004D6A64">
            <w:pPr>
              <w:rPr>
                <w:rFonts w:ascii="宋体"/>
              </w:rPr>
            </w:pPr>
          </w:p>
        </w:tc>
        <w:tc>
          <w:tcPr>
            <w:tcW w:w="0" w:type="auto"/>
            <w:shd w:val="clear" w:color="auto" w:fill="auto"/>
          </w:tcPr>
          <w:p w14:paraId="33DAAB3E" w14:textId="77777777" w:rsidR="004D6A64" w:rsidRDefault="004D6A64">
            <w:pPr>
              <w:rPr>
                <w:rFonts w:ascii="宋体"/>
              </w:rPr>
            </w:pPr>
          </w:p>
        </w:tc>
        <w:tc>
          <w:tcPr>
            <w:tcW w:w="0" w:type="auto"/>
            <w:shd w:val="clear" w:color="auto" w:fill="auto"/>
          </w:tcPr>
          <w:p w14:paraId="33DAAB3F" w14:textId="77777777" w:rsidR="004D6A64" w:rsidRDefault="004D6A64">
            <w:pPr>
              <w:rPr>
                <w:rFonts w:ascii="宋体"/>
              </w:rPr>
            </w:pPr>
          </w:p>
        </w:tc>
        <w:tc>
          <w:tcPr>
            <w:tcW w:w="0" w:type="auto"/>
            <w:shd w:val="clear" w:color="auto" w:fill="auto"/>
          </w:tcPr>
          <w:p w14:paraId="33DAAB40" w14:textId="77777777" w:rsidR="004D6A64" w:rsidRDefault="004D6A64">
            <w:pPr>
              <w:rPr>
                <w:rFonts w:ascii="宋体"/>
              </w:rPr>
            </w:pPr>
          </w:p>
        </w:tc>
        <w:tc>
          <w:tcPr>
            <w:tcW w:w="0" w:type="auto"/>
            <w:shd w:val="clear" w:color="auto" w:fill="auto"/>
          </w:tcPr>
          <w:p w14:paraId="33DAAB41" w14:textId="77777777" w:rsidR="004D6A64" w:rsidRDefault="004D6A64">
            <w:pPr>
              <w:rPr>
                <w:rFonts w:ascii="宋体"/>
              </w:rPr>
            </w:pPr>
          </w:p>
        </w:tc>
        <w:tc>
          <w:tcPr>
            <w:tcW w:w="0" w:type="auto"/>
            <w:shd w:val="clear" w:color="auto" w:fill="auto"/>
          </w:tcPr>
          <w:p w14:paraId="33DAAB42" w14:textId="77777777" w:rsidR="004D6A64" w:rsidRDefault="004D6A64">
            <w:pPr>
              <w:rPr>
                <w:rFonts w:ascii="宋体"/>
              </w:rPr>
            </w:pPr>
          </w:p>
        </w:tc>
        <w:tc>
          <w:tcPr>
            <w:tcW w:w="0" w:type="auto"/>
            <w:shd w:val="clear" w:color="auto" w:fill="auto"/>
          </w:tcPr>
          <w:p w14:paraId="33DAAB43" w14:textId="77777777" w:rsidR="004D6A64" w:rsidRDefault="004D6A64">
            <w:pPr>
              <w:rPr>
                <w:rFonts w:ascii="宋体"/>
              </w:rPr>
            </w:pPr>
          </w:p>
        </w:tc>
        <w:tc>
          <w:tcPr>
            <w:tcW w:w="0" w:type="auto"/>
            <w:shd w:val="clear" w:color="auto" w:fill="auto"/>
          </w:tcPr>
          <w:p w14:paraId="33DAAB44" w14:textId="77777777" w:rsidR="004D6A64" w:rsidRDefault="004D6A64">
            <w:pPr>
              <w:rPr>
                <w:rFonts w:ascii="宋体"/>
              </w:rPr>
            </w:pPr>
          </w:p>
        </w:tc>
        <w:tc>
          <w:tcPr>
            <w:tcW w:w="0" w:type="auto"/>
            <w:shd w:val="clear" w:color="auto" w:fill="auto"/>
          </w:tcPr>
          <w:p w14:paraId="33DAAB45" w14:textId="77777777" w:rsidR="004D6A64" w:rsidRDefault="004D6A64">
            <w:pPr>
              <w:rPr>
                <w:rFonts w:ascii="宋体"/>
              </w:rPr>
            </w:pPr>
          </w:p>
        </w:tc>
        <w:tc>
          <w:tcPr>
            <w:tcW w:w="0" w:type="auto"/>
            <w:shd w:val="clear" w:color="auto" w:fill="auto"/>
          </w:tcPr>
          <w:p w14:paraId="33DAAB46" w14:textId="77777777" w:rsidR="004D6A64" w:rsidRDefault="004D6A64">
            <w:pPr>
              <w:rPr>
                <w:rFonts w:ascii="宋体"/>
              </w:rPr>
            </w:pPr>
          </w:p>
        </w:tc>
      </w:tr>
      <w:tr w:rsidR="004D6A64" w14:paraId="33DAAB7B" w14:textId="77777777">
        <w:tc>
          <w:tcPr>
            <w:tcW w:w="0" w:type="auto"/>
            <w:gridSpan w:val="3"/>
            <w:shd w:val="clear" w:color="auto" w:fill="FFFFFF"/>
            <w:tcMar>
              <w:top w:w="40" w:type="dxa"/>
              <w:left w:w="20" w:type="dxa"/>
              <w:bottom w:w="40" w:type="dxa"/>
              <w:right w:w="20" w:type="dxa"/>
            </w:tcMar>
            <w:vAlign w:val="center"/>
          </w:tcPr>
          <w:p w14:paraId="33DAAB48" w14:textId="77777777" w:rsidR="004D6A64" w:rsidRDefault="00506CD6">
            <w:pPr>
              <w:textAlignment w:val="center"/>
            </w:pPr>
            <w:r>
              <w:rPr>
                <w:rFonts w:ascii="Times New Roman" w:eastAsia="宋体" w:hAnsi="Times New Roman"/>
                <w:i/>
                <w:iCs/>
                <w:color w:val="000000"/>
                <w:sz w:val="20"/>
                <w:szCs w:val="20"/>
              </w:rPr>
              <w:t xml:space="preserve">Balances at end </w:t>
            </w:r>
            <w:r>
              <w:rPr>
                <w:rFonts w:ascii="Times New Roman" w:eastAsia="宋体" w:hAnsi="Times New Roman"/>
                <w:i/>
                <w:iCs/>
                <w:color w:val="000000"/>
                <w:sz w:val="20"/>
                <w:szCs w:val="20"/>
              </w:rPr>
              <w:t>of period</w:t>
            </w: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AB49"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AB4A" w14:textId="77777777" w:rsidR="004D6A64" w:rsidRDefault="00506CD6">
            <w:pPr>
              <w:jc w:val="right"/>
              <w:textAlignment w:val="center"/>
            </w:pPr>
            <w:r>
              <w:rPr>
                <w:rFonts w:ascii="Times New Roman" w:eastAsia="宋体" w:hAnsi="Times New Roman"/>
                <w:color w:val="000000"/>
                <w:sz w:val="20"/>
                <w:szCs w:val="20"/>
              </w:rPr>
              <w:t>143 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AB4B" w14:textId="77777777" w:rsidR="004D6A64" w:rsidRDefault="004D6A64">
            <w:pPr>
              <w:jc w:val="right"/>
              <w:rPr>
                <w:rFonts w:ascii="宋体"/>
              </w:rPr>
            </w:pPr>
          </w:p>
        </w:tc>
        <w:tc>
          <w:tcPr>
            <w:tcW w:w="0" w:type="auto"/>
            <w:gridSpan w:val="3"/>
            <w:shd w:val="clear" w:color="auto" w:fill="FFFFFF"/>
            <w:tcMar>
              <w:left w:w="20" w:type="dxa"/>
              <w:right w:w="20" w:type="dxa"/>
            </w:tcMar>
            <w:vAlign w:val="center"/>
          </w:tcPr>
          <w:p w14:paraId="33DAAB4C" w14:textId="77777777" w:rsidR="004D6A64" w:rsidRDefault="004D6A64">
            <w:pPr>
              <w:jc w:val="right"/>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AB4D"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AB4E" w14:textId="77777777" w:rsidR="004D6A64" w:rsidRDefault="00506CD6">
            <w:pPr>
              <w:jc w:val="right"/>
              <w:textAlignment w:val="center"/>
            </w:pPr>
            <w:r>
              <w:rPr>
                <w:rFonts w:ascii="Times New Roman" w:eastAsia="宋体" w:hAnsi="Times New Roman"/>
                <w:color w:val="000000"/>
                <w:sz w:val="20"/>
                <w:szCs w:val="20"/>
              </w:rPr>
              <w:t>180 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AB4F" w14:textId="77777777" w:rsidR="004D6A64" w:rsidRDefault="004D6A64">
            <w:pPr>
              <w:jc w:val="right"/>
              <w:rPr>
                <w:rFonts w:ascii="宋体"/>
              </w:rPr>
            </w:pPr>
          </w:p>
        </w:tc>
        <w:tc>
          <w:tcPr>
            <w:tcW w:w="0" w:type="auto"/>
            <w:gridSpan w:val="3"/>
            <w:shd w:val="clear" w:color="auto" w:fill="FFFFFF"/>
            <w:tcMar>
              <w:left w:w="20" w:type="dxa"/>
              <w:right w:w="20" w:type="dxa"/>
            </w:tcMar>
            <w:vAlign w:val="center"/>
          </w:tcPr>
          <w:p w14:paraId="33DAAB50" w14:textId="77777777" w:rsidR="004D6A64" w:rsidRDefault="004D6A64">
            <w:pPr>
              <w:jc w:val="right"/>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AB51"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AB52" w14:textId="77777777" w:rsidR="004D6A64" w:rsidRDefault="00506CD6">
            <w:pPr>
              <w:jc w:val="right"/>
              <w:textAlignment w:val="center"/>
            </w:pPr>
            <w:r>
              <w:rPr>
                <w:rFonts w:ascii="Times New Roman" w:eastAsia="宋体" w:hAnsi="Times New Roman"/>
                <w:color w:val="000000"/>
                <w:sz w:val="20"/>
                <w:szCs w:val="20"/>
              </w:rPr>
              <w:t>323 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AB53" w14:textId="77777777" w:rsidR="004D6A64" w:rsidRDefault="004D6A64">
            <w:pPr>
              <w:jc w:val="right"/>
              <w:rPr>
                <w:rFonts w:ascii="宋体"/>
              </w:rPr>
            </w:pPr>
          </w:p>
        </w:tc>
        <w:tc>
          <w:tcPr>
            <w:tcW w:w="0" w:type="auto"/>
            <w:gridSpan w:val="3"/>
            <w:shd w:val="clear" w:color="auto" w:fill="FFFFFF"/>
            <w:tcMar>
              <w:left w:w="20" w:type="dxa"/>
              <w:right w:w="20" w:type="dxa"/>
            </w:tcMar>
            <w:vAlign w:val="center"/>
          </w:tcPr>
          <w:p w14:paraId="33DAAB54" w14:textId="77777777" w:rsidR="004D6A64" w:rsidRDefault="004D6A64">
            <w:pPr>
              <w:jc w:val="right"/>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AB55"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AB56" w14:textId="77777777" w:rsidR="004D6A64" w:rsidRDefault="00506CD6">
            <w:pPr>
              <w:jc w:val="right"/>
              <w:textAlignment w:val="center"/>
            </w:pPr>
            <w:r>
              <w:rPr>
                <w:rFonts w:ascii="Times New Roman" w:eastAsia="宋体" w:hAnsi="Times New Roman"/>
                <w:color w:val="000000"/>
                <w:sz w:val="20"/>
                <w:szCs w:val="20"/>
              </w:rPr>
              <w:t>67 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AB57" w14:textId="77777777" w:rsidR="004D6A64" w:rsidRDefault="004D6A64">
            <w:pPr>
              <w:jc w:val="right"/>
              <w:rPr>
                <w:rFonts w:ascii="宋体"/>
              </w:rPr>
            </w:pPr>
          </w:p>
        </w:tc>
        <w:tc>
          <w:tcPr>
            <w:tcW w:w="0" w:type="auto"/>
            <w:gridSpan w:val="3"/>
            <w:shd w:val="clear" w:color="auto" w:fill="FFFFFF"/>
            <w:tcMar>
              <w:left w:w="20" w:type="dxa"/>
              <w:right w:w="20" w:type="dxa"/>
            </w:tcMar>
            <w:vAlign w:val="center"/>
          </w:tcPr>
          <w:p w14:paraId="33DAAB58" w14:textId="77777777" w:rsidR="004D6A64" w:rsidRDefault="004D6A64">
            <w:pPr>
              <w:jc w:val="right"/>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AB59"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AB5A" w14:textId="77777777" w:rsidR="004D6A64" w:rsidRDefault="00506CD6">
            <w:pPr>
              <w:jc w:val="right"/>
              <w:textAlignment w:val="center"/>
            </w:pPr>
            <w:r>
              <w:rPr>
                <w:rFonts w:ascii="Times New Roman" w:eastAsia="宋体" w:hAnsi="Times New Roman"/>
                <w:color w:val="000000"/>
                <w:sz w:val="20"/>
                <w:szCs w:val="20"/>
              </w:rPr>
              <w:t>71 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AB5B" w14:textId="77777777" w:rsidR="004D6A64" w:rsidRDefault="004D6A64">
            <w:pPr>
              <w:jc w:val="right"/>
              <w:rPr>
                <w:rFonts w:ascii="宋体"/>
              </w:rPr>
            </w:pPr>
          </w:p>
        </w:tc>
        <w:tc>
          <w:tcPr>
            <w:tcW w:w="0" w:type="auto"/>
            <w:gridSpan w:val="3"/>
            <w:shd w:val="clear" w:color="auto" w:fill="FFFFFF"/>
            <w:tcMar>
              <w:left w:w="20" w:type="dxa"/>
              <w:right w:w="20" w:type="dxa"/>
            </w:tcMar>
            <w:vAlign w:val="center"/>
          </w:tcPr>
          <w:p w14:paraId="33DAAB5C" w14:textId="77777777" w:rsidR="004D6A64" w:rsidRDefault="004D6A64">
            <w:pPr>
              <w:jc w:val="right"/>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AB5D"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AB5E" w14:textId="77777777" w:rsidR="004D6A64" w:rsidRDefault="00506CD6">
            <w:pPr>
              <w:jc w:val="right"/>
              <w:textAlignment w:val="center"/>
            </w:pPr>
            <w:r>
              <w:rPr>
                <w:rFonts w:ascii="Times New Roman" w:eastAsia="宋体" w:hAnsi="Times New Roman"/>
                <w:color w:val="000000"/>
                <w:sz w:val="20"/>
                <w:szCs w:val="20"/>
              </w:rPr>
              <w:t>138 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AB5F" w14:textId="77777777" w:rsidR="004D6A64" w:rsidRDefault="004D6A64">
            <w:pPr>
              <w:jc w:val="right"/>
              <w:rPr>
                <w:rFonts w:ascii="宋体"/>
              </w:rPr>
            </w:pPr>
          </w:p>
        </w:tc>
        <w:tc>
          <w:tcPr>
            <w:tcW w:w="0" w:type="auto"/>
            <w:shd w:val="clear" w:color="auto" w:fill="auto"/>
          </w:tcPr>
          <w:p w14:paraId="33DAAB60" w14:textId="77777777" w:rsidR="004D6A64" w:rsidRDefault="004D6A64">
            <w:pPr>
              <w:rPr>
                <w:rFonts w:ascii="宋体"/>
              </w:rPr>
            </w:pPr>
          </w:p>
        </w:tc>
        <w:tc>
          <w:tcPr>
            <w:tcW w:w="0" w:type="auto"/>
            <w:shd w:val="clear" w:color="auto" w:fill="auto"/>
          </w:tcPr>
          <w:p w14:paraId="33DAAB61" w14:textId="77777777" w:rsidR="004D6A64" w:rsidRDefault="004D6A64">
            <w:pPr>
              <w:rPr>
                <w:rFonts w:ascii="宋体"/>
              </w:rPr>
            </w:pPr>
          </w:p>
        </w:tc>
        <w:tc>
          <w:tcPr>
            <w:tcW w:w="0" w:type="auto"/>
            <w:shd w:val="clear" w:color="auto" w:fill="auto"/>
          </w:tcPr>
          <w:p w14:paraId="33DAAB62" w14:textId="77777777" w:rsidR="004D6A64" w:rsidRDefault="004D6A64">
            <w:pPr>
              <w:rPr>
                <w:rFonts w:ascii="宋体"/>
              </w:rPr>
            </w:pPr>
          </w:p>
        </w:tc>
        <w:tc>
          <w:tcPr>
            <w:tcW w:w="0" w:type="auto"/>
            <w:shd w:val="clear" w:color="auto" w:fill="auto"/>
          </w:tcPr>
          <w:p w14:paraId="33DAAB63" w14:textId="77777777" w:rsidR="004D6A64" w:rsidRDefault="004D6A64">
            <w:pPr>
              <w:rPr>
                <w:rFonts w:ascii="宋体"/>
              </w:rPr>
            </w:pPr>
          </w:p>
        </w:tc>
        <w:tc>
          <w:tcPr>
            <w:tcW w:w="0" w:type="auto"/>
            <w:shd w:val="clear" w:color="auto" w:fill="auto"/>
          </w:tcPr>
          <w:p w14:paraId="33DAAB64" w14:textId="77777777" w:rsidR="004D6A64" w:rsidRDefault="004D6A64">
            <w:pPr>
              <w:rPr>
                <w:rFonts w:ascii="宋体"/>
              </w:rPr>
            </w:pPr>
          </w:p>
        </w:tc>
        <w:tc>
          <w:tcPr>
            <w:tcW w:w="0" w:type="auto"/>
            <w:shd w:val="clear" w:color="auto" w:fill="auto"/>
          </w:tcPr>
          <w:p w14:paraId="33DAAB65" w14:textId="77777777" w:rsidR="004D6A64" w:rsidRDefault="004D6A64">
            <w:pPr>
              <w:rPr>
                <w:rFonts w:ascii="宋体"/>
              </w:rPr>
            </w:pPr>
          </w:p>
        </w:tc>
        <w:tc>
          <w:tcPr>
            <w:tcW w:w="0" w:type="auto"/>
            <w:shd w:val="clear" w:color="auto" w:fill="auto"/>
          </w:tcPr>
          <w:p w14:paraId="33DAAB66" w14:textId="77777777" w:rsidR="004D6A64" w:rsidRDefault="004D6A64">
            <w:pPr>
              <w:rPr>
                <w:rFonts w:ascii="宋体"/>
              </w:rPr>
            </w:pPr>
          </w:p>
        </w:tc>
        <w:tc>
          <w:tcPr>
            <w:tcW w:w="0" w:type="auto"/>
            <w:shd w:val="clear" w:color="auto" w:fill="auto"/>
          </w:tcPr>
          <w:p w14:paraId="33DAAB67" w14:textId="77777777" w:rsidR="004D6A64" w:rsidRDefault="004D6A64">
            <w:pPr>
              <w:rPr>
                <w:rFonts w:ascii="宋体"/>
              </w:rPr>
            </w:pPr>
          </w:p>
        </w:tc>
        <w:tc>
          <w:tcPr>
            <w:tcW w:w="0" w:type="auto"/>
            <w:shd w:val="clear" w:color="auto" w:fill="auto"/>
          </w:tcPr>
          <w:p w14:paraId="33DAAB68" w14:textId="77777777" w:rsidR="004D6A64" w:rsidRDefault="004D6A64">
            <w:pPr>
              <w:rPr>
                <w:rFonts w:ascii="宋体"/>
              </w:rPr>
            </w:pPr>
          </w:p>
        </w:tc>
        <w:tc>
          <w:tcPr>
            <w:tcW w:w="0" w:type="auto"/>
            <w:shd w:val="clear" w:color="auto" w:fill="auto"/>
          </w:tcPr>
          <w:p w14:paraId="33DAAB69" w14:textId="77777777" w:rsidR="004D6A64" w:rsidRDefault="004D6A64">
            <w:pPr>
              <w:rPr>
                <w:rFonts w:ascii="宋体"/>
              </w:rPr>
            </w:pPr>
          </w:p>
        </w:tc>
        <w:tc>
          <w:tcPr>
            <w:tcW w:w="0" w:type="auto"/>
            <w:shd w:val="clear" w:color="auto" w:fill="auto"/>
          </w:tcPr>
          <w:p w14:paraId="33DAAB6A" w14:textId="77777777" w:rsidR="004D6A64" w:rsidRDefault="004D6A64">
            <w:pPr>
              <w:rPr>
                <w:rFonts w:ascii="宋体"/>
              </w:rPr>
            </w:pPr>
          </w:p>
        </w:tc>
        <w:tc>
          <w:tcPr>
            <w:tcW w:w="0" w:type="auto"/>
            <w:shd w:val="clear" w:color="auto" w:fill="auto"/>
          </w:tcPr>
          <w:p w14:paraId="33DAAB6B" w14:textId="77777777" w:rsidR="004D6A64" w:rsidRDefault="004D6A64">
            <w:pPr>
              <w:rPr>
                <w:rFonts w:ascii="宋体"/>
              </w:rPr>
            </w:pPr>
          </w:p>
        </w:tc>
        <w:tc>
          <w:tcPr>
            <w:tcW w:w="0" w:type="auto"/>
            <w:shd w:val="clear" w:color="auto" w:fill="auto"/>
          </w:tcPr>
          <w:p w14:paraId="33DAAB6C" w14:textId="77777777" w:rsidR="004D6A64" w:rsidRDefault="004D6A64">
            <w:pPr>
              <w:rPr>
                <w:rFonts w:ascii="宋体"/>
              </w:rPr>
            </w:pPr>
          </w:p>
        </w:tc>
        <w:tc>
          <w:tcPr>
            <w:tcW w:w="0" w:type="auto"/>
            <w:shd w:val="clear" w:color="auto" w:fill="auto"/>
          </w:tcPr>
          <w:p w14:paraId="33DAAB6D" w14:textId="77777777" w:rsidR="004D6A64" w:rsidRDefault="004D6A64">
            <w:pPr>
              <w:rPr>
                <w:rFonts w:ascii="宋体"/>
              </w:rPr>
            </w:pPr>
          </w:p>
        </w:tc>
        <w:tc>
          <w:tcPr>
            <w:tcW w:w="0" w:type="auto"/>
            <w:shd w:val="clear" w:color="auto" w:fill="auto"/>
          </w:tcPr>
          <w:p w14:paraId="33DAAB6E" w14:textId="77777777" w:rsidR="004D6A64" w:rsidRDefault="004D6A64">
            <w:pPr>
              <w:rPr>
                <w:rFonts w:ascii="宋体"/>
              </w:rPr>
            </w:pPr>
          </w:p>
        </w:tc>
        <w:tc>
          <w:tcPr>
            <w:tcW w:w="0" w:type="auto"/>
            <w:shd w:val="clear" w:color="auto" w:fill="auto"/>
          </w:tcPr>
          <w:p w14:paraId="33DAAB6F" w14:textId="77777777" w:rsidR="004D6A64" w:rsidRDefault="004D6A64">
            <w:pPr>
              <w:rPr>
                <w:rFonts w:ascii="宋体"/>
              </w:rPr>
            </w:pPr>
          </w:p>
        </w:tc>
        <w:tc>
          <w:tcPr>
            <w:tcW w:w="0" w:type="auto"/>
            <w:shd w:val="clear" w:color="auto" w:fill="auto"/>
          </w:tcPr>
          <w:p w14:paraId="33DAAB70" w14:textId="77777777" w:rsidR="004D6A64" w:rsidRDefault="004D6A64">
            <w:pPr>
              <w:rPr>
                <w:rFonts w:ascii="宋体"/>
              </w:rPr>
            </w:pPr>
          </w:p>
        </w:tc>
        <w:tc>
          <w:tcPr>
            <w:tcW w:w="0" w:type="auto"/>
            <w:shd w:val="clear" w:color="auto" w:fill="auto"/>
          </w:tcPr>
          <w:p w14:paraId="33DAAB71" w14:textId="77777777" w:rsidR="004D6A64" w:rsidRDefault="004D6A64">
            <w:pPr>
              <w:rPr>
                <w:rFonts w:ascii="宋体"/>
              </w:rPr>
            </w:pPr>
          </w:p>
        </w:tc>
        <w:tc>
          <w:tcPr>
            <w:tcW w:w="0" w:type="auto"/>
            <w:shd w:val="clear" w:color="auto" w:fill="auto"/>
          </w:tcPr>
          <w:p w14:paraId="33DAAB72" w14:textId="77777777" w:rsidR="004D6A64" w:rsidRDefault="004D6A64">
            <w:pPr>
              <w:rPr>
                <w:rFonts w:ascii="宋体"/>
              </w:rPr>
            </w:pPr>
          </w:p>
        </w:tc>
        <w:tc>
          <w:tcPr>
            <w:tcW w:w="0" w:type="auto"/>
            <w:shd w:val="clear" w:color="auto" w:fill="auto"/>
          </w:tcPr>
          <w:p w14:paraId="33DAAB73" w14:textId="77777777" w:rsidR="004D6A64" w:rsidRDefault="004D6A64">
            <w:pPr>
              <w:rPr>
                <w:rFonts w:ascii="宋体"/>
              </w:rPr>
            </w:pPr>
          </w:p>
        </w:tc>
        <w:tc>
          <w:tcPr>
            <w:tcW w:w="0" w:type="auto"/>
            <w:shd w:val="clear" w:color="auto" w:fill="auto"/>
          </w:tcPr>
          <w:p w14:paraId="33DAAB74" w14:textId="77777777" w:rsidR="004D6A64" w:rsidRDefault="004D6A64">
            <w:pPr>
              <w:rPr>
                <w:rFonts w:ascii="宋体"/>
              </w:rPr>
            </w:pPr>
          </w:p>
        </w:tc>
        <w:tc>
          <w:tcPr>
            <w:tcW w:w="0" w:type="auto"/>
            <w:shd w:val="clear" w:color="auto" w:fill="auto"/>
          </w:tcPr>
          <w:p w14:paraId="33DAAB75" w14:textId="77777777" w:rsidR="004D6A64" w:rsidRDefault="004D6A64">
            <w:pPr>
              <w:rPr>
                <w:rFonts w:ascii="宋体"/>
              </w:rPr>
            </w:pPr>
          </w:p>
        </w:tc>
        <w:tc>
          <w:tcPr>
            <w:tcW w:w="0" w:type="auto"/>
            <w:shd w:val="clear" w:color="auto" w:fill="auto"/>
          </w:tcPr>
          <w:p w14:paraId="33DAAB76" w14:textId="77777777" w:rsidR="004D6A64" w:rsidRDefault="004D6A64">
            <w:pPr>
              <w:rPr>
                <w:rFonts w:ascii="宋体"/>
              </w:rPr>
            </w:pPr>
          </w:p>
        </w:tc>
        <w:tc>
          <w:tcPr>
            <w:tcW w:w="0" w:type="auto"/>
            <w:shd w:val="clear" w:color="auto" w:fill="auto"/>
          </w:tcPr>
          <w:p w14:paraId="33DAAB77" w14:textId="77777777" w:rsidR="004D6A64" w:rsidRDefault="004D6A64">
            <w:pPr>
              <w:rPr>
                <w:rFonts w:ascii="宋体"/>
              </w:rPr>
            </w:pPr>
          </w:p>
        </w:tc>
        <w:tc>
          <w:tcPr>
            <w:tcW w:w="0" w:type="auto"/>
            <w:shd w:val="clear" w:color="auto" w:fill="auto"/>
          </w:tcPr>
          <w:p w14:paraId="33DAAB78" w14:textId="77777777" w:rsidR="004D6A64" w:rsidRDefault="004D6A64">
            <w:pPr>
              <w:rPr>
                <w:rFonts w:ascii="宋体"/>
              </w:rPr>
            </w:pPr>
          </w:p>
        </w:tc>
        <w:tc>
          <w:tcPr>
            <w:tcW w:w="0" w:type="auto"/>
            <w:shd w:val="clear" w:color="auto" w:fill="auto"/>
          </w:tcPr>
          <w:p w14:paraId="33DAAB79" w14:textId="77777777" w:rsidR="004D6A64" w:rsidRDefault="004D6A64">
            <w:pPr>
              <w:rPr>
                <w:rFonts w:ascii="宋体"/>
              </w:rPr>
            </w:pPr>
          </w:p>
        </w:tc>
        <w:tc>
          <w:tcPr>
            <w:tcW w:w="0" w:type="auto"/>
            <w:shd w:val="clear" w:color="auto" w:fill="auto"/>
          </w:tcPr>
          <w:p w14:paraId="33DAAB7A" w14:textId="77777777" w:rsidR="004D6A64" w:rsidRDefault="004D6A64">
            <w:pPr>
              <w:rPr>
                <w:rFonts w:ascii="宋体"/>
              </w:rPr>
            </w:pPr>
          </w:p>
        </w:tc>
      </w:tr>
    </w:tbl>
    <w:p w14:paraId="33DAAB7C" w14:textId="77777777" w:rsidR="004D6A64" w:rsidRDefault="004D6A64"/>
    <w:p w14:paraId="33DAAB7D" w14:textId="77777777" w:rsidR="004D6A64" w:rsidRDefault="00506CD6">
      <w:r>
        <w:rPr>
          <w:rFonts w:ascii="Times New Roman" w:eastAsia="宋体" w:hAnsi="Times New Roman"/>
          <w:i/>
          <w:iCs/>
          <w:color w:val="000000"/>
          <w:sz w:val="20"/>
          <w:szCs w:val="20"/>
          <w:u w:val="single"/>
        </w:rPr>
        <w:t>Aging</w:t>
      </w:r>
    </w:p>
    <w:p w14:paraId="33DAAB7E" w14:textId="77777777" w:rsidR="004D6A64" w:rsidRDefault="004D6A64"/>
    <w:p w14:paraId="33DAAB7F" w14:textId="77777777" w:rsidR="004D6A64" w:rsidRDefault="00506CD6">
      <w:r>
        <w:rPr>
          <w:rFonts w:ascii="Times New Roman" w:eastAsia="宋体" w:hAnsi="Times New Roman"/>
          <w:color w:val="000000"/>
          <w:sz w:val="20"/>
          <w:szCs w:val="20"/>
        </w:rPr>
        <w:t>The following table presents the aging of the Company’s customer financing receivables, gross, including accr</w:t>
      </w:r>
      <w:r>
        <w:rPr>
          <w:rFonts w:ascii="Times New Roman" w:eastAsia="宋体" w:hAnsi="Times New Roman"/>
          <w:color w:val="000000"/>
          <w:sz w:val="20"/>
          <w:szCs w:val="20"/>
        </w:rPr>
        <w:t>ued interest, segregated by class,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1637"/>
        <w:gridCol w:w="38"/>
        <w:gridCol w:w="136"/>
        <w:gridCol w:w="647"/>
        <w:gridCol w:w="41"/>
        <w:gridCol w:w="36"/>
        <w:gridCol w:w="36"/>
        <w:gridCol w:w="36"/>
        <w:gridCol w:w="135"/>
        <w:gridCol w:w="365"/>
        <w:gridCol w:w="41"/>
        <w:gridCol w:w="36"/>
        <w:gridCol w:w="36"/>
        <w:gridCol w:w="36"/>
        <w:gridCol w:w="136"/>
        <w:gridCol w:w="396"/>
        <w:gridCol w:w="41"/>
        <w:gridCol w:w="36"/>
        <w:gridCol w:w="36"/>
        <w:gridCol w:w="36"/>
        <w:gridCol w:w="135"/>
        <w:gridCol w:w="615"/>
        <w:gridCol w:w="41"/>
        <w:gridCol w:w="36"/>
        <w:gridCol w:w="36"/>
        <w:gridCol w:w="36"/>
        <w:gridCol w:w="136"/>
        <w:gridCol w:w="647"/>
        <w:gridCol w:w="41"/>
        <w:gridCol w:w="36"/>
        <w:gridCol w:w="36"/>
        <w:gridCol w:w="36"/>
        <w:gridCol w:w="135"/>
        <w:gridCol w:w="365"/>
        <w:gridCol w:w="41"/>
        <w:gridCol w:w="36"/>
        <w:gridCol w:w="36"/>
        <w:gridCol w:w="36"/>
        <w:gridCol w:w="135"/>
        <w:gridCol w:w="365"/>
        <w:gridCol w:w="41"/>
        <w:gridCol w:w="36"/>
        <w:gridCol w:w="36"/>
        <w:gridCol w:w="36"/>
        <w:gridCol w:w="135"/>
        <w:gridCol w:w="515"/>
        <w:gridCol w:w="41"/>
        <w:gridCol w:w="36"/>
        <w:gridCol w:w="36"/>
        <w:gridCol w:w="36"/>
        <w:gridCol w:w="36"/>
        <w:gridCol w:w="36"/>
        <w:gridCol w:w="36"/>
        <w:gridCol w:w="36"/>
        <w:gridCol w:w="36"/>
        <w:gridCol w:w="36"/>
        <w:gridCol w:w="36"/>
        <w:gridCol w:w="36"/>
        <w:gridCol w:w="36"/>
        <w:gridCol w:w="36"/>
        <w:gridCol w:w="36"/>
        <w:gridCol w:w="36"/>
      </w:tblGrid>
      <w:tr w:rsidR="004D6A64" w14:paraId="33DAABB0" w14:textId="77777777">
        <w:trPr>
          <w:gridAfter w:val="15"/>
        </w:trPr>
        <w:tc>
          <w:tcPr>
            <w:tcW w:w="50" w:type="pct"/>
            <w:shd w:val="clear" w:color="auto" w:fill="auto"/>
          </w:tcPr>
          <w:p w14:paraId="33DAAB80" w14:textId="77777777" w:rsidR="004D6A64" w:rsidRDefault="004D6A64">
            <w:pPr>
              <w:rPr>
                <w:rFonts w:ascii="宋体"/>
              </w:rPr>
            </w:pPr>
          </w:p>
        </w:tc>
        <w:tc>
          <w:tcPr>
            <w:tcW w:w="1472" w:type="pct"/>
            <w:shd w:val="clear" w:color="auto" w:fill="auto"/>
          </w:tcPr>
          <w:p w14:paraId="33DAAB81" w14:textId="77777777" w:rsidR="004D6A64" w:rsidRDefault="004D6A64">
            <w:pPr>
              <w:rPr>
                <w:rFonts w:ascii="宋体"/>
              </w:rPr>
            </w:pPr>
          </w:p>
        </w:tc>
        <w:tc>
          <w:tcPr>
            <w:tcW w:w="5" w:type="pct"/>
            <w:shd w:val="clear" w:color="auto" w:fill="auto"/>
          </w:tcPr>
          <w:p w14:paraId="33DAAB82" w14:textId="77777777" w:rsidR="004D6A64" w:rsidRDefault="004D6A64">
            <w:pPr>
              <w:rPr>
                <w:rFonts w:ascii="宋体"/>
              </w:rPr>
            </w:pPr>
          </w:p>
        </w:tc>
        <w:tc>
          <w:tcPr>
            <w:tcW w:w="50" w:type="pct"/>
            <w:shd w:val="clear" w:color="auto" w:fill="auto"/>
          </w:tcPr>
          <w:p w14:paraId="33DAAB83" w14:textId="77777777" w:rsidR="004D6A64" w:rsidRDefault="004D6A64">
            <w:pPr>
              <w:rPr>
                <w:rFonts w:ascii="宋体"/>
              </w:rPr>
            </w:pPr>
          </w:p>
        </w:tc>
        <w:tc>
          <w:tcPr>
            <w:tcW w:w="383" w:type="pct"/>
            <w:shd w:val="clear" w:color="auto" w:fill="auto"/>
          </w:tcPr>
          <w:p w14:paraId="33DAAB84" w14:textId="77777777" w:rsidR="004D6A64" w:rsidRDefault="004D6A64">
            <w:pPr>
              <w:rPr>
                <w:rFonts w:ascii="宋体"/>
              </w:rPr>
            </w:pPr>
          </w:p>
        </w:tc>
        <w:tc>
          <w:tcPr>
            <w:tcW w:w="5" w:type="pct"/>
            <w:shd w:val="clear" w:color="auto" w:fill="auto"/>
          </w:tcPr>
          <w:p w14:paraId="33DAAB85" w14:textId="77777777" w:rsidR="004D6A64" w:rsidRDefault="004D6A64">
            <w:pPr>
              <w:rPr>
                <w:rFonts w:ascii="宋体"/>
              </w:rPr>
            </w:pPr>
          </w:p>
        </w:tc>
        <w:tc>
          <w:tcPr>
            <w:tcW w:w="5" w:type="pct"/>
            <w:shd w:val="clear" w:color="auto" w:fill="auto"/>
          </w:tcPr>
          <w:p w14:paraId="33DAAB86" w14:textId="77777777" w:rsidR="004D6A64" w:rsidRDefault="004D6A64">
            <w:pPr>
              <w:rPr>
                <w:rFonts w:ascii="宋体"/>
              </w:rPr>
            </w:pPr>
          </w:p>
        </w:tc>
        <w:tc>
          <w:tcPr>
            <w:tcW w:w="19" w:type="pct"/>
            <w:shd w:val="clear" w:color="auto" w:fill="auto"/>
          </w:tcPr>
          <w:p w14:paraId="33DAAB87" w14:textId="77777777" w:rsidR="004D6A64" w:rsidRDefault="004D6A64">
            <w:pPr>
              <w:rPr>
                <w:rFonts w:ascii="宋体"/>
              </w:rPr>
            </w:pPr>
          </w:p>
        </w:tc>
        <w:tc>
          <w:tcPr>
            <w:tcW w:w="5" w:type="pct"/>
            <w:shd w:val="clear" w:color="auto" w:fill="auto"/>
          </w:tcPr>
          <w:p w14:paraId="33DAAB88" w14:textId="77777777" w:rsidR="004D6A64" w:rsidRDefault="004D6A64">
            <w:pPr>
              <w:rPr>
                <w:rFonts w:ascii="宋体"/>
              </w:rPr>
            </w:pPr>
          </w:p>
        </w:tc>
        <w:tc>
          <w:tcPr>
            <w:tcW w:w="50" w:type="pct"/>
            <w:shd w:val="clear" w:color="auto" w:fill="auto"/>
          </w:tcPr>
          <w:p w14:paraId="33DAAB89" w14:textId="77777777" w:rsidR="004D6A64" w:rsidRDefault="004D6A64">
            <w:pPr>
              <w:rPr>
                <w:rFonts w:ascii="宋体"/>
              </w:rPr>
            </w:pPr>
          </w:p>
        </w:tc>
        <w:tc>
          <w:tcPr>
            <w:tcW w:w="325" w:type="pct"/>
            <w:shd w:val="clear" w:color="auto" w:fill="auto"/>
          </w:tcPr>
          <w:p w14:paraId="33DAAB8A" w14:textId="77777777" w:rsidR="004D6A64" w:rsidRDefault="004D6A64">
            <w:pPr>
              <w:rPr>
                <w:rFonts w:ascii="宋体"/>
              </w:rPr>
            </w:pPr>
          </w:p>
        </w:tc>
        <w:tc>
          <w:tcPr>
            <w:tcW w:w="5" w:type="pct"/>
            <w:shd w:val="clear" w:color="auto" w:fill="auto"/>
          </w:tcPr>
          <w:p w14:paraId="33DAAB8B" w14:textId="77777777" w:rsidR="004D6A64" w:rsidRDefault="004D6A64">
            <w:pPr>
              <w:rPr>
                <w:rFonts w:ascii="宋体"/>
              </w:rPr>
            </w:pPr>
          </w:p>
        </w:tc>
        <w:tc>
          <w:tcPr>
            <w:tcW w:w="5" w:type="pct"/>
            <w:shd w:val="clear" w:color="auto" w:fill="auto"/>
          </w:tcPr>
          <w:p w14:paraId="33DAAB8C" w14:textId="77777777" w:rsidR="004D6A64" w:rsidRDefault="004D6A64">
            <w:pPr>
              <w:rPr>
                <w:rFonts w:ascii="宋体"/>
              </w:rPr>
            </w:pPr>
          </w:p>
        </w:tc>
        <w:tc>
          <w:tcPr>
            <w:tcW w:w="19" w:type="pct"/>
            <w:shd w:val="clear" w:color="auto" w:fill="auto"/>
          </w:tcPr>
          <w:p w14:paraId="33DAAB8D" w14:textId="77777777" w:rsidR="004D6A64" w:rsidRDefault="004D6A64">
            <w:pPr>
              <w:rPr>
                <w:rFonts w:ascii="宋体"/>
              </w:rPr>
            </w:pPr>
          </w:p>
        </w:tc>
        <w:tc>
          <w:tcPr>
            <w:tcW w:w="5" w:type="pct"/>
            <w:shd w:val="clear" w:color="auto" w:fill="auto"/>
          </w:tcPr>
          <w:p w14:paraId="33DAAB8E" w14:textId="77777777" w:rsidR="004D6A64" w:rsidRDefault="004D6A64">
            <w:pPr>
              <w:rPr>
                <w:rFonts w:ascii="宋体"/>
              </w:rPr>
            </w:pPr>
          </w:p>
        </w:tc>
        <w:tc>
          <w:tcPr>
            <w:tcW w:w="50" w:type="pct"/>
            <w:shd w:val="clear" w:color="auto" w:fill="auto"/>
          </w:tcPr>
          <w:p w14:paraId="33DAAB8F" w14:textId="77777777" w:rsidR="004D6A64" w:rsidRDefault="004D6A64">
            <w:pPr>
              <w:rPr>
                <w:rFonts w:ascii="宋体"/>
              </w:rPr>
            </w:pPr>
          </w:p>
        </w:tc>
        <w:tc>
          <w:tcPr>
            <w:tcW w:w="325" w:type="pct"/>
            <w:shd w:val="clear" w:color="auto" w:fill="auto"/>
          </w:tcPr>
          <w:p w14:paraId="33DAAB90" w14:textId="77777777" w:rsidR="004D6A64" w:rsidRDefault="004D6A64">
            <w:pPr>
              <w:rPr>
                <w:rFonts w:ascii="宋体"/>
              </w:rPr>
            </w:pPr>
          </w:p>
        </w:tc>
        <w:tc>
          <w:tcPr>
            <w:tcW w:w="5" w:type="pct"/>
            <w:shd w:val="clear" w:color="auto" w:fill="auto"/>
          </w:tcPr>
          <w:p w14:paraId="33DAAB91" w14:textId="77777777" w:rsidR="004D6A64" w:rsidRDefault="004D6A64">
            <w:pPr>
              <w:rPr>
                <w:rFonts w:ascii="宋体"/>
              </w:rPr>
            </w:pPr>
          </w:p>
        </w:tc>
        <w:tc>
          <w:tcPr>
            <w:tcW w:w="5" w:type="pct"/>
            <w:shd w:val="clear" w:color="auto" w:fill="auto"/>
          </w:tcPr>
          <w:p w14:paraId="33DAAB92" w14:textId="77777777" w:rsidR="004D6A64" w:rsidRDefault="004D6A64">
            <w:pPr>
              <w:rPr>
                <w:rFonts w:ascii="宋体"/>
              </w:rPr>
            </w:pPr>
          </w:p>
        </w:tc>
        <w:tc>
          <w:tcPr>
            <w:tcW w:w="19" w:type="pct"/>
            <w:shd w:val="clear" w:color="auto" w:fill="auto"/>
          </w:tcPr>
          <w:p w14:paraId="33DAAB93" w14:textId="77777777" w:rsidR="004D6A64" w:rsidRDefault="004D6A64">
            <w:pPr>
              <w:rPr>
                <w:rFonts w:ascii="宋体"/>
              </w:rPr>
            </w:pPr>
          </w:p>
        </w:tc>
        <w:tc>
          <w:tcPr>
            <w:tcW w:w="5" w:type="pct"/>
            <w:shd w:val="clear" w:color="auto" w:fill="auto"/>
          </w:tcPr>
          <w:p w14:paraId="33DAAB94" w14:textId="77777777" w:rsidR="004D6A64" w:rsidRDefault="004D6A64">
            <w:pPr>
              <w:rPr>
                <w:rFonts w:ascii="宋体"/>
              </w:rPr>
            </w:pPr>
          </w:p>
        </w:tc>
        <w:tc>
          <w:tcPr>
            <w:tcW w:w="50" w:type="pct"/>
            <w:shd w:val="clear" w:color="auto" w:fill="auto"/>
          </w:tcPr>
          <w:p w14:paraId="33DAAB95" w14:textId="77777777" w:rsidR="004D6A64" w:rsidRDefault="004D6A64">
            <w:pPr>
              <w:rPr>
                <w:rFonts w:ascii="宋体"/>
              </w:rPr>
            </w:pPr>
          </w:p>
        </w:tc>
        <w:tc>
          <w:tcPr>
            <w:tcW w:w="383" w:type="pct"/>
            <w:shd w:val="clear" w:color="auto" w:fill="auto"/>
          </w:tcPr>
          <w:p w14:paraId="33DAAB96" w14:textId="77777777" w:rsidR="004D6A64" w:rsidRDefault="004D6A64">
            <w:pPr>
              <w:rPr>
                <w:rFonts w:ascii="宋体"/>
              </w:rPr>
            </w:pPr>
          </w:p>
        </w:tc>
        <w:tc>
          <w:tcPr>
            <w:tcW w:w="5" w:type="pct"/>
            <w:shd w:val="clear" w:color="auto" w:fill="auto"/>
          </w:tcPr>
          <w:p w14:paraId="33DAAB97" w14:textId="77777777" w:rsidR="004D6A64" w:rsidRDefault="004D6A64">
            <w:pPr>
              <w:rPr>
                <w:rFonts w:ascii="宋体"/>
              </w:rPr>
            </w:pPr>
          </w:p>
        </w:tc>
        <w:tc>
          <w:tcPr>
            <w:tcW w:w="5" w:type="pct"/>
            <w:shd w:val="clear" w:color="auto" w:fill="auto"/>
          </w:tcPr>
          <w:p w14:paraId="33DAAB98" w14:textId="77777777" w:rsidR="004D6A64" w:rsidRDefault="004D6A64">
            <w:pPr>
              <w:rPr>
                <w:rFonts w:ascii="宋体"/>
              </w:rPr>
            </w:pPr>
          </w:p>
        </w:tc>
        <w:tc>
          <w:tcPr>
            <w:tcW w:w="19" w:type="pct"/>
            <w:shd w:val="clear" w:color="auto" w:fill="auto"/>
          </w:tcPr>
          <w:p w14:paraId="33DAAB99" w14:textId="77777777" w:rsidR="004D6A64" w:rsidRDefault="004D6A64">
            <w:pPr>
              <w:rPr>
                <w:rFonts w:ascii="宋体"/>
              </w:rPr>
            </w:pPr>
          </w:p>
        </w:tc>
        <w:tc>
          <w:tcPr>
            <w:tcW w:w="5" w:type="pct"/>
            <w:shd w:val="clear" w:color="auto" w:fill="auto"/>
          </w:tcPr>
          <w:p w14:paraId="33DAAB9A" w14:textId="77777777" w:rsidR="004D6A64" w:rsidRDefault="004D6A64">
            <w:pPr>
              <w:rPr>
                <w:rFonts w:ascii="宋体"/>
              </w:rPr>
            </w:pPr>
          </w:p>
        </w:tc>
        <w:tc>
          <w:tcPr>
            <w:tcW w:w="50" w:type="pct"/>
            <w:shd w:val="clear" w:color="auto" w:fill="auto"/>
          </w:tcPr>
          <w:p w14:paraId="33DAAB9B" w14:textId="77777777" w:rsidR="004D6A64" w:rsidRDefault="004D6A64">
            <w:pPr>
              <w:rPr>
                <w:rFonts w:ascii="宋体"/>
              </w:rPr>
            </w:pPr>
          </w:p>
        </w:tc>
        <w:tc>
          <w:tcPr>
            <w:tcW w:w="383" w:type="pct"/>
            <w:shd w:val="clear" w:color="auto" w:fill="auto"/>
          </w:tcPr>
          <w:p w14:paraId="33DAAB9C" w14:textId="77777777" w:rsidR="004D6A64" w:rsidRDefault="004D6A64">
            <w:pPr>
              <w:rPr>
                <w:rFonts w:ascii="宋体"/>
              </w:rPr>
            </w:pPr>
          </w:p>
        </w:tc>
        <w:tc>
          <w:tcPr>
            <w:tcW w:w="5" w:type="pct"/>
            <w:shd w:val="clear" w:color="auto" w:fill="auto"/>
          </w:tcPr>
          <w:p w14:paraId="33DAAB9D" w14:textId="77777777" w:rsidR="004D6A64" w:rsidRDefault="004D6A64">
            <w:pPr>
              <w:rPr>
                <w:rFonts w:ascii="宋体"/>
              </w:rPr>
            </w:pPr>
          </w:p>
        </w:tc>
        <w:tc>
          <w:tcPr>
            <w:tcW w:w="5" w:type="pct"/>
            <w:shd w:val="clear" w:color="auto" w:fill="auto"/>
          </w:tcPr>
          <w:p w14:paraId="33DAAB9E" w14:textId="77777777" w:rsidR="004D6A64" w:rsidRDefault="004D6A64">
            <w:pPr>
              <w:rPr>
                <w:rFonts w:ascii="宋体"/>
              </w:rPr>
            </w:pPr>
          </w:p>
        </w:tc>
        <w:tc>
          <w:tcPr>
            <w:tcW w:w="19" w:type="pct"/>
            <w:shd w:val="clear" w:color="auto" w:fill="auto"/>
          </w:tcPr>
          <w:p w14:paraId="33DAAB9F" w14:textId="77777777" w:rsidR="004D6A64" w:rsidRDefault="004D6A64">
            <w:pPr>
              <w:rPr>
                <w:rFonts w:ascii="宋体"/>
              </w:rPr>
            </w:pPr>
          </w:p>
        </w:tc>
        <w:tc>
          <w:tcPr>
            <w:tcW w:w="5" w:type="pct"/>
            <w:shd w:val="clear" w:color="auto" w:fill="auto"/>
          </w:tcPr>
          <w:p w14:paraId="33DAABA0" w14:textId="77777777" w:rsidR="004D6A64" w:rsidRDefault="004D6A64">
            <w:pPr>
              <w:rPr>
                <w:rFonts w:ascii="宋体"/>
              </w:rPr>
            </w:pPr>
          </w:p>
        </w:tc>
        <w:tc>
          <w:tcPr>
            <w:tcW w:w="50" w:type="pct"/>
            <w:shd w:val="clear" w:color="auto" w:fill="auto"/>
          </w:tcPr>
          <w:p w14:paraId="33DAABA1" w14:textId="77777777" w:rsidR="004D6A64" w:rsidRDefault="004D6A64">
            <w:pPr>
              <w:rPr>
                <w:rFonts w:ascii="宋体"/>
              </w:rPr>
            </w:pPr>
          </w:p>
        </w:tc>
        <w:tc>
          <w:tcPr>
            <w:tcW w:w="325" w:type="pct"/>
            <w:shd w:val="clear" w:color="auto" w:fill="auto"/>
          </w:tcPr>
          <w:p w14:paraId="33DAABA2" w14:textId="77777777" w:rsidR="004D6A64" w:rsidRDefault="004D6A64">
            <w:pPr>
              <w:rPr>
                <w:rFonts w:ascii="宋体"/>
              </w:rPr>
            </w:pPr>
          </w:p>
        </w:tc>
        <w:tc>
          <w:tcPr>
            <w:tcW w:w="5" w:type="pct"/>
            <w:shd w:val="clear" w:color="auto" w:fill="auto"/>
          </w:tcPr>
          <w:p w14:paraId="33DAABA3" w14:textId="77777777" w:rsidR="004D6A64" w:rsidRDefault="004D6A64">
            <w:pPr>
              <w:rPr>
                <w:rFonts w:ascii="宋体"/>
              </w:rPr>
            </w:pPr>
          </w:p>
        </w:tc>
        <w:tc>
          <w:tcPr>
            <w:tcW w:w="5" w:type="pct"/>
            <w:shd w:val="clear" w:color="auto" w:fill="auto"/>
          </w:tcPr>
          <w:p w14:paraId="33DAABA4" w14:textId="77777777" w:rsidR="004D6A64" w:rsidRDefault="004D6A64">
            <w:pPr>
              <w:rPr>
                <w:rFonts w:ascii="宋体"/>
              </w:rPr>
            </w:pPr>
          </w:p>
        </w:tc>
        <w:tc>
          <w:tcPr>
            <w:tcW w:w="19" w:type="pct"/>
            <w:shd w:val="clear" w:color="auto" w:fill="auto"/>
          </w:tcPr>
          <w:p w14:paraId="33DAABA5" w14:textId="77777777" w:rsidR="004D6A64" w:rsidRDefault="004D6A64">
            <w:pPr>
              <w:rPr>
                <w:rFonts w:ascii="宋体"/>
              </w:rPr>
            </w:pPr>
          </w:p>
        </w:tc>
        <w:tc>
          <w:tcPr>
            <w:tcW w:w="5" w:type="pct"/>
            <w:shd w:val="clear" w:color="auto" w:fill="auto"/>
          </w:tcPr>
          <w:p w14:paraId="33DAABA6" w14:textId="77777777" w:rsidR="004D6A64" w:rsidRDefault="004D6A64">
            <w:pPr>
              <w:rPr>
                <w:rFonts w:ascii="宋体"/>
              </w:rPr>
            </w:pPr>
          </w:p>
        </w:tc>
        <w:tc>
          <w:tcPr>
            <w:tcW w:w="50" w:type="pct"/>
            <w:shd w:val="clear" w:color="auto" w:fill="auto"/>
          </w:tcPr>
          <w:p w14:paraId="33DAABA7" w14:textId="77777777" w:rsidR="004D6A64" w:rsidRDefault="004D6A64">
            <w:pPr>
              <w:rPr>
                <w:rFonts w:ascii="宋体"/>
              </w:rPr>
            </w:pPr>
          </w:p>
        </w:tc>
        <w:tc>
          <w:tcPr>
            <w:tcW w:w="325" w:type="pct"/>
            <w:shd w:val="clear" w:color="auto" w:fill="auto"/>
          </w:tcPr>
          <w:p w14:paraId="33DAABA8" w14:textId="77777777" w:rsidR="004D6A64" w:rsidRDefault="004D6A64">
            <w:pPr>
              <w:rPr>
                <w:rFonts w:ascii="宋体"/>
              </w:rPr>
            </w:pPr>
          </w:p>
        </w:tc>
        <w:tc>
          <w:tcPr>
            <w:tcW w:w="5" w:type="pct"/>
            <w:shd w:val="clear" w:color="auto" w:fill="auto"/>
          </w:tcPr>
          <w:p w14:paraId="33DAABA9" w14:textId="77777777" w:rsidR="004D6A64" w:rsidRDefault="004D6A64">
            <w:pPr>
              <w:rPr>
                <w:rFonts w:ascii="宋体"/>
              </w:rPr>
            </w:pPr>
          </w:p>
        </w:tc>
        <w:tc>
          <w:tcPr>
            <w:tcW w:w="5" w:type="pct"/>
            <w:shd w:val="clear" w:color="auto" w:fill="auto"/>
          </w:tcPr>
          <w:p w14:paraId="33DAABAA" w14:textId="77777777" w:rsidR="004D6A64" w:rsidRDefault="004D6A64">
            <w:pPr>
              <w:rPr>
                <w:rFonts w:ascii="宋体"/>
              </w:rPr>
            </w:pPr>
          </w:p>
        </w:tc>
        <w:tc>
          <w:tcPr>
            <w:tcW w:w="19" w:type="pct"/>
            <w:shd w:val="clear" w:color="auto" w:fill="auto"/>
          </w:tcPr>
          <w:p w14:paraId="33DAABAB" w14:textId="77777777" w:rsidR="004D6A64" w:rsidRDefault="004D6A64">
            <w:pPr>
              <w:rPr>
                <w:rFonts w:ascii="宋体"/>
              </w:rPr>
            </w:pPr>
          </w:p>
        </w:tc>
        <w:tc>
          <w:tcPr>
            <w:tcW w:w="5" w:type="pct"/>
            <w:shd w:val="clear" w:color="auto" w:fill="auto"/>
          </w:tcPr>
          <w:p w14:paraId="33DAABAC" w14:textId="77777777" w:rsidR="004D6A64" w:rsidRDefault="004D6A64">
            <w:pPr>
              <w:rPr>
                <w:rFonts w:ascii="宋体"/>
              </w:rPr>
            </w:pPr>
          </w:p>
        </w:tc>
        <w:tc>
          <w:tcPr>
            <w:tcW w:w="50" w:type="pct"/>
            <w:shd w:val="clear" w:color="auto" w:fill="auto"/>
          </w:tcPr>
          <w:p w14:paraId="33DAABAD" w14:textId="77777777" w:rsidR="004D6A64" w:rsidRDefault="004D6A64">
            <w:pPr>
              <w:rPr>
                <w:rFonts w:ascii="宋体"/>
              </w:rPr>
            </w:pPr>
          </w:p>
        </w:tc>
        <w:tc>
          <w:tcPr>
            <w:tcW w:w="376" w:type="pct"/>
            <w:shd w:val="clear" w:color="auto" w:fill="auto"/>
          </w:tcPr>
          <w:p w14:paraId="33DAABAE" w14:textId="77777777" w:rsidR="004D6A64" w:rsidRDefault="004D6A64">
            <w:pPr>
              <w:rPr>
                <w:rFonts w:ascii="宋体"/>
              </w:rPr>
            </w:pPr>
          </w:p>
        </w:tc>
        <w:tc>
          <w:tcPr>
            <w:tcW w:w="5" w:type="pct"/>
            <w:shd w:val="clear" w:color="auto" w:fill="auto"/>
          </w:tcPr>
          <w:p w14:paraId="33DAABAF" w14:textId="77777777" w:rsidR="004D6A64" w:rsidRDefault="004D6A64">
            <w:pPr>
              <w:rPr>
                <w:rFonts w:ascii="宋体"/>
              </w:rPr>
            </w:pPr>
          </w:p>
        </w:tc>
      </w:tr>
      <w:tr w:rsidR="004D6A64" w14:paraId="33DAABBC" w14:textId="77777777">
        <w:tc>
          <w:tcPr>
            <w:tcW w:w="0" w:type="auto"/>
            <w:gridSpan w:val="3"/>
            <w:shd w:val="clear" w:color="auto" w:fill="auto"/>
            <w:tcMar>
              <w:left w:w="20" w:type="dxa"/>
              <w:right w:w="20" w:type="dxa"/>
            </w:tcMar>
            <w:vAlign w:val="bottom"/>
          </w:tcPr>
          <w:p w14:paraId="33DAABB1" w14:textId="77777777" w:rsidR="004D6A64" w:rsidRDefault="004D6A64">
            <w:pPr>
              <w:rPr>
                <w:rFonts w:ascii="宋体"/>
              </w:rPr>
            </w:pPr>
          </w:p>
        </w:tc>
        <w:tc>
          <w:tcPr>
            <w:tcW w:w="0" w:type="auto"/>
            <w:gridSpan w:val="21"/>
            <w:shd w:val="clear" w:color="auto" w:fill="auto"/>
            <w:tcMar>
              <w:top w:w="40" w:type="dxa"/>
              <w:left w:w="20" w:type="dxa"/>
              <w:bottom w:w="40" w:type="dxa"/>
              <w:right w:w="20" w:type="dxa"/>
            </w:tcMar>
            <w:vAlign w:val="bottom"/>
          </w:tcPr>
          <w:p w14:paraId="33DAABB2"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shd w:val="clear" w:color="auto" w:fill="auto"/>
          </w:tcPr>
          <w:p w14:paraId="33DAABB3" w14:textId="77777777" w:rsidR="004D6A64" w:rsidRDefault="004D6A64">
            <w:pPr>
              <w:rPr>
                <w:rFonts w:ascii="宋体"/>
                <w:vanish/>
              </w:rPr>
            </w:pPr>
          </w:p>
        </w:tc>
        <w:tc>
          <w:tcPr>
            <w:tcW w:w="0" w:type="auto"/>
            <w:gridSpan w:val="3"/>
            <w:shd w:val="clear" w:color="auto" w:fill="auto"/>
          </w:tcPr>
          <w:p w14:paraId="33DAABB4" w14:textId="77777777" w:rsidR="004D6A64" w:rsidRDefault="004D6A64">
            <w:pPr>
              <w:rPr>
                <w:rFonts w:ascii="宋体"/>
                <w:vanish/>
              </w:rPr>
            </w:pPr>
          </w:p>
        </w:tc>
        <w:tc>
          <w:tcPr>
            <w:tcW w:w="0" w:type="auto"/>
            <w:gridSpan w:val="3"/>
            <w:shd w:val="clear" w:color="auto" w:fill="auto"/>
          </w:tcPr>
          <w:p w14:paraId="33DAABB5" w14:textId="77777777" w:rsidR="004D6A64" w:rsidRDefault="004D6A64">
            <w:pPr>
              <w:rPr>
                <w:rFonts w:ascii="宋体"/>
                <w:vanish/>
              </w:rPr>
            </w:pPr>
          </w:p>
        </w:tc>
        <w:tc>
          <w:tcPr>
            <w:tcW w:w="0" w:type="auto"/>
            <w:gridSpan w:val="3"/>
            <w:shd w:val="clear" w:color="auto" w:fill="auto"/>
          </w:tcPr>
          <w:p w14:paraId="33DAABB6" w14:textId="77777777" w:rsidR="004D6A64" w:rsidRDefault="004D6A64">
            <w:pPr>
              <w:rPr>
                <w:rFonts w:ascii="宋体"/>
                <w:vanish/>
              </w:rPr>
            </w:pPr>
          </w:p>
        </w:tc>
        <w:tc>
          <w:tcPr>
            <w:tcW w:w="0" w:type="auto"/>
            <w:gridSpan w:val="3"/>
            <w:shd w:val="clear" w:color="auto" w:fill="auto"/>
          </w:tcPr>
          <w:p w14:paraId="33DAABB7" w14:textId="77777777" w:rsidR="004D6A64" w:rsidRDefault="004D6A64">
            <w:pPr>
              <w:rPr>
                <w:rFonts w:ascii="宋体"/>
                <w:vanish/>
              </w:rPr>
            </w:pPr>
          </w:p>
        </w:tc>
        <w:tc>
          <w:tcPr>
            <w:tcW w:w="0" w:type="auto"/>
            <w:gridSpan w:val="3"/>
            <w:shd w:val="clear" w:color="auto" w:fill="auto"/>
          </w:tcPr>
          <w:p w14:paraId="33DAABB8"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ABB9" w14:textId="77777777" w:rsidR="004D6A64" w:rsidRDefault="004D6A64">
            <w:pPr>
              <w:rPr>
                <w:rFonts w:ascii="宋体"/>
              </w:rPr>
            </w:pPr>
          </w:p>
        </w:tc>
        <w:tc>
          <w:tcPr>
            <w:tcW w:w="0" w:type="auto"/>
            <w:gridSpan w:val="17"/>
            <w:shd w:val="clear" w:color="auto" w:fill="auto"/>
            <w:tcMar>
              <w:top w:w="40" w:type="dxa"/>
              <w:left w:w="20" w:type="dxa"/>
              <w:bottom w:w="40" w:type="dxa"/>
              <w:right w:w="20" w:type="dxa"/>
            </w:tcMar>
            <w:vAlign w:val="bottom"/>
          </w:tcPr>
          <w:p w14:paraId="33DAABBA" w14:textId="77777777" w:rsidR="004D6A64" w:rsidRDefault="00506CD6">
            <w:pPr>
              <w:jc w:val="center"/>
              <w:textAlignment w:val="bottom"/>
            </w:pPr>
            <w:r>
              <w:rPr>
                <w:rFonts w:ascii="Times New Roman" w:eastAsia="宋体" w:hAnsi="Times New Roman"/>
                <w:b/>
                <w:bCs/>
                <w:color w:val="000000"/>
                <w:sz w:val="20"/>
                <w:szCs w:val="20"/>
              </w:rPr>
              <w:t>January 31, 2020</w:t>
            </w:r>
          </w:p>
        </w:tc>
        <w:tc>
          <w:tcPr>
            <w:tcW w:w="0" w:type="auto"/>
            <w:shd w:val="clear" w:color="auto" w:fill="auto"/>
          </w:tcPr>
          <w:p w14:paraId="33DAABBB" w14:textId="77777777" w:rsidR="004D6A64" w:rsidRDefault="004D6A64">
            <w:pPr>
              <w:rPr>
                <w:rFonts w:ascii="宋体"/>
                <w:vanish/>
              </w:rPr>
            </w:pPr>
          </w:p>
        </w:tc>
      </w:tr>
      <w:tr w:rsidR="004D6A64" w14:paraId="33DAABDE" w14:textId="77777777">
        <w:tc>
          <w:tcPr>
            <w:tcW w:w="0" w:type="auto"/>
            <w:gridSpan w:val="3"/>
            <w:shd w:val="clear" w:color="auto" w:fill="auto"/>
            <w:tcMar>
              <w:left w:w="20" w:type="dxa"/>
              <w:right w:w="20" w:type="dxa"/>
            </w:tcMar>
            <w:vAlign w:val="bottom"/>
          </w:tcPr>
          <w:p w14:paraId="33DAABBD"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ABBE" w14:textId="77777777" w:rsidR="004D6A64" w:rsidRDefault="00506CD6">
            <w:pPr>
              <w:jc w:val="center"/>
              <w:textAlignment w:val="bottom"/>
            </w:pPr>
            <w:r>
              <w:rPr>
                <w:rFonts w:ascii="Times New Roman" w:eastAsia="宋体" w:hAnsi="Times New Roman"/>
                <w:b/>
                <w:bCs/>
                <w:color w:val="000000"/>
                <w:sz w:val="20"/>
                <w:szCs w:val="20"/>
              </w:rPr>
              <w:t>Current</w:t>
            </w:r>
          </w:p>
        </w:tc>
        <w:tc>
          <w:tcPr>
            <w:tcW w:w="0" w:type="auto"/>
            <w:gridSpan w:val="3"/>
            <w:tcBorders>
              <w:top w:val="single" w:sz="8" w:space="0" w:color="000000"/>
            </w:tcBorders>
            <w:shd w:val="clear" w:color="auto" w:fill="auto"/>
            <w:tcMar>
              <w:left w:w="20" w:type="dxa"/>
              <w:right w:w="20" w:type="dxa"/>
            </w:tcMar>
            <w:vAlign w:val="bottom"/>
          </w:tcPr>
          <w:p w14:paraId="33DAABBF"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BC0" w14:textId="77777777" w:rsidR="004D6A64" w:rsidRDefault="00506CD6">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000000"/>
                <w:sz w:val="20"/>
                <w:szCs w:val="20"/>
              </w:rPr>
              <w:t>Past Due</w:t>
            </w:r>
          </w:p>
          <w:p w14:paraId="33DAABC1" w14:textId="77777777" w:rsidR="004D6A64" w:rsidRDefault="00506CD6">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000000"/>
                <w:sz w:val="20"/>
                <w:szCs w:val="20"/>
              </w:rPr>
              <w:t>1 — 90 Days</w:t>
            </w:r>
          </w:p>
        </w:tc>
        <w:tc>
          <w:tcPr>
            <w:tcW w:w="0" w:type="auto"/>
            <w:gridSpan w:val="3"/>
            <w:tcBorders>
              <w:top w:val="single" w:sz="8" w:space="0" w:color="000000"/>
            </w:tcBorders>
            <w:shd w:val="clear" w:color="auto" w:fill="auto"/>
            <w:tcMar>
              <w:left w:w="20" w:type="dxa"/>
              <w:right w:w="20" w:type="dxa"/>
            </w:tcMar>
            <w:vAlign w:val="bottom"/>
          </w:tcPr>
          <w:p w14:paraId="33DAABC2"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BC3" w14:textId="77777777" w:rsidR="004D6A64" w:rsidRDefault="00506CD6">
            <w:pPr>
              <w:jc w:val="center"/>
              <w:textAlignment w:val="bottom"/>
            </w:pPr>
            <w:r>
              <w:rPr>
                <w:rFonts w:ascii="Times New Roman" w:eastAsia="宋体" w:hAnsi="Times New Roman"/>
                <w:b/>
                <w:bCs/>
                <w:color w:val="000000"/>
                <w:sz w:val="20"/>
                <w:szCs w:val="20"/>
              </w:rPr>
              <w:t>Past Due</w:t>
            </w:r>
            <w:r>
              <w:rPr>
                <w:rFonts w:ascii="Times New Roman" w:eastAsia="宋体" w:hAnsi="Times New Roman"/>
                <w:b/>
                <w:bCs/>
                <w:color w:val="000000"/>
                <w:sz w:val="20"/>
                <w:szCs w:val="20"/>
              </w:rPr>
              <w:br/>
              <w:t>&gt;90 Days</w:t>
            </w:r>
          </w:p>
        </w:tc>
        <w:tc>
          <w:tcPr>
            <w:tcW w:w="0" w:type="auto"/>
            <w:gridSpan w:val="3"/>
            <w:tcBorders>
              <w:top w:val="single" w:sz="8" w:space="0" w:color="000000"/>
            </w:tcBorders>
            <w:shd w:val="clear" w:color="auto" w:fill="auto"/>
            <w:tcMar>
              <w:left w:w="20" w:type="dxa"/>
              <w:right w:w="20" w:type="dxa"/>
            </w:tcMar>
            <w:vAlign w:val="bottom"/>
          </w:tcPr>
          <w:p w14:paraId="33DAABC4"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BC5" w14:textId="77777777" w:rsidR="004D6A64" w:rsidRDefault="00506CD6">
            <w:pPr>
              <w:jc w:val="center"/>
              <w:textAlignment w:val="bottom"/>
            </w:pPr>
            <w:r>
              <w:rPr>
                <w:rFonts w:ascii="Times New Roman" w:eastAsia="宋体" w:hAnsi="Times New Roman"/>
                <w:b/>
                <w:bCs/>
                <w:color w:val="000000"/>
                <w:sz w:val="20"/>
                <w:szCs w:val="20"/>
              </w:rPr>
              <w:t>Total</w:t>
            </w:r>
          </w:p>
        </w:tc>
        <w:tc>
          <w:tcPr>
            <w:tcW w:w="0" w:type="auto"/>
            <w:gridSpan w:val="3"/>
            <w:shd w:val="clear" w:color="auto" w:fill="auto"/>
            <w:tcMar>
              <w:left w:w="20" w:type="dxa"/>
              <w:right w:w="20" w:type="dxa"/>
            </w:tcMar>
            <w:vAlign w:val="bottom"/>
          </w:tcPr>
          <w:p w14:paraId="33DAABC6"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BC7" w14:textId="77777777" w:rsidR="004D6A64" w:rsidRDefault="00506CD6">
            <w:pPr>
              <w:jc w:val="center"/>
              <w:textAlignment w:val="bottom"/>
            </w:pPr>
            <w:r>
              <w:rPr>
                <w:rFonts w:ascii="Times New Roman" w:eastAsia="宋体" w:hAnsi="Times New Roman"/>
                <w:b/>
                <w:bCs/>
                <w:color w:val="000000"/>
                <w:sz w:val="20"/>
                <w:szCs w:val="20"/>
              </w:rPr>
              <w:t>Current</w:t>
            </w:r>
          </w:p>
        </w:tc>
        <w:tc>
          <w:tcPr>
            <w:tcW w:w="0" w:type="auto"/>
            <w:gridSpan w:val="3"/>
            <w:tcBorders>
              <w:top w:val="single" w:sz="8" w:space="0" w:color="000000"/>
            </w:tcBorders>
            <w:shd w:val="clear" w:color="auto" w:fill="auto"/>
            <w:tcMar>
              <w:left w:w="20" w:type="dxa"/>
              <w:right w:w="20" w:type="dxa"/>
            </w:tcMar>
            <w:vAlign w:val="bottom"/>
          </w:tcPr>
          <w:p w14:paraId="33DAABC8"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BC9" w14:textId="77777777" w:rsidR="004D6A64" w:rsidRDefault="00506CD6">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000000"/>
                <w:sz w:val="20"/>
                <w:szCs w:val="20"/>
              </w:rPr>
              <w:t>Past Due</w:t>
            </w:r>
          </w:p>
          <w:p w14:paraId="33DAABCA" w14:textId="77777777" w:rsidR="004D6A64" w:rsidRDefault="00506CD6">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000000"/>
                <w:sz w:val="20"/>
                <w:szCs w:val="20"/>
              </w:rPr>
              <w:t>1 — 90 Days</w:t>
            </w:r>
          </w:p>
        </w:tc>
        <w:tc>
          <w:tcPr>
            <w:tcW w:w="0" w:type="auto"/>
            <w:gridSpan w:val="3"/>
            <w:tcBorders>
              <w:top w:val="single" w:sz="8" w:space="0" w:color="000000"/>
            </w:tcBorders>
            <w:shd w:val="clear" w:color="auto" w:fill="auto"/>
            <w:tcMar>
              <w:left w:w="20" w:type="dxa"/>
              <w:right w:w="20" w:type="dxa"/>
            </w:tcMar>
            <w:vAlign w:val="bottom"/>
          </w:tcPr>
          <w:p w14:paraId="33DAABCB"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BCC" w14:textId="77777777" w:rsidR="004D6A64" w:rsidRDefault="00506CD6">
            <w:pPr>
              <w:jc w:val="center"/>
              <w:textAlignment w:val="bottom"/>
            </w:pPr>
            <w:r>
              <w:rPr>
                <w:rFonts w:ascii="Times New Roman" w:eastAsia="宋体" w:hAnsi="Times New Roman"/>
                <w:b/>
                <w:bCs/>
                <w:color w:val="000000"/>
                <w:sz w:val="20"/>
                <w:szCs w:val="20"/>
              </w:rPr>
              <w:t>Past Due</w:t>
            </w:r>
            <w:r>
              <w:rPr>
                <w:rFonts w:ascii="Times New Roman" w:eastAsia="宋体" w:hAnsi="Times New Roman"/>
                <w:b/>
                <w:bCs/>
                <w:color w:val="000000"/>
                <w:sz w:val="20"/>
                <w:szCs w:val="20"/>
              </w:rPr>
              <w:br/>
              <w:t>&gt;90 Days</w:t>
            </w:r>
          </w:p>
        </w:tc>
        <w:tc>
          <w:tcPr>
            <w:tcW w:w="0" w:type="auto"/>
            <w:gridSpan w:val="3"/>
            <w:tcBorders>
              <w:top w:val="single" w:sz="8" w:space="0" w:color="000000"/>
            </w:tcBorders>
            <w:shd w:val="clear" w:color="auto" w:fill="auto"/>
            <w:tcMar>
              <w:left w:w="20" w:type="dxa"/>
              <w:right w:w="20" w:type="dxa"/>
            </w:tcMar>
            <w:vAlign w:val="bottom"/>
          </w:tcPr>
          <w:p w14:paraId="33DAABCD"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BCE" w14:textId="77777777" w:rsidR="004D6A64" w:rsidRDefault="00506CD6">
            <w:pPr>
              <w:jc w:val="center"/>
              <w:textAlignment w:val="bottom"/>
            </w:pPr>
            <w:r>
              <w:rPr>
                <w:rFonts w:ascii="Times New Roman" w:eastAsia="宋体" w:hAnsi="Times New Roman"/>
                <w:b/>
                <w:bCs/>
                <w:color w:val="000000"/>
                <w:sz w:val="20"/>
                <w:szCs w:val="20"/>
              </w:rPr>
              <w:t>Total</w:t>
            </w:r>
          </w:p>
        </w:tc>
        <w:tc>
          <w:tcPr>
            <w:tcW w:w="0" w:type="auto"/>
            <w:shd w:val="clear" w:color="auto" w:fill="auto"/>
          </w:tcPr>
          <w:p w14:paraId="33DAABCF" w14:textId="77777777" w:rsidR="004D6A64" w:rsidRDefault="004D6A64">
            <w:pPr>
              <w:rPr>
                <w:rFonts w:ascii="宋体"/>
              </w:rPr>
            </w:pPr>
          </w:p>
        </w:tc>
        <w:tc>
          <w:tcPr>
            <w:tcW w:w="0" w:type="auto"/>
            <w:shd w:val="clear" w:color="auto" w:fill="auto"/>
          </w:tcPr>
          <w:p w14:paraId="33DAABD0" w14:textId="77777777" w:rsidR="004D6A64" w:rsidRDefault="004D6A64">
            <w:pPr>
              <w:rPr>
                <w:rFonts w:ascii="宋体"/>
              </w:rPr>
            </w:pPr>
          </w:p>
        </w:tc>
        <w:tc>
          <w:tcPr>
            <w:tcW w:w="0" w:type="auto"/>
            <w:shd w:val="clear" w:color="auto" w:fill="auto"/>
          </w:tcPr>
          <w:p w14:paraId="33DAABD1" w14:textId="77777777" w:rsidR="004D6A64" w:rsidRDefault="004D6A64">
            <w:pPr>
              <w:rPr>
                <w:rFonts w:ascii="宋体"/>
              </w:rPr>
            </w:pPr>
          </w:p>
        </w:tc>
        <w:tc>
          <w:tcPr>
            <w:tcW w:w="0" w:type="auto"/>
            <w:shd w:val="clear" w:color="auto" w:fill="auto"/>
          </w:tcPr>
          <w:p w14:paraId="33DAABD2" w14:textId="77777777" w:rsidR="004D6A64" w:rsidRDefault="004D6A64">
            <w:pPr>
              <w:rPr>
                <w:rFonts w:ascii="宋体"/>
              </w:rPr>
            </w:pPr>
          </w:p>
        </w:tc>
        <w:tc>
          <w:tcPr>
            <w:tcW w:w="0" w:type="auto"/>
            <w:shd w:val="clear" w:color="auto" w:fill="auto"/>
          </w:tcPr>
          <w:p w14:paraId="33DAABD3" w14:textId="77777777" w:rsidR="004D6A64" w:rsidRDefault="004D6A64">
            <w:pPr>
              <w:rPr>
                <w:rFonts w:ascii="宋体"/>
              </w:rPr>
            </w:pPr>
          </w:p>
        </w:tc>
        <w:tc>
          <w:tcPr>
            <w:tcW w:w="0" w:type="auto"/>
            <w:shd w:val="clear" w:color="auto" w:fill="auto"/>
          </w:tcPr>
          <w:p w14:paraId="33DAABD4" w14:textId="77777777" w:rsidR="004D6A64" w:rsidRDefault="004D6A64">
            <w:pPr>
              <w:rPr>
                <w:rFonts w:ascii="宋体"/>
              </w:rPr>
            </w:pPr>
          </w:p>
        </w:tc>
        <w:tc>
          <w:tcPr>
            <w:tcW w:w="0" w:type="auto"/>
            <w:shd w:val="clear" w:color="auto" w:fill="auto"/>
          </w:tcPr>
          <w:p w14:paraId="33DAABD5" w14:textId="77777777" w:rsidR="004D6A64" w:rsidRDefault="004D6A64">
            <w:pPr>
              <w:rPr>
                <w:rFonts w:ascii="宋体"/>
              </w:rPr>
            </w:pPr>
          </w:p>
        </w:tc>
        <w:tc>
          <w:tcPr>
            <w:tcW w:w="0" w:type="auto"/>
            <w:shd w:val="clear" w:color="auto" w:fill="auto"/>
          </w:tcPr>
          <w:p w14:paraId="33DAABD6" w14:textId="77777777" w:rsidR="004D6A64" w:rsidRDefault="004D6A64">
            <w:pPr>
              <w:rPr>
                <w:rFonts w:ascii="宋体"/>
              </w:rPr>
            </w:pPr>
          </w:p>
        </w:tc>
        <w:tc>
          <w:tcPr>
            <w:tcW w:w="0" w:type="auto"/>
            <w:shd w:val="clear" w:color="auto" w:fill="auto"/>
          </w:tcPr>
          <w:p w14:paraId="33DAABD7" w14:textId="77777777" w:rsidR="004D6A64" w:rsidRDefault="004D6A64">
            <w:pPr>
              <w:rPr>
                <w:rFonts w:ascii="宋体"/>
              </w:rPr>
            </w:pPr>
          </w:p>
        </w:tc>
        <w:tc>
          <w:tcPr>
            <w:tcW w:w="0" w:type="auto"/>
            <w:shd w:val="clear" w:color="auto" w:fill="auto"/>
          </w:tcPr>
          <w:p w14:paraId="33DAABD8" w14:textId="77777777" w:rsidR="004D6A64" w:rsidRDefault="004D6A64">
            <w:pPr>
              <w:rPr>
                <w:rFonts w:ascii="宋体"/>
              </w:rPr>
            </w:pPr>
          </w:p>
        </w:tc>
        <w:tc>
          <w:tcPr>
            <w:tcW w:w="0" w:type="auto"/>
            <w:shd w:val="clear" w:color="auto" w:fill="auto"/>
          </w:tcPr>
          <w:p w14:paraId="33DAABD9" w14:textId="77777777" w:rsidR="004D6A64" w:rsidRDefault="004D6A64">
            <w:pPr>
              <w:rPr>
                <w:rFonts w:ascii="宋体"/>
              </w:rPr>
            </w:pPr>
          </w:p>
        </w:tc>
        <w:tc>
          <w:tcPr>
            <w:tcW w:w="0" w:type="auto"/>
            <w:shd w:val="clear" w:color="auto" w:fill="auto"/>
          </w:tcPr>
          <w:p w14:paraId="33DAABDA" w14:textId="77777777" w:rsidR="004D6A64" w:rsidRDefault="004D6A64">
            <w:pPr>
              <w:rPr>
                <w:rFonts w:ascii="宋体"/>
              </w:rPr>
            </w:pPr>
          </w:p>
        </w:tc>
        <w:tc>
          <w:tcPr>
            <w:tcW w:w="0" w:type="auto"/>
            <w:shd w:val="clear" w:color="auto" w:fill="auto"/>
          </w:tcPr>
          <w:p w14:paraId="33DAABDB" w14:textId="77777777" w:rsidR="004D6A64" w:rsidRDefault="004D6A64">
            <w:pPr>
              <w:rPr>
                <w:rFonts w:ascii="宋体"/>
              </w:rPr>
            </w:pPr>
          </w:p>
        </w:tc>
        <w:tc>
          <w:tcPr>
            <w:tcW w:w="0" w:type="auto"/>
            <w:shd w:val="clear" w:color="auto" w:fill="auto"/>
          </w:tcPr>
          <w:p w14:paraId="33DAABDC" w14:textId="77777777" w:rsidR="004D6A64" w:rsidRDefault="004D6A64">
            <w:pPr>
              <w:rPr>
                <w:rFonts w:ascii="宋体"/>
              </w:rPr>
            </w:pPr>
          </w:p>
        </w:tc>
        <w:tc>
          <w:tcPr>
            <w:tcW w:w="0" w:type="auto"/>
            <w:shd w:val="clear" w:color="auto" w:fill="auto"/>
          </w:tcPr>
          <w:p w14:paraId="33DAABDD" w14:textId="77777777" w:rsidR="004D6A64" w:rsidRDefault="004D6A64">
            <w:pPr>
              <w:rPr>
                <w:rFonts w:ascii="宋体"/>
              </w:rPr>
            </w:pPr>
          </w:p>
        </w:tc>
      </w:tr>
      <w:tr w:rsidR="004D6A64" w14:paraId="33DAABE7" w14:textId="77777777">
        <w:tc>
          <w:tcPr>
            <w:tcW w:w="0" w:type="auto"/>
            <w:gridSpan w:val="3"/>
            <w:shd w:val="clear" w:color="auto" w:fill="auto"/>
            <w:tcMar>
              <w:left w:w="20" w:type="dxa"/>
              <w:right w:w="20" w:type="dxa"/>
            </w:tcMar>
            <w:vAlign w:val="bottom"/>
          </w:tcPr>
          <w:p w14:paraId="33DAABDF" w14:textId="77777777" w:rsidR="004D6A64" w:rsidRDefault="004D6A64">
            <w:pPr>
              <w:rPr>
                <w:rFonts w:ascii="宋体"/>
              </w:rPr>
            </w:pPr>
          </w:p>
        </w:tc>
        <w:tc>
          <w:tcPr>
            <w:tcW w:w="0" w:type="auto"/>
            <w:gridSpan w:val="45"/>
            <w:tcBorders>
              <w:top w:val="single" w:sz="8" w:space="0" w:color="000000"/>
            </w:tcBorders>
            <w:shd w:val="clear" w:color="auto" w:fill="auto"/>
            <w:tcMar>
              <w:top w:w="40" w:type="dxa"/>
              <w:left w:w="20" w:type="dxa"/>
              <w:bottom w:w="40" w:type="dxa"/>
              <w:right w:w="20" w:type="dxa"/>
            </w:tcMar>
            <w:vAlign w:val="center"/>
          </w:tcPr>
          <w:p w14:paraId="33DAABE0" w14:textId="77777777" w:rsidR="004D6A64" w:rsidRDefault="00506CD6">
            <w:pPr>
              <w:jc w:val="center"/>
              <w:textAlignment w:val="center"/>
            </w:pPr>
            <w:r>
              <w:rPr>
                <w:rFonts w:ascii="Times New Roman" w:eastAsia="宋体" w:hAnsi="Times New Roman"/>
                <w:color w:val="000000"/>
                <w:sz w:val="20"/>
                <w:szCs w:val="20"/>
              </w:rPr>
              <w:t>(in millions)</w:t>
            </w:r>
          </w:p>
        </w:tc>
        <w:tc>
          <w:tcPr>
            <w:tcW w:w="0" w:type="auto"/>
            <w:gridSpan w:val="3"/>
            <w:shd w:val="clear" w:color="auto" w:fill="auto"/>
          </w:tcPr>
          <w:p w14:paraId="33DAABE1" w14:textId="77777777" w:rsidR="004D6A64" w:rsidRDefault="004D6A64">
            <w:pPr>
              <w:rPr>
                <w:rFonts w:ascii="宋体"/>
                <w:vanish/>
              </w:rPr>
            </w:pPr>
          </w:p>
        </w:tc>
        <w:tc>
          <w:tcPr>
            <w:tcW w:w="0" w:type="auto"/>
            <w:gridSpan w:val="3"/>
            <w:shd w:val="clear" w:color="auto" w:fill="auto"/>
          </w:tcPr>
          <w:p w14:paraId="33DAABE2" w14:textId="77777777" w:rsidR="004D6A64" w:rsidRDefault="004D6A64">
            <w:pPr>
              <w:rPr>
                <w:rFonts w:ascii="宋体"/>
                <w:vanish/>
              </w:rPr>
            </w:pPr>
          </w:p>
        </w:tc>
        <w:tc>
          <w:tcPr>
            <w:tcW w:w="0" w:type="auto"/>
            <w:gridSpan w:val="3"/>
            <w:shd w:val="clear" w:color="auto" w:fill="auto"/>
          </w:tcPr>
          <w:p w14:paraId="33DAABE3" w14:textId="77777777" w:rsidR="004D6A64" w:rsidRDefault="004D6A64">
            <w:pPr>
              <w:rPr>
                <w:rFonts w:ascii="宋体"/>
                <w:vanish/>
              </w:rPr>
            </w:pPr>
          </w:p>
        </w:tc>
        <w:tc>
          <w:tcPr>
            <w:tcW w:w="0" w:type="auto"/>
            <w:gridSpan w:val="3"/>
            <w:shd w:val="clear" w:color="auto" w:fill="auto"/>
          </w:tcPr>
          <w:p w14:paraId="33DAABE4" w14:textId="77777777" w:rsidR="004D6A64" w:rsidRDefault="004D6A64">
            <w:pPr>
              <w:rPr>
                <w:rFonts w:ascii="宋体"/>
                <w:vanish/>
              </w:rPr>
            </w:pPr>
          </w:p>
        </w:tc>
        <w:tc>
          <w:tcPr>
            <w:tcW w:w="0" w:type="auto"/>
            <w:gridSpan w:val="2"/>
            <w:shd w:val="clear" w:color="auto" w:fill="auto"/>
          </w:tcPr>
          <w:p w14:paraId="33DAABE5" w14:textId="77777777" w:rsidR="004D6A64" w:rsidRDefault="004D6A64">
            <w:pPr>
              <w:rPr>
                <w:rFonts w:ascii="宋体"/>
                <w:vanish/>
              </w:rPr>
            </w:pPr>
          </w:p>
        </w:tc>
        <w:tc>
          <w:tcPr>
            <w:tcW w:w="0" w:type="auto"/>
            <w:shd w:val="clear" w:color="auto" w:fill="auto"/>
          </w:tcPr>
          <w:p w14:paraId="33DAABE6" w14:textId="77777777" w:rsidR="004D6A64" w:rsidRDefault="004D6A64">
            <w:pPr>
              <w:rPr>
                <w:rFonts w:ascii="宋体"/>
                <w:vanish/>
              </w:rPr>
            </w:pPr>
          </w:p>
        </w:tc>
      </w:tr>
      <w:tr w:rsidR="004D6A64" w14:paraId="33DAAC17" w14:textId="77777777">
        <w:tc>
          <w:tcPr>
            <w:tcW w:w="0" w:type="auto"/>
            <w:gridSpan w:val="3"/>
            <w:shd w:val="clear" w:color="auto" w:fill="CCEEFF"/>
            <w:tcMar>
              <w:top w:w="40" w:type="dxa"/>
              <w:left w:w="20" w:type="dxa"/>
              <w:bottom w:w="40" w:type="dxa"/>
              <w:right w:w="20" w:type="dxa"/>
            </w:tcMar>
            <w:vAlign w:val="center"/>
          </w:tcPr>
          <w:p w14:paraId="33DAABE8" w14:textId="77777777" w:rsidR="004D6A64" w:rsidRDefault="00506CD6">
            <w:pPr>
              <w:textAlignment w:val="center"/>
            </w:pPr>
            <w:r>
              <w:rPr>
                <w:rFonts w:ascii="Times New Roman" w:eastAsia="宋体" w:hAnsi="Times New Roman"/>
                <w:color w:val="000000"/>
                <w:sz w:val="20"/>
                <w:szCs w:val="20"/>
              </w:rPr>
              <w:t>Revolving — DPA</w:t>
            </w:r>
          </w:p>
        </w:tc>
        <w:tc>
          <w:tcPr>
            <w:tcW w:w="0" w:type="auto"/>
            <w:shd w:val="clear" w:color="auto" w:fill="CCEEFF"/>
            <w:tcMar>
              <w:top w:w="40" w:type="dxa"/>
              <w:left w:w="20" w:type="dxa"/>
              <w:bottom w:w="40" w:type="dxa"/>
            </w:tcMar>
            <w:vAlign w:val="center"/>
          </w:tcPr>
          <w:p w14:paraId="33DAABE9"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BEA" w14:textId="77777777" w:rsidR="004D6A64" w:rsidRDefault="00506CD6">
            <w:pPr>
              <w:jc w:val="right"/>
              <w:textAlignment w:val="center"/>
            </w:pPr>
            <w:r>
              <w:rPr>
                <w:rFonts w:ascii="Times New Roman" w:eastAsia="宋体" w:hAnsi="Times New Roman"/>
                <w:color w:val="000000"/>
                <w:sz w:val="20"/>
                <w:szCs w:val="20"/>
              </w:rPr>
              <w:t>556 </w:t>
            </w:r>
          </w:p>
        </w:tc>
        <w:tc>
          <w:tcPr>
            <w:tcW w:w="0" w:type="auto"/>
            <w:shd w:val="clear" w:color="auto" w:fill="CCEEFF"/>
            <w:tcMar>
              <w:top w:w="40" w:type="dxa"/>
              <w:bottom w:w="40" w:type="dxa"/>
              <w:right w:w="20" w:type="dxa"/>
            </w:tcMar>
            <w:vAlign w:val="center"/>
          </w:tcPr>
          <w:p w14:paraId="33DAABE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BEC"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BED"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BEE" w14:textId="77777777" w:rsidR="004D6A64" w:rsidRDefault="00506CD6">
            <w:pPr>
              <w:jc w:val="right"/>
              <w:textAlignment w:val="center"/>
            </w:pPr>
            <w:r>
              <w:rPr>
                <w:rFonts w:ascii="Times New Roman" w:eastAsia="宋体" w:hAnsi="Times New Roman"/>
                <w:color w:val="000000"/>
                <w:sz w:val="20"/>
                <w:szCs w:val="20"/>
              </w:rPr>
              <w:t>29 </w:t>
            </w:r>
          </w:p>
        </w:tc>
        <w:tc>
          <w:tcPr>
            <w:tcW w:w="0" w:type="auto"/>
            <w:shd w:val="clear" w:color="auto" w:fill="CCEEFF"/>
            <w:tcMar>
              <w:top w:w="40" w:type="dxa"/>
              <w:bottom w:w="40" w:type="dxa"/>
              <w:right w:w="20" w:type="dxa"/>
            </w:tcMar>
            <w:vAlign w:val="center"/>
          </w:tcPr>
          <w:p w14:paraId="33DAABE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BF0"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BF1"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BF2" w14:textId="77777777" w:rsidR="004D6A64" w:rsidRDefault="00506CD6">
            <w:pPr>
              <w:jc w:val="right"/>
              <w:textAlignment w:val="center"/>
            </w:pPr>
            <w:r>
              <w:rPr>
                <w:rFonts w:ascii="Times New Roman" w:eastAsia="宋体" w:hAnsi="Times New Roman"/>
                <w:color w:val="000000"/>
                <w:sz w:val="20"/>
                <w:szCs w:val="20"/>
              </w:rPr>
              <w:t>13 </w:t>
            </w:r>
          </w:p>
        </w:tc>
        <w:tc>
          <w:tcPr>
            <w:tcW w:w="0" w:type="auto"/>
            <w:shd w:val="clear" w:color="auto" w:fill="CCEEFF"/>
            <w:tcMar>
              <w:top w:w="40" w:type="dxa"/>
              <w:bottom w:w="40" w:type="dxa"/>
              <w:right w:w="20" w:type="dxa"/>
            </w:tcMar>
            <w:vAlign w:val="center"/>
          </w:tcPr>
          <w:p w14:paraId="33DAABF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BF4"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BF5"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BF6" w14:textId="77777777" w:rsidR="004D6A64" w:rsidRDefault="00506CD6">
            <w:pPr>
              <w:jc w:val="right"/>
              <w:textAlignment w:val="center"/>
            </w:pPr>
            <w:r>
              <w:rPr>
                <w:rFonts w:ascii="Times New Roman" w:eastAsia="宋体" w:hAnsi="Times New Roman"/>
                <w:color w:val="000000"/>
                <w:sz w:val="20"/>
                <w:szCs w:val="20"/>
              </w:rPr>
              <w:t>598 </w:t>
            </w:r>
          </w:p>
        </w:tc>
        <w:tc>
          <w:tcPr>
            <w:tcW w:w="0" w:type="auto"/>
            <w:shd w:val="clear" w:color="auto" w:fill="CCEEFF"/>
            <w:tcMar>
              <w:top w:w="40" w:type="dxa"/>
              <w:bottom w:w="40" w:type="dxa"/>
              <w:right w:w="20" w:type="dxa"/>
            </w:tcMar>
            <w:vAlign w:val="center"/>
          </w:tcPr>
          <w:p w14:paraId="33DAABF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BF8"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BF9"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BFA" w14:textId="77777777" w:rsidR="004D6A64" w:rsidRDefault="00506CD6">
            <w:pPr>
              <w:jc w:val="right"/>
              <w:textAlignment w:val="center"/>
            </w:pPr>
            <w:r>
              <w:rPr>
                <w:rFonts w:ascii="Times New Roman" w:eastAsia="宋体" w:hAnsi="Times New Roman"/>
                <w:color w:val="000000"/>
                <w:sz w:val="20"/>
                <w:szCs w:val="20"/>
              </w:rPr>
              <w:t>550 </w:t>
            </w:r>
          </w:p>
        </w:tc>
        <w:tc>
          <w:tcPr>
            <w:tcW w:w="0" w:type="auto"/>
            <w:shd w:val="clear" w:color="auto" w:fill="CCEEFF"/>
            <w:tcMar>
              <w:top w:w="40" w:type="dxa"/>
              <w:bottom w:w="40" w:type="dxa"/>
              <w:right w:w="20" w:type="dxa"/>
            </w:tcMar>
            <w:vAlign w:val="center"/>
          </w:tcPr>
          <w:p w14:paraId="33DAABF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BFC"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BFD"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BFE" w14:textId="77777777" w:rsidR="004D6A64" w:rsidRDefault="00506CD6">
            <w:pPr>
              <w:jc w:val="right"/>
              <w:textAlignment w:val="center"/>
            </w:pPr>
            <w:r>
              <w:rPr>
                <w:rFonts w:ascii="Times New Roman" w:eastAsia="宋体" w:hAnsi="Times New Roman"/>
                <w:color w:val="000000"/>
                <w:sz w:val="20"/>
                <w:szCs w:val="20"/>
              </w:rPr>
              <w:t>51 </w:t>
            </w:r>
          </w:p>
        </w:tc>
        <w:tc>
          <w:tcPr>
            <w:tcW w:w="0" w:type="auto"/>
            <w:shd w:val="clear" w:color="auto" w:fill="CCEEFF"/>
            <w:tcMar>
              <w:top w:w="40" w:type="dxa"/>
              <w:bottom w:w="40" w:type="dxa"/>
              <w:right w:w="20" w:type="dxa"/>
            </w:tcMar>
            <w:vAlign w:val="center"/>
          </w:tcPr>
          <w:p w14:paraId="33DAABF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C00"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C01"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C02" w14:textId="77777777" w:rsidR="004D6A64" w:rsidRDefault="00506CD6">
            <w:pPr>
              <w:jc w:val="right"/>
              <w:textAlignment w:val="center"/>
            </w:pPr>
            <w:r>
              <w:rPr>
                <w:rFonts w:ascii="Times New Roman" w:eastAsia="宋体" w:hAnsi="Times New Roman"/>
                <w:color w:val="000000"/>
                <w:sz w:val="20"/>
                <w:szCs w:val="20"/>
              </w:rPr>
              <w:t>20 </w:t>
            </w:r>
          </w:p>
        </w:tc>
        <w:tc>
          <w:tcPr>
            <w:tcW w:w="0" w:type="auto"/>
            <w:shd w:val="clear" w:color="auto" w:fill="CCEEFF"/>
            <w:tcMar>
              <w:top w:w="40" w:type="dxa"/>
              <w:bottom w:w="40" w:type="dxa"/>
              <w:right w:w="20" w:type="dxa"/>
            </w:tcMar>
            <w:vAlign w:val="center"/>
          </w:tcPr>
          <w:p w14:paraId="33DAAC0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C04"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C05"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C06" w14:textId="77777777" w:rsidR="004D6A64" w:rsidRDefault="00506CD6">
            <w:pPr>
              <w:jc w:val="right"/>
              <w:textAlignment w:val="center"/>
            </w:pPr>
            <w:r>
              <w:rPr>
                <w:rFonts w:ascii="Times New Roman" w:eastAsia="宋体" w:hAnsi="Times New Roman"/>
                <w:color w:val="000000"/>
                <w:sz w:val="20"/>
                <w:szCs w:val="20"/>
              </w:rPr>
              <w:t>621 </w:t>
            </w:r>
          </w:p>
        </w:tc>
        <w:tc>
          <w:tcPr>
            <w:tcW w:w="0" w:type="auto"/>
            <w:shd w:val="clear" w:color="auto" w:fill="CCEEFF"/>
            <w:tcMar>
              <w:top w:w="40" w:type="dxa"/>
              <w:bottom w:w="40" w:type="dxa"/>
              <w:right w:w="20" w:type="dxa"/>
            </w:tcMar>
            <w:vAlign w:val="center"/>
          </w:tcPr>
          <w:p w14:paraId="33DAAC07" w14:textId="77777777" w:rsidR="004D6A64" w:rsidRDefault="004D6A64">
            <w:pPr>
              <w:jc w:val="right"/>
              <w:rPr>
                <w:rFonts w:ascii="宋体"/>
              </w:rPr>
            </w:pPr>
          </w:p>
        </w:tc>
        <w:tc>
          <w:tcPr>
            <w:tcW w:w="0" w:type="auto"/>
            <w:shd w:val="clear" w:color="auto" w:fill="auto"/>
          </w:tcPr>
          <w:p w14:paraId="33DAAC08" w14:textId="77777777" w:rsidR="004D6A64" w:rsidRDefault="004D6A64">
            <w:pPr>
              <w:rPr>
                <w:rFonts w:ascii="宋体"/>
              </w:rPr>
            </w:pPr>
          </w:p>
        </w:tc>
        <w:tc>
          <w:tcPr>
            <w:tcW w:w="0" w:type="auto"/>
            <w:shd w:val="clear" w:color="auto" w:fill="auto"/>
          </w:tcPr>
          <w:p w14:paraId="33DAAC09" w14:textId="77777777" w:rsidR="004D6A64" w:rsidRDefault="004D6A64">
            <w:pPr>
              <w:rPr>
                <w:rFonts w:ascii="宋体"/>
              </w:rPr>
            </w:pPr>
          </w:p>
        </w:tc>
        <w:tc>
          <w:tcPr>
            <w:tcW w:w="0" w:type="auto"/>
            <w:shd w:val="clear" w:color="auto" w:fill="auto"/>
          </w:tcPr>
          <w:p w14:paraId="33DAAC0A" w14:textId="77777777" w:rsidR="004D6A64" w:rsidRDefault="004D6A64">
            <w:pPr>
              <w:rPr>
                <w:rFonts w:ascii="宋体"/>
              </w:rPr>
            </w:pPr>
          </w:p>
        </w:tc>
        <w:tc>
          <w:tcPr>
            <w:tcW w:w="0" w:type="auto"/>
            <w:shd w:val="clear" w:color="auto" w:fill="auto"/>
          </w:tcPr>
          <w:p w14:paraId="33DAAC0B" w14:textId="77777777" w:rsidR="004D6A64" w:rsidRDefault="004D6A64">
            <w:pPr>
              <w:rPr>
                <w:rFonts w:ascii="宋体"/>
              </w:rPr>
            </w:pPr>
          </w:p>
        </w:tc>
        <w:tc>
          <w:tcPr>
            <w:tcW w:w="0" w:type="auto"/>
            <w:shd w:val="clear" w:color="auto" w:fill="auto"/>
          </w:tcPr>
          <w:p w14:paraId="33DAAC0C" w14:textId="77777777" w:rsidR="004D6A64" w:rsidRDefault="004D6A64">
            <w:pPr>
              <w:rPr>
                <w:rFonts w:ascii="宋体"/>
              </w:rPr>
            </w:pPr>
          </w:p>
        </w:tc>
        <w:tc>
          <w:tcPr>
            <w:tcW w:w="0" w:type="auto"/>
            <w:shd w:val="clear" w:color="auto" w:fill="auto"/>
          </w:tcPr>
          <w:p w14:paraId="33DAAC0D" w14:textId="77777777" w:rsidR="004D6A64" w:rsidRDefault="004D6A64">
            <w:pPr>
              <w:rPr>
                <w:rFonts w:ascii="宋体"/>
              </w:rPr>
            </w:pPr>
          </w:p>
        </w:tc>
        <w:tc>
          <w:tcPr>
            <w:tcW w:w="0" w:type="auto"/>
            <w:shd w:val="clear" w:color="auto" w:fill="auto"/>
          </w:tcPr>
          <w:p w14:paraId="33DAAC0E" w14:textId="77777777" w:rsidR="004D6A64" w:rsidRDefault="004D6A64">
            <w:pPr>
              <w:rPr>
                <w:rFonts w:ascii="宋体"/>
              </w:rPr>
            </w:pPr>
          </w:p>
        </w:tc>
        <w:tc>
          <w:tcPr>
            <w:tcW w:w="0" w:type="auto"/>
            <w:shd w:val="clear" w:color="auto" w:fill="auto"/>
          </w:tcPr>
          <w:p w14:paraId="33DAAC0F" w14:textId="77777777" w:rsidR="004D6A64" w:rsidRDefault="004D6A64">
            <w:pPr>
              <w:rPr>
                <w:rFonts w:ascii="宋体"/>
              </w:rPr>
            </w:pPr>
          </w:p>
        </w:tc>
        <w:tc>
          <w:tcPr>
            <w:tcW w:w="0" w:type="auto"/>
            <w:shd w:val="clear" w:color="auto" w:fill="auto"/>
          </w:tcPr>
          <w:p w14:paraId="33DAAC10" w14:textId="77777777" w:rsidR="004D6A64" w:rsidRDefault="004D6A64">
            <w:pPr>
              <w:rPr>
                <w:rFonts w:ascii="宋体"/>
              </w:rPr>
            </w:pPr>
          </w:p>
        </w:tc>
        <w:tc>
          <w:tcPr>
            <w:tcW w:w="0" w:type="auto"/>
            <w:shd w:val="clear" w:color="auto" w:fill="auto"/>
          </w:tcPr>
          <w:p w14:paraId="33DAAC11" w14:textId="77777777" w:rsidR="004D6A64" w:rsidRDefault="004D6A64">
            <w:pPr>
              <w:rPr>
                <w:rFonts w:ascii="宋体"/>
              </w:rPr>
            </w:pPr>
          </w:p>
        </w:tc>
        <w:tc>
          <w:tcPr>
            <w:tcW w:w="0" w:type="auto"/>
            <w:shd w:val="clear" w:color="auto" w:fill="auto"/>
          </w:tcPr>
          <w:p w14:paraId="33DAAC12" w14:textId="77777777" w:rsidR="004D6A64" w:rsidRDefault="004D6A64">
            <w:pPr>
              <w:rPr>
                <w:rFonts w:ascii="宋体"/>
              </w:rPr>
            </w:pPr>
          </w:p>
        </w:tc>
        <w:tc>
          <w:tcPr>
            <w:tcW w:w="0" w:type="auto"/>
            <w:shd w:val="clear" w:color="auto" w:fill="auto"/>
          </w:tcPr>
          <w:p w14:paraId="33DAAC13" w14:textId="77777777" w:rsidR="004D6A64" w:rsidRDefault="004D6A64">
            <w:pPr>
              <w:rPr>
                <w:rFonts w:ascii="宋体"/>
              </w:rPr>
            </w:pPr>
          </w:p>
        </w:tc>
        <w:tc>
          <w:tcPr>
            <w:tcW w:w="0" w:type="auto"/>
            <w:shd w:val="clear" w:color="auto" w:fill="auto"/>
          </w:tcPr>
          <w:p w14:paraId="33DAAC14" w14:textId="77777777" w:rsidR="004D6A64" w:rsidRDefault="004D6A64">
            <w:pPr>
              <w:rPr>
                <w:rFonts w:ascii="宋体"/>
              </w:rPr>
            </w:pPr>
          </w:p>
        </w:tc>
        <w:tc>
          <w:tcPr>
            <w:tcW w:w="0" w:type="auto"/>
            <w:shd w:val="clear" w:color="auto" w:fill="auto"/>
          </w:tcPr>
          <w:p w14:paraId="33DAAC15" w14:textId="77777777" w:rsidR="004D6A64" w:rsidRDefault="004D6A64">
            <w:pPr>
              <w:rPr>
                <w:rFonts w:ascii="宋体"/>
              </w:rPr>
            </w:pPr>
          </w:p>
        </w:tc>
        <w:tc>
          <w:tcPr>
            <w:tcW w:w="0" w:type="auto"/>
            <w:shd w:val="clear" w:color="auto" w:fill="auto"/>
          </w:tcPr>
          <w:p w14:paraId="33DAAC16" w14:textId="77777777" w:rsidR="004D6A64" w:rsidRDefault="004D6A64">
            <w:pPr>
              <w:rPr>
                <w:rFonts w:ascii="宋体"/>
              </w:rPr>
            </w:pPr>
          </w:p>
        </w:tc>
      </w:tr>
      <w:tr w:rsidR="004D6A64" w14:paraId="33DAAC3F" w14:textId="77777777">
        <w:tc>
          <w:tcPr>
            <w:tcW w:w="0" w:type="auto"/>
            <w:gridSpan w:val="3"/>
            <w:shd w:val="clear" w:color="auto" w:fill="FFFFFF"/>
            <w:tcMar>
              <w:top w:w="40" w:type="dxa"/>
              <w:left w:w="20" w:type="dxa"/>
              <w:bottom w:w="40" w:type="dxa"/>
              <w:right w:w="20" w:type="dxa"/>
            </w:tcMar>
            <w:vAlign w:val="center"/>
          </w:tcPr>
          <w:p w14:paraId="33DAAC18" w14:textId="77777777" w:rsidR="004D6A64" w:rsidRDefault="00506CD6">
            <w:pPr>
              <w:textAlignment w:val="center"/>
            </w:pPr>
            <w:r>
              <w:rPr>
                <w:rFonts w:ascii="Times New Roman" w:eastAsia="宋体" w:hAnsi="Times New Roman"/>
                <w:color w:val="000000"/>
                <w:sz w:val="20"/>
                <w:szCs w:val="20"/>
              </w:rPr>
              <w:t>Revolving — DBC</w:t>
            </w:r>
          </w:p>
        </w:tc>
        <w:tc>
          <w:tcPr>
            <w:tcW w:w="0" w:type="auto"/>
            <w:gridSpan w:val="2"/>
            <w:shd w:val="clear" w:color="auto" w:fill="FFFFFF"/>
            <w:tcMar>
              <w:top w:w="40" w:type="dxa"/>
              <w:left w:w="20" w:type="dxa"/>
              <w:bottom w:w="40" w:type="dxa"/>
              <w:right w:w="0" w:type="dxa"/>
            </w:tcMar>
            <w:vAlign w:val="center"/>
          </w:tcPr>
          <w:p w14:paraId="33DAAC19" w14:textId="77777777" w:rsidR="004D6A64" w:rsidRDefault="00506CD6">
            <w:pPr>
              <w:jc w:val="right"/>
              <w:textAlignment w:val="center"/>
            </w:pPr>
            <w:r>
              <w:rPr>
                <w:rFonts w:ascii="Times New Roman" w:eastAsia="宋体" w:hAnsi="Times New Roman"/>
                <w:color w:val="000000"/>
                <w:sz w:val="20"/>
                <w:szCs w:val="20"/>
              </w:rPr>
              <w:t>165 </w:t>
            </w:r>
          </w:p>
        </w:tc>
        <w:tc>
          <w:tcPr>
            <w:tcW w:w="0" w:type="auto"/>
            <w:shd w:val="clear" w:color="auto" w:fill="FFFFFF"/>
            <w:tcMar>
              <w:top w:w="40" w:type="dxa"/>
              <w:bottom w:w="40" w:type="dxa"/>
              <w:right w:w="20" w:type="dxa"/>
            </w:tcMar>
            <w:vAlign w:val="center"/>
          </w:tcPr>
          <w:p w14:paraId="33DAAC1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C1B"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AC1C" w14:textId="77777777" w:rsidR="004D6A64" w:rsidRDefault="00506CD6">
            <w:pPr>
              <w:jc w:val="right"/>
              <w:textAlignment w:val="center"/>
            </w:pPr>
            <w:r>
              <w:rPr>
                <w:rFonts w:ascii="Times New Roman" w:eastAsia="宋体" w:hAnsi="Times New Roman"/>
                <w:color w:val="000000"/>
                <w:sz w:val="20"/>
                <w:szCs w:val="20"/>
              </w:rPr>
              <w:t>11 </w:t>
            </w:r>
          </w:p>
        </w:tc>
        <w:tc>
          <w:tcPr>
            <w:tcW w:w="0" w:type="auto"/>
            <w:shd w:val="clear" w:color="auto" w:fill="FFFFFF"/>
            <w:tcMar>
              <w:top w:w="40" w:type="dxa"/>
              <w:bottom w:w="40" w:type="dxa"/>
              <w:right w:w="20" w:type="dxa"/>
            </w:tcMar>
            <w:vAlign w:val="center"/>
          </w:tcPr>
          <w:p w14:paraId="33DAAC1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C1E"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AC1F" w14:textId="77777777" w:rsidR="004D6A64" w:rsidRDefault="00506CD6">
            <w:pPr>
              <w:jc w:val="right"/>
              <w:textAlignment w:val="center"/>
            </w:pPr>
            <w:r>
              <w:rPr>
                <w:rFonts w:ascii="Times New Roman" w:eastAsia="宋体" w:hAnsi="Times New Roman"/>
                <w:color w:val="000000"/>
                <w:sz w:val="20"/>
                <w:szCs w:val="20"/>
              </w:rPr>
              <w:t>4 </w:t>
            </w:r>
          </w:p>
        </w:tc>
        <w:tc>
          <w:tcPr>
            <w:tcW w:w="0" w:type="auto"/>
            <w:shd w:val="clear" w:color="auto" w:fill="FFFFFF"/>
            <w:tcMar>
              <w:top w:w="40" w:type="dxa"/>
              <w:bottom w:w="40" w:type="dxa"/>
              <w:right w:w="20" w:type="dxa"/>
            </w:tcMar>
            <w:vAlign w:val="center"/>
          </w:tcPr>
          <w:p w14:paraId="33DAAC2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C2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AC22" w14:textId="77777777" w:rsidR="004D6A64" w:rsidRDefault="00506CD6">
            <w:pPr>
              <w:jc w:val="right"/>
              <w:textAlignment w:val="center"/>
            </w:pPr>
            <w:r>
              <w:rPr>
                <w:rFonts w:ascii="Times New Roman" w:eastAsia="宋体" w:hAnsi="Times New Roman"/>
                <w:color w:val="000000"/>
                <w:sz w:val="20"/>
                <w:szCs w:val="20"/>
              </w:rPr>
              <w:t>180 </w:t>
            </w:r>
          </w:p>
        </w:tc>
        <w:tc>
          <w:tcPr>
            <w:tcW w:w="0" w:type="auto"/>
            <w:shd w:val="clear" w:color="auto" w:fill="FFFFFF"/>
            <w:tcMar>
              <w:top w:w="40" w:type="dxa"/>
              <w:bottom w:w="40" w:type="dxa"/>
              <w:right w:w="20" w:type="dxa"/>
            </w:tcMar>
            <w:vAlign w:val="center"/>
          </w:tcPr>
          <w:p w14:paraId="33DAAC2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C24"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AC25" w14:textId="77777777" w:rsidR="004D6A64" w:rsidRDefault="00506CD6">
            <w:pPr>
              <w:jc w:val="right"/>
              <w:textAlignment w:val="center"/>
            </w:pPr>
            <w:r>
              <w:rPr>
                <w:rFonts w:ascii="Times New Roman" w:eastAsia="宋体" w:hAnsi="Times New Roman"/>
                <w:color w:val="000000"/>
                <w:sz w:val="20"/>
                <w:szCs w:val="20"/>
              </w:rPr>
              <w:t>184 </w:t>
            </w:r>
          </w:p>
        </w:tc>
        <w:tc>
          <w:tcPr>
            <w:tcW w:w="0" w:type="auto"/>
            <w:shd w:val="clear" w:color="auto" w:fill="FFFFFF"/>
            <w:tcMar>
              <w:top w:w="40" w:type="dxa"/>
              <w:bottom w:w="40" w:type="dxa"/>
              <w:right w:w="20" w:type="dxa"/>
            </w:tcMar>
            <w:vAlign w:val="center"/>
          </w:tcPr>
          <w:p w14:paraId="33DAAC2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C27"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AC28" w14:textId="77777777" w:rsidR="004D6A64" w:rsidRDefault="00506CD6">
            <w:pPr>
              <w:jc w:val="right"/>
              <w:textAlignment w:val="center"/>
            </w:pPr>
            <w:r>
              <w:rPr>
                <w:rFonts w:ascii="Times New Roman" w:eastAsia="宋体" w:hAnsi="Times New Roman"/>
                <w:color w:val="000000"/>
                <w:sz w:val="20"/>
                <w:szCs w:val="20"/>
              </w:rPr>
              <w:t>15 </w:t>
            </w:r>
          </w:p>
        </w:tc>
        <w:tc>
          <w:tcPr>
            <w:tcW w:w="0" w:type="auto"/>
            <w:shd w:val="clear" w:color="auto" w:fill="FFFFFF"/>
            <w:tcMar>
              <w:top w:w="40" w:type="dxa"/>
              <w:bottom w:w="40" w:type="dxa"/>
              <w:right w:w="20" w:type="dxa"/>
            </w:tcMar>
            <w:vAlign w:val="center"/>
          </w:tcPr>
          <w:p w14:paraId="33DAAC2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C2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AC2B" w14:textId="77777777" w:rsidR="004D6A64" w:rsidRDefault="00506CD6">
            <w:pPr>
              <w:jc w:val="right"/>
              <w:textAlignment w:val="center"/>
            </w:pPr>
            <w:r>
              <w:rPr>
                <w:rFonts w:ascii="Times New Roman" w:eastAsia="宋体" w:hAnsi="Times New Roman"/>
                <w:color w:val="000000"/>
                <w:sz w:val="20"/>
                <w:szCs w:val="20"/>
              </w:rPr>
              <w:t>4 </w:t>
            </w:r>
          </w:p>
        </w:tc>
        <w:tc>
          <w:tcPr>
            <w:tcW w:w="0" w:type="auto"/>
            <w:shd w:val="clear" w:color="auto" w:fill="FFFFFF"/>
            <w:tcMar>
              <w:top w:w="40" w:type="dxa"/>
              <w:bottom w:w="40" w:type="dxa"/>
              <w:right w:w="20" w:type="dxa"/>
            </w:tcMar>
            <w:vAlign w:val="center"/>
          </w:tcPr>
          <w:p w14:paraId="33DAAC2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C2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AC2E" w14:textId="77777777" w:rsidR="004D6A64" w:rsidRDefault="00506CD6">
            <w:pPr>
              <w:jc w:val="right"/>
              <w:textAlignment w:val="center"/>
            </w:pPr>
            <w:r>
              <w:rPr>
                <w:rFonts w:ascii="Times New Roman" w:eastAsia="宋体" w:hAnsi="Times New Roman"/>
                <w:color w:val="000000"/>
                <w:sz w:val="20"/>
                <w:szCs w:val="20"/>
              </w:rPr>
              <w:t>203 </w:t>
            </w:r>
          </w:p>
        </w:tc>
        <w:tc>
          <w:tcPr>
            <w:tcW w:w="0" w:type="auto"/>
            <w:shd w:val="clear" w:color="auto" w:fill="FFFFFF"/>
            <w:tcMar>
              <w:top w:w="40" w:type="dxa"/>
              <w:bottom w:w="40" w:type="dxa"/>
              <w:right w:w="20" w:type="dxa"/>
            </w:tcMar>
            <w:vAlign w:val="center"/>
          </w:tcPr>
          <w:p w14:paraId="33DAAC2F" w14:textId="77777777" w:rsidR="004D6A64" w:rsidRDefault="004D6A64">
            <w:pPr>
              <w:jc w:val="right"/>
              <w:rPr>
                <w:rFonts w:ascii="宋体"/>
              </w:rPr>
            </w:pPr>
          </w:p>
        </w:tc>
        <w:tc>
          <w:tcPr>
            <w:tcW w:w="0" w:type="auto"/>
            <w:shd w:val="clear" w:color="auto" w:fill="auto"/>
          </w:tcPr>
          <w:p w14:paraId="33DAAC30" w14:textId="77777777" w:rsidR="004D6A64" w:rsidRDefault="004D6A64">
            <w:pPr>
              <w:rPr>
                <w:rFonts w:ascii="宋体"/>
              </w:rPr>
            </w:pPr>
          </w:p>
        </w:tc>
        <w:tc>
          <w:tcPr>
            <w:tcW w:w="0" w:type="auto"/>
            <w:shd w:val="clear" w:color="auto" w:fill="auto"/>
          </w:tcPr>
          <w:p w14:paraId="33DAAC31" w14:textId="77777777" w:rsidR="004D6A64" w:rsidRDefault="004D6A64">
            <w:pPr>
              <w:rPr>
                <w:rFonts w:ascii="宋体"/>
              </w:rPr>
            </w:pPr>
          </w:p>
        </w:tc>
        <w:tc>
          <w:tcPr>
            <w:tcW w:w="0" w:type="auto"/>
            <w:shd w:val="clear" w:color="auto" w:fill="auto"/>
          </w:tcPr>
          <w:p w14:paraId="33DAAC32" w14:textId="77777777" w:rsidR="004D6A64" w:rsidRDefault="004D6A64">
            <w:pPr>
              <w:rPr>
                <w:rFonts w:ascii="宋体"/>
              </w:rPr>
            </w:pPr>
          </w:p>
        </w:tc>
        <w:tc>
          <w:tcPr>
            <w:tcW w:w="0" w:type="auto"/>
            <w:shd w:val="clear" w:color="auto" w:fill="auto"/>
          </w:tcPr>
          <w:p w14:paraId="33DAAC33" w14:textId="77777777" w:rsidR="004D6A64" w:rsidRDefault="004D6A64">
            <w:pPr>
              <w:rPr>
                <w:rFonts w:ascii="宋体"/>
              </w:rPr>
            </w:pPr>
          </w:p>
        </w:tc>
        <w:tc>
          <w:tcPr>
            <w:tcW w:w="0" w:type="auto"/>
            <w:shd w:val="clear" w:color="auto" w:fill="auto"/>
          </w:tcPr>
          <w:p w14:paraId="33DAAC34" w14:textId="77777777" w:rsidR="004D6A64" w:rsidRDefault="004D6A64">
            <w:pPr>
              <w:rPr>
                <w:rFonts w:ascii="宋体"/>
              </w:rPr>
            </w:pPr>
          </w:p>
        </w:tc>
        <w:tc>
          <w:tcPr>
            <w:tcW w:w="0" w:type="auto"/>
            <w:shd w:val="clear" w:color="auto" w:fill="auto"/>
          </w:tcPr>
          <w:p w14:paraId="33DAAC35" w14:textId="77777777" w:rsidR="004D6A64" w:rsidRDefault="004D6A64">
            <w:pPr>
              <w:rPr>
                <w:rFonts w:ascii="宋体"/>
              </w:rPr>
            </w:pPr>
          </w:p>
        </w:tc>
        <w:tc>
          <w:tcPr>
            <w:tcW w:w="0" w:type="auto"/>
            <w:shd w:val="clear" w:color="auto" w:fill="auto"/>
          </w:tcPr>
          <w:p w14:paraId="33DAAC36" w14:textId="77777777" w:rsidR="004D6A64" w:rsidRDefault="004D6A64">
            <w:pPr>
              <w:rPr>
                <w:rFonts w:ascii="宋体"/>
              </w:rPr>
            </w:pPr>
          </w:p>
        </w:tc>
        <w:tc>
          <w:tcPr>
            <w:tcW w:w="0" w:type="auto"/>
            <w:shd w:val="clear" w:color="auto" w:fill="auto"/>
          </w:tcPr>
          <w:p w14:paraId="33DAAC37" w14:textId="77777777" w:rsidR="004D6A64" w:rsidRDefault="004D6A64">
            <w:pPr>
              <w:rPr>
                <w:rFonts w:ascii="宋体"/>
              </w:rPr>
            </w:pPr>
          </w:p>
        </w:tc>
        <w:tc>
          <w:tcPr>
            <w:tcW w:w="0" w:type="auto"/>
            <w:shd w:val="clear" w:color="auto" w:fill="auto"/>
          </w:tcPr>
          <w:p w14:paraId="33DAAC38" w14:textId="77777777" w:rsidR="004D6A64" w:rsidRDefault="004D6A64">
            <w:pPr>
              <w:rPr>
                <w:rFonts w:ascii="宋体"/>
              </w:rPr>
            </w:pPr>
          </w:p>
        </w:tc>
        <w:tc>
          <w:tcPr>
            <w:tcW w:w="0" w:type="auto"/>
            <w:shd w:val="clear" w:color="auto" w:fill="auto"/>
          </w:tcPr>
          <w:p w14:paraId="33DAAC39" w14:textId="77777777" w:rsidR="004D6A64" w:rsidRDefault="004D6A64">
            <w:pPr>
              <w:rPr>
                <w:rFonts w:ascii="宋体"/>
              </w:rPr>
            </w:pPr>
          </w:p>
        </w:tc>
        <w:tc>
          <w:tcPr>
            <w:tcW w:w="0" w:type="auto"/>
            <w:shd w:val="clear" w:color="auto" w:fill="auto"/>
          </w:tcPr>
          <w:p w14:paraId="33DAAC3A" w14:textId="77777777" w:rsidR="004D6A64" w:rsidRDefault="004D6A64">
            <w:pPr>
              <w:rPr>
                <w:rFonts w:ascii="宋体"/>
              </w:rPr>
            </w:pPr>
          </w:p>
        </w:tc>
        <w:tc>
          <w:tcPr>
            <w:tcW w:w="0" w:type="auto"/>
            <w:shd w:val="clear" w:color="auto" w:fill="auto"/>
          </w:tcPr>
          <w:p w14:paraId="33DAAC3B" w14:textId="77777777" w:rsidR="004D6A64" w:rsidRDefault="004D6A64">
            <w:pPr>
              <w:rPr>
                <w:rFonts w:ascii="宋体"/>
              </w:rPr>
            </w:pPr>
          </w:p>
        </w:tc>
        <w:tc>
          <w:tcPr>
            <w:tcW w:w="0" w:type="auto"/>
            <w:shd w:val="clear" w:color="auto" w:fill="auto"/>
          </w:tcPr>
          <w:p w14:paraId="33DAAC3C" w14:textId="77777777" w:rsidR="004D6A64" w:rsidRDefault="004D6A64">
            <w:pPr>
              <w:rPr>
                <w:rFonts w:ascii="宋体"/>
              </w:rPr>
            </w:pPr>
          </w:p>
        </w:tc>
        <w:tc>
          <w:tcPr>
            <w:tcW w:w="0" w:type="auto"/>
            <w:shd w:val="clear" w:color="auto" w:fill="auto"/>
          </w:tcPr>
          <w:p w14:paraId="33DAAC3D" w14:textId="77777777" w:rsidR="004D6A64" w:rsidRDefault="004D6A64">
            <w:pPr>
              <w:rPr>
                <w:rFonts w:ascii="宋体"/>
              </w:rPr>
            </w:pPr>
          </w:p>
        </w:tc>
        <w:tc>
          <w:tcPr>
            <w:tcW w:w="0" w:type="auto"/>
            <w:shd w:val="clear" w:color="auto" w:fill="auto"/>
          </w:tcPr>
          <w:p w14:paraId="33DAAC3E" w14:textId="77777777" w:rsidR="004D6A64" w:rsidRDefault="004D6A64">
            <w:pPr>
              <w:rPr>
                <w:rFonts w:ascii="宋体"/>
              </w:rPr>
            </w:pPr>
          </w:p>
        </w:tc>
      </w:tr>
      <w:tr w:rsidR="004D6A64" w14:paraId="33DAAC67" w14:textId="77777777">
        <w:tc>
          <w:tcPr>
            <w:tcW w:w="0" w:type="auto"/>
            <w:gridSpan w:val="3"/>
            <w:shd w:val="clear" w:color="auto" w:fill="CCEEFF"/>
            <w:tcMar>
              <w:top w:w="40" w:type="dxa"/>
              <w:left w:w="20" w:type="dxa"/>
              <w:bottom w:w="40" w:type="dxa"/>
              <w:right w:w="20" w:type="dxa"/>
            </w:tcMar>
            <w:vAlign w:val="center"/>
          </w:tcPr>
          <w:p w14:paraId="33DAAC40" w14:textId="77777777" w:rsidR="004D6A64" w:rsidRDefault="00506CD6">
            <w:pPr>
              <w:textAlignment w:val="center"/>
            </w:pPr>
            <w:r>
              <w:rPr>
                <w:rFonts w:ascii="Times New Roman" w:eastAsia="宋体" w:hAnsi="Times New Roman"/>
                <w:color w:val="000000"/>
                <w:sz w:val="20"/>
                <w:szCs w:val="20"/>
              </w:rPr>
              <w:t>Fixed-term — Consumer and Commercial</w:t>
            </w:r>
          </w:p>
        </w:tc>
        <w:tc>
          <w:tcPr>
            <w:tcW w:w="0" w:type="auto"/>
            <w:gridSpan w:val="2"/>
            <w:shd w:val="clear" w:color="auto" w:fill="CCEEFF"/>
            <w:tcMar>
              <w:top w:w="40" w:type="dxa"/>
              <w:left w:w="20" w:type="dxa"/>
              <w:bottom w:w="40" w:type="dxa"/>
              <w:right w:w="0" w:type="dxa"/>
            </w:tcMar>
            <w:vAlign w:val="center"/>
          </w:tcPr>
          <w:p w14:paraId="33DAAC41" w14:textId="77777777" w:rsidR="004D6A64" w:rsidRDefault="00506CD6">
            <w:pPr>
              <w:jc w:val="right"/>
              <w:textAlignment w:val="center"/>
            </w:pPr>
            <w:r>
              <w:rPr>
                <w:rFonts w:ascii="Times New Roman" w:eastAsia="宋体" w:hAnsi="Times New Roman"/>
                <w:color w:val="000000"/>
                <w:sz w:val="20"/>
                <w:szCs w:val="20"/>
              </w:rPr>
              <w:t>8,803 </w:t>
            </w:r>
          </w:p>
        </w:tc>
        <w:tc>
          <w:tcPr>
            <w:tcW w:w="0" w:type="auto"/>
            <w:shd w:val="clear" w:color="auto" w:fill="CCEEFF"/>
            <w:tcMar>
              <w:top w:w="40" w:type="dxa"/>
              <w:bottom w:w="40" w:type="dxa"/>
              <w:right w:w="20" w:type="dxa"/>
            </w:tcMar>
            <w:vAlign w:val="center"/>
          </w:tcPr>
          <w:p w14:paraId="33DAAC4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C4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C44" w14:textId="77777777" w:rsidR="004D6A64" w:rsidRDefault="00506CD6">
            <w:pPr>
              <w:jc w:val="right"/>
              <w:textAlignment w:val="center"/>
            </w:pPr>
            <w:r>
              <w:rPr>
                <w:rFonts w:ascii="Times New Roman" w:eastAsia="宋体" w:hAnsi="Times New Roman"/>
                <w:color w:val="000000"/>
                <w:sz w:val="20"/>
                <w:szCs w:val="20"/>
              </w:rPr>
              <w:t>381 </w:t>
            </w:r>
          </w:p>
        </w:tc>
        <w:tc>
          <w:tcPr>
            <w:tcW w:w="0" w:type="auto"/>
            <w:shd w:val="clear" w:color="auto" w:fill="CCEEFF"/>
            <w:tcMar>
              <w:top w:w="40" w:type="dxa"/>
              <w:bottom w:w="40" w:type="dxa"/>
              <w:right w:w="20" w:type="dxa"/>
            </w:tcMar>
            <w:vAlign w:val="center"/>
          </w:tcPr>
          <w:p w14:paraId="33DAAC4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C4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C47" w14:textId="77777777" w:rsidR="004D6A64" w:rsidRDefault="00506CD6">
            <w:pPr>
              <w:jc w:val="right"/>
              <w:textAlignment w:val="center"/>
            </w:pPr>
            <w:r>
              <w:rPr>
                <w:rFonts w:ascii="Times New Roman" w:eastAsia="宋体" w:hAnsi="Times New Roman"/>
                <w:color w:val="000000"/>
                <w:sz w:val="20"/>
                <w:szCs w:val="20"/>
              </w:rPr>
              <w:t>71 </w:t>
            </w:r>
          </w:p>
        </w:tc>
        <w:tc>
          <w:tcPr>
            <w:tcW w:w="0" w:type="auto"/>
            <w:shd w:val="clear" w:color="auto" w:fill="CCEEFF"/>
            <w:tcMar>
              <w:top w:w="40" w:type="dxa"/>
              <w:bottom w:w="40" w:type="dxa"/>
              <w:right w:w="20" w:type="dxa"/>
            </w:tcMar>
            <w:vAlign w:val="center"/>
          </w:tcPr>
          <w:p w14:paraId="33DAAC4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C4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C4A" w14:textId="77777777" w:rsidR="004D6A64" w:rsidRDefault="00506CD6">
            <w:pPr>
              <w:jc w:val="right"/>
              <w:textAlignment w:val="center"/>
            </w:pPr>
            <w:r>
              <w:rPr>
                <w:rFonts w:ascii="Times New Roman" w:eastAsia="宋体" w:hAnsi="Times New Roman"/>
                <w:color w:val="000000"/>
                <w:sz w:val="20"/>
                <w:szCs w:val="20"/>
              </w:rPr>
              <w:t>9,255 </w:t>
            </w:r>
          </w:p>
        </w:tc>
        <w:tc>
          <w:tcPr>
            <w:tcW w:w="0" w:type="auto"/>
            <w:shd w:val="clear" w:color="auto" w:fill="CCEEFF"/>
            <w:tcMar>
              <w:top w:w="40" w:type="dxa"/>
              <w:bottom w:w="40" w:type="dxa"/>
              <w:right w:w="20" w:type="dxa"/>
            </w:tcMar>
            <w:vAlign w:val="center"/>
          </w:tcPr>
          <w:p w14:paraId="33DAAC4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C4C"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C4D" w14:textId="77777777" w:rsidR="004D6A64" w:rsidRDefault="00506CD6">
            <w:pPr>
              <w:jc w:val="right"/>
              <w:textAlignment w:val="center"/>
            </w:pPr>
            <w:r>
              <w:rPr>
                <w:rFonts w:ascii="Times New Roman" w:eastAsia="宋体" w:hAnsi="Times New Roman"/>
                <w:color w:val="000000"/>
                <w:sz w:val="20"/>
                <w:szCs w:val="20"/>
              </w:rPr>
              <w:t>8,005 </w:t>
            </w:r>
          </w:p>
        </w:tc>
        <w:tc>
          <w:tcPr>
            <w:tcW w:w="0" w:type="auto"/>
            <w:shd w:val="clear" w:color="auto" w:fill="CCEEFF"/>
            <w:tcMar>
              <w:top w:w="40" w:type="dxa"/>
              <w:bottom w:w="40" w:type="dxa"/>
              <w:right w:w="20" w:type="dxa"/>
            </w:tcMar>
            <w:vAlign w:val="center"/>
          </w:tcPr>
          <w:p w14:paraId="33DAAC4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C4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C50" w14:textId="77777777" w:rsidR="004D6A64" w:rsidRDefault="00506CD6">
            <w:pPr>
              <w:jc w:val="right"/>
              <w:textAlignment w:val="center"/>
            </w:pPr>
            <w:r>
              <w:rPr>
                <w:rFonts w:ascii="Times New Roman" w:eastAsia="宋体" w:hAnsi="Times New Roman"/>
                <w:color w:val="000000"/>
                <w:sz w:val="20"/>
                <w:szCs w:val="20"/>
              </w:rPr>
              <w:t>373 </w:t>
            </w:r>
          </w:p>
        </w:tc>
        <w:tc>
          <w:tcPr>
            <w:tcW w:w="0" w:type="auto"/>
            <w:shd w:val="clear" w:color="auto" w:fill="CCEEFF"/>
            <w:tcMar>
              <w:top w:w="40" w:type="dxa"/>
              <w:bottom w:w="40" w:type="dxa"/>
              <w:right w:w="20" w:type="dxa"/>
            </w:tcMar>
            <w:vAlign w:val="center"/>
          </w:tcPr>
          <w:p w14:paraId="33DAAC5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C5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C53" w14:textId="77777777" w:rsidR="004D6A64" w:rsidRDefault="00506CD6">
            <w:pPr>
              <w:jc w:val="right"/>
              <w:textAlignment w:val="center"/>
            </w:pPr>
            <w:r>
              <w:rPr>
                <w:rFonts w:ascii="Times New Roman" w:eastAsia="宋体" w:hAnsi="Times New Roman"/>
                <w:color w:val="000000"/>
                <w:sz w:val="20"/>
                <w:szCs w:val="20"/>
              </w:rPr>
              <w:t>108 </w:t>
            </w:r>
          </w:p>
        </w:tc>
        <w:tc>
          <w:tcPr>
            <w:tcW w:w="0" w:type="auto"/>
            <w:shd w:val="clear" w:color="auto" w:fill="CCEEFF"/>
            <w:tcMar>
              <w:top w:w="40" w:type="dxa"/>
              <w:bottom w:w="40" w:type="dxa"/>
              <w:right w:w="20" w:type="dxa"/>
            </w:tcMar>
            <w:vAlign w:val="center"/>
          </w:tcPr>
          <w:p w14:paraId="33DAAC5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C5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C56" w14:textId="77777777" w:rsidR="004D6A64" w:rsidRDefault="00506CD6">
            <w:pPr>
              <w:jc w:val="right"/>
              <w:textAlignment w:val="center"/>
            </w:pPr>
            <w:r>
              <w:rPr>
                <w:rFonts w:ascii="Times New Roman" w:eastAsia="宋体" w:hAnsi="Times New Roman"/>
                <w:color w:val="000000"/>
                <w:sz w:val="20"/>
                <w:szCs w:val="20"/>
              </w:rPr>
              <w:t>8,486 </w:t>
            </w:r>
          </w:p>
        </w:tc>
        <w:tc>
          <w:tcPr>
            <w:tcW w:w="0" w:type="auto"/>
            <w:shd w:val="clear" w:color="auto" w:fill="CCEEFF"/>
            <w:tcMar>
              <w:top w:w="40" w:type="dxa"/>
              <w:bottom w:w="40" w:type="dxa"/>
              <w:right w:w="20" w:type="dxa"/>
            </w:tcMar>
            <w:vAlign w:val="center"/>
          </w:tcPr>
          <w:p w14:paraId="33DAAC57" w14:textId="77777777" w:rsidR="004D6A64" w:rsidRDefault="004D6A64">
            <w:pPr>
              <w:jc w:val="right"/>
              <w:rPr>
                <w:rFonts w:ascii="宋体"/>
              </w:rPr>
            </w:pPr>
          </w:p>
        </w:tc>
        <w:tc>
          <w:tcPr>
            <w:tcW w:w="0" w:type="auto"/>
            <w:shd w:val="clear" w:color="auto" w:fill="auto"/>
          </w:tcPr>
          <w:p w14:paraId="33DAAC58" w14:textId="77777777" w:rsidR="004D6A64" w:rsidRDefault="004D6A64">
            <w:pPr>
              <w:rPr>
                <w:rFonts w:ascii="宋体"/>
              </w:rPr>
            </w:pPr>
          </w:p>
        </w:tc>
        <w:tc>
          <w:tcPr>
            <w:tcW w:w="0" w:type="auto"/>
            <w:shd w:val="clear" w:color="auto" w:fill="auto"/>
          </w:tcPr>
          <w:p w14:paraId="33DAAC59" w14:textId="77777777" w:rsidR="004D6A64" w:rsidRDefault="004D6A64">
            <w:pPr>
              <w:rPr>
                <w:rFonts w:ascii="宋体"/>
              </w:rPr>
            </w:pPr>
          </w:p>
        </w:tc>
        <w:tc>
          <w:tcPr>
            <w:tcW w:w="0" w:type="auto"/>
            <w:shd w:val="clear" w:color="auto" w:fill="auto"/>
          </w:tcPr>
          <w:p w14:paraId="33DAAC5A" w14:textId="77777777" w:rsidR="004D6A64" w:rsidRDefault="004D6A64">
            <w:pPr>
              <w:rPr>
                <w:rFonts w:ascii="宋体"/>
              </w:rPr>
            </w:pPr>
          </w:p>
        </w:tc>
        <w:tc>
          <w:tcPr>
            <w:tcW w:w="0" w:type="auto"/>
            <w:shd w:val="clear" w:color="auto" w:fill="auto"/>
          </w:tcPr>
          <w:p w14:paraId="33DAAC5B" w14:textId="77777777" w:rsidR="004D6A64" w:rsidRDefault="004D6A64">
            <w:pPr>
              <w:rPr>
                <w:rFonts w:ascii="宋体"/>
              </w:rPr>
            </w:pPr>
          </w:p>
        </w:tc>
        <w:tc>
          <w:tcPr>
            <w:tcW w:w="0" w:type="auto"/>
            <w:shd w:val="clear" w:color="auto" w:fill="auto"/>
          </w:tcPr>
          <w:p w14:paraId="33DAAC5C" w14:textId="77777777" w:rsidR="004D6A64" w:rsidRDefault="004D6A64">
            <w:pPr>
              <w:rPr>
                <w:rFonts w:ascii="宋体"/>
              </w:rPr>
            </w:pPr>
          </w:p>
        </w:tc>
        <w:tc>
          <w:tcPr>
            <w:tcW w:w="0" w:type="auto"/>
            <w:shd w:val="clear" w:color="auto" w:fill="auto"/>
          </w:tcPr>
          <w:p w14:paraId="33DAAC5D" w14:textId="77777777" w:rsidR="004D6A64" w:rsidRDefault="004D6A64">
            <w:pPr>
              <w:rPr>
                <w:rFonts w:ascii="宋体"/>
              </w:rPr>
            </w:pPr>
          </w:p>
        </w:tc>
        <w:tc>
          <w:tcPr>
            <w:tcW w:w="0" w:type="auto"/>
            <w:shd w:val="clear" w:color="auto" w:fill="auto"/>
          </w:tcPr>
          <w:p w14:paraId="33DAAC5E" w14:textId="77777777" w:rsidR="004D6A64" w:rsidRDefault="004D6A64">
            <w:pPr>
              <w:rPr>
                <w:rFonts w:ascii="宋体"/>
              </w:rPr>
            </w:pPr>
          </w:p>
        </w:tc>
        <w:tc>
          <w:tcPr>
            <w:tcW w:w="0" w:type="auto"/>
            <w:shd w:val="clear" w:color="auto" w:fill="auto"/>
          </w:tcPr>
          <w:p w14:paraId="33DAAC5F" w14:textId="77777777" w:rsidR="004D6A64" w:rsidRDefault="004D6A64">
            <w:pPr>
              <w:rPr>
                <w:rFonts w:ascii="宋体"/>
              </w:rPr>
            </w:pPr>
          </w:p>
        </w:tc>
        <w:tc>
          <w:tcPr>
            <w:tcW w:w="0" w:type="auto"/>
            <w:shd w:val="clear" w:color="auto" w:fill="auto"/>
          </w:tcPr>
          <w:p w14:paraId="33DAAC60" w14:textId="77777777" w:rsidR="004D6A64" w:rsidRDefault="004D6A64">
            <w:pPr>
              <w:rPr>
                <w:rFonts w:ascii="宋体"/>
              </w:rPr>
            </w:pPr>
          </w:p>
        </w:tc>
        <w:tc>
          <w:tcPr>
            <w:tcW w:w="0" w:type="auto"/>
            <w:shd w:val="clear" w:color="auto" w:fill="auto"/>
          </w:tcPr>
          <w:p w14:paraId="33DAAC61" w14:textId="77777777" w:rsidR="004D6A64" w:rsidRDefault="004D6A64">
            <w:pPr>
              <w:rPr>
                <w:rFonts w:ascii="宋体"/>
              </w:rPr>
            </w:pPr>
          </w:p>
        </w:tc>
        <w:tc>
          <w:tcPr>
            <w:tcW w:w="0" w:type="auto"/>
            <w:shd w:val="clear" w:color="auto" w:fill="auto"/>
          </w:tcPr>
          <w:p w14:paraId="33DAAC62" w14:textId="77777777" w:rsidR="004D6A64" w:rsidRDefault="004D6A64">
            <w:pPr>
              <w:rPr>
                <w:rFonts w:ascii="宋体"/>
              </w:rPr>
            </w:pPr>
          </w:p>
        </w:tc>
        <w:tc>
          <w:tcPr>
            <w:tcW w:w="0" w:type="auto"/>
            <w:shd w:val="clear" w:color="auto" w:fill="auto"/>
          </w:tcPr>
          <w:p w14:paraId="33DAAC63" w14:textId="77777777" w:rsidR="004D6A64" w:rsidRDefault="004D6A64">
            <w:pPr>
              <w:rPr>
                <w:rFonts w:ascii="宋体"/>
              </w:rPr>
            </w:pPr>
          </w:p>
        </w:tc>
        <w:tc>
          <w:tcPr>
            <w:tcW w:w="0" w:type="auto"/>
            <w:shd w:val="clear" w:color="auto" w:fill="auto"/>
          </w:tcPr>
          <w:p w14:paraId="33DAAC64" w14:textId="77777777" w:rsidR="004D6A64" w:rsidRDefault="004D6A64">
            <w:pPr>
              <w:rPr>
                <w:rFonts w:ascii="宋体"/>
              </w:rPr>
            </w:pPr>
          </w:p>
        </w:tc>
        <w:tc>
          <w:tcPr>
            <w:tcW w:w="0" w:type="auto"/>
            <w:shd w:val="clear" w:color="auto" w:fill="auto"/>
          </w:tcPr>
          <w:p w14:paraId="33DAAC65" w14:textId="77777777" w:rsidR="004D6A64" w:rsidRDefault="004D6A64">
            <w:pPr>
              <w:rPr>
                <w:rFonts w:ascii="宋体"/>
              </w:rPr>
            </w:pPr>
          </w:p>
        </w:tc>
        <w:tc>
          <w:tcPr>
            <w:tcW w:w="0" w:type="auto"/>
            <w:shd w:val="clear" w:color="auto" w:fill="auto"/>
          </w:tcPr>
          <w:p w14:paraId="33DAAC66" w14:textId="77777777" w:rsidR="004D6A64" w:rsidRDefault="004D6A64">
            <w:pPr>
              <w:rPr>
                <w:rFonts w:ascii="宋体"/>
              </w:rPr>
            </w:pPr>
          </w:p>
        </w:tc>
      </w:tr>
      <w:tr w:rsidR="004D6A64" w14:paraId="33DAAC97" w14:textId="77777777">
        <w:tc>
          <w:tcPr>
            <w:tcW w:w="0" w:type="auto"/>
            <w:gridSpan w:val="3"/>
            <w:shd w:val="clear" w:color="auto" w:fill="FFFFFF"/>
            <w:tcMar>
              <w:top w:w="40" w:type="dxa"/>
              <w:left w:w="135" w:type="dxa"/>
              <w:bottom w:w="40" w:type="dxa"/>
              <w:right w:w="20" w:type="dxa"/>
            </w:tcMar>
            <w:vAlign w:val="center"/>
          </w:tcPr>
          <w:p w14:paraId="33DAAC68" w14:textId="77777777" w:rsidR="004D6A64" w:rsidRDefault="00506CD6">
            <w:pPr>
              <w:textAlignment w:val="center"/>
            </w:pPr>
            <w:r>
              <w:rPr>
                <w:rFonts w:ascii="Times New Roman" w:eastAsia="宋体" w:hAnsi="Times New Roman"/>
                <w:color w:val="000000"/>
                <w:sz w:val="20"/>
                <w:szCs w:val="20"/>
              </w:rPr>
              <w:t>Total customer receivables, gross</w:t>
            </w: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AC69"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AC6A" w14:textId="77777777" w:rsidR="004D6A64" w:rsidRDefault="00506CD6">
            <w:pPr>
              <w:jc w:val="right"/>
              <w:textAlignment w:val="center"/>
            </w:pPr>
            <w:r>
              <w:rPr>
                <w:rFonts w:ascii="Times New Roman" w:eastAsia="宋体" w:hAnsi="Times New Roman"/>
                <w:color w:val="000000"/>
                <w:sz w:val="20"/>
                <w:szCs w:val="20"/>
              </w:rPr>
              <w:t>9,524 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AC6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C6C"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AC6D"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AC6E" w14:textId="77777777" w:rsidR="004D6A64" w:rsidRDefault="00506CD6">
            <w:pPr>
              <w:jc w:val="right"/>
              <w:textAlignment w:val="center"/>
            </w:pPr>
            <w:r>
              <w:rPr>
                <w:rFonts w:ascii="Times New Roman" w:eastAsia="宋体" w:hAnsi="Times New Roman"/>
                <w:color w:val="000000"/>
                <w:sz w:val="20"/>
                <w:szCs w:val="20"/>
              </w:rPr>
              <w:t>421 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AC6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C70"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AC71"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AC72" w14:textId="77777777" w:rsidR="004D6A64" w:rsidRDefault="00506CD6">
            <w:pPr>
              <w:jc w:val="right"/>
              <w:textAlignment w:val="center"/>
            </w:pPr>
            <w:r>
              <w:rPr>
                <w:rFonts w:ascii="Times New Roman" w:eastAsia="宋体" w:hAnsi="Times New Roman"/>
                <w:color w:val="000000"/>
                <w:sz w:val="20"/>
                <w:szCs w:val="20"/>
              </w:rPr>
              <w:t>88 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AC7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C74" w14:textId="77777777" w:rsidR="004D6A64" w:rsidRDefault="004D6A64">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tcMar>
            <w:vAlign w:val="center"/>
          </w:tcPr>
          <w:p w14:paraId="33DAAC75"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bottom w:w="40" w:type="dxa"/>
              <w:right w:w="0" w:type="dxa"/>
            </w:tcMar>
            <w:vAlign w:val="center"/>
          </w:tcPr>
          <w:p w14:paraId="33DAAC76" w14:textId="77777777" w:rsidR="004D6A64" w:rsidRDefault="00506CD6">
            <w:pPr>
              <w:jc w:val="right"/>
              <w:textAlignment w:val="center"/>
            </w:pPr>
            <w:r>
              <w:rPr>
                <w:rFonts w:ascii="Times New Roman" w:eastAsia="宋体" w:hAnsi="Times New Roman"/>
                <w:color w:val="000000"/>
                <w:sz w:val="20"/>
                <w:szCs w:val="20"/>
              </w:rPr>
              <w:t>10,033 </w:t>
            </w:r>
          </w:p>
        </w:tc>
        <w:tc>
          <w:tcPr>
            <w:tcW w:w="0" w:type="auto"/>
            <w:tcBorders>
              <w:top w:val="single" w:sz="8" w:space="0" w:color="000000"/>
              <w:bottom w:val="double" w:sz="6" w:space="0" w:color="000000"/>
            </w:tcBorders>
            <w:shd w:val="clear" w:color="auto" w:fill="auto"/>
            <w:tcMar>
              <w:top w:w="40" w:type="dxa"/>
              <w:bottom w:w="40" w:type="dxa"/>
              <w:right w:w="20" w:type="dxa"/>
            </w:tcMar>
            <w:vAlign w:val="center"/>
          </w:tcPr>
          <w:p w14:paraId="33DAAC7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C78"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AC79"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AC7A" w14:textId="77777777" w:rsidR="004D6A64" w:rsidRDefault="00506CD6">
            <w:pPr>
              <w:jc w:val="right"/>
              <w:textAlignment w:val="center"/>
            </w:pPr>
            <w:r>
              <w:rPr>
                <w:rFonts w:ascii="Times New Roman" w:eastAsia="宋体" w:hAnsi="Times New Roman"/>
                <w:color w:val="000000"/>
                <w:sz w:val="20"/>
                <w:szCs w:val="20"/>
              </w:rPr>
              <w:t>8,739 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AC7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C7C"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AC7D"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AC7E" w14:textId="77777777" w:rsidR="004D6A64" w:rsidRDefault="00506CD6">
            <w:pPr>
              <w:jc w:val="right"/>
              <w:textAlignment w:val="center"/>
            </w:pPr>
            <w:r>
              <w:rPr>
                <w:rFonts w:ascii="Times New Roman" w:eastAsia="宋体" w:hAnsi="Times New Roman"/>
                <w:color w:val="000000"/>
                <w:sz w:val="20"/>
                <w:szCs w:val="20"/>
              </w:rPr>
              <w:t>439 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AC7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C80"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AC81"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AC82" w14:textId="77777777" w:rsidR="004D6A64" w:rsidRDefault="00506CD6">
            <w:pPr>
              <w:jc w:val="right"/>
              <w:textAlignment w:val="center"/>
            </w:pPr>
            <w:r>
              <w:rPr>
                <w:rFonts w:ascii="Times New Roman" w:eastAsia="宋体" w:hAnsi="Times New Roman"/>
                <w:color w:val="000000"/>
                <w:sz w:val="20"/>
                <w:szCs w:val="20"/>
              </w:rPr>
              <w:t>132 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AC8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C84"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AC85"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AC86" w14:textId="77777777" w:rsidR="004D6A64" w:rsidRDefault="00506CD6">
            <w:pPr>
              <w:jc w:val="right"/>
              <w:textAlignment w:val="center"/>
            </w:pPr>
            <w:r>
              <w:rPr>
                <w:rFonts w:ascii="Times New Roman" w:eastAsia="宋体" w:hAnsi="Times New Roman"/>
                <w:color w:val="000000"/>
                <w:sz w:val="20"/>
                <w:szCs w:val="20"/>
              </w:rPr>
              <w:t>9,310 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AC87" w14:textId="77777777" w:rsidR="004D6A64" w:rsidRDefault="004D6A64">
            <w:pPr>
              <w:jc w:val="right"/>
              <w:rPr>
                <w:rFonts w:ascii="宋体"/>
              </w:rPr>
            </w:pPr>
          </w:p>
        </w:tc>
        <w:tc>
          <w:tcPr>
            <w:tcW w:w="0" w:type="auto"/>
            <w:shd w:val="clear" w:color="auto" w:fill="auto"/>
          </w:tcPr>
          <w:p w14:paraId="33DAAC88" w14:textId="77777777" w:rsidR="004D6A64" w:rsidRDefault="004D6A64">
            <w:pPr>
              <w:rPr>
                <w:rFonts w:ascii="宋体"/>
              </w:rPr>
            </w:pPr>
          </w:p>
        </w:tc>
        <w:tc>
          <w:tcPr>
            <w:tcW w:w="0" w:type="auto"/>
            <w:shd w:val="clear" w:color="auto" w:fill="auto"/>
          </w:tcPr>
          <w:p w14:paraId="33DAAC89" w14:textId="77777777" w:rsidR="004D6A64" w:rsidRDefault="004D6A64">
            <w:pPr>
              <w:rPr>
                <w:rFonts w:ascii="宋体"/>
              </w:rPr>
            </w:pPr>
          </w:p>
        </w:tc>
        <w:tc>
          <w:tcPr>
            <w:tcW w:w="0" w:type="auto"/>
            <w:shd w:val="clear" w:color="auto" w:fill="auto"/>
          </w:tcPr>
          <w:p w14:paraId="33DAAC8A" w14:textId="77777777" w:rsidR="004D6A64" w:rsidRDefault="004D6A64">
            <w:pPr>
              <w:rPr>
                <w:rFonts w:ascii="宋体"/>
              </w:rPr>
            </w:pPr>
          </w:p>
        </w:tc>
        <w:tc>
          <w:tcPr>
            <w:tcW w:w="0" w:type="auto"/>
            <w:shd w:val="clear" w:color="auto" w:fill="auto"/>
          </w:tcPr>
          <w:p w14:paraId="33DAAC8B" w14:textId="77777777" w:rsidR="004D6A64" w:rsidRDefault="004D6A64">
            <w:pPr>
              <w:rPr>
                <w:rFonts w:ascii="宋体"/>
              </w:rPr>
            </w:pPr>
          </w:p>
        </w:tc>
        <w:tc>
          <w:tcPr>
            <w:tcW w:w="0" w:type="auto"/>
            <w:shd w:val="clear" w:color="auto" w:fill="auto"/>
          </w:tcPr>
          <w:p w14:paraId="33DAAC8C" w14:textId="77777777" w:rsidR="004D6A64" w:rsidRDefault="004D6A64">
            <w:pPr>
              <w:rPr>
                <w:rFonts w:ascii="宋体"/>
              </w:rPr>
            </w:pPr>
          </w:p>
        </w:tc>
        <w:tc>
          <w:tcPr>
            <w:tcW w:w="0" w:type="auto"/>
            <w:shd w:val="clear" w:color="auto" w:fill="auto"/>
          </w:tcPr>
          <w:p w14:paraId="33DAAC8D" w14:textId="77777777" w:rsidR="004D6A64" w:rsidRDefault="004D6A64">
            <w:pPr>
              <w:rPr>
                <w:rFonts w:ascii="宋体"/>
              </w:rPr>
            </w:pPr>
          </w:p>
        </w:tc>
        <w:tc>
          <w:tcPr>
            <w:tcW w:w="0" w:type="auto"/>
            <w:shd w:val="clear" w:color="auto" w:fill="auto"/>
          </w:tcPr>
          <w:p w14:paraId="33DAAC8E" w14:textId="77777777" w:rsidR="004D6A64" w:rsidRDefault="004D6A64">
            <w:pPr>
              <w:rPr>
                <w:rFonts w:ascii="宋体"/>
              </w:rPr>
            </w:pPr>
          </w:p>
        </w:tc>
        <w:tc>
          <w:tcPr>
            <w:tcW w:w="0" w:type="auto"/>
            <w:shd w:val="clear" w:color="auto" w:fill="auto"/>
          </w:tcPr>
          <w:p w14:paraId="33DAAC8F" w14:textId="77777777" w:rsidR="004D6A64" w:rsidRDefault="004D6A64">
            <w:pPr>
              <w:rPr>
                <w:rFonts w:ascii="宋体"/>
              </w:rPr>
            </w:pPr>
          </w:p>
        </w:tc>
        <w:tc>
          <w:tcPr>
            <w:tcW w:w="0" w:type="auto"/>
            <w:shd w:val="clear" w:color="auto" w:fill="auto"/>
          </w:tcPr>
          <w:p w14:paraId="33DAAC90" w14:textId="77777777" w:rsidR="004D6A64" w:rsidRDefault="004D6A64">
            <w:pPr>
              <w:rPr>
                <w:rFonts w:ascii="宋体"/>
              </w:rPr>
            </w:pPr>
          </w:p>
        </w:tc>
        <w:tc>
          <w:tcPr>
            <w:tcW w:w="0" w:type="auto"/>
            <w:shd w:val="clear" w:color="auto" w:fill="auto"/>
          </w:tcPr>
          <w:p w14:paraId="33DAAC91" w14:textId="77777777" w:rsidR="004D6A64" w:rsidRDefault="004D6A64">
            <w:pPr>
              <w:rPr>
                <w:rFonts w:ascii="宋体"/>
              </w:rPr>
            </w:pPr>
          </w:p>
        </w:tc>
        <w:tc>
          <w:tcPr>
            <w:tcW w:w="0" w:type="auto"/>
            <w:shd w:val="clear" w:color="auto" w:fill="auto"/>
          </w:tcPr>
          <w:p w14:paraId="33DAAC92" w14:textId="77777777" w:rsidR="004D6A64" w:rsidRDefault="004D6A64">
            <w:pPr>
              <w:rPr>
                <w:rFonts w:ascii="宋体"/>
              </w:rPr>
            </w:pPr>
          </w:p>
        </w:tc>
        <w:tc>
          <w:tcPr>
            <w:tcW w:w="0" w:type="auto"/>
            <w:shd w:val="clear" w:color="auto" w:fill="auto"/>
          </w:tcPr>
          <w:p w14:paraId="33DAAC93" w14:textId="77777777" w:rsidR="004D6A64" w:rsidRDefault="004D6A64">
            <w:pPr>
              <w:rPr>
                <w:rFonts w:ascii="宋体"/>
              </w:rPr>
            </w:pPr>
          </w:p>
        </w:tc>
        <w:tc>
          <w:tcPr>
            <w:tcW w:w="0" w:type="auto"/>
            <w:shd w:val="clear" w:color="auto" w:fill="auto"/>
          </w:tcPr>
          <w:p w14:paraId="33DAAC94" w14:textId="77777777" w:rsidR="004D6A64" w:rsidRDefault="004D6A64">
            <w:pPr>
              <w:rPr>
                <w:rFonts w:ascii="宋体"/>
              </w:rPr>
            </w:pPr>
          </w:p>
        </w:tc>
        <w:tc>
          <w:tcPr>
            <w:tcW w:w="0" w:type="auto"/>
            <w:shd w:val="clear" w:color="auto" w:fill="auto"/>
          </w:tcPr>
          <w:p w14:paraId="33DAAC95" w14:textId="77777777" w:rsidR="004D6A64" w:rsidRDefault="004D6A64">
            <w:pPr>
              <w:rPr>
                <w:rFonts w:ascii="宋体"/>
              </w:rPr>
            </w:pPr>
          </w:p>
        </w:tc>
        <w:tc>
          <w:tcPr>
            <w:tcW w:w="0" w:type="auto"/>
            <w:shd w:val="clear" w:color="auto" w:fill="auto"/>
          </w:tcPr>
          <w:p w14:paraId="33DAAC96" w14:textId="77777777" w:rsidR="004D6A64" w:rsidRDefault="004D6A64">
            <w:pPr>
              <w:rPr>
                <w:rFonts w:ascii="宋体"/>
              </w:rPr>
            </w:pPr>
          </w:p>
        </w:tc>
      </w:tr>
      <w:tr w:rsidR="004D6A64" w14:paraId="33DAACB7" w14:textId="77777777">
        <w:trPr>
          <w:hidden/>
        </w:trPr>
        <w:tc>
          <w:tcPr>
            <w:tcW w:w="0" w:type="auto"/>
            <w:gridSpan w:val="3"/>
            <w:shd w:val="clear" w:color="auto" w:fill="auto"/>
          </w:tcPr>
          <w:p w14:paraId="33DAAC98" w14:textId="77777777" w:rsidR="004D6A64" w:rsidRDefault="004D6A64">
            <w:pPr>
              <w:rPr>
                <w:rFonts w:ascii="宋体"/>
                <w:vanish/>
              </w:rPr>
            </w:pPr>
          </w:p>
        </w:tc>
        <w:tc>
          <w:tcPr>
            <w:tcW w:w="0" w:type="auto"/>
            <w:gridSpan w:val="3"/>
            <w:shd w:val="clear" w:color="auto" w:fill="auto"/>
          </w:tcPr>
          <w:p w14:paraId="33DAAC99" w14:textId="77777777" w:rsidR="004D6A64" w:rsidRDefault="004D6A64">
            <w:pPr>
              <w:rPr>
                <w:rFonts w:ascii="宋体"/>
                <w:vanish/>
              </w:rPr>
            </w:pPr>
          </w:p>
        </w:tc>
        <w:tc>
          <w:tcPr>
            <w:tcW w:w="0" w:type="auto"/>
            <w:gridSpan w:val="3"/>
            <w:shd w:val="clear" w:color="auto" w:fill="auto"/>
          </w:tcPr>
          <w:p w14:paraId="33DAAC9A" w14:textId="77777777" w:rsidR="004D6A64" w:rsidRDefault="004D6A64">
            <w:pPr>
              <w:rPr>
                <w:rFonts w:ascii="宋体"/>
                <w:vanish/>
              </w:rPr>
            </w:pPr>
          </w:p>
        </w:tc>
        <w:tc>
          <w:tcPr>
            <w:tcW w:w="0" w:type="auto"/>
            <w:gridSpan w:val="3"/>
            <w:shd w:val="clear" w:color="auto" w:fill="auto"/>
          </w:tcPr>
          <w:p w14:paraId="33DAAC9B" w14:textId="77777777" w:rsidR="004D6A64" w:rsidRDefault="004D6A64">
            <w:pPr>
              <w:rPr>
                <w:rFonts w:ascii="宋体"/>
                <w:vanish/>
              </w:rPr>
            </w:pPr>
          </w:p>
        </w:tc>
        <w:tc>
          <w:tcPr>
            <w:tcW w:w="0" w:type="auto"/>
            <w:gridSpan w:val="3"/>
            <w:shd w:val="clear" w:color="auto" w:fill="auto"/>
          </w:tcPr>
          <w:p w14:paraId="33DAAC9C" w14:textId="77777777" w:rsidR="004D6A64" w:rsidRDefault="004D6A64">
            <w:pPr>
              <w:rPr>
                <w:rFonts w:ascii="宋体"/>
                <w:vanish/>
              </w:rPr>
            </w:pPr>
          </w:p>
        </w:tc>
        <w:tc>
          <w:tcPr>
            <w:tcW w:w="0" w:type="auto"/>
            <w:gridSpan w:val="3"/>
            <w:shd w:val="clear" w:color="auto" w:fill="auto"/>
          </w:tcPr>
          <w:p w14:paraId="33DAAC9D" w14:textId="77777777" w:rsidR="004D6A64" w:rsidRDefault="004D6A64">
            <w:pPr>
              <w:rPr>
                <w:rFonts w:ascii="宋体"/>
                <w:vanish/>
              </w:rPr>
            </w:pPr>
          </w:p>
        </w:tc>
        <w:tc>
          <w:tcPr>
            <w:tcW w:w="0" w:type="auto"/>
            <w:gridSpan w:val="3"/>
            <w:shd w:val="clear" w:color="auto" w:fill="auto"/>
          </w:tcPr>
          <w:p w14:paraId="33DAAC9E" w14:textId="77777777" w:rsidR="004D6A64" w:rsidRDefault="004D6A64">
            <w:pPr>
              <w:rPr>
                <w:rFonts w:ascii="宋体"/>
                <w:vanish/>
              </w:rPr>
            </w:pPr>
          </w:p>
        </w:tc>
        <w:tc>
          <w:tcPr>
            <w:tcW w:w="0" w:type="auto"/>
            <w:gridSpan w:val="3"/>
            <w:shd w:val="clear" w:color="auto" w:fill="auto"/>
          </w:tcPr>
          <w:p w14:paraId="33DAAC9F" w14:textId="77777777" w:rsidR="004D6A64" w:rsidRDefault="004D6A64">
            <w:pPr>
              <w:rPr>
                <w:rFonts w:ascii="宋体"/>
                <w:vanish/>
              </w:rPr>
            </w:pPr>
          </w:p>
        </w:tc>
        <w:tc>
          <w:tcPr>
            <w:tcW w:w="0" w:type="auto"/>
            <w:gridSpan w:val="3"/>
            <w:shd w:val="clear" w:color="auto" w:fill="auto"/>
          </w:tcPr>
          <w:p w14:paraId="33DAACA0" w14:textId="77777777" w:rsidR="004D6A64" w:rsidRDefault="004D6A64">
            <w:pPr>
              <w:rPr>
                <w:rFonts w:ascii="宋体"/>
                <w:vanish/>
              </w:rPr>
            </w:pPr>
          </w:p>
        </w:tc>
        <w:tc>
          <w:tcPr>
            <w:tcW w:w="0" w:type="auto"/>
            <w:gridSpan w:val="3"/>
            <w:shd w:val="clear" w:color="auto" w:fill="auto"/>
          </w:tcPr>
          <w:p w14:paraId="33DAACA1" w14:textId="77777777" w:rsidR="004D6A64" w:rsidRDefault="004D6A64">
            <w:pPr>
              <w:rPr>
                <w:rFonts w:ascii="宋体"/>
                <w:vanish/>
              </w:rPr>
            </w:pPr>
          </w:p>
        </w:tc>
        <w:tc>
          <w:tcPr>
            <w:tcW w:w="0" w:type="auto"/>
            <w:gridSpan w:val="3"/>
            <w:shd w:val="clear" w:color="auto" w:fill="auto"/>
          </w:tcPr>
          <w:p w14:paraId="33DAACA2" w14:textId="77777777" w:rsidR="004D6A64" w:rsidRDefault="004D6A64">
            <w:pPr>
              <w:rPr>
                <w:rFonts w:ascii="宋体"/>
                <w:vanish/>
              </w:rPr>
            </w:pPr>
          </w:p>
        </w:tc>
        <w:tc>
          <w:tcPr>
            <w:tcW w:w="0" w:type="auto"/>
            <w:gridSpan w:val="3"/>
            <w:shd w:val="clear" w:color="auto" w:fill="auto"/>
          </w:tcPr>
          <w:p w14:paraId="33DAACA3" w14:textId="77777777" w:rsidR="004D6A64" w:rsidRDefault="004D6A64">
            <w:pPr>
              <w:rPr>
                <w:rFonts w:ascii="宋体"/>
                <w:vanish/>
              </w:rPr>
            </w:pPr>
          </w:p>
        </w:tc>
        <w:tc>
          <w:tcPr>
            <w:tcW w:w="0" w:type="auto"/>
            <w:gridSpan w:val="3"/>
            <w:shd w:val="clear" w:color="auto" w:fill="auto"/>
          </w:tcPr>
          <w:p w14:paraId="33DAACA4" w14:textId="77777777" w:rsidR="004D6A64" w:rsidRDefault="004D6A64">
            <w:pPr>
              <w:rPr>
                <w:rFonts w:ascii="宋体"/>
                <w:vanish/>
              </w:rPr>
            </w:pPr>
          </w:p>
        </w:tc>
        <w:tc>
          <w:tcPr>
            <w:tcW w:w="0" w:type="auto"/>
            <w:gridSpan w:val="3"/>
            <w:shd w:val="clear" w:color="auto" w:fill="auto"/>
          </w:tcPr>
          <w:p w14:paraId="33DAACA5" w14:textId="77777777" w:rsidR="004D6A64" w:rsidRDefault="004D6A64">
            <w:pPr>
              <w:rPr>
                <w:rFonts w:ascii="宋体"/>
                <w:vanish/>
              </w:rPr>
            </w:pPr>
          </w:p>
        </w:tc>
        <w:tc>
          <w:tcPr>
            <w:tcW w:w="0" w:type="auto"/>
            <w:gridSpan w:val="3"/>
            <w:shd w:val="clear" w:color="auto" w:fill="auto"/>
          </w:tcPr>
          <w:p w14:paraId="33DAACA6" w14:textId="77777777" w:rsidR="004D6A64" w:rsidRDefault="004D6A64">
            <w:pPr>
              <w:rPr>
                <w:rFonts w:ascii="宋体"/>
                <w:vanish/>
              </w:rPr>
            </w:pPr>
          </w:p>
        </w:tc>
        <w:tc>
          <w:tcPr>
            <w:tcW w:w="0" w:type="auto"/>
            <w:gridSpan w:val="3"/>
            <w:shd w:val="clear" w:color="auto" w:fill="auto"/>
          </w:tcPr>
          <w:p w14:paraId="33DAACA7" w14:textId="77777777" w:rsidR="004D6A64" w:rsidRDefault="004D6A64">
            <w:pPr>
              <w:rPr>
                <w:rFonts w:ascii="宋体"/>
                <w:vanish/>
              </w:rPr>
            </w:pPr>
          </w:p>
        </w:tc>
        <w:tc>
          <w:tcPr>
            <w:tcW w:w="0" w:type="auto"/>
            <w:shd w:val="clear" w:color="auto" w:fill="auto"/>
          </w:tcPr>
          <w:p w14:paraId="33DAACA8" w14:textId="77777777" w:rsidR="004D6A64" w:rsidRDefault="004D6A64">
            <w:pPr>
              <w:rPr>
                <w:rFonts w:ascii="宋体"/>
              </w:rPr>
            </w:pPr>
          </w:p>
        </w:tc>
        <w:tc>
          <w:tcPr>
            <w:tcW w:w="0" w:type="auto"/>
            <w:shd w:val="clear" w:color="auto" w:fill="auto"/>
          </w:tcPr>
          <w:p w14:paraId="33DAACA9" w14:textId="77777777" w:rsidR="004D6A64" w:rsidRDefault="004D6A64">
            <w:pPr>
              <w:rPr>
                <w:rFonts w:ascii="宋体"/>
              </w:rPr>
            </w:pPr>
          </w:p>
        </w:tc>
        <w:tc>
          <w:tcPr>
            <w:tcW w:w="0" w:type="auto"/>
            <w:shd w:val="clear" w:color="auto" w:fill="auto"/>
          </w:tcPr>
          <w:p w14:paraId="33DAACAA" w14:textId="77777777" w:rsidR="004D6A64" w:rsidRDefault="004D6A64">
            <w:pPr>
              <w:rPr>
                <w:rFonts w:ascii="宋体"/>
              </w:rPr>
            </w:pPr>
          </w:p>
        </w:tc>
        <w:tc>
          <w:tcPr>
            <w:tcW w:w="0" w:type="auto"/>
            <w:shd w:val="clear" w:color="auto" w:fill="auto"/>
          </w:tcPr>
          <w:p w14:paraId="33DAACAB" w14:textId="77777777" w:rsidR="004D6A64" w:rsidRDefault="004D6A64">
            <w:pPr>
              <w:rPr>
                <w:rFonts w:ascii="宋体"/>
              </w:rPr>
            </w:pPr>
          </w:p>
        </w:tc>
        <w:tc>
          <w:tcPr>
            <w:tcW w:w="0" w:type="auto"/>
            <w:shd w:val="clear" w:color="auto" w:fill="auto"/>
          </w:tcPr>
          <w:p w14:paraId="33DAACAC" w14:textId="77777777" w:rsidR="004D6A64" w:rsidRDefault="004D6A64">
            <w:pPr>
              <w:rPr>
                <w:rFonts w:ascii="宋体"/>
              </w:rPr>
            </w:pPr>
          </w:p>
        </w:tc>
        <w:tc>
          <w:tcPr>
            <w:tcW w:w="0" w:type="auto"/>
            <w:shd w:val="clear" w:color="auto" w:fill="auto"/>
          </w:tcPr>
          <w:p w14:paraId="33DAACAD" w14:textId="77777777" w:rsidR="004D6A64" w:rsidRDefault="004D6A64">
            <w:pPr>
              <w:rPr>
                <w:rFonts w:ascii="宋体"/>
              </w:rPr>
            </w:pPr>
          </w:p>
        </w:tc>
        <w:tc>
          <w:tcPr>
            <w:tcW w:w="0" w:type="auto"/>
            <w:shd w:val="clear" w:color="auto" w:fill="auto"/>
          </w:tcPr>
          <w:p w14:paraId="33DAACAE" w14:textId="77777777" w:rsidR="004D6A64" w:rsidRDefault="004D6A64">
            <w:pPr>
              <w:rPr>
                <w:rFonts w:ascii="宋体"/>
              </w:rPr>
            </w:pPr>
          </w:p>
        </w:tc>
        <w:tc>
          <w:tcPr>
            <w:tcW w:w="0" w:type="auto"/>
            <w:shd w:val="clear" w:color="auto" w:fill="auto"/>
          </w:tcPr>
          <w:p w14:paraId="33DAACAF" w14:textId="77777777" w:rsidR="004D6A64" w:rsidRDefault="004D6A64">
            <w:pPr>
              <w:rPr>
                <w:rFonts w:ascii="宋体"/>
              </w:rPr>
            </w:pPr>
          </w:p>
        </w:tc>
        <w:tc>
          <w:tcPr>
            <w:tcW w:w="0" w:type="auto"/>
            <w:shd w:val="clear" w:color="auto" w:fill="auto"/>
          </w:tcPr>
          <w:p w14:paraId="33DAACB0" w14:textId="77777777" w:rsidR="004D6A64" w:rsidRDefault="004D6A64">
            <w:pPr>
              <w:rPr>
                <w:rFonts w:ascii="宋体"/>
              </w:rPr>
            </w:pPr>
          </w:p>
        </w:tc>
        <w:tc>
          <w:tcPr>
            <w:tcW w:w="0" w:type="auto"/>
            <w:shd w:val="clear" w:color="auto" w:fill="auto"/>
          </w:tcPr>
          <w:p w14:paraId="33DAACB1" w14:textId="77777777" w:rsidR="004D6A64" w:rsidRDefault="004D6A64">
            <w:pPr>
              <w:rPr>
                <w:rFonts w:ascii="宋体"/>
              </w:rPr>
            </w:pPr>
          </w:p>
        </w:tc>
        <w:tc>
          <w:tcPr>
            <w:tcW w:w="0" w:type="auto"/>
            <w:shd w:val="clear" w:color="auto" w:fill="auto"/>
          </w:tcPr>
          <w:p w14:paraId="33DAACB2" w14:textId="77777777" w:rsidR="004D6A64" w:rsidRDefault="004D6A64">
            <w:pPr>
              <w:rPr>
                <w:rFonts w:ascii="宋体"/>
              </w:rPr>
            </w:pPr>
          </w:p>
        </w:tc>
        <w:tc>
          <w:tcPr>
            <w:tcW w:w="0" w:type="auto"/>
            <w:shd w:val="clear" w:color="auto" w:fill="auto"/>
          </w:tcPr>
          <w:p w14:paraId="33DAACB3" w14:textId="77777777" w:rsidR="004D6A64" w:rsidRDefault="004D6A64">
            <w:pPr>
              <w:rPr>
                <w:rFonts w:ascii="宋体"/>
              </w:rPr>
            </w:pPr>
          </w:p>
        </w:tc>
        <w:tc>
          <w:tcPr>
            <w:tcW w:w="0" w:type="auto"/>
            <w:shd w:val="clear" w:color="auto" w:fill="auto"/>
          </w:tcPr>
          <w:p w14:paraId="33DAACB4" w14:textId="77777777" w:rsidR="004D6A64" w:rsidRDefault="004D6A64">
            <w:pPr>
              <w:rPr>
                <w:rFonts w:ascii="宋体"/>
              </w:rPr>
            </w:pPr>
          </w:p>
        </w:tc>
        <w:tc>
          <w:tcPr>
            <w:tcW w:w="0" w:type="auto"/>
            <w:shd w:val="clear" w:color="auto" w:fill="auto"/>
          </w:tcPr>
          <w:p w14:paraId="33DAACB5" w14:textId="77777777" w:rsidR="004D6A64" w:rsidRDefault="004D6A64">
            <w:pPr>
              <w:rPr>
                <w:rFonts w:ascii="宋体"/>
              </w:rPr>
            </w:pPr>
          </w:p>
        </w:tc>
        <w:tc>
          <w:tcPr>
            <w:tcW w:w="0" w:type="auto"/>
            <w:shd w:val="clear" w:color="auto" w:fill="auto"/>
          </w:tcPr>
          <w:p w14:paraId="33DAACB6" w14:textId="77777777" w:rsidR="004D6A64" w:rsidRDefault="004D6A64">
            <w:pPr>
              <w:rPr>
                <w:rFonts w:ascii="宋体"/>
              </w:rPr>
            </w:pPr>
          </w:p>
        </w:tc>
      </w:tr>
      <w:tr w:rsidR="004D6A64" w14:paraId="33DAACD7" w14:textId="77777777">
        <w:trPr>
          <w:hidden/>
        </w:trPr>
        <w:tc>
          <w:tcPr>
            <w:tcW w:w="0" w:type="auto"/>
            <w:gridSpan w:val="3"/>
            <w:shd w:val="clear" w:color="auto" w:fill="auto"/>
          </w:tcPr>
          <w:p w14:paraId="33DAACB8" w14:textId="77777777" w:rsidR="004D6A64" w:rsidRDefault="004D6A64">
            <w:pPr>
              <w:rPr>
                <w:rFonts w:ascii="宋体"/>
                <w:vanish/>
              </w:rPr>
            </w:pPr>
          </w:p>
        </w:tc>
        <w:tc>
          <w:tcPr>
            <w:tcW w:w="0" w:type="auto"/>
            <w:gridSpan w:val="3"/>
            <w:shd w:val="clear" w:color="auto" w:fill="auto"/>
          </w:tcPr>
          <w:p w14:paraId="33DAACB9" w14:textId="77777777" w:rsidR="004D6A64" w:rsidRDefault="004D6A64">
            <w:pPr>
              <w:rPr>
                <w:rFonts w:ascii="宋体"/>
                <w:vanish/>
              </w:rPr>
            </w:pPr>
          </w:p>
        </w:tc>
        <w:tc>
          <w:tcPr>
            <w:tcW w:w="0" w:type="auto"/>
            <w:gridSpan w:val="3"/>
            <w:shd w:val="clear" w:color="auto" w:fill="auto"/>
          </w:tcPr>
          <w:p w14:paraId="33DAACBA" w14:textId="77777777" w:rsidR="004D6A64" w:rsidRDefault="004D6A64">
            <w:pPr>
              <w:rPr>
                <w:rFonts w:ascii="宋体"/>
                <w:vanish/>
              </w:rPr>
            </w:pPr>
          </w:p>
        </w:tc>
        <w:tc>
          <w:tcPr>
            <w:tcW w:w="0" w:type="auto"/>
            <w:gridSpan w:val="3"/>
            <w:shd w:val="clear" w:color="auto" w:fill="auto"/>
          </w:tcPr>
          <w:p w14:paraId="33DAACBB" w14:textId="77777777" w:rsidR="004D6A64" w:rsidRDefault="004D6A64">
            <w:pPr>
              <w:rPr>
                <w:rFonts w:ascii="宋体"/>
                <w:vanish/>
              </w:rPr>
            </w:pPr>
          </w:p>
        </w:tc>
        <w:tc>
          <w:tcPr>
            <w:tcW w:w="0" w:type="auto"/>
            <w:gridSpan w:val="3"/>
            <w:shd w:val="clear" w:color="auto" w:fill="auto"/>
          </w:tcPr>
          <w:p w14:paraId="33DAACBC" w14:textId="77777777" w:rsidR="004D6A64" w:rsidRDefault="004D6A64">
            <w:pPr>
              <w:rPr>
                <w:rFonts w:ascii="宋体"/>
                <w:vanish/>
              </w:rPr>
            </w:pPr>
          </w:p>
        </w:tc>
        <w:tc>
          <w:tcPr>
            <w:tcW w:w="0" w:type="auto"/>
            <w:gridSpan w:val="3"/>
            <w:shd w:val="clear" w:color="auto" w:fill="auto"/>
          </w:tcPr>
          <w:p w14:paraId="33DAACBD" w14:textId="77777777" w:rsidR="004D6A64" w:rsidRDefault="004D6A64">
            <w:pPr>
              <w:rPr>
                <w:rFonts w:ascii="宋体"/>
                <w:vanish/>
              </w:rPr>
            </w:pPr>
          </w:p>
        </w:tc>
        <w:tc>
          <w:tcPr>
            <w:tcW w:w="0" w:type="auto"/>
            <w:gridSpan w:val="3"/>
            <w:shd w:val="clear" w:color="auto" w:fill="auto"/>
          </w:tcPr>
          <w:p w14:paraId="33DAACBE" w14:textId="77777777" w:rsidR="004D6A64" w:rsidRDefault="004D6A64">
            <w:pPr>
              <w:rPr>
                <w:rFonts w:ascii="宋体"/>
                <w:vanish/>
              </w:rPr>
            </w:pPr>
          </w:p>
        </w:tc>
        <w:tc>
          <w:tcPr>
            <w:tcW w:w="0" w:type="auto"/>
            <w:gridSpan w:val="3"/>
            <w:shd w:val="clear" w:color="auto" w:fill="auto"/>
          </w:tcPr>
          <w:p w14:paraId="33DAACBF" w14:textId="77777777" w:rsidR="004D6A64" w:rsidRDefault="004D6A64">
            <w:pPr>
              <w:rPr>
                <w:rFonts w:ascii="宋体"/>
                <w:vanish/>
              </w:rPr>
            </w:pPr>
          </w:p>
        </w:tc>
        <w:tc>
          <w:tcPr>
            <w:tcW w:w="0" w:type="auto"/>
            <w:gridSpan w:val="3"/>
            <w:shd w:val="clear" w:color="auto" w:fill="auto"/>
          </w:tcPr>
          <w:p w14:paraId="33DAACC0" w14:textId="77777777" w:rsidR="004D6A64" w:rsidRDefault="004D6A64">
            <w:pPr>
              <w:rPr>
                <w:rFonts w:ascii="宋体"/>
                <w:vanish/>
              </w:rPr>
            </w:pPr>
          </w:p>
        </w:tc>
        <w:tc>
          <w:tcPr>
            <w:tcW w:w="0" w:type="auto"/>
            <w:gridSpan w:val="3"/>
            <w:shd w:val="clear" w:color="auto" w:fill="auto"/>
          </w:tcPr>
          <w:p w14:paraId="33DAACC1" w14:textId="77777777" w:rsidR="004D6A64" w:rsidRDefault="004D6A64">
            <w:pPr>
              <w:rPr>
                <w:rFonts w:ascii="宋体"/>
                <w:vanish/>
              </w:rPr>
            </w:pPr>
          </w:p>
        </w:tc>
        <w:tc>
          <w:tcPr>
            <w:tcW w:w="0" w:type="auto"/>
            <w:gridSpan w:val="3"/>
            <w:shd w:val="clear" w:color="auto" w:fill="auto"/>
          </w:tcPr>
          <w:p w14:paraId="33DAACC2" w14:textId="77777777" w:rsidR="004D6A64" w:rsidRDefault="004D6A64">
            <w:pPr>
              <w:rPr>
                <w:rFonts w:ascii="宋体"/>
                <w:vanish/>
              </w:rPr>
            </w:pPr>
          </w:p>
        </w:tc>
        <w:tc>
          <w:tcPr>
            <w:tcW w:w="0" w:type="auto"/>
            <w:gridSpan w:val="3"/>
            <w:shd w:val="clear" w:color="auto" w:fill="auto"/>
          </w:tcPr>
          <w:p w14:paraId="33DAACC3" w14:textId="77777777" w:rsidR="004D6A64" w:rsidRDefault="004D6A64">
            <w:pPr>
              <w:rPr>
                <w:rFonts w:ascii="宋体"/>
                <w:vanish/>
              </w:rPr>
            </w:pPr>
          </w:p>
        </w:tc>
        <w:tc>
          <w:tcPr>
            <w:tcW w:w="0" w:type="auto"/>
            <w:gridSpan w:val="3"/>
            <w:shd w:val="clear" w:color="auto" w:fill="auto"/>
          </w:tcPr>
          <w:p w14:paraId="33DAACC4" w14:textId="77777777" w:rsidR="004D6A64" w:rsidRDefault="004D6A64">
            <w:pPr>
              <w:rPr>
                <w:rFonts w:ascii="宋体"/>
                <w:vanish/>
              </w:rPr>
            </w:pPr>
          </w:p>
        </w:tc>
        <w:tc>
          <w:tcPr>
            <w:tcW w:w="0" w:type="auto"/>
            <w:gridSpan w:val="3"/>
            <w:shd w:val="clear" w:color="auto" w:fill="auto"/>
          </w:tcPr>
          <w:p w14:paraId="33DAACC5" w14:textId="77777777" w:rsidR="004D6A64" w:rsidRDefault="004D6A64">
            <w:pPr>
              <w:rPr>
                <w:rFonts w:ascii="宋体"/>
                <w:vanish/>
              </w:rPr>
            </w:pPr>
          </w:p>
        </w:tc>
        <w:tc>
          <w:tcPr>
            <w:tcW w:w="0" w:type="auto"/>
            <w:gridSpan w:val="3"/>
            <w:shd w:val="clear" w:color="auto" w:fill="auto"/>
          </w:tcPr>
          <w:p w14:paraId="33DAACC6" w14:textId="77777777" w:rsidR="004D6A64" w:rsidRDefault="004D6A64">
            <w:pPr>
              <w:rPr>
                <w:rFonts w:ascii="宋体"/>
                <w:vanish/>
              </w:rPr>
            </w:pPr>
          </w:p>
        </w:tc>
        <w:tc>
          <w:tcPr>
            <w:tcW w:w="0" w:type="auto"/>
            <w:gridSpan w:val="3"/>
            <w:shd w:val="clear" w:color="auto" w:fill="auto"/>
          </w:tcPr>
          <w:p w14:paraId="33DAACC7" w14:textId="77777777" w:rsidR="004D6A64" w:rsidRDefault="004D6A64">
            <w:pPr>
              <w:rPr>
                <w:rFonts w:ascii="宋体"/>
                <w:vanish/>
              </w:rPr>
            </w:pPr>
          </w:p>
        </w:tc>
        <w:tc>
          <w:tcPr>
            <w:tcW w:w="0" w:type="auto"/>
            <w:shd w:val="clear" w:color="auto" w:fill="auto"/>
          </w:tcPr>
          <w:p w14:paraId="33DAACC8" w14:textId="77777777" w:rsidR="004D6A64" w:rsidRDefault="004D6A64">
            <w:pPr>
              <w:rPr>
                <w:rFonts w:ascii="宋体"/>
              </w:rPr>
            </w:pPr>
          </w:p>
        </w:tc>
        <w:tc>
          <w:tcPr>
            <w:tcW w:w="0" w:type="auto"/>
            <w:shd w:val="clear" w:color="auto" w:fill="auto"/>
          </w:tcPr>
          <w:p w14:paraId="33DAACC9" w14:textId="77777777" w:rsidR="004D6A64" w:rsidRDefault="004D6A64">
            <w:pPr>
              <w:rPr>
                <w:rFonts w:ascii="宋体"/>
              </w:rPr>
            </w:pPr>
          </w:p>
        </w:tc>
        <w:tc>
          <w:tcPr>
            <w:tcW w:w="0" w:type="auto"/>
            <w:shd w:val="clear" w:color="auto" w:fill="auto"/>
          </w:tcPr>
          <w:p w14:paraId="33DAACCA" w14:textId="77777777" w:rsidR="004D6A64" w:rsidRDefault="004D6A64">
            <w:pPr>
              <w:rPr>
                <w:rFonts w:ascii="宋体"/>
              </w:rPr>
            </w:pPr>
          </w:p>
        </w:tc>
        <w:tc>
          <w:tcPr>
            <w:tcW w:w="0" w:type="auto"/>
            <w:shd w:val="clear" w:color="auto" w:fill="auto"/>
          </w:tcPr>
          <w:p w14:paraId="33DAACCB" w14:textId="77777777" w:rsidR="004D6A64" w:rsidRDefault="004D6A64">
            <w:pPr>
              <w:rPr>
                <w:rFonts w:ascii="宋体"/>
              </w:rPr>
            </w:pPr>
          </w:p>
        </w:tc>
        <w:tc>
          <w:tcPr>
            <w:tcW w:w="0" w:type="auto"/>
            <w:shd w:val="clear" w:color="auto" w:fill="auto"/>
          </w:tcPr>
          <w:p w14:paraId="33DAACCC" w14:textId="77777777" w:rsidR="004D6A64" w:rsidRDefault="004D6A64">
            <w:pPr>
              <w:rPr>
                <w:rFonts w:ascii="宋体"/>
              </w:rPr>
            </w:pPr>
          </w:p>
        </w:tc>
        <w:tc>
          <w:tcPr>
            <w:tcW w:w="0" w:type="auto"/>
            <w:shd w:val="clear" w:color="auto" w:fill="auto"/>
          </w:tcPr>
          <w:p w14:paraId="33DAACCD" w14:textId="77777777" w:rsidR="004D6A64" w:rsidRDefault="004D6A64">
            <w:pPr>
              <w:rPr>
                <w:rFonts w:ascii="宋体"/>
              </w:rPr>
            </w:pPr>
          </w:p>
        </w:tc>
        <w:tc>
          <w:tcPr>
            <w:tcW w:w="0" w:type="auto"/>
            <w:shd w:val="clear" w:color="auto" w:fill="auto"/>
          </w:tcPr>
          <w:p w14:paraId="33DAACCE" w14:textId="77777777" w:rsidR="004D6A64" w:rsidRDefault="004D6A64">
            <w:pPr>
              <w:rPr>
                <w:rFonts w:ascii="宋体"/>
              </w:rPr>
            </w:pPr>
          </w:p>
        </w:tc>
        <w:tc>
          <w:tcPr>
            <w:tcW w:w="0" w:type="auto"/>
            <w:shd w:val="clear" w:color="auto" w:fill="auto"/>
          </w:tcPr>
          <w:p w14:paraId="33DAACCF" w14:textId="77777777" w:rsidR="004D6A64" w:rsidRDefault="004D6A64">
            <w:pPr>
              <w:rPr>
                <w:rFonts w:ascii="宋体"/>
              </w:rPr>
            </w:pPr>
          </w:p>
        </w:tc>
        <w:tc>
          <w:tcPr>
            <w:tcW w:w="0" w:type="auto"/>
            <w:shd w:val="clear" w:color="auto" w:fill="auto"/>
          </w:tcPr>
          <w:p w14:paraId="33DAACD0" w14:textId="77777777" w:rsidR="004D6A64" w:rsidRDefault="004D6A64">
            <w:pPr>
              <w:rPr>
                <w:rFonts w:ascii="宋体"/>
              </w:rPr>
            </w:pPr>
          </w:p>
        </w:tc>
        <w:tc>
          <w:tcPr>
            <w:tcW w:w="0" w:type="auto"/>
            <w:shd w:val="clear" w:color="auto" w:fill="auto"/>
          </w:tcPr>
          <w:p w14:paraId="33DAACD1" w14:textId="77777777" w:rsidR="004D6A64" w:rsidRDefault="004D6A64">
            <w:pPr>
              <w:rPr>
                <w:rFonts w:ascii="宋体"/>
              </w:rPr>
            </w:pPr>
          </w:p>
        </w:tc>
        <w:tc>
          <w:tcPr>
            <w:tcW w:w="0" w:type="auto"/>
            <w:shd w:val="clear" w:color="auto" w:fill="auto"/>
          </w:tcPr>
          <w:p w14:paraId="33DAACD2" w14:textId="77777777" w:rsidR="004D6A64" w:rsidRDefault="004D6A64">
            <w:pPr>
              <w:rPr>
                <w:rFonts w:ascii="宋体"/>
              </w:rPr>
            </w:pPr>
          </w:p>
        </w:tc>
        <w:tc>
          <w:tcPr>
            <w:tcW w:w="0" w:type="auto"/>
            <w:shd w:val="clear" w:color="auto" w:fill="auto"/>
          </w:tcPr>
          <w:p w14:paraId="33DAACD3" w14:textId="77777777" w:rsidR="004D6A64" w:rsidRDefault="004D6A64">
            <w:pPr>
              <w:rPr>
                <w:rFonts w:ascii="宋体"/>
              </w:rPr>
            </w:pPr>
          </w:p>
        </w:tc>
        <w:tc>
          <w:tcPr>
            <w:tcW w:w="0" w:type="auto"/>
            <w:shd w:val="clear" w:color="auto" w:fill="auto"/>
          </w:tcPr>
          <w:p w14:paraId="33DAACD4" w14:textId="77777777" w:rsidR="004D6A64" w:rsidRDefault="004D6A64">
            <w:pPr>
              <w:rPr>
                <w:rFonts w:ascii="宋体"/>
              </w:rPr>
            </w:pPr>
          </w:p>
        </w:tc>
        <w:tc>
          <w:tcPr>
            <w:tcW w:w="0" w:type="auto"/>
            <w:shd w:val="clear" w:color="auto" w:fill="auto"/>
          </w:tcPr>
          <w:p w14:paraId="33DAACD5" w14:textId="77777777" w:rsidR="004D6A64" w:rsidRDefault="004D6A64">
            <w:pPr>
              <w:rPr>
                <w:rFonts w:ascii="宋体"/>
              </w:rPr>
            </w:pPr>
          </w:p>
        </w:tc>
        <w:tc>
          <w:tcPr>
            <w:tcW w:w="0" w:type="auto"/>
            <w:shd w:val="clear" w:color="auto" w:fill="auto"/>
          </w:tcPr>
          <w:p w14:paraId="33DAACD6" w14:textId="77777777" w:rsidR="004D6A64" w:rsidRDefault="004D6A64">
            <w:pPr>
              <w:rPr>
                <w:rFonts w:ascii="宋体"/>
              </w:rPr>
            </w:pPr>
          </w:p>
        </w:tc>
      </w:tr>
    </w:tbl>
    <w:p w14:paraId="33DAACD8" w14:textId="77777777" w:rsidR="004D6A64" w:rsidRDefault="004D6A64"/>
    <w:p w14:paraId="33DAACD9" w14:textId="77777777" w:rsidR="004D6A64" w:rsidRDefault="00506CD6">
      <w:r>
        <w:rPr>
          <w:rFonts w:ascii="Times New Roman" w:eastAsia="宋体" w:hAnsi="Times New Roman"/>
          <w:color w:val="000000"/>
          <w:sz w:val="20"/>
          <w:szCs w:val="20"/>
        </w:rPr>
        <w:t xml:space="preserve">Aging is likely to fluctuate as a result of the variability in volume of large transactions entered into over the period, and the administrative processes that </w:t>
      </w:r>
      <w:r>
        <w:rPr>
          <w:rFonts w:ascii="Times New Roman" w:eastAsia="宋体" w:hAnsi="Times New Roman"/>
          <w:color w:val="000000"/>
          <w:sz w:val="20"/>
          <w:szCs w:val="20"/>
        </w:rPr>
        <w:t xml:space="preserve">accompany those larger transactions. Aging is also impacted by the timing of the Dell Technologies fiscal period end date, relative to calendar month-end customer payment due dates. As a result of these factors, fluctuations in aging from period to period </w:t>
      </w:r>
      <w:r>
        <w:rPr>
          <w:rFonts w:ascii="Times New Roman" w:eastAsia="宋体" w:hAnsi="Times New Roman"/>
          <w:color w:val="000000"/>
          <w:sz w:val="20"/>
          <w:szCs w:val="20"/>
        </w:rPr>
        <w:t>do not necessarily indicate a material change in the collectibility of the portfolio.</w:t>
      </w:r>
    </w:p>
    <w:p w14:paraId="33DAACDA" w14:textId="77777777" w:rsidR="004D6A64" w:rsidRDefault="004D6A64"/>
    <w:p w14:paraId="33DAACDB" w14:textId="77777777" w:rsidR="004D6A64" w:rsidRDefault="00506CD6">
      <w:r>
        <w:rPr>
          <w:rFonts w:ascii="Times New Roman" w:eastAsia="宋体" w:hAnsi="Times New Roman"/>
          <w:color w:val="000000"/>
          <w:sz w:val="20"/>
          <w:szCs w:val="20"/>
        </w:rPr>
        <w:t>Fixed-term consumer and commercial customer receivables are placed on non-accrual status if principal or interest is past due and considered delinquent, or if there is c</w:t>
      </w:r>
      <w:r>
        <w:rPr>
          <w:rFonts w:ascii="Times New Roman" w:eastAsia="宋体" w:hAnsi="Times New Roman"/>
          <w:color w:val="000000"/>
          <w:sz w:val="20"/>
          <w:szCs w:val="20"/>
        </w:rPr>
        <w:t>oncern about collectibility of a specific customer receivable. These receivables identified as doubtful for collectibility may be classified as current for aging purposes. Aged revolving portfolio customer receivables identified as delinquent are charged o</w:t>
      </w:r>
      <w:r>
        <w:rPr>
          <w:rFonts w:ascii="Times New Roman" w:eastAsia="宋体" w:hAnsi="Times New Roman"/>
          <w:color w:val="000000"/>
          <w:sz w:val="20"/>
          <w:szCs w:val="20"/>
        </w:rPr>
        <w:t>ff.</w:t>
      </w:r>
    </w:p>
    <w:p w14:paraId="33DAACDC" w14:textId="77777777" w:rsidR="004D6A64" w:rsidRDefault="004D6A64"/>
    <w:p w14:paraId="33DAACDD" w14:textId="77777777" w:rsidR="004D6A64" w:rsidRDefault="004D6A64">
      <w:pPr>
        <w:jc w:val="center"/>
      </w:pPr>
    </w:p>
    <w:p w14:paraId="33DAACDE" w14:textId="77777777" w:rsidR="004D6A64" w:rsidRDefault="00506CD6">
      <w:pPr>
        <w:jc w:val="center"/>
      </w:pPr>
      <w:r>
        <w:rPr>
          <w:rFonts w:ascii="Times New Roman" w:eastAsia="宋体" w:hAnsi="Times New Roman"/>
          <w:color w:val="000000"/>
          <w:sz w:val="20"/>
          <w:szCs w:val="20"/>
        </w:rPr>
        <w:t>23</w:t>
      </w:r>
    </w:p>
    <w:p w14:paraId="33DAACDF" w14:textId="77777777" w:rsidR="004D6A64" w:rsidRDefault="004D6A64">
      <w:pPr>
        <w:jc w:val="center"/>
      </w:pPr>
    </w:p>
    <w:p w14:paraId="33DAACE0" w14:textId="77777777" w:rsidR="004D6A64" w:rsidRDefault="00506CD6">
      <w:r>
        <w:pict w14:anchorId="33DAFADB">
          <v:rect id="_x0000_i1047" style="width:415.3pt;height:1.5pt" o:hralign="center" o:hrstd="t" o:hr="t" fillcolor="#a0a0a0" stroked="f"/>
        </w:pict>
      </w:r>
    </w:p>
    <w:p w14:paraId="33DAACE1" w14:textId="77777777" w:rsidR="004D6A64" w:rsidRDefault="00506CD6">
      <w:hyperlink r:id="rId146" w:anchor="if3e0e1bf9ecd4bf69551d7a85f98d64a_10" w:history="1">
        <w:r>
          <w:rPr>
            <w:rStyle w:val="a5"/>
            <w:rFonts w:ascii="Times New Roman" w:eastAsia="宋体" w:hAnsi="Times New Roman"/>
            <w:sz w:val="20"/>
            <w:szCs w:val="20"/>
          </w:rPr>
          <w:t>Table of Contents</w:t>
        </w:r>
      </w:hyperlink>
    </w:p>
    <w:p w14:paraId="33DAACE2"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ACE3" w14:textId="77777777" w:rsidR="004D6A64" w:rsidRDefault="00506CD6">
      <w:pPr>
        <w:jc w:val="center"/>
      </w:pPr>
      <w:r>
        <w:rPr>
          <w:rFonts w:ascii="Times New Roman" w:eastAsia="宋体" w:hAnsi="Times New Roman"/>
          <w:b/>
          <w:bCs/>
          <w:color w:val="000000"/>
          <w:sz w:val="20"/>
          <w:szCs w:val="20"/>
          <w:shd w:val="clear" w:color="auto" w:fill="FFFFFF"/>
        </w:rPr>
        <w:t xml:space="preserve">NOTES TO THE CONDENSED CONSOLIDATED </w:t>
      </w:r>
      <w:r>
        <w:rPr>
          <w:rFonts w:ascii="Times New Roman" w:eastAsia="宋体" w:hAnsi="Times New Roman"/>
          <w:b/>
          <w:bCs/>
          <w:color w:val="000000"/>
          <w:sz w:val="20"/>
          <w:szCs w:val="20"/>
          <w:shd w:val="clear" w:color="auto" w:fill="FFFFFF"/>
        </w:rPr>
        <w:t>FINANCIAL STATEMENTS (Continued)</w:t>
      </w:r>
    </w:p>
    <w:p w14:paraId="33DAACE4"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ACE5" w14:textId="77777777" w:rsidR="004D6A64" w:rsidRDefault="004D6A64">
      <w:pPr>
        <w:jc w:val="center"/>
      </w:pPr>
    </w:p>
    <w:p w14:paraId="33DAACE6" w14:textId="77777777" w:rsidR="004D6A64" w:rsidRDefault="00506CD6">
      <w:r>
        <w:rPr>
          <w:rFonts w:ascii="Times New Roman" w:eastAsia="宋体" w:hAnsi="Times New Roman"/>
          <w:i/>
          <w:iCs/>
          <w:color w:val="000000"/>
          <w:sz w:val="20"/>
          <w:szCs w:val="20"/>
          <w:u w:val="single"/>
        </w:rPr>
        <w:t>Credit Quality</w:t>
      </w:r>
    </w:p>
    <w:p w14:paraId="33DAACE7" w14:textId="77777777" w:rsidR="004D6A64" w:rsidRDefault="004D6A64"/>
    <w:p w14:paraId="33DAACE8" w14:textId="77777777" w:rsidR="004D6A64" w:rsidRDefault="00506CD6">
      <w:r>
        <w:rPr>
          <w:rFonts w:ascii="Times New Roman" w:eastAsia="宋体" w:hAnsi="Times New Roman"/>
          <w:color w:val="000000"/>
          <w:sz w:val="20"/>
          <w:szCs w:val="20"/>
        </w:rPr>
        <w:t>The following table presents customer receivables, gross, including accrued interest, by credit quality indicator segregated by class and year of origination, as of the date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6"/>
        <w:gridCol w:w="592"/>
        <w:gridCol w:w="36"/>
        <w:gridCol w:w="135"/>
        <w:gridCol w:w="515"/>
        <w:gridCol w:w="41"/>
        <w:gridCol w:w="36"/>
        <w:gridCol w:w="36"/>
        <w:gridCol w:w="36"/>
        <w:gridCol w:w="135"/>
        <w:gridCol w:w="515"/>
        <w:gridCol w:w="41"/>
        <w:gridCol w:w="36"/>
        <w:gridCol w:w="36"/>
        <w:gridCol w:w="36"/>
        <w:gridCol w:w="135"/>
        <w:gridCol w:w="515"/>
        <w:gridCol w:w="41"/>
        <w:gridCol w:w="36"/>
        <w:gridCol w:w="36"/>
        <w:gridCol w:w="36"/>
        <w:gridCol w:w="135"/>
        <w:gridCol w:w="365"/>
        <w:gridCol w:w="41"/>
        <w:gridCol w:w="36"/>
        <w:gridCol w:w="36"/>
        <w:gridCol w:w="36"/>
        <w:gridCol w:w="135"/>
        <w:gridCol w:w="265"/>
        <w:gridCol w:w="41"/>
        <w:gridCol w:w="36"/>
        <w:gridCol w:w="36"/>
        <w:gridCol w:w="36"/>
        <w:gridCol w:w="136"/>
        <w:gridCol w:w="467"/>
        <w:gridCol w:w="41"/>
        <w:gridCol w:w="36"/>
        <w:gridCol w:w="36"/>
        <w:gridCol w:w="36"/>
        <w:gridCol w:w="136"/>
        <w:gridCol w:w="815"/>
        <w:gridCol w:w="41"/>
        <w:gridCol w:w="36"/>
        <w:gridCol w:w="36"/>
        <w:gridCol w:w="36"/>
        <w:gridCol w:w="136"/>
        <w:gridCol w:w="815"/>
        <w:gridCol w:w="41"/>
        <w:gridCol w:w="36"/>
        <w:gridCol w:w="36"/>
        <w:gridCol w:w="36"/>
        <w:gridCol w:w="135"/>
        <w:gridCol w:w="615"/>
        <w:gridCol w:w="41"/>
        <w:gridCol w:w="36"/>
        <w:gridCol w:w="36"/>
        <w:gridCol w:w="36"/>
        <w:gridCol w:w="36"/>
        <w:gridCol w:w="36"/>
        <w:gridCol w:w="36"/>
        <w:gridCol w:w="36"/>
        <w:gridCol w:w="36"/>
        <w:gridCol w:w="36"/>
      </w:tblGrid>
      <w:tr w:rsidR="004D6A64" w14:paraId="33DAAD1F" w14:textId="77777777">
        <w:trPr>
          <w:gridAfter w:val="9"/>
          <w:jc w:val="center"/>
        </w:trPr>
        <w:tc>
          <w:tcPr>
            <w:tcW w:w="50" w:type="pct"/>
            <w:shd w:val="clear" w:color="auto" w:fill="auto"/>
          </w:tcPr>
          <w:p w14:paraId="33DAACE9" w14:textId="77777777" w:rsidR="004D6A64" w:rsidRDefault="004D6A64">
            <w:pPr>
              <w:rPr>
                <w:rFonts w:ascii="宋体"/>
              </w:rPr>
            </w:pPr>
          </w:p>
        </w:tc>
        <w:tc>
          <w:tcPr>
            <w:tcW w:w="602" w:type="pct"/>
            <w:shd w:val="clear" w:color="auto" w:fill="auto"/>
          </w:tcPr>
          <w:p w14:paraId="33DAACEA" w14:textId="77777777" w:rsidR="004D6A64" w:rsidRDefault="004D6A64">
            <w:pPr>
              <w:rPr>
                <w:rFonts w:ascii="宋体"/>
              </w:rPr>
            </w:pPr>
          </w:p>
        </w:tc>
        <w:tc>
          <w:tcPr>
            <w:tcW w:w="5" w:type="pct"/>
            <w:shd w:val="clear" w:color="auto" w:fill="auto"/>
          </w:tcPr>
          <w:p w14:paraId="33DAACEB" w14:textId="77777777" w:rsidR="004D6A64" w:rsidRDefault="004D6A64">
            <w:pPr>
              <w:rPr>
                <w:rFonts w:ascii="宋体"/>
              </w:rPr>
            </w:pPr>
          </w:p>
        </w:tc>
        <w:tc>
          <w:tcPr>
            <w:tcW w:w="50" w:type="pct"/>
            <w:shd w:val="clear" w:color="auto" w:fill="auto"/>
          </w:tcPr>
          <w:p w14:paraId="33DAACEC" w14:textId="77777777" w:rsidR="004D6A64" w:rsidRDefault="004D6A64">
            <w:pPr>
              <w:rPr>
                <w:rFonts w:ascii="宋体"/>
              </w:rPr>
            </w:pPr>
          </w:p>
        </w:tc>
        <w:tc>
          <w:tcPr>
            <w:tcW w:w="354" w:type="pct"/>
            <w:shd w:val="clear" w:color="auto" w:fill="auto"/>
          </w:tcPr>
          <w:p w14:paraId="33DAACED" w14:textId="77777777" w:rsidR="004D6A64" w:rsidRDefault="004D6A64">
            <w:pPr>
              <w:rPr>
                <w:rFonts w:ascii="宋体"/>
              </w:rPr>
            </w:pPr>
          </w:p>
        </w:tc>
        <w:tc>
          <w:tcPr>
            <w:tcW w:w="5" w:type="pct"/>
            <w:shd w:val="clear" w:color="auto" w:fill="auto"/>
          </w:tcPr>
          <w:p w14:paraId="33DAACEE" w14:textId="77777777" w:rsidR="004D6A64" w:rsidRDefault="004D6A64">
            <w:pPr>
              <w:rPr>
                <w:rFonts w:ascii="宋体"/>
              </w:rPr>
            </w:pPr>
          </w:p>
        </w:tc>
        <w:tc>
          <w:tcPr>
            <w:tcW w:w="5" w:type="pct"/>
            <w:shd w:val="clear" w:color="auto" w:fill="auto"/>
          </w:tcPr>
          <w:p w14:paraId="33DAACEF" w14:textId="77777777" w:rsidR="004D6A64" w:rsidRDefault="004D6A64">
            <w:pPr>
              <w:rPr>
                <w:rFonts w:ascii="宋体"/>
              </w:rPr>
            </w:pPr>
          </w:p>
        </w:tc>
        <w:tc>
          <w:tcPr>
            <w:tcW w:w="19" w:type="pct"/>
            <w:shd w:val="clear" w:color="auto" w:fill="auto"/>
          </w:tcPr>
          <w:p w14:paraId="33DAACF0" w14:textId="77777777" w:rsidR="004D6A64" w:rsidRDefault="004D6A64">
            <w:pPr>
              <w:rPr>
                <w:rFonts w:ascii="宋体"/>
              </w:rPr>
            </w:pPr>
          </w:p>
        </w:tc>
        <w:tc>
          <w:tcPr>
            <w:tcW w:w="5" w:type="pct"/>
            <w:shd w:val="clear" w:color="auto" w:fill="auto"/>
          </w:tcPr>
          <w:p w14:paraId="33DAACF1" w14:textId="77777777" w:rsidR="004D6A64" w:rsidRDefault="004D6A64">
            <w:pPr>
              <w:rPr>
                <w:rFonts w:ascii="宋体"/>
              </w:rPr>
            </w:pPr>
          </w:p>
        </w:tc>
        <w:tc>
          <w:tcPr>
            <w:tcW w:w="50" w:type="pct"/>
            <w:shd w:val="clear" w:color="auto" w:fill="auto"/>
          </w:tcPr>
          <w:p w14:paraId="33DAACF2" w14:textId="77777777" w:rsidR="004D6A64" w:rsidRDefault="004D6A64">
            <w:pPr>
              <w:rPr>
                <w:rFonts w:ascii="宋体"/>
              </w:rPr>
            </w:pPr>
          </w:p>
        </w:tc>
        <w:tc>
          <w:tcPr>
            <w:tcW w:w="354" w:type="pct"/>
            <w:shd w:val="clear" w:color="auto" w:fill="auto"/>
          </w:tcPr>
          <w:p w14:paraId="33DAACF3" w14:textId="77777777" w:rsidR="004D6A64" w:rsidRDefault="004D6A64">
            <w:pPr>
              <w:rPr>
                <w:rFonts w:ascii="宋体"/>
              </w:rPr>
            </w:pPr>
          </w:p>
        </w:tc>
        <w:tc>
          <w:tcPr>
            <w:tcW w:w="5" w:type="pct"/>
            <w:shd w:val="clear" w:color="auto" w:fill="auto"/>
          </w:tcPr>
          <w:p w14:paraId="33DAACF4" w14:textId="77777777" w:rsidR="004D6A64" w:rsidRDefault="004D6A64">
            <w:pPr>
              <w:rPr>
                <w:rFonts w:ascii="宋体"/>
              </w:rPr>
            </w:pPr>
          </w:p>
        </w:tc>
        <w:tc>
          <w:tcPr>
            <w:tcW w:w="5" w:type="pct"/>
            <w:shd w:val="clear" w:color="auto" w:fill="auto"/>
          </w:tcPr>
          <w:p w14:paraId="33DAACF5" w14:textId="77777777" w:rsidR="004D6A64" w:rsidRDefault="004D6A64">
            <w:pPr>
              <w:rPr>
                <w:rFonts w:ascii="宋体"/>
              </w:rPr>
            </w:pPr>
          </w:p>
        </w:tc>
        <w:tc>
          <w:tcPr>
            <w:tcW w:w="19" w:type="pct"/>
            <w:shd w:val="clear" w:color="auto" w:fill="auto"/>
          </w:tcPr>
          <w:p w14:paraId="33DAACF6" w14:textId="77777777" w:rsidR="004D6A64" w:rsidRDefault="004D6A64">
            <w:pPr>
              <w:rPr>
                <w:rFonts w:ascii="宋体"/>
              </w:rPr>
            </w:pPr>
          </w:p>
        </w:tc>
        <w:tc>
          <w:tcPr>
            <w:tcW w:w="5" w:type="pct"/>
            <w:shd w:val="clear" w:color="auto" w:fill="auto"/>
          </w:tcPr>
          <w:p w14:paraId="33DAACF7" w14:textId="77777777" w:rsidR="004D6A64" w:rsidRDefault="004D6A64">
            <w:pPr>
              <w:rPr>
                <w:rFonts w:ascii="宋体"/>
              </w:rPr>
            </w:pPr>
          </w:p>
        </w:tc>
        <w:tc>
          <w:tcPr>
            <w:tcW w:w="50" w:type="pct"/>
            <w:shd w:val="clear" w:color="auto" w:fill="auto"/>
          </w:tcPr>
          <w:p w14:paraId="33DAACF8" w14:textId="77777777" w:rsidR="004D6A64" w:rsidRDefault="004D6A64">
            <w:pPr>
              <w:rPr>
                <w:rFonts w:ascii="宋体"/>
              </w:rPr>
            </w:pPr>
          </w:p>
        </w:tc>
        <w:tc>
          <w:tcPr>
            <w:tcW w:w="354" w:type="pct"/>
            <w:shd w:val="clear" w:color="auto" w:fill="auto"/>
          </w:tcPr>
          <w:p w14:paraId="33DAACF9" w14:textId="77777777" w:rsidR="004D6A64" w:rsidRDefault="004D6A64">
            <w:pPr>
              <w:rPr>
                <w:rFonts w:ascii="宋体"/>
              </w:rPr>
            </w:pPr>
          </w:p>
        </w:tc>
        <w:tc>
          <w:tcPr>
            <w:tcW w:w="5" w:type="pct"/>
            <w:shd w:val="clear" w:color="auto" w:fill="auto"/>
          </w:tcPr>
          <w:p w14:paraId="33DAACFA" w14:textId="77777777" w:rsidR="004D6A64" w:rsidRDefault="004D6A64">
            <w:pPr>
              <w:rPr>
                <w:rFonts w:ascii="宋体"/>
              </w:rPr>
            </w:pPr>
          </w:p>
        </w:tc>
        <w:tc>
          <w:tcPr>
            <w:tcW w:w="5" w:type="pct"/>
            <w:shd w:val="clear" w:color="auto" w:fill="auto"/>
          </w:tcPr>
          <w:p w14:paraId="33DAACFB" w14:textId="77777777" w:rsidR="004D6A64" w:rsidRDefault="004D6A64">
            <w:pPr>
              <w:rPr>
                <w:rFonts w:ascii="宋体"/>
              </w:rPr>
            </w:pPr>
          </w:p>
        </w:tc>
        <w:tc>
          <w:tcPr>
            <w:tcW w:w="19" w:type="pct"/>
            <w:shd w:val="clear" w:color="auto" w:fill="auto"/>
          </w:tcPr>
          <w:p w14:paraId="33DAACFC" w14:textId="77777777" w:rsidR="004D6A64" w:rsidRDefault="004D6A64">
            <w:pPr>
              <w:rPr>
                <w:rFonts w:ascii="宋体"/>
              </w:rPr>
            </w:pPr>
          </w:p>
        </w:tc>
        <w:tc>
          <w:tcPr>
            <w:tcW w:w="5" w:type="pct"/>
            <w:shd w:val="clear" w:color="auto" w:fill="auto"/>
          </w:tcPr>
          <w:p w14:paraId="33DAACFD" w14:textId="77777777" w:rsidR="004D6A64" w:rsidRDefault="004D6A64">
            <w:pPr>
              <w:rPr>
                <w:rFonts w:ascii="宋体"/>
              </w:rPr>
            </w:pPr>
          </w:p>
        </w:tc>
        <w:tc>
          <w:tcPr>
            <w:tcW w:w="50" w:type="pct"/>
            <w:shd w:val="clear" w:color="auto" w:fill="auto"/>
          </w:tcPr>
          <w:p w14:paraId="33DAACFE" w14:textId="77777777" w:rsidR="004D6A64" w:rsidRDefault="004D6A64">
            <w:pPr>
              <w:rPr>
                <w:rFonts w:ascii="宋体"/>
              </w:rPr>
            </w:pPr>
          </w:p>
        </w:tc>
        <w:tc>
          <w:tcPr>
            <w:tcW w:w="354" w:type="pct"/>
            <w:shd w:val="clear" w:color="auto" w:fill="auto"/>
          </w:tcPr>
          <w:p w14:paraId="33DAACFF" w14:textId="77777777" w:rsidR="004D6A64" w:rsidRDefault="004D6A64">
            <w:pPr>
              <w:rPr>
                <w:rFonts w:ascii="宋体"/>
              </w:rPr>
            </w:pPr>
          </w:p>
        </w:tc>
        <w:tc>
          <w:tcPr>
            <w:tcW w:w="5" w:type="pct"/>
            <w:shd w:val="clear" w:color="auto" w:fill="auto"/>
          </w:tcPr>
          <w:p w14:paraId="33DAAD00" w14:textId="77777777" w:rsidR="004D6A64" w:rsidRDefault="004D6A64">
            <w:pPr>
              <w:rPr>
                <w:rFonts w:ascii="宋体"/>
              </w:rPr>
            </w:pPr>
          </w:p>
        </w:tc>
        <w:tc>
          <w:tcPr>
            <w:tcW w:w="5" w:type="pct"/>
            <w:shd w:val="clear" w:color="auto" w:fill="auto"/>
          </w:tcPr>
          <w:p w14:paraId="33DAAD01" w14:textId="77777777" w:rsidR="004D6A64" w:rsidRDefault="004D6A64">
            <w:pPr>
              <w:rPr>
                <w:rFonts w:ascii="宋体"/>
              </w:rPr>
            </w:pPr>
          </w:p>
        </w:tc>
        <w:tc>
          <w:tcPr>
            <w:tcW w:w="19" w:type="pct"/>
            <w:shd w:val="clear" w:color="auto" w:fill="auto"/>
          </w:tcPr>
          <w:p w14:paraId="33DAAD02" w14:textId="77777777" w:rsidR="004D6A64" w:rsidRDefault="004D6A64">
            <w:pPr>
              <w:rPr>
                <w:rFonts w:ascii="宋体"/>
              </w:rPr>
            </w:pPr>
          </w:p>
        </w:tc>
        <w:tc>
          <w:tcPr>
            <w:tcW w:w="5" w:type="pct"/>
            <w:shd w:val="clear" w:color="auto" w:fill="auto"/>
          </w:tcPr>
          <w:p w14:paraId="33DAAD03" w14:textId="77777777" w:rsidR="004D6A64" w:rsidRDefault="004D6A64">
            <w:pPr>
              <w:rPr>
                <w:rFonts w:ascii="宋体"/>
              </w:rPr>
            </w:pPr>
          </w:p>
        </w:tc>
        <w:tc>
          <w:tcPr>
            <w:tcW w:w="50" w:type="pct"/>
            <w:shd w:val="clear" w:color="auto" w:fill="auto"/>
          </w:tcPr>
          <w:p w14:paraId="33DAAD04" w14:textId="77777777" w:rsidR="004D6A64" w:rsidRDefault="004D6A64">
            <w:pPr>
              <w:rPr>
                <w:rFonts w:ascii="宋体"/>
              </w:rPr>
            </w:pPr>
          </w:p>
        </w:tc>
        <w:tc>
          <w:tcPr>
            <w:tcW w:w="354" w:type="pct"/>
            <w:shd w:val="clear" w:color="auto" w:fill="auto"/>
          </w:tcPr>
          <w:p w14:paraId="33DAAD05" w14:textId="77777777" w:rsidR="004D6A64" w:rsidRDefault="004D6A64">
            <w:pPr>
              <w:rPr>
                <w:rFonts w:ascii="宋体"/>
              </w:rPr>
            </w:pPr>
          </w:p>
        </w:tc>
        <w:tc>
          <w:tcPr>
            <w:tcW w:w="5" w:type="pct"/>
            <w:shd w:val="clear" w:color="auto" w:fill="auto"/>
          </w:tcPr>
          <w:p w14:paraId="33DAAD06" w14:textId="77777777" w:rsidR="004D6A64" w:rsidRDefault="004D6A64">
            <w:pPr>
              <w:rPr>
                <w:rFonts w:ascii="宋体"/>
              </w:rPr>
            </w:pPr>
          </w:p>
        </w:tc>
        <w:tc>
          <w:tcPr>
            <w:tcW w:w="5" w:type="pct"/>
            <w:shd w:val="clear" w:color="auto" w:fill="auto"/>
          </w:tcPr>
          <w:p w14:paraId="33DAAD07" w14:textId="77777777" w:rsidR="004D6A64" w:rsidRDefault="004D6A64">
            <w:pPr>
              <w:rPr>
                <w:rFonts w:ascii="宋体"/>
              </w:rPr>
            </w:pPr>
          </w:p>
        </w:tc>
        <w:tc>
          <w:tcPr>
            <w:tcW w:w="19" w:type="pct"/>
            <w:shd w:val="clear" w:color="auto" w:fill="auto"/>
          </w:tcPr>
          <w:p w14:paraId="33DAAD08" w14:textId="77777777" w:rsidR="004D6A64" w:rsidRDefault="004D6A64">
            <w:pPr>
              <w:rPr>
                <w:rFonts w:ascii="宋体"/>
              </w:rPr>
            </w:pPr>
          </w:p>
        </w:tc>
        <w:tc>
          <w:tcPr>
            <w:tcW w:w="5" w:type="pct"/>
            <w:shd w:val="clear" w:color="auto" w:fill="auto"/>
          </w:tcPr>
          <w:p w14:paraId="33DAAD09" w14:textId="77777777" w:rsidR="004D6A64" w:rsidRDefault="004D6A64">
            <w:pPr>
              <w:rPr>
                <w:rFonts w:ascii="宋体"/>
              </w:rPr>
            </w:pPr>
          </w:p>
        </w:tc>
        <w:tc>
          <w:tcPr>
            <w:tcW w:w="50" w:type="pct"/>
            <w:shd w:val="clear" w:color="auto" w:fill="auto"/>
          </w:tcPr>
          <w:p w14:paraId="33DAAD0A" w14:textId="77777777" w:rsidR="004D6A64" w:rsidRDefault="004D6A64">
            <w:pPr>
              <w:rPr>
                <w:rFonts w:ascii="宋体"/>
              </w:rPr>
            </w:pPr>
          </w:p>
        </w:tc>
        <w:tc>
          <w:tcPr>
            <w:tcW w:w="354" w:type="pct"/>
            <w:shd w:val="clear" w:color="auto" w:fill="auto"/>
          </w:tcPr>
          <w:p w14:paraId="33DAAD0B" w14:textId="77777777" w:rsidR="004D6A64" w:rsidRDefault="004D6A64">
            <w:pPr>
              <w:rPr>
                <w:rFonts w:ascii="宋体"/>
              </w:rPr>
            </w:pPr>
          </w:p>
        </w:tc>
        <w:tc>
          <w:tcPr>
            <w:tcW w:w="5" w:type="pct"/>
            <w:shd w:val="clear" w:color="auto" w:fill="auto"/>
          </w:tcPr>
          <w:p w14:paraId="33DAAD0C" w14:textId="77777777" w:rsidR="004D6A64" w:rsidRDefault="004D6A64">
            <w:pPr>
              <w:rPr>
                <w:rFonts w:ascii="宋体"/>
              </w:rPr>
            </w:pPr>
          </w:p>
        </w:tc>
        <w:tc>
          <w:tcPr>
            <w:tcW w:w="5" w:type="pct"/>
            <w:shd w:val="clear" w:color="auto" w:fill="auto"/>
          </w:tcPr>
          <w:p w14:paraId="33DAAD0D" w14:textId="77777777" w:rsidR="004D6A64" w:rsidRDefault="004D6A64">
            <w:pPr>
              <w:rPr>
                <w:rFonts w:ascii="宋体"/>
              </w:rPr>
            </w:pPr>
          </w:p>
        </w:tc>
        <w:tc>
          <w:tcPr>
            <w:tcW w:w="19" w:type="pct"/>
            <w:shd w:val="clear" w:color="auto" w:fill="auto"/>
          </w:tcPr>
          <w:p w14:paraId="33DAAD0E" w14:textId="77777777" w:rsidR="004D6A64" w:rsidRDefault="004D6A64">
            <w:pPr>
              <w:rPr>
                <w:rFonts w:ascii="宋体"/>
              </w:rPr>
            </w:pPr>
          </w:p>
        </w:tc>
        <w:tc>
          <w:tcPr>
            <w:tcW w:w="5" w:type="pct"/>
            <w:shd w:val="clear" w:color="auto" w:fill="auto"/>
          </w:tcPr>
          <w:p w14:paraId="33DAAD0F" w14:textId="77777777" w:rsidR="004D6A64" w:rsidRDefault="004D6A64">
            <w:pPr>
              <w:rPr>
                <w:rFonts w:ascii="宋体"/>
              </w:rPr>
            </w:pPr>
          </w:p>
        </w:tc>
        <w:tc>
          <w:tcPr>
            <w:tcW w:w="50" w:type="pct"/>
            <w:shd w:val="clear" w:color="auto" w:fill="auto"/>
          </w:tcPr>
          <w:p w14:paraId="33DAAD10" w14:textId="77777777" w:rsidR="004D6A64" w:rsidRDefault="004D6A64">
            <w:pPr>
              <w:rPr>
                <w:rFonts w:ascii="宋体"/>
              </w:rPr>
            </w:pPr>
          </w:p>
        </w:tc>
        <w:tc>
          <w:tcPr>
            <w:tcW w:w="551" w:type="pct"/>
            <w:shd w:val="clear" w:color="auto" w:fill="auto"/>
          </w:tcPr>
          <w:p w14:paraId="33DAAD11" w14:textId="77777777" w:rsidR="004D6A64" w:rsidRDefault="004D6A64">
            <w:pPr>
              <w:rPr>
                <w:rFonts w:ascii="宋体"/>
              </w:rPr>
            </w:pPr>
          </w:p>
        </w:tc>
        <w:tc>
          <w:tcPr>
            <w:tcW w:w="5" w:type="pct"/>
            <w:shd w:val="clear" w:color="auto" w:fill="auto"/>
          </w:tcPr>
          <w:p w14:paraId="33DAAD12" w14:textId="77777777" w:rsidR="004D6A64" w:rsidRDefault="004D6A64">
            <w:pPr>
              <w:rPr>
                <w:rFonts w:ascii="宋体"/>
              </w:rPr>
            </w:pPr>
          </w:p>
        </w:tc>
        <w:tc>
          <w:tcPr>
            <w:tcW w:w="5" w:type="pct"/>
            <w:shd w:val="clear" w:color="auto" w:fill="auto"/>
          </w:tcPr>
          <w:p w14:paraId="33DAAD13" w14:textId="77777777" w:rsidR="004D6A64" w:rsidRDefault="004D6A64">
            <w:pPr>
              <w:rPr>
                <w:rFonts w:ascii="宋体"/>
              </w:rPr>
            </w:pPr>
          </w:p>
        </w:tc>
        <w:tc>
          <w:tcPr>
            <w:tcW w:w="19" w:type="pct"/>
            <w:shd w:val="clear" w:color="auto" w:fill="auto"/>
          </w:tcPr>
          <w:p w14:paraId="33DAAD14" w14:textId="77777777" w:rsidR="004D6A64" w:rsidRDefault="004D6A64">
            <w:pPr>
              <w:rPr>
                <w:rFonts w:ascii="宋体"/>
              </w:rPr>
            </w:pPr>
          </w:p>
        </w:tc>
        <w:tc>
          <w:tcPr>
            <w:tcW w:w="5" w:type="pct"/>
            <w:shd w:val="clear" w:color="auto" w:fill="auto"/>
          </w:tcPr>
          <w:p w14:paraId="33DAAD15" w14:textId="77777777" w:rsidR="004D6A64" w:rsidRDefault="004D6A64">
            <w:pPr>
              <w:rPr>
                <w:rFonts w:ascii="宋体"/>
              </w:rPr>
            </w:pPr>
          </w:p>
        </w:tc>
        <w:tc>
          <w:tcPr>
            <w:tcW w:w="50" w:type="pct"/>
            <w:shd w:val="clear" w:color="auto" w:fill="auto"/>
          </w:tcPr>
          <w:p w14:paraId="33DAAD16" w14:textId="77777777" w:rsidR="004D6A64" w:rsidRDefault="004D6A64">
            <w:pPr>
              <w:rPr>
                <w:rFonts w:ascii="宋体"/>
              </w:rPr>
            </w:pPr>
          </w:p>
        </w:tc>
        <w:tc>
          <w:tcPr>
            <w:tcW w:w="551" w:type="pct"/>
            <w:shd w:val="clear" w:color="auto" w:fill="auto"/>
          </w:tcPr>
          <w:p w14:paraId="33DAAD17" w14:textId="77777777" w:rsidR="004D6A64" w:rsidRDefault="004D6A64">
            <w:pPr>
              <w:rPr>
                <w:rFonts w:ascii="宋体"/>
              </w:rPr>
            </w:pPr>
          </w:p>
        </w:tc>
        <w:tc>
          <w:tcPr>
            <w:tcW w:w="5" w:type="pct"/>
            <w:shd w:val="clear" w:color="auto" w:fill="auto"/>
          </w:tcPr>
          <w:p w14:paraId="33DAAD18" w14:textId="77777777" w:rsidR="004D6A64" w:rsidRDefault="004D6A64">
            <w:pPr>
              <w:rPr>
                <w:rFonts w:ascii="宋体"/>
              </w:rPr>
            </w:pPr>
          </w:p>
        </w:tc>
        <w:tc>
          <w:tcPr>
            <w:tcW w:w="5" w:type="pct"/>
            <w:shd w:val="clear" w:color="auto" w:fill="auto"/>
          </w:tcPr>
          <w:p w14:paraId="33DAAD19" w14:textId="77777777" w:rsidR="004D6A64" w:rsidRDefault="004D6A64">
            <w:pPr>
              <w:rPr>
                <w:rFonts w:ascii="宋体"/>
              </w:rPr>
            </w:pPr>
          </w:p>
        </w:tc>
        <w:tc>
          <w:tcPr>
            <w:tcW w:w="19" w:type="pct"/>
            <w:shd w:val="clear" w:color="auto" w:fill="auto"/>
          </w:tcPr>
          <w:p w14:paraId="33DAAD1A" w14:textId="77777777" w:rsidR="004D6A64" w:rsidRDefault="004D6A64">
            <w:pPr>
              <w:rPr>
                <w:rFonts w:ascii="宋体"/>
              </w:rPr>
            </w:pPr>
          </w:p>
        </w:tc>
        <w:tc>
          <w:tcPr>
            <w:tcW w:w="5" w:type="pct"/>
            <w:shd w:val="clear" w:color="auto" w:fill="auto"/>
          </w:tcPr>
          <w:p w14:paraId="33DAAD1B" w14:textId="77777777" w:rsidR="004D6A64" w:rsidRDefault="004D6A64">
            <w:pPr>
              <w:rPr>
                <w:rFonts w:ascii="宋体"/>
              </w:rPr>
            </w:pPr>
          </w:p>
        </w:tc>
        <w:tc>
          <w:tcPr>
            <w:tcW w:w="50" w:type="pct"/>
            <w:shd w:val="clear" w:color="auto" w:fill="auto"/>
          </w:tcPr>
          <w:p w14:paraId="33DAAD1C" w14:textId="77777777" w:rsidR="004D6A64" w:rsidRDefault="004D6A64">
            <w:pPr>
              <w:rPr>
                <w:rFonts w:ascii="宋体"/>
              </w:rPr>
            </w:pPr>
          </w:p>
        </w:tc>
        <w:tc>
          <w:tcPr>
            <w:tcW w:w="384" w:type="pct"/>
            <w:shd w:val="clear" w:color="auto" w:fill="auto"/>
          </w:tcPr>
          <w:p w14:paraId="33DAAD1D" w14:textId="77777777" w:rsidR="004D6A64" w:rsidRDefault="004D6A64">
            <w:pPr>
              <w:rPr>
                <w:rFonts w:ascii="宋体"/>
              </w:rPr>
            </w:pPr>
          </w:p>
        </w:tc>
        <w:tc>
          <w:tcPr>
            <w:tcW w:w="5" w:type="pct"/>
            <w:shd w:val="clear" w:color="auto" w:fill="auto"/>
          </w:tcPr>
          <w:p w14:paraId="33DAAD1E" w14:textId="77777777" w:rsidR="004D6A64" w:rsidRDefault="004D6A64">
            <w:pPr>
              <w:rPr>
                <w:rFonts w:ascii="宋体"/>
              </w:rPr>
            </w:pPr>
          </w:p>
        </w:tc>
      </w:tr>
      <w:tr w:rsidR="004D6A64" w14:paraId="33DAAD26" w14:textId="77777777">
        <w:trPr>
          <w:jc w:val="center"/>
        </w:trPr>
        <w:tc>
          <w:tcPr>
            <w:tcW w:w="0" w:type="auto"/>
            <w:gridSpan w:val="3"/>
            <w:shd w:val="clear" w:color="auto" w:fill="auto"/>
            <w:tcMar>
              <w:left w:w="20" w:type="dxa"/>
              <w:right w:w="20" w:type="dxa"/>
            </w:tcMar>
            <w:vAlign w:val="bottom"/>
          </w:tcPr>
          <w:p w14:paraId="33DAAD20" w14:textId="77777777" w:rsidR="004D6A64" w:rsidRDefault="004D6A64">
            <w:pPr>
              <w:rPr>
                <w:rFonts w:ascii="宋体"/>
              </w:rPr>
            </w:pPr>
          </w:p>
        </w:tc>
        <w:tc>
          <w:tcPr>
            <w:tcW w:w="0" w:type="auto"/>
            <w:gridSpan w:val="51"/>
            <w:shd w:val="clear" w:color="auto" w:fill="auto"/>
            <w:tcMar>
              <w:top w:w="40" w:type="dxa"/>
              <w:left w:w="20" w:type="dxa"/>
              <w:bottom w:w="40" w:type="dxa"/>
              <w:right w:w="20" w:type="dxa"/>
            </w:tcMar>
            <w:vAlign w:val="bottom"/>
          </w:tcPr>
          <w:p w14:paraId="33DAAD21"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shd w:val="clear" w:color="auto" w:fill="auto"/>
          </w:tcPr>
          <w:p w14:paraId="33DAAD22" w14:textId="77777777" w:rsidR="004D6A64" w:rsidRDefault="004D6A64">
            <w:pPr>
              <w:rPr>
                <w:rFonts w:ascii="宋体"/>
                <w:vanish/>
              </w:rPr>
            </w:pPr>
          </w:p>
        </w:tc>
        <w:tc>
          <w:tcPr>
            <w:tcW w:w="0" w:type="auto"/>
            <w:gridSpan w:val="3"/>
            <w:shd w:val="clear" w:color="auto" w:fill="auto"/>
          </w:tcPr>
          <w:p w14:paraId="33DAAD23" w14:textId="77777777" w:rsidR="004D6A64" w:rsidRDefault="004D6A64">
            <w:pPr>
              <w:rPr>
                <w:rFonts w:ascii="宋体"/>
                <w:vanish/>
              </w:rPr>
            </w:pPr>
          </w:p>
        </w:tc>
        <w:tc>
          <w:tcPr>
            <w:tcW w:w="0" w:type="auto"/>
            <w:gridSpan w:val="2"/>
            <w:shd w:val="clear" w:color="auto" w:fill="auto"/>
          </w:tcPr>
          <w:p w14:paraId="33DAAD24" w14:textId="77777777" w:rsidR="004D6A64" w:rsidRDefault="004D6A64">
            <w:pPr>
              <w:rPr>
                <w:rFonts w:ascii="宋体"/>
                <w:vanish/>
              </w:rPr>
            </w:pPr>
          </w:p>
        </w:tc>
        <w:tc>
          <w:tcPr>
            <w:tcW w:w="0" w:type="auto"/>
            <w:shd w:val="clear" w:color="auto" w:fill="auto"/>
          </w:tcPr>
          <w:p w14:paraId="33DAAD25" w14:textId="77777777" w:rsidR="004D6A64" w:rsidRDefault="004D6A64">
            <w:pPr>
              <w:rPr>
                <w:rFonts w:ascii="宋体"/>
                <w:vanish/>
              </w:rPr>
            </w:pPr>
          </w:p>
        </w:tc>
      </w:tr>
      <w:tr w:rsidR="004D6A64" w14:paraId="33DAAD33" w14:textId="77777777">
        <w:trPr>
          <w:jc w:val="center"/>
        </w:trPr>
        <w:tc>
          <w:tcPr>
            <w:tcW w:w="0" w:type="auto"/>
            <w:gridSpan w:val="3"/>
            <w:shd w:val="clear" w:color="auto" w:fill="auto"/>
            <w:tcMar>
              <w:left w:w="20" w:type="dxa"/>
              <w:right w:w="20" w:type="dxa"/>
            </w:tcMar>
            <w:vAlign w:val="bottom"/>
          </w:tcPr>
          <w:p w14:paraId="33DAAD27" w14:textId="77777777" w:rsidR="004D6A64" w:rsidRDefault="004D6A64">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33DAAD28" w14:textId="77777777" w:rsidR="004D6A64" w:rsidRDefault="00506CD6">
            <w:pPr>
              <w:jc w:val="center"/>
              <w:textAlignment w:val="bottom"/>
            </w:pPr>
            <w:r>
              <w:rPr>
                <w:rFonts w:ascii="Times New Roman" w:eastAsia="宋体" w:hAnsi="Times New Roman"/>
                <w:b/>
                <w:bCs/>
                <w:color w:val="000000"/>
                <w:sz w:val="20"/>
                <w:szCs w:val="20"/>
              </w:rPr>
              <w:t>Fixed-term — Consumer and Commercial</w:t>
            </w:r>
          </w:p>
        </w:tc>
        <w:tc>
          <w:tcPr>
            <w:tcW w:w="0" w:type="auto"/>
            <w:gridSpan w:val="3"/>
            <w:shd w:val="clear" w:color="auto" w:fill="auto"/>
          </w:tcPr>
          <w:p w14:paraId="33DAAD29" w14:textId="77777777" w:rsidR="004D6A64" w:rsidRDefault="004D6A64">
            <w:pPr>
              <w:rPr>
                <w:rFonts w:ascii="宋体"/>
                <w:vanish/>
              </w:rPr>
            </w:pPr>
          </w:p>
        </w:tc>
        <w:tc>
          <w:tcPr>
            <w:tcW w:w="0" w:type="auto"/>
            <w:gridSpan w:val="3"/>
            <w:shd w:val="clear" w:color="auto" w:fill="auto"/>
          </w:tcPr>
          <w:p w14:paraId="33DAAD2A" w14:textId="77777777" w:rsidR="004D6A64" w:rsidRDefault="004D6A64">
            <w:pPr>
              <w:rPr>
                <w:rFonts w:ascii="宋体"/>
                <w:vanish/>
              </w:rPr>
            </w:pPr>
          </w:p>
        </w:tc>
        <w:tc>
          <w:tcPr>
            <w:tcW w:w="0" w:type="auto"/>
            <w:gridSpan w:val="3"/>
            <w:shd w:val="clear" w:color="auto" w:fill="auto"/>
          </w:tcPr>
          <w:p w14:paraId="33DAAD2B" w14:textId="77777777" w:rsidR="004D6A64" w:rsidRDefault="004D6A64">
            <w:pPr>
              <w:rPr>
                <w:rFonts w:ascii="宋体"/>
                <w:vanish/>
              </w:rPr>
            </w:pPr>
          </w:p>
        </w:tc>
        <w:tc>
          <w:tcPr>
            <w:tcW w:w="0" w:type="auto"/>
            <w:gridSpan w:val="3"/>
            <w:shd w:val="clear" w:color="auto" w:fill="auto"/>
          </w:tcPr>
          <w:p w14:paraId="33DAAD2C" w14:textId="77777777" w:rsidR="004D6A64" w:rsidRDefault="004D6A64">
            <w:pPr>
              <w:rPr>
                <w:rFonts w:ascii="宋体"/>
                <w:vanish/>
              </w:rPr>
            </w:pPr>
          </w:p>
        </w:tc>
        <w:tc>
          <w:tcPr>
            <w:tcW w:w="0" w:type="auto"/>
            <w:gridSpan w:val="3"/>
            <w:shd w:val="clear" w:color="auto" w:fill="auto"/>
          </w:tcPr>
          <w:p w14:paraId="33DAAD2D" w14:textId="77777777" w:rsidR="004D6A64" w:rsidRDefault="004D6A64">
            <w:pPr>
              <w:rPr>
                <w:rFonts w:ascii="宋体"/>
                <w:vanish/>
              </w:rPr>
            </w:pPr>
          </w:p>
        </w:tc>
        <w:tc>
          <w:tcPr>
            <w:tcW w:w="0" w:type="auto"/>
            <w:gridSpan w:val="3"/>
            <w:shd w:val="clear" w:color="auto" w:fill="auto"/>
          </w:tcPr>
          <w:p w14:paraId="33DAAD2E" w14:textId="77777777" w:rsidR="004D6A64" w:rsidRDefault="004D6A64">
            <w:pPr>
              <w:rPr>
                <w:rFonts w:ascii="宋体"/>
                <w:vanish/>
              </w:rPr>
            </w:pPr>
          </w:p>
        </w:tc>
        <w:tc>
          <w:tcPr>
            <w:tcW w:w="0" w:type="auto"/>
            <w:gridSpan w:val="3"/>
            <w:shd w:val="clear" w:color="auto" w:fill="auto"/>
          </w:tcPr>
          <w:p w14:paraId="33DAAD2F" w14:textId="77777777" w:rsidR="004D6A64" w:rsidRDefault="004D6A64">
            <w:pPr>
              <w:rPr>
                <w:rFonts w:ascii="宋体"/>
                <w:vanish/>
              </w:rPr>
            </w:pPr>
          </w:p>
        </w:tc>
        <w:tc>
          <w:tcPr>
            <w:tcW w:w="0" w:type="auto"/>
            <w:gridSpan w:val="3"/>
            <w:shd w:val="clear" w:color="auto" w:fill="auto"/>
          </w:tcPr>
          <w:p w14:paraId="33DAAD30" w14:textId="77777777" w:rsidR="004D6A64" w:rsidRDefault="004D6A64">
            <w:pPr>
              <w:rPr>
                <w:rFonts w:ascii="宋体"/>
                <w:vanish/>
              </w:rPr>
            </w:pPr>
          </w:p>
        </w:tc>
        <w:tc>
          <w:tcPr>
            <w:tcW w:w="0" w:type="auto"/>
            <w:gridSpan w:val="2"/>
            <w:shd w:val="clear" w:color="auto" w:fill="auto"/>
          </w:tcPr>
          <w:p w14:paraId="33DAAD31" w14:textId="77777777" w:rsidR="004D6A64" w:rsidRDefault="004D6A64">
            <w:pPr>
              <w:rPr>
                <w:rFonts w:ascii="宋体"/>
                <w:vanish/>
              </w:rPr>
            </w:pPr>
          </w:p>
        </w:tc>
        <w:tc>
          <w:tcPr>
            <w:tcW w:w="0" w:type="auto"/>
            <w:shd w:val="clear" w:color="auto" w:fill="auto"/>
          </w:tcPr>
          <w:p w14:paraId="33DAAD32" w14:textId="77777777" w:rsidR="004D6A64" w:rsidRDefault="004D6A64">
            <w:pPr>
              <w:rPr>
                <w:rFonts w:ascii="宋体"/>
                <w:vanish/>
              </w:rPr>
            </w:pPr>
          </w:p>
        </w:tc>
      </w:tr>
      <w:tr w:rsidR="004D6A64" w14:paraId="33DAAD40" w14:textId="77777777">
        <w:trPr>
          <w:jc w:val="center"/>
        </w:trPr>
        <w:tc>
          <w:tcPr>
            <w:tcW w:w="0" w:type="auto"/>
            <w:gridSpan w:val="3"/>
            <w:shd w:val="clear" w:color="auto" w:fill="auto"/>
            <w:tcMar>
              <w:left w:w="20" w:type="dxa"/>
              <w:right w:w="20" w:type="dxa"/>
            </w:tcMar>
            <w:vAlign w:val="bottom"/>
          </w:tcPr>
          <w:p w14:paraId="33DAAD34" w14:textId="77777777" w:rsidR="004D6A64" w:rsidRDefault="004D6A64">
            <w:pPr>
              <w:rPr>
                <w:rFonts w:ascii="宋体"/>
              </w:rPr>
            </w:pPr>
          </w:p>
        </w:tc>
        <w:tc>
          <w:tcPr>
            <w:tcW w:w="0" w:type="auto"/>
            <w:gridSpan w:val="33"/>
            <w:shd w:val="clear" w:color="auto" w:fill="auto"/>
            <w:tcMar>
              <w:top w:w="40" w:type="dxa"/>
              <w:left w:w="20" w:type="dxa"/>
              <w:bottom w:w="40" w:type="dxa"/>
              <w:right w:w="20" w:type="dxa"/>
            </w:tcMar>
            <w:vAlign w:val="bottom"/>
          </w:tcPr>
          <w:p w14:paraId="33DAAD35" w14:textId="77777777" w:rsidR="004D6A64" w:rsidRDefault="00506CD6">
            <w:pPr>
              <w:jc w:val="center"/>
              <w:textAlignment w:val="bottom"/>
            </w:pPr>
            <w:r>
              <w:rPr>
                <w:rFonts w:ascii="Times New Roman" w:eastAsia="宋体" w:hAnsi="Times New Roman"/>
                <w:b/>
                <w:bCs/>
                <w:color w:val="000000"/>
                <w:sz w:val="20"/>
                <w:szCs w:val="20"/>
              </w:rPr>
              <w:t>Fiscal Year of Origination</w:t>
            </w:r>
          </w:p>
        </w:tc>
        <w:tc>
          <w:tcPr>
            <w:tcW w:w="0" w:type="auto"/>
            <w:gridSpan w:val="3"/>
            <w:shd w:val="clear" w:color="auto" w:fill="auto"/>
          </w:tcPr>
          <w:p w14:paraId="33DAAD36" w14:textId="77777777" w:rsidR="004D6A64" w:rsidRDefault="004D6A64">
            <w:pPr>
              <w:rPr>
                <w:rFonts w:ascii="宋体"/>
                <w:vanish/>
              </w:rPr>
            </w:pPr>
          </w:p>
        </w:tc>
        <w:tc>
          <w:tcPr>
            <w:tcW w:w="0" w:type="auto"/>
            <w:gridSpan w:val="3"/>
            <w:shd w:val="clear" w:color="auto" w:fill="auto"/>
          </w:tcPr>
          <w:p w14:paraId="33DAAD37" w14:textId="77777777" w:rsidR="004D6A64" w:rsidRDefault="004D6A64">
            <w:pPr>
              <w:rPr>
                <w:rFonts w:ascii="宋体"/>
                <w:vanish/>
              </w:rPr>
            </w:pPr>
          </w:p>
        </w:tc>
        <w:tc>
          <w:tcPr>
            <w:tcW w:w="0" w:type="auto"/>
            <w:gridSpan w:val="3"/>
            <w:shd w:val="clear" w:color="auto" w:fill="auto"/>
          </w:tcPr>
          <w:p w14:paraId="33DAAD38" w14:textId="77777777" w:rsidR="004D6A64" w:rsidRDefault="004D6A64">
            <w:pPr>
              <w:rPr>
                <w:rFonts w:ascii="宋体"/>
                <w:vanish/>
              </w:rPr>
            </w:pPr>
          </w:p>
        </w:tc>
        <w:tc>
          <w:tcPr>
            <w:tcW w:w="0" w:type="auto"/>
            <w:gridSpan w:val="3"/>
            <w:shd w:val="clear" w:color="auto" w:fill="auto"/>
          </w:tcPr>
          <w:p w14:paraId="33DAAD39" w14:textId="77777777" w:rsidR="004D6A64" w:rsidRDefault="004D6A64">
            <w:pPr>
              <w:rPr>
                <w:rFonts w:ascii="宋体"/>
                <w:vanish/>
              </w:rPr>
            </w:pPr>
          </w:p>
        </w:tc>
        <w:tc>
          <w:tcPr>
            <w:tcW w:w="0" w:type="auto"/>
            <w:gridSpan w:val="3"/>
            <w:shd w:val="clear" w:color="auto" w:fill="auto"/>
          </w:tcPr>
          <w:p w14:paraId="33DAAD3A" w14:textId="77777777" w:rsidR="004D6A64" w:rsidRDefault="004D6A64">
            <w:pPr>
              <w:rPr>
                <w:rFonts w:ascii="宋体"/>
                <w:vanish/>
              </w:rPr>
            </w:pPr>
          </w:p>
        </w:tc>
        <w:tc>
          <w:tcPr>
            <w:tcW w:w="0" w:type="auto"/>
            <w:gridSpan w:val="3"/>
            <w:shd w:val="clear" w:color="auto" w:fill="auto"/>
          </w:tcPr>
          <w:p w14:paraId="33DAAD3B" w14:textId="77777777" w:rsidR="004D6A64" w:rsidRDefault="004D6A64">
            <w:pPr>
              <w:rPr>
                <w:rFonts w:ascii="宋体"/>
                <w:vanish/>
              </w:rPr>
            </w:pPr>
          </w:p>
        </w:tc>
        <w:tc>
          <w:tcPr>
            <w:tcW w:w="0" w:type="auto"/>
            <w:gridSpan w:val="3"/>
            <w:shd w:val="clear" w:color="auto" w:fill="auto"/>
          </w:tcPr>
          <w:p w14:paraId="33DAAD3C" w14:textId="77777777" w:rsidR="004D6A64" w:rsidRDefault="004D6A64">
            <w:pPr>
              <w:rPr>
                <w:rFonts w:ascii="宋体"/>
                <w:vanish/>
              </w:rPr>
            </w:pPr>
          </w:p>
        </w:tc>
        <w:tc>
          <w:tcPr>
            <w:tcW w:w="0" w:type="auto"/>
            <w:gridSpan w:val="3"/>
            <w:shd w:val="clear" w:color="auto" w:fill="auto"/>
          </w:tcPr>
          <w:p w14:paraId="33DAAD3D" w14:textId="77777777" w:rsidR="004D6A64" w:rsidRDefault="004D6A64">
            <w:pPr>
              <w:rPr>
                <w:rFonts w:ascii="宋体"/>
                <w:vanish/>
              </w:rPr>
            </w:pPr>
          </w:p>
        </w:tc>
        <w:tc>
          <w:tcPr>
            <w:tcW w:w="0" w:type="auto"/>
            <w:gridSpan w:val="2"/>
            <w:shd w:val="clear" w:color="auto" w:fill="auto"/>
          </w:tcPr>
          <w:p w14:paraId="33DAAD3E" w14:textId="77777777" w:rsidR="004D6A64" w:rsidRDefault="004D6A64">
            <w:pPr>
              <w:rPr>
                <w:rFonts w:ascii="宋体"/>
                <w:vanish/>
              </w:rPr>
            </w:pPr>
          </w:p>
        </w:tc>
        <w:tc>
          <w:tcPr>
            <w:tcW w:w="0" w:type="auto"/>
            <w:shd w:val="clear" w:color="auto" w:fill="auto"/>
          </w:tcPr>
          <w:p w14:paraId="33DAAD3F" w14:textId="77777777" w:rsidR="004D6A64" w:rsidRDefault="004D6A64">
            <w:pPr>
              <w:rPr>
                <w:rFonts w:ascii="宋体"/>
                <w:vanish/>
              </w:rPr>
            </w:pPr>
          </w:p>
        </w:tc>
      </w:tr>
      <w:tr w:rsidR="004D6A64" w14:paraId="33DAAD5C" w14:textId="77777777">
        <w:trPr>
          <w:jc w:val="center"/>
        </w:trPr>
        <w:tc>
          <w:tcPr>
            <w:tcW w:w="0" w:type="auto"/>
            <w:gridSpan w:val="3"/>
            <w:shd w:val="clear" w:color="auto" w:fill="auto"/>
            <w:tcMar>
              <w:left w:w="20" w:type="dxa"/>
              <w:right w:w="20" w:type="dxa"/>
            </w:tcMar>
            <w:vAlign w:val="bottom"/>
          </w:tcPr>
          <w:p w14:paraId="33DAAD41"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AD42" w14:textId="77777777" w:rsidR="004D6A64" w:rsidRDefault="00506CD6">
            <w:pPr>
              <w:jc w:val="center"/>
              <w:textAlignment w:val="bottom"/>
            </w:pPr>
            <w:r>
              <w:rPr>
                <w:rFonts w:ascii="Times New Roman" w:eastAsia="宋体" w:hAnsi="Times New Roman"/>
                <w:b/>
                <w:bCs/>
                <w:color w:val="000000"/>
                <w:sz w:val="20"/>
                <w:szCs w:val="20"/>
              </w:rPr>
              <w:t>2021</w:t>
            </w:r>
          </w:p>
        </w:tc>
        <w:tc>
          <w:tcPr>
            <w:tcW w:w="0" w:type="auto"/>
            <w:gridSpan w:val="3"/>
            <w:tcBorders>
              <w:top w:val="single" w:sz="8" w:space="0" w:color="000000"/>
            </w:tcBorders>
            <w:shd w:val="clear" w:color="auto" w:fill="auto"/>
            <w:tcMar>
              <w:left w:w="20" w:type="dxa"/>
              <w:right w:w="20" w:type="dxa"/>
            </w:tcMar>
            <w:vAlign w:val="bottom"/>
          </w:tcPr>
          <w:p w14:paraId="33DAAD43"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D44" w14:textId="77777777" w:rsidR="004D6A64" w:rsidRDefault="00506CD6">
            <w:pPr>
              <w:jc w:val="center"/>
              <w:textAlignment w:val="bottom"/>
            </w:pPr>
            <w:r>
              <w:rPr>
                <w:rFonts w:ascii="Times New Roman" w:eastAsia="宋体" w:hAnsi="Times New Roman"/>
                <w:b/>
                <w:bCs/>
                <w:color w:val="000000"/>
                <w:sz w:val="20"/>
                <w:szCs w:val="20"/>
              </w:rPr>
              <w:t>2020</w:t>
            </w:r>
          </w:p>
        </w:tc>
        <w:tc>
          <w:tcPr>
            <w:tcW w:w="0" w:type="auto"/>
            <w:gridSpan w:val="3"/>
            <w:tcBorders>
              <w:top w:val="single" w:sz="8" w:space="0" w:color="000000"/>
            </w:tcBorders>
            <w:shd w:val="clear" w:color="auto" w:fill="auto"/>
            <w:tcMar>
              <w:left w:w="20" w:type="dxa"/>
              <w:right w:w="20" w:type="dxa"/>
            </w:tcMar>
            <w:vAlign w:val="bottom"/>
          </w:tcPr>
          <w:p w14:paraId="33DAAD45"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D46" w14:textId="77777777" w:rsidR="004D6A64" w:rsidRDefault="00506CD6">
            <w:pPr>
              <w:jc w:val="center"/>
              <w:textAlignment w:val="bottom"/>
            </w:pPr>
            <w:r>
              <w:rPr>
                <w:rFonts w:ascii="Times New Roman" w:eastAsia="宋体" w:hAnsi="Times New Roman"/>
                <w:b/>
                <w:bCs/>
                <w:color w:val="000000"/>
                <w:sz w:val="20"/>
                <w:szCs w:val="20"/>
              </w:rPr>
              <w:t>2019</w:t>
            </w:r>
          </w:p>
        </w:tc>
        <w:tc>
          <w:tcPr>
            <w:tcW w:w="0" w:type="auto"/>
            <w:gridSpan w:val="3"/>
            <w:tcBorders>
              <w:top w:val="single" w:sz="8" w:space="0" w:color="000000"/>
            </w:tcBorders>
            <w:shd w:val="clear" w:color="auto" w:fill="auto"/>
            <w:tcMar>
              <w:left w:w="20" w:type="dxa"/>
              <w:right w:w="20" w:type="dxa"/>
            </w:tcMar>
            <w:vAlign w:val="bottom"/>
          </w:tcPr>
          <w:p w14:paraId="33DAAD47"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D48" w14:textId="77777777" w:rsidR="004D6A64" w:rsidRDefault="00506CD6">
            <w:pPr>
              <w:jc w:val="center"/>
              <w:textAlignment w:val="bottom"/>
            </w:pPr>
            <w:r>
              <w:rPr>
                <w:rFonts w:ascii="Times New Roman" w:eastAsia="宋体" w:hAnsi="Times New Roman"/>
                <w:b/>
                <w:bCs/>
                <w:color w:val="000000"/>
                <w:sz w:val="20"/>
                <w:szCs w:val="20"/>
              </w:rPr>
              <w:t>2018</w:t>
            </w:r>
          </w:p>
        </w:tc>
        <w:tc>
          <w:tcPr>
            <w:tcW w:w="0" w:type="auto"/>
            <w:gridSpan w:val="3"/>
            <w:tcBorders>
              <w:top w:val="single" w:sz="8" w:space="0" w:color="000000"/>
            </w:tcBorders>
            <w:shd w:val="clear" w:color="auto" w:fill="auto"/>
            <w:tcMar>
              <w:left w:w="20" w:type="dxa"/>
              <w:right w:w="20" w:type="dxa"/>
            </w:tcMar>
            <w:vAlign w:val="bottom"/>
          </w:tcPr>
          <w:p w14:paraId="33DAAD49"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D4A" w14:textId="77777777" w:rsidR="004D6A64" w:rsidRDefault="00506CD6">
            <w:pPr>
              <w:jc w:val="center"/>
              <w:textAlignment w:val="bottom"/>
            </w:pPr>
            <w:r>
              <w:rPr>
                <w:rFonts w:ascii="Times New Roman" w:eastAsia="宋体" w:hAnsi="Times New Roman"/>
                <w:b/>
                <w:bCs/>
                <w:color w:val="000000"/>
                <w:sz w:val="20"/>
                <w:szCs w:val="20"/>
              </w:rPr>
              <w:t>2017</w:t>
            </w:r>
          </w:p>
        </w:tc>
        <w:tc>
          <w:tcPr>
            <w:tcW w:w="0" w:type="auto"/>
            <w:gridSpan w:val="3"/>
            <w:tcBorders>
              <w:top w:val="single" w:sz="8" w:space="0" w:color="000000"/>
            </w:tcBorders>
            <w:shd w:val="clear" w:color="auto" w:fill="auto"/>
            <w:tcMar>
              <w:left w:w="20" w:type="dxa"/>
              <w:right w:w="20" w:type="dxa"/>
            </w:tcMar>
            <w:vAlign w:val="bottom"/>
          </w:tcPr>
          <w:p w14:paraId="33DAAD4B"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D4C" w14:textId="77777777" w:rsidR="004D6A64" w:rsidRDefault="00506CD6">
            <w:pPr>
              <w:jc w:val="center"/>
              <w:textAlignment w:val="bottom"/>
            </w:pPr>
            <w:r>
              <w:rPr>
                <w:rFonts w:ascii="Times New Roman" w:eastAsia="宋体" w:hAnsi="Times New Roman"/>
                <w:b/>
                <w:bCs/>
                <w:color w:val="000000"/>
                <w:sz w:val="20"/>
                <w:szCs w:val="20"/>
              </w:rPr>
              <w:t>Years Prior</w:t>
            </w:r>
          </w:p>
        </w:tc>
        <w:tc>
          <w:tcPr>
            <w:tcW w:w="0" w:type="auto"/>
            <w:gridSpan w:val="3"/>
            <w:shd w:val="clear" w:color="auto" w:fill="auto"/>
            <w:tcMar>
              <w:left w:w="20" w:type="dxa"/>
              <w:right w:w="20" w:type="dxa"/>
            </w:tcMar>
            <w:vAlign w:val="bottom"/>
          </w:tcPr>
          <w:p w14:paraId="33DAAD4D" w14:textId="77777777" w:rsidR="004D6A64" w:rsidRDefault="004D6A6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3DAAD4E" w14:textId="77777777" w:rsidR="004D6A64" w:rsidRDefault="00506CD6">
            <w:pPr>
              <w:jc w:val="center"/>
              <w:textAlignment w:val="bottom"/>
            </w:pPr>
            <w:r>
              <w:rPr>
                <w:rFonts w:ascii="Times New Roman" w:eastAsia="宋体" w:hAnsi="Times New Roman"/>
                <w:b/>
                <w:bCs/>
                <w:color w:val="000000"/>
                <w:sz w:val="20"/>
                <w:szCs w:val="20"/>
              </w:rPr>
              <w:t>Revolving — DPA (a)</w:t>
            </w:r>
          </w:p>
        </w:tc>
        <w:tc>
          <w:tcPr>
            <w:tcW w:w="0" w:type="auto"/>
            <w:gridSpan w:val="3"/>
            <w:shd w:val="clear" w:color="auto" w:fill="auto"/>
            <w:tcMar>
              <w:left w:w="20" w:type="dxa"/>
              <w:right w:w="20" w:type="dxa"/>
            </w:tcMar>
            <w:vAlign w:val="bottom"/>
          </w:tcPr>
          <w:p w14:paraId="33DAAD4F" w14:textId="77777777" w:rsidR="004D6A64" w:rsidRDefault="004D6A6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3DAAD50" w14:textId="77777777" w:rsidR="004D6A64" w:rsidRDefault="00506CD6">
            <w:pPr>
              <w:jc w:val="center"/>
              <w:textAlignment w:val="bottom"/>
            </w:pPr>
            <w:r>
              <w:rPr>
                <w:rFonts w:ascii="Times New Roman" w:eastAsia="宋体" w:hAnsi="Times New Roman"/>
                <w:b/>
                <w:bCs/>
                <w:color w:val="000000"/>
                <w:sz w:val="20"/>
                <w:szCs w:val="20"/>
              </w:rPr>
              <w:t>Revolving — DBC (a)</w:t>
            </w:r>
          </w:p>
        </w:tc>
        <w:tc>
          <w:tcPr>
            <w:tcW w:w="0" w:type="auto"/>
            <w:gridSpan w:val="3"/>
            <w:shd w:val="clear" w:color="auto" w:fill="auto"/>
            <w:tcMar>
              <w:left w:w="20" w:type="dxa"/>
              <w:right w:w="20" w:type="dxa"/>
            </w:tcMar>
            <w:vAlign w:val="bottom"/>
          </w:tcPr>
          <w:p w14:paraId="33DAAD51" w14:textId="77777777" w:rsidR="004D6A64" w:rsidRDefault="004D6A6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3DAAD52" w14:textId="77777777" w:rsidR="004D6A64" w:rsidRDefault="00506CD6">
            <w:pPr>
              <w:jc w:val="center"/>
              <w:textAlignment w:val="bottom"/>
            </w:pPr>
            <w:r>
              <w:rPr>
                <w:rFonts w:ascii="Times New Roman" w:eastAsia="宋体" w:hAnsi="Times New Roman"/>
                <w:b/>
                <w:bCs/>
                <w:color w:val="000000"/>
                <w:sz w:val="20"/>
                <w:szCs w:val="20"/>
              </w:rPr>
              <w:t>Total</w:t>
            </w:r>
          </w:p>
        </w:tc>
        <w:tc>
          <w:tcPr>
            <w:tcW w:w="0" w:type="auto"/>
            <w:shd w:val="clear" w:color="auto" w:fill="auto"/>
          </w:tcPr>
          <w:p w14:paraId="33DAAD53" w14:textId="77777777" w:rsidR="004D6A64" w:rsidRDefault="004D6A64">
            <w:pPr>
              <w:rPr>
                <w:rFonts w:ascii="宋体"/>
              </w:rPr>
            </w:pPr>
          </w:p>
        </w:tc>
        <w:tc>
          <w:tcPr>
            <w:tcW w:w="0" w:type="auto"/>
            <w:shd w:val="clear" w:color="auto" w:fill="auto"/>
          </w:tcPr>
          <w:p w14:paraId="33DAAD54" w14:textId="77777777" w:rsidR="004D6A64" w:rsidRDefault="004D6A64">
            <w:pPr>
              <w:rPr>
                <w:rFonts w:ascii="宋体"/>
              </w:rPr>
            </w:pPr>
          </w:p>
        </w:tc>
        <w:tc>
          <w:tcPr>
            <w:tcW w:w="0" w:type="auto"/>
            <w:shd w:val="clear" w:color="auto" w:fill="auto"/>
          </w:tcPr>
          <w:p w14:paraId="33DAAD55" w14:textId="77777777" w:rsidR="004D6A64" w:rsidRDefault="004D6A64">
            <w:pPr>
              <w:rPr>
                <w:rFonts w:ascii="宋体"/>
              </w:rPr>
            </w:pPr>
          </w:p>
        </w:tc>
        <w:tc>
          <w:tcPr>
            <w:tcW w:w="0" w:type="auto"/>
            <w:shd w:val="clear" w:color="auto" w:fill="auto"/>
          </w:tcPr>
          <w:p w14:paraId="33DAAD56" w14:textId="77777777" w:rsidR="004D6A64" w:rsidRDefault="004D6A64">
            <w:pPr>
              <w:rPr>
                <w:rFonts w:ascii="宋体"/>
              </w:rPr>
            </w:pPr>
          </w:p>
        </w:tc>
        <w:tc>
          <w:tcPr>
            <w:tcW w:w="0" w:type="auto"/>
            <w:shd w:val="clear" w:color="auto" w:fill="auto"/>
          </w:tcPr>
          <w:p w14:paraId="33DAAD57" w14:textId="77777777" w:rsidR="004D6A64" w:rsidRDefault="004D6A64">
            <w:pPr>
              <w:rPr>
                <w:rFonts w:ascii="宋体"/>
              </w:rPr>
            </w:pPr>
          </w:p>
        </w:tc>
        <w:tc>
          <w:tcPr>
            <w:tcW w:w="0" w:type="auto"/>
            <w:shd w:val="clear" w:color="auto" w:fill="auto"/>
          </w:tcPr>
          <w:p w14:paraId="33DAAD58" w14:textId="77777777" w:rsidR="004D6A64" w:rsidRDefault="004D6A64">
            <w:pPr>
              <w:rPr>
                <w:rFonts w:ascii="宋体"/>
              </w:rPr>
            </w:pPr>
          </w:p>
        </w:tc>
        <w:tc>
          <w:tcPr>
            <w:tcW w:w="0" w:type="auto"/>
            <w:shd w:val="clear" w:color="auto" w:fill="auto"/>
          </w:tcPr>
          <w:p w14:paraId="33DAAD59" w14:textId="77777777" w:rsidR="004D6A64" w:rsidRDefault="004D6A64">
            <w:pPr>
              <w:rPr>
                <w:rFonts w:ascii="宋体"/>
              </w:rPr>
            </w:pPr>
          </w:p>
        </w:tc>
        <w:tc>
          <w:tcPr>
            <w:tcW w:w="0" w:type="auto"/>
            <w:shd w:val="clear" w:color="auto" w:fill="auto"/>
          </w:tcPr>
          <w:p w14:paraId="33DAAD5A" w14:textId="77777777" w:rsidR="004D6A64" w:rsidRDefault="004D6A64">
            <w:pPr>
              <w:rPr>
                <w:rFonts w:ascii="宋体"/>
              </w:rPr>
            </w:pPr>
          </w:p>
        </w:tc>
        <w:tc>
          <w:tcPr>
            <w:tcW w:w="0" w:type="auto"/>
            <w:shd w:val="clear" w:color="auto" w:fill="auto"/>
          </w:tcPr>
          <w:p w14:paraId="33DAAD5B" w14:textId="77777777" w:rsidR="004D6A64" w:rsidRDefault="004D6A64">
            <w:pPr>
              <w:rPr>
                <w:rFonts w:ascii="宋体"/>
              </w:rPr>
            </w:pPr>
          </w:p>
        </w:tc>
      </w:tr>
      <w:tr w:rsidR="004D6A64" w14:paraId="33DAAD63" w14:textId="77777777">
        <w:trPr>
          <w:jc w:val="center"/>
        </w:trPr>
        <w:tc>
          <w:tcPr>
            <w:tcW w:w="0" w:type="auto"/>
            <w:gridSpan w:val="3"/>
            <w:shd w:val="clear" w:color="auto" w:fill="auto"/>
            <w:tcMar>
              <w:left w:w="20" w:type="dxa"/>
              <w:right w:w="20" w:type="dxa"/>
            </w:tcMar>
            <w:vAlign w:val="bottom"/>
          </w:tcPr>
          <w:p w14:paraId="33DAAD5D" w14:textId="77777777" w:rsidR="004D6A64" w:rsidRDefault="004D6A64">
            <w:pPr>
              <w:rPr>
                <w:rFonts w:ascii="宋体"/>
              </w:rPr>
            </w:pPr>
          </w:p>
        </w:tc>
        <w:tc>
          <w:tcPr>
            <w:tcW w:w="0" w:type="auto"/>
            <w:gridSpan w:val="51"/>
            <w:tcBorders>
              <w:top w:val="single" w:sz="8" w:space="0" w:color="000000"/>
            </w:tcBorders>
            <w:shd w:val="clear" w:color="auto" w:fill="auto"/>
            <w:tcMar>
              <w:top w:w="40" w:type="dxa"/>
              <w:left w:w="20" w:type="dxa"/>
              <w:bottom w:w="40" w:type="dxa"/>
              <w:right w:w="20" w:type="dxa"/>
            </w:tcMar>
            <w:vAlign w:val="center"/>
          </w:tcPr>
          <w:p w14:paraId="33DAAD5E" w14:textId="77777777" w:rsidR="004D6A64" w:rsidRDefault="00506CD6">
            <w:pPr>
              <w:jc w:val="center"/>
              <w:textAlignment w:val="center"/>
            </w:pPr>
            <w:r>
              <w:rPr>
                <w:rFonts w:ascii="Times New Roman" w:eastAsia="宋体" w:hAnsi="Times New Roman"/>
                <w:color w:val="000000"/>
                <w:sz w:val="20"/>
                <w:szCs w:val="20"/>
              </w:rPr>
              <w:t xml:space="preserve">(in </w:t>
            </w:r>
            <w:r>
              <w:rPr>
                <w:rFonts w:ascii="Times New Roman" w:eastAsia="宋体" w:hAnsi="Times New Roman"/>
                <w:color w:val="000000"/>
                <w:sz w:val="20"/>
                <w:szCs w:val="20"/>
              </w:rPr>
              <w:t>millions)</w:t>
            </w:r>
          </w:p>
        </w:tc>
        <w:tc>
          <w:tcPr>
            <w:tcW w:w="0" w:type="auto"/>
            <w:gridSpan w:val="3"/>
            <w:shd w:val="clear" w:color="auto" w:fill="auto"/>
          </w:tcPr>
          <w:p w14:paraId="33DAAD5F" w14:textId="77777777" w:rsidR="004D6A64" w:rsidRDefault="004D6A64">
            <w:pPr>
              <w:rPr>
                <w:rFonts w:ascii="宋体"/>
                <w:vanish/>
              </w:rPr>
            </w:pPr>
          </w:p>
        </w:tc>
        <w:tc>
          <w:tcPr>
            <w:tcW w:w="0" w:type="auto"/>
            <w:gridSpan w:val="3"/>
            <w:shd w:val="clear" w:color="auto" w:fill="auto"/>
          </w:tcPr>
          <w:p w14:paraId="33DAAD60" w14:textId="77777777" w:rsidR="004D6A64" w:rsidRDefault="004D6A64">
            <w:pPr>
              <w:rPr>
                <w:rFonts w:ascii="宋体"/>
                <w:vanish/>
              </w:rPr>
            </w:pPr>
          </w:p>
        </w:tc>
        <w:tc>
          <w:tcPr>
            <w:tcW w:w="0" w:type="auto"/>
            <w:gridSpan w:val="2"/>
            <w:shd w:val="clear" w:color="auto" w:fill="auto"/>
          </w:tcPr>
          <w:p w14:paraId="33DAAD61" w14:textId="77777777" w:rsidR="004D6A64" w:rsidRDefault="004D6A64">
            <w:pPr>
              <w:rPr>
                <w:rFonts w:ascii="宋体"/>
                <w:vanish/>
              </w:rPr>
            </w:pPr>
          </w:p>
        </w:tc>
        <w:tc>
          <w:tcPr>
            <w:tcW w:w="0" w:type="auto"/>
            <w:shd w:val="clear" w:color="auto" w:fill="auto"/>
          </w:tcPr>
          <w:p w14:paraId="33DAAD62" w14:textId="77777777" w:rsidR="004D6A64" w:rsidRDefault="004D6A64">
            <w:pPr>
              <w:rPr>
                <w:rFonts w:ascii="宋体"/>
                <w:vanish/>
              </w:rPr>
            </w:pPr>
          </w:p>
        </w:tc>
      </w:tr>
      <w:tr w:rsidR="00506CD6" w14:paraId="33DAAD91" w14:textId="77777777">
        <w:trPr>
          <w:jc w:val="center"/>
        </w:trPr>
        <w:tc>
          <w:tcPr>
            <w:tcW w:w="0" w:type="auto"/>
            <w:gridSpan w:val="3"/>
            <w:shd w:val="clear" w:color="auto" w:fill="CCEEFF"/>
            <w:tcMar>
              <w:top w:w="40" w:type="dxa"/>
              <w:left w:w="20" w:type="dxa"/>
              <w:bottom w:w="40" w:type="dxa"/>
              <w:right w:w="20" w:type="dxa"/>
            </w:tcMar>
            <w:vAlign w:val="center"/>
          </w:tcPr>
          <w:p w14:paraId="33DAAD64" w14:textId="77777777" w:rsidR="004D6A64" w:rsidRDefault="00506CD6">
            <w:pPr>
              <w:textAlignment w:val="center"/>
            </w:pPr>
            <w:r>
              <w:rPr>
                <w:rFonts w:ascii="Times New Roman" w:eastAsia="宋体" w:hAnsi="Times New Roman"/>
                <w:color w:val="000000"/>
                <w:sz w:val="20"/>
                <w:szCs w:val="20"/>
              </w:rPr>
              <w:t>Higher</w:t>
            </w:r>
          </w:p>
        </w:tc>
        <w:tc>
          <w:tcPr>
            <w:tcW w:w="0" w:type="auto"/>
            <w:shd w:val="clear" w:color="auto" w:fill="CCEEFF"/>
            <w:tcMar>
              <w:top w:w="40" w:type="dxa"/>
              <w:left w:w="20" w:type="dxa"/>
              <w:bottom w:w="40" w:type="dxa"/>
            </w:tcMar>
            <w:vAlign w:val="center"/>
          </w:tcPr>
          <w:p w14:paraId="33DAAD65"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D66" w14:textId="77777777" w:rsidR="004D6A64" w:rsidRDefault="00506CD6">
            <w:pPr>
              <w:jc w:val="right"/>
              <w:textAlignment w:val="center"/>
            </w:pPr>
            <w:r>
              <w:rPr>
                <w:rFonts w:ascii="Times New Roman" w:eastAsia="宋体" w:hAnsi="Times New Roman"/>
                <w:color w:val="000000"/>
                <w:sz w:val="20"/>
                <w:szCs w:val="20"/>
              </w:rPr>
              <w:t>2,019 </w:t>
            </w:r>
          </w:p>
        </w:tc>
        <w:tc>
          <w:tcPr>
            <w:tcW w:w="0" w:type="auto"/>
            <w:shd w:val="clear" w:color="auto" w:fill="CCEEFF"/>
            <w:tcMar>
              <w:top w:w="40" w:type="dxa"/>
              <w:bottom w:w="40" w:type="dxa"/>
              <w:right w:w="20" w:type="dxa"/>
            </w:tcMar>
            <w:vAlign w:val="center"/>
          </w:tcPr>
          <w:p w14:paraId="33DAAD6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D68"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D69"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D6A" w14:textId="77777777" w:rsidR="004D6A64" w:rsidRDefault="00506CD6">
            <w:pPr>
              <w:jc w:val="right"/>
              <w:textAlignment w:val="center"/>
            </w:pPr>
            <w:r>
              <w:rPr>
                <w:rFonts w:ascii="Times New Roman" w:eastAsia="宋体" w:hAnsi="Times New Roman"/>
                <w:color w:val="000000"/>
                <w:sz w:val="20"/>
                <w:szCs w:val="20"/>
              </w:rPr>
              <w:t>2,265 </w:t>
            </w:r>
          </w:p>
        </w:tc>
        <w:tc>
          <w:tcPr>
            <w:tcW w:w="0" w:type="auto"/>
            <w:shd w:val="clear" w:color="auto" w:fill="CCEEFF"/>
            <w:tcMar>
              <w:top w:w="40" w:type="dxa"/>
              <w:bottom w:w="40" w:type="dxa"/>
              <w:right w:w="20" w:type="dxa"/>
            </w:tcMar>
            <w:vAlign w:val="center"/>
          </w:tcPr>
          <w:p w14:paraId="33DAAD6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D6C"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D6D"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D6E" w14:textId="77777777" w:rsidR="004D6A64" w:rsidRDefault="00506CD6">
            <w:pPr>
              <w:jc w:val="right"/>
              <w:textAlignment w:val="center"/>
            </w:pPr>
            <w:r>
              <w:rPr>
                <w:rFonts w:ascii="Times New Roman" w:eastAsia="宋体" w:hAnsi="Times New Roman"/>
                <w:color w:val="000000"/>
                <w:sz w:val="20"/>
                <w:szCs w:val="20"/>
              </w:rPr>
              <w:t>992 </w:t>
            </w:r>
          </w:p>
        </w:tc>
        <w:tc>
          <w:tcPr>
            <w:tcW w:w="0" w:type="auto"/>
            <w:shd w:val="clear" w:color="auto" w:fill="CCEEFF"/>
            <w:tcMar>
              <w:top w:w="40" w:type="dxa"/>
              <w:bottom w:w="40" w:type="dxa"/>
              <w:right w:w="20" w:type="dxa"/>
            </w:tcMar>
            <w:vAlign w:val="center"/>
          </w:tcPr>
          <w:p w14:paraId="33DAAD6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D70"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D71"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D72" w14:textId="77777777" w:rsidR="004D6A64" w:rsidRDefault="00506CD6">
            <w:pPr>
              <w:jc w:val="right"/>
              <w:textAlignment w:val="center"/>
            </w:pPr>
            <w:r>
              <w:rPr>
                <w:rFonts w:ascii="Times New Roman" w:eastAsia="宋体" w:hAnsi="Times New Roman"/>
                <w:color w:val="000000"/>
                <w:sz w:val="20"/>
                <w:szCs w:val="20"/>
              </w:rPr>
              <w:t>273 </w:t>
            </w:r>
          </w:p>
        </w:tc>
        <w:tc>
          <w:tcPr>
            <w:tcW w:w="0" w:type="auto"/>
            <w:shd w:val="clear" w:color="auto" w:fill="CCEEFF"/>
            <w:tcMar>
              <w:top w:w="40" w:type="dxa"/>
              <w:bottom w:w="40" w:type="dxa"/>
              <w:right w:w="20" w:type="dxa"/>
            </w:tcMar>
            <w:vAlign w:val="center"/>
          </w:tcPr>
          <w:p w14:paraId="33DAAD7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D74"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D75"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D76" w14:textId="77777777" w:rsidR="004D6A64" w:rsidRDefault="00506CD6">
            <w:pPr>
              <w:jc w:val="right"/>
              <w:textAlignment w:val="center"/>
            </w:pPr>
            <w:r>
              <w:rPr>
                <w:rFonts w:ascii="Times New Roman" w:eastAsia="宋体" w:hAnsi="Times New Roman"/>
                <w:color w:val="000000"/>
                <w:sz w:val="20"/>
                <w:szCs w:val="20"/>
              </w:rPr>
              <w:t>43 </w:t>
            </w:r>
          </w:p>
        </w:tc>
        <w:tc>
          <w:tcPr>
            <w:tcW w:w="0" w:type="auto"/>
            <w:shd w:val="clear" w:color="auto" w:fill="CCEEFF"/>
            <w:tcMar>
              <w:top w:w="40" w:type="dxa"/>
              <w:bottom w:w="40" w:type="dxa"/>
              <w:right w:w="20" w:type="dxa"/>
            </w:tcMar>
            <w:vAlign w:val="center"/>
          </w:tcPr>
          <w:p w14:paraId="33DAAD7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D78"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D79"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D7A" w14:textId="77777777" w:rsidR="004D6A64" w:rsidRDefault="00506CD6">
            <w:pPr>
              <w:jc w:val="right"/>
              <w:textAlignment w:val="center"/>
            </w:pPr>
            <w:r>
              <w:rPr>
                <w:rFonts w:ascii="Times New Roman" w:eastAsia="宋体" w:hAnsi="Times New Roman"/>
                <w:color w:val="000000"/>
                <w:sz w:val="20"/>
                <w:szCs w:val="20"/>
              </w:rPr>
              <w:t>1 </w:t>
            </w:r>
          </w:p>
        </w:tc>
        <w:tc>
          <w:tcPr>
            <w:tcW w:w="0" w:type="auto"/>
            <w:shd w:val="clear" w:color="auto" w:fill="CCEEFF"/>
            <w:tcMar>
              <w:top w:w="40" w:type="dxa"/>
              <w:bottom w:w="40" w:type="dxa"/>
              <w:right w:w="20" w:type="dxa"/>
            </w:tcMar>
            <w:vAlign w:val="center"/>
          </w:tcPr>
          <w:p w14:paraId="33DAAD7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D7C"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D7D"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D7E" w14:textId="77777777" w:rsidR="004D6A64" w:rsidRDefault="00506CD6">
            <w:pPr>
              <w:jc w:val="right"/>
              <w:textAlignment w:val="center"/>
            </w:pPr>
            <w:r>
              <w:rPr>
                <w:rFonts w:ascii="Times New Roman" w:eastAsia="宋体" w:hAnsi="Times New Roman"/>
                <w:color w:val="000000"/>
                <w:sz w:val="20"/>
                <w:szCs w:val="20"/>
              </w:rPr>
              <w:t>148 </w:t>
            </w:r>
          </w:p>
        </w:tc>
        <w:tc>
          <w:tcPr>
            <w:tcW w:w="0" w:type="auto"/>
            <w:shd w:val="clear" w:color="auto" w:fill="CCEEFF"/>
            <w:tcMar>
              <w:top w:w="40" w:type="dxa"/>
              <w:bottom w:w="40" w:type="dxa"/>
              <w:right w:w="20" w:type="dxa"/>
            </w:tcMar>
            <w:vAlign w:val="center"/>
          </w:tcPr>
          <w:p w14:paraId="33DAAD7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D80"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D81"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D82" w14:textId="77777777" w:rsidR="004D6A64" w:rsidRDefault="00506CD6">
            <w:pPr>
              <w:jc w:val="right"/>
              <w:textAlignment w:val="center"/>
            </w:pPr>
            <w:r>
              <w:rPr>
                <w:rFonts w:ascii="Times New Roman" w:eastAsia="宋体" w:hAnsi="Times New Roman"/>
                <w:color w:val="000000"/>
                <w:sz w:val="20"/>
                <w:szCs w:val="20"/>
              </w:rPr>
              <w:t>51 </w:t>
            </w:r>
          </w:p>
        </w:tc>
        <w:tc>
          <w:tcPr>
            <w:tcW w:w="0" w:type="auto"/>
            <w:shd w:val="clear" w:color="auto" w:fill="CCEEFF"/>
            <w:tcMar>
              <w:top w:w="40" w:type="dxa"/>
              <w:bottom w:w="40" w:type="dxa"/>
              <w:right w:w="20" w:type="dxa"/>
            </w:tcMar>
            <w:vAlign w:val="center"/>
          </w:tcPr>
          <w:p w14:paraId="33DAAD8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D84"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D85"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D86" w14:textId="77777777" w:rsidR="004D6A64" w:rsidRDefault="00506CD6">
            <w:pPr>
              <w:jc w:val="right"/>
              <w:textAlignment w:val="center"/>
            </w:pPr>
            <w:r>
              <w:rPr>
                <w:rFonts w:ascii="Times New Roman" w:eastAsia="宋体" w:hAnsi="Times New Roman"/>
                <w:color w:val="000000"/>
                <w:sz w:val="20"/>
                <w:szCs w:val="20"/>
              </w:rPr>
              <w:t>5,792 </w:t>
            </w:r>
          </w:p>
        </w:tc>
        <w:tc>
          <w:tcPr>
            <w:tcW w:w="0" w:type="auto"/>
            <w:shd w:val="clear" w:color="auto" w:fill="CCEEFF"/>
            <w:tcMar>
              <w:top w:w="40" w:type="dxa"/>
              <w:bottom w:w="40" w:type="dxa"/>
              <w:right w:w="20" w:type="dxa"/>
            </w:tcMar>
            <w:vAlign w:val="center"/>
          </w:tcPr>
          <w:p w14:paraId="33DAAD87" w14:textId="77777777" w:rsidR="004D6A64" w:rsidRDefault="004D6A64">
            <w:pPr>
              <w:jc w:val="right"/>
              <w:rPr>
                <w:rFonts w:ascii="宋体"/>
              </w:rPr>
            </w:pPr>
          </w:p>
        </w:tc>
        <w:tc>
          <w:tcPr>
            <w:tcW w:w="0" w:type="auto"/>
            <w:shd w:val="clear" w:color="auto" w:fill="auto"/>
          </w:tcPr>
          <w:p w14:paraId="33DAAD88" w14:textId="77777777" w:rsidR="004D6A64" w:rsidRDefault="004D6A64">
            <w:pPr>
              <w:rPr>
                <w:rFonts w:ascii="宋体"/>
              </w:rPr>
            </w:pPr>
          </w:p>
        </w:tc>
        <w:tc>
          <w:tcPr>
            <w:tcW w:w="0" w:type="auto"/>
            <w:shd w:val="clear" w:color="auto" w:fill="auto"/>
          </w:tcPr>
          <w:p w14:paraId="33DAAD89" w14:textId="77777777" w:rsidR="004D6A64" w:rsidRDefault="004D6A64">
            <w:pPr>
              <w:rPr>
                <w:rFonts w:ascii="宋体"/>
              </w:rPr>
            </w:pPr>
          </w:p>
        </w:tc>
        <w:tc>
          <w:tcPr>
            <w:tcW w:w="0" w:type="auto"/>
            <w:shd w:val="clear" w:color="auto" w:fill="auto"/>
          </w:tcPr>
          <w:p w14:paraId="33DAAD8A" w14:textId="77777777" w:rsidR="004D6A64" w:rsidRDefault="004D6A64">
            <w:pPr>
              <w:rPr>
                <w:rFonts w:ascii="宋体"/>
              </w:rPr>
            </w:pPr>
          </w:p>
        </w:tc>
        <w:tc>
          <w:tcPr>
            <w:tcW w:w="0" w:type="auto"/>
            <w:shd w:val="clear" w:color="auto" w:fill="auto"/>
          </w:tcPr>
          <w:p w14:paraId="33DAAD8B" w14:textId="77777777" w:rsidR="004D6A64" w:rsidRDefault="004D6A64">
            <w:pPr>
              <w:rPr>
                <w:rFonts w:ascii="宋体"/>
              </w:rPr>
            </w:pPr>
          </w:p>
        </w:tc>
        <w:tc>
          <w:tcPr>
            <w:tcW w:w="0" w:type="auto"/>
            <w:shd w:val="clear" w:color="auto" w:fill="auto"/>
          </w:tcPr>
          <w:p w14:paraId="33DAAD8C" w14:textId="77777777" w:rsidR="004D6A64" w:rsidRDefault="004D6A64">
            <w:pPr>
              <w:rPr>
                <w:rFonts w:ascii="宋体"/>
              </w:rPr>
            </w:pPr>
          </w:p>
        </w:tc>
        <w:tc>
          <w:tcPr>
            <w:tcW w:w="0" w:type="auto"/>
            <w:shd w:val="clear" w:color="auto" w:fill="auto"/>
          </w:tcPr>
          <w:p w14:paraId="33DAAD8D" w14:textId="77777777" w:rsidR="004D6A64" w:rsidRDefault="004D6A64">
            <w:pPr>
              <w:rPr>
                <w:rFonts w:ascii="宋体"/>
              </w:rPr>
            </w:pPr>
          </w:p>
        </w:tc>
        <w:tc>
          <w:tcPr>
            <w:tcW w:w="0" w:type="auto"/>
            <w:shd w:val="clear" w:color="auto" w:fill="auto"/>
          </w:tcPr>
          <w:p w14:paraId="33DAAD8E" w14:textId="77777777" w:rsidR="004D6A64" w:rsidRDefault="004D6A64">
            <w:pPr>
              <w:rPr>
                <w:rFonts w:ascii="宋体"/>
              </w:rPr>
            </w:pPr>
          </w:p>
        </w:tc>
        <w:tc>
          <w:tcPr>
            <w:tcW w:w="0" w:type="auto"/>
            <w:shd w:val="clear" w:color="auto" w:fill="auto"/>
          </w:tcPr>
          <w:p w14:paraId="33DAAD8F" w14:textId="77777777" w:rsidR="004D6A64" w:rsidRDefault="004D6A64">
            <w:pPr>
              <w:rPr>
                <w:rFonts w:ascii="宋体"/>
              </w:rPr>
            </w:pPr>
          </w:p>
        </w:tc>
        <w:tc>
          <w:tcPr>
            <w:tcW w:w="0" w:type="auto"/>
            <w:shd w:val="clear" w:color="auto" w:fill="auto"/>
          </w:tcPr>
          <w:p w14:paraId="33DAAD90" w14:textId="77777777" w:rsidR="004D6A64" w:rsidRDefault="004D6A64">
            <w:pPr>
              <w:rPr>
                <w:rFonts w:ascii="宋体"/>
              </w:rPr>
            </w:pPr>
          </w:p>
        </w:tc>
      </w:tr>
      <w:tr w:rsidR="004D6A64" w14:paraId="33DAADB6" w14:textId="77777777">
        <w:trPr>
          <w:jc w:val="center"/>
        </w:trPr>
        <w:tc>
          <w:tcPr>
            <w:tcW w:w="0" w:type="auto"/>
            <w:gridSpan w:val="3"/>
            <w:shd w:val="clear" w:color="auto" w:fill="FFFFFF"/>
            <w:tcMar>
              <w:top w:w="40" w:type="dxa"/>
              <w:left w:w="20" w:type="dxa"/>
              <w:bottom w:w="40" w:type="dxa"/>
              <w:right w:w="20" w:type="dxa"/>
            </w:tcMar>
            <w:vAlign w:val="center"/>
          </w:tcPr>
          <w:p w14:paraId="33DAAD92" w14:textId="77777777" w:rsidR="004D6A64" w:rsidRDefault="00506CD6">
            <w:pPr>
              <w:textAlignment w:val="center"/>
            </w:pPr>
            <w:r>
              <w:rPr>
                <w:rFonts w:ascii="Times New Roman" w:eastAsia="宋体" w:hAnsi="Times New Roman"/>
                <w:color w:val="000000"/>
                <w:sz w:val="20"/>
                <w:szCs w:val="20"/>
              </w:rPr>
              <w:t>Mid</w:t>
            </w:r>
          </w:p>
        </w:tc>
        <w:tc>
          <w:tcPr>
            <w:tcW w:w="0" w:type="auto"/>
            <w:gridSpan w:val="2"/>
            <w:shd w:val="clear" w:color="auto" w:fill="FFFFFF"/>
            <w:tcMar>
              <w:top w:w="40" w:type="dxa"/>
              <w:left w:w="20" w:type="dxa"/>
              <w:bottom w:w="40" w:type="dxa"/>
              <w:right w:w="0" w:type="dxa"/>
            </w:tcMar>
            <w:vAlign w:val="center"/>
          </w:tcPr>
          <w:p w14:paraId="33DAAD93" w14:textId="77777777" w:rsidR="004D6A64" w:rsidRDefault="00506CD6">
            <w:pPr>
              <w:jc w:val="right"/>
              <w:textAlignment w:val="center"/>
            </w:pPr>
            <w:r>
              <w:rPr>
                <w:rFonts w:ascii="Times New Roman" w:eastAsia="宋体" w:hAnsi="Times New Roman"/>
                <w:color w:val="000000"/>
                <w:sz w:val="20"/>
                <w:szCs w:val="20"/>
              </w:rPr>
              <w:t>633 </w:t>
            </w:r>
          </w:p>
        </w:tc>
        <w:tc>
          <w:tcPr>
            <w:tcW w:w="0" w:type="auto"/>
            <w:shd w:val="clear" w:color="auto" w:fill="FFFFFF"/>
            <w:tcMar>
              <w:top w:w="40" w:type="dxa"/>
              <w:bottom w:w="40" w:type="dxa"/>
              <w:right w:w="20" w:type="dxa"/>
            </w:tcMar>
            <w:vAlign w:val="center"/>
          </w:tcPr>
          <w:p w14:paraId="33DAAD9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D95"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AD96" w14:textId="77777777" w:rsidR="004D6A64" w:rsidRDefault="00506CD6">
            <w:pPr>
              <w:jc w:val="right"/>
              <w:textAlignment w:val="center"/>
            </w:pPr>
            <w:r>
              <w:rPr>
                <w:rFonts w:ascii="Times New Roman" w:eastAsia="宋体" w:hAnsi="Times New Roman"/>
                <w:color w:val="000000"/>
                <w:sz w:val="20"/>
                <w:szCs w:val="20"/>
              </w:rPr>
              <w:t>824 </w:t>
            </w:r>
          </w:p>
        </w:tc>
        <w:tc>
          <w:tcPr>
            <w:tcW w:w="0" w:type="auto"/>
            <w:shd w:val="clear" w:color="auto" w:fill="FFFFFF"/>
            <w:tcMar>
              <w:top w:w="40" w:type="dxa"/>
              <w:bottom w:w="40" w:type="dxa"/>
              <w:right w:w="20" w:type="dxa"/>
            </w:tcMar>
            <w:vAlign w:val="center"/>
          </w:tcPr>
          <w:p w14:paraId="33DAAD9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D98"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AD99" w14:textId="77777777" w:rsidR="004D6A64" w:rsidRDefault="00506CD6">
            <w:pPr>
              <w:jc w:val="right"/>
              <w:textAlignment w:val="center"/>
            </w:pPr>
            <w:r>
              <w:rPr>
                <w:rFonts w:ascii="Times New Roman" w:eastAsia="宋体" w:hAnsi="Times New Roman"/>
                <w:color w:val="000000"/>
                <w:sz w:val="20"/>
                <w:szCs w:val="20"/>
              </w:rPr>
              <w:t>417 </w:t>
            </w:r>
          </w:p>
        </w:tc>
        <w:tc>
          <w:tcPr>
            <w:tcW w:w="0" w:type="auto"/>
            <w:shd w:val="clear" w:color="auto" w:fill="FFFFFF"/>
            <w:tcMar>
              <w:top w:w="40" w:type="dxa"/>
              <w:bottom w:w="40" w:type="dxa"/>
              <w:right w:w="20" w:type="dxa"/>
            </w:tcMar>
            <w:vAlign w:val="center"/>
          </w:tcPr>
          <w:p w14:paraId="33DAAD9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D9B"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AD9C" w14:textId="77777777" w:rsidR="004D6A64" w:rsidRDefault="00506CD6">
            <w:pPr>
              <w:jc w:val="right"/>
              <w:textAlignment w:val="center"/>
            </w:pPr>
            <w:r>
              <w:rPr>
                <w:rFonts w:ascii="Times New Roman" w:eastAsia="宋体" w:hAnsi="Times New Roman"/>
                <w:color w:val="000000"/>
                <w:sz w:val="20"/>
                <w:szCs w:val="20"/>
              </w:rPr>
              <w:t>127 </w:t>
            </w:r>
          </w:p>
        </w:tc>
        <w:tc>
          <w:tcPr>
            <w:tcW w:w="0" w:type="auto"/>
            <w:shd w:val="clear" w:color="auto" w:fill="FFFFFF"/>
            <w:tcMar>
              <w:top w:w="40" w:type="dxa"/>
              <w:bottom w:w="40" w:type="dxa"/>
              <w:right w:w="20" w:type="dxa"/>
            </w:tcMar>
            <w:vAlign w:val="center"/>
          </w:tcPr>
          <w:p w14:paraId="33DAAD9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D9E"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AD9F" w14:textId="77777777" w:rsidR="004D6A64" w:rsidRDefault="00506CD6">
            <w:pPr>
              <w:jc w:val="right"/>
              <w:textAlignment w:val="center"/>
            </w:pPr>
            <w:r>
              <w:rPr>
                <w:rFonts w:ascii="Times New Roman" w:eastAsia="宋体" w:hAnsi="Times New Roman"/>
                <w:color w:val="000000"/>
                <w:sz w:val="20"/>
                <w:szCs w:val="20"/>
              </w:rPr>
              <w:t>20 </w:t>
            </w:r>
          </w:p>
        </w:tc>
        <w:tc>
          <w:tcPr>
            <w:tcW w:w="0" w:type="auto"/>
            <w:shd w:val="clear" w:color="auto" w:fill="FFFFFF"/>
            <w:tcMar>
              <w:top w:w="40" w:type="dxa"/>
              <w:bottom w:w="40" w:type="dxa"/>
              <w:right w:w="20" w:type="dxa"/>
            </w:tcMar>
            <w:vAlign w:val="center"/>
          </w:tcPr>
          <w:p w14:paraId="33DAADA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DA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ADA2" w14:textId="77777777" w:rsidR="004D6A64" w:rsidRDefault="00506CD6">
            <w:pPr>
              <w:jc w:val="right"/>
              <w:textAlignment w:val="center"/>
            </w:pPr>
            <w:r>
              <w:rPr>
                <w:rFonts w:ascii="Times New Roman" w:eastAsia="宋体" w:hAnsi="Times New Roman"/>
                <w:color w:val="000000"/>
                <w:sz w:val="20"/>
                <w:szCs w:val="20"/>
              </w:rPr>
              <w:t>1 </w:t>
            </w:r>
          </w:p>
        </w:tc>
        <w:tc>
          <w:tcPr>
            <w:tcW w:w="0" w:type="auto"/>
            <w:shd w:val="clear" w:color="auto" w:fill="FFFFFF"/>
            <w:tcMar>
              <w:top w:w="40" w:type="dxa"/>
              <w:bottom w:w="40" w:type="dxa"/>
              <w:right w:w="20" w:type="dxa"/>
            </w:tcMar>
            <w:vAlign w:val="center"/>
          </w:tcPr>
          <w:p w14:paraId="33DAADA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DA4"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ADA5" w14:textId="77777777" w:rsidR="004D6A64" w:rsidRDefault="00506CD6">
            <w:pPr>
              <w:jc w:val="right"/>
              <w:textAlignment w:val="center"/>
            </w:pPr>
            <w:r>
              <w:rPr>
                <w:rFonts w:ascii="Times New Roman" w:eastAsia="宋体" w:hAnsi="Times New Roman"/>
                <w:color w:val="000000"/>
                <w:sz w:val="20"/>
                <w:szCs w:val="20"/>
              </w:rPr>
              <w:t>176 </w:t>
            </w:r>
          </w:p>
        </w:tc>
        <w:tc>
          <w:tcPr>
            <w:tcW w:w="0" w:type="auto"/>
            <w:shd w:val="clear" w:color="auto" w:fill="FFFFFF"/>
            <w:tcMar>
              <w:top w:w="40" w:type="dxa"/>
              <w:bottom w:w="40" w:type="dxa"/>
              <w:right w:w="20" w:type="dxa"/>
            </w:tcMar>
            <w:vAlign w:val="center"/>
          </w:tcPr>
          <w:p w14:paraId="33DAADA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DA7"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ADA8" w14:textId="77777777" w:rsidR="004D6A64" w:rsidRDefault="00506CD6">
            <w:pPr>
              <w:jc w:val="right"/>
              <w:textAlignment w:val="center"/>
            </w:pPr>
            <w:r>
              <w:rPr>
                <w:rFonts w:ascii="Times New Roman" w:eastAsia="宋体" w:hAnsi="Times New Roman"/>
                <w:color w:val="000000"/>
                <w:sz w:val="20"/>
                <w:szCs w:val="20"/>
              </w:rPr>
              <w:t>52 </w:t>
            </w:r>
          </w:p>
        </w:tc>
        <w:tc>
          <w:tcPr>
            <w:tcW w:w="0" w:type="auto"/>
            <w:shd w:val="clear" w:color="auto" w:fill="FFFFFF"/>
            <w:tcMar>
              <w:top w:w="40" w:type="dxa"/>
              <w:bottom w:w="40" w:type="dxa"/>
              <w:right w:w="20" w:type="dxa"/>
            </w:tcMar>
            <w:vAlign w:val="center"/>
          </w:tcPr>
          <w:p w14:paraId="33DAADA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DA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ADAB" w14:textId="77777777" w:rsidR="004D6A64" w:rsidRDefault="00506CD6">
            <w:pPr>
              <w:jc w:val="right"/>
              <w:textAlignment w:val="center"/>
            </w:pPr>
            <w:r>
              <w:rPr>
                <w:rFonts w:ascii="Times New Roman" w:eastAsia="宋体" w:hAnsi="Times New Roman"/>
                <w:color w:val="000000"/>
                <w:sz w:val="20"/>
                <w:szCs w:val="20"/>
              </w:rPr>
              <w:t>2,250 </w:t>
            </w:r>
          </w:p>
        </w:tc>
        <w:tc>
          <w:tcPr>
            <w:tcW w:w="0" w:type="auto"/>
            <w:shd w:val="clear" w:color="auto" w:fill="FFFFFF"/>
            <w:tcMar>
              <w:top w:w="40" w:type="dxa"/>
              <w:bottom w:w="40" w:type="dxa"/>
              <w:right w:w="20" w:type="dxa"/>
            </w:tcMar>
            <w:vAlign w:val="center"/>
          </w:tcPr>
          <w:p w14:paraId="33DAADAC" w14:textId="77777777" w:rsidR="004D6A64" w:rsidRDefault="004D6A64">
            <w:pPr>
              <w:jc w:val="right"/>
              <w:rPr>
                <w:rFonts w:ascii="宋体"/>
              </w:rPr>
            </w:pPr>
          </w:p>
        </w:tc>
        <w:tc>
          <w:tcPr>
            <w:tcW w:w="0" w:type="auto"/>
            <w:shd w:val="clear" w:color="auto" w:fill="auto"/>
          </w:tcPr>
          <w:p w14:paraId="33DAADAD" w14:textId="77777777" w:rsidR="004D6A64" w:rsidRDefault="004D6A64">
            <w:pPr>
              <w:rPr>
                <w:rFonts w:ascii="宋体"/>
              </w:rPr>
            </w:pPr>
          </w:p>
        </w:tc>
        <w:tc>
          <w:tcPr>
            <w:tcW w:w="0" w:type="auto"/>
            <w:shd w:val="clear" w:color="auto" w:fill="auto"/>
          </w:tcPr>
          <w:p w14:paraId="33DAADAE" w14:textId="77777777" w:rsidR="004D6A64" w:rsidRDefault="004D6A64">
            <w:pPr>
              <w:rPr>
                <w:rFonts w:ascii="宋体"/>
              </w:rPr>
            </w:pPr>
          </w:p>
        </w:tc>
        <w:tc>
          <w:tcPr>
            <w:tcW w:w="0" w:type="auto"/>
            <w:shd w:val="clear" w:color="auto" w:fill="auto"/>
          </w:tcPr>
          <w:p w14:paraId="33DAADAF" w14:textId="77777777" w:rsidR="004D6A64" w:rsidRDefault="004D6A64">
            <w:pPr>
              <w:rPr>
                <w:rFonts w:ascii="宋体"/>
              </w:rPr>
            </w:pPr>
          </w:p>
        </w:tc>
        <w:tc>
          <w:tcPr>
            <w:tcW w:w="0" w:type="auto"/>
            <w:shd w:val="clear" w:color="auto" w:fill="auto"/>
          </w:tcPr>
          <w:p w14:paraId="33DAADB0" w14:textId="77777777" w:rsidR="004D6A64" w:rsidRDefault="004D6A64">
            <w:pPr>
              <w:rPr>
                <w:rFonts w:ascii="宋体"/>
              </w:rPr>
            </w:pPr>
          </w:p>
        </w:tc>
        <w:tc>
          <w:tcPr>
            <w:tcW w:w="0" w:type="auto"/>
            <w:shd w:val="clear" w:color="auto" w:fill="auto"/>
          </w:tcPr>
          <w:p w14:paraId="33DAADB1" w14:textId="77777777" w:rsidR="004D6A64" w:rsidRDefault="004D6A64">
            <w:pPr>
              <w:rPr>
                <w:rFonts w:ascii="宋体"/>
              </w:rPr>
            </w:pPr>
          </w:p>
        </w:tc>
        <w:tc>
          <w:tcPr>
            <w:tcW w:w="0" w:type="auto"/>
            <w:shd w:val="clear" w:color="auto" w:fill="auto"/>
          </w:tcPr>
          <w:p w14:paraId="33DAADB2" w14:textId="77777777" w:rsidR="004D6A64" w:rsidRDefault="004D6A64">
            <w:pPr>
              <w:rPr>
                <w:rFonts w:ascii="宋体"/>
              </w:rPr>
            </w:pPr>
          </w:p>
        </w:tc>
        <w:tc>
          <w:tcPr>
            <w:tcW w:w="0" w:type="auto"/>
            <w:shd w:val="clear" w:color="auto" w:fill="auto"/>
          </w:tcPr>
          <w:p w14:paraId="33DAADB3" w14:textId="77777777" w:rsidR="004D6A64" w:rsidRDefault="004D6A64">
            <w:pPr>
              <w:rPr>
                <w:rFonts w:ascii="宋体"/>
              </w:rPr>
            </w:pPr>
          </w:p>
        </w:tc>
        <w:tc>
          <w:tcPr>
            <w:tcW w:w="0" w:type="auto"/>
            <w:shd w:val="clear" w:color="auto" w:fill="auto"/>
          </w:tcPr>
          <w:p w14:paraId="33DAADB4" w14:textId="77777777" w:rsidR="004D6A64" w:rsidRDefault="004D6A64">
            <w:pPr>
              <w:rPr>
                <w:rFonts w:ascii="宋体"/>
              </w:rPr>
            </w:pPr>
          </w:p>
        </w:tc>
        <w:tc>
          <w:tcPr>
            <w:tcW w:w="0" w:type="auto"/>
            <w:shd w:val="clear" w:color="auto" w:fill="auto"/>
          </w:tcPr>
          <w:p w14:paraId="33DAADB5" w14:textId="77777777" w:rsidR="004D6A64" w:rsidRDefault="004D6A64">
            <w:pPr>
              <w:rPr>
                <w:rFonts w:ascii="宋体"/>
              </w:rPr>
            </w:pPr>
          </w:p>
        </w:tc>
      </w:tr>
      <w:tr w:rsidR="004D6A64" w14:paraId="33DAADDB" w14:textId="77777777">
        <w:trPr>
          <w:jc w:val="center"/>
        </w:trPr>
        <w:tc>
          <w:tcPr>
            <w:tcW w:w="0" w:type="auto"/>
            <w:gridSpan w:val="3"/>
            <w:shd w:val="clear" w:color="auto" w:fill="CCEEFF"/>
            <w:tcMar>
              <w:top w:w="40" w:type="dxa"/>
              <w:left w:w="20" w:type="dxa"/>
              <w:bottom w:w="40" w:type="dxa"/>
              <w:right w:w="20" w:type="dxa"/>
            </w:tcMar>
            <w:vAlign w:val="center"/>
          </w:tcPr>
          <w:p w14:paraId="33DAADB7" w14:textId="77777777" w:rsidR="004D6A64" w:rsidRDefault="00506CD6">
            <w:pPr>
              <w:textAlignment w:val="center"/>
            </w:pPr>
            <w:r>
              <w:rPr>
                <w:rFonts w:ascii="Times New Roman" w:eastAsia="宋体" w:hAnsi="Times New Roman"/>
                <w:color w:val="000000"/>
                <w:sz w:val="20"/>
                <w:szCs w:val="20"/>
              </w:rPr>
              <w:t>Lower</w:t>
            </w:r>
          </w:p>
        </w:tc>
        <w:tc>
          <w:tcPr>
            <w:tcW w:w="0" w:type="auto"/>
            <w:gridSpan w:val="2"/>
            <w:shd w:val="clear" w:color="auto" w:fill="CCEEFF"/>
            <w:tcMar>
              <w:top w:w="40" w:type="dxa"/>
              <w:left w:w="20" w:type="dxa"/>
              <w:bottom w:w="40" w:type="dxa"/>
              <w:right w:w="0" w:type="dxa"/>
            </w:tcMar>
            <w:vAlign w:val="center"/>
          </w:tcPr>
          <w:p w14:paraId="33DAADB8" w14:textId="77777777" w:rsidR="004D6A64" w:rsidRDefault="00506CD6">
            <w:pPr>
              <w:jc w:val="right"/>
              <w:textAlignment w:val="center"/>
            </w:pPr>
            <w:r>
              <w:rPr>
                <w:rFonts w:ascii="Times New Roman" w:eastAsia="宋体" w:hAnsi="Times New Roman"/>
                <w:color w:val="000000"/>
                <w:sz w:val="20"/>
                <w:szCs w:val="20"/>
              </w:rPr>
              <w:t>548 </w:t>
            </w:r>
          </w:p>
        </w:tc>
        <w:tc>
          <w:tcPr>
            <w:tcW w:w="0" w:type="auto"/>
            <w:shd w:val="clear" w:color="auto" w:fill="CCEEFF"/>
            <w:tcMar>
              <w:top w:w="40" w:type="dxa"/>
              <w:bottom w:w="40" w:type="dxa"/>
              <w:right w:w="20" w:type="dxa"/>
            </w:tcMar>
            <w:vAlign w:val="center"/>
          </w:tcPr>
          <w:p w14:paraId="33DAADB9"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DBA"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DBB" w14:textId="77777777" w:rsidR="004D6A64" w:rsidRDefault="00506CD6">
            <w:pPr>
              <w:jc w:val="right"/>
              <w:textAlignment w:val="center"/>
            </w:pPr>
            <w:r>
              <w:rPr>
                <w:rFonts w:ascii="Times New Roman" w:eastAsia="宋体" w:hAnsi="Times New Roman"/>
                <w:color w:val="000000"/>
                <w:sz w:val="20"/>
                <w:szCs w:val="20"/>
              </w:rPr>
              <w:t>609 </w:t>
            </w:r>
          </w:p>
        </w:tc>
        <w:tc>
          <w:tcPr>
            <w:tcW w:w="0" w:type="auto"/>
            <w:shd w:val="clear" w:color="auto" w:fill="CCEEFF"/>
            <w:tcMar>
              <w:top w:w="40" w:type="dxa"/>
              <w:bottom w:w="40" w:type="dxa"/>
              <w:right w:w="20" w:type="dxa"/>
            </w:tcMar>
            <w:vAlign w:val="center"/>
          </w:tcPr>
          <w:p w14:paraId="33DAADB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DB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DBE" w14:textId="77777777" w:rsidR="004D6A64" w:rsidRDefault="00506CD6">
            <w:pPr>
              <w:jc w:val="right"/>
              <w:textAlignment w:val="center"/>
            </w:pPr>
            <w:r>
              <w:rPr>
                <w:rFonts w:ascii="Times New Roman" w:eastAsia="宋体" w:hAnsi="Times New Roman"/>
                <w:color w:val="000000"/>
                <w:sz w:val="20"/>
                <w:szCs w:val="20"/>
              </w:rPr>
              <w:t>379 </w:t>
            </w:r>
          </w:p>
        </w:tc>
        <w:tc>
          <w:tcPr>
            <w:tcW w:w="0" w:type="auto"/>
            <w:shd w:val="clear" w:color="auto" w:fill="CCEEFF"/>
            <w:tcMar>
              <w:top w:w="40" w:type="dxa"/>
              <w:bottom w:w="40" w:type="dxa"/>
              <w:right w:w="20" w:type="dxa"/>
            </w:tcMar>
            <w:vAlign w:val="center"/>
          </w:tcPr>
          <w:p w14:paraId="33DAADB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DC0"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DC1" w14:textId="77777777" w:rsidR="004D6A64" w:rsidRDefault="00506CD6">
            <w:pPr>
              <w:jc w:val="right"/>
              <w:textAlignment w:val="center"/>
            </w:pPr>
            <w:r>
              <w:rPr>
                <w:rFonts w:ascii="Times New Roman" w:eastAsia="宋体" w:hAnsi="Times New Roman"/>
                <w:color w:val="000000"/>
                <w:sz w:val="20"/>
                <w:szCs w:val="20"/>
              </w:rPr>
              <w:t>82 </w:t>
            </w:r>
          </w:p>
        </w:tc>
        <w:tc>
          <w:tcPr>
            <w:tcW w:w="0" w:type="auto"/>
            <w:shd w:val="clear" w:color="auto" w:fill="CCEEFF"/>
            <w:tcMar>
              <w:top w:w="40" w:type="dxa"/>
              <w:bottom w:w="40" w:type="dxa"/>
              <w:right w:w="20" w:type="dxa"/>
            </w:tcMar>
            <w:vAlign w:val="center"/>
          </w:tcPr>
          <w:p w14:paraId="33DAADC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DC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DC4" w14:textId="77777777" w:rsidR="004D6A64" w:rsidRDefault="00506CD6">
            <w:pPr>
              <w:jc w:val="right"/>
              <w:textAlignment w:val="center"/>
            </w:pPr>
            <w:r>
              <w:rPr>
                <w:rFonts w:ascii="Times New Roman" w:eastAsia="宋体" w:hAnsi="Times New Roman"/>
                <w:color w:val="000000"/>
                <w:sz w:val="20"/>
                <w:szCs w:val="20"/>
              </w:rPr>
              <w:t>20 </w:t>
            </w:r>
          </w:p>
        </w:tc>
        <w:tc>
          <w:tcPr>
            <w:tcW w:w="0" w:type="auto"/>
            <w:shd w:val="clear" w:color="auto" w:fill="CCEEFF"/>
            <w:tcMar>
              <w:top w:w="40" w:type="dxa"/>
              <w:bottom w:w="40" w:type="dxa"/>
              <w:right w:w="20" w:type="dxa"/>
            </w:tcMar>
            <w:vAlign w:val="center"/>
          </w:tcPr>
          <w:p w14:paraId="33DAADC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DC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DC7" w14:textId="77777777" w:rsidR="004D6A64" w:rsidRDefault="00506CD6">
            <w:pPr>
              <w:jc w:val="right"/>
              <w:textAlignment w:val="center"/>
            </w:pPr>
            <w:r>
              <w:rPr>
                <w:rFonts w:ascii="Times New Roman" w:eastAsia="宋体" w:hAnsi="Times New Roman"/>
                <w:color w:val="000000"/>
                <w:sz w:val="20"/>
                <w:szCs w:val="20"/>
              </w:rPr>
              <w:t>2 </w:t>
            </w:r>
          </w:p>
        </w:tc>
        <w:tc>
          <w:tcPr>
            <w:tcW w:w="0" w:type="auto"/>
            <w:shd w:val="clear" w:color="auto" w:fill="CCEEFF"/>
            <w:tcMar>
              <w:top w:w="40" w:type="dxa"/>
              <w:bottom w:w="40" w:type="dxa"/>
              <w:right w:w="20" w:type="dxa"/>
            </w:tcMar>
            <w:vAlign w:val="center"/>
          </w:tcPr>
          <w:p w14:paraId="33DAADC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DC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DCA" w14:textId="77777777" w:rsidR="004D6A64" w:rsidRDefault="00506CD6">
            <w:pPr>
              <w:jc w:val="right"/>
              <w:textAlignment w:val="center"/>
            </w:pPr>
            <w:r>
              <w:rPr>
                <w:rFonts w:ascii="Times New Roman" w:eastAsia="宋体" w:hAnsi="Times New Roman"/>
                <w:color w:val="000000"/>
                <w:sz w:val="20"/>
                <w:szCs w:val="20"/>
              </w:rPr>
              <w:t>274 </w:t>
            </w:r>
          </w:p>
        </w:tc>
        <w:tc>
          <w:tcPr>
            <w:tcW w:w="0" w:type="auto"/>
            <w:shd w:val="clear" w:color="auto" w:fill="CCEEFF"/>
            <w:tcMar>
              <w:top w:w="40" w:type="dxa"/>
              <w:bottom w:w="40" w:type="dxa"/>
              <w:right w:w="20" w:type="dxa"/>
            </w:tcMar>
            <w:vAlign w:val="center"/>
          </w:tcPr>
          <w:p w14:paraId="33DAADC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DCC"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DCD" w14:textId="77777777" w:rsidR="004D6A64" w:rsidRDefault="00506CD6">
            <w:pPr>
              <w:jc w:val="right"/>
              <w:textAlignment w:val="center"/>
            </w:pPr>
            <w:r>
              <w:rPr>
                <w:rFonts w:ascii="Times New Roman" w:eastAsia="宋体" w:hAnsi="Times New Roman"/>
                <w:color w:val="000000"/>
                <w:sz w:val="20"/>
                <w:szCs w:val="20"/>
              </w:rPr>
              <w:t>77 </w:t>
            </w:r>
          </w:p>
        </w:tc>
        <w:tc>
          <w:tcPr>
            <w:tcW w:w="0" w:type="auto"/>
            <w:shd w:val="clear" w:color="auto" w:fill="CCEEFF"/>
            <w:tcMar>
              <w:top w:w="40" w:type="dxa"/>
              <w:bottom w:w="40" w:type="dxa"/>
              <w:right w:w="20" w:type="dxa"/>
            </w:tcMar>
            <w:vAlign w:val="center"/>
          </w:tcPr>
          <w:p w14:paraId="33DAADC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DC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DD0" w14:textId="77777777" w:rsidR="004D6A64" w:rsidRDefault="00506CD6">
            <w:pPr>
              <w:jc w:val="right"/>
              <w:textAlignment w:val="center"/>
            </w:pPr>
            <w:r>
              <w:rPr>
                <w:rFonts w:ascii="Times New Roman" w:eastAsia="宋体" w:hAnsi="Times New Roman"/>
                <w:color w:val="000000"/>
                <w:sz w:val="20"/>
                <w:szCs w:val="20"/>
              </w:rPr>
              <w:t>1,991 </w:t>
            </w:r>
          </w:p>
        </w:tc>
        <w:tc>
          <w:tcPr>
            <w:tcW w:w="0" w:type="auto"/>
            <w:shd w:val="clear" w:color="auto" w:fill="CCEEFF"/>
            <w:tcMar>
              <w:top w:w="40" w:type="dxa"/>
              <w:bottom w:w="40" w:type="dxa"/>
              <w:right w:w="20" w:type="dxa"/>
            </w:tcMar>
            <w:vAlign w:val="center"/>
          </w:tcPr>
          <w:p w14:paraId="33DAADD1" w14:textId="77777777" w:rsidR="004D6A64" w:rsidRDefault="004D6A64">
            <w:pPr>
              <w:jc w:val="right"/>
              <w:rPr>
                <w:rFonts w:ascii="宋体"/>
              </w:rPr>
            </w:pPr>
          </w:p>
        </w:tc>
        <w:tc>
          <w:tcPr>
            <w:tcW w:w="0" w:type="auto"/>
            <w:shd w:val="clear" w:color="auto" w:fill="auto"/>
          </w:tcPr>
          <w:p w14:paraId="33DAADD2" w14:textId="77777777" w:rsidR="004D6A64" w:rsidRDefault="004D6A64">
            <w:pPr>
              <w:rPr>
                <w:rFonts w:ascii="宋体"/>
              </w:rPr>
            </w:pPr>
          </w:p>
        </w:tc>
        <w:tc>
          <w:tcPr>
            <w:tcW w:w="0" w:type="auto"/>
            <w:shd w:val="clear" w:color="auto" w:fill="auto"/>
          </w:tcPr>
          <w:p w14:paraId="33DAADD3" w14:textId="77777777" w:rsidR="004D6A64" w:rsidRDefault="004D6A64">
            <w:pPr>
              <w:rPr>
                <w:rFonts w:ascii="宋体"/>
              </w:rPr>
            </w:pPr>
          </w:p>
        </w:tc>
        <w:tc>
          <w:tcPr>
            <w:tcW w:w="0" w:type="auto"/>
            <w:shd w:val="clear" w:color="auto" w:fill="auto"/>
          </w:tcPr>
          <w:p w14:paraId="33DAADD4" w14:textId="77777777" w:rsidR="004D6A64" w:rsidRDefault="004D6A64">
            <w:pPr>
              <w:rPr>
                <w:rFonts w:ascii="宋体"/>
              </w:rPr>
            </w:pPr>
          </w:p>
        </w:tc>
        <w:tc>
          <w:tcPr>
            <w:tcW w:w="0" w:type="auto"/>
            <w:shd w:val="clear" w:color="auto" w:fill="auto"/>
          </w:tcPr>
          <w:p w14:paraId="33DAADD5" w14:textId="77777777" w:rsidR="004D6A64" w:rsidRDefault="004D6A64">
            <w:pPr>
              <w:rPr>
                <w:rFonts w:ascii="宋体"/>
              </w:rPr>
            </w:pPr>
          </w:p>
        </w:tc>
        <w:tc>
          <w:tcPr>
            <w:tcW w:w="0" w:type="auto"/>
            <w:shd w:val="clear" w:color="auto" w:fill="auto"/>
          </w:tcPr>
          <w:p w14:paraId="33DAADD6" w14:textId="77777777" w:rsidR="004D6A64" w:rsidRDefault="004D6A64">
            <w:pPr>
              <w:rPr>
                <w:rFonts w:ascii="宋体"/>
              </w:rPr>
            </w:pPr>
          </w:p>
        </w:tc>
        <w:tc>
          <w:tcPr>
            <w:tcW w:w="0" w:type="auto"/>
            <w:shd w:val="clear" w:color="auto" w:fill="auto"/>
          </w:tcPr>
          <w:p w14:paraId="33DAADD7" w14:textId="77777777" w:rsidR="004D6A64" w:rsidRDefault="004D6A64">
            <w:pPr>
              <w:rPr>
                <w:rFonts w:ascii="宋体"/>
              </w:rPr>
            </w:pPr>
          </w:p>
        </w:tc>
        <w:tc>
          <w:tcPr>
            <w:tcW w:w="0" w:type="auto"/>
            <w:shd w:val="clear" w:color="auto" w:fill="auto"/>
          </w:tcPr>
          <w:p w14:paraId="33DAADD8" w14:textId="77777777" w:rsidR="004D6A64" w:rsidRDefault="004D6A64">
            <w:pPr>
              <w:rPr>
                <w:rFonts w:ascii="宋体"/>
              </w:rPr>
            </w:pPr>
          </w:p>
        </w:tc>
        <w:tc>
          <w:tcPr>
            <w:tcW w:w="0" w:type="auto"/>
            <w:shd w:val="clear" w:color="auto" w:fill="auto"/>
          </w:tcPr>
          <w:p w14:paraId="33DAADD9" w14:textId="77777777" w:rsidR="004D6A64" w:rsidRDefault="004D6A64">
            <w:pPr>
              <w:rPr>
                <w:rFonts w:ascii="宋体"/>
              </w:rPr>
            </w:pPr>
          </w:p>
        </w:tc>
        <w:tc>
          <w:tcPr>
            <w:tcW w:w="0" w:type="auto"/>
            <w:shd w:val="clear" w:color="auto" w:fill="auto"/>
          </w:tcPr>
          <w:p w14:paraId="33DAADDA" w14:textId="77777777" w:rsidR="004D6A64" w:rsidRDefault="004D6A64">
            <w:pPr>
              <w:rPr>
                <w:rFonts w:ascii="宋体"/>
              </w:rPr>
            </w:pPr>
          </w:p>
        </w:tc>
      </w:tr>
      <w:tr w:rsidR="00506CD6" w14:paraId="33DAAE09" w14:textId="77777777">
        <w:trPr>
          <w:jc w:val="center"/>
        </w:trPr>
        <w:tc>
          <w:tcPr>
            <w:tcW w:w="0" w:type="auto"/>
            <w:gridSpan w:val="3"/>
            <w:shd w:val="clear" w:color="auto" w:fill="FFFFFF"/>
            <w:tcMar>
              <w:top w:w="40" w:type="dxa"/>
              <w:left w:w="135" w:type="dxa"/>
              <w:bottom w:w="40" w:type="dxa"/>
              <w:right w:w="20" w:type="dxa"/>
            </w:tcMar>
            <w:vAlign w:val="center"/>
          </w:tcPr>
          <w:p w14:paraId="33DAADDC" w14:textId="77777777" w:rsidR="004D6A64" w:rsidRDefault="00506CD6">
            <w:pPr>
              <w:textAlignment w:val="center"/>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ADDD"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ADDE" w14:textId="77777777" w:rsidR="004D6A64" w:rsidRDefault="00506CD6">
            <w:pPr>
              <w:jc w:val="right"/>
              <w:textAlignment w:val="center"/>
            </w:pPr>
            <w:r>
              <w:rPr>
                <w:rFonts w:ascii="Times New Roman" w:eastAsia="宋体" w:hAnsi="Times New Roman"/>
                <w:color w:val="000000"/>
                <w:sz w:val="20"/>
                <w:szCs w:val="20"/>
              </w:rPr>
              <w:t>3,200 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ADD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DE0"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ADE1"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ADE2" w14:textId="77777777" w:rsidR="004D6A64" w:rsidRDefault="00506CD6">
            <w:pPr>
              <w:jc w:val="right"/>
              <w:textAlignment w:val="center"/>
            </w:pPr>
            <w:r>
              <w:rPr>
                <w:rFonts w:ascii="Times New Roman" w:eastAsia="宋体" w:hAnsi="Times New Roman"/>
                <w:color w:val="000000"/>
                <w:sz w:val="20"/>
                <w:szCs w:val="20"/>
              </w:rPr>
              <w:t>3,698 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ADE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DE4"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ADE5"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ADE6" w14:textId="77777777" w:rsidR="004D6A64" w:rsidRDefault="00506CD6">
            <w:pPr>
              <w:jc w:val="right"/>
              <w:textAlignment w:val="center"/>
            </w:pPr>
            <w:r>
              <w:rPr>
                <w:rFonts w:ascii="Times New Roman" w:eastAsia="宋体" w:hAnsi="Times New Roman"/>
                <w:color w:val="000000"/>
                <w:sz w:val="20"/>
                <w:szCs w:val="20"/>
              </w:rPr>
              <w:t>1,788 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ADE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DE8"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ADE9"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ADEA" w14:textId="77777777" w:rsidR="004D6A64" w:rsidRDefault="00506CD6">
            <w:pPr>
              <w:jc w:val="right"/>
              <w:textAlignment w:val="center"/>
            </w:pPr>
            <w:r>
              <w:rPr>
                <w:rFonts w:ascii="Times New Roman" w:eastAsia="宋体" w:hAnsi="Times New Roman"/>
                <w:color w:val="000000"/>
                <w:sz w:val="20"/>
                <w:szCs w:val="20"/>
              </w:rPr>
              <w:t>482 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ADE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DEC"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ADED"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ADEE" w14:textId="77777777" w:rsidR="004D6A64" w:rsidRDefault="00506CD6">
            <w:pPr>
              <w:jc w:val="right"/>
              <w:textAlignment w:val="center"/>
            </w:pPr>
            <w:r>
              <w:rPr>
                <w:rFonts w:ascii="Times New Roman" w:eastAsia="宋体" w:hAnsi="Times New Roman"/>
                <w:color w:val="000000"/>
                <w:sz w:val="20"/>
                <w:szCs w:val="20"/>
              </w:rPr>
              <w:t>83 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ADE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DF0"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ADF1"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ADF2" w14:textId="77777777" w:rsidR="004D6A64" w:rsidRDefault="00506CD6">
            <w:pPr>
              <w:jc w:val="right"/>
              <w:textAlignment w:val="center"/>
            </w:pPr>
            <w:r>
              <w:rPr>
                <w:rFonts w:ascii="Times New Roman" w:eastAsia="宋体" w:hAnsi="Times New Roman"/>
                <w:color w:val="000000"/>
                <w:sz w:val="20"/>
                <w:szCs w:val="20"/>
              </w:rPr>
              <w:t>4 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ADF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DF4"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ADF5"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ADF6" w14:textId="77777777" w:rsidR="004D6A64" w:rsidRDefault="00506CD6">
            <w:pPr>
              <w:jc w:val="right"/>
              <w:textAlignment w:val="center"/>
            </w:pPr>
            <w:r>
              <w:rPr>
                <w:rFonts w:ascii="Times New Roman" w:eastAsia="宋体" w:hAnsi="Times New Roman"/>
                <w:color w:val="000000"/>
                <w:sz w:val="20"/>
                <w:szCs w:val="20"/>
              </w:rPr>
              <w:t>598 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ADF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DF8"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ADF9"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ADFA" w14:textId="77777777" w:rsidR="004D6A64" w:rsidRDefault="00506CD6">
            <w:pPr>
              <w:jc w:val="right"/>
              <w:textAlignment w:val="center"/>
            </w:pPr>
            <w:r>
              <w:rPr>
                <w:rFonts w:ascii="Times New Roman" w:eastAsia="宋体" w:hAnsi="Times New Roman"/>
                <w:color w:val="000000"/>
                <w:sz w:val="20"/>
                <w:szCs w:val="20"/>
              </w:rPr>
              <w:t>180 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ADF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DFC"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ADFD"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ADFE" w14:textId="77777777" w:rsidR="004D6A64" w:rsidRDefault="00506CD6">
            <w:pPr>
              <w:jc w:val="right"/>
              <w:textAlignment w:val="center"/>
            </w:pPr>
            <w:r>
              <w:rPr>
                <w:rFonts w:ascii="Times New Roman" w:eastAsia="宋体" w:hAnsi="Times New Roman"/>
                <w:color w:val="000000"/>
                <w:sz w:val="20"/>
                <w:szCs w:val="20"/>
              </w:rPr>
              <w:t>10,033 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ADFF" w14:textId="77777777" w:rsidR="004D6A64" w:rsidRDefault="004D6A64">
            <w:pPr>
              <w:jc w:val="right"/>
              <w:rPr>
                <w:rFonts w:ascii="宋体"/>
              </w:rPr>
            </w:pPr>
          </w:p>
        </w:tc>
        <w:tc>
          <w:tcPr>
            <w:tcW w:w="0" w:type="auto"/>
            <w:shd w:val="clear" w:color="auto" w:fill="auto"/>
          </w:tcPr>
          <w:p w14:paraId="33DAAE00" w14:textId="77777777" w:rsidR="004D6A64" w:rsidRDefault="004D6A64">
            <w:pPr>
              <w:rPr>
                <w:rFonts w:ascii="宋体"/>
              </w:rPr>
            </w:pPr>
          </w:p>
        </w:tc>
        <w:tc>
          <w:tcPr>
            <w:tcW w:w="0" w:type="auto"/>
            <w:shd w:val="clear" w:color="auto" w:fill="auto"/>
          </w:tcPr>
          <w:p w14:paraId="33DAAE01" w14:textId="77777777" w:rsidR="004D6A64" w:rsidRDefault="004D6A64">
            <w:pPr>
              <w:rPr>
                <w:rFonts w:ascii="宋体"/>
              </w:rPr>
            </w:pPr>
          </w:p>
        </w:tc>
        <w:tc>
          <w:tcPr>
            <w:tcW w:w="0" w:type="auto"/>
            <w:shd w:val="clear" w:color="auto" w:fill="auto"/>
          </w:tcPr>
          <w:p w14:paraId="33DAAE02" w14:textId="77777777" w:rsidR="004D6A64" w:rsidRDefault="004D6A64">
            <w:pPr>
              <w:rPr>
                <w:rFonts w:ascii="宋体"/>
              </w:rPr>
            </w:pPr>
          </w:p>
        </w:tc>
        <w:tc>
          <w:tcPr>
            <w:tcW w:w="0" w:type="auto"/>
            <w:shd w:val="clear" w:color="auto" w:fill="auto"/>
          </w:tcPr>
          <w:p w14:paraId="33DAAE03" w14:textId="77777777" w:rsidR="004D6A64" w:rsidRDefault="004D6A64">
            <w:pPr>
              <w:rPr>
                <w:rFonts w:ascii="宋体"/>
              </w:rPr>
            </w:pPr>
          </w:p>
        </w:tc>
        <w:tc>
          <w:tcPr>
            <w:tcW w:w="0" w:type="auto"/>
            <w:shd w:val="clear" w:color="auto" w:fill="auto"/>
          </w:tcPr>
          <w:p w14:paraId="33DAAE04" w14:textId="77777777" w:rsidR="004D6A64" w:rsidRDefault="004D6A64">
            <w:pPr>
              <w:rPr>
                <w:rFonts w:ascii="宋体"/>
              </w:rPr>
            </w:pPr>
          </w:p>
        </w:tc>
        <w:tc>
          <w:tcPr>
            <w:tcW w:w="0" w:type="auto"/>
            <w:shd w:val="clear" w:color="auto" w:fill="auto"/>
          </w:tcPr>
          <w:p w14:paraId="33DAAE05" w14:textId="77777777" w:rsidR="004D6A64" w:rsidRDefault="004D6A64">
            <w:pPr>
              <w:rPr>
                <w:rFonts w:ascii="宋体"/>
              </w:rPr>
            </w:pPr>
          </w:p>
        </w:tc>
        <w:tc>
          <w:tcPr>
            <w:tcW w:w="0" w:type="auto"/>
            <w:shd w:val="clear" w:color="auto" w:fill="auto"/>
          </w:tcPr>
          <w:p w14:paraId="33DAAE06" w14:textId="77777777" w:rsidR="004D6A64" w:rsidRDefault="004D6A64">
            <w:pPr>
              <w:rPr>
                <w:rFonts w:ascii="宋体"/>
              </w:rPr>
            </w:pPr>
          </w:p>
        </w:tc>
        <w:tc>
          <w:tcPr>
            <w:tcW w:w="0" w:type="auto"/>
            <w:shd w:val="clear" w:color="auto" w:fill="auto"/>
          </w:tcPr>
          <w:p w14:paraId="33DAAE07" w14:textId="77777777" w:rsidR="004D6A64" w:rsidRDefault="004D6A64">
            <w:pPr>
              <w:rPr>
                <w:rFonts w:ascii="宋体"/>
              </w:rPr>
            </w:pPr>
          </w:p>
        </w:tc>
        <w:tc>
          <w:tcPr>
            <w:tcW w:w="0" w:type="auto"/>
            <w:shd w:val="clear" w:color="auto" w:fill="auto"/>
          </w:tcPr>
          <w:p w14:paraId="33DAAE08" w14:textId="77777777" w:rsidR="004D6A64" w:rsidRDefault="004D6A64">
            <w:pPr>
              <w:rPr>
                <w:rFonts w:ascii="宋体"/>
              </w:rPr>
            </w:pPr>
          </w:p>
        </w:tc>
      </w:tr>
    </w:tbl>
    <w:p w14:paraId="33DAAE0A" w14:textId="77777777" w:rsidR="004D6A64" w:rsidRDefault="00506CD6">
      <w:r>
        <w:rPr>
          <w:rFonts w:ascii="Times New Roman" w:eastAsia="宋体" w:hAnsi="Times New Roman"/>
          <w:color w:val="000000"/>
          <w:sz w:val="20"/>
          <w:szCs w:val="20"/>
        </w:rPr>
        <w:t>____________________</w:t>
      </w:r>
    </w:p>
    <w:p w14:paraId="33DAAE0B" w14:textId="77777777" w:rsidR="004D6A64" w:rsidRDefault="00506CD6">
      <w:pPr>
        <w:pBdr>
          <w:left w:val="none" w:sz="0" w:space="0" w:color="auto"/>
        </w:pBdr>
        <w:ind w:hanging="360"/>
      </w:pPr>
      <w:r>
        <w:rPr>
          <w:rFonts w:ascii="Times New Roman" w:eastAsia="宋体" w:hAnsi="Times New Roman"/>
          <w:color w:val="000000"/>
          <w:sz w:val="20"/>
          <w:szCs w:val="20"/>
        </w:rPr>
        <w:t>(a) The revolving portfolio is exempt from the requirement to disclose the amortized cost basis by year of origination since determining the appropriate origi</w:t>
      </w:r>
      <w:r>
        <w:rPr>
          <w:rFonts w:ascii="Times New Roman" w:eastAsia="宋体" w:hAnsi="Times New Roman"/>
          <w:color w:val="000000"/>
          <w:sz w:val="20"/>
          <w:szCs w:val="20"/>
        </w:rPr>
        <w:t xml:space="preserve">nation year can be complex due to the nature of the revolving portfolio. </w:t>
      </w:r>
    </w:p>
    <w:p w14:paraId="33DAAE0C" w14:textId="77777777" w:rsidR="004D6A64" w:rsidRDefault="004D6A64"/>
    <w:p w14:paraId="33DAAE0D" w14:textId="77777777" w:rsidR="004D6A64" w:rsidRDefault="00506CD6">
      <w:r>
        <w:rPr>
          <w:rFonts w:ascii="Times New Roman" w:eastAsia="宋体" w:hAnsi="Times New Roman"/>
          <w:color w:val="000000"/>
          <w:sz w:val="20"/>
          <w:szCs w:val="20"/>
        </w:rPr>
        <w:t>The following table presents customer receivables, gross, including accrued interest, by credit quality indicator segregated by class, as of the date indicated, and was not recast t</w:t>
      </w:r>
      <w:r>
        <w:rPr>
          <w:rFonts w:ascii="Times New Roman" w:eastAsia="宋体" w:hAnsi="Times New Roman"/>
          <w:color w:val="000000"/>
          <w:sz w:val="20"/>
          <w:szCs w:val="20"/>
        </w:rPr>
        <w:t>o reflect the impact of adoption of the new CECL standard:</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1333"/>
        <w:gridCol w:w="36"/>
        <w:gridCol w:w="136"/>
        <w:gridCol w:w="1312"/>
        <w:gridCol w:w="41"/>
        <w:gridCol w:w="36"/>
        <w:gridCol w:w="36"/>
        <w:gridCol w:w="36"/>
        <w:gridCol w:w="136"/>
        <w:gridCol w:w="1313"/>
        <w:gridCol w:w="41"/>
        <w:gridCol w:w="36"/>
        <w:gridCol w:w="36"/>
        <w:gridCol w:w="36"/>
        <w:gridCol w:w="136"/>
        <w:gridCol w:w="1313"/>
        <w:gridCol w:w="41"/>
        <w:gridCol w:w="36"/>
        <w:gridCol w:w="36"/>
        <w:gridCol w:w="36"/>
        <w:gridCol w:w="135"/>
        <w:gridCol w:w="1313"/>
        <w:gridCol w:w="41"/>
        <w:gridCol w:w="36"/>
        <w:gridCol w:w="36"/>
        <w:gridCol w:w="36"/>
        <w:gridCol w:w="36"/>
        <w:gridCol w:w="36"/>
        <w:gridCol w:w="36"/>
        <w:gridCol w:w="36"/>
        <w:gridCol w:w="36"/>
        <w:gridCol w:w="36"/>
        <w:gridCol w:w="36"/>
        <w:gridCol w:w="36"/>
        <w:gridCol w:w="36"/>
        <w:gridCol w:w="36"/>
        <w:gridCol w:w="36"/>
        <w:gridCol w:w="36"/>
        <w:gridCol w:w="36"/>
        <w:gridCol w:w="36"/>
        <w:gridCol w:w="36"/>
      </w:tblGrid>
      <w:tr w:rsidR="004D6A64" w14:paraId="33DAAE26" w14:textId="77777777">
        <w:trPr>
          <w:gridAfter w:val="18"/>
          <w:jc w:val="center"/>
        </w:trPr>
        <w:tc>
          <w:tcPr>
            <w:tcW w:w="50" w:type="pct"/>
            <w:shd w:val="clear" w:color="auto" w:fill="auto"/>
          </w:tcPr>
          <w:p w14:paraId="33DAAE0E" w14:textId="77777777" w:rsidR="004D6A64" w:rsidRDefault="004D6A64">
            <w:pPr>
              <w:rPr>
                <w:rFonts w:ascii="宋体"/>
              </w:rPr>
            </w:pPr>
          </w:p>
        </w:tc>
        <w:tc>
          <w:tcPr>
            <w:tcW w:w="968" w:type="pct"/>
            <w:shd w:val="clear" w:color="auto" w:fill="auto"/>
          </w:tcPr>
          <w:p w14:paraId="33DAAE0F" w14:textId="77777777" w:rsidR="004D6A64" w:rsidRDefault="004D6A64">
            <w:pPr>
              <w:rPr>
                <w:rFonts w:ascii="宋体"/>
              </w:rPr>
            </w:pPr>
          </w:p>
        </w:tc>
        <w:tc>
          <w:tcPr>
            <w:tcW w:w="5" w:type="pct"/>
            <w:shd w:val="clear" w:color="auto" w:fill="auto"/>
          </w:tcPr>
          <w:p w14:paraId="33DAAE10" w14:textId="77777777" w:rsidR="004D6A64" w:rsidRDefault="004D6A64">
            <w:pPr>
              <w:rPr>
                <w:rFonts w:ascii="宋体"/>
              </w:rPr>
            </w:pPr>
          </w:p>
        </w:tc>
        <w:tc>
          <w:tcPr>
            <w:tcW w:w="50" w:type="pct"/>
            <w:shd w:val="clear" w:color="auto" w:fill="auto"/>
          </w:tcPr>
          <w:p w14:paraId="33DAAE11" w14:textId="77777777" w:rsidR="004D6A64" w:rsidRDefault="004D6A64">
            <w:pPr>
              <w:rPr>
                <w:rFonts w:ascii="宋体"/>
              </w:rPr>
            </w:pPr>
          </w:p>
        </w:tc>
        <w:tc>
          <w:tcPr>
            <w:tcW w:w="917" w:type="pct"/>
            <w:shd w:val="clear" w:color="auto" w:fill="auto"/>
          </w:tcPr>
          <w:p w14:paraId="33DAAE12" w14:textId="77777777" w:rsidR="004D6A64" w:rsidRDefault="004D6A64">
            <w:pPr>
              <w:rPr>
                <w:rFonts w:ascii="宋体"/>
              </w:rPr>
            </w:pPr>
          </w:p>
        </w:tc>
        <w:tc>
          <w:tcPr>
            <w:tcW w:w="5" w:type="pct"/>
            <w:shd w:val="clear" w:color="auto" w:fill="auto"/>
          </w:tcPr>
          <w:p w14:paraId="33DAAE13" w14:textId="77777777" w:rsidR="004D6A64" w:rsidRDefault="004D6A64">
            <w:pPr>
              <w:rPr>
                <w:rFonts w:ascii="宋体"/>
              </w:rPr>
            </w:pPr>
          </w:p>
        </w:tc>
        <w:tc>
          <w:tcPr>
            <w:tcW w:w="5" w:type="pct"/>
            <w:shd w:val="clear" w:color="auto" w:fill="auto"/>
          </w:tcPr>
          <w:p w14:paraId="33DAAE14" w14:textId="77777777" w:rsidR="004D6A64" w:rsidRDefault="004D6A64">
            <w:pPr>
              <w:rPr>
                <w:rFonts w:ascii="宋体"/>
              </w:rPr>
            </w:pPr>
          </w:p>
        </w:tc>
        <w:tc>
          <w:tcPr>
            <w:tcW w:w="19" w:type="pct"/>
            <w:shd w:val="clear" w:color="auto" w:fill="auto"/>
          </w:tcPr>
          <w:p w14:paraId="33DAAE15" w14:textId="77777777" w:rsidR="004D6A64" w:rsidRDefault="004D6A64">
            <w:pPr>
              <w:rPr>
                <w:rFonts w:ascii="宋体"/>
              </w:rPr>
            </w:pPr>
          </w:p>
        </w:tc>
        <w:tc>
          <w:tcPr>
            <w:tcW w:w="5" w:type="pct"/>
            <w:shd w:val="clear" w:color="auto" w:fill="auto"/>
          </w:tcPr>
          <w:p w14:paraId="33DAAE16" w14:textId="77777777" w:rsidR="004D6A64" w:rsidRDefault="004D6A64">
            <w:pPr>
              <w:rPr>
                <w:rFonts w:ascii="宋体"/>
              </w:rPr>
            </w:pPr>
          </w:p>
        </w:tc>
        <w:tc>
          <w:tcPr>
            <w:tcW w:w="50" w:type="pct"/>
            <w:shd w:val="clear" w:color="auto" w:fill="auto"/>
          </w:tcPr>
          <w:p w14:paraId="33DAAE17" w14:textId="77777777" w:rsidR="004D6A64" w:rsidRDefault="004D6A64">
            <w:pPr>
              <w:rPr>
                <w:rFonts w:ascii="宋体"/>
              </w:rPr>
            </w:pPr>
          </w:p>
        </w:tc>
        <w:tc>
          <w:tcPr>
            <w:tcW w:w="917" w:type="pct"/>
            <w:shd w:val="clear" w:color="auto" w:fill="auto"/>
          </w:tcPr>
          <w:p w14:paraId="33DAAE18" w14:textId="77777777" w:rsidR="004D6A64" w:rsidRDefault="004D6A64">
            <w:pPr>
              <w:rPr>
                <w:rFonts w:ascii="宋体"/>
              </w:rPr>
            </w:pPr>
          </w:p>
        </w:tc>
        <w:tc>
          <w:tcPr>
            <w:tcW w:w="5" w:type="pct"/>
            <w:shd w:val="clear" w:color="auto" w:fill="auto"/>
          </w:tcPr>
          <w:p w14:paraId="33DAAE19" w14:textId="77777777" w:rsidR="004D6A64" w:rsidRDefault="004D6A64">
            <w:pPr>
              <w:rPr>
                <w:rFonts w:ascii="宋体"/>
              </w:rPr>
            </w:pPr>
          </w:p>
        </w:tc>
        <w:tc>
          <w:tcPr>
            <w:tcW w:w="5" w:type="pct"/>
            <w:shd w:val="clear" w:color="auto" w:fill="auto"/>
          </w:tcPr>
          <w:p w14:paraId="33DAAE1A" w14:textId="77777777" w:rsidR="004D6A64" w:rsidRDefault="004D6A64">
            <w:pPr>
              <w:rPr>
                <w:rFonts w:ascii="宋体"/>
              </w:rPr>
            </w:pPr>
          </w:p>
        </w:tc>
        <w:tc>
          <w:tcPr>
            <w:tcW w:w="19" w:type="pct"/>
            <w:shd w:val="clear" w:color="auto" w:fill="auto"/>
          </w:tcPr>
          <w:p w14:paraId="33DAAE1B" w14:textId="77777777" w:rsidR="004D6A64" w:rsidRDefault="004D6A64">
            <w:pPr>
              <w:rPr>
                <w:rFonts w:ascii="宋体"/>
              </w:rPr>
            </w:pPr>
          </w:p>
        </w:tc>
        <w:tc>
          <w:tcPr>
            <w:tcW w:w="5" w:type="pct"/>
            <w:shd w:val="clear" w:color="auto" w:fill="auto"/>
          </w:tcPr>
          <w:p w14:paraId="33DAAE1C" w14:textId="77777777" w:rsidR="004D6A64" w:rsidRDefault="004D6A64">
            <w:pPr>
              <w:rPr>
                <w:rFonts w:ascii="宋体"/>
              </w:rPr>
            </w:pPr>
          </w:p>
        </w:tc>
        <w:tc>
          <w:tcPr>
            <w:tcW w:w="50" w:type="pct"/>
            <w:shd w:val="clear" w:color="auto" w:fill="auto"/>
          </w:tcPr>
          <w:p w14:paraId="33DAAE1D" w14:textId="77777777" w:rsidR="004D6A64" w:rsidRDefault="004D6A64">
            <w:pPr>
              <w:rPr>
                <w:rFonts w:ascii="宋体"/>
              </w:rPr>
            </w:pPr>
          </w:p>
        </w:tc>
        <w:tc>
          <w:tcPr>
            <w:tcW w:w="917" w:type="pct"/>
            <w:shd w:val="clear" w:color="auto" w:fill="auto"/>
          </w:tcPr>
          <w:p w14:paraId="33DAAE1E" w14:textId="77777777" w:rsidR="004D6A64" w:rsidRDefault="004D6A64">
            <w:pPr>
              <w:rPr>
                <w:rFonts w:ascii="宋体"/>
              </w:rPr>
            </w:pPr>
          </w:p>
        </w:tc>
        <w:tc>
          <w:tcPr>
            <w:tcW w:w="5" w:type="pct"/>
            <w:shd w:val="clear" w:color="auto" w:fill="auto"/>
          </w:tcPr>
          <w:p w14:paraId="33DAAE1F" w14:textId="77777777" w:rsidR="004D6A64" w:rsidRDefault="004D6A64">
            <w:pPr>
              <w:rPr>
                <w:rFonts w:ascii="宋体"/>
              </w:rPr>
            </w:pPr>
          </w:p>
        </w:tc>
        <w:tc>
          <w:tcPr>
            <w:tcW w:w="5" w:type="pct"/>
            <w:shd w:val="clear" w:color="auto" w:fill="auto"/>
          </w:tcPr>
          <w:p w14:paraId="33DAAE20" w14:textId="77777777" w:rsidR="004D6A64" w:rsidRDefault="004D6A64">
            <w:pPr>
              <w:rPr>
                <w:rFonts w:ascii="宋体"/>
              </w:rPr>
            </w:pPr>
          </w:p>
        </w:tc>
        <w:tc>
          <w:tcPr>
            <w:tcW w:w="19" w:type="pct"/>
            <w:shd w:val="clear" w:color="auto" w:fill="auto"/>
          </w:tcPr>
          <w:p w14:paraId="33DAAE21" w14:textId="77777777" w:rsidR="004D6A64" w:rsidRDefault="004D6A64">
            <w:pPr>
              <w:rPr>
                <w:rFonts w:ascii="宋体"/>
              </w:rPr>
            </w:pPr>
          </w:p>
        </w:tc>
        <w:tc>
          <w:tcPr>
            <w:tcW w:w="5" w:type="pct"/>
            <w:shd w:val="clear" w:color="auto" w:fill="auto"/>
          </w:tcPr>
          <w:p w14:paraId="33DAAE22" w14:textId="77777777" w:rsidR="004D6A64" w:rsidRDefault="004D6A64">
            <w:pPr>
              <w:rPr>
                <w:rFonts w:ascii="宋体"/>
              </w:rPr>
            </w:pPr>
          </w:p>
        </w:tc>
        <w:tc>
          <w:tcPr>
            <w:tcW w:w="50" w:type="pct"/>
            <w:shd w:val="clear" w:color="auto" w:fill="auto"/>
          </w:tcPr>
          <w:p w14:paraId="33DAAE23" w14:textId="77777777" w:rsidR="004D6A64" w:rsidRDefault="004D6A64">
            <w:pPr>
              <w:rPr>
                <w:rFonts w:ascii="宋体"/>
              </w:rPr>
            </w:pPr>
          </w:p>
        </w:tc>
        <w:tc>
          <w:tcPr>
            <w:tcW w:w="917" w:type="pct"/>
            <w:shd w:val="clear" w:color="auto" w:fill="auto"/>
          </w:tcPr>
          <w:p w14:paraId="33DAAE24" w14:textId="77777777" w:rsidR="004D6A64" w:rsidRDefault="004D6A64">
            <w:pPr>
              <w:rPr>
                <w:rFonts w:ascii="宋体"/>
              </w:rPr>
            </w:pPr>
          </w:p>
        </w:tc>
        <w:tc>
          <w:tcPr>
            <w:tcW w:w="5" w:type="pct"/>
            <w:shd w:val="clear" w:color="auto" w:fill="auto"/>
          </w:tcPr>
          <w:p w14:paraId="33DAAE25" w14:textId="77777777" w:rsidR="004D6A64" w:rsidRDefault="004D6A64">
            <w:pPr>
              <w:rPr>
                <w:rFonts w:ascii="宋体"/>
              </w:rPr>
            </w:pPr>
          </w:p>
        </w:tc>
      </w:tr>
      <w:tr w:rsidR="004D6A64" w14:paraId="33DAAE2F" w14:textId="77777777">
        <w:trPr>
          <w:jc w:val="center"/>
        </w:trPr>
        <w:tc>
          <w:tcPr>
            <w:tcW w:w="0" w:type="auto"/>
            <w:gridSpan w:val="3"/>
            <w:shd w:val="clear" w:color="auto" w:fill="auto"/>
            <w:tcMar>
              <w:left w:w="20" w:type="dxa"/>
              <w:right w:w="20" w:type="dxa"/>
            </w:tcMar>
            <w:vAlign w:val="bottom"/>
          </w:tcPr>
          <w:p w14:paraId="33DAAE27" w14:textId="77777777" w:rsidR="004D6A64" w:rsidRDefault="004D6A64">
            <w:pPr>
              <w:rPr>
                <w:rFonts w:ascii="宋体"/>
              </w:rPr>
            </w:pPr>
          </w:p>
        </w:tc>
        <w:tc>
          <w:tcPr>
            <w:tcW w:w="0" w:type="auto"/>
            <w:gridSpan w:val="21"/>
            <w:shd w:val="clear" w:color="auto" w:fill="auto"/>
            <w:tcMar>
              <w:top w:w="40" w:type="dxa"/>
              <w:left w:w="20" w:type="dxa"/>
              <w:bottom w:w="40" w:type="dxa"/>
              <w:right w:w="20" w:type="dxa"/>
            </w:tcMar>
            <w:vAlign w:val="center"/>
          </w:tcPr>
          <w:p w14:paraId="33DAAE28" w14:textId="77777777" w:rsidR="004D6A64" w:rsidRDefault="00506CD6">
            <w:pPr>
              <w:jc w:val="center"/>
              <w:textAlignment w:val="center"/>
            </w:pPr>
            <w:r>
              <w:rPr>
                <w:rFonts w:ascii="Times New Roman" w:eastAsia="宋体" w:hAnsi="Times New Roman"/>
                <w:b/>
                <w:bCs/>
                <w:color w:val="000000"/>
                <w:sz w:val="20"/>
                <w:szCs w:val="20"/>
              </w:rPr>
              <w:t>January 31, 2020</w:t>
            </w:r>
          </w:p>
        </w:tc>
        <w:tc>
          <w:tcPr>
            <w:tcW w:w="0" w:type="auto"/>
            <w:gridSpan w:val="3"/>
            <w:shd w:val="clear" w:color="auto" w:fill="auto"/>
          </w:tcPr>
          <w:p w14:paraId="33DAAE29" w14:textId="77777777" w:rsidR="004D6A64" w:rsidRDefault="004D6A64">
            <w:pPr>
              <w:rPr>
                <w:rFonts w:ascii="宋体"/>
                <w:vanish/>
              </w:rPr>
            </w:pPr>
          </w:p>
        </w:tc>
        <w:tc>
          <w:tcPr>
            <w:tcW w:w="0" w:type="auto"/>
            <w:gridSpan w:val="3"/>
            <w:shd w:val="clear" w:color="auto" w:fill="auto"/>
          </w:tcPr>
          <w:p w14:paraId="33DAAE2A" w14:textId="77777777" w:rsidR="004D6A64" w:rsidRDefault="004D6A64">
            <w:pPr>
              <w:rPr>
                <w:rFonts w:ascii="宋体"/>
                <w:vanish/>
              </w:rPr>
            </w:pPr>
          </w:p>
        </w:tc>
        <w:tc>
          <w:tcPr>
            <w:tcW w:w="0" w:type="auto"/>
            <w:gridSpan w:val="3"/>
            <w:shd w:val="clear" w:color="auto" w:fill="auto"/>
          </w:tcPr>
          <w:p w14:paraId="33DAAE2B" w14:textId="77777777" w:rsidR="004D6A64" w:rsidRDefault="004D6A64">
            <w:pPr>
              <w:rPr>
                <w:rFonts w:ascii="宋体"/>
                <w:vanish/>
              </w:rPr>
            </w:pPr>
          </w:p>
        </w:tc>
        <w:tc>
          <w:tcPr>
            <w:tcW w:w="0" w:type="auto"/>
            <w:gridSpan w:val="3"/>
            <w:shd w:val="clear" w:color="auto" w:fill="auto"/>
          </w:tcPr>
          <w:p w14:paraId="33DAAE2C" w14:textId="77777777" w:rsidR="004D6A64" w:rsidRDefault="004D6A64">
            <w:pPr>
              <w:rPr>
                <w:rFonts w:ascii="宋体"/>
                <w:vanish/>
              </w:rPr>
            </w:pPr>
          </w:p>
        </w:tc>
        <w:tc>
          <w:tcPr>
            <w:tcW w:w="0" w:type="auto"/>
            <w:gridSpan w:val="3"/>
            <w:shd w:val="clear" w:color="auto" w:fill="auto"/>
          </w:tcPr>
          <w:p w14:paraId="33DAAE2D" w14:textId="77777777" w:rsidR="004D6A64" w:rsidRDefault="004D6A64">
            <w:pPr>
              <w:rPr>
                <w:rFonts w:ascii="宋体"/>
                <w:vanish/>
              </w:rPr>
            </w:pPr>
          </w:p>
        </w:tc>
        <w:tc>
          <w:tcPr>
            <w:tcW w:w="0" w:type="auto"/>
            <w:gridSpan w:val="3"/>
            <w:shd w:val="clear" w:color="auto" w:fill="auto"/>
          </w:tcPr>
          <w:p w14:paraId="33DAAE2E" w14:textId="77777777" w:rsidR="004D6A64" w:rsidRDefault="004D6A64">
            <w:pPr>
              <w:rPr>
                <w:rFonts w:ascii="宋体"/>
                <w:vanish/>
              </w:rPr>
            </w:pPr>
          </w:p>
        </w:tc>
      </w:tr>
      <w:tr w:rsidR="004D6A64" w14:paraId="33DAAE4A" w14:textId="77777777">
        <w:trPr>
          <w:jc w:val="center"/>
        </w:trPr>
        <w:tc>
          <w:tcPr>
            <w:tcW w:w="0" w:type="auto"/>
            <w:gridSpan w:val="3"/>
            <w:shd w:val="clear" w:color="auto" w:fill="auto"/>
            <w:tcMar>
              <w:left w:w="20" w:type="dxa"/>
              <w:right w:w="20" w:type="dxa"/>
            </w:tcMar>
            <w:vAlign w:val="bottom"/>
          </w:tcPr>
          <w:p w14:paraId="33DAAE30"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AE31" w14:textId="77777777" w:rsidR="004D6A64" w:rsidRDefault="00506CD6">
            <w:pPr>
              <w:jc w:val="center"/>
              <w:textAlignment w:val="bottom"/>
            </w:pPr>
            <w:r>
              <w:rPr>
                <w:rFonts w:ascii="Times New Roman" w:eastAsia="宋体" w:hAnsi="Times New Roman"/>
                <w:b/>
                <w:bCs/>
                <w:color w:val="000000"/>
                <w:sz w:val="20"/>
                <w:szCs w:val="20"/>
              </w:rPr>
              <w:t>Fixed-term — Consumer and Commercial</w:t>
            </w:r>
          </w:p>
        </w:tc>
        <w:tc>
          <w:tcPr>
            <w:tcW w:w="0" w:type="auto"/>
            <w:gridSpan w:val="3"/>
            <w:tcBorders>
              <w:top w:val="single" w:sz="8" w:space="0" w:color="000000"/>
            </w:tcBorders>
            <w:shd w:val="clear" w:color="auto" w:fill="auto"/>
            <w:tcMar>
              <w:left w:w="20" w:type="dxa"/>
              <w:right w:w="20" w:type="dxa"/>
            </w:tcMar>
            <w:vAlign w:val="bottom"/>
          </w:tcPr>
          <w:p w14:paraId="33DAAE32"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E33" w14:textId="77777777" w:rsidR="004D6A64" w:rsidRDefault="00506CD6">
            <w:pPr>
              <w:jc w:val="center"/>
              <w:textAlignment w:val="bottom"/>
            </w:pPr>
            <w:r>
              <w:rPr>
                <w:rFonts w:ascii="Times New Roman" w:eastAsia="宋体" w:hAnsi="Times New Roman"/>
                <w:b/>
                <w:bCs/>
                <w:color w:val="000000"/>
                <w:sz w:val="20"/>
                <w:szCs w:val="20"/>
              </w:rPr>
              <w:t>Revolving — DPA</w:t>
            </w:r>
          </w:p>
        </w:tc>
        <w:tc>
          <w:tcPr>
            <w:tcW w:w="0" w:type="auto"/>
            <w:gridSpan w:val="3"/>
            <w:tcBorders>
              <w:top w:val="single" w:sz="8" w:space="0" w:color="000000"/>
            </w:tcBorders>
            <w:shd w:val="clear" w:color="auto" w:fill="auto"/>
            <w:tcMar>
              <w:left w:w="20" w:type="dxa"/>
              <w:right w:w="20" w:type="dxa"/>
            </w:tcMar>
            <w:vAlign w:val="bottom"/>
          </w:tcPr>
          <w:p w14:paraId="33DAAE34"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E35" w14:textId="77777777" w:rsidR="004D6A64" w:rsidRDefault="00506CD6">
            <w:pPr>
              <w:jc w:val="center"/>
              <w:textAlignment w:val="bottom"/>
            </w:pPr>
            <w:r>
              <w:rPr>
                <w:rFonts w:ascii="Times New Roman" w:eastAsia="宋体" w:hAnsi="Times New Roman"/>
                <w:b/>
                <w:bCs/>
                <w:color w:val="000000"/>
                <w:sz w:val="20"/>
                <w:szCs w:val="20"/>
              </w:rPr>
              <w:t>Revolving — DBC</w:t>
            </w:r>
          </w:p>
        </w:tc>
        <w:tc>
          <w:tcPr>
            <w:tcW w:w="0" w:type="auto"/>
            <w:gridSpan w:val="3"/>
            <w:tcBorders>
              <w:top w:val="single" w:sz="8" w:space="0" w:color="000000"/>
            </w:tcBorders>
            <w:shd w:val="clear" w:color="auto" w:fill="auto"/>
            <w:tcMar>
              <w:left w:w="20" w:type="dxa"/>
              <w:right w:w="20" w:type="dxa"/>
            </w:tcMar>
            <w:vAlign w:val="bottom"/>
          </w:tcPr>
          <w:p w14:paraId="33DAAE36"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E37" w14:textId="77777777" w:rsidR="004D6A64" w:rsidRDefault="00506CD6">
            <w:pPr>
              <w:jc w:val="center"/>
              <w:textAlignment w:val="bottom"/>
            </w:pPr>
            <w:r>
              <w:rPr>
                <w:rFonts w:ascii="Times New Roman" w:eastAsia="宋体" w:hAnsi="Times New Roman"/>
                <w:b/>
                <w:bCs/>
                <w:color w:val="000000"/>
                <w:sz w:val="20"/>
                <w:szCs w:val="20"/>
              </w:rPr>
              <w:t>Total</w:t>
            </w:r>
          </w:p>
        </w:tc>
        <w:tc>
          <w:tcPr>
            <w:tcW w:w="0" w:type="auto"/>
            <w:shd w:val="clear" w:color="auto" w:fill="auto"/>
          </w:tcPr>
          <w:p w14:paraId="33DAAE38" w14:textId="77777777" w:rsidR="004D6A64" w:rsidRDefault="004D6A64">
            <w:pPr>
              <w:rPr>
                <w:rFonts w:ascii="宋体"/>
              </w:rPr>
            </w:pPr>
          </w:p>
        </w:tc>
        <w:tc>
          <w:tcPr>
            <w:tcW w:w="0" w:type="auto"/>
            <w:shd w:val="clear" w:color="auto" w:fill="auto"/>
          </w:tcPr>
          <w:p w14:paraId="33DAAE39" w14:textId="77777777" w:rsidR="004D6A64" w:rsidRDefault="004D6A64">
            <w:pPr>
              <w:rPr>
                <w:rFonts w:ascii="宋体"/>
              </w:rPr>
            </w:pPr>
          </w:p>
        </w:tc>
        <w:tc>
          <w:tcPr>
            <w:tcW w:w="0" w:type="auto"/>
            <w:shd w:val="clear" w:color="auto" w:fill="auto"/>
          </w:tcPr>
          <w:p w14:paraId="33DAAE3A" w14:textId="77777777" w:rsidR="004D6A64" w:rsidRDefault="004D6A64">
            <w:pPr>
              <w:rPr>
                <w:rFonts w:ascii="宋体"/>
              </w:rPr>
            </w:pPr>
          </w:p>
        </w:tc>
        <w:tc>
          <w:tcPr>
            <w:tcW w:w="0" w:type="auto"/>
            <w:shd w:val="clear" w:color="auto" w:fill="auto"/>
          </w:tcPr>
          <w:p w14:paraId="33DAAE3B" w14:textId="77777777" w:rsidR="004D6A64" w:rsidRDefault="004D6A64">
            <w:pPr>
              <w:rPr>
                <w:rFonts w:ascii="宋体"/>
              </w:rPr>
            </w:pPr>
          </w:p>
        </w:tc>
        <w:tc>
          <w:tcPr>
            <w:tcW w:w="0" w:type="auto"/>
            <w:shd w:val="clear" w:color="auto" w:fill="auto"/>
          </w:tcPr>
          <w:p w14:paraId="33DAAE3C" w14:textId="77777777" w:rsidR="004D6A64" w:rsidRDefault="004D6A64">
            <w:pPr>
              <w:rPr>
                <w:rFonts w:ascii="宋体"/>
              </w:rPr>
            </w:pPr>
          </w:p>
        </w:tc>
        <w:tc>
          <w:tcPr>
            <w:tcW w:w="0" w:type="auto"/>
            <w:shd w:val="clear" w:color="auto" w:fill="auto"/>
          </w:tcPr>
          <w:p w14:paraId="33DAAE3D" w14:textId="77777777" w:rsidR="004D6A64" w:rsidRDefault="004D6A64">
            <w:pPr>
              <w:rPr>
                <w:rFonts w:ascii="宋体"/>
              </w:rPr>
            </w:pPr>
          </w:p>
        </w:tc>
        <w:tc>
          <w:tcPr>
            <w:tcW w:w="0" w:type="auto"/>
            <w:shd w:val="clear" w:color="auto" w:fill="auto"/>
          </w:tcPr>
          <w:p w14:paraId="33DAAE3E" w14:textId="77777777" w:rsidR="004D6A64" w:rsidRDefault="004D6A64">
            <w:pPr>
              <w:rPr>
                <w:rFonts w:ascii="宋体"/>
              </w:rPr>
            </w:pPr>
          </w:p>
        </w:tc>
        <w:tc>
          <w:tcPr>
            <w:tcW w:w="0" w:type="auto"/>
            <w:shd w:val="clear" w:color="auto" w:fill="auto"/>
          </w:tcPr>
          <w:p w14:paraId="33DAAE3F" w14:textId="77777777" w:rsidR="004D6A64" w:rsidRDefault="004D6A64">
            <w:pPr>
              <w:rPr>
                <w:rFonts w:ascii="宋体"/>
              </w:rPr>
            </w:pPr>
          </w:p>
        </w:tc>
        <w:tc>
          <w:tcPr>
            <w:tcW w:w="0" w:type="auto"/>
            <w:shd w:val="clear" w:color="auto" w:fill="auto"/>
          </w:tcPr>
          <w:p w14:paraId="33DAAE40" w14:textId="77777777" w:rsidR="004D6A64" w:rsidRDefault="004D6A64">
            <w:pPr>
              <w:rPr>
                <w:rFonts w:ascii="宋体"/>
              </w:rPr>
            </w:pPr>
          </w:p>
        </w:tc>
        <w:tc>
          <w:tcPr>
            <w:tcW w:w="0" w:type="auto"/>
            <w:shd w:val="clear" w:color="auto" w:fill="auto"/>
          </w:tcPr>
          <w:p w14:paraId="33DAAE41" w14:textId="77777777" w:rsidR="004D6A64" w:rsidRDefault="004D6A64">
            <w:pPr>
              <w:rPr>
                <w:rFonts w:ascii="宋体"/>
              </w:rPr>
            </w:pPr>
          </w:p>
        </w:tc>
        <w:tc>
          <w:tcPr>
            <w:tcW w:w="0" w:type="auto"/>
            <w:shd w:val="clear" w:color="auto" w:fill="auto"/>
          </w:tcPr>
          <w:p w14:paraId="33DAAE42" w14:textId="77777777" w:rsidR="004D6A64" w:rsidRDefault="004D6A64">
            <w:pPr>
              <w:rPr>
                <w:rFonts w:ascii="宋体"/>
              </w:rPr>
            </w:pPr>
          </w:p>
        </w:tc>
        <w:tc>
          <w:tcPr>
            <w:tcW w:w="0" w:type="auto"/>
            <w:shd w:val="clear" w:color="auto" w:fill="auto"/>
          </w:tcPr>
          <w:p w14:paraId="33DAAE43" w14:textId="77777777" w:rsidR="004D6A64" w:rsidRDefault="004D6A64">
            <w:pPr>
              <w:rPr>
                <w:rFonts w:ascii="宋体"/>
              </w:rPr>
            </w:pPr>
          </w:p>
        </w:tc>
        <w:tc>
          <w:tcPr>
            <w:tcW w:w="0" w:type="auto"/>
            <w:shd w:val="clear" w:color="auto" w:fill="auto"/>
          </w:tcPr>
          <w:p w14:paraId="33DAAE44" w14:textId="77777777" w:rsidR="004D6A64" w:rsidRDefault="004D6A64">
            <w:pPr>
              <w:rPr>
                <w:rFonts w:ascii="宋体"/>
              </w:rPr>
            </w:pPr>
          </w:p>
        </w:tc>
        <w:tc>
          <w:tcPr>
            <w:tcW w:w="0" w:type="auto"/>
            <w:shd w:val="clear" w:color="auto" w:fill="auto"/>
          </w:tcPr>
          <w:p w14:paraId="33DAAE45" w14:textId="77777777" w:rsidR="004D6A64" w:rsidRDefault="004D6A64">
            <w:pPr>
              <w:rPr>
                <w:rFonts w:ascii="宋体"/>
              </w:rPr>
            </w:pPr>
          </w:p>
        </w:tc>
        <w:tc>
          <w:tcPr>
            <w:tcW w:w="0" w:type="auto"/>
            <w:shd w:val="clear" w:color="auto" w:fill="auto"/>
          </w:tcPr>
          <w:p w14:paraId="33DAAE46" w14:textId="77777777" w:rsidR="004D6A64" w:rsidRDefault="004D6A64">
            <w:pPr>
              <w:rPr>
                <w:rFonts w:ascii="宋体"/>
              </w:rPr>
            </w:pPr>
          </w:p>
        </w:tc>
        <w:tc>
          <w:tcPr>
            <w:tcW w:w="0" w:type="auto"/>
            <w:shd w:val="clear" w:color="auto" w:fill="auto"/>
          </w:tcPr>
          <w:p w14:paraId="33DAAE47" w14:textId="77777777" w:rsidR="004D6A64" w:rsidRDefault="004D6A64">
            <w:pPr>
              <w:rPr>
                <w:rFonts w:ascii="宋体"/>
              </w:rPr>
            </w:pPr>
          </w:p>
        </w:tc>
        <w:tc>
          <w:tcPr>
            <w:tcW w:w="0" w:type="auto"/>
            <w:shd w:val="clear" w:color="auto" w:fill="auto"/>
          </w:tcPr>
          <w:p w14:paraId="33DAAE48" w14:textId="77777777" w:rsidR="004D6A64" w:rsidRDefault="004D6A64">
            <w:pPr>
              <w:rPr>
                <w:rFonts w:ascii="宋体"/>
              </w:rPr>
            </w:pPr>
          </w:p>
        </w:tc>
        <w:tc>
          <w:tcPr>
            <w:tcW w:w="0" w:type="auto"/>
            <w:shd w:val="clear" w:color="auto" w:fill="auto"/>
          </w:tcPr>
          <w:p w14:paraId="33DAAE49" w14:textId="77777777" w:rsidR="004D6A64" w:rsidRDefault="004D6A64">
            <w:pPr>
              <w:rPr>
                <w:rFonts w:ascii="宋体"/>
              </w:rPr>
            </w:pPr>
          </w:p>
        </w:tc>
      </w:tr>
      <w:tr w:rsidR="004D6A64" w14:paraId="33DAAE53" w14:textId="77777777">
        <w:trPr>
          <w:jc w:val="center"/>
        </w:trPr>
        <w:tc>
          <w:tcPr>
            <w:tcW w:w="0" w:type="auto"/>
            <w:gridSpan w:val="3"/>
            <w:shd w:val="clear" w:color="auto" w:fill="auto"/>
            <w:tcMar>
              <w:left w:w="20" w:type="dxa"/>
              <w:right w:w="20" w:type="dxa"/>
            </w:tcMar>
            <w:vAlign w:val="bottom"/>
          </w:tcPr>
          <w:p w14:paraId="33DAAE4B" w14:textId="77777777" w:rsidR="004D6A64" w:rsidRDefault="004D6A64">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33DAAE4C" w14:textId="77777777" w:rsidR="004D6A64" w:rsidRDefault="00506CD6">
            <w:pPr>
              <w:jc w:val="center"/>
              <w:textAlignment w:val="center"/>
            </w:pPr>
            <w:r>
              <w:rPr>
                <w:rFonts w:ascii="Times New Roman" w:eastAsia="宋体" w:hAnsi="Times New Roman"/>
                <w:color w:val="000000"/>
                <w:sz w:val="20"/>
                <w:szCs w:val="20"/>
              </w:rPr>
              <w:t>(in millions)</w:t>
            </w:r>
          </w:p>
        </w:tc>
        <w:tc>
          <w:tcPr>
            <w:tcW w:w="0" w:type="auto"/>
            <w:gridSpan w:val="3"/>
            <w:shd w:val="clear" w:color="auto" w:fill="auto"/>
          </w:tcPr>
          <w:p w14:paraId="33DAAE4D" w14:textId="77777777" w:rsidR="004D6A64" w:rsidRDefault="004D6A64">
            <w:pPr>
              <w:rPr>
                <w:rFonts w:ascii="宋体"/>
                <w:vanish/>
              </w:rPr>
            </w:pPr>
          </w:p>
        </w:tc>
        <w:tc>
          <w:tcPr>
            <w:tcW w:w="0" w:type="auto"/>
            <w:gridSpan w:val="3"/>
            <w:shd w:val="clear" w:color="auto" w:fill="auto"/>
          </w:tcPr>
          <w:p w14:paraId="33DAAE4E" w14:textId="77777777" w:rsidR="004D6A64" w:rsidRDefault="004D6A64">
            <w:pPr>
              <w:rPr>
                <w:rFonts w:ascii="宋体"/>
                <w:vanish/>
              </w:rPr>
            </w:pPr>
          </w:p>
        </w:tc>
        <w:tc>
          <w:tcPr>
            <w:tcW w:w="0" w:type="auto"/>
            <w:gridSpan w:val="3"/>
            <w:shd w:val="clear" w:color="auto" w:fill="auto"/>
          </w:tcPr>
          <w:p w14:paraId="33DAAE4F" w14:textId="77777777" w:rsidR="004D6A64" w:rsidRDefault="004D6A64">
            <w:pPr>
              <w:rPr>
                <w:rFonts w:ascii="宋体"/>
                <w:vanish/>
              </w:rPr>
            </w:pPr>
          </w:p>
        </w:tc>
        <w:tc>
          <w:tcPr>
            <w:tcW w:w="0" w:type="auto"/>
            <w:gridSpan w:val="3"/>
            <w:shd w:val="clear" w:color="auto" w:fill="auto"/>
          </w:tcPr>
          <w:p w14:paraId="33DAAE50" w14:textId="77777777" w:rsidR="004D6A64" w:rsidRDefault="004D6A64">
            <w:pPr>
              <w:rPr>
                <w:rFonts w:ascii="宋体"/>
                <w:vanish/>
              </w:rPr>
            </w:pPr>
          </w:p>
        </w:tc>
        <w:tc>
          <w:tcPr>
            <w:tcW w:w="0" w:type="auto"/>
            <w:gridSpan w:val="3"/>
            <w:shd w:val="clear" w:color="auto" w:fill="auto"/>
          </w:tcPr>
          <w:p w14:paraId="33DAAE51" w14:textId="77777777" w:rsidR="004D6A64" w:rsidRDefault="004D6A64">
            <w:pPr>
              <w:rPr>
                <w:rFonts w:ascii="宋体"/>
                <w:vanish/>
              </w:rPr>
            </w:pPr>
          </w:p>
        </w:tc>
        <w:tc>
          <w:tcPr>
            <w:tcW w:w="0" w:type="auto"/>
            <w:gridSpan w:val="3"/>
            <w:shd w:val="clear" w:color="auto" w:fill="auto"/>
          </w:tcPr>
          <w:p w14:paraId="33DAAE52" w14:textId="77777777" w:rsidR="004D6A64" w:rsidRDefault="004D6A64">
            <w:pPr>
              <w:rPr>
                <w:rFonts w:ascii="宋体"/>
                <w:vanish/>
              </w:rPr>
            </w:pPr>
          </w:p>
        </w:tc>
      </w:tr>
      <w:tr w:rsidR="004D6A64" w14:paraId="33DAAE76" w14:textId="77777777">
        <w:trPr>
          <w:jc w:val="center"/>
        </w:trPr>
        <w:tc>
          <w:tcPr>
            <w:tcW w:w="0" w:type="auto"/>
            <w:gridSpan w:val="3"/>
            <w:shd w:val="clear" w:color="auto" w:fill="CCEEFF"/>
            <w:tcMar>
              <w:top w:w="40" w:type="dxa"/>
              <w:left w:w="20" w:type="dxa"/>
              <w:bottom w:w="40" w:type="dxa"/>
              <w:right w:w="20" w:type="dxa"/>
            </w:tcMar>
            <w:vAlign w:val="center"/>
          </w:tcPr>
          <w:p w14:paraId="33DAAE54" w14:textId="77777777" w:rsidR="004D6A64" w:rsidRDefault="00506CD6">
            <w:pPr>
              <w:textAlignment w:val="center"/>
            </w:pPr>
            <w:r>
              <w:rPr>
                <w:rFonts w:ascii="Times New Roman" w:eastAsia="宋体" w:hAnsi="Times New Roman"/>
                <w:color w:val="000000"/>
                <w:sz w:val="20"/>
                <w:szCs w:val="20"/>
              </w:rPr>
              <w:t>Higher</w:t>
            </w:r>
          </w:p>
        </w:tc>
        <w:tc>
          <w:tcPr>
            <w:tcW w:w="0" w:type="auto"/>
            <w:shd w:val="clear" w:color="auto" w:fill="CCEEFF"/>
            <w:tcMar>
              <w:top w:w="40" w:type="dxa"/>
              <w:left w:w="20" w:type="dxa"/>
              <w:bottom w:w="40" w:type="dxa"/>
            </w:tcMar>
            <w:vAlign w:val="center"/>
          </w:tcPr>
          <w:p w14:paraId="33DAAE55"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E56" w14:textId="77777777" w:rsidR="004D6A64" w:rsidRDefault="00506CD6">
            <w:pPr>
              <w:jc w:val="right"/>
              <w:textAlignment w:val="center"/>
            </w:pPr>
            <w:r>
              <w:rPr>
                <w:rFonts w:ascii="Times New Roman" w:eastAsia="宋体" w:hAnsi="Times New Roman"/>
                <w:color w:val="000000"/>
                <w:sz w:val="20"/>
                <w:szCs w:val="20"/>
              </w:rPr>
              <w:t>5,042 </w:t>
            </w:r>
          </w:p>
        </w:tc>
        <w:tc>
          <w:tcPr>
            <w:tcW w:w="0" w:type="auto"/>
            <w:shd w:val="clear" w:color="auto" w:fill="CCEEFF"/>
            <w:tcMar>
              <w:top w:w="40" w:type="dxa"/>
              <w:bottom w:w="40" w:type="dxa"/>
              <w:right w:w="20" w:type="dxa"/>
            </w:tcMar>
            <w:vAlign w:val="center"/>
          </w:tcPr>
          <w:p w14:paraId="33DAAE5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E58"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E59"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E5A" w14:textId="77777777" w:rsidR="004D6A64" w:rsidRDefault="00506CD6">
            <w:pPr>
              <w:jc w:val="right"/>
              <w:textAlignment w:val="center"/>
            </w:pPr>
            <w:r>
              <w:rPr>
                <w:rFonts w:ascii="Times New Roman" w:eastAsia="宋体" w:hAnsi="Times New Roman"/>
                <w:color w:val="000000"/>
                <w:sz w:val="20"/>
                <w:szCs w:val="20"/>
              </w:rPr>
              <w:t>137 </w:t>
            </w:r>
          </w:p>
        </w:tc>
        <w:tc>
          <w:tcPr>
            <w:tcW w:w="0" w:type="auto"/>
            <w:shd w:val="clear" w:color="auto" w:fill="CCEEFF"/>
            <w:tcMar>
              <w:top w:w="40" w:type="dxa"/>
              <w:bottom w:w="40" w:type="dxa"/>
              <w:right w:w="20" w:type="dxa"/>
            </w:tcMar>
            <w:vAlign w:val="center"/>
          </w:tcPr>
          <w:p w14:paraId="33DAAE5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E5C"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E5D"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E5E" w14:textId="77777777" w:rsidR="004D6A64" w:rsidRDefault="00506CD6">
            <w:pPr>
              <w:jc w:val="right"/>
              <w:textAlignment w:val="center"/>
            </w:pPr>
            <w:r>
              <w:rPr>
                <w:rFonts w:ascii="Times New Roman" w:eastAsia="宋体" w:hAnsi="Times New Roman"/>
                <w:color w:val="000000"/>
                <w:sz w:val="20"/>
                <w:szCs w:val="20"/>
              </w:rPr>
              <w:t>55 </w:t>
            </w:r>
          </w:p>
        </w:tc>
        <w:tc>
          <w:tcPr>
            <w:tcW w:w="0" w:type="auto"/>
            <w:shd w:val="clear" w:color="auto" w:fill="CCEEFF"/>
            <w:tcMar>
              <w:top w:w="40" w:type="dxa"/>
              <w:bottom w:w="40" w:type="dxa"/>
              <w:right w:w="20" w:type="dxa"/>
            </w:tcMar>
            <w:vAlign w:val="center"/>
          </w:tcPr>
          <w:p w14:paraId="33DAAE5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E60"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E61"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E62" w14:textId="77777777" w:rsidR="004D6A64" w:rsidRDefault="00506CD6">
            <w:pPr>
              <w:jc w:val="right"/>
              <w:textAlignment w:val="center"/>
            </w:pPr>
            <w:r>
              <w:rPr>
                <w:rFonts w:ascii="Times New Roman" w:eastAsia="宋体" w:hAnsi="Times New Roman"/>
                <w:color w:val="000000"/>
                <w:sz w:val="20"/>
                <w:szCs w:val="20"/>
              </w:rPr>
              <w:t>5,234 </w:t>
            </w:r>
          </w:p>
        </w:tc>
        <w:tc>
          <w:tcPr>
            <w:tcW w:w="0" w:type="auto"/>
            <w:shd w:val="clear" w:color="auto" w:fill="CCEEFF"/>
            <w:tcMar>
              <w:top w:w="40" w:type="dxa"/>
              <w:bottom w:w="40" w:type="dxa"/>
              <w:right w:w="20" w:type="dxa"/>
            </w:tcMar>
            <w:vAlign w:val="center"/>
          </w:tcPr>
          <w:p w14:paraId="33DAAE63" w14:textId="77777777" w:rsidR="004D6A64" w:rsidRDefault="004D6A64">
            <w:pPr>
              <w:jc w:val="right"/>
              <w:rPr>
                <w:rFonts w:ascii="宋体"/>
              </w:rPr>
            </w:pPr>
          </w:p>
        </w:tc>
        <w:tc>
          <w:tcPr>
            <w:tcW w:w="0" w:type="auto"/>
            <w:shd w:val="clear" w:color="auto" w:fill="auto"/>
          </w:tcPr>
          <w:p w14:paraId="33DAAE64" w14:textId="77777777" w:rsidR="004D6A64" w:rsidRDefault="004D6A64">
            <w:pPr>
              <w:rPr>
                <w:rFonts w:ascii="宋体"/>
              </w:rPr>
            </w:pPr>
          </w:p>
        </w:tc>
        <w:tc>
          <w:tcPr>
            <w:tcW w:w="0" w:type="auto"/>
            <w:shd w:val="clear" w:color="auto" w:fill="auto"/>
          </w:tcPr>
          <w:p w14:paraId="33DAAE65" w14:textId="77777777" w:rsidR="004D6A64" w:rsidRDefault="004D6A64">
            <w:pPr>
              <w:rPr>
                <w:rFonts w:ascii="宋体"/>
              </w:rPr>
            </w:pPr>
          </w:p>
        </w:tc>
        <w:tc>
          <w:tcPr>
            <w:tcW w:w="0" w:type="auto"/>
            <w:shd w:val="clear" w:color="auto" w:fill="auto"/>
          </w:tcPr>
          <w:p w14:paraId="33DAAE66" w14:textId="77777777" w:rsidR="004D6A64" w:rsidRDefault="004D6A64">
            <w:pPr>
              <w:rPr>
                <w:rFonts w:ascii="宋体"/>
              </w:rPr>
            </w:pPr>
          </w:p>
        </w:tc>
        <w:tc>
          <w:tcPr>
            <w:tcW w:w="0" w:type="auto"/>
            <w:shd w:val="clear" w:color="auto" w:fill="auto"/>
          </w:tcPr>
          <w:p w14:paraId="33DAAE67" w14:textId="77777777" w:rsidR="004D6A64" w:rsidRDefault="004D6A64">
            <w:pPr>
              <w:rPr>
                <w:rFonts w:ascii="宋体"/>
              </w:rPr>
            </w:pPr>
          </w:p>
        </w:tc>
        <w:tc>
          <w:tcPr>
            <w:tcW w:w="0" w:type="auto"/>
            <w:shd w:val="clear" w:color="auto" w:fill="auto"/>
          </w:tcPr>
          <w:p w14:paraId="33DAAE68" w14:textId="77777777" w:rsidR="004D6A64" w:rsidRDefault="004D6A64">
            <w:pPr>
              <w:rPr>
                <w:rFonts w:ascii="宋体"/>
              </w:rPr>
            </w:pPr>
          </w:p>
        </w:tc>
        <w:tc>
          <w:tcPr>
            <w:tcW w:w="0" w:type="auto"/>
            <w:shd w:val="clear" w:color="auto" w:fill="auto"/>
          </w:tcPr>
          <w:p w14:paraId="33DAAE69" w14:textId="77777777" w:rsidR="004D6A64" w:rsidRDefault="004D6A64">
            <w:pPr>
              <w:rPr>
                <w:rFonts w:ascii="宋体"/>
              </w:rPr>
            </w:pPr>
          </w:p>
        </w:tc>
        <w:tc>
          <w:tcPr>
            <w:tcW w:w="0" w:type="auto"/>
            <w:shd w:val="clear" w:color="auto" w:fill="auto"/>
          </w:tcPr>
          <w:p w14:paraId="33DAAE6A" w14:textId="77777777" w:rsidR="004D6A64" w:rsidRDefault="004D6A64">
            <w:pPr>
              <w:rPr>
                <w:rFonts w:ascii="宋体"/>
              </w:rPr>
            </w:pPr>
          </w:p>
        </w:tc>
        <w:tc>
          <w:tcPr>
            <w:tcW w:w="0" w:type="auto"/>
            <w:shd w:val="clear" w:color="auto" w:fill="auto"/>
          </w:tcPr>
          <w:p w14:paraId="33DAAE6B" w14:textId="77777777" w:rsidR="004D6A64" w:rsidRDefault="004D6A64">
            <w:pPr>
              <w:rPr>
                <w:rFonts w:ascii="宋体"/>
              </w:rPr>
            </w:pPr>
          </w:p>
        </w:tc>
        <w:tc>
          <w:tcPr>
            <w:tcW w:w="0" w:type="auto"/>
            <w:shd w:val="clear" w:color="auto" w:fill="auto"/>
          </w:tcPr>
          <w:p w14:paraId="33DAAE6C" w14:textId="77777777" w:rsidR="004D6A64" w:rsidRDefault="004D6A64">
            <w:pPr>
              <w:rPr>
                <w:rFonts w:ascii="宋体"/>
              </w:rPr>
            </w:pPr>
          </w:p>
        </w:tc>
        <w:tc>
          <w:tcPr>
            <w:tcW w:w="0" w:type="auto"/>
            <w:shd w:val="clear" w:color="auto" w:fill="auto"/>
          </w:tcPr>
          <w:p w14:paraId="33DAAE6D" w14:textId="77777777" w:rsidR="004D6A64" w:rsidRDefault="004D6A64">
            <w:pPr>
              <w:rPr>
                <w:rFonts w:ascii="宋体"/>
              </w:rPr>
            </w:pPr>
          </w:p>
        </w:tc>
        <w:tc>
          <w:tcPr>
            <w:tcW w:w="0" w:type="auto"/>
            <w:shd w:val="clear" w:color="auto" w:fill="auto"/>
          </w:tcPr>
          <w:p w14:paraId="33DAAE6E" w14:textId="77777777" w:rsidR="004D6A64" w:rsidRDefault="004D6A64">
            <w:pPr>
              <w:rPr>
                <w:rFonts w:ascii="宋体"/>
              </w:rPr>
            </w:pPr>
          </w:p>
        </w:tc>
        <w:tc>
          <w:tcPr>
            <w:tcW w:w="0" w:type="auto"/>
            <w:shd w:val="clear" w:color="auto" w:fill="auto"/>
          </w:tcPr>
          <w:p w14:paraId="33DAAE6F" w14:textId="77777777" w:rsidR="004D6A64" w:rsidRDefault="004D6A64">
            <w:pPr>
              <w:rPr>
                <w:rFonts w:ascii="宋体"/>
              </w:rPr>
            </w:pPr>
          </w:p>
        </w:tc>
        <w:tc>
          <w:tcPr>
            <w:tcW w:w="0" w:type="auto"/>
            <w:shd w:val="clear" w:color="auto" w:fill="auto"/>
          </w:tcPr>
          <w:p w14:paraId="33DAAE70" w14:textId="77777777" w:rsidR="004D6A64" w:rsidRDefault="004D6A64">
            <w:pPr>
              <w:rPr>
                <w:rFonts w:ascii="宋体"/>
              </w:rPr>
            </w:pPr>
          </w:p>
        </w:tc>
        <w:tc>
          <w:tcPr>
            <w:tcW w:w="0" w:type="auto"/>
            <w:shd w:val="clear" w:color="auto" w:fill="auto"/>
          </w:tcPr>
          <w:p w14:paraId="33DAAE71" w14:textId="77777777" w:rsidR="004D6A64" w:rsidRDefault="004D6A64">
            <w:pPr>
              <w:rPr>
                <w:rFonts w:ascii="宋体"/>
              </w:rPr>
            </w:pPr>
          </w:p>
        </w:tc>
        <w:tc>
          <w:tcPr>
            <w:tcW w:w="0" w:type="auto"/>
            <w:shd w:val="clear" w:color="auto" w:fill="auto"/>
          </w:tcPr>
          <w:p w14:paraId="33DAAE72" w14:textId="77777777" w:rsidR="004D6A64" w:rsidRDefault="004D6A64">
            <w:pPr>
              <w:rPr>
                <w:rFonts w:ascii="宋体"/>
              </w:rPr>
            </w:pPr>
          </w:p>
        </w:tc>
        <w:tc>
          <w:tcPr>
            <w:tcW w:w="0" w:type="auto"/>
            <w:shd w:val="clear" w:color="auto" w:fill="auto"/>
          </w:tcPr>
          <w:p w14:paraId="33DAAE73" w14:textId="77777777" w:rsidR="004D6A64" w:rsidRDefault="004D6A64">
            <w:pPr>
              <w:rPr>
                <w:rFonts w:ascii="宋体"/>
              </w:rPr>
            </w:pPr>
          </w:p>
        </w:tc>
        <w:tc>
          <w:tcPr>
            <w:tcW w:w="0" w:type="auto"/>
            <w:shd w:val="clear" w:color="auto" w:fill="auto"/>
          </w:tcPr>
          <w:p w14:paraId="33DAAE74" w14:textId="77777777" w:rsidR="004D6A64" w:rsidRDefault="004D6A64">
            <w:pPr>
              <w:rPr>
                <w:rFonts w:ascii="宋体"/>
              </w:rPr>
            </w:pPr>
          </w:p>
        </w:tc>
        <w:tc>
          <w:tcPr>
            <w:tcW w:w="0" w:type="auto"/>
            <w:shd w:val="clear" w:color="auto" w:fill="auto"/>
          </w:tcPr>
          <w:p w14:paraId="33DAAE75" w14:textId="77777777" w:rsidR="004D6A64" w:rsidRDefault="004D6A64">
            <w:pPr>
              <w:rPr>
                <w:rFonts w:ascii="宋体"/>
              </w:rPr>
            </w:pPr>
          </w:p>
        </w:tc>
      </w:tr>
      <w:tr w:rsidR="004D6A64" w14:paraId="33DAAE95" w14:textId="77777777">
        <w:trPr>
          <w:jc w:val="center"/>
        </w:trPr>
        <w:tc>
          <w:tcPr>
            <w:tcW w:w="0" w:type="auto"/>
            <w:gridSpan w:val="3"/>
            <w:shd w:val="clear" w:color="auto" w:fill="FFFFFF"/>
            <w:tcMar>
              <w:top w:w="40" w:type="dxa"/>
              <w:left w:w="20" w:type="dxa"/>
              <w:bottom w:w="40" w:type="dxa"/>
              <w:right w:w="20" w:type="dxa"/>
            </w:tcMar>
            <w:vAlign w:val="center"/>
          </w:tcPr>
          <w:p w14:paraId="33DAAE77" w14:textId="77777777" w:rsidR="004D6A64" w:rsidRDefault="00506CD6">
            <w:pPr>
              <w:textAlignment w:val="center"/>
            </w:pPr>
            <w:r>
              <w:rPr>
                <w:rFonts w:ascii="Times New Roman" w:eastAsia="宋体" w:hAnsi="Times New Roman"/>
                <w:color w:val="000000"/>
                <w:sz w:val="20"/>
                <w:szCs w:val="20"/>
              </w:rPr>
              <w:t>Mid</w:t>
            </w:r>
          </w:p>
        </w:tc>
        <w:tc>
          <w:tcPr>
            <w:tcW w:w="0" w:type="auto"/>
            <w:gridSpan w:val="2"/>
            <w:shd w:val="clear" w:color="auto" w:fill="FFFFFF"/>
            <w:tcMar>
              <w:top w:w="40" w:type="dxa"/>
              <w:left w:w="20" w:type="dxa"/>
              <w:bottom w:w="40" w:type="dxa"/>
              <w:right w:w="0" w:type="dxa"/>
            </w:tcMar>
            <w:vAlign w:val="center"/>
          </w:tcPr>
          <w:p w14:paraId="33DAAE78" w14:textId="77777777" w:rsidR="004D6A64" w:rsidRDefault="00506CD6">
            <w:pPr>
              <w:jc w:val="right"/>
              <w:textAlignment w:val="center"/>
            </w:pPr>
            <w:r>
              <w:rPr>
                <w:rFonts w:ascii="Times New Roman" w:eastAsia="宋体" w:hAnsi="Times New Roman"/>
                <w:color w:val="000000"/>
                <w:sz w:val="20"/>
                <w:szCs w:val="20"/>
              </w:rPr>
              <w:t>2,036 </w:t>
            </w:r>
          </w:p>
        </w:tc>
        <w:tc>
          <w:tcPr>
            <w:tcW w:w="0" w:type="auto"/>
            <w:shd w:val="clear" w:color="auto" w:fill="FFFFFF"/>
            <w:tcMar>
              <w:top w:w="40" w:type="dxa"/>
              <w:bottom w:w="40" w:type="dxa"/>
              <w:right w:w="20" w:type="dxa"/>
            </w:tcMar>
            <w:vAlign w:val="center"/>
          </w:tcPr>
          <w:p w14:paraId="33DAAE7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E7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AE7B" w14:textId="77777777" w:rsidR="004D6A64" w:rsidRDefault="00506CD6">
            <w:pPr>
              <w:jc w:val="right"/>
              <w:textAlignment w:val="center"/>
            </w:pPr>
            <w:r>
              <w:rPr>
                <w:rFonts w:ascii="Times New Roman" w:eastAsia="宋体" w:hAnsi="Times New Roman"/>
                <w:color w:val="000000"/>
                <w:sz w:val="20"/>
                <w:szCs w:val="20"/>
              </w:rPr>
              <w:t>175 </w:t>
            </w:r>
          </w:p>
        </w:tc>
        <w:tc>
          <w:tcPr>
            <w:tcW w:w="0" w:type="auto"/>
            <w:shd w:val="clear" w:color="auto" w:fill="FFFFFF"/>
            <w:tcMar>
              <w:top w:w="40" w:type="dxa"/>
              <w:bottom w:w="40" w:type="dxa"/>
              <w:right w:w="20" w:type="dxa"/>
            </w:tcMar>
            <w:vAlign w:val="center"/>
          </w:tcPr>
          <w:p w14:paraId="33DAAE7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E7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AE7E" w14:textId="77777777" w:rsidR="004D6A64" w:rsidRDefault="00506CD6">
            <w:pPr>
              <w:jc w:val="right"/>
              <w:textAlignment w:val="center"/>
            </w:pPr>
            <w:r>
              <w:rPr>
                <w:rFonts w:ascii="Times New Roman" w:eastAsia="宋体" w:hAnsi="Times New Roman"/>
                <w:color w:val="000000"/>
                <w:sz w:val="20"/>
                <w:szCs w:val="20"/>
              </w:rPr>
              <w:t>63 </w:t>
            </w:r>
          </w:p>
        </w:tc>
        <w:tc>
          <w:tcPr>
            <w:tcW w:w="0" w:type="auto"/>
            <w:shd w:val="clear" w:color="auto" w:fill="FFFFFF"/>
            <w:tcMar>
              <w:top w:w="40" w:type="dxa"/>
              <w:bottom w:w="40" w:type="dxa"/>
              <w:right w:w="20" w:type="dxa"/>
            </w:tcMar>
            <w:vAlign w:val="center"/>
          </w:tcPr>
          <w:p w14:paraId="33DAAE7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E8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AE81" w14:textId="77777777" w:rsidR="004D6A64" w:rsidRDefault="00506CD6">
            <w:pPr>
              <w:jc w:val="right"/>
              <w:textAlignment w:val="center"/>
            </w:pPr>
            <w:r>
              <w:rPr>
                <w:rFonts w:ascii="Times New Roman" w:eastAsia="宋体" w:hAnsi="Times New Roman"/>
                <w:color w:val="000000"/>
                <w:sz w:val="20"/>
                <w:szCs w:val="20"/>
              </w:rPr>
              <w:t>2,274 </w:t>
            </w:r>
          </w:p>
        </w:tc>
        <w:tc>
          <w:tcPr>
            <w:tcW w:w="0" w:type="auto"/>
            <w:shd w:val="clear" w:color="auto" w:fill="FFFFFF"/>
            <w:tcMar>
              <w:top w:w="40" w:type="dxa"/>
              <w:bottom w:w="40" w:type="dxa"/>
              <w:right w:w="20" w:type="dxa"/>
            </w:tcMar>
            <w:vAlign w:val="center"/>
          </w:tcPr>
          <w:p w14:paraId="33DAAE82" w14:textId="77777777" w:rsidR="004D6A64" w:rsidRDefault="004D6A64">
            <w:pPr>
              <w:jc w:val="right"/>
              <w:rPr>
                <w:rFonts w:ascii="宋体"/>
              </w:rPr>
            </w:pPr>
          </w:p>
        </w:tc>
        <w:tc>
          <w:tcPr>
            <w:tcW w:w="0" w:type="auto"/>
            <w:shd w:val="clear" w:color="auto" w:fill="auto"/>
          </w:tcPr>
          <w:p w14:paraId="33DAAE83" w14:textId="77777777" w:rsidR="004D6A64" w:rsidRDefault="004D6A64">
            <w:pPr>
              <w:rPr>
                <w:rFonts w:ascii="宋体"/>
              </w:rPr>
            </w:pPr>
          </w:p>
        </w:tc>
        <w:tc>
          <w:tcPr>
            <w:tcW w:w="0" w:type="auto"/>
            <w:shd w:val="clear" w:color="auto" w:fill="auto"/>
          </w:tcPr>
          <w:p w14:paraId="33DAAE84" w14:textId="77777777" w:rsidR="004D6A64" w:rsidRDefault="004D6A64">
            <w:pPr>
              <w:rPr>
                <w:rFonts w:ascii="宋体"/>
              </w:rPr>
            </w:pPr>
          </w:p>
        </w:tc>
        <w:tc>
          <w:tcPr>
            <w:tcW w:w="0" w:type="auto"/>
            <w:shd w:val="clear" w:color="auto" w:fill="auto"/>
          </w:tcPr>
          <w:p w14:paraId="33DAAE85" w14:textId="77777777" w:rsidR="004D6A64" w:rsidRDefault="004D6A64">
            <w:pPr>
              <w:rPr>
                <w:rFonts w:ascii="宋体"/>
              </w:rPr>
            </w:pPr>
          </w:p>
        </w:tc>
        <w:tc>
          <w:tcPr>
            <w:tcW w:w="0" w:type="auto"/>
            <w:shd w:val="clear" w:color="auto" w:fill="auto"/>
          </w:tcPr>
          <w:p w14:paraId="33DAAE86" w14:textId="77777777" w:rsidR="004D6A64" w:rsidRDefault="004D6A64">
            <w:pPr>
              <w:rPr>
                <w:rFonts w:ascii="宋体"/>
              </w:rPr>
            </w:pPr>
          </w:p>
        </w:tc>
        <w:tc>
          <w:tcPr>
            <w:tcW w:w="0" w:type="auto"/>
            <w:shd w:val="clear" w:color="auto" w:fill="auto"/>
          </w:tcPr>
          <w:p w14:paraId="33DAAE87" w14:textId="77777777" w:rsidR="004D6A64" w:rsidRDefault="004D6A64">
            <w:pPr>
              <w:rPr>
                <w:rFonts w:ascii="宋体"/>
              </w:rPr>
            </w:pPr>
          </w:p>
        </w:tc>
        <w:tc>
          <w:tcPr>
            <w:tcW w:w="0" w:type="auto"/>
            <w:shd w:val="clear" w:color="auto" w:fill="auto"/>
          </w:tcPr>
          <w:p w14:paraId="33DAAE88" w14:textId="77777777" w:rsidR="004D6A64" w:rsidRDefault="004D6A64">
            <w:pPr>
              <w:rPr>
                <w:rFonts w:ascii="宋体"/>
              </w:rPr>
            </w:pPr>
          </w:p>
        </w:tc>
        <w:tc>
          <w:tcPr>
            <w:tcW w:w="0" w:type="auto"/>
            <w:shd w:val="clear" w:color="auto" w:fill="auto"/>
          </w:tcPr>
          <w:p w14:paraId="33DAAE89" w14:textId="77777777" w:rsidR="004D6A64" w:rsidRDefault="004D6A64">
            <w:pPr>
              <w:rPr>
                <w:rFonts w:ascii="宋体"/>
              </w:rPr>
            </w:pPr>
          </w:p>
        </w:tc>
        <w:tc>
          <w:tcPr>
            <w:tcW w:w="0" w:type="auto"/>
            <w:shd w:val="clear" w:color="auto" w:fill="auto"/>
          </w:tcPr>
          <w:p w14:paraId="33DAAE8A" w14:textId="77777777" w:rsidR="004D6A64" w:rsidRDefault="004D6A64">
            <w:pPr>
              <w:rPr>
                <w:rFonts w:ascii="宋体"/>
              </w:rPr>
            </w:pPr>
          </w:p>
        </w:tc>
        <w:tc>
          <w:tcPr>
            <w:tcW w:w="0" w:type="auto"/>
            <w:shd w:val="clear" w:color="auto" w:fill="auto"/>
          </w:tcPr>
          <w:p w14:paraId="33DAAE8B" w14:textId="77777777" w:rsidR="004D6A64" w:rsidRDefault="004D6A64">
            <w:pPr>
              <w:rPr>
                <w:rFonts w:ascii="宋体"/>
              </w:rPr>
            </w:pPr>
          </w:p>
        </w:tc>
        <w:tc>
          <w:tcPr>
            <w:tcW w:w="0" w:type="auto"/>
            <w:shd w:val="clear" w:color="auto" w:fill="auto"/>
          </w:tcPr>
          <w:p w14:paraId="33DAAE8C" w14:textId="77777777" w:rsidR="004D6A64" w:rsidRDefault="004D6A64">
            <w:pPr>
              <w:rPr>
                <w:rFonts w:ascii="宋体"/>
              </w:rPr>
            </w:pPr>
          </w:p>
        </w:tc>
        <w:tc>
          <w:tcPr>
            <w:tcW w:w="0" w:type="auto"/>
            <w:shd w:val="clear" w:color="auto" w:fill="auto"/>
          </w:tcPr>
          <w:p w14:paraId="33DAAE8D" w14:textId="77777777" w:rsidR="004D6A64" w:rsidRDefault="004D6A64">
            <w:pPr>
              <w:rPr>
                <w:rFonts w:ascii="宋体"/>
              </w:rPr>
            </w:pPr>
          </w:p>
        </w:tc>
        <w:tc>
          <w:tcPr>
            <w:tcW w:w="0" w:type="auto"/>
            <w:shd w:val="clear" w:color="auto" w:fill="auto"/>
          </w:tcPr>
          <w:p w14:paraId="33DAAE8E" w14:textId="77777777" w:rsidR="004D6A64" w:rsidRDefault="004D6A64">
            <w:pPr>
              <w:rPr>
                <w:rFonts w:ascii="宋体"/>
              </w:rPr>
            </w:pPr>
          </w:p>
        </w:tc>
        <w:tc>
          <w:tcPr>
            <w:tcW w:w="0" w:type="auto"/>
            <w:shd w:val="clear" w:color="auto" w:fill="auto"/>
          </w:tcPr>
          <w:p w14:paraId="33DAAE8F" w14:textId="77777777" w:rsidR="004D6A64" w:rsidRDefault="004D6A64">
            <w:pPr>
              <w:rPr>
                <w:rFonts w:ascii="宋体"/>
              </w:rPr>
            </w:pPr>
          </w:p>
        </w:tc>
        <w:tc>
          <w:tcPr>
            <w:tcW w:w="0" w:type="auto"/>
            <w:shd w:val="clear" w:color="auto" w:fill="auto"/>
          </w:tcPr>
          <w:p w14:paraId="33DAAE90" w14:textId="77777777" w:rsidR="004D6A64" w:rsidRDefault="004D6A64">
            <w:pPr>
              <w:rPr>
                <w:rFonts w:ascii="宋体"/>
              </w:rPr>
            </w:pPr>
          </w:p>
        </w:tc>
        <w:tc>
          <w:tcPr>
            <w:tcW w:w="0" w:type="auto"/>
            <w:shd w:val="clear" w:color="auto" w:fill="auto"/>
          </w:tcPr>
          <w:p w14:paraId="33DAAE91" w14:textId="77777777" w:rsidR="004D6A64" w:rsidRDefault="004D6A64">
            <w:pPr>
              <w:rPr>
                <w:rFonts w:ascii="宋体"/>
              </w:rPr>
            </w:pPr>
          </w:p>
        </w:tc>
        <w:tc>
          <w:tcPr>
            <w:tcW w:w="0" w:type="auto"/>
            <w:shd w:val="clear" w:color="auto" w:fill="auto"/>
          </w:tcPr>
          <w:p w14:paraId="33DAAE92" w14:textId="77777777" w:rsidR="004D6A64" w:rsidRDefault="004D6A64">
            <w:pPr>
              <w:rPr>
                <w:rFonts w:ascii="宋体"/>
              </w:rPr>
            </w:pPr>
          </w:p>
        </w:tc>
        <w:tc>
          <w:tcPr>
            <w:tcW w:w="0" w:type="auto"/>
            <w:shd w:val="clear" w:color="auto" w:fill="auto"/>
          </w:tcPr>
          <w:p w14:paraId="33DAAE93" w14:textId="77777777" w:rsidR="004D6A64" w:rsidRDefault="004D6A64">
            <w:pPr>
              <w:rPr>
                <w:rFonts w:ascii="宋体"/>
              </w:rPr>
            </w:pPr>
          </w:p>
        </w:tc>
        <w:tc>
          <w:tcPr>
            <w:tcW w:w="0" w:type="auto"/>
            <w:shd w:val="clear" w:color="auto" w:fill="auto"/>
          </w:tcPr>
          <w:p w14:paraId="33DAAE94" w14:textId="77777777" w:rsidR="004D6A64" w:rsidRDefault="004D6A64">
            <w:pPr>
              <w:rPr>
                <w:rFonts w:ascii="宋体"/>
              </w:rPr>
            </w:pPr>
          </w:p>
        </w:tc>
      </w:tr>
      <w:tr w:rsidR="004D6A64" w14:paraId="33DAAEB4" w14:textId="77777777">
        <w:trPr>
          <w:jc w:val="center"/>
        </w:trPr>
        <w:tc>
          <w:tcPr>
            <w:tcW w:w="0" w:type="auto"/>
            <w:gridSpan w:val="3"/>
            <w:shd w:val="clear" w:color="auto" w:fill="CCEEFF"/>
            <w:tcMar>
              <w:top w:w="40" w:type="dxa"/>
              <w:left w:w="20" w:type="dxa"/>
              <w:bottom w:w="40" w:type="dxa"/>
              <w:right w:w="20" w:type="dxa"/>
            </w:tcMar>
            <w:vAlign w:val="center"/>
          </w:tcPr>
          <w:p w14:paraId="33DAAE96" w14:textId="77777777" w:rsidR="004D6A64" w:rsidRDefault="00506CD6">
            <w:pPr>
              <w:textAlignment w:val="center"/>
            </w:pPr>
            <w:r>
              <w:rPr>
                <w:rFonts w:ascii="Times New Roman" w:eastAsia="宋体" w:hAnsi="Times New Roman"/>
                <w:color w:val="000000"/>
                <w:sz w:val="20"/>
                <w:szCs w:val="20"/>
              </w:rPr>
              <w:t>Lower</w:t>
            </w:r>
          </w:p>
        </w:tc>
        <w:tc>
          <w:tcPr>
            <w:tcW w:w="0" w:type="auto"/>
            <w:gridSpan w:val="2"/>
            <w:shd w:val="clear" w:color="auto" w:fill="CCEEFF"/>
            <w:tcMar>
              <w:top w:w="40" w:type="dxa"/>
              <w:left w:w="20" w:type="dxa"/>
              <w:bottom w:w="40" w:type="dxa"/>
              <w:right w:w="0" w:type="dxa"/>
            </w:tcMar>
            <w:vAlign w:val="center"/>
          </w:tcPr>
          <w:p w14:paraId="33DAAE97" w14:textId="77777777" w:rsidR="004D6A64" w:rsidRDefault="00506CD6">
            <w:pPr>
              <w:jc w:val="right"/>
              <w:textAlignment w:val="center"/>
            </w:pPr>
            <w:r>
              <w:rPr>
                <w:rFonts w:ascii="Times New Roman" w:eastAsia="宋体" w:hAnsi="Times New Roman"/>
                <w:color w:val="000000"/>
                <w:sz w:val="20"/>
                <w:szCs w:val="20"/>
              </w:rPr>
              <w:t>1,408 </w:t>
            </w:r>
          </w:p>
        </w:tc>
        <w:tc>
          <w:tcPr>
            <w:tcW w:w="0" w:type="auto"/>
            <w:shd w:val="clear" w:color="auto" w:fill="CCEEFF"/>
            <w:tcMar>
              <w:top w:w="40" w:type="dxa"/>
              <w:bottom w:w="40" w:type="dxa"/>
              <w:right w:w="20" w:type="dxa"/>
            </w:tcMar>
            <w:vAlign w:val="center"/>
          </w:tcPr>
          <w:p w14:paraId="33DAAE9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E9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E9A" w14:textId="77777777" w:rsidR="004D6A64" w:rsidRDefault="00506CD6">
            <w:pPr>
              <w:jc w:val="right"/>
              <w:textAlignment w:val="center"/>
            </w:pPr>
            <w:r>
              <w:rPr>
                <w:rFonts w:ascii="Times New Roman" w:eastAsia="宋体" w:hAnsi="Times New Roman"/>
                <w:color w:val="000000"/>
                <w:sz w:val="20"/>
                <w:szCs w:val="20"/>
              </w:rPr>
              <w:t>309 </w:t>
            </w:r>
          </w:p>
        </w:tc>
        <w:tc>
          <w:tcPr>
            <w:tcW w:w="0" w:type="auto"/>
            <w:shd w:val="clear" w:color="auto" w:fill="CCEEFF"/>
            <w:tcMar>
              <w:top w:w="40" w:type="dxa"/>
              <w:bottom w:w="40" w:type="dxa"/>
              <w:right w:w="20" w:type="dxa"/>
            </w:tcMar>
            <w:vAlign w:val="center"/>
          </w:tcPr>
          <w:p w14:paraId="33DAAE9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E9C"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E9D" w14:textId="77777777" w:rsidR="004D6A64" w:rsidRDefault="00506CD6">
            <w:pPr>
              <w:jc w:val="right"/>
              <w:textAlignment w:val="center"/>
            </w:pPr>
            <w:r>
              <w:rPr>
                <w:rFonts w:ascii="Times New Roman" w:eastAsia="宋体" w:hAnsi="Times New Roman"/>
                <w:color w:val="000000"/>
                <w:sz w:val="20"/>
                <w:szCs w:val="20"/>
              </w:rPr>
              <w:t>85 </w:t>
            </w:r>
          </w:p>
        </w:tc>
        <w:tc>
          <w:tcPr>
            <w:tcW w:w="0" w:type="auto"/>
            <w:shd w:val="clear" w:color="auto" w:fill="CCEEFF"/>
            <w:tcMar>
              <w:top w:w="40" w:type="dxa"/>
              <w:bottom w:w="40" w:type="dxa"/>
              <w:right w:w="20" w:type="dxa"/>
            </w:tcMar>
            <w:vAlign w:val="center"/>
          </w:tcPr>
          <w:p w14:paraId="33DAAE9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E9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AEA0" w14:textId="77777777" w:rsidR="004D6A64" w:rsidRDefault="00506CD6">
            <w:pPr>
              <w:jc w:val="right"/>
              <w:textAlignment w:val="center"/>
            </w:pPr>
            <w:r>
              <w:rPr>
                <w:rFonts w:ascii="Times New Roman" w:eastAsia="宋体" w:hAnsi="Times New Roman"/>
                <w:color w:val="000000"/>
                <w:sz w:val="20"/>
                <w:szCs w:val="20"/>
              </w:rPr>
              <w:t>1,802 </w:t>
            </w:r>
          </w:p>
        </w:tc>
        <w:tc>
          <w:tcPr>
            <w:tcW w:w="0" w:type="auto"/>
            <w:shd w:val="clear" w:color="auto" w:fill="CCEEFF"/>
            <w:tcMar>
              <w:top w:w="40" w:type="dxa"/>
              <w:bottom w:w="40" w:type="dxa"/>
              <w:right w:w="20" w:type="dxa"/>
            </w:tcMar>
            <w:vAlign w:val="center"/>
          </w:tcPr>
          <w:p w14:paraId="33DAAEA1" w14:textId="77777777" w:rsidR="004D6A64" w:rsidRDefault="004D6A64">
            <w:pPr>
              <w:jc w:val="right"/>
              <w:rPr>
                <w:rFonts w:ascii="宋体"/>
              </w:rPr>
            </w:pPr>
          </w:p>
        </w:tc>
        <w:tc>
          <w:tcPr>
            <w:tcW w:w="0" w:type="auto"/>
            <w:shd w:val="clear" w:color="auto" w:fill="auto"/>
          </w:tcPr>
          <w:p w14:paraId="33DAAEA2" w14:textId="77777777" w:rsidR="004D6A64" w:rsidRDefault="004D6A64">
            <w:pPr>
              <w:rPr>
                <w:rFonts w:ascii="宋体"/>
              </w:rPr>
            </w:pPr>
          </w:p>
        </w:tc>
        <w:tc>
          <w:tcPr>
            <w:tcW w:w="0" w:type="auto"/>
            <w:shd w:val="clear" w:color="auto" w:fill="auto"/>
          </w:tcPr>
          <w:p w14:paraId="33DAAEA3" w14:textId="77777777" w:rsidR="004D6A64" w:rsidRDefault="004D6A64">
            <w:pPr>
              <w:rPr>
                <w:rFonts w:ascii="宋体"/>
              </w:rPr>
            </w:pPr>
          </w:p>
        </w:tc>
        <w:tc>
          <w:tcPr>
            <w:tcW w:w="0" w:type="auto"/>
            <w:shd w:val="clear" w:color="auto" w:fill="auto"/>
          </w:tcPr>
          <w:p w14:paraId="33DAAEA4" w14:textId="77777777" w:rsidR="004D6A64" w:rsidRDefault="004D6A64">
            <w:pPr>
              <w:rPr>
                <w:rFonts w:ascii="宋体"/>
              </w:rPr>
            </w:pPr>
          </w:p>
        </w:tc>
        <w:tc>
          <w:tcPr>
            <w:tcW w:w="0" w:type="auto"/>
            <w:shd w:val="clear" w:color="auto" w:fill="auto"/>
          </w:tcPr>
          <w:p w14:paraId="33DAAEA5" w14:textId="77777777" w:rsidR="004D6A64" w:rsidRDefault="004D6A64">
            <w:pPr>
              <w:rPr>
                <w:rFonts w:ascii="宋体"/>
              </w:rPr>
            </w:pPr>
          </w:p>
        </w:tc>
        <w:tc>
          <w:tcPr>
            <w:tcW w:w="0" w:type="auto"/>
            <w:shd w:val="clear" w:color="auto" w:fill="auto"/>
          </w:tcPr>
          <w:p w14:paraId="33DAAEA6" w14:textId="77777777" w:rsidR="004D6A64" w:rsidRDefault="004D6A64">
            <w:pPr>
              <w:rPr>
                <w:rFonts w:ascii="宋体"/>
              </w:rPr>
            </w:pPr>
          </w:p>
        </w:tc>
        <w:tc>
          <w:tcPr>
            <w:tcW w:w="0" w:type="auto"/>
            <w:shd w:val="clear" w:color="auto" w:fill="auto"/>
          </w:tcPr>
          <w:p w14:paraId="33DAAEA7" w14:textId="77777777" w:rsidR="004D6A64" w:rsidRDefault="004D6A64">
            <w:pPr>
              <w:rPr>
                <w:rFonts w:ascii="宋体"/>
              </w:rPr>
            </w:pPr>
          </w:p>
        </w:tc>
        <w:tc>
          <w:tcPr>
            <w:tcW w:w="0" w:type="auto"/>
            <w:shd w:val="clear" w:color="auto" w:fill="auto"/>
          </w:tcPr>
          <w:p w14:paraId="33DAAEA8" w14:textId="77777777" w:rsidR="004D6A64" w:rsidRDefault="004D6A64">
            <w:pPr>
              <w:rPr>
                <w:rFonts w:ascii="宋体"/>
              </w:rPr>
            </w:pPr>
          </w:p>
        </w:tc>
        <w:tc>
          <w:tcPr>
            <w:tcW w:w="0" w:type="auto"/>
            <w:shd w:val="clear" w:color="auto" w:fill="auto"/>
          </w:tcPr>
          <w:p w14:paraId="33DAAEA9" w14:textId="77777777" w:rsidR="004D6A64" w:rsidRDefault="004D6A64">
            <w:pPr>
              <w:rPr>
                <w:rFonts w:ascii="宋体"/>
              </w:rPr>
            </w:pPr>
          </w:p>
        </w:tc>
        <w:tc>
          <w:tcPr>
            <w:tcW w:w="0" w:type="auto"/>
            <w:shd w:val="clear" w:color="auto" w:fill="auto"/>
          </w:tcPr>
          <w:p w14:paraId="33DAAEAA" w14:textId="77777777" w:rsidR="004D6A64" w:rsidRDefault="004D6A64">
            <w:pPr>
              <w:rPr>
                <w:rFonts w:ascii="宋体"/>
              </w:rPr>
            </w:pPr>
          </w:p>
        </w:tc>
        <w:tc>
          <w:tcPr>
            <w:tcW w:w="0" w:type="auto"/>
            <w:shd w:val="clear" w:color="auto" w:fill="auto"/>
          </w:tcPr>
          <w:p w14:paraId="33DAAEAB" w14:textId="77777777" w:rsidR="004D6A64" w:rsidRDefault="004D6A64">
            <w:pPr>
              <w:rPr>
                <w:rFonts w:ascii="宋体"/>
              </w:rPr>
            </w:pPr>
          </w:p>
        </w:tc>
        <w:tc>
          <w:tcPr>
            <w:tcW w:w="0" w:type="auto"/>
            <w:shd w:val="clear" w:color="auto" w:fill="auto"/>
          </w:tcPr>
          <w:p w14:paraId="33DAAEAC" w14:textId="77777777" w:rsidR="004D6A64" w:rsidRDefault="004D6A64">
            <w:pPr>
              <w:rPr>
                <w:rFonts w:ascii="宋体"/>
              </w:rPr>
            </w:pPr>
          </w:p>
        </w:tc>
        <w:tc>
          <w:tcPr>
            <w:tcW w:w="0" w:type="auto"/>
            <w:shd w:val="clear" w:color="auto" w:fill="auto"/>
          </w:tcPr>
          <w:p w14:paraId="33DAAEAD" w14:textId="77777777" w:rsidR="004D6A64" w:rsidRDefault="004D6A64">
            <w:pPr>
              <w:rPr>
                <w:rFonts w:ascii="宋体"/>
              </w:rPr>
            </w:pPr>
          </w:p>
        </w:tc>
        <w:tc>
          <w:tcPr>
            <w:tcW w:w="0" w:type="auto"/>
            <w:shd w:val="clear" w:color="auto" w:fill="auto"/>
          </w:tcPr>
          <w:p w14:paraId="33DAAEAE" w14:textId="77777777" w:rsidR="004D6A64" w:rsidRDefault="004D6A64">
            <w:pPr>
              <w:rPr>
                <w:rFonts w:ascii="宋体"/>
              </w:rPr>
            </w:pPr>
          </w:p>
        </w:tc>
        <w:tc>
          <w:tcPr>
            <w:tcW w:w="0" w:type="auto"/>
            <w:shd w:val="clear" w:color="auto" w:fill="auto"/>
          </w:tcPr>
          <w:p w14:paraId="33DAAEAF" w14:textId="77777777" w:rsidR="004D6A64" w:rsidRDefault="004D6A64">
            <w:pPr>
              <w:rPr>
                <w:rFonts w:ascii="宋体"/>
              </w:rPr>
            </w:pPr>
          </w:p>
        </w:tc>
        <w:tc>
          <w:tcPr>
            <w:tcW w:w="0" w:type="auto"/>
            <w:shd w:val="clear" w:color="auto" w:fill="auto"/>
          </w:tcPr>
          <w:p w14:paraId="33DAAEB0" w14:textId="77777777" w:rsidR="004D6A64" w:rsidRDefault="004D6A64">
            <w:pPr>
              <w:rPr>
                <w:rFonts w:ascii="宋体"/>
              </w:rPr>
            </w:pPr>
          </w:p>
        </w:tc>
        <w:tc>
          <w:tcPr>
            <w:tcW w:w="0" w:type="auto"/>
            <w:shd w:val="clear" w:color="auto" w:fill="auto"/>
          </w:tcPr>
          <w:p w14:paraId="33DAAEB1" w14:textId="77777777" w:rsidR="004D6A64" w:rsidRDefault="004D6A64">
            <w:pPr>
              <w:rPr>
                <w:rFonts w:ascii="宋体"/>
              </w:rPr>
            </w:pPr>
          </w:p>
        </w:tc>
        <w:tc>
          <w:tcPr>
            <w:tcW w:w="0" w:type="auto"/>
            <w:shd w:val="clear" w:color="auto" w:fill="auto"/>
          </w:tcPr>
          <w:p w14:paraId="33DAAEB2" w14:textId="77777777" w:rsidR="004D6A64" w:rsidRDefault="004D6A64">
            <w:pPr>
              <w:rPr>
                <w:rFonts w:ascii="宋体"/>
              </w:rPr>
            </w:pPr>
          </w:p>
        </w:tc>
        <w:tc>
          <w:tcPr>
            <w:tcW w:w="0" w:type="auto"/>
            <w:shd w:val="clear" w:color="auto" w:fill="auto"/>
          </w:tcPr>
          <w:p w14:paraId="33DAAEB3" w14:textId="77777777" w:rsidR="004D6A64" w:rsidRDefault="004D6A64">
            <w:pPr>
              <w:rPr>
                <w:rFonts w:ascii="宋体"/>
              </w:rPr>
            </w:pPr>
          </w:p>
        </w:tc>
      </w:tr>
      <w:tr w:rsidR="004D6A64" w14:paraId="33DAAED7" w14:textId="77777777">
        <w:trPr>
          <w:jc w:val="center"/>
        </w:trPr>
        <w:tc>
          <w:tcPr>
            <w:tcW w:w="0" w:type="auto"/>
            <w:gridSpan w:val="3"/>
            <w:shd w:val="clear" w:color="auto" w:fill="FFFFFF"/>
            <w:tcMar>
              <w:top w:w="40" w:type="dxa"/>
              <w:left w:w="135" w:type="dxa"/>
              <w:bottom w:w="40" w:type="dxa"/>
              <w:right w:w="20" w:type="dxa"/>
            </w:tcMar>
            <w:vAlign w:val="center"/>
          </w:tcPr>
          <w:p w14:paraId="33DAAEB5" w14:textId="77777777" w:rsidR="004D6A64" w:rsidRDefault="00506CD6">
            <w:pPr>
              <w:textAlignment w:val="center"/>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AEB6"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AEB7" w14:textId="77777777" w:rsidR="004D6A64" w:rsidRDefault="00506CD6">
            <w:pPr>
              <w:jc w:val="right"/>
              <w:textAlignment w:val="center"/>
            </w:pPr>
            <w:r>
              <w:rPr>
                <w:rFonts w:ascii="Times New Roman" w:eastAsia="宋体" w:hAnsi="Times New Roman"/>
                <w:color w:val="000000"/>
                <w:sz w:val="20"/>
                <w:szCs w:val="20"/>
              </w:rPr>
              <w:t>8,486 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AEB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EB9"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AEBA"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AEBB" w14:textId="77777777" w:rsidR="004D6A64" w:rsidRDefault="00506CD6">
            <w:pPr>
              <w:jc w:val="right"/>
              <w:textAlignment w:val="center"/>
            </w:pPr>
            <w:r>
              <w:rPr>
                <w:rFonts w:ascii="Times New Roman" w:eastAsia="宋体" w:hAnsi="Times New Roman"/>
                <w:color w:val="000000"/>
                <w:sz w:val="20"/>
                <w:szCs w:val="20"/>
              </w:rPr>
              <w:t>621 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AEB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EBD"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AEBE"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AEBF" w14:textId="77777777" w:rsidR="004D6A64" w:rsidRDefault="00506CD6">
            <w:pPr>
              <w:jc w:val="right"/>
              <w:textAlignment w:val="center"/>
            </w:pPr>
            <w:r>
              <w:rPr>
                <w:rFonts w:ascii="Times New Roman" w:eastAsia="宋体" w:hAnsi="Times New Roman"/>
                <w:color w:val="000000"/>
                <w:sz w:val="20"/>
                <w:szCs w:val="20"/>
              </w:rPr>
              <w:t>203 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AEC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EC1"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AEC2"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AEC3" w14:textId="77777777" w:rsidR="004D6A64" w:rsidRDefault="00506CD6">
            <w:pPr>
              <w:jc w:val="right"/>
              <w:textAlignment w:val="center"/>
            </w:pPr>
            <w:r>
              <w:rPr>
                <w:rFonts w:ascii="Times New Roman" w:eastAsia="宋体" w:hAnsi="Times New Roman"/>
                <w:color w:val="000000"/>
                <w:sz w:val="20"/>
                <w:szCs w:val="20"/>
              </w:rPr>
              <w:t>9,310 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AEC4" w14:textId="77777777" w:rsidR="004D6A64" w:rsidRDefault="004D6A64">
            <w:pPr>
              <w:jc w:val="right"/>
              <w:rPr>
                <w:rFonts w:ascii="宋体"/>
              </w:rPr>
            </w:pPr>
          </w:p>
        </w:tc>
        <w:tc>
          <w:tcPr>
            <w:tcW w:w="0" w:type="auto"/>
            <w:shd w:val="clear" w:color="auto" w:fill="auto"/>
          </w:tcPr>
          <w:p w14:paraId="33DAAEC5" w14:textId="77777777" w:rsidR="004D6A64" w:rsidRDefault="004D6A64">
            <w:pPr>
              <w:rPr>
                <w:rFonts w:ascii="宋体"/>
              </w:rPr>
            </w:pPr>
          </w:p>
        </w:tc>
        <w:tc>
          <w:tcPr>
            <w:tcW w:w="0" w:type="auto"/>
            <w:shd w:val="clear" w:color="auto" w:fill="auto"/>
          </w:tcPr>
          <w:p w14:paraId="33DAAEC6" w14:textId="77777777" w:rsidR="004D6A64" w:rsidRDefault="004D6A64">
            <w:pPr>
              <w:rPr>
                <w:rFonts w:ascii="宋体"/>
              </w:rPr>
            </w:pPr>
          </w:p>
        </w:tc>
        <w:tc>
          <w:tcPr>
            <w:tcW w:w="0" w:type="auto"/>
            <w:shd w:val="clear" w:color="auto" w:fill="auto"/>
          </w:tcPr>
          <w:p w14:paraId="33DAAEC7" w14:textId="77777777" w:rsidR="004D6A64" w:rsidRDefault="004D6A64">
            <w:pPr>
              <w:rPr>
                <w:rFonts w:ascii="宋体"/>
              </w:rPr>
            </w:pPr>
          </w:p>
        </w:tc>
        <w:tc>
          <w:tcPr>
            <w:tcW w:w="0" w:type="auto"/>
            <w:shd w:val="clear" w:color="auto" w:fill="auto"/>
          </w:tcPr>
          <w:p w14:paraId="33DAAEC8" w14:textId="77777777" w:rsidR="004D6A64" w:rsidRDefault="004D6A64">
            <w:pPr>
              <w:rPr>
                <w:rFonts w:ascii="宋体"/>
              </w:rPr>
            </w:pPr>
          </w:p>
        </w:tc>
        <w:tc>
          <w:tcPr>
            <w:tcW w:w="0" w:type="auto"/>
            <w:shd w:val="clear" w:color="auto" w:fill="auto"/>
          </w:tcPr>
          <w:p w14:paraId="33DAAEC9" w14:textId="77777777" w:rsidR="004D6A64" w:rsidRDefault="004D6A64">
            <w:pPr>
              <w:rPr>
                <w:rFonts w:ascii="宋体"/>
              </w:rPr>
            </w:pPr>
          </w:p>
        </w:tc>
        <w:tc>
          <w:tcPr>
            <w:tcW w:w="0" w:type="auto"/>
            <w:shd w:val="clear" w:color="auto" w:fill="auto"/>
          </w:tcPr>
          <w:p w14:paraId="33DAAECA" w14:textId="77777777" w:rsidR="004D6A64" w:rsidRDefault="004D6A64">
            <w:pPr>
              <w:rPr>
                <w:rFonts w:ascii="宋体"/>
              </w:rPr>
            </w:pPr>
          </w:p>
        </w:tc>
        <w:tc>
          <w:tcPr>
            <w:tcW w:w="0" w:type="auto"/>
            <w:shd w:val="clear" w:color="auto" w:fill="auto"/>
          </w:tcPr>
          <w:p w14:paraId="33DAAECB" w14:textId="77777777" w:rsidR="004D6A64" w:rsidRDefault="004D6A64">
            <w:pPr>
              <w:rPr>
                <w:rFonts w:ascii="宋体"/>
              </w:rPr>
            </w:pPr>
          </w:p>
        </w:tc>
        <w:tc>
          <w:tcPr>
            <w:tcW w:w="0" w:type="auto"/>
            <w:shd w:val="clear" w:color="auto" w:fill="auto"/>
          </w:tcPr>
          <w:p w14:paraId="33DAAECC" w14:textId="77777777" w:rsidR="004D6A64" w:rsidRDefault="004D6A64">
            <w:pPr>
              <w:rPr>
                <w:rFonts w:ascii="宋体"/>
              </w:rPr>
            </w:pPr>
          </w:p>
        </w:tc>
        <w:tc>
          <w:tcPr>
            <w:tcW w:w="0" w:type="auto"/>
            <w:shd w:val="clear" w:color="auto" w:fill="auto"/>
          </w:tcPr>
          <w:p w14:paraId="33DAAECD" w14:textId="77777777" w:rsidR="004D6A64" w:rsidRDefault="004D6A64">
            <w:pPr>
              <w:rPr>
                <w:rFonts w:ascii="宋体"/>
              </w:rPr>
            </w:pPr>
          </w:p>
        </w:tc>
        <w:tc>
          <w:tcPr>
            <w:tcW w:w="0" w:type="auto"/>
            <w:shd w:val="clear" w:color="auto" w:fill="auto"/>
          </w:tcPr>
          <w:p w14:paraId="33DAAECE" w14:textId="77777777" w:rsidR="004D6A64" w:rsidRDefault="004D6A64">
            <w:pPr>
              <w:rPr>
                <w:rFonts w:ascii="宋体"/>
              </w:rPr>
            </w:pPr>
          </w:p>
        </w:tc>
        <w:tc>
          <w:tcPr>
            <w:tcW w:w="0" w:type="auto"/>
            <w:shd w:val="clear" w:color="auto" w:fill="auto"/>
          </w:tcPr>
          <w:p w14:paraId="33DAAECF" w14:textId="77777777" w:rsidR="004D6A64" w:rsidRDefault="004D6A64">
            <w:pPr>
              <w:rPr>
                <w:rFonts w:ascii="宋体"/>
              </w:rPr>
            </w:pPr>
          </w:p>
        </w:tc>
        <w:tc>
          <w:tcPr>
            <w:tcW w:w="0" w:type="auto"/>
            <w:shd w:val="clear" w:color="auto" w:fill="auto"/>
          </w:tcPr>
          <w:p w14:paraId="33DAAED0" w14:textId="77777777" w:rsidR="004D6A64" w:rsidRDefault="004D6A64">
            <w:pPr>
              <w:rPr>
                <w:rFonts w:ascii="宋体"/>
              </w:rPr>
            </w:pPr>
          </w:p>
        </w:tc>
        <w:tc>
          <w:tcPr>
            <w:tcW w:w="0" w:type="auto"/>
            <w:shd w:val="clear" w:color="auto" w:fill="auto"/>
          </w:tcPr>
          <w:p w14:paraId="33DAAED1" w14:textId="77777777" w:rsidR="004D6A64" w:rsidRDefault="004D6A64">
            <w:pPr>
              <w:rPr>
                <w:rFonts w:ascii="宋体"/>
              </w:rPr>
            </w:pPr>
          </w:p>
        </w:tc>
        <w:tc>
          <w:tcPr>
            <w:tcW w:w="0" w:type="auto"/>
            <w:shd w:val="clear" w:color="auto" w:fill="auto"/>
          </w:tcPr>
          <w:p w14:paraId="33DAAED2" w14:textId="77777777" w:rsidR="004D6A64" w:rsidRDefault="004D6A64">
            <w:pPr>
              <w:rPr>
                <w:rFonts w:ascii="宋体"/>
              </w:rPr>
            </w:pPr>
          </w:p>
        </w:tc>
        <w:tc>
          <w:tcPr>
            <w:tcW w:w="0" w:type="auto"/>
            <w:shd w:val="clear" w:color="auto" w:fill="auto"/>
          </w:tcPr>
          <w:p w14:paraId="33DAAED3" w14:textId="77777777" w:rsidR="004D6A64" w:rsidRDefault="004D6A64">
            <w:pPr>
              <w:rPr>
                <w:rFonts w:ascii="宋体"/>
              </w:rPr>
            </w:pPr>
          </w:p>
        </w:tc>
        <w:tc>
          <w:tcPr>
            <w:tcW w:w="0" w:type="auto"/>
            <w:shd w:val="clear" w:color="auto" w:fill="auto"/>
          </w:tcPr>
          <w:p w14:paraId="33DAAED4" w14:textId="77777777" w:rsidR="004D6A64" w:rsidRDefault="004D6A64">
            <w:pPr>
              <w:rPr>
                <w:rFonts w:ascii="宋体"/>
              </w:rPr>
            </w:pPr>
          </w:p>
        </w:tc>
        <w:tc>
          <w:tcPr>
            <w:tcW w:w="0" w:type="auto"/>
            <w:shd w:val="clear" w:color="auto" w:fill="auto"/>
          </w:tcPr>
          <w:p w14:paraId="33DAAED5" w14:textId="77777777" w:rsidR="004D6A64" w:rsidRDefault="004D6A64">
            <w:pPr>
              <w:rPr>
                <w:rFonts w:ascii="宋体"/>
              </w:rPr>
            </w:pPr>
          </w:p>
        </w:tc>
        <w:tc>
          <w:tcPr>
            <w:tcW w:w="0" w:type="auto"/>
            <w:shd w:val="clear" w:color="auto" w:fill="auto"/>
          </w:tcPr>
          <w:p w14:paraId="33DAAED6" w14:textId="77777777" w:rsidR="004D6A64" w:rsidRDefault="004D6A64">
            <w:pPr>
              <w:rPr>
                <w:rFonts w:ascii="宋体"/>
              </w:rPr>
            </w:pPr>
          </w:p>
        </w:tc>
      </w:tr>
    </w:tbl>
    <w:p w14:paraId="33DAAED8" w14:textId="77777777" w:rsidR="004D6A64" w:rsidRDefault="004D6A64"/>
    <w:p w14:paraId="33DAAED9" w14:textId="77777777" w:rsidR="004D6A64" w:rsidRDefault="00506CD6">
      <w:r>
        <w:rPr>
          <w:rFonts w:ascii="Times New Roman" w:eastAsia="宋体" w:hAnsi="Times New Roman"/>
          <w:color w:val="000000"/>
          <w:sz w:val="20"/>
          <w:szCs w:val="20"/>
        </w:rPr>
        <w:t>The categories shown in the tables above</w:t>
      </w:r>
      <w:r>
        <w:rPr>
          <w:rFonts w:ascii="Times New Roman" w:eastAsia="宋体" w:hAnsi="Times New Roman"/>
          <w:color w:val="000000"/>
          <w:sz w:val="20"/>
          <w:szCs w:val="20"/>
        </w:rPr>
        <w:t xml:space="preserve"> segregate customer receivables based on the relative degrees of credit risk. The credit quality indicators for DPA revolving accounts are measured primarily as of each quarter-end date, while all other indicators are generally updated on a periodic basis.</w:t>
      </w:r>
      <w:r>
        <w:rPr>
          <w:rFonts w:ascii="Times New Roman" w:eastAsia="宋体" w:hAnsi="Times New Roman"/>
          <w:color w:val="000000"/>
          <w:sz w:val="20"/>
          <w:szCs w:val="20"/>
        </w:rPr>
        <w:t xml:space="preserve"> </w:t>
      </w:r>
    </w:p>
    <w:p w14:paraId="33DAAEDA" w14:textId="77777777" w:rsidR="004D6A64" w:rsidRDefault="004D6A64"/>
    <w:p w14:paraId="33DAAEDB" w14:textId="77777777" w:rsidR="004D6A64" w:rsidRDefault="00506CD6">
      <w:r>
        <w:rPr>
          <w:rFonts w:ascii="Times New Roman" w:eastAsia="宋体" w:hAnsi="Times New Roman"/>
          <w:color w:val="000000"/>
          <w:sz w:val="20"/>
          <w:szCs w:val="20"/>
        </w:rPr>
        <w:t xml:space="preserve">For DPA revolving receivables shown in the table above, the Company makes credit decisions based on proprietary scorecards, which include the customer’s credit history, payment history, credit usage, and other credit agency-related elements. The higher </w:t>
      </w:r>
      <w:r>
        <w:rPr>
          <w:rFonts w:ascii="Times New Roman" w:eastAsia="宋体" w:hAnsi="Times New Roman"/>
          <w:color w:val="000000"/>
          <w:sz w:val="20"/>
          <w:szCs w:val="20"/>
        </w:rPr>
        <w:t>quality category includes prime accounts generally of a higher credit quality that are comparable to U.S. customer FICO scores of 720 or above. The mid-category represents the mid-tier accounts that are comparable to U.S. customer FICO scores from 660 to 7</w:t>
      </w:r>
      <w:r>
        <w:rPr>
          <w:rFonts w:ascii="Times New Roman" w:eastAsia="宋体" w:hAnsi="Times New Roman"/>
          <w:color w:val="000000"/>
          <w:sz w:val="20"/>
          <w:szCs w:val="20"/>
        </w:rPr>
        <w:t>19. The lower category is generally sub-prime and represents lower credit quality accounts that are comparable to U.S. customer FICO scores below 660. For the DBC revolving receivables and fixed-term commercial receivables shown in the table above, an inte</w:t>
      </w:r>
      <w:r>
        <w:rPr>
          <w:rFonts w:ascii="Times New Roman" w:eastAsia="宋体" w:hAnsi="Times New Roman"/>
          <w:color w:val="000000"/>
          <w:sz w:val="20"/>
          <w:szCs w:val="20"/>
        </w:rPr>
        <w:t xml:space="preserve">rnal grading system is utilized that assigns a credit level score based on a number of considerations, including liquidity, operating performance, and industry outlook. The grading criteria and classifications for the fixed-term products differ from those </w:t>
      </w:r>
      <w:r>
        <w:rPr>
          <w:rFonts w:ascii="Times New Roman" w:eastAsia="宋体" w:hAnsi="Times New Roman"/>
          <w:color w:val="000000"/>
          <w:sz w:val="20"/>
          <w:szCs w:val="20"/>
        </w:rPr>
        <w:t>for the revolving products as loss experience varies between these product and customer groups. The credit quality categories cannot be compared between the different classes as loss experience varies substantially between the classes.</w:t>
      </w:r>
    </w:p>
    <w:p w14:paraId="33DAAEDC" w14:textId="77777777" w:rsidR="004D6A64" w:rsidRDefault="004D6A64"/>
    <w:p w14:paraId="33DAAEDD" w14:textId="77777777" w:rsidR="004D6A64" w:rsidRDefault="004D6A64">
      <w:pPr>
        <w:jc w:val="center"/>
      </w:pPr>
    </w:p>
    <w:p w14:paraId="33DAAEDE" w14:textId="77777777" w:rsidR="004D6A64" w:rsidRDefault="00506CD6">
      <w:pPr>
        <w:jc w:val="center"/>
      </w:pPr>
      <w:r>
        <w:rPr>
          <w:rFonts w:ascii="Times New Roman" w:eastAsia="宋体" w:hAnsi="Times New Roman"/>
          <w:color w:val="000000"/>
          <w:sz w:val="20"/>
          <w:szCs w:val="20"/>
        </w:rPr>
        <w:t>24</w:t>
      </w:r>
    </w:p>
    <w:p w14:paraId="33DAAEDF" w14:textId="77777777" w:rsidR="004D6A64" w:rsidRDefault="004D6A64">
      <w:pPr>
        <w:jc w:val="center"/>
      </w:pPr>
    </w:p>
    <w:p w14:paraId="33DAAEE0" w14:textId="77777777" w:rsidR="004D6A64" w:rsidRDefault="00506CD6">
      <w:r>
        <w:pict w14:anchorId="33DAFADC">
          <v:rect id="_x0000_i1048" style="width:415.3pt;height:1.5pt" o:hralign="center" o:hrstd="t" o:hr="t" fillcolor="#a0a0a0" stroked="f"/>
        </w:pict>
      </w:r>
    </w:p>
    <w:p w14:paraId="33DAAEE1" w14:textId="77777777" w:rsidR="004D6A64" w:rsidRDefault="00506CD6">
      <w:hyperlink r:id="rId147" w:anchor="if3e0e1bf9ecd4bf69551d7a85f98d64a_10" w:history="1">
        <w:r>
          <w:rPr>
            <w:rStyle w:val="a5"/>
            <w:rFonts w:ascii="Times New Roman" w:eastAsia="宋体" w:hAnsi="Times New Roman"/>
            <w:sz w:val="20"/>
            <w:szCs w:val="20"/>
          </w:rPr>
          <w:t>Table of Contents</w:t>
        </w:r>
      </w:hyperlink>
    </w:p>
    <w:p w14:paraId="33DAAEE2"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AEE3"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33DAAEE4" w14:textId="77777777" w:rsidR="004D6A64" w:rsidRDefault="00506CD6">
      <w:pPr>
        <w:jc w:val="center"/>
      </w:pPr>
      <w:r>
        <w:rPr>
          <w:rFonts w:ascii="Times New Roman" w:eastAsia="宋体" w:hAnsi="Times New Roman"/>
          <w:b/>
          <w:bCs/>
          <w:color w:val="000000"/>
          <w:sz w:val="20"/>
          <w:szCs w:val="20"/>
          <w:shd w:val="clear" w:color="auto" w:fill="FFFFFF"/>
        </w:rPr>
        <w:t>(una</w:t>
      </w:r>
      <w:r>
        <w:rPr>
          <w:rFonts w:ascii="Times New Roman" w:eastAsia="宋体" w:hAnsi="Times New Roman"/>
          <w:b/>
          <w:bCs/>
          <w:color w:val="000000"/>
          <w:sz w:val="20"/>
          <w:szCs w:val="20"/>
          <w:shd w:val="clear" w:color="auto" w:fill="FFFFFF"/>
        </w:rPr>
        <w:t>udited)</w:t>
      </w:r>
    </w:p>
    <w:p w14:paraId="33DAAEE5" w14:textId="77777777" w:rsidR="004D6A64" w:rsidRDefault="004D6A64">
      <w:pPr>
        <w:jc w:val="center"/>
      </w:pPr>
    </w:p>
    <w:p w14:paraId="33DAAEE6" w14:textId="77777777" w:rsidR="004D6A64" w:rsidRDefault="00506CD6">
      <w:r>
        <w:rPr>
          <w:rFonts w:ascii="Times New Roman" w:eastAsia="宋体" w:hAnsi="Times New Roman"/>
          <w:i/>
          <w:iCs/>
          <w:color w:val="000000"/>
          <w:sz w:val="20"/>
          <w:szCs w:val="20"/>
          <w:u w:val="single"/>
        </w:rPr>
        <w:t>Leases</w:t>
      </w:r>
    </w:p>
    <w:p w14:paraId="33DAAEE7" w14:textId="77777777" w:rsidR="004D6A64" w:rsidRDefault="004D6A64"/>
    <w:p w14:paraId="33DAAEE8" w14:textId="77777777" w:rsidR="004D6A64" w:rsidRDefault="00506CD6">
      <w:r>
        <w:rPr>
          <w:rFonts w:ascii="Times New Roman" w:eastAsia="宋体" w:hAnsi="Times New Roman"/>
          <w:color w:val="000000"/>
          <w:sz w:val="20"/>
          <w:szCs w:val="20"/>
        </w:rPr>
        <w:t xml:space="preserve">Interest income on sales-type lease receivables was $66 million for both the three months ended July 31, 2020 and August 2, 2019, and $131 million and $130 million for the six months ended July 31, 2020 and August 2, 2019, respectively. </w:t>
      </w:r>
    </w:p>
    <w:p w14:paraId="33DAAEE9" w14:textId="77777777" w:rsidR="004D6A64" w:rsidRDefault="004D6A64"/>
    <w:p w14:paraId="33DAAEEA" w14:textId="77777777" w:rsidR="004D6A64" w:rsidRDefault="00506CD6">
      <w:r>
        <w:rPr>
          <w:rFonts w:ascii="Times New Roman" w:eastAsia="宋体" w:hAnsi="Times New Roman"/>
          <w:color w:val="000000"/>
          <w:sz w:val="20"/>
          <w:szCs w:val="20"/>
        </w:rPr>
        <w:t>The following tab</w:t>
      </w:r>
      <w:r>
        <w:rPr>
          <w:rFonts w:ascii="Times New Roman" w:eastAsia="宋体" w:hAnsi="Times New Roman"/>
          <w:color w:val="000000"/>
          <w:sz w:val="20"/>
          <w:szCs w:val="20"/>
        </w:rPr>
        <w:t>le presents the net revenue, cost of net revenue, and gross margin recognized at the commencement date of sales-type leases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3132"/>
        <w:gridCol w:w="36"/>
        <w:gridCol w:w="135"/>
        <w:gridCol w:w="862"/>
        <w:gridCol w:w="41"/>
        <w:gridCol w:w="36"/>
        <w:gridCol w:w="36"/>
        <w:gridCol w:w="36"/>
        <w:gridCol w:w="136"/>
        <w:gridCol w:w="862"/>
        <w:gridCol w:w="42"/>
        <w:gridCol w:w="36"/>
        <w:gridCol w:w="36"/>
        <w:gridCol w:w="36"/>
        <w:gridCol w:w="135"/>
        <w:gridCol w:w="862"/>
        <w:gridCol w:w="41"/>
        <w:gridCol w:w="36"/>
        <w:gridCol w:w="36"/>
        <w:gridCol w:w="36"/>
        <w:gridCol w:w="136"/>
        <w:gridCol w:w="865"/>
        <w:gridCol w:w="42"/>
        <w:gridCol w:w="36"/>
        <w:gridCol w:w="36"/>
        <w:gridCol w:w="36"/>
        <w:gridCol w:w="36"/>
        <w:gridCol w:w="36"/>
        <w:gridCol w:w="36"/>
        <w:gridCol w:w="36"/>
        <w:gridCol w:w="36"/>
        <w:gridCol w:w="36"/>
        <w:gridCol w:w="36"/>
        <w:gridCol w:w="36"/>
        <w:gridCol w:w="36"/>
        <w:gridCol w:w="36"/>
        <w:gridCol w:w="36"/>
        <w:gridCol w:w="36"/>
        <w:gridCol w:w="36"/>
        <w:gridCol w:w="36"/>
        <w:gridCol w:w="36"/>
      </w:tblGrid>
      <w:tr w:rsidR="004D6A64" w14:paraId="33DAAF03" w14:textId="77777777">
        <w:trPr>
          <w:gridAfter w:val="18"/>
        </w:trPr>
        <w:tc>
          <w:tcPr>
            <w:tcW w:w="50" w:type="pct"/>
            <w:shd w:val="clear" w:color="auto" w:fill="auto"/>
          </w:tcPr>
          <w:p w14:paraId="33DAAEEB" w14:textId="77777777" w:rsidR="004D6A64" w:rsidRDefault="004D6A64">
            <w:pPr>
              <w:rPr>
                <w:rFonts w:ascii="宋体"/>
              </w:rPr>
            </w:pPr>
          </w:p>
        </w:tc>
        <w:tc>
          <w:tcPr>
            <w:tcW w:w="2137" w:type="pct"/>
            <w:shd w:val="clear" w:color="auto" w:fill="auto"/>
          </w:tcPr>
          <w:p w14:paraId="33DAAEEC" w14:textId="77777777" w:rsidR="004D6A64" w:rsidRDefault="004D6A64">
            <w:pPr>
              <w:rPr>
                <w:rFonts w:ascii="宋体"/>
              </w:rPr>
            </w:pPr>
          </w:p>
        </w:tc>
        <w:tc>
          <w:tcPr>
            <w:tcW w:w="5" w:type="pct"/>
            <w:shd w:val="clear" w:color="auto" w:fill="auto"/>
          </w:tcPr>
          <w:p w14:paraId="33DAAEED" w14:textId="77777777" w:rsidR="004D6A64" w:rsidRDefault="004D6A64">
            <w:pPr>
              <w:rPr>
                <w:rFonts w:ascii="宋体"/>
              </w:rPr>
            </w:pPr>
          </w:p>
        </w:tc>
        <w:tc>
          <w:tcPr>
            <w:tcW w:w="50" w:type="pct"/>
            <w:shd w:val="clear" w:color="auto" w:fill="auto"/>
          </w:tcPr>
          <w:p w14:paraId="33DAAEEE" w14:textId="77777777" w:rsidR="004D6A64" w:rsidRDefault="004D6A64">
            <w:pPr>
              <w:rPr>
                <w:rFonts w:ascii="宋体"/>
              </w:rPr>
            </w:pPr>
          </w:p>
        </w:tc>
        <w:tc>
          <w:tcPr>
            <w:tcW w:w="624" w:type="pct"/>
            <w:shd w:val="clear" w:color="auto" w:fill="auto"/>
          </w:tcPr>
          <w:p w14:paraId="33DAAEEF" w14:textId="77777777" w:rsidR="004D6A64" w:rsidRDefault="004D6A64">
            <w:pPr>
              <w:rPr>
                <w:rFonts w:ascii="宋体"/>
              </w:rPr>
            </w:pPr>
          </w:p>
        </w:tc>
        <w:tc>
          <w:tcPr>
            <w:tcW w:w="5" w:type="pct"/>
            <w:shd w:val="clear" w:color="auto" w:fill="auto"/>
          </w:tcPr>
          <w:p w14:paraId="33DAAEF0" w14:textId="77777777" w:rsidR="004D6A64" w:rsidRDefault="004D6A64">
            <w:pPr>
              <w:rPr>
                <w:rFonts w:ascii="宋体"/>
              </w:rPr>
            </w:pPr>
          </w:p>
        </w:tc>
        <w:tc>
          <w:tcPr>
            <w:tcW w:w="5" w:type="pct"/>
            <w:shd w:val="clear" w:color="auto" w:fill="auto"/>
          </w:tcPr>
          <w:p w14:paraId="33DAAEF1" w14:textId="77777777" w:rsidR="004D6A64" w:rsidRDefault="004D6A64">
            <w:pPr>
              <w:rPr>
                <w:rFonts w:ascii="宋体"/>
              </w:rPr>
            </w:pPr>
          </w:p>
        </w:tc>
        <w:tc>
          <w:tcPr>
            <w:tcW w:w="19" w:type="pct"/>
            <w:shd w:val="clear" w:color="auto" w:fill="auto"/>
          </w:tcPr>
          <w:p w14:paraId="33DAAEF2" w14:textId="77777777" w:rsidR="004D6A64" w:rsidRDefault="004D6A64">
            <w:pPr>
              <w:rPr>
                <w:rFonts w:ascii="宋体"/>
              </w:rPr>
            </w:pPr>
          </w:p>
        </w:tc>
        <w:tc>
          <w:tcPr>
            <w:tcW w:w="5" w:type="pct"/>
            <w:shd w:val="clear" w:color="auto" w:fill="auto"/>
          </w:tcPr>
          <w:p w14:paraId="33DAAEF3" w14:textId="77777777" w:rsidR="004D6A64" w:rsidRDefault="004D6A64">
            <w:pPr>
              <w:rPr>
                <w:rFonts w:ascii="宋体"/>
              </w:rPr>
            </w:pPr>
          </w:p>
        </w:tc>
        <w:tc>
          <w:tcPr>
            <w:tcW w:w="50" w:type="pct"/>
            <w:shd w:val="clear" w:color="auto" w:fill="auto"/>
          </w:tcPr>
          <w:p w14:paraId="33DAAEF4" w14:textId="77777777" w:rsidR="004D6A64" w:rsidRDefault="004D6A64">
            <w:pPr>
              <w:rPr>
                <w:rFonts w:ascii="宋体"/>
              </w:rPr>
            </w:pPr>
          </w:p>
        </w:tc>
        <w:tc>
          <w:tcPr>
            <w:tcW w:w="624" w:type="pct"/>
            <w:shd w:val="clear" w:color="auto" w:fill="auto"/>
          </w:tcPr>
          <w:p w14:paraId="33DAAEF5" w14:textId="77777777" w:rsidR="004D6A64" w:rsidRDefault="004D6A64">
            <w:pPr>
              <w:rPr>
                <w:rFonts w:ascii="宋体"/>
              </w:rPr>
            </w:pPr>
          </w:p>
        </w:tc>
        <w:tc>
          <w:tcPr>
            <w:tcW w:w="5" w:type="pct"/>
            <w:shd w:val="clear" w:color="auto" w:fill="auto"/>
          </w:tcPr>
          <w:p w14:paraId="33DAAEF6" w14:textId="77777777" w:rsidR="004D6A64" w:rsidRDefault="004D6A64">
            <w:pPr>
              <w:rPr>
                <w:rFonts w:ascii="宋体"/>
              </w:rPr>
            </w:pPr>
          </w:p>
        </w:tc>
        <w:tc>
          <w:tcPr>
            <w:tcW w:w="5" w:type="pct"/>
            <w:shd w:val="clear" w:color="auto" w:fill="auto"/>
          </w:tcPr>
          <w:p w14:paraId="33DAAEF7" w14:textId="77777777" w:rsidR="004D6A64" w:rsidRDefault="004D6A64">
            <w:pPr>
              <w:rPr>
                <w:rFonts w:ascii="宋体"/>
              </w:rPr>
            </w:pPr>
          </w:p>
        </w:tc>
        <w:tc>
          <w:tcPr>
            <w:tcW w:w="19" w:type="pct"/>
            <w:shd w:val="clear" w:color="auto" w:fill="auto"/>
          </w:tcPr>
          <w:p w14:paraId="33DAAEF8" w14:textId="77777777" w:rsidR="004D6A64" w:rsidRDefault="004D6A64">
            <w:pPr>
              <w:rPr>
                <w:rFonts w:ascii="宋体"/>
              </w:rPr>
            </w:pPr>
          </w:p>
        </w:tc>
        <w:tc>
          <w:tcPr>
            <w:tcW w:w="5" w:type="pct"/>
            <w:shd w:val="clear" w:color="auto" w:fill="auto"/>
          </w:tcPr>
          <w:p w14:paraId="33DAAEF9" w14:textId="77777777" w:rsidR="004D6A64" w:rsidRDefault="004D6A64">
            <w:pPr>
              <w:rPr>
                <w:rFonts w:ascii="宋体"/>
              </w:rPr>
            </w:pPr>
          </w:p>
        </w:tc>
        <w:tc>
          <w:tcPr>
            <w:tcW w:w="50" w:type="pct"/>
            <w:shd w:val="clear" w:color="auto" w:fill="auto"/>
          </w:tcPr>
          <w:p w14:paraId="33DAAEFA" w14:textId="77777777" w:rsidR="004D6A64" w:rsidRDefault="004D6A64">
            <w:pPr>
              <w:rPr>
                <w:rFonts w:ascii="宋体"/>
              </w:rPr>
            </w:pPr>
          </w:p>
        </w:tc>
        <w:tc>
          <w:tcPr>
            <w:tcW w:w="624" w:type="pct"/>
            <w:shd w:val="clear" w:color="auto" w:fill="auto"/>
          </w:tcPr>
          <w:p w14:paraId="33DAAEFB" w14:textId="77777777" w:rsidR="004D6A64" w:rsidRDefault="004D6A64">
            <w:pPr>
              <w:rPr>
                <w:rFonts w:ascii="宋体"/>
              </w:rPr>
            </w:pPr>
          </w:p>
        </w:tc>
        <w:tc>
          <w:tcPr>
            <w:tcW w:w="5" w:type="pct"/>
            <w:shd w:val="clear" w:color="auto" w:fill="auto"/>
          </w:tcPr>
          <w:p w14:paraId="33DAAEFC" w14:textId="77777777" w:rsidR="004D6A64" w:rsidRDefault="004D6A64">
            <w:pPr>
              <w:rPr>
                <w:rFonts w:ascii="宋体"/>
              </w:rPr>
            </w:pPr>
          </w:p>
        </w:tc>
        <w:tc>
          <w:tcPr>
            <w:tcW w:w="5" w:type="pct"/>
            <w:shd w:val="clear" w:color="auto" w:fill="auto"/>
          </w:tcPr>
          <w:p w14:paraId="33DAAEFD" w14:textId="77777777" w:rsidR="004D6A64" w:rsidRDefault="004D6A64">
            <w:pPr>
              <w:rPr>
                <w:rFonts w:ascii="宋体"/>
              </w:rPr>
            </w:pPr>
          </w:p>
        </w:tc>
        <w:tc>
          <w:tcPr>
            <w:tcW w:w="19" w:type="pct"/>
            <w:shd w:val="clear" w:color="auto" w:fill="auto"/>
          </w:tcPr>
          <w:p w14:paraId="33DAAEFE" w14:textId="77777777" w:rsidR="004D6A64" w:rsidRDefault="004D6A64">
            <w:pPr>
              <w:rPr>
                <w:rFonts w:ascii="宋体"/>
              </w:rPr>
            </w:pPr>
          </w:p>
        </w:tc>
        <w:tc>
          <w:tcPr>
            <w:tcW w:w="5" w:type="pct"/>
            <w:shd w:val="clear" w:color="auto" w:fill="auto"/>
          </w:tcPr>
          <w:p w14:paraId="33DAAEFF" w14:textId="77777777" w:rsidR="004D6A64" w:rsidRDefault="004D6A64">
            <w:pPr>
              <w:rPr>
                <w:rFonts w:ascii="宋体"/>
              </w:rPr>
            </w:pPr>
          </w:p>
        </w:tc>
        <w:tc>
          <w:tcPr>
            <w:tcW w:w="50" w:type="pct"/>
            <w:shd w:val="clear" w:color="auto" w:fill="auto"/>
          </w:tcPr>
          <w:p w14:paraId="33DAAF00" w14:textId="77777777" w:rsidR="004D6A64" w:rsidRDefault="004D6A64">
            <w:pPr>
              <w:rPr>
                <w:rFonts w:ascii="宋体"/>
              </w:rPr>
            </w:pPr>
          </w:p>
        </w:tc>
        <w:tc>
          <w:tcPr>
            <w:tcW w:w="625" w:type="pct"/>
            <w:shd w:val="clear" w:color="auto" w:fill="auto"/>
          </w:tcPr>
          <w:p w14:paraId="33DAAF01" w14:textId="77777777" w:rsidR="004D6A64" w:rsidRDefault="004D6A64">
            <w:pPr>
              <w:rPr>
                <w:rFonts w:ascii="宋体"/>
              </w:rPr>
            </w:pPr>
          </w:p>
        </w:tc>
        <w:tc>
          <w:tcPr>
            <w:tcW w:w="5" w:type="pct"/>
            <w:shd w:val="clear" w:color="auto" w:fill="auto"/>
          </w:tcPr>
          <w:p w14:paraId="33DAAF02" w14:textId="77777777" w:rsidR="004D6A64" w:rsidRDefault="004D6A64">
            <w:pPr>
              <w:rPr>
                <w:rFonts w:ascii="宋体"/>
              </w:rPr>
            </w:pPr>
          </w:p>
        </w:tc>
      </w:tr>
      <w:tr w:rsidR="004D6A64" w14:paraId="33DAAF0C" w14:textId="77777777">
        <w:trPr>
          <w:gridAfter w:val="6"/>
        </w:trPr>
        <w:tc>
          <w:tcPr>
            <w:tcW w:w="0" w:type="auto"/>
            <w:gridSpan w:val="3"/>
            <w:shd w:val="clear" w:color="auto" w:fill="auto"/>
            <w:tcMar>
              <w:left w:w="20" w:type="dxa"/>
              <w:right w:w="20" w:type="dxa"/>
            </w:tcMar>
            <w:vAlign w:val="bottom"/>
          </w:tcPr>
          <w:p w14:paraId="33DAAF04" w14:textId="77777777" w:rsidR="004D6A64" w:rsidRDefault="004D6A64">
            <w:pPr>
              <w:rPr>
                <w:rFonts w:ascii="宋体"/>
              </w:rPr>
            </w:pPr>
          </w:p>
        </w:tc>
        <w:tc>
          <w:tcPr>
            <w:tcW w:w="0" w:type="auto"/>
            <w:gridSpan w:val="9"/>
            <w:shd w:val="clear" w:color="auto" w:fill="auto"/>
            <w:tcMar>
              <w:top w:w="40" w:type="dxa"/>
              <w:left w:w="20" w:type="dxa"/>
              <w:bottom w:w="40" w:type="dxa"/>
              <w:right w:w="20" w:type="dxa"/>
            </w:tcMar>
            <w:vAlign w:val="bottom"/>
          </w:tcPr>
          <w:p w14:paraId="33DAAF05" w14:textId="77777777" w:rsidR="004D6A64" w:rsidRDefault="00506CD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Pr>
          <w:p w14:paraId="33DAAF06" w14:textId="77777777" w:rsidR="004D6A64" w:rsidRDefault="004D6A64">
            <w:pPr>
              <w:rPr>
                <w:rFonts w:ascii="宋体"/>
                <w:vanish/>
              </w:rPr>
            </w:pPr>
          </w:p>
        </w:tc>
        <w:tc>
          <w:tcPr>
            <w:tcW w:w="0" w:type="auto"/>
            <w:gridSpan w:val="3"/>
            <w:shd w:val="clear" w:color="auto" w:fill="auto"/>
          </w:tcPr>
          <w:p w14:paraId="33DAAF07"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AF08" w14:textId="77777777" w:rsidR="004D6A64" w:rsidRDefault="004D6A64">
            <w:pPr>
              <w:rPr>
                <w:rFonts w:ascii="宋体"/>
              </w:rPr>
            </w:pPr>
          </w:p>
        </w:tc>
        <w:tc>
          <w:tcPr>
            <w:tcW w:w="0" w:type="auto"/>
            <w:gridSpan w:val="9"/>
            <w:shd w:val="clear" w:color="auto" w:fill="auto"/>
            <w:tcMar>
              <w:top w:w="40" w:type="dxa"/>
              <w:left w:w="20" w:type="dxa"/>
              <w:bottom w:w="40" w:type="dxa"/>
              <w:right w:w="20" w:type="dxa"/>
            </w:tcMar>
            <w:vAlign w:val="bottom"/>
          </w:tcPr>
          <w:p w14:paraId="33DAAF09" w14:textId="77777777" w:rsidR="004D6A64" w:rsidRDefault="00506CD6">
            <w:pPr>
              <w:jc w:val="center"/>
              <w:textAlignment w:val="bottom"/>
            </w:pPr>
            <w:r>
              <w:rPr>
                <w:rFonts w:ascii="Times New Roman" w:eastAsia="宋体" w:hAnsi="Times New Roman"/>
                <w:b/>
                <w:bCs/>
                <w:color w:val="000000"/>
                <w:sz w:val="20"/>
                <w:szCs w:val="20"/>
              </w:rPr>
              <w:t>Six Months Ended</w:t>
            </w:r>
          </w:p>
        </w:tc>
        <w:tc>
          <w:tcPr>
            <w:tcW w:w="0" w:type="auto"/>
            <w:gridSpan w:val="3"/>
            <w:shd w:val="clear" w:color="auto" w:fill="auto"/>
          </w:tcPr>
          <w:p w14:paraId="33DAAF0A" w14:textId="77777777" w:rsidR="004D6A64" w:rsidRDefault="004D6A64">
            <w:pPr>
              <w:rPr>
                <w:rFonts w:ascii="宋体"/>
                <w:vanish/>
              </w:rPr>
            </w:pPr>
          </w:p>
        </w:tc>
        <w:tc>
          <w:tcPr>
            <w:tcW w:w="0" w:type="auto"/>
            <w:gridSpan w:val="3"/>
            <w:shd w:val="clear" w:color="auto" w:fill="auto"/>
          </w:tcPr>
          <w:p w14:paraId="33DAAF0B" w14:textId="77777777" w:rsidR="004D6A64" w:rsidRDefault="004D6A64">
            <w:pPr>
              <w:rPr>
                <w:rFonts w:ascii="宋体"/>
                <w:vanish/>
              </w:rPr>
            </w:pPr>
          </w:p>
        </w:tc>
      </w:tr>
      <w:tr w:rsidR="004D6A64" w14:paraId="33DAAF21" w14:textId="77777777">
        <w:trPr>
          <w:gridAfter w:val="6"/>
        </w:trPr>
        <w:tc>
          <w:tcPr>
            <w:tcW w:w="0" w:type="auto"/>
            <w:gridSpan w:val="3"/>
            <w:shd w:val="clear" w:color="auto" w:fill="auto"/>
            <w:tcMar>
              <w:left w:w="20" w:type="dxa"/>
              <w:right w:w="20" w:type="dxa"/>
            </w:tcMar>
            <w:vAlign w:val="bottom"/>
          </w:tcPr>
          <w:p w14:paraId="33DAAF0D"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AF0E"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AF0F"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F10"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gridSpan w:val="3"/>
            <w:shd w:val="clear" w:color="auto" w:fill="auto"/>
            <w:tcMar>
              <w:left w:w="20" w:type="dxa"/>
              <w:right w:w="20" w:type="dxa"/>
            </w:tcMar>
            <w:vAlign w:val="bottom"/>
          </w:tcPr>
          <w:p w14:paraId="33DAAF11"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F12"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AF13"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AF14"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shd w:val="clear" w:color="auto" w:fill="auto"/>
          </w:tcPr>
          <w:p w14:paraId="33DAAF15" w14:textId="77777777" w:rsidR="004D6A64" w:rsidRDefault="004D6A64">
            <w:pPr>
              <w:rPr>
                <w:rFonts w:ascii="宋体"/>
              </w:rPr>
            </w:pPr>
          </w:p>
        </w:tc>
        <w:tc>
          <w:tcPr>
            <w:tcW w:w="0" w:type="auto"/>
            <w:shd w:val="clear" w:color="auto" w:fill="auto"/>
          </w:tcPr>
          <w:p w14:paraId="33DAAF16" w14:textId="77777777" w:rsidR="004D6A64" w:rsidRDefault="004D6A64">
            <w:pPr>
              <w:rPr>
                <w:rFonts w:ascii="宋体"/>
              </w:rPr>
            </w:pPr>
          </w:p>
        </w:tc>
        <w:tc>
          <w:tcPr>
            <w:tcW w:w="0" w:type="auto"/>
            <w:shd w:val="clear" w:color="auto" w:fill="auto"/>
          </w:tcPr>
          <w:p w14:paraId="33DAAF17" w14:textId="77777777" w:rsidR="004D6A64" w:rsidRDefault="004D6A64">
            <w:pPr>
              <w:rPr>
                <w:rFonts w:ascii="宋体"/>
              </w:rPr>
            </w:pPr>
          </w:p>
        </w:tc>
        <w:tc>
          <w:tcPr>
            <w:tcW w:w="0" w:type="auto"/>
            <w:shd w:val="clear" w:color="auto" w:fill="auto"/>
          </w:tcPr>
          <w:p w14:paraId="33DAAF18" w14:textId="77777777" w:rsidR="004D6A64" w:rsidRDefault="004D6A64">
            <w:pPr>
              <w:rPr>
                <w:rFonts w:ascii="宋体"/>
              </w:rPr>
            </w:pPr>
          </w:p>
        </w:tc>
        <w:tc>
          <w:tcPr>
            <w:tcW w:w="0" w:type="auto"/>
            <w:shd w:val="clear" w:color="auto" w:fill="auto"/>
          </w:tcPr>
          <w:p w14:paraId="33DAAF19" w14:textId="77777777" w:rsidR="004D6A64" w:rsidRDefault="004D6A64">
            <w:pPr>
              <w:rPr>
                <w:rFonts w:ascii="宋体"/>
              </w:rPr>
            </w:pPr>
          </w:p>
        </w:tc>
        <w:tc>
          <w:tcPr>
            <w:tcW w:w="0" w:type="auto"/>
            <w:shd w:val="clear" w:color="auto" w:fill="auto"/>
          </w:tcPr>
          <w:p w14:paraId="33DAAF1A" w14:textId="77777777" w:rsidR="004D6A64" w:rsidRDefault="004D6A64">
            <w:pPr>
              <w:rPr>
                <w:rFonts w:ascii="宋体"/>
              </w:rPr>
            </w:pPr>
          </w:p>
        </w:tc>
        <w:tc>
          <w:tcPr>
            <w:tcW w:w="0" w:type="auto"/>
            <w:shd w:val="clear" w:color="auto" w:fill="auto"/>
          </w:tcPr>
          <w:p w14:paraId="33DAAF1B" w14:textId="77777777" w:rsidR="004D6A64" w:rsidRDefault="004D6A64">
            <w:pPr>
              <w:rPr>
                <w:rFonts w:ascii="宋体"/>
              </w:rPr>
            </w:pPr>
          </w:p>
        </w:tc>
        <w:tc>
          <w:tcPr>
            <w:tcW w:w="0" w:type="auto"/>
            <w:shd w:val="clear" w:color="auto" w:fill="auto"/>
          </w:tcPr>
          <w:p w14:paraId="33DAAF1C" w14:textId="77777777" w:rsidR="004D6A64" w:rsidRDefault="004D6A64">
            <w:pPr>
              <w:rPr>
                <w:rFonts w:ascii="宋体"/>
              </w:rPr>
            </w:pPr>
          </w:p>
        </w:tc>
        <w:tc>
          <w:tcPr>
            <w:tcW w:w="0" w:type="auto"/>
            <w:shd w:val="clear" w:color="auto" w:fill="auto"/>
          </w:tcPr>
          <w:p w14:paraId="33DAAF1D" w14:textId="77777777" w:rsidR="004D6A64" w:rsidRDefault="004D6A64">
            <w:pPr>
              <w:rPr>
                <w:rFonts w:ascii="宋体"/>
              </w:rPr>
            </w:pPr>
          </w:p>
        </w:tc>
        <w:tc>
          <w:tcPr>
            <w:tcW w:w="0" w:type="auto"/>
            <w:shd w:val="clear" w:color="auto" w:fill="auto"/>
          </w:tcPr>
          <w:p w14:paraId="33DAAF1E" w14:textId="77777777" w:rsidR="004D6A64" w:rsidRDefault="004D6A64">
            <w:pPr>
              <w:rPr>
                <w:rFonts w:ascii="宋体"/>
              </w:rPr>
            </w:pPr>
          </w:p>
        </w:tc>
        <w:tc>
          <w:tcPr>
            <w:tcW w:w="0" w:type="auto"/>
            <w:shd w:val="clear" w:color="auto" w:fill="auto"/>
          </w:tcPr>
          <w:p w14:paraId="33DAAF1F" w14:textId="77777777" w:rsidR="004D6A64" w:rsidRDefault="004D6A64">
            <w:pPr>
              <w:rPr>
                <w:rFonts w:ascii="宋体"/>
              </w:rPr>
            </w:pPr>
          </w:p>
        </w:tc>
        <w:tc>
          <w:tcPr>
            <w:tcW w:w="0" w:type="auto"/>
            <w:shd w:val="clear" w:color="auto" w:fill="auto"/>
          </w:tcPr>
          <w:p w14:paraId="33DAAF20" w14:textId="77777777" w:rsidR="004D6A64" w:rsidRDefault="004D6A64">
            <w:pPr>
              <w:rPr>
                <w:rFonts w:ascii="宋体"/>
              </w:rPr>
            </w:pPr>
          </w:p>
        </w:tc>
      </w:tr>
      <w:tr w:rsidR="004D6A64" w14:paraId="33DAAF2A" w14:textId="77777777">
        <w:tc>
          <w:tcPr>
            <w:tcW w:w="0" w:type="auto"/>
            <w:gridSpan w:val="3"/>
            <w:shd w:val="clear" w:color="auto" w:fill="auto"/>
            <w:tcMar>
              <w:left w:w="20" w:type="dxa"/>
              <w:right w:w="20" w:type="dxa"/>
            </w:tcMar>
            <w:vAlign w:val="bottom"/>
          </w:tcPr>
          <w:p w14:paraId="33DAAF22" w14:textId="77777777" w:rsidR="004D6A64" w:rsidRDefault="004D6A64">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33DAAF23" w14:textId="77777777" w:rsidR="004D6A64" w:rsidRDefault="00506CD6">
            <w:pPr>
              <w:jc w:val="center"/>
              <w:textAlignment w:val="center"/>
            </w:pPr>
            <w:r>
              <w:rPr>
                <w:rFonts w:ascii="Times New Roman" w:eastAsia="宋体" w:hAnsi="Times New Roman"/>
                <w:color w:val="000000"/>
                <w:sz w:val="20"/>
                <w:szCs w:val="20"/>
              </w:rPr>
              <w:t>(in millions)</w:t>
            </w:r>
          </w:p>
        </w:tc>
        <w:tc>
          <w:tcPr>
            <w:tcW w:w="0" w:type="auto"/>
            <w:gridSpan w:val="3"/>
            <w:shd w:val="clear" w:color="auto" w:fill="auto"/>
          </w:tcPr>
          <w:p w14:paraId="33DAAF24" w14:textId="77777777" w:rsidR="004D6A64" w:rsidRDefault="004D6A64">
            <w:pPr>
              <w:rPr>
                <w:rFonts w:ascii="宋体"/>
                <w:vanish/>
              </w:rPr>
            </w:pPr>
          </w:p>
        </w:tc>
        <w:tc>
          <w:tcPr>
            <w:tcW w:w="0" w:type="auto"/>
            <w:gridSpan w:val="3"/>
            <w:shd w:val="clear" w:color="auto" w:fill="auto"/>
          </w:tcPr>
          <w:p w14:paraId="33DAAF25" w14:textId="77777777" w:rsidR="004D6A64" w:rsidRDefault="004D6A64">
            <w:pPr>
              <w:rPr>
                <w:rFonts w:ascii="宋体"/>
                <w:vanish/>
              </w:rPr>
            </w:pPr>
          </w:p>
        </w:tc>
        <w:tc>
          <w:tcPr>
            <w:tcW w:w="0" w:type="auto"/>
            <w:gridSpan w:val="3"/>
            <w:shd w:val="clear" w:color="auto" w:fill="auto"/>
          </w:tcPr>
          <w:p w14:paraId="33DAAF26" w14:textId="77777777" w:rsidR="004D6A64" w:rsidRDefault="004D6A64">
            <w:pPr>
              <w:rPr>
                <w:rFonts w:ascii="宋体"/>
                <w:vanish/>
              </w:rPr>
            </w:pPr>
          </w:p>
        </w:tc>
        <w:tc>
          <w:tcPr>
            <w:tcW w:w="0" w:type="auto"/>
            <w:gridSpan w:val="3"/>
            <w:shd w:val="clear" w:color="auto" w:fill="auto"/>
          </w:tcPr>
          <w:p w14:paraId="33DAAF27" w14:textId="77777777" w:rsidR="004D6A64" w:rsidRDefault="004D6A64">
            <w:pPr>
              <w:rPr>
                <w:rFonts w:ascii="宋体"/>
                <w:vanish/>
              </w:rPr>
            </w:pPr>
          </w:p>
        </w:tc>
        <w:tc>
          <w:tcPr>
            <w:tcW w:w="0" w:type="auto"/>
            <w:gridSpan w:val="3"/>
            <w:shd w:val="clear" w:color="auto" w:fill="auto"/>
          </w:tcPr>
          <w:p w14:paraId="33DAAF28" w14:textId="77777777" w:rsidR="004D6A64" w:rsidRDefault="004D6A64">
            <w:pPr>
              <w:rPr>
                <w:rFonts w:ascii="宋体"/>
                <w:vanish/>
              </w:rPr>
            </w:pPr>
          </w:p>
        </w:tc>
        <w:tc>
          <w:tcPr>
            <w:tcW w:w="0" w:type="auto"/>
            <w:gridSpan w:val="3"/>
            <w:shd w:val="clear" w:color="auto" w:fill="auto"/>
          </w:tcPr>
          <w:p w14:paraId="33DAAF29" w14:textId="77777777" w:rsidR="004D6A64" w:rsidRDefault="004D6A64">
            <w:pPr>
              <w:rPr>
                <w:rFonts w:ascii="宋体"/>
                <w:vanish/>
              </w:rPr>
            </w:pPr>
          </w:p>
        </w:tc>
      </w:tr>
      <w:tr w:rsidR="004D6A64" w14:paraId="33DAAF4D" w14:textId="77777777">
        <w:tc>
          <w:tcPr>
            <w:tcW w:w="0" w:type="auto"/>
            <w:gridSpan w:val="3"/>
            <w:shd w:val="clear" w:color="auto" w:fill="CCEEFF"/>
            <w:tcMar>
              <w:top w:w="40" w:type="dxa"/>
              <w:left w:w="20" w:type="dxa"/>
              <w:bottom w:w="40" w:type="dxa"/>
              <w:right w:w="20" w:type="dxa"/>
            </w:tcMar>
            <w:vAlign w:val="center"/>
          </w:tcPr>
          <w:p w14:paraId="33DAAF2B"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 xml:space="preserve">Net revenue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products</w:t>
            </w:r>
          </w:p>
        </w:tc>
        <w:tc>
          <w:tcPr>
            <w:tcW w:w="0" w:type="auto"/>
            <w:shd w:val="clear" w:color="auto" w:fill="CCEEFF"/>
            <w:tcMar>
              <w:top w:w="40" w:type="dxa"/>
              <w:left w:w="20" w:type="dxa"/>
              <w:bottom w:w="40" w:type="dxa"/>
            </w:tcMar>
            <w:vAlign w:val="center"/>
          </w:tcPr>
          <w:p w14:paraId="33DAAF2C"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F2D" w14:textId="77777777" w:rsidR="004D6A64" w:rsidRDefault="00506CD6">
            <w:pPr>
              <w:jc w:val="right"/>
              <w:textAlignment w:val="center"/>
            </w:pPr>
            <w:r>
              <w:rPr>
                <w:rFonts w:ascii="Times New Roman" w:eastAsia="宋体" w:hAnsi="Times New Roman"/>
                <w:color w:val="000000"/>
                <w:sz w:val="20"/>
                <w:szCs w:val="20"/>
              </w:rPr>
              <w:t>249 </w:t>
            </w:r>
          </w:p>
        </w:tc>
        <w:tc>
          <w:tcPr>
            <w:tcW w:w="0" w:type="auto"/>
            <w:shd w:val="clear" w:color="auto" w:fill="CCEEFF"/>
            <w:tcMar>
              <w:top w:w="40" w:type="dxa"/>
              <w:bottom w:w="40" w:type="dxa"/>
              <w:right w:w="20" w:type="dxa"/>
            </w:tcMar>
            <w:vAlign w:val="center"/>
          </w:tcPr>
          <w:p w14:paraId="33DAAF2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F2F"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F30"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F31" w14:textId="77777777" w:rsidR="004D6A64" w:rsidRDefault="00506CD6">
            <w:pPr>
              <w:jc w:val="right"/>
              <w:textAlignment w:val="center"/>
            </w:pPr>
            <w:r>
              <w:rPr>
                <w:rFonts w:ascii="Times New Roman" w:eastAsia="宋体" w:hAnsi="Times New Roman"/>
                <w:color w:val="000000"/>
                <w:sz w:val="20"/>
                <w:szCs w:val="20"/>
              </w:rPr>
              <w:t>223 </w:t>
            </w:r>
          </w:p>
        </w:tc>
        <w:tc>
          <w:tcPr>
            <w:tcW w:w="0" w:type="auto"/>
            <w:shd w:val="clear" w:color="auto" w:fill="CCEEFF"/>
            <w:tcMar>
              <w:top w:w="40" w:type="dxa"/>
              <w:bottom w:w="40" w:type="dxa"/>
              <w:right w:w="20" w:type="dxa"/>
            </w:tcMar>
            <w:vAlign w:val="center"/>
          </w:tcPr>
          <w:p w14:paraId="33DAAF3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F33"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F34"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F35" w14:textId="77777777" w:rsidR="004D6A64" w:rsidRDefault="00506CD6">
            <w:pPr>
              <w:jc w:val="right"/>
              <w:textAlignment w:val="center"/>
            </w:pPr>
            <w:r>
              <w:rPr>
                <w:rFonts w:ascii="Times New Roman" w:eastAsia="宋体" w:hAnsi="Times New Roman"/>
                <w:color w:val="000000"/>
                <w:sz w:val="20"/>
                <w:szCs w:val="20"/>
              </w:rPr>
              <w:t>464 </w:t>
            </w:r>
          </w:p>
        </w:tc>
        <w:tc>
          <w:tcPr>
            <w:tcW w:w="0" w:type="auto"/>
            <w:shd w:val="clear" w:color="auto" w:fill="CCEEFF"/>
            <w:tcMar>
              <w:top w:w="40" w:type="dxa"/>
              <w:bottom w:w="40" w:type="dxa"/>
              <w:right w:w="20" w:type="dxa"/>
            </w:tcMar>
            <w:vAlign w:val="center"/>
          </w:tcPr>
          <w:p w14:paraId="33DAAF36" w14:textId="77777777" w:rsidR="004D6A64" w:rsidRDefault="004D6A64">
            <w:pPr>
              <w:jc w:val="right"/>
              <w:rPr>
                <w:rFonts w:ascii="宋体"/>
              </w:rPr>
            </w:pPr>
          </w:p>
        </w:tc>
        <w:tc>
          <w:tcPr>
            <w:tcW w:w="0" w:type="auto"/>
            <w:gridSpan w:val="3"/>
            <w:shd w:val="clear" w:color="auto" w:fill="CCEEFF"/>
            <w:tcMar>
              <w:left w:w="20" w:type="dxa"/>
              <w:right w:w="20" w:type="dxa"/>
            </w:tcMar>
            <w:vAlign w:val="center"/>
          </w:tcPr>
          <w:p w14:paraId="33DAAF37"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F38"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F39" w14:textId="77777777" w:rsidR="004D6A64" w:rsidRDefault="00506CD6">
            <w:pPr>
              <w:jc w:val="right"/>
              <w:textAlignment w:val="center"/>
            </w:pPr>
            <w:r>
              <w:rPr>
                <w:rFonts w:ascii="Times New Roman" w:eastAsia="宋体" w:hAnsi="Times New Roman"/>
                <w:color w:val="000000"/>
                <w:sz w:val="20"/>
                <w:szCs w:val="20"/>
              </w:rPr>
              <w:t>353 </w:t>
            </w:r>
          </w:p>
        </w:tc>
        <w:tc>
          <w:tcPr>
            <w:tcW w:w="0" w:type="auto"/>
            <w:shd w:val="clear" w:color="auto" w:fill="CCEEFF"/>
            <w:tcMar>
              <w:top w:w="40" w:type="dxa"/>
              <w:bottom w:w="40" w:type="dxa"/>
              <w:right w:w="20" w:type="dxa"/>
            </w:tcMar>
            <w:vAlign w:val="center"/>
          </w:tcPr>
          <w:p w14:paraId="33DAAF3A" w14:textId="77777777" w:rsidR="004D6A64" w:rsidRDefault="004D6A64">
            <w:pPr>
              <w:jc w:val="right"/>
              <w:rPr>
                <w:rFonts w:ascii="宋体"/>
              </w:rPr>
            </w:pPr>
          </w:p>
        </w:tc>
        <w:tc>
          <w:tcPr>
            <w:tcW w:w="0" w:type="auto"/>
            <w:shd w:val="clear" w:color="auto" w:fill="auto"/>
          </w:tcPr>
          <w:p w14:paraId="33DAAF3B" w14:textId="77777777" w:rsidR="004D6A64" w:rsidRDefault="004D6A64">
            <w:pPr>
              <w:rPr>
                <w:rFonts w:ascii="宋体"/>
              </w:rPr>
            </w:pPr>
          </w:p>
        </w:tc>
        <w:tc>
          <w:tcPr>
            <w:tcW w:w="0" w:type="auto"/>
            <w:shd w:val="clear" w:color="auto" w:fill="auto"/>
          </w:tcPr>
          <w:p w14:paraId="33DAAF3C" w14:textId="77777777" w:rsidR="004D6A64" w:rsidRDefault="004D6A64">
            <w:pPr>
              <w:rPr>
                <w:rFonts w:ascii="宋体"/>
              </w:rPr>
            </w:pPr>
          </w:p>
        </w:tc>
        <w:tc>
          <w:tcPr>
            <w:tcW w:w="0" w:type="auto"/>
            <w:shd w:val="clear" w:color="auto" w:fill="auto"/>
          </w:tcPr>
          <w:p w14:paraId="33DAAF3D" w14:textId="77777777" w:rsidR="004D6A64" w:rsidRDefault="004D6A64">
            <w:pPr>
              <w:rPr>
                <w:rFonts w:ascii="宋体"/>
              </w:rPr>
            </w:pPr>
          </w:p>
        </w:tc>
        <w:tc>
          <w:tcPr>
            <w:tcW w:w="0" w:type="auto"/>
            <w:shd w:val="clear" w:color="auto" w:fill="auto"/>
          </w:tcPr>
          <w:p w14:paraId="33DAAF3E" w14:textId="77777777" w:rsidR="004D6A64" w:rsidRDefault="004D6A64">
            <w:pPr>
              <w:rPr>
                <w:rFonts w:ascii="宋体"/>
              </w:rPr>
            </w:pPr>
          </w:p>
        </w:tc>
        <w:tc>
          <w:tcPr>
            <w:tcW w:w="0" w:type="auto"/>
            <w:shd w:val="clear" w:color="auto" w:fill="auto"/>
          </w:tcPr>
          <w:p w14:paraId="33DAAF3F" w14:textId="77777777" w:rsidR="004D6A64" w:rsidRDefault="004D6A64">
            <w:pPr>
              <w:rPr>
                <w:rFonts w:ascii="宋体"/>
              </w:rPr>
            </w:pPr>
          </w:p>
        </w:tc>
        <w:tc>
          <w:tcPr>
            <w:tcW w:w="0" w:type="auto"/>
            <w:shd w:val="clear" w:color="auto" w:fill="auto"/>
          </w:tcPr>
          <w:p w14:paraId="33DAAF40" w14:textId="77777777" w:rsidR="004D6A64" w:rsidRDefault="004D6A64">
            <w:pPr>
              <w:rPr>
                <w:rFonts w:ascii="宋体"/>
              </w:rPr>
            </w:pPr>
          </w:p>
        </w:tc>
        <w:tc>
          <w:tcPr>
            <w:tcW w:w="0" w:type="auto"/>
            <w:shd w:val="clear" w:color="auto" w:fill="auto"/>
          </w:tcPr>
          <w:p w14:paraId="33DAAF41" w14:textId="77777777" w:rsidR="004D6A64" w:rsidRDefault="004D6A64">
            <w:pPr>
              <w:rPr>
                <w:rFonts w:ascii="宋体"/>
              </w:rPr>
            </w:pPr>
          </w:p>
        </w:tc>
        <w:tc>
          <w:tcPr>
            <w:tcW w:w="0" w:type="auto"/>
            <w:shd w:val="clear" w:color="auto" w:fill="auto"/>
          </w:tcPr>
          <w:p w14:paraId="33DAAF42" w14:textId="77777777" w:rsidR="004D6A64" w:rsidRDefault="004D6A64">
            <w:pPr>
              <w:rPr>
                <w:rFonts w:ascii="宋体"/>
              </w:rPr>
            </w:pPr>
          </w:p>
        </w:tc>
        <w:tc>
          <w:tcPr>
            <w:tcW w:w="0" w:type="auto"/>
            <w:shd w:val="clear" w:color="auto" w:fill="auto"/>
          </w:tcPr>
          <w:p w14:paraId="33DAAF43" w14:textId="77777777" w:rsidR="004D6A64" w:rsidRDefault="004D6A64">
            <w:pPr>
              <w:rPr>
                <w:rFonts w:ascii="宋体"/>
              </w:rPr>
            </w:pPr>
          </w:p>
        </w:tc>
        <w:tc>
          <w:tcPr>
            <w:tcW w:w="0" w:type="auto"/>
            <w:shd w:val="clear" w:color="auto" w:fill="auto"/>
          </w:tcPr>
          <w:p w14:paraId="33DAAF44" w14:textId="77777777" w:rsidR="004D6A64" w:rsidRDefault="004D6A64">
            <w:pPr>
              <w:rPr>
                <w:rFonts w:ascii="宋体"/>
              </w:rPr>
            </w:pPr>
          </w:p>
        </w:tc>
        <w:tc>
          <w:tcPr>
            <w:tcW w:w="0" w:type="auto"/>
            <w:shd w:val="clear" w:color="auto" w:fill="auto"/>
          </w:tcPr>
          <w:p w14:paraId="33DAAF45" w14:textId="77777777" w:rsidR="004D6A64" w:rsidRDefault="004D6A64">
            <w:pPr>
              <w:rPr>
                <w:rFonts w:ascii="宋体"/>
              </w:rPr>
            </w:pPr>
          </w:p>
        </w:tc>
        <w:tc>
          <w:tcPr>
            <w:tcW w:w="0" w:type="auto"/>
            <w:shd w:val="clear" w:color="auto" w:fill="auto"/>
          </w:tcPr>
          <w:p w14:paraId="33DAAF46" w14:textId="77777777" w:rsidR="004D6A64" w:rsidRDefault="004D6A64">
            <w:pPr>
              <w:rPr>
                <w:rFonts w:ascii="宋体"/>
              </w:rPr>
            </w:pPr>
          </w:p>
        </w:tc>
        <w:tc>
          <w:tcPr>
            <w:tcW w:w="0" w:type="auto"/>
            <w:shd w:val="clear" w:color="auto" w:fill="auto"/>
          </w:tcPr>
          <w:p w14:paraId="33DAAF47" w14:textId="77777777" w:rsidR="004D6A64" w:rsidRDefault="004D6A64">
            <w:pPr>
              <w:rPr>
                <w:rFonts w:ascii="宋体"/>
              </w:rPr>
            </w:pPr>
          </w:p>
        </w:tc>
        <w:tc>
          <w:tcPr>
            <w:tcW w:w="0" w:type="auto"/>
            <w:shd w:val="clear" w:color="auto" w:fill="auto"/>
          </w:tcPr>
          <w:p w14:paraId="33DAAF48" w14:textId="77777777" w:rsidR="004D6A64" w:rsidRDefault="004D6A64">
            <w:pPr>
              <w:rPr>
                <w:rFonts w:ascii="宋体"/>
              </w:rPr>
            </w:pPr>
          </w:p>
        </w:tc>
        <w:tc>
          <w:tcPr>
            <w:tcW w:w="0" w:type="auto"/>
            <w:shd w:val="clear" w:color="auto" w:fill="auto"/>
          </w:tcPr>
          <w:p w14:paraId="33DAAF49" w14:textId="77777777" w:rsidR="004D6A64" w:rsidRDefault="004D6A64">
            <w:pPr>
              <w:rPr>
                <w:rFonts w:ascii="宋体"/>
              </w:rPr>
            </w:pPr>
          </w:p>
        </w:tc>
        <w:tc>
          <w:tcPr>
            <w:tcW w:w="0" w:type="auto"/>
            <w:shd w:val="clear" w:color="auto" w:fill="auto"/>
          </w:tcPr>
          <w:p w14:paraId="33DAAF4A" w14:textId="77777777" w:rsidR="004D6A64" w:rsidRDefault="004D6A64">
            <w:pPr>
              <w:rPr>
                <w:rFonts w:ascii="宋体"/>
              </w:rPr>
            </w:pPr>
          </w:p>
        </w:tc>
        <w:tc>
          <w:tcPr>
            <w:tcW w:w="0" w:type="auto"/>
            <w:shd w:val="clear" w:color="auto" w:fill="auto"/>
          </w:tcPr>
          <w:p w14:paraId="33DAAF4B" w14:textId="77777777" w:rsidR="004D6A64" w:rsidRDefault="004D6A64">
            <w:pPr>
              <w:rPr>
                <w:rFonts w:ascii="宋体"/>
              </w:rPr>
            </w:pPr>
          </w:p>
        </w:tc>
        <w:tc>
          <w:tcPr>
            <w:tcW w:w="0" w:type="auto"/>
            <w:shd w:val="clear" w:color="auto" w:fill="auto"/>
          </w:tcPr>
          <w:p w14:paraId="33DAAF4C" w14:textId="77777777" w:rsidR="004D6A64" w:rsidRDefault="004D6A64">
            <w:pPr>
              <w:rPr>
                <w:rFonts w:ascii="宋体"/>
              </w:rPr>
            </w:pPr>
          </w:p>
        </w:tc>
      </w:tr>
      <w:tr w:rsidR="004D6A64" w14:paraId="33DAAF6C" w14:textId="77777777">
        <w:tc>
          <w:tcPr>
            <w:tcW w:w="0" w:type="auto"/>
            <w:gridSpan w:val="3"/>
            <w:shd w:val="clear" w:color="auto" w:fill="FFFFFF"/>
            <w:tcMar>
              <w:top w:w="40" w:type="dxa"/>
              <w:left w:w="20" w:type="dxa"/>
              <w:bottom w:w="40" w:type="dxa"/>
              <w:right w:w="20" w:type="dxa"/>
            </w:tcMar>
            <w:vAlign w:val="center"/>
          </w:tcPr>
          <w:p w14:paraId="33DAAF4E"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 xml:space="preserve">Cost of net revenue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products</w:t>
            </w:r>
          </w:p>
        </w:tc>
        <w:tc>
          <w:tcPr>
            <w:tcW w:w="0" w:type="auto"/>
            <w:gridSpan w:val="2"/>
            <w:shd w:val="clear" w:color="auto" w:fill="FFFFFF"/>
            <w:tcMar>
              <w:top w:w="40" w:type="dxa"/>
              <w:left w:w="20" w:type="dxa"/>
              <w:bottom w:w="40" w:type="dxa"/>
              <w:right w:w="0" w:type="dxa"/>
            </w:tcMar>
            <w:vAlign w:val="center"/>
          </w:tcPr>
          <w:p w14:paraId="33DAAF4F" w14:textId="77777777" w:rsidR="004D6A64" w:rsidRDefault="00506CD6">
            <w:pPr>
              <w:jc w:val="right"/>
              <w:textAlignment w:val="center"/>
            </w:pPr>
            <w:r>
              <w:rPr>
                <w:rFonts w:ascii="Times New Roman" w:eastAsia="宋体" w:hAnsi="Times New Roman"/>
                <w:color w:val="000000"/>
                <w:sz w:val="20"/>
                <w:szCs w:val="20"/>
              </w:rPr>
              <w:t>174 </w:t>
            </w:r>
          </w:p>
        </w:tc>
        <w:tc>
          <w:tcPr>
            <w:tcW w:w="0" w:type="auto"/>
            <w:shd w:val="clear" w:color="auto" w:fill="FFFFFF"/>
            <w:tcMar>
              <w:top w:w="40" w:type="dxa"/>
              <w:bottom w:w="40" w:type="dxa"/>
              <w:right w:w="20" w:type="dxa"/>
            </w:tcMar>
            <w:vAlign w:val="center"/>
          </w:tcPr>
          <w:p w14:paraId="33DAAF5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F5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AF52" w14:textId="77777777" w:rsidR="004D6A64" w:rsidRDefault="00506CD6">
            <w:pPr>
              <w:jc w:val="right"/>
              <w:textAlignment w:val="center"/>
            </w:pPr>
            <w:r>
              <w:rPr>
                <w:rFonts w:ascii="Times New Roman" w:eastAsia="宋体" w:hAnsi="Times New Roman"/>
                <w:color w:val="000000"/>
                <w:sz w:val="20"/>
                <w:szCs w:val="20"/>
              </w:rPr>
              <w:t>179 </w:t>
            </w:r>
          </w:p>
        </w:tc>
        <w:tc>
          <w:tcPr>
            <w:tcW w:w="0" w:type="auto"/>
            <w:shd w:val="clear" w:color="auto" w:fill="FFFFFF"/>
            <w:tcMar>
              <w:top w:w="40" w:type="dxa"/>
              <w:bottom w:w="40" w:type="dxa"/>
              <w:right w:w="20" w:type="dxa"/>
            </w:tcMar>
            <w:vAlign w:val="center"/>
          </w:tcPr>
          <w:p w14:paraId="33DAAF5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AF54"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AF55" w14:textId="77777777" w:rsidR="004D6A64" w:rsidRDefault="00506CD6">
            <w:pPr>
              <w:jc w:val="right"/>
              <w:textAlignment w:val="center"/>
            </w:pPr>
            <w:r>
              <w:rPr>
                <w:rFonts w:ascii="Times New Roman" w:eastAsia="宋体" w:hAnsi="Times New Roman"/>
                <w:color w:val="000000"/>
                <w:sz w:val="20"/>
                <w:szCs w:val="20"/>
              </w:rPr>
              <w:t>333 </w:t>
            </w:r>
          </w:p>
        </w:tc>
        <w:tc>
          <w:tcPr>
            <w:tcW w:w="0" w:type="auto"/>
            <w:shd w:val="clear" w:color="auto" w:fill="FFFFFF"/>
            <w:tcMar>
              <w:top w:w="40" w:type="dxa"/>
              <w:bottom w:w="40" w:type="dxa"/>
              <w:right w:w="20" w:type="dxa"/>
            </w:tcMar>
            <w:vAlign w:val="center"/>
          </w:tcPr>
          <w:p w14:paraId="33DAAF56" w14:textId="77777777" w:rsidR="004D6A64" w:rsidRDefault="004D6A64">
            <w:pPr>
              <w:jc w:val="right"/>
              <w:rPr>
                <w:rFonts w:ascii="宋体"/>
              </w:rPr>
            </w:pPr>
          </w:p>
        </w:tc>
        <w:tc>
          <w:tcPr>
            <w:tcW w:w="0" w:type="auto"/>
            <w:gridSpan w:val="3"/>
            <w:shd w:val="clear" w:color="auto" w:fill="FFFFFF"/>
            <w:tcMar>
              <w:left w:w="20" w:type="dxa"/>
              <w:right w:w="20" w:type="dxa"/>
            </w:tcMar>
            <w:vAlign w:val="center"/>
          </w:tcPr>
          <w:p w14:paraId="33DAAF57"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AF58" w14:textId="77777777" w:rsidR="004D6A64" w:rsidRDefault="00506CD6">
            <w:pPr>
              <w:jc w:val="right"/>
              <w:textAlignment w:val="center"/>
            </w:pPr>
            <w:r>
              <w:rPr>
                <w:rFonts w:ascii="Times New Roman" w:eastAsia="宋体" w:hAnsi="Times New Roman"/>
                <w:color w:val="000000"/>
                <w:sz w:val="20"/>
                <w:szCs w:val="20"/>
              </w:rPr>
              <w:t>260 </w:t>
            </w:r>
          </w:p>
        </w:tc>
        <w:tc>
          <w:tcPr>
            <w:tcW w:w="0" w:type="auto"/>
            <w:shd w:val="clear" w:color="auto" w:fill="FFFFFF"/>
            <w:tcMar>
              <w:top w:w="40" w:type="dxa"/>
              <w:bottom w:w="40" w:type="dxa"/>
              <w:right w:w="20" w:type="dxa"/>
            </w:tcMar>
            <w:vAlign w:val="center"/>
          </w:tcPr>
          <w:p w14:paraId="33DAAF59" w14:textId="77777777" w:rsidR="004D6A64" w:rsidRDefault="004D6A64">
            <w:pPr>
              <w:jc w:val="right"/>
              <w:rPr>
                <w:rFonts w:ascii="宋体"/>
              </w:rPr>
            </w:pPr>
          </w:p>
        </w:tc>
        <w:tc>
          <w:tcPr>
            <w:tcW w:w="0" w:type="auto"/>
            <w:shd w:val="clear" w:color="auto" w:fill="auto"/>
          </w:tcPr>
          <w:p w14:paraId="33DAAF5A" w14:textId="77777777" w:rsidR="004D6A64" w:rsidRDefault="004D6A64">
            <w:pPr>
              <w:rPr>
                <w:rFonts w:ascii="宋体"/>
              </w:rPr>
            </w:pPr>
          </w:p>
        </w:tc>
        <w:tc>
          <w:tcPr>
            <w:tcW w:w="0" w:type="auto"/>
            <w:shd w:val="clear" w:color="auto" w:fill="auto"/>
          </w:tcPr>
          <w:p w14:paraId="33DAAF5B" w14:textId="77777777" w:rsidR="004D6A64" w:rsidRDefault="004D6A64">
            <w:pPr>
              <w:rPr>
                <w:rFonts w:ascii="宋体"/>
              </w:rPr>
            </w:pPr>
          </w:p>
        </w:tc>
        <w:tc>
          <w:tcPr>
            <w:tcW w:w="0" w:type="auto"/>
            <w:shd w:val="clear" w:color="auto" w:fill="auto"/>
          </w:tcPr>
          <w:p w14:paraId="33DAAF5C" w14:textId="77777777" w:rsidR="004D6A64" w:rsidRDefault="004D6A64">
            <w:pPr>
              <w:rPr>
                <w:rFonts w:ascii="宋体"/>
              </w:rPr>
            </w:pPr>
          </w:p>
        </w:tc>
        <w:tc>
          <w:tcPr>
            <w:tcW w:w="0" w:type="auto"/>
            <w:shd w:val="clear" w:color="auto" w:fill="auto"/>
          </w:tcPr>
          <w:p w14:paraId="33DAAF5D" w14:textId="77777777" w:rsidR="004D6A64" w:rsidRDefault="004D6A64">
            <w:pPr>
              <w:rPr>
                <w:rFonts w:ascii="宋体"/>
              </w:rPr>
            </w:pPr>
          </w:p>
        </w:tc>
        <w:tc>
          <w:tcPr>
            <w:tcW w:w="0" w:type="auto"/>
            <w:shd w:val="clear" w:color="auto" w:fill="auto"/>
          </w:tcPr>
          <w:p w14:paraId="33DAAF5E" w14:textId="77777777" w:rsidR="004D6A64" w:rsidRDefault="004D6A64">
            <w:pPr>
              <w:rPr>
                <w:rFonts w:ascii="宋体"/>
              </w:rPr>
            </w:pPr>
          </w:p>
        </w:tc>
        <w:tc>
          <w:tcPr>
            <w:tcW w:w="0" w:type="auto"/>
            <w:shd w:val="clear" w:color="auto" w:fill="auto"/>
          </w:tcPr>
          <w:p w14:paraId="33DAAF5F" w14:textId="77777777" w:rsidR="004D6A64" w:rsidRDefault="004D6A64">
            <w:pPr>
              <w:rPr>
                <w:rFonts w:ascii="宋体"/>
              </w:rPr>
            </w:pPr>
          </w:p>
        </w:tc>
        <w:tc>
          <w:tcPr>
            <w:tcW w:w="0" w:type="auto"/>
            <w:shd w:val="clear" w:color="auto" w:fill="auto"/>
          </w:tcPr>
          <w:p w14:paraId="33DAAF60" w14:textId="77777777" w:rsidR="004D6A64" w:rsidRDefault="004D6A64">
            <w:pPr>
              <w:rPr>
                <w:rFonts w:ascii="宋体"/>
              </w:rPr>
            </w:pPr>
          </w:p>
        </w:tc>
        <w:tc>
          <w:tcPr>
            <w:tcW w:w="0" w:type="auto"/>
            <w:shd w:val="clear" w:color="auto" w:fill="auto"/>
          </w:tcPr>
          <w:p w14:paraId="33DAAF61" w14:textId="77777777" w:rsidR="004D6A64" w:rsidRDefault="004D6A64">
            <w:pPr>
              <w:rPr>
                <w:rFonts w:ascii="宋体"/>
              </w:rPr>
            </w:pPr>
          </w:p>
        </w:tc>
        <w:tc>
          <w:tcPr>
            <w:tcW w:w="0" w:type="auto"/>
            <w:shd w:val="clear" w:color="auto" w:fill="auto"/>
          </w:tcPr>
          <w:p w14:paraId="33DAAF62" w14:textId="77777777" w:rsidR="004D6A64" w:rsidRDefault="004D6A64">
            <w:pPr>
              <w:rPr>
                <w:rFonts w:ascii="宋体"/>
              </w:rPr>
            </w:pPr>
          </w:p>
        </w:tc>
        <w:tc>
          <w:tcPr>
            <w:tcW w:w="0" w:type="auto"/>
            <w:shd w:val="clear" w:color="auto" w:fill="auto"/>
          </w:tcPr>
          <w:p w14:paraId="33DAAF63" w14:textId="77777777" w:rsidR="004D6A64" w:rsidRDefault="004D6A64">
            <w:pPr>
              <w:rPr>
                <w:rFonts w:ascii="宋体"/>
              </w:rPr>
            </w:pPr>
          </w:p>
        </w:tc>
        <w:tc>
          <w:tcPr>
            <w:tcW w:w="0" w:type="auto"/>
            <w:shd w:val="clear" w:color="auto" w:fill="auto"/>
          </w:tcPr>
          <w:p w14:paraId="33DAAF64" w14:textId="77777777" w:rsidR="004D6A64" w:rsidRDefault="004D6A64">
            <w:pPr>
              <w:rPr>
                <w:rFonts w:ascii="宋体"/>
              </w:rPr>
            </w:pPr>
          </w:p>
        </w:tc>
        <w:tc>
          <w:tcPr>
            <w:tcW w:w="0" w:type="auto"/>
            <w:shd w:val="clear" w:color="auto" w:fill="auto"/>
          </w:tcPr>
          <w:p w14:paraId="33DAAF65" w14:textId="77777777" w:rsidR="004D6A64" w:rsidRDefault="004D6A64">
            <w:pPr>
              <w:rPr>
                <w:rFonts w:ascii="宋体"/>
              </w:rPr>
            </w:pPr>
          </w:p>
        </w:tc>
        <w:tc>
          <w:tcPr>
            <w:tcW w:w="0" w:type="auto"/>
            <w:shd w:val="clear" w:color="auto" w:fill="auto"/>
          </w:tcPr>
          <w:p w14:paraId="33DAAF66" w14:textId="77777777" w:rsidR="004D6A64" w:rsidRDefault="004D6A64">
            <w:pPr>
              <w:rPr>
                <w:rFonts w:ascii="宋体"/>
              </w:rPr>
            </w:pPr>
          </w:p>
        </w:tc>
        <w:tc>
          <w:tcPr>
            <w:tcW w:w="0" w:type="auto"/>
            <w:shd w:val="clear" w:color="auto" w:fill="auto"/>
          </w:tcPr>
          <w:p w14:paraId="33DAAF67" w14:textId="77777777" w:rsidR="004D6A64" w:rsidRDefault="004D6A64">
            <w:pPr>
              <w:rPr>
                <w:rFonts w:ascii="宋体"/>
              </w:rPr>
            </w:pPr>
          </w:p>
        </w:tc>
        <w:tc>
          <w:tcPr>
            <w:tcW w:w="0" w:type="auto"/>
            <w:shd w:val="clear" w:color="auto" w:fill="auto"/>
          </w:tcPr>
          <w:p w14:paraId="33DAAF68" w14:textId="77777777" w:rsidR="004D6A64" w:rsidRDefault="004D6A64">
            <w:pPr>
              <w:rPr>
                <w:rFonts w:ascii="宋体"/>
              </w:rPr>
            </w:pPr>
          </w:p>
        </w:tc>
        <w:tc>
          <w:tcPr>
            <w:tcW w:w="0" w:type="auto"/>
            <w:shd w:val="clear" w:color="auto" w:fill="auto"/>
          </w:tcPr>
          <w:p w14:paraId="33DAAF69" w14:textId="77777777" w:rsidR="004D6A64" w:rsidRDefault="004D6A64">
            <w:pPr>
              <w:rPr>
                <w:rFonts w:ascii="宋体"/>
              </w:rPr>
            </w:pPr>
          </w:p>
        </w:tc>
        <w:tc>
          <w:tcPr>
            <w:tcW w:w="0" w:type="auto"/>
            <w:shd w:val="clear" w:color="auto" w:fill="auto"/>
          </w:tcPr>
          <w:p w14:paraId="33DAAF6A" w14:textId="77777777" w:rsidR="004D6A64" w:rsidRDefault="004D6A64">
            <w:pPr>
              <w:rPr>
                <w:rFonts w:ascii="宋体"/>
              </w:rPr>
            </w:pPr>
          </w:p>
        </w:tc>
        <w:tc>
          <w:tcPr>
            <w:tcW w:w="0" w:type="auto"/>
            <w:shd w:val="clear" w:color="auto" w:fill="auto"/>
          </w:tcPr>
          <w:p w14:paraId="33DAAF6B" w14:textId="77777777" w:rsidR="004D6A64" w:rsidRDefault="004D6A64">
            <w:pPr>
              <w:rPr>
                <w:rFonts w:ascii="宋体"/>
              </w:rPr>
            </w:pPr>
          </w:p>
        </w:tc>
      </w:tr>
      <w:tr w:rsidR="004D6A64" w14:paraId="33DAAF8F" w14:textId="77777777">
        <w:tc>
          <w:tcPr>
            <w:tcW w:w="0" w:type="auto"/>
            <w:gridSpan w:val="3"/>
            <w:shd w:val="clear" w:color="auto" w:fill="CCEEFF"/>
            <w:tcMar>
              <w:top w:w="40" w:type="dxa"/>
              <w:left w:w="20" w:type="dxa"/>
              <w:bottom w:w="40" w:type="dxa"/>
              <w:right w:w="20" w:type="dxa"/>
            </w:tcMar>
            <w:vAlign w:val="center"/>
          </w:tcPr>
          <w:p w14:paraId="33DAAF6D"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 xml:space="preserve">Gross margin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products</w:t>
            </w: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AF6E"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AF6F" w14:textId="77777777" w:rsidR="004D6A64" w:rsidRDefault="00506CD6">
            <w:pPr>
              <w:jc w:val="right"/>
              <w:textAlignment w:val="center"/>
            </w:pPr>
            <w:r>
              <w:rPr>
                <w:rFonts w:ascii="Times New Roman" w:eastAsia="宋体" w:hAnsi="Times New Roman"/>
                <w:color w:val="000000"/>
                <w:sz w:val="20"/>
                <w:szCs w:val="20"/>
              </w:rPr>
              <w:t>75 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AF7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F71"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AF72"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AF73" w14:textId="77777777" w:rsidR="004D6A64" w:rsidRDefault="00506CD6">
            <w:pPr>
              <w:jc w:val="right"/>
              <w:textAlignment w:val="center"/>
            </w:pPr>
            <w:r>
              <w:rPr>
                <w:rFonts w:ascii="Times New Roman" w:eastAsia="宋体" w:hAnsi="Times New Roman"/>
                <w:color w:val="000000"/>
                <w:sz w:val="20"/>
                <w:szCs w:val="20"/>
              </w:rPr>
              <w:t>44 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AF7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F75"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AF76"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AF77" w14:textId="77777777" w:rsidR="004D6A64" w:rsidRDefault="00506CD6">
            <w:pPr>
              <w:jc w:val="right"/>
              <w:textAlignment w:val="center"/>
            </w:pPr>
            <w:r>
              <w:rPr>
                <w:rFonts w:ascii="Times New Roman" w:eastAsia="宋体" w:hAnsi="Times New Roman"/>
                <w:color w:val="000000"/>
                <w:sz w:val="20"/>
                <w:szCs w:val="20"/>
              </w:rPr>
              <w:t>131 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AF78" w14:textId="77777777" w:rsidR="004D6A64" w:rsidRDefault="004D6A64">
            <w:pPr>
              <w:jc w:val="right"/>
              <w:rPr>
                <w:rFonts w:ascii="宋体"/>
              </w:rPr>
            </w:pPr>
          </w:p>
        </w:tc>
        <w:tc>
          <w:tcPr>
            <w:tcW w:w="0" w:type="auto"/>
            <w:gridSpan w:val="3"/>
            <w:shd w:val="clear" w:color="auto" w:fill="CCEEFF"/>
            <w:tcMar>
              <w:left w:w="20" w:type="dxa"/>
              <w:right w:w="20" w:type="dxa"/>
            </w:tcMar>
            <w:vAlign w:val="center"/>
          </w:tcPr>
          <w:p w14:paraId="33DAAF79"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AF7A"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AF7B" w14:textId="77777777" w:rsidR="004D6A64" w:rsidRDefault="00506CD6">
            <w:pPr>
              <w:jc w:val="right"/>
              <w:textAlignment w:val="center"/>
            </w:pPr>
            <w:r>
              <w:rPr>
                <w:rFonts w:ascii="Times New Roman" w:eastAsia="宋体" w:hAnsi="Times New Roman"/>
                <w:color w:val="000000"/>
                <w:sz w:val="20"/>
                <w:szCs w:val="20"/>
              </w:rPr>
              <w:t>93 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AF7C" w14:textId="77777777" w:rsidR="004D6A64" w:rsidRDefault="004D6A64">
            <w:pPr>
              <w:jc w:val="right"/>
              <w:rPr>
                <w:rFonts w:ascii="宋体"/>
              </w:rPr>
            </w:pPr>
          </w:p>
        </w:tc>
        <w:tc>
          <w:tcPr>
            <w:tcW w:w="0" w:type="auto"/>
            <w:shd w:val="clear" w:color="auto" w:fill="auto"/>
          </w:tcPr>
          <w:p w14:paraId="33DAAF7D" w14:textId="77777777" w:rsidR="004D6A64" w:rsidRDefault="004D6A64">
            <w:pPr>
              <w:rPr>
                <w:rFonts w:ascii="宋体"/>
              </w:rPr>
            </w:pPr>
          </w:p>
        </w:tc>
        <w:tc>
          <w:tcPr>
            <w:tcW w:w="0" w:type="auto"/>
            <w:shd w:val="clear" w:color="auto" w:fill="auto"/>
          </w:tcPr>
          <w:p w14:paraId="33DAAF7E" w14:textId="77777777" w:rsidR="004D6A64" w:rsidRDefault="004D6A64">
            <w:pPr>
              <w:rPr>
                <w:rFonts w:ascii="宋体"/>
              </w:rPr>
            </w:pPr>
          </w:p>
        </w:tc>
        <w:tc>
          <w:tcPr>
            <w:tcW w:w="0" w:type="auto"/>
            <w:shd w:val="clear" w:color="auto" w:fill="auto"/>
          </w:tcPr>
          <w:p w14:paraId="33DAAF7F" w14:textId="77777777" w:rsidR="004D6A64" w:rsidRDefault="004D6A64">
            <w:pPr>
              <w:rPr>
                <w:rFonts w:ascii="宋体"/>
              </w:rPr>
            </w:pPr>
          </w:p>
        </w:tc>
        <w:tc>
          <w:tcPr>
            <w:tcW w:w="0" w:type="auto"/>
            <w:shd w:val="clear" w:color="auto" w:fill="auto"/>
          </w:tcPr>
          <w:p w14:paraId="33DAAF80" w14:textId="77777777" w:rsidR="004D6A64" w:rsidRDefault="004D6A64">
            <w:pPr>
              <w:rPr>
                <w:rFonts w:ascii="宋体"/>
              </w:rPr>
            </w:pPr>
          </w:p>
        </w:tc>
        <w:tc>
          <w:tcPr>
            <w:tcW w:w="0" w:type="auto"/>
            <w:shd w:val="clear" w:color="auto" w:fill="auto"/>
          </w:tcPr>
          <w:p w14:paraId="33DAAF81" w14:textId="77777777" w:rsidR="004D6A64" w:rsidRDefault="004D6A64">
            <w:pPr>
              <w:rPr>
                <w:rFonts w:ascii="宋体"/>
              </w:rPr>
            </w:pPr>
          </w:p>
        </w:tc>
        <w:tc>
          <w:tcPr>
            <w:tcW w:w="0" w:type="auto"/>
            <w:shd w:val="clear" w:color="auto" w:fill="auto"/>
          </w:tcPr>
          <w:p w14:paraId="33DAAF82" w14:textId="77777777" w:rsidR="004D6A64" w:rsidRDefault="004D6A64">
            <w:pPr>
              <w:rPr>
                <w:rFonts w:ascii="宋体"/>
              </w:rPr>
            </w:pPr>
          </w:p>
        </w:tc>
        <w:tc>
          <w:tcPr>
            <w:tcW w:w="0" w:type="auto"/>
            <w:shd w:val="clear" w:color="auto" w:fill="auto"/>
          </w:tcPr>
          <w:p w14:paraId="33DAAF83" w14:textId="77777777" w:rsidR="004D6A64" w:rsidRDefault="004D6A64">
            <w:pPr>
              <w:rPr>
                <w:rFonts w:ascii="宋体"/>
              </w:rPr>
            </w:pPr>
          </w:p>
        </w:tc>
        <w:tc>
          <w:tcPr>
            <w:tcW w:w="0" w:type="auto"/>
            <w:shd w:val="clear" w:color="auto" w:fill="auto"/>
          </w:tcPr>
          <w:p w14:paraId="33DAAF84" w14:textId="77777777" w:rsidR="004D6A64" w:rsidRDefault="004D6A64">
            <w:pPr>
              <w:rPr>
                <w:rFonts w:ascii="宋体"/>
              </w:rPr>
            </w:pPr>
          </w:p>
        </w:tc>
        <w:tc>
          <w:tcPr>
            <w:tcW w:w="0" w:type="auto"/>
            <w:shd w:val="clear" w:color="auto" w:fill="auto"/>
          </w:tcPr>
          <w:p w14:paraId="33DAAF85" w14:textId="77777777" w:rsidR="004D6A64" w:rsidRDefault="004D6A64">
            <w:pPr>
              <w:rPr>
                <w:rFonts w:ascii="宋体"/>
              </w:rPr>
            </w:pPr>
          </w:p>
        </w:tc>
        <w:tc>
          <w:tcPr>
            <w:tcW w:w="0" w:type="auto"/>
            <w:shd w:val="clear" w:color="auto" w:fill="auto"/>
          </w:tcPr>
          <w:p w14:paraId="33DAAF86" w14:textId="77777777" w:rsidR="004D6A64" w:rsidRDefault="004D6A64">
            <w:pPr>
              <w:rPr>
                <w:rFonts w:ascii="宋体"/>
              </w:rPr>
            </w:pPr>
          </w:p>
        </w:tc>
        <w:tc>
          <w:tcPr>
            <w:tcW w:w="0" w:type="auto"/>
            <w:shd w:val="clear" w:color="auto" w:fill="auto"/>
          </w:tcPr>
          <w:p w14:paraId="33DAAF87" w14:textId="77777777" w:rsidR="004D6A64" w:rsidRDefault="004D6A64">
            <w:pPr>
              <w:rPr>
                <w:rFonts w:ascii="宋体"/>
              </w:rPr>
            </w:pPr>
          </w:p>
        </w:tc>
        <w:tc>
          <w:tcPr>
            <w:tcW w:w="0" w:type="auto"/>
            <w:shd w:val="clear" w:color="auto" w:fill="auto"/>
          </w:tcPr>
          <w:p w14:paraId="33DAAF88" w14:textId="77777777" w:rsidR="004D6A64" w:rsidRDefault="004D6A64">
            <w:pPr>
              <w:rPr>
                <w:rFonts w:ascii="宋体"/>
              </w:rPr>
            </w:pPr>
          </w:p>
        </w:tc>
        <w:tc>
          <w:tcPr>
            <w:tcW w:w="0" w:type="auto"/>
            <w:shd w:val="clear" w:color="auto" w:fill="auto"/>
          </w:tcPr>
          <w:p w14:paraId="33DAAF89" w14:textId="77777777" w:rsidR="004D6A64" w:rsidRDefault="004D6A64">
            <w:pPr>
              <w:rPr>
                <w:rFonts w:ascii="宋体"/>
              </w:rPr>
            </w:pPr>
          </w:p>
        </w:tc>
        <w:tc>
          <w:tcPr>
            <w:tcW w:w="0" w:type="auto"/>
            <w:shd w:val="clear" w:color="auto" w:fill="auto"/>
          </w:tcPr>
          <w:p w14:paraId="33DAAF8A" w14:textId="77777777" w:rsidR="004D6A64" w:rsidRDefault="004D6A64">
            <w:pPr>
              <w:rPr>
                <w:rFonts w:ascii="宋体"/>
              </w:rPr>
            </w:pPr>
          </w:p>
        </w:tc>
        <w:tc>
          <w:tcPr>
            <w:tcW w:w="0" w:type="auto"/>
            <w:shd w:val="clear" w:color="auto" w:fill="auto"/>
          </w:tcPr>
          <w:p w14:paraId="33DAAF8B" w14:textId="77777777" w:rsidR="004D6A64" w:rsidRDefault="004D6A64">
            <w:pPr>
              <w:rPr>
                <w:rFonts w:ascii="宋体"/>
              </w:rPr>
            </w:pPr>
          </w:p>
        </w:tc>
        <w:tc>
          <w:tcPr>
            <w:tcW w:w="0" w:type="auto"/>
            <w:shd w:val="clear" w:color="auto" w:fill="auto"/>
          </w:tcPr>
          <w:p w14:paraId="33DAAF8C" w14:textId="77777777" w:rsidR="004D6A64" w:rsidRDefault="004D6A64">
            <w:pPr>
              <w:rPr>
                <w:rFonts w:ascii="宋体"/>
              </w:rPr>
            </w:pPr>
          </w:p>
        </w:tc>
        <w:tc>
          <w:tcPr>
            <w:tcW w:w="0" w:type="auto"/>
            <w:shd w:val="clear" w:color="auto" w:fill="auto"/>
          </w:tcPr>
          <w:p w14:paraId="33DAAF8D" w14:textId="77777777" w:rsidR="004D6A64" w:rsidRDefault="004D6A64">
            <w:pPr>
              <w:rPr>
                <w:rFonts w:ascii="宋体"/>
              </w:rPr>
            </w:pPr>
          </w:p>
        </w:tc>
        <w:tc>
          <w:tcPr>
            <w:tcW w:w="0" w:type="auto"/>
            <w:shd w:val="clear" w:color="auto" w:fill="auto"/>
          </w:tcPr>
          <w:p w14:paraId="33DAAF8E" w14:textId="77777777" w:rsidR="004D6A64" w:rsidRDefault="004D6A64">
            <w:pPr>
              <w:rPr>
                <w:rFonts w:ascii="宋体"/>
              </w:rPr>
            </w:pPr>
          </w:p>
        </w:tc>
      </w:tr>
    </w:tbl>
    <w:p w14:paraId="33DAAF90" w14:textId="77777777" w:rsidR="004D6A64" w:rsidRDefault="004D6A64"/>
    <w:p w14:paraId="33DAAF91" w14:textId="77777777" w:rsidR="004D6A64" w:rsidRDefault="00506CD6">
      <w:r>
        <w:rPr>
          <w:rFonts w:ascii="Times New Roman" w:eastAsia="宋体" w:hAnsi="Times New Roman"/>
          <w:color w:val="000000"/>
          <w:sz w:val="20"/>
          <w:szCs w:val="20"/>
        </w:rPr>
        <w:t>The following table presents the future maturity of t</w:t>
      </w:r>
      <w:r>
        <w:rPr>
          <w:rFonts w:ascii="Times New Roman" w:eastAsia="宋体" w:hAnsi="Times New Roman"/>
          <w:color w:val="000000"/>
          <w:sz w:val="20"/>
          <w:szCs w:val="20"/>
        </w:rPr>
        <w:t xml:space="preserve">he Company’s fixed-term customer leases and associated financing payments, and reconciles the undiscounted cash flows to the customer receivables, gross recognized on the Condensed Consolidated Statements of Financial Position as of the date indicated: </w:t>
      </w:r>
    </w:p>
    <w:tbl>
      <w:tblPr>
        <w:tblW w:w="5000" w:type="pct"/>
        <w:tblCellMar>
          <w:top w:w="15" w:type="dxa"/>
          <w:left w:w="15" w:type="dxa"/>
          <w:bottom w:w="15" w:type="dxa"/>
          <w:right w:w="15" w:type="dxa"/>
        </w:tblCellMar>
        <w:tblLook w:val="04A0" w:firstRow="1" w:lastRow="0" w:firstColumn="1" w:lastColumn="0" w:noHBand="0" w:noVBand="1"/>
      </w:tblPr>
      <w:tblGrid>
        <w:gridCol w:w="45"/>
        <w:gridCol w:w="6586"/>
        <w:gridCol w:w="38"/>
        <w:gridCol w:w="135"/>
        <w:gridCol w:w="1491"/>
        <w:gridCol w:w="41"/>
      </w:tblGrid>
      <w:tr w:rsidR="004D6A64" w14:paraId="33DAAF98" w14:textId="77777777">
        <w:tc>
          <w:tcPr>
            <w:tcW w:w="50" w:type="pct"/>
            <w:shd w:val="clear" w:color="auto" w:fill="auto"/>
          </w:tcPr>
          <w:p w14:paraId="33DAAF92" w14:textId="77777777" w:rsidR="004D6A64" w:rsidRDefault="004D6A64">
            <w:pPr>
              <w:rPr>
                <w:rFonts w:ascii="宋体"/>
              </w:rPr>
            </w:pPr>
          </w:p>
        </w:tc>
        <w:tc>
          <w:tcPr>
            <w:tcW w:w="3972" w:type="pct"/>
            <w:shd w:val="clear" w:color="auto" w:fill="auto"/>
          </w:tcPr>
          <w:p w14:paraId="33DAAF93" w14:textId="77777777" w:rsidR="004D6A64" w:rsidRDefault="004D6A64">
            <w:pPr>
              <w:rPr>
                <w:rFonts w:ascii="宋体"/>
              </w:rPr>
            </w:pPr>
          </w:p>
        </w:tc>
        <w:tc>
          <w:tcPr>
            <w:tcW w:w="5" w:type="pct"/>
            <w:shd w:val="clear" w:color="auto" w:fill="auto"/>
          </w:tcPr>
          <w:p w14:paraId="33DAAF94" w14:textId="77777777" w:rsidR="004D6A64" w:rsidRDefault="004D6A64">
            <w:pPr>
              <w:rPr>
                <w:rFonts w:ascii="宋体"/>
              </w:rPr>
            </w:pPr>
          </w:p>
        </w:tc>
        <w:tc>
          <w:tcPr>
            <w:tcW w:w="50" w:type="pct"/>
            <w:shd w:val="clear" w:color="auto" w:fill="auto"/>
          </w:tcPr>
          <w:p w14:paraId="33DAAF95" w14:textId="77777777" w:rsidR="004D6A64" w:rsidRDefault="004D6A64">
            <w:pPr>
              <w:rPr>
                <w:rFonts w:ascii="宋体"/>
              </w:rPr>
            </w:pPr>
          </w:p>
        </w:tc>
        <w:tc>
          <w:tcPr>
            <w:tcW w:w="917" w:type="pct"/>
            <w:shd w:val="clear" w:color="auto" w:fill="auto"/>
          </w:tcPr>
          <w:p w14:paraId="33DAAF96" w14:textId="77777777" w:rsidR="004D6A64" w:rsidRDefault="004D6A64">
            <w:pPr>
              <w:rPr>
                <w:rFonts w:ascii="宋体"/>
              </w:rPr>
            </w:pPr>
          </w:p>
        </w:tc>
        <w:tc>
          <w:tcPr>
            <w:tcW w:w="5" w:type="pct"/>
            <w:shd w:val="clear" w:color="auto" w:fill="auto"/>
          </w:tcPr>
          <w:p w14:paraId="33DAAF97" w14:textId="77777777" w:rsidR="004D6A64" w:rsidRDefault="004D6A64">
            <w:pPr>
              <w:rPr>
                <w:rFonts w:ascii="宋体"/>
              </w:rPr>
            </w:pPr>
          </w:p>
        </w:tc>
      </w:tr>
      <w:tr w:rsidR="004D6A64" w14:paraId="33DAAF9B" w14:textId="77777777">
        <w:tc>
          <w:tcPr>
            <w:tcW w:w="0" w:type="auto"/>
            <w:gridSpan w:val="3"/>
            <w:shd w:val="clear" w:color="auto" w:fill="auto"/>
            <w:tcMar>
              <w:left w:w="20" w:type="dxa"/>
              <w:right w:w="20" w:type="dxa"/>
            </w:tcMar>
            <w:vAlign w:val="bottom"/>
          </w:tcPr>
          <w:p w14:paraId="33DAAF99"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AF9A" w14:textId="77777777" w:rsidR="004D6A64" w:rsidRDefault="00506CD6">
            <w:pPr>
              <w:jc w:val="center"/>
              <w:textAlignment w:val="bottom"/>
            </w:pPr>
            <w:r>
              <w:rPr>
                <w:rFonts w:ascii="Times New Roman" w:eastAsia="宋体" w:hAnsi="Times New Roman"/>
                <w:b/>
                <w:bCs/>
                <w:color w:val="000000"/>
                <w:sz w:val="20"/>
                <w:szCs w:val="20"/>
              </w:rPr>
              <w:t>July 31, 2020</w:t>
            </w:r>
          </w:p>
        </w:tc>
      </w:tr>
      <w:tr w:rsidR="004D6A64" w14:paraId="33DAAF9E" w14:textId="77777777">
        <w:tc>
          <w:tcPr>
            <w:tcW w:w="0" w:type="auto"/>
            <w:gridSpan w:val="3"/>
            <w:shd w:val="clear" w:color="auto" w:fill="auto"/>
            <w:tcMar>
              <w:top w:w="40" w:type="dxa"/>
              <w:left w:w="20" w:type="dxa"/>
              <w:bottom w:w="40" w:type="dxa"/>
              <w:right w:w="20" w:type="dxa"/>
            </w:tcMar>
            <w:vAlign w:val="center"/>
          </w:tcPr>
          <w:p w14:paraId="33DAAF9C" w14:textId="77777777" w:rsidR="004D6A64" w:rsidRDefault="00506CD6">
            <w:pPr>
              <w:textAlignment w:val="center"/>
            </w:pPr>
            <w:r>
              <w:rPr>
                <w:rFonts w:ascii="Times New Roman" w:eastAsia="宋体" w:hAnsi="Times New Roman"/>
                <w:b/>
                <w:bCs/>
                <w:color w:val="000000"/>
                <w:sz w:val="20"/>
                <w:szCs w:val="20"/>
              </w:rPr>
              <w:t>Fiscal Years</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3DAAF9D" w14:textId="77777777" w:rsidR="004D6A64" w:rsidRDefault="00506CD6">
            <w:pPr>
              <w:jc w:val="center"/>
              <w:textAlignment w:val="center"/>
            </w:pPr>
            <w:r>
              <w:rPr>
                <w:rFonts w:ascii="Times New Roman" w:eastAsia="宋体" w:hAnsi="Times New Roman"/>
                <w:color w:val="000000"/>
                <w:sz w:val="20"/>
                <w:szCs w:val="20"/>
              </w:rPr>
              <w:t>(in millions)</w:t>
            </w:r>
          </w:p>
        </w:tc>
      </w:tr>
      <w:tr w:rsidR="004D6A64" w14:paraId="33DAAFA3" w14:textId="77777777">
        <w:tc>
          <w:tcPr>
            <w:tcW w:w="0" w:type="auto"/>
            <w:gridSpan w:val="3"/>
            <w:shd w:val="clear" w:color="auto" w:fill="CCEEFF"/>
            <w:tcMar>
              <w:top w:w="40" w:type="dxa"/>
              <w:left w:w="20" w:type="dxa"/>
              <w:bottom w:w="40" w:type="dxa"/>
              <w:right w:w="20" w:type="dxa"/>
            </w:tcMar>
            <w:vAlign w:val="center"/>
          </w:tcPr>
          <w:p w14:paraId="33DAAF9F" w14:textId="77777777" w:rsidR="004D6A64" w:rsidRDefault="00506CD6">
            <w:pPr>
              <w:textAlignment w:val="center"/>
            </w:pPr>
            <w:r>
              <w:rPr>
                <w:rFonts w:ascii="Times New Roman" w:eastAsia="宋体" w:hAnsi="Times New Roman"/>
                <w:color w:val="000000"/>
                <w:sz w:val="20"/>
                <w:szCs w:val="20"/>
              </w:rPr>
              <w:t>Fiscal 2021 (remaining six months)</w:t>
            </w:r>
          </w:p>
        </w:tc>
        <w:tc>
          <w:tcPr>
            <w:tcW w:w="0" w:type="auto"/>
            <w:shd w:val="clear" w:color="auto" w:fill="CCEEFF"/>
            <w:tcMar>
              <w:top w:w="40" w:type="dxa"/>
              <w:left w:w="20" w:type="dxa"/>
              <w:bottom w:w="40" w:type="dxa"/>
            </w:tcMar>
            <w:vAlign w:val="center"/>
          </w:tcPr>
          <w:p w14:paraId="33DAAFA0"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FA1" w14:textId="77777777" w:rsidR="004D6A64" w:rsidRDefault="00506CD6">
            <w:pPr>
              <w:jc w:val="right"/>
              <w:textAlignment w:val="center"/>
            </w:pPr>
            <w:r>
              <w:rPr>
                <w:rFonts w:ascii="Times New Roman" w:eastAsia="宋体" w:hAnsi="Times New Roman"/>
                <w:color w:val="000000"/>
                <w:sz w:val="20"/>
                <w:szCs w:val="20"/>
              </w:rPr>
              <w:t>1,475 </w:t>
            </w:r>
          </w:p>
        </w:tc>
        <w:tc>
          <w:tcPr>
            <w:tcW w:w="0" w:type="auto"/>
            <w:shd w:val="clear" w:color="auto" w:fill="CCEEFF"/>
            <w:tcMar>
              <w:top w:w="40" w:type="dxa"/>
              <w:bottom w:w="40" w:type="dxa"/>
              <w:right w:w="20" w:type="dxa"/>
            </w:tcMar>
            <w:vAlign w:val="center"/>
          </w:tcPr>
          <w:p w14:paraId="33DAAFA2" w14:textId="77777777" w:rsidR="004D6A64" w:rsidRDefault="004D6A64">
            <w:pPr>
              <w:jc w:val="right"/>
              <w:rPr>
                <w:rFonts w:ascii="宋体"/>
              </w:rPr>
            </w:pPr>
          </w:p>
        </w:tc>
      </w:tr>
      <w:tr w:rsidR="004D6A64" w14:paraId="33DAAFA7" w14:textId="77777777">
        <w:tc>
          <w:tcPr>
            <w:tcW w:w="0" w:type="auto"/>
            <w:gridSpan w:val="3"/>
            <w:shd w:val="clear" w:color="auto" w:fill="FFFFFF"/>
            <w:tcMar>
              <w:top w:w="40" w:type="dxa"/>
              <w:left w:w="20" w:type="dxa"/>
              <w:bottom w:w="40" w:type="dxa"/>
              <w:right w:w="20" w:type="dxa"/>
            </w:tcMar>
            <w:vAlign w:val="center"/>
          </w:tcPr>
          <w:p w14:paraId="33DAAFA4" w14:textId="77777777" w:rsidR="004D6A64" w:rsidRDefault="00506CD6">
            <w:pPr>
              <w:textAlignment w:val="center"/>
            </w:pPr>
            <w:r>
              <w:rPr>
                <w:rFonts w:ascii="Times New Roman" w:eastAsia="宋体" w:hAnsi="Times New Roman"/>
                <w:color w:val="000000"/>
                <w:sz w:val="20"/>
                <w:szCs w:val="20"/>
              </w:rPr>
              <w:t>Fiscal 2022</w:t>
            </w:r>
          </w:p>
        </w:tc>
        <w:tc>
          <w:tcPr>
            <w:tcW w:w="0" w:type="auto"/>
            <w:gridSpan w:val="2"/>
            <w:shd w:val="clear" w:color="auto" w:fill="FFFFFF"/>
            <w:tcMar>
              <w:top w:w="40" w:type="dxa"/>
              <w:left w:w="20" w:type="dxa"/>
              <w:bottom w:w="40" w:type="dxa"/>
              <w:right w:w="0" w:type="dxa"/>
            </w:tcMar>
            <w:vAlign w:val="center"/>
          </w:tcPr>
          <w:p w14:paraId="33DAAFA5" w14:textId="77777777" w:rsidR="004D6A64" w:rsidRDefault="00506CD6">
            <w:pPr>
              <w:jc w:val="right"/>
              <w:textAlignment w:val="center"/>
            </w:pPr>
            <w:r>
              <w:rPr>
                <w:rFonts w:ascii="Times New Roman" w:eastAsia="宋体" w:hAnsi="Times New Roman"/>
                <w:color w:val="000000"/>
                <w:sz w:val="20"/>
                <w:szCs w:val="20"/>
              </w:rPr>
              <w:t>2,159 </w:t>
            </w:r>
          </w:p>
        </w:tc>
        <w:tc>
          <w:tcPr>
            <w:tcW w:w="0" w:type="auto"/>
            <w:shd w:val="clear" w:color="auto" w:fill="FFFFFF"/>
            <w:tcMar>
              <w:top w:w="40" w:type="dxa"/>
              <w:bottom w:w="40" w:type="dxa"/>
              <w:right w:w="20" w:type="dxa"/>
            </w:tcMar>
            <w:vAlign w:val="center"/>
          </w:tcPr>
          <w:p w14:paraId="33DAAFA6" w14:textId="77777777" w:rsidR="004D6A64" w:rsidRDefault="004D6A64">
            <w:pPr>
              <w:jc w:val="right"/>
              <w:rPr>
                <w:rFonts w:ascii="宋体"/>
              </w:rPr>
            </w:pPr>
          </w:p>
        </w:tc>
      </w:tr>
      <w:tr w:rsidR="004D6A64" w14:paraId="33DAAFAB" w14:textId="77777777">
        <w:tc>
          <w:tcPr>
            <w:tcW w:w="0" w:type="auto"/>
            <w:gridSpan w:val="3"/>
            <w:shd w:val="clear" w:color="auto" w:fill="CCEEFF"/>
            <w:tcMar>
              <w:top w:w="40" w:type="dxa"/>
              <w:left w:w="20" w:type="dxa"/>
              <w:bottom w:w="40" w:type="dxa"/>
              <w:right w:w="20" w:type="dxa"/>
            </w:tcMar>
            <w:vAlign w:val="center"/>
          </w:tcPr>
          <w:p w14:paraId="33DAAFA8" w14:textId="77777777" w:rsidR="004D6A64" w:rsidRDefault="00506CD6">
            <w:pPr>
              <w:textAlignment w:val="center"/>
            </w:pPr>
            <w:r>
              <w:rPr>
                <w:rFonts w:ascii="Times New Roman" w:eastAsia="宋体" w:hAnsi="Times New Roman"/>
                <w:color w:val="000000"/>
                <w:sz w:val="20"/>
                <w:szCs w:val="20"/>
              </w:rPr>
              <w:t>Fiscal 2023</w:t>
            </w:r>
          </w:p>
        </w:tc>
        <w:tc>
          <w:tcPr>
            <w:tcW w:w="0" w:type="auto"/>
            <w:gridSpan w:val="2"/>
            <w:shd w:val="clear" w:color="auto" w:fill="CCEEFF"/>
            <w:tcMar>
              <w:top w:w="40" w:type="dxa"/>
              <w:left w:w="20" w:type="dxa"/>
              <w:bottom w:w="40" w:type="dxa"/>
              <w:right w:w="0" w:type="dxa"/>
            </w:tcMar>
            <w:vAlign w:val="center"/>
          </w:tcPr>
          <w:p w14:paraId="33DAAFA9" w14:textId="77777777" w:rsidR="004D6A64" w:rsidRDefault="00506CD6">
            <w:pPr>
              <w:jc w:val="right"/>
              <w:textAlignment w:val="center"/>
            </w:pPr>
            <w:r>
              <w:rPr>
                <w:rFonts w:ascii="Times New Roman" w:eastAsia="宋体" w:hAnsi="Times New Roman"/>
                <w:color w:val="000000"/>
                <w:sz w:val="20"/>
                <w:szCs w:val="20"/>
              </w:rPr>
              <w:t>1,347 </w:t>
            </w:r>
          </w:p>
        </w:tc>
        <w:tc>
          <w:tcPr>
            <w:tcW w:w="0" w:type="auto"/>
            <w:shd w:val="clear" w:color="auto" w:fill="CCEEFF"/>
            <w:tcMar>
              <w:top w:w="40" w:type="dxa"/>
              <w:bottom w:w="40" w:type="dxa"/>
              <w:right w:w="20" w:type="dxa"/>
            </w:tcMar>
            <w:vAlign w:val="center"/>
          </w:tcPr>
          <w:p w14:paraId="33DAAFAA" w14:textId="77777777" w:rsidR="004D6A64" w:rsidRDefault="004D6A64">
            <w:pPr>
              <w:jc w:val="right"/>
              <w:rPr>
                <w:rFonts w:ascii="宋体"/>
              </w:rPr>
            </w:pPr>
          </w:p>
        </w:tc>
      </w:tr>
      <w:tr w:rsidR="004D6A64" w14:paraId="33DAAFAF" w14:textId="77777777">
        <w:tc>
          <w:tcPr>
            <w:tcW w:w="0" w:type="auto"/>
            <w:gridSpan w:val="3"/>
            <w:shd w:val="clear" w:color="auto" w:fill="FFFFFF"/>
            <w:tcMar>
              <w:top w:w="40" w:type="dxa"/>
              <w:left w:w="20" w:type="dxa"/>
              <w:bottom w:w="40" w:type="dxa"/>
              <w:right w:w="20" w:type="dxa"/>
            </w:tcMar>
            <w:vAlign w:val="center"/>
          </w:tcPr>
          <w:p w14:paraId="33DAAFAC" w14:textId="77777777" w:rsidR="004D6A64" w:rsidRDefault="00506CD6">
            <w:pPr>
              <w:textAlignment w:val="center"/>
            </w:pPr>
            <w:r>
              <w:rPr>
                <w:rFonts w:ascii="Times New Roman" w:eastAsia="宋体" w:hAnsi="Times New Roman"/>
                <w:color w:val="000000"/>
                <w:sz w:val="20"/>
                <w:szCs w:val="20"/>
              </w:rPr>
              <w:t>Fiscal 2024</w:t>
            </w:r>
          </w:p>
        </w:tc>
        <w:tc>
          <w:tcPr>
            <w:tcW w:w="0" w:type="auto"/>
            <w:gridSpan w:val="2"/>
            <w:shd w:val="clear" w:color="auto" w:fill="FFFFFF"/>
            <w:tcMar>
              <w:top w:w="40" w:type="dxa"/>
              <w:left w:w="20" w:type="dxa"/>
              <w:bottom w:w="40" w:type="dxa"/>
              <w:right w:w="0" w:type="dxa"/>
            </w:tcMar>
            <w:vAlign w:val="center"/>
          </w:tcPr>
          <w:p w14:paraId="33DAAFAD" w14:textId="77777777" w:rsidR="004D6A64" w:rsidRDefault="00506CD6">
            <w:pPr>
              <w:jc w:val="right"/>
              <w:textAlignment w:val="center"/>
            </w:pPr>
            <w:r>
              <w:rPr>
                <w:rFonts w:ascii="Times New Roman" w:eastAsia="宋体" w:hAnsi="Times New Roman"/>
                <w:color w:val="000000"/>
                <w:sz w:val="20"/>
                <w:szCs w:val="20"/>
              </w:rPr>
              <w:t>609 </w:t>
            </w:r>
          </w:p>
        </w:tc>
        <w:tc>
          <w:tcPr>
            <w:tcW w:w="0" w:type="auto"/>
            <w:shd w:val="clear" w:color="auto" w:fill="FFFFFF"/>
            <w:tcMar>
              <w:top w:w="40" w:type="dxa"/>
              <w:bottom w:w="40" w:type="dxa"/>
              <w:right w:w="20" w:type="dxa"/>
            </w:tcMar>
            <w:vAlign w:val="center"/>
          </w:tcPr>
          <w:p w14:paraId="33DAAFAE" w14:textId="77777777" w:rsidR="004D6A64" w:rsidRDefault="004D6A64">
            <w:pPr>
              <w:jc w:val="right"/>
              <w:rPr>
                <w:rFonts w:ascii="宋体"/>
              </w:rPr>
            </w:pPr>
          </w:p>
        </w:tc>
      </w:tr>
      <w:tr w:rsidR="004D6A64" w14:paraId="33DAAFB3" w14:textId="77777777">
        <w:tc>
          <w:tcPr>
            <w:tcW w:w="0" w:type="auto"/>
            <w:gridSpan w:val="3"/>
            <w:shd w:val="clear" w:color="auto" w:fill="CCEEFF"/>
            <w:tcMar>
              <w:top w:w="40" w:type="dxa"/>
              <w:left w:w="20" w:type="dxa"/>
              <w:bottom w:w="40" w:type="dxa"/>
              <w:right w:w="20" w:type="dxa"/>
            </w:tcMar>
            <w:vAlign w:val="center"/>
          </w:tcPr>
          <w:p w14:paraId="33DAAFB0" w14:textId="77777777" w:rsidR="004D6A64" w:rsidRDefault="00506CD6">
            <w:pPr>
              <w:textAlignment w:val="center"/>
            </w:pPr>
            <w:r>
              <w:rPr>
                <w:rFonts w:ascii="Times New Roman" w:eastAsia="宋体" w:hAnsi="Times New Roman"/>
                <w:color w:val="000000"/>
                <w:sz w:val="20"/>
                <w:szCs w:val="20"/>
              </w:rPr>
              <w:t>Fiscal 2025 and beyond</w:t>
            </w:r>
          </w:p>
        </w:tc>
        <w:tc>
          <w:tcPr>
            <w:tcW w:w="0" w:type="auto"/>
            <w:gridSpan w:val="2"/>
            <w:shd w:val="clear" w:color="auto" w:fill="CCEEFF"/>
            <w:tcMar>
              <w:top w:w="40" w:type="dxa"/>
              <w:left w:w="20" w:type="dxa"/>
              <w:bottom w:w="40" w:type="dxa"/>
              <w:right w:w="0" w:type="dxa"/>
            </w:tcMar>
            <w:vAlign w:val="center"/>
          </w:tcPr>
          <w:p w14:paraId="33DAAFB1" w14:textId="77777777" w:rsidR="004D6A64" w:rsidRDefault="00506CD6">
            <w:pPr>
              <w:jc w:val="right"/>
              <w:textAlignment w:val="center"/>
            </w:pPr>
            <w:r>
              <w:rPr>
                <w:rFonts w:ascii="Times New Roman" w:eastAsia="宋体" w:hAnsi="Times New Roman"/>
                <w:color w:val="000000"/>
                <w:sz w:val="20"/>
                <w:szCs w:val="20"/>
              </w:rPr>
              <w:t>250 </w:t>
            </w:r>
          </w:p>
        </w:tc>
        <w:tc>
          <w:tcPr>
            <w:tcW w:w="0" w:type="auto"/>
            <w:shd w:val="clear" w:color="auto" w:fill="CCEEFF"/>
            <w:tcMar>
              <w:top w:w="40" w:type="dxa"/>
              <w:bottom w:w="40" w:type="dxa"/>
              <w:right w:w="20" w:type="dxa"/>
            </w:tcMar>
            <w:vAlign w:val="center"/>
          </w:tcPr>
          <w:p w14:paraId="33DAAFB2" w14:textId="77777777" w:rsidR="004D6A64" w:rsidRDefault="004D6A64">
            <w:pPr>
              <w:jc w:val="right"/>
              <w:rPr>
                <w:rFonts w:ascii="宋体"/>
              </w:rPr>
            </w:pPr>
          </w:p>
        </w:tc>
      </w:tr>
      <w:tr w:rsidR="004D6A64" w14:paraId="33DAAFB7" w14:textId="77777777">
        <w:tc>
          <w:tcPr>
            <w:tcW w:w="0" w:type="auto"/>
            <w:gridSpan w:val="3"/>
            <w:shd w:val="clear" w:color="auto" w:fill="FFFFFF"/>
            <w:tcMar>
              <w:top w:w="40" w:type="dxa"/>
              <w:left w:w="135" w:type="dxa"/>
              <w:bottom w:w="40" w:type="dxa"/>
              <w:right w:w="20" w:type="dxa"/>
            </w:tcMar>
            <w:vAlign w:val="center"/>
          </w:tcPr>
          <w:p w14:paraId="33DAAFB4" w14:textId="77777777" w:rsidR="004D6A64" w:rsidRDefault="00506CD6">
            <w:pPr>
              <w:textAlignment w:val="center"/>
            </w:pPr>
            <w:r>
              <w:rPr>
                <w:rFonts w:ascii="Times New Roman" w:eastAsia="宋体" w:hAnsi="Times New Roman"/>
                <w:color w:val="000000"/>
                <w:sz w:val="20"/>
                <w:szCs w:val="20"/>
              </w:rPr>
              <w:t>Total undiscounted cash flows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AFB5" w14:textId="77777777" w:rsidR="004D6A64" w:rsidRDefault="00506CD6">
            <w:pPr>
              <w:jc w:val="right"/>
              <w:textAlignment w:val="center"/>
            </w:pPr>
            <w:r>
              <w:rPr>
                <w:rFonts w:ascii="Times New Roman" w:eastAsia="宋体" w:hAnsi="Times New Roman"/>
                <w:color w:val="000000"/>
                <w:sz w:val="20"/>
                <w:szCs w:val="20"/>
              </w:rPr>
              <w:t>5,840 </w:t>
            </w:r>
          </w:p>
        </w:tc>
        <w:tc>
          <w:tcPr>
            <w:tcW w:w="0" w:type="auto"/>
            <w:tcBorders>
              <w:top w:val="single" w:sz="8" w:space="0" w:color="000000"/>
            </w:tcBorders>
            <w:shd w:val="clear" w:color="auto" w:fill="FFFFFF"/>
            <w:tcMar>
              <w:top w:w="40" w:type="dxa"/>
              <w:bottom w:w="40" w:type="dxa"/>
              <w:right w:w="20" w:type="dxa"/>
            </w:tcMar>
            <w:vAlign w:val="center"/>
          </w:tcPr>
          <w:p w14:paraId="33DAAFB6" w14:textId="77777777" w:rsidR="004D6A64" w:rsidRDefault="004D6A64">
            <w:pPr>
              <w:jc w:val="right"/>
              <w:rPr>
                <w:rFonts w:ascii="宋体"/>
              </w:rPr>
            </w:pPr>
          </w:p>
        </w:tc>
      </w:tr>
      <w:tr w:rsidR="004D6A64" w14:paraId="33DAAFBB" w14:textId="77777777">
        <w:tc>
          <w:tcPr>
            <w:tcW w:w="0" w:type="auto"/>
            <w:gridSpan w:val="3"/>
            <w:shd w:val="clear" w:color="auto" w:fill="CCEEFF"/>
            <w:tcMar>
              <w:top w:w="40" w:type="dxa"/>
              <w:left w:w="20" w:type="dxa"/>
              <w:bottom w:w="40" w:type="dxa"/>
              <w:right w:w="20" w:type="dxa"/>
            </w:tcMar>
            <w:vAlign w:val="center"/>
          </w:tcPr>
          <w:p w14:paraId="33DAAFB8" w14:textId="77777777" w:rsidR="004D6A64" w:rsidRDefault="00506CD6">
            <w:pPr>
              <w:textAlignment w:val="center"/>
            </w:pPr>
            <w:r>
              <w:rPr>
                <w:rFonts w:ascii="Times New Roman" w:eastAsia="宋体" w:hAnsi="Times New Roman"/>
                <w:color w:val="000000"/>
                <w:sz w:val="20"/>
                <w:szCs w:val="20"/>
              </w:rPr>
              <w:t>Fixed-term loans</w:t>
            </w:r>
          </w:p>
        </w:tc>
        <w:tc>
          <w:tcPr>
            <w:tcW w:w="0" w:type="auto"/>
            <w:gridSpan w:val="2"/>
            <w:shd w:val="clear" w:color="auto" w:fill="CCEEFF"/>
            <w:tcMar>
              <w:top w:w="40" w:type="dxa"/>
              <w:left w:w="20" w:type="dxa"/>
              <w:bottom w:w="40" w:type="dxa"/>
              <w:right w:w="0" w:type="dxa"/>
            </w:tcMar>
            <w:vAlign w:val="center"/>
          </w:tcPr>
          <w:p w14:paraId="33DAAFB9" w14:textId="77777777" w:rsidR="004D6A64" w:rsidRDefault="00506CD6">
            <w:pPr>
              <w:jc w:val="right"/>
              <w:textAlignment w:val="center"/>
            </w:pPr>
            <w:r>
              <w:rPr>
                <w:rFonts w:ascii="Times New Roman" w:eastAsia="宋体" w:hAnsi="Times New Roman"/>
                <w:color w:val="000000"/>
                <w:sz w:val="20"/>
                <w:szCs w:val="20"/>
              </w:rPr>
              <w:t>4,075 </w:t>
            </w:r>
          </w:p>
        </w:tc>
        <w:tc>
          <w:tcPr>
            <w:tcW w:w="0" w:type="auto"/>
            <w:shd w:val="clear" w:color="auto" w:fill="CCEEFF"/>
            <w:tcMar>
              <w:top w:w="40" w:type="dxa"/>
              <w:bottom w:w="40" w:type="dxa"/>
              <w:right w:w="20" w:type="dxa"/>
            </w:tcMar>
            <w:vAlign w:val="center"/>
          </w:tcPr>
          <w:p w14:paraId="33DAAFBA" w14:textId="77777777" w:rsidR="004D6A64" w:rsidRDefault="004D6A64">
            <w:pPr>
              <w:jc w:val="right"/>
              <w:rPr>
                <w:rFonts w:ascii="宋体"/>
              </w:rPr>
            </w:pPr>
          </w:p>
        </w:tc>
      </w:tr>
      <w:tr w:rsidR="004D6A64" w14:paraId="33DAAFBF" w14:textId="77777777">
        <w:tc>
          <w:tcPr>
            <w:tcW w:w="0" w:type="auto"/>
            <w:gridSpan w:val="3"/>
            <w:shd w:val="clear" w:color="auto" w:fill="FFFFFF"/>
            <w:tcMar>
              <w:top w:w="40" w:type="dxa"/>
              <w:left w:w="20" w:type="dxa"/>
              <w:bottom w:w="40" w:type="dxa"/>
              <w:right w:w="20" w:type="dxa"/>
            </w:tcMar>
            <w:vAlign w:val="center"/>
          </w:tcPr>
          <w:p w14:paraId="33DAAFBC" w14:textId="77777777" w:rsidR="004D6A64" w:rsidRDefault="00506CD6">
            <w:pPr>
              <w:textAlignment w:val="center"/>
            </w:pPr>
            <w:r>
              <w:rPr>
                <w:rFonts w:ascii="Times New Roman" w:eastAsia="宋体" w:hAnsi="Times New Roman"/>
                <w:color w:val="000000"/>
                <w:sz w:val="20"/>
                <w:szCs w:val="20"/>
              </w:rPr>
              <w:t>Revolving loans</w:t>
            </w:r>
          </w:p>
        </w:tc>
        <w:tc>
          <w:tcPr>
            <w:tcW w:w="0" w:type="auto"/>
            <w:gridSpan w:val="2"/>
            <w:shd w:val="clear" w:color="auto" w:fill="FFFFFF"/>
            <w:tcMar>
              <w:top w:w="40" w:type="dxa"/>
              <w:left w:w="20" w:type="dxa"/>
              <w:bottom w:w="40" w:type="dxa"/>
              <w:right w:w="0" w:type="dxa"/>
            </w:tcMar>
            <w:vAlign w:val="center"/>
          </w:tcPr>
          <w:p w14:paraId="33DAAFBD" w14:textId="77777777" w:rsidR="004D6A64" w:rsidRDefault="00506CD6">
            <w:pPr>
              <w:jc w:val="right"/>
              <w:textAlignment w:val="center"/>
            </w:pPr>
            <w:r>
              <w:rPr>
                <w:rFonts w:ascii="Times New Roman" w:eastAsia="宋体" w:hAnsi="Times New Roman"/>
                <w:color w:val="000000"/>
                <w:sz w:val="20"/>
                <w:szCs w:val="20"/>
              </w:rPr>
              <w:t>778 </w:t>
            </w:r>
          </w:p>
        </w:tc>
        <w:tc>
          <w:tcPr>
            <w:tcW w:w="0" w:type="auto"/>
            <w:shd w:val="clear" w:color="auto" w:fill="FFFFFF"/>
            <w:tcMar>
              <w:top w:w="40" w:type="dxa"/>
              <w:bottom w:w="40" w:type="dxa"/>
              <w:right w:w="20" w:type="dxa"/>
            </w:tcMar>
            <w:vAlign w:val="center"/>
          </w:tcPr>
          <w:p w14:paraId="33DAAFBE" w14:textId="77777777" w:rsidR="004D6A64" w:rsidRDefault="004D6A64">
            <w:pPr>
              <w:jc w:val="right"/>
              <w:rPr>
                <w:rFonts w:ascii="宋体"/>
              </w:rPr>
            </w:pPr>
          </w:p>
        </w:tc>
      </w:tr>
      <w:tr w:rsidR="004D6A64" w14:paraId="33DAAFC3" w14:textId="77777777">
        <w:tc>
          <w:tcPr>
            <w:tcW w:w="0" w:type="auto"/>
            <w:gridSpan w:val="3"/>
            <w:shd w:val="clear" w:color="auto" w:fill="CCEEFF"/>
            <w:tcMar>
              <w:top w:w="40" w:type="dxa"/>
              <w:left w:w="20" w:type="dxa"/>
              <w:bottom w:w="40" w:type="dxa"/>
              <w:right w:w="20" w:type="dxa"/>
            </w:tcMar>
            <w:vAlign w:val="center"/>
          </w:tcPr>
          <w:p w14:paraId="33DAAFC0" w14:textId="77777777" w:rsidR="004D6A64" w:rsidRDefault="00506CD6">
            <w:pPr>
              <w:textAlignment w:val="center"/>
            </w:pPr>
            <w:r>
              <w:rPr>
                <w:rFonts w:ascii="Times New Roman" w:eastAsia="宋体" w:hAnsi="Times New Roman"/>
                <w:color w:val="000000"/>
                <w:sz w:val="20"/>
                <w:szCs w:val="20"/>
              </w:rPr>
              <w:t>Less: unearned income</w:t>
            </w:r>
          </w:p>
        </w:tc>
        <w:tc>
          <w:tcPr>
            <w:tcW w:w="0" w:type="auto"/>
            <w:gridSpan w:val="2"/>
            <w:shd w:val="clear" w:color="auto" w:fill="CCEEFF"/>
            <w:tcMar>
              <w:top w:w="40" w:type="dxa"/>
              <w:left w:w="20" w:type="dxa"/>
              <w:bottom w:w="40" w:type="dxa"/>
              <w:right w:w="0" w:type="dxa"/>
            </w:tcMar>
            <w:vAlign w:val="center"/>
          </w:tcPr>
          <w:p w14:paraId="33DAAFC1" w14:textId="77777777" w:rsidR="004D6A64" w:rsidRDefault="00506CD6">
            <w:pPr>
              <w:jc w:val="right"/>
              <w:textAlignment w:val="center"/>
            </w:pPr>
            <w:r>
              <w:rPr>
                <w:rFonts w:ascii="Times New Roman" w:eastAsia="宋体" w:hAnsi="Times New Roman"/>
                <w:color w:val="000000"/>
                <w:sz w:val="20"/>
                <w:szCs w:val="20"/>
              </w:rPr>
              <w:t>(660)</w:t>
            </w:r>
          </w:p>
        </w:tc>
        <w:tc>
          <w:tcPr>
            <w:tcW w:w="0" w:type="auto"/>
            <w:shd w:val="clear" w:color="auto" w:fill="CCEEFF"/>
            <w:tcMar>
              <w:top w:w="40" w:type="dxa"/>
              <w:bottom w:w="40" w:type="dxa"/>
              <w:right w:w="20" w:type="dxa"/>
            </w:tcMar>
            <w:vAlign w:val="center"/>
          </w:tcPr>
          <w:p w14:paraId="33DAAFC2" w14:textId="77777777" w:rsidR="004D6A64" w:rsidRDefault="004D6A64">
            <w:pPr>
              <w:jc w:val="right"/>
              <w:rPr>
                <w:rFonts w:ascii="宋体"/>
              </w:rPr>
            </w:pPr>
          </w:p>
        </w:tc>
      </w:tr>
      <w:tr w:rsidR="004D6A64" w14:paraId="33DAAFC8" w14:textId="77777777">
        <w:tc>
          <w:tcPr>
            <w:tcW w:w="0" w:type="auto"/>
            <w:gridSpan w:val="3"/>
            <w:shd w:val="clear" w:color="auto" w:fill="FFFFFF"/>
            <w:tcMar>
              <w:top w:w="40" w:type="dxa"/>
              <w:left w:w="135" w:type="dxa"/>
              <w:bottom w:w="40" w:type="dxa"/>
              <w:right w:w="20" w:type="dxa"/>
            </w:tcMar>
            <w:vAlign w:val="center"/>
          </w:tcPr>
          <w:p w14:paraId="33DAAFC4" w14:textId="77777777" w:rsidR="004D6A64" w:rsidRDefault="00506CD6">
            <w:pPr>
              <w:textAlignment w:val="center"/>
            </w:pPr>
            <w:r>
              <w:rPr>
                <w:rFonts w:ascii="Times New Roman" w:eastAsia="宋体" w:hAnsi="Times New Roman"/>
                <w:color w:val="000000"/>
                <w:sz w:val="20"/>
                <w:szCs w:val="20"/>
              </w:rPr>
              <w:t>Total customer receivables, gross</w:t>
            </w: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AFC5"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AFC6" w14:textId="77777777" w:rsidR="004D6A64" w:rsidRDefault="00506CD6">
            <w:pPr>
              <w:jc w:val="right"/>
              <w:textAlignment w:val="center"/>
            </w:pPr>
            <w:r>
              <w:rPr>
                <w:rFonts w:ascii="Times New Roman" w:eastAsia="宋体" w:hAnsi="Times New Roman"/>
                <w:color w:val="000000"/>
                <w:sz w:val="20"/>
                <w:szCs w:val="20"/>
              </w:rPr>
              <w:t>10,033 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AFC7" w14:textId="77777777" w:rsidR="004D6A64" w:rsidRDefault="004D6A64">
            <w:pPr>
              <w:jc w:val="right"/>
              <w:rPr>
                <w:rFonts w:ascii="宋体"/>
              </w:rPr>
            </w:pPr>
          </w:p>
        </w:tc>
      </w:tr>
    </w:tbl>
    <w:p w14:paraId="33DAAFC9" w14:textId="77777777" w:rsidR="004D6A64" w:rsidRDefault="004D6A64">
      <w:pPr>
        <w:pBdr>
          <w:left w:val="none" w:sz="0" w:space="0" w:color="auto"/>
        </w:pBdr>
      </w:pPr>
    </w:p>
    <w:p w14:paraId="33DAAFCA" w14:textId="77777777" w:rsidR="004D6A64" w:rsidRDefault="00506CD6">
      <w:pPr>
        <w:jc w:val="both"/>
      </w:pPr>
      <w:r>
        <w:rPr>
          <w:rFonts w:ascii="Times New Roman" w:eastAsia="宋体" w:hAnsi="Times New Roman"/>
          <w:b/>
          <w:bCs/>
          <w:color w:val="000000"/>
          <w:sz w:val="20"/>
          <w:szCs w:val="20"/>
        </w:rPr>
        <w:t>Operating Leases</w:t>
      </w:r>
    </w:p>
    <w:p w14:paraId="33DAAFCB" w14:textId="77777777" w:rsidR="004D6A64" w:rsidRDefault="004D6A64">
      <w:pPr>
        <w:jc w:val="both"/>
      </w:pPr>
    </w:p>
    <w:p w14:paraId="33DAAFCC" w14:textId="77777777" w:rsidR="004D6A64" w:rsidRDefault="00506CD6">
      <w:r>
        <w:rPr>
          <w:rFonts w:ascii="Times New Roman" w:eastAsia="宋体" w:hAnsi="Times New Roman"/>
          <w:color w:val="000000"/>
          <w:sz w:val="20"/>
          <w:szCs w:val="20"/>
        </w:rPr>
        <w:t xml:space="preserve">The following table presents the components of the Company’s operating lease portfolio included in Property, plant, and equipment, net as of the dates indicated: </w:t>
      </w:r>
    </w:p>
    <w:tbl>
      <w:tblPr>
        <w:tblW w:w="5000" w:type="pct"/>
        <w:tblCellMar>
          <w:top w:w="15" w:type="dxa"/>
          <w:left w:w="15" w:type="dxa"/>
          <w:bottom w:w="15" w:type="dxa"/>
          <w:right w:w="15" w:type="dxa"/>
        </w:tblCellMar>
        <w:tblLook w:val="04A0" w:firstRow="1" w:lastRow="0" w:firstColumn="1" w:lastColumn="0" w:noHBand="0" w:noVBand="1"/>
      </w:tblPr>
      <w:tblGrid>
        <w:gridCol w:w="38"/>
        <w:gridCol w:w="4737"/>
        <w:gridCol w:w="37"/>
        <w:gridCol w:w="135"/>
        <w:gridCol w:w="1423"/>
        <w:gridCol w:w="41"/>
        <w:gridCol w:w="36"/>
        <w:gridCol w:w="36"/>
        <w:gridCol w:w="36"/>
        <w:gridCol w:w="136"/>
        <w:gridCol w:w="1424"/>
        <w:gridCol w:w="41"/>
        <w:gridCol w:w="36"/>
        <w:gridCol w:w="36"/>
        <w:gridCol w:w="36"/>
        <w:gridCol w:w="36"/>
        <w:gridCol w:w="36"/>
        <w:gridCol w:w="36"/>
      </w:tblGrid>
      <w:tr w:rsidR="004D6A64" w14:paraId="33DAAFD9" w14:textId="77777777">
        <w:trPr>
          <w:gridAfter w:val="6"/>
        </w:trPr>
        <w:tc>
          <w:tcPr>
            <w:tcW w:w="50" w:type="pct"/>
            <w:shd w:val="clear" w:color="auto" w:fill="auto"/>
          </w:tcPr>
          <w:p w14:paraId="33DAAFCD" w14:textId="77777777" w:rsidR="004D6A64" w:rsidRDefault="004D6A64">
            <w:pPr>
              <w:rPr>
                <w:rFonts w:ascii="宋体"/>
              </w:rPr>
            </w:pPr>
          </w:p>
        </w:tc>
        <w:tc>
          <w:tcPr>
            <w:tcW w:w="2971" w:type="pct"/>
            <w:shd w:val="clear" w:color="auto" w:fill="auto"/>
          </w:tcPr>
          <w:p w14:paraId="33DAAFCE" w14:textId="77777777" w:rsidR="004D6A64" w:rsidRDefault="004D6A64">
            <w:pPr>
              <w:rPr>
                <w:rFonts w:ascii="宋体"/>
              </w:rPr>
            </w:pPr>
          </w:p>
        </w:tc>
        <w:tc>
          <w:tcPr>
            <w:tcW w:w="5" w:type="pct"/>
            <w:shd w:val="clear" w:color="auto" w:fill="auto"/>
          </w:tcPr>
          <w:p w14:paraId="33DAAFCF" w14:textId="77777777" w:rsidR="004D6A64" w:rsidRDefault="004D6A64">
            <w:pPr>
              <w:rPr>
                <w:rFonts w:ascii="宋体"/>
              </w:rPr>
            </w:pPr>
          </w:p>
        </w:tc>
        <w:tc>
          <w:tcPr>
            <w:tcW w:w="50" w:type="pct"/>
            <w:shd w:val="clear" w:color="auto" w:fill="auto"/>
          </w:tcPr>
          <w:p w14:paraId="33DAAFD0" w14:textId="77777777" w:rsidR="004D6A64" w:rsidRDefault="004D6A64">
            <w:pPr>
              <w:rPr>
                <w:rFonts w:ascii="宋体"/>
              </w:rPr>
            </w:pPr>
          </w:p>
        </w:tc>
        <w:tc>
          <w:tcPr>
            <w:tcW w:w="917" w:type="pct"/>
            <w:shd w:val="clear" w:color="auto" w:fill="auto"/>
          </w:tcPr>
          <w:p w14:paraId="33DAAFD1" w14:textId="77777777" w:rsidR="004D6A64" w:rsidRDefault="004D6A64">
            <w:pPr>
              <w:rPr>
                <w:rFonts w:ascii="宋体"/>
              </w:rPr>
            </w:pPr>
          </w:p>
        </w:tc>
        <w:tc>
          <w:tcPr>
            <w:tcW w:w="5" w:type="pct"/>
            <w:shd w:val="clear" w:color="auto" w:fill="auto"/>
          </w:tcPr>
          <w:p w14:paraId="33DAAFD2" w14:textId="77777777" w:rsidR="004D6A64" w:rsidRDefault="004D6A64">
            <w:pPr>
              <w:rPr>
                <w:rFonts w:ascii="宋体"/>
              </w:rPr>
            </w:pPr>
          </w:p>
        </w:tc>
        <w:tc>
          <w:tcPr>
            <w:tcW w:w="5" w:type="pct"/>
            <w:shd w:val="clear" w:color="auto" w:fill="auto"/>
          </w:tcPr>
          <w:p w14:paraId="33DAAFD3" w14:textId="77777777" w:rsidR="004D6A64" w:rsidRDefault="004D6A64">
            <w:pPr>
              <w:rPr>
                <w:rFonts w:ascii="宋体"/>
              </w:rPr>
            </w:pPr>
          </w:p>
        </w:tc>
        <w:tc>
          <w:tcPr>
            <w:tcW w:w="19" w:type="pct"/>
            <w:shd w:val="clear" w:color="auto" w:fill="auto"/>
          </w:tcPr>
          <w:p w14:paraId="33DAAFD4" w14:textId="77777777" w:rsidR="004D6A64" w:rsidRDefault="004D6A64">
            <w:pPr>
              <w:rPr>
                <w:rFonts w:ascii="宋体"/>
              </w:rPr>
            </w:pPr>
          </w:p>
        </w:tc>
        <w:tc>
          <w:tcPr>
            <w:tcW w:w="5" w:type="pct"/>
            <w:shd w:val="clear" w:color="auto" w:fill="auto"/>
          </w:tcPr>
          <w:p w14:paraId="33DAAFD5" w14:textId="77777777" w:rsidR="004D6A64" w:rsidRDefault="004D6A64">
            <w:pPr>
              <w:rPr>
                <w:rFonts w:ascii="宋体"/>
              </w:rPr>
            </w:pPr>
          </w:p>
        </w:tc>
        <w:tc>
          <w:tcPr>
            <w:tcW w:w="50" w:type="pct"/>
            <w:shd w:val="clear" w:color="auto" w:fill="auto"/>
          </w:tcPr>
          <w:p w14:paraId="33DAAFD6" w14:textId="77777777" w:rsidR="004D6A64" w:rsidRDefault="004D6A64">
            <w:pPr>
              <w:rPr>
                <w:rFonts w:ascii="宋体"/>
              </w:rPr>
            </w:pPr>
          </w:p>
        </w:tc>
        <w:tc>
          <w:tcPr>
            <w:tcW w:w="917" w:type="pct"/>
            <w:shd w:val="clear" w:color="auto" w:fill="auto"/>
          </w:tcPr>
          <w:p w14:paraId="33DAAFD7" w14:textId="77777777" w:rsidR="004D6A64" w:rsidRDefault="004D6A64">
            <w:pPr>
              <w:rPr>
                <w:rFonts w:ascii="宋体"/>
              </w:rPr>
            </w:pPr>
          </w:p>
        </w:tc>
        <w:tc>
          <w:tcPr>
            <w:tcW w:w="5" w:type="pct"/>
            <w:shd w:val="clear" w:color="auto" w:fill="auto"/>
          </w:tcPr>
          <w:p w14:paraId="33DAAFD8" w14:textId="77777777" w:rsidR="004D6A64" w:rsidRDefault="004D6A64">
            <w:pPr>
              <w:rPr>
                <w:rFonts w:ascii="宋体"/>
              </w:rPr>
            </w:pPr>
          </w:p>
        </w:tc>
      </w:tr>
      <w:tr w:rsidR="004D6A64" w14:paraId="33DAAFDE" w14:textId="77777777">
        <w:trPr>
          <w:gridAfter w:val="6"/>
        </w:trPr>
        <w:tc>
          <w:tcPr>
            <w:tcW w:w="0" w:type="auto"/>
            <w:gridSpan w:val="3"/>
            <w:shd w:val="clear" w:color="auto" w:fill="auto"/>
            <w:tcMar>
              <w:left w:w="20" w:type="dxa"/>
              <w:right w:w="20" w:type="dxa"/>
            </w:tcMar>
            <w:vAlign w:val="bottom"/>
          </w:tcPr>
          <w:p w14:paraId="33DAAFDA"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AFDB"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shd w:val="clear" w:color="auto" w:fill="auto"/>
            <w:tcMar>
              <w:left w:w="20" w:type="dxa"/>
              <w:right w:w="20" w:type="dxa"/>
            </w:tcMar>
            <w:vAlign w:val="bottom"/>
          </w:tcPr>
          <w:p w14:paraId="33DAAFDC" w14:textId="77777777" w:rsidR="004D6A64" w:rsidRDefault="004D6A6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3DAAFDD" w14:textId="77777777" w:rsidR="004D6A64" w:rsidRDefault="00506CD6">
            <w:pPr>
              <w:jc w:val="center"/>
              <w:textAlignment w:val="bottom"/>
            </w:pPr>
            <w:r>
              <w:rPr>
                <w:rFonts w:ascii="Times New Roman" w:eastAsia="宋体" w:hAnsi="Times New Roman"/>
                <w:b/>
                <w:bCs/>
                <w:color w:val="000000"/>
                <w:sz w:val="20"/>
                <w:szCs w:val="20"/>
              </w:rPr>
              <w:t>January 31, 2020</w:t>
            </w:r>
          </w:p>
        </w:tc>
      </w:tr>
      <w:tr w:rsidR="004D6A64" w14:paraId="33DAAFE3" w14:textId="77777777">
        <w:tc>
          <w:tcPr>
            <w:tcW w:w="0" w:type="auto"/>
            <w:gridSpan w:val="3"/>
            <w:shd w:val="clear" w:color="auto" w:fill="auto"/>
            <w:tcMar>
              <w:left w:w="20" w:type="dxa"/>
              <w:right w:w="20" w:type="dxa"/>
            </w:tcMar>
            <w:vAlign w:val="bottom"/>
          </w:tcPr>
          <w:p w14:paraId="33DAAFDF" w14:textId="77777777" w:rsidR="004D6A64" w:rsidRDefault="004D6A6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33DAAFE0" w14:textId="77777777" w:rsidR="004D6A64" w:rsidRDefault="00506CD6">
            <w:pPr>
              <w:jc w:val="center"/>
              <w:textAlignment w:val="center"/>
            </w:pPr>
            <w:r>
              <w:rPr>
                <w:rFonts w:ascii="Times New Roman" w:eastAsia="宋体" w:hAnsi="Times New Roman"/>
                <w:color w:val="000000"/>
                <w:sz w:val="20"/>
                <w:szCs w:val="20"/>
              </w:rPr>
              <w:t>(in millions)</w:t>
            </w:r>
          </w:p>
        </w:tc>
        <w:tc>
          <w:tcPr>
            <w:tcW w:w="0" w:type="auto"/>
            <w:gridSpan w:val="3"/>
            <w:shd w:val="clear" w:color="auto" w:fill="auto"/>
          </w:tcPr>
          <w:p w14:paraId="33DAAFE1" w14:textId="77777777" w:rsidR="004D6A64" w:rsidRDefault="004D6A64">
            <w:pPr>
              <w:rPr>
                <w:rFonts w:ascii="宋体"/>
                <w:vanish/>
              </w:rPr>
            </w:pPr>
          </w:p>
        </w:tc>
        <w:tc>
          <w:tcPr>
            <w:tcW w:w="0" w:type="auto"/>
            <w:gridSpan w:val="3"/>
            <w:shd w:val="clear" w:color="auto" w:fill="auto"/>
          </w:tcPr>
          <w:p w14:paraId="33DAAFE2" w14:textId="77777777" w:rsidR="004D6A64" w:rsidRDefault="004D6A64">
            <w:pPr>
              <w:rPr>
                <w:rFonts w:ascii="宋体"/>
                <w:vanish/>
              </w:rPr>
            </w:pPr>
          </w:p>
        </w:tc>
      </w:tr>
      <w:tr w:rsidR="004D6A64" w14:paraId="33DAAFF2" w14:textId="77777777">
        <w:tc>
          <w:tcPr>
            <w:tcW w:w="0" w:type="auto"/>
            <w:gridSpan w:val="3"/>
            <w:shd w:val="clear" w:color="auto" w:fill="CCEEFF"/>
            <w:tcMar>
              <w:top w:w="40" w:type="dxa"/>
              <w:left w:w="20" w:type="dxa"/>
              <w:bottom w:w="40" w:type="dxa"/>
              <w:right w:w="20" w:type="dxa"/>
            </w:tcMar>
            <w:vAlign w:val="center"/>
          </w:tcPr>
          <w:p w14:paraId="33DAAFE4" w14:textId="77777777" w:rsidR="004D6A64" w:rsidRDefault="00506CD6">
            <w:pPr>
              <w:textAlignment w:val="center"/>
            </w:pPr>
            <w:r>
              <w:rPr>
                <w:rFonts w:ascii="Times New Roman" w:eastAsia="宋体" w:hAnsi="Times New Roman"/>
                <w:color w:val="000000"/>
                <w:sz w:val="20"/>
                <w:szCs w:val="20"/>
              </w:rPr>
              <w:t xml:space="preserve">Equipment under </w:t>
            </w:r>
            <w:r>
              <w:rPr>
                <w:rFonts w:ascii="Times New Roman" w:eastAsia="宋体" w:hAnsi="Times New Roman"/>
                <w:color w:val="000000"/>
                <w:sz w:val="20"/>
                <w:szCs w:val="20"/>
              </w:rPr>
              <w:t>operating lease, gross</w:t>
            </w:r>
          </w:p>
        </w:tc>
        <w:tc>
          <w:tcPr>
            <w:tcW w:w="0" w:type="auto"/>
            <w:shd w:val="clear" w:color="auto" w:fill="CCEEFF"/>
            <w:tcMar>
              <w:top w:w="40" w:type="dxa"/>
              <w:left w:w="20" w:type="dxa"/>
              <w:bottom w:w="40" w:type="dxa"/>
            </w:tcMar>
            <w:vAlign w:val="center"/>
          </w:tcPr>
          <w:p w14:paraId="33DAAFE5"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FE6" w14:textId="77777777" w:rsidR="004D6A64" w:rsidRDefault="00506CD6">
            <w:pPr>
              <w:jc w:val="right"/>
              <w:textAlignment w:val="center"/>
            </w:pPr>
            <w:r>
              <w:rPr>
                <w:rFonts w:ascii="Times New Roman" w:eastAsia="宋体" w:hAnsi="Times New Roman"/>
                <w:color w:val="000000"/>
                <w:sz w:val="20"/>
                <w:szCs w:val="20"/>
              </w:rPr>
              <w:t>1,478 </w:t>
            </w:r>
          </w:p>
        </w:tc>
        <w:tc>
          <w:tcPr>
            <w:tcW w:w="0" w:type="auto"/>
            <w:shd w:val="clear" w:color="auto" w:fill="CCEEFF"/>
            <w:tcMar>
              <w:top w:w="40" w:type="dxa"/>
              <w:bottom w:w="40" w:type="dxa"/>
              <w:right w:w="20" w:type="dxa"/>
            </w:tcMar>
            <w:vAlign w:val="center"/>
          </w:tcPr>
          <w:p w14:paraId="33DAAFE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AFE8"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AFE9"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AFEA" w14:textId="77777777" w:rsidR="004D6A64" w:rsidRDefault="00506CD6">
            <w:pPr>
              <w:jc w:val="right"/>
              <w:textAlignment w:val="center"/>
            </w:pPr>
            <w:r>
              <w:rPr>
                <w:rFonts w:ascii="Times New Roman" w:eastAsia="宋体" w:hAnsi="Times New Roman"/>
                <w:color w:val="000000"/>
                <w:sz w:val="20"/>
                <w:szCs w:val="20"/>
              </w:rPr>
              <w:t>956 </w:t>
            </w:r>
          </w:p>
        </w:tc>
        <w:tc>
          <w:tcPr>
            <w:tcW w:w="0" w:type="auto"/>
            <w:shd w:val="clear" w:color="auto" w:fill="CCEEFF"/>
            <w:tcMar>
              <w:top w:w="40" w:type="dxa"/>
              <w:bottom w:w="40" w:type="dxa"/>
              <w:right w:w="20" w:type="dxa"/>
            </w:tcMar>
            <w:vAlign w:val="center"/>
          </w:tcPr>
          <w:p w14:paraId="33DAAFEB" w14:textId="77777777" w:rsidR="004D6A64" w:rsidRDefault="004D6A64">
            <w:pPr>
              <w:jc w:val="right"/>
              <w:rPr>
                <w:rFonts w:ascii="宋体"/>
              </w:rPr>
            </w:pPr>
          </w:p>
        </w:tc>
        <w:tc>
          <w:tcPr>
            <w:tcW w:w="0" w:type="auto"/>
            <w:shd w:val="clear" w:color="auto" w:fill="auto"/>
          </w:tcPr>
          <w:p w14:paraId="33DAAFEC" w14:textId="77777777" w:rsidR="004D6A64" w:rsidRDefault="004D6A64">
            <w:pPr>
              <w:rPr>
                <w:rFonts w:ascii="宋体"/>
              </w:rPr>
            </w:pPr>
          </w:p>
        </w:tc>
        <w:tc>
          <w:tcPr>
            <w:tcW w:w="0" w:type="auto"/>
            <w:shd w:val="clear" w:color="auto" w:fill="auto"/>
          </w:tcPr>
          <w:p w14:paraId="33DAAFED" w14:textId="77777777" w:rsidR="004D6A64" w:rsidRDefault="004D6A64">
            <w:pPr>
              <w:rPr>
                <w:rFonts w:ascii="宋体"/>
              </w:rPr>
            </w:pPr>
          </w:p>
        </w:tc>
        <w:tc>
          <w:tcPr>
            <w:tcW w:w="0" w:type="auto"/>
            <w:shd w:val="clear" w:color="auto" w:fill="auto"/>
          </w:tcPr>
          <w:p w14:paraId="33DAAFEE" w14:textId="77777777" w:rsidR="004D6A64" w:rsidRDefault="004D6A64">
            <w:pPr>
              <w:rPr>
                <w:rFonts w:ascii="宋体"/>
              </w:rPr>
            </w:pPr>
          </w:p>
        </w:tc>
        <w:tc>
          <w:tcPr>
            <w:tcW w:w="0" w:type="auto"/>
            <w:shd w:val="clear" w:color="auto" w:fill="auto"/>
          </w:tcPr>
          <w:p w14:paraId="33DAAFEF" w14:textId="77777777" w:rsidR="004D6A64" w:rsidRDefault="004D6A64">
            <w:pPr>
              <w:rPr>
                <w:rFonts w:ascii="宋体"/>
              </w:rPr>
            </w:pPr>
          </w:p>
        </w:tc>
        <w:tc>
          <w:tcPr>
            <w:tcW w:w="0" w:type="auto"/>
            <w:shd w:val="clear" w:color="auto" w:fill="auto"/>
          </w:tcPr>
          <w:p w14:paraId="33DAAFF0" w14:textId="77777777" w:rsidR="004D6A64" w:rsidRDefault="004D6A64">
            <w:pPr>
              <w:rPr>
                <w:rFonts w:ascii="宋体"/>
              </w:rPr>
            </w:pPr>
          </w:p>
        </w:tc>
        <w:tc>
          <w:tcPr>
            <w:tcW w:w="0" w:type="auto"/>
            <w:shd w:val="clear" w:color="auto" w:fill="auto"/>
          </w:tcPr>
          <w:p w14:paraId="33DAAFF1" w14:textId="77777777" w:rsidR="004D6A64" w:rsidRDefault="004D6A64">
            <w:pPr>
              <w:rPr>
                <w:rFonts w:ascii="宋体"/>
              </w:rPr>
            </w:pPr>
          </w:p>
        </w:tc>
      </w:tr>
      <w:tr w:rsidR="004D6A64" w14:paraId="33DAAFFF" w14:textId="77777777">
        <w:tc>
          <w:tcPr>
            <w:tcW w:w="0" w:type="auto"/>
            <w:gridSpan w:val="3"/>
            <w:shd w:val="clear" w:color="auto" w:fill="auto"/>
            <w:tcMar>
              <w:top w:w="40" w:type="dxa"/>
              <w:left w:w="20" w:type="dxa"/>
              <w:bottom w:w="40" w:type="dxa"/>
              <w:right w:w="20" w:type="dxa"/>
            </w:tcMar>
            <w:vAlign w:val="center"/>
          </w:tcPr>
          <w:p w14:paraId="33DAAFF3" w14:textId="77777777" w:rsidR="004D6A64" w:rsidRDefault="00506CD6">
            <w:pPr>
              <w:textAlignment w:val="center"/>
            </w:pPr>
            <w:r>
              <w:rPr>
                <w:rFonts w:ascii="Times New Roman" w:eastAsia="宋体" w:hAnsi="Times New Roman"/>
                <w:color w:val="000000"/>
                <w:sz w:val="20"/>
                <w:szCs w:val="20"/>
              </w:rPr>
              <w:t>Less: accumulated depreciation</w:t>
            </w:r>
          </w:p>
        </w:tc>
        <w:tc>
          <w:tcPr>
            <w:tcW w:w="0" w:type="auto"/>
            <w:gridSpan w:val="2"/>
            <w:shd w:val="clear" w:color="auto" w:fill="auto"/>
            <w:tcMar>
              <w:top w:w="40" w:type="dxa"/>
              <w:left w:w="20" w:type="dxa"/>
              <w:bottom w:w="40" w:type="dxa"/>
              <w:right w:w="0" w:type="dxa"/>
            </w:tcMar>
            <w:vAlign w:val="center"/>
          </w:tcPr>
          <w:p w14:paraId="33DAAFF4" w14:textId="77777777" w:rsidR="004D6A64" w:rsidRDefault="00506CD6">
            <w:pPr>
              <w:jc w:val="right"/>
              <w:textAlignment w:val="center"/>
            </w:pPr>
            <w:r>
              <w:rPr>
                <w:rFonts w:ascii="Times New Roman" w:eastAsia="宋体" w:hAnsi="Times New Roman"/>
                <w:color w:val="000000"/>
                <w:sz w:val="20"/>
                <w:szCs w:val="20"/>
              </w:rPr>
              <w:t>(258)</w:t>
            </w:r>
          </w:p>
        </w:tc>
        <w:tc>
          <w:tcPr>
            <w:tcW w:w="0" w:type="auto"/>
            <w:shd w:val="clear" w:color="auto" w:fill="auto"/>
            <w:tcMar>
              <w:top w:w="40" w:type="dxa"/>
              <w:bottom w:w="40" w:type="dxa"/>
              <w:right w:w="20" w:type="dxa"/>
            </w:tcMar>
            <w:vAlign w:val="center"/>
          </w:tcPr>
          <w:p w14:paraId="33DAAFF5" w14:textId="77777777" w:rsidR="004D6A64" w:rsidRDefault="004D6A64">
            <w:pPr>
              <w:jc w:val="right"/>
              <w:rPr>
                <w:rFonts w:ascii="宋体"/>
              </w:rPr>
            </w:pPr>
          </w:p>
        </w:tc>
        <w:tc>
          <w:tcPr>
            <w:tcW w:w="0" w:type="auto"/>
            <w:gridSpan w:val="3"/>
            <w:shd w:val="clear" w:color="auto" w:fill="auto"/>
            <w:tcMar>
              <w:left w:w="20" w:type="dxa"/>
              <w:right w:w="20" w:type="dxa"/>
            </w:tcMar>
            <w:vAlign w:val="bottom"/>
          </w:tcPr>
          <w:p w14:paraId="33DAAFF6" w14:textId="77777777" w:rsidR="004D6A64" w:rsidRDefault="004D6A64">
            <w:pPr>
              <w:rPr>
                <w:rFonts w:ascii="宋体"/>
              </w:rPr>
            </w:pPr>
          </w:p>
        </w:tc>
        <w:tc>
          <w:tcPr>
            <w:tcW w:w="0" w:type="auto"/>
            <w:gridSpan w:val="2"/>
            <w:shd w:val="clear" w:color="auto" w:fill="auto"/>
            <w:tcMar>
              <w:top w:w="40" w:type="dxa"/>
              <w:left w:w="20" w:type="dxa"/>
              <w:bottom w:w="40" w:type="dxa"/>
              <w:right w:w="0" w:type="dxa"/>
            </w:tcMar>
            <w:vAlign w:val="center"/>
          </w:tcPr>
          <w:p w14:paraId="33DAAFF7" w14:textId="77777777" w:rsidR="004D6A64" w:rsidRDefault="00506CD6">
            <w:pPr>
              <w:jc w:val="right"/>
              <w:textAlignment w:val="center"/>
            </w:pPr>
            <w:r>
              <w:rPr>
                <w:rFonts w:ascii="Times New Roman" w:eastAsia="宋体" w:hAnsi="Times New Roman"/>
                <w:color w:val="000000"/>
                <w:sz w:val="20"/>
                <w:szCs w:val="20"/>
              </w:rPr>
              <w:t>(116)</w:t>
            </w:r>
          </w:p>
        </w:tc>
        <w:tc>
          <w:tcPr>
            <w:tcW w:w="0" w:type="auto"/>
            <w:shd w:val="clear" w:color="auto" w:fill="auto"/>
            <w:tcMar>
              <w:top w:w="40" w:type="dxa"/>
              <w:bottom w:w="40" w:type="dxa"/>
              <w:right w:w="20" w:type="dxa"/>
            </w:tcMar>
            <w:vAlign w:val="center"/>
          </w:tcPr>
          <w:p w14:paraId="33DAAFF8" w14:textId="77777777" w:rsidR="004D6A64" w:rsidRDefault="004D6A64">
            <w:pPr>
              <w:jc w:val="right"/>
              <w:rPr>
                <w:rFonts w:ascii="宋体"/>
              </w:rPr>
            </w:pPr>
          </w:p>
        </w:tc>
        <w:tc>
          <w:tcPr>
            <w:tcW w:w="0" w:type="auto"/>
            <w:shd w:val="clear" w:color="auto" w:fill="auto"/>
          </w:tcPr>
          <w:p w14:paraId="33DAAFF9" w14:textId="77777777" w:rsidR="004D6A64" w:rsidRDefault="004D6A64">
            <w:pPr>
              <w:rPr>
                <w:rFonts w:ascii="宋体"/>
              </w:rPr>
            </w:pPr>
          </w:p>
        </w:tc>
        <w:tc>
          <w:tcPr>
            <w:tcW w:w="0" w:type="auto"/>
            <w:shd w:val="clear" w:color="auto" w:fill="auto"/>
          </w:tcPr>
          <w:p w14:paraId="33DAAFFA" w14:textId="77777777" w:rsidR="004D6A64" w:rsidRDefault="004D6A64">
            <w:pPr>
              <w:rPr>
                <w:rFonts w:ascii="宋体"/>
              </w:rPr>
            </w:pPr>
          </w:p>
        </w:tc>
        <w:tc>
          <w:tcPr>
            <w:tcW w:w="0" w:type="auto"/>
            <w:shd w:val="clear" w:color="auto" w:fill="auto"/>
          </w:tcPr>
          <w:p w14:paraId="33DAAFFB" w14:textId="77777777" w:rsidR="004D6A64" w:rsidRDefault="004D6A64">
            <w:pPr>
              <w:rPr>
                <w:rFonts w:ascii="宋体"/>
              </w:rPr>
            </w:pPr>
          </w:p>
        </w:tc>
        <w:tc>
          <w:tcPr>
            <w:tcW w:w="0" w:type="auto"/>
            <w:shd w:val="clear" w:color="auto" w:fill="auto"/>
          </w:tcPr>
          <w:p w14:paraId="33DAAFFC" w14:textId="77777777" w:rsidR="004D6A64" w:rsidRDefault="004D6A64">
            <w:pPr>
              <w:rPr>
                <w:rFonts w:ascii="宋体"/>
              </w:rPr>
            </w:pPr>
          </w:p>
        </w:tc>
        <w:tc>
          <w:tcPr>
            <w:tcW w:w="0" w:type="auto"/>
            <w:shd w:val="clear" w:color="auto" w:fill="auto"/>
          </w:tcPr>
          <w:p w14:paraId="33DAAFFD" w14:textId="77777777" w:rsidR="004D6A64" w:rsidRDefault="004D6A64">
            <w:pPr>
              <w:rPr>
                <w:rFonts w:ascii="宋体"/>
              </w:rPr>
            </w:pPr>
          </w:p>
        </w:tc>
        <w:tc>
          <w:tcPr>
            <w:tcW w:w="0" w:type="auto"/>
            <w:shd w:val="clear" w:color="auto" w:fill="auto"/>
          </w:tcPr>
          <w:p w14:paraId="33DAAFFE" w14:textId="77777777" w:rsidR="004D6A64" w:rsidRDefault="004D6A64">
            <w:pPr>
              <w:rPr>
                <w:rFonts w:ascii="宋体"/>
              </w:rPr>
            </w:pPr>
          </w:p>
        </w:tc>
      </w:tr>
      <w:tr w:rsidR="004D6A64" w14:paraId="33DAB00E" w14:textId="77777777">
        <w:tc>
          <w:tcPr>
            <w:tcW w:w="0" w:type="auto"/>
            <w:gridSpan w:val="3"/>
            <w:shd w:val="clear" w:color="auto" w:fill="CCEEFF"/>
            <w:tcMar>
              <w:top w:w="40" w:type="dxa"/>
              <w:left w:w="135" w:type="dxa"/>
              <w:bottom w:w="40" w:type="dxa"/>
              <w:right w:w="20" w:type="dxa"/>
            </w:tcMar>
            <w:vAlign w:val="center"/>
          </w:tcPr>
          <w:p w14:paraId="33DAB000" w14:textId="77777777" w:rsidR="004D6A64" w:rsidRDefault="00506CD6">
            <w:pPr>
              <w:textAlignment w:val="center"/>
            </w:pPr>
            <w:r>
              <w:rPr>
                <w:rFonts w:ascii="Times New Roman" w:eastAsia="宋体" w:hAnsi="Times New Roman"/>
                <w:color w:val="000000"/>
                <w:sz w:val="20"/>
                <w:szCs w:val="20"/>
              </w:rPr>
              <w:t>Equipment under operating lease, net</w:t>
            </w: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B001"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B002" w14:textId="77777777" w:rsidR="004D6A64" w:rsidRDefault="00506CD6">
            <w:pPr>
              <w:jc w:val="right"/>
              <w:textAlignment w:val="center"/>
            </w:pPr>
            <w:r>
              <w:rPr>
                <w:rFonts w:ascii="Times New Roman" w:eastAsia="宋体" w:hAnsi="Times New Roman"/>
                <w:color w:val="000000"/>
                <w:sz w:val="20"/>
                <w:szCs w:val="20"/>
              </w:rPr>
              <w:t>1,220 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B00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004"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B005"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B006" w14:textId="77777777" w:rsidR="004D6A64" w:rsidRDefault="00506CD6">
            <w:pPr>
              <w:jc w:val="right"/>
              <w:textAlignment w:val="center"/>
            </w:pPr>
            <w:r>
              <w:rPr>
                <w:rFonts w:ascii="Times New Roman" w:eastAsia="宋体" w:hAnsi="Times New Roman"/>
                <w:color w:val="000000"/>
                <w:sz w:val="20"/>
                <w:szCs w:val="20"/>
              </w:rPr>
              <w:t>840 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B007" w14:textId="77777777" w:rsidR="004D6A64" w:rsidRDefault="004D6A64">
            <w:pPr>
              <w:jc w:val="right"/>
              <w:rPr>
                <w:rFonts w:ascii="宋体"/>
              </w:rPr>
            </w:pPr>
          </w:p>
        </w:tc>
        <w:tc>
          <w:tcPr>
            <w:tcW w:w="0" w:type="auto"/>
            <w:shd w:val="clear" w:color="auto" w:fill="auto"/>
          </w:tcPr>
          <w:p w14:paraId="33DAB008" w14:textId="77777777" w:rsidR="004D6A64" w:rsidRDefault="004D6A64">
            <w:pPr>
              <w:rPr>
                <w:rFonts w:ascii="宋体"/>
              </w:rPr>
            </w:pPr>
          </w:p>
        </w:tc>
        <w:tc>
          <w:tcPr>
            <w:tcW w:w="0" w:type="auto"/>
            <w:shd w:val="clear" w:color="auto" w:fill="auto"/>
          </w:tcPr>
          <w:p w14:paraId="33DAB009" w14:textId="77777777" w:rsidR="004D6A64" w:rsidRDefault="004D6A64">
            <w:pPr>
              <w:rPr>
                <w:rFonts w:ascii="宋体"/>
              </w:rPr>
            </w:pPr>
          </w:p>
        </w:tc>
        <w:tc>
          <w:tcPr>
            <w:tcW w:w="0" w:type="auto"/>
            <w:shd w:val="clear" w:color="auto" w:fill="auto"/>
          </w:tcPr>
          <w:p w14:paraId="33DAB00A" w14:textId="77777777" w:rsidR="004D6A64" w:rsidRDefault="004D6A64">
            <w:pPr>
              <w:rPr>
                <w:rFonts w:ascii="宋体"/>
              </w:rPr>
            </w:pPr>
          </w:p>
        </w:tc>
        <w:tc>
          <w:tcPr>
            <w:tcW w:w="0" w:type="auto"/>
            <w:shd w:val="clear" w:color="auto" w:fill="auto"/>
          </w:tcPr>
          <w:p w14:paraId="33DAB00B" w14:textId="77777777" w:rsidR="004D6A64" w:rsidRDefault="004D6A64">
            <w:pPr>
              <w:rPr>
                <w:rFonts w:ascii="宋体"/>
              </w:rPr>
            </w:pPr>
          </w:p>
        </w:tc>
        <w:tc>
          <w:tcPr>
            <w:tcW w:w="0" w:type="auto"/>
            <w:shd w:val="clear" w:color="auto" w:fill="auto"/>
          </w:tcPr>
          <w:p w14:paraId="33DAB00C" w14:textId="77777777" w:rsidR="004D6A64" w:rsidRDefault="004D6A64">
            <w:pPr>
              <w:rPr>
                <w:rFonts w:ascii="宋体"/>
              </w:rPr>
            </w:pPr>
          </w:p>
        </w:tc>
        <w:tc>
          <w:tcPr>
            <w:tcW w:w="0" w:type="auto"/>
            <w:shd w:val="clear" w:color="auto" w:fill="auto"/>
          </w:tcPr>
          <w:p w14:paraId="33DAB00D" w14:textId="77777777" w:rsidR="004D6A64" w:rsidRDefault="004D6A64">
            <w:pPr>
              <w:rPr>
                <w:rFonts w:ascii="宋体"/>
              </w:rPr>
            </w:pPr>
          </w:p>
        </w:tc>
      </w:tr>
    </w:tbl>
    <w:p w14:paraId="33DAB00F" w14:textId="77777777" w:rsidR="004D6A64" w:rsidRDefault="004D6A64">
      <w:pPr>
        <w:jc w:val="both"/>
      </w:pPr>
    </w:p>
    <w:p w14:paraId="33DAB010" w14:textId="77777777" w:rsidR="004D6A64" w:rsidRDefault="00506CD6">
      <w:pPr>
        <w:jc w:val="both"/>
      </w:pPr>
      <w:r>
        <w:rPr>
          <w:rFonts w:ascii="Times New Roman" w:eastAsia="宋体" w:hAnsi="Times New Roman"/>
          <w:color w:val="000000"/>
          <w:sz w:val="20"/>
          <w:szCs w:val="20"/>
        </w:rPr>
        <w:t xml:space="preserve">Operating lease income relating to lease payments was $103 million and $27 million for </w:t>
      </w:r>
      <w:r>
        <w:rPr>
          <w:rFonts w:ascii="Times New Roman" w:eastAsia="宋体" w:hAnsi="Times New Roman"/>
          <w:color w:val="000000"/>
          <w:sz w:val="20"/>
          <w:szCs w:val="20"/>
        </w:rPr>
        <w:t>the three months ended July 31, 2020 and August 2, 2019, respectively, and $190 million and $31 million for the six months ended July 31, 2020 and August 2, 2019, respectively. Depreciation expense was $74 million and $21 million for the three months ended</w:t>
      </w:r>
      <w:r>
        <w:rPr>
          <w:rFonts w:ascii="Times New Roman" w:eastAsia="宋体" w:hAnsi="Times New Roman"/>
          <w:color w:val="000000"/>
          <w:sz w:val="20"/>
          <w:szCs w:val="20"/>
        </w:rPr>
        <w:t xml:space="preserve"> July 31, 2020 and August 2, 2019, respectively, and $136 million and $24 million for the six months ended July 31, 2020 and August 2, 2019, respectively.</w:t>
      </w:r>
    </w:p>
    <w:p w14:paraId="33DAB011" w14:textId="77777777" w:rsidR="004D6A64" w:rsidRDefault="004D6A64">
      <w:pPr>
        <w:jc w:val="both"/>
      </w:pPr>
    </w:p>
    <w:p w14:paraId="33DAB012" w14:textId="77777777" w:rsidR="004D6A64" w:rsidRDefault="004D6A64">
      <w:pPr>
        <w:jc w:val="center"/>
      </w:pPr>
    </w:p>
    <w:p w14:paraId="33DAB013" w14:textId="77777777" w:rsidR="004D6A64" w:rsidRDefault="00506CD6">
      <w:pPr>
        <w:jc w:val="center"/>
      </w:pPr>
      <w:r>
        <w:rPr>
          <w:rFonts w:ascii="Times New Roman" w:eastAsia="宋体" w:hAnsi="Times New Roman"/>
          <w:color w:val="000000"/>
          <w:sz w:val="20"/>
          <w:szCs w:val="20"/>
        </w:rPr>
        <w:t>25</w:t>
      </w:r>
    </w:p>
    <w:p w14:paraId="33DAB014" w14:textId="77777777" w:rsidR="004D6A64" w:rsidRDefault="004D6A64">
      <w:pPr>
        <w:jc w:val="center"/>
      </w:pPr>
    </w:p>
    <w:p w14:paraId="33DAB015" w14:textId="77777777" w:rsidR="004D6A64" w:rsidRDefault="00506CD6">
      <w:r>
        <w:pict w14:anchorId="33DAFADD">
          <v:rect id="_x0000_i1049" style="width:415.3pt;height:1.5pt" o:hralign="center" o:hrstd="t" o:hr="t" fillcolor="#a0a0a0" stroked="f"/>
        </w:pict>
      </w:r>
    </w:p>
    <w:p w14:paraId="33DAB016" w14:textId="77777777" w:rsidR="004D6A64" w:rsidRDefault="00506CD6">
      <w:hyperlink r:id="rId148" w:anchor="if3e0e1bf9ecd4bf69551d7a85f98d64a_10" w:history="1">
        <w:r>
          <w:rPr>
            <w:rStyle w:val="a5"/>
            <w:rFonts w:ascii="Times New Roman" w:eastAsia="宋体" w:hAnsi="Times New Roman"/>
            <w:sz w:val="20"/>
            <w:szCs w:val="20"/>
          </w:rPr>
          <w:t>Table of Contents</w:t>
        </w:r>
      </w:hyperlink>
    </w:p>
    <w:p w14:paraId="33DAB017"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B018"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33DAB019"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B01A" w14:textId="77777777" w:rsidR="004D6A64" w:rsidRDefault="004D6A64">
      <w:pPr>
        <w:jc w:val="center"/>
      </w:pPr>
    </w:p>
    <w:p w14:paraId="33DAB01B" w14:textId="77777777" w:rsidR="004D6A64" w:rsidRDefault="00506CD6">
      <w:r>
        <w:rPr>
          <w:rFonts w:ascii="Times New Roman" w:eastAsia="宋体" w:hAnsi="Times New Roman"/>
          <w:color w:val="000000"/>
          <w:sz w:val="20"/>
          <w:szCs w:val="20"/>
        </w:rPr>
        <w:t xml:space="preserve">The following table presents the future payments to be received by </w:t>
      </w:r>
      <w:r>
        <w:rPr>
          <w:rFonts w:ascii="Times New Roman" w:eastAsia="宋体" w:hAnsi="Times New Roman"/>
          <w:color w:val="000000"/>
          <w:sz w:val="20"/>
          <w:szCs w:val="20"/>
        </w:rPr>
        <w:t>the Company as lessor in operating lease contracts as of the date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6586"/>
        <w:gridCol w:w="37"/>
        <w:gridCol w:w="136"/>
        <w:gridCol w:w="1491"/>
        <w:gridCol w:w="42"/>
      </w:tblGrid>
      <w:tr w:rsidR="004D6A64" w14:paraId="33DAB022" w14:textId="77777777">
        <w:trPr>
          <w:jc w:val="center"/>
        </w:trPr>
        <w:tc>
          <w:tcPr>
            <w:tcW w:w="50" w:type="pct"/>
            <w:shd w:val="clear" w:color="auto" w:fill="auto"/>
          </w:tcPr>
          <w:p w14:paraId="33DAB01C" w14:textId="77777777" w:rsidR="004D6A64" w:rsidRDefault="004D6A64">
            <w:pPr>
              <w:rPr>
                <w:rFonts w:ascii="宋体"/>
              </w:rPr>
            </w:pPr>
          </w:p>
        </w:tc>
        <w:tc>
          <w:tcPr>
            <w:tcW w:w="3972" w:type="pct"/>
            <w:shd w:val="clear" w:color="auto" w:fill="auto"/>
          </w:tcPr>
          <w:p w14:paraId="33DAB01D" w14:textId="77777777" w:rsidR="004D6A64" w:rsidRDefault="004D6A64">
            <w:pPr>
              <w:rPr>
                <w:rFonts w:ascii="宋体"/>
              </w:rPr>
            </w:pPr>
          </w:p>
        </w:tc>
        <w:tc>
          <w:tcPr>
            <w:tcW w:w="5" w:type="pct"/>
            <w:shd w:val="clear" w:color="auto" w:fill="auto"/>
          </w:tcPr>
          <w:p w14:paraId="33DAB01E" w14:textId="77777777" w:rsidR="004D6A64" w:rsidRDefault="004D6A64">
            <w:pPr>
              <w:rPr>
                <w:rFonts w:ascii="宋体"/>
              </w:rPr>
            </w:pPr>
          </w:p>
        </w:tc>
        <w:tc>
          <w:tcPr>
            <w:tcW w:w="50" w:type="pct"/>
            <w:shd w:val="clear" w:color="auto" w:fill="auto"/>
          </w:tcPr>
          <w:p w14:paraId="33DAB01F" w14:textId="77777777" w:rsidR="004D6A64" w:rsidRDefault="004D6A64">
            <w:pPr>
              <w:rPr>
                <w:rFonts w:ascii="宋体"/>
              </w:rPr>
            </w:pPr>
          </w:p>
        </w:tc>
        <w:tc>
          <w:tcPr>
            <w:tcW w:w="917" w:type="pct"/>
            <w:shd w:val="clear" w:color="auto" w:fill="auto"/>
          </w:tcPr>
          <w:p w14:paraId="33DAB020" w14:textId="77777777" w:rsidR="004D6A64" w:rsidRDefault="004D6A64">
            <w:pPr>
              <w:rPr>
                <w:rFonts w:ascii="宋体"/>
              </w:rPr>
            </w:pPr>
          </w:p>
        </w:tc>
        <w:tc>
          <w:tcPr>
            <w:tcW w:w="5" w:type="pct"/>
            <w:shd w:val="clear" w:color="auto" w:fill="auto"/>
          </w:tcPr>
          <w:p w14:paraId="33DAB021" w14:textId="77777777" w:rsidR="004D6A64" w:rsidRDefault="004D6A64">
            <w:pPr>
              <w:rPr>
                <w:rFonts w:ascii="宋体"/>
              </w:rPr>
            </w:pPr>
          </w:p>
        </w:tc>
      </w:tr>
      <w:tr w:rsidR="004D6A64" w14:paraId="33DAB025" w14:textId="77777777">
        <w:trPr>
          <w:jc w:val="center"/>
        </w:trPr>
        <w:tc>
          <w:tcPr>
            <w:tcW w:w="0" w:type="auto"/>
            <w:gridSpan w:val="3"/>
            <w:shd w:val="clear" w:color="auto" w:fill="auto"/>
            <w:tcMar>
              <w:left w:w="20" w:type="dxa"/>
              <w:right w:w="20" w:type="dxa"/>
            </w:tcMar>
            <w:vAlign w:val="bottom"/>
          </w:tcPr>
          <w:p w14:paraId="33DAB023"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B024" w14:textId="77777777" w:rsidR="004D6A64" w:rsidRDefault="00506CD6">
            <w:pPr>
              <w:jc w:val="center"/>
              <w:textAlignment w:val="bottom"/>
            </w:pPr>
            <w:r>
              <w:rPr>
                <w:rFonts w:ascii="Times New Roman" w:eastAsia="宋体" w:hAnsi="Times New Roman"/>
                <w:b/>
                <w:bCs/>
                <w:color w:val="000000"/>
                <w:sz w:val="20"/>
                <w:szCs w:val="20"/>
              </w:rPr>
              <w:t>July 31, 2020</w:t>
            </w:r>
          </w:p>
        </w:tc>
      </w:tr>
      <w:tr w:rsidR="004D6A64" w14:paraId="33DAB028" w14:textId="77777777">
        <w:trPr>
          <w:jc w:val="center"/>
        </w:trPr>
        <w:tc>
          <w:tcPr>
            <w:tcW w:w="0" w:type="auto"/>
            <w:gridSpan w:val="3"/>
            <w:shd w:val="clear" w:color="auto" w:fill="auto"/>
            <w:tcMar>
              <w:top w:w="40" w:type="dxa"/>
              <w:left w:w="20" w:type="dxa"/>
              <w:bottom w:w="40" w:type="dxa"/>
              <w:right w:w="20" w:type="dxa"/>
            </w:tcMar>
            <w:vAlign w:val="center"/>
          </w:tcPr>
          <w:p w14:paraId="33DAB026" w14:textId="77777777" w:rsidR="004D6A64" w:rsidRDefault="00506CD6">
            <w:pPr>
              <w:textAlignment w:val="center"/>
            </w:pPr>
            <w:r>
              <w:rPr>
                <w:rFonts w:ascii="Times New Roman" w:eastAsia="宋体" w:hAnsi="Times New Roman"/>
                <w:b/>
                <w:bCs/>
                <w:color w:val="000000"/>
                <w:sz w:val="20"/>
                <w:szCs w:val="20"/>
              </w:rPr>
              <w:t>Fiscal Years</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3DAB027" w14:textId="77777777" w:rsidR="004D6A64" w:rsidRDefault="00506CD6">
            <w:pPr>
              <w:jc w:val="center"/>
              <w:textAlignment w:val="center"/>
            </w:pPr>
            <w:r>
              <w:rPr>
                <w:rFonts w:ascii="Times New Roman" w:eastAsia="宋体" w:hAnsi="Times New Roman"/>
                <w:color w:val="000000"/>
                <w:sz w:val="20"/>
                <w:szCs w:val="20"/>
              </w:rPr>
              <w:t>(in millions)</w:t>
            </w:r>
          </w:p>
        </w:tc>
      </w:tr>
      <w:tr w:rsidR="004D6A64" w14:paraId="33DAB02D" w14:textId="77777777">
        <w:trPr>
          <w:jc w:val="center"/>
        </w:trPr>
        <w:tc>
          <w:tcPr>
            <w:tcW w:w="0" w:type="auto"/>
            <w:gridSpan w:val="3"/>
            <w:shd w:val="clear" w:color="auto" w:fill="CCEEFF"/>
            <w:tcMar>
              <w:top w:w="40" w:type="dxa"/>
              <w:left w:w="20" w:type="dxa"/>
              <w:bottom w:w="40" w:type="dxa"/>
              <w:right w:w="20" w:type="dxa"/>
            </w:tcMar>
            <w:vAlign w:val="center"/>
          </w:tcPr>
          <w:p w14:paraId="33DAB029" w14:textId="77777777" w:rsidR="004D6A64" w:rsidRDefault="00506CD6">
            <w:pPr>
              <w:textAlignment w:val="center"/>
            </w:pPr>
            <w:r>
              <w:rPr>
                <w:rFonts w:ascii="Times New Roman" w:eastAsia="宋体" w:hAnsi="Times New Roman"/>
                <w:color w:val="000000"/>
                <w:sz w:val="20"/>
                <w:szCs w:val="20"/>
              </w:rPr>
              <w:t>Fiscal 2021 (remaining six months)</w:t>
            </w:r>
          </w:p>
        </w:tc>
        <w:tc>
          <w:tcPr>
            <w:tcW w:w="0" w:type="auto"/>
            <w:shd w:val="clear" w:color="auto" w:fill="CCEEFF"/>
            <w:tcMar>
              <w:top w:w="40" w:type="dxa"/>
              <w:left w:w="20" w:type="dxa"/>
              <w:bottom w:w="40" w:type="dxa"/>
            </w:tcMar>
            <w:vAlign w:val="center"/>
          </w:tcPr>
          <w:p w14:paraId="33DAB02A"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B02B" w14:textId="77777777" w:rsidR="004D6A64" w:rsidRDefault="00506CD6">
            <w:pPr>
              <w:jc w:val="right"/>
              <w:textAlignment w:val="center"/>
            </w:pPr>
            <w:r>
              <w:rPr>
                <w:rFonts w:ascii="Times New Roman" w:eastAsia="宋体" w:hAnsi="Times New Roman"/>
                <w:color w:val="000000"/>
                <w:sz w:val="20"/>
                <w:szCs w:val="20"/>
              </w:rPr>
              <w:t>258 </w:t>
            </w:r>
          </w:p>
        </w:tc>
        <w:tc>
          <w:tcPr>
            <w:tcW w:w="0" w:type="auto"/>
            <w:shd w:val="clear" w:color="auto" w:fill="CCEEFF"/>
            <w:tcMar>
              <w:top w:w="40" w:type="dxa"/>
              <w:bottom w:w="40" w:type="dxa"/>
              <w:right w:w="20" w:type="dxa"/>
            </w:tcMar>
            <w:vAlign w:val="center"/>
          </w:tcPr>
          <w:p w14:paraId="33DAB02C" w14:textId="77777777" w:rsidR="004D6A64" w:rsidRDefault="004D6A64">
            <w:pPr>
              <w:jc w:val="right"/>
              <w:rPr>
                <w:rFonts w:ascii="宋体"/>
              </w:rPr>
            </w:pPr>
          </w:p>
        </w:tc>
      </w:tr>
      <w:tr w:rsidR="004D6A64" w14:paraId="33DAB031" w14:textId="77777777">
        <w:trPr>
          <w:jc w:val="center"/>
        </w:trPr>
        <w:tc>
          <w:tcPr>
            <w:tcW w:w="0" w:type="auto"/>
            <w:gridSpan w:val="3"/>
            <w:shd w:val="clear" w:color="auto" w:fill="FFFFFF"/>
            <w:tcMar>
              <w:top w:w="40" w:type="dxa"/>
              <w:left w:w="20" w:type="dxa"/>
              <w:bottom w:w="40" w:type="dxa"/>
              <w:right w:w="20" w:type="dxa"/>
            </w:tcMar>
            <w:vAlign w:val="center"/>
          </w:tcPr>
          <w:p w14:paraId="33DAB02E" w14:textId="77777777" w:rsidR="004D6A64" w:rsidRDefault="00506CD6">
            <w:pPr>
              <w:textAlignment w:val="center"/>
            </w:pPr>
            <w:r>
              <w:rPr>
                <w:rFonts w:ascii="Times New Roman" w:eastAsia="宋体" w:hAnsi="Times New Roman"/>
                <w:color w:val="000000"/>
                <w:sz w:val="20"/>
                <w:szCs w:val="20"/>
              </w:rPr>
              <w:t>Fiscal 2022</w:t>
            </w:r>
          </w:p>
        </w:tc>
        <w:tc>
          <w:tcPr>
            <w:tcW w:w="0" w:type="auto"/>
            <w:gridSpan w:val="2"/>
            <w:shd w:val="clear" w:color="auto" w:fill="FFFFFF"/>
            <w:tcMar>
              <w:top w:w="40" w:type="dxa"/>
              <w:left w:w="20" w:type="dxa"/>
              <w:bottom w:w="40" w:type="dxa"/>
              <w:right w:w="0" w:type="dxa"/>
            </w:tcMar>
            <w:vAlign w:val="center"/>
          </w:tcPr>
          <w:p w14:paraId="33DAB02F" w14:textId="77777777" w:rsidR="004D6A64" w:rsidRDefault="00506CD6">
            <w:pPr>
              <w:jc w:val="right"/>
              <w:textAlignment w:val="center"/>
            </w:pPr>
            <w:r>
              <w:rPr>
                <w:rFonts w:ascii="Times New Roman" w:eastAsia="宋体" w:hAnsi="Times New Roman"/>
                <w:color w:val="000000"/>
                <w:sz w:val="20"/>
                <w:szCs w:val="20"/>
              </w:rPr>
              <w:t>461 </w:t>
            </w:r>
          </w:p>
        </w:tc>
        <w:tc>
          <w:tcPr>
            <w:tcW w:w="0" w:type="auto"/>
            <w:shd w:val="clear" w:color="auto" w:fill="FFFFFF"/>
            <w:tcMar>
              <w:top w:w="40" w:type="dxa"/>
              <w:bottom w:w="40" w:type="dxa"/>
              <w:right w:w="20" w:type="dxa"/>
            </w:tcMar>
            <w:vAlign w:val="center"/>
          </w:tcPr>
          <w:p w14:paraId="33DAB030" w14:textId="77777777" w:rsidR="004D6A64" w:rsidRDefault="004D6A64">
            <w:pPr>
              <w:jc w:val="right"/>
              <w:rPr>
                <w:rFonts w:ascii="宋体"/>
              </w:rPr>
            </w:pPr>
          </w:p>
        </w:tc>
      </w:tr>
      <w:tr w:rsidR="004D6A64" w14:paraId="33DAB035" w14:textId="77777777">
        <w:trPr>
          <w:jc w:val="center"/>
        </w:trPr>
        <w:tc>
          <w:tcPr>
            <w:tcW w:w="0" w:type="auto"/>
            <w:gridSpan w:val="3"/>
            <w:shd w:val="clear" w:color="auto" w:fill="CCEEFF"/>
            <w:tcMar>
              <w:top w:w="40" w:type="dxa"/>
              <w:left w:w="20" w:type="dxa"/>
              <w:bottom w:w="40" w:type="dxa"/>
              <w:right w:w="20" w:type="dxa"/>
            </w:tcMar>
            <w:vAlign w:val="center"/>
          </w:tcPr>
          <w:p w14:paraId="33DAB032" w14:textId="77777777" w:rsidR="004D6A64" w:rsidRDefault="00506CD6">
            <w:pPr>
              <w:textAlignment w:val="center"/>
            </w:pPr>
            <w:r>
              <w:rPr>
                <w:rFonts w:ascii="Times New Roman" w:eastAsia="宋体" w:hAnsi="Times New Roman"/>
                <w:color w:val="000000"/>
                <w:sz w:val="20"/>
                <w:szCs w:val="20"/>
              </w:rPr>
              <w:t>Fiscal 2023</w:t>
            </w:r>
          </w:p>
        </w:tc>
        <w:tc>
          <w:tcPr>
            <w:tcW w:w="0" w:type="auto"/>
            <w:gridSpan w:val="2"/>
            <w:shd w:val="clear" w:color="auto" w:fill="CCEEFF"/>
            <w:tcMar>
              <w:top w:w="40" w:type="dxa"/>
              <w:left w:w="20" w:type="dxa"/>
              <w:bottom w:w="40" w:type="dxa"/>
              <w:right w:w="0" w:type="dxa"/>
            </w:tcMar>
            <w:vAlign w:val="center"/>
          </w:tcPr>
          <w:p w14:paraId="33DAB033" w14:textId="77777777" w:rsidR="004D6A64" w:rsidRDefault="00506CD6">
            <w:pPr>
              <w:jc w:val="right"/>
              <w:textAlignment w:val="center"/>
            </w:pPr>
            <w:r>
              <w:rPr>
                <w:rFonts w:ascii="Times New Roman" w:eastAsia="宋体" w:hAnsi="Times New Roman"/>
                <w:color w:val="000000"/>
                <w:sz w:val="20"/>
                <w:szCs w:val="20"/>
              </w:rPr>
              <w:t>351 </w:t>
            </w:r>
          </w:p>
        </w:tc>
        <w:tc>
          <w:tcPr>
            <w:tcW w:w="0" w:type="auto"/>
            <w:shd w:val="clear" w:color="auto" w:fill="CCEEFF"/>
            <w:tcMar>
              <w:top w:w="40" w:type="dxa"/>
              <w:bottom w:w="40" w:type="dxa"/>
              <w:right w:w="20" w:type="dxa"/>
            </w:tcMar>
            <w:vAlign w:val="center"/>
          </w:tcPr>
          <w:p w14:paraId="33DAB034" w14:textId="77777777" w:rsidR="004D6A64" w:rsidRDefault="004D6A64">
            <w:pPr>
              <w:jc w:val="right"/>
              <w:rPr>
                <w:rFonts w:ascii="宋体"/>
              </w:rPr>
            </w:pPr>
          </w:p>
        </w:tc>
      </w:tr>
      <w:tr w:rsidR="004D6A64" w14:paraId="33DAB039" w14:textId="77777777">
        <w:trPr>
          <w:jc w:val="center"/>
        </w:trPr>
        <w:tc>
          <w:tcPr>
            <w:tcW w:w="0" w:type="auto"/>
            <w:gridSpan w:val="3"/>
            <w:shd w:val="clear" w:color="auto" w:fill="FFFFFF"/>
            <w:tcMar>
              <w:top w:w="40" w:type="dxa"/>
              <w:left w:w="20" w:type="dxa"/>
              <w:bottom w:w="40" w:type="dxa"/>
              <w:right w:w="20" w:type="dxa"/>
            </w:tcMar>
            <w:vAlign w:val="center"/>
          </w:tcPr>
          <w:p w14:paraId="33DAB036" w14:textId="77777777" w:rsidR="004D6A64" w:rsidRDefault="00506CD6">
            <w:pPr>
              <w:textAlignment w:val="center"/>
            </w:pPr>
            <w:r>
              <w:rPr>
                <w:rFonts w:ascii="Times New Roman" w:eastAsia="宋体" w:hAnsi="Times New Roman"/>
                <w:color w:val="000000"/>
                <w:sz w:val="20"/>
                <w:szCs w:val="20"/>
              </w:rPr>
              <w:t>Fiscal 2024</w:t>
            </w:r>
          </w:p>
        </w:tc>
        <w:tc>
          <w:tcPr>
            <w:tcW w:w="0" w:type="auto"/>
            <w:gridSpan w:val="2"/>
            <w:shd w:val="clear" w:color="auto" w:fill="FFFFFF"/>
            <w:tcMar>
              <w:top w:w="40" w:type="dxa"/>
              <w:left w:w="20" w:type="dxa"/>
              <w:bottom w:w="40" w:type="dxa"/>
              <w:right w:w="0" w:type="dxa"/>
            </w:tcMar>
            <w:vAlign w:val="center"/>
          </w:tcPr>
          <w:p w14:paraId="33DAB037" w14:textId="77777777" w:rsidR="004D6A64" w:rsidRDefault="00506CD6">
            <w:pPr>
              <w:jc w:val="right"/>
              <w:textAlignment w:val="center"/>
            </w:pPr>
            <w:r>
              <w:rPr>
                <w:rFonts w:ascii="Times New Roman" w:eastAsia="宋体" w:hAnsi="Times New Roman"/>
                <w:color w:val="000000"/>
                <w:sz w:val="20"/>
                <w:szCs w:val="20"/>
              </w:rPr>
              <w:t>89 </w:t>
            </w:r>
          </w:p>
        </w:tc>
        <w:tc>
          <w:tcPr>
            <w:tcW w:w="0" w:type="auto"/>
            <w:shd w:val="clear" w:color="auto" w:fill="FFFFFF"/>
            <w:tcMar>
              <w:top w:w="40" w:type="dxa"/>
              <w:bottom w:w="40" w:type="dxa"/>
              <w:right w:w="20" w:type="dxa"/>
            </w:tcMar>
            <w:vAlign w:val="center"/>
          </w:tcPr>
          <w:p w14:paraId="33DAB038" w14:textId="77777777" w:rsidR="004D6A64" w:rsidRDefault="004D6A64">
            <w:pPr>
              <w:jc w:val="right"/>
              <w:rPr>
                <w:rFonts w:ascii="宋体"/>
              </w:rPr>
            </w:pPr>
          </w:p>
        </w:tc>
      </w:tr>
      <w:tr w:rsidR="004D6A64" w14:paraId="33DAB03D" w14:textId="77777777">
        <w:trPr>
          <w:jc w:val="center"/>
        </w:trPr>
        <w:tc>
          <w:tcPr>
            <w:tcW w:w="0" w:type="auto"/>
            <w:gridSpan w:val="3"/>
            <w:shd w:val="clear" w:color="auto" w:fill="CCEEFF"/>
            <w:tcMar>
              <w:top w:w="40" w:type="dxa"/>
              <w:left w:w="20" w:type="dxa"/>
              <w:bottom w:w="40" w:type="dxa"/>
              <w:right w:w="20" w:type="dxa"/>
            </w:tcMar>
            <w:vAlign w:val="center"/>
          </w:tcPr>
          <w:p w14:paraId="33DAB03A" w14:textId="77777777" w:rsidR="004D6A64" w:rsidRDefault="00506CD6">
            <w:pPr>
              <w:textAlignment w:val="center"/>
            </w:pPr>
            <w:r>
              <w:rPr>
                <w:rFonts w:ascii="Times New Roman" w:eastAsia="宋体" w:hAnsi="Times New Roman"/>
                <w:color w:val="000000"/>
                <w:sz w:val="20"/>
                <w:szCs w:val="20"/>
              </w:rPr>
              <w:t>Fiscal 2025 and beyond</w:t>
            </w:r>
          </w:p>
        </w:tc>
        <w:tc>
          <w:tcPr>
            <w:tcW w:w="0" w:type="auto"/>
            <w:gridSpan w:val="2"/>
            <w:shd w:val="clear" w:color="auto" w:fill="CCEEFF"/>
            <w:tcMar>
              <w:top w:w="40" w:type="dxa"/>
              <w:left w:w="20" w:type="dxa"/>
              <w:bottom w:w="40" w:type="dxa"/>
              <w:right w:w="0" w:type="dxa"/>
            </w:tcMar>
            <w:vAlign w:val="center"/>
          </w:tcPr>
          <w:p w14:paraId="33DAB03B" w14:textId="77777777" w:rsidR="004D6A64" w:rsidRDefault="00506CD6">
            <w:pPr>
              <w:jc w:val="right"/>
              <w:textAlignment w:val="center"/>
            </w:pPr>
            <w:r>
              <w:rPr>
                <w:rFonts w:ascii="Times New Roman" w:eastAsia="宋体" w:hAnsi="Times New Roman"/>
                <w:color w:val="000000"/>
                <w:sz w:val="20"/>
                <w:szCs w:val="20"/>
              </w:rPr>
              <w:t>9 </w:t>
            </w:r>
          </w:p>
        </w:tc>
        <w:tc>
          <w:tcPr>
            <w:tcW w:w="0" w:type="auto"/>
            <w:shd w:val="clear" w:color="auto" w:fill="CCEEFF"/>
            <w:tcMar>
              <w:top w:w="40" w:type="dxa"/>
              <w:bottom w:w="40" w:type="dxa"/>
              <w:right w:w="20" w:type="dxa"/>
            </w:tcMar>
            <w:vAlign w:val="center"/>
          </w:tcPr>
          <w:p w14:paraId="33DAB03C" w14:textId="77777777" w:rsidR="004D6A64" w:rsidRDefault="004D6A64">
            <w:pPr>
              <w:jc w:val="right"/>
              <w:rPr>
                <w:rFonts w:ascii="宋体"/>
              </w:rPr>
            </w:pPr>
          </w:p>
        </w:tc>
      </w:tr>
      <w:tr w:rsidR="004D6A64" w14:paraId="33DAB042" w14:textId="77777777">
        <w:trPr>
          <w:jc w:val="center"/>
        </w:trPr>
        <w:tc>
          <w:tcPr>
            <w:tcW w:w="0" w:type="auto"/>
            <w:gridSpan w:val="3"/>
            <w:shd w:val="clear" w:color="auto" w:fill="FFFFFF"/>
            <w:tcMar>
              <w:top w:w="40" w:type="dxa"/>
              <w:left w:w="135" w:type="dxa"/>
              <w:bottom w:w="40" w:type="dxa"/>
              <w:right w:w="20" w:type="dxa"/>
            </w:tcMar>
            <w:vAlign w:val="center"/>
          </w:tcPr>
          <w:p w14:paraId="33DAB03E" w14:textId="77777777" w:rsidR="004D6A64" w:rsidRDefault="00506CD6">
            <w:pPr>
              <w:textAlignment w:val="center"/>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B03F"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B040" w14:textId="77777777" w:rsidR="004D6A64" w:rsidRDefault="00506CD6">
            <w:pPr>
              <w:jc w:val="right"/>
              <w:textAlignment w:val="center"/>
            </w:pPr>
            <w:r>
              <w:rPr>
                <w:rFonts w:ascii="Times New Roman" w:eastAsia="宋体" w:hAnsi="Times New Roman"/>
                <w:color w:val="000000"/>
                <w:sz w:val="20"/>
                <w:szCs w:val="20"/>
              </w:rPr>
              <w:t>1,168 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B041" w14:textId="77777777" w:rsidR="004D6A64" w:rsidRDefault="004D6A64">
            <w:pPr>
              <w:jc w:val="right"/>
              <w:rPr>
                <w:rFonts w:ascii="宋体"/>
              </w:rPr>
            </w:pPr>
          </w:p>
        </w:tc>
      </w:tr>
    </w:tbl>
    <w:p w14:paraId="33DAB043" w14:textId="77777777" w:rsidR="004D6A64" w:rsidRDefault="004D6A64"/>
    <w:p w14:paraId="33DAB044" w14:textId="77777777" w:rsidR="004D6A64" w:rsidRDefault="004D6A64">
      <w:pPr>
        <w:jc w:val="center"/>
      </w:pPr>
    </w:p>
    <w:p w14:paraId="33DAB045" w14:textId="77777777" w:rsidR="004D6A64" w:rsidRDefault="00506CD6">
      <w:pPr>
        <w:jc w:val="center"/>
      </w:pPr>
      <w:r>
        <w:rPr>
          <w:rFonts w:ascii="Times New Roman" w:eastAsia="宋体" w:hAnsi="Times New Roman"/>
          <w:color w:val="000000"/>
          <w:sz w:val="20"/>
          <w:szCs w:val="20"/>
        </w:rPr>
        <w:t>26</w:t>
      </w:r>
    </w:p>
    <w:p w14:paraId="33DAB046" w14:textId="77777777" w:rsidR="004D6A64" w:rsidRDefault="004D6A64">
      <w:pPr>
        <w:jc w:val="center"/>
      </w:pPr>
    </w:p>
    <w:p w14:paraId="33DAB047" w14:textId="77777777" w:rsidR="004D6A64" w:rsidRDefault="00506CD6">
      <w:r>
        <w:pict w14:anchorId="33DAFADE">
          <v:rect id="_x0000_i1050" style="width:415.3pt;height:1.5pt" o:hralign="center" o:hrstd="t" o:hr="t" fillcolor="#a0a0a0" stroked="f"/>
        </w:pict>
      </w:r>
    </w:p>
    <w:p w14:paraId="33DAB048" w14:textId="77777777" w:rsidR="004D6A64" w:rsidRDefault="00506CD6">
      <w:hyperlink r:id="rId149" w:anchor="if3e0e1bf9ecd4bf69551d7a85f98d64a_10" w:history="1">
        <w:r>
          <w:rPr>
            <w:rStyle w:val="a5"/>
            <w:rFonts w:ascii="Times New Roman" w:eastAsia="宋体" w:hAnsi="Times New Roman"/>
            <w:sz w:val="20"/>
            <w:szCs w:val="20"/>
          </w:rPr>
          <w:t>Table of Contents</w:t>
        </w:r>
      </w:hyperlink>
    </w:p>
    <w:p w14:paraId="33DAB049"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B04A"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33DAB04B"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B04C" w14:textId="77777777" w:rsidR="004D6A64" w:rsidRDefault="004D6A64">
      <w:pPr>
        <w:jc w:val="center"/>
      </w:pPr>
    </w:p>
    <w:p w14:paraId="33DAB04D" w14:textId="77777777" w:rsidR="004D6A64" w:rsidRDefault="00506CD6">
      <w:pPr>
        <w:jc w:val="both"/>
      </w:pPr>
      <w:r>
        <w:rPr>
          <w:rFonts w:ascii="Times New Roman" w:eastAsia="宋体" w:hAnsi="Times New Roman"/>
          <w:b/>
          <w:bCs/>
          <w:color w:val="000000"/>
          <w:sz w:val="20"/>
          <w:szCs w:val="20"/>
        </w:rPr>
        <w:t>DFS Debt</w:t>
      </w:r>
    </w:p>
    <w:p w14:paraId="33DAB04E" w14:textId="77777777" w:rsidR="004D6A64" w:rsidRDefault="004D6A64">
      <w:pPr>
        <w:jc w:val="both"/>
      </w:pPr>
    </w:p>
    <w:p w14:paraId="33DAB04F" w14:textId="77777777" w:rsidR="004D6A64" w:rsidRDefault="00506CD6">
      <w:r>
        <w:rPr>
          <w:rFonts w:ascii="Times New Roman" w:eastAsia="宋体" w:hAnsi="Times New Roman"/>
          <w:color w:val="000000"/>
          <w:sz w:val="20"/>
          <w:szCs w:val="20"/>
        </w:rPr>
        <w:t xml:space="preserve">The Company maintains programs that facilitate the funding of leases, loans, and other alternative payment structures in the capital markets. The majority of DFS debt is non-recourse to Dell Technologies and </w:t>
      </w:r>
      <w:r>
        <w:rPr>
          <w:rFonts w:ascii="Times New Roman" w:eastAsia="宋体" w:hAnsi="Times New Roman"/>
          <w:color w:val="000000"/>
          <w:sz w:val="20"/>
          <w:szCs w:val="20"/>
        </w:rPr>
        <w:t>represents borrowings under securitization programs and structured financing programs, for which the Company’s risk of loss is limited to transferred loan and lease payments and associated equipment. The following table presents DFS debt as of the dates in</w:t>
      </w:r>
      <w:r>
        <w:rPr>
          <w:rFonts w:ascii="Times New Roman" w:eastAsia="宋体" w:hAnsi="Times New Roman"/>
          <w:color w:val="000000"/>
          <w:sz w:val="20"/>
          <w:szCs w:val="20"/>
        </w:rPr>
        <w:t>dicated. The table excludes the allocated portion of the Company’s other borrowings, which represents the additional amount considered to fund the DFS business.</w:t>
      </w:r>
    </w:p>
    <w:tbl>
      <w:tblPr>
        <w:tblW w:w="5000" w:type="pct"/>
        <w:tblCellMar>
          <w:top w:w="15" w:type="dxa"/>
          <w:left w:w="15" w:type="dxa"/>
          <w:bottom w:w="15" w:type="dxa"/>
          <w:right w:w="15" w:type="dxa"/>
        </w:tblCellMar>
        <w:tblLook w:val="04A0" w:firstRow="1" w:lastRow="0" w:firstColumn="1" w:lastColumn="0" w:noHBand="0" w:noVBand="1"/>
      </w:tblPr>
      <w:tblGrid>
        <w:gridCol w:w="40"/>
        <w:gridCol w:w="4734"/>
        <w:gridCol w:w="39"/>
        <w:gridCol w:w="135"/>
        <w:gridCol w:w="1423"/>
        <w:gridCol w:w="41"/>
        <w:gridCol w:w="36"/>
        <w:gridCol w:w="36"/>
        <w:gridCol w:w="36"/>
        <w:gridCol w:w="136"/>
        <w:gridCol w:w="1423"/>
        <w:gridCol w:w="41"/>
        <w:gridCol w:w="36"/>
        <w:gridCol w:w="36"/>
        <w:gridCol w:w="36"/>
        <w:gridCol w:w="36"/>
        <w:gridCol w:w="36"/>
        <w:gridCol w:w="36"/>
      </w:tblGrid>
      <w:tr w:rsidR="004D6A64" w14:paraId="33DAB05C" w14:textId="77777777">
        <w:trPr>
          <w:gridAfter w:val="6"/>
        </w:trPr>
        <w:tc>
          <w:tcPr>
            <w:tcW w:w="50" w:type="pct"/>
            <w:shd w:val="clear" w:color="auto" w:fill="auto"/>
          </w:tcPr>
          <w:p w14:paraId="33DAB050" w14:textId="77777777" w:rsidR="004D6A64" w:rsidRDefault="004D6A64">
            <w:pPr>
              <w:rPr>
                <w:rFonts w:ascii="宋体"/>
              </w:rPr>
            </w:pPr>
          </w:p>
        </w:tc>
        <w:tc>
          <w:tcPr>
            <w:tcW w:w="2971" w:type="pct"/>
            <w:shd w:val="clear" w:color="auto" w:fill="auto"/>
          </w:tcPr>
          <w:p w14:paraId="33DAB051" w14:textId="77777777" w:rsidR="004D6A64" w:rsidRDefault="004D6A64">
            <w:pPr>
              <w:rPr>
                <w:rFonts w:ascii="宋体"/>
              </w:rPr>
            </w:pPr>
          </w:p>
        </w:tc>
        <w:tc>
          <w:tcPr>
            <w:tcW w:w="5" w:type="pct"/>
            <w:shd w:val="clear" w:color="auto" w:fill="auto"/>
          </w:tcPr>
          <w:p w14:paraId="33DAB052" w14:textId="77777777" w:rsidR="004D6A64" w:rsidRDefault="004D6A64">
            <w:pPr>
              <w:rPr>
                <w:rFonts w:ascii="宋体"/>
              </w:rPr>
            </w:pPr>
          </w:p>
        </w:tc>
        <w:tc>
          <w:tcPr>
            <w:tcW w:w="50" w:type="pct"/>
            <w:shd w:val="clear" w:color="auto" w:fill="auto"/>
          </w:tcPr>
          <w:p w14:paraId="33DAB053" w14:textId="77777777" w:rsidR="004D6A64" w:rsidRDefault="004D6A64">
            <w:pPr>
              <w:rPr>
                <w:rFonts w:ascii="宋体"/>
              </w:rPr>
            </w:pPr>
          </w:p>
        </w:tc>
        <w:tc>
          <w:tcPr>
            <w:tcW w:w="917" w:type="pct"/>
            <w:shd w:val="clear" w:color="auto" w:fill="auto"/>
          </w:tcPr>
          <w:p w14:paraId="33DAB054" w14:textId="77777777" w:rsidR="004D6A64" w:rsidRDefault="004D6A64">
            <w:pPr>
              <w:rPr>
                <w:rFonts w:ascii="宋体"/>
              </w:rPr>
            </w:pPr>
          </w:p>
        </w:tc>
        <w:tc>
          <w:tcPr>
            <w:tcW w:w="5" w:type="pct"/>
            <w:shd w:val="clear" w:color="auto" w:fill="auto"/>
          </w:tcPr>
          <w:p w14:paraId="33DAB055" w14:textId="77777777" w:rsidR="004D6A64" w:rsidRDefault="004D6A64">
            <w:pPr>
              <w:rPr>
                <w:rFonts w:ascii="宋体"/>
              </w:rPr>
            </w:pPr>
          </w:p>
        </w:tc>
        <w:tc>
          <w:tcPr>
            <w:tcW w:w="5" w:type="pct"/>
            <w:shd w:val="clear" w:color="auto" w:fill="auto"/>
          </w:tcPr>
          <w:p w14:paraId="33DAB056" w14:textId="77777777" w:rsidR="004D6A64" w:rsidRDefault="004D6A64">
            <w:pPr>
              <w:rPr>
                <w:rFonts w:ascii="宋体"/>
              </w:rPr>
            </w:pPr>
          </w:p>
        </w:tc>
        <w:tc>
          <w:tcPr>
            <w:tcW w:w="19" w:type="pct"/>
            <w:shd w:val="clear" w:color="auto" w:fill="auto"/>
          </w:tcPr>
          <w:p w14:paraId="33DAB057" w14:textId="77777777" w:rsidR="004D6A64" w:rsidRDefault="004D6A64">
            <w:pPr>
              <w:rPr>
                <w:rFonts w:ascii="宋体"/>
              </w:rPr>
            </w:pPr>
          </w:p>
        </w:tc>
        <w:tc>
          <w:tcPr>
            <w:tcW w:w="5" w:type="pct"/>
            <w:shd w:val="clear" w:color="auto" w:fill="auto"/>
          </w:tcPr>
          <w:p w14:paraId="33DAB058" w14:textId="77777777" w:rsidR="004D6A64" w:rsidRDefault="004D6A64">
            <w:pPr>
              <w:rPr>
                <w:rFonts w:ascii="宋体"/>
              </w:rPr>
            </w:pPr>
          </w:p>
        </w:tc>
        <w:tc>
          <w:tcPr>
            <w:tcW w:w="50" w:type="pct"/>
            <w:shd w:val="clear" w:color="auto" w:fill="auto"/>
          </w:tcPr>
          <w:p w14:paraId="33DAB059" w14:textId="77777777" w:rsidR="004D6A64" w:rsidRDefault="004D6A64">
            <w:pPr>
              <w:rPr>
                <w:rFonts w:ascii="宋体"/>
              </w:rPr>
            </w:pPr>
          </w:p>
        </w:tc>
        <w:tc>
          <w:tcPr>
            <w:tcW w:w="917" w:type="pct"/>
            <w:shd w:val="clear" w:color="auto" w:fill="auto"/>
          </w:tcPr>
          <w:p w14:paraId="33DAB05A" w14:textId="77777777" w:rsidR="004D6A64" w:rsidRDefault="004D6A64">
            <w:pPr>
              <w:rPr>
                <w:rFonts w:ascii="宋体"/>
              </w:rPr>
            </w:pPr>
          </w:p>
        </w:tc>
        <w:tc>
          <w:tcPr>
            <w:tcW w:w="5" w:type="pct"/>
            <w:shd w:val="clear" w:color="auto" w:fill="auto"/>
          </w:tcPr>
          <w:p w14:paraId="33DAB05B" w14:textId="77777777" w:rsidR="004D6A64" w:rsidRDefault="004D6A64">
            <w:pPr>
              <w:rPr>
                <w:rFonts w:ascii="宋体"/>
              </w:rPr>
            </w:pPr>
          </w:p>
        </w:tc>
      </w:tr>
      <w:tr w:rsidR="004D6A64" w14:paraId="33DAB061" w14:textId="77777777">
        <w:trPr>
          <w:gridAfter w:val="6"/>
        </w:trPr>
        <w:tc>
          <w:tcPr>
            <w:tcW w:w="0" w:type="auto"/>
            <w:gridSpan w:val="3"/>
            <w:shd w:val="clear" w:color="auto" w:fill="auto"/>
            <w:tcMar>
              <w:left w:w="20" w:type="dxa"/>
              <w:right w:w="20" w:type="dxa"/>
            </w:tcMar>
            <w:vAlign w:val="bottom"/>
          </w:tcPr>
          <w:p w14:paraId="33DAB05D"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B05E"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shd w:val="clear" w:color="auto" w:fill="auto"/>
            <w:tcMar>
              <w:left w:w="20" w:type="dxa"/>
              <w:right w:w="20" w:type="dxa"/>
            </w:tcMar>
            <w:vAlign w:val="bottom"/>
          </w:tcPr>
          <w:p w14:paraId="33DAB05F" w14:textId="77777777" w:rsidR="004D6A64" w:rsidRDefault="004D6A6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3DAB060" w14:textId="77777777" w:rsidR="004D6A64" w:rsidRDefault="00506CD6">
            <w:pPr>
              <w:jc w:val="center"/>
              <w:textAlignment w:val="bottom"/>
            </w:pPr>
            <w:r>
              <w:rPr>
                <w:rFonts w:ascii="Times New Roman" w:eastAsia="宋体" w:hAnsi="Times New Roman"/>
                <w:b/>
                <w:bCs/>
                <w:color w:val="000000"/>
                <w:sz w:val="20"/>
                <w:szCs w:val="20"/>
              </w:rPr>
              <w:t>January 31, 2020</w:t>
            </w:r>
          </w:p>
        </w:tc>
      </w:tr>
      <w:tr w:rsidR="004D6A64" w14:paraId="33DAB066" w14:textId="77777777">
        <w:tc>
          <w:tcPr>
            <w:tcW w:w="0" w:type="auto"/>
            <w:gridSpan w:val="3"/>
            <w:shd w:val="clear" w:color="auto" w:fill="FFFFFF"/>
            <w:tcMar>
              <w:left w:w="20" w:type="dxa"/>
              <w:right w:w="20" w:type="dxa"/>
            </w:tcMar>
            <w:vAlign w:val="bottom"/>
          </w:tcPr>
          <w:p w14:paraId="33DAB062" w14:textId="77777777" w:rsidR="004D6A64" w:rsidRDefault="004D6A6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33DAB063" w14:textId="77777777" w:rsidR="004D6A64" w:rsidRDefault="00506CD6">
            <w:pPr>
              <w:jc w:val="center"/>
              <w:textAlignment w:val="center"/>
            </w:pPr>
            <w:r>
              <w:rPr>
                <w:rFonts w:ascii="Times New Roman" w:eastAsia="宋体" w:hAnsi="Times New Roman"/>
                <w:color w:val="000000"/>
                <w:sz w:val="20"/>
                <w:szCs w:val="20"/>
              </w:rPr>
              <w:t>(in millions)</w:t>
            </w:r>
          </w:p>
        </w:tc>
        <w:tc>
          <w:tcPr>
            <w:tcW w:w="0" w:type="auto"/>
            <w:gridSpan w:val="3"/>
            <w:shd w:val="clear" w:color="auto" w:fill="auto"/>
          </w:tcPr>
          <w:p w14:paraId="33DAB064" w14:textId="77777777" w:rsidR="004D6A64" w:rsidRDefault="004D6A64">
            <w:pPr>
              <w:rPr>
                <w:rFonts w:ascii="宋体"/>
                <w:vanish/>
              </w:rPr>
            </w:pPr>
          </w:p>
        </w:tc>
        <w:tc>
          <w:tcPr>
            <w:tcW w:w="0" w:type="auto"/>
            <w:gridSpan w:val="3"/>
            <w:shd w:val="clear" w:color="auto" w:fill="auto"/>
          </w:tcPr>
          <w:p w14:paraId="33DAB065" w14:textId="77777777" w:rsidR="004D6A64" w:rsidRDefault="004D6A64">
            <w:pPr>
              <w:rPr>
                <w:rFonts w:ascii="宋体"/>
                <w:vanish/>
              </w:rPr>
            </w:pPr>
          </w:p>
        </w:tc>
      </w:tr>
      <w:tr w:rsidR="004D6A64" w14:paraId="33DAB071" w14:textId="77777777">
        <w:tc>
          <w:tcPr>
            <w:tcW w:w="0" w:type="auto"/>
            <w:gridSpan w:val="3"/>
            <w:shd w:val="clear" w:color="auto" w:fill="CCEEFF"/>
            <w:tcMar>
              <w:top w:w="40" w:type="dxa"/>
              <w:left w:w="20" w:type="dxa"/>
              <w:bottom w:w="40" w:type="dxa"/>
              <w:right w:w="20" w:type="dxa"/>
            </w:tcMar>
            <w:vAlign w:val="center"/>
          </w:tcPr>
          <w:p w14:paraId="33DAB067" w14:textId="77777777" w:rsidR="004D6A64" w:rsidRDefault="00506CD6">
            <w:pPr>
              <w:textAlignment w:val="center"/>
            </w:pPr>
            <w:r>
              <w:rPr>
                <w:rFonts w:ascii="Times New Roman" w:eastAsia="宋体" w:hAnsi="Times New Roman"/>
                <w:i/>
                <w:iCs/>
                <w:color w:val="000000"/>
                <w:sz w:val="20"/>
                <w:szCs w:val="20"/>
              </w:rPr>
              <w:t>DFS U.S. debt:</w:t>
            </w:r>
          </w:p>
        </w:tc>
        <w:tc>
          <w:tcPr>
            <w:tcW w:w="0" w:type="auto"/>
            <w:gridSpan w:val="3"/>
            <w:shd w:val="clear" w:color="auto" w:fill="CCEEFF"/>
            <w:tcMar>
              <w:left w:w="20" w:type="dxa"/>
              <w:right w:w="20" w:type="dxa"/>
            </w:tcMar>
            <w:vAlign w:val="bottom"/>
          </w:tcPr>
          <w:p w14:paraId="33DAB068"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069"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06A" w14:textId="77777777" w:rsidR="004D6A64" w:rsidRDefault="004D6A64">
            <w:pPr>
              <w:rPr>
                <w:rFonts w:ascii="宋体"/>
              </w:rPr>
            </w:pPr>
          </w:p>
        </w:tc>
        <w:tc>
          <w:tcPr>
            <w:tcW w:w="0" w:type="auto"/>
            <w:shd w:val="clear" w:color="auto" w:fill="auto"/>
          </w:tcPr>
          <w:p w14:paraId="33DAB06B" w14:textId="77777777" w:rsidR="004D6A64" w:rsidRDefault="004D6A64">
            <w:pPr>
              <w:rPr>
                <w:rFonts w:ascii="宋体"/>
              </w:rPr>
            </w:pPr>
          </w:p>
        </w:tc>
        <w:tc>
          <w:tcPr>
            <w:tcW w:w="0" w:type="auto"/>
            <w:shd w:val="clear" w:color="auto" w:fill="auto"/>
          </w:tcPr>
          <w:p w14:paraId="33DAB06C" w14:textId="77777777" w:rsidR="004D6A64" w:rsidRDefault="004D6A64">
            <w:pPr>
              <w:rPr>
                <w:rFonts w:ascii="宋体"/>
              </w:rPr>
            </w:pPr>
          </w:p>
        </w:tc>
        <w:tc>
          <w:tcPr>
            <w:tcW w:w="0" w:type="auto"/>
            <w:shd w:val="clear" w:color="auto" w:fill="auto"/>
          </w:tcPr>
          <w:p w14:paraId="33DAB06D" w14:textId="77777777" w:rsidR="004D6A64" w:rsidRDefault="004D6A64">
            <w:pPr>
              <w:rPr>
                <w:rFonts w:ascii="宋体"/>
              </w:rPr>
            </w:pPr>
          </w:p>
        </w:tc>
        <w:tc>
          <w:tcPr>
            <w:tcW w:w="0" w:type="auto"/>
            <w:shd w:val="clear" w:color="auto" w:fill="auto"/>
          </w:tcPr>
          <w:p w14:paraId="33DAB06E" w14:textId="77777777" w:rsidR="004D6A64" w:rsidRDefault="004D6A64">
            <w:pPr>
              <w:rPr>
                <w:rFonts w:ascii="宋体"/>
              </w:rPr>
            </w:pPr>
          </w:p>
        </w:tc>
        <w:tc>
          <w:tcPr>
            <w:tcW w:w="0" w:type="auto"/>
            <w:shd w:val="clear" w:color="auto" w:fill="auto"/>
          </w:tcPr>
          <w:p w14:paraId="33DAB06F" w14:textId="77777777" w:rsidR="004D6A64" w:rsidRDefault="004D6A64">
            <w:pPr>
              <w:rPr>
                <w:rFonts w:ascii="宋体"/>
              </w:rPr>
            </w:pPr>
          </w:p>
        </w:tc>
        <w:tc>
          <w:tcPr>
            <w:tcW w:w="0" w:type="auto"/>
            <w:shd w:val="clear" w:color="auto" w:fill="auto"/>
          </w:tcPr>
          <w:p w14:paraId="33DAB070" w14:textId="77777777" w:rsidR="004D6A64" w:rsidRDefault="004D6A64">
            <w:pPr>
              <w:rPr>
                <w:rFonts w:ascii="宋体"/>
              </w:rPr>
            </w:pPr>
          </w:p>
        </w:tc>
      </w:tr>
      <w:tr w:rsidR="004D6A64" w14:paraId="33DAB080" w14:textId="77777777">
        <w:tc>
          <w:tcPr>
            <w:tcW w:w="0" w:type="auto"/>
            <w:gridSpan w:val="3"/>
            <w:shd w:val="clear" w:color="auto" w:fill="FFFFFF"/>
            <w:tcMar>
              <w:top w:w="40" w:type="dxa"/>
              <w:left w:w="135" w:type="dxa"/>
              <w:bottom w:w="40" w:type="dxa"/>
              <w:right w:w="20" w:type="dxa"/>
            </w:tcMar>
            <w:vAlign w:val="center"/>
          </w:tcPr>
          <w:p w14:paraId="33DAB072" w14:textId="77777777" w:rsidR="004D6A64" w:rsidRDefault="00506CD6">
            <w:pPr>
              <w:textAlignment w:val="center"/>
            </w:pPr>
            <w:r>
              <w:rPr>
                <w:rFonts w:ascii="Times New Roman" w:eastAsia="宋体" w:hAnsi="Times New Roman"/>
                <w:color w:val="000000"/>
                <w:sz w:val="20"/>
                <w:szCs w:val="20"/>
              </w:rPr>
              <w:t>Asset-based financing and securitization facilities</w:t>
            </w:r>
          </w:p>
        </w:tc>
        <w:tc>
          <w:tcPr>
            <w:tcW w:w="0" w:type="auto"/>
            <w:shd w:val="clear" w:color="auto" w:fill="FFFFFF"/>
            <w:tcMar>
              <w:top w:w="40" w:type="dxa"/>
              <w:left w:w="20" w:type="dxa"/>
              <w:bottom w:w="40" w:type="dxa"/>
            </w:tcMar>
            <w:vAlign w:val="center"/>
          </w:tcPr>
          <w:p w14:paraId="33DAB073"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B074" w14:textId="77777777" w:rsidR="004D6A64" w:rsidRDefault="00506CD6">
            <w:pPr>
              <w:jc w:val="right"/>
              <w:textAlignment w:val="center"/>
            </w:pPr>
            <w:r>
              <w:rPr>
                <w:rFonts w:ascii="Times New Roman" w:eastAsia="宋体" w:hAnsi="Times New Roman"/>
                <w:color w:val="000000"/>
                <w:sz w:val="20"/>
                <w:szCs w:val="20"/>
              </w:rPr>
              <w:t>2,936 </w:t>
            </w:r>
          </w:p>
        </w:tc>
        <w:tc>
          <w:tcPr>
            <w:tcW w:w="0" w:type="auto"/>
            <w:shd w:val="clear" w:color="auto" w:fill="FFFFFF"/>
            <w:tcMar>
              <w:top w:w="40" w:type="dxa"/>
              <w:bottom w:w="40" w:type="dxa"/>
              <w:right w:w="20" w:type="dxa"/>
            </w:tcMar>
            <w:vAlign w:val="center"/>
          </w:tcPr>
          <w:p w14:paraId="33DAB07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076"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B077"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B078" w14:textId="77777777" w:rsidR="004D6A64" w:rsidRDefault="00506CD6">
            <w:pPr>
              <w:jc w:val="right"/>
              <w:textAlignment w:val="center"/>
            </w:pPr>
            <w:r>
              <w:rPr>
                <w:rFonts w:ascii="Times New Roman" w:eastAsia="宋体" w:hAnsi="Times New Roman"/>
                <w:color w:val="000000"/>
                <w:sz w:val="20"/>
                <w:szCs w:val="20"/>
              </w:rPr>
              <w:t>2,606 </w:t>
            </w:r>
          </w:p>
        </w:tc>
        <w:tc>
          <w:tcPr>
            <w:tcW w:w="0" w:type="auto"/>
            <w:shd w:val="clear" w:color="auto" w:fill="FFFFFF"/>
            <w:tcMar>
              <w:top w:w="40" w:type="dxa"/>
              <w:bottom w:w="40" w:type="dxa"/>
              <w:right w:w="20" w:type="dxa"/>
            </w:tcMar>
            <w:vAlign w:val="center"/>
          </w:tcPr>
          <w:p w14:paraId="33DAB079" w14:textId="77777777" w:rsidR="004D6A64" w:rsidRDefault="004D6A64">
            <w:pPr>
              <w:jc w:val="right"/>
              <w:rPr>
                <w:rFonts w:ascii="宋体"/>
              </w:rPr>
            </w:pPr>
          </w:p>
        </w:tc>
        <w:tc>
          <w:tcPr>
            <w:tcW w:w="0" w:type="auto"/>
            <w:shd w:val="clear" w:color="auto" w:fill="auto"/>
          </w:tcPr>
          <w:p w14:paraId="33DAB07A" w14:textId="77777777" w:rsidR="004D6A64" w:rsidRDefault="004D6A64">
            <w:pPr>
              <w:rPr>
                <w:rFonts w:ascii="宋体"/>
              </w:rPr>
            </w:pPr>
          </w:p>
        </w:tc>
        <w:tc>
          <w:tcPr>
            <w:tcW w:w="0" w:type="auto"/>
            <w:shd w:val="clear" w:color="auto" w:fill="auto"/>
          </w:tcPr>
          <w:p w14:paraId="33DAB07B" w14:textId="77777777" w:rsidR="004D6A64" w:rsidRDefault="004D6A64">
            <w:pPr>
              <w:rPr>
                <w:rFonts w:ascii="宋体"/>
              </w:rPr>
            </w:pPr>
          </w:p>
        </w:tc>
        <w:tc>
          <w:tcPr>
            <w:tcW w:w="0" w:type="auto"/>
            <w:shd w:val="clear" w:color="auto" w:fill="auto"/>
          </w:tcPr>
          <w:p w14:paraId="33DAB07C" w14:textId="77777777" w:rsidR="004D6A64" w:rsidRDefault="004D6A64">
            <w:pPr>
              <w:rPr>
                <w:rFonts w:ascii="宋体"/>
              </w:rPr>
            </w:pPr>
          </w:p>
        </w:tc>
        <w:tc>
          <w:tcPr>
            <w:tcW w:w="0" w:type="auto"/>
            <w:shd w:val="clear" w:color="auto" w:fill="auto"/>
          </w:tcPr>
          <w:p w14:paraId="33DAB07D" w14:textId="77777777" w:rsidR="004D6A64" w:rsidRDefault="004D6A64">
            <w:pPr>
              <w:rPr>
                <w:rFonts w:ascii="宋体"/>
              </w:rPr>
            </w:pPr>
          </w:p>
        </w:tc>
        <w:tc>
          <w:tcPr>
            <w:tcW w:w="0" w:type="auto"/>
            <w:shd w:val="clear" w:color="auto" w:fill="auto"/>
          </w:tcPr>
          <w:p w14:paraId="33DAB07E" w14:textId="77777777" w:rsidR="004D6A64" w:rsidRDefault="004D6A64">
            <w:pPr>
              <w:rPr>
                <w:rFonts w:ascii="宋体"/>
              </w:rPr>
            </w:pPr>
          </w:p>
        </w:tc>
        <w:tc>
          <w:tcPr>
            <w:tcW w:w="0" w:type="auto"/>
            <w:shd w:val="clear" w:color="auto" w:fill="auto"/>
          </w:tcPr>
          <w:p w14:paraId="33DAB07F" w14:textId="77777777" w:rsidR="004D6A64" w:rsidRDefault="004D6A64">
            <w:pPr>
              <w:rPr>
                <w:rFonts w:ascii="宋体"/>
              </w:rPr>
            </w:pPr>
          </w:p>
        </w:tc>
      </w:tr>
      <w:tr w:rsidR="004D6A64" w14:paraId="33DAB08D" w14:textId="77777777">
        <w:tc>
          <w:tcPr>
            <w:tcW w:w="0" w:type="auto"/>
            <w:gridSpan w:val="3"/>
            <w:shd w:val="clear" w:color="auto" w:fill="CCEEFF"/>
            <w:tcMar>
              <w:top w:w="40" w:type="dxa"/>
              <w:left w:w="135" w:type="dxa"/>
              <w:bottom w:w="40" w:type="dxa"/>
              <w:right w:w="20" w:type="dxa"/>
            </w:tcMar>
            <w:vAlign w:val="center"/>
          </w:tcPr>
          <w:p w14:paraId="33DAB081" w14:textId="77777777" w:rsidR="004D6A64" w:rsidRDefault="00506CD6">
            <w:pPr>
              <w:textAlignment w:val="center"/>
            </w:pPr>
            <w:r>
              <w:rPr>
                <w:rFonts w:ascii="Times New Roman" w:eastAsia="宋体" w:hAnsi="Times New Roman"/>
                <w:color w:val="000000"/>
                <w:sz w:val="20"/>
                <w:szCs w:val="20"/>
              </w:rPr>
              <w:t xml:space="preserve">Fixed-term securitization offerings </w:t>
            </w:r>
          </w:p>
        </w:tc>
        <w:tc>
          <w:tcPr>
            <w:tcW w:w="0" w:type="auto"/>
            <w:gridSpan w:val="2"/>
            <w:shd w:val="clear" w:color="auto" w:fill="CCEEFF"/>
            <w:tcMar>
              <w:top w:w="40" w:type="dxa"/>
              <w:left w:w="20" w:type="dxa"/>
              <w:bottom w:w="40" w:type="dxa"/>
              <w:right w:w="0" w:type="dxa"/>
            </w:tcMar>
            <w:vAlign w:val="center"/>
          </w:tcPr>
          <w:p w14:paraId="33DAB082" w14:textId="77777777" w:rsidR="004D6A64" w:rsidRDefault="00506CD6">
            <w:pPr>
              <w:jc w:val="right"/>
              <w:textAlignment w:val="center"/>
            </w:pPr>
            <w:r>
              <w:rPr>
                <w:rFonts w:ascii="Times New Roman" w:eastAsia="宋体" w:hAnsi="Times New Roman"/>
                <w:color w:val="000000"/>
                <w:sz w:val="20"/>
                <w:szCs w:val="20"/>
              </w:rPr>
              <w:t>2,788 </w:t>
            </w:r>
          </w:p>
        </w:tc>
        <w:tc>
          <w:tcPr>
            <w:tcW w:w="0" w:type="auto"/>
            <w:shd w:val="clear" w:color="auto" w:fill="CCEEFF"/>
            <w:tcMar>
              <w:top w:w="40" w:type="dxa"/>
              <w:bottom w:w="40" w:type="dxa"/>
              <w:right w:w="20" w:type="dxa"/>
            </w:tcMar>
            <w:vAlign w:val="center"/>
          </w:tcPr>
          <w:p w14:paraId="33DAB08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084"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B085" w14:textId="77777777" w:rsidR="004D6A64" w:rsidRDefault="00506CD6">
            <w:pPr>
              <w:jc w:val="right"/>
              <w:textAlignment w:val="center"/>
            </w:pPr>
            <w:r>
              <w:rPr>
                <w:rFonts w:ascii="Times New Roman" w:eastAsia="宋体" w:hAnsi="Times New Roman"/>
                <w:color w:val="000000"/>
                <w:sz w:val="20"/>
                <w:szCs w:val="20"/>
              </w:rPr>
              <w:t>2,593 </w:t>
            </w:r>
          </w:p>
        </w:tc>
        <w:tc>
          <w:tcPr>
            <w:tcW w:w="0" w:type="auto"/>
            <w:shd w:val="clear" w:color="auto" w:fill="CCEEFF"/>
            <w:tcMar>
              <w:top w:w="40" w:type="dxa"/>
              <w:bottom w:w="40" w:type="dxa"/>
              <w:right w:w="20" w:type="dxa"/>
            </w:tcMar>
            <w:vAlign w:val="center"/>
          </w:tcPr>
          <w:p w14:paraId="33DAB086" w14:textId="77777777" w:rsidR="004D6A64" w:rsidRDefault="004D6A64">
            <w:pPr>
              <w:jc w:val="right"/>
              <w:rPr>
                <w:rFonts w:ascii="宋体"/>
              </w:rPr>
            </w:pPr>
          </w:p>
        </w:tc>
        <w:tc>
          <w:tcPr>
            <w:tcW w:w="0" w:type="auto"/>
            <w:shd w:val="clear" w:color="auto" w:fill="auto"/>
          </w:tcPr>
          <w:p w14:paraId="33DAB087" w14:textId="77777777" w:rsidR="004D6A64" w:rsidRDefault="004D6A64">
            <w:pPr>
              <w:rPr>
                <w:rFonts w:ascii="宋体"/>
              </w:rPr>
            </w:pPr>
          </w:p>
        </w:tc>
        <w:tc>
          <w:tcPr>
            <w:tcW w:w="0" w:type="auto"/>
            <w:shd w:val="clear" w:color="auto" w:fill="auto"/>
          </w:tcPr>
          <w:p w14:paraId="33DAB088" w14:textId="77777777" w:rsidR="004D6A64" w:rsidRDefault="004D6A64">
            <w:pPr>
              <w:rPr>
                <w:rFonts w:ascii="宋体"/>
              </w:rPr>
            </w:pPr>
          </w:p>
        </w:tc>
        <w:tc>
          <w:tcPr>
            <w:tcW w:w="0" w:type="auto"/>
            <w:shd w:val="clear" w:color="auto" w:fill="auto"/>
          </w:tcPr>
          <w:p w14:paraId="33DAB089" w14:textId="77777777" w:rsidR="004D6A64" w:rsidRDefault="004D6A64">
            <w:pPr>
              <w:rPr>
                <w:rFonts w:ascii="宋体"/>
              </w:rPr>
            </w:pPr>
          </w:p>
        </w:tc>
        <w:tc>
          <w:tcPr>
            <w:tcW w:w="0" w:type="auto"/>
            <w:shd w:val="clear" w:color="auto" w:fill="auto"/>
          </w:tcPr>
          <w:p w14:paraId="33DAB08A" w14:textId="77777777" w:rsidR="004D6A64" w:rsidRDefault="004D6A64">
            <w:pPr>
              <w:rPr>
                <w:rFonts w:ascii="宋体"/>
              </w:rPr>
            </w:pPr>
          </w:p>
        </w:tc>
        <w:tc>
          <w:tcPr>
            <w:tcW w:w="0" w:type="auto"/>
            <w:shd w:val="clear" w:color="auto" w:fill="auto"/>
          </w:tcPr>
          <w:p w14:paraId="33DAB08B" w14:textId="77777777" w:rsidR="004D6A64" w:rsidRDefault="004D6A64">
            <w:pPr>
              <w:rPr>
                <w:rFonts w:ascii="宋体"/>
              </w:rPr>
            </w:pPr>
          </w:p>
        </w:tc>
        <w:tc>
          <w:tcPr>
            <w:tcW w:w="0" w:type="auto"/>
            <w:shd w:val="clear" w:color="auto" w:fill="auto"/>
          </w:tcPr>
          <w:p w14:paraId="33DAB08C" w14:textId="77777777" w:rsidR="004D6A64" w:rsidRDefault="004D6A64">
            <w:pPr>
              <w:rPr>
                <w:rFonts w:ascii="宋体"/>
              </w:rPr>
            </w:pPr>
          </w:p>
        </w:tc>
      </w:tr>
      <w:tr w:rsidR="004D6A64" w14:paraId="33DAB09A" w14:textId="77777777">
        <w:tc>
          <w:tcPr>
            <w:tcW w:w="0" w:type="auto"/>
            <w:gridSpan w:val="3"/>
            <w:shd w:val="clear" w:color="auto" w:fill="FFFFFF"/>
            <w:tcMar>
              <w:top w:w="40" w:type="dxa"/>
              <w:left w:w="135" w:type="dxa"/>
              <w:bottom w:w="40" w:type="dxa"/>
              <w:right w:w="20" w:type="dxa"/>
            </w:tcMar>
            <w:vAlign w:val="center"/>
          </w:tcPr>
          <w:p w14:paraId="33DAB08E" w14:textId="77777777" w:rsidR="004D6A64" w:rsidRDefault="00506CD6">
            <w:pPr>
              <w:textAlignment w:val="center"/>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center"/>
          </w:tcPr>
          <w:p w14:paraId="33DAB08F" w14:textId="77777777" w:rsidR="004D6A64" w:rsidRDefault="00506CD6">
            <w:pPr>
              <w:jc w:val="right"/>
              <w:textAlignment w:val="center"/>
            </w:pPr>
            <w:r>
              <w:rPr>
                <w:rFonts w:ascii="Times New Roman" w:eastAsia="宋体" w:hAnsi="Times New Roman"/>
                <w:color w:val="000000"/>
                <w:sz w:val="20"/>
                <w:szCs w:val="20"/>
              </w:rPr>
              <w:t>187 </w:t>
            </w:r>
          </w:p>
        </w:tc>
        <w:tc>
          <w:tcPr>
            <w:tcW w:w="0" w:type="auto"/>
            <w:shd w:val="clear" w:color="auto" w:fill="FFFFFF"/>
            <w:tcMar>
              <w:top w:w="40" w:type="dxa"/>
              <w:bottom w:w="40" w:type="dxa"/>
              <w:right w:w="20" w:type="dxa"/>
            </w:tcMar>
            <w:vAlign w:val="center"/>
          </w:tcPr>
          <w:p w14:paraId="33DAB09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09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B092" w14:textId="77777777" w:rsidR="004D6A64" w:rsidRDefault="00506CD6">
            <w:pPr>
              <w:jc w:val="right"/>
              <w:textAlignment w:val="center"/>
            </w:pPr>
            <w:r>
              <w:rPr>
                <w:rFonts w:ascii="Times New Roman" w:eastAsia="宋体" w:hAnsi="Times New Roman"/>
                <w:color w:val="000000"/>
                <w:sz w:val="20"/>
                <w:szCs w:val="20"/>
              </w:rPr>
              <w:t>141 </w:t>
            </w:r>
          </w:p>
        </w:tc>
        <w:tc>
          <w:tcPr>
            <w:tcW w:w="0" w:type="auto"/>
            <w:shd w:val="clear" w:color="auto" w:fill="FFFFFF"/>
            <w:tcMar>
              <w:top w:w="40" w:type="dxa"/>
              <w:bottom w:w="40" w:type="dxa"/>
              <w:right w:w="20" w:type="dxa"/>
            </w:tcMar>
            <w:vAlign w:val="center"/>
          </w:tcPr>
          <w:p w14:paraId="33DAB093" w14:textId="77777777" w:rsidR="004D6A64" w:rsidRDefault="004D6A64">
            <w:pPr>
              <w:jc w:val="right"/>
              <w:rPr>
                <w:rFonts w:ascii="宋体"/>
              </w:rPr>
            </w:pPr>
          </w:p>
        </w:tc>
        <w:tc>
          <w:tcPr>
            <w:tcW w:w="0" w:type="auto"/>
            <w:shd w:val="clear" w:color="auto" w:fill="auto"/>
          </w:tcPr>
          <w:p w14:paraId="33DAB094" w14:textId="77777777" w:rsidR="004D6A64" w:rsidRDefault="004D6A64">
            <w:pPr>
              <w:rPr>
                <w:rFonts w:ascii="宋体"/>
              </w:rPr>
            </w:pPr>
          </w:p>
        </w:tc>
        <w:tc>
          <w:tcPr>
            <w:tcW w:w="0" w:type="auto"/>
            <w:shd w:val="clear" w:color="auto" w:fill="auto"/>
          </w:tcPr>
          <w:p w14:paraId="33DAB095" w14:textId="77777777" w:rsidR="004D6A64" w:rsidRDefault="004D6A64">
            <w:pPr>
              <w:rPr>
                <w:rFonts w:ascii="宋体"/>
              </w:rPr>
            </w:pPr>
          </w:p>
        </w:tc>
        <w:tc>
          <w:tcPr>
            <w:tcW w:w="0" w:type="auto"/>
            <w:shd w:val="clear" w:color="auto" w:fill="auto"/>
          </w:tcPr>
          <w:p w14:paraId="33DAB096" w14:textId="77777777" w:rsidR="004D6A64" w:rsidRDefault="004D6A64">
            <w:pPr>
              <w:rPr>
                <w:rFonts w:ascii="宋体"/>
              </w:rPr>
            </w:pPr>
          </w:p>
        </w:tc>
        <w:tc>
          <w:tcPr>
            <w:tcW w:w="0" w:type="auto"/>
            <w:shd w:val="clear" w:color="auto" w:fill="auto"/>
          </w:tcPr>
          <w:p w14:paraId="33DAB097" w14:textId="77777777" w:rsidR="004D6A64" w:rsidRDefault="004D6A64">
            <w:pPr>
              <w:rPr>
                <w:rFonts w:ascii="宋体"/>
              </w:rPr>
            </w:pPr>
          </w:p>
        </w:tc>
        <w:tc>
          <w:tcPr>
            <w:tcW w:w="0" w:type="auto"/>
            <w:shd w:val="clear" w:color="auto" w:fill="auto"/>
          </w:tcPr>
          <w:p w14:paraId="33DAB098" w14:textId="77777777" w:rsidR="004D6A64" w:rsidRDefault="004D6A64">
            <w:pPr>
              <w:rPr>
                <w:rFonts w:ascii="宋体"/>
              </w:rPr>
            </w:pPr>
          </w:p>
        </w:tc>
        <w:tc>
          <w:tcPr>
            <w:tcW w:w="0" w:type="auto"/>
            <w:shd w:val="clear" w:color="auto" w:fill="auto"/>
          </w:tcPr>
          <w:p w14:paraId="33DAB099" w14:textId="77777777" w:rsidR="004D6A64" w:rsidRDefault="004D6A64">
            <w:pPr>
              <w:rPr>
                <w:rFonts w:ascii="宋体"/>
              </w:rPr>
            </w:pPr>
          </w:p>
        </w:tc>
      </w:tr>
      <w:tr w:rsidR="004D6A64" w14:paraId="33DAB0A7" w14:textId="77777777">
        <w:tc>
          <w:tcPr>
            <w:tcW w:w="0" w:type="auto"/>
            <w:gridSpan w:val="3"/>
            <w:shd w:val="clear" w:color="auto" w:fill="CCEEFF"/>
            <w:tcMar>
              <w:top w:w="40" w:type="dxa"/>
              <w:left w:w="225" w:type="dxa"/>
              <w:bottom w:w="40" w:type="dxa"/>
              <w:right w:w="20" w:type="dxa"/>
            </w:tcMar>
            <w:vAlign w:val="center"/>
          </w:tcPr>
          <w:p w14:paraId="33DAB09B" w14:textId="77777777" w:rsidR="004D6A64" w:rsidRDefault="00506CD6">
            <w:pPr>
              <w:textAlignment w:val="center"/>
            </w:pPr>
            <w:r>
              <w:rPr>
                <w:rFonts w:ascii="Times New Roman" w:eastAsia="宋体" w:hAnsi="Times New Roman"/>
                <w:b/>
                <w:bCs/>
                <w:color w:val="000000"/>
                <w:sz w:val="20"/>
                <w:szCs w:val="20"/>
              </w:rPr>
              <w:t>Total DFS U.S. debt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B09C" w14:textId="77777777" w:rsidR="004D6A64" w:rsidRDefault="00506CD6">
            <w:pPr>
              <w:jc w:val="right"/>
              <w:textAlignment w:val="center"/>
            </w:pPr>
            <w:r>
              <w:rPr>
                <w:rFonts w:ascii="Times New Roman" w:eastAsia="宋体" w:hAnsi="Times New Roman"/>
                <w:color w:val="000000"/>
                <w:sz w:val="20"/>
                <w:szCs w:val="20"/>
              </w:rPr>
              <w:t>5,911 </w:t>
            </w:r>
          </w:p>
        </w:tc>
        <w:tc>
          <w:tcPr>
            <w:tcW w:w="0" w:type="auto"/>
            <w:tcBorders>
              <w:top w:val="single" w:sz="8" w:space="0" w:color="000000"/>
            </w:tcBorders>
            <w:shd w:val="clear" w:color="auto" w:fill="CCEEFF"/>
            <w:tcMar>
              <w:top w:w="40" w:type="dxa"/>
              <w:bottom w:w="40" w:type="dxa"/>
              <w:right w:w="20" w:type="dxa"/>
            </w:tcMar>
            <w:vAlign w:val="center"/>
          </w:tcPr>
          <w:p w14:paraId="33DAB09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09E"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B09F" w14:textId="77777777" w:rsidR="004D6A64" w:rsidRDefault="00506CD6">
            <w:pPr>
              <w:jc w:val="right"/>
              <w:textAlignment w:val="center"/>
            </w:pPr>
            <w:r>
              <w:rPr>
                <w:rFonts w:ascii="Times New Roman" w:eastAsia="宋体" w:hAnsi="Times New Roman"/>
                <w:color w:val="000000"/>
                <w:sz w:val="20"/>
                <w:szCs w:val="20"/>
              </w:rPr>
              <w:t>5,340 </w:t>
            </w:r>
          </w:p>
        </w:tc>
        <w:tc>
          <w:tcPr>
            <w:tcW w:w="0" w:type="auto"/>
            <w:tcBorders>
              <w:top w:val="single" w:sz="8" w:space="0" w:color="000000"/>
            </w:tcBorders>
            <w:shd w:val="clear" w:color="auto" w:fill="CCEEFF"/>
            <w:tcMar>
              <w:top w:w="40" w:type="dxa"/>
              <w:bottom w:w="40" w:type="dxa"/>
              <w:right w:w="20" w:type="dxa"/>
            </w:tcMar>
            <w:vAlign w:val="center"/>
          </w:tcPr>
          <w:p w14:paraId="33DAB0A0" w14:textId="77777777" w:rsidR="004D6A64" w:rsidRDefault="004D6A64">
            <w:pPr>
              <w:jc w:val="right"/>
              <w:rPr>
                <w:rFonts w:ascii="宋体"/>
              </w:rPr>
            </w:pPr>
          </w:p>
        </w:tc>
        <w:tc>
          <w:tcPr>
            <w:tcW w:w="0" w:type="auto"/>
            <w:shd w:val="clear" w:color="auto" w:fill="auto"/>
          </w:tcPr>
          <w:p w14:paraId="33DAB0A1" w14:textId="77777777" w:rsidR="004D6A64" w:rsidRDefault="004D6A64">
            <w:pPr>
              <w:rPr>
                <w:rFonts w:ascii="宋体"/>
              </w:rPr>
            </w:pPr>
          </w:p>
        </w:tc>
        <w:tc>
          <w:tcPr>
            <w:tcW w:w="0" w:type="auto"/>
            <w:shd w:val="clear" w:color="auto" w:fill="auto"/>
          </w:tcPr>
          <w:p w14:paraId="33DAB0A2" w14:textId="77777777" w:rsidR="004D6A64" w:rsidRDefault="004D6A64">
            <w:pPr>
              <w:rPr>
                <w:rFonts w:ascii="宋体"/>
              </w:rPr>
            </w:pPr>
          </w:p>
        </w:tc>
        <w:tc>
          <w:tcPr>
            <w:tcW w:w="0" w:type="auto"/>
            <w:shd w:val="clear" w:color="auto" w:fill="auto"/>
          </w:tcPr>
          <w:p w14:paraId="33DAB0A3" w14:textId="77777777" w:rsidR="004D6A64" w:rsidRDefault="004D6A64">
            <w:pPr>
              <w:rPr>
                <w:rFonts w:ascii="宋体"/>
              </w:rPr>
            </w:pPr>
          </w:p>
        </w:tc>
        <w:tc>
          <w:tcPr>
            <w:tcW w:w="0" w:type="auto"/>
            <w:shd w:val="clear" w:color="auto" w:fill="auto"/>
          </w:tcPr>
          <w:p w14:paraId="33DAB0A4" w14:textId="77777777" w:rsidR="004D6A64" w:rsidRDefault="004D6A64">
            <w:pPr>
              <w:rPr>
                <w:rFonts w:ascii="宋体"/>
              </w:rPr>
            </w:pPr>
          </w:p>
        </w:tc>
        <w:tc>
          <w:tcPr>
            <w:tcW w:w="0" w:type="auto"/>
            <w:shd w:val="clear" w:color="auto" w:fill="auto"/>
          </w:tcPr>
          <w:p w14:paraId="33DAB0A5" w14:textId="77777777" w:rsidR="004D6A64" w:rsidRDefault="004D6A64">
            <w:pPr>
              <w:rPr>
                <w:rFonts w:ascii="宋体"/>
              </w:rPr>
            </w:pPr>
          </w:p>
        </w:tc>
        <w:tc>
          <w:tcPr>
            <w:tcW w:w="0" w:type="auto"/>
            <w:shd w:val="clear" w:color="auto" w:fill="auto"/>
          </w:tcPr>
          <w:p w14:paraId="33DAB0A6" w14:textId="77777777" w:rsidR="004D6A64" w:rsidRDefault="004D6A64">
            <w:pPr>
              <w:rPr>
                <w:rFonts w:ascii="宋体"/>
              </w:rPr>
            </w:pPr>
          </w:p>
        </w:tc>
      </w:tr>
      <w:tr w:rsidR="004D6A64" w14:paraId="33DAB0B2" w14:textId="77777777">
        <w:tc>
          <w:tcPr>
            <w:tcW w:w="0" w:type="auto"/>
            <w:gridSpan w:val="3"/>
            <w:shd w:val="clear" w:color="auto" w:fill="FFFFFF"/>
            <w:tcMar>
              <w:top w:w="40" w:type="dxa"/>
              <w:left w:w="20" w:type="dxa"/>
              <w:bottom w:w="40" w:type="dxa"/>
              <w:right w:w="20" w:type="dxa"/>
            </w:tcMar>
            <w:vAlign w:val="center"/>
          </w:tcPr>
          <w:p w14:paraId="33DAB0A8" w14:textId="77777777" w:rsidR="004D6A64" w:rsidRDefault="00506CD6">
            <w:pPr>
              <w:textAlignment w:val="center"/>
            </w:pPr>
            <w:r>
              <w:rPr>
                <w:rFonts w:ascii="Times New Roman" w:eastAsia="宋体" w:hAnsi="Times New Roman"/>
                <w:i/>
                <w:iCs/>
                <w:color w:val="000000"/>
                <w:sz w:val="20"/>
                <w:szCs w:val="20"/>
              </w:rPr>
              <w:t>DFS international debt:</w:t>
            </w:r>
          </w:p>
        </w:tc>
        <w:tc>
          <w:tcPr>
            <w:tcW w:w="0" w:type="auto"/>
            <w:gridSpan w:val="3"/>
            <w:shd w:val="clear" w:color="auto" w:fill="FFFFFF"/>
            <w:tcMar>
              <w:left w:w="20" w:type="dxa"/>
              <w:right w:w="20" w:type="dxa"/>
            </w:tcMar>
            <w:vAlign w:val="bottom"/>
          </w:tcPr>
          <w:p w14:paraId="33DAB0A9"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0AA"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0AB" w14:textId="77777777" w:rsidR="004D6A64" w:rsidRDefault="004D6A64">
            <w:pPr>
              <w:rPr>
                <w:rFonts w:ascii="宋体"/>
              </w:rPr>
            </w:pPr>
          </w:p>
        </w:tc>
        <w:tc>
          <w:tcPr>
            <w:tcW w:w="0" w:type="auto"/>
            <w:shd w:val="clear" w:color="auto" w:fill="auto"/>
          </w:tcPr>
          <w:p w14:paraId="33DAB0AC" w14:textId="77777777" w:rsidR="004D6A64" w:rsidRDefault="004D6A64">
            <w:pPr>
              <w:rPr>
                <w:rFonts w:ascii="宋体"/>
              </w:rPr>
            </w:pPr>
          </w:p>
        </w:tc>
        <w:tc>
          <w:tcPr>
            <w:tcW w:w="0" w:type="auto"/>
            <w:shd w:val="clear" w:color="auto" w:fill="auto"/>
          </w:tcPr>
          <w:p w14:paraId="33DAB0AD" w14:textId="77777777" w:rsidR="004D6A64" w:rsidRDefault="004D6A64">
            <w:pPr>
              <w:rPr>
                <w:rFonts w:ascii="宋体"/>
              </w:rPr>
            </w:pPr>
          </w:p>
        </w:tc>
        <w:tc>
          <w:tcPr>
            <w:tcW w:w="0" w:type="auto"/>
            <w:shd w:val="clear" w:color="auto" w:fill="auto"/>
          </w:tcPr>
          <w:p w14:paraId="33DAB0AE" w14:textId="77777777" w:rsidR="004D6A64" w:rsidRDefault="004D6A64">
            <w:pPr>
              <w:rPr>
                <w:rFonts w:ascii="宋体"/>
              </w:rPr>
            </w:pPr>
          </w:p>
        </w:tc>
        <w:tc>
          <w:tcPr>
            <w:tcW w:w="0" w:type="auto"/>
            <w:shd w:val="clear" w:color="auto" w:fill="auto"/>
          </w:tcPr>
          <w:p w14:paraId="33DAB0AF" w14:textId="77777777" w:rsidR="004D6A64" w:rsidRDefault="004D6A64">
            <w:pPr>
              <w:rPr>
                <w:rFonts w:ascii="宋体"/>
              </w:rPr>
            </w:pPr>
          </w:p>
        </w:tc>
        <w:tc>
          <w:tcPr>
            <w:tcW w:w="0" w:type="auto"/>
            <w:shd w:val="clear" w:color="auto" w:fill="auto"/>
          </w:tcPr>
          <w:p w14:paraId="33DAB0B0" w14:textId="77777777" w:rsidR="004D6A64" w:rsidRDefault="004D6A64">
            <w:pPr>
              <w:rPr>
                <w:rFonts w:ascii="宋体"/>
              </w:rPr>
            </w:pPr>
          </w:p>
        </w:tc>
        <w:tc>
          <w:tcPr>
            <w:tcW w:w="0" w:type="auto"/>
            <w:shd w:val="clear" w:color="auto" w:fill="auto"/>
          </w:tcPr>
          <w:p w14:paraId="33DAB0B1" w14:textId="77777777" w:rsidR="004D6A64" w:rsidRDefault="004D6A64">
            <w:pPr>
              <w:rPr>
                <w:rFonts w:ascii="宋体"/>
              </w:rPr>
            </w:pPr>
          </w:p>
        </w:tc>
      </w:tr>
      <w:tr w:rsidR="004D6A64" w14:paraId="33DAB0BF" w14:textId="77777777">
        <w:tc>
          <w:tcPr>
            <w:tcW w:w="0" w:type="auto"/>
            <w:gridSpan w:val="3"/>
            <w:shd w:val="clear" w:color="auto" w:fill="CCEEFF"/>
            <w:tcMar>
              <w:top w:w="40" w:type="dxa"/>
              <w:left w:w="135" w:type="dxa"/>
              <w:bottom w:w="40" w:type="dxa"/>
              <w:right w:w="20" w:type="dxa"/>
            </w:tcMar>
            <w:vAlign w:val="center"/>
          </w:tcPr>
          <w:p w14:paraId="33DAB0B3" w14:textId="77777777" w:rsidR="004D6A64" w:rsidRDefault="00506CD6">
            <w:pPr>
              <w:textAlignment w:val="center"/>
            </w:pPr>
            <w:r>
              <w:rPr>
                <w:rFonts w:ascii="Times New Roman" w:eastAsia="宋体" w:hAnsi="Times New Roman"/>
                <w:color w:val="000000"/>
                <w:sz w:val="20"/>
                <w:szCs w:val="20"/>
              </w:rPr>
              <w:t>Securitization facility</w:t>
            </w:r>
          </w:p>
        </w:tc>
        <w:tc>
          <w:tcPr>
            <w:tcW w:w="0" w:type="auto"/>
            <w:gridSpan w:val="2"/>
            <w:shd w:val="clear" w:color="auto" w:fill="CCEEFF"/>
            <w:tcMar>
              <w:top w:w="40" w:type="dxa"/>
              <w:left w:w="20" w:type="dxa"/>
              <w:bottom w:w="40" w:type="dxa"/>
              <w:right w:w="0" w:type="dxa"/>
            </w:tcMar>
            <w:vAlign w:val="center"/>
          </w:tcPr>
          <w:p w14:paraId="33DAB0B4" w14:textId="77777777" w:rsidR="004D6A64" w:rsidRDefault="00506CD6">
            <w:pPr>
              <w:jc w:val="right"/>
              <w:textAlignment w:val="center"/>
            </w:pPr>
            <w:r>
              <w:rPr>
                <w:rFonts w:ascii="Times New Roman" w:eastAsia="宋体" w:hAnsi="Times New Roman"/>
                <w:color w:val="000000"/>
                <w:sz w:val="20"/>
                <w:szCs w:val="20"/>
              </w:rPr>
              <w:t>835 </w:t>
            </w:r>
          </w:p>
        </w:tc>
        <w:tc>
          <w:tcPr>
            <w:tcW w:w="0" w:type="auto"/>
            <w:shd w:val="clear" w:color="auto" w:fill="CCEEFF"/>
            <w:tcMar>
              <w:top w:w="40" w:type="dxa"/>
              <w:bottom w:w="40" w:type="dxa"/>
              <w:right w:w="20" w:type="dxa"/>
            </w:tcMar>
            <w:vAlign w:val="center"/>
          </w:tcPr>
          <w:p w14:paraId="33DAB0B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0B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B0B7" w14:textId="77777777" w:rsidR="004D6A64" w:rsidRDefault="00506CD6">
            <w:pPr>
              <w:jc w:val="right"/>
              <w:textAlignment w:val="center"/>
            </w:pPr>
            <w:r>
              <w:rPr>
                <w:rFonts w:ascii="Times New Roman" w:eastAsia="宋体" w:hAnsi="Times New Roman"/>
                <w:color w:val="000000"/>
                <w:sz w:val="20"/>
                <w:szCs w:val="20"/>
              </w:rPr>
              <w:t>743 </w:t>
            </w:r>
          </w:p>
        </w:tc>
        <w:tc>
          <w:tcPr>
            <w:tcW w:w="0" w:type="auto"/>
            <w:shd w:val="clear" w:color="auto" w:fill="CCEEFF"/>
            <w:tcMar>
              <w:top w:w="40" w:type="dxa"/>
              <w:bottom w:w="40" w:type="dxa"/>
              <w:right w:w="20" w:type="dxa"/>
            </w:tcMar>
            <w:vAlign w:val="center"/>
          </w:tcPr>
          <w:p w14:paraId="33DAB0B8" w14:textId="77777777" w:rsidR="004D6A64" w:rsidRDefault="004D6A64">
            <w:pPr>
              <w:jc w:val="right"/>
              <w:rPr>
                <w:rFonts w:ascii="宋体"/>
              </w:rPr>
            </w:pPr>
          </w:p>
        </w:tc>
        <w:tc>
          <w:tcPr>
            <w:tcW w:w="0" w:type="auto"/>
            <w:shd w:val="clear" w:color="auto" w:fill="auto"/>
          </w:tcPr>
          <w:p w14:paraId="33DAB0B9" w14:textId="77777777" w:rsidR="004D6A64" w:rsidRDefault="004D6A64">
            <w:pPr>
              <w:rPr>
                <w:rFonts w:ascii="宋体"/>
              </w:rPr>
            </w:pPr>
          </w:p>
        </w:tc>
        <w:tc>
          <w:tcPr>
            <w:tcW w:w="0" w:type="auto"/>
            <w:shd w:val="clear" w:color="auto" w:fill="auto"/>
          </w:tcPr>
          <w:p w14:paraId="33DAB0BA" w14:textId="77777777" w:rsidR="004D6A64" w:rsidRDefault="004D6A64">
            <w:pPr>
              <w:rPr>
                <w:rFonts w:ascii="宋体"/>
              </w:rPr>
            </w:pPr>
          </w:p>
        </w:tc>
        <w:tc>
          <w:tcPr>
            <w:tcW w:w="0" w:type="auto"/>
            <w:shd w:val="clear" w:color="auto" w:fill="auto"/>
          </w:tcPr>
          <w:p w14:paraId="33DAB0BB" w14:textId="77777777" w:rsidR="004D6A64" w:rsidRDefault="004D6A64">
            <w:pPr>
              <w:rPr>
                <w:rFonts w:ascii="宋体"/>
              </w:rPr>
            </w:pPr>
          </w:p>
        </w:tc>
        <w:tc>
          <w:tcPr>
            <w:tcW w:w="0" w:type="auto"/>
            <w:shd w:val="clear" w:color="auto" w:fill="auto"/>
          </w:tcPr>
          <w:p w14:paraId="33DAB0BC" w14:textId="77777777" w:rsidR="004D6A64" w:rsidRDefault="004D6A64">
            <w:pPr>
              <w:rPr>
                <w:rFonts w:ascii="宋体"/>
              </w:rPr>
            </w:pPr>
          </w:p>
        </w:tc>
        <w:tc>
          <w:tcPr>
            <w:tcW w:w="0" w:type="auto"/>
            <w:shd w:val="clear" w:color="auto" w:fill="auto"/>
          </w:tcPr>
          <w:p w14:paraId="33DAB0BD" w14:textId="77777777" w:rsidR="004D6A64" w:rsidRDefault="004D6A64">
            <w:pPr>
              <w:rPr>
                <w:rFonts w:ascii="宋体"/>
              </w:rPr>
            </w:pPr>
          </w:p>
        </w:tc>
        <w:tc>
          <w:tcPr>
            <w:tcW w:w="0" w:type="auto"/>
            <w:shd w:val="clear" w:color="auto" w:fill="auto"/>
          </w:tcPr>
          <w:p w14:paraId="33DAB0BE" w14:textId="77777777" w:rsidR="004D6A64" w:rsidRDefault="004D6A64">
            <w:pPr>
              <w:rPr>
                <w:rFonts w:ascii="宋体"/>
              </w:rPr>
            </w:pPr>
          </w:p>
        </w:tc>
      </w:tr>
      <w:tr w:rsidR="004D6A64" w14:paraId="33DAB0CC" w14:textId="77777777">
        <w:tc>
          <w:tcPr>
            <w:tcW w:w="0" w:type="auto"/>
            <w:gridSpan w:val="3"/>
            <w:shd w:val="clear" w:color="auto" w:fill="FFFFFF"/>
            <w:tcMar>
              <w:top w:w="40" w:type="dxa"/>
              <w:left w:w="135" w:type="dxa"/>
              <w:bottom w:w="40" w:type="dxa"/>
              <w:right w:w="20" w:type="dxa"/>
            </w:tcMar>
            <w:vAlign w:val="center"/>
          </w:tcPr>
          <w:p w14:paraId="33DAB0C0" w14:textId="77777777" w:rsidR="004D6A64" w:rsidRDefault="00506CD6">
            <w:pPr>
              <w:textAlignment w:val="center"/>
            </w:pPr>
            <w:r>
              <w:rPr>
                <w:rFonts w:ascii="Times New Roman" w:eastAsia="宋体" w:hAnsi="Times New Roman"/>
                <w:color w:val="000000"/>
                <w:sz w:val="20"/>
                <w:szCs w:val="20"/>
              </w:rPr>
              <w:t>Other borrowings</w:t>
            </w:r>
          </w:p>
        </w:tc>
        <w:tc>
          <w:tcPr>
            <w:tcW w:w="0" w:type="auto"/>
            <w:gridSpan w:val="2"/>
            <w:shd w:val="clear" w:color="auto" w:fill="FFFFFF"/>
            <w:tcMar>
              <w:top w:w="40" w:type="dxa"/>
              <w:left w:w="20" w:type="dxa"/>
              <w:bottom w:w="40" w:type="dxa"/>
              <w:right w:w="0" w:type="dxa"/>
            </w:tcMar>
            <w:vAlign w:val="center"/>
          </w:tcPr>
          <w:p w14:paraId="33DAB0C1" w14:textId="77777777" w:rsidR="004D6A64" w:rsidRDefault="00506CD6">
            <w:pPr>
              <w:jc w:val="right"/>
              <w:textAlignment w:val="center"/>
            </w:pPr>
            <w:r>
              <w:rPr>
                <w:rFonts w:ascii="Times New Roman" w:eastAsia="宋体" w:hAnsi="Times New Roman"/>
                <w:color w:val="000000"/>
                <w:sz w:val="20"/>
                <w:szCs w:val="20"/>
              </w:rPr>
              <w:t>719 </w:t>
            </w:r>
          </w:p>
        </w:tc>
        <w:tc>
          <w:tcPr>
            <w:tcW w:w="0" w:type="auto"/>
            <w:shd w:val="clear" w:color="auto" w:fill="FFFFFF"/>
            <w:tcMar>
              <w:top w:w="40" w:type="dxa"/>
              <w:bottom w:w="40" w:type="dxa"/>
              <w:right w:w="20" w:type="dxa"/>
            </w:tcMar>
            <w:vAlign w:val="center"/>
          </w:tcPr>
          <w:p w14:paraId="33DAB0C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0C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B0C4" w14:textId="77777777" w:rsidR="004D6A64" w:rsidRDefault="00506CD6">
            <w:pPr>
              <w:jc w:val="right"/>
              <w:textAlignment w:val="center"/>
            </w:pPr>
            <w:r>
              <w:rPr>
                <w:rFonts w:ascii="Times New Roman" w:eastAsia="宋体" w:hAnsi="Times New Roman"/>
                <w:color w:val="000000"/>
                <w:sz w:val="20"/>
                <w:szCs w:val="20"/>
              </w:rPr>
              <w:t>931 </w:t>
            </w:r>
          </w:p>
        </w:tc>
        <w:tc>
          <w:tcPr>
            <w:tcW w:w="0" w:type="auto"/>
            <w:shd w:val="clear" w:color="auto" w:fill="FFFFFF"/>
            <w:tcMar>
              <w:top w:w="40" w:type="dxa"/>
              <w:bottom w:w="40" w:type="dxa"/>
              <w:right w:w="20" w:type="dxa"/>
            </w:tcMar>
            <w:vAlign w:val="center"/>
          </w:tcPr>
          <w:p w14:paraId="33DAB0C5" w14:textId="77777777" w:rsidR="004D6A64" w:rsidRDefault="004D6A64">
            <w:pPr>
              <w:jc w:val="right"/>
              <w:rPr>
                <w:rFonts w:ascii="宋体"/>
              </w:rPr>
            </w:pPr>
          </w:p>
        </w:tc>
        <w:tc>
          <w:tcPr>
            <w:tcW w:w="0" w:type="auto"/>
            <w:shd w:val="clear" w:color="auto" w:fill="auto"/>
          </w:tcPr>
          <w:p w14:paraId="33DAB0C6" w14:textId="77777777" w:rsidR="004D6A64" w:rsidRDefault="004D6A64">
            <w:pPr>
              <w:rPr>
                <w:rFonts w:ascii="宋体"/>
              </w:rPr>
            </w:pPr>
          </w:p>
        </w:tc>
        <w:tc>
          <w:tcPr>
            <w:tcW w:w="0" w:type="auto"/>
            <w:shd w:val="clear" w:color="auto" w:fill="auto"/>
          </w:tcPr>
          <w:p w14:paraId="33DAB0C7" w14:textId="77777777" w:rsidR="004D6A64" w:rsidRDefault="004D6A64">
            <w:pPr>
              <w:rPr>
                <w:rFonts w:ascii="宋体"/>
              </w:rPr>
            </w:pPr>
          </w:p>
        </w:tc>
        <w:tc>
          <w:tcPr>
            <w:tcW w:w="0" w:type="auto"/>
            <w:shd w:val="clear" w:color="auto" w:fill="auto"/>
          </w:tcPr>
          <w:p w14:paraId="33DAB0C8" w14:textId="77777777" w:rsidR="004D6A64" w:rsidRDefault="004D6A64">
            <w:pPr>
              <w:rPr>
                <w:rFonts w:ascii="宋体"/>
              </w:rPr>
            </w:pPr>
          </w:p>
        </w:tc>
        <w:tc>
          <w:tcPr>
            <w:tcW w:w="0" w:type="auto"/>
            <w:shd w:val="clear" w:color="auto" w:fill="auto"/>
          </w:tcPr>
          <w:p w14:paraId="33DAB0C9" w14:textId="77777777" w:rsidR="004D6A64" w:rsidRDefault="004D6A64">
            <w:pPr>
              <w:rPr>
                <w:rFonts w:ascii="宋体"/>
              </w:rPr>
            </w:pPr>
          </w:p>
        </w:tc>
        <w:tc>
          <w:tcPr>
            <w:tcW w:w="0" w:type="auto"/>
            <w:shd w:val="clear" w:color="auto" w:fill="auto"/>
          </w:tcPr>
          <w:p w14:paraId="33DAB0CA" w14:textId="77777777" w:rsidR="004D6A64" w:rsidRDefault="004D6A64">
            <w:pPr>
              <w:rPr>
                <w:rFonts w:ascii="宋体"/>
              </w:rPr>
            </w:pPr>
          </w:p>
        </w:tc>
        <w:tc>
          <w:tcPr>
            <w:tcW w:w="0" w:type="auto"/>
            <w:shd w:val="clear" w:color="auto" w:fill="auto"/>
          </w:tcPr>
          <w:p w14:paraId="33DAB0CB" w14:textId="77777777" w:rsidR="004D6A64" w:rsidRDefault="004D6A64">
            <w:pPr>
              <w:rPr>
                <w:rFonts w:ascii="宋体"/>
              </w:rPr>
            </w:pPr>
          </w:p>
        </w:tc>
      </w:tr>
      <w:tr w:rsidR="004D6A64" w14:paraId="33DAB0D9" w14:textId="77777777">
        <w:tc>
          <w:tcPr>
            <w:tcW w:w="0" w:type="auto"/>
            <w:gridSpan w:val="3"/>
            <w:shd w:val="clear" w:color="auto" w:fill="CCEEFF"/>
            <w:tcMar>
              <w:top w:w="40" w:type="dxa"/>
              <w:left w:w="135" w:type="dxa"/>
              <w:bottom w:w="40" w:type="dxa"/>
              <w:right w:w="20" w:type="dxa"/>
            </w:tcMar>
            <w:vAlign w:val="center"/>
          </w:tcPr>
          <w:p w14:paraId="33DAB0CD" w14:textId="77777777" w:rsidR="004D6A64" w:rsidRDefault="00506CD6">
            <w:pPr>
              <w:textAlignment w:val="center"/>
            </w:pPr>
            <w:r>
              <w:rPr>
                <w:rFonts w:ascii="Times New Roman" w:eastAsia="宋体" w:hAnsi="Times New Roman"/>
                <w:color w:val="000000"/>
                <w:sz w:val="20"/>
                <w:szCs w:val="20"/>
              </w:rPr>
              <w:t>Note payable</w:t>
            </w:r>
          </w:p>
        </w:tc>
        <w:tc>
          <w:tcPr>
            <w:tcW w:w="0" w:type="auto"/>
            <w:gridSpan w:val="2"/>
            <w:shd w:val="clear" w:color="auto" w:fill="CCEEFF"/>
            <w:tcMar>
              <w:top w:w="40" w:type="dxa"/>
              <w:left w:w="20" w:type="dxa"/>
              <w:bottom w:w="40" w:type="dxa"/>
              <w:right w:w="0" w:type="dxa"/>
            </w:tcMar>
            <w:vAlign w:val="center"/>
          </w:tcPr>
          <w:p w14:paraId="33DAB0CE" w14:textId="77777777" w:rsidR="004D6A64" w:rsidRDefault="00506CD6">
            <w:pPr>
              <w:jc w:val="right"/>
              <w:textAlignment w:val="center"/>
            </w:pPr>
            <w:r>
              <w:rPr>
                <w:rFonts w:ascii="Times New Roman" w:eastAsia="宋体" w:hAnsi="Times New Roman"/>
                <w:color w:val="000000"/>
                <w:sz w:val="20"/>
                <w:szCs w:val="20"/>
              </w:rPr>
              <w:t>187 </w:t>
            </w:r>
          </w:p>
        </w:tc>
        <w:tc>
          <w:tcPr>
            <w:tcW w:w="0" w:type="auto"/>
            <w:shd w:val="clear" w:color="auto" w:fill="CCEEFF"/>
            <w:tcMar>
              <w:top w:w="40" w:type="dxa"/>
              <w:bottom w:w="40" w:type="dxa"/>
              <w:right w:w="20" w:type="dxa"/>
            </w:tcMar>
            <w:vAlign w:val="center"/>
          </w:tcPr>
          <w:p w14:paraId="33DAB0C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0D0"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B0D1" w14:textId="77777777" w:rsidR="004D6A64" w:rsidRDefault="00506CD6">
            <w:pPr>
              <w:jc w:val="right"/>
              <w:textAlignment w:val="center"/>
            </w:pPr>
            <w:r>
              <w:rPr>
                <w:rFonts w:ascii="Times New Roman" w:eastAsia="宋体" w:hAnsi="Times New Roman"/>
                <w:color w:val="000000"/>
                <w:sz w:val="20"/>
                <w:szCs w:val="20"/>
              </w:rPr>
              <w:t>200 </w:t>
            </w:r>
          </w:p>
        </w:tc>
        <w:tc>
          <w:tcPr>
            <w:tcW w:w="0" w:type="auto"/>
            <w:shd w:val="clear" w:color="auto" w:fill="CCEEFF"/>
            <w:tcMar>
              <w:top w:w="40" w:type="dxa"/>
              <w:bottom w:w="40" w:type="dxa"/>
              <w:right w:w="20" w:type="dxa"/>
            </w:tcMar>
            <w:vAlign w:val="center"/>
          </w:tcPr>
          <w:p w14:paraId="33DAB0D2" w14:textId="77777777" w:rsidR="004D6A64" w:rsidRDefault="004D6A64">
            <w:pPr>
              <w:jc w:val="right"/>
              <w:rPr>
                <w:rFonts w:ascii="宋体"/>
              </w:rPr>
            </w:pPr>
          </w:p>
        </w:tc>
        <w:tc>
          <w:tcPr>
            <w:tcW w:w="0" w:type="auto"/>
            <w:shd w:val="clear" w:color="auto" w:fill="auto"/>
          </w:tcPr>
          <w:p w14:paraId="33DAB0D3" w14:textId="77777777" w:rsidR="004D6A64" w:rsidRDefault="004D6A64">
            <w:pPr>
              <w:rPr>
                <w:rFonts w:ascii="宋体"/>
              </w:rPr>
            </w:pPr>
          </w:p>
        </w:tc>
        <w:tc>
          <w:tcPr>
            <w:tcW w:w="0" w:type="auto"/>
            <w:shd w:val="clear" w:color="auto" w:fill="auto"/>
          </w:tcPr>
          <w:p w14:paraId="33DAB0D4" w14:textId="77777777" w:rsidR="004D6A64" w:rsidRDefault="004D6A64">
            <w:pPr>
              <w:rPr>
                <w:rFonts w:ascii="宋体"/>
              </w:rPr>
            </w:pPr>
          </w:p>
        </w:tc>
        <w:tc>
          <w:tcPr>
            <w:tcW w:w="0" w:type="auto"/>
            <w:shd w:val="clear" w:color="auto" w:fill="auto"/>
          </w:tcPr>
          <w:p w14:paraId="33DAB0D5" w14:textId="77777777" w:rsidR="004D6A64" w:rsidRDefault="004D6A64">
            <w:pPr>
              <w:rPr>
                <w:rFonts w:ascii="宋体"/>
              </w:rPr>
            </w:pPr>
          </w:p>
        </w:tc>
        <w:tc>
          <w:tcPr>
            <w:tcW w:w="0" w:type="auto"/>
            <w:shd w:val="clear" w:color="auto" w:fill="auto"/>
          </w:tcPr>
          <w:p w14:paraId="33DAB0D6" w14:textId="77777777" w:rsidR="004D6A64" w:rsidRDefault="004D6A64">
            <w:pPr>
              <w:rPr>
                <w:rFonts w:ascii="宋体"/>
              </w:rPr>
            </w:pPr>
          </w:p>
        </w:tc>
        <w:tc>
          <w:tcPr>
            <w:tcW w:w="0" w:type="auto"/>
            <w:shd w:val="clear" w:color="auto" w:fill="auto"/>
          </w:tcPr>
          <w:p w14:paraId="33DAB0D7" w14:textId="77777777" w:rsidR="004D6A64" w:rsidRDefault="004D6A64">
            <w:pPr>
              <w:rPr>
                <w:rFonts w:ascii="宋体"/>
              </w:rPr>
            </w:pPr>
          </w:p>
        </w:tc>
        <w:tc>
          <w:tcPr>
            <w:tcW w:w="0" w:type="auto"/>
            <w:shd w:val="clear" w:color="auto" w:fill="auto"/>
          </w:tcPr>
          <w:p w14:paraId="33DAB0D8" w14:textId="77777777" w:rsidR="004D6A64" w:rsidRDefault="004D6A64">
            <w:pPr>
              <w:rPr>
                <w:rFonts w:ascii="宋体"/>
              </w:rPr>
            </w:pPr>
          </w:p>
        </w:tc>
      </w:tr>
      <w:tr w:rsidR="004D6A64" w14:paraId="33DAB0E6" w14:textId="77777777">
        <w:tc>
          <w:tcPr>
            <w:tcW w:w="0" w:type="auto"/>
            <w:gridSpan w:val="3"/>
            <w:shd w:val="clear" w:color="auto" w:fill="FFFFFF"/>
            <w:tcMar>
              <w:top w:w="40" w:type="dxa"/>
              <w:left w:w="135" w:type="dxa"/>
              <w:bottom w:w="40" w:type="dxa"/>
              <w:right w:w="20" w:type="dxa"/>
            </w:tcMar>
            <w:vAlign w:val="center"/>
          </w:tcPr>
          <w:p w14:paraId="33DAB0DA" w14:textId="77777777" w:rsidR="004D6A64" w:rsidRDefault="00506CD6">
            <w:pPr>
              <w:textAlignment w:val="center"/>
            </w:pPr>
            <w:r>
              <w:rPr>
                <w:rFonts w:ascii="Times New Roman" w:eastAsia="宋体" w:hAnsi="Times New Roman"/>
                <w:color w:val="000000"/>
                <w:sz w:val="20"/>
                <w:szCs w:val="20"/>
              </w:rPr>
              <w:t>Dell Bank Senior Unsecured Eurobonds</w:t>
            </w:r>
          </w:p>
        </w:tc>
        <w:tc>
          <w:tcPr>
            <w:tcW w:w="0" w:type="auto"/>
            <w:gridSpan w:val="2"/>
            <w:shd w:val="clear" w:color="auto" w:fill="FFFFFF"/>
            <w:tcMar>
              <w:top w:w="40" w:type="dxa"/>
              <w:left w:w="20" w:type="dxa"/>
              <w:bottom w:w="40" w:type="dxa"/>
              <w:right w:w="0" w:type="dxa"/>
            </w:tcMar>
            <w:vAlign w:val="center"/>
          </w:tcPr>
          <w:p w14:paraId="33DAB0DB" w14:textId="77777777" w:rsidR="004D6A64" w:rsidRDefault="00506CD6">
            <w:pPr>
              <w:jc w:val="right"/>
              <w:textAlignment w:val="center"/>
            </w:pPr>
            <w:r>
              <w:rPr>
                <w:rFonts w:ascii="Times New Roman" w:eastAsia="宋体" w:hAnsi="Times New Roman"/>
                <w:color w:val="000000"/>
                <w:sz w:val="20"/>
                <w:szCs w:val="20"/>
              </w:rPr>
              <w:t>1,185 </w:t>
            </w:r>
          </w:p>
        </w:tc>
        <w:tc>
          <w:tcPr>
            <w:tcW w:w="0" w:type="auto"/>
            <w:shd w:val="clear" w:color="auto" w:fill="FFFFFF"/>
            <w:tcMar>
              <w:top w:w="40" w:type="dxa"/>
              <w:bottom w:w="40" w:type="dxa"/>
              <w:right w:w="20" w:type="dxa"/>
            </w:tcMar>
            <w:vAlign w:val="center"/>
          </w:tcPr>
          <w:p w14:paraId="33DAB0D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0D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B0DE" w14:textId="77777777" w:rsidR="004D6A64" w:rsidRDefault="00506CD6">
            <w:pPr>
              <w:jc w:val="right"/>
              <w:textAlignment w:val="center"/>
            </w:pPr>
            <w:r>
              <w:rPr>
                <w:rFonts w:ascii="Times New Roman" w:eastAsia="宋体" w:hAnsi="Times New Roman"/>
                <w:color w:val="000000"/>
                <w:sz w:val="20"/>
                <w:szCs w:val="20"/>
              </w:rPr>
              <w:t>551 </w:t>
            </w:r>
          </w:p>
        </w:tc>
        <w:tc>
          <w:tcPr>
            <w:tcW w:w="0" w:type="auto"/>
            <w:shd w:val="clear" w:color="auto" w:fill="FFFFFF"/>
            <w:tcMar>
              <w:top w:w="40" w:type="dxa"/>
              <w:bottom w:w="40" w:type="dxa"/>
              <w:right w:w="20" w:type="dxa"/>
            </w:tcMar>
            <w:vAlign w:val="center"/>
          </w:tcPr>
          <w:p w14:paraId="33DAB0DF" w14:textId="77777777" w:rsidR="004D6A64" w:rsidRDefault="004D6A64">
            <w:pPr>
              <w:jc w:val="right"/>
              <w:rPr>
                <w:rFonts w:ascii="宋体"/>
              </w:rPr>
            </w:pPr>
          </w:p>
        </w:tc>
        <w:tc>
          <w:tcPr>
            <w:tcW w:w="0" w:type="auto"/>
            <w:shd w:val="clear" w:color="auto" w:fill="auto"/>
          </w:tcPr>
          <w:p w14:paraId="33DAB0E0" w14:textId="77777777" w:rsidR="004D6A64" w:rsidRDefault="004D6A64">
            <w:pPr>
              <w:rPr>
                <w:rFonts w:ascii="宋体"/>
              </w:rPr>
            </w:pPr>
          </w:p>
        </w:tc>
        <w:tc>
          <w:tcPr>
            <w:tcW w:w="0" w:type="auto"/>
            <w:shd w:val="clear" w:color="auto" w:fill="auto"/>
          </w:tcPr>
          <w:p w14:paraId="33DAB0E1" w14:textId="77777777" w:rsidR="004D6A64" w:rsidRDefault="004D6A64">
            <w:pPr>
              <w:rPr>
                <w:rFonts w:ascii="宋体"/>
              </w:rPr>
            </w:pPr>
          </w:p>
        </w:tc>
        <w:tc>
          <w:tcPr>
            <w:tcW w:w="0" w:type="auto"/>
            <w:shd w:val="clear" w:color="auto" w:fill="auto"/>
          </w:tcPr>
          <w:p w14:paraId="33DAB0E2" w14:textId="77777777" w:rsidR="004D6A64" w:rsidRDefault="004D6A64">
            <w:pPr>
              <w:rPr>
                <w:rFonts w:ascii="宋体"/>
              </w:rPr>
            </w:pPr>
          </w:p>
        </w:tc>
        <w:tc>
          <w:tcPr>
            <w:tcW w:w="0" w:type="auto"/>
            <w:shd w:val="clear" w:color="auto" w:fill="auto"/>
          </w:tcPr>
          <w:p w14:paraId="33DAB0E3" w14:textId="77777777" w:rsidR="004D6A64" w:rsidRDefault="004D6A64">
            <w:pPr>
              <w:rPr>
                <w:rFonts w:ascii="宋体"/>
              </w:rPr>
            </w:pPr>
          </w:p>
        </w:tc>
        <w:tc>
          <w:tcPr>
            <w:tcW w:w="0" w:type="auto"/>
            <w:shd w:val="clear" w:color="auto" w:fill="auto"/>
          </w:tcPr>
          <w:p w14:paraId="33DAB0E4" w14:textId="77777777" w:rsidR="004D6A64" w:rsidRDefault="004D6A64">
            <w:pPr>
              <w:rPr>
                <w:rFonts w:ascii="宋体"/>
              </w:rPr>
            </w:pPr>
          </w:p>
        </w:tc>
        <w:tc>
          <w:tcPr>
            <w:tcW w:w="0" w:type="auto"/>
            <w:shd w:val="clear" w:color="auto" w:fill="auto"/>
          </w:tcPr>
          <w:p w14:paraId="33DAB0E5" w14:textId="77777777" w:rsidR="004D6A64" w:rsidRDefault="004D6A64">
            <w:pPr>
              <w:rPr>
                <w:rFonts w:ascii="宋体"/>
              </w:rPr>
            </w:pPr>
          </w:p>
        </w:tc>
      </w:tr>
      <w:tr w:rsidR="004D6A64" w14:paraId="33DAB0F3" w14:textId="77777777">
        <w:tc>
          <w:tcPr>
            <w:tcW w:w="0" w:type="auto"/>
            <w:gridSpan w:val="3"/>
            <w:shd w:val="clear" w:color="auto" w:fill="CCEEFF"/>
            <w:tcMar>
              <w:top w:w="40" w:type="dxa"/>
              <w:left w:w="225" w:type="dxa"/>
              <w:bottom w:w="40" w:type="dxa"/>
              <w:right w:w="20" w:type="dxa"/>
            </w:tcMar>
            <w:vAlign w:val="center"/>
          </w:tcPr>
          <w:p w14:paraId="33DAB0E7" w14:textId="77777777" w:rsidR="004D6A64" w:rsidRDefault="00506CD6">
            <w:pPr>
              <w:textAlignment w:val="center"/>
            </w:pPr>
            <w:r>
              <w:rPr>
                <w:rFonts w:ascii="Times New Roman" w:eastAsia="宋体" w:hAnsi="Times New Roman"/>
                <w:b/>
                <w:bCs/>
                <w:color w:val="000000"/>
                <w:sz w:val="20"/>
                <w:szCs w:val="20"/>
              </w:rPr>
              <w:t>Total DFS international debt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B0E8" w14:textId="77777777" w:rsidR="004D6A64" w:rsidRDefault="00506CD6">
            <w:pPr>
              <w:jc w:val="right"/>
              <w:textAlignment w:val="center"/>
            </w:pPr>
            <w:r>
              <w:rPr>
                <w:rFonts w:ascii="Times New Roman" w:eastAsia="宋体" w:hAnsi="Times New Roman"/>
                <w:color w:val="000000"/>
                <w:sz w:val="20"/>
                <w:szCs w:val="20"/>
              </w:rPr>
              <w:t>2,926 </w:t>
            </w:r>
          </w:p>
        </w:tc>
        <w:tc>
          <w:tcPr>
            <w:tcW w:w="0" w:type="auto"/>
            <w:tcBorders>
              <w:top w:val="single" w:sz="8" w:space="0" w:color="000000"/>
            </w:tcBorders>
            <w:shd w:val="clear" w:color="auto" w:fill="CCEEFF"/>
            <w:tcMar>
              <w:top w:w="40" w:type="dxa"/>
              <w:bottom w:w="40" w:type="dxa"/>
              <w:right w:w="20" w:type="dxa"/>
            </w:tcMar>
            <w:vAlign w:val="center"/>
          </w:tcPr>
          <w:p w14:paraId="33DAB0E9"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0EA"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B0EB" w14:textId="77777777" w:rsidR="004D6A64" w:rsidRDefault="00506CD6">
            <w:pPr>
              <w:jc w:val="right"/>
              <w:textAlignment w:val="center"/>
            </w:pPr>
            <w:r>
              <w:rPr>
                <w:rFonts w:ascii="Times New Roman" w:eastAsia="宋体" w:hAnsi="Times New Roman"/>
                <w:color w:val="000000"/>
                <w:sz w:val="20"/>
                <w:szCs w:val="20"/>
              </w:rPr>
              <w:t>2,425 </w:t>
            </w:r>
          </w:p>
        </w:tc>
        <w:tc>
          <w:tcPr>
            <w:tcW w:w="0" w:type="auto"/>
            <w:tcBorders>
              <w:top w:val="single" w:sz="8" w:space="0" w:color="000000"/>
            </w:tcBorders>
            <w:shd w:val="clear" w:color="auto" w:fill="CCEEFF"/>
            <w:tcMar>
              <w:top w:w="40" w:type="dxa"/>
              <w:bottom w:w="40" w:type="dxa"/>
              <w:right w:w="20" w:type="dxa"/>
            </w:tcMar>
            <w:vAlign w:val="center"/>
          </w:tcPr>
          <w:p w14:paraId="33DAB0EC" w14:textId="77777777" w:rsidR="004D6A64" w:rsidRDefault="004D6A64">
            <w:pPr>
              <w:jc w:val="right"/>
              <w:rPr>
                <w:rFonts w:ascii="宋体"/>
              </w:rPr>
            </w:pPr>
          </w:p>
        </w:tc>
        <w:tc>
          <w:tcPr>
            <w:tcW w:w="0" w:type="auto"/>
            <w:shd w:val="clear" w:color="auto" w:fill="auto"/>
          </w:tcPr>
          <w:p w14:paraId="33DAB0ED" w14:textId="77777777" w:rsidR="004D6A64" w:rsidRDefault="004D6A64">
            <w:pPr>
              <w:rPr>
                <w:rFonts w:ascii="宋体"/>
              </w:rPr>
            </w:pPr>
          </w:p>
        </w:tc>
        <w:tc>
          <w:tcPr>
            <w:tcW w:w="0" w:type="auto"/>
            <w:shd w:val="clear" w:color="auto" w:fill="auto"/>
          </w:tcPr>
          <w:p w14:paraId="33DAB0EE" w14:textId="77777777" w:rsidR="004D6A64" w:rsidRDefault="004D6A64">
            <w:pPr>
              <w:rPr>
                <w:rFonts w:ascii="宋体"/>
              </w:rPr>
            </w:pPr>
          </w:p>
        </w:tc>
        <w:tc>
          <w:tcPr>
            <w:tcW w:w="0" w:type="auto"/>
            <w:shd w:val="clear" w:color="auto" w:fill="auto"/>
          </w:tcPr>
          <w:p w14:paraId="33DAB0EF" w14:textId="77777777" w:rsidR="004D6A64" w:rsidRDefault="004D6A64">
            <w:pPr>
              <w:rPr>
                <w:rFonts w:ascii="宋体"/>
              </w:rPr>
            </w:pPr>
          </w:p>
        </w:tc>
        <w:tc>
          <w:tcPr>
            <w:tcW w:w="0" w:type="auto"/>
            <w:shd w:val="clear" w:color="auto" w:fill="auto"/>
          </w:tcPr>
          <w:p w14:paraId="33DAB0F0" w14:textId="77777777" w:rsidR="004D6A64" w:rsidRDefault="004D6A64">
            <w:pPr>
              <w:rPr>
                <w:rFonts w:ascii="宋体"/>
              </w:rPr>
            </w:pPr>
          </w:p>
        </w:tc>
        <w:tc>
          <w:tcPr>
            <w:tcW w:w="0" w:type="auto"/>
            <w:shd w:val="clear" w:color="auto" w:fill="auto"/>
          </w:tcPr>
          <w:p w14:paraId="33DAB0F1" w14:textId="77777777" w:rsidR="004D6A64" w:rsidRDefault="004D6A64">
            <w:pPr>
              <w:rPr>
                <w:rFonts w:ascii="宋体"/>
              </w:rPr>
            </w:pPr>
          </w:p>
        </w:tc>
        <w:tc>
          <w:tcPr>
            <w:tcW w:w="0" w:type="auto"/>
            <w:shd w:val="clear" w:color="auto" w:fill="auto"/>
          </w:tcPr>
          <w:p w14:paraId="33DAB0F2" w14:textId="77777777" w:rsidR="004D6A64" w:rsidRDefault="004D6A64">
            <w:pPr>
              <w:rPr>
                <w:rFonts w:ascii="宋体"/>
              </w:rPr>
            </w:pPr>
          </w:p>
        </w:tc>
      </w:tr>
      <w:tr w:rsidR="004D6A64" w14:paraId="33DAB102" w14:textId="77777777">
        <w:tc>
          <w:tcPr>
            <w:tcW w:w="0" w:type="auto"/>
            <w:gridSpan w:val="3"/>
            <w:shd w:val="clear" w:color="auto" w:fill="FFFFFF"/>
            <w:tcMar>
              <w:top w:w="40" w:type="dxa"/>
              <w:left w:w="360" w:type="dxa"/>
              <w:bottom w:w="40" w:type="dxa"/>
              <w:right w:w="20" w:type="dxa"/>
            </w:tcMar>
            <w:vAlign w:val="center"/>
          </w:tcPr>
          <w:p w14:paraId="33DAB0F4" w14:textId="77777777" w:rsidR="004D6A64" w:rsidRDefault="00506CD6">
            <w:pPr>
              <w:textAlignment w:val="center"/>
            </w:pPr>
            <w:r>
              <w:rPr>
                <w:rFonts w:ascii="Times New Roman" w:eastAsia="宋体" w:hAnsi="Times New Roman"/>
                <w:b/>
                <w:bCs/>
                <w:color w:val="000000"/>
                <w:sz w:val="20"/>
                <w:szCs w:val="20"/>
              </w:rPr>
              <w:t>Total DFS debt</w:t>
            </w:r>
          </w:p>
        </w:tc>
        <w:tc>
          <w:tcPr>
            <w:tcW w:w="0" w:type="auto"/>
            <w:tcBorders>
              <w:top w:val="single" w:sz="8" w:space="0" w:color="000000"/>
            </w:tcBorders>
            <w:shd w:val="clear" w:color="auto" w:fill="FFFFFF"/>
            <w:tcMar>
              <w:top w:w="40" w:type="dxa"/>
              <w:left w:w="20" w:type="dxa"/>
              <w:bottom w:w="40" w:type="dxa"/>
            </w:tcMar>
            <w:vAlign w:val="center"/>
          </w:tcPr>
          <w:p w14:paraId="33DAB0F5"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B0F6" w14:textId="77777777" w:rsidR="004D6A64" w:rsidRDefault="00506CD6">
            <w:pPr>
              <w:jc w:val="right"/>
              <w:textAlignment w:val="center"/>
            </w:pPr>
            <w:r>
              <w:rPr>
                <w:rFonts w:ascii="Times New Roman" w:eastAsia="宋体" w:hAnsi="Times New Roman"/>
                <w:color w:val="000000"/>
                <w:sz w:val="20"/>
                <w:szCs w:val="20"/>
              </w:rPr>
              <w:t>8,837 </w:t>
            </w:r>
          </w:p>
        </w:tc>
        <w:tc>
          <w:tcPr>
            <w:tcW w:w="0" w:type="auto"/>
            <w:tcBorders>
              <w:top w:val="single" w:sz="8" w:space="0" w:color="000000"/>
            </w:tcBorders>
            <w:shd w:val="clear" w:color="auto" w:fill="FFFFFF"/>
            <w:tcMar>
              <w:top w:w="40" w:type="dxa"/>
              <w:bottom w:w="40" w:type="dxa"/>
              <w:right w:w="20" w:type="dxa"/>
            </w:tcMar>
            <w:vAlign w:val="center"/>
          </w:tcPr>
          <w:p w14:paraId="33DAB0F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0F8"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B0F9"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B0FA" w14:textId="77777777" w:rsidR="004D6A64" w:rsidRDefault="00506CD6">
            <w:pPr>
              <w:jc w:val="right"/>
              <w:textAlignment w:val="center"/>
            </w:pPr>
            <w:r>
              <w:rPr>
                <w:rFonts w:ascii="Times New Roman" w:eastAsia="宋体" w:hAnsi="Times New Roman"/>
                <w:color w:val="000000"/>
                <w:sz w:val="20"/>
                <w:szCs w:val="20"/>
              </w:rPr>
              <w:t>7,765 </w:t>
            </w:r>
          </w:p>
        </w:tc>
        <w:tc>
          <w:tcPr>
            <w:tcW w:w="0" w:type="auto"/>
            <w:tcBorders>
              <w:top w:val="single" w:sz="8" w:space="0" w:color="000000"/>
            </w:tcBorders>
            <w:shd w:val="clear" w:color="auto" w:fill="FFFFFF"/>
            <w:tcMar>
              <w:top w:w="40" w:type="dxa"/>
              <w:bottom w:w="40" w:type="dxa"/>
              <w:right w:w="20" w:type="dxa"/>
            </w:tcMar>
            <w:vAlign w:val="center"/>
          </w:tcPr>
          <w:p w14:paraId="33DAB0FB" w14:textId="77777777" w:rsidR="004D6A64" w:rsidRDefault="004D6A64">
            <w:pPr>
              <w:jc w:val="right"/>
              <w:rPr>
                <w:rFonts w:ascii="宋体"/>
              </w:rPr>
            </w:pPr>
          </w:p>
        </w:tc>
        <w:tc>
          <w:tcPr>
            <w:tcW w:w="0" w:type="auto"/>
            <w:shd w:val="clear" w:color="auto" w:fill="auto"/>
          </w:tcPr>
          <w:p w14:paraId="33DAB0FC" w14:textId="77777777" w:rsidR="004D6A64" w:rsidRDefault="004D6A64">
            <w:pPr>
              <w:rPr>
                <w:rFonts w:ascii="宋体"/>
              </w:rPr>
            </w:pPr>
          </w:p>
        </w:tc>
        <w:tc>
          <w:tcPr>
            <w:tcW w:w="0" w:type="auto"/>
            <w:shd w:val="clear" w:color="auto" w:fill="auto"/>
          </w:tcPr>
          <w:p w14:paraId="33DAB0FD" w14:textId="77777777" w:rsidR="004D6A64" w:rsidRDefault="004D6A64">
            <w:pPr>
              <w:rPr>
                <w:rFonts w:ascii="宋体"/>
              </w:rPr>
            </w:pPr>
          </w:p>
        </w:tc>
        <w:tc>
          <w:tcPr>
            <w:tcW w:w="0" w:type="auto"/>
            <w:shd w:val="clear" w:color="auto" w:fill="auto"/>
          </w:tcPr>
          <w:p w14:paraId="33DAB0FE" w14:textId="77777777" w:rsidR="004D6A64" w:rsidRDefault="004D6A64">
            <w:pPr>
              <w:rPr>
                <w:rFonts w:ascii="宋体"/>
              </w:rPr>
            </w:pPr>
          </w:p>
        </w:tc>
        <w:tc>
          <w:tcPr>
            <w:tcW w:w="0" w:type="auto"/>
            <w:shd w:val="clear" w:color="auto" w:fill="auto"/>
          </w:tcPr>
          <w:p w14:paraId="33DAB0FF" w14:textId="77777777" w:rsidR="004D6A64" w:rsidRDefault="004D6A64">
            <w:pPr>
              <w:rPr>
                <w:rFonts w:ascii="宋体"/>
              </w:rPr>
            </w:pPr>
          </w:p>
        </w:tc>
        <w:tc>
          <w:tcPr>
            <w:tcW w:w="0" w:type="auto"/>
            <w:shd w:val="clear" w:color="auto" w:fill="auto"/>
          </w:tcPr>
          <w:p w14:paraId="33DAB100" w14:textId="77777777" w:rsidR="004D6A64" w:rsidRDefault="004D6A64">
            <w:pPr>
              <w:rPr>
                <w:rFonts w:ascii="宋体"/>
              </w:rPr>
            </w:pPr>
          </w:p>
        </w:tc>
        <w:tc>
          <w:tcPr>
            <w:tcW w:w="0" w:type="auto"/>
            <w:shd w:val="clear" w:color="auto" w:fill="auto"/>
          </w:tcPr>
          <w:p w14:paraId="33DAB101" w14:textId="77777777" w:rsidR="004D6A64" w:rsidRDefault="004D6A64">
            <w:pPr>
              <w:rPr>
                <w:rFonts w:ascii="宋体"/>
              </w:rPr>
            </w:pPr>
          </w:p>
        </w:tc>
      </w:tr>
      <w:tr w:rsidR="004D6A64" w14:paraId="33DAB111" w14:textId="77777777">
        <w:tc>
          <w:tcPr>
            <w:tcW w:w="0" w:type="auto"/>
            <w:gridSpan w:val="3"/>
            <w:shd w:val="clear" w:color="auto" w:fill="CCEEFF"/>
            <w:tcMar>
              <w:top w:w="40" w:type="dxa"/>
              <w:left w:w="495" w:type="dxa"/>
              <w:bottom w:w="40" w:type="dxa"/>
              <w:right w:w="20" w:type="dxa"/>
            </w:tcMar>
            <w:vAlign w:val="center"/>
          </w:tcPr>
          <w:p w14:paraId="33DAB103" w14:textId="77777777" w:rsidR="004D6A64" w:rsidRDefault="00506CD6">
            <w:pPr>
              <w:textAlignment w:val="center"/>
            </w:pPr>
            <w:r>
              <w:rPr>
                <w:rFonts w:ascii="Times New Roman" w:eastAsia="宋体" w:hAnsi="Times New Roman"/>
                <w:b/>
                <w:bCs/>
                <w:color w:val="000000"/>
                <w:sz w:val="20"/>
                <w:szCs w:val="20"/>
              </w:rPr>
              <w:t>Total short-term DFS debt</w:t>
            </w:r>
          </w:p>
        </w:tc>
        <w:tc>
          <w:tcPr>
            <w:tcW w:w="0" w:type="auto"/>
            <w:tcBorders>
              <w:top w:val="double" w:sz="6" w:space="0" w:color="000000"/>
            </w:tcBorders>
            <w:shd w:val="clear" w:color="auto" w:fill="CCEEFF"/>
            <w:tcMar>
              <w:top w:w="40" w:type="dxa"/>
              <w:left w:w="20" w:type="dxa"/>
              <w:bottom w:w="40" w:type="dxa"/>
            </w:tcMar>
            <w:vAlign w:val="center"/>
          </w:tcPr>
          <w:p w14:paraId="33DAB104" w14:textId="77777777" w:rsidR="004D6A64" w:rsidRDefault="00506CD6">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bottom w:w="40" w:type="dxa"/>
              <w:right w:w="0" w:type="dxa"/>
            </w:tcMar>
            <w:vAlign w:val="center"/>
          </w:tcPr>
          <w:p w14:paraId="33DAB105" w14:textId="77777777" w:rsidR="004D6A64" w:rsidRDefault="00506CD6">
            <w:pPr>
              <w:jc w:val="right"/>
              <w:textAlignment w:val="center"/>
            </w:pPr>
            <w:r>
              <w:rPr>
                <w:rFonts w:ascii="Times New Roman" w:eastAsia="宋体" w:hAnsi="Times New Roman"/>
                <w:color w:val="000000"/>
                <w:sz w:val="20"/>
                <w:szCs w:val="20"/>
              </w:rPr>
              <w:t>4,188 </w:t>
            </w:r>
          </w:p>
        </w:tc>
        <w:tc>
          <w:tcPr>
            <w:tcW w:w="0" w:type="auto"/>
            <w:tcBorders>
              <w:top w:val="double" w:sz="6" w:space="0" w:color="000000"/>
            </w:tcBorders>
            <w:shd w:val="clear" w:color="auto" w:fill="CCEEFF"/>
            <w:tcMar>
              <w:top w:w="40" w:type="dxa"/>
              <w:bottom w:w="40" w:type="dxa"/>
              <w:right w:w="20" w:type="dxa"/>
            </w:tcMar>
            <w:vAlign w:val="center"/>
          </w:tcPr>
          <w:p w14:paraId="33DAB10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107" w14:textId="77777777" w:rsidR="004D6A64" w:rsidRDefault="004D6A64">
            <w:pPr>
              <w:rPr>
                <w:rFonts w:ascii="宋体"/>
              </w:rPr>
            </w:pPr>
          </w:p>
        </w:tc>
        <w:tc>
          <w:tcPr>
            <w:tcW w:w="0" w:type="auto"/>
            <w:tcBorders>
              <w:top w:val="double" w:sz="6" w:space="0" w:color="000000"/>
            </w:tcBorders>
            <w:shd w:val="clear" w:color="auto" w:fill="CCEEFF"/>
            <w:tcMar>
              <w:top w:w="40" w:type="dxa"/>
              <w:left w:w="20" w:type="dxa"/>
              <w:bottom w:w="40" w:type="dxa"/>
            </w:tcMar>
            <w:vAlign w:val="center"/>
          </w:tcPr>
          <w:p w14:paraId="33DAB108" w14:textId="77777777" w:rsidR="004D6A64" w:rsidRDefault="00506CD6">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bottom w:w="40" w:type="dxa"/>
              <w:right w:w="0" w:type="dxa"/>
            </w:tcMar>
            <w:vAlign w:val="center"/>
          </w:tcPr>
          <w:p w14:paraId="33DAB109" w14:textId="77777777" w:rsidR="004D6A64" w:rsidRDefault="00506CD6">
            <w:pPr>
              <w:jc w:val="right"/>
              <w:textAlignment w:val="center"/>
            </w:pPr>
            <w:r>
              <w:rPr>
                <w:rFonts w:ascii="Times New Roman" w:eastAsia="宋体" w:hAnsi="Times New Roman"/>
                <w:color w:val="000000"/>
                <w:sz w:val="20"/>
                <w:szCs w:val="20"/>
              </w:rPr>
              <w:t>4,152 </w:t>
            </w:r>
          </w:p>
        </w:tc>
        <w:tc>
          <w:tcPr>
            <w:tcW w:w="0" w:type="auto"/>
            <w:tcBorders>
              <w:top w:val="double" w:sz="6" w:space="0" w:color="000000"/>
            </w:tcBorders>
            <w:shd w:val="clear" w:color="auto" w:fill="CCEEFF"/>
            <w:tcMar>
              <w:top w:w="40" w:type="dxa"/>
              <w:bottom w:w="40" w:type="dxa"/>
              <w:right w:w="20" w:type="dxa"/>
            </w:tcMar>
            <w:vAlign w:val="center"/>
          </w:tcPr>
          <w:p w14:paraId="33DAB10A" w14:textId="77777777" w:rsidR="004D6A64" w:rsidRDefault="004D6A64">
            <w:pPr>
              <w:jc w:val="right"/>
              <w:rPr>
                <w:rFonts w:ascii="宋体"/>
              </w:rPr>
            </w:pPr>
          </w:p>
        </w:tc>
        <w:tc>
          <w:tcPr>
            <w:tcW w:w="0" w:type="auto"/>
            <w:shd w:val="clear" w:color="auto" w:fill="auto"/>
          </w:tcPr>
          <w:p w14:paraId="33DAB10B" w14:textId="77777777" w:rsidR="004D6A64" w:rsidRDefault="004D6A64">
            <w:pPr>
              <w:rPr>
                <w:rFonts w:ascii="宋体"/>
              </w:rPr>
            </w:pPr>
          </w:p>
        </w:tc>
        <w:tc>
          <w:tcPr>
            <w:tcW w:w="0" w:type="auto"/>
            <w:shd w:val="clear" w:color="auto" w:fill="auto"/>
          </w:tcPr>
          <w:p w14:paraId="33DAB10C" w14:textId="77777777" w:rsidR="004D6A64" w:rsidRDefault="004D6A64">
            <w:pPr>
              <w:rPr>
                <w:rFonts w:ascii="宋体"/>
              </w:rPr>
            </w:pPr>
          </w:p>
        </w:tc>
        <w:tc>
          <w:tcPr>
            <w:tcW w:w="0" w:type="auto"/>
            <w:shd w:val="clear" w:color="auto" w:fill="auto"/>
          </w:tcPr>
          <w:p w14:paraId="33DAB10D" w14:textId="77777777" w:rsidR="004D6A64" w:rsidRDefault="004D6A64">
            <w:pPr>
              <w:rPr>
                <w:rFonts w:ascii="宋体"/>
              </w:rPr>
            </w:pPr>
          </w:p>
        </w:tc>
        <w:tc>
          <w:tcPr>
            <w:tcW w:w="0" w:type="auto"/>
            <w:shd w:val="clear" w:color="auto" w:fill="auto"/>
          </w:tcPr>
          <w:p w14:paraId="33DAB10E" w14:textId="77777777" w:rsidR="004D6A64" w:rsidRDefault="004D6A64">
            <w:pPr>
              <w:rPr>
                <w:rFonts w:ascii="宋体"/>
              </w:rPr>
            </w:pPr>
          </w:p>
        </w:tc>
        <w:tc>
          <w:tcPr>
            <w:tcW w:w="0" w:type="auto"/>
            <w:shd w:val="clear" w:color="auto" w:fill="auto"/>
          </w:tcPr>
          <w:p w14:paraId="33DAB10F" w14:textId="77777777" w:rsidR="004D6A64" w:rsidRDefault="004D6A64">
            <w:pPr>
              <w:rPr>
                <w:rFonts w:ascii="宋体"/>
              </w:rPr>
            </w:pPr>
          </w:p>
        </w:tc>
        <w:tc>
          <w:tcPr>
            <w:tcW w:w="0" w:type="auto"/>
            <w:shd w:val="clear" w:color="auto" w:fill="auto"/>
          </w:tcPr>
          <w:p w14:paraId="33DAB110" w14:textId="77777777" w:rsidR="004D6A64" w:rsidRDefault="004D6A64">
            <w:pPr>
              <w:rPr>
                <w:rFonts w:ascii="宋体"/>
              </w:rPr>
            </w:pPr>
          </w:p>
        </w:tc>
      </w:tr>
      <w:tr w:rsidR="004D6A64" w14:paraId="33DAB120" w14:textId="77777777">
        <w:tc>
          <w:tcPr>
            <w:tcW w:w="0" w:type="auto"/>
            <w:gridSpan w:val="3"/>
            <w:shd w:val="clear" w:color="auto" w:fill="FFFFFF"/>
            <w:tcMar>
              <w:top w:w="40" w:type="dxa"/>
              <w:left w:w="495" w:type="dxa"/>
              <w:bottom w:w="40" w:type="dxa"/>
              <w:right w:w="20" w:type="dxa"/>
            </w:tcMar>
            <w:vAlign w:val="center"/>
          </w:tcPr>
          <w:p w14:paraId="33DAB112" w14:textId="77777777" w:rsidR="004D6A64" w:rsidRDefault="00506CD6">
            <w:pPr>
              <w:textAlignment w:val="center"/>
            </w:pPr>
            <w:r>
              <w:rPr>
                <w:rFonts w:ascii="Times New Roman" w:eastAsia="宋体" w:hAnsi="Times New Roman"/>
                <w:b/>
                <w:bCs/>
                <w:color w:val="000000"/>
                <w:sz w:val="20"/>
                <w:szCs w:val="20"/>
              </w:rPr>
              <w:t>Total long-term DFS debt</w:t>
            </w:r>
          </w:p>
        </w:tc>
        <w:tc>
          <w:tcPr>
            <w:tcW w:w="0" w:type="auto"/>
            <w:shd w:val="clear" w:color="auto" w:fill="FFFFFF"/>
            <w:tcMar>
              <w:top w:w="40" w:type="dxa"/>
              <w:left w:w="20" w:type="dxa"/>
              <w:bottom w:w="40" w:type="dxa"/>
            </w:tcMar>
            <w:vAlign w:val="center"/>
          </w:tcPr>
          <w:p w14:paraId="33DAB113"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B114" w14:textId="77777777" w:rsidR="004D6A64" w:rsidRDefault="00506CD6">
            <w:pPr>
              <w:jc w:val="right"/>
              <w:textAlignment w:val="center"/>
            </w:pPr>
            <w:r>
              <w:rPr>
                <w:rFonts w:ascii="Times New Roman" w:eastAsia="宋体" w:hAnsi="Times New Roman"/>
                <w:color w:val="000000"/>
                <w:sz w:val="20"/>
                <w:szCs w:val="20"/>
              </w:rPr>
              <w:t>4,649 </w:t>
            </w:r>
          </w:p>
        </w:tc>
        <w:tc>
          <w:tcPr>
            <w:tcW w:w="0" w:type="auto"/>
            <w:shd w:val="clear" w:color="auto" w:fill="FFFFFF"/>
            <w:tcMar>
              <w:top w:w="40" w:type="dxa"/>
              <w:bottom w:w="40" w:type="dxa"/>
              <w:right w:w="20" w:type="dxa"/>
            </w:tcMar>
            <w:vAlign w:val="center"/>
          </w:tcPr>
          <w:p w14:paraId="33DAB11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116"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B117"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B118" w14:textId="77777777" w:rsidR="004D6A64" w:rsidRDefault="00506CD6">
            <w:pPr>
              <w:jc w:val="right"/>
              <w:textAlignment w:val="center"/>
            </w:pPr>
            <w:r>
              <w:rPr>
                <w:rFonts w:ascii="Times New Roman" w:eastAsia="宋体" w:hAnsi="Times New Roman"/>
                <w:color w:val="000000"/>
                <w:sz w:val="20"/>
                <w:szCs w:val="20"/>
              </w:rPr>
              <w:t>3,613 </w:t>
            </w:r>
          </w:p>
        </w:tc>
        <w:tc>
          <w:tcPr>
            <w:tcW w:w="0" w:type="auto"/>
            <w:shd w:val="clear" w:color="auto" w:fill="FFFFFF"/>
            <w:tcMar>
              <w:top w:w="40" w:type="dxa"/>
              <w:bottom w:w="40" w:type="dxa"/>
              <w:right w:w="20" w:type="dxa"/>
            </w:tcMar>
            <w:vAlign w:val="center"/>
          </w:tcPr>
          <w:p w14:paraId="33DAB119" w14:textId="77777777" w:rsidR="004D6A64" w:rsidRDefault="004D6A64">
            <w:pPr>
              <w:jc w:val="right"/>
              <w:rPr>
                <w:rFonts w:ascii="宋体"/>
              </w:rPr>
            </w:pPr>
          </w:p>
        </w:tc>
        <w:tc>
          <w:tcPr>
            <w:tcW w:w="0" w:type="auto"/>
            <w:shd w:val="clear" w:color="auto" w:fill="auto"/>
          </w:tcPr>
          <w:p w14:paraId="33DAB11A" w14:textId="77777777" w:rsidR="004D6A64" w:rsidRDefault="004D6A64">
            <w:pPr>
              <w:rPr>
                <w:rFonts w:ascii="宋体"/>
              </w:rPr>
            </w:pPr>
          </w:p>
        </w:tc>
        <w:tc>
          <w:tcPr>
            <w:tcW w:w="0" w:type="auto"/>
            <w:shd w:val="clear" w:color="auto" w:fill="auto"/>
          </w:tcPr>
          <w:p w14:paraId="33DAB11B" w14:textId="77777777" w:rsidR="004D6A64" w:rsidRDefault="004D6A64">
            <w:pPr>
              <w:rPr>
                <w:rFonts w:ascii="宋体"/>
              </w:rPr>
            </w:pPr>
          </w:p>
        </w:tc>
        <w:tc>
          <w:tcPr>
            <w:tcW w:w="0" w:type="auto"/>
            <w:shd w:val="clear" w:color="auto" w:fill="auto"/>
          </w:tcPr>
          <w:p w14:paraId="33DAB11C" w14:textId="77777777" w:rsidR="004D6A64" w:rsidRDefault="004D6A64">
            <w:pPr>
              <w:rPr>
                <w:rFonts w:ascii="宋体"/>
              </w:rPr>
            </w:pPr>
          </w:p>
        </w:tc>
        <w:tc>
          <w:tcPr>
            <w:tcW w:w="0" w:type="auto"/>
            <w:shd w:val="clear" w:color="auto" w:fill="auto"/>
          </w:tcPr>
          <w:p w14:paraId="33DAB11D" w14:textId="77777777" w:rsidR="004D6A64" w:rsidRDefault="004D6A64">
            <w:pPr>
              <w:rPr>
                <w:rFonts w:ascii="宋体"/>
              </w:rPr>
            </w:pPr>
          </w:p>
        </w:tc>
        <w:tc>
          <w:tcPr>
            <w:tcW w:w="0" w:type="auto"/>
            <w:shd w:val="clear" w:color="auto" w:fill="auto"/>
          </w:tcPr>
          <w:p w14:paraId="33DAB11E" w14:textId="77777777" w:rsidR="004D6A64" w:rsidRDefault="004D6A64">
            <w:pPr>
              <w:rPr>
                <w:rFonts w:ascii="宋体"/>
              </w:rPr>
            </w:pPr>
          </w:p>
        </w:tc>
        <w:tc>
          <w:tcPr>
            <w:tcW w:w="0" w:type="auto"/>
            <w:shd w:val="clear" w:color="auto" w:fill="auto"/>
          </w:tcPr>
          <w:p w14:paraId="33DAB11F" w14:textId="77777777" w:rsidR="004D6A64" w:rsidRDefault="004D6A64">
            <w:pPr>
              <w:rPr>
                <w:rFonts w:ascii="宋体"/>
              </w:rPr>
            </w:pPr>
          </w:p>
        </w:tc>
      </w:tr>
    </w:tbl>
    <w:p w14:paraId="33DAB121" w14:textId="77777777" w:rsidR="004D6A64" w:rsidRDefault="004D6A64"/>
    <w:p w14:paraId="33DAB122" w14:textId="77777777" w:rsidR="004D6A64" w:rsidRDefault="00506CD6">
      <w:r>
        <w:rPr>
          <w:rFonts w:ascii="Times New Roman" w:eastAsia="宋体" w:hAnsi="Times New Roman"/>
          <w:i/>
          <w:iCs/>
          <w:color w:val="000000"/>
          <w:sz w:val="20"/>
          <w:szCs w:val="20"/>
          <w:u w:val="single"/>
        </w:rPr>
        <w:t>DFS U.S. Debt</w:t>
      </w:r>
    </w:p>
    <w:p w14:paraId="33DAB123" w14:textId="77777777" w:rsidR="004D6A64" w:rsidRDefault="004D6A64"/>
    <w:p w14:paraId="33DAB124" w14:textId="77777777" w:rsidR="004D6A64" w:rsidRDefault="00506CD6">
      <w:r>
        <w:rPr>
          <w:rFonts w:ascii="Times New Roman" w:eastAsia="宋体" w:hAnsi="Times New Roman"/>
          <w:i/>
          <w:iCs/>
          <w:color w:val="000000"/>
          <w:sz w:val="20"/>
          <w:szCs w:val="20"/>
        </w:rPr>
        <w:t xml:space="preserve">Asset-Based Financing and Securitization Facilities </w:t>
      </w:r>
      <w:r>
        <w:rPr>
          <w:rFonts w:ascii="Times New Roman" w:eastAsia="宋体" w:hAnsi="Times New Roman"/>
          <w:b/>
          <w:bCs/>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The Company maintains separate asset-based financing </w:t>
      </w:r>
      <w:r>
        <w:rPr>
          <w:rFonts w:ascii="Times New Roman" w:eastAsia="宋体" w:hAnsi="Times New Roman"/>
          <w:color w:val="000000"/>
          <w:sz w:val="20"/>
          <w:szCs w:val="20"/>
        </w:rPr>
        <w:t>facilities and a securitization facility in the United States, which are revolving facilities for fixed-term leases and loans and for revolving loans, respectively. This debt is collateralized solely by the U.S. loan and lease payments and associated equip</w:t>
      </w:r>
      <w:r>
        <w:rPr>
          <w:rFonts w:ascii="Times New Roman" w:eastAsia="宋体" w:hAnsi="Times New Roman"/>
          <w:color w:val="000000"/>
          <w:sz w:val="20"/>
          <w:szCs w:val="20"/>
        </w:rPr>
        <w:t>ment in the facilities. The debt has a variable interest rate and the duration of the debt is based on the terms of the underlying loan and lease payment streams. As of July 31, 2020, the total debt capacity related to the U.S. asset-based financing and se</w:t>
      </w:r>
      <w:r>
        <w:rPr>
          <w:rFonts w:ascii="Times New Roman" w:eastAsia="宋体" w:hAnsi="Times New Roman"/>
          <w:color w:val="000000"/>
          <w:sz w:val="20"/>
          <w:szCs w:val="20"/>
        </w:rPr>
        <w:t>curitization facilities was $4.1 billion. The Company enters into interest swap agreements to effectively convert a portion of this debt from a floating rate to a fixed rate. See Note 7 of the Notes to the Condensed Consolidated Financial Statements for ad</w:t>
      </w:r>
      <w:r>
        <w:rPr>
          <w:rFonts w:ascii="Times New Roman" w:eastAsia="宋体" w:hAnsi="Times New Roman"/>
          <w:color w:val="000000"/>
          <w:sz w:val="20"/>
          <w:szCs w:val="20"/>
        </w:rPr>
        <w:t>ditional information about interest rate swaps.</w:t>
      </w:r>
    </w:p>
    <w:p w14:paraId="33DAB125" w14:textId="77777777" w:rsidR="004D6A64" w:rsidRDefault="004D6A64"/>
    <w:p w14:paraId="33DAB126" w14:textId="77777777" w:rsidR="004D6A64" w:rsidRDefault="00506CD6">
      <w:r>
        <w:rPr>
          <w:rFonts w:ascii="Times New Roman" w:eastAsia="宋体" w:hAnsi="Times New Roman"/>
          <w:color w:val="000000"/>
          <w:sz w:val="20"/>
          <w:szCs w:val="20"/>
        </w:rPr>
        <w:t>The Company’s U.S. securitization facility for revolving loans is effective through June 25, 2022. The Company’s two U.S. asset-based financing facilities for fixed-term leases and loans are effective throug</w:t>
      </w:r>
      <w:r>
        <w:rPr>
          <w:rFonts w:ascii="Times New Roman" w:eastAsia="宋体" w:hAnsi="Times New Roman"/>
          <w:color w:val="000000"/>
          <w:sz w:val="20"/>
          <w:szCs w:val="20"/>
        </w:rPr>
        <w:t>h August 22, 2021 and July 26, 2022, respectively.</w:t>
      </w:r>
    </w:p>
    <w:p w14:paraId="33DAB127" w14:textId="77777777" w:rsidR="004D6A64" w:rsidRDefault="004D6A64"/>
    <w:p w14:paraId="33DAB128" w14:textId="77777777" w:rsidR="004D6A64" w:rsidRDefault="00506CD6">
      <w:r>
        <w:rPr>
          <w:rFonts w:ascii="Times New Roman" w:eastAsia="宋体" w:hAnsi="Times New Roman"/>
          <w:color w:val="000000"/>
          <w:sz w:val="20"/>
          <w:szCs w:val="20"/>
        </w:rPr>
        <w:t>The asset-based financing and securitization facilities contain standard structural features related to the performance of the funded receivables, which include defined credit losses, delinquencies, avera</w:t>
      </w:r>
      <w:r>
        <w:rPr>
          <w:rFonts w:ascii="Times New Roman" w:eastAsia="宋体" w:hAnsi="Times New Roman"/>
          <w:color w:val="000000"/>
          <w:sz w:val="20"/>
          <w:szCs w:val="20"/>
        </w:rPr>
        <w:t>ge credit scores, and minimum collection requirements. In the event one or more of these criteria are not met and the Company is unable to restructure the facility, no further funding of receivables will be permitted and the timing of the Company’s expecte</w:t>
      </w:r>
      <w:r>
        <w:rPr>
          <w:rFonts w:ascii="Times New Roman" w:eastAsia="宋体" w:hAnsi="Times New Roman"/>
          <w:color w:val="000000"/>
          <w:sz w:val="20"/>
          <w:szCs w:val="20"/>
        </w:rPr>
        <w:t>d cash flows from over-collateralization will be delayed. As of July 31, 2020, these criteria were met.</w:t>
      </w:r>
    </w:p>
    <w:p w14:paraId="33DAB129" w14:textId="77777777" w:rsidR="004D6A64" w:rsidRDefault="004D6A64"/>
    <w:p w14:paraId="33DAB12A" w14:textId="77777777" w:rsidR="004D6A64" w:rsidRDefault="00506CD6">
      <w:r>
        <w:rPr>
          <w:rFonts w:ascii="Times New Roman" w:eastAsia="宋体" w:hAnsi="Times New Roman"/>
          <w:i/>
          <w:iCs/>
          <w:color w:val="000000"/>
          <w:sz w:val="20"/>
          <w:szCs w:val="20"/>
        </w:rPr>
        <w:t xml:space="preserve">Fixed-Term Securitization Offerings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The Company periodically issues asset-backed debt securities under fixed-term securitization programs to </w:t>
      </w:r>
      <w:r>
        <w:rPr>
          <w:rFonts w:ascii="Times New Roman" w:eastAsia="宋体" w:hAnsi="Times New Roman"/>
          <w:color w:val="000000"/>
          <w:sz w:val="20"/>
          <w:szCs w:val="20"/>
        </w:rPr>
        <w:t xml:space="preserve">private investors. The asset-backed debt securities are collateralized solely by the U.S. fixed-term leases and loans in the offerings, which are held by Special Purpose Entities (“SPEs”), as discussed below. The interest rate on these securities is fixed </w:t>
      </w:r>
      <w:r>
        <w:rPr>
          <w:rFonts w:ascii="Times New Roman" w:eastAsia="宋体" w:hAnsi="Times New Roman"/>
          <w:color w:val="000000"/>
          <w:sz w:val="20"/>
          <w:szCs w:val="20"/>
        </w:rPr>
        <w:t>and ranges from 1.91% to 5.92% per annum, and the duration of these securities is based on the terms of the underlying loan and lease payment streams.</w:t>
      </w:r>
    </w:p>
    <w:p w14:paraId="33DAB12B" w14:textId="77777777" w:rsidR="004D6A64" w:rsidRDefault="004D6A64">
      <w:pPr>
        <w:jc w:val="center"/>
      </w:pPr>
    </w:p>
    <w:p w14:paraId="33DAB12C" w14:textId="77777777" w:rsidR="004D6A64" w:rsidRDefault="00506CD6">
      <w:pPr>
        <w:jc w:val="center"/>
      </w:pPr>
      <w:r>
        <w:rPr>
          <w:rFonts w:ascii="Times New Roman" w:eastAsia="宋体" w:hAnsi="Times New Roman"/>
          <w:color w:val="000000"/>
          <w:sz w:val="20"/>
          <w:szCs w:val="20"/>
        </w:rPr>
        <w:t>27</w:t>
      </w:r>
    </w:p>
    <w:p w14:paraId="33DAB12D" w14:textId="77777777" w:rsidR="004D6A64" w:rsidRDefault="004D6A64">
      <w:pPr>
        <w:jc w:val="center"/>
      </w:pPr>
    </w:p>
    <w:p w14:paraId="33DAB12E" w14:textId="77777777" w:rsidR="004D6A64" w:rsidRDefault="00506CD6">
      <w:r>
        <w:pict w14:anchorId="33DAFADF">
          <v:rect id="_x0000_i1051" style="width:415.3pt;height:1.5pt" o:hralign="center" o:hrstd="t" o:hr="t" fillcolor="#a0a0a0" stroked="f"/>
        </w:pict>
      </w:r>
    </w:p>
    <w:p w14:paraId="33DAB12F" w14:textId="77777777" w:rsidR="004D6A64" w:rsidRDefault="00506CD6">
      <w:hyperlink r:id="rId150" w:anchor="if3e0e1bf9ecd4bf69551d7a85f98d64a_10" w:history="1">
        <w:r>
          <w:rPr>
            <w:rStyle w:val="a5"/>
            <w:rFonts w:ascii="Times New Roman" w:eastAsia="宋体" w:hAnsi="Times New Roman"/>
            <w:sz w:val="20"/>
            <w:szCs w:val="20"/>
          </w:rPr>
          <w:t>Table of Contents</w:t>
        </w:r>
      </w:hyperlink>
    </w:p>
    <w:p w14:paraId="33DAB130"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B131"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33DAB132"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B133" w14:textId="77777777" w:rsidR="004D6A64" w:rsidRDefault="004D6A64">
      <w:pPr>
        <w:jc w:val="center"/>
      </w:pPr>
    </w:p>
    <w:p w14:paraId="33DAB134" w14:textId="77777777" w:rsidR="004D6A64" w:rsidRDefault="00506CD6">
      <w:r>
        <w:rPr>
          <w:rFonts w:ascii="Times New Roman" w:eastAsia="宋体" w:hAnsi="Times New Roman"/>
          <w:i/>
          <w:iCs/>
          <w:color w:val="000000"/>
          <w:sz w:val="20"/>
          <w:szCs w:val="20"/>
          <w:u w:val="single"/>
        </w:rPr>
        <w:t>DFS International Debt</w:t>
      </w:r>
    </w:p>
    <w:p w14:paraId="33DAB135" w14:textId="77777777" w:rsidR="004D6A64" w:rsidRDefault="004D6A64"/>
    <w:p w14:paraId="33DAB136" w14:textId="77777777" w:rsidR="004D6A64" w:rsidRDefault="00506CD6">
      <w:r>
        <w:rPr>
          <w:rFonts w:ascii="Times New Roman" w:eastAsia="宋体" w:hAnsi="Times New Roman"/>
          <w:i/>
          <w:iCs/>
          <w:color w:val="000000"/>
          <w:sz w:val="20"/>
          <w:szCs w:val="20"/>
        </w:rPr>
        <w:t xml:space="preserve">Securitization Facility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The Company maintains a sec</w:t>
      </w:r>
      <w:r>
        <w:rPr>
          <w:rFonts w:ascii="Times New Roman" w:eastAsia="宋体" w:hAnsi="Times New Roman"/>
          <w:color w:val="000000"/>
          <w:sz w:val="20"/>
          <w:szCs w:val="20"/>
        </w:rPr>
        <w:t>uritization facility in Europe for fixed-term leases and loans. This facility is effective through December 21, 2020 and has a total debt capacity of $948 million as of July 31, 2020.</w:t>
      </w:r>
    </w:p>
    <w:p w14:paraId="33DAB137" w14:textId="77777777" w:rsidR="004D6A64" w:rsidRDefault="004D6A64"/>
    <w:p w14:paraId="33DAB138" w14:textId="77777777" w:rsidR="004D6A64" w:rsidRDefault="00506CD6">
      <w:r>
        <w:rPr>
          <w:rFonts w:ascii="Times New Roman" w:eastAsia="宋体" w:hAnsi="Times New Roman"/>
          <w:color w:val="000000"/>
          <w:sz w:val="20"/>
          <w:szCs w:val="20"/>
        </w:rPr>
        <w:t>The securitization facility contains standard structural features relat</w:t>
      </w:r>
      <w:r>
        <w:rPr>
          <w:rFonts w:ascii="Times New Roman" w:eastAsia="宋体" w:hAnsi="Times New Roman"/>
          <w:color w:val="000000"/>
          <w:sz w:val="20"/>
          <w:szCs w:val="20"/>
        </w:rPr>
        <w:t>ed to the performance of the securitized receivables, which include defined credit losses, delinquencies, average credit scores, and minimum collection requirements. In the event one or more of these criteria are not met and the Company is unable to restru</w:t>
      </w:r>
      <w:r>
        <w:rPr>
          <w:rFonts w:ascii="Times New Roman" w:eastAsia="宋体" w:hAnsi="Times New Roman"/>
          <w:color w:val="000000"/>
          <w:sz w:val="20"/>
          <w:szCs w:val="20"/>
        </w:rPr>
        <w:t>cture the program, no further funding of receivables will be permitted and the timing of the Company’s expected cash flows from over-collateralization will be delayed. As of July 31, 2020, these criteria were met.</w:t>
      </w:r>
    </w:p>
    <w:p w14:paraId="33DAB139" w14:textId="77777777" w:rsidR="004D6A64" w:rsidRDefault="004D6A64"/>
    <w:p w14:paraId="33DAB13A" w14:textId="77777777" w:rsidR="004D6A64" w:rsidRDefault="00506CD6">
      <w:r>
        <w:rPr>
          <w:rFonts w:ascii="Times New Roman" w:eastAsia="宋体" w:hAnsi="Times New Roman"/>
          <w:i/>
          <w:iCs/>
          <w:color w:val="000000"/>
          <w:sz w:val="20"/>
          <w:szCs w:val="20"/>
        </w:rPr>
        <w:t xml:space="preserve">Other Borrowings </w:t>
      </w:r>
      <w:r>
        <w:rPr>
          <w:rFonts w:ascii="Times New Roman" w:eastAsia="宋体" w:hAnsi="Times New Roman"/>
          <w:color w:val="000000"/>
          <w:sz w:val="20"/>
          <w:szCs w:val="20"/>
        </w:rPr>
        <w:t>—</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 xml:space="preserve">In </w:t>
      </w:r>
      <w:r>
        <w:rPr>
          <w:rFonts w:ascii="Times New Roman" w:eastAsia="宋体" w:hAnsi="Times New Roman"/>
          <w:color w:val="000000"/>
          <w:sz w:val="20"/>
          <w:szCs w:val="20"/>
        </w:rPr>
        <w:t>connection with the Company’s international financing operations, the Company has entered into revolving structured financing debt programs related to its fixed-term lease and loan products sold in Canada, Europe, Australia, and New Zealand. The Canadian f</w:t>
      </w:r>
      <w:r>
        <w:rPr>
          <w:rFonts w:ascii="Times New Roman" w:eastAsia="宋体" w:hAnsi="Times New Roman"/>
          <w:color w:val="000000"/>
          <w:sz w:val="20"/>
          <w:szCs w:val="20"/>
        </w:rPr>
        <w:t>acility, which is collateralized solely by Canadian loan and lease payments and associated equipment, had a total debt capacity of $279 million as of July 31, 2020, and is effective through January 16, 2023. The European facility, which is collateralized s</w:t>
      </w:r>
      <w:r>
        <w:rPr>
          <w:rFonts w:ascii="Times New Roman" w:eastAsia="宋体" w:hAnsi="Times New Roman"/>
          <w:color w:val="000000"/>
          <w:sz w:val="20"/>
          <w:szCs w:val="20"/>
        </w:rPr>
        <w:t>olely by European loan and lease payments and associated equipment, had a total debt capacity of</w:t>
      </w:r>
      <w:r>
        <w:rPr>
          <w:rFonts w:ascii="Times New Roman" w:eastAsia="宋体" w:hAnsi="Times New Roman"/>
          <w:color w:val="000000"/>
          <w:sz w:val="20"/>
          <w:szCs w:val="20"/>
          <w:shd w:val="clear" w:color="auto" w:fill="FFFFFF"/>
        </w:rPr>
        <w:t xml:space="preserve"> $711 million</w:t>
      </w:r>
      <w:r>
        <w:rPr>
          <w:rFonts w:ascii="Times New Roman" w:eastAsia="宋体" w:hAnsi="Times New Roman"/>
          <w:color w:val="000000"/>
          <w:sz w:val="20"/>
          <w:szCs w:val="20"/>
        </w:rPr>
        <w:t xml:space="preserve"> as of July 31, 2020, and is effective through June 14, 2022. The Australia and New Zealand facility, which is collateralized solely by Australia a</w:t>
      </w:r>
      <w:r>
        <w:rPr>
          <w:rFonts w:ascii="Times New Roman" w:eastAsia="宋体" w:hAnsi="Times New Roman"/>
          <w:color w:val="000000"/>
          <w:sz w:val="20"/>
          <w:szCs w:val="20"/>
        </w:rPr>
        <w:t>nd New Zealand loan and lease payments and associated equipment, had a total debt capacity of $252 million as of July 31, 2020, and is effective through December 20, 2021.</w:t>
      </w:r>
    </w:p>
    <w:p w14:paraId="33DAB13B" w14:textId="77777777" w:rsidR="004D6A64" w:rsidRDefault="004D6A64"/>
    <w:p w14:paraId="33DAB13C" w14:textId="77777777" w:rsidR="004D6A64" w:rsidRDefault="00506CD6">
      <w:r>
        <w:rPr>
          <w:rFonts w:ascii="Times New Roman" w:eastAsia="宋体" w:hAnsi="Times New Roman"/>
          <w:i/>
          <w:iCs/>
          <w:color w:val="000000"/>
          <w:sz w:val="20"/>
          <w:szCs w:val="20"/>
        </w:rPr>
        <w:t xml:space="preserve">Note Payable </w:t>
      </w:r>
      <w:r>
        <w:rPr>
          <w:rFonts w:ascii="Times New Roman" w:eastAsia="宋体" w:hAnsi="Times New Roman"/>
          <w:color w:val="000000"/>
          <w:sz w:val="20"/>
          <w:szCs w:val="20"/>
        </w:rPr>
        <w:t>— On November 27, 2017, the Company entered into an unsecured credit a</w:t>
      </w:r>
      <w:r>
        <w:rPr>
          <w:rFonts w:ascii="Times New Roman" w:eastAsia="宋体" w:hAnsi="Times New Roman"/>
          <w:color w:val="000000"/>
          <w:sz w:val="20"/>
          <w:szCs w:val="20"/>
        </w:rPr>
        <w:t>greement to fund receivables in Mexico. As of July 31, 2020, the aggregate principal amount of the note payable is $187 million. The note bears interest at either the applicable London Interbank Offered Rate (“LIBOR”) plus 2.25%, for the borrowings denomin</w:t>
      </w:r>
      <w:r>
        <w:rPr>
          <w:rFonts w:ascii="Times New Roman" w:eastAsia="宋体" w:hAnsi="Times New Roman"/>
          <w:color w:val="000000"/>
          <w:sz w:val="20"/>
          <w:szCs w:val="20"/>
        </w:rPr>
        <w:t>ated in U.S. dollars, or the Mexican Interbank Equilibrium Interest Rate (“TIIE”) plus 2.00%, for the borrowings denominated in Mexican pesos. The note will mature on December 1, 2020.</w:t>
      </w:r>
    </w:p>
    <w:p w14:paraId="33DAB13D" w14:textId="77777777" w:rsidR="004D6A64" w:rsidRDefault="004D6A64"/>
    <w:p w14:paraId="33DAB13E" w14:textId="77777777" w:rsidR="004D6A64" w:rsidRDefault="00506CD6">
      <w:r>
        <w:rPr>
          <w:rFonts w:ascii="Times New Roman" w:eastAsia="宋体" w:hAnsi="Times New Roman"/>
          <w:i/>
          <w:iCs/>
          <w:color w:val="000000"/>
          <w:sz w:val="20"/>
          <w:szCs w:val="20"/>
        </w:rPr>
        <w:t xml:space="preserve">Dell Bank Senior Unsecured Eurobonds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On October 17, 2019, Dell Bank </w:t>
      </w:r>
      <w:r>
        <w:rPr>
          <w:rFonts w:ascii="Times New Roman" w:eastAsia="宋体" w:hAnsi="Times New Roman"/>
          <w:color w:val="000000"/>
          <w:sz w:val="20"/>
          <w:szCs w:val="20"/>
        </w:rPr>
        <w:t>International D.A.C. issued 500 million Euro of 0.625% senior unsecured three year eurobonds due October 2022. On June 24, 2020, Dell Bank International D.A.C. issued an additional 500 million Euro of 1.625% senior unsecured four year eurobonds due June 20</w:t>
      </w:r>
      <w:r>
        <w:rPr>
          <w:rFonts w:ascii="Times New Roman" w:eastAsia="宋体" w:hAnsi="Times New Roman"/>
          <w:color w:val="000000"/>
          <w:sz w:val="20"/>
          <w:szCs w:val="20"/>
        </w:rPr>
        <w:t>24. The issuances of the senior unsecured eurobonds support the expansion of the financing operations in Europe.</w:t>
      </w:r>
    </w:p>
    <w:p w14:paraId="33DAB13F" w14:textId="77777777" w:rsidR="004D6A64" w:rsidRDefault="004D6A64"/>
    <w:p w14:paraId="33DAB140" w14:textId="77777777" w:rsidR="004D6A64" w:rsidRDefault="00506CD6">
      <w:r>
        <w:rPr>
          <w:rFonts w:ascii="Times New Roman" w:eastAsia="宋体" w:hAnsi="Times New Roman"/>
          <w:b/>
          <w:bCs/>
          <w:color w:val="000000"/>
          <w:sz w:val="20"/>
          <w:szCs w:val="20"/>
        </w:rPr>
        <w:t>Variable Interest Entities</w:t>
      </w:r>
    </w:p>
    <w:p w14:paraId="33DAB141" w14:textId="77777777" w:rsidR="004D6A64" w:rsidRDefault="004D6A64"/>
    <w:p w14:paraId="33DAB142" w14:textId="77777777" w:rsidR="004D6A64" w:rsidRDefault="00506CD6">
      <w:r>
        <w:rPr>
          <w:rFonts w:ascii="Times New Roman" w:eastAsia="宋体" w:hAnsi="Times New Roman"/>
          <w:color w:val="000000"/>
          <w:sz w:val="20"/>
          <w:szCs w:val="20"/>
        </w:rPr>
        <w:t xml:space="preserve">In connection with the asset-based financing facilities, securitization facilities, and fixed-term </w:t>
      </w:r>
      <w:r>
        <w:rPr>
          <w:rFonts w:ascii="Times New Roman" w:eastAsia="宋体" w:hAnsi="Times New Roman"/>
          <w:color w:val="000000"/>
          <w:sz w:val="20"/>
          <w:szCs w:val="20"/>
        </w:rPr>
        <w:t>securitization offerings discussed above, the Company transfers certain U.S. and European loan and lease payments and associated equipment to SPEs that meet the definition of a Variable Interest Entity (“VIE”) and are consolidated, along with the associate</w:t>
      </w:r>
      <w:r>
        <w:rPr>
          <w:rFonts w:ascii="Times New Roman" w:eastAsia="宋体" w:hAnsi="Times New Roman"/>
          <w:color w:val="000000"/>
          <w:sz w:val="20"/>
          <w:szCs w:val="20"/>
        </w:rPr>
        <w:t>d debt detailed above, into the Consolidated Financial Statements, as the Company is the primary beneficiary of those VIEs. The SPEs are bankruptcy-remote legal entities with separate assets and liabilities. The purpose of the SPEs is to facilitate the fun</w:t>
      </w:r>
      <w:r>
        <w:rPr>
          <w:rFonts w:ascii="Times New Roman" w:eastAsia="宋体" w:hAnsi="Times New Roman"/>
          <w:color w:val="000000"/>
          <w:sz w:val="20"/>
          <w:szCs w:val="20"/>
        </w:rPr>
        <w:t>ding of customer loan and lease payments and associated equipment in the capital markets.</w:t>
      </w:r>
    </w:p>
    <w:p w14:paraId="33DAB143" w14:textId="77777777" w:rsidR="004D6A64" w:rsidRDefault="004D6A64"/>
    <w:p w14:paraId="33DAB144" w14:textId="77777777" w:rsidR="004D6A64" w:rsidRDefault="00506CD6">
      <w:r>
        <w:rPr>
          <w:rFonts w:ascii="Times New Roman" w:eastAsia="宋体" w:hAnsi="Times New Roman"/>
          <w:color w:val="000000"/>
          <w:sz w:val="20"/>
          <w:szCs w:val="20"/>
        </w:rPr>
        <w:t>The following table presents financing receivables and equipment under operating leases, net held by the consolidated VIEs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737"/>
        <w:gridCol w:w="37"/>
        <w:gridCol w:w="135"/>
        <w:gridCol w:w="1423"/>
        <w:gridCol w:w="41"/>
        <w:gridCol w:w="36"/>
        <w:gridCol w:w="36"/>
        <w:gridCol w:w="36"/>
        <w:gridCol w:w="136"/>
        <w:gridCol w:w="1424"/>
        <w:gridCol w:w="41"/>
        <w:gridCol w:w="36"/>
        <w:gridCol w:w="36"/>
        <w:gridCol w:w="36"/>
        <w:gridCol w:w="36"/>
        <w:gridCol w:w="36"/>
        <w:gridCol w:w="36"/>
      </w:tblGrid>
      <w:tr w:rsidR="004D6A64" w14:paraId="33DAB151" w14:textId="77777777">
        <w:trPr>
          <w:gridAfter w:val="6"/>
          <w:jc w:val="center"/>
        </w:trPr>
        <w:tc>
          <w:tcPr>
            <w:tcW w:w="50" w:type="pct"/>
            <w:shd w:val="clear" w:color="auto" w:fill="auto"/>
          </w:tcPr>
          <w:p w14:paraId="33DAB145" w14:textId="77777777" w:rsidR="004D6A64" w:rsidRDefault="004D6A64">
            <w:pPr>
              <w:rPr>
                <w:rFonts w:ascii="宋体"/>
              </w:rPr>
            </w:pPr>
          </w:p>
        </w:tc>
        <w:tc>
          <w:tcPr>
            <w:tcW w:w="2971" w:type="pct"/>
            <w:shd w:val="clear" w:color="auto" w:fill="auto"/>
          </w:tcPr>
          <w:p w14:paraId="33DAB146" w14:textId="77777777" w:rsidR="004D6A64" w:rsidRDefault="004D6A64">
            <w:pPr>
              <w:rPr>
                <w:rFonts w:ascii="宋体"/>
              </w:rPr>
            </w:pPr>
          </w:p>
        </w:tc>
        <w:tc>
          <w:tcPr>
            <w:tcW w:w="5" w:type="pct"/>
            <w:shd w:val="clear" w:color="auto" w:fill="auto"/>
          </w:tcPr>
          <w:p w14:paraId="33DAB147" w14:textId="77777777" w:rsidR="004D6A64" w:rsidRDefault="004D6A64">
            <w:pPr>
              <w:rPr>
                <w:rFonts w:ascii="宋体"/>
              </w:rPr>
            </w:pPr>
          </w:p>
        </w:tc>
        <w:tc>
          <w:tcPr>
            <w:tcW w:w="50" w:type="pct"/>
            <w:shd w:val="clear" w:color="auto" w:fill="auto"/>
          </w:tcPr>
          <w:p w14:paraId="33DAB148" w14:textId="77777777" w:rsidR="004D6A64" w:rsidRDefault="004D6A64">
            <w:pPr>
              <w:rPr>
                <w:rFonts w:ascii="宋体"/>
              </w:rPr>
            </w:pPr>
          </w:p>
        </w:tc>
        <w:tc>
          <w:tcPr>
            <w:tcW w:w="917" w:type="pct"/>
            <w:shd w:val="clear" w:color="auto" w:fill="auto"/>
          </w:tcPr>
          <w:p w14:paraId="33DAB149" w14:textId="77777777" w:rsidR="004D6A64" w:rsidRDefault="004D6A64">
            <w:pPr>
              <w:rPr>
                <w:rFonts w:ascii="宋体"/>
              </w:rPr>
            </w:pPr>
          </w:p>
        </w:tc>
        <w:tc>
          <w:tcPr>
            <w:tcW w:w="5" w:type="pct"/>
            <w:shd w:val="clear" w:color="auto" w:fill="auto"/>
          </w:tcPr>
          <w:p w14:paraId="33DAB14A" w14:textId="77777777" w:rsidR="004D6A64" w:rsidRDefault="004D6A64">
            <w:pPr>
              <w:rPr>
                <w:rFonts w:ascii="宋体"/>
              </w:rPr>
            </w:pPr>
          </w:p>
        </w:tc>
        <w:tc>
          <w:tcPr>
            <w:tcW w:w="5" w:type="pct"/>
            <w:shd w:val="clear" w:color="auto" w:fill="auto"/>
          </w:tcPr>
          <w:p w14:paraId="33DAB14B" w14:textId="77777777" w:rsidR="004D6A64" w:rsidRDefault="004D6A64">
            <w:pPr>
              <w:rPr>
                <w:rFonts w:ascii="宋体"/>
              </w:rPr>
            </w:pPr>
          </w:p>
        </w:tc>
        <w:tc>
          <w:tcPr>
            <w:tcW w:w="19" w:type="pct"/>
            <w:shd w:val="clear" w:color="auto" w:fill="auto"/>
          </w:tcPr>
          <w:p w14:paraId="33DAB14C" w14:textId="77777777" w:rsidR="004D6A64" w:rsidRDefault="004D6A64">
            <w:pPr>
              <w:rPr>
                <w:rFonts w:ascii="宋体"/>
              </w:rPr>
            </w:pPr>
          </w:p>
        </w:tc>
        <w:tc>
          <w:tcPr>
            <w:tcW w:w="5" w:type="pct"/>
            <w:shd w:val="clear" w:color="auto" w:fill="auto"/>
          </w:tcPr>
          <w:p w14:paraId="33DAB14D" w14:textId="77777777" w:rsidR="004D6A64" w:rsidRDefault="004D6A64">
            <w:pPr>
              <w:rPr>
                <w:rFonts w:ascii="宋体"/>
              </w:rPr>
            </w:pPr>
          </w:p>
        </w:tc>
        <w:tc>
          <w:tcPr>
            <w:tcW w:w="50" w:type="pct"/>
            <w:shd w:val="clear" w:color="auto" w:fill="auto"/>
          </w:tcPr>
          <w:p w14:paraId="33DAB14E" w14:textId="77777777" w:rsidR="004D6A64" w:rsidRDefault="004D6A64">
            <w:pPr>
              <w:rPr>
                <w:rFonts w:ascii="宋体"/>
              </w:rPr>
            </w:pPr>
          </w:p>
        </w:tc>
        <w:tc>
          <w:tcPr>
            <w:tcW w:w="917" w:type="pct"/>
            <w:shd w:val="clear" w:color="auto" w:fill="auto"/>
          </w:tcPr>
          <w:p w14:paraId="33DAB14F" w14:textId="77777777" w:rsidR="004D6A64" w:rsidRDefault="004D6A64">
            <w:pPr>
              <w:rPr>
                <w:rFonts w:ascii="宋体"/>
              </w:rPr>
            </w:pPr>
          </w:p>
        </w:tc>
        <w:tc>
          <w:tcPr>
            <w:tcW w:w="5" w:type="pct"/>
            <w:shd w:val="clear" w:color="auto" w:fill="auto"/>
          </w:tcPr>
          <w:p w14:paraId="33DAB150" w14:textId="77777777" w:rsidR="004D6A64" w:rsidRDefault="004D6A64">
            <w:pPr>
              <w:rPr>
                <w:rFonts w:ascii="宋体"/>
              </w:rPr>
            </w:pPr>
          </w:p>
        </w:tc>
      </w:tr>
      <w:tr w:rsidR="004D6A64" w14:paraId="33DAB156" w14:textId="77777777">
        <w:trPr>
          <w:gridAfter w:val="6"/>
          <w:jc w:val="center"/>
        </w:trPr>
        <w:tc>
          <w:tcPr>
            <w:tcW w:w="0" w:type="auto"/>
            <w:gridSpan w:val="3"/>
            <w:shd w:val="clear" w:color="auto" w:fill="auto"/>
            <w:tcMar>
              <w:top w:w="40" w:type="dxa"/>
              <w:left w:w="20" w:type="dxa"/>
              <w:bottom w:w="40" w:type="dxa"/>
              <w:right w:w="20" w:type="dxa"/>
            </w:tcMar>
            <w:vAlign w:val="bottom"/>
          </w:tcPr>
          <w:p w14:paraId="33DAB152" w14:textId="77777777" w:rsidR="004D6A64" w:rsidRDefault="00506CD6">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33DAB153"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shd w:val="clear" w:color="auto" w:fill="auto"/>
            <w:tcMar>
              <w:left w:w="20" w:type="dxa"/>
              <w:right w:w="20" w:type="dxa"/>
            </w:tcMar>
            <w:vAlign w:val="bottom"/>
          </w:tcPr>
          <w:p w14:paraId="33DAB154" w14:textId="77777777" w:rsidR="004D6A64" w:rsidRDefault="004D6A6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3DAB155" w14:textId="77777777" w:rsidR="004D6A64" w:rsidRDefault="00506CD6">
            <w:pPr>
              <w:jc w:val="center"/>
              <w:textAlignment w:val="bottom"/>
            </w:pPr>
            <w:r>
              <w:rPr>
                <w:rFonts w:ascii="Times New Roman" w:eastAsia="宋体" w:hAnsi="Times New Roman"/>
                <w:b/>
                <w:bCs/>
                <w:color w:val="000000"/>
                <w:sz w:val="20"/>
                <w:szCs w:val="20"/>
              </w:rPr>
              <w:t>January 31, 2020</w:t>
            </w:r>
          </w:p>
        </w:tc>
      </w:tr>
      <w:tr w:rsidR="004D6A64" w14:paraId="33DAB15B" w14:textId="77777777">
        <w:trPr>
          <w:jc w:val="center"/>
        </w:trPr>
        <w:tc>
          <w:tcPr>
            <w:tcW w:w="0" w:type="auto"/>
            <w:gridSpan w:val="3"/>
            <w:shd w:val="clear" w:color="auto" w:fill="auto"/>
            <w:tcMar>
              <w:top w:w="40" w:type="dxa"/>
              <w:left w:w="20" w:type="dxa"/>
              <w:bottom w:w="40" w:type="dxa"/>
              <w:right w:w="20" w:type="dxa"/>
            </w:tcMar>
            <w:vAlign w:val="center"/>
          </w:tcPr>
          <w:p w14:paraId="33DAB157" w14:textId="77777777" w:rsidR="004D6A64" w:rsidRDefault="00506CD6">
            <w:pPr>
              <w:jc w:val="center"/>
              <w:textAlignment w:val="center"/>
            </w:pPr>
            <w:r>
              <w:rPr>
                <w:rFonts w:ascii="Times New Roman" w:eastAsia="宋体" w:hAnsi="Times New Roman"/>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33DAB158" w14:textId="77777777" w:rsidR="004D6A64" w:rsidRDefault="00506CD6">
            <w:pPr>
              <w:jc w:val="center"/>
              <w:textAlignment w:val="center"/>
            </w:pPr>
            <w:r>
              <w:rPr>
                <w:rFonts w:ascii="Times New Roman" w:eastAsia="宋体" w:hAnsi="Times New Roman"/>
                <w:color w:val="000000"/>
                <w:sz w:val="20"/>
                <w:szCs w:val="20"/>
              </w:rPr>
              <w:t>(in millions)</w:t>
            </w:r>
          </w:p>
        </w:tc>
        <w:tc>
          <w:tcPr>
            <w:tcW w:w="0" w:type="auto"/>
            <w:gridSpan w:val="3"/>
            <w:shd w:val="clear" w:color="auto" w:fill="auto"/>
          </w:tcPr>
          <w:p w14:paraId="33DAB159" w14:textId="77777777" w:rsidR="004D6A64" w:rsidRDefault="004D6A64">
            <w:pPr>
              <w:rPr>
                <w:rFonts w:ascii="宋体"/>
                <w:vanish/>
              </w:rPr>
            </w:pPr>
          </w:p>
        </w:tc>
        <w:tc>
          <w:tcPr>
            <w:tcW w:w="0" w:type="auto"/>
            <w:gridSpan w:val="3"/>
            <w:shd w:val="clear" w:color="auto" w:fill="auto"/>
          </w:tcPr>
          <w:p w14:paraId="33DAB15A" w14:textId="77777777" w:rsidR="004D6A64" w:rsidRDefault="004D6A64">
            <w:pPr>
              <w:rPr>
                <w:rFonts w:ascii="宋体"/>
                <w:vanish/>
              </w:rPr>
            </w:pPr>
          </w:p>
        </w:tc>
      </w:tr>
      <w:tr w:rsidR="004D6A64" w14:paraId="33DAB166" w14:textId="77777777">
        <w:trPr>
          <w:jc w:val="center"/>
        </w:trPr>
        <w:tc>
          <w:tcPr>
            <w:tcW w:w="0" w:type="auto"/>
            <w:gridSpan w:val="3"/>
            <w:shd w:val="clear" w:color="auto" w:fill="CCEEFF"/>
            <w:tcMar>
              <w:top w:w="40" w:type="dxa"/>
              <w:left w:w="20" w:type="dxa"/>
              <w:bottom w:w="40" w:type="dxa"/>
              <w:right w:w="20" w:type="dxa"/>
            </w:tcMar>
            <w:vAlign w:val="center"/>
          </w:tcPr>
          <w:p w14:paraId="33DAB15C" w14:textId="77777777" w:rsidR="004D6A64" w:rsidRDefault="00506CD6">
            <w:pPr>
              <w:textAlignment w:val="center"/>
            </w:pPr>
            <w:r>
              <w:rPr>
                <w:rFonts w:ascii="Times New Roman" w:eastAsia="宋体" w:hAnsi="Times New Roman"/>
                <w:i/>
                <w:iCs/>
                <w:color w:val="000000"/>
                <w:sz w:val="20"/>
                <w:szCs w:val="20"/>
              </w:rPr>
              <w:t>Assets held by consolidated VIEs, net:</w:t>
            </w:r>
          </w:p>
        </w:tc>
        <w:tc>
          <w:tcPr>
            <w:tcW w:w="0" w:type="auto"/>
            <w:gridSpan w:val="3"/>
            <w:shd w:val="clear" w:color="auto" w:fill="CCEEFF"/>
            <w:tcMar>
              <w:top w:w="40" w:type="dxa"/>
              <w:left w:w="20" w:type="dxa"/>
              <w:bottom w:w="40" w:type="dxa"/>
              <w:right w:w="20" w:type="dxa"/>
            </w:tcMar>
            <w:vAlign w:val="center"/>
          </w:tcPr>
          <w:p w14:paraId="33DAB15D" w14:textId="77777777" w:rsidR="004D6A64" w:rsidRDefault="00506CD6">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left w:w="20" w:type="dxa"/>
              <w:right w:w="20" w:type="dxa"/>
            </w:tcMar>
            <w:vAlign w:val="bottom"/>
          </w:tcPr>
          <w:p w14:paraId="33DAB15E" w14:textId="77777777" w:rsidR="004D6A64" w:rsidRDefault="004D6A64">
            <w:pPr>
              <w:rPr>
                <w:rFonts w:ascii="宋体"/>
              </w:rPr>
            </w:pPr>
          </w:p>
        </w:tc>
        <w:tc>
          <w:tcPr>
            <w:tcW w:w="0" w:type="auto"/>
            <w:gridSpan w:val="3"/>
            <w:shd w:val="clear" w:color="auto" w:fill="CCEEFF"/>
            <w:tcMar>
              <w:top w:w="40" w:type="dxa"/>
              <w:left w:w="20" w:type="dxa"/>
              <w:bottom w:w="40" w:type="dxa"/>
              <w:right w:w="20" w:type="dxa"/>
            </w:tcMar>
            <w:vAlign w:val="center"/>
          </w:tcPr>
          <w:p w14:paraId="33DAB15F"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auto"/>
          </w:tcPr>
          <w:p w14:paraId="33DAB160" w14:textId="77777777" w:rsidR="004D6A64" w:rsidRDefault="004D6A64">
            <w:pPr>
              <w:rPr>
                <w:rFonts w:ascii="宋体"/>
              </w:rPr>
            </w:pPr>
          </w:p>
        </w:tc>
        <w:tc>
          <w:tcPr>
            <w:tcW w:w="0" w:type="auto"/>
            <w:shd w:val="clear" w:color="auto" w:fill="auto"/>
          </w:tcPr>
          <w:p w14:paraId="33DAB161" w14:textId="77777777" w:rsidR="004D6A64" w:rsidRDefault="004D6A64">
            <w:pPr>
              <w:rPr>
                <w:rFonts w:ascii="宋体"/>
              </w:rPr>
            </w:pPr>
          </w:p>
        </w:tc>
        <w:tc>
          <w:tcPr>
            <w:tcW w:w="0" w:type="auto"/>
            <w:shd w:val="clear" w:color="auto" w:fill="auto"/>
          </w:tcPr>
          <w:p w14:paraId="33DAB162" w14:textId="77777777" w:rsidR="004D6A64" w:rsidRDefault="004D6A64">
            <w:pPr>
              <w:rPr>
                <w:rFonts w:ascii="宋体"/>
              </w:rPr>
            </w:pPr>
          </w:p>
        </w:tc>
        <w:tc>
          <w:tcPr>
            <w:tcW w:w="0" w:type="auto"/>
            <w:shd w:val="clear" w:color="auto" w:fill="auto"/>
          </w:tcPr>
          <w:p w14:paraId="33DAB163" w14:textId="77777777" w:rsidR="004D6A64" w:rsidRDefault="004D6A64">
            <w:pPr>
              <w:rPr>
                <w:rFonts w:ascii="宋体"/>
              </w:rPr>
            </w:pPr>
          </w:p>
        </w:tc>
        <w:tc>
          <w:tcPr>
            <w:tcW w:w="0" w:type="auto"/>
            <w:shd w:val="clear" w:color="auto" w:fill="auto"/>
          </w:tcPr>
          <w:p w14:paraId="33DAB164" w14:textId="77777777" w:rsidR="004D6A64" w:rsidRDefault="004D6A64">
            <w:pPr>
              <w:rPr>
                <w:rFonts w:ascii="宋体"/>
              </w:rPr>
            </w:pPr>
          </w:p>
        </w:tc>
        <w:tc>
          <w:tcPr>
            <w:tcW w:w="0" w:type="auto"/>
            <w:shd w:val="clear" w:color="auto" w:fill="auto"/>
          </w:tcPr>
          <w:p w14:paraId="33DAB165" w14:textId="77777777" w:rsidR="004D6A64" w:rsidRDefault="004D6A64">
            <w:pPr>
              <w:rPr>
                <w:rFonts w:ascii="宋体"/>
              </w:rPr>
            </w:pPr>
          </w:p>
        </w:tc>
      </w:tr>
      <w:tr w:rsidR="004D6A64" w14:paraId="33DAB175" w14:textId="77777777">
        <w:trPr>
          <w:jc w:val="center"/>
        </w:trPr>
        <w:tc>
          <w:tcPr>
            <w:tcW w:w="0" w:type="auto"/>
            <w:gridSpan w:val="3"/>
            <w:shd w:val="clear" w:color="auto" w:fill="FFFFFF"/>
            <w:tcMar>
              <w:top w:w="40" w:type="dxa"/>
              <w:left w:w="135" w:type="dxa"/>
              <w:bottom w:w="40" w:type="dxa"/>
              <w:right w:w="20" w:type="dxa"/>
            </w:tcMar>
            <w:vAlign w:val="center"/>
          </w:tcPr>
          <w:p w14:paraId="33DAB167" w14:textId="77777777" w:rsidR="004D6A64" w:rsidRDefault="00506CD6">
            <w:pPr>
              <w:textAlignment w:val="center"/>
            </w:pPr>
            <w:r>
              <w:rPr>
                <w:rFonts w:ascii="Times New Roman" w:eastAsia="宋体" w:hAnsi="Times New Roman"/>
                <w:color w:val="000000"/>
                <w:sz w:val="20"/>
                <w:szCs w:val="20"/>
              </w:rPr>
              <w:t>Short-term, net</w:t>
            </w:r>
          </w:p>
        </w:tc>
        <w:tc>
          <w:tcPr>
            <w:tcW w:w="0" w:type="auto"/>
            <w:shd w:val="clear" w:color="auto" w:fill="FFFFFF"/>
            <w:tcMar>
              <w:top w:w="40" w:type="dxa"/>
              <w:left w:w="20" w:type="dxa"/>
              <w:bottom w:w="40" w:type="dxa"/>
            </w:tcMar>
            <w:vAlign w:val="center"/>
          </w:tcPr>
          <w:p w14:paraId="33DAB168"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B169" w14:textId="77777777" w:rsidR="004D6A64" w:rsidRDefault="00506CD6">
            <w:pPr>
              <w:jc w:val="right"/>
              <w:textAlignment w:val="center"/>
            </w:pPr>
            <w:r>
              <w:rPr>
                <w:rFonts w:ascii="Times New Roman" w:eastAsia="宋体" w:hAnsi="Times New Roman"/>
                <w:color w:val="000000"/>
                <w:sz w:val="20"/>
                <w:szCs w:val="20"/>
              </w:rPr>
              <w:t>3,315 </w:t>
            </w:r>
          </w:p>
        </w:tc>
        <w:tc>
          <w:tcPr>
            <w:tcW w:w="0" w:type="auto"/>
            <w:shd w:val="clear" w:color="auto" w:fill="FFFFFF"/>
            <w:tcMar>
              <w:top w:w="40" w:type="dxa"/>
              <w:bottom w:w="40" w:type="dxa"/>
              <w:right w:w="20" w:type="dxa"/>
            </w:tcMar>
            <w:vAlign w:val="center"/>
          </w:tcPr>
          <w:p w14:paraId="33DAB16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16B"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B16C"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B16D" w14:textId="77777777" w:rsidR="004D6A64" w:rsidRDefault="00506CD6">
            <w:pPr>
              <w:jc w:val="right"/>
              <w:textAlignment w:val="center"/>
            </w:pPr>
            <w:r>
              <w:rPr>
                <w:rFonts w:ascii="Times New Roman" w:eastAsia="宋体" w:hAnsi="Times New Roman"/>
                <w:color w:val="000000"/>
                <w:sz w:val="20"/>
                <w:szCs w:val="20"/>
              </w:rPr>
              <w:t>3,316 </w:t>
            </w:r>
          </w:p>
        </w:tc>
        <w:tc>
          <w:tcPr>
            <w:tcW w:w="0" w:type="auto"/>
            <w:shd w:val="clear" w:color="auto" w:fill="FFFFFF"/>
            <w:tcMar>
              <w:top w:w="40" w:type="dxa"/>
              <w:bottom w:w="40" w:type="dxa"/>
              <w:right w:w="20" w:type="dxa"/>
            </w:tcMar>
            <w:vAlign w:val="center"/>
          </w:tcPr>
          <w:p w14:paraId="33DAB16E" w14:textId="77777777" w:rsidR="004D6A64" w:rsidRDefault="004D6A64">
            <w:pPr>
              <w:jc w:val="right"/>
              <w:rPr>
                <w:rFonts w:ascii="宋体"/>
              </w:rPr>
            </w:pPr>
          </w:p>
        </w:tc>
        <w:tc>
          <w:tcPr>
            <w:tcW w:w="0" w:type="auto"/>
            <w:shd w:val="clear" w:color="auto" w:fill="auto"/>
          </w:tcPr>
          <w:p w14:paraId="33DAB16F" w14:textId="77777777" w:rsidR="004D6A64" w:rsidRDefault="004D6A64">
            <w:pPr>
              <w:rPr>
                <w:rFonts w:ascii="宋体"/>
              </w:rPr>
            </w:pPr>
          </w:p>
        </w:tc>
        <w:tc>
          <w:tcPr>
            <w:tcW w:w="0" w:type="auto"/>
            <w:shd w:val="clear" w:color="auto" w:fill="auto"/>
          </w:tcPr>
          <w:p w14:paraId="33DAB170" w14:textId="77777777" w:rsidR="004D6A64" w:rsidRDefault="004D6A64">
            <w:pPr>
              <w:rPr>
                <w:rFonts w:ascii="宋体"/>
              </w:rPr>
            </w:pPr>
          </w:p>
        </w:tc>
        <w:tc>
          <w:tcPr>
            <w:tcW w:w="0" w:type="auto"/>
            <w:shd w:val="clear" w:color="auto" w:fill="auto"/>
          </w:tcPr>
          <w:p w14:paraId="33DAB171" w14:textId="77777777" w:rsidR="004D6A64" w:rsidRDefault="004D6A64">
            <w:pPr>
              <w:rPr>
                <w:rFonts w:ascii="宋体"/>
              </w:rPr>
            </w:pPr>
          </w:p>
        </w:tc>
        <w:tc>
          <w:tcPr>
            <w:tcW w:w="0" w:type="auto"/>
            <w:shd w:val="clear" w:color="auto" w:fill="auto"/>
          </w:tcPr>
          <w:p w14:paraId="33DAB172" w14:textId="77777777" w:rsidR="004D6A64" w:rsidRDefault="004D6A64">
            <w:pPr>
              <w:rPr>
                <w:rFonts w:ascii="宋体"/>
              </w:rPr>
            </w:pPr>
          </w:p>
        </w:tc>
        <w:tc>
          <w:tcPr>
            <w:tcW w:w="0" w:type="auto"/>
            <w:shd w:val="clear" w:color="auto" w:fill="auto"/>
          </w:tcPr>
          <w:p w14:paraId="33DAB173" w14:textId="77777777" w:rsidR="004D6A64" w:rsidRDefault="004D6A64">
            <w:pPr>
              <w:rPr>
                <w:rFonts w:ascii="宋体"/>
              </w:rPr>
            </w:pPr>
          </w:p>
        </w:tc>
        <w:tc>
          <w:tcPr>
            <w:tcW w:w="0" w:type="auto"/>
            <w:shd w:val="clear" w:color="auto" w:fill="auto"/>
          </w:tcPr>
          <w:p w14:paraId="33DAB174" w14:textId="77777777" w:rsidR="004D6A64" w:rsidRDefault="004D6A64">
            <w:pPr>
              <w:rPr>
                <w:rFonts w:ascii="宋体"/>
              </w:rPr>
            </w:pPr>
          </w:p>
        </w:tc>
      </w:tr>
      <w:tr w:rsidR="004D6A64" w14:paraId="33DAB182" w14:textId="77777777">
        <w:trPr>
          <w:jc w:val="center"/>
        </w:trPr>
        <w:tc>
          <w:tcPr>
            <w:tcW w:w="0" w:type="auto"/>
            <w:gridSpan w:val="3"/>
            <w:shd w:val="clear" w:color="auto" w:fill="CCEEFF"/>
            <w:tcMar>
              <w:top w:w="40" w:type="dxa"/>
              <w:left w:w="135" w:type="dxa"/>
              <w:bottom w:w="40" w:type="dxa"/>
              <w:right w:w="20" w:type="dxa"/>
            </w:tcMar>
            <w:vAlign w:val="center"/>
          </w:tcPr>
          <w:p w14:paraId="33DAB176" w14:textId="77777777" w:rsidR="004D6A64" w:rsidRDefault="00506CD6">
            <w:pPr>
              <w:textAlignment w:val="center"/>
            </w:pPr>
            <w:r>
              <w:rPr>
                <w:rFonts w:ascii="Times New Roman" w:eastAsia="宋体" w:hAnsi="Times New Roman"/>
                <w:color w:val="000000"/>
                <w:sz w:val="20"/>
                <w:szCs w:val="20"/>
              </w:rPr>
              <w:t>Long-term, net</w:t>
            </w:r>
          </w:p>
        </w:tc>
        <w:tc>
          <w:tcPr>
            <w:tcW w:w="0" w:type="auto"/>
            <w:gridSpan w:val="2"/>
            <w:shd w:val="clear" w:color="auto" w:fill="CCEEFF"/>
            <w:tcMar>
              <w:top w:w="40" w:type="dxa"/>
              <w:left w:w="20" w:type="dxa"/>
              <w:bottom w:w="40" w:type="dxa"/>
              <w:right w:w="0" w:type="dxa"/>
            </w:tcMar>
            <w:vAlign w:val="center"/>
          </w:tcPr>
          <w:p w14:paraId="33DAB177" w14:textId="77777777" w:rsidR="004D6A64" w:rsidRDefault="00506CD6">
            <w:pPr>
              <w:jc w:val="right"/>
              <w:textAlignment w:val="center"/>
            </w:pPr>
            <w:r>
              <w:rPr>
                <w:rFonts w:ascii="Times New Roman" w:eastAsia="宋体" w:hAnsi="Times New Roman"/>
                <w:color w:val="000000"/>
                <w:sz w:val="20"/>
                <w:szCs w:val="20"/>
              </w:rPr>
              <w:t>3,867 </w:t>
            </w:r>
          </w:p>
        </w:tc>
        <w:tc>
          <w:tcPr>
            <w:tcW w:w="0" w:type="auto"/>
            <w:shd w:val="clear" w:color="auto" w:fill="CCEEFF"/>
            <w:tcMar>
              <w:top w:w="40" w:type="dxa"/>
              <w:bottom w:w="40" w:type="dxa"/>
              <w:right w:w="20" w:type="dxa"/>
            </w:tcMar>
            <w:vAlign w:val="center"/>
          </w:tcPr>
          <w:p w14:paraId="33DAB17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17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B17A" w14:textId="77777777" w:rsidR="004D6A64" w:rsidRDefault="00506CD6">
            <w:pPr>
              <w:jc w:val="right"/>
              <w:textAlignment w:val="center"/>
            </w:pPr>
            <w:r>
              <w:rPr>
                <w:rFonts w:ascii="Times New Roman" w:eastAsia="宋体" w:hAnsi="Times New Roman"/>
                <w:color w:val="000000"/>
                <w:sz w:val="20"/>
                <w:szCs w:val="20"/>
              </w:rPr>
              <w:t>3,348 </w:t>
            </w:r>
          </w:p>
        </w:tc>
        <w:tc>
          <w:tcPr>
            <w:tcW w:w="0" w:type="auto"/>
            <w:shd w:val="clear" w:color="auto" w:fill="CCEEFF"/>
            <w:tcMar>
              <w:top w:w="40" w:type="dxa"/>
              <w:bottom w:w="40" w:type="dxa"/>
              <w:right w:w="20" w:type="dxa"/>
            </w:tcMar>
            <w:vAlign w:val="center"/>
          </w:tcPr>
          <w:p w14:paraId="33DAB17B" w14:textId="77777777" w:rsidR="004D6A64" w:rsidRDefault="004D6A64">
            <w:pPr>
              <w:jc w:val="right"/>
              <w:rPr>
                <w:rFonts w:ascii="宋体"/>
              </w:rPr>
            </w:pPr>
          </w:p>
        </w:tc>
        <w:tc>
          <w:tcPr>
            <w:tcW w:w="0" w:type="auto"/>
            <w:shd w:val="clear" w:color="auto" w:fill="auto"/>
          </w:tcPr>
          <w:p w14:paraId="33DAB17C" w14:textId="77777777" w:rsidR="004D6A64" w:rsidRDefault="004D6A64">
            <w:pPr>
              <w:rPr>
                <w:rFonts w:ascii="宋体"/>
              </w:rPr>
            </w:pPr>
          </w:p>
        </w:tc>
        <w:tc>
          <w:tcPr>
            <w:tcW w:w="0" w:type="auto"/>
            <w:shd w:val="clear" w:color="auto" w:fill="auto"/>
          </w:tcPr>
          <w:p w14:paraId="33DAB17D" w14:textId="77777777" w:rsidR="004D6A64" w:rsidRDefault="004D6A64">
            <w:pPr>
              <w:rPr>
                <w:rFonts w:ascii="宋体"/>
              </w:rPr>
            </w:pPr>
          </w:p>
        </w:tc>
        <w:tc>
          <w:tcPr>
            <w:tcW w:w="0" w:type="auto"/>
            <w:shd w:val="clear" w:color="auto" w:fill="auto"/>
          </w:tcPr>
          <w:p w14:paraId="33DAB17E" w14:textId="77777777" w:rsidR="004D6A64" w:rsidRDefault="004D6A64">
            <w:pPr>
              <w:rPr>
                <w:rFonts w:ascii="宋体"/>
              </w:rPr>
            </w:pPr>
          </w:p>
        </w:tc>
        <w:tc>
          <w:tcPr>
            <w:tcW w:w="0" w:type="auto"/>
            <w:shd w:val="clear" w:color="auto" w:fill="auto"/>
          </w:tcPr>
          <w:p w14:paraId="33DAB17F" w14:textId="77777777" w:rsidR="004D6A64" w:rsidRDefault="004D6A64">
            <w:pPr>
              <w:rPr>
                <w:rFonts w:ascii="宋体"/>
              </w:rPr>
            </w:pPr>
          </w:p>
        </w:tc>
        <w:tc>
          <w:tcPr>
            <w:tcW w:w="0" w:type="auto"/>
            <w:shd w:val="clear" w:color="auto" w:fill="auto"/>
          </w:tcPr>
          <w:p w14:paraId="33DAB180" w14:textId="77777777" w:rsidR="004D6A64" w:rsidRDefault="004D6A64">
            <w:pPr>
              <w:rPr>
                <w:rFonts w:ascii="宋体"/>
              </w:rPr>
            </w:pPr>
          </w:p>
        </w:tc>
        <w:tc>
          <w:tcPr>
            <w:tcW w:w="0" w:type="auto"/>
            <w:shd w:val="clear" w:color="auto" w:fill="auto"/>
          </w:tcPr>
          <w:p w14:paraId="33DAB181" w14:textId="77777777" w:rsidR="004D6A64" w:rsidRDefault="004D6A64">
            <w:pPr>
              <w:rPr>
                <w:rFonts w:ascii="宋体"/>
              </w:rPr>
            </w:pPr>
          </w:p>
        </w:tc>
      </w:tr>
      <w:tr w:rsidR="004D6A64" w14:paraId="33DAB191" w14:textId="77777777">
        <w:trPr>
          <w:jc w:val="center"/>
        </w:trPr>
        <w:tc>
          <w:tcPr>
            <w:tcW w:w="0" w:type="auto"/>
            <w:gridSpan w:val="3"/>
            <w:shd w:val="clear" w:color="auto" w:fill="FFFFFF"/>
            <w:tcMar>
              <w:top w:w="40" w:type="dxa"/>
              <w:left w:w="255" w:type="dxa"/>
              <w:bottom w:w="40" w:type="dxa"/>
              <w:right w:w="20" w:type="dxa"/>
            </w:tcMar>
            <w:vAlign w:val="center"/>
          </w:tcPr>
          <w:p w14:paraId="33DAB183" w14:textId="77777777" w:rsidR="004D6A64" w:rsidRDefault="00506CD6">
            <w:pPr>
              <w:textAlignment w:val="center"/>
            </w:pPr>
            <w:r>
              <w:rPr>
                <w:rFonts w:ascii="Times New Roman" w:eastAsia="宋体" w:hAnsi="Times New Roman"/>
                <w:color w:val="000000"/>
                <w:sz w:val="20"/>
                <w:szCs w:val="20"/>
              </w:rPr>
              <w:t>Assets held by consolidated VIEs, net</w:t>
            </w: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B184"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B185" w14:textId="77777777" w:rsidR="004D6A64" w:rsidRDefault="00506CD6">
            <w:pPr>
              <w:jc w:val="right"/>
              <w:textAlignment w:val="center"/>
            </w:pPr>
            <w:r>
              <w:rPr>
                <w:rFonts w:ascii="Times New Roman" w:eastAsia="宋体" w:hAnsi="Times New Roman"/>
                <w:color w:val="000000"/>
                <w:sz w:val="20"/>
                <w:szCs w:val="20"/>
              </w:rPr>
              <w:t>7,182 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B18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187"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B188"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B189" w14:textId="77777777" w:rsidR="004D6A64" w:rsidRDefault="00506CD6">
            <w:pPr>
              <w:jc w:val="right"/>
              <w:textAlignment w:val="center"/>
            </w:pPr>
            <w:r>
              <w:rPr>
                <w:rFonts w:ascii="Times New Roman" w:eastAsia="宋体" w:hAnsi="Times New Roman"/>
                <w:color w:val="000000"/>
                <w:sz w:val="20"/>
                <w:szCs w:val="20"/>
              </w:rPr>
              <w:t>6,664 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B18A" w14:textId="77777777" w:rsidR="004D6A64" w:rsidRDefault="004D6A64">
            <w:pPr>
              <w:jc w:val="right"/>
              <w:rPr>
                <w:rFonts w:ascii="宋体"/>
              </w:rPr>
            </w:pPr>
          </w:p>
        </w:tc>
        <w:tc>
          <w:tcPr>
            <w:tcW w:w="0" w:type="auto"/>
            <w:shd w:val="clear" w:color="auto" w:fill="auto"/>
          </w:tcPr>
          <w:p w14:paraId="33DAB18B" w14:textId="77777777" w:rsidR="004D6A64" w:rsidRDefault="004D6A64">
            <w:pPr>
              <w:rPr>
                <w:rFonts w:ascii="宋体"/>
              </w:rPr>
            </w:pPr>
          </w:p>
        </w:tc>
        <w:tc>
          <w:tcPr>
            <w:tcW w:w="0" w:type="auto"/>
            <w:shd w:val="clear" w:color="auto" w:fill="auto"/>
          </w:tcPr>
          <w:p w14:paraId="33DAB18C" w14:textId="77777777" w:rsidR="004D6A64" w:rsidRDefault="004D6A64">
            <w:pPr>
              <w:rPr>
                <w:rFonts w:ascii="宋体"/>
              </w:rPr>
            </w:pPr>
          </w:p>
        </w:tc>
        <w:tc>
          <w:tcPr>
            <w:tcW w:w="0" w:type="auto"/>
            <w:shd w:val="clear" w:color="auto" w:fill="auto"/>
          </w:tcPr>
          <w:p w14:paraId="33DAB18D" w14:textId="77777777" w:rsidR="004D6A64" w:rsidRDefault="004D6A64">
            <w:pPr>
              <w:rPr>
                <w:rFonts w:ascii="宋体"/>
              </w:rPr>
            </w:pPr>
          </w:p>
        </w:tc>
        <w:tc>
          <w:tcPr>
            <w:tcW w:w="0" w:type="auto"/>
            <w:shd w:val="clear" w:color="auto" w:fill="auto"/>
          </w:tcPr>
          <w:p w14:paraId="33DAB18E" w14:textId="77777777" w:rsidR="004D6A64" w:rsidRDefault="004D6A64">
            <w:pPr>
              <w:rPr>
                <w:rFonts w:ascii="宋体"/>
              </w:rPr>
            </w:pPr>
          </w:p>
        </w:tc>
        <w:tc>
          <w:tcPr>
            <w:tcW w:w="0" w:type="auto"/>
            <w:shd w:val="clear" w:color="auto" w:fill="auto"/>
          </w:tcPr>
          <w:p w14:paraId="33DAB18F" w14:textId="77777777" w:rsidR="004D6A64" w:rsidRDefault="004D6A64">
            <w:pPr>
              <w:rPr>
                <w:rFonts w:ascii="宋体"/>
              </w:rPr>
            </w:pPr>
          </w:p>
        </w:tc>
        <w:tc>
          <w:tcPr>
            <w:tcW w:w="0" w:type="auto"/>
            <w:shd w:val="clear" w:color="auto" w:fill="auto"/>
          </w:tcPr>
          <w:p w14:paraId="33DAB190" w14:textId="77777777" w:rsidR="004D6A64" w:rsidRDefault="004D6A64">
            <w:pPr>
              <w:rPr>
                <w:rFonts w:ascii="宋体"/>
              </w:rPr>
            </w:pPr>
          </w:p>
        </w:tc>
      </w:tr>
    </w:tbl>
    <w:p w14:paraId="33DAB192" w14:textId="77777777" w:rsidR="004D6A64" w:rsidRDefault="004D6A64">
      <w:pPr>
        <w:jc w:val="center"/>
      </w:pPr>
    </w:p>
    <w:p w14:paraId="33DAB193" w14:textId="77777777" w:rsidR="004D6A64" w:rsidRDefault="00506CD6">
      <w:r>
        <w:rPr>
          <w:rFonts w:ascii="Times New Roman" w:eastAsia="宋体" w:hAnsi="Times New Roman"/>
          <w:color w:val="000000"/>
          <w:sz w:val="20"/>
          <w:szCs w:val="20"/>
        </w:rPr>
        <w:t>Loan and l</w:t>
      </w:r>
      <w:r>
        <w:rPr>
          <w:rFonts w:ascii="Times New Roman" w:eastAsia="宋体" w:hAnsi="Times New Roman"/>
          <w:color w:val="000000"/>
          <w:sz w:val="20"/>
          <w:szCs w:val="20"/>
        </w:rPr>
        <w:t>ease payments and associated equipment transferred via securitization through SPEs were $1.2 billion and $1.3 billion for the three months ended July 31, 2020 and August 2, 2019, respectively, and $3.0 billion and $2.8 billion for the six months ended July</w:t>
      </w:r>
      <w:r>
        <w:rPr>
          <w:rFonts w:ascii="Times New Roman" w:eastAsia="宋体" w:hAnsi="Times New Roman"/>
          <w:color w:val="000000"/>
          <w:sz w:val="20"/>
          <w:szCs w:val="20"/>
        </w:rPr>
        <w:t> 31, 2020 and August 2, 2019, respectively.</w:t>
      </w:r>
    </w:p>
    <w:p w14:paraId="33DAB194" w14:textId="77777777" w:rsidR="004D6A64" w:rsidRDefault="004D6A64"/>
    <w:p w14:paraId="33DAB195" w14:textId="77777777" w:rsidR="004D6A64" w:rsidRDefault="004D6A64">
      <w:pPr>
        <w:jc w:val="center"/>
      </w:pPr>
    </w:p>
    <w:p w14:paraId="33DAB196" w14:textId="77777777" w:rsidR="004D6A64" w:rsidRDefault="00506CD6">
      <w:pPr>
        <w:jc w:val="center"/>
      </w:pPr>
      <w:r>
        <w:rPr>
          <w:rFonts w:ascii="Times New Roman" w:eastAsia="宋体" w:hAnsi="Times New Roman"/>
          <w:color w:val="000000"/>
          <w:sz w:val="20"/>
          <w:szCs w:val="20"/>
        </w:rPr>
        <w:t>28</w:t>
      </w:r>
    </w:p>
    <w:p w14:paraId="33DAB197" w14:textId="77777777" w:rsidR="004D6A64" w:rsidRDefault="004D6A64">
      <w:pPr>
        <w:jc w:val="center"/>
      </w:pPr>
    </w:p>
    <w:p w14:paraId="33DAB198" w14:textId="77777777" w:rsidR="004D6A64" w:rsidRDefault="00506CD6">
      <w:r>
        <w:pict w14:anchorId="33DAFAE0">
          <v:rect id="_x0000_i1052" style="width:415.3pt;height:1.5pt" o:hralign="center" o:hrstd="t" o:hr="t" fillcolor="#a0a0a0" stroked="f"/>
        </w:pict>
      </w:r>
    </w:p>
    <w:p w14:paraId="33DAB199" w14:textId="77777777" w:rsidR="004D6A64" w:rsidRDefault="00506CD6">
      <w:hyperlink r:id="rId151" w:anchor="if3e0e1bf9ecd4bf69551d7a85f98d64a_10" w:history="1">
        <w:r>
          <w:rPr>
            <w:rStyle w:val="a5"/>
            <w:rFonts w:ascii="Times New Roman" w:eastAsia="宋体" w:hAnsi="Times New Roman"/>
            <w:sz w:val="20"/>
            <w:szCs w:val="20"/>
          </w:rPr>
          <w:t>Table of Contents</w:t>
        </w:r>
      </w:hyperlink>
    </w:p>
    <w:p w14:paraId="33DAB19A"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B19B"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33DAB19C"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B19D" w14:textId="77777777" w:rsidR="004D6A64" w:rsidRDefault="004D6A64">
      <w:pPr>
        <w:jc w:val="center"/>
      </w:pPr>
    </w:p>
    <w:p w14:paraId="33DAB19E" w14:textId="77777777" w:rsidR="004D6A64" w:rsidRDefault="00506CD6">
      <w:r>
        <w:rPr>
          <w:rFonts w:ascii="Times New Roman" w:eastAsia="宋体" w:hAnsi="Times New Roman"/>
          <w:color w:val="000000"/>
          <w:sz w:val="20"/>
          <w:szCs w:val="20"/>
        </w:rPr>
        <w:t>Some of the SPEs have entered into financing arrangements with multi-seller conduits that, in turn, issue asset-backed debt securities in the capital markets. The DFS debt ou</w:t>
      </w:r>
      <w:r>
        <w:rPr>
          <w:rFonts w:ascii="Times New Roman" w:eastAsia="宋体" w:hAnsi="Times New Roman"/>
          <w:color w:val="000000"/>
          <w:sz w:val="20"/>
          <w:szCs w:val="20"/>
        </w:rPr>
        <w:t>tstanding, which is collateralized by the loan and lease payments and associated equipment held by the consolidated VIEs, was $6.6 billion and $5.9 billion as of July 31, 2020 and January 31, 2020, respectively. The Company’s risk of loss related to securi</w:t>
      </w:r>
      <w:r>
        <w:rPr>
          <w:rFonts w:ascii="Times New Roman" w:eastAsia="宋体" w:hAnsi="Times New Roman"/>
          <w:color w:val="000000"/>
          <w:sz w:val="20"/>
          <w:szCs w:val="20"/>
        </w:rPr>
        <w:t>tized receivables is limited to the amount by which the Company’s right to receive collections for assets securitized exceeds the amount required to pay interest, principal, and fees and expenses related to the asset-backed securities. The Company provides</w:t>
      </w:r>
      <w:r>
        <w:rPr>
          <w:rFonts w:ascii="Times New Roman" w:eastAsia="宋体" w:hAnsi="Times New Roman"/>
          <w:color w:val="000000"/>
          <w:sz w:val="20"/>
          <w:szCs w:val="20"/>
        </w:rPr>
        <w:t xml:space="preserve"> credit enhancement to the securitizations in the form of over-collateralization.</w:t>
      </w:r>
    </w:p>
    <w:p w14:paraId="33DAB19F" w14:textId="77777777" w:rsidR="004D6A64" w:rsidRDefault="004D6A64"/>
    <w:p w14:paraId="33DAB1A0" w14:textId="77777777" w:rsidR="004D6A64" w:rsidRDefault="00506CD6">
      <w:r>
        <w:rPr>
          <w:rFonts w:ascii="Times New Roman" w:eastAsia="宋体" w:hAnsi="Times New Roman"/>
          <w:b/>
          <w:bCs/>
          <w:color w:val="000000"/>
          <w:sz w:val="20"/>
          <w:szCs w:val="20"/>
        </w:rPr>
        <w:t>Customer Receivables Sales</w:t>
      </w:r>
    </w:p>
    <w:p w14:paraId="33DAB1A1" w14:textId="77777777" w:rsidR="004D6A64" w:rsidRDefault="004D6A64"/>
    <w:p w14:paraId="33DAB1A2" w14:textId="77777777" w:rsidR="004D6A64" w:rsidRDefault="00506CD6">
      <w:r>
        <w:rPr>
          <w:rFonts w:ascii="Times New Roman" w:eastAsia="宋体" w:hAnsi="Times New Roman"/>
          <w:color w:val="000000"/>
          <w:sz w:val="20"/>
          <w:szCs w:val="20"/>
        </w:rPr>
        <w:t>To manage certain concentrations of customer credit exposure, the Company may sell selected fixed-term customer receivables to unrelated third pa</w:t>
      </w:r>
      <w:r>
        <w:rPr>
          <w:rFonts w:ascii="Times New Roman" w:eastAsia="宋体" w:hAnsi="Times New Roman"/>
          <w:color w:val="000000"/>
          <w:sz w:val="20"/>
          <w:szCs w:val="20"/>
        </w:rPr>
        <w:t>rties on a periodic basis, without recourse. The amount of customer receivables sold for this purpose was $228 million and $246 million for the six months ended July 31, 2020 and August 2, 2019, respectively. The Company’s continuing involvement in the abo</w:t>
      </w:r>
      <w:r>
        <w:rPr>
          <w:rFonts w:ascii="Times New Roman" w:eastAsia="宋体" w:hAnsi="Times New Roman"/>
          <w:color w:val="000000"/>
          <w:sz w:val="20"/>
          <w:szCs w:val="20"/>
        </w:rPr>
        <w:t>ve mentioned customer receivables is primarily limited to servicing arrangements.</w:t>
      </w:r>
    </w:p>
    <w:p w14:paraId="33DAB1A3" w14:textId="77777777" w:rsidR="004D6A64" w:rsidRDefault="004D6A64">
      <w:pPr>
        <w:jc w:val="center"/>
      </w:pPr>
    </w:p>
    <w:p w14:paraId="33DAB1A4" w14:textId="77777777" w:rsidR="004D6A64" w:rsidRDefault="00506CD6">
      <w:pPr>
        <w:jc w:val="center"/>
      </w:pPr>
      <w:r>
        <w:rPr>
          <w:rFonts w:ascii="Times New Roman" w:eastAsia="宋体" w:hAnsi="Times New Roman"/>
          <w:color w:val="000000"/>
          <w:sz w:val="20"/>
          <w:szCs w:val="20"/>
        </w:rPr>
        <w:t>29</w:t>
      </w:r>
    </w:p>
    <w:p w14:paraId="33DAB1A5" w14:textId="77777777" w:rsidR="004D6A64" w:rsidRDefault="004D6A64">
      <w:pPr>
        <w:jc w:val="center"/>
      </w:pPr>
    </w:p>
    <w:p w14:paraId="33DAB1A6" w14:textId="77777777" w:rsidR="004D6A64" w:rsidRDefault="00506CD6">
      <w:r>
        <w:pict w14:anchorId="33DAFAE1">
          <v:rect id="_x0000_i1053" style="width:415.3pt;height:1.5pt" o:hralign="center" o:hrstd="t" o:hr="t" fillcolor="#a0a0a0" stroked="f"/>
        </w:pict>
      </w:r>
    </w:p>
    <w:p w14:paraId="33DAB1A7" w14:textId="77777777" w:rsidR="004D6A64" w:rsidRDefault="00506CD6">
      <w:hyperlink r:id="rId152" w:anchor="if3e0e1bf9ecd4bf69551d7a85f98d64a_10" w:history="1">
        <w:r>
          <w:rPr>
            <w:rStyle w:val="a5"/>
            <w:rFonts w:ascii="Times New Roman" w:eastAsia="宋体" w:hAnsi="Times New Roman"/>
            <w:sz w:val="20"/>
            <w:szCs w:val="20"/>
          </w:rPr>
          <w:t>Table of Content</w:t>
        </w:r>
        <w:r>
          <w:rPr>
            <w:rStyle w:val="a5"/>
            <w:rFonts w:ascii="Times New Roman" w:eastAsia="宋体" w:hAnsi="Times New Roman"/>
            <w:sz w:val="20"/>
            <w:szCs w:val="20"/>
          </w:rPr>
          <w:t>s</w:t>
        </w:r>
      </w:hyperlink>
    </w:p>
    <w:p w14:paraId="33DAB1A8"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B1A9"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33DAB1AA"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B1AB" w14:textId="77777777" w:rsidR="004D6A64" w:rsidRDefault="004D6A64">
      <w:pPr>
        <w:jc w:val="center"/>
      </w:pPr>
    </w:p>
    <w:p w14:paraId="33DAB1AC" w14:textId="77777777" w:rsidR="004D6A64" w:rsidRDefault="00506CD6">
      <w:r>
        <w:rPr>
          <w:rFonts w:ascii="Times New Roman" w:eastAsia="宋体" w:hAnsi="Times New Roman"/>
          <w:b/>
          <w:bCs/>
          <w:color w:val="000000"/>
          <w:sz w:val="20"/>
          <w:szCs w:val="20"/>
        </w:rPr>
        <w:t xml:space="preserve">NOTE 5 — LEASES </w:t>
      </w:r>
    </w:p>
    <w:p w14:paraId="33DAB1AD" w14:textId="77777777" w:rsidR="004D6A64" w:rsidRDefault="004D6A64"/>
    <w:p w14:paraId="33DAB1AE" w14:textId="77777777" w:rsidR="004D6A64" w:rsidRDefault="00506CD6">
      <w:r>
        <w:rPr>
          <w:rFonts w:ascii="Times New Roman" w:eastAsia="宋体" w:hAnsi="Times New Roman"/>
          <w:color w:val="000000"/>
          <w:sz w:val="20"/>
          <w:szCs w:val="20"/>
        </w:rPr>
        <w:t>The Company enters into leasing transactions in which the Company is the lessee. These lease contracts are typically classified as operating leases. The Company’s lease contracts are generally for office buildings used to conduct its business, and the dete</w:t>
      </w:r>
      <w:r>
        <w:rPr>
          <w:rFonts w:ascii="Times New Roman" w:eastAsia="宋体" w:hAnsi="Times New Roman"/>
          <w:color w:val="000000"/>
          <w:sz w:val="20"/>
          <w:szCs w:val="20"/>
        </w:rPr>
        <w:t>rmination of whether such contracts contain leases generally does not require significant estimates or judgments. The Company also leases certain global logistics warehouses, employee vehicles, and equipment. As of July 31, 2020, the remaining terms of the</w:t>
      </w:r>
      <w:r>
        <w:rPr>
          <w:rFonts w:ascii="Times New Roman" w:eastAsia="宋体" w:hAnsi="Times New Roman"/>
          <w:color w:val="000000"/>
          <w:sz w:val="20"/>
          <w:szCs w:val="20"/>
        </w:rPr>
        <w:t xml:space="preserve"> Company’s leases range from less than one month to 26 years. </w:t>
      </w:r>
    </w:p>
    <w:p w14:paraId="33DAB1AF" w14:textId="77777777" w:rsidR="004D6A64" w:rsidRDefault="004D6A64"/>
    <w:p w14:paraId="33DAB1B0" w14:textId="77777777" w:rsidR="004D6A64" w:rsidRDefault="00506CD6">
      <w:r>
        <w:rPr>
          <w:rFonts w:ascii="Times New Roman" w:eastAsia="宋体" w:hAnsi="Times New Roman"/>
          <w:color w:val="000000"/>
          <w:sz w:val="20"/>
          <w:szCs w:val="20"/>
        </w:rPr>
        <w:t>The Company also enters into leasing transactions in which the Company is the lessor, primarily through customer financing arrangements offered through DFS. DFS originates leases that are prim</w:t>
      </w:r>
      <w:r>
        <w:rPr>
          <w:rFonts w:ascii="Times New Roman" w:eastAsia="宋体" w:hAnsi="Times New Roman"/>
          <w:color w:val="000000"/>
          <w:sz w:val="20"/>
          <w:szCs w:val="20"/>
        </w:rPr>
        <w:t xml:space="preserve">arily classified as either sales-type leases or operating leases. See Note 4 of the Notes to the Condensed Consolidated Financial Statements for more information on the DFS lease portfolio and related lease disclosures. </w:t>
      </w:r>
    </w:p>
    <w:p w14:paraId="33DAB1B1" w14:textId="77777777" w:rsidR="004D6A64" w:rsidRDefault="004D6A64"/>
    <w:p w14:paraId="33DAB1B2" w14:textId="77777777" w:rsidR="004D6A64" w:rsidRDefault="00506CD6">
      <w:r>
        <w:rPr>
          <w:rFonts w:ascii="Times New Roman" w:eastAsia="宋体" w:hAnsi="Times New Roman"/>
          <w:color w:val="000000"/>
          <w:sz w:val="20"/>
          <w:szCs w:val="20"/>
        </w:rPr>
        <w:t>In adopting the current lease acco</w:t>
      </w:r>
      <w:r>
        <w:rPr>
          <w:rFonts w:ascii="Times New Roman" w:eastAsia="宋体" w:hAnsi="Times New Roman"/>
          <w:color w:val="000000"/>
          <w:sz w:val="20"/>
          <w:szCs w:val="20"/>
        </w:rPr>
        <w:t>unting standard effective February 2, 2019, the Company elected to apply a transition method that does not require the retrospective application to periods prior to the effective date. Financial information associated with the Company’s leases in which the</w:t>
      </w:r>
      <w:r>
        <w:rPr>
          <w:rFonts w:ascii="Times New Roman" w:eastAsia="宋体" w:hAnsi="Times New Roman"/>
          <w:color w:val="000000"/>
          <w:sz w:val="20"/>
          <w:szCs w:val="20"/>
        </w:rPr>
        <w:t xml:space="preserve"> Company is the lessee is contained in this Note. As of July 31, 2020 and January 31, 2020, there were no material finance leases for which the Company was a lessee. </w:t>
      </w:r>
    </w:p>
    <w:p w14:paraId="33DAB1B3" w14:textId="77777777" w:rsidR="004D6A64" w:rsidRDefault="004D6A64"/>
    <w:p w14:paraId="33DAB1B4" w14:textId="77777777" w:rsidR="004D6A64" w:rsidRDefault="00506CD6">
      <w:r>
        <w:rPr>
          <w:rFonts w:ascii="Times New Roman" w:eastAsia="宋体" w:hAnsi="Times New Roman"/>
          <w:color w:val="000000"/>
          <w:sz w:val="20"/>
          <w:szCs w:val="20"/>
        </w:rPr>
        <w:t>The following table presents components of lease costs included in the Condensed Consoli</w:t>
      </w:r>
      <w:r>
        <w:rPr>
          <w:rFonts w:ascii="Times New Roman" w:eastAsia="宋体" w:hAnsi="Times New Roman"/>
          <w:color w:val="000000"/>
          <w:sz w:val="20"/>
          <w:szCs w:val="20"/>
        </w:rPr>
        <w:t>dated Statements of Income (Loss)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132"/>
        <w:gridCol w:w="36"/>
        <w:gridCol w:w="135"/>
        <w:gridCol w:w="862"/>
        <w:gridCol w:w="41"/>
        <w:gridCol w:w="36"/>
        <w:gridCol w:w="36"/>
        <w:gridCol w:w="36"/>
        <w:gridCol w:w="136"/>
        <w:gridCol w:w="862"/>
        <w:gridCol w:w="42"/>
        <w:gridCol w:w="36"/>
        <w:gridCol w:w="36"/>
        <w:gridCol w:w="36"/>
        <w:gridCol w:w="135"/>
        <w:gridCol w:w="862"/>
        <w:gridCol w:w="41"/>
        <w:gridCol w:w="36"/>
        <w:gridCol w:w="36"/>
        <w:gridCol w:w="36"/>
        <w:gridCol w:w="136"/>
        <w:gridCol w:w="865"/>
        <w:gridCol w:w="42"/>
        <w:gridCol w:w="36"/>
        <w:gridCol w:w="36"/>
        <w:gridCol w:w="36"/>
        <w:gridCol w:w="36"/>
        <w:gridCol w:w="36"/>
        <w:gridCol w:w="36"/>
        <w:gridCol w:w="36"/>
        <w:gridCol w:w="36"/>
        <w:gridCol w:w="36"/>
        <w:gridCol w:w="36"/>
        <w:gridCol w:w="36"/>
        <w:gridCol w:w="36"/>
        <w:gridCol w:w="36"/>
        <w:gridCol w:w="36"/>
        <w:gridCol w:w="36"/>
        <w:gridCol w:w="36"/>
        <w:gridCol w:w="36"/>
        <w:gridCol w:w="36"/>
      </w:tblGrid>
      <w:tr w:rsidR="004D6A64" w14:paraId="33DAB1CD" w14:textId="77777777">
        <w:trPr>
          <w:gridAfter w:val="18"/>
          <w:jc w:val="center"/>
        </w:trPr>
        <w:tc>
          <w:tcPr>
            <w:tcW w:w="50" w:type="pct"/>
            <w:shd w:val="clear" w:color="auto" w:fill="auto"/>
          </w:tcPr>
          <w:p w14:paraId="33DAB1B5" w14:textId="77777777" w:rsidR="004D6A64" w:rsidRDefault="004D6A64">
            <w:pPr>
              <w:rPr>
                <w:rFonts w:ascii="宋体"/>
              </w:rPr>
            </w:pPr>
          </w:p>
        </w:tc>
        <w:tc>
          <w:tcPr>
            <w:tcW w:w="2137" w:type="pct"/>
            <w:shd w:val="clear" w:color="auto" w:fill="auto"/>
          </w:tcPr>
          <w:p w14:paraId="33DAB1B6" w14:textId="77777777" w:rsidR="004D6A64" w:rsidRDefault="004D6A64">
            <w:pPr>
              <w:rPr>
                <w:rFonts w:ascii="宋体"/>
              </w:rPr>
            </w:pPr>
          </w:p>
        </w:tc>
        <w:tc>
          <w:tcPr>
            <w:tcW w:w="5" w:type="pct"/>
            <w:shd w:val="clear" w:color="auto" w:fill="auto"/>
          </w:tcPr>
          <w:p w14:paraId="33DAB1B7" w14:textId="77777777" w:rsidR="004D6A64" w:rsidRDefault="004D6A64">
            <w:pPr>
              <w:rPr>
                <w:rFonts w:ascii="宋体"/>
              </w:rPr>
            </w:pPr>
          </w:p>
        </w:tc>
        <w:tc>
          <w:tcPr>
            <w:tcW w:w="50" w:type="pct"/>
            <w:shd w:val="clear" w:color="auto" w:fill="auto"/>
          </w:tcPr>
          <w:p w14:paraId="33DAB1B8" w14:textId="77777777" w:rsidR="004D6A64" w:rsidRDefault="004D6A64">
            <w:pPr>
              <w:rPr>
                <w:rFonts w:ascii="宋体"/>
              </w:rPr>
            </w:pPr>
          </w:p>
        </w:tc>
        <w:tc>
          <w:tcPr>
            <w:tcW w:w="624" w:type="pct"/>
            <w:shd w:val="clear" w:color="auto" w:fill="auto"/>
          </w:tcPr>
          <w:p w14:paraId="33DAB1B9" w14:textId="77777777" w:rsidR="004D6A64" w:rsidRDefault="004D6A64">
            <w:pPr>
              <w:rPr>
                <w:rFonts w:ascii="宋体"/>
              </w:rPr>
            </w:pPr>
          </w:p>
        </w:tc>
        <w:tc>
          <w:tcPr>
            <w:tcW w:w="5" w:type="pct"/>
            <w:shd w:val="clear" w:color="auto" w:fill="auto"/>
          </w:tcPr>
          <w:p w14:paraId="33DAB1BA" w14:textId="77777777" w:rsidR="004D6A64" w:rsidRDefault="004D6A64">
            <w:pPr>
              <w:rPr>
                <w:rFonts w:ascii="宋体"/>
              </w:rPr>
            </w:pPr>
          </w:p>
        </w:tc>
        <w:tc>
          <w:tcPr>
            <w:tcW w:w="5" w:type="pct"/>
            <w:shd w:val="clear" w:color="auto" w:fill="auto"/>
          </w:tcPr>
          <w:p w14:paraId="33DAB1BB" w14:textId="77777777" w:rsidR="004D6A64" w:rsidRDefault="004D6A64">
            <w:pPr>
              <w:rPr>
                <w:rFonts w:ascii="宋体"/>
              </w:rPr>
            </w:pPr>
          </w:p>
        </w:tc>
        <w:tc>
          <w:tcPr>
            <w:tcW w:w="19" w:type="pct"/>
            <w:shd w:val="clear" w:color="auto" w:fill="auto"/>
          </w:tcPr>
          <w:p w14:paraId="33DAB1BC" w14:textId="77777777" w:rsidR="004D6A64" w:rsidRDefault="004D6A64">
            <w:pPr>
              <w:rPr>
                <w:rFonts w:ascii="宋体"/>
              </w:rPr>
            </w:pPr>
          </w:p>
        </w:tc>
        <w:tc>
          <w:tcPr>
            <w:tcW w:w="5" w:type="pct"/>
            <w:shd w:val="clear" w:color="auto" w:fill="auto"/>
          </w:tcPr>
          <w:p w14:paraId="33DAB1BD" w14:textId="77777777" w:rsidR="004D6A64" w:rsidRDefault="004D6A64">
            <w:pPr>
              <w:rPr>
                <w:rFonts w:ascii="宋体"/>
              </w:rPr>
            </w:pPr>
          </w:p>
        </w:tc>
        <w:tc>
          <w:tcPr>
            <w:tcW w:w="50" w:type="pct"/>
            <w:shd w:val="clear" w:color="auto" w:fill="auto"/>
          </w:tcPr>
          <w:p w14:paraId="33DAB1BE" w14:textId="77777777" w:rsidR="004D6A64" w:rsidRDefault="004D6A64">
            <w:pPr>
              <w:rPr>
                <w:rFonts w:ascii="宋体"/>
              </w:rPr>
            </w:pPr>
          </w:p>
        </w:tc>
        <w:tc>
          <w:tcPr>
            <w:tcW w:w="624" w:type="pct"/>
            <w:shd w:val="clear" w:color="auto" w:fill="auto"/>
          </w:tcPr>
          <w:p w14:paraId="33DAB1BF" w14:textId="77777777" w:rsidR="004D6A64" w:rsidRDefault="004D6A64">
            <w:pPr>
              <w:rPr>
                <w:rFonts w:ascii="宋体"/>
              </w:rPr>
            </w:pPr>
          </w:p>
        </w:tc>
        <w:tc>
          <w:tcPr>
            <w:tcW w:w="5" w:type="pct"/>
            <w:shd w:val="clear" w:color="auto" w:fill="auto"/>
          </w:tcPr>
          <w:p w14:paraId="33DAB1C0" w14:textId="77777777" w:rsidR="004D6A64" w:rsidRDefault="004D6A64">
            <w:pPr>
              <w:rPr>
                <w:rFonts w:ascii="宋体"/>
              </w:rPr>
            </w:pPr>
          </w:p>
        </w:tc>
        <w:tc>
          <w:tcPr>
            <w:tcW w:w="5" w:type="pct"/>
            <w:shd w:val="clear" w:color="auto" w:fill="auto"/>
          </w:tcPr>
          <w:p w14:paraId="33DAB1C1" w14:textId="77777777" w:rsidR="004D6A64" w:rsidRDefault="004D6A64">
            <w:pPr>
              <w:rPr>
                <w:rFonts w:ascii="宋体"/>
              </w:rPr>
            </w:pPr>
          </w:p>
        </w:tc>
        <w:tc>
          <w:tcPr>
            <w:tcW w:w="19" w:type="pct"/>
            <w:shd w:val="clear" w:color="auto" w:fill="auto"/>
          </w:tcPr>
          <w:p w14:paraId="33DAB1C2" w14:textId="77777777" w:rsidR="004D6A64" w:rsidRDefault="004D6A64">
            <w:pPr>
              <w:rPr>
                <w:rFonts w:ascii="宋体"/>
              </w:rPr>
            </w:pPr>
          </w:p>
        </w:tc>
        <w:tc>
          <w:tcPr>
            <w:tcW w:w="5" w:type="pct"/>
            <w:shd w:val="clear" w:color="auto" w:fill="auto"/>
          </w:tcPr>
          <w:p w14:paraId="33DAB1C3" w14:textId="77777777" w:rsidR="004D6A64" w:rsidRDefault="004D6A64">
            <w:pPr>
              <w:rPr>
                <w:rFonts w:ascii="宋体"/>
              </w:rPr>
            </w:pPr>
          </w:p>
        </w:tc>
        <w:tc>
          <w:tcPr>
            <w:tcW w:w="50" w:type="pct"/>
            <w:shd w:val="clear" w:color="auto" w:fill="auto"/>
          </w:tcPr>
          <w:p w14:paraId="33DAB1C4" w14:textId="77777777" w:rsidR="004D6A64" w:rsidRDefault="004D6A64">
            <w:pPr>
              <w:rPr>
                <w:rFonts w:ascii="宋体"/>
              </w:rPr>
            </w:pPr>
          </w:p>
        </w:tc>
        <w:tc>
          <w:tcPr>
            <w:tcW w:w="624" w:type="pct"/>
            <w:shd w:val="clear" w:color="auto" w:fill="auto"/>
          </w:tcPr>
          <w:p w14:paraId="33DAB1C5" w14:textId="77777777" w:rsidR="004D6A64" w:rsidRDefault="004D6A64">
            <w:pPr>
              <w:rPr>
                <w:rFonts w:ascii="宋体"/>
              </w:rPr>
            </w:pPr>
          </w:p>
        </w:tc>
        <w:tc>
          <w:tcPr>
            <w:tcW w:w="5" w:type="pct"/>
            <w:shd w:val="clear" w:color="auto" w:fill="auto"/>
          </w:tcPr>
          <w:p w14:paraId="33DAB1C6" w14:textId="77777777" w:rsidR="004D6A64" w:rsidRDefault="004D6A64">
            <w:pPr>
              <w:rPr>
                <w:rFonts w:ascii="宋体"/>
              </w:rPr>
            </w:pPr>
          </w:p>
        </w:tc>
        <w:tc>
          <w:tcPr>
            <w:tcW w:w="5" w:type="pct"/>
            <w:shd w:val="clear" w:color="auto" w:fill="auto"/>
          </w:tcPr>
          <w:p w14:paraId="33DAB1C7" w14:textId="77777777" w:rsidR="004D6A64" w:rsidRDefault="004D6A64">
            <w:pPr>
              <w:rPr>
                <w:rFonts w:ascii="宋体"/>
              </w:rPr>
            </w:pPr>
          </w:p>
        </w:tc>
        <w:tc>
          <w:tcPr>
            <w:tcW w:w="19" w:type="pct"/>
            <w:shd w:val="clear" w:color="auto" w:fill="auto"/>
          </w:tcPr>
          <w:p w14:paraId="33DAB1C8" w14:textId="77777777" w:rsidR="004D6A64" w:rsidRDefault="004D6A64">
            <w:pPr>
              <w:rPr>
                <w:rFonts w:ascii="宋体"/>
              </w:rPr>
            </w:pPr>
          </w:p>
        </w:tc>
        <w:tc>
          <w:tcPr>
            <w:tcW w:w="5" w:type="pct"/>
            <w:shd w:val="clear" w:color="auto" w:fill="auto"/>
          </w:tcPr>
          <w:p w14:paraId="33DAB1C9" w14:textId="77777777" w:rsidR="004D6A64" w:rsidRDefault="004D6A64">
            <w:pPr>
              <w:rPr>
                <w:rFonts w:ascii="宋体"/>
              </w:rPr>
            </w:pPr>
          </w:p>
        </w:tc>
        <w:tc>
          <w:tcPr>
            <w:tcW w:w="50" w:type="pct"/>
            <w:shd w:val="clear" w:color="auto" w:fill="auto"/>
          </w:tcPr>
          <w:p w14:paraId="33DAB1CA" w14:textId="77777777" w:rsidR="004D6A64" w:rsidRDefault="004D6A64">
            <w:pPr>
              <w:rPr>
                <w:rFonts w:ascii="宋体"/>
              </w:rPr>
            </w:pPr>
          </w:p>
        </w:tc>
        <w:tc>
          <w:tcPr>
            <w:tcW w:w="625" w:type="pct"/>
            <w:shd w:val="clear" w:color="auto" w:fill="auto"/>
          </w:tcPr>
          <w:p w14:paraId="33DAB1CB" w14:textId="77777777" w:rsidR="004D6A64" w:rsidRDefault="004D6A64">
            <w:pPr>
              <w:rPr>
                <w:rFonts w:ascii="宋体"/>
              </w:rPr>
            </w:pPr>
          </w:p>
        </w:tc>
        <w:tc>
          <w:tcPr>
            <w:tcW w:w="5" w:type="pct"/>
            <w:shd w:val="clear" w:color="auto" w:fill="auto"/>
          </w:tcPr>
          <w:p w14:paraId="33DAB1CC" w14:textId="77777777" w:rsidR="004D6A64" w:rsidRDefault="004D6A64">
            <w:pPr>
              <w:rPr>
                <w:rFonts w:ascii="宋体"/>
              </w:rPr>
            </w:pPr>
          </w:p>
        </w:tc>
      </w:tr>
      <w:tr w:rsidR="004D6A64" w14:paraId="33DAB1D6" w14:textId="77777777">
        <w:trPr>
          <w:gridAfter w:val="6"/>
          <w:jc w:val="center"/>
        </w:trPr>
        <w:tc>
          <w:tcPr>
            <w:tcW w:w="0" w:type="auto"/>
            <w:gridSpan w:val="3"/>
            <w:shd w:val="clear" w:color="auto" w:fill="auto"/>
            <w:tcMar>
              <w:left w:w="20" w:type="dxa"/>
              <w:right w:w="20" w:type="dxa"/>
            </w:tcMar>
            <w:vAlign w:val="bottom"/>
          </w:tcPr>
          <w:p w14:paraId="33DAB1CE" w14:textId="77777777" w:rsidR="004D6A64" w:rsidRDefault="004D6A64">
            <w:pPr>
              <w:rPr>
                <w:rFonts w:ascii="宋体"/>
              </w:rPr>
            </w:pPr>
          </w:p>
        </w:tc>
        <w:tc>
          <w:tcPr>
            <w:tcW w:w="0" w:type="auto"/>
            <w:gridSpan w:val="9"/>
            <w:shd w:val="clear" w:color="auto" w:fill="auto"/>
            <w:tcMar>
              <w:top w:w="40" w:type="dxa"/>
              <w:left w:w="20" w:type="dxa"/>
              <w:bottom w:w="40" w:type="dxa"/>
              <w:right w:w="20" w:type="dxa"/>
            </w:tcMar>
            <w:vAlign w:val="bottom"/>
          </w:tcPr>
          <w:p w14:paraId="33DAB1CF" w14:textId="77777777" w:rsidR="004D6A64" w:rsidRDefault="00506CD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Pr>
          <w:p w14:paraId="33DAB1D0" w14:textId="77777777" w:rsidR="004D6A64" w:rsidRDefault="004D6A64">
            <w:pPr>
              <w:rPr>
                <w:rFonts w:ascii="宋体"/>
                <w:vanish/>
              </w:rPr>
            </w:pPr>
          </w:p>
        </w:tc>
        <w:tc>
          <w:tcPr>
            <w:tcW w:w="0" w:type="auto"/>
            <w:gridSpan w:val="3"/>
            <w:shd w:val="clear" w:color="auto" w:fill="auto"/>
          </w:tcPr>
          <w:p w14:paraId="33DAB1D1"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B1D2" w14:textId="77777777" w:rsidR="004D6A64" w:rsidRDefault="004D6A64">
            <w:pPr>
              <w:rPr>
                <w:rFonts w:ascii="宋体"/>
              </w:rPr>
            </w:pPr>
          </w:p>
        </w:tc>
        <w:tc>
          <w:tcPr>
            <w:tcW w:w="0" w:type="auto"/>
            <w:gridSpan w:val="9"/>
            <w:shd w:val="clear" w:color="auto" w:fill="auto"/>
            <w:tcMar>
              <w:top w:w="40" w:type="dxa"/>
              <w:left w:w="20" w:type="dxa"/>
              <w:bottom w:w="40" w:type="dxa"/>
              <w:right w:w="20" w:type="dxa"/>
            </w:tcMar>
            <w:vAlign w:val="bottom"/>
          </w:tcPr>
          <w:p w14:paraId="33DAB1D3" w14:textId="77777777" w:rsidR="004D6A64" w:rsidRDefault="00506CD6">
            <w:pPr>
              <w:jc w:val="center"/>
              <w:textAlignment w:val="bottom"/>
            </w:pPr>
            <w:r>
              <w:rPr>
                <w:rFonts w:ascii="Times New Roman" w:eastAsia="宋体" w:hAnsi="Times New Roman"/>
                <w:b/>
                <w:bCs/>
                <w:color w:val="000000"/>
                <w:sz w:val="20"/>
                <w:szCs w:val="20"/>
              </w:rPr>
              <w:t>Six Months Ended</w:t>
            </w:r>
          </w:p>
        </w:tc>
        <w:tc>
          <w:tcPr>
            <w:tcW w:w="0" w:type="auto"/>
            <w:gridSpan w:val="3"/>
            <w:shd w:val="clear" w:color="auto" w:fill="auto"/>
          </w:tcPr>
          <w:p w14:paraId="33DAB1D4" w14:textId="77777777" w:rsidR="004D6A64" w:rsidRDefault="004D6A64">
            <w:pPr>
              <w:rPr>
                <w:rFonts w:ascii="宋体"/>
                <w:vanish/>
              </w:rPr>
            </w:pPr>
          </w:p>
        </w:tc>
        <w:tc>
          <w:tcPr>
            <w:tcW w:w="0" w:type="auto"/>
            <w:gridSpan w:val="3"/>
            <w:shd w:val="clear" w:color="auto" w:fill="auto"/>
          </w:tcPr>
          <w:p w14:paraId="33DAB1D5" w14:textId="77777777" w:rsidR="004D6A64" w:rsidRDefault="004D6A64">
            <w:pPr>
              <w:rPr>
                <w:rFonts w:ascii="宋体"/>
                <w:vanish/>
              </w:rPr>
            </w:pPr>
          </w:p>
        </w:tc>
      </w:tr>
      <w:tr w:rsidR="004D6A64" w14:paraId="33DAB1EB" w14:textId="77777777">
        <w:trPr>
          <w:gridAfter w:val="6"/>
          <w:jc w:val="center"/>
        </w:trPr>
        <w:tc>
          <w:tcPr>
            <w:tcW w:w="0" w:type="auto"/>
            <w:gridSpan w:val="3"/>
            <w:shd w:val="clear" w:color="auto" w:fill="auto"/>
            <w:tcMar>
              <w:left w:w="20" w:type="dxa"/>
              <w:right w:w="20" w:type="dxa"/>
            </w:tcMar>
            <w:vAlign w:val="bottom"/>
          </w:tcPr>
          <w:p w14:paraId="33DAB1D7"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B1D8"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B1D9"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B1DA"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gridSpan w:val="3"/>
            <w:shd w:val="clear" w:color="auto" w:fill="auto"/>
            <w:tcMar>
              <w:left w:w="20" w:type="dxa"/>
              <w:right w:w="20" w:type="dxa"/>
            </w:tcMar>
            <w:vAlign w:val="bottom"/>
          </w:tcPr>
          <w:p w14:paraId="33DAB1DB"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B1DC"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B1DD"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B1DE"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shd w:val="clear" w:color="auto" w:fill="auto"/>
          </w:tcPr>
          <w:p w14:paraId="33DAB1DF" w14:textId="77777777" w:rsidR="004D6A64" w:rsidRDefault="004D6A64">
            <w:pPr>
              <w:rPr>
                <w:rFonts w:ascii="宋体"/>
              </w:rPr>
            </w:pPr>
          </w:p>
        </w:tc>
        <w:tc>
          <w:tcPr>
            <w:tcW w:w="0" w:type="auto"/>
            <w:shd w:val="clear" w:color="auto" w:fill="auto"/>
          </w:tcPr>
          <w:p w14:paraId="33DAB1E0" w14:textId="77777777" w:rsidR="004D6A64" w:rsidRDefault="004D6A64">
            <w:pPr>
              <w:rPr>
                <w:rFonts w:ascii="宋体"/>
              </w:rPr>
            </w:pPr>
          </w:p>
        </w:tc>
        <w:tc>
          <w:tcPr>
            <w:tcW w:w="0" w:type="auto"/>
            <w:shd w:val="clear" w:color="auto" w:fill="auto"/>
          </w:tcPr>
          <w:p w14:paraId="33DAB1E1" w14:textId="77777777" w:rsidR="004D6A64" w:rsidRDefault="004D6A64">
            <w:pPr>
              <w:rPr>
                <w:rFonts w:ascii="宋体"/>
              </w:rPr>
            </w:pPr>
          </w:p>
        </w:tc>
        <w:tc>
          <w:tcPr>
            <w:tcW w:w="0" w:type="auto"/>
            <w:shd w:val="clear" w:color="auto" w:fill="auto"/>
          </w:tcPr>
          <w:p w14:paraId="33DAB1E2" w14:textId="77777777" w:rsidR="004D6A64" w:rsidRDefault="004D6A64">
            <w:pPr>
              <w:rPr>
                <w:rFonts w:ascii="宋体"/>
              </w:rPr>
            </w:pPr>
          </w:p>
        </w:tc>
        <w:tc>
          <w:tcPr>
            <w:tcW w:w="0" w:type="auto"/>
            <w:shd w:val="clear" w:color="auto" w:fill="auto"/>
          </w:tcPr>
          <w:p w14:paraId="33DAB1E3" w14:textId="77777777" w:rsidR="004D6A64" w:rsidRDefault="004D6A64">
            <w:pPr>
              <w:rPr>
                <w:rFonts w:ascii="宋体"/>
              </w:rPr>
            </w:pPr>
          </w:p>
        </w:tc>
        <w:tc>
          <w:tcPr>
            <w:tcW w:w="0" w:type="auto"/>
            <w:shd w:val="clear" w:color="auto" w:fill="auto"/>
          </w:tcPr>
          <w:p w14:paraId="33DAB1E4" w14:textId="77777777" w:rsidR="004D6A64" w:rsidRDefault="004D6A64">
            <w:pPr>
              <w:rPr>
                <w:rFonts w:ascii="宋体"/>
              </w:rPr>
            </w:pPr>
          </w:p>
        </w:tc>
        <w:tc>
          <w:tcPr>
            <w:tcW w:w="0" w:type="auto"/>
            <w:shd w:val="clear" w:color="auto" w:fill="auto"/>
          </w:tcPr>
          <w:p w14:paraId="33DAB1E5" w14:textId="77777777" w:rsidR="004D6A64" w:rsidRDefault="004D6A64">
            <w:pPr>
              <w:rPr>
                <w:rFonts w:ascii="宋体"/>
              </w:rPr>
            </w:pPr>
          </w:p>
        </w:tc>
        <w:tc>
          <w:tcPr>
            <w:tcW w:w="0" w:type="auto"/>
            <w:shd w:val="clear" w:color="auto" w:fill="auto"/>
          </w:tcPr>
          <w:p w14:paraId="33DAB1E6" w14:textId="77777777" w:rsidR="004D6A64" w:rsidRDefault="004D6A64">
            <w:pPr>
              <w:rPr>
                <w:rFonts w:ascii="宋体"/>
              </w:rPr>
            </w:pPr>
          </w:p>
        </w:tc>
        <w:tc>
          <w:tcPr>
            <w:tcW w:w="0" w:type="auto"/>
            <w:shd w:val="clear" w:color="auto" w:fill="auto"/>
          </w:tcPr>
          <w:p w14:paraId="33DAB1E7" w14:textId="77777777" w:rsidR="004D6A64" w:rsidRDefault="004D6A64">
            <w:pPr>
              <w:rPr>
                <w:rFonts w:ascii="宋体"/>
              </w:rPr>
            </w:pPr>
          </w:p>
        </w:tc>
        <w:tc>
          <w:tcPr>
            <w:tcW w:w="0" w:type="auto"/>
            <w:shd w:val="clear" w:color="auto" w:fill="auto"/>
          </w:tcPr>
          <w:p w14:paraId="33DAB1E8" w14:textId="77777777" w:rsidR="004D6A64" w:rsidRDefault="004D6A64">
            <w:pPr>
              <w:rPr>
                <w:rFonts w:ascii="宋体"/>
              </w:rPr>
            </w:pPr>
          </w:p>
        </w:tc>
        <w:tc>
          <w:tcPr>
            <w:tcW w:w="0" w:type="auto"/>
            <w:shd w:val="clear" w:color="auto" w:fill="auto"/>
          </w:tcPr>
          <w:p w14:paraId="33DAB1E9" w14:textId="77777777" w:rsidR="004D6A64" w:rsidRDefault="004D6A64">
            <w:pPr>
              <w:rPr>
                <w:rFonts w:ascii="宋体"/>
              </w:rPr>
            </w:pPr>
          </w:p>
        </w:tc>
        <w:tc>
          <w:tcPr>
            <w:tcW w:w="0" w:type="auto"/>
            <w:shd w:val="clear" w:color="auto" w:fill="auto"/>
          </w:tcPr>
          <w:p w14:paraId="33DAB1EA" w14:textId="77777777" w:rsidR="004D6A64" w:rsidRDefault="004D6A64">
            <w:pPr>
              <w:rPr>
                <w:rFonts w:ascii="宋体"/>
              </w:rPr>
            </w:pPr>
          </w:p>
        </w:tc>
      </w:tr>
      <w:tr w:rsidR="004D6A64" w14:paraId="33DAB1F4" w14:textId="77777777">
        <w:trPr>
          <w:jc w:val="center"/>
        </w:trPr>
        <w:tc>
          <w:tcPr>
            <w:tcW w:w="0" w:type="auto"/>
            <w:gridSpan w:val="3"/>
            <w:shd w:val="clear" w:color="auto" w:fill="auto"/>
            <w:tcMar>
              <w:left w:w="20" w:type="dxa"/>
              <w:right w:w="20" w:type="dxa"/>
            </w:tcMar>
            <w:vAlign w:val="bottom"/>
          </w:tcPr>
          <w:p w14:paraId="33DAB1EC" w14:textId="77777777" w:rsidR="004D6A64" w:rsidRDefault="004D6A64">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33DAB1ED" w14:textId="77777777" w:rsidR="004D6A64" w:rsidRDefault="00506CD6">
            <w:pPr>
              <w:jc w:val="center"/>
              <w:textAlignment w:val="center"/>
            </w:pPr>
            <w:r>
              <w:rPr>
                <w:rFonts w:ascii="Times New Roman" w:eastAsia="宋体" w:hAnsi="Times New Roman"/>
                <w:color w:val="000000"/>
                <w:sz w:val="20"/>
                <w:szCs w:val="20"/>
              </w:rPr>
              <w:t>(in millions)</w:t>
            </w:r>
          </w:p>
        </w:tc>
        <w:tc>
          <w:tcPr>
            <w:tcW w:w="0" w:type="auto"/>
            <w:gridSpan w:val="3"/>
            <w:shd w:val="clear" w:color="auto" w:fill="auto"/>
          </w:tcPr>
          <w:p w14:paraId="33DAB1EE" w14:textId="77777777" w:rsidR="004D6A64" w:rsidRDefault="004D6A64">
            <w:pPr>
              <w:rPr>
                <w:rFonts w:ascii="宋体"/>
                <w:vanish/>
              </w:rPr>
            </w:pPr>
          </w:p>
        </w:tc>
        <w:tc>
          <w:tcPr>
            <w:tcW w:w="0" w:type="auto"/>
            <w:gridSpan w:val="3"/>
            <w:shd w:val="clear" w:color="auto" w:fill="auto"/>
          </w:tcPr>
          <w:p w14:paraId="33DAB1EF" w14:textId="77777777" w:rsidR="004D6A64" w:rsidRDefault="004D6A64">
            <w:pPr>
              <w:rPr>
                <w:rFonts w:ascii="宋体"/>
                <w:vanish/>
              </w:rPr>
            </w:pPr>
          </w:p>
        </w:tc>
        <w:tc>
          <w:tcPr>
            <w:tcW w:w="0" w:type="auto"/>
            <w:gridSpan w:val="3"/>
            <w:shd w:val="clear" w:color="auto" w:fill="auto"/>
          </w:tcPr>
          <w:p w14:paraId="33DAB1F0" w14:textId="77777777" w:rsidR="004D6A64" w:rsidRDefault="004D6A64">
            <w:pPr>
              <w:rPr>
                <w:rFonts w:ascii="宋体"/>
                <w:vanish/>
              </w:rPr>
            </w:pPr>
          </w:p>
        </w:tc>
        <w:tc>
          <w:tcPr>
            <w:tcW w:w="0" w:type="auto"/>
            <w:gridSpan w:val="3"/>
            <w:shd w:val="clear" w:color="auto" w:fill="auto"/>
          </w:tcPr>
          <w:p w14:paraId="33DAB1F1" w14:textId="77777777" w:rsidR="004D6A64" w:rsidRDefault="004D6A64">
            <w:pPr>
              <w:rPr>
                <w:rFonts w:ascii="宋体"/>
                <w:vanish/>
              </w:rPr>
            </w:pPr>
          </w:p>
        </w:tc>
        <w:tc>
          <w:tcPr>
            <w:tcW w:w="0" w:type="auto"/>
            <w:gridSpan w:val="3"/>
            <w:shd w:val="clear" w:color="auto" w:fill="auto"/>
          </w:tcPr>
          <w:p w14:paraId="33DAB1F2" w14:textId="77777777" w:rsidR="004D6A64" w:rsidRDefault="004D6A64">
            <w:pPr>
              <w:rPr>
                <w:rFonts w:ascii="宋体"/>
                <w:vanish/>
              </w:rPr>
            </w:pPr>
          </w:p>
        </w:tc>
        <w:tc>
          <w:tcPr>
            <w:tcW w:w="0" w:type="auto"/>
            <w:gridSpan w:val="3"/>
            <w:shd w:val="clear" w:color="auto" w:fill="auto"/>
          </w:tcPr>
          <w:p w14:paraId="33DAB1F3" w14:textId="77777777" w:rsidR="004D6A64" w:rsidRDefault="004D6A64">
            <w:pPr>
              <w:rPr>
                <w:rFonts w:ascii="宋体"/>
                <w:vanish/>
              </w:rPr>
            </w:pPr>
          </w:p>
        </w:tc>
      </w:tr>
      <w:tr w:rsidR="004D6A64" w14:paraId="33DAB217" w14:textId="77777777">
        <w:trPr>
          <w:jc w:val="center"/>
        </w:trPr>
        <w:tc>
          <w:tcPr>
            <w:tcW w:w="0" w:type="auto"/>
            <w:gridSpan w:val="3"/>
            <w:shd w:val="clear" w:color="auto" w:fill="CCEEFF"/>
            <w:tcMar>
              <w:top w:w="40" w:type="dxa"/>
              <w:left w:w="20" w:type="dxa"/>
              <w:bottom w:w="40" w:type="dxa"/>
              <w:right w:w="20" w:type="dxa"/>
            </w:tcMar>
            <w:vAlign w:val="center"/>
          </w:tcPr>
          <w:p w14:paraId="33DAB1F5" w14:textId="77777777" w:rsidR="004D6A64" w:rsidRDefault="00506CD6">
            <w:pPr>
              <w:textAlignment w:val="center"/>
            </w:pPr>
            <w:r>
              <w:rPr>
                <w:rFonts w:ascii="Times New Roman" w:eastAsia="宋体" w:hAnsi="Times New Roman"/>
                <w:color w:val="000000"/>
                <w:sz w:val="20"/>
                <w:szCs w:val="20"/>
              </w:rPr>
              <w:t>Operating lease costs</w:t>
            </w:r>
          </w:p>
        </w:tc>
        <w:tc>
          <w:tcPr>
            <w:tcW w:w="0" w:type="auto"/>
            <w:shd w:val="clear" w:color="auto" w:fill="CCEEFF"/>
            <w:tcMar>
              <w:top w:w="40" w:type="dxa"/>
              <w:left w:w="20" w:type="dxa"/>
              <w:bottom w:w="40" w:type="dxa"/>
            </w:tcMar>
            <w:vAlign w:val="center"/>
          </w:tcPr>
          <w:p w14:paraId="33DAB1F6"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B1F7" w14:textId="77777777" w:rsidR="004D6A64" w:rsidRDefault="00506CD6">
            <w:pPr>
              <w:jc w:val="right"/>
              <w:textAlignment w:val="center"/>
            </w:pPr>
            <w:r>
              <w:rPr>
                <w:rFonts w:ascii="Times New Roman" w:eastAsia="宋体" w:hAnsi="Times New Roman"/>
                <w:color w:val="000000"/>
                <w:sz w:val="20"/>
                <w:szCs w:val="20"/>
              </w:rPr>
              <w:t>124 </w:t>
            </w:r>
          </w:p>
        </w:tc>
        <w:tc>
          <w:tcPr>
            <w:tcW w:w="0" w:type="auto"/>
            <w:shd w:val="clear" w:color="auto" w:fill="CCEEFF"/>
            <w:tcMar>
              <w:top w:w="40" w:type="dxa"/>
              <w:bottom w:w="40" w:type="dxa"/>
              <w:right w:w="20" w:type="dxa"/>
            </w:tcMar>
            <w:vAlign w:val="center"/>
          </w:tcPr>
          <w:p w14:paraId="33DAB1F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1F9"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B1FA"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B1FB" w14:textId="77777777" w:rsidR="004D6A64" w:rsidRDefault="00506CD6">
            <w:pPr>
              <w:jc w:val="right"/>
              <w:textAlignment w:val="center"/>
            </w:pPr>
            <w:r>
              <w:rPr>
                <w:rFonts w:ascii="Times New Roman" w:eastAsia="宋体" w:hAnsi="Times New Roman"/>
                <w:color w:val="000000"/>
                <w:sz w:val="20"/>
                <w:szCs w:val="20"/>
              </w:rPr>
              <w:t>126 </w:t>
            </w:r>
          </w:p>
        </w:tc>
        <w:tc>
          <w:tcPr>
            <w:tcW w:w="0" w:type="auto"/>
            <w:shd w:val="clear" w:color="auto" w:fill="CCEEFF"/>
            <w:tcMar>
              <w:top w:w="40" w:type="dxa"/>
              <w:bottom w:w="40" w:type="dxa"/>
              <w:right w:w="20" w:type="dxa"/>
            </w:tcMar>
            <w:vAlign w:val="center"/>
          </w:tcPr>
          <w:p w14:paraId="33DAB1F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1FD"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B1FE"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B1FF" w14:textId="77777777" w:rsidR="004D6A64" w:rsidRDefault="00506CD6">
            <w:pPr>
              <w:jc w:val="right"/>
              <w:textAlignment w:val="center"/>
            </w:pPr>
            <w:r>
              <w:rPr>
                <w:rFonts w:ascii="Times New Roman" w:eastAsia="宋体" w:hAnsi="Times New Roman"/>
                <w:color w:val="000000"/>
                <w:sz w:val="20"/>
                <w:szCs w:val="20"/>
              </w:rPr>
              <w:t>255 </w:t>
            </w:r>
          </w:p>
        </w:tc>
        <w:tc>
          <w:tcPr>
            <w:tcW w:w="0" w:type="auto"/>
            <w:shd w:val="clear" w:color="auto" w:fill="CCEEFF"/>
            <w:tcMar>
              <w:top w:w="40" w:type="dxa"/>
              <w:bottom w:w="40" w:type="dxa"/>
              <w:right w:w="20" w:type="dxa"/>
            </w:tcMar>
            <w:vAlign w:val="center"/>
          </w:tcPr>
          <w:p w14:paraId="33DAB200" w14:textId="77777777" w:rsidR="004D6A64" w:rsidRDefault="004D6A64">
            <w:pPr>
              <w:jc w:val="right"/>
              <w:rPr>
                <w:rFonts w:ascii="宋体"/>
              </w:rPr>
            </w:pPr>
          </w:p>
        </w:tc>
        <w:tc>
          <w:tcPr>
            <w:tcW w:w="0" w:type="auto"/>
            <w:gridSpan w:val="3"/>
            <w:shd w:val="clear" w:color="auto" w:fill="CCEEFF"/>
            <w:tcMar>
              <w:left w:w="20" w:type="dxa"/>
              <w:right w:w="20" w:type="dxa"/>
            </w:tcMar>
            <w:vAlign w:val="center"/>
          </w:tcPr>
          <w:p w14:paraId="33DAB201" w14:textId="77777777" w:rsidR="004D6A64" w:rsidRDefault="004D6A64">
            <w:pPr>
              <w:jc w:val="right"/>
              <w:rPr>
                <w:rFonts w:ascii="宋体"/>
              </w:rPr>
            </w:pPr>
          </w:p>
        </w:tc>
        <w:tc>
          <w:tcPr>
            <w:tcW w:w="0" w:type="auto"/>
            <w:shd w:val="clear" w:color="auto" w:fill="CCEEFF"/>
            <w:tcMar>
              <w:top w:w="40" w:type="dxa"/>
              <w:left w:w="20" w:type="dxa"/>
              <w:bottom w:w="40" w:type="dxa"/>
            </w:tcMar>
            <w:vAlign w:val="center"/>
          </w:tcPr>
          <w:p w14:paraId="33DAB202"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B203" w14:textId="77777777" w:rsidR="004D6A64" w:rsidRDefault="00506CD6">
            <w:pPr>
              <w:jc w:val="right"/>
              <w:textAlignment w:val="center"/>
            </w:pPr>
            <w:r>
              <w:rPr>
                <w:rFonts w:ascii="Times New Roman" w:eastAsia="宋体" w:hAnsi="Times New Roman"/>
                <w:color w:val="000000"/>
                <w:sz w:val="20"/>
                <w:szCs w:val="20"/>
              </w:rPr>
              <w:t>243 </w:t>
            </w:r>
          </w:p>
        </w:tc>
        <w:tc>
          <w:tcPr>
            <w:tcW w:w="0" w:type="auto"/>
            <w:shd w:val="clear" w:color="auto" w:fill="CCEEFF"/>
            <w:tcMar>
              <w:top w:w="40" w:type="dxa"/>
              <w:bottom w:w="40" w:type="dxa"/>
              <w:right w:w="20" w:type="dxa"/>
            </w:tcMar>
            <w:vAlign w:val="center"/>
          </w:tcPr>
          <w:p w14:paraId="33DAB204" w14:textId="77777777" w:rsidR="004D6A64" w:rsidRDefault="004D6A64">
            <w:pPr>
              <w:jc w:val="right"/>
              <w:rPr>
                <w:rFonts w:ascii="宋体"/>
              </w:rPr>
            </w:pPr>
          </w:p>
        </w:tc>
        <w:tc>
          <w:tcPr>
            <w:tcW w:w="0" w:type="auto"/>
            <w:shd w:val="clear" w:color="auto" w:fill="auto"/>
          </w:tcPr>
          <w:p w14:paraId="33DAB205" w14:textId="77777777" w:rsidR="004D6A64" w:rsidRDefault="004D6A64">
            <w:pPr>
              <w:rPr>
                <w:rFonts w:ascii="宋体"/>
              </w:rPr>
            </w:pPr>
          </w:p>
        </w:tc>
        <w:tc>
          <w:tcPr>
            <w:tcW w:w="0" w:type="auto"/>
            <w:shd w:val="clear" w:color="auto" w:fill="auto"/>
          </w:tcPr>
          <w:p w14:paraId="33DAB206" w14:textId="77777777" w:rsidR="004D6A64" w:rsidRDefault="004D6A64">
            <w:pPr>
              <w:rPr>
                <w:rFonts w:ascii="宋体"/>
              </w:rPr>
            </w:pPr>
          </w:p>
        </w:tc>
        <w:tc>
          <w:tcPr>
            <w:tcW w:w="0" w:type="auto"/>
            <w:shd w:val="clear" w:color="auto" w:fill="auto"/>
          </w:tcPr>
          <w:p w14:paraId="33DAB207" w14:textId="77777777" w:rsidR="004D6A64" w:rsidRDefault="004D6A64">
            <w:pPr>
              <w:rPr>
                <w:rFonts w:ascii="宋体"/>
              </w:rPr>
            </w:pPr>
          </w:p>
        </w:tc>
        <w:tc>
          <w:tcPr>
            <w:tcW w:w="0" w:type="auto"/>
            <w:shd w:val="clear" w:color="auto" w:fill="auto"/>
          </w:tcPr>
          <w:p w14:paraId="33DAB208" w14:textId="77777777" w:rsidR="004D6A64" w:rsidRDefault="004D6A64">
            <w:pPr>
              <w:rPr>
                <w:rFonts w:ascii="宋体"/>
              </w:rPr>
            </w:pPr>
          </w:p>
        </w:tc>
        <w:tc>
          <w:tcPr>
            <w:tcW w:w="0" w:type="auto"/>
            <w:shd w:val="clear" w:color="auto" w:fill="auto"/>
          </w:tcPr>
          <w:p w14:paraId="33DAB209" w14:textId="77777777" w:rsidR="004D6A64" w:rsidRDefault="004D6A64">
            <w:pPr>
              <w:rPr>
                <w:rFonts w:ascii="宋体"/>
              </w:rPr>
            </w:pPr>
          </w:p>
        </w:tc>
        <w:tc>
          <w:tcPr>
            <w:tcW w:w="0" w:type="auto"/>
            <w:shd w:val="clear" w:color="auto" w:fill="auto"/>
          </w:tcPr>
          <w:p w14:paraId="33DAB20A" w14:textId="77777777" w:rsidR="004D6A64" w:rsidRDefault="004D6A64">
            <w:pPr>
              <w:rPr>
                <w:rFonts w:ascii="宋体"/>
              </w:rPr>
            </w:pPr>
          </w:p>
        </w:tc>
        <w:tc>
          <w:tcPr>
            <w:tcW w:w="0" w:type="auto"/>
            <w:shd w:val="clear" w:color="auto" w:fill="auto"/>
          </w:tcPr>
          <w:p w14:paraId="33DAB20B" w14:textId="77777777" w:rsidR="004D6A64" w:rsidRDefault="004D6A64">
            <w:pPr>
              <w:rPr>
                <w:rFonts w:ascii="宋体"/>
              </w:rPr>
            </w:pPr>
          </w:p>
        </w:tc>
        <w:tc>
          <w:tcPr>
            <w:tcW w:w="0" w:type="auto"/>
            <w:shd w:val="clear" w:color="auto" w:fill="auto"/>
          </w:tcPr>
          <w:p w14:paraId="33DAB20C" w14:textId="77777777" w:rsidR="004D6A64" w:rsidRDefault="004D6A64">
            <w:pPr>
              <w:rPr>
                <w:rFonts w:ascii="宋体"/>
              </w:rPr>
            </w:pPr>
          </w:p>
        </w:tc>
        <w:tc>
          <w:tcPr>
            <w:tcW w:w="0" w:type="auto"/>
            <w:shd w:val="clear" w:color="auto" w:fill="auto"/>
          </w:tcPr>
          <w:p w14:paraId="33DAB20D" w14:textId="77777777" w:rsidR="004D6A64" w:rsidRDefault="004D6A64">
            <w:pPr>
              <w:rPr>
                <w:rFonts w:ascii="宋体"/>
              </w:rPr>
            </w:pPr>
          </w:p>
        </w:tc>
        <w:tc>
          <w:tcPr>
            <w:tcW w:w="0" w:type="auto"/>
            <w:shd w:val="clear" w:color="auto" w:fill="auto"/>
          </w:tcPr>
          <w:p w14:paraId="33DAB20E" w14:textId="77777777" w:rsidR="004D6A64" w:rsidRDefault="004D6A64">
            <w:pPr>
              <w:rPr>
                <w:rFonts w:ascii="宋体"/>
              </w:rPr>
            </w:pPr>
          </w:p>
        </w:tc>
        <w:tc>
          <w:tcPr>
            <w:tcW w:w="0" w:type="auto"/>
            <w:shd w:val="clear" w:color="auto" w:fill="auto"/>
          </w:tcPr>
          <w:p w14:paraId="33DAB20F" w14:textId="77777777" w:rsidR="004D6A64" w:rsidRDefault="004D6A64">
            <w:pPr>
              <w:rPr>
                <w:rFonts w:ascii="宋体"/>
              </w:rPr>
            </w:pPr>
          </w:p>
        </w:tc>
        <w:tc>
          <w:tcPr>
            <w:tcW w:w="0" w:type="auto"/>
            <w:shd w:val="clear" w:color="auto" w:fill="auto"/>
          </w:tcPr>
          <w:p w14:paraId="33DAB210" w14:textId="77777777" w:rsidR="004D6A64" w:rsidRDefault="004D6A64">
            <w:pPr>
              <w:rPr>
                <w:rFonts w:ascii="宋体"/>
              </w:rPr>
            </w:pPr>
          </w:p>
        </w:tc>
        <w:tc>
          <w:tcPr>
            <w:tcW w:w="0" w:type="auto"/>
            <w:shd w:val="clear" w:color="auto" w:fill="auto"/>
          </w:tcPr>
          <w:p w14:paraId="33DAB211" w14:textId="77777777" w:rsidR="004D6A64" w:rsidRDefault="004D6A64">
            <w:pPr>
              <w:rPr>
                <w:rFonts w:ascii="宋体"/>
              </w:rPr>
            </w:pPr>
          </w:p>
        </w:tc>
        <w:tc>
          <w:tcPr>
            <w:tcW w:w="0" w:type="auto"/>
            <w:shd w:val="clear" w:color="auto" w:fill="auto"/>
          </w:tcPr>
          <w:p w14:paraId="33DAB212" w14:textId="77777777" w:rsidR="004D6A64" w:rsidRDefault="004D6A64">
            <w:pPr>
              <w:rPr>
                <w:rFonts w:ascii="宋体"/>
              </w:rPr>
            </w:pPr>
          </w:p>
        </w:tc>
        <w:tc>
          <w:tcPr>
            <w:tcW w:w="0" w:type="auto"/>
            <w:shd w:val="clear" w:color="auto" w:fill="auto"/>
          </w:tcPr>
          <w:p w14:paraId="33DAB213" w14:textId="77777777" w:rsidR="004D6A64" w:rsidRDefault="004D6A64">
            <w:pPr>
              <w:rPr>
                <w:rFonts w:ascii="宋体"/>
              </w:rPr>
            </w:pPr>
          </w:p>
        </w:tc>
        <w:tc>
          <w:tcPr>
            <w:tcW w:w="0" w:type="auto"/>
            <w:shd w:val="clear" w:color="auto" w:fill="auto"/>
          </w:tcPr>
          <w:p w14:paraId="33DAB214" w14:textId="77777777" w:rsidR="004D6A64" w:rsidRDefault="004D6A64">
            <w:pPr>
              <w:rPr>
                <w:rFonts w:ascii="宋体"/>
              </w:rPr>
            </w:pPr>
          </w:p>
        </w:tc>
        <w:tc>
          <w:tcPr>
            <w:tcW w:w="0" w:type="auto"/>
            <w:shd w:val="clear" w:color="auto" w:fill="auto"/>
          </w:tcPr>
          <w:p w14:paraId="33DAB215" w14:textId="77777777" w:rsidR="004D6A64" w:rsidRDefault="004D6A64">
            <w:pPr>
              <w:rPr>
                <w:rFonts w:ascii="宋体"/>
              </w:rPr>
            </w:pPr>
          </w:p>
        </w:tc>
        <w:tc>
          <w:tcPr>
            <w:tcW w:w="0" w:type="auto"/>
            <w:shd w:val="clear" w:color="auto" w:fill="auto"/>
          </w:tcPr>
          <w:p w14:paraId="33DAB216" w14:textId="77777777" w:rsidR="004D6A64" w:rsidRDefault="004D6A64">
            <w:pPr>
              <w:rPr>
                <w:rFonts w:ascii="宋体"/>
              </w:rPr>
            </w:pPr>
          </w:p>
        </w:tc>
      </w:tr>
      <w:tr w:rsidR="004D6A64" w14:paraId="33DAB236" w14:textId="77777777">
        <w:trPr>
          <w:jc w:val="center"/>
        </w:trPr>
        <w:tc>
          <w:tcPr>
            <w:tcW w:w="0" w:type="auto"/>
            <w:gridSpan w:val="3"/>
            <w:shd w:val="clear" w:color="auto" w:fill="FFFFFF"/>
            <w:tcMar>
              <w:top w:w="40" w:type="dxa"/>
              <w:left w:w="20" w:type="dxa"/>
              <w:bottom w:w="40" w:type="dxa"/>
              <w:right w:w="20" w:type="dxa"/>
            </w:tcMar>
            <w:vAlign w:val="center"/>
          </w:tcPr>
          <w:p w14:paraId="33DAB218" w14:textId="77777777" w:rsidR="004D6A64" w:rsidRDefault="00506CD6">
            <w:pPr>
              <w:textAlignment w:val="center"/>
            </w:pPr>
            <w:r>
              <w:rPr>
                <w:rFonts w:ascii="Times New Roman" w:eastAsia="宋体" w:hAnsi="Times New Roman"/>
                <w:color w:val="000000"/>
                <w:sz w:val="20"/>
                <w:szCs w:val="20"/>
              </w:rPr>
              <w:t>Variable costs</w:t>
            </w:r>
          </w:p>
        </w:tc>
        <w:tc>
          <w:tcPr>
            <w:tcW w:w="0" w:type="auto"/>
            <w:gridSpan w:val="2"/>
            <w:shd w:val="clear" w:color="auto" w:fill="FFFFFF"/>
            <w:tcMar>
              <w:top w:w="40" w:type="dxa"/>
              <w:left w:w="20" w:type="dxa"/>
              <w:bottom w:w="40" w:type="dxa"/>
              <w:right w:w="0" w:type="dxa"/>
            </w:tcMar>
            <w:vAlign w:val="center"/>
          </w:tcPr>
          <w:p w14:paraId="33DAB219" w14:textId="77777777" w:rsidR="004D6A64" w:rsidRDefault="00506CD6">
            <w:pPr>
              <w:jc w:val="right"/>
              <w:textAlignment w:val="center"/>
            </w:pPr>
            <w:r>
              <w:rPr>
                <w:rFonts w:ascii="Times New Roman" w:eastAsia="宋体" w:hAnsi="Times New Roman"/>
                <w:color w:val="000000"/>
                <w:sz w:val="20"/>
                <w:szCs w:val="20"/>
              </w:rPr>
              <w:t>32 </w:t>
            </w:r>
          </w:p>
        </w:tc>
        <w:tc>
          <w:tcPr>
            <w:tcW w:w="0" w:type="auto"/>
            <w:shd w:val="clear" w:color="auto" w:fill="FFFFFF"/>
            <w:tcMar>
              <w:top w:w="40" w:type="dxa"/>
              <w:bottom w:w="40" w:type="dxa"/>
              <w:right w:w="20" w:type="dxa"/>
            </w:tcMar>
            <w:vAlign w:val="center"/>
          </w:tcPr>
          <w:p w14:paraId="33DAB21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21B"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B21C" w14:textId="77777777" w:rsidR="004D6A64" w:rsidRDefault="00506CD6">
            <w:pPr>
              <w:jc w:val="right"/>
              <w:textAlignment w:val="center"/>
            </w:pPr>
            <w:r>
              <w:rPr>
                <w:rFonts w:ascii="Times New Roman" w:eastAsia="宋体" w:hAnsi="Times New Roman"/>
                <w:color w:val="000000"/>
                <w:sz w:val="20"/>
                <w:szCs w:val="20"/>
              </w:rPr>
              <w:t>41 </w:t>
            </w:r>
          </w:p>
        </w:tc>
        <w:tc>
          <w:tcPr>
            <w:tcW w:w="0" w:type="auto"/>
            <w:shd w:val="clear" w:color="auto" w:fill="FFFFFF"/>
            <w:tcMar>
              <w:top w:w="40" w:type="dxa"/>
              <w:bottom w:w="40" w:type="dxa"/>
              <w:right w:w="20" w:type="dxa"/>
            </w:tcMar>
            <w:vAlign w:val="center"/>
          </w:tcPr>
          <w:p w14:paraId="33DAB21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21E"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B21F" w14:textId="77777777" w:rsidR="004D6A64" w:rsidRDefault="00506CD6">
            <w:pPr>
              <w:jc w:val="right"/>
              <w:textAlignment w:val="center"/>
            </w:pPr>
            <w:r>
              <w:rPr>
                <w:rFonts w:ascii="Times New Roman" w:eastAsia="宋体" w:hAnsi="Times New Roman"/>
                <w:color w:val="000000"/>
                <w:sz w:val="20"/>
                <w:szCs w:val="20"/>
              </w:rPr>
              <w:t>76 </w:t>
            </w:r>
          </w:p>
        </w:tc>
        <w:tc>
          <w:tcPr>
            <w:tcW w:w="0" w:type="auto"/>
            <w:shd w:val="clear" w:color="auto" w:fill="FFFFFF"/>
            <w:tcMar>
              <w:top w:w="40" w:type="dxa"/>
              <w:bottom w:w="40" w:type="dxa"/>
              <w:right w:w="20" w:type="dxa"/>
            </w:tcMar>
            <w:vAlign w:val="center"/>
          </w:tcPr>
          <w:p w14:paraId="33DAB220" w14:textId="77777777" w:rsidR="004D6A64" w:rsidRDefault="004D6A64">
            <w:pPr>
              <w:jc w:val="right"/>
              <w:rPr>
                <w:rFonts w:ascii="宋体"/>
              </w:rPr>
            </w:pPr>
          </w:p>
        </w:tc>
        <w:tc>
          <w:tcPr>
            <w:tcW w:w="0" w:type="auto"/>
            <w:gridSpan w:val="3"/>
            <w:shd w:val="clear" w:color="auto" w:fill="FFFFFF"/>
            <w:tcMar>
              <w:left w:w="20" w:type="dxa"/>
              <w:right w:w="20" w:type="dxa"/>
            </w:tcMar>
            <w:vAlign w:val="center"/>
          </w:tcPr>
          <w:p w14:paraId="33DAB221" w14:textId="77777777" w:rsidR="004D6A64" w:rsidRDefault="004D6A64">
            <w:pPr>
              <w:jc w:val="right"/>
              <w:rPr>
                <w:rFonts w:ascii="宋体"/>
              </w:rPr>
            </w:pPr>
          </w:p>
        </w:tc>
        <w:tc>
          <w:tcPr>
            <w:tcW w:w="0" w:type="auto"/>
            <w:gridSpan w:val="2"/>
            <w:shd w:val="clear" w:color="auto" w:fill="FFFFFF"/>
            <w:tcMar>
              <w:top w:w="40" w:type="dxa"/>
              <w:left w:w="20" w:type="dxa"/>
              <w:bottom w:w="40" w:type="dxa"/>
              <w:right w:w="0" w:type="dxa"/>
            </w:tcMar>
            <w:vAlign w:val="center"/>
          </w:tcPr>
          <w:p w14:paraId="33DAB222" w14:textId="77777777" w:rsidR="004D6A64" w:rsidRDefault="00506CD6">
            <w:pPr>
              <w:jc w:val="right"/>
              <w:textAlignment w:val="center"/>
            </w:pPr>
            <w:r>
              <w:rPr>
                <w:rFonts w:ascii="Times New Roman" w:eastAsia="宋体" w:hAnsi="Times New Roman"/>
                <w:color w:val="000000"/>
                <w:sz w:val="20"/>
                <w:szCs w:val="20"/>
              </w:rPr>
              <w:t>79 </w:t>
            </w:r>
          </w:p>
        </w:tc>
        <w:tc>
          <w:tcPr>
            <w:tcW w:w="0" w:type="auto"/>
            <w:shd w:val="clear" w:color="auto" w:fill="FFFFFF"/>
            <w:tcMar>
              <w:top w:w="40" w:type="dxa"/>
              <w:bottom w:w="40" w:type="dxa"/>
              <w:right w:w="20" w:type="dxa"/>
            </w:tcMar>
            <w:vAlign w:val="center"/>
          </w:tcPr>
          <w:p w14:paraId="33DAB223" w14:textId="77777777" w:rsidR="004D6A64" w:rsidRDefault="004D6A64">
            <w:pPr>
              <w:jc w:val="right"/>
              <w:rPr>
                <w:rFonts w:ascii="宋体"/>
              </w:rPr>
            </w:pPr>
          </w:p>
        </w:tc>
        <w:tc>
          <w:tcPr>
            <w:tcW w:w="0" w:type="auto"/>
            <w:shd w:val="clear" w:color="auto" w:fill="auto"/>
          </w:tcPr>
          <w:p w14:paraId="33DAB224" w14:textId="77777777" w:rsidR="004D6A64" w:rsidRDefault="004D6A64">
            <w:pPr>
              <w:rPr>
                <w:rFonts w:ascii="宋体"/>
              </w:rPr>
            </w:pPr>
          </w:p>
        </w:tc>
        <w:tc>
          <w:tcPr>
            <w:tcW w:w="0" w:type="auto"/>
            <w:shd w:val="clear" w:color="auto" w:fill="auto"/>
          </w:tcPr>
          <w:p w14:paraId="33DAB225" w14:textId="77777777" w:rsidR="004D6A64" w:rsidRDefault="004D6A64">
            <w:pPr>
              <w:rPr>
                <w:rFonts w:ascii="宋体"/>
              </w:rPr>
            </w:pPr>
          </w:p>
        </w:tc>
        <w:tc>
          <w:tcPr>
            <w:tcW w:w="0" w:type="auto"/>
            <w:shd w:val="clear" w:color="auto" w:fill="auto"/>
          </w:tcPr>
          <w:p w14:paraId="33DAB226" w14:textId="77777777" w:rsidR="004D6A64" w:rsidRDefault="004D6A64">
            <w:pPr>
              <w:rPr>
                <w:rFonts w:ascii="宋体"/>
              </w:rPr>
            </w:pPr>
          </w:p>
        </w:tc>
        <w:tc>
          <w:tcPr>
            <w:tcW w:w="0" w:type="auto"/>
            <w:shd w:val="clear" w:color="auto" w:fill="auto"/>
          </w:tcPr>
          <w:p w14:paraId="33DAB227" w14:textId="77777777" w:rsidR="004D6A64" w:rsidRDefault="004D6A64">
            <w:pPr>
              <w:rPr>
                <w:rFonts w:ascii="宋体"/>
              </w:rPr>
            </w:pPr>
          </w:p>
        </w:tc>
        <w:tc>
          <w:tcPr>
            <w:tcW w:w="0" w:type="auto"/>
            <w:shd w:val="clear" w:color="auto" w:fill="auto"/>
          </w:tcPr>
          <w:p w14:paraId="33DAB228" w14:textId="77777777" w:rsidR="004D6A64" w:rsidRDefault="004D6A64">
            <w:pPr>
              <w:rPr>
                <w:rFonts w:ascii="宋体"/>
              </w:rPr>
            </w:pPr>
          </w:p>
        </w:tc>
        <w:tc>
          <w:tcPr>
            <w:tcW w:w="0" w:type="auto"/>
            <w:shd w:val="clear" w:color="auto" w:fill="auto"/>
          </w:tcPr>
          <w:p w14:paraId="33DAB229" w14:textId="77777777" w:rsidR="004D6A64" w:rsidRDefault="004D6A64">
            <w:pPr>
              <w:rPr>
                <w:rFonts w:ascii="宋体"/>
              </w:rPr>
            </w:pPr>
          </w:p>
        </w:tc>
        <w:tc>
          <w:tcPr>
            <w:tcW w:w="0" w:type="auto"/>
            <w:shd w:val="clear" w:color="auto" w:fill="auto"/>
          </w:tcPr>
          <w:p w14:paraId="33DAB22A" w14:textId="77777777" w:rsidR="004D6A64" w:rsidRDefault="004D6A64">
            <w:pPr>
              <w:rPr>
                <w:rFonts w:ascii="宋体"/>
              </w:rPr>
            </w:pPr>
          </w:p>
        </w:tc>
        <w:tc>
          <w:tcPr>
            <w:tcW w:w="0" w:type="auto"/>
            <w:shd w:val="clear" w:color="auto" w:fill="auto"/>
          </w:tcPr>
          <w:p w14:paraId="33DAB22B" w14:textId="77777777" w:rsidR="004D6A64" w:rsidRDefault="004D6A64">
            <w:pPr>
              <w:rPr>
                <w:rFonts w:ascii="宋体"/>
              </w:rPr>
            </w:pPr>
          </w:p>
        </w:tc>
        <w:tc>
          <w:tcPr>
            <w:tcW w:w="0" w:type="auto"/>
            <w:shd w:val="clear" w:color="auto" w:fill="auto"/>
          </w:tcPr>
          <w:p w14:paraId="33DAB22C" w14:textId="77777777" w:rsidR="004D6A64" w:rsidRDefault="004D6A64">
            <w:pPr>
              <w:rPr>
                <w:rFonts w:ascii="宋体"/>
              </w:rPr>
            </w:pPr>
          </w:p>
        </w:tc>
        <w:tc>
          <w:tcPr>
            <w:tcW w:w="0" w:type="auto"/>
            <w:shd w:val="clear" w:color="auto" w:fill="auto"/>
          </w:tcPr>
          <w:p w14:paraId="33DAB22D" w14:textId="77777777" w:rsidR="004D6A64" w:rsidRDefault="004D6A64">
            <w:pPr>
              <w:rPr>
                <w:rFonts w:ascii="宋体"/>
              </w:rPr>
            </w:pPr>
          </w:p>
        </w:tc>
        <w:tc>
          <w:tcPr>
            <w:tcW w:w="0" w:type="auto"/>
            <w:shd w:val="clear" w:color="auto" w:fill="auto"/>
          </w:tcPr>
          <w:p w14:paraId="33DAB22E" w14:textId="77777777" w:rsidR="004D6A64" w:rsidRDefault="004D6A64">
            <w:pPr>
              <w:rPr>
                <w:rFonts w:ascii="宋体"/>
              </w:rPr>
            </w:pPr>
          </w:p>
        </w:tc>
        <w:tc>
          <w:tcPr>
            <w:tcW w:w="0" w:type="auto"/>
            <w:shd w:val="clear" w:color="auto" w:fill="auto"/>
          </w:tcPr>
          <w:p w14:paraId="33DAB22F" w14:textId="77777777" w:rsidR="004D6A64" w:rsidRDefault="004D6A64">
            <w:pPr>
              <w:rPr>
                <w:rFonts w:ascii="宋体"/>
              </w:rPr>
            </w:pPr>
          </w:p>
        </w:tc>
        <w:tc>
          <w:tcPr>
            <w:tcW w:w="0" w:type="auto"/>
            <w:shd w:val="clear" w:color="auto" w:fill="auto"/>
          </w:tcPr>
          <w:p w14:paraId="33DAB230" w14:textId="77777777" w:rsidR="004D6A64" w:rsidRDefault="004D6A64">
            <w:pPr>
              <w:rPr>
                <w:rFonts w:ascii="宋体"/>
              </w:rPr>
            </w:pPr>
          </w:p>
        </w:tc>
        <w:tc>
          <w:tcPr>
            <w:tcW w:w="0" w:type="auto"/>
            <w:shd w:val="clear" w:color="auto" w:fill="auto"/>
          </w:tcPr>
          <w:p w14:paraId="33DAB231" w14:textId="77777777" w:rsidR="004D6A64" w:rsidRDefault="004D6A64">
            <w:pPr>
              <w:rPr>
                <w:rFonts w:ascii="宋体"/>
              </w:rPr>
            </w:pPr>
          </w:p>
        </w:tc>
        <w:tc>
          <w:tcPr>
            <w:tcW w:w="0" w:type="auto"/>
            <w:shd w:val="clear" w:color="auto" w:fill="auto"/>
          </w:tcPr>
          <w:p w14:paraId="33DAB232" w14:textId="77777777" w:rsidR="004D6A64" w:rsidRDefault="004D6A64">
            <w:pPr>
              <w:rPr>
                <w:rFonts w:ascii="宋体"/>
              </w:rPr>
            </w:pPr>
          </w:p>
        </w:tc>
        <w:tc>
          <w:tcPr>
            <w:tcW w:w="0" w:type="auto"/>
            <w:shd w:val="clear" w:color="auto" w:fill="auto"/>
          </w:tcPr>
          <w:p w14:paraId="33DAB233" w14:textId="77777777" w:rsidR="004D6A64" w:rsidRDefault="004D6A64">
            <w:pPr>
              <w:rPr>
                <w:rFonts w:ascii="宋体"/>
              </w:rPr>
            </w:pPr>
          </w:p>
        </w:tc>
        <w:tc>
          <w:tcPr>
            <w:tcW w:w="0" w:type="auto"/>
            <w:shd w:val="clear" w:color="auto" w:fill="auto"/>
          </w:tcPr>
          <w:p w14:paraId="33DAB234" w14:textId="77777777" w:rsidR="004D6A64" w:rsidRDefault="004D6A64">
            <w:pPr>
              <w:rPr>
                <w:rFonts w:ascii="宋体"/>
              </w:rPr>
            </w:pPr>
          </w:p>
        </w:tc>
        <w:tc>
          <w:tcPr>
            <w:tcW w:w="0" w:type="auto"/>
            <w:shd w:val="clear" w:color="auto" w:fill="auto"/>
          </w:tcPr>
          <w:p w14:paraId="33DAB235" w14:textId="77777777" w:rsidR="004D6A64" w:rsidRDefault="004D6A64">
            <w:pPr>
              <w:rPr>
                <w:rFonts w:ascii="宋体"/>
              </w:rPr>
            </w:pPr>
          </w:p>
        </w:tc>
      </w:tr>
      <w:tr w:rsidR="004D6A64" w14:paraId="33DAB259" w14:textId="77777777">
        <w:trPr>
          <w:jc w:val="center"/>
        </w:trPr>
        <w:tc>
          <w:tcPr>
            <w:tcW w:w="0" w:type="auto"/>
            <w:gridSpan w:val="3"/>
            <w:shd w:val="clear" w:color="auto" w:fill="CCEEFF"/>
            <w:tcMar>
              <w:top w:w="40" w:type="dxa"/>
              <w:left w:w="135" w:type="dxa"/>
              <w:bottom w:w="40" w:type="dxa"/>
              <w:right w:w="20" w:type="dxa"/>
            </w:tcMar>
            <w:vAlign w:val="center"/>
          </w:tcPr>
          <w:p w14:paraId="33DAB237" w14:textId="77777777" w:rsidR="004D6A64" w:rsidRDefault="00506CD6">
            <w:pPr>
              <w:textAlignment w:val="center"/>
            </w:pPr>
            <w:r>
              <w:rPr>
                <w:rFonts w:ascii="Times New Roman" w:eastAsia="宋体" w:hAnsi="Times New Roman"/>
                <w:color w:val="000000"/>
                <w:sz w:val="20"/>
                <w:szCs w:val="20"/>
              </w:rPr>
              <w:t>Total lease costs</w:t>
            </w: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B238"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B239" w14:textId="77777777" w:rsidR="004D6A64" w:rsidRDefault="00506CD6">
            <w:pPr>
              <w:jc w:val="right"/>
              <w:textAlignment w:val="center"/>
            </w:pPr>
            <w:r>
              <w:rPr>
                <w:rFonts w:ascii="Times New Roman" w:eastAsia="宋体" w:hAnsi="Times New Roman"/>
                <w:color w:val="000000"/>
                <w:sz w:val="20"/>
                <w:szCs w:val="20"/>
              </w:rPr>
              <w:t>156 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B23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23B"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B23C"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B23D" w14:textId="77777777" w:rsidR="004D6A64" w:rsidRDefault="00506CD6">
            <w:pPr>
              <w:jc w:val="right"/>
              <w:textAlignment w:val="center"/>
            </w:pPr>
            <w:r>
              <w:rPr>
                <w:rFonts w:ascii="Times New Roman" w:eastAsia="宋体" w:hAnsi="Times New Roman"/>
                <w:color w:val="000000"/>
                <w:sz w:val="20"/>
                <w:szCs w:val="20"/>
              </w:rPr>
              <w:t>167 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B23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23F"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B240"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B241" w14:textId="77777777" w:rsidR="004D6A64" w:rsidRDefault="00506CD6">
            <w:pPr>
              <w:jc w:val="right"/>
              <w:textAlignment w:val="center"/>
            </w:pPr>
            <w:r>
              <w:rPr>
                <w:rFonts w:ascii="Times New Roman" w:eastAsia="宋体" w:hAnsi="Times New Roman"/>
                <w:color w:val="000000"/>
                <w:sz w:val="20"/>
                <w:szCs w:val="20"/>
              </w:rPr>
              <w:t>331 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B242" w14:textId="77777777" w:rsidR="004D6A64" w:rsidRDefault="004D6A64">
            <w:pPr>
              <w:jc w:val="right"/>
              <w:rPr>
                <w:rFonts w:ascii="宋体"/>
              </w:rPr>
            </w:pPr>
          </w:p>
        </w:tc>
        <w:tc>
          <w:tcPr>
            <w:tcW w:w="0" w:type="auto"/>
            <w:gridSpan w:val="3"/>
            <w:shd w:val="clear" w:color="auto" w:fill="CCEEFF"/>
            <w:tcMar>
              <w:left w:w="20" w:type="dxa"/>
              <w:right w:w="20" w:type="dxa"/>
            </w:tcMar>
            <w:vAlign w:val="center"/>
          </w:tcPr>
          <w:p w14:paraId="33DAB243" w14:textId="77777777" w:rsidR="004D6A64" w:rsidRDefault="004D6A64">
            <w:pPr>
              <w:jc w:val="right"/>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B244"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B245" w14:textId="77777777" w:rsidR="004D6A64" w:rsidRDefault="00506CD6">
            <w:pPr>
              <w:jc w:val="right"/>
              <w:textAlignment w:val="center"/>
            </w:pPr>
            <w:r>
              <w:rPr>
                <w:rFonts w:ascii="Times New Roman" w:eastAsia="宋体" w:hAnsi="Times New Roman"/>
                <w:color w:val="000000"/>
                <w:sz w:val="20"/>
                <w:szCs w:val="20"/>
              </w:rPr>
              <w:t>322 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B246" w14:textId="77777777" w:rsidR="004D6A64" w:rsidRDefault="004D6A64">
            <w:pPr>
              <w:jc w:val="right"/>
              <w:rPr>
                <w:rFonts w:ascii="宋体"/>
              </w:rPr>
            </w:pPr>
          </w:p>
        </w:tc>
        <w:tc>
          <w:tcPr>
            <w:tcW w:w="0" w:type="auto"/>
            <w:shd w:val="clear" w:color="auto" w:fill="auto"/>
          </w:tcPr>
          <w:p w14:paraId="33DAB247" w14:textId="77777777" w:rsidR="004D6A64" w:rsidRDefault="004D6A64">
            <w:pPr>
              <w:rPr>
                <w:rFonts w:ascii="宋体"/>
              </w:rPr>
            </w:pPr>
          </w:p>
        </w:tc>
        <w:tc>
          <w:tcPr>
            <w:tcW w:w="0" w:type="auto"/>
            <w:shd w:val="clear" w:color="auto" w:fill="auto"/>
          </w:tcPr>
          <w:p w14:paraId="33DAB248" w14:textId="77777777" w:rsidR="004D6A64" w:rsidRDefault="004D6A64">
            <w:pPr>
              <w:rPr>
                <w:rFonts w:ascii="宋体"/>
              </w:rPr>
            </w:pPr>
          </w:p>
        </w:tc>
        <w:tc>
          <w:tcPr>
            <w:tcW w:w="0" w:type="auto"/>
            <w:shd w:val="clear" w:color="auto" w:fill="auto"/>
          </w:tcPr>
          <w:p w14:paraId="33DAB249" w14:textId="77777777" w:rsidR="004D6A64" w:rsidRDefault="004D6A64">
            <w:pPr>
              <w:rPr>
                <w:rFonts w:ascii="宋体"/>
              </w:rPr>
            </w:pPr>
          </w:p>
        </w:tc>
        <w:tc>
          <w:tcPr>
            <w:tcW w:w="0" w:type="auto"/>
            <w:shd w:val="clear" w:color="auto" w:fill="auto"/>
          </w:tcPr>
          <w:p w14:paraId="33DAB24A" w14:textId="77777777" w:rsidR="004D6A64" w:rsidRDefault="004D6A64">
            <w:pPr>
              <w:rPr>
                <w:rFonts w:ascii="宋体"/>
              </w:rPr>
            </w:pPr>
          </w:p>
        </w:tc>
        <w:tc>
          <w:tcPr>
            <w:tcW w:w="0" w:type="auto"/>
            <w:shd w:val="clear" w:color="auto" w:fill="auto"/>
          </w:tcPr>
          <w:p w14:paraId="33DAB24B" w14:textId="77777777" w:rsidR="004D6A64" w:rsidRDefault="004D6A64">
            <w:pPr>
              <w:rPr>
                <w:rFonts w:ascii="宋体"/>
              </w:rPr>
            </w:pPr>
          </w:p>
        </w:tc>
        <w:tc>
          <w:tcPr>
            <w:tcW w:w="0" w:type="auto"/>
            <w:shd w:val="clear" w:color="auto" w:fill="auto"/>
          </w:tcPr>
          <w:p w14:paraId="33DAB24C" w14:textId="77777777" w:rsidR="004D6A64" w:rsidRDefault="004D6A64">
            <w:pPr>
              <w:rPr>
                <w:rFonts w:ascii="宋体"/>
              </w:rPr>
            </w:pPr>
          </w:p>
        </w:tc>
        <w:tc>
          <w:tcPr>
            <w:tcW w:w="0" w:type="auto"/>
            <w:shd w:val="clear" w:color="auto" w:fill="auto"/>
          </w:tcPr>
          <w:p w14:paraId="33DAB24D" w14:textId="77777777" w:rsidR="004D6A64" w:rsidRDefault="004D6A64">
            <w:pPr>
              <w:rPr>
                <w:rFonts w:ascii="宋体"/>
              </w:rPr>
            </w:pPr>
          </w:p>
        </w:tc>
        <w:tc>
          <w:tcPr>
            <w:tcW w:w="0" w:type="auto"/>
            <w:shd w:val="clear" w:color="auto" w:fill="auto"/>
          </w:tcPr>
          <w:p w14:paraId="33DAB24E" w14:textId="77777777" w:rsidR="004D6A64" w:rsidRDefault="004D6A64">
            <w:pPr>
              <w:rPr>
                <w:rFonts w:ascii="宋体"/>
              </w:rPr>
            </w:pPr>
          </w:p>
        </w:tc>
        <w:tc>
          <w:tcPr>
            <w:tcW w:w="0" w:type="auto"/>
            <w:shd w:val="clear" w:color="auto" w:fill="auto"/>
          </w:tcPr>
          <w:p w14:paraId="33DAB24F" w14:textId="77777777" w:rsidR="004D6A64" w:rsidRDefault="004D6A64">
            <w:pPr>
              <w:rPr>
                <w:rFonts w:ascii="宋体"/>
              </w:rPr>
            </w:pPr>
          </w:p>
        </w:tc>
        <w:tc>
          <w:tcPr>
            <w:tcW w:w="0" w:type="auto"/>
            <w:shd w:val="clear" w:color="auto" w:fill="auto"/>
          </w:tcPr>
          <w:p w14:paraId="33DAB250" w14:textId="77777777" w:rsidR="004D6A64" w:rsidRDefault="004D6A64">
            <w:pPr>
              <w:rPr>
                <w:rFonts w:ascii="宋体"/>
              </w:rPr>
            </w:pPr>
          </w:p>
        </w:tc>
        <w:tc>
          <w:tcPr>
            <w:tcW w:w="0" w:type="auto"/>
            <w:shd w:val="clear" w:color="auto" w:fill="auto"/>
          </w:tcPr>
          <w:p w14:paraId="33DAB251" w14:textId="77777777" w:rsidR="004D6A64" w:rsidRDefault="004D6A64">
            <w:pPr>
              <w:rPr>
                <w:rFonts w:ascii="宋体"/>
              </w:rPr>
            </w:pPr>
          </w:p>
        </w:tc>
        <w:tc>
          <w:tcPr>
            <w:tcW w:w="0" w:type="auto"/>
            <w:shd w:val="clear" w:color="auto" w:fill="auto"/>
          </w:tcPr>
          <w:p w14:paraId="33DAB252" w14:textId="77777777" w:rsidR="004D6A64" w:rsidRDefault="004D6A64">
            <w:pPr>
              <w:rPr>
                <w:rFonts w:ascii="宋体"/>
              </w:rPr>
            </w:pPr>
          </w:p>
        </w:tc>
        <w:tc>
          <w:tcPr>
            <w:tcW w:w="0" w:type="auto"/>
            <w:shd w:val="clear" w:color="auto" w:fill="auto"/>
          </w:tcPr>
          <w:p w14:paraId="33DAB253" w14:textId="77777777" w:rsidR="004D6A64" w:rsidRDefault="004D6A64">
            <w:pPr>
              <w:rPr>
                <w:rFonts w:ascii="宋体"/>
              </w:rPr>
            </w:pPr>
          </w:p>
        </w:tc>
        <w:tc>
          <w:tcPr>
            <w:tcW w:w="0" w:type="auto"/>
            <w:shd w:val="clear" w:color="auto" w:fill="auto"/>
          </w:tcPr>
          <w:p w14:paraId="33DAB254" w14:textId="77777777" w:rsidR="004D6A64" w:rsidRDefault="004D6A64">
            <w:pPr>
              <w:rPr>
                <w:rFonts w:ascii="宋体"/>
              </w:rPr>
            </w:pPr>
          </w:p>
        </w:tc>
        <w:tc>
          <w:tcPr>
            <w:tcW w:w="0" w:type="auto"/>
            <w:shd w:val="clear" w:color="auto" w:fill="auto"/>
          </w:tcPr>
          <w:p w14:paraId="33DAB255" w14:textId="77777777" w:rsidR="004D6A64" w:rsidRDefault="004D6A64">
            <w:pPr>
              <w:rPr>
                <w:rFonts w:ascii="宋体"/>
              </w:rPr>
            </w:pPr>
          </w:p>
        </w:tc>
        <w:tc>
          <w:tcPr>
            <w:tcW w:w="0" w:type="auto"/>
            <w:shd w:val="clear" w:color="auto" w:fill="auto"/>
          </w:tcPr>
          <w:p w14:paraId="33DAB256" w14:textId="77777777" w:rsidR="004D6A64" w:rsidRDefault="004D6A64">
            <w:pPr>
              <w:rPr>
                <w:rFonts w:ascii="宋体"/>
              </w:rPr>
            </w:pPr>
          </w:p>
        </w:tc>
        <w:tc>
          <w:tcPr>
            <w:tcW w:w="0" w:type="auto"/>
            <w:shd w:val="clear" w:color="auto" w:fill="auto"/>
          </w:tcPr>
          <w:p w14:paraId="33DAB257" w14:textId="77777777" w:rsidR="004D6A64" w:rsidRDefault="004D6A64">
            <w:pPr>
              <w:rPr>
                <w:rFonts w:ascii="宋体"/>
              </w:rPr>
            </w:pPr>
          </w:p>
        </w:tc>
        <w:tc>
          <w:tcPr>
            <w:tcW w:w="0" w:type="auto"/>
            <w:shd w:val="clear" w:color="auto" w:fill="auto"/>
          </w:tcPr>
          <w:p w14:paraId="33DAB258" w14:textId="77777777" w:rsidR="004D6A64" w:rsidRDefault="004D6A64">
            <w:pPr>
              <w:rPr>
                <w:rFonts w:ascii="宋体"/>
              </w:rPr>
            </w:pPr>
          </w:p>
        </w:tc>
      </w:tr>
    </w:tbl>
    <w:p w14:paraId="33DAB25A" w14:textId="77777777" w:rsidR="004D6A64" w:rsidRDefault="004D6A64"/>
    <w:p w14:paraId="33DAB25B" w14:textId="77777777" w:rsidR="004D6A64" w:rsidRDefault="00506CD6">
      <w:r>
        <w:rPr>
          <w:rFonts w:ascii="Times New Roman" w:eastAsia="宋体" w:hAnsi="Times New Roman"/>
          <w:color w:val="000000"/>
          <w:sz w:val="20"/>
          <w:szCs w:val="20"/>
        </w:rPr>
        <w:t>During both the six months ended July 31, 2020</w:t>
      </w:r>
      <w:r>
        <w:rPr>
          <w:rFonts w:ascii="Times New Roman" w:eastAsia="宋体" w:hAnsi="Times New Roman"/>
          <w:color w:val="000000"/>
          <w:sz w:val="20"/>
          <w:szCs w:val="20"/>
        </w:rPr>
        <w:t xml:space="preserve"> and August 2, 2019, sublease income, finance lease costs, and short-term lease costs were immaterial. </w:t>
      </w:r>
    </w:p>
    <w:p w14:paraId="33DAB25C" w14:textId="77777777" w:rsidR="004D6A64" w:rsidRDefault="004D6A64"/>
    <w:p w14:paraId="33DAB25D" w14:textId="77777777" w:rsidR="004D6A64" w:rsidRDefault="00506CD6">
      <w:r>
        <w:rPr>
          <w:rFonts w:ascii="Times New Roman" w:eastAsia="宋体" w:hAnsi="Times New Roman"/>
          <w:color w:val="000000"/>
          <w:sz w:val="20"/>
          <w:szCs w:val="20"/>
        </w:rPr>
        <w:t>The following table presents supplemental information related to operating leases included in the Condensed Consolidated Statements of Financial Positi</w:t>
      </w:r>
      <w:r>
        <w:rPr>
          <w:rFonts w:ascii="Times New Roman" w:eastAsia="宋体" w:hAnsi="Times New Roman"/>
          <w:color w:val="000000"/>
          <w:sz w:val="20"/>
          <w:szCs w:val="20"/>
        </w:rPr>
        <w:t>on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3"/>
        <w:gridCol w:w="2626"/>
        <w:gridCol w:w="38"/>
        <w:gridCol w:w="41"/>
        <w:gridCol w:w="2134"/>
        <w:gridCol w:w="36"/>
        <w:gridCol w:w="135"/>
        <w:gridCol w:w="1173"/>
        <w:gridCol w:w="202"/>
        <w:gridCol w:w="36"/>
        <w:gridCol w:w="36"/>
        <w:gridCol w:w="36"/>
        <w:gridCol w:w="135"/>
        <w:gridCol w:w="1175"/>
        <w:gridCol w:w="202"/>
        <w:gridCol w:w="36"/>
        <w:gridCol w:w="36"/>
        <w:gridCol w:w="36"/>
        <w:gridCol w:w="36"/>
        <w:gridCol w:w="36"/>
        <w:gridCol w:w="36"/>
        <w:gridCol w:w="36"/>
        <w:gridCol w:w="36"/>
      </w:tblGrid>
      <w:tr w:rsidR="004D6A64" w14:paraId="33DAB26F" w14:textId="77777777">
        <w:trPr>
          <w:gridAfter w:val="6"/>
        </w:trPr>
        <w:tc>
          <w:tcPr>
            <w:tcW w:w="50" w:type="pct"/>
            <w:shd w:val="clear" w:color="auto" w:fill="auto"/>
          </w:tcPr>
          <w:p w14:paraId="33DAB25E" w14:textId="77777777" w:rsidR="004D6A64" w:rsidRDefault="004D6A64">
            <w:pPr>
              <w:rPr>
                <w:rFonts w:ascii="宋体"/>
              </w:rPr>
            </w:pPr>
          </w:p>
        </w:tc>
        <w:tc>
          <w:tcPr>
            <w:tcW w:w="1735" w:type="pct"/>
            <w:shd w:val="clear" w:color="auto" w:fill="auto"/>
          </w:tcPr>
          <w:p w14:paraId="33DAB25F" w14:textId="77777777" w:rsidR="004D6A64" w:rsidRDefault="004D6A64">
            <w:pPr>
              <w:rPr>
                <w:rFonts w:ascii="宋体"/>
              </w:rPr>
            </w:pPr>
          </w:p>
        </w:tc>
        <w:tc>
          <w:tcPr>
            <w:tcW w:w="5" w:type="pct"/>
            <w:shd w:val="clear" w:color="auto" w:fill="auto"/>
          </w:tcPr>
          <w:p w14:paraId="33DAB260" w14:textId="77777777" w:rsidR="004D6A64" w:rsidRDefault="004D6A64">
            <w:pPr>
              <w:rPr>
                <w:rFonts w:ascii="宋体"/>
              </w:rPr>
            </w:pPr>
          </w:p>
        </w:tc>
        <w:tc>
          <w:tcPr>
            <w:tcW w:w="50" w:type="pct"/>
            <w:shd w:val="clear" w:color="auto" w:fill="auto"/>
          </w:tcPr>
          <w:p w14:paraId="33DAB261" w14:textId="77777777" w:rsidR="004D6A64" w:rsidRDefault="004D6A64">
            <w:pPr>
              <w:rPr>
                <w:rFonts w:ascii="宋体"/>
              </w:rPr>
            </w:pPr>
          </w:p>
        </w:tc>
        <w:tc>
          <w:tcPr>
            <w:tcW w:w="1428" w:type="pct"/>
            <w:shd w:val="clear" w:color="auto" w:fill="auto"/>
          </w:tcPr>
          <w:p w14:paraId="33DAB262" w14:textId="77777777" w:rsidR="004D6A64" w:rsidRDefault="004D6A64">
            <w:pPr>
              <w:rPr>
                <w:rFonts w:ascii="宋体"/>
              </w:rPr>
            </w:pPr>
          </w:p>
        </w:tc>
        <w:tc>
          <w:tcPr>
            <w:tcW w:w="5" w:type="pct"/>
            <w:shd w:val="clear" w:color="auto" w:fill="auto"/>
          </w:tcPr>
          <w:p w14:paraId="33DAB263" w14:textId="77777777" w:rsidR="004D6A64" w:rsidRDefault="004D6A64">
            <w:pPr>
              <w:rPr>
                <w:rFonts w:ascii="宋体"/>
              </w:rPr>
            </w:pPr>
          </w:p>
        </w:tc>
        <w:tc>
          <w:tcPr>
            <w:tcW w:w="50" w:type="pct"/>
            <w:shd w:val="clear" w:color="auto" w:fill="auto"/>
          </w:tcPr>
          <w:p w14:paraId="33DAB264" w14:textId="77777777" w:rsidR="004D6A64" w:rsidRDefault="004D6A64">
            <w:pPr>
              <w:rPr>
                <w:rFonts w:ascii="宋体"/>
              </w:rPr>
            </w:pPr>
          </w:p>
        </w:tc>
        <w:tc>
          <w:tcPr>
            <w:tcW w:w="792" w:type="pct"/>
            <w:shd w:val="clear" w:color="auto" w:fill="auto"/>
          </w:tcPr>
          <w:p w14:paraId="33DAB265" w14:textId="77777777" w:rsidR="004D6A64" w:rsidRDefault="004D6A64">
            <w:pPr>
              <w:rPr>
                <w:rFonts w:ascii="宋体"/>
              </w:rPr>
            </w:pPr>
          </w:p>
        </w:tc>
        <w:tc>
          <w:tcPr>
            <w:tcW w:w="5" w:type="pct"/>
            <w:shd w:val="clear" w:color="auto" w:fill="auto"/>
          </w:tcPr>
          <w:p w14:paraId="33DAB266" w14:textId="77777777" w:rsidR="004D6A64" w:rsidRDefault="004D6A64">
            <w:pPr>
              <w:rPr>
                <w:rFonts w:ascii="宋体"/>
              </w:rPr>
            </w:pPr>
          </w:p>
        </w:tc>
        <w:tc>
          <w:tcPr>
            <w:tcW w:w="5" w:type="pct"/>
            <w:shd w:val="clear" w:color="auto" w:fill="auto"/>
          </w:tcPr>
          <w:p w14:paraId="33DAB267" w14:textId="77777777" w:rsidR="004D6A64" w:rsidRDefault="004D6A64">
            <w:pPr>
              <w:rPr>
                <w:rFonts w:ascii="宋体"/>
              </w:rPr>
            </w:pPr>
          </w:p>
        </w:tc>
        <w:tc>
          <w:tcPr>
            <w:tcW w:w="19" w:type="pct"/>
            <w:shd w:val="clear" w:color="auto" w:fill="auto"/>
          </w:tcPr>
          <w:p w14:paraId="33DAB268" w14:textId="77777777" w:rsidR="004D6A64" w:rsidRDefault="004D6A64">
            <w:pPr>
              <w:rPr>
                <w:rFonts w:ascii="宋体"/>
              </w:rPr>
            </w:pPr>
          </w:p>
        </w:tc>
        <w:tc>
          <w:tcPr>
            <w:tcW w:w="5" w:type="pct"/>
            <w:shd w:val="clear" w:color="auto" w:fill="auto"/>
          </w:tcPr>
          <w:p w14:paraId="33DAB269" w14:textId="77777777" w:rsidR="004D6A64" w:rsidRDefault="004D6A64">
            <w:pPr>
              <w:rPr>
                <w:rFonts w:ascii="宋体"/>
              </w:rPr>
            </w:pPr>
          </w:p>
        </w:tc>
        <w:tc>
          <w:tcPr>
            <w:tcW w:w="50" w:type="pct"/>
            <w:shd w:val="clear" w:color="auto" w:fill="auto"/>
          </w:tcPr>
          <w:p w14:paraId="33DAB26A" w14:textId="77777777" w:rsidR="004D6A64" w:rsidRDefault="004D6A64">
            <w:pPr>
              <w:rPr>
                <w:rFonts w:ascii="宋体"/>
              </w:rPr>
            </w:pPr>
          </w:p>
        </w:tc>
        <w:tc>
          <w:tcPr>
            <w:tcW w:w="793" w:type="pct"/>
            <w:shd w:val="clear" w:color="auto" w:fill="auto"/>
          </w:tcPr>
          <w:p w14:paraId="33DAB26B" w14:textId="77777777" w:rsidR="004D6A64" w:rsidRDefault="004D6A64">
            <w:pPr>
              <w:rPr>
                <w:rFonts w:ascii="宋体"/>
              </w:rPr>
            </w:pPr>
          </w:p>
        </w:tc>
        <w:tc>
          <w:tcPr>
            <w:tcW w:w="5" w:type="pct"/>
            <w:shd w:val="clear" w:color="auto" w:fill="auto"/>
          </w:tcPr>
          <w:p w14:paraId="33DAB26C" w14:textId="77777777" w:rsidR="004D6A64" w:rsidRDefault="004D6A64">
            <w:pPr>
              <w:rPr>
                <w:rFonts w:ascii="宋体"/>
              </w:rPr>
            </w:pPr>
          </w:p>
        </w:tc>
        <w:tc>
          <w:tcPr>
            <w:tcW w:w="0" w:type="auto"/>
            <w:shd w:val="clear" w:color="auto" w:fill="auto"/>
          </w:tcPr>
          <w:p w14:paraId="33DAB26D" w14:textId="77777777" w:rsidR="004D6A64" w:rsidRDefault="004D6A64">
            <w:pPr>
              <w:rPr>
                <w:rFonts w:ascii="宋体"/>
                <w:vanish/>
              </w:rPr>
            </w:pPr>
          </w:p>
        </w:tc>
        <w:tc>
          <w:tcPr>
            <w:tcW w:w="0" w:type="auto"/>
            <w:shd w:val="clear" w:color="auto" w:fill="auto"/>
          </w:tcPr>
          <w:p w14:paraId="33DAB26E" w14:textId="77777777" w:rsidR="004D6A64" w:rsidRDefault="004D6A64">
            <w:pPr>
              <w:rPr>
                <w:rFonts w:ascii="宋体"/>
                <w:vanish/>
              </w:rPr>
            </w:pPr>
          </w:p>
        </w:tc>
      </w:tr>
      <w:tr w:rsidR="004D6A64" w14:paraId="33DAB277" w14:textId="77777777">
        <w:trPr>
          <w:gridAfter w:val="6"/>
        </w:trPr>
        <w:tc>
          <w:tcPr>
            <w:tcW w:w="0" w:type="auto"/>
            <w:gridSpan w:val="3"/>
            <w:shd w:val="clear" w:color="auto" w:fill="auto"/>
            <w:tcMar>
              <w:left w:w="20" w:type="dxa"/>
              <w:right w:w="20" w:type="dxa"/>
            </w:tcMar>
            <w:vAlign w:val="bottom"/>
          </w:tcPr>
          <w:p w14:paraId="33DAB270"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B271" w14:textId="77777777" w:rsidR="004D6A64" w:rsidRDefault="00506CD6">
            <w:pPr>
              <w:jc w:val="center"/>
              <w:textAlignment w:val="bottom"/>
            </w:pPr>
            <w:r>
              <w:rPr>
                <w:rFonts w:ascii="Times New Roman" w:eastAsia="宋体" w:hAnsi="Times New Roman"/>
                <w:b/>
                <w:bCs/>
                <w:color w:val="000000"/>
                <w:sz w:val="20"/>
                <w:szCs w:val="20"/>
              </w:rPr>
              <w:t>Classification</w:t>
            </w:r>
          </w:p>
        </w:tc>
        <w:tc>
          <w:tcPr>
            <w:tcW w:w="0" w:type="auto"/>
            <w:gridSpan w:val="3"/>
            <w:shd w:val="clear" w:color="auto" w:fill="auto"/>
            <w:tcMar>
              <w:top w:w="40" w:type="dxa"/>
              <w:left w:w="20" w:type="dxa"/>
              <w:bottom w:w="40" w:type="dxa"/>
              <w:right w:w="20" w:type="dxa"/>
            </w:tcMar>
            <w:vAlign w:val="bottom"/>
          </w:tcPr>
          <w:p w14:paraId="33DAB272"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shd w:val="clear" w:color="auto" w:fill="auto"/>
            <w:tcMar>
              <w:left w:w="20" w:type="dxa"/>
              <w:right w:w="20" w:type="dxa"/>
            </w:tcMar>
            <w:vAlign w:val="bottom"/>
          </w:tcPr>
          <w:p w14:paraId="33DAB273" w14:textId="77777777" w:rsidR="004D6A64" w:rsidRDefault="004D6A6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3DAB274" w14:textId="77777777" w:rsidR="004D6A64" w:rsidRDefault="00506CD6">
            <w:pPr>
              <w:jc w:val="center"/>
              <w:textAlignment w:val="bottom"/>
            </w:pPr>
            <w:r>
              <w:rPr>
                <w:rFonts w:ascii="Times New Roman" w:eastAsia="宋体" w:hAnsi="Times New Roman"/>
                <w:b/>
                <w:bCs/>
                <w:color w:val="000000"/>
                <w:sz w:val="20"/>
                <w:szCs w:val="20"/>
              </w:rPr>
              <w:t>January 31, 2020</w:t>
            </w:r>
          </w:p>
        </w:tc>
        <w:tc>
          <w:tcPr>
            <w:tcW w:w="0" w:type="auto"/>
            <w:shd w:val="clear" w:color="auto" w:fill="auto"/>
          </w:tcPr>
          <w:p w14:paraId="33DAB275" w14:textId="77777777" w:rsidR="004D6A64" w:rsidRDefault="004D6A64">
            <w:pPr>
              <w:rPr>
                <w:rFonts w:ascii="宋体"/>
                <w:vanish/>
              </w:rPr>
            </w:pPr>
          </w:p>
        </w:tc>
        <w:tc>
          <w:tcPr>
            <w:tcW w:w="0" w:type="auto"/>
            <w:shd w:val="clear" w:color="auto" w:fill="auto"/>
          </w:tcPr>
          <w:p w14:paraId="33DAB276" w14:textId="77777777" w:rsidR="004D6A64" w:rsidRDefault="004D6A64">
            <w:pPr>
              <w:rPr>
                <w:rFonts w:ascii="宋体"/>
                <w:vanish/>
              </w:rPr>
            </w:pPr>
          </w:p>
        </w:tc>
      </w:tr>
      <w:tr w:rsidR="004D6A64" w14:paraId="33DAB27F" w14:textId="77777777">
        <w:tc>
          <w:tcPr>
            <w:tcW w:w="0" w:type="auto"/>
            <w:gridSpan w:val="3"/>
            <w:shd w:val="clear" w:color="auto" w:fill="auto"/>
            <w:tcMar>
              <w:left w:w="20" w:type="dxa"/>
              <w:right w:w="20" w:type="dxa"/>
            </w:tcMar>
            <w:vAlign w:val="bottom"/>
          </w:tcPr>
          <w:p w14:paraId="33DAB278" w14:textId="77777777" w:rsidR="004D6A64" w:rsidRDefault="004D6A64">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3DAB279" w14:textId="77777777" w:rsidR="004D6A64" w:rsidRDefault="004D6A6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3DAB27A" w14:textId="77777777" w:rsidR="004D6A64" w:rsidRDefault="00506CD6">
            <w:pPr>
              <w:jc w:val="center"/>
              <w:textAlignment w:val="bottom"/>
            </w:pPr>
            <w:r>
              <w:rPr>
                <w:rFonts w:ascii="Times New Roman" w:eastAsia="宋体" w:hAnsi="Times New Roman"/>
                <w:color w:val="000000"/>
                <w:sz w:val="20"/>
                <w:szCs w:val="20"/>
              </w:rPr>
              <w:t>(in millions, except for term and discount rate)</w:t>
            </w:r>
          </w:p>
        </w:tc>
        <w:tc>
          <w:tcPr>
            <w:tcW w:w="0" w:type="auto"/>
            <w:shd w:val="clear" w:color="auto" w:fill="auto"/>
          </w:tcPr>
          <w:p w14:paraId="33DAB27B" w14:textId="77777777" w:rsidR="004D6A64" w:rsidRDefault="004D6A64">
            <w:pPr>
              <w:rPr>
                <w:rFonts w:ascii="宋体"/>
                <w:vanish/>
              </w:rPr>
            </w:pPr>
          </w:p>
        </w:tc>
        <w:tc>
          <w:tcPr>
            <w:tcW w:w="0" w:type="auto"/>
            <w:shd w:val="clear" w:color="auto" w:fill="auto"/>
          </w:tcPr>
          <w:p w14:paraId="33DAB27C" w14:textId="77777777" w:rsidR="004D6A64" w:rsidRDefault="004D6A64">
            <w:pPr>
              <w:rPr>
                <w:rFonts w:ascii="宋体"/>
                <w:vanish/>
              </w:rPr>
            </w:pPr>
          </w:p>
        </w:tc>
        <w:tc>
          <w:tcPr>
            <w:tcW w:w="0" w:type="auto"/>
            <w:gridSpan w:val="3"/>
            <w:shd w:val="clear" w:color="auto" w:fill="auto"/>
          </w:tcPr>
          <w:p w14:paraId="33DAB27D" w14:textId="77777777" w:rsidR="004D6A64" w:rsidRDefault="004D6A64">
            <w:pPr>
              <w:rPr>
                <w:rFonts w:ascii="宋体"/>
                <w:vanish/>
              </w:rPr>
            </w:pPr>
          </w:p>
        </w:tc>
        <w:tc>
          <w:tcPr>
            <w:tcW w:w="0" w:type="auto"/>
            <w:gridSpan w:val="3"/>
            <w:shd w:val="clear" w:color="auto" w:fill="auto"/>
          </w:tcPr>
          <w:p w14:paraId="33DAB27E" w14:textId="77777777" w:rsidR="004D6A64" w:rsidRDefault="004D6A64">
            <w:pPr>
              <w:rPr>
                <w:rFonts w:ascii="宋体"/>
                <w:vanish/>
              </w:rPr>
            </w:pPr>
          </w:p>
        </w:tc>
      </w:tr>
      <w:tr w:rsidR="004D6A64" w14:paraId="33DAB291" w14:textId="77777777">
        <w:tc>
          <w:tcPr>
            <w:tcW w:w="0" w:type="auto"/>
            <w:gridSpan w:val="3"/>
            <w:shd w:val="clear" w:color="auto" w:fill="CCEEFF"/>
            <w:tcMar>
              <w:top w:w="40" w:type="dxa"/>
              <w:left w:w="20" w:type="dxa"/>
              <w:bottom w:w="40" w:type="dxa"/>
              <w:right w:w="20" w:type="dxa"/>
            </w:tcMar>
            <w:vAlign w:val="bottom"/>
          </w:tcPr>
          <w:p w14:paraId="33DAB280" w14:textId="77777777" w:rsidR="004D6A64" w:rsidRDefault="00506CD6">
            <w:pPr>
              <w:textAlignment w:val="bottom"/>
            </w:pPr>
            <w:r>
              <w:rPr>
                <w:rFonts w:ascii="Times New Roman" w:eastAsia="宋体" w:hAnsi="Times New Roman"/>
                <w:color w:val="000000"/>
                <w:sz w:val="20"/>
                <w:szCs w:val="20"/>
              </w:rPr>
              <w:t>Operating lease right of use (“ROU”) assets</w:t>
            </w:r>
          </w:p>
        </w:tc>
        <w:tc>
          <w:tcPr>
            <w:tcW w:w="0" w:type="auto"/>
            <w:gridSpan w:val="3"/>
            <w:shd w:val="clear" w:color="auto" w:fill="CCEEFF"/>
            <w:tcMar>
              <w:top w:w="40" w:type="dxa"/>
              <w:left w:w="20" w:type="dxa"/>
              <w:bottom w:w="40" w:type="dxa"/>
              <w:right w:w="20" w:type="dxa"/>
            </w:tcMar>
            <w:vAlign w:val="bottom"/>
          </w:tcPr>
          <w:p w14:paraId="33DAB281" w14:textId="77777777" w:rsidR="004D6A64" w:rsidRDefault="00506CD6">
            <w:pPr>
              <w:textAlignment w:val="bottom"/>
            </w:pPr>
            <w:r>
              <w:rPr>
                <w:rFonts w:ascii="Times New Roman" w:eastAsia="宋体" w:hAnsi="Times New Roman"/>
                <w:color w:val="000000"/>
                <w:sz w:val="20"/>
                <w:szCs w:val="20"/>
              </w:rPr>
              <w:t>Other non-current assets</w:t>
            </w:r>
          </w:p>
        </w:tc>
        <w:tc>
          <w:tcPr>
            <w:tcW w:w="0" w:type="auto"/>
            <w:shd w:val="clear" w:color="auto" w:fill="CCEEFF"/>
            <w:tcMar>
              <w:top w:w="40" w:type="dxa"/>
              <w:left w:w="20" w:type="dxa"/>
              <w:bottom w:w="40" w:type="dxa"/>
            </w:tcMar>
            <w:vAlign w:val="bottom"/>
          </w:tcPr>
          <w:p w14:paraId="33DAB282"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B283" w14:textId="77777777" w:rsidR="004D6A64" w:rsidRDefault="00506CD6">
            <w:pPr>
              <w:jc w:val="right"/>
              <w:textAlignment w:val="bottom"/>
            </w:pPr>
            <w:r>
              <w:rPr>
                <w:rFonts w:ascii="Times New Roman" w:eastAsia="宋体" w:hAnsi="Times New Roman"/>
                <w:color w:val="000000"/>
                <w:sz w:val="20"/>
                <w:szCs w:val="20"/>
              </w:rPr>
              <w:t>1,787 </w:t>
            </w:r>
          </w:p>
        </w:tc>
        <w:tc>
          <w:tcPr>
            <w:tcW w:w="0" w:type="auto"/>
            <w:shd w:val="clear" w:color="auto" w:fill="CCEEFF"/>
            <w:tcMar>
              <w:top w:w="40" w:type="dxa"/>
              <w:bottom w:w="40" w:type="dxa"/>
              <w:right w:w="120" w:type="dxa"/>
            </w:tcMar>
            <w:vAlign w:val="bottom"/>
          </w:tcPr>
          <w:p w14:paraId="33DAB28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285"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B286"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B287" w14:textId="77777777" w:rsidR="004D6A64" w:rsidRDefault="00506CD6">
            <w:pPr>
              <w:jc w:val="right"/>
              <w:textAlignment w:val="bottom"/>
            </w:pPr>
            <w:r>
              <w:rPr>
                <w:rFonts w:ascii="Times New Roman" w:eastAsia="宋体" w:hAnsi="Times New Roman"/>
                <w:color w:val="000000"/>
                <w:sz w:val="20"/>
                <w:szCs w:val="20"/>
              </w:rPr>
              <w:t>1,780 </w:t>
            </w:r>
          </w:p>
        </w:tc>
        <w:tc>
          <w:tcPr>
            <w:tcW w:w="0" w:type="auto"/>
            <w:shd w:val="clear" w:color="auto" w:fill="CCEEFF"/>
            <w:tcMar>
              <w:top w:w="40" w:type="dxa"/>
              <w:bottom w:w="40" w:type="dxa"/>
              <w:right w:w="120" w:type="dxa"/>
            </w:tcMar>
            <w:vAlign w:val="bottom"/>
          </w:tcPr>
          <w:p w14:paraId="33DAB288" w14:textId="77777777" w:rsidR="004D6A64" w:rsidRDefault="004D6A64">
            <w:pPr>
              <w:jc w:val="right"/>
              <w:rPr>
                <w:rFonts w:ascii="宋体"/>
              </w:rPr>
            </w:pPr>
          </w:p>
        </w:tc>
        <w:tc>
          <w:tcPr>
            <w:tcW w:w="0" w:type="auto"/>
            <w:shd w:val="clear" w:color="auto" w:fill="auto"/>
          </w:tcPr>
          <w:p w14:paraId="33DAB289" w14:textId="77777777" w:rsidR="004D6A64" w:rsidRDefault="004D6A64">
            <w:pPr>
              <w:rPr>
                <w:rFonts w:ascii="宋体"/>
                <w:vanish/>
              </w:rPr>
            </w:pPr>
          </w:p>
        </w:tc>
        <w:tc>
          <w:tcPr>
            <w:tcW w:w="0" w:type="auto"/>
            <w:shd w:val="clear" w:color="auto" w:fill="auto"/>
          </w:tcPr>
          <w:p w14:paraId="33DAB28A" w14:textId="77777777" w:rsidR="004D6A64" w:rsidRDefault="004D6A64">
            <w:pPr>
              <w:rPr>
                <w:rFonts w:ascii="宋体"/>
                <w:vanish/>
              </w:rPr>
            </w:pPr>
          </w:p>
        </w:tc>
        <w:tc>
          <w:tcPr>
            <w:tcW w:w="0" w:type="auto"/>
            <w:shd w:val="clear" w:color="auto" w:fill="auto"/>
          </w:tcPr>
          <w:p w14:paraId="33DAB28B" w14:textId="77777777" w:rsidR="004D6A64" w:rsidRDefault="004D6A64">
            <w:pPr>
              <w:rPr>
                <w:rFonts w:ascii="宋体"/>
              </w:rPr>
            </w:pPr>
          </w:p>
        </w:tc>
        <w:tc>
          <w:tcPr>
            <w:tcW w:w="0" w:type="auto"/>
            <w:shd w:val="clear" w:color="auto" w:fill="auto"/>
          </w:tcPr>
          <w:p w14:paraId="33DAB28C" w14:textId="77777777" w:rsidR="004D6A64" w:rsidRDefault="004D6A64">
            <w:pPr>
              <w:rPr>
                <w:rFonts w:ascii="宋体"/>
              </w:rPr>
            </w:pPr>
          </w:p>
        </w:tc>
        <w:tc>
          <w:tcPr>
            <w:tcW w:w="0" w:type="auto"/>
            <w:shd w:val="clear" w:color="auto" w:fill="auto"/>
          </w:tcPr>
          <w:p w14:paraId="33DAB28D" w14:textId="77777777" w:rsidR="004D6A64" w:rsidRDefault="004D6A64">
            <w:pPr>
              <w:rPr>
                <w:rFonts w:ascii="宋体"/>
              </w:rPr>
            </w:pPr>
          </w:p>
        </w:tc>
        <w:tc>
          <w:tcPr>
            <w:tcW w:w="0" w:type="auto"/>
            <w:shd w:val="clear" w:color="auto" w:fill="auto"/>
          </w:tcPr>
          <w:p w14:paraId="33DAB28E" w14:textId="77777777" w:rsidR="004D6A64" w:rsidRDefault="004D6A64">
            <w:pPr>
              <w:rPr>
                <w:rFonts w:ascii="宋体"/>
              </w:rPr>
            </w:pPr>
          </w:p>
        </w:tc>
        <w:tc>
          <w:tcPr>
            <w:tcW w:w="0" w:type="auto"/>
            <w:shd w:val="clear" w:color="auto" w:fill="auto"/>
          </w:tcPr>
          <w:p w14:paraId="33DAB28F" w14:textId="77777777" w:rsidR="004D6A64" w:rsidRDefault="004D6A64">
            <w:pPr>
              <w:rPr>
                <w:rFonts w:ascii="宋体"/>
              </w:rPr>
            </w:pPr>
          </w:p>
        </w:tc>
        <w:tc>
          <w:tcPr>
            <w:tcW w:w="0" w:type="auto"/>
            <w:shd w:val="clear" w:color="auto" w:fill="auto"/>
          </w:tcPr>
          <w:p w14:paraId="33DAB290" w14:textId="77777777" w:rsidR="004D6A64" w:rsidRDefault="004D6A64">
            <w:pPr>
              <w:rPr>
                <w:rFonts w:ascii="宋体"/>
              </w:rPr>
            </w:pPr>
          </w:p>
        </w:tc>
      </w:tr>
      <w:tr w:rsidR="004D6A64" w14:paraId="33DAB29F" w14:textId="77777777">
        <w:trPr>
          <w:trHeight w:val="300"/>
        </w:trPr>
        <w:tc>
          <w:tcPr>
            <w:tcW w:w="0" w:type="auto"/>
            <w:gridSpan w:val="3"/>
            <w:shd w:val="clear" w:color="auto" w:fill="FFFFFF"/>
            <w:tcMar>
              <w:left w:w="20" w:type="dxa"/>
              <w:right w:w="20" w:type="dxa"/>
            </w:tcMar>
            <w:vAlign w:val="bottom"/>
          </w:tcPr>
          <w:p w14:paraId="33DAB292"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293"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294"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295"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296" w14:textId="77777777" w:rsidR="004D6A64" w:rsidRDefault="004D6A64">
            <w:pPr>
              <w:rPr>
                <w:rFonts w:ascii="宋体"/>
              </w:rPr>
            </w:pPr>
          </w:p>
        </w:tc>
        <w:tc>
          <w:tcPr>
            <w:tcW w:w="0" w:type="auto"/>
            <w:shd w:val="clear" w:color="auto" w:fill="auto"/>
          </w:tcPr>
          <w:p w14:paraId="33DAB297" w14:textId="77777777" w:rsidR="004D6A64" w:rsidRDefault="004D6A64">
            <w:pPr>
              <w:rPr>
                <w:rFonts w:ascii="宋体"/>
                <w:vanish/>
              </w:rPr>
            </w:pPr>
          </w:p>
        </w:tc>
        <w:tc>
          <w:tcPr>
            <w:tcW w:w="0" w:type="auto"/>
            <w:shd w:val="clear" w:color="auto" w:fill="auto"/>
          </w:tcPr>
          <w:p w14:paraId="33DAB298" w14:textId="77777777" w:rsidR="004D6A64" w:rsidRDefault="004D6A64">
            <w:pPr>
              <w:rPr>
                <w:rFonts w:ascii="宋体"/>
                <w:vanish/>
              </w:rPr>
            </w:pPr>
          </w:p>
        </w:tc>
        <w:tc>
          <w:tcPr>
            <w:tcW w:w="0" w:type="auto"/>
            <w:shd w:val="clear" w:color="auto" w:fill="auto"/>
          </w:tcPr>
          <w:p w14:paraId="33DAB299" w14:textId="77777777" w:rsidR="004D6A64" w:rsidRDefault="004D6A64">
            <w:pPr>
              <w:rPr>
                <w:rFonts w:ascii="宋体"/>
              </w:rPr>
            </w:pPr>
          </w:p>
        </w:tc>
        <w:tc>
          <w:tcPr>
            <w:tcW w:w="0" w:type="auto"/>
            <w:shd w:val="clear" w:color="auto" w:fill="auto"/>
          </w:tcPr>
          <w:p w14:paraId="33DAB29A" w14:textId="77777777" w:rsidR="004D6A64" w:rsidRDefault="004D6A64">
            <w:pPr>
              <w:rPr>
                <w:rFonts w:ascii="宋体"/>
              </w:rPr>
            </w:pPr>
          </w:p>
        </w:tc>
        <w:tc>
          <w:tcPr>
            <w:tcW w:w="0" w:type="auto"/>
            <w:shd w:val="clear" w:color="auto" w:fill="auto"/>
          </w:tcPr>
          <w:p w14:paraId="33DAB29B" w14:textId="77777777" w:rsidR="004D6A64" w:rsidRDefault="004D6A64">
            <w:pPr>
              <w:rPr>
                <w:rFonts w:ascii="宋体"/>
              </w:rPr>
            </w:pPr>
          </w:p>
        </w:tc>
        <w:tc>
          <w:tcPr>
            <w:tcW w:w="0" w:type="auto"/>
            <w:shd w:val="clear" w:color="auto" w:fill="auto"/>
          </w:tcPr>
          <w:p w14:paraId="33DAB29C" w14:textId="77777777" w:rsidR="004D6A64" w:rsidRDefault="004D6A64">
            <w:pPr>
              <w:rPr>
                <w:rFonts w:ascii="宋体"/>
              </w:rPr>
            </w:pPr>
          </w:p>
        </w:tc>
        <w:tc>
          <w:tcPr>
            <w:tcW w:w="0" w:type="auto"/>
            <w:shd w:val="clear" w:color="auto" w:fill="auto"/>
          </w:tcPr>
          <w:p w14:paraId="33DAB29D" w14:textId="77777777" w:rsidR="004D6A64" w:rsidRDefault="004D6A64">
            <w:pPr>
              <w:rPr>
                <w:rFonts w:ascii="宋体"/>
              </w:rPr>
            </w:pPr>
          </w:p>
        </w:tc>
        <w:tc>
          <w:tcPr>
            <w:tcW w:w="0" w:type="auto"/>
            <w:shd w:val="clear" w:color="auto" w:fill="auto"/>
          </w:tcPr>
          <w:p w14:paraId="33DAB29E" w14:textId="77777777" w:rsidR="004D6A64" w:rsidRDefault="004D6A64">
            <w:pPr>
              <w:rPr>
                <w:rFonts w:ascii="宋体"/>
              </w:rPr>
            </w:pPr>
          </w:p>
        </w:tc>
      </w:tr>
      <w:tr w:rsidR="004D6A64" w14:paraId="33DAB2B1" w14:textId="77777777">
        <w:tc>
          <w:tcPr>
            <w:tcW w:w="0" w:type="auto"/>
            <w:gridSpan w:val="3"/>
            <w:shd w:val="clear" w:color="auto" w:fill="CCEEFF"/>
            <w:tcMar>
              <w:top w:w="40" w:type="dxa"/>
              <w:left w:w="20" w:type="dxa"/>
              <w:bottom w:w="40" w:type="dxa"/>
              <w:right w:w="20" w:type="dxa"/>
            </w:tcMar>
            <w:vAlign w:val="bottom"/>
          </w:tcPr>
          <w:p w14:paraId="33DAB2A0" w14:textId="77777777" w:rsidR="004D6A64" w:rsidRDefault="00506CD6">
            <w:pPr>
              <w:textAlignment w:val="bottom"/>
            </w:pPr>
            <w:r>
              <w:rPr>
                <w:rFonts w:ascii="Times New Roman" w:eastAsia="宋体" w:hAnsi="Times New Roman"/>
                <w:color w:val="000000"/>
                <w:sz w:val="20"/>
                <w:szCs w:val="20"/>
              </w:rPr>
              <w:t>Current operating lease liabilities</w:t>
            </w:r>
          </w:p>
        </w:tc>
        <w:tc>
          <w:tcPr>
            <w:tcW w:w="0" w:type="auto"/>
            <w:gridSpan w:val="3"/>
            <w:shd w:val="clear" w:color="auto" w:fill="CCEEFF"/>
            <w:tcMar>
              <w:top w:w="40" w:type="dxa"/>
              <w:left w:w="20" w:type="dxa"/>
              <w:bottom w:w="40" w:type="dxa"/>
              <w:right w:w="20" w:type="dxa"/>
            </w:tcMar>
            <w:vAlign w:val="bottom"/>
          </w:tcPr>
          <w:p w14:paraId="33DAB2A1" w14:textId="77777777" w:rsidR="004D6A64" w:rsidRDefault="00506CD6">
            <w:pPr>
              <w:textAlignment w:val="bottom"/>
            </w:pPr>
            <w:r>
              <w:rPr>
                <w:rFonts w:ascii="Times New Roman" w:eastAsia="宋体" w:hAnsi="Times New Roman"/>
                <w:color w:val="000000"/>
                <w:sz w:val="20"/>
                <w:szCs w:val="20"/>
              </w:rPr>
              <w:t>Accrued and other current liabilities</w:t>
            </w:r>
          </w:p>
        </w:tc>
        <w:tc>
          <w:tcPr>
            <w:tcW w:w="0" w:type="auto"/>
            <w:shd w:val="clear" w:color="auto" w:fill="CCEEFF"/>
            <w:tcMar>
              <w:top w:w="40" w:type="dxa"/>
              <w:left w:w="20" w:type="dxa"/>
              <w:bottom w:w="40" w:type="dxa"/>
            </w:tcMar>
            <w:vAlign w:val="bottom"/>
          </w:tcPr>
          <w:p w14:paraId="33DAB2A2"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B2A3" w14:textId="77777777" w:rsidR="004D6A64" w:rsidRDefault="00506CD6">
            <w:pPr>
              <w:jc w:val="right"/>
              <w:textAlignment w:val="bottom"/>
            </w:pPr>
            <w:r>
              <w:rPr>
                <w:rFonts w:ascii="Times New Roman" w:eastAsia="宋体" w:hAnsi="Times New Roman"/>
                <w:color w:val="000000"/>
                <w:sz w:val="20"/>
                <w:szCs w:val="20"/>
              </w:rPr>
              <w:t>435 </w:t>
            </w:r>
          </w:p>
        </w:tc>
        <w:tc>
          <w:tcPr>
            <w:tcW w:w="0" w:type="auto"/>
            <w:shd w:val="clear" w:color="auto" w:fill="CCEEFF"/>
            <w:tcMar>
              <w:top w:w="40" w:type="dxa"/>
              <w:bottom w:w="40" w:type="dxa"/>
              <w:right w:w="120" w:type="dxa"/>
            </w:tcMar>
            <w:vAlign w:val="bottom"/>
          </w:tcPr>
          <w:p w14:paraId="33DAB2A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2A5"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B2A6"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B2A7" w14:textId="77777777" w:rsidR="004D6A64" w:rsidRDefault="00506CD6">
            <w:pPr>
              <w:jc w:val="right"/>
              <w:textAlignment w:val="bottom"/>
            </w:pPr>
            <w:r>
              <w:rPr>
                <w:rFonts w:ascii="Times New Roman" w:eastAsia="宋体" w:hAnsi="Times New Roman"/>
                <w:color w:val="000000"/>
                <w:sz w:val="20"/>
                <w:szCs w:val="20"/>
              </w:rPr>
              <w:t>432 </w:t>
            </w:r>
          </w:p>
        </w:tc>
        <w:tc>
          <w:tcPr>
            <w:tcW w:w="0" w:type="auto"/>
            <w:shd w:val="clear" w:color="auto" w:fill="CCEEFF"/>
            <w:tcMar>
              <w:top w:w="40" w:type="dxa"/>
              <w:bottom w:w="40" w:type="dxa"/>
              <w:right w:w="120" w:type="dxa"/>
            </w:tcMar>
            <w:vAlign w:val="bottom"/>
          </w:tcPr>
          <w:p w14:paraId="33DAB2A8" w14:textId="77777777" w:rsidR="004D6A64" w:rsidRDefault="004D6A64">
            <w:pPr>
              <w:jc w:val="right"/>
              <w:rPr>
                <w:rFonts w:ascii="宋体"/>
              </w:rPr>
            </w:pPr>
          </w:p>
        </w:tc>
        <w:tc>
          <w:tcPr>
            <w:tcW w:w="0" w:type="auto"/>
            <w:shd w:val="clear" w:color="auto" w:fill="auto"/>
          </w:tcPr>
          <w:p w14:paraId="33DAB2A9" w14:textId="77777777" w:rsidR="004D6A64" w:rsidRDefault="004D6A64">
            <w:pPr>
              <w:rPr>
                <w:rFonts w:ascii="宋体"/>
                <w:vanish/>
              </w:rPr>
            </w:pPr>
          </w:p>
        </w:tc>
        <w:tc>
          <w:tcPr>
            <w:tcW w:w="0" w:type="auto"/>
            <w:shd w:val="clear" w:color="auto" w:fill="auto"/>
          </w:tcPr>
          <w:p w14:paraId="33DAB2AA" w14:textId="77777777" w:rsidR="004D6A64" w:rsidRDefault="004D6A64">
            <w:pPr>
              <w:rPr>
                <w:rFonts w:ascii="宋体"/>
                <w:vanish/>
              </w:rPr>
            </w:pPr>
          </w:p>
        </w:tc>
        <w:tc>
          <w:tcPr>
            <w:tcW w:w="0" w:type="auto"/>
            <w:shd w:val="clear" w:color="auto" w:fill="auto"/>
          </w:tcPr>
          <w:p w14:paraId="33DAB2AB" w14:textId="77777777" w:rsidR="004D6A64" w:rsidRDefault="004D6A64">
            <w:pPr>
              <w:rPr>
                <w:rFonts w:ascii="宋体"/>
              </w:rPr>
            </w:pPr>
          </w:p>
        </w:tc>
        <w:tc>
          <w:tcPr>
            <w:tcW w:w="0" w:type="auto"/>
            <w:shd w:val="clear" w:color="auto" w:fill="auto"/>
          </w:tcPr>
          <w:p w14:paraId="33DAB2AC" w14:textId="77777777" w:rsidR="004D6A64" w:rsidRDefault="004D6A64">
            <w:pPr>
              <w:rPr>
                <w:rFonts w:ascii="宋体"/>
              </w:rPr>
            </w:pPr>
          </w:p>
        </w:tc>
        <w:tc>
          <w:tcPr>
            <w:tcW w:w="0" w:type="auto"/>
            <w:shd w:val="clear" w:color="auto" w:fill="auto"/>
          </w:tcPr>
          <w:p w14:paraId="33DAB2AD" w14:textId="77777777" w:rsidR="004D6A64" w:rsidRDefault="004D6A64">
            <w:pPr>
              <w:rPr>
                <w:rFonts w:ascii="宋体"/>
              </w:rPr>
            </w:pPr>
          </w:p>
        </w:tc>
        <w:tc>
          <w:tcPr>
            <w:tcW w:w="0" w:type="auto"/>
            <w:shd w:val="clear" w:color="auto" w:fill="auto"/>
          </w:tcPr>
          <w:p w14:paraId="33DAB2AE" w14:textId="77777777" w:rsidR="004D6A64" w:rsidRDefault="004D6A64">
            <w:pPr>
              <w:rPr>
                <w:rFonts w:ascii="宋体"/>
              </w:rPr>
            </w:pPr>
          </w:p>
        </w:tc>
        <w:tc>
          <w:tcPr>
            <w:tcW w:w="0" w:type="auto"/>
            <w:shd w:val="clear" w:color="auto" w:fill="auto"/>
          </w:tcPr>
          <w:p w14:paraId="33DAB2AF" w14:textId="77777777" w:rsidR="004D6A64" w:rsidRDefault="004D6A64">
            <w:pPr>
              <w:rPr>
                <w:rFonts w:ascii="宋体"/>
              </w:rPr>
            </w:pPr>
          </w:p>
        </w:tc>
        <w:tc>
          <w:tcPr>
            <w:tcW w:w="0" w:type="auto"/>
            <w:shd w:val="clear" w:color="auto" w:fill="auto"/>
          </w:tcPr>
          <w:p w14:paraId="33DAB2B0" w14:textId="77777777" w:rsidR="004D6A64" w:rsidRDefault="004D6A64">
            <w:pPr>
              <w:rPr>
                <w:rFonts w:ascii="宋体"/>
              </w:rPr>
            </w:pPr>
          </w:p>
        </w:tc>
      </w:tr>
      <w:tr w:rsidR="004D6A64" w14:paraId="33DAB2C1" w14:textId="77777777">
        <w:tc>
          <w:tcPr>
            <w:tcW w:w="0" w:type="auto"/>
            <w:gridSpan w:val="3"/>
            <w:shd w:val="clear" w:color="auto" w:fill="FFFFFF"/>
            <w:tcMar>
              <w:top w:w="40" w:type="dxa"/>
              <w:left w:w="20" w:type="dxa"/>
              <w:bottom w:w="40" w:type="dxa"/>
              <w:right w:w="20" w:type="dxa"/>
            </w:tcMar>
            <w:vAlign w:val="bottom"/>
          </w:tcPr>
          <w:p w14:paraId="33DAB2B2" w14:textId="77777777" w:rsidR="004D6A64" w:rsidRDefault="00506CD6">
            <w:pPr>
              <w:textAlignment w:val="bottom"/>
            </w:pPr>
            <w:r>
              <w:rPr>
                <w:rFonts w:ascii="Times New Roman" w:eastAsia="宋体" w:hAnsi="Times New Roman"/>
                <w:color w:val="000000"/>
                <w:sz w:val="20"/>
                <w:szCs w:val="20"/>
              </w:rPr>
              <w:t>Non-current operating lease liabilities</w:t>
            </w:r>
          </w:p>
        </w:tc>
        <w:tc>
          <w:tcPr>
            <w:tcW w:w="0" w:type="auto"/>
            <w:gridSpan w:val="3"/>
            <w:shd w:val="clear" w:color="auto" w:fill="FFFFFF"/>
            <w:tcMar>
              <w:top w:w="40" w:type="dxa"/>
              <w:left w:w="20" w:type="dxa"/>
              <w:bottom w:w="40" w:type="dxa"/>
              <w:right w:w="20" w:type="dxa"/>
            </w:tcMar>
            <w:vAlign w:val="bottom"/>
          </w:tcPr>
          <w:p w14:paraId="33DAB2B3" w14:textId="77777777" w:rsidR="004D6A64" w:rsidRDefault="00506CD6">
            <w:pPr>
              <w:textAlignment w:val="bottom"/>
            </w:pPr>
            <w:r>
              <w:rPr>
                <w:rFonts w:ascii="Times New Roman" w:eastAsia="宋体" w:hAnsi="Times New Roman"/>
                <w:color w:val="000000"/>
                <w:sz w:val="20"/>
                <w:szCs w:val="20"/>
              </w:rPr>
              <w:t>Other non-current liabilities</w:t>
            </w:r>
          </w:p>
        </w:tc>
        <w:tc>
          <w:tcPr>
            <w:tcW w:w="0" w:type="auto"/>
            <w:gridSpan w:val="2"/>
            <w:shd w:val="clear" w:color="auto" w:fill="FFFFFF"/>
            <w:tcMar>
              <w:top w:w="40" w:type="dxa"/>
              <w:left w:w="20" w:type="dxa"/>
              <w:bottom w:w="40" w:type="dxa"/>
              <w:right w:w="0" w:type="dxa"/>
            </w:tcMar>
            <w:vAlign w:val="bottom"/>
          </w:tcPr>
          <w:p w14:paraId="33DAB2B4" w14:textId="77777777" w:rsidR="004D6A64" w:rsidRDefault="00506CD6">
            <w:pPr>
              <w:jc w:val="right"/>
              <w:textAlignment w:val="bottom"/>
            </w:pPr>
            <w:r>
              <w:rPr>
                <w:rFonts w:ascii="Times New Roman" w:eastAsia="宋体" w:hAnsi="Times New Roman"/>
                <w:color w:val="000000"/>
                <w:sz w:val="20"/>
                <w:szCs w:val="20"/>
              </w:rPr>
              <w:t>1,383 </w:t>
            </w:r>
          </w:p>
        </w:tc>
        <w:tc>
          <w:tcPr>
            <w:tcW w:w="0" w:type="auto"/>
            <w:shd w:val="clear" w:color="auto" w:fill="FFFFFF"/>
            <w:tcMar>
              <w:top w:w="40" w:type="dxa"/>
              <w:bottom w:w="40" w:type="dxa"/>
              <w:right w:w="120" w:type="dxa"/>
            </w:tcMar>
            <w:vAlign w:val="bottom"/>
          </w:tcPr>
          <w:p w14:paraId="33DAB2B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2B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B2B7" w14:textId="77777777" w:rsidR="004D6A64" w:rsidRDefault="00506CD6">
            <w:pPr>
              <w:jc w:val="right"/>
              <w:textAlignment w:val="bottom"/>
            </w:pPr>
            <w:r>
              <w:rPr>
                <w:rFonts w:ascii="Times New Roman" w:eastAsia="宋体" w:hAnsi="Times New Roman"/>
                <w:color w:val="000000"/>
                <w:sz w:val="20"/>
                <w:szCs w:val="20"/>
              </w:rPr>
              <w:t>1,360 </w:t>
            </w:r>
          </w:p>
        </w:tc>
        <w:tc>
          <w:tcPr>
            <w:tcW w:w="0" w:type="auto"/>
            <w:shd w:val="clear" w:color="auto" w:fill="FFFFFF"/>
            <w:tcMar>
              <w:top w:w="40" w:type="dxa"/>
              <w:bottom w:w="40" w:type="dxa"/>
              <w:right w:w="120" w:type="dxa"/>
            </w:tcMar>
            <w:vAlign w:val="bottom"/>
          </w:tcPr>
          <w:p w14:paraId="33DAB2B8" w14:textId="77777777" w:rsidR="004D6A64" w:rsidRDefault="004D6A64">
            <w:pPr>
              <w:jc w:val="right"/>
              <w:rPr>
                <w:rFonts w:ascii="宋体"/>
              </w:rPr>
            </w:pPr>
          </w:p>
        </w:tc>
        <w:tc>
          <w:tcPr>
            <w:tcW w:w="0" w:type="auto"/>
            <w:shd w:val="clear" w:color="auto" w:fill="auto"/>
          </w:tcPr>
          <w:p w14:paraId="33DAB2B9" w14:textId="77777777" w:rsidR="004D6A64" w:rsidRDefault="004D6A64">
            <w:pPr>
              <w:rPr>
                <w:rFonts w:ascii="宋体"/>
                <w:vanish/>
              </w:rPr>
            </w:pPr>
          </w:p>
        </w:tc>
        <w:tc>
          <w:tcPr>
            <w:tcW w:w="0" w:type="auto"/>
            <w:shd w:val="clear" w:color="auto" w:fill="auto"/>
          </w:tcPr>
          <w:p w14:paraId="33DAB2BA" w14:textId="77777777" w:rsidR="004D6A64" w:rsidRDefault="004D6A64">
            <w:pPr>
              <w:rPr>
                <w:rFonts w:ascii="宋体"/>
                <w:vanish/>
              </w:rPr>
            </w:pPr>
          </w:p>
        </w:tc>
        <w:tc>
          <w:tcPr>
            <w:tcW w:w="0" w:type="auto"/>
            <w:shd w:val="clear" w:color="auto" w:fill="auto"/>
          </w:tcPr>
          <w:p w14:paraId="33DAB2BB" w14:textId="77777777" w:rsidR="004D6A64" w:rsidRDefault="004D6A64">
            <w:pPr>
              <w:rPr>
                <w:rFonts w:ascii="宋体"/>
              </w:rPr>
            </w:pPr>
          </w:p>
        </w:tc>
        <w:tc>
          <w:tcPr>
            <w:tcW w:w="0" w:type="auto"/>
            <w:shd w:val="clear" w:color="auto" w:fill="auto"/>
          </w:tcPr>
          <w:p w14:paraId="33DAB2BC" w14:textId="77777777" w:rsidR="004D6A64" w:rsidRDefault="004D6A64">
            <w:pPr>
              <w:rPr>
                <w:rFonts w:ascii="宋体"/>
              </w:rPr>
            </w:pPr>
          </w:p>
        </w:tc>
        <w:tc>
          <w:tcPr>
            <w:tcW w:w="0" w:type="auto"/>
            <w:shd w:val="clear" w:color="auto" w:fill="auto"/>
          </w:tcPr>
          <w:p w14:paraId="33DAB2BD" w14:textId="77777777" w:rsidR="004D6A64" w:rsidRDefault="004D6A64">
            <w:pPr>
              <w:rPr>
                <w:rFonts w:ascii="宋体"/>
              </w:rPr>
            </w:pPr>
          </w:p>
        </w:tc>
        <w:tc>
          <w:tcPr>
            <w:tcW w:w="0" w:type="auto"/>
            <w:shd w:val="clear" w:color="auto" w:fill="auto"/>
          </w:tcPr>
          <w:p w14:paraId="33DAB2BE" w14:textId="77777777" w:rsidR="004D6A64" w:rsidRDefault="004D6A64">
            <w:pPr>
              <w:rPr>
                <w:rFonts w:ascii="宋体"/>
              </w:rPr>
            </w:pPr>
          </w:p>
        </w:tc>
        <w:tc>
          <w:tcPr>
            <w:tcW w:w="0" w:type="auto"/>
            <w:shd w:val="clear" w:color="auto" w:fill="auto"/>
          </w:tcPr>
          <w:p w14:paraId="33DAB2BF" w14:textId="77777777" w:rsidR="004D6A64" w:rsidRDefault="004D6A64">
            <w:pPr>
              <w:rPr>
                <w:rFonts w:ascii="宋体"/>
              </w:rPr>
            </w:pPr>
          </w:p>
        </w:tc>
        <w:tc>
          <w:tcPr>
            <w:tcW w:w="0" w:type="auto"/>
            <w:shd w:val="clear" w:color="auto" w:fill="auto"/>
          </w:tcPr>
          <w:p w14:paraId="33DAB2C0" w14:textId="77777777" w:rsidR="004D6A64" w:rsidRDefault="004D6A64">
            <w:pPr>
              <w:rPr>
                <w:rFonts w:ascii="宋体"/>
              </w:rPr>
            </w:pPr>
          </w:p>
        </w:tc>
      </w:tr>
      <w:tr w:rsidR="004D6A64" w14:paraId="33DAB2D3" w14:textId="77777777">
        <w:tc>
          <w:tcPr>
            <w:tcW w:w="0" w:type="auto"/>
            <w:gridSpan w:val="3"/>
            <w:shd w:val="clear" w:color="auto" w:fill="CCEEFF"/>
            <w:tcMar>
              <w:top w:w="40" w:type="dxa"/>
              <w:left w:w="135" w:type="dxa"/>
              <w:bottom w:w="40" w:type="dxa"/>
              <w:right w:w="20" w:type="dxa"/>
            </w:tcMar>
            <w:vAlign w:val="bottom"/>
          </w:tcPr>
          <w:p w14:paraId="33DAB2C2" w14:textId="77777777" w:rsidR="004D6A64" w:rsidRDefault="00506CD6">
            <w:pPr>
              <w:textAlignment w:val="bottom"/>
            </w:pPr>
            <w:r>
              <w:rPr>
                <w:rFonts w:ascii="Times New Roman" w:eastAsia="宋体" w:hAnsi="Times New Roman"/>
                <w:color w:val="000000"/>
                <w:sz w:val="20"/>
                <w:szCs w:val="20"/>
              </w:rPr>
              <w:t>Total operating lease liabilities</w:t>
            </w:r>
          </w:p>
        </w:tc>
        <w:tc>
          <w:tcPr>
            <w:tcW w:w="0" w:type="auto"/>
            <w:gridSpan w:val="3"/>
            <w:shd w:val="clear" w:color="auto" w:fill="CCEEFF"/>
            <w:tcMar>
              <w:left w:w="20" w:type="dxa"/>
              <w:right w:w="20" w:type="dxa"/>
            </w:tcMar>
            <w:vAlign w:val="bottom"/>
          </w:tcPr>
          <w:p w14:paraId="33DAB2C3"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B2C4"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B2C5" w14:textId="77777777" w:rsidR="004D6A64" w:rsidRDefault="00506CD6">
            <w:pPr>
              <w:jc w:val="right"/>
              <w:textAlignment w:val="bottom"/>
            </w:pPr>
            <w:r>
              <w:rPr>
                <w:rFonts w:ascii="Times New Roman" w:eastAsia="宋体" w:hAnsi="Times New Roman"/>
                <w:color w:val="000000"/>
                <w:sz w:val="20"/>
                <w:szCs w:val="20"/>
              </w:rPr>
              <w:t>1,818 </w:t>
            </w:r>
          </w:p>
        </w:tc>
        <w:tc>
          <w:tcPr>
            <w:tcW w:w="0" w:type="auto"/>
            <w:tcBorders>
              <w:top w:val="single" w:sz="8" w:space="0" w:color="000000"/>
            </w:tcBorders>
            <w:shd w:val="clear" w:color="auto" w:fill="CCEEFF"/>
            <w:tcMar>
              <w:top w:w="40" w:type="dxa"/>
              <w:bottom w:w="40" w:type="dxa"/>
              <w:right w:w="120" w:type="dxa"/>
            </w:tcMar>
            <w:vAlign w:val="bottom"/>
          </w:tcPr>
          <w:p w14:paraId="33DAB2C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2C7"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B2C8"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B2C9" w14:textId="77777777" w:rsidR="004D6A64" w:rsidRDefault="00506CD6">
            <w:pPr>
              <w:jc w:val="right"/>
              <w:textAlignment w:val="bottom"/>
            </w:pPr>
            <w:r>
              <w:rPr>
                <w:rFonts w:ascii="Times New Roman" w:eastAsia="宋体" w:hAnsi="Times New Roman"/>
                <w:color w:val="000000"/>
                <w:sz w:val="20"/>
                <w:szCs w:val="20"/>
              </w:rPr>
              <w:t>1,792 </w:t>
            </w:r>
          </w:p>
        </w:tc>
        <w:tc>
          <w:tcPr>
            <w:tcW w:w="0" w:type="auto"/>
            <w:tcBorders>
              <w:top w:val="single" w:sz="8" w:space="0" w:color="000000"/>
            </w:tcBorders>
            <w:shd w:val="clear" w:color="auto" w:fill="CCEEFF"/>
            <w:tcMar>
              <w:top w:w="40" w:type="dxa"/>
              <w:bottom w:w="40" w:type="dxa"/>
              <w:right w:w="120" w:type="dxa"/>
            </w:tcMar>
            <w:vAlign w:val="bottom"/>
          </w:tcPr>
          <w:p w14:paraId="33DAB2CA" w14:textId="77777777" w:rsidR="004D6A64" w:rsidRDefault="004D6A64">
            <w:pPr>
              <w:jc w:val="right"/>
              <w:rPr>
                <w:rFonts w:ascii="宋体"/>
              </w:rPr>
            </w:pPr>
          </w:p>
        </w:tc>
        <w:tc>
          <w:tcPr>
            <w:tcW w:w="0" w:type="auto"/>
            <w:shd w:val="clear" w:color="auto" w:fill="auto"/>
          </w:tcPr>
          <w:p w14:paraId="33DAB2CB" w14:textId="77777777" w:rsidR="004D6A64" w:rsidRDefault="004D6A64">
            <w:pPr>
              <w:rPr>
                <w:rFonts w:ascii="宋体"/>
                <w:vanish/>
              </w:rPr>
            </w:pPr>
          </w:p>
        </w:tc>
        <w:tc>
          <w:tcPr>
            <w:tcW w:w="0" w:type="auto"/>
            <w:shd w:val="clear" w:color="auto" w:fill="auto"/>
          </w:tcPr>
          <w:p w14:paraId="33DAB2CC" w14:textId="77777777" w:rsidR="004D6A64" w:rsidRDefault="004D6A64">
            <w:pPr>
              <w:rPr>
                <w:rFonts w:ascii="宋体"/>
                <w:vanish/>
              </w:rPr>
            </w:pPr>
          </w:p>
        </w:tc>
        <w:tc>
          <w:tcPr>
            <w:tcW w:w="0" w:type="auto"/>
            <w:shd w:val="clear" w:color="auto" w:fill="auto"/>
          </w:tcPr>
          <w:p w14:paraId="33DAB2CD" w14:textId="77777777" w:rsidR="004D6A64" w:rsidRDefault="004D6A64">
            <w:pPr>
              <w:rPr>
                <w:rFonts w:ascii="宋体"/>
              </w:rPr>
            </w:pPr>
          </w:p>
        </w:tc>
        <w:tc>
          <w:tcPr>
            <w:tcW w:w="0" w:type="auto"/>
            <w:shd w:val="clear" w:color="auto" w:fill="auto"/>
          </w:tcPr>
          <w:p w14:paraId="33DAB2CE" w14:textId="77777777" w:rsidR="004D6A64" w:rsidRDefault="004D6A64">
            <w:pPr>
              <w:rPr>
                <w:rFonts w:ascii="宋体"/>
              </w:rPr>
            </w:pPr>
          </w:p>
        </w:tc>
        <w:tc>
          <w:tcPr>
            <w:tcW w:w="0" w:type="auto"/>
            <w:shd w:val="clear" w:color="auto" w:fill="auto"/>
          </w:tcPr>
          <w:p w14:paraId="33DAB2CF" w14:textId="77777777" w:rsidR="004D6A64" w:rsidRDefault="004D6A64">
            <w:pPr>
              <w:rPr>
                <w:rFonts w:ascii="宋体"/>
              </w:rPr>
            </w:pPr>
          </w:p>
        </w:tc>
        <w:tc>
          <w:tcPr>
            <w:tcW w:w="0" w:type="auto"/>
            <w:shd w:val="clear" w:color="auto" w:fill="auto"/>
          </w:tcPr>
          <w:p w14:paraId="33DAB2D0" w14:textId="77777777" w:rsidR="004D6A64" w:rsidRDefault="004D6A64">
            <w:pPr>
              <w:rPr>
                <w:rFonts w:ascii="宋体"/>
              </w:rPr>
            </w:pPr>
          </w:p>
        </w:tc>
        <w:tc>
          <w:tcPr>
            <w:tcW w:w="0" w:type="auto"/>
            <w:shd w:val="clear" w:color="auto" w:fill="auto"/>
          </w:tcPr>
          <w:p w14:paraId="33DAB2D1" w14:textId="77777777" w:rsidR="004D6A64" w:rsidRDefault="004D6A64">
            <w:pPr>
              <w:rPr>
                <w:rFonts w:ascii="宋体"/>
              </w:rPr>
            </w:pPr>
          </w:p>
        </w:tc>
        <w:tc>
          <w:tcPr>
            <w:tcW w:w="0" w:type="auto"/>
            <w:shd w:val="clear" w:color="auto" w:fill="auto"/>
          </w:tcPr>
          <w:p w14:paraId="33DAB2D2" w14:textId="77777777" w:rsidR="004D6A64" w:rsidRDefault="004D6A64">
            <w:pPr>
              <w:rPr>
                <w:rFonts w:ascii="宋体"/>
              </w:rPr>
            </w:pPr>
          </w:p>
        </w:tc>
      </w:tr>
      <w:tr w:rsidR="004D6A64" w14:paraId="33DAB2E1" w14:textId="77777777">
        <w:trPr>
          <w:trHeight w:val="300"/>
        </w:trPr>
        <w:tc>
          <w:tcPr>
            <w:tcW w:w="0" w:type="auto"/>
            <w:gridSpan w:val="3"/>
            <w:shd w:val="clear" w:color="auto" w:fill="FFFFFF"/>
            <w:tcMar>
              <w:left w:w="20" w:type="dxa"/>
              <w:right w:w="20" w:type="dxa"/>
            </w:tcMar>
            <w:vAlign w:val="bottom"/>
          </w:tcPr>
          <w:p w14:paraId="33DAB2D4"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2D5" w14:textId="77777777" w:rsidR="004D6A64" w:rsidRDefault="004D6A6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3DAB2D6"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2D7" w14:textId="77777777" w:rsidR="004D6A64" w:rsidRDefault="004D6A6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3DAB2D8" w14:textId="77777777" w:rsidR="004D6A64" w:rsidRDefault="004D6A64">
            <w:pPr>
              <w:rPr>
                <w:rFonts w:ascii="宋体"/>
              </w:rPr>
            </w:pPr>
          </w:p>
        </w:tc>
        <w:tc>
          <w:tcPr>
            <w:tcW w:w="0" w:type="auto"/>
            <w:shd w:val="clear" w:color="auto" w:fill="auto"/>
          </w:tcPr>
          <w:p w14:paraId="33DAB2D9" w14:textId="77777777" w:rsidR="004D6A64" w:rsidRDefault="004D6A64">
            <w:pPr>
              <w:rPr>
                <w:rFonts w:ascii="宋体"/>
                <w:vanish/>
              </w:rPr>
            </w:pPr>
          </w:p>
        </w:tc>
        <w:tc>
          <w:tcPr>
            <w:tcW w:w="0" w:type="auto"/>
            <w:shd w:val="clear" w:color="auto" w:fill="auto"/>
          </w:tcPr>
          <w:p w14:paraId="33DAB2DA" w14:textId="77777777" w:rsidR="004D6A64" w:rsidRDefault="004D6A64">
            <w:pPr>
              <w:rPr>
                <w:rFonts w:ascii="宋体"/>
                <w:vanish/>
              </w:rPr>
            </w:pPr>
          </w:p>
        </w:tc>
        <w:tc>
          <w:tcPr>
            <w:tcW w:w="0" w:type="auto"/>
            <w:shd w:val="clear" w:color="auto" w:fill="auto"/>
          </w:tcPr>
          <w:p w14:paraId="33DAB2DB" w14:textId="77777777" w:rsidR="004D6A64" w:rsidRDefault="004D6A64">
            <w:pPr>
              <w:rPr>
                <w:rFonts w:ascii="宋体"/>
              </w:rPr>
            </w:pPr>
          </w:p>
        </w:tc>
        <w:tc>
          <w:tcPr>
            <w:tcW w:w="0" w:type="auto"/>
            <w:shd w:val="clear" w:color="auto" w:fill="auto"/>
          </w:tcPr>
          <w:p w14:paraId="33DAB2DC" w14:textId="77777777" w:rsidR="004D6A64" w:rsidRDefault="004D6A64">
            <w:pPr>
              <w:rPr>
                <w:rFonts w:ascii="宋体"/>
              </w:rPr>
            </w:pPr>
          </w:p>
        </w:tc>
        <w:tc>
          <w:tcPr>
            <w:tcW w:w="0" w:type="auto"/>
            <w:shd w:val="clear" w:color="auto" w:fill="auto"/>
          </w:tcPr>
          <w:p w14:paraId="33DAB2DD" w14:textId="77777777" w:rsidR="004D6A64" w:rsidRDefault="004D6A64">
            <w:pPr>
              <w:rPr>
                <w:rFonts w:ascii="宋体"/>
              </w:rPr>
            </w:pPr>
          </w:p>
        </w:tc>
        <w:tc>
          <w:tcPr>
            <w:tcW w:w="0" w:type="auto"/>
            <w:shd w:val="clear" w:color="auto" w:fill="auto"/>
          </w:tcPr>
          <w:p w14:paraId="33DAB2DE" w14:textId="77777777" w:rsidR="004D6A64" w:rsidRDefault="004D6A64">
            <w:pPr>
              <w:rPr>
                <w:rFonts w:ascii="宋体"/>
              </w:rPr>
            </w:pPr>
          </w:p>
        </w:tc>
        <w:tc>
          <w:tcPr>
            <w:tcW w:w="0" w:type="auto"/>
            <w:shd w:val="clear" w:color="auto" w:fill="auto"/>
          </w:tcPr>
          <w:p w14:paraId="33DAB2DF" w14:textId="77777777" w:rsidR="004D6A64" w:rsidRDefault="004D6A64">
            <w:pPr>
              <w:rPr>
                <w:rFonts w:ascii="宋体"/>
              </w:rPr>
            </w:pPr>
          </w:p>
        </w:tc>
        <w:tc>
          <w:tcPr>
            <w:tcW w:w="0" w:type="auto"/>
            <w:shd w:val="clear" w:color="auto" w:fill="auto"/>
          </w:tcPr>
          <w:p w14:paraId="33DAB2E0" w14:textId="77777777" w:rsidR="004D6A64" w:rsidRDefault="004D6A64">
            <w:pPr>
              <w:rPr>
                <w:rFonts w:ascii="宋体"/>
              </w:rPr>
            </w:pPr>
          </w:p>
        </w:tc>
      </w:tr>
      <w:tr w:rsidR="004D6A64" w14:paraId="33DAB2EF" w14:textId="77777777">
        <w:tc>
          <w:tcPr>
            <w:tcW w:w="0" w:type="auto"/>
            <w:gridSpan w:val="3"/>
            <w:shd w:val="clear" w:color="auto" w:fill="CCEEFF"/>
            <w:tcMar>
              <w:top w:w="40" w:type="dxa"/>
              <w:left w:w="20" w:type="dxa"/>
              <w:bottom w:w="40" w:type="dxa"/>
              <w:right w:w="20" w:type="dxa"/>
            </w:tcMar>
            <w:vAlign w:val="bottom"/>
          </w:tcPr>
          <w:p w14:paraId="33DAB2E2" w14:textId="77777777" w:rsidR="004D6A64" w:rsidRDefault="00506CD6">
            <w:pPr>
              <w:textAlignment w:val="bottom"/>
            </w:pPr>
            <w:r>
              <w:rPr>
                <w:rFonts w:ascii="Times New Roman" w:eastAsia="宋体" w:hAnsi="Times New Roman"/>
                <w:color w:val="000000"/>
                <w:sz w:val="20"/>
                <w:szCs w:val="20"/>
              </w:rPr>
              <w:t>Weighted-average remaining lease term (in years)</w:t>
            </w:r>
          </w:p>
        </w:tc>
        <w:tc>
          <w:tcPr>
            <w:tcW w:w="0" w:type="auto"/>
            <w:gridSpan w:val="3"/>
            <w:shd w:val="clear" w:color="auto" w:fill="CCEEFF"/>
            <w:tcMar>
              <w:left w:w="20" w:type="dxa"/>
              <w:right w:w="20" w:type="dxa"/>
            </w:tcMar>
            <w:vAlign w:val="bottom"/>
          </w:tcPr>
          <w:p w14:paraId="33DAB2E3" w14:textId="77777777" w:rsidR="004D6A64" w:rsidRDefault="004D6A64">
            <w:pPr>
              <w:rPr>
                <w:rFonts w:ascii="宋体"/>
              </w:rPr>
            </w:pPr>
          </w:p>
        </w:tc>
        <w:tc>
          <w:tcPr>
            <w:tcW w:w="0" w:type="auto"/>
            <w:gridSpan w:val="3"/>
            <w:shd w:val="clear" w:color="auto" w:fill="CCEEFF"/>
            <w:tcMar>
              <w:top w:w="40" w:type="dxa"/>
              <w:left w:w="20" w:type="dxa"/>
              <w:bottom w:w="40" w:type="dxa"/>
              <w:right w:w="20" w:type="dxa"/>
            </w:tcMar>
            <w:vAlign w:val="bottom"/>
          </w:tcPr>
          <w:p w14:paraId="33DAB2E4" w14:textId="77777777" w:rsidR="004D6A64" w:rsidRDefault="00506CD6">
            <w:pPr>
              <w:jc w:val="right"/>
              <w:textAlignment w:val="bottom"/>
            </w:pPr>
            <w:r>
              <w:rPr>
                <w:rFonts w:ascii="Times New Roman" w:eastAsia="宋体" w:hAnsi="Times New Roman"/>
                <w:color w:val="000000"/>
                <w:sz w:val="20"/>
                <w:szCs w:val="20"/>
              </w:rPr>
              <w:t>8.47</w:t>
            </w:r>
          </w:p>
        </w:tc>
        <w:tc>
          <w:tcPr>
            <w:tcW w:w="0" w:type="auto"/>
            <w:gridSpan w:val="3"/>
            <w:shd w:val="clear" w:color="auto" w:fill="CCEEFF"/>
            <w:tcMar>
              <w:left w:w="20" w:type="dxa"/>
              <w:right w:w="20" w:type="dxa"/>
            </w:tcMar>
            <w:vAlign w:val="bottom"/>
          </w:tcPr>
          <w:p w14:paraId="33DAB2E5" w14:textId="77777777" w:rsidR="004D6A64" w:rsidRDefault="004D6A64">
            <w:pPr>
              <w:rPr>
                <w:rFonts w:ascii="宋体"/>
              </w:rPr>
            </w:pPr>
          </w:p>
        </w:tc>
        <w:tc>
          <w:tcPr>
            <w:tcW w:w="0" w:type="auto"/>
            <w:gridSpan w:val="3"/>
            <w:shd w:val="clear" w:color="auto" w:fill="CCEEFF"/>
            <w:tcMar>
              <w:top w:w="40" w:type="dxa"/>
              <w:left w:w="20" w:type="dxa"/>
              <w:bottom w:w="40" w:type="dxa"/>
              <w:right w:w="20" w:type="dxa"/>
            </w:tcMar>
            <w:vAlign w:val="bottom"/>
          </w:tcPr>
          <w:p w14:paraId="33DAB2E6" w14:textId="77777777" w:rsidR="004D6A64" w:rsidRDefault="00506CD6">
            <w:pPr>
              <w:jc w:val="right"/>
              <w:textAlignment w:val="bottom"/>
            </w:pPr>
            <w:r>
              <w:rPr>
                <w:rFonts w:ascii="Times New Roman" w:eastAsia="宋体" w:hAnsi="Times New Roman"/>
                <w:color w:val="000000"/>
                <w:sz w:val="20"/>
                <w:szCs w:val="20"/>
              </w:rPr>
              <w:t>8.57</w:t>
            </w:r>
          </w:p>
        </w:tc>
        <w:tc>
          <w:tcPr>
            <w:tcW w:w="0" w:type="auto"/>
            <w:shd w:val="clear" w:color="auto" w:fill="auto"/>
          </w:tcPr>
          <w:p w14:paraId="33DAB2E7" w14:textId="77777777" w:rsidR="004D6A64" w:rsidRDefault="004D6A64">
            <w:pPr>
              <w:rPr>
                <w:rFonts w:ascii="宋体"/>
                <w:vanish/>
              </w:rPr>
            </w:pPr>
          </w:p>
        </w:tc>
        <w:tc>
          <w:tcPr>
            <w:tcW w:w="0" w:type="auto"/>
            <w:shd w:val="clear" w:color="auto" w:fill="auto"/>
          </w:tcPr>
          <w:p w14:paraId="33DAB2E8" w14:textId="77777777" w:rsidR="004D6A64" w:rsidRDefault="004D6A64">
            <w:pPr>
              <w:rPr>
                <w:rFonts w:ascii="宋体"/>
                <w:vanish/>
              </w:rPr>
            </w:pPr>
          </w:p>
        </w:tc>
        <w:tc>
          <w:tcPr>
            <w:tcW w:w="0" w:type="auto"/>
            <w:shd w:val="clear" w:color="auto" w:fill="auto"/>
          </w:tcPr>
          <w:p w14:paraId="33DAB2E9" w14:textId="77777777" w:rsidR="004D6A64" w:rsidRDefault="004D6A64">
            <w:pPr>
              <w:rPr>
                <w:rFonts w:ascii="宋体"/>
              </w:rPr>
            </w:pPr>
          </w:p>
        </w:tc>
        <w:tc>
          <w:tcPr>
            <w:tcW w:w="0" w:type="auto"/>
            <w:shd w:val="clear" w:color="auto" w:fill="auto"/>
          </w:tcPr>
          <w:p w14:paraId="33DAB2EA" w14:textId="77777777" w:rsidR="004D6A64" w:rsidRDefault="004D6A64">
            <w:pPr>
              <w:rPr>
                <w:rFonts w:ascii="宋体"/>
              </w:rPr>
            </w:pPr>
          </w:p>
        </w:tc>
        <w:tc>
          <w:tcPr>
            <w:tcW w:w="0" w:type="auto"/>
            <w:shd w:val="clear" w:color="auto" w:fill="auto"/>
          </w:tcPr>
          <w:p w14:paraId="33DAB2EB" w14:textId="77777777" w:rsidR="004D6A64" w:rsidRDefault="004D6A64">
            <w:pPr>
              <w:rPr>
                <w:rFonts w:ascii="宋体"/>
              </w:rPr>
            </w:pPr>
          </w:p>
        </w:tc>
        <w:tc>
          <w:tcPr>
            <w:tcW w:w="0" w:type="auto"/>
            <w:shd w:val="clear" w:color="auto" w:fill="auto"/>
          </w:tcPr>
          <w:p w14:paraId="33DAB2EC" w14:textId="77777777" w:rsidR="004D6A64" w:rsidRDefault="004D6A64">
            <w:pPr>
              <w:rPr>
                <w:rFonts w:ascii="宋体"/>
              </w:rPr>
            </w:pPr>
          </w:p>
        </w:tc>
        <w:tc>
          <w:tcPr>
            <w:tcW w:w="0" w:type="auto"/>
            <w:shd w:val="clear" w:color="auto" w:fill="auto"/>
          </w:tcPr>
          <w:p w14:paraId="33DAB2ED" w14:textId="77777777" w:rsidR="004D6A64" w:rsidRDefault="004D6A64">
            <w:pPr>
              <w:rPr>
                <w:rFonts w:ascii="宋体"/>
              </w:rPr>
            </w:pPr>
          </w:p>
        </w:tc>
        <w:tc>
          <w:tcPr>
            <w:tcW w:w="0" w:type="auto"/>
            <w:shd w:val="clear" w:color="auto" w:fill="auto"/>
          </w:tcPr>
          <w:p w14:paraId="33DAB2EE" w14:textId="77777777" w:rsidR="004D6A64" w:rsidRDefault="004D6A64">
            <w:pPr>
              <w:rPr>
                <w:rFonts w:ascii="宋体"/>
              </w:rPr>
            </w:pPr>
          </w:p>
        </w:tc>
      </w:tr>
      <w:tr w:rsidR="004D6A64" w14:paraId="33DAB2FF" w14:textId="77777777">
        <w:tc>
          <w:tcPr>
            <w:tcW w:w="0" w:type="auto"/>
            <w:gridSpan w:val="3"/>
            <w:shd w:val="clear" w:color="auto" w:fill="FFFFFF"/>
            <w:tcMar>
              <w:top w:w="40" w:type="dxa"/>
              <w:left w:w="20" w:type="dxa"/>
              <w:bottom w:w="40" w:type="dxa"/>
              <w:right w:w="20" w:type="dxa"/>
            </w:tcMar>
            <w:vAlign w:val="bottom"/>
          </w:tcPr>
          <w:p w14:paraId="33DAB2F0" w14:textId="77777777" w:rsidR="004D6A64" w:rsidRDefault="00506CD6">
            <w:pPr>
              <w:textAlignment w:val="bottom"/>
            </w:pPr>
            <w:r>
              <w:rPr>
                <w:rFonts w:ascii="Times New Roman" w:eastAsia="宋体" w:hAnsi="Times New Roman"/>
                <w:color w:val="000000"/>
                <w:sz w:val="20"/>
                <w:szCs w:val="20"/>
              </w:rPr>
              <w:t>Weighted-average discount rate</w:t>
            </w:r>
          </w:p>
        </w:tc>
        <w:tc>
          <w:tcPr>
            <w:tcW w:w="0" w:type="auto"/>
            <w:gridSpan w:val="3"/>
            <w:shd w:val="clear" w:color="auto" w:fill="FFFFFF"/>
            <w:tcMar>
              <w:left w:w="20" w:type="dxa"/>
              <w:right w:w="20" w:type="dxa"/>
            </w:tcMar>
            <w:vAlign w:val="bottom"/>
          </w:tcPr>
          <w:p w14:paraId="33DAB2F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B2F2" w14:textId="77777777" w:rsidR="004D6A64" w:rsidRDefault="00506CD6">
            <w:pPr>
              <w:jc w:val="right"/>
              <w:textAlignment w:val="bottom"/>
            </w:pPr>
            <w:r>
              <w:rPr>
                <w:rFonts w:ascii="Times New Roman" w:eastAsia="宋体" w:hAnsi="Times New Roman"/>
                <w:color w:val="000000"/>
                <w:sz w:val="20"/>
                <w:szCs w:val="20"/>
              </w:rPr>
              <w:t>3.75 </w:t>
            </w:r>
          </w:p>
        </w:tc>
        <w:tc>
          <w:tcPr>
            <w:tcW w:w="0" w:type="auto"/>
            <w:shd w:val="clear" w:color="auto" w:fill="FFFFFF"/>
            <w:tcMar>
              <w:top w:w="40" w:type="dxa"/>
              <w:bottom w:w="40" w:type="dxa"/>
              <w:right w:w="20" w:type="dxa"/>
            </w:tcMar>
            <w:vAlign w:val="bottom"/>
          </w:tcPr>
          <w:p w14:paraId="33DAB2F3"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B2F4"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B2F5" w14:textId="77777777" w:rsidR="004D6A64" w:rsidRDefault="00506CD6">
            <w:pPr>
              <w:jc w:val="right"/>
              <w:textAlignment w:val="bottom"/>
            </w:pPr>
            <w:r>
              <w:rPr>
                <w:rFonts w:ascii="Times New Roman" w:eastAsia="宋体" w:hAnsi="Times New Roman"/>
                <w:color w:val="000000"/>
                <w:sz w:val="20"/>
                <w:szCs w:val="20"/>
              </w:rPr>
              <w:t>3.81 </w:t>
            </w:r>
          </w:p>
        </w:tc>
        <w:tc>
          <w:tcPr>
            <w:tcW w:w="0" w:type="auto"/>
            <w:shd w:val="clear" w:color="auto" w:fill="FFFFFF"/>
            <w:tcMar>
              <w:top w:w="40" w:type="dxa"/>
              <w:bottom w:w="40" w:type="dxa"/>
              <w:right w:w="20" w:type="dxa"/>
            </w:tcMar>
            <w:vAlign w:val="bottom"/>
          </w:tcPr>
          <w:p w14:paraId="33DAB2F6" w14:textId="77777777" w:rsidR="004D6A64" w:rsidRDefault="00506CD6">
            <w:pPr>
              <w:jc w:val="right"/>
              <w:textAlignment w:val="bottom"/>
            </w:pPr>
            <w:r>
              <w:rPr>
                <w:rFonts w:ascii="Times New Roman" w:eastAsia="宋体" w:hAnsi="Times New Roman"/>
                <w:color w:val="000000"/>
                <w:sz w:val="20"/>
                <w:szCs w:val="20"/>
              </w:rPr>
              <w:t>%</w:t>
            </w:r>
          </w:p>
        </w:tc>
        <w:tc>
          <w:tcPr>
            <w:tcW w:w="0" w:type="auto"/>
            <w:shd w:val="clear" w:color="auto" w:fill="auto"/>
          </w:tcPr>
          <w:p w14:paraId="33DAB2F7" w14:textId="77777777" w:rsidR="004D6A64" w:rsidRDefault="004D6A64">
            <w:pPr>
              <w:rPr>
                <w:rFonts w:ascii="宋体"/>
                <w:vanish/>
              </w:rPr>
            </w:pPr>
          </w:p>
        </w:tc>
        <w:tc>
          <w:tcPr>
            <w:tcW w:w="0" w:type="auto"/>
            <w:shd w:val="clear" w:color="auto" w:fill="auto"/>
          </w:tcPr>
          <w:p w14:paraId="33DAB2F8" w14:textId="77777777" w:rsidR="004D6A64" w:rsidRDefault="004D6A64">
            <w:pPr>
              <w:rPr>
                <w:rFonts w:ascii="宋体"/>
                <w:vanish/>
              </w:rPr>
            </w:pPr>
          </w:p>
        </w:tc>
        <w:tc>
          <w:tcPr>
            <w:tcW w:w="0" w:type="auto"/>
            <w:shd w:val="clear" w:color="auto" w:fill="auto"/>
          </w:tcPr>
          <w:p w14:paraId="33DAB2F9" w14:textId="77777777" w:rsidR="004D6A64" w:rsidRDefault="004D6A64">
            <w:pPr>
              <w:rPr>
                <w:rFonts w:ascii="宋体"/>
              </w:rPr>
            </w:pPr>
          </w:p>
        </w:tc>
        <w:tc>
          <w:tcPr>
            <w:tcW w:w="0" w:type="auto"/>
            <w:shd w:val="clear" w:color="auto" w:fill="auto"/>
          </w:tcPr>
          <w:p w14:paraId="33DAB2FA" w14:textId="77777777" w:rsidR="004D6A64" w:rsidRDefault="004D6A64">
            <w:pPr>
              <w:rPr>
                <w:rFonts w:ascii="宋体"/>
              </w:rPr>
            </w:pPr>
          </w:p>
        </w:tc>
        <w:tc>
          <w:tcPr>
            <w:tcW w:w="0" w:type="auto"/>
            <w:shd w:val="clear" w:color="auto" w:fill="auto"/>
          </w:tcPr>
          <w:p w14:paraId="33DAB2FB" w14:textId="77777777" w:rsidR="004D6A64" w:rsidRDefault="004D6A64">
            <w:pPr>
              <w:rPr>
                <w:rFonts w:ascii="宋体"/>
              </w:rPr>
            </w:pPr>
          </w:p>
        </w:tc>
        <w:tc>
          <w:tcPr>
            <w:tcW w:w="0" w:type="auto"/>
            <w:shd w:val="clear" w:color="auto" w:fill="auto"/>
          </w:tcPr>
          <w:p w14:paraId="33DAB2FC" w14:textId="77777777" w:rsidR="004D6A64" w:rsidRDefault="004D6A64">
            <w:pPr>
              <w:rPr>
                <w:rFonts w:ascii="宋体"/>
              </w:rPr>
            </w:pPr>
          </w:p>
        </w:tc>
        <w:tc>
          <w:tcPr>
            <w:tcW w:w="0" w:type="auto"/>
            <w:shd w:val="clear" w:color="auto" w:fill="auto"/>
          </w:tcPr>
          <w:p w14:paraId="33DAB2FD" w14:textId="77777777" w:rsidR="004D6A64" w:rsidRDefault="004D6A64">
            <w:pPr>
              <w:rPr>
                <w:rFonts w:ascii="宋体"/>
              </w:rPr>
            </w:pPr>
          </w:p>
        </w:tc>
        <w:tc>
          <w:tcPr>
            <w:tcW w:w="0" w:type="auto"/>
            <w:shd w:val="clear" w:color="auto" w:fill="auto"/>
          </w:tcPr>
          <w:p w14:paraId="33DAB2FE" w14:textId="77777777" w:rsidR="004D6A64" w:rsidRDefault="004D6A64">
            <w:pPr>
              <w:rPr>
                <w:rFonts w:ascii="宋体"/>
              </w:rPr>
            </w:pPr>
          </w:p>
        </w:tc>
      </w:tr>
    </w:tbl>
    <w:p w14:paraId="33DAB300" w14:textId="77777777" w:rsidR="004D6A64" w:rsidRDefault="004D6A64"/>
    <w:p w14:paraId="33DAB301" w14:textId="77777777" w:rsidR="004D6A64" w:rsidRDefault="004D6A64">
      <w:pPr>
        <w:jc w:val="center"/>
      </w:pPr>
    </w:p>
    <w:p w14:paraId="33DAB302" w14:textId="77777777" w:rsidR="004D6A64" w:rsidRDefault="00506CD6">
      <w:pPr>
        <w:jc w:val="center"/>
      </w:pPr>
      <w:r>
        <w:rPr>
          <w:rFonts w:ascii="Times New Roman" w:eastAsia="宋体" w:hAnsi="Times New Roman"/>
          <w:color w:val="000000"/>
          <w:sz w:val="20"/>
          <w:szCs w:val="20"/>
        </w:rPr>
        <w:t>30</w:t>
      </w:r>
    </w:p>
    <w:p w14:paraId="33DAB303" w14:textId="77777777" w:rsidR="004D6A64" w:rsidRDefault="004D6A64">
      <w:pPr>
        <w:jc w:val="center"/>
      </w:pPr>
    </w:p>
    <w:p w14:paraId="33DAB304" w14:textId="77777777" w:rsidR="004D6A64" w:rsidRDefault="00506CD6">
      <w:r>
        <w:pict w14:anchorId="33DAFAE2">
          <v:rect id="_x0000_i1054" style="width:415.3pt;height:1.5pt" o:hralign="center" o:hrstd="t" o:hr="t" fillcolor="#a0a0a0" stroked="f"/>
        </w:pict>
      </w:r>
    </w:p>
    <w:p w14:paraId="33DAB305" w14:textId="77777777" w:rsidR="004D6A64" w:rsidRDefault="00506CD6">
      <w:hyperlink r:id="rId153" w:anchor="if3e0e1bf9ecd4bf69551d7a85f98d64a_10" w:history="1">
        <w:r>
          <w:rPr>
            <w:rStyle w:val="a5"/>
            <w:rFonts w:ascii="Times New Roman" w:eastAsia="宋体" w:hAnsi="Times New Roman"/>
            <w:sz w:val="20"/>
            <w:szCs w:val="20"/>
          </w:rPr>
          <w:t>Table of Contents</w:t>
        </w:r>
      </w:hyperlink>
    </w:p>
    <w:p w14:paraId="33DAB306"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B307"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33DAB308"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B309" w14:textId="77777777" w:rsidR="004D6A64" w:rsidRDefault="004D6A64">
      <w:pPr>
        <w:jc w:val="center"/>
      </w:pPr>
    </w:p>
    <w:p w14:paraId="33DAB30A" w14:textId="77777777" w:rsidR="004D6A64" w:rsidRDefault="00506CD6">
      <w:r>
        <w:rPr>
          <w:rFonts w:ascii="Times New Roman" w:eastAsia="宋体" w:hAnsi="Times New Roman"/>
          <w:color w:val="000000"/>
          <w:sz w:val="20"/>
          <w:szCs w:val="20"/>
        </w:rPr>
        <w:t>The following table presents supplemental cash flow information related to leases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738"/>
        <w:gridCol w:w="36"/>
        <w:gridCol w:w="135"/>
        <w:gridCol w:w="1423"/>
        <w:gridCol w:w="41"/>
        <w:gridCol w:w="36"/>
        <w:gridCol w:w="36"/>
        <w:gridCol w:w="36"/>
        <w:gridCol w:w="136"/>
        <w:gridCol w:w="1424"/>
        <w:gridCol w:w="42"/>
        <w:gridCol w:w="36"/>
        <w:gridCol w:w="36"/>
        <w:gridCol w:w="36"/>
        <w:gridCol w:w="36"/>
        <w:gridCol w:w="36"/>
        <w:gridCol w:w="36"/>
      </w:tblGrid>
      <w:tr w:rsidR="004D6A64" w14:paraId="33DAB317" w14:textId="77777777">
        <w:trPr>
          <w:gridAfter w:val="6"/>
          <w:jc w:val="center"/>
        </w:trPr>
        <w:tc>
          <w:tcPr>
            <w:tcW w:w="50" w:type="pct"/>
            <w:shd w:val="clear" w:color="auto" w:fill="auto"/>
          </w:tcPr>
          <w:p w14:paraId="33DAB30B" w14:textId="77777777" w:rsidR="004D6A64" w:rsidRDefault="004D6A64">
            <w:pPr>
              <w:rPr>
                <w:rFonts w:ascii="宋体"/>
              </w:rPr>
            </w:pPr>
          </w:p>
        </w:tc>
        <w:tc>
          <w:tcPr>
            <w:tcW w:w="2971" w:type="pct"/>
            <w:shd w:val="clear" w:color="auto" w:fill="auto"/>
          </w:tcPr>
          <w:p w14:paraId="33DAB30C" w14:textId="77777777" w:rsidR="004D6A64" w:rsidRDefault="004D6A64">
            <w:pPr>
              <w:rPr>
                <w:rFonts w:ascii="宋体"/>
              </w:rPr>
            </w:pPr>
          </w:p>
        </w:tc>
        <w:tc>
          <w:tcPr>
            <w:tcW w:w="5" w:type="pct"/>
            <w:shd w:val="clear" w:color="auto" w:fill="auto"/>
          </w:tcPr>
          <w:p w14:paraId="33DAB30D" w14:textId="77777777" w:rsidR="004D6A64" w:rsidRDefault="004D6A64">
            <w:pPr>
              <w:rPr>
                <w:rFonts w:ascii="宋体"/>
              </w:rPr>
            </w:pPr>
          </w:p>
        </w:tc>
        <w:tc>
          <w:tcPr>
            <w:tcW w:w="50" w:type="pct"/>
            <w:shd w:val="clear" w:color="auto" w:fill="auto"/>
          </w:tcPr>
          <w:p w14:paraId="33DAB30E" w14:textId="77777777" w:rsidR="004D6A64" w:rsidRDefault="004D6A64">
            <w:pPr>
              <w:rPr>
                <w:rFonts w:ascii="宋体"/>
              </w:rPr>
            </w:pPr>
          </w:p>
        </w:tc>
        <w:tc>
          <w:tcPr>
            <w:tcW w:w="917" w:type="pct"/>
            <w:shd w:val="clear" w:color="auto" w:fill="auto"/>
          </w:tcPr>
          <w:p w14:paraId="33DAB30F" w14:textId="77777777" w:rsidR="004D6A64" w:rsidRDefault="004D6A64">
            <w:pPr>
              <w:rPr>
                <w:rFonts w:ascii="宋体"/>
              </w:rPr>
            </w:pPr>
          </w:p>
        </w:tc>
        <w:tc>
          <w:tcPr>
            <w:tcW w:w="5" w:type="pct"/>
            <w:shd w:val="clear" w:color="auto" w:fill="auto"/>
          </w:tcPr>
          <w:p w14:paraId="33DAB310" w14:textId="77777777" w:rsidR="004D6A64" w:rsidRDefault="004D6A64">
            <w:pPr>
              <w:rPr>
                <w:rFonts w:ascii="宋体"/>
              </w:rPr>
            </w:pPr>
          </w:p>
        </w:tc>
        <w:tc>
          <w:tcPr>
            <w:tcW w:w="5" w:type="pct"/>
            <w:shd w:val="clear" w:color="auto" w:fill="auto"/>
          </w:tcPr>
          <w:p w14:paraId="33DAB311" w14:textId="77777777" w:rsidR="004D6A64" w:rsidRDefault="004D6A64">
            <w:pPr>
              <w:rPr>
                <w:rFonts w:ascii="宋体"/>
              </w:rPr>
            </w:pPr>
          </w:p>
        </w:tc>
        <w:tc>
          <w:tcPr>
            <w:tcW w:w="19" w:type="pct"/>
            <w:shd w:val="clear" w:color="auto" w:fill="auto"/>
          </w:tcPr>
          <w:p w14:paraId="33DAB312" w14:textId="77777777" w:rsidR="004D6A64" w:rsidRDefault="004D6A64">
            <w:pPr>
              <w:rPr>
                <w:rFonts w:ascii="宋体"/>
              </w:rPr>
            </w:pPr>
          </w:p>
        </w:tc>
        <w:tc>
          <w:tcPr>
            <w:tcW w:w="5" w:type="pct"/>
            <w:shd w:val="clear" w:color="auto" w:fill="auto"/>
          </w:tcPr>
          <w:p w14:paraId="33DAB313" w14:textId="77777777" w:rsidR="004D6A64" w:rsidRDefault="004D6A64">
            <w:pPr>
              <w:rPr>
                <w:rFonts w:ascii="宋体"/>
              </w:rPr>
            </w:pPr>
          </w:p>
        </w:tc>
        <w:tc>
          <w:tcPr>
            <w:tcW w:w="50" w:type="pct"/>
            <w:shd w:val="clear" w:color="auto" w:fill="auto"/>
          </w:tcPr>
          <w:p w14:paraId="33DAB314" w14:textId="77777777" w:rsidR="004D6A64" w:rsidRDefault="004D6A64">
            <w:pPr>
              <w:rPr>
                <w:rFonts w:ascii="宋体"/>
              </w:rPr>
            </w:pPr>
          </w:p>
        </w:tc>
        <w:tc>
          <w:tcPr>
            <w:tcW w:w="917" w:type="pct"/>
            <w:shd w:val="clear" w:color="auto" w:fill="auto"/>
          </w:tcPr>
          <w:p w14:paraId="33DAB315" w14:textId="77777777" w:rsidR="004D6A64" w:rsidRDefault="004D6A64">
            <w:pPr>
              <w:rPr>
                <w:rFonts w:ascii="宋体"/>
              </w:rPr>
            </w:pPr>
          </w:p>
        </w:tc>
        <w:tc>
          <w:tcPr>
            <w:tcW w:w="5" w:type="pct"/>
            <w:shd w:val="clear" w:color="auto" w:fill="auto"/>
          </w:tcPr>
          <w:p w14:paraId="33DAB316" w14:textId="77777777" w:rsidR="004D6A64" w:rsidRDefault="004D6A64">
            <w:pPr>
              <w:rPr>
                <w:rFonts w:ascii="宋体"/>
              </w:rPr>
            </w:pPr>
          </w:p>
        </w:tc>
      </w:tr>
      <w:tr w:rsidR="004D6A64" w14:paraId="33DAB31C" w14:textId="77777777">
        <w:trPr>
          <w:jc w:val="center"/>
        </w:trPr>
        <w:tc>
          <w:tcPr>
            <w:tcW w:w="0" w:type="auto"/>
            <w:gridSpan w:val="3"/>
            <w:shd w:val="clear" w:color="auto" w:fill="auto"/>
            <w:tcMar>
              <w:left w:w="20" w:type="dxa"/>
              <w:right w:w="20" w:type="dxa"/>
            </w:tcMar>
            <w:vAlign w:val="bottom"/>
          </w:tcPr>
          <w:p w14:paraId="33DAB318" w14:textId="77777777" w:rsidR="004D6A64" w:rsidRDefault="004D6A64">
            <w:pPr>
              <w:rPr>
                <w:rFonts w:ascii="宋体"/>
              </w:rPr>
            </w:pPr>
          </w:p>
        </w:tc>
        <w:tc>
          <w:tcPr>
            <w:tcW w:w="0" w:type="auto"/>
            <w:gridSpan w:val="9"/>
            <w:shd w:val="clear" w:color="auto" w:fill="auto"/>
            <w:tcMar>
              <w:top w:w="40" w:type="dxa"/>
              <w:left w:w="20" w:type="dxa"/>
              <w:bottom w:w="40" w:type="dxa"/>
              <w:right w:w="20" w:type="dxa"/>
            </w:tcMar>
            <w:vAlign w:val="bottom"/>
          </w:tcPr>
          <w:p w14:paraId="33DAB319" w14:textId="77777777" w:rsidR="004D6A64" w:rsidRDefault="00506CD6">
            <w:pPr>
              <w:jc w:val="center"/>
              <w:textAlignment w:val="bottom"/>
            </w:pPr>
            <w:r>
              <w:rPr>
                <w:rFonts w:ascii="Times New Roman" w:eastAsia="宋体" w:hAnsi="Times New Roman"/>
                <w:b/>
                <w:bCs/>
                <w:color w:val="000000"/>
                <w:sz w:val="20"/>
                <w:szCs w:val="20"/>
              </w:rPr>
              <w:t>Six Months Ended</w:t>
            </w:r>
          </w:p>
        </w:tc>
        <w:tc>
          <w:tcPr>
            <w:tcW w:w="0" w:type="auto"/>
            <w:gridSpan w:val="3"/>
            <w:shd w:val="clear" w:color="auto" w:fill="auto"/>
          </w:tcPr>
          <w:p w14:paraId="33DAB31A" w14:textId="77777777" w:rsidR="004D6A64" w:rsidRDefault="004D6A64">
            <w:pPr>
              <w:rPr>
                <w:rFonts w:ascii="宋体"/>
                <w:vanish/>
              </w:rPr>
            </w:pPr>
          </w:p>
        </w:tc>
        <w:tc>
          <w:tcPr>
            <w:tcW w:w="0" w:type="auto"/>
            <w:gridSpan w:val="3"/>
            <w:shd w:val="clear" w:color="auto" w:fill="auto"/>
          </w:tcPr>
          <w:p w14:paraId="33DAB31B" w14:textId="77777777" w:rsidR="004D6A64" w:rsidRDefault="004D6A64">
            <w:pPr>
              <w:rPr>
                <w:rFonts w:ascii="宋体"/>
                <w:vanish/>
              </w:rPr>
            </w:pPr>
          </w:p>
        </w:tc>
      </w:tr>
      <w:tr w:rsidR="004D6A64" w14:paraId="33DAB327" w14:textId="77777777">
        <w:trPr>
          <w:jc w:val="center"/>
        </w:trPr>
        <w:tc>
          <w:tcPr>
            <w:tcW w:w="0" w:type="auto"/>
            <w:gridSpan w:val="3"/>
            <w:shd w:val="clear" w:color="auto" w:fill="auto"/>
            <w:tcMar>
              <w:left w:w="20" w:type="dxa"/>
              <w:right w:w="20" w:type="dxa"/>
            </w:tcMar>
            <w:vAlign w:val="bottom"/>
          </w:tcPr>
          <w:p w14:paraId="33DAB31D"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B31E"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B31F"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B320"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shd w:val="clear" w:color="auto" w:fill="auto"/>
          </w:tcPr>
          <w:p w14:paraId="33DAB321" w14:textId="77777777" w:rsidR="004D6A64" w:rsidRDefault="004D6A64">
            <w:pPr>
              <w:rPr>
                <w:rFonts w:ascii="宋体"/>
              </w:rPr>
            </w:pPr>
          </w:p>
        </w:tc>
        <w:tc>
          <w:tcPr>
            <w:tcW w:w="0" w:type="auto"/>
            <w:shd w:val="clear" w:color="auto" w:fill="auto"/>
          </w:tcPr>
          <w:p w14:paraId="33DAB322" w14:textId="77777777" w:rsidR="004D6A64" w:rsidRDefault="004D6A64">
            <w:pPr>
              <w:rPr>
                <w:rFonts w:ascii="宋体"/>
              </w:rPr>
            </w:pPr>
          </w:p>
        </w:tc>
        <w:tc>
          <w:tcPr>
            <w:tcW w:w="0" w:type="auto"/>
            <w:shd w:val="clear" w:color="auto" w:fill="auto"/>
          </w:tcPr>
          <w:p w14:paraId="33DAB323" w14:textId="77777777" w:rsidR="004D6A64" w:rsidRDefault="004D6A64">
            <w:pPr>
              <w:rPr>
                <w:rFonts w:ascii="宋体"/>
              </w:rPr>
            </w:pPr>
          </w:p>
        </w:tc>
        <w:tc>
          <w:tcPr>
            <w:tcW w:w="0" w:type="auto"/>
            <w:shd w:val="clear" w:color="auto" w:fill="auto"/>
          </w:tcPr>
          <w:p w14:paraId="33DAB324" w14:textId="77777777" w:rsidR="004D6A64" w:rsidRDefault="004D6A64">
            <w:pPr>
              <w:rPr>
                <w:rFonts w:ascii="宋体"/>
              </w:rPr>
            </w:pPr>
          </w:p>
        </w:tc>
        <w:tc>
          <w:tcPr>
            <w:tcW w:w="0" w:type="auto"/>
            <w:shd w:val="clear" w:color="auto" w:fill="auto"/>
          </w:tcPr>
          <w:p w14:paraId="33DAB325" w14:textId="77777777" w:rsidR="004D6A64" w:rsidRDefault="004D6A64">
            <w:pPr>
              <w:rPr>
                <w:rFonts w:ascii="宋体"/>
              </w:rPr>
            </w:pPr>
          </w:p>
        </w:tc>
        <w:tc>
          <w:tcPr>
            <w:tcW w:w="0" w:type="auto"/>
            <w:shd w:val="clear" w:color="auto" w:fill="auto"/>
          </w:tcPr>
          <w:p w14:paraId="33DAB326" w14:textId="77777777" w:rsidR="004D6A64" w:rsidRDefault="004D6A64">
            <w:pPr>
              <w:rPr>
                <w:rFonts w:ascii="宋体"/>
              </w:rPr>
            </w:pPr>
          </w:p>
        </w:tc>
      </w:tr>
      <w:tr w:rsidR="004D6A64" w14:paraId="33DAB32C" w14:textId="77777777">
        <w:trPr>
          <w:jc w:val="center"/>
        </w:trPr>
        <w:tc>
          <w:tcPr>
            <w:tcW w:w="0" w:type="auto"/>
            <w:gridSpan w:val="3"/>
            <w:shd w:val="clear" w:color="auto" w:fill="auto"/>
            <w:tcMar>
              <w:left w:w="20" w:type="dxa"/>
              <w:right w:w="20" w:type="dxa"/>
            </w:tcMar>
            <w:vAlign w:val="bottom"/>
          </w:tcPr>
          <w:p w14:paraId="33DAB328" w14:textId="77777777" w:rsidR="004D6A64" w:rsidRDefault="004D6A6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3DAB329" w14:textId="77777777" w:rsidR="004D6A64" w:rsidRDefault="00506CD6">
            <w:pPr>
              <w:jc w:val="center"/>
              <w:textAlignment w:val="bottom"/>
            </w:pPr>
            <w:r>
              <w:rPr>
                <w:rFonts w:ascii="Times New Roman" w:eastAsia="宋体" w:hAnsi="Times New Roman"/>
                <w:color w:val="000000"/>
                <w:sz w:val="20"/>
                <w:szCs w:val="20"/>
              </w:rPr>
              <w:t>(in millions)</w:t>
            </w:r>
          </w:p>
        </w:tc>
        <w:tc>
          <w:tcPr>
            <w:tcW w:w="0" w:type="auto"/>
            <w:gridSpan w:val="3"/>
            <w:shd w:val="clear" w:color="auto" w:fill="auto"/>
          </w:tcPr>
          <w:p w14:paraId="33DAB32A" w14:textId="77777777" w:rsidR="004D6A64" w:rsidRDefault="004D6A64">
            <w:pPr>
              <w:rPr>
                <w:rFonts w:ascii="宋体"/>
                <w:vanish/>
              </w:rPr>
            </w:pPr>
          </w:p>
        </w:tc>
        <w:tc>
          <w:tcPr>
            <w:tcW w:w="0" w:type="auto"/>
            <w:gridSpan w:val="3"/>
            <w:shd w:val="clear" w:color="auto" w:fill="auto"/>
          </w:tcPr>
          <w:p w14:paraId="33DAB32B" w14:textId="77777777" w:rsidR="004D6A64" w:rsidRDefault="004D6A64">
            <w:pPr>
              <w:rPr>
                <w:rFonts w:ascii="宋体"/>
                <w:vanish/>
              </w:rPr>
            </w:pPr>
          </w:p>
        </w:tc>
      </w:tr>
      <w:tr w:rsidR="004D6A64" w14:paraId="33DAB33B" w14:textId="77777777">
        <w:trPr>
          <w:jc w:val="center"/>
        </w:trPr>
        <w:tc>
          <w:tcPr>
            <w:tcW w:w="0" w:type="auto"/>
            <w:gridSpan w:val="3"/>
            <w:shd w:val="clear" w:color="auto" w:fill="CCEEFF"/>
            <w:tcMar>
              <w:top w:w="40" w:type="dxa"/>
              <w:left w:w="20" w:type="dxa"/>
              <w:bottom w:w="40" w:type="dxa"/>
              <w:right w:w="20" w:type="dxa"/>
            </w:tcMar>
            <w:vAlign w:val="bottom"/>
          </w:tcPr>
          <w:p w14:paraId="33DAB32D" w14:textId="77777777" w:rsidR="004D6A64" w:rsidRDefault="00506CD6">
            <w:pPr>
              <w:textAlignment w:val="bottom"/>
            </w:pPr>
            <w:r>
              <w:rPr>
                <w:rFonts w:ascii="Times New Roman" w:eastAsia="宋体" w:hAnsi="Times New Roman"/>
                <w:color w:val="000000"/>
                <w:sz w:val="20"/>
                <w:szCs w:val="20"/>
              </w:rPr>
              <w:t xml:space="preserve">Cash paid for amounts included in the measurement of lease liabilities — </w:t>
            </w:r>
            <w:r>
              <w:rPr>
                <w:rFonts w:ascii="Times New Roman" w:eastAsia="宋体" w:hAnsi="Times New Roman"/>
                <w:color w:val="000000"/>
                <w:sz w:val="20"/>
                <w:szCs w:val="20"/>
              </w:rPr>
              <w:br/>
              <w:t>operating cash outflows from operating leases</w:t>
            </w:r>
          </w:p>
        </w:tc>
        <w:tc>
          <w:tcPr>
            <w:tcW w:w="0" w:type="auto"/>
            <w:shd w:val="clear" w:color="auto" w:fill="CCEEFF"/>
            <w:tcMar>
              <w:top w:w="40" w:type="dxa"/>
              <w:left w:w="20" w:type="dxa"/>
              <w:bottom w:w="40" w:type="dxa"/>
            </w:tcMar>
            <w:vAlign w:val="bottom"/>
          </w:tcPr>
          <w:p w14:paraId="33DAB32E"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B32F" w14:textId="77777777" w:rsidR="004D6A64" w:rsidRDefault="00506CD6">
            <w:pPr>
              <w:jc w:val="right"/>
              <w:textAlignment w:val="bottom"/>
            </w:pPr>
            <w:r>
              <w:rPr>
                <w:rFonts w:ascii="Times New Roman" w:eastAsia="宋体" w:hAnsi="Times New Roman"/>
                <w:color w:val="000000"/>
                <w:sz w:val="20"/>
                <w:szCs w:val="20"/>
              </w:rPr>
              <w:t>255 </w:t>
            </w:r>
          </w:p>
        </w:tc>
        <w:tc>
          <w:tcPr>
            <w:tcW w:w="0" w:type="auto"/>
            <w:shd w:val="clear" w:color="auto" w:fill="CCEEFF"/>
            <w:tcMar>
              <w:top w:w="40" w:type="dxa"/>
              <w:bottom w:w="40" w:type="dxa"/>
              <w:right w:w="20" w:type="dxa"/>
            </w:tcMar>
            <w:vAlign w:val="bottom"/>
          </w:tcPr>
          <w:p w14:paraId="33DAB33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331"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B332"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B333" w14:textId="77777777" w:rsidR="004D6A64" w:rsidRDefault="00506CD6">
            <w:pPr>
              <w:jc w:val="right"/>
              <w:textAlignment w:val="bottom"/>
            </w:pPr>
            <w:r>
              <w:rPr>
                <w:rFonts w:ascii="Times New Roman" w:eastAsia="宋体" w:hAnsi="Times New Roman"/>
                <w:color w:val="000000"/>
                <w:sz w:val="20"/>
                <w:szCs w:val="20"/>
              </w:rPr>
              <w:t>241 </w:t>
            </w:r>
          </w:p>
        </w:tc>
        <w:tc>
          <w:tcPr>
            <w:tcW w:w="0" w:type="auto"/>
            <w:shd w:val="clear" w:color="auto" w:fill="CCEEFF"/>
            <w:tcMar>
              <w:top w:w="40" w:type="dxa"/>
              <w:bottom w:w="40" w:type="dxa"/>
              <w:right w:w="20" w:type="dxa"/>
            </w:tcMar>
            <w:vAlign w:val="bottom"/>
          </w:tcPr>
          <w:p w14:paraId="33DAB334" w14:textId="77777777" w:rsidR="004D6A64" w:rsidRDefault="004D6A64">
            <w:pPr>
              <w:jc w:val="right"/>
              <w:rPr>
                <w:rFonts w:ascii="宋体"/>
              </w:rPr>
            </w:pPr>
          </w:p>
        </w:tc>
        <w:tc>
          <w:tcPr>
            <w:tcW w:w="0" w:type="auto"/>
            <w:shd w:val="clear" w:color="auto" w:fill="auto"/>
          </w:tcPr>
          <w:p w14:paraId="33DAB335" w14:textId="77777777" w:rsidR="004D6A64" w:rsidRDefault="004D6A64">
            <w:pPr>
              <w:rPr>
                <w:rFonts w:ascii="宋体"/>
              </w:rPr>
            </w:pPr>
          </w:p>
        </w:tc>
        <w:tc>
          <w:tcPr>
            <w:tcW w:w="0" w:type="auto"/>
            <w:shd w:val="clear" w:color="auto" w:fill="auto"/>
          </w:tcPr>
          <w:p w14:paraId="33DAB336" w14:textId="77777777" w:rsidR="004D6A64" w:rsidRDefault="004D6A64">
            <w:pPr>
              <w:rPr>
                <w:rFonts w:ascii="宋体"/>
              </w:rPr>
            </w:pPr>
          </w:p>
        </w:tc>
        <w:tc>
          <w:tcPr>
            <w:tcW w:w="0" w:type="auto"/>
            <w:shd w:val="clear" w:color="auto" w:fill="auto"/>
          </w:tcPr>
          <w:p w14:paraId="33DAB337" w14:textId="77777777" w:rsidR="004D6A64" w:rsidRDefault="004D6A64">
            <w:pPr>
              <w:rPr>
                <w:rFonts w:ascii="宋体"/>
              </w:rPr>
            </w:pPr>
          </w:p>
        </w:tc>
        <w:tc>
          <w:tcPr>
            <w:tcW w:w="0" w:type="auto"/>
            <w:shd w:val="clear" w:color="auto" w:fill="auto"/>
          </w:tcPr>
          <w:p w14:paraId="33DAB338" w14:textId="77777777" w:rsidR="004D6A64" w:rsidRDefault="004D6A64">
            <w:pPr>
              <w:rPr>
                <w:rFonts w:ascii="宋体"/>
              </w:rPr>
            </w:pPr>
          </w:p>
        </w:tc>
        <w:tc>
          <w:tcPr>
            <w:tcW w:w="0" w:type="auto"/>
            <w:shd w:val="clear" w:color="auto" w:fill="auto"/>
          </w:tcPr>
          <w:p w14:paraId="33DAB339" w14:textId="77777777" w:rsidR="004D6A64" w:rsidRDefault="004D6A64">
            <w:pPr>
              <w:rPr>
                <w:rFonts w:ascii="宋体"/>
              </w:rPr>
            </w:pPr>
          </w:p>
        </w:tc>
        <w:tc>
          <w:tcPr>
            <w:tcW w:w="0" w:type="auto"/>
            <w:shd w:val="clear" w:color="auto" w:fill="auto"/>
          </w:tcPr>
          <w:p w14:paraId="33DAB33A" w14:textId="77777777" w:rsidR="004D6A64" w:rsidRDefault="004D6A64">
            <w:pPr>
              <w:rPr>
                <w:rFonts w:ascii="宋体"/>
              </w:rPr>
            </w:pPr>
          </w:p>
        </w:tc>
      </w:tr>
      <w:tr w:rsidR="004D6A64" w14:paraId="33DAB346" w14:textId="77777777">
        <w:trPr>
          <w:trHeight w:val="300"/>
          <w:jc w:val="center"/>
        </w:trPr>
        <w:tc>
          <w:tcPr>
            <w:tcW w:w="0" w:type="auto"/>
            <w:gridSpan w:val="3"/>
            <w:shd w:val="clear" w:color="auto" w:fill="FFFFFF"/>
            <w:tcMar>
              <w:left w:w="20" w:type="dxa"/>
              <w:right w:w="20" w:type="dxa"/>
            </w:tcMar>
            <w:vAlign w:val="bottom"/>
          </w:tcPr>
          <w:p w14:paraId="33DAB33C"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33D"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33E"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33F" w14:textId="77777777" w:rsidR="004D6A64" w:rsidRDefault="004D6A64">
            <w:pPr>
              <w:rPr>
                <w:rFonts w:ascii="宋体"/>
              </w:rPr>
            </w:pPr>
          </w:p>
        </w:tc>
        <w:tc>
          <w:tcPr>
            <w:tcW w:w="0" w:type="auto"/>
            <w:shd w:val="clear" w:color="auto" w:fill="auto"/>
          </w:tcPr>
          <w:p w14:paraId="33DAB340" w14:textId="77777777" w:rsidR="004D6A64" w:rsidRDefault="004D6A64">
            <w:pPr>
              <w:rPr>
                <w:rFonts w:ascii="宋体"/>
              </w:rPr>
            </w:pPr>
          </w:p>
        </w:tc>
        <w:tc>
          <w:tcPr>
            <w:tcW w:w="0" w:type="auto"/>
            <w:shd w:val="clear" w:color="auto" w:fill="auto"/>
          </w:tcPr>
          <w:p w14:paraId="33DAB341" w14:textId="77777777" w:rsidR="004D6A64" w:rsidRDefault="004D6A64">
            <w:pPr>
              <w:rPr>
                <w:rFonts w:ascii="宋体"/>
              </w:rPr>
            </w:pPr>
          </w:p>
        </w:tc>
        <w:tc>
          <w:tcPr>
            <w:tcW w:w="0" w:type="auto"/>
            <w:shd w:val="clear" w:color="auto" w:fill="auto"/>
          </w:tcPr>
          <w:p w14:paraId="33DAB342" w14:textId="77777777" w:rsidR="004D6A64" w:rsidRDefault="004D6A64">
            <w:pPr>
              <w:rPr>
                <w:rFonts w:ascii="宋体"/>
              </w:rPr>
            </w:pPr>
          </w:p>
        </w:tc>
        <w:tc>
          <w:tcPr>
            <w:tcW w:w="0" w:type="auto"/>
            <w:shd w:val="clear" w:color="auto" w:fill="auto"/>
          </w:tcPr>
          <w:p w14:paraId="33DAB343" w14:textId="77777777" w:rsidR="004D6A64" w:rsidRDefault="004D6A64">
            <w:pPr>
              <w:rPr>
                <w:rFonts w:ascii="宋体"/>
              </w:rPr>
            </w:pPr>
          </w:p>
        </w:tc>
        <w:tc>
          <w:tcPr>
            <w:tcW w:w="0" w:type="auto"/>
            <w:shd w:val="clear" w:color="auto" w:fill="auto"/>
          </w:tcPr>
          <w:p w14:paraId="33DAB344" w14:textId="77777777" w:rsidR="004D6A64" w:rsidRDefault="004D6A64">
            <w:pPr>
              <w:rPr>
                <w:rFonts w:ascii="宋体"/>
              </w:rPr>
            </w:pPr>
          </w:p>
        </w:tc>
        <w:tc>
          <w:tcPr>
            <w:tcW w:w="0" w:type="auto"/>
            <w:shd w:val="clear" w:color="auto" w:fill="auto"/>
          </w:tcPr>
          <w:p w14:paraId="33DAB345" w14:textId="77777777" w:rsidR="004D6A64" w:rsidRDefault="004D6A64">
            <w:pPr>
              <w:rPr>
                <w:rFonts w:ascii="宋体"/>
              </w:rPr>
            </w:pPr>
          </w:p>
        </w:tc>
      </w:tr>
      <w:tr w:rsidR="004D6A64" w14:paraId="33DAB355" w14:textId="77777777">
        <w:trPr>
          <w:jc w:val="center"/>
        </w:trPr>
        <w:tc>
          <w:tcPr>
            <w:tcW w:w="0" w:type="auto"/>
            <w:gridSpan w:val="3"/>
            <w:shd w:val="clear" w:color="auto" w:fill="CCEEFF"/>
            <w:tcMar>
              <w:top w:w="40" w:type="dxa"/>
              <w:left w:w="135" w:type="dxa"/>
              <w:bottom w:w="40" w:type="dxa"/>
              <w:right w:w="20" w:type="dxa"/>
            </w:tcMar>
            <w:vAlign w:val="bottom"/>
          </w:tcPr>
          <w:p w14:paraId="33DAB347" w14:textId="77777777" w:rsidR="004D6A64" w:rsidRDefault="00506CD6">
            <w:pPr>
              <w:textAlignment w:val="bottom"/>
            </w:pPr>
            <w:r>
              <w:rPr>
                <w:rFonts w:ascii="Times New Roman" w:eastAsia="宋体" w:hAnsi="Times New Roman"/>
                <w:color w:val="000000"/>
                <w:sz w:val="20"/>
                <w:szCs w:val="20"/>
              </w:rPr>
              <w:t>ROU assets obtained in exchange for new operating lease liabilities</w:t>
            </w:r>
          </w:p>
        </w:tc>
        <w:tc>
          <w:tcPr>
            <w:tcW w:w="0" w:type="auto"/>
            <w:shd w:val="clear" w:color="auto" w:fill="CCEEFF"/>
            <w:tcMar>
              <w:top w:w="40" w:type="dxa"/>
              <w:left w:w="20" w:type="dxa"/>
              <w:bottom w:w="40" w:type="dxa"/>
            </w:tcMar>
            <w:vAlign w:val="bottom"/>
          </w:tcPr>
          <w:p w14:paraId="33DAB348"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B349" w14:textId="77777777" w:rsidR="004D6A64" w:rsidRDefault="00506CD6">
            <w:pPr>
              <w:jc w:val="right"/>
              <w:textAlignment w:val="bottom"/>
            </w:pPr>
            <w:r>
              <w:rPr>
                <w:rFonts w:ascii="Times New Roman" w:eastAsia="宋体" w:hAnsi="Times New Roman"/>
                <w:color w:val="000000"/>
                <w:sz w:val="20"/>
                <w:szCs w:val="20"/>
              </w:rPr>
              <w:t>255 </w:t>
            </w:r>
          </w:p>
        </w:tc>
        <w:tc>
          <w:tcPr>
            <w:tcW w:w="0" w:type="auto"/>
            <w:shd w:val="clear" w:color="auto" w:fill="CCEEFF"/>
            <w:tcMar>
              <w:top w:w="40" w:type="dxa"/>
              <w:bottom w:w="40" w:type="dxa"/>
              <w:right w:w="20" w:type="dxa"/>
            </w:tcMar>
            <w:vAlign w:val="bottom"/>
          </w:tcPr>
          <w:p w14:paraId="33DAB34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34B"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B34C"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B34D" w14:textId="77777777" w:rsidR="004D6A64" w:rsidRDefault="00506CD6">
            <w:pPr>
              <w:jc w:val="right"/>
              <w:textAlignment w:val="bottom"/>
            </w:pPr>
            <w:r>
              <w:rPr>
                <w:rFonts w:ascii="Times New Roman" w:eastAsia="宋体" w:hAnsi="Times New Roman"/>
                <w:color w:val="000000"/>
                <w:sz w:val="20"/>
                <w:szCs w:val="20"/>
              </w:rPr>
              <w:t>254 </w:t>
            </w:r>
          </w:p>
        </w:tc>
        <w:tc>
          <w:tcPr>
            <w:tcW w:w="0" w:type="auto"/>
            <w:shd w:val="clear" w:color="auto" w:fill="CCEEFF"/>
            <w:tcMar>
              <w:top w:w="40" w:type="dxa"/>
              <w:bottom w:w="40" w:type="dxa"/>
              <w:right w:w="20" w:type="dxa"/>
            </w:tcMar>
            <w:vAlign w:val="bottom"/>
          </w:tcPr>
          <w:p w14:paraId="33DAB34E" w14:textId="77777777" w:rsidR="004D6A64" w:rsidRDefault="004D6A64">
            <w:pPr>
              <w:jc w:val="right"/>
              <w:rPr>
                <w:rFonts w:ascii="宋体"/>
              </w:rPr>
            </w:pPr>
          </w:p>
        </w:tc>
        <w:tc>
          <w:tcPr>
            <w:tcW w:w="0" w:type="auto"/>
            <w:shd w:val="clear" w:color="auto" w:fill="auto"/>
          </w:tcPr>
          <w:p w14:paraId="33DAB34F" w14:textId="77777777" w:rsidR="004D6A64" w:rsidRDefault="004D6A64">
            <w:pPr>
              <w:rPr>
                <w:rFonts w:ascii="宋体"/>
              </w:rPr>
            </w:pPr>
          </w:p>
        </w:tc>
        <w:tc>
          <w:tcPr>
            <w:tcW w:w="0" w:type="auto"/>
            <w:shd w:val="clear" w:color="auto" w:fill="auto"/>
          </w:tcPr>
          <w:p w14:paraId="33DAB350" w14:textId="77777777" w:rsidR="004D6A64" w:rsidRDefault="004D6A64">
            <w:pPr>
              <w:rPr>
                <w:rFonts w:ascii="宋体"/>
              </w:rPr>
            </w:pPr>
          </w:p>
        </w:tc>
        <w:tc>
          <w:tcPr>
            <w:tcW w:w="0" w:type="auto"/>
            <w:shd w:val="clear" w:color="auto" w:fill="auto"/>
          </w:tcPr>
          <w:p w14:paraId="33DAB351" w14:textId="77777777" w:rsidR="004D6A64" w:rsidRDefault="004D6A64">
            <w:pPr>
              <w:rPr>
                <w:rFonts w:ascii="宋体"/>
              </w:rPr>
            </w:pPr>
          </w:p>
        </w:tc>
        <w:tc>
          <w:tcPr>
            <w:tcW w:w="0" w:type="auto"/>
            <w:shd w:val="clear" w:color="auto" w:fill="auto"/>
          </w:tcPr>
          <w:p w14:paraId="33DAB352" w14:textId="77777777" w:rsidR="004D6A64" w:rsidRDefault="004D6A64">
            <w:pPr>
              <w:rPr>
                <w:rFonts w:ascii="宋体"/>
              </w:rPr>
            </w:pPr>
          </w:p>
        </w:tc>
        <w:tc>
          <w:tcPr>
            <w:tcW w:w="0" w:type="auto"/>
            <w:shd w:val="clear" w:color="auto" w:fill="auto"/>
          </w:tcPr>
          <w:p w14:paraId="33DAB353" w14:textId="77777777" w:rsidR="004D6A64" w:rsidRDefault="004D6A64">
            <w:pPr>
              <w:rPr>
                <w:rFonts w:ascii="宋体"/>
              </w:rPr>
            </w:pPr>
          </w:p>
        </w:tc>
        <w:tc>
          <w:tcPr>
            <w:tcW w:w="0" w:type="auto"/>
            <w:shd w:val="clear" w:color="auto" w:fill="auto"/>
          </w:tcPr>
          <w:p w14:paraId="33DAB354" w14:textId="77777777" w:rsidR="004D6A64" w:rsidRDefault="004D6A64">
            <w:pPr>
              <w:rPr>
                <w:rFonts w:ascii="宋体"/>
              </w:rPr>
            </w:pPr>
          </w:p>
        </w:tc>
      </w:tr>
    </w:tbl>
    <w:p w14:paraId="33DAB356" w14:textId="77777777" w:rsidR="004D6A64" w:rsidRDefault="004D6A64"/>
    <w:p w14:paraId="33DAB357" w14:textId="77777777" w:rsidR="004D6A64" w:rsidRDefault="00506CD6">
      <w:r>
        <w:rPr>
          <w:rFonts w:ascii="Times New Roman" w:eastAsia="宋体" w:hAnsi="Times New Roman"/>
          <w:color w:val="000000"/>
          <w:sz w:val="20"/>
          <w:szCs w:val="20"/>
        </w:rPr>
        <w:t>The following table presents the future maturity of the Company’s operating lease liabilities under non-cancelable leases and reconciles the undiscounted cash flows for these leases to the lease liability recognized on the Condensed Consolidated Statements</w:t>
      </w:r>
      <w:r>
        <w:rPr>
          <w:rFonts w:ascii="Times New Roman" w:eastAsia="宋体" w:hAnsi="Times New Roman"/>
          <w:color w:val="000000"/>
          <w:sz w:val="20"/>
          <w:szCs w:val="20"/>
        </w:rPr>
        <w:t xml:space="preserve"> of Financial Position as of the date indicated: </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6528"/>
        <w:gridCol w:w="39"/>
        <w:gridCol w:w="136"/>
        <w:gridCol w:w="1476"/>
        <w:gridCol w:w="42"/>
        <w:gridCol w:w="36"/>
        <w:gridCol w:w="36"/>
      </w:tblGrid>
      <w:tr w:rsidR="004D6A64" w14:paraId="33DAB360" w14:textId="77777777">
        <w:trPr>
          <w:jc w:val="center"/>
        </w:trPr>
        <w:tc>
          <w:tcPr>
            <w:tcW w:w="50" w:type="pct"/>
            <w:shd w:val="clear" w:color="auto" w:fill="auto"/>
          </w:tcPr>
          <w:p w14:paraId="33DAB358" w14:textId="77777777" w:rsidR="004D6A64" w:rsidRDefault="004D6A64">
            <w:pPr>
              <w:rPr>
                <w:rFonts w:ascii="宋体"/>
              </w:rPr>
            </w:pPr>
          </w:p>
        </w:tc>
        <w:tc>
          <w:tcPr>
            <w:tcW w:w="3972" w:type="pct"/>
            <w:shd w:val="clear" w:color="auto" w:fill="auto"/>
          </w:tcPr>
          <w:p w14:paraId="33DAB359" w14:textId="77777777" w:rsidR="004D6A64" w:rsidRDefault="004D6A64">
            <w:pPr>
              <w:rPr>
                <w:rFonts w:ascii="宋体"/>
              </w:rPr>
            </w:pPr>
          </w:p>
        </w:tc>
        <w:tc>
          <w:tcPr>
            <w:tcW w:w="5" w:type="pct"/>
            <w:shd w:val="clear" w:color="auto" w:fill="auto"/>
          </w:tcPr>
          <w:p w14:paraId="33DAB35A" w14:textId="77777777" w:rsidR="004D6A64" w:rsidRDefault="004D6A64">
            <w:pPr>
              <w:rPr>
                <w:rFonts w:ascii="宋体"/>
              </w:rPr>
            </w:pPr>
          </w:p>
        </w:tc>
        <w:tc>
          <w:tcPr>
            <w:tcW w:w="50" w:type="pct"/>
            <w:shd w:val="clear" w:color="auto" w:fill="auto"/>
          </w:tcPr>
          <w:p w14:paraId="33DAB35B" w14:textId="77777777" w:rsidR="004D6A64" w:rsidRDefault="004D6A64">
            <w:pPr>
              <w:rPr>
                <w:rFonts w:ascii="宋体"/>
              </w:rPr>
            </w:pPr>
          </w:p>
        </w:tc>
        <w:tc>
          <w:tcPr>
            <w:tcW w:w="917" w:type="pct"/>
            <w:shd w:val="clear" w:color="auto" w:fill="auto"/>
          </w:tcPr>
          <w:p w14:paraId="33DAB35C" w14:textId="77777777" w:rsidR="004D6A64" w:rsidRDefault="004D6A64">
            <w:pPr>
              <w:rPr>
                <w:rFonts w:ascii="宋体"/>
              </w:rPr>
            </w:pPr>
          </w:p>
        </w:tc>
        <w:tc>
          <w:tcPr>
            <w:tcW w:w="5" w:type="pct"/>
            <w:shd w:val="clear" w:color="auto" w:fill="auto"/>
          </w:tcPr>
          <w:p w14:paraId="33DAB35D" w14:textId="77777777" w:rsidR="004D6A64" w:rsidRDefault="004D6A64">
            <w:pPr>
              <w:rPr>
                <w:rFonts w:ascii="宋体"/>
              </w:rPr>
            </w:pPr>
          </w:p>
        </w:tc>
        <w:tc>
          <w:tcPr>
            <w:tcW w:w="0" w:type="auto"/>
            <w:shd w:val="clear" w:color="auto" w:fill="auto"/>
          </w:tcPr>
          <w:p w14:paraId="33DAB35E" w14:textId="77777777" w:rsidR="004D6A64" w:rsidRDefault="004D6A64">
            <w:pPr>
              <w:rPr>
                <w:rFonts w:ascii="宋体"/>
                <w:vanish/>
              </w:rPr>
            </w:pPr>
          </w:p>
        </w:tc>
        <w:tc>
          <w:tcPr>
            <w:tcW w:w="0" w:type="auto"/>
            <w:shd w:val="clear" w:color="auto" w:fill="auto"/>
          </w:tcPr>
          <w:p w14:paraId="33DAB35F" w14:textId="77777777" w:rsidR="004D6A64" w:rsidRDefault="004D6A64">
            <w:pPr>
              <w:rPr>
                <w:rFonts w:ascii="宋体"/>
                <w:vanish/>
              </w:rPr>
            </w:pPr>
          </w:p>
        </w:tc>
      </w:tr>
      <w:tr w:rsidR="004D6A64" w14:paraId="33DAB365" w14:textId="77777777">
        <w:trPr>
          <w:jc w:val="center"/>
        </w:trPr>
        <w:tc>
          <w:tcPr>
            <w:tcW w:w="0" w:type="auto"/>
            <w:gridSpan w:val="3"/>
            <w:shd w:val="clear" w:color="auto" w:fill="auto"/>
            <w:tcMar>
              <w:left w:w="20" w:type="dxa"/>
              <w:right w:w="20" w:type="dxa"/>
            </w:tcMar>
            <w:vAlign w:val="bottom"/>
          </w:tcPr>
          <w:p w14:paraId="33DAB361"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B362"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shd w:val="clear" w:color="auto" w:fill="auto"/>
          </w:tcPr>
          <w:p w14:paraId="33DAB363" w14:textId="77777777" w:rsidR="004D6A64" w:rsidRDefault="004D6A64">
            <w:pPr>
              <w:rPr>
                <w:rFonts w:ascii="宋体"/>
                <w:vanish/>
              </w:rPr>
            </w:pPr>
          </w:p>
        </w:tc>
        <w:tc>
          <w:tcPr>
            <w:tcW w:w="0" w:type="auto"/>
            <w:shd w:val="clear" w:color="auto" w:fill="auto"/>
          </w:tcPr>
          <w:p w14:paraId="33DAB364" w14:textId="77777777" w:rsidR="004D6A64" w:rsidRDefault="004D6A64">
            <w:pPr>
              <w:rPr>
                <w:rFonts w:ascii="宋体"/>
                <w:vanish/>
              </w:rPr>
            </w:pPr>
          </w:p>
        </w:tc>
      </w:tr>
      <w:tr w:rsidR="004D6A64" w14:paraId="33DAB36A" w14:textId="77777777">
        <w:trPr>
          <w:jc w:val="center"/>
        </w:trPr>
        <w:tc>
          <w:tcPr>
            <w:tcW w:w="0" w:type="auto"/>
            <w:gridSpan w:val="3"/>
            <w:shd w:val="clear" w:color="auto" w:fill="auto"/>
            <w:tcMar>
              <w:top w:w="40" w:type="dxa"/>
              <w:left w:w="20" w:type="dxa"/>
              <w:bottom w:w="40" w:type="dxa"/>
              <w:right w:w="20" w:type="dxa"/>
            </w:tcMar>
            <w:vAlign w:val="center"/>
          </w:tcPr>
          <w:p w14:paraId="33DAB366" w14:textId="77777777" w:rsidR="004D6A64" w:rsidRDefault="00506CD6">
            <w:pPr>
              <w:textAlignment w:val="center"/>
            </w:pPr>
            <w:r>
              <w:rPr>
                <w:rFonts w:ascii="Times New Roman" w:eastAsia="宋体" w:hAnsi="Times New Roman"/>
                <w:b/>
                <w:bCs/>
                <w:color w:val="000000"/>
                <w:sz w:val="20"/>
                <w:szCs w:val="20"/>
              </w:rPr>
              <w:t>Fiscal Years</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3DAB367" w14:textId="77777777" w:rsidR="004D6A64" w:rsidRDefault="00506CD6">
            <w:pPr>
              <w:jc w:val="center"/>
              <w:textAlignment w:val="center"/>
            </w:pPr>
            <w:r>
              <w:rPr>
                <w:rFonts w:ascii="Times New Roman" w:eastAsia="宋体" w:hAnsi="Times New Roman"/>
                <w:color w:val="000000"/>
                <w:sz w:val="20"/>
                <w:szCs w:val="20"/>
              </w:rPr>
              <w:t>(in millions)</w:t>
            </w:r>
          </w:p>
        </w:tc>
        <w:tc>
          <w:tcPr>
            <w:tcW w:w="0" w:type="auto"/>
            <w:shd w:val="clear" w:color="auto" w:fill="auto"/>
          </w:tcPr>
          <w:p w14:paraId="33DAB368" w14:textId="77777777" w:rsidR="004D6A64" w:rsidRDefault="004D6A64">
            <w:pPr>
              <w:rPr>
                <w:rFonts w:ascii="宋体"/>
                <w:vanish/>
              </w:rPr>
            </w:pPr>
          </w:p>
        </w:tc>
        <w:tc>
          <w:tcPr>
            <w:tcW w:w="0" w:type="auto"/>
            <w:shd w:val="clear" w:color="auto" w:fill="auto"/>
          </w:tcPr>
          <w:p w14:paraId="33DAB369" w14:textId="77777777" w:rsidR="004D6A64" w:rsidRDefault="004D6A64">
            <w:pPr>
              <w:rPr>
                <w:rFonts w:ascii="宋体"/>
                <w:vanish/>
              </w:rPr>
            </w:pPr>
          </w:p>
        </w:tc>
      </w:tr>
      <w:tr w:rsidR="004D6A64" w14:paraId="33DAB371" w14:textId="77777777">
        <w:trPr>
          <w:jc w:val="center"/>
        </w:trPr>
        <w:tc>
          <w:tcPr>
            <w:tcW w:w="0" w:type="auto"/>
            <w:gridSpan w:val="3"/>
            <w:shd w:val="clear" w:color="auto" w:fill="CCEEFF"/>
            <w:tcMar>
              <w:top w:w="40" w:type="dxa"/>
              <w:left w:w="20" w:type="dxa"/>
              <w:bottom w:w="40" w:type="dxa"/>
              <w:right w:w="20" w:type="dxa"/>
            </w:tcMar>
            <w:vAlign w:val="center"/>
          </w:tcPr>
          <w:p w14:paraId="33DAB36B" w14:textId="77777777" w:rsidR="004D6A64" w:rsidRDefault="00506CD6">
            <w:pPr>
              <w:textAlignment w:val="center"/>
            </w:pPr>
            <w:r>
              <w:rPr>
                <w:rFonts w:ascii="Times New Roman" w:eastAsia="宋体" w:hAnsi="Times New Roman"/>
                <w:color w:val="000000"/>
                <w:sz w:val="20"/>
                <w:szCs w:val="20"/>
              </w:rPr>
              <w:t>Fiscal 2021 (remaining six months)</w:t>
            </w:r>
          </w:p>
        </w:tc>
        <w:tc>
          <w:tcPr>
            <w:tcW w:w="0" w:type="auto"/>
            <w:shd w:val="clear" w:color="auto" w:fill="CCEEFF"/>
            <w:tcMar>
              <w:top w:w="40" w:type="dxa"/>
              <w:left w:w="20" w:type="dxa"/>
              <w:bottom w:w="40" w:type="dxa"/>
            </w:tcMar>
            <w:vAlign w:val="center"/>
          </w:tcPr>
          <w:p w14:paraId="33DAB36C"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B36D" w14:textId="77777777" w:rsidR="004D6A64" w:rsidRDefault="00506CD6">
            <w:pPr>
              <w:jc w:val="right"/>
              <w:textAlignment w:val="center"/>
            </w:pPr>
            <w:r>
              <w:rPr>
                <w:rFonts w:ascii="Times New Roman" w:eastAsia="宋体" w:hAnsi="Times New Roman"/>
                <w:color w:val="000000"/>
                <w:sz w:val="20"/>
                <w:szCs w:val="20"/>
              </w:rPr>
              <w:t>236 </w:t>
            </w:r>
          </w:p>
        </w:tc>
        <w:tc>
          <w:tcPr>
            <w:tcW w:w="0" w:type="auto"/>
            <w:shd w:val="clear" w:color="auto" w:fill="CCEEFF"/>
            <w:tcMar>
              <w:top w:w="40" w:type="dxa"/>
              <w:bottom w:w="40" w:type="dxa"/>
              <w:right w:w="20" w:type="dxa"/>
            </w:tcMar>
            <w:vAlign w:val="center"/>
          </w:tcPr>
          <w:p w14:paraId="33DAB36E" w14:textId="77777777" w:rsidR="004D6A64" w:rsidRDefault="004D6A64">
            <w:pPr>
              <w:jc w:val="right"/>
              <w:rPr>
                <w:rFonts w:ascii="宋体"/>
              </w:rPr>
            </w:pPr>
          </w:p>
        </w:tc>
        <w:tc>
          <w:tcPr>
            <w:tcW w:w="0" w:type="auto"/>
            <w:shd w:val="clear" w:color="auto" w:fill="auto"/>
          </w:tcPr>
          <w:p w14:paraId="33DAB36F" w14:textId="77777777" w:rsidR="004D6A64" w:rsidRDefault="004D6A64">
            <w:pPr>
              <w:rPr>
                <w:rFonts w:ascii="宋体"/>
                <w:vanish/>
              </w:rPr>
            </w:pPr>
          </w:p>
        </w:tc>
        <w:tc>
          <w:tcPr>
            <w:tcW w:w="0" w:type="auto"/>
            <w:shd w:val="clear" w:color="auto" w:fill="auto"/>
          </w:tcPr>
          <w:p w14:paraId="33DAB370" w14:textId="77777777" w:rsidR="004D6A64" w:rsidRDefault="004D6A64">
            <w:pPr>
              <w:rPr>
                <w:rFonts w:ascii="宋体"/>
                <w:vanish/>
              </w:rPr>
            </w:pPr>
          </w:p>
        </w:tc>
      </w:tr>
      <w:tr w:rsidR="004D6A64" w14:paraId="33DAB377" w14:textId="77777777">
        <w:trPr>
          <w:jc w:val="center"/>
        </w:trPr>
        <w:tc>
          <w:tcPr>
            <w:tcW w:w="0" w:type="auto"/>
            <w:gridSpan w:val="3"/>
            <w:shd w:val="clear" w:color="auto" w:fill="FFFFFF"/>
            <w:tcMar>
              <w:top w:w="40" w:type="dxa"/>
              <w:left w:w="20" w:type="dxa"/>
              <w:bottom w:w="40" w:type="dxa"/>
              <w:right w:w="20" w:type="dxa"/>
            </w:tcMar>
            <w:vAlign w:val="center"/>
          </w:tcPr>
          <w:p w14:paraId="33DAB372" w14:textId="77777777" w:rsidR="004D6A64" w:rsidRDefault="00506CD6">
            <w:pPr>
              <w:textAlignment w:val="center"/>
            </w:pPr>
            <w:r>
              <w:rPr>
                <w:rFonts w:ascii="Times New Roman" w:eastAsia="宋体" w:hAnsi="Times New Roman"/>
                <w:color w:val="000000"/>
                <w:sz w:val="20"/>
                <w:szCs w:val="20"/>
              </w:rPr>
              <w:t>Fiscal 2022</w:t>
            </w:r>
          </w:p>
        </w:tc>
        <w:tc>
          <w:tcPr>
            <w:tcW w:w="0" w:type="auto"/>
            <w:gridSpan w:val="2"/>
            <w:shd w:val="clear" w:color="auto" w:fill="FFFFFF"/>
            <w:tcMar>
              <w:top w:w="40" w:type="dxa"/>
              <w:left w:w="20" w:type="dxa"/>
              <w:bottom w:w="40" w:type="dxa"/>
              <w:right w:w="0" w:type="dxa"/>
            </w:tcMar>
            <w:vAlign w:val="center"/>
          </w:tcPr>
          <w:p w14:paraId="33DAB373" w14:textId="77777777" w:rsidR="004D6A64" w:rsidRDefault="00506CD6">
            <w:pPr>
              <w:jc w:val="right"/>
              <w:textAlignment w:val="center"/>
            </w:pPr>
            <w:r>
              <w:rPr>
                <w:rFonts w:ascii="Times New Roman" w:eastAsia="宋体" w:hAnsi="Times New Roman"/>
                <w:color w:val="000000"/>
                <w:sz w:val="20"/>
                <w:szCs w:val="20"/>
              </w:rPr>
              <w:t>440 </w:t>
            </w:r>
          </w:p>
        </w:tc>
        <w:tc>
          <w:tcPr>
            <w:tcW w:w="0" w:type="auto"/>
            <w:shd w:val="clear" w:color="auto" w:fill="FFFFFF"/>
            <w:tcMar>
              <w:top w:w="40" w:type="dxa"/>
              <w:bottom w:w="40" w:type="dxa"/>
              <w:right w:w="20" w:type="dxa"/>
            </w:tcMar>
            <w:vAlign w:val="center"/>
          </w:tcPr>
          <w:p w14:paraId="33DAB374" w14:textId="77777777" w:rsidR="004D6A64" w:rsidRDefault="004D6A64">
            <w:pPr>
              <w:jc w:val="right"/>
              <w:rPr>
                <w:rFonts w:ascii="宋体"/>
              </w:rPr>
            </w:pPr>
          </w:p>
        </w:tc>
        <w:tc>
          <w:tcPr>
            <w:tcW w:w="0" w:type="auto"/>
            <w:shd w:val="clear" w:color="auto" w:fill="auto"/>
          </w:tcPr>
          <w:p w14:paraId="33DAB375" w14:textId="77777777" w:rsidR="004D6A64" w:rsidRDefault="004D6A64">
            <w:pPr>
              <w:rPr>
                <w:rFonts w:ascii="宋体"/>
                <w:vanish/>
              </w:rPr>
            </w:pPr>
          </w:p>
        </w:tc>
        <w:tc>
          <w:tcPr>
            <w:tcW w:w="0" w:type="auto"/>
            <w:shd w:val="clear" w:color="auto" w:fill="auto"/>
          </w:tcPr>
          <w:p w14:paraId="33DAB376" w14:textId="77777777" w:rsidR="004D6A64" w:rsidRDefault="004D6A64">
            <w:pPr>
              <w:rPr>
                <w:rFonts w:ascii="宋体"/>
                <w:vanish/>
              </w:rPr>
            </w:pPr>
          </w:p>
        </w:tc>
      </w:tr>
      <w:tr w:rsidR="004D6A64" w14:paraId="33DAB37D" w14:textId="77777777">
        <w:trPr>
          <w:jc w:val="center"/>
        </w:trPr>
        <w:tc>
          <w:tcPr>
            <w:tcW w:w="0" w:type="auto"/>
            <w:gridSpan w:val="3"/>
            <w:shd w:val="clear" w:color="auto" w:fill="CCEEFF"/>
            <w:tcMar>
              <w:top w:w="40" w:type="dxa"/>
              <w:left w:w="20" w:type="dxa"/>
              <w:bottom w:w="40" w:type="dxa"/>
              <w:right w:w="20" w:type="dxa"/>
            </w:tcMar>
            <w:vAlign w:val="center"/>
          </w:tcPr>
          <w:p w14:paraId="33DAB378" w14:textId="77777777" w:rsidR="004D6A64" w:rsidRDefault="00506CD6">
            <w:pPr>
              <w:textAlignment w:val="center"/>
            </w:pPr>
            <w:r>
              <w:rPr>
                <w:rFonts w:ascii="Times New Roman" w:eastAsia="宋体" w:hAnsi="Times New Roman"/>
                <w:color w:val="000000"/>
                <w:sz w:val="20"/>
                <w:szCs w:val="20"/>
              </w:rPr>
              <w:t>Fiscal 2023</w:t>
            </w:r>
          </w:p>
        </w:tc>
        <w:tc>
          <w:tcPr>
            <w:tcW w:w="0" w:type="auto"/>
            <w:gridSpan w:val="2"/>
            <w:shd w:val="clear" w:color="auto" w:fill="CCEEFF"/>
            <w:tcMar>
              <w:top w:w="40" w:type="dxa"/>
              <w:left w:w="20" w:type="dxa"/>
              <w:bottom w:w="40" w:type="dxa"/>
              <w:right w:w="0" w:type="dxa"/>
            </w:tcMar>
            <w:vAlign w:val="center"/>
          </w:tcPr>
          <w:p w14:paraId="33DAB379" w14:textId="77777777" w:rsidR="004D6A64" w:rsidRDefault="00506CD6">
            <w:pPr>
              <w:jc w:val="right"/>
              <w:textAlignment w:val="center"/>
            </w:pPr>
            <w:r>
              <w:rPr>
                <w:rFonts w:ascii="Times New Roman" w:eastAsia="宋体" w:hAnsi="Times New Roman"/>
                <w:color w:val="000000"/>
                <w:sz w:val="20"/>
                <w:szCs w:val="20"/>
              </w:rPr>
              <w:t>346 </w:t>
            </w:r>
          </w:p>
        </w:tc>
        <w:tc>
          <w:tcPr>
            <w:tcW w:w="0" w:type="auto"/>
            <w:shd w:val="clear" w:color="auto" w:fill="CCEEFF"/>
            <w:tcMar>
              <w:top w:w="40" w:type="dxa"/>
              <w:bottom w:w="40" w:type="dxa"/>
              <w:right w:w="20" w:type="dxa"/>
            </w:tcMar>
            <w:vAlign w:val="center"/>
          </w:tcPr>
          <w:p w14:paraId="33DAB37A" w14:textId="77777777" w:rsidR="004D6A64" w:rsidRDefault="004D6A64">
            <w:pPr>
              <w:jc w:val="right"/>
              <w:rPr>
                <w:rFonts w:ascii="宋体"/>
              </w:rPr>
            </w:pPr>
          </w:p>
        </w:tc>
        <w:tc>
          <w:tcPr>
            <w:tcW w:w="0" w:type="auto"/>
            <w:shd w:val="clear" w:color="auto" w:fill="auto"/>
          </w:tcPr>
          <w:p w14:paraId="33DAB37B" w14:textId="77777777" w:rsidR="004D6A64" w:rsidRDefault="004D6A64">
            <w:pPr>
              <w:rPr>
                <w:rFonts w:ascii="宋体"/>
                <w:vanish/>
              </w:rPr>
            </w:pPr>
          </w:p>
        </w:tc>
        <w:tc>
          <w:tcPr>
            <w:tcW w:w="0" w:type="auto"/>
            <w:shd w:val="clear" w:color="auto" w:fill="auto"/>
          </w:tcPr>
          <w:p w14:paraId="33DAB37C" w14:textId="77777777" w:rsidR="004D6A64" w:rsidRDefault="004D6A64">
            <w:pPr>
              <w:rPr>
                <w:rFonts w:ascii="宋体"/>
                <w:vanish/>
              </w:rPr>
            </w:pPr>
          </w:p>
        </w:tc>
      </w:tr>
      <w:tr w:rsidR="004D6A64" w14:paraId="33DAB383" w14:textId="77777777">
        <w:trPr>
          <w:jc w:val="center"/>
        </w:trPr>
        <w:tc>
          <w:tcPr>
            <w:tcW w:w="0" w:type="auto"/>
            <w:gridSpan w:val="3"/>
            <w:shd w:val="clear" w:color="auto" w:fill="FFFFFF"/>
            <w:tcMar>
              <w:top w:w="40" w:type="dxa"/>
              <w:left w:w="20" w:type="dxa"/>
              <w:bottom w:w="40" w:type="dxa"/>
              <w:right w:w="20" w:type="dxa"/>
            </w:tcMar>
            <w:vAlign w:val="center"/>
          </w:tcPr>
          <w:p w14:paraId="33DAB37E" w14:textId="77777777" w:rsidR="004D6A64" w:rsidRDefault="00506CD6">
            <w:pPr>
              <w:textAlignment w:val="center"/>
            </w:pPr>
            <w:r>
              <w:rPr>
                <w:rFonts w:ascii="Times New Roman" w:eastAsia="宋体" w:hAnsi="Times New Roman"/>
                <w:color w:val="000000"/>
                <w:sz w:val="20"/>
                <w:szCs w:val="20"/>
              </w:rPr>
              <w:t>Fiscal 2024</w:t>
            </w:r>
          </w:p>
        </w:tc>
        <w:tc>
          <w:tcPr>
            <w:tcW w:w="0" w:type="auto"/>
            <w:gridSpan w:val="2"/>
            <w:shd w:val="clear" w:color="auto" w:fill="FFFFFF"/>
            <w:tcMar>
              <w:top w:w="40" w:type="dxa"/>
              <w:left w:w="20" w:type="dxa"/>
              <w:bottom w:w="40" w:type="dxa"/>
              <w:right w:w="0" w:type="dxa"/>
            </w:tcMar>
            <w:vAlign w:val="center"/>
          </w:tcPr>
          <w:p w14:paraId="33DAB37F" w14:textId="77777777" w:rsidR="004D6A64" w:rsidRDefault="00506CD6">
            <w:pPr>
              <w:jc w:val="right"/>
              <w:textAlignment w:val="center"/>
            </w:pPr>
            <w:r>
              <w:rPr>
                <w:rFonts w:ascii="Times New Roman" w:eastAsia="宋体" w:hAnsi="Times New Roman"/>
                <w:color w:val="000000"/>
                <w:sz w:val="20"/>
                <w:szCs w:val="20"/>
              </w:rPr>
              <w:t>239 </w:t>
            </w:r>
          </w:p>
        </w:tc>
        <w:tc>
          <w:tcPr>
            <w:tcW w:w="0" w:type="auto"/>
            <w:shd w:val="clear" w:color="auto" w:fill="FFFFFF"/>
            <w:tcMar>
              <w:top w:w="40" w:type="dxa"/>
              <w:bottom w:w="40" w:type="dxa"/>
              <w:right w:w="20" w:type="dxa"/>
            </w:tcMar>
            <w:vAlign w:val="center"/>
          </w:tcPr>
          <w:p w14:paraId="33DAB380" w14:textId="77777777" w:rsidR="004D6A64" w:rsidRDefault="004D6A64">
            <w:pPr>
              <w:jc w:val="right"/>
              <w:rPr>
                <w:rFonts w:ascii="宋体"/>
              </w:rPr>
            </w:pPr>
          </w:p>
        </w:tc>
        <w:tc>
          <w:tcPr>
            <w:tcW w:w="0" w:type="auto"/>
            <w:shd w:val="clear" w:color="auto" w:fill="auto"/>
          </w:tcPr>
          <w:p w14:paraId="33DAB381" w14:textId="77777777" w:rsidR="004D6A64" w:rsidRDefault="004D6A64">
            <w:pPr>
              <w:rPr>
                <w:rFonts w:ascii="宋体"/>
                <w:vanish/>
              </w:rPr>
            </w:pPr>
          </w:p>
        </w:tc>
        <w:tc>
          <w:tcPr>
            <w:tcW w:w="0" w:type="auto"/>
            <w:shd w:val="clear" w:color="auto" w:fill="auto"/>
          </w:tcPr>
          <w:p w14:paraId="33DAB382" w14:textId="77777777" w:rsidR="004D6A64" w:rsidRDefault="004D6A64">
            <w:pPr>
              <w:rPr>
                <w:rFonts w:ascii="宋体"/>
                <w:vanish/>
              </w:rPr>
            </w:pPr>
          </w:p>
        </w:tc>
      </w:tr>
      <w:tr w:rsidR="004D6A64" w14:paraId="33DAB389" w14:textId="77777777">
        <w:trPr>
          <w:jc w:val="center"/>
        </w:trPr>
        <w:tc>
          <w:tcPr>
            <w:tcW w:w="0" w:type="auto"/>
            <w:gridSpan w:val="3"/>
            <w:shd w:val="clear" w:color="auto" w:fill="CCEEFF"/>
            <w:tcMar>
              <w:top w:w="40" w:type="dxa"/>
              <w:left w:w="20" w:type="dxa"/>
              <w:bottom w:w="40" w:type="dxa"/>
              <w:right w:w="20" w:type="dxa"/>
            </w:tcMar>
            <w:vAlign w:val="center"/>
          </w:tcPr>
          <w:p w14:paraId="33DAB384" w14:textId="77777777" w:rsidR="004D6A64" w:rsidRDefault="00506CD6">
            <w:pPr>
              <w:textAlignment w:val="center"/>
            </w:pPr>
            <w:r>
              <w:rPr>
                <w:rFonts w:ascii="Times New Roman" w:eastAsia="宋体" w:hAnsi="Times New Roman"/>
                <w:color w:val="000000"/>
                <w:sz w:val="20"/>
                <w:szCs w:val="20"/>
              </w:rPr>
              <w:t>Fiscal 2025</w:t>
            </w:r>
          </w:p>
        </w:tc>
        <w:tc>
          <w:tcPr>
            <w:tcW w:w="0" w:type="auto"/>
            <w:gridSpan w:val="2"/>
            <w:shd w:val="clear" w:color="auto" w:fill="CCEEFF"/>
            <w:tcMar>
              <w:top w:w="40" w:type="dxa"/>
              <w:left w:w="20" w:type="dxa"/>
              <w:bottom w:w="40" w:type="dxa"/>
              <w:right w:w="0" w:type="dxa"/>
            </w:tcMar>
            <w:vAlign w:val="center"/>
          </w:tcPr>
          <w:p w14:paraId="33DAB385" w14:textId="77777777" w:rsidR="004D6A64" w:rsidRDefault="00506CD6">
            <w:pPr>
              <w:jc w:val="right"/>
              <w:textAlignment w:val="center"/>
            </w:pPr>
            <w:r>
              <w:rPr>
                <w:rFonts w:ascii="Times New Roman" w:eastAsia="宋体" w:hAnsi="Times New Roman"/>
                <w:color w:val="000000"/>
                <w:sz w:val="20"/>
                <w:szCs w:val="20"/>
              </w:rPr>
              <w:t>166 </w:t>
            </w:r>
          </w:p>
        </w:tc>
        <w:tc>
          <w:tcPr>
            <w:tcW w:w="0" w:type="auto"/>
            <w:shd w:val="clear" w:color="auto" w:fill="CCEEFF"/>
            <w:tcMar>
              <w:top w:w="40" w:type="dxa"/>
              <w:bottom w:w="40" w:type="dxa"/>
              <w:right w:w="20" w:type="dxa"/>
            </w:tcMar>
            <w:vAlign w:val="center"/>
          </w:tcPr>
          <w:p w14:paraId="33DAB386" w14:textId="77777777" w:rsidR="004D6A64" w:rsidRDefault="004D6A64">
            <w:pPr>
              <w:jc w:val="right"/>
              <w:rPr>
                <w:rFonts w:ascii="宋体"/>
              </w:rPr>
            </w:pPr>
          </w:p>
        </w:tc>
        <w:tc>
          <w:tcPr>
            <w:tcW w:w="0" w:type="auto"/>
            <w:shd w:val="clear" w:color="auto" w:fill="auto"/>
          </w:tcPr>
          <w:p w14:paraId="33DAB387" w14:textId="77777777" w:rsidR="004D6A64" w:rsidRDefault="004D6A64">
            <w:pPr>
              <w:rPr>
                <w:rFonts w:ascii="宋体"/>
                <w:vanish/>
              </w:rPr>
            </w:pPr>
          </w:p>
        </w:tc>
        <w:tc>
          <w:tcPr>
            <w:tcW w:w="0" w:type="auto"/>
            <w:shd w:val="clear" w:color="auto" w:fill="auto"/>
          </w:tcPr>
          <w:p w14:paraId="33DAB388" w14:textId="77777777" w:rsidR="004D6A64" w:rsidRDefault="004D6A64">
            <w:pPr>
              <w:rPr>
                <w:rFonts w:ascii="宋体"/>
                <w:vanish/>
              </w:rPr>
            </w:pPr>
          </w:p>
        </w:tc>
      </w:tr>
      <w:tr w:rsidR="004D6A64" w14:paraId="33DAB38F" w14:textId="77777777">
        <w:trPr>
          <w:jc w:val="center"/>
        </w:trPr>
        <w:tc>
          <w:tcPr>
            <w:tcW w:w="0" w:type="auto"/>
            <w:gridSpan w:val="3"/>
            <w:shd w:val="clear" w:color="auto" w:fill="FFFFFF"/>
            <w:tcMar>
              <w:top w:w="40" w:type="dxa"/>
              <w:left w:w="20" w:type="dxa"/>
              <w:bottom w:w="40" w:type="dxa"/>
              <w:right w:w="20" w:type="dxa"/>
            </w:tcMar>
            <w:vAlign w:val="center"/>
          </w:tcPr>
          <w:p w14:paraId="33DAB38A" w14:textId="77777777" w:rsidR="004D6A64" w:rsidRDefault="00506CD6">
            <w:pPr>
              <w:textAlignment w:val="center"/>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center"/>
          </w:tcPr>
          <w:p w14:paraId="33DAB38B" w14:textId="77777777" w:rsidR="004D6A64" w:rsidRDefault="00506CD6">
            <w:pPr>
              <w:jc w:val="right"/>
              <w:textAlignment w:val="center"/>
            </w:pPr>
            <w:r>
              <w:rPr>
                <w:rFonts w:ascii="Times New Roman" w:eastAsia="宋体" w:hAnsi="Times New Roman"/>
                <w:color w:val="000000"/>
                <w:sz w:val="20"/>
                <w:szCs w:val="20"/>
              </w:rPr>
              <w:t>730 </w:t>
            </w:r>
          </w:p>
        </w:tc>
        <w:tc>
          <w:tcPr>
            <w:tcW w:w="0" w:type="auto"/>
            <w:shd w:val="clear" w:color="auto" w:fill="FFFFFF"/>
            <w:tcMar>
              <w:top w:w="40" w:type="dxa"/>
              <w:bottom w:w="40" w:type="dxa"/>
              <w:right w:w="20" w:type="dxa"/>
            </w:tcMar>
            <w:vAlign w:val="center"/>
          </w:tcPr>
          <w:p w14:paraId="33DAB38C" w14:textId="77777777" w:rsidR="004D6A64" w:rsidRDefault="004D6A64">
            <w:pPr>
              <w:jc w:val="right"/>
              <w:rPr>
                <w:rFonts w:ascii="宋体"/>
              </w:rPr>
            </w:pPr>
          </w:p>
        </w:tc>
        <w:tc>
          <w:tcPr>
            <w:tcW w:w="0" w:type="auto"/>
            <w:shd w:val="clear" w:color="auto" w:fill="auto"/>
          </w:tcPr>
          <w:p w14:paraId="33DAB38D" w14:textId="77777777" w:rsidR="004D6A64" w:rsidRDefault="004D6A64">
            <w:pPr>
              <w:rPr>
                <w:rFonts w:ascii="宋体"/>
                <w:vanish/>
              </w:rPr>
            </w:pPr>
          </w:p>
        </w:tc>
        <w:tc>
          <w:tcPr>
            <w:tcW w:w="0" w:type="auto"/>
            <w:shd w:val="clear" w:color="auto" w:fill="auto"/>
          </w:tcPr>
          <w:p w14:paraId="33DAB38E" w14:textId="77777777" w:rsidR="004D6A64" w:rsidRDefault="004D6A64">
            <w:pPr>
              <w:rPr>
                <w:rFonts w:ascii="宋体"/>
                <w:vanish/>
              </w:rPr>
            </w:pPr>
          </w:p>
        </w:tc>
      </w:tr>
      <w:tr w:rsidR="004D6A64" w14:paraId="33DAB395" w14:textId="77777777">
        <w:trPr>
          <w:jc w:val="center"/>
        </w:trPr>
        <w:tc>
          <w:tcPr>
            <w:tcW w:w="0" w:type="auto"/>
            <w:gridSpan w:val="3"/>
            <w:shd w:val="clear" w:color="auto" w:fill="CCEEFF"/>
            <w:tcMar>
              <w:top w:w="40" w:type="dxa"/>
              <w:left w:w="135" w:type="dxa"/>
              <w:bottom w:w="40" w:type="dxa"/>
              <w:right w:w="20" w:type="dxa"/>
            </w:tcMar>
            <w:vAlign w:val="center"/>
          </w:tcPr>
          <w:p w14:paraId="33DAB390" w14:textId="77777777" w:rsidR="004D6A64" w:rsidRDefault="00506CD6">
            <w:pPr>
              <w:textAlignment w:val="center"/>
            </w:pPr>
            <w:r>
              <w:rPr>
                <w:rFonts w:ascii="Times New Roman" w:eastAsia="宋体" w:hAnsi="Times New Roman"/>
                <w:color w:val="000000"/>
                <w:sz w:val="20"/>
                <w:szCs w:val="20"/>
              </w:rPr>
              <w:t>Total lease payments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B391" w14:textId="77777777" w:rsidR="004D6A64" w:rsidRDefault="00506CD6">
            <w:pPr>
              <w:jc w:val="right"/>
              <w:textAlignment w:val="center"/>
            </w:pPr>
            <w:r>
              <w:rPr>
                <w:rFonts w:ascii="Times New Roman" w:eastAsia="宋体" w:hAnsi="Times New Roman"/>
                <w:color w:val="000000"/>
                <w:sz w:val="20"/>
                <w:szCs w:val="20"/>
              </w:rPr>
              <w:t>2,157 </w:t>
            </w:r>
          </w:p>
        </w:tc>
        <w:tc>
          <w:tcPr>
            <w:tcW w:w="0" w:type="auto"/>
            <w:tcBorders>
              <w:top w:val="single" w:sz="8" w:space="0" w:color="000000"/>
            </w:tcBorders>
            <w:shd w:val="clear" w:color="auto" w:fill="CCEEFF"/>
            <w:tcMar>
              <w:top w:w="40" w:type="dxa"/>
              <w:bottom w:w="40" w:type="dxa"/>
              <w:right w:w="20" w:type="dxa"/>
            </w:tcMar>
            <w:vAlign w:val="center"/>
          </w:tcPr>
          <w:p w14:paraId="33DAB392" w14:textId="77777777" w:rsidR="004D6A64" w:rsidRDefault="004D6A64">
            <w:pPr>
              <w:jc w:val="right"/>
              <w:rPr>
                <w:rFonts w:ascii="宋体"/>
              </w:rPr>
            </w:pPr>
          </w:p>
        </w:tc>
        <w:tc>
          <w:tcPr>
            <w:tcW w:w="0" w:type="auto"/>
            <w:shd w:val="clear" w:color="auto" w:fill="auto"/>
          </w:tcPr>
          <w:p w14:paraId="33DAB393" w14:textId="77777777" w:rsidR="004D6A64" w:rsidRDefault="004D6A64">
            <w:pPr>
              <w:rPr>
                <w:rFonts w:ascii="宋体"/>
                <w:vanish/>
              </w:rPr>
            </w:pPr>
          </w:p>
        </w:tc>
        <w:tc>
          <w:tcPr>
            <w:tcW w:w="0" w:type="auto"/>
            <w:shd w:val="clear" w:color="auto" w:fill="auto"/>
          </w:tcPr>
          <w:p w14:paraId="33DAB394" w14:textId="77777777" w:rsidR="004D6A64" w:rsidRDefault="004D6A64">
            <w:pPr>
              <w:rPr>
                <w:rFonts w:ascii="宋体"/>
                <w:vanish/>
              </w:rPr>
            </w:pPr>
          </w:p>
        </w:tc>
      </w:tr>
      <w:tr w:rsidR="004D6A64" w14:paraId="33DAB39B" w14:textId="77777777">
        <w:trPr>
          <w:jc w:val="center"/>
        </w:trPr>
        <w:tc>
          <w:tcPr>
            <w:tcW w:w="0" w:type="auto"/>
            <w:gridSpan w:val="3"/>
            <w:shd w:val="clear" w:color="auto" w:fill="FFFFFF"/>
            <w:tcMar>
              <w:top w:w="40" w:type="dxa"/>
              <w:left w:w="225" w:type="dxa"/>
              <w:bottom w:w="40" w:type="dxa"/>
              <w:right w:w="20" w:type="dxa"/>
            </w:tcMar>
            <w:vAlign w:val="center"/>
          </w:tcPr>
          <w:p w14:paraId="33DAB396" w14:textId="77777777" w:rsidR="004D6A64" w:rsidRDefault="00506CD6">
            <w:pPr>
              <w:textAlignment w:val="center"/>
            </w:pPr>
            <w:r>
              <w:rPr>
                <w:rFonts w:ascii="Times New Roman" w:eastAsia="宋体" w:hAnsi="Times New Roman"/>
                <w:color w:val="000000"/>
                <w:sz w:val="20"/>
                <w:szCs w:val="20"/>
              </w:rPr>
              <w:t>Less: Imputed interest</w:t>
            </w:r>
          </w:p>
        </w:tc>
        <w:tc>
          <w:tcPr>
            <w:tcW w:w="0" w:type="auto"/>
            <w:gridSpan w:val="2"/>
            <w:shd w:val="clear" w:color="auto" w:fill="FFFFFF"/>
            <w:tcMar>
              <w:top w:w="40" w:type="dxa"/>
              <w:left w:w="20" w:type="dxa"/>
              <w:bottom w:w="40" w:type="dxa"/>
              <w:right w:w="0" w:type="dxa"/>
            </w:tcMar>
            <w:vAlign w:val="center"/>
          </w:tcPr>
          <w:p w14:paraId="33DAB397" w14:textId="77777777" w:rsidR="004D6A64" w:rsidRDefault="00506CD6">
            <w:pPr>
              <w:jc w:val="right"/>
              <w:textAlignment w:val="center"/>
            </w:pPr>
            <w:r>
              <w:rPr>
                <w:rFonts w:ascii="Times New Roman" w:eastAsia="宋体" w:hAnsi="Times New Roman"/>
                <w:color w:val="000000"/>
                <w:sz w:val="20"/>
                <w:szCs w:val="20"/>
              </w:rPr>
              <w:t>(339)</w:t>
            </w:r>
          </w:p>
        </w:tc>
        <w:tc>
          <w:tcPr>
            <w:tcW w:w="0" w:type="auto"/>
            <w:shd w:val="clear" w:color="auto" w:fill="FFFFFF"/>
            <w:tcMar>
              <w:top w:w="40" w:type="dxa"/>
              <w:bottom w:w="40" w:type="dxa"/>
              <w:right w:w="20" w:type="dxa"/>
            </w:tcMar>
            <w:vAlign w:val="center"/>
          </w:tcPr>
          <w:p w14:paraId="33DAB398" w14:textId="77777777" w:rsidR="004D6A64" w:rsidRDefault="004D6A64">
            <w:pPr>
              <w:jc w:val="right"/>
              <w:rPr>
                <w:rFonts w:ascii="宋体"/>
              </w:rPr>
            </w:pPr>
          </w:p>
        </w:tc>
        <w:tc>
          <w:tcPr>
            <w:tcW w:w="0" w:type="auto"/>
            <w:shd w:val="clear" w:color="auto" w:fill="auto"/>
          </w:tcPr>
          <w:p w14:paraId="33DAB399" w14:textId="77777777" w:rsidR="004D6A64" w:rsidRDefault="004D6A64">
            <w:pPr>
              <w:rPr>
                <w:rFonts w:ascii="宋体"/>
                <w:vanish/>
              </w:rPr>
            </w:pPr>
          </w:p>
        </w:tc>
        <w:tc>
          <w:tcPr>
            <w:tcW w:w="0" w:type="auto"/>
            <w:shd w:val="clear" w:color="auto" w:fill="auto"/>
          </w:tcPr>
          <w:p w14:paraId="33DAB39A" w14:textId="77777777" w:rsidR="004D6A64" w:rsidRDefault="004D6A64">
            <w:pPr>
              <w:rPr>
                <w:rFonts w:ascii="宋体"/>
                <w:vanish/>
              </w:rPr>
            </w:pPr>
          </w:p>
        </w:tc>
      </w:tr>
      <w:tr w:rsidR="004D6A64" w14:paraId="33DAB3A2" w14:textId="77777777">
        <w:trPr>
          <w:jc w:val="center"/>
        </w:trPr>
        <w:tc>
          <w:tcPr>
            <w:tcW w:w="0" w:type="auto"/>
            <w:gridSpan w:val="3"/>
            <w:shd w:val="clear" w:color="auto" w:fill="CCEEFF"/>
            <w:tcMar>
              <w:top w:w="40" w:type="dxa"/>
              <w:left w:w="495" w:type="dxa"/>
              <w:bottom w:w="40" w:type="dxa"/>
              <w:right w:w="20" w:type="dxa"/>
            </w:tcMar>
            <w:vAlign w:val="center"/>
          </w:tcPr>
          <w:p w14:paraId="33DAB39C" w14:textId="77777777" w:rsidR="004D6A64" w:rsidRDefault="00506CD6">
            <w:pPr>
              <w:textAlignment w:val="center"/>
            </w:pPr>
            <w:r>
              <w:rPr>
                <w:rFonts w:ascii="Times New Roman" w:eastAsia="宋体" w:hAnsi="Times New Roman"/>
                <w:color w:val="000000"/>
                <w:sz w:val="20"/>
                <w:szCs w:val="20"/>
              </w:rPr>
              <w:t>Total</w:t>
            </w:r>
          </w:p>
        </w:tc>
        <w:tc>
          <w:tcPr>
            <w:tcW w:w="0" w:type="auto"/>
            <w:tcBorders>
              <w:top w:val="single" w:sz="8" w:space="0" w:color="000000"/>
            </w:tcBorders>
            <w:shd w:val="clear" w:color="auto" w:fill="CCEEFF"/>
            <w:tcMar>
              <w:top w:w="40" w:type="dxa"/>
              <w:left w:w="20" w:type="dxa"/>
              <w:bottom w:w="40" w:type="dxa"/>
            </w:tcMar>
            <w:vAlign w:val="center"/>
          </w:tcPr>
          <w:p w14:paraId="33DAB39D"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B39E" w14:textId="77777777" w:rsidR="004D6A64" w:rsidRDefault="00506CD6">
            <w:pPr>
              <w:jc w:val="right"/>
              <w:textAlignment w:val="center"/>
            </w:pPr>
            <w:r>
              <w:rPr>
                <w:rFonts w:ascii="Times New Roman" w:eastAsia="宋体" w:hAnsi="Times New Roman"/>
                <w:color w:val="000000"/>
                <w:sz w:val="20"/>
                <w:szCs w:val="20"/>
              </w:rPr>
              <w:t>1,818 </w:t>
            </w:r>
          </w:p>
        </w:tc>
        <w:tc>
          <w:tcPr>
            <w:tcW w:w="0" w:type="auto"/>
            <w:tcBorders>
              <w:top w:val="single" w:sz="8" w:space="0" w:color="000000"/>
            </w:tcBorders>
            <w:shd w:val="clear" w:color="auto" w:fill="CCEEFF"/>
            <w:tcMar>
              <w:top w:w="40" w:type="dxa"/>
              <w:bottom w:w="40" w:type="dxa"/>
              <w:right w:w="20" w:type="dxa"/>
            </w:tcMar>
            <w:vAlign w:val="center"/>
          </w:tcPr>
          <w:p w14:paraId="33DAB39F" w14:textId="77777777" w:rsidR="004D6A64" w:rsidRDefault="004D6A64">
            <w:pPr>
              <w:jc w:val="right"/>
              <w:rPr>
                <w:rFonts w:ascii="宋体"/>
              </w:rPr>
            </w:pPr>
          </w:p>
        </w:tc>
        <w:tc>
          <w:tcPr>
            <w:tcW w:w="0" w:type="auto"/>
            <w:shd w:val="clear" w:color="auto" w:fill="auto"/>
          </w:tcPr>
          <w:p w14:paraId="33DAB3A0" w14:textId="77777777" w:rsidR="004D6A64" w:rsidRDefault="004D6A64">
            <w:pPr>
              <w:rPr>
                <w:rFonts w:ascii="宋体"/>
                <w:vanish/>
              </w:rPr>
            </w:pPr>
          </w:p>
        </w:tc>
        <w:tc>
          <w:tcPr>
            <w:tcW w:w="0" w:type="auto"/>
            <w:shd w:val="clear" w:color="auto" w:fill="auto"/>
          </w:tcPr>
          <w:p w14:paraId="33DAB3A1" w14:textId="77777777" w:rsidR="004D6A64" w:rsidRDefault="004D6A64">
            <w:pPr>
              <w:rPr>
                <w:rFonts w:ascii="宋体"/>
                <w:vanish/>
              </w:rPr>
            </w:pPr>
          </w:p>
        </w:tc>
      </w:tr>
      <w:tr w:rsidR="004D6A64" w14:paraId="33DAB3A9" w14:textId="77777777">
        <w:trPr>
          <w:jc w:val="center"/>
        </w:trPr>
        <w:tc>
          <w:tcPr>
            <w:tcW w:w="0" w:type="auto"/>
            <w:gridSpan w:val="3"/>
            <w:shd w:val="clear" w:color="auto" w:fill="FFFFFF"/>
            <w:tcMar>
              <w:top w:w="40" w:type="dxa"/>
              <w:left w:w="585" w:type="dxa"/>
              <w:bottom w:w="40" w:type="dxa"/>
              <w:right w:w="20" w:type="dxa"/>
            </w:tcMar>
            <w:vAlign w:val="center"/>
          </w:tcPr>
          <w:p w14:paraId="33DAB3A3" w14:textId="77777777" w:rsidR="004D6A64" w:rsidRDefault="00506CD6">
            <w:pPr>
              <w:textAlignment w:val="center"/>
            </w:pPr>
            <w:r>
              <w:rPr>
                <w:rFonts w:ascii="Times New Roman" w:eastAsia="宋体" w:hAnsi="Times New Roman"/>
                <w:color w:val="000000"/>
                <w:sz w:val="20"/>
                <w:szCs w:val="20"/>
              </w:rPr>
              <w:t>Current operating lease liabilities</w:t>
            </w:r>
          </w:p>
        </w:tc>
        <w:tc>
          <w:tcPr>
            <w:tcW w:w="0" w:type="auto"/>
            <w:tcBorders>
              <w:top w:val="double" w:sz="6" w:space="0" w:color="000000"/>
            </w:tcBorders>
            <w:shd w:val="clear" w:color="auto" w:fill="FFFFFF"/>
            <w:tcMar>
              <w:top w:w="40" w:type="dxa"/>
              <w:left w:w="20" w:type="dxa"/>
              <w:bottom w:w="40" w:type="dxa"/>
            </w:tcMar>
            <w:vAlign w:val="center"/>
          </w:tcPr>
          <w:p w14:paraId="33DAB3A4" w14:textId="77777777" w:rsidR="004D6A64" w:rsidRDefault="00506CD6">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bottom w:w="40" w:type="dxa"/>
              <w:right w:w="0" w:type="dxa"/>
            </w:tcMar>
            <w:vAlign w:val="center"/>
          </w:tcPr>
          <w:p w14:paraId="33DAB3A5" w14:textId="77777777" w:rsidR="004D6A64" w:rsidRDefault="00506CD6">
            <w:pPr>
              <w:jc w:val="right"/>
              <w:textAlignment w:val="center"/>
            </w:pPr>
            <w:r>
              <w:rPr>
                <w:rFonts w:ascii="Times New Roman" w:eastAsia="宋体" w:hAnsi="Times New Roman"/>
                <w:color w:val="000000"/>
                <w:sz w:val="20"/>
                <w:szCs w:val="20"/>
              </w:rPr>
              <w:t>435 </w:t>
            </w:r>
          </w:p>
        </w:tc>
        <w:tc>
          <w:tcPr>
            <w:tcW w:w="0" w:type="auto"/>
            <w:tcBorders>
              <w:top w:val="double" w:sz="6" w:space="0" w:color="000000"/>
            </w:tcBorders>
            <w:shd w:val="clear" w:color="auto" w:fill="FFFFFF"/>
            <w:tcMar>
              <w:top w:w="40" w:type="dxa"/>
              <w:bottom w:w="40" w:type="dxa"/>
              <w:right w:w="20" w:type="dxa"/>
            </w:tcMar>
            <w:vAlign w:val="center"/>
          </w:tcPr>
          <w:p w14:paraId="33DAB3A6" w14:textId="77777777" w:rsidR="004D6A64" w:rsidRDefault="004D6A64">
            <w:pPr>
              <w:jc w:val="right"/>
              <w:rPr>
                <w:rFonts w:ascii="宋体"/>
              </w:rPr>
            </w:pPr>
          </w:p>
        </w:tc>
        <w:tc>
          <w:tcPr>
            <w:tcW w:w="0" w:type="auto"/>
            <w:shd w:val="clear" w:color="auto" w:fill="auto"/>
          </w:tcPr>
          <w:p w14:paraId="33DAB3A7" w14:textId="77777777" w:rsidR="004D6A64" w:rsidRDefault="004D6A64">
            <w:pPr>
              <w:rPr>
                <w:rFonts w:ascii="宋体"/>
                <w:vanish/>
              </w:rPr>
            </w:pPr>
          </w:p>
        </w:tc>
        <w:tc>
          <w:tcPr>
            <w:tcW w:w="0" w:type="auto"/>
            <w:shd w:val="clear" w:color="auto" w:fill="auto"/>
          </w:tcPr>
          <w:p w14:paraId="33DAB3A8" w14:textId="77777777" w:rsidR="004D6A64" w:rsidRDefault="004D6A64">
            <w:pPr>
              <w:rPr>
                <w:rFonts w:ascii="宋体"/>
                <w:vanish/>
              </w:rPr>
            </w:pPr>
          </w:p>
        </w:tc>
      </w:tr>
      <w:tr w:rsidR="004D6A64" w14:paraId="33DAB3B0" w14:textId="77777777">
        <w:trPr>
          <w:jc w:val="center"/>
        </w:trPr>
        <w:tc>
          <w:tcPr>
            <w:tcW w:w="0" w:type="auto"/>
            <w:gridSpan w:val="3"/>
            <w:shd w:val="clear" w:color="auto" w:fill="CCEEFF"/>
            <w:tcMar>
              <w:top w:w="40" w:type="dxa"/>
              <w:left w:w="585" w:type="dxa"/>
              <w:bottom w:w="40" w:type="dxa"/>
              <w:right w:w="20" w:type="dxa"/>
            </w:tcMar>
            <w:vAlign w:val="center"/>
          </w:tcPr>
          <w:p w14:paraId="33DAB3AA" w14:textId="77777777" w:rsidR="004D6A64" w:rsidRDefault="00506CD6">
            <w:pPr>
              <w:textAlignment w:val="center"/>
            </w:pPr>
            <w:r>
              <w:rPr>
                <w:rFonts w:ascii="Times New Roman" w:eastAsia="宋体" w:hAnsi="Times New Roman"/>
                <w:color w:val="000000"/>
                <w:sz w:val="20"/>
                <w:szCs w:val="20"/>
              </w:rPr>
              <w:t>Non-current operating lease liabilities</w:t>
            </w:r>
          </w:p>
        </w:tc>
        <w:tc>
          <w:tcPr>
            <w:tcW w:w="0" w:type="auto"/>
            <w:shd w:val="clear" w:color="auto" w:fill="CCEEFF"/>
            <w:tcMar>
              <w:top w:w="40" w:type="dxa"/>
              <w:left w:w="20" w:type="dxa"/>
              <w:bottom w:w="40" w:type="dxa"/>
            </w:tcMar>
            <w:vAlign w:val="center"/>
          </w:tcPr>
          <w:p w14:paraId="33DAB3AB"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B3AC" w14:textId="77777777" w:rsidR="004D6A64" w:rsidRDefault="00506CD6">
            <w:pPr>
              <w:jc w:val="right"/>
              <w:textAlignment w:val="center"/>
            </w:pPr>
            <w:r>
              <w:rPr>
                <w:rFonts w:ascii="Times New Roman" w:eastAsia="宋体" w:hAnsi="Times New Roman"/>
                <w:color w:val="000000"/>
                <w:sz w:val="20"/>
                <w:szCs w:val="20"/>
              </w:rPr>
              <w:t>1,383 </w:t>
            </w:r>
          </w:p>
        </w:tc>
        <w:tc>
          <w:tcPr>
            <w:tcW w:w="0" w:type="auto"/>
            <w:shd w:val="clear" w:color="auto" w:fill="CCEEFF"/>
            <w:tcMar>
              <w:top w:w="40" w:type="dxa"/>
              <w:bottom w:w="40" w:type="dxa"/>
              <w:right w:w="20" w:type="dxa"/>
            </w:tcMar>
            <w:vAlign w:val="center"/>
          </w:tcPr>
          <w:p w14:paraId="33DAB3AD" w14:textId="77777777" w:rsidR="004D6A64" w:rsidRDefault="004D6A64">
            <w:pPr>
              <w:jc w:val="right"/>
              <w:rPr>
                <w:rFonts w:ascii="宋体"/>
              </w:rPr>
            </w:pPr>
          </w:p>
        </w:tc>
        <w:tc>
          <w:tcPr>
            <w:tcW w:w="0" w:type="auto"/>
            <w:shd w:val="clear" w:color="auto" w:fill="auto"/>
          </w:tcPr>
          <w:p w14:paraId="33DAB3AE" w14:textId="77777777" w:rsidR="004D6A64" w:rsidRDefault="004D6A64">
            <w:pPr>
              <w:rPr>
                <w:rFonts w:ascii="宋体"/>
                <w:vanish/>
              </w:rPr>
            </w:pPr>
          </w:p>
        </w:tc>
        <w:tc>
          <w:tcPr>
            <w:tcW w:w="0" w:type="auto"/>
            <w:shd w:val="clear" w:color="auto" w:fill="auto"/>
          </w:tcPr>
          <w:p w14:paraId="33DAB3AF" w14:textId="77777777" w:rsidR="004D6A64" w:rsidRDefault="004D6A64">
            <w:pPr>
              <w:rPr>
                <w:rFonts w:ascii="宋体"/>
                <w:vanish/>
              </w:rPr>
            </w:pPr>
          </w:p>
        </w:tc>
      </w:tr>
    </w:tbl>
    <w:p w14:paraId="33DAB3B1" w14:textId="77777777" w:rsidR="004D6A64" w:rsidRDefault="004D6A64"/>
    <w:p w14:paraId="33DAB3B2" w14:textId="77777777" w:rsidR="004D6A64" w:rsidRDefault="00506CD6">
      <w:r>
        <w:rPr>
          <w:rFonts w:ascii="Times New Roman" w:eastAsia="宋体" w:hAnsi="Times New Roman"/>
          <w:color w:val="000000"/>
          <w:sz w:val="20"/>
          <w:szCs w:val="20"/>
        </w:rPr>
        <w:t xml:space="preserve">The amount of future lease commitments after Fiscal 2025 is primarily for the ground lease on VMware, Inc.’s Palo Alto, California headquarter facilities, which expires in Fiscal 2047. </w:t>
      </w:r>
    </w:p>
    <w:p w14:paraId="33DAB3B3" w14:textId="77777777" w:rsidR="004D6A64" w:rsidRDefault="004D6A64"/>
    <w:p w14:paraId="33DAB3B4" w14:textId="77777777" w:rsidR="004D6A64" w:rsidRDefault="00506CD6">
      <w:r>
        <w:rPr>
          <w:rFonts w:ascii="Times New Roman" w:eastAsia="宋体" w:hAnsi="Times New Roman"/>
          <w:color w:val="000000"/>
          <w:sz w:val="20"/>
          <w:szCs w:val="20"/>
        </w:rPr>
        <w:t>As of July 31, 2020, the Company has additional operating leases that</w:t>
      </w:r>
      <w:r>
        <w:rPr>
          <w:rFonts w:ascii="Times New Roman" w:eastAsia="宋体" w:hAnsi="Times New Roman"/>
          <w:color w:val="000000"/>
          <w:sz w:val="20"/>
          <w:szCs w:val="20"/>
        </w:rPr>
        <w:t xml:space="preserve"> have not yet commenced of $678 million. These operating leases will commence during Fiscal 2021 with lease terms of one year to 16 years.</w:t>
      </w:r>
    </w:p>
    <w:p w14:paraId="33DAB3B5" w14:textId="77777777" w:rsidR="004D6A64" w:rsidRDefault="004D6A64"/>
    <w:p w14:paraId="33DAB3B6" w14:textId="77777777" w:rsidR="004D6A64" w:rsidRDefault="004D6A64">
      <w:pPr>
        <w:jc w:val="center"/>
      </w:pPr>
    </w:p>
    <w:p w14:paraId="33DAB3B7" w14:textId="77777777" w:rsidR="004D6A64" w:rsidRDefault="00506CD6">
      <w:pPr>
        <w:jc w:val="center"/>
      </w:pPr>
      <w:r>
        <w:rPr>
          <w:rFonts w:ascii="Times New Roman" w:eastAsia="宋体" w:hAnsi="Times New Roman"/>
          <w:color w:val="000000"/>
          <w:sz w:val="20"/>
          <w:szCs w:val="20"/>
        </w:rPr>
        <w:t>31</w:t>
      </w:r>
    </w:p>
    <w:p w14:paraId="33DAB3B8" w14:textId="77777777" w:rsidR="004D6A64" w:rsidRDefault="004D6A64">
      <w:pPr>
        <w:jc w:val="center"/>
      </w:pPr>
    </w:p>
    <w:p w14:paraId="33DAB3B9" w14:textId="77777777" w:rsidR="004D6A64" w:rsidRDefault="00506CD6">
      <w:r>
        <w:pict w14:anchorId="33DAFAE3">
          <v:rect id="_x0000_i1055" style="width:415.3pt;height:1.5pt" o:hralign="center" o:hrstd="t" o:hr="t" fillcolor="#a0a0a0" stroked="f"/>
        </w:pict>
      </w:r>
    </w:p>
    <w:p w14:paraId="33DAB3BA" w14:textId="77777777" w:rsidR="004D6A64" w:rsidRDefault="00506CD6">
      <w:hyperlink r:id="rId154" w:anchor="if3e0e1bf9ecd4bf69551d7a85f98d64a_10" w:history="1">
        <w:r>
          <w:rPr>
            <w:rStyle w:val="a5"/>
            <w:rFonts w:ascii="Times New Roman" w:eastAsia="宋体" w:hAnsi="Times New Roman"/>
            <w:sz w:val="20"/>
            <w:szCs w:val="20"/>
          </w:rPr>
          <w:t>Table of Contents</w:t>
        </w:r>
      </w:hyperlink>
    </w:p>
    <w:p w14:paraId="33DAB3BB"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B3BC"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33DAB3BD"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B3BE" w14:textId="77777777" w:rsidR="004D6A64" w:rsidRDefault="004D6A64">
      <w:pPr>
        <w:jc w:val="center"/>
      </w:pPr>
    </w:p>
    <w:p w14:paraId="33DAB3BF" w14:textId="77777777" w:rsidR="004D6A64" w:rsidRDefault="00506CD6">
      <w:pPr>
        <w:spacing w:after="120"/>
      </w:pPr>
      <w:r>
        <w:rPr>
          <w:rFonts w:ascii="Times New Roman" w:eastAsia="宋体" w:hAnsi="Times New Roman"/>
          <w:b/>
          <w:bCs/>
          <w:color w:val="000000"/>
          <w:sz w:val="20"/>
          <w:szCs w:val="20"/>
        </w:rPr>
        <w:t xml:space="preserve">NOTE 6 — DEBT </w:t>
      </w:r>
    </w:p>
    <w:p w14:paraId="33DAB3C0" w14:textId="77777777" w:rsidR="004D6A64" w:rsidRDefault="00506CD6">
      <w:pPr>
        <w:spacing w:after="180"/>
      </w:pPr>
      <w:r>
        <w:rPr>
          <w:rFonts w:ascii="Times New Roman" w:eastAsia="宋体" w:hAnsi="Times New Roman"/>
          <w:color w:val="000000"/>
          <w:sz w:val="20"/>
          <w:szCs w:val="20"/>
        </w:rPr>
        <w:t xml:space="preserve">The following table presents the Company’s outstanding debt as of the </w:t>
      </w:r>
      <w:r>
        <w:rPr>
          <w:rFonts w:ascii="Times New Roman" w:eastAsia="宋体" w:hAnsi="Times New Roman"/>
          <w:color w:val="000000"/>
          <w:sz w:val="20"/>
          <w:szCs w:val="20"/>
        </w:rPr>
        <w:t>dates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4736"/>
        <w:gridCol w:w="38"/>
        <w:gridCol w:w="135"/>
        <w:gridCol w:w="1423"/>
        <w:gridCol w:w="41"/>
        <w:gridCol w:w="36"/>
        <w:gridCol w:w="36"/>
        <w:gridCol w:w="36"/>
        <w:gridCol w:w="135"/>
        <w:gridCol w:w="1424"/>
        <w:gridCol w:w="41"/>
        <w:gridCol w:w="36"/>
        <w:gridCol w:w="36"/>
        <w:gridCol w:w="36"/>
        <w:gridCol w:w="36"/>
        <w:gridCol w:w="36"/>
        <w:gridCol w:w="36"/>
      </w:tblGrid>
      <w:tr w:rsidR="004D6A64" w14:paraId="33DAB3CD" w14:textId="77777777">
        <w:trPr>
          <w:gridAfter w:val="6"/>
        </w:trPr>
        <w:tc>
          <w:tcPr>
            <w:tcW w:w="50" w:type="pct"/>
            <w:shd w:val="clear" w:color="auto" w:fill="auto"/>
          </w:tcPr>
          <w:p w14:paraId="33DAB3C1" w14:textId="77777777" w:rsidR="004D6A64" w:rsidRDefault="004D6A64">
            <w:pPr>
              <w:rPr>
                <w:rFonts w:ascii="宋体"/>
              </w:rPr>
            </w:pPr>
          </w:p>
        </w:tc>
        <w:tc>
          <w:tcPr>
            <w:tcW w:w="2971" w:type="pct"/>
            <w:shd w:val="clear" w:color="auto" w:fill="auto"/>
          </w:tcPr>
          <w:p w14:paraId="33DAB3C2" w14:textId="77777777" w:rsidR="004D6A64" w:rsidRDefault="004D6A64">
            <w:pPr>
              <w:rPr>
                <w:rFonts w:ascii="宋体"/>
              </w:rPr>
            </w:pPr>
          </w:p>
        </w:tc>
        <w:tc>
          <w:tcPr>
            <w:tcW w:w="5" w:type="pct"/>
            <w:shd w:val="clear" w:color="auto" w:fill="auto"/>
          </w:tcPr>
          <w:p w14:paraId="33DAB3C3" w14:textId="77777777" w:rsidR="004D6A64" w:rsidRDefault="004D6A64">
            <w:pPr>
              <w:rPr>
                <w:rFonts w:ascii="宋体"/>
              </w:rPr>
            </w:pPr>
          </w:p>
        </w:tc>
        <w:tc>
          <w:tcPr>
            <w:tcW w:w="50" w:type="pct"/>
            <w:shd w:val="clear" w:color="auto" w:fill="auto"/>
          </w:tcPr>
          <w:p w14:paraId="33DAB3C4" w14:textId="77777777" w:rsidR="004D6A64" w:rsidRDefault="004D6A64">
            <w:pPr>
              <w:rPr>
                <w:rFonts w:ascii="宋体"/>
              </w:rPr>
            </w:pPr>
          </w:p>
        </w:tc>
        <w:tc>
          <w:tcPr>
            <w:tcW w:w="917" w:type="pct"/>
            <w:shd w:val="clear" w:color="auto" w:fill="auto"/>
          </w:tcPr>
          <w:p w14:paraId="33DAB3C5" w14:textId="77777777" w:rsidR="004D6A64" w:rsidRDefault="004D6A64">
            <w:pPr>
              <w:rPr>
                <w:rFonts w:ascii="宋体"/>
              </w:rPr>
            </w:pPr>
          </w:p>
        </w:tc>
        <w:tc>
          <w:tcPr>
            <w:tcW w:w="5" w:type="pct"/>
            <w:shd w:val="clear" w:color="auto" w:fill="auto"/>
          </w:tcPr>
          <w:p w14:paraId="33DAB3C6" w14:textId="77777777" w:rsidR="004D6A64" w:rsidRDefault="004D6A64">
            <w:pPr>
              <w:rPr>
                <w:rFonts w:ascii="宋体"/>
              </w:rPr>
            </w:pPr>
          </w:p>
        </w:tc>
        <w:tc>
          <w:tcPr>
            <w:tcW w:w="5" w:type="pct"/>
            <w:shd w:val="clear" w:color="auto" w:fill="auto"/>
          </w:tcPr>
          <w:p w14:paraId="33DAB3C7" w14:textId="77777777" w:rsidR="004D6A64" w:rsidRDefault="004D6A64">
            <w:pPr>
              <w:rPr>
                <w:rFonts w:ascii="宋体"/>
              </w:rPr>
            </w:pPr>
          </w:p>
        </w:tc>
        <w:tc>
          <w:tcPr>
            <w:tcW w:w="19" w:type="pct"/>
            <w:shd w:val="clear" w:color="auto" w:fill="auto"/>
          </w:tcPr>
          <w:p w14:paraId="33DAB3C8" w14:textId="77777777" w:rsidR="004D6A64" w:rsidRDefault="004D6A64">
            <w:pPr>
              <w:rPr>
                <w:rFonts w:ascii="宋体"/>
              </w:rPr>
            </w:pPr>
          </w:p>
        </w:tc>
        <w:tc>
          <w:tcPr>
            <w:tcW w:w="5" w:type="pct"/>
            <w:shd w:val="clear" w:color="auto" w:fill="auto"/>
          </w:tcPr>
          <w:p w14:paraId="33DAB3C9" w14:textId="77777777" w:rsidR="004D6A64" w:rsidRDefault="004D6A64">
            <w:pPr>
              <w:rPr>
                <w:rFonts w:ascii="宋体"/>
              </w:rPr>
            </w:pPr>
          </w:p>
        </w:tc>
        <w:tc>
          <w:tcPr>
            <w:tcW w:w="50" w:type="pct"/>
            <w:shd w:val="clear" w:color="auto" w:fill="auto"/>
          </w:tcPr>
          <w:p w14:paraId="33DAB3CA" w14:textId="77777777" w:rsidR="004D6A64" w:rsidRDefault="004D6A64">
            <w:pPr>
              <w:rPr>
                <w:rFonts w:ascii="宋体"/>
              </w:rPr>
            </w:pPr>
          </w:p>
        </w:tc>
        <w:tc>
          <w:tcPr>
            <w:tcW w:w="917" w:type="pct"/>
            <w:shd w:val="clear" w:color="auto" w:fill="auto"/>
          </w:tcPr>
          <w:p w14:paraId="33DAB3CB" w14:textId="77777777" w:rsidR="004D6A64" w:rsidRDefault="004D6A64">
            <w:pPr>
              <w:rPr>
                <w:rFonts w:ascii="宋体"/>
              </w:rPr>
            </w:pPr>
          </w:p>
        </w:tc>
        <w:tc>
          <w:tcPr>
            <w:tcW w:w="5" w:type="pct"/>
            <w:shd w:val="clear" w:color="auto" w:fill="auto"/>
          </w:tcPr>
          <w:p w14:paraId="33DAB3CC" w14:textId="77777777" w:rsidR="004D6A64" w:rsidRDefault="004D6A64">
            <w:pPr>
              <w:rPr>
                <w:rFonts w:ascii="宋体"/>
              </w:rPr>
            </w:pPr>
          </w:p>
        </w:tc>
      </w:tr>
      <w:tr w:rsidR="004D6A64" w14:paraId="33DAB3D2" w14:textId="77777777">
        <w:trPr>
          <w:gridAfter w:val="6"/>
        </w:trPr>
        <w:tc>
          <w:tcPr>
            <w:tcW w:w="0" w:type="auto"/>
            <w:gridSpan w:val="3"/>
            <w:shd w:val="clear" w:color="auto" w:fill="auto"/>
            <w:tcMar>
              <w:top w:w="40" w:type="dxa"/>
              <w:left w:w="20" w:type="dxa"/>
              <w:bottom w:w="40" w:type="dxa"/>
              <w:right w:w="20" w:type="dxa"/>
            </w:tcMar>
            <w:vAlign w:val="bottom"/>
          </w:tcPr>
          <w:p w14:paraId="33DAB3CE" w14:textId="77777777" w:rsidR="004D6A64" w:rsidRDefault="00506CD6">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33DAB3CF"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shd w:val="clear" w:color="auto" w:fill="auto"/>
            <w:tcMar>
              <w:left w:w="20" w:type="dxa"/>
              <w:right w:w="20" w:type="dxa"/>
            </w:tcMar>
            <w:vAlign w:val="bottom"/>
          </w:tcPr>
          <w:p w14:paraId="33DAB3D0" w14:textId="77777777" w:rsidR="004D6A64" w:rsidRDefault="004D6A6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3DAB3D1" w14:textId="77777777" w:rsidR="004D6A64" w:rsidRDefault="00506CD6">
            <w:pPr>
              <w:jc w:val="center"/>
              <w:textAlignment w:val="bottom"/>
            </w:pPr>
            <w:r>
              <w:rPr>
                <w:rFonts w:ascii="Times New Roman" w:eastAsia="宋体" w:hAnsi="Times New Roman"/>
                <w:b/>
                <w:bCs/>
                <w:color w:val="000000"/>
                <w:sz w:val="20"/>
                <w:szCs w:val="20"/>
              </w:rPr>
              <w:t>January 31, 2020</w:t>
            </w:r>
          </w:p>
        </w:tc>
      </w:tr>
      <w:tr w:rsidR="004D6A64" w14:paraId="33DAB3D7" w14:textId="77777777">
        <w:tc>
          <w:tcPr>
            <w:tcW w:w="0" w:type="auto"/>
            <w:gridSpan w:val="3"/>
            <w:shd w:val="clear" w:color="auto" w:fill="auto"/>
            <w:tcMar>
              <w:left w:w="20" w:type="dxa"/>
              <w:right w:w="20" w:type="dxa"/>
            </w:tcMar>
            <w:vAlign w:val="bottom"/>
          </w:tcPr>
          <w:p w14:paraId="33DAB3D3" w14:textId="77777777" w:rsidR="004D6A64" w:rsidRDefault="004D6A64">
            <w:pPr>
              <w:rPr>
                <w:rFonts w:ascii="宋体"/>
              </w:rPr>
            </w:pPr>
          </w:p>
        </w:tc>
        <w:tc>
          <w:tcPr>
            <w:tcW w:w="0" w:type="auto"/>
            <w:gridSpan w:val="9"/>
            <w:tcBorders>
              <w:top w:val="single" w:sz="8" w:space="0" w:color="000000"/>
            </w:tcBorders>
            <w:shd w:val="clear" w:color="auto" w:fill="FFFFFF"/>
            <w:tcMar>
              <w:top w:w="40" w:type="dxa"/>
              <w:left w:w="20" w:type="dxa"/>
              <w:bottom w:w="40" w:type="dxa"/>
              <w:right w:w="20" w:type="dxa"/>
            </w:tcMar>
            <w:vAlign w:val="center"/>
          </w:tcPr>
          <w:p w14:paraId="33DAB3D4" w14:textId="77777777" w:rsidR="004D6A64" w:rsidRDefault="00506CD6">
            <w:pPr>
              <w:jc w:val="center"/>
              <w:textAlignment w:val="center"/>
            </w:pPr>
            <w:r>
              <w:rPr>
                <w:rFonts w:ascii="Times New Roman" w:eastAsia="宋体" w:hAnsi="Times New Roman"/>
                <w:color w:val="000000"/>
                <w:sz w:val="20"/>
                <w:szCs w:val="20"/>
              </w:rPr>
              <w:t>(in millions)</w:t>
            </w:r>
          </w:p>
        </w:tc>
        <w:tc>
          <w:tcPr>
            <w:tcW w:w="0" w:type="auto"/>
            <w:gridSpan w:val="3"/>
            <w:shd w:val="clear" w:color="auto" w:fill="auto"/>
          </w:tcPr>
          <w:p w14:paraId="33DAB3D5" w14:textId="77777777" w:rsidR="004D6A64" w:rsidRDefault="004D6A64">
            <w:pPr>
              <w:rPr>
                <w:rFonts w:ascii="宋体"/>
                <w:vanish/>
              </w:rPr>
            </w:pPr>
          </w:p>
        </w:tc>
        <w:tc>
          <w:tcPr>
            <w:tcW w:w="0" w:type="auto"/>
            <w:gridSpan w:val="3"/>
            <w:shd w:val="clear" w:color="auto" w:fill="auto"/>
          </w:tcPr>
          <w:p w14:paraId="33DAB3D6" w14:textId="77777777" w:rsidR="004D6A64" w:rsidRDefault="004D6A64">
            <w:pPr>
              <w:rPr>
                <w:rFonts w:ascii="宋体"/>
                <w:vanish/>
              </w:rPr>
            </w:pPr>
          </w:p>
        </w:tc>
      </w:tr>
      <w:tr w:rsidR="004D6A64" w14:paraId="33DAB3E2" w14:textId="77777777">
        <w:tc>
          <w:tcPr>
            <w:tcW w:w="0" w:type="auto"/>
            <w:gridSpan w:val="3"/>
            <w:shd w:val="clear" w:color="auto" w:fill="CCEEFF"/>
            <w:tcMar>
              <w:top w:w="40" w:type="dxa"/>
              <w:left w:w="20" w:type="dxa"/>
              <w:bottom w:w="40" w:type="dxa"/>
              <w:right w:w="20" w:type="dxa"/>
            </w:tcMar>
            <w:vAlign w:val="center"/>
          </w:tcPr>
          <w:p w14:paraId="33DAB3D8" w14:textId="77777777" w:rsidR="004D6A64" w:rsidRDefault="00506CD6">
            <w:pPr>
              <w:textAlignment w:val="center"/>
            </w:pPr>
            <w:r>
              <w:rPr>
                <w:rFonts w:ascii="Times New Roman" w:eastAsia="宋体" w:hAnsi="Times New Roman"/>
                <w:b/>
                <w:bCs/>
                <w:color w:val="000000"/>
                <w:sz w:val="20"/>
                <w:szCs w:val="20"/>
              </w:rPr>
              <w:t xml:space="preserve">Secured Debt </w:t>
            </w:r>
          </w:p>
        </w:tc>
        <w:tc>
          <w:tcPr>
            <w:tcW w:w="0" w:type="auto"/>
            <w:gridSpan w:val="3"/>
            <w:shd w:val="clear" w:color="auto" w:fill="CCEEFF"/>
            <w:tcMar>
              <w:left w:w="20" w:type="dxa"/>
              <w:right w:w="20" w:type="dxa"/>
            </w:tcMar>
            <w:vAlign w:val="bottom"/>
          </w:tcPr>
          <w:p w14:paraId="33DAB3D9"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3DA"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3DB" w14:textId="77777777" w:rsidR="004D6A64" w:rsidRDefault="004D6A64">
            <w:pPr>
              <w:rPr>
                <w:rFonts w:ascii="宋体"/>
              </w:rPr>
            </w:pPr>
          </w:p>
        </w:tc>
        <w:tc>
          <w:tcPr>
            <w:tcW w:w="0" w:type="auto"/>
            <w:shd w:val="clear" w:color="auto" w:fill="auto"/>
          </w:tcPr>
          <w:p w14:paraId="33DAB3DC" w14:textId="77777777" w:rsidR="004D6A64" w:rsidRDefault="004D6A64">
            <w:pPr>
              <w:rPr>
                <w:rFonts w:ascii="宋体"/>
              </w:rPr>
            </w:pPr>
          </w:p>
        </w:tc>
        <w:tc>
          <w:tcPr>
            <w:tcW w:w="0" w:type="auto"/>
            <w:shd w:val="clear" w:color="auto" w:fill="auto"/>
          </w:tcPr>
          <w:p w14:paraId="33DAB3DD" w14:textId="77777777" w:rsidR="004D6A64" w:rsidRDefault="004D6A64">
            <w:pPr>
              <w:rPr>
                <w:rFonts w:ascii="宋体"/>
              </w:rPr>
            </w:pPr>
          </w:p>
        </w:tc>
        <w:tc>
          <w:tcPr>
            <w:tcW w:w="0" w:type="auto"/>
            <w:shd w:val="clear" w:color="auto" w:fill="auto"/>
          </w:tcPr>
          <w:p w14:paraId="33DAB3DE" w14:textId="77777777" w:rsidR="004D6A64" w:rsidRDefault="004D6A64">
            <w:pPr>
              <w:rPr>
                <w:rFonts w:ascii="宋体"/>
              </w:rPr>
            </w:pPr>
          </w:p>
        </w:tc>
        <w:tc>
          <w:tcPr>
            <w:tcW w:w="0" w:type="auto"/>
            <w:shd w:val="clear" w:color="auto" w:fill="auto"/>
          </w:tcPr>
          <w:p w14:paraId="33DAB3DF" w14:textId="77777777" w:rsidR="004D6A64" w:rsidRDefault="004D6A64">
            <w:pPr>
              <w:rPr>
                <w:rFonts w:ascii="宋体"/>
              </w:rPr>
            </w:pPr>
          </w:p>
        </w:tc>
        <w:tc>
          <w:tcPr>
            <w:tcW w:w="0" w:type="auto"/>
            <w:shd w:val="clear" w:color="auto" w:fill="auto"/>
          </w:tcPr>
          <w:p w14:paraId="33DAB3E0" w14:textId="77777777" w:rsidR="004D6A64" w:rsidRDefault="004D6A64">
            <w:pPr>
              <w:rPr>
                <w:rFonts w:ascii="宋体"/>
              </w:rPr>
            </w:pPr>
          </w:p>
        </w:tc>
        <w:tc>
          <w:tcPr>
            <w:tcW w:w="0" w:type="auto"/>
            <w:shd w:val="clear" w:color="auto" w:fill="auto"/>
          </w:tcPr>
          <w:p w14:paraId="33DAB3E1" w14:textId="77777777" w:rsidR="004D6A64" w:rsidRDefault="004D6A64">
            <w:pPr>
              <w:rPr>
                <w:rFonts w:ascii="宋体"/>
              </w:rPr>
            </w:pPr>
          </w:p>
        </w:tc>
      </w:tr>
      <w:tr w:rsidR="004D6A64" w14:paraId="33DAB3ED" w14:textId="77777777">
        <w:tc>
          <w:tcPr>
            <w:tcW w:w="0" w:type="auto"/>
            <w:gridSpan w:val="3"/>
            <w:shd w:val="clear" w:color="auto" w:fill="FFFFFF"/>
            <w:tcMar>
              <w:top w:w="40" w:type="dxa"/>
              <w:left w:w="135" w:type="dxa"/>
              <w:bottom w:w="40" w:type="dxa"/>
              <w:right w:w="20" w:type="dxa"/>
            </w:tcMar>
            <w:vAlign w:val="center"/>
          </w:tcPr>
          <w:p w14:paraId="33DAB3E3" w14:textId="77777777" w:rsidR="004D6A64" w:rsidRDefault="00506CD6">
            <w:pPr>
              <w:textAlignment w:val="center"/>
            </w:pPr>
            <w:r>
              <w:rPr>
                <w:rFonts w:ascii="Times New Roman" w:eastAsia="宋体" w:hAnsi="Times New Roman"/>
                <w:color w:val="000000"/>
                <w:sz w:val="20"/>
                <w:szCs w:val="20"/>
              </w:rPr>
              <w:t>Senior Secured Credit Facilities:</w:t>
            </w:r>
          </w:p>
        </w:tc>
        <w:tc>
          <w:tcPr>
            <w:tcW w:w="0" w:type="auto"/>
            <w:gridSpan w:val="3"/>
            <w:shd w:val="clear" w:color="auto" w:fill="FFFFFF"/>
            <w:tcMar>
              <w:left w:w="20" w:type="dxa"/>
              <w:right w:w="20" w:type="dxa"/>
            </w:tcMar>
            <w:vAlign w:val="bottom"/>
          </w:tcPr>
          <w:p w14:paraId="33DAB3E4"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3E5"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3E6" w14:textId="77777777" w:rsidR="004D6A64" w:rsidRDefault="004D6A64">
            <w:pPr>
              <w:rPr>
                <w:rFonts w:ascii="宋体"/>
              </w:rPr>
            </w:pPr>
          </w:p>
        </w:tc>
        <w:tc>
          <w:tcPr>
            <w:tcW w:w="0" w:type="auto"/>
            <w:shd w:val="clear" w:color="auto" w:fill="auto"/>
          </w:tcPr>
          <w:p w14:paraId="33DAB3E7" w14:textId="77777777" w:rsidR="004D6A64" w:rsidRDefault="004D6A64">
            <w:pPr>
              <w:rPr>
                <w:rFonts w:ascii="宋体"/>
              </w:rPr>
            </w:pPr>
          </w:p>
        </w:tc>
        <w:tc>
          <w:tcPr>
            <w:tcW w:w="0" w:type="auto"/>
            <w:shd w:val="clear" w:color="auto" w:fill="auto"/>
          </w:tcPr>
          <w:p w14:paraId="33DAB3E8" w14:textId="77777777" w:rsidR="004D6A64" w:rsidRDefault="004D6A64">
            <w:pPr>
              <w:rPr>
                <w:rFonts w:ascii="宋体"/>
              </w:rPr>
            </w:pPr>
          </w:p>
        </w:tc>
        <w:tc>
          <w:tcPr>
            <w:tcW w:w="0" w:type="auto"/>
            <w:shd w:val="clear" w:color="auto" w:fill="auto"/>
          </w:tcPr>
          <w:p w14:paraId="33DAB3E9" w14:textId="77777777" w:rsidR="004D6A64" w:rsidRDefault="004D6A64">
            <w:pPr>
              <w:rPr>
                <w:rFonts w:ascii="宋体"/>
              </w:rPr>
            </w:pPr>
          </w:p>
        </w:tc>
        <w:tc>
          <w:tcPr>
            <w:tcW w:w="0" w:type="auto"/>
            <w:shd w:val="clear" w:color="auto" w:fill="auto"/>
          </w:tcPr>
          <w:p w14:paraId="33DAB3EA" w14:textId="77777777" w:rsidR="004D6A64" w:rsidRDefault="004D6A64">
            <w:pPr>
              <w:rPr>
                <w:rFonts w:ascii="宋体"/>
              </w:rPr>
            </w:pPr>
          </w:p>
        </w:tc>
        <w:tc>
          <w:tcPr>
            <w:tcW w:w="0" w:type="auto"/>
            <w:shd w:val="clear" w:color="auto" w:fill="auto"/>
          </w:tcPr>
          <w:p w14:paraId="33DAB3EB" w14:textId="77777777" w:rsidR="004D6A64" w:rsidRDefault="004D6A64">
            <w:pPr>
              <w:rPr>
                <w:rFonts w:ascii="宋体"/>
              </w:rPr>
            </w:pPr>
          </w:p>
        </w:tc>
        <w:tc>
          <w:tcPr>
            <w:tcW w:w="0" w:type="auto"/>
            <w:shd w:val="clear" w:color="auto" w:fill="auto"/>
          </w:tcPr>
          <w:p w14:paraId="33DAB3EC" w14:textId="77777777" w:rsidR="004D6A64" w:rsidRDefault="004D6A64">
            <w:pPr>
              <w:rPr>
                <w:rFonts w:ascii="宋体"/>
              </w:rPr>
            </w:pPr>
          </w:p>
        </w:tc>
      </w:tr>
      <w:tr w:rsidR="004D6A64" w14:paraId="33DAB3F8" w14:textId="77777777">
        <w:trPr>
          <w:hidden/>
        </w:trPr>
        <w:tc>
          <w:tcPr>
            <w:tcW w:w="0" w:type="auto"/>
            <w:gridSpan w:val="3"/>
            <w:shd w:val="clear" w:color="auto" w:fill="auto"/>
          </w:tcPr>
          <w:p w14:paraId="33DAB3EE" w14:textId="77777777" w:rsidR="004D6A64" w:rsidRDefault="004D6A64">
            <w:pPr>
              <w:rPr>
                <w:rFonts w:ascii="宋体"/>
                <w:vanish/>
              </w:rPr>
            </w:pPr>
          </w:p>
        </w:tc>
        <w:tc>
          <w:tcPr>
            <w:tcW w:w="0" w:type="auto"/>
            <w:gridSpan w:val="3"/>
            <w:shd w:val="clear" w:color="auto" w:fill="auto"/>
          </w:tcPr>
          <w:p w14:paraId="33DAB3EF" w14:textId="77777777" w:rsidR="004D6A64" w:rsidRDefault="004D6A64">
            <w:pPr>
              <w:rPr>
                <w:rFonts w:ascii="宋体"/>
                <w:vanish/>
              </w:rPr>
            </w:pPr>
          </w:p>
        </w:tc>
        <w:tc>
          <w:tcPr>
            <w:tcW w:w="0" w:type="auto"/>
            <w:gridSpan w:val="3"/>
            <w:shd w:val="clear" w:color="auto" w:fill="auto"/>
          </w:tcPr>
          <w:p w14:paraId="33DAB3F0" w14:textId="77777777" w:rsidR="004D6A64" w:rsidRDefault="004D6A64">
            <w:pPr>
              <w:rPr>
                <w:rFonts w:ascii="宋体"/>
                <w:vanish/>
              </w:rPr>
            </w:pPr>
          </w:p>
        </w:tc>
        <w:tc>
          <w:tcPr>
            <w:tcW w:w="0" w:type="auto"/>
            <w:gridSpan w:val="3"/>
            <w:shd w:val="clear" w:color="auto" w:fill="auto"/>
          </w:tcPr>
          <w:p w14:paraId="33DAB3F1" w14:textId="77777777" w:rsidR="004D6A64" w:rsidRDefault="004D6A64">
            <w:pPr>
              <w:rPr>
                <w:rFonts w:ascii="宋体"/>
                <w:vanish/>
              </w:rPr>
            </w:pPr>
          </w:p>
        </w:tc>
        <w:tc>
          <w:tcPr>
            <w:tcW w:w="0" w:type="auto"/>
            <w:shd w:val="clear" w:color="auto" w:fill="auto"/>
          </w:tcPr>
          <w:p w14:paraId="33DAB3F2" w14:textId="77777777" w:rsidR="004D6A64" w:rsidRDefault="004D6A64">
            <w:pPr>
              <w:rPr>
                <w:rFonts w:ascii="宋体"/>
              </w:rPr>
            </w:pPr>
          </w:p>
        </w:tc>
        <w:tc>
          <w:tcPr>
            <w:tcW w:w="0" w:type="auto"/>
            <w:shd w:val="clear" w:color="auto" w:fill="auto"/>
          </w:tcPr>
          <w:p w14:paraId="33DAB3F3" w14:textId="77777777" w:rsidR="004D6A64" w:rsidRDefault="004D6A64">
            <w:pPr>
              <w:rPr>
                <w:rFonts w:ascii="宋体"/>
              </w:rPr>
            </w:pPr>
          </w:p>
        </w:tc>
        <w:tc>
          <w:tcPr>
            <w:tcW w:w="0" w:type="auto"/>
            <w:shd w:val="clear" w:color="auto" w:fill="auto"/>
          </w:tcPr>
          <w:p w14:paraId="33DAB3F4" w14:textId="77777777" w:rsidR="004D6A64" w:rsidRDefault="004D6A64">
            <w:pPr>
              <w:rPr>
                <w:rFonts w:ascii="宋体"/>
              </w:rPr>
            </w:pPr>
          </w:p>
        </w:tc>
        <w:tc>
          <w:tcPr>
            <w:tcW w:w="0" w:type="auto"/>
            <w:shd w:val="clear" w:color="auto" w:fill="auto"/>
          </w:tcPr>
          <w:p w14:paraId="33DAB3F5" w14:textId="77777777" w:rsidR="004D6A64" w:rsidRDefault="004D6A64">
            <w:pPr>
              <w:rPr>
                <w:rFonts w:ascii="宋体"/>
              </w:rPr>
            </w:pPr>
          </w:p>
        </w:tc>
        <w:tc>
          <w:tcPr>
            <w:tcW w:w="0" w:type="auto"/>
            <w:shd w:val="clear" w:color="auto" w:fill="auto"/>
          </w:tcPr>
          <w:p w14:paraId="33DAB3F6" w14:textId="77777777" w:rsidR="004D6A64" w:rsidRDefault="004D6A64">
            <w:pPr>
              <w:rPr>
                <w:rFonts w:ascii="宋体"/>
              </w:rPr>
            </w:pPr>
          </w:p>
        </w:tc>
        <w:tc>
          <w:tcPr>
            <w:tcW w:w="0" w:type="auto"/>
            <w:shd w:val="clear" w:color="auto" w:fill="auto"/>
          </w:tcPr>
          <w:p w14:paraId="33DAB3F7" w14:textId="77777777" w:rsidR="004D6A64" w:rsidRDefault="004D6A64">
            <w:pPr>
              <w:rPr>
                <w:rFonts w:ascii="宋体"/>
              </w:rPr>
            </w:pPr>
          </w:p>
        </w:tc>
      </w:tr>
      <w:tr w:rsidR="004D6A64" w14:paraId="33DAB407" w14:textId="77777777">
        <w:tc>
          <w:tcPr>
            <w:tcW w:w="0" w:type="auto"/>
            <w:gridSpan w:val="3"/>
            <w:shd w:val="clear" w:color="auto" w:fill="CCEEFF"/>
            <w:tcMar>
              <w:top w:w="40" w:type="dxa"/>
              <w:left w:w="20" w:type="dxa"/>
              <w:bottom w:w="40" w:type="dxa"/>
              <w:right w:w="20" w:type="dxa"/>
            </w:tcMar>
            <w:vAlign w:val="center"/>
          </w:tcPr>
          <w:p w14:paraId="33DAB3F9"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2.75% Term Loan B-1 Facility due September 2025</w:t>
            </w:r>
          </w:p>
        </w:tc>
        <w:tc>
          <w:tcPr>
            <w:tcW w:w="0" w:type="auto"/>
            <w:shd w:val="clear" w:color="auto" w:fill="CCEEFF"/>
            <w:tcMar>
              <w:top w:w="40" w:type="dxa"/>
              <w:left w:w="20" w:type="dxa"/>
              <w:bottom w:w="40" w:type="dxa"/>
            </w:tcMar>
            <w:vAlign w:val="center"/>
          </w:tcPr>
          <w:p w14:paraId="33DAB3FA"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B3FB" w14:textId="77777777" w:rsidR="004D6A64" w:rsidRDefault="00506CD6">
            <w:pPr>
              <w:jc w:val="right"/>
              <w:textAlignment w:val="center"/>
            </w:pPr>
            <w:r>
              <w:rPr>
                <w:rFonts w:ascii="Times New Roman" w:eastAsia="宋体" w:hAnsi="Times New Roman"/>
                <w:color w:val="000000"/>
                <w:sz w:val="20"/>
                <w:szCs w:val="20"/>
              </w:rPr>
              <w:t>4,691 </w:t>
            </w:r>
          </w:p>
        </w:tc>
        <w:tc>
          <w:tcPr>
            <w:tcW w:w="0" w:type="auto"/>
            <w:shd w:val="clear" w:color="auto" w:fill="CCEEFF"/>
            <w:tcMar>
              <w:top w:w="40" w:type="dxa"/>
              <w:bottom w:w="40" w:type="dxa"/>
              <w:right w:w="20" w:type="dxa"/>
            </w:tcMar>
            <w:vAlign w:val="center"/>
          </w:tcPr>
          <w:p w14:paraId="33DAB3F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3FD"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B3FE"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B3FF" w14:textId="77777777" w:rsidR="004D6A64" w:rsidRDefault="00506CD6">
            <w:pPr>
              <w:jc w:val="right"/>
              <w:textAlignment w:val="center"/>
            </w:pPr>
            <w:r>
              <w:rPr>
                <w:rFonts w:ascii="Times New Roman" w:eastAsia="宋体" w:hAnsi="Times New Roman"/>
                <w:color w:val="000000"/>
                <w:sz w:val="20"/>
                <w:szCs w:val="20"/>
              </w:rPr>
              <w:t>4,738 </w:t>
            </w:r>
          </w:p>
        </w:tc>
        <w:tc>
          <w:tcPr>
            <w:tcW w:w="0" w:type="auto"/>
            <w:shd w:val="clear" w:color="auto" w:fill="CCEEFF"/>
            <w:tcMar>
              <w:top w:w="40" w:type="dxa"/>
              <w:bottom w:w="40" w:type="dxa"/>
              <w:right w:w="20" w:type="dxa"/>
            </w:tcMar>
            <w:vAlign w:val="center"/>
          </w:tcPr>
          <w:p w14:paraId="33DAB400" w14:textId="77777777" w:rsidR="004D6A64" w:rsidRDefault="004D6A64">
            <w:pPr>
              <w:jc w:val="right"/>
              <w:rPr>
                <w:rFonts w:ascii="宋体"/>
              </w:rPr>
            </w:pPr>
          </w:p>
        </w:tc>
        <w:tc>
          <w:tcPr>
            <w:tcW w:w="0" w:type="auto"/>
            <w:shd w:val="clear" w:color="auto" w:fill="auto"/>
          </w:tcPr>
          <w:p w14:paraId="33DAB401" w14:textId="77777777" w:rsidR="004D6A64" w:rsidRDefault="004D6A64">
            <w:pPr>
              <w:rPr>
                <w:rFonts w:ascii="宋体"/>
              </w:rPr>
            </w:pPr>
          </w:p>
        </w:tc>
        <w:tc>
          <w:tcPr>
            <w:tcW w:w="0" w:type="auto"/>
            <w:shd w:val="clear" w:color="auto" w:fill="auto"/>
          </w:tcPr>
          <w:p w14:paraId="33DAB402" w14:textId="77777777" w:rsidR="004D6A64" w:rsidRDefault="004D6A64">
            <w:pPr>
              <w:rPr>
                <w:rFonts w:ascii="宋体"/>
              </w:rPr>
            </w:pPr>
          </w:p>
        </w:tc>
        <w:tc>
          <w:tcPr>
            <w:tcW w:w="0" w:type="auto"/>
            <w:shd w:val="clear" w:color="auto" w:fill="auto"/>
          </w:tcPr>
          <w:p w14:paraId="33DAB403" w14:textId="77777777" w:rsidR="004D6A64" w:rsidRDefault="004D6A64">
            <w:pPr>
              <w:rPr>
                <w:rFonts w:ascii="宋体"/>
              </w:rPr>
            </w:pPr>
          </w:p>
        </w:tc>
        <w:tc>
          <w:tcPr>
            <w:tcW w:w="0" w:type="auto"/>
            <w:shd w:val="clear" w:color="auto" w:fill="auto"/>
          </w:tcPr>
          <w:p w14:paraId="33DAB404" w14:textId="77777777" w:rsidR="004D6A64" w:rsidRDefault="004D6A64">
            <w:pPr>
              <w:rPr>
                <w:rFonts w:ascii="宋体"/>
              </w:rPr>
            </w:pPr>
          </w:p>
        </w:tc>
        <w:tc>
          <w:tcPr>
            <w:tcW w:w="0" w:type="auto"/>
            <w:shd w:val="clear" w:color="auto" w:fill="auto"/>
          </w:tcPr>
          <w:p w14:paraId="33DAB405" w14:textId="77777777" w:rsidR="004D6A64" w:rsidRDefault="004D6A64">
            <w:pPr>
              <w:rPr>
                <w:rFonts w:ascii="宋体"/>
              </w:rPr>
            </w:pPr>
          </w:p>
        </w:tc>
        <w:tc>
          <w:tcPr>
            <w:tcW w:w="0" w:type="auto"/>
            <w:shd w:val="clear" w:color="auto" w:fill="auto"/>
          </w:tcPr>
          <w:p w14:paraId="33DAB406" w14:textId="77777777" w:rsidR="004D6A64" w:rsidRDefault="004D6A64">
            <w:pPr>
              <w:rPr>
                <w:rFonts w:ascii="宋体"/>
              </w:rPr>
            </w:pPr>
          </w:p>
        </w:tc>
      </w:tr>
      <w:tr w:rsidR="004D6A64" w14:paraId="33DAB412" w14:textId="77777777">
        <w:trPr>
          <w:hidden/>
        </w:trPr>
        <w:tc>
          <w:tcPr>
            <w:tcW w:w="0" w:type="auto"/>
            <w:gridSpan w:val="3"/>
            <w:shd w:val="clear" w:color="auto" w:fill="auto"/>
          </w:tcPr>
          <w:p w14:paraId="33DAB408" w14:textId="77777777" w:rsidR="004D6A64" w:rsidRDefault="004D6A64">
            <w:pPr>
              <w:rPr>
                <w:rFonts w:ascii="宋体"/>
                <w:vanish/>
              </w:rPr>
            </w:pPr>
          </w:p>
        </w:tc>
        <w:tc>
          <w:tcPr>
            <w:tcW w:w="0" w:type="auto"/>
            <w:gridSpan w:val="3"/>
            <w:shd w:val="clear" w:color="auto" w:fill="auto"/>
          </w:tcPr>
          <w:p w14:paraId="33DAB409" w14:textId="77777777" w:rsidR="004D6A64" w:rsidRDefault="004D6A64">
            <w:pPr>
              <w:rPr>
                <w:rFonts w:ascii="宋体"/>
                <w:vanish/>
              </w:rPr>
            </w:pPr>
          </w:p>
        </w:tc>
        <w:tc>
          <w:tcPr>
            <w:tcW w:w="0" w:type="auto"/>
            <w:gridSpan w:val="3"/>
            <w:shd w:val="clear" w:color="auto" w:fill="auto"/>
          </w:tcPr>
          <w:p w14:paraId="33DAB40A" w14:textId="77777777" w:rsidR="004D6A64" w:rsidRDefault="004D6A64">
            <w:pPr>
              <w:rPr>
                <w:rFonts w:ascii="宋体"/>
                <w:vanish/>
              </w:rPr>
            </w:pPr>
          </w:p>
        </w:tc>
        <w:tc>
          <w:tcPr>
            <w:tcW w:w="0" w:type="auto"/>
            <w:gridSpan w:val="3"/>
            <w:shd w:val="clear" w:color="auto" w:fill="auto"/>
          </w:tcPr>
          <w:p w14:paraId="33DAB40B" w14:textId="77777777" w:rsidR="004D6A64" w:rsidRDefault="004D6A64">
            <w:pPr>
              <w:rPr>
                <w:rFonts w:ascii="宋体"/>
                <w:vanish/>
              </w:rPr>
            </w:pPr>
          </w:p>
        </w:tc>
        <w:tc>
          <w:tcPr>
            <w:tcW w:w="0" w:type="auto"/>
            <w:shd w:val="clear" w:color="auto" w:fill="auto"/>
          </w:tcPr>
          <w:p w14:paraId="33DAB40C" w14:textId="77777777" w:rsidR="004D6A64" w:rsidRDefault="004D6A64">
            <w:pPr>
              <w:rPr>
                <w:rFonts w:ascii="宋体"/>
              </w:rPr>
            </w:pPr>
          </w:p>
        </w:tc>
        <w:tc>
          <w:tcPr>
            <w:tcW w:w="0" w:type="auto"/>
            <w:shd w:val="clear" w:color="auto" w:fill="auto"/>
          </w:tcPr>
          <w:p w14:paraId="33DAB40D" w14:textId="77777777" w:rsidR="004D6A64" w:rsidRDefault="004D6A64">
            <w:pPr>
              <w:rPr>
                <w:rFonts w:ascii="宋体"/>
              </w:rPr>
            </w:pPr>
          </w:p>
        </w:tc>
        <w:tc>
          <w:tcPr>
            <w:tcW w:w="0" w:type="auto"/>
            <w:shd w:val="clear" w:color="auto" w:fill="auto"/>
          </w:tcPr>
          <w:p w14:paraId="33DAB40E" w14:textId="77777777" w:rsidR="004D6A64" w:rsidRDefault="004D6A64">
            <w:pPr>
              <w:rPr>
                <w:rFonts w:ascii="宋体"/>
              </w:rPr>
            </w:pPr>
          </w:p>
        </w:tc>
        <w:tc>
          <w:tcPr>
            <w:tcW w:w="0" w:type="auto"/>
            <w:shd w:val="clear" w:color="auto" w:fill="auto"/>
          </w:tcPr>
          <w:p w14:paraId="33DAB40F" w14:textId="77777777" w:rsidR="004D6A64" w:rsidRDefault="004D6A64">
            <w:pPr>
              <w:rPr>
                <w:rFonts w:ascii="宋体"/>
              </w:rPr>
            </w:pPr>
          </w:p>
        </w:tc>
        <w:tc>
          <w:tcPr>
            <w:tcW w:w="0" w:type="auto"/>
            <w:shd w:val="clear" w:color="auto" w:fill="auto"/>
          </w:tcPr>
          <w:p w14:paraId="33DAB410" w14:textId="77777777" w:rsidR="004D6A64" w:rsidRDefault="004D6A64">
            <w:pPr>
              <w:rPr>
                <w:rFonts w:ascii="宋体"/>
              </w:rPr>
            </w:pPr>
          </w:p>
        </w:tc>
        <w:tc>
          <w:tcPr>
            <w:tcW w:w="0" w:type="auto"/>
            <w:shd w:val="clear" w:color="auto" w:fill="auto"/>
          </w:tcPr>
          <w:p w14:paraId="33DAB411" w14:textId="77777777" w:rsidR="004D6A64" w:rsidRDefault="004D6A64">
            <w:pPr>
              <w:rPr>
                <w:rFonts w:ascii="宋体"/>
              </w:rPr>
            </w:pPr>
          </w:p>
        </w:tc>
      </w:tr>
      <w:tr w:rsidR="004D6A64" w14:paraId="33DAB41F" w14:textId="77777777">
        <w:tc>
          <w:tcPr>
            <w:tcW w:w="0" w:type="auto"/>
            <w:gridSpan w:val="3"/>
            <w:shd w:val="clear" w:color="auto" w:fill="FFFFFF"/>
            <w:tcMar>
              <w:top w:w="40" w:type="dxa"/>
              <w:left w:w="20" w:type="dxa"/>
              <w:bottom w:w="40" w:type="dxa"/>
              <w:right w:w="20" w:type="dxa"/>
            </w:tcMar>
            <w:vAlign w:val="center"/>
          </w:tcPr>
          <w:p w14:paraId="33DAB413"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1.93% Term Loan A-4 Facility due December 2023</w:t>
            </w:r>
          </w:p>
        </w:tc>
        <w:tc>
          <w:tcPr>
            <w:tcW w:w="0" w:type="auto"/>
            <w:gridSpan w:val="2"/>
            <w:shd w:val="clear" w:color="auto" w:fill="FFFFFF"/>
            <w:tcMar>
              <w:top w:w="40" w:type="dxa"/>
              <w:left w:w="20" w:type="dxa"/>
              <w:bottom w:w="40" w:type="dxa"/>
              <w:right w:w="0" w:type="dxa"/>
            </w:tcMar>
            <w:vAlign w:val="center"/>
          </w:tcPr>
          <w:p w14:paraId="33DAB414" w14:textId="77777777" w:rsidR="004D6A64" w:rsidRDefault="00506CD6">
            <w:pPr>
              <w:jc w:val="right"/>
              <w:textAlignment w:val="center"/>
            </w:pPr>
            <w:r>
              <w:rPr>
                <w:rFonts w:ascii="Times New Roman" w:eastAsia="宋体" w:hAnsi="Times New Roman"/>
                <w:color w:val="000000"/>
                <w:sz w:val="20"/>
                <w:szCs w:val="20"/>
              </w:rPr>
              <w:t>679 </w:t>
            </w:r>
          </w:p>
        </w:tc>
        <w:tc>
          <w:tcPr>
            <w:tcW w:w="0" w:type="auto"/>
            <w:shd w:val="clear" w:color="auto" w:fill="FFFFFF"/>
            <w:tcMar>
              <w:top w:w="40" w:type="dxa"/>
              <w:bottom w:w="40" w:type="dxa"/>
              <w:right w:w="20" w:type="dxa"/>
            </w:tcMar>
            <w:vAlign w:val="center"/>
          </w:tcPr>
          <w:p w14:paraId="33DAB41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41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B417" w14:textId="77777777" w:rsidR="004D6A64" w:rsidRDefault="00506CD6">
            <w:pPr>
              <w:jc w:val="right"/>
              <w:textAlignment w:val="center"/>
            </w:pPr>
            <w:r>
              <w:rPr>
                <w:rFonts w:ascii="Times New Roman" w:eastAsia="宋体" w:hAnsi="Times New Roman"/>
                <w:color w:val="000000"/>
                <w:sz w:val="20"/>
                <w:szCs w:val="20"/>
              </w:rPr>
              <w:t>679 </w:t>
            </w:r>
          </w:p>
        </w:tc>
        <w:tc>
          <w:tcPr>
            <w:tcW w:w="0" w:type="auto"/>
            <w:shd w:val="clear" w:color="auto" w:fill="FFFFFF"/>
            <w:tcMar>
              <w:top w:w="40" w:type="dxa"/>
              <w:bottom w:w="40" w:type="dxa"/>
              <w:right w:w="20" w:type="dxa"/>
            </w:tcMar>
            <w:vAlign w:val="center"/>
          </w:tcPr>
          <w:p w14:paraId="33DAB418" w14:textId="77777777" w:rsidR="004D6A64" w:rsidRDefault="004D6A64">
            <w:pPr>
              <w:jc w:val="right"/>
              <w:rPr>
                <w:rFonts w:ascii="宋体"/>
              </w:rPr>
            </w:pPr>
          </w:p>
        </w:tc>
        <w:tc>
          <w:tcPr>
            <w:tcW w:w="0" w:type="auto"/>
            <w:shd w:val="clear" w:color="auto" w:fill="auto"/>
          </w:tcPr>
          <w:p w14:paraId="33DAB419" w14:textId="77777777" w:rsidR="004D6A64" w:rsidRDefault="004D6A64">
            <w:pPr>
              <w:rPr>
                <w:rFonts w:ascii="宋体"/>
              </w:rPr>
            </w:pPr>
          </w:p>
        </w:tc>
        <w:tc>
          <w:tcPr>
            <w:tcW w:w="0" w:type="auto"/>
            <w:shd w:val="clear" w:color="auto" w:fill="auto"/>
          </w:tcPr>
          <w:p w14:paraId="33DAB41A" w14:textId="77777777" w:rsidR="004D6A64" w:rsidRDefault="004D6A64">
            <w:pPr>
              <w:rPr>
                <w:rFonts w:ascii="宋体"/>
              </w:rPr>
            </w:pPr>
          </w:p>
        </w:tc>
        <w:tc>
          <w:tcPr>
            <w:tcW w:w="0" w:type="auto"/>
            <w:shd w:val="clear" w:color="auto" w:fill="auto"/>
          </w:tcPr>
          <w:p w14:paraId="33DAB41B" w14:textId="77777777" w:rsidR="004D6A64" w:rsidRDefault="004D6A64">
            <w:pPr>
              <w:rPr>
                <w:rFonts w:ascii="宋体"/>
              </w:rPr>
            </w:pPr>
          </w:p>
        </w:tc>
        <w:tc>
          <w:tcPr>
            <w:tcW w:w="0" w:type="auto"/>
            <w:shd w:val="clear" w:color="auto" w:fill="auto"/>
          </w:tcPr>
          <w:p w14:paraId="33DAB41C" w14:textId="77777777" w:rsidR="004D6A64" w:rsidRDefault="004D6A64">
            <w:pPr>
              <w:rPr>
                <w:rFonts w:ascii="宋体"/>
              </w:rPr>
            </w:pPr>
          </w:p>
        </w:tc>
        <w:tc>
          <w:tcPr>
            <w:tcW w:w="0" w:type="auto"/>
            <w:shd w:val="clear" w:color="auto" w:fill="auto"/>
          </w:tcPr>
          <w:p w14:paraId="33DAB41D" w14:textId="77777777" w:rsidR="004D6A64" w:rsidRDefault="004D6A64">
            <w:pPr>
              <w:rPr>
                <w:rFonts w:ascii="宋体"/>
              </w:rPr>
            </w:pPr>
          </w:p>
        </w:tc>
        <w:tc>
          <w:tcPr>
            <w:tcW w:w="0" w:type="auto"/>
            <w:shd w:val="clear" w:color="auto" w:fill="auto"/>
          </w:tcPr>
          <w:p w14:paraId="33DAB41E" w14:textId="77777777" w:rsidR="004D6A64" w:rsidRDefault="004D6A64">
            <w:pPr>
              <w:rPr>
                <w:rFonts w:ascii="宋体"/>
              </w:rPr>
            </w:pPr>
          </w:p>
        </w:tc>
      </w:tr>
      <w:tr w:rsidR="004D6A64" w14:paraId="33DAB42A" w14:textId="77777777">
        <w:trPr>
          <w:hidden/>
        </w:trPr>
        <w:tc>
          <w:tcPr>
            <w:tcW w:w="0" w:type="auto"/>
            <w:gridSpan w:val="3"/>
            <w:shd w:val="clear" w:color="auto" w:fill="auto"/>
          </w:tcPr>
          <w:p w14:paraId="33DAB420" w14:textId="77777777" w:rsidR="004D6A64" w:rsidRDefault="004D6A64">
            <w:pPr>
              <w:rPr>
                <w:rFonts w:ascii="宋体"/>
                <w:vanish/>
              </w:rPr>
            </w:pPr>
          </w:p>
        </w:tc>
        <w:tc>
          <w:tcPr>
            <w:tcW w:w="0" w:type="auto"/>
            <w:gridSpan w:val="3"/>
            <w:shd w:val="clear" w:color="auto" w:fill="auto"/>
          </w:tcPr>
          <w:p w14:paraId="33DAB421" w14:textId="77777777" w:rsidR="004D6A64" w:rsidRDefault="004D6A64">
            <w:pPr>
              <w:rPr>
                <w:rFonts w:ascii="宋体"/>
                <w:vanish/>
              </w:rPr>
            </w:pPr>
          </w:p>
        </w:tc>
        <w:tc>
          <w:tcPr>
            <w:tcW w:w="0" w:type="auto"/>
            <w:gridSpan w:val="3"/>
            <w:shd w:val="clear" w:color="auto" w:fill="auto"/>
          </w:tcPr>
          <w:p w14:paraId="33DAB422" w14:textId="77777777" w:rsidR="004D6A64" w:rsidRDefault="004D6A64">
            <w:pPr>
              <w:rPr>
                <w:rFonts w:ascii="宋体"/>
                <w:vanish/>
              </w:rPr>
            </w:pPr>
          </w:p>
        </w:tc>
        <w:tc>
          <w:tcPr>
            <w:tcW w:w="0" w:type="auto"/>
            <w:gridSpan w:val="3"/>
            <w:shd w:val="clear" w:color="auto" w:fill="auto"/>
          </w:tcPr>
          <w:p w14:paraId="33DAB423" w14:textId="77777777" w:rsidR="004D6A64" w:rsidRDefault="004D6A64">
            <w:pPr>
              <w:rPr>
                <w:rFonts w:ascii="宋体"/>
                <w:vanish/>
              </w:rPr>
            </w:pPr>
          </w:p>
        </w:tc>
        <w:tc>
          <w:tcPr>
            <w:tcW w:w="0" w:type="auto"/>
            <w:shd w:val="clear" w:color="auto" w:fill="auto"/>
          </w:tcPr>
          <w:p w14:paraId="33DAB424" w14:textId="77777777" w:rsidR="004D6A64" w:rsidRDefault="004D6A64">
            <w:pPr>
              <w:rPr>
                <w:rFonts w:ascii="宋体"/>
              </w:rPr>
            </w:pPr>
          </w:p>
        </w:tc>
        <w:tc>
          <w:tcPr>
            <w:tcW w:w="0" w:type="auto"/>
            <w:shd w:val="clear" w:color="auto" w:fill="auto"/>
          </w:tcPr>
          <w:p w14:paraId="33DAB425" w14:textId="77777777" w:rsidR="004D6A64" w:rsidRDefault="004D6A64">
            <w:pPr>
              <w:rPr>
                <w:rFonts w:ascii="宋体"/>
              </w:rPr>
            </w:pPr>
          </w:p>
        </w:tc>
        <w:tc>
          <w:tcPr>
            <w:tcW w:w="0" w:type="auto"/>
            <w:shd w:val="clear" w:color="auto" w:fill="auto"/>
          </w:tcPr>
          <w:p w14:paraId="33DAB426" w14:textId="77777777" w:rsidR="004D6A64" w:rsidRDefault="004D6A64">
            <w:pPr>
              <w:rPr>
                <w:rFonts w:ascii="宋体"/>
              </w:rPr>
            </w:pPr>
          </w:p>
        </w:tc>
        <w:tc>
          <w:tcPr>
            <w:tcW w:w="0" w:type="auto"/>
            <w:shd w:val="clear" w:color="auto" w:fill="auto"/>
          </w:tcPr>
          <w:p w14:paraId="33DAB427" w14:textId="77777777" w:rsidR="004D6A64" w:rsidRDefault="004D6A64">
            <w:pPr>
              <w:rPr>
                <w:rFonts w:ascii="宋体"/>
              </w:rPr>
            </w:pPr>
          </w:p>
        </w:tc>
        <w:tc>
          <w:tcPr>
            <w:tcW w:w="0" w:type="auto"/>
            <w:shd w:val="clear" w:color="auto" w:fill="auto"/>
          </w:tcPr>
          <w:p w14:paraId="33DAB428" w14:textId="77777777" w:rsidR="004D6A64" w:rsidRDefault="004D6A64">
            <w:pPr>
              <w:rPr>
                <w:rFonts w:ascii="宋体"/>
              </w:rPr>
            </w:pPr>
          </w:p>
        </w:tc>
        <w:tc>
          <w:tcPr>
            <w:tcW w:w="0" w:type="auto"/>
            <w:shd w:val="clear" w:color="auto" w:fill="auto"/>
          </w:tcPr>
          <w:p w14:paraId="33DAB429" w14:textId="77777777" w:rsidR="004D6A64" w:rsidRDefault="004D6A64">
            <w:pPr>
              <w:rPr>
                <w:rFonts w:ascii="宋体"/>
              </w:rPr>
            </w:pPr>
          </w:p>
        </w:tc>
      </w:tr>
      <w:tr w:rsidR="004D6A64" w14:paraId="33DAB437" w14:textId="77777777">
        <w:tc>
          <w:tcPr>
            <w:tcW w:w="0" w:type="auto"/>
            <w:gridSpan w:val="3"/>
            <w:shd w:val="clear" w:color="auto" w:fill="CCEEFF"/>
            <w:tcMar>
              <w:top w:w="40" w:type="dxa"/>
              <w:left w:w="20" w:type="dxa"/>
              <w:bottom w:w="40" w:type="dxa"/>
              <w:right w:w="20" w:type="dxa"/>
            </w:tcMar>
            <w:vAlign w:val="center"/>
          </w:tcPr>
          <w:p w14:paraId="33DAB42B"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1.93% Term Loan A-6 Facility due March 2024</w:t>
            </w:r>
          </w:p>
        </w:tc>
        <w:tc>
          <w:tcPr>
            <w:tcW w:w="0" w:type="auto"/>
            <w:gridSpan w:val="2"/>
            <w:shd w:val="clear" w:color="auto" w:fill="CCEEFF"/>
            <w:tcMar>
              <w:top w:w="40" w:type="dxa"/>
              <w:left w:w="20" w:type="dxa"/>
              <w:bottom w:w="40" w:type="dxa"/>
              <w:right w:w="0" w:type="dxa"/>
            </w:tcMar>
            <w:vAlign w:val="center"/>
          </w:tcPr>
          <w:p w14:paraId="33DAB42C" w14:textId="77777777" w:rsidR="004D6A64" w:rsidRDefault="00506CD6">
            <w:pPr>
              <w:jc w:val="right"/>
              <w:textAlignment w:val="center"/>
            </w:pPr>
            <w:r>
              <w:rPr>
                <w:rFonts w:ascii="Times New Roman" w:eastAsia="宋体" w:hAnsi="Times New Roman"/>
                <w:color w:val="000000"/>
                <w:sz w:val="20"/>
                <w:szCs w:val="20"/>
              </w:rPr>
              <w:t>3,316 </w:t>
            </w:r>
          </w:p>
        </w:tc>
        <w:tc>
          <w:tcPr>
            <w:tcW w:w="0" w:type="auto"/>
            <w:shd w:val="clear" w:color="auto" w:fill="CCEEFF"/>
            <w:tcMar>
              <w:top w:w="40" w:type="dxa"/>
              <w:bottom w:w="40" w:type="dxa"/>
              <w:right w:w="20" w:type="dxa"/>
            </w:tcMar>
            <w:vAlign w:val="center"/>
          </w:tcPr>
          <w:p w14:paraId="33DAB42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42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B42F" w14:textId="77777777" w:rsidR="004D6A64" w:rsidRDefault="00506CD6">
            <w:pPr>
              <w:jc w:val="right"/>
              <w:textAlignment w:val="center"/>
            </w:pPr>
            <w:r>
              <w:rPr>
                <w:rFonts w:ascii="Times New Roman" w:eastAsia="宋体" w:hAnsi="Times New Roman"/>
                <w:color w:val="000000"/>
                <w:sz w:val="20"/>
                <w:szCs w:val="20"/>
              </w:rPr>
              <w:t>3,497 </w:t>
            </w:r>
          </w:p>
        </w:tc>
        <w:tc>
          <w:tcPr>
            <w:tcW w:w="0" w:type="auto"/>
            <w:shd w:val="clear" w:color="auto" w:fill="CCEEFF"/>
            <w:tcMar>
              <w:top w:w="40" w:type="dxa"/>
              <w:bottom w:w="40" w:type="dxa"/>
              <w:right w:w="20" w:type="dxa"/>
            </w:tcMar>
            <w:vAlign w:val="center"/>
          </w:tcPr>
          <w:p w14:paraId="33DAB430" w14:textId="77777777" w:rsidR="004D6A64" w:rsidRDefault="004D6A64">
            <w:pPr>
              <w:jc w:val="right"/>
              <w:rPr>
                <w:rFonts w:ascii="宋体"/>
              </w:rPr>
            </w:pPr>
          </w:p>
        </w:tc>
        <w:tc>
          <w:tcPr>
            <w:tcW w:w="0" w:type="auto"/>
            <w:shd w:val="clear" w:color="auto" w:fill="auto"/>
          </w:tcPr>
          <w:p w14:paraId="33DAB431" w14:textId="77777777" w:rsidR="004D6A64" w:rsidRDefault="004D6A64">
            <w:pPr>
              <w:rPr>
                <w:rFonts w:ascii="宋体"/>
              </w:rPr>
            </w:pPr>
          </w:p>
        </w:tc>
        <w:tc>
          <w:tcPr>
            <w:tcW w:w="0" w:type="auto"/>
            <w:shd w:val="clear" w:color="auto" w:fill="auto"/>
          </w:tcPr>
          <w:p w14:paraId="33DAB432" w14:textId="77777777" w:rsidR="004D6A64" w:rsidRDefault="004D6A64">
            <w:pPr>
              <w:rPr>
                <w:rFonts w:ascii="宋体"/>
              </w:rPr>
            </w:pPr>
          </w:p>
        </w:tc>
        <w:tc>
          <w:tcPr>
            <w:tcW w:w="0" w:type="auto"/>
            <w:shd w:val="clear" w:color="auto" w:fill="auto"/>
          </w:tcPr>
          <w:p w14:paraId="33DAB433" w14:textId="77777777" w:rsidR="004D6A64" w:rsidRDefault="004D6A64">
            <w:pPr>
              <w:rPr>
                <w:rFonts w:ascii="宋体"/>
              </w:rPr>
            </w:pPr>
          </w:p>
        </w:tc>
        <w:tc>
          <w:tcPr>
            <w:tcW w:w="0" w:type="auto"/>
            <w:shd w:val="clear" w:color="auto" w:fill="auto"/>
          </w:tcPr>
          <w:p w14:paraId="33DAB434" w14:textId="77777777" w:rsidR="004D6A64" w:rsidRDefault="004D6A64">
            <w:pPr>
              <w:rPr>
                <w:rFonts w:ascii="宋体"/>
              </w:rPr>
            </w:pPr>
          </w:p>
        </w:tc>
        <w:tc>
          <w:tcPr>
            <w:tcW w:w="0" w:type="auto"/>
            <w:shd w:val="clear" w:color="auto" w:fill="auto"/>
          </w:tcPr>
          <w:p w14:paraId="33DAB435" w14:textId="77777777" w:rsidR="004D6A64" w:rsidRDefault="004D6A64">
            <w:pPr>
              <w:rPr>
                <w:rFonts w:ascii="宋体"/>
              </w:rPr>
            </w:pPr>
          </w:p>
        </w:tc>
        <w:tc>
          <w:tcPr>
            <w:tcW w:w="0" w:type="auto"/>
            <w:shd w:val="clear" w:color="auto" w:fill="auto"/>
          </w:tcPr>
          <w:p w14:paraId="33DAB436" w14:textId="77777777" w:rsidR="004D6A64" w:rsidRDefault="004D6A64">
            <w:pPr>
              <w:rPr>
                <w:rFonts w:ascii="宋体"/>
              </w:rPr>
            </w:pPr>
          </w:p>
        </w:tc>
      </w:tr>
      <w:tr w:rsidR="004D6A64" w14:paraId="33DAB442" w14:textId="77777777">
        <w:tc>
          <w:tcPr>
            <w:tcW w:w="0" w:type="auto"/>
            <w:gridSpan w:val="3"/>
            <w:shd w:val="clear" w:color="auto" w:fill="FFFFFF"/>
            <w:tcMar>
              <w:top w:w="40" w:type="dxa"/>
              <w:left w:w="135" w:type="dxa"/>
              <w:bottom w:w="40" w:type="dxa"/>
              <w:right w:w="20" w:type="dxa"/>
            </w:tcMar>
            <w:vAlign w:val="center"/>
          </w:tcPr>
          <w:p w14:paraId="33DAB438" w14:textId="77777777" w:rsidR="004D6A64" w:rsidRDefault="00506CD6">
            <w:pPr>
              <w:textAlignment w:val="center"/>
            </w:pPr>
            <w:r>
              <w:rPr>
                <w:rFonts w:ascii="Times New Roman" w:eastAsia="宋体" w:hAnsi="Times New Roman"/>
                <w:color w:val="000000"/>
                <w:sz w:val="20"/>
                <w:szCs w:val="20"/>
              </w:rPr>
              <w:t>First Lien Notes:</w:t>
            </w:r>
          </w:p>
        </w:tc>
        <w:tc>
          <w:tcPr>
            <w:tcW w:w="0" w:type="auto"/>
            <w:gridSpan w:val="3"/>
            <w:shd w:val="clear" w:color="auto" w:fill="FFFFFF"/>
            <w:tcMar>
              <w:left w:w="20" w:type="dxa"/>
              <w:right w:w="20" w:type="dxa"/>
            </w:tcMar>
            <w:vAlign w:val="bottom"/>
          </w:tcPr>
          <w:p w14:paraId="33DAB439"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43A"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43B" w14:textId="77777777" w:rsidR="004D6A64" w:rsidRDefault="004D6A64">
            <w:pPr>
              <w:rPr>
                <w:rFonts w:ascii="宋体"/>
              </w:rPr>
            </w:pPr>
          </w:p>
        </w:tc>
        <w:tc>
          <w:tcPr>
            <w:tcW w:w="0" w:type="auto"/>
            <w:shd w:val="clear" w:color="auto" w:fill="auto"/>
          </w:tcPr>
          <w:p w14:paraId="33DAB43C" w14:textId="77777777" w:rsidR="004D6A64" w:rsidRDefault="004D6A64">
            <w:pPr>
              <w:rPr>
                <w:rFonts w:ascii="宋体"/>
              </w:rPr>
            </w:pPr>
          </w:p>
        </w:tc>
        <w:tc>
          <w:tcPr>
            <w:tcW w:w="0" w:type="auto"/>
            <w:shd w:val="clear" w:color="auto" w:fill="auto"/>
          </w:tcPr>
          <w:p w14:paraId="33DAB43D" w14:textId="77777777" w:rsidR="004D6A64" w:rsidRDefault="004D6A64">
            <w:pPr>
              <w:rPr>
                <w:rFonts w:ascii="宋体"/>
              </w:rPr>
            </w:pPr>
          </w:p>
        </w:tc>
        <w:tc>
          <w:tcPr>
            <w:tcW w:w="0" w:type="auto"/>
            <w:shd w:val="clear" w:color="auto" w:fill="auto"/>
          </w:tcPr>
          <w:p w14:paraId="33DAB43E" w14:textId="77777777" w:rsidR="004D6A64" w:rsidRDefault="004D6A64">
            <w:pPr>
              <w:rPr>
                <w:rFonts w:ascii="宋体"/>
              </w:rPr>
            </w:pPr>
          </w:p>
        </w:tc>
        <w:tc>
          <w:tcPr>
            <w:tcW w:w="0" w:type="auto"/>
            <w:shd w:val="clear" w:color="auto" w:fill="auto"/>
          </w:tcPr>
          <w:p w14:paraId="33DAB43F" w14:textId="77777777" w:rsidR="004D6A64" w:rsidRDefault="004D6A64">
            <w:pPr>
              <w:rPr>
                <w:rFonts w:ascii="宋体"/>
              </w:rPr>
            </w:pPr>
          </w:p>
        </w:tc>
        <w:tc>
          <w:tcPr>
            <w:tcW w:w="0" w:type="auto"/>
            <w:shd w:val="clear" w:color="auto" w:fill="auto"/>
          </w:tcPr>
          <w:p w14:paraId="33DAB440" w14:textId="77777777" w:rsidR="004D6A64" w:rsidRDefault="004D6A64">
            <w:pPr>
              <w:rPr>
                <w:rFonts w:ascii="宋体"/>
              </w:rPr>
            </w:pPr>
          </w:p>
        </w:tc>
        <w:tc>
          <w:tcPr>
            <w:tcW w:w="0" w:type="auto"/>
            <w:shd w:val="clear" w:color="auto" w:fill="auto"/>
          </w:tcPr>
          <w:p w14:paraId="33DAB441" w14:textId="77777777" w:rsidR="004D6A64" w:rsidRDefault="004D6A64">
            <w:pPr>
              <w:rPr>
                <w:rFonts w:ascii="宋体"/>
              </w:rPr>
            </w:pPr>
          </w:p>
        </w:tc>
      </w:tr>
      <w:tr w:rsidR="004D6A64" w14:paraId="33DAB44D" w14:textId="77777777">
        <w:trPr>
          <w:hidden/>
        </w:trPr>
        <w:tc>
          <w:tcPr>
            <w:tcW w:w="0" w:type="auto"/>
            <w:gridSpan w:val="3"/>
            <w:shd w:val="clear" w:color="auto" w:fill="auto"/>
          </w:tcPr>
          <w:p w14:paraId="33DAB443" w14:textId="77777777" w:rsidR="004D6A64" w:rsidRDefault="004D6A64">
            <w:pPr>
              <w:rPr>
                <w:rFonts w:ascii="宋体"/>
                <w:vanish/>
              </w:rPr>
            </w:pPr>
          </w:p>
        </w:tc>
        <w:tc>
          <w:tcPr>
            <w:tcW w:w="0" w:type="auto"/>
            <w:gridSpan w:val="3"/>
            <w:shd w:val="clear" w:color="auto" w:fill="auto"/>
          </w:tcPr>
          <w:p w14:paraId="33DAB444" w14:textId="77777777" w:rsidR="004D6A64" w:rsidRDefault="004D6A64">
            <w:pPr>
              <w:rPr>
                <w:rFonts w:ascii="宋体"/>
                <w:vanish/>
              </w:rPr>
            </w:pPr>
          </w:p>
        </w:tc>
        <w:tc>
          <w:tcPr>
            <w:tcW w:w="0" w:type="auto"/>
            <w:gridSpan w:val="3"/>
            <w:shd w:val="clear" w:color="auto" w:fill="auto"/>
          </w:tcPr>
          <w:p w14:paraId="33DAB445" w14:textId="77777777" w:rsidR="004D6A64" w:rsidRDefault="004D6A64">
            <w:pPr>
              <w:rPr>
                <w:rFonts w:ascii="宋体"/>
                <w:vanish/>
              </w:rPr>
            </w:pPr>
          </w:p>
        </w:tc>
        <w:tc>
          <w:tcPr>
            <w:tcW w:w="0" w:type="auto"/>
            <w:gridSpan w:val="3"/>
            <w:shd w:val="clear" w:color="auto" w:fill="auto"/>
          </w:tcPr>
          <w:p w14:paraId="33DAB446" w14:textId="77777777" w:rsidR="004D6A64" w:rsidRDefault="004D6A64">
            <w:pPr>
              <w:rPr>
                <w:rFonts w:ascii="宋体"/>
                <w:vanish/>
              </w:rPr>
            </w:pPr>
          </w:p>
        </w:tc>
        <w:tc>
          <w:tcPr>
            <w:tcW w:w="0" w:type="auto"/>
            <w:shd w:val="clear" w:color="auto" w:fill="auto"/>
          </w:tcPr>
          <w:p w14:paraId="33DAB447" w14:textId="77777777" w:rsidR="004D6A64" w:rsidRDefault="004D6A64">
            <w:pPr>
              <w:rPr>
                <w:rFonts w:ascii="宋体"/>
              </w:rPr>
            </w:pPr>
          </w:p>
        </w:tc>
        <w:tc>
          <w:tcPr>
            <w:tcW w:w="0" w:type="auto"/>
            <w:shd w:val="clear" w:color="auto" w:fill="auto"/>
          </w:tcPr>
          <w:p w14:paraId="33DAB448" w14:textId="77777777" w:rsidR="004D6A64" w:rsidRDefault="004D6A64">
            <w:pPr>
              <w:rPr>
                <w:rFonts w:ascii="宋体"/>
              </w:rPr>
            </w:pPr>
          </w:p>
        </w:tc>
        <w:tc>
          <w:tcPr>
            <w:tcW w:w="0" w:type="auto"/>
            <w:shd w:val="clear" w:color="auto" w:fill="auto"/>
          </w:tcPr>
          <w:p w14:paraId="33DAB449" w14:textId="77777777" w:rsidR="004D6A64" w:rsidRDefault="004D6A64">
            <w:pPr>
              <w:rPr>
                <w:rFonts w:ascii="宋体"/>
              </w:rPr>
            </w:pPr>
          </w:p>
        </w:tc>
        <w:tc>
          <w:tcPr>
            <w:tcW w:w="0" w:type="auto"/>
            <w:shd w:val="clear" w:color="auto" w:fill="auto"/>
          </w:tcPr>
          <w:p w14:paraId="33DAB44A" w14:textId="77777777" w:rsidR="004D6A64" w:rsidRDefault="004D6A64">
            <w:pPr>
              <w:rPr>
                <w:rFonts w:ascii="宋体"/>
              </w:rPr>
            </w:pPr>
          </w:p>
        </w:tc>
        <w:tc>
          <w:tcPr>
            <w:tcW w:w="0" w:type="auto"/>
            <w:shd w:val="clear" w:color="auto" w:fill="auto"/>
          </w:tcPr>
          <w:p w14:paraId="33DAB44B" w14:textId="77777777" w:rsidR="004D6A64" w:rsidRDefault="004D6A64">
            <w:pPr>
              <w:rPr>
                <w:rFonts w:ascii="宋体"/>
              </w:rPr>
            </w:pPr>
          </w:p>
        </w:tc>
        <w:tc>
          <w:tcPr>
            <w:tcW w:w="0" w:type="auto"/>
            <w:shd w:val="clear" w:color="auto" w:fill="auto"/>
          </w:tcPr>
          <w:p w14:paraId="33DAB44C" w14:textId="77777777" w:rsidR="004D6A64" w:rsidRDefault="004D6A64">
            <w:pPr>
              <w:rPr>
                <w:rFonts w:ascii="宋体"/>
              </w:rPr>
            </w:pPr>
          </w:p>
        </w:tc>
      </w:tr>
      <w:tr w:rsidR="004D6A64" w14:paraId="33DAB45A" w14:textId="77777777">
        <w:tc>
          <w:tcPr>
            <w:tcW w:w="0" w:type="auto"/>
            <w:gridSpan w:val="3"/>
            <w:shd w:val="clear" w:color="auto" w:fill="CCEEFF"/>
            <w:tcMar>
              <w:top w:w="40" w:type="dxa"/>
              <w:left w:w="20" w:type="dxa"/>
              <w:bottom w:w="40" w:type="dxa"/>
              <w:right w:w="20" w:type="dxa"/>
            </w:tcMar>
            <w:vAlign w:val="center"/>
          </w:tcPr>
          <w:p w14:paraId="33DAB44E"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4.42% due June 2021</w:t>
            </w:r>
          </w:p>
        </w:tc>
        <w:tc>
          <w:tcPr>
            <w:tcW w:w="0" w:type="auto"/>
            <w:gridSpan w:val="2"/>
            <w:shd w:val="clear" w:color="auto" w:fill="CCEEFF"/>
            <w:tcMar>
              <w:top w:w="40" w:type="dxa"/>
              <w:left w:w="20" w:type="dxa"/>
              <w:bottom w:w="40" w:type="dxa"/>
              <w:right w:w="0" w:type="dxa"/>
            </w:tcMar>
            <w:vAlign w:val="center"/>
          </w:tcPr>
          <w:p w14:paraId="33DAB44F" w14:textId="77777777" w:rsidR="004D6A64" w:rsidRDefault="00506CD6">
            <w:pPr>
              <w:jc w:val="right"/>
              <w:textAlignment w:val="center"/>
            </w:pPr>
            <w:r>
              <w:rPr>
                <w:rFonts w:ascii="Times New Roman" w:eastAsia="宋体" w:hAnsi="Times New Roman"/>
                <w:color w:val="000000"/>
                <w:sz w:val="20"/>
                <w:szCs w:val="20"/>
              </w:rPr>
              <w:t>3,065 </w:t>
            </w:r>
          </w:p>
        </w:tc>
        <w:tc>
          <w:tcPr>
            <w:tcW w:w="0" w:type="auto"/>
            <w:shd w:val="clear" w:color="auto" w:fill="CCEEFF"/>
            <w:tcMar>
              <w:top w:w="40" w:type="dxa"/>
              <w:bottom w:w="40" w:type="dxa"/>
              <w:right w:w="20" w:type="dxa"/>
            </w:tcMar>
            <w:vAlign w:val="center"/>
          </w:tcPr>
          <w:p w14:paraId="33DAB45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451"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B452" w14:textId="77777777" w:rsidR="004D6A64" w:rsidRDefault="00506CD6">
            <w:pPr>
              <w:jc w:val="right"/>
              <w:textAlignment w:val="center"/>
            </w:pPr>
            <w:r>
              <w:rPr>
                <w:rFonts w:ascii="Times New Roman" w:eastAsia="宋体" w:hAnsi="Times New Roman"/>
                <w:color w:val="000000"/>
                <w:sz w:val="20"/>
                <w:szCs w:val="20"/>
              </w:rPr>
              <w:t>4,500 </w:t>
            </w:r>
          </w:p>
        </w:tc>
        <w:tc>
          <w:tcPr>
            <w:tcW w:w="0" w:type="auto"/>
            <w:shd w:val="clear" w:color="auto" w:fill="CCEEFF"/>
            <w:tcMar>
              <w:top w:w="40" w:type="dxa"/>
              <w:bottom w:w="40" w:type="dxa"/>
              <w:right w:w="20" w:type="dxa"/>
            </w:tcMar>
            <w:vAlign w:val="center"/>
          </w:tcPr>
          <w:p w14:paraId="33DAB453" w14:textId="77777777" w:rsidR="004D6A64" w:rsidRDefault="004D6A64">
            <w:pPr>
              <w:jc w:val="right"/>
              <w:rPr>
                <w:rFonts w:ascii="宋体"/>
              </w:rPr>
            </w:pPr>
          </w:p>
        </w:tc>
        <w:tc>
          <w:tcPr>
            <w:tcW w:w="0" w:type="auto"/>
            <w:shd w:val="clear" w:color="auto" w:fill="auto"/>
          </w:tcPr>
          <w:p w14:paraId="33DAB454" w14:textId="77777777" w:rsidR="004D6A64" w:rsidRDefault="004D6A64">
            <w:pPr>
              <w:rPr>
                <w:rFonts w:ascii="宋体"/>
              </w:rPr>
            </w:pPr>
          </w:p>
        </w:tc>
        <w:tc>
          <w:tcPr>
            <w:tcW w:w="0" w:type="auto"/>
            <w:shd w:val="clear" w:color="auto" w:fill="auto"/>
          </w:tcPr>
          <w:p w14:paraId="33DAB455" w14:textId="77777777" w:rsidR="004D6A64" w:rsidRDefault="004D6A64">
            <w:pPr>
              <w:rPr>
                <w:rFonts w:ascii="宋体"/>
              </w:rPr>
            </w:pPr>
          </w:p>
        </w:tc>
        <w:tc>
          <w:tcPr>
            <w:tcW w:w="0" w:type="auto"/>
            <w:shd w:val="clear" w:color="auto" w:fill="auto"/>
          </w:tcPr>
          <w:p w14:paraId="33DAB456" w14:textId="77777777" w:rsidR="004D6A64" w:rsidRDefault="004D6A64">
            <w:pPr>
              <w:rPr>
                <w:rFonts w:ascii="宋体"/>
              </w:rPr>
            </w:pPr>
          </w:p>
        </w:tc>
        <w:tc>
          <w:tcPr>
            <w:tcW w:w="0" w:type="auto"/>
            <w:shd w:val="clear" w:color="auto" w:fill="auto"/>
          </w:tcPr>
          <w:p w14:paraId="33DAB457" w14:textId="77777777" w:rsidR="004D6A64" w:rsidRDefault="004D6A64">
            <w:pPr>
              <w:rPr>
                <w:rFonts w:ascii="宋体"/>
              </w:rPr>
            </w:pPr>
          </w:p>
        </w:tc>
        <w:tc>
          <w:tcPr>
            <w:tcW w:w="0" w:type="auto"/>
            <w:shd w:val="clear" w:color="auto" w:fill="auto"/>
          </w:tcPr>
          <w:p w14:paraId="33DAB458" w14:textId="77777777" w:rsidR="004D6A64" w:rsidRDefault="004D6A64">
            <w:pPr>
              <w:rPr>
                <w:rFonts w:ascii="宋体"/>
              </w:rPr>
            </w:pPr>
          </w:p>
        </w:tc>
        <w:tc>
          <w:tcPr>
            <w:tcW w:w="0" w:type="auto"/>
            <w:shd w:val="clear" w:color="auto" w:fill="auto"/>
          </w:tcPr>
          <w:p w14:paraId="33DAB459" w14:textId="77777777" w:rsidR="004D6A64" w:rsidRDefault="004D6A64">
            <w:pPr>
              <w:rPr>
                <w:rFonts w:ascii="宋体"/>
              </w:rPr>
            </w:pPr>
          </w:p>
        </w:tc>
      </w:tr>
      <w:tr w:rsidR="004D6A64" w14:paraId="33DAB467" w14:textId="77777777">
        <w:tc>
          <w:tcPr>
            <w:tcW w:w="0" w:type="auto"/>
            <w:gridSpan w:val="3"/>
            <w:shd w:val="clear" w:color="auto" w:fill="FFFFFF"/>
            <w:tcMar>
              <w:top w:w="40" w:type="dxa"/>
              <w:left w:w="20" w:type="dxa"/>
              <w:bottom w:w="40" w:type="dxa"/>
              <w:right w:w="20" w:type="dxa"/>
            </w:tcMar>
            <w:vAlign w:val="center"/>
          </w:tcPr>
          <w:p w14:paraId="33DAB45B"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5.45% due June 2023</w:t>
            </w:r>
          </w:p>
        </w:tc>
        <w:tc>
          <w:tcPr>
            <w:tcW w:w="0" w:type="auto"/>
            <w:gridSpan w:val="2"/>
            <w:shd w:val="clear" w:color="auto" w:fill="FFFFFF"/>
            <w:tcMar>
              <w:top w:w="40" w:type="dxa"/>
              <w:left w:w="20" w:type="dxa"/>
              <w:bottom w:w="40" w:type="dxa"/>
              <w:right w:w="0" w:type="dxa"/>
            </w:tcMar>
            <w:vAlign w:val="center"/>
          </w:tcPr>
          <w:p w14:paraId="33DAB45C" w14:textId="77777777" w:rsidR="004D6A64" w:rsidRDefault="00506CD6">
            <w:pPr>
              <w:jc w:val="right"/>
              <w:textAlignment w:val="center"/>
            </w:pPr>
            <w:r>
              <w:rPr>
                <w:rFonts w:ascii="Times New Roman" w:eastAsia="宋体" w:hAnsi="Times New Roman"/>
                <w:color w:val="000000"/>
                <w:sz w:val="20"/>
                <w:szCs w:val="20"/>
              </w:rPr>
              <w:t>3,750 </w:t>
            </w:r>
          </w:p>
        </w:tc>
        <w:tc>
          <w:tcPr>
            <w:tcW w:w="0" w:type="auto"/>
            <w:shd w:val="clear" w:color="auto" w:fill="FFFFFF"/>
            <w:tcMar>
              <w:top w:w="40" w:type="dxa"/>
              <w:bottom w:w="40" w:type="dxa"/>
              <w:right w:w="20" w:type="dxa"/>
            </w:tcMar>
            <w:vAlign w:val="center"/>
          </w:tcPr>
          <w:p w14:paraId="33DAB45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45E"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B45F" w14:textId="77777777" w:rsidR="004D6A64" w:rsidRDefault="00506CD6">
            <w:pPr>
              <w:jc w:val="right"/>
              <w:textAlignment w:val="center"/>
            </w:pPr>
            <w:r>
              <w:rPr>
                <w:rFonts w:ascii="Times New Roman" w:eastAsia="宋体" w:hAnsi="Times New Roman"/>
                <w:color w:val="000000"/>
                <w:sz w:val="20"/>
                <w:szCs w:val="20"/>
              </w:rPr>
              <w:t>3,750 </w:t>
            </w:r>
          </w:p>
        </w:tc>
        <w:tc>
          <w:tcPr>
            <w:tcW w:w="0" w:type="auto"/>
            <w:shd w:val="clear" w:color="auto" w:fill="FFFFFF"/>
            <w:tcMar>
              <w:top w:w="40" w:type="dxa"/>
              <w:bottom w:w="40" w:type="dxa"/>
              <w:right w:w="20" w:type="dxa"/>
            </w:tcMar>
            <w:vAlign w:val="center"/>
          </w:tcPr>
          <w:p w14:paraId="33DAB460" w14:textId="77777777" w:rsidR="004D6A64" w:rsidRDefault="004D6A64">
            <w:pPr>
              <w:jc w:val="right"/>
              <w:rPr>
                <w:rFonts w:ascii="宋体"/>
              </w:rPr>
            </w:pPr>
          </w:p>
        </w:tc>
        <w:tc>
          <w:tcPr>
            <w:tcW w:w="0" w:type="auto"/>
            <w:shd w:val="clear" w:color="auto" w:fill="auto"/>
          </w:tcPr>
          <w:p w14:paraId="33DAB461" w14:textId="77777777" w:rsidR="004D6A64" w:rsidRDefault="004D6A64">
            <w:pPr>
              <w:rPr>
                <w:rFonts w:ascii="宋体"/>
              </w:rPr>
            </w:pPr>
          </w:p>
        </w:tc>
        <w:tc>
          <w:tcPr>
            <w:tcW w:w="0" w:type="auto"/>
            <w:shd w:val="clear" w:color="auto" w:fill="auto"/>
          </w:tcPr>
          <w:p w14:paraId="33DAB462" w14:textId="77777777" w:rsidR="004D6A64" w:rsidRDefault="004D6A64">
            <w:pPr>
              <w:rPr>
                <w:rFonts w:ascii="宋体"/>
              </w:rPr>
            </w:pPr>
          </w:p>
        </w:tc>
        <w:tc>
          <w:tcPr>
            <w:tcW w:w="0" w:type="auto"/>
            <w:shd w:val="clear" w:color="auto" w:fill="auto"/>
          </w:tcPr>
          <w:p w14:paraId="33DAB463" w14:textId="77777777" w:rsidR="004D6A64" w:rsidRDefault="004D6A64">
            <w:pPr>
              <w:rPr>
                <w:rFonts w:ascii="宋体"/>
              </w:rPr>
            </w:pPr>
          </w:p>
        </w:tc>
        <w:tc>
          <w:tcPr>
            <w:tcW w:w="0" w:type="auto"/>
            <w:shd w:val="clear" w:color="auto" w:fill="auto"/>
          </w:tcPr>
          <w:p w14:paraId="33DAB464" w14:textId="77777777" w:rsidR="004D6A64" w:rsidRDefault="004D6A64">
            <w:pPr>
              <w:rPr>
                <w:rFonts w:ascii="宋体"/>
              </w:rPr>
            </w:pPr>
          </w:p>
        </w:tc>
        <w:tc>
          <w:tcPr>
            <w:tcW w:w="0" w:type="auto"/>
            <w:shd w:val="clear" w:color="auto" w:fill="auto"/>
          </w:tcPr>
          <w:p w14:paraId="33DAB465" w14:textId="77777777" w:rsidR="004D6A64" w:rsidRDefault="004D6A64">
            <w:pPr>
              <w:rPr>
                <w:rFonts w:ascii="宋体"/>
              </w:rPr>
            </w:pPr>
          </w:p>
        </w:tc>
        <w:tc>
          <w:tcPr>
            <w:tcW w:w="0" w:type="auto"/>
            <w:shd w:val="clear" w:color="auto" w:fill="auto"/>
          </w:tcPr>
          <w:p w14:paraId="33DAB466" w14:textId="77777777" w:rsidR="004D6A64" w:rsidRDefault="004D6A64">
            <w:pPr>
              <w:rPr>
                <w:rFonts w:ascii="宋体"/>
              </w:rPr>
            </w:pPr>
          </w:p>
        </w:tc>
      </w:tr>
      <w:tr w:rsidR="004D6A64" w14:paraId="33DAB474" w14:textId="77777777">
        <w:tc>
          <w:tcPr>
            <w:tcW w:w="0" w:type="auto"/>
            <w:gridSpan w:val="3"/>
            <w:shd w:val="clear" w:color="auto" w:fill="CCEEFF"/>
            <w:tcMar>
              <w:top w:w="40" w:type="dxa"/>
              <w:left w:w="20" w:type="dxa"/>
              <w:bottom w:w="40" w:type="dxa"/>
              <w:right w:w="20" w:type="dxa"/>
            </w:tcMar>
            <w:vAlign w:val="center"/>
          </w:tcPr>
          <w:p w14:paraId="33DAB468"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4.00% due July 2024</w:t>
            </w:r>
          </w:p>
        </w:tc>
        <w:tc>
          <w:tcPr>
            <w:tcW w:w="0" w:type="auto"/>
            <w:gridSpan w:val="2"/>
            <w:shd w:val="clear" w:color="auto" w:fill="CCEEFF"/>
            <w:tcMar>
              <w:top w:w="40" w:type="dxa"/>
              <w:left w:w="20" w:type="dxa"/>
              <w:bottom w:w="40" w:type="dxa"/>
              <w:right w:w="0" w:type="dxa"/>
            </w:tcMar>
            <w:vAlign w:val="center"/>
          </w:tcPr>
          <w:p w14:paraId="33DAB469" w14:textId="77777777" w:rsidR="004D6A64" w:rsidRDefault="00506CD6">
            <w:pPr>
              <w:jc w:val="right"/>
              <w:textAlignment w:val="center"/>
            </w:pPr>
            <w:r>
              <w:rPr>
                <w:rFonts w:ascii="Times New Roman" w:eastAsia="宋体" w:hAnsi="Times New Roman"/>
                <w:color w:val="000000"/>
                <w:sz w:val="20"/>
                <w:szCs w:val="20"/>
              </w:rPr>
              <w:t>1,000 </w:t>
            </w:r>
          </w:p>
        </w:tc>
        <w:tc>
          <w:tcPr>
            <w:tcW w:w="0" w:type="auto"/>
            <w:shd w:val="clear" w:color="auto" w:fill="CCEEFF"/>
            <w:tcMar>
              <w:top w:w="40" w:type="dxa"/>
              <w:bottom w:w="40" w:type="dxa"/>
              <w:right w:w="20" w:type="dxa"/>
            </w:tcMar>
            <w:vAlign w:val="center"/>
          </w:tcPr>
          <w:p w14:paraId="33DAB46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46B"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B46C" w14:textId="77777777" w:rsidR="004D6A64" w:rsidRDefault="00506CD6">
            <w:pPr>
              <w:jc w:val="right"/>
              <w:textAlignment w:val="center"/>
            </w:pPr>
            <w:r>
              <w:rPr>
                <w:rFonts w:ascii="Times New Roman" w:eastAsia="宋体" w:hAnsi="Times New Roman"/>
                <w:color w:val="000000"/>
                <w:sz w:val="20"/>
                <w:szCs w:val="20"/>
              </w:rPr>
              <w:t>1,000 </w:t>
            </w:r>
          </w:p>
        </w:tc>
        <w:tc>
          <w:tcPr>
            <w:tcW w:w="0" w:type="auto"/>
            <w:shd w:val="clear" w:color="auto" w:fill="CCEEFF"/>
            <w:tcMar>
              <w:top w:w="40" w:type="dxa"/>
              <w:bottom w:w="40" w:type="dxa"/>
              <w:right w:w="20" w:type="dxa"/>
            </w:tcMar>
            <w:vAlign w:val="center"/>
          </w:tcPr>
          <w:p w14:paraId="33DAB46D" w14:textId="77777777" w:rsidR="004D6A64" w:rsidRDefault="004D6A64">
            <w:pPr>
              <w:jc w:val="right"/>
              <w:rPr>
                <w:rFonts w:ascii="宋体"/>
              </w:rPr>
            </w:pPr>
          </w:p>
        </w:tc>
        <w:tc>
          <w:tcPr>
            <w:tcW w:w="0" w:type="auto"/>
            <w:shd w:val="clear" w:color="auto" w:fill="auto"/>
          </w:tcPr>
          <w:p w14:paraId="33DAB46E" w14:textId="77777777" w:rsidR="004D6A64" w:rsidRDefault="004D6A64">
            <w:pPr>
              <w:rPr>
                <w:rFonts w:ascii="宋体"/>
              </w:rPr>
            </w:pPr>
          </w:p>
        </w:tc>
        <w:tc>
          <w:tcPr>
            <w:tcW w:w="0" w:type="auto"/>
            <w:shd w:val="clear" w:color="auto" w:fill="auto"/>
          </w:tcPr>
          <w:p w14:paraId="33DAB46F" w14:textId="77777777" w:rsidR="004D6A64" w:rsidRDefault="004D6A64">
            <w:pPr>
              <w:rPr>
                <w:rFonts w:ascii="宋体"/>
              </w:rPr>
            </w:pPr>
          </w:p>
        </w:tc>
        <w:tc>
          <w:tcPr>
            <w:tcW w:w="0" w:type="auto"/>
            <w:shd w:val="clear" w:color="auto" w:fill="auto"/>
          </w:tcPr>
          <w:p w14:paraId="33DAB470" w14:textId="77777777" w:rsidR="004D6A64" w:rsidRDefault="004D6A64">
            <w:pPr>
              <w:rPr>
                <w:rFonts w:ascii="宋体"/>
              </w:rPr>
            </w:pPr>
          </w:p>
        </w:tc>
        <w:tc>
          <w:tcPr>
            <w:tcW w:w="0" w:type="auto"/>
            <w:shd w:val="clear" w:color="auto" w:fill="auto"/>
          </w:tcPr>
          <w:p w14:paraId="33DAB471" w14:textId="77777777" w:rsidR="004D6A64" w:rsidRDefault="004D6A64">
            <w:pPr>
              <w:rPr>
                <w:rFonts w:ascii="宋体"/>
              </w:rPr>
            </w:pPr>
          </w:p>
        </w:tc>
        <w:tc>
          <w:tcPr>
            <w:tcW w:w="0" w:type="auto"/>
            <w:shd w:val="clear" w:color="auto" w:fill="auto"/>
          </w:tcPr>
          <w:p w14:paraId="33DAB472" w14:textId="77777777" w:rsidR="004D6A64" w:rsidRDefault="004D6A64">
            <w:pPr>
              <w:rPr>
                <w:rFonts w:ascii="宋体"/>
              </w:rPr>
            </w:pPr>
          </w:p>
        </w:tc>
        <w:tc>
          <w:tcPr>
            <w:tcW w:w="0" w:type="auto"/>
            <w:shd w:val="clear" w:color="auto" w:fill="auto"/>
          </w:tcPr>
          <w:p w14:paraId="33DAB473" w14:textId="77777777" w:rsidR="004D6A64" w:rsidRDefault="004D6A64">
            <w:pPr>
              <w:rPr>
                <w:rFonts w:ascii="宋体"/>
              </w:rPr>
            </w:pPr>
          </w:p>
        </w:tc>
      </w:tr>
      <w:tr w:rsidR="004D6A64" w14:paraId="33DAB481" w14:textId="77777777">
        <w:tc>
          <w:tcPr>
            <w:tcW w:w="0" w:type="auto"/>
            <w:gridSpan w:val="3"/>
            <w:shd w:val="clear" w:color="auto" w:fill="FFFFFF"/>
            <w:tcMar>
              <w:top w:w="40" w:type="dxa"/>
              <w:left w:w="20" w:type="dxa"/>
              <w:bottom w:w="40" w:type="dxa"/>
              <w:right w:w="20" w:type="dxa"/>
            </w:tcMar>
            <w:vAlign w:val="center"/>
          </w:tcPr>
          <w:p w14:paraId="33DAB475"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5.85% due July 2025</w:t>
            </w:r>
          </w:p>
        </w:tc>
        <w:tc>
          <w:tcPr>
            <w:tcW w:w="0" w:type="auto"/>
            <w:gridSpan w:val="2"/>
            <w:shd w:val="clear" w:color="auto" w:fill="FFFFFF"/>
            <w:tcMar>
              <w:top w:w="40" w:type="dxa"/>
              <w:left w:w="20" w:type="dxa"/>
              <w:bottom w:w="40" w:type="dxa"/>
              <w:right w:w="0" w:type="dxa"/>
            </w:tcMar>
            <w:vAlign w:val="center"/>
          </w:tcPr>
          <w:p w14:paraId="33DAB476" w14:textId="77777777" w:rsidR="004D6A64" w:rsidRDefault="00506CD6">
            <w:pPr>
              <w:jc w:val="right"/>
              <w:textAlignment w:val="center"/>
            </w:pPr>
            <w:r>
              <w:rPr>
                <w:rFonts w:ascii="Times New Roman" w:eastAsia="宋体" w:hAnsi="Times New Roman"/>
                <w:color w:val="000000"/>
                <w:sz w:val="20"/>
                <w:szCs w:val="20"/>
              </w:rPr>
              <w:t>1,000 </w:t>
            </w:r>
          </w:p>
        </w:tc>
        <w:tc>
          <w:tcPr>
            <w:tcW w:w="0" w:type="auto"/>
            <w:shd w:val="clear" w:color="auto" w:fill="FFFFFF"/>
            <w:tcMar>
              <w:top w:w="40" w:type="dxa"/>
              <w:bottom w:w="40" w:type="dxa"/>
              <w:right w:w="20" w:type="dxa"/>
            </w:tcMar>
            <w:vAlign w:val="center"/>
          </w:tcPr>
          <w:p w14:paraId="33DAB47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478"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B479"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B47A" w14:textId="77777777" w:rsidR="004D6A64" w:rsidRDefault="004D6A64">
            <w:pPr>
              <w:jc w:val="right"/>
              <w:rPr>
                <w:rFonts w:ascii="宋体"/>
              </w:rPr>
            </w:pPr>
          </w:p>
        </w:tc>
        <w:tc>
          <w:tcPr>
            <w:tcW w:w="0" w:type="auto"/>
            <w:shd w:val="clear" w:color="auto" w:fill="auto"/>
          </w:tcPr>
          <w:p w14:paraId="33DAB47B" w14:textId="77777777" w:rsidR="004D6A64" w:rsidRDefault="004D6A64">
            <w:pPr>
              <w:rPr>
                <w:rFonts w:ascii="宋体"/>
              </w:rPr>
            </w:pPr>
          </w:p>
        </w:tc>
        <w:tc>
          <w:tcPr>
            <w:tcW w:w="0" w:type="auto"/>
            <w:shd w:val="clear" w:color="auto" w:fill="auto"/>
          </w:tcPr>
          <w:p w14:paraId="33DAB47C" w14:textId="77777777" w:rsidR="004D6A64" w:rsidRDefault="004D6A64">
            <w:pPr>
              <w:rPr>
                <w:rFonts w:ascii="宋体"/>
              </w:rPr>
            </w:pPr>
          </w:p>
        </w:tc>
        <w:tc>
          <w:tcPr>
            <w:tcW w:w="0" w:type="auto"/>
            <w:shd w:val="clear" w:color="auto" w:fill="auto"/>
          </w:tcPr>
          <w:p w14:paraId="33DAB47D" w14:textId="77777777" w:rsidR="004D6A64" w:rsidRDefault="004D6A64">
            <w:pPr>
              <w:rPr>
                <w:rFonts w:ascii="宋体"/>
              </w:rPr>
            </w:pPr>
          </w:p>
        </w:tc>
        <w:tc>
          <w:tcPr>
            <w:tcW w:w="0" w:type="auto"/>
            <w:shd w:val="clear" w:color="auto" w:fill="auto"/>
          </w:tcPr>
          <w:p w14:paraId="33DAB47E" w14:textId="77777777" w:rsidR="004D6A64" w:rsidRDefault="004D6A64">
            <w:pPr>
              <w:rPr>
                <w:rFonts w:ascii="宋体"/>
              </w:rPr>
            </w:pPr>
          </w:p>
        </w:tc>
        <w:tc>
          <w:tcPr>
            <w:tcW w:w="0" w:type="auto"/>
            <w:shd w:val="clear" w:color="auto" w:fill="auto"/>
          </w:tcPr>
          <w:p w14:paraId="33DAB47F" w14:textId="77777777" w:rsidR="004D6A64" w:rsidRDefault="004D6A64">
            <w:pPr>
              <w:rPr>
                <w:rFonts w:ascii="宋体"/>
              </w:rPr>
            </w:pPr>
          </w:p>
        </w:tc>
        <w:tc>
          <w:tcPr>
            <w:tcW w:w="0" w:type="auto"/>
            <w:shd w:val="clear" w:color="auto" w:fill="auto"/>
          </w:tcPr>
          <w:p w14:paraId="33DAB480" w14:textId="77777777" w:rsidR="004D6A64" w:rsidRDefault="004D6A64">
            <w:pPr>
              <w:rPr>
                <w:rFonts w:ascii="宋体"/>
              </w:rPr>
            </w:pPr>
          </w:p>
        </w:tc>
      </w:tr>
      <w:tr w:rsidR="004D6A64" w14:paraId="33DAB48E" w14:textId="77777777">
        <w:tc>
          <w:tcPr>
            <w:tcW w:w="0" w:type="auto"/>
            <w:gridSpan w:val="3"/>
            <w:shd w:val="clear" w:color="auto" w:fill="CCEEFF"/>
            <w:tcMar>
              <w:top w:w="40" w:type="dxa"/>
              <w:left w:w="20" w:type="dxa"/>
              <w:bottom w:w="40" w:type="dxa"/>
              <w:right w:w="20" w:type="dxa"/>
            </w:tcMar>
            <w:vAlign w:val="center"/>
          </w:tcPr>
          <w:p w14:paraId="33DAB482"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6.02% due June 2026</w:t>
            </w:r>
          </w:p>
        </w:tc>
        <w:tc>
          <w:tcPr>
            <w:tcW w:w="0" w:type="auto"/>
            <w:gridSpan w:val="2"/>
            <w:shd w:val="clear" w:color="auto" w:fill="CCEEFF"/>
            <w:tcMar>
              <w:top w:w="40" w:type="dxa"/>
              <w:left w:w="20" w:type="dxa"/>
              <w:bottom w:w="40" w:type="dxa"/>
              <w:right w:w="0" w:type="dxa"/>
            </w:tcMar>
            <w:vAlign w:val="center"/>
          </w:tcPr>
          <w:p w14:paraId="33DAB483" w14:textId="77777777" w:rsidR="004D6A64" w:rsidRDefault="00506CD6">
            <w:pPr>
              <w:jc w:val="right"/>
              <w:textAlignment w:val="center"/>
            </w:pPr>
            <w:r>
              <w:rPr>
                <w:rFonts w:ascii="Times New Roman" w:eastAsia="宋体" w:hAnsi="Times New Roman"/>
                <w:color w:val="000000"/>
                <w:sz w:val="20"/>
                <w:szCs w:val="20"/>
              </w:rPr>
              <w:t>4,500 </w:t>
            </w:r>
          </w:p>
        </w:tc>
        <w:tc>
          <w:tcPr>
            <w:tcW w:w="0" w:type="auto"/>
            <w:shd w:val="clear" w:color="auto" w:fill="CCEEFF"/>
            <w:tcMar>
              <w:top w:w="40" w:type="dxa"/>
              <w:bottom w:w="40" w:type="dxa"/>
              <w:right w:w="20" w:type="dxa"/>
            </w:tcMar>
            <w:vAlign w:val="center"/>
          </w:tcPr>
          <w:p w14:paraId="33DAB48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48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B486" w14:textId="77777777" w:rsidR="004D6A64" w:rsidRDefault="00506CD6">
            <w:pPr>
              <w:jc w:val="right"/>
              <w:textAlignment w:val="center"/>
            </w:pPr>
            <w:r>
              <w:rPr>
                <w:rFonts w:ascii="Times New Roman" w:eastAsia="宋体" w:hAnsi="Times New Roman"/>
                <w:color w:val="000000"/>
                <w:sz w:val="20"/>
                <w:szCs w:val="20"/>
              </w:rPr>
              <w:t>4,500 </w:t>
            </w:r>
          </w:p>
        </w:tc>
        <w:tc>
          <w:tcPr>
            <w:tcW w:w="0" w:type="auto"/>
            <w:shd w:val="clear" w:color="auto" w:fill="CCEEFF"/>
            <w:tcMar>
              <w:top w:w="40" w:type="dxa"/>
              <w:bottom w:w="40" w:type="dxa"/>
              <w:right w:w="20" w:type="dxa"/>
            </w:tcMar>
            <w:vAlign w:val="center"/>
          </w:tcPr>
          <w:p w14:paraId="33DAB487" w14:textId="77777777" w:rsidR="004D6A64" w:rsidRDefault="004D6A64">
            <w:pPr>
              <w:jc w:val="right"/>
              <w:rPr>
                <w:rFonts w:ascii="宋体"/>
              </w:rPr>
            </w:pPr>
          </w:p>
        </w:tc>
        <w:tc>
          <w:tcPr>
            <w:tcW w:w="0" w:type="auto"/>
            <w:shd w:val="clear" w:color="auto" w:fill="auto"/>
          </w:tcPr>
          <w:p w14:paraId="33DAB488" w14:textId="77777777" w:rsidR="004D6A64" w:rsidRDefault="004D6A64">
            <w:pPr>
              <w:rPr>
                <w:rFonts w:ascii="宋体"/>
              </w:rPr>
            </w:pPr>
          </w:p>
        </w:tc>
        <w:tc>
          <w:tcPr>
            <w:tcW w:w="0" w:type="auto"/>
            <w:shd w:val="clear" w:color="auto" w:fill="auto"/>
          </w:tcPr>
          <w:p w14:paraId="33DAB489" w14:textId="77777777" w:rsidR="004D6A64" w:rsidRDefault="004D6A64">
            <w:pPr>
              <w:rPr>
                <w:rFonts w:ascii="宋体"/>
              </w:rPr>
            </w:pPr>
          </w:p>
        </w:tc>
        <w:tc>
          <w:tcPr>
            <w:tcW w:w="0" w:type="auto"/>
            <w:shd w:val="clear" w:color="auto" w:fill="auto"/>
          </w:tcPr>
          <w:p w14:paraId="33DAB48A" w14:textId="77777777" w:rsidR="004D6A64" w:rsidRDefault="004D6A64">
            <w:pPr>
              <w:rPr>
                <w:rFonts w:ascii="宋体"/>
              </w:rPr>
            </w:pPr>
          </w:p>
        </w:tc>
        <w:tc>
          <w:tcPr>
            <w:tcW w:w="0" w:type="auto"/>
            <w:shd w:val="clear" w:color="auto" w:fill="auto"/>
          </w:tcPr>
          <w:p w14:paraId="33DAB48B" w14:textId="77777777" w:rsidR="004D6A64" w:rsidRDefault="004D6A64">
            <w:pPr>
              <w:rPr>
                <w:rFonts w:ascii="宋体"/>
              </w:rPr>
            </w:pPr>
          </w:p>
        </w:tc>
        <w:tc>
          <w:tcPr>
            <w:tcW w:w="0" w:type="auto"/>
            <w:shd w:val="clear" w:color="auto" w:fill="auto"/>
          </w:tcPr>
          <w:p w14:paraId="33DAB48C" w14:textId="77777777" w:rsidR="004D6A64" w:rsidRDefault="004D6A64">
            <w:pPr>
              <w:rPr>
                <w:rFonts w:ascii="宋体"/>
              </w:rPr>
            </w:pPr>
          </w:p>
        </w:tc>
        <w:tc>
          <w:tcPr>
            <w:tcW w:w="0" w:type="auto"/>
            <w:shd w:val="clear" w:color="auto" w:fill="auto"/>
          </w:tcPr>
          <w:p w14:paraId="33DAB48D" w14:textId="77777777" w:rsidR="004D6A64" w:rsidRDefault="004D6A64">
            <w:pPr>
              <w:rPr>
                <w:rFonts w:ascii="宋体"/>
              </w:rPr>
            </w:pPr>
          </w:p>
        </w:tc>
      </w:tr>
      <w:tr w:rsidR="004D6A64" w14:paraId="33DAB49B" w14:textId="77777777">
        <w:tc>
          <w:tcPr>
            <w:tcW w:w="0" w:type="auto"/>
            <w:gridSpan w:val="3"/>
            <w:shd w:val="clear" w:color="auto" w:fill="FFFFFF"/>
            <w:tcMar>
              <w:top w:w="40" w:type="dxa"/>
              <w:left w:w="20" w:type="dxa"/>
              <w:bottom w:w="40" w:type="dxa"/>
              <w:right w:w="20" w:type="dxa"/>
            </w:tcMar>
            <w:vAlign w:val="center"/>
          </w:tcPr>
          <w:p w14:paraId="33DAB48F"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4.90% due October 2026</w:t>
            </w:r>
          </w:p>
        </w:tc>
        <w:tc>
          <w:tcPr>
            <w:tcW w:w="0" w:type="auto"/>
            <w:gridSpan w:val="2"/>
            <w:shd w:val="clear" w:color="auto" w:fill="FFFFFF"/>
            <w:tcMar>
              <w:top w:w="40" w:type="dxa"/>
              <w:left w:w="20" w:type="dxa"/>
              <w:bottom w:w="40" w:type="dxa"/>
              <w:right w:w="0" w:type="dxa"/>
            </w:tcMar>
            <w:vAlign w:val="center"/>
          </w:tcPr>
          <w:p w14:paraId="33DAB490" w14:textId="77777777" w:rsidR="004D6A64" w:rsidRDefault="00506CD6">
            <w:pPr>
              <w:jc w:val="right"/>
              <w:textAlignment w:val="center"/>
            </w:pPr>
            <w:r>
              <w:rPr>
                <w:rFonts w:ascii="Times New Roman" w:eastAsia="宋体" w:hAnsi="Times New Roman"/>
                <w:color w:val="000000"/>
                <w:sz w:val="20"/>
                <w:szCs w:val="20"/>
              </w:rPr>
              <w:t>1,750 </w:t>
            </w:r>
          </w:p>
        </w:tc>
        <w:tc>
          <w:tcPr>
            <w:tcW w:w="0" w:type="auto"/>
            <w:shd w:val="clear" w:color="auto" w:fill="FFFFFF"/>
            <w:tcMar>
              <w:top w:w="40" w:type="dxa"/>
              <w:bottom w:w="40" w:type="dxa"/>
              <w:right w:w="20" w:type="dxa"/>
            </w:tcMar>
            <w:vAlign w:val="center"/>
          </w:tcPr>
          <w:p w14:paraId="33DAB49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492"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B493" w14:textId="77777777" w:rsidR="004D6A64" w:rsidRDefault="00506CD6">
            <w:pPr>
              <w:jc w:val="right"/>
              <w:textAlignment w:val="center"/>
            </w:pPr>
            <w:r>
              <w:rPr>
                <w:rFonts w:ascii="Times New Roman" w:eastAsia="宋体" w:hAnsi="Times New Roman"/>
                <w:color w:val="000000"/>
                <w:sz w:val="20"/>
                <w:szCs w:val="20"/>
              </w:rPr>
              <w:t>1,750 </w:t>
            </w:r>
          </w:p>
        </w:tc>
        <w:tc>
          <w:tcPr>
            <w:tcW w:w="0" w:type="auto"/>
            <w:shd w:val="clear" w:color="auto" w:fill="FFFFFF"/>
            <w:tcMar>
              <w:top w:w="40" w:type="dxa"/>
              <w:bottom w:w="40" w:type="dxa"/>
              <w:right w:w="20" w:type="dxa"/>
            </w:tcMar>
            <w:vAlign w:val="center"/>
          </w:tcPr>
          <w:p w14:paraId="33DAB494" w14:textId="77777777" w:rsidR="004D6A64" w:rsidRDefault="004D6A64">
            <w:pPr>
              <w:jc w:val="right"/>
              <w:rPr>
                <w:rFonts w:ascii="宋体"/>
              </w:rPr>
            </w:pPr>
          </w:p>
        </w:tc>
        <w:tc>
          <w:tcPr>
            <w:tcW w:w="0" w:type="auto"/>
            <w:shd w:val="clear" w:color="auto" w:fill="auto"/>
          </w:tcPr>
          <w:p w14:paraId="33DAB495" w14:textId="77777777" w:rsidR="004D6A64" w:rsidRDefault="004D6A64">
            <w:pPr>
              <w:rPr>
                <w:rFonts w:ascii="宋体"/>
              </w:rPr>
            </w:pPr>
          </w:p>
        </w:tc>
        <w:tc>
          <w:tcPr>
            <w:tcW w:w="0" w:type="auto"/>
            <w:shd w:val="clear" w:color="auto" w:fill="auto"/>
          </w:tcPr>
          <w:p w14:paraId="33DAB496" w14:textId="77777777" w:rsidR="004D6A64" w:rsidRDefault="004D6A64">
            <w:pPr>
              <w:rPr>
                <w:rFonts w:ascii="宋体"/>
              </w:rPr>
            </w:pPr>
          </w:p>
        </w:tc>
        <w:tc>
          <w:tcPr>
            <w:tcW w:w="0" w:type="auto"/>
            <w:shd w:val="clear" w:color="auto" w:fill="auto"/>
          </w:tcPr>
          <w:p w14:paraId="33DAB497" w14:textId="77777777" w:rsidR="004D6A64" w:rsidRDefault="004D6A64">
            <w:pPr>
              <w:rPr>
                <w:rFonts w:ascii="宋体"/>
              </w:rPr>
            </w:pPr>
          </w:p>
        </w:tc>
        <w:tc>
          <w:tcPr>
            <w:tcW w:w="0" w:type="auto"/>
            <w:shd w:val="clear" w:color="auto" w:fill="auto"/>
          </w:tcPr>
          <w:p w14:paraId="33DAB498" w14:textId="77777777" w:rsidR="004D6A64" w:rsidRDefault="004D6A64">
            <w:pPr>
              <w:rPr>
                <w:rFonts w:ascii="宋体"/>
              </w:rPr>
            </w:pPr>
          </w:p>
        </w:tc>
        <w:tc>
          <w:tcPr>
            <w:tcW w:w="0" w:type="auto"/>
            <w:shd w:val="clear" w:color="auto" w:fill="auto"/>
          </w:tcPr>
          <w:p w14:paraId="33DAB499" w14:textId="77777777" w:rsidR="004D6A64" w:rsidRDefault="004D6A64">
            <w:pPr>
              <w:rPr>
                <w:rFonts w:ascii="宋体"/>
              </w:rPr>
            </w:pPr>
          </w:p>
        </w:tc>
        <w:tc>
          <w:tcPr>
            <w:tcW w:w="0" w:type="auto"/>
            <w:shd w:val="clear" w:color="auto" w:fill="auto"/>
          </w:tcPr>
          <w:p w14:paraId="33DAB49A" w14:textId="77777777" w:rsidR="004D6A64" w:rsidRDefault="004D6A64">
            <w:pPr>
              <w:rPr>
                <w:rFonts w:ascii="宋体"/>
              </w:rPr>
            </w:pPr>
          </w:p>
        </w:tc>
      </w:tr>
      <w:tr w:rsidR="004D6A64" w14:paraId="33DAB4A8" w14:textId="77777777">
        <w:tc>
          <w:tcPr>
            <w:tcW w:w="0" w:type="auto"/>
            <w:gridSpan w:val="3"/>
            <w:shd w:val="clear" w:color="auto" w:fill="CCEEFF"/>
            <w:tcMar>
              <w:top w:w="40" w:type="dxa"/>
              <w:left w:w="20" w:type="dxa"/>
              <w:bottom w:w="40" w:type="dxa"/>
              <w:right w:w="20" w:type="dxa"/>
            </w:tcMar>
            <w:vAlign w:val="center"/>
          </w:tcPr>
          <w:p w14:paraId="33DAB49C"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6.10% due July 2027</w:t>
            </w:r>
          </w:p>
        </w:tc>
        <w:tc>
          <w:tcPr>
            <w:tcW w:w="0" w:type="auto"/>
            <w:gridSpan w:val="2"/>
            <w:shd w:val="clear" w:color="auto" w:fill="CCEEFF"/>
            <w:tcMar>
              <w:top w:w="40" w:type="dxa"/>
              <w:left w:w="20" w:type="dxa"/>
              <w:bottom w:w="40" w:type="dxa"/>
              <w:right w:w="0" w:type="dxa"/>
            </w:tcMar>
            <w:vAlign w:val="center"/>
          </w:tcPr>
          <w:p w14:paraId="33DAB49D" w14:textId="77777777" w:rsidR="004D6A64" w:rsidRDefault="00506CD6">
            <w:pPr>
              <w:jc w:val="right"/>
              <w:textAlignment w:val="center"/>
            </w:pPr>
            <w:r>
              <w:rPr>
                <w:rFonts w:ascii="Times New Roman" w:eastAsia="宋体" w:hAnsi="Times New Roman"/>
                <w:color w:val="000000"/>
                <w:sz w:val="20"/>
                <w:szCs w:val="20"/>
              </w:rPr>
              <w:t>500 </w:t>
            </w:r>
          </w:p>
        </w:tc>
        <w:tc>
          <w:tcPr>
            <w:tcW w:w="0" w:type="auto"/>
            <w:shd w:val="clear" w:color="auto" w:fill="CCEEFF"/>
            <w:tcMar>
              <w:top w:w="40" w:type="dxa"/>
              <w:bottom w:w="40" w:type="dxa"/>
              <w:right w:w="20" w:type="dxa"/>
            </w:tcMar>
            <w:vAlign w:val="center"/>
          </w:tcPr>
          <w:p w14:paraId="33DAB49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49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B4A0"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B4A1" w14:textId="77777777" w:rsidR="004D6A64" w:rsidRDefault="004D6A64">
            <w:pPr>
              <w:jc w:val="right"/>
              <w:rPr>
                <w:rFonts w:ascii="宋体"/>
              </w:rPr>
            </w:pPr>
          </w:p>
        </w:tc>
        <w:tc>
          <w:tcPr>
            <w:tcW w:w="0" w:type="auto"/>
            <w:shd w:val="clear" w:color="auto" w:fill="auto"/>
          </w:tcPr>
          <w:p w14:paraId="33DAB4A2" w14:textId="77777777" w:rsidR="004D6A64" w:rsidRDefault="004D6A64">
            <w:pPr>
              <w:rPr>
                <w:rFonts w:ascii="宋体"/>
              </w:rPr>
            </w:pPr>
          </w:p>
        </w:tc>
        <w:tc>
          <w:tcPr>
            <w:tcW w:w="0" w:type="auto"/>
            <w:shd w:val="clear" w:color="auto" w:fill="auto"/>
          </w:tcPr>
          <w:p w14:paraId="33DAB4A3" w14:textId="77777777" w:rsidR="004D6A64" w:rsidRDefault="004D6A64">
            <w:pPr>
              <w:rPr>
                <w:rFonts w:ascii="宋体"/>
              </w:rPr>
            </w:pPr>
          </w:p>
        </w:tc>
        <w:tc>
          <w:tcPr>
            <w:tcW w:w="0" w:type="auto"/>
            <w:shd w:val="clear" w:color="auto" w:fill="auto"/>
          </w:tcPr>
          <w:p w14:paraId="33DAB4A4" w14:textId="77777777" w:rsidR="004D6A64" w:rsidRDefault="004D6A64">
            <w:pPr>
              <w:rPr>
                <w:rFonts w:ascii="宋体"/>
              </w:rPr>
            </w:pPr>
          </w:p>
        </w:tc>
        <w:tc>
          <w:tcPr>
            <w:tcW w:w="0" w:type="auto"/>
            <w:shd w:val="clear" w:color="auto" w:fill="auto"/>
          </w:tcPr>
          <w:p w14:paraId="33DAB4A5" w14:textId="77777777" w:rsidR="004D6A64" w:rsidRDefault="004D6A64">
            <w:pPr>
              <w:rPr>
                <w:rFonts w:ascii="宋体"/>
              </w:rPr>
            </w:pPr>
          </w:p>
        </w:tc>
        <w:tc>
          <w:tcPr>
            <w:tcW w:w="0" w:type="auto"/>
            <w:shd w:val="clear" w:color="auto" w:fill="auto"/>
          </w:tcPr>
          <w:p w14:paraId="33DAB4A6" w14:textId="77777777" w:rsidR="004D6A64" w:rsidRDefault="004D6A64">
            <w:pPr>
              <w:rPr>
                <w:rFonts w:ascii="宋体"/>
              </w:rPr>
            </w:pPr>
          </w:p>
        </w:tc>
        <w:tc>
          <w:tcPr>
            <w:tcW w:w="0" w:type="auto"/>
            <w:shd w:val="clear" w:color="auto" w:fill="auto"/>
          </w:tcPr>
          <w:p w14:paraId="33DAB4A7" w14:textId="77777777" w:rsidR="004D6A64" w:rsidRDefault="004D6A64">
            <w:pPr>
              <w:rPr>
                <w:rFonts w:ascii="宋体"/>
              </w:rPr>
            </w:pPr>
          </w:p>
        </w:tc>
      </w:tr>
      <w:tr w:rsidR="004D6A64" w14:paraId="33DAB4B5" w14:textId="77777777">
        <w:tc>
          <w:tcPr>
            <w:tcW w:w="0" w:type="auto"/>
            <w:gridSpan w:val="3"/>
            <w:shd w:val="clear" w:color="auto" w:fill="FFFFFF"/>
            <w:tcMar>
              <w:top w:w="40" w:type="dxa"/>
              <w:left w:w="20" w:type="dxa"/>
              <w:bottom w:w="40" w:type="dxa"/>
              <w:right w:w="20" w:type="dxa"/>
            </w:tcMar>
            <w:vAlign w:val="center"/>
          </w:tcPr>
          <w:p w14:paraId="33DAB4A9"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 xml:space="preserve">5.30% due </w:t>
            </w:r>
            <w:r>
              <w:rPr>
                <w:rFonts w:ascii="Times New Roman" w:eastAsia="宋体" w:hAnsi="Times New Roman"/>
                <w:color w:val="000000"/>
                <w:sz w:val="20"/>
                <w:szCs w:val="20"/>
              </w:rPr>
              <w:t>October 2029</w:t>
            </w:r>
          </w:p>
        </w:tc>
        <w:tc>
          <w:tcPr>
            <w:tcW w:w="0" w:type="auto"/>
            <w:gridSpan w:val="2"/>
            <w:shd w:val="clear" w:color="auto" w:fill="FFFFFF"/>
            <w:tcMar>
              <w:top w:w="40" w:type="dxa"/>
              <w:left w:w="20" w:type="dxa"/>
              <w:bottom w:w="40" w:type="dxa"/>
              <w:right w:w="0" w:type="dxa"/>
            </w:tcMar>
            <w:vAlign w:val="center"/>
          </w:tcPr>
          <w:p w14:paraId="33DAB4AA" w14:textId="77777777" w:rsidR="004D6A64" w:rsidRDefault="00506CD6">
            <w:pPr>
              <w:jc w:val="right"/>
              <w:textAlignment w:val="center"/>
            </w:pPr>
            <w:r>
              <w:rPr>
                <w:rFonts w:ascii="Times New Roman" w:eastAsia="宋体" w:hAnsi="Times New Roman"/>
                <w:color w:val="000000"/>
                <w:sz w:val="20"/>
                <w:szCs w:val="20"/>
              </w:rPr>
              <w:t>1,750 </w:t>
            </w:r>
          </w:p>
        </w:tc>
        <w:tc>
          <w:tcPr>
            <w:tcW w:w="0" w:type="auto"/>
            <w:shd w:val="clear" w:color="auto" w:fill="FFFFFF"/>
            <w:tcMar>
              <w:top w:w="40" w:type="dxa"/>
              <w:bottom w:w="40" w:type="dxa"/>
              <w:right w:w="20" w:type="dxa"/>
            </w:tcMar>
            <w:vAlign w:val="center"/>
          </w:tcPr>
          <w:p w14:paraId="33DAB4A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4AC"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B4AD" w14:textId="77777777" w:rsidR="004D6A64" w:rsidRDefault="00506CD6">
            <w:pPr>
              <w:jc w:val="right"/>
              <w:textAlignment w:val="center"/>
            </w:pPr>
            <w:r>
              <w:rPr>
                <w:rFonts w:ascii="Times New Roman" w:eastAsia="宋体" w:hAnsi="Times New Roman"/>
                <w:color w:val="000000"/>
                <w:sz w:val="20"/>
                <w:szCs w:val="20"/>
              </w:rPr>
              <w:t>1,750 </w:t>
            </w:r>
          </w:p>
        </w:tc>
        <w:tc>
          <w:tcPr>
            <w:tcW w:w="0" w:type="auto"/>
            <w:shd w:val="clear" w:color="auto" w:fill="FFFFFF"/>
            <w:tcMar>
              <w:top w:w="40" w:type="dxa"/>
              <w:bottom w:w="40" w:type="dxa"/>
              <w:right w:w="20" w:type="dxa"/>
            </w:tcMar>
            <w:vAlign w:val="center"/>
          </w:tcPr>
          <w:p w14:paraId="33DAB4AE" w14:textId="77777777" w:rsidR="004D6A64" w:rsidRDefault="004D6A64">
            <w:pPr>
              <w:jc w:val="right"/>
              <w:rPr>
                <w:rFonts w:ascii="宋体"/>
              </w:rPr>
            </w:pPr>
          </w:p>
        </w:tc>
        <w:tc>
          <w:tcPr>
            <w:tcW w:w="0" w:type="auto"/>
            <w:shd w:val="clear" w:color="auto" w:fill="auto"/>
          </w:tcPr>
          <w:p w14:paraId="33DAB4AF" w14:textId="77777777" w:rsidR="004D6A64" w:rsidRDefault="004D6A64">
            <w:pPr>
              <w:rPr>
                <w:rFonts w:ascii="宋体"/>
              </w:rPr>
            </w:pPr>
          </w:p>
        </w:tc>
        <w:tc>
          <w:tcPr>
            <w:tcW w:w="0" w:type="auto"/>
            <w:shd w:val="clear" w:color="auto" w:fill="auto"/>
          </w:tcPr>
          <w:p w14:paraId="33DAB4B0" w14:textId="77777777" w:rsidR="004D6A64" w:rsidRDefault="004D6A64">
            <w:pPr>
              <w:rPr>
                <w:rFonts w:ascii="宋体"/>
              </w:rPr>
            </w:pPr>
          </w:p>
        </w:tc>
        <w:tc>
          <w:tcPr>
            <w:tcW w:w="0" w:type="auto"/>
            <w:shd w:val="clear" w:color="auto" w:fill="auto"/>
          </w:tcPr>
          <w:p w14:paraId="33DAB4B1" w14:textId="77777777" w:rsidR="004D6A64" w:rsidRDefault="004D6A64">
            <w:pPr>
              <w:rPr>
                <w:rFonts w:ascii="宋体"/>
              </w:rPr>
            </w:pPr>
          </w:p>
        </w:tc>
        <w:tc>
          <w:tcPr>
            <w:tcW w:w="0" w:type="auto"/>
            <w:shd w:val="clear" w:color="auto" w:fill="auto"/>
          </w:tcPr>
          <w:p w14:paraId="33DAB4B2" w14:textId="77777777" w:rsidR="004D6A64" w:rsidRDefault="004D6A64">
            <w:pPr>
              <w:rPr>
                <w:rFonts w:ascii="宋体"/>
              </w:rPr>
            </w:pPr>
          </w:p>
        </w:tc>
        <w:tc>
          <w:tcPr>
            <w:tcW w:w="0" w:type="auto"/>
            <w:shd w:val="clear" w:color="auto" w:fill="auto"/>
          </w:tcPr>
          <w:p w14:paraId="33DAB4B3" w14:textId="77777777" w:rsidR="004D6A64" w:rsidRDefault="004D6A64">
            <w:pPr>
              <w:rPr>
                <w:rFonts w:ascii="宋体"/>
              </w:rPr>
            </w:pPr>
          </w:p>
        </w:tc>
        <w:tc>
          <w:tcPr>
            <w:tcW w:w="0" w:type="auto"/>
            <w:shd w:val="clear" w:color="auto" w:fill="auto"/>
          </w:tcPr>
          <w:p w14:paraId="33DAB4B4" w14:textId="77777777" w:rsidR="004D6A64" w:rsidRDefault="004D6A64">
            <w:pPr>
              <w:rPr>
                <w:rFonts w:ascii="宋体"/>
              </w:rPr>
            </w:pPr>
          </w:p>
        </w:tc>
      </w:tr>
      <w:tr w:rsidR="004D6A64" w14:paraId="33DAB4C2" w14:textId="77777777">
        <w:tc>
          <w:tcPr>
            <w:tcW w:w="0" w:type="auto"/>
            <w:gridSpan w:val="3"/>
            <w:shd w:val="clear" w:color="auto" w:fill="CCEEFF"/>
            <w:tcMar>
              <w:top w:w="40" w:type="dxa"/>
              <w:left w:w="20" w:type="dxa"/>
              <w:bottom w:w="40" w:type="dxa"/>
              <w:right w:w="20" w:type="dxa"/>
            </w:tcMar>
            <w:vAlign w:val="center"/>
          </w:tcPr>
          <w:p w14:paraId="33DAB4B6"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6.20% due July 2030</w:t>
            </w:r>
          </w:p>
        </w:tc>
        <w:tc>
          <w:tcPr>
            <w:tcW w:w="0" w:type="auto"/>
            <w:gridSpan w:val="2"/>
            <w:shd w:val="clear" w:color="auto" w:fill="CCEEFF"/>
            <w:tcMar>
              <w:top w:w="40" w:type="dxa"/>
              <w:left w:w="20" w:type="dxa"/>
              <w:bottom w:w="40" w:type="dxa"/>
              <w:right w:w="0" w:type="dxa"/>
            </w:tcMar>
            <w:vAlign w:val="center"/>
          </w:tcPr>
          <w:p w14:paraId="33DAB4B7" w14:textId="77777777" w:rsidR="004D6A64" w:rsidRDefault="00506CD6">
            <w:pPr>
              <w:jc w:val="right"/>
              <w:textAlignment w:val="center"/>
            </w:pPr>
            <w:r>
              <w:rPr>
                <w:rFonts w:ascii="Times New Roman" w:eastAsia="宋体" w:hAnsi="Times New Roman"/>
                <w:color w:val="000000"/>
                <w:sz w:val="20"/>
                <w:szCs w:val="20"/>
              </w:rPr>
              <w:t>750 </w:t>
            </w:r>
          </w:p>
        </w:tc>
        <w:tc>
          <w:tcPr>
            <w:tcW w:w="0" w:type="auto"/>
            <w:shd w:val="clear" w:color="auto" w:fill="CCEEFF"/>
            <w:tcMar>
              <w:top w:w="40" w:type="dxa"/>
              <w:bottom w:w="40" w:type="dxa"/>
              <w:right w:w="20" w:type="dxa"/>
            </w:tcMar>
            <w:vAlign w:val="center"/>
          </w:tcPr>
          <w:p w14:paraId="33DAB4B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4B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B4BA"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B4BB" w14:textId="77777777" w:rsidR="004D6A64" w:rsidRDefault="004D6A64">
            <w:pPr>
              <w:jc w:val="right"/>
              <w:rPr>
                <w:rFonts w:ascii="宋体"/>
              </w:rPr>
            </w:pPr>
          </w:p>
        </w:tc>
        <w:tc>
          <w:tcPr>
            <w:tcW w:w="0" w:type="auto"/>
            <w:shd w:val="clear" w:color="auto" w:fill="auto"/>
          </w:tcPr>
          <w:p w14:paraId="33DAB4BC" w14:textId="77777777" w:rsidR="004D6A64" w:rsidRDefault="004D6A64">
            <w:pPr>
              <w:rPr>
                <w:rFonts w:ascii="宋体"/>
              </w:rPr>
            </w:pPr>
          </w:p>
        </w:tc>
        <w:tc>
          <w:tcPr>
            <w:tcW w:w="0" w:type="auto"/>
            <w:shd w:val="clear" w:color="auto" w:fill="auto"/>
          </w:tcPr>
          <w:p w14:paraId="33DAB4BD" w14:textId="77777777" w:rsidR="004D6A64" w:rsidRDefault="004D6A64">
            <w:pPr>
              <w:rPr>
                <w:rFonts w:ascii="宋体"/>
              </w:rPr>
            </w:pPr>
          </w:p>
        </w:tc>
        <w:tc>
          <w:tcPr>
            <w:tcW w:w="0" w:type="auto"/>
            <w:shd w:val="clear" w:color="auto" w:fill="auto"/>
          </w:tcPr>
          <w:p w14:paraId="33DAB4BE" w14:textId="77777777" w:rsidR="004D6A64" w:rsidRDefault="004D6A64">
            <w:pPr>
              <w:rPr>
                <w:rFonts w:ascii="宋体"/>
              </w:rPr>
            </w:pPr>
          </w:p>
        </w:tc>
        <w:tc>
          <w:tcPr>
            <w:tcW w:w="0" w:type="auto"/>
            <w:shd w:val="clear" w:color="auto" w:fill="auto"/>
          </w:tcPr>
          <w:p w14:paraId="33DAB4BF" w14:textId="77777777" w:rsidR="004D6A64" w:rsidRDefault="004D6A64">
            <w:pPr>
              <w:rPr>
                <w:rFonts w:ascii="宋体"/>
              </w:rPr>
            </w:pPr>
          </w:p>
        </w:tc>
        <w:tc>
          <w:tcPr>
            <w:tcW w:w="0" w:type="auto"/>
            <w:shd w:val="clear" w:color="auto" w:fill="auto"/>
          </w:tcPr>
          <w:p w14:paraId="33DAB4C0" w14:textId="77777777" w:rsidR="004D6A64" w:rsidRDefault="004D6A64">
            <w:pPr>
              <w:rPr>
                <w:rFonts w:ascii="宋体"/>
              </w:rPr>
            </w:pPr>
          </w:p>
        </w:tc>
        <w:tc>
          <w:tcPr>
            <w:tcW w:w="0" w:type="auto"/>
            <w:shd w:val="clear" w:color="auto" w:fill="auto"/>
          </w:tcPr>
          <w:p w14:paraId="33DAB4C1" w14:textId="77777777" w:rsidR="004D6A64" w:rsidRDefault="004D6A64">
            <w:pPr>
              <w:rPr>
                <w:rFonts w:ascii="宋体"/>
              </w:rPr>
            </w:pPr>
          </w:p>
        </w:tc>
      </w:tr>
      <w:tr w:rsidR="004D6A64" w14:paraId="33DAB4CF" w14:textId="77777777">
        <w:tc>
          <w:tcPr>
            <w:tcW w:w="0" w:type="auto"/>
            <w:gridSpan w:val="3"/>
            <w:shd w:val="clear" w:color="auto" w:fill="FFFFFF"/>
            <w:tcMar>
              <w:top w:w="40" w:type="dxa"/>
              <w:left w:w="20" w:type="dxa"/>
              <w:bottom w:w="40" w:type="dxa"/>
              <w:right w:w="20" w:type="dxa"/>
            </w:tcMar>
            <w:vAlign w:val="center"/>
          </w:tcPr>
          <w:p w14:paraId="33DAB4C3"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8.10% due July 2036</w:t>
            </w:r>
          </w:p>
        </w:tc>
        <w:tc>
          <w:tcPr>
            <w:tcW w:w="0" w:type="auto"/>
            <w:gridSpan w:val="2"/>
            <w:shd w:val="clear" w:color="auto" w:fill="FFFFFF"/>
            <w:tcMar>
              <w:top w:w="40" w:type="dxa"/>
              <w:left w:w="20" w:type="dxa"/>
              <w:bottom w:w="40" w:type="dxa"/>
              <w:right w:w="0" w:type="dxa"/>
            </w:tcMar>
            <w:vAlign w:val="center"/>
          </w:tcPr>
          <w:p w14:paraId="33DAB4C4" w14:textId="77777777" w:rsidR="004D6A64" w:rsidRDefault="00506CD6">
            <w:pPr>
              <w:jc w:val="right"/>
              <w:textAlignment w:val="center"/>
            </w:pPr>
            <w:r>
              <w:rPr>
                <w:rFonts w:ascii="Times New Roman" w:eastAsia="宋体" w:hAnsi="Times New Roman"/>
                <w:color w:val="000000"/>
                <w:sz w:val="20"/>
                <w:szCs w:val="20"/>
              </w:rPr>
              <w:t>1,500 </w:t>
            </w:r>
          </w:p>
        </w:tc>
        <w:tc>
          <w:tcPr>
            <w:tcW w:w="0" w:type="auto"/>
            <w:shd w:val="clear" w:color="auto" w:fill="FFFFFF"/>
            <w:tcMar>
              <w:top w:w="40" w:type="dxa"/>
              <w:bottom w:w="40" w:type="dxa"/>
              <w:right w:w="20" w:type="dxa"/>
            </w:tcMar>
            <w:vAlign w:val="center"/>
          </w:tcPr>
          <w:p w14:paraId="33DAB4C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4C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B4C7" w14:textId="77777777" w:rsidR="004D6A64" w:rsidRDefault="00506CD6">
            <w:pPr>
              <w:jc w:val="right"/>
              <w:textAlignment w:val="center"/>
            </w:pPr>
            <w:r>
              <w:rPr>
                <w:rFonts w:ascii="Times New Roman" w:eastAsia="宋体" w:hAnsi="Times New Roman"/>
                <w:color w:val="000000"/>
                <w:sz w:val="20"/>
                <w:szCs w:val="20"/>
              </w:rPr>
              <w:t>1,500 </w:t>
            </w:r>
          </w:p>
        </w:tc>
        <w:tc>
          <w:tcPr>
            <w:tcW w:w="0" w:type="auto"/>
            <w:shd w:val="clear" w:color="auto" w:fill="FFFFFF"/>
            <w:tcMar>
              <w:top w:w="40" w:type="dxa"/>
              <w:bottom w:w="40" w:type="dxa"/>
              <w:right w:w="20" w:type="dxa"/>
            </w:tcMar>
            <w:vAlign w:val="center"/>
          </w:tcPr>
          <w:p w14:paraId="33DAB4C8" w14:textId="77777777" w:rsidR="004D6A64" w:rsidRDefault="004D6A64">
            <w:pPr>
              <w:jc w:val="right"/>
              <w:rPr>
                <w:rFonts w:ascii="宋体"/>
              </w:rPr>
            </w:pPr>
          </w:p>
        </w:tc>
        <w:tc>
          <w:tcPr>
            <w:tcW w:w="0" w:type="auto"/>
            <w:shd w:val="clear" w:color="auto" w:fill="auto"/>
          </w:tcPr>
          <w:p w14:paraId="33DAB4C9" w14:textId="77777777" w:rsidR="004D6A64" w:rsidRDefault="004D6A64">
            <w:pPr>
              <w:rPr>
                <w:rFonts w:ascii="宋体"/>
              </w:rPr>
            </w:pPr>
          </w:p>
        </w:tc>
        <w:tc>
          <w:tcPr>
            <w:tcW w:w="0" w:type="auto"/>
            <w:shd w:val="clear" w:color="auto" w:fill="auto"/>
          </w:tcPr>
          <w:p w14:paraId="33DAB4CA" w14:textId="77777777" w:rsidR="004D6A64" w:rsidRDefault="004D6A64">
            <w:pPr>
              <w:rPr>
                <w:rFonts w:ascii="宋体"/>
              </w:rPr>
            </w:pPr>
          </w:p>
        </w:tc>
        <w:tc>
          <w:tcPr>
            <w:tcW w:w="0" w:type="auto"/>
            <w:shd w:val="clear" w:color="auto" w:fill="auto"/>
          </w:tcPr>
          <w:p w14:paraId="33DAB4CB" w14:textId="77777777" w:rsidR="004D6A64" w:rsidRDefault="004D6A64">
            <w:pPr>
              <w:rPr>
                <w:rFonts w:ascii="宋体"/>
              </w:rPr>
            </w:pPr>
          </w:p>
        </w:tc>
        <w:tc>
          <w:tcPr>
            <w:tcW w:w="0" w:type="auto"/>
            <w:shd w:val="clear" w:color="auto" w:fill="auto"/>
          </w:tcPr>
          <w:p w14:paraId="33DAB4CC" w14:textId="77777777" w:rsidR="004D6A64" w:rsidRDefault="004D6A64">
            <w:pPr>
              <w:rPr>
                <w:rFonts w:ascii="宋体"/>
              </w:rPr>
            </w:pPr>
          </w:p>
        </w:tc>
        <w:tc>
          <w:tcPr>
            <w:tcW w:w="0" w:type="auto"/>
            <w:shd w:val="clear" w:color="auto" w:fill="auto"/>
          </w:tcPr>
          <w:p w14:paraId="33DAB4CD" w14:textId="77777777" w:rsidR="004D6A64" w:rsidRDefault="004D6A64">
            <w:pPr>
              <w:rPr>
                <w:rFonts w:ascii="宋体"/>
              </w:rPr>
            </w:pPr>
          </w:p>
        </w:tc>
        <w:tc>
          <w:tcPr>
            <w:tcW w:w="0" w:type="auto"/>
            <w:shd w:val="clear" w:color="auto" w:fill="auto"/>
          </w:tcPr>
          <w:p w14:paraId="33DAB4CE" w14:textId="77777777" w:rsidR="004D6A64" w:rsidRDefault="004D6A64">
            <w:pPr>
              <w:rPr>
                <w:rFonts w:ascii="宋体"/>
              </w:rPr>
            </w:pPr>
          </w:p>
        </w:tc>
      </w:tr>
      <w:tr w:rsidR="004D6A64" w14:paraId="33DAB4DC" w14:textId="77777777">
        <w:tc>
          <w:tcPr>
            <w:tcW w:w="0" w:type="auto"/>
            <w:gridSpan w:val="3"/>
            <w:shd w:val="clear" w:color="auto" w:fill="CCEEFF"/>
            <w:tcMar>
              <w:top w:w="40" w:type="dxa"/>
              <w:left w:w="20" w:type="dxa"/>
              <w:bottom w:w="40" w:type="dxa"/>
              <w:right w:w="20" w:type="dxa"/>
            </w:tcMar>
            <w:vAlign w:val="center"/>
          </w:tcPr>
          <w:p w14:paraId="33DAB4D0"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8.35% due July 2046</w:t>
            </w:r>
          </w:p>
        </w:tc>
        <w:tc>
          <w:tcPr>
            <w:tcW w:w="0" w:type="auto"/>
            <w:gridSpan w:val="2"/>
            <w:shd w:val="clear" w:color="auto" w:fill="CCEEFF"/>
            <w:tcMar>
              <w:top w:w="40" w:type="dxa"/>
              <w:left w:w="20" w:type="dxa"/>
              <w:bottom w:w="40" w:type="dxa"/>
              <w:right w:w="0" w:type="dxa"/>
            </w:tcMar>
            <w:vAlign w:val="center"/>
          </w:tcPr>
          <w:p w14:paraId="33DAB4D1" w14:textId="77777777" w:rsidR="004D6A64" w:rsidRDefault="00506CD6">
            <w:pPr>
              <w:jc w:val="right"/>
              <w:textAlignment w:val="center"/>
            </w:pPr>
            <w:r>
              <w:rPr>
                <w:rFonts w:ascii="Times New Roman" w:eastAsia="宋体" w:hAnsi="Times New Roman"/>
                <w:color w:val="000000"/>
                <w:sz w:val="20"/>
                <w:szCs w:val="20"/>
              </w:rPr>
              <w:t>2,000 </w:t>
            </w:r>
          </w:p>
        </w:tc>
        <w:tc>
          <w:tcPr>
            <w:tcW w:w="0" w:type="auto"/>
            <w:shd w:val="clear" w:color="auto" w:fill="CCEEFF"/>
            <w:tcMar>
              <w:top w:w="40" w:type="dxa"/>
              <w:bottom w:w="40" w:type="dxa"/>
              <w:right w:w="20" w:type="dxa"/>
            </w:tcMar>
            <w:vAlign w:val="center"/>
          </w:tcPr>
          <w:p w14:paraId="33DAB4D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4D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B4D4" w14:textId="77777777" w:rsidR="004D6A64" w:rsidRDefault="00506CD6">
            <w:pPr>
              <w:jc w:val="right"/>
              <w:textAlignment w:val="center"/>
            </w:pPr>
            <w:r>
              <w:rPr>
                <w:rFonts w:ascii="Times New Roman" w:eastAsia="宋体" w:hAnsi="Times New Roman"/>
                <w:color w:val="000000"/>
                <w:sz w:val="20"/>
                <w:szCs w:val="20"/>
              </w:rPr>
              <w:t>2,000 </w:t>
            </w:r>
          </w:p>
        </w:tc>
        <w:tc>
          <w:tcPr>
            <w:tcW w:w="0" w:type="auto"/>
            <w:shd w:val="clear" w:color="auto" w:fill="CCEEFF"/>
            <w:tcMar>
              <w:top w:w="40" w:type="dxa"/>
              <w:bottom w:w="40" w:type="dxa"/>
              <w:right w:w="20" w:type="dxa"/>
            </w:tcMar>
            <w:vAlign w:val="center"/>
          </w:tcPr>
          <w:p w14:paraId="33DAB4D5" w14:textId="77777777" w:rsidR="004D6A64" w:rsidRDefault="004D6A64">
            <w:pPr>
              <w:jc w:val="right"/>
              <w:rPr>
                <w:rFonts w:ascii="宋体"/>
              </w:rPr>
            </w:pPr>
          </w:p>
        </w:tc>
        <w:tc>
          <w:tcPr>
            <w:tcW w:w="0" w:type="auto"/>
            <w:shd w:val="clear" w:color="auto" w:fill="auto"/>
          </w:tcPr>
          <w:p w14:paraId="33DAB4D6" w14:textId="77777777" w:rsidR="004D6A64" w:rsidRDefault="004D6A64">
            <w:pPr>
              <w:rPr>
                <w:rFonts w:ascii="宋体"/>
              </w:rPr>
            </w:pPr>
          </w:p>
        </w:tc>
        <w:tc>
          <w:tcPr>
            <w:tcW w:w="0" w:type="auto"/>
            <w:shd w:val="clear" w:color="auto" w:fill="auto"/>
          </w:tcPr>
          <w:p w14:paraId="33DAB4D7" w14:textId="77777777" w:rsidR="004D6A64" w:rsidRDefault="004D6A64">
            <w:pPr>
              <w:rPr>
                <w:rFonts w:ascii="宋体"/>
              </w:rPr>
            </w:pPr>
          </w:p>
        </w:tc>
        <w:tc>
          <w:tcPr>
            <w:tcW w:w="0" w:type="auto"/>
            <w:shd w:val="clear" w:color="auto" w:fill="auto"/>
          </w:tcPr>
          <w:p w14:paraId="33DAB4D8" w14:textId="77777777" w:rsidR="004D6A64" w:rsidRDefault="004D6A64">
            <w:pPr>
              <w:rPr>
                <w:rFonts w:ascii="宋体"/>
              </w:rPr>
            </w:pPr>
          </w:p>
        </w:tc>
        <w:tc>
          <w:tcPr>
            <w:tcW w:w="0" w:type="auto"/>
            <w:shd w:val="clear" w:color="auto" w:fill="auto"/>
          </w:tcPr>
          <w:p w14:paraId="33DAB4D9" w14:textId="77777777" w:rsidR="004D6A64" w:rsidRDefault="004D6A64">
            <w:pPr>
              <w:rPr>
                <w:rFonts w:ascii="宋体"/>
              </w:rPr>
            </w:pPr>
          </w:p>
        </w:tc>
        <w:tc>
          <w:tcPr>
            <w:tcW w:w="0" w:type="auto"/>
            <w:shd w:val="clear" w:color="auto" w:fill="auto"/>
          </w:tcPr>
          <w:p w14:paraId="33DAB4DA" w14:textId="77777777" w:rsidR="004D6A64" w:rsidRDefault="004D6A64">
            <w:pPr>
              <w:rPr>
                <w:rFonts w:ascii="宋体"/>
              </w:rPr>
            </w:pPr>
          </w:p>
        </w:tc>
        <w:tc>
          <w:tcPr>
            <w:tcW w:w="0" w:type="auto"/>
            <w:shd w:val="clear" w:color="auto" w:fill="auto"/>
          </w:tcPr>
          <w:p w14:paraId="33DAB4DB" w14:textId="77777777" w:rsidR="004D6A64" w:rsidRDefault="004D6A64">
            <w:pPr>
              <w:rPr>
                <w:rFonts w:ascii="宋体"/>
              </w:rPr>
            </w:pPr>
          </w:p>
        </w:tc>
      </w:tr>
      <w:tr w:rsidR="004D6A64" w14:paraId="33DAB4E7" w14:textId="77777777">
        <w:tc>
          <w:tcPr>
            <w:tcW w:w="0" w:type="auto"/>
            <w:gridSpan w:val="3"/>
            <w:shd w:val="clear" w:color="auto" w:fill="FFFFFF"/>
            <w:tcMar>
              <w:top w:w="40" w:type="dxa"/>
              <w:left w:w="20" w:type="dxa"/>
              <w:bottom w:w="40" w:type="dxa"/>
              <w:right w:w="20" w:type="dxa"/>
            </w:tcMar>
            <w:vAlign w:val="center"/>
          </w:tcPr>
          <w:p w14:paraId="33DAB4DD" w14:textId="77777777" w:rsidR="004D6A64" w:rsidRDefault="00506CD6">
            <w:pPr>
              <w:textAlignment w:val="center"/>
            </w:pPr>
            <w:r>
              <w:rPr>
                <w:rFonts w:ascii="Times New Roman" w:eastAsia="宋体" w:hAnsi="Times New Roman"/>
                <w:b/>
                <w:bCs/>
                <w:color w:val="000000"/>
                <w:sz w:val="20"/>
                <w:szCs w:val="20"/>
              </w:rPr>
              <w:t>Unsecured Debt</w:t>
            </w:r>
          </w:p>
        </w:tc>
        <w:tc>
          <w:tcPr>
            <w:tcW w:w="0" w:type="auto"/>
            <w:gridSpan w:val="3"/>
            <w:shd w:val="clear" w:color="auto" w:fill="FFFFFF"/>
            <w:tcMar>
              <w:left w:w="20" w:type="dxa"/>
              <w:right w:w="20" w:type="dxa"/>
            </w:tcMar>
            <w:vAlign w:val="bottom"/>
          </w:tcPr>
          <w:p w14:paraId="33DAB4DE"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4DF"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4E0" w14:textId="77777777" w:rsidR="004D6A64" w:rsidRDefault="004D6A64">
            <w:pPr>
              <w:rPr>
                <w:rFonts w:ascii="宋体"/>
              </w:rPr>
            </w:pPr>
          </w:p>
        </w:tc>
        <w:tc>
          <w:tcPr>
            <w:tcW w:w="0" w:type="auto"/>
            <w:shd w:val="clear" w:color="auto" w:fill="auto"/>
          </w:tcPr>
          <w:p w14:paraId="33DAB4E1" w14:textId="77777777" w:rsidR="004D6A64" w:rsidRDefault="004D6A64">
            <w:pPr>
              <w:rPr>
                <w:rFonts w:ascii="宋体"/>
              </w:rPr>
            </w:pPr>
          </w:p>
        </w:tc>
        <w:tc>
          <w:tcPr>
            <w:tcW w:w="0" w:type="auto"/>
            <w:shd w:val="clear" w:color="auto" w:fill="auto"/>
          </w:tcPr>
          <w:p w14:paraId="33DAB4E2" w14:textId="77777777" w:rsidR="004D6A64" w:rsidRDefault="004D6A64">
            <w:pPr>
              <w:rPr>
                <w:rFonts w:ascii="宋体"/>
              </w:rPr>
            </w:pPr>
          </w:p>
        </w:tc>
        <w:tc>
          <w:tcPr>
            <w:tcW w:w="0" w:type="auto"/>
            <w:shd w:val="clear" w:color="auto" w:fill="auto"/>
          </w:tcPr>
          <w:p w14:paraId="33DAB4E3" w14:textId="77777777" w:rsidR="004D6A64" w:rsidRDefault="004D6A64">
            <w:pPr>
              <w:rPr>
                <w:rFonts w:ascii="宋体"/>
              </w:rPr>
            </w:pPr>
          </w:p>
        </w:tc>
        <w:tc>
          <w:tcPr>
            <w:tcW w:w="0" w:type="auto"/>
            <w:shd w:val="clear" w:color="auto" w:fill="auto"/>
          </w:tcPr>
          <w:p w14:paraId="33DAB4E4" w14:textId="77777777" w:rsidR="004D6A64" w:rsidRDefault="004D6A64">
            <w:pPr>
              <w:rPr>
                <w:rFonts w:ascii="宋体"/>
              </w:rPr>
            </w:pPr>
          </w:p>
        </w:tc>
        <w:tc>
          <w:tcPr>
            <w:tcW w:w="0" w:type="auto"/>
            <w:shd w:val="clear" w:color="auto" w:fill="auto"/>
          </w:tcPr>
          <w:p w14:paraId="33DAB4E5" w14:textId="77777777" w:rsidR="004D6A64" w:rsidRDefault="004D6A64">
            <w:pPr>
              <w:rPr>
                <w:rFonts w:ascii="宋体"/>
              </w:rPr>
            </w:pPr>
          </w:p>
        </w:tc>
        <w:tc>
          <w:tcPr>
            <w:tcW w:w="0" w:type="auto"/>
            <w:shd w:val="clear" w:color="auto" w:fill="auto"/>
          </w:tcPr>
          <w:p w14:paraId="33DAB4E6" w14:textId="77777777" w:rsidR="004D6A64" w:rsidRDefault="004D6A64">
            <w:pPr>
              <w:rPr>
                <w:rFonts w:ascii="宋体"/>
              </w:rPr>
            </w:pPr>
          </w:p>
        </w:tc>
      </w:tr>
      <w:tr w:rsidR="004D6A64" w14:paraId="33DAB4F2" w14:textId="77777777">
        <w:tc>
          <w:tcPr>
            <w:tcW w:w="0" w:type="auto"/>
            <w:gridSpan w:val="3"/>
            <w:shd w:val="clear" w:color="auto" w:fill="CCEEFF"/>
            <w:tcMar>
              <w:top w:w="40" w:type="dxa"/>
              <w:left w:w="135" w:type="dxa"/>
              <w:bottom w:w="40" w:type="dxa"/>
              <w:right w:w="20" w:type="dxa"/>
            </w:tcMar>
            <w:vAlign w:val="center"/>
          </w:tcPr>
          <w:p w14:paraId="33DAB4E8" w14:textId="77777777" w:rsidR="004D6A64" w:rsidRDefault="00506CD6">
            <w:pPr>
              <w:textAlignment w:val="center"/>
            </w:pPr>
            <w:r>
              <w:rPr>
                <w:rFonts w:ascii="Times New Roman" w:eastAsia="宋体" w:hAnsi="Times New Roman"/>
                <w:color w:val="000000"/>
                <w:sz w:val="20"/>
                <w:szCs w:val="20"/>
              </w:rPr>
              <w:t>Unsecured Notes and Debentures:</w:t>
            </w:r>
          </w:p>
        </w:tc>
        <w:tc>
          <w:tcPr>
            <w:tcW w:w="0" w:type="auto"/>
            <w:gridSpan w:val="3"/>
            <w:shd w:val="clear" w:color="auto" w:fill="CCEEFF"/>
            <w:tcMar>
              <w:left w:w="20" w:type="dxa"/>
              <w:right w:w="20" w:type="dxa"/>
            </w:tcMar>
            <w:vAlign w:val="bottom"/>
          </w:tcPr>
          <w:p w14:paraId="33DAB4E9"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4EA"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4EB" w14:textId="77777777" w:rsidR="004D6A64" w:rsidRDefault="004D6A64">
            <w:pPr>
              <w:rPr>
                <w:rFonts w:ascii="宋体"/>
              </w:rPr>
            </w:pPr>
          </w:p>
        </w:tc>
        <w:tc>
          <w:tcPr>
            <w:tcW w:w="0" w:type="auto"/>
            <w:shd w:val="clear" w:color="auto" w:fill="auto"/>
          </w:tcPr>
          <w:p w14:paraId="33DAB4EC" w14:textId="77777777" w:rsidR="004D6A64" w:rsidRDefault="004D6A64">
            <w:pPr>
              <w:rPr>
                <w:rFonts w:ascii="宋体"/>
              </w:rPr>
            </w:pPr>
          </w:p>
        </w:tc>
        <w:tc>
          <w:tcPr>
            <w:tcW w:w="0" w:type="auto"/>
            <w:shd w:val="clear" w:color="auto" w:fill="auto"/>
          </w:tcPr>
          <w:p w14:paraId="33DAB4ED" w14:textId="77777777" w:rsidR="004D6A64" w:rsidRDefault="004D6A64">
            <w:pPr>
              <w:rPr>
                <w:rFonts w:ascii="宋体"/>
              </w:rPr>
            </w:pPr>
          </w:p>
        </w:tc>
        <w:tc>
          <w:tcPr>
            <w:tcW w:w="0" w:type="auto"/>
            <w:shd w:val="clear" w:color="auto" w:fill="auto"/>
          </w:tcPr>
          <w:p w14:paraId="33DAB4EE" w14:textId="77777777" w:rsidR="004D6A64" w:rsidRDefault="004D6A64">
            <w:pPr>
              <w:rPr>
                <w:rFonts w:ascii="宋体"/>
              </w:rPr>
            </w:pPr>
          </w:p>
        </w:tc>
        <w:tc>
          <w:tcPr>
            <w:tcW w:w="0" w:type="auto"/>
            <w:shd w:val="clear" w:color="auto" w:fill="auto"/>
          </w:tcPr>
          <w:p w14:paraId="33DAB4EF" w14:textId="77777777" w:rsidR="004D6A64" w:rsidRDefault="004D6A64">
            <w:pPr>
              <w:rPr>
                <w:rFonts w:ascii="宋体"/>
              </w:rPr>
            </w:pPr>
          </w:p>
        </w:tc>
        <w:tc>
          <w:tcPr>
            <w:tcW w:w="0" w:type="auto"/>
            <w:shd w:val="clear" w:color="auto" w:fill="auto"/>
          </w:tcPr>
          <w:p w14:paraId="33DAB4F0" w14:textId="77777777" w:rsidR="004D6A64" w:rsidRDefault="004D6A64">
            <w:pPr>
              <w:rPr>
                <w:rFonts w:ascii="宋体"/>
              </w:rPr>
            </w:pPr>
          </w:p>
        </w:tc>
        <w:tc>
          <w:tcPr>
            <w:tcW w:w="0" w:type="auto"/>
            <w:shd w:val="clear" w:color="auto" w:fill="auto"/>
          </w:tcPr>
          <w:p w14:paraId="33DAB4F1" w14:textId="77777777" w:rsidR="004D6A64" w:rsidRDefault="004D6A64">
            <w:pPr>
              <w:rPr>
                <w:rFonts w:ascii="宋体"/>
              </w:rPr>
            </w:pPr>
          </w:p>
        </w:tc>
      </w:tr>
      <w:tr w:rsidR="004D6A64" w14:paraId="33DAB4FD" w14:textId="77777777">
        <w:trPr>
          <w:hidden/>
        </w:trPr>
        <w:tc>
          <w:tcPr>
            <w:tcW w:w="0" w:type="auto"/>
            <w:gridSpan w:val="3"/>
            <w:shd w:val="clear" w:color="auto" w:fill="auto"/>
          </w:tcPr>
          <w:p w14:paraId="33DAB4F3" w14:textId="77777777" w:rsidR="004D6A64" w:rsidRDefault="004D6A64">
            <w:pPr>
              <w:rPr>
                <w:rFonts w:ascii="宋体"/>
                <w:vanish/>
              </w:rPr>
            </w:pPr>
          </w:p>
        </w:tc>
        <w:tc>
          <w:tcPr>
            <w:tcW w:w="0" w:type="auto"/>
            <w:gridSpan w:val="3"/>
            <w:shd w:val="clear" w:color="auto" w:fill="auto"/>
          </w:tcPr>
          <w:p w14:paraId="33DAB4F4" w14:textId="77777777" w:rsidR="004D6A64" w:rsidRDefault="004D6A64">
            <w:pPr>
              <w:rPr>
                <w:rFonts w:ascii="宋体"/>
                <w:vanish/>
              </w:rPr>
            </w:pPr>
          </w:p>
        </w:tc>
        <w:tc>
          <w:tcPr>
            <w:tcW w:w="0" w:type="auto"/>
            <w:gridSpan w:val="3"/>
            <w:shd w:val="clear" w:color="auto" w:fill="auto"/>
          </w:tcPr>
          <w:p w14:paraId="33DAB4F5" w14:textId="77777777" w:rsidR="004D6A64" w:rsidRDefault="004D6A64">
            <w:pPr>
              <w:rPr>
                <w:rFonts w:ascii="宋体"/>
                <w:vanish/>
              </w:rPr>
            </w:pPr>
          </w:p>
        </w:tc>
        <w:tc>
          <w:tcPr>
            <w:tcW w:w="0" w:type="auto"/>
            <w:gridSpan w:val="3"/>
            <w:shd w:val="clear" w:color="auto" w:fill="auto"/>
          </w:tcPr>
          <w:p w14:paraId="33DAB4F6" w14:textId="77777777" w:rsidR="004D6A64" w:rsidRDefault="004D6A64">
            <w:pPr>
              <w:rPr>
                <w:rFonts w:ascii="宋体"/>
                <w:vanish/>
              </w:rPr>
            </w:pPr>
          </w:p>
        </w:tc>
        <w:tc>
          <w:tcPr>
            <w:tcW w:w="0" w:type="auto"/>
            <w:shd w:val="clear" w:color="auto" w:fill="auto"/>
          </w:tcPr>
          <w:p w14:paraId="33DAB4F7" w14:textId="77777777" w:rsidR="004D6A64" w:rsidRDefault="004D6A64">
            <w:pPr>
              <w:rPr>
                <w:rFonts w:ascii="宋体"/>
              </w:rPr>
            </w:pPr>
          </w:p>
        </w:tc>
        <w:tc>
          <w:tcPr>
            <w:tcW w:w="0" w:type="auto"/>
            <w:shd w:val="clear" w:color="auto" w:fill="auto"/>
          </w:tcPr>
          <w:p w14:paraId="33DAB4F8" w14:textId="77777777" w:rsidR="004D6A64" w:rsidRDefault="004D6A64">
            <w:pPr>
              <w:rPr>
                <w:rFonts w:ascii="宋体"/>
              </w:rPr>
            </w:pPr>
          </w:p>
        </w:tc>
        <w:tc>
          <w:tcPr>
            <w:tcW w:w="0" w:type="auto"/>
            <w:shd w:val="clear" w:color="auto" w:fill="auto"/>
          </w:tcPr>
          <w:p w14:paraId="33DAB4F9" w14:textId="77777777" w:rsidR="004D6A64" w:rsidRDefault="004D6A64">
            <w:pPr>
              <w:rPr>
                <w:rFonts w:ascii="宋体"/>
              </w:rPr>
            </w:pPr>
          </w:p>
        </w:tc>
        <w:tc>
          <w:tcPr>
            <w:tcW w:w="0" w:type="auto"/>
            <w:shd w:val="clear" w:color="auto" w:fill="auto"/>
          </w:tcPr>
          <w:p w14:paraId="33DAB4FA" w14:textId="77777777" w:rsidR="004D6A64" w:rsidRDefault="004D6A64">
            <w:pPr>
              <w:rPr>
                <w:rFonts w:ascii="宋体"/>
              </w:rPr>
            </w:pPr>
          </w:p>
        </w:tc>
        <w:tc>
          <w:tcPr>
            <w:tcW w:w="0" w:type="auto"/>
            <w:shd w:val="clear" w:color="auto" w:fill="auto"/>
          </w:tcPr>
          <w:p w14:paraId="33DAB4FB" w14:textId="77777777" w:rsidR="004D6A64" w:rsidRDefault="004D6A64">
            <w:pPr>
              <w:rPr>
                <w:rFonts w:ascii="宋体"/>
              </w:rPr>
            </w:pPr>
          </w:p>
        </w:tc>
        <w:tc>
          <w:tcPr>
            <w:tcW w:w="0" w:type="auto"/>
            <w:shd w:val="clear" w:color="auto" w:fill="auto"/>
          </w:tcPr>
          <w:p w14:paraId="33DAB4FC" w14:textId="77777777" w:rsidR="004D6A64" w:rsidRDefault="004D6A64">
            <w:pPr>
              <w:rPr>
                <w:rFonts w:ascii="宋体"/>
              </w:rPr>
            </w:pPr>
          </w:p>
        </w:tc>
      </w:tr>
      <w:tr w:rsidR="004D6A64" w14:paraId="33DAB50A" w14:textId="77777777">
        <w:tc>
          <w:tcPr>
            <w:tcW w:w="0" w:type="auto"/>
            <w:gridSpan w:val="3"/>
            <w:shd w:val="clear" w:color="auto" w:fill="FFFFFF"/>
            <w:tcMar>
              <w:top w:w="40" w:type="dxa"/>
              <w:left w:w="20" w:type="dxa"/>
              <w:bottom w:w="40" w:type="dxa"/>
              <w:right w:w="20" w:type="dxa"/>
            </w:tcMar>
            <w:vAlign w:val="center"/>
          </w:tcPr>
          <w:p w14:paraId="33DAB4FE"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 xml:space="preserve">4.625% due </w:t>
            </w:r>
            <w:r>
              <w:rPr>
                <w:rFonts w:ascii="Times New Roman" w:eastAsia="宋体" w:hAnsi="Times New Roman"/>
                <w:color w:val="000000"/>
                <w:sz w:val="20"/>
                <w:szCs w:val="20"/>
              </w:rPr>
              <w:t>April 2021</w:t>
            </w:r>
          </w:p>
        </w:tc>
        <w:tc>
          <w:tcPr>
            <w:tcW w:w="0" w:type="auto"/>
            <w:gridSpan w:val="2"/>
            <w:shd w:val="clear" w:color="auto" w:fill="FFFFFF"/>
            <w:tcMar>
              <w:top w:w="40" w:type="dxa"/>
              <w:left w:w="20" w:type="dxa"/>
              <w:bottom w:w="40" w:type="dxa"/>
              <w:right w:w="0" w:type="dxa"/>
            </w:tcMar>
            <w:vAlign w:val="center"/>
          </w:tcPr>
          <w:p w14:paraId="33DAB4FF" w14:textId="77777777" w:rsidR="004D6A64" w:rsidRDefault="00506CD6">
            <w:pPr>
              <w:jc w:val="right"/>
              <w:textAlignment w:val="center"/>
            </w:pPr>
            <w:r>
              <w:rPr>
                <w:rFonts w:ascii="Times New Roman" w:eastAsia="宋体" w:hAnsi="Times New Roman"/>
                <w:color w:val="000000"/>
                <w:sz w:val="20"/>
                <w:szCs w:val="20"/>
              </w:rPr>
              <w:t>400 </w:t>
            </w:r>
          </w:p>
        </w:tc>
        <w:tc>
          <w:tcPr>
            <w:tcW w:w="0" w:type="auto"/>
            <w:shd w:val="clear" w:color="auto" w:fill="FFFFFF"/>
            <w:tcMar>
              <w:top w:w="40" w:type="dxa"/>
              <w:bottom w:w="40" w:type="dxa"/>
              <w:right w:w="20" w:type="dxa"/>
            </w:tcMar>
            <w:vAlign w:val="center"/>
          </w:tcPr>
          <w:p w14:paraId="33DAB50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50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B502" w14:textId="77777777" w:rsidR="004D6A64" w:rsidRDefault="00506CD6">
            <w:pPr>
              <w:jc w:val="right"/>
              <w:textAlignment w:val="center"/>
            </w:pPr>
            <w:r>
              <w:rPr>
                <w:rFonts w:ascii="Times New Roman" w:eastAsia="宋体" w:hAnsi="Times New Roman"/>
                <w:color w:val="000000"/>
                <w:sz w:val="20"/>
                <w:szCs w:val="20"/>
              </w:rPr>
              <w:t>400 </w:t>
            </w:r>
          </w:p>
        </w:tc>
        <w:tc>
          <w:tcPr>
            <w:tcW w:w="0" w:type="auto"/>
            <w:shd w:val="clear" w:color="auto" w:fill="FFFFFF"/>
            <w:tcMar>
              <w:top w:w="40" w:type="dxa"/>
              <w:bottom w:w="40" w:type="dxa"/>
              <w:right w:w="20" w:type="dxa"/>
            </w:tcMar>
            <w:vAlign w:val="center"/>
          </w:tcPr>
          <w:p w14:paraId="33DAB503" w14:textId="77777777" w:rsidR="004D6A64" w:rsidRDefault="004D6A64">
            <w:pPr>
              <w:jc w:val="right"/>
              <w:rPr>
                <w:rFonts w:ascii="宋体"/>
              </w:rPr>
            </w:pPr>
          </w:p>
        </w:tc>
        <w:tc>
          <w:tcPr>
            <w:tcW w:w="0" w:type="auto"/>
            <w:shd w:val="clear" w:color="auto" w:fill="auto"/>
          </w:tcPr>
          <w:p w14:paraId="33DAB504" w14:textId="77777777" w:rsidR="004D6A64" w:rsidRDefault="004D6A64">
            <w:pPr>
              <w:rPr>
                <w:rFonts w:ascii="宋体"/>
              </w:rPr>
            </w:pPr>
          </w:p>
        </w:tc>
        <w:tc>
          <w:tcPr>
            <w:tcW w:w="0" w:type="auto"/>
            <w:shd w:val="clear" w:color="auto" w:fill="auto"/>
          </w:tcPr>
          <w:p w14:paraId="33DAB505" w14:textId="77777777" w:rsidR="004D6A64" w:rsidRDefault="004D6A64">
            <w:pPr>
              <w:rPr>
                <w:rFonts w:ascii="宋体"/>
              </w:rPr>
            </w:pPr>
          </w:p>
        </w:tc>
        <w:tc>
          <w:tcPr>
            <w:tcW w:w="0" w:type="auto"/>
            <w:shd w:val="clear" w:color="auto" w:fill="auto"/>
          </w:tcPr>
          <w:p w14:paraId="33DAB506" w14:textId="77777777" w:rsidR="004D6A64" w:rsidRDefault="004D6A64">
            <w:pPr>
              <w:rPr>
                <w:rFonts w:ascii="宋体"/>
              </w:rPr>
            </w:pPr>
          </w:p>
        </w:tc>
        <w:tc>
          <w:tcPr>
            <w:tcW w:w="0" w:type="auto"/>
            <w:shd w:val="clear" w:color="auto" w:fill="auto"/>
          </w:tcPr>
          <w:p w14:paraId="33DAB507" w14:textId="77777777" w:rsidR="004D6A64" w:rsidRDefault="004D6A64">
            <w:pPr>
              <w:rPr>
                <w:rFonts w:ascii="宋体"/>
              </w:rPr>
            </w:pPr>
          </w:p>
        </w:tc>
        <w:tc>
          <w:tcPr>
            <w:tcW w:w="0" w:type="auto"/>
            <w:shd w:val="clear" w:color="auto" w:fill="auto"/>
          </w:tcPr>
          <w:p w14:paraId="33DAB508" w14:textId="77777777" w:rsidR="004D6A64" w:rsidRDefault="004D6A64">
            <w:pPr>
              <w:rPr>
                <w:rFonts w:ascii="宋体"/>
              </w:rPr>
            </w:pPr>
          </w:p>
        </w:tc>
        <w:tc>
          <w:tcPr>
            <w:tcW w:w="0" w:type="auto"/>
            <w:shd w:val="clear" w:color="auto" w:fill="auto"/>
          </w:tcPr>
          <w:p w14:paraId="33DAB509" w14:textId="77777777" w:rsidR="004D6A64" w:rsidRDefault="004D6A64">
            <w:pPr>
              <w:rPr>
                <w:rFonts w:ascii="宋体"/>
              </w:rPr>
            </w:pPr>
          </w:p>
        </w:tc>
      </w:tr>
      <w:tr w:rsidR="004D6A64" w14:paraId="33DAB517" w14:textId="77777777">
        <w:tc>
          <w:tcPr>
            <w:tcW w:w="0" w:type="auto"/>
            <w:gridSpan w:val="3"/>
            <w:shd w:val="clear" w:color="auto" w:fill="CCEEFF"/>
            <w:tcMar>
              <w:top w:w="40" w:type="dxa"/>
              <w:left w:w="20" w:type="dxa"/>
              <w:bottom w:w="40" w:type="dxa"/>
              <w:right w:w="20" w:type="dxa"/>
            </w:tcMar>
            <w:vAlign w:val="center"/>
          </w:tcPr>
          <w:p w14:paraId="33DAB50B"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7.10% due April 2028</w:t>
            </w:r>
          </w:p>
        </w:tc>
        <w:tc>
          <w:tcPr>
            <w:tcW w:w="0" w:type="auto"/>
            <w:gridSpan w:val="2"/>
            <w:shd w:val="clear" w:color="auto" w:fill="CCEEFF"/>
            <w:tcMar>
              <w:top w:w="40" w:type="dxa"/>
              <w:left w:w="20" w:type="dxa"/>
              <w:bottom w:w="40" w:type="dxa"/>
              <w:right w:w="0" w:type="dxa"/>
            </w:tcMar>
            <w:vAlign w:val="center"/>
          </w:tcPr>
          <w:p w14:paraId="33DAB50C" w14:textId="77777777" w:rsidR="004D6A64" w:rsidRDefault="00506CD6">
            <w:pPr>
              <w:jc w:val="right"/>
              <w:textAlignment w:val="center"/>
            </w:pPr>
            <w:r>
              <w:rPr>
                <w:rFonts w:ascii="Times New Roman" w:eastAsia="宋体" w:hAnsi="Times New Roman"/>
                <w:color w:val="000000"/>
                <w:sz w:val="20"/>
                <w:szCs w:val="20"/>
              </w:rPr>
              <w:t>300 </w:t>
            </w:r>
          </w:p>
        </w:tc>
        <w:tc>
          <w:tcPr>
            <w:tcW w:w="0" w:type="auto"/>
            <w:shd w:val="clear" w:color="auto" w:fill="CCEEFF"/>
            <w:tcMar>
              <w:top w:w="40" w:type="dxa"/>
              <w:bottom w:w="40" w:type="dxa"/>
              <w:right w:w="20" w:type="dxa"/>
            </w:tcMar>
            <w:vAlign w:val="center"/>
          </w:tcPr>
          <w:p w14:paraId="33DAB50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50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B50F" w14:textId="77777777" w:rsidR="004D6A64" w:rsidRDefault="00506CD6">
            <w:pPr>
              <w:jc w:val="right"/>
              <w:textAlignment w:val="center"/>
            </w:pPr>
            <w:r>
              <w:rPr>
                <w:rFonts w:ascii="Times New Roman" w:eastAsia="宋体" w:hAnsi="Times New Roman"/>
                <w:color w:val="000000"/>
                <w:sz w:val="20"/>
                <w:szCs w:val="20"/>
              </w:rPr>
              <w:t>300 </w:t>
            </w:r>
          </w:p>
        </w:tc>
        <w:tc>
          <w:tcPr>
            <w:tcW w:w="0" w:type="auto"/>
            <w:shd w:val="clear" w:color="auto" w:fill="CCEEFF"/>
            <w:tcMar>
              <w:top w:w="40" w:type="dxa"/>
              <w:bottom w:w="40" w:type="dxa"/>
              <w:right w:w="20" w:type="dxa"/>
            </w:tcMar>
            <w:vAlign w:val="center"/>
          </w:tcPr>
          <w:p w14:paraId="33DAB510" w14:textId="77777777" w:rsidR="004D6A64" w:rsidRDefault="004D6A64">
            <w:pPr>
              <w:jc w:val="right"/>
              <w:rPr>
                <w:rFonts w:ascii="宋体"/>
              </w:rPr>
            </w:pPr>
          </w:p>
        </w:tc>
        <w:tc>
          <w:tcPr>
            <w:tcW w:w="0" w:type="auto"/>
            <w:shd w:val="clear" w:color="auto" w:fill="auto"/>
          </w:tcPr>
          <w:p w14:paraId="33DAB511" w14:textId="77777777" w:rsidR="004D6A64" w:rsidRDefault="004D6A64">
            <w:pPr>
              <w:rPr>
                <w:rFonts w:ascii="宋体"/>
              </w:rPr>
            </w:pPr>
          </w:p>
        </w:tc>
        <w:tc>
          <w:tcPr>
            <w:tcW w:w="0" w:type="auto"/>
            <w:shd w:val="clear" w:color="auto" w:fill="auto"/>
          </w:tcPr>
          <w:p w14:paraId="33DAB512" w14:textId="77777777" w:rsidR="004D6A64" w:rsidRDefault="004D6A64">
            <w:pPr>
              <w:rPr>
                <w:rFonts w:ascii="宋体"/>
              </w:rPr>
            </w:pPr>
          </w:p>
        </w:tc>
        <w:tc>
          <w:tcPr>
            <w:tcW w:w="0" w:type="auto"/>
            <w:shd w:val="clear" w:color="auto" w:fill="auto"/>
          </w:tcPr>
          <w:p w14:paraId="33DAB513" w14:textId="77777777" w:rsidR="004D6A64" w:rsidRDefault="004D6A64">
            <w:pPr>
              <w:rPr>
                <w:rFonts w:ascii="宋体"/>
              </w:rPr>
            </w:pPr>
          </w:p>
        </w:tc>
        <w:tc>
          <w:tcPr>
            <w:tcW w:w="0" w:type="auto"/>
            <w:shd w:val="clear" w:color="auto" w:fill="auto"/>
          </w:tcPr>
          <w:p w14:paraId="33DAB514" w14:textId="77777777" w:rsidR="004D6A64" w:rsidRDefault="004D6A64">
            <w:pPr>
              <w:rPr>
                <w:rFonts w:ascii="宋体"/>
              </w:rPr>
            </w:pPr>
          </w:p>
        </w:tc>
        <w:tc>
          <w:tcPr>
            <w:tcW w:w="0" w:type="auto"/>
            <w:shd w:val="clear" w:color="auto" w:fill="auto"/>
          </w:tcPr>
          <w:p w14:paraId="33DAB515" w14:textId="77777777" w:rsidR="004D6A64" w:rsidRDefault="004D6A64">
            <w:pPr>
              <w:rPr>
                <w:rFonts w:ascii="宋体"/>
              </w:rPr>
            </w:pPr>
          </w:p>
        </w:tc>
        <w:tc>
          <w:tcPr>
            <w:tcW w:w="0" w:type="auto"/>
            <w:shd w:val="clear" w:color="auto" w:fill="auto"/>
          </w:tcPr>
          <w:p w14:paraId="33DAB516" w14:textId="77777777" w:rsidR="004D6A64" w:rsidRDefault="004D6A64">
            <w:pPr>
              <w:rPr>
                <w:rFonts w:ascii="宋体"/>
              </w:rPr>
            </w:pPr>
          </w:p>
        </w:tc>
      </w:tr>
      <w:tr w:rsidR="004D6A64" w14:paraId="33DAB524" w14:textId="77777777">
        <w:tc>
          <w:tcPr>
            <w:tcW w:w="0" w:type="auto"/>
            <w:gridSpan w:val="3"/>
            <w:shd w:val="clear" w:color="auto" w:fill="FFFFFF"/>
            <w:tcMar>
              <w:top w:w="40" w:type="dxa"/>
              <w:left w:w="20" w:type="dxa"/>
              <w:bottom w:w="40" w:type="dxa"/>
              <w:right w:w="20" w:type="dxa"/>
            </w:tcMar>
            <w:vAlign w:val="center"/>
          </w:tcPr>
          <w:p w14:paraId="33DAB518"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6.50% due April 2038</w:t>
            </w:r>
          </w:p>
        </w:tc>
        <w:tc>
          <w:tcPr>
            <w:tcW w:w="0" w:type="auto"/>
            <w:gridSpan w:val="2"/>
            <w:shd w:val="clear" w:color="auto" w:fill="FFFFFF"/>
            <w:tcMar>
              <w:top w:w="40" w:type="dxa"/>
              <w:left w:w="20" w:type="dxa"/>
              <w:bottom w:w="40" w:type="dxa"/>
              <w:right w:w="0" w:type="dxa"/>
            </w:tcMar>
            <w:vAlign w:val="center"/>
          </w:tcPr>
          <w:p w14:paraId="33DAB519" w14:textId="77777777" w:rsidR="004D6A64" w:rsidRDefault="00506CD6">
            <w:pPr>
              <w:jc w:val="right"/>
              <w:textAlignment w:val="center"/>
            </w:pPr>
            <w:r>
              <w:rPr>
                <w:rFonts w:ascii="Times New Roman" w:eastAsia="宋体" w:hAnsi="Times New Roman"/>
                <w:color w:val="000000"/>
                <w:sz w:val="20"/>
                <w:szCs w:val="20"/>
              </w:rPr>
              <w:t>388 </w:t>
            </w:r>
          </w:p>
        </w:tc>
        <w:tc>
          <w:tcPr>
            <w:tcW w:w="0" w:type="auto"/>
            <w:shd w:val="clear" w:color="auto" w:fill="FFFFFF"/>
            <w:tcMar>
              <w:top w:w="40" w:type="dxa"/>
              <w:bottom w:w="40" w:type="dxa"/>
              <w:right w:w="20" w:type="dxa"/>
            </w:tcMar>
            <w:vAlign w:val="center"/>
          </w:tcPr>
          <w:p w14:paraId="33DAB51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51B"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B51C" w14:textId="77777777" w:rsidR="004D6A64" w:rsidRDefault="00506CD6">
            <w:pPr>
              <w:jc w:val="right"/>
              <w:textAlignment w:val="center"/>
            </w:pPr>
            <w:r>
              <w:rPr>
                <w:rFonts w:ascii="Times New Roman" w:eastAsia="宋体" w:hAnsi="Times New Roman"/>
                <w:color w:val="000000"/>
                <w:sz w:val="20"/>
                <w:szCs w:val="20"/>
              </w:rPr>
              <w:t>388 </w:t>
            </w:r>
          </w:p>
        </w:tc>
        <w:tc>
          <w:tcPr>
            <w:tcW w:w="0" w:type="auto"/>
            <w:shd w:val="clear" w:color="auto" w:fill="FFFFFF"/>
            <w:tcMar>
              <w:top w:w="40" w:type="dxa"/>
              <w:bottom w:w="40" w:type="dxa"/>
              <w:right w:w="20" w:type="dxa"/>
            </w:tcMar>
            <w:vAlign w:val="center"/>
          </w:tcPr>
          <w:p w14:paraId="33DAB51D" w14:textId="77777777" w:rsidR="004D6A64" w:rsidRDefault="004D6A64">
            <w:pPr>
              <w:jc w:val="right"/>
              <w:rPr>
                <w:rFonts w:ascii="宋体"/>
              </w:rPr>
            </w:pPr>
          </w:p>
        </w:tc>
        <w:tc>
          <w:tcPr>
            <w:tcW w:w="0" w:type="auto"/>
            <w:shd w:val="clear" w:color="auto" w:fill="auto"/>
          </w:tcPr>
          <w:p w14:paraId="33DAB51E" w14:textId="77777777" w:rsidR="004D6A64" w:rsidRDefault="004D6A64">
            <w:pPr>
              <w:rPr>
                <w:rFonts w:ascii="宋体"/>
              </w:rPr>
            </w:pPr>
          </w:p>
        </w:tc>
        <w:tc>
          <w:tcPr>
            <w:tcW w:w="0" w:type="auto"/>
            <w:shd w:val="clear" w:color="auto" w:fill="auto"/>
          </w:tcPr>
          <w:p w14:paraId="33DAB51F" w14:textId="77777777" w:rsidR="004D6A64" w:rsidRDefault="004D6A64">
            <w:pPr>
              <w:rPr>
                <w:rFonts w:ascii="宋体"/>
              </w:rPr>
            </w:pPr>
          </w:p>
        </w:tc>
        <w:tc>
          <w:tcPr>
            <w:tcW w:w="0" w:type="auto"/>
            <w:shd w:val="clear" w:color="auto" w:fill="auto"/>
          </w:tcPr>
          <w:p w14:paraId="33DAB520" w14:textId="77777777" w:rsidR="004D6A64" w:rsidRDefault="004D6A64">
            <w:pPr>
              <w:rPr>
                <w:rFonts w:ascii="宋体"/>
              </w:rPr>
            </w:pPr>
          </w:p>
        </w:tc>
        <w:tc>
          <w:tcPr>
            <w:tcW w:w="0" w:type="auto"/>
            <w:shd w:val="clear" w:color="auto" w:fill="auto"/>
          </w:tcPr>
          <w:p w14:paraId="33DAB521" w14:textId="77777777" w:rsidR="004D6A64" w:rsidRDefault="004D6A64">
            <w:pPr>
              <w:rPr>
                <w:rFonts w:ascii="宋体"/>
              </w:rPr>
            </w:pPr>
          </w:p>
        </w:tc>
        <w:tc>
          <w:tcPr>
            <w:tcW w:w="0" w:type="auto"/>
            <w:shd w:val="clear" w:color="auto" w:fill="auto"/>
          </w:tcPr>
          <w:p w14:paraId="33DAB522" w14:textId="77777777" w:rsidR="004D6A64" w:rsidRDefault="004D6A64">
            <w:pPr>
              <w:rPr>
                <w:rFonts w:ascii="宋体"/>
              </w:rPr>
            </w:pPr>
          </w:p>
        </w:tc>
        <w:tc>
          <w:tcPr>
            <w:tcW w:w="0" w:type="auto"/>
            <w:shd w:val="clear" w:color="auto" w:fill="auto"/>
          </w:tcPr>
          <w:p w14:paraId="33DAB523" w14:textId="77777777" w:rsidR="004D6A64" w:rsidRDefault="004D6A64">
            <w:pPr>
              <w:rPr>
                <w:rFonts w:ascii="宋体"/>
              </w:rPr>
            </w:pPr>
          </w:p>
        </w:tc>
      </w:tr>
      <w:tr w:rsidR="004D6A64" w14:paraId="33DAB531" w14:textId="77777777">
        <w:tc>
          <w:tcPr>
            <w:tcW w:w="0" w:type="auto"/>
            <w:gridSpan w:val="3"/>
            <w:shd w:val="clear" w:color="auto" w:fill="CCEEFF"/>
            <w:tcMar>
              <w:top w:w="40" w:type="dxa"/>
              <w:left w:w="20" w:type="dxa"/>
              <w:bottom w:w="40" w:type="dxa"/>
              <w:right w:w="20" w:type="dxa"/>
            </w:tcMar>
            <w:vAlign w:val="center"/>
          </w:tcPr>
          <w:p w14:paraId="33DAB525"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5.40% due September 2040</w:t>
            </w:r>
          </w:p>
        </w:tc>
        <w:tc>
          <w:tcPr>
            <w:tcW w:w="0" w:type="auto"/>
            <w:gridSpan w:val="2"/>
            <w:shd w:val="clear" w:color="auto" w:fill="CCEEFF"/>
            <w:tcMar>
              <w:top w:w="40" w:type="dxa"/>
              <w:left w:w="20" w:type="dxa"/>
              <w:bottom w:w="40" w:type="dxa"/>
              <w:right w:w="0" w:type="dxa"/>
            </w:tcMar>
            <w:vAlign w:val="center"/>
          </w:tcPr>
          <w:p w14:paraId="33DAB526" w14:textId="77777777" w:rsidR="004D6A64" w:rsidRDefault="00506CD6">
            <w:pPr>
              <w:jc w:val="right"/>
              <w:textAlignment w:val="center"/>
            </w:pPr>
            <w:r>
              <w:rPr>
                <w:rFonts w:ascii="Times New Roman" w:eastAsia="宋体" w:hAnsi="Times New Roman"/>
                <w:color w:val="000000"/>
                <w:sz w:val="20"/>
                <w:szCs w:val="20"/>
              </w:rPr>
              <w:t>264 </w:t>
            </w:r>
          </w:p>
        </w:tc>
        <w:tc>
          <w:tcPr>
            <w:tcW w:w="0" w:type="auto"/>
            <w:shd w:val="clear" w:color="auto" w:fill="CCEEFF"/>
            <w:tcMar>
              <w:top w:w="40" w:type="dxa"/>
              <w:bottom w:w="40" w:type="dxa"/>
              <w:right w:w="20" w:type="dxa"/>
            </w:tcMar>
            <w:vAlign w:val="center"/>
          </w:tcPr>
          <w:p w14:paraId="33DAB52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528"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B529" w14:textId="77777777" w:rsidR="004D6A64" w:rsidRDefault="00506CD6">
            <w:pPr>
              <w:jc w:val="right"/>
              <w:textAlignment w:val="center"/>
            </w:pPr>
            <w:r>
              <w:rPr>
                <w:rFonts w:ascii="Times New Roman" w:eastAsia="宋体" w:hAnsi="Times New Roman"/>
                <w:color w:val="000000"/>
                <w:sz w:val="20"/>
                <w:szCs w:val="20"/>
              </w:rPr>
              <w:t>264 </w:t>
            </w:r>
          </w:p>
        </w:tc>
        <w:tc>
          <w:tcPr>
            <w:tcW w:w="0" w:type="auto"/>
            <w:shd w:val="clear" w:color="auto" w:fill="CCEEFF"/>
            <w:tcMar>
              <w:top w:w="40" w:type="dxa"/>
              <w:bottom w:w="40" w:type="dxa"/>
              <w:right w:w="20" w:type="dxa"/>
            </w:tcMar>
            <w:vAlign w:val="center"/>
          </w:tcPr>
          <w:p w14:paraId="33DAB52A" w14:textId="77777777" w:rsidR="004D6A64" w:rsidRDefault="004D6A64">
            <w:pPr>
              <w:jc w:val="right"/>
              <w:rPr>
                <w:rFonts w:ascii="宋体"/>
              </w:rPr>
            </w:pPr>
          </w:p>
        </w:tc>
        <w:tc>
          <w:tcPr>
            <w:tcW w:w="0" w:type="auto"/>
            <w:shd w:val="clear" w:color="auto" w:fill="auto"/>
          </w:tcPr>
          <w:p w14:paraId="33DAB52B" w14:textId="77777777" w:rsidR="004D6A64" w:rsidRDefault="004D6A64">
            <w:pPr>
              <w:rPr>
                <w:rFonts w:ascii="宋体"/>
              </w:rPr>
            </w:pPr>
          </w:p>
        </w:tc>
        <w:tc>
          <w:tcPr>
            <w:tcW w:w="0" w:type="auto"/>
            <w:shd w:val="clear" w:color="auto" w:fill="auto"/>
          </w:tcPr>
          <w:p w14:paraId="33DAB52C" w14:textId="77777777" w:rsidR="004D6A64" w:rsidRDefault="004D6A64">
            <w:pPr>
              <w:rPr>
                <w:rFonts w:ascii="宋体"/>
              </w:rPr>
            </w:pPr>
          </w:p>
        </w:tc>
        <w:tc>
          <w:tcPr>
            <w:tcW w:w="0" w:type="auto"/>
            <w:shd w:val="clear" w:color="auto" w:fill="auto"/>
          </w:tcPr>
          <w:p w14:paraId="33DAB52D" w14:textId="77777777" w:rsidR="004D6A64" w:rsidRDefault="004D6A64">
            <w:pPr>
              <w:rPr>
                <w:rFonts w:ascii="宋体"/>
              </w:rPr>
            </w:pPr>
          </w:p>
        </w:tc>
        <w:tc>
          <w:tcPr>
            <w:tcW w:w="0" w:type="auto"/>
            <w:shd w:val="clear" w:color="auto" w:fill="auto"/>
          </w:tcPr>
          <w:p w14:paraId="33DAB52E" w14:textId="77777777" w:rsidR="004D6A64" w:rsidRDefault="004D6A64">
            <w:pPr>
              <w:rPr>
                <w:rFonts w:ascii="宋体"/>
              </w:rPr>
            </w:pPr>
          </w:p>
        </w:tc>
        <w:tc>
          <w:tcPr>
            <w:tcW w:w="0" w:type="auto"/>
            <w:shd w:val="clear" w:color="auto" w:fill="auto"/>
          </w:tcPr>
          <w:p w14:paraId="33DAB52F" w14:textId="77777777" w:rsidR="004D6A64" w:rsidRDefault="004D6A64">
            <w:pPr>
              <w:rPr>
                <w:rFonts w:ascii="宋体"/>
              </w:rPr>
            </w:pPr>
          </w:p>
        </w:tc>
        <w:tc>
          <w:tcPr>
            <w:tcW w:w="0" w:type="auto"/>
            <w:shd w:val="clear" w:color="auto" w:fill="auto"/>
          </w:tcPr>
          <w:p w14:paraId="33DAB530" w14:textId="77777777" w:rsidR="004D6A64" w:rsidRDefault="004D6A64">
            <w:pPr>
              <w:rPr>
                <w:rFonts w:ascii="宋体"/>
              </w:rPr>
            </w:pPr>
          </w:p>
        </w:tc>
      </w:tr>
      <w:tr w:rsidR="004D6A64" w14:paraId="33DAB53C" w14:textId="77777777">
        <w:tc>
          <w:tcPr>
            <w:tcW w:w="0" w:type="auto"/>
            <w:gridSpan w:val="3"/>
            <w:shd w:val="clear" w:color="auto" w:fill="FFFFFF"/>
            <w:tcMar>
              <w:top w:w="40" w:type="dxa"/>
              <w:left w:w="135" w:type="dxa"/>
              <w:bottom w:w="40" w:type="dxa"/>
              <w:right w:w="20" w:type="dxa"/>
            </w:tcMar>
            <w:vAlign w:val="center"/>
          </w:tcPr>
          <w:p w14:paraId="33DAB532" w14:textId="77777777" w:rsidR="004D6A64" w:rsidRDefault="00506CD6">
            <w:pPr>
              <w:textAlignment w:val="center"/>
            </w:pPr>
            <w:r>
              <w:rPr>
                <w:rFonts w:ascii="Times New Roman" w:eastAsia="宋体" w:hAnsi="Times New Roman"/>
                <w:color w:val="000000"/>
                <w:sz w:val="20"/>
                <w:szCs w:val="20"/>
              </w:rPr>
              <w:t>Senior Notes:</w:t>
            </w:r>
          </w:p>
        </w:tc>
        <w:tc>
          <w:tcPr>
            <w:tcW w:w="0" w:type="auto"/>
            <w:gridSpan w:val="3"/>
            <w:shd w:val="clear" w:color="auto" w:fill="FFFFFF"/>
            <w:tcMar>
              <w:left w:w="20" w:type="dxa"/>
              <w:right w:w="20" w:type="dxa"/>
            </w:tcMar>
            <w:vAlign w:val="bottom"/>
          </w:tcPr>
          <w:p w14:paraId="33DAB533"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534"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535" w14:textId="77777777" w:rsidR="004D6A64" w:rsidRDefault="004D6A64">
            <w:pPr>
              <w:rPr>
                <w:rFonts w:ascii="宋体"/>
              </w:rPr>
            </w:pPr>
          </w:p>
        </w:tc>
        <w:tc>
          <w:tcPr>
            <w:tcW w:w="0" w:type="auto"/>
            <w:shd w:val="clear" w:color="auto" w:fill="auto"/>
          </w:tcPr>
          <w:p w14:paraId="33DAB536" w14:textId="77777777" w:rsidR="004D6A64" w:rsidRDefault="004D6A64">
            <w:pPr>
              <w:rPr>
                <w:rFonts w:ascii="宋体"/>
              </w:rPr>
            </w:pPr>
          </w:p>
        </w:tc>
        <w:tc>
          <w:tcPr>
            <w:tcW w:w="0" w:type="auto"/>
            <w:shd w:val="clear" w:color="auto" w:fill="auto"/>
          </w:tcPr>
          <w:p w14:paraId="33DAB537" w14:textId="77777777" w:rsidR="004D6A64" w:rsidRDefault="004D6A64">
            <w:pPr>
              <w:rPr>
                <w:rFonts w:ascii="宋体"/>
              </w:rPr>
            </w:pPr>
          </w:p>
        </w:tc>
        <w:tc>
          <w:tcPr>
            <w:tcW w:w="0" w:type="auto"/>
            <w:shd w:val="clear" w:color="auto" w:fill="auto"/>
          </w:tcPr>
          <w:p w14:paraId="33DAB538" w14:textId="77777777" w:rsidR="004D6A64" w:rsidRDefault="004D6A64">
            <w:pPr>
              <w:rPr>
                <w:rFonts w:ascii="宋体"/>
              </w:rPr>
            </w:pPr>
          </w:p>
        </w:tc>
        <w:tc>
          <w:tcPr>
            <w:tcW w:w="0" w:type="auto"/>
            <w:shd w:val="clear" w:color="auto" w:fill="auto"/>
          </w:tcPr>
          <w:p w14:paraId="33DAB539" w14:textId="77777777" w:rsidR="004D6A64" w:rsidRDefault="004D6A64">
            <w:pPr>
              <w:rPr>
                <w:rFonts w:ascii="宋体"/>
              </w:rPr>
            </w:pPr>
          </w:p>
        </w:tc>
        <w:tc>
          <w:tcPr>
            <w:tcW w:w="0" w:type="auto"/>
            <w:shd w:val="clear" w:color="auto" w:fill="auto"/>
          </w:tcPr>
          <w:p w14:paraId="33DAB53A" w14:textId="77777777" w:rsidR="004D6A64" w:rsidRDefault="004D6A64">
            <w:pPr>
              <w:rPr>
                <w:rFonts w:ascii="宋体"/>
              </w:rPr>
            </w:pPr>
          </w:p>
        </w:tc>
        <w:tc>
          <w:tcPr>
            <w:tcW w:w="0" w:type="auto"/>
            <w:shd w:val="clear" w:color="auto" w:fill="auto"/>
          </w:tcPr>
          <w:p w14:paraId="33DAB53B" w14:textId="77777777" w:rsidR="004D6A64" w:rsidRDefault="004D6A64">
            <w:pPr>
              <w:rPr>
                <w:rFonts w:ascii="宋体"/>
              </w:rPr>
            </w:pPr>
          </w:p>
        </w:tc>
      </w:tr>
      <w:tr w:rsidR="004D6A64" w14:paraId="33DAB549" w14:textId="77777777">
        <w:tc>
          <w:tcPr>
            <w:tcW w:w="0" w:type="auto"/>
            <w:gridSpan w:val="3"/>
            <w:shd w:val="clear" w:color="auto" w:fill="CCEEFF"/>
            <w:tcMar>
              <w:top w:w="40" w:type="dxa"/>
              <w:left w:w="20" w:type="dxa"/>
              <w:bottom w:w="40" w:type="dxa"/>
              <w:right w:w="20" w:type="dxa"/>
            </w:tcMar>
            <w:vAlign w:val="center"/>
          </w:tcPr>
          <w:p w14:paraId="33DAB53D"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5.875% due June 2021</w:t>
            </w:r>
          </w:p>
        </w:tc>
        <w:tc>
          <w:tcPr>
            <w:tcW w:w="0" w:type="auto"/>
            <w:gridSpan w:val="2"/>
            <w:shd w:val="clear" w:color="auto" w:fill="CCEEFF"/>
            <w:tcMar>
              <w:top w:w="40" w:type="dxa"/>
              <w:left w:w="20" w:type="dxa"/>
              <w:bottom w:w="40" w:type="dxa"/>
              <w:right w:w="0" w:type="dxa"/>
            </w:tcMar>
            <w:vAlign w:val="center"/>
          </w:tcPr>
          <w:p w14:paraId="33DAB53E" w14:textId="77777777" w:rsidR="004D6A64" w:rsidRDefault="00506CD6">
            <w:pPr>
              <w:jc w:val="right"/>
              <w:textAlignment w:val="center"/>
            </w:pPr>
            <w:r>
              <w:rPr>
                <w:rFonts w:ascii="Times New Roman" w:eastAsia="宋体" w:hAnsi="Times New Roman"/>
                <w:color w:val="000000"/>
                <w:sz w:val="20"/>
                <w:szCs w:val="20"/>
              </w:rPr>
              <w:t>1,075 </w:t>
            </w:r>
          </w:p>
        </w:tc>
        <w:tc>
          <w:tcPr>
            <w:tcW w:w="0" w:type="auto"/>
            <w:shd w:val="clear" w:color="auto" w:fill="CCEEFF"/>
            <w:tcMar>
              <w:top w:w="40" w:type="dxa"/>
              <w:bottom w:w="40" w:type="dxa"/>
              <w:right w:w="20" w:type="dxa"/>
            </w:tcMar>
            <w:vAlign w:val="center"/>
          </w:tcPr>
          <w:p w14:paraId="33DAB53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540"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B541" w14:textId="77777777" w:rsidR="004D6A64" w:rsidRDefault="00506CD6">
            <w:pPr>
              <w:jc w:val="right"/>
              <w:textAlignment w:val="center"/>
            </w:pPr>
            <w:r>
              <w:rPr>
                <w:rFonts w:ascii="Times New Roman" w:eastAsia="宋体" w:hAnsi="Times New Roman"/>
                <w:color w:val="000000"/>
                <w:sz w:val="20"/>
                <w:szCs w:val="20"/>
              </w:rPr>
              <w:t>1,075 </w:t>
            </w:r>
          </w:p>
        </w:tc>
        <w:tc>
          <w:tcPr>
            <w:tcW w:w="0" w:type="auto"/>
            <w:shd w:val="clear" w:color="auto" w:fill="CCEEFF"/>
            <w:tcMar>
              <w:top w:w="40" w:type="dxa"/>
              <w:bottom w:w="40" w:type="dxa"/>
              <w:right w:w="20" w:type="dxa"/>
            </w:tcMar>
            <w:vAlign w:val="center"/>
          </w:tcPr>
          <w:p w14:paraId="33DAB542" w14:textId="77777777" w:rsidR="004D6A64" w:rsidRDefault="004D6A64">
            <w:pPr>
              <w:jc w:val="right"/>
              <w:rPr>
                <w:rFonts w:ascii="宋体"/>
              </w:rPr>
            </w:pPr>
          </w:p>
        </w:tc>
        <w:tc>
          <w:tcPr>
            <w:tcW w:w="0" w:type="auto"/>
            <w:shd w:val="clear" w:color="auto" w:fill="auto"/>
          </w:tcPr>
          <w:p w14:paraId="33DAB543" w14:textId="77777777" w:rsidR="004D6A64" w:rsidRDefault="004D6A64">
            <w:pPr>
              <w:rPr>
                <w:rFonts w:ascii="宋体"/>
              </w:rPr>
            </w:pPr>
          </w:p>
        </w:tc>
        <w:tc>
          <w:tcPr>
            <w:tcW w:w="0" w:type="auto"/>
            <w:shd w:val="clear" w:color="auto" w:fill="auto"/>
          </w:tcPr>
          <w:p w14:paraId="33DAB544" w14:textId="77777777" w:rsidR="004D6A64" w:rsidRDefault="004D6A64">
            <w:pPr>
              <w:rPr>
                <w:rFonts w:ascii="宋体"/>
              </w:rPr>
            </w:pPr>
          </w:p>
        </w:tc>
        <w:tc>
          <w:tcPr>
            <w:tcW w:w="0" w:type="auto"/>
            <w:shd w:val="clear" w:color="auto" w:fill="auto"/>
          </w:tcPr>
          <w:p w14:paraId="33DAB545" w14:textId="77777777" w:rsidR="004D6A64" w:rsidRDefault="004D6A64">
            <w:pPr>
              <w:rPr>
                <w:rFonts w:ascii="宋体"/>
              </w:rPr>
            </w:pPr>
          </w:p>
        </w:tc>
        <w:tc>
          <w:tcPr>
            <w:tcW w:w="0" w:type="auto"/>
            <w:shd w:val="clear" w:color="auto" w:fill="auto"/>
          </w:tcPr>
          <w:p w14:paraId="33DAB546" w14:textId="77777777" w:rsidR="004D6A64" w:rsidRDefault="004D6A64">
            <w:pPr>
              <w:rPr>
                <w:rFonts w:ascii="宋体"/>
              </w:rPr>
            </w:pPr>
          </w:p>
        </w:tc>
        <w:tc>
          <w:tcPr>
            <w:tcW w:w="0" w:type="auto"/>
            <w:shd w:val="clear" w:color="auto" w:fill="auto"/>
          </w:tcPr>
          <w:p w14:paraId="33DAB547" w14:textId="77777777" w:rsidR="004D6A64" w:rsidRDefault="004D6A64">
            <w:pPr>
              <w:rPr>
                <w:rFonts w:ascii="宋体"/>
              </w:rPr>
            </w:pPr>
          </w:p>
        </w:tc>
        <w:tc>
          <w:tcPr>
            <w:tcW w:w="0" w:type="auto"/>
            <w:shd w:val="clear" w:color="auto" w:fill="auto"/>
          </w:tcPr>
          <w:p w14:paraId="33DAB548" w14:textId="77777777" w:rsidR="004D6A64" w:rsidRDefault="004D6A64">
            <w:pPr>
              <w:rPr>
                <w:rFonts w:ascii="宋体"/>
              </w:rPr>
            </w:pPr>
          </w:p>
        </w:tc>
      </w:tr>
      <w:tr w:rsidR="004D6A64" w14:paraId="33DAB556" w14:textId="77777777">
        <w:tc>
          <w:tcPr>
            <w:tcW w:w="0" w:type="auto"/>
            <w:gridSpan w:val="3"/>
            <w:shd w:val="clear" w:color="auto" w:fill="FFFFFF"/>
            <w:tcMar>
              <w:top w:w="40" w:type="dxa"/>
              <w:left w:w="20" w:type="dxa"/>
              <w:bottom w:w="40" w:type="dxa"/>
              <w:right w:w="20" w:type="dxa"/>
            </w:tcMar>
            <w:vAlign w:val="center"/>
          </w:tcPr>
          <w:p w14:paraId="33DAB54A"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7.125% due June 2024</w:t>
            </w:r>
          </w:p>
        </w:tc>
        <w:tc>
          <w:tcPr>
            <w:tcW w:w="0" w:type="auto"/>
            <w:gridSpan w:val="2"/>
            <w:shd w:val="clear" w:color="auto" w:fill="FFFFFF"/>
            <w:tcMar>
              <w:top w:w="40" w:type="dxa"/>
              <w:left w:w="20" w:type="dxa"/>
              <w:bottom w:w="40" w:type="dxa"/>
              <w:right w:w="0" w:type="dxa"/>
            </w:tcMar>
            <w:vAlign w:val="center"/>
          </w:tcPr>
          <w:p w14:paraId="33DAB54B" w14:textId="77777777" w:rsidR="004D6A64" w:rsidRDefault="00506CD6">
            <w:pPr>
              <w:jc w:val="right"/>
              <w:textAlignment w:val="center"/>
            </w:pPr>
            <w:r>
              <w:rPr>
                <w:rFonts w:ascii="Times New Roman" w:eastAsia="宋体" w:hAnsi="Times New Roman"/>
                <w:color w:val="000000"/>
                <w:sz w:val="20"/>
                <w:szCs w:val="20"/>
              </w:rPr>
              <w:t>1,625 </w:t>
            </w:r>
          </w:p>
        </w:tc>
        <w:tc>
          <w:tcPr>
            <w:tcW w:w="0" w:type="auto"/>
            <w:shd w:val="clear" w:color="auto" w:fill="FFFFFF"/>
            <w:tcMar>
              <w:top w:w="40" w:type="dxa"/>
              <w:bottom w:w="40" w:type="dxa"/>
              <w:right w:w="20" w:type="dxa"/>
            </w:tcMar>
            <w:vAlign w:val="center"/>
          </w:tcPr>
          <w:p w14:paraId="33DAB54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54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B54E" w14:textId="77777777" w:rsidR="004D6A64" w:rsidRDefault="00506CD6">
            <w:pPr>
              <w:jc w:val="right"/>
              <w:textAlignment w:val="center"/>
            </w:pPr>
            <w:r>
              <w:rPr>
                <w:rFonts w:ascii="Times New Roman" w:eastAsia="宋体" w:hAnsi="Times New Roman"/>
                <w:color w:val="000000"/>
                <w:sz w:val="20"/>
                <w:szCs w:val="20"/>
              </w:rPr>
              <w:t>1,625 </w:t>
            </w:r>
          </w:p>
        </w:tc>
        <w:tc>
          <w:tcPr>
            <w:tcW w:w="0" w:type="auto"/>
            <w:shd w:val="clear" w:color="auto" w:fill="FFFFFF"/>
            <w:tcMar>
              <w:top w:w="40" w:type="dxa"/>
              <w:bottom w:w="40" w:type="dxa"/>
              <w:right w:w="20" w:type="dxa"/>
            </w:tcMar>
            <w:vAlign w:val="center"/>
          </w:tcPr>
          <w:p w14:paraId="33DAB54F" w14:textId="77777777" w:rsidR="004D6A64" w:rsidRDefault="004D6A64">
            <w:pPr>
              <w:jc w:val="right"/>
              <w:rPr>
                <w:rFonts w:ascii="宋体"/>
              </w:rPr>
            </w:pPr>
          </w:p>
        </w:tc>
        <w:tc>
          <w:tcPr>
            <w:tcW w:w="0" w:type="auto"/>
            <w:shd w:val="clear" w:color="auto" w:fill="auto"/>
          </w:tcPr>
          <w:p w14:paraId="33DAB550" w14:textId="77777777" w:rsidR="004D6A64" w:rsidRDefault="004D6A64">
            <w:pPr>
              <w:rPr>
                <w:rFonts w:ascii="宋体"/>
              </w:rPr>
            </w:pPr>
          </w:p>
        </w:tc>
        <w:tc>
          <w:tcPr>
            <w:tcW w:w="0" w:type="auto"/>
            <w:shd w:val="clear" w:color="auto" w:fill="auto"/>
          </w:tcPr>
          <w:p w14:paraId="33DAB551" w14:textId="77777777" w:rsidR="004D6A64" w:rsidRDefault="004D6A64">
            <w:pPr>
              <w:rPr>
                <w:rFonts w:ascii="宋体"/>
              </w:rPr>
            </w:pPr>
          </w:p>
        </w:tc>
        <w:tc>
          <w:tcPr>
            <w:tcW w:w="0" w:type="auto"/>
            <w:shd w:val="clear" w:color="auto" w:fill="auto"/>
          </w:tcPr>
          <w:p w14:paraId="33DAB552" w14:textId="77777777" w:rsidR="004D6A64" w:rsidRDefault="004D6A64">
            <w:pPr>
              <w:rPr>
                <w:rFonts w:ascii="宋体"/>
              </w:rPr>
            </w:pPr>
          </w:p>
        </w:tc>
        <w:tc>
          <w:tcPr>
            <w:tcW w:w="0" w:type="auto"/>
            <w:shd w:val="clear" w:color="auto" w:fill="auto"/>
          </w:tcPr>
          <w:p w14:paraId="33DAB553" w14:textId="77777777" w:rsidR="004D6A64" w:rsidRDefault="004D6A64">
            <w:pPr>
              <w:rPr>
                <w:rFonts w:ascii="宋体"/>
              </w:rPr>
            </w:pPr>
          </w:p>
        </w:tc>
        <w:tc>
          <w:tcPr>
            <w:tcW w:w="0" w:type="auto"/>
            <w:shd w:val="clear" w:color="auto" w:fill="auto"/>
          </w:tcPr>
          <w:p w14:paraId="33DAB554" w14:textId="77777777" w:rsidR="004D6A64" w:rsidRDefault="004D6A64">
            <w:pPr>
              <w:rPr>
                <w:rFonts w:ascii="宋体"/>
              </w:rPr>
            </w:pPr>
          </w:p>
        </w:tc>
        <w:tc>
          <w:tcPr>
            <w:tcW w:w="0" w:type="auto"/>
            <w:shd w:val="clear" w:color="auto" w:fill="auto"/>
          </w:tcPr>
          <w:p w14:paraId="33DAB555" w14:textId="77777777" w:rsidR="004D6A64" w:rsidRDefault="004D6A64">
            <w:pPr>
              <w:rPr>
                <w:rFonts w:ascii="宋体"/>
              </w:rPr>
            </w:pPr>
          </w:p>
        </w:tc>
      </w:tr>
      <w:tr w:rsidR="004D6A64" w14:paraId="33DAB561" w14:textId="77777777">
        <w:tc>
          <w:tcPr>
            <w:tcW w:w="0" w:type="auto"/>
            <w:gridSpan w:val="3"/>
            <w:shd w:val="clear" w:color="auto" w:fill="CCEEFF"/>
            <w:tcMar>
              <w:top w:w="40" w:type="dxa"/>
              <w:left w:w="135" w:type="dxa"/>
              <w:bottom w:w="40" w:type="dxa"/>
              <w:right w:w="20" w:type="dxa"/>
            </w:tcMar>
            <w:vAlign w:val="center"/>
          </w:tcPr>
          <w:p w14:paraId="33DAB557" w14:textId="77777777" w:rsidR="004D6A64" w:rsidRDefault="00506CD6">
            <w:pPr>
              <w:textAlignment w:val="center"/>
            </w:pPr>
            <w:r>
              <w:rPr>
                <w:rFonts w:ascii="Times New Roman" w:eastAsia="宋体" w:hAnsi="Times New Roman"/>
                <w:color w:val="000000"/>
                <w:sz w:val="20"/>
                <w:szCs w:val="20"/>
              </w:rPr>
              <w:t>EMC Notes:</w:t>
            </w:r>
          </w:p>
        </w:tc>
        <w:tc>
          <w:tcPr>
            <w:tcW w:w="0" w:type="auto"/>
            <w:gridSpan w:val="3"/>
            <w:shd w:val="clear" w:color="auto" w:fill="CCEEFF"/>
            <w:tcMar>
              <w:left w:w="20" w:type="dxa"/>
              <w:right w:w="20" w:type="dxa"/>
            </w:tcMar>
            <w:vAlign w:val="bottom"/>
          </w:tcPr>
          <w:p w14:paraId="33DAB558"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559"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55A" w14:textId="77777777" w:rsidR="004D6A64" w:rsidRDefault="004D6A64">
            <w:pPr>
              <w:rPr>
                <w:rFonts w:ascii="宋体"/>
              </w:rPr>
            </w:pPr>
          </w:p>
        </w:tc>
        <w:tc>
          <w:tcPr>
            <w:tcW w:w="0" w:type="auto"/>
            <w:shd w:val="clear" w:color="auto" w:fill="auto"/>
          </w:tcPr>
          <w:p w14:paraId="33DAB55B" w14:textId="77777777" w:rsidR="004D6A64" w:rsidRDefault="004D6A64">
            <w:pPr>
              <w:rPr>
                <w:rFonts w:ascii="宋体"/>
              </w:rPr>
            </w:pPr>
          </w:p>
        </w:tc>
        <w:tc>
          <w:tcPr>
            <w:tcW w:w="0" w:type="auto"/>
            <w:shd w:val="clear" w:color="auto" w:fill="auto"/>
          </w:tcPr>
          <w:p w14:paraId="33DAB55C" w14:textId="77777777" w:rsidR="004D6A64" w:rsidRDefault="004D6A64">
            <w:pPr>
              <w:rPr>
                <w:rFonts w:ascii="宋体"/>
              </w:rPr>
            </w:pPr>
          </w:p>
        </w:tc>
        <w:tc>
          <w:tcPr>
            <w:tcW w:w="0" w:type="auto"/>
            <w:shd w:val="clear" w:color="auto" w:fill="auto"/>
          </w:tcPr>
          <w:p w14:paraId="33DAB55D" w14:textId="77777777" w:rsidR="004D6A64" w:rsidRDefault="004D6A64">
            <w:pPr>
              <w:rPr>
                <w:rFonts w:ascii="宋体"/>
              </w:rPr>
            </w:pPr>
          </w:p>
        </w:tc>
        <w:tc>
          <w:tcPr>
            <w:tcW w:w="0" w:type="auto"/>
            <w:shd w:val="clear" w:color="auto" w:fill="auto"/>
          </w:tcPr>
          <w:p w14:paraId="33DAB55E" w14:textId="77777777" w:rsidR="004D6A64" w:rsidRDefault="004D6A64">
            <w:pPr>
              <w:rPr>
                <w:rFonts w:ascii="宋体"/>
              </w:rPr>
            </w:pPr>
          </w:p>
        </w:tc>
        <w:tc>
          <w:tcPr>
            <w:tcW w:w="0" w:type="auto"/>
            <w:shd w:val="clear" w:color="auto" w:fill="auto"/>
          </w:tcPr>
          <w:p w14:paraId="33DAB55F" w14:textId="77777777" w:rsidR="004D6A64" w:rsidRDefault="004D6A64">
            <w:pPr>
              <w:rPr>
                <w:rFonts w:ascii="宋体"/>
              </w:rPr>
            </w:pPr>
          </w:p>
        </w:tc>
        <w:tc>
          <w:tcPr>
            <w:tcW w:w="0" w:type="auto"/>
            <w:shd w:val="clear" w:color="auto" w:fill="auto"/>
          </w:tcPr>
          <w:p w14:paraId="33DAB560" w14:textId="77777777" w:rsidR="004D6A64" w:rsidRDefault="004D6A64">
            <w:pPr>
              <w:rPr>
                <w:rFonts w:ascii="宋体"/>
              </w:rPr>
            </w:pPr>
          </w:p>
        </w:tc>
      </w:tr>
      <w:tr w:rsidR="004D6A64" w14:paraId="33DAB56E" w14:textId="77777777">
        <w:tc>
          <w:tcPr>
            <w:tcW w:w="0" w:type="auto"/>
            <w:gridSpan w:val="3"/>
            <w:shd w:val="clear" w:color="auto" w:fill="FFFFFF"/>
            <w:tcMar>
              <w:top w:w="40" w:type="dxa"/>
              <w:left w:w="20" w:type="dxa"/>
              <w:bottom w:w="40" w:type="dxa"/>
              <w:right w:w="20" w:type="dxa"/>
            </w:tcMar>
            <w:vAlign w:val="center"/>
          </w:tcPr>
          <w:p w14:paraId="33DAB562"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2.650% due June 2020</w:t>
            </w:r>
          </w:p>
        </w:tc>
        <w:tc>
          <w:tcPr>
            <w:tcW w:w="0" w:type="auto"/>
            <w:gridSpan w:val="2"/>
            <w:shd w:val="clear" w:color="auto" w:fill="FFFFFF"/>
            <w:tcMar>
              <w:top w:w="40" w:type="dxa"/>
              <w:left w:w="20" w:type="dxa"/>
              <w:bottom w:w="40" w:type="dxa"/>
              <w:right w:w="0" w:type="dxa"/>
            </w:tcMar>
            <w:vAlign w:val="center"/>
          </w:tcPr>
          <w:p w14:paraId="33DAB563"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B56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565"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B566" w14:textId="77777777" w:rsidR="004D6A64" w:rsidRDefault="00506CD6">
            <w:pPr>
              <w:jc w:val="right"/>
              <w:textAlignment w:val="center"/>
            </w:pPr>
            <w:r>
              <w:rPr>
                <w:rFonts w:ascii="Times New Roman" w:eastAsia="宋体" w:hAnsi="Times New Roman"/>
                <w:color w:val="000000"/>
                <w:sz w:val="20"/>
                <w:szCs w:val="20"/>
              </w:rPr>
              <w:t>600 </w:t>
            </w:r>
          </w:p>
        </w:tc>
        <w:tc>
          <w:tcPr>
            <w:tcW w:w="0" w:type="auto"/>
            <w:shd w:val="clear" w:color="auto" w:fill="FFFFFF"/>
            <w:tcMar>
              <w:top w:w="40" w:type="dxa"/>
              <w:bottom w:w="40" w:type="dxa"/>
              <w:right w:w="20" w:type="dxa"/>
            </w:tcMar>
            <w:vAlign w:val="center"/>
          </w:tcPr>
          <w:p w14:paraId="33DAB567" w14:textId="77777777" w:rsidR="004D6A64" w:rsidRDefault="004D6A64">
            <w:pPr>
              <w:jc w:val="right"/>
              <w:rPr>
                <w:rFonts w:ascii="宋体"/>
              </w:rPr>
            </w:pPr>
          </w:p>
        </w:tc>
        <w:tc>
          <w:tcPr>
            <w:tcW w:w="0" w:type="auto"/>
            <w:shd w:val="clear" w:color="auto" w:fill="auto"/>
          </w:tcPr>
          <w:p w14:paraId="33DAB568" w14:textId="77777777" w:rsidR="004D6A64" w:rsidRDefault="004D6A64">
            <w:pPr>
              <w:rPr>
                <w:rFonts w:ascii="宋体"/>
              </w:rPr>
            </w:pPr>
          </w:p>
        </w:tc>
        <w:tc>
          <w:tcPr>
            <w:tcW w:w="0" w:type="auto"/>
            <w:shd w:val="clear" w:color="auto" w:fill="auto"/>
          </w:tcPr>
          <w:p w14:paraId="33DAB569" w14:textId="77777777" w:rsidR="004D6A64" w:rsidRDefault="004D6A64">
            <w:pPr>
              <w:rPr>
                <w:rFonts w:ascii="宋体"/>
              </w:rPr>
            </w:pPr>
          </w:p>
        </w:tc>
        <w:tc>
          <w:tcPr>
            <w:tcW w:w="0" w:type="auto"/>
            <w:shd w:val="clear" w:color="auto" w:fill="auto"/>
          </w:tcPr>
          <w:p w14:paraId="33DAB56A" w14:textId="77777777" w:rsidR="004D6A64" w:rsidRDefault="004D6A64">
            <w:pPr>
              <w:rPr>
                <w:rFonts w:ascii="宋体"/>
              </w:rPr>
            </w:pPr>
          </w:p>
        </w:tc>
        <w:tc>
          <w:tcPr>
            <w:tcW w:w="0" w:type="auto"/>
            <w:shd w:val="clear" w:color="auto" w:fill="auto"/>
          </w:tcPr>
          <w:p w14:paraId="33DAB56B" w14:textId="77777777" w:rsidR="004D6A64" w:rsidRDefault="004D6A64">
            <w:pPr>
              <w:rPr>
                <w:rFonts w:ascii="宋体"/>
              </w:rPr>
            </w:pPr>
          </w:p>
        </w:tc>
        <w:tc>
          <w:tcPr>
            <w:tcW w:w="0" w:type="auto"/>
            <w:shd w:val="clear" w:color="auto" w:fill="auto"/>
          </w:tcPr>
          <w:p w14:paraId="33DAB56C" w14:textId="77777777" w:rsidR="004D6A64" w:rsidRDefault="004D6A64">
            <w:pPr>
              <w:rPr>
                <w:rFonts w:ascii="宋体"/>
              </w:rPr>
            </w:pPr>
          </w:p>
        </w:tc>
        <w:tc>
          <w:tcPr>
            <w:tcW w:w="0" w:type="auto"/>
            <w:shd w:val="clear" w:color="auto" w:fill="auto"/>
          </w:tcPr>
          <w:p w14:paraId="33DAB56D" w14:textId="77777777" w:rsidR="004D6A64" w:rsidRDefault="004D6A64">
            <w:pPr>
              <w:rPr>
                <w:rFonts w:ascii="宋体"/>
              </w:rPr>
            </w:pPr>
          </w:p>
        </w:tc>
      </w:tr>
      <w:tr w:rsidR="004D6A64" w14:paraId="33DAB57B" w14:textId="77777777">
        <w:tc>
          <w:tcPr>
            <w:tcW w:w="0" w:type="auto"/>
            <w:gridSpan w:val="3"/>
            <w:shd w:val="clear" w:color="auto" w:fill="CCEEFF"/>
            <w:tcMar>
              <w:top w:w="40" w:type="dxa"/>
              <w:left w:w="20" w:type="dxa"/>
              <w:bottom w:w="40" w:type="dxa"/>
              <w:right w:w="20" w:type="dxa"/>
            </w:tcMar>
            <w:vAlign w:val="center"/>
          </w:tcPr>
          <w:p w14:paraId="33DAB56F"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3.375% due June 2023</w:t>
            </w:r>
          </w:p>
        </w:tc>
        <w:tc>
          <w:tcPr>
            <w:tcW w:w="0" w:type="auto"/>
            <w:gridSpan w:val="2"/>
            <w:shd w:val="clear" w:color="auto" w:fill="CCEEFF"/>
            <w:tcMar>
              <w:top w:w="40" w:type="dxa"/>
              <w:left w:w="20" w:type="dxa"/>
              <w:bottom w:w="40" w:type="dxa"/>
              <w:right w:w="0" w:type="dxa"/>
            </w:tcMar>
            <w:vAlign w:val="center"/>
          </w:tcPr>
          <w:p w14:paraId="33DAB570" w14:textId="77777777" w:rsidR="004D6A64" w:rsidRDefault="00506CD6">
            <w:pPr>
              <w:jc w:val="right"/>
              <w:textAlignment w:val="center"/>
            </w:pPr>
            <w:r>
              <w:rPr>
                <w:rFonts w:ascii="Times New Roman" w:eastAsia="宋体" w:hAnsi="Times New Roman"/>
                <w:color w:val="000000"/>
                <w:sz w:val="20"/>
                <w:szCs w:val="20"/>
              </w:rPr>
              <w:t>1,000 </w:t>
            </w:r>
          </w:p>
        </w:tc>
        <w:tc>
          <w:tcPr>
            <w:tcW w:w="0" w:type="auto"/>
            <w:shd w:val="clear" w:color="auto" w:fill="CCEEFF"/>
            <w:tcMar>
              <w:top w:w="40" w:type="dxa"/>
              <w:bottom w:w="40" w:type="dxa"/>
              <w:right w:w="20" w:type="dxa"/>
            </w:tcMar>
            <w:vAlign w:val="center"/>
          </w:tcPr>
          <w:p w14:paraId="33DAB57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57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B573" w14:textId="77777777" w:rsidR="004D6A64" w:rsidRDefault="00506CD6">
            <w:pPr>
              <w:jc w:val="right"/>
              <w:textAlignment w:val="center"/>
            </w:pPr>
            <w:r>
              <w:rPr>
                <w:rFonts w:ascii="Times New Roman" w:eastAsia="宋体" w:hAnsi="Times New Roman"/>
                <w:color w:val="000000"/>
                <w:sz w:val="20"/>
                <w:szCs w:val="20"/>
              </w:rPr>
              <w:t>1,000 </w:t>
            </w:r>
          </w:p>
        </w:tc>
        <w:tc>
          <w:tcPr>
            <w:tcW w:w="0" w:type="auto"/>
            <w:shd w:val="clear" w:color="auto" w:fill="CCEEFF"/>
            <w:tcMar>
              <w:top w:w="40" w:type="dxa"/>
              <w:bottom w:w="40" w:type="dxa"/>
              <w:right w:w="20" w:type="dxa"/>
            </w:tcMar>
            <w:vAlign w:val="center"/>
          </w:tcPr>
          <w:p w14:paraId="33DAB574" w14:textId="77777777" w:rsidR="004D6A64" w:rsidRDefault="004D6A64">
            <w:pPr>
              <w:jc w:val="right"/>
              <w:rPr>
                <w:rFonts w:ascii="宋体"/>
              </w:rPr>
            </w:pPr>
          </w:p>
        </w:tc>
        <w:tc>
          <w:tcPr>
            <w:tcW w:w="0" w:type="auto"/>
            <w:shd w:val="clear" w:color="auto" w:fill="auto"/>
          </w:tcPr>
          <w:p w14:paraId="33DAB575" w14:textId="77777777" w:rsidR="004D6A64" w:rsidRDefault="004D6A64">
            <w:pPr>
              <w:rPr>
                <w:rFonts w:ascii="宋体"/>
              </w:rPr>
            </w:pPr>
          </w:p>
        </w:tc>
        <w:tc>
          <w:tcPr>
            <w:tcW w:w="0" w:type="auto"/>
            <w:shd w:val="clear" w:color="auto" w:fill="auto"/>
          </w:tcPr>
          <w:p w14:paraId="33DAB576" w14:textId="77777777" w:rsidR="004D6A64" w:rsidRDefault="004D6A64">
            <w:pPr>
              <w:rPr>
                <w:rFonts w:ascii="宋体"/>
              </w:rPr>
            </w:pPr>
          </w:p>
        </w:tc>
        <w:tc>
          <w:tcPr>
            <w:tcW w:w="0" w:type="auto"/>
            <w:shd w:val="clear" w:color="auto" w:fill="auto"/>
          </w:tcPr>
          <w:p w14:paraId="33DAB577" w14:textId="77777777" w:rsidR="004D6A64" w:rsidRDefault="004D6A64">
            <w:pPr>
              <w:rPr>
                <w:rFonts w:ascii="宋体"/>
              </w:rPr>
            </w:pPr>
          </w:p>
        </w:tc>
        <w:tc>
          <w:tcPr>
            <w:tcW w:w="0" w:type="auto"/>
            <w:shd w:val="clear" w:color="auto" w:fill="auto"/>
          </w:tcPr>
          <w:p w14:paraId="33DAB578" w14:textId="77777777" w:rsidR="004D6A64" w:rsidRDefault="004D6A64">
            <w:pPr>
              <w:rPr>
                <w:rFonts w:ascii="宋体"/>
              </w:rPr>
            </w:pPr>
          </w:p>
        </w:tc>
        <w:tc>
          <w:tcPr>
            <w:tcW w:w="0" w:type="auto"/>
            <w:shd w:val="clear" w:color="auto" w:fill="auto"/>
          </w:tcPr>
          <w:p w14:paraId="33DAB579" w14:textId="77777777" w:rsidR="004D6A64" w:rsidRDefault="004D6A64">
            <w:pPr>
              <w:rPr>
                <w:rFonts w:ascii="宋体"/>
              </w:rPr>
            </w:pPr>
          </w:p>
        </w:tc>
        <w:tc>
          <w:tcPr>
            <w:tcW w:w="0" w:type="auto"/>
            <w:shd w:val="clear" w:color="auto" w:fill="auto"/>
          </w:tcPr>
          <w:p w14:paraId="33DAB57A" w14:textId="77777777" w:rsidR="004D6A64" w:rsidRDefault="004D6A64">
            <w:pPr>
              <w:rPr>
                <w:rFonts w:ascii="宋体"/>
              </w:rPr>
            </w:pPr>
          </w:p>
        </w:tc>
      </w:tr>
      <w:tr w:rsidR="004D6A64" w14:paraId="33DAB586" w14:textId="77777777">
        <w:tc>
          <w:tcPr>
            <w:tcW w:w="0" w:type="auto"/>
            <w:gridSpan w:val="3"/>
            <w:shd w:val="clear" w:color="auto" w:fill="auto"/>
            <w:tcMar>
              <w:top w:w="40" w:type="dxa"/>
              <w:left w:w="20" w:type="dxa"/>
              <w:bottom w:w="40" w:type="dxa"/>
              <w:right w:w="20" w:type="dxa"/>
            </w:tcMar>
            <w:vAlign w:val="center"/>
          </w:tcPr>
          <w:p w14:paraId="33DAB57C" w14:textId="77777777" w:rsidR="004D6A64" w:rsidRDefault="00506CD6">
            <w:pPr>
              <w:textAlignment w:val="center"/>
            </w:pPr>
            <w:r>
              <w:rPr>
                <w:rFonts w:ascii="Times New Roman" w:eastAsia="宋体" w:hAnsi="Times New Roman"/>
                <w:b/>
                <w:bCs/>
                <w:color w:val="000000"/>
                <w:sz w:val="20"/>
                <w:szCs w:val="20"/>
              </w:rPr>
              <w:t>Debt of Public Subsidiary</w:t>
            </w:r>
          </w:p>
        </w:tc>
        <w:tc>
          <w:tcPr>
            <w:tcW w:w="0" w:type="auto"/>
            <w:gridSpan w:val="3"/>
            <w:shd w:val="clear" w:color="auto" w:fill="auto"/>
            <w:tcMar>
              <w:left w:w="20" w:type="dxa"/>
              <w:right w:w="20" w:type="dxa"/>
            </w:tcMar>
            <w:vAlign w:val="bottom"/>
          </w:tcPr>
          <w:p w14:paraId="33DAB57D"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B57E"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B57F" w14:textId="77777777" w:rsidR="004D6A64" w:rsidRDefault="004D6A64">
            <w:pPr>
              <w:rPr>
                <w:rFonts w:ascii="宋体"/>
              </w:rPr>
            </w:pPr>
          </w:p>
        </w:tc>
        <w:tc>
          <w:tcPr>
            <w:tcW w:w="0" w:type="auto"/>
            <w:shd w:val="clear" w:color="auto" w:fill="auto"/>
          </w:tcPr>
          <w:p w14:paraId="33DAB580" w14:textId="77777777" w:rsidR="004D6A64" w:rsidRDefault="004D6A64">
            <w:pPr>
              <w:rPr>
                <w:rFonts w:ascii="宋体"/>
              </w:rPr>
            </w:pPr>
          </w:p>
        </w:tc>
        <w:tc>
          <w:tcPr>
            <w:tcW w:w="0" w:type="auto"/>
            <w:shd w:val="clear" w:color="auto" w:fill="auto"/>
          </w:tcPr>
          <w:p w14:paraId="33DAB581" w14:textId="77777777" w:rsidR="004D6A64" w:rsidRDefault="004D6A64">
            <w:pPr>
              <w:rPr>
                <w:rFonts w:ascii="宋体"/>
              </w:rPr>
            </w:pPr>
          </w:p>
        </w:tc>
        <w:tc>
          <w:tcPr>
            <w:tcW w:w="0" w:type="auto"/>
            <w:shd w:val="clear" w:color="auto" w:fill="auto"/>
          </w:tcPr>
          <w:p w14:paraId="33DAB582" w14:textId="77777777" w:rsidR="004D6A64" w:rsidRDefault="004D6A64">
            <w:pPr>
              <w:rPr>
                <w:rFonts w:ascii="宋体"/>
              </w:rPr>
            </w:pPr>
          </w:p>
        </w:tc>
        <w:tc>
          <w:tcPr>
            <w:tcW w:w="0" w:type="auto"/>
            <w:shd w:val="clear" w:color="auto" w:fill="auto"/>
          </w:tcPr>
          <w:p w14:paraId="33DAB583" w14:textId="77777777" w:rsidR="004D6A64" w:rsidRDefault="004D6A64">
            <w:pPr>
              <w:rPr>
                <w:rFonts w:ascii="宋体"/>
              </w:rPr>
            </w:pPr>
          </w:p>
        </w:tc>
        <w:tc>
          <w:tcPr>
            <w:tcW w:w="0" w:type="auto"/>
            <w:shd w:val="clear" w:color="auto" w:fill="auto"/>
          </w:tcPr>
          <w:p w14:paraId="33DAB584" w14:textId="77777777" w:rsidR="004D6A64" w:rsidRDefault="004D6A64">
            <w:pPr>
              <w:rPr>
                <w:rFonts w:ascii="宋体"/>
              </w:rPr>
            </w:pPr>
          </w:p>
        </w:tc>
        <w:tc>
          <w:tcPr>
            <w:tcW w:w="0" w:type="auto"/>
            <w:shd w:val="clear" w:color="auto" w:fill="auto"/>
          </w:tcPr>
          <w:p w14:paraId="33DAB585" w14:textId="77777777" w:rsidR="004D6A64" w:rsidRDefault="004D6A64">
            <w:pPr>
              <w:rPr>
                <w:rFonts w:ascii="宋体"/>
              </w:rPr>
            </w:pPr>
          </w:p>
        </w:tc>
      </w:tr>
      <w:tr w:rsidR="004D6A64" w14:paraId="33DAB591" w14:textId="77777777">
        <w:tc>
          <w:tcPr>
            <w:tcW w:w="0" w:type="auto"/>
            <w:gridSpan w:val="3"/>
            <w:shd w:val="clear" w:color="auto" w:fill="CCEEFF"/>
            <w:tcMar>
              <w:top w:w="40" w:type="dxa"/>
              <w:left w:w="135" w:type="dxa"/>
              <w:bottom w:w="40" w:type="dxa"/>
              <w:right w:w="20" w:type="dxa"/>
            </w:tcMar>
            <w:vAlign w:val="center"/>
          </w:tcPr>
          <w:p w14:paraId="33DAB587" w14:textId="77777777" w:rsidR="004D6A64" w:rsidRDefault="00506CD6">
            <w:pPr>
              <w:textAlignment w:val="center"/>
            </w:pPr>
            <w:r>
              <w:rPr>
                <w:rFonts w:ascii="Times New Roman" w:eastAsia="宋体" w:hAnsi="Times New Roman"/>
                <w:color w:val="000000"/>
                <w:sz w:val="20"/>
                <w:szCs w:val="20"/>
              </w:rPr>
              <w:t>VMware Notes:</w:t>
            </w:r>
          </w:p>
        </w:tc>
        <w:tc>
          <w:tcPr>
            <w:tcW w:w="0" w:type="auto"/>
            <w:gridSpan w:val="3"/>
            <w:shd w:val="clear" w:color="auto" w:fill="CCEEFF"/>
            <w:tcMar>
              <w:left w:w="20" w:type="dxa"/>
              <w:right w:w="20" w:type="dxa"/>
            </w:tcMar>
            <w:vAlign w:val="bottom"/>
          </w:tcPr>
          <w:p w14:paraId="33DAB588"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589"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58A" w14:textId="77777777" w:rsidR="004D6A64" w:rsidRDefault="004D6A64">
            <w:pPr>
              <w:rPr>
                <w:rFonts w:ascii="宋体"/>
              </w:rPr>
            </w:pPr>
          </w:p>
        </w:tc>
        <w:tc>
          <w:tcPr>
            <w:tcW w:w="0" w:type="auto"/>
            <w:shd w:val="clear" w:color="auto" w:fill="auto"/>
          </w:tcPr>
          <w:p w14:paraId="33DAB58B" w14:textId="77777777" w:rsidR="004D6A64" w:rsidRDefault="004D6A64">
            <w:pPr>
              <w:rPr>
                <w:rFonts w:ascii="宋体"/>
              </w:rPr>
            </w:pPr>
          </w:p>
        </w:tc>
        <w:tc>
          <w:tcPr>
            <w:tcW w:w="0" w:type="auto"/>
            <w:shd w:val="clear" w:color="auto" w:fill="auto"/>
          </w:tcPr>
          <w:p w14:paraId="33DAB58C" w14:textId="77777777" w:rsidR="004D6A64" w:rsidRDefault="004D6A64">
            <w:pPr>
              <w:rPr>
                <w:rFonts w:ascii="宋体"/>
              </w:rPr>
            </w:pPr>
          </w:p>
        </w:tc>
        <w:tc>
          <w:tcPr>
            <w:tcW w:w="0" w:type="auto"/>
            <w:shd w:val="clear" w:color="auto" w:fill="auto"/>
          </w:tcPr>
          <w:p w14:paraId="33DAB58D" w14:textId="77777777" w:rsidR="004D6A64" w:rsidRDefault="004D6A64">
            <w:pPr>
              <w:rPr>
                <w:rFonts w:ascii="宋体"/>
              </w:rPr>
            </w:pPr>
          </w:p>
        </w:tc>
        <w:tc>
          <w:tcPr>
            <w:tcW w:w="0" w:type="auto"/>
            <w:shd w:val="clear" w:color="auto" w:fill="auto"/>
          </w:tcPr>
          <w:p w14:paraId="33DAB58E" w14:textId="77777777" w:rsidR="004D6A64" w:rsidRDefault="004D6A64">
            <w:pPr>
              <w:rPr>
                <w:rFonts w:ascii="宋体"/>
              </w:rPr>
            </w:pPr>
          </w:p>
        </w:tc>
        <w:tc>
          <w:tcPr>
            <w:tcW w:w="0" w:type="auto"/>
            <w:shd w:val="clear" w:color="auto" w:fill="auto"/>
          </w:tcPr>
          <w:p w14:paraId="33DAB58F" w14:textId="77777777" w:rsidR="004D6A64" w:rsidRDefault="004D6A64">
            <w:pPr>
              <w:rPr>
                <w:rFonts w:ascii="宋体"/>
              </w:rPr>
            </w:pPr>
          </w:p>
        </w:tc>
        <w:tc>
          <w:tcPr>
            <w:tcW w:w="0" w:type="auto"/>
            <w:shd w:val="clear" w:color="auto" w:fill="auto"/>
          </w:tcPr>
          <w:p w14:paraId="33DAB590" w14:textId="77777777" w:rsidR="004D6A64" w:rsidRDefault="004D6A64">
            <w:pPr>
              <w:rPr>
                <w:rFonts w:ascii="宋体"/>
              </w:rPr>
            </w:pPr>
          </w:p>
        </w:tc>
      </w:tr>
      <w:tr w:rsidR="004D6A64" w14:paraId="33DAB59E" w14:textId="77777777">
        <w:tc>
          <w:tcPr>
            <w:tcW w:w="0" w:type="auto"/>
            <w:gridSpan w:val="3"/>
            <w:shd w:val="clear" w:color="auto" w:fill="FFFFFF"/>
            <w:tcMar>
              <w:top w:w="40" w:type="dxa"/>
              <w:left w:w="20" w:type="dxa"/>
              <w:bottom w:w="40" w:type="dxa"/>
              <w:right w:w="20" w:type="dxa"/>
            </w:tcMar>
            <w:vAlign w:val="center"/>
          </w:tcPr>
          <w:p w14:paraId="33DAB592"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2.30% due August 2020</w:t>
            </w:r>
          </w:p>
        </w:tc>
        <w:tc>
          <w:tcPr>
            <w:tcW w:w="0" w:type="auto"/>
            <w:gridSpan w:val="2"/>
            <w:shd w:val="clear" w:color="auto" w:fill="FFFFFF"/>
            <w:tcMar>
              <w:top w:w="40" w:type="dxa"/>
              <w:left w:w="20" w:type="dxa"/>
              <w:bottom w:w="40" w:type="dxa"/>
              <w:right w:w="0" w:type="dxa"/>
            </w:tcMar>
            <w:vAlign w:val="center"/>
          </w:tcPr>
          <w:p w14:paraId="33DAB593"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B59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595"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B596" w14:textId="77777777" w:rsidR="004D6A64" w:rsidRDefault="00506CD6">
            <w:pPr>
              <w:jc w:val="right"/>
              <w:textAlignment w:val="center"/>
            </w:pPr>
            <w:r>
              <w:rPr>
                <w:rFonts w:ascii="Times New Roman" w:eastAsia="宋体" w:hAnsi="Times New Roman"/>
                <w:color w:val="000000"/>
                <w:sz w:val="20"/>
                <w:szCs w:val="20"/>
              </w:rPr>
              <w:t>1,250 </w:t>
            </w:r>
          </w:p>
        </w:tc>
        <w:tc>
          <w:tcPr>
            <w:tcW w:w="0" w:type="auto"/>
            <w:shd w:val="clear" w:color="auto" w:fill="FFFFFF"/>
            <w:tcMar>
              <w:top w:w="40" w:type="dxa"/>
              <w:bottom w:w="40" w:type="dxa"/>
              <w:right w:w="20" w:type="dxa"/>
            </w:tcMar>
            <w:vAlign w:val="center"/>
          </w:tcPr>
          <w:p w14:paraId="33DAB597" w14:textId="77777777" w:rsidR="004D6A64" w:rsidRDefault="004D6A64">
            <w:pPr>
              <w:jc w:val="right"/>
              <w:rPr>
                <w:rFonts w:ascii="宋体"/>
              </w:rPr>
            </w:pPr>
          </w:p>
        </w:tc>
        <w:tc>
          <w:tcPr>
            <w:tcW w:w="0" w:type="auto"/>
            <w:shd w:val="clear" w:color="auto" w:fill="auto"/>
          </w:tcPr>
          <w:p w14:paraId="33DAB598" w14:textId="77777777" w:rsidR="004D6A64" w:rsidRDefault="004D6A64">
            <w:pPr>
              <w:rPr>
                <w:rFonts w:ascii="宋体"/>
              </w:rPr>
            </w:pPr>
          </w:p>
        </w:tc>
        <w:tc>
          <w:tcPr>
            <w:tcW w:w="0" w:type="auto"/>
            <w:shd w:val="clear" w:color="auto" w:fill="auto"/>
          </w:tcPr>
          <w:p w14:paraId="33DAB599" w14:textId="77777777" w:rsidR="004D6A64" w:rsidRDefault="004D6A64">
            <w:pPr>
              <w:rPr>
                <w:rFonts w:ascii="宋体"/>
              </w:rPr>
            </w:pPr>
          </w:p>
        </w:tc>
        <w:tc>
          <w:tcPr>
            <w:tcW w:w="0" w:type="auto"/>
            <w:shd w:val="clear" w:color="auto" w:fill="auto"/>
          </w:tcPr>
          <w:p w14:paraId="33DAB59A" w14:textId="77777777" w:rsidR="004D6A64" w:rsidRDefault="004D6A64">
            <w:pPr>
              <w:rPr>
                <w:rFonts w:ascii="宋体"/>
              </w:rPr>
            </w:pPr>
          </w:p>
        </w:tc>
        <w:tc>
          <w:tcPr>
            <w:tcW w:w="0" w:type="auto"/>
            <w:shd w:val="clear" w:color="auto" w:fill="auto"/>
          </w:tcPr>
          <w:p w14:paraId="33DAB59B" w14:textId="77777777" w:rsidR="004D6A64" w:rsidRDefault="004D6A64">
            <w:pPr>
              <w:rPr>
                <w:rFonts w:ascii="宋体"/>
              </w:rPr>
            </w:pPr>
          </w:p>
        </w:tc>
        <w:tc>
          <w:tcPr>
            <w:tcW w:w="0" w:type="auto"/>
            <w:shd w:val="clear" w:color="auto" w:fill="auto"/>
          </w:tcPr>
          <w:p w14:paraId="33DAB59C" w14:textId="77777777" w:rsidR="004D6A64" w:rsidRDefault="004D6A64">
            <w:pPr>
              <w:rPr>
                <w:rFonts w:ascii="宋体"/>
              </w:rPr>
            </w:pPr>
          </w:p>
        </w:tc>
        <w:tc>
          <w:tcPr>
            <w:tcW w:w="0" w:type="auto"/>
            <w:shd w:val="clear" w:color="auto" w:fill="auto"/>
          </w:tcPr>
          <w:p w14:paraId="33DAB59D" w14:textId="77777777" w:rsidR="004D6A64" w:rsidRDefault="004D6A64">
            <w:pPr>
              <w:rPr>
                <w:rFonts w:ascii="宋体"/>
              </w:rPr>
            </w:pPr>
          </w:p>
        </w:tc>
      </w:tr>
      <w:tr w:rsidR="004D6A64" w14:paraId="33DAB5AB" w14:textId="77777777">
        <w:tc>
          <w:tcPr>
            <w:tcW w:w="0" w:type="auto"/>
            <w:gridSpan w:val="3"/>
            <w:shd w:val="clear" w:color="auto" w:fill="CCEEFF"/>
            <w:tcMar>
              <w:top w:w="40" w:type="dxa"/>
              <w:left w:w="20" w:type="dxa"/>
              <w:bottom w:w="40" w:type="dxa"/>
              <w:right w:w="20" w:type="dxa"/>
            </w:tcMar>
            <w:vAlign w:val="center"/>
          </w:tcPr>
          <w:p w14:paraId="33DAB59F"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2.95% due August 2022</w:t>
            </w:r>
          </w:p>
        </w:tc>
        <w:tc>
          <w:tcPr>
            <w:tcW w:w="0" w:type="auto"/>
            <w:gridSpan w:val="2"/>
            <w:shd w:val="clear" w:color="auto" w:fill="CCEEFF"/>
            <w:tcMar>
              <w:top w:w="40" w:type="dxa"/>
              <w:left w:w="20" w:type="dxa"/>
              <w:bottom w:w="40" w:type="dxa"/>
              <w:right w:w="0" w:type="dxa"/>
            </w:tcMar>
            <w:vAlign w:val="center"/>
          </w:tcPr>
          <w:p w14:paraId="33DAB5A0" w14:textId="77777777" w:rsidR="004D6A64" w:rsidRDefault="00506CD6">
            <w:pPr>
              <w:jc w:val="right"/>
              <w:textAlignment w:val="center"/>
            </w:pPr>
            <w:r>
              <w:rPr>
                <w:rFonts w:ascii="Times New Roman" w:eastAsia="宋体" w:hAnsi="Times New Roman"/>
                <w:color w:val="000000"/>
                <w:sz w:val="20"/>
                <w:szCs w:val="20"/>
              </w:rPr>
              <w:t>1,500 </w:t>
            </w:r>
          </w:p>
        </w:tc>
        <w:tc>
          <w:tcPr>
            <w:tcW w:w="0" w:type="auto"/>
            <w:shd w:val="clear" w:color="auto" w:fill="CCEEFF"/>
            <w:tcMar>
              <w:top w:w="40" w:type="dxa"/>
              <w:bottom w:w="40" w:type="dxa"/>
              <w:right w:w="20" w:type="dxa"/>
            </w:tcMar>
            <w:vAlign w:val="center"/>
          </w:tcPr>
          <w:p w14:paraId="33DAB5A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5A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B5A3" w14:textId="77777777" w:rsidR="004D6A64" w:rsidRDefault="00506CD6">
            <w:pPr>
              <w:jc w:val="right"/>
              <w:textAlignment w:val="center"/>
            </w:pPr>
            <w:r>
              <w:rPr>
                <w:rFonts w:ascii="Times New Roman" w:eastAsia="宋体" w:hAnsi="Times New Roman"/>
                <w:color w:val="000000"/>
                <w:sz w:val="20"/>
                <w:szCs w:val="20"/>
              </w:rPr>
              <w:t>1,500 </w:t>
            </w:r>
          </w:p>
        </w:tc>
        <w:tc>
          <w:tcPr>
            <w:tcW w:w="0" w:type="auto"/>
            <w:shd w:val="clear" w:color="auto" w:fill="CCEEFF"/>
            <w:tcMar>
              <w:top w:w="40" w:type="dxa"/>
              <w:bottom w:w="40" w:type="dxa"/>
              <w:right w:w="20" w:type="dxa"/>
            </w:tcMar>
            <w:vAlign w:val="center"/>
          </w:tcPr>
          <w:p w14:paraId="33DAB5A4" w14:textId="77777777" w:rsidR="004D6A64" w:rsidRDefault="004D6A64">
            <w:pPr>
              <w:jc w:val="right"/>
              <w:rPr>
                <w:rFonts w:ascii="宋体"/>
              </w:rPr>
            </w:pPr>
          </w:p>
        </w:tc>
        <w:tc>
          <w:tcPr>
            <w:tcW w:w="0" w:type="auto"/>
            <w:shd w:val="clear" w:color="auto" w:fill="auto"/>
          </w:tcPr>
          <w:p w14:paraId="33DAB5A5" w14:textId="77777777" w:rsidR="004D6A64" w:rsidRDefault="004D6A64">
            <w:pPr>
              <w:rPr>
                <w:rFonts w:ascii="宋体"/>
              </w:rPr>
            </w:pPr>
          </w:p>
        </w:tc>
        <w:tc>
          <w:tcPr>
            <w:tcW w:w="0" w:type="auto"/>
            <w:shd w:val="clear" w:color="auto" w:fill="auto"/>
          </w:tcPr>
          <w:p w14:paraId="33DAB5A6" w14:textId="77777777" w:rsidR="004D6A64" w:rsidRDefault="004D6A64">
            <w:pPr>
              <w:rPr>
                <w:rFonts w:ascii="宋体"/>
              </w:rPr>
            </w:pPr>
          </w:p>
        </w:tc>
        <w:tc>
          <w:tcPr>
            <w:tcW w:w="0" w:type="auto"/>
            <w:shd w:val="clear" w:color="auto" w:fill="auto"/>
          </w:tcPr>
          <w:p w14:paraId="33DAB5A7" w14:textId="77777777" w:rsidR="004D6A64" w:rsidRDefault="004D6A64">
            <w:pPr>
              <w:rPr>
                <w:rFonts w:ascii="宋体"/>
              </w:rPr>
            </w:pPr>
          </w:p>
        </w:tc>
        <w:tc>
          <w:tcPr>
            <w:tcW w:w="0" w:type="auto"/>
            <w:shd w:val="clear" w:color="auto" w:fill="auto"/>
          </w:tcPr>
          <w:p w14:paraId="33DAB5A8" w14:textId="77777777" w:rsidR="004D6A64" w:rsidRDefault="004D6A64">
            <w:pPr>
              <w:rPr>
                <w:rFonts w:ascii="宋体"/>
              </w:rPr>
            </w:pPr>
          </w:p>
        </w:tc>
        <w:tc>
          <w:tcPr>
            <w:tcW w:w="0" w:type="auto"/>
            <w:shd w:val="clear" w:color="auto" w:fill="auto"/>
          </w:tcPr>
          <w:p w14:paraId="33DAB5A9" w14:textId="77777777" w:rsidR="004D6A64" w:rsidRDefault="004D6A64">
            <w:pPr>
              <w:rPr>
                <w:rFonts w:ascii="宋体"/>
              </w:rPr>
            </w:pPr>
          </w:p>
        </w:tc>
        <w:tc>
          <w:tcPr>
            <w:tcW w:w="0" w:type="auto"/>
            <w:shd w:val="clear" w:color="auto" w:fill="auto"/>
          </w:tcPr>
          <w:p w14:paraId="33DAB5AA" w14:textId="77777777" w:rsidR="004D6A64" w:rsidRDefault="004D6A64">
            <w:pPr>
              <w:rPr>
                <w:rFonts w:ascii="宋体"/>
              </w:rPr>
            </w:pPr>
          </w:p>
        </w:tc>
      </w:tr>
      <w:tr w:rsidR="004D6A64" w14:paraId="33DAB5B8" w14:textId="77777777">
        <w:tc>
          <w:tcPr>
            <w:tcW w:w="0" w:type="auto"/>
            <w:gridSpan w:val="3"/>
            <w:shd w:val="clear" w:color="auto" w:fill="FFFFFF"/>
            <w:tcMar>
              <w:top w:w="40" w:type="dxa"/>
              <w:left w:w="20" w:type="dxa"/>
              <w:bottom w:w="40" w:type="dxa"/>
              <w:right w:w="20" w:type="dxa"/>
            </w:tcMar>
            <w:vAlign w:val="center"/>
          </w:tcPr>
          <w:p w14:paraId="33DAB5AC"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4.50% due May 2025</w:t>
            </w:r>
          </w:p>
        </w:tc>
        <w:tc>
          <w:tcPr>
            <w:tcW w:w="0" w:type="auto"/>
            <w:gridSpan w:val="2"/>
            <w:shd w:val="clear" w:color="auto" w:fill="FFFFFF"/>
            <w:tcMar>
              <w:top w:w="40" w:type="dxa"/>
              <w:left w:w="20" w:type="dxa"/>
              <w:bottom w:w="40" w:type="dxa"/>
              <w:right w:w="0" w:type="dxa"/>
            </w:tcMar>
            <w:vAlign w:val="center"/>
          </w:tcPr>
          <w:p w14:paraId="33DAB5AD" w14:textId="77777777" w:rsidR="004D6A64" w:rsidRDefault="00506CD6">
            <w:pPr>
              <w:jc w:val="right"/>
              <w:textAlignment w:val="center"/>
            </w:pPr>
            <w:r>
              <w:rPr>
                <w:rFonts w:ascii="Times New Roman" w:eastAsia="宋体" w:hAnsi="Times New Roman"/>
                <w:color w:val="000000"/>
                <w:sz w:val="20"/>
                <w:szCs w:val="20"/>
              </w:rPr>
              <w:t>750 </w:t>
            </w:r>
          </w:p>
        </w:tc>
        <w:tc>
          <w:tcPr>
            <w:tcW w:w="0" w:type="auto"/>
            <w:shd w:val="clear" w:color="auto" w:fill="FFFFFF"/>
            <w:tcMar>
              <w:top w:w="40" w:type="dxa"/>
              <w:bottom w:w="40" w:type="dxa"/>
              <w:right w:w="20" w:type="dxa"/>
            </w:tcMar>
            <w:vAlign w:val="center"/>
          </w:tcPr>
          <w:p w14:paraId="33DAB5A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5AF"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B5B0"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B5B1" w14:textId="77777777" w:rsidR="004D6A64" w:rsidRDefault="004D6A64">
            <w:pPr>
              <w:jc w:val="right"/>
              <w:rPr>
                <w:rFonts w:ascii="宋体"/>
              </w:rPr>
            </w:pPr>
          </w:p>
        </w:tc>
        <w:tc>
          <w:tcPr>
            <w:tcW w:w="0" w:type="auto"/>
            <w:shd w:val="clear" w:color="auto" w:fill="auto"/>
          </w:tcPr>
          <w:p w14:paraId="33DAB5B2" w14:textId="77777777" w:rsidR="004D6A64" w:rsidRDefault="004D6A64">
            <w:pPr>
              <w:rPr>
                <w:rFonts w:ascii="宋体"/>
              </w:rPr>
            </w:pPr>
          </w:p>
        </w:tc>
        <w:tc>
          <w:tcPr>
            <w:tcW w:w="0" w:type="auto"/>
            <w:shd w:val="clear" w:color="auto" w:fill="auto"/>
          </w:tcPr>
          <w:p w14:paraId="33DAB5B3" w14:textId="77777777" w:rsidR="004D6A64" w:rsidRDefault="004D6A64">
            <w:pPr>
              <w:rPr>
                <w:rFonts w:ascii="宋体"/>
              </w:rPr>
            </w:pPr>
          </w:p>
        </w:tc>
        <w:tc>
          <w:tcPr>
            <w:tcW w:w="0" w:type="auto"/>
            <w:shd w:val="clear" w:color="auto" w:fill="auto"/>
          </w:tcPr>
          <w:p w14:paraId="33DAB5B4" w14:textId="77777777" w:rsidR="004D6A64" w:rsidRDefault="004D6A64">
            <w:pPr>
              <w:rPr>
                <w:rFonts w:ascii="宋体"/>
              </w:rPr>
            </w:pPr>
          </w:p>
        </w:tc>
        <w:tc>
          <w:tcPr>
            <w:tcW w:w="0" w:type="auto"/>
            <w:shd w:val="clear" w:color="auto" w:fill="auto"/>
          </w:tcPr>
          <w:p w14:paraId="33DAB5B5" w14:textId="77777777" w:rsidR="004D6A64" w:rsidRDefault="004D6A64">
            <w:pPr>
              <w:rPr>
                <w:rFonts w:ascii="宋体"/>
              </w:rPr>
            </w:pPr>
          </w:p>
        </w:tc>
        <w:tc>
          <w:tcPr>
            <w:tcW w:w="0" w:type="auto"/>
            <w:shd w:val="clear" w:color="auto" w:fill="auto"/>
          </w:tcPr>
          <w:p w14:paraId="33DAB5B6" w14:textId="77777777" w:rsidR="004D6A64" w:rsidRDefault="004D6A64">
            <w:pPr>
              <w:rPr>
                <w:rFonts w:ascii="宋体"/>
              </w:rPr>
            </w:pPr>
          </w:p>
        </w:tc>
        <w:tc>
          <w:tcPr>
            <w:tcW w:w="0" w:type="auto"/>
            <w:shd w:val="clear" w:color="auto" w:fill="auto"/>
          </w:tcPr>
          <w:p w14:paraId="33DAB5B7" w14:textId="77777777" w:rsidR="004D6A64" w:rsidRDefault="004D6A64">
            <w:pPr>
              <w:rPr>
                <w:rFonts w:ascii="宋体"/>
              </w:rPr>
            </w:pPr>
          </w:p>
        </w:tc>
      </w:tr>
      <w:tr w:rsidR="004D6A64" w14:paraId="33DAB5C5" w14:textId="77777777">
        <w:tc>
          <w:tcPr>
            <w:tcW w:w="0" w:type="auto"/>
            <w:gridSpan w:val="3"/>
            <w:shd w:val="clear" w:color="auto" w:fill="CCEEFF"/>
            <w:tcMar>
              <w:top w:w="40" w:type="dxa"/>
              <w:left w:w="20" w:type="dxa"/>
              <w:bottom w:w="40" w:type="dxa"/>
              <w:right w:w="20" w:type="dxa"/>
            </w:tcMar>
            <w:vAlign w:val="center"/>
          </w:tcPr>
          <w:p w14:paraId="33DAB5B9"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4.65% due May 2027</w:t>
            </w:r>
          </w:p>
        </w:tc>
        <w:tc>
          <w:tcPr>
            <w:tcW w:w="0" w:type="auto"/>
            <w:gridSpan w:val="2"/>
            <w:shd w:val="clear" w:color="auto" w:fill="CCEEFF"/>
            <w:tcMar>
              <w:top w:w="40" w:type="dxa"/>
              <w:left w:w="20" w:type="dxa"/>
              <w:bottom w:w="40" w:type="dxa"/>
              <w:right w:w="0" w:type="dxa"/>
            </w:tcMar>
            <w:vAlign w:val="center"/>
          </w:tcPr>
          <w:p w14:paraId="33DAB5BA" w14:textId="77777777" w:rsidR="004D6A64" w:rsidRDefault="00506CD6">
            <w:pPr>
              <w:jc w:val="right"/>
              <w:textAlignment w:val="center"/>
            </w:pPr>
            <w:r>
              <w:rPr>
                <w:rFonts w:ascii="Times New Roman" w:eastAsia="宋体" w:hAnsi="Times New Roman"/>
                <w:color w:val="000000"/>
                <w:sz w:val="20"/>
                <w:szCs w:val="20"/>
              </w:rPr>
              <w:t>500 </w:t>
            </w:r>
          </w:p>
        </w:tc>
        <w:tc>
          <w:tcPr>
            <w:tcW w:w="0" w:type="auto"/>
            <w:shd w:val="clear" w:color="auto" w:fill="CCEEFF"/>
            <w:tcMar>
              <w:top w:w="40" w:type="dxa"/>
              <w:bottom w:w="40" w:type="dxa"/>
              <w:right w:w="20" w:type="dxa"/>
            </w:tcMar>
            <w:vAlign w:val="center"/>
          </w:tcPr>
          <w:p w14:paraId="33DAB5B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5BC"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B5BD"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B5BE" w14:textId="77777777" w:rsidR="004D6A64" w:rsidRDefault="004D6A64">
            <w:pPr>
              <w:jc w:val="right"/>
              <w:rPr>
                <w:rFonts w:ascii="宋体"/>
              </w:rPr>
            </w:pPr>
          </w:p>
        </w:tc>
        <w:tc>
          <w:tcPr>
            <w:tcW w:w="0" w:type="auto"/>
            <w:shd w:val="clear" w:color="auto" w:fill="auto"/>
          </w:tcPr>
          <w:p w14:paraId="33DAB5BF" w14:textId="77777777" w:rsidR="004D6A64" w:rsidRDefault="004D6A64">
            <w:pPr>
              <w:rPr>
                <w:rFonts w:ascii="宋体"/>
              </w:rPr>
            </w:pPr>
          </w:p>
        </w:tc>
        <w:tc>
          <w:tcPr>
            <w:tcW w:w="0" w:type="auto"/>
            <w:shd w:val="clear" w:color="auto" w:fill="auto"/>
          </w:tcPr>
          <w:p w14:paraId="33DAB5C0" w14:textId="77777777" w:rsidR="004D6A64" w:rsidRDefault="004D6A64">
            <w:pPr>
              <w:rPr>
                <w:rFonts w:ascii="宋体"/>
              </w:rPr>
            </w:pPr>
          </w:p>
        </w:tc>
        <w:tc>
          <w:tcPr>
            <w:tcW w:w="0" w:type="auto"/>
            <w:shd w:val="clear" w:color="auto" w:fill="auto"/>
          </w:tcPr>
          <w:p w14:paraId="33DAB5C1" w14:textId="77777777" w:rsidR="004D6A64" w:rsidRDefault="004D6A64">
            <w:pPr>
              <w:rPr>
                <w:rFonts w:ascii="宋体"/>
              </w:rPr>
            </w:pPr>
          </w:p>
        </w:tc>
        <w:tc>
          <w:tcPr>
            <w:tcW w:w="0" w:type="auto"/>
            <w:shd w:val="clear" w:color="auto" w:fill="auto"/>
          </w:tcPr>
          <w:p w14:paraId="33DAB5C2" w14:textId="77777777" w:rsidR="004D6A64" w:rsidRDefault="004D6A64">
            <w:pPr>
              <w:rPr>
                <w:rFonts w:ascii="宋体"/>
              </w:rPr>
            </w:pPr>
          </w:p>
        </w:tc>
        <w:tc>
          <w:tcPr>
            <w:tcW w:w="0" w:type="auto"/>
            <w:shd w:val="clear" w:color="auto" w:fill="auto"/>
          </w:tcPr>
          <w:p w14:paraId="33DAB5C3" w14:textId="77777777" w:rsidR="004D6A64" w:rsidRDefault="004D6A64">
            <w:pPr>
              <w:rPr>
                <w:rFonts w:ascii="宋体"/>
              </w:rPr>
            </w:pPr>
          </w:p>
        </w:tc>
        <w:tc>
          <w:tcPr>
            <w:tcW w:w="0" w:type="auto"/>
            <w:shd w:val="clear" w:color="auto" w:fill="auto"/>
          </w:tcPr>
          <w:p w14:paraId="33DAB5C4" w14:textId="77777777" w:rsidR="004D6A64" w:rsidRDefault="004D6A64">
            <w:pPr>
              <w:rPr>
                <w:rFonts w:ascii="宋体"/>
              </w:rPr>
            </w:pPr>
          </w:p>
        </w:tc>
      </w:tr>
      <w:tr w:rsidR="004D6A64" w14:paraId="33DAB5D2" w14:textId="77777777">
        <w:tc>
          <w:tcPr>
            <w:tcW w:w="0" w:type="auto"/>
            <w:gridSpan w:val="3"/>
            <w:shd w:val="clear" w:color="auto" w:fill="FFFFFF"/>
            <w:tcMar>
              <w:top w:w="40" w:type="dxa"/>
              <w:left w:w="20" w:type="dxa"/>
              <w:bottom w:w="40" w:type="dxa"/>
              <w:right w:w="20" w:type="dxa"/>
            </w:tcMar>
            <w:vAlign w:val="center"/>
          </w:tcPr>
          <w:p w14:paraId="33DAB5C6"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3.90% due August 2027</w:t>
            </w:r>
          </w:p>
        </w:tc>
        <w:tc>
          <w:tcPr>
            <w:tcW w:w="0" w:type="auto"/>
            <w:gridSpan w:val="2"/>
            <w:shd w:val="clear" w:color="auto" w:fill="FFFFFF"/>
            <w:tcMar>
              <w:top w:w="40" w:type="dxa"/>
              <w:left w:w="20" w:type="dxa"/>
              <w:bottom w:w="40" w:type="dxa"/>
              <w:right w:w="0" w:type="dxa"/>
            </w:tcMar>
            <w:vAlign w:val="center"/>
          </w:tcPr>
          <w:p w14:paraId="33DAB5C7" w14:textId="77777777" w:rsidR="004D6A64" w:rsidRDefault="00506CD6">
            <w:pPr>
              <w:jc w:val="right"/>
              <w:textAlignment w:val="center"/>
            </w:pPr>
            <w:r>
              <w:rPr>
                <w:rFonts w:ascii="Times New Roman" w:eastAsia="宋体" w:hAnsi="Times New Roman"/>
                <w:color w:val="000000"/>
                <w:sz w:val="20"/>
                <w:szCs w:val="20"/>
              </w:rPr>
              <w:t>1,250 </w:t>
            </w:r>
          </w:p>
        </w:tc>
        <w:tc>
          <w:tcPr>
            <w:tcW w:w="0" w:type="auto"/>
            <w:shd w:val="clear" w:color="auto" w:fill="FFFFFF"/>
            <w:tcMar>
              <w:top w:w="40" w:type="dxa"/>
              <w:bottom w:w="40" w:type="dxa"/>
              <w:right w:w="20" w:type="dxa"/>
            </w:tcMar>
            <w:vAlign w:val="center"/>
          </w:tcPr>
          <w:p w14:paraId="33DAB5C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5C9"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B5CA" w14:textId="77777777" w:rsidR="004D6A64" w:rsidRDefault="00506CD6">
            <w:pPr>
              <w:jc w:val="right"/>
              <w:textAlignment w:val="center"/>
            </w:pPr>
            <w:r>
              <w:rPr>
                <w:rFonts w:ascii="Times New Roman" w:eastAsia="宋体" w:hAnsi="Times New Roman"/>
                <w:color w:val="000000"/>
                <w:sz w:val="20"/>
                <w:szCs w:val="20"/>
              </w:rPr>
              <w:t>1,250 </w:t>
            </w:r>
          </w:p>
        </w:tc>
        <w:tc>
          <w:tcPr>
            <w:tcW w:w="0" w:type="auto"/>
            <w:shd w:val="clear" w:color="auto" w:fill="FFFFFF"/>
            <w:tcMar>
              <w:top w:w="40" w:type="dxa"/>
              <w:bottom w:w="40" w:type="dxa"/>
              <w:right w:w="20" w:type="dxa"/>
            </w:tcMar>
            <w:vAlign w:val="center"/>
          </w:tcPr>
          <w:p w14:paraId="33DAB5CB" w14:textId="77777777" w:rsidR="004D6A64" w:rsidRDefault="004D6A64">
            <w:pPr>
              <w:jc w:val="right"/>
              <w:rPr>
                <w:rFonts w:ascii="宋体"/>
              </w:rPr>
            </w:pPr>
          </w:p>
        </w:tc>
        <w:tc>
          <w:tcPr>
            <w:tcW w:w="0" w:type="auto"/>
            <w:shd w:val="clear" w:color="auto" w:fill="auto"/>
          </w:tcPr>
          <w:p w14:paraId="33DAB5CC" w14:textId="77777777" w:rsidR="004D6A64" w:rsidRDefault="004D6A64">
            <w:pPr>
              <w:rPr>
                <w:rFonts w:ascii="宋体"/>
              </w:rPr>
            </w:pPr>
          </w:p>
        </w:tc>
        <w:tc>
          <w:tcPr>
            <w:tcW w:w="0" w:type="auto"/>
            <w:shd w:val="clear" w:color="auto" w:fill="auto"/>
          </w:tcPr>
          <w:p w14:paraId="33DAB5CD" w14:textId="77777777" w:rsidR="004D6A64" w:rsidRDefault="004D6A64">
            <w:pPr>
              <w:rPr>
                <w:rFonts w:ascii="宋体"/>
              </w:rPr>
            </w:pPr>
          </w:p>
        </w:tc>
        <w:tc>
          <w:tcPr>
            <w:tcW w:w="0" w:type="auto"/>
            <w:shd w:val="clear" w:color="auto" w:fill="auto"/>
          </w:tcPr>
          <w:p w14:paraId="33DAB5CE" w14:textId="77777777" w:rsidR="004D6A64" w:rsidRDefault="004D6A64">
            <w:pPr>
              <w:rPr>
                <w:rFonts w:ascii="宋体"/>
              </w:rPr>
            </w:pPr>
          </w:p>
        </w:tc>
        <w:tc>
          <w:tcPr>
            <w:tcW w:w="0" w:type="auto"/>
            <w:shd w:val="clear" w:color="auto" w:fill="auto"/>
          </w:tcPr>
          <w:p w14:paraId="33DAB5CF" w14:textId="77777777" w:rsidR="004D6A64" w:rsidRDefault="004D6A64">
            <w:pPr>
              <w:rPr>
                <w:rFonts w:ascii="宋体"/>
              </w:rPr>
            </w:pPr>
          </w:p>
        </w:tc>
        <w:tc>
          <w:tcPr>
            <w:tcW w:w="0" w:type="auto"/>
            <w:shd w:val="clear" w:color="auto" w:fill="auto"/>
          </w:tcPr>
          <w:p w14:paraId="33DAB5D0" w14:textId="77777777" w:rsidR="004D6A64" w:rsidRDefault="004D6A64">
            <w:pPr>
              <w:rPr>
                <w:rFonts w:ascii="宋体"/>
              </w:rPr>
            </w:pPr>
          </w:p>
        </w:tc>
        <w:tc>
          <w:tcPr>
            <w:tcW w:w="0" w:type="auto"/>
            <w:shd w:val="clear" w:color="auto" w:fill="auto"/>
          </w:tcPr>
          <w:p w14:paraId="33DAB5D1" w14:textId="77777777" w:rsidR="004D6A64" w:rsidRDefault="004D6A64">
            <w:pPr>
              <w:rPr>
                <w:rFonts w:ascii="宋体"/>
              </w:rPr>
            </w:pPr>
          </w:p>
        </w:tc>
      </w:tr>
      <w:tr w:rsidR="004D6A64" w14:paraId="33DAB5DF" w14:textId="77777777">
        <w:tc>
          <w:tcPr>
            <w:tcW w:w="0" w:type="auto"/>
            <w:gridSpan w:val="3"/>
            <w:shd w:val="clear" w:color="auto" w:fill="CCEEFF"/>
            <w:tcMar>
              <w:top w:w="40" w:type="dxa"/>
              <w:left w:w="20" w:type="dxa"/>
              <w:bottom w:w="40" w:type="dxa"/>
              <w:right w:w="20" w:type="dxa"/>
            </w:tcMar>
            <w:vAlign w:val="center"/>
          </w:tcPr>
          <w:p w14:paraId="33DAB5D3"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4.70% due May 2030</w:t>
            </w:r>
          </w:p>
        </w:tc>
        <w:tc>
          <w:tcPr>
            <w:tcW w:w="0" w:type="auto"/>
            <w:gridSpan w:val="2"/>
            <w:shd w:val="clear" w:color="auto" w:fill="CCEEFF"/>
            <w:tcMar>
              <w:top w:w="40" w:type="dxa"/>
              <w:left w:w="20" w:type="dxa"/>
              <w:bottom w:w="40" w:type="dxa"/>
              <w:right w:w="0" w:type="dxa"/>
            </w:tcMar>
            <w:vAlign w:val="center"/>
          </w:tcPr>
          <w:p w14:paraId="33DAB5D4" w14:textId="77777777" w:rsidR="004D6A64" w:rsidRDefault="00506CD6">
            <w:pPr>
              <w:jc w:val="right"/>
              <w:textAlignment w:val="center"/>
            </w:pPr>
            <w:r>
              <w:rPr>
                <w:rFonts w:ascii="Times New Roman" w:eastAsia="宋体" w:hAnsi="Times New Roman"/>
                <w:color w:val="000000"/>
                <w:sz w:val="20"/>
                <w:szCs w:val="20"/>
              </w:rPr>
              <w:t>750 </w:t>
            </w:r>
          </w:p>
        </w:tc>
        <w:tc>
          <w:tcPr>
            <w:tcW w:w="0" w:type="auto"/>
            <w:shd w:val="clear" w:color="auto" w:fill="CCEEFF"/>
            <w:tcMar>
              <w:top w:w="40" w:type="dxa"/>
              <w:bottom w:w="40" w:type="dxa"/>
              <w:right w:w="20" w:type="dxa"/>
            </w:tcMar>
            <w:vAlign w:val="center"/>
          </w:tcPr>
          <w:p w14:paraId="33DAB5D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5D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B5D7"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B5D8" w14:textId="77777777" w:rsidR="004D6A64" w:rsidRDefault="004D6A64">
            <w:pPr>
              <w:jc w:val="right"/>
              <w:rPr>
                <w:rFonts w:ascii="宋体"/>
              </w:rPr>
            </w:pPr>
          </w:p>
        </w:tc>
        <w:tc>
          <w:tcPr>
            <w:tcW w:w="0" w:type="auto"/>
            <w:shd w:val="clear" w:color="auto" w:fill="auto"/>
          </w:tcPr>
          <w:p w14:paraId="33DAB5D9" w14:textId="77777777" w:rsidR="004D6A64" w:rsidRDefault="004D6A64">
            <w:pPr>
              <w:rPr>
                <w:rFonts w:ascii="宋体"/>
              </w:rPr>
            </w:pPr>
          </w:p>
        </w:tc>
        <w:tc>
          <w:tcPr>
            <w:tcW w:w="0" w:type="auto"/>
            <w:shd w:val="clear" w:color="auto" w:fill="auto"/>
          </w:tcPr>
          <w:p w14:paraId="33DAB5DA" w14:textId="77777777" w:rsidR="004D6A64" w:rsidRDefault="004D6A64">
            <w:pPr>
              <w:rPr>
                <w:rFonts w:ascii="宋体"/>
              </w:rPr>
            </w:pPr>
          </w:p>
        </w:tc>
        <w:tc>
          <w:tcPr>
            <w:tcW w:w="0" w:type="auto"/>
            <w:shd w:val="clear" w:color="auto" w:fill="auto"/>
          </w:tcPr>
          <w:p w14:paraId="33DAB5DB" w14:textId="77777777" w:rsidR="004D6A64" w:rsidRDefault="004D6A64">
            <w:pPr>
              <w:rPr>
                <w:rFonts w:ascii="宋体"/>
              </w:rPr>
            </w:pPr>
          </w:p>
        </w:tc>
        <w:tc>
          <w:tcPr>
            <w:tcW w:w="0" w:type="auto"/>
            <w:shd w:val="clear" w:color="auto" w:fill="auto"/>
          </w:tcPr>
          <w:p w14:paraId="33DAB5DC" w14:textId="77777777" w:rsidR="004D6A64" w:rsidRDefault="004D6A64">
            <w:pPr>
              <w:rPr>
                <w:rFonts w:ascii="宋体"/>
              </w:rPr>
            </w:pPr>
          </w:p>
        </w:tc>
        <w:tc>
          <w:tcPr>
            <w:tcW w:w="0" w:type="auto"/>
            <w:shd w:val="clear" w:color="auto" w:fill="auto"/>
          </w:tcPr>
          <w:p w14:paraId="33DAB5DD" w14:textId="77777777" w:rsidR="004D6A64" w:rsidRDefault="004D6A64">
            <w:pPr>
              <w:rPr>
                <w:rFonts w:ascii="宋体"/>
              </w:rPr>
            </w:pPr>
          </w:p>
        </w:tc>
        <w:tc>
          <w:tcPr>
            <w:tcW w:w="0" w:type="auto"/>
            <w:shd w:val="clear" w:color="auto" w:fill="auto"/>
          </w:tcPr>
          <w:p w14:paraId="33DAB5DE" w14:textId="77777777" w:rsidR="004D6A64" w:rsidRDefault="004D6A64">
            <w:pPr>
              <w:rPr>
                <w:rFonts w:ascii="宋体"/>
              </w:rPr>
            </w:pPr>
          </w:p>
        </w:tc>
      </w:tr>
      <w:tr w:rsidR="004D6A64" w14:paraId="33DAB5EC" w14:textId="77777777">
        <w:tc>
          <w:tcPr>
            <w:tcW w:w="0" w:type="auto"/>
            <w:gridSpan w:val="3"/>
            <w:shd w:val="clear" w:color="auto" w:fill="FFFFFF"/>
            <w:tcMar>
              <w:top w:w="40" w:type="dxa"/>
              <w:left w:w="135" w:type="dxa"/>
              <w:bottom w:w="40" w:type="dxa"/>
              <w:right w:w="20" w:type="dxa"/>
            </w:tcMar>
            <w:vAlign w:val="center"/>
          </w:tcPr>
          <w:p w14:paraId="33DAB5E0" w14:textId="77777777" w:rsidR="004D6A64" w:rsidRDefault="00506CD6">
            <w:pPr>
              <w:textAlignment w:val="center"/>
            </w:pPr>
            <w:r>
              <w:rPr>
                <w:rFonts w:ascii="Times New Roman" w:eastAsia="宋体" w:hAnsi="Times New Roman"/>
                <w:color w:val="000000"/>
                <w:sz w:val="20"/>
                <w:szCs w:val="20"/>
              </w:rPr>
              <w:t>VMware Term Loan Facility</w:t>
            </w:r>
          </w:p>
        </w:tc>
        <w:tc>
          <w:tcPr>
            <w:tcW w:w="0" w:type="auto"/>
            <w:gridSpan w:val="2"/>
            <w:shd w:val="clear" w:color="auto" w:fill="FFFFFF"/>
            <w:tcMar>
              <w:top w:w="40" w:type="dxa"/>
              <w:left w:w="20" w:type="dxa"/>
              <w:bottom w:w="40" w:type="dxa"/>
              <w:right w:w="0" w:type="dxa"/>
            </w:tcMar>
            <w:vAlign w:val="center"/>
          </w:tcPr>
          <w:p w14:paraId="33DAB5E1" w14:textId="77777777" w:rsidR="004D6A64" w:rsidRDefault="00506CD6">
            <w:pPr>
              <w:jc w:val="right"/>
              <w:textAlignment w:val="center"/>
            </w:pPr>
            <w:r>
              <w:rPr>
                <w:rFonts w:ascii="Times New Roman" w:eastAsia="宋体" w:hAnsi="Times New Roman"/>
                <w:color w:val="000000"/>
                <w:sz w:val="20"/>
                <w:szCs w:val="20"/>
              </w:rPr>
              <w:t>1,500 </w:t>
            </w:r>
          </w:p>
        </w:tc>
        <w:tc>
          <w:tcPr>
            <w:tcW w:w="0" w:type="auto"/>
            <w:shd w:val="clear" w:color="auto" w:fill="FFFFFF"/>
            <w:tcMar>
              <w:top w:w="40" w:type="dxa"/>
              <w:bottom w:w="40" w:type="dxa"/>
              <w:right w:w="20" w:type="dxa"/>
            </w:tcMar>
            <w:vAlign w:val="center"/>
          </w:tcPr>
          <w:p w14:paraId="33DAB5E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5E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B5E4" w14:textId="77777777" w:rsidR="004D6A64" w:rsidRDefault="00506CD6">
            <w:pPr>
              <w:jc w:val="right"/>
              <w:textAlignment w:val="center"/>
            </w:pPr>
            <w:r>
              <w:rPr>
                <w:rFonts w:ascii="Times New Roman" w:eastAsia="宋体" w:hAnsi="Times New Roman"/>
                <w:color w:val="000000"/>
                <w:sz w:val="20"/>
                <w:szCs w:val="20"/>
              </w:rPr>
              <w:t>1,500 </w:t>
            </w:r>
          </w:p>
        </w:tc>
        <w:tc>
          <w:tcPr>
            <w:tcW w:w="0" w:type="auto"/>
            <w:shd w:val="clear" w:color="auto" w:fill="FFFFFF"/>
            <w:tcMar>
              <w:top w:w="40" w:type="dxa"/>
              <w:bottom w:w="40" w:type="dxa"/>
              <w:right w:w="20" w:type="dxa"/>
            </w:tcMar>
            <w:vAlign w:val="center"/>
          </w:tcPr>
          <w:p w14:paraId="33DAB5E5" w14:textId="77777777" w:rsidR="004D6A64" w:rsidRDefault="004D6A64">
            <w:pPr>
              <w:jc w:val="right"/>
              <w:rPr>
                <w:rFonts w:ascii="宋体"/>
              </w:rPr>
            </w:pPr>
          </w:p>
        </w:tc>
        <w:tc>
          <w:tcPr>
            <w:tcW w:w="0" w:type="auto"/>
            <w:shd w:val="clear" w:color="auto" w:fill="auto"/>
          </w:tcPr>
          <w:p w14:paraId="33DAB5E6" w14:textId="77777777" w:rsidR="004D6A64" w:rsidRDefault="004D6A64">
            <w:pPr>
              <w:rPr>
                <w:rFonts w:ascii="宋体"/>
              </w:rPr>
            </w:pPr>
          </w:p>
        </w:tc>
        <w:tc>
          <w:tcPr>
            <w:tcW w:w="0" w:type="auto"/>
            <w:shd w:val="clear" w:color="auto" w:fill="auto"/>
          </w:tcPr>
          <w:p w14:paraId="33DAB5E7" w14:textId="77777777" w:rsidR="004D6A64" w:rsidRDefault="004D6A64">
            <w:pPr>
              <w:rPr>
                <w:rFonts w:ascii="宋体"/>
              </w:rPr>
            </w:pPr>
          </w:p>
        </w:tc>
        <w:tc>
          <w:tcPr>
            <w:tcW w:w="0" w:type="auto"/>
            <w:shd w:val="clear" w:color="auto" w:fill="auto"/>
          </w:tcPr>
          <w:p w14:paraId="33DAB5E8" w14:textId="77777777" w:rsidR="004D6A64" w:rsidRDefault="004D6A64">
            <w:pPr>
              <w:rPr>
                <w:rFonts w:ascii="宋体"/>
              </w:rPr>
            </w:pPr>
          </w:p>
        </w:tc>
        <w:tc>
          <w:tcPr>
            <w:tcW w:w="0" w:type="auto"/>
            <w:shd w:val="clear" w:color="auto" w:fill="auto"/>
          </w:tcPr>
          <w:p w14:paraId="33DAB5E9" w14:textId="77777777" w:rsidR="004D6A64" w:rsidRDefault="004D6A64">
            <w:pPr>
              <w:rPr>
                <w:rFonts w:ascii="宋体"/>
              </w:rPr>
            </w:pPr>
          </w:p>
        </w:tc>
        <w:tc>
          <w:tcPr>
            <w:tcW w:w="0" w:type="auto"/>
            <w:shd w:val="clear" w:color="auto" w:fill="auto"/>
          </w:tcPr>
          <w:p w14:paraId="33DAB5EA" w14:textId="77777777" w:rsidR="004D6A64" w:rsidRDefault="004D6A64">
            <w:pPr>
              <w:rPr>
                <w:rFonts w:ascii="宋体"/>
              </w:rPr>
            </w:pPr>
          </w:p>
        </w:tc>
        <w:tc>
          <w:tcPr>
            <w:tcW w:w="0" w:type="auto"/>
            <w:shd w:val="clear" w:color="auto" w:fill="auto"/>
          </w:tcPr>
          <w:p w14:paraId="33DAB5EB" w14:textId="77777777" w:rsidR="004D6A64" w:rsidRDefault="004D6A64">
            <w:pPr>
              <w:rPr>
                <w:rFonts w:ascii="宋体"/>
              </w:rPr>
            </w:pPr>
          </w:p>
        </w:tc>
      </w:tr>
      <w:tr w:rsidR="004D6A64" w14:paraId="33DAB5F9" w14:textId="77777777">
        <w:tc>
          <w:tcPr>
            <w:tcW w:w="0" w:type="auto"/>
            <w:gridSpan w:val="3"/>
            <w:shd w:val="clear" w:color="auto" w:fill="CCEEFF"/>
            <w:tcMar>
              <w:top w:w="40" w:type="dxa"/>
              <w:left w:w="20" w:type="dxa"/>
              <w:bottom w:w="40" w:type="dxa"/>
              <w:right w:w="20" w:type="dxa"/>
            </w:tcMar>
            <w:vAlign w:val="center"/>
          </w:tcPr>
          <w:p w14:paraId="33DAB5ED"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b/>
                <w:bCs/>
                <w:color w:val="000000"/>
                <w:sz w:val="20"/>
                <w:szCs w:val="20"/>
              </w:rPr>
              <w:t>DFS Debt (Note 4)</w:t>
            </w:r>
          </w:p>
        </w:tc>
        <w:tc>
          <w:tcPr>
            <w:tcW w:w="0" w:type="auto"/>
            <w:gridSpan w:val="2"/>
            <w:shd w:val="clear" w:color="auto" w:fill="CCEEFF"/>
            <w:tcMar>
              <w:top w:w="40" w:type="dxa"/>
              <w:left w:w="20" w:type="dxa"/>
              <w:bottom w:w="40" w:type="dxa"/>
              <w:right w:w="0" w:type="dxa"/>
            </w:tcMar>
            <w:vAlign w:val="center"/>
          </w:tcPr>
          <w:p w14:paraId="33DAB5EE" w14:textId="77777777" w:rsidR="004D6A64" w:rsidRDefault="00506CD6">
            <w:pPr>
              <w:jc w:val="right"/>
              <w:textAlignment w:val="center"/>
            </w:pPr>
            <w:r>
              <w:rPr>
                <w:rFonts w:ascii="Times New Roman" w:eastAsia="宋体" w:hAnsi="Times New Roman"/>
                <w:color w:val="000000"/>
                <w:sz w:val="20"/>
                <w:szCs w:val="20"/>
              </w:rPr>
              <w:t>8,837 </w:t>
            </w:r>
          </w:p>
        </w:tc>
        <w:tc>
          <w:tcPr>
            <w:tcW w:w="0" w:type="auto"/>
            <w:shd w:val="clear" w:color="auto" w:fill="CCEEFF"/>
            <w:tcMar>
              <w:top w:w="40" w:type="dxa"/>
              <w:bottom w:w="40" w:type="dxa"/>
              <w:right w:w="20" w:type="dxa"/>
            </w:tcMar>
            <w:vAlign w:val="center"/>
          </w:tcPr>
          <w:p w14:paraId="33DAB5E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5F0"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B5F1" w14:textId="77777777" w:rsidR="004D6A64" w:rsidRDefault="00506CD6">
            <w:pPr>
              <w:jc w:val="right"/>
              <w:textAlignment w:val="center"/>
            </w:pPr>
            <w:r>
              <w:rPr>
                <w:rFonts w:ascii="Times New Roman" w:eastAsia="宋体" w:hAnsi="Times New Roman"/>
                <w:color w:val="000000"/>
                <w:sz w:val="20"/>
                <w:szCs w:val="20"/>
              </w:rPr>
              <w:t>7,765 </w:t>
            </w:r>
          </w:p>
        </w:tc>
        <w:tc>
          <w:tcPr>
            <w:tcW w:w="0" w:type="auto"/>
            <w:shd w:val="clear" w:color="auto" w:fill="CCEEFF"/>
            <w:tcMar>
              <w:top w:w="40" w:type="dxa"/>
              <w:bottom w:w="40" w:type="dxa"/>
              <w:right w:w="20" w:type="dxa"/>
            </w:tcMar>
            <w:vAlign w:val="center"/>
          </w:tcPr>
          <w:p w14:paraId="33DAB5F2" w14:textId="77777777" w:rsidR="004D6A64" w:rsidRDefault="004D6A64">
            <w:pPr>
              <w:jc w:val="right"/>
              <w:rPr>
                <w:rFonts w:ascii="宋体"/>
              </w:rPr>
            </w:pPr>
          </w:p>
        </w:tc>
        <w:tc>
          <w:tcPr>
            <w:tcW w:w="0" w:type="auto"/>
            <w:shd w:val="clear" w:color="auto" w:fill="auto"/>
          </w:tcPr>
          <w:p w14:paraId="33DAB5F3" w14:textId="77777777" w:rsidR="004D6A64" w:rsidRDefault="004D6A64">
            <w:pPr>
              <w:rPr>
                <w:rFonts w:ascii="宋体"/>
              </w:rPr>
            </w:pPr>
          </w:p>
        </w:tc>
        <w:tc>
          <w:tcPr>
            <w:tcW w:w="0" w:type="auto"/>
            <w:shd w:val="clear" w:color="auto" w:fill="auto"/>
          </w:tcPr>
          <w:p w14:paraId="33DAB5F4" w14:textId="77777777" w:rsidR="004D6A64" w:rsidRDefault="004D6A64">
            <w:pPr>
              <w:rPr>
                <w:rFonts w:ascii="宋体"/>
              </w:rPr>
            </w:pPr>
          </w:p>
        </w:tc>
        <w:tc>
          <w:tcPr>
            <w:tcW w:w="0" w:type="auto"/>
            <w:shd w:val="clear" w:color="auto" w:fill="auto"/>
          </w:tcPr>
          <w:p w14:paraId="33DAB5F5" w14:textId="77777777" w:rsidR="004D6A64" w:rsidRDefault="004D6A64">
            <w:pPr>
              <w:rPr>
                <w:rFonts w:ascii="宋体"/>
              </w:rPr>
            </w:pPr>
          </w:p>
        </w:tc>
        <w:tc>
          <w:tcPr>
            <w:tcW w:w="0" w:type="auto"/>
            <w:shd w:val="clear" w:color="auto" w:fill="auto"/>
          </w:tcPr>
          <w:p w14:paraId="33DAB5F6" w14:textId="77777777" w:rsidR="004D6A64" w:rsidRDefault="004D6A64">
            <w:pPr>
              <w:rPr>
                <w:rFonts w:ascii="宋体"/>
              </w:rPr>
            </w:pPr>
          </w:p>
        </w:tc>
        <w:tc>
          <w:tcPr>
            <w:tcW w:w="0" w:type="auto"/>
            <w:shd w:val="clear" w:color="auto" w:fill="auto"/>
          </w:tcPr>
          <w:p w14:paraId="33DAB5F7" w14:textId="77777777" w:rsidR="004D6A64" w:rsidRDefault="004D6A64">
            <w:pPr>
              <w:rPr>
                <w:rFonts w:ascii="宋体"/>
              </w:rPr>
            </w:pPr>
          </w:p>
        </w:tc>
        <w:tc>
          <w:tcPr>
            <w:tcW w:w="0" w:type="auto"/>
            <w:shd w:val="clear" w:color="auto" w:fill="auto"/>
          </w:tcPr>
          <w:p w14:paraId="33DAB5F8" w14:textId="77777777" w:rsidR="004D6A64" w:rsidRDefault="004D6A64">
            <w:pPr>
              <w:rPr>
                <w:rFonts w:ascii="宋体"/>
              </w:rPr>
            </w:pPr>
          </w:p>
        </w:tc>
      </w:tr>
      <w:tr w:rsidR="004D6A64" w14:paraId="33DAB604" w14:textId="77777777">
        <w:tc>
          <w:tcPr>
            <w:tcW w:w="0" w:type="auto"/>
            <w:gridSpan w:val="3"/>
            <w:shd w:val="clear" w:color="auto" w:fill="FFFFFF"/>
            <w:tcMar>
              <w:top w:w="40" w:type="dxa"/>
              <w:left w:w="20" w:type="dxa"/>
              <w:bottom w:w="40" w:type="dxa"/>
              <w:right w:w="20" w:type="dxa"/>
            </w:tcMar>
            <w:vAlign w:val="center"/>
          </w:tcPr>
          <w:p w14:paraId="33DAB5FA" w14:textId="77777777" w:rsidR="004D6A64" w:rsidRDefault="00506CD6">
            <w:pPr>
              <w:textAlignment w:val="center"/>
            </w:pPr>
            <w:r>
              <w:rPr>
                <w:rFonts w:ascii="Times New Roman" w:eastAsia="宋体" w:hAnsi="Times New Roman"/>
                <w:b/>
                <w:bCs/>
                <w:color w:val="000000"/>
                <w:sz w:val="20"/>
                <w:szCs w:val="20"/>
              </w:rPr>
              <w:t>Other</w:t>
            </w:r>
          </w:p>
        </w:tc>
        <w:tc>
          <w:tcPr>
            <w:tcW w:w="0" w:type="auto"/>
            <w:gridSpan w:val="3"/>
            <w:shd w:val="clear" w:color="auto" w:fill="FFFFFF"/>
            <w:tcMar>
              <w:left w:w="20" w:type="dxa"/>
              <w:right w:w="20" w:type="dxa"/>
            </w:tcMar>
            <w:vAlign w:val="bottom"/>
          </w:tcPr>
          <w:p w14:paraId="33DAB5FB"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5FC"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5FD" w14:textId="77777777" w:rsidR="004D6A64" w:rsidRDefault="004D6A64">
            <w:pPr>
              <w:rPr>
                <w:rFonts w:ascii="宋体"/>
              </w:rPr>
            </w:pPr>
          </w:p>
        </w:tc>
        <w:tc>
          <w:tcPr>
            <w:tcW w:w="0" w:type="auto"/>
            <w:shd w:val="clear" w:color="auto" w:fill="auto"/>
          </w:tcPr>
          <w:p w14:paraId="33DAB5FE" w14:textId="77777777" w:rsidR="004D6A64" w:rsidRDefault="004D6A64">
            <w:pPr>
              <w:rPr>
                <w:rFonts w:ascii="宋体"/>
              </w:rPr>
            </w:pPr>
          </w:p>
        </w:tc>
        <w:tc>
          <w:tcPr>
            <w:tcW w:w="0" w:type="auto"/>
            <w:shd w:val="clear" w:color="auto" w:fill="auto"/>
          </w:tcPr>
          <w:p w14:paraId="33DAB5FF" w14:textId="77777777" w:rsidR="004D6A64" w:rsidRDefault="004D6A64">
            <w:pPr>
              <w:rPr>
                <w:rFonts w:ascii="宋体"/>
              </w:rPr>
            </w:pPr>
          </w:p>
        </w:tc>
        <w:tc>
          <w:tcPr>
            <w:tcW w:w="0" w:type="auto"/>
            <w:shd w:val="clear" w:color="auto" w:fill="auto"/>
          </w:tcPr>
          <w:p w14:paraId="33DAB600" w14:textId="77777777" w:rsidR="004D6A64" w:rsidRDefault="004D6A64">
            <w:pPr>
              <w:rPr>
                <w:rFonts w:ascii="宋体"/>
              </w:rPr>
            </w:pPr>
          </w:p>
        </w:tc>
        <w:tc>
          <w:tcPr>
            <w:tcW w:w="0" w:type="auto"/>
            <w:shd w:val="clear" w:color="auto" w:fill="auto"/>
          </w:tcPr>
          <w:p w14:paraId="33DAB601" w14:textId="77777777" w:rsidR="004D6A64" w:rsidRDefault="004D6A64">
            <w:pPr>
              <w:rPr>
                <w:rFonts w:ascii="宋体"/>
              </w:rPr>
            </w:pPr>
          </w:p>
        </w:tc>
        <w:tc>
          <w:tcPr>
            <w:tcW w:w="0" w:type="auto"/>
            <w:shd w:val="clear" w:color="auto" w:fill="auto"/>
          </w:tcPr>
          <w:p w14:paraId="33DAB602" w14:textId="77777777" w:rsidR="004D6A64" w:rsidRDefault="004D6A64">
            <w:pPr>
              <w:rPr>
                <w:rFonts w:ascii="宋体"/>
              </w:rPr>
            </w:pPr>
          </w:p>
        </w:tc>
        <w:tc>
          <w:tcPr>
            <w:tcW w:w="0" w:type="auto"/>
            <w:shd w:val="clear" w:color="auto" w:fill="auto"/>
          </w:tcPr>
          <w:p w14:paraId="33DAB603" w14:textId="77777777" w:rsidR="004D6A64" w:rsidRDefault="004D6A64">
            <w:pPr>
              <w:rPr>
                <w:rFonts w:ascii="宋体"/>
              </w:rPr>
            </w:pPr>
          </w:p>
        </w:tc>
      </w:tr>
      <w:tr w:rsidR="004D6A64" w14:paraId="33DAB611" w14:textId="77777777">
        <w:tc>
          <w:tcPr>
            <w:tcW w:w="0" w:type="auto"/>
            <w:gridSpan w:val="3"/>
            <w:shd w:val="clear" w:color="auto" w:fill="CCEEFF"/>
            <w:tcMar>
              <w:top w:w="40" w:type="dxa"/>
              <w:left w:w="20" w:type="dxa"/>
              <w:bottom w:w="40" w:type="dxa"/>
              <w:right w:w="20" w:type="dxa"/>
            </w:tcMar>
            <w:vAlign w:val="center"/>
          </w:tcPr>
          <w:p w14:paraId="33DAB605"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2.51% Margin Loan Facility due April 2022</w:t>
            </w:r>
          </w:p>
        </w:tc>
        <w:tc>
          <w:tcPr>
            <w:tcW w:w="0" w:type="auto"/>
            <w:gridSpan w:val="2"/>
            <w:shd w:val="clear" w:color="auto" w:fill="CCEEFF"/>
            <w:tcMar>
              <w:top w:w="40" w:type="dxa"/>
              <w:left w:w="20" w:type="dxa"/>
              <w:bottom w:w="40" w:type="dxa"/>
              <w:right w:w="0" w:type="dxa"/>
            </w:tcMar>
            <w:vAlign w:val="center"/>
          </w:tcPr>
          <w:p w14:paraId="33DAB606" w14:textId="77777777" w:rsidR="004D6A64" w:rsidRDefault="00506CD6">
            <w:pPr>
              <w:jc w:val="right"/>
              <w:textAlignment w:val="center"/>
            </w:pPr>
            <w:r>
              <w:rPr>
                <w:rFonts w:ascii="Times New Roman" w:eastAsia="宋体" w:hAnsi="Times New Roman"/>
                <w:color w:val="000000"/>
                <w:sz w:val="20"/>
                <w:szCs w:val="20"/>
              </w:rPr>
              <w:t>4,000 </w:t>
            </w:r>
          </w:p>
        </w:tc>
        <w:tc>
          <w:tcPr>
            <w:tcW w:w="0" w:type="auto"/>
            <w:shd w:val="clear" w:color="auto" w:fill="CCEEFF"/>
            <w:tcMar>
              <w:top w:w="40" w:type="dxa"/>
              <w:bottom w:w="40" w:type="dxa"/>
              <w:right w:w="20" w:type="dxa"/>
            </w:tcMar>
            <w:vAlign w:val="center"/>
          </w:tcPr>
          <w:p w14:paraId="33DAB60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608"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B609" w14:textId="77777777" w:rsidR="004D6A64" w:rsidRDefault="00506CD6">
            <w:pPr>
              <w:jc w:val="right"/>
              <w:textAlignment w:val="center"/>
            </w:pPr>
            <w:r>
              <w:rPr>
                <w:rFonts w:ascii="Times New Roman" w:eastAsia="宋体" w:hAnsi="Times New Roman"/>
                <w:color w:val="000000"/>
                <w:sz w:val="20"/>
                <w:szCs w:val="20"/>
              </w:rPr>
              <w:t>4,000 </w:t>
            </w:r>
          </w:p>
        </w:tc>
        <w:tc>
          <w:tcPr>
            <w:tcW w:w="0" w:type="auto"/>
            <w:shd w:val="clear" w:color="auto" w:fill="CCEEFF"/>
            <w:tcMar>
              <w:top w:w="40" w:type="dxa"/>
              <w:bottom w:w="40" w:type="dxa"/>
              <w:right w:w="20" w:type="dxa"/>
            </w:tcMar>
            <w:vAlign w:val="center"/>
          </w:tcPr>
          <w:p w14:paraId="33DAB60A" w14:textId="77777777" w:rsidR="004D6A64" w:rsidRDefault="004D6A64">
            <w:pPr>
              <w:jc w:val="right"/>
              <w:rPr>
                <w:rFonts w:ascii="宋体"/>
              </w:rPr>
            </w:pPr>
          </w:p>
        </w:tc>
        <w:tc>
          <w:tcPr>
            <w:tcW w:w="0" w:type="auto"/>
            <w:shd w:val="clear" w:color="auto" w:fill="auto"/>
          </w:tcPr>
          <w:p w14:paraId="33DAB60B" w14:textId="77777777" w:rsidR="004D6A64" w:rsidRDefault="004D6A64">
            <w:pPr>
              <w:rPr>
                <w:rFonts w:ascii="宋体"/>
              </w:rPr>
            </w:pPr>
          </w:p>
        </w:tc>
        <w:tc>
          <w:tcPr>
            <w:tcW w:w="0" w:type="auto"/>
            <w:shd w:val="clear" w:color="auto" w:fill="auto"/>
          </w:tcPr>
          <w:p w14:paraId="33DAB60C" w14:textId="77777777" w:rsidR="004D6A64" w:rsidRDefault="004D6A64">
            <w:pPr>
              <w:rPr>
                <w:rFonts w:ascii="宋体"/>
              </w:rPr>
            </w:pPr>
          </w:p>
        </w:tc>
        <w:tc>
          <w:tcPr>
            <w:tcW w:w="0" w:type="auto"/>
            <w:shd w:val="clear" w:color="auto" w:fill="auto"/>
          </w:tcPr>
          <w:p w14:paraId="33DAB60D" w14:textId="77777777" w:rsidR="004D6A64" w:rsidRDefault="004D6A64">
            <w:pPr>
              <w:rPr>
                <w:rFonts w:ascii="宋体"/>
              </w:rPr>
            </w:pPr>
          </w:p>
        </w:tc>
        <w:tc>
          <w:tcPr>
            <w:tcW w:w="0" w:type="auto"/>
            <w:shd w:val="clear" w:color="auto" w:fill="auto"/>
          </w:tcPr>
          <w:p w14:paraId="33DAB60E" w14:textId="77777777" w:rsidR="004D6A64" w:rsidRDefault="004D6A64">
            <w:pPr>
              <w:rPr>
                <w:rFonts w:ascii="宋体"/>
              </w:rPr>
            </w:pPr>
          </w:p>
        </w:tc>
        <w:tc>
          <w:tcPr>
            <w:tcW w:w="0" w:type="auto"/>
            <w:shd w:val="clear" w:color="auto" w:fill="auto"/>
          </w:tcPr>
          <w:p w14:paraId="33DAB60F" w14:textId="77777777" w:rsidR="004D6A64" w:rsidRDefault="004D6A64">
            <w:pPr>
              <w:rPr>
                <w:rFonts w:ascii="宋体"/>
              </w:rPr>
            </w:pPr>
          </w:p>
        </w:tc>
        <w:tc>
          <w:tcPr>
            <w:tcW w:w="0" w:type="auto"/>
            <w:shd w:val="clear" w:color="auto" w:fill="auto"/>
          </w:tcPr>
          <w:p w14:paraId="33DAB610" w14:textId="77777777" w:rsidR="004D6A64" w:rsidRDefault="004D6A64">
            <w:pPr>
              <w:rPr>
                <w:rFonts w:ascii="宋体"/>
              </w:rPr>
            </w:pPr>
          </w:p>
        </w:tc>
      </w:tr>
      <w:tr w:rsidR="004D6A64" w14:paraId="33DAB61E" w14:textId="77777777">
        <w:tc>
          <w:tcPr>
            <w:tcW w:w="0" w:type="auto"/>
            <w:gridSpan w:val="3"/>
            <w:shd w:val="clear" w:color="auto" w:fill="FFFFFF"/>
            <w:tcMar>
              <w:top w:w="40" w:type="dxa"/>
              <w:left w:w="225" w:type="dxa"/>
              <w:bottom w:w="40" w:type="dxa"/>
              <w:right w:w="20" w:type="dxa"/>
            </w:tcMar>
            <w:vAlign w:val="center"/>
          </w:tcPr>
          <w:p w14:paraId="33DAB612" w14:textId="77777777" w:rsidR="004D6A64" w:rsidRDefault="00506CD6">
            <w:pPr>
              <w:textAlignment w:val="center"/>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center"/>
          </w:tcPr>
          <w:p w14:paraId="33DAB613" w14:textId="77777777" w:rsidR="004D6A64" w:rsidRDefault="00506CD6">
            <w:pPr>
              <w:jc w:val="right"/>
              <w:textAlignment w:val="center"/>
            </w:pPr>
            <w:r>
              <w:rPr>
                <w:rFonts w:ascii="Times New Roman" w:eastAsia="宋体" w:hAnsi="Times New Roman"/>
                <w:color w:val="000000"/>
                <w:sz w:val="20"/>
                <w:szCs w:val="20"/>
              </w:rPr>
              <w:t>147 </w:t>
            </w:r>
          </w:p>
        </w:tc>
        <w:tc>
          <w:tcPr>
            <w:tcW w:w="0" w:type="auto"/>
            <w:shd w:val="clear" w:color="auto" w:fill="FFFFFF"/>
            <w:tcMar>
              <w:top w:w="40" w:type="dxa"/>
              <w:bottom w:w="40" w:type="dxa"/>
              <w:right w:w="20" w:type="dxa"/>
            </w:tcMar>
            <w:vAlign w:val="center"/>
          </w:tcPr>
          <w:p w14:paraId="33DAB61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615"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B616" w14:textId="77777777" w:rsidR="004D6A64" w:rsidRDefault="00506CD6">
            <w:pPr>
              <w:jc w:val="right"/>
              <w:textAlignment w:val="center"/>
            </w:pPr>
            <w:r>
              <w:rPr>
                <w:rFonts w:ascii="Times New Roman" w:eastAsia="宋体" w:hAnsi="Times New Roman"/>
                <w:color w:val="000000"/>
                <w:sz w:val="20"/>
                <w:szCs w:val="20"/>
              </w:rPr>
              <w:t>84 </w:t>
            </w:r>
          </w:p>
        </w:tc>
        <w:tc>
          <w:tcPr>
            <w:tcW w:w="0" w:type="auto"/>
            <w:shd w:val="clear" w:color="auto" w:fill="FFFFFF"/>
            <w:tcMar>
              <w:top w:w="40" w:type="dxa"/>
              <w:bottom w:w="40" w:type="dxa"/>
              <w:right w:w="20" w:type="dxa"/>
            </w:tcMar>
            <w:vAlign w:val="center"/>
          </w:tcPr>
          <w:p w14:paraId="33DAB617" w14:textId="77777777" w:rsidR="004D6A64" w:rsidRDefault="004D6A64">
            <w:pPr>
              <w:jc w:val="right"/>
              <w:rPr>
                <w:rFonts w:ascii="宋体"/>
              </w:rPr>
            </w:pPr>
          </w:p>
        </w:tc>
        <w:tc>
          <w:tcPr>
            <w:tcW w:w="0" w:type="auto"/>
            <w:shd w:val="clear" w:color="auto" w:fill="auto"/>
          </w:tcPr>
          <w:p w14:paraId="33DAB618" w14:textId="77777777" w:rsidR="004D6A64" w:rsidRDefault="004D6A64">
            <w:pPr>
              <w:rPr>
                <w:rFonts w:ascii="宋体"/>
              </w:rPr>
            </w:pPr>
          </w:p>
        </w:tc>
        <w:tc>
          <w:tcPr>
            <w:tcW w:w="0" w:type="auto"/>
            <w:shd w:val="clear" w:color="auto" w:fill="auto"/>
          </w:tcPr>
          <w:p w14:paraId="33DAB619" w14:textId="77777777" w:rsidR="004D6A64" w:rsidRDefault="004D6A64">
            <w:pPr>
              <w:rPr>
                <w:rFonts w:ascii="宋体"/>
              </w:rPr>
            </w:pPr>
          </w:p>
        </w:tc>
        <w:tc>
          <w:tcPr>
            <w:tcW w:w="0" w:type="auto"/>
            <w:shd w:val="clear" w:color="auto" w:fill="auto"/>
          </w:tcPr>
          <w:p w14:paraId="33DAB61A" w14:textId="77777777" w:rsidR="004D6A64" w:rsidRDefault="004D6A64">
            <w:pPr>
              <w:rPr>
                <w:rFonts w:ascii="宋体"/>
              </w:rPr>
            </w:pPr>
          </w:p>
        </w:tc>
        <w:tc>
          <w:tcPr>
            <w:tcW w:w="0" w:type="auto"/>
            <w:shd w:val="clear" w:color="auto" w:fill="auto"/>
          </w:tcPr>
          <w:p w14:paraId="33DAB61B" w14:textId="77777777" w:rsidR="004D6A64" w:rsidRDefault="004D6A64">
            <w:pPr>
              <w:rPr>
                <w:rFonts w:ascii="宋体"/>
              </w:rPr>
            </w:pPr>
          </w:p>
        </w:tc>
        <w:tc>
          <w:tcPr>
            <w:tcW w:w="0" w:type="auto"/>
            <w:shd w:val="clear" w:color="auto" w:fill="auto"/>
          </w:tcPr>
          <w:p w14:paraId="33DAB61C" w14:textId="77777777" w:rsidR="004D6A64" w:rsidRDefault="004D6A64">
            <w:pPr>
              <w:rPr>
                <w:rFonts w:ascii="宋体"/>
              </w:rPr>
            </w:pPr>
          </w:p>
        </w:tc>
        <w:tc>
          <w:tcPr>
            <w:tcW w:w="0" w:type="auto"/>
            <w:shd w:val="clear" w:color="auto" w:fill="auto"/>
          </w:tcPr>
          <w:p w14:paraId="33DAB61D" w14:textId="77777777" w:rsidR="004D6A64" w:rsidRDefault="004D6A64">
            <w:pPr>
              <w:rPr>
                <w:rFonts w:ascii="宋体"/>
              </w:rPr>
            </w:pPr>
          </w:p>
        </w:tc>
      </w:tr>
      <w:tr w:rsidR="004D6A64" w14:paraId="33DAB62D" w14:textId="77777777">
        <w:tc>
          <w:tcPr>
            <w:tcW w:w="0" w:type="auto"/>
            <w:gridSpan w:val="3"/>
            <w:shd w:val="clear" w:color="auto" w:fill="CCEEFF"/>
            <w:tcMar>
              <w:top w:w="40" w:type="dxa"/>
              <w:left w:w="360" w:type="dxa"/>
              <w:bottom w:w="40" w:type="dxa"/>
              <w:right w:w="20" w:type="dxa"/>
            </w:tcMar>
            <w:vAlign w:val="center"/>
          </w:tcPr>
          <w:p w14:paraId="33DAB61F" w14:textId="77777777" w:rsidR="004D6A64" w:rsidRDefault="00506CD6">
            <w:pPr>
              <w:textAlignment w:val="center"/>
            </w:pPr>
            <w:r>
              <w:rPr>
                <w:rFonts w:ascii="Times New Roman" w:eastAsia="宋体" w:hAnsi="Times New Roman"/>
                <w:b/>
                <w:bCs/>
                <w:color w:val="000000"/>
                <w:sz w:val="20"/>
                <w:szCs w:val="20"/>
              </w:rPr>
              <w:t>Total debt, principal amount</w:t>
            </w: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B620"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B621" w14:textId="77777777" w:rsidR="004D6A64" w:rsidRDefault="00506CD6">
            <w:pPr>
              <w:jc w:val="right"/>
              <w:textAlignment w:val="center"/>
            </w:pPr>
            <w:r>
              <w:rPr>
                <w:rFonts w:ascii="Times New Roman" w:eastAsia="宋体" w:hAnsi="Times New Roman"/>
                <w:color w:val="000000"/>
                <w:sz w:val="20"/>
                <w:szCs w:val="20"/>
              </w:rPr>
              <w:t>54,537 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B62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623"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B624"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B625" w14:textId="77777777" w:rsidR="004D6A64" w:rsidRDefault="00506CD6">
            <w:pPr>
              <w:jc w:val="right"/>
              <w:textAlignment w:val="center"/>
            </w:pPr>
            <w:r>
              <w:rPr>
                <w:rFonts w:ascii="Times New Roman" w:eastAsia="宋体" w:hAnsi="Times New Roman"/>
                <w:color w:val="000000"/>
                <w:sz w:val="20"/>
                <w:szCs w:val="20"/>
              </w:rPr>
              <w:t>52,665 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B626" w14:textId="77777777" w:rsidR="004D6A64" w:rsidRDefault="004D6A64">
            <w:pPr>
              <w:jc w:val="right"/>
              <w:rPr>
                <w:rFonts w:ascii="宋体"/>
              </w:rPr>
            </w:pPr>
          </w:p>
        </w:tc>
        <w:tc>
          <w:tcPr>
            <w:tcW w:w="0" w:type="auto"/>
            <w:shd w:val="clear" w:color="auto" w:fill="auto"/>
          </w:tcPr>
          <w:p w14:paraId="33DAB627" w14:textId="77777777" w:rsidR="004D6A64" w:rsidRDefault="004D6A64">
            <w:pPr>
              <w:rPr>
                <w:rFonts w:ascii="宋体"/>
              </w:rPr>
            </w:pPr>
          </w:p>
        </w:tc>
        <w:tc>
          <w:tcPr>
            <w:tcW w:w="0" w:type="auto"/>
            <w:shd w:val="clear" w:color="auto" w:fill="auto"/>
          </w:tcPr>
          <w:p w14:paraId="33DAB628" w14:textId="77777777" w:rsidR="004D6A64" w:rsidRDefault="004D6A64">
            <w:pPr>
              <w:rPr>
                <w:rFonts w:ascii="宋体"/>
              </w:rPr>
            </w:pPr>
          </w:p>
        </w:tc>
        <w:tc>
          <w:tcPr>
            <w:tcW w:w="0" w:type="auto"/>
            <w:shd w:val="clear" w:color="auto" w:fill="auto"/>
          </w:tcPr>
          <w:p w14:paraId="33DAB629" w14:textId="77777777" w:rsidR="004D6A64" w:rsidRDefault="004D6A64">
            <w:pPr>
              <w:rPr>
                <w:rFonts w:ascii="宋体"/>
              </w:rPr>
            </w:pPr>
          </w:p>
        </w:tc>
        <w:tc>
          <w:tcPr>
            <w:tcW w:w="0" w:type="auto"/>
            <w:shd w:val="clear" w:color="auto" w:fill="auto"/>
          </w:tcPr>
          <w:p w14:paraId="33DAB62A" w14:textId="77777777" w:rsidR="004D6A64" w:rsidRDefault="004D6A64">
            <w:pPr>
              <w:rPr>
                <w:rFonts w:ascii="宋体"/>
              </w:rPr>
            </w:pPr>
          </w:p>
        </w:tc>
        <w:tc>
          <w:tcPr>
            <w:tcW w:w="0" w:type="auto"/>
            <w:shd w:val="clear" w:color="auto" w:fill="auto"/>
          </w:tcPr>
          <w:p w14:paraId="33DAB62B" w14:textId="77777777" w:rsidR="004D6A64" w:rsidRDefault="004D6A64">
            <w:pPr>
              <w:rPr>
                <w:rFonts w:ascii="宋体"/>
              </w:rPr>
            </w:pPr>
          </w:p>
        </w:tc>
        <w:tc>
          <w:tcPr>
            <w:tcW w:w="0" w:type="auto"/>
            <w:shd w:val="clear" w:color="auto" w:fill="auto"/>
          </w:tcPr>
          <w:p w14:paraId="33DAB62C" w14:textId="77777777" w:rsidR="004D6A64" w:rsidRDefault="004D6A64">
            <w:pPr>
              <w:rPr>
                <w:rFonts w:ascii="宋体"/>
              </w:rPr>
            </w:pPr>
          </w:p>
        </w:tc>
      </w:tr>
    </w:tbl>
    <w:p w14:paraId="33DAB62E" w14:textId="77777777" w:rsidR="004D6A64" w:rsidRDefault="004D6A64">
      <w:pPr>
        <w:jc w:val="center"/>
      </w:pPr>
    </w:p>
    <w:p w14:paraId="33DAB62F" w14:textId="77777777" w:rsidR="004D6A64" w:rsidRDefault="00506CD6">
      <w:pPr>
        <w:jc w:val="center"/>
      </w:pPr>
      <w:r>
        <w:rPr>
          <w:rFonts w:ascii="Times New Roman" w:eastAsia="宋体" w:hAnsi="Times New Roman"/>
          <w:color w:val="000000"/>
          <w:sz w:val="20"/>
          <w:szCs w:val="20"/>
        </w:rPr>
        <w:t>32</w:t>
      </w:r>
    </w:p>
    <w:p w14:paraId="33DAB630" w14:textId="77777777" w:rsidR="004D6A64" w:rsidRDefault="004D6A64">
      <w:pPr>
        <w:jc w:val="center"/>
      </w:pPr>
    </w:p>
    <w:p w14:paraId="33DAB631" w14:textId="77777777" w:rsidR="004D6A64" w:rsidRDefault="00506CD6">
      <w:r>
        <w:pict w14:anchorId="33DAFAE4">
          <v:rect id="_x0000_i1056" style="width:415.3pt;height:1.5pt" o:hralign="center" o:hrstd="t" o:hr="t" fillcolor="#a0a0a0" stroked="f"/>
        </w:pict>
      </w:r>
    </w:p>
    <w:p w14:paraId="33DAB632" w14:textId="77777777" w:rsidR="004D6A64" w:rsidRDefault="00506CD6">
      <w:hyperlink r:id="rId155" w:anchor="if3e0e1bf9ecd4bf69551d7a85f98d64a_10" w:history="1">
        <w:r>
          <w:rPr>
            <w:rStyle w:val="a5"/>
            <w:rFonts w:ascii="Times New Roman" w:eastAsia="宋体" w:hAnsi="Times New Roman"/>
            <w:sz w:val="20"/>
            <w:szCs w:val="20"/>
          </w:rPr>
          <w:t>Table of Contents</w:t>
        </w:r>
      </w:hyperlink>
    </w:p>
    <w:p w14:paraId="33DAB633"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B634"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33DAB635"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B636" w14:textId="77777777" w:rsidR="004D6A64" w:rsidRDefault="004D6A64">
      <w:pPr>
        <w:jc w:val="center"/>
      </w:pPr>
    </w:p>
    <w:tbl>
      <w:tblPr>
        <w:tblW w:w="5000" w:type="pct"/>
        <w:tblCellMar>
          <w:top w:w="15" w:type="dxa"/>
          <w:left w:w="15" w:type="dxa"/>
          <w:bottom w:w="15" w:type="dxa"/>
          <w:right w:w="15" w:type="dxa"/>
        </w:tblCellMar>
        <w:tblLook w:val="04A0" w:firstRow="1" w:lastRow="0" w:firstColumn="1" w:lastColumn="0" w:noHBand="0" w:noVBand="1"/>
      </w:tblPr>
      <w:tblGrid>
        <w:gridCol w:w="38"/>
        <w:gridCol w:w="4737"/>
        <w:gridCol w:w="37"/>
        <w:gridCol w:w="135"/>
        <w:gridCol w:w="1424"/>
        <w:gridCol w:w="41"/>
        <w:gridCol w:w="36"/>
        <w:gridCol w:w="36"/>
        <w:gridCol w:w="36"/>
        <w:gridCol w:w="135"/>
        <w:gridCol w:w="1424"/>
        <w:gridCol w:w="41"/>
        <w:gridCol w:w="36"/>
        <w:gridCol w:w="36"/>
        <w:gridCol w:w="36"/>
        <w:gridCol w:w="36"/>
        <w:gridCol w:w="36"/>
        <w:gridCol w:w="36"/>
      </w:tblGrid>
      <w:tr w:rsidR="004D6A64" w14:paraId="33DAB643" w14:textId="77777777">
        <w:trPr>
          <w:gridAfter w:val="6"/>
        </w:trPr>
        <w:tc>
          <w:tcPr>
            <w:tcW w:w="50" w:type="pct"/>
            <w:shd w:val="clear" w:color="auto" w:fill="auto"/>
          </w:tcPr>
          <w:p w14:paraId="33DAB637" w14:textId="77777777" w:rsidR="004D6A64" w:rsidRDefault="004D6A64">
            <w:pPr>
              <w:rPr>
                <w:rFonts w:ascii="宋体"/>
              </w:rPr>
            </w:pPr>
          </w:p>
        </w:tc>
        <w:tc>
          <w:tcPr>
            <w:tcW w:w="2971" w:type="pct"/>
            <w:shd w:val="clear" w:color="auto" w:fill="auto"/>
          </w:tcPr>
          <w:p w14:paraId="33DAB638" w14:textId="77777777" w:rsidR="004D6A64" w:rsidRDefault="004D6A64">
            <w:pPr>
              <w:rPr>
                <w:rFonts w:ascii="宋体"/>
              </w:rPr>
            </w:pPr>
          </w:p>
        </w:tc>
        <w:tc>
          <w:tcPr>
            <w:tcW w:w="5" w:type="pct"/>
            <w:shd w:val="clear" w:color="auto" w:fill="auto"/>
          </w:tcPr>
          <w:p w14:paraId="33DAB639" w14:textId="77777777" w:rsidR="004D6A64" w:rsidRDefault="004D6A64">
            <w:pPr>
              <w:rPr>
                <w:rFonts w:ascii="宋体"/>
              </w:rPr>
            </w:pPr>
          </w:p>
        </w:tc>
        <w:tc>
          <w:tcPr>
            <w:tcW w:w="50" w:type="pct"/>
            <w:shd w:val="clear" w:color="auto" w:fill="auto"/>
          </w:tcPr>
          <w:p w14:paraId="33DAB63A" w14:textId="77777777" w:rsidR="004D6A64" w:rsidRDefault="004D6A64">
            <w:pPr>
              <w:rPr>
                <w:rFonts w:ascii="宋体"/>
              </w:rPr>
            </w:pPr>
          </w:p>
        </w:tc>
        <w:tc>
          <w:tcPr>
            <w:tcW w:w="917" w:type="pct"/>
            <w:shd w:val="clear" w:color="auto" w:fill="auto"/>
          </w:tcPr>
          <w:p w14:paraId="33DAB63B" w14:textId="77777777" w:rsidR="004D6A64" w:rsidRDefault="004D6A64">
            <w:pPr>
              <w:rPr>
                <w:rFonts w:ascii="宋体"/>
              </w:rPr>
            </w:pPr>
          </w:p>
        </w:tc>
        <w:tc>
          <w:tcPr>
            <w:tcW w:w="5" w:type="pct"/>
            <w:shd w:val="clear" w:color="auto" w:fill="auto"/>
          </w:tcPr>
          <w:p w14:paraId="33DAB63C" w14:textId="77777777" w:rsidR="004D6A64" w:rsidRDefault="004D6A64">
            <w:pPr>
              <w:rPr>
                <w:rFonts w:ascii="宋体"/>
              </w:rPr>
            </w:pPr>
          </w:p>
        </w:tc>
        <w:tc>
          <w:tcPr>
            <w:tcW w:w="5" w:type="pct"/>
            <w:shd w:val="clear" w:color="auto" w:fill="auto"/>
          </w:tcPr>
          <w:p w14:paraId="33DAB63D" w14:textId="77777777" w:rsidR="004D6A64" w:rsidRDefault="004D6A64">
            <w:pPr>
              <w:rPr>
                <w:rFonts w:ascii="宋体"/>
              </w:rPr>
            </w:pPr>
          </w:p>
        </w:tc>
        <w:tc>
          <w:tcPr>
            <w:tcW w:w="19" w:type="pct"/>
            <w:shd w:val="clear" w:color="auto" w:fill="auto"/>
          </w:tcPr>
          <w:p w14:paraId="33DAB63E" w14:textId="77777777" w:rsidR="004D6A64" w:rsidRDefault="004D6A64">
            <w:pPr>
              <w:rPr>
                <w:rFonts w:ascii="宋体"/>
              </w:rPr>
            </w:pPr>
          </w:p>
        </w:tc>
        <w:tc>
          <w:tcPr>
            <w:tcW w:w="5" w:type="pct"/>
            <w:shd w:val="clear" w:color="auto" w:fill="auto"/>
          </w:tcPr>
          <w:p w14:paraId="33DAB63F" w14:textId="77777777" w:rsidR="004D6A64" w:rsidRDefault="004D6A64">
            <w:pPr>
              <w:rPr>
                <w:rFonts w:ascii="宋体"/>
              </w:rPr>
            </w:pPr>
          </w:p>
        </w:tc>
        <w:tc>
          <w:tcPr>
            <w:tcW w:w="50" w:type="pct"/>
            <w:shd w:val="clear" w:color="auto" w:fill="auto"/>
          </w:tcPr>
          <w:p w14:paraId="33DAB640" w14:textId="77777777" w:rsidR="004D6A64" w:rsidRDefault="004D6A64">
            <w:pPr>
              <w:rPr>
                <w:rFonts w:ascii="宋体"/>
              </w:rPr>
            </w:pPr>
          </w:p>
        </w:tc>
        <w:tc>
          <w:tcPr>
            <w:tcW w:w="917" w:type="pct"/>
            <w:shd w:val="clear" w:color="auto" w:fill="auto"/>
          </w:tcPr>
          <w:p w14:paraId="33DAB641" w14:textId="77777777" w:rsidR="004D6A64" w:rsidRDefault="004D6A64">
            <w:pPr>
              <w:rPr>
                <w:rFonts w:ascii="宋体"/>
              </w:rPr>
            </w:pPr>
          </w:p>
        </w:tc>
        <w:tc>
          <w:tcPr>
            <w:tcW w:w="5" w:type="pct"/>
            <w:shd w:val="clear" w:color="auto" w:fill="auto"/>
          </w:tcPr>
          <w:p w14:paraId="33DAB642" w14:textId="77777777" w:rsidR="004D6A64" w:rsidRDefault="004D6A64">
            <w:pPr>
              <w:rPr>
                <w:rFonts w:ascii="宋体"/>
              </w:rPr>
            </w:pPr>
          </w:p>
        </w:tc>
      </w:tr>
      <w:tr w:rsidR="004D6A64" w14:paraId="33DAB648" w14:textId="77777777">
        <w:trPr>
          <w:gridAfter w:val="6"/>
        </w:trPr>
        <w:tc>
          <w:tcPr>
            <w:tcW w:w="0" w:type="auto"/>
            <w:gridSpan w:val="3"/>
            <w:shd w:val="clear" w:color="auto" w:fill="auto"/>
            <w:tcMar>
              <w:left w:w="20" w:type="dxa"/>
              <w:right w:w="20" w:type="dxa"/>
            </w:tcMar>
            <w:vAlign w:val="bottom"/>
          </w:tcPr>
          <w:p w14:paraId="33DAB644"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B645"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shd w:val="clear" w:color="auto" w:fill="auto"/>
            <w:tcMar>
              <w:left w:w="20" w:type="dxa"/>
              <w:right w:w="20" w:type="dxa"/>
            </w:tcMar>
            <w:vAlign w:val="bottom"/>
          </w:tcPr>
          <w:p w14:paraId="33DAB646" w14:textId="77777777" w:rsidR="004D6A64" w:rsidRDefault="004D6A6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3DAB647" w14:textId="77777777" w:rsidR="004D6A64" w:rsidRDefault="00506CD6">
            <w:pPr>
              <w:jc w:val="center"/>
              <w:textAlignment w:val="bottom"/>
            </w:pPr>
            <w:r>
              <w:rPr>
                <w:rFonts w:ascii="Times New Roman" w:eastAsia="宋体" w:hAnsi="Times New Roman"/>
                <w:b/>
                <w:bCs/>
                <w:color w:val="000000"/>
                <w:sz w:val="20"/>
                <w:szCs w:val="20"/>
              </w:rPr>
              <w:t>January 31, 2020</w:t>
            </w:r>
          </w:p>
        </w:tc>
      </w:tr>
      <w:tr w:rsidR="004D6A64" w14:paraId="33DAB64D" w14:textId="77777777">
        <w:tc>
          <w:tcPr>
            <w:tcW w:w="0" w:type="auto"/>
            <w:gridSpan w:val="3"/>
            <w:shd w:val="clear" w:color="auto" w:fill="auto"/>
            <w:tcMar>
              <w:left w:w="20" w:type="dxa"/>
              <w:right w:w="20" w:type="dxa"/>
            </w:tcMar>
            <w:vAlign w:val="bottom"/>
          </w:tcPr>
          <w:p w14:paraId="33DAB649" w14:textId="77777777" w:rsidR="004D6A64" w:rsidRDefault="004D6A6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33DAB64A" w14:textId="77777777" w:rsidR="004D6A64" w:rsidRDefault="00506CD6">
            <w:pPr>
              <w:jc w:val="center"/>
              <w:textAlignment w:val="center"/>
            </w:pPr>
            <w:r>
              <w:rPr>
                <w:rFonts w:ascii="Times New Roman" w:eastAsia="宋体" w:hAnsi="Times New Roman"/>
                <w:color w:val="000000"/>
                <w:sz w:val="20"/>
                <w:szCs w:val="20"/>
              </w:rPr>
              <w:t>(in millions)</w:t>
            </w:r>
          </w:p>
        </w:tc>
        <w:tc>
          <w:tcPr>
            <w:tcW w:w="0" w:type="auto"/>
            <w:gridSpan w:val="3"/>
            <w:shd w:val="clear" w:color="auto" w:fill="auto"/>
          </w:tcPr>
          <w:p w14:paraId="33DAB64B" w14:textId="77777777" w:rsidR="004D6A64" w:rsidRDefault="004D6A64">
            <w:pPr>
              <w:rPr>
                <w:rFonts w:ascii="宋体"/>
                <w:vanish/>
              </w:rPr>
            </w:pPr>
          </w:p>
        </w:tc>
        <w:tc>
          <w:tcPr>
            <w:tcW w:w="0" w:type="auto"/>
            <w:gridSpan w:val="3"/>
            <w:shd w:val="clear" w:color="auto" w:fill="auto"/>
          </w:tcPr>
          <w:p w14:paraId="33DAB64C" w14:textId="77777777" w:rsidR="004D6A64" w:rsidRDefault="004D6A64">
            <w:pPr>
              <w:rPr>
                <w:rFonts w:ascii="宋体"/>
                <w:vanish/>
              </w:rPr>
            </w:pPr>
          </w:p>
        </w:tc>
      </w:tr>
      <w:tr w:rsidR="004D6A64" w14:paraId="33DAB65C" w14:textId="77777777">
        <w:tc>
          <w:tcPr>
            <w:tcW w:w="0" w:type="auto"/>
            <w:gridSpan w:val="3"/>
            <w:shd w:val="clear" w:color="auto" w:fill="CCEEFF"/>
            <w:tcMar>
              <w:top w:w="40" w:type="dxa"/>
              <w:left w:w="360" w:type="dxa"/>
              <w:bottom w:w="40" w:type="dxa"/>
              <w:right w:w="20" w:type="dxa"/>
            </w:tcMar>
            <w:vAlign w:val="center"/>
          </w:tcPr>
          <w:p w14:paraId="33DAB64E" w14:textId="77777777" w:rsidR="004D6A64" w:rsidRDefault="00506CD6">
            <w:pPr>
              <w:textAlignment w:val="center"/>
            </w:pPr>
            <w:r>
              <w:rPr>
                <w:rFonts w:ascii="Times New Roman" w:eastAsia="宋体" w:hAnsi="Times New Roman"/>
                <w:b/>
                <w:bCs/>
                <w:color w:val="000000"/>
                <w:sz w:val="20"/>
                <w:szCs w:val="20"/>
              </w:rPr>
              <w:t>Total debt, principal amount</w:t>
            </w:r>
          </w:p>
        </w:tc>
        <w:tc>
          <w:tcPr>
            <w:tcW w:w="0" w:type="auto"/>
            <w:shd w:val="clear" w:color="auto" w:fill="CCEEFF"/>
            <w:tcMar>
              <w:top w:w="40" w:type="dxa"/>
              <w:left w:w="20" w:type="dxa"/>
              <w:bottom w:w="40" w:type="dxa"/>
            </w:tcMar>
            <w:vAlign w:val="center"/>
          </w:tcPr>
          <w:p w14:paraId="33DAB64F"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B650" w14:textId="77777777" w:rsidR="004D6A64" w:rsidRDefault="00506CD6">
            <w:pPr>
              <w:jc w:val="right"/>
              <w:textAlignment w:val="center"/>
            </w:pPr>
            <w:r>
              <w:rPr>
                <w:rFonts w:ascii="Times New Roman" w:eastAsia="宋体" w:hAnsi="Times New Roman"/>
                <w:color w:val="000000"/>
                <w:sz w:val="20"/>
                <w:szCs w:val="20"/>
              </w:rPr>
              <w:t>54,537 </w:t>
            </w:r>
          </w:p>
        </w:tc>
        <w:tc>
          <w:tcPr>
            <w:tcW w:w="0" w:type="auto"/>
            <w:shd w:val="clear" w:color="auto" w:fill="CCEEFF"/>
            <w:tcMar>
              <w:top w:w="40" w:type="dxa"/>
              <w:bottom w:w="40" w:type="dxa"/>
              <w:right w:w="20" w:type="dxa"/>
            </w:tcMar>
            <w:vAlign w:val="center"/>
          </w:tcPr>
          <w:p w14:paraId="33DAB65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652"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B653"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B654" w14:textId="77777777" w:rsidR="004D6A64" w:rsidRDefault="00506CD6">
            <w:pPr>
              <w:jc w:val="right"/>
              <w:textAlignment w:val="center"/>
            </w:pPr>
            <w:r>
              <w:rPr>
                <w:rFonts w:ascii="Times New Roman" w:eastAsia="宋体" w:hAnsi="Times New Roman"/>
                <w:color w:val="000000"/>
                <w:sz w:val="20"/>
                <w:szCs w:val="20"/>
              </w:rPr>
              <w:t>52,665 </w:t>
            </w:r>
          </w:p>
        </w:tc>
        <w:tc>
          <w:tcPr>
            <w:tcW w:w="0" w:type="auto"/>
            <w:shd w:val="clear" w:color="auto" w:fill="CCEEFF"/>
            <w:tcMar>
              <w:top w:w="40" w:type="dxa"/>
              <w:bottom w:w="40" w:type="dxa"/>
              <w:right w:w="20" w:type="dxa"/>
            </w:tcMar>
            <w:vAlign w:val="center"/>
          </w:tcPr>
          <w:p w14:paraId="33DAB655" w14:textId="77777777" w:rsidR="004D6A64" w:rsidRDefault="004D6A64">
            <w:pPr>
              <w:jc w:val="right"/>
              <w:rPr>
                <w:rFonts w:ascii="宋体"/>
              </w:rPr>
            </w:pPr>
          </w:p>
        </w:tc>
        <w:tc>
          <w:tcPr>
            <w:tcW w:w="0" w:type="auto"/>
            <w:shd w:val="clear" w:color="auto" w:fill="auto"/>
          </w:tcPr>
          <w:p w14:paraId="33DAB656" w14:textId="77777777" w:rsidR="004D6A64" w:rsidRDefault="004D6A64">
            <w:pPr>
              <w:rPr>
                <w:rFonts w:ascii="宋体"/>
              </w:rPr>
            </w:pPr>
          </w:p>
        </w:tc>
        <w:tc>
          <w:tcPr>
            <w:tcW w:w="0" w:type="auto"/>
            <w:shd w:val="clear" w:color="auto" w:fill="auto"/>
          </w:tcPr>
          <w:p w14:paraId="33DAB657" w14:textId="77777777" w:rsidR="004D6A64" w:rsidRDefault="004D6A64">
            <w:pPr>
              <w:rPr>
                <w:rFonts w:ascii="宋体"/>
              </w:rPr>
            </w:pPr>
          </w:p>
        </w:tc>
        <w:tc>
          <w:tcPr>
            <w:tcW w:w="0" w:type="auto"/>
            <w:shd w:val="clear" w:color="auto" w:fill="auto"/>
          </w:tcPr>
          <w:p w14:paraId="33DAB658" w14:textId="77777777" w:rsidR="004D6A64" w:rsidRDefault="004D6A64">
            <w:pPr>
              <w:rPr>
                <w:rFonts w:ascii="宋体"/>
              </w:rPr>
            </w:pPr>
          </w:p>
        </w:tc>
        <w:tc>
          <w:tcPr>
            <w:tcW w:w="0" w:type="auto"/>
            <w:shd w:val="clear" w:color="auto" w:fill="auto"/>
          </w:tcPr>
          <w:p w14:paraId="33DAB659" w14:textId="77777777" w:rsidR="004D6A64" w:rsidRDefault="004D6A64">
            <w:pPr>
              <w:rPr>
                <w:rFonts w:ascii="宋体"/>
              </w:rPr>
            </w:pPr>
          </w:p>
        </w:tc>
        <w:tc>
          <w:tcPr>
            <w:tcW w:w="0" w:type="auto"/>
            <w:shd w:val="clear" w:color="auto" w:fill="auto"/>
          </w:tcPr>
          <w:p w14:paraId="33DAB65A" w14:textId="77777777" w:rsidR="004D6A64" w:rsidRDefault="004D6A64">
            <w:pPr>
              <w:rPr>
                <w:rFonts w:ascii="宋体"/>
              </w:rPr>
            </w:pPr>
          </w:p>
        </w:tc>
        <w:tc>
          <w:tcPr>
            <w:tcW w:w="0" w:type="auto"/>
            <w:shd w:val="clear" w:color="auto" w:fill="auto"/>
          </w:tcPr>
          <w:p w14:paraId="33DAB65B" w14:textId="77777777" w:rsidR="004D6A64" w:rsidRDefault="004D6A64">
            <w:pPr>
              <w:rPr>
                <w:rFonts w:ascii="宋体"/>
              </w:rPr>
            </w:pPr>
          </w:p>
        </w:tc>
      </w:tr>
      <w:tr w:rsidR="004D6A64" w14:paraId="33DAB669" w14:textId="77777777">
        <w:tc>
          <w:tcPr>
            <w:tcW w:w="0" w:type="auto"/>
            <w:gridSpan w:val="3"/>
            <w:shd w:val="clear" w:color="auto" w:fill="FFFFFF"/>
            <w:tcMar>
              <w:top w:w="40" w:type="dxa"/>
              <w:left w:w="465" w:type="dxa"/>
              <w:bottom w:w="40" w:type="dxa"/>
              <w:right w:w="20" w:type="dxa"/>
            </w:tcMar>
            <w:vAlign w:val="center"/>
          </w:tcPr>
          <w:p w14:paraId="33DAB65D" w14:textId="77777777" w:rsidR="004D6A64" w:rsidRDefault="00506CD6">
            <w:pPr>
              <w:textAlignment w:val="center"/>
            </w:pPr>
            <w:r>
              <w:rPr>
                <w:rFonts w:ascii="Times New Roman" w:eastAsia="宋体" w:hAnsi="Times New Roman"/>
                <w:color w:val="000000"/>
                <w:sz w:val="20"/>
                <w:szCs w:val="20"/>
              </w:rPr>
              <w:t>Unamortized discount, net of unamortized premium</w:t>
            </w:r>
          </w:p>
        </w:tc>
        <w:tc>
          <w:tcPr>
            <w:tcW w:w="0" w:type="auto"/>
            <w:gridSpan w:val="2"/>
            <w:shd w:val="clear" w:color="auto" w:fill="FFFFFF"/>
            <w:tcMar>
              <w:top w:w="40" w:type="dxa"/>
              <w:left w:w="20" w:type="dxa"/>
              <w:bottom w:w="40" w:type="dxa"/>
              <w:right w:w="0" w:type="dxa"/>
            </w:tcMar>
            <w:vAlign w:val="center"/>
          </w:tcPr>
          <w:p w14:paraId="33DAB65E" w14:textId="77777777" w:rsidR="004D6A64" w:rsidRDefault="00506CD6">
            <w:pPr>
              <w:jc w:val="right"/>
              <w:textAlignment w:val="center"/>
            </w:pPr>
            <w:r>
              <w:rPr>
                <w:rFonts w:ascii="Times New Roman" w:eastAsia="宋体" w:hAnsi="Times New Roman"/>
                <w:color w:val="000000"/>
                <w:sz w:val="20"/>
                <w:szCs w:val="20"/>
              </w:rPr>
              <w:t>(226)</w:t>
            </w:r>
          </w:p>
        </w:tc>
        <w:tc>
          <w:tcPr>
            <w:tcW w:w="0" w:type="auto"/>
            <w:shd w:val="clear" w:color="auto" w:fill="FFFFFF"/>
            <w:tcMar>
              <w:top w:w="40" w:type="dxa"/>
              <w:bottom w:w="40" w:type="dxa"/>
              <w:right w:w="20" w:type="dxa"/>
            </w:tcMar>
            <w:vAlign w:val="center"/>
          </w:tcPr>
          <w:p w14:paraId="33DAB65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66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B661" w14:textId="77777777" w:rsidR="004D6A64" w:rsidRDefault="00506CD6">
            <w:pPr>
              <w:jc w:val="right"/>
              <w:textAlignment w:val="center"/>
            </w:pPr>
            <w:r>
              <w:rPr>
                <w:rFonts w:ascii="Times New Roman" w:eastAsia="宋体" w:hAnsi="Times New Roman"/>
                <w:color w:val="000000"/>
                <w:sz w:val="20"/>
                <w:szCs w:val="20"/>
              </w:rPr>
              <w:t>(241)</w:t>
            </w:r>
          </w:p>
        </w:tc>
        <w:tc>
          <w:tcPr>
            <w:tcW w:w="0" w:type="auto"/>
            <w:shd w:val="clear" w:color="auto" w:fill="FFFFFF"/>
            <w:tcMar>
              <w:top w:w="40" w:type="dxa"/>
              <w:bottom w:w="40" w:type="dxa"/>
              <w:right w:w="20" w:type="dxa"/>
            </w:tcMar>
            <w:vAlign w:val="center"/>
          </w:tcPr>
          <w:p w14:paraId="33DAB662" w14:textId="77777777" w:rsidR="004D6A64" w:rsidRDefault="004D6A64">
            <w:pPr>
              <w:jc w:val="right"/>
              <w:rPr>
                <w:rFonts w:ascii="宋体"/>
              </w:rPr>
            </w:pPr>
          </w:p>
        </w:tc>
        <w:tc>
          <w:tcPr>
            <w:tcW w:w="0" w:type="auto"/>
            <w:shd w:val="clear" w:color="auto" w:fill="auto"/>
          </w:tcPr>
          <w:p w14:paraId="33DAB663" w14:textId="77777777" w:rsidR="004D6A64" w:rsidRDefault="004D6A64">
            <w:pPr>
              <w:rPr>
                <w:rFonts w:ascii="宋体"/>
              </w:rPr>
            </w:pPr>
          </w:p>
        </w:tc>
        <w:tc>
          <w:tcPr>
            <w:tcW w:w="0" w:type="auto"/>
            <w:shd w:val="clear" w:color="auto" w:fill="auto"/>
          </w:tcPr>
          <w:p w14:paraId="33DAB664" w14:textId="77777777" w:rsidR="004D6A64" w:rsidRDefault="004D6A64">
            <w:pPr>
              <w:rPr>
                <w:rFonts w:ascii="宋体"/>
              </w:rPr>
            </w:pPr>
          </w:p>
        </w:tc>
        <w:tc>
          <w:tcPr>
            <w:tcW w:w="0" w:type="auto"/>
            <w:shd w:val="clear" w:color="auto" w:fill="auto"/>
          </w:tcPr>
          <w:p w14:paraId="33DAB665" w14:textId="77777777" w:rsidR="004D6A64" w:rsidRDefault="004D6A64">
            <w:pPr>
              <w:rPr>
                <w:rFonts w:ascii="宋体"/>
              </w:rPr>
            </w:pPr>
          </w:p>
        </w:tc>
        <w:tc>
          <w:tcPr>
            <w:tcW w:w="0" w:type="auto"/>
            <w:shd w:val="clear" w:color="auto" w:fill="auto"/>
          </w:tcPr>
          <w:p w14:paraId="33DAB666" w14:textId="77777777" w:rsidR="004D6A64" w:rsidRDefault="004D6A64">
            <w:pPr>
              <w:rPr>
                <w:rFonts w:ascii="宋体"/>
              </w:rPr>
            </w:pPr>
          </w:p>
        </w:tc>
        <w:tc>
          <w:tcPr>
            <w:tcW w:w="0" w:type="auto"/>
            <w:shd w:val="clear" w:color="auto" w:fill="auto"/>
          </w:tcPr>
          <w:p w14:paraId="33DAB667" w14:textId="77777777" w:rsidR="004D6A64" w:rsidRDefault="004D6A64">
            <w:pPr>
              <w:rPr>
                <w:rFonts w:ascii="宋体"/>
              </w:rPr>
            </w:pPr>
          </w:p>
        </w:tc>
        <w:tc>
          <w:tcPr>
            <w:tcW w:w="0" w:type="auto"/>
            <w:shd w:val="clear" w:color="auto" w:fill="auto"/>
          </w:tcPr>
          <w:p w14:paraId="33DAB668" w14:textId="77777777" w:rsidR="004D6A64" w:rsidRDefault="004D6A64">
            <w:pPr>
              <w:rPr>
                <w:rFonts w:ascii="宋体"/>
              </w:rPr>
            </w:pPr>
          </w:p>
        </w:tc>
      </w:tr>
      <w:tr w:rsidR="004D6A64" w14:paraId="33DAB676" w14:textId="77777777">
        <w:tc>
          <w:tcPr>
            <w:tcW w:w="0" w:type="auto"/>
            <w:gridSpan w:val="3"/>
            <w:shd w:val="clear" w:color="auto" w:fill="CCEEFF"/>
            <w:tcMar>
              <w:top w:w="40" w:type="dxa"/>
              <w:left w:w="465" w:type="dxa"/>
              <w:bottom w:w="40" w:type="dxa"/>
              <w:right w:w="20" w:type="dxa"/>
            </w:tcMar>
            <w:vAlign w:val="center"/>
          </w:tcPr>
          <w:p w14:paraId="33DAB66A" w14:textId="77777777" w:rsidR="004D6A64" w:rsidRDefault="00506CD6">
            <w:pPr>
              <w:textAlignment w:val="center"/>
            </w:pPr>
            <w:r>
              <w:rPr>
                <w:rFonts w:ascii="Times New Roman" w:eastAsia="宋体" w:hAnsi="Times New Roman"/>
                <w:color w:val="000000"/>
                <w:sz w:val="20"/>
                <w:szCs w:val="20"/>
              </w:rPr>
              <w:t>Debt issuance costs</w:t>
            </w:r>
          </w:p>
        </w:tc>
        <w:tc>
          <w:tcPr>
            <w:tcW w:w="0" w:type="auto"/>
            <w:gridSpan w:val="2"/>
            <w:shd w:val="clear" w:color="auto" w:fill="CCEEFF"/>
            <w:tcMar>
              <w:top w:w="40" w:type="dxa"/>
              <w:left w:w="20" w:type="dxa"/>
              <w:bottom w:w="40" w:type="dxa"/>
              <w:right w:w="0" w:type="dxa"/>
            </w:tcMar>
            <w:vAlign w:val="center"/>
          </w:tcPr>
          <w:p w14:paraId="33DAB66B" w14:textId="77777777" w:rsidR="004D6A64" w:rsidRDefault="00506CD6">
            <w:pPr>
              <w:jc w:val="right"/>
              <w:textAlignment w:val="center"/>
            </w:pPr>
            <w:r>
              <w:rPr>
                <w:rFonts w:ascii="Times New Roman" w:eastAsia="宋体" w:hAnsi="Times New Roman"/>
                <w:color w:val="000000"/>
                <w:sz w:val="20"/>
                <w:szCs w:val="20"/>
              </w:rPr>
              <w:t>(358)</w:t>
            </w:r>
          </w:p>
        </w:tc>
        <w:tc>
          <w:tcPr>
            <w:tcW w:w="0" w:type="auto"/>
            <w:shd w:val="clear" w:color="auto" w:fill="CCEEFF"/>
            <w:tcMar>
              <w:top w:w="40" w:type="dxa"/>
              <w:bottom w:w="40" w:type="dxa"/>
              <w:right w:w="20" w:type="dxa"/>
            </w:tcMar>
            <w:vAlign w:val="center"/>
          </w:tcPr>
          <w:p w14:paraId="33DAB66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66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B66E" w14:textId="77777777" w:rsidR="004D6A64" w:rsidRDefault="00506CD6">
            <w:pPr>
              <w:jc w:val="right"/>
              <w:textAlignment w:val="center"/>
            </w:pPr>
            <w:r>
              <w:rPr>
                <w:rFonts w:ascii="Times New Roman" w:eastAsia="宋体" w:hAnsi="Times New Roman"/>
                <w:color w:val="000000"/>
                <w:sz w:val="20"/>
                <w:szCs w:val="20"/>
              </w:rPr>
              <w:t>(368)</w:t>
            </w:r>
          </w:p>
        </w:tc>
        <w:tc>
          <w:tcPr>
            <w:tcW w:w="0" w:type="auto"/>
            <w:shd w:val="clear" w:color="auto" w:fill="CCEEFF"/>
            <w:tcMar>
              <w:top w:w="40" w:type="dxa"/>
              <w:bottom w:w="40" w:type="dxa"/>
              <w:right w:w="20" w:type="dxa"/>
            </w:tcMar>
            <w:vAlign w:val="center"/>
          </w:tcPr>
          <w:p w14:paraId="33DAB66F" w14:textId="77777777" w:rsidR="004D6A64" w:rsidRDefault="004D6A64">
            <w:pPr>
              <w:jc w:val="right"/>
              <w:rPr>
                <w:rFonts w:ascii="宋体"/>
              </w:rPr>
            </w:pPr>
          </w:p>
        </w:tc>
        <w:tc>
          <w:tcPr>
            <w:tcW w:w="0" w:type="auto"/>
            <w:shd w:val="clear" w:color="auto" w:fill="auto"/>
          </w:tcPr>
          <w:p w14:paraId="33DAB670" w14:textId="77777777" w:rsidR="004D6A64" w:rsidRDefault="004D6A64">
            <w:pPr>
              <w:rPr>
                <w:rFonts w:ascii="宋体"/>
              </w:rPr>
            </w:pPr>
          </w:p>
        </w:tc>
        <w:tc>
          <w:tcPr>
            <w:tcW w:w="0" w:type="auto"/>
            <w:shd w:val="clear" w:color="auto" w:fill="auto"/>
          </w:tcPr>
          <w:p w14:paraId="33DAB671" w14:textId="77777777" w:rsidR="004D6A64" w:rsidRDefault="004D6A64">
            <w:pPr>
              <w:rPr>
                <w:rFonts w:ascii="宋体"/>
              </w:rPr>
            </w:pPr>
          </w:p>
        </w:tc>
        <w:tc>
          <w:tcPr>
            <w:tcW w:w="0" w:type="auto"/>
            <w:shd w:val="clear" w:color="auto" w:fill="auto"/>
          </w:tcPr>
          <w:p w14:paraId="33DAB672" w14:textId="77777777" w:rsidR="004D6A64" w:rsidRDefault="004D6A64">
            <w:pPr>
              <w:rPr>
                <w:rFonts w:ascii="宋体"/>
              </w:rPr>
            </w:pPr>
          </w:p>
        </w:tc>
        <w:tc>
          <w:tcPr>
            <w:tcW w:w="0" w:type="auto"/>
            <w:shd w:val="clear" w:color="auto" w:fill="auto"/>
          </w:tcPr>
          <w:p w14:paraId="33DAB673" w14:textId="77777777" w:rsidR="004D6A64" w:rsidRDefault="004D6A64">
            <w:pPr>
              <w:rPr>
                <w:rFonts w:ascii="宋体"/>
              </w:rPr>
            </w:pPr>
          </w:p>
        </w:tc>
        <w:tc>
          <w:tcPr>
            <w:tcW w:w="0" w:type="auto"/>
            <w:shd w:val="clear" w:color="auto" w:fill="auto"/>
          </w:tcPr>
          <w:p w14:paraId="33DAB674" w14:textId="77777777" w:rsidR="004D6A64" w:rsidRDefault="004D6A64">
            <w:pPr>
              <w:rPr>
                <w:rFonts w:ascii="宋体"/>
              </w:rPr>
            </w:pPr>
          </w:p>
        </w:tc>
        <w:tc>
          <w:tcPr>
            <w:tcW w:w="0" w:type="auto"/>
            <w:shd w:val="clear" w:color="auto" w:fill="auto"/>
          </w:tcPr>
          <w:p w14:paraId="33DAB675" w14:textId="77777777" w:rsidR="004D6A64" w:rsidRDefault="004D6A64">
            <w:pPr>
              <w:rPr>
                <w:rFonts w:ascii="宋体"/>
              </w:rPr>
            </w:pPr>
          </w:p>
        </w:tc>
      </w:tr>
      <w:tr w:rsidR="004D6A64" w14:paraId="33DAB685" w14:textId="77777777">
        <w:tc>
          <w:tcPr>
            <w:tcW w:w="0" w:type="auto"/>
            <w:gridSpan w:val="3"/>
            <w:shd w:val="clear" w:color="auto" w:fill="FFFFFF"/>
            <w:tcMar>
              <w:top w:w="40" w:type="dxa"/>
              <w:left w:w="360" w:type="dxa"/>
              <w:bottom w:w="40" w:type="dxa"/>
              <w:right w:w="20" w:type="dxa"/>
            </w:tcMar>
            <w:vAlign w:val="center"/>
          </w:tcPr>
          <w:p w14:paraId="33DAB677" w14:textId="77777777" w:rsidR="004D6A64" w:rsidRDefault="00506CD6">
            <w:pPr>
              <w:textAlignment w:val="center"/>
            </w:pPr>
            <w:r>
              <w:rPr>
                <w:rFonts w:ascii="Times New Roman" w:eastAsia="宋体" w:hAnsi="Times New Roman"/>
                <w:b/>
                <w:bCs/>
                <w:color w:val="000000"/>
                <w:sz w:val="20"/>
                <w:szCs w:val="20"/>
              </w:rPr>
              <w:t>Total debt, carrying value</w:t>
            </w:r>
          </w:p>
        </w:tc>
        <w:tc>
          <w:tcPr>
            <w:tcW w:w="0" w:type="auto"/>
            <w:tcBorders>
              <w:top w:val="single" w:sz="8" w:space="0" w:color="000000"/>
            </w:tcBorders>
            <w:shd w:val="clear" w:color="auto" w:fill="FFFFFF"/>
            <w:tcMar>
              <w:top w:w="40" w:type="dxa"/>
              <w:left w:w="20" w:type="dxa"/>
              <w:bottom w:w="40" w:type="dxa"/>
            </w:tcMar>
            <w:vAlign w:val="center"/>
          </w:tcPr>
          <w:p w14:paraId="33DAB678"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B679" w14:textId="77777777" w:rsidR="004D6A64" w:rsidRDefault="00506CD6">
            <w:pPr>
              <w:jc w:val="right"/>
              <w:textAlignment w:val="center"/>
            </w:pPr>
            <w:r>
              <w:rPr>
                <w:rFonts w:ascii="Times New Roman" w:eastAsia="宋体" w:hAnsi="Times New Roman"/>
                <w:color w:val="000000"/>
                <w:sz w:val="20"/>
                <w:szCs w:val="20"/>
              </w:rPr>
              <w:t>53,953 </w:t>
            </w:r>
          </w:p>
        </w:tc>
        <w:tc>
          <w:tcPr>
            <w:tcW w:w="0" w:type="auto"/>
            <w:tcBorders>
              <w:top w:val="single" w:sz="8" w:space="0" w:color="000000"/>
            </w:tcBorders>
            <w:shd w:val="clear" w:color="auto" w:fill="FFFFFF"/>
            <w:tcMar>
              <w:top w:w="40" w:type="dxa"/>
              <w:bottom w:w="40" w:type="dxa"/>
              <w:right w:w="20" w:type="dxa"/>
            </w:tcMar>
            <w:vAlign w:val="center"/>
          </w:tcPr>
          <w:p w14:paraId="33DAB67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67B"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B67C"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B67D" w14:textId="77777777" w:rsidR="004D6A64" w:rsidRDefault="00506CD6">
            <w:pPr>
              <w:jc w:val="right"/>
              <w:textAlignment w:val="center"/>
            </w:pPr>
            <w:r>
              <w:rPr>
                <w:rFonts w:ascii="Times New Roman" w:eastAsia="宋体" w:hAnsi="Times New Roman"/>
                <w:color w:val="000000"/>
                <w:sz w:val="20"/>
                <w:szCs w:val="20"/>
              </w:rPr>
              <w:t>52,056 </w:t>
            </w:r>
          </w:p>
        </w:tc>
        <w:tc>
          <w:tcPr>
            <w:tcW w:w="0" w:type="auto"/>
            <w:tcBorders>
              <w:top w:val="single" w:sz="8" w:space="0" w:color="000000"/>
            </w:tcBorders>
            <w:shd w:val="clear" w:color="auto" w:fill="FFFFFF"/>
            <w:tcMar>
              <w:top w:w="40" w:type="dxa"/>
              <w:bottom w:w="40" w:type="dxa"/>
              <w:right w:w="20" w:type="dxa"/>
            </w:tcMar>
            <w:vAlign w:val="center"/>
          </w:tcPr>
          <w:p w14:paraId="33DAB67E" w14:textId="77777777" w:rsidR="004D6A64" w:rsidRDefault="004D6A64">
            <w:pPr>
              <w:jc w:val="right"/>
              <w:rPr>
                <w:rFonts w:ascii="宋体"/>
              </w:rPr>
            </w:pPr>
          </w:p>
        </w:tc>
        <w:tc>
          <w:tcPr>
            <w:tcW w:w="0" w:type="auto"/>
            <w:shd w:val="clear" w:color="auto" w:fill="auto"/>
          </w:tcPr>
          <w:p w14:paraId="33DAB67F" w14:textId="77777777" w:rsidR="004D6A64" w:rsidRDefault="004D6A64">
            <w:pPr>
              <w:rPr>
                <w:rFonts w:ascii="宋体"/>
              </w:rPr>
            </w:pPr>
          </w:p>
        </w:tc>
        <w:tc>
          <w:tcPr>
            <w:tcW w:w="0" w:type="auto"/>
            <w:shd w:val="clear" w:color="auto" w:fill="auto"/>
          </w:tcPr>
          <w:p w14:paraId="33DAB680" w14:textId="77777777" w:rsidR="004D6A64" w:rsidRDefault="004D6A64">
            <w:pPr>
              <w:rPr>
                <w:rFonts w:ascii="宋体"/>
              </w:rPr>
            </w:pPr>
          </w:p>
        </w:tc>
        <w:tc>
          <w:tcPr>
            <w:tcW w:w="0" w:type="auto"/>
            <w:shd w:val="clear" w:color="auto" w:fill="auto"/>
          </w:tcPr>
          <w:p w14:paraId="33DAB681" w14:textId="77777777" w:rsidR="004D6A64" w:rsidRDefault="004D6A64">
            <w:pPr>
              <w:rPr>
                <w:rFonts w:ascii="宋体"/>
              </w:rPr>
            </w:pPr>
          </w:p>
        </w:tc>
        <w:tc>
          <w:tcPr>
            <w:tcW w:w="0" w:type="auto"/>
            <w:shd w:val="clear" w:color="auto" w:fill="auto"/>
          </w:tcPr>
          <w:p w14:paraId="33DAB682" w14:textId="77777777" w:rsidR="004D6A64" w:rsidRDefault="004D6A64">
            <w:pPr>
              <w:rPr>
                <w:rFonts w:ascii="宋体"/>
              </w:rPr>
            </w:pPr>
          </w:p>
        </w:tc>
        <w:tc>
          <w:tcPr>
            <w:tcW w:w="0" w:type="auto"/>
            <w:shd w:val="clear" w:color="auto" w:fill="auto"/>
          </w:tcPr>
          <w:p w14:paraId="33DAB683" w14:textId="77777777" w:rsidR="004D6A64" w:rsidRDefault="004D6A64">
            <w:pPr>
              <w:rPr>
                <w:rFonts w:ascii="宋体"/>
              </w:rPr>
            </w:pPr>
          </w:p>
        </w:tc>
        <w:tc>
          <w:tcPr>
            <w:tcW w:w="0" w:type="auto"/>
            <w:shd w:val="clear" w:color="auto" w:fill="auto"/>
          </w:tcPr>
          <w:p w14:paraId="33DAB684" w14:textId="77777777" w:rsidR="004D6A64" w:rsidRDefault="004D6A64">
            <w:pPr>
              <w:rPr>
                <w:rFonts w:ascii="宋体"/>
              </w:rPr>
            </w:pPr>
          </w:p>
        </w:tc>
      </w:tr>
      <w:tr w:rsidR="004D6A64" w14:paraId="33DAB694" w14:textId="77777777">
        <w:tc>
          <w:tcPr>
            <w:tcW w:w="0" w:type="auto"/>
            <w:gridSpan w:val="3"/>
            <w:shd w:val="clear" w:color="auto" w:fill="CCEEFF"/>
            <w:tcMar>
              <w:top w:w="40" w:type="dxa"/>
              <w:left w:w="495" w:type="dxa"/>
              <w:bottom w:w="40" w:type="dxa"/>
              <w:right w:w="20" w:type="dxa"/>
            </w:tcMar>
            <w:vAlign w:val="center"/>
          </w:tcPr>
          <w:p w14:paraId="33DAB686" w14:textId="77777777" w:rsidR="004D6A64" w:rsidRDefault="00506CD6">
            <w:pPr>
              <w:textAlignment w:val="center"/>
            </w:pPr>
            <w:r>
              <w:rPr>
                <w:rFonts w:ascii="Times New Roman" w:eastAsia="宋体" w:hAnsi="Times New Roman"/>
                <w:b/>
                <w:bCs/>
                <w:color w:val="000000"/>
                <w:sz w:val="20"/>
                <w:szCs w:val="20"/>
              </w:rPr>
              <w:t>Total short-term debt, carrying value</w:t>
            </w:r>
          </w:p>
        </w:tc>
        <w:tc>
          <w:tcPr>
            <w:tcW w:w="0" w:type="auto"/>
            <w:tcBorders>
              <w:top w:val="double" w:sz="6" w:space="0" w:color="000000"/>
            </w:tcBorders>
            <w:shd w:val="clear" w:color="auto" w:fill="CCEEFF"/>
            <w:tcMar>
              <w:top w:w="40" w:type="dxa"/>
              <w:left w:w="20" w:type="dxa"/>
              <w:bottom w:w="40" w:type="dxa"/>
            </w:tcMar>
            <w:vAlign w:val="center"/>
          </w:tcPr>
          <w:p w14:paraId="33DAB687" w14:textId="77777777" w:rsidR="004D6A64" w:rsidRDefault="00506CD6">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bottom w:w="40" w:type="dxa"/>
              <w:right w:w="0" w:type="dxa"/>
            </w:tcMar>
            <w:vAlign w:val="center"/>
          </w:tcPr>
          <w:p w14:paraId="33DAB688" w14:textId="77777777" w:rsidR="004D6A64" w:rsidRDefault="00506CD6">
            <w:pPr>
              <w:jc w:val="right"/>
              <w:textAlignment w:val="center"/>
            </w:pPr>
            <w:r>
              <w:rPr>
                <w:rFonts w:ascii="Times New Roman" w:eastAsia="宋体" w:hAnsi="Times New Roman"/>
                <w:color w:val="000000"/>
                <w:sz w:val="20"/>
                <w:szCs w:val="20"/>
              </w:rPr>
              <w:t>10,345 </w:t>
            </w:r>
          </w:p>
        </w:tc>
        <w:tc>
          <w:tcPr>
            <w:tcW w:w="0" w:type="auto"/>
            <w:tcBorders>
              <w:top w:val="double" w:sz="6" w:space="0" w:color="000000"/>
            </w:tcBorders>
            <w:shd w:val="clear" w:color="auto" w:fill="CCEEFF"/>
            <w:tcMar>
              <w:top w:w="40" w:type="dxa"/>
              <w:bottom w:w="40" w:type="dxa"/>
              <w:right w:w="20" w:type="dxa"/>
            </w:tcMar>
            <w:vAlign w:val="center"/>
          </w:tcPr>
          <w:p w14:paraId="33DAB689"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68A" w14:textId="77777777" w:rsidR="004D6A64" w:rsidRDefault="004D6A64">
            <w:pPr>
              <w:rPr>
                <w:rFonts w:ascii="宋体"/>
              </w:rPr>
            </w:pPr>
          </w:p>
        </w:tc>
        <w:tc>
          <w:tcPr>
            <w:tcW w:w="0" w:type="auto"/>
            <w:tcBorders>
              <w:top w:val="double" w:sz="6" w:space="0" w:color="000000"/>
            </w:tcBorders>
            <w:shd w:val="clear" w:color="auto" w:fill="CCEEFF"/>
            <w:tcMar>
              <w:top w:w="40" w:type="dxa"/>
              <w:left w:w="20" w:type="dxa"/>
              <w:bottom w:w="40" w:type="dxa"/>
            </w:tcMar>
            <w:vAlign w:val="center"/>
          </w:tcPr>
          <w:p w14:paraId="33DAB68B" w14:textId="77777777" w:rsidR="004D6A64" w:rsidRDefault="00506CD6">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bottom w:w="40" w:type="dxa"/>
              <w:right w:w="0" w:type="dxa"/>
            </w:tcMar>
            <w:vAlign w:val="center"/>
          </w:tcPr>
          <w:p w14:paraId="33DAB68C" w14:textId="77777777" w:rsidR="004D6A64" w:rsidRDefault="00506CD6">
            <w:pPr>
              <w:jc w:val="right"/>
              <w:textAlignment w:val="center"/>
            </w:pPr>
            <w:r>
              <w:rPr>
                <w:rFonts w:ascii="Times New Roman" w:eastAsia="宋体" w:hAnsi="Times New Roman"/>
                <w:color w:val="000000"/>
                <w:sz w:val="20"/>
                <w:szCs w:val="20"/>
              </w:rPr>
              <w:t>7,737 </w:t>
            </w:r>
          </w:p>
        </w:tc>
        <w:tc>
          <w:tcPr>
            <w:tcW w:w="0" w:type="auto"/>
            <w:tcBorders>
              <w:top w:val="double" w:sz="6" w:space="0" w:color="000000"/>
            </w:tcBorders>
            <w:shd w:val="clear" w:color="auto" w:fill="CCEEFF"/>
            <w:tcMar>
              <w:top w:w="40" w:type="dxa"/>
              <w:bottom w:w="40" w:type="dxa"/>
              <w:right w:w="20" w:type="dxa"/>
            </w:tcMar>
            <w:vAlign w:val="center"/>
          </w:tcPr>
          <w:p w14:paraId="33DAB68D" w14:textId="77777777" w:rsidR="004D6A64" w:rsidRDefault="004D6A64">
            <w:pPr>
              <w:jc w:val="right"/>
              <w:rPr>
                <w:rFonts w:ascii="宋体"/>
              </w:rPr>
            </w:pPr>
          </w:p>
        </w:tc>
        <w:tc>
          <w:tcPr>
            <w:tcW w:w="0" w:type="auto"/>
            <w:shd w:val="clear" w:color="auto" w:fill="auto"/>
          </w:tcPr>
          <w:p w14:paraId="33DAB68E" w14:textId="77777777" w:rsidR="004D6A64" w:rsidRDefault="004D6A64">
            <w:pPr>
              <w:rPr>
                <w:rFonts w:ascii="宋体"/>
              </w:rPr>
            </w:pPr>
          </w:p>
        </w:tc>
        <w:tc>
          <w:tcPr>
            <w:tcW w:w="0" w:type="auto"/>
            <w:shd w:val="clear" w:color="auto" w:fill="auto"/>
          </w:tcPr>
          <w:p w14:paraId="33DAB68F" w14:textId="77777777" w:rsidR="004D6A64" w:rsidRDefault="004D6A64">
            <w:pPr>
              <w:rPr>
                <w:rFonts w:ascii="宋体"/>
              </w:rPr>
            </w:pPr>
          </w:p>
        </w:tc>
        <w:tc>
          <w:tcPr>
            <w:tcW w:w="0" w:type="auto"/>
            <w:shd w:val="clear" w:color="auto" w:fill="auto"/>
          </w:tcPr>
          <w:p w14:paraId="33DAB690" w14:textId="77777777" w:rsidR="004D6A64" w:rsidRDefault="004D6A64">
            <w:pPr>
              <w:rPr>
                <w:rFonts w:ascii="宋体"/>
              </w:rPr>
            </w:pPr>
          </w:p>
        </w:tc>
        <w:tc>
          <w:tcPr>
            <w:tcW w:w="0" w:type="auto"/>
            <w:shd w:val="clear" w:color="auto" w:fill="auto"/>
          </w:tcPr>
          <w:p w14:paraId="33DAB691" w14:textId="77777777" w:rsidR="004D6A64" w:rsidRDefault="004D6A64">
            <w:pPr>
              <w:rPr>
                <w:rFonts w:ascii="宋体"/>
              </w:rPr>
            </w:pPr>
          </w:p>
        </w:tc>
        <w:tc>
          <w:tcPr>
            <w:tcW w:w="0" w:type="auto"/>
            <w:shd w:val="clear" w:color="auto" w:fill="auto"/>
          </w:tcPr>
          <w:p w14:paraId="33DAB692" w14:textId="77777777" w:rsidR="004D6A64" w:rsidRDefault="004D6A64">
            <w:pPr>
              <w:rPr>
                <w:rFonts w:ascii="宋体"/>
              </w:rPr>
            </w:pPr>
          </w:p>
        </w:tc>
        <w:tc>
          <w:tcPr>
            <w:tcW w:w="0" w:type="auto"/>
            <w:shd w:val="clear" w:color="auto" w:fill="auto"/>
          </w:tcPr>
          <w:p w14:paraId="33DAB693" w14:textId="77777777" w:rsidR="004D6A64" w:rsidRDefault="004D6A64">
            <w:pPr>
              <w:rPr>
                <w:rFonts w:ascii="宋体"/>
              </w:rPr>
            </w:pPr>
          </w:p>
        </w:tc>
      </w:tr>
      <w:tr w:rsidR="004D6A64" w14:paraId="33DAB6A3" w14:textId="77777777">
        <w:tc>
          <w:tcPr>
            <w:tcW w:w="0" w:type="auto"/>
            <w:gridSpan w:val="3"/>
            <w:shd w:val="clear" w:color="auto" w:fill="FFFFFF"/>
            <w:tcMar>
              <w:top w:w="40" w:type="dxa"/>
              <w:left w:w="495" w:type="dxa"/>
              <w:bottom w:w="40" w:type="dxa"/>
              <w:right w:w="20" w:type="dxa"/>
            </w:tcMar>
            <w:vAlign w:val="center"/>
          </w:tcPr>
          <w:p w14:paraId="33DAB695" w14:textId="77777777" w:rsidR="004D6A64" w:rsidRDefault="00506CD6">
            <w:pPr>
              <w:textAlignment w:val="center"/>
            </w:pPr>
            <w:r>
              <w:rPr>
                <w:rFonts w:ascii="Times New Roman" w:eastAsia="宋体" w:hAnsi="Times New Roman"/>
                <w:b/>
                <w:bCs/>
                <w:color w:val="000000"/>
                <w:sz w:val="20"/>
                <w:szCs w:val="20"/>
              </w:rPr>
              <w:t>Total long-term debt, carrying value</w:t>
            </w:r>
          </w:p>
        </w:tc>
        <w:tc>
          <w:tcPr>
            <w:tcW w:w="0" w:type="auto"/>
            <w:shd w:val="clear" w:color="auto" w:fill="FFFFFF"/>
            <w:tcMar>
              <w:top w:w="40" w:type="dxa"/>
              <w:left w:w="20" w:type="dxa"/>
              <w:bottom w:w="40" w:type="dxa"/>
            </w:tcMar>
            <w:vAlign w:val="center"/>
          </w:tcPr>
          <w:p w14:paraId="33DAB696"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B697" w14:textId="77777777" w:rsidR="004D6A64" w:rsidRDefault="00506CD6">
            <w:pPr>
              <w:jc w:val="right"/>
              <w:textAlignment w:val="center"/>
            </w:pPr>
            <w:r>
              <w:rPr>
                <w:rFonts w:ascii="Times New Roman" w:eastAsia="宋体" w:hAnsi="Times New Roman"/>
                <w:color w:val="000000"/>
                <w:sz w:val="20"/>
                <w:szCs w:val="20"/>
              </w:rPr>
              <w:t>43,608 </w:t>
            </w:r>
          </w:p>
        </w:tc>
        <w:tc>
          <w:tcPr>
            <w:tcW w:w="0" w:type="auto"/>
            <w:shd w:val="clear" w:color="auto" w:fill="FFFFFF"/>
            <w:tcMar>
              <w:top w:w="40" w:type="dxa"/>
              <w:bottom w:w="40" w:type="dxa"/>
              <w:right w:w="20" w:type="dxa"/>
            </w:tcMar>
            <w:vAlign w:val="center"/>
          </w:tcPr>
          <w:p w14:paraId="33DAB69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699"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B69A"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B69B" w14:textId="77777777" w:rsidR="004D6A64" w:rsidRDefault="00506CD6">
            <w:pPr>
              <w:jc w:val="right"/>
              <w:textAlignment w:val="center"/>
            </w:pPr>
            <w:r>
              <w:rPr>
                <w:rFonts w:ascii="Times New Roman" w:eastAsia="宋体" w:hAnsi="Times New Roman"/>
                <w:color w:val="000000"/>
                <w:sz w:val="20"/>
                <w:szCs w:val="20"/>
              </w:rPr>
              <w:t>44,319 </w:t>
            </w:r>
          </w:p>
        </w:tc>
        <w:tc>
          <w:tcPr>
            <w:tcW w:w="0" w:type="auto"/>
            <w:shd w:val="clear" w:color="auto" w:fill="FFFFFF"/>
            <w:tcMar>
              <w:top w:w="40" w:type="dxa"/>
              <w:bottom w:w="40" w:type="dxa"/>
              <w:right w:w="20" w:type="dxa"/>
            </w:tcMar>
            <w:vAlign w:val="center"/>
          </w:tcPr>
          <w:p w14:paraId="33DAB69C" w14:textId="77777777" w:rsidR="004D6A64" w:rsidRDefault="004D6A64">
            <w:pPr>
              <w:jc w:val="right"/>
              <w:rPr>
                <w:rFonts w:ascii="宋体"/>
              </w:rPr>
            </w:pPr>
          </w:p>
        </w:tc>
        <w:tc>
          <w:tcPr>
            <w:tcW w:w="0" w:type="auto"/>
            <w:shd w:val="clear" w:color="auto" w:fill="auto"/>
          </w:tcPr>
          <w:p w14:paraId="33DAB69D" w14:textId="77777777" w:rsidR="004D6A64" w:rsidRDefault="004D6A64">
            <w:pPr>
              <w:rPr>
                <w:rFonts w:ascii="宋体"/>
              </w:rPr>
            </w:pPr>
          </w:p>
        </w:tc>
        <w:tc>
          <w:tcPr>
            <w:tcW w:w="0" w:type="auto"/>
            <w:shd w:val="clear" w:color="auto" w:fill="auto"/>
          </w:tcPr>
          <w:p w14:paraId="33DAB69E" w14:textId="77777777" w:rsidR="004D6A64" w:rsidRDefault="004D6A64">
            <w:pPr>
              <w:rPr>
                <w:rFonts w:ascii="宋体"/>
              </w:rPr>
            </w:pPr>
          </w:p>
        </w:tc>
        <w:tc>
          <w:tcPr>
            <w:tcW w:w="0" w:type="auto"/>
            <w:shd w:val="clear" w:color="auto" w:fill="auto"/>
          </w:tcPr>
          <w:p w14:paraId="33DAB69F" w14:textId="77777777" w:rsidR="004D6A64" w:rsidRDefault="004D6A64">
            <w:pPr>
              <w:rPr>
                <w:rFonts w:ascii="宋体"/>
              </w:rPr>
            </w:pPr>
          </w:p>
        </w:tc>
        <w:tc>
          <w:tcPr>
            <w:tcW w:w="0" w:type="auto"/>
            <w:shd w:val="clear" w:color="auto" w:fill="auto"/>
          </w:tcPr>
          <w:p w14:paraId="33DAB6A0" w14:textId="77777777" w:rsidR="004D6A64" w:rsidRDefault="004D6A64">
            <w:pPr>
              <w:rPr>
                <w:rFonts w:ascii="宋体"/>
              </w:rPr>
            </w:pPr>
          </w:p>
        </w:tc>
        <w:tc>
          <w:tcPr>
            <w:tcW w:w="0" w:type="auto"/>
            <w:shd w:val="clear" w:color="auto" w:fill="auto"/>
          </w:tcPr>
          <w:p w14:paraId="33DAB6A1" w14:textId="77777777" w:rsidR="004D6A64" w:rsidRDefault="004D6A64">
            <w:pPr>
              <w:rPr>
                <w:rFonts w:ascii="宋体"/>
              </w:rPr>
            </w:pPr>
          </w:p>
        </w:tc>
        <w:tc>
          <w:tcPr>
            <w:tcW w:w="0" w:type="auto"/>
            <w:shd w:val="clear" w:color="auto" w:fill="auto"/>
          </w:tcPr>
          <w:p w14:paraId="33DAB6A2" w14:textId="77777777" w:rsidR="004D6A64" w:rsidRDefault="004D6A64">
            <w:pPr>
              <w:rPr>
                <w:rFonts w:ascii="宋体"/>
              </w:rPr>
            </w:pPr>
          </w:p>
        </w:tc>
      </w:tr>
    </w:tbl>
    <w:p w14:paraId="33DAB6A4" w14:textId="77777777" w:rsidR="004D6A64" w:rsidRDefault="00506CD6">
      <w:r>
        <w:rPr>
          <w:rFonts w:ascii="Times New Roman" w:eastAsia="宋体" w:hAnsi="Times New Roman"/>
          <w:color w:val="000000"/>
          <w:sz w:val="20"/>
          <w:szCs w:val="20"/>
        </w:rPr>
        <w:t xml:space="preserve">During the six months ended July 31, 2020, the net </w:t>
      </w:r>
      <w:r>
        <w:rPr>
          <w:rFonts w:ascii="Times New Roman" w:eastAsia="宋体" w:hAnsi="Times New Roman"/>
          <w:color w:val="000000"/>
          <w:sz w:val="20"/>
          <w:szCs w:val="20"/>
        </w:rPr>
        <w:t xml:space="preserve">increase in the Company’s debt balance was primarily due to new issuances of $2.25 billion of First Lien Notes on April 9, 2020 and $2.0 billion of VMware Notes on April 7, 2020, both described below, and the incurrence of an additional $1.1 billion, net, </w:t>
      </w:r>
      <w:r>
        <w:rPr>
          <w:rFonts w:ascii="Times New Roman" w:eastAsia="宋体" w:hAnsi="Times New Roman"/>
          <w:color w:val="000000"/>
          <w:sz w:val="20"/>
          <w:szCs w:val="20"/>
        </w:rPr>
        <w:t>in DFS debt to support the expansion of its financing receivables portfolio. These increases were partially offset by repayment of $1.2 billion and open market repurchases of $235 million of 4.42% First Lien Notes due June 2021, repayment of $600 million p</w:t>
      </w:r>
      <w:r>
        <w:rPr>
          <w:rFonts w:ascii="Times New Roman" w:eastAsia="宋体" w:hAnsi="Times New Roman"/>
          <w:color w:val="000000"/>
          <w:sz w:val="20"/>
          <w:szCs w:val="20"/>
        </w:rPr>
        <w:t>rincipal amount of 2.650% EMC Notes due June 2020 upon maturity, approximately $229 million of principal amortization under the Company’s term loan facilities, and repayment of $1.25 billion principal amount of 2.30% VMware Notes due August 2020.</w:t>
      </w:r>
    </w:p>
    <w:p w14:paraId="33DAB6A5" w14:textId="77777777" w:rsidR="004D6A64" w:rsidRDefault="004D6A64"/>
    <w:p w14:paraId="33DAB6A6" w14:textId="77777777" w:rsidR="004D6A64" w:rsidRDefault="00506CD6">
      <w:r>
        <w:rPr>
          <w:rFonts w:ascii="Times New Roman" w:eastAsia="宋体" w:hAnsi="Times New Roman"/>
          <w:b/>
          <w:bCs/>
          <w:color w:val="000000"/>
          <w:sz w:val="20"/>
          <w:szCs w:val="20"/>
        </w:rPr>
        <w:t xml:space="preserve">Secured </w:t>
      </w:r>
      <w:r>
        <w:rPr>
          <w:rFonts w:ascii="Times New Roman" w:eastAsia="宋体" w:hAnsi="Times New Roman"/>
          <w:b/>
          <w:bCs/>
          <w:color w:val="000000"/>
          <w:sz w:val="20"/>
          <w:szCs w:val="20"/>
        </w:rPr>
        <w:t>Debt</w:t>
      </w:r>
    </w:p>
    <w:p w14:paraId="33DAB6A7" w14:textId="77777777" w:rsidR="004D6A64" w:rsidRDefault="004D6A64"/>
    <w:p w14:paraId="33DAB6A8" w14:textId="77777777" w:rsidR="004D6A64" w:rsidRDefault="00506CD6">
      <w:r>
        <w:rPr>
          <w:rFonts w:ascii="Times New Roman" w:eastAsia="宋体" w:hAnsi="Times New Roman"/>
          <w:i/>
          <w:iCs/>
          <w:color w:val="000000"/>
          <w:sz w:val="20"/>
          <w:szCs w:val="20"/>
        </w:rPr>
        <w:t>Senior Secured Credit Facilities</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The Company has entered into a credit agreement that provides for senior secured credit facilities (the “Senior Secured Credit Facilities”) comprising (a) term loan facilities and (b) a senior secured Revolving Credit Facility, which provides for a borrowi</w:t>
      </w:r>
      <w:r>
        <w:rPr>
          <w:rFonts w:ascii="Times New Roman" w:eastAsia="宋体" w:hAnsi="Times New Roman"/>
          <w:color w:val="000000"/>
          <w:sz w:val="20"/>
          <w:szCs w:val="20"/>
        </w:rPr>
        <w:t xml:space="preserve">ng capacity of up to $4.5 billion for general corporate purposes, including capacity for up to $0.5 billion of letters of credit and for borrowings of up to $0.4 billion under swing-line loans. </w:t>
      </w:r>
    </w:p>
    <w:p w14:paraId="33DAB6A9" w14:textId="77777777" w:rsidR="004D6A64" w:rsidRDefault="004D6A64"/>
    <w:p w14:paraId="33DAB6AA" w14:textId="77777777" w:rsidR="004D6A64" w:rsidRDefault="00506CD6">
      <w:r>
        <w:rPr>
          <w:rFonts w:ascii="Times New Roman" w:eastAsia="宋体" w:hAnsi="Times New Roman"/>
          <w:color w:val="000000"/>
          <w:sz w:val="20"/>
          <w:szCs w:val="20"/>
        </w:rPr>
        <w:t xml:space="preserve">As of July 31, 2020, available borrowings under the </w:t>
      </w:r>
      <w:r>
        <w:rPr>
          <w:rFonts w:ascii="Times New Roman" w:eastAsia="宋体" w:hAnsi="Times New Roman"/>
          <w:color w:val="000000"/>
          <w:sz w:val="20"/>
          <w:szCs w:val="20"/>
        </w:rPr>
        <w:t>Revolving Credit Facility totaled $4.5 billion. The Senior Secured Credit Facilities provide that the borrowers have the right at any time, subject to customary conditions, to request incremental term loans or incremental revolving commitments.</w:t>
      </w:r>
    </w:p>
    <w:p w14:paraId="33DAB6AB" w14:textId="77777777" w:rsidR="004D6A64" w:rsidRDefault="004D6A64"/>
    <w:p w14:paraId="33DAB6AC" w14:textId="77777777" w:rsidR="004D6A64" w:rsidRDefault="00506CD6">
      <w:r>
        <w:rPr>
          <w:rFonts w:ascii="Times New Roman" w:eastAsia="宋体" w:hAnsi="Times New Roman"/>
          <w:color w:val="000000"/>
          <w:sz w:val="20"/>
          <w:szCs w:val="20"/>
        </w:rPr>
        <w:t>Borrowings</w:t>
      </w:r>
      <w:r>
        <w:rPr>
          <w:rFonts w:ascii="Times New Roman" w:eastAsia="宋体" w:hAnsi="Times New Roman"/>
          <w:color w:val="000000"/>
          <w:sz w:val="20"/>
          <w:szCs w:val="20"/>
        </w:rPr>
        <w:t xml:space="preserve"> under the Senior Secured Credit Facilities bear interest at a rate per annum equal to an applicable margin, plus, at the borrowers’ option, either (a) a base rate, or (b) the London Interbank Offered Rate (“LIBOR”). The Term Loan B-1 Facility bears intere</w:t>
      </w:r>
      <w:r>
        <w:rPr>
          <w:rFonts w:ascii="Times New Roman" w:eastAsia="宋体" w:hAnsi="Times New Roman"/>
          <w:color w:val="000000"/>
          <w:sz w:val="20"/>
          <w:szCs w:val="20"/>
        </w:rPr>
        <w:t xml:space="preserve">st at LIBOR plus an applicable margin of 2.00% or a base rate plus an applicable margin of 1.00%. The Term Loan A-4 Facility and the Term Loan A-6 Facility bear interest at LIBOR plus an applicable margin ranging from 1.25% to 2.00% or a base rate plus an </w:t>
      </w:r>
      <w:r>
        <w:rPr>
          <w:rFonts w:ascii="Times New Roman" w:eastAsia="宋体" w:hAnsi="Times New Roman"/>
          <w:color w:val="000000"/>
          <w:sz w:val="20"/>
          <w:szCs w:val="20"/>
        </w:rPr>
        <w:t>applicable margin ranging from 0.25% to 1.00%. Interest is payable, in the case of loans bearing interest based on LIBOR, at the end of each interest period (but at least every three months), in arrears and, in the case of loans bearing interest based on t</w:t>
      </w:r>
      <w:r>
        <w:rPr>
          <w:rFonts w:ascii="Times New Roman" w:eastAsia="宋体" w:hAnsi="Times New Roman"/>
          <w:color w:val="000000"/>
          <w:sz w:val="20"/>
          <w:szCs w:val="20"/>
        </w:rPr>
        <w:t>he base rate, quarterly in arrears.</w:t>
      </w:r>
    </w:p>
    <w:p w14:paraId="33DAB6AD" w14:textId="77777777" w:rsidR="004D6A64" w:rsidRDefault="004D6A64"/>
    <w:p w14:paraId="33DAB6AE" w14:textId="77777777" w:rsidR="004D6A64" w:rsidRDefault="00506CD6">
      <w:r>
        <w:rPr>
          <w:rFonts w:ascii="Times New Roman" w:eastAsia="宋体" w:hAnsi="Times New Roman"/>
          <w:color w:val="000000"/>
          <w:sz w:val="20"/>
          <w:szCs w:val="20"/>
        </w:rPr>
        <w:t>The Term Loan B-1 Facility amortizes in equal quarterly installments in aggregate annual amounts equal to 1% of the original principal amount. The Term Loan A-4 Facility amortizes in equal quarterly installments in aggr</w:t>
      </w:r>
      <w:r>
        <w:rPr>
          <w:rFonts w:ascii="Times New Roman" w:eastAsia="宋体" w:hAnsi="Times New Roman"/>
          <w:color w:val="000000"/>
          <w:sz w:val="20"/>
          <w:szCs w:val="20"/>
        </w:rPr>
        <w:t>egate annual amounts equal to 5% of the original principal amount in each of the first four years after the facility closing date of December 20, 2018, and 80% of the original principal amount in the fifth year after December 20, 2018. The Term Loan A-6 Fa</w:t>
      </w:r>
      <w:r>
        <w:rPr>
          <w:rFonts w:ascii="Times New Roman" w:eastAsia="宋体" w:hAnsi="Times New Roman"/>
          <w:color w:val="000000"/>
          <w:sz w:val="20"/>
          <w:szCs w:val="20"/>
        </w:rPr>
        <w:t>cility amortizes in equal quarterly installments in aggregate annual amounts equal to 5% of the original principal amount in each of the first four years after the facility closing date of March 13, 2019, and 80% of the original principal amount in the fif</w:t>
      </w:r>
      <w:r>
        <w:rPr>
          <w:rFonts w:ascii="Times New Roman" w:eastAsia="宋体" w:hAnsi="Times New Roman"/>
          <w:color w:val="000000"/>
          <w:sz w:val="20"/>
          <w:szCs w:val="20"/>
        </w:rPr>
        <w:t xml:space="preserve">th year after March 13, 2019. The Revolving Credit Facility has no amortization. </w:t>
      </w:r>
    </w:p>
    <w:p w14:paraId="33DAB6AF" w14:textId="77777777" w:rsidR="004D6A64" w:rsidRDefault="004D6A64"/>
    <w:p w14:paraId="33DAB6B0" w14:textId="77777777" w:rsidR="004D6A64" w:rsidRDefault="00506CD6">
      <w:r>
        <w:rPr>
          <w:rFonts w:ascii="Times New Roman" w:eastAsia="宋体" w:hAnsi="Times New Roman"/>
          <w:color w:val="000000"/>
          <w:sz w:val="20"/>
          <w:szCs w:val="20"/>
        </w:rPr>
        <w:t>The borrowers may voluntarily repay outstanding loans under the term loan facilities and the Revolving Credit Facility at any time without premium or penalty, other than cus</w:t>
      </w:r>
      <w:r>
        <w:rPr>
          <w:rFonts w:ascii="Times New Roman" w:eastAsia="宋体" w:hAnsi="Times New Roman"/>
          <w:color w:val="000000"/>
          <w:sz w:val="20"/>
          <w:szCs w:val="20"/>
        </w:rPr>
        <w:t xml:space="preserve">tomary “breakage” costs. </w:t>
      </w:r>
    </w:p>
    <w:p w14:paraId="33DAB6B1" w14:textId="77777777" w:rsidR="004D6A64" w:rsidRDefault="004D6A64"/>
    <w:p w14:paraId="33DAB6B2" w14:textId="77777777" w:rsidR="004D6A64" w:rsidRDefault="00506CD6">
      <w:r>
        <w:rPr>
          <w:rFonts w:ascii="Times New Roman" w:eastAsia="宋体" w:hAnsi="Times New Roman"/>
          <w:color w:val="000000"/>
          <w:sz w:val="20"/>
          <w:szCs w:val="20"/>
        </w:rPr>
        <w:t>All obligations of the borrowers under the Senior Secured Credit Facilities and certain swap agreements, cash management arrangements, and certain letters of credit provided by any lender or agent party to the Senior Secured Cred</w:t>
      </w:r>
      <w:r>
        <w:rPr>
          <w:rFonts w:ascii="Times New Roman" w:eastAsia="宋体" w:hAnsi="Times New Roman"/>
          <w:color w:val="000000"/>
          <w:sz w:val="20"/>
          <w:szCs w:val="20"/>
        </w:rPr>
        <w:t>it Facilities or any of its affiliates and certain other persons are secured by (a) a first-priority security interest in certain tangible and intangible assets of the borrowers and the guarantors and (b) a first-priority pledge of 100% of the capital stoc</w:t>
      </w:r>
      <w:r>
        <w:rPr>
          <w:rFonts w:ascii="Times New Roman" w:eastAsia="宋体" w:hAnsi="Times New Roman"/>
          <w:color w:val="000000"/>
          <w:sz w:val="20"/>
          <w:szCs w:val="20"/>
        </w:rPr>
        <w:t>k of the borrowers, Dell Inc., a wholly-owned subsidiary of the Company (</w:t>
      </w:r>
      <w:r>
        <w:rPr>
          <w:rFonts w:ascii="Times New Roman" w:eastAsia="宋体" w:hAnsi="Times New Roman"/>
          <w:color w:val="000000"/>
          <w:sz w:val="18"/>
          <w:szCs w:val="18"/>
        </w:rPr>
        <w:t>“</w:t>
      </w:r>
      <w:r>
        <w:rPr>
          <w:rFonts w:ascii="Times New Roman" w:eastAsia="宋体" w:hAnsi="Times New Roman"/>
          <w:color w:val="000000"/>
          <w:sz w:val="20"/>
          <w:szCs w:val="20"/>
        </w:rPr>
        <w:t>Dell</w:t>
      </w:r>
      <w:r>
        <w:rPr>
          <w:rFonts w:ascii="Times New Roman" w:eastAsia="宋体" w:hAnsi="Times New Roman"/>
          <w:color w:val="000000"/>
          <w:sz w:val="18"/>
          <w:szCs w:val="18"/>
        </w:rPr>
        <w:t>”</w:t>
      </w:r>
      <w:r>
        <w:rPr>
          <w:rFonts w:ascii="Times New Roman" w:eastAsia="宋体" w:hAnsi="Times New Roman"/>
          <w:color w:val="000000"/>
          <w:sz w:val="20"/>
          <w:szCs w:val="20"/>
        </w:rPr>
        <w:t>), and each wholly-owned material restricted subsidiary of the borrowers and the guarantors, in each case subject to certain thresholds, exceptions, and permitted liens.</w:t>
      </w:r>
    </w:p>
    <w:p w14:paraId="33DAB6B3" w14:textId="77777777" w:rsidR="004D6A64" w:rsidRDefault="004D6A64">
      <w:pPr>
        <w:jc w:val="center"/>
      </w:pPr>
    </w:p>
    <w:p w14:paraId="33DAB6B4" w14:textId="77777777" w:rsidR="004D6A64" w:rsidRDefault="00506CD6">
      <w:pPr>
        <w:jc w:val="center"/>
      </w:pPr>
      <w:r>
        <w:rPr>
          <w:rFonts w:ascii="Times New Roman" w:eastAsia="宋体" w:hAnsi="Times New Roman"/>
          <w:color w:val="000000"/>
          <w:sz w:val="20"/>
          <w:szCs w:val="20"/>
        </w:rPr>
        <w:t>33</w:t>
      </w:r>
    </w:p>
    <w:p w14:paraId="33DAB6B5" w14:textId="77777777" w:rsidR="004D6A64" w:rsidRDefault="004D6A64">
      <w:pPr>
        <w:jc w:val="center"/>
      </w:pPr>
    </w:p>
    <w:p w14:paraId="33DAB6B6" w14:textId="77777777" w:rsidR="004D6A64" w:rsidRDefault="00506CD6">
      <w:r>
        <w:pict w14:anchorId="33DAFAE5">
          <v:rect id="_x0000_i1057" style="width:415.3pt;height:1.5pt" o:hralign="center" o:hrstd="t" o:hr="t" fillcolor="#a0a0a0" stroked="f"/>
        </w:pict>
      </w:r>
    </w:p>
    <w:p w14:paraId="33DAB6B7" w14:textId="77777777" w:rsidR="004D6A64" w:rsidRDefault="00506CD6">
      <w:hyperlink r:id="rId156" w:anchor="if3e0e1bf9ecd4bf69551d7a85f98d64a_10" w:history="1">
        <w:r>
          <w:rPr>
            <w:rStyle w:val="a5"/>
            <w:rFonts w:ascii="Times New Roman" w:eastAsia="宋体" w:hAnsi="Times New Roman"/>
            <w:sz w:val="20"/>
            <w:szCs w:val="20"/>
          </w:rPr>
          <w:t>Table of Contents</w:t>
        </w:r>
      </w:hyperlink>
    </w:p>
    <w:p w14:paraId="33DAB6B8"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B6B9"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33DAB6BA"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B6BB" w14:textId="77777777" w:rsidR="004D6A64" w:rsidRDefault="004D6A64">
      <w:pPr>
        <w:jc w:val="center"/>
      </w:pPr>
    </w:p>
    <w:p w14:paraId="33DAB6BC" w14:textId="77777777" w:rsidR="004D6A64" w:rsidRDefault="004D6A64"/>
    <w:p w14:paraId="33DAB6BD" w14:textId="77777777" w:rsidR="004D6A64" w:rsidRDefault="00506CD6">
      <w:r>
        <w:rPr>
          <w:rFonts w:ascii="Times New Roman" w:eastAsia="宋体" w:hAnsi="Times New Roman"/>
          <w:i/>
          <w:iCs/>
          <w:color w:val="000000"/>
          <w:sz w:val="20"/>
          <w:szCs w:val="20"/>
        </w:rPr>
        <w:t xml:space="preserve">First Lien Notes </w:t>
      </w:r>
      <w:r>
        <w:rPr>
          <w:rFonts w:ascii="Times New Roman" w:eastAsia="宋体" w:hAnsi="Times New Roman"/>
          <w:color w:val="000000"/>
          <w:sz w:val="20"/>
          <w:szCs w:val="20"/>
        </w:rPr>
        <w:t xml:space="preserve">— Dell International L.L.C. and EMC Corporation, both of which are wholly-owned subsidiaries of Dell Technologies Inc., completed private offerings of multiple series of senior secured notes (collectively, the “First </w:t>
      </w:r>
      <w:r>
        <w:rPr>
          <w:rFonts w:ascii="Times New Roman" w:eastAsia="宋体" w:hAnsi="Times New Roman"/>
          <w:color w:val="000000"/>
          <w:sz w:val="20"/>
          <w:szCs w:val="20"/>
        </w:rPr>
        <w:t>Lien Notes”) which were issued on June 1, 2016, March 20, 2019, and April 9, 2020 in aggregate principal amounts of $20.0 billion, $4.5 billion, and $2.25 billion, respectively. Interest on the First Lien Notes is payable semiannually. The First Lien Notes</w:t>
      </w:r>
      <w:r>
        <w:rPr>
          <w:rFonts w:ascii="Times New Roman" w:eastAsia="宋体" w:hAnsi="Times New Roman"/>
          <w:color w:val="000000"/>
          <w:sz w:val="20"/>
          <w:szCs w:val="20"/>
        </w:rPr>
        <w:t xml:space="preserve"> are secured on a pari passu basis with the Senior Secured Credit Facilities, on a first-priority basis by substantially all of the tangible and intangible assets of the issuers and guarantors that secure obligations under the Senior Secured Credit Facilit</w:t>
      </w:r>
      <w:r>
        <w:rPr>
          <w:rFonts w:ascii="Times New Roman" w:eastAsia="宋体" w:hAnsi="Times New Roman"/>
          <w:color w:val="000000"/>
          <w:sz w:val="20"/>
          <w:szCs w:val="20"/>
        </w:rPr>
        <w:t>ies, including pledges of all capital stock of the issuers, Dell, and certain wholly-owned material subsidiaries of the issuers and the guarantors, subject to certain exceptions.</w:t>
      </w:r>
    </w:p>
    <w:p w14:paraId="33DAB6BE" w14:textId="77777777" w:rsidR="004D6A64" w:rsidRDefault="004D6A64"/>
    <w:p w14:paraId="33DAB6BF" w14:textId="77777777" w:rsidR="004D6A64" w:rsidRDefault="00506CD6">
      <w:r>
        <w:rPr>
          <w:rFonts w:ascii="Times New Roman" w:eastAsia="宋体" w:hAnsi="Times New Roman"/>
          <w:color w:val="000000"/>
          <w:sz w:val="20"/>
          <w:szCs w:val="20"/>
        </w:rPr>
        <w:t>The Company has agreed to use commercially reasonable efforts to register wi</w:t>
      </w:r>
      <w:r>
        <w:rPr>
          <w:rFonts w:ascii="Times New Roman" w:eastAsia="宋体" w:hAnsi="Times New Roman"/>
          <w:color w:val="000000"/>
          <w:sz w:val="20"/>
          <w:szCs w:val="20"/>
        </w:rPr>
        <w:t>th the SEC notes having terms substantially identical to the terms of the First Lien Notes as part of an offer to exchange such registered notes for the First Lien Notes. The Company will be obligated to pay additional interest on the First Lien Notes if i</w:t>
      </w:r>
      <w:r>
        <w:rPr>
          <w:rFonts w:ascii="Times New Roman" w:eastAsia="宋体" w:hAnsi="Times New Roman"/>
          <w:color w:val="000000"/>
          <w:sz w:val="20"/>
          <w:szCs w:val="20"/>
        </w:rPr>
        <w:t>t fails to consummate such an exchange offer within five years after the closing date of the EMC merger transaction, in the case of the First Lien Notes issued on June 1, 2016, and within five years after their respective issue dates, in the case of the Fi</w:t>
      </w:r>
      <w:r>
        <w:rPr>
          <w:rFonts w:ascii="Times New Roman" w:eastAsia="宋体" w:hAnsi="Times New Roman"/>
          <w:color w:val="000000"/>
          <w:sz w:val="20"/>
          <w:szCs w:val="20"/>
        </w:rPr>
        <w:t>rst Lien Notes issued on March 20, 2019 and April 9, 2020.</w:t>
      </w:r>
    </w:p>
    <w:p w14:paraId="33DAB6C0" w14:textId="77777777" w:rsidR="004D6A64" w:rsidRDefault="004D6A64"/>
    <w:p w14:paraId="33DAB6C1" w14:textId="77777777" w:rsidR="004D6A64" w:rsidRDefault="00506CD6">
      <w:r>
        <w:rPr>
          <w:rFonts w:ascii="Times New Roman" w:eastAsia="宋体" w:hAnsi="Times New Roman"/>
          <w:i/>
          <w:iCs/>
          <w:color w:val="000000"/>
          <w:sz w:val="20"/>
          <w:szCs w:val="20"/>
        </w:rPr>
        <w:t>China Revolving Credit Facility</w:t>
      </w:r>
      <w:r>
        <w:rPr>
          <w:rFonts w:ascii="Times New Roman" w:eastAsia="宋体" w:hAnsi="Times New Roman"/>
          <w:color w:val="000000"/>
          <w:sz w:val="20"/>
          <w:szCs w:val="20"/>
        </w:rPr>
        <w:t xml:space="preserve"> — The Company entered into a new revolving credit facility for China (the “China Revolving Credit Facility”) effective May 25, 2020. The new terms provide for colla</w:t>
      </w:r>
      <w:r>
        <w:rPr>
          <w:rFonts w:ascii="Times New Roman" w:eastAsia="宋体" w:hAnsi="Times New Roman"/>
          <w:color w:val="000000"/>
          <w:sz w:val="20"/>
          <w:szCs w:val="20"/>
        </w:rPr>
        <w:t>teralized and non-collateralized principal amounts not to exceed $1.0 billion Chinese renminbi and $1.8 billion Chinese renminbi, respectively, or equivalent amounts in U.S. dollars. Outstanding borrowings under the collateralized portion of the China Revo</w:t>
      </w:r>
      <w:r>
        <w:rPr>
          <w:rFonts w:ascii="Times New Roman" w:eastAsia="宋体" w:hAnsi="Times New Roman"/>
          <w:color w:val="000000"/>
          <w:sz w:val="20"/>
          <w:szCs w:val="20"/>
        </w:rPr>
        <w:t>lving Credit Facility bear interest at the loan prime rate (“LPR”) less 0.2%, for borrowings denominated in Chinese renminbi, or LIBOR plus 1.0%, for borrowings denominated in U.S. dollars, and outstanding borrowings under the non-collateralized portion be</w:t>
      </w:r>
      <w:r>
        <w:rPr>
          <w:rFonts w:ascii="Times New Roman" w:eastAsia="宋体" w:hAnsi="Times New Roman"/>
          <w:color w:val="000000"/>
          <w:sz w:val="20"/>
          <w:szCs w:val="20"/>
        </w:rPr>
        <w:t>ar interest at LPR less 0.2%, for borrowings denominated in Chinese renminbi, or LIBOR plus 1.4%, for borrowings denominated in U.S. dollars. The new facility expired on August 30, 2020.</w:t>
      </w:r>
    </w:p>
    <w:p w14:paraId="33DAB6C2" w14:textId="77777777" w:rsidR="004D6A64" w:rsidRDefault="004D6A64"/>
    <w:p w14:paraId="33DAB6C3" w14:textId="77777777" w:rsidR="004D6A64" w:rsidRDefault="00506CD6">
      <w:r>
        <w:rPr>
          <w:rFonts w:ascii="Times New Roman" w:eastAsia="宋体" w:hAnsi="Times New Roman"/>
          <w:color w:val="000000"/>
          <w:sz w:val="20"/>
          <w:szCs w:val="20"/>
        </w:rPr>
        <w:t>During the fiscal year ended January 31, 2020, the Company renewed the credit agreement for its legacy China revolving credit facility with a bank lender, which provided an uncommitted line with an aggregate principal amount not to exceed $500 million at a</w:t>
      </w:r>
      <w:r>
        <w:rPr>
          <w:rFonts w:ascii="Times New Roman" w:eastAsia="宋体" w:hAnsi="Times New Roman"/>
          <w:color w:val="000000"/>
          <w:sz w:val="20"/>
          <w:szCs w:val="20"/>
        </w:rPr>
        <w:t xml:space="preserve">n interest rate of LIBOR plus 0.6% per annum. The facility was terminated upon expiration on February 26, 2020. </w:t>
      </w:r>
    </w:p>
    <w:p w14:paraId="33DAB6C4" w14:textId="77777777" w:rsidR="004D6A64" w:rsidRDefault="004D6A64"/>
    <w:p w14:paraId="33DAB6C5" w14:textId="77777777" w:rsidR="004D6A64" w:rsidRDefault="00506CD6">
      <w:r>
        <w:rPr>
          <w:rFonts w:ascii="Times New Roman" w:eastAsia="宋体" w:hAnsi="Times New Roman"/>
          <w:b/>
          <w:bCs/>
          <w:color w:val="000000"/>
          <w:sz w:val="20"/>
          <w:szCs w:val="20"/>
        </w:rPr>
        <w:t>Unsecured Debt</w:t>
      </w:r>
    </w:p>
    <w:p w14:paraId="33DAB6C6" w14:textId="77777777" w:rsidR="004D6A64" w:rsidRDefault="004D6A64"/>
    <w:p w14:paraId="33DAB6C7" w14:textId="77777777" w:rsidR="004D6A64" w:rsidRDefault="00506CD6">
      <w:r>
        <w:rPr>
          <w:rFonts w:ascii="Times New Roman" w:eastAsia="宋体" w:hAnsi="Times New Roman"/>
          <w:i/>
          <w:iCs/>
          <w:color w:val="000000"/>
          <w:sz w:val="20"/>
          <w:szCs w:val="20"/>
        </w:rPr>
        <w:t>Unsecured Notes and Debentures</w:t>
      </w:r>
      <w:r>
        <w:rPr>
          <w:rFonts w:ascii="Times New Roman" w:eastAsia="宋体" w:hAnsi="Times New Roman"/>
          <w:color w:val="000000"/>
          <w:sz w:val="20"/>
          <w:szCs w:val="20"/>
        </w:rPr>
        <w:t xml:space="preserve"> — The Company has outstanding unsecured notes and debentures (collectively, the “Unsecured Note</w:t>
      </w:r>
      <w:r>
        <w:rPr>
          <w:rFonts w:ascii="Times New Roman" w:eastAsia="宋体" w:hAnsi="Times New Roman"/>
          <w:color w:val="000000"/>
          <w:sz w:val="20"/>
          <w:szCs w:val="20"/>
        </w:rPr>
        <w:t>s and Debentures”) that were issued by Dell prior to the acquisition of Dell by Dell Technologies Inc. in the going-private transaction that closed in October 2013. Interest on these borrowings is payable semiannually.</w:t>
      </w:r>
    </w:p>
    <w:p w14:paraId="33DAB6C8" w14:textId="77777777" w:rsidR="004D6A64" w:rsidRDefault="004D6A64"/>
    <w:p w14:paraId="33DAB6C9" w14:textId="77777777" w:rsidR="004D6A64" w:rsidRDefault="00506CD6">
      <w:r>
        <w:rPr>
          <w:rFonts w:ascii="Times New Roman" w:eastAsia="宋体" w:hAnsi="Times New Roman"/>
          <w:i/>
          <w:iCs/>
          <w:color w:val="000000"/>
          <w:sz w:val="20"/>
          <w:szCs w:val="20"/>
        </w:rPr>
        <w:t xml:space="preserve">Senior Notes </w:t>
      </w:r>
      <w:r>
        <w:rPr>
          <w:rFonts w:ascii="Times New Roman" w:eastAsia="宋体" w:hAnsi="Times New Roman"/>
          <w:color w:val="000000"/>
          <w:sz w:val="20"/>
          <w:szCs w:val="20"/>
        </w:rPr>
        <w:t xml:space="preserve">— The senior unsecured </w:t>
      </w:r>
      <w:r>
        <w:rPr>
          <w:rFonts w:ascii="Times New Roman" w:eastAsia="宋体" w:hAnsi="Times New Roman"/>
          <w:color w:val="000000"/>
          <w:sz w:val="20"/>
          <w:szCs w:val="20"/>
        </w:rPr>
        <w:t>notes (collectively, the “Senior Notes”) were issued on June 22, 2016 in an aggregate principal amount of $3.25 billion. Interest on these borrowings is payable semiannually.</w:t>
      </w:r>
    </w:p>
    <w:p w14:paraId="33DAB6CA" w14:textId="77777777" w:rsidR="004D6A64" w:rsidRDefault="004D6A64"/>
    <w:p w14:paraId="33DAB6CB" w14:textId="77777777" w:rsidR="004D6A64" w:rsidRDefault="00506CD6">
      <w:r>
        <w:rPr>
          <w:rFonts w:ascii="Times New Roman" w:eastAsia="宋体" w:hAnsi="Times New Roman"/>
          <w:i/>
          <w:iCs/>
          <w:color w:val="000000"/>
          <w:sz w:val="20"/>
          <w:szCs w:val="20"/>
        </w:rPr>
        <w:t>EMC Notes</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 On September 7, 2016, EMC had outstanding $2.5 billion aggregate pri</w:t>
      </w:r>
      <w:r>
        <w:rPr>
          <w:rFonts w:ascii="Times New Roman" w:eastAsia="宋体" w:hAnsi="Times New Roman"/>
          <w:color w:val="000000"/>
          <w:sz w:val="20"/>
          <w:szCs w:val="20"/>
        </w:rPr>
        <w:t>ncipal amount of its 1.875% Notes due June 2018, which the Company fully repaid during the three months ended August 3, 2018, $2.0 billion aggregate principal amount of its 2.650% Notes due June 2020, and $1.0 billion aggregate principal amount of its 3.37</w:t>
      </w:r>
      <w:r>
        <w:rPr>
          <w:rFonts w:ascii="Times New Roman" w:eastAsia="宋体" w:hAnsi="Times New Roman"/>
          <w:color w:val="000000"/>
          <w:sz w:val="20"/>
          <w:szCs w:val="20"/>
        </w:rPr>
        <w:t xml:space="preserve">5% Notes due June 2023 (collectively, the “EMC Notes”). Interest on these borrowings is payable semiannually. </w:t>
      </w:r>
    </w:p>
    <w:p w14:paraId="33DAB6CC" w14:textId="77777777" w:rsidR="004D6A64" w:rsidRDefault="004D6A64"/>
    <w:p w14:paraId="33DAB6CD" w14:textId="77777777" w:rsidR="004D6A64" w:rsidRDefault="00506CD6">
      <w:r>
        <w:rPr>
          <w:rFonts w:ascii="Times New Roman" w:eastAsia="宋体" w:hAnsi="Times New Roman"/>
          <w:i/>
          <w:iCs/>
          <w:color w:val="000000"/>
          <w:sz w:val="20"/>
          <w:szCs w:val="20"/>
        </w:rPr>
        <w:t xml:space="preserve">VMware Notes </w:t>
      </w:r>
      <w:r>
        <w:rPr>
          <w:rFonts w:ascii="Times New Roman" w:eastAsia="宋体" w:hAnsi="Times New Roman"/>
          <w:color w:val="000000"/>
          <w:sz w:val="20"/>
          <w:szCs w:val="20"/>
        </w:rPr>
        <w:t>— VMware, Inc. completed public offerings of unsecured senior notes in the aggregate amounts of $4.0 billion and $2.0 billion on Au</w:t>
      </w:r>
      <w:r>
        <w:rPr>
          <w:rFonts w:ascii="Times New Roman" w:eastAsia="宋体" w:hAnsi="Times New Roman"/>
          <w:color w:val="000000"/>
          <w:sz w:val="20"/>
          <w:szCs w:val="20"/>
        </w:rPr>
        <w:t>gust 21, 2017 and April 7, 2020, respectively (the “VMware Notes”). None of the net proceeds of such borrowings will be made available to support the operations or satisfy any corporate purposes of Dell Technologies, other than the operations and corporate</w:t>
      </w:r>
      <w:r>
        <w:rPr>
          <w:rFonts w:ascii="Times New Roman" w:eastAsia="宋体" w:hAnsi="Times New Roman"/>
          <w:color w:val="000000"/>
          <w:sz w:val="20"/>
          <w:szCs w:val="20"/>
        </w:rPr>
        <w:t xml:space="preserve"> purposes of VMware, Inc. and VMware, Inc.’s subsidiaries. Interest on these borrowings is payable semiannually.</w:t>
      </w:r>
    </w:p>
    <w:p w14:paraId="33DAB6CE" w14:textId="77777777" w:rsidR="004D6A64" w:rsidRDefault="004D6A64"/>
    <w:p w14:paraId="33DAB6CF" w14:textId="77777777" w:rsidR="004D6A64" w:rsidRDefault="004D6A64"/>
    <w:p w14:paraId="33DAB6D0" w14:textId="77777777" w:rsidR="004D6A64" w:rsidRDefault="004D6A64">
      <w:pPr>
        <w:jc w:val="center"/>
      </w:pPr>
    </w:p>
    <w:p w14:paraId="33DAB6D1" w14:textId="77777777" w:rsidR="004D6A64" w:rsidRDefault="00506CD6">
      <w:pPr>
        <w:jc w:val="center"/>
      </w:pPr>
      <w:r>
        <w:rPr>
          <w:rFonts w:ascii="Times New Roman" w:eastAsia="宋体" w:hAnsi="Times New Roman"/>
          <w:color w:val="000000"/>
          <w:sz w:val="20"/>
          <w:szCs w:val="20"/>
        </w:rPr>
        <w:t>34</w:t>
      </w:r>
    </w:p>
    <w:p w14:paraId="33DAB6D2" w14:textId="77777777" w:rsidR="004D6A64" w:rsidRDefault="004D6A64">
      <w:pPr>
        <w:jc w:val="center"/>
      </w:pPr>
    </w:p>
    <w:p w14:paraId="33DAB6D3" w14:textId="77777777" w:rsidR="004D6A64" w:rsidRDefault="00506CD6">
      <w:r>
        <w:pict w14:anchorId="33DAFAE6">
          <v:rect id="_x0000_i1058" style="width:415.3pt;height:1.5pt" o:hralign="center" o:hrstd="t" o:hr="t" fillcolor="#a0a0a0" stroked="f"/>
        </w:pict>
      </w:r>
    </w:p>
    <w:p w14:paraId="33DAB6D4" w14:textId="77777777" w:rsidR="004D6A64" w:rsidRDefault="00506CD6">
      <w:hyperlink r:id="rId157" w:anchor="if3e0e1bf9ecd4bf69551d7a85f98d64a_10" w:history="1">
        <w:r>
          <w:rPr>
            <w:rStyle w:val="a5"/>
            <w:rFonts w:ascii="Times New Roman" w:eastAsia="宋体" w:hAnsi="Times New Roman"/>
            <w:sz w:val="20"/>
            <w:szCs w:val="20"/>
          </w:rPr>
          <w:t>Table of Contents</w:t>
        </w:r>
      </w:hyperlink>
    </w:p>
    <w:p w14:paraId="33DAB6D5"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B6D6"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33DAB6D7"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B6D8" w14:textId="77777777" w:rsidR="004D6A64" w:rsidRDefault="004D6A64">
      <w:pPr>
        <w:jc w:val="center"/>
      </w:pPr>
    </w:p>
    <w:p w14:paraId="33DAB6D9" w14:textId="77777777" w:rsidR="004D6A64" w:rsidRDefault="00506CD6">
      <w:r>
        <w:rPr>
          <w:rFonts w:ascii="Times New Roman" w:eastAsia="宋体" w:hAnsi="Times New Roman"/>
          <w:i/>
          <w:iCs/>
          <w:color w:val="000000"/>
          <w:sz w:val="20"/>
          <w:szCs w:val="20"/>
        </w:rPr>
        <w:t xml:space="preserve">VMware Revolving Credit Facility </w:t>
      </w:r>
      <w:r>
        <w:rPr>
          <w:rFonts w:ascii="Times New Roman" w:eastAsia="宋体" w:hAnsi="Times New Roman"/>
          <w:color w:val="000000"/>
          <w:sz w:val="20"/>
          <w:szCs w:val="20"/>
        </w:rPr>
        <w:t xml:space="preserve">— On September 12, 2017, VMware, Inc. entered into an unsecured credit </w:t>
      </w:r>
      <w:r>
        <w:rPr>
          <w:rFonts w:ascii="Times New Roman" w:eastAsia="宋体" w:hAnsi="Times New Roman"/>
          <w:color w:val="000000"/>
          <w:sz w:val="20"/>
          <w:szCs w:val="20"/>
        </w:rPr>
        <w:t>agreement, establishing a revolving credit facility (the “VMware Revolving Credit Facility”) with a syndicate of lenders that provides the company with a borrowing capacity of up to $1.0 billion for VMware, Inc. general corporate purposes. Commitments unde</w:t>
      </w:r>
      <w:r>
        <w:rPr>
          <w:rFonts w:ascii="Times New Roman" w:eastAsia="宋体" w:hAnsi="Times New Roman"/>
          <w:color w:val="000000"/>
          <w:sz w:val="20"/>
          <w:szCs w:val="20"/>
        </w:rPr>
        <w:t>r the VMware Revolving Credit Facility are available for a period of five years, which may be extended, subject to the satisfaction of certain conditions, by up to two one year periods. The credit agreement contains certain representations, warranties, and</w:t>
      </w:r>
      <w:r>
        <w:rPr>
          <w:rFonts w:ascii="Times New Roman" w:eastAsia="宋体" w:hAnsi="Times New Roman"/>
          <w:color w:val="000000"/>
          <w:sz w:val="20"/>
          <w:szCs w:val="20"/>
        </w:rPr>
        <w:t xml:space="preserve"> covenants. Commitment fees, interest rates, and other terms of borrowing under the VMware Revolving Credit Facility may vary based on VMware, Inc.’s external credit ratings. None of the net proceeds of such borrowings will be made available to support the</w:t>
      </w:r>
      <w:r>
        <w:rPr>
          <w:rFonts w:ascii="Times New Roman" w:eastAsia="宋体" w:hAnsi="Times New Roman"/>
          <w:color w:val="000000"/>
          <w:sz w:val="20"/>
          <w:szCs w:val="20"/>
        </w:rPr>
        <w:t xml:space="preserve"> operations or satisfy any corporate purposes of Dell Technologies, other than the operations and corporate purposes of VMware, Inc. and VMware, Inc.’s subsidiaries. As of July 31, 2020, there were no outstanding borrowings under the VMware Revolving Credi</w:t>
      </w:r>
      <w:r>
        <w:rPr>
          <w:rFonts w:ascii="Times New Roman" w:eastAsia="宋体" w:hAnsi="Times New Roman"/>
          <w:color w:val="000000"/>
          <w:sz w:val="20"/>
          <w:szCs w:val="20"/>
        </w:rPr>
        <w:t>t Facility.</w:t>
      </w:r>
    </w:p>
    <w:p w14:paraId="33DAB6DA" w14:textId="77777777" w:rsidR="004D6A64" w:rsidRDefault="004D6A64"/>
    <w:p w14:paraId="33DAB6DB" w14:textId="77777777" w:rsidR="004D6A64" w:rsidRDefault="00506CD6">
      <w:r>
        <w:rPr>
          <w:rFonts w:ascii="Times New Roman" w:eastAsia="宋体" w:hAnsi="Times New Roman"/>
          <w:i/>
          <w:iCs/>
          <w:color w:val="000000"/>
          <w:sz w:val="20"/>
          <w:szCs w:val="20"/>
        </w:rPr>
        <w:t>VMware Term Loan Facility</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 On September 26, 2019, VMware, Inc. entered into a senior unsecured term loan facility (the “VMware Term Loan Facility”) with a syndicate of lenders that provided VMware, Inc. with a borrowing capacity of up to $2.0</w:t>
      </w:r>
      <w:r>
        <w:rPr>
          <w:rFonts w:ascii="Times New Roman" w:eastAsia="宋体" w:hAnsi="Times New Roman"/>
          <w:color w:val="000000"/>
          <w:sz w:val="20"/>
          <w:szCs w:val="20"/>
        </w:rPr>
        <w:t xml:space="preserve"> billion through February 7, 2020, for VMware, Inc. general corporate purposes. The VMware Term Loan Facility matures during the third quarter of Fiscal 2021, on the 364</w:t>
      </w:r>
      <w:r>
        <w:rPr>
          <w:rFonts w:ascii="Times New Roman" w:eastAsia="宋体" w:hAnsi="Times New Roman"/>
          <w:color w:val="000000"/>
          <w:sz w:val="13"/>
          <w:szCs w:val="13"/>
        </w:rPr>
        <w:t>th</w:t>
      </w:r>
      <w:r>
        <w:rPr>
          <w:rFonts w:ascii="Times New Roman" w:eastAsia="宋体" w:hAnsi="Times New Roman"/>
          <w:color w:val="000000"/>
          <w:sz w:val="20"/>
          <w:szCs w:val="20"/>
        </w:rPr>
        <w:t xml:space="preserve"> day following the initial funding under the facility. The VMware Term Loan Facility </w:t>
      </w:r>
      <w:r>
        <w:rPr>
          <w:rFonts w:ascii="Times New Roman" w:eastAsia="宋体" w:hAnsi="Times New Roman"/>
          <w:color w:val="000000"/>
          <w:sz w:val="20"/>
          <w:szCs w:val="20"/>
        </w:rPr>
        <w:t xml:space="preserve">bears interest at LIBOR plus 0.75% to 1.25%, or an alternative base rate plus 0.00% to 0.25%, depending on VMware Inc.’s external credit ratings. </w:t>
      </w:r>
    </w:p>
    <w:p w14:paraId="33DAB6DC" w14:textId="77777777" w:rsidR="004D6A64" w:rsidRDefault="004D6A64"/>
    <w:p w14:paraId="33DAB6DD" w14:textId="77777777" w:rsidR="004D6A64" w:rsidRDefault="00506CD6">
      <w:r>
        <w:rPr>
          <w:rFonts w:ascii="Times New Roman" w:eastAsia="宋体" w:hAnsi="Times New Roman"/>
          <w:color w:val="000000"/>
          <w:sz w:val="20"/>
          <w:szCs w:val="20"/>
        </w:rPr>
        <w:t>As of July 31, 2020 and January 31, 2020, the outstanding borrowings under the VMware Term Loan Facility wer</w:t>
      </w:r>
      <w:r>
        <w:rPr>
          <w:rFonts w:ascii="Times New Roman" w:eastAsia="宋体" w:hAnsi="Times New Roman"/>
          <w:color w:val="000000"/>
          <w:sz w:val="20"/>
          <w:szCs w:val="20"/>
        </w:rPr>
        <w:t>e $1.5 billion, with no remaining amount available for additional borrowings. The VMware Term Loan Facility agreement contains certain representations, warranties, and covenants. None of the net proceeds of such borrowings will be made available to support</w:t>
      </w:r>
      <w:r>
        <w:rPr>
          <w:rFonts w:ascii="Times New Roman" w:eastAsia="宋体" w:hAnsi="Times New Roman"/>
          <w:color w:val="000000"/>
          <w:sz w:val="20"/>
          <w:szCs w:val="20"/>
        </w:rPr>
        <w:t xml:space="preserve"> the operations or satisfy any corporate purposes of Dell Technologies, other than the operations and corporate purposes of VMware, Inc. and VMware, Inc.’s subsidiaries.</w:t>
      </w:r>
    </w:p>
    <w:p w14:paraId="33DAB6DE" w14:textId="77777777" w:rsidR="004D6A64" w:rsidRDefault="004D6A64"/>
    <w:p w14:paraId="33DAB6DF" w14:textId="77777777" w:rsidR="004D6A64" w:rsidRDefault="00506CD6">
      <w:r>
        <w:rPr>
          <w:rFonts w:ascii="Times New Roman" w:eastAsia="宋体" w:hAnsi="Times New Roman"/>
          <w:b/>
          <w:bCs/>
          <w:color w:val="000000"/>
          <w:sz w:val="20"/>
          <w:szCs w:val="20"/>
        </w:rPr>
        <w:t>DFS Debt</w:t>
      </w:r>
    </w:p>
    <w:p w14:paraId="33DAB6E0" w14:textId="77777777" w:rsidR="004D6A64" w:rsidRDefault="004D6A64"/>
    <w:p w14:paraId="33DAB6E1" w14:textId="77777777" w:rsidR="004D6A64" w:rsidRDefault="00506CD6">
      <w:r>
        <w:rPr>
          <w:rFonts w:ascii="Times New Roman" w:eastAsia="宋体" w:hAnsi="Times New Roman"/>
          <w:color w:val="000000"/>
          <w:sz w:val="20"/>
          <w:szCs w:val="20"/>
        </w:rPr>
        <w:t xml:space="preserve">See Note 4 and Note 7 of the Notes to the Condensed </w:t>
      </w:r>
      <w:r>
        <w:rPr>
          <w:rFonts w:ascii="Times New Roman" w:eastAsia="宋体" w:hAnsi="Times New Roman"/>
          <w:color w:val="000000"/>
          <w:sz w:val="20"/>
          <w:szCs w:val="20"/>
        </w:rPr>
        <w:t>Consolidated Financial Statements, respectively, for discussion of DFS debt and the interest rate swap agreements that hedge a portion of that debt.</w:t>
      </w:r>
    </w:p>
    <w:p w14:paraId="33DAB6E2" w14:textId="77777777" w:rsidR="004D6A64" w:rsidRDefault="004D6A64"/>
    <w:p w14:paraId="33DAB6E3" w14:textId="77777777" w:rsidR="004D6A64" w:rsidRDefault="00506CD6">
      <w:r>
        <w:rPr>
          <w:rFonts w:ascii="Times New Roman" w:eastAsia="宋体" w:hAnsi="Times New Roman"/>
          <w:b/>
          <w:bCs/>
          <w:color w:val="000000"/>
          <w:sz w:val="20"/>
          <w:szCs w:val="20"/>
        </w:rPr>
        <w:t>Other</w:t>
      </w:r>
    </w:p>
    <w:p w14:paraId="33DAB6E4" w14:textId="77777777" w:rsidR="004D6A64" w:rsidRDefault="004D6A64"/>
    <w:p w14:paraId="33DAB6E5" w14:textId="77777777" w:rsidR="004D6A64" w:rsidRDefault="00506CD6">
      <w:r>
        <w:rPr>
          <w:rFonts w:ascii="Times New Roman" w:eastAsia="宋体" w:hAnsi="Times New Roman"/>
          <w:i/>
          <w:iCs/>
          <w:color w:val="000000"/>
          <w:sz w:val="20"/>
          <w:szCs w:val="20"/>
        </w:rPr>
        <w:t>Margin Loan Facility</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 On April 12, 2017, the Company entered into the Margin Loan Facility in an a</w:t>
      </w:r>
      <w:r>
        <w:rPr>
          <w:rFonts w:ascii="Times New Roman" w:eastAsia="宋体" w:hAnsi="Times New Roman"/>
          <w:color w:val="000000"/>
          <w:sz w:val="20"/>
          <w:szCs w:val="20"/>
        </w:rPr>
        <w:t>ggregate principal amount of $2.0 billion, under which VMW Holdco LLC, a wholly-owned subsidiary of EMC, is the borrower. In connection with the Class V transaction described in Note 1 of the Notes to the Condensed Consolidated Financial Statements, on Dec</w:t>
      </w:r>
      <w:r>
        <w:rPr>
          <w:rFonts w:ascii="Times New Roman" w:eastAsia="宋体" w:hAnsi="Times New Roman"/>
          <w:color w:val="000000"/>
          <w:sz w:val="20"/>
          <w:szCs w:val="20"/>
        </w:rPr>
        <w:t>ember 20, 2018, the Company amended the Margin Loan Facility to increase the aggregate principal amount to $3.35 billion. In connection with obtaining the Term Loan A-6 Facility during the fiscal year ended January 31, 2020, the Company increased the aggre</w:t>
      </w:r>
      <w:r>
        <w:rPr>
          <w:rFonts w:ascii="Times New Roman" w:eastAsia="宋体" w:hAnsi="Times New Roman"/>
          <w:color w:val="000000"/>
          <w:sz w:val="20"/>
          <w:szCs w:val="20"/>
        </w:rPr>
        <w:t xml:space="preserve">gate principal amount of the Margin Loan Facility to $4.0 billion. </w:t>
      </w:r>
    </w:p>
    <w:p w14:paraId="33DAB6E6" w14:textId="77777777" w:rsidR="004D6A64" w:rsidRDefault="004D6A64"/>
    <w:p w14:paraId="33DAB6E7" w14:textId="77777777" w:rsidR="004D6A64" w:rsidRDefault="00506CD6">
      <w:r>
        <w:rPr>
          <w:rFonts w:ascii="Times New Roman" w:eastAsia="宋体" w:hAnsi="Times New Roman"/>
          <w:color w:val="000000"/>
          <w:sz w:val="20"/>
          <w:szCs w:val="20"/>
        </w:rPr>
        <w:t>During the three months ended May 1, 2020, due to volatility in the U.S. stock market resulting from the outbreak of COVID-19, VMware Holdco LLC proactively pledged additional shares of V</w:t>
      </w:r>
      <w:r>
        <w:rPr>
          <w:rFonts w:ascii="Times New Roman" w:eastAsia="宋体" w:hAnsi="Times New Roman"/>
          <w:color w:val="000000"/>
          <w:sz w:val="20"/>
          <w:szCs w:val="20"/>
        </w:rPr>
        <w:t>Mware, Inc. common stock to secure its obligations under the Margin Loan Facility agreement. This resulted in an aggregate number of shares pledged of approximately 76 million shares of Class B common stock of VMware, Inc. and approximately 24 million shar</w:t>
      </w:r>
      <w:r>
        <w:rPr>
          <w:rFonts w:ascii="Times New Roman" w:eastAsia="宋体" w:hAnsi="Times New Roman"/>
          <w:color w:val="000000"/>
          <w:sz w:val="20"/>
          <w:szCs w:val="20"/>
        </w:rPr>
        <w:t xml:space="preserve">es of Class A common stock of VMware, Inc. </w:t>
      </w:r>
    </w:p>
    <w:p w14:paraId="33DAB6E8" w14:textId="77777777" w:rsidR="004D6A64" w:rsidRDefault="004D6A64"/>
    <w:p w14:paraId="33DAB6E9" w14:textId="77777777" w:rsidR="004D6A64" w:rsidRDefault="00506CD6">
      <w:r>
        <w:rPr>
          <w:rFonts w:ascii="Times New Roman" w:eastAsia="宋体" w:hAnsi="Times New Roman"/>
          <w:color w:val="000000"/>
          <w:sz w:val="20"/>
          <w:szCs w:val="20"/>
        </w:rPr>
        <w:t>Loans under the Margin Loan Facility bear interest at a rate per annum payable, at the borrower’s option, either at (a) a base rate plus 1.25% per annum or (b) a LIBOR-based rate plus 2.25% per annum. Interest u</w:t>
      </w:r>
      <w:r>
        <w:rPr>
          <w:rFonts w:ascii="Times New Roman" w:eastAsia="宋体" w:hAnsi="Times New Roman"/>
          <w:color w:val="000000"/>
          <w:sz w:val="20"/>
          <w:szCs w:val="20"/>
        </w:rPr>
        <w:t>nder the Margin Loan Facility is payable quarterly. The Margin Loan Facility will mature in April 2022. The borrower may voluntarily repay outstanding loans under the Margin Loan Facility at any time without premium or penalty, other than customary “breaka</w:t>
      </w:r>
      <w:r>
        <w:rPr>
          <w:rFonts w:ascii="Times New Roman" w:eastAsia="宋体" w:hAnsi="Times New Roman"/>
          <w:color w:val="000000"/>
          <w:sz w:val="20"/>
          <w:szCs w:val="20"/>
        </w:rPr>
        <w:t>ge” costs, subject to certain minimum threshold amounts for prepayment.</w:t>
      </w:r>
    </w:p>
    <w:p w14:paraId="33DAB6EA" w14:textId="77777777" w:rsidR="004D6A64" w:rsidRDefault="004D6A64"/>
    <w:p w14:paraId="33DAB6EB" w14:textId="77777777" w:rsidR="004D6A64" w:rsidRDefault="004D6A64">
      <w:pPr>
        <w:jc w:val="center"/>
      </w:pPr>
    </w:p>
    <w:p w14:paraId="33DAB6EC" w14:textId="77777777" w:rsidR="004D6A64" w:rsidRDefault="00506CD6">
      <w:pPr>
        <w:jc w:val="center"/>
      </w:pPr>
      <w:r>
        <w:rPr>
          <w:rFonts w:ascii="Times New Roman" w:eastAsia="宋体" w:hAnsi="Times New Roman"/>
          <w:color w:val="000000"/>
          <w:sz w:val="20"/>
          <w:szCs w:val="20"/>
        </w:rPr>
        <w:t>35</w:t>
      </w:r>
    </w:p>
    <w:p w14:paraId="33DAB6ED" w14:textId="77777777" w:rsidR="004D6A64" w:rsidRDefault="004D6A64">
      <w:pPr>
        <w:jc w:val="center"/>
      </w:pPr>
    </w:p>
    <w:p w14:paraId="33DAB6EE" w14:textId="77777777" w:rsidR="004D6A64" w:rsidRDefault="00506CD6">
      <w:r>
        <w:pict w14:anchorId="33DAFAE7">
          <v:rect id="_x0000_i1059" style="width:415.3pt;height:1.5pt" o:hralign="center" o:hrstd="t" o:hr="t" fillcolor="#a0a0a0" stroked="f"/>
        </w:pict>
      </w:r>
    </w:p>
    <w:p w14:paraId="33DAB6EF" w14:textId="77777777" w:rsidR="004D6A64" w:rsidRDefault="00506CD6">
      <w:hyperlink r:id="rId158" w:anchor="if3e0e1bf9ecd4bf69551d7a85f98d64a_10" w:history="1">
        <w:r>
          <w:rPr>
            <w:rStyle w:val="a5"/>
            <w:rFonts w:ascii="Times New Roman" w:eastAsia="宋体" w:hAnsi="Times New Roman"/>
            <w:sz w:val="20"/>
            <w:szCs w:val="20"/>
          </w:rPr>
          <w:t>Table of Contents</w:t>
        </w:r>
      </w:hyperlink>
    </w:p>
    <w:p w14:paraId="33DAB6F0"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B6F1"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33DAB6F2"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B6F3" w14:textId="77777777" w:rsidR="004D6A64" w:rsidRDefault="004D6A64">
      <w:pPr>
        <w:jc w:val="center"/>
      </w:pPr>
    </w:p>
    <w:p w14:paraId="33DAB6F4" w14:textId="77777777" w:rsidR="004D6A64" w:rsidRDefault="00506CD6">
      <w:r>
        <w:rPr>
          <w:rFonts w:ascii="Times New Roman" w:eastAsia="宋体" w:hAnsi="Times New Roman"/>
          <w:b/>
          <w:bCs/>
          <w:color w:val="000000"/>
          <w:sz w:val="20"/>
          <w:szCs w:val="20"/>
        </w:rPr>
        <w:t>Aggregate Future Maturities</w:t>
      </w:r>
    </w:p>
    <w:p w14:paraId="33DAB6F5" w14:textId="77777777" w:rsidR="004D6A64" w:rsidRDefault="004D6A64"/>
    <w:p w14:paraId="33DAB6F6" w14:textId="77777777" w:rsidR="004D6A64" w:rsidRDefault="00506CD6">
      <w:r>
        <w:rPr>
          <w:rFonts w:ascii="Times New Roman" w:eastAsia="宋体" w:hAnsi="Times New Roman"/>
          <w:color w:val="000000"/>
          <w:sz w:val="20"/>
          <w:szCs w:val="20"/>
        </w:rPr>
        <w:t>The following table presents the aggregate future maturities of the Company’s debt as of July 31, 2020 for the periods ind</w:t>
      </w:r>
      <w:r>
        <w:rPr>
          <w:rFonts w:ascii="Times New Roman" w:eastAsia="宋体" w:hAnsi="Times New Roman"/>
          <w:color w:val="000000"/>
          <w:sz w:val="20"/>
          <w:szCs w:val="20"/>
        </w:rPr>
        <w:t>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1200"/>
        <w:gridCol w:w="39"/>
        <w:gridCol w:w="136"/>
        <w:gridCol w:w="882"/>
        <w:gridCol w:w="41"/>
        <w:gridCol w:w="36"/>
        <w:gridCol w:w="36"/>
        <w:gridCol w:w="36"/>
        <w:gridCol w:w="135"/>
        <w:gridCol w:w="515"/>
        <w:gridCol w:w="41"/>
        <w:gridCol w:w="36"/>
        <w:gridCol w:w="36"/>
        <w:gridCol w:w="36"/>
        <w:gridCol w:w="135"/>
        <w:gridCol w:w="515"/>
        <w:gridCol w:w="41"/>
        <w:gridCol w:w="36"/>
        <w:gridCol w:w="36"/>
        <w:gridCol w:w="36"/>
        <w:gridCol w:w="135"/>
        <w:gridCol w:w="515"/>
        <w:gridCol w:w="41"/>
        <w:gridCol w:w="36"/>
        <w:gridCol w:w="36"/>
        <w:gridCol w:w="36"/>
        <w:gridCol w:w="135"/>
        <w:gridCol w:w="515"/>
        <w:gridCol w:w="41"/>
        <w:gridCol w:w="36"/>
        <w:gridCol w:w="36"/>
        <w:gridCol w:w="36"/>
        <w:gridCol w:w="136"/>
        <w:gridCol w:w="861"/>
        <w:gridCol w:w="41"/>
        <w:gridCol w:w="36"/>
        <w:gridCol w:w="36"/>
        <w:gridCol w:w="36"/>
        <w:gridCol w:w="135"/>
        <w:gridCol w:w="615"/>
        <w:gridCol w:w="4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4D6A64" w14:paraId="33DAB721" w14:textId="77777777">
        <w:trPr>
          <w:gridAfter w:val="21"/>
          <w:jc w:val="center"/>
        </w:trPr>
        <w:tc>
          <w:tcPr>
            <w:tcW w:w="50" w:type="pct"/>
            <w:shd w:val="clear" w:color="auto" w:fill="auto"/>
          </w:tcPr>
          <w:p w14:paraId="33DAB6F7" w14:textId="77777777" w:rsidR="004D6A64" w:rsidRDefault="004D6A64">
            <w:pPr>
              <w:rPr>
                <w:rFonts w:ascii="宋体"/>
              </w:rPr>
            </w:pPr>
          </w:p>
        </w:tc>
        <w:tc>
          <w:tcPr>
            <w:tcW w:w="1436" w:type="pct"/>
            <w:shd w:val="clear" w:color="auto" w:fill="auto"/>
          </w:tcPr>
          <w:p w14:paraId="33DAB6F8" w14:textId="77777777" w:rsidR="004D6A64" w:rsidRDefault="004D6A64">
            <w:pPr>
              <w:rPr>
                <w:rFonts w:ascii="宋体"/>
              </w:rPr>
            </w:pPr>
          </w:p>
        </w:tc>
        <w:tc>
          <w:tcPr>
            <w:tcW w:w="5" w:type="pct"/>
            <w:shd w:val="clear" w:color="auto" w:fill="auto"/>
          </w:tcPr>
          <w:p w14:paraId="33DAB6F9" w14:textId="77777777" w:rsidR="004D6A64" w:rsidRDefault="004D6A64">
            <w:pPr>
              <w:rPr>
                <w:rFonts w:ascii="宋体"/>
              </w:rPr>
            </w:pPr>
          </w:p>
        </w:tc>
        <w:tc>
          <w:tcPr>
            <w:tcW w:w="50" w:type="pct"/>
            <w:shd w:val="clear" w:color="auto" w:fill="auto"/>
          </w:tcPr>
          <w:p w14:paraId="33DAB6FA" w14:textId="77777777" w:rsidR="004D6A64" w:rsidRDefault="004D6A64">
            <w:pPr>
              <w:rPr>
                <w:rFonts w:ascii="宋体"/>
              </w:rPr>
            </w:pPr>
          </w:p>
        </w:tc>
        <w:tc>
          <w:tcPr>
            <w:tcW w:w="471" w:type="pct"/>
            <w:shd w:val="clear" w:color="auto" w:fill="auto"/>
          </w:tcPr>
          <w:p w14:paraId="33DAB6FB" w14:textId="77777777" w:rsidR="004D6A64" w:rsidRDefault="004D6A64">
            <w:pPr>
              <w:rPr>
                <w:rFonts w:ascii="宋体"/>
              </w:rPr>
            </w:pPr>
          </w:p>
        </w:tc>
        <w:tc>
          <w:tcPr>
            <w:tcW w:w="5" w:type="pct"/>
            <w:shd w:val="clear" w:color="auto" w:fill="auto"/>
          </w:tcPr>
          <w:p w14:paraId="33DAB6FC" w14:textId="77777777" w:rsidR="004D6A64" w:rsidRDefault="004D6A64">
            <w:pPr>
              <w:rPr>
                <w:rFonts w:ascii="宋体"/>
              </w:rPr>
            </w:pPr>
          </w:p>
        </w:tc>
        <w:tc>
          <w:tcPr>
            <w:tcW w:w="5" w:type="pct"/>
            <w:shd w:val="clear" w:color="auto" w:fill="auto"/>
          </w:tcPr>
          <w:p w14:paraId="33DAB6FD" w14:textId="77777777" w:rsidR="004D6A64" w:rsidRDefault="004D6A64">
            <w:pPr>
              <w:rPr>
                <w:rFonts w:ascii="宋体"/>
              </w:rPr>
            </w:pPr>
          </w:p>
        </w:tc>
        <w:tc>
          <w:tcPr>
            <w:tcW w:w="19" w:type="pct"/>
            <w:shd w:val="clear" w:color="auto" w:fill="auto"/>
          </w:tcPr>
          <w:p w14:paraId="33DAB6FE" w14:textId="77777777" w:rsidR="004D6A64" w:rsidRDefault="004D6A64">
            <w:pPr>
              <w:rPr>
                <w:rFonts w:ascii="宋体"/>
              </w:rPr>
            </w:pPr>
          </w:p>
        </w:tc>
        <w:tc>
          <w:tcPr>
            <w:tcW w:w="5" w:type="pct"/>
            <w:shd w:val="clear" w:color="auto" w:fill="auto"/>
          </w:tcPr>
          <w:p w14:paraId="33DAB6FF" w14:textId="77777777" w:rsidR="004D6A64" w:rsidRDefault="004D6A64">
            <w:pPr>
              <w:rPr>
                <w:rFonts w:ascii="宋体"/>
              </w:rPr>
            </w:pPr>
          </w:p>
        </w:tc>
        <w:tc>
          <w:tcPr>
            <w:tcW w:w="50" w:type="pct"/>
            <w:shd w:val="clear" w:color="auto" w:fill="auto"/>
          </w:tcPr>
          <w:p w14:paraId="33DAB700" w14:textId="77777777" w:rsidR="004D6A64" w:rsidRDefault="004D6A64">
            <w:pPr>
              <w:rPr>
                <w:rFonts w:ascii="宋体"/>
              </w:rPr>
            </w:pPr>
          </w:p>
        </w:tc>
        <w:tc>
          <w:tcPr>
            <w:tcW w:w="383" w:type="pct"/>
            <w:shd w:val="clear" w:color="auto" w:fill="auto"/>
          </w:tcPr>
          <w:p w14:paraId="33DAB701" w14:textId="77777777" w:rsidR="004D6A64" w:rsidRDefault="004D6A64">
            <w:pPr>
              <w:rPr>
                <w:rFonts w:ascii="宋体"/>
              </w:rPr>
            </w:pPr>
          </w:p>
        </w:tc>
        <w:tc>
          <w:tcPr>
            <w:tcW w:w="5" w:type="pct"/>
            <w:shd w:val="clear" w:color="auto" w:fill="auto"/>
          </w:tcPr>
          <w:p w14:paraId="33DAB702" w14:textId="77777777" w:rsidR="004D6A64" w:rsidRDefault="004D6A64">
            <w:pPr>
              <w:rPr>
                <w:rFonts w:ascii="宋体"/>
              </w:rPr>
            </w:pPr>
          </w:p>
        </w:tc>
        <w:tc>
          <w:tcPr>
            <w:tcW w:w="5" w:type="pct"/>
            <w:shd w:val="clear" w:color="auto" w:fill="auto"/>
          </w:tcPr>
          <w:p w14:paraId="33DAB703" w14:textId="77777777" w:rsidR="004D6A64" w:rsidRDefault="004D6A64">
            <w:pPr>
              <w:rPr>
                <w:rFonts w:ascii="宋体"/>
              </w:rPr>
            </w:pPr>
          </w:p>
        </w:tc>
        <w:tc>
          <w:tcPr>
            <w:tcW w:w="19" w:type="pct"/>
            <w:shd w:val="clear" w:color="auto" w:fill="auto"/>
          </w:tcPr>
          <w:p w14:paraId="33DAB704" w14:textId="77777777" w:rsidR="004D6A64" w:rsidRDefault="004D6A64">
            <w:pPr>
              <w:rPr>
                <w:rFonts w:ascii="宋体"/>
              </w:rPr>
            </w:pPr>
          </w:p>
        </w:tc>
        <w:tc>
          <w:tcPr>
            <w:tcW w:w="5" w:type="pct"/>
            <w:shd w:val="clear" w:color="auto" w:fill="auto"/>
          </w:tcPr>
          <w:p w14:paraId="33DAB705" w14:textId="77777777" w:rsidR="004D6A64" w:rsidRDefault="004D6A64">
            <w:pPr>
              <w:rPr>
                <w:rFonts w:ascii="宋体"/>
              </w:rPr>
            </w:pPr>
          </w:p>
        </w:tc>
        <w:tc>
          <w:tcPr>
            <w:tcW w:w="50" w:type="pct"/>
            <w:shd w:val="clear" w:color="auto" w:fill="auto"/>
          </w:tcPr>
          <w:p w14:paraId="33DAB706" w14:textId="77777777" w:rsidR="004D6A64" w:rsidRDefault="004D6A64">
            <w:pPr>
              <w:rPr>
                <w:rFonts w:ascii="宋体"/>
              </w:rPr>
            </w:pPr>
          </w:p>
        </w:tc>
        <w:tc>
          <w:tcPr>
            <w:tcW w:w="383" w:type="pct"/>
            <w:shd w:val="clear" w:color="auto" w:fill="auto"/>
          </w:tcPr>
          <w:p w14:paraId="33DAB707" w14:textId="77777777" w:rsidR="004D6A64" w:rsidRDefault="004D6A64">
            <w:pPr>
              <w:rPr>
                <w:rFonts w:ascii="宋体"/>
              </w:rPr>
            </w:pPr>
          </w:p>
        </w:tc>
        <w:tc>
          <w:tcPr>
            <w:tcW w:w="5" w:type="pct"/>
            <w:shd w:val="clear" w:color="auto" w:fill="auto"/>
          </w:tcPr>
          <w:p w14:paraId="33DAB708" w14:textId="77777777" w:rsidR="004D6A64" w:rsidRDefault="004D6A64">
            <w:pPr>
              <w:rPr>
                <w:rFonts w:ascii="宋体"/>
              </w:rPr>
            </w:pPr>
          </w:p>
        </w:tc>
        <w:tc>
          <w:tcPr>
            <w:tcW w:w="5" w:type="pct"/>
            <w:shd w:val="clear" w:color="auto" w:fill="auto"/>
          </w:tcPr>
          <w:p w14:paraId="33DAB709" w14:textId="77777777" w:rsidR="004D6A64" w:rsidRDefault="004D6A64">
            <w:pPr>
              <w:rPr>
                <w:rFonts w:ascii="宋体"/>
              </w:rPr>
            </w:pPr>
          </w:p>
        </w:tc>
        <w:tc>
          <w:tcPr>
            <w:tcW w:w="19" w:type="pct"/>
            <w:shd w:val="clear" w:color="auto" w:fill="auto"/>
          </w:tcPr>
          <w:p w14:paraId="33DAB70A" w14:textId="77777777" w:rsidR="004D6A64" w:rsidRDefault="004D6A64">
            <w:pPr>
              <w:rPr>
                <w:rFonts w:ascii="宋体"/>
              </w:rPr>
            </w:pPr>
          </w:p>
        </w:tc>
        <w:tc>
          <w:tcPr>
            <w:tcW w:w="5" w:type="pct"/>
            <w:shd w:val="clear" w:color="auto" w:fill="auto"/>
          </w:tcPr>
          <w:p w14:paraId="33DAB70B" w14:textId="77777777" w:rsidR="004D6A64" w:rsidRDefault="004D6A64">
            <w:pPr>
              <w:rPr>
                <w:rFonts w:ascii="宋体"/>
              </w:rPr>
            </w:pPr>
          </w:p>
        </w:tc>
        <w:tc>
          <w:tcPr>
            <w:tcW w:w="50" w:type="pct"/>
            <w:shd w:val="clear" w:color="auto" w:fill="auto"/>
          </w:tcPr>
          <w:p w14:paraId="33DAB70C" w14:textId="77777777" w:rsidR="004D6A64" w:rsidRDefault="004D6A64">
            <w:pPr>
              <w:rPr>
                <w:rFonts w:ascii="宋体"/>
              </w:rPr>
            </w:pPr>
          </w:p>
        </w:tc>
        <w:tc>
          <w:tcPr>
            <w:tcW w:w="383" w:type="pct"/>
            <w:shd w:val="clear" w:color="auto" w:fill="auto"/>
          </w:tcPr>
          <w:p w14:paraId="33DAB70D" w14:textId="77777777" w:rsidR="004D6A64" w:rsidRDefault="004D6A64">
            <w:pPr>
              <w:rPr>
                <w:rFonts w:ascii="宋体"/>
              </w:rPr>
            </w:pPr>
          </w:p>
        </w:tc>
        <w:tc>
          <w:tcPr>
            <w:tcW w:w="5" w:type="pct"/>
            <w:shd w:val="clear" w:color="auto" w:fill="auto"/>
          </w:tcPr>
          <w:p w14:paraId="33DAB70E" w14:textId="77777777" w:rsidR="004D6A64" w:rsidRDefault="004D6A64">
            <w:pPr>
              <w:rPr>
                <w:rFonts w:ascii="宋体"/>
              </w:rPr>
            </w:pPr>
          </w:p>
        </w:tc>
        <w:tc>
          <w:tcPr>
            <w:tcW w:w="5" w:type="pct"/>
            <w:shd w:val="clear" w:color="auto" w:fill="auto"/>
          </w:tcPr>
          <w:p w14:paraId="33DAB70F" w14:textId="77777777" w:rsidR="004D6A64" w:rsidRDefault="004D6A64">
            <w:pPr>
              <w:rPr>
                <w:rFonts w:ascii="宋体"/>
              </w:rPr>
            </w:pPr>
          </w:p>
        </w:tc>
        <w:tc>
          <w:tcPr>
            <w:tcW w:w="19" w:type="pct"/>
            <w:shd w:val="clear" w:color="auto" w:fill="auto"/>
          </w:tcPr>
          <w:p w14:paraId="33DAB710" w14:textId="77777777" w:rsidR="004D6A64" w:rsidRDefault="004D6A64">
            <w:pPr>
              <w:rPr>
                <w:rFonts w:ascii="宋体"/>
              </w:rPr>
            </w:pPr>
          </w:p>
        </w:tc>
        <w:tc>
          <w:tcPr>
            <w:tcW w:w="5" w:type="pct"/>
            <w:shd w:val="clear" w:color="auto" w:fill="auto"/>
          </w:tcPr>
          <w:p w14:paraId="33DAB711" w14:textId="77777777" w:rsidR="004D6A64" w:rsidRDefault="004D6A64">
            <w:pPr>
              <w:rPr>
                <w:rFonts w:ascii="宋体"/>
              </w:rPr>
            </w:pPr>
          </w:p>
        </w:tc>
        <w:tc>
          <w:tcPr>
            <w:tcW w:w="50" w:type="pct"/>
            <w:shd w:val="clear" w:color="auto" w:fill="auto"/>
          </w:tcPr>
          <w:p w14:paraId="33DAB712" w14:textId="77777777" w:rsidR="004D6A64" w:rsidRDefault="004D6A64">
            <w:pPr>
              <w:rPr>
                <w:rFonts w:ascii="宋体"/>
              </w:rPr>
            </w:pPr>
          </w:p>
        </w:tc>
        <w:tc>
          <w:tcPr>
            <w:tcW w:w="383" w:type="pct"/>
            <w:shd w:val="clear" w:color="auto" w:fill="auto"/>
          </w:tcPr>
          <w:p w14:paraId="33DAB713" w14:textId="77777777" w:rsidR="004D6A64" w:rsidRDefault="004D6A64">
            <w:pPr>
              <w:rPr>
                <w:rFonts w:ascii="宋体"/>
              </w:rPr>
            </w:pPr>
          </w:p>
        </w:tc>
        <w:tc>
          <w:tcPr>
            <w:tcW w:w="5" w:type="pct"/>
            <w:shd w:val="clear" w:color="auto" w:fill="auto"/>
          </w:tcPr>
          <w:p w14:paraId="33DAB714" w14:textId="77777777" w:rsidR="004D6A64" w:rsidRDefault="004D6A64">
            <w:pPr>
              <w:rPr>
                <w:rFonts w:ascii="宋体"/>
              </w:rPr>
            </w:pPr>
          </w:p>
        </w:tc>
        <w:tc>
          <w:tcPr>
            <w:tcW w:w="5" w:type="pct"/>
            <w:shd w:val="clear" w:color="auto" w:fill="auto"/>
          </w:tcPr>
          <w:p w14:paraId="33DAB715" w14:textId="77777777" w:rsidR="004D6A64" w:rsidRDefault="004D6A64">
            <w:pPr>
              <w:rPr>
                <w:rFonts w:ascii="宋体"/>
              </w:rPr>
            </w:pPr>
          </w:p>
        </w:tc>
        <w:tc>
          <w:tcPr>
            <w:tcW w:w="19" w:type="pct"/>
            <w:shd w:val="clear" w:color="auto" w:fill="auto"/>
          </w:tcPr>
          <w:p w14:paraId="33DAB716" w14:textId="77777777" w:rsidR="004D6A64" w:rsidRDefault="004D6A64">
            <w:pPr>
              <w:rPr>
                <w:rFonts w:ascii="宋体"/>
              </w:rPr>
            </w:pPr>
          </w:p>
        </w:tc>
        <w:tc>
          <w:tcPr>
            <w:tcW w:w="5" w:type="pct"/>
            <w:shd w:val="clear" w:color="auto" w:fill="auto"/>
          </w:tcPr>
          <w:p w14:paraId="33DAB717" w14:textId="77777777" w:rsidR="004D6A64" w:rsidRDefault="004D6A64">
            <w:pPr>
              <w:rPr>
                <w:rFonts w:ascii="宋体"/>
              </w:rPr>
            </w:pPr>
          </w:p>
        </w:tc>
        <w:tc>
          <w:tcPr>
            <w:tcW w:w="50" w:type="pct"/>
            <w:shd w:val="clear" w:color="auto" w:fill="auto"/>
          </w:tcPr>
          <w:p w14:paraId="33DAB718" w14:textId="77777777" w:rsidR="004D6A64" w:rsidRDefault="004D6A64">
            <w:pPr>
              <w:rPr>
                <w:rFonts w:ascii="宋体"/>
              </w:rPr>
            </w:pPr>
          </w:p>
        </w:tc>
        <w:tc>
          <w:tcPr>
            <w:tcW w:w="471" w:type="pct"/>
            <w:shd w:val="clear" w:color="auto" w:fill="auto"/>
          </w:tcPr>
          <w:p w14:paraId="33DAB719" w14:textId="77777777" w:rsidR="004D6A64" w:rsidRDefault="004D6A64">
            <w:pPr>
              <w:rPr>
                <w:rFonts w:ascii="宋体"/>
              </w:rPr>
            </w:pPr>
          </w:p>
        </w:tc>
        <w:tc>
          <w:tcPr>
            <w:tcW w:w="5" w:type="pct"/>
            <w:shd w:val="clear" w:color="auto" w:fill="auto"/>
          </w:tcPr>
          <w:p w14:paraId="33DAB71A" w14:textId="77777777" w:rsidR="004D6A64" w:rsidRDefault="004D6A64">
            <w:pPr>
              <w:rPr>
                <w:rFonts w:ascii="宋体"/>
              </w:rPr>
            </w:pPr>
          </w:p>
        </w:tc>
        <w:tc>
          <w:tcPr>
            <w:tcW w:w="5" w:type="pct"/>
            <w:shd w:val="clear" w:color="auto" w:fill="auto"/>
          </w:tcPr>
          <w:p w14:paraId="33DAB71B" w14:textId="77777777" w:rsidR="004D6A64" w:rsidRDefault="004D6A64">
            <w:pPr>
              <w:rPr>
                <w:rFonts w:ascii="宋体"/>
              </w:rPr>
            </w:pPr>
          </w:p>
        </w:tc>
        <w:tc>
          <w:tcPr>
            <w:tcW w:w="19" w:type="pct"/>
            <w:shd w:val="clear" w:color="auto" w:fill="auto"/>
          </w:tcPr>
          <w:p w14:paraId="33DAB71C" w14:textId="77777777" w:rsidR="004D6A64" w:rsidRDefault="004D6A64">
            <w:pPr>
              <w:rPr>
                <w:rFonts w:ascii="宋体"/>
              </w:rPr>
            </w:pPr>
          </w:p>
        </w:tc>
        <w:tc>
          <w:tcPr>
            <w:tcW w:w="5" w:type="pct"/>
            <w:shd w:val="clear" w:color="auto" w:fill="auto"/>
          </w:tcPr>
          <w:p w14:paraId="33DAB71D" w14:textId="77777777" w:rsidR="004D6A64" w:rsidRDefault="004D6A64">
            <w:pPr>
              <w:rPr>
                <w:rFonts w:ascii="宋体"/>
              </w:rPr>
            </w:pPr>
          </w:p>
        </w:tc>
        <w:tc>
          <w:tcPr>
            <w:tcW w:w="50" w:type="pct"/>
            <w:shd w:val="clear" w:color="auto" w:fill="auto"/>
          </w:tcPr>
          <w:p w14:paraId="33DAB71E" w14:textId="77777777" w:rsidR="004D6A64" w:rsidRDefault="004D6A64">
            <w:pPr>
              <w:rPr>
                <w:rFonts w:ascii="宋体"/>
              </w:rPr>
            </w:pPr>
          </w:p>
        </w:tc>
        <w:tc>
          <w:tcPr>
            <w:tcW w:w="471" w:type="pct"/>
            <w:shd w:val="clear" w:color="auto" w:fill="auto"/>
          </w:tcPr>
          <w:p w14:paraId="33DAB71F" w14:textId="77777777" w:rsidR="004D6A64" w:rsidRDefault="004D6A64">
            <w:pPr>
              <w:rPr>
                <w:rFonts w:ascii="宋体"/>
              </w:rPr>
            </w:pPr>
          </w:p>
        </w:tc>
        <w:tc>
          <w:tcPr>
            <w:tcW w:w="5" w:type="pct"/>
            <w:shd w:val="clear" w:color="auto" w:fill="auto"/>
          </w:tcPr>
          <w:p w14:paraId="33DAB720" w14:textId="77777777" w:rsidR="004D6A64" w:rsidRDefault="004D6A64">
            <w:pPr>
              <w:rPr>
                <w:rFonts w:ascii="宋体"/>
              </w:rPr>
            </w:pPr>
          </w:p>
        </w:tc>
      </w:tr>
      <w:tr w:rsidR="004D6A64" w14:paraId="33DAB72C" w14:textId="77777777">
        <w:trPr>
          <w:jc w:val="center"/>
        </w:trPr>
        <w:tc>
          <w:tcPr>
            <w:tcW w:w="0" w:type="auto"/>
            <w:gridSpan w:val="3"/>
            <w:shd w:val="clear" w:color="auto" w:fill="auto"/>
            <w:tcMar>
              <w:top w:w="40" w:type="dxa"/>
              <w:left w:w="20" w:type="dxa"/>
              <w:bottom w:w="40" w:type="dxa"/>
              <w:right w:w="20" w:type="dxa"/>
            </w:tcMar>
            <w:vAlign w:val="bottom"/>
          </w:tcPr>
          <w:p w14:paraId="33DAB722" w14:textId="77777777" w:rsidR="004D6A64" w:rsidRDefault="00506CD6">
            <w:pPr>
              <w:jc w:val="center"/>
              <w:textAlignment w:val="bottom"/>
            </w:pPr>
            <w:r>
              <w:rPr>
                <w:rFonts w:ascii="Times New Roman" w:eastAsia="宋体" w:hAnsi="Times New Roman"/>
                <w:color w:val="000000"/>
                <w:sz w:val="20"/>
                <w:szCs w:val="20"/>
              </w:rPr>
              <w:t> </w:t>
            </w:r>
          </w:p>
        </w:tc>
        <w:tc>
          <w:tcPr>
            <w:tcW w:w="0" w:type="auto"/>
            <w:gridSpan w:val="39"/>
            <w:shd w:val="clear" w:color="auto" w:fill="auto"/>
            <w:tcMar>
              <w:top w:w="40" w:type="dxa"/>
              <w:left w:w="20" w:type="dxa"/>
              <w:bottom w:w="40" w:type="dxa"/>
              <w:right w:w="20" w:type="dxa"/>
            </w:tcMar>
            <w:vAlign w:val="bottom"/>
          </w:tcPr>
          <w:p w14:paraId="33DAB723" w14:textId="77777777" w:rsidR="004D6A64" w:rsidRDefault="00506CD6">
            <w:pPr>
              <w:jc w:val="center"/>
              <w:textAlignment w:val="bottom"/>
            </w:pPr>
            <w:r>
              <w:rPr>
                <w:rFonts w:ascii="Times New Roman" w:eastAsia="宋体" w:hAnsi="Times New Roman"/>
                <w:b/>
                <w:bCs/>
                <w:color w:val="000000"/>
                <w:sz w:val="20"/>
                <w:szCs w:val="20"/>
              </w:rPr>
              <w:t>Maturities by Fiscal Year</w:t>
            </w:r>
          </w:p>
        </w:tc>
        <w:tc>
          <w:tcPr>
            <w:tcW w:w="0" w:type="auto"/>
            <w:gridSpan w:val="3"/>
            <w:shd w:val="clear" w:color="auto" w:fill="auto"/>
          </w:tcPr>
          <w:p w14:paraId="33DAB724" w14:textId="77777777" w:rsidR="004D6A64" w:rsidRDefault="004D6A64">
            <w:pPr>
              <w:rPr>
                <w:rFonts w:ascii="宋体"/>
                <w:vanish/>
              </w:rPr>
            </w:pPr>
          </w:p>
        </w:tc>
        <w:tc>
          <w:tcPr>
            <w:tcW w:w="0" w:type="auto"/>
            <w:gridSpan w:val="3"/>
            <w:shd w:val="clear" w:color="auto" w:fill="auto"/>
          </w:tcPr>
          <w:p w14:paraId="33DAB725" w14:textId="77777777" w:rsidR="004D6A64" w:rsidRDefault="004D6A64">
            <w:pPr>
              <w:rPr>
                <w:rFonts w:ascii="宋体"/>
                <w:vanish/>
              </w:rPr>
            </w:pPr>
          </w:p>
        </w:tc>
        <w:tc>
          <w:tcPr>
            <w:tcW w:w="0" w:type="auto"/>
            <w:gridSpan w:val="3"/>
            <w:shd w:val="clear" w:color="auto" w:fill="auto"/>
          </w:tcPr>
          <w:p w14:paraId="33DAB726" w14:textId="77777777" w:rsidR="004D6A64" w:rsidRDefault="004D6A64">
            <w:pPr>
              <w:rPr>
                <w:rFonts w:ascii="宋体"/>
                <w:vanish/>
              </w:rPr>
            </w:pPr>
          </w:p>
        </w:tc>
        <w:tc>
          <w:tcPr>
            <w:tcW w:w="0" w:type="auto"/>
            <w:gridSpan w:val="3"/>
            <w:shd w:val="clear" w:color="auto" w:fill="auto"/>
          </w:tcPr>
          <w:p w14:paraId="33DAB727" w14:textId="77777777" w:rsidR="004D6A64" w:rsidRDefault="004D6A64">
            <w:pPr>
              <w:rPr>
                <w:rFonts w:ascii="宋体"/>
                <w:vanish/>
              </w:rPr>
            </w:pPr>
          </w:p>
        </w:tc>
        <w:tc>
          <w:tcPr>
            <w:tcW w:w="0" w:type="auto"/>
            <w:gridSpan w:val="3"/>
            <w:shd w:val="clear" w:color="auto" w:fill="auto"/>
          </w:tcPr>
          <w:p w14:paraId="33DAB728" w14:textId="77777777" w:rsidR="004D6A64" w:rsidRDefault="004D6A64">
            <w:pPr>
              <w:rPr>
                <w:rFonts w:ascii="宋体"/>
                <w:vanish/>
              </w:rPr>
            </w:pPr>
          </w:p>
        </w:tc>
        <w:tc>
          <w:tcPr>
            <w:tcW w:w="0" w:type="auto"/>
            <w:gridSpan w:val="3"/>
            <w:shd w:val="clear" w:color="auto" w:fill="auto"/>
          </w:tcPr>
          <w:p w14:paraId="33DAB729" w14:textId="77777777" w:rsidR="004D6A64" w:rsidRDefault="004D6A64">
            <w:pPr>
              <w:rPr>
                <w:rFonts w:ascii="宋体"/>
                <w:vanish/>
              </w:rPr>
            </w:pPr>
          </w:p>
        </w:tc>
        <w:tc>
          <w:tcPr>
            <w:tcW w:w="0" w:type="auto"/>
            <w:gridSpan w:val="2"/>
            <w:shd w:val="clear" w:color="auto" w:fill="auto"/>
          </w:tcPr>
          <w:p w14:paraId="33DAB72A" w14:textId="77777777" w:rsidR="004D6A64" w:rsidRDefault="004D6A64">
            <w:pPr>
              <w:rPr>
                <w:rFonts w:ascii="宋体"/>
                <w:vanish/>
              </w:rPr>
            </w:pPr>
          </w:p>
        </w:tc>
        <w:tc>
          <w:tcPr>
            <w:tcW w:w="0" w:type="auto"/>
            <w:shd w:val="clear" w:color="auto" w:fill="auto"/>
          </w:tcPr>
          <w:p w14:paraId="33DAB72B" w14:textId="77777777" w:rsidR="004D6A64" w:rsidRDefault="004D6A64">
            <w:pPr>
              <w:rPr>
                <w:rFonts w:ascii="宋体"/>
                <w:vanish/>
              </w:rPr>
            </w:pPr>
          </w:p>
        </w:tc>
      </w:tr>
      <w:tr w:rsidR="004D6A64" w14:paraId="33DAB750" w14:textId="77777777">
        <w:trPr>
          <w:jc w:val="center"/>
        </w:trPr>
        <w:tc>
          <w:tcPr>
            <w:tcW w:w="0" w:type="auto"/>
            <w:gridSpan w:val="3"/>
            <w:shd w:val="clear" w:color="auto" w:fill="auto"/>
            <w:tcMar>
              <w:top w:w="40" w:type="dxa"/>
              <w:left w:w="20" w:type="dxa"/>
              <w:bottom w:w="40" w:type="dxa"/>
              <w:right w:w="20" w:type="dxa"/>
            </w:tcMar>
            <w:vAlign w:val="bottom"/>
          </w:tcPr>
          <w:p w14:paraId="33DAB72D" w14:textId="77777777" w:rsidR="004D6A64" w:rsidRDefault="00506CD6">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B72E" w14:textId="77777777" w:rsidR="004D6A64" w:rsidRDefault="00506CD6">
            <w:pPr>
              <w:jc w:val="center"/>
              <w:textAlignment w:val="bottom"/>
            </w:pPr>
            <w:r>
              <w:rPr>
                <w:rFonts w:ascii="Times New Roman" w:eastAsia="宋体" w:hAnsi="Times New Roman"/>
                <w:b/>
                <w:bCs/>
                <w:color w:val="000000"/>
                <w:sz w:val="20"/>
                <w:szCs w:val="20"/>
              </w:rPr>
              <w:t>2021 (remaining six months)</w:t>
            </w:r>
          </w:p>
        </w:tc>
        <w:tc>
          <w:tcPr>
            <w:tcW w:w="0" w:type="auto"/>
            <w:gridSpan w:val="3"/>
            <w:tcBorders>
              <w:top w:val="single" w:sz="8" w:space="0" w:color="000000"/>
            </w:tcBorders>
            <w:shd w:val="clear" w:color="auto" w:fill="auto"/>
            <w:tcMar>
              <w:left w:w="20" w:type="dxa"/>
              <w:right w:w="20" w:type="dxa"/>
            </w:tcMar>
            <w:vAlign w:val="bottom"/>
          </w:tcPr>
          <w:p w14:paraId="33DAB72F"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B730" w14:textId="77777777" w:rsidR="004D6A64" w:rsidRDefault="00506CD6">
            <w:pPr>
              <w:jc w:val="center"/>
              <w:textAlignment w:val="bottom"/>
            </w:pPr>
            <w:r>
              <w:rPr>
                <w:rFonts w:ascii="Times New Roman" w:eastAsia="宋体" w:hAnsi="Times New Roman"/>
                <w:b/>
                <w:bCs/>
                <w:color w:val="000000"/>
                <w:sz w:val="20"/>
                <w:szCs w:val="20"/>
              </w:rPr>
              <w:t>2022</w:t>
            </w:r>
          </w:p>
        </w:tc>
        <w:tc>
          <w:tcPr>
            <w:tcW w:w="0" w:type="auto"/>
            <w:gridSpan w:val="3"/>
            <w:tcBorders>
              <w:top w:val="single" w:sz="8" w:space="0" w:color="000000"/>
            </w:tcBorders>
            <w:shd w:val="clear" w:color="auto" w:fill="auto"/>
            <w:tcMar>
              <w:left w:w="20" w:type="dxa"/>
              <w:right w:w="20" w:type="dxa"/>
            </w:tcMar>
            <w:vAlign w:val="bottom"/>
          </w:tcPr>
          <w:p w14:paraId="33DAB731"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B732" w14:textId="77777777" w:rsidR="004D6A64" w:rsidRDefault="00506CD6">
            <w:pPr>
              <w:jc w:val="center"/>
              <w:textAlignment w:val="bottom"/>
            </w:pPr>
            <w:r>
              <w:rPr>
                <w:rFonts w:ascii="Times New Roman" w:eastAsia="宋体" w:hAnsi="Times New Roman"/>
                <w:b/>
                <w:bCs/>
                <w:color w:val="000000"/>
                <w:sz w:val="20"/>
                <w:szCs w:val="20"/>
              </w:rPr>
              <w:t>2023</w:t>
            </w:r>
          </w:p>
        </w:tc>
        <w:tc>
          <w:tcPr>
            <w:tcW w:w="0" w:type="auto"/>
            <w:gridSpan w:val="3"/>
            <w:tcBorders>
              <w:top w:val="single" w:sz="8" w:space="0" w:color="000000"/>
            </w:tcBorders>
            <w:shd w:val="clear" w:color="auto" w:fill="auto"/>
            <w:tcMar>
              <w:left w:w="20" w:type="dxa"/>
              <w:right w:w="20" w:type="dxa"/>
            </w:tcMar>
            <w:vAlign w:val="bottom"/>
          </w:tcPr>
          <w:p w14:paraId="33DAB733"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B734" w14:textId="77777777" w:rsidR="004D6A64" w:rsidRDefault="00506CD6">
            <w:pPr>
              <w:jc w:val="center"/>
              <w:textAlignment w:val="bottom"/>
            </w:pPr>
            <w:r>
              <w:rPr>
                <w:rFonts w:ascii="Times New Roman" w:eastAsia="宋体" w:hAnsi="Times New Roman"/>
                <w:b/>
                <w:bCs/>
                <w:color w:val="000000"/>
                <w:sz w:val="20"/>
                <w:szCs w:val="20"/>
              </w:rPr>
              <w:t>2024</w:t>
            </w:r>
          </w:p>
        </w:tc>
        <w:tc>
          <w:tcPr>
            <w:tcW w:w="0" w:type="auto"/>
            <w:gridSpan w:val="3"/>
            <w:tcBorders>
              <w:top w:val="single" w:sz="8" w:space="0" w:color="000000"/>
            </w:tcBorders>
            <w:shd w:val="clear" w:color="auto" w:fill="auto"/>
            <w:tcMar>
              <w:left w:w="20" w:type="dxa"/>
              <w:right w:w="20" w:type="dxa"/>
            </w:tcMar>
            <w:vAlign w:val="bottom"/>
          </w:tcPr>
          <w:p w14:paraId="33DAB735"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B736" w14:textId="77777777" w:rsidR="004D6A64" w:rsidRDefault="00506CD6">
            <w:pPr>
              <w:jc w:val="center"/>
              <w:textAlignment w:val="bottom"/>
            </w:pPr>
            <w:r>
              <w:rPr>
                <w:rFonts w:ascii="Times New Roman" w:eastAsia="宋体" w:hAnsi="Times New Roman"/>
                <w:b/>
                <w:bCs/>
                <w:color w:val="000000"/>
                <w:sz w:val="20"/>
                <w:szCs w:val="20"/>
              </w:rPr>
              <w:t>2025</w:t>
            </w:r>
          </w:p>
        </w:tc>
        <w:tc>
          <w:tcPr>
            <w:tcW w:w="0" w:type="auto"/>
            <w:gridSpan w:val="3"/>
            <w:tcBorders>
              <w:top w:val="single" w:sz="8" w:space="0" w:color="000000"/>
            </w:tcBorders>
            <w:shd w:val="clear" w:color="auto" w:fill="auto"/>
            <w:tcMar>
              <w:left w:w="20" w:type="dxa"/>
              <w:right w:w="20" w:type="dxa"/>
            </w:tcMar>
            <w:vAlign w:val="bottom"/>
          </w:tcPr>
          <w:p w14:paraId="33DAB737"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B738" w14:textId="77777777" w:rsidR="004D6A64" w:rsidRDefault="00506CD6">
            <w:pPr>
              <w:jc w:val="center"/>
              <w:textAlignment w:val="bottom"/>
            </w:pPr>
            <w:r>
              <w:rPr>
                <w:rFonts w:ascii="Times New Roman" w:eastAsia="宋体" w:hAnsi="Times New Roman"/>
                <w:b/>
                <w:bCs/>
                <w:color w:val="000000"/>
                <w:sz w:val="20"/>
                <w:szCs w:val="20"/>
              </w:rPr>
              <w:t>Thereafter</w:t>
            </w:r>
          </w:p>
        </w:tc>
        <w:tc>
          <w:tcPr>
            <w:tcW w:w="0" w:type="auto"/>
            <w:gridSpan w:val="3"/>
            <w:tcBorders>
              <w:top w:val="single" w:sz="8" w:space="0" w:color="000000"/>
            </w:tcBorders>
            <w:shd w:val="clear" w:color="auto" w:fill="auto"/>
            <w:tcMar>
              <w:left w:w="20" w:type="dxa"/>
              <w:right w:w="20" w:type="dxa"/>
            </w:tcMar>
            <w:vAlign w:val="bottom"/>
          </w:tcPr>
          <w:p w14:paraId="33DAB739"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B73A" w14:textId="77777777" w:rsidR="004D6A64" w:rsidRDefault="00506CD6">
            <w:pPr>
              <w:jc w:val="center"/>
              <w:textAlignment w:val="bottom"/>
            </w:pPr>
            <w:r>
              <w:rPr>
                <w:rFonts w:ascii="Times New Roman" w:eastAsia="宋体" w:hAnsi="Times New Roman"/>
                <w:b/>
                <w:bCs/>
                <w:color w:val="000000"/>
                <w:sz w:val="20"/>
                <w:szCs w:val="20"/>
              </w:rPr>
              <w:t>Total</w:t>
            </w:r>
          </w:p>
        </w:tc>
        <w:tc>
          <w:tcPr>
            <w:tcW w:w="0" w:type="auto"/>
            <w:shd w:val="clear" w:color="auto" w:fill="auto"/>
          </w:tcPr>
          <w:p w14:paraId="33DAB73B" w14:textId="77777777" w:rsidR="004D6A64" w:rsidRDefault="004D6A64">
            <w:pPr>
              <w:rPr>
                <w:rFonts w:ascii="宋体"/>
              </w:rPr>
            </w:pPr>
          </w:p>
        </w:tc>
        <w:tc>
          <w:tcPr>
            <w:tcW w:w="0" w:type="auto"/>
            <w:shd w:val="clear" w:color="auto" w:fill="auto"/>
          </w:tcPr>
          <w:p w14:paraId="33DAB73C" w14:textId="77777777" w:rsidR="004D6A64" w:rsidRDefault="004D6A64">
            <w:pPr>
              <w:rPr>
                <w:rFonts w:ascii="宋体"/>
              </w:rPr>
            </w:pPr>
          </w:p>
        </w:tc>
        <w:tc>
          <w:tcPr>
            <w:tcW w:w="0" w:type="auto"/>
            <w:shd w:val="clear" w:color="auto" w:fill="auto"/>
          </w:tcPr>
          <w:p w14:paraId="33DAB73D" w14:textId="77777777" w:rsidR="004D6A64" w:rsidRDefault="004D6A64">
            <w:pPr>
              <w:rPr>
                <w:rFonts w:ascii="宋体"/>
              </w:rPr>
            </w:pPr>
          </w:p>
        </w:tc>
        <w:tc>
          <w:tcPr>
            <w:tcW w:w="0" w:type="auto"/>
            <w:shd w:val="clear" w:color="auto" w:fill="auto"/>
          </w:tcPr>
          <w:p w14:paraId="33DAB73E" w14:textId="77777777" w:rsidR="004D6A64" w:rsidRDefault="004D6A64">
            <w:pPr>
              <w:rPr>
                <w:rFonts w:ascii="宋体"/>
              </w:rPr>
            </w:pPr>
          </w:p>
        </w:tc>
        <w:tc>
          <w:tcPr>
            <w:tcW w:w="0" w:type="auto"/>
            <w:shd w:val="clear" w:color="auto" w:fill="auto"/>
          </w:tcPr>
          <w:p w14:paraId="33DAB73F" w14:textId="77777777" w:rsidR="004D6A64" w:rsidRDefault="004D6A64">
            <w:pPr>
              <w:rPr>
                <w:rFonts w:ascii="宋体"/>
              </w:rPr>
            </w:pPr>
          </w:p>
        </w:tc>
        <w:tc>
          <w:tcPr>
            <w:tcW w:w="0" w:type="auto"/>
            <w:shd w:val="clear" w:color="auto" w:fill="auto"/>
          </w:tcPr>
          <w:p w14:paraId="33DAB740" w14:textId="77777777" w:rsidR="004D6A64" w:rsidRDefault="004D6A64">
            <w:pPr>
              <w:rPr>
                <w:rFonts w:ascii="宋体"/>
              </w:rPr>
            </w:pPr>
          </w:p>
        </w:tc>
        <w:tc>
          <w:tcPr>
            <w:tcW w:w="0" w:type="auto"/>
            <w:shd w:val="clear" w:color="auto" w:fill="auto"/>
          </w:tcPr>
          <w:p w14:paraId="33DAB741" w14:textId="77777777" w:rsidR="004D6A64" w:rsidRDefault="004D6A64">
            <w:pPr>
              <w:rPr>
                <w:rFonts w:ascii="宋体"/>
              </w:rPr>
            </w:pPr>
          </w:p>
        </w:tc>
        <w:tc>
          <w:tcPr>
            <w:tcW w:w="0" w:type="auto"/>
            <w:shd w:val="clear" w:color="auto" w:fill="auto"/>
          </w:tcPr>
          <w:p w14:paraId="33DAB742" w14:textId="77777777" w:rsidR="004D6A64" w:rsidRDefault="004D6A64">
            <w:pPr>
              <w:rPr>
                <w:rFonts w:ascii="宋体"/>
              </w:rPr>
            </w:pPr>
          </w:p>
        </w:tc>
        <w:tc>
          <w:tcPr>
            <w:tcW w:w="0" w:type="auto"/>
            <w:shd w:val="clear" w:color="auto" w:fill="auto"/>
          </w:tcPr>
          <w:p w14:paraId="33DAB743" w14:textId="77777777" w:rsidR="004D6A64" w:rsidRDefault="004D6A64">
            <w:pPr>
              <w:rPr>
                <w:rFonts w:ascii="宋体"/>
              </w:rPr>
            </w:pPr>
          </w:p>
        </w:tc>
        <w:tc>
          <w:tcPr>
            <w:tcW w:w="0" w:type="auto"/>
            <w:shd w:val="clear" w:color="auto" w:fill="auto"/>
          </w:tcPr>
          <w:p w14:paraId="33DAB744" w14:textId="77777777" w:rsidR="004D6A64" w:rsidRDefault="004D6A64">
            <w:pPr>
              <w:rPr>
                <w:rFonts w:ascii="宋体"/>
              </w:rPr>
            </w:pPr>
          </w:p>
        </w:tc>
        <w:tc>
          <w:tcPr>
            <w:tcW w:w="0" w:type="auto"/>
            <w:shd w:val="clear" w:color="auto" w:fill="auto"/>
          </w:tcPr>
          <w:p w14:paraId="33DAB745" w14:textId="77777777" w:rsidR="004D6A64" w:rsidRDefault="004D6A64">
            <w:pPr>
              <w:rPr>
                <w:rFonts w:ascii="宋体"/>
              </w:rPr>
            </w:pPr>
          </w:p>
        </w:tc>
        <w:tc>
          <w:tcPr>
            <w:tcW w:w="0" w:type="auto"/>
            <w:shd w:val="clear" w:color="auto" w:fill="auto"/>
          </w:tcPr>
          <w:p w14:paraId="33DAB746" w14:textId="77777777" w:rsidR="004D6A64" w:rsidRDefault="004D6A64">
            <w:pPr>
              <w:rPr>
                <w:rFonts w:ascii="宋体"/>
              </w:rPr>
            </w:pPr>
          </w:p>
        </w:tc>
        <w:tc>
          <w:tcPr>
            <w:tcW w:w="0" w:type="auto"/>
            <w:shd w:val="clear" w:color="auto" w:fill="auto"/>
          </w:tcPr>
          <w:p w14:paraId="33DAB747" w14:textId="77777777" w:rsidR="004D6A64" w:rsidRDefault="004D6A64">
            <w:pPr>
              <w:rPr>
                <w:rFonts w:ascii="宋体"/>
              </w:rPr>
            </w:pPr>
          </w:p>
        </w:tc>
        <w:tc>
          <w:tcPr>
            <w:tcW w:w="0" w:type="auto"/>
            <w:shd w:val="clear" w:color="auto" w:fill="auto"/>
          </w:tcPr>
          <w:p w14:paraId="33DAB748" w14:textId="77777777" w:rsidR="004D6A64" w:rsidRDefault="004D6A64">
            <w:pPr>
              <w:rPr>
                <w:rFonts w:ascii="宋体"/>
              </w:rPr>
            </w:pPr>
          </w:p>
        </w:tc>
        <w:tc>
          <w:tcPr>
            <w:tcW w:w="0" w:type="auto"/>
            <w:shd w:val="clear" w:color="auto" w:fill="auto"/>
          </w:tcPr>
          <w:p w14:paraId="33DAB749" w14:textId="77777777" w:rsidR="004D6A64" w:rsidRDefault="004D6A64">
            <w:pPr>
              <w:rPr>
                <w:rFonts w:ascii="宋体"/>
              </w:rPr>
            </w:pPr>
          </w:p>
        </w:tc>
        <w:tc>
          <w:tcPr>
            <w:tcW w:w="0" w:type="auto"/>
            <w:shd w:val="clear" w:color="auto" w:fill="auto"/>
          </w:tcPr>
          <w:p w14:paraId="33DAB74A" w14:textId="77777777" w:rsidR="004D6A64" w:rsidRDefault="004D6A64">
            <w:pPr>
              <w:rPr>
                <w:rFonts w:ascii="宋体"/>
              </w:rPr>
            </w:pPr>
          </w:p>
        </w:tc>
        <w:tc>
          <w:tcPr>
            <w:tcW w:w="0" w:type="auto"/>
            <w:shd w:val="clear" w:color="auto" w:fill="auto"/>
          </w:tcPr>
          <w:p w14:paraId="33DAB74B" w14:textId="77777777" w:rsidR="004D6A64" w:rsidRDefault="004D6A64">
            <w:pPr>
              <w:rPr>
                <w:rFonts w:ascii="宋体"/>
              </w:rPr>
            </w:pPr>
          </w:p>
        </w:tc>
        <w:tc>
          <w:tcPr>
            <w:tcW w:w="0" w:type="auto"/>
            <w:shd w:val="clear" w:color="auto" w:fill="auto"/>
          </w:tcPr>
          <w:p w14:paraId="33DAB74C" w14:textId="77777777" w:rsidR="004D6A64" w:rsidRDefault="004D6A64">
            <w:pPr>
              <w:rPr>
                <w:rFonts w:ascii="宋体"/>
              </w:rPr>
            </w:pPr>
          </w:p>
        </w:tc>
        <w:tc>
          <w:tcPr>
            <w:tcW w:w="0" w:type="auto"/>
            <w:shd w:val="clear" w:color="auto" w:fill="auto"/>
          </w:tcPr>
          <w:p w14:paraId="33DAB74D" w14:textId="77777777" w:rsidR="004D6A64" w:rsidRDefault="004D6A64">
            <w:pPr>
              <w:rPr>
                <w:rFonts w:ascii="宋体"/>
              </w:rPr>
            </w:pPr>
          </w:p>
        </w:tc>
        <w:tc>
          <w:tcPr>
            <w:tcW w:w="0" w:type="auto"/>
            <w:shd w:val="clear" w:color="auto" w:fill="auto"/>
          </w:tcPr>
          <w:p w14:paraId="33DAB74E" w14:textId="77777777" w:rsidR="004D6A64" w:rsidRDefault="004D6A64">
            <w:pPr>
              <w:rPr>
                <w:rFonts w:ascii="宋体"/>
              </w:rPr>
            </w:pPr>
          </w:p>
        </w:tc>
        <w:tc>
          <w:tcPr>
            <w:tcW w:w="0" w:type="auto"/>
            <w:shd w:val="clear" w:color="auto" w:fill="auto"/>
          </w:tcPr>
          <w:p w14:paraId="33DAB74F" w14:textId="77777777" w:rsidR="004D6A64" w:rsidRDefault="004D6A64">
            <w:pPr>
              <w:rPr>
                <w:rFonts w:ascii="宋体"/>
              </w:rPr>
            </w:pPr>
          </w:p>
        </w:tc>
      </w:tr>
      <w:tr w:rsidR="004D6A64" w14:paraId="33DAB75B" w14:textId="77777777">
        <w:trPr>
          <w:jc w:val="center"/>
        </w:trPr>
        <w:tc>
          <w:tcPr>
            <w:tcW w:w="0" w:type="auto"/>
            <w:gridSpan w:val="3"/>
            <w:shd w:val="clear" w:color="auto" w:fill="auto"/>
            <w:tcMar>
              <w:top w:w="40" w:type="dxa"/>
              <w:left w:w="20" w:type="dxa"/>
              <w:bottom w:w="40" w:type="dxa"/>
              <w:right w:w="20" w:type="dxa"/>
            </w:tcMar>
            <w:vAlign w:val="bottom"/>
          </w:tcPr>
          <w:p w14:paraId="33DAB751" w14:textId="77777777" w:rsidR="004D6A64" w:rsidRDefault="00506CD6">
            <w:pPr>
              <w:jc w:val="center"/>
              <w:textAlignment w:val="bottom"/>
            </w:pPr>
            <w:r>
              <w:rPr>
                <w:rFonts w:ascii="Times New Roman" w:eastAsia="宋体" w:hAnsi="Times New Roman"/>
                <w:color w:val="000000"/>
                <w:sz w:val="20"/>
                <w:szCs w:val="20"/>
              </w:rPr>
              <w:t> </w:t>
            </w:r>
          </w:p>
        </w:tc>
        <w:tc>
          <w:tcPr>
            <w:tcW w:w="0" w:type="auto"/>
            <w:gridSpan w:val="39"/>
            <w:tcBorders>
              <w:top w:val="single" w:sz="8" w:space="0" w:color="000000"/>
            </w:tcBorders>
            <w:shd w:val="clear" w:color="auto" w:fill="auto"/>
            <w:tcMar>
              <w:top w:w="40" w:type="dxa"/>
              <w:left w:w="20" w:type="dxa"/>
              <w:bottom w:w="40" w:type="dxa"/>
              <w:right w:w="20" w:type="dxa"/>
            </w:tcMar>
            <w:vAlign w:val="bottom"/>
          </w:tcPr>
          <w:p w14:paraId="33DAB752" w14:textId="77777777" w:rsidR="004D6A64" w:rsidRDefault="00506CD6">
            <w:pPr>
              <w:jc w:val="center"/>
              <w:textAlignment w:val="bottom"/>
            </w:pPr>
            <w:r>
              <w:rPr>
                <w:rFonts w:ascii="Times New Roman" w:eastAsia="宋体" w:hAnsi="Times New Roman"/>
                <w:color w:val="000000"/>
                <w:sz w:val="20"/>
                <w:szCs w:val="20"/>
              </w:rPr>
              <w:t>(in millions)</w:t>
            </w:r>
          </w:p>
        </w:tc>
        <w:tc>
          <w:tcPr>
            <w:tcW w:w="0" w:type="auto"/>
            <w:gridSpan w:val="3"/>
            <w:shd w:val="clear" w:color="auto" w:fill="auto"/>
          </w:tcPr>
          <w:p w14:paraId="33DAB753" w14:textId="77777777" w:rsidR="004D6A64" w:rsidRDefault="004D6A64">
            <w:pPr>
              <w:rPr>
                <w:rFonts w:ascii="宋体"/>
                <w:vanish/>
              </w:rPr>
            </w:pPr>
          </w:p>
        </w:tc>
        <w:tc>
          <w:tcPr>
            <w:tcW w:w="0" w:type="auto"/>
            <w:gridSpan w:val="3"/>
            <w:shd w:val="clear" w:color="auto" w:fill="auto"/>
          </w:tcPr>
          <w:p w14:paraId="33DAB754" w14:textId="77777777" w:rsidR="004D6A64" w:rsidRDefault="004D6A64">
            <w:pPr>
              <w:rPr>
                <w:rFonts w:ascii="宋体"/>
                <w:vanish/>
              </w:rPr>
            </w:pPr>
          </w:p>
        </w:tc>
        <w:tc>
          <w:tcPr>
            <w:tcW w:w="0" w:type="auto"/>
            <w:gridSpan w:val="3"/>
            <w:shd w:val="clear" w:color="auto" w:fill="auto"/>
          </w:tcPr>
          <w:p w14:paraId="33DAB755" w14:textId="77777777" w:rsidR="004D6A64" w:rsidRDefault="004D6A64">
            <w:pPr>
              <w:rPr>
                <w:rFonts w:ascii="宋体"/>
                <w:vanish/>
              </w:rPr>
            </w:pPr>
          </w:p>
        </w:tc>
        <w:tc>
          <w:tcPr>
            <w:tcW w:w="0" w:type="auto"/>
            <w:gridSpan w:val="3"/>
            <w:shd w:val="clear" w:color="auto" w:fill="auto"/>
          </w:tcPr>
          <w:p w14:paraId="33DAB756" w14:textId="77777777" w:rsidR="004D6A64" w:rsidRDefault="004D6A64">
            <w:pPr>
              <w:rPr>
                <w:rFonts w:ascii="宋体"/>
                <w:vanish/>
              </w:rPr>
            </w:pPr>
          </w:p>
        </w:tc>
        <w:tc>
          <w:tcPr>
            <w:tcW w:w="0" w:type="auto"/>
            <w:gridSpan w:val="3"/>
            <w:shd w:val="clear" w:color="auto" w:fill="auto"/>
          </w:tcPr>
          <w:p w14:paraId="33DAB757" w14:textId="77777777" w:rsidR="004D6A64" w:rsidRDefault="004D6A64">
            <w:pPr>
              <w:rPr>
                <w:rFonts w:ascii="宋体"/>
                <w:vanish/>
              </w:rPr>
            </w:pPr>
          </w:p>
        </w:tc>
        <w:tc>
          <w:tcPr>
            <w:tcW w:w="0" w:type="auto"/>
            <w:gridSpan w:val="3"/>
            <w:shd w:val="clear" w:color="auto" w:fill="auto"/>
          </w:tcPr>
          <w:p w14:paraId="33DAB758" w14:textId="77777777" w:rsidR="004D6A64" w:rsidRDefault="004D6A64">
            <w:pPr>
              <w:rPr>
                <w:rFonts w:ascii="宋体"/>
                <w:vanish/>
              </w:rPr>
            </w:pPr>
          </w:p>
        </w:tc>
        <w:tc>
          <w:tcPr>
            <w:tcW w:w="0" w:type="auto"/>
            <w:gridSpan w:val="2"/>
            <w:shd w:val="clear" w:color="auto" w:fill="auto"/>
          </w:tcPr>
          <w:p w14:paraId="33DAB759" w14:textId="77777777" w:rsidR="004D6A64" w:rsidRDefault="004D6A64">
            <w:pPr>
              <w:rPr>
                <w:rFonts w:ascii="宋体"/>
                <w:vanish/>
              </w:rPr>
            </w:pPr>
          </w:p>
        </w:tc>
        <w:tc>
          <w:tcPr>
            <w:tcW w:w="0" w:type="auto"/>
            <w:shd w:val="clear" w:color="auto" w:fill="auto"/>
          </w:tcPr>
          <w:p w14:paraId="33DAB75A" w14:textId="77777777" w:rsidR="004D6A64" w:rsidRDefault="004D6A64">
            <w:pPr>
              <w:rPr>
                <w:rFonts w:ascii="宋体"/>
                <w:vanish/>
              </w:rPr>
            </w:pPr>
          </w:p>
        </w:tc>
      </w:tr>
      <w:tr w:rsidR="004D6A64" w14:paraId="33DAB78D" w14:textId="77777777">
        <w:trPr>
          <w:jc w:val="center"/>
        </w:trPr>
        <w:tc>
          <w:tcPr>
            <w:tcW w:w="0" w:type="auto"/>
            <w:gridSpan w:val="3"/>
            <w:shd w:val="clear" w:color="auto" w:fill="CCEEFF"/>
            <w:tcMar>
              <w:top w:w="40" w:type="dxa"/>
              <w:left w:w="20" w:type="dxa"/>
              <w:bottom w:w="40" w:type="dxa"/>
              <w:right w:w="20" w:type="dxa"/>
            </w:tcMar>
            <w:vAlign w:val="bottom"/>
          </w:tcPr>
          <w:p w14:paraId="33DAB75C" w14:textId="77777777" w:rsidR="004D6A64" w:rsidRDefault="00506CD6">
            <w:pPr>
              <w:textAlignment w:val="bottom"/>
            </w:pPr>
            <w:r>
              <w:rPr>
                <w:rFonts w:ascii="Times New Roman" w:eastAsia="宋体" w:hAnsi="Times New Roman"/>
                <w:color w:val="000000"/>
                <w:sz w:val="20"/>
                <w:szCs w:val="20"/>
              </w:rPr>
              <w:t xml:space="preserve">Senior Secured Credit Facilities and First Lien </w:t>
            </w:r>
            <w:r>
              <w:rPr>
                <w:rFonts w:ascii="Times New Roman" w:eastAsia="宋体" w:hAnsi="Times New Roman"/>
                <w:color w:val="000000"/>
                <w:sz w:val="20"/>
                <w:szCs w:val="20"/>
              </w:rPr>
              <w:t>Notes</w:t>
            </w:r>
          </w:p>
        </w:tc>
        <w:tc>
          <w:tcPr>
            <w:tcW w:w="0" w:type="auto"/>
            <w:shd w:val="clear" w:color="auto" w:fill="CCEEFF"/>
            <w:tcMar>
              <w:top w:w="40" w:type="dxa"/>
              <w:left w:w="20" w:type="dxa"/>
              <w:bottom w:w="40" w:type="dxa"/>
            </w:tcMar>
            <w:vAlign w:val="bottom"/>
          </w:tcPr>
          <w:p w14:paraId="33DAB75D"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B75E"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B75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760"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B761"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B762" w14:textId="77777777" w:rsidR="004D6A64" w:rsidRDefault="00506CD6">
            <w:pPr>
              <w:jc w:val="right"/>
              <w:textAlignment w:val="bottom"/>
            </w:pPr>
            <w:r>
              <w:rPr>
                <w:rFonts w:ascii="Times New Roman" w:eastAsia="宋体" w:hAnsi="Times New Roman"/>
                <w:color w:val="000000"/>
                <w:sz w:val="20"/>
                <w:szCs w:val="20"/>
              </w:rPr>
              <w:t>3,237 </w:t>
            </w:r>
          </w:p>
        </w:tc>
        <w:tc>
          <w:tcPr>
            <w:tcW w:w="0" w:type="auto"/>
            <w:shd w:val="clear" w:color="auto" w:fill="CCEEFF"/>
            <w:tcMar>
              <w:top w:w="40" w:type="dxa"/>
              <w:bottom w:w="40" w:type="dxa"/>
              <w:right w:w="20" w:type="dxa"/>
            </w:tcMar>
            <w:vAlign w:val="bottom"/>
          </w:tcPr>
          <w:p w14:paraId="33DAB76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764"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B765"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B766" w14:textId="77777777" w:rsidR="004D6A64" w:rsidRDefault="00506CD6">
            <w:pPr>
              <w:jc w:val="right"/>
              <w:textAlignment w:val="bottom"/>
            </w:pPr>
            <w:r>
              <w:rPr>
                <w:rFonts w:ascii="Times New Roman" w:eastAsia="宋体" w:hAnsi="Times New Roman"/>
                <w:color w:val="000000"/>
                <w:sz w:val="20"/>
                <w:szCs w:val="20"/>
              </w:rPr>
              <w:t>286 </w:t>
            </w:r>
          </w:p>
        </w:tc>
        <w:tc>
          <w:tcPr>
            <w:tcW w:w="0" w:type="auto"/>
            <w:shd w:val="clear" w:color="auto" w:fill="CCEEFF"/>
            <w:tcMar>
              <w:top w:w="40" w:type="dxa"/>
              <w:bottom w:w="40" w:type="dxa"/>
              <w:right w:w="20" w:type="dxa"/>
            </w:tcMar>
            <w:vAlign w:val="bottom"/>
          </w:tcPr>
          <w:p w14:paraId="33DAB76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768"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B769"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B76A" w14:textId="77777777" w:rsidR="004D6A64" w:rsidRDefault="00506CD6">
            <w:pPr>
              <w:jc w:val="right"/>
              <w:textAlignment w:val="bottom"/>
            </w:pPr>
            <w:r>
              <w:rPr>
                <w:rFonts w:ascii="Times New Roman" w:eastAsia="宋体" w:hAnsi="Times New Roman"/>
                <w:color w:val="000000"/>
                <w:sz w:val="20"/>
                <w:szCs w:val="20"/>
              </w:rPr>
              <w:t>6,702 </w:t>
            </w:r>
          </w:p>
        </w:tc>
        <w:tc>
          <w:tcPr>
            <w:tcW w:w="0" w:type="auto"/>
            <w:shd w:val="clear" w:color="auto" w:fill="CCEEFF"/>
            <w:tcMar>
              <w:top w:w="40" w:type="dxa"/>
              <w:bottom w:w="40" w:type="dxa"/>
              <w:right w:w="20" w:type="dxa"/>
            </w:tcMar>
            <w:vAlign w:val="bottom"/>
          </w:tcPr>
          <w:p w14:paraId="33DAB76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76C"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B76D"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B76E" w14:textId="77777777" w:rsidR="004D6A64" w:rsidRDefault="00506CD6">
            <w:pPr>
              <w:jc w:val="right"/>
              <w:textAlignment w:val="bottom"/>
            </w:pPr>
            <w:r>
              <w:rPr>
                <w:rFonts w:ascii="Times New Roman" w:eastAsia="宋体" w:hAnsi="Times New Roman"/>
                <w:color w:val="000000"/>
                <w:sz w:val="20"/>
                <w:szCs w:val="20"/>
              </w:rPr>
              <w:t>1,775 </w:t>
            </w:r>
          </w:p>
        </w:tc>
        <w:tc>
          <w:tcPr>
            <w:tcW w:w="0" w:type="auto"/>
            <w:shd w:val="clear" w:color="auto" w:fill="CCEEFF"/>
            <w:tcMar>
              <w:top w:w="40" w:type="dxa"/>
              <w:bottom w:w="40" w:type="dxa"/>
              <w:right w:w="20" w:type="dxa"/>
            </w:tcMar>
            <w:vAlign w:val="bottom"/>
          </w:tcPr>
          <w:p w14:paraId="33DAB76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770"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B771"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B772" w14:textId="77777777" w:rsidR="004D6A64" w:rsidRDefault="00506CD6">
            <w:pPr>
              <w:jc w:val="right"/>
              <w:textAlignment w:val="bottom"/>
            </w:pPr>
            <w:r>
              <w:rPr>
                <w:rFonts w:ascii="Times New Roman" w:eastAsia="宋体" w:hAnsi="Times New Roman"/>
                <w:color w:val="000000"/>
                <w:sz w:val="20"/>
                <w:szCs w:val="20"/>
              </w:rPr>
              <w:t>18,251 </w:t>
            </w:r>
          </w:p>
        </w:tc>
        <w:tc>
          <w:tcPr>
            <w:tcW w:w="0" w:type="auto"/>
            <w:shd w:val="clear" w:color="auto" w:fill="CCEEFF"/>
            <w:tcMar>
              <w:top w:w="40" w:type="dxa"/>
              <w:bottom w:w="40" w:type="dxa"/>
              <w:right w:w="20" w:type="dxa"/>
            </w:tcMar>
            <w:vAlign w:val="bottom"/>
          </w:tcPr>
          <w:p w14:paraId="33DAB77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774"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B775"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B776" w14:textId="77777777" w:rsidR="004D6A64" w:rsidRDefault="00506CD6">
            <w:pPr>
              <w:jc w:val="right"/>
              <w:textAlignment w:val="bottom"/>
            </w:pPr>
            <w:r>
              <w:rPr>
                <w:rFonts w:ascii="Times New Roman" w:eastAsia="宋体" w:hAnsi="Times New Roman"/>
                <w:color w:val="000000"/>
                <w:sz w:val="20"/>
                <w:szCs w:val="20"/>
              </w:rPr>
              <w:t>30,251 </w:t>
            </w:r>
          </w:p>
        </w:tc>
        <w:tc>
          <w:tcPr>
            <w:tcW w:w="0" w:type="auto"/>
            <w:shd w:val="clear" w:color="auto" w:fill="CCEEFF"/>
            <w:tcMar>
              <w:top w:w="40" w:type="dxa"/>
              <w:bottom w:w="40" w:type="dxa"/>
              <w:right w:w="20" w:type="dxa"/>
            </w:tcMar>
            <w:vAlign w:val="bottom"/>
          </w:tcPr>
          <w:p w14:paraId="33DAB777" w14:textId="77777777" w:rsidR="004D6A64" w:rsidRDefault="004D6A64">
            <w:pPr>
              <w:jc w:val="right"/>
              <w:rPr>
                <w:rFonts w:ascii="宋体"/>
              </w:rPr>
            </w:pPr>
          </w:p>
        </w:tc>
        <w:tc>
          <w:tcPr>
            <w:tcW w:w="0" w:type="auto"/>
            <w:shd w:val="clear" w:color="auto" w:fill="auto"/>
          </w:tcPr>
          <w:p w14:paraId="33DAB778" w14:textId="77777777" w:rsidR="004D6A64" w:rsidRDefault="004D6A64">
            <w:pPr>
              <w:rPr>
                <w:rFonts w:ascii="宋体"/>
              </w:rPr>
            </w:pPr>
          </w:p>
        </w:tc>
        <w:tc>
          <w:tcPr>
            <w:tcW w:w="0" w:type="auto"/>
            <w:shd w:val="clear" w:color="auto" w:fill="auto"/>
          </w:tcPr>
          <w:p w14:paraId="33DAB779" w14:textId="77777777" w:rsidR="004D6A64" w:rsidRDefault="004D6A64">
            <w:pPr>
              <w:rPr>
                <w:rFonts w:ascii="宋体"/>
              </w:rPr>
            </w:pPr>
          </w:p>
        </w:tc>
        <w:tc>
          <w:tcPr>
            <w:tcW w:w="0" w:type="auto"/>
            <w:shd w:val="clear" w:color="auto" w:fill="auto"/>
          </w:tcPr>
          <w:p w14:paraId="33DAB77A" w14:textId="77777777" w:rsidR="004D6A64" w:rsidRDefault="004D6A64">
            <w:pPr>
              <w:rPr>
                <w:rFonts w:ascii="宋体"/>
              </w:rPr>
            </w:pPr>
          </w:p>
        </w:tc>
        <w:tc>
          <w:tcPr>
            <w:tcW w:w="0" w:type="auto"/>
            <w:shd w:val="clear" w:color="auto" w:fill="auto"/>
          </w:tcPr>
          <w:p w14:paraId="33DAB77B" w14:textId="77777777" w:rsidR="004D6A64" w:rsidRDefault="004D6A64">
            <w:pPr>
              <w:rPr>
                <w:rFonts w:ascii="宋体"/>
              </w:rPr>
            </w:pPr>
          </w:p>
        </w:tc>
        <w:tc>
          <w:tcPr>
            <w:tcW w:w="0" w:type="auto"/>
            <w:shd w:val="clear" w:color="auto" w:fill="auto"/>
          </w:tcPr>
          <w:p w14:paraId="33DAB77C" w14:textId="77777777" w:rsidR="004D6A64" w:rsidRDefault="004D6A64">
            <w:pPr>
              <w:rPr>
                <w:rFonts w:ascii="宋体"/>
              </w:rPr>
            </w:pPr>
          </w:p>
        </w:tc>
        <w:tc>
          <w:tcPr>
            <w:tcW w:w="0" w:type="auto"/>
            <w:shd w:val="clear" w:color="auto" w:fill="auto"/>
          </w:tcPr>
          <w:p w14:paraId="33DAB77D" w14:textId="77777777" w:rsidR="004D6A64" w:rsidRDefault="004D6A64">
            <w:pPr>
              <w:rPr>
                <w:rFonts w:ascii="宋体"/>
              </w:rPr>
            </w:pPr>
          </w:p>
        </w:tc>
        <w:tc>
          <w:tcPr>
            <w:tcW w:w="0" w:type="auto"/>
            <w:shd w:val="clear" w:color="auto" w:fill="auto"/>
          </w:tcPr>
          <w:p w14:paraId="33DAB77E" w14:textId="77777777" w:rsidR="004D6A64" w:rsidRDefault="004D6A64">
            <w:pPr>
              <w:rPr>
                <w:rFonts w:ascii="宋体"/>
              </w:rPr>
            </w:pPr>
          </w:p>
        </w:tc>
        <w:tc>
          <w:tcPr>
            <w:tcW w:w="0" w:type="auto"/>
            <w:shd w:val="clear" w:color="auto" w:fill="auto"/>
          </w:tcPr>
          <w:p w14:paraId="33DAB77F" w14:textId="77777777" w:rsidR="004D6A64" w:rsidRDefault="004D6A64">
            <w:pPr>
              <w:rPr>
                <w:rFonts w:ascii="宋体"/>
              </w:rPr>
            </w:pPr>
          </w:p>
        </w:tc>
        <w:tc>
          <w:tcPr>
            <w:tcW w:w="0" w:type="auto"/>
            <w:shd w:val="clear" w:color="auto" w:fill="auto"/>
          </w:tcPr>
          <w:p w14:paraId="33DAB780" w14:textId="77777777" w:rsidR="004D6A64" w:rsidRDefault="004D6A64">
            <w:pPr>
              <w:rPr>
                <w:rFonts w:ascii="宋体"/>
              </w:rPr>
            </w:pPr>
          </w:p>
        </w:tc>
        <w:tc>
          <w:tcPr>
            <w:tcW w:w="0" w:type="auto"/>
            <w:shd w:val="clear" w:color="auto" w:fill="auto"/>
          </w:tcPr>
          <w:p w14:paraId="33DAB781" w14:textId="77777777" w:rsidR="004D6A64" w:rsidRDefault="004D6A64">
            <w:pPr>
              <w:rPr>
                <w:rFonts w:ascii="宋体"/>
              </w:rPr>
            </w:pPr>
          </w:p>
        </w:tc>
        <w:tc>
          <w:tcPr>
            <w:tcW w:w="0" w:type="auto"/>
            <w:shd w:val="clear" w:color="auto" w:fill="auto"/>
          </w:tcPr>
          <w:p w14:paraId="33DAB782" w14:textId="77777777" w:rsidR="004D6A64" w:rsidRDefault="004D6A64">
            <w:pPr>
              <w:rPr>
                <w:rFonts w:ascii="宋体"/>
              </w:rPr>
            </w:pPr>
          </w:p>
        </w:tc>
        <w:tc>
          <w:tcPr>
            <w:tcW w:w="0" w:type="auto"/>
            <w:shd w:val="clear" w:color="auto" w:fill="auto"/>
          </w:tcPr>
          <w:p w14:paraId="33DAB783" w14:textId="77777777" w:rsidR="004D6A64" w:rsidRDefault="004D6A64">
            <w:pPr>
              <w:rPr>
                <w:rFonts w:ascii="宋体"/>
              </w:rPr>
            </w:pPr>
          </w:p>
        </w:tc>
        <w:tc>
          <w:tcPr>
            <w:tcW w:w="0" w:type="auto"/>
            <w:shd w:val="clear" w:color="auto" w:fill="auto"/>
          </w:tcPr>
          <w:p w14:paraId="33DAB784" w14:textId="77777777" w:rsidR="004D6A64" w:rsidRDefault="004D6A64">
            <w:pPr>
              <w:rPr>
                <w:rFonts w:ascii="宋体"/>
              </w:rPr>
            </w:pPr>
          </w:p>
        </w:tc>
        <w:tc>
          <w:tcPr>
            <w:tcW w:w="0" w:type="auto"/>
            <w:shd w:val="clear" w:color="auto" w:fill="auto"/>
          </w:tcPr>
          <w:p w14:paraId="33DAB785" w14:textId="77777777" w:rsidR="004D6A64" w:rsidRDefault="004D6A64">
            <w:pPr>
              <w:rPr>
                <w:rFonts w:ascii="宋体"/>
              </w:rPr>
            </w:pPr>
          </w:p>
        </w:tc>
        <w:tc>
          <w:tcPr>
            <w:tcW w:w="0" w:type="auto"/>
            <w:shd w:val="clear" w:color="auto" w:fill="auto"/>
          </w:tcPr>
          <w:p w14:paraId="33DAB786" w14:textId="77777777" w:rsidR="004D6A64" w:rsidRDefault="004D6A64">
            <w:pPr>
              <w:rPr>
                <w:rFonts w:ascii="宋体"/>
              </w:rPr>
            </w:pPr>
          </w:p>
        </w:tc>
        <w:tc>
          <w:tcPr>
            <w:tcW w:w="0" w:type="auto"/>
            <w:shd w:val="clear" w:color="auto" w:fill="auto"/>
          </w:tcPr>
          <w:p w14:paraId="33DAB787" w14:textId="77777777" w:rsidR="004D6A64" w:rsidRDefault="004D6A64">
            <w:pPr>
              <w:rPr>
                <w:rFonts w:ascii="宋体"/>
              </w:rPr>
            </w:pPr>
          </w:p>
        </w:tc>
        <w:tc>
          <w:tcPr>
            <w:tcW w:w="0" w:type="auto"/>
            <w:shd w:val="clear" w:color="auto" w:fill="auto"/>
          </w:tcPr>
          <w:p w14:paraId="33DAB788" w14:textId="77777777" w:rsidR="004D6A64" w:rsidRDefault="004D6A64">
            <w:pPr>
              <w:rPr>
                <w:rFonts w:ascii="宋体"/>
              </w:rPr>
            </w:pPr>
          </w:p>
        </w:tc>
        <w:tc>
          <w:tcPr>
            <w:tcW w:w="0" w:type="auto"/>
            <w:shd w:val="clear" w:color="auto" w:fill="auto"/>
          </w:tcPr>
          <w:p w14:paraId="33DAB789" w14:textId="77777777" w:rsidR="004D6A64" w:rsidRDefault="004D6A64">
            <w:pPr>
              <w:rPr>
                <w:rFonts w:ascii="宋体"/>
              </w:rPr>
            </w:pPr>
          </w:p>
        </w:tc>
        <w:tc>
          <w:tcPr>
            <w:tcW w:w="0" w:type="auto"/>
            <w:shd w:val="clear" w:color="auto" w:fill="auto"/>
          </w:tcPr>
          <w:p w14:paraId="33DAB78A" w14:textId="77777777" w:rsidR="004D6A64" w:rsidRDefault="004D6A64">
            <w:pPr>
              <w:rPr>
                <w:rFonts w:ascii="宋体"/>
              </w:rPr>
            </w:pPr>
          </w:p>
        </w:tc>
        <w:tc>
          <w:tcPr>
            <w:tcW w:w="0" w:type="auto"/>
            <w:shd w:val="clear" w:color="auto" w:fill="auto"/>
          </w:tcPr>
          <w:p w14:paraId="33DAB78B" w14:textId="77777777" w:rsidR="004D6A64" w:rsidRDefault="004D6A64">
            <w:pPr>
              <w:rPr>
                <w:rFonts w:ascii="宋体"/>
              </w:rPr>
            </w:pPr>
          </w:p>
        </w:tc>
        <w:tc>
          <w:tcPr>
            <w:tcW w:w="0" w:type="auto"/>
            <w:shd w:val="clear" w:color="auto" w:fill="auto"/>
          </w:tcPr>
          <w:p w14:paraId="33DAB78C" w14:textId="77777777" w:rsidR="004D6A64" w:rsidRDefault="004D6A64">
            <w:pPr>
              <w:rPr>
                <w:rFonts w:ascii="宋体"/>
              </w:rPr>
            </w:pPr>
          </w:p>
        </w:tc>
      </w:tr>
      <w:tr w:rsidR="004D6A64" w14:paraId="33DAB7B8" w14:textId="77777777">
        <w:trPr>
          <w:jc w:val="center"/>
        </w:trPr>
        <w:tc>
          <w:tcPr>
            <w:tcW w:w="0" w:type="auto"/>
            <w:gridSpan w:val="3"/>
            <w:shd w:val="clear" w:color="auto" w:fill="FFFFFF"/>
            <w:tcMar>
              <w:top w:w="40" w:type="dxa"/>
              <w:left w:w="20" w:type="dxa"/>
              <w:bottom w:w="40" w:type="dxa"/>
              <w:right w:w="20" w:type="dxa"/>
            </w:tcMar>
            <w:vAlign w:val="bottom"/>
          </w:tcPr>
          <w:p w14:paraId="33DAB78E" w14:textId="77777777" w:rsidR="004D6A64" w:rsidRDefault="00506CD6">
            <w:pPr>
              <w:textAlignment w:val="bottom"/>
            </w:pPr>
            <w:r>
              <w:rPr>
                <w:rFonts w:ascii="Times New Roman" w:eastAsia="宋体" w:hAnsi="Times New Roman"/>
                <w:color w:val="000000"/>
                <w:sz w:val="20"/>
                <w:szCs w:val="20"/>
              </w:rPr>
              <w:t>Unsecured Notes and Debentures</w:t>
            </w:r>
          </w:p>
        </w:tc>
        <w:tc>
          <w:tcPr>
            <w:tcW w:w="0" w:type="auto"/>
            <w:gridSpan w:val="2"/>
            <w:shd w:val="clear" w:color="auto" w:fill="FFFFFF"/>
            <w:tcMar>
              <w:top w:w="40" w:type="dxa"/>
              <w:left w:w="20" w:type="dxa"/>
              <w:bottom w:w="40" w:type="dxa"/>
              <w:right w:w="0" w:type="dxa"/>
            </w:tcMar>
            <w:vAlign w:val="bottom"/>
          </w:tcPr>
          <w:p w14:paraId="33DAB78F"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B79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79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B792" w14:textId="77777777" w:rsidR="004D6A64" w:rsidRDefault="00506CD6">
            <w:pPr>
              <w:jc w:val="right"/>
              <w:textAlignment w:val="bottom"/>
            </w:pPr>
            <w:r>
              <w:rPr>
                <w:rFonts w:ascii="Times New Roman" w:eastAsia="宋体" w:hAnsi="Times New Roman"/>
                <w:color w:val="000000"/>
                <w:sz w:val="20"/>
                <w:szCs w:val="20"/>
              </w:rPr>
              <w:t>400 </w:t>
            </w:r>
          </w:p>
        </w:tc>
        <w:tc>
          <w:tcPr>
            <w:tcW w:w="0" w:type="auto"/>
            <w:shd w:val="clear" w:color="auto" w:fill="FFFFFF"/>
            <w:tcMar>
              <w:top w:w="40" w:type="dxa"/>
              <w:bottom w:w="40" w:type="dxa"/>
              <w:right w:w="20" w:type="dxa"/>
            </w:tcMar>
            <w:vAlign w:val="bottom"/>
          </w:tcPr>
          <w:p w14:paraId="33DAB79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794"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B795"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B79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797"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B798"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B79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79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B79B"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B79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79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B79E" w14:textId="77777777" w:rsidR="004D6A64" w:rsidRDefault="00506CD6">
            <w:pPr>
              <w:jc w:val="right"/>
              <w:textAlignment w:val="bottom"/>
            </w:pPr>
            <w:r>
              <w:rPr>
                <w:rFonts w:ascii="Times New Roman" w:eastAsia="宋体" w:hAnsi="Times New Roman"/>
                <w:color w:val="000000"/>
                <w:sz w:val="20"/>
                <w:szCs w:val="20"/>
              </w:rPr>
              <w:t>952 </w:t>
            </w:r>
          </w:p>
        </w:tc>
        <w:tc>
          <w:tcPr>
            <w:tcW w:w="0" w:type="auto"/>
            <w:shd w:val="clear" w:color="auto" w:fill="FFFFFF"/>
            <w:tcMar>
              <w:top w:w="40" w:type="dxa"/>
              <w:bottom w:w="40" w:type="dxa"/>
              <w:right w:w="20" w:type="dxa"/>
            </w:tcMar>
            <w:vAlign w:val="bottom"/>
          </w:tcPr>
          <w:p w14:paraId="33DAB79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7A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B7A1" w14:textId="77777777" w:rsidR="004D6A64" w:rsidRDefault="00506CD6">
            <w:pPr>
              <w:jc w:val="right"/>
              <w:textAlignment w:val="bottom"/>
            </w:pPr>
            <w:r>
              <w:rPr>
                <w:rFonts w:ascii="Times New Roman" w:eastAsia="宋体" w:hAnsi="Times New Roman"/>
                <w:color w:val="000000"/>
                <w:sz w:val="20"/>
                <w:szCs w:val="20"/>
              </w:rPr>
              <w:t>1,352 </w:t>
            </w:r>
          </w:p>
        </w:tc>
        <w:tc>
          <w:tcPr>
            <w:tcW w:w="0" w:type="auto"/>
            <w:shd w:val="clear" w:color="auto" w:fill="FFFFFF"/>
            <w:tcMar>
              <w:top w:w="40" w:type="dxa"/>
              <w:bottom w:w="40" w:type="dxa"/>
              <w:right w:w="20" w:type="dxa"/>
            </w:tcMar>
            <w:vAlign w:val="bottom"/>
          </w:tcPr>
          <w:p w14:paraId="33DAB7A2" w14:textId="77777777" w:rsidR="004D6A64" w:rsidRDefault="004D6A64">
            <w:pPr>
              <w:jc w:val="right"/>
              <w:rPr>
                <w:rFonts w:ascii="宋体"/>
              </w:rPr>
            </w:pPr>
          </w:p>
        </w:tc>
        <w:tc>
          <w:tcPr>
            <w:tcW w:w="0" w:type="auto"/>
            <w:shd w:val="clear" w:color="auto" w:fill="auto"/>
          </w:tcPr>
          <w:p w14:paraId="33DAB7A3" w14:textId="77777777" w:rsidR="004D6A64" w:rsidRDefault="004D6A64">
            <w:pPr>
              <w:rPr>
                <w:rFonts w:ascii="宋体"/>
              </w:rPr>
            </w:pPr>
          </w:p>
        </w:tc>
        <w:tc>
          <w:tcPr>
            <w:tcW w:w="0" w:type="auto"/>
            <w:shd w:val="clear" w:color="auto" w:fill="auto"/>
          </w:tcPr>
          <w:p w14:paraId="33DAB7A4" w14:textId="77777777" w:rsidR="004D6A64" w:rsidRDefault="004D6A64">
            <w:pPr>
              <w:rPr>
                <w:rFonts w:ascii="宋体"/>
              </w:rPr>
            </w:pPr>
          </w:p>
        </w:tc>
        <w:tc>
          <w:tcPr>
            <w:tcW w:w="0" w:type="auto"/>
            <w:shd w:val="clear" w:color="auto" w:fill="auto"/>
          </w:tcPr>
          <w:p w14:paraId="33DAB7A5" w14:textId="77777777" w:rsidR="004D6A64" w:rsidRDefault="004D6A64">
            <w:pPr>
              <w:rPr>
                <w:rFonts w:ascii="宋体"/>
              </w:rPr>
            </w:pPr>
          </w:p>
        </w:tc>
        <w:tc>
          <w:tcPr>
            <w:tcW w:w="0" w:type="auto"/>
            <w:shd w:val="clear" w:color="auto" w:fill="auto"/>
          </w:tcPr>
          <w:p w14:paraId="33DAB7A6" w14:textId="77777777" w:rsidR="004D6A64" w:rsidRDefault="004D6A64">
            <w:pPr>
              <w:rPr>
                <w:rFonts w:ascii="宋体"/>
              </w:rPr>
            </w:pPr>
          </w:p>
        </w:tc>
        <w:tc>
          <w:tcPr>
            <w:tcW w:w="0" w:type="auto"/>
            <w:shd w:val="clear" w:color="auto" w:fill="auto"/>
          </w:tcPr>
          <w:p w14:paraId="33DAB7A7" w14:textId="77777777" w:rsidR="004D6A64" w:rsidRDefault="004D6A64">
            <w:pPr>
              <w:rPr>
                <w:rFonts w:ascii="宋体"/>
              </w:rPr>
            </w:pPr>
          </w:p>
        </w:tc>
        <w:tc>
          <w:tcPr>
            <w:tcW w:w="0" w:type="auto"/>
            <w:shd w:val="clear" w:color="auto" w:fill="auto"/>
          </w:tcPr>
          <w:p w14:paraId="33DAB7A8" w14:textId="77777777" w:rsidR="004D6A64" w:rsidRDefault="004D6A64">
            <w:pPr>
              <w:rPr>
                <w:rFonts w:ascii="宋体"/>
              </w:rPr>
            </w:pPr>
          </w:p>
        </w:tc>
        <w:tc>
          <w:tcPr>
            <w:tcW w:w="0" w:type="auto"/>
            <w:shd w:val="clear" w:color="auto" w:fill="auto"/>
          </w:tcPr>
          <w:p w14:paraId="33DAB7A9" w14:textId="77777777" w:rsidR="004D6A64" w:rsidRDefault="004D6A64">
            <w:pPr>
              <w:rPr>
                <w:rFonts w:ascii="宋体"/>
              </w:rPr>
            </w:pPr>
          </w:p>
        </w:tc>
        <w:tc>
          <w:tcPr>
            <w:tcW w:w="0" w:type="auto"/>
            <w:shd w:val="clear" w:color="auto" w:fill="auto"/>
          </w:tcPr>
          <w:p w14:paraId="33DAB7AA" w14:textId="77777777" w:rsidR="004D6A64" w:rsidRDefault="004D6A64">
            <w:pPr>
              <w:rPr>
                <w:rFonts w:ascii="宋体"/>
              </w:rPr>
            </w:pPr>
          </w:p>
        </w:tc>
        <w:tc>
          <w:tcPr>
            <w:tcW w:w="0" w:type="auto"/>
            <w:shd w:val="clear" w:color="auto" w:fill="auto"/>
          </w:tcPr>
          <w:p w14:paraId="33DAB7AB" w14:textId="77777777" w:rsidR="004D6A64" w:rsidRDefault="004D6A64">
            <w:pPr>
              <w:rPr>
                <w:rFonts w:ascii="宋体"/>
              </w:rPr>
            </w:pPr>
          </w:p>
        </w:tc>
        <w:tc>
          <w:tcPr>
            <w:tcW w:w="0" w:type="auto"/>
            <w:shd w:val="clear" w:color="auto" w:fill="auto"/>
          </w:tcPr>
          <w:p w14:paraId="33DAB7AC" w14:textId="77777777" w:rsidR="004D6A64" w:rsidRDefault="004D6A64">
            <w:pPr>
              <w:rPr>
                <w:rFonts w:ascii="宋体"/>
              </w:rPr>
            </w:pPr>
          </w:p>
        </w:tc>
        <w:tc>
          <w:tcPr>
            <w:tcW w:w="0" w:type="auto"/>
            <w:shd w:val="clear" w:color="auto" w:fill="auto"/>
          </w:tcPr>
          <w:p w14:paraId="33DAB7AD" w14:textId="77777777" w:rsidR="004D6A64" w:rsidRDefault="004D6A64">
            <w:pPr>
              <w:rPr>
                <w:rFonts w:ascii="宋体"/>
              </w:rPr>
            </w:pPr>
          </w:p>
        </w:tc>
        <w:tc>
          <w:tcPr>
            <w:tcW w:w="0" w:type="auto"/>
            <w:shd w:val="clear" w:color="auto" w:fill="auto"/>
          </w:tcPr>
          <w:p w14:paraId="33DAB7AE" w14:textId="77777777" w:rsidR="004D6A64" w:rsidRDefault="004D6A64">
            <w:pPr>
              <w:rPr>
                <w:rFonts w:ascii="宋体"/>
              </w:rPr>
            </w:pPr>
          </w:p>
        </w:tc>
        <w:tc>
          <w:tcPr>
            <w:tcW w:w="0" w:type="auto"/>
            <w:shd w:val="clear" w:color="auto" w:fill="auto"/>
          </w:tcPr>
          <w:p w14:paraId="33DAB7AF" w14:textId="77777777" w:rsidR="004D6A64" w:rsidRDefault="004D6A64">
            <w:pPr>
              <w:rPr>
                <w:rFonts w:ascii="宋体"/>
              </w:rPr>
            </w:pPr>
          </w:p>
        </w:tc>
        <w:tc>
          <w:tcPr>
            <w:tcW w:w="0" w:type="auto"/>
            <w:shd w:val="clear" w:color="auto" w:fill="auto"/>
          </w:tcPr>
          <w:p w14:paraId="33DAB7B0" w14:textId="77777777" w:rsidR="004D6A64" w:rsidRDefault="004D6A64">
            <w:pPr>
              <w:rPr>
                <w:rFonts w:ascii="宋体"/>
              </w:rPr>
            </w:pPr>
          </w:p>
        </w:tc>
        <w:tc>
          <w:tcPr>
            <w:tcW w:w="0" w:type="auto"/>
            <w:shd w:val="clear" w:color="auto" w:fill="auto"/>
          </w:tcPr>
          <w:p w14:paraId="33DAB7B1" w14:textId="77777777" w:rsidR="004D6A64" w:rsidRDefault="004D6A64">
            <w:pPr>
              <w:rPr>
                <w:rFonts w:ascii="宋体"/>
              </w:rPr>
            </w:pPr>
          </w:p>
        </w:tc>
        <w:tc>
          <w:tcPr>
            <w:tcW w:w="0" w:type="auto"/>
            <w:shd w:val="clear" w:color="auto" w:fill="auto"/>
          </w:tcPr>
          <w:p w14:paraId="33DAB7B2" w14:textId="77777777" w:rsidR="004D6A64" w:rsidRDefault="004D6A64">
            <w:pPr>
              <w:rPr>
                <w:rFonts w:ascii="宋体"/>
              </w:rPr>
            </w:pPr>
          </w:p>
        </w:tc>
        <w:tc>
          <w:tcPr>
            <w:tcW w:w="0" w:type="auto"/>
            <w:shd w:val="clear" w:color="auto" w:fill="auto"/>
          </w:tcPr>
          <w:p w14:paraId="33DAB7B3" w14:textId="77777777" w:rsidR="004D6A64" w:rsidRDefault="004D6A64">
            <w:pPr>
              <w:rPr>
                <w:rFonts w:ascii="宋体"/>
              </w:rPr>
            </w:pPr>
          </w:p>
        </w:tc>
        <w:tc>
          <w:tcPr>
            <w:tcW w:w="0" w:type="auto"/>
            <w:shd w:val="clear" w:color="auto" w:fill="auto"/>
          </w:tcPr>
          <w:p w14:paraId="33DAB7B4" w14:textId="77777777" w:rsidR="004D6A64" w:rsidRDefault="004D6A64">
            <w:pPr>
              <w:rPr>
                <w:rFonts w:ascii="宋体"/>
              </w:rPr>
            </w:pPr>
          </w:p>
        </w:tc>
        <w:tc>
          <w:tcPr>
            <w:tcW w:w="0" w:type="auto"/>
            <w:shd w:val="clear" w:color="auto" w:fill="auto"/>
          </w:tcPr>
          <w:p w14:paraId="33DAB7B5" w14:textId="77777777" w:rsidR="004D6A64" w:rsidRDefault="004D6A64">
            <w:pPr>
              <w:rPr>
                <w:rFonts w:ascii="宋体"/>
              </w:rPr>
            </w:pPr>
          </w:p>
        </w:tc>
        <w:tc>
          <w:tcPr>
            <w:tcW w:w="0" w:type="auto"/>
            <w:shd w:val="clear" w:color="auto" w:fill="auto"/>
          </w:tcPr>
          <w:p w14:paraId="33DAB7B6" w14:textId="77777777" w:rsidR="004D6A64" w:rsidRDefault="004D6A64">
            <w:pPr>
              <w:rPr>
                <w:rFonts w:ascii="宋体"/>
              </w:rPr>
            </w:pPr>
          </w:p>
        </w:tc>
        <w:tc>
          <w:tcPr>
            <w:tcW w:w="0" w:type="auto"/>
            <w:shd w:val="clear" w:color="auto" w:fill="auto"/>
          </w:tcPr>
          <w:p w14:paraId="33DAB7B7" w14:textId="77777777" w:rsidR="004D6A64" w:rsidRDefault="004D6A64">
            <w:pPr>
              <w:rPr>
                <w:rFonts w:ascii="宋体"/>
              </w:rPr>
            </w:pPr>
          </w:p>
        </w:tc>
      </w:tr>
      <w:tr w:rsidR="004D6A64" w14:paraId="33DAB7E3" w14:textId="77777777">
        <w:trPr>
          <w:jc w:val="center"/>
        </w:trPr>
        <w:tc>
          <w:tcPr>
            <w:tcW w:w="0" w:type="auto"/>
            <w:gridSpan w:val="3"/>
            <w:shd w:val="clear" w:color="auto" w:fill="CCEEFF"/>
            <w:tcMar>
              <w:top w:w="40" w:type="dxa"/>
              <w:left w:w="20" w:type="dxa"/>
              <w:bottom w:w="40" w:type="dxa"/>
              <w:right w:w="20" w:type="dxa"/>
            </w:tcMar>
            <w:vAlign w:val="bottom"/>
          </w:tcPr>
          <w:p w14:paraId="33DAB7B9" w14:textId="77777777" w:rsidR="004D6A64" w:rsidRDefault="00506CD6">
            <w:pPr>
              <w:textAlignment w:val="bottom"/>
            </w:pPr>
            <w:r>
              <w:rPr>
                <w:rFonts w:ascii="Times New Roman" w:eastAsia="宋体" w:hAnsi="Times New Roman"/>
                <w:color w:val="000000"/>
                <w:sz w:val="20"/>
                <w:szCs w:val="20"/>
              </w:rPr>
              <w:t>Se</w:t>
            </w:r>
            <w:r>
              <w:rPr>
                <w:rFonts w:ascii="Times New Roman" w:eastAsia="宋体" w:hAnsi="Times New Roman"/>
                <w:color w:val="000000"/>
                <w:sz w:val="20"/>
                <w:szCs w:val="20"/>
              </w:rPr>
              <w:t>nior Notes and EMC Notes</w:t>
            </w:r>
          </w:p>
        </w:tc>
        <w:tc>
          <w:tcPr>
            <w:tcW w:w="0" w:type="auto"/>
            <w:gridSpan w:val="2"/>
            <w:shd w:val="clear" w:color="auto" w:fill="CCEEFF"/>
            <w:tcMar>
              <w:top w:w="40" w:type="dxa"/>
              <w:left w:w="20" w:type="dxa"/>
              <w:bottom w:w="40" w:type="dxa"/>
              <w:right w:w="0" w:type="dxa"/>
            </w:tcMar>
            <w:vAlign w:val="bottom"/>
          </w:tcPr>
          <w:p w14:paraId="33DAB7BA"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B7B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7BC"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B7BD" w14:textId="77777777" w:rsidR="004D6A64" w:rsidRDefault="00506CD6">
            <w:pPr>
              <w:jc w:val="right"/>
              <w:textAlignment w:val="bottom"/>
            </w:pPr>
            <w:r>
              <w:rPr>
                <w:rFonts w:ascii="Times New Roman" w:eastAsia="宋体" w:hAnsi="Times New Roman"/>
                <w:color w:val="000000"/>
                <w:sz w:val="20"/>
                <w:szCs w:val="20"/>
              </w:rPr>
              <w:t>1,075 </w:t>
            </w:r>
          </w:p>
        </w:tc>
        <w:tc>
          <w:tcPr>
            <w:tcW w:w="0" w:type="auto"/>
            <w:shd w:val="clear" w:color="auto" w:fill="CCEEFF"/>
            <w:tcMar>
              <w:top w:w="40" w:type="dxa"/>
              <w:bottom w:w="40" w:type="dxa"/>
              <w:right w:w="20" w:type="dxa"/>
            </w:tcMar>
            <w:vAlign w:val="bottom"/>
          </w:tcPr>
          <w:p w14:paraId="33DAB7B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7B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B7C0"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B7C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7C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B7C3" w14:textId="77777777" w:rsidR="004D6A64" w:rsidRDefault="00506CD6">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bottom w:w="40" w:type="dxa"/>
              <w:right w:w="20" w:type="dxa"/>
            </w:tcMar>
            <w:vAlign w:val="bottom"/>
          </w:tcPr>
          <w:p w14:paraId="33DAB7C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7C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B7C6" w14:textId="77777777" w:rsidR="004D6A64" w:rsidRDefault="00506CD6">
            <w:pPr>
              <w:jc w:val="right"/>
              <w:textAlignment w:val="bottom"/>
            </w:pPr>
            <w:r>
              <w:rPr>
                <w:rFonts w:ascii="Times New Roman" w:eastAsia="宋体" w:hAnsi="Times New Roman"/>
                <w:color w:val="000000"/>
                <w:sz w:val="20"/>
                <w:szCs w:val="20"/>
              </w:rPr>
              <w:t>1,625 </w:t>
            </w:r>
          </w:p>
        </w:tc>
        <w:tc>
          <w:tcPr>
            <w:tcW w:w="0" w:type="auto"/>
            <w:shd w:val="clear" w:color="auto" w:fill="CCEEFF"/>
            <w:tcMar>
              <w:top w:w="40" w:type="dxa"/>
              <w:bottom w:w="40" w:type="dxa"/>
              <w:right w:w="20" w:type="dxa"/>
            </w:tcMar>
            <w:vAlign w:val="bottom"/>
          </w:tcPr>
          <w:p w14:paraId="33DAB7C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7C8"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B7C9"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B7C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7CB"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B7CC" w14:textId="77777777" w:rsidR="004D6A64" w:rsidRDefault="00506CD6">
            <w:pPr>
              <w:jc w:val="right"/>
              <w:textAlignment w:val="bottom"/>
            </w:pPr>
            <w:r>
              <w:rPr>
                <w:rFonts w:ascii="Times New Roman" w:eastAsia="宋体" w:hAnsi="Times New Roman"/>
                <w:color w:val="000000"/>
                <w:sz w:val="20"/>
                <w:szCs w:val="20"/>
              </w:rPr>
              <w:t>3,700 </w:t>
            </w:r>
          </w:p>
        </w:tc>
        <w:tc>
          <w:tcPr>
            <w:tcW w:w="0" w:type="auto"/>
            <w:shd w:val="clear" w:color="auto" w:fill="CCEEFF"/>
            <w:tcMar>
              <w:top w:w="40" w:type="dxa"/>
              <w:bottom w:w="40" w:type="dxa"/>
              <w:right w:w="20" w:type="dxa"/>
            </w:tcMar>
            <w:vAlign w:val="bottom"/>
          </w:tcPr>
          <w:p w14:paraId="33DAB7CD" w14:textId="77777777" w:rsidR="004D6A64" w:rsidRDefault="004D6A64">
            <w:pPr>
              <w:jc w:val="right"/>
              <w:rPr>
                <w:rFonts w:ascii="宋体"/>
              </w:rPr>
            </w:pPr>
          </w:p>
        </w:tc>
        <w:tc>
          <w:tcPr>
            <w:tcW w:w="0" w:type="auto"/>
            <w:shd w:val="clear" w:color="auto" w:fill="auto"/>
          </w:tcPr>
          <w:p w14:paraId="33DAB7CE" w14:textId="77777777" w:rsidR="004D6A64" w:rsidRDefault="004D6A64">
            <w:pPr>
              <w:rPr>
                <w:rFonts w:ascii="宋体"/>
              </w:rPr>
            </w:pPr>
          </w:p>
        </w:tc>
        <w:tc>
          <w:tcPr>
            <w:tcW w:w="0" w:type="auto"/>
            <w:shd w:val="clear" w:color="auto" w:fill="auto"/>
          </w:tcPr>
          <w:p w14:paraId="33DAB7CF" w14:textId="77777777" w:rsidR="004D6A64" w:rsidRDefault="004D6A64">
            <w:pPr>
              <w:rPr>
                <w:rFonts w:ascii="宋体"/>
              </w:rPr>
            </w:pPr>
          </w:p>
        </w:tc>
        <w:tc>
          <w:tcPr>
            <w:tcW w:w="0" w:type="auto"/>
            <w:shd w:val="clear" w:color="auto" w:fill="auto"/>
          </w:tcPr>
          <w:p w14:paraId="33DAB7D0" w14:textId="77777777" w:rsidR="004D6A64" w:rsidRDefault="004D6A64">
            <w:pPr>
              <w:rPr>
                <w:rFonts w:ascii="宋体"/>
              </w:rPr>
            </w:pPr>
          </w:p>
        </w:tc>
        <w:tc>
          <w:tcPr>
            <w:tcW w:w="0" w:type="auto"/>
            <w:shd w:val="clear" w:color="auto" w:fill="auto"/>
          </w:tcPr>
          <w:p w14:paraId="33DAB7D1" w14:textId="77777777" w:rsidR="004D6A64" w:rsidRDefault="004D6A64">
            <w:pPr>
              <w:rPr>
                <w:rFonts w:ascii="宋体"/>
              </w:rPr>
            </w:pPr>
          </w:p>
        </w:tc>
        <w:tc>
          <w:tcPr>
            <w:tcW w:w="0" w:type="auto"/>
            <w:shd w:val="clear" w:color="auto" w:fill="auto"/>
          </w:tcPr>
          <w:p w14:paraId="33DAB7D2" w14:textId="77777777" w:rsidR="004D6A64" w:rsidRDefault="004D6A64">
            <w:pPr>
              <w:rPr>
                <w:rFonts w:ascii="宋体"/>
              </w:rPr>
            </w:pPr>
          </w:p>
        </w:tc>
        <w:tc>
          <w:tcPr>
            <w:tcW w:w="0" w:type="auto"/>
            <w:shd w:val="clear" w:color="auto" w:fill="auto"/>
          </w:tcPr>
          <w:p w14:paraId="33DAB7D3" w14:textId="77777777" w:rsidR="004D6A64" w:rsidRDefault="004D6A64">
            <w:pPr>
              <w:rPr>
                <w:rFonts w:ascii="宋体"/>
              </w:rPr>
            </w:pPr>
          </w:p>
        </w:tc>
        <w:tc>
          <w:tcPr>
            <w:tcW w:w="0" w:type="auto"/>
            <w:shd w:val="clear" w:color="auto" w:fill="auto"/>
          </w:tcPr>
          <w:p w14:paraId="33DAB7D4" w14:textId="77777777" w:rsidR="004D6A64" w:rsidRDefault="004D6A64">
            <w:pPr>
              <w:rPr>
                <w:rFonts w:ascii="宋体"/>
              </w:rPr>
            </w:pPr>
          </w:p>
        </w:tc>
        <w:tc>
          <w:tcPr>
            <w:tcW w:w="0" w:type="auto"/>
            <w:shd w:val="clear" w:color="auto" w:fill="auto"/>
          </w:tcPr>
          <w:p w14:paraId="33DAB7D5" w14:textId="77777777" w:rsidR="004D6A64" w:rsidRDefault="004D6A64">
            <w:pPr>
              <w:rPr>
                <w:rFonts w:ascii="宋体"/>
              </w:rPr>
            </w:pPr>
          </w:p>
        </w:tc>
        <w:tc>
          <w:tcPr>
            <w:tcW w:w="0" w:type="auto"/>
            <w:shd w:val="clear" w:color="auto" w:fill="auto"/>
          </w:tcPr>
          <w:p w14:paraId="33DAB7D6" w14:textId="77777777" w:rsidR="004D6A64" w:rsidRDefault="004D6A64">
            <w:pPr>
              <w:rPr>
                <w:rFonts w:ascii="宋体"/>
              </w:rPr>
            </w:pPr>
          </w:p>
        </w:tc>
        <w:tc>
          <w:tcPr>
            <w:tcW w:w="0" w:type="auto"/>
            <w:shd w:val="clear" w:color="auto" w:fill="auto"/>
          </w:tcPr>
          <w:p w14:paraId="33DAB7D7" w14:textId="77777777" w:rsidR="004D6A64" w:rsidRDefault="004D6A64">
            <w:pPr>
              <w:rPr>
                <w:rFonts w:ascii="宋体"/>
              </w:rPr>
            </w:pPr>
          </w:p>
        </w:tc>
        <w:tc>
          <w:tcPr>
            <w:tcW w:w="0" w:type="auto"/>
            <w:shd w:val="clear" w:color="auto" w:fill="auto"/>
          </w:tcPr>
          <w:p w14:paraId="33DAB7D8" w14:textId="77777777" w:rsidR="004D6A64" w:rsidRDefault="004D6A64">
            <w:pPr>
              <w:rPr>
                <w:rFonts w:ascii="宋体"/>
              </w:rPr>
            </w:pPr>
          </w:p>
        </w:tc>
        <w:tc>
          <w:tcPr>
            <w:tcW w:w="0" w:type="auto"/>
            <w:shd w:val="clear" w:color="auto" w:fill="auto"/>
          </w:tcPr>
          <w:p w14:paraId="33DAB7D9" w14:textId="77777777" w:rsidR="004D6A64" w:rsidRDefault="004D6A64">
            <w:pPr>
              <w:rPr>
                <w:rFonts w:ascii="宋体"/>
              </w:rPr>
            </w:pPr>
          </w:p>
        </w:tc>
        <w:tc>
          <w:tcPr>
            <w:tcW w:w="0" w:type="auto"/>
            <w:shd w:val="clear" w:color="auto" w:fill="auto"/>
          </w:tcPr>
          <w:p w14:paraId="33DAB7DA" w14:textId="77777777" w:rsidR="004D6A64" w:rsidRDefault="004D6A64">
            <w:pPr>
              <w:rPr>
                <w:rFonts w:ascii="宋体"/>
              </w:rPr>
            </w:pPr>
          </w:p>
        </w:tc>
        <w:tc>
          <w:tcPr>
            <w:tcW w:w="0" w:type="auto"/>
            <w:shd w:val="clear" w:color="auto" w:fill="auto"/>
          </w:tcPr>
          <w:p w14:paraId="33DAB7DB" w14:textId="77777777" w:rsidR="004D6A64" w:rsidRDefault="004D6A64">
            <w:pPr>
              <w:rPr>
                <w:rFonts w:ascii="宋体"/>
              </w:rPr>
            </w:pPr>
          </w:p>
        </w:tc>
        <w:tc>
          <w:tcPr>
            <w:tcW w:w="0" w:type="auto"/>
            <w:shd w:val="clear" w:color="auto" w:fill="auto"/>
          </w:tcPr>
          <w:p w14:paraId="33DAB7DC" w14:textId="77777777" w:rsidR="004D6A64" w:rsidRDefault="004D6A64">
            <w:pPr>
              <w:rPr>
                <w:rFonts w:ascii="宋体"/>
              </w:rPr>
            </w:pPr>
          </w:p>
        </w:tc>
        <w:tc>
          <w:tcPr>
            <w:tcW w:w="0" w:type="auto"/>
            <w:shd w:val="clear" w:color="auto" w:fill="auto"/>
          </w:tcPr>
          <w:p w14:paraId="33DAB7DD" w14:textId="77777777" w:rsidR="004D6A64" w:rsidRDefault="004D6A64">
            <w:pPr>
              <w:rPr>
                <w:rFonts w:ascii="宋体"/>
              </w:rPr>
            </w:pPr>
          </w:p>
        </w:tc>
        <w:tc>
          <w:tcPr>
            <w:tcW w:w="0" w:type="auto"/>
            <w:shd w:val="clear" w:color="auto" w:fill="auto"/>
          </w:tcPr>
          <w:p w14:paraId="33DAB7DE" w14:textId="77777777" w:rsidR="004D6A64" w:rsidRDefault="004D6A64">
            <w:pPr>
              <w:rPr>
                <w:rFonts w:ascii="宋体"/>
              </w:rPr>
            </w:pPr>
          </w:p>
        </w:tc>
        <w:tc>
          <w:tcPr>
            <w:tcW w:w="0" w:type="auto"/>
            <w:shd w:val="clear" w:color="auto" w:fill="auto"/>
          </w:tcPr>
          <w:p w14:paraId="33DAB7DF" w14:textId="77777777" w:rsidR="004D6A64" w:rsidRDefault="004D6A64">
            <w:pPr>
              <w:rPr>
                <w:rFonts w:ascii="宋体"/>
              </w:rPr>
            </w:pPr>
          </w:p>
        </w:tc>
        <w:tc>
          <w:tcPr>
            <w:tcW w:w="0" w:type="auto"/>
            <w:shd w:val="clear" w:color="auto" w:fill="auto"/>
          </w:tcPr>
          <w:p w14:paraId="33DAB7E0" w14:textId="77777777" w:rsidR="004D6A64" w:rsidRDefault="004D6A64">
            <w:pPr>
              <w:rPr>
                <w:rFonts w:ascii="宋体"/>
              </w:rPr>
            </w:pPr>
          </w:p>
        </w:tc>
        <w:tc>
          <w:tcPr>
            <w:tcW w:w="0" w:type="auto"/>
            <w:shd w:val="clear" w:color="auto" w:fill="auto"/>
          </w:tcPr>
          <w:p w14:paraId="33DAB7E1" w14:textId="77777777" w:rsidR="004D6A64" w:rsidRDefault="004D6A64">
            <w:pPr>
              <w:rPr>
                <w:rFonts w:ascii="宋体"/>
              </w:rPr>
            </w:pPr>
          </w:p>
        </w:tc>
        <w:tc>
          <w:tcPr>
            <w:tcW w:w="0" w:type="auto"/>
            <w:shd w:val="clear" w:color="auto" w:fill="auto"/>
          </w:tcPr>
          <w:p w14:paraId="33DAB7E2" w14:textId="77777777" w:rsidR="004D6A64" w:rsidRDefault="004D6A64">
            <w:pPr>
              <w:rPr>
                <w:rFonts w:ascii="宋体"/>
              </w:rPr>
            </w:pPr>
          </w:p>
        </w:tc>
      </w:tr>
      <w:tr w:rsidR="004D6A64" w14:paraId="33DAB80E" w14:textId="77777777">
        <w:trPr>
          <w:jc w:val="center"/>
        </w:trPr>
        <w:tc>
          <w:tcPr>
            <w:tcW w:w="0" w:type="auto"/>
            <w:gridSpan w:val="3"/>
            <w:shd w:val="clear" w:color="auto" w:fill="FFFFFF"/>
            <w:tcMar>
              <w:top w:w="40" w:type="dxa"/>
              <w:left w:w="20" w:type="dxa"/>
              <w:bottom w:w="40" w:type="dxa"/>
              <w:right w:w="20" w:type="dxa"/>
            </w:tcMar>
            <w:vAlign w:val="bottom"/>
          </w:tcPr>
          <w:p w14:paraId="33DAB7E4" w14:textId="77777777" w:rsidR="004D6A64" w:rsidRDefault="00506CD6">
            <w:pPr>
              <w:textAlignment w:val="bottom"/>
            </w:pPr>
            <w:r>
              <w:rPr>
                <w:rFonts w:ascii="Times New Roman" w:eastAsia="宋体" w:hAnsi="Times New Roman"/>
                <w:color w:val="000000"/>
                <w:sz w:val="20"/>
                <w:szCs w:val="20"/>
              </w:rPr>
              <w:t>VM</w:t>
            </w:r>
            <w:r>
              <w:rPr>
                <w:rFonts w:ascii="Times New Roman" w:eastAsia="宋体" w:hAnsi="Times New Roman"/>
                <w:color w:val="000000"/>
                <w:sz w:val="20"/>
                <w:szCs w:val="20"/>
              </w:rPr>
              <w:t>ware Notes</w:t>
            </w:r>
          </w:p>
        </w:tc>
        <w:tc>
          <w:tcPr>
            <w:tcW w:w="0" w:type="auto"/>
            <w:gridSpan w:val="2"/>
            <w:shd w:val="clear" w:color="auto" w:fill="FFFFFF"/>
            <w:tcMar>
              <w:top w:w="40" w:type="dxa"/>
              <w:left w:w="20" w:type="dxa"/>
              <w:bottom w:w="40" w:type="dxa"/>
              <w:right w:w="0" w:type="dxa"/>
            </w:tcMar>
            <w:vAlign w:val="bottom"/>
          </w:tcPr>
          <w:p w14:paraId="33DAB7E5" w14:textId="77777777" w:rsidR="004D6A64" w:rsidRDefault="00506CD6">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bottom w:w="40" w:type="dxa"/>
              <w:right w:w="20" w:type="dxa"/>
            </w:tcMar>
            <w:vAlign w:val="bottom"/>
          </w:tcPr>
          <w:p w14:paraId="33DAB7E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7E7"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B7E8"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B7E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7E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B7EB" w14:textId="77777777" w:rsidR="004D6A64" w:rsidRDefault="00506CD6">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bottom w:w="40" w:type="dxa"/>
              <w:right w:w="20" w:type="dxa"/>
            </w:tcMar>
            <w:vAlign w:val="bottom"/>
          </w:tcPr>
          <w:p w14:paraId="33DAB7E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7E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B7EE"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B7E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7F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B7F1"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B7F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7F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B7F4" w14:textId="77777777" w:rsidR="004D6A64" w:rsidRDefault="00506CD6">
            <w:pPr>
              <w:jc w:val="right"/>
              <w:textAlignment w:val="bottom"/>
            </w:pPr>
            <w:r>
              <w:rPr>
                <w:rFonts w:ascii="Times New Roman" w:eastAsia="宋体" w:hAnsi="Times New Roman"/>
                <w:color w:val="000000"/>
                <w:sz w:val="20"/>
                <w:szCs w:val="20"/>
              </w:rPr>
              <w:t>3,250 </w:t>
            </w:r>
          </w:p>
        </w:tc>
        <w:tc>
          <w:tcPr>
            <w:tcW w:w="0" w:type="auto"/>
            <w:shd w:val="clear" w:color="auto" w:fill="FFFFFF"/>
            <w:tcMar>
              <w:top w:w="40" w:type="dxa"/>
              <w:bottom w:w="40" w:type="dxa"/>
              <w:right w:w="20" w:type="dxa"/>
            </w:tcMar>
            <w:vAlign w:val="bottom"/>
          </w:tcPr>
          <w:p w14:paraId="33DAB7F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7F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B7F7" w14:textId="77777777" w:rsidR="004D6A64" w:rsidRDefault="00506CD6">
            <w:pPr>
              <w:jc w:val="right"/>
              <w:textAlignment w:val="bottom"/>
            </w:pPr>
            <w:r>
              <w:rPr>
                <w:rFonts w:ascii="Times New Roman" w:eastAsia="宋体" w:hAnsi="Times New Roman"/>
                <w:color w:val="000000"/>
                <w:sz w:val="20"/>
                <w:szCs w:val="20"/>
              </w:rPr>
              <w:t>6,250 </w:t>
            </w:r>
          </w:p>
        </w:tc>
        <w:tc>
          <w:tcPr>
            <w:tcW w:w="0" w:type="auto"/>
            <w:shd w:val="clear" w:color="auto" w:fill="FFFFFF"/>
            <w:tcMar>
              <w:top w:w="40" w:type="dxa"/>
              <w:bottom w:w="40" w:type="dxa"/>
              <w:right w:w="20" w:type="dxa"/>
            </w:tcMar>
            <w:vAlign w:val="bottom"/>
          </w:tcPr>
          <w:p w14:paraId="33DAB7F8" w14:textId="77777777" w:rsidR="004D6A64" w:rsidRDefault="004D6A64">
            <w:pPr>
              <w:jc w:val="right"/>
              <w:rPr>
                <w:rFonts w:ascii="宋体"/>
              </w:rPr>
            </w:pPr>
          </w:p>
        </w:tc>
        <w:tc>
          <w:tcPr>
            <w:tcW w:w="0" w:type="auto"/>
            <w:shd w:val="clear" w:color="auto" w:fill="auto"/>
          </w:tcPr>
          <w:p w14:paraId="33DAB7F9" w14:textId="77777777" w:rsidR="004D6A64" w:rsidRDefault="004D6A64">
            <w:pPr>
              <w:rPr>
                <w:rFonts w:ascii="宋体"/>
              </w:rPr>
            </w:pPr>
          </w:p>
        </w:tc>
        <w:tc>
          <w:tcPr>
            <w:tcW w:w="0" w:type="auto"/>
            <w:shd w:val="clear" w:color="auto" w:fill="auto"/>
          </w:tcPr>
          <w:p w14:paraId="33DAB7FA" w14:textId="77777777" w:rsidR="004D6A64" w:rsidRDefault="004D6A64">
            <w:pPr>
              <w:rPr>
                <w:rFonts w:ascii="宋体"/>
              </w:rPr>
            </w:pPr>
          </w:p>
        </w:tc>
        <w:tc>
          <w:tcPr>
            <w:tcW w:w="0" w:type="auto"/>
            <w:shd w:val="clear" w:color="auto" w:fill="auto"/>
          </w:tcPr>
          <w:p w14:paraId="33DAB7FB" w14:textId="77777777" w:rsidR="004D6A64" w:rsidRDefault="004D6A64">
            <w:pPr>
              <w:rPr>
                <w:rFonts w:ascii="宋体"/>
              </w:rPr>
            </w:pPr>
          </w:p>
        </w:tc>
        <w:tc>
          <w:tcPr>
            <w:tcW w:w="0" w:type="auto"/>
            <w:shd w:val="clear" w:color="auto" w:fill="auto"/>
          </w:tcPr>
          <w:p w14:paraId="33DAB7FC" w14:textId="77777777" w:rsidR="004D6A64" w:rsidRDefault="004D6A64">
            <w:pPr>
              <w:rPr>
                <w:rFonts w:ascii="宋体"/>
              </w:rPr>
            </w:pPr>
          </w:p>
        </w:tc>
        <w:tc>
          <w:tcPr>
            <w:tcW w:w="0" w:type="auto"/>
            <w:shd w:val="clear" w:color="auto" w:fill="auto"/>
          </w:tcPr>
          <w:p w14:paraId="33DAB7FD" w14:textId="77777777" w:rsidR="004D6A64" w:rsidRDefault="004D6A64">
            <w:pPr>
              <w:rPr>
                <w:rFonts w:ascii="宋体"/>
              </w:rPr>
            </w:pPr>
          </w:p>
        </w:tc>
        <w:tc>
          <w:tcPr>
            <w:tcW w:w="0" w:type="auto"/>
            <w:shd w:val="clear" w:color="auto" w:fill="auto"/>
          </w:tcPr>
          <w:p w14:paraId="33DAB7FE" w14:textId="77777777" w:rsidR="004D6A64" w:rsidRDefault="004D6A64">
            <w:pPr>
              <w:rPr>
                <w:rFonts w:ascii="宋体"/>
              </w:rPr>
            </w:pPr>
          </w:p>
        </w:tc>
        <w:tc>
          <w:tcPr>
            <w:tcW w:w="0" w:type="auto"/>
            <w:shd w:val="clear" w:color="auto" w:fill="auto"/>
          </w:tcPr>
          <w:p w14:paraId="33DAB7FF" w14:textId="77777777" w:rsidR="004D6A64" w:rsidRDefault="004D6A64">
            <w:pPr>
              <w:rPr>
                <w:rFonts w:ascii="宋体"/>
              </w:rPr>
            </w:pPr>
          </w:p>
        </w:tc>
        <w:tc>
          <w:tcPr>
            <w:tcW w:w="0" w:type="auto"/>
            <w:shd w:val="clear" w:color="auto" w:fill="auto"/>
          </w:tcPr>
          <w:p w14:paraId="33DAB800" w14:textId="77777777" w:rsidR="004D6A64" w:rsidRDefault="004D6A64">
            <w:pPr>
              <w:rPr>
                <w:rFonts w:ascii="宋体"/>
              </w:rPr>
            </w:pPr>
          </w:p>
        </w:tc>
        <w:tc>
          <w:tcPr>
            <w:tcW w:w="0" w:type="auto"/>
            <w:shd w:val="clear" w:color="auto" w:fill="auto"/>
          </w:tcPr>
          <w:p w14:paraId="33DAB801" w14:textId="77777777" w:rsidR="004D6A64" w:rsidRDefault="004D6A64">
            <w:pPr>
              <w:rPr>
                <w:rFonts w:ascii="宋体"/>
              </w:rPr>
            </w:pPr>
          </w:p>
        </w:tc>
        <w:tc>
          <w:tcPr>
            <w:tcW w:w="0" w:type="auto"/>
            <w:shd w:val="clear" w:color="auto" w:fill="auto"/>
          </w:tcPr>
          <w:p w14:paraId="33DAB802" w14:textId="77777777" w:rsidR="004D6A64" w:rsidRDefault="004D6A64">
            <w:pPr>
              <w:rPr>
                <w:rFonts w:ascii="宋体"/>
              </w:rPr>
            </w:pPr>
          </w:p>
        </w:tc>
        <w:tc>
          <w:tcPr>
            <w:tcW w:w="0" w:type="auto"/>
            <w:shd w:val="clear" w:color="auto" w:fill="auto"/>
          </w:tcPr>
          <w:p w14:paraId="33DAB803" w14:textId="77777777" w:rsidR="004D6A64" w:rsidRDefault="004D6A64">
            <w:pPr>
              <w:rPr>
                <w:rFonts w:ascii="宋体"/>
              </w:rPr>
            </w:pPr>
          </w:p>
        </w:tc>
        <w:tc>
          <w:tcPr>
            <w:tcW w:w="0" w:type="auto"/>
            <w:shd w:val="clear" w:color="auto" w:fill="auto"/>
          </w:tcPr>
          <w:p w14:paraId="33DAB804" w14:textId="77777777" w:rsidR="004D6A64" w:rsidRDefault="004D6A64">
            <w:pPr>
              <w:rPr>
                <w:rFonts w:ascii="宋体"/>
              </w:rPr>
            </w:pPr>
          </w:p>
        </w:tc>
        <w:tc>
          <w:tcPr>
            <w:tcW w:w="0" w:type="auto"/>
            <w:shd w:val="clear" w:color="auto" w:fill="auto"/>
          </w:tcPr>
          <w:p w14:paraId="33DAB805" w14:textId="77777777" w:rsidR="004D6A64" w:rsidRDefault="004D6A64">
            <w:pPr>
              <w:rPr>
                <w:rFonts w:ascii="宋体"/>
              </w:rPr>
            </w:pPr>
          </w:p>
        </w:tc>
        <w:tc>
          <w:tcPr>
            <w:tcW w:w="0" w:type="auto"/>
            <w:shd w:val="clear" w:color="auto" w:fill="auto"/>
          </w:tcPr>
          <w:p w14:paraId="33DAB806" w14:textId="77777777" w:rsidR="004D6A64" w:rsidRDefault="004D6A64">
            <w:pPr>
              <w:rPr>
                <w:rFonts w:ascii="宋体"/>
              </w:rPr>
            </w:pPr>
          </w:p>
        </w:tc>
        <w:tc>
          <w:tcPr>
            <w:tcW w:w="0" w:type="auto"/>
            <w:shd w:val="clear" w:color="auto" w:fill="auto"/>
          </w:tcPr>
          <w:p w14:paraId="33DAB807" w14:textId="77777777" w:rsidR="004D6A64" w:rsidRDefault="004D6A64">
            <w:pPr>
              <w:rPr>
                <w:rFonts w:ascii="宋体"/>
              </w:rPr>
            </w:pPr>
          </w:p>
        </w:tc>
        <w:tc>
          <w:tcPr>
            <w:tcW w:w="0" w:type="auto"/>
            <w:shd w:val="clear" w:color="auto" w:fill="auto"/>
          </w:tcPr>
          <w:p w14:paraId="33DAB808" w14:textId="77777777" w:rsidR="004D6A64" w:rsidRDefault="004D6A64">
            <w:pPr>
              <w:rPr>
                <w:rFonts w:ascii="宋体"/>
              </w:rPr>
            </w:pPr>
          </w:p>
        </w:tc>
        <w:tc>
          <w:tcPr>
            <w:tcW w:w="0" w:type="auto"/>
            <w:shd w:val="clear" w:color="auto" w:fill="auto"/>
          </w:tcPr>
          <w:p w14:paraId="33DAB809" w14:textId="77777777" w:rsidR="004D6A64" w:rsidRDefault="004D6A64">
            <w:pPr>
              <w:rPr>
                <w:rFonts w:ascii="宋体"/>
              </w:rPr>
            </w:pPr>
          </w:p>
        </w:tc>
        <w:tc>
          <w:tcPr>
            <w:tcW w:w="0" w:type="auto"/>
            <w:shd w:val="clear" w:color="auto" w:fill="auto"/>
          </w:tcPr>
          <w:p w14:paraId="33DAB80A" w14:textId="77777777" w:rsidR="004D6A64" w:rsidRDefault="004D6A64">
            <w:pPr>
              <w:rPr>
                <w:rFonts w:ascii="宋体"/>
              </w:rPr>
            </w:pPr>
          </w:p>
        </w:tc>
        <w:tc>
          <w:tcPr>
            <w:tcW w:w="0" w:type="auto"/>
            <w:shd w:val="clear" w:color="auto" w:fill="auto"/>
          </w:tcPr>
          <w:p w14:paraId="33DAB80B" w14:textId="77777777" w:rsidR="004D6A64" w:rsidRDefault="004D6A64">
            <w:pPr>
              <w:rPr>
                <w:rFonts w:ascii="宋体"/>
              </w:rPr>
            </w:pPr>
          </w:p>
        </w:tc>
        <w:tc>
          <w:tcPr>
            <w:tcW w:w="0" w:type="auto"/>
            <w:shd w:val="clear" w:color="auto" w:fill="auto"/>
          </w:tcPr>
          <w:p w14:paraId="33DAB80C" w14:textId="77777777" w:rsidR="004D6A64" w:rsidRDefault="004D6A64">
            <w:pPr>
              <w:rPr>
                <w:rFonts w:ascii="宋体"/>
              </w:rPr>
            </w:pPr>
          </w:p>
        </w:tc>
        <w:tc>
          <w:tcPr>
            <w:tcW w:w="0" w:type="auto"/>
            <w:shd w:val="clear" w:color="auto" w:fill="auto"/>
          </w:tcPr>
          <w:p w14:paraId="33DAB80D" w14:textId="77777777" w:rsidR="004D6A64" w:rsidRDefault="004D6A64">
            <w:pPr>
              <w:rPr>
                <w:rFonts w:ascii="宋体"/>
              </w:rPr>
            </w:pPr>
          </w:p>
        </w:tc>
      </w:tr>
      <w:tr w:rsidR="004D6A64" w14:paraId="33DAB839" w14:textId="77777777">
        <w:trPr>
          <w:jc w:val="center"/>
        </w:trPr>
        <w:tc>
          <w:tcPr>
            <w:tcW w:w="0" w:type="auto"/>
            <w:gridSpan w:val="3"/>
            <w:shd w:val="clear" w:color="auto" w:fill="CCEEFF"/>
            <w:tcMar>
              <w:top w:w="40" w:type="dxa"/>
              <w:left w:w="20" w:type="dxa"/>
              <w:bottom w:w="40" w:type="dxa"/>
              <w:right w:w="20" w:type="dxa"/>
            </w:tcMar>
            <w:vAlign w:val="bottom"/>
          </w:tcPr>
          <w:p w14:paraId="33DAB80F" w14:textId="77777777" w:rsidR="004D6A64" w:rsidRDefault="00506CD6">
            <w:pPr>
              <w:textAlignment w:val="bottom"/>
            </w:pPr>
            <w:r>
              <w:rPr>
                <w:rFonts w:ascii="Times New Roman" w:eastAsia="宋体" w:hAnsi="Times New Roman"/>
                <w:color w:val="000000"/>
                <w:sz w:val="20"/>
                <w:szCs w:val="20"/>
              </w:rPr>
              <w:t>DF</w:t>
            </w:r>
            <w:r>
              <w:rPr>
                <w:rFonts w:ascii="Times New Roman" w:eastAsia="宋体" w:hAnsi="Times New Roman"/>
                <w:color w:val="000000"/>
                <w:sz w:val="20"/>
                <w:szCs w:val="20"/>
              </w:rPr>
              <w:t>S Debt</w:t>
            </w:r>
          </w:p>
        </w:tc>
        <w:tc>
          <w:tcPr>
            <w:tcW w:w="0" w:type="auto"/>
            <w:gridSpan w:val="2"/>
            <w:shd w:val="clear" w:color="auto" w:fill="CCEEFF"/>
            <w:tcMar>
              <w:top w:w="40" w:type="dxa"/>
              <w:left w:w="20" w:type="dxa"/>
              <w:bottom w:w="40" w:type="dxa"/>
              <w:right w:w="0" w:type="dxa"/>
            </w:tcMar>
            <w:vAlign w:val="bottom"/>
          </w:tcPr>
          <w:p w14:paraId="33DAB810" w14:textId="77777777" w:rsidR="004D6A64" w:rsidRDefault="00506CD6">
            <w:pPr>
              <w:jc w:val="right"/>
              <w:textAlignment w:val="bottom"/>
            </w:pPr>
            <w:r>
              <w:rPr>
                <w:rFonts w:ascii="Times New Roman" w:eastAsia="宋体" w:hAnsi="Times New Roman"/>
                <w:color w:val="000000"/>
                <w:sz w:val="20"/>
                <w:szCs w:val="20"/>
              </w:rPr>
              <w:t>2,912 </w:t>
            </w:r>
          </w:p>
        </w:tc>
        <w:tc>
          <w:tcPr>
            <w:tcW w:w="0" w:type="auto"/>
            <w:shd w:val="clear" w:color="auto" w:fill="CCEEFF"/>
            <w:tcMar>
              <w:top w:w="40" w:type="dxa"/>
              <w:bottom w:w="40" w:type="dxa"/>
              <w:right w:w="20" w:type="dxa"/>
            </w:tcMar>
            <w:vAlign w:val="bottom"/>
          </w:tcPr>
          <w:p w14:paraId="33DAB81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81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B813" w14:textId="77777777" w:rsidR="004D6A64" w:rsidRDefault="00506CD6">
            <w:pPr>
              <w:jc w:val="right"/>
              <w:textAlignment w:val="bottom"/>
            </w:pPr>
            <w:r>
              <w:rPr>
                <w:rFonts w:ascii="Times New Roman" w:eastAsia="宋体" w:hAnsi="Times New Roman"/>
                <w:color w:val="000000"/>
                <w:sz w:val="20"/>
                <w:szCs w:val="20"/>
              </w:rPr>
              <w:t>2,906 </w:t>
            </w:r>
          </w:p>
        </w:tc>
        <w:tc>
          <w:tcPr>
            <w:tcW w:w="0" w:type="auto"/>
            <w:shd w:val="clear" w:color="auto" w:fill="CCEEFF"/>
            <w:tcMar>
              <w:top w:w="40" w:type="dxa"/>
              <w:bottom w:w="40" w:type="dxa"/>
              <w:right w:w="20" w:type="dxa"/>
            </w:tcMar>
            <w:vAlign w:val="bottom"/>
          </w:tcPr>
          <w:p w14:paraId="33DAB81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81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B816" w14:textId="77777777" w:rsidR="004D6A64" w:rsidRDefault="00506CD6">
            <w:pPr>
              <w:jc w:val="right"/>
              <w:textAlignment w:val="bottom"/>
            </w:pPr>
            <w:r>
              <w:rPr>
                <w:rFonts w:ascii="Times New Roman" w:eastAsia="宋体" w:hAnsi="Times New Roman"/>
                <w:color w:val="000000"/>
                <w:sz w:val="20"/>
                <w:szCs w:val="20"/>
              </w:rPr>
              <w:t>2,229 </w:t>
            </w:r>
          </w:p>
        </w:tc>
        <w:tc>
          <w:tcPr>
            <w:tcW w:w="0" w:type="auto"/>
            <w:shd w:val="clear" w:color="auto" w:fill="CCEEFF"/>
            <w:tcMar>
              <w:top w:w="40" w:type="dxa"/>
              <w:bottom w:w="40" w:type="dxa"/>
              <w:right w:w="20" w:type="dxa"/>
            </w:tcMar>
            <w:vAlign w:val="bottom"/>
          </w:tcPr>
          <w:p w14:paraId="33DAB81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818"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B819" w14:textId="77777777" w:rsidR="004D6A64" w:rsidRDefault="00506CD6">
            <w:pPr>
              <w:jc w:val="right"/>
              <w:textAlignment w:val="bottom"/>
            </w:pPr>
            <w:r>
              <w:rPr>
                <w:rFonts w:ascii="Times New Roman" w:eastAsia="宋体" w:hAnsi="Times New Roman"/>
                <w:color w:val="000000"/>
                <w:sz w:val="20"/>
                <w:szCs w:val="20"/>
              </w:rPr>
              <w:t>163 </w:t>
            </w:r>
          </w:p>
        </w:tc>
        <w:tc>
          <w:tcPr>
            <w:tcW w:w="0" w:type="auto"/>
            <w:shd w:val="clear" w:color="auto" w:fill="CCEEFF"/>
            <w:tcMar>
              <w:top w:w="40" w:type="dxa"/>
              <w:bottom w:w="40" w:type="dxa"/>
              <w:right w:w="20" w:type="dxa"/>
            </w:tcMar>
            <w:vAlign w:val="bottom"/>
          </w:tcPr>
          <w:p w14:paraId="33DAB81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81B"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B81C" w14:textId="77777777" w:rsidR="004D6A64" w:rsidRDefault="00506CD6">
            <w:pPr>
              <w:jc w:val="right"/>
              <w:textAlignment w:val="bottom"/>
            </w:pPr>
            <w:r>
              <w:rPr>
                <w:rFonts w:ascii="Times New Roman" w:eastAsia="宋体" w:hAnsi="Times New Roman"/>
                <w:color w:val="000000"/>
                <w:sz w:val="20"/>
                <w:szCs w:val="20"/>
              </w:rPr>
              <w:t>627 </w:t>
            </w:r>
          </w:p>
        </w:tc>
        <w:tc>
          <w:tcPr>
            <w:tcW w:w="0" w:type="auto"/>
            <w:shd w:val="clear" w:color="auto" w:fill="CCEEFF"/>
            <w:tcMar>
              <w:top w:w="40" w:type="dxa"/>
              <w:bottom w:w="40" w:type="dxa"/>
              <w:right w:w="20" w:type="dxa"/>
            </w:tcMar>
            <w:vAlign w:val="bottom"/>
          </w:tcPr>
          <w:p w14:paraId="33DAB81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81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B81F"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B82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821"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B822" w14:textId="77777777" w:rsidR="004D6A64" w:rsidRDefault="00506CD6">
            <w:pPr>
              <w:jc w:val="right"/>
              <w:textAlignment w:val="bottom"/>
            </w:pPr>
            <w:r>
              <w:rPr>
                <w:rFonts w:ascii="Times New Roman" w:eastAsia="宋体" w:hAnsi="Times New Roman"/>
                <w:color w:val="000000"/>
                <w:sz w:val="20"/>
                <w:szCs w:val="20"/>
              </w:rPr>
              <w:t>8,837 </w:t>
            </w:r>
          </w:p>
        </w:tc>
        <w:tc>
          <w:tcPr>
            <w:tcW w:w="0" w:type="auto"/>
            <w:shd w:val="clear" w:color="auto" w:fill="CCEEFF"/>
            <w:tcMar>
              <w:top w:w="40" w:type="dxa"/>
              <w:bottom w:w="40" w:type="dxa"/>
              <w:right w:w="20" w:type="dxa"/>
            </w:tcMar>
            <w:vAlign w:val="bottom"/>
          </w:tcPr>
          <w:p w14:paraId="33DAB823" w14:textId="77777777" w:rsidR="004D6A64" w:rsidRDefault="004D6A64">
            <w:pPr>
              <w:jc w:val="right"/>
              <w:rPr>
                <w:rFonts w:ascii="宋体"/>
              </w:rPr>
            </w:pPr>
          </w:p>
        </w:tc>
        <w:tc>
          <w:tcPr>
            <w:tcW w:w="0" w:type="auto"/>
            <w:shd w:val="clear" w:color="auto" w:fill="auto"/>
          </w:tcPr>
          <w:p w14:paraId="33DAB824" w14:textId="77777777" w:rsidR="004D6A64" w:rsidRDefault="004D6A64">
            <w:pPr>
              <w:rPr>
                <w:rFonts w:ascii="宋体"/>
              </w:rPr>
            </w:pPr>
          </w:p>
        </w:tc>
        <w:tc>
          <w:tcPr>
            <w:tcW w:w="0" w:type="auto"/>
            <w:shd w:val="clear" w:color="auto" w:fill="auto"/>
          </w:tcPr>
          <w:p w14:paraId="33DAB825" w14:textId="77777777" w:rsidR="004D6A64" w:rsidRDefault="004D6A64">
            <w:pPr>
              <w:rPr>
                <w:rFonts w:ascii="宋体"/>
              </w:rPr>
            </w:pPr>
          </w:p>
        </w:tc>
        <w:tc>
          <w:tcPr>
            <w:tcW w:w="0" w:type="auto"/>
            <w:shd w:val="clear" w:color="auto" w:fill="auto"/>
          </w:tcPr>
          <w:p w14:paraId="33DAB826" w14:textId="77777777" w:rsidR="004D6A64" w:rsidRDefault="004D6A64">
            <w:pPr>
              <w:rPr>
                <w:rFonts w:ascii="宋体"/>
              </w:rPr>
            </w:pPr>
          </w:p>
        </w:tc>
        <w:tc>
          <w:tcPr>
            <w:tcW w:w="0" w:type="auto"/>
            <w:shd w:val="clear" w:color="auto" w:fill="auto"/>
          </w:tcPr>
          <w:p w14:paraId="33DAB827" w14:textId="77777777" w:rsidR="004D6A64" w:rsidRDefault="004D6A64">
            <w:pPr>
              <w:rPr>
                <w:rFonts w:ascii="宋体"/>
              </w:rPr>
            </w:pPr>
          </w:p>
        </w:tc>
        <w:tc>
          <w:tcPr>
            <w:tcW w:w="0" w:type="auto"/>
            <w:shd w:val="clear" w:color="auto" w:fill="auto"/>
          </w:tcPr>
          <w:p w14:paraId="33DAB828" w14:textId="77777777" w:rsidR="004D6A64" w:rsidRDefault="004D6A64">
            <w:pPr>
              <w:rPr>
                <w:rFonts w:ascii="宋体"/>
              </w:rPr>
            </w:pPr>
          </w:p>
        </w:tc>
        <w:tc>
          <w:tcPr>
            <w:tcW w:w="0" w:type="auto"/>
            <w:shd w:val="clear" w:color="auto" w:fill="auto"/>
          </w:tcPr>
          <w:p w14:paraId="33DAB829" w14:textId="77777777" w:rsidR="004D6A64" w:rsidRDefault="004D6A64">
            <w:pPr>
              <w:rPr>
                <w:rFonts w:ascii="宋体"/>
              </w:rPr>
            </w:pPr>
          </w:p>
        </w:tc>
        <w:tc>
          <w:tcPr>
            <w:tcW w:w="0" w:type="auto"/>
            <w:shd w:val="clear" w:color="auto" w:fill="auto"/>
          </w:tcPr>
          <w:p w14:paraId="33DAB82A" w14:textId="77777777" w:rsidR="004D6A64" w:rsidRDefault="004D6A64">
            <w:pPr>
              <w:rPr>
                <w:rFonts w:ascii="宋体"/>
              </w:rPr>
            </w:pPr>
          </w:p>
        </w:tc>
        <w:tc>
          <w:tcPr>
            <w:tcW w:w="0" w:type="auto"/>
            <w:shd w:val="clear" w:color="auto" w:fill="auto"/>
          </w:tcPr>
          <w:p w14:paraId="33DAB82B" w14:textId="77777777" w:rsidR="004D6A64" w:rsidRDefault="004D6A64">
            <w:pPr>
              <w:rPr>
                <w:rFonts w:ascii="宋体"/>
              </w:rPr>
            </w:pPr>
          </w:p>
        </w:tc>
        <w:tc>
          <w:tcPr>
            <w:tcW w:w="0" w:type="auto"/>
            <w:shd w:val="clear" w:color="auto" w:fill="auto"/>
          </w:tcPr>
          <w:p w14:paraId="33DAB82C" w14:textId="77777777" w:rsidR="004D6A64" w:rsidRDefault="004D6A64">
            <w:pPr>
              <w:rPr>
                <w:rFonts w:ascii="宋体"/>
              </w:rPr>
            </w:pPr>
          </w:p>
        </w:tc>
        <w:tc>
          <w:tcPr>
            <w:tcW w:w="0" w:type="auto"/>
            <w:shd w:val="clear" w:color="auto" w:fill="auto"/>
          </w:tcPr>
          <w:p w14:paraId="33DAB82D" w14:textId="77777777" w:rsidR="004D6A64" w:rsidRDefault="004D6A64">
            <w:pPr>
              <w:rPr>
                <w:rFonts w:ascii="宋体"/>
              </w:rPr>
            </w:pPr>
          </w:p>
        </w:tc>
        <w:tc>
          <w:tcPr>
            <w:tcW w:w="0" w:type="auto"/>
            <w:shd w:val="clear" w:color="auto" w:fill="auto"/>
          </w:tcPr>
          <w:p w14:paraId="33DAB82E" w14:textId="77777777" w:rsidR="004D6A64" w:rsidRDefault="004D6A64">
            <w:pPr>
              <w:rPr>
                <w:rFonts w:ascii="宋体"/>
              </w:rPr>
            </w:pPr>
          </w:p>
        </w:tc>
        <w:tc>
          <w:tcPr>
            <w:tcW w:w="0" w:type="auto"/>
            <w:shd w:val="clear" w:color="auto" w:fill="auto"/>
          </w:tcPr>
          <w:p w14:paraId="33DAB82F" w14:textId="77777777" w:rsidR="004D6A64" w:rsidRDefault="004D6A64">
            <w:pPr>
              <w:rPr>
                <w:rFonts w:ascii="宋体"/>
              </w:rPr>
            </w:pPr>
          </w:p>
        </w:tc>
        <w:tc>
          <w:tcPr>
            <w:tcW w:w="0" w:type="auto"/>
            <w:shd w:val="clear" w:color="auto" w:fill="auto"/>
          </w:tcPr>
          <w:p w14:paraId="33DAB830" w14:textId="77777777" w:rsidR="004D6A64" w:rsidRDefault="004D6A64">
            <w:pPr>
              <w:rPr>
                <w:rFonts w:ascii="宋体"/>
              </w:rPr>
            </w:pPr>
          </w:p>
        </w:tc>
        <w:tc>
          <w:tcPr>
            <w:tcW w:w="0" w:type="auto"/>
            <w:shd w:val="clear" w:color="auto" w:fill="auto"/>
          </w:tcPr>
          <w:p w14:paraId="33DAB831" w14:textId="77777777" w:rsidR="004D6A64" w:rsidRDefault="004D6A64">
            <w:pPr>
              <w:rPr>
                <w:rFonts w:ascii="宋体"/>
              </w:rPr>
            </w:pPr>
          </w:p>
        </w:tc>
        <w:tc>
          <w:tcPr>
            <w:tcW w:w="0" w:type="auto"/>
            <w:shd w:val="clear" w:color="auto" w:fill="auto"/>
          </w:tcPr>
          <w:p w14:paraId="33DAB832" w14:textId="77777777" w:rsidR="004D6A64" w:rsidRDefault="004D6A64">
            <w:pPr>
              <w:rPr>
                <w:rFonts w:ascii="宋体"/>
              </w:rPr>
            </w:pPr>
          </w:p>
        </w:tc>
        <w:tc>
          <w:tcPr>
            <w:tcW w:w="0" w:type="auto"/>
            <w:shd w:val="clear" w:color="auto" w:fill="auto"/>
          </w:tcPr>
          <w:p w14:paraId="33DAB833" w14:textId="77777777" w:rsidR="004D6A64" w:rsidRDefault="004D6A64">
            <w:pPr>
              <w:rPr>
                <w:rFonts w:ascii="宋体"/>
              </w:rPr>
            </w:pPr>
          </w:p>
        </w:tc>
        <w:tc>
          <w:tcPr>
            <w:tcW w:w="0" w:type="auto"/>
            <w:shd w:val="clear" w:color="auto" w:fill="auto"/>
          </w:tcPr>
          <w:p w14:paraId="33DAB834" w14:textId="77777777" w:rsidR="004D6A64" w:rsidRDefault="004D6A64">
            <w:pPr>
              <w:rPr>
                <w:rFonts w:ascii="宋体"/>
              </w:rPr>
            </w:pPr>
          </w:p>
        </w:tc>
        <w:tc>
          <w:tcPr>
            <w:tcW w:w="0" w:type="auto"/>
            <w:shd w:val="clear" w:color="auto" w:fill="auto"/>
          </w:tcPr>
          <w:p w14:paraId="33DAB835" w14:textId="77777777" w:rsidR="004D6A64" w:rsidRDefault="004D6A64">
            <w:pPr>
              <w:rPr>
                <w:rFonts w:ascii="宋体"/>
              </w:rPr>
            </w:pPr>
          </w:p>
        </w:tc>
        <w:tc>
          <w:tcPr>
            <w:tcW w:w="0" w:type="auto"/>
            <w:shd w:val="clear" w:color="auto" w:fill="auto"/>
          </w:tcPr>
          <w:p w14:paraId="33DAB836" w14:textId="77777777" w:rsidR="004D6A64" w:rsidRDefault="004D6A64">
            <w:pPr>
              <w:rPr>
                <w:rFonts w:ascii="宋体"/>
              </w:rPr>
            </w:pPr>
          </w:p>
        </w:tc>
        <w:tc>
          <w:tcPr>
            <w:tcW w:w="0" w:type="auto"/>
            <w:shd w:val="clear" w:color="auto" w:fill="auto"/>
          </w:tcPr>
          <w:p w14:paraId="33DAB837" w14:textId="77777777" w:rsidR="004D6A64" w:rsidRDefault="004D6A64">
            <w:pPr>
              <w:rPr>
                <w:rFonts w:ascii="宋体"/>
              </w:rPr>
            </w:pPr>
          </w:p>
        </w:tc>
        <w:tc>
          <w:tcPr>
            <w:tcW w:w="0" w:type="auto"/>
            <w:shd w:val="clear" w:color="auto" w:fill="auto"/>
          </w:tcPr>
          <w:p w14:paraId="33DAB838" w14:textId="77777777" w:rsidR="004D6A64" w:rsidRDefault="004D6A64">
            <w:pPr>
              <w:rPr>
                <w:rFonts w:ascii="宋体"/>
              </w:rPr>
            </w:pPr>
          </w:p>
        </w:tc>
      </w:tr>
      <w:tr w:rsidR="004D6A64" w14:paraId="33DAB864" w14:textId="77777777">
        <w:trPr>
          <w:jc w:val="center"/>
        </w:trPr>
        <w:tc>
          <w:tcPr>
            <w:tcW w:w="0" w:type="auto"/>
            <w:gridSpan w:val="3"/>
            <w:shd w:val="clear" w:color="auto" w:fill="FFFFFF"/>
            <w:tcMar>
              <w:top w:w="40" w:type="dxa"/>
              <w:left w:w="20" w:type="dxa"/>
              <w:bottom w:w="40" w:type="dxa"/>
              <w:right w:w="20" w:type="dxa"/>
            </w:tcMar>
            <w:vAlign w:val="bottom"/>
          </w:tcPr>
          <w:p w14:paraId="33DAB83A" w14:textId="77777777" w:rsidR="004D6A64" w:rsidRDefault="00506CD6">
            <w:pPr>
              <w:textAlignment w:val="bottom"/>
            </w:pPr>
            <w:r>
              <w:rPr>
                <w:rFonts w:ascii="Times New Roman" w:eastAsia="宋体" w:hAnsi="Times New Roman"/>
                <w:color w:val="000000"/>
                <w:sz w:val="20"/>
                <w:szCs w:val="20"/>
              </w:rPr>
              <w:t>Ma</w:t>
            </w:r>
            <w:r>
              <w:rPr>
                <w:rFonts w:ascii="Times New Roman" w:eastAsia="宋体" w:hAnsi="Times New Roman"/>
                <w:color w:val="000000"/>
                <w:sz w:val="20"/>
                <w:szCs w:val="20"/>
              </w:rPr>
              <w:t>rgin Loan Facility</w:t>
            </w:r>
          </w:p>
        </w:tc>
        <w:tc>
          <w:tcPr>
            <w:tcW w:w="0" w:type="auto"/>
            <w:gridSpan w:val="2"/>
            <w:shd w:val="clear" w:color="auto" w:fill="FFFFFF"/>
            <w:tcMar>
              <w:top w:w="40" w:type="dxa"/>
              <w:left w:w="20" w:type="dxa"/>
              <w:bottom w:w="40" w:type="dxa"/>
              <w:right w:w="0" w:type="dxa"/>
            </w:tcMar>
            <w:vAlign w:val="bottom"/>
          </w:tcPr>
          <w:p w14:paraId="33DAB83B"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B83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83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B83E"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B83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84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B841" w14:textId="77777777" w:rsidR="004D6A64" w:rsidRDefault="00506CD6">
            <w:pPr>
              <w:jc w:val="right"/>
              <w:textAlignment w:val="bottom"/>
            </w:pPr>
            <w:r>
              <w:rPr>
                <w:rFonts w:ascii="Times New Roman" w:eastAsia="宋体" w:hAnsi="Times New Roman"/>
                <w:color w:val="000000"/>
                <w:sz w:val="20"/>
                <w:szCs w:val="20"/>
              </w:rPr>
              <w:t>4,000 </w:t>
            </w:r>
          </w:p>
        </w:tc>
        <w:tc>
          <w:tcPr>
            <w:tcW w:w="0" w:type="auto"/>
            <w:shd w:val="clear" w:color="auto" w:fill="FFFFFF"/>
            <w:tcMar>
              <w:top w:w="40" w:type="dxa"/>
              <w:bottom w:w="40" w:type="dxa"/>
              <w:right w:w="20" w:type="dxa"/>
            </w:tcMar>
            <w:vAlign w:val="bottom"/>
          </w:tcPr>
          <w:p w14:paraId="33DAB84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84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B844"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B84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84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B847"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B84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849"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B84A"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B84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84C"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B84D" w14:textId="77777777" w:rsidR="004D6A64" w:rsidRDefault="00506CD6">
            <w:pPr>
              <w:jc w:val="right"/>
              <w:textAlignment w:val="bottom"/>
            </w:pPr>
            <w:r>
              <w:rPr>
                <w:rFonts w:ascii="Times New Roman" w:eastAsia="宋体" w:hAnsi="Times New Roman"/>
                <w:color w:val="000000"/>
                <w:sz w:val="20"/>
                <w:szCs w:val="20"/>
              </w:rPr>
              <w:t>4,000 </w:t>
            </w:r>
          </w:p>
        </w:tc>
        <w:tc>
          <w:tcPr>
            <w:tcW w:w="0" w:type="auto"/>
            <w:shd w:val="clear" w:color="auto" w:fill="FFFFFF"/>
            <w:tcMar>
              <w:top w:w="40" w:type="dxa"/>
              <w:bottom w:w="40" w:type="dxa"/>
              <w:right w:w="20" w:type="dxa"/>
            </w:tcMar>
            <w:vAlign w:val="bottom"/>
          </w:tcPr>
          <w:p w14:paraId="33DAB84E" w14:textId="77777777" w:rsidR="004D6A64" w:rsidRDefault="004D6A64">
            <w:pPr>
              <w:jc w:val="right"/>
              <w:rPr>
                <w:rFonts w:ascii="宋体"/>
              </w:rPr>
            </w:pPr>
          </w:p>
        </w:tc>
        <w:tc>
          <w:tcPr>
            <w:tcW w:w="0" w:type="auto"/>
            <w:shd w:val="clear" w:color="auto" w:fill="auto"/>
          </w:tcPr>
          <w:p w14:paraId="33DAB84F" w14:textId="77777777" w:rsidR="004D6A64" w:rsidRDefault="004D6A64">
            <w:pPr>
              <w:rPr>
                <w:rFonts w:ascii="宋体"/>
              </w:rPr>
            </w:pPr>
          </w:p>
        </w:tc>
        <w:tc>
          <w:tcPr>
            <w:tcW w:w="0" w:type="auto"/>
            <w:shd w:val="clear" w:color="auto" w:fill="auto"/>
          </w:tcPr>
          <w:p w14:paraId="33DAB850" w14:textId="77777777" w:rsidR="004D6A64" w:rsidRDefault="004D6A64">
            <w:pPr>
              <w:rPr>
                <w:rFonts w:ascii="宋体"/>
              </w:rPr>
            </w:pPr>
          </w:p>
        </w:tc>
        <w:tc>
          <w:tcPr>
            <w:tcW w:w="0" w:type="auto"/>
            <w:shd w:val="clear" w:color="auto" w:fill="auto"/>
          </w:tcPr>
          <w:p w14:paraId="33DAB851" w14:textId="77777777" w:rsidR="004D6A64" w:rsidRDefault="004D6A64">
            <w:pPr>
              <w:rPr>
                <w:rFonts w:ascii="宋体"/>
              </w:rPr>
            </w:pPr>
          </w:p>
        </w:tc>
        <w:tc>
          <w:tcPr>
            <w:tcW w:w="0" w:type="auto"/>
            <w:shd w:val="clear" w:color="auto" w:fill="auto"/>
          </w:tcPr>
          <w:p w14:paraId="33DAB852" w14:textId="77777777" w:rsidR="004D6A64" w:rsidRDefault="004D6A64">
            <w:pPr>
              <w:rPr>
                <w:rFonts w:ascii="宋体"/>
              </w:rPr>
            </w:pPr>
          </w:p>
        </w:tc>
        <w:tc>
          <w:tcPr>
            <w:tcW w:w="0" w:type="auto"/>
            <w:shd w:val="clear" w:color="auto" w:fill="auto"/>
          </w:tcPr>
          <w:p w14:paraId="33DAB853" w14:textId="77777777" w:rsidR="004D6A64" w:rsidRDefault="004D6A64">
            <w:pPr>
              <w:rPr>
                <w:rFonts w:ascii="宋体"/>
              </w:rPr>
            </w:pPr>
          </w:p>
        </w:tc>
        <w:tc>
          <w:tcPr>
            <w:tcW w:w="0" w:type="auto"/>
            <w:shd w:val="clear" w:color="auto" w:fill="auto"/>
          </w:tcPr>
          <w:p w14:paraId="33DAB854" w14:textId="77777777" w:rsidR="004D6A64" w:rsidRDefault="004D6A64">
            <w:pPr>
              <w:rPr>
                <w:rFonts w:ascii="宋体"/>
              </w:rPr>
            </w:pPr>
          </w:p>
        </w:tc>
        <w:tc>
          <w:tcPr>
            <w:tcW w:w="0" w:type="auto"/>
            <w:shd w:val="clear" w:color="auto" w:fill="auto"/>
          </w:tcPr>
          <w:p w14:paraId="33DAB855" w14:textId="77777777" w:rsidR="004D6A64" w:rsidRDefault="004D6A64">
            <w:pPr>
              <w:rPr>
                <w:rFonts w:ascii="宋体"/>
              </w:rPr>
            </w:pPr>
          </w:p>
        </w:tc>
        <w:tc>
          <w:tcPr>
            <w:tcW w:w="0" w:type="auto"/>
            <w:shd w:val="clear" w:color="auto" w:fill="auto"/>
          </w:tcPr>
          <w:p w14:paraId="33DAB856" w14:textId="77777777" w:rsidR="004D6A64" w:rsidRDefault="004D6A64">
            <w:pPr>
              <w:rPr>
                <w:rFonts w:ascii="宋体"/>
              </w:rPr>
            </w:pPr>
          </w:p>
        </w:tc>
        <w:tc>
          <w:tcPr>
            <w:tcW w:w="0" w:type="auto"/>
            <w:shd w:val="clear" w:color="auto" w:fill="auto"/>
          </w:tcPr>
          <w:p w14:paraId="33DAB857" w14:textId="77777777" w:rsidR="004D6A64" w:rsidRDefault="004D6A64">
            <w:pPr>
              <w:rPr>
                <w:rFonts w:ascii="宋体"/>
              </w:rPr>
            </w:pPr>
          </w:p>
        </w:tc>
        <w:tc>
          <w:tcPr>
            <w:tcW w:w="0" w:type="auto"/>
            <w:shd w:val="clear" w:color="auto" w:fill="auto"/>
          </w:tcPr>
          <w:p w14:paraId="33DAB858" w14:textId="77777777" w:rsidR="004D6A64" w:rsidRDefault="004D6A64">
            <w:pPr>
              <w:rPr>
                <w:rFonts w:ascii="宋体"/>
              </w:rPr>
            </w:pPr>
          </w:p>
        </w:tc>
        <w:tc>
          <w:tcPr>
            <w:tcW w:w="0" w:type="auto"/>
            <w:shd w:val="clear" w:color="auto" w:fill="auto"/>
          </w:tcPr>
          <w:p w14:paraId="33DAB859" w14:textId="77777777" w:rsidR="004D6A64" w:rsidRDefault="004D6A64">
            <w:pPr>
              <w:rPr>
                <w:rFonts w:ascii="宋体"/>
              </w:rPr>
            </w:pPr>
          </w:p>
        </w:tc>
        <w:tc>
          <w:tcPr>
            <w:tcW w:w="0" w:type="auto"/>
            <w:shd w:val="clear" w:color="auto" w:fill="auto"/>
          </w:tcPr>
          <w:p w14:paraId="33DAB85A" w14:textId="77777777" w:rsidR="004D6A64" w:rsidRDefault="004D6A64">
            <w:pPr>
              <w:rPr>
                <w:rFonts w:ascii="宋体"/>
              </w:rPr>
            </w:pPr>
          </w:p>
        </w:tc>
        <w:tc>
          <w:tcPr>
            <w:tcW w:w="0" w:type="auto"/>
            <w:shd w:val="clear" w:color="auto" w:fill="auto"/>
          </w:tcPr>
          <w:p w14:paraId="33DAB85B" w14:textId="77777777" w:rsidR="004D6A64" w:rsidRDefault="004D6A64">
            <w:pPr>
              <w:rPr>
                <w:rFonts w:ascii="宋体"/>
              </w:rPr>
            </w:pPr>
          </w:p>
        </w:tc>
        <w:tc>
          <w:tcPr>
            <w:tcW w:w="0" w:type="auto"/>
            <w:shd w:val="clear" w:color="auto" w:fill="auto"/>
          </w:tcPr>
          <w:p w14:paraId="33DAB85C" w14:textId="77777777" w:rsidR="004D6A64" w:rsidRDefault="004D6A64">
            <w:pPr>
              <w:rPr>
                <w:rFonts w:ascii="宋体"/>
              </w:rPr>
            </w:pPr>
          </w:p>
        </w:tc>
        <w:tc>
          <w:tcPr>
            <w:tcW w:w="0" w:type="auto"/>
            <w:shd w:val="clear" w:color="auto" w:fill="auto"/>
          </w:tcPr>
          <w:p w14:paraId="33DAB85D" w14:textId="77777777" w:rsidR="004D6A64" w:rsidRDefault="004D6A64">
            <w:pPr>
              <w:rPr>
                <w:rFonts w:ascii="宋体"/>
              </w:rPr>
            </w:pPr>
          </w:p>
        </w:tc>
        <w:tc>
          <w:tcPr>
            <w:tcW w:w="0" w:type="auto"/>
            <w:shd w:val="clear" w:color="auto" w:fill="auto"/>
          </w:tcPr>
          <w:p w14:paraId="33DAB85E" w14:textId="77777777" w:rsidR="004D6A64" w:rsidRDefault="004D6A64">
            <w:pPr>
              <w:rPr>
                <w:rFonts w:ascii="宋体"/>
              </w:rPr>
            </w:pPr>
          </w:p>
        </w:tc>
        <w:tc>
          <w:tcPr>
            <w:tcW w:w="0" w:type="auto"/>
            <w:shd w:val="clear" w:color="auto" w:fill="auto"/>
          </w:tcPr>
          <w:p w14:paraId="33DAB85F" w14:textId="77777777" w:rsidR="004D6A64" w:rsidRDefault="004D6A64">
            <w:pPr>
              <w:rPr>
                <w:rFonts w:ascii="宋体"/>
              </w:rPr>
            </w:pPr>
          </w:p>
        </w:tc>
        <w:tc>
          <w:tcPr>
            <w:tcW w:w="0" w:type="auto"/>
            <w:shd w:val="clear" w:color="auto" w:fill="auto"/>
          </w:tcPr>
          <w:p w14:paraId="33DAB860" w14:textId="77777777" w:rsidR="004D6A64" w:rsidRDefault="004D6A64">
            <w:pPr>
              <w:rPr>
                <w:rFonts w:ascii="宋体"/>
              </w:rPr>
            </w:pPr>
          </w:p>
        </w:tc>
        <w:tc>
          <w:tcPr>
            <w:tcW w:w="0" w:type="auto"/>
            <w:shd w:val="clear" w:color="auto" w:fill="auto"/>
          </w:tcPr>
          <w:p w14:paraId="33DAB861" w14:textId="77777777" w:rsidR="004D6A64" w:rsidRDefault="004D6A64">
            <w:pPr>
              <w:rPr>
                <w:rFonts w:ascii="宋体"/>
              </w:rPr>
            </w:pPr>
          </w:p>
        </w:tc>
        <w:tc>
          <w:tcPr>
            <w:tcW w:w="0" w:type="auto"/>
            <w:shd w:val="clear" w:color="auto" w:fill="auto"/>
          </w:tcPr>
          <w:p w14:paraId="33DAB862" w14:textId="77777777" w:rsidR="004D6A64" w:rsidRDefault="004D6A64">
            <w:pPr>
              <w:rPr>
                <w:rFonts w:ascii="宋体"/>
              </w:rPr>
            </w:pPr>
          </w:p>
        </w:tc>
        <w:tc>
          <w:tcPr>
            <w:tcW w:w="0" w:type="auto"/>
            <w:shd w:val="clear" w:color="auto" w:fill="auto"/>
          </w:tcPr>
          <w:p w14:paraId="33DAB863" w14:textId="77777777" w:rsidR="004D6A64" w:rsidRDefault="004D6A64">
            <w:pPr>
              <w:rPr>
                <w:rFonts w:ascii="宋体"/>
              </w:rPr>
            </w:pPr>
          </w:p>
        </w:tc>
      </w:tr>
      <w:tr w:rsidR="004D6A64" w14:paraId="33DAB88F" w14:textId="77777777">
        <w:trPr>
          <w:jc w:val="center"/>
        </w:trPr>
        <w:tc>
          <w:tcPr>
            <w:tcW w:w="0" w:type="auto"/>
            <w:gridSpan w:val="3"/>
            <w:shd w:val="clear" w:color="auto" w:fill="CCEEFF"/>
            <w:tcMar>
              <w:top w:w="40" w:type="dxa"/>
              <w:left w:w="20" w:type="dxa"/>
              <w:bottom w:w="40" w:type="dxa"/>
              <w:right w:w="20" w:type="dxa"/>
            </w:tcMar>
            <w:vAlign w:val="bottom"/>
          </w:tcPr>
          <w:p w14:paraId="33DAB865" w14:textId="77777777" w:rsidR="004D6A64" w:rsidRDefault="00506CD6">
            <w:pPr>
              <w:textAlignment w:val="bottom"/>
            </w:pPr>
            <w:r>
              <w:rPr>
                <w:rFonts w:ascii="Times New Roman" w:eastAsia="宋体" w:hAnsi="Times New Roman"/>
                <w:color w:val="000000"/>
                <w:sz w:val="20"/>
                <w:szCs w:val="20"/>
              </w:rPr>
              <w:t>Ot</w:t>
            </w:r>
            <w:r>
              <w:rPr>
                <w:rFonts w:ascii="Times New Roman" w:eastAsia="宋体" w:hAnsi="Times New Roman"/>
                <w:color w:val="000000"/>
                <w:sz w:val="20"/>
                <w:szCs w:val="20"/>
              </w:rPr>
              <w:t>her</w:t>
            </w:r>
          </w:p>
        </w:tc>
        <w:tc>
          <w:tcPr>
            <w:tcW w:w="0" w:type="auto"/>
            <w:gridSpan w:val="2"/>
            <w:shd w:val="clear" w:color="auto" w:fill="CCEEFF"/>
            <w:tcMar>
              <w:top w:w="40" w:type="dxa"/>
              <w:left w:w="20" w:type="dxa"/>
              <w:bottom w:w="40" w:type="dxa"/>
              <w:right w:w="0" w:type="dxa"/>
            </w:tcMar>
            <w:vAlign w:val="bottom"/>
          </w:tcPr>
          <w:p w14:paraId="33DAB866" w14:textId="77777777" w:rsidR="004D6A64" w:rsidRDefault="00506CD6">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bottom w:w="40" w:type="dxa"/>
              <w:right w:w="20" w:type="dxa"/>
            </w:tcMar>
            <w:vAlign w:val="bottom"/>
          </w:tcPr>
          <w:p w14:paraId="33DAB86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868"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B869" w14:textId="77777777" w:rsidR="004D6A64" w:rsidRDefault="00506CD6">
            <w:pPr>
              <w:jc w:val="right"/>
              <w:textAlignment w:val="bottom"/>
            </w:pPr>
            <w:r>
              <w:rPr>
                <w:rFonts w:ascii="Times New Roman" w:eastAsia="宋体" w:hAnsi="Times New Roman"/>
                <w:color w:val="000000"/>
                <w:sz w:val="20"/>
                <w:szCs w:val="20"/>
              </w:rPr>
              <w:t>10 </w:t>
            </w:r>
          </w:p>
        </w:tc>
        <w:tc>
          <w:tcPr>
            <w:tcW w:w="0" w:type="auto"/>
            <w:shd w:val="clear" w:color="auto" w:fill="CCEEFF"/>
            <w:tcMar>
              <w:top w:w="40" w:type="dxa"/>
              <w:bottom w:w="40" w:type="dxa"/>
              <w:right w:w="20" w:type="dxa"/>
            </w:tcMar>
            <w:vAlign w:val="bottom"/>
          </w:tcPr>
          <w:p w14:paraId="33DAB86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86B"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B86C" w14:textId="77777777" w:rsidR="004D6A64" w:rsidRDefault="00506CD6">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bottom w:w="40" w:type="dxa"/>
              <w:right w:w="20" w:type="dxa"/>
            </w:tcMar>
            <w:vAlign w:val="bottom"/>
          </w:tcPr>
          <w:p w14:paraId="33DAB86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86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B86F" w14:textId="77777777" w:rsidR="004D6A64" w:rsidRDefault="00506CD6">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bottom w:w="40" w:type="dxa"/>
              <w:right w:w="20" w:type="dxa"/>
            </w:tcMar>
            <w:vAlign w:val="bottom"/>
          </w:tcPr>
          <w:p w14:paraId="33DAB87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871"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B872" w14:textId="77777777" w:rsidR="004D6A64" w:rsidRDefault="00506CD6">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bottom w:w="40" w:type="dxa"/>
              <w:right w:w="20" w:type="dxa"/>
            </w:tcMar>
            <w:vAlign w:val="bottom"/>
          </w:tcPr>
          <w:p w14:paraId="33DAB87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874"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B875" w14:textId="77777777" w:rsidR="004D6A64" w:rsidRDefault="00506CD6">
            <w:pPr>
              <w:jc w:val="right"/>
              <w:textAlignment w:val="bottom"/>
            </w:pPr>
            <w:r>
              <w:rPr>
                <w:rFonts w:ascii="Times New Roman" w:eastAsia="宋体" w:hAnsi="Times New Roman"/>
                <w:color w:val="000000"/>
                <w:sz w:val="20"/>
                <w:szCs w:val="20"/>
              </w:rPr>
              <w:t>105 </w:t>
            </w:r>
          </w:p>
        </w:tc>
        <w:tc>
          <w:tcPr>
            <w:tcW w:w="0" w:type="auto"/>
            <w:shd w:val="clear" w:color="auto" w:fill="CCEEFF"/>
            <w:tcMar>
              <w:top w:w="40" w:type="dxa"/>
              <w:bottom w:w="40" w:type="dxa"/>
              <w:right w:w="20" w:type="dxa"/>
            </w:tcMar>
            <w:vAlign w:val="bottom"/>
          </w:tcPr>
          <w:p w14:paraId="33DAB87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877"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B878" w14:textId="77777777" w:rsidR="004D6A64" w:rsidRDefault="00506CD6">
            <w:pPr>
              <w:jc w:val="right"/>
              <w:textAlignment w:val="bottom"/>
            </w:pPr>
            <w:r>
              <w:rPr>
                <w:rFonts w:ascii="Times New Roman" w:eastAsia="宋体" w:hAnsi="Times New Roman"/>
                <w:color w:val="000000"/>
                <w:sz w:val="20"/>
                <w:szCs w:val="20"/>
              </w:rPr>
              <w:t>147 </w:t>
            </w:r>
          </w:p>
        </w:tc>
        <w:tc>
          <w:tcPr>
            <w:tcW w:w="0" w:type="auto"/>
            <w:shd w:val="clear" w:color="auto" w:fill="CCEEFF"/>
            <w:tcMar>
              <w:top w:w="40" w:type="dxa"/>
              <w:bottom w:w="40" w:type="dxa"/>
              <w:right w:w="20" w:type="dxa"/>
            </w:tcMar>
            <w:vAlign w:val="bottom"/>
          </w:tcPr>
          <w:p w14:paraId="33DAB879" w14:textId="77777777" w:rsidR="004D6A64" w:rsidRDefault="004D6A64">
            <w:pPr>
              <w:jc w:val="right"/>
              <w:rPr>
                <w:rFonts w:ascii="宋体"/>
              </w:rPr>
            </w:pPr>
          </w:p>
        </w:tc>
        <w:tc>
          <w:tcPr>
            <w:tcW w:w="0" w:type="auto"/>
            <w:shd w:val="clear" w:color="auto" w:fill="auto"/>
          </w:tcPr>
          <w:p w14:paraId="33DAB87A" w14:textId="77777777" w:rsidR="004D6A64" w:rsidRDefault="004D6A64">
            <w:pPr>
              <w:rPr>
                <w:rFonts w:ascii="宋体"/>
              </w:rPr>
            </w:pPr>
          </w:p>
        </w:tc>
        <w:tc>
          <w:tcPr>
            <w:tcW w:w="0" w:type="auto"/>
            <w:shd w:val="clear" w:color="auto" w:fill="auto"/>
          </w:tcPr>
          <w:p w14:paraId="33DAB87B" w14:textId="77777777" w:rsidR="004D6A64" w:rsidRDefault="004D6A64">
            <w:pPr>
              <w:rPr>
                <w:rFonts w:ascii="宋体"/>
              </w:rPr>
            </w:pPr>
          </w:p>
        </w:tc>
        <w:tc>
          <w:tcPr>
            <w:tcW w:w="0" w:type="auto"/>
            <w:shd w:val="clear" w:color="auto" w:fill="auto"/>
          </w:tcPr>
          <w:p w14:paraId="33DAB87C" w14:textId="77777777" w:rsidR="004D6A64" w:rsidRDefault="004D6A64">
            <w:pPr>
              <w:rPr>
                <w:rFonts w:ascii="宋体"/>
              </w:rPr>
            </w:pPr>
          </w:p>
        </w:tc>
        <w:tc>
          <w:tcPr>
            <w:tcW w:w="0" w:type="auto"/>
            <w:shd w:val="clear" w:color="auto" w:fill="auto"/>
          </w:tcPr>
          <w:p w14:paraId="33DAB87D" w14:textId="77777777" w:rsidR="004D6A64" w:rsidRDefault="004D6A64">
            <w:pPr>
              <w:rPr>
                <w:rFonts w:ascii="宋体"/>
              </w:rPr>
            </w:pPr>
          </w:p>
        </w:tc>
        <w:tc>
          <w:tcPr>
            <w:tcW w:w="0" w:type="auto"/>
            <w:shd w:val="clear" w:color="auto" w:fill="auto"/>
          </w:tcPr>
          <w:p w14:paraId="33DAB87E" w14:textId="77777777" w:rsidR="004D6A64" w:rsidRDefault="004D6A64">
            <w:pPr>
              <w:rPr>
                <w:rFonts w:ascii="宋体"/>
              </w:rPr>
            </w:pPr>
          </w:p>
        </w:tc>
        <w:tc>
          <w:tcPr>
            <w:tcW w:w="0" w:type="auto"/>
            <w:shd w:val="clear" w:color="auto" w:fill="auto"/>
          </w:tcPr>
          <w:p w14:paraId="33DAB87F" w14:textId="77777777" w:rsidR="004D6A64" w:rsidRDefault="004D6A64">
            <w:pPr>
              <w:rPr>
                <w:rFonts w:ascii="宋体"/>
              </w:rPr>
            </w:pPr>
          </w:p>
        </w:tc>
        <w:tc>
          <w:tcPr>
            <w:tcW w:w="0" w:type="auto"/>
            <w:shd w:val="clear" w:color="auto" w:fill="auto"/>
          </w:tcPr>
          <w:p w14:paraId="33DAB880" w14:textId="77777777" w:rsidR="004D6A64" w:rsidRDefault="004D6A64">
            <w:pPr>
              <w:rPr>
                <w:rFonts w:ascii="宋体"/>
              </w:rPr>
            </w:pPr>
          </w:p>
        </w:tc>
        <w:tc>
          <w:tcPr>
            <w:tcW w:w="0" w:type="auto"/>
            <w:shd w:val="clear" w:color="auto" w:fill="auto"/>
          </w:tcPr>
          <w:p w14:paraId="33DAB881" w14:textId="77777777" w:rsidR="004D6A64" w:rsidRDefault="004D6A64">
            <w:pPr>
              <w:rPr>
                <w:rFonts w:ascii="宋体"/>
              </w:rPr>
            </w:pPr>
          </w:p>
        </w:tc>
        <w:tc>
          <w:tcPr>
            <w:tcW w:w="0" w:type="auto"/>
            <w:shd w:val="clear" w:color="auto" w:fill="auto"/>
          </w:tcPr>
          <w:p w14:paraId="33DAB882" w14:textId="77777777" w:rsidR="004D6A64" w:rsidRDefault="004D6A64">
            <w:pPr>
              <w:rPr>
                <w:rFonts w:ascii="宋体"/>
              </w:rPr>
            </w:pPr>
          </w:p>
        </w:tc>
        <w:tc>
          <w:tcPr>
            <w:tcW w:w="0" w:type="auto"/>
            <w:shd w:val="clear" w:color="auto" w:fill="auto"/>
          </w:tcPr>
          <w:p w14:paraId="33DAB883" w14:textId="77777777" w:rsidR="004D6A64" w:rsidRDefault="004D6A64">
            <w:pPr>
              <w:rPr>
                <w:rFonts w:ascii="宋体"/>
              </w:rPr>
            </w:pPr>
          </w:p>
        </w:tc>
        <w:tc>
          <w:tcPr>
            <w:tcW w:w="0" w:type="auto"/>
            <w:shd w:val="clear" w:color="auto" w:fill="auto"/>
          </w:tcPr>
          <w:p w14:paraId="33DAB884" w14:textId="77777777" w:rsidR="004D6A64" w:rsidRDefault="004D6A64">
            <w:pPr>
              <w:rPr>
                <w:rFonts w:ascii="宋体"/>
              </w:rPr>
            </w:pPr>
          </w:p>
        </w:tc>
        <w:tc>
          <w:tcPr>
            <w:tcW w:w="0" w:type="auto"/>
            <w:shd w:val="clear" w:color="auto" w:fill="auto"/>
          </w:tcPr>
          <w:p w14:paraId="33DAB885" w14:textId="77777777" w:rsidR="004D6A64" w:rsidRDefault="004D6A64">
            <w:pPr>
              <w:rPr>
                <w:rFonts w:ascii="宋体"/>
              </w:rPr>
            </w:pPr>
          </w:p>
        </w:tc>
        <w:tc>
          <w:tcPr>
            <w:tcW w:w="0" w:type="auto"/>
            <w:shd w:val="clear" w:color="auto" w:fill="auto"/>
          </w:tcPr>
          <w:p w14:paraId="33DAB886" w14:textId="77777777" w:rsidR="004D6A64" w:rsidRDefault="004D6A64">
            <w:pPr>
              <w:rPr>
                <w:rFonts w:ascii="宋体"/>
              </w:rPr>
            </w:pPr>
          </w:p>
        </w:tc>
        <w:tc>
          <w:tcPr>
            <w:tcW w:w="0" w:type="auto"/>
            <w:shd w:val="clear" w:color="auto" w:fill="auto"/>
          </w:tcPr>
          <w:p w14:paraId="33DAB887" w14:textId="77777777" w:rsidR="004D6A64" w:rsidRDefault="004D6A64">
            <w:pPr>
              <w:rPr>
                <w:rFonts w:ascii="宋体"/>
              </w:rPr>
            </w:pPr>
          </w:p>
        </w:tc>
        <w:tc>
          <w:tcPr>
            <w:tcW w:w="0" w:type="auto"/>
            <w:shd w:val="clear" w:color="auto" w:fill="auto"/>
          </w:tcPr>
          <w:p w14:paraId="33DAB888" w14:textId="77777777" w:rsidR="004D6A64" w:rsidRDefault="004D6A64">
            <w:pPr>
              <w:rPr>
                <w:rFonts w:ascii="宋体"/>
              </w:rPr>
            </w:pPr>
          </w:p>
        </w:tc>
        <w:tc>
          <w:tcPr>
            <w:tcW w:w="0" w:type="auto"/>
            <w:shd w:val="clear" w:color="auto" w:fill="auto"/>
          </w:tcPr>
          <w:p w14:paraId="33DAB889" w14:textId="77777777" w:rsidR="004D6A64" w:rsidRDefault="004D6A64">
            <w:pPr>
              <w:rPr>
                <w:rFonts w:ascii="宋体"/>
              </w:rPr>
            </w:pPr>
          </w:p>
        </w:tc>
        <w:tc>
          <w:tcPr>
            <w:tcW w:w="0" w:type="auto"/>
            <w:shd w:val="clear" w:color="auto" w:fill="auto"/>
          </w:tcPr>
          <w:p w14:paraId="33DAB88A" w14:textId="77777777" w:rsidR="004D6A64" w:rsidRDefault="004D6A64">
            <w:pPr>
              <w:rPr>
                <w:rFonts w:ascii="宋体"/>
              </w:rPr>
            </w:pPr>
          </w:p>
        </w:tc>
        <w:tc>
          <w:tcPr>
            <w:tcW w:w="0" w:type="auto"/>
            <w:shd w:val="clear" w:color="auto" w:fill="auto"/>
          </w:tcPr>
          <w:p w14:paraId="33DAB88B" w14:textId="77777777" w:rsidR="004D6A64" w:rsidRDefault="004D6A64">
            <w:pPr>
              <w:rPr>
                <w:rFonts w:ascii="宋体"/>
              </w:rPr>
            </w:pPr>
          </w:p>
        </w:tc>
        <w:tc>
          <w:tcPr>
            <w:tcW w:w="0" w:type="auto"/>
            <w:shd w:val="clear" w:color="auto" w:fill="auto"/>
          </w:tcPr>
          <w:p w14:paraId="33DAB88C" w14:textId="77777777" w:rsidR="004D6A64" w:rsidRDefault="004D6A64">
            <w:pPr>
              <w:rPr>
                <w:rFonts w:ascii="宋体"/>
              </w:rPr>
            </w:pPr>
          </w:p>
        </w:tc>
        <w:tc>
          <w:tcPr>
            <w:tcW w:w="0" w:type="auto"/>
            <w:shd w:val="clear" w:color="auto" w:fill="auto"/>
          </w:tcPr>
          <w:p w14:paraId="33DAB88D" w14:textId="77777777" w:rsidR="004D6A64" w:rsidRDefault="004D6A64">
            <w:pPr>
              <w:rPr>
                <w:rFonts w:ascii="宋体"/>
              </w:rPr>
            </w:pPr>
          </w:p>
        </w:tc>
        <w:tc>
          <w:tcPr>
            <w:tcW w:w="0" w:type="auto"/>
            <w:shd w:val="clear" w:color="auto" w:fill="auto"/>
          </w:tcPr>
          <w:p w14:paraId="33DAB88E" w14:textId="77777777" w:rsidR="004D6A64" w:rsidRDefault="004D6A64">
            <w:pPr>
              <w:rPr>
                <w:rFonts w:ascii="宋体"/>
              </w:rPr>
            </w:pPr>
          </w:p>
        </w:tc>
      </w:tr>
      <w:tr w:rsidR="004D6A64" w14:paraId="33DAB8BA" w14:textId="77777777">
        <w:trPr>
          <w:jc w:val="center"/>
        </w:trPr>
        <w:tc>
          <w:tcPr>
            <w:tcW w:w="0" w:type="auto"/>
            <w:gridSpan w:val="3"/>
            <w:shd w:val="clear" w:color="auto" w:fill="FFFFFF"/>
            <w:tcMar>
              <w:top w:w="40" w:type="dxa"/>
              <w:left w:w="135" w:type="dxa"/>
              <w:bottom w:w="40" w:type="dxa"/>
              <w:right w:w="20" w:type="dxa"/>
            </w:tcMar>
            <w:vAlign w:val="bottom"/>
          </w:tcPr>
          <w:p w14:paraId="33DAB890" w14:textId="77777777" w:rsidR="004D6A64" w:rsidRDefault="00506CD6">
            <w:pPr>
              <w:textAlignment w:val="bottom"/>
            </w:pPr>
            <w:r>
              <w:rPr>
                <w:rFonts w:ascii="Times New Roman" w:eastAsia="宋体" w:hAnsi="Times New Roman"/>
                <w:color w:val="000000"/>
                <w:sz w:val="20"/>
                <w:szCs w:val="20"/>
              </w:rPr>
              <w:t>To</w:t>
            </w:r>
            <w:r>
              <w:rPr>
                <w:rFonts w:ascii="Times New Roman" w:eastAsia="宋体" w:hAnsi="Times New Roman"/>
                <w:color w:val="000000"/>
                <w:sz w:val="20"/>
                <w:szCs w:val="20"/>
              </w:rPr>
              <w:t>tal maturities, principal amount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3DAB891" w14:textId="77777777" w:rsidR="004D6A64" w:rsidRDefault="00506CD6">
            <w:pPr>
              <w:jc w:val="right"/>
              <w:textAlignment w:val="bottom"/>
            </w:pPr>
            <w:r>
              <w:rPr>
                <w:rFonts w:ascii="Times New Roman" w:eastAsia="宋体" w:hAnsi="Times New Roman"/>
                <w:color w:val="000000"/>
                <w:sz w:val="20"/>
                <w:szCs w:val="20"/>
              </w:rPr>
              <w:t>4,417 </w:t>
            </w:r>
          </w:p>
        </w:tc>
        <w:tc>
          <w:tcPr>
            <w:tcW w:w="0" w:type="auto"/>
            <w:tcBorders>
              <w:top w:val="single" w:sz="8" w:space="0" w:color="000000"/>
            </w:tcBorders>
            <w:shd w:val="clear" w:color="auto" w:fill="FFFFFF"/>
            <w:tcMar>
              <w:top w:w="40" w:type="dxa"/>
              <w:bottom w:w="40" w:type="dxa"/>
              <w:right w:w="20" w:type="dxa"/>
            </w:tcMar>
            <w:vAlign w:val="bottom"/>
          </w:tcPr>
          <w:p w14:paraId="33DAB89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893"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3DAB894" w14:textId="77777777" w:rsidR="004D6A64" w:rsidRDefault="00506CD6">
            <w:pPr>
              <w:jc w:val="right"/>
              <w:textAlignment w:val="bottom"/>
            </w:pPr>
            <w:r>
              <w:rPr>
                <w:rFonts w:ascii="Times New Roman" w:eastAsia="宋体" w:hAnsi="Times New Roman"/>
                <w:color w:val="000000"/>
                <w:sz w:val="20"/>
                <w:szCs w:val="20"/>
              </w:rPr>
              <w:t>7,628 </w:t>
            </w:r>
          </w:p>
        </w:tc>
        <w:tc>
          <w:tcPr>
            <w:tcW w:w="0" w:type="auto"/>
            <w:tcBorders>
              <w:top w:val="single" w:sz="8" w:space="0" w:color="000000"/>
            </w:tcBorders>
            <w:shd w:val="clear" w:color="auto" w:fill="FFFFFF"/>
            <w:tcMar>
              <w:top w:w="40" w:type="dxa"/>
              <w:bottom w:w="40" w:type="dxa"/>
              <w:right w:w="20" w:type="dxa"/>
            </w:tcMar>
            <w:vAlign w:val="bottom"/>
          </w:tcPr>
          <w:p w14:paraId="33DAB89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896"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3DAB897" w14:textId="77777777" w:rsidR="004D6A64" w:rsidRDefault="00506CD6">
            <w:pPr>
              <w:jc w:val="right"/>
              <w:textAlignment w:val="bottom"/>
            </w:pPr>
            <w:r>
              <w:rPr>
                <w:rFonts w:ascii="Times New Roman" w:eastAsia="宋体" w:hAnsi="Times New Roman"/>
                <w:color w:val="000000"/>
                <w:sz w:val="20"/>
                <w:szCs w:val="20"/>
              </w:rPr>
              <w:t>8,026 </w:t>
            </w:r>
          </w:p>
        </w:tc>
        <w:tc>
          <w:tcPr>
            <w:tcW w:w="0" w:type="auto"/>
            <w:tcBorders>
              <w:top w:val="single" w:sz="8" w:space="0" w:color="000000"/>
            </w:tcBorders>
            <w:shd w:val="clear" w:color="auto" w:fill="FFFFFF"/>
            <w:tcMar>
              <w:top w:w="40" w:type="dxa"/>
              <w:bottom w:w="40" w:type="dxa"/>
              <w:right w:w="20" w:type="dxa"/>
            </w:tcMar>
            <w:vAlign w:val="bottom"/>
          </w:tcPr>
          <w:p w14:paraId="33DAB89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899"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3DAB89A" w14:textId="77777777" w:rsidR="004D6A64" w:rsidRDefault="00506CD6">
            <w:pPr>
              <w:jc w:val="right"/>
              <w:textAlignment w:val="bottom"/>
            </w:pPr>
            <w:r>
              <w:rPr>
                <w:rFonts w:ascii="Times New Roman" w:eastAsia="宋体" w:hAnsi="Times New Roman"/>
                <w:color w:val="000000"/>
                <w:sz w:val="20"/>
                <w:szCs w:val="20"/>
              </w:rPr>
              <w:t>7,873 </w:t>
            </w:r>
          </w:p>
        </w:tc>
        <w:tc>
          <w:tcPr>
            <w:tcW w:w="0" w:type="auto"/>
            <w:tcBorders>
              <w:top w:val="single" w:sz="8" w:space="0" w:color="000000"/>
            </w:tcBorders>
            <w:shd w:val="clear" w:color="auto" w:fill="FFFFFF"/>
            <w:tcMar>
              <w:top w:w="40" w:type="dxa"/>
              <w:bottom w:w="40" w:type="dxa"/>
              <w:right w:w="20" w:type="dxa"/>
            </w:tcMar>
            <w:vAlign w:val="bottom"/>
          </w:tcPr>
          <w:p w14:paraId="33DAB89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89C"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3DAB89D" w14:textId="77777777" w:rsidR="004D6A64" w:rsidRDefault="00506CD6">
            <w:pPr>
              <w:jc w:val="right"/>
              <w:textAlignment w:val="bottom"/>
            </w:pPr>
            <w:r>
              <w:rPr>
                <w:rFonts w:ascii="Times New Roman" w:eastAsia="宋体" w:hAnsi="Times New Roman"/>
                <w:color w:val="000000"/>
                <w:sz w:val="20"/>
                <w:szCs w:val="20"/>
              </w:rPr>
              <w:t>4,035 </w:t>
            </w:r>
          </w:p>
        </w:tc>
        <w:tc>
          <w:tcPr>
            <w:tcW w:w="0" w:type="auto"/>
            <w:tcBorders>
              <w:top w:val="single" w:sz="8" w:space="0" w:color="000000"/>
            </w:tcBorders>
            <w:shd w:val="clear" w:color="auto" w:fill="FFFFFF"/>
            <w:tcMar>
              <w:top w:w="40" w:type="dxa"/>
              <w:bottom w:w="40" w:type="dxa"/>
              <w:right w:w="20" w:type="dxa"/>
            </w:tcMar>
            <w:vAlign w:val="bottom"/>
          </w:tcPr>
          <w:p w14:paraId="33DAB89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89F"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3DAB8A0" w14:textId="77777777" w:rsidR="004D6A64" w:rsidRDefault="00506CD6">
            <w:pPr>
              <w:jc w:val="right"/>
              <w:textAlignment w:val="bottom"/>
            </w:pPr>
            <w:r>
              <w:rPr>
                <w:rFonts w:ascii="Times New Roman" w:eastAsia="宋体" w:hAnsi="Times New Roman"/>
                <w:color w:val="000000"/>
                <w:sz w:val="20"/>
                <w:szCs w:val="20"/>
              </w:rPr>
              <w:t>22,558 </w:t>
            </w:r>
          </w:p>
        </w:tc>
        <w:tc>
          <w:tcPr>
            <w:tcW w:w="0" w:type="auto"/>
            <w:tcBorders>
              <w:top w:val="single" w:sz="8" w:space="0" w:color="000000"/>
            </w:tcBorders>
            <w:shd w:val="clear" w:color="auto" w:fill="FFFFFF"/>
            <w:tcMar>
              <w:top w:w="40" w:type="dxa"/>
              <w:bottom w:w="40" w:type="dxa"/>
              <w:right w:w="20" w:type="dxa"/>
            </w:tcMar>
            <w:vAlign w:val="bottom"/>
          </w:tcPr>
          <w:p w14:paraId="33DAB8A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8A2"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3DAB8A3" w14:textId="77777777" w:rsidR="004D6A64" w:rsidRDefault="00506CD6">
            <w:pPr>
              <w:jc w:val="right"/>
              <w:textAlignment w:val="bottom"/>
            </w:pPr>
            <w:r>
              <w:rPr>
                <w:rFonts w:ascii="Times New Roman" w:eastAsia="宋体" w:hAnsi="Times New Roman"/>
                <w:color w:val="000000"/>
                <w:sz w:val="20"/>
                <w:szCs w:val="20"/>
              </w:rPr>
              <w:t>54,537 </w:t>
            </w:r>
          </w:p>
        </w:tc>
        <w:tc>
          <w:tcPr>
            <w:tcW w:w="0" w:type="auto"/>
            <w:tcBorders>
              <w:top w:val="single" w:sz="8" w:space="0" w:color="000000"/>
            </w:tcBorders>
            <w:shd w:val="clear" w:color="auto" w:fill="FFFFFF"/>
            <w:tcMar>
              <w:top w:w="40" w:type="dxa"/>
              <w:bottom w:w="40" w:type="dxa"/>
              <w:right w:w="20" w:type="dxa"/>
            </w:tcMar>
            <w:vAlign w:val="bottom"/>
          </w:tcPr>
          <w:p w14:paraId="33DAB8A4" w14:textId="77777777" w:rsidR="004D6A64" w:rsidRDefault="004D6A64">
            <w:pPr>
              <w:jc w:val="right"/>
              <w:rPr>
                <w:rFonts w:ascii="宋体"/>
              </w:rPr>
            </w:pPr>
          </w:p>
        </w:tc>
        <w:tc>
          <w:tcPr>
            <w:tcW w:w="0" w:type="auto"/>
            <w:shd w:val="clear" w:color="auto" w:fill="auto"/>
          </w:tcPr>
          <w:p w14:paraId="33DAB8A5" w14:textId="77777777" w:rsidR="004D6A64" w:rsidRDefault="004D6A64">
            <w:pPr>
              <w:rPr>
                <w:rFonts w:ascii="宋体"/>
              </w:rPr>
            </w:pPr>
          </w:p>
        </w:tc>
        <w:tc>
          <w:tcPr>
            <w:tcW w:w="0" w:type="auto"/>
            <w:shd w:val="clear" w:color="auto" w:fill="auto"/>
          </w:tcPr>
          <w:p w14:paraId="33DAB8A6" w14:textId="77777777" w:rsidR="004D6A64" w:rsidRDefault="004D6A64">
            <w:pPr>
              <w:rPr>
                <w:rFonts w:ascii="宋体"/>
              </w:rPr>
            </w:pPr>
          </w:p>
        </w:tc>
        <w:tc>
          <w:tcPr>
            <w:tcW w:w="0" w:type="auto"/>
            <w:shd w:val="clear" w:color="auto" w:fill="auto"/>
          </w:tcPr>
          <w:p w14:paraId="33DAB8A7" w14:textId="77777777" w:rsidR="004D6A64" w:rsidRDefault="004D6A64">
            <w:pPr>
              <w:rPr>
                <w:rFonts w:ascii="宋体"/>
              </w:rPr>
            </w:pPr>
          </w:p>
        </w:tc>
        <w:tc>
          <w:tcPr>
            <w:tcW w:w="0" w:type="auto"/>
            <w:shd w:val="clear" w:color="auto" w:fill="auto"/>
          </w:tcPr>
          <w:p w14:paraId="33DAB8A8" w14:textId="77777777" w:rsidR="004D6A64" w:rsidRDefault="004D6A64">
            <w:pPr>
              <w:rPr>
                <w:rFonts w:ascii="宋体"/>
              </w:rPr>
            </w:pPr>
          </w:p>
        </w:tc>
        <w:tc>
          <w:tcPr>
            <w:tcW w:w="0" w:type="auto"/>
            <w:shd w:val="clear" w:color="auto" w:fill="auto"/>
          </w:tcPr>
          <w:p w14:paraId="33DAB8A9" w14:textId="77777777" w:rsidR="004D6A64" w:rsidRDefault="004D6A64">
            <w:pPr>
              <w:rPr>
                <w:rFonts w:ascii="宋体"/>
              </w:rPr>
            </w:pPr>
          </w:p>
        </w:tc>
        <w:tc>
          <w:tcPr>
            <w:tcW w:w="0" w:type="auto"/>
            <w:shd w:val="clear" w:color="auto" w:fill="auto"/>
          </w:tcPr>
          <w:p w14:paraId="33DAB8AA" w14:textId="77777777" w:rsidR="004D6A64" w:rsidRDefault="004D6A64">
            <w:pPr>
              <w:rPr>
                <w:rFonts w:ascii="宋体"/>
              </w:rPr>
            </w:pPr>
          </w:p>
        </w:tc>
        <w:tc>
          <w:tcPr>
            <w:tcW w:w="0" w:type="auto"/>
            <w:shd w:val="clear" w:color="auto" w:fill="auto"/>
          </w:tcPr>
          <w:p w14:paraId="33DAB8AB" w14:textId="77777777" w:rsidR="004D6A64" w:rsidRDefault="004D6A64">
            <w:pPr>
              <w:rPr>
                <w:rFonts w:ascii="宋体"/>
              </w:rPr>
            </w:pPr>
          </w:p>
        </w:tc>
        <w:tc>
          <w:tcPr>
            <w:tcW w:w="0" w:type="auto"/>
            <w:shd w:val="clear" w:color="auto" w:fill="auto"/>
          </w:tcPr>
          <w:p w14:paraId="33DAB8AC" w14:textId="77777777" w:rsidR="004D6A64" w:rsidRDefault="004D6A64">
            <w:pPr>
              <w:rPr>
                <w:rFonts w:ascii="宋体"/>
              </w:rPr>
            </w:pPr>
          </w:p>
        </w:tc>
        <w:tc>
          <w:tcPr>
            <w:tcW w:w="0" w:type="auto"/>
            <w:shd w:val="clear" w:color="auto" w:fill="auto"/>
          </w:tcPr>
          <w:p w14:paraId="33DAB8AD" w14:textId="77777777" w:rsidR="004D6A64" w:rsidRDefault="004D6A64">
            <w:pPr>
              <w:rPr>
                <w:rFonts w:ascii="宋体"/>
              </w:rPr>
            </w:pPr>
          </w:p>
        </w:tc>
        <w:tc>
          <w:tcPr>
            <w:tcW w:w="0" w:type="auto"/>
            <w:shd w:val="clear" w:color="auto" w:fill="auto"/>
          </w:tcPr>
          <w:p w14:paraId="33DAB8AE" w14:textId="77777777" w:rsidR="004D6A64" w:rsidRDefault="004D6A64">
            <w:pPr>
              <w:rPr>
                <w:rFonts w:ascii="宋体"/>
              </w:rPr>
            </w:pPr>
          </w:p>
        </w:tc>
        <w:tc>
          <w:tcPr>
            <w:tcW w:w="0" w:type="auto"/>
            <w:shd w:val="clear" w:color="auto" w:fill="auto"/>
          </w:tcPr>
          <w:p w14:paraId="33DAB8AF" w14:textId="77777777" w:rsidR="004D6A64" w:rsidRDefault="004D6A64">
            <w:pPr>
              <w:rPr>
                <w:rFonts w:ascii="宋体"/>
              </w:rPr>
            </w:pPr>
          </w:p>
        </w:tc>
        <w:tc>
          <w:tcPr>
            <w:tcW w:w="0" w:type="auto"/>
            <w:shd w:val="clear" w:color="auto" w:fill="auto"/>
          </w:tcPr>
          <w:p w14:paraId="33DAB8B0" w14:textId="77777777" w:rsidR="004D6A64" w:rsidRDefault="004D6A64">
            <w:pPr>
              <w:rPr>
                <w:rFonts w:ascii="宋体"/>
              </w:rPr>
            </w:pPr>
          </w:p>
        </w:tc>
        <w:tc>
          <w:tcPr>
            <w:tcW w:w="0" w:type="auto"/>
            <w:shd w:val="clear" w:color="auto" w:fill="auto"/>
          </w:tcPr>
          <w:p w14:paraId="33DAB8B1" w14:textId="77777777" w:rsidR="004D6A64" w:rsidRDefault="004D6A64">
            <w:pPr>
              <w:rPr>
                <w:rFonts w:ascii="宋体"/>
              </w:rPr>
            </w:pPr>
          </w:p>
        </w:tc>
        <w:tc>
          <w:tcPr>
            <w:tcW w:w="0" w:type="auto"/>
            <w:shd w:val="clear" w:color="auto" w:fill="auto"/>
          </w:tcPr>
          <w:p w14:paraId="33DAB8B2" w14:textId="77777777" w:rsidR="004D6A64" w:rsidRDefault="004D6A64">
            <w:pPr>
              <w:rPr>
                <w:rFonts w:ascii="宋体"/>
              </w:rPr>
            </w:pPr>
          </w:p>
        </w:tc>
        <w:tc>
          <w:tcPr>
            <w:tcW w:w="0" w:type="auto"/>
            <w:shd w:val="clear" w:color="auto" w:fill="auto"/>
          </w:tcPr>
          <w:p w14:paraId="33DAB8B3" w14:textId="77777777" w:rsidR="004D6A64" w:rsidRDefault="004D6A64">
            <w:pPr>
              <w:rPr>
                <w:rFonts w:ascii="宋体"/>
              </w:rPr>
            </w:pPr>
          </w:p>
        </w:tc>
        <w:tc>
          <w:tcPr>
            <w:tcW w:w="0" w:type="auto"/>
            <w:shd w:val="clear" w:color="auto" w:fill="auto"/>
          </w:tcPr>
          <w:p w14:paraId="33DAB8B4" w14:textId="77777777" w:rsidR="004D6A64" w:rsidRDefault="004D6A64">
            <w:pPr>
              <w:rPr>
                <w:rFonts w:ascii="宋体"/>
              </w:rPr>
            </w:pPr>
          </w:p>
        </w:tc>
        <w:tc>
          <w:tcPr>
            <w:tcW w:w="0" w:type="auto"/>
            <w:shd w:val="clear" w:color="auto" w:fill="auto"/>
          </w:tcPr>
          <w:p w14:paraId="33DAB8B5" w14:textId="77777777" w:rsidR="004D6A64" w:rsidRDefault="004D6A64">
            <w:pPr>
              <w:rPr>
                <w:rFonts w:ascii="宋体"/>
              </w:rPr>
            </w:pPr>
          </w:p>
        </w:tc>
        <w:tc>
          <w:tcPr>
            <w:tcW w:w="0" w:type="auto"/>
            <w:shd w:val="clear" w:color="auto" w:fill="auto"/>
          </w:tcPr>
          <w:p w14:paraId="33DAB8B6" w14:textId="77777777" w:rsidR="004D6A64" w:rsidRDefault="004D6A64">
            <w:pPr>
              <w:rPr>
                <w:rFonts w:ascii="宋体"/>
              </w:rPr>
            </w:pPr>
          </w:p>
        </w:tc>
        <w:tc>
          <w:tcPr>
            <w:tcW w:w="0" w:type="auto"/>
            <w:shd w:val="clear" w:color="auto" w:fill="auto"/>
          </w:tcPr>
          <w:p w14:paraId="33DAB8B7" w14:textId="77777777" w:rsidR="004D6A64" w:rsidRDefault="004D6A64">
            <w:pPr>
              <w:rPr>
                <w:rFonts w:ascii="宋体"/>
              </w:rPr>
            </w:pPr>
          </w:p>
        </w:tc>
        <w:tc>
          <w:tcPr>
            <w:tcW w:w="0" w:type="auto"/>
            <w:shd w:val="clear" w:color="auto" w:fill="auto"/>
          </w:tcPr>
          <w:p w14:paraId="33DAB8B8" w14:textId="77777777" w:rsidR="004D6A64" w:rsidRDefault="004D6A64">
            <w:pPr>
              <w:rPr>
                <w:rFonts w:ascii="宋体"/>
              </w:rPr>
            </w:pPr>
          </w:p>
        </w:tc>
        <w:tc>
          <w:tcPr>
            <w:tcW w:w="0" w:type="auto"/>
            <w:shd w:val="clear" w:color="auto" w:fill="auto"/>
          </w:tcPr>
          <w:p w14:paraId="33DAB8B9" w14:textId="77777777" w:rsidR="004D6A64" w:rsidRDefault="004D6A64">
            <w:pPr>
              <w:rPr>
                <w:rFonts w:ascii="宋体"/>
              </w:rPr>
            </w:pPr>
          </w:p>
        </w:tc>
      </w:tr>
      <w:tr w:rsidR="004D6A64" w14:paraId="33DAB8E5" w14:textId="77777777">
        <w:trPr>
          <w:jc w:val="center"/>
        </w:trPr>
        <w:tc>
          <w:tcPr>
            <w:tcW w:w="0" w:type="auto"/>
            <w:gridSpan w:val="3"/>
            <w:shd w:val="clear" w:color="auto" w:fill="CCEEFF"/>
            <w:tcMar>
              <w:top w:w="40" w:type="dxa"/>
              <w:left w:w="240" w:type="dxa"/>
              <w:bottom w:w="40" w:type="dxa"/>
              <w:right w:w="20" w:type="dxa"/>
            </w:tcMar>
            <w:vAlign w:val="bottom"/>
          </w:tcPr>
          <w:p w14:paraId="33DAB8BB" w14:textId="77777777" w:rsidR="004D6A64" w:rsidRDefault="00506CD6">
            <w:pPr>
              <w:textAlignment w:val="bottom"/>
            </w:pPr>
            <w:r>
              <w:rPr>
                <w:rFonts w:ascii="Times New Roman" w:eastAsia="宋体" w:hAnsi="Times New Roman"/>
                <w:color w:val="000000"/>
                <w:sz w:val="20"/>
                <w:szCs w:val="20"/>
              </w:rPr>
              <w:t>Associated carrying value adjustments</w:t>
            </w:r>
          </w:p>
        </w:tc>
        <w:tc>
          <w:tcPr>
            <w:tcW w:w="0" w:type="auto"/>
            <w:gridSpan w:val="2"/>
            <w:shd w:val="clear" w:color="auto" w:fill="CCEEFF"/>
            <w:tcMar>
              <w:top w:w="40" w:type="dxa"/>
              <w:left w:w="20" w:type="dxa"/>
              <w:bottom w:w="40" w:type="dxa"/>
              <w:right w:w="0" w:type="dxa"/>
            </w:tcMar>
            <w:vAlign w:val="bottom"/>
          </w:tcPr>
          <w:p w14:paraId="33DAB8BC" w14:textId="77777777" w:rsidR="004D6A64" w:rsidRDefault="00506CD6">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bottom w:w="40" w:type="dxa"/>
              <w:right w:w="20" w:type="dxa"/>
            </w:tcMar>
            <w:vAlign w:val="bottom"/>
          </w:tcPr>
          <w:p w14:paraId="33DAB8B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8B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B8BF" w14:textId="77777777" w:rsidR="004D6A64" w:rsidRDefault="00506CD6">
            <w:pPr>
              <w:jc w:val="right"/>
              <w:textAlignment w:val="bottom"/>
            </w:pPr>
            <w:r>
              <w:rPr>
                <w:rFonts w:ascii="Times New Roman" w:eastAsia="宋体" w:hAnsi="Times New Roman"/>
                <w:color w:val="000000"/>
                <w:sz w:val="20"/>
                <w:szCs w:val="20"/>
              </w:rPr>
              <w:t>(29)</w:t>
            </w:r>
          </w:p>
        </w:tc>
        <w:tc>
          <w:tcPr>
            <w:tcW w:w="0" w:type="auto"/>
            <w:shd w:val="clear" w:color="auto" w:fill="CCEEFF"/>
            <w:tcMar>
              <w:top w:w="40" w:type="dxa"/>
              <w:bottom w:w="40" w:type="dxa"/>
              <w:right w:w="20" w:type="dxa"/>
            </w:tcMar>
            <w:vAlign w:val="bottom"/>
          </w:tcPr>
          <w:p w14:paraId="33DAB8C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8C1"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B8C2" w14:textId="77777777" w:rsidR="004D6A64" w:rsidRDefault="00506CD6">
            <w:pPr>
              <w:jc w:val="right"/>
              <w:textAlignment w:val="bottom"/>
            </w:pPr>
            <w:r>
              <w:rPr>
                <w:rFonts w:ascii="Times New Roman" w:eastAsia="宋体" w:hAnsi="Times New Roman"/>
                <w:color w:val="000000"/>
                <w:sz w:val="20"/>
                <w:szCs w:val="20"/>
              </w:rPr>
              <w:t>(21)</w:t>
            </w:r>
          </w:p>
        </w:tc>
        <w:tc>
          <w:tcPr>
            <w:tcW w:w="0" w:type="auto"/>
            <w:shd w:val="clear" w:color="auto" w:fill="CCEEFF"/>
            <w:tcMar>
              <w:top w:w="40" w:type="dxa"/>
              <w:bottom w:w="40" w:type="dxa"/>
              <w:right w:w="20" w:type="dxa"/>
            </w:tcMar>
            <w:vAlign w:val="bottom"/>
          </w:tcPr>
          <w:p w14:paraId="33DAB8C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8C4"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B8C5" w14:textId="77777777" w:rsidR="004D6A64" w:rsidRDefault="00506CD6">
            <w:pPr>
              <w:jc w:val="right"/>
              <w:textAlignment w:val="bottom"/>
            </w:pPr>
            <w:r>
              <w:rPr>
                <w:rFonts w:ascii="Times New Roman" w:eastAsia="宋体" w:hAnsi="Times New Roman"/>
                <w:color w:val="000000"/>
                <w:sz w:val="20"/>
                <w:szCs w:val="20"/>
              </w:rPr>
              <w:t>(43)</w:t>
            </w:r>
          </w:p>
        </w:tc>
        <w:tc>
          <w:tcPr>
            <w:tcW w:w="0" w:type="auto"/>
            <w:shd w:val="clear" w:color="auto" w:fill="CCEEFF"/>
            <w:tcMar>
              <w:top w:w="40" w:type="dxa"/>
              <w:bottom w:w="40" w:type="dxa"/>
              <w:right w:w="20" w:type="dxa"/>
            </w:tcMar>
            <w:vAlign w:val="bottom"/>
          </w:tcPr>
          <w:p w14:paraId="33DAB8C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8C7"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B8C8" w14:textId="77777777" w:rsidR="004D6A64" w:rsidRDefault="00506CD6">
            <w:pPr>
              <w:jc w:val="right"/>
              <w:textAlignment w:val="bottom"/>
            </w:pPr>
            <w:r>
              <w:rPr>
                <w:rFonts w:ascii="Times New Roman" w:eastAsia="宋体" w:hAnsi="Times New Roman"/>
                <w:color w:val="000000"/>
                <w:sz w:val="20"/>
                <w:szCs w:val="20"/>
              </w:rPr>
              <w:t>(84)</w:t>
            </w:r>
          </w:p>
        </w:tc>
        <w:tc>
          <w:tcPr>
            <w:tcW w:w="0" w:type="auto"/>
            <w:shd w:val="clear" w:color="auto" w:fill="CCEEFF"/>
            <w:tcMar>
              <w:top w:w="40" w:type="dxa"/>
              <w:bottom w:w="40" w:type="dxa"/>
              <w:right w:w="20" w:type="dxa"/>
            </w:tcMar>
            <w:vAlign w:val="bottom"/>
          </w:tcPr>
          <w:p w14:paraId="33DAB8C9"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8CA"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B8CB" w14:textId="77777777" w:rsidR="004D6A64" w:rsidRDefault="00506CD6">
            <w:pPr>
              <w:jc w:val="right"/>
              <w:textAlignment w:val="bottom"/>
            </w:pPr>
            <w:r>
              <w:rPr>
                <w:rFonts w:ascii="Times New Roman" w:eastAsia="宋体" w:hAnsi="Times New Roman"/>
                <w:color w:val="000000"/>
                <w:sz w:val="20"/>
                <w:szCs w:val="20"/>
              </w:rPr>
              <w:t>(406)</w:t>
            </w:r>
          </w:p>
        </w:tc>
        <w:tc>
          <w:tcPr>
            <w:tcW w:w="0" w:type="auto"/>
            <w:shd w:val="clear" w:color="auto" w:fill="CCEEFF"/>
            <w:tcMar>
              <w:top w:w="40" w:type="dxa"/>
              <w:bottom w:w="40" w:type="dxa"/>
              <w:right w:w="20" w:type="dxa"/>
            </w:tcMar>
            <w:vAlign w:val="bottom"/>
          </w:tcPr>
          <w:p w14:paraId="33DAB8C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8C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B8CE" w14:textId="77777777" w:rsidR="004D6A64" w:rsidRDefault="00506CD6">
            <w:pPr>
              <w:jc w:val="right"/>
              <w:textAlignment w:val="bottom"/>
            </w:pPr>
            <w:r>
              <w:rPr>
                <w:rFonts w:ascii="Times New Roman" w:eastAsia="宋体" w:hAnsi="Times New Roman"/>
                <w:color w:val="000000"/>
                <w:sz w:val="20"/>
                <w:szCs w:val="20"/>
              </w:rPr>
              <w:t>(584)</w:t>
            </w:r>
          </w:p>
        </w:tc>
        <w:tc>
          <w:tcPr>
            <w:tcW w:w="0" w:type="auto"/>
            <w:shd w:val="clear" w:color="auto" w:fill="CCEEFF"/>
            <w:tcMar>
              <w:top w:w="40" w:type="dxa"/>
              <w:bottom w:w="40" w:type="dxa"/>
              <w:right w:w="20" w:type="dxa"/>
            </w:tcMar>
            <w:vAlign w:val="bottom"/>
          </w:tcPr>
          <w:p w14:paraId="33DAB8CF" w14:textId="77777777" w:rsidR="004D6A64" w:rsidRDefault="004D6A64">
            <w:pPr>
              <w:jc w:val="right"/>
              <w:rPr>
                <w:rFonts w:ascii="宋体"/>
              </w:rPr>
            </w:pPr>
          </w:p>
        </w:tc>
        <w:tc>
          <w:tcPr>
            <w:tcW w:w="0" w:type="auto"/>
            <w:shd w:val="clear" w:color="auto" w:fill="auto"/>
          </w:tcPr>
          <w:p w14:paraId="33DAB8D0" w14:textId="77777777" w:rsidR="004D6A64" w:rsidRDefault="004D6A64">
            <w:pPr>
              <w:rPr>
                <w:rFonts w:ascii="宋体"/>
              </w:rPr>
            </w:pPr>
          </w:p>
        </w:tc>
        <w:tc>
          <w:tcPr>
            <w:tcW w:w="0" w:type="auto"/>
            <w:shd w:val="clear" w:color="auto" w:fill="auto"/>
          </w:tcPr>
          <w:p w14:paraId="33DAB8D1" w14:textId="77777777" w:rsidR="004D6A64" w:rsidRDefault="004D6A64">
            <w:pPr>
              <w:rPr>
                <w:rFonts w:ascii="宋体"/>
              </w:rPr>
            </w:pPr>
          </w:p>
        </w:tc>
        <w:tc>
          <w:tcPr>
            <w:tcW w:w="0" w:type="auto"/>
            <w:shd w:val="clear" w:color="auto" w:fill="auto"/>
          </w:tcPr>
          <w:p w14:paraId="33DAB8D2" w14:textId="77777777" w:rsidR="004D6A64" w:rsidRDefault="004D6A64">
            <w:pPr>
              <w:rPr>
                <w:rFonts w:ascii="宋体"/>
              </w:rPr>
            </w:pPr>
          </w:p>
        </w:tc>
        <w:tc>
          <w:tcPr>
            <w:tcW w:w="0" w:type="auto"/>
            <w:shd w:val="clear" w:color="auto" w:fill="auto"/>
          </w:tcPr>
          <w:p w14:paraId="33DAB8D3" w14:textId="77777777" w:rsidR="004D6A64" w:rsidRDefault="004D6A64">
            <w:pPr>
              <w:rPr>
                <w:rFonts w:ascii="宋体"/>
              </w:rPr>
            </w:pPr>
          </w:p>
        </w:tc>
        <w:tc>
          <w:tcPr>
            <w:tcW w:w="0" w:type="auto"/>
            <w:shd w:val="clear" w:color="auto" w:fill="auto"/>
          </w:tcPr>
          <w:p w14:paraId="33DAB8D4" w14:textId="77777777" w:rsidR="004D6A64" w:rsidRDefault="004D6A64">
            <w:pPr>
              <w:rPr>
                <w:rFonts w:ascii="宋体"/>
              </w:rPr>
            </w:pPr>
          </w:p>
        </w:tc>
        <w:tc>
          <w:tcPr>
            <w:tcW w:w="0" w:type="auto"/>
            <w:shd w:val="clear" w:color="auto" w:fill="auto"/>
          </w:tcPr>
          <w:p w14:paraId="33DAB8D5" w14:textId="77777777" w:rsidR="004D6A64" w:rsidRDefault="004D6A64">
            <w:pPr>
              <w:rPr>
                <w:rFonts w:ascii="宋体"/>
              </w:rPr>
            </w:pPr>
          </w:p>
        </w:tc>
        <w:tc>
          <w:tcPr>
            <w:tcW w:w="0" w:type="auto"/>
            <w:shd w:val="clear" w:color="auto" w:fill="auto"/>
          </w:tcPr>
          <w:p w14:paraId="33DAB8D6" w14:textId="77777777" w:rsidR="004D6A64" w:rsidRDefault="004D6A64">
            <w:pPr>
              <w:rPr>
                <w:rFonts w:ascii="宋体"/>
              </w:rPr>
            </w:pPr>
          </w:p>
        </w:tc>
        <w:tc>
          <w:tcPr>
            <w:tcW w:w="0" w:type="auto"/>
            <w:shd w:val="clear" w:color="auto" w:fill="auto"/>
          </w:tcPr>
          <w:p w14:paraId="33DAB8D7" w14:textId="77777777" w:rsidR="004D6A64" w:rsidRDefault="004D6A64">
            <w:pPr>
              <w:rPr>
                <w:rFonts w:ascii="宋体"/>
              </w:rPr>
            </w:pPr>
          </w:p>
        </w:tc>
        <w:tc>
          <w:tcPr>
            <w:tcW w:w="0" w:type="auto"/>
            <w:shd w:val="clear" w:color="auto" w:fill="auto"/>
          </w:tcPr>
          <w:p w14:paraId="33DAB8D8" w14:textId="77777777" w:rsidR="004D6A64" w:rsidRDefault="004D6A64">
            <w:pPr>
              <w:rPr>
                <w:rFonts w:ascii="宋体"/>
              </w:rPr>
            </w:pPr>
          </w:p>
        </w:tc>
        <w:tc>
          <w:tcPr>
            <w:tcW w:w="0" w:type="auto"/>
            <w:shd w:val="clear" w:color="auto" w:fill="auto"/>
          </w:tcPr>
          <w:p w14:paraId="33DAB8D9" w14:textId="77777777" w:rsidR="004D6A64" w:rsidRDefault="004D6A64">
            <w:pPr>
              <w:rPr>
                <w:rFonts w:ascii="宋体"/>
              </w:rPr>
            </w:pPr>
          </w:p>
        </w:tc>
        <w:tc>
          <w:tcPr>
            <w:tcW w:w="0" w:type="auto"/>
            <w:shd w:val="clear" w:color="auto" w:fill="auto"/>
          </w:tcPr>
          <w:p w14:paraId="33DAB8DA" w14:textId="77777777" w:rsidR="004D6A64" w:rsidRDefault="004D6A64">
            <w:pPr>
              <w:rPr>
                <w:rFonts w:ascii="宋体"/>
              </w:rPr>
            </w:pPr>
          </w:p>
        </w:tc>
        <w:tc>
          <w:tcPr>
            <w:tcW w:w="0" w:type="auto"/>
            <w:shd w:val="clear" w:color="auto" w:fill="auto"/>
          </w:tcPr>
          <w:p w14:paraId="33DAB8DB" w14:textId="77777777" w:rsidR="004D6A64" w:rsidRDefault="004D6A64">
            <w:pPr>
              <w:rPr>
                <w:rFonts w:ascii="宋体"/>
              </w:rPr>
            </w:pPr>
          </w:p>
        </w:tc>
        <w:tc>
          <w:tcPr>
            <w:tcW w:w="0" w:type="auto"/>
            <w:shd w:val="clear" w:color="auto" w:fill="auto"/>
          </w:tcPr>
          <w:p w14:paraId="33DAB8DC" w14:textId="77777777" w:rsidR="004D6A64" w:rsidRDefault="004D6A64">
            <w:pPr>
              <w:rPr>
                <w:rFonts w:ascii="宋体"/>
              </w:rPr>
            </w:pPr>
          </w:p>
        </w:tc>
        <w:tc>
          <w:tcPr>
            <w:tcW w:w="0" w:type="auto"/>
            <w:shd w:val="clear" w:color="auto" w:fill="auto"/>
          </w:tcPr>
          <w:p w14:paraId="33DAB8DD" w14:textId="77777777" w:rsidR="004D6A64" w:rsidRDefault="004D6A64">
            <w:pPr>
              <w:rPr>
                <w:rFonts w:ascii="宋体"/>
              </w:rPr>
            </w:pPr>
          </w:p>
        </w:tc>
        <w:tc>
          <w:tcPr>
            <w:tcW w:w="0" w:type="auto"/>
            <w:shd w:val="clear" w:color="auto" w:fill="auto"/>
          </w:tcPr>
          <w:p w14:paraId="33DAB8DE" w14:textId="77777777" w:rsidR="004D6A64" w:rsidRDefault="004D6A64">
            <w:pPr>
              <w:rPr>
                <w:rFonts w:ascii="宋体"/>
              </w:rPr>
            </w:pPr>
          </w:p>
        </w:tc>
        <w:tc>
          <w:tcPr>
            <w:tcW w:w="0" w:type="auto"/>
            <w:shd w:val="clear" w:color="auto" w:fill="auto"/>
          </w:tcPr>
          <w:p w14:paraId="33DAB8DF" w14:textId="77777777" w:rsidR="004D6A64" w:rsidRDefault="004D6A64">
            <w:pPr>
              <w:rPr>
                <w:rFonts w:ascii="宋体"/>
              </w:rPr>
            </w:pPr>
          </w:p>
        </w:tc>
        <w:tc>
          <w:tcPr>
            <w:tcW w:w="0" w:type="auto"/>
            <w:shd w:val="clear" w:color="auto" w:fill="auto"/>
          </w:tcPr>
          <w:p w14:paraId="33DAB8E0" w14:textId="77777777" w:rsidR="004D6A64" w:rsidRDefault="004D6A64">
            <w:pPr>
              <w:rPr>
                <w:rFonts w:ascii="宋体"/>
              </w:rPr>
            </w:pPr>
          </w:p>
        </w:tc>
        <w:tc>
          <w:tcPr>
            <w:tcW w:w="0" w:type="auto"/>
            <w:shd w:val="clear" w:color="auto" w:fill="auto"/>
          </w:tcPr>
          <w:p w14:paraId="33DAB8E1" w14:textId="77777777" w:rsidR="004D6A64" w:rsidRDefault="004D6A64">
            <w:pPr>
              <w:rPr>
                <w:rFonts w:ascii="宋体"/>
              </w:rPr>
            </w:pPr>
          </w:p>
        </w:tc>
        <w:tc>
          <w:tcPr>
            <w:tcW w:w="0" w:type="auto"/>
            <w:shd w:val="clear" w:color="auto" w:fill="auto"/>
          </w:tcPr>
          <w:p w14:paraId="33DAB8E2" w14:textId="77777777" w:rsidR="004D6A64" w:rsidRDefault="004D6A64">
            <w:pPr>
              <w:rPr>
                <w:rFonts w:ascii="宋体"/>
              </w:rPr>
            </w:pPr>
          </w:p>
        </w:tc>
        <w:tc>
          <w:tcPr>
            <w:tcW w:w="0" w:type="auto"/>
            <w:shd w:val="clear" w:color="auto" w:fill="auto"/>
          </w:tcPr>
          <w:p w14:paraId="33DAB8E3" w14:textId="77777777" w:rsidR="004D6A64" w:rsidRDefault="004D6A64">
            <w:pPr>
              <w:rPr>
                <w:rFonts w:ascii="宋体"/>
              </w:rPr>
            </w:pPr>
          </w:p>
        </w:tc>
        <w:tc>
          <w:tcPr>
            <w:tcW w:w="0" w:type="auto"/>
            <w:shd w:val="clear" w:color="auto" w:fill="auto"/>
          </w:tcPr>
          <w:p w14:paraId="33DAB8E4" w14:textId="77777777" w:rsidR="004D6A64" w:rsidRDefault="004D6A64">
            <w:pPr>
              <w:rPr>
                <w:rFonts w:ascii="宋体"/>
              </w:rPr>
            </w:pPr>
          </w:p>
        </w:tc>
      </w:tr>
      <w:tr w:rsidR="004D6A64" w14:paraId="33DAB917" w14:textId="77777777">
        <w:trPr>
          <w:jc w:val="center"/>
        </w:trPr>
        <w:tc>
          <w:tcPr>
            <w:tcW w:w="0" w:type="auto"/>
            <w:gridSpan w:val="3"/>
            <w:shd w:val="clear" w:color="auto" w:fill="FFFFFF"/>
            <w:tcMar>
              <w:top w:w="40" w:type="dxa"/>
              <w:left w:w="135" w:type="dxa"/>
              <w:bottom w:w="40" w:type="dxa"/>
              <w:right w:w="20" w:type="dxa"/>
            </w:tcMar>
            <w:vAlign w:val="bottom"/>
          </w:tcPr>
          <w:p w14:paraId="33DAB8E6" w14:textId="77777777" w:rsidR="004D6A64" w:rsidRDefault="00506CD6">
            <w:pPr>
              <w:textAlignment w:val="bottom"/>
            </w:pPr>
            <w:r>
              <w:rPr>
                <w:rFonts w:ascii="Times New Roman" w:eastAsia="宋体" w:hAnsi="Times New Roman"/>
                <w:color w:val="000000"/>
                <w:sz w:val="20"/>
                <w:szCs w:val="20"/>
              </w:rPr>
              <w:t>Total maturities, carrying value amount</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B8E7"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B8E8" w14:textId="77777777" w:rsidR="004D6A64" w:rsidRDefault="00506CD6">
            <w:pPr>
              <w:jc w:val="right"/>
              <w:textAlignment w:val="bottom"/>
            </w:pPr>
            <w:r>
              <w:rPr>
                <w:rFonts w:ascii="Times New Roman" w:eastAsia="宋体" w:hAnsi="Times New Roman"/>
                <w:color w:val="000000"/>
                <w:sz w:val="20"/>
                <w:szCs w:val="20"/>
              </w:rPr>
              <w:t>4,416 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B8E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8EA"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B8EB"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B8EC" w14:textId="77777777" w:rsidR="004D6A64" w:rsidRDefault="00506CD6">
            <w:pPr>
              <w:jc w:val="right"/>
              <w:textAlignment w:val="bottom"/>
            </w:pPr>
            <w:r>
              <w:rPr>
                <w:rFonts w:ascii="Times New Roman" w:eastAsia="宋体" w:hAnsi="Times New Roman"/>
                <w:color w:val="000000"/>
                <w:sz w:val="20"/>
                <w:szCs w:val="20"/>
              </w:rPr>
              <w:t>7,599 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B8E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8EE"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B8EF"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B8F0" w14:textId="77777777" w:rsidR="004D6A64" w:rsidRDefault="00506CD6">
            <w:pPr>
              <w:jc w:val="right"/>
              <w:textAlignment w:val="bottom"/>
            </w:pPr>
            <w:r>
              <w:rPr>
                <w:rFonts w:ascii="Times New Roman" w:eastAsia="宋体" w:hAnsi="Times New Roman"/>
                <w:color w:val="000000"/>
                <w:sz w:val="20"/>
                <w:szCs w:val="20"/>
              </w:rPr>
              <w:t>8,005 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B8F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8F2"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B8F3"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B8F4" w14:textId="77777777" w:rsidR="004D6A64" w:rsidRDefault="00506CD6">
            <w:pPr>
              <w:jc w:val="right"/>
              <w:textAlignment w:val="bottom"/>
            </w:pPr>
            <w:r>
              <w:rPr>
                <w:rFonts w:ascii="Times New Roman" w:eastAsia="宋体" w:hAnsi="Times New Roman"/>
                <w:color w:val="000000"/>
                <w:sz w:val="20"/>
                <w:szCs w:val="20"/>
              </w:rPr>
              <w:t>7,830 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B8F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8F6"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B8F7"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B8F8" w14:textId="77777777" w:rsidR="004D6A64" w:rsidRDefault="00506CD6">
            <w:pPr>
              <w:jc w:val="right"/>
              <w:textAlignment w:val="bottom"/>
            </w:pPr>
            <w:r>
              <w:rPr>
                <w:rFonts w:ascii="Times New Roman" w:eastAsia="宋体" w:hAnsi="Times New Roman"/>
                <w:color w:val="000000"/>
                <w:sz w:val="20"/>
                <w:szCs w:val="20"/>
              </w:rPr>
              <w:t>3,951 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B8F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8FA"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B8FB"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B8FC" w14:textId="77777777" w:rsidR="004D6A64" w:rsidRDefault="00506CD6">
            <w:pPr>
              <w:jc w:val="right"/>
              <w:textAlignment w:val="bottom"/>
            </w:pPr>
            <w:r>
              <w:rPr>
                <w:rFonts w:ascii="Times New Roman" w:eastAsia="宋体" w:hAnsi="Times New Roman"/>
                <w:color w:val="000000"/>
                <w:sz w:val="20"/>
                <w:szCs w:val="20"/>
              </w:rPr>
              <w:t>22,152 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B8F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8FE"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B8FF"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B900" w14:textId="77777777" w:rsidR="004D6A64" w:rsidRDefault="00506CD6">
            <w:pPr>
              <w:jc w:val="right"/>
              <w:textAlignment w:val="bottom"/>
            </w:pPr>
            <w:r>
              <w:rPr>
                <w:rFonts w:ascii="Times New Roman" w:eastAsia="宋体" w:hAnsi="Times New Roman"/>
                <w:color w:val="000000"/>
                <w:sz w:val="20"/>
                <w:szCs w:val="20"/>
              </w:rPr>
              <w:t>53,953 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B901" w14:textId="77777777" w:rsidR="004D6A64" w:rsidRDefault="004D6A64">
            <w:pPr>
              <w:jc w:val="right"/>
              <w:rPr>
                <w:rFonts w:ascii="宋体"/>
              </w:rPr>
            </w:pPr>
          </w:p>
        </w:tc>
        <w:tc>
          <w:tcPr>
            <w:tcW w:w="0" w:type="auto"/>
            <w:shd w:val="clear" w:color="auto" w:fill="auto"/>
          </w:tcPr>
          <w:p w14:paraId="33DAB902" w14:textId="77777777" w:rsidR="004D6A64" w:rsidRDefault="004D6A64">
            <w:pPr>
              <w:rPr>
                <w:rFonts w:ascii="宋体"/>
              </w:rPr>
            </w:pPr>
          </w:p>
        </w:tc>
        <w:tc>
          <w:tcPr>
            <w:tcW w:w="0" w:type="auto"/>
            <w:shd w:val="clear" w:color="auto" w:fill="auto"/>
          </w:tcPr>
          <w:p w14:paraId="33DAB903" w14:textId="77777777" w:rsidR="004D6A64" w:rsidRDefault="004D6A64">
            <w:pPr>
              <w:rPr>
                <w:rFonts w:ascii="宋体"/>
              </w:rPr>
            </w:pPr>
          </w:p>
        </w:tc>
        <w:tc>
          <w:tcPr>
            <w:tcW w:w="0" w:type="auto"/>
            <w:shd w:val="clear" w:color="auto" w:fill="auto"/>
          </w:tcPr>
          <w:p w14:paraId="33DAB904" w14:textId="77777777" w:rsidR="004D6A64" w:rsidRDefault="004D6A64">
            <w:pPr>
              <w:rPr>
                <w:rFonts w:ascii="宋体"/>
              </w:rPr>
            </w:pPr>
          </w:p>
        </w:tc>
        <w:tc>
          <w:tcPr>
            <w:tcW w:w="0" w:type="auto"/>
            <w:shd w:val="clear" w:color="auto" w:fill="auto"/>
          </w:tcPr>
          <w:p w14:paraId="33DAB905" w14:textId="77777777" w:rsidR="004D6A64" w:rsidRDefault="004D6A64">
            <w:pPr>
              <w:rPr>
                <w:rFonts w:ascii="宋体"/>
              </w:rPr>
            </w:pPr>
          </w:p>
        </w:tc>
        <w:tc>
          <w:tcPr>
            <w:tcW w:w="0" w:type="auto"/>
            <w:shd w:val="clear" w:color="auto" w:fill="auto"/>
          </w:tcPr>
          <w:p w14:paraId="33DAB906" w14:textId="77777777" w:rsidR="004D6A64" w:rsidRDefault="004D6A64">
            <w:pPr>
              <w:rPr>
                <w:rFonts w:ascii="宋体"/>
              </w:rPr>
            </w:pPr>
          </w:p>
        </w:tc>
        <w:tc>
          <w:tcPr>
            <w:tcW w:w="0" w:type="auto"/>
            <w:shd w:val="clear" w:color="auto" w:fill="auto"/>
          </w:tcPr>
          <w:p w14:paraId="33DAB907" w14:textId="77777777" w:rsidR="004D6A64" w:rsidRDefault="004D6A64">
            <w:pPr>
              <w:rPr>
                <w:rFonts w:ascii="宋体"/>
              </w:rPr>
            </w:pPr>
          </w:p>
        </w:tc>
        <w:tc>
          <w:tcPr>
            <w:tcW w:w="0" w:type="auto"/>
            <w:shd w:val="clear" w:color="auto" w:fill="auto"/>
          </w:tcPr>
          <w:p w14:paraId="33DAB908" w14:textId="77777777" w:rsidR="004D6A64" w:rsidRDefault="004D6A64">
            <w:pPr>
              <w:rPr>
                <w:rFonts w:ascii="宋体"/>
              </w:rPr>
            </w:pPr>
          </w:p>
        </w:tc>
        <w:tc>
          <w:tcPr>
            <w:tcW w:w="0" w:type="auto"/>
            <w:shd w:val="clear" w:color="auto" w:fill="auto"/>
          </w:tcPr>
          <w:p w14:paraId="33DAB909" w14:textId="77777777" w:rsidR="004D6A64" w:rsidRDefault="004D6A64">
            <w:pPr>
              <w:rPr>
                <w:rFonts w:ascii="宋体"/>
              </w:rPr>
            </w:pPr>
          </w:p>
        </w:tc>
        <w:tc>
          <w:tcPr>
            <w:tcW w:w="0" w:type="auto"/>
            <w:shd w:val="clear" w:color="auto" w:fill="auto"/>
          </w:tcPr>
          <w:p w14:paraId="33DAB90A" w14:textId="77777777" w:rsidR="004D6A64" w:rsidRDefault="004D6A64">
            <w:pPr>
              <w:rPr>
                <w:rFonts w:ascii="宋体"/>
              </w:rPr>
            </w:pPr>
          </w:p>
        </w:tc>
        <w:tc>
          <w:tcPr>
            <w:tcW w:w="0" w:type="auto"/>
            <w:shd w:val="clear" w:color="auto" w:fill="auto"/>
          </w:tcPr>
          <w:p w14:paraId="33DAB90B" w14:textId="77777777" w:rsidR="004D6A64" w:rsidRDefault="004D6A64">
            <w:pPr>
              <w:rPr>
                <w:rFonts w:ascii="宋体"/>
              </w:rPr>
            </w:pPr>
          </w:p>
        </w:tc>
        <w:tc>
          <w:tcPr>
            <w:tcW w:w="0" w:type="auto"/>
            <w:shd w:val="clear" w:color="auto" w:fill="auto"/>
          </w:tcPr>
          <w:p w14:paraId="33DAB90C" w14:textId="77777777" w:rsidR="004D6A64" w:rsidRDefault="004D6A64">
            <w:pPr>
              <w:rPr>
                <w:rFonts w:ascii="宋体"/>
              </w:rPr>
            </w:pPr>
          </w:p>
        </w:tc>
        <w:tc>
          <w:tcPr>
            <w:tcW w:w="0" w:type="auto"/>
            <w:shd w:val="clear" w:color="auto" w:fill="auto"/>
          </w:tcPr>
          <w:p w14:paraId="33DAB90D" w14:textId="77777777" w:rsidR="004D6A64" w:rsidRDefault="004D6A64">
            <w:pPr>
              <w:rPr>
                <w:rFonts w:ascii="宋体"/>
              </w:rPr>
            </w:pPr>
          </w:p>
        </w:tc>
        <w:tc>
          <w:tcPr>
            <w:tcW w:w="0" w:type="auto"/>
            <w:shd w:val="clear" w:color="auto" w:fill="auto"/>
          </w:tcPr>
          <w:p w14:paraId="33DAB90E" w14:textId="77777777" w:rsidR="004D6A64" w:rsidRDefault="004D6A64">
            <w:pPr>
              <w:rPr>
                <w:rFonts w:ascii="宋体"/>
              </w:rPr>
            </w:pPr>
          </w:p>
        </w:tc>
        <w:tc>
          <w:tcPr>
            <w:tcW w:w="0" w:type="auto"/>
            <w:shd w:val="clear" w:color="auto" w:fill="auto"/>
          </w:tcPr>
          <w:p w14:paraId="33DAB90F" w14:textId="77777777" w:rsidR="004D6A64" w:rsidRDefault="004D6A64">
            <w:pPr>
              <w:rPr>
                <w:rFonts w:ascii="宋体"/>
              </w:rPr>
            </w:pPr>
          </w:p>
        </w:tc>
        <w:tc>
          <w:tcPr>
            <w:tcW w:w="0" w:type="auto"/>
            <w:shd w:val="clear" w:color="auto" w:fill="auto"/>
          </w:tcPr>
          <w:p w14:paraId="33DAB910" w14:textId="77777777" w:rsidR="004D6A64" w:rsidRDefault="004D6A64">
            <w:pPr>
              <w:rPr>
                <w:rFonts w:ascii="宋体"/>
              </w:rPr>
            </w:pPr>
          </w:p>
        </w:tc>
        <w:tc>
          <w:tcPr>
            <w:tcW w:w="0" w:type="auto"/>
            <w:shd w:val="clear" w:color="auto" w:fill="auto"/>
          </w:tcPr>
          <w:p w14:paraId="33DAB911" w14:textId="77777777" w:rsidR="004D6A64" w:rsidRDefault="004D6A64">
            <w:pPr>
              <w:rPr>
                <w:rFonts w:ascii="宋体"/>
              </w:rPr>
            </w:pPr>
          </w:p>
        </w:tc>
        <w:tc>
          <w:tcPr>
            <w:tcW w:w="0" w:type="auto"/>
            <w:shd w:val="clear" w:color="auto" w:fill="auto"/>
          </w:tcPr>
          <w:p w14:paraId="33DAB912" w14:textId="77777777" w:rsidR="004D6A64" w:rsidRDefault="004D6A64">
            <w:pPr>
              <w:rPr>
                <w:rFonts w:ascii="宋体"/>
              </w:rPr>
            </w:pPr>
          </w:p>
        </w:tc>
        <w:tc>
          <w:tcPr>
            <w:tcW w:w="0" w:type="auto"/>
            <w:shd w:val="clear" w:color="auto" w:fill="auto"/>
          </w:tcPr>
          <w:p w14:paraId="33DAB913" w14:textId="77777777" w:rsidR="004D6A64" w:rsidRDefault="004D6A64">
            <w:pPr>
              <w:rPr>
                <w:rFonts w:ascii="宋体"/>
              </w:rPr>
            </w:pPr>
          </w:p>
        </w:tc>
        <w:tc>
          <w:tcPr>
            <w:tcW w:w="0" w:type="auto"/>
            <w:shd w:val="clear" w:color="auto" w:fill="auto"/>
          </w:tcPr>
          <w:p w14:paraId="33DAB914" w14:textId="77777777" w:rsidR="004D6A64" w:rsidRDefault="004D6A64">
            <w:pPr>
              <w:rPr>
                <w:rFonts w:ascii="宋体"/>
              </w:rPr>
            </w:pPr>
          </w:p>
        </w:tc>
        <w:tc>
          <w:tcPr>
            <w:tcW w:w="0" w:type="auto"/>
            <w:shd w:val="clear" w:color="auto" w:fill="auto"/>
          </w:tcPr>
          <w:p w14:paraId="33DAB915" w14:textId="77777777" w:rsidR="004D6A64" w:rsidRDefault="004D6A64">
            <w:pPr>
              <w:rPr>
                <w:rFonts w:ascii="宋体"/>
              </w:rPr>
            </w:pPr>
          </w:p>
        </w:tc>
        <w:tc>
          <w:tcPr>
            <w:tcW w:w="0" w:type="auto"/>
            <w:shd w:val="clear" w:color="auto" w:fill="auto"/>
          </w:tcPr>
          <w:p w14:paraId="33DAB916" w14:textId="77777777" w:rsidR="004D6A64" w:rsidRDefault="004D6A64">
            <w:pPr>
              <w:rPr>
                <w:rFonts w:ascii="宋体"/>
              </w:rPr>
            </w:pPr>
          </w:p>
        </w:tc>
      </w:tr>
    </w:tbl>
    <w:p w14:paraId="33DAB918" w14:textId="77777777" w:rsidR="004D6A64" w:rsidRDefault="004D6A64"/>
    <w:p w14:paraId="33DAB919" w14:textId="77777777" w:rsidR="004D6A64" w:rsidRDefault="00506CD6">
      <w:r>
        <w:rPr>
          <w:rFonts w:ascii="Times New Roman" w:eastAsia="宋体" w:hAnsi="Times New Roman"/>
          <w:i/>
          <w:iCs/>
          <w:color w:val="000000"/>
          <w:sz w:val="20"/>
          <w:szCs w:val="20"/>
        </w:rPr>
        <w:t>Covenants and Unrestricted Net Assets</w:t>
      </w:r>
      <w:r>
        <w:rPr>
          <w:rFonts w:ascii="Times New Roman" w:eastAsia="宋体" w:hAnsi="Times New Roman"/>
          <w:color w:val="000000"/>
          <w:sz w:val="20"/>
          <w:szCs w:val="20"/>
        </w:rPr>
        <w:t xml:space="preserve"> </w:t>
      </w:r>
      <w:r>
        <w:rPr>
          <w:rFonts w:ascii="Times New Roman" w:eastAsia="宋体" w:hAnsi="Times New Roman"/>
          <w:b/>
          <w:bCs/>
          <w:i/>
          <w:iCs/>
          <w:color w:val="000000"/>
          <w:sz w:val="20"/>
          <w:szCs w:val="20"/>
        </w:rPr>
        <w:t>—</w:t>
      </w:r>
      <w:r>
        <w:rPr>
          <w:rFonts w:ascii="Times New Roman" w:eastAsia="宋体" w:hAnsi="Times New Roman"/>
          <w:color w:val="000000"/>
          <w:sz w:val="20"/>
          <w:szCs w:val="20"/>
        </w:rPr>
        <w:t xml:space="preserve"> The credit agreement for the Senior Secured Credit Facilities contains customary negative covenants that generally limit the ability of Denali Intermediate Inc., a wholly-owned subsidiary of Dell Technologies, Dell, and Dell’s and Denali Intermediate’s ot</w:t>
      </w:r>
      <w:r>
        <w:rPr>
          <w:rFonts w:ascii="Times New Roman" w:eastAsia="宋体" w:hAnsi="Times New Roman"/>
          <w:color w:val="000000"/>
          <w:sz w:val="20"/>
          <w:szCs w:val="20"/>
        </w:rPr>
        <w:t>her restricted subsidiaries to incur debt, create liens, make fundamental changes, enter into asset sales, make certain investments, pay dividends or distribute or redeem certain equity interests, prepay or redeem certain debt, and enter into certain trans</w:t>
      </w:r>
      <w:r>
        <w:rPr>
          <w:rFonts w:ascii="Times New Roman" w:eastAsia="宋体" w:hAnsi="Times New Roman"/>
          <w:color w:val="000000"/>
          <w:sz w:val="20"/>
          <w:szCs w:val="20"/>
        </w:rPr>
        <w:t>actions with affiliates. The indenture governing the Senior Notes contains customary negative covenants that generally limit the ability of Denali Intermediate, Dell, and Dell’s and Denali Intermediate’s other restricted subsidiaries to incur additional de</w:t>
      </w:r>
      <w:r>
        <w:rPr>
          <w:rFonts w:ascii="Times New Roman" w:eastAsia="宋体" w:hAnsi="Times New Roman"/>
          <w:color w:val="000000"/>
          <w:sz w:val="20"/>
          <w:szCs w:val="20"/>
        </w:rPr>
        <w:t>bt or issue certain preferred shares, pay dividends on or make other distributions in respect of capital stock or make other restricted payments, make certain investments, sell or transfer certain assets, create liens on certain assets to secure debt, cons</w:t>
      </w:r>
      <w:r>
        <w:rPr>
          <w:rFonts w:ascii="Times New Roman" w:eastAsia="宋体" w:hAnsi="Times New Roman"/>
          <w:color w:val="000000"/>
          <w:sz w:val="20"/>
          <w:szCs w:val="20"/>
        </w:rPr>
        <w:t>olidate, merge, sell, or otherwise dispose of all or substantially all assets, enter into certain transactions with affiliates, and designate subsidiaries as unrestricted subsidiaries. The negative covenants under such credit agreements and indenture are s</w:t>
      </w:r>
      <w:r>
        <w:rPr>
          <w:rFonts w:ascii="Times New Roman" w:eastAsia="宋体" w:hAnsi="Times New Roman"/>
          <w:color w:val="000000"/>
          <w:sz w:val="20"/>
          <w:szCs w:val="20"/>
        </w:rPr>
        <w:t>ubject to certain exceptions, qualifications, and “baskets.” The indentures governing the First Lien Notes, the Unsecured Notes and Debentures, and the EMC Notes variously impose limitations, subject to specified exceptions, on creating certain liens, ente</w:t>
      </w:r>
      <w:r>
        <w:rPr>
          <w:rFonts w:ascii="Times New Roman" w:eastAsia="宋体" w:hAnsi="Times New Roman"/>
          <w:color w:val="000000"/>
          <w:sz w:val="20"/>
          <w:szCs w:val="20"/>
        </w:rPr>
        <w:t>ring into sale and lease-back transactions, and entering into certain asset sales. The foregoing credit agreements and indentures contain customary events of default, including failure to make required payments, failure to comply with covenants, and the oc</w:t>
      </w:r>
      <w:r>
        <w:rPr>
          <w:rFonts w:ascii="Times New Roman" w:eastAsia="宋体" w:hAnsi="Times New Roman"/>
          <w:color w:val="000000"/>
          <w:sz w:val="20"/>
          <w:szCs w:val="20"/>
        </w:rPr>
        <w:t>currence of certain events of bankruptcy and insolvency.</w:t>
      </w:r>
    </w:p>
    <w:p w14:paraId="33DAB91A" w14:textId="77777777" w:rsidR="004D6A64" w:rsidRDefault="004D6A64"/>
    <w:p w14:paraId="33DAB91B" w14:textId="77777777" w:rsidR="004D6A64" w:rsidRDefault="00506CD6">
      <w:r>
        <w:rPr>
          <w:rFonts w:ascii="Times New Roman" w:eastAsia="宋体" w:hAnsi="Times New Roman"/>
          <w:color w:val="000000"/>
          <w:sz w:val="20"/>
          <w:szCs w:val="20"/>
        </w:rPr>
        <w:t>As of July 31, 2020, the Company had certain consolidated subsidiaries that were designated as unrestricted subsidiaries for all purposes of the applicable credit agreements and the indentures gover</w:t>
      </w:r>
      <w:r>
        <w:rPr>
          <w:rFonts w:ascii="Times New Roman" w:eastAsia="宋体" w:hAnsi="Times New Roman"/>
          <w:color w:val="000000"/>
          <w:sz w:val="20"/>
          <w:szCs w:val="20"/>
        </w:rPr>
        <w:t>ning the First Lien Notes and the Senior Notes. Substantially all of the net assets of the Company’s consolidated subsidiaries were restricted, with the exception of the Company’s unrestricted subsidiaries, primarily VMware, Inc., Secureworks, and their re</w:t>
      </w:r>
      <w:r>
        <w:rPr>
          <w:rFonts w:ascii="Times New Roman" w:eastAsia="宋体" w:hAnsi="Times New Roman"/>
          <w:color w:val="000000"/>
          <w:sz w:val="20"/>
          <w:szCs w:val="20"/>
        </w:rPr>
        <w:t xml:space="preserve">spective subsidiaries, as of July 31, 2020. </w:t>
      </w:r>
    </w:p>
    <w:p w14:paraId="33DAB91C" w14:textId="77777777" w:rsidR="004D6A64" w:rsidRDefault="004D6A64"/>
    <w:p w14:paraId="33DAB91D" w14:textId="77777777" w:rsidR="004D6A64" w:rsidRDefault="00506CD6">
      <w:r>
        <w:rPr>
          <w:rFonts w:ascii="Times New Roman" w:eastAsia="宋体" w:hAnsi="Times New Roman"/>
          <w:color w:val="000000"/>
          <w:sz w:val="20"/>
          <w:szCs w:val="20"/>
        </w:rPr>
        <w:t>The Term Loan A-4 Facility, the Term Loan A-6 Facility, and the Revolving Credit Facility are subject to a first lien leverage ratio covenant that is tested at the end of each fiscal quarter of Dell with respec</w:t>
      </w:r>
      <w:r>
        <w:rPr>
          <w:rFonts w:ascii="Times New Roman" w:eastAsia="宋体" w:hAnsi="Times New Roman"/>
          <w:color w:val="000000"/>
          <w:sz w:val="20"/>
          <w:szCs w:val="20"/>
        </w:rPr>
        <w:t>t to Dell’s preceding four fiscal quarters. The Company was in compliance with all financial covenants as of July 31, 2020.</w:t>
      </w:r>
    </w:p>
    <w:p w14:paraId="33DAB91E" w14:textId="77777777" w:rsidR="004D6A64" w:rsidRDefault="004D6A64">
      <w:pPr>
        <w:jc w:val="center"/>
      </w:pPr>
    </w:p>
    <w:p w14:paraId="33DAB91F" w14:textId="77777777" w:rsidR="004D6A64" w:rsidRDefault="00506CD6">
      <w:pPr>
        <w:jc w:val="center"/>
      </w:pPr>
      <w:r>
        <w:rPr>
          <w:rFonts w:ascii="Times New Roman" w:eastAsia="宋体" w:hAnsi="Times New Roman"/>
          <w:color w:val="000000"/>
          <w:sz w:val="20"/>
          <w:szCs w:val="20"/>
        </w:rPr>
        <w:t>36</w:t>
      </w:r>
    </w:p>
    <w:p w14:paraId="33DAB920" w14:textId="77777777" w:rsidR="004D6A64" w:rsidRDefault="004D6A64">
      <w:pPr>
        <w:jc w:val="center"/>
      </w:pPr>
    </w:p>
    <w:p w14:paraId="33DAB921" w14:textId="77777777" w:rsidR="004D6A64" w:rsidRDefault="00506CD6">
      <w:r>
        <w:pict w14:anchorId="33DAFAE8">
          <v:rect id="_x0000_i1060" style="width:415.3pt;height:1.5pt" o:hralign="center" o:hrstd="t" o:hr="t" fillcolor="#a0a0a0" stroked="f"/>
        </w:pict>
      </w:r>
    </w:p>
    <w:p w14:paraId="33DAB922" w14:textId="77777777" w:rsidR="004D6A64" w:rsidRDefault="00506CD6">
      <w:hyperlink r:id="rId159" w:anchor="if3e0e1bf9ecd4bf69551d7a85f98d64a_10" w:history="1">
        <w:r>
          <w:rPr>
            <w:rStyle w:val="a5"/>
            <w:rFonts w:ascii="Times New Roman" w:eastAsia="宋体" w:hAnsi="Times New Roman"/>
            <w:sz w:val="20"/>
            <w:szCs w:val="20"/>
          </w:rPr>
          <w:t>Table of Contents</w:t>
        </w:r>
      </w:hyperlink>
    </w:p>
    <w:p w14:paraId="33DAB923"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B924"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33DAB925"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B926" w14:textId="77777777" w:rsidR="004D6A64" w:rsidRDefault="004D6A64">
      <w:pPr>
        <w:jc w:val="center"/>
      </w:pPr>
    </w:p>
    <w:p w14:paraId="33DAB927" w14:textId="77777777" w:rsidR="004D6A64" w:rsidRDefault="00506CD6">
      <w:r>
        <w:rPr>
          <w:rFonts w:ascii="Times New Roman" w:eastAsia="宋体" w:hAnsi="Times New Roman"/>
          <w:b/>
          <w:bCs/>
          <w:color w:val="000000"/>
          <w:sz w:val="20"/>
          <w:szCs w:val="20"/>
        </w:rPr>
        <w:t xml:space="preserve">NOTE 7 — DERIVATIVE INSTRUMENTS AND HEDGING ACTIVITIES </w:t>
      </w:r>
    </w:p>
    <w:p w14:paraId="33DAB928" w14:textId="77777777" w:rsidR="004D6A64" w:rsidRDefault="004D6A64"/>
    <w:p w14:paraId="33DAB929" w14:textId="77777777" w:rsidR="004D6A64" w:rsidRDefault="00506CD6">
      <w:r>
        <w:rPr>
          <w:rFonts w:ascii="Times New Roman" w:eastAsia="宋体" w:hAnsi="Times New Roman"/>
          <w:color w:val="000000"/>
          <w:sz w:val="20"/>
          <w:szCs w:val="20"/>
        </w:rPr>
        <w:t xml:space="preserve">As part of its risk management </w:t>
      </w:r>
      <w:r>
        <w:rPr>
          <w:rFonts w:ascii="Times New Roman" w:eastAsia="宋体" w:hAnsi="Times New Roman"/>
          <w:color w:val="000000"/>
          <w:sz w:val="20"/>
          <w:szCs w:val="20"/>
        </w:rPr>
        <w:t>strategy, the Company uses derivative instruments, primarily foreign currency forward and option contracts and interest rate swaps, to hedge certain foreign currency and interest rate exposures, respectively.</w:t>
      </w:r>
    </w:p>
    <w:p w14:paraId="33DAB92A" w14:textId="77777777" w:rsidR="004D6A64" w:rsidRDefault="004D6A64"/>
    <w:p w14:paraId="33DAB92B" w14:textId="77777777" w:rsidR="004D6A64" w:rsidRDefault="00506CD6">
      <w:r>
        <w:rPr>
          <w:rFonts w:ascii="Times New Roman" w:eastAsia="宋体" w:hAnsi="Times New Roman"/>
          <w:color w:val="000000"/>
          <w:sz w:val="20"/>
          <w:szCs w:val="20"/>
        </w:rPr>
        <w:t>The Company’s objective is to offset gains and</w:t>
      </w:r>
      <w:r>
        <w:rPr>
          <w:rFonts w:ascii="Times New Roman" w:eastAsia="宋体" w:hAnsi="Times New Roman"/>
          <w:color w:val="000000"/>
          <w:sz w:val="20"/>
          <w:szCs w:val="20"/>
        </w:rPr>
        <w:t xml:space="preserve"> losses resulting from these exposures with gains and losses on the derivative contracts used to hedge the exposures, thereby reducing volatility of earnings and protecting the fair values of assets and liabilities. The earnings effects of the derivative i</w:t>
      </w:r>
      <w:r>
        <w:rPr>
          <w:rFonts w:ascii="Times New Roman" w:eastAsia="宋体" w:hAnsi="Times New Roman"/>
          <w:color w:val="000000"/>
          <w:sz w:val="20"/>
          <w:szCs w:val="20"/>
        </w:rPr>
        <w:t>nstruments are presented in the same income statement line items as the earnings effects of the hedged items. For derivatives designated as cash flow hedges, the Company assesses hedge effectiveness both at the onset of the hedge and at regular intervals t</w:t>
      </w:r>
      <w:r>
        <w:rPr>
          <w:rFonts w:ascii="Times New Roman" w:eastAsia="宋体" w:hAnsi="Times New Roman"/>
          <w:color w:val="000000"/>
          <w:sz w:val="20"/>
          <w:szCs w:val="20"/>
        </w:rPr>
        <w:t>hroughout the life of the derivative. The Company does not have any derivatives designated as fair value hedges.</w:t>
      </w:r>
    </w:p>
    <w:p w14:paraId="33DAB92C" w14:textId="77777777" w:rsidR="004D6A64" w:rsidRDefault="004D6A64"/>
    <w:p w14:paraId="33DAB92D" w14:textId="77777777" w:rsidR="004D6A64" w:rsidRDefault="00506CD6">
      <w:r>
        <w:rPr>
          <w:rFonts w:ascii="Times New Roman" w:eastAsia="宋体" w:hAnsi="Times New Roman"/>
          <w:b/>
          <w:bCs/>
          <w:color w:val="000000"/>
          <w:sz w:val="20"/>
          <w:szCs w:val="20"/>
        </w:rPr>
        <w:t>Foreign Exchange Risk</w:t>
      </w:r>
    </w:p>
    <w:p w14:paraId="33DAB92E" w14:textId="77777777" w:rsidR="004D6A64" w:rsidRDefault="004D6A64"/>
    <w:p w14:paraId="33DAB92F" w14:textId="77777777" w:rsidR="004D6A64" w:rsidRDefault="00506CD6">
      <w:r>
        <w:rPr>
          <w:rFonts w:ascii="Times New Roman" w:eastAsia="宋体" w:hAnsi="Times New Roman"/>
          <w:color w:val="000000"/>
          <w:sz w:val="20"/>
          <w:szCs w:val="20"/>
        </w:rPr>
        <w:t xml:space="preserve">The Company uses foreign currency forward and option contracts designated as cash flow hedges to protect against the </w:t>
      </w:r>
      <w:r>
        <w:rPr>
          <w:rFonts w:ascii="Times New Roman" w:eastAsia="宋体" w:hAnsi="Times New Roman"/>
          <w:color w:val="000000"/>
          <w:sz w:val="20"/>
          <w:szCs w:val="20"/>
        </w:rPr>
        <w:t>foreign currency exchange rate risks inherent in its forecasted transactions denominated in currencies other than the U.S. Dollar. Hedge accounting is applied based upon the criteria established by accounting guidance for derivative instruments and hedging</w:t>
      </w:r>
      <w:r>
        <w:rPr>
          <w:rFonts w:ascii="Times New Roman" w:eastAsia="宋体" w:hAnsi="Times New Roman"/>
          <w:color w:val="000000"/>
          <w:sz w:val="20"/>
          <w:szCs w:val="20"/>
        </w:rPr>
        <w:t xml:space="preserve"> activities. The risk of loss associated with purchased options is limited to premium amounts paid for the option contracts. The risk of loss associated with forward contracts is equal to the exchange rate differential from the time the contract is entered</w:t>
      </w:r>
      <w:r>
        <w:rPr>
          <w:rFonts w:ascii="Times New Roman" w:eastAsia="宋体" w:hAnsi="Times New Roman"/>
          <w:color w:val="000000"/>
          <w:sz w:val="20"/>
          <w:szCs w:val="20"/>
        </w:rPr>
        <w:t xml:space="preserve"> into until the time it is settled. The majority of these contracts typically expire in twelve months or less.</w:t>
      </w:r>
    </w:p>
    <w:p w14:paraId="33DAB930" w14:textId="77777777" w:rsidR="004D6A64" w:rsidRDefault="004D6A64"/>
    <w:p w14:paraId="33DAB931" w14:textId="77777777" w:rsidR="004D6A64" w:rsidRDefault="00506CD6">
      <w:r>
        <w:rPr>
          <w:rFonts w:ascii="Times New Roman" w:eastAsia="宋体" w:hAnsi="Times New Roman"/>
          <w:color w:val="000000"/>
          <w:sz w:val="20"/>
          <w:szCs w:val="20"/>
        </w:rPr>
        <w:t xml:space="preserve">During the three and six months ended July 31, 2020 and August 2, 2019, the Company did not discontinue any cash flow hedges related to foreign </w:t>
      </w:r>
      <w:r>
        <w:rPr>
          <w:rFonts w:ascii="Times New Roman" w:eastAsia="宋体" w:hAnsi="Times New Roman"/>
          <w:color w:val="000000"/>
          <w:sz w:val="20"/>
          <w:szCs w:val="20"/>
        </w:rPr>
        <w:t>exchange contracts that had a material impact on the Company’s results of operations due to the probability that the forecasted cash flows would not occur.</w:t>
      </w:r>
    </w:p>
    <w:p w14:paraId="33DAB932" w14:textId="77777777" w:rsidR="004D6A64" w:rsidRDefault="004D6A64"/>
    <w:p w14:paraId="33DAB933" w14:textId="77777777" w:rsidR="004D6A64" w:rsidRDefault="00506CD6">
      <w:r>
        <w:rPr>
          <w:rFonts w:ascii="Times New Roman" w:eastAsia="宋体" w:hAnsi="Times New Roman"/>
          <w:color w:val="000000"/>
          <w:sz w:val="20"/>
          <w:szCs w:val="20"/>
        </w:rPr>
        <w:t>The Company uses forward contracts to hedge monetary assets and liabilities denominated in a foreig</w:t>
      </w:r>
      <w:r>
        <w:rPr>
          <w:rFonts w:ascii="Times New Roman" w:eastAsia="宋体" w:hAnsi="Times New Roman"/>
          <w:color w:val="000000"/>
          <w:sz w:val="20"/>
          <w:szCs w:val="20"/>
        </w:rPr>
        <w:t>n currency. These contracts generally expire in three months or less, are considered economic hedges, and are not designated for hedge accounting. The change in the fair value of these instruments represents a natural hedge as their gains and losses offset</w:t>
      </w:r>
      <w:r>
        <w:rPr>
          <w:rFonts w:ascii="Times New Roman" w:eastAsia="宋体" w:hAnsi="Times New Roman"/>
          <w:color w:val="000000"/>
          <w:sz w:val="20"/>
          <w:szCs w:val="20"/>
        </w:rPr>
        <w:t xml:space="preserve"> the changes in the underlying fair value of the monetary assets and liabilities due to movements in currency exchange rates.</w:t>
      </w:r>
    </w:p>
    <w:p w14:paraId="33DAB934" w14:textId="77777777" w:rsidR="004D6A64" w:rsidRDefault="004D6A64"/>
    <w:p w14:paraId="33DAB935" w14:textId="77777777" w:rsidR="004D6A64" w:rsidRDefault="00506CD6">
      <w:r>
        <w:rPr>
          <w:rFonts w:ascii="Times New Roman" w:eastAsia="宋体" w:hAnsi="Times New Roman"/>
          <w:color w:val="000000"/>
          <w:sz w:val="20"/>
          <w:szCs w:val="20"/>
        </w:rPr>
        <w:t xml:space="preserve">In connection with expanded offerings of DFS in Europe, forward contracts are used to hedge financing receivables denominated in </w:t>
      </w:r>
      <w:r>
        <w:rPr>
          <w:rFonts w:ascii="Times New Roman" w:eastAsia="宋体" w:hAnsi="Times New Roman"/>
          <w:color w:val="000000"/>
          <w:sz w:val="20"/>
          <w:szCs w:val="20"/>
        </w:rPr>
        <w:t>foreign currencies other than Euro. These contracts are not designated for hedge accounting and most expire within three years or less.</w:t>
      </w:r>
    </w:p>
    <w:p w14:paraId="33DAB936" w14:textId="77777777" w:rsidR="004D6A64" w:rsidRDefault="004D6A64"/>
    <w:p w14:paraId="33DAB937" w14:textId="77777777" w:rsidR="004D6A64" w:rsidRDefault="00506CD6">
      <w:r>
        <w:rPr>
          <w:rFonts w:ascii="Times New Roman" w:eastAsia="宋体" w:hAnsi="Times New Roman"/>
          <w:b/>
          <w:bCs/>
          <w:color w:val="000000"/>
          <w:sz w:val="20"/>
          <w:szCs w:val="20"/>
        </w:rPr>
        <w:t>Interest Rate Risk</w:t>
      </w:r>
    </w:p>
    <w:p w14:paraId="33DAB938" w14:textId="77777777" w:rsidR="004D6A64" w:rsidRDefault="004D6A64"/>
    <w:p w14:paraId="33DAB939" w14:textId="77777777" w:rsidR="004D6A64" w:rsidRDefault="00506CD6">
      <w:r>
        <w:rPr>
          <w:rFonts w:ascii="Times New Roman" w:eastAsia="宋体" w:hAnsi="Times New Roman"/>
          <w:color w:val="000000"/>
          <w:sz w:val="20"/>
          <w:szCs w:val="20"/>
        </w:rPr>
        <w:t>The Company uses interest rate swaps to hedge the variability in cash flows related to the interest</w:t>
      </w:r>
      <w:r>
        <w:rPr>
          <w:rFonts w:ascii="Times New Roman" w:eastAsia="宋体" w:hAnsi="Times New Roman"/>
          <w:color w:val="000000"/>
          <w:sz w:val="20"/>
          <w:szCs w:val="20"/>
        </w:rPr>
        <w:t xml:space="preserve"> rate payments on structured financing debt. The interest rate swaps economically convert the variable rate on the structured financing debt to a fixed interest rate to match the underlying fixed rate being received on fixed-term customer leases and loans.</w:t>
      </w:r>
      <w:r>
        <w:rPr>
          <w:rFonts w:ascii="Times New Roman" w:eastAsia="宋体" w:hAnsi="Times New Roman"/>
          <w:color w:val="000000"/>
          <w:sz w:val="20"/>
          <w:szCs w:val="20"/>
        </w:rPr>
        <w:t xml:space="preserve"> These contracts are not designated for hedge accounting and most expire within three years or less.</w:t>
      </w:r>
    </w:p>
    <w:p w14:paraId="33DAB93A" w14:textId="77777777" w:rsidR="004D6A64" w:rsidRDefault="004D6A64">
      <w:pPr>
        <w:jc w:val="both"/>
      </w:pPr>
    </w:p>
    <w:p w14:paraId="33DAB93B" w14:textId="77777777" w:rsidR="004D6A64" w:rsidRDefault="00506CD6">
      <w:r>
        <w:rPr>
          <w:rFonts w:ascii="Times New Roman" w:eastAsia="宋体" w:hAnsi="Times New Roman"/>
          <w:color w:val="000000"/>
          <w:sz w:val="20"/>
          <w:szCs w:val="20"/>
        </w:rPr>
        <w:t>Interest rate swaps are utilized to manage the interest rate risk, at a portfolio level, associated with DFS operations in Europe. The interest rate swaps</w:t>
      </w:r>
      <w:r>
        <w:rPr>
          <w:rFonts w:ascii="Times New Roman" w:eastAsia="宋体" w:hAnsi="Times New Roman"/>
          <w:color w:val="000000"/>
          <w:sz w:val="20"/>
          <w:szCs w:val="20"/>
        </w:rPr>
        <w:t xml:space="preserve"> economically convert the fixed rate on financing receivables to a three-month Euribor floating rate basis in order to match the floating rate nature of the banks’ funding pool. These contracts are not designated for hedge accounting and most expire within</w:t>
      </w:r>
      <w:r>
        <w:rPr>
          <w:rFonts w:ascii="Times New Roman" w:eastAsia="宋体" w:hAnsi="Times New Roman"/>
          <w:color w:val="000000"/>
          <w:sz w:val="20"/>
          <w:szCs w:val="20"/>
        </w:rPr>
        <w:t xml:space="preserve"> five years or less.</w:t>
      </w:r>
    </w:p>
    <w:p w14:paraId="33DAB93C" w14:textId="77777777" w:rsidR="004D6A64" w:rsidRDefault="004D6A64"/>
    <w:p w14:paraId="33DAB93D" w14:textId="77777777" w:rsidR="004D6A64" w:rsidRDefault="00506CD6">
      <w:r>
        <w:rPr>
          <w:rFonts w:ascii="Times New Roman" w:eastAsia="宋体" w:hAnsi="Times New Roman"/>
          <w:color w:val="0D0D0D"/>
          <w:sz w:val="20"/>
          <w:szCs w:val="20"/>
        </w:rPr>
        <w:t xml:space="preserve">The Company utilizes cross currency amortizing swaps to hedge the currency and interest rate risk exposure associated with the securitization program that was established in Europe in January 2017.  The cross currency swaps combine a </w:t>
      </w:r>
      <w:r>
        <w:rPr>
          <w:rFonts w:ascii="Times New Roman" w:eastAsia="宋体" w:hAnsi="Times New Roman"/>
          <w:color w:val="0D0D0D"/>
          <w:sz w:val="20"/>
          <w:szCs w:val="20"/>
        </w:rPr>
        <w:t>Euro-based interest rate swap with a British Pound or U.S. Dollar foreign exchange forward contract in which the Company pays a fixed British Pound or U.S. Dollar amount and receives a floating amount in Euros linked to the one-month Euribor.  The notional</w:t>
      </w:r>
      <w:r>
        <w:rPr>
          <w:rFonts w:ascii="Times New Roman" w:eastAsia="宋体" w:hAnsi="Times New Roman"/>
          <w:color w:val="0D0D0D"/>
          <w:sz w:val="20"/>
          <w:szCs w:val="20"/>
        </w:rPr>
        <w:t xml:space="preserve"> value of the swaps amortizes in line with the expected cash flows and run-off of the securitized assets.  The swaps are not designated for hedge accounting and expire within </w:t>
      </w:r>
      <w:r>
        <w:rPr>
          <w:rFonts w:ascii="Times New Roman" w:eastAsia="宋体" w:hAnsi="Times New Roman"/>
          <w:color w:val="000000"/>
          <w:sz w:val="20"/>
          <w:szCs w:val="20"/>
        </w:rPr>
        <w:t xml:space="preserve">five years </w:t>
      </w:r>
      <w:r>
        <w:rPr>
          <w:rFonts w:ascii="Times New Roman" w:eastAsia="宋体" w:hAnsi="Times New Roman"/>
          <w:color w:val="0D0D0D"/>
          <w:sz w:val="20"/>
          <w:szCs w:val="20"/>
        </w:rPr>
        <w:t>or less.</w:t>
      </w:r>
    </w:p>
    <w:p w14:paraId="33DAB93E" w14:textId="77777777" w:rsidR="004D6A64" w:rsidRDefault="004D6A64"/>
    <w:p w14:paraId="33DAB93F" w14:textId="77777777" w:rsidR="004D6A64" w:rsidRDefault="004D6A64">
      <w:pPr>
        <w:jc w:val="center"/>
      </w:pPr>
    </w:p>
    <w:p w14:paraId="33DAB940" w14:textId="77777777" w:rsidR="004D6A64" w:rsidRDefault="00506CD6">
      <w:pPr>
        <w:jc w:val="center"/>
      </w:pPr>
      <w:r>
        <w:rPr>
          <w:rFonts w:ascii="Times New Roman" w:eastAsia="宋体" w:hAnsi="Times New Roman"/>
          <w:color w:val="000000"/>
          <w:sz w:val="20"/>
          <w:szCs w:val="20"/>
        </w:rPr>
        <w:t>37</w:t>
      </w:r>
    </w:p>
    <w:p w14:paraId="33DAB941" w14:textId="77777777" w:rsidR="004D6A64" w:rsidRDefault="004D6A64">
      <w:pPr>
        <w:jc w:val="center"/>
      </w:pPr>
    </w:p>
    <w:p w14:paraId="33DAB942" w14:textId="77777777" w:rsidR="004D6A64" w:rsidRDefault="00506CD6">
      <w:r>
        <w:pict w14:anchorId="33DAFAE9">
          <v:rect id="_x0000_i1061" style="width:415.3pt;height:1.5pt" o:hralign="center" o:hrstd="t" o:hr="t" fillcolor="#a0a0a0" stroked="f"/>
        </w:pict>
      </w:r>
    </w:p>
    <w:p w14:paraId="33DAB943" w14:textId="77777777" w:rsidR="004D6A64" w:rsidRDefault="00506CD6">
      <w:hyperlink r:id="rId160" w:anchor="if3e0e1bf9ecd4bf69551d7a85f98d64a_10" w:history="1">
        <w:r>
          <w:rPr>
            <w:rStyle w:val="a5"/>
            <w:rFonts w:ascii="Times New Roman" w:eastAsia="宋体" w:hAnsi="Times New Roman"/>
            <w:sz w:val="20"/>
            <w:szCs w:val="20"/>
          </w:rPr>
          <w:t>Table of Contents</w:t>
        </w:r>
      </w:hyperlink>
    </w:p>
    <w:p w14:paraId="33DAB944"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B945"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33DAB946"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B947" w14:textId="77777777" w:rsidR="004D6A64" w:rsidRDefault="004D6A64">
      <w:pPr>
        <w:jc w:val="center"/>
      </w:pPr>
    </w:p>
    <w:p w14:paraId="33DAB948" w14:textId="77777777" w:rsidR="004D6A64" w:rsidRDefault="00506CD6">
      <w:r>
        <w:rPr>
          <w:rFonts w:ascii="Times New Roman" w:eastAsia="宋体" w:hAnsi="Times New Roman"/>
          <w:b/>
          <w:bCs/>
          <w:color w:val="000000"/>
          <w:sz w:val="20"/>
          <w:szCs w:val="20"/>
        </w:rPr>
        <w:t xml:space="preserve">Derivative </w:t>
      </w:r>
      <w:r>
        <w:rPr>
          <w:rFonts w:ascii="Times New Roman" w:eastAsia="宋体" w:hAnsi="Times New Roman"/>
          <w:b/>
          <w:bCs/>
          <w:color w:val="000000"/>
          <w:sz w:val="20"/>
          <w:szCs w:val="20"/>
        </w:rPr>
        <w:t>Instruments</w:t>
      </w:r>
    </w:p>
    <w:p w14:paraId="33DAB949" w14:textId="77777777" w:rsidR="004D6A64" w:rsidRDefault="004D6A64"/>
    <w:p w14:paraId="33DAB94A" w14:textId="77777777" w:rsidR="004D6A64" w:rsidRDefault="00506CD6">
      <w:r>
        <w:rPr>
          <w:rFonts w:ascii="Times New Roman" w:eastAsia="宋体" w:hAnsi="Times New Roman"/>
          <w:i/>
          <w:iCs/>
          <w:color w:val="000000"/>
          <w:sz w:val="20"/>
          <w:szCs w:val="20"/>
          <w:u w:val="single"/>
        </w:rPr>
        <w:t>Notional Amounts of Outstanding Derivative Instruments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256"/>
        <w:gridCol w:w="38"/>
        <w:gridCol w:w="135"/>
        <w:gridCol w:w="1163"/>
        <w:gridCol w:w="41"/>
        <w:gridCol w:w="36"/>
        <w:gridCol w:w="36"/>
        <w:gridCol w:w="36"/>
        <w:gridCol w:w="135"/>
        <w:gridCol w:w="1163"/>
        <w:gridCol w:w="41"/>
        <w:gridCol w:w="36"/>
        <w:gridCol w:w="36"/>
        <w:gridCol w:w="36"/>
        <w:gridCol w:w="36"/>
        <w:gridCol w:w="36"/>
        <w:gridCol w:w="36"/>
      </w:tblGrid>
      <w:tr w:rsidR="004D6A64" w14:paraId="33DAB957" w14:textId="77777777">
        <w:trPr>
          <w:gridAfter w:val="6"/>
          <w:jc w:val="center"/>
        </w:trPr>
        <w:tc>
          <w:tcPr>
            <w:tcW w:w="50" w:type="pct"/>
            <w:shd w:val="clear" w:color="auto" w:fill="auto"/>
          </w:tcPr>
          <w:p w14:paraId="33DAB94B" w14:textId="77777777" w:rsidR="004D6A64" w:rsidRDefault="004D6A64">
            <w:pPr>
              <w:rPr>
                <w:rFonts w:ascii="宋体"/>
              </w:rPr>
            </w:pPr>
          </w:p>
        </w:tc>
        <w:tc>
          <w:tcPr>
            <w:tcW w:w="3292" w:type="pct"/>
            <w:shd w:val="clear" w:color="auto" w:fill="auto"/>
          </w:tcPr>
          <w:p w14:paraId="33DAB94C" w14:textId="77777777" w:rsidR="004D6A64" w:rsidRDefault="004D6A64">
            <w:pPr>
              <w:rPr>
                <w:rFonts w:ascii="宋体"/>
              </w:rPr>
            </w:pPr>
          </w:p>
        </w:tc>
        <w:tc>
          <w:tcPr>
            <w:tcW w:w="5" w:type="pct"/>
            <w:shd w:val="clear" w:color="auto" w:fill="auto"/>
          </w:tcPr>
          <w:p w14:paraId="33DAB94D" w14:textId="77777777" w:rsidR="004D6A64" w:rsidRDefault="004D6A64">
            <w:pPr>
              <w:rPr>
                <w:rFonts w:ascii="宋体"/>
              </w:rPr>
            </w:pPr>
          </w:p>
        </w:tc>
        <w:tc>
          <w:tcPr>
            <w:tcW w:w="50" w:type="pct"/>
            <w:shd w:val="clear" w:color="auto" w:fill="auto"/>
          </w:tcPr>
          <w:p w14:paraId="33DAB94E" w14:textId="77777777" w:rsidR="004D6A64" w:rsidRDefault="004D6A64">
            <w:pPr>
              <w:rPr>
                <w:rFonts w:ascii="宋体"/>
              </w:rPr>
            </w:pPr>
          </w:p>
        </w:tc>
        <w:tc>
          <w:tcPr>
            <w:tcW w:w="756" w:type="pct"/>
            <w:shd w:val="clear" w:color="auto" w:fill="auto"/>
          </w:tcPr>
          <w:p w14:paraId="33DAB94F" w14:textId="77777777" w:rsidR="004D6A64" w:rsidRDefault="004D6A64">
            <w:pPr>
              <w:rPr>
                <w:rFonts w:ascii="宋体"/>
              </w:rPr>
            </w:pPr>
          </w:p>
        </w:tc>
        <w:tc>
          <w:tcPr>
            <w:tcW w:w="5" w:type="pct"/>
            <w:shd w:val="clear" w:color="auto" w:fill="auto"/>
          </w:tcPr>
          <w:p w14:paraId="33DAB950" w14:textId="77777777" w:rsidR="004D6A64" w:rsidRDefault="004D6A64">
            <w:pPr>
              <w:rPr>
                <w:rFonts w:ascii="宋体"/>
              </w:rPr>
            </w:pPr>
          </w:p>
        </w:tc>
        <w:tc>
          <w:tcPr>
            <w:tcW w:w="5" w:type="pct"/>
            <w:shd w:val="clear" w:color="auto" w:fill="auto"/>
          </w:tcPr>
          <w:p w14:paraId="33DAB951" w14:textId="77777777" w:rsidR="004D6A64" w:rsidRDefault="004D6A64">
            <w:pPr>
              <w:rPr>
                <w:rFonts w:ascii="宋体"/>
              </w:rPr>
            </w:pPr>
          </w:p>
        </w:tc>
        <w:tc>
          <w:tcPr>
            <w:tcW w:w="19" w:type="pct"/>
            <w:shd w:val="clear" w:color="auto" w:fill="auto"/>
          </w:tcPr>
          <w:p w14:paraId="33DAB952" w14:textId="77777777" w:rsidR="004D6A64" w:rsidRDefault="004D6A64">
            <w:pPr>
              <w:rPr>
                <w:rFonts w:ascii="宋体"/>
              </w:rPr>
            </w:pPr>
          </w:p>
        </w:tc>
        <w:tc>
          <w:tcPr>
            <w:tcW w:w="5" w:type="pct"/>
            <w:shd w:val="clear" w:color="auto" w:fill="auto"/>
          </w:tcPr>
          <w:p w14:paraId="33DAB953" w14:textId="77777777" w:rsidR="004D6A64" w:rsidRDefault="004D6A64">
            <w:pPr>
              <w:rPr>
                <w:rFonts w:ascii="宋体"/>
              </w:rPr>
            </w:pPr>
          </w:p>
        </w:tc>
        <w:tc>
          <w:tcPr>
            <w:tcW w:w="50" w:type="pct"/>
            <w:shd w:val="clear" w:color="auto" w:fill="auto"/>
          </w:tcPr>
          <w:p w14:paraId="33DAB954" w14:textId="77777777" w:rsidR="004D6A64" w:rsidRDefault="004D6A64">
            <w:pPr>
              <w:rPr>
                <w:rFonts w:ascii="宋体"/>
              </w:rPr>
            </w:pPr>
          </w:p>
        </w:tc>
        <w:tc>
          <w:tcPr>
            <w:tcW w:w="756" w:type="pct"/>
            <w:shd w:val="clear" w:color="auto" w:fill="auto"/>
          </w:tcPr>
          <w:p w14:paraId="33DAB955" w14:textId="77777777" w:rsidR="004D6A64" w:rsidRDefault="004D6A64">
            <w:pPr>
              <w:rPr>
                <w:rFonts w:ascii="宋体"/>
              </w:rPr>
            </w:pPr>
          </w:p>
        </w:tc>
        <w:tc>
          <w:tcPr>
            <w:tcW w:w="5" w:type="pct"/>
            <w:shd w:val="clear" w:color="auto" w:fill="auto"/>
          </w:tcPr>
          <w:p w14:paraId="33DAB956" w14:textId="77777777" w:rsidR="004D6A64" w:rsidRDefault="004D6A64">
            <w:pPr>
              <w:rPr>
                <w:rFonts w:ascii="宋体"/>
              </w:rPr>
            </w:pPr>
          </w:p>
        </w:tc>
      </w:tr>
      <w:tr w:rsidR="004D6A64" w14:paraId="33DAB95C" w14:textId="77777777">
        <w:trPr>
          <w:gridAfter w:val="6"/>
          <w:jc w:val="center"/>
        </w:trPr>
        <w:tc>
          <w:tcPr>
            <w:tcW w:w="0" w:type="auto"/>
            <w:gridSpan w:val="3"/>
            <w:shd w:val="clear" w:color="auto" w:fill="auto"/>
            <w:tcMar>
              <w:top w:w="40" w:type="dxa"/>
              <w:left w:w="225" w:type="dxa"/>
              <w:bottom w:w="40" w:type="dxa"/>
              <w:right w:w="20" w:type="dxa"/>
            </w:tcMar>
            <w:vAlign w:val="bottom"/>
          </w:tcPr>
          <w:p w14:paraId="33DAB958" w14:textId="77777777" w:rsidR="004D6A64" w:rsidRDefault="00506CD6">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33DAB959"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shd w:val="clear" w:color="auto" w:fill="auto"/>
            <w:tcMar>
              <w:left w:w="20" w:type="dxa"/>
              <w:right w:w="20" w:type="dxa"/>
            </w:tcMar>
            <w:vAlign w:val="bottom"/>
          </w:tcPr>
          <w:p w14:paraId="33DAB95A" w14:textId="77777777" w:rsidR="004D6A64" w:rsidRDefault="004D6A6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3DAB95B" w14:textId="77777777" w:rsidR="004D6A64" w:rsidRDefault="00506CD6">
            <w:pPr>
              <w:jc w:val="center"/>
              <w:textAlignment w:val="bottom"/>
            </w:pPr>
            <w:r>
              <w:rPr>
                <w:rFonts w:ascii="Times New Roman" w:eastAsia="宋体" w:hAnsi="Times New Roman"/>
                <w:b/>
                <w:bCs/>
                <w:color w:val="000000"/>
                <w:sz w:val="20"/>
                <w:szCs w:val="20"/>
              </w:rPr>
              <w:t>January 31, 2020</w:t>
            </w:r>
          </w:p>
        </w:tc>
      </w:tr>
      <w:tr w:rsidR="004D6A64" w14:paraId="33DAB961" w14:textId="77777777">
        <w:trPr>
          <w:jc w:val="center"/>
        </w:trPr>
        <w:tc>
          <w:tcPr>
            <w:tcW w:w="0" w:type="auto"/>
            <w:gridSpan w:val="3"/>
            <w:shd w:val="clear" w:color="auto" w:fill="auto"/>
            <w:tcMar>
              <w:top w:w="40" w:type="dxa"/>
              <w:left w:w="20" w:type="dxa"/>
              <w:bottom w:w="40" w:type="dxa"/>
              <w:right w:w="20" w:type="dxa"/>
            </w:tcMar>
            <w:vAlign w:val="bottom"/>
          </w:tcPr>
          <w:p w14:paraId="33DAB95D" w14:textId="77777777" w:rsidR="004D6A64" w:rsidRDefault="00506CD6">
            <w:pPr>
              <w:jc w:val="center"/>
              <w:textAlignment w:val="bottom"/>
            </w:pPr>
            <w:r>
              <w:rPr>
                <w:rFonts w:ascii="Times New Roman" w:eastAsia="宋体" w:hAnsi="Times New Roman"/>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3DAB95E" w14:textId="77777777" w:rsidR="004D6A64" w:rsidRDefault="00506CD6">
            <w:pPr>
              <w:jc w:val="center"/>
              <w:textAlignment w:val="bottom"/>
            </w:pPr>
            <w:r>
              <w:rPr>
                <w:rFonts w:ascii="Times New Roman" w:eastAsia="宋体" w:hAnsi="Times New Roman"/>
                <w:color w:val="000000"/>
                <w:sz w:val="20"/>
                <w:szCs w:val="20"/>
              </w:rPr>
              <w:t>(in millions)</w:t>
            </w:r>
          </w:p>
        </w:tc>
        <w:tc>
          <w:tcPr>
            <w:tcW w:w="0" w:type="auto"/>
            <w:gridSpan w:val="3"/>
            <w:shd w:val="clear" w:color="auto" w:fill="auto"/>
          </w:tcPr>
          <w:p w14:paraId="33DAB95F" w14:textId="77777777" w:rsidR="004D6A64" w:rsidRDefault="004D6A64">
            <w:pPr>
              <w:rPr>
                <w:rFonts w:ascii="宋体"/>
                <w:vanish/>
              </w:rPr>
            </w:pPr>
          </w:p>
        </w:tc>
        <w:tc>
          <w:tcPr>
            <w:tcW w:w="0" w:type="auto"/>
            <w:gridSpan w:val="3"/>
            <w:shd w:val="clear" w:color="auto" w:fill="auto"/>
          </w:tcPr>
          <w:p w14:paraId="33DAB960" w14:textId="77777777" w:rsidR="004D6A64" w:rsidRDefault="004D6A64">
            <w:pPr>
              <w:rPr>
                <w:rFonts w:ascii="宋体"/>
                <w:vanish/>
              </w:rPr>
            </w:pPr>
          </w:p>
        </w:tc>
      </w:tr>
      <w:tr w:rsidR="004D6A64" w14:paraId="33DAB96C" w14:textId="77777777">
        <w:trPr>
          <w:jc w:val="center"/>
        </w:trPr>
        <w:tc>
          <w:tcPr>
            <w:tcW w:w="0" w:type="auto"/>
            <w:gridSpan w:val="3"/>
            <w:shd w:val="clear" w:color="auto" w:fill="CCEEFF"/>
            <w:tcMar>
              <w:top w:w="40" w:type="dxa"/>
              <w:left w:w="20" w:type="dxa"/>
              <w:bottom w:w="40" w:type="dxa"/>
              <w:right w:w="20" w:type="dxa"/>
            </w:tcMar>
            <w:vAlign w:val="bottom"/>
          </w:tcPr>
          <w:p w14:paraId="33DAB962" w14:textId="77777777" w:rsidR="004D6A64" w:rsidRDefault="00506CD6">
            <w:pPr>
              <w:textAlignment w:val="bottom"/>
            </w:pPr>
            <w:r>
              <w:rPr>
                <w:rFonts w:ascii="Times New Roman" w:eastAsia="宋体" w:hAnsi="Times New Roman"/>
                <w:i/>
                <w:iCs/>
                <w:color w:val="000000"/>
                <w:sz w:val="20"/>
                <w:szCs w:val="20"/>
              </w:rPr>
              <w:t>Foreign exchange contracts:</w:t>
            </w:r>
          </w:p>
        </w:tc>
        <w:tc>
          <w:tcPr>
            <w:tcW w:w="0" w:type="auto"/>
            <w:gridSpan w:val="3"/>
            <w:shd w:val="clear" w:color="auto" w:fill="CCEEFF"/>
            <w:tcMar>
              <w:top w:w="40" w:type="dxa"/>
              <w:left w:w="20" w:type="dxa"/>
              <w:bottom w:w="40" w:type="dxa"/>
              <w:right w:w="20" w:type="dxa"/>
            </w:tcMar>
            <w:vAlign w:val="bottom"/>
          </w:tcPr>
          <w:p w14:paraId="33DAB963" w14:textId="77777777" w:rsidR="004D6A64" w:rsidRDefault="00506CD6">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left w:w="20" w:type="dxa"/>
              <w:right w:w="20" w:type="dxa"/>
            </w:tcMar>
            <w:vAlign w:val="bottom"/>
          </w:tcPr>
          <w:p w14:paraId="33DAB964" w14:textId="77777777" w:rsidR="004D6A64" w:rsidRDefault="004D6A64">
            <w:pPr>
              <w:rPr>
                <w:rFonts w:ascii="宋体"/>
              </w:rPr>
            </w:pPr>
          </w:p>
        </w:tc>
        <w:tc>
          <w:tcPr>
            <w:tcW w:w="0" w:type="auto"/>
            <w:gridSpan w:val="3"/>
            <w:shd w:val="clear" w:color="auto" w:fill="CCEEFF"/>
            <w:tcMar>
              <w:top w:w="40" w:type="dxa"/>
              <w:left w:w="20" w:type="dxa"/>
              <w:bottom w:w="40" w:type="dxa"/>
              <w:right w:w="20" w:type="dxa"/>
            </w:tcMar>
            <w:vAlign w:val="bottom"/>
          </w:tcPr>
          <w:p w14:paraId="33DAB965"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auto"/>
          </w:tcPr>
          <w:p w14:paraId="33DAB966" w14:textId="77777777" w:rsidR="004D6A64" w:rsidRDefault="004D6A64">
            <w:pPr>
              <w:rPr>
                <w:rFonts w:ascii="宋体"/>
              </w:rPr>
            </w:pPr>
          </w:p>
        </w:tc>
        <w:tc>
          <w:tcPr>
            <w:tcW w:w="0" w:type="auto"/>
            <w:shd w:val="clear" w:color="auto" w:fill="auto"/>
          </w:tcPr>
          <w:p w14:paraId="33DAB967" w14:textId="77777777" w:rsidR="004D6A64" w:rsidRDefault="004D6A64">
            <w:pPr>
              <w:rPr>
                <w:rFonts w:ascii="宋体"/>
              </w:rPr>
            </w:pPr>
          </w:p>
        </w:tc>
        <w:tc>
          <w:tcPr>
            <w:tcW w:w="0" w:type="auto"/>
            <w:shd w:val="clear" w:color="auto" w:fill="auto"/>
          </w:tcPr>
          <w:p w14:paraId="33DAB968" w14:textId="77777777" w:rsidR="004D6A64" w:rsidRDefault="004D6A64">
            <w:pPr>
              <w:rPr>
                <w:rFonts w:ascii="宋体"/>
              </w:rPr>
            </w:pPr>
          </w:p>
        </w:tc>
        <w:tc>
          <w:tcPr>
            <w:tcW w:w="0" w:type="auto"/>
            <w:shd w:val="clear" w:color="auto" w:fill="auto"/>
          </w:tcPr>
          <w:p w14:paraId="33DAB969" w14:textId="77777777" w:rsidR="004D6A64" w:rsidRDefault="004D6A64">
            <w:pPr>
              <w:rPr>
                <w:rFonts w:ascii="宋体"/>
              </w:rPr>
            </w:pPr>
          </w:p>
        </w:tc>
        <w:tc>
          <w:tcPr>
            <w:tcW w:w="0" w:type="auto"/>
            <w:shd w:val="clear" w:color="auto" w:fill="auto"/>
          </w:tcPr>
          <w:p w14:paraId="33DAB96A" w14:textId="77777777" w:rsidR="004D6A64" w:rsidRDefault="004D6A64">
            <w:pPr>
              <w:rPr>
                <w:rFonts w:ascii="宋体"/>
              </w:rPr>
            </w:pPr>
          </w:p>
        </w:tc>
        <w:tc>
          <w:tcPr>
            <w:tcW w:w="0" w:type="auto"/>
            <w:shd w:val="clear" w:color="auto" w:fill="auto"/>
          </w:tcPr>
          <w:p w14:paraId="33DAB96B" w14:textId="77777777" w:rsidR="004D6A64" w:rsidRDefault="004D6A64">
            <w:pPr>
              <w:rPr>
                <w:rFonts w:ascii="宋体"/>
              </w:rPr>
            </w:pPr>
          </w:p>
        </w:tc>
      </w:tr>
      <w:tr w:rsidR="004D6A64" w14:paraId="33DAB97B" w14:textId="77777777">
        <w:trPr>
          <w:jc w:val="center"/>
        </w:trPr>
        <w:tc>
          <w:tcPr>
            <w:tcW w:w="0" w:type="auto"/>
            <w:gridSpan w:val="3"/>
            <w:shd w:val="clear" w:color="auto" w:fill="FFFFFF"/>
            <w:tcMar>
              <w:top w:w="40" w:type="dxa"/>
              <w:left w:w="135" w:type="dxa"/>
              <w:bottom w:w="40" w:type="dxa"/>
              <w:right w:w="20" w:type="dxa"/>
            </w:tcMar>
            <w:vAlign w:val="bottom"/>
          </w:tcPr>
          <w:p w14:paraId="33DAB96D" w14:textId="77777777" w:rsidR="004D6A64" w:rsidRDefault="00506CD6">
            <w:pPr>
              <w:textAlignment w:val="bottom"/>
            </w:pPr>
            <w:r>
              <w:rPr>
                <w:rFonts w:ascii="Times New Roman" w:eastAsia="宋体" w:hAnsi="Times New Roman"/>
                <w:color w:val="000000"/>
                <w:sz w:val="20"/>
                <w:szCs w:val="20"/>
              </w:rPr>
              <w:t>Designated as cash flow hedging instruments</w:t>
            </w:r>
          </w:p>
        </w:tc>
        <w:tc>
          <w:tcPr>
            <w:tcW w:w="0" w:type="auto"/>
            <w:shd w:val="clear" w:color="auto" w:fill="FFFFFF"/>
            <w:tcMar>
              <w:top w:w="40" w:type="dxa"/>
              <w:left w:w="20" w:type="dxa"/>
              <w:bottom w:w="40" w:type="dxa"/>
            </w:tcMar>
            <w:vAlign w:val="bottom"/>
          </w:tcPr>
          <w:p w14:paraId="33DAB96E"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B96F" w14:textId="77777777" w:rsidR="004D6A64" w:rsidRDefault="00506CD6">
            <w:pPr>
              <w:jc w:val="right"/>
              <w:textAlignment w:val="bottom"/>
            </w:pPr>
            <w:r>
              <w:rPr>
                <w:rFonts w:ascii="Times New Roman" w:eastAsia="宋体" w:hAnsi="Times New Roman"/>
                <w:color w:val="000000"/>
                <w:sz w:val="20"/>
                <w:szCs w:val="20"/>
              </w:rPr>
              <w:t>7,600 </w:t>
            </w:r>
          </w:p>
        </w:tc>
        <w:tc>
          <w:tcPr>
            <w:tcW w:w="0" w:type="auto"/>
            <w:shd w:val="clear" w:color="auto" w:fill="FFFFFF"/>
            <w:tcMar>
              <w:top w:w="40" w:type="dxa"/>
              <w:bottom w:w="40" w:type="dxa"/>
              <w:right w:w="20" w:type="dxa"/>
            </w:tcMar>
            <w:vAlign w:val="bottom"/>
          </w:tcPr>
          <w:p w14:paraId="33DAB97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971"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B972"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B973" w14:textId="77777777" w:rsidR="004D6A64" w:rsidRDefault="00506CD6">
            <w:pPr>
              <w:jc w:val="right"/>
              <w:textAlignment w:val="bottom"/>
            </w:pPr>
            <w:r>
              <w:rPr>
                <w:rFonts w:ascii="Times New Roman" w:eastAsia="宋体" w:hAnsi="Times New Roman"/>
                <w:color w:val="000000"/>
                <w:sz w:val="20"/>
                <w:szCs w:val="20"/>
              </w:rPr>
              <w:t>8,703 </w:t>
            </w:r>
          </w:p>
        </w:tc>
        <w:tc>
          <w:tcPr>
            <w:tcW w:w="0" w:type="auto"/>
            <w:shd w:val="clear" w:color="auto" w:fill="FFFFFF"/>
            <w:tcMar>
              <w:top w:w="40" w:type="dxa"/>
              <w:bottom w:w="40" w:type="dxa"/>
              <w:right w:w="20" w:type="dxa"/>
            </w:tcMar>
            <w:vAlign w:val="bottom"/>
          </w:tcPr>
          <w:p w14:paraId="33DAB974" w14:textId="77777777" w:rsidR="004D6A64" w:rsidRDefault="004D6A64">
            <w:pPr>
              <w:jc w:val="right"/>
              <w:rPr>
                <w:rFonts w:ascii="宋体"/>
              </w:rPr>
            </w:pPr>
          </w:p>
        </w:tc>
        <w:tc>
          <w:tcPr>
            <w:tcW w:w="0" w:type="auto"/>
            <w:shd w:val="clear" w:color="auto" w:fill="auto"/>
          </w:tcPr>
          <w:p w14:paraId="33DAB975" w14:textId="77777777" w:rsidR="004D6A64" w:rsidRDefault="004D6A64">
            <w:pPr>
              <w:rPr>
                <w:rFonts w:ascii="宋体"/>
              </w:rPr>
            </w:pPr>
          </w:p>
        </w:tc>
        <w:tc>
          <w:tcPr>
            <w:tcW w:w="0" w:type="auto"/>
            <w:shd w:val="clear" w:color="auto" w:fill="auto"/>
          </w:tcPr>
          <w:p w14:paraId="33DAB976" w14:textId="77777777" w:rsidR="004D6A64" w:rsidRDefault="004D6A64">
            <w:pPr>
              <w:rPr>
                <w:rFonts w:ascii="宋体"/>
              </w:rPr>
            </w:pPr>
          </w:p>
        </w:tc>
        <w:tc>
          <w:tcPr>
            <w:tcW w:w="0" w:type="auto"/>
            <w:shd w:val="clear" w:color="auto" w:fill="auto"/>
          </w:tcPr>
          <w:p w14:paraId="33DAB977" w14:textId="77777777" w:rsidR="004D6A64" w:rsidRDefault="004D6A64">
            <w:pPr>
              <w:rPr>
                <w:rFonts w:ascii="宋体"/>
              </w:rPr>
            </w:pPr>
          </w:p>
        </w:tc>
        <w:tc>
          <w:tcPr>
            <w:tcW w:w="0" w:type="auto"/>
            <w:shd w:val="clear" w:color="auto" w:fill="auto"/>
          </w:tcPr>
          <w:p w14:paraId="33DAB978" w14:textId="77777777" w:rsidR="004D6A64" w:rsidRDefault="004D6A64">
            <w:pPr>
              <w:rPr>
                <w:rFonts w:ascii="宋体"/>
              </w:rPr>
            </w:pPr>
          </w:p>
        </w:tc>
        <w:tc>
          <w:tcPr>
            <w:tcW w:w="0" w:type="auto"/>
            <w:shd w:val="clear" w:color="auto" w:fill="auto"/>
          </w:tcPr>
          <w:p w14:paraId="33DAB979" w14:textId="77777777" w:rsidR="004D6A64" w:rsidRDefault="004D6A64">
            <w:pPr>
              <w:rPr>
                <w:rFonts w:ascii="宋体"/>
              </w:rPr>
            </w:pPr>
          </w:p>
        </w:tc>
        <w:tc>
          <w:tcPr>
            <w:tcW w:w="0" w:type="auto"/>
            <w:shd w:val="clear" w:color="auto" w:fill="auto"/>
          </w:tcPr>
          <w:p w14:paraId="33DAB97A" w14:textId="77777777" w:rsidR="004D6A64" w:rsidRDefault="004D6A64">
            <w:pPr>
              <w:rPr>
                <w:rFonts w:ascii="宋体"/>
              </w:rPr>
            </w:pPr>
          </w:p>
        </w:tc>
      </w:tr>
      <w:tr w:rsidR="004D6A64" w14:paraId="33DAB988" w14:textId="77777777">
        <w:trPr>
          <w:jc w:val="center"/>
        </w:trPr>
        <w:tc>
          <w:tcPr>
            <w:tcW w:w="0" w:type="auto"/>
            <w:gridSpan w:val="3"/>
            <w:shd w:val="clear" w:color="auto" w:fill="CCEEFF"/>
            <w:tcMar>
              <w:top w:w="40" w:type="dxa"/>
              <w:left w:w="135" w:type="dxa"/>
              <w:bottom w:w="40" w:type="dxa"/>
              <w:right w:w="20" w:type="dxa"/>
            </w:tcMar>
            <w:vAlign w:val="bottom"/>
          </w:tcPr>
          <w:p w14:paraId="33DAB97C" w14:textId="77777777" w:rsidR="004D6A64" w:rsidRDefault="00506CD6">
            <w:pPr>
              <w:textAlignment w:val="bottom"/>
            </w:pPr>
            <w:r>
              <w:rPr>
                <w:rFonts w:ascii="Times New Roman" w:eastAsia="宋体" w:hAnsi="Times New Roman"/>
                <w:color w:val="000000"/>
                <w:sz w:val="20"/>
                <w:szCs w:val="20"/>
              </w:rPr>
              <w:t>Non-designated as hedging instruments</w:t>
            </w:r>
          </w:p>
        </w:tc>
        <w:tc>
          <w:tcPr>
            <w:tcW w:w="0" w:type="auto"/>
            <w:gridSpan w:val="2"/>
            <w:shd w:val="clear" w:color="auto" w:fill="CCEEFF"/>
            <w:tcMar>
              <w:top w:w="40" w:type="dxa"/>
              <w:left w:w="20" w:type="dxa"/>
              <w:bottom w:w="40" w:type="dxa"/>
              <w:right w:w="0" w:type="dxa"/>
            </w:tcMar>
            <w:vAlign w:val="bottom"/>
          </w:tcPr>
          <w:p w14:paraId="33DAB97D" w14:textId="77777777" w:rsidR="004D6A64" w:rsidRDefault="00506CD6">
            <w:pPr>
              <w:jc w:val="right"/>
              <w:textAlignment w:val="bottom"/>
            </w:pPr>
            <w:r>
              <w:rPr>
                <w:rFonts w:ascii="Times New Roman" w:eastAsia="宋体" w:hAnsi="Times New Roman"/>
                <w:color w:val="000000"/>
                <w:sz w:val="20"/>
                <w:szCs w:val="20"/>
              </w:rPr>
              <w:t>7,507 </w:t>
            </w:r>
          </w:p>
        </w:tc>
        <w:tc>
          <w:tcPr>
            <w:tcW w:w="0" w:type="auto"/>
            <w:shd w:val="clear" w:color="auto" w:fill="CCEEFF"/>
            <w:tcMar>
              <w:top w:w="40" w:type="dxa"/>
              <w:bottom w:w="40" w:type="dxa"/>
              <w:right w:w="20" w:type="dxa"/>
            </w:tcMar>
            <w:vAlign w:val="bottom"/>
          </w:tcPr>
          <w:p w14:paraId="33DAB97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97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B980" w14:textId="77777777" w:rsidR="004D6A64" w:rsidRDefault="00506CD6">
            <w:pPr>
              <w:jc w:val="right"/>
              <w:textAlignment w:val="bottom"/>
            </w:pPr>
            <w:r>
              <w:rPr>
                <w:rFonts w:ascii="Times New Roman" w:eastAsia="宋体" w:hAnsi="Times New Roman"/>
                <w:color w:val="000000"/>
                <w:sz w:val="20"/>
                <w:szCs w:val="20"/>
              </w:rPr>
              <w:t>7,711 </w:t>
            </w:r>
          </w:p>
        </w:tc>
        <w:tc>
          <w:tcPr>
            <w:tcW w:w="0" w:type="auto"/>
            <w:shd w:val="clear" w:color="auto" w:fill="CCEEFF"/>
            <w:tcMar>
              <w:top w:w="40" w:type="dxa"/>
              <w:bottom w:w="40" w:type="dxa"/>
              <w:right w:w="20" w:type="dxa"/>
            </w:tcMar>
            <w:vAlign w:val="bottom"/>
          </w:tcPr>
          <w:p w14:paraId="33DAB981" w14:textId="77777777" w:rsidR="004D6A64" w:rsidRDefault="004D6A64">
            <w:pPr>
              <w:jc w:val="right"/>
              <w:rPr>
                <w:rFonts w:ascii="宋体"/>
              </w:rPr>
            </w:pPr>
          </w:p>
        </w:tc>
        <w:tc>
          <w:tcPr>
            <w:tcW w:w="0" w:type="auto"/>
            <w:shd w:val="clear" w:color="auto" w:fill="auto"/>
          </w:tcPr>
          <w:p w14:paraId="33DAB982" w14:textId="77777777" w:rsidR="004D6A64" w:rsidRDefault="004D6A64">
            <w:pPr>
              <w:rPr>
                <w:rFonts w:ascii="宋体"/>
              </w:rPr>
            </w:pPr>
          </w:p>
        </w:tc>
        <w:tc>
          <w:tcPr>
            <w:tcW w:w="0" w:type="auto"/>
            <w:shd w:val="clear" w:color="auto" w:fill="auto"/>
          </w:tcPr>
          <w:p w14:paraId="33DAB983" w14:textId="77777777" w:rsidR="004D6A64" w:rsidRDefault="004D6A64">
            <w:pPr>
              <w:rPr>
                <w:rFonts w:ascii="宋体"/>
              </w:rPr>
            </w:pPr>
          </w:p>
        </w:tc>
        <w:tc>
          <w:tcPr>
            <w:tcW w:w="0" w:type="auto"/>
            <w:shd w:val="clear" w:color="auto" w:fill="auto"/>
          </w:tcPr>
          <w:p w14:paraId="33DAB984" w14:textId="77777777" w:rsidR="004D6A64" w:rsidRDefault="004D6A64">
            <w:pPr>
              <w:rPr>
                <w:rFonts w:ascii="宋体"/>
              </w:rPr>
            </w:pPr>
          </w:p>
        </w:tc>
        <w:tc>
          <w:tcPr>
            <w:tcW w:w="0" w:type="auto"/>
            <w:shd w:val="clear" w:color="auto" w:fill="auto"/>
          </w:tcPr>
          <w:p w14:paraId="33DAB985" w14:textId="77777777" w:rsidR="004D6A64" w:rsidRDefault="004D6A64">
            <w:pPr>
              <w:rPr>
                <w:rFonts w:ascii="宋体"/>
              </w:rPr>
            </w:pPr>
          </w:p>
        </w:tc>
        <w:tc>
          <w:tcPr>
            <w:tcW w:w="0" w:type="auto"/>
            <w:shd w:val="clear" w:color="auto" w:fill="auto"/>
          </w:tcPr>
          <w:p w14:paraId="33DAB986" w14:textId="77777777" w:rsidR="004D6A64" w:rsidRDefault="004D6A64">
            <w:pPr>
              <w:rPr>
                <w:rFonts w:ascii="宋体"/>
              </w:rPr>
            </w:pPr>
          </w:p>
        </w:tc>
        <w:tc>
          <w:tcPr>
            <w:tcW w:w="0" w:type="auto"/>
            <w:shd w:val="clear" w:color="auto" w:fill="auto"/>
          </w:tcPr>
          <w:p w14:paraId="33DAB987" w14:textId="77777777" w:rsidR="004D6A64" w:rsidRDefault="004D6A64">
            <w:pPr>
              <w:rPr>
                <w:rFonts w:ascii="宋体"/>
              </w:rPr>
            </w:pPr>
          </w:p>
        </w:tc>
      </w:tr>
      <w:tr w:rsidR="004D6A64" w14:paraId="33DAB997" w14:textId="77777777">
        <w:trPr>
          <w:jc w:val="center"/>
        </w:trPr>
        <w:tc>
          <w:tcPr>
            <w:tcW w:w="0" w:type="auto"/>
            <w:gridSpan w:val="3"/>
            <w:shd w:val="clear" w:color="auto" w:fill="FFFFFF"/>
            <w:tcMar>
              <w:top w:w="40" w:type="dxa"/>
              <w:left w:w="225" w:type="dxa"/>
              <w:bottom w:w="40" w:type="dxa"/>
              <w:right w:w="20" w:type="dxa"/>
            </w:tcMar>
            <w:vAlign w:val="bottom"/>
          </w:tcPr>
          <w:p w14:paraId="33DAB989" w14:textId="77777777" w:rsidR="004D6A64" w:rsidRDefault="00506CD6">
            <w:pPr>
              <w:textAlignment w:val="bottom"/>
            </w:pPr>
            <w:r>
              <w:rPr>
                <w:rFonts w:ascii="Times New Roman" w:eastAsia="宋体" w:hAnsi="Times New Roman"/>
                <w:color w:val="000000"/>
                <w:sz w:val="20"/>
                <w:szCs w:val="20"/>
              </w:rPr>
              <w:t>Total</w:t>
            </w:r>
          </w:p>
        </w:tc>
        <w:tc>
          <w:tcPr>
            <w:tcW w:w="0" w:type="auto"/>
            <w:tcBorders>
              <w:top w:val="single" w:sz="8" w:space="0" w:color="000000"/>
            </w:tcBorders>
            <w:shd w:val="clear" w:color="auto" w:fill="FFFFFF"/>
            <w:tcMar>
              <w:top w:w="40" w:type="dxa"/>
              <w:left w:w="20" w:type="dxa"/>
              <w:bottom w:w="40" w:type="dxa"/>
            </w:tcMar>
            <w:vAlign w:val="bottom"/>
          </w:tcPr>
          <w:p w14:paraId="33DAB98A"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B98B" w14:textId="77777777" w:rsidR="004D6A64" w:rsidRDefault="00506CD6">
            <w:pPr>
              <w:jc w:val="right"/>
              <w:textAlignment w:val="bottom"/>
            </w:pPr>
            <w:r>
              <w:rPr>
                <w:rFonts w:ascii="Times New Roman" w:eastAsia="宋体" w:hAnsi="Times New Roman"/>
                <w:color w:val="000000"/>
                <w:sz w:val="20"/>
                <w:szCs w:val="20"/>
              </w:rPr>
              <w:t>15,107 </w:t>
            </w:r>
          </w:p>
        </w:tc>
        <w:tc>
          <w:tcPr>
            <w:tcW w:w="0" w:type="auto"/>
            <w:tcBorders>
              <w:top w:val="single" w:sz="8" w:space="0" w:color="000000"/>
            </w:tcBorders>
            <w:shd w:val="clear" w:color="auto" w:fill="FFFFFF"/>
            <w:tcMar>
              <w:top w:w="40" w:type="dxa"/>
              <w:bottom w:w="40" w:type="dxa"/>
              <w:right w:w="20" w:type="dxa"/>
            </w:tcMar>
            <w:vAlign w:val="bottom"/>
          </w:tcPr>
          <w:p w14:paraId="33DAB98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98D"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3DAB98E"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B98F" w14:textId="77777777" w:rsidR="004D6A64" w:rsidRDefault="00506CD6">
            <w:pPr>
              <w:jc w:val="right"/>
              <w:textAlignment w:val="bottom"/>
            </w:pPr>
            <w:r>
              <w:rPr>
                <w:rFonts w:ascii="Times New Roman" w:eastAsia="宋体" w:hAnsi="Times New Roman"/>
                <w:color w:val="000000"/>
                <w:sz w:val="20"/>
                <w:szCs w:val="20"/>
              </w:rPr>
              <w:t>16,414 </w:t>
            </w:r>
          </w:p>
        </w:tc>
        <w:tc>
          <w:tcPr>
            <w:tcW w:w="0" w:type="auto"/>
            <w:tcBorders>
              <w:top w:val="single" w:sz="8" w:space="0" w:color="000000"/>
            </w:tcBorders>
            <w:shd w:val="clear" w:color="auto" w:fill="FFFFFF"/>
            <w:tcMar>
              <w:top w:w="40" w:type="dxa"/>
              <w:bottom w:w="40" w:type="dxa"/>
              <w:right w:w="20" w:type="dxa"/>
            </w:tcMar>
            <w:vAlign w:val="bottom"/>
          </w:tcPr>
          <w:p w14:paraId="33DAB990" w14:textId="77777777" w:rsidR="004D6A64" w:rsidRDefault="004D6A64">
            <w:pPr>
              <w:jc w:val="right"/>
              <w:rPr>
                <w:rFonts w:ascii="宋体"/>
              </w:rPr>
            </w:pPr>
          </w:p>
        </w:tc>
        <w:tc>
          <w:tcPr>
            <w:tcW w:w="0" w:type="auto"/>
            <w:shd w:val="clear" w:color="auto" w:fill="auto"/>
          </w:tcPr>
          <w:p w14:paraId="33DAB991" w14:textId="77777777" w:rsidR="004D6A64" w:rsidRDefault="004D6A64">
            <w:pPr>
              <w:rPr>
                <w:rFonts w:ascii="宋体"/>
              </w:rPr>
            </w:pPr>
          </w:p>
        </w:tc>
        <w:tc>
          <w:tcPr>
            <w:tcW w:w="0" w:type="auto"/>
            <w:shd w:val="clear" w:color="auto" w:fill="auto"/>
          </w:tcPr>
          <w:p w14:paraId="33DAB992" w14:textId="77777777" w:rsidR="004D6A64" w:rsidRDefault="004D6A64">
            <w:pPr>
              <w:rPr>
                <w:rFonts w:ascii="宋体"/>
              </w:rPr>
            </w:pPr>
          </w:p>
        </w:tc>
        <w:tc>
          <w:tcPr>
            <w:tcW w:w="0" w:type="auto"/>
            <w:shd w:val="clear" w:color="auto" w:fill="auto"/>
          </w:tcPr>
          <w:p w14:paraId="33DAB993" w14:textId="77777777" w:rsidR="004D6A64" w:rsidRDefault="004D6A64">
            <w:pPr>
              <w:rPr>
                <w:rFonts w:ascii="宋体"/>
              </w:rPr>
            </w:pPr>
          </w:p>
        </w:tc>
        <w:tc>
          <w:tcPr>
            <w:tcW w:w="0" w:type="auto"/>
            <w:shd w:val="clear" w:color="auto" w:fill="auto"/>
          </w:tcPr>
          <w:p w14:paraId="33DAB994" w14:textId="77777777" w:rsidR="004D6A64" w:rsidRDefault="004D6A64">
            <w:pPr>
              <w:rPr>
                <w:rFonts w:ascii="宋体"/>
              </w:rPr>
            </w:pPr>
          </w:p>
        </w:tc>
        <w:tc>
          <w:tcPr>
            <w:tcW w:w="0" w:type="auto"/>
            <w:shd w:val="clear" w:color="auto" w:fill="auto"/>
          </w:tcPr>
          <w:p w14:paraId="33DAB995" w14:textId="77777777" w:rsidR="004D6A64" w:rsidRDefault="004D6A64">
            <w:pPr>
              <w:rPr>
                <w:rFonts w:ascii="宋体"/>
              </w:rPr>
            </w:pPr>
          </w:p>
        </w:tc>
        <w:tc>
          <w:tcPr>
            <w:tcW w:w="0" w:type="auto"/>
            <w:shd w:val="clear" w:color="auto" w:fill="auto"/>
          </w:tcPr>
          <w:p w14:paraId="33DAB996" w14:textId="77777777" w:rsidR="004D6A64" w:rsidRDefault="004D6A64">
            <w:pPr>
              <w:rPr>
                <w:rFonts w:ascii="宋体"/>
              </w:rPr>
            </w:pPr>
          </w:p>
        </w:tc>
      </w:tr>
      <w:tr w:rsidR="004D6A64" w14:paraId="33DAB9A2" w14:textId="77777777">
        <w:trPr>
          <w:jc w:val="center"/>
        </w:trPr>
        <w:tc>
          <w:tcPr>
            <w:tcW w:w="0" w:type="auto"/>
            <w:gridSpan w:val="3"/>
            <w:shd w:val="clear" w:color="auto" w:fill="CCEEFF"/>
            <w:tcMar>
              <w:top w:w="40" w:type="dxa"/>
              <w:left w:w="20" w:type="dxa"/>
              <w:bottom w:w="40" w:type="dxa"/>
              <w:right w:w="20" w:type="dxa"/>
            </w:tcMar>
            <w:vAlign w:val="bottom"/>
          </w:tcPr>
          <w:p w14:paraId="33DAB998" w14:textId="77777777" w:rsidR="004D6A64" w:rsidRDefault="00506CD6">
            <w:pPr>
              <w:textAlignment w:val="bottom"/>
            </w:pPr>
            <w:r>
              <w:rPr>
                <w:rFonts w:ascii="Times New Roman" w:eastAsia="宋体" w:hAnsi="Times New Roman"/>
                <w:i/>
                <w:iCs/>
                <w:color w:val="000000"/>
                <w:sz w:val="20"/>
                <w:szCs w:val="20"/>
              </w:rPr>
              <w:t>Interest rate contracts:</w:t>
            </w:r>
          </w:p>
        </w:tc>
        <w:tc>
          <w:tcPr>
            <w:tcW w:w="0" w:type="auto"/>
            <w:gridSpan w:val="3"/>
            <w:tcBorders>
              <w:top w:val="double" w:sz="6" w:space="0" w:color="000000"/>
            </w:tcBorders>
            <w:shd w:val="clear" w:color="auto" w:fill="CCEEFF"/>
            <w:tcMar>
              <w:left w:w="20" w:type="dxa"/>
              <w:right w:w="20" w:type="dxa"/>
            </w:tcMar>
            <w:vAlign w:val="bottom"/>
          </w:tcPr>
          <w:p w14:paraId="33DAB999"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99A"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B99B" w14:textId="77777777" w:rsidR="004D6A64" w:rsidRDefault="004D6A64">
            <w:pPr>
              <w:rPr>
                <w:rFonts w:ascii="宋体"/>
              </w:rPr>
            </w:pPr>
          </w:p>
        </w:tc>
        <w:tc>
          <w:tcPr>
            <w:tcW w:w="0" w:type="auto"/>
            <w:shd w:val="clear" w:color="auto" w:fill="auto"/>
          </w:tcPr>
          <w:p w14:paraId="33DAB99C" w14:textId="77777777" w:rsidR="004D6A64" w:rsidRDefault="004D6A64">
            <w:pPr>
              <w:rPr>
                <w:rFonts w:ascii="宋体"/>
              </w:rPr>
            </w:pPr>
          </w:p>
        </w:tc>
        <w:tc>
          <w:tcPr>
            <w:tcW w:w="0" w:type="auto"/>
            <w:shd w:val="clear" w:color="auto" w:fill="auto"/>
          </w:tcPr>
          <w:p w14:paraId="33DAB99D" w14:textId="77777777" w:rsidR="004D6A64" w:rsidRDefault="004D6A64">
            <w:pPr>
              <w:rPr>
                <w:rFonts w:ascii="宋体"/>
              </w:rPr>
            </w:pPr>
          </w:p>
        </w:tc>
        <w:tc>
          <w:tcPr>
            <w:tcW w:w="0" w:type="auto"/>
            <w:shd w:val="clear" w:color="auto" w:fill="auto"/>
          </w:tcPr>
          <w:p w14:paraId="33DAB99E" w14:textId="77777777" w:rsidR="004D6A64" w:rsidRDefault="004D6A64">
            <w:pPr>
              <w:rPr>
                <w:rFonts w:ascii="宋体"/>
              </w:rPr>
            </w:pPr>
          </w:p>
        </w:tc>
        <w:tc>
          <w:tcPr>
            <w:tcW w:w="0" w:type="auto"/>
            <w:shd w:val="clear" w:color="auto" w:fill="auto"/>
          </w:tcPr>
          <w:p w14:paraId="33DAB99F" w14:textId="77777777" w:rsidR="004D6A64" w:rsidRDefault="004D6A64">
            <w:pPr>
              <w:rPr>
                <w:rFonts w:ascii="宋体"/>
              </w:rPr>
            </w:pPr>
          </w:p>
        </w:tc>
        <w:tc>
          <w:tcPr>
            <w:tcW w:w="0" w:type="auto"/>
            <w:shd w:val="clear" w:color="auto" w:fill="auto"/>
          </w:tcPr>
          <w:p w14:paraId="33DAB9A0" w14:textId="77777777" w:rsidR="004D6A64" w:rsidRDefault="004D6A64">
            <w:pPr>
              <w:rPr>
                <w:rFonts w:ascii="宋体"/>
              </w:rPr>
            </w:pPr>
          </w:p>
        </w:tc>
        <w:tc>
          <w:tcPr>
            <w:tcW w:w="0" w:type="auto"/>
            <w:shd w:val="clear" w:color="auto" w:fill="auto"/>
          </w:tcPr>
          <w:p w14:paraId="33DAB9A1" w14:textId="77777777" w:rsidR="004D6A64" w:rsidRDefault="004D6A64">
            <w:pPr>
              <w:rPr>
                <w:rFonts w:ascii="宋体"/>
              </w:rPr>
            </w:pPr>
          </w:p>
        </w:tc>
      </w:tr>
      <w:tr w:rsidR="004D6A64" w14:paraId="33DAB9B1" w14:textId="77777777">
        <w:trPr>
          <w:jc w:val="center"/>
        </w:trPr>
        <w:tc>
          <w:tcPr>
            <w:tcW w:w="0" w:type="auto"/>
            <w:gridSpan w:val="3"/>
            <w:shd w:val="clear" w:color="auto" w:fill="FFFFFF"/>
            <w:tcMar>
              <w:top w:w="40" w:type="dxa"/>
              <w:left w:w="135" w:type="dxa"/>
              <w:bottom w:w="40" w:type="dxa"/>
              <w:right w:w="20" w:type="dxa"/>
            </w:tcMar>
            <w:vAlign w:val="bottom"/>
          </w:tcPr>
          <w:p w14:paraId="33DAB9A3" w14:textId="77777777" w:rsidR="004D6A64" w:rsidRDefault="00506CD6">
            <w:pPr>
              <w:textAlignment w:val="bottom"/>
            </w:pPr>
            <w:r>
              <w:rPr>
                <w:rFonts w:ascii="Times New Roman" w:eastAsia="宋体" w:hAnsi="Times New Roman"/>
                <w:color w:val="000000"/>
                <w:sz w:val="20"/>
                <w:szCs w:val="20"/>
              </w:rPr>
              <w:t>Non-designated as hedging instruments</w:t>
            </w:r>
          </w:p>
        </w:tc>
        <w:tc>
          <w:tcPr>
            <w:tcW w:w="0" w:type="auto"/>
            <w:shd w:val="clear" w:color="auto" w:fill="FFFFFF"/>
            <w:tcMar>
              <w:top w:w="40" w:type="dxa"/>
              <w:left w:w="20" w:type="dxa"/>
              <w:bottom w:w="40" w:type="dxa"/>
            </w:tcMar>
            <w:vAlign w:val="bottom"/>
          </w:tcPr>
          <w:p w14:paraId="33DAB9A4"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B9A5" w14:textId="77777777" w:rsidR="004D6A64" w:rsidRDefault="00506CD6">
            <w:pPr>
              <w:jc w:val="right"/>
              <w:textAlignment w:val="bottom"/>
            </w:pPr>
            <w:r>
              <w:rPr>
                <w:rFonts w:ascii="Times New Roman" w:eastAsia="宋体" w:hAnsi="Times New Roman"/>
                <w:color w:val="000000"/>
                <w:sz w:val="20"/>
                <w:szCs w:val="20"/>
              </w:rPr>
              <w:t>5,333 </w:t>
            </w:r>
          </w:p>
        </w:tc>
        <w:tc>
          <w:tcPr>
            <w:tcW w:w="0" w:type="auto"/>
            <w:shd w:val="clear" w:color="auto" w:fill="FFFFFF"/>
            <w:tcMar>
              <w:top w:w="40" w:type="dxa"/>
              <w:bottom w:w="40" w:type="dxa"/>
              <w:right w:w="20" w:type="dxa"/>
            </w:tcMar>
            <w:vAlign w:val="bottom"/>
          </w:tcPr>
          <w:p w14:paraId="33DAB9A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9A7"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B9A8"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B9A9" w14:textId="77777777" w:rsidR="004D6A64" w:rsidRDefault="00506CD6">
            <w:pPr>
              <w:jc w:val="right"/>
              <w:textAlignment w:val="bottom"/>
            </w:pPr>
            <w:r>
              <w:rPr>
                <w:rFonts w:ascii="Times New Roman" w:eastAsia="宋体" w:hAnsi="Times New Roman"/>
                <w:color w:val="000000"/>
                <w:sz w:val="20"/>
                <w:szCs w:val="20"/>
              </w:rPr>
              <w:t>4,043 </w:t>
            </w:r>
          </w:p>
        </w:tc>
        <w:tc>
          <w:tcPr>
            <w:tcW w:w="0" w:type="auto"/>
            <w:shd w:val="clear" w:color="auto" w:fill="FFFFFF"/>
            <w:tcMar>
              <w:top w:w="40" w:type="dxa"/>
              <w:bottom w:w="40" w:type="dxa"/>
              <w:right w:w="20" w:type="dxa"/>
            </w:tcMar>
            <w:vAlign w:val="bottom"/>
          </w:tcPr>
          <w:p w14:paraId="33DAB9AA" w14:textId="77777777" w:rsidR="004D6A64" w:rsidRDefault="004D6A64">
            <w:pPr>
              <w:jc w:val="right"/>
              <w:rPr>
                <w:rFonts w:ascii="宋体"/>
              </w:rPr>
            </w:pPr>
          </w:p>
        </w:tc>
        <w:tc>
          <w:tcPr>
            <w:tcW w:w="0" w:type="auto"/>
            <w:shd w:val="clear" w:color="auto" w:fill="auto"/>
          </w:tcPr>
          <w:p w14:paraId="33DAB9AB" w14:textId="77777777" w:rsidR="004D6A64" w:rsidRDefault="004D6A64">
            <w:pPr>
              <w:rPr>
                <w:rFonts w:ascii="宋体"/>
              </w:rPr>
            </w:pPr>
          </w:p>
        </w:tc>
        <w:tc>
          <w:tcPr>
            <w:tcW w:w="0" w:type="auto"/>
            <w:shd w:val="clear" w:color="auto" w:fill="auto"/>
          </w:tcPr>
          <w:p w14:paraId="33DAB9AC" w14:textId="77777777" w:rsidR="004D6A64" w:rsidRDefault="004D6A64">
            <w:pPr>
              <w:rPr>
                <w:rFonts w:ascii="宋体"/>
              </w:rPr>
            </w:pPr>
          </w:p>
        </w:tc>
        <w:tc>
          <w:tcPr>
            <w:tcW w:w="0" w:type="auto"/>
            <w:shd w:val="clear" w:color="auto" w:fill="auto"/>
          </w:tcPr>
          <w:p w14:paraId="33DAB9AD" w14:textId="77777777" w:rsidR="004D6A64" w:rsidRDefault="004D6A64">
            <w:pPr>
              <w:rPr>
                <w:rFonts w:ascii="宋体"/>
              </w:rPr>
            </w:pPr>
          </w:p>
        </w:tc>
        <w:tc>
          <w:tcPr>
            <w:tcW w:w="0" w:type="auto"/>
            <w:shd w:val="clear" w:color="auto" w:fill="auto"/>
          </w:tcPr>
          <w:p w14:paraId="33DAB9AE" w14:textId="77777777" w:rsidR="004D6A64" w:rsidRDefault="004D6A64">
            <w:pPr>
              <w:rPr>
                <w:rFonts w:ascii="宋体"/>
              </w:rPr>
            </w:pPr>
          </w:p>
        </w:tc>
        <w:tc>
          <w:tcPr>
            <w:tcW w:w="0" w:type="auto"/>
            <w:shd w:val="clear" w:color="auto" w:fill="auto"/>
          </w:tcPr>
          <w:p w14:paraId="33DAB9AF" w14:textId="77777777" w:rsidR="004D6A64" w:rsidRDefault="004D6A64">
            <w:pPr>
              <w:rPr>
                <w:rFonts w:ascii="宋体"/>
              </w:rPr>
            </w:pPr>
          </w:p>
        </w:tc>
        <w:tc>
          <w:tcPr>
            <w:tcW w:w="0" w:type="auto"/>
            <w:shd w:val="clear" w:color="auto" w:fill="auto"/>
          </w:tcPr>
          <w:p w14:paraId="33DAB9B0" w14:textId="77777777" w:rsidR="004D6A64" w:rsidRDefault="004D6A64">
            <w:pPr>
              <w:rPr>
                <w:rFonts w:ascii="宋体"/>
              </w:rPr>
            </w:pPr>
          </w:p>
        </w:tc>
      </w:tr>
    </w:tbl>
    <w:p w14:paraId="33DAB9B2" w14:textId="77777777" w:rsidR="004D6A64" w:rsidRDefault="004D6A64"/>
    <w:p w14:paraId="33DAB9B3" w14:textId="77777777" w:rsidR="004D6A64" w:rsidRDefault="00506CD6">
      <w:r>
        <w:rPr>
          <w:rFonts w:ascii="Times New Roman" w:eastAsia="宋体" w:hAnsi="Times New Roman"/>
          <w:i/>
          <w:iCs/>
          <w:color w:val="000000"/>
          <w:sz w:val="20"/>
          <w:szCs w:val="20"/>
          <w:u w:val="single"/>
        </w:rPr>
        <w:t xml:space="preserve">Effect of Derivative Instruments Designated as </w:t>
      </w:r>
      <w:r>
        <w:rPr>
          <w:rFonts w:ascii="Times New Roman" w:eastAsia="宋体" w:hAnsi="Times New Roman"/>
          <w:i/>
          <w:iCs/>
          <w:color w:val="000000"/>
          <w:sz w:val="20"/>
          <w:szCs w:val="20"/>
          <w:u w:val="single"/>
        </w:rPr>
        <w:t>Hedging Instruments on the Condensed Consolidated Statements of Financial Position and the Condensed Consolidated Statements of Income (Loss)</w:t>
      </w:r>
    </w:p>
    <w:tbl>
      <w:tblPr>
        <w:tblW w:w="5000" w:type="pct"/>
        <w:tblCellMar>
          <w:top w:w="15" w:type="dxa"/>
          <w:left w:w="15" w:type="dxa"/>
          <w:bottom w:w="15" w:type="dxa"/>
          <w:right w:w="15" w:type="dxa"/>
        </w:tblCellMar>
        <w:tblLook w:val="04A0" w:firstRow="1" w:lastRow="0" w:firstColumn="1" w:lastColumn="0" w:noHBand="0" w:noVBand="1"/>
      </w:tblPr>
      <w:tblGrid>
        <w:gridCol w:w="43"/>
        <w:gridCol w:w="1710"/>
        <w:gridCol w:w="36"/>
        <w:gridCol w:w="36"/>
        <w:gridCol w:w="36"/>
        <w:gridCol w:w="36"/>
        <w:gridCol w:w="136"/>
        <w:gridCol w:w="1533"/>
        <w:gridCol w:w="41"/>
        <w:gridCol w:w="36"/>
        <w:gridCol w:w="36"/>
        <w:gridCol w:w="36"/>
        <w:gridCol w:w="38"/>
        <w:gridCol w:w="1937"/>
        <w:gridCol w:w="36"/>
        <w:gridCol w:w="36"/>
        <w:gridCol w:w="36"/>
        <w:gridCol w:w="36"/>
        <w:gridCol w:w="136"/>
        <w:gridCol w:w="1533"/>
        <w:gridCol w:w="4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4D6A64" w14:paraId="33DAB9CD" w14:textId="77777777">
        <w:trPr>
          <w:gridAfter w:val="18"/>
        </w:trPr>
        <w:tc>
          <w:tcPr>
            <w:tcW w:w="50" w:type="pct"/>
            <w:shd w:val="clear" w:color="auto" w:fill="auto"/>
          </w:tcPr>
          <w:p w14:paraId="33DAB9B4" w14:textId="77777777" w:rsidR="004D6A64" w:rsidRDefault="004D6A64">
            <w:pPr>
              <w:rPr>
                <w:rFonts w:ascii="宋体"/>
              </w:rPr>
            </w:pPr>
          </w:p>
        </w:tc>
        <w:tc>
          <w:tcPr>
            <w:tcW w:w="1209" w:type="pct"/>
            <w:shd w:val="clear" w:color="auto" w:fill="auto"/>
          </w:tcPr>
          <w:p w14:paraId="33DAB9B5" w14:textId="77777777" w:rsidR="004D6A64" w:rsidRDefault="004D6A64">
            <w:pPr>
              <w:rPr>
                <w:rFonts w:ascii="宋体"/>
              </w:rPr>
            </w:pPr>
          </w:p>
        </w:tc>
        <w:tc>
          <w:tcPr>
            <w:tcW w:w="5" w:type="pct"/>
            <w:shd w:val="clear" w:color="auto" w:fill="auto"/>
          </w:tcPr>
          <w:p w14:paraId="33DAB9B6" w14:textId="77777777" w:rsidR="004D6A64" w:rsidRDefault="004D6A64">
            <w:pPr>
              <w:rPr>
                <w:rFonts w:ascii="宋体"/>
              </w:rPr>
            </w:pPr>
          </w:p>
        </w:tc>
        <w:tc>
          <w:tcPr>
            <w:tcW w:w="5" w:type="pct"/>
            <w:shd w:val="clear" w:color="auto" w:fill="auto"/>
          </w:tcPr>
          <w:p w14:paraId="33DAB9B7" w14:textId="77777777" w:rsidR="004D6A64" w:rsidRDefault="004D6A64">
            <w:pPr>
              <w:rPr>
                <w:rFonts w:ascii="宋体"/>
              </w:rPr>
            </w:pPr>
          </w:p>
        </w:tc>
        <w:tc>
          <w:tcPr>
            <w:tcW w:w="19" w:type="pct"/>
            <w:shd w:val="clear" w:color="auto" w:fill="auto"/>
          </w:tcPr>
          <w:p w14:paraId="33DAB9B8" w14:textId="77777777" w:rsidR="004D6A64" w:rsidRDefault="004D6A64">
            <w:pPr>
              <w:rPr>
                <w:rFonts w:ascii="宋体"/>
              </w:rPr>
            </w:pPr>
          </w:p>
        </w:tc>
        <w:tc>
          <w:tcPr>
            <w:tcW w:w="5" w:type="pct"/>
            <w:shd w:val="clear" w:color="auto" w:fill="auto"/>
          </w:tcPr>
          <w:p w14:paraId="33DAB9B9" w14:textId="77777777" w:rsidR="004D6A64" w:rsidRDefault="004D6A64">
            <w:pPr>
              <w:rPr>
                <w:rFonts w:ascii="宋体"/>
              </w:rPr>
            </w:pPr>
          </w:p>
        </w:tc>
        <w:tc>
          <w:tcPr>
            <w:tcW w:w="50" w:type="pct"/>
            <w:shd w:val="clear" w:color="auto" w:fill="auto"/>
          </w:tcPr>
          <w:p w14:paraId="33DAB9BA" w14:textId="77777777" w:rsidR="004D6A64" w:rsidRDefault="004D6A64">
            <w:pPr>
              <w:rPr>
                <w:rFonts w:ascii="宋体"/>
              </w:rPr>
            </w:pPr>
          </w:p>
        </w:tc>
        <w:tc>
          <w:tcPr>
            <w:tcW w:w="1063" w:type="pct"/>
            <w:shd w:val="clear" w:color="auto" w:fill="auto"/>
          </w:tcPr>
          <w:p w14:paraId="33DAB9BB" w14:textId="77777777" w:rsidR="004D6A64" w:rsidRDefault="004D6A64">
            <w:pPr>
              <w:rPr>
                <w:rFonts w:ascii="宋体"/>
              </w:rPr>
            </w:pPr>
          </w:p>
        </w:tc>
        <w:tc>
          <w:tcPr>
            <w:tcW w:w="5" w:type="pct"/>
            <w:shd w:val="clear" w:color="auto" w:fill="auto"/>
          </w:tcPr>
          <w:p w14:paraId="33DAB9BC" w14:textId="77777777" w:rsidR="004D6A64" w:rsidRDefault="004D6A64">
            <w:pPr>
              <w:rPr>
                <w:rFonts w:ascii="宋体"/>
              </w:rPr>
            </w:pPr>
          </w:p>
        </w:tc>
        <w:tc>
          <w:tcPr>
            <w:tcW w:w="5" w:type="pct"/>
            <w:shd w:val="clear" w:color="auto" w:fill="auto"/>
          </w:tcPr>
          <w:p w14:paraId="33DAB9BD" w14:textId="77777777" w:rsidR="004D6A64" w:rsidRDefault="004D6A64">
            <w:pPr>
              <w:rPr>
                <w:rFonts w:ascii="宋体"/>
              </w:rPr>
            </w:pPr>
          </w:p>
        </w:tc>
        <w:tc>
          <w:tcPr>
            <w:tcW w:w="19" w:type="pct"/>
            <w:shd w:val="clear" w:color="auto" w:fill="auto"/>
          </w:tcPr>
          <w:p w14:paraId="33DAB9BE" w14:textId="77777777" w:rsidR="004D6A64" w:rsidRDefault="004D6A64">
            <w:pPr>
              <w:rPr>
                <w:rFonts w:ascii="宋体"/>
              </w:rPr>
            </w:pPr>
          </w:p>
        </w:tc>
        <w:tc>
          <w:tcPr>
            <w:tcW w:w="5" w:type="pct"/>
            <w:shd w:val="clear" w:color="auto" w:fill="auto"/>
          </w:tcPr>
          <w:p w14:paraId="33DAB9BF" w14:textId="77777777" w:rsidR="004D6A64" w:rsidRDefault="004D6A64">
            <w:pPr>
              <w:rPr>
                <w:rFonts w:ascii="宋体"/>
              </w:rPr>
            </w:pPr>
          </w:p>
        </w:tc>
        <w:tc>
          <w:tcPr>
            <w:tcW w:w="50" w:type="pct"/>
            <w:shd w:val="clear" w:color="auto" w:fill="auto"/>
          </w:tcPr>
          <w:p w14:paraId="33DAB9C0" w14:textId="77777777" w:rsidR="004D6A64" w:rsidRDefault="004D6A64">
            <w:pPr>
              <w:rPr>
                <w:rFonts w:ascii="宋体"/>
              </w:rPr>
            </w:pPr>
          </w:p>
        </w:tc>
        <w:tc>
          <w:tcPr>
            <w:tcW w:w="1355" w:type="pct"/>
            <w:shd w:val="clear" w:color="auto" w:fill="auto"/>
          </w:tcPr>
          <w:p w14:paraId="33DAB9C1" w14:textId="77777777" w:rsidR="004D6A64" w:rsidRDefault="004D6A64">
            <w:pPr>
              <w:rPr>
                <w:rFonts w:ascii="宋体"/>
              </w:rPr>
            </w:pPr>
          </w:p>
        </w:tc>
        <w:tc>
          <w:tcPr>
            <w:tcW w:w="5" w:type="pct"/>
            <w:shd w:val="clear" w:color="auto" w:fill="auto"/>
          </w:tcPr>
          <w:p w14:paraId="33DAB9C2" w14:textId="77777777" w:rsidR="004D6A64" w:rsidRDefault="004D6A64">
            <w:pPr>
              <w:rPr>
                <w:rFonts w:ascii="宋体"/>
              </w:rPr>
            </w:pPr>
          </w:p>
        </w:tc>
        <w:tc>
          <w:tcPr>
            <w:tcW w:w="5" w:type="pct"/>
            <w:shd w:val="clear" w:color="auto" w:fill="auto"/>
          </w:tcPr>
          <w:p w14:paraId="33DAB9C3" w14:textId="77777777" w:rsidR="004D6A64" w:rsidRDefault="004D6A64">
            <w:pPr>
              <w:rPr>
                <w:rFonts w:ascii="宋体"/>
              </w:rPr>
            </w:pPr>
          </w:p>
        </w:tc>
        <w:tc>
          <w:tcPr>
            <w:tcW w:w="19" w:type="pct"/>
            <w:shd w:val="clear" w:color="auto" w:fill="auto"/>
          </w:tcPr>
          <w:p w14:paraId="33DAB9C4" w14:textId="77777777" w:rsidR="004D6A64" w:rsidRDefault="004D6A64">
            <w:pPr>
              <w:rPr>
                <w:rFonts w:ascii="宋体"/>
              </w:rPr>
            </w:pPr>
          </w:p>
        </w:tc>
        <w:tc>
          <w:tcPr>
            <w:tcW w:w="5" w:type="pct"/>
            <w:shd w:val="clear" w:color="auto" w:fill="auto"/>
          </w:tcPr>
          <w:p w14:paraId="33DAB9C5" w14:textId="77777777" w:rsidR="004D6A64" w:rsidRDefault="004D6A64">
            <w:pPr>
              <w:rPr>
                <w:rFonts w:ascii="宋体"/>
              </w:rPr>
            </w:pPr>
          </w:p>
        </w:tc>
        <w:tc>
          <w:tcPr>
            <w:tcW w:w="50" w:type="pct"/>
            <w:shd w:val="clear" w:color="auto" w:fill="auto"/>
          </w:tcPr>
          <w:p w14:paraId="33DAB9C6" w14:textId="77777777" w:rsidR="004D6A64" w:rsidRDefault="004D6A64">
            <w:pPr>
              <w:rPr>
                <w:rFonts w:ascii="宋体"/>
              </w:rPr>
            </w:pPr>
          </w:p>
        </w:tc>
        <w:tc>
          <w:tcPr>
            <w:tcW w:w="1063" w:type="pct"/>
            <w:shd w:val="clear" w:color="auto" w:fill="auto"/>
          </w:tcPr>
          <w:p w14:paraId="33DAB9C7" w14:textId="77777777" w:rsidR="004D6A64" w:rsidRDefault="004D6A64">
            <w:pPr>
              <w:rPr>
                <w:rFonts w:ascii="宋体"/>
              </w:rPr>
            </w:pPr>
          </w:p>
        </w:tc>
        <w:tc>
          <w:tcPr>
            <w:tcW w:w="5" w:type="pct"/>
            <w:shd w:val="clear" w:color="auto" w:fill="auto"/>
          </w:tcPr>
          <w:p w14:paraId="33DAB9C8" w14:textId="77777777" w:rsidR="004D6A64" w:rsidRDefault="004D6A64">
            <w:pPr>
              <w:rPr>
                <w:rFonts w:ascii="宋体"/>
              </w:rPr>
            </w:pPr>
          </w:p>
        </w:tc>
        <w:tc>
          <w:tcPr>
            <w:tcW w:w="0" w:type="auto"/>
            <w:shd w:val="clear" w:color="auto" w:fill="auto"/>
          </w:tcPr>
          <w:p w14:paraId="33DAB9C9" w14:textId="77777777" w:rsidR="004D6A64" w:rsidRDefault="004D6A64">
            <w:pPr>
              <w:rPr>
                <w:rFonts w:ascii="宋体"/>
                <w:vanish/>
              </w:rPr>
            </w:pPr>
          </w:p>
        </w:tc>
        <w:tc>
          <w:tcPr>
            <w:tcW w:w="0" w:type="auto"/>
            <w:shd w:val="clear" w:color="auto" w:fill="auto"/>
          </w:tcPr>
          <w:p w14:paraId="33DAB9CA" w14:textId="77777777" w:rsidR="004D6A64" w:rsidRDefault="004D6A64">
            <w:pPr>
              <w:rPr>
                <w:rFonts w:ascii="宋体"/>
                <w:vanish/>
              </w:rPr>
            </w:pPr>
          </w:p>
        </w:tc>
        <w:tc>
          <w:tcPr>
            <w:tcW w:w="0" w:type="auto"/>
            <w:shd w:val="clear" w:color="auto" w:fill="auto"/>
          </w:tcPr>
          <w:p w14:paraId="33DAB9CB" w14:textId="77777777" w:rsidR="004D6A64" w:rsidRDefault="004D6A64">
            <w:pPr>
              <w:rPr>
                <w:rFonts w:ascii="宋体"/>
                <w:vanish/>
              </w:rPr>
            </w:pPr>
          </w:p>
        </w:tc>
        <w:tc>
          <w:tcPr>
            <w:tcW w:w="0" w:type="auto"/>
            <w:shd w:val="clear" w:color="auto" w:fill="auto"/>
          </w:tcPr>
          <w:p w14:paraId="33DAB9CC" w14:textId="77777777" w:rsidR="004D6A64" w:rsidRDefault="004D6A64">
            <w:pPr>
              <w:rPr>
                <w:rFonts w:ascii="宋体"/>
                <w:vanish/>
              </w:rPr>
            </w:pPr>
          </w:p>
        </w:tc>
      </w:tr>
      <w:tr w:rsidR="004D6A64" w14:paraId="33DAB9D9" w14:textId="77777777">
        <w:trPr>
          <w:gridAfter w:val="18"/>
        </w:trPr>
        <w:tc>
          <w:tcPr>
            <w:tcW w:w="0" w:type="auto"/>
            <w:gridSpan w:val="3"/>
            <w:shd w:val="clear" w:color="auto" w:fill="auto"/>
            <w:tcMar>
              <w:top w:w="40" w:type="dxa"/>
              <w:left w:w="20" w:type="dxa"/>
              <w:bottom w:w="40" w:type="dxa"/>
              <w:right w:w="20" w:type="dxa"/>
            </w:tcMar>
            <w:vAlign w:val="bottom"/>
          </w:tcPr>
          <w:p w14:paraId="33DAB9CE" w14:textId="77777777" w:rsidR="004D6A64" w:rsidRDefault="00506CD6">
            <w:pPr>
              <w:jc w:val="center"/>
              <w:textAlignment w:val="bottom"/>
            </w:pPr>
            <w:r>
              <w:rPr>
                <w:rFonts w:ascii="Times New Roman" w:eastAsia="宋体" w:hAnsi="Times New Roman"/>
                <w:b/>
                <w:bCs/>
                <w:color w:val="000000"/>
                <w:sz w:val="18"/>
                <w:szCs w:val="18"/>
              </w:rPr>
              <w:t>Derivatives in Cash Flow Hedging Relationships</w:t>
            </w:r>
          </w:p>
        </w:tc>
        <w:tc>
          <w:tcPr>
            <w:tcW w:w="0" w:type="auto"/>
            <w:gridSpan w:val="3"/>
            <w:shd w:val="clear" w:color="auto" w:fill="auto"/>
            <w:tcMar>
              <w:left w:w="20" w:type="dxa"/>
              <w:right w:w="20" w:type="dxa"/>
            </w:tcMar>
            <w:vAlign w:val="bottom"/>
          </w:tcPr>
          <w:p w14:paraId="33DAB9CF"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B9D0" w14:textId="77777777" w:rsidR="004D6A64" w:rsidRDefault="00506CD6">
            <w:pPr>
              <w:jc w:val="center"/>
              <w:textAlignment w:val="bottom"/>
            </w:pPr>
            <w:r>
              <w:rPr>
                <w:rFonts w:ascii="Times New Roman" w:eastAsia="宋体" w:hAnsi="Times New Roman"/>
                <w:b/>
                <w:bCs/>
                <w:color w:val="000000"/>
                <w:sz w:val="18"/>
                <w:szCs w:val="18"/>
              </w:rPr>
              <w:t>Gain (Loss) Recognized in Accumulated OCI, Net of Tax, on Derivatives</w:t>
            </w:r>
          </w:p>
        </w:tc>
        <w:tc>
          <w:tcPr>
            <w:tcW w:w="0" w:type="auto"/>
            <w:gridSpan w:val="3"/>
            <w:shd w:val="clear" w:color="auto" w:fill="auto"/>
            <w:tcMar>
              <w:left w:w="20" w:type="dxa"/>
              <w:right w:w="20" w:type="dxa"/>
            </w:tcMar>
            <w:vAlign w:val="bottom"/>
          </w:tcPr>
          <w:p w14:paraId="33DAB9D1"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B9D2" w14:textId="77777777" w:rsidR="004D6A64" w:rsidRDefault="00506CD6">
            <w:pPr>
              <w:jc w:val="center"/>
              <w:textAlignment w:val="bottom"/>
            </w:pPr>
            <w:r>
              <w:rPr>
                <w:rFonts w:ascii="Times New Roman" w:eastAsia="宋体" w:hAnsi="Times New Roman"/>
                <w:b/>
                <w:bCs/>
                <w:color w:val="000000"/>
                <w:sz w:val="18"/>
                <w:szCs w:val="18"/>
              </w:rPr>
              <w:t>Location of Gain (Loss) Reclassified from Accumulated OCI into Income</w:t>
            </w:r>
          </w:p>
        </w:tc>
        <w:tc>
          <w:tcPr>
            <w:tcW w:w="0" w:type="auto"/>
            <w:gridSpan w:val="3"/>
            <w:shd w:val="clear" w:color="auto" w:fill="auto"/>
            <w:tcMar>
              <w:left w:w="20" w:type="dxa"/>
              <w:right w:w="20" w:type="dxa"/>
            </w:tcMar>
            <w:vAlign w:val="bottom"/>
          </w:tcPr>
          <w:p w14:paraId="33DAB9D3"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B9D4" w14:textId="77777777" w:rsidR="004D6A64" w:rsidRDefault="00506CD6">
            <w:pPr>
              <w:jc w:val="center"/>
              <w:textAlignment w:val="bottom"/>
            </w:pPr>
            <w:r>
              <w:rPr>
                <w:rFonts w:ascii="Times New Roman" w:eastAsia="宋体" w:hAnsi="Times New Roman"/>
                <w:b/>
                <w:bCs/>
                <w:color w:val="000000"/>
                <w:sz w:val="18"/>
                <w:szCs w:val="18"/>
              </w:rPr>
              <w:t xml:space="preserve">Gain (Loss) Reclassified from </w:t>
            </w:r>
            <w:r>
              <w:rPr>
                <w:rFonts w:ascii="Times New Roman" w:eastAsia="宋体" w:hAnsi="Times New Roman"/>
                <w:b/>
                <w:bCs/>
                <w:color w:val="000000"/>
                <w:sz w:val="18"/>
                <w:szCs w:val="18"/>
              </w:rPr>
              <w:t>Accumulated OCI into Income</w:t>
            </w:r>
          </w:p>
        </w:tc>
        <w:tc>
          <w:tcPr>
            <w:tcW w:w="0" w:type="auto"/>
            <w:shd w:val="clear" w:color="auto" w:fill="auto"/>
          </w:tcPr>
          <w:p w14:paraId="33DAB9D5" w14:textId="77777777" w:rsidR="004D6A64" w:rsidRDefault="004D6A64">
            <w:pPr>
              <w:rPr>
                <w:rFonts w:ascii="宋体"/>
                <w:vanish/>
              </w:rPr>
            </w:pPr>
          </w:p>
        </w:tc>
        <w:tc>
          <w:tcPr>
            <w:tcW w:w="0" w:type="auto"/>
            <w:shd w:val="clear" w:color="auto" w:fill="auto"/>
          </w:tcPr>
          <w:p w14:paraId="33DAB9D6" w14:textId="77777777" w:rsidR="004D6A64" w:rsidRDefault="004D6A64">
            <w:pPr>
              <w:rPr>
                <w:rFonts w:ascii="宋体"/>
                <w:vanish/>
              </w:rPr>
            </w:pPr>
          </w:p>
        </w:tc>
        <w:tc>
          <w:tcPr>
            <w:tcW w:w="0" w:type="auto"/>
            <w:shd w:val="clear" w:color="auto" w:fill="auto"/>
          </w:tcPr>
          <w:p w14:paraId="33DAB9D7" w14:textId="77777777" w:rsidR="004D6A64" w:rsidRDefault="004D6A64">
            <w:pPr>
              <w:rPr>
                <w:rFonts w:ascii="宋体"/>
                <w:vanish/>
              </w:rPr>
            </w:pPr>
          </w:p>
        </w:tc>
        <w:tc>
          <w:tcPr>
            <w:tcW w:w="0" w:type="auto"/>
            <w:shd w:val="clear" w:color="auto" w:fill="auto"/>
          </w:tcPr>
          <w:p w14:paraId="33DAB9D8" w14:textId="77777777" w:rsidR="004D6A64" w:rsidRDefault="004D6A64">
            <w:pPr>
              <w:rPr>
                <w:rFonts w:ascii="宋体"/>
                <w:vanish/>
              </w:rPr>
            </w:pPr>
          </w:p>
        </w:tc>
      </w:tr>
      <w:tr w:rsidR="004D6A64" w14:paraId="33DAB9E5" w14:textId="77777777">
        <w:trPr>
          <w:gridAfter w:val="18"/>
        </w:trPr>
        <w:tc>
          <w:tcPr>
            <w:tcW w:w="0" w:type="auto"/>
            <w:gridSpan w:val="3"/>
            <w:tcBorders>
              <w:top w:val="single" w:sz="8" w:space="0" w:color="000000"/>
            </w:tcBorders>
            <w:shd w:val="clear" w:color="auto" w:fill="auto"/>
            <w:tcMar>
              <w:left w:w="20" w:type="dxa"/>
              <w:right w:w="20" w:type="dxa"/>
            </w:tcMar>
            <w:vAlign w:val="bottom"/>
          </w:tcPr>
          <w:p w14:paraId="33DAB9DA"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B9DB"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B9DC" w14:textId="77777777" w:rsidR="004D6A64" w:rsidRDefault="00506CD6">
            <w:pPr>
              <w:jc w:val="center"/>
              <w:textAlignment w:val="bottom"/>
            </w:pPr>
            <w:r>
              <w:rPr>
                <w:rFonts w:ascii="Times New Roman" w:eastAsia="宋体" w:hAnsi="Times New Roman"/>
                <w:color w:val="000000"/>
                <w:sz w:val="18"/>
                <w:szCs w:val="18"/>
              </w:rPr>
              <w:t>(in millions)</w:t>
            </w:r>
          </w:p>
        </w:tc>
        <w:tc>
          <w:tcPr>
            <w:tcW w:w="0" w:type="auto"/>
            <w:gridSpan w:val="3"/>
            <w:shd w:val="clear" w:color="auto" w:fill="auto"/>
            <w:tcMar>
              <w:left w:w="20" w:type="dxa"/>
              <w:right w:w="20" w:type="dxa"/>
            </w:tcMar>
            <w:vAlign w:val="bottom"/>
          </w:tcPr>
          <w:p w14:paraId="33DAB9DD" w14:textId="77777777" w:rsidR="004D6A64" w:rsidRDefault="004D6A64">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3DAB9DE"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B9DF"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B9E0" w14:textId="77777777" w:rsidR="004D6A64" w:rsidRDefault="00506CD6">
            <w:pPr>
              <w:jc w:val="center"/>
              <w:textAlignment w:val="bottom"/>
            </w:pPr>
            <w:r>
              <w:rPr>
                <w:rFonts w:ascii="Times New Roman" w:eastAsia="宋体" w:hAnsi="Times New Roman"/>
                <w:color w:val="000000"/>
                <w:sz w:val="18"/>
                <w:szCs w:val="18"/>
              </w:rPr>
              <w:t>(in millions)</w:t>
            </w:r>
          </w:p>
        </w:tc>
        <w:tc>
          <w:tcPr>
            <w:tcW w:w="0" w:type="auto"/>
            <w:shd w:val="clear" w:color="auto" w:fill="auto"/>
          </w:tcPr>
          <w:p w14:paraId="33DAB9E1" w14:textId="77777777" w:rsidR="004D6A64" w:rsidRDefault="004D6A64">
            <w:pPr>
              <w:rPr>
                <w:rFonts w:ascii="宋体"/>
                <w:vanish/>
              </w:rPr>
            </w:pPr>
          </w:p>
        </w:tc>
        <w:tc>
          <w:tcPr>
            <w:tcW w:w="0" w:type="auto"/>
            <w:shd w:val="clear" w:color="auto" w:fill="auto"/>
          </w:tcPr>
          <w:p w14:paraId="33DAB9E2" w14:textId="77777777" w:rsidR="004D6A64" w:rsidRDefault="004D6A64">
            <w:pPr>
              <w:rPr>
                <w:rFonts w:ascii="宋体"/>
                <w:vanish/>
              </w:rPr>
            </w:pPr>
          </w:p>
        </w:tc>
        <w:tc>
          <w:tcPr>
            <w:tcW w:w="0" w:type="auto"/>
            <w:shd w:val="clear" w:color="auto" w:fill="auto"/>
          </w:tcPr>
          <w:p w14:paraId="33DAB9E3" w14:textId="77777777" w:rsidR="004D6A64" w:rsidRDefault="004D6A64">
            <w:pPr>
              <w:rPr>
                <w:rFonts w:ascii="宋体"/>
                <w:vanish/>
              </w:rPr>
            </w:pPr>
          </w:p>
        </w:tc>
        <w:tc>
          <w:tcPr>
            <w:tcW w:w="0" w:type="auto"/>
            <w:shd w:val="clear" w:color="auto" w:fill="auto"/>
          </w:tcPr>
          <w:p w14:paraId="33DAB9E4" w14:textId="77777777" w:rsidR="004D6A64" w:rsidRDefault="004D6A64">
            <w:pPr>
              <w:rPr>
                <w:rFonts w:ascii="宋体"/>
                <w:vanish/>
              </w:rPr>
            </w:pPr>
          </w:p>
        </w:tc>
      </w:tr>
      <w:tr w:rsidR="004D6A64" w14:paraId="33DAB9F1" w14:textId="77777777">
        <w:tc>
          <w:tcPr>
            <w:tcW w:w="0" w:type="auto"/>
            <w:gridSpan w:val="21"/>
            <w:shd w:val="clear" w:color="auto" w:fill="CCEEFF"/>
            <w:tcMar>
              <w:top w:w="40" w:type="dxa"/>
              <w:left w:w="20" w:type="dxa"/>
              <w:bottom w:w="40" w:type="dxa"/>
              <w:right w:w="20" w:type="dxa"/>
            </w:tcMar>
            <w:vAlign w:val="bottom"/>
          </w:tcPr>
          <w:p w14:paraId="33DAB9E6" w14:textId="77777777" w:rsidR="004D6A64" w:rsidRDefault="00506CD6">
            <w:pPr>
              <w:textAlignment w:val="bottom"/>
            </w:pPr>
            <w:r>
              <w:rPr>
                <w:rFonts w:ascii="Times New Roman" w:eastAsia="宋体" w:hAnsi="Times New Roman"/>
                <w:i/>
                <w:iCs/>
                <w:color w:val="000000"/>
                <w:sz w:val="20"/>
                <w:szCs w:val="20"/>
              </w:rPr>
              <w:t>For the three months ended July 31, 2020</w:t>
            </w:r>
          </w:p>
        </w:tc>
        <w:tc>
          <w:tcPr>
            <w:tcW w:w="0" w:type="auto"/>
            <w:shd w:val="clear" w:color="auto" w:fill="auto"/>
          </w:tcPr>
          <w:p w14:paraId="33DAB9E7" w14:textId="77777777" w:rsidR="004D6A64" w:rsidRDefault="004D6A64">
            <w:pPr>
              <w:rPr>
                <w:rFonts w:ascii="宋体"/>
                <w:vanish/>
              </w:rPr>
            </w:pPr>
          </w:p>
        </w:tc>
        <w:tc>
          <w:tcPr>
            <w:tcW w:w="0" w:type="auto"/>
            <w:shd w:val="clear" w:color="auto" w:fill="auto"/>
          </w:tcPr>
          <w:p w14:paraId="33DAB9E8" w14:textId="77777777" w:rsidR="004D6A64" w:rsidRDefault="004D6A64">
            <w:pPr>
              <w:rPr>
                <w:rFonts w:ascii="宋体"/>
                <w:vanish/>
              </w:rPr>
            </w:pPr>
          </w:p>
        </w:tc>
        <w:tc>
          <w:tcPr>
            <w:tcW w:w="0" w:type="auto"/>
            <w:shd w:val="clear" w:color="auto" w:fill="auto"/>
          </w:tcPr>
          <w:p w14:paraId="33DAB9E9" w14:textId="77777777" w:rsidR="004D6A64" w:rsidRDefault="004D6A64">
            <w:pPr>
              <w:rPr>
                <w:rFonts w:ascii="宋体"/>
                <w:vanish/>
              </w:rPr>
            </w:pPr>
          </w:p>
        </w:tc>
        <w:tc>
          <w:tcPr>
            <w:tcW w:w="0" w:type="auto"/>
            <w:shd w:val="clear" w:color="auto" w:fill="auto"/>
          </w:tcPr>
          <w:p w14:paraId="33DAB9EA" w14:textId="77777777" w:rsidR="004D6A64" w:rsidRDefault="004D6A64">
            <w:pPr>
              <w:rPr>
                <w:rFonts w:ascii="宋体"/>
                <w:vanish/>
              </w:rPr>
            </w:pPr>
          </w:p>
        </w:tc>
        <w:tc>
          <w:tcPr>
            <w:tcW w:w="0" w:type="auto"/>
            <w:gridSpan w:val="3"/>
            <w:shd w:val="clear" w:color="auto" w:fill="auto"/>
          </w:tcPr>
          <w:p w14:paraId="33DAB9EB" w14:textId="77777777" w:rsidR="004D6A64" w:rsidRDefault="004D6A64">
            <w:pPr>
              <w:rPr>
                <w:rFonts w:ascii="宋体"/>
                <w:vanish/>
              </w:rPr>
            </w:pPr>
          </w:p>
        </w:tc>
        <w:tc>
          <w:tcPr>
            <w:tcW w:w="0" w:type="auto"/>
            <w:gridSpan w:val="3"/>
            <w:shd w:val="clear" w:color="auto" w:fill="auto"/>
          </w:tcPr>
          <w:p w14:paraId="33DAB9EC" w14:textId="77777777" w:rsidR="004D6A64" w:rsidRDefault="004D6A64">
            <w:pPr>
              <w:rPr>
                <w:rFonts w:ascii="宋体"/>
                <w:vanish/>
              </w:rPr>
            </w:pPr>
          </w:p>
        </w:tc>
        <w:tc>
          <w:tcPr>
            <w:tcW w:w="0" w:type="auto"/>
            <w:gridSpan w:val="3"/>
            <w:shd w:val="clear" w:color="auto" w:fill="auto"/>
          </w:tcPr>
          <w:p w14:paraId="33DAB9ED" w14:textId="77777777" w:rsidR="004D6A64" w:rsidRDefault="004D6A64">
            <w:pPr>
              <w:rPr>
                <w:rFonts w:ascii="宋体"/>
                <w:vanish/>
              </w:rPr>
            </w:pPr>
          </w:p>
        </w:tc>
        <w:tc>
          <w:tcPr>
            <w:tcW w:w="0" w:type="auto"/>
            <w:gridSpan w:val="3"/>
            <w:shd w:val="clear" w:color="auto" w:fill="auto"/>
          </w:tcPr>
          <w:p w14:paraId="33DAB9EE" w14:textId="77777777" w:rsidR="004D6A64" w:rsidRDefault="004D6A64">
            <w:pPr>
              <w:rPr>
                <w:rFonts w:ascii="宋体"/>
                <w:vanish/>
              </w:rPr>
            </w:pPr>
          </w:p>
        </w:tc>
        <w:tc>
          <w:tcPr>
            <w:tcW w:w="0" w:type="auto"/>
            <w:gridSpan w:val="3"/>
            <w:shd w:val="clear" w:color="auto" w:fill="auto"/>
          </w:tcPr>
          <w:p w14:paraId="33DAB9EF" w14:textId="77777777" w:rsidR="004D6A64" w:rsidRDefault="004D6A64">
            <w:pPr>
              <w:rPr>
                <w:rFonts w:ascii="宋体"/>
                <w:vanish/>
              </w:rPr>
            </w:pPr>
          </w:p>
        </w:tc>
        <w:tc>
          <w:tcPr>
            <w:tcW w:w="0" w:type="auto"/>
            <w:gridSpan w:val="3"/>
            <w:shd w:val="clear" w:color="auto" w:fill="auto"/>
          </w:tcPr>
          <w:p w14:paraId="33DAB9F0" w14:textId="77777777" w:rsidR="004D6A64" w:rsidRDefault="004D6A64">
            <w:pPr>
              <w:rPr>
                <w:rFonts w:ascii="宋体"/>
                <w:vanish/>
              </w:rPr>
            </w:pPr>
          </w:p>
        </w:tc>
      </w:tr>
      <w:tr w:rsidR="004D6A64" w14:paraId="33DABA11" w14:textId="77777777">
        <w:tc>
          <w:tcPr>
            <w:tcW w:w="0" w:type="auto"/>
            <w:gridSpan w:val="3"/>
            <w:shd w:val="clear" w:color="auto" w:fill="FFFFFF"/>
            <w:tcMar>
              <w:left w:w="20" w:type="dxa"/>
              <w:right w:w="20" w:type="dxa"/>
            </w:tcMar>
            <w:vAlign w:val="bottom"/>
          </w:tcPr>
          <w:p w14:paraId="33DAB9F2"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9F3" w14:textId="77777777" w:rsidR="004D6A64" w:rsidRDefault="004D6A64">
            <w:pPr>
              <w:rPr>
                <w:rFonts w:ascii="宋体"/>
              </w:rPr>
            </w:pPr>
          </w:p>
        </w:tc>
        <w:tc>
          <w:tcPr>
            <w:tcW w:w="0" w:type="auto"/>
            <w:gridSpan w:val="3"/>
            <w:shd w:val="clear" w:color="auto" w:fill="FFFFFF"/>
            <w:tcMar>
              <w:top w:w="40" w:type="dxa"/>
              <w:left w:w="20" w:type="dxa"/>
              <w:bottom w:w="40" w:type="dxa"/>
              <w:right w:w="20" w:type="dxa"/>
            </w:tcMar>
            <w:vAlign w:val="bottom"/>
          </w:tcPr>
          <w:p w14:paraId="33DAB9F4" w14:textId="77777777" w:rsidR="004D6A64" w:rsidRDefault="00506CD6">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3DAB9F5" w14:textId="77777777" w:rsidR="004D6A64" w:rsidRDefault="004D6A64">
            <w:pPr>
              <w:rPr>
                <w:rFonts w:ascii="宋体"/>
              </w:rPr>
            </w:pPr>
          </w:p>
        </w:tc>
        <w:tc>
          <w:tcPr>
            <w:tcW w:w="0" w:type="auto"/>
            <w:gridSpan w:val="3"/>
            <w:shd w:val="clear" w:color="auto" w:fill="FFFFFF"/>
            <w:tcMar>
              <w:top w:w="40" w:type="dxa"/>
              <w:left w:w="20" w:type="dxa"/>
              <w:bottom w:w="40" w:type="dxa"/>
              <w:right w:w="20" w:type="dxa"/>
            </w:tcMar>
            <w:vAlign w:val="bottom"/>
          </w:tcPr>
          <w:p w14:paraId="33DAB9F6" w14:textId="77777777" w:rsidR="004D6A64" w:rsidRDefault="00506CD6">
            <w:pPr>
              <w:textAlignment w:val="bottom"/>
            </w:pPr>
            <w:r>
              <w:rPr>
                <w:rFonts w:ascii="Times New Roman" w:eastAsia="宋体" w:hAnsi="Times New Roman"/>
                <w:color w:val="000000"/>
                <w:sz w:val="20"/>
                <w:szCs w:val="20"/>
              </w:rPr>
              <w:t>Total net revenue</w:t>
            </w:r>
          </w:p>
        </w:tc>
        <w:tc>
          <w:tcPr>
            <w:tcW w:w="0" w:type="auto"/>
            <w:gridSpan w:val="3"/>
            <w:shd w:val="clear" w:color="auto" w:fill="FFFFFF"/>
            <w:tcMar>
              <w:left w:w="20" w:type="dxa"/>
              <w:right w:w="20" w:type="dxa"/>
            </w:tcMar>
            <w:vAlign w:val="bottom"/>
          </w:tcPr>
          <w:p w14:paraId="33DAB9F7"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B9F8"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B9F9" w14:textId="77777777" w:rsidR="004D6A64" w:rsidRDefault="00506CD6">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bottom w:w="40" w:type="dxa"/>
              <w:right w:w="20" w:type="dxa"/>
            </w:tcMar>
            <w:vAlign w:val="bottom"/>
          </w:tcPr>
          <w:p w14:paraId="33DAB9FA" w14:textId="77777777" w:rsidR="004D6A64" w:rsidRDefault="004D6A64">
            <w:pPr>
              <w:jc w:val="right"/>
              <w:rPr>
                <w:rFonts w:ascii="宋体"/>
              </w:rPr>
            </w:pPr>
          </w:p>
        </w:tc>
        <w:tc>
          <w:tcPr>
            <w:tcW w:w="0" w:type="auto"/>
            <w:shd w:val="clear" w:color="auto" w:fill="auto"/>
          </w:tcPr>
          <w:p w14:paraId="33DAB9FB" w14:textId="77777777" w:rsidR="004D6A64" w:rsidRDefault="004D6A64">
            <w:pPr>
              <w:rPr>
                <w:rFonts w:ascii="宋体"/>
                <w:vanish/>
              </w:rPr>
            </w:pPr>
          </w:p>
        </w:tc>
        <w:tc>
          <w:tcPr>
            <w:tcW w:w="0" w:type="auto"/>
            <w:shd w:val="clear" w:color="auto" w:fill="auto"/>
          </w:tcPr>
          <w:p w14:paraId="33DAB9FC" w14:textId="77777777" w:rsidR="004D6A64" w:rsidRDefault="004D6A64">
            <w:pPr>
              <w:rPr>
                <w:rFonts w:ascii="宋体"/>
                <w:vanish/>
              </w:rPr>
            </w:pPr>
          </w:p>
        </w:tc>
        <w:tc>
          <w:tcPr>
            <w:tcW w:w="0" w:type="auto"/>
            <w:shd w:val="clear" w:color="auto" w:fill="auto"/>
          </w:tcPr>
          <w:p w14:paraId="33DAB9FD" w14:textId="77777777" w:rsidR="004D6A64" w:rsidRDefault="004D6A64">
            <w:pPr>
              <w:rPr>
                <w:rFonts w:ascii="宋体"/>
                <w:vanish/>
              </w:rPr>
            </w:pPr>
          </w:p>
        </w:tc>
        <w:tc>
          <w:tcPr>
            <w:tcW w:w="0" w:type="auto"/>
            <w:shd w:val="clear" w:color="auto" w:fill="auto"/>
          </w:tcPr>
          <w:p w14:paraId="33DAB9FE" w14:textId="77777777" w:rsidR="004D6A64" w:rsidRDefault="004D6A64">
            <w:pPr>
              <w:rPr>
                <w:rFonts w:ascii="宋体"/>
                <w:vanish/>
              </w:rPr>
            </w:pPr>
          </w:p>
        </w:tc>
        <w:tc>
          <w:tcPr>
            <w:tcW w:w="0" w:type="auto"/>
            <w:shd w:val="clear" w:color="auto" w:fill="auto"/>
          </w:tcPr>
          <w:p w14:paraId="33DAB9FF" w14:textId="77777777" w:rsidR="004D6A64" w:rsidRDefault="004D6A64">
            <w:pPr>
              <w:rPr>
                <w:rFonts w:ascii="宋体"/>
              </w:rPr>
            </w:pPr>
          </w:p>
        </w:tc>
        <w:tc>
          <w:tcPr>
            <w:tcW w:w="0" w:type="auto"/>
            <w:shd w:val="clear" w:color="auto" w:fill="auto"/>
          </w:tcPr>
          <w:p w14:paraId="33DABA00" w14:textId="77777777" w:rsidR="004D6A64" w:rsidRDefault="004D6A64">
            <w:pPr>
              <w:rPr>
                <w:rFonts w:ascii="宋体"/>
              </w:rPr>
            </w:pPr>
          </w:p>
        </w:tc>
        <w:tc>
          <w:tcPr>
            <w:tcW w:w="0" w:type="auto"/>
            <w:shd w:val="clear" w:color="auto" w:fill="auto"/>
          </w:tcPr>
          <w:p w14:paraId="33DABA01" w14:textId="77777777" w:rsidR="004D6A64" w:rsidRDefault="004D6A64">
            <w:pPr>
              <w:rPr>
                <w:rFonts w:ascii="宋体"/>
              </w:rPr>
            </w:pPr>
          </w:p>
        </w:tc>
        <w:tc>
          <w:tcPr>
            <w:tcW w:w="0" w:type="auto"/>
            <w:shd w:val="clear" w:color="auto" w:fill="auto"/>
          </w:tcPr>
          <w:p w14:paraId="33DABA02" w14:textId="77777777" w:rsidR="004D6A64" w:rsidRDefault="004D6A64">
            <w:pPr>
              <w:rPr>
                <w:rFonts w:ascii="宋体"/>
              </w:rPr>
            </w:pPr>
          </w:p>
        </w:tc>
        <w:tc>
          <w:tcPr>
            <w:tcW w:w="0" w:type="auto"/>
            <w:shd w:val="clear" w:color="auto" w:fill="auto"/>
          </w:tcPr>
          <w:p w14:paraId="33DABA03" w14:textId="77777777" w:rsidR="004D6A64" w:rsidRDefault="004D6A64">
            <w:pPr>
              <w:rPr>
                <w:rFonts w:ascii="宋体"/>
              </w:rPr>
            </w:pPr>
          </w:p>
        </w:tc>
        <w:tc>
          <w:tcPr>
            <w:tcW w:w="0" w:type="auto"/>
            <w:shd w:val="clear" w:color="auto" w:fill="auto"/>
          </w:tcPr>
          <w:p w14:paraId="33DABA04" w14:textId="77777777" w:rsidR="004D6A64" w:rsidRDefault="004D6A64">
            <w:pPr>
              <w:rPr>
                <w:rFonts w:ascii="宋体"/>
              </w:rPr>
            </w:pPr>
          </w:p>
        </w:tc>
        <w:tc>
          <w:tcPr>
            <w:tcW w:w="0" w:type="auto"/>
            <w:shd w:val="clear" w:color="auto" w:fill="auto"/>
          </w:tcPr>
          <w:p w14:paraId="33DABA05" w14:textId="77777777" w:rsidR="004D6A64" w:rsidRDefault="004D6A64">
            <w:pPr>
              <w:rPr>
                <w:rFonts w:ascii="宋体"/>
              </w:rPr>
            </w:pPr>
          </w:p>
        </w:tc>
        <w:tc>
          <w:tcPr>
            <w:tcW w:w="0" w:type="auto"/>
            <w:shd w:val="clear" w:color="auto" w:fill="auto"/>
          </w:tcPr>
          <w:p w14:paraId="33DABA06" w14:textId="77777777" w:rsidR="004D6A64" w:rsidRDefault="004D6A64">
            <w:pPr>
              <w:rPr>
                <w:rFonts w:ascii="宋体"/>
              </w:rPr>
            </w:pPr>
          </w:p>
        </w:tc>
        <w:tc>
          <w:tcPr>
            <w:tcW w:w="0" w:type="auto"/>
            <w:shd w:val="clear" w:color="auto" w:fill="auto"/>
          </w:tcPr>
          <w:p w14:paraId="33DABA07" w14:textId="77777777" w:rsidR="004D6A64" w:rsidRDefault="004D6A64">
            <w:pPr>
              <w:rPr>
                <w:rFonts w:ascii="宋体"/>
              </w:rPr>
            </w:pPr>
          </w:p>
        </w:tc>
        <w:tc>
          <w:tcPr>
            <w:tcW w:w="0" w:type="auto"/>
            <w:shd w:val="clear" w:color="auto" w:fill="auto"/>
          </w:tcPr>
          <w:p w14:paraId="33DABA08" w14:textId="77777777" w:rsidR="004D6A64" w:rsidRDefault="004D6A64">
            <w:pPr>
              <w:rPr>
                <w:rFonts w:ascii="宋体"/>
              </w:rPr>
            </w:pPr>
          </w:p>
        </w:tc>
        <w:tc>
          <w:tcPr>
            <w:tcW w:w="0" w:type="auto"/>
            <w:shd w:val="clear" w:color="auto" w:fill="auto"/>
          </w:tcPr>
          <w:p w14:paraId="33DABA09" w14:textId="77777777" w:rsidR="004D6A64" w:rsidRDefault="004D6A64">
            <w:pPr>
              <w:rPr>
                <w:rFonts w:ascii="宋体"/>
              </w:rPr>
            </w:pPr>
          </w:p>
        </w:tc>
        <w:tc>
          <w:tcPr>
            <w:tcW w:w="0" w:type="auto"/>
            <w:shd w:val="clear" w:color="auto" w:fill="auto"/>
          </w:tcPr>
          <w:p w14:paraId="33DABA0A" w14:textId="77777777" w:rsidR="004D6A64" w:rsidRDefault="004D6A64">
            <w:pPr>
              <w:rPr>
                <w:rFonts w:ascii="宋体"/>
              </w:rPr>
            </w:pPr>
          </w:p>
        </w:tc>
        <w:tc>
          <w:tcPr>
            <w:tcW w:w="0" w:type="auto"/>
            <w:shd w:val="clear" w:color="auto" w:fill="auto"/>
          </w:tcPr>
          <w:p w14:paraId="33DABA0B" w14:textId="77777777" w:rsidR="004D6A64" w:rsidRDefault="004D6A64">
            <w:pPr>
              <w:rPr>
                <w:rFonts w:ascii="宋体"/>
              </w:rPr>
            </w:pPr>
          </w:p>
        </w:tc>
        <w:tc>
          <w:tcPr>
            <w:tcW w:w="0" w:type="auto"/>
            <w:shd w:val="clear" w:color="auto" w:fill="auto"/>
          </w:tcPr>
          <w:p w14:paraId="33DABA0C" w14:textId="77777777" w:rsidR="004D6A64" w:rsidRDefault="004D6A64">
            <w:pPr>
              <w:rPr>
                <w:rFonts w:ascii="宋体"/>
              </w:rPr>
            </w:pPr>
          </w:p>
        </w:tc>
        <w:tc>
          <w:tcPr>
            <w:tcW w:w="0" w:type="auto"/>
            <w:shd w:val="clear" w:color="auto" w:fill="auto"/>
          </w:tcPr>
          <w:p w14:paraId="33DABA0D" w14:textId="77777777" w:rsidR="004D6A64" w:rsidRDefault="004D6A64">
            <w:pPr>
              <w:rPr>
                <w:rFonts w:ascii="宋体"/>
              </w:rPr>
            </w:pPr>
          </w:p>
        </w:tc>
        <w:tc>
          <w:tcPr>
            <w:tcW w:w="0" w:type="auto"/>
            <w:shd w:val="clear" w:color="auto" w:fill="auto"/>
          </w:tcPr>
          <w:p w14:paraId="33DABA0E" w14:textId="77777777" w:rsidR="004D6A64" w:rsidRDefault="004D6A64">
            <w:pPr>
              <w:rPr>
                <w:rFonts w:ascii="宋体"/>
              </w:rPr>
            </w:pPr>
          </w:p>
        </w:tc>
        <w:tc>
          <w:tcPr>
            <w:tcW w:w="0" w:type="auto"/>
            <w:shd w:val="clear" w:color="auto" w:fill="auto"/>
          </w:tcPr>
          <w:p w14:paraId="33DABA0F" w14:textId="77777777" w:rsidR="004D6A64" w:rsidRDefault="004D6A64">
            <w:pPr>
              <w:rPr>
                <w:rFonts w:ascii="宋体"/>
              </w:rPr>
            </w:pPr>
          </w:p>
        </w:tc>
        <w:tc>
          <w:tcPr>
            <w:tcW w:w="0" w:type="auto"/>
            <w:shd w:val="clear" w:color="auto" w:fill="auto"/>
          </w:tcPr>
          <w:p w14:paraId="33DABA10" w14:textId="77777777" w:rsidR="004D6A64" w:rsidRDefault="004D6A64">
            <w:pPr>
              <w:rPr>
                <w:rFonts w:ascii="宋体"/>
              </w:rPr>
            </w:pPr>
          </w:p>
        </w:tc>
      </w:tr>
      <w:tr w:rsidR="004D6A64" w14:paraId="33DABA32" w14:textId="77777777">
        <w:tc>
          <w:tcPr>
            <w:tcW w:w="0" w:type="auto"/>
            <w:gridSpan w:val="3"/>
            <w:shd w:val="clear" w:color="auto" w:fill="CCEEFF"/>
            <w:tcMar>
              <w:top w:w="40" w:type="dxa"/>
              <w:left w:w="20" w:type="dxa"/>
              <w:bottom w:w="40" w:type="dxa"/>
              <w:right w:w="20" w:type="dxa"/>
            </w:tcMar>
            <w:vAlign w:val="bottom"/>
          </w:tcPr>
          <w:p w14:paraId="33DABA12" w14:textId="77777777" w:rsidR="004D6A64" w:rsidRDefault="00506CD6">
            <w:pPr>
              <w:textAlignment w:val="bottom"/>
            </w:pPr>
            <w:r>
              <w:rPr>
                <w:rFonts w:ascii="Times New Roman" w:eastAsia="宋体" w:hAnsi="Times New Roman"/>
                <w:color w:val="000000"/>
                <w:sz w:val="20"/>
                <w:szCs w:val="20"/>
              </w:rPr>
              <w:t>Foreign exchange contracts</w:t>
            </w:r>
          </w:p>
        </w:tc>
        <w:tc>
          <w:tcPr>
            <w:tcW w:w="0" w:type="auto"/>
            <w:gridSpan w:val="3"/>
            <w:shd w:val="clear" w:color="auto" w:fill="CCEEFF"/>
            <w:tcMar>
              <w:left w:w="20" w:type="dxa"/>
              <w:right w:w="20" w:type="dxa"/>
            </w:tcMar>
            <w:vAlign w:val="bottom"/>
          </w:tcPr>
          <w:p w14:paraId="33DABA13"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BA14"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BA15" w14:textId="77777777" w:rsidR="004D6A64" w:rsidRDefault="00506CD6">
            <w:pPr>
              <w:jc w:val="right"/>
              <w:textAlignment w:val="bottom"/>
            </w:pPr>
            <w:r>
              <w:rPr>
                <w:rFonts w:ascii="Times New Roman" w:eastAsia="宋体" w:hAnsi="Times New Roman"/>
                <w:color w:val="000000"/>
                <w:sz w:val="20"/>
                <w:szCs w:val="20"/>
              </w:rPr>
              <w:t>(257)</w:t>
            </w:r>
          </w:p>
        </w:tc>
        <w:tc>
          <w:tcPr>
            <w:tcW w:w="0" w:type="auto"/>
            <w:shd w:val="clear" w:color="auto" w:fill="CCEEFF"/>
            <w:tcMar>
              <w:top w:w="40" w:type="dxa"/>
              <w:bottom w:w="40" w:type="dxa"/>
              <w:right w:w="20" w:type="dxa"/>
            </w:tcMar>
            <w:vAlign w:val="bottom"/>
          </w:tcPr>
          <w:p w14:paraId="33DABA1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A17" w14:textId="77777777" w:rsidR="004D6A64" w:rsidRDefault="004D6A64">
            <w:pPr>
              <w:rPr>
                <w:rFonts w:ascii="宋体"/>
              </w:rPr>
            </w:pPr>
          </w:p>
        </w:tc>
        <w:tc>
          <w:tcPr>
            <w:tcW w:w="0" w:type="auto"/>
            <w:gridSpan w:val="3"/>
            <w:shd w:val="clear" w:color="auto" w:fill="CCEEFF"/>
            <w:tcMar>
              <w:top w:w="40" w:type="dxa"/>
              <w:left w:w="20" w:type="dxa"/>
              <w:bottom w:w="40" w:type="dxa"/>
              <w:right w:w="20" w:type="dxa"/>
            </w:tcMar>
            <w:vAlign w:val="bottom"/>
          </w:tcPr>
          <w:p w14:paraId="33DABA18" w14:textId="77777777" w:rsidR="004D6A64" w:rsidRDefault="00506CD6">
            <w:pPr>
              <w:textAlignment w:val="bottom"/>
            </w:pPr>
            <w:r>
              <w:rPr>
                <w:rFonts w:ascii="Times New Roman" w:eastAsia="宋体" w:hAnsi="Times New Roman"/>
                <w:color w:val="000000"/>
                <w:sz w:val="20"/>
                <w:szCs w:val="20"/>
              </w:rPr>
              <w:t>Total cost of net revenue</w:t>
            </w:r>
          </w:p>
        </w:tc>
        <w:tc>
          <w:tcPr>
            <w:tcW w:w="0" w:type="auto"/>
            <w:gridSpan w:val="3"/>
            <w:shd w:val="clear" w:color="auto" w:fill="CCEEFF"/>
            <w:tcMar>
              <w:left w:w="20" w:type="dxa"/>
              <w:right w:w="20" w:type="dxa"/>
            </w:tcMar>
            <w:vAlign w:val="bottom"/>
          </w:tcPr>
          <w:p w14:paraId="33DABA1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BA1A" w14:textId="77777777" w:rsidR="004D6A64" w:rsidRDefault="00506CD6">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bottom w:w="40" w:type="dxa"/>
              <w:right w:w="20" w:type="dxa"/>
            </w:tcMar>
            <w:vAlign w:val="bottom"/>
          </w:tcPr>
          <w:p w14:paraId="33DABA1B" w14:textId="77777777" w:rsidR="004D6A64" w:rsidRDefault="004D6A64">
            <w:pPr>
              <w:jc w:val="right"/>
              <w:rPr>
                <w:rFonts w:ascii="宋体"/>
              </w:rPr>
            </w:pPr>
          </w:p>
        </w:tc>
        <w:tc>
          <w:tcPr>
            <w:tcW w:w="0" w:type="auto"/>
            <w:shd w:val="clear" w:color="auto" w:fill="auto"/>
          </w:tcPr>
          <w:p w14:paraId="33DABA1C" w14:textId="77777777" w:rsidR="004D6A64" w:rsidRDefault="004D6A64">
            <w:pPr>
              <w:rPr>
                <w:rFonts w:ascii="宋体"/>
                <w:vanish/>
              </w:rPr>
            </w:pPr>
          </w:p>
        </w:tc>
        <w:tc>
          <w:tcPr>
            <w:tcW w:w="0" w:type="auto"/>
            <w:shd w:val="clear" w:color="auto" w:fill="auto"/>
          </w:tcPr>
          <w:p w14:paraId="33DABA1D" w14:textId="77777777" w:rsidR="004D6A64" w:rsidRDefault="004D6A64">
            <w:pPr>
              <w:rPr>
                <w:rFonts w:ascii="宋体"/>
                <w:vanish/>
              </w:rPr>
            </w:pPr>
          </w:p>
        </w:tc>
        <w:tc>
          <w:tcPr>
            <w:tcW w:w="0" w:type="auto"/>
            <w:shd w:val="clear" w:color="auto" w:fill="auto"/>
          </w:tcPr>
          <w:p w14:paraId="33DABA1E" w14:textId="77777777" w:rsidR="004D6A64" w:rsidRDefault="004D6A64">
            <w:pPr>
              <w:rPr>
                <w:rFonts w:ascii="宋体"/>
                <w:vanish/>
              </w:rPr>
            </w:pPr>
          </w:p>
        </w:tc>
        <w:tc>
          <w:tcPr>
            <w:tcW w:w="0" w:type="auto"/>
            <w:shd w:val="clear" w:color="auto" w:fill="auto"/>
          </w:tcPr>
          <w:p w14:paraId="33DABA1F" w14:textId="77777777" w:rsidR="004D6A64" w:rsidRDefault="004D6A64">
            <w:pPr>
              <w:rPr>
                <w:rFonts w:ascii="宋体"/>
                <w:vanish/>
              </w:rPr>
            </w:pPr>
          </w:p>
        </w:tc>
        <w:tc>
          <w:tcPr>
            <w:tcW w:w="0" w:type="auto"/>
            <w:shd w:val="clear" w:color="auto" w:fill="auto"/>
          </w:tcPr>
          <w:p w14:paraId="33DABA20" w14:textId="77777777" w:rsidR="004D6A64" w:rsidRDefault="004D6A64">
            <w:pPr>
              <w:rPr>
                <w:rFonts w:ascii="宋体"/>
              </w:rPr>
            </w:pPr>
          </w:p>
        </w:tc>
        <w:tc>
          <w:tcPr>
            <w:tcW w:w="0" w:type="auto"/>
            <w:shd w:val="clear" w:color="auto" w:fill="auto"/>
          </w:tcPr>
          <w:p w14:paraId="33DABA21" w14:textId="77777777" w:rsidR="004D6A64" w:rsidRDefault="004D6A64">
            <w:pPr>
              <w:rPr>
                <w:rFonts w:ascii="宋体"/>
              </w:rPr>
            </w:pPr>
          </w:p>
        </w:tc>
        <w:tc>
          <w:tcPr>
            <w:tcW w:w="0" w:type="auto"/>
            <w:shd w:val="clear" w:color="auto" w:fill="auto"/>
          </w:tcPr>
          <w:p w14:paraId="33DABA22" w14:textId="77777777" w:rsidR="004D6A64" w:rsidRDefault="004D6A64">
            <w:pPr>
              <w:rPr>
                <w:rFonts w:ascii="宋体"/>
              </w:rPr>
            </w:pPr>
          </w:p>
        </w:tc>
        <w:tc>
          <w:tcPr>
            <w:tcW w:w="0" w:type="auto"/>
            <w:shd w:val="clear" w:color="auto" w:fill="auto"/>
          </w:tcPr>
          <w:p w14:paraId="33DABA23" w14:textId="77777777" w:rsidR="004D6A64" w:rsidRDefault="004D6A64">
            <w:pPr>
              <w:rPr>
                <w:rFonts w:ascii="宋体"/>
              </w:rPr>
            </w:pPr>
          </w:p>
        </w:tc>
        <w:tc>
          <w:tcPr>
            <w:tcW w:w="0" w:type="auto"/>
            <w:shd w:val="clear" w:color="auto" w:fill="auto"/>
          </w:tcPr>
          <w:p w14:paraId="33DABA24" w14:textId="77777777" w:rsidR="004D6A64" w:rsidRDefault="004D6A64">
            <w:pPr>
              <w:rPr>
                <w:rFonts w:ascii="宋体"/>
              </w:rPr>
            </w:pPr>
          </w:p>
        </w:tc>
        <w:tc>
          <w:tcPr>
            <w:tcW w:w="0" w:type="auto"/>
            <w:shd w:val="clear" w:color="auto" w:fill="auto"/>
          </w:tcPr>
          <w:p w14:paraId="33DABA25" w14:textId="77777777" w:rsidR="004D6A64" w:rsidRDefault="004D6A64">
            <w:pPr>
              <w:rPr>
                <w:rFonts w:ascii="宋体"/>
              </w:rPr>
            </w:pPr>
          </w:p>
        </w:tc>
        <w:tc>
          <w:tcPr>
            <w:tcW w:w="0" w:type="auto"/>
            <w:shd w:val="clear" w:color="auto" w:fill="auto"/>
          </w:tcPr>
          <w:p w14:paraId="33DABA26" w14:textId="77777777" w:rsidR="004D6A64" w:rsidRDefault="004D6A64">
            <w:pPr>
              <w:rPr>
                <w:rFonts w:ascii="宋体"/>
              </w:rPr>
            </w:pPr>
          </w:p>
        </w:tc>
        <w:tc>
          <w:tcPr>
            <w:tcW w:w="0" w:type="auto"/>
            <w:shd w:val="clear" w:color="auto" w:fill="auto"/>
          </w:tcPr>
          <w:p w14:paraId="33DABA27" w14:textId="77777777" w:rsidR="004D6A64" w:rsidRDefault="004D6A64">
            <w:pPr>
              <w:rPr>
                <w:rFonts w:ascii="宋体"/>
              </w:rPr>
            </w:pPr>
          </w:p>
        </w:tc>
        <w:tc>
          <w:tcPr>
            <w:tcW w:w="0" w:type="auto"/>
            <w:shd w:val="clear" w:color="auto" w:fill="auto"/>
          </w:tcPr>
          <w:p w14:paraId="33DABA28" w14:textId="77777777" w:rsidR="004D6A64" w:rsidRDefault="004D6A64">
            <w:pPr>
              <w:rPr>
                <w:rFonts w:ascii="宋体"/>
              </w:rPr>
            </w:pPr>
          </w:p>
        </w:tc>
        <w:tc>
          <w:tcPr>
            <w:tcW w:w="0" w:type="auto"/>
            <w:shd w:val="clear" w:color="auto" w:fill="auto"/>
          </w:tcPr>
          <w:p w14:paraId="33DABA29" w14:textId="77777777" w:rsidR="004D6A64" w:rsidRDefault="004D6A64">
            <w:pPr>
              <w:rPr>
                <w:rFonts w:ascii="宋体"/>
              </w:rPr>
            </w:pPr>
          </w:p>
        </w:tc>
        <w:tc>
          <w:tcPr>
            <w:tcW w:w="0" w:type="auto"/>
            <w:shd w:val="clear" w:color="auto" w:fill="auto"/>
          </w:tcPr>
          <w:p w14:paraId="33DABA2A" w14:textId="77777777" w:rsidR="004D6A64" w:rsidRDefault="004D6A64">
            <w:pPr>
              <w:rPr>
                <w:rFonts w:ascii="宋体"/>
              </w:rPr>
            </w:pPr>
          </w:p>
        </w:tc>
        <w:tc>
          <w:tcPr>
            <w:tcW w:w="0" w:type="auto"/>
            <w:shd w:val="clear" w:color="auto" w:fill="auto"/>
          </w:tcPr>
          <w:p w14:paraId="33DABA2B" w14:textId="77777777" w:rsidR="004D6A64" w:rsidRDefault="004D6A64">
            <w:pPr>
              <w:rPr>
                <w:rFonts w:ascii="宋体"/>
              </w:rPr>
            </w:pPr>
          </w:p>
        </w:tc>
        <w:tc>
          <w:tcPr>
            <w:tcW w:w="0" w:type="auto"/>
            <w:shd w:val="clear" w:color="auto" w:fill="auto"/>
          </w:tcPr>
          <w:p w14:paraId="33DABA2C" w14:textId="77777777" w:rsidR="004D6A64" w:rsidRDefault="004D6A64">
            <w:pPr>
              <w:rPr>
                <w:rFonts w:ascii="宋体"/>
              </w:rPr>
            </w:pPr>
          </w:p>
        </w:tc>
        <w:tc>
          <w:tcPr>
            <w:tcW w:w="0" w:type="auto"/>
            <w:shd w:val="clear" w:color="auto" w:fill="auto"/>
          </w:tcPr>
          <w:p w14:paraId="33DABA2D" w14:textId="77777777" w:rsidR="004D6A64" w:rsidRDefault="004D6A64">
            <w:pPr>
              <w:rPr>
                <w:rFonts w:ascii="宋体"/>
              </w:rPr>
            </w:pPr>
          </w:p>
        </w:tc>
        <w:tc>
          <w:tcPr>
            <w:tcW w:w="0" w:type="auto"/>
            <w:shd w:val="clear" w:color="auto" w:fill="auto"/>
          </w:tcPr>
          <w:p w14:paraId="33DABA2E" w14:textId="77777777" w:rsidR="004D6A64" w:rsidRDefault="004D6A64">
            <w:pPr>
              <w:rPr>
                <w:rFonts w:ascii="宋体"/>
              </w:rPr>
            </w:pPr>
          </w:p>
        </w:tc>
        <w:tc>
          <w:tcPr>
            <w:tcW w:w="0" w:type="auto"/>
            <w:shd w:val="clear" w:color="auto" w:fill="auto"/>
          </w:tcPr>
          <w:p w14:paraId="33DABA2F" w14:textId="77777777" w:rsidR="004D6A64" w:rsidRDefault="004D6A64">
            <w:pPr>
              <w:rPr>
                <w:rFonts w:ascii="宋体"/>
              </w:rPr>
            </w:pPr>
          </w:p>
        </w:tc>
        <w:tc>
          <w:tcPr>
            <w:tcW w:w="0" w:type="auto"/>
            <w:shd w:val="clear" w:color="auto" w:fill="auto"/>
          </w:tcPr>
          <w:p w14:paraId="33DABA30" w14:textId="77777777" w:rsidR="004D6A64" w:rsidRDefault="004D6A64">
            <w:pPr>
              <w:rPr>
                <w:rFonts w:ascii="宋体"/>
              </w:rPr>
            </w:pPr>
          </w:p>
        </w:tc>
        <w:tc>
          <w:tcPr>
            <w:tcW w:w="0" w:type="auto"/>
            <w:shd w:val="clear" w:color="auto" w:fill="auto"/>
          </w:tcPr>
          <w:p w14:paraId="33DABA31" w14:textId="77777777" w:rsidR="004D6A64" w:rsidRDefault="004D6A64">
            <w:pPr>
              <w:rPr>
                <w:rFonts w:ascii="宋体"/>
              </w:rPr>
            </w:pPr>
          </w:p>
        </w:tc>
      </w:tr>
      <w:tr w:rsidR="004D6A64" w14:paraId="33DABA52" w14:textId="77777777">
        <w:tc>
          <w:tcPr>
            <w:tcW w:w="0" w:type="auto"/>
            <w:gridSpan w:val="3"/>
            <w:shd w:val="clear" w:color="auto" w:fill="FFFFFF"/>
            <w:tcMar>
              <w:top w:w="40" w:type="dxa"/>
              <w:left w:w="20" w:type="dxa"/>
              <w:bottom w:w="40" w:type="dxa"/>
              <w:right w:w="20" w:type="dxa"/>
            </w:tcMar>
            <w:vAlign w:val="bottom"/>
          </w:tcPr>
          <w:p w14:paraId="33DABA33" w14:textId="77777777" w:rsidR="004D6A64" w:rsidRDefault="00506CD6">
            <w:pPr>
              <w:textAlignment w:val="bottom"/>
            </w:pPr>
            <w:r>
              <w:rPr>
                <w:rFonts w:ascii="Times New Roman" w:eastAsia="宋体" w:hAnsi="Times New Roman"/>
                <w:color w:val="000000"/>
                <w:sz w:val="20"/>
                <w:szCs w:val="20"/>
              </w:rPr>
              <w:t>Interest rate contracts</w:t>
            </w:r>
          </w:p>
        </w:tc>
        <w:tc>
          <w:tcPr>
            <w:tcW w:w="0" w:type="auto"/>
            <w:gridSpan w:val="3"/>
            <w:shd w:val="clear" w:color="auto" w:fill="FFFFFF"/>
            <w:tcMar>
              <w:left w:w="20" w:type="dxa"/>
              <w:right w:w="20" w:type="dxa"/>
            </w:tcMar>
            <w:vAlign w:val="bottom"/>
          </w:tcPr>
          <w:p w14:paraId="33DABA34"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BA35"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BA3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A37" w14:textId="77777777" w:rsidR="004D6A64" w:rsidRDefault="004D6A64">
            <w:pPr>
              <w:rPr>
                <w:rFonts w:ascii="宋体"/>
              </w:rPr>
            </w:pPr>
          </w:p>
        </w:tc>
        <w:tc>
          <w:tcPr>
            <w:tcW w:w="0" w:type="auto"/>
            <w:gridSpan w:val="3"/>
            <w:shd w:val="clear" w:color="auto" w:fill="FFFFFF"/>
            <w:tcMar>
              <w:top w:w="40" w:type="dxa"/>
              <w:left w:w="20" w:type="dxa"/>
              <w:bottom w:w="40" w:type="dxa"/>
              <w:right w:w="20" w:type="dxa"/>
            </w:tcMar>
            <w:vAlign w:val="bottom"/>
          </w:tcPr>
          <w:p w14:paraId="33DABA38" w14:textId="77777777" w:rsidR="004D6A64" w:rsidRDefault="00506CD6">
            <w:pPr>
              <w:textAlignment w:val="bottom"/>
            </w:pPr>
            <w:r>
              <w:rPr>
                <w:rFonts w:ascii="Times New Roman" w:eastAsia="宋体" w:hAnsi="Times New Roman"/>
                <w:color w:val="000000"/>
                <w:sz w:val="20"/>
                <w:szCs w:val="20"/>
              </w:rPr>
              <w:t>Interest and other, net</w:t>
            </w:r>
          </w:p>
        </w:tc>
        <w:tc>
          <w:tcPr>
            <w:tcW w:w="0" w:type="auto"/>
            <w:gridSpan w:val="3"/>
            <w:shd w:val="clear" w:color="auto" w:fill="FFFFFF"/>
            <w:tcMar>
              <w:left w:w="20" w:type="dxa"/>
              <w:right w:w="20" w:type="dxa"/>
            </w:tcMar>
            <w:vAlign w:val="bottom"/>
          </w:tcPr>
          <w:p w14:paraId="33DABA39"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BA3A"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BA3B" w14:textId="77777777" w:rsidR="004D6A64" w:rsidRDefault="004D6A64">
            <w:pPr>
              <w:jc w:val="right"/>
              <w:rPr>
                <w:rFonts w:ascii="宋体"/>
              </w:rPr>
            </w:pPr>
          </w:p>
        </w:tc>
        <w:tc>
          <w:tcPr>
            <w:tcW w:w="0" w:type="auto"/>
            <w:shd w:val="clear" w:color="auto" w:fill="auto"/>
          </w:tcPr>
          <w:p w14:paraId="33DABA3C" w14:textId="77777777" w:rsidR="004D6A64" w:rsidRDefault="004D6A64">
            <w:pPr>
              <w:rPr>
                <w:rFonts w:ascii="宋体"/>
                <w:vanish/>
              </w:rPr>
            </w:pPr>
          </w:p>
        </w:tc>
        <w:tc>
          <w:tcPr>
            <w:tcW w:w="0" w:type="auto"/>
            <w:shd w:val="clear" w:color="auto" w:fill="auto"/>
          </w:tcPr>
          <w:p w14:paraId="33DABA3D" w14:textId="77777777" w:rsidR="004D6A64" w:rsidRDefault="004D6A64">
            <w:pPr>
              <w:rPr>
                <w:rFonts w:ascii="宋体"/>
                <w:vanish/>
              </w:rPr>
            </w:pPr>
          </w:p>
        </w:tc>
        <w:tc>
          <w:tcPr>
            <w:tcW w:w="0" w:type="auto"/>
            <w:shd w:val="clear" w:color="auto" w:fill="auto"/>
          </w:tcPr>
          <w:p w14:paraId="33DABA3E" w14:textId="77777777" w:rsidR="004D6A64" w:rsidRDefault="004D6A64">
            <w:pPr>
              <w:rPr>
                <w:rFonts w:ascii="宋体"/>
                <w:vanish/>
              </w:rPr>
            </w:pPr>
          </w:p>
        </w:tc>
        <w:tc>
          <w:tcPr>
            <w:tcW w:w="0" w:type="auto"/>
            <w:shd w:val="clear" w:color="auto" w:fill="auto"/>
          </w:tcPr>
          <w:p w14:paraId="33DABA3F" w14:textId="77777777" w:rsidR="004D6A64" w:rsidRDefault="004D6A64">
            <w:pPr>
              <w:rPr>
                <w:rFonts w:ascii="宋体"/>
                <w:vanish/>
              </w:rPr>
            </w:pPr>
          </w:p>
        </w:tc>
        <w:tc>
          <w:tcPr>
            <w:tcW w:w="0" w:type="auto"/>
            <w:shd w:val="clear" w:color="auto" w:fill="auto"/>
          </w:tcPr>
          <w:p w14:paraId="33DABA40" w14:textId="77777777" w:rsidR="004D6A64" w:rsidRDefault="004D6A64">
            <w:pPr>
              <w:rPr>
                <w:rFonts w:ascii="宋体"/>
              </w:rPr>
            </w:pPr>
          </w:p>
        </w:tc>
        <w:tc>
          <w:tcPr>
            <w:tcW w:w="0" w:type="auto"/>
            <w:shd w:val="clear" w:color="auto" w:fill="auto"/>
          </w:tcPr>
          <w:p w14:paraId="33DABA41" w14:textId="77777777" w:rsidR="004D6A64" w:rsidRDefault="004D6A64">
            <w:pPr>
              <w:rPr>
                <w:rFonts w:ascii="宋体"/>
              </w:rPr>
            </w:pPr>
          </w:p>
        </w:tc>
        <w:tc>
          <w:tcPr>
            <w:tcW w:w="0" w:type="auto"/>
            <w:shd w:val="clear" w:color="auto" w:fill="auto"/>
          </w:tcPr>
          <w:p w14:paraId="33DABA42" w14:textId="77777777" w:rsidR="004D6A64" w:rsidRDefault="004D6A64">
            <w:pPr>
              <w:rPr>
                <w:rFonts w:ascii="宋体"/>
              </w:rPr>
            </w:pPr>
          </w:p>
        </w:tc>
        <w:tc>
          <w:tcPr>
            <w:tcW w:w="0" w:type="auto"/>
            <w:shd w:val="clear" w:color="auto" w:fill="auto"/>
          </w:tcPr>
          <w:p w14:paraId="33DABA43" w14:textId="77777777" w:rsidR="004D6A64" w:rsidRDefault="004D6A64">
            <w:pPr>
              <w:rPr>
                <w:rFonts w:ascii="宋体"/>
              </w:rPr>
            </w:pPr>
          </w:p>
        </w:tc>
        <w:tc>
          <w:tcPr>
            <w:tcW w:w="0" w:type="auto"/>
            <w:shd w:val="clear" w:color="auto" w:fill="auto"/>
          </w:tcPr>
          <w:p w14:paraId="33DABA44" w14:textId="77777777" w:rsidR="004D6A64" w:rsidRDefault="004D6A64">
            <w:pPr>
              <w:rPr>
                <w:rFonts w:ascii="宋体"/>
              </w:rPr>
            </w:pPr>
          </w:p>
        </w:tc>
        <w:tc>
          <w:tcPr>
            <w:tcW w:w="0" w:type="auto"/>
            <w:shd w:val="clear" w:color="auto" w:fill="auto"/>
          </w:tcPr>
          <w:p w14:paraId="33DABA45" w14:textId="77777777" w:rsidR="004D6A64" w:rsidRDefault="004D6A64">
            <w:pPr>
              <w:rPr>
                <w:rFonts w:ascii="宋体"/>
              </w:rPr>
            </w:pPr>
          </w:p>
        </w:tc>
        <w:tc>
          <w:tcPr>
            <w:tcW w:w="0" w:type="auto"/>
            <w:shd w:val="clear" w:color="auto" w:fill="auto"/>
          </w:tcPr>
          <w:p w14:paraId="33DABA46" w14:textId="77777777" w:rsidR="004D6A64" w:rsidRDefault="004D6A64">
            <w:pPr>
              <w:rPr>
                <w:rFonts w:ascii="宋体"/>
              </w:rPr>
            </w:pPr>
          </w:p>
        </w:tc>
        <w:tc>
          <w:tcPr>
            <w:tcW w:w="0" w:type="auto"/>
            <w:shd w:val="clear" w:color="auto" w:fill="auto"/>
          </w:tcPr>
          <w:p w14:paraId="33DABA47" w14:textId="77777777" w:rsidR="004D6A64" w:rsidRDefault="004D6A64">
            <w:pPr>
              <w:rPr>
                <w:rFonts w:ascii="宋体"/>
              </w:rPr>
            </w:pPr>
          </w:p>
        </w:tc>
        <w:tc>
          <w:tcPr>
            <w:tcW w:w="0" w:type="auto"/>
            <w:shd w:val="clear" w:color="auto" w:fill="auto"/>
          </w:tcPr>
          <w:p w14:paraId="33DABA48" w14:textId="77777777" w:rsidR="004D6A64" w:rsidRDefault="004D6A64">
            <w:pPr>
              <w:rPr>
                <w:rFonts w:ascii="宋体"/>
              </w:rPr>
            </w:pPr>
          </w:p>
        </w:tc>
        <w:tc>
          <w:tcPr>
            <w:tcW w:w="0" w:type="auto"/>
            <w:shd w:val="clear" w:color="auto" w:fill="auto"/>
          </w:tcPr>
          <w:p w14:paraId="33DABA49" w14:textId="77777777" w:rsidR="004D6A64" w:rsidRDefault="004D6A64">
            <w:pPr>
              <w:rPr>
                <w:rFonts w:ascii="宋体"/>
              </w:rPr>
            </w:pPr>
          </w:p>
        </w:tc>
        <w:tc>
          <w:tcPr>
            <w:tcW w:w="0" w:type="auto"/>
            <w:shd w:val="clear" w:color="auto" w:fill="auto"/>
          </w:tcPr>
          <w:p w14:paraId="33DABA4A" w14:textId="77777777" w:rsidR="004D6A64" w:rsidRDefault="004D6A64">
            <w:pPr>
              <w:rPr>
                <w:rFonts w:ascii="宋体"/>
              </w:rPr>
            </w:pPr>
          </w:p>
        </w:tc>
        <w:tc>
          <w:tcPr>
            <w:tcW w:w="0" w:type="auto"/>
            <w:shd w:val="clear" w:color="auto" w:fill="auto"/>
          </w:tcPr>
          <w:p w14:paraId="33DABA4B" w14:textId="77777777" w:rsidR="004D6A64" w:rsidRDefault="004D6A64">
            <w:pPr>
              <w:rPr>
                <w:rFonts w:ascii="宋体"/>
              </w:rPr>
            </w:pPr>
          </w:p>
        </w:tc>
        <w:tc>
          <w:tcPr>
            <w:tcW w:w="0" w:type="auto"/>
            <w:shd w:val="clear" w:color="auto" w:fill="auto"/>
          </w:tcPr>
          <w:p w14:paraId="33DABA4C" w14:textId="77777777" w:rsidR="004D6A64" w:rsidRDefault="004D6A64">
            <w:pPr>
              <w:rPr>
                <w:rFonts w:ascii="宋体"/>
              </w:rPr>
            </w:pPr>
          </w:p>
        </w:tc>
        <w:tc>
          <w:tcPr>
            <w:tcW w:w="0" w:type="auto"/>
            <w:shd w:val="clear" w:color="auto" w:fill="auto"/>
          </w:tcPr>
          <w:p w14:paraId="33DABA4D" w14:textId="77777777" w:rsidR="004D6A64" w:rsidRDefault="004D6A64">
            <w:pPr>
              <w:rPr>
                <w:rFonts w:ascii="宋体"/>
              </w:rPr>
            </w:pPr>
          </w:p>
        </w:tc>
        <w:tc>
          <w:tcPr>
            <w:tcW w:w="0" w:type="auto"/>
            <w:shd w:val="clear" w:color="auto" w:fill="auto"/>
          </w:tcPr>
          <w:p w14:paraId="33DABA4E" w14:textId="77777777" w:rsidR="004D6A64" w:rsidRDefault="004D6A64">
            <w:pPr>
              <w:rPr>
                <w:rFonts w:ascii="宋体"/>
              </w:rPr>
            </w:pPr>
          </w:p>
        </w:tc>
        <w:tc>
          <w:tcPr>
            <w:tcW w:w="0" w:type="auto"/>
            <w:shd w:val="clear" w:color="auto" w:fill="auto"/>
          </w:tcPr>
          <w:p w14:paraId="33DABA4F" w14:textId="77777777" w:rsidR="004D6A64" w:rsidRDefault="004D6A64">
            <w:pPr>
              <w:rPr>
                <w:rFonts w:ascii="宋体"/>
              </w:rPr>
            </w:pPr>
          </w:p>
        </w:tc>
        <w:tc>
          <w:tcPr>
            <w:tcW w:w="0" w:type="auto"/>
            <w:shd w:val="clear" w:color="auto" w:fill="auto"/>
          </w:tcPr>
          <w:p w14:paraId="33DABA50" w14:textId="77777777" w:rsidR="004D6A64" w:rsidRDefault="004D6A64">
            <w:pPr>
              <w:rPr>
                <w:rFonts w:ascii="宋体"/>
              </w:rPr>
            </w:pPr>
          </w:p>
        </w:tc>
        <w:tc>
          <w:tcPr>
            <w:tcW w:w="0" w:type="auto"/>
            <w:shd w:val="clear" w:color="auto" w:fill="auto"/>
          </w:tcPr>
          <w:p w14:paraId="33DABA51" w14:textId="77777777" w:rsidR="004D6A64" w:rsidRDefault="004D6A64">
            <w:pPr>
              <w:rPr>
                <w:rFonts w:ascii="宋体"/>
              </w:rPr>
            </w:pPr>
          </w:p>
        </w:tc>
      </w:tr>
      <w:tr w:rsidR="004D6A64" w14:paraId="33DABA74" w14:textId="77777777">
        <w:tc>
          <w:tcPr>
            <w:tcW w:w="0" w:type="auto"/>
            <w:gridSpan w:val="3"/>
            <w:shd w:val="clear" w:color="auto" w:fill="CCEEFF"/>
            <w:tcMar>
              <w:top w:w="40" w:type="dxa"/>
              <w:left w:w="135" w:type="dxa"/>
              <w:bottom w:w="40" w:type="dxa"/>
              <w:right w:w="20" w:type="dxa"/>
            </w:tcMar>
            <w:vAlign w:val="bottom"/>
          </w:tcPr>
          <w:p w14:paraId="33DABA53" w14:textId="77777777" w:rsidR="004D6A64" w:rsidRDefault="00506CD6">
            <w:pPr>
              <w:textAlignment w:val="bottom"/>
            </w:pPr>
            <w:r>
              <w:rPr>
                <w:rFonts w:ascii="Times New Roman" w:eastAsia="宋体" w:hAnsi="Times New Roman"/>
                <w:color w:val="000000"/>
                <w:sz w:val="20"/>
                <w:szCs w:val="20"/>
              </w:rPr>
              <w:t>Total</w:t>
            </w:r>
          </w:p>
        </w:tc>
        <w:tc>
          <w:tcPr>
            <w:tcW w:w="0" w:type="auto"/>
            <w:gridSpan w:val="3"/>
            <w:shd w:val="clear" w:color="auto" w:fill="CCEEFF"/>
            <w:tcMar>
              <w:left w:w="20" w:type="dxa"/>
              <w:right w:w="20" w:type="dxa"/>
            </w:tcMar>
            <w:vAlign w:val="bottom"/>
          </w:tcPr>
          <w:p w14:paraId="33DABA54"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BA55"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BA56" w14:textId="77777777" w:rsidR="004D6A64" w:rsidRDefault="00506CD6">
            <w:pPr>
              <w:jc w:val="right"/>
              <w:textAlignment w:val="bottom"/>
            </w:pPr>
            <w:r>
              <w:rPr>
                <w:rFonts w:ascii="Times New Roman" w:eastAsia="宋体" w:hAnsi="Times New Roman"/>
                <w:color w:val="000000"/>
                <w:sz w:val="20"/>
                <w:szCs w:val="20"/>
              </w:rPr>
              <w:t>(257)</w:t>
            </w:r>
          </w:p>
        </w:tc>
        <w:tc>
          <w:tcPr>
            <w:tcW w:w="0" w:type="auto"/>
            <w:tcBorders>
              <w:top w:val="single" w:sz="8" w:space="0" w:color="000000"/>
            </w:tcBorders>
            <w:shd w:val="clear" w:color="auto" w:fill="CCEEFF"/>
            <w:tcMar>
              <w:top w:w="40" w:type="dxa"/>
              <w:bottom w:w="40" w:type="dxa"/>
              <w:right w:w="20" w:type="dxa"/>
            </w:tcMar>
            <w:vAlign w:val="bottom"/>
          </w:tcPr>
          <w:p w14:paraId="33DABA5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A58" w14:textId="77777777" w:rsidR="004D6A64" w:rsidRDefault="004D6A64">
            <w:pPr>
              <w:rPr>
                <w:rFonts w:ascii="宋体"/>
              </w:rPr>
            </w:pPr>
          </w:p>
        </w:tc>
        <w:tc>
          <w:tcPr>
            <w:tcW w:w="0" w:type="auto"/>
            <w:gridSpan w:val="3"/>
            <w:shd w:val="clear" w:color="auto" w:fill="CCEEFF"/>
            <w:tcMar>
              <w:top w:w="40" w:type="dxa"/>
              <w:left w:w="20" w:type="dxa"/>
              <w:bottom w:w="40" w:type="dxa"/>
              <w:right w:w="20" w:type="dxa"/>
            </w:tcMar>
            <w:vAlign w:val="bottom"/>
          </w:tcPr>
          <w:p w14:paraId="33DABA59" w14:textId="77777777" w:rsidR="004D6A64" w:rsidRDefault="00506CD6">
            <w:pPr>
              <w:textAlignment w:val="bottom"/>
            </w:pPr>
            <w:r>
              <w:rPr>
                <w:rFonts w:ascii="Times New Roman" w:eastAsia="宋体" w:hAnsi="Times New Roman"/>
                <w:color w:val="000000"/>
                <w:sz w:val="20"/>
                <w:szCs w:val="20"/>
              </w:rPr>
              <w:t> </w:t>
            </w:r>
          </w:p>
        </w:tc>
        <w:tc>
          <w:tcPr>
            <w:tcW w:w="0" w:type="auto"/>
            <w:gridSpan w:val="3"/>
            <w:shd w:val="clear" w:color="auto" w:fill="CCEEFF"/>
            <w:tcMar>
              <w:left w:w="20" w:type="dxa"/>
              <w:right w:w="20" w:type="dxa"/>
            </w:tcMar>
            <w:vAlign w:val="bottom"/>
          </w:tcPr>
          <w:p w14:paraId="33DABA5A"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BA5B"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BA5C" w14:textId="77777777" w:rsidR="004D6A64" w:rsidRDefault="00506CD6">
            <w:pPr>
              <w:jc w:val="right"/>
              <w:textAlignment w:val="bottom"/>
            </w:pPr>
            <w:r>
              <w:rPr>
                <w:rFonts w:ascii="Times New Roman" w:eastAsia="宋体" w:hAnsi="Times New Roman"/>
                <w:color w:val="000000"/>
                <w:sz w:val="20"/>
                <w:szCs w:val="20"/>
              </w:rPr>
              <w:t>8 </w:t>
            </w:r>
          </w:p>
        </w:tc>
        <w:tc>
          <w:tcPr>
            <w:tcW w:w="0" w:type="auto"/>
            <w:tcBorders>
              <w:top w:val="single" w:sz="8" w:space="0" w:color="000000"/>
            </w:tcBorders>
            <w:shd w:val="clear" w:color="auto" w:fill="CCEEFF"/>
            <w:tcMar>
              <w:top w:w="40" w:type="dxa"/>
              <w:bottom w:w="40" w:type="dxa"/>
              <w:right w:w="20" w:type="dxa"/>
            </w:tcMar>
            <w:vAlign w:val="bottom"/>
          </w:tcPr>
          <w:p w14:paraId="33DABA5D" w14:textId="77777777" w:rsidR="004D6A64" w:rsidRDefault="004D6A64">
            <w:pPr>
              <w:jc w:val="right"/>
              <w:rPr>
                <w:rFonts w:ascii="宋体"/>
              </w:rPr>
            </w:pPr>
          </w:p>
        </w:tc>
        <w:tc>
          <w:tcPr>
            <w:tcW w:w="0" w:type="auto"/>
            <w:shd w:val="clear" w:color="auto" w:fill="auto"/>
          </w:tcPr>
          <w:p w14:paraId="33DABA5E" w14:textId="77777777" w:rsidR="004D6A64" w:rsidRDefault="004D6A64">
            <w:pPr>
              <w:rPr>
                <w:rFonts w:ascii="宋体"/>
                <w:vanish/>
              </w:rPr>
            </w:pPr>
          </w:p>
        </w:tc>
        <w:tc>
          <w:tcPr>
            <w:tcW w:w="0" w:type="auto"/>
            <w:shd w:val="clear" w:color="auto" w:fill="auto"/>
          </w:tcPr>
          <w:p w14:paraId="33DABA5F" w14:textId="77777777" w:rsidR="004D6A64" w:rsidRDefault="004D6A64">
            <w:pPr>
              <w:rPr>
                <w:rFonts w:ascii="宋体"/>
                <w:vanish/>
              </w:rPr>
            </w:pPr>
          </w:p>
        </w:tc>
        <w:tc>
          <w:tcPr>
            <w:tcW w:w="0" w:type="auto"/>
            <w:shd w:val="clear" w:color="auto" w:fill="auto"/>
          </w:tcPr>
          <w:p w14:paraId="33DABA60" w14:textId="77777777" w:rsidR="004D6A64" w:rsidRDefault="004D6A64">
            <w:pPr>
              <w:rPr>
                <w:rFonts w:ascii="宋体"/>
                <w:vanish/>
              </w:rPr>
            </w:pPr>
          </w:p>
        </w:tc>
        <w:tc>
          <w:tcPr>
            <w:tcW w:w="0" w:type="auto"/>
            <w:shd w:val="clear" w:color="auto" w:fill="auto"/>
          </w:tcPr>
          <w:p w14:paraId="33DABA61" w14:textId="77777777" w:rsidR="004D6A64" w:rsidRDefault="004D6A64">
            <w:pPr>
              <w:rPr>
                <w:rFonts w:ascii="宋体"/>
                <w:vanish/>
              </w:rPr>
            </w:pPr>
          </w:p>
        </w:tc>
        <w:tc>
          <w:tcPr>
            <w:tcW w:w="0" w:type="auto"/>
            <w:shd w:val="clear" w:color="auto" w:fill="auto"/>
          </w:tcPr>
          <w:p w14:paraId="33DABA62" w14:textId="77777777" w:rsidR="004D6A64" w:rsidRDefault="004D6A64">
            <w:pPr>
              <w:rPr>
                <w:rFonts w:ascii="宋体"/>
              </w:rPr>
            </w:pPr>
          </w:p>
        </w:tc>
        <w:tc>
          <w:tcPr>
            <w:tcW w:w="0" w:type="auto"/>
            <w:shd w:val="clear" w:color="auto" w:fill="auto"/>
          </w:tcPr>
          <w:p w14:paraId="33DABA63" w14:textId="77777777" w:rsidR="004D6A64" w:rsidRDefault="004D6A64">
            <w:pPr>
              <w:rPr>
                <w:rFonts w:ascii="宋体"/>
              </w:rPr>
            </w:pPr>
          </w:p>
        </w:tc>
        <w:tc>
          <w:tcPr>
            <w:tcW w:w="0" w:type="auto"/>
            <w:shd w:val="clear" w:color="auto" w:fill="auto"/>
          </w:tcPr>
          <w:p w14:paraId="33DABA64" w14:textId="77777777" w:rsidR="004D6A64" w:rsidRDefault="004D6A64">
            <w:pPr>
              <w:rPr>
                <w:rFonts w:ascii="宋体"/>
              </w:rPr>
            </w:pPr>
          </w:p>
        </w:tc>
        <w:tc>
          <w:tcPr>
            <w:tcW w:w="0" w:type="auto"/>
            <w:shd w:val="clear" w:color="auto" w:fill="auto"/>
          </w:tcPr>
          <w:p w14:paraId="33DABA65" w14:textId="77777777" w:rsidR="004D6A64" w:rsidRDefault="004D6A64">
            <w:pPr>
              <w:rPr>
                <w:rFonts w:ascii="宋体"/>
              </w:rPr>
            </w:pPr>
          </w:p>
        </w:tc>
        <w:tc>
          <w:tcPr>
            <w:tcW w:w="0" w:type="auto"/>
            <w:shd w:val="clear" w:color="auto" w:fill="auto"/>
          </w:tcPr>
          <w:p w14:paraId="33DABA66" w14:textId="77777777" w:rsidR="004D6A64" w:rsidRDefault="004D6A64">
            <w:pPr>
              <w:rPr>
                <w:rFonts w:ascii="宋体"/>
              </w:rPr>
            </w:pPr>
          </w:p>
        </w:tc>
        <w:tc>
          <w:tcPr>
            <w:tcW w:w="0" w:type="auto"/>
            <w:shd w:val="clear" w:color="auto" w:fill="auto"/>
          </w:tcPr>
          <w:p w14:paraId="33DABA67" w14:textId="77777777" w:rsidR="004D6A64" w:rsidRDefault="004D6A64">
            <w:pPr>
              <w:rPr>
                <w:rFonts w:ascii="宋体"/>
              </w:rPr>
            </w:pPr>
          </w:p>
        </w:tc>
        <w:tc>
          <w:tcPr>
            <w:tcW w:w="0" w:type="auto"/>
            <w:shd w:val="clear" w:color="auto" w:fill="auto"/>
          </w:tcPr>
          <w:p w14:paraId="33DABA68" w14:textId="77777777" w:rsidR="004D6A64" w:rsidRDefault="004D6A64">
            <w:pPr>
              <w:rPr>
                <w:rFonts w:ascii="宋体"/>
              </w:rPr>
            </w:pPr>
          </w:p>
        </w:tc>
        <w:tc>
          <w:tcPr>
            <w:tcW w:w="0" w:type="auto"/>
            <w:shd w:val="clear" w:color="auto" w:fill="auto"/>
          </w:tcPr>
          <w:p w14:paraId="33DABA69" w14:textId="77777777" w:rsidR="004D6A64" w:rsidRDefault="004D6A64">
            <w:pPr>
              <w:rPr>
                <w:rFonts w:ascii="宋体"/>
              </w:rPr>
            </w:pPr>
          </w:p>
        </w:tc>
        <w:tc>
          <w:tcPr>
            <w:tcW w:w="0" w:type="auto"/>
            <w:shd w:val="clear" w:color="auto" w:fill="auto"/>
          </w:tcPr>
          <w:p w14:paraId="33DABA6A" w14:textId="77777777" w:rsidR="004D6A64" w:rsidRDefault="004D6A64">
            <w:pPr>
              <w:rPr>
                <w:rFonts w:ascii="宋体"/>
              </w:rPr>
            </w:pPr>
          </w:p>
        </w:tc>
        <w:tc>
          <w:tcPr>
            <w:tcW w:w="0" w:type="auto"/>
            <w:shd w:val="clear" w:color="auto" w:fill="auto"/>
          </w:tcPr>
          <w:p w14:paraId="33DABA6B" w14:textId="77777777" w:rsidR="004D6A64" w:rsidRDefault="004D6A64">
            <w:pPr>
              <w:rPr>
                <w:rFonts w:ascii="宋体"/>
              </w:rPr>
            </w:pPr>
          </w:p>
        </w:tc>
        <w:tc>
          <w:tcPr>
            <w:tcW w:w="0" w:type="auto"/>
            <w:shd w:val="clear" w:color="auto" w:fill="auto"/>
          </w:tcPr>
          <w:p w14:paraId="33DABA6C" w14:textId="77777777" w:rsidR="004D6A64" w:rsidRDefault="004D6A64">
            <w:pPr>
              <w:rPr>
                <w:rFonts w:ascii="宋体"/>
              </w:rPr>
            </w:pPr>
          </w:p>
        </w:tc>
        <w:tc>
          <w:tcPr>
            <w:tcW w:w="0" w:type="auto"/>
            <w:shd w:val="clear" w:color="auto" w:fill="auto"/>
          </w:tcPr>
          <w:p w14:paraId="33DABA6D" w14:textId="77777777" w:rsidR="004D6A64" w:rsidRDefault="004D6A64">
            <w:pPr>
              <w:rPr>
                <w:rFonts w:ascii="宋体"/>
              </w:rPr>
            </w:pPr>
          </w:p>
        </w:tc>
        <w:tc>
          <w:tcPr>
            <w:tcW w:w="0" w:type="auto"/>
            <w:shd w:val="clear" w:color="auto" w:fill="auto"/>
          </w:tcPr>
          <w:p w14:paraId="33DABA6E" w14:textId="77777777" w:rsidR="004D6A64" w:rsidRDefault="004D6A64">
            <w:pPr>
              <w:rPr>
                <w:rFonts w:ascii="宋体"/>
              </w:rPr>
            </w:pPr>
          </w:p>
        </w:tc>
        <w:tc>
          <w:tcPr>
            <w:tcW w:w="0" w:type="auto"/>
            <w:shd w:val="clear" w:color="auto" w:fill="auto"/>
          </w:tcPr>
          <w:p w14:paraId="33DABA6F" w14:textId="77777777" w:rsidR="004D6A64" w:rsidRDefault="004D6A64">
            <w:pPr>
              <w:rPr>
                <w:rFonts w:ascii="宋体"/>
              </w:rPr>
            </w:pPr>
          </w:p>
        </w:tc>
        <w:tc>
          <w:tcPr>
            <w:tcW w:w="0" w:type="auto"/>
            <w:shd w:val="clear" w:color="auto" w:fill="auto"/>
          </w:tcPr>
          <w:p w14:paraId="33DABA70" w14:textId="77777777" w:rsidR="004D6A64" w:rsidRDefault="004D6A64">
            <w:pPr>
              <w:rPr>
                <w:rFonts w:ascii="宋体"/>
              </w:rPr>
            </w:pPr>
          </w:p>
        </w:tc>
        <w:tc>
          <w:tcPr>
            <w:tcW w:w="0" w:type="auto"/>
            <w:shd w:val="clear" w:color="auto" w:fill="auto"/>
          </w:tcPr>
          <w:p w14:paraId="33DABA71" w14:textId="77777777" w:rsidR="004D6A64" w:rsidRDefault="004D6A64">
            <w:pPr>
              <w:rPr>
                <w:rFonts w:ascii="宋体"/>
              </w:rPr>
            </w:pPr>
          </w:p>
        </w:tc>
        <w:tc>
          <w:tcPr>
            <w:tcW w:w="0" w:type="auto"/>
            <w:shd w:val="clear" w:color="auto" w:fill="auto"/>
          </w:tcPr>
          <w:p w14:paraId="33DABA72" w14:textId="77777777" w:rsidR="004D6A64" w:rsidRDefault="004D6A64">
            <w:pPr>
              <w:rPr>
                <w:rFonts w:ascii="宋体"/>
              </w:rPr>
            </w:pPr>
          </w:p>
        </w:tc>
        <w:tc>
          <w:tcPr>
            <w:tcW w:w="0" w:type="auto"/>
            <w:shd w:val="clear" w:color="auto" w:fill="auto"/>
          </w:tcPr>
          <w:p w14:paraId="33DABA73" w14:textId="77777777" w:rsidR="004D6A64" w:rsidRDefault="004D6A64">
            <w:pPr>
              <w:rPr>
                <w:rFonts w:ascii="宋体"/>
              </w:rPr>
            </w:pPr>
          </w:p>
        </w:tc>
      </w:tr>
      <w:tr w:rsidR="004D6A64" w14:paraId="33DABA92" w14:textId="77777777">
        <w:trPr>
          <w:trHeight w:val="180"/>
        </w:trPr>
        <w:tc>
          <w:tcPr>
            <w:tcW w:w="0" w:type="auto"/>
            <w:gridSpan w:val="3"/>
            <w:shd w:val="clear" w:color="auto" w:fill="FFFFFF"/>
            <w:tcMar>
              <w:left w:w="20" w:type="dxa"/>
              <w:right w:w="20" w:type="dxa"/>
            </w:tcMar>
            <w:vAlign w:val="bottom"/>
          </w:tcPr>
          <w:p w14:paraId="33DABA75"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A76" w14:textId="77777777" w:rsidR="004D6A64" w:rsidRDefault="004D6A6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3DABA77"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A78"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A79"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A7A" w14:textId="77777777" w:rsidR="004D6A64" w:rsidRDefault="004D6A6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3DABA7B" w14:textId="77777777" w:rsidR="004D6A64" w:rsidRDefault="004D6A64">
            <w:pPr>
              <w:rPr>
                <w:rFonts w:ascii="宋体"/>
              </w:rPr>
            </w:pPr>
          </w:p>
        </w:tc>
        <w:tc>
          <w:tcPr>
            <w:tcW w:w="0" w:type="auto"/>
            <w:shd w:val="clear" w:color="auto" w:fill="auto"/>
          </w:tcPr>
          <w:p w14:paraId="33DABA7C" w14:textId="77777777" w:rsidR="004D6A64" w:rsidRDefault="004D6A64">
            <w:pPr>
              <w:rPr>
                <w:rFonts w:ascii="宋体"/>
                <w:vanish/>
              </w:rPr>
            </w:pPr>
          </w:p>
        </w:tc>
        <w:tc>
          <w:tcPr>
            <w:tcW w:w="0" w:type="auto"/>
            <w:shd w:val="clear" w:color="auto" w:fill="auto"/>
          </w:tcPr>
          <w:p w14:paraId="33DABA7D" w14:textId="77777777" w:rsidR="004D6A64" w:rsidRDefault="004D6A64">
            <w:pPr>
              <w:rPr>
                <w:rFonts w:ascii="宋体"/>
                <w:vanish/>
              </w:rPr>
            </w:pPr>
          </w:p>
        </w:tc>
        <w:tc>
          <w:tcPr>
            <w:tcW w:w="0" w:type="auto"/>
            <w:shd w:val="clear" w:color="auto" w:fill="auto"/>
          </w:tcPr>
          <w:p w14:paraId="33DABA7E" w14:textId="77777777" w:rsidR="004D6A64" w:rsidRDefault="004D6A64">
            <w:pPr>
              <w:rPr>
                <w:rFonts w:ascii="宋体"/>
                <w:vanish/>
              </w:rPr>
            </w:pPr>
          </w:p>
        </w:tc>
        <w:tc>
          <w:tcPr>
            <w:tcW w:w="0" w:type="auto"/>
            <w:shd w:val="clear" w:color="auto" w:fill="auto"/>
          </w:tcPr>
          <w:p w14:paraId="33DABA7F" w14:textId="77777777" w:rsidR="004D6A64" w:rsidRDefault="004D6A64">
            <w:pPr>
              <w:rPr>
                <w:rFonts w:ascii="宋体"/>
                <w:vanish/>
              </w:rPr>
            </w:pPr>
          </w:p>
        </w:tc>
        <w:tc>
          <w:tcPr>
            <w:tcW w:w="0" w:type="auto"/>
            <w:shd w:val="clear" w:color="auto" w:fill="auto"/>
          </w:tcPr>
          <w:p w14:paraId="33DABA80" w14:textId="77777777" w:rsidR="004D6A64" w:rsidRDefault="004D6A64">
            <w:pPr>
              <w:rPr>
                <w:rFonts w:ascii="宋体"/>
              </w:rPr>
            </w:pPr>
          </w:p>
        </w:tc>
        <w:tc>
          <w:tcPr>
            <w:tcW w:w="0" w:type="auto"/>
            <w:shd w:val="clear" w:color="auto" w:fill="auto"/>
          </w:tcPr>
          <w:p w14:paraId="33DABA81" w14:textId="77777777" w:rsidR="004D6A64" w:rsidRDefault="004D6A64">
            <w:pPr>
              <w:rPr>
                <w:rFonts w:ascii="宋体"/>
              </w:rPr>
            </w:pPr>
          </w:p>
        </w:tc>
        <w:tc>
          <w:tcPr>
            <w:tcW w:w="0" w:type="auto"/>
            <w:shd w:val="clear" w:color="auto" w:fill="auto"/>
          </w:tcPr>
          <w:p w14:paraId="33DABA82" w14:textId="77777777" w:rsidR="004D6A64" w:rsidRDefault="004D6A64">
            <w:pPr>
              <w:rPr>
                <w:rFonts w:ascii="宋体"/>
              </w:rPr>
            </w:pPr>
          </w:p>
        </w:tc>
        <w:tc>
          <w:tcPr>
            <w:tcW w:w="0" w:type="auto"/>
            <w:shd w:val="clear" w:color="auto" w:fill="auto"/>
          </w:tcPr>
          <w:p w14:paraId="33DABA83" w14:textId="77777777" w:rsidR="004D6A64" w:rsidRDefault="004D6A64">
            <w:pPr>
              <w:rPr>
                <w:rFonts w:ascii="宋体"/>
              </w:rPr>
            </w:pPr>
          </w:p>
        </w:tc>
        <w:tc>
          <w:tcPr>
            <w:tcW w:w="0" w:type="auto"/>
            <w:shd w:val="clear" w:color="auto" w:fill="auto"/>
          </w:tcPr>
          <w:p w14:paraId="33DABA84" w14:textId="77777777" w:rsidR="004D6A64" w:rsidRDefault="004D6A64">
            <w:pPr>
              <w:rPr>
                <w:rFonts w:ascii="宋体"/>
              </w:rPr>
            </w:pPr>
          </w:p>
        </w:tc>
        <w:tc>
          <w:tcPr>
            <w:tcW w:w="0" w:type="auto"/>
            <w:shd w:val="clear" w:color="auto" w:fill="auto"/>
          </w:tcPr>
          <w:p w14:paraId="33DABA85" w14:textId="77777777" w:rsidR="004D6A64" w:rsidRDefault="004D6A64">
            <w:pPr>
              <w:rPr>
                <w:rFonts w:ascii="宋体"/>
              </w:rPr>
            </w:pPr>
          </w:p>
        </w:tc>
        <w:tc>
          <w:tcPr>
            <w:tcW w:w="0" w:type="auto"/>
            <w:shd w:val="clear" w:color="auto" w:fill="auto"/>
          </w:tcPr>
          <w:p w14:paraId="33DABA86" w14:textId="77777777" w:rsidR="004D6A64" w:rsidRDefault="004D6A64">
            <w:pPr>
              <w:rPr>
                <w:rFonts w:ascii="宋体"/>
              </w:rPr>
            </w:pPr>
          </w:p>
        </w:tc>
        <w:tc>
          <w:tcPr>
            <w:tcW w:w="0" w:type="auto"/>
            <w:shd w:val="clear" w:color="auto" w:fill="auto"/>
          </w:tcPr>
          <w:p w14:paraId="33DABA87" w14:textId="77777777" w:rsidR="004D6A64" w:rsidRDefault="004D6A64">
            <w:pPr>
              <w:rPr>
                <w:rFonts w:ascii="宋体"/>
              </w:rPr>
            </w:pPr>
          </w:p>
        </w:tc>
        <w:tc>
          <w:tcPr>
            <w:tcW w:w="0" w:type="auto"/>
            <w:shd w:val="clear" w:color="auto" w:fill="auto"/>
          </w:tcPr>
          <w:p w14:paraId="33DABA88" w14:textId="77777777" w:rsidR="004D6A64" w:rsidRDefault="004D6A64">
            <w:pPr>
              <w:rPr>
                <w:rFonts w:ascii="宋体"/>
              </w:rPr>
            </w:pPr>
          </w:p>
        </w:tc>
        <w:tc>
          <w:tcPr>
            <w:tcW w:w="0" w:type="auto"/>
            <w:shd w:val="clear" w:color="auto" w:fill="auto"/>
          </w:tcPr>
          <w:p w14:paraId="33DABA89" w14:textId="77777777" w:rsidR="004D6A64" w:rsidRDefault="004D6A64">
            <w:pPr>
              <w:rPr>
                <w:rFonts w:ascii="宋体"/>
              </w:rPr>
            </w:pPr>
          </w:p>
        </w:tc>
        <w:tc>
          <w:tcPr>
            <w:tcW w:w="0" w:type="auto"/>
            <w:shd w:val="clear" w:color="auto" w:fill="auto"/>
          </w:tcPr>
          <w:p w14:paraId="33DABA8A" w14:textId="77777777" w:rsidR="004D6A64" w:rsidRDefault="004D6A64">
            <w:pPr>
              <w:rPr>
                <w:rFonts w:ascii="宋体"/>
              </w:rPr>
            </w:pPr>
          </w:p>
        </w:tc>
        <w:tc>
          <w:tcPr>
            <w:tcW w:w="0" w:type="auto"/>
            <w:shd w:val="clear" w:color="auto" w:fill="auto"/>
          </w:tcPr>
          <w:p w14:paraId="33DABA8B" w14:textId="77777777" w:rsidR="004D6A64" w:rsidRDefault="004D6A64">
            <w:pPr>
              <w:rPr>
                <w:rFonts w:ascii="宋体"/>
              </w:rPr>
            </w:pPr>
          </w:p>
        </w:tc>
        <w:tc>
          <w:tcPr>
            <w:tcW w:w="0" w:type="auto"/>
            <w:shd w:val="clear" w:color="auto" w:fill="auto"/>
          </w:tcPr>
          <w:p w14:paraId="33DABA8C" w14:textId="77777777" w:rsidR="004D6A64" w:rsidRDefault="004D6A64">
            <w:pPr>
              <w:rPr>
                <w:rFonts w:ascii="宋体"/>
              </w:rPr>
            </w:pPr>
          </w:p>
        </w:tc>
        <w:tc>
          <w:tcPr>
            <w:tcW w:w="0" w:type="auto"/>
            <w:shd w:val="clear" w:color="auto" w:fill="auto"/>
          </w:tcPr>
          <w:p w14:paraId="33DABA8D" w14:textId="77777777" w:rsidR="004D6A64" w:rsidRDefault="004D6A64">
            <w:pPr>
              <w:rPr>
                <w:rFonts w:ascii="宋体"/>
              </w:rPr>
            </w:pPr>
          </w:p>
        </w:tc>
        <w:tc>
          <w:tcPr>
            <w:tcW w:w="0" w:type="auto"/>
            <w:shd w:val="clear" w:color="auto" w:fill="auto"/>
          </w:tcPr>
          <w:p w14:paraId="33DABA8E" w14:textId="77777777" w:rsidR="004D6A64" w:rsidRDefault="004D6A64">
            <w:pPr>
              <w:rPr>
                <w:rFonts w:ascii="宋体"/>
              </w:rPr>
            </w:pPr>
          </w:p>
        </w:tc>
        <w:tc>
          <w:tcPr>
            <w:tcW w:w="0" w:type="auto"/>
            <w:shd w:val="clear" w:color="auto" w:fill="auto"/>
          </w:tcPr>
          <w:p w14:paraId="33DABA8F" w14:textId="77777777" w:rsidR="004D6A64" w:rsidRDefault="004D6A64">
            <w:pPr>
              <w:rPr>
                <w:rFonts w:ascii="宋体"/>
              </w:rPr>
            </w:pPr>
          </w:p>
        </w:tc>
        <w:tc>
          <w:tcPr>
            <w:tcW w:w="0" w:type="auto"/>
            <w:shd w:val="clear" w:color="auto" w:fill="auto"/>
          </w:tcPr>
          <w:p w14:paraId="33DABA90" w14:textId="77777777" w:rsidR="004D6A64" w:rsidRDefault="004D6A64">
            <w:pPr>
              <w:rPr>
                <w:rFonts w:ascii="宋体"/>
              </w:rPr>
            </w:pPr>
          </w:p>
        </w:tc>
        <w:tc>
          <w:tcPr>
            <w:tcW w:w="0" w:type="auto"/>
            <w:shd w:val="clear" w:color="auto" w:fill="auto"/>
          </w:tcPr>
          <w:p w14:paraId="33DABA91" w14:textId="77777777" w:rsidR="004D6A64" w:rsidRDefault="004D6A64">
            <w:pPr>
              <w:rPr>
                <w:rFonts w:ascii="宋体"/>
              </w:rPr>
            </w:pPr>
          </w:p>
        </w:tc>
      </w:tr>
      <w:tr w:rsidR="004D6A64" w14:paraId="33DABA9E" w14:textId="77777777">
        <w:tc>
          <w:tcPr>
            <w:tcW w:w="0" w:type="auto"/>
            <w:gridSpan w:val="21"/>
            <w:shd w:val="clear" w:color="auto" w:fill="CCEEFF"/>
            <w:tcMar>
              <w:top w:w="40" w:type="dxa"/>
              <w:left w:w="20" w:type="dxa"/>
              <w:bottom w:w="40" w:type="dxa"/>
              <w:right w:w="20" w:type="dxa"/>
            </w:tcMar>
            <w:vAlign w:val="bottom"/>
          </w:tcPr>
          <w:p w14:paraId="33DABA93" w14:textId="77777777" w:rsidR="004D6A64" w:rsidRDefault="00506CD6">
            <w:pPr>
              <w:textAlignment w:val="bottom"/>
            </w:pPr>
            <w:r>
              <w:rPr>
                <w:rFonts w:ascii="Times New Roman" w:eastAsia="宋体" w:hAnsi="Times New Roman"/>
                <w:i/>
                <w:iCs/>
                <w:color w:val="000000"/>
                <w:sz w:val="20"/>
                <w:szCs w:val="20"/>
              </w:rPr>
              <w:t>For the three months ended August 2, 2019</w:t>
            </w:r>
          </w:p>
        </w:tc>
        <w:tc>
          <w:tcPr>
            <w:tcW w:w="0" w:type="auto"/>
            <w:shd w:val="clear" w:color="auto" w:fill="auto"/>
          </w:tcPr>
          <w:p w14:paraId="33DABA94" w14:textId="77777777" w:rsidR="004D6A64" w:rsidRDefault="004D6A64">
            <w:pPr>
              <w:rPr>
                <w:rFonts w:ascii="宋体"/>
                <w:vanish/>
              </w:rPr>
            </w:pPr>
          </w:p>
        </w:tc>
        <w:tc>
          <w:tcPr>
            <w:tcW w:w="0" w:type="auto"/>
            <w:shd w:val="clear" w:color="auto" w:fill="auto"/>
          </w:tcPr>
          <w:p w14:paraId="33DABA95" w14:textId="77777777" w:rsidR="004D6A64" w:rsidRDefault="004D6A64">
            <w:pPr>
              <w:rPr>
                <w:rFonts w:ascii="宋体"/>
                <w:vanish/>
              </w:rPr>
            </w:pPr>
          </w:p>
        </w:tc>
        <w:tc>
          <w:tcPr>
            <w:tcW w:w="0" w:type="auto"/>
            <w:shd w:val="clear" w:color="auto" w:fill="auto"/>
          </w:tcPr>
          <w:p w14:paraId="33DABA96" w14:textId="77777777" w:rsidR="004D6A64" w:rsidRDefault="004D6A64">
            <w:pPr>
              <w:rPr>
                <w:rFonts w:ascii="宋体"/>
                <w:vanish/>
              </w:rPr>
            </w:pPr>
          </w:p>
        </w:tc>
        <w:tc>
          <w:tcPr>
            <w:tcW w:w="0" w:type="auto"/>
            <w:shd w:val="clear" w:color="auto" w:fill="auto"/>
          </w:tcPr>
          <w:p w14:paraId="33DABA97" w14:textId="77777777" w:rsidR="004D6A64" w:rsidRDefault="004D6A64">
            <w:pPr>
              <w:rPr>
                <w:rFonts w:ascii="宋体"/>
                <w:vanish/>
              </w:rPr>
            </w:pPr>
          </w:p>
        </w:tc>
        <w:tc>
          <w:tcPr>
            <w:tcW w:w="0" w:type="auto"/>
            <w:gridSpan w:val="3"/>
            <w:shd w:val="clear" w:color="auto" w:fill="auto"/>
          </w:tcPr>
          <w:p w14:paraId="33DABA98" w14:textId="77777777" w:rsidR="004D6A64" w:rsidRDefault="004D6A64">
            <w:pPr>
              <w:rPr>
                <w:rFonts w:ascii="宋体"/>
                <w:vanish/>
              </w:rPr>
            </w:pPr>
          </w:p>
        </w:tc>
        <w:tc>
          <w:tcPr>
            <w:tcW w:w="0" w:type="auto"/>
            <w:gridSpan w:val="3"/>
            <w:shd w:val="clear" w:color="auto" w:fill="auto"/>
          </w:tcPr>
          <w:p w14:paraId="33DABA99" w14:textId="77777777" w:rsidR="004D6A64" w:rsidRDefault="004D6A64">
            <w:pPr>
              <w:rPr>
                <w:rFonts w:ascii="宋体"/>
                <w:vanish/>
              </w:rPr>
            </w:pPr>
          </w:p>
        </w:tc>
        <w:tc>
          <w:tcPr>
            <w:tcW w:w="0" w:type="auto"/>
            <w:gridSpan w:val="3"/>
            <w:shd w:val="clear" w:color="auto" w:fill="auto"/>
          </w:tcPr>
          <w:p w14:paraId="33DABA9A" w14:textId="77777777" w:rsidR="004D6A64" w:rsidRDefault="004D6A64">
            <w:pPr>
              <w:rPr>
                <w:rFonts w:ascii="宋体"/>
                <w:vanish/>
              </w:rPr>
            </w:pPr>
          </w:p>
        </w:tc>
        <w:tc>
          <w:tcPr>
            <w:tcW w:w="0" w:type="auto"/>
            <w:gridSpan w:val="3"/>
            <w:shd w:val="clear" w:color="auto" w:fill="auto"/>
          </w:tcPr>
          <w:p w14:paraId="33DABA9B" w14:textId="77777777" w:rsidR="004D6A64" w:rsidRDefault="004D6A64">
            <w:pPr>
              <w:rPr>
                <w:rFonts w:ascii="宋体"/>
                <w:vanish/>
              </w:rPr>
            </w:pPr>
          </w:p>
        </w:tc>
        <w:tc>
          <w:tcPr>
            <w:tcW w:w="0" w:type="auto"/>
            <w:gridSpan w:val="3"/>
            <w:shd w:val="clear" w:color="auto" w:fill="auto"/>
          </w:tcPr>
          <w:p w14:paraId="33DABA9C" w14:textId="77777777" w:rsidR="004D6A64" w:rsidRDefault="004D6A64">
            <w:pPr>
              <w:rPr>
                <w:rFonts w:ascii="宋体"/>
                <w:vanish/>
              </w:rPr>
            </w:pPr>
          </w:p>
        </w:tc>
        <w:tc>
          <w:tcPr>
            <w:tcW w:w="0" w:type="auto"/>
            <w:gridSpan w:val="3"/>
            <w:shd w:val="clear" w:color="auto" w:fill="auto"/>
          </w:tcPr>
          <w:p w14:paraId="33DABA9D" w14:textId="77777777" w:rsidR="004D6A64" w:rsidRDefault="004D6A64">
            <w:pPr>
              <w:rPr>
                <w:rFonts w:ascii="宋体"/>
                <w:vanish/>
              </w:rPr>
            </w:pPr>
          </w:p>
        </w:tc>
      </w:tr>
      <w:tr w:rsidR="004D6A64" w14:paraId="33DABABE" w14:textId="77777777">
        <w:tc>
          <w:tcPr>
            <w:tcW w:w="0" w:type="auto"/>
            <w:gridSpan w:val="3"/>
            <w:shd w:val="clear" w:color="auto" w:fill="FFFFFF"/>
            <w:tcMar>
              <w:left w:w="20" w:type="dxa"/>
              <w:right w:w="20" w:type="dxa"/>
            </w:tcMar>
            <w:vAlign w:val="bottom"/>
          </w:tcPr>
          <w:p w14:paraId="33DABA9F"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AA0" w14:textId="77777777" w:rsidR="004D6A64" w:rsidRDefault="004D6A64">
            <w:pPr>
              <w:rPr>
                <w:rFonts w:ascii="宋体"/>
              </w:rPr>
            </w:pPr>
          </w:p>
        </w:tc>
        <w:tc>
          <w:tcPr>
            <w:tcW w:w="0" w:type="auto"/>
            <w:gridSpan w:val="3"/>
            <w:shd w:val="clear" w:color="auto" w:fill="FFFFFF"/>
            <w:tcMar>
              <w:top w:w="40" w:type="dxa"/>
              <w:left w:w="20" w:type="dxa"/>
              <w:bottom w:w="40" w:type="dxa"/>
              <w:right w:w="20" w:type="dxa"/>
            </w:tcMar>
            <w:vAlign w:val="bottom"/>
          </w:tcPr>
          <w:p w14:paraId="33DABAA1" w14:textId="77777777" w:rsidR="004D6A64" w:rsidRDefault="00506CD6">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3DABAA2" w14:textId="77777777" w:rsidR="004D6A64" w:rsidRDefault="004D6A64">
            <w:pPr>
              <w:rPr>
                <w:rFonts w:ascii="宋体"/>
              </w:rPr>
            </w:pPr>
          </w:p>
        </w:tc>
        <w:tc>
          <w:tcPr>
            <w:tcW w:w="0" w:type="auto"/>
            <w:gridSpan w:val="3"/>
            <w:shd w:val="clear" w:color="auto" w:fill="FFFFFF"/>
            <w:tcMar>
              <w:top w:w="40" w:type="dxa"/>
              <w:left w:w="20" w:type="dxa"/>
              <w:bottom w:w="40" w:type="dxa"/>
              <w:right w:w="20" w:type="dxa"/>
            </w:tcMar>
            <w:vAlign w:val="bottom"/>
          </w:tcPr>
          <w:p w14:paraId="33DABAA3" w14:textId="77777777" w:rsidR="004D6A64" w:rsidRDefault="00506CD6">
            <w:pPr>
              <w:textAlignment w:val="bottom"/>
            </w:pPr>
            <w:r>
              <w:rPr>
                <w:rFonts w:ascii="Times New Roman" w:eastAsia="宋体" w:hAnsi="Times New Roman"/>
                <w:color w:val="000000"/>
                <w:sz w:val="20"/>
                <w:szCs w:val="20"/>
              </w:rPr>
              <w:t>Total net revenue</w:t>
            </w:r>
          </w:p>
        </w:tc>
        <w:tc>
          <w:tcPr>
            <w:tcW w:w="0" w:type="auto"/>
            <w:gridSpan w:val="3"/>
            <w:shd w:val="clear" w:color="auto" w:fill="FFFFFF"/>
            <w:tcMar>
              <w:left w:w="20" w:type="dxa"/>
              <w:right w:w="20" w:type="dxa"/>
            </w:tcMar>
            <w:vAlign w:val="bottom"/>
          </w:tcPr>
          <w:p w14:paraId="33DABAA4"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BAA5"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BAA6" w14:textId="77777777" w:rsidR="004D6A64" w:rsidRDefault="00506CD6">
            <w:pPr>
              <w:jc w:val="right"/>
              <w:textAlignment w:val="bottom"/>
            </w:pPr>
            <w:r>
              <w:rPr>
                <w:rFonts w:ascii="Times New Roman" w:eastAsia="宋体" w:hAnsi="Times New Roman"/>
                <w:color w:val="000000"/>
                <w:sz w:val="20"/>
                <w:szCs w:val="20"/>
              </w:rPr>
              <w:t>68 </w:t>
            </w:r>
          </w:p>
        </w:tc>
        <w:tc>
          <w:tcPr>
            <w:tcW w:w="0" w:type="auto"/>
            <w:shd w:val="clear" w:color="auto" w:fill="FFFFFF"/>
            <w:tcMar>
              <w:top w:w="40" w:type="dxa"/>
              <w:bottom w:w="40" w:type="dxa"/>
              <w:right w:w="20" w:type="dxa"/>
            </w:tcMar>
            <w:vAlign w:val="bottom"/>
          </w:tcPr>
          <w:p w14:paraId="33DABAA7" w14:textId="77777777" w:rsidR="004D6A64" w:rsidRDefault="004D6A64">
            <w:pPr>
              <w:jc w:val="right"/>
              <w:rPr>
                <w:rFonts w:ascii="宋体"/>
              </w:rPr>
            </w:pPr>
          </w:p>
        </w:tc>
        <w:tc>
          <w:tcPr>
            <w:tcW w:w="0" w:type="auto"/>
            <w:shd w:val="clear" w:color="auto" w:fill="auto"/>
          </w:tcPr>
          <w:p w14:paraId="33DABAA8" w14:textId="77777777" w:rsidR="004D6A64" w:rsidRDefault="004D6A64">
            <w:pPr>
              <w:rPr>
                <w:rFonts w:ascii="宋体"/>
                <w:vanish/>
              </w:rPr>
            </w:pPr>
          </w:p>
        </w:tc>
        <w:tc>
          <w:tcPr>
            <w:tcW w:w="0" w:type="auto"/>
            <w:shd w:val="clear" w:color="auto" w:fill="auto"/>
          </w:tcPr>
          <w:p w14:paraId="33DABAA9" w14:textId="77777777" w:rsidR="004D6A64" w:rsidRDefault="004D6A64">
            <w:pPr>
              <w:rPr>
                <w:rFonts w:ascii="宋体"/>
                <w:vanish/>
              </w:rPr>
            </w:pPr>
          </w:p>
        </w:tc>
        <w:tc>
          <w:tcPr>
            <w:tcW w:w="0" w:type="auto"/>
            <w:shd w:val="clear" w:color="auto" w:fill="auto"/>
          </w:tcPr>
          <w:p w14:paraId="33DABAAA" w14:textId="77777777" w:rsidR="004D6A64" w:rsidRDefault="004D6A64">
            <w:pPr>
              <w:rPr>
                <w:rFonts w:ascii="宋体"/>
                <w:vanish/>
              </w:rPr>
            </w:pPr>
          </w:p>
        </w:tc>
        <w:tc>
          <w:tcPr>
            <w:tcW w:w="0" w:type="auto"/>
            <w:shd w:val="clear" w:color="auto" w:fill="auto"/>
          </w:tcPr>
          <w:p w14:paraId="33DABAAB" w14:textId="77777777" w:rsidR="004D6A64" w:rsidRDefault="004D6A64">
            <w:pPr>
              <w:rPr>
                <w:rFonts w:ascii="宋体"/>
                <w:vanish/>
              </w:rPr>
            </w:pPr>
          </w:p>
        </w:tc>
        <w:tc>
          <w:tcPr>
            <w:tcW w:w="0" w:type="auto"/>
            <w:shd w:val="clear" w:color="auto" w:fill="auto"/>
          </w:tcPr>
          <w:p w14:paraId="33DABAAC" w14:textId="77777777" w:rsidR="004D6A64" w:rsidRDefault="004D6A64">
            <w:pPr>
              <w:rPr>
                <w:rFonts w:ascii="宋体"/>
              </w:rPr>
            </w:pPr>
          </w:p>
        </w:tc>
        <w:tc>
          <w:tcPr>
            <w:tcW w:w="0" w:type="auto"/>
            <w:shd w:val="clear" w:color="auto" w:fill="auto"/>
          </w:tcPr>
          <w:p w14:paraId="33DABAAD" w14:textId="77777777" w:rsidR="004D6A64" w:rsidRDefault="004D6A64">
            <w:pPr>
              <w:rPr>
                <w:rFonts w:ascii="宋体"/>
              </w:rPr>
            </w:pPr>
          </w:p>
        </w:tc>
        <w:tc>
          <w:tcPr>
            <w:tcW w:w="0" w:type="auto"/>
            <w:shd w:val="clear" w:color="auto" w:fill="auto"/>
          </w:tcPr>
          <w:p w14:paraId="33DABAAE" w14:textId="77777777" w:rsidR="004D6A64" w:rsidRDefault="004D6A64">
            <w:pPr>
              <w:rPr>
                <w:rFonts w:ascii="宋体"/>
              </w:rPr>
            </w:pPr>
          </w:p>
        </w:tc>
        <w:tc>
          <w:tcPr>
            <w:tcW w:w="0" w:type="auto"/>
            <w:shd w:val="clear" w:color="auto" w:fill="auto"/>
          </w:tcPr>
          <w:p w14:paraId="33DABAAF" w14:textId="77777777" w:rsidR="004D6A64" w:rsidRDefault="004D6A64">
            <w:pPr>
              <w:rPr>
                <w:rFonts w:ascii="宋体"/>
              </w:rPr>
            </w:pPr>
          </w:p>
        </w:tc>
        <w:tc>
          <w:tcPr>
            <w:tcW w:w="0" w:type="auto"/>
            <w:shd w:val="clear" w:color="auto" w:fill="auto"/>
          </w:tcPr>
          <w:p w14:paraId="33DABAB0" w14:textId="77777777" w:rsidR="004D6A64" w:rsidRDefault="004D6A64">
            <w:pPr>
              <w:rPr>
                <w:rFonts w:ascii="宋体"/>
              </w:rPr>
            </w:pPr>
          </w:p>
        </w:tc>
        <w:tc>
          <w:tcPr>
            <w:tcW w:w="0" w:type="auto"/>
            <w:shd w:val="clear" w:color="auto" w:fill="auto"/>
          </w:tcPr>
          <w:p w14:paraId="33DABAB1" w14:textId="77777777" w:rsidR="004D6A64" w:rsidRDefault="004D6A64">
            <w:pPr>
              <w:rPr>
                <w:rFonts w:ascii="宋体"/>
              </w:rPr>
            </w:pPr>
          </w:p>
        </w:tc>
        <w:tc>
          <w:tcPr>
            <w:tcW w:w="0" w:type="auto"/>
            <w:shd w:val="clear" w:color="auto" w:fill="auto"/>
          </w:tcPr>
          <w:p w14:paraId="33DABAB2" w14:textId="77777777" w:rsidR="004D6A64" w:rsidRDefault="004D6A64">
            <w:pPr>
              <w:rPr>
                <w:rFonts w:ascii="宋体"/>
              </w:rPr>
            </w:pPr>
          </w:p>
        </w:tc>
        <w:tc>
          <w:tcPr>
            <w:tcW w:w="0" w:type="auto"/>
            <w:shd w:val="clear" w:color="auto" w:fill="auto"/>
          </w:tcPr>
          <w:p w14:paraId="33DABAB3" w14:textId="77777777" w:rsidR="004D6A64" w:rsidRDefault="004D6A64">
            <w:pPr>
              <w:rPr>
                <w:rFonts w:ascii="宋体"/>
              </w:rPr>
            </w:pPr>
          </w:p>
        </w:tc>
        <w:tc>
          <w:tcPr>
            <w:tcW w:w="0" w:type="auto"/>
            <w:shd w:val="clear" w:color="auto" w:fill="auto"/>
          </w:tcPr>
          <w:p w14:paraId="33DABAB4" w14:textId="77777777" w:rsidR="004D6A64" w:rsidRDefault="004D6A64">
            <w:pPr>
              <w:rPr>
                <w:rFonts w:ascii="宋体"/>
              </w:rPr>
            </w:pPr>
          </w:p>
        </w:tc>
        <w:tc>
          <w:tcPr>
            <w:tcW w:w="0" w:type="auto"/>
            <w:shd w:val="clear" w:color="auto" w:fill="auto"/>
          </w:tcPr>
          <w:p w14:paraId="33DABAB5" w14:textId="77777777" w:rsidR="004D6A64" w:rsidRDefault="004D6A64">
            <w:pPr>
              <w:rPr>
                <w:rFonts w:ascii="宋体"/>
              </w:rPr>
            </w:pPr>
          </w:p>
        </w:tc>
        <w:tc>
          <w:tcPr>
            <w:tcW w:w="0" w:type="auto"/>
            <w:shd w:val="clear" w:color="auto" w:fill="auto"/>
          </w:tcPr>
          <w:p w14:paraId="33DABAB6" w14:textId="77777777" w:rsidR="004D6A64" w:rsidRDefault="004D6A64">
            <w:pPr>
              <w:rPr>
                <w:rFonts w:ascii="宋体"/>
              </w:rPr>
            </w:pPr>
          </w:p>
        </w:tc>
        <w:tc>
          <w:tcPr>
            <w:tcW w:w="0" w:type="auto"/>
            <w:shd w:val="clear" w:color="auto" w:fill="auto"/>
          </w:tcPr>
          <w:p w14:paraId="33DABAB7" w14:textId="77777777" w:rsidR="004D6A64" w:rsidRDefault="004D6A64">
            <w:pPr>
              <w:rPr>
                <w:rFonts w:ascii="宋体"/>
              </w:rPr>
            </w:pPr>
          </w:p>
        </w:tc>
        <w:tc>
          <w:tcPr>
            <w:tcW w:w="0" w:type="auto"/>
            <w:shd w:val="clear" w:color="auto" w:fill="auto"/>
          </w:tcPr>
          <w:p w14:paraId="33DABAB8" w14:textId="77777777" w:rsidR="004D6A64" w:rsidRDefault="004D6A64">
            <w:pPr>
              <w:rPr>
                <w:rFonts w:ascii="宋体"/>
              </w:rPr>
            </w:pPr>
          </w:p>
        </w:tc>
        <w:tc>
          <w:tcPr>
            <w:tcW w:w="0" w:type="auto"/>
            <w:shd w:val="clear" w:color="auto" w:fill="auto"/>
          </w:tcPr>
          <w:p w14:paraId="33DABAB9" w14:textId="77777777" w:rsidR="004D6A64" w:rsidRDefault="004D6A64">
            <w:pPr>
              <w:rPr>
                <w:rFonts w:ascii="宋体"/>
              </w:rPr>
            </w:pPr>
          </w:p>
        </w:tc>
        <w:tc>
          <w:tcPr>
            <w:tcW w:w="0" w:type="auto"/>
            <w:shd w:val="clear" w:color="auto" w:fill="auto"/>
          </w:tcPr>
          <w:p w14:paraId="33DABABA" w14:textId="77777777" w:rsidR="004D6A64" w:rsidRDefault="004D6A64">
            <w:pPr>
              <w:rPr>
                <w:rFonts w:ascii="宋体"/>
              </w:rPr>
            </w:pPr>
          </w:p>
        </w:tc>
        <w:tc>
          <w:tcPr>
            <w:tcW w:w="0" w:type="auto"/>
            <w:shd w:val="clear" w:color="auto" w:fill="auto"/>
          </w:tcPr>
          <w:p w14:paraId="33DABABB" w14:textId="77777777" w:rsidR="004D6A64" w:rsidRDefault="004D6A64">
            <w:pPr>
              <w:rPr>
                <w:rFonts w:ascii="宋体"/>
              </w:rPr>
            </w:pPr>
          </w:p>
        </w:tc>
        <w:tc>
          <w:tcPr>
            <w:tcW w:w="0" w:type="auto"/>
            <w:shd w:val="clear" w:color="auto" w:fill="auto"/>
          </w:tcPr>
          <w:p w14:paraId="33DABABC" w14:textId="77777777" w:rsidR="004D6A64" w:rsidRDefault="004D6A64">
            <w:pPr>
              <w:rPr>
                <w:rFonts w:ascii="宋体"/>
              </w:rPr>
            </w:pPr>
          </w:p>
        </w:tc>
        <w:tc>
          <w:tcPr>
            <w:tcW w:w="0" w:type="auto"/>
            <w:shd w:val="clear" w:color="auto" w:fill="auto"/>
          </w:tcPr>
          <w:p w14:paraId="33DABABD" w14:textId="77777777" w:rsidR="004D6A64" w:rsidRDefault="004D6A64">
            <w:pPr>
              <w:rPr>
                <w:rFonts w:ascii="宋体"/>
              </w:rPr>
            </w:pPr>
          </w:p>
        </w:tc>
      </w:tr>
      <w:tr w:rsidR="004D6A64" w14:paraId="33DABADF" w14:textId="77777777">
        <w:tc>
          <w:tcPr>
            <w:tcW w:w="0" w:type="auto"/>
            <w:gridSpan w:val="3"/>
            <w:shd w:val="clear" w:color="auto" w:fill="CCEEFF"/>
            <w:tcMar>
              <w:top w:w="40" w:type="dxa"/>
              <w:left w:w="20" w:type="dxa"/>
              <w:bottom w:w="40" w:type="dxa"/>
              <w:right w:w="20" w:type="dxa"/>
            </w:tcMar>
            <w:vAlign w:val="bottom"/>
          </w:tcPr>
          <w:p w14:paraId="33DABABF" w14:textId="77777777" w:rsidR="004D6A64" w:rsidRDefault="00506CD6">
            <w:pPr>
              <w:textAlignment w:val="bottom"/>
            </w:pPr>
            <w:r>
              <w:rPr>
                <w:rFonts w:ascii="Times New Roman" w:eastAsia="宋体" w:hAnsi="Times New Roman"/>
                <w:color w:val="000000"/>
                <w:sz w:val="20"/>
                <w:szCs w:val="20"/>
              </w:rPr>
              <w:t>Foreign exchange contracts</w:t>
            </w:r>
          </w:p>
        </w:tc>
        <w:tc>
          <w:tcPr>
            <w:tcW w:w="0" w:type="auto"/>
            <w:gridSpan w:val="3"/>
            <w:shd w:val="clear" w:color="auto" w:fill="CCEEFF"/>
            <w:tcMar>
              <w:left w:w="20" w:type="dxa"/>
              <w:right w:w="20" w:type="dxa"/>
            </w:tcMar>
            <w:vAlign w:val="bottom"/>
          </w:tcPr>
          <w:p w14:paraId="33DABAC0"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BAC1"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BAC2" w14:textId="77777777" w:rsidR="004D6A64" w:rsidRDefault="00506CD6">
            <w:pPr>
              <w:jc w:val="right"/>
              <w:textAlignment w:val="bottom"/>
            </w:pPr>
            <w:r>
              <w:rPr>
                <w:rFonts w:ascii="Times New Roman" w:eastAsia="宋体" w:hAnsi="Times New Roman"/>
                <w:color w:val="000000"/>
                <w:sz w:val="20"/>
                <w:szCs w:val="20"/>
              </w:rPr>
              <w:t>105 </w:t>
            </w:r>
          </w:p>
        </w:tc>
        <w:tc>
          <w:tcPr>
            <w:tcW w:w="0" w:type="auto"/>
            <w:shd w:val="clear" w:color="auto" w:fill="CCEEFF"/>
            <w:tcMar>
              <w:top w:w="40" w:type="dxa"/>
              <w:bottom w:w="40" w:type="dxa"/>
              <w:right w:w="20" w:type="dxa"/>
            </w:tcMar>
            <w:vAlign w:val="bottom"/>
          </w:tcPr>
          <w:p w14:paraId="33DABAC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AC4" w14:textId="77777777" w:rsidR="004D6A64" w:rsidRDefault="004D6A64">
            <w:pPr>
              <w:rPr>
                <w:rFonts w:ascii="宋体"/>
              </w:rPr>
            </w:pPr>
          </w:p>
        </w:tc>
        <w:tc>
          <w:tcPr>
            <w:tcW w:w="0" w:type="auto"/>
            <w:gridSpan w:val="3"/>
            <w:shd w:val="clear" w:color="auto" w:fill="CCEEFF"/>
            <w:tcMar>
              <w:top w:w="40" w:type="dxa"/>
              <w:left w:w="20" w:type="dxa"/>
              <w:bottom w:w="40" w:type="dxa"/>
              <w:right w:w="20" w:type="dxa"/>
            </w:tcMar>
            <w:vAlign w:val="bottom"/>
          </w:tcPr>
          <w:p w14:paraId="33DABAC5" w14:textId="77777777" w:rsidR="004D6A64" w:rsidRDefault="00506CD6">
            <w:pPr>
              <w:textAlignment w:val="bottom"/>
            </w:pPr>
            <w:r>
              <w:rPr>
                <w:rFonts w:ascii="Times New Roman" w:eastAsia="宋体" w:hAnsi="Times New Roman"/>
                <w:color w:val="000000"/>
                <w:sz w:val="20"/>
                <w:szCs w:val="20"/>
              </w:rPr>
              <w:t>Total cost of net revenue</w:t>
            </w:r>
          </w:p>
        </w:tc>
        <w:tc>
          <w:tcPr>
            <w:tcW w:w="0" w:type="auto"/>
            <w:gridSpan w:val="3"/>
            <w:shd w:val="clear" w:color="auto" w:fill="CCEEFF"/>
            <w:tcMar>
              <w:left w:w="20" w:type="dxa"/>
              <w:right w:w="20" w:type="dxa"/>
            </w:tcMar>
            <w:vAlign w:val="bottom"/>
          </w:tcPr>
          <w:p w14:paraId="33DABAC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BAC7"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BAC8" w14:textId="77777777" w:rsidR="004D6A64" w:rsidRDefault="004D6A64">
            <w:pPr>
              <w:jc w:val="right"/>
              <w:rPr>
                <w:rFonts w:ascii="宋体"/>
              </w:rPr>
            </w:pPr>
          </w:p>
        </w:tc>
        <w:tc>
          <w:tcPr>
            <w:tcW w:w="0" w:type="auto"/>
            <w:shd w:val="clear" w:color="auto" w:fill="auto"/>
          </w:tcPr>
          <w:p w14:paraId="33DABAC9" w14:textId="77777777" w:rsidR="004D6A64" w:rsidRDefault="004D6A64">
            <w:pPr>
              <w:rPr>
                <w:rFonts w:ascii="宋体"/>
                <w:vanish/>
              </w:rPr>
            </w:pPr>
          </w:p>
        </w:tc>
        <w:tc>
          <w:tcPr>
            <w:tcW w:w="0" w:type="auto"/>
            <w:shd w:val="clear" w:color="auto" w:fill="auto"/>
          </w:tcPr>
          <w:p w14:paraId="33DABACA" w14:textId="77777777" w:rsidR="004D6A64" w:rsidRDefault="004D6A64">
            <w:pPr>
              <w:rPr>
                <w:rFonts w:ascii="宋体"/>
                <w:vanish/>
              </w:rPr>
            </w:pPr>
          </w:p>
        </w:tc>
        <w:tc>
          <w:tcPr>
            <w:tcW w:w="0" w:type="auto"/>
            <w:shd w:val="clear" w:color="auto" w:fill="auto"/>
          </w:tcPr>
          <w:p w14:paraId="33DABACB" w14:textId="77777777" w:rsidR="004D6A64" w:rsidRDefault="004D6A64">
            <w:pPr>
              <w:rPr>
                <w:rFonts w:ascii="宋体"/>
                <w:vanish/>
              </w:rPr>
            </w:pPr>
          </w:p>
        </w:tc>
        <w:tc>
          <w:tcPr>
            <w:tcW w:w="0" w:type="auto"/>
            <w:shd w:val="clear" w:color="auto" w:fill="auto"/>
          </w:tcPr>
          <w:p w14:paraId="33DABACC" w14:textId="77777777" w:rsidR="004D6A64" w:rsidRDefault="004D6A64">
            <w:pPr>
              <w:rPr>
                <w:rFonts w:ascii="宋体"/>
                <w:vanish/>
              </w:rPr>
            </w:pPr>
          </w:p>
        </w:tc>
        <w:tc>
          <w:tcPr>
            <w:tcW w:w="0" w:type="auto"/>
            <w:shd w:val="clear" w:color="auto" w:fill="auto"/>
          </w:tcPr>
          <w:p w14:paraId="33DABACD" w14:textId="77777777" w:rsidR="004D6A64" w:rsidRDefault="004D6A64">
            <w:pPr>
              <w:rPr>
                <w:rFonts w:ascii="宋体"/>
              </w:rPr>
            </w:pPr>
          </w:p>
        </w:tc>
        <w:tc>
          <w:tcPr>
            <w:tcW w:w="0" w:type="auto"/>
            <w:shd w:val="clear" w:color="auto" w:fill="auto"/>
          </w:tcPr>
          <w:p w14:paraId="33DABACE" w14:textId="77777777" w:rsidR="004D6A64" w:rsidRDefault="004D6A64">
            <w:pPr>
              <w:rPr>
                <w:rFonts w:ascii="宋体"/>
              </w:rPr>
            </w:pPr>
          </w:p>
        </w:tc>
        <w:tc>
          <w:tcPr>
            <w:tcW w:w="0" w:type="auto"/>
            <w:shd w:val="clear" w:color="auto" w:fill="auto"/>
          </w:tcPr>
          <w:p w14:paraId="33DABACF" w14:textId="77777777" w:rsidR="004D6A64" w:rsidRDefault="004D6A64">
            <w:pPr>
              <w:rPr>
                <w:rFonts w:ascii="宋体"/>
              </w:rPr>
            </w:pPr>
          </w:p>
        </w:tc>
        <w:tc>
          <w:tcPr>
            <w:tcW w:w="0" w:type="auto"/>
            <w:shd w:val="clear" w:color="auto" w:fill="auto"/>
          </w:tcPr>
          <w:p w14:paraId="33DABAD0" w14:textId="77777777" w:rsidR="004D6A64" w:rsidRDefault="004D6A64">
            <w:pPr>
              <w:rPr>
                <w:rFonts w:ascii="宋体"/>
              </w:rPr>
            </w:pPr>
          </w:p>
        </w:tc>
        <w:tc>
          <w:tcPr>
            <w:tcW w:w="0" w:type="auto"/>
            <w:shd w:val="clear" w:color="auto" w:fill="auto"/>
          </w:tcPr>
          <w:p w14:paraId="33DABAD1" w14:textId="77777777" w:rsidR="004D6A64" w:rsidRDefault="004D6A64">
            <w:pPr>
              <w:rPr>
                <w:rFonts w:ascii="宋体"/>
              </w:rPr>
            </w:pPr>
          </w:p>
        </w:tc>
        <w:tc>
          <w:tcPr>
            <w:tcW w:w="0" w:type="auto"/>
            <w:shd w:val="clear" w:color="auto" w:fill="auto"/>
          </w:tcPr>
          <w:p w14:paraId="33DABAD2" w14:textId="77777777" w:rsidR="004D6A64" w:rsidRDefault="004D6A64">
            <w:pPr>
              <w:rPr>
                <w:rFonts w:ascii="宋体"/>
              </w:rPr>
            </w:pPr>
          </w:p>
        </w:tc>
        <w:tc>
          <w:tcPr>
            <w:tcW w:w="0" w:type="auto"/>
            <w:shd w:val="clear" w:color="auto" w:fill="auto"/>
          </w:tcPr>
          <w:p w14:paraId="33DABAD3" w14:textId="77777777" w:rsidR="004D6A64" w:rsidRDefault="004D6A64">
            <w:pPr>
              <w:rPr>
                <w:rFonts w:ascii="宋体"/>
              </w:rPr>
            </w:pPr>
          </w:p>
        </w:tc>
        <w:tc>
          <w:tcPr>
            <w:tcW w:w="0" w:type="auto"/>
            <w:shd w:val="clear" w:color="auto" w:fill="auto"/>
          </w:tcPr>
          <w:p w14:paraId="33DABAD4" w14:textId="77777777" w:rsidR="004D6A64" w:rsidRDefault="004D6A64">
            <w:pPr>
              <w:rPr>
                <w:rFonts w:ascii="宋体"/>
              </w:rPr>
            </w:pPr>
          </w:p>
        </w:tc>
        <w:tc>
          <w:tcPr>
            <w:tcW w:w="0" w:type="auto"/>
            <w:shd w:val="clear" w:color="auto" w:fill="auto"/>
          </w:tcPr>
          <w:p w14:paraId="33DABAD5" w14:textId="77777777" w:rsidR="004D6A64" w:rsidRDefault="004D6A64">
            <w:pPr>
              <w:rPr>
                <w:rFonts w:ascii="宋体"/>
              </w:rPr>
            </w:pPr>
          </w:p>
        </w:tc>
        <w:tc>
          <w:tcPr>
            <w:tcW w:w="0" w:type="auto"/>
            <w:shd w:val="clear" w:color="auto" w:fill="auto"/>
          </w:tcPr>
          <w:p w14:paraId="33DABAD6" w14:textId="77777777" w:rsidR="004D6A64" w:rsidRDefault="004D6A64">
            <w:pPr>
              <w:rPr>
                <w:rFonts w:ascii="宋体"/>
              </w:rPr>
            </w:pPr>
          </w:p>
        </w:tc>
        <w:tc>
          <w:tcPr>
            <w:tcW w:w="0" w:type="auto"/>
            <w:shd w:val="clear" w:color="auto" w:fill="auto"/>
          </w:tcPr>
          <w:p w14:paraId="33DABAD7" w14:textId="77777777" w:rsidR="004D6A64" w:rsidRDefault="004D6A64">
            <w:pPr>
              <w:rPr>
                <w:rFonts w:ascii="宋体"/>
              </w:rPr>
            </w:pPr>
          </w:p>
        </w:tc>
        <w:tc>
          <w:tcPr>
            <w:tcW w:w="0" w:type="auto"/>
            <w:shd w:val="clear" w:color="auto" w:fill="auto"/>
          </w:tcPr>
          <w:p w14:paraId="33DABAD8" w14:textId="77777777" w:rsidR="004D6A64" w:rsidRDefault="004D6A64">
            <w:pPr>
              <w:rPr>
                <w:rFonts w:ascii="宋体"/>
              </w:rPr>
            </w:pPr>
          </w:p>
        </w:tc>
        <w:tc>
          <w:tcPr>
            <w:tcW w:w="0" w:type="auto"/>
            <w:shd w:val="clear" w:color="auto" w:fill="auto"/>
          </w:tcPr>
          <w:p w14:paraId="33DABAD9" w14:textId="77777777" w:rsidR="004D6A64" w:rsidRDefault="004D6A64">
            <w:pPr>
              <w:rPr>
                <w:rFonts w:ascii="宋体"/>
              </w:rPr>
            </w:pPr>
          </w:p>
        </w:tc>
        <w:tc>
          <w:tcPr>
            <w:tcW w:w="0" w:type="auto"/>
            <w:shd w:val="clear" w:color="auto" w:fill="auto"/>
          </w:tcPr>
          <w:p w14:paraId="33DABADA" w14:textId="77777777" w:rsidR="004D6A64" w:rsidRDefault="004D6A64">
            <w:pPr>
              <w:rPr>
                <w:rFonts w:ascii="宋体"/>
              </w:rPr>
            </w:pPr>
          </w:p>
        </w:tc>
        <w:tc>
          <w:tcPr>
            <w:tcW w:w="0" w:type="auto"/>
            <w:shd w:val="clear" w:color="auto" w:fill="auto"/>
          </w:tcPr>
          <w:p w14:paraId="33DABADB" w14:textId="77777777" w:rsidR="004D6A64" w:rsidRDefault="004D6A64">
            <w:pPr>
              <w:rPr>
                <w:rFonts w:ascii="宋体"/>
              </w:rPr>
            </w:pPr>
          </w:p>
        </w:tc>
        <w:tc>
          <w:tcPr>
            <w:tcW w:w="0" w:type="auto"/>
            <w:shd w:val="clear" w:color="auto" w:fill="auto"/>
          </w:tcPr>
          <w:p w14:paraId="33DABADC" w14:textId="77777777" w:rsidR="004D6A64" w:rsidRDefault="004D6A64">
            <w:pPr>
              <w:rPr>
                <w:rFonts w:ascii="宋体"/>
              </w:rPr>
            </w:pPr>
          </w:p>
        </w:tc>
        <w:tc>
          <w:tcPr>
            <w:tcW w:w="0" w:type="auto"/>
            <w:shd w:val="clear" w:color="auto" w:fill="auto"/>
          </w:tcPr>
          <w:p w14:paraId="33DABADD" w14:textId="77777777" w:rsidR="004D6A64" w:rsidRDefault="004D6A64">
            <w:pPr>
              <w:rPr>
                <w:rFonts w:ascii="宋体"/>
              </w:rPr>
            </w:pPr>
          </w:p>
        </w:tc>
        <w:tc>
          <w:tcPr>
            <w:tcW w:w="0" w:type="auto"/>
            <w:shd w:val="clear" w:color="auto" w:fill="auto"/>
          </w:tcPr>
          <w:p w14:paraId="33DABADE" w14:textId="77777777" w:rsidR="004D6A64" w:rsidRDefault="004D6A64">
            <w:pPr>
              <w:rPr>
                <w:rFonts w:ascii="宋体"/>
              </w:rPr>
            </w:pPr>
          </w:p>
        </w:tc>
      </w:tr>
      <w:tr w:rsidR="004D6A64" w14:paraId="33DABAFF" w14:textId="77777777">
        <w:tc>
          <w:tcPr>
            <w:tcW w:w="0" w:type="auto"/>
            <w:gridSpan w:val="3"/>
            <w:shd w:val="clear" w:color="auto" w:fill="FFFFFF"/>
            <w:tcMar>
              <w:top w:w="40" w:type="dxa"/>
              <w:left w:w="20" w:type="dxa"/>
              <w:bottom w:w="40" w:type="dxa"/>
              <w:right w:w="20" w:type="dxa"/>
            </w:tcMar>
            <w:vAlign w:val="bottom"/>
          </w:tcPr>
          <w:p w14:paraId="33DABAE0" w14:textId="77777777" w:rsidR="004D6A64" w:rsidRDefault="00506CD6">
            <w:pPr>
              <w:textAlignment w:val="bottom"/>
            </w:pPr>
            <w:r>
              <w:rPr>
                <w:rFonts w:ascii="Times New Roman" w:eastAsia="宋体" w:hAnsi="Times New Roman"/>
                <w:color w:val="000000"/>
                <w:sz w:val="20"/>
                <w:szCs w:val="20"/>
              </w:rPr>
              <w:t>Interest rate contracts</w:t>
            </w:r>
          </w:p>
        </w:tc>
        <w:tc>
          <w:tcPr>
            <w:tcW w:w="0" w:type="auto"/>
            <w:gridSpan w:val="3"/>
            <w:shd w:val="clear" w:color="auto" w:fill="FFFFFF"/>
            <w:tcMar>
              <w:left w:w="20" w:type="dxa"/>
              <w:right w:w="20" w:type="dxa"/>
            </w:tcMar>
            <w:vAlign w:val="bottom"/>
          </w:tcPr>
          <w:p w14:paraId="33DABAE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BAE2"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BAE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AE4" w14:textId="77777777" w:rsidR="004D6A64" w:rsidRDefault="004D6A64">
            <w:pPr>
              <w:rPr>
                <w:rFonts w:ascii="宋体"/>
              </w:rPr>
            </w:pPr>
          </w:p>
        </w:tc>
        <w:tc>
          <w:tcPr>
            <w:tcW w:w="0" w:type="auto"/>
            <w:gridSpan w:val="3"/>
            <w:shd w:val="clear" w:color="auto" w:fill="FFFFFF"/>
            <w:tcMar>
              <w:top w:w="40" w:type="dxa"/>
              <w:left w:w="20" w:type="dxa"/>
              <w:bottom w:w="40" w:type="dxa"/>
              <w:right w:w="20" w:type="dxa"/>
            </w:tcMar>
            <w:vAlign w:val="bottom"/>
          </w:tcPr>
          <w:p w14:paraId="33DABAE5" w14:textId="77777777" w:rsidR="004D6A64" w:rsidRDefault="00506CD6">
            <w:pPr>
              <w:textAlignment w:val="bottom"/>
            </w:pPr>
            <w:r>
              <w:rPr>
                <w:rFonts w:ascii="Times New Roman" w:eastAsia="宋体" w:hAnsi="Times New Roman"/>
                <w:color w:val="000000"/>
                <w:sz w:val="20"/>
                <w:szCs w:val="20"/>
              </w:rPr>
              <w:t>Interest and other, net</w:t>
            </w:r>
          </w:p>
        </w:tc>
        <w:tc>
          <w:tcPr>
            <w:tcW w:w="0" w:type="auto"/>
            <w:gridSpan w:val="3"/>
            <w:shd w:val="clear" w:color="auto" w:fill="FFFFFF"/>
            <w:tcMar>
              <w:left w:w="20" w:type="dxa"/>
              <w:right w:w="20" w:type="dxa"/>
            </w:tcMar>
            <w:vAlign w:val="bottom"/>
          </w:tcPr>
          <w:p w14:paraId="33DABAE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BAE7"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BAE8" w14:textId="77777777" w:rsidR="004D6A64" w:rsidRDefault="004D6A64">
            <w:pPr>
              <w:jc w:val="right"/>
              <w:rPr>
                <w:rFonts w:ascii="宋体"/>
              </w:rPr>
            </w:pPr>
          </w:p>
        </w:tc>
        <w:tc>
          <w:tcPr>
            <w:tcW w:w="0" w:type="auto"/>
            <w:shd w:val="clear" w:color="auto" w:fill="auto"/>
          </w:tcPr>
          <w:p w14:paraId="33DABAE9" w14:textId="77777777" w:rsidR="004D6A64" w:rsidRDefault="004D6A64">
            <w:pPr>
              <w:rPr>
                <w:rFonts w:ascii="宋体"/>
                <w:vanish/>
              </w:rPr>
            </w:pPr>
          </w:p>
        </w:tc>
        <w:tc>
          <w:tcPr>
            <w:tcW w:w="0" w:type="auto"/>
            <w:shd w:val="clear" w:color="auto" w:fill="auto"/>
          </w:tcPr>
          <w:p w14:paraId="33DABAEA" w14:textId="77777777" w:rsidR="004D6A64" w:rsidRDefault="004D6A64">
            <w:pPr>
              <w:rPr>
                <w:rFonts w:ascii="宋体"/>
                <w:vanish/>
              </w:rPr>
            </w:pPr>
          </w:p>
        </w:tc>
        <w:tc>
          <w:tcPr>
            <w:tcW w:w="0" w:type="auto"/>
            <w:shd w:val="clear" w:color="auto" w:fill="auto"/>
          </w:tcPr>
          <w:p w14:paraId="33DABAEB" w14:textId="77777777" w:rsidR="004D6A64" w:rsidRDefault="004D6A64">
            <w:pPr>
              <w:rPr>
                <w:rFonts w:ascii="宋体"/>
                <w:vanish/>
              </w:rPr>
            </w:pPr>
          </w:p>
        </w:tc>
        <w:tc>
          <w:tcPr>
            <w:tcW w:w="0" w:type="auto"/>
            <w:shd w:val="clear" w:color="auto" w:fill="auto"/>
          </w:tcPr>
          <w:p w14:paraId="33DABAEC" w14:textId="77777777" w:rsidR="004D6A64" w:rsidRDefault="004D6A64">
            <w:pPr>
              <w:rPr>
                <w:rFonts w:ascii="宋体"/>
                <w:vanish/>
              </w:rPr>
            </w:pPr>
          </w:p>
        </w:tc>
        <w:tc>
          <w:tcPr>
            <w:tcW w:w="0" w:type="auto"/>
            <w:shd w:val="clear" w:color="auto" w:fill="auto"/>
          </w:tcPr>
          <w:p w14:paraId="33DABAED" w14:textId="77777777" w:rsidR="004D6A64" w:rsidRDefault="004D6A64">
            <w:pPr>
              <w:rPr>
                <w:rFonts w:ascii="宋体"/>
              </w:rPr>
            </w:pPr>
          </w:p>
        </w:tc>
        <w:tc>
          <w:tcPr>
            <w:tcW w:w="0" w:type="auto"/>
            <w:shd w:val="clear" w:color="auto" w:fill="auto"/>
          </w:tcPr>
          <w:p w14:paraId="33DABAEE" w14:textId="77777777" w:rsidR="004D6A64" w:rsidRDefault="004D6A64">
            <w:pPr>
              <w:rPr>
                <w:rFonts w:ascii="宋体"/>
              </w:rPr>
            </w:pPr>
          </w:p>
        </w:tc>
        <w:tc>
          <w:tcPr>
            <w:tcW w:w="0" w:type="auto"/>
            <w:shd w:val="clear" w:color="auto" w:fill="auto"/>
          </w:tcPr>
          <w:p w14:paraId="33DABAEF" w14:textId="77777777" w:rsidR="004D6A64" w:rsidRDefault="004D6A64">
            <w:pPr>
              <w:rPr>
                <w:rFonts w:ascii="宋体"/>
              </w:rPr>
            </w:pPr>
          </w:p>
        </w:tc>
        <w:tc>
          <w:tcPr>
            <w:tcW w:w="0" w:type="auto"/>
            <w:shd w:val="clear" w:color="auto" w:fill="auto"/>
          </w:tcPr>
          <w:p w14:paraId="33DABAF0" w14:textId="77777777" w:rsidR="004D6A64" w:rsidRDefault="004D6A64">
            <w:pPr>
              <w:rPr>
                <w:rFonts w:ascii="宋体"/>
              </w:rPr>
            </w:pPr>
          </w:p>
        </w:tc>
        <w:tc>
          <w:tcPr>
            <w:tcW w:w="0" w:type="auto"/>
            <w:shd w:val="clear" w:color="auto" w:fill="auto"/>
          </w:tcPr>
          <w:p w14:paraId="33DABAF1" w14:textId="77777777" w:rsidR="004D6A64" w:rsidRDefault="004D6A64">
            <w:pPr>
              <w:rPr>
                <w:rFonts w:ascii="宋体"/>
              </w:rPr>
            </w:pPr>
          </w:p>
        </w:tc>
        <w:tc>
          <w:tcPr>
            <w:tcW w:w="0" w:type="auto"/>
            <w:shd w:val="clear" w:color="auto" w:fill="auto"/>
          </w:tcPr>
          <w:p w14:paraId="33DABAF2" w14:textId="77777777" w:rsidR="004D6A64" w:rsidRDefault="004D6A64">
            <w:pPr>
              <w:rPr>
                <w:rFonts w:ascii="宋体"/>
              </w:rPr>
            </w:pPr>
          </w:p>
        </w:tc>
        <w:tc>
          <w:tcPr>
            <w:tcW w:w="0" w:type="auto"/>
            <w:shd w:val="clear" w:color="auto" w:fill="auto"/>
          </w:tcPr>
          <w:p w14:paraId="33DABAF3" w14:textId="77777777" w:rsidR="004D6A64" w:rsidRDefault="004D6A64">
            <w:pPr>
              <w:rPr>
                <w:rFonts w:ascii="宋体"/>
              </w:rPr>
            </w:pPr>
          </w:p>
        </w:tc>
        <w:tc>
          <w:tcPr>
            <w:tcW w:w="0" w:type="auto"/>
            <w:shd w:val="clear" w:color="auto" w:fill="auto"/>
          </w:tcPr>
          <w:p w14:paraId="33DABAF4" w14:textId="77777777" w:rsidR="004D6A64" w:rsidRDefault="004D6A64">
            <w:pPr>
              <w:rPr>
                <w:rFonts w:ascii="宋体"/>
              </w:rPr>
            </w:pPr>
          </w:p>
        </w:tc>
        <w:tc>
          <w:tcPr>
            <w:tcW w:w="0" w:type="auto"/>
            <w:shd w:val="clear" w:color="auto" w:fill="auto"/>
          </w:tcPr>
          <w:p w14:paraId="33DABAF5" w14:textId="77777777" w:rsidR="004D6A64" w:rsidRDefault="004D6A64">
            <w:pPr>
              <w:rPr>
                <w:rFonts w:ascii="宋体"/>
              </w:rPr>
            </w:pPr>
          </w:p>
        </w:tc>
        <w:tc>
          <w:tcPr>
            <w:tcW w:w="0" w:type="auto"/>
            <w:shd w:val="clear" w:color="auto" w:fill="auto"/>
          </w:tcPr>
          <w:p w14:paraId="33DABAF6" w14:textId="77777777" w:rsidR="004D6A64" w:rsidRDefault="004D6A64">
            <w:pPr>
              <w:rPr>
                <w:rFonts w:ascii="宋体"/>
              </w:rPr>
            </w:pPr>
          </w:p>
        </w:tc>
        <w:tc>
          <w:tcPr>
            <w:tcW w:w="0" w:type="auto"/>
            <w:shd w:val="clear" w:color="auto" w:fill="auto"/>
          </w:tcPr>
          <w:p w14:paraId="33DABAF7" w14:textId="77777777" w:rsidR="004D6A64" w:rsidRDefault="004D6A64">
            <w:pPr>
              <w:rPr>
                <w:rFonts w:ascii="宋体"/>
              </w:rPr>
            </w:pPr>
          </w:p>
        </w:tc>
        <w:tc>
          <w:tcPr>
            <w:tcW w:w="0" w:type="auto"/>
            <w:shd w:val="clear" w:color="auto" w:fill="auto"/>
          </w:tcPr>
          <w:p w14:paraId="33DABAF8" w14:textId="77777777" w:rsidR="004D6A64" w:rsidRDefault="004D6A64">
            <w:pPr>
              <w:rPr>
                <w:rFonts w:ascii="宋体"/>
              </w:rPr>
            </w:pPr>
          </w:p>
        </w:tc>
        <w:tc>
          <w:tcPr>
            <w:tcW w:w="0" w:type="auto"/>
            <w:shd w:val="clear" w:color="auto" w:fill="auto"/>
          </w:tcPr>
          <w:p w14:paraId="33DABAF9" w14:textId="77777777" w:rsidR="004D6A64" w:rsidRDefault="004D6A64">
            <w:pPr>
              <w:rPr>
                <w:rFonts w:ascii="宋体"/>
              </w:rPr>
            </w:pPr>
          </w:p>
        </w:tc>
        <w:tc>
          <w:tcPr>
            <w:tcW w:w="0" w:type="auto"/>
            <w:shd w:val="clear" w:color="auto" w:fill="auto"/>
          </w:tcPr>
          <w:p w14:paraId="33DABAFA" w14:textId="77777777" w:rsidR="004D6A64" w:rsidRDefault="004D6A64">
            <w:pPr>
              <w:rPr>
                <w:rFonts w:ascii="宋体"/>
              </w:rPr>
            </w:pPr>
          </w:p>
        </w:tc>
        <w:tc>
          <w:tcPr>
            <w:tcW w:w="0" w:type="auto"/>
            <w:shd w:val="clear" w:color="auto" w:fill="auto"/>
          </w:tcPr>
          <w:p w14:paraId="33DABAFB" w14:textId="77777777" w:rsidR="004D6A64" w:rsidRDefault="004D6A64">
            <w:pPr>
              <w:rPr>
                <w:rFonts w:ascii="宋体"/>
              </w:rPr>
            </w:pPr>
          </w:p>
        </w:tc>
        <w:tc>
          <w:tcPr>
            <w:tcW w:w="0" w:type="auto"/>
            <w:shd w:val="clear" w:color="auto" w:fill="auto"/>
          </w:tcPr>
          <w:p w14:paraId="33DABAFC" w14:textId="77777777" w:rsidR="004D6A64" w:rsidRDefault="004D6A64">
            <w:pPr>
              <w:rPr>
                <w:rFonts w:ascii="宋体"/>
              </w:rPr>
            </w:pPr>
          </w:p>
        </w:tc>
        <w:tc>
          <w:tcPr>
            <w:tcW w:w="0" w:type="auto"/>
            <w:shd w:val="clear" w:color="auto" w:fill="auto"/>
          </w:tcPr>
          <w:p w14:paraId="33DABAFD" w14:textId="77777777" w:rsidR="004D6A64" w:rsidRDefault="004D6A64">
            <w:pPr>
              <w:rPr>
                <w:rFonts w:ascii="宋体"/>
              </w:rPr>
            </w:pPr>
          </w:p>
        </w:tc>
        <w:tc>
          <w:tcPr>
            <w:tcW w:w="0" w:type="auto"/>
            <w:shd w:val="clear" w:color="auto" w:fill="auto"/>
          </w:tcPr>
          <w:p w14:paraId="33DABAFE" w14:textId="77777777" w:rsidR="004D6A64" w:rsidRDefault="004D6A64">
            <w:pPr>
              <w:rPr>
                <w:rFonts w:ascii="宋体"/>
              </w:rPr>
            </w:pPr>
          </w:p>
        </w:tc>
      </w:tr>
      <w:tr w:rsidR="004D6A64" w14:paraId="33DABB21" w14:textId="77777777">
        <w:tc>
          <w:tcPr>
            <w:tcW w:w="0" w:type="auto"/>
            <w:gridSpan w:val="3"/>
            <w:shd w:val="clear" w:color="auto" w:fill="CCEEFF"/>
            <w:tcMar>
              <w:top w:w="40" w:type="dxa"/>
              <w:left w:w="135" w:type="dxa"/>
              <w:bottom w:w="40" w:type="dxa"/>
              <w:right w:w="20" w:type="dxa"/>
            </w:tcMar>
            <w:vAlign w:val="bottom"/>
          </w:tcPr>
          <w:p w14:paraId="33DABB00" w14:textId="77777777" w:rsidR="004D6A64" w:rsidRDefault="00506CD6">
            <w:pPr>
              <w:textAlignment w:val="bottom"/>
            </w:pPr>
            <w:r>
              <w:rPr>
                <w:rFonts w:ascii="Times New Roman" w:eastAsia="宋体" w:hAnsi="Times New Roman"/>
                <w:color w:val="000000"/>
                <w:sz w:val="20"/>
                <w:szCs w:val="20"/>
              </w:rPr>
              <w:t>Total</w:t>
            </w:r>
          </w:p>
        </w:tc>
        <w:tc>
          <w:tcPr>
            <w:tcW w:w="0" w:type="auto"/>
            <w:gridSpan w:val="3"/>
            <w:shd w:val="clear" w:color="auto" w:fill="CCEEFF"/>
            <w:tcMar>
              <w:left w:w="20" w:type="dxa"/>
              <w:right w:w="20" w:type="dxa"/>
            </w:tcMar>
            <w:vAlign w:val="bottom"/>
          </w:tcPr>
          <w:p w14:paraId="33DABB01"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BB02"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BB03" w14:textId="77777777" w:rsidR="004D6A64" w:rsidRDefault="00506CD6">
            <w:pPr>
              <w:jc w:val="right"/>
              <w:textAlignment w:val="bottom"/>
            </w:pPr>
            <w:r>
              <w:rPr>
                <w:rFonts w:ascii="Times New Roman" w:eastAsia="宋体" w:hAnsi="Times New Roman"/>
                <w:color w:val="000000"/>
                <w:sz w:val="20"/>
                <w:szCs w:val="20"/>
              </w:rPr>
              <w:t>105 </w:t>
            </w:r>
          </w:p>
        </w:tc>
        <w:tc>
          <w:tcPr>
            <w:tcW w:w="0" w:type="auto"/>
            <w:tcBorders>
              <w:top w:val="single" w:sz="8" w:space="0" w:color="000000"/>
            </w:tcBorders>
            <w:shd w:val="clear" w:color="auto" w:fill="CCEEFF"/>
            <w:tcMar>
              <w:top w:w="40" w:type="dxa"/>
              <w:bottom w:w="40" w:type="dxa"/>
              <w:right w:w="20" w:type="dxa"/>
            </w:tcMar>
            <w:vAlign w:val="bottom"/>
          </w:tcPr>
          <w:p w14:paraId="33DABB0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B05" w14:textId="77777777" w:rsidR="004D6A64" w:rsidRDefault="004D6A64">
            <w:pPr>
              <w:rPr>
                <w:rFonts w:ascii="宋体"/>
              </w:rPr>
            </w:pPr>
          </w:p>
        </w:tc>
        <w:tc>
          <w:tcPr>
            <w:tcW w:w="0" w:type="auto"/>
            <w:gridSpan w:val="3"/>
            <w:shd w:val="clear" w:color="auto" w:fill="CCEEFF"/>
            <w:tcMar>
              <w:top w:w="40" w:type="dxa"/>
              <w:left w:w="20" w:type="dxa"/>
              <w:bottom w:w="40" w:type="dxa"/>
              <w:right w:w="20" w:type="dxa"/>
            </w:tcMar>
            <w:vAlign w:val="bottom"/>
          </w:tcPr>
          <w:p w14:paraId="33DABB06" w14:textId="77777777" w:rsidR="004D6A64" w:rsidRDefault="00506CD6">
            <w:pPr>
              <w:textAlignment w:val="bottom"/>
            </w:pPr>
            <w:r>
              <w:rPr>
                <w:rFonts w:ascii="Times New Roman" w:eastAsia="宋体" w:hAnsi="Times New Roman"/>
                <w:color w:val="000000"/>
                <w:sz w:val="20"/>
                <w:szCs w:val="20"/>
              </w:rPr>
              <w:t> </w:t>
            </w:r>
          </w:p>
        </w:tc>
        <w:tc>
          <w:tcPr>
            <w:tcW w:w="0" w:type="auto"/>
            <w:gridSpan w:val="3"/>
            <w:shd w:val="clear" w:color="auto" w:fill="CCEEFF"/>
            <w:tcMar>
              <w:left w:w="20" w:type="dxa"/>
              <w:right w:w="20" w:type="dxa"/>
            </w:tcMar>
            <w:vAlign w:val="bottom"/>
          </w:tcPr>
          <w:p w14:paraId="33DABB07"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BB08"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BB09" w14:textId="77777777" w:rsidR="004D6A64" w:rsidRDefault="00506CD6">
            <w:pPr>
              <w:jc w:val="right"/>
              <w:textAlignment w:val="bottom"/>
            </w:pPr>
            <w:r>
              <w:rPr>
                <w:rFonts w:ascii="Times New Roman" w:eastAsia="宋体" w:hAnsi="Times New Roman"/>
                <w:color w:val="000000"/>
                <w:sz w:val="20"/>
                <w:szCs w:val="20"/>
              </w:rPr>
              <w:t>68 </w:t>
            </w:r>
          </w:p>
        </w:tc>
        <w:tc>
          <w:tcPr>
            <w:tcW w:w="0" w:type="auto"/>
            <w:tcBorders>
              <w:top w:val="single" w:sz="8" w:space="0" w:color="000000"/>
            </w:tcBorders>
            <w:shd w:val="clear" w:color="auto" w:fill="CCEEFF"/>
            <w:tcMar>
              <w:top w:w="40" w:type="dxa"/>
              <w:bottom w:w="40" w:type="dxa"/>
              <w:right w:w="20" w:type="dxa"/>
            </w:tcMar>
            <w:vAlign w:val="bottom"/>
          </w:tcPr>
          <w:p w14:paraId="33DABB0A" w14:textId="77777777" w:rsidR="004D6A64" w:rsidRDefault="004D6A64">
            <w:pPr>
              <w:jc w:val="right"/>
              <w:rPr>
                <w:rFonts w:ascii="宋体"/>
              </w:rPr>
            </w:pPr>
          </w:p>
        </w:tc>
        <w:tc>
          <w:tcPr>
            <w:tcW w:w="0" w:type="auto"/>
            <w:shd w:val="clear" w:color="auto" w:fill="auto"/>
          </w:tcPr>
          <w:p w14:paraId="33DABB0B" w14:textId="77777777" w:rsidR="004D6A64" w:rsidRDefault="004D6A64">
            <w:pPr>
              <w:rPr>
                <w:rFonts w:ascii="宋体"/>
                <w:vanish/>
              </w:rPr>
            </w:pPr>
          </w:p>
        </w:tc>
        <w:tc>
          <w:tcPr>
            <w:tcW w:w="0" w:type="auto"/>
            <w:shd w:val="clear" w:color="auto" w:fill="auto"/>
          </w:tcPr>
          <w:p w14:paraId="33DABB0C" w14:textId="77777777" w:rsidR="004D6A64" w:rsidRDefault="004D6A64">
            <w:pPr>
              <w:rPr>
                <w:rFonts w:ascii="宋体"/>
                <w:vanish/>
              </w:rPr>
            </w:pPr>
          </w:p>
        </w:tc>
        <w:tc>
          <w:tcPr>
            <w:tcW w:w="0" w:type="auto"/>
            <w:shd w:val="clear" w:color="auto" w:fill="auto"/>
          </w:tcPr>
          <w:p w14:paraId="33DABB0D" w14:textId="77777777" w:rsidR="004D6A64" w:rsidRDefault="004D6A64">
            <w:pPr>
              <w:rPr>
                <w:rFonts w:ascii="宋体"/>
                <w:vanish/>
              </w:rPr>
            </w:pPr>
          </w:p>
        </w:tc>
        <w:tc>
          <w:tcPr>
            <w:tcW w:w="0" w:type="auto"/>
            <w:shd w:val="clear" w:color="auto" w:fill="auto"/>
          </w:tcPr>
          <w:p w14:paraId="33DABB0E" w14:textId="77777777" w:rsidR="004D6A64" w:rsidRDefault="004D6A64">
            <w:pPr>
              <w:rPr>
                <w:rFonts w:ascii="宋体"/>
                <w:vanish/>
              </w:rPr>
            </w:pPr>
          </w:p>
        </w:tc>
        <w:tc>
          <w:tcPr>
            <w:tcW w:w="0" w:type="auto"/>
            <w:shd w:val="clear" w:color="auto" w:fill="auto"/>
          </w:tcPr>
          <w:p w14:paraId="33DABB0F" w14:textId="77777777" w:rsidR="004D6A64" w:rsidRDefault="004D6A64">
            <w:pPr>
              <w:rPr>
                <w:rFonts w:ascii="宋体"/>
              </w:rPr>
            </w:pPr>
          </w:p>
        </w:tc>
        <w:tc>
          <w:tcPr>
            <w:tcW w:w="0" w:type="auto"/>
            <w:shd w:val="clear" w:color="auto" w:fill="auto"/>
          </w:tcPr>
          <w:p w14:paraId="33DABB10" w14:textId="77777777" w:rsidR="004D6A64" w:rsidRDefault="004D6A64">
            <w:pPr>
              <w:rPr>
                <w:rFonts w:ascii="宋体"/>
              </w:rPr>
            </w:pPr>
          </w:p>
        </w:tc>
        <w:tc>
          <w:tcPr>
            <w:tcW w:w="0" w:type="auto"/>
            <w:shd w:val="clear" w:color="auto" w:fill="auto"/>
          </w:tcPr>
          <w:p w14:paraId="33DABB11" w14:textId="77777777" w:rsidR="004D6A64" w:rsidRDefault="004D6A64">
            <w:pPr>
              <w:rPr>
                <w:rFonts w:ascii="宋体"/>
              </w:rPr>
            </w:pPr>
          </w:p>
        </w:tc>
        <w:tc>
          <w:tcPr>
            <w:tcW w:w="0" w:type="auto"/>
            <w:shd w:val="clear" w:color="auto" w:fill="auto"/>
          </w:tcPr>
          <w:p w14:paraId="33DABB12" w14:textId="77777777" w:rsidR="004D6A64" w:rsidRDefault="004D6A64">
            <w:pPr>
              <w:rPr>
                <w:rFonts w:ascii="宋体"/>
              </w:rPr>
            </w:pPr>
          </w:p>
        </w:tc>
        <w:tc>
          <w:tcPr>
            <w:tcW w:w="0" w:type="auto"/>
            <w:shd w:val="clear" w:color="auto" w:fill="auto"/>
          </w:tcPr>
          <w:p w14:paraId="33DABB13" w14:textId="77777777" w:rsidR="004D6A64" w:rsidRDefault="004D6A64">
            <w:pPr>
              <w:rPr>
                <w:rFonts w:ascii="宋体"/>
              </w:rPr>
            </w:pPr>
          </w:p>
        </w:tc>
        <w:tc>
          <w:tcPr>
            <w:tcW w:w="0" w:type="auto"/>
            <w:shd w:val="clear" w:color="auto" w:fill="auto"/>
          </w:tcPr>
          <w:p w14:paraId="33DABB14" w14:textId="77777777" w:rsidR="004D6A64" w:rsidRDefault="004D6A64">
            <w:pPr>
              <w:rPr>
                <w:rFonts w:ascii="宋体"/>
              </w:rPr>
            </w:pPr>
          </w:p>
        </w:tc>
        <w:tc>
          <w:tcPr>
            <w:tcW w:w="0" w:type="auto"/>
            <w:shd w:val="clear" w:color="auto" w:fill="auto"/>
          </w:tcPr>
          <w:p w14:paraId="33DABB15" w14:textId="77777777" w:rsidR="004D6A64" w:rsidRDefault="004D6A64">
            <w:pPr>
              <w:rPr>
                <w:rFonts w:ascii="宋体"/>
              </w:rPr>
            </w:pPr>
          </w:p>
        </w:tc>
        <w:tc>
          <w:tcPr>
            <w:tcW w:w="0" w:type="auto"/>
            <w:shd w:val="clear" w:color="auto" w:fill="auto"/>
          </w:tcPr>
          <w:p w14:paraId="33DABB16" w14:textId="77777777" w:rsidR="004D6A64" w:rsidRDefault="004D6A64">
            <w:pPr>
              <w:rPr>
                <w:rFonts w:ascii="宋体"/>
              </w:rPr>
            </w:pPr>
          </w:p>
        </w:tc>
        <w:tc>
          <w:tcPr>
            <w:tcW w:w="0" w:type="auto"/>
            <w:shd w:val="clear" w:color="auto" w:fill="auto"/>
          </w:tcPr>
          <w:p w14:paraId="33DABB17" w14:textId="77777777" w:rsidR="004D6A64" w:rsidRDefault="004D6A64">
            <w:pPr>
              <w:rPr>
                <w:rFonts w:ascii="宋体"/>
              </w:rPr>
            </w:pPr>
          </w:p>
        </w:tc>
        <w:tc>
          <w:tcPr>
            <w:tcW w:w="0" w:type="auto"/>
            <w:shd w:val="clear" w:color="auto" w:fill="auto"/>
          </w:tcPr>
          <w:p w14:paraId="33DABB18" w14:textId="77777777" w:rsidR="004D6A64" w:rsidRDefault="004D6A64">
            <w:pPr>
              <w:rPr>
                <w:rFonts w:ascii="宋体"/>
              </w:rPr>
            </w:pPr>
          </w:p>
        </w:tc>
        <w:tc>
          <w:tcPr>
            <w:tcW w:w="0" w:type="auto"/>
            <w:shd w:val="clear" w:color="auto" w:fill="auto"/>
          </w:tcPr>
          <w:p w14:paraId="33DABB19" w14:textId="77777777" w:rsidR="004D6A64" w:rsidRDefault="004D6A64">
            <w:pPr>
              <w:rPr>
                <w:rFonts w:ascii="宋体"/>
              </w:rPr>
            </w:pPr>
          </w:p>
        </w:tc>
        <w:tc>
          <w:tcPr>
            <w:tcW w:w="0" w:type="auto"/>
            <w:shd w:val="clear" w:color="auto" w:fill="auto"/>
          </w:tcPr>
          <w:p w14:paraId="33DABB1A" w14:textId="77777777" w:rsidR="004D6A64" w:rsidRDefault="004D6A64">
            <w:pPr>
              <w:rPr>
                <w:rFonts w:ascii="宋体"/>
              </w:rPr>
            </w:pPr>
          </w:p>
        </w:tc>
        <w:tc>
          <w:tcPr>
            <w:tcW w:w="0" w:type="auto"/>
            <w:shd w:val="clear" w:color="auto" w:fill="auto"/>
          </w:tcPr>
          <w:p w14:paraId="33DABB1B" w14:textId="77777777" w:rsidR="004D6A64" w:rsidRDefault="004D6A64">
            <w:pPr>
              <w:rPr>
                <w:rFonts w:ascii="宋体"/>
              </w:rPr>
            </w:pPr>
          </w:p>
        </w:tc>
        <w:tc>
          <w:tcPr>
            <w:tcW w:w="0" w:type="auto"/>
            <w:shd w:val="clear" w:color="auto" w:fill="auto"/>
          </w:tcPr>
          <w:p w14:paraId="33DABB1C" w14:textId="77777777" w:rsidR="004D6A64" w:rsidRDefault="004D6A64">
            <w:pPr>
              <w:rPr>
                <w:rFonts w:ascii="宋体"/>
              </w:rPr>
            </w:pPr>
          </w:p>
        </w:tc>
        <w:tc>
          <w:tcPr>
            <w:tcW w:w="0" w:type="auto"/>
            <w:shd w:val="clear" w:color="auto" w:fill="auto"/>
          </w:tcPr>
          <w:p w14:paraId="33DABB1D" w14:textId="77777777" w:rsidR="004D6A64" w:rsidRDefault="004D6A64">
            <w:pPr>
              <w:rPr>
                <w:rFonts w:ascii="宋体"/>
              </w:rPr>
            </w:pPr>
          </w:p>
        </w:tc>
        <w:tc>
          <w:tcPr>
            <w:tcW w:w="0" w:type="auto"/>
            <w:shd w:val="clear" w:color="auto" w:fill="auto"/>
          </w:tcPr>
          <w:p w14:paraId="33DABB1E" w14:textId="77777777" w:rsidR="004D6A64" w:rsidRDefault="004D6A64">
            <w:pPr>
              <w:rPr>
                <w:rFonts w:ascii="宋体"/>
              </w:rPr>
            </w:pPr>
          </w:p>
        </w:tc>
        <w:tc>
          <w:tcPr>
            <w:tcW w:w="0" w:type="auto"/>
            <w:shd w:val="clear" w:color="auto" w:fill="auto"/>
          </w:tcPr>
          <w:p w14:paraId="33DABB1F" w14:textId="77777777" w:rsidR="004D6A64" w:rsidRDefault="004D6A64">
            <w:pPr>
              <w:rPr>
                <w:rFonts w:ascii="宋体"/>
              </w:rPr>
            </w:pPr>
          </w:p>
        </w:tc>
        <w:tc>
          <w:tcPr>
            <w:tcW w:w="0" w:type="auto"/>
            <w:shd w:val="clear" w:color="auto" w:fill="auto"/>
          </w:tcPr>
          <w:p w14:paraId="33DABB20" w14:textId="77777777" w:rsidR="004D6A64" w:rsidRDefault="004D6A64">
            <w:pPr>
              <w:rPr>
                <w:rFonts w:ascii="宋体"/>
              </w:rPr>
            </w:pPr>
          </w:p>
        </w:tc>
      </w:tr>
      <w:tr w:rsidR="004D6A64" w14:paraId="33DABB3F" w14:textId="77777777">
        <w:trPr>
          <w:trHeight w:val="180"/>
        </w:trPr>
        <w:tc>
          <w:tcPr>
            <w:tcW w:w="0" w:type="auto"/>
            <w:gridSpan w:val="3"/>
            <w:shd w:val="clear" w:color="auto" w:fill="FFFFFF"/>
            <w:tcMar>
              <w:left w:w="20" w:type="dxa"/>
              <w:right w:w="20" w:type="dxa"/>
            </w:tcMar>
            <w:vAlign w:val="bottom"/>
          </w:tcPr>
          <w:p w14:paraId="33DABB22"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B23" w14:textId="77777777" w:rsidR="004D6A64" w:rsidRDefault="004D6A6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3DABB24"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B25"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B26"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B27" w14:textId="77777777" w:rsidR="004D6A64" w:rsidRDefault="004D6A6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3DABB28" w14:textId="77777777" w:rsidR="004D6A64" w:rsidRDefault="004D6A64">
            <w:pPr>
              <w:rPr>
                <w:rFonts w:ascii="宋体"/>
              </w:rPr>
            </w:pPr>
          </w:p>
        </w:tc>
        <w:tc>
          <w:tcPr>
            <w:tcW w:w="0" w:type="auto"/>
            <w:shd w:val="clear" w:color="auto" w:fill="auto"/>
          </w:tcPr>
          <w:p w14:paraId="33DABB29" w14:textId="77777777" w:rsidR="004D6A64" w:rsidRDefault="004D6A64">
            <w:pPr>
              <w:rPr>
                <w:rFonts w:ascii="宋体"/>
                <w:vanish/>
              </w:rPr>
            </w:pPr>
          </w:p>
        </w:tc>
        <w:tc>
          <w:tcPr>
            <w:tcW w:w="0" w:type="auto"/>
            <w:shd w:val="clear" w:color="auto" w:fill="auto"/>
          </w:tcPr>
          <w:p w14:paraId="33DABB2A" w14:textId="77777777" w:rsidR="004D6A64" w:rsidRDefault="004D6A64">
            <w:pPr>
              <w:rPr>
                <w:rFonts w:ascii="宋体"/>
                <w:vanish/>
              </w:rPr>
            </w:pPr>
          </w:p>
        </w:tc>
        <w:tc>
          <w:tcPr>
            <w:tcW w:w="0" w:type="auto"/>
            <w:shd w:val="clear" w:color="auto" w:fill="auto"/>
          </w:tcPr>
          <w:p w14:paraId="33DABB2B" w14:textId="77777777" w:rsidR="004D6A64" w:rsidRDefault="004D6A64">
            <w:pPr>
              <w:rPr>
                <w:rFonts w:ascii="宋体"/>
                <w:vanish/>
              </w:rPr>
            </w:pPr>
          </w:p>
        </w:tc>
        <w:tc>
          <w:tcPr>
            <w:tcW w:w="0" w:type="auto"/>
            <w:shd w:val="clear" w:color="auto" w:fill="auto"/>
          </w:tcPr>
          <w:p w14:paraId="33DABB2C" w14:textId="77777777" w:rsidR="004D6A64" w:rsidRDefault="004D6A64">
            <w:pPr>
              <w:rPr>
                <w:rFonts w:ascii="宋体"/>
                <w:vanish/>
              </w:rPr>
            </w:pPr>
          </w:p>
        </w:tc>
        <w:tc>
          <w:tcPr>
            <w:tcW w:w="0" w:type="auto"/>
            <w:shd w:val="clear" w:color="auto" w:fill="auto"/>
          </w:tcPr>
          <w:p w14:paraId="33DABB2D" w14:textId="77777777" w:rsidR="004D6A64" w:rsidRDefault="004D6A64">
            <w:pPr>
              <w:rPr>
                <w:rFonts w:ascii="宋体"/>
              </w:rPr>
            </w:pPr>
          </w:p>
        </w:tc>
        <w:tc>
          <w:tcPr>
            <w:tcW w:w="0" w:type="auto"/>
            <w:shd w:val="clear" w:color="auto" w:fill="auto"/>
          </w:tcPr>
          <w:p w14:paraId="33DABB2E" w14:textId="77777777" w:rsidR="004D6A64" w:rsidRDefault="004D6A64">
            <w:pPr>
              <w:rPr>
                <w:rFonts w:ascii="宋体"/>
              </w:rPr>
            </w:pPr>
          </w:p>
        </w:tc>
        <w:tc>
          <w:tcPr>
            <w:tcW w:w="0" w:type="auto"/>
            <w:shd w:val="clear" w:color="auto" w:fill="auto"/>
          </w:tcPr>
          <w:p w14:paraId="33DABB2F" w14:textId="77777777" w:rsidR="004D6A64" w:rsidRDefault="004D6A64">
            <w:pPr>
              <w:rPr>
                <w:rFonts w:ascii="宋体"/>
              </w:rPr>
            </w:pPr>
          </w:p>
        </w:tc>
        <w:tc>
          <w:tcPr>
            <w:tcW w:w="0" w:type="auto"/>
            <w:shd w:val="clear" w:color="auto" w:fill="auto"/>
          </w:tcPr>
          <w:p w14:paraId="33DABB30" w14:textId="77777777" w:rsidR="004D6A64" w:rsidRDefault="004D6A64">
            <w:pPr>
              <w:rPr>
                <w:rFonts w:ascii="宋体"/>
              </w:rPr>
            </w:pPr>
          </w:p>
        </w:tc>
        <w:tc>
          <w:tcPr>
            <w:tcW w:w="0" w:type="auto"/>
            <w:shd w:val="clear" w:color="auto" w:fill="auto"/>
          </w:tcPr>
          <w:p w14:paraId="33DABB31" w14:textId="77777777" w:rsidR="004D6A64" w:rsidRDefault="004D6A64">
            <w:pPr>
              <w:rPr>
                <w:rFonts w:ascii="宋体"/>
              </w:rPr>
            </w:pPr>
          </w:p>
        </w:tc>
        <w:tc>
          <w:tcPr>
            <w:tcW w:w="0" w:type="auto"/>
            <w:shd w:val="clear" w:color="auto" w:fill="auto"/>
          </w:tcPr>
          <w:p w14:paraId="33DABB32" w14:textId="77777777" w:rsidR="004D6A64" w:rsidRDefault="004D6A64">
            <w:pPr>
              <w:rPr>
                <w:rFonts w:ascii="宋体"/>
              </w:rPr>
            </w:pPr>
          </w:p>
        </w:tc>
        <w:tc>
          <w:tcPr>
            <w:tcW w:w="0" w:type="auto"/>
            <w:shd w:val="clear" w:color="auto" w:fill="auto"/>
          </w:tcPr>
          <w:p w14:paraId="33DABB33" w14:textId="77777777" w:rsidR="004D6A64" w:rsidRDefault="004D6A64">
            <w:pPr>
              <w:rPr>
                <w:rFonts w:ascii="宋体"/>
              </w:rPr>
            </w:pPr>
          </w:p>
        </w:tc>
        <w:tc>
          <w:tcPr>
            <w:tcW w:w="0" w:type="auto"/>
            <w:shd w:val="clear" w:color="auto" w:fill="auto"/>
          </w:tcPr>
          <w:p w14:paraId="33DABB34" w14:textId="77777777" w:rsidR="004D6A64" w:rsidRDefault="004D6A64">
            <w:pPr>
              <w:rPr>
                <w:rFonts w:ascii="宋体"/>
              </w:rPr>
            </w:pPr>
          </w:p>
        </w:tc>
        <w:tc>
          <w:tcPr>
            <w:tcW w:w="0" w:type="auto"/>
            <w:shd w:val="clear" w:color="auto" w:fill="auto"/>
          </w:tcPr>
          <w:p w14:paraId="33DABB35" w14:textId="77777777" w:rsidR="004D6A64" w:rsidRDefault="004D6A64">
            <w:pPr>
              <w:rPr>
                <w:rFonts w:ascii="宋体"/>
              </w:rPr>
            </w:pPr>
          </w:p>
        </w:tc>
        <w:tc>
          <w:tcPr>
            <w:tcW w:w="0" w:type="auto"/>
            <w:shd w:val="clear" w:color="auto" w:fill="auto"/>
          </w:tcPr>
          <w:p w14:paraId="33DABB36" w14:textId="77777777" w:rsidR="004D6A64" w:rsidRDefault="004D6A64">
            <w:pPr>
              <w:rPr>
                <w:rFonts w:ascii="宋体"/>
              </w:rPr>
            </w:pPr>
          </w:p>
        </w:tc>
        <w:tc>
          <w:tcPr>
            <w:tcW w:w="0" w:type="auto"/>
            <w:shd w:val="clear" w:color="auto" w:fill="auto"/>
          </w:tcPr>
          <w:p w14:paraId="33DABB37" w14:textId="77777777" w:rsidR="004D6A64" w:rsidRDefault="004D6A64">
            <w:pPr>
              <w:rPr>
                <w:rFonts w:ascii="宋体"/>
              </w:rPr>
            </w:pPr>
          </w:p>
        </w:tc>
        <w:tc>
          <w:tcPr>
            <w:tcW w:w="0" w:type="auto"/>
            <w:shd w:val="clear" w:color="auto" w:fill="auto"/>
          </w:tcPr>
          <w:p w14:paraId="33DABB38" w14:textId="77777777" w:rsidR="004D6A64" w:rsidRDefault="004D6A64">
            <w:pPr>
              <w:rPr>
                <w:rFonts w:ascii="宋体"/>
              </w:rPr>
            </w:pPr>
          </w:p>
        </w:tc>
        <w:tc>
          <w:tcPr>
            <w:tcW w:w="0" w:type="auto"/>
            <w:shd w:val="clear" w:color="auto" w:fill="auto"/>
          </w:tcPr>
          <w:p w14:paraId="33DABB39" w14:textId="77777777" w:rsidR="004D6A64" w:rsidRDefault="004D6A64">
            <w:pPr>
              <w:rPr>
                <w:rFonts w:ascii="宋体"/>
              </w:rPr>
            </w:pPr>
          </w:p>
        </w:tc>
        <w:tc>
          <w:tcPr>
            <w:tcW w:w="0" w:type="auto"/>
            <w:shd w:val="clear" w:color="auto" w:fill="auto"/>
          </w:tcPr>
          <w:p w14:paraId="33DABB3A" w14:textId="77777777" w:rsidR="004D6A64" w:rsidRDefault="004D6A64">
            <w:pPr>
              <w:rPr>
                <w:rFonts w:ascii="宋体"/>
              </w:rPr>
            </w:pPr>
          </w:p>
        </w:tc>
        <w:tc>
          <w:tcPr>
            <w:tcW w:w="0" w:type="auto"/>
            <w:shd w:val="clear" w:color="auto" w:fill="auto"/>
          </w:tcPr>
          <w:p w14:paraId="33DABB3B" w14:textId="77777777" w:rsidR="004D6A64" w:rsidRDefault="004D6A64">
            <w:pPr>
              <w:rPr>
                <w:rFonts w:ascii="宋体"/>
              </w:rPr>
            </w:pPr>
          </w:p>
        </w:tc>
        <w:tc>
          <w:tcPr>
            <w:tcW w:w="0" w:type="auto"/>
            <w:shd w:val="clear" w:color="auto" w:fill="auto"/>
          </w:tcPr>
          <w:p w14:paraId="33DABB3C" w14:textId="77777777" w:rsidR="004D6A64" w:rsidRDefault="004D6A64">
            <w:pPr>
              <w:rPr>
                <w:rFonts w:ascii="宋体"/>
              </w:rPr>
            </w:pPr>
          </w:p>
        </w:tc>
        <w:tc>
          <w:tcPr>
            <w:tcW w:w="0" w:type="auto"/>
            <w:shd w:val="clear" w:color="auto" w:fill="auto"/>
          </w:tcPr>
          <w:p w14:paraId="33DABB3D" w14:textId="77777777" w:rsidR="004D6A64" w:rsidRDefault="004D6A64">
            <w:pPr>
              <w:rPr>
                <w:rFonts w:ascii="宋体"/>
              </w:rPr>
            </w:pPr>
          </w:p>
        </w:tc>
        <w:tc>
          <w:tcPr>
            <w:tcW w:w="0" w:type="auto"/>
            <w:shd w:val="clear" w:color="auto" w:fill="auto"/>
          </w:tcPr>
          <w:p w14:paraId="33DABB3E" w14:textId="77777777" w:rsidR="004D6A64" w:rsidRDefault="004D6A64">
            <w:pPr>
              <w:rPr>
                <w:rFonts w:ascii="宋体"/>
              </w:rPr>
            </w:pPr>
          </w:p>
        </w:tc>
      </w:tr>
      <w:tr w:rsidR="004D6A64" w14:paraId="33DABB4B" w14:textId="77777777">
        <w:tc>
          <w:tcPr>
            <w:tcW w:w="0" w:type="auto"/>
            <w:gridSpan w:val="21"/>
            <w:shd w:val="clear" w:color="auto" w:fill="CCEEFF"/>
            <w:tcMar>
              <w:top w:w="40" w:type="dxa"/>
              <w:left w:w="20" w:type="dxa"/>
              <w:bottom w:w="40" w:type="dxa"/>
              <w:right w:w="20" w:type="dxa"/>
            </w:tcMar>
            <w:vAlign w:val="bottom"/>
          </w:tcPr>
          <w:p w14:paraId="33DABB40" w14:textId="77777777" w:rsidR="004D6A64" w:rsidRDefault="00506CD6">
            <w:pPr>
              <w:textAlignment w:val="bottom"/>
            </w:pPr>
            <w:r>
              <w:rPr>
                <w:rFonts w:ascii="Times New Roman" w:eastAsia="宋体" w:hAnsi="Times New Roman"/>
                <w:i/>
                <w:iCs/>
                <w:color w:val="000000"/>
                <w:sz w:val="20"/>
                <w:szCs w:val="20"/>
              </w:rPr>
              <w:t>For the six months ended July 31, 2020</w:t>
            </w:r>
          </w:p>
        </w:tc>
        <w:tc>
          <w:tcPr>
            <w:tcW w:w="0" w:type="auto"/>
            <w:shd w:val="clear" w:color="auto" w:fill="auto"/>
          </w:tcPr>
          <w:p w14:paraId="33DABB41" w14:textId="77777777" w:rsidR="004D6A64" w:rsidRDefault="004D6A64">
            <w:pPr>
              <w:rPr>
                <w:rFonts w:ascii="宋体"/>
                <w:vanish/>
              </w:rPr>
            </w:pPr>
          </w:p>
        </w:tc>
        <w:tc>
          <w:tcPr>
            <w:tcW w:w="0" w:type="auto"/>
            <w:shd w:val="clear" w:color="auto" w:fill="auto"/>
          </w:tcPr>
          <w:p w14:paraId="33DABB42" w14:textId="77777777" w:rsidR="004D6A64" w:rsidRDefault="004D6A64">
            <w:pPr>
              <w:rPr>
                <w:rFonts w:ascii="宋体"/>
                <w:vanish/>
              </w:rPr>
            </w:pPr>
          </w:p>
        </w:tc>
        <w:tc>
          <w:tcPr>
            <w:tcW w:w="0" w:type="auto"/>
            <w:shd w:val="clear" w:color="auto" w:fill="auto"/>
          </w:tcPr>
          <w:p w14:paraId="33DABB43" w14:textId="77777777" w:rsidR="004D6A64" w:rsidRDefault="004D6A64">
            <w:pPr>
              <w:rPr>
                <w:rFonts w:ascii="宋体"/>
                <w:vanish/>
              </w:rPr>
            </w:pPr>
          </w:p>
        </w:tc>
        <w:tc>
          <w:tcPr>
            <w:tcW w:w="0" w:type="auto"/>
            <w:shd w:val="clear" w:color="auto" w:fill="auto"/>
          </w:tcPr>
          <w:p w14:paraId="33DABB44" w14:textId="77777777" w:rsidR="004D6A64" w:rsidRDefault="004D6A64">
            <w:pPr>
              <w:rPr>
                <w:rFonts w:ascii="宋体"/>
                <w:vanish/>
              </w:rPr>
            </w:pPr>
          </w:p>
        </w:tc>
        <w:tc>
          <w:tcPr>
            <w:tcW w:w="0" w:type="auto"/>
            <w:gridSpan w:val="3"/>
            <w:shd w:val="clear" w:color="auto" w:fill="auto"/>
          </w:tcPr>
          <w:p w14:paraId="33DABB45" w14:textId="77777777" w:rsidR="004D6A64" w:rsidRDefault="004D6A64">
            <w:pPr>
              <w:rPr>
                <w:rFonts w:ascii="宋体"/>
                <w:vanish/>
              </w:rPr>
            </w:pPr>
          </w:p>
        </w:tc>
        <w:tc>
          <w:tcPr>
            <w:tcW w:w="0" w:type="auto"/>
            <w:gridSpan w:val="3"/>
            <w:shd w:val="clear" w:color="auto" w:fill="auto"/>
          </w:tcPr>
          <w:p w14:paraId="33DABB46" w14:textId="77777777" w:rsidR="004D6A64" w:rsidRDefault="004D6A64">
            <w:pPr>
              <w:rPr>
                <w:rFonts w:ascii="宋体"/>
                <w:vanish/>
              </w:rPr>
            </w:pPr>
          </w:p>
        </w:tc>
        <w:tc>
          <w:tcPr>
            <w:tcW w:w="0" w:type="auto"/>
            <w:gridSpan w:val="3"/>
            <w:shd w:val="clear" w:color="auto" w:fill="auto"/>
          </w:tcPr>
          <w:p w14:paraId="33DABB47" w14:textId="77777777" w:rsidR="004D6A64" w:rsidRDefault="004D6A64">
            <w:pPr>
              <w:rPr>
                <w:rFonts w:ascii="宋体"/>
                <w:vanish/>
              </w:rPr>
            </w:pPr>
          </w:p>
        </w:tc>
        <w:tc>
          <w:tcPr>
            <w:tcW w:w="0" w:type="auto"/>
            <w:gridSpan w:val="3"/>
            <w:shd w:val="clear" w:color="auto" w:fill="auto"/>
          </w:tcPr>
          <w:p w14:paraId="33DABB48" w14:textId="77777777" w:rsidR="004D6A64" w:rsidRDefault="004D6A64">
            <w:pPr>
              <w:rPr>
                <w:rFonts w:ascii="宋体"/>
                <w:vanish/>
              </w:rPr>
            </w:pPr>
          </w:p>
        </w:tc>
        <w:tc>
          <w:tcPr>
            <w:tcW w:w="0" w:type="auto"/>
            <w:gridSpan w:val="3"/>
            <w:shd w:val="clear" w:color="auto" w:fill="auto"/>
          </w:tcPr>
          <w:p w14:paraId="33DABB49" w14:textId="77777777" w:rsidR="004D6A64" w:rsidRDefault="004D6A64">
            <w:pPr>
              <w:rPr>
                <w:rFonts w:ascii="宋体"/>
                <w:vanish/>
              </w:rPr>
            </w:pPr>
          </w:p>
        </w:tc>
        <w:tc>
          <w:tcPr>
            <w:tcW w:w="0" w:type="auto"/>
            <w:gridSpan w:val="3"/>
            <w:shd w:val="clear" w:color="auto" w:fill="auto"/>
          </w:tcPr>
          <w:p w14:paraId="33DABB4A" w14:textId="77777777" w:rsidR="004D6A64" w:rsidRDefault="004D6A64">
            <w:pPr>
              <w:rPr>
                <w:rFonts w:ascii="宋体"/>
                <w:vanish/>
              </w:rPr>
            </w:pPr>
          </w:p>
        </w:tc>
      </w:tr>
      <w:tr w:rsidR="004D6A64" w14:paraId="33DABB6B" w14:textId="77777777">
        <w:tc>
          <w:tcPr>
            <w:tcW w:w="0" w:type="auto"/>
            <w:gridSpan w:val="3"/>
            <w:shd w:val="clear" w:color="auto" w:fill="FFFFFF"/>
            <w:tcMar>
              <w:left w:w="20" w:type="dxa"/>
              <w:right w:w="20" w:type="dxa"/>
            </w:tcMar>
            <w:vAlign w:val="bottom"/>
          </w:tcPr>
          <w:p w14:paraId="33DABB4C"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B4D" w14:textId="77777777" w:rsidR="004D6A64" w:rsidRDefault="004D6A64">
            <w:pPr>
              <w:rPr>
                <w:rFonts w:ascii="宋体"/>
              </w:rPr>
            </w:pPr>
          </w:p>
        </w:tc>
        <w:tc>
          <w:tcPr>
            <w:tcW w:w="0" w:type="auto"/>
            <w:gridSpan w:val="3"/>
            <w:shd w:val="clear" w:color="auto" w:fill="FFFFFF"/>
            <w:tcMar>
              <w:top w:w="40" w:type="dxa"/>
              <w:left w:w="20" w:type="dxa"/>
              <w:bottom w:w="40" w:type="dxa"/>
              <w:right w:w="20" w:type="dxa"/>
            </w:tcMar>
            <w:vAlign w:val="bottom"/>
          </w:tcPr>
          <w:p w14:paraId="33DABB4E" w14:textId="77777777" w:rsidR="004D6A64" w:rsidRDefault="00506CD6">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3DABB4F" w14:textId="77777777" w:rsidR="004D6A64" w:rsidRDefault="004D6A64">
            <w:pPr>
              <w:rPr>
                <w:rFonts w:ascii="宋体"/>
              </w:rPr>
            </w:pPr>
          </w:p>
        </w:tc>
        <w:tc>
          <w:tcPr>
            <w:tcW w:w="0" w:type="auto"/>
            <w:gridSpan w:val="3"/>
            <w:shd w:val="clear" w:color="auto" w:fill="FFFFFF"/>
            <w:tcMar>
              <w:top w:w="40" w:type="dxa"/>
              <w:left w:w="20" w:type="dxa"/>
              <w:bottom w:w="40" w:type="dxa"/>
              <w:right w:w="20" w:type="dxa"/>
            </w:tcMar>
            <w:vAlign w:val="bottom"/>
          </w:tcPr>
          <w:p w14:paraId="33DABB50" w14:textId="77777777" w:rsidR="004D6A64" w:rsidRDefault="00506CD6">
            <w:pPr>
              <w:textAlignment w:val="bottom"/>
            </w:pPr>
            <w:r>
              <w:rPr>
                <w:rFonts w:ascii="Times New Roman" w:eastAsia="宋体" w:hAnsi="Times New Roman"/>
                <w:color w:val="000000"/>
                <w:sz w:val="20"/>
                <w:szCs w:val="20"/>
              </w:rPr>
              <w:t>Total net revenue</w:t>
            </w:r>
          </w:p>
        </w:tc>
        <w:tc>
          <w:tcPr>
            <w:tcW w:w="0" w:type="auto"/>
            <w:gridSpan w:val="3"/>
            <w:shd w:val="clear" w:color="auto" w:fill="FFFFFF"/>
            <w:tcMar>
              <w:left w:w="20" w:type="dxa"/>
              <w:right w:w="20" w:type="dxa"/>
            </w:tcMar>
            <w:vAlign w:val="bottom"/>
          </w:tcPr>
          <w:p w14:paraId="33DABB51"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BB52"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BB53" w14:textId="77777777" w:rsidR="004D6A64" w:rsidRDefault="00506CD6">
            <w:pPr>
              <w:jc w:val="right"/>
              <w:textAlignment w:val="bottom"/>
            </w:pPr>
            <w:r>
              <w:rPr>
                <w:rFonts w:ascii="Times New Roman" w:eastAsia="宋体" w:hAnsi="Times New Roman"/>
                <w:color w:val="000000"/>
                <w:sz w:val="20"/>
                <w:szCs w:val="20"/>
              </w:rPr>
              <w:t>105 </w:t>
            </w:r>
          </w:p>
        </w:tc>
        <w:tc>
          <w:tcPr>
            <w:tcW w:w="0" w:type="auto"/>
            <w:shd w:val="clear" w:color="auto" w:fill="FFFFFF"/>
            <w:tcMar>
              <w:top w:w="40" w:type="dxa"/>
              <w:bottom w:w="40" w:type="dxa"/>
              <w:right w:w="20" w:type="dxa"/>
            </w:tcMar>
            <w:vAlign w:val="bottom"/>
          </w:tcPr>
          <w:p w14:paraId="33DABB54" w14:textId="77777777" w:rsidR="004D6A64" w:rsidRDefault="004D6A64">
            <w:pPr>
              <w:jc w:val="right"/>
              <w:rPr>
                <w:rFonts w:ascii="宋体"/>
              </w:rPr>
            </w:pPr>
          </w:p>
        </w:tc>
        <w:tc>
          <w:tcPr>
            <w:tcW w:w="0" w:type="auto"/>
            <w:shd w:val="clear" w:color="auto" w:fill="auto"/>
          </w:tcPr>
          <w:p w14:paraId="33DABB55" w14:textId="77777777" w:rsidR="004D6A64" w:rsidRDefault="004D6A64">
            <w:pPr>
              <w:rPr>
                <w:rFonts w:ascii="宋体"/>
                <w:vanish/>
              </w:rPr>
            </w:pPr>
          </w:p>
        </w:tc>
        <w:tc>
          <w:tcPr>
            <w:tcW w:w="0" w:type="auto"/>
            <w:shd w:val="clear" w:color="auto" w:fill="auto"/>
          </w:tcPr>
          <w:p w14:paraId="33DABB56" w14:textId="77777777" w:rsidR="004D6A64" w:rsidRDefault="004D6A64">
            <w:pPr>
              <w:rPr>
                <w:rFonts w:ascii="宋体"/>
                <w:vanish/>
              </w:rPr>
            </w:pPr>
          </w:p>
        </w:tc>
        <w:tc>
          <w:tcPr>
            <w:tcW w:w="0" w:type="auto"/>
            <w:shd w:val="clear" w:color="auto" w:fill="auto"/>
          </w:tcPr>
          <w:p w14:paraId="33DABB57" w14:textId="77777777" w:rsidR="004D6A64" w:rsidRDefault="004D6A64">
            <w:pPr>
              <w:rPr>
                <w:rFonts w:ascii="宋体"/>
                <w:vanish/>
              </w:rPr>
            </w:pPr>
          </w:p>
        </w:tc>
        <w:tc>
          <w:tcPr>
            <w:tcW w:w="0" w:type="auto"/>
            <w:shd w:val="clear" w:color="auto" w:fill="auto"/>
          </w:tcPr>
          <w:p w14:paraId="33DABB58" w14:textId="77777777" w:rsidR="004D6A64" w:rsidRDefault="004D6A64">
            <w:pPr>
              <w:rPr>
                <w:rFonts w:ascii="宋体"/>
                <w:vanish/>
              </w:rPr>
            </w:pPr>
          </w:p>
        </w:tc>
        <w:tc>
          <w:tcPr>
            <w:tcW w:w="0" w:type="auto"/>
            <w:shd w:val="clear" w:color="auto" w:fill="auto"/>
          </w:tcPr>
          <w:p w14:paraId="33DABB59" w14:textId="77777777" w:rsidR="004D6A64" w:rsidRDefault="004D6A64">
            <w:pPr>
              <w:rPr>
                <w:rFonts w:ascii="宋体"/>
              </w:rPr>
            </w:pPr>
          </w:p>
        </w:tc>
        <w:tc>
          <w:tcPr>
            <w:tcW w:w="0" w:type="auto"/>
            <w:shd w:val="clear" w:color="auto" w:fill="auto"/>
          </w:tcPr>
          <w:p w14:paraId="33DABB5A" w14:textId="77777777" w:rsidR="004D6A64" w:rsidRDefault="004D6A64">
            <w:pPr>
              <w:rPr>
                <w:rFonts w:ascii="宋体"/>
              </w:rPr>
            </w:pPr>
          </w:p>
        </w:tc>
        <w:tc>
          <w:tcPr>
            <w:tcW w:w="0" w:type="auto"/>
            <w:shd w:val="clear" w:color="auto" w:fill="auto"/>
          </w:tcPr>
          <w:p w14:paraId="33DABB5B" w14:textId="77777777" w:rsidR="004D6A64" w:rsidRDefault="004D6A64">
            <w:pPr>
              <w:rPr>
                <w:rFonts w:ascii="宋体"/>
              </w:rPr>
            </w:pPr>
          </w:p>
        </w:tc>
        <w:tc>
          <w:tcPr>
            <w:tcW w:w="0" w:type="auto"/>
            <w:shd w:val="clear" w:color="auto" w:fill="auto"/>
          </w:tcPr>
          <w:p w14:paraId="33DABB5C" w14:textId="77777777" w:rsidR="004D6A64" w:rsidRDefault="004D6A64">
            <w:pPr>
              <w:rPr>
                <w:rFonts w:ascii="宋体"/>
              </w:rPr>
            </w:pPr>
          </w:p>
        </w:tc>
        <w:tc>
          <w:tcPr>
            <w:tcW w:w="0" w:type="auto"/>
            <w:shd w:val="clear" w:color="auto" w:fill="auto"/>
          </w:tcPr>
          <w:p w14:paraId="33DABB5D" w14:textId="77777777" w:rsidR="004D6A64" w:rsidRDefault="004D6A64">
            <w:pPr>
              <w:rPr>
                <w:rFonts w:ascii="宋体"/>
              </w:rPr>
            </w:pPr>
          </w:p>
        </w:tc>
        <w:tc>
          <w:tcPr>
            <w:tcW w:w="0" w:type="auto"/>
            <w:shd w:val="clear" w:color="auto" w:fill="auto"/>
          </w:tcPr>
          <w:p w14:paraId="33DABB5E" w14:textId="77777777" w:rsidR="004D6A64" w:rsidRDefault="004D6A64">
            <w:pPr>
              <w:rPr>
                <w:rFonts w:ascii="宋体"/>
              </w:rPr>
            </w:pPr>
          </w:p>
        </w:tc>
        <w:tc>
          <w:tcPr>
            <w:tcW w:w="0" w:type="auto"/>
            <w:shd w:val="clear" w:color="auto" w:fill="auto"/>
          </w:tcPr>
          <w:p w14:paraId="33DABB5F" w14:textId="77777777" w:rsidR="004D6A64" w:rsidRDefault="004D6A64">
            <w:pPr>
              <w:rPr>
                <w:rFonts w:ascii="宋体"/>
              </w:rPr>
            </w:pPr>
          </w:p>
        </w:tc>
        <w:tc>
          <w:tcPr>
            <w:tcW w:w="0" w:type="auto"/>
            <w:shd w:val="clear" w:color="auto" w:fill="auto"/>
          </w:tcPr>
          <w:p w14:paraId="33DABB60" w14:textId="77777777" w:rsidR="004D6A64" w:rsidRDefault="004D6A64">
            <w:pPr>
              <w:rPr>
                <w:rFonts w:ascii="宋体"/>
              </w:rPr>
            </w:pPr>
          </w:p>
        </w:tc>
        <w:tc>
          <w:tcPr>
            <w:tcW w:w="0" w:type="auto"/>
            <w:shd w:val="clear" w:color="auto" w:fill="auto"/>
          </w:tcPr>
          <w:p w14:paraId="33DABB61" w14:textId="77777777" w:rsidR="004D6A64" w:rsidRDefault="004D6A64">
            <w:pPr>
              <w:rPr>
                <w:rFonts w:ascii="宋体"/>
              </w:rPr>
            </w:pPr>
          </w:p>
        </w:tc>
        <w:tc>
          <w:tcPr>
            <w:tcW w:w="0" w:type="auto"/>
            <w:shd w:val="clear" w:color="auto" w:fill="auto"/>
          </w:tcPr>
          <w:p w14:paraId="33DABB62" w14:textId="77777777" w:rsidR="004D6A64" w:rsidRDefault="004D6A64">
            <w:pPr>
              <w:rPr>
                <w:rFonts w:ascii="宋体"/>
              </w:rPr>
            </w:pPr>
          </w:p>
        </w:tc>
        <w:tc>
          <w:tcPr>
            <w:tcW w:w="0" w:type="auto"/>
            <w:shd w:val="clear" w:color="auto" w:fill="auto"/>
          </w:tcPr>
          <w:p w14:paraId="33DABB63" w14:textId="77777777" w:rsidR="004D6A64" w:rsidRDefault="004D6A64">
            <w:pPr>
              <w:rPr>
                <w:rFonts w:ascii="宋体"/>
              </w:rPr>
            </w:pPr>
          </w:p>
        </w:tc>
        <w:tc>
          <w:tcPr>
            <w:tcW w:w="0" w:type="auto"/>
            <w:shd w:val="clear" w:color="auto" w:fill="auto"/>
          </w:tcPr>
          <w:p w14:paraId="33DABB64" w14:textId="77777777" w:rsidR="004D6A64" w:rsidRDefault="004D6A64">
            <w:pPr>
              <w:rPr>
                <w:rFonts w:ascii="宋体"/>
              </w:rPr>
            </w:pPr>
          </w:p>
        </w:tc>
        <w:tc>
          <w:tcPr>
            <w:tcW w:w="0" w:type="auto"/>
            <w:shd w:val="clear" w:color="auto" w:fill="auto"/>
          </w:tcPr>
          <w:p w14:paraId="33DABB65" w14:textId="77777777" w:rsidR="004D6A64" w:rsidRDefault="004D6A64">
            <w:pPr>
              <w:rPr>
                <w:rFonts w:ascii="宋体"/>
              </w:rPr>
            </w:pPr>
          </w:p>
        </w:tc>
        <w:tc>
          <w:tcPr>
            <w:tcW w:w="0" w:type="auto"/>
            <w:shd w:val="clear" w:color="auto" w:fill="auto"/>
          </w:tcPr>
          <w:p w14:paraId="33DABB66" w14:textId="77777777" w:rsidR="004D6A64" w:rsidRDefault="004D6A64">
            <w:pPr>
              <w:rPr>
                <w:rFonts w:ascii="宋体"/>
              </w:rPr>
            </w:pPr>
          </w:p>
        </w:tc>
        <w:tc>
          <w:tcPr>
            <w:tcW w:w="0" w:type="auto"/>
            <w:shd w:val="clear" w:color="auto" w:fill="auto"/>
          </w:tcPr>
          <w:p w14:paraId="33DABB67" w14:textId="77777777" w:rsidR="004D6A64" w:rsidRDefault="004D6A64">
            <w:pPr>
              <w:rPr>
                <w:rFonts w:ascii="宋体"/>
              </w:rPr>
            </w:pPr>
          </w:p>
        </w:tc>
        <w:tc>
          <w:tcPr>
            <w:tcW w:w="0" w:type="auto"/>
            <w:shd w:val="clear" w:color="auto" w:fill="auto"/>
          </w:tcPr>
          <w:p w14:paraId="33DABB68" w14:textId="77777777" w:rsidR="004D6A64" w:rsidRDefault="004D6A64">
            <w:pPr>
              <w:rPr>
                <w:rFonts w:ascii="宋体"/>
              </w:rPr>
            </w:pPr>
          </w:p>
        </w:tc>
        <w:tc>
          <w:tcPr>
            <w:tcW w:w="0" w:type="auto"/>
            <w:shd w:val="clear" w:color="auto" w:fill="auto"/>
          </w:tcPr>
          <w:p w14:paraId="33DABB69" w14:textId="77777777" w:rsidR="004D6A64" w:rsidRDefault="004D6A64">
            <w:pPr>
              <w:rPr>
                <w:rFonts w:ascii="宋体"/>
              </w:rPr>
            </w:pPr>
          </w:p>
        </w:tc>
        <w:tc>
          <w:tcPr>
            <w:tcW w:w="0" w:type="auto"/>
            <w:shd w:val="clear" w:color="auto" w:fill="auto"/>
          </w:tcPr>
          <w:p w14:paraId="33DABB6A" w14:textId="77777777" w:rsidR="004D6A64" w:rsidRDefault="004D6A64">
            <w:pPr>
              <w:rPr>
                <w:rFonts w:ascii="宋体"/>
              </w:rPr>
            </w:pPr>
          </w:p>
        </w:tc>
      </w:tr>
      <w:tr w:rsidR="004D6A64" w14:paraId="33DABB8C" w14:textId="77777777">
        <w:tc>
          <w:tcPr>
            <w:tcW w:w="0" w:type="auto"/>
            <w:gridSpan w:val="3"/>
            <w:shd w:val="clear" w:color="auto" w:fill="CCEEFF"/>
            <w:tcMar>
              <w:top w:w="40" w:type="dxa"/>
              <w:left w:w="20" w:type="dxa"/>
              <w:bottom w:w="40" w:type="dxa"/>
              <w:right w:w="20" w:type="dxa"/>
            </w:tcMar>
            <w:vAlign w:val="bottom"/>
          </w:tcPr>
          <w:p w14:paraId="33DABB6C" w14:textId="77777777" w:rsidR="004D6A64" w:rsidRDefault="00506CD6">
            <w:pPr>
              <w:textAlignment w:val="bottom"/>
            </w:pPr>
            <w:r>
              <w:rPr>
                <w:rFonts w:ascii="Times New Roman" w:eastAsia="宋体" w:hAnsi="Times New Roman"/>
                <w:color w:val="000000"/>
                <w:sz w:val="20"/>
                <w:szCs w:val="20"/>
              </w:rPr>
              <w:t>Foreign exchange contracts</w:t>
            </w:r>
          </w:p>
        </w:tc>
        <w:tc>
          <w:tcPr>
            <w:tcW w:w="0" w:type="auto"/>
            <w:gridSpan w:val="3"/>
            <w:shd w:val="clear" w:color="auto" w:fill="CCEEFF"/>
            <w:tcMar>
              <w:left w:w="20" w:type="dxa"/>
              <w:right w:w="20" w:type="dxa"/>
            </w:tcMar>
            <w:vAlign w:val="bottom"/>
          </w:tcPr>
          <w:p w14:paraId="33DABB6D"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BB6E"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BB6F" w14:textId="77777777" w:rsidR="004D6A64" w:rsidRDefault="00506CD6">
            <w:pPr>
              <w:jc w:val="right"/>
              <w:textAlignment w:val="bottom"/>
            </w:pPr>
            <w:r>
              <w:rPr>
                <w:rFonts w:ascii="Times New Roman" w:eastAsia="宋体" w:hAnsi="Times New Roman"/>
                <w:color w:val="000000"/>
                <w:sz w:val="20"/>
                <w:szCs w:val="20"/>
              </w:rPr>
              <w:t>(90)</w:t>
            </w:r>
          </w:p>
        </w:tc>
        <w:tc>
          <w:tcPr>
            <w:tcW w:w="0" w:type="auto"/>
            <w:shd w:val="clear" w:color="auto" w:fill="CCEEFF"/>
            <w:tcMar>
              <w:top w:w="40" w:type="dxa"/>
              <w:bottom w:w="40" w:type="dxa"/>
              <w:right w:w="20" w:type="dxa"/>
            </w:tcMar>
            <w:vAlign w:val="bottom"/>
          </w:tcPr>
          <w:p w14:paraId="33DABB7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B71" w14:textId="77777777" w:rsidR="004D6A64" w:rsidRDefault="004D6A64">
            <w:pPr>
              <w:rPr>
                <w:rFonts w:ascii="宋体"/>
              </w:rPr>
            </w:pPr>
          </w:p>
        </w:tc>
        <w:tc>
          <w:tcPr>
            <w:tcW w:w="0" w:type="auto"/>
            <w:gridSpan w:val="3"/>
            <w:shd w:val="clear" w:color="auto" w:fill="CCEEFF"/>
            <w:tcMar>
              <w:top w:w="40" w:type="dxa"/>
              <w:left w:w="20" w:type="dxa"/>
              <w:bottom w:w="40" w:type="dxa"/>
              <w:right w:w="20" w:type="dxa"/>
            </w:tcMar>
            <w:vAlign w:val="bottom"/>
          </w:tcPr>
          <w:p w14:paraId="33DABB72" w14:textId="77777777" w:rsidR="004D6A64" w:rsidRDefault="00506CD6">
            <w:pPr>
              <w:textAlignment w:val="bottom"/>
            </w:pPr>
            <w:r>
              <w:rPr>
                <w:rFonts w:ascii="Times New Roman" w:eastAsia="宋体" w:hAnsi="Times New Roman"/>
                <w:color w:val="000000"/>
                <w:sz w:val="20"/>
                <w:szCs w:val="20"/>
              </w:rPr>
              <w:t>Total cost of net revenue</w:t>
            </w:r>
          </w:p>
        </w:tc>
        <w:tc>
          <w:tcPr>
            <w:tcW w:w="0" w:type="auto"/>
            <w:gridSpan w:val="3"/>
            <w:shd w:val="clear" w:color="auto" w:fill="CCEEFF"/>
            <w:tcMar>
              <w:left w:w="20" w:type="dxa"/>
              <w:right w:w="20" w:type="dxa"/>
            </w:tcMar>
            <w:vAlign w:val="bottom"/>
          </w:tcPr>
          <w:p w14:paraId="33DABB7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BB74" w14:textId="77777777" w:rsidR="004D6A64" w:rsidRDefault="00506CD6">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bottom w:w="40" w:type="dxa"/>
              <w:right w:w="20" w:type="dxa"/>
            </w:tcMar>
            <w:vAlign w:val="bottom"/>
          </w:tcPr>
          <w:p w14:paraId="33DABB75" w14:textId="77777777" w:rsidR="004D6A64" w:rsidRDefault="004D6A64">
            <w:pPr>
              <w:jc w:val="right"/>
              <w:rPr>
                <w:rFonts w:ascii="宋体"/>
              </w:rPr>
            </w:pPr>
          </w:p>
        </w:tc>
        <w:tc>
          <w:tcPr>
            <w:tcW w:w="0" w:type="auto"/>
            <w:shd w:val="clear" w:color="auto" w:fill="auto"/>
          </w:tcPr>
          <w:p w14:paraId="33DABB76" w14:textId="77777777" w:rsidR="004D6A64" w:rsidRDefault="004D6A64">
            <w:pPr>
              <w:rPr>
                <w:rFonts w:ascii="宋体"/>
                <w:vanish/>
              </w:rPr>
            </w:pPr>
          </w:p>
        </w:tc>
        <w:tc>
          <w:tcPr>
            <w:tcW w:w="0" w:type="auto"/>
            <w:shd w:val="clear" w:color="auto" w:fill="auto"/>
          </w:tcPr>
          <w:p w14:paraId="33DABB77" w14:textId="77777777" w:rsidR="004D6A64" w:rsidRDefault="004D6A64">
            <w:pPr>
              <w:rPr>
                <w:rFonts w:ascii="宋体"/>
                <w:vanish/>
              </w:rPr>
            </w:pPr>
          </w:p>
        </w:tc>
        <w:tc>
          <w:tcPr>
            <w:tcW w:w="0" w:type="auto"/>
            <w:shd w:val="clear" w:color="auto" w:fill="auto"/>
          </w:tcPr>
          <w:p w14:paraId="33DABB78" w14:textId="77777777" w:rsidR="004D6A64" w:rsidRDefault="004D6A64">
            <w:pPr>
              <w:rPr>
                <w:rFonts w:ascii="宋体"/>
                <w:vanish/>
              </w:rPr>
            </w:pPr>
          </w:p>
        </w:tc>
        <w:tc>
          <w:tcPr>
            <w:tcW w:w="0" w:type="auto"/>
            <w:shd w:val="clear" w:color="auto" w:fill="auto"/>
          </w:tcPr>
          <w:p w14:paraId="33DABB79" w14:textId="77777777" w:rsidR="004D6A64" w:rsidRDefault="004D6A64">
            <w:pPr>
              <w:rPr>
                <w:rFonts w:ascii="宋体"/>
                <w:vanish/>
              </w:rPr>
            </w:pPr>
          </w:p>
        </w:tc>
        <w:tc>
          <w:tcPr>
            <w:tcW w:w="0" w:type="auto"/>
            <w:shd w:val="clear" w:color="auto" w:fill="auto"/>
          </w:tcPr>
          <w:p w14:paraId="33DABB7A" w14:textId="77777777" w:rsidR="004D6A64" w:rsidRDefault="004D6A64">
            <w:pPr>
              <w:rPr>
                <w:rFonts w:ascii="宋体"/>
              </w:rPr>
            </w:pPr>
          </w:p>
        </w:tc>
        <w:tc>
          <w:tcPr>
            <w:tcW w:w="0" w:type="auto"/>
            <w:shd w:val="clear" w:color="auto" w:fill="auto"/>
          </w:tcPr>
          <w:p w14:paraId="33DABB7B" w14:textId="77777777" w:rsidR="004D6A64" w:rsidRDefault="004D6A64">
            <w:pPr>
              <w:rPr>
                <w:rFonts w:ascii="宋体"/>
              </w:rPr>
            </w:pPr>
          </w:p>
        </w:tc>
        <w:tc>
          <w:tcPr>
            <w:tcW w:w="0" w:type="auto"/>
            <w:shd w:val="clear" w:color="auto" w:fill="auto"/>
          </w:tcPr>
          <w:p w14:paraId="33DABB7C" w14:textId="77777777" w:rsidR="004D6A64" w:rsidRDefault="004D6A64">
            <w:pPr>
              <w:rPr>
                <w:rFonts w:ascii="宋体"/>
              </w:rPr>
            </w:pPr>
          </w:p>
        </w:tc>
        <w:tc>
          <w:tcPr>
            <w:tcW w:w="0" w:type="auto"/>
            <w:shd w:val="clear" w:color="auto" w:fill="auto"/>
          </w:tcPr>
          <w:p w14:paraId="33DABB7D" w14:textId="77777777" w:rsidR="004D6A64" w:rsidRDefault="004D6A64">
            <w:pPr>
              <w:rPr>
                <w:rFonts w:ascii="宋体"/>
              </w:rPr>
            </w:pPr>
          </w:p>
        </w:tc>
        <w:tc>
          <w:tcPr>
            <w:tcW w:w="0" w:type="auto"/>
            <w:shd w:val="clear" w:color="auto" w:fill="auto"/>
          </w:tcPr>
          <w:p w14:paraId="33DABB7E" w14:textId="77777777" w:rsidR="004D6A64" w:rsidRDefault="004D6A64">
            <w:pPr>
              <w:rPr>
                <w:rFonts w:ascii="宋体"/>
              </w:rPr>
            </w:pPr>
          </w:p>
        </w:tc>
        <w:tc>
          <w:tcPr>
            <w:tcW w:w="0" w:type="auto"/>
            <w:shd w:val="clear" w:color="auto" w:fill="auto"/>
          </w:tcPr>
          <w:p w14:paraId="33DABB7F" w14:textId="77777777" w:rsidR="004D6A64" w:rsidRDefault="004D6A64">
            <w:pPr>
              <w:rPr>
                <w:rFonts w:ascii="宋体"/>
              </w:rPr>
            </w:pPr>
          </w:p>
        </w:tc>
        <w:tc>
          <w:tcPr>
            <w:tcW w:w="0" w:type="auto"/>
            <w:shd w:val="clear" w:color="auto" w:fill="auto"/>
          </w:tcPr>
          <w:p w14:paraId="33DABB80" w14:textId="77777777" w:rsidR="004D6A64" w:rsidRDefault="004D6A64">
            <w:pPr>
              <w:rPr>
                <w:rFonts w:ascii="宋体"/>
              </w:rPr>
            </w:pPr>
          </w:p>
        </w:tc>
        <w:tc>
          <w:tcPr>
            <w:tcW w:w="0" w:type="auto"/>
            <w:shd w:val="clear" w:color="auto" w:fill="auto"/>
          </w:tcPr>
          <w:p w14:paraId="33DABB81" w14:textId="77777777" w:rsidR="004D6A64" w:rsidRDefault="004D6A64">
            <w:pPr>
              <w:rPr>
                <w:rFonts w:ascii="宋体"/>
              </w:rPr>
            </w:pPr>
          </w:p>
        </w:tc>
        <w:tc>
          <w:tcPr>
            <w:tcW w:w="0" w:type="auto"/>
            <w:shd w:val="clear" w:color="auto" w:fill="auto"/>
          </w:tcPr>
          <w:p w14:paraId="33DABB82" w14:textId="77777777" w:rsidR="004D6A64" w:rsidRDefault="004D6A64">
            <w:pPr>
              <w:rPr>
                <w:rFonts w:ascii="宋体"/>
              </w:rPr>
            </w:pPr>
          </w:p>
        </w:tc>
        <w:tc>
          <w:tcPr>
            <w:tcW w:w="0" w:type="auto"/>
            <w:shd w:val="clear" w:color="auto" w:fill="auto"/>
          </w:tcPr>
          <w:p w14:paraId="33DABB83" w14:textId="77777777" w:rsidR="004D6A64" w:rsidRDefault="004D6A64">
            <w:pPr>
              <w:rPr>
                <w:rFonts w:ascii="宋体"/>
              </w:rPr>
            </w:pPr>
          </w:p>
        </w:tc>
        <w:tc>
          <w:tcPr>
            <w:tcW w:w="0" w:type="auto"/>
            <w:shd w:val="clear" w:color="auto" w:fill="auto"/>
          </w:tcPr>
          <w:p w14:paraId="33DABB84" w14:textId="77777777" w:rsidR="004D6A64" w:rsidRDefault="004D6A64">
            <w:pPr>
              <w:rPr>
                <w:rFonts w:ascii="宋体"/>
              </w:rPr>
            </w:pPr>
          </w:p>
        </w:tc>
        <w:tc>
          <w:tcPr>
            <w:tcW w:w="0" w:type="auto"/>
            <w:shd w:val="clear" w:color="auto" w:fill="auto"/>
          </w:tcPr>
          <w:p w14:paraId="33DABB85" w14:textId="77777777" w:rsidR="004D6A64" w:rsidRDefault="004D6A64">
            <w:pPr>
              <w:rPr>
                <w:rFonts w:ascii="宋体"/>
              </w:rPr>
            </w:pPr>
          </w:p>
        </w:tc>
        <w:tc>
          <w:tcPr>
            <w:tcW w:w="0" w:type="auto"/>
            <w:shd w:val="clear" w:color="auto" w:fill="auto"/>
          </w:tcPr>
          <w:p w14:paraId="33DABB86" w14:textId="77777777" w:rsidR="004D6A64" w:rsidRDefault="004D6A64">
            <w:pPr>
              <w:rPr>
                <w:rFonts w:ascii="宋体"/>
              </w:rPr>
            </w:pPr>
          </w:p>
        </w:tc>
        <w:tc>
          <w:tcPr>
            <w:tcW w:w="0" w:type="auto"/>
            <w:shd w:val="clear" w:color="auto" w:fill="auto"/>
          </w:tcPr>
          <w:p w14:paraId="33DABB87" w14:textId="77777777" w:rsidR="004D6A64" w:rsidRDefault="004D6A64">
            <w:pPr>
              <w:rPr>
                <w:rFonts w:ascii="宋体"/>
              </w:rPr>
            </w:pPr>
          </w:p>
        </w:tc>
        <w:tc>
          <w:tcPr>
            <w:tcW w:w="0" w:type="auto"/>
            <w:shd w:val="clear" w:color="auto" w:fill="auto"/>
          </w:tcPr>
          <w:p w14:paraId="33DABB88" w14:textId="77777777" w:rsidR="004D6A64" w:rsidRDefault="004D6A64">
            <w:pPr>
              <w:rPr>
                <w:rFonts w:ascii="宋体"/>
              </w:rPr>
            </w:pPr>
          </w:p>
        </w:tc>
        <w:tc>
          <w:tcPr>
            <w:tcW w:w="0" w:type="auto"/>
            <w:shd w:val="clear" w:color="auto" w:fill="auto"/>
          </w:tcPr>
          <w:p w14:paraId="33DABB89" w14:textId="77777777" w:rsidR="004D6A64" w:rsidRDefault="004D6A64">
            <w:pPr>
              <w:rPr>
                <w:rFonts w:ascii="宋体"/>
              </w:rPr>
            </w:pPr>
          </w:p>
        </w:tc>
        <w:tc>
          <w:tcPr>
            <w:tcW w:w="0" w:type="auto"/>
            <w:shd w:val="clear" w:color="auto" w:fill="auto"/>
          </w:tcPr>
          <w:p w14:paraId="33DABB8A" w14:textId="77777777" w:rsidR="004D6A64" w:rsidRDefault="004D6A64">
            <w:pPr>
              <w:rPr>
                <w:rFonts w:ascii="宋体"/>
              </w:rPr>
            </w:pPr>
          </w:p>
        </w:tc>
        <w:tc>
          <w:tcPr>
            <w:tcW w:w="0" w:type="auto"/>
            <w:shd w:val="clear" w:color="auto" w:fill="auto"/>
          </w:tcPr>
          <w:p w14:paraId="33DABB8B" w14:textId="77777777" w:rsidR="004D6A64" w:rsidRDefault="004D6A64">
            <w:pPr>
              <w:rPr>
                <w:rFonts w:ascii="宋体"/>
              </w:rPr>
            </w:pPr>
          </w:p>
        </w:tc>
      </w:tr>
      <w:tr w:rsidR="004D6A64" w14:paraId="33DABBAC" w14:textId="77777777">
        <w:tc>
          <w:tcPr>
            <w:tcW w:w="0" w:type="auto"/>
            <w:gridSpan w:val="3"/>
            <w:shd w:val="clear" w:color="auto" w:fill="FFFFFF"/>
            <w:tcMar>
              <w:top w:w="40" w:type="dxa"/>
              <w:left w:w="20" w:type="dxa"/>
              <w:bottom w:w="40" w:type="dxa"/>
              <w:right w:w="20" w:type="dxa"/>
            </w:tcMar>
            <w:vAlign w:val="bottom"/>
          </w:tcPr>
          <w:p w14:paraId="33DABB8D" w14:textId="77777777" w:rsidR="004D6A64" w:rsidRDefault="00506CD6">
            <w:pPr>
              <w:textAlignment w:val="bottom"/>
            </w:pPr>
            <w:r>
              <w:rPr>
                <w:rFonts w:ascii="Times New Roman" w:eastAsia="宋体" w:hAnsi="Times New Roman"/>
                <w:color w:val="000000"/>
                <w:sz w:val="20"/>
                <w:szCs w:val="20"/>
              </w:rPr>
              <w:t>Interest rate contracts</w:t>
            </w:r>
          </w:p>
        </w:tc>
        <w:tc>
          <w:tcPr>
            <w:tcW w:w="0" w:type="auto"/>
            <w:gridSpan w:val="3"/>
            <w:shd w:val="clear" w:color="auto" w:fill="FFFFFF"/>
            <w:tcMar>
              <w:left w:w="20" w:type="dxa"/>
              <w:right w:w="20" w:type="dxa"/>
            </w:tcMar>
            <w:vAlign w:val="bottom"/>
          </w:tcPr>
          <w:p w14:paraId="33DABB8E"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BB8F"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BB9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B91" w14:textId="77777777" w:rsidR="004D6A64" w:rsidRDefault="004D6A64">
            <w:pPr>
              <w:rPr>
                <w:rFonts w:ascii="宋体"/>
              </w:rPr>
            </w:pPr>
          </w:p>
        </w:tc>
        <w:tc>
          <w:tcPr>
            <w:tcW w:w="0" w:type="auto"/>
            <w:gridSpan w:val="3"/>
            <w:shd w:val="clear" w:color="auto" w:fill="FFFFFF"/>
            <w:tcMar>
              <w:top w:w="40" w:type="dxa"/>
              <w:left w:w="20" w:type="dxa"/>
              <w:bottom w:w="40" w:type="dxa"/>
              <w:right w:w="20" w:type="dxa"/>
            </w:tcMar>
            <w:vAlign w:val="bottom"/>
          </w:tcPr>
          <w:p w14:paraId="33DABB92" w14:textId="77777777" w:rsidR="004D6A64" w:rsidRDefault="00506CD6">
            <w:pPr>
              <w:textAlignment w:val="bottom"/>
            </w:pPr>
            <w:r>
              <w:rPr>
                <w:rFonts w:ascii="Times New Roman" w:eastAsia="宋体" w:hAnsi="Times New Roman"/>
                <w:color w:val="000000"/>
                <w:sz w:val="20"/>
                <w:szCs w:val="20"/>
              </w:rPr>
              <w:t>Interest and other, net</w:t>
            </w:r>
          </w:p>
        </w:tc>
        <w:tc>
          <w:tcPr>
            <w:tcW w:w="0" w:type="auto"/>
            <w:gridSpan w:val="3"/>
            <w:shd w:val="clear" w:color="auto" w:fill="FFFFFF"/>
            <w:tcMar>
              <w:left w:w="20" w:type="dxa"/>
              <w:right w:w="20" w:type="dxa"/>
            </w:tcMar>
            <w:vAlign w:val="bottom"/>
          </w:tcPr>
          <w:p w14:paraId="33DABB9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BB94"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BB95" w14:textId="77777777" w:rsidR="004D6A64" w:rsidRDefault="004D6A64">
            <w:pPr>
              <w:jc w:val="right"/>
              <w:rPr>
                <w:rFonts w:ascii="宋体"/>
              </w:rPr>
            </w:pPr>
          </w:p>
        </w:tc>
        <w:tc>
          <w:tcPr>
            <w:tcW w:w="0" w:type="auto"/>
            <w:shd w:val="clear" w:color="auto" w:fill="auto"/>
          </w:tcPr>
          <w:p w14:paraId="33DABB96" w14:textId="77777777" w:rsidR="004D6A64" w:rsidRDefault="004D6A64">
            <w:pPr>
              <w:rPr>
                <w:rFonts w:ascii="宋体"/>
                <w:vanish/>
              </w:rPr>
            </w:pPr>
          </w:p>
        </w:tc>
        <w:tc>
          <w:tcPr>
            <w:tcW w:w="0" w:type="auto"/>
            <w:shd w:val="clear" w:color="auto" w:fill="auto"/>
          </w:tcPr>
          <w:p w14:paraId="33DABB97" w14:textId="77777777" w:rsidR="004D6A64" w:rsidRDefault="004D6A64">
            <w:pPr>
              <w:rPr>
                <w:rFonts w:ascii="宋体"/>
                <w:vanish/>
              </w:rPr>
            </w:pPr>
          </w:p>
        </w:tc>
        <w:tc>
          <w:tcPr>
            <w:tcW w:w="0" w:type="auto"/>
            <w:shd w:val="clear" w:color="auto" w:fill="auto"/>
          </w:tcPr>
          <w:p w14:paraId="33DABB98" w14:textId="77777777" w:rsidR="004D6A64" w:rsidRDefault="004D6A64">
            <w:pPr>
              <w:rPr>
                <w:rFonts w:ascii="宋体"/>
                <w:vanish/>
              </w:rPr>
            </w:pPr>
          </w:p>
        </w:tc>
        <w:tc>
          <w:tcPr>
            <w:tcW w:w="0" w:type="auto"/>
            <w:shd w:val="clear" w:color="auto" w:fill="auto"/>
          </w:tcPr>
          <w:p w14:paraId="33DABB99" w14:textId="77777777" w:rsidR="004D6A64" w:rsidRDefault="004D6A64">
            <w:pPr>
              <w:rPr>
                <w:rFonts w:ascii="宋体"/>
                <w:vanish/>
              </w:rPr>
            </w:pPr>
          </w:p>
        </w:tc>
        <w:tc>
          <w:tcPr>
            <w:tcW w:w="0" w:type="auto"/>
            <w:shd w:val="clear" w:color="auto" w:fill="auto"/>
          </w:tcPr>
          <w:p w14:paraId="33DABB9A" w14:textId="77777777" w:rsidR="004D6A64" w:rsidRDefault="004D6A64">
            <w:pPr>
              <w:rPr>
                <w:rFonts w:ascii="宋体"/>
              </w:rPr>
            </w:pPr>
          </w:p>
        </w:tc>
        <w:tc>
          <w:tcPr>
            <w:tcW w:w="0" w:type="auto"/>
            <w:shd w:val="clear" w:color="auto" w:fill="auto"/>
          </w:tcPr>
          <w:p w14:paraId="33DABB9B" w14:textId="77777777" w:rsidR="004D6A64" w:rsidRDefault="004D6A64">
            <w:pPr>
              <w:rPr>
                <w:rFonts w:ascii="宋体"/>
              </w:rPr>
            </w:pPr>
          </w:p>
        </w:tc>
        <w:tc>
          <w:tcPr>
            <w:tcW w:w="0" w:type="auto"/>
            <w:shd w:val="clear" w:color="auto" w:fill="auto"/>
          </w:tcPr>
          <w:p w14:paraId="33DABB9C" w14:textId="77777777" w:rsidR="004D6A64" w:rsidRDefault="004D6A64">
            <w:pPr>
              <w:rPr>
                <w:rFonts w:ascii="宋体"/>
              </w:rPr>
            </w:pPr>
          </w:p>
        </w:tc>
        <w:tc>
          <w:tcPr>
            <w:tcW w:w="0" w:type="auto"/>
            <w:shd w:val="clear" w:color="auto" w:fill="auto"/>
          </w:tcPr>
          <w:p w14:paraId="33DABB9D" w14:textId="77777777" w:rsidR="004D6A64" w:rsidRDefault="004D6A64">
            <w:pPr>
              <w:rPr>
                <w:rFonts w:ascii="宋体"/>
              </w:rPr>
            </w:pPr>
          </w:p>
        </w:tc>
        <w:tc>
          <w:tcPr>
            <w:tcW w:w="0" w:type="auto"/>
            <w:shd w:val="clear" w:color="auto" w:fill="auto"/>
          </w:tcPr>
          <w:p w14:paraId="33DABB9E" w14:textId="77777777" w:rsidR="004D6A64" w:rsidRDefault="004D6A64">
            <w:pPr>
              <w:rPr>
                <w:rFonts w:ascii="宋体"/>
              </w:rPr>
            </w:pPr>
          </w:p>
        </w:tc>
        <w:tc>
          <w:tcPr>
            <w:tcW w:w="0" w:type="auto"/>
            <w:shd w:val="clear" w:color="auto" w:fill="auto"/>
          </w:tcPr>
          <w:p w14:paraId="33DABB9F" w14:textId="77777777" w:rsidR="004D6A64" w:rsidRDefault="004D6A64">
            <w:pPr>
              <w:rPr>
                <w:rFonts w:ascii="宋体"/>
              </w:rPr>
            </w:pPr>
          </w:p>
        </w:tc>
        <w:tc>
          <w:tcPr>
            <w:tcW w:w="0" w:type="auto"/>
            <w:shd w:val="clear" w:color="auto" w:fill="auto"/>
          </w:tcPr>
          <w:p w14:paraId="33DABBA0" w14:textId="77777777" w:rsidR="004D6A64" w:rsidRDefault="004D6A64">
            <w:pPr>
              <w:rPr>
                <w:rFonts w:ascii="宋体"/>
              </w:rPr>
            </w:pPr>
          </w:p>
        </w:tc>
        <w:tc>
          <w:tcPr>
            <w:tcW w:w="0" w:type="auto"/>
            <w:shd w:val="clear" w:color="auto" w:fill="auto"/>
          </w:tcPr>
          <w:p w14:paraId="33DABBA1" w14:textId="77777777" w:rsidR="004D6A64" w:rsidRDefault="004D6A64">
            <w:pPr>
              <w:rPr>
                <w:rFonts w:ascii="宋体"/>
              </w:rPr>
            </w:pPr>
          </w:p>
        </w:tc>
        <w:tc>
          <w:tcPr>
            <w:tcW w:w="0" w:type="auto"/>
            <w:shd w:val="clear" w:color="auto" w:fill="auto"/>
          </w:tcPr>
          <w:p w14:paraId="33DABBA2" w14:textId="77777777" w:rsidR="004D6A64" w:rsidRDefault="004D6A64">
            <w:pPr>
              <w:rPr>
                <w:rFonts w:ascii="宋体"/>
              </w:rPr>
            </w:pPr>
          </w:p>
        </w:tc>
        <w:tc>
          <w:tcPr>
            <w:tcW w:w="0" w:type="auto"/>
            <w:shd w:val="clear" w:color="auto" w:fill="auto"/>
          </w:tcPr>
          <w:p w14:paraId="33DABBA3" w14:textId="77777777" w:rsidR="004D6A64" w:rsidRDefault="004D6A64">
            <w:pPr>
              <w:rPr>
                <w:rFonts w:ascii="宋体"/>
              </w:rPr>
            </w:pPr>
          </w:p>
        </w:tc>
        <w:tc>
          <w:tcPr>
            <w:tcW w:w="0" w:type="auto"/>
            <w:shd w:val="clear" w:color="auto" w:fill="auto"/>
          </w:tcPr>
          <w:p w14:paraId="33DABBA4" w14:textId="77777777" w:rsidR="004D6A64" w:rsidRDefault="004D6A64">
            <w:pPr>
              <w:rPr>
                <w:rFonts w:ascii="宋体"/>
              </w:rPr>
            </w:pPr>
          </w:p>
        </w:tc>
        <w:tc>
          <w:tcPr>
            <w:tcW w:w="0" w:type="auto"/>
            <w:shd w:val="clear" w:color="auto" w:fill="auto"/>
          </w:tcPr>
          <w:p w14:paraId="33DABBA5" w14:textId="77777777" w:rsidR="004D6A64" w:rsidRDefault="004D6A64">
            <w:pPr>
              <w:rPr>
                <w:rFonts w:ascii="宋体"/>
              </w:rPr>
            </w:pPr>
          </w:p>
        </w:tc>
        <w:tc>
          <w:tcPr>
            <w:tcW w:w="0" w:type="auto"/>
            <w:shd w:val="clear" w:color="auto" w:fill="auto"/>
          </w:tcPr>
          <w:p w14:paraId="33DABBA6" w14:textId="77777777" w:rsidR="004D6A64" w:rsidRDefault="004D6A64">
            <w:pPr>
              <w:rPr>
                <w:rFonts w:ascii="宋体"/>
              </w:rPr>
            </w:pPr>
          </w:p>
        </w:tc>
        <w:tc>
          <w:tcPr>
            <w:tcW w:w="0" w:type="auto"/>
            <w:shd w:val="clear" w:color="auto" w:fill="auto"/>
          </w:tcPr>
          <w:p w14:paraId="33DABBA7" w14:textId="77777777" w:rsidR="004D6A64" w:rsidRDefault="004D6A64">
            <w:pPr>
              <w:rPr>
                <w:rFonts w:ascii="宋体"/>
              </w:rPr>
            </w:pPr>
          </w:p>
        </w:tc>
        <w:tc>
          <w:tcPr>
            <w:tcW w:w="0" w:type="auto"/>
            <w:shd w:val="clear" w:color="auto" w:fill="auto"/>
          </w:tcPr>
          <w:p w14:paraId="33DABBA8" w14:textId="77777777" w:rsidR="004D6A64" w:rsidRDefault="004D6A64">
            <w:pPr>
              <w:rPr>
                <w:rFonts w:ascii="宋体"/>
              </w:rPr>
            </w:pPr>
          </w:p>
        </w:tc>
        <w:tc>
          <w:tcPr>
            <w:tcW w:w="0" w:type="auto"/>
            <w:shd w:val="clear" w:color="auto" w:fill="auto"/>
          </w:tcPr>
          <w:p w14:paraId="33DABBA9" w14:textId="77777777" w:rsidR="004D6A64" w:rsidRDefault="004D6A64">
            <w:pPr>
              <w:rPr>
                <w:rFonts w:ascii="宋体"/>
              </w:rPr>
            </w:pPr>
          </w:p>
        </w:tc>
        <w:tc>
          <w:tcPr>
            <w:tcW w:w="0" w:type="auto"/>
            <w:shd w:val="clear" w:color="auto" w:fill="auto"/>
          </w:tcPr>
          <w:p w14:paraId="33DABBAA" w14:textId="77777777" w:rsidR="004D6A64" w:rsidRDefault="004D6A64">
            <w:pPr>
              <w:rPr>
                <w:rFonts w:ascii="宋体"/>
              </w:rPr>
            </w:pPr>
          </w:p>
        </w:tc>
        <w:tc>
          <w:tcPr>
            <w:tcW w:w="0" w:type="auto"/>
            <w:shd w:val="clear" w:color="auto" w:fill="auto"/>
          </w:tcPr>
          <w:p w14:paraId="33DABBAB" w14:textId="77777777" w:rsidR="004D6A64" w:rsidRDefault="004D6A64">
            <w:pPr>
              <w:rPr>
                <w:rFonts w:ascii="宋体"/>
              </w:rPr>
            </w:pPr>
          </w:p>
        </w:tc>
      </w:tr>
      <w:tr w:rsidR="004D6A64" w14:paraId="33DABBCE" w14:textId="77777777">
        <w:tc>
          <w:tcPr>
            <w:tcW w:w="0" w:type="auto"/>
            <w:gridSpan w:val="3"/>
            <w:shd w:val="clear" w:color="auto" w:fill="CCEEFF"/>
            <w:tcMar>
              <w:top w:w="40" w:type="dxa"/>
              <w:left w:w="135" w:type="dxa"/>
              <w:bottom w:w="40" w:type="dxa"/>
              <w:right w:w="20" w:type="dxa"/>
            </w:tcMar>
            <w:vAlign w:val="bottom"/>
          </w:tcPr>
          <w:p w14:paraId="33DABBAD" w14:textId="77777777" w:rsidR="004D6A64" w:rsidRDefault="00506CD6">
            <w:pPr>
              <w:textAlignment w:val="bottom"/>
            </w:pPr>
            <w:r>
              <w:rPr>
                <w:rFonts w:ascii="Times New Roman" w:eastAsia="宋体" w:hAnsi="Times New Roman"/>
                <w:color w:val="000000"/>
                <w:sz w:val="20"/>
                <w:szCs w:val="20"/>
              </w:rPr>
              <w:t>Total</w:t>
            </w:r>
          </w:p>
        </w:tc>
        <w:tc>
          <w:tcPr>
            <w:tcW w:w="0" w:type="auto"/>
            <w:gridSpan w:val="3"/>
            <w:shd w:val="clear" w:color="auto" w:fill="CCEEFF"/>
            <w:tcMar>
              <w:left w:w="20" w:type="dxa"/>
              <w:right w:w="20" w:type="dxa"/>
            </w:tcMar>
            <w:vAlign w:val="bottom"/>
          </w:tcPr>
          <w:p w14:paraId="33DABBAE"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BBAF"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BBB0" w14:textId="77777777" w:rsidR="004D6A64" w:rsidRDefault="00506CD6">
            <w:pPr>
              <w:jc w:val="right"/>
              <w:textAlignment w:val="bottom"/>
            </w:pPr>
            <w:r>
              <w:rPr>
                <w:rFonts w:ascii="Times New Roman" w:eastAsia="宋体" w:hAnsi="Times New Roman"/>
                <w:color w:val="000000"/>
                <w:sz w:val="20"/>
                <w:szCs w:val="20"/>
              </w:rPr>
              <w:t>(90)</w:t>
            </w:r>
          </w:p>
        </w:tc>
        <w:tc>
          <w:tcPr>
            <w:tcW w:w="0" w:type="auto"/>
            <w:tcBorders>
              <w:top w:val="single" w:sz="8" w:space="0" w:color="000000"/>
            </w:tcBorders>
            <w:shd w:val="clear" w:color="auto" w:fill="CCEEFF"/>
            <w:tcMar>
              <w:top w:w="40" w:type="dxa"/>
              <w:bottom w:w="40" w:type="dxa"/>
              <w:right w:w="20" w:type="dxa"/>
            </w:tcMar>
            <w:vAlign w:val="bottom"/>
          </w:tcPr>
          <w:p w14:paraId="33DABBB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BB2" w14:textId="77777777" w:rsidR="004D6A64" w:rsidRDefault="004D6A64">
            <w:pPr>
              <w:rPr>
                <w:rFonts w:ascii="宋体"/>
              </w:rPr>
            </w:pPr>
          </w:p>
        </w:tc>
        <w:tc>
          <w:tcPr>
            <w:tcW w:w="0" w:type="auto"/>
            <w:gridSpan w:val="3"/>
            <w:shd w:val="clear" w:color="auto" w:fill="CCEEFF"/>
            <w:tcMar>
              <w:top w:w="40" w:type="dxa"/>
              <w:left w:w="20" w:type="dxa"/>
              <w:bottom w:w="40" w:type="dxa"/>
              <w:right w:w="20" w:type="dxa"/>
            </w:tcMar>
            <w:vAlign w:val="bottom"/>
          </w:tcPr>
          <w:p w14:paraId="33DABBB3" w14:textId="77777777" w:rsidR="004D6A64" w:rsidRDefault="00506CD6">
            <w:pPr>
              <w:textAlignment w:val="bottom"/>
            </w:pPr>
            <w:r>
              <w:rPr>
                <w:rFonts w:ascii="Times New Roman" w:eastAsia="宋体" w:hAnsi="Times New Roman"/>
                <w:color w:val="000000"/>
                <w:sz w:val="20"/>
                <w:szCs w:val="20"/>
              </w:rPr>
              <w:t> </w:t>
            </w:r>
          </w:p>
        </w:tc>
        <w:tc>
          <w:tcPr>
            <w:tcW w:w="0" w:type="auto"/>
            <w:gridSpan w:val="3"/>
            <w:shd w:val="clear" w:color="auto" w:fill="CCEEFF"/>
            <w:tcMar>
              <w:left w:w="20" w:type="dxa"/>
              <w:right w:w="20" w:type="dxa"/>
            </w:tcMar>
            <w:vAlign w:val="bottom"/>
          </w:tcPr>
          <w:p w14:paraId="33DABBB4"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BBB5"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BBB6" w14:textId="77777777" w:rsidR="004D6A64" w:rsidRDefault="00506CD6">
            <w:pPr>
              <w:jc w:val="right"/>
              <w:textAlignment w:val="bottom"/>
            </w:pPr>
            <w:r>
              <w:rPr>
                <w:rFonts w:ascii="Times New Roman" w:eastAsia="宋体" w:hAnsi="Times New Roman"/>
                <w:color w:val="000000"/>
                <w:sz w:val="20"/>
                <w:szCs w:val="20"/>
              </w:rPr>
              <w:t>108 </w:t>
            </w:r>
          </w:p>
        </w:tc>
        <w:tc>
          <w:tcPr>
            <w:tcW w:w="0" w:type="auto"/>
            <w:tcBorders>
              <w:top w:val="single" w:sz="8" w:space="0" w:color="000000"/>
            </w:tcBorders>
            <w:shd w:val="clear" w:color="auto" w:fill="CCEEFF"/>
            <w:tcMar>
              <w:top w:w="40" w:type="dxa"/>
              <w:bottom w:w="40" w:type="dxa"/>
              <w:right w:w="20" w:type="dxa"/>
            </w:tcMar>
            <w:vAlign w:val="bottom"/>
          </w:tcPr>
          <w:p w14:paraId="33DABBB7" w14:textId="77777777" w:rsidR="004D6A64" w:rsidRDefault="004D6A64">
            <w:pPr>
              <w:jc w:val="right"/>
              <w:rPr>
                <w:rFonts w:ascii="宋体"/>
              </w:rPr>
            </w:pPr>
          </w:p>
        </w:tc>
        <w:tc>
          <w:tcPr>
            <w:tcW w:w="0" w:type="auto"/>
            <w:shd w:val="clear" w:color="auto" w:fill="auto"/>
          </w:tcPr>
          <w:p w14:paraId="33DABBB8" w14:textId="77777777" w:rsidR="004D6A64" w:rsidRDefault="004D6A64">
            <w:pPr>
              <w:rPr>
                <w:rFonts w:ascii="宋体"/>
                <w:vanish/>
              </w:rPr>
            </w:pPr>
          </w:p>
        </w:tc>
        <w:tc>
          <w:tcPr>
            <w:tcW w:w="0" w:type="auto"/>
            <w:shd w:val="clear" w:color="auto" w:fill="auto"/>
          </w:tcPr>
          <w:p w14:paraId="33DABBB9" w14:textId="77777777" w:rsidR="004D6A64" w:rsidRDefault="004D6A64">
            <w:pPr>
              <w:rPr>
                <w:rFonts w:ascii="宋体"/>
                <w:vanish/>
              </w:rPr>
            </w:pPr>
          </w:p>
        </w:tc>
        <w:tc>
          <w:tcPr>
            <w:tcW w:w="0" w:type="auto"/>
            <w:shd w:val="clear" w:color="auto" w:fill="auto"/>
          </w:tcPr>
          <w:p w14:paraId="33DABBBA" w14:textId="77777777" w:rsidR="004D6A64" w:rsidRDefault="004D6A64">
            <w:pPr>
              <w:rPr>
                <w:rFonts w:ascii="宋体"/>
                <w:vanish/>
              </w:rPr>
            </w:pPr>
          </w:p>
        </w:tc>
        <w:tc>
          <w:tcPr>
            <w:tcW w:w="0" w:type="auto"/>
            <w:shd w:val="clear" w:color="auto" w:fill="auto"/>
          </w:tcPr>
          <w:p w14:paraId="33DABBBB" w14:textId="77777777" w:rsidR="004D6A64" w:rsidRDefault="004D6A64">
            <w:pPr>
              <w:rPr>
                <w:rFonts w:ascii="宋体"/>
                <w:vanish/>
              </w:rPr>
            </w:pPr>
          </w:p>
        </w:tc>
        <w:tc>
          <w:tcPr>
            <w:tcW w:w="0" w:type="auto"/>
            <w:shd w:val="clear" w:color="auto" w:fill="auto"/>
          </w:tcPr>
          <w:p w14:paraId="33DABBBC" w14:textId="77777777" w:rsidR="004D6A64" w:rsidRDefault="004D6A64">
            <w:pPr>
              <w:rPr>
                <w:rFonts w:ascii="宋体"/>
              </w:rPr>
            </w:pPr>
          </w:p>
        </w:tc>
        <w:tc>
          <w:tcPr>
            <w:tcW w:w="0" w:type="auto"/>
            <w:shd w:val="clear" w:color="auto" w:fill="auto"/>
          </w:tcPr>
          <w:p w14:paraId="33DABBBD" w14:textId="77777777" w:rsidR="004D6A64" w:rsidRDefault="004D6A64">
            <w:pPr>
              <w:rPr>
                <w:rFonts w:ascii="宋体"/>
              </w:rPr>
            </w:pPr>
          </w:p>
        </w:tc>
        <w:tc>
          <w:tcPr>
            <w:tcW w:w="0" w:type="auto"/>
            <w:shd w:val="clear" w:color="auto" w:fill="auto"/>
          </w:tcPr>
          <w:p w14:paraId="33DABBBE" w14:textId="77777777" w:rsidR="004D6A64" w:rsidRDefault="004D6A64">
            <w:pPr>
              <w:rPr>
                <w:rFonts w:ascii="宋体"/>
              </w:rPr>
            </w:pPr>
          </w:p>
        </w:tc>
        <w:tc>
          <w:tcPr>
            <w:tcW w:w="0" w:type="auto"/>
            <w:shd w:val="clear" w:color="auto" w:fill="auto"/>
          </w:tcPr>
          <w:p w14:paraId="33DABBBF" w14:textId="77777777" w:rsidR="004D6A64" w:rsidRDefault="004D6A64">
            <w:pPr>
              <w:rPr>
                <w:rFonts w:ascii="宋体"/>
              </w:rPr>
            </w:pPr>
          </w:p>
        </w:tc>
        <w:tc>
          <w:tcPr>
            <w:tcW w:w="0" w:type="auto"/>
            <w:shd w:val="clear" w:color="auto" w:fill="auto"/>
          </w:tcPr>
          <w:p w14:paraId="33DABBC0" w14:textId="77777777" w:rsidR="004D6A64" w:rsidRDefault="004D6A64">
            <w:pPr>
              <w:rPr>
                <w:rFonts w:ascii="宋体"/>
              </w:rPr>
            </w:pPr>
          </w:p>
        </w:tc>
        <w:tc>
          <w:tcPr>
            <w:tcW w:w="0" w:type="auto"/>
            <w:shd w:val="clear" w:color="auto" w:fill="auto"/>
          </w:tcPr>
          <w:p w14:paraId="33DABBC1" w14:textId="77777777" w:rsidR="004D6A64" w:rsidRDefault="004D6A64">
            <w:pPr>
              <w:rPr>
                <w:rFonts w:ascii="宋体"/>
              </w:rPr>
            </w:pPr>
          </w:p>
        </w:tc>
        <w:tc>
          <w:tcPr>
            <w:tcW w:w="0" w:type="auto"/>
            <w:shd w:val="clear" w:color="auto" w:fill="auto"/>
          </w:tcPr>
          <w:p w14:paraId="33DABBC2" w14:textId="77777777" w:rsidR="004D6A64" w:rsidRDefault="004D6A64">
            <w:pPr>
              <w:rPr>
                <w:rFonts w:ascii="宋体"/>
              </w:rPr>
            </w:pPr>
          </w:p>
        </w:tc>
        <w:tc>
          <w:tcPr>
            <w:tcW w:w="0" w:type="auto"/>
            <w:shd w:val="clear" w:color="auto" w:fill="auto"/>
          </w:tcPr>
          <w:p w14:paraId="33DABBC3" w14:textId="77777777" w:rsidR="004D6A64" w:rsidRDefault="004D6A64">
            <w:pPr>
              <w:rPr>
                <w:rFonts w:ascii="宋体"/>
              </w:rPr>
            </w:pPr>
          </w:p>
        </w:tc>
        <w:tc>
          <w:tcPr>
            <w:tcW w:w="0" w:type="auto"/>
            <w:shd w:val="clear" w:color="auto" w:fill="auto"/>
          </w:tcPr>
          <w:p w14:paraId="33DABBC4" w14:textId="77777777" w:rsidR="004D6A64" w:rsidRDefault="004D6A64">
            <w:pPr>
              <w:rPr>
                <w:rFonts w:ascii="宋体"/>
              </w:rPr>
            </w:pPr>
          </w:p>
        </w:tc>
        <w:tc>
          <w:tcPr>
            <w:tcW w:w="0" w:type="auto"/>
            <w:shd w:val="clear" w:color="auto" w:fill="auto"/>
          </w:tcPr>
          <w:p w14:paraId="33DABBC5" w14:textId="77777777" w:rsidR="004D6A64" w:rsidRDefault="004D6A64">
            <w:pPr>
              <w:rPr>
                <w:rFonts w:ascii="宋体"/>
              </w:rPr>
            </w:pPr>
          </w:p>
        </w:tc>
        <w:tc>
          <w:tcPr>
            <w:tcW w:w="0" w:type="auto"/>
            <w:shd w:val="clear" w:color="auto" w:fill="auto"/>
          </w:tcPr>
          <w:p w14:paraId="33DABBC6" w14:textId="77777777" w:rsidR="004D6A64" w:rsidRDefault="004D6A64">
            <w:pPr>
              <w:rPr>
                <w:rFonts w:ascii="宋体"/>
              </w:rPr>
            </w:pPr>
          </w:p>
        </w:tc>
        <w:tc>
          <w:tcPr>
            <w:tcW w:w="0" w:type="auto"/>
            <w:shd w:val="clear" w:color="auto" w:fill="auto"/>
          </w:tcPr>
          <w:p w14:paraId="33DABBC7" w14:textId="77777777" w:rsidR="004D6A64" w:rsidRDefault="004D6A64">
            <w:pPr>
              <w:rPr>
                <w:rFonts w:ascii="宋体"/>
              </w:rPr>
            </w:pPr>
          </w:p>
        </w:tc>
        <w:tc>
          <w:tcPr>
            <w:tcW w:w="0" w:type="auto"/>
            <w:shd w:val="clear" w:color="auto" w:fill="auto"/>
          </w:tcPr>
          <w:p w14:paraId="33DABBC8" w14:textId="77777777" w:rsidR="004D6A64" w:rsidRDefault="004D6A64">
            <w:pPr>
              <w:rPr>
                <w:rFonts w:ascii="宋体"/>
              </w:rPr>
            </w:pPr>
          </w:p>
        </w:tc>
        <w:tc>
          <w:tcPr>
            <w:tcW w:w="0" w:type="auto"/>
            <w:shd w:val="clear" w:color="auto" w:fill="auto"/>
          </w:tcPr>
          <w:p w14:paraId="33DABBC9" w14:textId="77777777" w:rsidR="004D6A64" w:rsidRDefault="004D6A64">
            <w:pPr>
              <w:rPr>
                <w:rFonts w:ascii="宋体"/>
              </w:rPr>
            </w:pPr>
          </w:p>
        </w:tc>
        <w:tc>
          <w:tcPr>
            <w:tcW w:w="0" w:type="auto"/>
            <w:shd w:val="clear" w:color="auto" w:fill="auto"/>
          </w:tcPr>
          <w:p w14:paraId="33DABBCA" w14:textId="77777777" w:rsidR="004D6A64" w:rsidRDefault="004D6A64">
            <w:pPr>
              <w:rPr>
                <w:rFonts w:ascii="宋体"/>
              </w:rPr>
            </w:pPr>
          </w:p>
        </w:tc>
        <w:tc>
          <w:tcPr>
            <w:tcW w:w="0" w:type="auto"/>
            <w:shd w:val="clear" w:color="auto" w:fill="auto"/>
          </w:tcPr>
          <w:p w14:paraId="33DABBCB" w14:textId="77777777" w:rsidR="004D6A64" w:rsidRDefault="004D6A64">
            <w:pPr>
              <w:rPr>
                <w:rFonts w:ascii="宋体"/>
              </w:rPr>
            </w:pPr>
          </w:p>
        </w:tc>
        <w:tc>
          <w:tcPr>
            <w:tcW w:w="0" w:type="auto"/>
            <w:shd w:val="clear" w:color="auto" w:fill="auto"/>
          </w:tcPr>
          <w:p w14:paraId="33DABBCC" w14:textId="77777777" w:rsidR="004D6A64" w:rsidRDefault="004D6A64">
            <w:pPr>
              <w:rPr>
                <w:rFonts w:ascii="宋体"/>
              </w:rPr>
            </w:pPr>
          </w:p>
        </w:tc>
        <w:tc>
          <w:tcPr>
            <w:tcW w:w="0" w:type="auto"/>
            <w:shd w:val="clear" w:color="auto" w:fill="auto"/>
          </w:tcPr>
          <w:p w14:paraId="33DABBCD" w14:textId="77777777" w:rsidR="004D6A64" w:rsidRDefault="004D6A64">
            <w:pPr>
              <w:rPr>
                <w:rFonts w:ascii="宋体"/>
              </w:rPr>
            </w:pPr>
          </w:p>
        </w:tc>
      </w:tr>
      <w:tr w:rsidR="004D6A64" w14:paraId="33DABBEC" w14:textId="77777777">
        <w:trPr>
          <w:trHeight w:val="180"/>
        </w:trPr>
        <w:tc>
          <w:tcPr>
            <w:tcW w:w="0" w:type="auto"/>
            <w:gridSpan w:val="3"/>
            <w:shd w:val="clear" w:color="auto" w:fill="FFFFFF"/>
            <w:tcMar>
              <w:left w:w="20" w:type="dxa"/>
              <w:right w:w="20" w:type="dxa"/>
            </w:tcMar>
            <w:vAlign w:val="bottom"/>
          </w:tcPr>
          <w:p w14:paraId="33DABBCF"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BD0" w14:textId="77777777" w:rsidR="004D6A64" w:rsidRDefault="004D6A6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3DABBD1"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BD2"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BD3"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BD4" w14:textId="77777777" w:rsidR="004D6A64" w:rsidRDefault="004D6A6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3DABBD5" w14:textId="77777777" w:rsidR="004D6A64" w:rsidRDefault="004D6A64">
            <w:pPr>
              <w:rPr>
                <w:rFonts w:ascii="宋体"/>
              </w:rPr>
            </w:pPr>
          </w:p>
        </w:tc>
        <w:tc>
          <w:tcPr>
            <w:tcW w:w="0" w:type="auto"/>
            <w:shd w:val="clear" w:color="auto" w:fill="auto"/>
          </w:tcPr>
          <w:p w14:paraId="33DABBD6" w14:textId="77777777" w:rsidR="004D6A64" w:rsidRDefault="004D6A64">
            <w:pPr>
              <w:rPr>
                <w:rFonts w:ascii="宋体"/>
                <w:vanish/>
              </w:rPr>
            </w:pPr>
          </w:p>
        </w:tc>
        <w:tc>
          <w:tcPr>
            <w:tcW w:w="0" w:type="auto"/>
            <w:shd w:val="clear" w:color="auto" w:fill="auto"/>
          </w:tcPr>
          <w:p w14:paraId="33DABBD7" w14:textId="77777777" w:rsidR="004D6A64" w:rsidRDefault="004D6A64">
            <w:pPr>
              <w:rPr>
                <w:rFonts w:ascii="宋体"/>
                <w:vanish/>
              </w:rPr>
            </w:pPr>
          </w:p>
        </w:tc>
        <w:tc>
          <w:tcPr>
            <w:tcW w:w="0" w:type="auto"/>
            <w:shd w:val="clear" w:color="auto" w:fill="auto"/>
          </w:tcPr>
          <w:p w14:paraId="33DABBD8" w14:textId="77777777" w:rsidR="004D6A64" w:rsidRDefault="004D6A64">
            <w:pPr>
              <w:rPr>
                <w:rFonts w:ascii="宋体"/>
                <w:vanish/>
              </w:rPr>
            </w:pPr>
          </w:p>
        </w:tc>
        <w:tc>
          <w:tcPr>
            <w:tcW w:w="0" w:type="auto"/>
            <w:shd w:val="clear" w:color="auto" w:fill="auto"/>
          </w:tcPr>
          <w:p w14:paraId="33DABBD9" w14:textId="77777777" w:rsidR="004D6A64" w:rsidRDefault="004D6A64">
            <w:pPr>
              <w:rPr>
                <w:rFonts w:ascii="宋体"/>
                <w:vanish/>
              </w:rPr>
            </w:pPr>
          </w:p>
        </w:tc>
        <w:tc>
          <w:tcPr>
            <w:tcW w:w="0" w:type="auto"/>
            <w:shd w:val="clear" w:color="auto" w:fill="auto"/>
          </w:tcPr>
          <w:p w14:paraId="33DABBDA" w14:textId="77777777" w:rsidR="004D6A64" w:rsidRDefault="004D6A64">
            <w:pPr>
              <w:rPr>
                <w:rFonts w:ascii="宋体"/>
              </w:rPr>
            </w:pPr>
          </w:p>
        </w:tc>
        <w:tc>
          <w:tcPr>
            <w:tcW w:w="0" w:type="auto"/>
            <w:shd w:val="clear" w:color="auto" w:fill="auto"/>
          </w:tcPr>
          <w:p w14:paraId="33DABBDB" w14:textId="77777777" w:rsidR="004D6A64" w:rsidRDefault="004D6A64">
            <w:pPr>
              <w:rPr>
                <w:rFonts w:ascii="宋体"/>
              </w:rPr>
            </w:pPr>
          </w:p>
        </w:tc>
        <w:tc>
          <w:tcPr>
            <w:tcW w:w="0" w:type="auto"/>
            <w:shd w:val="clear" w:color="auto" w:fill="auto"/>
          </w:tcPr>
          <w:p w14:paraId="33DABBDC" w14:textId="77777777" w:rsidR="004D6A64" w:rsidRDefault="004D6A64">
            <w:pPr>
              <w:rPr>
                <w:rFonts w:ascii="宋体"/>
              </w:rPr>
            </w:pPr>
          </w:p>
        </w:tc>
        <w:tc>
          <w:tcPr>
            <w:tcW w:w="0" w:type="auto"/>
            <w:shd w:val="clear" w:color="auto" w:fill="auto"/>
          </w:tcPr>
          <w:p w14:paraId="33DABBDD" w14:textId="77777777" w:rsidR="004D6A64" w:rsidRDefault="004D6A64">
            <w:pPr>
              <w:rPr>
                <w:rFonts w:ascii="宋体"/>
              </w:rPr>
            </w:pPr>
          </w:p>
        </w:tc>
        <w:tc>
          <w:tcPr>
            <w:tcW w:w="0" w:type="auto"/>
            <w:shd w:val="clear" w:color="auto" w:fill="auto"/>
          </w:tcPr>
          <w:p w14:paraId="33DABBDE" w14:textId="77777777" w:rsidR="004D6A64" w:rsidRDefault="004D6A64">
            <w:pPr>
              <w:rPr>
                <w:rFonts w:ascii="宋体"/>
              </w:rPr>
            </w:pPr>
          </w:p>
        </w:tc>
        <w:tc>
          <w:tcPr>
            <w:tcW w:w="0" w:type="auto"/>
            <w:shd w:val="clear" w:color="auto" w:fill="auto"/>
          </w:tcPr>
          <w:p w14:paraId="33DABBDF" w14:textId="77777777" w:rsidR="004D6A64" w:rsidRDefault="004D6A64">
            <w:pPr>
              <w:rPr>
                <w:rFonts w:ascii="宋体"/>
              </w:rPr>
            </w:pPr>
          </w:p>
        </w:tc>
        <w:tc>
          <w:tcPr>
            <w:tcW w:w="0" w:type="auto"/>
            <w:shd w:val="clear" w:color="auto" w:fill="auto"/>
          </w:tcPr>
          <w:p w14:paraId="33DABBE0" w14:textId="77777777" w:rsidR="004D6A64" w:rsidRDefault="004D6A64">
            <w:pPr>
              <w:rPr>
                <w:rFonts w:ascii="宋体"/>
              </w:rPr>
            </w:pPr>
          </w:p>
        </w:tc>
        <w:tc>
          <w:tcPr>
            <w:tcW w:w="0" w:type="auto"/>
            <w:shd w:val="clear" w:color="auto" w:fill="auto"/>
          </w:tcPr>
          <w:p w14:paraId="33DABBE1" w14:textId="77777777" w:rsidR="004D6A64" w:rsidRDefault="004D6A64">
            <w:pPr>
              <w:rPr>
                <w:rFonts w:ascii="宋体"/>
              </w:rPr>
            </w:pPr>
          </w:p>
        </w:tc>
        <w:tc>
          <w:tcPr>
            <w:tcW w:w="0" w:type="auto"/>
            <w:shd w:val="clear" w:color="auto" w:fill="auto"/>
          </w:tcPr>
          <w:p w14:paraId="33DABBE2" w14:textId="77777777" w:rsidR="004D6A64" w:rsidRDefault="004D6A64">
            <w:pPr>
              <w:rPr>
                <w:rFonts w:ascii="宋体"/>
              </w:rPr>
            </w:pPr>
          </w:p>
        </w:tc>
        <w:tc>
          <w:tcPr>
            <w:tcW w:w="0" w:type="auto"/>
            <w:shd w:val="clear" w:color="auto" w:fill="auto"/>
          </w:tcPr>
          <w:p w14:paraId="33DABBE3" w14:textId="77777777" w:rsidR="004D6A64" w:rsidRDefault="004D6A64">
            <w:pPr>
              <w:rPr>
                <w:rFonts w:ascii="宋体"/>
              </w:rPr>
            </w:pPr>
          </w:p>
        </w:tc>
        <w:tc>
          <w:tcPr>
            <w:tcW w:w="0" w:type="auto"/>
            <w:shd w:val="clear" w:color="auto" w:fill="auto"/>
          </w:tcPr>
          <w:p w14:paraId="33DABBE4" w14:textId="77777777" w:rsidR="004D6A64" w:rsidRDefault="004D6A64">
            <w:pPr>
              <w:rPr>
                <w:rFonts w:ascii="宋体"/>
              </w:rPr>
            </w:pPr>
          </w:p>
        </w:tc>
        <w:tc>
          <w:tcPr>
            <w:tcW w:w="0" w:type="auto"/>
            <w:shd w:val="clear" w:color="auto" w:fill="auto"/>
          </w:tcPr>
          <w:p w14:paraId="33DABBE5" w14:textId="77777777" w:rsidR="004D6A64" w:rsidRDefault="004D6A64">
            <w:pPr>
              <w:rPr>
                <w:rFonts w:ascii="宋体"/>
              </w:rPr>
            </w:pPr>
          </w:p>
        </w:tc>
        <w:tc>
          <w:tcPr>
            <w:tcW w:w="0" w:type="auto"/>
            <w:shd w:val="clear" w:color="auto" w:fill="auto"/>
          </w:tcPr>
          <w:p w14:paraId="33DABBE6" w14:textId="77777777" w:rsidR="004D6A64" w:rsidRDefault="004D6A64">
            <w:pPr>
              <w:rPr>
                <w:rFonts w:ascii="宋体"/>
              </w:rPr>
            </w:pPr>
          </w:p>
        </w:tc>
        <w:tc>
          <w:tcPr>
            <w:tcW w:w="0" w:type="auto"/>
            <w:shd w:val="clear" w:color="auto" w:fill="auto"/>
          </w:tcPr>
          <w:p w14:paraId="33DABBE7" w14:textId="77777777" w:rsidR="004D6A64" w:rsidRDefault="004D6A64">
            <w:pPr>
              <w:rPr>
                <w:rFonts w:ascii="宋体"/>
              </w:rPr>
            </w:pPr>
          </w:p>
        </w:tc>
        <w:tc>
          <w:tcPr>
            <w:tcW w:w="0" w:type="auto"/>
            <w:shd w:val="clear" w:color="auto" w:fill="auto"/>
          </w:tcPr>
          <w:p w14:paraId="33DABBE8" w14:textId="77777777" w:rsidR="004D6A64" w:rsidRDefault="004D6A64">
            <w:pPr>
              <w:rPr>
                <w:rFonts w:ascii="宋体"/>
              </w:rPr>
            </w:pPr>
          </w:p>
        </w:tc>
        <w:tc>
          <w:tcPr>
            <w:tcW w:w="0" w:type="auto"/>
            <w:shd w:val="clear" w:color="auto" w:fill="auto"/>
          </w:tcPr>
          <w:p w14:paraId="33DABBE9" w14:textId="77777777" w:rsidR="004D6A64" w:rsidRDefault="004D6A64">
            <w:pPr>
              <w:rPr>
                <w:rFonts w:ascii="宋体"/>
              </w:rPr>
            </w:pPr>
          </w:p>
        </w:tc>
        <w:tc>
          <w:tcPr>
            <w:tcW w:w="0" w:type="auto"/>
            <w:shd w:val="clear" w:color="auto" w:fill="auto"/>
          </w:tcPr>
          <w:p w14:paraId="33DABBEA" w14:textId="77777777" w:rsidR="004D6A64" w:rsidRDefault="004D6A64">
            <w:pPr>
              <w:rPr>
                <w:rFonts w:ascii="宋体"/>
              </w:rPr>
            </w:pPr>
          </w:p>
        </w:tc>
        <w:tc>
          <w:tcPr>
            <w:tcW w:w="0" w:type="auto"/>
            <w:shd w:val="clear" w:color="auto" w:fill="auto"/>
          </w:tcPr>
          <w:p w14:paraId="33DABBEB" w14:textId="77777777" w:rsidR="004D6A64" w:rsidRDefault="004D6A64">
            <w:pPr>
              <w:rPr>
                <w:rFonts w:ascii="宋体"/>
              </w:rPr>
            </w:pPr>
          </w:p>
        </w:tc>
      </w:tr>
      <w:tr w:rsidR="004D6A64" w14:paraId="33DABBF8" w14:textId="77777777">
        <w:tc>
          <w:tcPr>
            <w:tcW w:w="0" w:type="auto"/>
            <w:gridSpan w:val="21"/>
            <w:shd w:val="clear" w:color="auto" w:fill="CCEEFF"/>
            <w:tcMar>
              <w:top w:w="40" w:type="dxa"/>
              <w:left w:w="20" w:type="dxa"/>
              <w:bottom w:w="40" w:type="dxa"/>
              <w:right w:w="20" w:type="dxa"/>
            </w:tcMar>
            <w:vAlign w:val="bottom"/>
          </w:tcPr>
          <w:p w14:paraId="33DABBED" w14:textId="77777777" w:rsidR="004D6A64" w:rsidRDefault="00506CD6">
            <w:pPr>
              <w:textAlignment w:val="bottom"/>
            </w:pPr>
            <w:r>
              <w:rPr>
                <w:rFonts w:ascii="Times New Roman" w:eastAsia="宋体" w:hAnsi="Times New Roman"/>
                <w:i/>
                <w:iCs/>
                <w:color w:val="000000"/>
                <w:sz w:val="20"/>
                <w:szCs w:val="20"/>
              </w:rPr>
              <w:t>For the six months ended August 2, 2019</w:t>
            </w:r>
          </w:p>
        </w:tc>
        <w:tc>
          <w:tcPr>
            <w:tcW w:w="0" w:type="auto"/>
            <w:shd w:val="clear" w:color="auto" w:fill="auto"/>
          </w:tcPr>
          <w:p w14:paraId="33DABBEE" w14:textId="77777777" w:rsidR="004D6A64" w:rsidRDefault="004D6A64">
            <w:pPr>
              <w:rPr>
                <w:rFonts w:ascii="宋体"/>
                <w:vanish/>
              </w:rPr>
            </w:pPr>
          </w:p>
        </w:tc>
        <w:tc>
          <w:tcPr>
            <w:tcW w:w="0" w:type="auto"/>
            <w:shd w:val="clear" w:color="auto" w:fill="auto"/>
          </w:tcPr>
          <w:p w14:paraId="33DABBEF" w14:textId="77777777" w:rsidR="004D6A64" w:rsidRDefault="004D6A64">
            <w:pPr>
              <w:rPr>
                <w:rFonts w:ascii="宋体"/>
                <w:vanish/>
              </w:rPr>
            </w:pPr>
          </w:p>
        </w:tc>
        <w:tc>
          <w:tcPr>
            <w:tcW w:w="0" w:type="auto"/>
            <w:shd w:val="clear" w:color="auto" w:fill="auto"/>
          </w:tcPr>
          <w:p w14:paraId="33DABBF0" w14:textId="77777777" w:rsidR="004D6A64" w:rsidRDefault="004D6A64">
            <w:pPr>
              <w:rPr>
                <w:rFonts w:ascii="宋体"/>
                <w:vanish/>
              </w:rPr>
            </w:pPr>
          </w:p>
        </w:tc>
        <w:tc>
          <w:tcPr>
            <w:tcW w:w="0" w:type="auto"/>
            <w:shd w:val="clear" w:color="auto" w:fill="auto"/>
          </w:tcPr>
          <w:p w14:paraId="33DABBF1" w14:textId="77777777" w:rsidR="004D6A64" w:rsidRDefault="004D6A64">
            <w:pPr>
              <w:rPr>
                <w:rFonts w:ascii="宋体"/>
                <w:vanish/>
              </w:rPr>
            </w:pPr>
          </w:p>
        </w:tc>
        <w:tc>
          <w:tcPr>
            <w:tcW w:w="0" w:type="auto"/>
            <w:gridSpan w:val="3"/>
            <w:shd w:val="clear" w:color="auto" w:fill="auto"/>
          </w:tcPr>
          <w:p w14:paraId="33DABBF2" w14:textId="77777777" w:rsidR="004D6A64" w:rsidRDefault="004D6A64">
            <w:pPr>
              <w:rPr>
                <w:rFonts w:ascii="宋体"/>
                <w:vanish/>
              </w:rPr>
            </w:pPr>
          </w:p>
        </w:tc>
        <w:tc>
          <w:tcPr>
            <w:tcW w:w="0" w:type="auto"/>
            <w:gridSpan w:val="3"/>
            <w:shd w:val="clear" w:color="auto" w:fill="auto"/>
          </w:tcPr>
          <w:p w14:paraId="33DABBF3" w14:textId="77777777" w:rsidR="004D6A64" w:rsidRDefault="004D6A64">
            <w:pPr>
              <w:rPr>
                <w:rFonts w:ascii="宋体"/>
                <w:vanish/>
              </w:rPr>
            </w:pPr>
          </w:p>
        </w:tc>
        <w:tc>
          <w:tcPr>
            <w:tcW w:w="0" w:type="auto"/>
            <w:gridSpan w:val="3"/>
            <w:shd w:val="clear" w:color="auto" w:fill="auto"/>
          </w:tcPr>
          <w:p w14:paraId="33DABBF4" w14:textId="77777777" w:rsidR="004D6A64" w:rsidRDefault="004D6A64">
            <w:pPr>
              <w:rPr>
                <w:rFonts w:ascii="宋体"/>
                <w:vanish/>
              </w:rPr>
            </w:pPr>
          </w:p>
        </w:tc>
        <w:tc>
          <w:tcPr>
            <w:tcW w:w="0" w:type="auto"/>
            <w:gridSpan w:val="3"/>
            <w:shd w:val="clear" w:color="auto" w:fill="auto"/>
          </w:tcPr>
          <w:p w14:paraId="33DABBF5" w14:textId="77777777" w:rsidR="004D6A64" w:rsidRDefault="004D6A64">
            <w:pPr>
              <w:rPr>
                <w:rFonts w:ascii="宋体"/>
                <w:vanish/>
              </w:rPr>
            </w:pPr>
          </w:p>
        </w:tc>
        <w:tc>
          <w:tcPr>
            <w:tcW w:w="0" w:type="auto"/>
            <w:gridSpan w:val="3"/>
            <w:shd w:val="clear" w:color="auto" w:fill="auto"/>
          </w:tcPr>
          <w:p w14:paraId="33DABBF6" w14:textId="77777777" w:rsidR="004D6A64" w:rsidRDefault="004D6A64">
            <w:pPr>
              <w:rPr>
                <w:rFonts w:ascii="宋体"/>
                <w:vanish/>
              </w:rPr>
            </w:pPr>
          </w:p>
        </w:tc>
        <w:tc>
          <w:tcPr>
            <w:tcW w:w="0" w:type="auto"/>
            <w:gridSpan w:val="3"/>
            <w:shd w:val="clear" w:color="auto" w:fill="auto"/>
          </w:tcPr>
          <w:p w14:paraId="33DABBF7" w14:textId="77777777" w:rsidR="004D6A64" w:rsidRDefault="004D6A64">
            <w:pPr>
              <w:rPr>
                <w:rFonts w:ascii="宋体"/>
                <w:vanish/>
              </w:rPr>
            </w:pPr>
          </w:p>
        </w:tc>
      </w:tr>
      <w:tr w:rsidR="004D6A64" w14:paraId="33DABC18" w14:textId="77777777">
        <w:tc>
          <w:tcPr>
            <w:tcW w:w="0" w:type="auto"/>
            <w:gridSpan w:val="3"/>
            <w:shd w:val="clear" w:color="auto" w:fill="FFFFFF"/>
            <w:tcMar>
              <w:left w:w="20" w:type="dxa"/>
              <w:right w:w="20" w:type="dxa"/>
            </w:tcMar>
            <w:vAlign w:val="bottom"/>
          </w:tcPr>
          <w:p w14:paraId="33DABBF9"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BFA" w14:textId="77777777" w:rsidR="004D6A64" w:rsidRDefault="004D6A64">
            <w:pPr>
              <w:rPr>
                <w:rFonts w:ascii="宋体"/>
              </w:rPr>
            </w:pPr>
          </w:p>
        </w:tc>
        <w:tc>
          <w:tcPr>
            <w:tcW w:w="0" w:type="auto"/>
            <w:gridSpan w:val="3"/>
            <w:shd w:val="clear" w:color="auto" w:fill="FFFFFF"/>
            <w:tcMar>
              <w:top w:w="40" w:type="dxa"/>
              <w:left w:w="20" w:type="dxa"/>
              <w:bottom w:w="40" w:type="dxa"/>
              <w:right w:w="20" w:type="dxa"/>
            </w:tcMar>
            <w:vAlign w:val="bottom"/>
          </w:tcPr>
          <w:p w14:paraId="33DABBFB" w14:textId="77777777" w:rsidR="004D6A64" w:rsidRDefault="00506CD6">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3DABBFC" w14:textId="77777777" w:rsidR="004D6A64" w:rsidRDefault="004D6A64">
            <w:pPr>
              <w:rPr>
                <w:rFonts w:ascii="宋体"/>
              </w:rPr>
            </w:pPr>
          </w:p>
        </w:tc>
        <w:tc>
          <w:tcPr>
            <w:tcW w:w="0" w:type="auto"/>
            <w:gridSpan w:val="3"/>
            <w:shd w:val="clear" w:color="auto" w:fill="FFFFFF"/>
            <w:tcMar>
              <w:top w:w="40" w:type="dxa"/>
              <w:left w:w="20" w:type="dxa"/>
              <w:bottom w:w="40" w:type="dxa"/>
              <w:right w:w="20" w:type="dxa"/>
            </w:tcMar>
            <w:vAlign w:val="bottom"/>
          </w:tcPr>
          <w:p w14:paraId="33DABBFD" w14:textId="77777777" w:rsidR="004D6A64" w:rsidRDefault="00506CD6">
            <w:pPr>
              <w:textAlignment w:val="bottom"/>
            </w:pPr>
            <w:r>
              <w:rPr>
                <w:rFonts w:ascii="Times New Roman" w:eastAsia="宋体" w:hAnsi="Times New Roman"/>
                <w:color w:val="000000"/>
                <w:sz w:val="20"/>
                <w:szCs w:val="20"/>
              </w:rPr>
              <w:t>Total net revenue</w:t>
            </w:r>
          </w:p>
        </w:tc>
        <w:tc>
          <w:tcPr>
            <w:tcW w:w="0" w:type="auto"/>
            <w:gridSpan w:val="3"/>
            <w:shd w:val="clear" w:color="auto" w:fill="FFFFFF"/>
            <w:tcMar>
              <w:left w:w="20" w:type="dxa"/>
              <w:right w:w="20" w:type="dxa"/>
            </w:tcMar>
            <w:vAlign w:val="bottom"/>
          </w:tcPr>
          <w:p w14:paraId="33DABBFE"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BBFF"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BC00" w14:textId="77777777" w:rsidR="004D6A64" w:rsidRDefault="00506CD6">
            <w:pPr>
              <w:jc w:val="right"/>
              <w:textAlignment w:val="bottom"/>
            </w:pPr>
            <w:r>
              <w:rPr>
                <w:rFonts w:ascii="Times New Roman" w:eastAsia="宋体" w:hAnsi="Times New Roman"/>
                <w:color w:val="000000"/>
                <w:sz w:val="20"/>
                <w:szCs w:val="20"/>
              </w:rPr>
              <w:t>126 </w:t>
            </w:r>
          </w:p>
        </w:tc>
        <w:tc>
          <w:tcPr>
            <w:tcW w:w="0" w:type="auto"/>
            <w:shd w:val="clear" w:color="auto" w:fill="FFFFFF"/>
            <w:tcMar>
              <w:top w:w="40" w:type="dxa"/>
              <w:bottom w:w="40" w:type="dxa"/>
              <w:right w:w="20" w:type="dxa"/>
            </w:tcMar>
            <w:vAlign w:val="bottom"/>
          </w:tcPr>
          <w:p w14:paraId="33DABC01" w14:textId="77777777" w:rsidR="004D6A64" w:rsidRDefault="004D6A64">
            <w:pPr>
              <w:jc w:val="right"/>
              <w:rPr>
                <w:rFonts w:ascii="宋体"/>
              </w:rPr>
            </w:pPr>
          </w:p>
        </w:tc>
        <w:tc>
          <w:tcPr>
            <w:tcW w:w="0" w:type="auto"/>
            <w:shd w:val="clear" w:color="auto" w:fill="auto"/>
          </w:tcPr>
          <w:p w14:paraId="33DABC02" w14:textId="77777777" w:rsidR="004D6A64" w:rsidRDefault="004D6A64">
            <w:pPr>
              <w:rPr>
                <w:rFonts w:ascii="宋体"/>
                <w:vanish/>
              </w:rPr>
            </w:pPr>
          </w:p>
        </w:tc>
        <w:tc>
          <w:tcPr>
            <w:tcW w:w="0" w:type="auto"/>
            <w:shd w:val="clear" w:color="auto" w:fill="auto"/>
          </w:tcPr>
          <w:p w14:paraId="33DABC03" w14:textId="77777777" w:rsidR="004D6A64" w:rsidRDefault="004D6A64">
            <w:pPr>
              <w:rPr>
                <w:rFonts w:ascii="宋体"/>
                <w:vanish/>
              </w:rPr>
            </w:pPr>
          </w:p>
        </w:tc>
        <w:tc>
          <w:tcPr>
            <w:tcW w:w="0" w:type="auto"/>
            <w:shd w:val="clear" w:color="auto" w:fill="auto"/>
          </w:tcPr>
          <w:p w14:paraId="33DABC04" w14:textId="77777777" w:rsidR="004D6A64" w:rsidRDefault="004D6A64">
            <w:pPr>
              <w:rPr>
                <w:rFonts w:ascii="宋体"/>
                <w:vanish/>
              </w:rPr>
            </w:pPr>
          </w:p>
        </w:tc>
        <w:tc>
          <w:tcPr>
            <w:tcW w:w="0" w:type="auto"/>
            <w:shd w:val="clear" w:color="auto" w:fill="auto"/>
          </w:tcPr>
          <w:p w14:paraId="33DABC05" w14:textId="77777777" w:rsidR="004D6A64" w:rsidRDefault="004D6A64">
            <w:pPr>
              <w:rPr>
                <w:rFonts w:ascii="宋体"/>
                <w:vanish/>
              </w:rPr>
            </w:pPr>
          </w:p>
        </w:tc>
        <w:tc>
          <w:tcPr>
            <w:tcW w:w="0" w:type="auto"/>
            <w:shd w:val="clear" w:color="auto" w:fill="auto"/>
          </w:tcPr>
          <w:p w14:paraId="33DABC06" w14:textId="77777777" w:rsidR="004D6A64" w:rsidRDefault="004D6A64">
            <w:pPr>
              <w:rPr>
                <w:rFonts w:ascii="宋体"/>
              </w:rPr>
            </w:pPr>
          </w:p>
        </w:tc>
        <w:tc>
          <w:tcPr>
            <w:tcW w:w="0" w:type="auto"/>
            <w:shd w:val="clear" w:color="auto" w:fill="auto"/>
          </w:tcPr>
          <w:p w14:paraId="33DABC07" w14:textId="77777777" w:rsidR="004D6A64" w:rsidRDefault="004D6A64">
            <w:pPr>
              <w:rPr>
                <w:rFonts w:ascii="宋体"/>
              </w:rPr>
            </w:pPr>
          </w:p>
        </w:tc>
        <w:tc>
          <w:tcPr>
            <w:tcW w:w="0" w:type="auto"/>
            <w:shd w:val="clear" w:color="auto" w:fill="auto"/>
          </w:tcPr>
          <w:p w14:paraId="33DABC08" w14:textId="77777777" w:rsidR="004D6A64" w:rsidRDefault="004D6A64">
            <w:pPr>
              <w:rPr>
                <w:rFonts w:ascii="宋体"/>
              </w:rPr>
            </w:pPr>
          </w:p>
        </w:tc>
        <w:tc>
          <w:tcPr>
            <w:tcW w:w="0" w:type="auto"/>
            <w:shd w:val="clear" w:color="auto" w:fill="auto"/>
          </w:tcPr>
          <w:p w14:paraId="33DABC09" w14:textId="77777777" w:rsidR="004D6A64" w:rsidRDefault="004D6A64">
            <w:pPr>
              <w:rPr>
                <w:rFonts w:ascii="宋体"/>
              </w:rPr>
            </w:pPr>
          </w:p>
        </w:tc>
        <w:tc>
          <w:tcPr>
            <w:tcW w:w="0" w:type="auto"/>
            <w:shd w:val="clear" w:color="auto" w:fill="auto"/>
          </w:tcPr>
          <w:p w14:paraId="33DABC0A" w14:textId="77777777" w:rsidR="004D6A64" w:rsidRDefault="004D6A64">
            <w:pPr>
              <w:rPr>
                <w:rFonts w:ascii="宋体"/>
              </w:rPr>
            </w:pPr>
          </w:p>
        </w:tc>
        <w:tc>
          <w:tcPr>
            <w:tcW w:w="0" w:type="auto"/>
            <w:shd w:val="clear" w:color="auto" w:fill="auto"/>
          </w:tcPr>
          <w:p w14:paraId="33DABC0B" w14:textId="77777777" w:rsidR="004D6A64" w:rsidRDefault="004D6A64">
            <w:pPr>
              <w:rPr>
                <w:rFonts w:ascii="宋体"/>
              </w:rPr>
            </w:pPr>
          </w:p>
        </w:tc>
        <w:tc>
          <w:tcPr>
            <w:tcW w:w="0" w:type="auto"/>
            <w:shd w:val="clear" w:color="auto" w:fill="auto"/>
          </w:tcPr>
          <w:p w14:paraId="33DABC0C" w14:textId="77777777" w:rsidR="004D6A64" w:rsidRDefault="004D6A64">
            <w:pPr>
              <w:rPr>
                <w:rFonts w:ascii="宋体"/>
              </w:rPr>
            </w:pPr>
          </w:p>
        </w:tc>
        <w:tc>
          <w:tcPr>
            <w:tcW w:w="0" w:type="auto"/>
            <w:shd w:val="clear" w:color="auto" w:fill="auto"/>
          </w:tcPr>
          <w:p w14:paraId="33DABC0D" w14:textId="77777777" w:rsidR="004D6A64" w:rsidRDefault="004D6A64">
            <w:pPr>
              <w:rPr>
                <w:rFonts w:ascii="宋体"/>
              </w:rPr>
            </w:pPr>
          </w:p>
        </w:tc>
        <w:tc>
          <w:tcPr>
            <w:tcW w:w="0" w:type="auto"/>
            <w:shd w:val="clear" w:color="auto" w:fill="auto"/>
          </w:tcPr>
          <w:p w14:paraId="33DABC0E" w14:textId="77777777" w:rsidR="004D6A64" w:rsidRDefault="004D6A64">
            <w:pPr>
              <w:rPr>
                <w:rFonts w:ascii="宋体"/>
              </w:rPr>
            </w:pPr>
          </w:p>
        </w:tc>
        <w:tc>
          <w:tcPr>
            <w:tcW w:w="0" w:type="auto"/>
            <w:shd w:val="clear" w:color="auto" w:fill="auto"/>
          </w:tcPr>
          <w:p w14:paraId="33DABC0F" w14:textId="77777777" w:rsidR="004D6A64" w:rsidRDefault="004D6A64">
            <w:pPr>
              <w:rPr>
                <w:rFonts w:ascii="宋体"/>
              </w:rPr>
            </w:pPr>
          </w:p>
        </w:tc>
        <w:tc>
          <w:tcPr>
            <w:tcW w:w="0" w:type="auto"/>
            <w:shd w:val="clear" w:color="auto" w:fill="auto"/>
          </w:tcPr>
          <w:p w14:paraId="33DABC10" w14:textId="77777777" w:rsidR="004D6A64" w:rsidRDefault="004D6A64">
            <w:pPr>
              <w:rPr>
                <w:rFonts w:ascii="宋体"/>
              </w:rPr>
            </w:pPr>
          </w:p>
        </w:tc>
        <w:tc>
          <w:tcPr>
            <w:tcW w:w="0" w:type="auto"/>
            <w:shd w:val="clear" w:color="auto" w:fill="auto"/>
          </w:tcPr>
          <w:p w14:paraId="33DABC11" w14:textId="77777777" w:rsidR="004D6A64" w:rsidRDefault="004D6A64">
            <w:pPr>
              <w:rPr>
                <w:rFonts w:ascii="宋体"/>
              </w:rPr>
            </w:pPr>
          </w:p>
        </w:tc>
        <w:tc>
          <w:tcPr>
            <w:tcW w:w="0" w:type="auto"/>
            <w:shd w:val="clear" w:color="auto" w:fill="auto"/>
          </w:tcPr>
          <w:p w14:paraId="33DABC12" w14:textId="77777777" w:rsidR="004D6A64" w:rsidRDefault="004D6A64">
            <w:pPr>
              <w:rPr>
                <w:rFonts w:ascii="宋体"/>
              </w:rPr>
            </w:pPr>
          </w:p>
        </w:tc>
        <w:tc>
          <w:tcPr>
            <w:tcW w:w="0" w:type="auto"/>
            <w:shd w:val="clear" w:color="auto" w:fill="auto"/>
          </w:tcPr>
          <w:p w14:paraId="33DABC13" w14:textId="77777777" w:rsidR="004D6A64" w:rsidRDefault="004D6A64">
            <w:pPr>
              <w:rPr>
                <w:rFonts w:ascii="宋体"/>
              </w:rPr>
            </w:pPr>
          </w:p>
        </w:tc>
        <w:tc>
          <w:tcPr>
            <w:tcW w:w="0" w:type="auto"/>
            <w:shd w:val="clear" w:color="auto" w:fill="auto"/>
          </w:tcPr>
          <w:p w14:paraId="33DABC14" w14:textId="77777777" w:rsidR="004D6A64" w:rsidRDefault="004D6A64">
            <w:pPr>
              <w:rPr>
                <w:rFonts w:ascii="宋体"/>
              </w:rPr>
            </w:pPr>
          </w:p>
        </w:tc>
        <w:tc>
          <w:tcPr>
            <w:tcW w:w="0" w:type="auto"/>
            <w:shd w:val="clear" w:color="auto" w:fill="auto"/>
          </w:tcPr>
          <w:p w14:paraId="33DABC15" w14:textId="77777777" w:rsidR="004D6A64" w:rsidRDefault="004D6A64">
            <w:pPr>
              <w:rPr>
                <w:rFonts w:ascii="宋体"/>
              </w:rPr>
            </w:pPr>
          </w:p>
        </w:tc>
        <w:tc>
          <w:tcPr>
            <w:tcW w:w="0" w:type="auto"/>
            <w:shd w:val="clear" w:color="auto" w:fill="auto"/>
          </w:tcPr>
          <w:p w14:paraId="33DABC16" w14:textId="77777777" w:rsidR="004D6A64" w:rsidRDefault="004D6A64">
            <w:pPr>
              <w:rPr>
                <w:rFonts w:ascii="宋体"/>
              </w:rPr>
            </w:pPr>
          </w:p>
        </w:tc>
        <w:tc>
          <w:tcPr>
            <w:tcW w:w="0" w:type="auto"/>
            <w:shd w:val="clear" w:color="auto" w:fill="auto"/>
          </w:tcPr>
          <w:p w14:paraId="33DABC17" w14:textId="77777777" w:rsidR="004D6A64" w:rsidRDefault="004D6A64">
            <w:pPr>
              <w:rPr>
                <w:rFonts w:ascii="宋体"/>
              </w:rPr>
            </w:pPr>
          </w:p>
        </w:tc>
      </w:tr>
      <w:tr w:rsidR="004D6A64" w14:paraId="33DABC39" w14:textId="77777777">
        <w:tc>
          <w:tcPr>
            <w:tcW w:w="0" w:type="auto"/>
            <w:gridSpan w:val="3"/>
            <w:shd w:val="clear" w:color="auto" w:fill="CCEEFF"/>
            <w:tcMar>
              <w:top w:w="40" w:type="dxa"/>
              <w:left w:w="20" w:type="dxa"/>
              <w:bottom w:w="40" w:type="dxa"/>
              <w:right w:w="20" w:type="dxa"/>
            </w:tcMar>
            <w:vAlign w:val="bottom"/>
          </w:tcPr>
          <w:p w14:paraId="33DABC19" w14:textId="77777777" w:rsidR="004D6A64" w:rsidRDefault="00506CD6">
            <w:pPr>
              <w:textAlignment w:val="bottom"/>
            </w:pPr>
            <w:r>
              <w:rPr>
                <w:rFonts w:ascii="Times New Roman" w:eastAsia="宋体" w:hAnsi="Times New Roman"/>
                <w:color w:val="000000"/>
                <w:sz w:val="20"/>
                <w:szCs w:val="20"/>
              </w:rPr>
              <w:t>Foreign exchange contracts</w:t>
            </w:r>
          </w:p>
        </w:tc>
        <w:tc>
          <w:tcPr>
            <w:tcW w:w="0" w:type="auto"/>
            <w:gridSpan w:val="3"/>
            <w:shd w:val="clear" w:color="auto" w:fill="CCEEFF"/>
            <w:tcMar>
              <w:left w:w="20" w:type="dxa"/>
              <w:right w:w="20" w:type="dxa"/>
            </w:tcMar>
            <w:vAlign w:val="bottom"/>
          </w:tcPr>
          <w:p w14:paraId="33DABC1A"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BC1B"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BC1C" w14:textId="77777777" w:rsidR="004D6A64" w:rsidRDefault="00506CD6">
            <w:pPr>
              <w:jc w:val="right"/>
              <w:textAlignment w:val="bottom"/>
            </w:pPr>
            <w:r>
              <w:rPr>
                <w:rFonts w:ascii="Times New Roman" w:eastAsia="宋体" w:hAnsi="Times New Roman"/>
                <w:color w:val="000000"/>
                <w:sz w:val="20"/>
                <w:szCs w:val="20"/>
              </w:rPr>
              <w:t>257 </w:t>
            </w:r>
          </w:p>
        </w:tc>
        <w:tc>
          <w:tcPr>
            <w:tcW w:w="0" w:type="auto"/>
            <w:shd w:val="clear" w:color="auto" w:fill="CCEEFF"/>
            <w:tcMar>
              <w:top w:w="40" w:type="dxa"/>
              <w:bottom w:w="40" w:type="dxa"/>
              <w:right w:w="20" w:type="dxa"/>
            </w:tcMar>
            <w:vAlign w:val="bottom"/>
          </w:tcPr>
          <w:p w14:paraId="33DABC1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C1E" w14:textId="77777777" w:rsidR="004D6A64" w:rsidRDefault="004D6A64">
            <w:pPr>
              <w:rPr>
                <w:rFonts w:ascii="宋体"/>
              </w:rPr>
            </w:pPr>
          </w:p>
        </w:tc>
        <w:tc>
          <w:tcPr>
            <w:tcW w:w="0" w:type="auto"/>
            <w:gridSpan w:val="3"/>
            <w:shd w:val="clear" w:color="auto" w:fill="CCEEFF"/>
            <w:tcMar>
              <w:top w:w="40" w:type="dxa"/>
              <w:left w:w="20" w:type="dxa"/>
              <w:bottom w:w="40" w:type="dxa"/>
              <w:right w:w="20" w:type="dxa"/>
            </w:tcMar>
            <w:vAlign w:val="bottom"/>
          </w:tcPr>
          <w:p w14:paraId="33DABC1F" w14:textId="77777777" w:rsidR="004D6A64" w:rsidRDefault="00506CD6">
            <w:pPr>
              <w:textAlignment w:val="bottom"/>
            </w:pPr>
            <w:r>
              <w:rPr>
                <w:rFonts w:ascii="Times New Roman" w:eastAsia="宋体" w:hAnsi="Times New Roman"/>
                <w:color w:val="000000"/>
                <w:sz w:val="20"/>
                <w:szCs w:val="20"/>
              </w:rPr>
              <w:t>Total cost of net revenue</w:t>
            </w:r>
          </w:p>
        </w:tc>
        <w:tc>
          <w:tcPr>
            <w:tcW w:w="0" w:type="auto"/>
            <w:gridSpan w:val="3"/>
            <w:shd w:val="clear" w:color="auto" w:fill="CCEEFF"/>
            <w:tcMar>
              <w:left w:w="20" w:type="dxa"/>
              <w:right w:w="20" w:type="dxa"/>
            </w:tcMar>
            <w:vAlign w:val="bottom"/>
          </w:tcPr>
          <w:p w14:paraId="33DABC20"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BC21"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BC22" w14:textId="77777777" w:rsidR="004D6A64" w:rsidRDefault="004D6A64">
            <w:pPr>
              <w:jc w:val="right"/>
              <w:rPr>
                <w:rFonts w:ascii="宋体"/>
              </w:rPr>
            </w:pPr>
          </w:p>
        </w:tc>
        <w:tc>
          <w:tcPr>
            <w:tcW w:w="0" w:type="auto"/>
            <w:shd w:val="clear" w:color="auto" w:fill="auto"/>
          </w:tcPr>
          <w:p w14:paraId="33DABC23" w14:textId="77777777" w:rsidR="004D6A64" w:rsidRDefault="004D6A64">
            <w:pPr>
              <w:rPr>
                <w:rFonts w:ascii="宋体"/>
                <w:vanish/>
              </w:rPr>
            </w:pPr>
          </w:p>
        </w:tc>
        <w:tc>
          <w:tcPr>
            <w:tcW w:w="0" w:type="auto"/>
            <w:shd w:val="clear" w:color="auto" w:fill="auto"/>
          </w:tcPr>
          <w:p w14:paraId="33DABC24" w14:textId="77777777" w:rsidR="004D6A64" w:rsidRDefault="004D6A64">
            <w:pPr>
              <w:rPr>
                <w:rFonts w:ascii="宋体"/>
                <w:vanish/>
              </w:rPr>
            </w:pPr>
          </w:p>
        </w:tc>
        <w:tc>
          <w:tcPr>
            <w:tcW w:w="0" w:type="auto"/>
            <w:shd w:val="clear" w:color="auto" w:fill="auto"/>
          </w:tcPr>
          <w:p w14:paraId="33DABC25" w14:textId="77777777" w:rsidR="004D6A64" w:rsidRDefault="004D6A64">
            <w:pPr>
              <w:rPr>
                <w:rFonts w:ascii="宋体"/>
                <w:vanish/>
              </w:rPr>
            </w:pPr>
          </w:p>
        </w:tc>
        <w:tc>
          <w:tcPr>
            <w:tcW w:w="0" w:type="auto"/>
            <w:shd w:val="clear" w:color="auto" w:fill="auto"/>
          </w:tcPr>
          <w:p w14:paraId="33DABC26" w14:textId="77777777" w:rsidR="004D6A64" w:rsidRDefault="004D6A64">
            <w:pPr>
              <w:rPr>
                <w:rFonts w:ascii="宋体"/>
                <w:vanish/>
              </w:rPr>
            </w:pPr>
          </w:p>
        </w:tc>
        <w:tc>
          <w:tcPr>
            <w:tcW w:w="0" w:type="auto"/>
            <w:shd w:val="clear" w:color="auto" w:fill="auto"/>
          </w:tcPr>
          <w:p w14:paraId="33DABC27" w14:textId="77777777" w:rsidR="004D6A64" w:rsidRDefault="004D6A64">
            <w:pPr>
              <w:rPr>
                <w:rFonts w:ascii="宋体"/>
              </w:rPr>
            </w:pPr>
          </w:p>
        </w:tc>
        <w:tc>
          <w:tcPr>
            <w:tcW w:w="0" w:type="auto"/>
            <w:shd w:val="clear" w:color="auto" w:fill="auto"/>
          </w:tcPr>
          <w:p w14:paraId="33DABC28" w14:textId="77777777" w:rsidR="004D6A64" w:rsidRDefault="004D6A64">
            <w:pPr>
              <w:rPr>
                <w:rFonts w:ascii="宋体"/>
              </w:rPr>
            </w:pPr>
          </w:p>
        </w:tc>
        <w:tc>
          <w:tcPr>
            <w:tcW w:w="0" w:type="auto"/>
            <w:shd w:val="clear" w:color="auto" w:fill="auto"/>
          </w:tcPr>
          <w:p w14:paraId="33DABC29" w14:textId="77777777" w:rsidR="004D6A64" w:rsidRDefault="004D6A64">
            <w:pPr>
              <w:rPr>
                <w:rFonts w:ascii="宋体"/>
              </w:rPr>
            </w:pPr>
          </w:p>
        </w:tc>
        <w:tc>
          <w:tcPr>
            <w:tcW w:w="0" w:type="auto"/>
            <w:shd w:val="clear" w:color="auto" w:fill="auto"/>
          </w:tcPr>
          <w:p w14:paraId="33DABC2A" w14:textId="77777777" w:rsidR="004D6A64" w:rsidRDefault="004D6A64">
            <w:pPr>
              <w:rPr>
                <w:rFonts w:ascii="宋体"/>
              </w:rPr>
            </w:pPr>
          </w:p>
        </w:tc>
        <w:tc>
          <w:tcPr>
            <w:tcW w:w="0" w:type="auto"/>
            <w:shd w:val="clear" w:color="auto" w:fill="auto"/>
          </w:tcPr>
          <w:p w14:paraId="33DABC2B" w14:textId="77777777" w:rsidR="004D6A64" w:rsidRDefault="004D6A64">
            <w:pPr>
              <w:rPr>
                <w:rFonts w:ascii="宋体"/>
              </w:rPr>
            </w:pPr>
          </w:p>
        </w:tc>
        <w:tc>
          <w:tcPr>
            <w:tcW w:w="0" w:type="auto"/>
            <w:shd w:val="clear" w:color="auto" w:fill="auto"/>
          </w:tcPr>
          <w:p w14:paraId="33DABC2C" w14:textId="77777777" w:rsidR="004D6A64" w:rsidRDefault="004D6A64">
            <w:pPr>
              <w:rPr>
                <w:rFonts w:ascii="宋体"/>
              </w:rPr>
            </w:pPr>
          </w:p>
        </w:tc>
        <w:tc>
          <w:tcPr>
            <w:tcW w:w="0" w:type="auto"/>
            <w:shd w:val="clear" w:color="auto" w:fill="auto"/>
          </w:tcPr>
          <w:p w14:paraId="33DABC2D" w14:textId="77777777" w:rsidR="004D6A64" w:rsidRDefault="004D6A64">
            <w:pPr>
              <w:rPr>
                <w:rFonts w:ascii="宋体"/>
              </w:rPr>
            </w:pPr>
          </w:p>
        </w:tc>
        <w:tc>
          <w:tcPr>
            <w:tcW w:w="0" w:type="auto"/>
            <w:shd w:val="clear" w:color="auto" w:fill="auto"/>
          </w:tcPr>
          <w:p w14:paraId="33DABC2E" w14:textId="77777777" w:rsidR="004D6A64" w:rsidRDefault="004D6A64">
            <w:pPr>
              <w:rPr>
                <w:rFonts w:ascii="宋体"/>
              </w:rPr>
            </w:pPr>
          </w:p>
        </w:tc>
        <w:tc>
          <w:tcPr>
            <w:tcW w:w="0" w:type="auto"/>
            <w:shd w:val="clear" w:color="auto" w:fill="auto"/>
          </w:tcPr>
          <w:p w14:paraId="33DABC2F" w14:textId="77777777" w:rsidR="004D6A64" w:rsidRDefault="004D6A64">
            <w:pPr>
              <w:rPr>
                <w:rFonts w:ascii="宋体"/>
              </w:rPr>
            </w:pPr>
          </w:p>
        </w:tc>
        <w:tc>
          <w:tcPr>
            <w:tcW w:w="0" w:type="auto"/>
            <w:shd w:val="clear" w:color="auto" w:fill="auto"/>
          </w:tcPr>
          <w:p w14:paraId="33DABC30" w14:textId="77777777" w:rsidR="004D6A64" w:rsidRDefault="004D6A64">
            <w:pPr>
              <w:rPr>
                <w:rFonts w:ascii="宋体"/>
              </w:rPr>
            </w:pPr>
          </w:p>
        </w:tc>
        <w:tc>
          <w:tcPr>
            <w:tcW w:w="0" w:type="auto"/>
            <w:shd w:val="clear" w:color="auto" w:fill="auto"/>
          </w:tcPr>
          <w:p w14:paraId="33DABC31" w14:textId="77777777" w:rsidR="004D6A64" w:rsidRDefault="004D6A64">
            <w:pPr>
              <w:rPr>
                <w:rFonts w:ascii="宋体"/>
              </w:rPr>
            </w:pPr>
          </w:p>
        </w:tc>
        <w:tc>
          <w:tcPr>
            <w:tcW w:w="0" w:type="auto"/>
            <w:shd w:val="clear" w:color="auto" w:fill="auto"/>
          </w:tcPr>
          <w:p w14:paraId="33DABC32" w14:textId="77777777" w:rsidR="004D6A64" w:rsidRDefault="004D6A64">
            <w:pPr>
              <w:rPr>
                <w:rFonts w:ascii="宋体"/>
              </w:rPr>
            </w:pPr>
          </w:p>
        </w:tc>
        <w:tc>
          <w:tcPr>
            <w:tcW w:w="0" w:type="auto"/>
            <w:shd w:val="clear" w:color="auto" w:fill="auto"/>
          </w:tcPr>
          <w:p w14:paraId="33DABC33" w14:textId="77777777" w:rsidR="004D6A64" w:rsidRDefault="004D6A64">
            <w:pPr>
              <w:rPr>
                <w:rFonts w:ascii="宋体"/>
              </w:rPr>
            </w:pPr>
          </w:p>
        </w:tc>
        <w:tc>
          <w:tcPr>
            <w:tcW w:w="0" w:type="auto"/>
            <w:shd w:val="clear" w:color="auto" w:fill="auto"/>
          </w:tcPr>
          <w:p w14:paraId="33DABC34" w14:textId="77777777" w:rsidR="004D6A64" w:rsidRDefault="004D6A64">
            <w:pPr>
              <w:rPr>
                <w:rFonts w:ascii="宋体"/>
              </w:rPr>
            </w:pPr>
          </w:p>
        </w:tc>
        <w:tc>
          <w:tcPr>
            <w:tcW w:w="0" w:type="auto"/>
            <w:shd w:val="clear" w:color="auto" w:fill="auto"/>
          </w:tcPr>
          <w:p w14:paraId="33DABC35" w14:textId="77777777" w:rsidR="004D6A64" w:rsidRDefault="004D6A64">
            <w:pPr>
              <w:rPr>
                <w:rFonts w:ascii="宋体"/>
              </w:rPr>
            </w:pPr>
          </w:p>
        </w:tc>
        <w:tc>
          <w:tcPr>
            <w:tcW w:w="0" w:type="auto"/>
            <w:shd w:val="clear" w:color="auto" w:fill="auto"/>
          </w:tcPr>
          <w:p w14:paraId="33DABC36" w14:textId="77777777" w:rsidR="004D6A64" w:rsidRDefault="004D6A64">
            <w:pPr>
              <w:rPr>
                <w:rFonts w:ascii="宋体"/>
              </w:rPr>
            </w:pPr>
          </w:p>
        </w:tc>
        <w:tc>
          <w:tcPr>
            <w:tcW w:w="0" w:type="auto"/>
            <w:shd w:val="clear" w:color="auto" w:fill="auto"/>
          </w:tcPr>
          <w:p w14:paraId="33DABC37" w14:textId="77777777" w:rsidR="004D6A64" w:rsidRDefault="004D6A64">
            <w:pPr>
              <w:rPr>
                <w:rFonts w:ascii="宋体"/>
              </w:rPr>
            </w:pPr>
          </w:p>
        </w:tc>
        <w:tc>
          <w:tcPr>
            <w:tcW w:w="0" w:type="auto"/>
            <w:shd w:val="clear" w:color="auto" w:fill="auto"/>
          </w:tcPr>
          <w:p w14:paraId="33DABC38" w14:textId="77777777" w:rsidR="004D6A64" w:rsidRDefault="004D6A64">
            <w:pPr>
              <w:rPr>
                <w:rFonts w:ascii="宋体"/>
              </w:rPr>
            </w:pPr>
          </w:p>
        </w:tc>
      </w:tr>
      <w:tr w:rsidR="004D6A64" w14:paraId="33DABC59" w14:textId="77777777">
        <w:tc>
          <w:tcPr>
            <w:tcW w:w="0" w:type="auto"/>
            <w:gridSpan w:val="3"/>
            <w:shd w:val="clear" w:color="auto" w:fill="FFFFFF"/>
            <w:tcMar>
              <w:top w:w="40" w:type="dxa"/>
              <w:left w:w="20" w:type="dxa"/>
              <w:bottom w:w="40" w:type="dxa"/>
              <w:right w:w="20" w:type="dxa"/>
            </w:tcMar>
            <w:vAlign w:val="bottom"/>
          </w:tcPr>
          <w:p w14:paraId="33DABC3A" w14:textId="77777777" w:rsidR="004D6A64" w:rsidRDefault="00506CD6">
            <w:pPr>
              <w:textAlignment w:val="bottom"/>
            </w:pPr>
            <w:r>
              <w:rPr>
                <w:rFonts w:ascii="Times New Roman" w:eastAsia="宋体" w:hAnsi="Times New Roman"/>
                <w:color w:val="000000"/>
                <w:sz w:val="20"/>
                <w:szCs w:val="20"/>
              </w:rPr>
              <w:t>Interest rate contracts</w:t>
            </w:r>
          </w:p>
        </w:tc>
        <w:tc>
          <w:tcPr>
            <w:tcW w:w="0" w:type="auto"/>
            <w:gridSpan w:val="3"/>
            <w:shd w:val="clear" w:color="auto" w:fill="FFFFFF"/>
            <w:tcMar>
              <w:left w:w="20" w:type="dxa"/>
              <w:right w:w="20" w:type="dxa"/>
            </w:tcMar>
            <w:vAlign w:val="bottom"/>
          </w:tcPr>
          <w:p w14:paraId="33DABC3B"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BC3C"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BC3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C3E" w14:textId="77777777" w:rsidR="004D6A64" w:rsidRDefault="004D6A64">
            <w:pPr>
              <w:rPr>
                <w:rFonts w:ascii="宋体"/>
              </w:rPr>
            </w:pPr>
          </w:p>
        </w:tc>
        <w:tc>
          <w:tcPr>
            <w:tcW w:w="0" w:type="auto"/>
            <w:gridSpan w:val="3"/>
            <w:shd w:val="clear" w:color="auto" w:fill="FFFFFF"/>
            <w:tcMar>
              <w:top w:w="40" w:type="dxa"/>
              <w:left w:w="20" w:type="dxa"/>
              <w:bottom w:w="40" w:type="dxa"/>
              <w:right w:w="20" w:type="dxa"/>
            </w:tcMar>
            <w:vAlign w:val="bottom"/>
          </w:tcPr>
          <w:p w14:paraId="33DABC3F" w14:textId="77777777" w:rsidR="004D6A64" w:rsidRDefault="00506CD6">
            <w:pPr>
              <w:textAlignment w:val="bottom"/>
            </w:pPr>
            <w:r>
              <w:rPr>
                <w:rFonts w:ascii="Times New Roman" w:eastAsia="宋体" w:hAnsi="Times New Roman"/>
                <w:color w:val="000000"/>
                <w:sz w:val="20"/>
                <w:szCs w:val="20"/>
              </w:rPr>
              <w:t>Interest and other, net</w:t>
            </w:r>
          </w:p>
        </w:tc>
        <w:tc>
          <w:tcPr>
            <w:tcW w:w="0" w:type="auto"/>
            <w:gridSpan w:val="3"/>
            <w:shd w:val="clear" w:color="auto" w:fill="FFFFFF"/>
            <w:tcMar>
              <w:left w:w="20" w:type="dxa"/>
              <w:right w:w="20" w:type="dxa"/>
            </w:tcMar>
            <w:vAlign w:val="bottom"/>
          </w:tcPr>
          <w:p w14:paraId="33DABC4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BC41"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BC42" w14:textId="77777777" w:rsidR="004D6A64" w:rsidRDefault="004D6A64">
            <w:pPr>
              <w:jc w:val="right"/>
              <w:rPr>
                <w:rFonts w:ascii="宋体"/>
              </w:rPr>
            </w:pPr>
          </w:p>
        </w:tc>
        <w:tc>
          <w:tcPr>
            <w:tcW w:w="0" w:type="auto"/>
            <w:shd w:val="clear" w:color="auto" w:fill="auto"/>
          </w:tcPr>
          <w:p w14:paraId="33DABC43" w14:textId="77777777" w:rsidR="004D6A64" w:rsidRDefault="004D6A64">
            <w:pPr>
              <w:rPr>
                <w:rFonts w:ascii="宋体"/>
                <w:vanish/>
              </w:rPr>
            </w:pPr>
          </w:p>
        </w:tc>
        <w:tc>
          <w:tcPr>
            <w:tcW w:w="0" w:type="auto"/>
            <w:shd w:val="clear" w:color="auto" w:fill="auto"/>
          </w:tcPr>
          <w:p w14:paraId="33DABC44" w14:textId="77777777" w:rsidR="004D6A64" w:rsidRDefault="004D6A64">
            <w:pPr>
              <w:rPr>
                <w:rFonts w:ascii="宋体"/>
                <w:vanish/>
              </w:rPr>
            </w:pPr>
          </w:p>
        </w:tc>
        <w:tc>
          <w:tcPr>
            <w:tcW w:w="0" w:type="auto"/>
            <w:shd w:val="clear" w:color="auto" w:fill="auto"/>
          </w:tcPr>
          <w:p w14:paraId="33DABC45" w14:textId="77777777" w:rsidR="004D6A64" w:rsidRDefault="004D6A64">
            <w:pPr>
              <w:rPr>
                <w:rFonts w:ascii="宋体"/>
                <w:vanish/>
              </w:rPr>
            </w:pPr>
          </w:p>
        </w:tc>
        <w:tc>
          <w:tcPr>
            <w:tcW w:w="0" w:type="auto"/>
            <w:shd w:val="clear" w:color="auto" w:fill="auto"/>
          </w:tcPr>
          <w:p w14:paraId="33DABC46" w14:textId="77777777" w:rsidR="004D6A64" w:rsidRDefault="004D6A64">
            <w:pPr>
              <w:rPr>
                <w:rFonts w:ascii="宋体"/>
                <w:vanish/>
              </w:rPr>
            </w:pPr>
          </w:p>
        </w:tc>
        <w:tc>
          <w:tcPr>
            <w:tcW w:w="0" w:type="auto"/>
            <w:shd w:val="clear" w:color="auto" w:fill="auto"/>
          </w:tcPr>
          <w:p w14:paraId="33DABC47" w14:textId="77777777" w:rsidR="004D6A64" w:rsidRDefault="004D6A64">
            <w:pPr>
              <w:rPr>
                <w:rFonts w:ascii="宋体"/>
              </w:rPr>
            </w:pPr>
          </w:p>
        </w:tc>
        <w:tc>
          <w:tcPr>
            <w:tcW w:w="0" w:type="auto"/>
            <w:shd w:val="clear" w:color="auto" w:fill="auto"/>
          </w:tcPr>
          <w:p w14:paraId="33DABC48" w14:textId="77777777" w:rsidR="004D6A64" w:rsidRDefault="004D6A64">
            <w:pPr>
              <w:rPr>
                <w:rFonts w:ascii="宋体"/>
              </w:rPr>
            </w:pPr>
          </w:p>
        </w:tc>
        <w:tc>
          <w:tcPr>
            <w:tcW w:w="0" w:type="auto"/>
            <w:shd w:val="clear" w:color="auto" w:fill="auto"/>
          </w:tcPr>
          <w:p w14:paraId="33DABC49" w14:textId="77777777" w:rsidR="004D6A64" w:rsidRDefault="004D6A64">
            <w:pPr>
              <w:rPr>
                <w:rFonts w:ascii="宋体"/>
              </w:rPr>
            </w:pPr>
          </w:p>
        </w:tc>
        <w:tc>
          <w:tcPr>
            <w:tcW w:w="0" w:type="auto"/>
            <w:shd w:val="clear" w:color="auto" w:fill="auto"/>
          </w:tcPr>
          <w:p w14:paraId="33DABC4A" w14:textId="77777777" w:rsidR="004D6A64" w:rsidRDefault="004D6A64">
            <w:pPr>
              <w:rPr>
                <w:rFonts w:ascii="宋体"/>
              </w:rPr>
            </w:pPr>
          </w:p>
        </w:tc>
        <w:tc>
          <w:tcPr>
            <w:tcW w:w="0" w:type="auto"/>
            <w:shd w:val="clear" w:color="auto" w:fill="auto"/>
          </w:tcPr>
          <w:p w14:paraId="33DABC4B" w14:textId="77777777" w:rsidR="004D6A64" w:rsidRDefault="004D6A64">
            <w:pPr>
              <w:rPr>
                <w:rFonts w:ascii="宋体"/>
              </w:rPr>
            </w:pPr>
          </w:p>
        </w:tc>
        <w:tc>
          <w:tcPr>
            <w:tcW w:w="0" w:type="auto"/>
            <w:shd w:val="clear" w:color="auto" w:fill="auto"/>
          </w:tcPr>
          <w:p w14:paraId="33DABC4C" w14:textId="77777777" w:rsidR="004D6A64" w:rsidRDefault="004D6A64">
            <w:pPr>
              <w:rPr>
                <w:rFonts w:ascii="宋体"/>
              </w:rPr>
            </w:pPr>
          </w:p>
        </w:tc>
        <w:tc>
          <w:tcPr>
            <w:tcW w:w="0" w:type="auto"/>
            <w:shd w:val="clear" w:color="auto" w:fill="auto"/>
          </w:tcPr>
          <w:p w14:paraId="33DABC4D" w14:textId="77777777" w:rsidR="004D6A64" w:rsidRDefault="004D6A64">
            <w:pPr>
              <w:rPr>
                <w:rFonts w:ascii="宋体"/>
              </w:rPr>
            </w:pPr>
          </w:p>
        </w:tc>
        <w:tc>
          <w:tcPr>
            <w:tcW w:w="0" w:type="auto"/>
            <w:shd w:val="clear" w:color="auto" w:fill="auto"/>
          </w:tcPr>
          <w:p w14:paraId="33DABC4E" w14:textId="77777777" w:rsidR="004D6A64" w:rsidRDefault="004D6A64">
            <w:pPr>
              <w:rPr>
                <w:rFonts w:ascii="宋体"/>
              </w:rPr>
            </w:pPr>
          </w:p>
        </w:tc>
        <w:tc>
          <w:tcPr>
            <w:tcW w:w="0" w:type="auto"/>
            <w:shd w:val="clear" w:color="auto" w:fill="auto"/>
          </w:tcPr>
          <w:p w14:paraId="33DABC4F" w14:textId="77777777" w:rsidR="004D6A64" w:rsidRDefault="004D6A64">
            <w:pPr>
              <w:rPr>
                <w:rFonts w:ascii="宋体"/>
              </w:rPr>
            </w:pPr>
          </w:p>
        </w:tc>
        <w:tc>
          <w:tcPr>
            <w:tcW w:w="0" w:type="auto"/>
            <w:shd w:val="clear" w:color="auto" w:fill="auto"/>
          </w:tcPr>
          <w:p w14:paraId="33DABC50" w14:textId="77777777" w:rsidR="004D6A64" w:rsidRDefault="004D6A64">
            <w:pPr>
              <w:rPr>
                <w:rFonts w:ascii="宋体"/>
              </w:rPr>
            </w:pPr>
          </w:p>
        </w:tc>
        <w:tc>
          <w:tcPr>
            <w:tcW w:w="0" w:type="auto"/>
            <w:shd w:val="clear" w:color="auto" w:fill="auto"/>
          </w:tcPr>
          <w:p w14:paraId="33DABC51" w14:textId="77777777" w:rsidR="004D6A64" w:rsidRDefault="004D6A64">
            <w:pPr>
              <w:rPr>
                <w:rFonts w:ascii="宋体"/>
              </w:rPr>
            </w:pPr>
          </w:p>
        </w:tc>
        <w:tc>
          <w:tcPr>
            <w:tcW w:w="0" w:type="auto"/>
            <w:shd w:val="clear" w:color="auto" w:fill="auto"/>
          </w:tcPr>
          <w:p w14:paraId="33DABC52" w14:textId="77777777" w:rsidR="004D6A64" w:rsidRDefault="004D6A64">
            <w:pPr>
              <w:rPr>
                <w:rFonts w:ascii="宋体"/>
              </w:rPr>
            </w:pPr>
          </w:p>
        </w:tc>
        <w:tc>
          <w:tcPr>
            <w:tcW w:w="0" w:type="auto"/>
            <w:shd w:val="clear" w:color="auto" w:fill="auto"/>
          </w:tcPr>
          <w:p w14:paraId="33DABC53" w14:textId="77777777" w:rsidR="004D6A64" w:rsidRDefault="004D6A64">
            <w:pPr>
              <w:rPr>
                <w:rFonts w:ascii="宋体"/>
              </w:rPr>
            </w:pPr>
          </w:p>
        </w:tc>
        <w:tc>
          <w:tcPr>
            <w:tcW w:w="0" w:type="auto"/>
            <w:shd w:val="clear" w:color="auto" w:fill="auto"/>
          </w:tcPr>
          <w:p w14:paraId="33DABC54" w14:textId="77777777" w:rsidR="004D6A64" w:rsidRDefault="004D6A64">
            <w:pPr>
              <w:rPr>
                <w:rFonts w:ascii="宋体"/>
              </w:rPr>
            </w:pPr>
          </w:p>
        </w:tc>
        <w:tc>
          <w:tcPr>
            <w:tcW w:w="0" w:type="auto"/>
            <w:shd w:val="clear" w:color="auto" w:fill="auto"/>
          </w:tcPr>
          <w:p w14:paraId="33DABC55" w14:textId="77777777" w:rsidR="004D6A64" w:rsidRDefault="004D6A64">
            <w:pPr>
              <w:rPr>
                <w:rFonts w:ascii="宋体"/>
              </w:rPr>
            </w:pPr>
          </w:p>
        </w:tc>
        <w:tc>
          <w:tcPr>
            <w:tcW w:w="0" w:type="auto"/>
            <w:shd w:val="clear" w:color="auto" w:fill="auto"/>
          </w:tcPr>
          <w:p w14:paraId="33DABC56" w14:textId="77777777" w:rsidR="004D6A64" w:rsidRDefault="004D6A64">
            <w:pPr>
              <w:rPr>
                <w:rFonts w:ascii="宋体"/>
              </w:rPr>
            </w:pPr>
          </w:p>
        </w:tc>
        <w:tc>
          <w:tcPr>
            <w:tcW w:w="0" w:type="auto"/>
            <w:shd w:val="clear" w:color="auto" w:fill="auto"/>
          </w:tcPr>
          <w:p w14:paraId="33DABC57" w14:textId="77777777" w:rsidR="004D6A64" w:rsidRDefault="004D6A64">
            <w:pPr>
              <w:rPr>
                <w:rFonts w:ascii="宋体"/>
              </w:rPr>
            </w:pPr>
          </w:p>
        </w:tc>
        <w:tc>
          <w:tcPr>
            <w:tcW w:w="0" w:type="auto"/>
            <w:shd w:val="clear" w:color="auto" w:fill="auto"/>
          </w:tcPr>
          <w:p w14:paraId="33DABC58" w14:textId="77777777" w:rsidR="004D6A64" w:rsidRDefault="004D6A64">
            <w:pPr>
              <w:rPr>
                <w:rFonts w:ascii="宋体"/>
              </w:rPr>
            </w:pPr>
          </w:p>
        </w:tc>
      </w:tr>
      <w:tr w:rsidR="004D6A64" w14:paraId="33DABC7B" w14:textId="77777777">
        <w:tc>
          <w:tcPr>
            <w:tcW w:w="0" w:type="auto"/>
            <w:gridSpan w:val="3"/>
            <w:shd w:val="clear" w:color="auto" w:fill="CCEEFF"/>
            <w:tcMar>
              <w:top w:w="40" w:type="dxa"/>
              <w:left w:w="135" w:type="dxa"/>
              <w:bottom w:w="40" w:type="dxa"/>
              <w:right w:w="20" w:type="dxa"/>
            </w:tcMar>
            <w:vAlign w:val="bottom"/>
          </w:tcPr>
          <w:p w14:paraId="33DABC5A" w14:textId="77777777" w:rsidR="004D6A64" w:rsidRDefault="00506CD6">
            <w:pPr>
              <w:textAlignment w:val="bottom"/>
            </w:pPr>
            <w:r>
              <w:rPr>
                <w:rFonts w:ascii="Times New Roman" w:eastAsia="宋体" w:hAnsi="Times New Roman"/>
                <w:color w:val="000000"/>
                <w:sz w:val="20"/>
                <w:szCs w:val="20"/>
              </w:rPr>
              <w:t>Total</w:t>
            </w:r>
          </w:p>
        </w:tc>
        <w:tc>
          <w:tcPr>
            <w:tcW w:w="0" w:type="auto"/>
            <w:gridSpan w:val="3"/>
            <w:shd w:val="clear" w:color="auto" w:fill="CCEEFF"/>
            <w:tcMar>
              <w:left w:w="20" w:type="dxa"/>
              <w:right w:w="20" w:type="dxa"/>
            </w:tcMar>
            <w:vAlign w:val="bottom"/>
          </w:tcPr>
          <w:p w14:paraId="33DABC5B"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33DABC5C"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33DABC5D" w14:textId="77777777" w:rsidR="004D6A64" w:rsidRDefault="00506CD6">
            <w:pPr>
              <w:jc w:val="right"/>
              <w:textAlignment w:val="bottom"/>
            </w:pPr>
            <w:r>
              <w:rPr>
                <w:rFonts w:ascii="Times New Roman" w:eastAsia="宋体" w:hAnsi="Times New Roman"/>
                <w:color w:val="000000"/>
                <w:sz w:val="20"/>
                <w:szCs w:val="20"/>
              </w:rPr>
              <w:t>257 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33DABC5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C5F" w14:textId="77777777" w:rsidR="004D6A64" w:rsidRDefault="004D6A64">
            <w:pPr>
              <w:rPr>
                <w:rFonts w:ascii="宋体"/>
              </w:rPr>
            </w:pPr>
          </w:p>
        </w:tc>
        <w:tc>
          <w:tcPr>
            <w:tcW w:w="0" w:type="auto"/>
            <w:gridSpan w:val="3"/>
            <w:shd w:val="clear" w:color="auto" w:fill="CCEEFF"/>
            <w:tcMar>
              <w:top w:w="40" w:type="dxa"/>
              <w:left w:w="20" w:type="dxa"/>
              <w:bottom w:w="40" w:type="dxa"/>
              <w:right w:w="20" w:type="dxa"/>
            </w:tcMar>
            <w:vAlign w:val="bottom"/>
          </w:tcPr>
          <w:p w14:paraId="33DABC60" w14:textId="77777777" w:rsidR="004D6A64" w:rsidRDefault="00506CD6">
            <w:pPr>
              <w:textAlignment w:val="bottom"/>
            </w:pPr>
            <w:r>
              <w:rPr>
                <w:rFonts w:ascii="Times New Roman" w:eastAsia="宋体" w:hAnsi="Times New Roman"/>
                <w:color w:val="000000"/>
                <w:sz w:val="20"/>
                <w:szCs w:val="20"/>
              </w:rPr>
              <w:t> </w:t>
            </w:r>
          </w:p>
        </w:tc>
        <w:tc>
          <w:tcPr>
            <w:tcW w:w="0" w:type="auto"/>
            <w:gridSpan w:val="3"/>
            <w:shd w:val="clear" w:color="auto" w:fill="CCEEFF"/>
            <w:tcMar>
              <w:left w:w="20" w:type="dxa"/>
              <w:right w:w="20" w:type="dxa"/>
            </w:tcMar>
            <w:vAlign w:val="bottom"/>
          </w:tcPr>
          <w:p w14:paraId="33DABC61"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bottom"/>
          </w:tcPr>
          <w:p w14:paraId="33DABC62"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bottom"/>
          </w:tcPr>
          <w:p w14:paraId="33DABC63" w14:textId="77777777" w:rsidR="004D6A64" w:rsidRDefault="00506CD6">
            <w:pPr>
              <w:jc w:val="right"/>
              <w:textAlignment w:val="bottom"/>
            </w:pPr>
            <w:r>
              <w:rPr>
                <w:rFonts w:ascii="Times New Roman" w:eastAsia="宋体" w:hAnsi="Times New Roman"/>
                <w:color w:val="000000"/>
                <w:sz w:val="20"/>
                <w:szCs w:val="20"/>
              </w:rPr>
              <w:t>126 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33DABC64" w14:textId="77777777" w:rsidR="004D6A64" w:rsidRDefault="004D6A64">
            <w:pPr>
              <w:jc w:val="right"/>
              <w:rPr>
                <w:rFonts w:ascii="宋体"/>
              </w:rPr>
            </w:pPr>
          </w:p>
        </w:tc>
        <w:tc>
          <w:tcPr>
            <w:tcW w:w="0" w:type="auto"/>
            <w:shd w:val="clear" w:color="auto" w:fill="auto"/>
          </w:tcPr>
          <w:p w14:paraId="33DABC65" w14:textId="77777777" w:rsidR="004D6A64" w:rsidRDefault="004D6A64">
            <w:pPr>
              <w:rPr>
                <w:rFonts w:ascii="宋体"/>
                <w:vanish/>
              </w:rPr>
            </w:pPr>
          </w:p>
        </w:tc>
        <w:tc>
          <w:tcPr>
            <w:tcW w:w="0" w:type="auto"/>
            <w:shd w:val="clear" w:color="auto" w:fill="auto"/>
          </w:tcPr>
          <w:p w14:paraId="33DABC66" w14:textId="77777777" w:rsidR="004D6A64" w:rsidRDefault="004D6A64">
            <w:pPr>
              <w:rPr>
                <w:rFonts w:ascii="宋体"/>
                <w:vanish/>
              </w:rPr>
            </w:pPr>
          </w:p>
        </w:tc>
        <w:tc>
          <w:tcPr>
            <w:tcW w:w="0" w:type="auto"/>
            <w:shd w:val="clear" w:color="auto" w:fill="auto"/>
          </w:tcPr>
          <w:p w14:paraId="33DABC67" w14:textId="77777777" w:rsidR="004D6A64" w:rsidRDefault="004D6A64">
            <w:pPr>
              <w:rPr>
                <w:rFonts w:ascii="宋体"/>
                <w:vanish/>
              </w:rPr>
            </w:pPr>
          </w:p>
        </w:tc>
        <w:tc>
          <w:tcPr>
            <w:tcW w:w="0" w:type="auto"/>
            <w:shd w:val="clear" w:color="auto" w:fill="auto"/>
          </w:tcPr>
          <w:p w14:paraId="33DABC68" w14:textId="77777777" w:rsidR="004D6A64" w:rsidRDefault="004D6A64">
            <w:pPr>
              <w:rPr>
                <w:rFonts w:ascii="宋体"/>
                <w:vanish/>
              </w:rPr>
            </w:pPr>
          </w:p>
        </w:tc>
        <w:tc>
          <w:tcPr>
            <w:tcW w:w="0" w:type="auto"/>
            <w:shd w:val="clear" w:color="auto" w:fill="auto"/>
          </w:tcPr>
          <w:p w14:paraId="33DABC69" w14:textId="77777777" w:rsidR="004D6A64" w:rsidRDefault="004D6A64">
            <w:pPr>
              <w:rPr>
                <w:rFonts w:ascii="宋体"/>
              </w:rPr>
            </w:pPr>
          </w:p>
        </w:tc>
        <w:tc>
          <w:tcPr>
            <w:tcW w:w="0" w:type="auto"/>
            <w:shd w:val="clear" w:color="auto" w:fill="auto"/>
          </w:tcPr>
          <w:p w14:paraId="33DABC6A" w14:textId="77777777" w:rsidR="004D6A64" w:rsidRDefault="004D6A64">
            <w:pPr>
              <w:rPr>
                <w:rFonts w:ascii="宋体"/>
              </w:rPr>
            </w:pPr>
          </w:p>
        </w:tc>
        <w:tc>
          <w:tcPr>
            <w:tcW w:w="0" w:type="auto"/>
            <w:shd w:val="clear" w:color="auto" w:fill="auto"/>
          </w:tcPr>
          <w:p w14:paraId="33DABC6B" w14:textId="77777777" w:rsidR="004D6A64" w:rsidRDefault="004D6A64">
            <w:pPr>
              <w:rPr>
                <w:rFonts w:ascii="宋体"/>
              </w:rPr>
            </w:pPr>
          </w:p>
        </w:tc>
        <w:tc>
          <w:tcPr>
            <w:tcW w:w="0" w:type="auto"/>
            <w:shd w:val="clear" w:color="auto" w:fill="auto"/>
          </w:tcPr>
          <w:p w14:paraId="33DABC6C" w14:textId="77777777" w:rsidR="004D6A64" w:rsidRDefault="004D6A64">
            <w:pPr>
              <w:rPr>
                <w:rFonts w:ascii="宋体"/>
              </w:rPr>
            </w:pPr>
          </w:p>
        </w:tc>
        <w:tc>
          <w:tcPr>
            <w:tcW w:w="0" w:type="auto"/>
            <w:shd w:val="clear" w:color="auto" w:fill="auto"/>
          </w:tcPr>
          <w:p w14:paraId="33DABC6D" w14:textId="77777777" w:rsidR="004D6A64" w:rsidRDefault="004D6A64">
            <w:pPr>
              <w:rPr>
                <w:rFonts w:ascii="宋体"/>
              </w:rPr>
            </w:pPr>
          </w:p>
        </w:tc>
        <w:tc>
          <w:tcPr>
            <w:tcW w:w="0" w:type="auto"/>
            <w:shd w:val="clear" w:color="auto" w:fill="auto"/>
          </w:tcPr>
          <w:p w14:paraId="33DABC6E" w14:textId="77777777" w:rsidR="004D6A64" w:rsidRDefault="004D6A64">
            <w:pPr>
              <w:rPr>
                <w:rFonts w:ascii="宋体"/>
              </w:rPr>
            </w:pPr>
          </w:p>
        </w:tc>
        <w:tc>
          <w:tcPr>
            <w:tcW w:w="0" w:type="auto"/>
            <w:shd w:val="clear" w:color="auto" w:fill="auto"/>
          </w:tcPr>
          <w:p w14:paraId="33DABC6F" w14:textId="77777777" w:rsidR="004D6A64" w:rsidRDefault="004D6A64">
            <w:pPr>
              <w:rPr>
                <w:rFonts w:ascii="宋体"/>
              </w:rPr>
            </w:pPr>
          </w:p>
        </w:tc>
        <w:tc>
          <w:tcPr>
            <w:tcW w:w="0" w:type="auto"/>
            <w:shd w:val="clear" w:color="auto" w:fill="auto"/>
          </w:tcPr>
          <w:p w14:paraId="33DABC70" w14:textId="77777777" w:rsidR="004D6A64" w:rsidRDefault="004D6A64">
            <w:pPr>
              <w:rPr>
                <w:rFonts w:ascii="宋体"/>
              </w:rPr>
            </w:pPr>
          </w:p>
        </w:tc>
        <w:tc>
          <w:tcPr>
            <w:tcW w:w="0" w:type="auto"/>
            <w:shd w:val="clear" w:color="auto" w:fill="auto"/>
          </w:tcPr>
          <w:p w14:paraId="33DABC71" w14:textId="77777777" w:rsidR="004D6A64" w:rsidRDefault="004D6A64">
            <w:pPr>
              <w:rPr>
                <w:rFonts w:ascii="宋体"/>
              </w:rPr>
            </w:pPr>
          </w:p>
        </w:tc>
        <w:tc>
          <w:tcPr>
            <w:tcW w:w="0" w:type="auto"/>
            <w:shd w:val="clear" w:color="auto" w:fill="auto"/>
          </w:tcPr>
          <w:p w14:paraId="33DABC72" w14:textId="77777777" w:rsidR="004D6A64" w:rsidRDefault="004D6A64">
            <w:pPr>
              <w:rPr>
                <w:rFonts w:ascii="宋体"/>
              </w:rPr>
            </w:pPr>
          </w:p>
        </w:tc>
        <w:tc>
          <w:tcPr>
            <w:tcW w:w="0" w:type="auto"/>
            <w:shd w:val="clear" w:color="auto" w:fill="auto"/>
          </w:tcPr>
          <w:p w14:paraId="33DABC73" w14:textId="77777777" w:rsidR="004D6A64" w:rsidRDefault="004D6A64">
            <w:pPr>
              <w:rPr>
                <w:rFonts w:ascii="宋体"/>
              </w:rPr>
            </w:pPr>
          </w:p>
        </w:tc>
        <w:tc>
          <w:tcPr>
            <w:tcW w:w="0" w:type="auto"/>
            <w:shd w:val="clear" w:color="auto" w:fill="auto"/>
          </w:tcPr>
          <w:p w14:paraId="33DABC74" w14:textId="77777777" w:rsidR="004D6A64" w:rsidRDefault="004D6A64">
            <w:pPr>
              <w:rPr>
                <w:rFonts w:ascii="宋体"/>
              </w:rPr>
            </w:pPr>
          </w:p>
        </w:tc>
        <w:tc>
          <w:tcPr>
            <w:tcW w:w="0" w:type="auto"/>
            <w:shd w:val="clear" w:color="auto" w:fill="auto"/>
          </w:tcPr>
          <w:p w14:paraId="33DABC75" w14:textId="77777777" w:rsidR="004D6A64" w:rsidRDefault="004D6A64">
            <w:pPr>
              <w:rPr>
                <w:rFonts w:ascii="宋体"/>
              </w:rPr>
            </w:pPr>
          </w:p>
        </w:tc>
        <w:tc>
          <w:tcPr>
            <w:tcW w:w="0" w:type="auto"/>
            <w:shd w:val="clear" w:color="auto" w:fill="auto"/>
          </w:tcPr>
          <w:p w14:paraId="33DABC76" w14:textId="77777777" w:rsidR="004D6A64" w:rsidRDefault="004D6A64">
            <w:pPr>
              <w:rPr>
                <w:rFonts w:ascii="宋体"/>
              </w:rPr>
            </w:pPr>
          </w:p>
        </w:tc>
        <w:tc>
          <w:tcPr>
            <w:tcW w:w="0" w:type="auto"/>
            <w:shd w:val="clear" w:color="auto" w:fill="auto"/>
          </w:tcPr>
          <w:p w14:paraId="33DABC77" w14:textId="77777777" w:rsidR="004D6A64" w:rsidRDefault="004D6A64">
            <w:pPr>
              <w:rPr>
                <w:rFonts w:ascii="宋体"/>
              </w:rPr>
            </w:pPr>
          </w:p>
        </w:tc>
        <w:tc>
          <w:tcPr>
            <w:tcW w:w="0" w:type="auto"/>
            <w:shd w:val="clear" w:color="auto" w:fill="auto"/>
          </w:tcPr>
          <w:p w14:paraId="33DABC78" w14:textId="77777777" w:rsidR="004D6A64" w:rsidRDefault="004D6A64">
            <w:pPr>
              <w:rPr>
                <w:rFonts w:ascii="宋体"/>
              </w:rPr>
            </w:pPr>
          </w:p>
        </w:tc>
        <w:tc>
          <w:tcPr>
            <w:tcW w:w="0" w:type="auto"/>
            <w:shd w:val="clear" w:color="auto" w:fill="auto"/>
          </w:tcPr>
          <w:p w14:paraId="33DABC79" w14:textId="77777777" w:rsidR="004D6A64" w:rsidRDefault="004D6A64">
            <w:pPr>
              <w:rPr>
                <w:rFonts w:ascii="宋体"/>
              </w:rPr>
            </w:pPr>
          </w:p>
        </w:tc>
        <w:tc>
          <w:tcPr>
            <w:tcW w:w="0" w:type="auto"/>
            <w:shd w:val="clear" w:color="auto" w:fill="auto"/>
          </w:tcPr>
          <w:p w14:paraId="33DABC7A" w14:textId="77777777" w:rsidR="004D6A64" w:rsidRDefault="004D6A64">
            <w:pPr>
              <w:rPr>
                <w:rFonts w:ascii="宋体"/>
              </w:rPr>
            </w:pPr>
          </w:p>
        </w:tc>
      </w:tr>
    </w:tbl>
    <w:p w14:paraId="33DABC7C" w14:textId="77777777" w:rsidR="004D6A64" w:rsidRDefault="004D6A64"/>
    <w:p w14:paraId="33DABC7D" w14:textId="77777777" w:rsidR="004D6A64" w:rsidRDefault="004D6A64"/>
    <w:p w14:paraId="33DABC7E" w14:textId="77777777" w:rsidR="004D6A64" w:rsidRDefault="004D6A64">
      <w:pPr>
        <w:jc w:val="center"/>
      </w:pPr>
    </w:p>
    <w:p w14:paraId="33DABC7F" w14:textId="77777777" w:rsidR="004D6A64" w:rsidRDefault="00506CD6">
      <w:pPr>
        <w:jc w:val="center"/>
      </w:pPr>
      <w:r>
        <w:rPr>
          <w:rFonts w:ascii="Times New Roman" w:eastAsia="宋体" w:hAnsi="Times New Roman"/>
          <w:color w:val="000000"/>
          <w:sz w:val="20"/>
          <w:szCs w:val="20"/>
        </w:rPr>
        <w:t>38</w:t>
      </w:r>
    </w:p>
    <w:p w14:paraId="33DABC80" w14:textId="77777777" w:rsidR="004D6A64" w:rsidRDefault="004D6A64">
      <w:pPr>
        <w:jc w:val="center"/>
      </w:pPr>
    </w:p>
    <w:p w14:paraId="33DABC81" w14:textId="77777777" w:rsidR="004D6A64" w:rsidRDefault="00506CD6">
      <w:r>
        <w:pict w14:anchorId="33DAFAEA">
          <v:rect id="_x0000_i1062" style="width:415.3pt;height:1.5pt" o:hralign="center" o:hrstd="t" o:hr="t" fillcolor="#a0a0a0" stroked="f"/>
        </w:pict>
      </w:r>
    </w:p>
    <w:p w14:paraId="33DABC82" w14:textId="77777777" w:rsidR="004D6A64" w:rsidRDefault="00506CD6">
      <w:hyperlink r:id="rId161" w:anchor="if3e0e1bf9ecd4bf69551d7a85f98d64a_10" w:history="1">
        <w:r>
          <w:rPr>
            <w:rStyle w:val="a5"/>
            <w:rFonts w:ascii="Times New Roman" w:eastAsia="宋体" w:hAnsi="Times New Roman"/>
            <w:sz w:val="20"/>
            <w:szCs w:val="20"/>
          </w:rPr>
          <w:t>Table of Contents</w:t>
        </w:r>
      </w:hyperlink>
    </w:p>
    <w:p w14:paraId="33DABC83"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BC84"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33DABC85"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BC86" w14:textId="77777777" w:rsidR="004D6A64" w:rsidRDefault="004D6A64">
      <w:pPr>
        <w:jc w:val="center"/>
      </w:pPr>
    </w:p>
    <w:p w14:paraId="33DABC87" w14:textId="77777777" w:rsidR="004D6A64" w:rsidRDefault="00506CD6">
      <w:r>
        <w:rPr>
          <w:rFonts w:ascii="Times New Roman" w:eastAsia="宋体" w:hAnsi="Times New Roman"/>
          <w:i/>
          <w:iCs/>
          <w:color w:val="000000"/>
          <w:sz w:val="20"/>
          <w:szCs w:val="20"/>
          <w:u w:val="single"/>
        </w:rPr>
        <w:t xml:space="preserve">Effect of Derivative Instruments Not Designated as Hedging Instruments on the Condensed Consolidated Statements of </w:t>
      </w:r>
      <w:r>
        <w:rPr>
          <w:rFonts w:ascii="Times New Roman" w:eastAsia="宋体" w:hAnsi="Times New Roman"/>
          <w:i/>
          <w:iCs/>
          <w:color w:val="000000"/>
          <w:sz w:val="20"/>
          <w:szCs w:val="20"/>
          <w:u w:val="single"/>
        </w:rPr>
        <w:t>Income (Loss)</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1330"/>
        <w:gridCol w:w="36"/>
        <w:gridCol w:w="36"/>
        <w:gridCol w:w="36"/>
        <w:gridCol w:w="36"/>
        <w:gridCol w:w="135"/>
        <w:gridCol w:w="867"/>
        <w:gridCol w:w="41"/>
        <w:gridCol w:w="36"/>
        <w:gridCol w:w="36"/>
        <w:gridCol w:w="36"/>
        <w:gridCol w:w="136"/>
        <w:gridCol w:w="867"/>
        <w:gridCol w:w="42"/>
        <w:gridCol w:w="36"/>
        <w:gridCol w:w="36"/>
        <w:gridCol w:w="36"/>
        <w:gridCol w:w="135"/>
        <w:gridCol w:w="867"/>
        <w:gridCol w:w="41"/>
        <w:gridCol w:w="36"/>
        <w:gridCol w:w="36"/>
        <w:gridCol w:w="36"/>
        <w:gridCol w:w="136"/>
        <w:gridCol w:w="867"/>
        <w:gridCol w:w="42"/>
        <w:gridCol w:w="36"/>
        <w:gridCol w:w="36"/>
        <w:gridCol w:w="36"/>
        <w:gridCol w:w="46"/>
        <w:gridCol w:w="1473"/>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4D6A64" w14:paraId="33DABCA9" w14:textId="77777777">
        <w:trPr>
          <w:gridAfter w:val="18"/>
          <w:jc w:val="center"/>
        </w:trPr>
        <w:tc>
          <w:tcPr>
            <w:tcW w:w="50" w:type="pct"/>
            <w:shd w:val="clear" w:color="auto" w:fill="auto"/>
          </w:tcPr>
          <w:p w14:paraId="33DABC88" w14:textId="77777777" w:rsidR="004D6A64" w:rsidRDefault="004D6A64">
            <w:pPr>
              <w:rPr>
                <w:rFonts w:ascii="宋体"/>
              </w:rPr>
            </w:pPr>
          </w:p>
        </w:tc>
        <w:tc>
          <w:tcPr>
            <w:tcW w:w="968" w:type="pct"/>
            <w:shd w:val="clear" w:color="auto" w:fill="auto"/>
          </w:tcPr>
          <w:p w14:paraId="33DABC89" w14:textId="77777777" w:rsidR="004D6A64" w:rsidRDefault="004D6A64">
            <w:pPr>
              <w:rPr>
                <w:rFonts w:ascii="宋体"/>
              </w:rPr>
            </w:pPr>
          </w:p>
        </w:tc>
        <w:tc>
          <w:tcPr>
            <w:tcW w:w="5" w:type="pct"/>
            <w:shd w:val="clear" w:color="auto" w:fill="auto"/>
          </w:tcPr>
          <w:p w14:paraId="33DABC8A" w14:textId="77777777" w:rsidR="004D6A64" w:rsidRDefault="004D6A64">
            <w:pPr>
              <w:rPr>
                <w:rFonts w:ascii="宋体"/>
              </w:rPr>
            </w:pPr>
          </w:p>
        </w:tc>
        <w:tc>
          <w:tcPr>
            <w:tcW w:w="5" w:type="pct"/>
            <w:shd w:val="clear" w:color="auto" w:fill="auto"/>
          </w:tcPr>
          <w:p w14:paraId="33DABC8B" w14:textId="77777777" w:rsidR="004D6A64" w:rsidRDefault="004D6A64">
            <w:pPr>
              <w:rPr>
                <w:rFonts w:ascii="宋体"/>
              </w:rPr>
            </w:pPr>
          </w:p>
        </w:tc>
        <w:tc>
          <w:tcPr>
            <w:tcW w:w="19" w:type="pct"/>
            <w:shd w:val="clear" w:color="auto" w:fill="auto"/>
          </w:tcPr>
          <w:p w14:paraId="33DABC8C" w14:textId="77777777" w:rsidR="004D6A64" w:rsidRDefault="004D6A64">
            <w:pPr>
              <w:rPr>
                <w:rFonts w:ascii="宋体"/>
              </w:rPr>
            </w:pPr>
          </w:p>
        </w:tc>
        <w:tc>
          <w:tcPr>
            <w:tcW w:w="5" w:type="pct"/>
            <w:shd w:val="clear" w:color="auto" w:fill="auto"/>
          </w:tcPr>
          <w:p w14:paraId="33DABC8D" w14:textId="77777777" w:rsidR="004D6A64" w:rsidRDefault="004D6A64">
            <w:pPr>
              <w:rPr>
                <w:rFonts w:ascii="宋体"/>
              </w:rPr>
            </w:pPr>
          </w:p>
        </w:tc>
        <w:tc>
          <w:tcPr>
            <w:tcW w:w="50" w:type="pct"/>
            <w:shd w:val="clear" w:color="auto" w:fill="auto"/>
          </w:tcPr>
          <w:p w14:paraId="33DABC8E" w14:textId="77777777" w:rsidR="004D6A64" w:rsidRDefault="004D6A64">
            <w:pPr>
              <w:rPr>
                <w:rFonts w:ascii="宋体"/>
              </w:rPr>
            </w:pPr>
          </w:p>
        </w:tc>
        <w:tc>
          <w:tcPr>
            <w:tcW w:w="624" w:type="pct"/>
            <w:shd w:val="clear" w:color="auto" w:fill="auto"/>
          </w:tcPr>
          <w:p w14:paraId="33DABC8F" w14:textId="77777777" w:rsidR="004D6A64" w:rsidRDefault="004D6A64">
            <w:pPr>
              <w:rPr>
                <w:rFonts w:ascii="宋体"/>
              </w:rPr>
            </w:pPr>
          </w:p>
        </w:tc>
        <w:tc>
          <w:tcPr>
            <w:tcW w:w="5" w:type="pct"/>
            <w:shd w:val="clear" w:color="auto" w:fill="auto"/>
          </w:tcPr>
          <w:p w14:paraId="33DABC90" w14:textId="77777777" w:rsidR="004D6A64" w:rsidRDefault="004D6A64">
            <w:pPr>
              <w:rPr>
                <w:rFonts w:ascii="宋体"/>
              </w:rPr>
            </w:pPr>
          </w:p>
        </w:tc>
        <w:tc>
          <w:tcPr>
            <w:tcW w:w="5" w:type="pct"/>
            <w:shd w:val="clear" w:color="auto" w:fill="auto"/>
          </w:tcPr>
          <w:p w14:paraId="33DABC91" w14:textId="77777777" w:rsidR="004D6A64" w:rsidRDefault="004D6A64">
            <w:pPr>
              <w:rPr>
                <w:rFonts w:ascii="宋体"/>
              </w:rPr>
            </w:pPr>
          </w:p>
        </w:tc>
        <w:tc>
          <w:tcPr>
            <w:tcW w:w="19" w:type="pct"/>
            <w:shd w:val="clear" w:color="auto" w:fill="auto"/>
          </w:tcPr>
          <w:p w14:paraId="33DABC92" w14:textId="77777777" w:rsidR="004D6A64" w:rsidRDefault="004D6A64">
            <w:pPr>
              <w:rPr>
                <w:rFonts w:ascii="宋体"/>
              </w:rPr>
            </w:pPr>
          </w:p>
        </w:tc>
        <w:tc>
          <w:tcPr>
            <w:tcW w:w="5" w:type="pct"/>
            <w:shd w:val="clear" w:color="auto" w:fill="auto"/>
          </w:tcPr>
          <w:p w14:paraId="33DABC93" w14:textId="77777777" w:rsidR="004D6A64" w:rsidRDefault="004D6A64">
            <w:pPr>
              <w:rPr>
                <w:rFonts w:ascii="宋体"/>
              </w:rPr>
            </w:pPr>
          </w:p>
        </w:tc>
        <w:tc>
          <w:tcPr>
            <w:tcW w:w="50" w:type="pct"/>
            <w:shd w:val="clear" w:color="auto" w:fill="auto"/>
          </w:tcPr>
          <w:p w14:paraId="33DABC94" w14:textId="77777777" w:rsidR="004D6A64" w:rsidRDefault="004D6A64">
            <w:pPr>
              <w:rPr>
                <w:rFonts w:ascii="宋体"/>
              </w:rPr>
            </w:pPr>
          </w:p>
        </w:tc>
        <w:tc>
          <w:tcPr>
            <w:tcW w:w="624" w:type="pct"/>
            <w:shd w:val="clear" w:color="auto" w:fill="auto"/>
          </w:tcPr>
          <w:p w14:paraId="33DABC95" w14:textId="77777777" w:rsidR="004D6A64" w:rsidRDefault="004D6A64">
            <w:pPr>
              <w:rPr>
                <w:rFonts w:ascii="宋体"/>
              </w:rPr>
            </w:pPr>
          </w:p>
        </w:tc>
        <w:tc>
          <w:tcPr>
            <w:tcW w:w="5" w:type="pct"/>
            <w:shd w:val="clear" w:color="auto" w:fill="auto"/>
          </w:tcPr>
          <w:p w14:paraId="33DABC96" w14:textId="77777777" w:rsidR="004D6A64" w:rsidRDefault="004D6A64">
            <w:pPr>
              <w:rPr>
                <w:rFonts w:ascii="宋体"/>
              </w:rPr>
            </w:pPr>
          </w:p>
        </w:tc>
        <w:tc>
          <w:tcPr>
            <w:tcW w:w="5" w:type="pct"/>
            <w:shd w:val="clear" w:color="auto" w:fill="auto"/>
          </w:tcPr>
          <w:p w14:paraId="33DABC97" w14:textId="77777777" w:rsidR="004D6A64" w:rsidRDefault="004D6A64">
            <w:pPr>
              <w:rPr>
                <w:rFonts w:ascii="宋体"/>
              </w:rPr>
            </w:pPr>
          </w:p>
        </w:tc>
        <w:tc>
          <w:tcPr>
            <w:tcW w:w="19" w:type="pct"/>
            <w:shd w:val="clear" w:color="auto" w:fill="auto"/>
          </w:tcPr>
          <w:p w14:paraId="33DABC98" w14:textId="77777777" w:rsidR="004D6A64" w:rsidRDefault="004D6A64">
            <w:pPr>
              <w:rPr>
                <w:rFonts w:ascii="宋体"/>
              </w:rPr>
            </w:pPr>
          </w:p>
        </w:tc>
        <w:tc>
          <w:tcPr>
            <w:tcW w:w="5" w:type="pct"/>
            <w:shd w:val="clear" w:color="auto" w:fill="auto"/>
          </w:tcPr>
          <w:p w14:paraId="33DABC99" w14:textId="77777777" w:rsidR="004D6A64" w:rsidRDefault="004D6A64">
            <w:pPr>
              <w:rPr>
                <w:rFonts w:ascii="宋体"/>
              </w:rPr>
            </w:pPr>
          </w:p>
        </w:tc>
        <w:tc>
          <w:tcPr>
            <w:tcW w:w="50" w:type="pct"/>
            <w:shd w:val="clear" w:color="auto" w:fill="auto"/>
          </w:tcPr>
          <w:p w14:paraId="33DABC9A" w14:textId="77777777" w:rsidR="004D6A64" w:rsidRDefault="004D6A64">
            <w:pPr>
              <w:rPr>
                <w:rFonts w:ascii="宋体"/>
              </w:rPr>
            </w:pPr>
          </w:p>
        </w:tc>
        <w:tc>
          <w:tcPr>
            <w:tcW w:w="624" w:type="pct"/>
            <w:shd w:val="clear" w:color="auto" w:fill="auto"/>
          </w:tcPr>
          <w:p w14:paraId="33DABC9B" w14:textId="77777777" w:rsidR="004D6A64" w:rsidRDefault="004D6A64">
            <w:pPr>
              <w:rPr>
                <w:rFonts w:ascii="宋体"/>
              </w:rPr>
            </w:pPr>
          </w:p>
        </w:tc>
        <w:tc>
          <w:tcPr>
            <w:tcW w:w="5" w:type="pct"/>
            <w:shd w:val="clear" w:color="auto" w:fill="auto"/>
          </w:tcPr>
          <w:p w14:paraId="33DABC9C" w14:textId="77777777" w:rsidR="004D6A64" w:rsidRDefault="004D6A64">
            <w:pPr>
              <w:rPr>
                <w:rFonts w:ascii="宋体"/>
              </w:rPr>
            </w:pPr>
          </w:p>
        </w:tc>
        <w:tc>
          <w:tcPr>
            <w:tcW w:w="5" w:type="pct"/>
            <w:shd w:val="clear" w:color="auto" w:fill="auto"/>
          </w:tcPr>
          <w:p w14:paraId="33DABC9D" w14:textId="77777777" w:rsidR="004D6A64" w:rsidRDefault="004D6A64">
            <w:pPr>
              <w:rPr>
                <w:rFonts w:ascii="宋体"/>
              </w:rPr>
            </w:pPr>
          </w:p>
        </w:tc>
        <w:tc>
          <w:tcPr>
            <w:tcW w:w="19" w:type="pct"/>
            <w:shd w:val="clear" w:color="auto" w:fill="auto"/>
          </w:tcPr>
          <w:p w14:paraId="33DABC9E" w14:textId="77777777" w:rsidR="004D6A64" w:rsidRDefault="004D6A64">
            <w:pPr>
              <w:rPr>
                <w:rFonts w:ascii="宋体"/>
              </w:rPr>
            </w:pPr>
          </w:p>
        </w:tc>
        <w:tc>
          <w:tcPr>
            <w:tcW w:w="5" w:type="pct"/>
            <w:shd w:val="clear" w:color="auto" w:fill="auto"/>
          </w:tcPr>
          <w:p w14:paraId="33DABC9F" w14:textId="77777777" w:rsidR="004D6A64" w:rsidRDefault="004D6A64">
            <w:pPr>
              <w:rPr>
                <w:rFonts w:ascii="宋体"/>
              </w:rPr>
            </w:pPr>
          </w:p>
        </w:tc>
        <w:tc>
          <w:tcPr>
            <w:tcW w:w="50" w:type="pct"/>
            <w:shd w:val="clear" w:color="auto" w:fill="auto"/>
          </w:tcPr>
          <w:p w14:paraId="33DABCA0" w14:textId="77777777" w:rsidR="004D6A64" w:rsidRDefault="004D6A64">
            <w:pPr>
              <w:rPr>
                <w:rFonts w:ascii="宋体"/>
              </w:rPr>
            </w:pPr>
          </w:p>
        </w:tc>
        <w:tc>
          <w:tcPr>
            <w:tcW w:w="624" w:type="pct"/>
            <w:shd w:val="clear" w:color="auto" w:fill="auto"/>
          </w:tcPr>
          <w:p w14:paraId="33DABCA1" w14:textId="77777777" w:rsidR="004D6A64" w:rsidRDefault="004D6A64">
            <w:pPr>
              <w:rPr>
                <w:rFonts w:ascii="宋体"/>
              </w:rPr>
            </w:pPr>
          </w:p>
        </w:tc>
        <w:tc>
          <w:tcPr>
            <w:tcW w:w="5" w:type="pct"/>
            <w:shd w:val="clear" w:color="auto" w:fill="auto"/>
          </w:tcPr>
          <w:p w14:paraId="33DABCA2" w14:textId="77777777" w:rsidR="004D6A64" w:rsidRDefault="004D6A64">
            <w:pPr>
              <w:rPr>
                <w:rFonts w:ascii="宋体"/>
              </w:rPr>
            </w:pPr>
          </w:p>
        </w:tc>
        <w:tc>
          <w:tcPr>
            <w:tcW w:w="5" w:type="pct"/>
            <w:shd w:val="clear" w:color="auto" w:fill="auto"/>
          </w:tcPr>
          <w:p w14:paraId="33DABCA3" w14:textId="77777777" w:rsidR="004D6A64" w:rsidRDefault="004D6A64">
            <w:pPr>
              <w:rPr>
                <w:rFonts w:ascii="宋体"/>
              </w:rPr>
            </w:pPr>
          </w:p>
        </w:tc>
        <w:tc>
          <w:tcPr>
            <w:tcW w:w="19" w:type="pct"/>
            <w:shd w:val="clear" w:color="auto" w:fill="auto"/>
          </w:tcPr>
          <w:p w14:paraId="33DABCA4" w14:textId="77777777" w:rsidR="004D6A64" w:rsidRDefault="004D6A64">
            <w:pPr>
              <w:rPr>
                <w:rFonts w:ascii="宋体"/>
              </w:rPr>
            </w:pPr>
          </w:p>
        </w:tc>
        <w:tc>
          <w:tcPr>
            <w:tcW w:w="5" w:type="pct"/>
            <w:shd w:val="clear" w:color="auto" w:fill="auto"/>
          </w:tcPr>
          <w:p w14:paraId="33DABCA5" w14:textId="77777777" w:rsidR="004D6A64" w:rsidRDefault="004D6A64">
            <w:pPr>
              <w:rPr>
                <w:rFonts w:ascii="宋体"/>
              </w:rPr>
            </w:pPr>
          </w:p>
        </w:tc>
        <w:tc>
          <w:tcPr>
            <w:tcW w:w="50" w:type="pct"/>
            <w:shd w:val="clear" w:color="auto" w:fill="auto"/>
          </w:tcPr>
          <w:p w14:paraId="33DABCA6" w14:textId="77777777" w:rsidR="004D6A64" w:rsidRDefault="004D6A64">
            <w:pPr>
              <w:rPr>
                <w:rFonts w:ascii="宋体"/>
              </w:rPr>
            </w:pPr>
          </w:p>
        </w:tc>
        <w:tc>
          <w:tcPr>
            <w:tcW w:w="1056" w:type="pct"/>
            <w:shd w:val="clear" w:color="auto" w:fill="auto"/>
          </w:tcPr>
          <w:p w14:paraId="33DABCA7" w14:textId="77777777" w:rsidR="004D6A64" w:rsidRDefault="004D6A64">
            <w:pPr>
              <w:rPr>
                <w:rFonts w:ascii="宋体"/>
              </w:rPr>
            </w:pPr>
          </w:p>
        </w:tc>
        <w:tc>
          <w:tcPr>
            <w:tcW w:w="5" w:type="pct"/>
            <w:shd w:val="clear" w:color="auto" w:fill="auto"/>
          </w:tcPr>
          <w:p w14:paraId="33DABCA8" w14:textId="77777777" w:rsidR="004D6A64" w:rsidRDefault="004D6A64">
            <w:pPr>
              <w:rPr>
                <w:rFonts w:ascii="宋体"/>
              </w:rPr>
            </w:pPr>
          </w:p>
        </w:tc>
      </w:tr>
      <w:tr w:rsidR="004D6A64" w14:paraId="33DABCB5" w14:textId="77777777">
        <w:trPr>
          <w:gridAfter w:val="6"/>
          <w:jc w:val="center"/>
        </w:trPr>
        <w:tc>
          <w:tcPr>
            <w:tcW w:w="0" w:type="auto"/>
            <w:gridSpan w:val="3"/>
            <w:shd w:val="clear" w:color="auto" w:fill="auto"/>
            <w:tcMar>
              <w:left w:w="20" w:type="dxa"/>
              <w:right w:w="20" w:type="dxa"/>
            </w:tcMar>
            <w:vAlign w:val="bottom"/>
          </w:tcPr>
          <w:p w14:paraId="33DABCAA"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BCAB" w14:textId="77777777" w:rsidR="004D6A64" w:rsidRDefault="004D6A64">
            <w:pPr>
              <w:rPr>
                <w:rFonts w:ascii="宋体"/>
              </w:rPr>
            </w:pPr>
          </w:p>
        </w:tc>
        <w:tc>
          <w:tcPr>
            <w:tcW w:w="0" w:type="auto"/>
            <w:gridSpan w:val="9"/>
            <w:shd w:val="clear" w:color="auto" w:fill="auto"/>
            <w:tcMar>
              <w:top w:w="40" w:type="dxa"/>
              <w:left w:w="20" w:type="dxa"/>
              <w:bottom w:w="40" w:type="dxa"/>
              <w:right w:w="20" w:type="dxa"/>
            </w:tcMar>
            <w:vAlign w:val="bottom"/>
          </w:tcPr>
          <w:p w14:paraId="33DABCAC" w14:textId="77777777" w:rsidR="004D6A64" w:rsidRDefault="00506CD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Pr>
          <w:p w14:paraId="33DABCAD" w14:textId="77777777" w:rsidR="004D6A64" w:rsidRDefault="004D6A64">
            <w:pPr>
              <w:rPr>
                <w:rFonts w:ascii="宋体"/>
                <w:vanish/>
              </w:rPr>
            </w:pPr>
          </w:p>
        </w:tc>
        <w:tc>
          <w:tcPr>
            <w:tcW w:w="0" w:type="auto"/>
            <w:gridSpan w:val="3"/>
            <w:shd w:val="clear" w:color="auto" w:fill="auto"/>
          </w:tcPr>
          <w:p w14:paraId="33DABCAE"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BCAF" w14:textId="77777777" w:rsidR="004D6A64" w:rsidRDefault="004D6A64">
            <w:pPr>
              <w:rPr>
                <w:rFonts w:ascii="宋体"/>
              </w:rPr>
            </w:pPr>
          </w:p>
        </w:tc>
        <w:tc>
          <w:tcPr>
            <w:tcW w:w="0" w:type="auto"/>
            <w:gridSpan w:val="9"/>
            <w:shd w:val="clear" w:color="auto" w:fill="auto"/>
            <w:tcMar>
              <w:top w:w="40" w:type="dxa"/>
              <w:left w:w="20" w:type="dxa"/>
              <w:bottom w:w="40" w:type="dxa"/>
              <w:right w:w="20" w:type="dxa"/>
            </w:tcMar>
            <w:vAlign w:val="bottom"/>
          </w:tcPr>
          <w:p w14:paraId="33DABCB0" w14:textId="77777777" w:rsidR="004D6A64" w:rsidRDefault="00506CD6">
            <w:pPr>
              <w:jc w:val="center"/>
              <w:textAlignment w:val="bottom"/>
            </w:pPr>
            <w:r>
              <w:rPr>
                <w:rFonts w:ascii="Times New Roman" w:eastAsia="宋体" w:hAnsi="Times New Roman"/>
                <w:b/>
                <w:bCs/>
                <w:color w:val="000000"/>
                <w:sz w:val="20"/>
                <w:szCs w:val="20"/>
              </w:rPr>
              <w:t>Six Months Ended</w:t>
            </w:r>
          </w:p>
        </w:tc>
        <w:tc>
          <w:tcPr>
            <w:tcW w:w="0" w:type="auto"/>
            <w:gridSpan w:val="3"/>
            <w:shd w:val="clear" w:color="auto" w:fill="auto"/>
          </w:tcPr>
          <w:p w14:paraId="33DABCB1" w14:textId="77777777" w:rsidR="004D6A64" w:rsidRDefault="004D6A64">
            <w:pPr>
              <w:rPr>
                <w:rFonts w:ascii="宋体"/>
                <w:vanish/>
              </w:rPr>
            </w:pPr>
          </w:p>
        </w:tc>
        <w:tc>
          <w:tcPr>
            <w:tcW w:w="0" w:type="auto"/>
            <w:gridSpan w:val="3"/>
            <w:shd w:val="clear" w:color="auto" w:fill="auto"/>
          </w:tcPr>
          <w:p w14:paraId="33DABCB2"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BCB3"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BCB4" w14:textId="77777777" w:rsidR="004D6A64" w:rsidRDefault="004D6A64">
            <w:pPr>
              <w:rPr>
                <w:rFonts w:ascii="宋体"/>
              </w:rPr>
            </w:pPr>
          </w:p>
        </w:tc>
      </w:tr>
      <w:tr w:rsidR="004D6A64" w14:paraId="33DABCCD" w14:textId="77777777">
        <w:trPr>
          <w:gridAfter w:val="6"/>
          <w:jc w:val="center"/>
        </w:trPr>
        <w:tc>
          <w:tcPr>
            <w:tcW w:w="0" w:type="auto"/>
            <w:gridSpan w:val="3"/>
            <w:shd w:val="clear" w:color="auto" w:fill="auto"/>
            <w:tcMar>
              <w:left w:w="20" w:type="dxa"/>
              <w:right w:w="20" w:type="dxa"/>
            </w:tcMar>
            <w:vAlign w:val="bottom"/>
          </w:tcPr>
          <w:p w14:paraId="33DABCB6"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BCB7"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BCB8"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BCB9"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BCBA"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gridSpan w:val="3"/>
            <w:shd w:val="clear" w:color="auto" w:fill="auto"/>
            <w:tcMar>
              <w:left w:w="20" w:type="dxa"/>
              <w:right w:w="20" w:type="dxa"/>
            </w:tcMar>
            <w:vAlign w:val="bottom"/>
          </w:tcPr>
          <w:p w14:paraId="33DABCBB"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BCBC"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BCBD"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BCBE"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gridSpan w:val="3"/>
            <w:shd w:val="clear" w:color="auto" w:fill="auto"/>
            <w:tcMar>
              <w:left w:w="20" w:type="dxa"/>
              <w:right w:w="20" w:type="dxa"/>
            </w:tcMar>
            <w:vAlign w:val="bottom"/>
          </w:tcPr>
          <w:p w14:paraId="33DABCBF"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BCC0" w14:textId="77777777" w:rsidR="004D6A64" w:rsidRDefault="00506CD6">
            <w:pPr>
              <w:jc w:val="center"/>
              <w:textAlignment w:val="bottom"/>
            </w:pPr>
            <w:r>
              <w:rPr>
                <w:rFonts w:ascii="Times New Roman" w:eastAsia="宋体" w:hAnsi="Times New Roman"/>
                <w:b/>
                <w:bCs/>
                <w:color w:val="000000"/>
                <w:sz w:val="20"/>
                <w:szCs w:val="20"/>
              </w:rPr>
              <w:t xml:space="preserve">Location of Gain </w:t>
            </w:r>
            <w:r>
              <w:rPr>
                <w:rFonts w:ascii="Times New Roman" w:eastAsia="宋体" w:hAnsi="Times New Roman"/>
                <w:b/>
                <w:bCs/>
                <w:color w:val="000000"/>
                <w:sz w:val="20"/>
                <w:szCs w:val="20"/>
              </w:rPr>
              <w:t>(Loss) Recognized</w:t>
            </w:r>
          </w:p>
        </w:tc>
        <w:tc>
          <w:tcPr>
            <w:tcW w:w="0" w:type="auto"/>
            <w:shd w:val="clear" w:color="auto" w:fill="auto"/>
          </w:tcPr>
          <w:p w14:paraId="33DABCC1" w14:textId="77777777" w:rsidR="004D6A64" w:rsidRDefault="004D6A64">
            <w:pPr>
              <w:rPr>
                <w:rFonts w:ascii="宋体"/>
              </w:rPr>
            </w:pPr>
          </w:p>
        </w:tc>
        <w:tc>
          <w:tcPr>
            <w:tcW w:w="0" w:type="auto"/>
            <w:shd w:val="clear" w:color="auto" w:fill="auto"/>
          </w:tcPr>
          <w:p w14:paraId="33DABCC2" w14:textId="77777777" w:rsidR="004D6A64" w:rsidRDefault="004D6A64">
            <w:pPr>
              <w:rPr>
                <w:rFonts w:ascii="宋体"/>
              </w:rPr>
            </w:pPr>
          </w:p>
        </w:tc>
        <w:tc>
          <w:tcPr>
            <w:tcW w:w="0" w:type="auto"/>
            <w:shd w:val="clear" w:color="auto" w:fill="auto"/>
          </w:tcPr>
          <w:p w14:paraId="33DABCC3" w14:textId="77777777" w:rsidR="004D6A64" w:rsidRDefault="004D6A64">
            <w:pPr>
              <w:rPr>
                <w:rFonts w:ascii="宋体"/>
              </w:rPr>
            </w:pPr>
          </w:p>
        </w:tc>
        <w:tc>
          <w:tcPr>
            <w:tcW w:w="0" w:type="auto"/>
            <w:shd w:val="clear" w:color="auto" w:fill="auto"/>
          </w:tcPr>
          <w:p w14:paraId="33DABCC4" w14:textId="77777777" w:rsidR="004D6A64" w:rsidRDefault="004D6A64">
            <w:pPr>
              <w:rPr>
                <w:rFonts w:ascii="宋体"/>
              </w:rPr>
            </w:pPr>
          </w:p>
        </w:tc>
        <w:tc>
          <w:tcPr>
            <w:tcW w:w="0" w:type="auto"/>
            <w:shd w:val="clear" w:color="auto" w:fill="auto"/>
          </w:tcPr>
          <w:p w14:paraId="33DABCC5" w14:textId="77777777" w:rsidR="004D6A64" w:rsidRDefault="004D6A64">
            <w:pPr>
              <w:rPr>
                <w:rFonts w:ascii="宋体"/>
              </w:rPr>
            </w:pPr>
          </w:p>
        </w:tc>
        <w:tc>
          <w:tcPr>
            <w:tcW w:w="0" w:type="auto"/>
            <w:shd w:val="clear" w:color="auto" w:fill="auto"/>
          </w:tcPr>
          <w:p w14:paraId="33DABCC6" w14:textId="77777777" w:rsidR="004D6A64" w:rsidRDefault="004D6A64">
            <w:pPr>
              <w:rPr>
                <w:rFonts w:ascii="宋体"/>
              </w:rPr>
            </w:pPr>
          </w:p>
        </w:tc>
        <w:tc>
          <w:tcPr>
            <w:tcW w:w="0" w:type="auto"/>
            <w:shd w:val="clear" w:color="auto" w:fill="auto"/>
          </w:tcPr>
          <w:p w14:paraId="33DABCC7" w14:textId="77777777" w:rsidR="004D6A64" w:rsidRDefault="004D6A64">
            <w:pPr>
              <w:rPr>
                <w:rFonts w:ascii="宋体"/>
              </w:rPr>
            </w:pPr>
          </w:p>
        </w:tc>
        <w:tc>
          <w:tcPr>
            <w:tcW w:w="0" w:type="auto"/>
            <w:shd w:val="clear" w:color="auto" w:fill="auto"/>
          </w:tcPr>
          <w:p w14:paraId="33DABCC8" w14:textId="77777777" w:rsidR="004D6A64" w:rsidRDefault="004D6A64">
            <w:pPr>
              <w:rPr>
                <w:rFonts w:ascii="宋体"/>
              </w:rPr>
            </w:pPr>
          </w:p>
        </w:tc>
        <w:tc>
          <w:tcPr>
            <w:tcW w:w="0" w:type="auto"/>
            <w:shd w:val="clear" w:color="auto" w:fill="auto"/>
          </w:tcPr>
          <w:p w14:paraId="33DABCC9" w14:textId="77777777" w:rsidR="004D6A64" w:rsidRDefault="004D6A64">
            <w:pPr>
              <w:rPr>
                <w:rFonts w:ascii="宋体"/>
              </w:rPr>
            </w:pPr>
          </w:p>
        </w:tc>
        <w:tc>
          <w:tcPr>
            <w:tcW w:w="0" w:type="auto"/>
            <w:shd w:val="clear" w:color="auto" w:fill="auto"/>
          </w:tcPr>
          <w:p w14:paraId="33DABCCA" w14:textId="77777777" w:rsidR="004D6A64" w:rsidRDefault="004D6A64">
            <w:pPr>
              <w:rPr>
                <w:rFonts w:ascii="宋体"/>
              </w:rPr>
            </w:pPr>
          </w:p>
        </w:tc>
        <w:tc>
          <w:tcPr>
            <w:tcW w:w="0" w:type="auto"/>
            <w:shd w:val="clear" w:color="auto" w:fill="auto"/>
          </w:tcPr>
          <w:p w14:paraId="33DABCCB" w14:textId="77777777" w:rsidR="004D6A64" w:rsidRDefault="004D6A64">
            <w:pPr>
              <w:rPr>
                <w:rFonts w:ascii="宋体"/>
              </w:rPr>
            </w:pPr>
          </w:p>
        </w:tc>
        <w:tc>
          <w:tcPr>
            <w:tcW w:w="0" w:type="auto"/>
            <w:shd w:val="clear" w:color="auto" w:fill="auto"/>
          </w:tcPr>
          <w:p w14:paraId="33DABCCC" w14:textId="77777777" w:rsidR="004D6A64" w:rsidRDefault="004D6A64">
            <w:pPr>
              <w:rPr>
                <w:rFonts w:ascii="宋体"/>
              </w:rPr>
            </w:pPr>
          </w:p>
        </w:tc>
      </w:tr>
      <w:tr w:rsidR="004D6A64" w14:paraId="33DABCD9" w14:textId="77777777">
        <w:trPr>
          <w:jc w:val="center"/>
        </w:trPr>
        <w:tc>
          <w:tcPr>
            <w:tcW w:w="0" w:type="auto"/>
            <w:gridSpan w:val="3"/>
            <w:shd w:val="clear" w:color="auto" w:fill="auto"/>
            <w:tcMar>
              <w:left w:w="20" w:type="dxa"/>
              <w:right w:w="20" w:type="dxa"/>
            </w:tcMar>
            <w:vAlign w:val="bottom"/>
          </w:tcPr>
          <w:p w14:paraId="33DABCCE"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BCCF" w14:textId="77777777" w:rsidR="004D6A64" w:rsidRDefault="004D6A64">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33DABCD0" w14:textId="77777777" w:rsidR="004D6A64" w:rsidRDefault="00506CD6">
            <w:pPr>
              <w:jc w:val="center"/>
              <w:textAlignment w:val="bottom"/>
            </w:pPr>
            <w:r>
              <w:rPr>
                <w:rFonts w:ascii="Times New Roman" w:eastAsia="宋体" w:hAnsi="Times New Roman"/>
                <w:color w:val="000000"/>
                <w:sz w:val="20"/>
                <w:szCs w:val="20"/>
              </w:rPr>
              <w:t>(in millions)</w:t>
            </w:r>
          </w:p>
        </w:tc>
        <w:tc>
          <w:tcPr>
            <w:tcW w:w="0" w:type="auto"/>
            <w:gridSpan w:val="3"/>
            <w:shd w:val="clear" w:color="auto" w:fill="auto"/>
          </w:tcPr>
          <w:p w14:paraId="33DABCD1" w14:textId="77777777" w:rsidR="004D6A64" w:rsidRDefault="004D6A64">
            <w:pPr>
              <w:rPr>
                <w:rFonts w:ascii="宋体"/>
                <w:vanish/>
              </w:rPr>
            </w:pPr>
          </w:p>
        </w:tc>
        <w:tc>
          <w:tcPr>
            <w:tcW w:w="0" w:type="auto"/>
            <w:gridSpan w:val="3"/>
            <w:shd w:val="clear" w:color="auto" w:fill="auto"/>
          </w:tcPr>
          <w:p w14:paraId="33DABCD2" w14:textId="77777777" w:rsidR="004D6A64" w:rsidRDefault="004D6A64">
            <w:pPr>
              <w:rPr>
                <w:rFonts w:ascii="宋体"/>
                <w:vanish/>
              </w:rPr>
            </w:pPr>
          </w:p>
        </w:tc>
        <w:tc>
          <w:tcPr>
            <w:tcW w:w="0" w:type="auto"/>
            <w:gridSpan w:val="3"/>
            <w:shd w:val="clear" w:color="auto" w:fill="auto"/>
          </w:tcPr>
          <w:p w14:paraId="33DABCD3" w14:textId="77777777" w:rsidR="004D6A64" w:rsidRDefault="004D6A64">
            <w:pPr>
              <w:rPr>
                <w:rFonts w:ascii="宋体"/>
                <w:vanish/>
              </w:rPr>
            </w:pPr>
          </w:p>
        </w:tc>
        <w:tc>
          <w:tcPr>
            <w:tcW w:w="0" w:type="auto"/>
            <w:gridSpan w:val="3"/>
            <w:shd w:val="clear" w:color="auto" w:fill="auto"/>
          </w:tcPr>
          <w:p w14:paraId="33DABCD4" w14:textId="77777777" w:rsidR="004D6A64" w:rsidRDefault="004D6A64">
            <w:pPr>
              <w:rPr>
                <w:rFonts w:ascii="宋体"/>
                <w:vanish/>
              </w:rPr>
            </w:pPr>
          </w:p>
        </w:tc>
        <w:tc>
          <w:tcPr>
            <w:tcW w:w="0" w:type="auto"/>
            <w:gridSpan w:val="3"/>
            <w:shd w:val="clear" w:color="auto" w:fill="auto"/>
          </w:tcPr>
          <w:p w14:paraId="33DABCD5" w14:textId="77777777" w:rsidR="004D6A64" w:rsidRDefault="004D6A64">
            <w:pPr>
              <w:rPr>
                <w:rFonts w:ascii="宋体"/>
                <w:vanish/>
              </w:rPr>
            </w:pPr>
          </w:p>
        </w:tc>
        <w:tc>
          <w:tcPr>
            <w:tcW w:w="0" w:type="auto"/>
            <w:gridSpan w:val="3"/>
            <w:shd w:val="clear" w:color="auto" w:fill="auto"/>
          </w:tcPr>
          <w:p w14:paraId="33DABCD6"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BCD7" w14:textId="77777777" w:rsidR="004D6A64" w:rsidRDefault="004D6A64">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3DABCD8" w14:textId="77777777" w:rsidR="004D6A64" w:rsidRDefault="004D6A64">
            <w:pPr>
              <w:rPr>
                <w:rFonts w:ascii="宋体"/>
              </w:rPr>
            </w:pPr>
          </w:p>
        </w:tc>
      </w:tr>
      <w:tr w:rsidR="004D6A64" w14:paraId="33DABCF7" w14:textId="77777777">
        <w:trPr>
          <w:jc w:val="center"/>
        </w:trPr>
        <w:tc>
          <w:tcPr>
            <w:tcW w:w="0" w:type="auto"/>
            <w:gridSpan w:val="3"/>
            <w:shd w:val="clear" w:color="auto" w:fill="CCEEFF"/>
            <w:tcMar>
              <w:top w:w="40" w:type="dxa"/>
              <w:left w:w="20" w:type="dxa"/>
              <w:bottom w:w="40" w:type="dxa"/>
              <w:right w:w="20" w:type="dxa"/>
            </w:tcMar>
            <w:vAlign w:val="bottom"/>
          </w:tcPr>
          <w:p w14:paraId="33DABCDA" w14:textId="77777777" w:rsidR="004D6A64" w:rsidRDefault="00506CD6">
            <w:pPr>
              <w:textAlignment w:val="bottom"/>
            </w:pPr>
            <w:r>
              <w:rPr>
                <w:rFonts w:ascii="Times New Roman" w:eastAsia="宋体" w:hAnsi="Times New Roman"/>
                <w:i/>
                <w:iCs/>
                <w:color w:val="000000"/>
                <w:sz w:val="20"/>
                <w:szCs w:val="20"/>
              </w:rPr>
              <w:t>Gain (Loss) Recognized:</w:t>
            </w:r>
          </w:p>
        </w:tc>
        <w:tc>
          <w:tcPr>
            <w:tcW w:w="0" w:type="auto"/>
            <w:gridSpan w:val="3"/>
            <w:shd w:val="clear" w:color="auto" w:fill="CCEEFF"/>
            <w:tcMar>
              <w:left w:w="20" w:type="dxa"/>
              <w:right w:w="20" w:type="dxa"/>
            </w:tcMar>
            <w:vAlign w:val="bottom"/>
          </w:tcPr>
          <w:p w14:paraId="33DABCDB"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CD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CD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CDE"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CDF"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CE0"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CE1"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CE2"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CE3"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CE4" w14:textId="77777777" w:rsidR="004D6A64" w:rsidRDefault="004D6A64">
            <w:pPr>
              <w:rPr>
                <w:rFonts w:ascii="宋体"/>
              </w:rPr>
            </w:pPr>
          </w:p>
        </w:tc>
        <w:tc>
          <w:tcPr>
            <w:tcW w:w="0" w:type="auto"/>
            <w:shd w:val="clear" w:color="auto" w:fill="auto"/>
          </w:tcPr>
          <w:p w14:paraId="33DABCE5" w14:textId="77777777" w:rsidR="004D6A64" w:rsidRDefault="004D6A64">
            <w:pPr>
              <w:rPr>
                <w:rFonts w:ascii="宋体"/>
              </w:rPr>
            </w:pPr>
          </w:p>
        </w:tc>
        <w:tc>
          <w:tcPr>
            <w:tcW w:w="0" w:type="auto"/>
            <w:shd w:val="clear" w:color="auto" w:fill="auto"/>
          </w:tcPr>
          <w:p w14:paraId="33DABCE6" w14:textId="77777777" w:rsidR="004D6A64" w:rsidRDefault="004D6A64">
            <w:pPr>
              <w:rPr>
                <w:rFonts w:ascii="宋体"/>
              </w:rPr>
            </w:pPr>
          </w:p>
        </w:tc>
        <w:tc>
          <w:tcPr>
            <w:tcW w:w="0" w:type="auto"/>
            <w:shd w:val="clear" w:color="auto" w:fill="auto"/>
          </w:tcPr>
          <w:p w14:paraId="33DABCE7" w14:textId="77777777" w:rsidR="004D6A64" w:rsidRDefault="004D6A64">
            <w:pPr>
              <w:rPr>
                <w:rFonts w:ascii="宋体"/>
              </w:rPr>
            </w:pPr>
          </w:p>
        </w:tc>
        <w:tc>
          <w:tcPr>
            <w:tcW w:w="0" w:type="auto"/>
            <w:shd w:val="clear" w:color="auto" w:fill="auto"/>
          </w:tcPr>
          <w:p w14:paraId="33DABCE8" w14:textId="77777777" w:rsidR="004D6A64" w:rsidRDefault="004D6A64">
            <w:pPr>
              <w:rPr>
                <w:rFonts w:ascii="宋体"/>
              </w:rPr>
            </w:pPr>
          </w:p>
        </w:tc>
        <w:tc>
          <w:tcPr>
            <w:tcW w:w="0" w:type="auto"/>
            <w:shd w:val="clear" w:color="auto" w:fill="auto"/>
          </w:tcPr>
          <w:p w14:paraId="33DABCE9" w14:textId="77777777" w:rsidR="004D6A64" w:rsidRDefault="004D6A64">
            <w:pPr>
              <w:rPr>
                <w:rFonts w:ascii="宋体"/>
              </w:rPr>
            </w:pPr>
          </w:p>
        </w:tc>
        <w:tc>
          <w:tcPr>
            <w:tcW w:w="0" w:type="auto"/>
            <w:shd w:val="clear" w:color="auto" w:fill="auto"/>
          </w:tcPr>
          <w:p w14:paraId="33DABCEA" w14:textId="77777777" w:rsidR="004D6A64" w:rsidRDefault="004D6A64">
            <w:pPr>
              <w:rPr>
                <w:rFonts w:ascii="宋体"/>
              </w:rPr>
            </w:pPr>
          </w:p>
        </w:tc>
        <w:tc>
          <w:tcPr>
            <w:tcW w:w="0" w:type="auto"/>
            <w:shd w:val="clear" w:color="auto" w:fill="auto"/>
          </w:tcPr>
          <w:p w14:paraId="33DABCEB" w14:textId="77777777" w:rsidR="004D6A64" w:rsidRDefault="004D6A64">
            <w:pPr>
              <w:rPr>
                <w:rFonts w:ascii="宋体"/>
              </w:rPr>
            </w:pPr>
          </w:p>
        </w:tc>
        <w:tc>
          <w:tcPr>
            <w:tcW w:w="0" w:type="auto"/>
            <w:shd w:val="clear" w:color="auto" w:fill="auto"/>
          </w:tcPr>
          <w:p w14:paraId="33DABCEC" w14:textId="77777777" w:rsidR="004D6A64" w:rsidRDefault="004D6A64">
            <w:pPr>
              <w:rPr>
                <w:rFonts w:ascii="宋体"/>
              </w:rPr>
            </w:pPr>
          </w:p>
        </w:tc>
        <w:tc>
          <w:tcPr>
            <w:tcW w:w="0" w:type="auto"/>
            <w:shd w:val="clear" w:color="auto" w:fill="auto"/>
          </w:tcPr>
          <w:p w14:paraId="33DABCED" w14:textId="77777777" w:rsidR="004D6A64" w:rsidRDefault="004D6A64">
            <w:pPr>
              <w:rPr>
                <w:rFonts w:ascii="宋体"/>
              </w:rPr>
            </w:pPr>
          </w:p>
        </w:tc>
        <w:tc>
          <w:tcPr>
            <w:tcW w:w="0" w:type="auto"/>
            <w:shd w:val="clear" w:color="auto" w:fill="auto"/>
          </w:tcPr>
          <w:p w14:paraId="33DABCEE" w14:textId="77777777" w:rsidR="004D6A64" w:rsidRDefault="004D6A64">
            <w:pPr>
              <w:rPr>
                <w:rFonts w:ascii="宋体"/>
              </w:rPr>
            </w:pPr>
          </w:p>
        </w:tc>
        <w:tc>
          <w:tcPr>
            <w:tcW w:w="0" w:type="auto"/>
            <w:shd w:val="clear" w:color="auto" w:fill="auto"/>
          </w:tcPr>
          <w:p w14:paraId="33DABCEF" w14:textId="77777777" w:rsidR="004D6A64" w:rsidRDefault="004D6A64">
            <w:pPr>
              <w:rPr>
                <w:rFonts w:ascii="宋体"/>
              </w:rPr>
            </w:pPr>
          </w:p>
        </w:tc>
        <w:tc>
          <w:tcPr>
            <w:tcW w:w="0" w:type="auto"/>
            <w:shd w:val="clear" w:color="auto" w:fill="auto"/>
          </w:tcPr>
          <w:p w14:paraId="33DABCF0" w14:textId="77777777" w:rsidR="004D6A64" w:rsidRDefault="004D6A64">
            <w:pPr>
              <w:rPr>
                <w:rFonts w:ascii="宋体"/>
              </w:rPr>
            </w:pPr>
          </w:p>
        </w:tc>
        <w:tc>
          <w:tcPr>
            <w:tcW w:w="0" w:type="auto"/>
            <w:shd w:val="clear" w:color="auto" w:fill="auto"/>
          </w:tcPr>
          <w:p w14:paraId="33DABCF1" w14:textId="77777777" w:rsidR="004D6A64" w:rsidRDefault="004D6A64">
            <w:pPr>
              <w:rPr>
                <w:rFonts w:ascii="宋体"/>
              </w:rPr>
            </w:pPr>
          </w:p>
        </w:tc>
        <w:tc>
          <w:tcPr>
            <w:tcW w:w="0" w:type="auto"/>
            <w:shd w:val="clear" w:color="auto" w:fill="auto"/>
          </w:tcPr>
          <w:p w14:paraId="33DABCF2" w14:textId="77777777" w:rsidR="004D6A64" w:rsidRDefault="004D6A64">
            <w:pPr>
              <w:rPr>
                <w:rFonts w:ascii="宋体"/>
              </w:rPr>
            </w:pPr>
          </w:p>
        </w:tc>
        <w:tc>
          <w:tcPr>
            <w:tcW w:w="0" w:type="auto"/>
            <w:shd w:val="clear" w:color="auto" w:fill="auto"/>
          </w:tcPr>
          <w:p w14:paraId="33DABCF3" w14:textId="77777777" w:rsidR="004D6A64" w:rsidRDefault="004D6A64">
            <w:pPr>
              <w:rPr>
                <w:rFonts w:ascii="宋体"/>
              </w:rPr>
            </w:pPr>
          </w:p>
        </w:tc>
        <w:tc>
          <w:tcPr>
            <w:tcW w:w="0" w:type="auto"/>
            <w:shd w:val="clear" w:color="auto" w:fill="auto"/>
          </w:tcPr>
          <w:p w14:paraId="33DABCF4" w14:textId="77777777" w:rsidR="004D6A64" w:rsidRDefault="004D6A64">
            <w:pPr>
              <w:rPr>
                <w:rFonts w:ascii="宋体"/>
              </w:rPr>
            </w:pPr>
          </w:p>
        </w:tc>
        <w:tc>
          <w:tcPr>
            <w:tcW w:w="0" w:type="auto"/>
            <w:shd w:val="clear" w:color="auto" w:fill="auto"/>
          </w:tcPr>
          <w:p w14:paraId="33DABCF5" w14:textId="77777777" w:rsidR="004D6A64" w:rsidRDefault="004D6A64">
            <w:pPr>
              <w:rPr>
                <w:rFonts w:ascii="宋体"/>
              </w:rPr>
            </w:pPr>
          </w:p>
        </w:tc>
        <w:tc>
          <w:tcPr>
            <w:tcW w:w="0" w:type="auto"/>
            <w:shd w:val="clear" w:color="auto" w:fill="auto"/>
          </w:tcPr>
          <w:p w14:paraId="33DABCF6" w14:textId="77777777" w:rsidR="004D6A64" w:rsidRDefault="004D6A64">
            <w:pPr>
              <w:rPr>
                <w:rFonts w:ascii="宋体"/>
              </w:rPr>
            </w:pPr>
          </w:p>
        </w:tc>
      </w:tr>
      <w:tr w:rsidR="004D6A64" w14:paraId="33DABD1D" w14:textId="77777777">
        <w:trPr>
          <w:jc w:val="center"/>
        </w:trPr>
        <w:tc>
          <w:tcPr>
            <w:tcW w:w="0" w:type="auto"/>
            <w:gridSpan w:val="3"/>
            <w:shd w:val="clear" w:color="auto" w:fill="FFFFFF"/>
            <w:tcMar>
              <w:top w:w="40" w:type="dxa"/>
              <w:left w:w="20" w:type="dxa"/>
              <w:bottom w:w="40" w:type="dxa"/>
              <w:right w:w="20" w:type="dxa"/>
            </w:tcMar>
            <w:vAlign w:val="bottom"/>
          </w:tcPr>
          <w:p w14:paraId="33DABCF8" w14:textId="77777777" w:rsidR="004D6A64" w:rsidRDefault="00506CD6">
            <w:pPr>
              <w:textAlignment w:val="bottom"/>
            </w:pPr>
            <w:r>
              <w:rPr>
                <w:rFonts w:ascii="Times New Roman" w:eastAsia="宋体" w:hAnsi="Times New Roman"/>
                <w:color w:val="000000"/>
                <w:sz w:val="20"/>
                <w:szCs w:val="20"/>
              </w:rPr>
              <w:t>Foreign exchange contracts</w:t>
            </w:r>
          </w:p>
        </w:tc>
        <w:tc>
          <w:tcPr>
            <w:tcW w:w="0" w:type="auto"/>
            <w:gridSpan w:val="3"/>
            <w:shd w:val="clear" w:color="auto" w:fill="FFFFFF"/>
            <w:tcMar>
              <w:left w:w="20" w:type="dxa"/>
              <w:right w:w="20" w:type="dxa"/>
            </w:tcMar>
            <w:vAlign w:val="bottom"/>
          </w:tcPr>
          <w:p w14:paraId="33DABCF9"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BCFA"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BCFB" w14:textId="77777777" w:rsidR="004D6A64" w:rsidRDefault="00506CD6">
            <w:pPr>
              <w:jc w:val="right"/>
              <w:textAlignment w:val="bottom"/>
            </w:pPr>
            <w:r>
              <w:rPr>
                <w:rFonts w:ascii="Times New Roman" w:eastAsia="宋体" w:hAnsi="Times New Roman"/>
                <w:color w:val="000000"/>
                <w:sz w:val="20"/>
                <w:szCs w:val="20"/>
              </w:rPr>
              <w:t>162 </w:t>
            </w:r>
          </w:p>
        </w:tc>
        <w:tc>
          <w:tcPr>
            <w:tcW w:w="0" w:type="auto"/>
            <w:shd w:val="clear" w:color="auto" w:fill="FFFFFF"/>
            <w:tcMar>
              <w:top w:w="40" w:type="dxa"/>
              <w:bottom w:w="40" w:type="dxa"/>
              <w:right w:w="20" w:type="dxa"/>
            </w:tcMar>
            <w:vAlign w:val="bottom"/>
          </w:tcPr>
          <w:p w14:paraId="33DABCF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CFD"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BCFE"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BCFF" w14:textId="77777777" w:rsidR="004D6A64" w:rsidRDefault="00506CD6">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bottom w:w="40" w:type="dxa"/>
              <w:right w:w="20" w:type="dxa"/>
            </w:tcMar>
            <w:vAlign w:val="bottom"/>
          </w:tcPr>
          <w:p w14:paraId="33DABD0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D01"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BD02"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BD03" w14:textId="77777777" w:rsidR="004D6A64" w:rsidRDefault="00506CD6">
            <w:pPr>
              <w:jc w:val="right"/>
              <w:textAlignment w:val="bottom"/>
            </w:pPr>
            <w:r>
              <w:rPr>
                <w:rFonts w:ascii="Times New Roman" w:eastAsia="宋体" w:hAnsi="Times New Roman"/>
                <w:color w:val="000000"/>
                <w:sz w:val="20"/>
                <w:szCs w:val="20"/>
              </w:rPr>
              <w:t>214 </w:t>
            </w:r>
          </w:p>
        </w:tc>
        <w:tc>
          <w:tcPr>
            <w:tcW w:w="0" w:type="auto"/>
            <w:shd w:val="clear" w:color="auto" w:fill="FFFFFF"/>
            <w:tcMar>
              <w:top w:w="40" w:type="dxa"/>
              <w:bottom w:w="40" w:type="dxa"/>
              <w:right w:w="20" w:type="dxa"/>
            </w:tcMar>
            <w:vAlign w:val="bottom"/>
          </w:tcPr>
          <w:p w14:paraId="33DABD0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D05"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BD06"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BD07" w14:textId="77777777" w:rsidR="004D6A64" w:rsidRDefault="00506CD6">
            <w:pPr>
              <w:jc w:val="right"/>
              <w:textAlignment w:val="bottom"/>
            </w:pPr>
            <w:r>
              <w:rPr>
                <w:rFonts w:ascii="Times New Roman" w:eastAsia="宋体" w:hAnsi="Times New Roman"/>
                <w:color w:val="000000"/>
                <w:sz w:val="20"/>
                <w:szCs w:val="20"/>
              </w:rPr>
              <w:t>(59)</w:t>
            </w:r>
          </w:p>
        </w:tc>
        <w:tc>
          <w:tcPr>
            <w:tcW w:w="0" w:type="auto"/>
            <w:shd w:val="clear" w:color="auto" w:fill="FFFFFF"/>
            <w:tcMar>
              <w:top w:w="40" w:type="dxa"/>
              <w:bottom w:w="40" w:type="dxa"/>
              <w:right w:w="20" w:type="dxa"/>
            </w:tcMar>
            <w:vAlign w:val="bottom"/>
          </w:tcPr>
          <w:p w14:paraId="33DABD0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D09" w14:textId="77777777" w:rsidR="004D6A64" w:rsidRDefault="004D6A64">
            <w:pPr>
              <w:rPr>
                <w:rFonts w:ascii="宋体"/>
              </w:rPr>
            </w:pPr>
          </w:p>
        </w:tc>
        <w:tc>
          <w:tcPr>
            <w:tcW w:w="0" w:type="auto"/>
            <w:gridSpan w:val="3"/>
            <w:shd w:val="clear" w:color="auto" w:fill="FFFFFF"/>
            <w:tcMar>
              <w:top w:w="40" w:type="dxa"/>
              <w:left w:w="20" w:type="dxa"/>
              <w:bottom w:w="40" w:type="dxa"/>
              <w:right w:w="20" w:type="dxa"/>
            </w:tcMar>
            <w:vAlign w:val="bottom"/>
          </w:tcPr>
          <w:p w14:paraId="33DABD0A" w14:textId="77777777" w:rsidR="004D6A64" w:rsidRDefault="00506CD6">
            <w:pPr>
              <w:textAlignment w:val="bottom"/>
            </w:pPr>
            <w:r>
              <w:rPr>
                <w:rFonts w:ascii="Times New Roman" w:eastAsia="宋体" w:hAnsi="Times New Roman"/>
                <w:color w:val="000000"/>
                <w:sz w:val="20"/>
                <w:szCs w:val="20"/>
              </w:rPr>
              <w:t>Interest and other, net</w:t>
            </w:r>
          </w:p>
        </w:tc>
        <w:tc>
          <w:tcPr>
            <w:tcW w:w="0" w:type="auto"/>
            <w:shd w:val="clear" w:color="auto" w:fill="auto"/>
          </w:tcPr>
          <w:p w14:paraId="33DABD0B" w14:textId="77777777" w:rsidR="004D6A64" w:rsidRDefault="004D6A64">
            <w:pPr>
              <w:rPr>
                <w:rFonts w:ascii="宋体"/>
              </w:rPr>
            </w:pPr>
          </w:p>
        </w:tc>
        <w:tc>
          <w:tcPr>
            <w:tcW w:w="0" w:type="auto"/>
            <w:shd w:val="clear" w:color="auto" w:fill="auto"/>
          </w:tcPr>
          <w:p w14:paraId="33DABD0C" w14:textId="77777777" w:rsidR="004D6A64" w:rsidRDefault="004D6A64">
            <w:pPr>
              <w:rPr>
                <w:rFonts w:ascii="宋体"/>
              </w:rPr>
            </w:pPr>
          </w:p>
        </w:tc>
        <w:tc>
          <w:tcPr>
            <w:tcW w:w="0" w:type="auto"/>
            <w:shd w:val="clear" w:color="auto" w:fill="auto"/>
          </w:tcPr>
          <w:p w14:paraId="33DABD0D" w14:textId="77777777" w:rsidR="004D6A64" w:rsidRDefault="004D6A64">
            <w:pPr>
              <w:rPr>
                <w:rFonts w:ascii="宋体"/>
              </w:rPr>
            </w:pPr>
          </w:p>
        </w:tc>
        <w:tc>
          <w:tcPr>
            <w:tcW w:w="0" w:type="auto"/>
            <w:shd w:val="clear" w:color="auto" w:fill="auto"/>
          </w:tcPr>
          <w:p w14:paraId="33DABD0E" w14:textId="77777777" w:rsidR="004D6A64" w:rsidRDefault="004D6A64">
            <w:pPr>
              <w:rPr>
                <w:rFonts w:ascii="宋体"/>
              </w:rPr>
            </w:pPr>
          </w:p>
        </w:tc>
        <w:tc>
          <w:tcPr>
            <w:tcW w:w="0" w:type="auto"/>
            <w:shd w:val="clear" w:color="auto" w:fill="auto"/>
          </w:tcPr>
          <w:p w14:paraId="33DABD0F" w14:textId="77777777" w:rsidR="004D6A64" w:rsidRDefault="004D6A64">
            <w:pPr>
              <w:rPr>
                <w:rFonts w:ascii="宋体"/>
              </w:rPr>
            </w:pPr>
          </w:p>
        </w:tc>
        <w:tc>
          <w:tcPr>
            <w:tcW w:w="0" w:type="auto"/>
            <w:shd w:val="clear" w:color="auto" w:fill="auto"/>
          </w:tcPr>
          <w:p w14:paraId="33DABD10" w14:textId="77777777" w:rsidR="004D6A64" w:rsidRDefault="004D6A64">
            <w:pPr>
              <w:rPr>
                <w:rFonts w:ascii="宋体"/>
              </w:rPr>
            </w:pPr>
          </w:p>
        </w:tc>
        <w:tc>
          <w:tcPr>
            <w:tcW w:w="0" w:type="auto"/>
            <w:shd w:val="clear" w:color="auto" w:fill="auto"/>
          </w:tcPr>
          <w:p w14:paraId="33DABD11" w14:textId="77777777" w:rsidR="004D6A64" w:rsidRDefault="004D6A64">
            <w:pPr>
              <w:rPr>
                <w:rFonts w:ascii="宋体"/>
              </w:rPr>
            </w:pPr>
          </w:p>
        </w:tc>
        <w:tc>
          <w:tcPr>
            <w:tcW w:w="0" w:type="auto"/>
            <w:shd w:val="clear" w:color="auto" w:fill="auto"/>
          </w:tcPr>
          <w:p w14:paraId="33DABD12" w14:textId="77777777" w:rsidR="004D6A64" w:rsidRDefault="004D6A64">
            <w:pPr>
              <w:rPr>
                <w:rFonts w:ascii="宋体"/>
              </w:rPr>
            </w:pPr>
          </w:p>
        </w:tc>
        <w:tc>
          <w:tcPr>
            <w:tcW w:w="0" w:type="auto"/>
            <w:shd w:val="clear" w:color="auto" w:fill="auto"/>
          </w:tcPr>
          <w:p w14:paraId="33DABD13" w14:textId="77777777" w:rsidR="004D6A64" w:rsidRDefault="004D6A64">
            <w:pPr>
              <w:rPr>
                <w:rFonts w:ascii="宋体"/>
              </w:rPr>
            </w:pPr>
          </w:p>
        </w:tc>
        <w:tc>
          <w:tcPr>
            <w:tcW w:w="0" w:type="auto"/>
            <w:shd w:val="clear" w:color="auto" w:fill="auto"/>
          </w:tcPr>
          <w:p w14:paraId="33DABD14" w14:textId="77777777" w:rsidR="004D6A64" w:rsidRDefault="004D6A64">
            <w:pPr>
              <w:rPr>
                <w:rFonts w:ascii="宋体"/>
              </w:rPr>
            </w:pPr>
          </w:p>
        </w:tc>
        <w:tc>
          <w:tcPr>
            <w:tcW w:w="0" w:type="auto"/>
            <w:shd w:val="clear" w:color="auto" w:fill="auto"/>
          </w:tcPr>
          <w:p w14:paraId="33DABD15" w14:textId="77777777" w:rsidR="004D6A64" w:rsidRDefault="004D6A64">
            <w:pPr>
              <w:rPr>
                <w:rFonts w:ascii="宋体"/>
              </w:rPr>
            </w:pPr>
          </w:p>
        </w:tc>
        <w:tc>
          <w:tcPr>
            <w:tcW w:w="0" w:type="auto"/>
            <w:shd w:val="clear" w:color="auto" w:fill="auto"/>
          </w:tcPr>
          <w:p w14:paraId="33DABD16" w14:textId="77777777" w:rsidR="004D6A64" w:rsidRDefault="004D6A64">
            <w:pPr>
              <w:rPr>
                <w:rFonts w:ascii="宋体"/>
              </w:rPr>
            </w:pPr>
          </w:p>
        </w:tc>
        <w:tc>
          <w:tcPr>
            <w:tcW w:w="0" w:type="auto"/>
            <w:shd w:val="clear" w:color="auto" w:fill="auto"/>
          </w:tcPr>
          <w:p w14:paraId="33DABD17" w14:textId="77777777" w:rsidR="004D6A64" w:rsidRDefault="004D6A64">
            <w:pPr>
              <w:rPr>
                <w:rFonts w:ascii="宋体"/>
              </w:rPr>
            </w:pPr>
          </w:p>
        </w:tc>
        <w:tc>
          <w:tcPr>
            <w:tcW w:w="0" w:type="auto"/>
            <w:shd w:val="clear" w:color="auto" w:fill="auto"/>
          </w:tcPr>
          <w:p w14:paraId="33DABD18" w14:textId="77777777" w:rsidR="004D6A64" w:rsidRDefault="004D6A64">
            <w:pPr>
              <w:rPr>
                <w:rFonts w:ascii="宋体"/>
              </w:rPr>
            </w:pPr>
          </w:p>
        </w:tc>
        <w:tc>
          <w:tcPr>
            <w:tcW w:w="0" w:type="auto"/>
            <w:shd w:val="clear" w:color="auto" w:fill="auto"/>
          </w:tcPr>
          <w:p w14:paraId="33DABD19" w14:textId="77777777" w:rsidR="004D6A64" w:rsidRDefault="004D6A64">
            <w:pPr>
              <w:rPr>
                <w:rFonts w:ascii="宋体"/>
              </w:rPr>
            </w:pPr>
          </w:p>
        </w:tc>
        <w:tc>
          <w:tcPr>
            <w:tcW w:w="0" w:type="auto"/>
            <w:shd w:val="clear" w:color="auto" w:fill="auto"/>
          </w:tcPr>
          <w:p w14:paraId="33DABD1A" w14:textId="77777777" w:rsidR="004D6A64" w:rsidRDefault="004D6A64">
            <w:pPr>
              <w:rPr>
                <w:rFonts w:ascii="宋体"/>
              </w:rPr>
            </w:pPr>
          </w:p>
        </w:tc>
        <w:tc>
          <w:tcPr>
            <w:tcW w:w="0" w:type="auto"/>
            <w:shd w:val="clear" w:color="auto" w:fill="auto"/>
          </w:tcPr>
          <w:p w14:paraId="33DABD1B" w14:textId="77777777" w:rsidR="004D6A64" w:rsidRDefault="004D6A64">
            <w:pPr>
              <w:rPr>
                <w:rFonts w:ascii="宋体"/>
              </w:rPr>
            </w:pPr>
          </w:p>
        </w:tc>
        <w:tc>
          <w:tcPr>
            <w:tcW w:w="0" w:type="auto"/>
            <w:shd w:val="clear" w:color="auto" w:fill="auto"/>
          </w:tcPr>
          <w:p w14:paraId="33DABD1C" w14:textId="77777777" w:rsidR="004D6A64" w:rsidRDefault="004D6A64">
            <w:pPr>
              <w:rPr>
                <w:rFonts w:ascii="宋体"/>
              </w:rPr>
            </w:pPr>
          </w:p>
        </w:tc>
      </w:tr>
      <w:tr w:rsidR="004D6A64" w14:paraId="33DABD3F" w14:textId="77777777">
        <w:trPr>
          <w:jc w:val="center"/>
        </w:trPr>
        <w:tc>
          <w:tcPr>
            <w:tcW w:w="0" w:type="auto"/>
            <w:gridSpan w:val="3"/>
            <w:shd w:val="clear" w:color="auto" w:fill="CCEEFF"/>
            <w:tcMar>
              <w:top w:w="40" w:type="dxa"/>
              <w:left w:w="20" w:type="dxa"/>
              <w:bottom w:w="40" w:type="dxa"/>
              <w:right w:w="20" w:type="dxa"/>
            </w:tcMar>
            <w:vAlign w:val="bottom"/>
          </w:tcPr>
          <w:p w14:paraId="33DABD1E" w14:textId="77777777" w:rsidR="004D6A64" w:rsidRDefault="00506CD6">
            <w:pPr>
              <w:textAlignment w:val="bottom"/>
            </w:pPr>
            <w:r>
              <w:rPr>
                <w:rFonts w:ascii="Times New Roman" w:eastAsia="宋体" w:hAnsi="Times New Roman"/>
                <w:color w:val="000000"/>
                <w:sz w:val="20"/>
                <w:szCs w:val="20"/>
              </w:rPr>
              <w:t>Interest rate contracts</w:t>
            </w:r>
          </w:p>
        </w:tc>
        <w:tc>
          <w:tcPr>
            <w:tcW w:w="0" w:type="auto"/>
            <w:gridSpan w:val="3"/>
            <w:shd w:val="clear" w:color="auto" w:fill="CCEEFF"/>
            <w:tcMar>
              <w:left w:w="20" w:type="dxa"/>
              <w:right w:w="20" w:type="dxa"/>
            </w:tcMar>
            <w:vAlign w:val="bottom"/>
          </w:tcPr>
          <w:p w14:paraId="33DABD1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BD20" w14:textId="77777777" w:rsidR="004D6A64" w:rsidRDefault="00506CD6">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bottom w:w="40" w:type="dxa"/>
              <w:right w:w="20" w:type="dxa"/>
            </w:tcMar>
            <w:vAlign w:val="bottom"/>
          </w:tcPr>
          <w:p w14:paraId="33DABD2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D2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BD23" w14:textId="77777777" w:rsidR="004D6A64" w:rsidRDefault="00506CD6">
            <w:pPr>
              <w:jc w:val="right"/>
              <w:textAlignment w:val="bottom"/>
            </w:pPr>
            <w:r>
              <w:rPr>
                <w:rFonts w:ascii="Times New Roman" w:eastAsia="宋体" w:hAnsi="Times New Roman"/>
                <w:color w:val="000000"/>
                <w:sz w:val="20"/>
                <w:szCs w:val="20"/>
              </w:rPr>
              <w:t>(15)</w:t>
            </w:r>
          </w:p>
        </w:tc>
        <w:tc>
          <w:tcPr>
            <w:tcW w:w="0" w:type="auto"/>
            <w:shd w:val="clear" w:color="auto" w:fill="CCEEFF"/>
            <w:tcMar>
              <w:top w:w="40" w:type="dxa"/>
              <w:bottom w:w="40" w:type="dxa"/>
              <w:right w:w="20" w:type="dxa"/>
            </w:tcMar>
            <w:vAlign w:val="bottom"/>
          </w:tcPr>
          <w:p w14:paraId="33DABD2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D2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BD26" w14:textId="77777777" w:rsidR="004D6A64" w:rsidRDefault="00506CD6">
            <w:pPr>
              <w:jc w:val="right"/>
              <w:textAlignment w:val="bottom"/>
            </w:pPr>
            <w:r>
              <w:rPr>
                <w:rFonts w:ascii="Times New Roman" w:eastAsia="宋体" w:hAnsi="Times New Roman"/>
                <w:color w:val="000000"/>
                <w:sz w:val="20"/>
                <w:szCs w:val="20"/>
              </w:rPr>
              <w:t>(44)</w:t>
            </w:r>
          </w:p>
        </w:tc>
        <w:tc>
          <w:tcPr>
            <w:tcW w:w="0" w:type="auto"/>
            <w:shd w:val="clear" w:color="auto" w:fill="CCEEFF"/>
            <w:tcMar>
              <w:top w:w="40" w:type="dxa"/>
              <w:bottom w:w="40" w:type="dxa"/>
              <w:right w:w="20" w:type="dxa"/>
            </w:tcMar>
            <w:vAlign w:val="bottom"/>
          </w:tcPr>
          <w:p w14:paraId="33DABD2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D28"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BD29" w14:textId="77777777" w:rsidR="004D6A64" w:rsidRDefault="00506CD6">
            <w:pPr>
              <w:jc w:val="right"/>
              <w:textAlignment w:val="bottom"/>
            </w:pPr>
            <w:r>
              <w:rPr>
                <w:rFonts w:ascii="Times New Roman" w:eastAsia="宋体" w:hAnsi="Times New Roman"/>
                <w:color w:val="000000"/>
                <w:sz w:val="20"/>
                <w:szCs w:val="20"/>
              </w:rPr>
              <w:t>(22)</w:t>
            </w:r>
          </w:p>
        </w:tc>
        <w:tc>
          <w:tcPr>
            <w:tcW w:w="0" w:type="auto"/>
            <w:shd w:val="clear" w:color="auto" w:fill="CCEEFF"/>
            <w:tcMar>
              <w:top w:w="40" w:type="dxa"/>
              <w:bottom w:w="40" w:type="dxa"/>
              <w:right w:w="20" w:type="dxa"/>
            </w:tcMar>
            <w:vAlign w:val="bottom"/>
          </w:tcPr>
          <w:p w14:paraId="33DABD2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D2B" w14:textId="77777777" w:rsidR="004D6A64" w:rsidRDefault="004D6A64">
            <w:pPr>
              <w:rPr>
                <w:rFonts w:ascii="宋体"/>
              </w:rPr>
            </w:pPr>
          </w:p>
        </w:tc>
        <w:tc>
          <w:tcPr>
            <w:tcW w:w="0" w:type="auto"/>
            <w:gridSpan w:val="3"/>
            <w:shd w:val="clear" w:color="auto" w:fill="CCEEFF"/>
            <w:tcMar>
              <w:top w:w="40" w:type="dxa"/>
              <w:left w:w="20" w:type="dxa"/>
              <w:bottom w:w="40" w:type="dxa"/>
              <w:right w:w="20" w:type="dxa"/>
            </w:tcMar>
            <w:vAlign w:val="bottom"/>
          </w:tcPr>
          <w:p w14:paraId="33DABD2C" w14:textId="77777777" w:rsidR="004D6A64" w:rsidRDefault="00506CD6">
            <w:pPr>
              <w:textAlignment w:val="bottom"/>
            </w:pPr>
            <w:r>
              <w:rPr>
                <w:rFonts w:ascii="Times New Roman" w:eastAsia="宋体" w:hAnsi="Times New Roman"/>
                <w:color w:val="000000"/>
                <w:sz w:val="20"/>
                <w:szCs w:val="20"/>
              </w:rPr>
              <w:t>Interest and other, net</w:t>
            </w:r>
          </w:p>
        </w:tc>
        <w:tc>
          <w:tcPr>
            <w:tcW w:w="0" w:type="auto"/>
            <w:shd w:val="clear" w:color="auto" w:fill="auto"/>
          </w:tcPr>
          <w:p w14:paraId="33DABD2D" w14:textId="77777777" w:rsidR="004D6A64" w:rsidRDefault="004D6A64">
            <w:pPr>
              <w:rPr>
                <w:rFonts w:ascii="宋体"/>
              </w:rPr>
            </w:pPr>
          </w:p>
        </w:tc>
        <w:tc>
          <w:tcPr>
            <w:tcW w:w="0" w:type="auto"/>
            <w:shd w:val="clear" w:color="auto" w:fill="auto"/>
          </w:tcPr>
          <w:p w14:paraId="33DABD2E" w14:textId="77777777" w:rsidR="004D6A64" w:rsidRDefault="004D6A64">
            <w:pPr>
              <w:rPr>
                <w:rFonts w:ascii="宋体"/>
              </w:rPr>
            </w:pPr>
          </w:p>
        </w:tc>
        <w:tc>
          <w:tcPr>
            <w:tcW w:w="0" w:type="auto"/>
            <w:shd w:val="clear" w:color="auto" w:fill="auto"/>
          </w:tcPr>
          <w:p w14:paraId="33DABD2F" w14:textId="77777777" w:rsidR="004D6A64" w:rsidRDefault="004D6A64">
            <w:pPr>
              <w:rPr>
                <w:rFonts w:ascii="宋体"/>
              </w:rPr>
            </w:pPr>
          </w:p>
        </w:tc>
        <w:tc>
          <w:tcPr>
            <w:tcW w:w="0" w:type="auto"/>
            <w:shd w:val="clear" w:color="auto" w:fill="auto"/>
          </w:tcPr>
          <w:p w14:paraId="33DABD30" w14:textId="77777777" w:rsidR="004D6A64" w:rsidRDefault="004D6A64">
            <w:pPr>
              <w:rPr>
                <w:rFonts w:ascii="宋体"/>
              </w:rPr>
            </w:pPr>
          </w:p>
        </w:tc>
        <w:tc>
          <w:tcPr>
            <w:tcW w:w="0" w:type="auto"/>
            <w:shd w:val="clear" w:color="auto" w:fill="auto"/>
          </w:tcPr>
          <w:p w14:paraId="33DABD31" w14:textId="77777777" w:rsidR="004D6A64" w:rsidRDefault="004D6A64">
            <w:pPr>
              <w:rPr>
                <w:rFonts w:ascii="宋体"/>
              </w:rPr>
            </w:pPr>
          </w:p>
        </w:tc>
        <w:tc>
          <w:tcPr>
            <w:tcW w:w="0" w:type="auto"/>
            <w:shd w:val="clear" w:color="auto" w:fill="auto"/>
          </w:tcPr>
          <w:p w14:paraId="33DABD32" w14:textId="77777777" w:rsidR="004D6A64" w:rsidRDefault="004D6A64">
            <w:pPr>
              <w:rPr>
                <w:rFonts w:ascii="宋体"/>
              </w:rPr>
            </w:pPr>
          </w:p>
        </w:tc>
        <w:tc>
          <w:tcPr>
            <w:tcW w:w="0" w:type="auto"/>
            <w:shd w:val="clear" w:color="auto" w:fill="auto"/>
          </w:tcPr>
          <w:p w14:paraId="33DABD33" w14:textId="77777777" w:rsidR="004D6A64" w:rsidRDefault="004D6A64">
            <w:pPr>
              <w:rPr>
                <w:rFonts w:ascii="宋体"/>
              </w:rPr>
            </w:pPr>
          </w:p>
        </w:tc>
        <w:tc>
          <w:tcPr>
            <w:tcW w:w="0" w:type="auto"/>
            <w:shd w:val="clear" w:color="auto" w:fill="auto"/>
          </w:tcPr>
          <w:p w14:paraId="33DABD34" w14:textId="77777777" w:rsidR="004D6A64" w:rsidRDefault="004D6A64">
            <w:pPr>
              <w:rPr>
                <w:rFonts w:ascii="宋体"/>
              </w:rPr>
            </w:pPr>
          </w:p>
        </w:tc>
        <w:tc>
          <w:tcPr>
            <w:tcW w:w="0" w:type="auto"/>
            <w:shd w:val="clear" w:color="auto" w:fill="auto"/>
          </w:tcPr>
          <w:p w14:paraId="33DABD35" w14:textId="77777777" w:rsidR="004D6A64" w:rsidRDefault="004D6A64">
            <w:pPr>
              <w:rPr>
                <w:rFonts w:ascii="宋体"/>
              </w:rPr>
            </w:pPr>
          </w:p>
        </w:tc>
        <w:tc>
          <w:tcPr>
            <w:tcW w:w="0" w:type="auto"/>
            <w:shd w:val="clear" w:color="auto" w:fill="auto"/>
          </w:tcPr>
          <w:p w14:paraId="33DABD36" w14:textId="77777777" w:rsidR="004D6A64" w:rsidRDefault="004D6A64">
            <w:pPr>
              <w:rPr>
                <w:rFonts w:ascii="宋体"/>
              </w:rPr>
            </w:pPr>
          </w:p>
        </w:tc>
        <w:tc>
          <w:tcPr>
            <w:tcW w:w="0" w:type="auto"/>
            <w:shd w:val="clear" w:color="auto" w:fill="auto"/>
          </w:tcPr>
          <w:p w14:paraId="33DABD37" w14:textId="77777777" w:rsidR="004D6A64" w:rsidRDefault="004D6A64">
            <w:pPr>
              <w:rPr>
                <w:rFonts w:ascii="宋体"/>
              </w:rPr>
            </w:pPr>
          </w:p>
        </w:tc>
        <w:tc>
          <w:tcPr>
            <w:tcW w:w="0" w:type="auto"/>
            <w:shd w:val="clear" w:color="auto" w:fill="auto"/>
          </w:tcPr>
          <w:p w14:paraId="33DABD38" w14:textId="77777777" w:rsidR="004D6A64" w:rsidRDefault="004D6A64">
            <w:pPr>
              <w:rPr>
                <w:rFonts w:ascii="宋体"/>
              </w:rPr>
            </w:pPr>
          </w:p>
        </w:tc>
        <w:tc>
          <w:tcPr>
            <w:tcW w:w="0" w:type="auto"/>
            <w:shd w:val="clear" w:color="auto" w:fill="auto"/>
          </w:tcPr>
          <w:p w14:paraId="33DABD39" w14:textId="77777777" w:rsidR="004D6A64" w:rsidRDefault="004D6A64">
            <w:pPr>
              <w:rPr>
                <w:rFonts w:ascii="宋体"/>
              </w:rPr>
            </w:pPr>
          </w:p>
        </w:tc>
        <w:tc>
          <w:tcPr>
            <w:tcW w:w="0" w:type="auto"/>
            <w:shd w:val="clear" w:color="auto" w:fill="auto"/>
          </w:tcPr>
          <w:p w14:paraId="33DABD3A" w14:textId="77777777" w:rsidR="004D6A64" w:rsidRDefault="004D6A64">
            <w:pPr>
              <w:rPr>
                <w:rFonts w:ascii="宋体"/>
              </w:rPr>
            </w:pPr>
          </w:p>
        </w:tc>
        <w:tc>
          <w:tcPr>
            <w:tcW w:w="0" w:type="auto"/>
            <w:shd w:val="clear" w:color="auto" w:fill="auto"/>
          </w:tcPr>
          <w:p w14:paraId="33DABD3B" w14:textId="77777777" w:rsidR="004D6A64" w:rsidRDefault="004D6A64">
            <w:pPr>
              <w:rPr>
                <w:rFonts w:ascii="宋体"/>
              </w:rPr>
            </w:pPr>
          </w:p>
        </w:tc>
        <w:tc>
          <w:tcPr>
            <w:tcW w:w="0" w:type="auto"/>
            <w:shd w:val="clear" w:color="auto" w:fill="auto"/>
          </w:tcPr>
          <w:p w14:paraId="33DABD3C" w14:textId="77777777" w:rsidR="004D6A64" w:rsidRDefault="004D6A64">
            <w:pPr>
              <w:rPr>
                <w:rFonts w:ascii="宋体"/>
              </w:rPr>
            </w:pPr>
          </w:p>
        </w:tc>
        <w:tc>
          <w:tcPr>
            <w:tcW w:w="0" w:type="auto"/>
            <w:shd w:val="clear" w:color="auto" w:fill="auto"/>
          </w:tcPr>
          <w:p w14:paraId="33DABD3D" w14:textId="77777777" w:rsidR="004D6A64" w:rsidRDefault="004D6A64">
            <w:pPr>
              <w:rPr>
                <w:rFonts w:ascii="宋体"/>
              </w:rPr>
            </w:pPr>
          </w:p>
        </w:tc>
        <w:tc>
          <w:tcPr>
            <w:tcW w:w="0" w:type="auto"/>
            <w:shd w:val="clear" w:color="auto" w:fill="auto"/>
          </w:tcPr>
          <w:p w14:paraId="33DABD3E" w14:textId="77777777" w:rsidR="004D6A64" w:rsidRDefault="004D6A64">
            <w:pPr>
              <w:rPr>
                <w:rFonts w:ascii="宋体"/>
              </w:rPr>
            </w:pPr>
          </w:p>
        </w:tc>
      </w:tr>
      <w:tr w:rsidR="004D6A64" w14:paraId="33DABD65" w14:textId="77777777">
        <w:trPr>
          <w:jc w:val="center"/>
        </w:trPr>
        <w:tc>
          <w:tcPr>
            <w:tcW w:w="0" w:type="auto"/>
            <w:gridSpan w:val="3"/>
            <w:shd w:val="clear" w:color="auto" w:fill="FFFFFF"/>
            <w:tcMar>
              <w:top w:w="40" w:type="dxa"/>
              <w:left w:w="135" w:type="dxa"/>
              <w:bottom w:w="40" w:type="dxa"/>
              <w:right w:w="20" w:type="dxa"/>
            </w:tcMar>
            <w:vAlign w:val="bottom"/>
          </w:tcPr>
          <w:p w14:paraId="33DABD40" w14:textId="77777777" w:rsidR="004D6A64" w:rsidRDefault="00506CD6">
            <w:pPr>
              <w:textAlignment w:val="bottom"/>
            </w:pPr>
            <w:r>
              <w:rPr>
                <w:rFonts w:ascii="Times New Roman" w:eastAsia="宋体" w:hAnsi="Times New Roman"/>
                <w:color w:val="000000"/>
                <w:sz w:val="20"/>
                <w:szCs w:val="20"/>
              </w:rPr>
              <w:t>Total</w:t>
            </w:r>
          </w:p>
        </w:tc>
        <w:tc>
          <w:tcPr>
            <w:tcW w:w="0" w:type="auto"/>
            <w:gridSpan w:val="3"/>
            <w:shd w:val="clear" w:color="auto" w:fill="FFFFFF"/>
            <w:tcMar>
              <w:left w:w="20" w:type="dxa"/>
              <w:right w:w="20" w:type="dxa"/>
            </w:tcMar>
            <w:vAlign w:val="bottom"/>
          </w:tcPr>
          <w:p w14:paraId="33DABD41"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BD42"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BD43" w14:textId="77777777" w:rsidR="004D6A64" w:rsidRDefault="00506CD6">
            <w:pPr>
              <w:jc w:val="right"/>
              <w:textAlignment w:val="bottom"/>
            </w:pPr>
            <w:r>
              <w:rPr>
                <w:rFonts w:ascii="Times New Roman" w:eastAsia="宋体" w:hAnsi="Times New Roman"/>
                <w:color w:val="000000"/>
                <w:sz w:val="20"/>
                <w:szCs w:val="20"/>
              </w:rPr>
              <w:t>157 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BD4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D45"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BD46"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BD47" w14:textId="77777777" w:rsidR="004D6A64" w:rsidRDefault="00506CD6">
            <w:pPr>
              <w:jc w:val="right"/>
              <w:textAlignment w:val="bottom"/>
            </w:pPr>
            <w:r>
              <w:rPr>
                <w:rFonts w:ascii="Times New Roman" w:eastAsia="宋体" w:hAnsi="Times New Roman"/>
                <w:color w:val="000000"/>
                <w:sz w:val="20"/>
                <w:szCs w:val="20"/>
              </w:rPr>
              <w:t>(8)</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BD4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D49"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BD4A"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BD4B" w14:textId="77777777" w:rsidR="004D6A64" w:rsidRDefault="00506CD6">
            <w:pPr>
              <w:jc w:val="right"/>
              <w:textAlignment w:val="bottom"/>
            </w:pPr>
            <w:r>
              <w:rPr>
                <w:rFonts w:ascii="Times New Roman" w:eastAsia="宋体" w:hAnsi="Times New Roman"/>
                <w:color w:val="000000"/>
                <w:sz w:val="20"/>
                <w:szCs w:val="20"/>
              </w:rPr>
              <w:t>170 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BD4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D4D"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BD4E"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BD4F" w14:textId="77777777" w:rsidR="004D6A64" w:rsidRDefault="00506CD6">
            <w:pPr>
              <w:jc w:val="right"/>
              <w:textAlignment w:val="bottom"/>
            </w:pPr>
            <w:r>
              <w:rPr>
                <w:rFonts w:ascii="Times New Roman" w:eastAsia="宋体" w:hAnsi="Times New Roman"/>
                <w:color w:val="000000"/>
                <w:sz w:val="20"/>
                <w:szCs w:val="20"/>
              </w:rPr>
              <w:t>(81)</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BD5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D51"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BD52" w14:textId="77777777" w:rsidR="004D6A64" w:rsidRDefault="004D6A64">
            <w:pPr>
              <w:rPr>
                <w:rFonts w:ascii="宋体"/>
              </w:rPr>
            </w:pPr>
          </w:p>
        </w:tc>
        <w:tc>
          <w:tcPr>
            <w:tcW w:w="0" w:type="auto"/>
            <w:shd w:val="clear" w:color="auto" w:fill="auto"/>
          </w:tcPr>
          <w:p w14:paraId="33DABD53" w14:textId="77777777" w:rsidR="004D6A64" w:rsidRDefault="004D6A64">
            <w:pPr>
              <w:rPr>
                <w:rFonts w:ascii="宋体"/>
              </w:rPr>
            </w:pPr>
          </w:p>
        </w:tc>
        <w:tc>
          <w:tcPr>
            <w:tcW w:w="0" w:type="auto"/>
            <w:shd w:val="clear" w:color="auto" w:fill="auto"/>
          </w:tcPr>
          <w:p w14:paraId="33DABD54" w14:textId="77777777" w:rsidR="004D6A64" w:rsidRDefault="004D6A64">
            <w:pPr>
              <w:rPr>
                <w:rFonts w:ascii="宋体"/>
              </w:rPr>
            </w:pPr>
          </w:p>
        </w:tc>
        <w:tc>
          <w:tcPr>
            <w:tcW w:w="0" w:type="auto"/>
            <w:shd w:val="clear" w:color="auto" w:fill="auto"/>
          </w:tcPr>
          <w:p w14:paraId="33DABD55" w14:textId="77777777" w:rsidR="004D6A64" w:rsidRDefault="004D6A64">
            <w:pPr>
              <w:rPr>
                <w:rFonts w:ascii="宋体"/>
              </w:rPr>
            </w:pPr>
          </w:p>
        </w:tc>
        <w:tc>
          <w:tcPr>
            <w:tcW w:w="0" w:type="auto"/>
            <w:shd w:val="clear" w:color="auto" w:fill="auto"/>
          </w:tcPr>
          <w:p w14:paraId="33DABD56" w14:textId="77777777" w:rsidR="004D6A64" w:rsidRDefault="004D6A64">
            <w:pPr>
              <w:rPr>
                <w:rFonts w:ascii="宋体"/>
              </w:rPr>
            </w:pPr>
          </w:p>
        </w:tc>
        <w:tc>
          <w:tcPr>
            <w:tcW w:w="0" w:type="auto"/>
            <w:shd w:val="clear" w:color="auto" w:fill="auto"/>
          </w:tcPr>
          <w:p w14:paraId="33DABD57" w14:textId="77777777" w:rsidR="004D6A64" w:rsidRDefault="004D6A64">
            <w:pPr>
              <w:rPr>
                <w:rFonts w:ascii="宋体"/>
              </w:rPr>
            </w:pPr>
          </w:p>
        </w:tc>
        <w:tc>
          <w:tcPr>
            <w:tcW w:w="0" w:type="auto"/>
            <w:shd w:val="clear" w:color="auto" w:fill="auto"/>
          </w:tcPr>
          <w:p w14:paraId="33DABD58" w14:textId="77777777" w:rsidR="004D6A64" w:rsidRDefault="004D6A64">
            <w:pPr>
              <w:rPr>
                <w:rFonts w:ascii="宋体"/>
              </w:rPr>
            </w:pPr>
          </w:p>
        </w:tc>
        <w:tc>
          <w:tcPr>
            <w:tcW w:w="0" w:type="auto"/>
            <w:shd w:val="clear" w:color="auto" w:fill="auto"/>
          </w:tcPr>
          <w:p w14:paraId="33DABD59" w14:textId="77777777" w:rsidR="004D6A64" w:rsidRDefault="004D6A64">
            <w:pPr>
              <w:rPr>
                <w:rFonts w:ascii="宋体"/>
              </w:rPr>
            </w:pPr>
          </w:p>
        </w:tc>
        <w:tc>
          <w:tcPr>
            <w:tcW w:w="0" w:type="auto"/>
            <w:shd w:val="clear" w:color="auto" w:fill="auto"/>
          </w:tcPr>
          <w:p w14:paraId="33DABD5A" w14:textId="77777777" w:rsidR="004D6A64" w:rsidRDefault="004D6A64">
            <w:pPr>
              <w:rPr>
                <w:rFonts w:ascii="宋体"/>
              </w:rPr>
            </w:pPr>
          </w:p>
        </w:tc>
        <w:tc>
          <w:tcPr>
            <w:tcW w:w="0" w:type="auto"/>
            <w:shd w:val="clear" w:color="auto" w:fill="auto"/>
          </w:tcPr>
          <w:p w14:paraId="33DABD5B" w14:textId="77777777" w:rsidR="004D6A64" w:rsidRDefault="004D6A64">
            <w:pPr>
              <w:rPr>
                <w:rFonts w:ascii="宋体"/>
              </w:rPr>
            </w:pPr>
          </w:p>
        </w:tc>
        <w:tc>
          <w:tcPr>
            <w:tcW w:w="0" w:type="auto"/>
            <w:shd w:val="clear" w:color="auto" w:fill="auto"/>
          </w:tcPr>
          <w:p w14:paraId="33DABD5C" w14:textId="77777777" w:rsidR="004D6A64" w:rsidRDefault="004D6A64">
            <w:pPr>
              <w:rPr>
                <w:rFonts w:ascii="宋体"/>
              </w:rPr>
            </w:pPr>
          </w:p>
        </w:tc>
        <w:tc>
          <w:tcPr>
            <w:tcW w:w="0" w:type="auto"/>
            <w:shd w:val="clear" w:color="auto" w:fill="auto"/>
          </w:tcPr>
          <w:p w14:paraId="33DABD5D" w14:textId="77777777" w:rsidR="004D6A64" w:rsidRDefault="004D6A64">
            <w:pPr>
              <w:rPr>
                <w:rFonts w:ascii="宋体"/>
              </w:rPr>
            </w:pPr>
          </w:p>
        </w:tc>
        <w:tc>
          <w:tcPr>
            <w:tcW w:w="0" w:type="auto"/>
            <w:shd w:val="clear" w:color="auto" w:fill="auto"/>
          </w:tcPr>
          <w:p w14:paraId="33DABD5E" w14:textId="77777777" w:rsidR="004D6A64" w:rsidRDefault="004D6A64">
            <w:pPr>
              <w:rPr>
                <w:rFonts w:ascii="宋体"/>
              </w:rPr>
            </w:pPr>
          </w:p>
        </w:tc>
        <w:tc>
          <w:tcPr>
            <w:tcW w:w="0" w:type="auto"/>
            <w:shd w:val="clear" w:color="auto" w:fill="auto"/>
          </w:tcPr>
          <w:p w14:paraId="33DABD5F" w14:textId="77777777" w:rsidR="004D6A64" w:rsidRDefault="004D6A64">
            <w:pPr>
              <w:rPr>
                <w:rFonts w:ascii="宋体"/>
              </w:rPr>
            </w:pPr>
          </w:p>
        </w:tc>
        <w:tc>
          <w:tcPr>
            <w:tcW w:w="0" w:type="auto"/>
            <w:shd w:val="clear" w:color="auto" w:fill="auto"/>
          </w:tcPr>
          <w:p w14:paraId="33DABD60" w14:textId="77777777" w:rsidR="004D6A64" w:rsidRDefault="004D6A64">
            <w:pPr>
              <w:rPr>
                <w:rFonts w:ascii="宋体"/>
              </w:rPr>
            </w:pPr>
          </w:p>
        </w:tc>
        <w:tc>
          <w:tcPr>
            <w:tcW w:w="0" w:type="auto"/>
            <w:shd w:val="clear" w:color="auto" w:fill="auto"/>
          </w:tcPr>
          <w:p w14:paraId="33DABD61" w14:textId="77777777" w:rsidR="004D6A64" w:rsidRDefault="004D6A64">
            <w:pPr>
              <w:rPr>
                <w:rFonts w:ascii="宋体"/>
              </w:rPr>
            </w:pPr>
          </w:p>
        </w:tc>
        <w:tc>
          <w:tcPr>
            <w:tcW w:w="0" w:type="auto"/>
            <w:shd w:val="clear" w:color="auto" w:fill="auto"/>
          </w:tcPr>
          <w:p w14:paraId="33DABD62" w14:textId="77777777" w:rsidR="004D6A64" w:rsidRDefault="004D6A64">
            <w:pPr>
              <w:rPr>
                <w:rFonts w:ascii="宋体"/>
              </w:rPr>
            </w:pPr>
          </w:p>
        </w:tc>
        <w:tc>
          <w:tcPr>
            <w:tcW w:w="0" w:type="auto"/>
            <w:shd w:val="clear" w:color="auto" w:fill="auto"/>
          </w:tcPr>
          <w:p w14:paraId="33DABD63" w14:textId="77777777" w:rsidR="004D6A64" w:rsidRDefault="004D6A64">
            <w:pPr>
              <w:rPr>
                <w:rFonts w:ascii="宋体"/>
              </w:rPr>
            </w:pPr>
          </w:p>
        </w:tc>
        <w:tc>
          <w:tcPr>
            <w:tcW w:w="0" w:type="auto"/>
            <w:shd w:val="clear" w:color="auto" w:fill="auto"/>
          </w:tcPr>
          <w:p w14:paraId="33DABD64" w14:textId="77777777" w:rsidR="004D6A64" w:rsidRDefault="004D6A64">
            <w:pPr>
              <w:rPr>
                <w:rFonts w:ascii="宋体"/>
              </w:rPr>
            </w:pPr>
          </w:p>
        </w:tc>
      </w:tr>
    </w:tbl>
    <w:p w14:paraId="33DABD66" w14:textId="77777777" w:rsidR="004D6A64" w:rsidRDefault="004D6A64"/>
    <w:p w14:paraId="33DABD67" w14:textId="77777777" w:rsidR="004D6A64" w:rsidRDefault="004D6A64">
      <w:pPr>
        <w:jc w:val="center"/>
      </w:pPr>
    </w:p>
    <w:p w14:paraId="33DABD68" w14:textId="77777777" w:rsidR="004D6A64" w:rsidRDefault="00506CD6">
      <w:pPr>
        <w:jc w:val="center"/>
      </w:pPr>
      <w:r>
        <w:rPr>
          <w:rFonts w:ascii="Times New Roman" w:eastAsia="宋体" w:hAnsi="Times New Roman"/>
          <w:color w:val="000000"/>
          <w:sz w:val="20"/>
          <w:szCs w:val="20"/>
        </w:rPr>
        <w:t>39</w:t>
      </w:r>
    </w:p>
    <w:p w14:paraId="33DABD69" w14:textId="77777777" w:rsidR="004D6A64" w:rsidRDefault="004D6A64">
      <w:pPr>
        <w:jc w:val="center"/>
      </w:pPr>
    </w:p>
    <w:p w14:paraId="33DABD6A" w14:textId="77777777" w:rsidR="004D6A64" w:rsidRDefault="00506CD6">
      <w:r>
        <w:pict w14:anchorId="33DAFAEB">
          <v:rect id="_x0000_i1063" style="width:415.3pt;height:1.5pt" o:hralign="center" o:hrstd="t" o:hr="t" fillcolor="#a0a0a0" stroked="f"/>
        </w:pict>
      </w:r>
    </w:p>
    <w:p w14:paraId="33DABD6B" w14:textId="77777777" w:rsidR="004D6A64" w:rsidRDefault="00506CD6">
      <w:hyperlink r:id="rId162" w:anchor="if3e0e1bf9ecd4bf69551d7a85f98d64a_10" w:history="1">
        <w:r>
          <w:rPr>
            <w:rStyle w:val="a5"/>
            <w:rFonts w:ascii="Times New Roman" w:eastAsia="宋体" w:hAnsi="Times New Roman"/>
            <w:sz w:val="20"/>
            <w:szCs w:val="20"/>
          </w:rPr>
          <w:t>Table of Contents</w:t>
        </w:r>
      </w:hyperlink>
    </w:p>
    <w:p w14:paraId="33DABD6C"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BD6D" w14:textId="77777777" w:rsidR="004D6A64" w:rsidRDefault="00506CD6">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33DABD6E"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BD6F" w14:textId="77777777" w:rsidR="004D6A64" w:rsidRDefault="004D6A64">
      <w:pPr>
        <w:jc w:val="center"/>
      </w:pPr>
    </w:p>
    <w:p w14:paraId="33DABD70" w14:textId="77777777" w:rsidR="004D6A64" w:rsidRDefault="00506CD6">
      <w:r>
        <w:rPr>
          <w:rFonts w:ascii="Times New Roman" w:eastAsia="宋体" w:hAnsi="Times New Roman"/>
          <w:i/>
          <w:iCs/>
          <w:color w:val="000000"/>
          <w:sz w:val="20"/>
          <w:szCs w:val="20"/>
          <w:u w:val="single"/>
        </w:rPr>
        <w:t>Fair Value of Derivative Instruments in the Condensed Consolidated Statements of Financial Position</w:t>
      </w:r>
    </w:p>
    <w:p w14:paraId="33DABD71" w14:textId="77777777" w:rsidR="004D6A64" w:rsidRDefault="004D6A64"/>
    <w:p w14:paraId="33DABD72" w14:textId="77777777" w:rsidR="004D6A64" w:rsidRDefault="00506CD6">
      <w:r>
        <w:rPr>
          <w:rFonts w:ascii="Times New Roman" w:eastAsia="宋体" w:hAnsi="Times New Roman"/>
          <w:color w:val="000000"/>
          <w:sz w:val="20"/>
          <w:szCs w:val="20"/>
        </w:rPr>
        <w:t>The Company presents its foreign exchange derivative instruments on a net basis in the Condensed Consolidated Statement</w:t>
      </w:r>
      <w:r>
        <w:rPr>
          <w:rFonts w:ascii="Times New Roman" w:eastAsia="宋体" w:hAnsi="Times New Roman"/>
          <w:color w:val="000000"/>
          <w:sz w:val="20"/>
          <w:szCs w:val="20"/>
        </w:rPr>
        <w:t>s of Financial Position due to the right of offset by its counterparties under master netting arrangements. The following tables present the fair value of those derivative instruments presented on a gross basis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2434"/>
        <w:gridCol w:w="37"/>
        <w:gridCol w:w="136"/>
        <w:gridCol w:w="664"/>
        <w:gridCol w:w="41"/>
        <w:gridCol w:w="36"/>
        <w:gridCol w:w="36"/>
        <w:gridCol w:w="36"/>
        <w:gridCol w:w="136"/>
        <w:gridCol w:w="664"/>
        <w:gridCol w:w="41"/>
        <w:gridCol w:w="36"/>
        <w:gridCol w:w="36"/>
        <w:gridCol w:w="36"/>
        <w:gridCol w:w="136"/>
        <w:gridCol w:w="803"/>
        <w:gridCol w:w="41"/>
        <w:gridCol w:w="36"/>
        <w:gridCol w:w="36"/>
        <w:gridCol w:w="36"/>
        <w:gridCol w:w="136"/>
        <w:gridCol w:w="1043"/>
        <w:gridCol w:w="41"/>
        <w:gridCol w:w="36"/>
        <w:gridCol w:w="36"/>
        <w:gridCol w:w="36"/>
        <w:gridCol w:w="135"/>
        <w:gridCol w:w="365"/>
        <w:gridCol w:w="4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4D6A64" w14:paraId="33DABD91" w14:textId="77777777">
        <w:trPr>
          <w:gridAfter w:val="27"/>
        </w:trPr>
        <w:tc>
          <w:tcPr>
            <w:tcW w:w="50" w:type="pct"/>
            <w:shd w:val="clear" w:color="auto" w:fill="auto"/>
          </w:tcPr>
          <w:p w14:paraId="33DABD73" w14:textId="77777777" w:rsidR="004D6A64" w:rsidRDefault="004D6A64">
            <w:pPr>
              <w:rPr>
                <w:rFonts w:ascii="宋体"/>
              </w:rPr>
            </w:pPr>
          </w:p>
        </w:tc>
        <w:tc>
          <w:tcPr>
            <w:tcW w:w="2159" w:type="pct"/>
            <w:shd w:val="clear" w:color="auto" w:fill="auto"/>
          </w:tcPr>
          <w:p w14:paraId="33DABD74" w14:textId="77777777" w:rsidR="004D6A64" w:rsidRDefault="004D6A64">
            <w:pPr>
              <w:rPr>
                <w:rFonts w:ascii="宋体"/>
              </w:rPr>
            </w:pPr>
          </w:p>
        </w:tc>
        <w:tc>
          <w:tcPr>
            <w:tcW w:w="5" w:type="pct"/>
            <w:shd w:val="clear" w:color="auto" w:fill="auto"/>
          </w:tcPr>
          <w:p w14:paraId="33DABD75" w14:textId="77777777" w:rsidR="004D6A64" w:rsidRDefault="004D6A64">
            <w:pPr>
              <w:rPr>
                <w:rFonts w:ascii="宋体"/>
              </w:rPr>
            </w:pPr>
          </w:p>
        </w:tc>
        <w:tc>
          <w:tcPr>
            <w:tcW w:w="50" w:type="pct"/>
            <w:shd w:val="clear" w:color="auto" w:fill="auto"/>
          </w:tcPr>
          <w:p w14:paraId="33DABD76" w14:textId="77777777" w:rsidR="004D6A64" w:rsidRDefault="004D6A64">
            <w:pPr>
              <w:rPr>
                <w:rFonts w:ascii="宋体"/>
              </w:rPr>
            </w:pPr>
          </w:p>
        </w:tc>
        <w:tc>
          <w:tcPr>
            <w:tcW w:w="478" w:type="pct"/>
            <w:shd w:val="clear" w:color="auto" w:fill="auto"/>
          </w:tcPr>
          <w:p w14:paraId="33DABD77" w14:textId="77777777" w:rsidR="004D6A64" w:rsidRDefault="004D6A64">
            <w:pPr>
              <w:rPr>
                <w:rFonts w:ascii="宋体"/>
              </w:rPr>
            </w:pPr>
          </w:p>
        </w:tc>
        <w:tc>
          <w:tcPr>
            <w:tcW w:w="5" w:type="pct"/>
            <w:shd w:val="clear" w:color="auto" w:fill="auto"/>
          </w:tcPr>
          <w:p w14:paraId="33DABD78" w14:textId="77777777" w:rsidR="004D6A64" w:rsidRDefault="004D6A64">
            <w:pPr>
              <w:rPr>
                <w:rFonts w:ascii="宋体"/>
              </w:rPr>
            </w:pPr>
          </w:p>
        </w:tc>
        <w:tc>
          <w:tcPr>
            <w:tcW w:w="5" w:type="pct"/>
            <w:shd w:val="clear" w:color="auto" w:fill="auto"/>
          </w:tcPr>
          <w:p w14:paraId="33DABD79" w14:textId="77777777" w:rsidR="004D6A64" w:rsidRDefault="004D6A64">
            <w:pPr>
              <w:rPr>
                <w:rFonts w:ascii="宋体"/>
              </w:rPr>
            </w:pPr>
          </w:p>
        </w:tc>
        <w:tc>
          <w:tcPr>
            <w:tcW w:w="19" w:type="pct"/>
            <w:shd w:val="clear" w:color="auto" w:fill="auto"/>
          </w:tcPr>
          <w:p w14:paraId="33DABD7A" w14:textId="77777777" w:rsidR="004D6A64" w:rsidRDefault="004D6A64">
            <w:pPr>
              <w:rPr>
                <w:rFonts w:ascii="宋体"/>
              </w:rPr>
            </w:pPr>
          </w:p>
        </w:tc>
        <w:tc>
          <w:tcPr>
            <w:tcW w:w="5" w:type="pct"/>
            <w:shd w:val="clear" w:color="auto" w:fill="auto"/>
          </w:tcPr>
          <w:p w14:paraId="33DABD7B" w14:textId="77777777" w:rsidR="004D6A64" w:rsidRDefault="004D6A64">
            <w:pPr>
              <w:rPr>
                <w:rFonts w:ascii="宋体"/>
              </w:rPr>
            </w:pPr>
          </w:p>
        </w:tc>
        <w:tc>
          <w:tcPr>
            <w:tcW w:w="50" w:type="pct"/>
            <w:shd w:val="clear" w:color="auto" w:fill="auto"/>
          </w:tcPr>
          <w:p w14:paraId="33DABD7C" w14:textId="77777777" w:rsidR="004D6A64" w:rsidRDefault="004D6A64">
            <w:pPr>
              <w:rPr>
                <w:rFonts w:ascii="宋体"/>
              </w:rPr>
            </w:pPr>
          </w:p>
        </w:tc>
        <w:tc>
          <w:tcPr>
            <w:tcW w:w="478" w:type="pct"/>
            <w:shd w:val="clear" w:color="auto" w:fill="auto"/>
          </w:tcPr>
          <w:p w14:paraId="33DABD7D" w14:textId="77777777" w:rsidR="004D6A64" w:rsidRDefault="004D6A64">
            <w:pPr>
              <w:rPr>
                <w:rFonts w:ascii="宋体"/>
              </w:rPr>
            </w:pPr>
          </w:p>
        </w:tc>
        <w:tc>
          <w:tcPr>
            <w:tcW w:w="5" w:type="pct"/>
            <w:shd w:val="clear" w:color="auto" w:fill="auto"/>
          </w:tcPr>
          <w:p w14:paraId="33DABD7E" w14:textId="77777777" w:rsidR="004D6A64" w:rsidRDefault="004D6A64">
            <w:pPr>
              <w:rPr>
                <w:rFonts w:ascii="宋体"/>
              </w:rPr>
            </w:pPr>
          </w:p>
        </w:tc>
        <w:tc>
          <w:tcPr>
            <w:tcW w:w="5" w:type="pct"/>
            <w:shd w:val="clear" w:color="auto" w:fill="auto"/>
          </w:tcPr>
          <w:p w14:paraId="33DABD7F" w14:textId="77777777" w:rsidR="004D6A64" w:rsidRDefault="004D6A64">
            <w:pPr>
              <w:rPr>
                <w:rFonts w:ascii="宋体"/>
              </w:rPr>
            </w:pPr>
          </w:p>
        </w:tc>
        <w:tc>
          <w:tcPr>
            <w:tcW w:w="19" w:type="pct"/>
            <w:shd w:val="clear" w:color="auto" w:fill="auto"/>
          </w:tcPr>
          <w:p w14:paraId="33DABD80" w14:textId="77777777" w:rsidR="004D6A64" w:rsidRDefault="004D6A64">
            <w:pPr>
              <w:rPr>
                <w:rFonts w:ascii="宋体"/>
              </w:rPr>
            </w:pPr>
          </w:p>
        </w:tc>
        <w:tc>
          <w:tcPr>
            <w:tcW w:w="5" w:type="pct"/>
            <w:shd w:val="clear" w:color="auto" w:fill="auto"/>
          </w:tcPr>
          <w:p w14:paraId="33DABD81" w14:textId="77777777" w:rsidR="004D6A64" w:rsidRDefault="004D6A64">
            <w:pPr>
              <w:rPr>
                <w:rFonts w:ascii="宋体"/>
              </w:rPr>
            </w:pPr>
          </w:p>
        </w:tc>
        <w:tc>
          <w:tcPr>
            <w:tcW w:w="50" w:type="pct"/>
            <w:shd w:val="clear" w:color="auto" w:fill="auto"/>
          </w:tcPr>
          <w:p w14:paraId="33DABD82" w14:textId="77777777" w:rsidR="004D6A64" w:rsidRDefault="004D6A64">
            <w:pPr>
              <w:rPr>
                <w:rFonts w:ascii="宋体"/>
              </w:rPr>
            </w:pPr>
          </w:p>
        </w:tc>
        <w:tc>
          <w:tcPr>
            <w:tcW w:w="478" w:type="pct"/>
            <w:shd w:val="clear" w:color="auto" w:fill="auto"/>
          </w:tcPr>
          <w:p w14:paraId="33DABD83" w14:textId="77777777" w:rsidR="004D6A64" w:rsidRDefault="004D6A64">
            <w:pPr>
              <w:rPr>
                <w:rFonts w:ascii="宋体"/>
              </w:rPr>
            </w:pPr>
          </w:p>
        </w:tc>
        <w:tc>
          <w:tcPr>
            <w:tcW w:w="5" w:type="pct"/>
            <w:shd w:val="clear" w:color="auto" w:fill="auto"/>
          </w:tcPr>
          <w:p w14:paraId="33DABD84" w14:textId="77777777" w:rsidR="004D6A64" w:rsidRDefault="004D6A64">
            <w:pPr>
              <w:rPr>
                <w:rFonts w:ascii="宋体"/>
              </w:rPr>
            </w:pPr>
          </w:p>
        </w:tc>
        <w:tc>
          <w:tcPr>
            <w:tcW w:w="5" w:type="pct"/>
            <w:shd w:val="clear" w:color="auto" w:fill="auto"/>
          </w:tcPr>
          <w:p w14:paraId="33DABD85" w14:textId="77777777" w:rsidR="004D6A64" w:rsidRDefault="004D6A64">
            <w:pPr>
              <w:rPr>
                <w:rFonts w:ascii="宋体"/>
              </w:rPr>
            </w:pPr>
          </w:p>
        </w:tc>
        <w:tc>
          <w:tcPr>
            <w:tcW w:w="19" w:type="pct"/>
            <w:shd w:val="clear" w:color="auto" w:fill="auto"/>
          </w:tcPr>
          <w:p w14:paraId="33DABD86" w14:textId="77777777" w:rsidR="004D6A64" w:rsidRDefault="004D6A64">
            <w:pPr>
              <w:rPr>
                <w:rFonts w:ascii="宋体"/>
              </w:rPr>
            </w:pPr>
          </w:p>
        </w:tc>
        <w:tc>
          <w:tcPr>
            <w:tcW w:w="5" w:type="pct"/>
            <w:shd w:val="clear" w:color="auto" w:fill="auto"/>
          </w:tcPr>
          <w:p w14:paraId="33DABD87" w14:textId="77777777" w:rsidR="004D6A64" w:rsidRDefault="004D6A64">
            <w:pPr>
              <w:rPr>
                <w:rFonts w:ascii="宋体"/>
              </w:rPr>
            </w:pPr>
          </w:p>
        </w:tc>
        <w:tc>
          <w:tcPr>
            <w:tcW w:w="50" w:type="pct"/>
            <w:shd w:val="clear" w:color="auto" w:fill="auto"/>
          </w:tcPr>
          <w:p w14:paraId="33DABD88" w14:textId="77777777" w:rsidR="004D6A64" w:rsidRDefault="004D6A64">
            <w:pPr>
              <w:rPr>
                <w:rFonts w:ascii="宋体"/>
              </w:rPr>
            </w:pPr>
          </w:p>
        </w:tc>
        <w:tc>
          <w:tcPr>
            <w:tcW w:w="478" w:type="pct"/>
            <w:shd w:val="clear" w:color="auto" w:fill="auto"/>
          </w:tcPr>
          <w:p w14:paraId="33DABD89" w14:textId="77777777" w:rsidR="004D6A64" w:rsidRDefault="004D6A64">
            <w:pPr>
              <w:rPr>
                <w:rFonts w:ascii="宋体"/>
              </w:rPr>
            </w:pPr>
          </w:p>
        </w:tc>
        <w:tc>
          <w:tcPr>
            <w:tcW w:w="5" w:type="pct"/>
            <w:shd w:val="clear" w:color="auto" w:fill="auto"/>
          </w:tcPr>
          <w:p w14:paraId="33DABD8A" w14:textId="77777777" w:rsidR="004D6A64" w:rsidRDefault="004D6A64">
            <w:pPr>
              <w:rPr>
                <w:rFonts w:ascii="宋体"/>
              </w:rPr>
            </w:pPr>
          </w:p>
        </w:tc>
        <w:tc>
          <w:tcPr>
            <w:tcW w:w="5" w:type="pct"/>
            <w:shd w:val="clear" w:color="auto" w:fill="auto"/>
          </w:tcPr>
          <w:p w14:paraId="33DABD8B" w14:textId="77777777" w:rsidR="004D6A64" w:rsidRDefault="004D6A64">
            <w:pPr>
              <w:rPr>
                <w:rFonts w:ascii="宋体"/>
              </w:rPr>
            </w:pPr>
          </w:p>
        </w:tc>
        <w:tc>
          <w:tcPr>
            <w:tcW w:w="19" w:type="pct"/>
            <w:shd w:val="clear" w:color="auto" w:fill="auto"/>
          </w:tcPr>
          <w:p w14:paraId="33DABD8C" w14:textId="77777777" w:rsidR="004D6A64" w:rsidRDefault="004D6A64">
            <w:pPr>
              <w:rPr>
                <w:rFonts w:ascii="宋体"/>
              </w:rPr>
            </w:pPr>
          </w:p>
        </w:tc>
        <w:tc>
          <w:tcPr>
            <w:tcW w:w="5" w:type="pct"/>
            <w:shd w:val="clear" w:color="auto" w:fill="auto"/>
          </w:tcPr>
          <w:p w14:paraId="33DABD8D" w14:textId="77777777" w:rsidR="004D6A64" w:rsidRDefault="004D6A64">
            <w:pPr>
              <w:rPr>
                <w:rFonts w:ascii="宋体"/>
              </w:rPr>
            </w:pPr>
          </w:p>
        </w:tc>
        <w:tc>
          <w:tcPr>
            <w:tcW w:w="50" w:type="pct"/>
            <w:shd w:val="clear" w:color="auto" w:fill="auto"/>
          </w:tcPr>
          <w:p w14:paraId="33DABD8E" w14:textId="77777777" w:rsidR="004D6A64" w:rsidRDefault="004D6A64">
            <w:pPr>
              <w:rPr>
                <w:rFonts w:ascii="宋体"/>
              </w:rPr>
            </w:pPr>
          </w:p>
        </w:tc>
        <w:tc>
          <w:tcPr>
            <w:tcW w:w="478" w:type="pct"/>
            <w:shd w:val="clear" w:color="auto" w:fill="auto"/>
          </w:tcPr>
          <w:p w14:paraId="33DABD8F" w14:textId="77777777" w:rsidR="004D6A64" w:rsidRDefault="004D6A64">
            <w:pPr>
              <w:rPr>
                <w:rFonts w:ascii="宋体"/>
              </w:rPr>
            </w:pPr>
          </w:p>
        </w:tc>
        <w:tc>
          <w:tcPr>
            <w:tcW w:w="5" w:type="pct"/>
            <w:shd w:val="clear" w:color="auto" w:fill="auto"/>
          </w:tcPr>
          <w:p w14:paraId="33DABD90" w14:textId="77777777" w:rsidR="004D6A64" w:rsidRDefault="004D6A64">
            <w:pPr>
              <w:rPr>
                <w:rFonts w:ascii="宋体"/>
              </w:rPr>
            </w:pPr>
          </w:p>
        </w:tc>
      </w:tr>
      <w:tr w:rsidR="004D6A64" w14:paraId="33DABD9C" w14:textId="77777777">
        <w:trPr>
          <w:gridAfter w:val="3"/>
        </w:trPr>
        <w:tc>
          <w:tcPr>
            <w:tcW w:w="0" w:type="auto"/>
            <w:gridSpan w:val="3"/>
            <w:shd w:val="clear" w:color="auto" w:fill="auto"/>
            <w:tcMar>
              <w:top w:w="40" w:type="dxa"/>
              <w:left w:w="20" w:type="dxa"/>
              <w:bottom w:w="40" w:type="dxa"/>
              <w:right w:w="20" w:type="dxa"/>
            </w:tcMar>
            <w:vAlign w:val="bottom"/>
          </w:tcPr>
          <w:p w14:paraId="33DABD92" w14:textId="77777777" w:rsidR="004D6A64" w:rsidRDefault="00506CD6">
            <w:pPr>
              <w:jc w:val="center"/>
              <w:textAlignment w:val="bottom"/>
            </w:pPr>
            <w:r>
              <w:rPr>
                <w:rFonts w:ascii="Times New Roman" w:eastAsia="宋体" w:hAnsi="Times New Roman"/>
                <w:color w:val="000000"/>
                <w:sz w:val="20"/>
                <w:szCs w:val="20"/>
              </w:rPr>
              <w:t> </w:t>
            </w:r>
          </w:p>
        </w:tc>
        <w:tc>
          <w:tcPr>
            <w:tcW w:w="0" w:type="auto"/>
            <w:gridSpan w:val="27"/>
            <w:shd w:val="clear" w:color="auto" w:fill="auto"/>
            <w:tcMar>
              <w:top w:w="40" w:type="dxa"/>
              <w:left w:w="20" w:type="dxa"/>
              <w:bottom w:w="40" w:type="dxa"/>
              <w:right w:w="20" w:type="dxa"/>
            </w:tcMar>
            <w:vAlign w:val="bottom"/>
          </w:tcPr>
          <w:p w14:paraId="33DABD93"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shd w:val="clear" w:color="auto" w:fill="auto"/>
          </w:tcPr>
          <w:p w14:paraId="33DABD94" w14:textId="77777777" w:rsidR="004D6A64" w:rsidRDefault="004D6A64">
            <w:pPr>
              <w:rPr>
                <w:rFonts w:ascii="宋体"/>
                <w:vanish/>
              </w:rPr>
            </w:pPr>
          </w:p>
        </w:tc>
        <w:tc>
          <w:tcPr>
            <w:tcW w:w="0" w:type="auto"/>
            <w:gridSpan w:val="3"/>
            <w:shd w:val="clear" w:color="auto" w:fill="auto"/>
          </w:tcPr>
          <w:p w14:paraId="33DABD95" w14:textId="77777777" w:rsidR="004D6A64" w:rsidRDefault="004D6A64">
            <w:pPr>
              <w:rPr>
                <w:rFonts w:ascii="宋体"/>
                <w:vanish/>
              </w:rPr>
            </w:pPr>
          </w:p>
        </w:tc>
        <w:tc>
          <w:tcPr>
            <w:tcW w:w="0" w:type="auto"/>
            <w:gridSpan w:val="3"/>
            <w:shd w:val="clear" w:color="auto" w:fill="auto"/>
          </w:tcPr>
          <w:p w14:paraId="33DABD96" w14:textId="77777777" w:rsidR="004D6A64" w:rsidRDefault="004D6A64">
            <w:pPr>
              <w:rPr>
                <w:rFonts w:ascii="宋体"/>
                <w:vanish/>
              </w:rPr>
            </w:pPr>
          </w:p>
        </w:tc>
        <w:tc>
          <w:tcPr>
            <w:tcW w:w="0" w:type="auto"/>
            <w:gridSpan w:val="3"/>
            <w:shd w:val="clear" w:color="auto" w:fill="auto"/>
          </w:tcPr>
          <w:p w14:paraId="33DABD97" w14:textId="77777777" w:rsidR="004D6A64" w:rsidRDefault="004D6A64">
            <w:pPr>
              <w:rPr>
                <w:rFonts w:ascii="宋体"/>
                <w:vanish/>
              </w:rPr>
            </w:pPr>
          </w:p>
        </w:tc>
        <w:tc>
          <w:tcPr>
            <w:tcW w:w="0" w:type="auto"/>
            <w:gridSpan w:val="3"/>
            <w:shd w:val="clear" w:color="auto" w:fill="auto"/>
          </w:tcPr>
          <w:p w14:paraId="33DABD98" w14:textId="77777777" w:rsidR="004D6A64" w:rsidRDefault="004D6A64">
            <w:pPr>
              <w:rPr>
                <w:rFonts w:ascii="宋体"/>
                <w:vanish/>
              </w:rPr>
            </w:pPr>
          </w:p>
        </w:tc>
        <w:tc>
          <w:tcPr>
            <w:tcW w:w="0" w:type="auto"/>
            <w:gridSpan w:val="3"/>
            <w:shd w:val="clear" w:color="auto" w:fill="auto"/>
          </w:tcPr>
          <w:p w14:paraId="33DABD99" w14:textId="77777777" w:rsidR="004D6A64" w:rsidRDefault="004D6A64">
            <w:pPr>
              <w:rPr>
                <w:rFonts w:ascii="宋体"/>
                <w:vanish/>
              </w:rPr>
            </w:pPr>
          </w:p>
        </w:tc>
        <w:tc>
          <w:tcPr>
            <w:tcW w:w="0" w:type="auto"/>
            <w:gridSpan w:val="3"/>
            <w:shd w:val="clear" w:color="auto" w:fill="auto"/>
          </w:tcPr>
          <w:p w14:paraId="33DABD9A" w14:textId="77777777" w:rsidR="004D6A64" w:rsidRDefault="004D6A64">
            <w:pPr>
              <w:rPr>
                <w:rFonts w:ascii="宋体"/>
                <w:vanish/>
              </w:rPr>
            </w:pPr>
          </w:p>
        </w:tc>
        <w:tc>
          <w:tcPr>
            <w:tcW w:w="0" w:type="auto"/>
            <w:gridSpan w:val="3"/>
            <w:shd w:val="clear" w:color="auto" w:fill="auto"/>
          </w:tcPr>
          <w:p w14:paraId="33DABD9B" w14:textId="77777777" w:rsidR="004D6A64" w:rsidRDefault="004D6A64">
            <w:pPr>
              <w:rPr>
                <w:rFonts w:ascii="宋体"/>
                <w:vanish/>
              </w:rPr>
            </w:pPr>
          </w:p>
        </w:tc>
      </w:tr>
      <w:tr w:rsidR="004D6A64" w14:paraId="33DABDBF" w14:textId="77777777">
        <w:trPr>
          <w:gridAfter w:val="3"/>
        </w:trPr>
        <w:tc>
          <w:tcPr>
            <w:tcW w:w="0" w:type="auto"/>
            <w:gridSpan w:val="3"/>
            <w:shd w:val="clear" w:color="auto" w:fill="auto"/>
            <w:tcMar>
              <w:top w:w="40" w:type="dxa"/>
              <w:left w:w="20" w:type="dxa"/>
              <w:bottom w:w="40" w:type="dxa"/>
              <w:right w:w="20" w:type="dxa"/>
            </w:tcMar>
            <w:vAlign w:val="bottom"/>
          </w:tcPr>
          <w:p w14:paraId="33DABD9D" w14:textId="77777777" w:rsidR="004D6A64" w:rsidRDefault="00506CD6">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BD9E" w14:textId="77777777" w:rsidR="004D6A64" w:rsidRDefault="00506CD6">
            <w:pPr>
              <w:jc w:val="center"/>
              <w:textAlignment w:val="bottom"/>
            </w:pPr>
            <w:r>
              <w:rPr>
                <w:rFonts w:ascii="Times New Roman" w:eastAsia="宋体" w:hAnsi="Times New Roman"/>
                <w:b/>
                <w:bCs/>
                <w:color w:val="000000"/>
                <w:sz w:val="20"/>
                <w:szCs w:val="20"/>
              </w:rPr>
              <w:t>Other Current</w:t>
            </w:r>
            <w:r>
              <w:rPr>
                <w:rFonts w:ascii="Times New Roman" w:eastAsia="宋体" w:hAnsi="Times New Roman"/>
                <w:b/>
                <w:bCs/>
                <w:color w:val="000000"/>
                <w:sz w:val="20"/>
                <w:szCs w:val="20"/>
              </w:rPr>
              <w:br/>
              <w:t>Assets</w:t>
            </w:r>
          </w:p>
        </w:tc>
        <w:tc>
          <w:tcPr>
            <w:tcW w:w="0" w:type="auto"/>
            <w:gridSpan w:val="3"/>
            <w:tcBorders>
              <w:top w:val="single" w:sz="8" w:space="0" w:color="000000"/>
            </w:tcBorders>
            <w:shd w:val="clear" w:color="auto" w:fill="auto"/>
            <w:tcMar>
              <w:left w:w="20" w:type="dxa"/>
              <w:right w:w="20" w:type="dxa"/>
            </w:tcMar>
            <w:vAlign w:val="bottom"/>
          </w:tcPr>
          <w:p w14:paraId="33DABD9F"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BDA0" w14:textId="77777777" w:rsidR="004D6A64" w:rsidRDefault="00506CD6">
            <w:pPr>
              <w:jc w:val="center"/>
              <w:textAlignment w:val="bottom"/>
            </w:pPr>
            <w:r>
              <w:rPr>
                <w:rFonts w:ascii="Times New Roman" w:eastAsia="宋体" w:hAnsi="Times New Roman"/>
                <w:b/>
                <w:bCs/>
                <w:color w:val="000000"/>
                <w:sz w:val="20"/>
                <w:szCs w:val="20"/>
              </w:rPr>
              <w:t>Other Non-</w:t>
            </w:r>
            <w:r>
              <w:rPr>
                <w:rFonts w:ascii="Times New Roman" w:eastAsia="宋体" w:hAnsi="Times New Roman"/>
                <w:b/>
                <w:bCs/>
                <w:color w:val="000000"/>
                <w:sz w:val="20"/>
                <w:szCs w:val="20"/>
              </w:rPr>
              <w:br/>
              <w:t>Current Assets</w:t>
            </w:r>
          </w:p>
        </w:tc>
        <w:tc>
          <w:tcPr>
            <w:tcW w:w="0" w:type="auto"/>
            <w:gridSpan w:val="3"/>
            <w:tcBorders>
              <w:top w:val="single" w:sz="8" w:space="0" w:color="000000"/>
            </w:tcBorders>
            <w:shd w:val="clear" w:color="auto" w:fill="auto"/>
            <w:tcMar>
              <w:left w:w="20" w:type="dxa"/>
              <w:right w:w="20" w:type="dxa"/>
            </w:tcMar>
            <w:vAlign w:val="bottom"/>
          </w:tcPr>
          <w:p w14:paraId="33DABDA1"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BDA2" w14:textId="77777777" w:rsidR="004D6A64" w:rsidRDefault="00506CD6">
            <w:pPr>
              <w:jc w:val="center"/>
              <w:textAlignment w:val="bottom"/>
            </w:pPr>
            <w:r>
              <w:rPr>
                <w:rFonts w:ascii="Times New Roman" w:eastAsia="宋体" w:hAnsi="Times New Roman"/>
                <w:b/>
                <w:bCs/>
                <w:color w:val="000000"/>
                <w:sz w:val="20"/>
                <w:szCs w:val="20"/>
              </w:rPr>
              <w:t>Other Current</w:t>
            </w:r>
            <w:r>
              <w:rPr>
                <w:rFonts w:ascii="Times New Roman" w:eastAsia="宋体" w:hAnsi="Times New Roman"/>
                <w:b/>
                <w:bCs/>
                <w:color w:val="000000"/>
                <w:sz w:val="20"/>
                <w:szCs w:val="20"/>
              </w:rPr>
              <w:br/>
              <w:t>Liabilities</w:t>
            </w:r>
          </w:p>
        </w:tc>
        <w:tc>
          <w:tcPr>
            <w:tcW w:w="0" w:type="auto"/>
            <w:gridSpan w:val="3"/>
            <w:tcBorders>
              <w:top w:val="single" w:sz="8" w:space="0" w:color="000000"/>
            </w:tcBorders>
            <w:shd w:val="clear" w:color="auto" w:fill="auto"/>
            <w:tcMar>
              <w:left w:w="20" w:type="dxa"/>
              <w:right w:w="20" w:type="dxa"/>
            </w:tcMar>
            <w:vAlign w:val="bottom"/>
          </w:tcPr>
          <w:p w14:paraId="33DABDA3"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BDA4" w14:textId="77777777" w:rsidR="004D6A64" w:rsidRDefault="00506CD6">
            <w:pPr>
              <w:jc w:val="center"/>
              <w:textAlignment w:val="bottom"/>
            </w:pPr>
            <w:r>
              <w:rPr>
                <w:rFonts w:ascii="Times New Roman" w:eastAsia="宋体" w:hAnsi="Times New Roman"/>
                <w:b/>
                <w:bCs/>
                <w:color w:val="000000"/>
                <w:sz w:val="20"/>
                <w:szCs w:val="20"/>
              </w:rPr>
              <w:t>Other Non-Current</w:t>
            </w:r>
            <w:r>
              <w:rPr>
                <w:rFonts w:ascii="Times New Roman" w:eastAsia="宋体" w:hAnsi="Times New Roman"/>
                <w:b/>
                <w:bCs/>
                <w:color w:val="000000"/>
                <w:sz w:val="20"/>
                <w:szCs w:val="20"/>
              </w:rPr>
              <w:br/>
              <w:t>Liabilities</w:t>
            </w:r>
          </w:p>
        </w:tc>
        <w:tc>
          <w:tcPr>
            <w:tcW w:w="0" w:type="auto"/>
            <w:gridSpan w:val="3"/>
            <w:tcBorders>
              <w:top w:val="single" w:sz="8" w:space="0" w:color="000000"/>
            </w:tcBorders>
            <w:shd w:val="clear" w:color="auto" w:fill="auto"/>
            <w:tcMar>
              <w:left w:w="20" w:type="dxa"/>
              <w:right w:w="20" w:type="dxa"/>
            </w:tcMar>
            <w:vAlign w:val="bottom"/>
          </w:tcPr>
          <w:p w14:paraId="33DABDA5"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BDA6" w14:textId="77777777" w:rsidR="004D6A64" w:rsidRDefault="00506CD6">
            <w:pPr>
              <w:jc w:val="center"/>
              <w:textAlignment w:val="bottom"/>
            </w:pPr>
            <w:r>
              <w:rPr>
                <w:rFonts w:ascii="Times New Roman" w:eastAsia="宋体" w:hAnsi="Times New Roman"/>
                <w:b/>
                <w:bCs/>
                <w:color w:val="000000"/>
                <w:sz w:val="20"/>
                <w:szCs w:val="20"/>
              </w:rPr>
              <w:t>Total</w:t>
            </w:r>
            <w:r>
              <w:rPr>
                <w:rFonts w:ascii="Times New Roman" w:eastAsia="宋体" w:hAnsi="Times New Roman"/>
                <w:b/>
                <w:bCs/>
                <w:color w:val="000000"/>
                <w:sz w:val="20"/>
                <w:szCs w:val="20"/>
              </w:rPr>
              <w:br/>
              <w:t>Fair Value</w:t>
            </w:r>
          </w:p>
        </w:tc>
        <w:tc>
          <w:tcPr>
            <w:tcW w:w="0" w:type="auto"/>
            <w:shd w:val="clear" w:color="auto" w:fill="auto"/>
          </w:tcPr>
          <w:p w14:paraId="33DABDA7" w14:textId="77777777" w:rsidR="004D6A64" w:rsidRDefault="004D6A64">
            <w:pPr>
              <w:rPr>
                <w:rFonts w:ascii="宋体"/>
              </w:rPr>
            </w:pPr>
          </w:p>
        </w:tc>
        <w:tc>
          <w:tcPr>
            <w:tcW w:w="0" w:type="auto"/>
            <w:shd w:val="clear" w:color="auto" w:fill="auto"/>
          </w:tcPr>
          <w:p w14:paraId="33DABDA8" w14:textId="77777777" w:rsidR="004D6A64" w:rsidRDefault="004D6A64">
            <w:pPr>
              <w:rPr>
                <w:rFonts w:ascii="宋体"/>
              </w:rPr>
            </w:pPr>
          </w:p>
        </w:tc>
        <w:tc>
          <w:tcPr>
            <w:tcW w:w="0" w:type="auto"/>
            <w:shd w:val="clear" w:color="auto" w:fill="auto"/>
          </w:tcPr>
          <w:p w14:paraId="33DABDA9" w14:textId="77777777" w:rsidR="004D6A64" w:rsidRDefault="004D6A64">
            <w:pPr>
              <w:rPr>
                <w:rFonts w:ascii="宋体"/>
              </w:rPr>
            </w:pPr>
          </w:p>
        </w:tc>
        <w:tc>
          <w:tcPr>
            <w:tcW w:w="0" w:type="auto"/>
            <w:shd w:val="clear" w:color="auto" w:fill="auto"/>
          </w:tcPr>
          <w:p w14:paraId="33DABDAA" w14:textId="77777777" w:rsidR="004D6A64" w:rsidRDefault="004D6A64">
            <w:pPr>
              <w:rPr>
                <w:rFonts w:ascii="宋体"/>
              </w:rPr>
            </w:pPr>
          </w:p>
        </w:tc>
        <w:tc>
          <w:tcPr>
            <w:tcW w:w="0" w:type="auto"/>
            <w:shd w:val="clear" w:color="auto" w:fill="auto"/>
          </w:tcPr>
          <w:p w14:paraId="33DABDAB" w14:textId="77777777" w:rsidR="004D6A64" w:rsidRDefault="004D6A64">
            <w:pPr>
              <w:rPr>
                <w:rFonts w:ascii="宋体"/>
              </w:rPr>
            </w:pPr>
          </w:p>
        </w:tc>
        <w:tc>
          <w:tcPr>
            <w:tcW w:w="0" w:type="auto"/>
            <w:shd w:val="clear" w:color="auto" w:fill="auto"/>
          </w:tcPr>
          <w:p w14:paraId="33DABDAC" w14:textId="77777777" w:rsidR="004D6A64" w:rsidRDefault="004D6A64">
            <w:pPr>
              <w:rPr>
                <w:rFonts w:ascii="宋体"/>
              </w:rPr>
            </w:pPr>
          </w:p>
        </w:tc>
        <w:tc>
          <w:tcPr>
            <w:tcW w:w="0" w:type="auto"/>
            <w:shd w:val="clear" w:color="auto" w:fill="auto"/>
          </w:tcPr>
          <w:p w14:paraId="33DABDAD" w14:textId="77777777" w:rsidR="004D6A64" w:rsidRDefault="004D6A64">
            <w:pPr>
              <w:rPr>
                <w:rFonts w:ascii="宋体"/>
              </w:rPr>
            </w:pPr>
          </w:p>
        </w:tc>
        <w:tc>
          <w:tcPr>
            <w:tcW w:w="0" w:type="auto"/>
            <w:shd w:val="clear" w:color="auto" w:fill="auto"/>
          </w:tcPr>
          <w:p w14:paraId="33DABDAE" w14:textId="77777777" w:rsidR="004D6A64" w:rsidRDefault="004D6A64">
            <w:pPr>
              <w:rPr>
                <w:rFonts w:ascii="宋体"/>
              </w:rPr>
            </w:pPr>
          </w:p>
        </w:tc>
        <w:tc>
          <w:tcPr>
            <w:tcW w:w="0" w:type="auto"/>
            <w:shd w:val="clear" w:color="auto" w:fill="auto"/>
          </w:tcPr>
          <w:p w14:paraId="33DABDAF" w14:textId="77777777" w:rsidR="004D6A64" w:rsidRDefault="004D6A64">
            <w:pPr>
              <w:rPr>
                <w:rFonts w:ascii="宋体"/>
              </w:rPr>
            </w:pPr>
          </w:p>
        </w:tc>
        <w:tc>
          <w:tcPr>
            <w:tcW w:w="0" w:type="auto"/>
            <w:shd w:val="clear" w:color="auto" w:fill="auto"/>
          </w:tcPr>
          <w:p w14:paraId="33DABDB0" w14:textId="77777777" w:rsidR="004D6A64" w:rsidRDefault="004D6A64">
            <w:pPr>
              <w:rPr>
                <w:rFonts w:ascii="宋体"/>
              </w:rPr>
            </w:pPr>
          </w:p>
        </w:tc>
        <w:tc>
          <w:tcPr>
            <w:tcW w:w="0" w:type="auto"/>
            <w:shd w:val="clear" w:color="auto" w:fill="auto"/>
          </w:tcPr>
          <w:p w14:paraId="33DABDB1" w14:textId="77777777" w:rsidR="004D6A64" w:rsidRDefault="004D6A64">
            <w:pPr>
              <w:rPr>
                <w:rFonts w:ascii="宋体"/>
              </w:rPr>
            </w:pPr>
          </w:p>
        </w:tc>
        <w:tc>
          <w:tcPr>
            <w:tcW w:w="0" w:type="auto"/>
            <w:shd w:val="clear" w:color="auto" w:fill="auto"/>
          </w:tcPr>
          <w:p w14:paraId="33DABDB2" w14:textId="77777777" w:rsidR="004D6A64" w:rsidRDefault="004D6A64">
            <w:pPr>
              <w:rPr>
                <w:rFonts w:ascii="宋体"/>
              </w:rPr>
            </w:pPr>
          </w:p>
        </w:tc>
        <w:tc>
          <w:tcPr>
            <w:tcW w:w="0" w:type="auto"/>
            <w:shd w:val="clear" w:color="auto" w:fill="auto"/>
          </w:tcPr>
          <w:p w14:paraId="33DABDB3" w14:textId="77777777" w:rsidR="004D6A64" w:rsidRDefault="004D6A64">
            <w:pPr>
              <w:rPr>
                <w:rFonts w:ascii="宋体"/>
              </w:rPr>
            </w:pPr>
          </w:p>
        </w:tc>
        <w:tc>
          <w:tcPr>
            <w:tcW w:w="0" w:type="auto"/>
            <w:shd w:val="clear" w:color="auto" w:fill="auto"/>
          </w:tcPr>
          <w:p w14:paraId="33DABDB4" w14:textId="77777777" w:rsidR="004D6A64" w:rsidRDefault="004D6A64">
            <w:pPr>
              <w:rPr>
                <w:rFonts w:ascii="宋体"/>
              </w:rPr>
            </w:pPr>
          </w:p>
        </w:tc>
        <w:tc>
          <w:tcPr>
            <w:tcW w:w="0" w:type="auto"/>
            <w:shd w:val="clear" w:color="auto" w:fill="auto"/>
          </w:tcPr>
          <w:p w14:paraId="33DABDB5" w14:textId="77777777" w:rsidR="004D6A64" w:rsidRDefault="004D6A64">
            <w:pPr>
              <w:rPr>
                <w:rFonts w:ascii="宋体"/>
              </w:rPr>
            </w:pPr>
          </w:p>
        </w:tc>
        <w:tc>
          <w:tcPr>
            <w:tcW w:w="0" w:type="auto"/>
            <w:shd w:val="clear" w:color="auto" w:fill="auto"/>
          </w:tcPr>
          <w:p w14:paraId="33DABDB6" w14:textId="77777777" w:rsidR="004D6A64" w:rsidRDefault="004D6A64">
            <w:pPr>
              <w:rPr>
                <w:rFonts w:ascii="宋体"/>
              </w:rPr>
            </w:pPr>
          </w:p>
        </w:tc>
        <w:tc>
          <w:tcPr>
            <w:tcW w:w="0" w:type="auto"/>
            <w:shd w:val="clear" w:color="auto" w:fill="auto"/>
          </w:tcPr>
          <w:p w14:paraId="33DABDB7" w14:textId="77777777" w:rsidR="004D6A64" w:rsidRDefault="004D6A64">
            <w:pPr>
              <w:rPr>
                <w:rFonts w:ascii="宋体"/>
              </w:rPr>
            </w:pPr>
          </w:p>
        </w:tc>
        <w:tc>
          <w:tcPr>
            <w:tcW w:w="0" w:type="auto"/>
            <w:shd w:val="clear" w:color="auto" w:fill="auto"/>
          </w:tcPr>
          <w:p w14:paraId="33DABDB8" w14:textId="77777777" w:rsidR="004D6A64" w:rsidRDefault="004D6A64">
            <w:pPr>
              <w:rPr>
                <w:rFonts w:ascii="宋体"/>
              </w:rPr>
            </w:pPr>
          </w:p>
        </w:tc>
        <w:tc>
          <w:tcPr>
            <w:tcW w:w="0" w:type="auto"/>
            <w:shd w:val="clear" w:color="auto" w:fill="auto"/>
          </w:tcPr>
          <w:p w14:paraId="33DABDB9" w14:textId="77777777" w:rsidR="004D6A64" w:rsidRDefault="004D6A64">
            <w:pPr>
              <w:rPr>
                <w:rFonts w:ascii="宋体"/>
              </w:rPr>
            </w:pPr>
          </w:p>
        </w:tc>
        <w:tc>
          <w:tcPr>
            <w:tcW w:w="0" w:type="auto"/>
            <w:shd w:val="clear" w:color="auto" w:fill="auto"/>
          </w:tcPr>
          <w:p w14:paraId="33DABDBA" w14:textId="77777777" w:rsidR="004D6A64" w:rsidRDefault="004D6A64">
            <w:pPr>
              <w:rPr>
                <w:rFonts w:ascii="宋体"/>
              </w:rPr>
            </w:pPr>
          </w:p>
        </w:tc>
        <w:tc>
          <w:tcPr>
            <w:tcW w:w="0" w:type="auto"/>
            <w:shd w:val="clear" w:color="auto" w:fill="auto"/>
          </w:tcPr>
          <w:p w14:paraId="33DABDBB" w14:textId="77777777" w:rsidR="004D6A64" w:rsidRDefault="004D6A64">
            <w:pPr>
              <w:rPr>
                <w:rFonts w:ascii="宋体"/>
              </w:rPr>
            </w:pPr>
          </w:p>
        </w:tc>
        <w:tc>
          <w:tcPr>
            <w:tcW w:w="0" w:type="auto"/>
            <w:shd w:val="clear" w:color="auto" w:fill="auto"/>
          </w:tcPr>
          <w:p w14:paraId="33DABDBC" w14:textId="77777777" w:rsidR="004D6A64" w:rsidRDefault="004D6A64">
            <w:pPr>
              <w:rPr>
                <w:rFonts w:ascii="宋体"/>
              </w:rPr>
            </w:pPr>
          </w:p>
        </w:tc>
        <w:tc>
          <w:tcPr>
            <w:tcW w:w="0" w:type="auto"/>
            <w:shd w:val="clear" w:color="auto" w:fill="auto"/>
          </w:tcPr>
          <w:p w14:paraId="33DABDBD" w14:textId="77777777" w:rsidR="004D6A64" w:rsidRDefault="004D6A64">
            <w:pPr>
              <w:rPr>
                <w:rFonts w:ascii="宋体"/>
              </w:rPr>
            </w:pPr>
          </w:p>
        </w:tc>
        <w:tc>
          <w:tcPr>
            <w:tcW w:w="0" w:type="auto"/>
            <w:shd w:val="clear" w:color="auto" w:fill="auto"/>
          </w:tcPr>
          <w:p w14:paraId="33DABDBE" w14:textId="77777777" w:rsidR="004D6A64" w:rsidRDefault="004D6A64">
            <w:pPr>
              <w:rPr>
                <w:rFonts w:ascii="宋体"/>
              </w:rPr>
            </w:pPr>
          </w:p>
        </w:tc>
      </w:tr>
      <w:tr w:rsidR="004D6A64" w14:paraId="33DABDCA" w14:textId="77777777">
        <w:trPr>
          <w:gridAfter w:val="3"/>
        </w:trPr>
        <w:tc>
          <w:tcPr>
            <w:tcW w:w="0" w:type="auto"/>
            <w:gridSpan w:val="3"/>
            <w:shd w:val="clear" w:color="auto" w:fill="auto"/>
            <w:tcMar>
              <w:top w:w="40" w:type="dxa"/>
              <w:left w:w="20" w:type="dxa"/>
              <w:bottom w:w="40" w:type="dxa"/>
              <w:right w:w="20" w:type="dxa"/>
            </w:tcMar>
            <w:vAlign w:val="center"/>
          </w:tcPr>
          <w:p w14:paraId="33DABDC0" w14:textId="77777777" w:rsidR="004D6A64" w:rsidRDefault="00506CD6">
            <w:pPr>
              <w:jc w:val="center"/>
              <w:textAlignment w:val="center"/>
            </w:pPr>
            <w:r>
              <w:rPr>
                <w:rFonts w:ascii="Times New Roman" w:eastAsia="宋体" w:hAnsi="Times New Roman"/>
                <w:color w:val="000000"/>
                <w:sz w:val="20"/>
                <w:szCs w:val="20"/>
              </w:rPr>
              <w:t> </w:t>
            </w:r>
          </w:p>
        </w:tc>
        <w:tc>
          <w:tcPr>
            <w:tcW w:w="0" w:type="auto"/>
            <w:gridSpan w:val="27"/>
            <w:tcBorders>
              <w:top w:val="single" w:sz="8" w:space="0" w:color="000000"/>
            </w:tcBorders>
            <w:shd w:val="clear" w:color="auto" w:fill="auto"/>
            <w:tcMar>
              <w:top w:w="40" w:type="dxa"/>
              <w:left w:w="20" w:type="dxa"/>
              <w:bottom w:w="40" w:type="dxa"/>
              <w:right w:w="20" w:type="dxa"/>
            </w:tcMar>
            <w:vAlign w:val="center"/>
          </w:tcPr>
          <w:p w14:paraId="33DABDC1" w14:textId="77777777" w:rsidR="004D6A64" w:rsidRDefault="00506CD6">
            <w:pPr>
              <w:jc w:val="center"/>
              <w:textAlignment w:val="center"/>
            </w:pPr>
            <w:r>
              <w:rPr>
                <w:rFonts w:ascii="Times New Roman" w:eastAsia="宋体" w:hAnsi="Times New Roman"/>
                <w:color w:val="000000"/>
                <w:sz w:val="20"/>
                <w:szCs w:val="20"/>
              </w:rPr>
              <w:t>(in millions)</w:t>
            </w:r>
          </w:p>
        </w:tc>
        <w:tc>
          <w:tcPr>
            <w:tcW w:w="0" w:type="auto"/>
            <w:gridSpan w:val="3"/>
            <w:shd w:val="clear" w:color="auto" w:fill="auto"/>
          </w:tcPr>
          <w:p w14:paraId="33DABDC2" w14:textId="77777777" w:rsidR="004D6A64" w:rsidRDefault="004D6A64">
            <w:pPr>
              <w:rPr>
                <w:rFonts w:ascii="宋体"/>
                <w:vanish/>
              </w:rPr>
            </w:pPr>
          </w:p>
        </w:tc>
        <w:tc>
          <w:tcPr>
            <w:tcW w:w="0" w:type="auto"/>
            <w:gridSpan w:val="3"/>
            <w:shd w:val="clear" w:color="auto" w:fill="auto"/>
          </w:tcPr>
          <w:p w14:paraId="33DABDC3" w14:textId="77777777" w:rsidR="004D6A64" w:rsidRDefault="004D6A64">
            <w:pPr>
              <w:rPr>
                <w:rFonts w:ascii="宋体"/>
                <w:vanish/>
              </w:rPr>
            </w:pPr>
          </w:p>
        </w:tc>
        <w:tc>
          <w:tcPr>
            <w:tcW w:w="0" w:type="auto"/>
            <w:gridSpan w:val="3"/>
            <w:shd w:val="clear" w:color="auto" w:fill="auto"/>
          </w:tcPr>
          <w:p w14:paraId="33DABDC4" w14:textId="77777777" w:rsidR="004D6A64" w:rsidRDefault="004D6A64">
            <w:pPr>
              <w:rPr>
                <w:rFonts w:ascii="宋体"/>
                <w:vanish/>
              </w:rPr>
            </w:pPr>
          </w:p>
        </w:tc>
        <w:tc>
          <w:tcPr>
            <w:tcW w:w="0" w:type="auto"/>
            <w:gridSpan w:val="3"/>
            <w:shd w:val="clear" w:color="auto" w:fill="auto"/>
          </w:tcPr>
          <w:p w14:paraId="33DABDC5" w14:textId="77777777" w:rsidR="004D6A64" w:rsidRDefault="004D6A64">
            <w:pPr>
              <w:rPr>
                <w:rFonts w:ascii="宋体"/>
                <w:vanish/>
              </w:rPr>
            </w:pPr>
          </w:p>
        </w:tc>
        <w:tc>
          <w:tcPr>
            <w:tcW w:w="0" w:type="auto"/>
            <w:gridSpan w:val="3"/>
            <w:shd w:val="clear" w:color="auto" w:fill="auto"/>
          </w:tcPr>
          <w:p w14:paraId="33DABDC6" w14:textId="77777777" w:rsidR="004D6A64" w:rsidRDefault="004D6A64">
            <w:pPr>
              <w:rPr>
                <w:rFonts w:ascii="宋体"/>
                <w:vanish/>
              </w:rPr>
            </w:pPr>
          </w:p>
        </w:tc>
        <w:tc>
          <w:tcPr>
            <w:tcW w:w="0" w:type="auto"/>
            <w:gridSpan w:val="3"/>
            <w:shd w:val="clear" w:color="auto" w:fill="auto"/>
          </w:tcPr>
          <w:p w14:paraId="33DABDC7" w14:textId="77777777" w:rsidR="004D6A64" w:rsidRDefault="004D6A64">
            <w:pPr>
              <w:rPr>
                <w:rFonts w:ascii="宋体"/>
                <w:vanish/>
              </w:rPr>
            </w:pPr>
          </w:p>
        </w:tc>
        <w:tc>
          <w:tcPr>
            <w:tcW w:w="0" w:type="auto"/>
            <w:gridSpan w:val="3"/>
            <w:shd w:val="clear" w:color="auto" w:fill="auto"/>
          </w:tcPr>
          <w:p w14:paraId="33DABDC8" w14:textId="77777777" w:rsidR="004D6A64" w:rsidRDefault="004D6A64">
            <w:pPr>
              <w:rPr>
                <w:rFonts w:ascii="宋体"/>
                <w:vanish/>
              </w:rPr>
            </w:pPr>
          </w:p>
        </w:tc>
        <w:tc>
          <w:tcPr>
            <w:tcW w:w="0" w:type="auto"/>
            <w:gridSpan w:val="3"/>
            <w:shd w:val="clear" w:color="auto" w:fill="auto"/>
          </w:tcPr>
          <w:p w14:paraId="33DABDC9" w14:textId="77777777" w:rsidR="004D6A64" w:rsidRDefault="004D6A64">
            <w:pPr>
              <w:rPr>
                <w:rFonts w:ascii="宋体"/>
                <w:vanish/>
              </w:rPr>
            </w:pPr>
          </w:p>
        </w:tc>
      </w:tr>
      <w:tr w:rsidR="004D6A64" w14:paraId="33DABDED" w14:textId="77777777">
        <w:trPr>
          <w:gridAfter w:val="3"/>
        </w:trPr>
        <w:tc>
          <w:tcPr>
            <w:tcW w:w="0" w:type="auto"/>
            <w:gridSpan w:val="3"/>
            <w:shd w:val="clear" w:color="auto" w:fill="CCEEFF"/>
            <w:tcMar>
              <w:top w:w="40" w:type="dxa"/>
              <w:left w:w="20" w:type="dxa"/>
              <w:bottom w:w="40" w:type="dxa"/>
              <w:right w:w="20" w:type="dxa"/>
            </w:tcMar>
            <w:vAlign w:val="center"/>
          </w:tcPr>
          <w:p w14:paraId="33DABDCB" w14:textId="77777777" w:rsidR="004D6A64" w:rsidRDefault="00506CD6">
            <w:pPr>
              <w:textAlignment w:val="center"/>
            </w:pPr>
            <w:r>
              <w:rPr>
                <w:rFonts w:ascii="Times New Roman" w:eastAsia="宋体" w:hAnsi="Times New Roman"/>
                <w:i/>
                <w:iCs/>
                <w:color w:val="000000"/>
                <w:sz w:val="20"/>
                <w:szCs w:val="20"/>
              </w:rPr>
              <w:t>Derivatives designated as hedging instruments:</w:t>
            </w:r>
          </w:p>
        </w:tc>
        <w:tc>
          <w:tcPr>
            <w:tcW w:w="0" w:type="auto"/>
            <w:gridSpan w:val="3"/>
            <w:shd w:val="clear" w:color="auto" w:fill="CCEEFF"/>
            <w:tcMar>
              <w:left w:w="20" w:type="dxa"/>
              <w:right w:w="20" w:type="dxa"/>
            </w:tcMar>
            <w:vAlign w:val="bottom"/>
          </w:tcPr>
          <w:p w14:paraId="33DABDC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DC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DCE"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DCF"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DD0"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DD1"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DD2"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DD3"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DD4" w14:textId="77777777" w:rsidR="004D6A64" w:rsidRDefault="004D6A64">
            <w:pPr>
              <w:rPr>
                <w:rFonts w:ascii="宋体"/>
              </w:rPr>
            </w:pPr>
          </w:p>
        </w:tc>
        <w:tc>
          <w:tcPr>
            <w:tcW w:w="0" w:type="auto"/>
            <w:shd w:val="clear" w:color="auto" w:fill="auto"/>
          </w:tcPr>
          <w:p w14:paraId="33DABDD5" w14:textId="77777777" w:rsidR="004D6A64" w:rsidRDefault="004D6A64">
            <w:pPr>
              <w:rPr>
                <w:rFonts w:ascii="宋体"/>
              </w:rPr>
            </w:pPr>
          </w:p>
        </w:tc>
        <w:tc>
          <w:tcPr>
            <w:tcW w:w="0" w:type="auto"/>
            <w:shd w:val="clear" w:color="auto" w:fill="auto"/>
          </w:tcPr>
          <w:p w14:paraId="33DABDD6" w14:textId="77777777" w:rsidR="004D6A64" w:rsidRDefault="004D6A64">
            <w:pPr>
              <w:rPr>
                <w:rFonts w:ascii="宋体"/>
              </w:rPr>
            </w:pPr>
          </w:p>
        </w:tc>
        <w:tc>
          <w:tcPr>
            <w:tcW w:w="0" w:type="auto"/>
            <w:shd w:val="clear" w:color="auto" w:fill="auto"/>
          </w:tcPr>
          <w:p w14:paraId="33DABDD7" w14:textId="77777777" w:rsidR="004D6A64" w:rsidRDefault="004D6A64">
            <w:pPr>
              <w:rPr>
                <w:rFonts w:ascii="宋体"/>
              </w:rPr>
            </w:pPr>
          </w:p>
        </w:tc>
        <w:tc>
          <w:tcPr>
            <w:tcW w:w="0" w:type="auto"/>
            <w:shd w:val="clear" w:color="auto" w:fill="auto"/>
          </w:tcPr>
          <w:p w14:paraId="33DABDD8" w14:textId="77777777" w:rsidR="004D6A64" w:rsidRDefault="004D6A64">
            <w:pPr>
              <w:rPr>
                <w:rFonts w:ascii="宋体"/>
              </w:rPr>
            </w:pPr>
          </w:p>
        </w:tc>
        <w:tc>
          <w:tcPr>
            <w:tcW w:w="0" w:type="auto"/>
            <w:shd w:val="clear" w:color="auto" w:fill="auto"/>
          </w:tcPr>
          <w:p w14:paraId="33DABDD9" w14:textId="77777777" w:rsidR="004D6A64" w:rsidRDefault="004D6A64">
            <w:pPr>
              <w:rPr>
                <w:rFonts w:ascii="宋体"/>
              </w:rPr>
            </w:pPr>
          </w:p>
        </w:tc>
        <w:tc>
          <w:tcPr>
            <w:tcW w:w="0" w:type="auto"/>
            <w:shd w:val="clear" w:color="auto" w:fill="auto"/>
          </w:tcPr>
          <w:p w14:paraId="33DABDDA" w14:textId="77777777" w:rsidR="004D6A64" w:rsidRDefault="004D6A64">
            <w:pPr>
              <w:rPr>
                <w:rFonts w:ascii="宋体"/>
              </w:rPr>
            </w:pPr>
          </w:p>
        </w:tc>
        <w:tc>
          <w:tcPr>
            <w:tcW w:w="0" w:type="auto"/>
            <w:shd w:val="clear" w:color="auto" w:fill="auto"/>
          </w:tcPr>
          <w:p w14:paraId="33DABDDB" w14:textId="77777777" w:rsidR="004D6A64" w:rsidRDefault="004D6A64">
            <w:pPr>
              <w:rPr>
                <w:rFonts w:ascii="宋体"/>
              </w:rPr>
            </w:pPr>
          </w:p>
        </w:tc>
        <w:tc>
          <w:tcPr>
            <w:tcW w:w="0" w:type="auto"/>
            <w:shd w:val="clear" w:color="auto" w:fill="auto"/>
          </w:tcPr>
          <w:p w14:paraId="33DABDDC" w14:textId="77777777" w:rsidR="004D6A64" w:rsidRDefault="004D6A64">
            <w:pPr>
              <w:rPr>
                <w:rFonts w:ascii="宋体"/>
              </w:rPr>
            </w:pPr>
          </w:p>
        </w:tc>
        <w:tc>
          <w:tcPr>
            <w:tcW w:w="0" w:type="auto"/>
            <w:shd w:val="clear" w:color="auto" w:fill="auto"/>
          </w:tcPr>
          <w:p w14:paraId="33DABDDD" w14:textId="77777777" w:rsidR="004D6A64" w:rsidRDefault="004D6A64">
            <w:pPr>
              <w:rPr>
                <w:rFonts w:ascii="宋体"/>
              </w:rPr>
            </w:pPr>
          </w:p>
        </w:tc>
        <w:tc>
          <w:tcPr>
            <w:tcW w:w="0" w:type="auto"/>
            <w:shd w:val="clear" w:color="auto" w:fill="auto"/>
          </w:tcPr>
          <w:p w14:paraId="33DABDDE" w14:textId="77777777" w:rsidR="004D6A64" w:rsidRDefault="004D6A64">
            <w:pPr>
              <w:rPr>
                <w:rFonts w:ascii="宋体"/>
              </w:rPr>
            </w:pPr>
          </w:p>
        </w:tc>
        <w:tc>
          <w:tcPr>
            <w:tcW w:w="0" w:type="auto"/>
            <w:shd w:val="clear" w:color="auto" w:fill="auto"/>
          </w:tcPr>
          <w:p w14:paraId="33DABDDF" w14:textId="77777777" w:rsidR="004D6A64" w:rsidRDefault="004D6A64">
            <w:pPr>
              <w:rPr>
                <w:rFonts w:ascii="宋体"/>
              </w:rPr>
            </w:pPr>
          </w:p>
        </w:tc>
        <w:tc>
          <w:tcPr>
            <w:tcW w:w="0" w:type="auto"/>
            <w:shd w:val="clear" w:color="auto" w:fill="auto"/>
          </w:tcPr>
          <w:p w14:paraId="33DABDE0" w14:textId="77777777" w:rsidR="004D6A64" w:rsidRDefault="004D6A64">
            <w:pPr>
              <w:rPr>
                <w:rFonts w:ascii="宋体"/>
              </w:rPr>
            </w:pPr>
          </w:p>
        </w:tc>
        <w:tc>
          <w:tcPr>
            <w:tcW w:w="0" w:type="auto"/>
            <w:shd w:val="clear" w:color="auto" w:fill="auto"/>
          </w:tcPr>
          <w:p w14:paraId="33DABDE1" w14:textId="77777777" w:rsidR="004D6A64" w:rsidRDefault="004D6A64">
            <w:pPr>
              <w:rPr>
                <w:rFonts w:ascii="宋体"/>
              </w:rPr>
            </w:pPr>
          </w:p>
        </w:tc>
        <w:tc>
          <w:tcPr>
            <w:tcW w:w="0" w:type="auto"/>
            <w:shd w:val="clear" w:color="auto" w:fill="auto"/>
          </w:tcPr>
          <w:p w14:paraId="33DABDE2" w14:textId="77777777" w:rsidR="004D6A64" w:rsidRDefault="004D6A64">
            <w:pPr>
              <w:rPr>
                <w:rFonts w:ascii="宋体"/>
              </w:rPr>
            </w:pPr>
          </w:p>
        </w:tc>
        <w:tc>
          <w:tcPr>
            <w:tcW w:w="0" w:type="auto"/>
            <w:shd w:val="clear" w:color="auto" w:fill="auto"/>
          </w:tcPr>
          <w:p w14:paraId="33DABDE3" w14:textId="77777777" w:rsidR="004D6A64" w:rsidRDefault="004D6A64">
            <w:pPr>
              <w:rPr>
                <w:rFonts w:ascii="宋体"/>
              </w:rPr>
            </w:pPr>
          </w:p>
        </w:tc>
        <w:tc>
          <w:tcPr>
            <w:tcW w:w="0" w:type="auto"/>
            <w:shd w:val="clear" w:color="auto" w:fill="auto"/>
          </w:tcPr>
          <w:p w14:paraId="33DABDE4" w14:textId="77777777" w:rsidR="004D6A64" w:rsidRDefault="004D6A64">
            <w:pPr>
              <w:rPr>
                <w:rFonts w:ascii="宋体"/>
              </w:rPr>
            </w:pPr>
          </w:p>
        </w:tc>
        <w:tc>
          <w:tcPr>
            <w:tcW w:w="0" w:type="auto"/>
            <w:shd w:val="clear" w:color="auto" w:fill="auto"/>
          </w:tcPr>
          <w:p w14:paraId="33DABDE5" w14:textId="77777777" w:rsidR="004D6A64" w:rsidRDefault="004D6A64">
            <w:pPr>
              <w:rPr>
                <w:rFonts w:ascii="宋体"/>
              </w:rPr>
            </w:pPr>
          </w:p>
        </w:tc>
        <w:tc>
          <w:tcPr>
            <w:tcW w:w="0" w:type="auto"/>
            <w:shd w:val="clear" w:color="auto" w:fill="auto"/>
          </w:tcPr>
          <w:p w14:paraId="33DABDE6" w14:textId="77777777" w:rsidR="004D6A64" w:rsidRDefault="004D6A64">
            <w:pPr>
              <w:rPr>
                <w:rFonts w:ascii="宋体"/>
              </w:rPr>
            </w:pPr>
          </w:p>
        </w:tc>
        <w:tc>
          <w:tcPr>
            <w:tcW w:w="0" w:type="auto"/>
            <w:shd w:val="clear" w:color="auto" w:fill="auto"/>
          </w:tcPr>
          <w:p w14:paraId="33DABDE7" w14:textId="77777777" w:rsidR="004D6A64" w:rsidRDefault="004D6A64">
            <w:pPr>
              <w:rPr>
                <w:rFonts w:ascii="宋体"/>
              </w:rPr>
            </w:pPr>
          </w:p>
        </w:tc>
        <w:tc>
          <w:tcPr>
            <w:tcW w:w="0" w:type="auto"/>
            <w:shd w:val="clear" w:color="auto" w:fill="auto"/>
          </w:tcPr>
          <w:p w14:paraId="33DABDE8" w14:textId="77777777" w:rsidR="004D6A64" w:rsidRDefault="004D6A64">
            <w:pPr>
              <w:rPr>
                <w:rFonts w:ascii="宋体"/>
              </w:rPr>
            </w:pPr>
          </w:p>
        </w:tc>
        <w:tc>
          <w:tcPr>
            <w:tcW w:w="0" w:type="auto"/>
            <w:shd w:val="clear" w:color="auto" w:fill="auto"/>
          </w:tcPr>
          <w:p w14:paraId="33DABDE9" w14:textId="77777777" w:rsidR="004D6A64" w:rsidRDefault="004D6A64">
            <w:pPr>
              <w:rPr>
                <w:rFonts w:ascii="宋体"/>
              </w:rPr>
            </w:pPr>
          </w:p>
        </w:tc>
        <w:tc>
          <w:tcPr>
            <w:tcW w:w="0" w:type="auto"/>
            <w:shd w:val="clear" w:color="auto" w:fill="auto"/>
          </w:tcPr>
          <w:p w14:paraId="33DABDEA" w14:textId="77777777" w:rsidR="004D6A64" w:rsidRDefault="004D6A64">
            <w:pPr>
              <w:rPr>
                <w:rFonts w:ascii="宋体"/>
              </w:rPr>
            </w:pPr>
          </w:p>
        </w:tc>
        <w:tc>
          <w:tcPr>
            <w:tcW w:w="0" w:type="auto"/>
            <w:shd w:val="clear" w:color="auto" w:fill="auto"/>
          </w:tcPr>
          <w:p w14:paraId="33DABDEB" w14:textId="77777777" w:rsidR="004D6A64" w:rsidRDefault="004D6A64">
            <w:pPr>
              <w:rPr>
                <w:rFonts w:ascii="宋体"/>
              </w:rPr>
            </w:pPr>
          </w:p>
        </w:tc>
        <w:tc>
          <w:tcPr>
            <w:tcW w:w="0" w:type="auto"/>
            <w:shd w:val="clear" w:color="auto" w:fill="auto"/>
          </w:tcPr>
          <w:p w14:paraId="33DABDEC" w14:textId="77777777" w:rsidR="004D6A64" w:rsidRDefault="004D6A64">
            <w:pPr>
              <w:rPr>
                <w:rFonts w:ascii="宋体"/>
              </w:rPr>
            </w:pPr>
          </w:p>
        </w:tc>
      </w:tr>
      <w:tr w:rsidR="004D6A64" w14:paraId="33DABE1A" w14:textId="77777777">
        <w:trPr>
          <w:gridAfter w:val="3"/>
        </w:trPr>
        <w:tc>
          <w:tcPr>
            <w:tcW w:w="0" w:type="auto"/>
            <w:gridSpan w:val="3"/>
            <w:shd w:val="clear" w:color="auto" w:fill="FFFFFF"/>
            <w:tcMar>
              <w:top w:w="40" w:type="dxa"/>
              <w:left w:w="20" w:type="dxa"/>
              <w:bottom w:w="40" w:type="dxa"/>
              <w:right w:w="20" w:type="dxa"/>
            </w:tcMar>
            <w:vAlign w:val="center"/>
          </w:tcPr>
          <w:p w14:paraId="33DABDEE" w14:textId="77777777" w:rsidR="004D6A64" w:rsidRDefault="00506CD6">
            <w:pPr>
              <w:textAlignment w:val="center"/>
            </w:pPr>
            <w:r>
              <w:rPr>
                <w:rFonts w:ascii="Times New Roman" w:eastAsia="宋体" w:hAnsi="Times New Roman"/>
                <w:color w:val="000000"/>
                <w:sz w:val="20"/>
                <w:szCs w:val="20"/>
              </w:rPr>
              <w:t>Foreign exchange contracts in an asset position</w:t>
            </w:r>
          </w:p>
        </w:tc>
        <w:tc>
          <w:tcPr>
            <w:tcW w:w="0" w:type="auto"/>
            <w:shd w:val="clear" w:color="auto" w:fill="FFFFFF"/>
            <w:tcMar>
              <w:top w:w="40" w:type="dxa"/>
              <w:left w:w="20" w:type="dxa"/>
              <w:bottom w:w="40" w:type="dxa"/>
            </w:tcMar>
            <w:vAlign w:val="center"/>
          </w:tcPr>
          <w:p w14:paraId="33DABDEF"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BDF0" w14:textId="77777777" w:rsidR="004D6A64" w:rsidRDefault="00506CD6">
            <w:pPr>
              <w:jc w:val="right"/>
              <w:textAlignment w:val="center"/>
            </w:pPr>
            <w:r>
              <w:rPr>
                <w:rFonts w:ascii="Times New Roman" w:eastAsia="宋体" w:hAnsi="Times New Roman"/>
                <w:color w:val="000000"/>
                <w:sz w:val="20"/>
                <w:szCs w:val="20"/>
              </w:rPr>
              <w:t>15 </w:t>
            </w:r>
          </w:p>
        </w:tc>
        <w:tc>
          <w:tcPr>
            <w:tcW w:w="0" w:type="auto"/>
            <w:shd w:val="clear" w:color="auto" w:fill="FFFFFF"/>
            <w:tcMar>
              <w:top w:w="40" w:type="dxa"/>
              <w:bottom w:w="40" w:type="dxa"/>
              <w:right w:w="20" w:type="dxa"/>
            </w:tcMar>
            <w:vAlign w:val="center"/>
          </w:tcPr>
          <w:p w14:paraId="33DABDF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DF2"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BDF3"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BDF4"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BDF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DF6"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BDF7"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BDF8" w14:textId="77777777" w:rsidR="004D6A64" w:rsidRDefault="00506CD6">
            <w:pPr>
              <w:jc w:val="right"/>
              <w:textAlignment w:val="center"/>
            </w:pPr>
            <w:r>
              <w:rPr>
                <w:rFonts w:ascii="Times New Roman" w:eastAsia="宋体" w:hAnsi="Times New Roman"/>
                <w:color w:val="000000"/>
                <w:sz w:val="20"/>
                <w:szCs w:val="20"/>
              </w:rPr>
              <w:t>16 </w:t>
            </w:r>
          </w:p>
        </w:tc>
        <w:tc>
          <w:tcPr>
            <w:tcW w:w="0" w:type="auto"/>
            <w:shd w:val="clear" w:color="auto" w:fill="FFFFFF"/>
            <w:tcMar>
              <w:top w:w="40" w:type="dxa"/>
              <w:bottom w:w="40" w:type="dxa"/>
              <w:right w:w="20" w:type="dxa"/>
            </w:tcMar>
            <w:vAlign w:val="center"/>
          </w:tcPr>
          <w:p w14:paraId="33DABDF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DFA"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BDFB"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BDFC"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BDF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DFE"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BDFF"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BE00" w14:textId="77777777" w:rsidR="004D6A64" w:rsidRDefault="00506CD6">
            <w:pPr>
              <w:jc w:val="right"/>
              <w:textAlignment w:val="center"/>
            </w:pPr>
            <w:r>
              <w:rPr>
                <w:rFonts w:ascii="Times New Roman" w:eastAsia="宋体" w:hAnsi="Times New Roman"/>
                <w:color w:val="000000"/>
                <w:sz w:val="20"/>
                <w:szCs w:val="20"/>
              </w:rPr>
              <w:t>31 </w:t>
            </w:r>
          </w:p>
        </w:tc>
        <w:tc>
          <w:tcPr>
            <w:tcW w:w="0" w:type="auto"/>
            <w:shd w:val="clear" w:color="auto" w:fill="FFFFFF"/>
            <w:tcMar>
              <w:top w:w="40" w:type="dxa"/>
              <w:bottom w:w="40" w:type="dxa"/>
              <w:right w:w="20" w:type="dxa"/>
            </w:tcMar>
            <w:vAlign w:val="center"/>
          </w:tcPr>
          <w:p w14:paraId="33DABE01" w14:textId="77777777" w:rsidR="004D6A64" w:rsidRDefault="004D6A64">
            <w:pPr>
              <w:jc w:val="right"/>
              <w:rPr>
                <w:rFonts w:ascii="宋体"/>
              </w:rPr>
            </w:pPr>
          </w:p>
        </w:tc>
        <w:tc>
          <w:tcPr>
            <w:tcW w:w="0" w:type="auto"/>
            <w:shd w:val="clear" w:color="auto" w:fill="auto"/>
          </w:tcPr>
          <w:p w14:paraId="33DABE02" w14:textId="77777777" w:rsidR="004D6A64" w:rsidRDefault="004D6A64">
            <w:pPr>
              <w:rPr>
                <w:rFonts w:ascii="宋体"/>
              </w:rPr>
            </w:pPr>
          </w:p>
        </w:tc>
        <w:tc>
          <w:tcPr>
            <w:tcW w:w="0" w:type="auto"/>
            <w:shd w:val="clear" w:color="auto" w:fill="auto"/>
          </w:tcPr>
          <w:p w14:paraId="33DABE03" w14:textId="77777777" w:rsidR="004D6A64" w:rsidRDefault="004D6A64">
            <w:pPr>
              <w:rPr>
                <w:rFonts w:ascii="宋体"/>
              </w:rPr>
            </w:pPr>
          </w:p>
        </w:tc>
        <w:tc>
          <w:tcPr>
            <w:tcW w:w="0" w:type="auto"/>
            <w:shd w:val="clear" w:color="auto" w:fill="auto"/>
          </w:tcPr>
          <w:p w14:paraId="33DABE04" w14:textId="77777777" w:rsidR="004D6A64" w:rsidRDefault="004D6A64">
            <w:pPr>
              <w:rPr>
                <w:rFonts w:ascii="宋体"/>
              </w:rPr>
            </w:pPr>
          </w:p>
        </w:tc>
        <w:tc>
          <w:tcPr>
            <w:tcW w:w="0" w:type="auto"/>
            <w:shd w:val="clear" w:color="auto" w:fill="auto"/>
          </w:tcPr>
          <w:p w14:paraId="33DABE05" w14:textId="77777777" w:rsidR="004D6A64" w:rsidRDefault="004D6A64">
            <w:pPr>
              <w:rPr>
                <w:rFonts w:ascii="宋体"/>
              </w:rPr>
            </w:pPr>
          </w:p>
        </w:tc>
        <w:tc>
          <w:tcPr>
            <w:tcW w:w="0" w:type="auto"/>
            <w:shd w:val="clear" w:color="auto" w:fill="auto"/>
          </w:tcPr>
          <w:p w14:paraId="33DABE06" w14:textId="77777777" w:rsidR="004D6A64" w:rsidRDefault="004D6A64">
            <w:pPr>
              <w:rPr>
                <w:rFonts w:ascii="宋体"/>
              </w:rPr>
            </w:pPr>
          </w:p>
        </w:tc>
        <w:tc>
          <w:tcPr>
            <w:tcW w:w="0" w:type="auto"/>
            <w:shd w:val="clear" w:color="auto" w:fill="auto"/>
          </w:tcPr>
          <w:p w14:paraId="33DABE07" w14:textId="77777777" w:rsidR="004D6A64" w:rsidRDefault="004D6A64">
            <w:pPr>
              <w:rPr>
                <w:rFonts w:ascii="宋体"/>
              </w:rPr>
            </w:pPr>
          </w:p>
        </w:tc>
        <w:tc>
          <w:tcPr>
            <w:tcW w:w="0" w:type="auto"/>
            <w:shd w:val="clear" w:color="auto" w:fill="auto"/>
          </w:tcPr>
          <w:p w14:paraId="33DABE08" w14:textId="77777777" w:rsidR="004D6A64" w:rsidRDefault="004D6A64">
            <w:pPr>
              <w:rPr>
                <w:rFonts w:ascii="宋体"/>
              </w:rPr>
            </w:pPr>
          </w:p>
        </w:tc>
        <w:tc>
          <w:tcPr>
            <w:tcW w:w="0" w:type="auto"/>
            <w:shd w:val="clear" w:color="auto" w:fill="auto"/>
          </w:tcPr>
          <w:p w14:paraId="33DABE09" w14:textId="77777777" w:rsidR="004D6A64" w:rsidRDefault="004D6A64">
            <w:pPr>
              <w:rPr>
                <w:rFonts w:ascii="宋体"/>
              </w:rPr>
            </w:pPr>
          </w:p>
        </w:tc>
        <w:tc>
          <w:tcPr>
            <w:tcW w:w="0" w:type="auto"/>
            <w:shd w:val="clear" w:color="auto" w:fill="auto"/>
          </w:tcPr>
          <w:p w14:paraId="33DABE0A" w14:textId="77777777" w:rsidR="004D6A64" w:rsidRDefault="004D6A64">
            <w:pPr>
              <w:rPr>
                <w:rFonts w:ascii="宋体"/>
              </w:rPr>
            </w:pPr>
          </w:p>
        </w:tc>
        <w:tc>
          <w:tcPr>
            <w:tcW w:w="0" w:type="auto"/>
            <w:shd w:val="clear" w:color="auto" w:fill="auto"/>
          </w:tcPr>
          <w:p w14:paraId="33DABE0B" w14:textId="77777777" w:rsidR="004D6A64" w:rsidRDefault="004D6A64">
            <w:pPr>
              <w:rPr>
                <w:rFonts w:ascii="宋体"/>
              </w:rPr>
            </w:pPr>
          </w:p>
        </w:tc>
        <w:tc>
          <w:tcPr>
            <w:tcW w:w="0" w:type="auto"/>
            <w:shd w:val="clear" w:color="auto" w:fill="auto"/>
          </w:tcPr>
          <w:p w14:paraId="33DABE0C" w14:textId="77777777" w:rsidR="004D6A64" w:rsidRDefault="004D6A64">
            <w:pPr>
              <w:rPr>
                <w:rFonts w:ascii="宋体"/>
              </w:rPr>
            </w:pPr>
          </w:p>
        </w:tc>
        <w:tc>
          <w:tcPr>
            <w:tcW w:w="0" w:type="auto"/>
            <w:shd w:val="clear" w:color="auto" w:fill="auto"/>
          </w:tcPr>
          <w:p w14:paraId="33DABE0D" w14:textId="77777777" w:rsidR="004D6A64" w:rsidRDefault="004D6A64">
            <w:pPr>
              <w:rPr>
                <w:rFonts w:ascii="宋体"/>
              </w:rPr>
            </w:pPr>
          </w:p>
        </w:tc>
        <w:tc>
          <w:tcPr>
            <w:tcW w:w="0" w:type="auto"/>
            <w:shd w:val="clear" w:color="auto" w:fill="auto"/>
          </w:tcPr>
          <w:p w14:paraId="33DABE0E" w14:textId="77777777" w:rsidR="004D6A64" w:rsidRDefault="004D6A64">
            <w:pPr>
              <w:rPr>
                <w:rFonts w:ascii="宋体"/>
              </w:rPr>
            </w:pPr>
          </w:p>
        </w:tc>
        <w:tc>
          <w:tcPr>
            <w:tcW w:w="0" w:type="auto"/>
            <w:shd w:val="clear" w:color="auto" w:fill="auto"/>
          </w:tcPr>
          <w:p w14:paraId="33DABE0F" w14:textId="77777777" w:rsidR="004D6A64" w:rsidRDefault="004D6A64">
            <w:pPr>
              <w:rPr>
                <w:rFonts w:ascii="宋体"/>
              </w:rPr>
            </w:pPr>
          </w:p>
        </w:tc>
        <w:tc>
          <w:tcPr>
            <w:tcW w:w="0" w:type="auto"/>
            <w:shd w:val="clear" w:color="auto" w:fill="auto"/>
          </w:tcPr>
          <w:p w14:paraId="33DABE10" w14:textId="77777777" w:rsidR="004D6A64" w:rsidRDefault="004D6A64">
            <w:pPr>
              <w:rPr>
                <w:rFonts w:ascii="宋体"/>
              </w:rPr>
            </w:pPr>
          </w:p>
        </w:tc>
        <w:tc>
          <w:tcPr>
            <w:tcW w:w="0" w:type="auto"/>
            <w:shd w:val="clear" w:color="auto" w:fill="auto"/>
          </w:tcPr>
          <w:p w14:paraId="33DABE11" w14:textId="77777777" w:rsidR="004D6A64" w:rsidRDefault="004D6A64">
            <w:pPr>
              <w:rPr>
                <w:rFonts w:ascii="宋体"/>
              </w:rPr>
            </w:pPr>
          </w:p>
        </w:tc>
        <w:tc>
          <w:tcPr>
            <w:tcW w:w="0" w:type="auto"/>
            <w:shd w:val="clear" w:color="auto" w:fill="auto"/>
          </w:tcPr>
          <w:p w14:paraId="33DABE12" w14:textId="77777777" w:rsidR="004D6A64" w:rsidRDefault="004D6A64">
            <w:pPr>
              <w:rPr>
                <w:rFonts w:ascii="宋体"/>
              </w:rPr>
            </w:pPr>
          </w:p>
        </w:tc>
        <w:tc>
          <w:tcPr>
            <w:tcW w:w="0" w:type="auto"/>
            <w:shd w:val="clear" w:color="auto" w:fill="auto"/>
          </w:tcPr>
          <w:p w14:paraId="33DABE13" w14:textId="77777777" w:rsidR="004D6A64" w:rsidRDefault="004D6A64">
            <w:pPr>
              <w:rPr>
                <w:rFonts w:ascii="宋体"/>
              </w:rPr>
            </w:pPr>
          </w:p>
        </w:tc>
        <w:tc>
          <w:tcPr>
            <w:tcW w:w="0" w:type="auto"/>
            <w:shd w:val="clear" w:color="auto" w:fill="auto"/>
          </w:tcPr>
          <w:p w14:paraId="33DABE14" w14:textId="77777777" w:rsidR="004D6A64" w:rsidRDefault="004D6A64">
            <w:pPr>
              <w:rPr>
                <w:rFonts w:ascii="宋体"/>
              </w:rPr>
            </w:pPr>
          </w:p>
        </w:tc>
        <w:tc>
          <w:tcPr>
            <w:tcW w:w="0" w:type="auto"/>
            <w:shd w:val="clear" w:color="auto" w:fill="auto"/>
          </w:tcPr>
          <w:p w14:paraId="33DABE15" w14:textId="77777777" w:rsidR="004D6A64" w:rsidRDefault="004D6A64">
            <w:pPr>
              <w:rPr>
                <w:rFonts w:ascii="宋体"/>
              </w:rPr>
            </w:pPr>
          </w:p>
        </w:tc>
        <w:tc>
          <w:tcPr>
            <w:tcW w:w="0" w:type="auto"/>
            <w:shd w:val="clear" w:color="auto" w:fill="auto"/>
          </w:tcPr>
          <w:p w14:paraId="33DABE16" w14:textId="77777777" w:rsidR="004D6A64" w:rsidRDefault="004D6A64">
            <w:pPr>
              <w:rPr>
                <w:rFonts w:ascii="宋体"/>
              </w:rPr>
            </w:pPr>
          </w:p>
        </w:tc>
        <w:tc>
          <w:tcPr>
            <w:tcW w:w="0" w:type="auto"/>
            <w:shd w:val="clear" w:color="auto" w:fill="auto"/>
          </w:tcPr>
          <w:p w14:paraId="33DABE17" w14:textId="77777777" w:rsidR="004D6A64" w:rsidRDefault="004D6A64">
            <w:pPr>
              <w:rPr>
                <w:rFonts w:ascii="宋体"/>
              </w:rPr>
            </w:pPr>
          </w:p>
        </w:tc>
        <w:tc>
          <w:tcPr>
            <w:tcW w:w="0" w:type="auto"/>
            <w:shd w:val="clear" w:color="auto" w:fill="auto"/>
          </w:tcPr>
          <w:p w14:paraId="33DABE18" w14:textId="77777777" w:rsidR="004D6A64" w:rsidRDefault="004D6A64">
            <w:pPr>
              <w:rPr>
                <w:rFonts w:ascii="宋体"/>
              </w:rPr>
            </w:pPr>
          </w:p>
        </w:tc>
        <w:tc>
          <w:tcPr>
            <w:tcW w:w="0" w:type="auto"/>
            <w:shd w:val="clear" w:color="auto" w:fill="auto"/>
          </w:tcPr>
          <w:p w14:paraId="33DABE19" w14:textId="77777777" w:rsidR="004D6A64" w:rsidRDefault="004D6A64">
            <w:pPr>
              <w:rPr>
                <w:rFonts w:ascii="宋体"/>
              </w:rPr>
            </w:pPr>
          </w:p>
        </w:tc>
      </w:tr>
      <w:tr w:rsidR="004D6A64" w14:paraId="33DABE42" w14:textId="77777777">
        <w:trPr>
          <w:gridAfter w:val="3"/>
        </w:trPr>
        <w:tc>
          <w:tcPr>
            <w:tcW w:w="0" w:type="auto"/>
            <w:gridSpan w:val="3"/>
            <w:shd w:val="clear" w:color="auto" w:fill="CCEEFF"/>
            <w:tcMar>
              <w:top w:w="40" w:type="dxa"/>
              <w:left w:w="20" w:type="dxa"/>
              <w:bottom w:w="40" w:type="dxa"/>
              <w:right w:w="20" w:type="dxa"/>
            </w:tcMar>
            <w:vAlign w:val="center"/>
          </w:tcPr>
          <w:p w14:paraId="33DABE1B" w14:textId="77777777" w:rsidR="004D6A64" w:rsidRDefault="00506CD6">
            <w:pPr>
              <w:textAlignment w:val="center"/>
            </w:pPr>
            <w:r>
              <w:rPr>
                <w:rFonts w:ascii="Times New Roman" w:eastAsia="宋体" w:hAnsi="Times New Roman"/>
                <w:color w:val="000000"/>
                <w:sz w:val="20"/>
                <w:szCs w:val="20"/>
              </w:rPr>
              <w:t>Fo</w:t>
            </w:r>
            <w:r>
              <w:rPr>
                <w:rFonts w:ascii="Times New Roman" w:eastAsia="宋体" w:hAnsi="Times New Roman"/>
                <w:color w:val="000000"/>
                <w:sz w:val="20"/>
                <w:szCs w:val="20"/>
              </w:rPr>
              <w:t>reign exchange contracts in a liability position</w:t>
            </w:r>
          </w:p>
        </w:tc>
        <w:tc>
          <w:tcPr>
            <w:tcW w:w="0" w:type="auto"/>
            <w:gridSpan w:val="2"/>
            <w:shd w:val="clear" w:color="auto" w:fill="CCEEFF"/>
            <w:tcMar>
              <w:top w:w="40" w:type="dxa"/>
              <w:left w:w="20" w:type="dxa"/>
              <w:bottom w:w="40" w:type="dxa"/>
              <w:right w:w="0" w:type="dxa"/>
            </w:tcMar>
            <w:vAlign w:val="center"/>
          </w:tcPr>
          <w:p w14:paraId="33DABE1C" w14:textId="77777777" w:rsidR="004D6A64" w:rsidRDefault="00506CD6">
            <w:pPr>
              <w:jc w:val="right"/>
              <w:textAlignment w:val="center"/>
            </w:pPr>
            <w:r>
              <w:rPr>
                <w:rFonts w:ascii="Times New Roman" w:eastAsia="宋体" w:hAnsi="Times New Roman"/>
                <w:color w:val="000000"/>
                <w:sz w:val="20"/>
                <w:szCs w:val="20"/>
              </w:rPr>
              <w:t>(37)</w:t>
            </w:r>
          </w:p>
        </w:tc>
        <w:tc>
          <w:tcPr>
            <w:tcW w:w="0" w:type="auto"/>
            <w:shd w:val="clear" w:color="auto" w:fill="CCEEFF"/>
            <w:tcMar>
              <w:top w:w="40" w:type="dxa"/>
              <w:bottom w:w="40" w:type="dxa"/>
              <w:right w:w="20" w:type="dxa"/>
            </w:tcMar>
            <w:vAlign w:val="center"/>
          </w:tcPr>
          <w:p w14:paraId="33DABE1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E1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BE1F"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BE2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E21"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BE22" w14:textId="77777777" w:rsidR="004D6A64" w:rsidRDefault="00506CD6">
            <w:pPr>
              <w:jc w:val="right"/>
              <w:textAlignment w:val="center"/>
            </w:pPr>
            <w:r>
              <w:rPr>
                <w:rFonts w:ascii="Times New Roman" w:eastAsia="宋体" w:hAnsi="Times New Roman"/>
                <w:color w:val="000000"/>
                <w:sz w:val="20"/>
                <w:szCs w:val="20"/>
              </w:rPr>
              <w:t>(77)</w:t>
            </w:r>
          </w:p>
        </w:tc>
        <w:tc>
          <w:tcPr>
            <w:tcW w:w="0" w:type="auto"/>
            <w:shd w:val="clear" w:color="auto" w:fill="CCEEFF"/>
            <w:tcMar>
              <w:top w:w="40" w:type="dxa"/>
              <w:bottom w:w="40" w:type="dxa"/>
              <w:right w:w="20" w:type="dxa"/>
            </w:tcMar>
            <w:vAlign w:val="center"/>
          </w:tcPr>
          <w:p w14:paraId="33DABE2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E24"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BE25"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BE2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E27"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BE28" w14:textId="77777777" w:rsidR="004D6A64" w:rsidRDefault="00506CD6">
            <w:pPr>
              <w:jc w:val="right"/>
              <w:textAlignment w:val="center"/>
            </w:pPr>
            <w:r>
              <w:rPr>
                <w:rFonts w:ascii="Times New Roman" w:eastAsia="宋体" w:hAnsi="Times New Roman"/>
                <w:color w:val="000000"/>
                <w:sz w:val="20"/>
                <w:szCs w:val="20"/>
              </w:rPr>
              <w:t>(114)</w:t>
            </w:r>
          </w:p>
        </w:tc>
        <w:tc>
          <w:tcPr>
            <w:tcW w:w="0" w:type="auto"/>
            <w:shd w:val="clear" w:color="auto" w:fill="CCEEFF"/>
            <w:tcMar>
              <w:top w:w="40" w:type="dxa"/>
              <w:bottom w:w="40" w:type="dxa"/>
              <w:right w:w="20" w:type="dxa"/>
            </w:tcMar>
            <w:vAlign w:val="center"/>
          </w:tcPr>
          <w:p w14:paraId="33DABE29" w14:textId="77777777" w:rsidR="004D6A64" w:rsidRDefault="004D6A64">
            <w:pPr>
              <w:jc w:val="right"/>
              <w:rPr>
                <w:rFonts w:ascii="宋体"/>
              </w:rPr>
            </w:pPr>
          </w:p>
        </w:tc>
        <w:tc>
          <w:tcPr>
            <w:tcW w:w="0" w:type="auto"/>
            <w:shd w:val="clear" w:color="auto" w:fill="auto"/>
          </w:tcPr>
          <w:p w14:paraId="33DABE2A" w14:textId="77777777" w:rsidR="004D6A64" w:rsidRDefault="004D6A64">
            <w:pPr>
              <w:rPr>
                <w:rFonts w:ascii="宋体"/>
              </w:rPr>
            </w:pPr>
          </w:p>
        </w:tc>
        <w:tc>
          <w:tcPr>
            <w:tcW w:w="0" w:type="auto"/>
            <w:shd w:val="clear" w:color="auto" w:fill="auto"/>
          </w:tcPr>
          <w:p w14:paraId="33DABE2B" w14:textId="77777777" w:rsidR="004D6A64" w:rsidRDefault="004D6A64">
            <w:pPr>
              <w:rPr>
                <w:rFonts w:ascii="宋体"/>
              </w:rPr>
            </w:pPr>
          </w:p>
        </w:tc>
        <w:tc>
          <w:tcPr>
            <w:tcW w:w="0" w:type="auto"/>
            <w:shd w:val="clear" w:color="auto" w:fill="auto"/>
          </w:tcPr>
          <w:p w14:paraId="33DABE2C" w14:textId="77777777" w:rsidR="004D6A64" w:rsidRDefault="004D6A64">
            <w:pPr>
              <w:rPr>
                <w:rFonts w:ascii="宋体"/>
              </w:rPr>
            </w:pPr>
          </w:p>
        </w:tc>
        <w:tc>
          <w:tcPr>
            <w:tcW w:w="0" w:type="auto"/>
            <w:shd w:val="clear" w:color="auto" w:fill="auto"/>
          </w:tcPr>
          <w:p w14:paraId="33DABE2D" w14:textId="77777777" w:rsidR="004D6A64" w:rsidRDefault="004D6A64">
            <w:pPr>
              <w:rPr>
                <w:rFonts w:ascii="宋体"/>
              </w:rPr>
            </w:pPr>
          </w:p>
        </w:tc>
        <w:tc>
          <w:tcPr>
            <w:tcW w:w="0" w:type="auto"/>
            <w:shd w:val="clear" w:color="auto" w:fill="auto"/>
          </w:tcPr>
          <w:p w14:paraId="33DABE2E" w14:textId="77777777" w:rsidR="004D6A64" w:rsidRDefault="004D6A64">
            <w:pPr>
              <w:rPr>
                <w:rFonts w:ascii="宋体"/>
              </w:rPr>
            </w:pPr>
          </w:p>
        </w:tc>
        <w:tc>
          <w:tcPr>
            <w:tcW w:w="0" w:type="auto"/>
            <w:shd w:val="clear" w:color="auto" w:fill="auto"/>
          </w:tcPr>
          <w:p w14:paraId="33DABE2F" w14:textId="77777777" w:rsidR="004D6A64" w:rsidRDefault="004D6A64">
            <w:pPr>
              <w:rPr>
                <w:rFonts w:ascii="宋体"/>
              </w:rPr>
            </w:pPr>
          </w:p>
        </w:tc>
        <w:tc>
          <w:tcPr>
            <w:tcW w:w="0" w:type="auto"/>
            <w:shd w:val="clear" w:color="auto" w:fill="auto"/>
          </w:tcPr>
          <w:p w14:paraId="33DABE30" w14:textId="77777777" w:rsidR="004D6A64" w:rsidRDefault="004D6A64">
            <w:pPr>
              <w:rPr>
                <w:rFonts w:ascii="宋体"/>
              </w:rPr>
            </w:pPr>
          </w:p>
        </w:tc>
        <w:tc>
          <w:tcPr>
            <w:tcW w:w="0" w:type="auto"/>
            <w:shd w:val="clear" w:color="auto" w:fill="auto"/>
          </w:tcPr>
          <w:p w14:paraId="33DABE31" w14:textId="77777777" w:rsidR="004D6A64" w:rsidRDefault="004D6A64">
            <w:pPr>
              <w:rPr>
                <w:rFonts w:ascii="宋体"/>
              </w:rPr>
            </w:pPr>
          </w:p>
        </w:tc>
        <w:tc>
          <w:tcPr>
            <w:tcW w:w="0" w:type="auto"/>
            <w:shd w:val="clear" w:color="auto" w:fill="auto"/>
          </w:tcPr>
          <w:p w14:paraId="33DABE32" w14:textId="77777777" w:rsidR="004D6A64" w:rsidRDefault="004D6A64">
            <w:pPr>
              <w:rPr>
                <w:rFonts w:ascii="宋体"/>
              </w:rPr>
            </w:pPr>
          </w:p>
        </w:tc>
        <w:tc>
          <w:tcPr>
            <w:tcW w:w="0" w:type="auto"/>
            <w:shd w:val="clear" w:color="auto" w:fill="auto"/>
          </w:tcPr>
          <w:p w14:paraId="33DABE33" w14:textId="77777777" w:rsidR="004D6A64" w:rsidRDefault="004D6A64">
            <w:pPr>
              <w:rPr>
                <w:rFonts w:ascii="宋体"/>
              </w:rPr>
            </w:pPr>
          </w:p>
        </w:tc>
        <w:tc>
          <w:tcPr>
            <w:tcW w:w="0" w:type="auto"/>
            <w:shd w:val="clear" w:color="auto" w:fill="auto"/>
          </w:tcPr>
          <w:p w14:paraId="33DABE34" w14:textId="77777777" w:rsidR="004D6A64" w:rsidRDefault="004D6A64">
            <w:pPr>
              <w:rPr>
                <w:rFonts w:ascii="宋体"/>
              </w:rPr>
            </w:pPr>
          </w:p>
        </w:tc>
        <w:tc>
          <w:tcPr>
            <w:tcW w:w="0" w:type="auto"/>
            <w:shd w:val="clear" w:color="auto" w:fill="auto"/>
          </w:tcPr>
          <w:p w14:paraId="33DABE35" w14:textId="77777777" w:rsidR="004D6A64" w:rsidRDefault="004D6A64">
            <w:pPr>
              <w:rPr>
                <w:rFonts w:ascii="宋体"/>
              </w:rPr>
            </w:pPr>
          </w:p>
        </w:tc>
        <w:tc>
          <w:tcPr>
            <w:tcW w:w="0" w:type="auto"/>
            <w:shd w:val="clear" w:color="auto" w:fill="auto"/>
          </w:tcPr>
          <w:p w14:paraId="33DABE36" w14:textId="77777777" w:rsidR="004D6A64" w:rsidRDefault="004D6A64">
            <w:pPr>
              <w:rPr>
                <w:rFonts w:ascii="宋体"/>
              </w:rPr>
            </w:pPr>
          </w:p>
        </w:tc>
        <w:tc>
          <w:tcPr>
            <w:tcW w:w="0" w:type="auto"/>
            <w:shd w:val="clear" w:color="auto" w:fill="auto"/>
          </w:tcPr>
          <w:p w14:paraId="33DABE37" w14:textId="77777777" w:rsidR="004D6A64" w:rsidRDefault="004D6A64">
            <w:pPr>
              <w:rPr>
                <w:rFonts w:ascii="宋体"/>
              </w:rPr>
            </w:pPr>
          </w:p>
        </w:tc>
        <w:tc>
          <w:tcPr>
            <w:tcW w:w="0" w:type="auto"/>
            <w:shd w:val="clear" w:color="auto" w:fill="auto"/>
          </w:tcPr>
          <w:p w14:paraId="33DABE38" w14:textId="77777777" w:rsidR="004D6A64" w:rsidRDefault="004D6A64">
            <w:pPr>
              <w:rPr>
                <w:rFonts w:ascii="宋体"/>
              </w:rPr>
            </w:pPr>
          </w:p>
        </w:tc>
        <w:tc>
          <w:tcPr>
            <w:tcW w:w="0" w:type="auto"/>
            <w:shd w:val="clear" w:color="auto" w:fill="auto"/>
          </w:tcPr>
          <w:p w14:paraId="33DABE39" w14:textId="77777777" w:rsidR="004D6A64" w:rsidRDefault="004D6A64">
            <w:pPr>
              <w:rPr>
                <w:rFonts w:ascii="宋体"/>
              </w:rPr>
            </w:pPr>
          </w:p>
        </w:tc>
        <w:tc>
          <w:tcPr>
            <w:tcW w:w="0" w:type="auto"/>
            <w:shd w:val="clear" w:color="auto" w:fill="auto"/>
          </w:tcPr>
          <w:p w14:paraId="33DABE3A" w14:textId="77777777" w:rsidR="004D6A64" w:rsidRDefault="004D6A64">
            <w:pPr>
              <w:rPr>
                <w:rFonts w:ascii="宋体"/>
              </w:rPr>
            </w:pPr>
          </w:p>
        </w:tc>
        <w:tc>
          <w:tcPr>
            <w:tcW w:w="0" w:type="auto"/>
            <w:shd w:val="clear" w:color="auto" w:fill="auto"/>
          </w:tcPr>
          <w:p w14:paraId="33DABE3B" w14:textId="77777777" w:rsidR="004D6A64" w:rsidRDefault="004D6A64">
            <w:pPr>
              <w:rPr>
                <w:rFonts w:ascii="宋体"/>
              </w:rPr>
            </w:pPr>
          </w:p>
        </w:tc>
        <w:tc>
          <w:tcPr>
            <w:tcW w:w="0" w:type="auto"/>
            <w:shd w:val="clear" w:color="auto" w:fill="auto"/>
          </w:tcPr>
          <w:p w14:paraId="33DABE3C" w14:textId="77777777" w:rsidR="004D6A64" w:rsidRDefault="004D6A64">
            <w:pPr>
              <w:rPr>
                <w:rFonts w:ascii="宋体"/>
              </w:rPr>
            </w:pPr>
          </w:p>
        </w:tc>
        <w:tc>
          <w:tcPr>
            <w:tcW w:w="0" w:type="auto"/>
            <w:shd w:val="clear" w:color="auto" w:fill="auto"/>
          </w:tcPr>
          <w:p w14:paraId="33DABE3D" w14:textId="77777777" w:rsidR="004D6A64" w:rsidRDefault="004D6A64">
            <w:pPr>
              <w:rPr>
                <w:rFonts w:ascii="宋体"/>
              </w:rPr>
            </w:pPr>
          </w:p>
        </w:tc>
        <w:tc>
          <w:tcPr>
            <w:tcW w:w="0" w:type="auto"/>
            <w:shd w:val="clear" w:color="auto" w:fill="auto"/>
          </w:tcPr>
          <w:p w14:paraId="33DABE3E" w14:textId="77777777" w:rsidR="004D6A64" w:rsidRDefault="004D6A64">
            <w:pPr>
              <w:rPr>
                <w:rFonts w:ascii="宋体"/>
              </w:rPr>
            </w:pPr>
          </w:p>
        </w:tc>
        <w:tc>
          <w:tcPr>
            <w:tcW w:w="0" w:type="auto"/>
            <w:shd w:val="clear" w:color="auto" w:fill="auto"/>
          </w:tcPr>
          <w:p w14:paraId="33DABE3F" w14:textId="77777777" w:rsidR="004D6A64" w:rsidRDefault="004D6A64">
            <w:pPr>
              <w:rPr>
                <w:rFonts w:ascii="宋体"/>
              </w:rPr>
            </w:pPr>
          </w:p>
        </w:tc>
        <w:tc>
          <w:tcPr>
            <w:tcW w:w="0" w:type="auto"/>
            <w:shd w:val="clear" w:color="auto" w:fill="auto"/>
          </w:tcPr>
          <w:p w14:paraId="33DABE40" w14:textId="77777777" w:rsidR="004D6A64" w:rsidRDefault="004D6A64">
            <w:pPr>
              <w:rPr>
                <w:rFonts w:ascii="宋体"/>
              </w:rPr>
            </w:pPr>
          </w:p>
        </w:tc>
        <w:tc>
          <w:tcPr>
            <w:tcW w:w="0" w:type="auto"/>
            <w:shd w:val="clear" w:color="auto" w:fill="auto"/>
          </w:tcPr>
          <w:p w14:paraId="33DABE41" w14:textId="77777777" w:rsidR="004D6A64" w:rsidRDefault="004D6A64">
            <w:pPr>
              <w:rPr>
                <w:rFonts w:ascii="宋体"/>
              </w:rPr>
            </w:pPr>
          </w:p>
        </w:tc>
      </w:tr>
      <w:tr w:rsidR="004D6A64" w14:paraId="33DABE6A" w14:textId="77777777">
        <w:trPr>
          <w:gridAfter w:val="3"/>
        </w:trPr>
        <w:tc>
          <w:tcPr>
            <w:tcW w:w="0" w:type="auto"/>
            <w:gridSpan w:val="3"/>
            <w:shd w:val="clear" w:color="auto" w:fill="FFFFFF"/>
            <w:tcMar>
              <w:top w:w="40" w:type="dxa"/>
              <w:left w:w="135" w:type="dxa"/>
              <w:bottom w:w="40" w:type="dxa"/>
              <w:right w:w="20" w:type="dxa"/>
            </w:tcMar>
            <w:vAlign w:val="center"/>
          </w:tcPr>
          <w:p w14:paraId="33DABE43" w14:textId="77777777" w:rsidR="004D6A64" w:rsidRDefault="00506CD6">
            <w:pPr>
              <w:textAlignment w:val="center"/>
            </w:pPr>
            <w:r>
              <w:rPr>
                <w:rFonts w:ascii="Times New Roman" w:eastAsia="宋体" w:hAnsi="Times New Roman"/>
                <w:color w:val="000000"/>
                <w:sz w:val="20"/>
                <w:szCs w:val="20"/>
              </w:rPr>
              <w:t>Net asset (liability)</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BE44" w14:textId="77777777" w:rsidR="004D6A64" w:rsidRDefault="00506CD6">
            <w:pPr>
              <w:jc w:val="right"/>
              <w:textAlignment w:val="center"/>
            </w:pPr>
            <w:r>
              <w:rPr>
                <w:rFonts w:ascii="Times New Roman" w:eastAsia="宋体" w:hAnsi="Times New Roman"/>
                <w:color w:val="000000"/>
                <w:sz w:val="20"/>
                <w:szCs w:val="20"/>
              </w:rPr>
              <w:t>(22)</w:t>
            </w:r>
          </w:p>
        </w:tc>
        <w:tc>
          <w:tcPr>
            <w:tcW w:w="0" w:type="auto"/>
            <w:tcBorders>
              <w:top w:val="single" w:sz="8" w:space="0" w:color="000000"/>
            </w:tcBorders>
            <w:shd w:val="clear" w:color="auto" w:fill="FFFFFF"/>
            <w:tcMar>
              <w:top w:w="40" w:type="dxa"/>
              <w:bottom w:w="40" w:type="dxa"/>
              <w:right w:w="20" w:type="dxa"/>
            </w:tcMar>
            <w:vAlign w:val="center"/>
          </w:tcPr>
          <w:p w14:paraId="33DABE4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E46"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BE47" w14:textId="77777777" w:rsidR="004D6A64" w:rsidRDefault="00506CD6">
            <w:pPr>
              <w:jc w:val="right"/>
              <w:textAlignment w:val="center"/>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bottom w:w="40" w:type="dxa"/>
              <w:right w:w="20" w:type="dxa"/>
            </w:tcMar>
            <w:vAlign w:val="center"/>
          </w:tcPr>
          <w:p w14:paraId="33DABE4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E49"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BE4A" w14:textId="77777777" w:rsidR="004D6A64" w:rsidRDefault="00506CD6">
            <w:pPr>
              <w:jc w:val="right"/>
              <w:textAlignment w:val="center"/>
            </w:pPr>
            <w:r>
              <w:rPr>
                <w:rFonts w:ascii="Times New Roman" w:eastAsia="宋体" w:hAnsi="Times New Roman"/>
                <w:color w:val="000000"/>
                <w:sz w:val="20"/>
                <w:szCs w:val="20"/>
              </w:rPr>
              <w:t>(61)</w:t>
            </w:r>
          </w:p>
        </w:tc>
        <w:tc>
          <w:tcPr>
            <w:tcW w:w="0" w:type="auto"/>
            <w:tcBorders>
              <w:top w:val="single" w:sz="8" w:space="0" w:color="000000"/>
            </w:tcBorders>
            <w:shd w:val="clear" w:color="auto" w:fill="FFFFFF"/>
            <w:tcMar>
              <w:top w:w="40" w:type="dxa"/>
              <w:bottom w:w="40" w:type="dxa"/>
              <w:right w:w="20" w:type="dxa"/>
            </w:tcMar>
            <w:vAlign w:val="center"/>
          </w:tcPr>
          <w:p w14:paraId="33DABE4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E4C"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BE4D" w14:textId="77777777" w:rsidR="004D6A64" w:rsidRDefault="00506CD6">
            <w:pPr>
              <w:jc w:val="right"/>
              <w:textAlignment w:val="center"/>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bottom w:w="40" w:type="dxa"/>
              <w:right w:w="20" w:type="dxa"/>
            </w:tcMar>
            <w:vAlign w:val="center"/>
          </w:tcPr>
          <w:p w14:paraId="33DABE4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E4F"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BE50" w14:textId="77777777" w:rsidR="004D6A64" w:rsidRDefault="00506CD6">
            <w:pPr>
              <w:jc w:val="right"/>
              <w:textAlignment w:val="center"/>
            </w:pPr>
            <w:r>
              <w:rPr>
                <w:rFonts w:ascii="Times New Roman" w:eastAsia="宋体" w:hAnsi="Times New Roman"/>
                <w:color w:val="000000"/>
                <w:sz w:val="20"/>
                <w:szCs w:val="20"/>
              </w:rPr>
              <w:t>(83)</w:t>
            </w:r>
          </w:p>
        </w:tc>
        <w:tc>
          <w:tcPr>
            <w:tcW w:w="0" w:type="auto"/>
            <w:tcBorders>
              <w:top w:val="single" w:sz="8" w:space="0" w:color="000000"/>
            </w:tcBorders>
            <w:shd w:val="clear" w:color="auto" w:fill="FFFFFF"/>
            <w:tcMar>
              <w:top w:w="40" w:type="dxa"/>
              <w:bottom w:w="40" w:type="dxa"/>
              <w:right w:w="20" w:type="dxa"/>
            </w:tcMar>
            <w:vAlign w:val="center"/>
          </w:tcPr>
          <w:p w14:paraId="33DABE51" w14:textId="77777777" w:rsidR="004D6A64" w:rsidRDefault="004D6A64">
            <w:pPr>
              <w:jc w:val="right"/>
              <w:rPr>
                <w:rFonts w:ascii="宋体"/>
              </w:rPr>
            </w:pPr>
          </w:p>
        </w:tc>
        <w:tc>
          <w:tcPr>
            <w:tcW w:w="0" w:type="auto"/>
            <w:shd w:val="clear" w:color="auto" w:fill="auto"/>
          </w:tcPr>
          <w:p w14:paraId="33DABE52" w14:textId="77777777" w:rsidR="004D6A64" w:rsidRDefault="004D6A64">
            <w:pPr>
              <w:rPr>
                <w:rFonts w:ascii="宋体"/>
              </w:rPr>
            </w:pPr>
          </w:p>
        </w:tc>
        <w:tc>
          <w:tcPr>
            <w:tcW w:w="0" w:type="auto"/>
            <w:shd w:val="clear" w:color="auto" w:fill="auto"/>
          </w:tcPr>
          <w:p w14:paraId="33DABE53" w14:textId="77777777" w:rsidR="004D6A64" w:rsidRDefault="004D6A64">
            <w:pPr>
              <w:rPr>
                <w:rFonts w:ascii="宋体"/>
              </w:rPr>
            </w:pPr>
          </w:p>
        </w:tc>
        <w:tc>
          <w:tcPr>
            <w:tcW w:w="0" w:type="auto"/>
            <w:shd w:val="clear" w:color="auto" w:fill="auto"/>
          </w:tcPr>
          <w:p w14:paraId="33DABE54" w14:textId="77777777" w:rsidR="004D6A64" w:rsidRDefault="004D6A64">
            <w:pPr>
              <w:rPr>
                <w:rFonts w:ascii="宋体"/>
              </w:rPr>
            </w:pPr>
          </w:p>
        </w:tc>
        <w:tc>
          <w:tcPr>
            <w:tcW w:w="0" w:type="auto"/>
            <w:shd w:val="clear" w:color="auto" w:fill="auto"/>
          </w:tcPr>
          <w:p w14:paraId="33DABE55" w14:textId="77777777" w:rsidR="004D6A64" w:rsidRDefault="004D6A64">
            <w:pPr>
              <w:rPr>
                <w:rFonts w:ascii="宋体"/>
              </w:rPr>
            </w:pPr>
          </w:p>
        </w:tc>
        <w:tc>
          <w:tcPr>
            <w:tcW w:w="0" w:type="auto"/>
            <w:shd w:val="clear" w:color="auto" w:fill="auto"/>
          </w:tcPr>
          <w:p w14:paraId="33DABE56" w14:textId="77777777" w:rsidR="004D6A64" w:rsidRDefault="004D6A64">
            <w:pPr>
              <w:rPr>
                <w:rFonts w:ascii="宋体"/>
              </w:rPr>
            </w:pPr>
          </w:p>
        </w:tc>
        <w:tc>
          <w:tcPr>
            <w:tcW w:w="0" w:type="auto"/>
            <w:shd w:val="clear" w:color="auto" w:fill="auto"/>
          </w:tcPr>
          <w:p w14:paraId="33DABE57" w14:textId="77777777" w:rsidR="004D6A64" w:rsidRDefault="004D6A64">
            <w:pPr>
              <w:rPr>
                <w:rFonts w:ascii="宋体"/>
              </w:rPr>
            </w:pPr>
          </w:p>
        </w:tc>
        <w:tc>
          <w:tcPr>
            <w:tcW w:w="0" w:type="auto"/>
            <w:shd w:val="clear" w:color="auto" w:fill="auto"/>
          </w:tcPr>
          <w:p w14:paraId="33DABE58" w14:textId="77777777" w:rsidR="004D6A64" w:rsidRDefault="004D6A64">
            <w:pPr>
              <w:rPr>
                <w:rFonts w:ascii="宋体"/>
              </w:rPr>
            </w:pPr>
          </w:p>
        </w:tc>
        <w:tc>
          <w:tcPr>
            <w:tcW w:w="0" w:type="auto"/>
            <w:shd w:val="clear" w:color="auto" w:fill="auto"/>
          </w:tcPr>
          <w:p w14:paraId="33DABE59" w14:textId="77777777" w:rsidR="004D6A64" w:rsidRDefault="004D6A64">
            <w:pPr>
              <w:rPr>
                <w:rFonts w:ascii="宋体"/>
              </w:rPr>
            </w:pPr>
          </w:p>
        </w:tc>
        <w:tc>
          <w:tcPr>
            <w:tcW w:w="0" w:type="auto"/>
            <w:shd w:val="clear" w:color="auto" w:fill="auto"/>
          </w:tcPr>
          <w:p w14:paraId="33DABE5A" w14:textId="77777777" w:rsidR="004D6A64" w:rsidRDefault="004D6A64">
            <w:pPr>
              <w:rPr>
                <w:rFonts w:ascii="宋体"/>
              </w:rPr>
            </w:pPr>
          </w:p>
        </w:tc>
        <w:tc>
          <w:tcPr>
            <w:tcW w:w="0" w:type="auto"/>
            <w:shd w:val="clear" w:color="auto" w:fill="auto"/>
          </w:tcPr>
          <w:p w14:paraId="33DABE5B" w14:textId="77777777" w:rsidR="004D6A64" w:rsidRDefault="004D6A64">
            <w:pPr>
              <w:rPr>
                <w:rFonts w:ascii="宋体"/>
              </w:rPr>
            </w:pPr>
          </w:p>
        </w:tc>
        <w:tc>
          <w:tcPr>
            <w:tcW w:w="0" w:type="auto"/>
            <w:shd w:val="clear" w:color="auto" w:fill="auto"/>
          </w:tcPr>
          <w:p w14:paraId="33DABE5C" w14:textId="77777777" w:rsidR="004D6A64" w:rsidRDefault="004D6A64">
            <w:pPr>
              <w:rPr>
                <w:rFonts w:ascii="宋体"/>
              </w:rPr>
            </w:pPr>
          </w:p>
        </w:tc>
        <w:tc>
          <w:tcPr>
            <w:tcW w:w="0" w:type="auto"/>
            <w:shd w:val="clear" w:color="auto" w:fill="auto"/>
          </w:tcPr>
          <w:p w14:paraId="33DABE5D" w14:textId="77777777" w:rsidR="004D6A64" w:rsidRDefault="004D6A64">
            <w:pPr>
              <w:rPr>
                <w:rFonts w:ascii="宋体"/>
              </w:rPr>
            </w:pPr>
          </w:p>
        </w:tc>
        <w:tc>
          <w:tcPr>
            <w:tcW w:w="0" w:type="auto"/>
            <w:shd w:val="clear" w:color="auto" w:fill="auto"/>
          </w:tcPr>
          <w:p w14:paraId="33DABE5E" w14:textId="77777777" w:rsidR="004D6A64" w:rsidRDefault="004D6A64">
            <w:pPr>
              <w:rPr>
                <w:rFonts w:ascii="宋体"/>
              </w:rPr>
            </w:pPr>
          </w:p>
        </w:tc>
        <w:tc>
          <w:tcPr>
            <w:tcW w:w="0" w:type="auto"/>
            <w:shd w:val="clear" w:color="auto" w:fill="auto"/>
          </w:tcPr>
          <w:p w14:paraId="33DABE5F" w14:textId="77777777" w:rsidR="004D6A64" w:rsidRDefault="004D6A64">
            <w:pPr>
              <w:rPr>
                <w:rFonts w:ascii="宋体"/>
              </w:rPr>
            </w:pPr>
          </w:p>
        </w:tc>
        <w:tc>
          <w:tcPr>
            <w:tcW w:w="0" w:type="auto"/>
            <w:shd w:val="clear" w:color="auto" w:fill="auto"/>
          </w:tcPr>
          <w:p w14:paraId="33DABE60" w14:textId="77777777" w:rsidR="004D6A64" w:rsidRDefault="004D6A64">
            <w:pPr>
              <w:rPr>
                <w:rFonts w:ascii="宋体"/>
              </w:rPr>
            </w:pPr>
          </w:p>
        </w:tc>
        <w:tc>
          <w:tcPr>
            <w:tcW w:w="0" w:type="auto"/>
            <w:shd w:val="clear" w:color="auto" w:fill="auto"/>
          </w:tcPr>
          <w:p w14:paraId="33DABE61" w14:textId="77777777" w:rsidR="004D6A64" w:rsidRDefault="004D6A64">
            <w:pPr>
              <w:rPr>
                <w:rFonts w:ascii="宋体"/>
              </w:rPr>
            </w:pPr>
          </w:p>
        </w:tc>
        <w:tc>
          <w:tcPr>
            <w:tcW w:w="0" w:type="auto"/>
            <w:shd w:val="clear" w:color="auto" w:fill="auto"/>
          </w:tcPr>
          <w:p w14:paraId="33DABE62" w14:textId="77777777" w:rsidR="004D6A64" w:rsidRDefault="004D6A64">
            <w:pPr>
              <w:rPr>
                <w:rFonts w:ascii="宋体"/>
              </w:rPr>
            </w:pPr>
          </w:p>
        </w:tc>
        <w:tc>
          <w:tcPr>
            <w:tcW w:w="0" w:type="auto"/>
            <w:shd w:val="clear" w:color="auto" w:fill="auto"/>
          </w:tcPr>
          <w:p w14:paraId="33DABE63" w14:textId="77777777" w:rsidR="004D6A64" w:rsidRDefault="004D6A64">
            <w:pPr>
              <w:rPr>
                <w:rFonts w:ascii="宋体"/>
              </w:rPr>
            </w:pPr>
          </w:p>
        </w:tc>
        <w:tc>
          <w:tcPr>
            <w:tcW w:w="0" w:type="auto"/>
            <w:shd w:val="clear" w:color="auto" w:fill="auto"/>
          </w:tcPr>
          <w:p w14:paraId="33DABE64" w14:textId="77777777" w:rsidR="004D6A64" w:rsidRDefault="004D6A64">
            <w:pPr>
              <w:rPr>
                <w:rFonts w:ascii="宋体"/>
              </w:rPr>
            </w:pPr>
          </w:p>
        </w:tc>
        <w:tc>
          <w:tcPr>
            <w:tcW w:w="0" w:type="auto"/>
            <w:shd w:val="clear" w:color="auto" w:fill="auto"/>
          </w:tcPr>
          <w:p w14:paraId="33DABE65" w14:textId="77777777" w:rsidR="004D6A64" w:rsidRDefault="004D6A64">
            <w:pPr>
              <w:rPr>
                <w:rFonts w:ascii="宋体"/>
              </w:rPr>
            </w:pPr>
          </w:p>
        </w:tc>
        <w:tc>
          <w:tcPr>
            <w:tcW w:w="0" w:type="auto"/>
            <w:shd w:val="clear" w:color="auto" w:fill="auto"/>
          </w:tcPr>
          <w:p w14:paraId="33DABE66" w14:textId="77777777" w:rsidR="004D6A64" w:rsidRDefault="004D6A64">
            <w:pPr>
              <w:rPr>
                <w:rFonts w:ascii="宋体"/>
              </w:rPr>
            </w:pPr>
          </w:p>
        </w:tc>
        <w:tc>
          <w:tcPr>
            <w:tcW w:w="0" w:type="auto"/>
            <w:shd w:val="clear" w:color="auto" w:fill="auto"/>
          </w:tcPr>
          <w:p w14:paraId="33DABE67" w14:textId="77777777" w:rsidR="004D6A64" w:rsidRDefault="004D6A64">
            <w:pPr>
              <w:rPr>
                <w:rFonts w:ascii="宋体"/>
              </w:rPr>
            </w:pPr>
          </w:p>
        </w:tc>
        <w:tc>
          <w:tcPr>
            <w:tcW w:w="0" w:type="auto"/>
            <w:shd w:val="clear" w:color="auto" w:fill="auto"/>
          </w:tcPr>
          <w:p w14:paraId="33DABE68" w14:textId="77777777" w:rsidR="004D6A64" w:rsidRDefault="004D6A64">
            <w:pPr>
              <w:rPr>
                <w:rFonts w:ascii="宋体"/>
              </w:rPr>
            </w:pPr>
          </w:p>
        </w:tc>
        <w:tc>
          <w:tcPr>
            <w:tcW w:w="0" w:type="auto"/>
            <w:shd w:val="clear" w:color="auto" w:fill="auto"/>
          </w:tcPr>
          <w:p w14:paraId="33DABE69" w14:textId="77777777" w:rsidR="004D6A64" w:rsidRDefault="004D6A64">
            <w:pPr>
              <w:rPr>
                <w:rFonts w:ascii="宋体"/>
              </w:rPr>
            </w:pPr>
          </w:p>
        </w:tc>
      </w:tr>
      <w:tr w:rsidR="004D6A64" w14:paraId="33DABE8D" w14:textId="77777777">
        <w:trPr>
          <w:gridAfter w:val="3"/>
        </w:trPr>
        <w:tc>
          <w:tcPr>
            <w:tcW w:w="0" w:type="auto"/>
            <w:gridSpan w:val="3"/>
            <w:shd w:val="clear" w:color="auto" w:fill="CCEEFF"/>
            <w:tcMar>
              <w:top w:w="40" w:type="dxa"/>
              <w:left w:w="20" w:type="dxa"/>
              <w:bottom w:w="40" w:type="dxa"/>
              <w:right w:w="20" w:type="dxa"/>
            </w:tcMar>
            <w:vAlign w:val="center"/>
          </w:tcPr>
          <w:p w14:paraId="33DABE6B" w14:textId="77777777" w:rsidR="004D6A64" w:rsidRDefault="00506CD6">
            <w:pPr>
              <w:textAlignment w:val="center"/>
            </w:pPr>
            <w:r>
              <w:rPr>
                <w:rFonts w:ascii="Times New Roman" w:eastAsia="宋体" w:hAnsi="Times New Roman"/>
                <w:i/>
                <w:iCs/>
                <w:color w:val="000000"/>
                <w:sz w:val="20"/>
                <w:szCs w:val="20"/>
              </w:rPr>
              <w:t>Derivatives not designate</w:t>
            </w:r>
            <w:r>
              <w:rPr>
                <w:rFonts w:ascii="Times New Roman" w:eastAsia="宋体" w:hAnsi="Times New Roman"/>
                <w:i/>
                <w:iCs/>
                <w:color w:val="000000"/>
                <w:sz w:val="20"/>
                <w:szCs w:val="20"/>
              </w:rPr>
              <w:t>d as hedging instruments:</w:t>
            </w:r>
          </w:p>
        </w:tc>
        <w:tc>
          <w:tcPr>
            <w:tcW w:w="0" w:type="auto"/>
            <w:gridSpan w:val="3"/>
            <w:tcBorders>
              <w:top w:val="single" w:sz="8" w:space="0" w:color="000000"/>
            </w:tcBorders>
            <w:shd w:val="clear" w:color="auto" w:fill="CCEEFF"/>
            <w:tcMar>
              <w:left w:w="20" w:type="dxa"/>
              <w:right w:w="20" w:type="dxa"/>
            </w:tcMar>
            <w:vAlign w:val="bottom"/>
          </w:tcPr>
          <w:p w14:paraId="33DABE6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E6D" w14:textId="77777777" w:rsidR="004D6A64" w:rsidRDefault="004D6A64">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BE6E"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E6F" w14:textId="77777777" w:rsidR="004D6A64" w:rsidRDefault="004D6A64">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BE70"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E71" w14:textId="77777777" w:rsidR="004D6A64" w:rsidRDefault="004D6A64">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BE72"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E73" w14:textId="77777777" w:rsidR="004D6A64" w:rsidRDefault="004D6A64">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BE74" w14:textId="77777777" w:rsidR="004D6A64" w:rsidRDefault="004D6A64">
            <w:pPr>
              <w:rPr>
                <w:rFonts w:ascii="宋体"/>
              </w:rPr>
            </w:pPr>
          </w:p>
        </w:tc>
        <w:tc>
          <w:tcPr>
            <w:tcW w:w="0" w:type="auto"/>
            <w:shd w:val="clear" w:color="auto" w:fill="auto"/>
          </w:tcPr>
          <w:p w14:paraId="33DABE75" w14:textId="77777777" w:rsidR="004D6A64" w:rsidRDefault="004D6A64">
            <w:pPr>
              <w:rPr>
                <w:rFonts w:ascii="宋体"/>
              </w:rPr>
            </w:pPr>
          </w:p>
        </w:tc>
        <w:tc>
          <w:tcPr>
            <w:tcW w:w="0" w:type="auto"/>
            <w:shd w:val="clear" w:color="auto" w:fill="auto"/>
          </w:tcPr>
          <w:p w14:paraId="33DABE76" w14:textId="77777777" w:rsidR="004D6A64" w:rsidRDefault="004D6A64">
            <w:pPr>
              <w:rPr>
                <w:rFonts w:ascii="宋体"/>
              </w:rPr>
            </w:pPr>
          </w:p>
        </w:tc>
        <w:tc>
          <w:tcPr>
            <w:tcW w:w="0" w:type="auto"/>
            <w:shd w:val="clear" w:color="auto" w:fill="auto"/>
          </w:tcPr>
          <w:p w14:paraId="33DABE77" w14:textId="77777777" w:rsidR="004D6A64" w:rsidRDefault="004D6A64">
            <w:pPr>
              <w:rPr>
                <w:rFonts w:ascii="宋体"/>
              </w:rPr>
            </w:pPr>
          </w:p>
        </w:tc>
        <w:tc>
          <w:tcPr>
            <w:tcW w:w="0" w:type="auto"/>
            <w:shd w:val="clear" w:color="auto" w:fill="auto"/>
          </w:tcPr>
          <w:p w14:paraId="33DABE78" w14:textId="77777777" w:rsidR="004D6A64" w:rsidRDefault="004D6A64">
            <w:pPr>
              <w:rPr>
                <w:rFonts w:ascii="宋体"/>
              </w:rPr>
            </w:pPr>
          </w:p>
        </w:tc>
        <w:tc>
          <w:tcPr>
            <w:tcW w:w="0" w:type="auto"/>
            <w:shd w:val="clear" w:color="auto" w:fill="auto"/>
          </w:tcPr>
          <w:p w14:paraId="33DABE79" w14:textId="77777777" w:rsidR="004D6A64" w:rsidRDefault="004D6A64">
            <w:pPr>
              <w:rPr>
                <w:rFonts w:ascii="宋体"/>
              </w:rPr>
            </w:pPr>
          </w:p>
        </w:tc>
        <w:tc>
          <w:tcPr>
            <w:tcW w:w="0" w:type="auto"/>
            <w:shd w:val="clear" w:color="auto" w:fill="auto"/>
          </w:tcPr>
          <w:p w14:paraId="33DABE7A" w14:textId="77777777" w:rsidR="004D6A64" w:rsidRDefault="004D6A64">
            <w:pPr>
              <w:rPr>
                <w:rFonts w:ascii="宋体"/>
              </w:rPr>
            </w:pPr>
          </w:p>
        </w:tc>
        <w:tc>
          <w:tcPr>
            <w:tcW w:w="0" w:type="auto"/>
            <w:shd w:val="clear" w:color="auto" w:fill="auto"/>
          </w:tcPr>
          <w:p w14:paraId="33DABE7B" w14:textId="77777777" w:rsidR="004D6A64" w:rsidRDefault="004D6A64">
            <w:pPr>
              <w:rPr>
                <w:rFonts w:ascii="宋体"/>
              </w:rPr>
            </w:pPr>
          </w:p>
        </w:tc>
        <w:tc>
          <w:tcPr>
            <w:tcW w:w="0" w:type="auto"/>
            <w:shd w:val="clear" w:color="auto" w:fill="auto"/>
          </w:tcPr>
          <w:p w14:paraId="33DABE7C" w14:textId="77777777" w:rsidR="004D6A64" w:rsidRDefault="004D6A64">
            <w:pPr>
              <w:rPr>
                <w:rFonts w:ascii="宋体"/>
              </w:rPr>
            </w:pPr>
          </w:p>
        </w:tc>
        <w:tc>
          <w:tcPr>
            <w:tcW w:w="0" w:type="auto"/>
            <w:shd w:val="clear" w:color="auto" w:fill="auto"/>
          </w:tcPr>
          <w:p w14:paraId="33DABE7D" w14:textId="77777777" w:rsidR="004D6A64" w:rsidRDefault="004D6A64">
            <w:pPr>
              <w:rPr>
                <w:rFonts w:ascii="宋体"/>
              </w:rPr>
            </w:pPr>
          </w:p>
        </w:tc>
        <w:tc>
          <w:tcPr>
            <w:tcW w:w="0" w:type="auto"/>
            <w:shd w:val="clear" w:color="auto" w:fill="auto"/>
          </w:tcPr>
          <w:p w14:paraId="33DABE7E" w14:textId="77777777" w:rsidR="004D6A64" w:rsidRDefault="004D6A64">
            <w:pPr>
              <w:rPr>
                <w:rFonts w:ascii="宋体"/>
              </w:rPr>
            </w:pPr>
          </w:p>
        </w:tc>
        <w:tc>
          <w:tcPr>
            <w:tcW w:w="0" w:type="auto"/>
            <w:shd w:val="clear" w:color="auto" w:fill="auto"/>
          </w:tcPr>
          <w:p w14:paraId="33DABE7F" w14:textId="77777777" w:rsidR="004D6A64" w:rsidRDefault="004D6A64">
            <w:pPr>
              <w:rPr>
                <w:rFonts w:ascii="宋体"/>
              </w:rPr>
            </w:pPr>
          </w:p>
        </w:tc>
        <w:tc>
          <w:tcPr>
            <w:tcW w:w="0" w:type="auto"/>
            <w:shd w:val="clear" w:color="auto" w:fill="auto"/>
          </w:tcPr>
          <w:p w14:paraId="33DABE80" w14:textId="77777777" w:rsidR="004D6A64" w:rsidRDefault="004D6A64">
            <w:pPr>
              <w:rPr>
                <w:rFonts w:ascii="宋体"/>
              </w:rPr>
            </w:pPr>
          </w:p>
        </w:tc>
        <w:tc>
          <w:tcPr>
            <w:tcW w:w="0" w:type="auto"/>
            <w:shd w:val="clear" w:color="auto" w:fill="auto"/>
          </w:tcPr>
          <w:p w14:paraId="33DABE81" w14:textId="77777777" w:rsidR="004D6A64" w:rsidRDefault="004D6A64">
            <w:pPr>
              <w:rPr>
                <w:rFonts w:ascii="宋体"/>
              </w:rPr>
            </w:pPr>
          </w:p>
        </w:tc>
        <w:tc>
          <w:tcPr>
            <w:tcW w:w="0" w:type="auto"/>
            <w:shd w:val="clear" w:color="auto" w:fill="auto"/>
          </w:tcPr>
          <w:p w14:paraId="33DABE82" w14:textId="77777777" w:rsidR="004D6A64" w:rsidRDefault="004D6A64">
            <w:pPr>
              <w:rPr>
                <w:rFonts w:ascii="宋体"/>
              </w:rPr>
            </w:pPr>
          </w:p>
        </w:tc>
        <w:tc>
          <w:tcPr>
            <w:tcW w:w="0" w:type="auto"/>
            <w:shd w:val="clear" w:color="auto" w:fill="auto"/>
          </w:tcPr>
          <w:p w14:paraId="33DABE83" w14:textId="77777777" w:rsidR="004D6A64" w:rsidRDefault="004D6A64">
            <w:pPr>
              <w:rPr>
                <w:rFonts w:ascii="宋体"/>
              </w:rPr>
            </w:pPr>
          </w:p>
        </w:tc>
        <w:tc>
          <w:tcPr>
            <w:tcW w:w="0" w:type="auto"/>
            <w:shd w:val="clear" w:color="auto" w:fill="auto"/>
          </w:tcPr>
          <w:p w14:paraId="33DABE84" w14:textId="77777777" w:rsidR="004D6A64" w:rsidRDefault="004D6A64">
            <w:pPr>
              <w:rPr>
                <w:rFonts w:ascii="宋体"/>
              </w:rPr>
            </w:pPr>
          </w:p>
        </w:tc>
        <w:tc>
          <w:tcPr>
            <w:tcW w:w="0" w:type="auto"/>
            <w:shd w:val="clear" w:color="auto" w:fill="auto"/>
          </w:tcPr>
          <w:p w14:paraId="33DABE85" w14:textId="77777777" w:rsidR="004D6A64" w:rsidRDefault="004D6A64">
            <w:pPr>
              <w:rPr>
                <w:rFonts w:ascii="宋体"/>
              </w:rPr>
            </w:pPr>
          </w:p>
        </w:tc>
        <w:tc>
          <w:tcPr>
            <w:tcW w:w="0" w:type="auto"/>
            <w:shd w:val="clear" w:color="auto" w:fill="auto"/>
          </w:tcPr>
          <w:p w14:paraId="33DABE86" w14:textId="77777777" w:rsidR="004D6A64" w:rsidRDefault="004D6A64">
            <w:pPr>
              <w:rPr>
                <w:rFonts w:ascii="宋体"/>
              </w:rPr>
            </w:pPr>
          </w:p>
        </w:tc>
        <w:tc>
          <w:tcPr>
            <w:tcW w:w="0" w:type="auto"/>
            <w:shd w:val="clear" w:color="auto" w:fill="auto"/>
          </w:tcPr>
          <w:p w14:paraId="33DABE87" w14:textId="77777777" w:rsidR="004D6A64" w:rsidRDefault="004D6A64">
            <w:pPr>
              <w:rPr>
                <w:rFonts w:ascii="宋体"/>
              </w:rPr>
            </w:pPr>
          </w:p>
        </w:tc>
        <w:tc>
          <w:tcPr>
            <w:tcW w:w="0" w:type="auto"/>
            <w:shd w:val="clear" w:color="auto" w:fill="auto"/>
          </w:tcPr>
          <w:p w14:paraId="33DABE88" w14:textId="77777777" w:rsidR="004D6A64" w:rsidRDefault="004D6A64">
            <w:pPr>
              <w:rPr>
                <w:rFonts w:ascii="宋体"/>
              </w:rPr>
            </w:pPr>
          </w:p>
        </w:tc>
        <w:tc>
          <w:tcPr>
            <w:tcW w:w="0" w:type="auto"/>
            <w:shd w:val="clear" w:color="auto" w:fill="auto"/>
          </w:tcPr>
          <w:p w14:paraId="33DABE89" w14:textId="77777777" w:rsidR="004D6A64" w:rsidRDefault="004D6A64">
            <w:pPr>
              <w:rPr>
                <w:rFonts w:ascii="宋体"/>
              </w:rPr>
            </w:pPr>
          </w:p>
        </w:tc>
        <w:tc>
          <w:tcPr>
            <w:tcW w:w="0" w:type="auto"/>
            <w:shd w:val="clear" w:color="auto" w:fill="auto"/>
          </w:tcPr>
          <w:p w14:paraId="33DABE8A" w14:textId="77777777" w:rsidR="004D6A64" w:rsidRDefault="004D6A64">
            <w:pPr>
              <w:rPr>
                <w:rFonts w:ascii="宋体"/>
              </w:rPr>
            </w:pPr>
          </w:p>
        </w:tc>
        <w:tc>
          <w:tcPr>
            <w:tcW w:w="0" w:type="auto"/>
            <w:shd w:val="clear" w:color="auto" w:fill="auto"/>
          </w:tcPr>
          <w:p w14:paraId="33DABE8B" w14:textId="77777777" w:rsidR="004D6A64" w:rsidRDefault="004D6A64">
            <w:pPr>
              <w:rPr>
                <w:rFonts w:ascii="宋体"/>
              </w:rPr>
            </w:pPr>
          </w:p>
        </w:tc>
        <w:tc>
          <w:tcPr>
            <w:tcW w:w="0" w:type="auto"/>
            <w:shd w:val="clear" w:color="auto" w:fill="auto"/>
          </w:tcPr>
          <w:p w14:paraId="33DABE8C" w14:textId="77777777" w:rsidR="004D6A64" w:rsidRDefault="004D6A64">
            <w:pPr>
              <w:rPr>
                <w:rFonts w:ascii="宋体"/>
              </w:rPr>
            </w:pPr>
          </w:p>
        </w:tc>
      </w:tr>
      <w:tr w:rsidR="004D6A64" w14:paraId="33DABEB5" w14:textId="77777777">
        <w:trPr>
          <w:gridAfter w:val="3"/>
        </w:trPr>
        <w:tc>
          <w:tcPr>
            <w:tcW w:w="0" w:type="auto"/>
            <w:gridSpan w:val="3"/>
            <w:shd w:val="clear" w:color="auto" w:fill="FFFFFF"/>
            <w:tcMar>
              <w:top w:w="40" w:type="dxa"/>
              <w:left w:w="20" w:type="dxa"/>
              <w:bottom w:w="40" w:type="dxa"/>
              <w:right w:w="20" w:type="dxa"/>
            </w:tcMar>
            <w:vAlign w:val="center"/>
          </w:tcPr>
          <w:p w14:paraId="33DABE8E" w14:textId="77777777" w:rsidR="004D6A64" w:rsidRDefault="00506CD6">
            <w:pPr>
              <w:textAlignment w:val="center"/>
            </w:pPr>
            <w:r>
              <w:rPr>
                <w:rFonts w:ascii="Times New Roman" w:eastAsia="宋体" w:hAnsi="Times New Roman"/>
                <w:color w:val="000000"/>
                <w:sz w:val="20"/>
                <w:szCs w:val="20"/>
              </w:rPr>
              <w:t>Foreign exchange contracts in an asset position</w:t>
            </w:r>
          </w:p>
        </w:tc>
        <w:tc>
          <w:tcPr>
            <w:tcW w:w="0" w:type="auto"/>
            <w:gridSpan w:val="2"/>
            <w:shd w:val="clear" w:color="auto" w:fill="FFFFFF"/>
            <w:tcMar>
              <w:top w:w="40" w:type="dxa"/>
              <w:left w:w="20" w:type="dxa"/>
              <w:bottom w:w="40" w:type="dxa"/>
              <w:right w:w="0" w:type="dxa"/>
            </w:tcMar>
            <w:vAlign w:val="center"/>
          </w:tcPr>
          <w:p w14:paraId="33DABE8F" w14:textId="77777777" w:rsidR="004D6A64" w:rsidRDefault="00506CD6">
            <w:pPr>
              <w:jc w:val="right"/>
              <w:textAlignment w:val="center"/>
            </w:pPr>
            <w:r>
              <w:rPr>
                <w:rFonts w:ascii="Times New Roman" w:eastAsia="宋体" w:hAnsi="Times New Roman"/>
                <w:color w:val="000000"/>
                <w:sz w:val="20"/>
                <w:szCs w:val="20"/>
              </w:rPr>
              <w:t>472 </w:t>
            </w:r>
          </w:p>
        </w:tc>
        <w:tc>
          <w:tcPr>
            <w:tcW w:w="0" w:type="auto"/>
            <w:shd w:val="clear" w:color="auto" w:fill="FFFFFF"/>
            <w:tcMar>
              <w:top w:w="40" w:type="dxa"/>
              <w:bottom w:w="40" w:type="dxa"/>
              <w:right w:w="20" w:type="dxa"/>
            </w:tcMar>
            <w:vAlign w:val="center"/>
          </w:tcPr>
          <w:p w14:paraId="33DABE9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E9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BE92" w14:textId="77777777" w:rsidR="004D6A64" w:rsidRDefault="00506CD6">
            <w:pPr>
              <w:jc w:val="right"/>
              <w:textAlignment w:val="center"/>
            </w:pPr>
            <w:r>
              <w:rPr>
                <w:rFonts w:ascii="Times New Roman" w:eastAsia="宋体" w:hAnsi="Times New Roman"/>
                <w:color w:val="000000"/>
                <w:sz w:val="20"/>
                <w:szCs w:val="20"/>
              </w:rPr>
              <w:t>1 </w:t>
            </w:r>
          </w:p>
        </w:tc>
        <w:tc>
          <w:tcPr>
            <w:tcW w:w="0" w:type="auto"/>
            <w:shd w:val="clear" w:color="auto" w:fill="FFFFFF"/>
            <w:tcMar>
              <w:top w:w="40" w:type="dxa"/>
              <w:bottom w:w="40" w:type="dxa"/>
              <w:right w:w="20" w:type="dxa"/>
            </w:tcMar>
            <w:vAlign w:val="center"/>
          </w:tcPr>
          <w:p w14:paraId="33DABE9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E94"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BE95" w14:textId="77777777" w:rsidR="004D6A64" w:rsidRDefault="00506CD6">
            <w:pPr>
              <w:jc w:val="right"/>
              <w:textAlignment w:val="center"/>
            </w:pPr>
            <w:r>
              <w:rPr>
                <w:rFonts w:ascii="Times New Roman" w:eastAsia="宋体" w:hAnsi="Times New Roman"/>
                <w:color w:val="000000"/>
                <w:sz w:val="20"/>
                <w:szCs w:val="20"/>
              </w:rPr>
              <w:t>80 </w:t>
            </w:r>
          </w:p>
        </w:tc>
        <w:tc>
          <w:tcPr>
            <w:tcW w:w="0" w:type="auto"/>
            <w:shd w:val="clear" w:color="auto" w:fill="FFFFFF"/>
            <w:tcMar>
              <w:top w:w="40" w:type="dxa"/>
              <w:bottom w:w="40" w:type="dxa"/>
              <w:right w:w="20" w:type="dxa"/>
            </w:tcMar>
            <w:vAlign w:val="center"/>
          </w:tcPr>
          <w:p w14:paraId="33DABE9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E97"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BE98"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BE9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E9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BE9B" w14:textId="77777777" w:rsidR="004D6A64" w:rsidRDefault="00506CD6">
            <w:pPr>
              <w:jc w:val="right"/>
              <w:textAlignment w:val="center"/>
            </w:pPr>
            <w:r>
              <w:rPr>
                <w:rFonts w:ascii="Times New Roman" w:eastAsia="宋体" w:hAnsi="Times New Roman"/>
                <w:color w:val="000000"/>
                <w:sz w:val="20"/>
                <w:szCs w:val="20"/>
              </w:rPr>
              <w:t>553 </w:t>
            </w:r>
          </w:p>
        </w:tc>
        <w:tc>
          <w:tcPr>
            <w:tcW w:w="0" w:type="auto"/>
            <w:shd w:val="clear" w:color="auto" w:fill="FFFFFF"/>
            <w:tcMar>
              <w:top w:w="40" w:type="dxa"/>
              <w:bottom w:w="40" w:type="dxa"/>
              <w:right w:w="20" w:type="dxa"/>
            </w:tcMar>
            <w:vAlign w:val="center"/>
          </w:tcPr>
          <w:p w14:paraId="33DABE9C" w14:textId="77777777" w:rsidR="004D6A64" w:rsidRDefault="004D6A64">
            <w:pPr>
              <w:jc w:val="right"/>
              <w:rPr>
                <w:rFonts w:ascii="宋体"/>
              </w:rPr>
            </w:pPr>
          </w:p>
        </w:tc>
        <w:tc>
          <w:tcPr>
            <w:tcW w:w="0" w:type="auto"/>
            <w:shd w:val="clear" w:color="auto" w:fill="auto"/>
          </w:tcPr>
          <w:p w14:paraId="33DABE9D" w14:textId="77777777" w:rsidR="004D6A64" w:rsidRDefault="004D6A64">
            <w:pPr>
              <w:rPr>
                <w:rFonts w:ascii="宋体"/>
              </w:rPr>
            </w:pPr>
          </w:p>
        </w:tc>
        <w:tc>
          <w:tcPr>
            <w:tcW w:w="0" w:type="auto"/>
            <w:shd w:val="clear" w:color="auto" w:fill="auto"/>
          </w:tcPr>
          <w:p w14:paraId="33DABE9E" w14:textId="77777777" w:rsidR="004D6A64" w:rsidRDefault="004D6A64">
            <w:pPr>
              <w:rPr>
                <w:rFonts w:ascii="宋体"/>
              </w:rPr>
            </w:pPr>
          </w:p>
        </w:tc>
        <w:tc>
          <w:tcPr>
            <w:tcW w:w="0" w:type="auto"/>
            <w:shd w:val="clear" w:color="auto" w:fill="auto"/>
          </w:tcPr>
          <w:p w14:paraId="33DABE9F" w14:textId="77777777" w:rsidR="004D6A64" w:rsidRDefault="004D6A64">
            <w:pPr>
              <w:rPr>
                <w:rFonts w:ascii="宋体"/>
              </w:rPr>
            </w:pPr>
          </w:p>
        </w:tc>
        <w:tc>
          <w:tcPr>
            <w:tcW w:w="0" w:type="auto"/>
            <w:shd w:val="clear" w:color="auto" w:fill="auto"/>
          </w:tcPr>
          <w:p w14:paraId="33DABEA0" w14:textId="77777777" w:rsidR="004D6A64" w:rsidRDefault="004D6A64">
            <w:pPr>
              <w:rPr>
                <w:rFonts w:ascii="宋体"/>
              </w:rPr>
            </w:pPr>
          </w:p>
        </w:tc>
        <w:tc>
          <w:tcPr>
            <w:tcW w:w="0" w:type="auto"/>
            <w:shd w:val="clear" w:color="auto" w:fill="auto"/>
          </w:tcPr>
          <w:p w14:paraId="33DABEA1" w14:textId="77777777" w:rsidR="004D6A64" w:rsidRDefault="004D6A64">
            <w:pPr>
              <w:rPr>
                <w:rFonts w:ascii="宋体"/>
              </w:rPr>
            </w:pPr>
          </w:p>
        </w:tc>
        <w:tc>
          <w:tcPr>
            <w:tcW w:w="0" w:type="auto"/>
            <w:shd w:val="clear" w:color="auto" w:fill="auto"/>
          </w:tcPr>
          <w:p w14:paraId="33DABEA2" w14:textId="77777777" w:rsidR="004D6A64" w:rsidRDefault="004D6A64">
            <w:pPr>
              <w:rPr>
                <w:rFonts w:ascii="宋体"/>
              </w:rPr>
            </w:pPr>
          </w:p>
        </w:tc>
        <w:tc>
          <w:tcPr>
            <w:tcW w:w="0" w:type="auto"/>
            <w:shd w:val="clear" w:color="auto" w:fill="auto"/>
          </w:tcPr>
          <w:p w14:paraId="33DABEA3" w14:textId="77777777" w:rsidR="004D6A64" w:rsidRDefault="004D6A64">
            <w:pPr>
              <w:rPr>
                <w:rFonts w:ascii="宋体"/>
              </w:rPr>
            </w:pPr>
          </w:p>
        </w:tc>
        <w:tc>
          <w:tcPr>
            <w:tcW w:w="0" w:type="auto"/>
            <w:shd w:val="clear" w:color="auto" w:fill="auto"/>
          </w:tcPr>
          <w:p w14:paraId="33DABEA4" w14:textId="77777777" w:rsidR="004D6A64" w:rsidRDefault="004D6A64">
            <w:pPr>
              <w:rPr>
                <w:rFonts w:ascii="宋体"/>
              </w:rPr>
            </w:pPr>
          </w:p>
        </w:tc>
        <w:tc>
          <w:tcPr>
            <w:tcW w:w="0" w:type="auto"/>
            <w:shd w:val="clear" w:color="auto" w:fill="auto"/>
          </w:tcPr>
          <w:p w14:paraId="33DABEA5" w14:textId="77777777" w:rsidR="004D6A64" w:rsidRDefault="004D6A64">
            <w:pPr>
              <w:rPr>
                <w:rFonts w:ascii="宋体"/>
              </w:rPr>
            </w:pPr>
          </w:p>
        </w:tc>
        <w:tc>
          <w:tcPr>
            <w:tcW w:w="0" w:type="auto"/>
            <w:shd w:val="clear" w:color="auto" w:fill="auto"/>
          </w:tcPr>
          <w:p w14:paraId="33DABEA6" w14:textId="77777777" w:rsidR="004D6A64" w:rsidRDefault="004D6A64">
            <w:pPr>
              <w:rPr>
                <w:rFonts w:ascii="宋体"/>
              </w:rPr>
            </w:pPr>
          </w:p>
        </w:tc>
        <w:tc>
          <w:tcPr>
            <w:tcW w:w="0" w:type="auto"/>
            <w:shd w:val="clear" w:color="auto" w:fill="auto"/>
          </w:tcPr>
          <w:p w14:paraId="33DABEA7" w14:textId="77777777" w:rsidR="004D6A64" w:rsidRDefault="004D6A64">
            <w:pPr>
              <w:rPr>
                <w:rFonts w:ascii="宋体"/>
              </w:rPr>
            </w:pPr>
          </w:p>
        </w:tc>
        <w:tc>
          <w:tcPr>
            <w:tcW w:w="0" w:type="auto"/>
            <w:shd w:val="clear" w:color="auto" w:fill="auto"/>
          </w:tcPr>
          <w:p w14:paraId="33DABEA8" w14:textId="77777777" w:rsidR="004D6A64" w:rsidRDefault="004D6A64">
            <w:pPr>
              <w:rPr>
                <w:rFonts w:ascii="宋体"/>
              </w:rPr>
            </w:pPr>
          </w:p>
        </w:tc>
        <w:tc>
          <w:tcPr>
            <w:tcW w:w="0" w:type="auto"/>
            <w:shd w:val="clear" w:color="auto" w:fill="auto"/>
          </w:tcPr>
          <w:p w14:paraId="33DABEA9" w14:textId="77777777" w:rsidR="004D6A64" w:rsidRDefault="004D6A64">
            <w:pPr>
              <w:rPr>
                <w:rFonts w:ascii="宋体"/>
              </w:rPr>
            </w:pPr>
          </w:p>
        </w:tc>
        <w:tc>
          <w:tcPr>
            <w:tcW w:w="0" w:type="auto"/>
            <w:shd w:val="clear" w:color="auto" w:fill="auto"/>
          </w:tcPr>
          <w:p w14:paraId="33DABEAA" w14:textId="77777777" w:rsidR="004D6A64" w:rsidRDefault="004D6A64">
            <w:pPr>
              <w:rPr>
                <w:rFonts w:ascii="宋体"/>
              </w:rPr>
            </w:pPr>
          </w:p>
        </w:tc>
        <w:tc>
          <w:tcPr>
            <w:tcW w:w="0" w:type="auto"/>
            <w:shd w:val="clear" w:color="auto" w:fill="auto"/>
          </w:tcPr>
          <w:p w14:paraId="33DABEAB" w14:textId="77777777" w:rsidR="004D6A64" w:rsidRDefault="004D6A64">
            <w:pPr>
              <w:rPr>
                <w:rFonts w:ascii="宋体"/>
              </w:rPr>
            </w:pPr>
          </w:p>
        </w:tc>
        <w:tc>
          <w:tcPr>
            <w:tcW w:w="0" w:type="auto"/>
            <w:shd w:val="clear" w:color="auto" w:fill="auto"/>
          </w:tcPr>
          <w:p w14:paraId="33DABEAC" w14:textId="77777777" w:rsidR="004D6A64" w:rsidRDefault="004D6A64">
            <w:pPr>
              <w:rPr>
                <w:rFonts w:ascii="宋体"/>
              </w:rPr>
            </w:pPr>
          </w:p>
        </w:tc>
        <w:tc>
          <w:tcPr>
            <w:tcW w:w="0" w:type="auto"/>
            <w:shd w:val="clear" w:color="auto" w:fill="auto"/>
          </w:tcPr>
          <w:p w14:paraId="33DABEAD" w14:textId="77777777" w:rsidR="004D6A64" w:rsidRDefault="004D6A64">
            <w:pPr>
              <w:rPr>
                <w:rFonts w:ascii="宋体"/>
              </w:rPr>
            </w:pPr>
          </w:p>
        </w:tc>
        <w:tc>
          <w:tcPr>
            <w:tcW w:w="0" w:type="auto"/>
            <w:shd w:val="clear" w:color="auto" w:fill="auto"/>
          </w:tcPr>
          <w:p w14:paraId="33DABEAE" w14:textId="77777777" w:rsidR="004D6A64" w:rsidRDefault="004D6A64">
            <w:pPr>
              <w:rPr>
                <w:rFonts w:ascii="宋体"/>
              </w:rPr>
            </w:pPr>
          </w:p>
        </w:tc>
        <w:tc>
          <w:tcPr>
            <w:tcW w:w="0" w:type="auto"/>
            <w:shd w:val="clear" w:color="auto" w:fill="auto"/>
          </w:tcPr>
          <w:p w14:paraId="33DABEAF" w14:textId="77777777" w:rsidR="004D6A64" w:rsidRDefault="004D6A64">
            <w:pPr>
              <w:rPr>
                <w:rFonts w:ascii="宋体"/>
              </w:rPr>
            </w:pPr>
          </w:p>
        </w:tc>
        <w:tc>
          <w:tcPr>
            <w:tcW w:w="0" w:type="auto"/>
            <w:shd w:val="clear" w:color="auto" w:fill="auto"/>
          </w:tcPr>
          <w:p w14:paraId="33DABEB0" w14:textId="77777777" w:rsidR="004D6A64" w:rsidRDefault="004D6A64">
            <w:pPr>
              <w:rPr>
                <w:rFonts w:ascii="宋体"/>
              </w:rPr>
            </w:pPr>
          </w:p>
        </w:tc>
        <w:tc>
          <w:tcPr>
            <w:tcW w:w="0" w:type="auto"/>
            <w:shd w:val="clear" w:color="auto" w:fill="auto"/>
          </w:tcPr>
          <w:p w14:paraId="33DABEB1" w14:textId="77777777" w:rsidR="004D6A64" w:rsidRDefault="004D6A64">
            <w:pPr>
              <w:rPr>
                <w:rFonts w:ascii="宋体"/>
              </w:rPr>
            </w:pPr>
          </w:p>
        </w:tc>
        <w:tc>
          <w:tcPr>
            <w:tcW w:w="0" w:type="auto"/>
            <w:shd w:val="clear" w:color="auto" w:fill="auto"/>
          </w:tcPr>
          <w:p w14:paraId="33DABEB2" w14:textId="77777777" w:rsidR="004D6A64" w:rsidRDefault="004D6A64">
            <w:pPr>
              <w:rPr>
                <w:rFonts w:ascii="宋体"/>
              </w:rPr>
            </w:pPr>
          </w:p>
        </w:tc>
        <w:tc>
          <w:tcPr>
            <w:tcW w:w="0" w:type="auto"/>
            <w:shd w:val="clear" w:color="auto" w:fill="auto"/>
          </w:tcPr>
          <w:p w14:paraId="33DABEB3" w14:textId="77777777" w:rsidR="004D6A64" w:rsidRDefault="004D6A64">
            <w:pPr>
              <w:rPr>
                <w:rFonts w:ascii="宋体"/>
              </w:rPr>
            </w:pPr>
          </w:p>
        </w:tc>
        <w:tc>
          <w:tcPr>
            <w:tcW w:w="0" w:type="auto"/>
            <w:shd w:val="clear" w:color="auto" w:fill="auto"/>
          </w:tcPr>
          <w:p w14:paraId="33DABEB4" w14:textId="77777777" w:rsidR="004D6A64" w:rsidRDefault="004D6A64">
            <w:pPr>
              <w:rPr>
                <w:rFonts w:ascii="宋体"/>
              </w:rPr>
            </w:pPr>
          </w:p>
        </w:tc>
      </w:tr>
      <w:tr w:rsidR="004D6A64" w14:paraId="33DABEDD" w14:textId="77777777">
        <w:trPr>
          <w:gridAfter w:val="3"/>
        </w:trPr>
        <w:tc>
          <w:tcPr>
            <w:tcW w:w="0" w:type="auto"/>
            <w:gridSpan w:val="3"/>
            <w:shd w:val="clear" w:color="auto" w:fill="CCEEFF"/>
            <w:tcMar>
              <w:top w:w="40" w:type="dxa"/>
              <w:left w:w="20" w:type="dxa"/>
              <w:bottom w:w="40" w:type="dxa"/>
              <w:right w:w="20" w:type="dxa"/>
            </w:tcMar>
            <w:vAlign w:val="center"/>
          </w:tcPr>
          <w:p w14:paraId="33DABEB6" w14:textId="77777777" w:rsidR="004D6A64" w:rsidRDefault="00506CD6">
            <w:pPr>
              <w:textAlignment w:val="center"/>
            </w:pPr>
            <w:r>
              <w:rPr>
                <w:rFonts w:ascii="Times New Roman" w:eastAsia="宋体" w:hAnsi="Times New Roman"/>
                <w:color w:val="000000"/>
                <w:sz w:val="20"/>
                <w:szCs w:val="20"/>
              </w:rPr>
              <w:t>Foreign exchange contracts in a liability position</w:t>
            </w:r>
          </w:p>
        </w:tc>
        <w:tc>
          <w:tcPr>
            <w:tcW w:w="0" w:type="auto"/>
            <w:gridSpan w:val="2"/>
            <w:shd w:val="clear" w:color="auto" w:fill="CCEEFF"/>
            <w:tcMar>
              <w:top w:w="40" w:type="dxa"/>
              <w:left w:w="20" w:type="dxa"/>
              <w:bottom w:w="40" w:type="dxa"/>
              <w:right w:w="0" w:type="dxa"/>
            </w:tcMar>
            <w:vAlign w:val="center"/>
          </w:tcPr>
          <w:p w14:paraId="33DABEB7" w14:textId="77777777" w:rsidR="004D6A64" w:rsidRDefault="00506CD6">
            <w:pPr>
              <w:jc w:val="right"/>
              <w:textAlignment w:val="center"/>
            </w:pPr>
            <w:r>
              <w:rPr>
                <w:rFonts w:ascii="Times New Roman" w:eastAsia="宋体" w:hAnsi="Times New Roman"/>
                <w:color w:val="000000"/>
                <w:sz w:val="20"/>
                <w:szCs w:val="20"/>
              </w:rPr>
              <w:t>(123)</w:t>
            </w:r>
          </w:p>
        </w:tc>
        <w:tc>
          <w:tcPr>
            <w:tcW w:w="0" w:type="auto"/>
            <w:shd w:val="clear" w:color="auto" w:fill="CCEEFF"/>
            <w:tcMar>
              <w:top w:w="40" w:type="dxa"/>
              <w:bottom w:w="40" w:type="dxa"/>
              <w:right w:w="20" w:type="dxa"/>
            </w:tcMar>
            <w:vAlign w:val="center"/>
          </w:tcPr>
          <w:p w14:paraId="33DABEB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EB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BEBA"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BEB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EBC"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BEBD" w14:textId="77777777" w:rsidR="004D6A64" w:rsidRDefault="00506CD6">
            <w:pPr>
              <w:jc w:val="right"/>
              <w:textAlignment w:val="center"/>
            </w:pPr>
            <w:r>
              <w:rPr>
                <w:rFonts w:ascii="Times New Roman" w:eastAsia="宋体" w:hAnsi="Times New Roman"/>
                <w:color w:val="000000"/>
                <w:sz w:val="20"/>
                <w:szCs w:val="20"/>
              </w:rPr>
              <w:t>(290)</w:t>
            </w:r>
          </w:p>
        </w:tc>
        <w:tc>
          <w:tcPr>
            <w:tcW w:w="0" w:type="auto"/>
            <w:shd w:val="clear" w:color="auto" w:fill="CCEEFF"/>
            <w:tcMar>
              <w:top w:w="40" w:type="dxa"/>
              <w:bottom w:w="40" w:type="dxa"/>
              <w:right w:w="20" w:type="dxa"/>
            </w:tcMar>
            <w:vAlign w:val="center"/>
          </w:tcPr>
          <w:p w14:paraId="33DABEB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EB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BEC0" w14:textId="77777777" w:rsidR="004D6A64" w:rsidRDefault="00506CD6">
            <w:pPr>
              <w:jc w:val="right"/>
              <w:textAlignment w:val="center"/>
            </w:pPr>
            <w:r>
              <w:rPr>
                <w:rFonts w:ascii="Times New Roman" w:eastAsia="宋体" w:hAnsi="Times New Roman"/>
                <w:color w:val="000000"/>
                <w:sz w:val="20"/>
                <w:szCs w:val="20"/>
              </w:rPr>
              <w:t>(4)</w:t>
            </w:r>
          </w:p>
        </w:tc>
        <w:tc>
          <w:tcPr>
            <w:tcW w:w="0" w:type="auto"/>
            <w:shd w:val="clear" w:color="auto" w:fill="CCEEFF"/>
            <w:tcMar>
              <w:top w:w="40" w:type="dxa"/>
              <w:bottom w:w="40" w:type="dxa"/>
              <w:right w:w="20" w:type="dxa"/>
            </w:tcMar>
            <w:vAlign w:val="center"/>
          </w:tcPr>
          <w:p w14:paraId="33DABEC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EC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BEC3" w14:textId="77777777" w:rsidR="004D6A64" w:rsidRDefault="00506CD6">
            <w:pPr>
              <w:jc w:val="right"/>
              <w:textAlignment w:val="center"/>
            </w:pPr>
            <w:r>
              <w:rPr>
                <w:rFonts w:ascii="Times New Roman" w:eastAsia="宋体" w:hAnsi="Times New Roman"/>
                <w:color w:val="000000"/>
                <w:sz w:val="20"/>
                <w:szCs w:val="20"/>
              </w:rPr>
              <w:t>(417)</w:t>
            </w:r>
          </w:p>
        </w:tc>
        <w:tc>
          <w:tcPr>
            <w:tcW w:w="0" w:type="auto"/>
            <w:shd w:val="clear" w:color="auto" w:fill="CCEEFF"/>
            <w:tcMar>
              <w:top w:w="40" w:type="dxa"/>
              <w:bottom w:w="40" w:type="dxa"/>
              <w:right w:w="20" w:type="dxa"/>
            </w:tcMar>
            <w:vAlign w:val="center"/>
          </w:tcPr>
          <w:p w14:paraId="33DABEC4" w14:textId="77777777" w:rsidR="004D6A64" w:rsidRDefault="004D6A64">
            <w:pPr>
              <w:jc w:val="right"/>
              <w:rPr>
                <w:rFonts w:ascii="宋体"/>
              </w:rPr>
            </w:pPr>
          </w:p>
        </w:tc>
        <w:tc>
          <w:tcPr>
            <w:tcW w:w="0" w:type="auto"/>
            <w:shd w:val="clear" w:color="auto" w:fill="auto"/>
          </w:tcPr>
          <w:p w14:paraId="33DABEC5" w14:textId="77777777" w:rsidR="004D6A64" w:rsidRDefault="004D6A64">
            <w:pPr>
              <w:rPr>
                <w:rFonts w:ascii="宋体"/>
              </w:rPr>
            </w:pPr>
          </w:p>
        </w:tc>
        <w:tc>
          <w:tcPr>
            <w:tcW w:w="0" w:type="auto"/>
            <w:shd w:val="clear" w:color="auto" w:fill="auto"/>
          </w:tcPr>
          <w:p w14:paraId="33DABEC6" w14:textId="77777777" w:rsidR="004D6A64" w:rsidRDefault="004D6A64">
            <w:pPr>
              <w:rPr>
                <w:rFonts w:ascii="宋体"/>
              </w:rPr>
            </w:pPr>
          </w:p>
        </w:tc>
        <w:tc>
          <w:tcPr>
            <w:tcW w:w="0" w:type="auto"/>
            <w:shd w:val="clear" w:color="auto" w:fill="auto"/>
          </w:tcPr>
          <w:p w14:paraId="33DABEC7" w14:textId="77777777" w:rsidR="004D6A64" w:rsidRDefault="004D6A64">
            <w:pPr>
              <w:rPr>
                <w:rFonts w:ascii="宋体"/>
              </w:rPr>
            </w:pPr>
          </w:p>
        </w:tc>
        <w:tc>
          <w:tcPr>
            <w:tcW w:w="0" w:type="auto"/>
            <w:shd w:val="clear" w:color="auto" w:fill="auto"/>
          </w:tcPr>
          <w:p w14:paraId="33DABEC8" w14:textId="77777777" w:rsidR="004D6A64" w:rsidRDefault="004D6A64">
            <w:pPr>
              <w:rPr>
                <w:rFonts w:ascii="宋体"/>
              </w:rPr>
            </w:pPr>
          </w:p>
        </w:tc>
        <w:tc>
          <w:tcPr>
            <w:tcW w:w="0" w:type="auto"/>
            <w:shd w:val="clear" w:color="auto" w:fill="auto"/>
          </w:tcPr>
          <w:p w14:paraId="33DABEC9" w14:textId="77777777" w:rsidR="004D6A64" w:rsidRDefault="004D6A64">
            <w:pPr>
              <w:rPr>
                <w:rFonts w:ascii="宋体"/>
              </w:rPr>
            </w:pPr>
          </w:p>
        </w:tc>
        <w:tc>
          <w:tcPr>
            <w:tcW w:w="0" w:type="auto"/>
            <w:shd w:val="clear" w:color="auto" w:fill="auto"/>
          </w:tcPr>
          <w:p w14:paraId="33DABECA" w14:textId="77777777" w:rsidR="004D6A64" w:rsidRDefault="004D6A64">
            <w:pPr>
              <w:rPr>
                <w:rFonts w:ascii="宋体"/>
              </w:rPr>
            </w:pPr>
          </w:p>
        </w:tc>
        <w:tc>
          <w:tcPr>
            <w:tcW w:w="0" w:type="auto"/>
            <w:shd w:val="clear" w:color="auto" w:fill="auto"/>
          </w:tcPr>
          <w:p w14:paraId="33DABECB" w14:textId="77777777" w:rsidR="004D6A64" w:rsidRDefault="004D6A64">
            <w:pPr>
              <w:rPr>
                <w:rFonts w:ascii="宋体"/>
              </w:rPr>
            </w:pPr>
          </w:p>
        </w:tc>
        <w:tc>
          <w:tcPr>
            <w:tcW w:w="0" w:type="auto"/>
            <w:shd w:val="clear" w:color="auto" w:fill="auto"/>
          </w:tcPr>
          <w:p w14:paraId="33DABECC" w14:textId="77777777" w:rsidR="004D6A64" w:rsidRDefault="004D6A64">
            <w:pPr>
              <w:rPr>
                <w:rFonts w:ascii="宋体"/>
              </w:rPr>
            </w:pPr>
          </w:p>
        </w:tc>
        <w:tc>
          <w:tcPr>
            <w:tcW w:w="0" w:type="auto"/>
            <w:shd w:val="clear" w:color="auto" w:fill="auto"/>
          </w:tcPr>
          <w:p w14:paraId="33DABECD" w14:textId="77777777" w:rsidR="004D6A64" w:rsidRDefault="004D6A64">
            <w:pPr>
              <w:rPr>
                <w:rFonts w:ascii="宋体"/>
              </w:rPr>
            </w:pPr>
          </w:p>
        </w:tc>
        <w:tc>
          <w:tcPr>
            <w:tcW w:w="0" w:type="auto"/>
            <w:shd w:val="clear" w:color="auto" w:fill="auto"/>
          </w:tcPr>
          <w:p w14:paraId="33DABECE" w14:textId="77777777" w:rsidR="004D6A64" w:rsidRDefault="004D6A64">
            <w:pPr>
              <w:rPr>
                <w:rFonts w:ascii="宋体"/>
              </w:rPr>
            </w:pPr>
          </w:p>
        </w:tc>
        <w:tc>
          <w:tcPr>
            <w:tcW w:w="0" w:type="auto"/>
            <w:shd w:val="clear" w:color="auto" w:fill="auto"/>
          </w:tcPr>
          <w:p w14:paraId="33DABECF" w14:textId="77777777" w:rsidR="004D6A64" w:rsidRDefault="004D6A64">
            <w:pPr>
              <w:rPr>
                <w:rFonts w:ascii="宋体"/>
              </w:rPr>
            </w:pPr>
          </w:p>
        </w:tc>
        <w:tc>
          <w:tcPr>
            <w:tcW w:w="0" w:type="auto"/>
            <w:shd w:val="clear" w:color="auto" w:fill="auto"/>
          </w:tcPr>
          <w:p w14:paraId="33DABED0" w14:textId="77777777" w:rsidR="004D6A64" w:rsidRDefault="004D6A64">
            <w:pPr>
              <w:rPr>
                <w:rFonts w:ascii="宋体"/>
              </w:rPr>
            </w:pPr>
          </w:p>
        </w:tc>
        <w:tc>
          <w:tcPr>
            <w:tcW w:w="0" w:type="auto"/>
            <w:shd w:val="clear" w:color="auto" w:fill="auto"/>
          </w:tcPr>
          <w:p w14:paraId="33DABED1" w14:textId="77777777" w:rsidR="004D6A64" w:rsidRDefault="004D6A64">
            <w:pPr>
              <w:rPr>
                <w:rFonts w:ascii="宋体"/>
              </w:rPr>
            </w:pPr>
          </w:p>
        </w:tc>
        <w:tc>
          <w:tcPr>
            <w:tcW w:w="0" w:type="auto"/>
            <w:shd w:val="clear" w:color="auto" w:fill="auto"/>
          </w:tcPr>
          <w:p w14:paraId="33DABED2" w14:textId="77777777" w:rsidR="004D6A64" w:rsidRDefault="004D6A64">
            <w:pPr>
              <w:rPr>
                <w:rFonts w:ascii="宋体"/>
              </w:rPr>
            </w:pPr>
          </w:p>
        </w:tc>
        <w:tc>
          <w:tcPr>
            <w:tcW w:w="0" w:type="auto"/>
            <w:shd w:val="clear" w:color="auto" w:fill="auto"/>
          </w:tcPr>
          <w:p w14:paraId="33DABED3" w14:textId="77777777" w:rsidR="004D6A64" w:rsidRDefault="004D6A64">
            <w:pPr>
              <w:rPr>
                <w:rFonts w:ascii="宋体"/>
              </w:rPr>
            </w:pPr>
          </w:p>
        </w:tc>
        <w:tc>
          <w:tcPr>
            <w:tcW w:w="0" w:type="auto"/>
            <w:shd w:val="clear" w:color="auto" w:fill="auto"/>
          </w:tcPr>
          <w:p w14:paraId="33DABED4" w14:textId="77777777" w:rsidR="004D6A64" w:rsidRDefault="004D6A64">
            <w:pPr>
              <w:rPr>
                <w:rFonts w:ascii="宋体"/>
              </w:rPr>
            </w:pPr>
          </w:p>
        </w:tc>
        <w:tc>
          <w:tcPr>
            <w:tcW w:w="0" w:type="auto"/>
            <w:shd w:val="clear" w:color="auto" w:fill="auto"/>
          </w:tcPr>
          <w:p w14:paraId="33DABED5" w14:textId="77777777" w:rsidR="004D6A64" w:rsidRDefault="004D6A64">
            <w:pPr>
              <w:rPr>
                <w:rFonts w:ascii="宋体"/>
              </w:rPr>
            </w:pPr>
          </w:p>
        </w:tc>
        <w:tc>
          <w:tcPr>
            <w:tcW w:w="0" w:type="auto"/>
            <w:shd w:val="clear" w:color="auto" w:fill="auto"/>
          </w:tcPr>
          <w:p w14:paraId="33DABED6" w14:textId="77777777" w:rsidR="004D6A64" w:rsidRDefault="004D6A64">
            <w:pPr>
              <w:rPr>
                <w:rFonts w:ascii="宋体"/>
              </w:rPr>
            </w:pPr>
          </w:p>
        </w:tc>
        <w:tc>
          <w:tcPr>
            <w:tcW w:w="0" w:type="auto"/>
            <w:shd w:val="clear" w:color="auto" w:fill="auto"/>
          </w:tcPr>
          <w:p w14:paraId="33DABED7" w14:textId="77777777" w:rsidR="004D6A64" w:rsidRDefault="004D6A64">
            <w:pPr>
              <w:rPr>
                <w:rFonts w:ascii="宋体"/>
              </w:rPr>
            </w:pPr>
          </w:p>
        </w:tc>
        <w:tc>
          <w:tcPr>
            <w:tcW w:w="0" w:type="auto"/>
            <w:shd w:val="clear" w:color="auto" w:fill="auto"/>
          </w:tcPr>
          <w:p w14:paraId="33DABED8" w14:textId="77777777" w:rsidR="004D6A64" w:rsidRDefault="004D6A64">
            <w:pPr>
              <w:rPr>
                <w:rFonts w:ascii="宋体"/>
              </w:rPr>
            </w:pPr>
          </w:p>
        </w:tc>
        <w:tc>
          <w:tcPr>
            <w:tcW w:w="0" w:type="auto"/>
            <w:shd w:val="clear" w:color="auto" w:fill="auto"/>
          </w:tcPr>
          <w:p w14:paraId="33DABED9" w14:textId="77777777" w:rsidR="004D6A64" w:rsidRDefault="004D6A64">
            <w:pPr>
              <w:rPr>
                <w:rFonts w:ascii="宋体"/>
              </w:rPr>
            </w:pPr>
          </w:p>
        </w:tc>
        <w:tc>
          <w:tcPr>
            <w:tcW w:w="0" w:type="auto"/>
            <w:shd w:val="clear" w:color="auto" w:fill="auto"/>
          </w:tcPr>
          <w:p w14:paraId="33DABEDA" w14:textId="77777777" w:rsidR="004D6A64" w:rsidRDefault="004D6A64">
            <w:pPr>
              <w:rPr>
                <w:rFonts w:ascii="宋体"/>
              </w:rPr>
            </w:pPr>
          </w:p>
        </w:tc>
        <w:tc>
          <w:tcPr>
            <w:tcW w:w="0" w:type="auto"/>
            <w:shd w:val="clear" w:color="auto" w:fill="auto"/>
          </w:tcPr>
          <w:p w14:paraId="33DABEDB" w14:textId="77777777" w:rsidR="004D6A64" w:rsidRDefault="004D6A64">
            <w:pPr>
              <w:rPr>
                <w:rFonts w:ascii="宋体"/>
              </w:rPr>
            </w:pPr>
          </w:p>
        </w:tc>
        <w:tc>
          <w:tcPr>
            <w:tcW w:w="0" w:type="auto"/>
            <w:shd w:val="clear" w:color="auto" w:fill="auto"/>
          </w:tcPr>
          <w:p w14:paraId="33DABEDC" w14:textId="77777777" w:rsidR="004D6A64" w:rsidRDefault="004D6A64">
            <w:pPr>
              <w:rPr>
                <w:rFonts w:ascii="宋体"/>
              </w:rPr>
            </w:pPr>
          </w:p>
        </w:tc>
      </w:tr>
      <w:tr w:rsidR="004D6A64" w14:paraId="33DABF05" w14:textId="77777777">
        <w:trPr>
          <w:gridAfter w:val="3"/>
        </w:trPr>
        <w:tc>
          <w:tcPr>
            <w:tcW w:w="0" w:type="auto"/>
            <w:gridSpan w:val="3"/>
            <w:shd w:val="clear" w:color="auto" w:fill="FFFFFF"/>
            <w:tcMar>
              <w:top w:w="40" w:type="dxa"/>
              <w:left w:w="20" w:type="dxa"/>
              <w:bottom w:w="40" w:type="dxa"/>
              <w:right w:w="20" w:type="dxa"/>
            </w:tcMar>
            <w:vAlign w:val="center"/>
          </w:tcPr>
          <w:p w14:paraId="33DABEDE" w14:textId="77777777" w:rsidR="004D6A64" w:rsidRDefault="00506CD6">
            <w:pPr>
              <w:textAlignment w:val="center"/>
            </w:pPr>
            <w:r>
              <w:rPr>
                <w:rFonts w:ascii="Times New Roman" w:eastAsia="宋体" w:hAnsi="Times New Roman"/>
                <w:color w:val="000000"/>
                <w:sz w:val="20"/>
                <w:szCs w:val="20"/>
              </w:rPr>
              <w:t>Interest rate contracts in an asset position</w:t>
            </w:r>
          </w:p>
        </w:tc>
        <w:tc>
          <w:tcPr>
            <w:tcW w:w="0" w:type="auto"/>
            <w:gridSpan w:val="2"/>
            <w:shd w:val="clear" w:color="auto" w:fill="FFFFFF"/>
            <w:tcMar>
              <w:top w:w="40" w:type="dxa"/>
              <w:left w:w="20" w:type="dxa"/>
              <w:bottom w:w="40" w:type="dxa"/>
              <w:right w:w="0" w:type="dxa"/>
            </w:tcMar>
            <w:vAlign w:val="center"/>
          </w:tcPr>
          <w:p w14:paraId="33DABEDF"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BEE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EE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BEE2" w14:textId="77777777" w:rsidR="004D6A64" w:rsidRDefault="00506CD6">
            <w:pPr>
              <w:jc w:val="right"/>
              <w:textAlignment w:val="center"/>
            </w:pPr>
            <w:r>
              <w:rPr>
                <w:rFonts w:ascii="Times New Roman" w:eastAsia="宋体" w:hAnsi="Times New Roman"/>
                <w:color w:val="000000"/>
                <w:sz w:val="20"/>
                <w:szCs w:val="20"/>
              </w:rPr>
              <w:t>10 </w:t>
            </w:r>
          </w:p>
        </w:tc>
        <w:tc>
          <w:tcPr>
            <w:tcW w:w="0" w:type="auto"/>
            <w:shd w:val="clear" w:color="auto" w:fill="FFFFFF"/>
            <w:tcMar>
              <w:top w:w="40" w:type="dxa"/>
              <w:bottom w:w="40" w:type="dxa"/>
              <w:right w:w="20" w:type="dxa"/>
            </w:tcMar>
            <w:vAlign w:val="center"/>
          </w:tcPr>
          <w:p w14:paraId="33DABEE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EE4"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BEE5"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BEE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EE7"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BEE8"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BEE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EE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BEEB" w14:textId="77777777" w:rsidR="004D6A64" w:rsidRDefault="00506CD6">
            <w:pPr>
              <w:jc w:val="right"/>
              <w:textAlignment w:val="center"/>
            </w:pPr>
            <w:r>
              <w:rPr>
                <w:rFonts w:ascii="Times New Roman" w:eastAsia="宋体" w:hAnsi="Times New Roman"/>
                <w:color w:val="000000"/>
                <w:sz w:val="20"/>
                <w:szCs w:val="20"/>
              </w:rPr>
              <w:t>10 </w:t>
            </w:r>
          </w:p>
        </w:tc>
        <w:tc>
          <w:tcPr>
            <w:tcW w:w="0" w:type="auto"/>
            <w:shd w:val="clear" w:color="auto" w:fill="FFFFFF"/>
            <w:tcMar>
              <w:top w:w="40" w:type="dxa"/>
              <w:bottom w:w="40" w:type="dxa"/>
              <w:right w:w="20" w:type="dxa"/>
            </w:tcMar>
            <w:vAlign w:val="center"/>
          </w:tcPr>
          <w:p w14:paraId="33DABEEC" w14:textId="77777777" w:rsidR="004D6A64" w:rsidRDefault="004D6A64">
            <w:pPr>
              <w:jc w:val="right"/>
              <w:rPr>
                <w:rFonts w:ascii="宋体"/>
              </w:rPr>
            </w:pPr>
          </w:p>
        </w:tc>
        <w:tc>
          <w:tcPr>
            <w:tcW w:w="0" w:type="auto"/>
            <w:shd w:val="clear" w:color="auto" w:fill="auto"/>
          </w:tcPr>
          <w:p w14:paraId="33DABEED" w14:textId="77777777" w:rsidR="004D6A64" w:rsidRDefault="004D6A64">
            <w:pPr>
              <w:rPr>
                <w:rFonts w:ascii="宋体"/>
              </w:rPr>
            </w:pPr>
          </w:p>
        </w:tc>
        <w:tc>
          <w:tcPr>
            <w:tcW w:w="0" w:type="auto"/>
            <w:shd w:val="clear" w:color="auto" w:fill="auto"/>
          </w:tcPr>
          <w:p w14:paraId="33DABEEE" w14:textId="77777777" w:rsidR="004D6A64" w:rsidRDefault="004D6A64">
            <w:pPr>
              <w:rPr>
                <w:rFonts w:ascii="宋体"/>
              </w:rPr>
            </w:pPr>
          </w:p>
        </w:tc>
        <w:tc>
          <w:tcPr>
            <w:tcW w:w="0" w:type="auto"/>
            <w:shd w:val="clear" w:color="auto" w:fill="auto"/>
          </w:tcPr>
          <w:p w14:paraId="33DABEEF" w14:textId="77777777" w:rsidR="004D6A64" w:rsidRDefault="004D6A64">
            <w:pPr>
              <w:rPr>
                <w:rFonts w:ascii="宋体"/>
              </w:rPr>
            </w:pPr>
          </w:p>
        </w:tc>
        <w:tc>
          <w:tcPr>
            <w:tcW w:w="0" w:type="auto"/>
            <w:shd w:val="clear" w:color="auto" w:fill="auto"/>
          </w:tcPr>
          <w:p w14:paraId="33DABEF0" w14:textId="77777777" w:rsidR="004D6A64" w:rsidRDefault="004D6A64">
            <w:pPr>
              <w:rPr>
                <w:rFonts w:ascii="宋体"/>
              </w:rPr>
            </w:pPr>
          </w:p>
        </w:tc>
        <w:tc>
          <w:tcPr>
            <w:tcW w:w="0" w:type="auto"/>
            <w:shd w:val="clear" w:color="auto" w:fill="auto"/>
          </w:tcPr>
          <w:p w14:paraId="33DABEF1" w14:textId="77777777" w:rsidR="004D6A64" w:rsidRDefault="004D6A64">
            <w:pPr>
              <w:rPr>
                <w:rFonts w:ascii="宋体"/>
              </w:rPr>
            </w:pPr>
          </w:p>
        </w:tc>
        <w:tc>
          <w:tcPr>
            <w:tcW w:w="0" w:type="auto"/>
            <w:shd w:val="clear" w:color="auto" w:fill="auto"/>
          </w:tcPr>
          <w:p w14:paraId="33DABEF2" w14:textId="77777777" w:rsidR="004D6A64" w:rsidRDefault="004D6A64">
            <w:pPr>
              <w:rPr>
                <w:rFonts w:ascii="宋体"/>
              </w:rPr>
            </w:pPr>
          </w:p>
        </w:tc>
        <w:tc>
          <w:tcPr>
            <w:tcW w:w="0" w:type="auto"/>
            <w:shd w:val="clear" w:color="auto" w:fill="auto"/>
          </w:tcPr>
          <w:p w14:paraId="33DABEF3" w14:textId="77777777" w:rsidR="004D6A64" w:rsidRDefault="004D6A64">
            <w:pPr>
              <w:rPr>
                <w:rFonts w:ascii="宋体"/>
              </w:rPr>
            </w:pPr>
          </w:p>
        </w:tc>
        <w:tc>
          <w:tcPr>
            <w:tcW w:w="0" w:type="auto"/>
            <w:shd w:val="clear" w:color="auto" w:fill="auto"/>
          </w:tcPr>
          <w:p w14:paraId="33DABEF4" w14:textId="77777777" w:rsidR="004D6A64" w:rsidRDefault="004D6A64">
            <w:pPr>
              <w:rPr>
                <w:rFonts w:ascii="宋体"/>
              </w:rPr>
            </w:pPr>
          </w:p>
        </w:tc>
        <w:tc>
          <w:tcPr>
            <w:tcW w:w="0" w:type="auto"/>
            <w:shd w:val="clear" w:color="auto" w:fill="auto"/>
          </w:tcPr>
          <w:p w14:paraId="33DABEF5" w14:textId="77777777" w:rsidR="004D6A64" w:rsidRDefault="004D6A64">
            <w:pPr>
              <w:rPr>
                <w:rFonts w:ascii="宋体"/>
              </w:rPr>
            </w:pPr>
          </w:p>
        </w:tc>
        <w:tc>
          <w:tcPr>
            <w:tcW w:w="0" w:type="auto"/>
            <w:shd w:val="clear" w:color="auto" w:fill="auto"/>
          </w:tcPr>
          <w:p w14:paraId="33DABEF6" w14:textId="77777777" w:rsidR="004D6A64" w:rsidRDefault="004D6A64">
            <w:pPr>
              <w:rPr>
                <w:rFonts w:ascii="宋体"/>
              </w:rPr>
            </w:pPr>
          </w:p>
        </w:tc>
        <w:tc>
          <w:tcPr>
            <w:tcW w:w="0" w:type="auto"/>
            <w:shd w:val="clear" w:color="auto" w:fill="auto"/>
          </w:tcPr>
          <w:p w14:paraId="33DABEF7" w14:textId="77777777" w:rsidR="004D6A64" w:rsidRDefault="004D6A64">
            <w:pPr>
              <w:rPr>
                <w:rFonts w:ascii="宋体"/>
              </w:rPr>
            </w:pPr>
          </w:p>
        </w:tc>
        <w:tc>
          <w:tcPr>
            <w:tcW w:w="0" w:type="auto"/>
            <w:shd w:val="clear" w:color="auto" w:fill="auto"/>
          </w:tcPr>
          <w:p w14:paraId="33DABEF8" w14:textId="77777777" w:rsidR="004D6A64" w:rsidRDefault="004D6A64">
            <w:pPr>
              <w:rPr>
                <w:rFonts w:ascii="宋体"/>
              </w:rPr>
            </w:pPr>
          </w:p>
        </w:tc>
        <w:tc>
          <w:tcPr>
            <w:tcW w:w="0" w:type="auto"/>
            <w:shd w:val="clear" w:color="auto" w:fill="auto"/>
          </w:tcPr>
          <w:p w14:paraId="33DABEF9" w14:textId="77777777" w:rsidR="004D6A64" w:rsidRDefault="004D6A64">
            <w:pPr>
              <w:rPr>
                <w:rFonts w:ascii="宋体"/>
              </w:rPr>
            </w:pPr>
          </w:p>
        </w:tc>
        <w:tc>
          <w:tcPr>
            <w:tcW w:w="0" w:type="auto"/>
            <w:shd w:val="clear" w:color="auto" w:fill="auto"/>
          </w:tcPr>
          <w:p w14:paraId="33DABEFA" w14:textId="77777777" w:rsidR="004D6A64" w:rsidRDefault="004D6A64">
            <w:pPr>
              <w:rPr>
                <w:rFonts w:ascii="宋体"/>
              </w:rPr>
            </w:pPr>
          </w:p>
        </w:tc>
        <w:tc>
          <w:tcPr>
            <w:tcW w:w="0" w:type="auto"/>
            <w:shd w:val="clear" w:color="auto" w:fill="auto"/>
          </w:tcPr>
          <w:p w14:paraId="33DABEFB" w14:textId="77777777" w:rsidR="004D6A64" w:rsidRDefault="004D6A64">
            <w:pPr>
              <w:rPr>
                <w:rFonts w:ascii="宋体"/>
              </w:rPr>
            </w:pPr>
          </w:p>
        </w:tc>
        <w:tc>
          <w:tcPr>
            <w:tcW w:w="0" w:type="auto"/>
            <w:shd w:val="clear" w:color="auto" w:fill="auto"/>
          </w:tcPr>
          <w:p w14:paraId="33DABEFC" w14:textId="77777777" w:rsidR="004D6A64" w:rsidRDefault="004D6A64">
            <w:pPr>
              <w:rPr>
                <w:rFonts w:ascii="宋体"/>
              </w:rPr>
            </w:pPr>
          </w:p>
        </w:tc>
        <w:tc>
          <w:tcPr>
            <w:tcW w:w="0" w:type="auto"/>
            <w:shd w:val="clear" w:color="auto" w:fill="auto"/>
          </w:tcPr>
          <w:p w14:paraId="33DABEFD" w14:textId="77777777" w:rsidR="004D6A64" w:rsidRDefault="004D6A64">
            <w:pPr>
              <w:rPr>
                <w:rFonts w:ascii="宋体"/>
              </w:rPr>
            </w:pPr>
          </w:p>
        </w:tc>
        <w:tc>
          <w:tcPr>
            <w:tcW w:w="0" w:type="auto"/>
            <w:shd w:val="clear" w:color="auto" w:fill="auto"/>
          </w:tcPr>
          <w:p w14:paraId="33DABEFE" w14:textId="77777777" w:rsidR="004D6A64" w:rsidRDefault="004D6A64">
            <w:pPr>
              <w:rPr>
                <w:rFonts w:ascii="宋体"/>
              </w:rPr>
            </w:pPr>
          </w:p>
        </w:tc>
        <w:tc>
          <w:tcPr>
            <w:tcW w:w="0" w:type="auto"/>
            <w:shd w:val="clear" w:color="auto" w:fill="auto"/>
          </w:tcPr>
          <w:p w14:paraId="33DABEFF" w14:textId="77777777" w:rsidR="004D6A64" w:rsidRDefault="004D6A64">
            <w:pPr>
              <w:rPr>
                <w:rFonts w:ascii="宋体"/>
              </w:rPr>
            </w:pPr>
          </w:p>
        </w:tc>
        <w:tc>
          <w:tcPr>
            <w:tcW w:w="0" w:type="auto"/>
            <w:shd w:val="clear" w:color="auto" w:fill="auto"/>
          </w:tcPr>
          <w:p w14:paraId="33DABF00" w14:textId="77777777" w:rsidR="004D6A64" w:rsidRDefault="004D6A64">
            <w:pPr>
              <w:rPr>
                <w:rFonts w:ascii="宋体"/>
              </w:rPr>
            </w:pPr>
          </w:p>
        </w:tc>
        <w:tc>
          <w:tcPr>
            <w:tcW w:w="0" w:type="auto"/>
            <w:shd w:val="clear" w:color="auto" w:fill="auto"/>
          </w:tcPr>
          <w:p w14:paraId="33DABF01" w14:textId="77777777" w:rsidR="004D6A64" w:rsidRDefault="004D6A64">
            <w:pPr>
              <w:rPr>
                <w:rFonts w:ascii="宋体"/>
              </w:rPr>
            </w:pPr>
          </w:p>
        </w:tc>
        <w:tc>
          <w:tcPr>
            <w:tcW w:w="0" w:type="auto"/>
            <w:shd w:val="clear" w:color="auto" w:fill="auto"/>
          </w:tcPr>
          <w:p w14:paraId="33DABF02" w14:textId="77777777" w:rsidR="004D6A64" w:rsidRDefault="004D6A64">
            <w:pPr>
              <w:rPr>
                <w:rFonts w:ascii="宋体"/>
              </w:rPr>
            </w:pPr>
          </w:p>
        </w:tc>
        <w:tc>
          <w:tcPr>
            <w:tcW w:w="0" w:type="auto"/>
            <w:shd w:val="clear" w:color="auto" w:fill="auto"/>
          </w:tcPr>
          <w:p w14:paraId="33DABF03" w14:textId="77777777" w:rsidR="004D6A64" w:rsidRDefault="004D6A64">
            <w:pPr>
              <w:rPr>
                <w:rFonts w:ascii="宋体"/>
              </w:rPr>
            </w:pPr>
          </w:p>
        </w:tc>
        <w:tc>
          <w:tcPr>
            <w:tcW w:w="0" w:type="auto"/>
            <w:shd w:val="clear" w:color="auto" w:fill="auto"/>
          </w:tcPr>
          <w:p w14:paraId="33DABF04" w14:textId="77777777" w:rsidR="004D6A64" w:rsidRDefault="004D6A64">
            <w:pPr>
              <w:rPr>
                <w:rFonts w:ascii="宋体"/>
              </w:rPr>
            </w:pPr>
          </w:p>
        </w:tc>
      </w:tr>
      <w:tr w:rsidR="004D6A64" w14:paraId="33DABF2D" w14:textId="77777777">
        <w:trPr>
          <w:gridAfter w:val="3"/>
        </w:trPr>
        <w:tc>
          <w:tcPr>
            <w:tcW w:w="0" w:type="auto"/>
            <w:gridSpan w:val="3"/>
            <w:shd w:val="clear" w:color="auto" w:fill="CCEEFF"/>
            <w:tcMar>
              <w:top w:w="40" w:type="dxa"/>
              <w:left w:w="20" w:type="dxa"/>
              <w:bottom w:w="40" w:type="dxa"/>
              <w:right w:w="20" w:type="dxa"/>
            </w:tcMar>
            <w:vAlign w:val="center"/>
          </w:tcPr>
          <w:p w14:paraId="33DABF06" w14:textId="77777777" w:rsidR="004D6A64" w:rsidRDefault="00506CD6">
            <w:pPr>
              <w:textAlignment w:val="center"/>
            </w:pPr>
            <w:r>
              <w:rPr>
                <w:rFonts w:ascii="Times New Roman" w:eastAsia="宋体" w:hAnsi="Times New Roman"/>
                <w:color w:val="000000"/>
                <w:sz w:val="20"/>
                <w:szCs w:val="20"/>
              </w:rPr>
              <w:t>Interest rate contracts in a liability position</w:t>
            </w:r>
          </w:p>
        </w:tc>
        <w:tc>
          <w:tcPr>
            <w:tcW w:w="0" w:type="auto"/>
            <w:gridSpan w:val="2"/>
            <w:shd w:val="clear" w:color="auto" w:fill="CCEEFF"/>
            <w:tcMar>
              <w:top w:w="40" w:type="dxa"/>
              <w:left w:w="20" w:type="dxa"/>
              <w:bottom w:w="40" w:type="dxa"/>
              <w:right w:w="0" w:type="dxa"/>
            </w:tcMar>
            <w:vAlign w:val="center"/>
          </w:tcPr>
          <w:p w14:paraId="33DABF07"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BF0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F0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BF0A"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BF0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F0C"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BF0D"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BF0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F0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BF10" w14:textId="77777777" w:rsidR="004D6A64" w:rsidRDefault="00506CD6">
            <w:pPr>
              <w:jc w:val="right"/>
              <w:textAlignment w:val="center"/>
            </w:pPr>
            <w:r>
              <w:rPr>
                <w:rFonts w:ascii="Times New Roman" w:eastAsia="宋体" w:hAnsi="Times New Roman"/>
                <w:color w:val="000000"/>
                <w:sz w:val="20"/>
                <w:szCs w:val="20"/>
              </w:rPr>
              <w:t>(44)</w:t>
            </w:r>
          </w:p>
        </w:tc>
        <w:tc>
          <w:tcPr>
            <w:tcW w:w="0" w:type="auto"/>
            <w:shd w:val="clear" w:color="auto" w:fill="CCEEFF"/>
            <w:tcMar>
              <w:top w:w="40" w:type="dxa"/>
              <w:bottom w:w="40" w:type="dxa"/>
              <w:right w:w="20" w:type="dxa"/>
            </w:tcMar>
            <w:vAlign w:val="center"/>
          </w:tcPr>
          <w:p w14:paraId="33DABF1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F1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BF13" w14:textId="77777777" w:rsidR="004D6A64" w:rsidRDefault="00506CD6">
            <w:pPr>
              <w:jc w:val="right"/>
              <w:textAlignment w:val="center"/>
            </w:pPr>
            <w:r>
              <w:rPr>
                <w:rFonts w:ascii="Times New Roman" w:eastAsia="宋体" w:hAnsi="Times New Roman"/>
                <w:color w:val="000000"/>
                <w:sz w:val="20"/>
                <w:szCs w:val="20"/>
              </w:rPr>
              <w:t>(44)</w:t>
            </w:r>
          </w:p>
        </w:tc>
        <w:tc>
          <w:tcPr>
            <w:tcW w:w="0" w:type="auto"/>
            <w:shd w:val="clear" w:color="auto" w:fill="CCEEFF"/>
            <w:tcMar>
              <w:top w:w="40" w:type="dxa"/>
              <w:bottom w:w="40" w:type="dxa"/>
              <w:right w:w="20" w:type="dxa"/>
            </w:tcMar>
            <w:vAlign w:val="center"/>
          </w:tcPr>
          <w:p w14:paraId="33DABF14" w14:textId="77777777" w:rsidR="004D6A64" w:rsidRDefault="004D6A64">
            <w:pPr>
              <w:jc w:val="right"/>
              <w:rPr>
                <w:rFonts w:ascii="宋体"/>
              </w:rPr>
            </w:pPr>
          </w:p>
        </w:tc>
        <w:tc>
          <w:tcPr>
            <w:tcW w:w="0" w:type="auto"/>
            <w:shd w:val="clear" w:color="auto" w:fill="auto"/>
          </w:tcPr>
          <w:p w14:paraId="33DABF15" w14:textId="77777777" w:rsidR="004D6A64" w:rsidRDefault="004D6A64">
            <w:pPr>
              <w:rPr>
                <w:rFonts w:ascii="宋体"/>
              </w:rPr>
            </w:pPr>
          </w:p>
        </w:tc>
        <w:tc>
          <w:tcPr>
            <w:tcW w:w="0" w:type="auto"/>
            <w:shd w:val="clear" w:color="auto" w:fill="auto"/>
          </w:tcPr>
          <w:p w14:paraId="33DABF16" w14:textId="77777777" w:rsidR="004D6A64" w:rsidRDefault="004D6A64">
            <w:pPr>
              <w:rPr>
                <w:rFonts w:ascii="宋体"/>
              </w:rPr>
            </w:pPr>
          </w:p>
        </w:tc>
        <w:tc>
          <w:tcPr>
            <w:tcW w:w="0" w:type="auto"/>
            <w:shd w:val="clear" w:color="auto" w:fill="auto"/>
          </w:tcPr>
          <w:p w14:paraId="33DABF17" w14:textId="77777777" w:rsidR="004D6A64" w:rsidRDefault="004D6A64">
            <w:pPr>
              <w:rPr>
                <w:rFonts w:ascii="宋体"/>
              </w:rPr>
            </w:pPr>
          </w:p>
        </w:tc>
        <w:tc>
          <w:tcPr>
            <w:tcW w:w="0" w:type="auto"/>
            <w:shd w:val="clear" w:color="auto" w:fill="auto"/>
          </w:tcPr>
          <w:p w14:paraId="33DABF18" w14:textId="77777777" w:rsidR="004D6A64" w:rsidRDefault="004D6A64">
            <w:pPr>
              <w:rPr>
                <w:rFonts w:ascii="宋体"/>
              </w:rPr>
            </w:pPr>
          </w:p>
        </w:tc>
        <w:tc>
          <w:tcPr>
            <w:tcW w:w="0" w:type="auto"/>
            <w:shd w:val="clear" w:color="auto" w:fill="auto"/>
          </w:tcPr>
          <w:p w14:paraId="33DABF19" w14:textId="77777777" w:rsidR="004D6A64" w:rsidRDefault="004D6A64">
            <w:pPr>
              <w:rPr>
                <w:rFonts w:ascii="宋体"/>
              </w:rPr>
            </w:pPr>
          </w:p>
        </w:tc>
        <w:tc>
          <w:tcPr>
            <w:tcW w:w="0" w:type="auto"/>
            <w:shd w:val="clear" w:color="auto" w:fill="auto"/>
          </w:tcPr>
          <w:p w14:paraId="33DABF1A" w14:textId="77777777" w:rsidR="004D6A64" w:rsidRDefault="004D6A64">
            <w:pPr>
              <w:rPr>
                <w:rFonts w:ascii="宋体"/>
              </w:rPr>
            </w:pPr>
          </w:p>
        </w:tc>
        <w:tc>
          <w:tcPr>
            <w:tcW w:w="0" w:type="auto"/>
            <w:shd w:val="clear" w:color="auto" w:fill="auto"/>
          </w:tcPr>
          <w:p w14:paraId="33DABF1B" w14:textId="77777777" w:rsidR="004D6A64" w:rsidRDefault="004D6A64">
            <w:pPr>
              <w:rPr>
                <w:rFonts w:ascii="宋体"/>
              </w:rPr>
            </w:pPr>
          </w:p>
        </w:tc>
        <w:tc>
          <w:tcPr>
            <w:tcW w:w="0" w:type="auto"/>
            <w:shd w:val="clear" w:color="auto" w:fill="auto"/>
          </w:tcPr>
          <w:p w14:paraId="33DABF1C" w14:textId="77777777" w:rsidR="004D6A64" w:rsidRDefault="004D6A64">
            <w:pPr>
              <w:rPr>
                <w:rFonts w:ascii="宋体"/>
              </w:rPr>
            </w:pPr>
          </w:p>
        </w:tc>
        <w:tc>
          <w:tcPr>
            <w:tcW w:w="0" w:type="auto"/>
            <w:shd w:val="clear" w:color="auto" w:fill="auto"/>
          </w:tcPr>
          <w:p w14:paraId="33DABF1D" w14:textId="77777777" w:rsidR="004D6A64" w:rsidRDefault="004D6A64">
            <w:pPr>
              <w:rPr>
                <w:rFonts w:ascii="宋体"/>
              </w:rPr>
            </w:pPr>
          </w:p>
        </w:tc>
        <w:tc>
          <w:tcPr>
            <w:tcW w:w="0" w:type="auto"/>
            <w:shd w:val="clear" w:color="auto" w:fill="auto"/>
          </w:tcPr>
          <w:p w14:paraId="33DABF1E" w14:textId="77777777" w:rsidR="004D6A64" w:rsidRDefault="004D6A64">
            <w:pPr>
              <w:rPr>
                <w:rFonts w:ascii="宋体"/>
              </w:rPr>
            </w:pPr>
          </w:p>
        </w:tc>
        <w:tc>
          <w:tcPr>
            <w:tcW w:w="0" w:type="auto"/>
            <w:shd w:val="clear" w:color="auto" w:fill="auto"/>
          </w:tcPr>
          <w:p w14:paraId="33DABF1F" w14:textId="77777777" w:rsidR="004D6A64" w:rsidRDefault="004D6A64">
            <w:pPr>
              <w:rPr>
                <w:rFonts w:ascii="宋体"/>
              </w:rPr>
            </w:pPr>
          </w:p>
        </w:tc>
        <w:tc>
          <w:tcPr>
            <w:tcW w:w="0" w:type="auto"/>
            <w:shd w:val="clear" w:color="auto" w:fill="auto"/>
          </w:tcPr>
          <w:p w14:paraId="33DABF20" w14:textId="77777777" w:rsidR="004D6A64" w:rsidRDefault="004D6A64">
            <w:pPr>
              <w:rPr>
                <w:rFonts w:ascii="宋体"/>
              </w:rPr>
            </w:pPr>
          </w:p>
        </w:tc>
        <w:tc>
          <w:tcPr>
            <w:tcW w:w="0" w:type="auto"/>
            <w:shd w:val="clear" w:color="auto" w:fill="auto"/>
          </w:tcPr>
          <w:p w14:paraId="33DABF21" w14:textId="77777777" w:rsidR="004D6A64" w:rsidRDefault="004D6A64">
            <w:pPr>
              <w:rPr>
                <w:rFonts w:ascii="宋体"/>
              </w:rPr>
            </w:pPr>
          </w:p>
        </w:tc>
        <w:tc>
          <w:tcPr>
            <w:tcW w:w="0" w:type="auto"/>
            <w:shd w:val="clear" w:color="auto" w:fill="auto"/>
          </w:tcPr>
          <w:p w14:paraId="33DABF22" w14:textId="77777777" w:rsidR="004D6A64" w:rsidRDefault="004D6A64">
            <w:pPr>
              <w:rPr>
                <w:rFonts w:ascii="宋体"/>
              </w:rPr>
            </w:pPr>
          </w:p>
        </w:tc>
        <w:tc>
          <w:tcPr>
            <w:tcW w:w="0" w:type="auto"/>
            <w:shd w:val="clear" w:color="auto" w:fill="auto"/>
          </w:tcPr>
          <w:p w14:paraId="33DABF23" w14:textId="77777777" w:rsidR="004D6A64" w:rsidRDefault="004D6A64">
            <w:pPr>
              <w:rPr>
                <w:rFonts w:ascii="宋体"/>
              </w:rPr>
            </w:pPr>
          </w:p>
        </w:tc>
        <w:tc>
          <w:tcPr>
            <w:tcW w:w="0" w:type="auto"/>
            <w:shd w:val="clear" w:color="auto" w:fill="auto"/>
          </w:tcPr>
          <w:p w14:paraId="33DABF24" w14:textId="77777777" w:rsidR="004D6A64" w:rsidRDefault="004D6A64">
            <w:pPr>
              <w:rPr>
                <w:rFonts w:ascii="宋体"/>
              </w:rPr>
            </w:pPr>
          </w:p>
        </w:tc>
        <w:tc>
          <w:tcPr>
            <w:tcW w:w="0" w:type="auto"/>
            <w:shd w:val="clear" w:color="auto" w:fill="auto"/>
          </w:tcPr>
          <w:p w14:paraId="33DABF25" w14:textId="77777777" w:rsidR="004D6A64" w:rsidRDefault="004D6A64">
            <w:pPr>
              <w:rPr>
                <w:rFonts w:ascii="宋体"/>
              </w:rPr>
            </w:pPr>
          </w:p>
        </w:tc>
        <w:tc>
          <w:tcPr>
            <w:tcW w:w="0" w:type="auto"/>
            <w:shd w:val="clear" w:color="auto" w:fill="auto"/>
          </w:tcPr>
          <w:p w14:paraId="33DABF26" w14:textId="77777777" w:rsidR="004D6A64" w:rsidRDefault="004D6A64">
            <w:pPr>
              <w:rPr>
                <w:rFonts w:ascii="宋体"/>
              </w:rPr>
            </w:pPr>
          </w:p>
        </w:tc>
        <w:tc>
          <w:tcPr>
            <w:tcW w:w="0" w:type="auto"/>
            <w:shd w:val="clear" w:color="auto" w:fill="auto"/>
          </w:tcPr>
          <w:p w14:paraId="33DABF27" w14:textId="77777777" w:rsidR="004D6A64" w:rsidRDefault="004D6A64">
            <w:pPr>
              <w:rPr>
                <w:rFonts w:ascii="宋体"/>
              </w:rPr>
            </w:pPr>
          </w:p>
        </w:tc>
        <w:tc>
          <w:tcPr>
            <w:tcW w:w="0" w:type="auto"/>
            <w:shd w:val="clear" w:color="auto" w:fill="auto"/>
          </w:tcPr>
          <w:p w14:paraId="33DABF28" w14:textId="77777777" w:rsidR="004D6A64" w:rsidRDefault="004D6A64">
            <w:pPr>
              <w:rPr>
                <w:rFonts w:ascii="宋体"/>
              </w:rPr>
            </w:pPr>
          </w:p>
        </w:tc>
        <w:tc>
          <w:tcPr>
            <w:tcW w:w="0" w:type="auto"/>
            <w:shd w:val="clear" w:color="auto" w:fill="auto"/>
          </w:tcPr>
          <w:p w14:paraId="33DABF29" w14:textId="77777777" w:rsidR="004D6A64" w:rsidRDefault="004D6A64">
            <w:pPr>
              <w:rPr>
                <w:rFonts w:ascii="宋体"/>
              </w:rPr>
            </w:pPr>
          </w:p>
        </w:tc>
        <w:tc>
          <w:tcPr>
            <w:tcW w:w="0" w:type="auto"/>
            <w:shd w:val="clear" w:color="auto" w:fill="auto"/>
          </w:tcPr>
          <w:p w14:paraId="33DABF2A" w14:textId="77777777" w:rsidR="004D6A64" w:rsidRDefault="004D6A64">
            <w:pPr>
              <w:rPr>
                <w:rFonts w:ascii="宋体"/>
              </w:rPr>
            </w:pPr>
          </w:p>
        </w:tc>
        <w:tc>
          <w:tcPr>
            <w:tcW w:w="0" w:type="auto"/>
            <w:shd w:val="clear" w:color="auto" w:fill="auto"/>
          </w:tcPr>
          <w:p w14:paraId="33DABF2B" w14:textId="77777777" w:rsidR="004D6A64" w:rsidRDefault="004D6A64">
            <w:pPr>
              <w:rPr>
                <w:rFonts w:ascii="宋体"/>
              </w:rPr>
            </w:pPr>
          </w:p>
        </w:tc>
        <w:tc>
          <w:tcPr>
            <w:tcW w:w="0" w:type="auto"/>
            <w:shd w:val="clear" w:color="auto" w:fill="auto"/>
          </w:tcPr>
          <w:p w14:paraId="33DABF2C" w14:textId="77777777" w:rsidR="004D6A64" w:rsidRDefault="004D6A64">
            <w:pPr>
              <w:rPr>
                <w:rFonts w:ascii="宋体"/>
              </w:rPr>
            </w:pPr>
          </w:p>
        </w:tc>
      </w:tr>
      <w:tr w:rsidR="004D6A64" w14:paraId="33DABF55" w14:textId="77777777">
        <w:trPr>
          <w:gridAfter w:val="3"/>
        </w:trPr>
        <w:tc>
          <w:tcPr>
            <w:tcW w:w="0" w:type="auto"/>
            <w:gridSpan w:val="3"/>
            <w:shd w:val="clear" w:color="auto" w:fill="FFFFFF"/>
            <w:tcMar>
              <w:top w:w="40" w:type="dxa"/>
              <w:left w:w="135" w:type="dxa"/>
              <w:bottom w:w="40" w:type="dxa"/>
              <w:right w:w="20" w:type="dxa"/>
            </w:tcMar>
            <w:vAlign w:val="center"/>
          </w:tcPr>
          <w:p w14:paraId="33DABF2E" w14:textId="77777777" w:rsidR="004D6A64" w:rsidRDefault="00506CD6">
            <w:pPr>
              <w:textAlignment w:val="center"/>
            </w:pPr>
            <w:r>
              <w:rPr>
                <w:rFonts w:ascii="Times New Roman" w:eastAsia="宋体" w:hAnsi="Times New Roman"/>
                <w:color w:val="000000"/>
                <w:sz w:val="20"/>
                <w:szCs w:val="20"/>
              </w:rPr>
              <w:t>Net asset (liability)</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BF2F" w14:textId="77777777" w:rsidR="004D6A64" w:rsidRDefault="00506CD6">
            <w:pPr>
              <w:jc w:val="right"/>
              <w:textAlignment w:val="center"/>
            </w:pPr>
            <w:r>
              <w:rPr>
                <w:rFonts w:ascii="Times New Roman" w:eastAsia="宋体" w:hAnsi="Times New Roman"/>
                <w:color w:val="000000"/>
                <w:sz w:val="20"/>
                <w:szCs w:val="20"/>
              </w:rPr>
              <w:t>349 </w:t>
            </w:r>
          </w:p>
        </w:tc>
        <w:tc>
          <w:tcPr>
            <w:tcW w:w="0" w:type="auto"/>
            <w:tcBorders>
              <w:top w:val="single" w:sz="8" w:space="0" w:color="000000"/>
            </w:tcBorders>
            <w:shd w:val="clear" w:color="auto" w:fill="FFFFFF"/>
            <w:tcMar>
              <w:top w:w="40" w:type="dxa"/>
              <w:bottom w:w="40" w:type="dxa"/>
              <w:right w:w="20" w:type="dxa"/>
            </w:tcMar>
            <w:vAlign w:val="center"/>
          </w:tcPr>
          <w:p w14:paraId="33DABF3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F31"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BF32" w14:textId="77777777" w:rsidR="004D6A64" w:rsidRDefault="00506CD6">
            <w:pPr>
              <w:jc w:val="right"/>
              <w:textAlignment w:val="center"/>
            </w:pPr>
            <w:r>
              <w:rPr>
                <w:rFonts w:ascii="Times New Roman" w:eastAsia="宋体" w:hAnsi="Times New Roman"/>
                <w:color w:val="000000"/>
                <w:sz w:val="20"/>
                <w:szCs w:val="20"/>
              </w:rPr>
              <w:t>11 </w:t>
            </w:r>
          </w:p>
        </w:tc>
        <w:tc>
          <w:tcPr>
            <w:tcW w:w="0" w:type="auto"/>
            <w:tcBorders>
              <w:top w:val="single" w:sz="8" w:space="0" w:color="000000"/>
            </w:tcBorders>
            <w:shd w:val="clear" w:color="auto" w:fill="FFFFFF"/>
            <w:tcMar>
              <w:top w:w="40" w:type="dxa"/>
              <w:bottom w:w="40" w:type="dxa"/>
              <w:right w:w="20" w:type="dxa"/>
            </w:tcMar>
            <w:vAlign w:val="center"/>
          </w:tcPr>
          <w:p w14:paraId="33DABF3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F34"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BF35" w14:textId="77777777" w:rsidR="004D6A64" w:rsidRDefault="00506CD6">
            <w:pPr>
              <w:jc w:val="right"/>
              <w:textAlignment w:val="center"/>
            </w:pPr>
            <w:r>
              <w:rPr>
                <w:rFonts w:ascii="Times New Roman" w:eastAsia="宋体" w:hAnsi="Times New Roman"/>
                <w:color w:val="000000"/>
                <w:sz w:val="20"/>
                <w:szCs w:val="20"/>
              </w:rPr>
              <w:t>(210)</w:t>
            </w:r>
          </w:p>
        </w:tc>
        <w:tc>
          <w:tcPr>
            <w:tcW w:w="0" w:type="auto"/>
            <w:tcBorders>
              <w:top w:val="single" w:sz="8" w:space="0" w:color="000000"/>
            </w:tcBorders>
            <w:shd w:val="clear" w:color="auto" w:fill="FFFFFF"/>
            <w:tcMar>
              <w:top w:w="40" w:type="dxa"/>
              <w:bottom w:w="40" w:type="dxa"/>
              <w:right w:w="20" w:type="dxa"/>
            </w:tcMar>
            <w:vAlign w:val="center"/>
          </w:tcPr>
          <w:p w14:paraId="33DABF3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F37"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BF38" w14:textId="77777777" w:rsidR="004D6A64" w:rsidRDefault="00506CD6">
            <w:pPr>
              <w:jc w:val="right"/>
              <w:textAlignment w:val="center"/>
            </w:pPr>
            <w:r>
              <w:rPr>
                <w:rFonts w:ascii="Times New Roman" w:eastAsia="宋体" w:hAnsi="Times New Roman"/>
                <w:color w:val="000000"/>
                <w:sz w:val="20"/>
                <w:szCs w:val="20"/>
              </w:rPr>
              <w:t>(48)</w:t>
            </w:r>
          </w:p>
        </w:tc>
        <w:tc>
          <w:tcPr>
            <w:tcW w:w="0" w:type="auto"/>
            <w:tcBorders>
              <w:top w:val="single" w:sz="8" w:space="0" w:color="000000"/>
            </w:tcBorders>
            <w:shd w:val="clear" w:color="auto" w:fill="FFFFFF"/>
            <w:tcMar>
              <w:top w:w="40" w:type="dxa"/>
              <w:bottom w:w="40" w:type="dxa"/>
              <w:right w:w="20" w:type="dxa"/>
            </w:tcMar>
            <w:vAlign w:val="center"/>
          </w:tcPr>
          <w:p w14:paraId="33DABF3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BF3A"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BF3B" w14:textId="77777777" w:rsidR="004D6A64" w:rsidRDefault="00506CD6">
            <w:pPr>
              <w:jc w:val="right"/>
              <w:textAlignment w:val="center"/>
            </w:pPr>
            <w:r>
              <w:rPr>
                <w:rFonts w:ascii="Times New Roman" w:eastAsia="宋体" w:hAnsi="Times New Roman"/>
                <w:color w:val="000000"/>
                <w:sz w:val="20"/>
                <w:szCs w:val="20"/>
              </w:rPr>
              <w:t>102 </w:t>
            </w:r>
          </w:p>
        </w:tc>
        <w:tc>
          <w:tcPr>
            <w:tcW w:w="0" w:type="auto"/>
            <w:tcBorders>
              <w:top w:val="single" w:sz="8" w:space="0" w:color="000000"/>
            </w:tcBorders>
            <w:shd w:val="clear" w:color="auto" w:fill="FFFFFF"/>
            <w:tcMar>
              <w:top w:w="40" w:type="dxa"/>
              <w:bottom w:w="40" w:type="dxa"/>
              <w:right w:w="20" w:type="dxa"/>
            </w:tcMar>
            <w:vAlign w:val="center"/>
          </w:tcPr>
          <w:p w14:paraId="33DABF3C" w14:textId="77777777" w:rsidR="004D6A64" w:rsidRDefault="004D6A64">
            <w:pPr>
              <w:jc w:val="right"/>
              <w:rPr>
                <w:rFonts w:ascii="宋体"/>
              </w:rPr>
            </w:pPr>
          </w:p>
        </w:tc>
        <w:tc>
          <w:tcPr>
            <w:tcW w:w="0" w:type="auto"/>
            <w:shd w:val="clear" w:color="auto" w:fill="auto"/>
          </w:tcPr>
          <w:p w14:paraId="33DABF3D" w14:textId="77777777" w:rsidR="004D6A64" w:rsidRDefault="004D6A64">
            <w:pPr>
              <w:rPr>
                <w:rFonts w:ascii="宋体"/>
              </w:rPr>
            </w:pPr>
          </w:p>
        </w:tc>
        <w:tc>
          <w:tcPr>
            <w:tcW w:w="0" w:type="auto"/>
            <w:shd w:val="clear" w:color="auto" w:fill="auto"/>
          </w:tcPr>
          <w:p w14:paraId="33DABF3E" w14:textId="77777777" w:rsidR="004D6A64" w:rsidRDefault="004D6A64">
            <w:pPr>
              <w:rPr>
                <w:rFonts w:ascii="宋体"/>
              </w:rPr>
            </w:pPr>
          </w:p>
        </w:tc>
        <w:tc>
          <w:tcPr>
            <w:tcW w:w="0" w:type="auto"/>
            <w:shd w:val="clear" w:color="auto" w:fill="auto"/>
          </w:tcPr>
          <w:p w14:paraId="33DABF3F" w14:textId="77777777" w:rsidR="004D6A64" w:rsidRDefault="004D6A64">
            <w:pPr>
              <w:rPr>
                <w:rFonts w:ascii="宋体"/>
              </w:rPr>
            </w:pPr>
          </w:p>
        </w:tc>
        <w:tc>
          <w:tcPr>
            <w:tcW w:w="0" w:type="auto"/>
            <w:shd w:val="clear" w:color="auto" w:fill="auto"/>
          </w:tcPr>
          <w:p w14:paraId="33DABF40" w14:textId="77777777" w:rsidR="004D6A64" w:rsidRDefault="004D6A64">
            <w:pPr>
              <w:rPr>
                <w:rFonts w:ascii="宋体"/>
              </w:rPr>
            </w:pPr>
          </w:p>
        </w:tc>
        <w:tc>
          <w:tcPr>
            <w:tcW w:w="0" w:type="auto"/>
            <w:shd w:val="clear" w:color="auto" w:fill="auto"/>
          </w:tcPr>
          <w:p w14:paraId="33DABF41" w14:textId="77777777" w:rsidR="004D6A64" w:rsidRDefault="004D6A64">
            <w:pPr>
              <w:rPr>
                <w:rFonts w:ascii="宋体"/>
              </w:rPr>
            </w:pPr>
          </w:p>
        </w:tc>
        <w:tc>
          <w:tcPr>
            <w:tcW w:w="0" w:type="auto"/>
            <w:shd w:val="clear" w:color="auto" w:fill="auto"/>
          </w:tcPr>
          <w:p w14:paraId="33DABF42" w14:textId="77777777" w:rsidR="004D6A64" w:rsidRDefault="004D6A64">
            <w:pPr>
              <w:rPr>
                <w:rFonts w:ascii="宋体"/>
              </w:rPr>
            </w:pPr>
          </w:p>
        </w:tc>
        <w:tc>
          <w:tcPr>
            <w:tcW w:w="0" w:type="auto"/>
            <w:shd w:val="clear" w:color="auto" w:fill="auto"/>
          </w:tcPr>
          <w:p w14:paraId="33DABF43" w14:textId="77777777" w:rsidR="004D6A64" w:rsidRDefault="004D6A64">
            <w:pPr>
              <w:rPr>
                <w:rFonts w:ascii="宋体"/>
              </w:rPr>
            </w:pPr>
          </w:p>
        </w:tc>
        <w:tc>
          <w:tcPr>
            <w:tcW w:w="0" w:type="auto"/>
            <w:shd w:val="clear" w:color="auto" w:fill="auto"/>
          </w:tcPr>
          <w:p w14:paraId="33DABF44" w14:textId="77777777" w:rsidR="004D6A64" w:rsidRDefault="004D6A64">
            <w:pPr>
              <w:rPr>
                <w:rFonts w:ascii="宋体"/>
              </w:rPr>
            </w:pPr>
          </w:p>
        </w:tc>
        <w:tc>
          <w:tcPr>
            <w:tcW w:w="0" w:type="auto"/>
            <w:shd w:val="clear" w:color="auto" w:fill="auto"/>
          </w:tcPr>
          <w:p w14:paraId="33DABF45" w14:textId="77777777" w:rsidR="004D6A64" w:rsidRDefault="004D6A64">
            <w:pPr>
              <w:rPr>
                <w:rFonts w:ascii="宋体"/>
              </w:rPr>
            </w:pPr>
          </w:p>
        </w:tc>
        <w:tc>
          <w:tcPr>
            <w:tcW w:w="0" w:type="auto"/>
            <w:shd w:val="clear" w:color="auto" w:fill="auto"/>
          </w:tcPr>
          <w:p w14:paraId="33DABF46" w14:textId="77777777" w:rsidR="004D6A64" w:rsidRDefault="004D6A64">
            <w:pPr>
              <w:rPr>
                <w:rFonts w:ascii="宋体"/>
              </w:rPr>
            </w:pPr>
          </w:p>
        </w:tc>
        <w:tc>
          <w:tcPr>
            <w:tcW w:w="0" w:type="auto"/>
            <w:shd w:val="clear" w:color="auto" w:fill="auto"/>
          </w:tcPr>
          <w:p w14:paraId="33DABF47" w14:textId="77777777" w:rsidR="004D6A64" w:rsidRDefault="004D6A64">
            <w:pPr>
              <w:rPr>
                <w:rFonts w:ascii="宋体"/>
              </w:rPr>
            </w:pPr>
          </w:p>
        </w:tc>
        <w:tc>
          <w:tcPr>
            <w:tcW w:w="0" w:type="auto"/>
            <w:shd w:val="clear" w:color="auto" w:fill="auto"/>
          </w:tcPr>
          <w:p w14:paraId="33DABF48" w14:textId="77777777" w:rsidR="004D6A64" w:rsidRDefault="004D6A64">
            <w:pPr>
              <w:rPr>
                <w:rFonts w:ascii="宋体"/>
              </w:rPr>
            </w:pPr>
          </w:p>
        </w:tc>
        <w:tc>
          <w:tcPr>
            <w:tcW w:w="0" w:type="auto"/>
            <w:shd w:val="clear" w:color="auto" w:fill="auto"/>
          </w:tcPr>
          <w:p w14:paraId="33DABF49" w14:textId="77777777" w:rsidR="004D6A64" w:rsidRDefault="004D6A64">
            <w:pPr>
              <w:rPr>
                <w:rFonts w:ascii="宋体"/>
              </w:rPr>
            </w:pPr>
          </w:p>
        </w:tc>
        <w:tc>
          <w:tcPr>
            <w:tcW w:w="0" w:type="auto"/>
            <w:shd w:val="clear" w:color="auto" w:fill="auto"/>
          </w:tcPr>
          <w:p w14:paraId="33DABF4A" w14:textId="77777777" w:rsidR="004D6A64" w:rsidRDefault="004D6A64">
            <w:pPr>
              <w:rPr>
                <w:rFonts w:ascii="宋体"/>
              </w:rPr>
            </w:pPr>
          </w:p>
        </w:tc>
        <w:tc>
          <w:tcPr>
            <w:tcW w:w="0" w:type="auto"/>
            <w:shd w:val="clear" w:color="auto" w:fill="auto"/>
          </w:tcPr>
          <w:p w14:paraId="33DABF4B" w14:textId="77777777" w:rsidR="004D6A64" w:rsidRDefault="004D6A64">
            <w:pPr>
              <w:rPr>
                <w:rFonts w:ascii="宋体"/>
              </w:rPr>
            </w:pPr>
          </w:p>
        </w:tc>
        <w:tc>
          <w:tcPr>
            <w:tcW w:w="0" w:type="auto"/>
            <w:shd w:val="clear" w:color="auto" w:fill="auto"/>
          </w:tcPr>
          <w:p w14:paraId="33DABF4C" w14:textId="77777777" w:rsidR="004D6A64" w:rsidRDefault="004D6A64">
            <w:pPr>
              <w:rPr>
                <w:rFonts w:ascii="宋体"/>
              </w:rPr>
            </w:pPr>
          </w:p>
        </w:tc>
        <w:tc>
          <w:tcPr>
            <w:tcW w:w="0" w:type="auto"/>
            <w:shd w:val="clear" w:color="auto" w:fill="auto"/>
          </w:tcPr>
          <w:p w14:paraId="33DABF4D" w14:textId="77777777" w:rsidR="004D6A64" w:rsidRDefault="004D6A64">
            <w:pPr>
              <w:rPr>
                <w:rFonts w:ascii="宋体"/>
              </w:rPr>
            </w:pPr>
          </w:p>
        </w:tc>
        <w:tc>
          <w:tcPr>
            <w:tcW w:w="0" w:type="auto"/>
            <w:shd w:val="clear" w:color="auto" w:fill="auto"/>
          </w:tcPr>
          <w:p w14:paraId="33DABF4E" w14:textId="77777777" w:rsidR="004D6A64" w:rsidRDefault="004D6A64">
            <w:pPr>
              <w:rPr>
                <w:rFonts w:ascii="宋体"/>
              </w:rPr>
            </w:pPr>
          </w:p>
        </w:tc>
        <w:tc>
          <w:tcPr>
            <w:tcW w:w="0" w:type="auto"/>
            <w:shd w:val="clear" w:color="auto" w:fill="auto"/>
          </w:tcPr>
          <w:p w14:paraId="33DABF4F" w14:textId="77777777" w:rsidR="004D6A64" w:rsidRDefault="004D6A64">
            <w:pPr>
              <w:rPr>
                <w:rFonts w:ascii="宋体"/>
              </w:rPr>
            </w:pPr>
          </w:p>
        </w:tc>
        <w:tc>
          <w:tcPr>
            <w:tcW w:w="0" w:type="auto"/>
            <w:shd w:val="clear" w:color="auto" w:fill="auto"/>
          </w:tcPr>
          <w:p w14:paraId="33DABF50" w14:textId="77777777" w:rsidR="004D6A64" w:rsidRDefault="004D6A64">
            <w:pPr>
              <w:rPr>
                <w:rFonts w:ascii="宋体"/>
              </w:rPr>
            </w:pPr>
          </w:p>
        </w:tc>
        <w:tc>
          <w:tcPr>
            <w:tcW w:w="0" w:type="auto"/>
            <w:shd w:val="clear" w:color="auto" w:fill="auto"/>
          </w:tcPr>
          <w:p w14:paraId="33DABF51" w14:textId="77777777" w:rsidR="004D6A64" w:rsidRDefault="004D6A64">
            <w:pPr>
              <w:rPr>
                <w:rFonts w:ascii="宋体"/>
              </w:rPr>
            </w:pPr>
          </w:p>
        </w:tc>
        <w:tc>
          <w:tcPr>
            <w:tcW w:w="0" w:type="auto"/>
            <w:shd w:val="clear" w:color="auto" w:fill="auto"/>
          </w:tcPr>
          <w:p w14:paraId="33DABF52" w14:textId="77777777" w:rsidR="004D6A64" w:rsidRDefault="004D6A64">
            <w:pPr>
              <w:rPr>
                <w:rFonts w:ascii="宋体"/>
              </w:rPr>
            </w:pPr>
          </w:p>
        </w:tc>
        <w:tc>
          <w:tcPr>
            <w:tcW w:w="0" w:type="auto"/>
            <w:shd w:val="clear" w:color="auto" w:fill="auto"/>
          </w:tcPr>
          <w:p w14:paraId="33DABF53" w14:textId="77777777" w:rsidR="004D6A64" w:rsidRDefault="004D6A64">
            <w:pPr>
              <w:rPr>
                <w:rFonts w:ascii="宋体"/>
              </w:rPr>
            </w:pPr>
          </w:p>
        </w:tc>
        <w:tc>
          <w:tcPr>
            <w:tcW w:w="0" w:type="auto"/>
            <w:shd w:val="clear" w:color="auto" w:fill="auto"/>
          </w:tcPr>
          <w:p w14:paraId="33DABF54" w14:textId="77777777" w:rsidR="004D6A64" w:rsidRDefault="004D6A64">
            <w:pPr>
              <w:rPr>
                <w:rFonts w:ascii="宋体"/>
              </w:rPr>
            </w:pPr>
          </w:p>
        </w:tc>
      </w:tr>
      <w:tr w:rsidR="004D6A64" w14:paraId="33DABF82" w14:textId="77777777">
        <w:trPr>
          <w:gridAfter w:val="3"/>
        </w:trPr>
        <w:tc>
          <w:tcPr>
            <w:tcW w:w="0" w:type="auto"/>
            <w:gridSpan w:val="3"/>
            <w:shd w:val="clear" w:color="auto" w:fill="CCEEFF"/>
            <w:tcMar>
              <w:top w:w="40" w:type="dxa"/>
              <w:left w:w="225" w:type="dxa"/>
              <w:bottom w:w="40" w:type="dxa"/>
              <w:right w:w="20" w:type="dxa"/>
            </w:tcMar>
            <w:vAlign w:val="center"/>
          </w:tcPr>
          <w:p w14:paraId="33DABF56" w14:textId="77777777" w:rsidR="004D6A64" w:rsidRDefault="00506CD6">
            <w:pPr>
              <w:textAlignment w:val="center"/>
            </w:pPr>
            <w:r>
              <w:rPr>
                <w:rFonts w:ascii="Times New Roman" w:eastAsia="宋体" w:hAnsi="Times New Roman"/>
                <w:color w:val="000000"/>
                <w:sz w:val="20"/>
                <w:szCs w:val="20"/>
              </w:rPr>
              <w:t>Total derivatives at fair</w:t>
            </w:r>
            <w:r>
              <w:rPr>
                <w:rFonts w:ascii="Times New Roman" w:eastAsia="宋体" w:hAnsi="Times New Roman"/>
                <w:color w:val="000000"/>
                <w:sz w:val="20"/>
                <w:szCs w:val="20"/>
              </w:rPr>
              <w:t xml:space="preserve"> value</w:t>
            </w:r>
          </w:p>
        </w:tc>
        <w:tc>
          <w:tcPr>
            <w:tcW w:w="0" w:type="auto"/>
            <w:tcBorders>
              <w:top w:val="single" w:sz="8" w:space="0" w:color="000000"/>
            </w:tcBorders>
            <w:shd w:val="clear" w:color="auto" w:fill="CCEEFF"/>
            <w:tcMar>
              <w:top w:w="40" w:type="dxa"/>
              <w:left w:w="20" w:type="dxa"/>
              <w:bottom w:w="40" w:type="dxa"/>
            </w:tcMar>
            <w:vAlign w:val="center"/>
          </w:tcPr>
          <w:p w14:paraId="33DABF57"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BF58" w14:textId="77777777" w:rsidR="004D6A64" w:rsidRDefault="00506CD6">
            <w:pPr>
              <w:jc w:val="right"/>
              <w:textAlignment w:val="center"/>
            </w:pPr>
            <w:r>
              <w:rPr>
                <w:rFonts w:ascii="Times New Roman" w:eastAsia="宋体" w:hAnsi="Times New Roman"/>
                <w:color w:val="000000"/>
                <w:sz w:val="20"/>
                <w:szCs w:val="20"/>
              </w:rPr>
              <w:t>327 </w:t>
            </w:r>
          </w:p>
        </w:tc>
        <w:tc>
          <w:tcPr>
            <w:tcW w:w="0" w:type="auto"/>
            <w:tcBorders>
              <w:top w:val="single" w:sz="8" w:space="0" w:color="000000"/>
            </w:tcBorders>
            <w:shd w:val="clear" w:color="auto" w:fill="CCEEFF"/>
            <w:tcMar>
              <w:top w:w="40" w:type="dxa"/>
              <w:bottom w:w="40" w:type="dxa"/>
              <w:right w:w="20" w:type="dxa"/>
            </w:tcMar>
            <w:vAlign w:val="center"/>
          </w:tcPr>
          <w:p w14:paraId="33DABF59"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F5A"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33DABF5B"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BF5C" w14:textId="77777777" w:rsidR="004D6A64" w:rsidRDefault="00506CD6">
            <w:pPr>
              <w:jc w:val="right"/>
              <w:textAlignment w:val="center"/>
            </w:pPr>
            <w:r>
              <w:rPr>
                <w:rFonts w:ascii="Times New Roman" w:eastAsia="宋体" w:hAnsi="Times New Roman"/>
                <w:color w:val="000000"/>
                <w:sz w:val="20"/>
                <w:szCs w:val="20"/>
              </w:rPr>
              <w:t>11 </w:t>
            </w:r>
          </w:p>
        </w:tc>
        <w:tc>
          <w:tcPr>
            <w:tcW w:w="0" w:type="auto"/>
            <w:tcBorders>
              <w:top w:val="single" w:sz="8" w:space="0" w:color="000000"/>
            </w:tcBorders>
            <w:shd w:val="clear" w:color="auto" w:fill="CCEEFF"/>
            <w:tcMar>
              <w:top w:w="40" w:type="dxa"/>
              <w:bottom w:w="40" w:type="dxa"/>
              <w:right w:w="20" w:type="dxa"/>
            </w:tcMar>
            <w:vAlign w:val="center"/>
          </w:tcPr>
          <w:p w14:paraId="33DABF5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F5E"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33DABF5F"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BF60" w14:textId="77777777" w:rsidR="004D6A64" w:rsidRDefault="00506CD6">
            <w:pPr>
              <w:jc w:val="right"/>
              <w:textAlignment w:val="center"/>
            </w:pPr>
            <w:r>
              <w:rPr>
                <w:rFonts w:ascii="Times New Roman" w:eastAsia="宋体" w:hAnsi="Times New Roman"/>
                <w:color w:val="000000"/>
                <w:sz w:val="20"/>
                <w:szCs w:val="20"/>
              </w:rPr>
              <w:t>(271)</w:t>
            </w:r>
          </w:p>
        </w:tc>
        <w:tc>
          <w:tcPr>
            <w:tcW w:w="0" w:type="auto"/>
            <w:tcBorders>
              <w:top w:val="single" w:sz="8" w:space="0" w:color="000000"/>
            </w:tcBorders>
            <w:shd w:val="clear" w:color="auto" w:fill="CCEEFF"/>
            <w:tcMar>
              <w:top w:w="40" w:type="dxa"/>
              <w:bottom w:w="40" w:type="dxa"/>
              <w:right w:w="20" w:type="dxa"/>
            </w:tcMar>
            <w:vAlign w:val="center"/>
          </w:tcPr>
          <w:p w14:paraId="33DABF6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F62"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33DABF63"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BF64" w14:textId="77777777" w:rsidR="004D6A64" w:rsidRDefault="00506CD6">
            <w:pPr>
              <w:jc w:val="right"/>
              <w:textAlignment w:val="center"/>
            </w:pPr>
            <w:r>
              <w:rPr>
                <w:rFonts w:ascii="Times New Roman" w:eastAsia="宋体" w:hAnsi="Times New Roman"/>
                <w:color w:val="000000"/>
                <w:sz w:val="20"/>
                <w:szCs w:val="20"/>
              </w:rPr>
              <w:t>(48)</w:t>
            </w:r>
          </w:p>
        </w:tc>
        <w:tc>
          <w:tcPr>
            <w:tcW w:w="0" w:type="auto"/>
            <w:tcBorders>
              <w:top w:val="single" w:sz="8" w:space="0" w:color="000000"/>
            </w:tcBorders>
            <w:shd w:val="clear" w:color="auto" w:fill="CCEEFF"/>
            <w:tcMar>
              <w:top w:w="40" w:type="dxa"/>
              <w:bottom w:w="40" w:type="dxa"/>
              <w:right w:w="20" w:type="dxa"/>
            </w:tcMar>
            <w:vAlign w:val="center"/>
          </w:tcPr>
          <w:p w14:paraId="33DABF6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BF66"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33DABF67"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BF68" w14:textId="77777777" w:rsidR="004D6A64" w:rsidRDefault="00506CD6">
            <w:pPr>
              <w:jc w:val="right"/>
              <w:textAlignment w:val="center"/>
            </w:pPr>
            <w:r>
              <w:rPr>
                <w:rFonts w:ascii="Times New Roman" w:eastAsia="宋体" w:hAnsi="Times New Roman"/>
                <w:color w:val="000000"/>
                <w:sz w:val="20"/>
                <w:szCs w:val="20"/>
              </w:rPr>
              <w:t>19 </w:t>
            </w:r>
          </w:p>
        </w:tc>
        <w:tc>
          <w:tcPr>
            <w:tcW w:w="0" w:type="auto"/>
            <w:tcBorders>
              <w:top w:val="single" w:sz="8" w:space="0" w:color="000000"/>
            </w:tcBorders>
            <w:shd w:val="clear" w:color="auto" w:fill="CCEEFF"/>
            <w:tcMar>
              <w:top w:w="40" w:type="dxa"/>
              <w:bottom w:w="40" w:type="dxa"/>
              <w:right w:w="20" w:type="dxa"/>
            </w:tcMar>
            <w:vAlign w:val="center"/>
          </w:tcPr>
          <w:p w14:paraId="33DABF69" w14:textId="77777777" w:rsidR="004D6A64" w:rsidRDefault="004D6A64">
            <w:pPr>
              <w:jc w:val="right"/>
              <w:rPr>
                <w:rFonts w:ascii="宋体"/>
              </w:rPr>
            </w:pPr>
          </w:p>
        </w:tc>
        <w:tc>
          <w:tcPr>
            <w:tcW w:w="0" w:type="auto"/>
            <w:shd w:val="clear" w:color="auto" w:fill="auto"/>
          </w:tcPr>
          <w:p w14:paraId="33DABF6A" w14:textId="77777777" w:rsidR="004D6A64" w:rsidRDefault="004D6A64">
            <w:pPr>
              <w:rPr>
                <w:rFonts w:ascii="宋体"/>
              </w:rPr>
            </w:pPr>
          </w:p>
        </w:tc>
        <w:tc>
          <w:tcPr>
            <w:tcW w:w="0" w:type="auto"/>
            <w:shd w:val="clear" w:color="auto" w:fill="auto"/>
          </w:tcPr>
          <w:p w14:paraId="33DABF6B" w14:textId="77777777" w:rsidR="004D6A64" w:rsidRDefault="004D6A64">
            <w:pPr>
              <w:rPr>
                <w:rFonts w:ascii="宋体"/>
              </w:rPr>
            </w:pPr>
          </w:p>
        </w:tc>
        <w:tc>
          <w:tcPr>
            <w:tcW w:w="0" w:type="auto"/>
            <w:shd w:val="clear" w:color="auto" w:fill="auto"/>
          </w:tcPr>
          <w:p w14:paraId="33DABF6C" w14:textId="77777777" w:rsidR="004D6A64" w:rsidRDefault="004D6A64">
            <w:pPr>
              <w:rPr>
                <w:rFonts w:ascii="宋体"/>
              </w:rPr>
            </w:pPr>
          </w:p>
        </w:tc>
        <w:tc>
          <w:tcPr>
            <w:tcW w:w="0" w:type="auto"/>
            <w:shd w:val="clear" w:color="auto" w:fill="auto"/>
          </w:tcPr>
          <w:p w14:paraId="33DABF6D" w14:textId="77777777" w:rsidR="004D6A64" w:rsidRDefault="004D6A64">
            <w:pPr>
              <w:rPr>
                <w:rFonts w:ascii="宋体"/>
              </w:rPr>
            </w:pPr>
          </w:p>
        </w:tc>
        <w:tc>
          <w:tcPr>
            <w:tcW w:w="0" w:type="auto"/>
            <w:shd w:val="clear" w:color="auto" w:fill="auto"/>
          </w:tcPr>
          <w:p w14:paraId="33DABF6E" w14:textId="77777777" w:rsidR="004D6A64" w:rsidRDefault="004D6A64">
            <w:pPr>
              <w:rPr>
                <w:rFonts w:ascii="宋体"/>
              </w:rPr>
            </w:pPr>
          </w:p>
        </w:tc>
        <w:tc>
          <w:tcPr>
            <w:tcW w:w="0" w:type="auto"/>
            <w:shd w:val="clear" w:color="auto" w:fill="auto"/>
          </w:tcPr>
          <w:p w14:paraId="33DABF6F" w14:textId="77777777" w:rsidR="004D6A64" w:rsidRDefault="004D6A64">
            <w:pPr>
              <w:rPr>
                <w:rFonts w:ascii="宋体"/>
              </w:rPr>
            </w:pPr>
          </w:p>
        </w:tc>
        <w:tc>
          <w:tcPr>
            <w:tcW w:w="0" w:type="auto"/>
            <w:shd w:val="clear" w:color="auto" w:fill="auto"/>
          </w:tcPr>
          <w:p w14:paraId="33DABF70" w14:textId="77777777" w:rsidR="004D6A64" w:rsidRDefault="004D6A64">
            <w:pPr>
              <w:rPr>
                <w:rFonts w:ascii="宋体"/>
              </w:rPr>
            </w:pPr>
          </w:p>
        </w:tc>
        <w:tc>
          <w:tcPr>
            <w:tcW w:w="0" w:type="auto"/>
            <w:shd w:val="clear" w:color="auto" w:fill="auto"/>
          </w:tcPr>
          <w:p w14:paraId="33DABF71" w14:textId="77777777" w:rsidR="004D6A64" w:rsidRDefault="004D6A64">
            <w:pPr>
              <w:rPr>
                <w:rFonts w:ascii="宋体"/>
              </w:rPr>
            </w:pPr>
          </w:p>
        </w:tc>
        <w:tc>
          <w:tcPr>
            <w:tcW w:w="0" w:type="auto"/>
            <w:shd w:val="clear" w:color="auto" w:fill="auto"/>
          </w:tcPr>
          <w:p w14:paraId="33DABF72" w14:textId="77777777" w:rsidR="004D6A64" w:rsidRDefault="004D6A64">
            <w:pPr>
              <w:rPr>
                <w:rFonts w:ascii="宋体"/>
              </w:rPr>
            </w:pPr>
          </w:p>
        </w:tc>
        <w:tc>
          <w:tcPr>
            <w:tcW w:w="0" w:type="auto"/>
            <w:shd w:val="clear" w:color="auto" w:fill="auto"/>
          </w:tcPr>
          <w:p w14:paraId="33DABF73" w14:textId="77777777" w:rsidR="004D6A64" w:rsidRDefault="004D6A64">
            <w:pPr>
              <w:rPr>
                <w:rFonts w:ascii="宋体"/>
              </w:rPr>
            </w:pPr>
          </w:p>
        </w:tc>
        <w:tc>
          <w:tcPr>
            <w:tcW w:w="0" w:type="auto"/>
            <w:shd w:val="clear" w:color="auto" w:fill="auto"/>
          </w:tcPr>
          <w:p w14:paraId="33DABF74" w14:textId="77777777" w:rsidR="004D6A64" w:rsidRDefault="004D6A64">
            <w:pPr>
              <w:rPr>
                <w:rFonts w:ascii="宋体"/>
              </w:rPr>
            </w:pPr>
          </w:p>
        </w:tc>
        <w:tc>
          <w:tcPr>
            <w:tcW w:w="0" w:type="auto"/>
            <w:shd w:val="clear" w:color="auto" w:fill="auto"/>
          </w:tcPr>
          <w:p w14:paraId="33DABF75" w14:textId="77777777" w:rsidR="004D6A64" w:rsidRDefault="004D6A64">
            <w:pPr>
              <w:rPr>
                <w:rFonts w:ascii="宋体"/>
              </w:rPr>
            </w:pPr>
          </w:p>
        </w:tc>
        <w:tc>
          <w:tcPr>
            <w:tcW w:w="0" w:type="auto"/>
            <w:shd w:val="clear" w:color="auto" w:fill="auto"/>
          </w:tcPr>
          <w:p w14:paraId="33DABF76" w14:textId="77777777" w:rsidR="004D6A64" w:rsidRDefault="004D6A64">
            <w:pPr>
              <w:rPr>
                <w:rFonts w:ascii="宋体"/>
              </w:rPr>
            </w:pPr>
          </w:p>
        </w:tc>
        <w:tc>
          <w:tcPr>
            <w:tcW w:w="0" w:type="auto"/>
            <w:shd w:val="clear" w:color="auto" w:fill="auto"/>
          </w:tcPr>
          <w:p w14:paraId="33DABF77" w14:textId="77777777" w:rsidR="004D6A64" w:rsidRDefault="004D6A64">
            <w:pPr>
              <w:rPr>
                <w:rFonts w:ascii="宋体"/>
              </w:rPr>
            </w:pPr>
          </w:p>
        </w:tc>
        <w:tc>
          <w:tcPr>
            <w:tcW w:w="0" w:type="auto"/>
            <w:shd w:val="clear" w:color="auto" w:fill="auto"/>
          </w:tcPr>
          <w:p w14:paraId="33DABF78" w14:textId="77777777" w:rsidR="004D6A64" w:rsidRDefault="004D6A64">
            <w:pPr>
              <w:rPr>
                <w:rFonts w:ascii="宋体"/>
              </w:rPr>
            </w:pPr>
          </w:p>
        </w:tc>
        <w:tc>
          <w:tcPr>
            <w:tcW w:w="0" w:type="auto"/>
            <w:shd w:val="clear" w:color="auto" w:fill="auto"/>
          </w:tcPr>
          <w:p w14:paraId="33DABF79" w14:textId="77777777" w:rsidR="004D6A64" w:rsidRDefault="004D6A64">
            <w:pPr>
              <w:rPr>
                <w:rFonts w:ascii="宋体"/>
              </w:rPr>
            </w:pPr>
          </w:p>
        </w:tc>
        <w:tc>
          <w:tcPr>
            <w:tcW w:w="0" w:type="auto"/>
            <w:shd w:val="clear" w:color="auto" w:fill="auto"/>
          </w:tcPr>
          <w:p w14:paraId="33DABF7A" w14:textId="77777777" w:rsidR="004D6A64" w:rsidRDefault="004D6A64">
            <w:pPr>
              <w:rPr>
                <w:rFonts w:ascii="宋体"/>
              </w:rPr>
            </w:pPr>
          </w:p>
        </w:tc>
        <w:tc>
          <w:tcPr>
            <w:tcW w:w="0" w:type="auto"/>
            <w:shd w:val="clear" w:color="auto" w:fill="auto"/>
          </w:tcPr>
          <w:p w14:paraId="33DABF7B" w14:textId="77777777" w:rsidR="004D6A64" w:rsidRDefault="004D6A64">
            <w:pPr>
              <w:rPr>
                <w:rFonts w:ascii="宋体"/>
              </w:rPr>
            </w:pPr>
          </w:p>
        </w:tc>
        <w:tc>
          <w:tcPr>
            <w:tcW w:w="0" w:type="auto"/>
            <w:shd w:val="clear" w:color="auto" w:fill="auto"/>
          </w:tcPr>
          <w:p w14:paraId="33DABF7C" w14:textId="77777777" w:rsidR="004D6A64" w:rsidRDefault="004D6A64">
            <w:pPr>
              <w:rPr>
                <w:rFonts w:ascii="宋体"/>
              </w:rPr>
            </w:pPr>
          </w:p>
        </w:tc>
        <w:tc>
          <w:tcPr>
            <w:tcW w:w="0" w:type="auto"/>
            <w:shd w:val="clear" w:color="auto" w:fill="auto"/>
          </w:tcPr>
          <w:p w14:paraId="33DABF7D" w14:textId="77777777" w:rsidR="004D6A64" w:rsidRDefault="004D6A64">
            <w:pPr>
              <w:rPr>
                <w:rFonts w:ascii="宋体"/>
              </w:rPr>
            </w:pPr>
          </w:p>
        </w:tc>
        <w:tc>
          <w:tcPr>
            <w:tcW w:w="0" w:type="auto"/>
            <w:shd w:val="clear" w:color="auto" w:fill="auto"/>
          </w:tcPr>
          <w:p w14:paraId="33DABF7E" w14:textId="77777777" w:rsidR="004D6A64" w:rsidRDefault="004D6A64">
            <w:pPr>
              <w:rPr>
                <w:rFonts w:ascii="宋体"/>
              </w:rPr>
            </w:pPr>
          </w:p>
        </w:tc>
        <w:tc>
          <w:tcPr>
            <w:tcW w:w="0" w:type="auto"/>
            <w:shd w:val="clear" w:color="auto" w:fill="auto"/>
          </w:tcPr>
          <w:p w14:paraId="33DABF7F" w14:textId="77777777" w:rsidR="004D6A64" w:rsidRDefault="004D6A64">
            <w:pPr>
              <w:rPr>
                <w:rFonts w:ascii="宋体"/>
              </w:rPr>
            </w:pPr>
          </w:p>
        </w:tc>
        <w:tc>
          <w:tcPr>
            <w:tcW w:w="0" w:type="auto"/>
            <w:shd w:val="clear" w:color="auto" w:fill="auto"/>
          </w:tcPr>
          <w:p w14:paraId="33DABF80" w14:textId="77777777" w:rsidR="004D6A64" w:rsidRDefault="004D6A64">
            <w:pPr>
              <w:rPr>
                <w:rFonts w:ascii="宋体"/>
              </w:rPr>
            </w:pPr>
          </w:p>
        </w:tc>
        <w:tc>
          <w:tcPr>
            <w:tcW w:w="0" w:type="auto"/>
            <w:shd w:val="clear" w:color="auto" w:fill="auto"/>
          </w:tcPr>
          <w:p w14:paraId="33DABF81" w14:textId="77777777" w:rsidR="004D6A64" w:rsidRDefault="004D6A64">
            <w:pPr>
              <w:rPr>
                <w:rFonts w:ascii="宋体"/>
              </w:rPr>
            </w:pPr>
          </w:p>
        </w:tc>
      </w:tr>
      <w:tr w:rsidR="004D6A64" w14:paraId="33DABFA5" w14:textId="77777777">
        <w:trPr>
          <w:gridAfter w:val="3"/>
          <w:trHeight w:val="280"/>
        </w:trPr>
        <w:tc>
          <w:tcPr>
            <w:tcW w:w="0" w:type="auto"/>
            <w:gridSpan w:val="3"/>
            <w:shd w:val="clear" w:color="auto" w:fill="auto"/>
            <w:tcMar>
              <w:left w:w="20" w:type="dxa"/>
              <w:right w:w="20" w:type="dxa"/>
            </w:tcMar>
            <w:vAlign w:val="bottom"/>
          </w:tcPr>
          <w:p w14:paraId="33DABF83" w14:textId="77777777" w:rsidR="004D6A64" w:rsidRDefault="004D6A64">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33DABF84"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BF85" w14:textId="77777777" w:rsidR="004D6A64" w:rsidRDefault="004D6A64">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33DABF86"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BF87" w14:textId="77777777" w:rsidR="004D6A64" w:rsidRDefault="004D6A64">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33DABF88"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BF89" w14:textId="77777777" w:rsidR="004D6A64" w:rsidRDefault="004D6A64">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33DABF8A"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BF8B" w14:textId="77777777" w:rsidR="004D6A64" w:rsidRDefault="004D6A64">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33DABF8C" w14:textId="77777777" w:rsidR="004D6A64" w:rsidRDefault="004D6A64">
            <w:pPr>
              <w:rPr>
                <w:rFonts w:ascii="宋体"/>
              </w:rPr>
            </w:pPr>
          </w:p>
        </w:tc>
        <w:tc>
          <w:tcPr>
            <w:tcW w:w="0" w:type="auto"/>
            <w:shd w:val="clear" w:color="auto" w:fill="auto"/>
          </w:tcPr>
          <w:p w14:paraId="33DABF8D" w14:textId="77777777" w:rsidR="004D6A64" w:rsidRDefault="004D6A64">
            <w:pPr>
              <w:rPr>
                <w:rFonts w:ascii="宋体"/>
              </w:rPr>
            </w:pPr>
          </w:p>
        </w:tc>
        <w:tc>
          <w:tcPr>
            <w:tcW w:w="0" w:type="auto"/>
            <w:shd w:val="clear" w:color="auto" w:fill="auto"/>
          </w:tcPr>
          <w:p w14:paraId="33DABF8E" w14:textId="77777777" w:rsidR="004D6A64" w:rsidRDefault="004D6A64">
            <w:pPr>
              <w:rPr>
                <w:rFonts w:ascii="宋体"/>
              </w:rPr>
            </w:pPr>
          </w:p>
        </w:tc>
        <w:tc>
          <w:tcPr>
            <w:tcW w:w="0" w:type="auto"/>
            <w:shd w:val="clear" w:color="auto" w:fill="auto"/>
          </w:tcPr>
          <w:p w14:paraId="33DABF8F" w14:textId="77777777" w:rsidR="004D6A64" w:rsidRDefault="004D6A64">
            <w:pPr>
              <w:rPr>
                <w:rFonts w:ascii="宋体"/>
              </w:rPr>
            </w:pPr>
          </w:p>
        </w:tc>
        <w:tc>
          <w:tcPr>
            <w:tcW w:w="0" w:type="auto"/>
            <w:shd w:val="clear" w:color="auto" w:fill="auto"/>
          </w:tcPr>
          <w:p w14:paraId="33DABF90" w14:textId="77777777" w:rsidR="004D6A64" w:rsidRDefault="004D6A64">
            <w:pPr>
              <w:rPr>
                <w:rFonts w:ascii="宋体"/>
              </w:rPr>
            </w:pPr>
          </w:p>
        </w:tc>
        <w:tc>
          <w:tcPr>
            <w:tcW w:w="0" w:type="auto"/>
            <w:shd w:val="clear" w:color="auto" w:fill="auto"/>
          </w:tcPr>
          <w:p w14:paraId="33DABF91" w14:textId="77777777" w:rsidR="004D6A64" w:rsidRDefault="004D6A64">
            <w:pPr>
              <w:rPr>
                <w:rFonts w:ascii="宋体"/>
              </w:rPr>
            </w:pPr>
          </w:p>
        </w:tc>
        <w:tc>
          <w:tcPr>
            <w:tcW w:w="0" w:type="auto"/>
            <w:shd w:val="clear" w:color="auto" w:fill="auto"/>
          </w:tcPr>
          <w:p w14:paraId="33DABF92" w14:textId="77777777" w:rsidR="004D6A64" w:rsidRDefault="004D6A64">
            <w:pPr>
              <w:rPr>
                <w:rFonts w:ascii="宋体"/>
              </w:rPr>
            </w:pPr>
          </w:p>
        </w:tc>
        <w:tc>
          <w:tcPr>
            <w:tcW w:w="0" w:type="auto"/>
            <w:shd w:val="clear" w:color="auto" w:fill="auto"/>
          </w:tcPr>
          <w:p w14:paraId="33DABF93" w14:textId="77777777" w:rsidR="004D6A64" w:rsidRDefault="004D6A64">
            <w:pPr>
              <w:rPr>
                <w:rFonts w:ascii="宋体"/>
              </w:rPr>
            </w:pPr>
          </w:p>
        </w:tc>
        <w:tc>
          <w:tcPr>
            <w:tcW w:w="0" w:type="auto"/>
            <w:shd w:val="clear" w:color="auto" w:fill="auto"/>
          </w:tcPr>
          <w:p w14:paraId="33DABF94" w14:textId="77777777" w:rsidR="004D6A64" w:rsidRDefault="004D6A64">
            <w:pPr>
              <w:rPr>
                <w:rFonts w:ascii="宋体"/>
              </w:rPr>
            </w:pPr>
          </w:p>
        </w:tc>
        <w:tc>
          <w:tcPr>
            <w:tcW w:w="0" w:type="auto"/>
            <w:shd w:val="clear" w:color="auto" w:fill="auto"/>
          </w:tcPr>
          <w:p w14:paraId="33DABF95" w14:textId="77777777" w:rsidR="004D6A64" w:rsidRDefault="004D6A64">
            <w:pPr>
              <w:rPr>
                <w:rFonts w:ascii="宋体"/>
              </w:rPr>
            </w:pPr>
          </w:p>
        </w:tc>
        <w:tc>
          <w:tcPr>
            <w:tcW w:w="0" w:type="auto"/>
            <w:shd w:val="clear" w:color="auto" w:fill="auto"/>
          </w:tcPr>
          <w:p w14:paraId="33DABF96" w14:textId="77777777" w:rsidR="004D6A64" w:rsidRDefault="004D6A64">
            <w:pPr>
              <w:rPr>
                <w:rFonts w:ascii="宋体"/>
              </w:rPr>
            </w:pPr>
          </w:p>
        </w:tc>
        <w:tc>
          <w:tcPr>
            <w:tcW w:w="0" w:type="auto"/>
            <w:shd w:val="clear" w:color="auto" w:fill="auto"/>
          </w:tcPr>
          <w:p w14:paraId="33DABF97" w14:textId="77777777" w:rsidR="004D6A64" w:rsidRDefault="004D6A64">
            <w:pPr>
              <w:rPr>
                <w:rFonts w:ascii="宋体"/>
              </w:rPr>
            </w:pPr>
          </w:p>
        </w:tc>
        <w:tc>
          <w:tcPr>
            <w:tcW w:w="0" w:type="auto"/>
            <w:shd w:val="clear" w:color="auto" w:fill="auto"/>
          </w:tcPr>
          <w:p w14:paraId="33DABF98" w14:textId="77777777" w:rsidR="004D6A64" w:rsidRDefault="004D6A64">
            <w:pPr>
              <w:rPr>
                <w:rFonts w:ascii="宋体"/>
              </w:rPr>
            </w:pPr>
          </w:p>
        </w:tc>
        <w:tc>
          <w:tcPr>
            <w:tcW w:w="0" w:type="auto"/>
            <w:shd w:val="clear" w:color="auto" w:fill="auto"/>
          </w:tcPr>
          <w:p w14:paraId="33DABF99" w14:textId="77777777" w:rsidR="004D6A64" w:rsidRDefault="004D6A64">
            <w:pPr>
              <w:rPr>
                <w:rFonts w:ascii="宋体"/>
              </w:rPr>
            </w:pPr>
          </w:p>
        </w:tc>
        <w:tc>
          <w:tcPr>
            <w:tcW w:w="0" w:type="auto"/>
            <w:shd w:val="clear" w:color="auto" w:fill="auto"/>
          </w:tcPr>
          <w:p w14:paraId="33DABF9A" w14:textId="77777777" w:rsidR="004D6A64" w:rsidRDefault="004D6A64">
            <w:pPr>
              <w:rPr>
                <w:rFonts w:ascii="宋体"/>
              </w:rPr>
            </w:pPr>
          </w:p>
        </w:tc>
        <w:tc>
          <w:tcPr>
            <w:tcW w:w="0" w:type="auto"/>
            <w:shd w:val="clear" w:color="auto" w:fill="auto"/>
          </w:tcPr>
          <w:p w14:paraId="33DABF9B" w14:textId="77777777" w:rsidR="004D6A64" w:rsidRDefault="004D6A64">
            <w:pPr>
              <w:rPr>
                <w:rFonts w:ascii="宋体"/>
              </w:rPr>
            </w:pPr>
          </w:p>
        </w:tc>
        <w:tc>
          <w:tcPr>
            <w:tcW w:w="0" w:type="auto"/>
            <w:shd w:val="clear" w:color="auto" w:fill="auto"/>
          </w:tcPr>
          <w:p w14:paraId="33DABF9C" w14:textId="77777777" w:rsidR="004D6A64" w:rsidRDefault="004D6A64">
            <w:pPr>
              <w:rPr>
                <w:rFonts w:ascii="宋体"/>
              </w:rPr>
            </w:pPr>
          </w:p>
        </w:tc>
        <w:tc>
          <w:tcPr>
            <w:tcW w:w="0" w:type="auto"/>
            <w:shd w:val="clear" w:color="auto" w:fill="auto"/>
          </w:tcPr>
          <w:p w14:paraId="33DABF9D" w14:textId="77777777" w:rsidR="004D6A64" w:rsidRDefault="004D6A64">
            <w:pPr>
              <w:rPr>
                <w:rFonts w:ascii="宋体"/>
              </w:rPr>
            </w:pPr>
          </w:p>
        </w:tc>
        <w:tc>
          <w:tcPr>
            <w:tcW w:w="0" w:type="auto"/>
            <w:shd w:val="clear" w:color="auto" w:fill="auto"/>
          </w:tcPr>
          <w:p w14:paraId="33DABF9E" w14:textId="77777777" w:rsidR="004D6A64" w:rsidRDefault="004D6A64">
            <w:pPr>
              <w:rPr>
                <w:rFonts w:ascii="宋体"/>
              </w:rPr>
            </w:pPr>
          </w:p>
        </w:tc>
        <w:tc>
          <w:tcPr>
            <w:tcW w:w="0" w:type="auto"/>
            <w:shd w:val="clear" w:color="auto" w:fill="auto"/>
          </w:tcPr>
          <w:p w14:paraId="33DABF9F" w14:textId="77777777" w:rsidR="004D6A64" w:rsidRDefault="004D6A64">
            <w:pPr>
              <w:rPr>
                <w:rFonts w:ascii="宋体"/>
              </w:rPr>
            </w:pPr>
          </w:p>
        </w:tc>
        <w:tc>
          <w:tcPr>
            <w:tcW w:w="0" w:type="auto"/>
            <w:shd w:val="clear" w:color="auto" w:fill="auto"/>
          </w:tcPr>
          <w:p w14:paraId="33DABFA0" w14:textId="77777777" w:rsidR="004D6A64" w:rsidRDefault="004D6A64">
            <w:pPr>
              <w:rPr>
                <w:rFonts w:ascii="宋体"/>
              </w:rPr>
            </w:pPr>
          </w:p>
        </w:tc>
        <w:tc>
          <w:tcPr>
            <w:tcW w:w="0" w:type="auto"/>
            <w:shd w:val="clear" w:color="auto" w:fill="auto"/>
          </w:tcPr>
          <w:p w14:paraId="33DABFA1" w14:textId="77777777" w:rsidR="004D6A64" w:rsidRDefault="004D6A64">
            <w:pPr>
              <w:rPr>
                <w:rFonts w:ascii="宋体"/>
              </w:rPr>
            </w:pPr>
          </w:p>
        </w:tc>
        <w:tc>
          <w:tcPr>
            <w:tcW w:w="0" w:type="auto"/>
            <w:shd w:val="clear" w:color="auto" w:fill="auto"/>
          </w:tcPr>
          <w:p w14:paraId="33DABFA2" w14:textId="77777777" w:rsidR="004D6A64" w:rsidRDefault="004D6A64">
            <w:pPr>
              <w:rPr>
                <w:rFonts w:ascii="宋体"/>
              </w:rPr>
            </w:pPr>
          </w:p>
        </w:tc>
        <w:tc>
          <w:tcPr>
            <w:tcW w:w="0" w:type="auto"/>
            <w:shd w:val="clear" w:color="auto" w:fill="auto"/>
          </w:tcPr>
          <w:p w14:paraId="33DABFA3" w14:textId="77777777" w:rsidR="004D6A64" w:rsidRDefault="004D6A64">
            <w:pPr>
              <w:rPr>
                <w:rFonts w:ascii="宋体"/>
              </w:rPr>
            </w:pPr>
          </w:p>
        </w:tc>
        <w:tc>
          <w:tcPr>
            <w:tcW w:w="0" w:type="auto"/>
            <w:shd w:val="clear" w:color="auto" w:fill="auto"/>
          </w:tcPr>
          <w:p w14:paraId="33DABFA4" w14:textId="77777777" w:rsidR="004D6A64" w:rsidRDefault="004D6A64">
            <w:pPr>
              <w:rPr>
                <w:rFonts w:ascii="宋体"/>
              </w:rPr>
            </w:pPr>
          </w:p>
        </w:tc>
      </w:tr>
      <w:tr w:rsidR="004D6A64" w14:paraId="33DABFB0" w14:textId="77777777">
        <w:trPr>
          <w:gridAfter w:val="3"/>
        </w:trPr>
        <w:tc>
          <w:tcPr>
            <w:tcW w:w="0" w:type="auto"/>
            <w:gridSpan w:val="3"/>
            <w:shd w:val="clear" w:color="auto" w:fill="auto"/>
            <w:tcMar>
              <w:top w:w="40" w:type="dxa"/>
              <w:left w:w="20" w:type="dxa"/>
              <w:bottom w:w="40" w:type="dxa"/>
              <w:right w:w="20" w:type="dxa"/>
            </w:tcMar>
            <w:vAlign w:val="bottom"/>
          </w:tcPr>
          <w:p w14:paraId="33DABFA6" w14:textId="77777777" w:rsidR="004D6A64" w:rsidRDefault="00506CD6">
            <w:pPr>
              <w:jc w:val="center"/>
              <w:textAlignment w:val="bottom"/>
            </w:pPr>
            <w:r>
              <w:rPr>
                <w:rFonts w:ascii="Times New Roman" w:eastAsia="宋体" w:hAnsi="Times New Roman"/>
                <w:color w:val="000000"/>
                <w:sz w:val="20"/>
                <w:szCs w:val="20"/>
              </w:rPr>
              <w:t> </w:t>
            </w:r>
          </w:p>
        </w:tc>
        <w:tc>
          <w:tcPr>
            <w:tcW w:w="0" w:type="auto"/>
            <w:gridSpan w:val="27"/>
            <w:shd w:val="clear" w:color="auto" w:fill="auto"/>
            <w:tcMar>
              <w:top w:w="40" w:type="dxa"/>
              <w:left w:w="20" w:type="dxa"/>
              <w:bottom w:w="40" w:type="dxa"/>
              <w:right w:w="20" w:type="dxa"/>
            </w:tcMar>
            <w:vAlign w:val="bottom"/>
          </w:tcPr>
          <w:p w14:paraId="33DABFA7" w14:textId="77777777" w:rsidR="004D6A64" w:rsidRDefault="00506CD6">
            <w:pPr>
              <w:jc w:val="center"/>
              <w:textAlignment w:val="bottom"/>
            </w:pPr>
            <w:r>
              <w:rPr>
                <w:rFonts w:ascii="Times New Roman" w:eastAsia="宋体" w:hAnsi="Times New Roman"/>
                <w:b/>
                <w:bCs/>
                <w:color w:val="000000"/>
                <w:sz w:val="20"/>
                <w:szCs w:val="20"/>
              </w:rPr>
              <w:t>January 31, 2020</w:t>
            </w:r>
          </w:p>
        </w:tc>
        <w:tc>
          <w:tcPr>
            <w:tcW w:w="0" w:type="auto"/>
            <w:gridSpan w:val="3"/>
            <w:shd w:val="clear" w:color="auto" w:fill="auto"/>
          </w:tcPr>
          <w:p w14:paraId="33DABFA8" w14:textId="77777777" w:rsidR="004D6A64" w:rsidRDefault="004D6A64">
            <w:pPr>
              <w:rPr>
                <w:rFonts w:ascii="宋体"/>
                <w:vanish/>
              </w:rPr>
            </w:pPr>
          </w:p>
        </w:tc>
        <w:tc>
          <w:tcPr>
            <w:tcW w:w="0" w:type="auto"/>
            <w:gridSpan w:val="3"/>
            <w:shd w:val="clear" w:color="auto" w:fill="auto"/>
          </w:tcPr>
          <w:p w14:paraId="33DABFA9" w14:textId="77777777" w:rsidR="004D6A64" w:rsidRDefault="004D6A64">
            <w:pPr>
              <w:rPr>
                <w:rFonts w:ascii="宋体"/>
                <w:vanish/>
              </w:rPr>
            </w:pPr>
          </w:p>
        </w:tc>
        <w:tc>
          <w:tcPr>
            <w:tcW w:w="0" w:type="auto"/>
            <w:gridSpan w:val="3"/>
            <w:shd w:val="clear" w:color="auto" w:fill="auto"/>
          </w:tcPr>
          <w:p w14:paraId="33DABFAA" w14:textId="77777777" w:rsidR="004D6A64" w:rsidRDefault="004D6A64">
            <w:pPr>
              <w:rPr>
                <w:rFonts w:ascii="宋体"/>
                <w:vanish/>
              </w:rPr>
            </w:pPr>
          </w:p>
        </w:tc>
        <w:tc>
          <w:tcPr>
            <w:tcW w:w="0" w:type="auto"/>
            <w:gridSpan w:val="3"/>
            <w:shd w:val="clear" w:color="auto" w:fill="auto"/>
          </w:tcPr>
          <w:p w14:paraId="33DABFAB" w14:textId="77777777" w:rsidR="004D6A64" w:rsidRDefault="004D6A64">
            <w:pPr>
              <w:rPr>
                <w:rFonts w:ascii="宋体"/>
                <w:vanish/>
              </w:rPr>
            </w:pPr>
          </w:p>
        </w:tc>
        <w:tc>
          <w:tcPr>
            <w:tcW w:w="0" w:type="auto"/>
            <w:gridSpan w:val="3"/>
            <w:shd w:val="clear" w:color="auto" w:fill="auto"/>
          </w:tcPr>
          <w:p w14:paraId="33DABFAC" w14:textId="77777777" w:rsidR="004D6A64" w:rsidRDefault="004D6A64">
            <w:pPr>
              <w:rPr>
                <w:rFonts w:ascii="宋体"/>
                <w:vanish/>
              </w:rPr>
            </w:pPr>
          </w:p>
        </w:tc>
        <w:tc>
          <w:tcPr>
            <w:tcW w:w="0" w:type="auto"/>
            <w:gridSpan w:val="3"/>
            <w:shd w:val="clear" w:color="auto" w:fill="auto"/>
          </w:tcPr>
          <w:p w14:paraId="33DABFAD" w14:textId="77777777" w:rsidR="004D6A64" w:rsidRDefault="004D6A64">
            <w:pPr>
              <w:rPr>
                <w:rFonts w:ascii="宋体"/>
                <w:vanish/>
              </w:rPr>
            </w:pPr>
          </w:p>
        </w:tc>
        <w:tc>
          <w:tcPr>
            <w:tcW w:w="0" w:type="auto"/>
            <w:gridSpan w:val="3"/>
            <w:shd w:val="clear" w:color="auto" w:fill="auto"/>
          </w:tcPr>
          <w:p w14:paraId="33DABFAE" w14:textId="77777777" w:rsidR="004D6A64" w:rsidRDefault="004D6A64">
            <w:pPr>
              <w:rPr>
                <w:rFonts w:ascii="宋体"/>
                <w:vanish/>
              </w:rPr>
            </w:pPr>
          </w:p>
        </w:tc>
        <w:tc>
          <w:tcPr>
            <w:tcW w:w="0" w:type="auto"/>
            <w:gridSpan w:val="3"/>
            <w:shd w:val="clear" w:color="auto" w:fill="auto"/>
          </w:tcPr>
          <w:p w14:paraId="33DABFAF" w14:textId="77777777" w:rsidR="004D6A64" w:rsidRDefault="004D6A64">
            <w:pPr>
              <w:rPr>
                <w:rFonts w:ascii="宋体"/>
                <w:vanish/>
              </w:rPr>
            </w:pPr>
          </w:p>
        </w:tc>
      </w:tr>
      <w:tr w:rsidR="004D6A64" w14:paraId="33DABFD3" w14:textId="77777777">
        <w:trPr>
          <w:gridAfter w:val="3"/>
        </w:trPr>
        <w:tc>
          <w:tcPr>
            <w:tcW w:w="0" w:type="auto"/>
            <w:gridSpan w:val="3"/>
            <w:shd w:val="clear" w:color="auto" w:fill="auto"/>
            <w:tcMar>
              <w:top w:w="40" w:type="dxa"/>
              <w:left w:w="20" w:type="dxa"/>
              <w:bottom w:w="40" w:type="dxa"/>
              <w:right w:w="20" w:type="dxa"/>
            </w:tcMar>
            <w:vAlign w:val="bottom"/>
          </w:tcPr>
          <w:p w14:paraId="33DABFB1" w14:textId="77777777" w:rsidR="004D6A64" w:rsidRDefault="00506CD6">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BFB2" w14:textId="77777777" w:rsidR="004D6A64" w:rsidRDefault="00506CD6">
            <w:pPr>
              <w:jc w:val="center"/>
              <w:textAlignment w:val="bottom"/>
            </w:pPr>
            <w:r>
              <w:rPr>
                <w:rFonts w:ascii="Times New Roman" w:eastAsia="宋体" w:hAnsi="Times New Roman"/>
                <w:b/>
                <w:bCs/>
                <w:color w:val="000000"/>
                <w:sz w:val="20"/>
                <w:szCs w:val="20"/>
              </w:rPr>
              <w:t>Other Current</w:t>
            </w:r>
            <w:r>
              <w:rPr>
                <w:rFonts w:ascii="Times New Roman" w:eastAsia="宋体" w:hAnsi="Times New Roman"/>
                <w:b/>
                <w:bCs/>
                <w:color w:val="000000"/>
                <w:sz w:val="20"/>
                <w:szCs w:val="20"/>
              </w:rPr>
              <w:br/>
              <w:t>Assets</w:t>
            </w:r>
          </w:p>
        </w:tc>
        <w:tc>
          <w:tcPr>
            <w:tcW w:w="0" w:type="auto"/>
            <w:gridSpan w:val="3"/>
            <w:tcBorders>
              <w:top w:val="single" w:sz="8" w:space="0" w:color="000000"/>
            </w:tcBorders>
            <w:shd w:val="clear" w:color="auto" w:fill="auto"/>
            <w:tcMar>
              <w:left w:w="20" w:type="dxa"/>
              <w:right w:w="20" w:type="dxa"/>
            </w:tcMar>
            <w:vAlign w:val="bottom"/>
          </w:tcPr>
          <w:p w14:paraId="33DABFB3"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BFB4" w14:textId="77777777" w:rsidR="004D6A64" w:rsidRDefault="00506CD6">
            <w:pPr>
              <w:jc w:val="center"/>
              <w:textAlignment w:val="bottom"/>
            </w:pPr>
            <w:r>
              <w:rPr>
                <w:rFonts w:ascii="Times New Roman" w:eastAsia="宋体" w:hAnsi="Times New Roman"/>
                <w:b/>
                <w:bCs/>
                <w:color w:val="000000"/>
                <w:sz w:val="20"/>
                <w:szCs w:val="20"/>
              </w:rPr>
              <w:t>Other Non-</w:t>
            </w:r>
            <w:r>
              <w:rPr>
                <w:rFonts w:ascii="Times New Roman" w:eastAsia="宋体" w:hAnsi="Times New Roman"/>
                <w:b/>
                <w:bCs/>
                <w:color w:val="000000"/>
                <w:sz w:val="20"/>
                <w:szCs w:val="20"/>
              </w:rPr>
              <w:br/>
              <w:t>Current Assets</w:t>
            </w:r>
          </w:p>
        </w:tc>
        <w:tc>
          <w:tcPr>
            <w:tcW w:w="0" w:type="auto"/>
            <w:gridSpan w:val="3"/>
            <w:tcBorders>
              <w:top w:val="single" w:sz="8" w:space="0" w:color="000000"/>
            </w:tcBorders>
            <w:shd w:val="clear" w:color="auto" w:fill="auto"/>
            <w:tcMar>
              <w:left w:w="20" w:type="dxa"/>
              <w:right w:w="20" w:type="dxa"/>
            </w:tcMar>
            <w:vAlign w:val="bottom"/>
          </w:tcPr>
          <w:p w14:paraId="33DABFB5"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BFB6" w14:textId="77777777" w:rsidR="004D6A64" w:rsidRDefault="00506CD6">
            <w:pPr>
              <w:jc w:val="center"/>
              <w:textAlignment w:val="bottom"/>
            </w:pPr>
            <w:r>
              <w:rPr>
                <w:rFonts w:ascii="Times New Roman" w:eastAsia="宋体" w:hAnsi="Times New Roman"/>
                <w:b/>
                <w:bCs/>
                <w:color w:val="000000"/>
                <w:sz w:val="20"/>
                <w:szCs w:val="20"/>
              </w:rPr>
              <w:t>Other Current</w:t>
            </w:r>
            <w:r>
              <w:rPr>
                <w:rFonts w:ascii="Times New Roman" w:eastAsia="宋体" w:hAnsi="Times New Roman"/>
                <w:b/>
                <w:bCs/>
                <w:color w:val="000000"/>
                <w:sz w:val="20"/>
                <w:szCs w:val="20"/>
              </w:rPr>
              <w:br/>
              <w:t>Liabilities</w:t>
            </w:r>
          </w:p>
        </w:tc>
        <w:tc>
          <w:tcPr>
            <w:tcW w:w="0" w:type="auto"/>
            <w:gridSpan w:val="3"/>
            <w:tcBorders>
              <w:top w:val="single" w:sz="8" w:space="0" w:color="000000"/>
            </w:tcBorders>
            <w:shd w:val="clear" w:color="auto" w:fill="auto"/>
            <w:tcMar>
              <w:left w:w="20" w:type="dxa"/>
              <w:right w:w="20" w:type="dxa"/>
            </w:tcMar>
            <w:vAlign w:val="bottom"/>
          </w:tcPr>
          <w:p w14:paraId="33DABFB7"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BFB8" w14:textId="77777777" w:rsidR="004D6A64" w:rsidRDefault="00506CD6">
            <w:pPr>
              <w:jc w:val="center"/>
              <w:textAlignment w:val="bottom"/>
            </w:pPr>
            <w:r>
              <w:rPr>
                <w:rFonts w:ascii="Times New Roman" w:eastAsia="宋体" w:hAnsi="Times New Roman"/>
                <w:b/>
                <w:bCs/>
                <w:color w:val="000000"/>
                <w:sz w:val="20"/>
                <w:szCs w:val="20"/>
              </w:rPr>
              <w:t>Other Non-Current</w:t>
            </w:r>
            <w:r>
              <w:rPr>
                <w:rFonts w:ascii="Times New Roman" w:eastAsia="宋体" w:hAnsi="Times New Roman"/>
                <w:b/>
                <w:bCs/>
                <w:color w:val="000000"/>
                <w:sz w:val="20"/>
                <w:szCs w:val="20"/>
              </w:rPr>
              <w:br/>
              <w:t>Liabilities</w:t>
            </w:r>
          </w:p>
        </w:tc>
        <w:tc>
          <w:tcPr>
            <w:tcW w:w="0" w:type="auto"/>
            <w:gridSpan w:val="3"/>
            <w:tcBorders>
              <w:top w:val="single" w:sz="8" w:space="0" w:color="000000"/>
            </w:tcBorders>
            <w:shd w:val="clear" w:color="auto" w:fill="auto"/>
            <w:tcMar>
              <w:left w:w="20" w:type="dxa"/>
              <w:right w:w="20" w:type="dxa"/>
            </w:tcMar>
            <w:vAlign w:val="bottom"/>
          </w:tcPr>
          <w:p w14:paraId="33DABFB9"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BFBA" w14:textId="77777777" w:rsidR="004D6A64" w:rsidRDefault="00506CD6">
            <w:pPr>
              <w:jc w:val="center"/>
              <w:textAlignment w:val="bottom"/>
            </w:pPr>
            <w:r>
              <w:rPr>
                <w:rFonts w:ascii="Times New Roman" w:eastAsia="宋体" w:hAnsi="Times New Roman"/>
                <w:b/>
                <w:bCs/>
                <w:color w:val="000000"/>
                <w:sz w:val="20"/>
                <w:szCs w:val="20"/>
              </w:rPr>
              <w:t>Total</w:t>
            </w:r>
            <w:r>
              <w:rPr>
                <w:rFonts w:ascii="Times New Roman" w:eastAsia="宋体" w:hAnsi="Times New Roman"/>
                <w:b/>
                <w:bCs/>
                <w:color w:val="000000"/>
                <w:sz w:val="20"/>
                <w:szCs w:val="20"/>
              </w:rPr>
              <w:br/>
              <w:t>Fair Value</w:t>
            </w:r>
          </w:p>
        </w:tc>
        <w:tc>
          <w:tcPr>
            <w:tcW w:w="0" w:type="auto"/>
            <w:shd w:val="clear" w:color="auto" w:fill="auto"/>
          </w:tcPr>
          <w:p w14:paraId="33DABFBB" w14:textId="77777777" w:rsidR="004D6A64" w:rsidRDefault="004D6A64">
            <w:pPr>
              <w:rPr>
                <w:rFonts w:ascii="宋体"/>
              </w:rPr>
            </w:pPr>
          </w:p>
        </w:tc>
        <w:tc>
          <w:tcPr>
            <w:tcW w:w="0" w:type="auto"/>
            <w:shd w:val="clear" w:color="auto" w:fill="auto"/>
          </w:tcPr>
          <w:p w14:paraId="33DABFBC" w14:textId="77777777" w:rsidR="004D6A64" w:rsidRDefault="004D6A64">
            <w:pPr>
              <w:rPr>
                <w:rFonts w:ascii="宋体"/>
              </w:rPr>
            </w:pPr>
          </w:p>
        </w:tc>
        <w:tc>
          <w:tcPr>
            <w:tcW w:w="0" w:type="auto"/>
            <w:shd w:val="clear" w:color="auto" w:fill="auto"/>
          </w:tcPr>
          <w:p w14:paraId="33DABFBD" w14:textId="77777777" w:rsidR="004D6A64" w:rsidRDefault="004D6A64">
            <w:pPr>
              <w:rPr>
                <w:rFonts w:ascii="宋体"/>
              </w:rPr>
            </w:pPr>
          </w:p>
        </w:tc>
        <w:tc>
          <w:tcPr>
            <w:tcW w:w="0" w:type="auto"/>
            <w:shd w:val="clear" w:color="auto" w:fill="auto"/>
          </w:tcPr>
          <w:p w14:paraId="33DABFBE" w14:textId="77777777" w:rsidR="004D6A64" w:rsidRDefault="004D6A64">
            <w:pPr>
              <w:rPr>
                <w:rFonts w:ascii="宋体"/>
              </w:rPr>
            </w:pPr>
          </w:p>
        </w:tc>
        <w:tc>
          <w:tcPr>
            <w:tcW w:w="0" w:type="auto"/>
            <w:shd w:val="clear" w:color="auto" w:fill="auto"/>
          </w:tcPr>
          <w:p w14:paraId="33DABFBF" w14:textId="77777777" w:rsidR="004D6A64" w:rsidRDefault="004D6A64">
            <w:pPr>
              <w:rPr>
                <w:rFonts w:ascii="宋体"/>
              </w:rPr>
            </w:pPr>
          </w:p>
        </w:tc>
        <w:tc>
          <w:tcPr>
            <w:tcW w:w="0" w:type="auto"/>
            <w:shd w:val="clear" w:color="auto" w:fill="auto"/>
          </w:tcPr>
          <w:p w14:paraId="33DABFC0" w14:textId="77777777" w:rsidR="004D6A64" w:rsidRDefault="004D6A64">
            <w:pPr>
              <w:rPr>
                <w:rFonts w:ascii="宋体"/>
              </w:rPr>
            </w:pPr>
          </w:p>
        </w:tc>
        <w:tc>
          <w:tcPr>
            <w:tcW w:w="0" w:type="auto"/>
            <w:shd w:val="clear" w:color="auto" w:fill="auto"/>
          </w:tcPr>
          <w:p w14:paraId="33DABFC1" w14:textId="77777777" w:rsidR="004D6A64" w:rsidRDefault="004D6A64">
            <w:pPr>
              <w:rPr>
                <w:rFonts w:ascii="宋体"/>
              </w:rPr>
            </w:pPr>
          </w:p>
        </w:tc>
        <w:tc>
          <w:tcPr>
            <w:tcW w:w="0" w:type="auto"/>
            <w:shd w:val="clear" w:color="auto" w:fill="auto"/>
          </w:tcPr>
          <w:p w14:paraId="33DABFC2" w14:textId="77777777" w:rsidR="004D6A64" w:rsidRDefault="004D6A64">
            <w:pPr>
              <w:rPr>
                <w:rFonts w:ascii="宋体"/>
              </w:rPr>
            </w:pPr>
          </w:p>
        </w:tc>
        <w:tc>
          <w:tcPr>
            <w:tcW w:w="0" w:type="auto"/>
            <w:shd w:val="clear" w:color="auto" w:fill="auto"/>
          </w:tcPr>
          <w:p w14:paraId="33DABFC3" w14:textId="77777777" w:rsidR="004D6A64" w:rsidRDefault="004D6A64">
            <w:pPr>
              <w:rPr>
                <w:rFonts w:ascii="宋体"/>
              </w:rPr>
            </w:pPr>
          </w:p>
        </w:tc>
        <w:tc>
          <w:tcPr>
            <w:tcW w:w="0" w:type="auto"/>
            <w:shd w:val="clear" w:color="auto" w:fill="auto"/>
          </w:tcPr>
          <w:p w14:paraId="33DABFC4" w14:textId="77777777" w:rsidR="004D6A64" w:rsidRDefault="004D6A64">
            <w:pPr>
              <w:rPr>
                <w:rFonts w:ascii="宋体"/>
              </w:rPr>
            </w:pPr>
          </w:p>
        </w:tc>
        <w:tc>
          <w:tcPr>
            <w:tcW w:w="0" w:type="auto"/>
            <w:shd w:val="clear" w:color="auto" w:fill="auto"/>
          </w:tcPr>
          <w:p w14:paraId="33DABFC5" w14:textId="77777777" w:rsidR="004D6A64" w:rsidRDefault="004D6A64">
            <w:pPr>
              <w:rPr>
                <w:rFonts w:ascii="宋体"/>
              </w:rPr>
            </w:pPr>
          </w:p>
        </w:tc>
        <w:tc>
          <w:tcPr>
            <w:tcW w:w="0" w:type="auto"/>
            <w:shd w:val="clear" w:color="auto" w:fill="auto"/>
          </w:tcPr>
          <w:p w14:paraId="33DABFC6" w14:textId="77777777" w:rsidR="004D6A64" w:rsidRDefault="004D6A64">
            <w:pPr>
              <w:rPr>
                <w:rFonts w:ascii="宋体"/>
              </w:rPr>
            </w:pPr>
          </w:p>
        </w:tc>
        <w:tc>
          <w:tcPr>
            <w:tcW w:w="0" w:type="auto"/>
            <w:shd w:val="clear" w:color="auto" w:fill="auto"/>
          </w:tcPr>
          <w:p w14:paraId="33DABFC7" w14:textId="77777777" w:rsidR="004D6A64" w:rsidRDefault="004D6A64">
            <w:pPr>
              <w:rPr>
                <w:rFonts w:ascii="宋体"/>
              </w:rPr>
            </w:pPr>
          </w:p>
        </w:tc>
        <w:tc>
          <w:tcPr>
            <w:tcW w:w="0" w:type="auto"/>
            <w:shd w:val="clear" w:color="auto" w:fill="auto"/>
          </w:tcPr>
          <w:p w14:paraId="33DABFC8" w14:textId="77777777" w:rsidR="004D6A64" w:rsidRDefault="004D6A64">
            <w:pPr>
              <w:rPr>
                <w:rFonts w:ascii="宋体"/>
              </w:rPr>
            </w:pPr>
          </w:p>
        </w:tc>
        <w:tc>
          <w:tcPr>
            <w:tcW w:w="0" w:type="auto"/>
            <w:shd w:val="clear" w:color="auto" w:fill="auto"/>
          </w:tcPr>
          <w:p w14:paraId="33DABFC9" w14:textId="77777777" w:rsidR="004D6A64" w:rsidRDefault="004D6A64">
            <w:pPr>
              <w:rPr>
                <w:rFonts w:ascii="宋体"/>
              </w:rPr>
            </w:pPr>
          </w:p>
        </w:tc>
        <w:tc>
          <w:tcPr>
            <w:tcW w:w="0" w:type="auto"/>
            <w:shd w:val="clear" w:color="auto" w:fill="auto"/>
          </w:tcPr>
          <w:p w14:paraId="33DABFCA" w14:textId="77777777" w:rsidR="004D6A64" w:rsidRDefault="004D6A64">
            <w:pPr>
              <w:rPr>
                <w:rFonts w:ascii="宋体"/>
              </w:rPr>
            </w:pPr>
          </w:p>
        </w:tc>
        <w:tc>
          <w:tcPr>
            <w:tcW w:w="0" w:type="auto"/>
            <w:shd w:val="clear" w:color="auto" w:fill="auto"/>
          </w:tcPr>
          <w:p w14:paraId="33DABFCB" w14:textId="77777777" w:rsidR="004D6A64" w:rsidRDefault="004D6A64">
            <w:pPr>
              <w:rPr>
                <w:rFonts w:ascii="宋体"/>
              </w:rPr>
            </w:pPr>
          </w:p>
        </w:tc>
        <w:tc>
          <w:tcPr>
            <w:tcW w:w="0" w:type="auto"/>
            <w:shd w:val="clear" w:color="auto" w:fill="auto"/>
          </w:tcPr>
          <w:p w14:paraId="33DABFCC" w14:textId="77777777" w:rsidR="004D6A64" w:rsidRDefault="004D6A64">
            <w:pPr>
              <w:rPr>
                <w:rFonts w:ascii="宋体"/>
              </w:rPr>
            </w:pPr>
          </w:p>
        </w:tc>
        <w:tc>
          <w:tcPr>
            <w:tcW w:w="0" w:type="auto"/>
            <w:shd w:val="clear" w:color="auto" w:fill="auto"/>
          </w:tcPr>
          <w:p w14:paraId="33DABFCD" w14:textId="77777777" w:rsidR="004D6A64" w:rsidRDefault="004D6A64">
            <w:pPr>
              <w:rPr>
                <w:rFonts w:ascii="宋体"/>
              </w:rPr>
            </w:pPr>
          </w:p>
        </w:tc>
        <w:tc>
          <w:tcPr>
            <w:tcW w:w="0" w:type="auto"/>
            <w:shd w:val="clear" w:color="auto" w:fill="auto"/>
          </w:tcPr>
          <w:p w14:paraId="33DABFCE" w14:textId="77777777" w:rsidR="004D6A64" w:rsidRDefault="004D6A64">
            <w:pPr>
              <w:rPr>
                <w:rFonts w:ascii="宋体"/>
              </w:rPr>
            </w:pPr>
          </w:p>
        </w:tc>
        <w:tc>
          <w:tcPr>
            <w:tcW w:w="0" w:type="auto"/>
            <w:shd w:val="clear" w:color="auto" w:fill="auto"/>
          </w:tcPr>
          <w:p w14:paraId="33DABFCF" w14:textId="77777777" w:rsidR="004D6A64" w:rsidRDefault="004D6A64">
            <w:pPr>
              <w:rPr>
                <w:rFonts w:ascii="宋体"/>
              </w:rPr>
            </w:pPr>
          </w:p>
        </w:tc>
        <w:tc>
          <w:tcPr>
            <w:tcW w:w="0" w:type="auto"/>
            <w:shd w:val="clear" w:color="auto" w:fill="auto"/>
          </w:tcPr>
          <w:p w14:paraId="33DABFD0" w14:textId="77777777" w:rsidR="004D6A64" w:rsidRDefault="004D6A64">
            <w:pPr>
              <w:rPr>
                <w:rFonts w:ascii="宋体"/>
              </w:rPr>
            </w:pPr>
          </w:p>
        </w:tc>
        <w:tc>
          <w:tcPr>
            <w:tcW w:w="0" w:type="auto"/>
            <w:shd w:val="clear" w:color="auto" w:fill="auto"/>
          </w:tcPr>
          <w:p w14:paraId="33DABFD1" w14:textId="77777777" w:rsidR="004D6A64" w:rsidRDefault="004D6A64">
            <w:pPr>
              <w:rPr>
                <w:rFonts w:ascii="宋体"/>
              </w:rPr>
            </w:pPr>
          </w:p>
        </w:tc>
        <w:tc>
          <w:tcPr>
            <w:tcW w:w="0" w:type="auto"/>
            <w:shd w:val="clear" w:color="auto" w:fill="auto"/>
          </w:tcPr>
          <w:p w14:paraId="33DABFD2" w14:textId="77777777" w:rsidR="004D6A64" w:rsidRDefault="004D6A64">
            <w:pPr>
              <w:rPr>
                <w:rFonts w:ascii="宋体"/>
              </w:rPr>
            </w:pPr>
          </w:p>
        </w:tc>
      </w:tr>
      <w:tr w:rsidR="004D6A64" w14:paraId="33DABFDE" w14:textId="77777777">
        <w:trPr>
          <w:gridAfter w:val="3"/>
        </w:trPr>
        <w:tc>
          <w:tcPr>
            <w:tcW w:w="0" w:type="auto"/>
            <w:gridSpan w:val="3"/>
            <w:shd w:val="clear" w:color="auto" w:fill="auto"/>
            <w:tcMar>
              <w:top w:w="40" w:type="dxa"/>
              <w:left w:w="20" w:type="dxa"/>
              <w:bottom w:w="40" w:type="dxa"/>
              <w:right w:w="20" w:type="dxa"/>
            </w:tcMar>
            <w:vAlign w:val="center"/>
          </w:tcPr>
          <w:p w14:paraId="33DABFD4" w14:textId="77777777" w:rsidR="004D6A64" w:rsidRDefault="00506CD6">
            <w:pPr>
              <w:jc w:val="center"/>
              <w:textAlignment w:val="center"/>
            </w:pPr>
            <w:r>
              <w:rPr>
                <w:rFonts w:ascii="Times New Roman" w:eastAsia="宋体" w:hAnsi="Times New Roman"/>
                <w:color w:val="000000"/>
                <w:sz w:val="20"/>
                <w:szCs w:val="20"/>
              </w:rPr>
              <w:t> </w:t>
            </w:r>
          </w:p>
        </w:tc>
        <w:tc>
          <w:tcPr>
            <w:tcW w:w="0" w:type="auto"/>
            <w:gridSpan w:val="27"/>
            <w:tcBorders>
              <w:top w:val="single" w:sz="8" w:space="0" w:color="000000"/>
            </w:tcBorders>
            <w:shd w:val="clear" w:color="auto" w:fill="auto"/>
            <w:tcMar>
              <w:top w:w="40" w:type="dxa"/>
              <w:left w:w="20" w:type="dxa"/>
              <w:bottom w:w="40" w:type="dxa"/>
              <w:right w:w="20" w:type="dxa"/>
            </w:tcMar>
            <w:vAlign w:val="center"/>
          </w:tcPr>
          <w:p w14:paraId="33DABFD5" w14:textId="77777777" w:rsidR="004D6A64" w:rsidRDefault="00506CD6">
            <w:pPr>
              <w:jc w:val="center"/>
              <w:textAlignment w:val="center"/>
            </w:pPr>
            <w:r>
              <w:rPr>
                <w:rFonts w:ascii="Times New Roman" w:eastAsia="宋体" w:hAnsi="Times New Roman"/>
                <w:color w:val="000000"/>
                <w:sz w:val="20"/>
                <w:szCs w:val="20"/>
              </w:rPr>
              <w:t>(in millions)</w:t>
            </w:r>
          </w:p>
        </w:tc>
        <w:tc>
          <w:tcPr>
            <w:tcW w:w="0" w:type="auto"/>
            <w:gridSpan w:val="3"/>
            <w:shd w:val="clear" w:color="auto" w:fill="auto"/>
          </w:tcPr>
          <w:p w14:paraId="33DABFD6" w14:textId="77777777" w:rsidR="004D6A64" w:rsidRDefault="004D6A64">
            <w:pPr>
              <w:rPr>
                <w:rFonts w:ascii="宋体"/>
                <w:vanish/>
              </w:rPr>
            </w:pPr>
          </w:p>
        </w:tc>
        <w:tc>
          <w:tcPr>
            <w:tcW w:w="0" w:type="auto"/>
            <w:gridSpan w:val="3"/>
            <w:shd w:val="clear" w:color="auto" w:fill="auto"/>
          </w:tcPr>
          <w:p w14:paraId="33DABFD7" w14:textId="77777777" w:rsidR="004D6A64" w:rsidRDefault="004D6A64">
            <w:pPr>
              <w:rPr>
                <w:rFonts w:ascii="宋体"/>
                <w:vanish/>
              </w:rPr>
            </w:pPr>
          </w:p>
        </w:tc>
        <w:tc>
          <w:tcPr>
            <w:tcW w:w="0" w:type="auto"/>
            <w:gridSpan w:val="3"/>
            <w:shd w:val="clear" w:color="auto" w:fill="auto"/>
          </w:tcPr>
          <w:p w14:paraId="33DABFD8" w14:textId="77777777" w:rsidR="004D6A64" w:rsidRDefault="004D6A64">
            <w:pPr>
              <w:rPr>
                <w:rFonts w:ascii="宋体"/>
                <w:vanish/>
              </w:rPr>
            </w:pPr>
          </w:p>
        </w:tc>
        <w:tc>
          <w:tcPr>
            <w:tcW w:w="0" w:type="auto"/>
            <w:gridSpan w:val="3"/>
            <w:shd w:val="clear" w:color="auto" w:fill="auto"/>
          </w:tcPr>
          <w:p w14:paraId="33DABFD9" w14:textId="77777777" w:rsidR="004D6A64" w:rsidRDefault="004D6A64">
            <w:pPr>
              <w:rPr>
                <w:rFonts w:ascii="宋体"/>
                <w:vanish/>
              </w:rPr>
            </w:pPr>
          </w:p>
        </w:tc>
        <w:tc>
          <w:tcPr>
            <w:tcW w:w="0" w:type="auto"/>
            <w:gridSpan w:val="3"/>
            <w:shd w:val="clear" w:color="auto" w:fill="auto"/>
          </w:tcPr>
          <w:p w14:paraId="33DABFDA" w14:textId="77777777" w:rsidR="004D6A64" w:rsidRDefault="004D6A64">
            <w:pPr>
              <w:rPr>
                <w:rFonts w:ascii="宋体"/>
                <w:vanish/>
              </w:rPr>
            </w:pPr>
          </w:p>
        </w:tc>
        <w:tc>
          <w:tcPr>
            <w:tcW w:w="0" w:type="auto"/>
            <w:gridSpan w:val="3"/>
            <w:shd w:val="clear" w:color="auto" w:fill="auto"/>
          </w:tcPr>
          <w:p w14:paraId="33DABFDB" w14:textId="77777777" w:rsidR="004D6A64" w:rsidRDefault="004D6A64">
            <w:pPr>
              <w:rPr>
                <w:rFonts w:ascii="宋体"/>
                <w:vanish/>
              </w:rPr>
            </w:pPr>
          </w:p>
        </w:tc>
        <w:tc>
          <w:tcPr>
            <w:tcW w:w="0" w:type="auto"/>
            <w:gridSpan w:val="3"/>
            <w:shd w:val="clear" w:color="auto" w:fill="auto"/>
          </w:tcPr>
          <w:p w14:paraId="33DABFDC" w14:textId="77777777" w:rsidR="004D6A64" w:rsidRDefault="004D6A64">
            <w:pPr>
              <w:rPr>
                <w:rFonts w:ascii="宋体"/>
                <w:vanish/>
              </w:rPr>
            </w:pPr>
          </w:p>
        </w:tc>
        <w:tc>
          <w:tcPr>
            <w:tcW w:w="0" w:type="auto"/>
            <w:gridSpan w:val="3"/>
            <w:shd w:val="clear" w:color="auto" w:fill="auto"/>
          </w:tcPr>
          <w:p w14:paraId="33DABFDD" w14:textId="77777777" w:rsidR="004D6A64" w:rsidRDefault="004D6A64">
            <w:pPr>
              <w:rPr>
                <w:rFonts w:ascii="宋体"/>
                <w:vanish/>
              </w:rPr>
            </w:pPr>
          </w:p>
        </w:tc>
      </w:tr>
      <w:tr w:rsidR="004D6A64" w14:paraId="33DAC001" w14:textId="77777777">
        <w:trPr>
          <w:gridAfter w:val="3"/>
        </w:trPr>
        <w:tc>
          <w:tcPr>
            <w:tcW w:w="0" w:type="auto"/>
            <w:gridSpan w:val="3"/>
            <w:shd w:val="clear" w:color="auto" w:fill="CCEEFF"/>
            <w:tcMar>
              <w:top w:w="40" w:type="dxa"/>
              <w:left w:w="20" w:type="dxa"/>
              <w:bottom w:w="40" w:type="dxa"/>
              <w:right w:w="20" w:type="dxa"/>
            </w:tcMar>
            <w:vAlign w:val="center"/>
          </w:tcPr>
          <w:p w14:paraId="33DABFDF" w14:textId="77777777" w:rsidR="004D6A64" w:rsidRDefault="00506CD6">
            <w:pPr>
              <w:textAlignment w:val="center"/>
            </w:pPr>
            <w:r>
              <w:rPr>
                <w:rFonts w:ascii="Times New Roman" w:eastAsia="宋体" w:hAnsi="Times New Roman"/>
                <w:i/>
                <w:iCs/>
                <w:color w:val="000000"/>
                <w:sz w:val="20"/>
                <w:szCs w:val="20"/>
              </w:rPr>
              <w:t>Derivatives designated as hedging instruments:</w:t>
            </w:r>
          </w:p>
        </w:tc>
        <w:tc>
          <w:tcPr>
            <w:tcW w:w="0" w:type="auto"/>
            <w:gridSpan w:val="3"/>
            <w:shd w:val="clear" w:color="auto" w:fill="CCEEFF"/>
            <w:tcMar>
              <w:left w:w="20" w:type="dxa"/>
              <w:right w:w="20" w:type="dxa"/>
            </w:tcMar>
            <w:vAlign w:val="bottom"/>
          </w:tcPr>
          <w:p w14:paraId="33DABFE0"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FE1"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FE2"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FE3"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FE4"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FE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FE6"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FE7"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BFE8" w14:textId="77777777" w:rsidR="004D6A64" w:rsidRDefault="004D6A64">
            <w:pPr>
              <w:rPr>
                <w:rFonts w:ascii="宋体"/>
              </w:rPr>
            </w:pPr>
          </w:p>
        </w:tc>
        <w:tc>
          <w:tcPr>
            <w:tcW w:w="0" w:type="auto"/>
            <w:shd w:val="clear" w:color="auto" w:fill="auto"/>
          </w:tcPr>
          <w:p w14:paraId="33DABFE9" w14:textId="77777777" w:rsidR="004D6A64" w:rsidRDefault="004D6A64">
            <w:pPr>
              <w:rPr>
                <w:rFonts w:ascii="宋体"/>
              </w:rPr>
            </w:pPr>
          </w:p>
        </w:tc>
        <w:tc>
          <w:tcPr>
            <w:tcW w:w="0" w:type="auto"/>
            <w:shd w:val="clear" w:color="auto" w:fill="auto"/>
          </w:tcPr>
          <w:p w14:paraId="33DABFEA" w14:textId="77777777" w:rsidR="004D6A64" w:rsidRDefault="004D6A64">
            <w:pPr>
              <w:rPr>
                <w:rFonts w:ascii="宋体"/>
              </w:rPr>
            </w:pPr>
          </w:p>
        </w:tc>
        <w:tc>
          <w:tcPr>
            <w:tcW w:w="0" w:type="auto"/>
            <w:shd w:val="clear" w:color="auto" w:fill="auto"/>
          </w:tcPr>
          <w:p w14:paraId="33DABFEB" w14:textId="77777777" w:rsidR="004D6A64" w:rsidRDefault="004D6A64">
            <w:pPr>
              <w:rPr>
                <w:rFonts w:ascii="宋体"/>
              </w:rPr>
            </w:pPr>
          </w:p>
        </w:tc>
        <w:tc>
          <w:tcPr>
            <w:tcW w:w="0" w:type="auto"/>
            <w:shd w:val="clear" w:color="auto" w:fill="auto"/>
          </w:tcPr>
          <w:p w14:paraId="33DABFEC" w14:textId="77777777" w:rsidR="004D6A64" w:rsidRDefault="004D6A64">
            <w:pPr>
              <w:rPr>
                <w:rFonts w:ascii="宋体"/>
              </w:rPr>
            </w:pPr>
          </w:p>
        </w:tc>
        <w:tc>
          <w:tcPr>
            <w:tcW w:w="0" w:type="auto"/>
            <w:shd w:val="clear" w:color="auto" w:fill="auto"/>
          </w:tcPr>
          <w:p w14:paraId="33DABFED" w14:textId="77777777" w:rsidR="004D6A64" w:rsidRDefault="004D6A64">
            <w:pPr>
              <w:rPr>
                <w:rFonts w:ascii="宋体"/>
              </w:rPr>
            </w:pPr>
          </w:p>
        </w:tc>
        <w:tc>
          <w:tcPr>
            <w:tcW w:w="0" w:type="auto"/>
            <w:shd w:val="clear" w:color="auto" w:fill="auto"/>
          </w:tcPr>
          <w:p w14:paraId="33DABFEE" w14:textId="77777777" w:rsidR="004D6A64" w:rsidRDefault="004D6A64">
            <w:pPr>
              <w:rPr>
                <w:rFonts w:ascii="宋体"/>
              </w:rPr>
            </w:pPr>
          </w:p>
        </w:tc>
        <w:tc>
          <w:tcPr>
            <w:tcW w:w="0" w:type="auto"/>
            <w:shd w:val="clear" w:color="auto" w:fill="auto"/>
          </w:tcPr>
          <w:p w14:paraId="33DABFEF" w14:textId="77777777" w:rsidR="004D6A64" w:rsidRDefault="004D6A64">
            <w:pPr>
              <w:rPr>
                <w:rFonts w:ascii="宋体"/>
              </w:rPr>
            </w:pPr>
          </w:p>
        </w:tc>
        <w:tc>
          <w:tcPr>
            <w:tcW w:w="0" w:type="auto"/>
            <w:shd w:val="clear" w:color="auto" w:fill="auto"/>
          </w:tcPr>
          <w:p w14:paraId="33DABFF0" w14:textId="77777777" w:rsidR="004D6A64" w:rsidRDefault="004D6A64">
            <w:pPr>
              <w:rPr>
                <w:rFonts w:ascii="宋体"/>
              </w:rPr>
            </w:pPr>
          </w:p>
        </w:tc>
        <w:tc>
          <w:tcPr>
            <w:tcW w:w="0" w:type="auto"/>
            <w:shd w:val="clear" w:color="auto" w:fill="auto"/>
          </w:tcPr>
          <w:p w14:paraId="33DABFF1" w14:textId="77777777" w:rsidR="004D6A64" w:rsidRDefault="004D6A64">
            <w:pPr>
              <w:rPr>
                <w:rFonts w:ascii="宋体"/>
              </w:rPr>
            </w:pPr>
          </w:p>
        </w:tc>
        <w:tc>
          <w:tcPr>
            <w:tcW w:w="0" w:type="auto"/>
            <w:shd w:val="clear" w:color="auto" w:fill="auto"/>
          </w:tcPr>
          <w:p w14:paraId="33DABFF2" w14:textId="77777777" w:rsidR="004D6A64" w:rsidRDefault="004D6A64">
            <w:pPr>
              <w:rPr>
                <w:rFonts w:ascii="宋体"/>
              </w:rPr>
            </w:pPr>
          </w:p>
        </w:tc>
        <w:tc>
          <w:tcPr>
            <w:tcW w:w="0" w:type="auto"/>
            <w:shd w:val="clear" w:color="auto" w:fill="auto"/>
          </w:tcPr>
          <w:p w14:paraId="33DABFF3" w14:textId="77777777" w:rsidR="004D6A64" w:rsidRDefault="004D6A64">
            <w:pPr>
              <w:rPr>
                <w:rFonts w:ascii="宋体"/>
              </w:rPr>
            </w:pPr>
          </w:p>
        </w:tc>
        <w:tc>
          <w:tcPr>
            <w:tcW w:w="0" w:type="auto"/>
            <w:shd w:val="clear" w:color="auto" w:fill="auto"/>
          </w:tcPr>
          <w:p w14:paraId="33DABFF4" w14:textId="77777777" w:rsidR="004D6A64" w:rsidRDefault="004D6A64">
            <w:pPr>
              <w:rPr>
                <w:rFonts w:ascii="宋体"/>
              </w:rPr>
            </w:pPr>
          </w:p>
        </w:tc>
        <w:tc>
          <w:tcPr>
            <w:tcW w:w="0" w:type="auto"/>
            <w:shd w:val="clear" w:color="auto" w:fill="auto"/>
          </w:tcPr>
          <w:p w14:paraId="33DABFF5" w14:textId="77777777" w:rsidR="004D6A64" w:rsidRDefault="004D6A64">
            <w:pPr>
              <w:rPr>
                <w:rFonts w:ascii="宋体"/>
              </w:rPr>
            </w:pPr>
          </w:p>
        </w:tc>
        <w:tc>
          <w:tcPr>
            <w:tcW w:w="0" w:type="auto"/>
            <w:shd w:val="clear" w:color="auto" w:fill="auto"/>
          </w:tcPr>
          <w:p w14:paraId="33DABFF6" w14:textId="77777777" w:rsidR="004D6A64" w:rsidRDefault="004D6A64">
            <w:pPr>
              <w:rPr>
                <w:rFonts w:ascii="宋体"/>
              </w:rPr>
            </w:pPr>
          </w:p>
        </w:tc>
        <w:tc>
          <w:tcPr>
            <w:tcW w:w="0" w:type="auto"/>
            <w:shd w:val="clear" w:color="auto" w:fill="auto"/>
          </w:tcPr>
          <w:p w14:paraId="33DABFF7" w14:textId="77777777" w:rsidR="004D6A64" w:rsidRDefault="004D6A64">
            <w:pPr>
              <w:rPr>
                <w:rFonts w:ascii="宋体"/>
              </w:rPr>
            </w:pPr>
          </w:p>
        </w:tc>
        <w:tc>
          <w:tcPr>
            <w:tcW w:w="0" w:type="auto"/>
            <w:shd w:val="clear" w:color="auto" w:fill="auto"/>
          </w:tcPr>
          <w:p w14:paraId="33DABFF8" w14:textId="77777777" w:rsidR="004D6A64" w:rsidRDefault="004D6A64">
            <w:pPr>
              <w:rPr>
                <w:rFonts w:ascii="宋体"/>
              </w:rPr>
            </w:pPr>
          </w:p>
        </w:tc>
        <w:tc>
          <w:tcPr>
            <w:tcW w:w="0" w:type="auto"/>
            <w:shd w:val="clear" w:color="auto" w:fill="auto"/>
          </w:tcPr>
          <w:p w14:paraId="33DABFF9" w14:textId="77777777" w:rsidR="004D6A64" w:rsidRDefault="004D6A64">
            <w:pPr>
              <w:rPr>
                <w:rFonts w:ascii="宋体"/>
              </w:rPr>
            </w:pPr>
          </w:p>
        </w:tc>
        <w:tc>
          <w:tcPr>
            <w:tcW w:w="0" w:type="auto"/>
            <w:shd w:val="clear" w:color="auto" w:fill="auto"/>
          </w:tcPr>
          <w:p w14:paraId="33DABFFA" w14:textId="77777777" w:rsidR="004D6A64" w:rsidRDefault="004D6A64">
            <w:pPr>
              <w:rPr>
                <w:rFonts w:ascii="宋体"/>
              </w:rPr>
            </w:pPr>
          </w:p>
        </w:tc>
        <w:tc>
          <w:tcPr>
            <w:tcW w:w="0" w:type="auto"/>
            <w:shd w:val="clear" w:color="auto" w:fill="auto"/>
          </w:tcPr>
          <w:p w14:paraId="33DABFFB" w14:textId="77777777" w:rsidR="004D6A64" w:rsidRDefault="004D6A64">
            <w:pPr>
              <w:rPr>
                <w:rFonts w:ascii="宋体"/>
              </w:rPr>
            </w:pPr>
          </w:p>
        </w:tc>
        <w:tc>
          <w:tcPr>
            <w:tcW w:w="0" w:type="auto"/>
            <w:shd w:val="clear" w:color="auto" w:fill="auto"/>
          </w:tcPr>
          <w:p w14:paraId="33DABFFC" w14:textId="77777777" w:rsidR="004D6A64" w:rsidRDefault="004D6A64">
            <w:pPr>
              <w:rPr>
                <w:rFonts w:ascii="宋体"/>
              </w:rPr>
            </w:pPr>
          </w:p>
        </w:tc>
        <w:tc>
          <w:tcPr>
            <w:tcW w:w="0" w:type="auto"/>
            <w:shd w:val="clear" w:color="auto" w:fill="auto"/>
          </w:tcPr>
          <w:p w14:paraId="33DABFFD" w14:textId="77777777" w:rsidR="004D6A64" w:rsidRDefault="004D6A64">
            <w:pPr>
              <w:rPr>
                <w:rFonts w:ascii="宋体"/>
              </w:rPr>
            </w:pPr>
          </w:p>
        </w:tc>
        <w:tc>
          <w:tcPr>
            <w:tcW w:w="0" w:type="auto"/>
            <w:shd w:val="clear" w:color="auto" w:fill="auto"/>
          </w:tcPr>
          <w:p w14:paraId="33DABFFE" w14:textId="77777777" w:rsidR="004D6A64" w:rsidRDefault="004D6A64">
            <w:pPr>
              <w:rPr>
                <w:rFonts w:ascii="宋体"/>
              </w:rPr>
            </w:pPr>
          </w:p>
        </w:tc>
        <w:tc>
          <w:tcPr>
            <w:tcW w:w="0" w:type="auto"/>
            <w:shd w:val="clear" w:color="auto" w:fill="auto"/>
          </w:tcPr>
          <w:p w14:paraId="33DABFFF" w14:textId="77777777" w:rsidR="004D6A64" w:rsidRDefault="004D6A64">
            <w:pPr>
              <w:rPr>
                <w:rFonts w:ascii="宋体"/>
              </w:rPr>
            </w:pPr>
          </w:p>
        </w:tc>
        <w:tc>
          <w:tcPr>
            <w:tcW w:w="0" w:type="auto"/>
            <w:shd w:val="clear" w:color="auto" w:fill="auto"/>
          </w:tcPr>
          <w:p w14:paraId="33DAC000" w14:textId="77777777" w:rsidR="004D6A64" w:rsidRDefault="004D6A64">
            <w:pPr>
              <w:rPr>
                <w:rFonts w:ascii="宋体"/>
              </w:rPr>
            </w:pPr>
          </w:p>
        </w:tc>
      </w:tr>
      <w:tr w:rsidR="004D6A64" w14:paraId="33DAC02E" w14:textId="77777777">
        <w:trPr>
          <w:gridAfter w:val="3"/>
        </w:trPr>
        <w:tc>
          <w:tcPr>
            <w:tcW w:w="0" w:type="auto"/>
            <w:gridSpan w:val="3"/>
            <w:shd w:val="clear" w:color="auto" w:fill="FFFFFF"/>
            <w:tcMar>
              <w:top w:w="40" w:type="dxa"/>
              <w:left w:w="20" w:type="dxa"/>
              <w:bottom w:w="40" w:type="dxa"/>
              <w:right w:w="20" w:type="dxa"/>
            </w:tcMar>
            <w:vAlign w:val="center"/>
          </w:tcPr>
          <w:p w14:paraId="33DAC002" w14:textId="77777777" w:rsidR="004D6A64" w:rsidRDefault="00506CD6">
            <w:pPr>
              <w:textAlignment w:val="center"/>
            </w:pPr>
            <w:r>
              <w:rPr>
                <w:rFonts w:ascii="Times New Roman" w:eastAsia="宋体" w:hAnsi="Times New Roman"/>
                <w:color w:val="000000"/>
                <w:sz w:val="20"/>
                <w:szCs w:val="20"/>
              </w:rPr>
              <w:t>Foreign exchange contracts in an asset position</w:t>
            </w:r>
          </w:p>
        </w:tc>
        <w:tc>
          <w:tcPr>
            <w:tcW w:w="0" w:type="auto"/>
            <w:shd w:val="clear" w:color="auto" w:fill="FFFFFF"/>
            <w:tcMar>
              <w:top w:w="40" w:type="dxa"/>
              <w:left w:w="20" w:type="dxa"/>
              <w:bottom w:w="40" w:type="dxa"/>
            </w:tcMar>
            <w:vAlign w:val="center"/>
          </w:tcPr>
          <w:p w14:paraId="33DAC003"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C004" w14:textId="77777777" w:rsidR="004D6A64" w:rsidRDefault="00506CD6">
            <w:pPr>
              <w:jc w:val="right"/>
              <w:textAlignment w:val="center"/>
            </w:pPr>
            <w:r>
              <w:rPr>
                <w:rFonts w:ascii="Times New Roman" w:eastAsia="宋体" w:hAnsi="Times New Roman"/>
                <w:color w:val="000000"/>
                <w:sz w:val="20"/>
                <w:szCs w:val="20"/>
              </w:rPr>
              <w:t>108 </w:t>
            </w:r>
          </w:p>
        </w:tc>
        <w:tc>
          <w:tcPr>
            <w:tcW w:w="0" w:type="auto"/>
            <w:shd w:val="clear" w:color="auto" w:fill="FFFFFF"/>
            <w:tcMar>
              <w:top w:w="40" w:type="dxa"/>
              <w:bottom w:w="40" w:type="dxa"/>
              <w:right w:w="20" w:type="dxa"/>
            </w:tcMar>
            <w:vAlign w:val="center"/>
          </w:tcPr>
          <w:p w14:paraId="33DAC00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006"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C007"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C008"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C00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00A"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C00B"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C00C" w14:textId="77777777" w:rsidR="004D6A64" w:rsidRDefault="00506CD6">
            <w:pPr>
              <w:jc w:val="right"/>
              <w:textAlignment w:val="center"/>
            </w:pPr>
            <w:r>
              <w:rPr>
                <w:rFonts w:ascii="Times New Roman" w:eastAsia="宋体" w:hAnsi="Times New Roman"/>
                <w:color w:val="000000"/>
                <w:sz w:val="20"/>
                <w:szCs w:val="20"/>
              </w:rPr>
              <w:t>15 </w:t>
            </w:r>
          </w:p>
        </w:tc>
        <w:tc>
          <w:tcPr>
            <w:tcW w:w="0" w:type="auto"/>
            <w:shd w:val="clear" w:color="auto" w:fill="FFFFFF"/>
            <w:tcMar>
              <w:top w:w="40" w:type="dxa"/>
              <w:bottom w:w="40" w:type="dxa"/>
              <w:right w:w="20" w:type="dxa"/>
            </w:tcMar>
            <w:vAlign w:val="center"/>
          </w:tcPr>
          <w:p w14:paraId="33DAC00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00E"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C00F"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C010"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C01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012"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C013"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C014" w14:textId="77777777" w:rsidR="004D6A64" w:rsidRDefault="00506CD6">
            <w:pPr>
              <w:jc w:val="right"/>
              <w:textAlignment w:val="center"/>
            </w:pPr>
            <w:r>
              <w:rPr>
                <w:rFonts w:ascii="Times New Roman" w:eastAsia="宋体" w:hAnsi="Times New Roman"/>
                <w:color w:val="000000"/>
                <w:sz w:val="20"/>
                <w:szCs w:val="20"/>
              </w:rPr>
              <w:t>123 </w:t>
            </w:r>
          </w:p>
        </w:tc>
        <w:tc>
          <w:tcPr>
            <w:tcW w:w="0" w:type="auto"/>
            <w:shd w:val="clear" w:color="auto" w:fill="FFFFFF"/>
            <w:tcMar>
              <w:top w:w="40" w:type="dxa"/>
              <w:bottom w:w="40" w:type="dxa"/>
              <w:right w:w="20" w:type="dxa"/>
            </w:tcMar>
            <w:vAlign w:val="center"/>
          </w:tcPr>
          <w:p w14:paraId="33DAC015" w14:textId="77777777" w:rsidR="004D6A64" w:rsidRDefault="004D6A64">
            <w:pPr>
              <w:jc w:val="right"/>
              <w:rPr>
                <w:rFonts w:ascii="宋体"/>
              </w:rPr>
            </w:pPr>
          </w:p>
        </w:tc>
        <w:tc>
          <w:tcPr>
            <w:tcW w:w="0" w:type="auto"/>
            <w:shd w:val="clear" w:color="auto" w:fill="auto"/>
          </w:tcPr>
          <w:p w14:paraId="33DAC016" w14:textId="77777777" w:rsidR="004D6A64" w:rsidRDefault="004D6A64">
            <w:pPr>
              <w:rPr>
                <w:rFonts w:ascii="宋体"/>
              </w:rPr>
            </w:pPr>
          </w:p>
        </w:tc>
        <w:tc>
          <w:tcPr>
            <w:tcW w:w="0" w:type="auto"/>
            <w:shd w:val="clear" w:color="auto" w:fill="auto"/>
          </w:tcPr>
          <w:p w14:paraId="33DAC017" w14:textId="77777777" w:rsidR="004D6A64" w:rsidRDefault="004D6A64">
            <w:pPr>
              <w:rPr>
                <w:rFonts w:ascii="宋体"/>
              </w:rPr>
            </w:pPr>
          </w:p>
        </w:tc>
        <w:tc>
          <w:tcPr>
            <w:tcW w:w="0" w:type="auto"/>
            <w:shd w:val="clear" w:color="auto" w:fill="auto"/>
          </w:tcPr>
          <w:p w14:paraId="33DAC018" w14:textId="77777777" w:rsidR="004D6A64" w:rsidRDefault="004D6A64">
            <w:pPr>
              <w:rPr>
                <w:rFonts w:ascii="宋体"/>
              </w:rPr>
            </w:pPr>
          </w:p>
        </w:tc>
        <w:tc>
          <w:tcPr>
            <w:tcW w:w="0" w:type="auto"/>
            <w:shd w:val="clear" w:color="auto" w:fill="auto"/>
          </w:tcPr>
          <w:p w14:paraId="33DAC019" w14:textId="77777777" w:rsidR="004D6A64" w:rsidRDefault="004D6A64">
            <w:pPr>
              <w:rPr>
                <w:rFonts w:ascii="宋体"/>
              </w:rPr>
            </w:pPr>
          </w:p>
        </w:tc>
        <w:tc>
          <w:tcPr>
            <w:tcW w:w="0" w:type="auto"/>
            <w:shd w:val="clear" w:color="auto" w:fill="auto"/>
          </w:tcPr>
          <w:p w14:paraId="33DAC01A" w14:textId="77777777" w:rsidR="004D6A64" w:rsidRDefault="004D6A64">
            <w:pPr>
              <w:rPr>
                <w:rFonts w:ascii="宋体"/>
              </w:rPr>
            </w:pPr>
          </w:p>
        </w:tc>
        <w:tc>
          <w:tcPr>
            <w:tcW w:w="0" w:type="auto"/>
            <w:shd w:val="clear" w:color="auto" w:fill="auto"/>
          </w:tcPr>
          <w:p w14:paraId="33DAC01B" w14:textId="77777777" w:rsidR="004D6A64" w:rsidRDefault="004D6A64">
            <w:pPr>
              <w:rPr>
                <w:rFonts w:ascii="宋体"/>
              </w:rPr>
            </w:pPr>
          </w:p>
        </w:tc>
        <w:tc>
          <w:tcPr>
            <w:tcW w:w="0" w:type="auto"/>
            <w:shd w:val="clear" w:color="auto" w:fill="auto"/>
          </w:tcPr>
          <w:p w14:paraId="33DAC01C" w14:textId="77777777" w:rsidR="004D6A64" w:rsidRDefault="004D6A64">
            <w:pPr>
              <w:rPr>
                <w:rFonts w:ascii="宋体"/>
              </w:rPr>
            </w:pPr>
          </w:p>
        </w:tc>
        <w:tc>
          <w:tcPr>
            <w:tcW w:w="0" w:type="auto"/>
            <w:shd w:val="clear" w:color="auto" w:fill="auto"/>
          </w:tcPr>
          <w:p w14:paraId="33DAC01D" w14:textId="77777777" w:rsidR="004D6A64" w:rsidRDefault="004D6A64">
            <w:pPr>
              <w:rPr>
                <w:rFonts w:ascii="宋体"/>
              </w:rPr>
            </w:pPr>
          </w:p>
        </w:tc>
        <w:tc>
          <w:tcPr>
            <w:tcW w:w="0" w:type="auto"/>
            <w:shd w:val="clear" w:color="auto" w:fill="auto"/>
          </w:tcPr>
          <w:p w14:paraId="33DAC01E" w14:textId="77777777" w:rsidR="004D6A64" w:rsidRDefault="004D6A64">
            <w:pPr>
              <w:rPr>
                <w:rFonts w:ascii="宋体"/>
              </w:rPr>
            </w:pPr>
          </w:p>
        </w:tc>
        <w:tc>
          <w:tcPr>
            <w:tcW w:w="0" w:type="auto"/>
            <w:shd w:val="clear" w:color="auto" w:fill="auto"/>
          </w:tcPr>
          <w:p w14:paraId="33DAC01F" w14:textId="77777777" w:rsidR="004D6A64" w:rsidRDefault="004D6A64">
            <w:pPr>
              <w:rPr>
                <w:rFonts w:ascii="宋体"/>
              </w:rPr>
            </w:pPr>
          </w:p>
        </w:tc>
        <w:tc>
          <w:tcPr>
            <w:tcW w:w="0" w:type="auto"/>
            <w:shd w:val="clear" w:color="auto" w:fill="auto"/>
          </w:tcPr>
          <w:p w14:paraId="33DAC020" w14:textId="77777777" w:rsidR="004D6A64" w:rsidRDefault="004D6A64">
            <w:pPr>
              <w:rPr>
                <w:rFonts w:ascii="宋体"/>
              </w:rPr>
            </w:pPr>
          </w:p>
        </w:tc>
        <w:tc>
          <w:tcPr>
            <w:tcW w:w="0" w:type="auto"/>
            <w:shd w:val="clear" w:color="auto" w:fill="auto"/>
          </w:tcPr>
          <w:p w14:paraId="33DAC021" w14:textId="77777777" w:rsidR="004D6A64" w:rsidRDefault="004D6A64">
            <w:pPr>
              <w:rPr>
                <w:rFonts w:ascii="宋体"/>
              </w:rPr>
            </w:pPr>
          </w:p>
        </w:tc>
        <w:tc>
          <w:tcPr>
            <w:tcW w:w="0" w:type="auto"/>
            <w:shd w:val="clear" w:color="auto" w:fill="auto"/>
          </w:tcPr>
          <w:p w14:paraId="33DAC022" w14:textId="77777777" w:rsidR="004D6A64" w:rsidRDefault="004D6A64">
            <w:pPr>
              <w:rPr>
                <w:rFonts w:ascii="宋体"/>
              </w:rPr>
            </w:pPr>
          </w:p>
        </w:tc>
        <w:tc>
          <w:tcPr>
            <w:tcW w:w="0" w:type="auto"/>
            <w:shd w:val="clear" w:color="auto" w:fill="auto"/>
          </w:tcPr>
          <w:p w14:paraId="33DAC023" w14:textId="77777777" w:rsidR="004D6A64" w:rsidRDefault="004D6A64">
            <w:pPr>
              <w:rPr>
                <w:rFonts w:ascii="宋体"/>
              </w:rPr>
            </w:pPr>
          </w:p>
        </w:tc>
        <w:tc>
          <w:tcPr>
            <w:tcW w:w="0" w:type="auto"/>
            <w:shd w:val="clear" w:color="auto" w:fill="auto"/>
          </w:tcPr>
          <w:p w14:paraId="33DAC024" w14:textId="77777777" w:rsidR="004D6A64" w:rsidRDefault="004D6A64">
            <w:pPr>
              <w:rPr>
                <w:rFonts w:ascii="宋体"/>
              </w:rPr>
            </w:pPr>
          </w:p>
        </w:tc>
        <w:tc>
          <w:tcPr>
            <w:tcW w:w="0" w:type="auto"/>
            <w:shd w:val="clear" w:color="auto" w:fill="auto"/>
          </w:tcPr>
          <w:p w14:paraId="33DAC025" w14:textId="77777777" w:rsidR="004D6A64" w:rsidRDefault="004D6A64">
            <w:pPr>
              <w:rPr>
                <w:rFonts w:ascii="宋体"/>
              </w:rPr>
            </w:pPr>
          </w:p>
        </w:tc>
        <w:tc>
          <w:tcPr>
            <w:tcW w:w="0" w:type="auto"/>
            <w:shd w:val="clear" w:color="auto" w:fill="auto"/>
          </w:tcPr>
          <w:p w14:paraId="33DAC026" w14:textId="77777777" w:rsidR="004D6A64" w:rsidRDefault="004D6A64">
            <w:pPr>
              <w:rPr>
                <w:rFonts w:ascii="宋体"/>
              </w:rPr>
            </w:pPr>
          </w:p>
        </w:tc>
        <w:tc>
          <w:tcPr>
            <w:tcW w:w="0" w:type="auto"/>
            <w:shd w:val="clear" w:color="auto" w:fill="auto"/>
          </w:tcPr>
          <w:p w14:paraId="33DAC027" w14:textId="77777777" w:rsidR="004D6A64" w:rsidRDefault="004D6A64">
            <w:pPr>
              <w:rPr>
                <w:rFonts w:ascii="宋体"/>
              </w:rPr>
            </w:pPr>
          </w:p>
        </w:tc>
        <w:tc>
          <w:tcPr>
            <w:tcW w:w="0" w:type="auto"/>
            <w:shd w:val="clear" w:color="auto" w:fill="auto"/>
          </w:tcPr>
          <w:p w14:paraId="33DAC028" w14:textId="77777777" w:rsidR="004D6A64" w:rsidRDefault="004D6A64">
            <w:pPr>
              <w:rPr>
                <w:rFonts w:ascii="宋体"/>
              </w:rPr>
            </w:pPr>
          </w:p>
        </w:tc>
        <w:tc>
          <w:tcPr>
            <w:tcW w:w="0" w:type="auto"/>
            <w:shd w:val="clear" w:color="auto" w:fill="auto"/>
          </w:tcPr>
          <w:p w14:paraId="33DAC029" w14:textId="77777777" w:rsidR="004D6A64" w:rsidRDefault="004D6A64">
            <w:pPr>
              <w:rPr>
                <w:rFonts w:ascii="宋体"/>
              </w:rPr>
            </w:pPr>
          </w:p>
        </w:tc>
        <w:tc>
          <w:tcPr>
            <w:tcW w:w="0" w:type="auto"/>
            <w:shd w:val="clear" w:color="auto" w:fill="auto"/>
          </w:tcPr>
          <w:p w14:paraId="33DAC02A" w14:textId="77777777" w:rsidR="004D6A64" w:rsidRDefault="004D6A64">
            <w:pPr>
              <w:rPr>
                <w:rFonts w:ascii="宋体"/>
              </w:rPr>
            </w:pPr>
          </w:p>
        </w:tc>
        <w:tc>
          <w:tcPr>
            <w:tcW w:w="0" w:type="auto"/>
            <w:shd w:val="clear" w:color="auto" w:fill="auto"/>
          </w:tcPr>
          <w:p w14:paraId="33DAC02B" w14:textId="77777777" w:rsidR="004D6A64" w:rsidRDefault="004D6A64">
            <w:pPr>
              <w:rPr>
                <w:rFonts w:ascii="宋体"/>
              </w:rPr>
            </w:pPr>
          </w:p>
        </w:tc>
        <w:tc>
          <w:tcPr>
            <w:tcW w:w="0" w:type="auto"/>
            <w:shd w:val="clear" w:color="auto" w:fill="auto"/>
          </w:tcPr>
          <w:p w14:paraId="33DAC02C" w14:textId="77777777" w:rsidR="004D6A64" w:rsidRDefault="004D6A64">
            <w:pPr>
              <w:rPr>
                <w:rFonts w:ascii="宋体"/>
              </w:rPr>
            </w:pPr>
          </w:p>
        </w:tc>
        <w:tc>
          <w:tcPr>
            <w:tcW w:w="0" w:type="auto"/>
            <w:shd w:val="clear" w:color="auto" w:fill="auto"/>
          </w:tcPr>
          <w:p w14:paraId="33DAC02D" w14:textId="77777777" w:rsidR="004D6A64" w:rsidRDefault="004D6A64">
            <w:pPr>
              <w:rPr>
                <w:rFonts w:ascii="宋体"/>
              </w:rPr>
            </w:pPr>
          </w:p>
        </w:tc>
      </w:tr>
      <w:tr w:rsidR="004D6A64" w14:paraId="33DAC056" w14:textId="77777777">
        <w:trPr>
          <w:gridAfter w:val="3"/>
        </w:trPr>
        <w:tc>
          <w:tcPr>
            <w:tcW w:w="0" w:type="auto"/>
            <w:gridSpan w:val="3"/>
            <w:shd w:val="clear" w:color="auto" w:fill="CCEEFF"/>
            <w:tcMar>
              <w:top w:w="40" w:type="dxa"/>
              <w:left w:w="20" w:type="dxa"/>
              <w:bottom w:w="40" w:type="dxa"/>
              <w:right w:w="20" w:type="dxa"/>
            </w:tcMar>
            <w:vAlign w:val="center"/>
          </w:tcPr>
          <w:p w14:paraId="33DAC02F" w14:textId="77777777" w:rsidR="004D6A64" w:rsidRDefault="00506CD6">
            <w:pPr>
              <w:textAlignment w:val="center"/>
            </w:pPr>
            <w:r>
              <w:rPr>
                <w:rFonts w:ascii="Times New Roman" w:eastAsia="宋体" w:hAnsi="Times New Roman"/>
                <w:color w:val="000000"/>
                <w:sz w:val="20"/>
                <w:szCs w:val="20"/>
              </w:rPr>
              <w:t>Fo</w:t>
            </w:r>
            <w:r>
              <w:rPr>
                <w:rFonts w:ascii="Times New Roman" w:eastAsia="宋体" w:hAnsi="Times New Roman"/>
                <w:color w:val="000000"/>
                <w:sz w:val="20"/>
                <w:szCs w:val="20"/>
              </w:rPr>
              <w:t>reign exchange contracts in a liability position</w:t>
            </w:r>
          </w:p>
        </w:tc>
        <w:tc>
          <w:tcPr>
            <w:tcW w:w="0" w:type="auto"/>
            <w:gridSpan w:val="2"/>
            <w:shd w:val="clear" w:color="auto" w:fill="CCEEFF"/>
            <w:tcMar>
              <w:top w:w="40" w:type="dxa"/>
              <w:left w:w="20" w:type="dxa"/>
              <w:bottom w:w="40" w:type="dxa"/>
              <w:right w:w="0" w:type="dxa"/>
            </w:tcMar>
            <w:vAlign w:val="center"/>
          </w:tcPr>
          <w:p w14:paraId="33DAC030" w14:textId="77777777" w:rsidR="004D6A64" w:rsidRDefault="00506CD6">
            <w:pPr>
              <w:jc w:val="right"/>
              <w:textAlignment w:val="center"/>
            </w:pPr>
            <w:r>
              <w:rPr>
                <w:rFonts w:ascii="Times New Roman" w:eastAsia="宋体" w:hAnsi="Times New Roman"/>
                <w:color w:val="000000"/>
                <w:sz w:val="20"/>
                <w:szCs w:val="20"/>
              </w:rPr>
              <w:t>(2)</w:t>
            </w:r>
          </w:p>
        </w:tc>
        <w:tc>
          <w:tcPr>
            <w:tcW w:w="0" w:type="auto"/>
            <w:shd w:val="clear" w:color="auto" w:fill="CCEEFF"/>
            <w:tcMar>
              <w:top w:w="40" w:type="dxa"/>
              <w:bottom w:w="40" w:type="dxa"/>
              <w:right w:w="20" w:type="dxa"/>
            </w:tcMar>
            <w:vAlign w:val="center"/>
          </w:tcPr>
          <w:p w14:paraId="33DAC03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03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033"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C03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03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036" w14:textId="77777777" w:rsidR="004D6A64" w:rsidRDefault="00506CD6">
            <w:pPr>
              <w:jc w:val="right"/>
              <w:textAlignment w:val="center"/>
            </w:pPr>
            <w:r>
              <w:rPr>
                <w:rFonts w:ascii="Times New Roman" w:eastAsia="宋体" w:hAnsi="Times New Roman"/>
                <w:color w:val="000000"/>
                <w:sz w:val="20"/>
                <w:szCs w:val="20"/>
              </w:rPr>
              <w:t>(3)</w:t>
            </w:r>
          </w:p>
        </w:tc>
        <w:tc>
          <w:tcPr>
            <w:tcW w:w="0" w:type="auto"/>
            <w:shd w:val="clear" w:color="auto" w:fill="CCEEFF"/>
            <w:tcMar>
              <w:top w:w="40" w:type="dxa"/>
              <w:bottom w:w="40" w:type="dxa"/>
              <w:right w:w="20" w:type="dxa"/>
            </w:tcMar>
            <w:vAlign w:val="center"/>
          </w:tcPr>
          <w:p w14:paraId="33DAC03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038"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039"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C03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03B"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03C" w14:textId="77777777" w:rsidR="004D6A64" w:rsidRDefault="00506CD6">
            <w:pPr>
              <w:jc w:val="right"/>
              <w:textAlignment w:val="center"/>
            </w:pPr>
            <w:r>
              <w:rPr>
                <w:rFonts w:ascii="Times New Roman" w:eastAsia="宋体" w:hAnsi="Times New Roman"/>
                <w:color w:val="000000"/>
                <w:sz w:val="20"/>
                <w:szCs w:val="20"/>
              </w:rPr>
              <w:t>(5)</w:t>
            </w:r>
          </w:p>
        </w:tc>
        <w:tc>
          <w:tcPr>
            <w:tcW w:w="0" w:type="auto"/>
            <w:shd w:val="clear" w:color="auto" w:fill="CCEEFF"/>
            <w:tcMar>
              <w:top w:w="40" w:type="dxa"/>
              <w:bottom w:w="40" w:type="dxa"/>
              <w:right w:w="20" w:type="dxa"/>
            </w:tcMar>
            <w:vAlign w:val="center"/>
          </w:tcPr>
          <w:p w14:paraId="33DAC03D" w14:textId="77777777" w:rsidR="004D6A64" w:rsidRDefault="004D6A64">
            <w:pPr>
              <w:jc w:val="right"/>
              <w:rPr>
                <w:rFonts w:ascii="宋体"/>
              </w:rPr>
            </w:pPr>
          </w:p>
        </w:tc>
        <w:tc>
          <w:tcPr>
            <w:tcW w:w="0" w:type="auto"/>
            <w:shd w:val="clear" w:color="auto" w:fill="auto"/>
          </w:tcPr>
          <w:p w14:paraId="33DAC03E" w14:textId="77777777" w:rsidR="004D6A64" w:rsidRDefault="004D6A64">
            <w:pPr>
              <w:rPr>
                <w:rFonts w:ascii="宋体"/>
              </w:rPr>
            </w:pPr>
          </w:p>
        </w:tc>
        <w:tc>
          <w:tcPr>
            <w:tcW w:w="0" w:type="auto"/>
            <w:shd w:val="clear" w:color="auto" w:fill="auto"/>
          </w:tcPr>
          <w:p w14:paraId="33DAC03F" w14:textId="77777777" w:rsidR="004D6A64" w:rsidRDefault="004D6A64">
            <w:pPr>
              <w:rPr>
                <w:rFonts w:ascii="宋体"/>
              </w:rPr>
            </w:pPr>
          </w:p>
        </w:tc>
        <w:tc>
          <w:tcPr>
            <w:tcW w:w="0" w:type="auto"/>
            <w:shd w:val="clear" w:color="auto" w:fill="auto"/>
          </w:tcPr>
          <w:p w14:paraId="33DAC040" w14:textId="77777777" w:rsidR="004D6A64" w:rsidRDefault="004D6A64">
            <w:pPr>
              <w:rPr>
                <w:rFonts w:ascii="宋体"/>
              </w:rPr>
            </w:pPr>
          </w:p>
        </w:tc>
        <w:tc>
          <w:tcPr>
            <w:tcW w:w="0" w:type="auto"/>
            <w:shd w:val="clear" w:color="auto" w:fill="auto"/>
          </w:tcPr>
          <w:p w14:paraId="33DAC041" w14:textId="77777777" w:rsidR="004D6A64" w:rsidRDefault="004D6A64">
            <w:pPr>
              <w:rPr>
                <w:rFonts w:ascii="宋体"/>
              </w:rPr>
            </w:pPr>
          </w:p>
        </w:tc>
        <w:tc>
          <w:tcPr>
            <w:tcW w:w="0" w:type="auto"/>
            <w:shd w:val="clear" w:color="auto" w:fill="auto"/>
          </w:tcPr>
          <w:p w14:paraId="33DAC042" w14:textId="77777777" w:rsidR="004D6A64" w:rsidRDefault="004D6A64">
            <w:pPr>
              <w:rPr>
                <w:rFonts w:ascii="宋体"/>
              </w:rPr>
            </w:pPr>
          </w:p>
        </w:tc>
        <w:tc>
          <w:tcPr>
            <w:tcW w:w="0" w:type="auto"/>
            <w:shd w:val="clear" w:color="auto" w:fill="auto"/>
          </w:tcPr>
          <w:p w14:paraId="33DAC043" w14:textId="77777777" w:rsidR="004D6A64" w:rsidRDefault="004D6A64">
            <w:pPr>
              <w:rPr>
                <w:rFonts w:ascii="宋体"/>
              </w:rPr>
            </w:pPr>
          </w:p>
        </w:tc>
        <w:tc>
          <w:tcPr>
            <w:tcW w:w="0" w:type="auto"/>
            <w:shd w:val="clear" w:color="auto" w:fill="auto"/>
          </w:tcPr>
          <w:p w14:paraId="33DAC044" w14:textId="77777777" w:rsidR="004D6A64" w:rsidRDefault="004D6A64">
            <w:pPr>
              <w:rPr>
                <w:rFonts w:ascii="宋体"/>
              </w:rPr>
            </w:pPr>
          </w:p>
        </w:tc>
        <w:tc>
          <w:tcPr>
            <w:tcW w:w="0" w:type="auto"/>
            <w:shd w:val="clear" w:color="auto" w:fill="auto"/>
          </w:tcPr>
          <w:p w14:paraId="33DAC045" w14:textId="77777777" w:rsidR="004D6A64" w:rsidRDefault="004D6A64">
            <w:pPr>
              <w:rPr>
                <w:rFonts w:ascii="宋体"/>
              </w:rPr>
            </w:pPr>
          </w:p>
        </w:tc>
        <w:tc>
          <w:tcPr>
            <w:tcW w:w="0" w:type="auto"/>
            <w:shd w:val="clear" w:color="auto" w:fill="auto"/>
          </w:tcPr>
          <w:p w14:paraId="33DAC046" w14:textId="77777777" w:rsidR="004D6A64" w:rsidRDefault="004D6A64">
            <w:pPr>
              <w:rPr>
                <w:rFonts w:ascii="宋体"/>
              </w:rPr>
            </w:pPr>
          </w:p>
        </w:tc>
        <w:tc>
          <w:tcPr>
            <w:tcW w:w="0" w:type="auto"/>
            <w:shd w:val="clear" w:color="auto" w:fill="auto"/>
          </w:tcPr>
          <w:p w14:paraId="33DAC047" w14:textId="77777777" w:rsidR="004D6A64" w:rsidRDefault="004D6A64">
            <w:pPr>
              <w:rPr>
                <w:rFonts w:ascii="宋体"/>
              </w:rPr>
            </w:pPr>
          </w:p>
        </w:tc>
        <w:tc>
          <w:tcPr>
            <w:tcW w:w="0" w:type="auto"/>
            <w:shd w:val="clear" w:color="auto" w:fill="auto"/>
          </w:tcPr>
          <w:p w14:paraId="33DAC048" w14:textId="77777777" w:rsidR="004D6A64" w:rsidRDefault="004D6A64">
            <w:pPr>
              <w:rPr>
                <w:rFonts w:ascii="宋体"/>
              </w:rPr>
            </w:pPr>
          </w:p>
        </w:tc>
        <w:tc>
          <w:tcPr>
            <w:tcW w:w="0" w:type="auto"/>
            <w:shd w:val="clear" w:color="auto" w:fill="auto"/>
          </w:tcPr>
          <w:p w14:paraId="33DAC049" w14:textId="77777777" w:rsidR="004D6A64" w:rsidRDefault="004D6A64">
            <w:pPr>
              <w:rPr>
                <w:rFonts w:ascii="宋体"/>
              </w:rPr>
            </w:pPr>
          </w:p>
        </w:tc>
        <w:tc>
          <w:tcPr>
            <w:tcW w:w="0" w:type="auto"/>
            <w:shd w:val="clear" w:color="auto" w:fill="auto"/>
          </w:tcPr>
          <w:p w14:paraId="33DAC04A" w14:textId="77777777" w:rsidR="004D6A64" w:rsidRDefault="004D6A64">
            <w:pPr>
              <w:rPr>
                <w:rFonts w:ascii="宋体"/>
              </w:rPr>
            </w:pPr>
          </w:p>
        </w:tc>
        <w:tc>
          <w:tcPr>
            <w:tcW w:w="0" w:type="auto"/>
            <w:shd w:val="clear" w:color="auto" w:fill="auto"/>
          </w:tcPr>
          <w:p w14:paraId="33DAC04B" w14:textId="77777777" w:rsidR="004D6A64" w:rsidRDefault="004D6A64">
            <w:pPr>
              <w:rPr>
                <w:rFonts w:ascii="宋体"/>
              </w:rPr>
            </w:pPr>
          </w:p>
        </w:tc>
        <w:tc>
          <w:tcPr>
            <w:tcW w:w="0" w:type="auto"/>
            <w:shd w:val="clear" w:color="auto" w:fill="auto"/>
          </w:tcPr>
          <w:p w14:paraId="33DAC04C" w14:textId="77777777" w:rsidR="004D6A64" w:rsidRDefault="004D6A64">
            <w:pPr>
              <w:rPr>
                <w:rFonts w:ascii="宋体"/>
              </w:rPr>
            </w:pPr>
          </w:p>
        </w:tc>
        <w:tc>
          <w:tcPr>
            <w:tcW w:w="0" w:type="auto"/>
            <w:shd w:val="clear" w:color="auto" w:fill="auto"/>
          </w:tcPr>
          <w:p w14:paraId="33DAC04D" w14:textId="77777777" w:rsidR="004D6A64" w:rsidRDefault="004D6A64">
            <w:pPr>
              <w:rPr>
                <w:rFonts w:ascii="宋体"/>
              </w:rPr>
            </w:pPr>
          </w:p>
        </w:tc>
        <w:tc>
          <w:tcPr>
            <w:tcW w:w="0" w:type="auto"/>
            <w:shd w:val="clear" w:color="auto" w:fill="auto"/>
          </w:tcPr>
          <w:p w14:paraId="33DAC04E" w14:textId="77777777" w:rsidR="004D6A64" w:rsidRDefault="004D6A64">
            <w:pPr>
              <w:rPr>
                <w:rFonts w:ascii="宋体"/>
              </w:rPr>
            </w:pPr>
          </w:p>
        </w:tc>
        <w:tc>
          <w:tcPr>
            <w:tcW w:w="0" w:type="auto"/>
            <w:shd w:val="clear" w:color="auto" w:fill="auto"/>
          </w:tcPr>
          <w:p w14:paraId="33DAC04F" w14:textId="77777777" w:rsidR="004D6A64" w:rsidRDefault="004D6A64">
            <w:pPr>
              <w:rPr>
                <w:rFonts w:ascii="宋体"/>
              </w:rPr>
            </w:pPr>
          </w:p>
        </w:tc>
        <w:tc>
          <w:tcPr>
            <w:tcW w:w="0" w:type="auto"/>
            <w:shd w:val="clear" w:color="auto" w:fill="auto"/>
          </w:tcPr>
          <w:p w14:paraId="33DAC050" w14:textId="77777777" w:rsidR="004D6A64" w:rsidRDefault="004D6A64">
            <w:pPr>
              <w:rPr>
                <w:rFonts w:ascii="宋体"/>
              </w:rPr>
            </w:pPr>
          </w:p>
        </w:tc>
        <w:tc>
          <w:tcPr>
            <w:tcW w:w="0" w:type="auto"/>
            <w:shd w:val="clear" w:color="auto" w:fill="auto"/>
          </w:tcPr>
          <w:p w14:paraId="33DAC051" w14:textId="77777777" w:rsidR="004D6A64" w:rsidRDefault="004D6A64">
            <w:pPr>
              <w:rPr>
                <w:rFonts w:ascii="宋体"/>
              </w:rPr>
            </w:pPr>
          </w:p>
        </w:tc>
        <w:tc>
          <w:tcPr>
            <w:tcW w:w="0" w:type="auto"/>
            <w:shd w:val="clear" w:color="auto" w:fill="auto"/>
          </w:tcPr>
          <w:p w14:paraId="33DAC052" w14:textId="77777777" w:rsidR="004D6A64" w:rsidRDefault="004D6A64">
            <w:pPr>
              <w:rPr>
                <w:rFonts w:ascii="宋体"/>
              </w:rPr>
            </w:pPr>
          </w:p>
        </w:tc>
        <w:tc>
          <w:tcPr>
            <w:tcW w:w="0" w:type="auto"/>
            <w:shd w:val="clear" w:color="auto" w:fill="auto"/>
          </w:tcPr>
          <w:p w14:paraId="33DAC053" w14:textId="77777777" w:rsidR="004D6A64" w:rsidRDefault="004D6A64">
            <w:pPr>
              <w:rPr>
                <w:rFonts w:ascii="宋体"/>
              </w:rPr>
            </w:pPr>
          </w:p>
        </w:tc>
        <w:tc>
          <w:tcPr>
            <w:tcW w:w="0" w:type="auto"/>
            <w:shd w:val="clear" w:color="auto" w:fill="auto"/>
          </w:tcPr>
          <w:p w14:paraId="33DAC054" w14:textId="77777777" w:rsidR="004D6A64" w:rsidRDefault="004D6A64">
            <w:pPr>
              <w:rPr>
                <w:rFonts w:ascii="宋体"/>
              </w:rPr>
            </w:pPr>
          </w:p>
        </w:tc>
        <w:tc>
          <w:tcPr>
            <w:tcW w:w="0" w:type="auto"/>
            <w:shd w:val="clear" w:color="auto" w:fill="auto"/>
          </w:tcPr>
          <w:p w14:paraId="33DAC055" w14:textId="77777777" w:rsidR="004D6A64" w:rsidRDefault="004D6A64">
            <w:pPr>
              <w:rPr>
                <w:rFonts w:ascii="宋体"/>
              </w:rPr>
            </w:pPr>
          </w:p>
        </w:tc>
      </w:tr>
      <w:tr w:rsidR="004D6A64" w14:paraId="33DAC07E" w14:textId="77777777">
        <w:trPr>
          <w:gridAfter w:val="3"/>
        </w:trPr>
        <w:tc>
          <w:tcPr>
            <w:tcW w:w="0" w:type="auto"/>
            <w:gridSpan w:val="3"/>
            <w:shd w:val="clear" w:color="auto" w:fill="FFFFFF"/>
            <w:tcMar>
              <w:top w:w="40" w:type="dxa"/>
              <w:left w:w="135" w:type="dxa"/>
              <w:bottom w:w="40" w:type="dxa"/>
              <w:right w:w="20" w:type="dxa"/>
            </w:tcMar>
            <w:vAlign w:val="center"/>
          </w:tcPr>
          <w:p w14:paraId="33DAC057" w14:textId="77777777" w:rsidR="004D6A64" w:rsidRDefault="00506CD6">
            <w:pPr>
              <w:textAlignment w:val="center"/>
            </w:pPr>
            <w:r>
              <w:rPr>
                <w:rFonts w:ascii="Times New Roman" w:eastAsia="宋体" w:hAnsi="Times New Roman"/>
                <w:color w:val="000000"/>
                <w:sz w:val="20"/>
                <w:szCs w:val="20"/>
              </w:rPr>
              <w:t>Net asset (liability)</w:t>
            </w: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33DAC058" w14:textId="77777777" w:rsidR="004D6A64" w:rsidRDefault="00506CD6">
            <w:pPr>
              <w:jc w:val="right"/>
              <w:textAlignment w:val="center"/>
            </w:pPr>
            <w:r>
              <w:rPr>
                <w:rFonts w:ascii="Times New Roman" w:eastAsia="宋体" w:hAnsi="Times New Roman"/>
                <w:color w:val="000000"/>
                <w:sz w:val="20"/>
                <w:szCs w:val="20"/>
              </w:rPr>
              <w:t>106 </w:t>
            </w:r>
          </w:p>
        </w:tc>
        <w:tc>
          <w:tcPr>
            <w:tcW w:w="0" w:type="auto"/>
            <w:tcBorders>
              <w:top w:val="single" w:sz="8" w:space="0" w:color="000000"/>
              <w:bottom w:val="single" w:sz="8" w:space="0" w:color="000000"/>
            </w:tcBorders>
            <w:shd w:val="clear" w:color="auto" w:fill="FFFFFF"/>
            <w:tcMar>
              <w:top w:w="40" w:type="dxa"/>
              <w:bottom w:w="40" w:type="dxa"/>
              <w:right w:w="20" w:type="dxa"/>
            </w:tcMar>
            <w:vAlign w:val="center"/>
          </w:tcPr>
          <w:p w14:paraId="33DAC05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05A" w14:textId="77777777" w:rsidR="004D6A64" w:rsidRDefault="004D6A64">
            <w:pPr>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33DAC05B" w14:textId="77777777" w:rsidR="004D6A64" w:rsidRDefault="00506CD6">
            <w:pPr>
              <w:jc w:val="right"/>
              <w:textAlignment w:val="center"/>
            </w:pPr>
            <w:r>
              <w:rPr>
                <w:rFonts w:ascii="Times New Roman" w:eastAsia="宋体" w:hAnsi="Times New Roman"/>
                <w:color w:val="000000"/>
                <w:sz w:val="20"/>
                <w:szCs w:val="20"/>
              </w:rPr>
              <w:t>— </w:t>
            </w:r>
          </w:p>
        </w:tc>
        <w:tc>
          <w:tcPr>
            <w:tcW w:w="0" w:type="auto"/>
            <w:tcBorders>
              <w:top w:val="single" w:sz="8" w:space="0" w:color="000000"/>
              <w:bottom w:val="single" w:sz="8" w:space="0" w:color="000000"/>
            </w:tcBorders>
            <w:shd w:val="clear" w:color="auto" w:fill="FFFFFF"/>
            <w:tcMar>
              <w:top w:w="40" w:type="dxa"/>
              <w:bottom w:w="40" w:type="dxa"/>
              <w:right w:w="20" w:type="dxa"/>
            </w:tcMar>
            <w:vAlign w:val="center"/>
          </w:tcPr>
          <w:p w14:paraId="33DAC05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05D" w14:textId="77777777" w:rsidR="004D6A64" w:rsidRDefault="004D6A64">
            <w:pPr>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33DAC05E" w14:textId="77777777" w:rsidR="004D6A64" w:rsidRDefault="00506CD6">
            <w:pPr>
              <w:jc w:val="right"/>
              <w:textAlignment w:val="center"/>
            </w:pPr>
            <w:r>
              <w:rPr>
                <w:rFonts w:ascii="Times New Roman" w:eastAsia="宋体" w:hAnsi="Times New Roman"/>
                <w:color w:val="000000"/>
                <w:sz w:val="20"/>
                <w:szCs w:val="20"/>
              </w:rPr>
              <w:t>12 </w:t>
            </w:r>
          </w:p>
        </w:tc>
        <w:tc>
          <w:tcPr>
            <w:tcW w:w="0" w:type="auto"/>
            <w:tcBorders>
              <w:top w:val="single" w:sz="8" w:space="0" w:color="000000"/>
              <w:bottom w:val="single" w:sz="8" w:space="0" w:color="000000"/>
            </w:tcBorders>
            <w:shd w:val="clear" w:color="auto" w:fill="FFFFFF"/>
            <w:tcMar>
              <w:top w:w="40" w:type="dxa"/>
              <w:bottom w:w="40" w:type="dxa"/>
              <w:right w:w="20" w:type="dxa"/>
            </w:tcMar>
            <w:vAlign w:val="center"/>
          </w:tcPr>
          <w:p w14:paraId="33DAC05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060" w14:textId="77777777" w:rsidR="004D6A64" w:rsidRDefault="004D6A64">
            <w:pPr>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33DAC061" w14:textId="77777777" w:rsidR="004D6A64" w:rsidRDefault="00506CD6">
            <w:pPr>
              <w:jc w:val="right"/>
              <w:textAlignment w:val="center"/>
            </w:pPr>
            <w:r>
              <w:rPr>
                <w:rFonts w:ascii="Times New Roman" w:eastAsia="宋体" w:hAnsi="Times New Roman"/>
                <w:color w:val="000000"/>
                <w:sz w:val="20"/>
                <w:szCs w:val="20"/>
              </w:rPr>
              <w:t>— </w:t>
            </w:r>
          </w:p>
        </w:tc>
        <w:tc>
          <w:tcPr>
            <w:tcW w:w="0" w:type="auto"/>
            <w:tcBorders>
              <w:top w:val="single" w:sz="8" w:space="0" w:color="000000"/>
              <w:bottom w:val="single" w:sz="8" w:space="0" w:color="000000"/>
            </w:tcBorders>
            <w:shd w:val="clear" w:color="auto" w:fill="FFFFFF"/>
            <w:tcMar>
              <w:top w:w="40" w:type="dxa"/>
              <w:bottom w:w="40" w:type="dxa"/>
              <w:right w:w="20" w:type="dxa"/>
            </w:tcMar>
            <w:vAlign w:val="center"/>
          </w:tcPr>
          <w:p w14:paraId="33DAC06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063" w14:textId="77777777" w:rsidR="004D6A64" w:rsidRDefault="004D6A64">
            <w:pPr>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33DAC064" w14:textId="77777777" w:rsidR="004D6A64" w:rsidRDefault="00506CD6">
            <w:pPr>
              <w:jc w:val="right"/>
              <w:textAlignment w:val="center"/>
            </w:pPr>
            <w:r>
              <w:rPr>
                <w:rFonts w:ascii="Times New Roman" w:eastAsia="宋体" w:hAnsi="Times New Roman"/>
                <w:color w:val="000000"/>
                <w:sz w:val="20"/>
                <w:szCs w:val="20"/>
              </w:rPr>
              <w:t>118 </w:t>
            </w:r>
          </w:p>
        </w:tc>
        <w:tc>
          <w:tcPr>
            <w:tcW w:w="0" w:type="auto"/>
            <w:tcBorders>
              <w:top w:val="single" w:sz="8" w:space="0" w:color="000000"/>
              <w:bottom w:val="single" w:sz="8" w:space="0" w:color="000000"/>
            </w:tcBorders>
            <w:shd w:val="clear" w:color="auto" w:fill="FFFFFF"/>
            <w:tcMar>
              <w:top w:w="40" w:type="dxa"/>
              <w:bottom w:w="40" w:type="dxa"/>
              <w:right w:w="20" w:type="dxa"/>
            </w:tcMar>
            <w:vAlign w:val="center"/>
          </w:tcPr>
          <w:p w14:paraId="33DAC065" w14:textId="77777777" w:rsidR="004D6A64" w:rsidRDefault="004D6A64">
            <w:pPr>
              <w:jc w:val="right"/>
              <w:rPr>
                <w:rFonts w:ascii="宋体"/>
              </w:rPr>
            </w:pPr>
          </w:p>
        </w:tc>
        <w:tc>
          <w:tcPr>
            <w:tcW w:w="0" w:type="auto"/>
            <w:shd w:val="clear" w:color="auto" w:fill="auto"/>
          </w:tcPr>
          <w:p w14:paraId="33DAC066" w14:textId="77777777" w:rsidR="004D6A64" w:rsidRDefault="004D6A64">
            <w:pPr>
              <w:rPr>
                <w:rFonts w:ascii="宋体"/>
              </w:rPr>
            </w:pPr>
          </w:p>
        </w:tc>
        <w:tc>
          <w:tcPr>
            <w:tcW w:w="0" w:type="auto"/>
            <w:shd w:val="clear" w:color="auto" w:fill="auto"/>
          </w:tcPr>
          <w:p w14:paraId="33DAC067" w14:textId="77777777" w:rsidR="004D6A64" w:rsidRDefault="004D6A64">
            <w:pPr>
              <w:rPr>
                <w:rFonts w:ascii="宋体"/>
              </w:rPr>
            </w:pPr>
          </w:p>
        </w:tc>
        <w:tc>
          <w:tcPr>
            <w:tcW w:w="0" w:type="auto"/>
            <w:shd w:val="clear" w:color="auto" w:fill="auto"/>
          </w:tcPr>
          <w:p w14:paraId="33DAC068" w14:textId="77777777" w:rsidR="004D6A64" w:rsidRDefault="004D6A64">
            <w:pPr>
              <w:rPr>
                <w:rFonts w:ascii="宋体"/>
              </w:rPr>
            </w:pPr>
          </w:p>
        </w:tc>
        <w:tc>
          <w:tcPr>
            <w:tcW w:w="0" w:type="auto"/>
            <w:shd w:val="clear" w:color="auto" w:fill="auto"/>
          </w:tcPr>
          <w:p w14:paraId="33DAC069" w14:textId="77777777" w:rsidR="004D6A64" w:rsidRDefault="004D6A64">
            <w:pPr>
              <w:rPr>
                <w:rFonts w:ascii="宋体"/>
              </w:rPr>
            </w:pPr>
          </w:p>
        </w:tc>
        <w:tc>
          <w:tcPr>
            <w:tcW w:w="0" w:type="auto"/>
            <w:shd w:val="clear" w:color="auto" w:fill="auto"/>
          </w:tcPr>
          <w:p w14:paraId="33DAC06A" w14:textId="77777777" w:rsidR="004D6A64" w:rsidRDefault="004D6A64">
            <w:pPr>
              <w:rPr>
                <w:rFonts w:ascii="宋体"/>
              </w:rPr>
            </w:pPr>
          </w:p>
        </w:tc>
        <w:tc>
          <w:tcPr>
            <w:tcW w:w="0" w:type="auto"/>
            <w:shd w:val="clear" w:color="auto" w:fill="auto"/>
          </w:tcPr>
          <w:p w14:paraId="33DAC06B" w14:textId="77777777" w:rsidR="004D6A64" w:rsidRDefault="004D6A64">
            <w:pPr>
              <w:rPr>
                <w:rFonts w:ascii="宋体"/>
              </w:rPr>
            </w:pPr>
          </w:p>
        </w:tc>
        <w:tc>
          <w:tcPr>
            <w:tcW w:w="0" w:type="auto"/>
            <w:shd w:val="clear" w:color="auto" w:fill="auto"/>
          </w:tcPr>
          <w:p w14:paraId="33DAC06C" w14:textId="77777777" w:rsidR="004D6A64" w:rsidRDefault="004D6A64">
            <w:pPr>
              <w:rPr>
                <w:rFonts w:ascii="宋体"/>
              </w:rPr>
            </w:pPr>
          </w:p>
        </w:tc>
        <w:tc>
          <w:tcPr>
            <w:tcW w:w="0" w:type="auto"/>
            <w:shd w:val="clear" w:color="auto" w:fill="auto"/>
          </w:tcPr>
          <w:p w14:paraId="33DAC06D" w14:textId="77777777" w:rsidR="004D6A64" w:rsidRDefault="004D6A64">
            <w:pPr>
              <w:rPr>
                <w:rFonts w:ascii="宋体"/>
              </w:rPr>
            </w:pPr>
          </w:p>
        </w:tc>
        <w:tc>
          <w:tcPr>
            <w:tcW w:w="0" w:type="auto"/>
            <w:shd w:val="clear" w:color="auto" w:fill="auto"/>
          </w:tcPr>
          <w:p w14:paraId="33DAC06E" w14:textId="77777777" w:rsidR="004D6A64" w:rsidRDefault="004D6A64">
            <w:pPr>
              <w:rPr>
                <w:rFonts w:ascii="宋体"/>
              </w:rPr>
            </w:pPr>
          </w:p>
        </w:tc>
        <w:tc>
          <w:tcPr>
            <w:tcW w:w="0" w:type="auto"/>
            <w:shd w:val="clear" w:color="auto" w:fill="auto"/>
          </w:tcPr>
          <w:p w14:paraId="33DAC06F" w14:textId="77777777" w:rsidR="004D6A64" w:rsidRDefault="004D6A64">
            <w:pPr>
              <w:rPr>
                <w:rFonts w:ascii="宋体"/>
              </w:rPr>
            </w:pPr>
          </w:p>
        </w:tc>
        <w:tc>
          <w:tcPr>
            <w:tcW w:w="0" w:type="auto"/>
            <w:shd w:val="clear" w:color="auto" w:fill="auto"/>
          </w:tcPr>
          <w:p w14:paraId="33DAC070" w14:textId="77777777" w:rsidR="004D6A64" w:rsidRDefault="004D6A64">
            <w:pPr>
              <w:rPr>
                <w:rFonts w:ascii="宋体"/>
              </w:rPr>
            </w:pPr>
          </w:p>
        </w:tc>
        <w:tc>
          <w:tcPr>
            <w:tcW w:w="0" w:type="auto"/>
            <w:shd w:val="clear" w:color="auto" w:fill="auto"/>
          </w:tcPr>
          <w:p w14:paraId="33DAC071" w14:textId="77777777" w:rsidR="004D6A64" w:rsidRDefault="004D6A64">
            <w:pPr>
              <w:rPr>
                <w:rFonts w:ascii="宋体"/>
              </w:rPr>
            </w:pPr>
          </w:p>
        </w:tc>
        <w:tc>
          <w:tcPr>
            <w:tcW w:w="0" w:type="auto"/>
            <w:shd w:val="clear" w:color="auto" w:fill="auto"/>
          </w:tcPr>
          <w:p w14:paraId="33DAC072" w14:textId="77777777" w:rsidR="004D6A64" w:rsidRDefault="004D6A64">
            <w:pPr>
              <w:rPr>
                <w:rFonts w:ascii="宋体"/>
              </w:rPr>
            </w:pPr>
          </w:p>
        </w:tc>
        <w:tc>
          <w:tcPr>
            <w:tcW w:w="0" w:type="auto"/>
            <w:shd w:val="clear" w:color="auto" w:fill="auto"/>
          </w:tcPr>
          <w:p w14:paraId="33DAC073" w14:textId="77777777" w:rsidR="004D6A64" w:rsidRDefault="004D6A64">
            <w:pPr>
              <w:rPr>
                <w:rFonts w:ascii="宋体"/>
              </w:rPr>
            </w:pPr>
          </w:p>
        </w:tc>
        <w:tc>
          <w:tcPr>
            <w:tcW w:w="0" w:type="auto"/>
            <w:shd w:val="clear" w:color="auto" w:fill="auto"/>
          </w:tcPr>
          <w:p w14:paraId="33DAC074" w14:textId="77777777" w:rsidR="004D6A64" w:rsidRDefault="004D6A64">
            <w:pPr>
              <w:rPr>
                <w:rFonts w:ascii="宋体"/>
              </w:rPr>
            </w:pPr>
          </w:p>
        </w:tc>
        <w:tc>
          <w:tcPr>
            <w:tcW w:w="0" w:type="auto"/>
            <w:shd w:val="clear" w:color="auto" w:fill="auto"/>
          </w:tcPr>
          <w:p w14:paraId="33DAC075" w14:textId="77777777" w:rsidR="004D6A64" w:rsidRDefault="004D6A64">
            <w:pPr>
              <w:rPr>
                <w:rFonts w:ascii="宋体"/>
              </w:rPr>
            </w:pPr>
          </w:p>
        </w:tc>
        <w:tc>
          <w:tcPr>
            <w:tcW w:w="0" w:type="auto"/>
            <w:shd w:val="clear" w:color="auto" w:fill="auto"/>
          </w:tcPr>
          <w:p w14:paraId="33DAC076" w14:textId="77777777" w:rsidR="004D6A64" w:rsidRDefault="004D6A64">
            <w:pPr>
              <w:rPr>
                <w:rFonts w:ascii="宋体"/>
              </w:rPr>
            </w:pPr>
          </w:p>
        </w:tc>
        <w:tc>
          <w:tcPr>
            <w:tcW w:w="0" w:type="auto"/>
            <w:shd w:val="clear" w:color="auto" w:fill="auto"/>
          </w:tcPr>
          <w:p w14:paraId="33DAC077" w14:textId="77777777" w:rsidR="004D6A64" w:rsidRDefault="004D6A64">
            <w:pPr>
              <w:rPr>
                <w:rFonts w:ascii="宋体"/>
              </w:rPr>
            </w:pPr>
          </w:p>
        </w:tc>
        <w:tc>
          <w:tcPr>
            <w:tcW w:w="0" w:type="auto"/>
            <w:shd w:val="clear" w:color="auto" w:fill="auto"/>
          </w:tcPr>
          <w:p w14:paraId="33DAC078" w14:textId="77777777" w:rsidR="004D6A64" w:rsidRDefault="004D6A64">
            <w:pPr>
              <w:rPr>
                <w:rFonts w:ascii="宋体"/>
              </w:rPr>
            </w:pPr>
          </w:p>
        </w:tc>
        <w:tc>
          <w:tcPr>
            <w:tcW w:w="0" w:type="auto"/>
            <w:shd w:val="clear" w:color="auto" w:fill="auto"/>
          </w:tcPr>
          <w:p w14:paraId="33DAC079" w14:textId="77777777" w:rsidR="004D6A64" w:rsidRDefault="004D6A64">
            <w:pPr>
              <w:rPr>
                <w:rFonts w:ascii="宋体"/>
              </w:rPr>
            </w:pPr>
          </w:p>
        </w:tc>
        <w:tc>
          <w:tcPr>
            <w:tcW w:w="0" w:type="auto"/>
            <w:shd w:val="clear" w:color="auto" w:fill="auto"/>
          </w:tcPr>
          <w:p w14:paraId="33DAC07A" w14:textId="77777777" w:rsidR="004D6A64" w:rsidRDefault="004D6A64">
            <w:pPr>
              <w:rPr>
                <w:rFonts w:ascii="宋体"/>
              </w:rPr>
            </w:pPr>
          </w:p>
        </w:tc>
        <w:tc>
          <w:tcPr>
            <w:tcW w:w="0" w:type="auto"/>
            <w:shd w:val="clear" w:color="auto" w:fill="auto"/>
          </w:tcPr>
          <w:p w14:paraId="33DAC07B" w14:textId="77777777" w:rsidR="004D6A64" w:rsidRDefault="004D6A64">
            <w:pPr>
              <w:rPr>
                <w:rFonts w:ascii="宋体"/>
              </w:rPr>
            </w:pPr>
          </w:p>
        </w:tc>
        <w:tc>
          <w:tcPr>
            <w:tcW w:w="0" w:type="auto"/>
            <w:shd w:val="clear" w:color="auto" w:fill="auto"/>
          </w:tcPr>
          <w:p w14:paraId="33DAC07C" w14:textId="77777777" w:rsidR="004D6A64" w:rsidRDefault="004D6A64">
            <w:pPr>
              <w:rPr>
                <w:rFonts w:ascii="宋体"/>
              </w:rPr>
            </w:pPr>
          </w:p>
        </w:tc>
        <w:tc>
          <w:tcPr>
            <w:tcW w:w="0" w:type="auto"/>
            <w:shd w:val="clear" w:color="auto" w:fill="auto"/>
          </w:tcPr>
          <w:p w14:paraId="33DAC07D" w14:textId="77777777" w:rsidR="004D6A64" w:rsidRDefault="004D6A64">
            <w:pPr>
              <w:rPr>
                <w:rFonts w:ascii="宋体"/>
              </w:rPr>
            </w:pPr>
          </w:p>
        </w:tc>
      </w:tr>
      <w:tr w:rsidR="004D6A64" w14:paraId="33DAC089" w14:textId="77777777">
        <w:tc>
          <w:tcPr>
            <w:tcW w:w="0" w:type="auto"/>
            <w:gridSpan w:val="30"/>
            <w:shd w:val="clear" w:color="auto" w:fill="CCEEFF"/>
            <w:tcMar>
              <w:top w:w="40" w:type="dxa"/>
              <w:left w:w="20" w:type="dxa"/>
              <w:bottom w:w="40" w:type="dxa"/>
              <w:right w:w="20" w:type="dxa"/>
            </w:tcMar>
            <w:vAlign w:val="center"/>
          </w:tcPr>
          <w:p w14:paraId="33DAC07F" w14:textId="77777777" w:rsidR="004D6A64" w:rsidRDefault="00506CD6">
            <w:pPr>
              <w:textAlignment w:val="center"/>
            </w:pPr>
            <w:r>
              <w:rPr>
                <w:rFonts w:ascii="Times New Roman" w:eastAsia="宋体" w:hAnsi="Times New Roman"/>
                <w:i/>
                <w:iCs/>
                <w:color w:val="000000"/>
                <w:sz w:val="20"/>
                <w:szCs w:val="20"/>
              </w:rPr>
              <w:t>Derivatives not designate</w:t>
            </w:r>
            <w:r>
              <w:rPr>
                <w:rFonts w:ascii="Times New Roman" w:eastAsia="宋体" w:hAnsi="Times New Roman"/>
                <w:i/>
                <w:iCs/>
                <w:color w:val="000000"/>
                <w:sz w:val="20"/>
                <w:szCs w:val="20"/>
              </w:rPr>
              <w:t>d as hedging instruments:</w:t>
            </w:r>
          </w:p>
        </w:tc>
        <w:tc>
          <w:tcPr>
            <w:tcW w:w="0" w:type="auto"/>
            <w:gridSpan w:val="3"/>
            <w:shd w:val="clear" w:color="auto" w:fill="auto"/>
          </w:tcPr>
          <w:p w14:paraId="33DAC080" w14:textId="77777777" w:rsidR="004D6A64" w:rsidRDefault="004D6A64">
            <w:pPr>
              <w:rPr>
                <w:rFonts w:ascii="宋体"/>
                <w:vanish/>
              </w:rPr>
            </w:pPr>
          </w:p>
        </w:tc>
        <w:tc>
          <w:tcPr>
            <w:tcW w:w="0" w:type="auto"/>
            <w:gridSpan w:val="3"/>
            <w:shd w:val="clear" w:color="auto" w:fill="auto"/>
          </w:tcPr>
          <w:p w14:paraId="33DAC081" w14:textId="77777777" w:rsidR="004D6A64" w:rsidRDefault="004D6A64">
            <w:pPr>
              <w:rPr>
                <w:rFonts w:ascii="宋体"/>
                <w:vanish/>
              </w:rPr>
            </w:pPr>
          </w:p>
        </w:tc>
        <w:tc>
          <w:tcPr>
            <w:tcW w:w="0" w:type="auto"/>
            <w:gridSpan w:val="3"/>
            <w:shd w:val="clear" w:color="auto" w:fill="auto"/>
          </w:tcPr>
          <w:p w14:paraId="33DAC082" w14:textId="77777777" w:rsidR="004D6A64" w:rsidRDefault="004D6A64">
            <w:pPr>
              <w:rPr>
                <w:rFonts w:ascii="宋体"/>
                <w:vanish/>
              </w:rPr>
            </w:pPr>
          </w:p>
        </w:tc>
        <w:tc>
          <w:tcPr>
            <w:tcW w:w="0" w:type="auto"/>
            <w:gridSpan w:val="3"/>
            <w:shd w:val="clear" w:color="auto" w:fill="auto"/>
          </w:tcPr>
          <w:p w14:paraId="33DAC083" w14:textId="77777777" w:rsidR="004D6A64" w:rsidRDefault="004D6A64">
            <w:pPr>
              <w:rPr>
                <w:rFonts w:ascii="宋体"/>
                <w:vanish/>
              </w:rPr>
            </w:pPr>
          </w:p>
        </w:tc>
        <w:tc>
          <w:tcPr>
            <w:tcW w:w="0" w:type="auto"/>
            <w:gridSpan w:val="3"/>
            <w:shd w:val="clear" w:color="auto" w:fill="auto"/>
          </w:tcPr>
          <w:p w14:paraId="33DAC084" w14:textId="77777777" w:rsidR="004D6A64" w:rsidRDefault="004D6A64">
            <w:pPr>
              <w:rPr>
                <w:rFonts w:ascii="宋体"/>
                <w:vanish/>
              </w:rPr>
            </w:pPr>
          </w:p>
        </w:tc>
        <w:tc>
          <w:tcPr>
            <w:tcW w:w="0" w:type="auto"/>
            <w:gridSpan w:val="3"/>
            <w:shd w:val="clear" w:color="auto" w:fill="auto"/>
          </w:tcPr>
          <w:p w14:paraId="33DAC085" w14:textId="77777777" w:rsidR="004D6A64" w:rsidRDefault="004D6A64">
            <w:pPr>
              <w:rPr>
                <w:rFonts w:ascii="宋体"/>
                <w:vanish/>
              </w:rPr>
            </w:pPr>
          </w:p>
        </w:tc>
        <w:tc>
          <w:tcPr>
            <w:tcW w:w="0" w:type="auto"/>
            <w:gridSpan w:val="3"/>
            <w:shd w:val="clear" w:color="auto" w:fill="auto"/>
          </w:tcPr>
          <w:p w14:paraId="33DAC086" w14:textId="77777777" w:rsidR="004D6A64" w:rsidRDefault="004D6A64">
            <w:pPr>
              <w:rPr>
                <w:rFonts w:ascii="宋体"/>
                <w:vanish/>
              </w:rPr>
            </w:pPr>
          </w:p>
        </w:tc>
        <w:tc>
          <w:tcPr>
            <w:tcW w:w="0" w:type="auto"/>
            <w:gridSpan w:val="3"/>
            <w:shd w:val="clear" w:color="auto" w:fill="auto"/>
          </w:tcPr>
          <w:p w14:paraId="33DAC087" w14:textId="77777777" w:rsidR="004D6A64" w:rsidRDefault="004D6A64">
            <w:pPr>
              <w:rPr>
                <w:rFonts w:ascii="宋体"/>
                <w:vanish/>
              </w:rPr>
            </w:pPr>
          </w:p>
        </w:tc>
        <w:tc>
          <w:tcPr>
            <w:tcW w:w="0" w:type="auto"/>
            <w:gridSpan w:val="3"/>
            <w:shd w:val="clear" w:color="auto" w:fill="auto"/>
          </w:tcPr>
          <w:p w14:paraId="33DAC088" w14:textId="77777777" w:rsidR="004D6A64" w:rsidRDefault="004D6A64">
            <w:pPr>
              <w:rPr>
                <w:rFonts w:ascii="宋体"/>
                <w:vanish/>
              </w:rPr>
            </w:pPr>
          </w:p>
        </w:tc>
      </w:tr>
      <w:tr w:rsidR="004D6A64" w14:paraId="33DAC0B4" w14:textId="77777777">
        <w:tc>
          <w:tcPr>
            <w:tcW w:w="0" w:type="auto"/>
            <w:gridSpan w:val="3"/>
            <w:shd w:val="clear" w:color="auto" w:fill="FFFFFF"/>
            <w:tcMar>
              <w:top w:w="40" w:type="dxa"/>
              <w:left w:w="20" w:type="dxa"/>
              <w:bottom w:w="40" w:type="dxa"/>
              <w:right w:w="20" w:type="dxa"/>
            </w:tcMar>
            <w:vAlign w:val="center"/>
          </w:tcPr>
          <w:p w14:paraId="33DAC08A" w14:textId="77777777" w:rsidR="004D6A64" w:rsidRDefault="00506CD6">
            <w:pPr>
              <w:textAlignment w:val="center"/>
            </w:pPr>
            <w:r>
              <w:rPr>
                <w:rFonts w:ascii="Times New Roman" w:eastAsia="宋体" w:hAnsi="Times New Roman"/>
                <w:color w:val="000000"/>
                <w:sz w:val="20"/>
                <w:szCs w:val="20"/>
              </w:rPr>
              <w:t>Foreign exchange contracts in an asset position</w:t>
            </w:r>
          </w:p>
        </w:tc>
        <w:tc>
          <w:tcPr>
            <w:tcW w:w="0" w:type="auto"/>
            <w:gridSpan w:val="2"/>
            <w:shd w:val="clear" w:color="auto" w:fill="FFFFFF"/>
            <w:tcMar>
              <w:top w:w="40" w:type="dxa"/>
              <w:left w:w="20" w:type="dxa"/>
              <w:bottom w:w="40" w:type="dxa"/>
              <w:right w:w="0" w:type="dxa"/>
            </w:tcMar>
            <w:vAlign w:val="center"/>
          </w:tcPr>
          <w:p w14:paraId="33DAC08B" w14:textId="77777777" w:rsidR="004D6A64" w:rsidRDefault="00506CD6">
            <w:pPr>
              <w:jc w:val="right"/>
              <w:textAlignment w:val="center"/>
            </w:pPr>
            <w:r>
              <w:rPr>
                <w:rFonts w:ascii="Times New Roman" w:eastAsia="宋体" w:hAnsi="Times New Roman"/>
                <w:color w:val="000000"/>
                <w:sz w:val="20"/>
                <w:szCs w:val="20"/>
              </w:rPr>
              <w:t>136 </w:t>
            </w:r>
          </w:p>
        </w:tc>
        <w:tc>
          <w:tcPr>
            <w:tcW w:w="0" w:type="auto"/>
            <w:shd w:val="clear" w:color="auto" w:fill="FFFFFF"/>
            <w:tcMar>
              <w:top w:w="40" w:type="dxa"/>
              <w:bottom w:w="40" w:type="dxa"/>
              <w:right w:w="20" w:type="dxa"/>
            </w:tcMar>
            <w:vAlign w:val="center"/>
          </w:tcPr>
          <w:p w14:paraId="33DAC08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08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08E"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C08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09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091" w14:textId="77777777" w:rsidR="004D6A64" w:rsidRDefault="00506CD6">
            <w:pPr>
              <w:jc w:val="right"/>
              <w:textAlignment w:val="center"/>
            </w:pPr>
            <w:r>
              <w:rPr>
                <w:rFonts w:ascii="Times New Roman" w:eastAsia="宋体" w:hAnsi="Times New Roman"/>
                <w:color w:val="000000"/>
                <w:sz w:val="20"/>
                <w:szCs w:val="20"/>
              </w:rPr>
              <w:t>39 </w:t>
            </w:r>
          </w:p>
        </w:tc>
        <w:tc>
          <w:tcPr>
            <w:tcW w:w="0" w:type="auto"/>
            <w:shd w:val="clear" w:color="auto" w:fill="FFFFFF"/>
            <w:tcMar>
              <w:top w:w="40" w:type="dxa"/>
              <w:bottom w:w="40" w:type="dxa"/>
              <w:right w:w="20" w:type="dxa"/>
            </w:tcMar>
            <w:vAlign w:val="center"/>
          </w:tcPr>
          <w:p w14:paraId="33DAC09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09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094"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C09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09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097" w14:textId="77777777" w:rsidR="004D6A64" w:rsidRDefault="00506CD6">
            <w:pPr>
              <w:jc w:val="right"/>
              <w:textAlignment w:val="center"/>
            </w:pPr>
            <w:r>
              <w:rPr>
                <w:rFonts w:ascii="Times New Roman" w:eastAsia="宋体" w:hAnsi="Times New Roman"/>
                <w:color w:val="000000"/>
                <w:sz w:val="20"/>
                <w:szCs w:val="20"/>
              </w:rPr>
              <w:t>175 </w:t>
            </w:r>
          </w:p>
        </w:tc>
        <w:tc>
          <w:tcPr>
            <w:tcW w:w="0" w:type="auto"/>
            <w:shd w:val="clear" w:color="auto" w:fill="FFFFFF"/>
            <w:tcMar>
              <w:top w:w="40" w:type="dxa"/>
              <w:bottom w:w="40" w:type="dxa"/>
              <w:right w:w="20" w:type="dxa"/>
            </w:tcMar>
            <w:vAlign w:val="center"/>
          </w:tcPr>
          <w:p w14:paraId="33DAC098" w14:textId="77777777" w:rsidR="004D6A64" w:rsidRDefault="004D6A64">
            <w:pPr>
              <w:jc w:val="right"/>
              <w:rPr>
                <w:rFonts w:ascii="宋体"/>
              </w:rPr>
            </w:pPr>
          </w:p>
        </w:tc>
        <w:tc>
          <w:tcPr>
            <w:tcW w:w="0" w:type="auto"/>
            <w:shd w:val="clear" w:color="auto" w:fill="auto"/>
          </w:tcPr>
          <w:p w14:paraId="33DAC099" w14:textId="77777777" w:rsidR="004D6A64" w:rsidRDefault="004D6A64">
            <w:pPr>
              <w:rPr>
                <w:rFonts w:ascii="宋体"/>
              </w:rPr>
            </w:pPr>
          </w:p>
        </w:tc>
        <w:tc>
          <w:tcPr>
            <w:tcW w:w="0" w:type="auto"/>
            <w:shd w:val="clear" w:color="auto" w:fill="auto"/>
          </w:tcPr>
          <w:p w14:paraId="33DAC09A" w14:textId="77777777" w:rsidR="004D6A64" w:rsidRDefault="004D6A64">
            <w:pPr>
              <w:rPr>
                <w:rFonts w:ascii="宋体"/>
              </w:rPr>
            </w:pPr>
          </w:p>
        </w:tc>
        <w:tc>
          <w:tcPr>
            <w:tcW w:w="0" w:type="auto"/>
            <w:shd w:val="clear" w:color="auto" w:fill="auto"/>
          </w:tcPr>
          <w:p w14:paraId="33DAC09B" w14:textId="77777777" w:rsidR="004D6A64" w:rsidRDefault="004D6A64">
            <w:pPr>
              <w:rPr>
                <w:rFonts w:ascii="宋体"/>
              </w:rPr>
            </w:pPr>
          </w:p>
        </w:tc>
        <w:tc>
          <w:tcPr>
            <w:tcW w:w="0" w:type="auto"/>
            <w:shd w:val="clear" w:color="auto" w:fill="auto"/>
          </w:tcPr>
          <w:p w14:paraId="33DAC09C" w14:textId="77777777" w:rsidR="004D6A64" w:rsidRDefault="004D6A64">
            <w:pPr>
              <w:rPr>
                <w:rFonts w:ascii="宋体"/>
              </w:rPr>
            </w:pPr>
          </w:p>
        </w:tc>
        <w:tc>
          <w:tcPr>
            <w:tcW w:w="0" w:type="auto"/>
            <w:shd w:val="clear" w:color="auto" w:fill="auto"/>
          </w:tcPr>
          <w:p w14:paraId="33DAC09D" w14:textId="77777777" w:rsidR="004D6A64" w:rsidRDefault="004D6A64">
            <w:pPr>
              <w:rPr>
                <w:rFonts w:ascii="宋体"/>
              </w:rPr>
            </w:pPr>
          </w:p>
        </w:tc>
        <w:tc>
          <w:tcPr>
            <w:tcW w:w="0" w:type="auto"/>
            <w:shd w:val="clear" w:color="auto" w:fill="auto"/>
          </w:tcPr>
          <w:p w14:paraId="33DAC09E" w14:textId="77777777" w:rsidR="004D6A64" w:rsidRDefault="004D6A64">
            <w:pPr>
              <w:rPr>
                <w:rFonts w:ascii="宋体"/>
              </w:rPr>
            </w:pPr>
          </w:p>
        </w:tc>
        <w:tc>
          <w:tcPr>
            <w:tcW w:w="0" w:type="auto"/>
            <w:shd w:val="clear" w:color="auto" w:fill="auto"/>
          </w:tcPr>
          <w:p w14:paraId="33DAC09F" w14:textId="77777777" w:rsidR="004D6A64" w:rsidRDefault="004D6A64">
            <w:pPr>
              <w:rPr>
                <w:rFonts w:ascii="宋体"/>
              </w:rPr>
            </w:pPr>
          </w:p>
        </w:tc>
        <w:tc>
          <w:tcPr>
            <w:tcW w:w="0" w:type="auto"/>
            <w:shd w:val="clear" w:color="auto" w:fill="auto"/>
          </w:tcPr>
          <w:p w14:paraId="33DAC0A0" w14:textId="77777777" w:rsidR="004D6A64" w:rsidRDefault="004D6A64">
            <w:pPr>
              <w:rPr>
                <w:rFonts w:ascii="宋体"/>
              </w:rPr>
            </w:pPr>
          </w:p>
        </w:tc>
        <w:tc>
          <w:tcPr>
            <w:tcW w:w="0" w:type="auto"/>
            <w:shd w:val="clear" w:color="auto" w:fill="auto"/>
          </w:tcPr>
          <w:p w14:paraId="33DAC0A1" w14:textId="77777777" w:rsidR="004D6A64" w:rsidRDefault="004D6A64">
            <w:pPr>
              <w:rPr>
                <w:rFonts w:ascii="宋体"/>
              </w:rPr>
            </w:pPr>
          </w:p>
        </w:tc>
        <w:tc>
          <w:tcPr>
            <w:tcW w:w="0" w:type="auto"/>
            <w:shd w:val="clear" w:color="auto" w:fill="auto"/>
          </w:tcPr>
          <w:p w14:paraId="33DAC0A2" w14:textId="77777777" w:rsidR="004D6A64" w:rsidRDefault="004D6A64">
            <w:pPr>
              <w:rPr>
                <w:rFonts w:ascii="宋体"/>
              </w:rPr>
            </w:pPr>
          </w:p>
        </w:tc>
        <w:tc>
          <w:tcPr>
            <w:tcW w:w="0" w:type="auto"/>
            <w:shd w:val="clear" w:color="auto" w:fill="auto"/>
          </w:tcPr>
          <w:p w14:paraId="33DAC0A3" w14:textId="77777777" w:rsidR="004D6A64" w:rsidRDefault="004D6A64">
            <w:pPr>
              <w:rPr>
                <w:rFonts w:ascii="宋体"/>
              </w:rPr>
            </w:pPr>
          </w:p>
        </w:tc>
        <w:tc>
          <w:tcPr>
            <w:tcW w:w="0" w:type="auto"/>
            <w:shd w:val="clear" w:color="auto" w:fill="auto"/>
          </w:tcPr>
          <w:p w14:paraId="33DAC0A4" w14:textId="77777777" w:rsidR="004D6A64" w:rsidRDefault="004D6A64">
            <w:pPr>
              <w:rPr>
                <w:rFonts w:ascii="宋体"/>
              </w:rPr>
            </w:pPr>
          </w:p>
        </w:tc>
        <w:tc>
          <w:tcPr>
            <w:tcW w:w="0" w:type="auto"/>
            <w:shd w:val="clear" w:color="auto" w:fill="auto"/>
          </w:tcPr>
          <w:p w14:paraId="33DAC0A5" w14:textId="77777777" w:rsidR="004D6A64" w:rsidRDefault="004D6A64">
            <w:pPr>
              <w:rPr>
                <w:rFonts w:ascii="宋体"/>
              </w:rPr>
            </w:pPr>
          </w:p>
        </w:tc>
        <w:tc>
          <w:tcPr>
            <w:tcW w:w="0" w:type="auto"/>
            <w:shd w:val="clear" w:color="auto" w:fill="auto"/>
          </w:tcPr>
          <w:p w14:paraId="33DAC0A6" w14:textId="77777777" w:rsidR="004D6A64" w:rsidRDefault="004D6A64">
            <w:pPr>
              <w:rPr>
                <w:rFonts w:ascii="宋体"/>
              </w:rPr>
            </w:pPr>
          </w:p>
        </w:tc>
        <w:tc>
          <w:tcPr>
            <w:tcW w:w="0" w:type="auto"/>
            <w:shd w:val="clear" w:color="auto" w:fill="auto"/>
          </w:tcPr>
          <w:p w14:paraId="33DAC0A7" w14:textId="77777777" w:rsidR="004D6A64" w:rsidRDefault="004D6A64">
            <w:pPr>
              <w:rPr>
                <w:rFonts w:ascii="宋体"/>
              </w:rPr>
            </w:pPr>
          </w:p>
        </w:tc>
        <w:tc>
          <w:tcPr>
            <w:tcW w:w="0" w:type="auto"/>
            <w:shd w:val="clear" w:color="auto" w:fill="auto"/>
          </w:tcPr>
          <w:p w14:paraId="33DAC0A8" w14:textId="77777777" w:rsidR="004D6A64" w:rsidRDefault="004D6A64">
            <w:pPr>
              <w:rPr>
                <w:rFonts w:ascii="宋体"/>
              </w:rPr>
            </w:pPr>
          </w:p>
        </w:tc>
        <w:tc>
          <w:tcPr>
            <w:tcW w:w="0" w:type="auto"/>
            <w:shd w:val="clear" w:color="auto" w:fill="auto"/>
          </w:tcPr>
          <w:p w14:paraId="33DAC0A9" w14:textId="77777777" w:rsidR="004D6A64" w:rsidRDefault="004D6A64">
            <w:pPr>
              <w:rPr>
                <w:rFonts w:ascii="宋体"/>
              </w:rPr>
            </w:pPr>
          </w:p>
        </w:tc>
        <w:tc>
          <w:tcPr>
            <w:tcW w:w="0" w:type="auto"/>
            <w:shd w:val="clear" w:color="auto" w:fill="auto"/>
          </w:tcPr>
          <w:p w14:paraId="33DAC0AA" w14:textId="77777777" w:rsidR="004D6A64" w:rsidRDefault="004D6A64">
            <w:pPr>
              <w:rPr>
                <w:rFonts w:ascii="宋体"/>
              </w:rPr>
            </w:pPr>
          </w:p>
        </w:tc>
        <w:tc>
          <w:tcPr>
            <w:tcW w:w="0" w:type="auto"/>
            <w:shd w:val="clear" w:color="auto" w:fill="auto"/>
          </w:tcPr>
          <w:p w14:paraId="33DAC0AB" w14:textId="77777777" w:rsidR="004D6A64" w:rsidRDefault="004D6A64">
            <w:pPr>
              <w:rPr>
                <w:rFonts w:ascii="宋体"/>
              </w:rPr>
            </w:pPr>
          </w:p>
        </w:tc>
        <w:tc>
          <w:tcPr>
            <w:tcW w:w="0" w:type="auto"/>
            <w:shd w:val="clear" w:color="auto" w:fill="auto"/>
          </w:tcPr>
          <w:p w14:paraId="33DAC0AC" w14:textId="77777777" w:rsidR="004D6A64" w:rsidRDefault="004D6A64">
            <w:pPr>
              <w:rPr>
                <w:rFonts w:ascii="宋体"/>
              </w:rPr>
            </w:pPr>
          </w:p>
        </w:tc>
        <w:tc>
          <w:tcPr>
            <w:tcW w:w="0" w:type="auto"/>
            <w:shd w:val="clear" w:color="auto" w:fill="auto"/>
          </w:tcPr>
          <w:p w14:paraId="33DAC0AD" w14:textId="77777777" w:rsidR="004D6A64" w:rsidRDefault="004D6A64">
            <w:pPr>
              <w:rPr>
                <w:rFonts w:ascii="宋体"/>
              </w:rPr>
            </w:pPr>
          </w:p>
        </w:tc>
        <w:tc>
          <w:tcPr>
            <w:tcW w:w="0" w:type="auto"/>
            <w:shd w:val="clear" w:color="auto" w:fill="auto"/>
          </w:tcPr>
          <w:p w14:paraId="33DAC0AE" w14:textId="77777777" w:rsidR="004D6A64" w:rsidRDefault="004D6A64">
            <w:pPr>
              <w:rPr>
                <w:rFonts w:ascii="宋体"/>
              </w:rPr>
            </w:pPr>
          </w:p>
        </w:tc>
        <w:tc>
          <w:tcPr>
            <w:tcW w:w="0" w:type="auto"/>
            <w:shd w:val="clear" w:color="auto" w:fill="auto"/>
          </w:tcPr>
          <w:p w14:paraId="33DAC0AF" w14:textId="77777777" w:rsidR="004D6A64" w:rsidRDefault="004D6A64">
            <w:pPr>
              <w:rPr>
                <w:rFonts w:ascii="宋体"/>
              </w:rPr>
            </w:pPr>
          </w:p>
        </w:tc>
        <w:tc>
          <w:tcPr>
            <w:tcW w:w="0" w:type="auto"/>
            <w:shd w:val="clear" w:color="auto" w:fill="auto"/>
          </w:tcPr>
          <w:p w14:paraId="33DAC0B0" w14:textId="77777777" w:rsidR="004D6A64" w:rsidRDefault="004D6A64">
            <w:pPr>
              <w:rPr>
                <w:rFonts w:ascii="宋体"/>
              </w:rPr>
            </w:pPr>
          </w:p>
        </w:tc>
        <w:tc>
          <w:tcPr>
            <w:tcW w:w="0" w:type="auto"/>
            <w:shd w:val="clear" w:color="auto" w:fill="auto"/>
          </w:tcPr>
          <w:p w14:paraId="33DAC0B1" w14:textId="77777777" w:rsidR="004D6A64" w:rsidRDefault="004D6A64">
            <w:pPr>
              <w:rPr>
                <w:rFonts w:ascii="宋体"/>
              </w:rPr>
            </w:pPr>
          </w:p>
        </w:tc>
        <w:tc>
          <w:tcPr>
            <w:tcW w:w="0" w:type="auto"/>
            <w:shd w:val="clear" w:color="auto" w:fill="auto"/>
          </w:tcPr>
          <w:p w14:paraId="33DAC0B2" w14:textId="77777777" w:rsidR="004D6A64" w:rsidRDefault="004D6A64">
            <w:pPr>
              <w:rPr>
                <w:rFonts w:ascii="宋体"/>
              </w:rPr>
            </w:pPr>
          </w:p>
        </w:tc>
        <w:tc>
          <w:tcPr>
            <w:tcW w:w="0" w:type="auto"/>
            <w:shd w:val="clear" w:color="auto" w:fill="auto"/>
          </w:tcPr>
          <w:p w14:paraId="33DAC0B3" w14:textId="77777777" w:rsidR="004D6A64" w:rsidRDefault="004D6A64">
            <w:pPr>
              <w:rPr>
                <w:rFonts w:ascii="宋体"/>
              </w:rPr>
            </w:pPr>
          </w:p>
        </w:tc>
      </w:tr>
      <w:tr w:rsidR="004D6A64" w14:paraId="33DAC0DF" w14:textId="77777777">
        <w:tc>
          <w:tcPr>
            <w:tcW w:w="0" w:type="auto"/>
            <w:gridSpan w:val="3"/>
            <w:shd w:val="clear" w:color="auto" w:fill="CCEEFF"/>
            <w:tcMar>
              <w:top w:w="40" w:type="dxa"/>
              <w:left w:w="20" w:type="dxa"/>
              <w:bottom w:w="40" w:type="dxa"/>
              <w:right w:w="20" w:type="dxa"/>
            </w:tcMar>
            <w:vAlign w:val="center"/>
          </w:tcPr>
          <w:p w14:paraId="33DAC0B5" w14:textId="77777777" w:rsidR="004D6A64" w:rsidRDefault="00506CD6">
            <w:pPr>
              <w:textAlignment w:val="center"/>
            </w:pPr>
            <w:r>
              <w:rPr>
                <w:rFonts w:ascii="Times New Roman" w:eastAsia="宋体" w:hAnsi="Times New Roman"/>
                <w:color w:val="000000"/>
                <w:sz w:val="20"/>
                <w:szCs w:val="20"/>
              </w:rPr>
              <w:t>Foreign exchange contracts in a liability positio</w:t>
            </w:r>
            <w:r>
              <w:rPr>
                <w:rFonts w:ascii="Times New Roman" w:eastAsia="宋体" w:hAnsi="Times New Roman"/>
                <w:color w:val="000000"/>
                <w:sz w:val="20"/>
                <w:szCs w:val="20"/>
              </w:rPr>
              <w:t>n</w:t>
            </w:r>
          </w:p>
        </w:tc>
        <w:tc>
          <w:tcPr>
            <w:tcW w:w="0" w:type="auto"/>
            <w:gridSpan w:val="2"/>
            <w:shd w:val="clear" w:color="auto" w:fill="CCEEFF"/>
            <w:tcMar>
              <w:top w:w="40" w:type="dxa"/>
              <w:left w:w="20" w:type="dxa"/>
              <w:bottom w:w="40" w:type="dxa"/>
              <w:right w:w="0" w:type="dxa"/>
            </w:tcMar>
            <w:vAlign w:val="center"/>
          </w:tcPr>
          <w:p w14:paraId="33DAC0B6" w14:textId="77777777" w:rsidR="004D6A64" w:rsidRDefault="00506CD6">
            <w:pPr>
              <w:jc w:val="right"/>
              <w:textAlignment w:val="center"/>
            </w:pPr>
            <w:r>
              <w:rPr>
                <w:rFonts w:ascii="Times New Roman" w:eastAsia="宋体" w:hAnsi="Times New Roman"/>
                <w:color w:val="000000"/>
                <w:sz w:val="20"/>
                <w:szCs w:val="20"/>
              </w:rPr>
              <w:t>(162)</w:t>
            </w:r>
          </w:p>
        </w:tc>
        <w:tc>
          <w:tcPr>
            <w:tcW w:w="0" w:type="auto"/>
            <w:shd w:val="clear" w:color="auto" w:fill="CCEEFF"/>
            <w:tcMar>
              <w:top w:w="40" w:type="dxa"/>
              <w:bottom w:w="40" w:type="dxa"/>
              <w:right w:w="20" w:type="dxa"/>
            </w:tcMar>
            <w:vAlign w:val="center"/>
          </w:tcPr>
          <w:p w14:paraId="33DAC0B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0B8"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0B9"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C0B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0BB"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0BC" w14:textId="77777777" w:rsidR="004D6A64" w:rsidRDefault="00506CD6">
            <w:pPr>
              <w:jc w:val="right"/>
              <w:textAlignment w:val="center"/>
            </w:pPr>
            <w:r>
              <w:rPr>
                <w:rFonts w:ascii="Times New Roman" w:eastAsia="宋体" w:hAnsi="Times New Roman"/>
                <w:color w:val="000000"/>
                <w:sz w:val="20"/>
                <w:szCs w:val="20"/>
              </w:rPr>
              <w:t>(81)</w:t>
            </w:r>
          </w:p>
        </w:tc>
        <w:tc>
          <w:tcPr>
            <w:tcW w:w="0" w:type="auto"/>
            <w:shd w:val="clear" w:color="auto" w:fill="CCEEFF"/>
            <w:tcMar>
              <w:top w:w="40" w:type="dxa"/>
              <w:bottom w:w="40" w:type="dxa"/>
              <w:right w:w="20" w:type="dxa"/>
            </w:tcMar>
            <w:vAlign w:val="center"/>
          </w:tcPr>
          <w:p w14:paraId="33DAC0B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0B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0BF" w14:textId="77777777" w:rsidR="004D6A64" w:rsidRDefault="00506CD6">
            <w:pPr>
              <w:jc w:val="right"/>
              <w:textAlignment w:val="center"/>
            </w:pPr>
            <w:r>
              <w:rPr>
                <w:rFonts w:ascii="Times New Roman" w:eastAsia="宋体" w:hAnsi="Times New Roman"/>
                <w:color w:val="000000"/>
                <w:sz w:val="20"/>
                <w:szCs w:val="20"/>
              </w:rPr>
              <w:t>(6)</w:t>
            </w:r>
          </w:p>
        </w:tc>
        <w:tc>
          <w:tcPr>
            <w:tcW w:w="0" w:type="auto"/>
            <w:shd w:val="clear" w:color="auto" w:fill="CCEEFF"/>
            <w:tcMar>
              <w:top w:w="40" w:type="dxa"/>
              <w:bottom w:w="40" w:type="dxa"/>
              <w:right w:w="20" w:type="dxa"/>
            </w:tcMar>
            <w:vAlign w:val="center"/>
          </w:tcPr>
          <w:p w14:paraId="33DAC0C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0C1"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0C2" w14:textId="77777777" w:rsidR="004D6A64" w:rsidRDefault="00506CD6">
            <w:pPr>
              <w:jc w:val="right"/>
              <w:textAlignment w:val="center"/>
            </w:pPr>
            <w:r>
              <w:rPr>
                <w:rFonts w:ascii="Times New Roman" w:eastAsia="宋体" w:hAnsi="Times New Roman"/>
                <w:color w:val="000000"/>
                <w:sz w:val="20"/>
                <w:szCs w:val="20"/>
              </w:rPr>
              <w:t>(249)</w:t>
            </w:r>
          </w:p>
        </w:tc>
        <w:tc>
          <w:tcPr>
            <w:tcW w:w="0" w:type="auto"/>
            <w:shd w:val="clear" w:color="auto" w:fill="CCEEFF"/>
            <w:tcMar>
              <w:top w:w="40" w:type="dxa"/>
              <w:bottom w:w="40" w:type="dxa"/>
              <w:right w:w="20" w:type="dxa"/>
            </w:tcMar>
            <w:vAlign w:val="center"/>
          </w:tcPr>
          <w:p w14:paraId="33DAC0C3" w14:textId="77777777" w:rsidR="004D6A64" w:rsidRDefault="004D6A64">
            <w:pPr>
              <w:jc w:val="right"/>
              <w:rPr>
                <w:rFonts w:ascii="宋体"/>
              </w:rPr>
            </w:pPr>
          </w:p>
        </w:tc>
        <w:tc>
          <w:tcPr>
            <w:tcW w:w="0" w:type="auto"/>
            <w:shd w:val="clear" w:color="auto" w:fill="auto"/>
          </w:tcPr>
          <w:p w14:paraId="33DAC0C4" w14:textId="77777777" w:rsidR="004D6A64" w:rsidRDefault="004D6A64">
            <w:pPr>
              <w:rPr>
                <w:rFonts w:ascii="宋体"/>
              </w:rPr>
            </w:pPr>
          </w:p>
        </w:tc>
        <w:tc>
          <w:tcPr>
            <w:tcW w:w="0" w:type="auto"/>
            <w:shd w:val="clear" w:color="auto" w:fill="auto"/>
          </w:tcPr>
          <w:p w14:paraId="33DAC0C5" w14:textId="77777777" w:rsidR="004D6A64" w:rsidRDefault="004D6A64">
            <w:pPr>
              <w:rPr>
                <w:rFonts w:ascii="宋体"/>
              </w:rPr>
            </w:pPr>
          </w:p>
        </w:tc>
        <w:tc>
          <w:tcPr>
            <w:tcW w:w="0" w:type="auto"/>
            <w:shd w:val="clear" w:color="auto" w:fill="auto"/>
          </w:tcPr>
          <w:p w14:paraId="33DAC0C6" w14:textId="77777777" w:rsidR="004D6A64" w:rsidRDefault="004D6A64">
            <w:pPr>
              <w:rPr>
                <w:rFonts w:ascii="宋体"/>
              </w:rPr>
            </w:pPr>
          </w:p>
        </w:tc>
        <w:tc>
          <w:tcPr>
            <w:tcW w:w="0" w:type="auto"/>
            <w:shd w:val="clear" w:color="auto" w:fill="auto"/>
          </w:tcPr>
          <w:p w14:paraId="33DAC0C7" w14:textId="77777777" w:rsidR="004D6A64" w:rsidRDefault="004D6A64">
            <w:pPr>
              <w:rPr>
                <w:rFonts w:ascii="宋体"/>
              </w:rPr>
            </w:pPr>
          </w:p>
        </w:tc>
        <w:tc>
          <w:tcPr>
            <w:tcW w:w="0" w:type="auto"/>
            <w:shd w:val="clear" w:color="auto" w:fill="auto"/>
          </w:tcPr>
          <w:p w14:paraId="33DAC0C8" w14:textId="77777777" w:rsidR="004D6A64" w:rsidRDefault="004D6A64">
            <w:pPr>
              <w:rPr>
                <w:rFonts w:ascii="宋体"/>
              </w:rPr>
            </w:pPr>
          </w:p>
        </w:tc>
        <w:tc>
          <w:tcPr>
            <w:tcW w:w="0" w:type="auto"/>
            <w:shd w:val="clear" w:color="auto" w:fill="auto"/>
          </w:tcPr>
          <w:p w14:paraId="33DAC0C9" w14:textId="77777777" w:rsidR="004D6A64" w:rsidRDefault="004D6A64">
            <w:pPr>
              <w:rPr>
                <w:rFonts w:ascii="宋体"/>
              </w:rPr>
            </w:pPr>
          </w:p>
        </w:tc>
        <w:tc>
          <w:tcPr>
            <w:tcW w:w="0" w:type="auto"/>
            <w:shd w:val="clear" w:color="auto" w:fill="auto"/>
          </w:tcPr>
          <w:p w14:paraId="33DAC0CA" w14:textId="77777777" w:rsidR="004D6A64" w:rsidRDefault="004D6A64">
            <w:pPr>
              <w:rPr>
                <w:rFonts w:ascii="宋体"/>
              </w:rPr>
            </w:pPr>
          </w:p>
        </w:tc>
        <w:tc>
          <w:tcPr>
            <w:tcW w:w="0" w:type="auto"/>
            <w:shd w:val="clear" w:color="auto" w:fill="auto"/>
          </w:tcPr>
          <w:p w14:paraId="33DAC0CB" w14:textId="77777777" w:rsidR="004D6A64" w:rsidRDefault="004D6A64">
            <w:pPr>
              <w:rPr>
                <w:rFonts w:ascii="宋体"/>
              </w:rPr>
            </w:pPr>
          </w:p>
        </w:tc>
        <w:tc>
          <w:tcPr>
            <w:tcW w:w="0" w:type="auto"/>
            <w:shd w:val="clear" w:color="auto" w:fill="auto"/>
          </w:tcPr>
          <w:p w14:paraId="33DAC0CC" w14:textId="77777777" w:rsidR="004D6A64" w:rsidRDefault="004D6A64">
            <w:pPr>
              <w:rPr>
                <w:rFonts w:ascii="宋体"/>
              </w:rPr>
            </w:pPr>
          </w:p>
        </w:tc>
        <w:tc>
          <w:tcPr>
            <w:tcW w:w="0" w:type="auto"/>
            <w:shd w:val="clear" w:color="auto" w:fill="auto"/>
          </w:tcPr>
          <w:p w14:paraId="33DAC0CD" w14:textId="77777777" w:rsidR="004D6A64" w:rsidRDefault="004D6A64">
            <w:pPr>
              <w:rPr>
                <w:rFonts w:ascii="宋体"/>
              </w:rPr>
            </w:pPr>
          </w:p>
        </w:tc>
        <w:tc>
          <w:tcPr>
            <w:tcW w:w="0" w:type="auto"/>
            <w:shd w:val="clear" w:color="auto" w:fill="auto"/>
          </w:tcPr>
          <w:p w14:paraId="33DAC0CE" w14:textId="77777777" w:rsidR="004D6A64" w:rsidRDefault="004D6A64">
            <w:pPr>
              <w:rPr>
                <w:rFonts w:ascii="宋体"/>
              </w:rPr>
            </w:pPr>
          </w:p>
        </w:tc>
        <w:tc>
          <w:tcPr>
            <w:tcW w:w="0" w:type="auto"/>
            <w:shd w:val="clear" w:color="auto" w:fill="auto"/>
          </w:tcPr>
          <w:p w14:paraId="33DAC0CF" w14:textId="77777777" w:rsidR="004D6A64" w:rsidRDefault="004D6A64">
            <w:pPr>
              <w:rPr>
                <w:rFonts w:ascii="宋体"/>
              </w:rPr>
            </w:pPr>
          </w:p>
        </w:tc>
        <w:tc>
          <w:tcPr>
            <w:tcW w:w="0" w:type="auto"/>
            <w:shd w:val="clear" w:color="auto" w:fill="auto"/>
          </w:tcPr>
          <w:p w14:paraId="33DAC0D0" w14:textId="77777777" w:rsidR="004D6A64" w:rsidRDefault="004D6A64">
            <w:pPr>
              <w:rPr>
                <w:rFonts w:ascii="宋体"/>
              </w:rPr>
            </w:pPr>
          </w:p>
        </w:tc>
        <w:tc>
          <w:tcPr>
            <w:tcW w:w="0" w:type="auto"/>
            <w:shd w:val="clear" w:color="auto" w:fill="auto"/>
          </w:tcPr>
          <w:p w14:paraId="33DAC0D1" w14:textId="77777777" w:rsidR="004D6A64" w:rsidRDefault="004D6A64">
            <w:pPr>
              <w:rPr>
                <w:rFonts w:ascii="宋体"/>
              </w:rPr>
            </w:pPr>
          </w:p>
        </w:tc>
        <w:tc>
          <w:tcPr>
            <w:tcW w:w="0" w:type="auto"/>
            <w:shd w:val="clear" w:color="auto" w:fill="auto"/>
          </w:tcPr>
          <w:p w14:paraId="33DAC0D2" w14:textId="77777777" w:rsidR="004D6A64" w:rsidRDefault="004D6A64">
            <w:pPr>
              <w:rPr>
                <w:rFonts w:ascii="宋体"/>
              </w:rPr>
            </w:pPr>
          </w:p>
        </w:tc>
        <w:tc>
          <w:tcPr>
            <w:tcW w:w="0" w:type="auto"/>
            <w:shd w:val="clear" w:color="auto" w:fill="auto"/>
          </w:tcPr>
          <w:p w14:paraId="33DAC0D3" w14:textId="77777777" w:rsidR="004D6A64" w:rsidRDefault="004D6A64">
            <w:pPr>
              <w:rPr>
                <w:rFonts w:ascii="宋体"/>
              </w:rPr>
            </w:pPr>
          </w:p>
        </w:tc>
        <w:tc>
          <w:tcPr>
            <w:tcW w:w="0" w:type="auto"/>
            <w:shd w:val="clear" w:color="auto" w:fill="auto"/>
          </w:tcPr>
          <w:p w14:paraId="33DAC0D4" w14:textId="77777777" w:rsidR="004D6A64" w:rsidRDefault="004D6A64">
            <w:pPr>
              <w:rPr>
                <w:rFonts w:ascii="宋体"/>
              </w:rPr>
            </w:pPr>
          </w:p>
        </w:tc>
        <w:tc>
          <w:tcPr>
            <w:tcW w:w="0" w:type="auto"/>
            <w:shd w:val="clear" w:color="auto" w:fill="auto"/>
          </w:tcPr>
          <w:p w14:paraId="33DAC0D5" w14:textId="77777777" w:rsidR="004D6A64" w:rsidRDefault="004D6A64">
            <w:pPr>
              <w:rPr>
                <w:rFonts w:ascii="宋体"/>
              </w:rPr>
            </w:pPr>
          </w:p>
        </w:tc>
        <w:tc>
          <w:tcPr>
            <w:tcW w:w="0" w:type="auto"/>
            <w:shd w:val="clear" w:color="auto" w:fill="auto"/>
          </w:tcPr>
          <w:p w14:paraId="33DAC0D6" w14:textId="77777777" w:rsidR="004D6A64" w:rsidRDefault="004D6A64">
            <w:pPr>
              <w:rPr>
                <w:rFonts w:ascii="宋体"/>
              </w:rPr>
            </w:pPr>
          </w:p>
        </w:tc>
        <w:tc>
          <w:tcPr>
            <w:tcW w:w="0" w:type="auto"/>
            <w:shd w:val="clear" w:color="auto" w:fill="auto"/>
          </w:tcPr>
          <w:p w14:paraId="33DAC0D7" w14:textId="77777777" w:rsidR="004D6A64" w:rsidRDefault="004D6A64">
            <w:pPr>
              <w:rPr>
                <w:rFonts w:ascii="宋体"/>
              </w:rPr>
            </w:pPr>
          </w:p>
        </w:tc>
        <w:tc>
          <w:tcPr>
            <w:tcW w:w="0" w:type="auto"/>
            <w:shd w:val="clear" w:color="auto" w:fill="auto"/>
          </w:tcPr>
          <w:p w14:paraId="33DAC0D8" w14:textId="77777777" w:rsidR="004D6A64" w:rsidRDefault="004D6A64">
            <w:pPr>
              <w:rPr>
                <w:rFonts w:ascii="宋体"/>
              </w:rPr>
            </w:pPr>
          </w:p>
        </w:tc>
        <w:tc>
          <w:tcPr>
            <w:tcW w:w="0" w:type="auto"/>
            <w:shd w:val="clear" w:color="auto" w:fill="auto"/>
          </w:tcPr>
          <w:p w14:paraId="33DAC0D9" w14:textId="77777777" w:rsidR="004D6A64" w:rsidRDefault="004D6A64">
            <w:pPr>
              <w:rPr>
                <w:rFonts w:ascii="宋体"/>
              </w:rPr>
            </w:pPr>
          </w:p>
        </w:tc>
        <w:tc>
          <w:tcPr>
            <w:tcW w:w="0" w:type="auto"/>
            <w:shd w:val="clear" w:color="auto" w:fill="auto"/>
          </w:tcPr>
          <w:p w14:paraId="33DAC0DA" w14:textId="77777777" w:rsidR="004D6A64" w:rsidRDefault="004D6A64">
            <w:pPr>
              <w:rPr>
                <w:rFonts w:ascii="宋体"/>
              </w:rPr>
            </w:pPr>
          </w:p>
        </w:tc>
        <w:tc>
          <w:tcPr>
            <w:tcW w:w="0" w:type="auto"/>
            <w:shd w:val="clear" w:color="auto" w:fill="auto"/>
          </w:tcPr>
          <w:p w14:paraId="33DAC0DB" w14:textId="77777777" w:rsidR="004D6A64" w:rsidRDefault="004D6A64">
            <w:pPr>
              <w:rPr>
                <w:rFonts w:ascii="宋体"/>
              </w:rPr>
            </w:pPr>
          </w:p>
        </w:tc>
        <w:tc>
          <w:tcPr>
            <w:tcW w:w="0" w:type="auto"/>
            <w:shd w:val="clear" w:color="auto" w:fill="auto"/>
          </w:tcPr>
          <w:p w14:paraId="33DAC0DC" w14:textId="77777777" w:rsidR="004D6A64" w:rsidRDefault="004D6A64">
            <w:pPr>
              <w:rPr>
                <w:rFonts w:ascii="宋体"/>
              </w:rPr>
            </w:pPr>
          </w:p>
        </w:tc>
        <w:tc>
          <w:tcPr>
            <w:tcW w:w="0" w:type="auto"/>
            <w:shd w:val="clear" w:color="auto" w:fill="auto"/>
          </w:tcPr>
          <w:p w14:paraId="33DAC0DD" w14:textId="77777777" w:rsidR="004D6A64" w:rsidRDefault="004D6A64">
            <w:pPr>
              <w:rPr>
                <w:rFonts w:ascii="宋体"/>
              </w:rPr>
            </w:pPr>
          </w:p>
        </w:tc>
        <w:tc>
          <w:tcPr>
            <w:tcW w:w="0" w:type="auto"/>
            <w:shd w:val="clear" w:color="auto" w:fill="auto"/>
          </w:tcPr>
          <w:p w14:paraId="33DAC0DE" w14:textId="77777777" w:rsidR="004D6A64" w:rsidRDefault="004D6A64">
            <w:pPr>
              <w:rPr>
                <w:rFonts w:ascii="宋体"/>
              </w:rPr>
            </w:pPr>
          </w:p>
        </w:tc>
      </w:tr>
      <w:tr w:rsidR="004D6A64" w14:paraId="33DAC10A" w14:textId="77777777">
        <w:tc>
          <w:tcPr>
            <w:tcW w:w="0" w:type="auto"/>
            <w:gridSpan w:val="3"/>
            <w:shd w:val="clear" w:color="auto" w:fill="FFFFFF"/>
            <w:tcMar>
              <w:top w:w="40" w:type="dxa"/>
              <w:left w:w="20" w:type="dxa"/>
              <w:bottom w:w="40" w:type="dxa"/>
              <w:right w:w="20" w:type="dxa"/>
            </w:tcMar>
            <w:vAlign w:val="center"/>
          </w:tcPr>
          <w:p w14:paraId="33DAC0E0" w14:textId="77777777" w:rsidR="004D6A64" w:rsidRDefault="00506CD6">
            <w:pPr>
              <w:textAlignment w:val="center"/>
            </w:pPr>
            <w:r>
              <w:rPr>
                <w:rFonts w:ascii="Times New Roman" w:eastAsia="宋体" w:hAnsi="Times New Roman"/>
                <w:color w:val="000000"/>
                <w:sz w:val="20"/>
                <w:szCs w:val="20"/>
              </w:rPr>
              <w:t>Interest rate contracts in an asset position</w:t>
            </w:r>
          </w:p>
        </w:tc>
        <w:tc>
          <w:tcPr>
            <w:tcW w:w="0" w:type="auto"/>
            <w:gridSpan w:val="2"/>
            <w:shd w:val="clear" w:color="auto" w:fill="FFFFFF"/>
            <w:tcMar>
              <w:top w:w="40" w:type="dxa"/>
              <w:left w:w="20" w:type="dxa"/>
              <w:bottom w:w="40" w:type="dxa"/>
              <w:right w:w="0" w:type="dxa"/>
            </w:tcMar>
            <w:vAlign w:val="center"/>
          </w:tcPr>
          <w:p w14:paraId="33DAC0E1"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C0E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0E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0E4" w14:textId="77777777" w:rsidR="004D6A64" w:rsidRDefault="00506CD6">
            <w:pPr>
              <w:jc w:val="right"/>
              <w:textAlignment w:val="center"/>
            </w:pPr>
            <w:r>
              <w:rPr>
                <w:rFonts w:ascii="Times New Roman" w:eastAsia="宋体" w:hAnsi="Times New Roman"/>
                <w:color w:val="000000"/>
                <w:sz w:val="20"/>
                <w:szCs w:val="20"/>
              </w:rPr>
              <w:t>1 </w:t>
            </w:r>
          </w:p>
        </w:tc>
        <w:tc>
          <w:tcPr>
            <w:tcW w:w="0" w:type="auto"/>
            <w:shd w:val="clear" w:color="auto" w:fill="FFFFFF"/>
            <w:tcMar>
              <w:top w:w="40" w:type="dxa"/>
              <w:bottom w:w="40" w:type="dxa"/>
              <w:right w:w="20" w:type="dxa"/>
            </w:tcMar>
            <w:vAlign w:val="center"/>
          </w:tcPr>
          <w:p w14:paraId="33DAC0E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0E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0E7"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C0E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0E9"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0EA"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C0E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0EC"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0ED" w14:textId="77777777" w:rsidR="004D6A64" w:rsidRDefault="00506CD6">
            <w:pPr>
              <w:jc w:val="right"/>
              <w:textAlignment w:val="center"/>
            </w:pPr>
            <w:r>
              <w:rPr>
                <w:rFonts w:ascii="Times New Roman" w:eastAsia="宋体" w:hAnsi="Times New Roman"/>
                <w:color w:val="000000"/>
                <w:sz w:val="20"/>
                <w:szCs w:val="20"/>
              </w:rPr>
              <w:t>1 </w:t>
            </w:r>
          </w:p>
        </w:tc>
        <w:tc>
          <w:tcPr>
            <w:tcW w:w="0" w:type="auto"/>
            <w:shd w:val="clear" w:color="auto" w:fill="FFFFFF"/>
            <w:tcMar>
              <w:top w:w="40" w:type="dxa"/>
              <w:bottom w:w="40" w:type="dxa"/>
              <w:right w:w="20" w:type="dxa"/>
            </w:tcMar>
            <w:vAlign w:val="center"/>
          </w:tcPr>
          <w:p w14:paraId="33DAC0EE" w14:textId="77777777" w:rsidR="004D6A64" w:rsidRDefault="004D6A64">
            <w:pPr>
              <w:jc w:val="right"/>
              <w:rPr>
                <w:rFonts w:ascii="宋体"/>
              </w:rPr>
            </w:pPr>
          </w:p>
        </w:tc>
        <w:tc>
          <w:tcPr>
            <w:tcW w:w="0" w:type="auto"/>
            <w:shd w:val="clear" w:color="auto" w:fill="auto"/>
          </w:tcPr>
          <w:p w14:paraId="33DAC0EF" w14:textId="77777777" w:rsidR="004D6A64" w:rsidRDefault="004D6A64">
            <w:pPr>
              <w:rPr>
                <w:rFonts w:ascii="宋体"/>
              </w:rPr>
            </w:pPr>
          </w:p>
        </w:tc>
        <w:tc>
          <w:tcPr>
            <w:tcW w:w="0" w:type="auto"/>
            <w:shd w:val="clear" w:color="auto" w:fill="auto"/>
          </w:tcPr>
          <w:p w14:paraId="33DAC0F0" w14:textId="77777777" w:rsidR="004D6A64" w:rsidRDefault="004D6A64">
            <w:pPr>
              <w:rPr>
                <w:rFonts w:ascii="宋体"/>
              </w:rPr>
            </w:pPr>
          </w:p>
        </w:tc>
        <w:tc>
          <w:tcPr>
            <w:tcW w:w="0" w:type="auto"/>
            <w:shd w:val="clear" w:color="auto" w:fill="auto"/>
          </w:tcPr>
          <w:p w14:paraId="33DAC0F1" w14:textId="77777777" w:rsidR="004D6A64" w:rsidRDefault="004D6A64">
            <w:pPr>
              <w:rPr>
                <w:rFonts w:ascii="宋体"/>
              </w:rPr>
            </w:pPr>
          </w:p>
        </w:tc>
        <w:tc>
          <w:tcPr>
            <w:tcW w:w="0" w:type="auto"/>
            <w:shd w:val="clear" w:color="auto" w:fill="auto"/>
          </w:tcPr>
          <w:p w14:paraId="33DAC0F2" w14:textId="77777777" w:rsidR="004D6A64" w:rsidRDefault="004D6A64">
            <w:pPr>
              <w:rPr>
                <w:rFonts w:ascii="宋体"/>
              </w:rPr>
            </w:pPr>
          </w:p>
        </w:tc>
        <w:tc>
          <w:tcPr>
            <w:tcW w:w="0" w:type="auto"/>
            <w:shd w:val="clear" w:color="auto" w:fill="auto"/>
          </w:tcPr>
          <w:p w14:paraId="33DAC0F3" w14:textId="77777777" w:rsidR="004D6A64" w:rsidRDefault="004D6A64">
            <w:pPr>
              <w:rPr>
                <w:rFonts w:ascii="宋体"/>
              </w:rPr>
            </w:pPr>
          </w:p>
        </w:tc>
        <w:tc>
          <w:tcPr>
            <w:tcW w:w="0" w:type="auto"/>
            <w:shd w:val="clear" w:color="auto" w:fill="auto"/>
          </w:tcPr>
          <w:p w14:paraId="33DAC0F4" w14:textId="77777777" w:rsidR="004D6A64" w:rsidRDefault="004D6A64">
            <w:pPr>
              <w:rPr>
                <w:rFonts w:ascii="宋体"/>
              </w:rPr>
            </w:pPr>
          </w:p>
        </w:tc>
        <w:tc>
          <w:tcPr>
            <w:tcW w:w="0" w:type="auto"/>
            <w:shd w:val="clear" w:color="auto" w:fill="auto"/>
          </w:tcPr>
          <w:p w14:paraId="33DAC0F5" w14:textId="77777777" w:rsidR="004D6A64" w:rsidRDefault="004D6A64">
            <w:pPr>
              <w:rPr>
                <w:rFonts w:ascii="宋体"/>
              </w:rPr>
            </w:pPr>
          </w:p>
        </w:tc>
        <w:tc>
          <w:tcPr>
            <w:tcW w:w="0" w:type="auto"/>
            <w:shd w:val="clear" w:color="auto" w:fill="auto"/>
          </w:tcPr>
          <w:p w14:paraId="33DAC0F6" w14:textId="77777777" w:rsidR="004D6A64" w:rsidRDefault="004D6A64">
            <w:pPr>
              <w:rPr>
                <w:rFonts w:ascii="宋体"/>
              </w:rPr>
            </w:pPr>
          </w:p>
        </w:tc>
        <w:tc>
          <w:tcPr>
            <w:tcW w:w="0" w:type="auto"/>
            <w:shd w:val="clear" w:color="auto" w:fill="auto"/>
          </w:tcPr>
          <w:p w14:paraId="33DAC0F7" w14:textId="77777777" w:rsidR="004D6A64" w:rsidRDefault="004D6A64">
            <w:pPr>
              <w:rPr>
                <w:rFonts w:ascii="宋体"/>
              </w:rPr>
            </w:pPr>
          </w:p>
        </w:tc>
        <w:tc>
          <w:tcPr>
            <w:tcW w:w="0" w:type="auto"/>
            <w:shd w:val="clear" w:color="auto" w:fill="auto"/>
          </w:tcPr>
          <w:p w14:paraId="33DAC0F8" w14:textId="77777777" w:rsidR="004D6A64" w:rsidRDefault="004D6A64">
            <w:pPr>
              <w:rPr>
                <w:rFonts w:ascii="宋体"/>
              </w:rPr>
            </w:pPr>
          </w:p>
        </w:tc>
        <w:tc>
          <w:tcPr>
            <w:tcW w:w="0" w:type="auto"/>
            <w:shd w:val="clear" w:color="auto" w:fill="auto"/>
          </w:tcPr>
          <w:p w14:paraId="33DAC0F9" w14:textId="77777777" w:rsidR="004D6A64" w:rsidRDefault="004D6A64">
            <w:pPr>
              <w:rPr>
                <w:rFonts w:ascii="宋体"/>
              </w:rPr>
            </w:pPr>
          </w:p>
        </w:tc>
        <w:tc>
          <w:tcPr>
            <w:tcW w:w="0" w:type="auto"/>
            <w:shd w:val="clear" w:color="auto" w:fill="auto"/>
          </w:tcPr>
          <w:p w14:paraId="33DAC0FA" w14:textId="77777777" w:rsidR="004D6A64" w:rsidRDefault="004D6A64">
            <w:pPr>
              <w:rPr>
                <w:rFonts w:ascii="宋体"/>
              </w:rPr>
            </w:pPr>
          </w:p>
        </w:tc>
        <w:tc>
          <w:tcPr>
            <w:tcW w:w="0" w:type="auto"/>
            <w:shd w:val="clear" w:color="auto" w:fill="auto"/>
          </w:tcPr>
          <w:p w14:paraId="33DAC0FB" w14:textId="77777777" w:rsidR="004D6A64" w:rsidRDefault="004D6A64">
            <w:pPr>
              <w:rPr>
                <w:rFonts w:ascii="宋体"/>
              </w:rPr>
            </w:pPr>
          </w:p>
        </w:tc>
        <w:tc>
          <w:tcPr>
            <w:tcW w:w="0" w:type="auto"/>
            <w:shd w:val="clear" w:color="auto" w:fill="auto"/>
          </w:tcPr>
          <w:p w14:paraId="33DAC0FC" w14:textId="77777777" w:rsidR="004D6A64" w:rsidRDefault="004D6A64">
            <w:pPr>
              <w:rPr>
                <w:rFonts w:ascii="宋体"/>
              </w:rPr>
            </w:pPr>
          </w:p>
        </w:tc>
        <w:tc>
          <w:tcPr>
            <w:tcW w:w="0" w:type="auto"/>
            <w:shd w:val="clear" w:color="auto" w:fill="auto"/>
          </w:tcPr>
          <w:p w14:paraId="33DAC0FD" w14:textId="77777777" w:rsidR="004D6A64" w:rsidRDefault="004D6A64">
            <w:pPr>
              <w:rPr>
                <w:rFonts w:ascii="宋体"/>
              </w:rPr>
            </w:pPr>
          </w:p>
        </w:tc>
        <w:tc>
          <w:tcPr>
            <w:tcW w:w="0" w:type="auto"/>
            <w:shd w:val="clear" w:color="auto" w:fill="auto"/>
          </w:tcPr>
          <w:p w14:paraId="33DAC0FE" w14:textId="77777777" w:rsidR="004D6A64" w:rsidRDefault="004D6A64">
            <w:pPr>
              <w:rPr>
                <w:rFonts w:ascii="宋体"/>
              </w:rPr>
            </w:pPr>
          </w:p>
        </w:tc>
        <w:tc>
          <w:tcPr>
            <w:tcW w:w="0" w:type="auto"/>
            <w:shd w:val="clear" w:color="auto" w:fill="auto"/>
          </w:tcPr>
          <w:p w14:paraId="33DAC0FF" w14:textId="77777777" w:rsidR="004D6A64" w:rsidRDefault="004D6A64">
            <w:pPr>
              <w:rPr>
                <w:rFonts w:ascii="宋体"/>
              </w:rPr>
            </w:pPr>
          </w:p>
        </w:tc>
        <w:tc>
          <w:tcPr>
            <w:tcW w:w="0" w:type="auto"/>
            <w:shd w:val="clear" w:color="auto" w:fill="auto"/>
          </w:tcPr>
          <w:p w14:paraId="33DAC100" w14:textId="77777777" w:rsidR="004D6A64" w:rsidRDefault="004D6A64">
            <w:pPr>
              <w:rPr>
                <w:rFonts w:ascii="宋体"/>
              </w:rPr>
            </w:pPr>
          </w:p>
        </w:tc>
        <w:tc>
          <w:tcPr>
            <w:tcW w:w="0" w:type="auto"/>
            <w:shd w:val="clear" w:color="auto" w:fill="auto"/>
          </w:tcPr>
          <w:p w14:paraId="33DAC101" w14:textId="77777777" w:rsidR="004D6A64" w:rsidRDefault="004D6A64">
            <w:pPr>
              <w:rPr>
                <w:rFonts w:ascii="宋体"/>
              </w:rPr>
            </w:pPr>
          </w:p>
        </w:tc>
        <w:tc>
          <w:tcPr>
            <w:tcW w:w="0" w:type="auto"/>
            <w:shd w:val="clear" w:color="auto" w:fill="auto"/>
          </w:tcPr>
          <w:p w14:paraId="33DAC102" w14:textId="77777777" w:rsidR="004D6A64" w:rsidRDefault="004D6A64">
            <w:pPr>
              <w:rPr>
                <w:rFonts w:ascii="宋体"/>
              </w:rPr>
            </w:pPr>
          </w:p>
        </w:tc>
        <w:tc>
          <w:tcPr>
            <w:tcW w:w="0" w:type="auto"/>
            <w:shd w:val="clear" w:color="auto" w:fill="auto"/>
          </w:tcPr>
          <w:p w14:paraId="33DAC103" w14:textId="77777777" w:rsidR="004D6A64" w:rsidRDefault="004D6A64">
            <w:pPr>
              <w:rPr>
                <w:rFonts w:ascii="宋体"/>
              </w:rPr>
            </w:pPr>
          </w:p>
        </w:tc>
        <w:tc>
          <w:tcPr>
            <w:tcW w:w="0" w:type="auto"/>
            <w:shd w:val="clear" w:color="auto" w:fill="auto"/>
          </w:tcPr>
          <w:p w14:paraId="33DAC104" w14:textId="77777777" w:rsidR="004D6A64" w:rsidRDefault="004D6A64">
            <w:pPr>
              <w:rPr>
                <w:rFonts w:ascii="宋体"/>
              </w:rPr>
            </w:pPr>
          </w:p>
        </w:tc>
        <w:tc>
          <w:tcPr>
            <w:tcW w:w="0" w:type="auto"/>
            <w:shd w:val="clear" w:color="auto" w:fill="auto"/>
          </w:tcPr>
          <w:p w14:paraId="33DAC105" w14:textId="77777777" w:rsidR="004D6A64" w:rsidRDefault="004D6A64">
            <w:pPr>
              <w:rPr>
                <w:rFonts w:ascii="宋体"/>
              </w:rPr>
            </w:pPr>
          </w:p>
        </w:tc>
        <w:tc>
          <w:tcPr>
            <w:tcW w:w="0" w:type="auto"/>
            <w:shd w:val="clear" w:color="auto" w:fill="auto"/>
          </w:tcPr>
          <w:p w14:paraId="33DAC106" w14:textId="77777777" w:rsidR="004D6A64" w:rsidRDefault="004D6A64">
            <w:pPr>
              <w:rPr>
                <w:rFonts w:ascii="宋体"/>
              </w:rPr>
            </w:pPr>
          </w:p>
        </w:tc>
        <w:tc>
          <w:tcPr>
            <w:tcW w:w="0" w:type="auto"/>
            <w:shd w:val="clear" w:color="auto" w:fill="auto"/>
          </w:tcPr>
          <w:p w14:paraId="33DAC107" w14:textId="77777777" w:rsidR="004D6A64" w:rsidRDefault="004D6A64">
            <w:pPr>
              <w:rPr>
                <w:rFonts w:ascii="宋体"/>
              </w:rPr>
            </w:pPr>
          </w:p>
        </w:tc>
        <w:tc>
          <w:tcPr>
            <w:tcW w:w="0" w:type="auto"/>
            <w:shd w:val="clear" w:color="auto" w:fill="auto"/>
          </w:tcPr>
          <w:p w14:paraId="33DAC108" w14:textId="77777777" w:rsidR="004D6A64" w:rsidRDefault="004D6A64">
            <w:pPr>
              <w:rPr>
                <w:rFonts w:ascii="宋体"/>
              </w:rPr>
            </w:pPr>
          </w:p>
        </w:tc>
        <w:tc>
          <w:tcPr>
            <w:tcW w:w="0" w:type="auto"/>
            <w:shd w:val="clear" w:color="auto" w:fill="auto"/>
          </w:tcPr>
          <w:p w14:paraId="33DAC109" w14:textId="77777777" w:rsidR="004D6A64" w:rsidRDefault="004D6A64">
            <w:pPr>
              <w:rPr>
                <w:rFonts w:ascii="宋体"/>
              </w:rPr>
            </w:pPr>
          </w:p>
        </w:tc>
      </w:tr>
      <w:tr w:rsidR="004D6A64" w14:paraId="33DAC135" w14:textId="77777777">
        <w:tc>
          <w:tcPr>
            <w:tcW w:w="0" w:type="auto"/>
            <w:gridSpan w:val="3"/>
            <w:shd w:val="clear" w:color="auto" w:fill="CCEEFF"/>
            <w:tcMar>
              <w:top w:w="40" w:type="dxa"/>
              <w:left w:w="20" w:type="dxa"/>
              <w:bottom w:w="40" w:type="dxa"/>
              <w:right w:w="20" w:type="dxa"/>
            </w:tcMar>
            <w:vAlign w:val="center"/>
          </w:tcPr>
          <w:p w14:paraId="33DAC10B" w14:textId="77777777" w:rsidR="004D6A64" w:rsidRDefault="00506CD6">
            <w:pPr>
              <w:textAlignment w:val="center"/>
            </w:pPr>
            <w:r>
              <w:rPr>
                <w:rFonts w:ascii="Times New Roman" w:eastAsia="宋体" w:hAnsi="Times New Roman"/>
                <w:color w:val="000000"/>
                <w:sz w:val="20"/>
                <w:szCs w:val="20"/>
              </w:rPr>
              <w:t xml:space="preserve">Interest rate contracts in a liability </w:t>
            </w:r>
            <w:r>
              <w:rPr>
                <w:rFonts w:ascii="Times New Roman" w:eastAsia="宋体" w:hAnsi="Times New Roman"/>
                <w:color w:val="000000"/>
                <w:sz w:val="20"/>
                <w:szCs w:val="20"/>
              </w:rPr>
              <w:t>position</w:t>
            </w:r>
          </w:p>
        </w:tc>
        <w:tc>
          <w:tcPr>
            <w:tcW w:w="0" w:type="auto"/>
            <w:gridSpan w:val="2"/>
            <w:shd w:val="clear" w:color="auto" w:fill="CCEEFF"/>
            <w:tcMar>
              <w:top w:w="40" w:type="dxa"/>
              <w:left w:w="20" w:type="dxa"/>
              <w:bottom w:w="40" w:type="dxa"/>
              <w:right w:w="0" w:type="dxa"/>
            </w:tcMar>
            <w:vAlign w:val="center"/>
          </w:tcPr>
          <w:p w14:paraId="33DAC10C"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C10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10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10F"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C11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111"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112"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C11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114"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115" w14:textId="77777777" w:rsidR="004D6A64" w:rsidRDefault="00506CD6">
            <w:pPr>
              <w:jc w:val="right"/>
              <w:textAlignment w:val="center"/>
            </w:pPr>
            <w:r>
              <w:rPr>
                <w:rFonts w:ascii="Times New Roman" w:eastAsia="宋体" w:hAnsi="Times New Roman"/>
                <w:color w:val="000000"/>
                <w:sz w:val="20"/>
                <w:szCs w:val="20"/>
              </w:rPr>
              <w:t>(32)</w:t>
            </w:r>
          </w:p>
        </w:tc>
        <w:tc>
          <w:tcPr>
            <w:tcW w:w="0" w:type="auto"/>
            <w:shd w:val="clear" w:color="auto" w:fill="CCEEFF"/>
            <w:tcMar>
              <w:top w:w="40" w:type="dxa"/>
              <w:bottom w:w="40" w:type="dxa"/>
              <w:right w:w="20" w:type="dxa"/>
            </w:tcMar>
            <w:vAlign w:val="center"/>
          </w:tcPr>
          <w:p w14:paraId="33DAC11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117"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118" w14:textId="77777777" w:rsidR="004D6A64" w:rsidRDefault="00506CD6">
            <w:pPr>
              <w:jc w:val="right"/>
              <w:textAlignment w:val="center"/>
            </w:pPr>
            <w:r>
              <w:rPr>
                <w:rFonts w:ascii="Times New Roman" w:eastAsia="宋体" w:hAnsi="Times New Roman"/>
                <w:color w:val="000000"/>
                <w:sz w:val="20"/>
                <w:szCs w:val="20"/>
              </w:rPr>
              <w:t>(32)</w:t>
            </w:r>
          </w:p>
        </w:tc>
        <w:tc>
          <w:tcPr>
            <w:tcW w:w="0" w:type="auto"/>
            <w:shd w:val="clear" w:color="auto" w:fill="CCEEFF"/>
            <w:tcMar>
              <w:top w:w="40" w:type="dxa"/>
              <w:bottom w:w="40" w:type="dxa"/>
              <w:right w:w="20" w:type="dxa"/>
            </w:tcMar>
            <w:vAlign w:val="center"/>
          </w:tcPr>
          <w:p w14:paraId="33DAC119" w14:textId="77777777" w:rsidR="004D6A64" w:rsidRDefault="004D6A64">
            <w:pPr>
              <w:jc w:val="right"/>
              <w:rPr>
                <w:rFonts w:ascii="宋体"/>
              </w:rPr>
            </w:pPr>
          </w:p>
        </w:tc>
        <w:tc>
          <w:tcPr>
            <w:tcW w:w="0" w:type="auto"/>
            <w:shd w:val="clear" w:color="auto" w:fill="auto"/>
          </w:tcPr>
          <w:p w14:paraId="33DAC11A" w14:textId="77777777" w:rsidR="004D6A64" w:rsidRDefault="004D6A64">
            <w:pPr>
              <w:rPr>
                <w:rFonts w:ascii="宋体"/>
              </w:rPr>
            </w:pPr>
          </w:p>
        </w:tc>
        <w:tc>
          <w:tcPr>
            <w:tcW w:w="0" w:type="auto"/>
            <w:shd w:val="clear" w:color="auto" w:fill="auto"/>
          </w:tcPr>
          <w:p w14:paraId="33DAC11B" w14:textId="77777777" w:rsidR="004D6A64" w:rsidRDefault="004D6A64">
            <w:pPr>
              <w:rPr>
                <w:rFonts w:ascii="宋体"/>
              </w:rPr>
            </w:pPr>
          </w:p>
        </w:tc>
        <w:tc>
          <w:tcPr>
            <w:tcW w:w="0" w:type="auto"/>
            <w:shd w:val="clear" w:color="auto" w:fill="auto"/>
          </w:tcPr>
          <w:p w14:paraId="33DAC11C" w14:textId="77777777" w:rsidR="004D6A64" w:rsidRDefault="004D6A64">
            <w:pPr>
              <w:rPr>
                <w:rFonts w:ascii="宋体"/>
              </w:rPr>
            </w:pPr>
          </w:p>
        </w:tc>
        <w:tc>
          <w:tcPr>
            <w:tcW w:w="0" w:type="auto"/>
            <w:shd w:val="clear" w:color="auto" w:fill="auto"/>
          </w:tcPr>
          <w:p w14:paraId="33DAC11D" w14:textId="77777777" w:rsidR="004D6A64" w:rsidRDefault="004D6A64">
            <w:pPr>
              <w:rPr>
                <w:rFonts w:ascii="宋体"/>
              </w:rPr>
            </w:pPr>
          </w:p>
        </w:tc>
        <w:tc>
          <w:tcPr>
            <w:tcW w:w="0" w:type="auto"/>
            <w:shd w:val="clear" w:color="auto" w:fill="auto"/>
          </w:tcPr>
          <w:p w14:paraId="33DAC11E" w14:textId="77777777" w:rsidR="004D6A64" w:rsidRDefault="004D6A64">
            <w:pPr>
              <w:rPr>
                <w:rFonts w:ascii="宋体"/>
              </w:rPr>
            </w:pPr>
          </w:p>
        </w:tc>
        <w:tc>
          <w:tcPr>
            <w:tcW w:w="0" w:type="auto"/>
            <w:shd w:val="clear" w:color="auto" w:fill="auto"/>
          </w:tcPr>
          <w:p w14:paraId="33DAC11F" w14:textId="77777777" w:rsidR="004D6A64" w:rsidRDefault="004D6A64">
            <w:pPr>
              <w:rPr>
                <w:rFonts w:ascii="宋体"/>
              </w:rPr>
            </w:pPr>
          </w:p>
        </w:tc>
        <w:tc>
          <w:tcPr>
            <w:tcW w:w="0" w:type="auto"/>
            <w:shd w:val="clear" w:color="auto" w:fill="auto"/>
          </w:tcPr>
          <w:p w14:paraId="33DAC120" w14:textId="77777777" w:rsidR="004D6A64" w:rsidRDefault="004D6A64">
            <w:pPr>
              <w:rPr>
                <w:rFonts w:ascii="宋体"/>
              </w:rPr>
            </w:pPr>
          </w:p>
        </w:tc>
        <w:tc>
          <w:tcPr>
            <w:tcW w:w="0" w:type="auto"/>
            <w:shd w:val="clear" w:color="auto" w:fill="auto"/>
          </w:tcPr>
          <w:p w14:paraId="33DAC121" w14:textId="77777777" w:rsidR="004D6A64" w:rsidRDefault="004D6A64">
            <w:pPr>
              <w:rPr>
                <w:rFonts w:ascii="宋体"/>
              </w:rPr>
            </w:pPr>
          </w:p>
        </w:tc>
        <w:tc>
          <w:tcPr>
            <w:tcW w:w="0" w:type="auto"/>
            <w:shd w:val="clear" w:color="auto" w:fill="auto"/>
          </w:tcPr>
          <w:p w14:paraId="33DAC122" w14:textId="77777777" w:rsidR="004D6A64" w:rsidRDefault="004D6A64">
            <w:pPr>
              <w:rPr>
                <w:rFonts w:ascii="宋体"/>
              </w:rPr>
            </w:pPr>
          </w:p>
        </w:tc>
        <w:tc>
          <w:tcPr>
            <w:tcW w:w="0" w:type="auto"/>
            <w:shd w:val="clear" w:color="auto" w:fill="auto"/>
          </w:tcPr>
          <w:p w14:paraId="33DAC123" w14:textId="77777777" w:rsidR="004D6A64" w:rsidRDefault="004D6A64">
            <w:pPr>
              <w:rPr>
                <w:rFonts w:ascii="宋体"/>
              </w:rPr>
            </w:pPr>
          </w:p>
        </w:tc>
        <w:tc>
          <w:tcPr>
            <w:tcW w:w="0" w:type="auto"/>
            <w:shd w:val="clear" w:color="auto" w:fill="auto"/>
          </w:tcPr>
          <w:p w14:paraId="33DAC124" w14:textId="77777777" w:rsidR="004D6A64" w:rsidRDefault="004D6A64">
            <w:pPr>
              <w:rPr>
                <w:rFonts w:ascii="宋体"/>
              </w:rPr>
            </w:pPr>
          </w:p>
        </w:tc>
        <w:tc>
          <w:tcPr>
            <w:tcW w:w="0" w:type="auto"/>
            <w:shd w:val="clear" w:color="auto" w:fill="auto"/>
          </w:tcPr>
          <w:p w14:paraId="33DAC125" w14:textId="77777777" w:rsidR="004D6A64" w:rsidRDefault="004D6A64">
            <w:pPr>
              <w:rPr>
                <w:rFonts w:ascii="宋体"/>
              </w:rPr>
            </w:pPr>
          </w:p>
        </w:tc>
        <w:tc>
          <w:tcPr>
            <w:tcW w:w="0" w:type="auto"/>
            <w:shd w:val="clear" w:color="auto" w:fill="auto"/>
          </w:tcPr>
          <w:p w14:paraId="33DAC126" w14:textId="77777777" w:rsidR="004D6A64" w:rsidRDefault="004D6A64">
            <w:pPr>
              <w:rPr>
                <w:rFonts w:ascii="宋体"/>
              </w:rPr>
            </w:pPr>
          </w:p>
        </w:tc>
        <w:tc>
          <w:tcPr>
            <w:tcW w:w="0" w:type="auto"/>
            <w:shd w:val="clear" w:color="auto" w:fill="auto"/>
          </w:tcPr>
          <w:p w14:paraId="33DAC127" w14:textId="77777777" w:rsidR="004D6A64" w:rsidRDefault="004D6A64">
            <w:pPr>
              <w:rPr>
                <w:rFonts w:ascii="宋体"/>
              </w:rPr>
            </w:pPr>
          </w:p>
        </w:tc>
        <w:tc>
          <w:tcPr>
            <w:tcW w:w="0" w:type="auto"/>
            <w:shd w:val="clear" w:color="auto" w:fill="auto"/>
          </w:tcPr>
          <w:p w14:paraId="33DAC128" w14:textId="77777777" w:rsidR="004D6A64" w:rsidRDefault="004D6A64">
            <w:pPr>
              <w:rPr>
                <w:rFonts w:ascii="宋体"/>
              </w:rPr>
            </w:pPr>
          </w:p>
        </w:tc>
        <w:tc>
          <w:tcPr>
            <w:tcW w:w="0" w:type="auto"/>
            <w:shd w:val="clear" w:color="auto" w:fill="auto"/>
          </w:tcPr>
          <w:p w14:paraId="33DAC129" w14:textId="77777777" w:rsidR="004D6A64" w:rsidRDefault="004D6A64">
            <w:pPr>
              <w:rPr>
                <w:rFonts w:ascii="宋体"/>
              </w:rPr>
            </w:pPr>
          </w:p>
        </w:tc>
        <w:tc>
          <w:tcPr>
            <w:tcW w:w="0" w:type="auto"/>
            <w:shd w:val="clear" w:color="auto" w:fill="auto"/>
          </w:tcPr>
          <w:p w14:paraId="33DAC12A" w14:textId="77777777" w:rsidR="004D6A64" w:rsidRDefault="004D6A64">
            <w:pPr>
              <w:rPr>
                <w:rFonts w:ascii="宋体"/>
              </w:rPr>
            </w:pPr>
          </w:p>
        </w:tc>
        <w:tc>
          <w:tcPr>
            <w:tcW w:w="0" w:type="auto"/>
            <w:shd w:val="clear" w:color="auto" w:fill="auto"/>
          </w:tcPr>
          <w:p w14:paraId="33DAC12B" w14:textId="77777777" w:rsidR="004D6A64" w:rsidRDefault="004D6A64">
            <w:pPr>
              <w:rPr>
                <w:rFonts w:ascii="宋体"/>
              </w:rPr>
            </w:pPr>
          </w:p>
        </w:tc>
        <w:tc>
          <w:tcPr>
            <w:tcW w:w="0" w:type="auto"/>
            <w:shd w:val="clear" w:color="auto" w:fill="auto"/>
          </w:tcPr>
          <w:p w14:paraId="33DAC12C" w14:textId="77777777" w:rsidR="004D6A64" w:rsidRDefault="004D6A64">
            <w:pPr>
              <w:rPr>
                <w:rFonts w:ascii="宋体"/>
              </w:rPr>
            </w:pPr>
          </w:p>
        </w:tc>
        <w:tc>
          <w:tcPr>
            <w:tcW w:w="0" w:type="auto"/>
            <w:shd w:val="clear" w:color="auto" w:fill="auto"/>
          </w:tcPr>
          <w:p w14:paraId="33DAC12D" w14:textId="77777777" w:rsidR="004D6A64" w:rsidRDefault="004D6A64">
            <w:pPr>
              <w:rPr>
                <w:rFonts w:ascii="宋体"/>
              </w:rPr>
            </w:pPr>
          </w:p>
        </w:tc>
        <w:tc>
          <w:tcPr>
            <w:tcW w:w="0" w:type="auto"/>
            <w:shd w:val="clear" w:color="auto" w:fill="auto"/>
          </w:tcPr>
          <w:p w14:paraId="33DAC12E" w14:textId="77777777" w:rsidR="004D6A64" w:rsidRDefault="004D6A64">
            <w:pPr>
              <w:rPr>
                <w:rFonts w:ascii="宋体"/>
              </w:rPr>
            </w:pPr>
          </w:p>
        </w:tc>
        <w:tc>
          <w:tcPr>
            <w:tcW w:w="0" w:type="auto"/>
            <w:shd w:val="clear" w:color="auto" w:fill="auto"/>
          </w:tcPr>
          <w:p w14:paraId="33DAC12F" w14:textId="77777777" w:rsidR="004D6A64" w:rsidRDefault="004D6A64">
            <w:pPr>
              <w:rPr>
                <w:rFonts w:ascii="宋体"/>
              </w:rPr>
            </w:pPr>
          </w:p>
        </w:tc>
        <w:tc>
          <w:tcPr>
            <w:tcW w:w="0" w:type="auto"/>
            <w:shd w:val="clear" w:color="auto" w:fill="auto"/>
          </w:tcPr>
          <w:p w14:paraId="33DAC130" w14:textId="77777777" w:rsidR="004D6A64" w:rsidRDefault="004D6A64">
            <w:pPr>
              <w:rPr>
                <w:rFonts w:ascii="宋体"/>
              </w:rPr>
            </w:pPr>
          </w:p>
        </w:tc>
        <w:tc>
          <w:tcPr>
            <w:tcW w:w="0" w:type="auto"/>
            <w:shd w:val="clear" w:color="auto" w:fill="auto"/>
          </w:tcPr>
          <w:p w14:paraId="33DAC131" w14:textId="77777777" w:rsidR="004D6A64" w:rsidRDefault="004D6A64">
            <w:pPr>
              <w:rPr>
                <w:rFonts w:ascii="宋体"/>
              </w:rPr>
            </w:pPr>
          </w:p>
        </w:tc>
        <w:tc>
          <w:tcPr>
            <w:tcW w:w="0" w:type="auto"/>
            <w:shd w:val="clear" w:color="auto" w:fill="auto"/>
          </w:tcPr>
          <w:p w14:paraId="33DAC132" w14:textId="77777777" w:rsidR="004D6A64" w:rsidRDefault="004D6A64">
            <w:pPr>
              <w:rPr>
                <w:rFonts w:ascii="宋体"/>
              </w:rPr>
            </w:pPr>
          </w:p>
        </w:tc>
        <w:tc>
          <w:tcPr>
            <w:tcW w:w="0" w:type="auto"/>
            <w:shd w:val="clear" w:color="auto" w:fill="auto"/>
          </w:tcPr>
          <w:p w14:paraId="33DAC133" w14:textId="77777777" w:rsidR="004D6A64" w:rsidRDefault="004D6A64">
            <w:pPr>
              <w:rPr>
                <w:rFonts w:ascii="宋体"/>
              </w:rPr>
            </w:pPr>
          </w:p>
        </w:tc>
        <w:tc>
          <w:tcPr>
            <w:tcW w:w="0" w:type="auto"/>
            <w:shd w:val="clear" w:color="auto" w:fill="auto"/>
          </w:tcPr>
          <w:p w14:paraId="33DAC134" w14:textId="77777777" w:rsidR="004D6A64" w:rsidRDefault="004D6A64">
            <w:pPr>
              <w:rPr>
                <w:rFonts w:ascii="宋体"/>
              </w:rPr>
            </w:pPr>
          </w:p>
        </w:tc>
      </w:tr>
      <w:tr w:rsidR="004D6A64" w14:paraId="33DAC160" w14:textId="77777777">
        <w:tc>
          <w:tcPr>
            <w:tcW w:w="0" w:type="auto"/>
            <w:gridSpan w:val="3"/>
            <w:shd w:val="clear" w:color="auto" w:fill="FFFFFF"/>
            <w:tcMar>
              <w:top w:w="40" w:type="dxa"/>
              <w:left w:w="135" w:type="dxa"/>
              <w:bottom w:w="40" w:type="dxa"/>
              <w:right w:w="20" w:type="dxa"/>
            </w:tcMar>
            <w:vAlign w:val="center"/>
          </w:tcPr>
          <w:p w14:paraId="33DAC136" w14:textId="77777777" w:rsidR="004D6A64" w:rsidRDefault="00506CD6">
            <w:pPr>
              <w:textAlignment w:val="center"/>
            </w:pPr>
            <w:r>
              <w:rPr>
                <w:rFonts w:ascii="Times New Roman" w:eastAsia="宋体" w:hAnsi="Times New Roman"/>
                <w:color w:val="000000"/>
                <w:sz w:val="20"/>
                <w:szCs w:val="20"/>
              </w:rPr>
              <w:t>Net asset (liability)</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C137" w14:textId="77777777" w:rsidR="004D6A64" w:rsidRDefault="00506CD6">
            <w:pPr>
              <w:jc w:val="right"/>
              <w:textAlignment w:val="center"/>
            </w:pPr>
            <w:r>
              <w:rPr>
                <w:rFonts w:ascii="Times New Roman" w:eastAsia="宋体" w:hAnsi="Times New Roman"/>
                <w:color w:val="000000"/>
                <w:sz w:val="20"/>
                <w:szCs w:val="20"/>
              </w:rPr>
              <w:t>(26)</w:t>
            </w:r>
          </w:p>
        </w:tc>
        <w:tc>
          <w:tcPr>
            <w:tcW w:w="0" w:type="auto"/>
            <w:tcBorders>
              <w:top w:val="single" w:sz="8" w:space="0" w:color="000000"/>
            </w:tcBorders>
            <w:shd w:val="clear" w:color="auto" w:fill="FFFFFF"/>
            <w:tcMar>
              <w:top w:w="40" w:type="dxa"/>
              <w:bottom w:w="40" w:type="dxa"/>
              <w:right w:w="20" w:type="dxa"/>
            </w:tcMar>
            <w:vAlign w:val="center"/>
          </w:tcPr>
          <w:p w14:paraId="33DAC13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139"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C13A" w14:textId="77777777" w:rsidR="004D6A64" w:rsidRDefault="00506CD6">
            <w:pPr>
              <w:jc w:val="right"/>
              <w:textAlignment w:val="center"/>
            </w:pPr>
            <w:r>
              <w:rPr>
                <w:rFonts w:ascii="Times New Roman" w:eastAsia="宋体" w:hAnsi="Times New Roman"/>
                <w:color w:val="000000"/>
                <w:sz w:val="20"/>
                <w:szCs w:val="20"/>
              </w:rPr>
              <w:t>1 </w:t>
            </w:r>
          </w:p>
        </w:tc>
        <w:tc>
          <w:tcPr>
            <w:tcW w:w="0" w:type="auto"/>
            <w:tcBorders>
              <w:top w:val="single" w:sz="8" w:space="0" w:color="000000"/>
            </w:tcBorders>
            <w:shd w:val="clear" w:color="auto" w:fill="FFFFFF"/>
            <w:tcMar>
              <w:top w:w="40" w:type="dxa"/>
              <w:bottom w:w="40" w:type="dxa"/>
              <w:right w:w="20" w:type="dxa"/>
            </w:tcMar>
            <w:vAlign w:val="center"/>
          </w:tcPr>
          <w:p w14:paraId="33DAC13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13C"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C13D" w14:textId="77777777" w:rsidR="004D6A64" w:rsidRDefault="00506CD6">
            <w:pPr>
              <w:jc w:val="right"/>
              <w:textAlignment w:val="center"/>
            </w:pPr>
            <w:r>
              <w:rPr>
                <w:rFonts w:ascii="Times New Roman" w:eastAsia="宋体" w:hAnsi="Times New Roman"/>
                <w:color w:val="000000"/>
                <w:sz w:val="20"/>
                <w:szCs w:val="20"/>
              </w:rPr>
              <w:t>(42)</w:t>
            </w:r>
          </w:p>
        </w:tc>
        <w:tc>
          <w:tcPr>
            <w:tcW w:w="0" w:type="auto"/>
            <w:tcBorders>
              <w:top w:val="single" w:sz="8" w:space="0" w:color="000000"/>
            </w:tcBorders>
            <w:shd w:val="clear" w:color="auto" w:fill="FFFFFF"/>
            <w:tcMar>
              <w:top w:w="40" w:type="dxa"/>
              <w:bottom w:w="40" w:type="dxa"/>
              <w:right w:w="20" w:type="dxa"/>
            </w:tcMar>
            <w:vAlign w:val="center"/>
          </w:tcPr>
          <w:p w14:paraId="33DAC13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13F"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C140" w14:textId="77777777" w:rsidR="004D6A64" w:rsidRDefault="00506CD6">
            <w:pPr>
              <w:jc w:val="right"/>
              <w:textAlignment w:val="center"/>
            </w:pPr>
            <w:r>
              <w:rPr>
                <w:rFonts w:ascii="Times New Roman" w:eastAsia="宋体" w:hAnsi="Times New Roman"/>
                <w:color w:val="000000"/>
                <w:sz w:val="20"/>
                <w:szCs w:val="20"/>
              </w:rPr>
              <w:t>(38)</w:t>
            </w:r>
          </w:p>
        </w:tc>
        <w:tc>
          <w:tcPr>
            <w:tcW w:w="0" w:type="auto"/>
            <w:tcBorders>
              <w:top w:val="single" w:sz="8" w:space="0" w:color="000000"/>
            </w:tcBorders>
            <w:shd w:val="clear" w:color="auto" w:fill="FFFFFF"/>
            <w:tcMar>
              <w:top w:w="40" w:type="dxa"/>
              <w:bottom w:w="40" w:type="dxa"/>
              <w:right w:w="20" w:type="dxa"/>
            </w:tcMar>
            <w:vAlign w:val="center"/>
          </w:tcPr>
          <w:p w14:paraId="33DAC14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142"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C143" w14:textId="77777777" w:rsidR="004D6A64" w:rsidRDefault="00506CD6">
            <w:pPr>
              <w:jc w:val="right"/>
              <w:textAlignment w:val="center"/>
            </w:pPr>
            <w:r>
              <w:rPr>
                <w:rFonts w:ascii="Times New Roman" w:eastAsia="宋体" w:hAnsi="Times New Roman"/>
                <w:color w:val="000000"/>
                <w:sz w:val="20"/>
                <w:szCs w:val="20"/>
              </w:rPr>
              <w:t>(105)</w:t>
            </w:r>
          </w:p>
        </w:tc>
        <w:tc>
          <w:tcPr>
            <w:tcW w:w="0" w:type="auto"/>
            <w:tcBorders>
              <w:top w:val="single" w:sz="8" w:space="0" w:color="000000"/>
            </w:tcBorders>
            <w:shd w:val="clear" w:color="auto" w:fill="FFFFFF"/>
            <w:tcMar>
              <w:top w:w="40" w:type="dxa"/>
              <w:bottom w:w="40" w:type="dxa"/>
              <w:right w:w="20" w:type="dxa"/>
            </w:tcMar>
            <w:vAlign w:val="center"/>
          </w:tcPr>
          <w:p w14:paraId="33DAC144" w14:textId="77777777" w:rsidR="004D6A64" w:rsidRDefault="004D6A64">
            <w:pPr>
              <w:jc w:val="right"/>
              <w:rPr>
                <w:rFonts w:ascii="宋体"/>
              </w:rPr>
            </w:pPr>
          </w:p>
        </w:tc>
        <w:tc>
          <w:tcPr>
            <w:tcW w:w="0" w:type="auto"/>
            <w:shd w:val="clear" w:color="auto" w:fill="auto"/>
          </w:tcPr>
          <w:p w14:paraId="33DAC145" w14:textId="77777777" w:rsidR="004D6A64" w:rsidRDefault="004D6A64">
            <w:pPr>
              <w:rPr>
                <w:rFonts w:ascii="宋体"/>
              </w:rPr>
            </w:pPr>
          </w:p>
        </w:tc>
        <w:tc>
          <w:tcPr>
            <w:tcW w:w="0" w:type="auto"/>
            <w:shd w:val="clear" w:color="auto" w:fill="auto"/>
          </w:tcPr>
          <w:p w14:paraId="33DAC146" w14:textId="77777777" w:rsidR="004D6A64" w:rsidRDefault="004D6A64">
            <w:pPr>
              <w:rPr>
                <w:rFonts w:ascii="宋体"/>
              </w:rPr>
            </w:pPr>
          </w:p>
        </w:tc>
        <w:tc>
          <w:tcPr>
            <w:tcW w:w="0" w:type="auto"/>
            <w:shd w:val="clear" w:color="auto" w:fill="auto"/>
          </w:tcPr>
          <w:p w14:paraId="33DAC147" w14:textId="77777777" w:rsidR="004D6A64" w:rsidRDefault="004D6A64">
            <w:pPr>
              <w:rPr>
                <w:rFonts w:ascii="宋体"/>
              </w:rPr>
            </w:pPr>
          </w:p>
        </w:tc>
        <w:tc>
          <w:tcPr>
            <w:tcW w:w="0" w:type="auto"/>
            <w:shd w:val="clear" w:color="auto" w:fill="auto"/>
          </w:tcPr>
          <w:p w14:paraId="33DAC148" w14:textId="77777777" w:rsidR="004D6A64" w:rsidRDefault="004D6A64">
            <w:pPr>
              <w:rPr>
                <w:rFonts w:ascii="宋体"/>
              </w:rPr>
            </w:pPr>
          </w:p>
        </w:tc>
        <w:tc>
          <w:tcPr>
            <w:tcW w:w="0" w:type="auto"/>
            <w:shd w:val="clear" w:color="auto" w:fill="auto"/>
          </w:tcPr>
          <w:p w14:paraId="33DAC149" w14:textId="77777777" w:rsidR="004D6A64" w:rsidRDefault="004D6A64">
            <w:pPr>
              <w:rPr>
                <w:rFonts w:ascii="宋体"/>
              </w:rPr>
            </w:pPr>
          </w:p>
        </w:tc>
        <w:tc>
          <w:tcPr>
            <w:tcW w:w="0" w:type="auto"/>
            <w:shd w:val="clear" w:color="auto" w:fill="auto"/>
          </w:tcPr>
          <w:p w14:paraId="33DAC14A" w14:textId="77777777" w:rsidR="004D6A64" w:rsidRDefault="004D6A64">
            <w:pPr>
              <w:rPr>
                <w:rFonts w:ascii="宋体"/>
              </w:rPr>
            </w:pPr>
          </w:p>
        </w:tc>
        <w:tc>
          <w:tcPr>
            <w:tcW w:w="0" w:type="auto"/>
            <w:shd w:val="clear" w:color="auto" w:fill="auto"/>
          </w:tcPr>
          <w:p w14:paraId="33DAC14B" w14:textId="77777777" w:rsidR="004D6A64" w:rsidRDefault="004D6A64">
            <w:pPr>
              <w:rPr>
                <w:rFonts w:ascii="宋体"/>
              </w:rPr>
            </w:pPr>
          </w:p>
        </w:tc>
        <w:tc>
          <w:tcPr>
            <w:tcW w:w="0" w:type="auto"/>
            <w:shd w:val="clear" w:color="auto" w:fill="auto"/>
          </w:tcPr>
          <w:p w14:paraId="33DAC14C" w14:textId="77777777" w:rsidR="004D6A64" w:rsidRDefault="004D6A64">
            <w:pPr>
              <w:rPr>
                <w:rFonts w:ascii="宋体"/>
              </w:rPr>
            </w:pPr>
          </w:p>
        </w:tc>
        <w:tc>
          <w:tcPr>
            <w:tcW w:w="0" w:type="auto"/>
            <w:shd w:val="clear" w:color="auto" w:fill="auto"/>
          </w:tcPr>
          <w:p w14:paraId="33DAC14D" w14:textId="77777777" w:rsidR="004D6A64" w:rsidRDefault="004D6A64">
            <w:pPr>
              <w:rPr>
                <w:rFonts w:ascii="宋体"/>
              </w:rPr>
            </w:pPr>
          </w:p>
        </w:tc>
        <w:tc>
          <w:tcPr>
            <w:tcW w:w="0" w:type="auto"/>
            <w:shd w:val="clear" w:color="auto" w:fill="auto"/>
          </w:tcPr>
          <w:p w14:paraId="33DAC14E" w14:textId="77777777" w:rsidR="004D6A64" w:rsidRDefault="004D6A64">
            <w:pPr>
              <w:rPr>
                <w:rFonts w:ascii="宋体"/>
              </w:rPr>
            </w:pPr>
          </w:p>
        </w:tc>
        <w:tc>
          <w:tcPr>
            <w:tcW w:w="0" w:type="auto"/>
            <w:shd w:val="clear" w:color="auto" w:fill="auto"/>
          </w:tcPr>
          <w:p w14:paraId="33DAC14F" w14:textId="77777777" w:rsidR="004D6A64" w:rsidRDefault="004D6A64">
            <w:pPr>
              <w:rPr>
                <w:rFonts w:ascii="宋体"/>
              </w:rPr>
            </w:pPr>
          </w:p>
        </w:tc>
        <w:tc>
          <w:tcPr>
            <w:tcW w:w="0" w:type="auto"/>
            <w:shd w:val="clear" w:color="auto" w:fill="auto"/>
          </w:tcPr>
          <w:p w14:paraId="33DAC150" w14:textId="77777777" w:rsidR="004D6A64" w:rsidRDefault="004D6A64">
            <w:pPr>
              <w:rPr>
                <w:rFonts w:ascii="宋体"/>
              </w:rPr>
            </w:pPr>
          </w:p>
        </w:tc>
        <w:tc>
          <w:tcPr>
            <w:tcW w:w="0" w:type="auto"/>
            <w:shd w:val="clear" w:color="auto" w:fill="auto"/>
          </w:tcPr>
          <w:p w14:paraId="33DAC151" w14:textId="77777777" w:rsidR="004D6A64" w:rsidRDefault="004D6A64">
            <w:pPr>
              <w:rPr>
                <w:rFonts w:ascii="宋体"/>
              </w:rPr>
            </w:pPr>
          </w:p>
        </w:tc>
        <w:tc>
          <w:tcPr>
            <w:tcW w:w="0" w:type="auto"/>
            <w:shd w:val="clear" w:color="auto" w:fill="auto"/>
          </w:tcPr>
          <w:p w14:paraId="33DAC152" w14:textId="77777777" w:rsidR="004D6A64" w:rsidRDefault="004D6A64">
            <w:pPr>
              <w:rPr>
                <w:rFonts w:ascii="宋体"/>
              </w:rPr>
            </w:pPr>
          </w:p>
        </w:tc>
        <w:tc>
          <w:tcPr>
            <w:tcW w:w="0" w:type="auto"/>
            <w:shd w:val="clear" w:color="auto" w:fill="auto"/>
          </w:tcPr>
          <w:p w14:paraId="33DAC153" w14:textId="77777777" w:rsidR="004D6A64" w:rsidRDefault="004D6A64">
            <w:pPr>
              <w:rPr>
                <w:rFonts w:ascii="宋体"/>
              </w:rPr>
            </w:pPr>
          </w:p>
        </w:tc>
        <w:tc>
          <w:tcPr>
            <w:tcW w:w="0" w:type="auto"/>
            <w:shd w:val="clear" w:color="auto" w:fill="auto"/>
          </w:tcPr>
          <w:p w14:paraId="33DAC154" w14:textId="77777777" w:rsidR="004D6A64" w:rsidRDefault="004D6A64">
            <w:pPr>
              <w:rPr>
                <w:rFonts w:ascii="宋体"/>
              </w:rPr>
            </w:pPr>
          </w:p>
        </w:tc>
        <w:tc>
          <w:tcPr>
            <w:tcW w:w="0" w:type="auto"/>
            <w:shd w:val="clear" w:color="auto" w:fill="auto"/>
          </w:tcPr>
          <w:p w14:paraId="33DAC155" w14:textId="77777777" w:rsidR="004D6A64" w:rsidRDefault="004D6A64">
            <w:pPr>
              <w:rPr>
                <w:rFonts w:ascii="宋体"/>
              </w:rPr>
            </w:pPr>
          </w:p>
        </w:tc>
        <w:tc>
          <w:tcPr>
            <w:tcW w:w="0" w:type="auto"/>
            <w:shd w:val="clear" w:color="auto" w:fill="auto"/>
          </w:tcPr>
          <w:p w14:paraId="33DAC156" w14:textId="77777777" w:rsidR="004D6A64" w:rsidRDefault="004D6A64">
            <w:pPr>
              <w:rPr>
                <w:rFonts w:ascii="宋体"/>
              </w:rPr>
            </w:pPr>
          </w:p>
        </w:tc>
        <w:tc>
          <w:tcPr>
            <w:tcW w:w="0" w:type="auto"/>
            <w:shd w:val="clear" w:color="auto" w:fill="auto"/>
          </w:tcPr>
          <w:p w14:paraId="33DAC157" w14:textId="77777777" w:rsidR="004D6A64" w:rsidRDefault="004D6A64">
            <w:pPr>
              <w:rPr>
                <w:rFonts w:ascii="宋体"/>
              </w:rPr>
            </w:pPr>
          </w:p>
        </w:tc>
        <w:tc>
          <w:tcPr>
            <w:tcW w:w="0" w:type="auto"/>
            <w:shd w:val="clear" w:color="auto" w:fill="auto"/>
          </w:tcPr>
          <w:p w14:paraId="33DAC158" w14:textId="77777777" w:rsidR="004D6A64" w:rsidRDefault="004D6A64">
            <w:pPr>
              <w:rPr>
                <w:rFonts w:ascii="宋体"/>
              </w:rPr>
            </w:pPr>
          </w:p>
        </w:tc>
        <w:tc>
          <w:tcPr>
            <w:tcW w:w="0" w:type="auto"/>
            <w:shd w:val="clear" w:color="auto" w:fill="auto"/>
          </w:tcPr>
          <w:p w14:paraId="33DAC159" w14:textId="77777777" w:rsidR="004D6A64" w:rsidRDefault="004D6A64">
            <w:pPr>
              <w:rPr>
                <w:rFonts w:ascii="宋体"/>
              </w:rPr>
            </w:pPr>
          </w:p>
        </w:tc>
        <w:tc>
          <w:tcPr>
            <w:tcW w:w="0" w:type="auto"/>
            <w:shd w:val="clear" w:color="auto" w:fill="auto"/>
          </w:tcPr>
          <w:p w14:paraId="33DAC15A" w14:textId="77777777" w:rsidR="004D6A64" w:rsidRDefault="004D6A64">
            <w:pPr>
              <w:rPr>
                <w:rFonts w:ascii="宋体"/>
              </w:rPr>
            </w:pPr>
          </w:p>
        </w:tc>
        <w:tc>
          <w:tcPr>
            <w:tcW w:w="0" w:type="auto"/>
            <w:shd w:val="clear" w:color="auto" w:fill="auto"/>
          </w:tcPr>
          <w:p w14:paraId="33DAC15B" w14:textId="77777777" w:rsidR="004D6A64" w:rsidRDefault="004D6A64">
            <w:pPr>
              <w:rPr>
                <w:rFonts w:ascii="宋体"/>
              </w:rPr>
            </w:pPr>
          </w:p>
        </w:tc>
        <w:tc>
          <w:tcPr>
            <w:tcW w:w="0" w:type="auto"/>
            <w:shd w:val="clear" w:color="auto" w:fill="auto"/>
          </w:tcPr>
          <w:p w14:paraId="33DAC15C" w14:textId="77777777" w:rsidR="004D6A64" w:rsidRDefault="004D6A64">
            <w:pPr>
              <w:rPr>
                <w:rFonts w:ascii="宋体"/>
              </w:rPr>
            </w:pPr>
          </w:p>
        </w:tc>
        <w:tc>
          <w:tcPr>
            <w:tcW w:w="0" w:type="auto"/>
            <w:shd w:val="clear" w:color="auto" w:fill="auto"/>
          </w:tcPr>
          <w:p w14:paraId="33DAC15D" w14:textId="77777777" w:rsidR="004D6A64" w:rsidRDefault="004D6A64">
            <w:pPr>
              <w:rPr>
                <w:rFonts w:ascii="宋体"/>
              </w:rPr>
            </w:pPr>
          </w:p>
        </w:tc>
        <w:tc>
          <w:tcPr>
            <w:tcW w:w="0" w:type="auto"/>
            <w:shd w:val="clear" w:color="auto" w:fill="auto"/>
          </w:tcPr>
          <w:p w14:paraId="33DAC15E" w14:textId="77777777" w:rsidR="004D6A64" w:rsidRDefault="004D6A64">
            <w:pPr>
              <w:rPr>
                <w:rFonts w:ascii="宋体"/>
              </w:rPr>
            </w:pPr>
          </w:p>
        </w:tc>
        <w:tc>
          <w:tcPr>
            <w:tcW w:w="0" w:type="auto"/>
            <w:shd w:val="clear" w:color="auto" w:fill="auto"/>
          </w:tcPr>
          <w:p w14:paraId="33DAC15F" w14:textId="77777777" w:rsidR="004D6A64" w:rsidRDefault="004D6A64">
            <w:pPr>
              <w:rPr>
                <w:rFonts w:ascii="宋体"/>
              </w:rPr>
            </w:pPr>
          </w:p>
        </w:tc>
      </w:tr>
      <w:tr w:rsidR="004D6A64" w14:paraId="33DAC190" w14:textId="77777777">
        <w:tc>
          <w:tcPr>
            <w:tcW w:w="0" w:type="auto"/>
            <w:gridSpan w:val="3"/>
            <w:shd w:val="clear" w:color="auto" w:fill="CCEEFF"/>
            <w:tcMar>
              <w:top w:w="40" w:type="dxa"/>
              <w:left w:w="225" w:type="dxa"/>
              <w:bottom w:w="40" w:type="dxa"/>
              <w:right w:w="20" w:type="dxa"/>
            </w:tcMar>
            <w:vAlign w:val="center"/>
          </w:tcPr>
          <w:p w14:paraId="33DAC161" w14:textId="77777777" w:rsidR="004D6A64" w:rsidRDefault="00506CD6">
            <w:pPr>
              <w:textAlignment w:val="center"/>
            </w:pPr>
            <w:r>
              <w:rPr>
                <w:rFonts w:ascii="Times New Roman" w:eastAsia="宋体" w:hAnsi="Times New Roman"/>
                <w:color w:val="000000"/>
                <w:sz w:val="20"/>
                <w:szCs w:val="20"/>
              </w:rPr>
              <w:t>Total der</w:t>
            </w:r>
            <w:r>
              <w:rPr>
                <w:rFonts w:ascii="Times New Roman" w:eastAsia="宋体" w:hAnsi="Times New Roman"/>
                <w:color w:val="000000"/>
                <w:sz w:val="20"/>
                <w:szCs w:val="20"/>
              </w:rPr>
              <w:t>ivatives at fair value</w:t>
            </w: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C162"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C163" w14:textId="77777777" w:rsidR="004D6A64" w:rsidRDefault="00506CD6">
            <w:pPr>
              <w:jc w:val="right"/>
              <w:textAlignment w:val="center"/>
            </w:pPr>
            <w:r>
              <w:rPr>
                <w:rFonts w:ascii="Times New Roman" w:eastAsia="宋体" w:hAnsi="Times New Roman"/>
                <w:color w:val="000000"/>
                <w:sz w:val="20"/>
                <w:szCs w:val="20"/>
              </w:rPr>
              <w:t>80 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C16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165"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C166"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C167" w14:textId="77777777" w:rsidR="004D6A64" w:rsidRDefault="00506CD6">
            <w:pPr>
              <w:jc w:val="right"/>
              <w:textAlignment w:val="center"/>
            </w:pPr>
            <w:r>
              <w:rPr>
                <w:rFonts w:ascii="Times New Roman" w:eastAsia="宋体" w:hAnsi="Times New Roman"/>
                <w:color w:val="000000"/>
                <w:sz w:val="20"/>
                <w:szCs w:val="20"/>
              </w:rPr>
              <w:t>1 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C16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169"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C16A"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C16B" w14:textId="77777777" w:rsidR="004D6A64" w:rsidRDefault="00506CD6">
            <w:pPr>
              <w:jc w:val="right"/>
              <w:textAlignment w:val="center"/>
            </w:pPr>
            <w:r>
              <w:rPr>
                <w:rFonts w:ascii="Times New Roman" w:eastAsia="宋体" w:hAnsi="Times New Roman"/>
                <w:color w:val="000000"/>
                <w:sz w:val="20"/>
                <w:szCs w:val="20"/>
              </w:rPr>
              <w:t>(30)</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C16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16D"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C16E"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C16F" w14:textId="77777777" w:rsidR="004D6A64" w:rsidRDefault="00506CD6">
            <w:pPr>
              <w:jc w:val="right"/>
              <w:textAlignment w:val="center"/>
            </w:pPr>
            <w:r>
              <w:rPr>
                <w:rFonts w:ascii="Times New Roman" w:eastAsia="宋体" w:hAnsi="Times New Roman"/>
                <w:color w:val="000000"/>
                <w:sz w:val="20"/>
                <w:szCs w:val="20"/>
              </w:rPr>
              <w:t>(38)</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C17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171"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C172"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C173" w14:textId="77777777" w:rsidR="004D6A64" w:rsidRDefault="00506CD6">
            <w:pPr>
              <w:jc w:val="right"/>
              <w:textAlignment w:val="center"/>
            </w:pPr>
            <w:r>
              <w:rPr>
                <w:rFonts w:ascii="Times New Roman" w:eastAsia="宋体" w:hAnsi="Times New Roman"/>
                <w:color w:val="000000"/>
                <w:sz w:val="20"/>
                <w:szCs w:val="20"/>
              </w:rPr>
              <w:t>13 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C174" w14:textId="77777777" w:rsidR="004D6A64" w:rsidRDefault="004D6A64">
            <w:pPr>
              <w:jc w:val="right"/>
              <w:rPr>
                <w:rFonts w:ascii="宋体"/>
              </w:rPr>
            </w:pPr>
          </w:p>
        </w:tc>
        <w:tc>
          <w:tcPr>
            <w:tcW w:w="0" w:type="auto"/>
            <w:shd w:val="clear" w:color="auto" w:fill="auto"/>
          </w:tcPr>
          <w:p w14:paraId="33DAC175" w14:textId="77777777" w:rsidR="004D6A64" w:rsidRDefault="004D6A64">
            <w:pPr>
              <w:rPr>
                <w:rFonts w:ascii="宋体"/>
              </w:rPr>
            </w:pPr>
          </w:p>
        </w:tc>
        <w:tc>
          <w:tcPr>
            <w:tcW w:w="0" w:type="auto"/>
            <w:shd w:val="clear" w:color="auto" w:fill="auto"/>
          </w:tcPr>
          <w:p w14:paraId="33DAC176" w14:textId="77777777" w:rsidR="004D6A64" w:rsidRDefault="004D6A64">
            <w:pPr>
              <w:rPr>
                <w:rFonts w:ascii="宋体"/>
              </w:rPr>
            </w:pPr>
          </w:p>
        </w:tc>
        <w:tc>
          <w:tcPr>
            <w:tcW w:w="0" w:type="auto"/>
            <w:shd w:val="clear" w:color="auto" w:fill="auto"/>
          </w:tcPr>
          <w:p w14:paraId="33DAC177" w14:textId="77777777" w:rsidR="004D6A64" w:rsidRDefault="004D6A64">
            <w:pPr>
              <w:rPr>
                <w:rFonts w:ascii="宋体"/>
              </w:rPr>
            </w:pPr>
          </w:p>
        </w:tc>
        <w:tc>
          <w:tcPr>
            <w:tcW w:w="0" w:type="auto"/>
            <w:shd w:val="clear" w:color="auto" w:fill="auto"/>
          </w:tcPr>
          <w:p w14:paraId="33DAC178" w14:textId="77777777" w:rsidR="004D6A64" w:rsidRDefault="004D6A64">
            <w:pPr>
              <w:rPr>
                <w:rFonts w:ascii="宋体"/>
              </w:rPr>
            </w:pPr>
          </w:p>
        </w:tc>
        <w:tc>
          <w:tcPr>
            <w:tcW w:w="0" w:type="auto"/>
            <w:shd w:val="clear" w:color="auto" w:fill="auto"/>
          </w:tcPr>
          <w:p w14:paraId="33DAC179" w14:textId="77777777" w:rsidR="004D6A64" w:rsidRDefault="004D6A64">
            <w:pPr>
              <w:rPr>
                <w:rFonts w:ascii="宋体"/>
              </w:rPr>
            </w:pPr>
          </w:p>
        </w:tc>
        <w:tc>
          <w:tcPr>
            <w:tcW w:w="0" w:type="auto"/>
            <w:shd w:val="clear" w:color="auto" w:fill="auto"/>
          </w:tcPr>
          <w:p w14:paraId="33DAC17A" w14:textId="77777777" w:rsidR="004D6A64" w:rsidRDefault="004D6A64">
            <w:pPr>
              <w:rPr>
                <w:rFonts w:ascii="宋体"/>
              </w:rPr>
            </w:pPr>
          </w:p>
        </w:tc>
        <w:tc>
          <w:tcPr>
            <w:tcW w:w="0" w:type="auto"/>
            <w:shd w:val="clear" w:color="auto" w:fill="auto"/>
          </w:tcPr>
          <w:p w14:paraId="33DAC17B" w14:textId="77777777" w:rsidR="004D6A64" w:rsidRDefault="004D6A64">
            <w:pPr>
              <w:rPr>
                <w:rFonts w:ascii="宋体"/>
              </w:rPr>
            </w:pPr>
          </w:p>
        </w:tc>
        <w:tc>
          <w:tcPr>
            <w:tcW w:w="0" w:type="auto"/>
            <w:shd w:val="clear" w:color="auto" w:fill="auto"/>
          </w:tcPr>
          <w:p w14:paraId="33DAC17C" w14:textId="77777777" w:rsidR="004D6A64" w:rsidRDefault="004D6A64">
            <w:pPr>
              <w:rPr>
                <w:rFonts w:ascii="宋体"/>
              </w:rPr>
            </w:pPr>
          </w:p>
        </w:tc>
        <w:tc>
          <w:tcPr>
            <w:tcW w:w="0" w:type="auto"/>
            <w:shd w:val="clear" w:color="auto" w:fill="auto"/>
          </w:tcPr>
          <w:p w14:paraId="33DAC17D" w14:textId="77777777" w:rsidR="004D6A64" w:rsidRDefault="004D6A64">
            <w:pPr>
              <w:rPr>
                <w:rFonts w:ascii="宋体"/>
              </w:rPr>
            </w:pPr>
          </w:p>
        </w:tc>
        <w:tc>
          <w:tcPr>
            <w:tcW w:w="0" w:type="auto"/>
            <w:shd w:val="clear" w:color="auto" w:fill="auto"/>
          </w:tcPr>
          <w:p w14:paraId="33DAC17E" w14:textId="77777777" w:rsidR="004D6A64" w:rsidRDefault="004D6A64">
            <w:pPr>
              <w:rPr>
                <w:rFonts w:ascii="宋体"/>
              </w:rPr>
            </w:pPr>
          </w:p>
        </w:tc>
        <w:tc>
          <w:tcPr>
            <w:tcW w:w="0" w:type="auto"/>
            <w:shd w:val="clear" w:color="auto" w:fill="auto"/>
          </w:tcPr>
          <w:p w14:paraId="33DAC17F" w14:textId="77777777" w:rsidR="004D6A64" w:rsidRDefault="004D6A64">
            <w:pPr>
              <w:rPr>
                <w:rFonts w:ascii="宋体"/>
              </w:rPr>
            </w:pPr>
          </w:p>
        </w:tc>
        <w:tc>
          <w:tcPr>
            <w:tcW w:w="0" w:type="auto"/>
            <w:shd w:val="clear" w:color="auto" w:fill="auto"/>
          </w:tcPr>
          <w:p w14:paraId="33DAC180" w14:textId="77777777" w:rsidR="004D6A64" w:rsidRDefault="004D6A64">
            <w:pPr>
              <w:rPr>
                <w:rFonts w:ascii="宋体"/>
              </w:rPr>
            </w:pPr>
          </w:p>
        </w:tc>
        <w:tc>
          <w:tcPr>
            <w:tcW w:w="0" w:type="auto"/>
            <w:shd w:val="clear" w:color="auto" w:fill="auto"/>
          </w:tcPr>
          <w:p w14:paraId="33DAC181" w14:textId="77777777" w:rsidR="004D6A64" w:rsidRDefault="004D6A64">
            <w:pPr>
              <w:rPr>
                <w:rFonts w:ascii="宋体"/>
              </w:rPr>
            </w:pPr>
          </w:p>
        </w:tc>
        <w:tc>
          <w:tcPr>
            <w:tcW w:w="0" w:type="auto"/>
            <w:shd w:val="clear" w:color="auto" w:fill="auto"/>
          </w:tcPr>
          <w:p w14:paraId="33DAC182" w14:textId="77777777" w:rsidR="004D6A64" w:rsidRDefault="004D6A64">
            <w:pPr>
              <w:rPr>
                <w:rFonts w:ascii="宋体"/>
              </w:rPr>
            </w:pPr>
          </w:p>
        </w:tc>
        <w:tc>
          <w:tcPr>
            <w:tcW w:w="0" w:type="auto"/>
            <w:shd w:val="clear" w:color="auto" w:fill="auto"/>
          </w:tcPr>
          <w:p w14:paraId="33DAC183" w14:textId="77777777" w:rsidR="004D6A64" w:rsidRDefault="004D6A64">
            <w:pPr>
              <w:rPr>
                <w:rFonts w:ascii="宋体"/>
              </w:rPr>
            </w:pPr>
          </w:p>
        </w:tc>
        <w:tc>
          <w:tcPr>
            <w:tcW w:w="0" w:type="auto"/>
            <w:shd w:val="clear" w:color="auto" w:fill="auto"/>
          </w:tcPr>
          <w:p w14:paraId="33DAC184" w14:textId="77777777" w:rsidR="004D6A64" w:rsidRDefault="004D6A64">
            <w:pPr>
              <w:rPr>
                <w:rFonts w:ascii="宋体"/>
              </w:rPr>
            </w:pPr>
          </w:p>
        </w:tc>
        <w:tc>
          <w:tcPr>
            <w:tcW w:w="0" w:type="auto"/>
            <w:shd w:val="clear" w:color="auto" w:fill="auto"/>
          </w:tcPr>
          <w:p w14:paraId="33DAC185" w14:textId="77777777" w:rsidR="004D6A64" w:rsidRDefault="004D6A64">
            <w:pPr>
              <w:rPr>
                <w:rFonts w:ascii="宋体"/>
              </w:rPr>
            </w:pPr>
          </w:p>
        </w:tc>
        <w:tc>
          <w:tcPr>
            <w:tcW w:w="0" w:type="auto"/>
            <w:shd w:val="clear" w:color="auto" w:fill="auto"/>
          </w:tcPr>
          <w:p w14:paraId="33DAC186" w14:textId="77777777" w:rsidR="004D6A64" w:rsidRDefault="004D6A64">
            <w:pPr>
              <w:rPr>
                <w:rFonts w:ascii="宋体"/>
              </w:rPr>
            </w:pPr>
          </w:p>
        </w:tc>
        <w:tc>
          <w:tcPr>
            <w:tcW w:w="0" w:type="auto"/>
            <w:shd w:val="clear" w:color="auto" w:fill="auto"/>
          </w:tcPr>
          <w:p w14:paraId="33DAC187" w14:textId="77777777" w:rsidR="004D6A64" w:rsidRDefault="004D6A64">
            <w:pPr>
              <w:rPr>
                <w:rFonts w:ascii="宋体"/>
              </w:rPr>
            </w:pPr>
          </w:p>
        </w:tc>
        <w:tc>
          <w:tcPr>
            <w:tcW w:w="0" w:type="auto"/>
            <w:shd w:val="clear" w:color="auto" w:fill="auto"/>
          </w:tcPr>
          <w:p w14:paraId="33DAC188" w14:textId="77777777" w:rsidR="004D6A64" w:rsidRDefault="004D6A64">
            <w:pPr>
              <w:rPr>
                <w:rFonts w:ascii="宋体"/>
              </w:rPr>
            </w:pPr>
          </w:p>
        </w:tc>
        <w:tc>
          <w:tcPr>
            <w:tcW w:w="0" w:type="auto"/>
            <w:shd w:val="clear" w:color="auto" w:fill="auto"/>
          </w:tcPr>
          <w:p w14:paraId="33DAC189" w14:textId="77777777" w:rsidR="004D6A64" w:rsidRDefault="004D6A64">
            <w:pPr>
              <w:rPr>
                <w:rFonts w:ascii="宋体"/>
              </w:rPr>
            </w:pPr>
          </w:p>
        </w:tc>
        <w:tc>
          <w:tcPr>
            <w:tcW w:w="0" w:type="auto"/>
            <w:shd w:val="clear" w:color="auto" w:fill="auto"/>
          </w:tcPr>
          <w:p w14:paraId="33DAC18A" w14:textId="77777777" w:rsidR="004D6A64" w:rsidRDefault="004D6A64">
            <w:pPr>
              <w:rPr>
                <w:rFonts w:ascii="宋体"/>
              </w:rPr>
            </w:pPr>
          </w:p>
        </w:tc>
        <w:tc>
          <w:tcPr>
            <w:tcW w:w="0" w:type="auto"/>
            <w:shd w:val="clear" w:color="auto" w:fill="auto"/>
          </w:tcPr>
          <w:p w14:paraId="33DAC18B" w14:textId="77777777" w:rsidR="004D6A64" w:rsidRDefault="004D6A64">
            <w:pPr>
              <w:rPr>
                <w:rFonts w:ascii="宋体"/>
              </w:rPr>
            </w:pPr>
          </w:p>
        </w:tc>
        <w:tc>
          <w:tcPr>
            <w:tcW w:w="0" w:type="auto"/>
            <w:shd w:val="clear" w:color="auto" w:fill="auto"/>
          </w:tcPr>
          <w:p w14:paraId="33DAC18C" w14:textId="77777777" w:rsidR="004D6A64" w:rsidRDefault="004D6A64">
            <w:pPr>
              <w:rPr>
                <w:rFonts w:ascii="宋体"/>
              </w:rPr>
            </w:pPr>
          </w:p>
        </w:tc>
        <w:tc>
          <w:tcPr>
            <w:tcW w:w="0" w:type="auto"/>
            <w:shd w:val="clear" w:color="auto" w:fill="auto"/>
          </w:tcPr>
          <w:p w14:paraId="33DAC18D" w14:textId="77777777" w:rsidR="004D6A64" w:rsidRDefault="004D6A64">
            <w:pPr>
              <w:rPr>
                <w:rFonts w:ascii="宋体"/>
              </w:rPr>
            </w:pPr>
          </w:p>
        </w:tc>
        <w:tc>
          <w:tcPr>
            <w:tcW w:w="0" w:type="auto"/>
            <w:shd w:val="clear" w:color="auto" w:fill="auto"/>
          </w:tcPr>
          <w:p w14:paraId="33DAC18E" w14:textId="77777777" w:rsidR="004D6A64" w:rsidRDefault="004D6A64">
            <w:pPr>
              <w:rPr>
                <w:rFonts w:ascii="宋体"/>
              </w:rPr>
            </w:pPr>
          </w:p>
        </w:tc>
        <w:tc>
          <w:tcPr>
            <w:tcW w:w="0" w:type="auto"/>
            <w:shd w:val="clear" w:color="auto" w:fill="auto"/>
          </w:tcPr>
          <w:p w14:paraId="33DAC18F" w14:textId="77777777" w:rsidR="004D6A64" w:rsidRDefault="004D6A64">
            <w:pPr>
              <w:rPr>
                <w:rFonts w:ascii="宋体"/>
              </w:rPr>
            </w:pPr>
          </w:p>
        </w:tc>
      </w:tr>
    </w:tbl>
    <w:p w14:paraId="33DAC191" w14:textId="77777777" w:rsidR="004D6A64" w:rsidRDefault="004D6A64"/>
    <w:p w14:paraId="33DAC192" w14:textId="77777777" w:rsidR="004D6A64" w:rsidRDefault="004D6A64">
      <w:pPr>
        <w:jc w:val="center"/>
      </w:pPr>
    </w:p>
    <w:p w14:paraId="33DAC193" w14:textId="77777777" w:rsidR="004D6A64" w:rsidRDefault="00506CD6">
      <w:pPr>
        <w:jc w:val="center"/>
      </w:pPr>
      <w:r>
        <w:rPr>
          <w:rFonts w:ascii="Times New Roman" w:eastAsia="宋体" w:hAnsi="Times New Roman"/>
          <w:color w:val="000000"/>
          <w:sz w:val="20"/>
          <w:szCs w:val="20"/>
        </w:rPr>
        <w:t>40</w:t>
      </w:r>
    </w:p>
    <w:p w14:paraId="33DAC194" w14:textId="77777777" w:rsidR="004D6A64" w:rsidRDefault="004D6A64">
      <w:pPr>
        <w:jc w:val="center"/>
      </w:pPr>
    </w:p>
    <w:p w14:paraId="33DAC195" w14:textId="77777777" w:rsidR="004D6A64" w:rsidRDefault="00506CD6">
      <w:r>
        <w:pict w14:anchorId="33DAFAEC">
          <v:rect id="_x0000_i1064" style="width:415.3pt;height:1.5pt" o:hralign="center" o:hrstd="t" o:hr="t" fillcolor="#a0a0a0" stroked="f"/>
        </w:pict>
      </w:r>
    </w:p>
    <w:p w14:paraId="33DAC196" w14:textId="77777777" w:rsidR="004D6A64" w:rsidRDefault="00506CD6">
      <w:hyperlink r:id="rId163" w:anchor="if3e0e1bf9ecd4bf69551d7a85f98d64a_10" w:history="1">
        <w:r>
          <w:rPr>
            <w:rStyle w:val="a5"/>
            <w:rFonts w:ascii="Times New Roman" w:eastAsia="宋体" w:hAnsi="Times New Roman"/>
            <w:sz w:val="20"/>
            <w:szCs w:val="20"/>
          </w:rPr>
          <w:t>Table o</w:t>
        </w:r>
        <w:r>
          <w:rPr>
            <w:rStyle w:val="a5"/>
            <w:rFonts w:ascii="Times New Roman" w:eastAsia="宋体" w:hAnsi="Times New Roman"/>
            <w:sz w:val="20"/>
            <w:szCs w:val="20"/>
          </w:rPr>
          <w:t>f Contents</w:t>
        </w:r>
      </w:hyperlink>
    </w:p>
    <w:p w14:paraId="33DAC197"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C198"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33DAC199"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C19A" w14:textId="77777777" w:rsidR="004D6A64" w:rsidRDefault="004D6A64">
      <w:pPr>
        <w:jc w:val="center"/>
      </w:pPr>
    </w:p>
    <w:p w14:paraId="33DAC19B" w14:textId="77777777" w:rsidR="004D6A64" w:rsidRDefault="00506CD6">
      <w:r>
        <w:rPr>
          <w:rFonts w:ascii="Times New Roman" w:eastAsia="宋体" w:hAnsi="Times New Roman"/>
          <w:color w:val="000000"/>
          <w:sz w:val="20"/>
          <w:szCs w:val="20"/>
        </w:rPr>
        <w:t xml:space="preserve">The following tables present the gross amounts of the Company’s derivative instruments, amounts offset due to master netting </w:t>
      </w:r>
      <w:r>
        <w:rPr>
          <w:rFonts w:ascii="Times New Roman" w:eastAsia="宋体" w:hAnsi="Times New Roman"/>
          <w:color w:val="000000"/>
          <w:sz w:val="20"/>
          <w:szCs w:val="20"/>
        </w:rPr>
        <w:t>agreements with the Company’s counterparties, and the net amounts recognized in the Condensed Consolidated Statements of Financial Position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155"/>
        <w:gridCol w:w="828"/>
        <w:gridCol w:w="37"/>
        <w:gridCol w:w="126"/>
        <w:gridCol w:w="746"/>
        <w:gridCol w:w="41"/>
        <w:gridCol w:w="40"/>
        <w:gridCol w:w="33"/>
        <w:gridCol w:w="36"/>
        <w:gridCol w:w="126"/>
        <w:gridCol w:w="658"/>
        <w:gridCol w:w="41"/>
        <w:gridCol w:w="40"/>
        <w:gridCol w:w="31"/>
        <w:gridCol w:w="35"/>
        <w:gridCol w:w="125"/>
        <w:gridCol w:w="748"/>
        <w:gridCol w:w="40"/>
        <w:gridCol w:w="40"/>
        <w:gridCol w:w="31"/>
        <w:gridCol w:w="35"/>
        <w:gridCol w:w="124"/>
        <w:gridCol w:w="237"/>
        <w:gridCol w:w="40"/>
        <w:gridCol w:w="40"/>
        <w:gridCol w:w="31"/>
        <w:gridCol w:w="35"/>
        <w:gridCol w:w="124"/>
        <w:gridCol w:w="237"/>
        <w:gridCol w:w="40"/>
        <w:gridCol w:w="40"/>
        <w:gridCol w:w="31"/>
        <w:gridCol w:w="35"/>
        <w:gridCol w:w="124"/>
        <w:gridCol w:w="325"/>
        <w:gridCol w:w="40"/>
        <w:gridCol w:w="40"/>
        <w:gridCol w:w="31"/>
        <w:gridCol w:w="35"/>
        <w:gridCol w:w="202"/>
        <w:gridCol w:w="201"/>
        <w:gridCol w:w="201"/>
        <w:gridCol w:w="293"/>
        <w:gridCol w:w="292"/>
        <w:gridCol w:w="292"/>
        <w:gridCol w:w="40"/>
        <w:gridCol w:w="31"/>
        <w:gridCol w:w="35"/>
        <w:gridCol w:w="243"/>
        <w:gridCol w:w="242"/>
        <w:gridCol w:w="242"/>
        <w:gridCol w:w="40"/>
        <w:gridCol w:w="31"/>
        <w:gridCol w:w="35"/>
        <w:gridCol w:w="35"/>
        <w:gridCol w:w="35"/>
        <w:gridCol w:w="35"/>
        <w:gridCol w:w="35"/>
        <w:gridCol w:w="35"/>
        <w:gridCol w:w="35"/>
        <w:gridCol w:w="35"/>
        <w:gridCol w:w="35"/>
        <w:gridCol w:w="35"/>
      </w:tblGrid>
      <w:tr w:rsidR="004D6A64" w14:paraId="33DAC1C0" w14:textId="77777777">
        <w:trPr>
          <w:gridAfter w:val="27"/>
          <w:jc w:val="center"/>
        </w:trPr>
        <w:tc>
          <w:tcPr>
            <w:tcW w:w="50" w:type="pct"/>
            <w:shd w:val="clear" w:color="auto" w:fill="auto"/>
          </w:tcPr>
          <w:p w14:paraId="33DAC19C" w14:textId="77777777" w:rsidR="004D6A64" w:rsidRDefault="004D6A64">
            <w:pPr>
              <w:rPr>
                <w:rFonts w:ascii="宋体"/>
              </w:rPr>
            </w:pPr>
          </w:p>
        </w:tc>
        <w:tc>
          <w:tcPr>
            <w:tcW w:w="1341" w:type="pct"/>
            <w:shd w:val="clear" w:color="auto" w:fill="auto"/>
          </w:tcPr>
          <w:p w14:paraId="33DAC19D" w14:textId="77777777" w:rsidR="004D6A64" w:rsidRDefault="004D6A64">
            <w:pPr>
              <w:rPr>
                <w:rFonts w:ascii="宋体"/>
              </w:rPr>
            </w:pPr>
          </w:p>
        </w:tc>
        <w:tc>
          <w:tcPr>
            <w:tcW w:w="5" w:type="pct"/>
            <w:shd w:val="clear" w:color="auto" w:fill="auto"/>
          </w:tcPr>
          <w:p w14:paraId="33DAC19E" w14:textId="77777777" w:rsidR="004D6A64" w:rsidRDefault="004D6A64">
            <w:pPr>
              <w:rPr>
                <w:rFonts w:ascii="宋体"/>
              </w:rPr>
            </w:pPr>
          </w:p>
        </w:tc>
        <w:tc>
          <w:tcPr>
            <w:tcW w:w="50" w:type="pct"/>
            <w:shd w:val="clear" w:color="auto" w:fill="auto"/>
          </w:tcPr>
          <w:p w14:paraId="33DAC19F" w14:textId="77777777" w:rsidR="004D6A64" w:rsidRDefault="004D6A64">
            <w:pPr>
              <w:rPr>
                <w:rFonts w:ascii="宋体"/>
              </w:rPr>
            </w:pPr>
          </w:p>
        </w:tc>
        <w:tc>
          <w:tcPr>
            <w:tcW w:w="522" w:type="pct"/>
            <w:shd w:val="clear" w:color="auto" w:fill="auto"/>
          </w:tcPr>
          <w:p w14:paraId="33DAC1A0" w14:textId="77777777" w:rsidR="004D6A64" w:rsidRDefault="004D6A64">
            <w:pPr>
              <w:rPr>
                <w:rFonts w:ascii="宋体"/>
              </w:rPr>
            </w:pPr>
          </w:p>
        </w:tc>
        <w:tc>
          <w:tcPr>
            <w:tcW w:w="5" w:type="pct"/>
            <w:shd w:val="clear" w:color="auto" w:fill="auto"/>
          </w:tcPr>
          <w:p w14:paraId="33DAC1A1" w14:textId="77777777" w:rsidR="004D6A64" w:rsidRDefault="004D6A64">
            <w:pPr>
              <w:rPr>
                <w:rFonts w:ascii="宋体"/>
              </w:rPr>
            </w:pPr>
          </w:p>
        </w:tc>
        <w:tc>
          <w:tcPr>
            <w:tcW w:w="5" w:type="pct"/>
            <w:shd w:val="clear" w:color="auto" w:fill="auto"/>
          </w:tcPr>
          <w:p w14:paraId="33DAC1A2" w14:textId="77777777" w:rsidR="004D6A64" w:rsidRDefault="004D6A64">
            <w:pPr>
              <w:rPr>
                <w:rFonts w:ascii="宋体"/>
              </w:rPr>
            </w:pPr>
          </w:p>
        </w:tc>
        <w:tc>
          <w:tcPr>
            <w:tcW w:w="19" w:type="pct"/>
            <w:shd w:val="clear" w:color="auto" w:fill="auto"/>
          </w:tcPr>
          <w:p w14:paraId="33DAC1A3" w14:textId="77777777" w:rsidR="004D6A64" w:rsidRDefault="004D6A64">
            <w:pPr>
              <w:rPr>
                <w:rFonts w:ascii="宋体"/>
              </w:rPr>
            </w:pPr>
          </w:p>
        </w:tc>
        <w:tc>
          <w:tcPr>
            <w:tcW w:w="5" w:type="pct"/>
            <w:shd w:val="clear" w:color="auto" w:fill="auto"/>
          </w:tcPr>
          <w:p w14:paraId="33DAC1A4" w14:textId="77777777" w:rsidR="004D6A64" w:rsidRDefault="004D6A64">
            <w:pPr>
              <w:rPr>
                <w:rFonts w:ascii="宋体"/>
              </w:rPr>
            </w:pPr>
          </w:p>
        </w:tc>
        <w:tc>
          <w:tcPr>
            <w:tcW w:w="50" w:type="pct"/>
            <w:shd w:val="clear" w:color="auto" w:fill="auto"/>
          </w:tcPr>
          <w:p w14:paraId="33DAC1A5" w14:textId="77777777" w:rsidR="004D6A64" w:rsidRDefault="004D6A64">
            <w:pPr>
              <w:rPr>
                <w:rFonts w:ascii="宋体"/>
              </w:rPr>
            </w:pPr>
          </w:p>
        </w:tc>
        <w:tc>
          <w:tcPr>
            <w:tcW w:w="522" w:type="pct"/>
            <w:shd w:val="clear" w:color="auto" w:fill="auto"/>
          </w:tcPr>
          <w:p w14:paraId="33DAC1A6" w14:textId="77777777" w:rsidR="004D6A64" w:rsidRDefault="004D6A64">
            <w:pPr>
              <w:rPr>
                <w:rFonts w:ascii="宋体"/>
              </w:rPr>
            </w:pPr>
          </w:p>
        </w:tc>
        <w:tc>
          <w:tcPr>
            <w:tcW w:w="5" w:type="pct"/>
            <w:shd w:val="clear" w:color="auto" w:fill="auto"/>
          </w:tcPr>
          <w:p w14:paraId="33DAC1A7" w14:textId="77777777" w:rsidR="004D6A64" w:rsidRDefault="004D6A64">
            <w:pPr>
              <w:rPr>
                <w:rFonts w:ascii="宋体"/>
              </w:rPr>
            </w:pPr>
          </w:p>
        </w:tc>
        <w:tc>
          <w:tcPr>
            <w:tcW w:w="5" w:type="pct"/>
            <w:shd w:val="clear" w:color="auto" w:fill="auto"/>
          </w:tcPr>
          <w:p w14:paraId="33DAC1A8" w14:textId="77777777" w:rsidR="004D6A64" w:rsidRDefault="004D6A64">
            <w:pPr>
              <w:rPr>
                <w:rFonts w:ascii="宋体"/>
              </w:rPr>
            </w:pPr>
          </w:p>
        </w:tc>
        <w:tc>
          <w:tcPr>
            <w:tcW w:w="19" w:type="pct"/>
            <w:shd w:val="clear" w:color="auto" w:fill="auto"/>
          </w:tcPr>
          <w:p w14:paraId="33DAC1A9" w14:textId="77777777" w:rsidR="004D6A64" w:rsidRDefault="004D6A64">
            <w:pPr>
              <w:rPr>
                <w:rFonts w:ascii="宋体"/>
              </w:rPr>
            </w:pPr>
          </w:p>
        </w:tc>
        <w:tc>
          <w:tcPr>
            <w:tcW w:w="5" w:type="pct"/>
            <w:shd w:val="clear" w:color="auto" w:fill="auto"/>
          </w:tcPr>
          <w:p w14:paraId="33DAC1AA" w14:textId="77777777" w:rsidR="004D6A64" w:rsidRDefault="004D6A64">
            <w:pPr>
              <w:rPr>
                <w:rFonts w:ascii="宋体"/>
              </w:rPr>
            </w:pPr>
          </w:p>
        </w:tc>
        <w:tc>
          <w:tcPr>
            <w:tcW w:w="50" w:type="pct"/>
            <w:shd w:val="clear" w:color="auto" w:fill="auto"/>
          </w:tcPr>
          <w:p w14:paraId="33DAC1AB" w14:textId="77777777" w:rsidR="004D6A64" w:rsidRDefault="004D6A64">
            <w:pPr>
              <w:rPr>
                <w:rFonts w:ascii="宋体"/>
              </w:rPr>
            </w:pPr>
          </w:p>
        </w:tc>
        <w:tc>
          <w:tcPr>
            <w:tcW w:w="537" w:type="pct"/>
            <w:shd w:val="clear" w:color="auto" w:fill="auto"/>
          </w:tcPr>
          <w:p w14:paraId="33DAC1AC" w14:textId="77777777" w:rsidR="004D6A64" w:rsidRDefault="004D6A64">
            <w:pPr>
              <w:rPr>
                <w:rFonts w:ascii="宋体"/>
              </w:rPr>
            </w:pPr>
          </w:p>
        </w:tc>
        <w:tc>
          <w:tcPr>
            <w:tcW w:w="5" w:type="pct"/>
            <w:shd w:val="clear" w:color="auto" w:fill="auto"/>
          </w:tcPr>
          <w:p w14:paraId="33DAC1AD" w14:textId="77777777" w:rsidR="004D6A64" w:rsidRDefault="004D6A64">
            <w:pPr>
              <w:rPr>
                <w:rFonts w:ascii="宋体"/>
              </w:rPr>
            </w:pPr>
          </w:p>
        </w:tc>
        <w:tc>
          <w:tcPr>
            <w:tcW w:w="5" w:type="pct"/>
            <w:shd w:val="clear" w:color="auto" w:fill="auto"/>
          </w:tcPr>
          <w:p w14:paraId="33DAC1AE" w14:textId="77777777" w:rsidR="004D6A64" w:rsidRDefault="004D6A64">
            <w:pPr>
              <w:rPr>
                <w:rFonts w:ascii="宋体"/>
              </w:rPr>
            </w:pPr>
          </w:p>
        </w:tc>
        <w:tc>
          <w:tcPr>
            <w:tcW w:w="19" w:type="pct"/>
            <w:shd w:val="clear" w:color="auto" w:fill="auto"/>
          </w:tcPr>
          <w:p w14:paraId="33DAC1AF" w14:textId="77777777" w:rsidR="004D6A64" w:rsidRDefault="004D6A64">
            <w:pPr>
              <w:rPr>
                <w:rFonts w:ascii="宋体"/>
              </w:rPr>
            </w:pPr>
          </w:p>
        </w:tc>
        <w:tc>
          <w:tcPr>
            <w:tcW w:w="5" w:type="pct"/>
            <w:shd w:val="clear" w:color="auto" w:fill="auto"/>
          </w:tcPr>
          <w:p w14:paraId="33DAC1B0" w14:textId="77777777" w:rsidR="004D6A64" w:rsidRDefault="004D6A64">
            <w:pPr>
              <w:rPr>
                <w:rFonts w:ascii="宋体"/>
              </w:rPr>
            </w:pPr>
          </w:p>
        </w:tc>
        <w:tc>
          <w:tcPr>
            <w:tcW w:w="50" w:type="pct"/>
            <w:shd w:val="clear" w:color="auto" w:fill="auto"/>
          </w:tcPr>
          <w:p w14:paraId="33DAC1B1" w14:textId="77777777" w:rsidR="004D6A64" w:rsidRDefault="004D6A64">
            <w:pPr>
              <w:rPr>
                <w:rFonts w:ascii="宋体"/>
              </w:rPr>
            </w:pPr>
          </w:p>
        </w:tc>
        <w:tc>
          <w:tcPr>
            <w:tcW w:w="522" w:type="pct"/>
            <w:shd w:val="clear" w:color="auto" w:fill="auto"/>
          </w:tcPr>
          <w:p w14:paraId="33DAC1B2" w14:textId="77777777" w:rsidR="004D6A64" w:rsidRDefault="004D6A64">
            <w:pPr>
              <w:rPr>
                <w:rFonts w:ascii="宋体"/>
              </w:rPr>
            </w:pPr>
          </w:p>
        </w:tc>
        <w:tc>
          <w:tcPr>
            <w:tcW w:w="5" w:type="pct"/>
            <w:shd w:val="clear" w:color="auto" w:fill="auto"/>
          </w:tcPr>
          <w:p w14:paraId="33DAC1B3" w14:textId="77777777" w:rsidR="004D6A64" w:rsidRDefault="004D6A64">
            <w:pPr>
              <w:rPr>
                <w:rFonts w:ascii="宋体"/>
              </w:rPr>
            </w:pPr>
          </w:p>
        </w:tc>
        <w:tc>
          <w:tcPr>
            <w:tcW w:w="5" w:type="pct"/>
            <w:shd w:val="clear" w:color="auto" w:fill="auto"/>
          </w:tcPr>
          <w:p w14:paraId="33DAC1B4" w14:textId="77777777" w:rsidR="004D6A64" w:rsidRDefault="004D6A64">
            <w:pPr>
              <w:rPr>
                <w:rFonts w:ascii="宋体"/>
              </w:rPr>
            </w:pPr>
          </w:p>
        </w:tc>
        <w:tc>
          <w:tcPr>
            <w:tcW w:w="19" w:type="pct"/>
            <w:shd w:val="clear" w:color="auto" w:fill="auto"/>
          </w:tcPr>
          <w:p w14:paraId="33DAC1B5" w14:textId="77777777" w:rsidR="004D6A64" w:rsidRDefault="004D6A64">
            <w:pPr>
              <w:rPr>
                <w:rFonts w:ascii="宋体"/>
              </w:rPr>
            </w:pPr>
          </w:p>
        </w:tc>
        <w:tc>
          <w:tcPr>
            <w:tcW w:w="5" w:type="pct"/>
            <w:shd w:val="clear" w:color="auto" w:fill="auto"/>
          </w:tcPr>
          <w:p w14:paraId="33DAC1B6" w14:textId="77777777" w:rsidR="004D6A64" w:rsidRDefault="004D6A64">
            <w:pPr>
              <w:rPr>
                <w:rFonts w:ascii="宋体"/>
              </w:rPr>
            </w:pPr>
          </w:p>
        </w:tc>
        <w:tc>
          <w:tcPr>
            <w:tcW w:w="50" w:type="pct"/>
            <w:shd w:val="clear" w:color="auto" w:fill="auto"/>
          </w:tcPr>
          <w:p w14:paraId="33DAC1B7" w14:textId="77777777" w:rsidR="004D6A64" w:rsidRDefault="004D6A64">
            <w:pPr>
              <w:rPr>
                <w:rFonts w:ascii="宋体"/>
              </w:rPr>
            </w:pPr>
          </w:p>
        </w:tc>
        <w:tc>
          <w:tcPr>
            <w:tcW w:w="522" w:type="pct"/>
            <w:shd w:val="clear" w:color="auto" w:fill="auto"/>
          </w:tcPr>
          <w:p w14:paraId="33DAC1B8" w14:textId="77777777" w:rsidR="004D6A64" w:rsidRDefault="004D6A64">
            <w:pPr>
              <w:rPr>
                <w:rFonts w:ascii="宋体"/>
              </w:rPr>
            </w:pPr>
          </w:p>
        </w:tc>
        <w:tc>
          <w:tcPr>
            <w:tcW w:w="5" w:type="pct"/>
            <w:shd w:val="clear" w:color="auto" w:fill="auto"/>
          </w:tcPr>
          <w:p w14:paraId="33DAC1B9" w14:textId="77777777" w:rsidR="004D6A64" w:rsidRDefault="004D6A64">
            <w:pPr>
              <w:rPr>
                <w:rFonts w:ascii="宋体"/>
              </w:rPr>
            </w:pPr>
          </w:p>
        </w:tc>
        <w:tc>
          <w:tcPr>
            <w:tcW w:w="5" w:type="pct"/>
            <w:shd w:val="clear" w:color="auto" w:fill="auto"/>
          </w:tcPr>
          <w:p w14:paraId="33DAC1BA" w14:textId="77777777" w:rsidR="004D6A64" w:rsidRDefault="004D6A64">
            <w:pPr>
              <w:rPr>
                <w:rFonts w:ascii="宋体"/>
              </w:rPr>
            </w:pPr>
          </w:p>
        </w:tc>
        <w:tc>
          <w:tcPr>
            <w:tcW w:w="19" w:type="pct"/>
            <w:shd w:val="clear" w:color="auto" w:fill="auto"/>
          </w:tcPr>
          <w:p w14:paraId="33DAC1BB" w14:textId="77777777" w:rsidR="004D6A64" w:rsidRDefault="004D6A64">
            <w:pPr>
              <w:rPr>
                <w:rFonts w:ascii="宋体"/>
              </w:rPr>
            </w:pPr>
          </w:p>
        </w:tc>
        <w:tc>
          <w:tcPr>
            <w:tcW w:w="5" w:type="pct"/>
            <w:shd w:val="clear" w:color="auto" w:fill="auto"/>
          </w:tcPr>
          <w:p w14:paraId="33DAC1BC" w14:textId="77777777" w:rsidR="004D6A64" w:rsidRDefault="004D6A64">
            <w:pPr>
              <w:rPr>
                <w:rFonts w:ascii="宋体"/>
              </w:rPr>
            </w:pPr>
          </w:p>
        </w:tc>
        <w:tc>
          <w:tcPr>
            <w:tcW w:w="50" w:type="pct"/>
            <w:shd w:val="clear" w:color="auto" w:fill="auto"/>
          </w:tcPr>
          <w:p w14:paraId="33DAC1BD" w14:textId="77777777" w:rsidR="004D6A64" w:rsidRDefault="004D6A64">
            <w:pPr>
              <w:rPr>
                <w:rFonts w:ascii="宋体"/>
              </w:rPr>
            </w:pPr>
          </w:p>
        </w:tc>
        <w:tc>
          <w:tcPr>
            <w:tcW w:w="500" w:type="pct"/>
            <w:shd w:val="clear" w:color="auto" w:fill="auto"/>
          </w:tcPr>
          <w:p w14:paraId="33DAC1BE" w14:textId="77777777" w:rsidR="004D6A64" w:rsidRDefault="004D6A64">
            <w:pPr>
              <w:rPr>
                <w:rFonts w:ascii="宋体"/>
              </w:rPr>
            </w:pPr>
          </w:p>
        </w:tc>
        <w:tc>
          <w:tcPr>
            <w:tcW w:w="5" w:type="pct"/>
            <w:shd w:val="clear" w:color="auto" w:fill="auto"/>
          </w:tcPr>
          <w:p w14:paraId="33DAC1BF" w14:textId="77777777" w:rsidR="004D6A64" w:rsidRDefault="004D6A64">
            <w:pPr>
              <w:rPr>
                <w:rFonts w:ascii="宋体"/>
              </w:rPr>
            </w:pPr>
          </w:p>
        </w:tc>
      </w:tr>
      <w:tr w:rsidR="004D6A64" w14:paraId="33DAC1CD" w14:textId="77777777">
        <w:trPr>
          <w:jc w:val="center"/>
        </w:trPr>
        <w:tc>
          <w:tcPr>
            <w:tcW w:w="0" w:type="auto"/>
            <w:gridSpan w:val="3"/>
            <w:shd w:val="clear" w:color="auto" w:fill="auto"/>
            <w:tcMar>
              <w:left w:w="20" w:type="dxa"/>
              <w:right w:w="20" w:type="dxa"/>
            </w:tcMar>
            <w:vAlign w:val="bottom"/>
          </w:tcPr>
          <w:p w14:paraId="33DAC1C1" w14:textId="77777777" w:rsidR="004D6A64" w:rsidRDefault="004D6A64">
            <w:pPr>
              <w:rPr>
                <w:rFonts w:ascii="宋体"/>
              </w:rPr>
            </w:pPr>
          </w:p>
        </w:tc>
        <w:tc>
          <w:tcPr>
            <w:tcW w:w="0" w:type="auto"/>
            <w:gridSpan w:val="33"/>
            <w:shd w:val="clear" w:color="auto" w:fill="auto"/>
            <w:tcMar>
              <w:top w:w="40" w:type="dxa"/>
              <w:left w:w="20" w:type="dxa"/>
              <w:bottom w:w="40" w:type="dxa"/>
              <w:right w:w="20" w:type="dxa"/>
            </w:tcMar>
            <w:vAlign w:val="bottom"/>
          </w:tcPr>
          <w:p w14:paraId="33DAC1C2"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shd w:val="clear" w:color="auto" w:fill="auto"/>
          </w:tcPr>
          <w:p w14:paraId="33DAC1C3" w14:textId="77777777" w:rsidR="004D6A64" w:rsidRDefault="004D6A64">
            <w:pPr>
              <w:rPr>
                <w:rFonts w:ascii="宋体"/>
                <w:vanish/>
              </w:rPr>
            </w:pPr>
          </w:p>
        </w:tc>
        <w:tc>
          <w:tcPr>
            <w:tcW w:w="0" w:type="auto"/>
            <w:gridSpan w:val="3"/>
            <w:shd w:val="clear" w:color="auto" w:fill="auto"/>
          </w:tcPr>
          <w:p w14:paraId="33DAC1C4" w14:textId="77777777" w:rsidR="004D6A64" w:rsidRDefault="004D6A64">
            <w:pPr>
              <w:rPr>
                <w:rFonts w:ascii="宋体"/>
                <w:vanish/>
              </w:rPr>
            </w:pPr>
          </w:p>
        </w:tc>
        <w:tc>
          <w:tcPr>
            <w:tcW w:w="0" w:type="auto"/>
            <w:gridSpan w:val="3"/>
            <w:shd w:val="clear" w:color="auto" w:fill="auto"/>
          </w:tcPr>
          <w:p w14:paraId="33DAC1C5" w14:textId="77777777" w:rsidR="004D6A64" w:rsidRDefault="004D6A64">
            <w:pPr>
              <w:rPr>
                <w:rFonts w:ascii="宋体"/>
                <w:vanish/>
              </w:rPr>
            </w:pPr>
          </w:p>
        </w:tc>
        <w:tc>
          <w:tcPr>
            <w:tcW w:w="0" w:type="auto"/>
            <w:gridSpan w:val="3"/>
            <w:shd w:val="clear" w:color="auto" w:fill="auto"/>
          </w:tcPr>
          <w:p w14:paraId="33DAC1C6" w14:textId="77777777" w:rsidR="004D6A64" w:rsidRDefault="004D6A64">
            <w:pPr>
              <w:rPr>
                <w:rFonts w:ascii="宋体"/>
                <w:vanish/>
              </w:rPr>
            </w:pPr>
          </w:p>
        </w:tc>
        <w:tc>
          <w:tcPr>
            <w:tcW w:w="0" w:type="auto"/>
            <w:gridSpan w:val="3"/>
            <w:shd w:val="clear" w:color="auto" w:fill="auto"/>
          </w:tcPr>
          <w:p w14:paraId="33DAC1C7" w14:textId="77777777" w:rsidR="004D6A64" w:rsidRDefault="004D6A64">
            <w:pPr>
              <w:rPr>
                <w:rFonts w:ascii="宋体"/>
                <w:vanish/>
              </w:rPr>
            </w:pPr>
          </w:p>
        </w:tc>
        <w:tc>
          <w:tcPr>
            <w:tcW w:w="0" w:type="auto"/>
            <w:gridSpan w:val="3"/>
            <w:shd w:val="clear" w:color="auto" w:fill="auto"/>
          </w:tcPr>
          <w:p w14:paraId="33DAC1C8" w14:textId="77777777" w:rsidR="004D6A64" w:rsidRDefault="004D6A64">
            <w:pPr>
              <w:rPr>
                <w:rFonts w:ascii="宋体"/>
                <w:vanish/>
              </w:rPr>
            </w:pPr>
          </w:p>
        </w:tc>
        <w:tc>
          <w:tcPr>
            <w:tcW w:w="0" w:type="auto"/>
            <w:gridSpan w:val="3"/>
            <w:shd w:val="clear" w:color="auto" w:fill="auto"/>
          </w:tcPr>
          <w:p w14:paraId="33DAC1C9" w14:textId="77777777" w:rsidR="004D6A64" w:rsidRDefault="004D6A64">
            <w:pPr>
              <w:rPr>
                <w:rFonts w:ascii="宋体"/>
                <w:vanish/>
              </w:rPr>
            </w:pPr>
          </w:p>
        </w:tc>
        <w:tc>
          <w:tcPr>
            <w:tcW w:w="0" w:type="auto"/>
            <w:gridSpan w:val="3"/>
            <w:shd w:val="clear" w:color="auto" w:fill="auto"/>
          </w:tcPr>
          <w:p w14:paraId="33DAC1CA" w14:textId="77777777" w:rsidR="004D6A64" w:rsidRDefault="004D6A64">
            <w:pPr>
              <w:rPr>
                <w:rFonts w:ascii="宋体"/>
                <w:vanish/>
              </w:rPr>
            </w:pPr>
          </w:p>
        </w:tc>
        <w:tc>
          <w:tcPr>
            <w:tcW w:w="0" w:type="auto"/>
            <w:gridSpan w:val="2"/>
            <w:shd w:val="clear" w:color="auto" w:fill="auto"/>
          </w:tcPr>
          <w:p w14:paraId="33DAC1CB" w14:textId="77777777" w:rsidR="004D6A64" w:rsidRDefault="004D6A64">
            <w:pPr>
              <w:rPr>
                <w:rFonts w:ascii="宋体"/>
                <w:vanish/>
              </w:rPr>
            </w:pPr>
          </w:p>
        </w:tc>
        <w:tc>
          <w:tcPr>
            <w:tcW w:w="0" w:type="auto"/>
            <w:shd w:val="clear" w:color="auto" w:fill="auto"/>
          </w:tcPr>
          <w:p w14:paraId="33DAC1CC" w14:textId="77777777" w:rsidR="004D6A64" w:rsidRDefault="004D6A64">
            <w:pPr>
              <w:rPr>
                <w:rFonts w:ascii="宋体"/>
                <w:vanish/>
              </w:rPr>
            </w:pPr>
          </w:p>
        </w:tc>
      </w:tr>
      <w:tr w:rsidR="004D6A64" w14:paraId="33DAC1EF" w14:textId="77777777">
        <w:trPr>
          <w:jc w:val="center"/>
        </w:trPr>
        <w:tc>
          <w:tcPr>
            <w:tcW w:w="0" w:type="auto"/>
            <w:gridSpan w:val="3"/>
            <w:vMerge w:val="restart"/>
            <w:shd w:val="clear" w:color="auto" w:fill="auto"/>
            <w:tcMar>
              <w:left w:w="20" w:type="dxa"/>
              <w:right w:w="20" w:type="dxa"/>
            </w:tcMar>
            <w:vAlign w:val="bottom"/>
          </w:tcPr>
          <w:p w14:paraId="33DAC1CE" w14:textId="77777777" w:rsidR="004D6A64" w:rsidRDefault="004D6A64">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3DAC1CF" w14:textId="77777777" w:rsidR="004D6A64" w:rsidRDefault="00506CD6">
            <w:pPr>
              <w:jc w:val="center"/>
              <w:textAlignment w:val="bottom"/>
            </w:pPr>
            <w:r>
              <w:rPr>
                <w:rFonts w:ascii="Times New Roman" w:eastAsia="宋体" w:hAnsi="Times New Roman"/>
                <w:b/>
                <w:bCs/>
                <w:color w:val="000000"/>
                <w:sz w:val="18"/>
                <w:szCs w:val="18"/>
              </w:rPr>
              <w:t>Gross Amounts of Recognized Assets/ (Liabilities)</w:t>
            </w:r>
          </w:p>
        </w:tc>
        <w:tc>
          <w:tcPr>
            <w:tcW w:w="0" w:type="auto"/>
            <w:gridSpan w:val="3"/>
            <w:vMerge w:val="restart"/>
            <w:tcBorders>
              <w:top w:val="single" w:sz="8" w:space="0" w:color="000000"/>
            </w:tcBorders>
            <w:shd w:val="clear" w:color="auto" w:fill="auto"/>
            <w:tcMar>
              <w:left w:w="20" w:type="dxa"/>
              <w:right w:w="20" w:type="dxa"/>
            </w:tcMar>
            <w:vAlign w:val="bottom"/>
          </w:tcPr>
          <w:p w14:paraId="33DAC1D0" w14:textId="77777777" w:rsidR="004D6A64" w:rsidRDefault="004D6A64">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C1D1" w14:textId="77777777" w:rsidR="004D6A64" w:rsidRDefault="00506CD6">
            <w:pPr>
              <w:jc w:val="center"/>
              <w:textAlignment w:val="bottom"/>
            </w:pPr>
            <w:r>
              <w:rPr>
                <w:rFonts w:ascii="Times New Roman" w:eastAsia="宋体" w:hAnsi="Times New Roman"/>
                <w:b/>
                <w:bCs/>
                <w:color w:val="000000"/>
                <w:sz w:val="18"/>
                <w:szCs w:val="18"/>
              </w:rPr>
              <w:t xml:space="preserve">Gross </w:t>
            </w:r>
            <w:r>
              <w:rPr>
                <w:rFonts w:ascii="Times New Roman" w:eastAsia="宋体" w:hAnsi="Times New Roman"/>
                <w:b/>
                <w:bCs/>
                <w:color w:val="000000"/>
                <w:sz w:val="18"/>
                <w:szCs w:val="18"/>
              </w:rPr>
              <w:t>Amounts Offset in the Statement of Financial Position</w:t>
            </w:r>
          </w:p>
        </w:tc>
        <w:tc>
          <w:tcPr>
            <w:tcW w:w="0" w:type="auto"/>
            <w:gridSpan w:val="3"/>
            <w:vMerge w:val="restart"/>
            <w:tcBorders>
              <w:top w:val="single" w:sz="8" w:space="0" w:color="000000"/>
            </w:tcBorders>
            <w:shd w:val="clear" w:color="auto" w:fill="auto"/>
            <w:tcMar>
              <w:left w:w="20" w:type="dxa"/>
              <w:right w:w="20" w:type="dxa"/>
            </w:tcMar>
            <w:vAlign w:val="bottom"/>
          </w:tcPr>
          <w:p w14:paraId="33DAC1D2" w14:textId="77777777" w:rsidR="004D6A64" w:rsidRDefault="004D6A64">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C1D3" w14:textId="77777777" w:rsidR="004D6A64" w:rsidRDefault="00506CD6">
            <w:pPr>
              <w:jc w:val="center"/>
              <w:textAlignment w:val="bottom"/>
            </w:pPr>
            <w:r>
              <w:rPr>
                <w:rFonts w:ascii="Times New Roman" w:eastAsia="宋体" w:hAnsi="Times New Roman"/>
                <w:b/>
                <w:bCs/>
                <w:color w:val="000000"/>
                <w:sz w:val="18"/>
                <w:szCs w:val="18"/>
              </w:rPr>
              <w:t>Net Amounts of Assets/ (Liabilities) Presented in the Statement of Financial Position</w:t>
            </w:r>
          </w:p>
        </w:tc>
        <w:tc>
          <w:tcPr>
            <w:tcW w:w="0" w:type="auto"/>
            <w:gridSpan w:val="3"/>
            <w:tcBorders>
              <w:top w:val="single" w:sz="8" w:space="0" w:color="000000"/>
            </w:tcBorders>
            <w:shd w:val="clear" w:color="auto" w:fill="auto"/>
            <w:tcMar>
              <w:left w:w="20" w:type="dxa"/>
              <w:right w:w="20" w:type="dxa"/>
            </w:tcMar>
            <w:vAlign w:val="bottom"/>
          </w:tcPr>
          <w:p w14:paraId="33DAC1D4" w14:textId="77777777" w:rsidR="004D6A64" w:rsidRDefault="004D6A6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3DAC1D5" w14:textId="77777777" w:rsidR="004D6A64" w:rsidRDefault="00506CD6">
            <w:pPr>
              <w:jc w:val="center"/>
              <w:textAlignment w:val="bottom"/>
            </w:pPr>
            <w:r>
              <w:rPr>
                <w:rFonts w:ascii="Times New Roman" w:eastAsia="宋体" w:hAnsi="Times New Roman"/>
                <w:b/>
                <w:bCs/>
                <w:color w:val="000000"/>
                <w:sz w:val="18"/>
                <w:szCs w:val="18"/>
              </w:rPr>
              <w:t>Gross Amounts not Offset in the Statement of Financial Position</w:t>
            </w:r>
          </w:p>
        </w:tc>
        <w:tc>
          <w:tcPr>
            <w:tcW w:w="0" w:type="auto"/>
            <w:gridSpan w:val="3"/>
            <w:shd w:val="clear" w:color="auto" w:fill="auto"/>
          </w:tcPr>
          <w:p w14:paraId="33DAC1D6" w14:textId="77777777" w:rsidR="004D6A64" w:rsidRDefault="004D6A64">
            <w:pPr>
              <w:rPr>
                <w:rFonts w:ascii="宋体"/>
                <w:vanish/>
              </w:rPr>
            </w:pPr>
          </w:p>
        </w:tc>
        <w:tc>
          <w:tcPr>
            <w:tcW w:w="0" w:type="auto"/>
            <w:gridSpan w:val="3"/>
            <w:shd w:val="clear" w:color="auto" w:fill="auto"/>
          </w:tcPr>
          <w:p w14:paraId="33DAC1D7" w14:textId="77777777" w:rsidR="004D6A64" w:rsidRDefault="004D6A64">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33DAC1D8" w14:textId="77777777" w:rsidR="004D6A64" w:rsidRDefault="004D6A64">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C1D9" w14:textId="77777777" w:rsidR="004D6A64" w:rsidRDefault="00506CD6">
            <w:pPr>
              <w:jc w:val="center"/>
              <w:textAlignment w:val="bottom"/>
            </w:pPr>
            <w:r>
              <w:rPr>
                <w:rFonts w:ascii="Times New Roman" w:eastAsia="宋体" w:hAnsi="Times New Roman"/>
                <w:b/>
                <w:bCs/>
                <w:color w:val="000000"/>
                <w:sz w:val="18"/>
                <w:szCs w:val="18"/>
              </w:rPr>
              <w:t>Net Amount</w:t>
            </w:r>
          </w:p>
        </w:tc>
        <w:tc>
          <w:tcPr>
            <w:tcW w:w="0" w:type="auto"/>
            <w:shd w:val="clear" w:color="auto" w:fill="auto"/>
          </w:tcPr>
          <w:p w14:paraId="33DAC1DA" w14:textId="77777777" w:rsidR="004D6A64" w:rsidRDefault="004D6A64">
            <w:pPr>
              <w:rPr>
                <w:rFonts w:ascii="宋体"/>
              </w:rPr>
            </w:pPr>
          </w:p>
        </w:tc>
        <w:tc>
          <w:tcPr>
            <w:tcW w:w="0" w:type="auto"/>
            <w:shd w:val="clear" w:color="auto" w:fill="auto"/>
          </w:tcPr>
          <w:p w14:paraId="33DAC1DB" w14:textId="77777777" w:rsidR="004D6A64" w:rsidRDefault="004D6A64">
            <w:pPr>
              <w:rPr>
                <w:rFonts w:ascii="宋体"/>
              </w:rPr>
            </w:pPr>
          </w:p>
        </w:tc>
        <w:tc>
          <w:tcPr>
            <w:tcW w:w="0" w:type="auto"/>
            <w:shd w:val="clear" w:color="auto" w:fill="auto"/>
          </w:tcPr>
          <w:p w14:paraId="33DAC1DC" w14:textId="77777777" w:rsidR="004D6A64" w:rsidRDefault="004D6A64">
            <w:pPr>
              <w:rPr>
                <w:rFonts w:ascii="宋体"/>
              </w:rPr>
            </w:pPr>
          </w:p>
        </w:tc>
        <w:tc>
          <w:tcPr>
            <w:tcW w:w="0" w:type="auto"/>
            <w:shd w:val="clear" w:color="auto" w:fill="auto"/>
          </w:tcPr>
          <w:p w14:paraId="33DAC1DD" w14:textId="77777777" w:rsidR="004D6A64" w:rsidRDefault="004D6A64">
            <w:pPr>
              <w:rPr>
                <w:rFonts w:ascii="宋体"/>
              </w:rPr>
            </w:pPr>
          </w:p>
        </w:tc>
        <w:tc>
          <w:tcPr>
            <w:tcW w:w="0" w:type="auto"/>
            <w:shd w:val="clear" w:color="auto" w:fill="auto"/>
          </w:tcPr>
          <w:p w14:paraId="33DAC1DE" w14:textId="77777777" w:rsidR="004D6A64" w:rsidRDefault="004D6A64">
            <w:pPr>
              <w:rPr>
                <w:rFonts w:ascii="宋体"/>
              </w:rPr>
            </w:pPr>
          </w:p>
        </w:tc>
        <w:tc>
          <w:tcPr>
            <w:tcW w:w="0" w:type="auto"/>
            <w:shd w:val="clear" w:color="auto" w:fill="auto"/>
          </w:tcPr>
          <w:p w14:paraId="33DAC1DF" w14:textId="77777777" w:rsidR="004D6A64" w:rsidRDefault="004D6A64">
            <w:pPr>
              <w:rPr>
                <w:rFonts w:ascii="宋体"/>
              </w:rPr>
            </w:pPr>
          </w:p>
        </w:tc>
        <w:tc>
          <w:tcPr>
            <w:tcW w:w="0" w:type="auto"/>
            <w:shd w:val="clear" w:color="auto" w:fill="auto"/>
          </w:tcPr>
          <w:p w14:paraId="33DAC1E0" w14:textId="77777777" w:rsidR="004D6A64" w:rsidRDefault="004D6A64">
            <w:pPr>
              <w:rPr>
                <w:rFonts w:ascii="宋体"/>
              </w:rPr>
            </w:pPr>
          </w:p>
        </w:tc>
        <w:tc>
          <w:tcPr>
            <w:tcW w:w="0" w:type="auto"/>
            <w:shd w:val="clear" w:color="auto" w:fill="auto"/>
          </w:tcPr>
          <w:p w14:paraId="33DAC1E1" w14:textId="77777777" w:rsidR="004D6A64" w:rsidRDefault="004D6A64">
            <w:pPr>
              <w:rPr>
                <w:rFonts w:ascii="宋体"/>
              </w:rPr>
            </w:pPr>
          </w:p>
        </w:tc>
        <w:tc>
          <w:tcPr>
            <w:tcW w:w="0" w:type="auto"/>
            <w:shd w:val="clear" w:color="auto" w:fill="auto"/>
          </w:tcPr>
          <w:p w14:paraId="33DAC1E2" w14:textId="77777777" w:rsidR="004D6A64" w:rsidRDefault="004D6A64">
            <w:pPr>
              <w:rPr>
                <w:rFonts w:ascii="宋体"/>
              </w:rPr>
            </w:pPr>
          </w:p>
        </w:tc>
        <w:tc>
          <w:tcPr>
            <w:tcW w:w="0" w:type="auto"/>
            <w:shd w:val="clear" w:color="auto" w:fill="auto"/>
          </w:tcPr>
          <w:p w14:paraId="33DAC1E3" w14:textId="77777777" w:rsidR="004D6A64" w:rsidRDefault="004D6A64">
            <w:pPr>
              <w:rPr>
                <w:rFonts w:ascii="宋体"/>
              </w:rPr>
            </w:pPr>
          </w:p>
        </w:tc>
        <w:tc>
          <w:tcPr>
            <w:tcW w:w="0" w:type="auto"/>
            <w:shd w:val="clear" w:color="auto" w:fill="auto"/>
          </w:tcPr>
          <w:p w14:paraId="33DAC1E4" w14:textId="77777777" w:rsidR="004D6A64" w:rsidRDefault="004D6A64">
            <w:pPr>
              <w:rPr>
                <w:rFonts w:ascii="宋体"/>
              </w:rPr>
            </w:pPr>
          </w:p>
        </w:tc>
        <w:tc>
          <w:tcPr>
            <w:tcW w:w="0" w:type="auto"/>
            <w:shd w:val="clear" w:color="auto" w:fill="auto"/>
          </w:tcPr>
          <w:p w14:paraId="33DAC1E5" w14:textId="77777777" w:rsidR="004D6A64" w:rsidRDefault="004D6A64">
            <w:pPr>
              <w:rPr>
                <w:rFonts w:ascii="宋体"/>
              </w:rPr>
            </w:pPr>
          </w:p>
        </w:tc>
        <w:tc>
          <w:tcPr>
            <w:tcW w:w="0" w:type="auto"/>
            <w:shd w:val="clear" w:color="auto" w:fill="auto"/>
          </w:tcPr>
          <w:p w14:paraId="33DAC1E6" w14:textId="77777777" w:rsidR="004D6A64" w:rsidRDefault="004D6A64">
            <w:pPr>
              <w:rPr>
                <w:rFonts w:ascii="宋体"/>
              </w:rPr>
            </w:pPr>
          </w:p>
        </w:tc>
        <w:tc>
          <w:tcPr>
            <w:tcW w:w="0" w:type="auto"/>
            <w:shd w:val="clear" w:color="auto" w:fill="auto"/>
          </w:tcPr>
          <w:p w14:paraId="33DAC1E7" w14:textId="77777777" w:rsidR="004D6A64" w:rsidRDefault="004D6A64">
            <w:pPr>
              <w:rPr>
                <w:rFonts w:ascii="宋体"/>
              </w:rPr>
            </w:pPr>
          </w:p>
        </w:tc>
        <w:tc>
          <w:tcPr>
            <w:tcW w:w="0" w:type="auto"/>
            <w:shd w:val="clear" w:color="auto" w:fill="auto"/>
          </w:tcPr>
          <w:p w14:paraId="33DAC1E8" w14:textId="77777777" w:rsidR="004D6A64" w:rsidRDefault="004D6A64">
            <w:pPr>
              <w:rPr>
                <w:rFonts w:ascii="宋体"/>
              </w:rPr>
            </w:pPr>
          </w:p>
        </w:tc>
        <w:tc>
          <w:tcPr>
            <w:tcW w:w="0" w:type="auto"/>
            <w:shd w:val="clear" w:color="auto" w:fill="auto"/>
          </w:tcPr>
          <w:p w14:paraId="33DAC1E9" w14:textId="77777777" w:rsidR="004D6A64" w:rsidRDefault="004D6A64">
            <w:pPr>
              <w:rPr>
                <w:rFonts w:ascii="宋体"/>
              </w:rPr>
            </w:pPr>
          </w:p>
        </w:tc>
        <w:tc>
          <w:tcPr>
            <w:tcW w:w="0" w:type="auto"/>
            <w:shd w:val="clear" w:color="auto" w:fill="auto"/>
          </w:tcPr>
          <w:p w14:paraId="33DAC1EA" w14:textId="77777777" w:rsidR="004D6A64" w:rsidRDefault="004D6A64">
            <w:pPr>
              <w:rPr>
                <w:rFonts w:ascii="宋体"/>
              </w:rPr>
            </w:pPr>
          </w:p>
        </w:tc>
        <w:tc>
          <w:tcPr>
            <w:tcW w:w="0" w:type="auto"/>
            <w:shd w:val="clear" w:color="auto" w:fill="auto"/>
          </w:tcPr>
          <w:p w14:paraId="33DAC1EB" w14:textId="77777777" w:rsidR="004D6A64" w:rsidRDefault="004D6A64">
            <w:pPr>
              <w:rPr>
                <w:rFonts w:ascii="宋体"/>
              </w:rPr>
            </w:pPr>
          </w:p>
        </w:tc>
        <w:tc>
          <w:tcPr>
            <w:tcW w:w="0" w:type="auto"/>
            <w:shd w:val="clear" w:color="auto" w:fill="auto"/>
          </w:tcPr>
          <w:p w14:paraId="33DAC1EC" w14:textId="77777777" w:rsidR="004D6A64" w:rsidRDefault="004D6A64">
            <w:pPr>
              <w:rPr>
                <w:rFonts w:ascii="宋体"/>
              </w:rPr>
            </w:pPr>
          </w:p>
        </w:tc>
        <w:tc>
          <w:tcPr>
            <w:tcW w:w="0" w:type="auto"/>
            <w:shd w:val="clear" w:color="auto" w:fill="auto"/>
          </w:tcPr>
          <w:p w14:paraId="33DAC1ED" w14:textId="77777777" w:rsidR="004D6A64" w:rsidRDefault="004D6A64">
            <w:pPr>
              <w:rPr>
                <w:rFonts w:ascii="宋体"/>
              </w:rPr>
            </w:pPr>
          </w:p>
        </w:tc>
        <w:tc>
          <w:tcPr>
            <w:tcW w:w="0" w:type="auto"/>
            <w:shd w:val="clear" w:color="auto" w:fill="auto"/>
          </w:tcPr>
          <w:p w14:paraId="33DAC1EE" w14:textId="77777777" w:rsidR="004D6A64" w:rsidRDefault="004D6A64">
            <w:pPr>
              <w:rPr>
                <w:rFonts w:ascii="宋体"/>
              </w:rPr>
            </w:pPr>
          </w:p>
        </w:tc>
      </w:tr>
      <w:tr w:rsidR="004D6A64" w14:paraId="33DAC209" w14:textId="77777777">
        <w:trPr>
          <w:jc w:val="center"/>
        </w:trPr>
        <w:tc>
          <w:tcPr>
            <w:tcW w:w="0" w:type="auto"/>
            <w:gridSpan w:val="3"/>
            <w:vMerge/>
            <w:shd w:val="clear" w:color="auto" w:fill="auto"/>
            <w:tcMar>
              <w:left w:w="20" w:type="dxa"/>
              <w:right w:w="20" w:type="dxa"/>
            </w:tcMar>
            <w:vAlign w:val="bottom"/>
          </w:tcPr>
          <w:p w14:paraId="33DAC1F0" w14:textId="77777777" w:rsidR="004D6A64" w:rsidRDefault="004D6A64">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3DAC1F1" w14:textId="77777777" w:rsidR="004D6A64" w:rsidRDefault="004D6A64">
            <w:pPr>
              <w:jc w:val="center"/>
              <w:rPr>
                <w:rFonts w:ascii="宋体"/>
              </w:rPr>
            </w:pPr>
          </w:p>
        </w:tc>
        <w:tc>
          <w:tcPr>
            <w:tcW w:w="0" w:type="auto"/>
            <w:gridSpan w:val="3"/>
            <w:vMerge/>
            <w:tcBorders>
              <w:top w:val="single" w:sz="8" w:space="0" w:color="000000"/>
            </w:tcBorders>
            <w:shd w:val="clear" w:color="auto" w:fill="auto"/>
            <w:tcMar>
              <w:left w:w="20" w:type="dxa"/>
              <w:right w:w="20" w:type="dxa"/>
            </w:tcMar>
            <w:vAlign w:val="bottom"/>
          </w:tcPr>
          <w:p w14:paraId="33DAC1F2" w14:textId="77777777" w:rsidR="004D6A64" w:rsidRDefault="004D6A64">
            <w:pPr>
              <w:rPr>
                <w:rFonts w:ascii="宋体"/>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C1F3" w14:textId="77777777" w:rsidR="004D6A64" w:rsidRDefault="004D6A64">
            <w:pPr>
              <w:jc w:val="center"/>
              <w:rPr>
                <w:rFonts w:ascii="宋体"/>
              </w:rPr>
            </w:pPr>
          </w:p>
        </w:tc>
        <w:tc>
          <w:tcPr>
            <w:tcW w:w="0" w:type="auto"/>
            <w:gridSpan w:val="3"/>
            <w:vMerge/>
            <w:tcBorders>
              <w:top w:val="single" w:sz="8" w:space="0" w:color="000000"/>
            </w:tcBorders>
            <w:shd w:val="clear" w:color="auto" w:fill="auto"/>
            <w:tcMar>
              <w:left w:w="20" w:type="dxa"/>
              <w:right w:w="20" w:type="dxa"/>
            </w:tcMar>
            <w:vAlign w:val="bottom"/>
          </w:tcPr>
          <w:p w14:paraId="33DAC1F4" w14:textId="77777777" w:rsidR="004D6A64" w:rsidRDefault="004D6A64">
            <w:pPr>
              <w:rPr>
                <w:rFonts w:ascii="宋体"/>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C1F5" w14:textId="77777777" w:rsidR="004D6A64" w:rsidRDefault="004D6A64">
            <w:pPr>
              <w:jc w:val="center"/>
              <w:rPr>
                <w:rFonts w:ascii="宋体"/>
              </w:rPr>
            </w:pPr>
          </w:p>
        </w:tc>
        <w:tc>
          <w:tcPr>
            <w:tcW w:w="0" w:type="auto"/>
            <w:gridSpan w:val="3"/>
            <w:shd w:val="clear" w:color="auto" w:fill="auto"/>
          </w:tcPr>
          <w:p w14:paraId="33DAC1F6" w14:textId="77777777" w:rsidR="004D6A64" w:rsidRDefault="004D6A64">
            <w:pPr>
              <w:rPr>
                <w:rFonts w:ascii="宋体"/>
                <w:vanish/>
              </w:rPr>
            </w:pPr>
          </w:p>
        </w:tc>
        <w:tc>
          <w:tcPr>
            <w:tcW w:w="0" w:type="auto"/>
            <w:gridSpan w:val="3"/>
            <w:shd w:val="clear" w:color="auto" w:fill="auto"/>
          </w:tcPr>
          <w:p w14:paraId="33DAC1F7" w14:textId="77777777" w:rsidR="004D6A64" w:rsidRDefault="004D6A64">
            <w:pPr>
              <w:rPr>
                <w:rFonts w:ascii="宋体"/>
                <w:vanish/>
              </w:rPr>
            </w:pPr>
          </w:p>
        </w:tc>
        <w:tc>
          <w:tcPr>
            <w:tcW w:w="0" w:type="auto"/>
            <w:gridSpan w:val="3"/>
            <w:shd w:val="clear" w:color="auto" w:fill="auto"/>
          </w:tcPr>
          <w:p w14:paraId="33DAC1F8" w14:textId="77777777" w:rsidR="004D6A64" w:rsidRDefault="004D6A64">
            <w:pPr>
              <w:rPr>
                <w:rFonts w:ascii="宋体"/>
                <w:vanish/>
              </w:rPr>
            </w:pPr>
          </w:p>
        </w:tc>
        <w:tc>
          <w:tcPr>
            <w:tcW w:w="0" w:type="auto"/>
            <w:gridSpan w:val="3"/>
            <w:shd w:val="clear" w:color="auto" w:fill="auto"/>
          </w:tcPr>
          <w:p w14:paraId="33DAC1F9" w14:textId="77777777" w:rsidR="004D6A64" w:rsidRDefault="004D6A64">
            <w:pPr>
              <w:rPr>
                <w:rFonts w:ascii="宋体"/>
                <w:vanish/>
              </w:rPr>
            </w:pPr>
          </w:p>
        </w:tc>
        <w:tc>
          <w:tcPr>
            <w:tcW w:w="0" w:type="auto"/>
            <w:gridSpan w:val="3"/>
            <w:shd w:val="clear" w:color="auto" w:fill="auto"/>
          </w:tcPr>
          <w:p w14:paraId="33DAC1FA" w14:textId="77777777" w:rsidR="004D6A64" w:rsidRDefault="004D6A64">
            <w:pPr>
              <w:rPr>
                <w:rFonts w:ascii="宋体"/>
                <w:vanish/>
              </w:rPr>
            </w:pPr>
          </w:p>
        </w:tc>
        <w:tc>
          <w:tcPr>
            <w:tcW w:w="0" w:type="auto"/>
            <w:gridSpan w:val="3"/>
            <w:shd w:val="clear" w:color="auto" w:fill="auto"/>
          </w:tcPr>
          <w:p w14:paraId="33DAC1FB"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C1FC" w14:textId="77777777" w:rsidR="004D6A64" w:rsidRDefault="004D6A64">
            <w:pPr>
              <w:rPr>
                <w:rFonts w:ascii="宋体"/>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C1FD" w14:textId="77777777" w:rsidR="004D6A64" w:rsidRDefault="004D6A64">
            <w:pPr>
              <w:jc w:val="cente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C1FE" w14:textId="77777777" w:rsidR="004D6A64" w:rsidRDefault="00506CD6">
            <w:pPr>
              <w:jc w:val="center"/>
              <w:textAlignment w:val="bottom"/>
            </w:pPr>
            <w:r>
              <w:rPr>
                <w:rFonts w:ascii="Times New Roman" w:eastAsia="宋体" w:hAnsi="Times New Roman"/>
                <w:b/>
                <w:bCs/>
                <w:color w:val="000000"/>
                <w:sz w:val="18"/>
                <w:szCs w:val="18"/>
              </w:rPr>
              <w:t>Financial Instruments</w:t>
            </w:r>
          </w:p>
        </w:tc>
        <w:tc>
          <w:tcPr>
            <w:tcW w:w="0" w:type="auto"/>
            <w:gridSpan w:val="3"/>
            <w:tcBorders>
              <w:top w:val="single" w:sz="8" w:space="0" w:color="000000"/>
            </w:tcBorders>
            <w:shd w:val="clear" w:color="auto" w:fill="auto"/>
            <w:tcMar>
              <w:left w:w="20" w:type="dxa"/>
              <w:right w:w="20" w:type="dxa"/>
            </w:tcMar>
            <w:vAlign w:val="bottom"/>
          </w:tcPr>
          <w:p w14:paraId="33DAC1FF"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C200" w14:textId="77777777" w:rsidR="004D6A64" w:rsidRDefault="00506CD6">
            <w:pPr>
              <w:jc w:val="center"/>
              <w:textAlignment w:val="bottom"/>
            </w:pPr>
            <w:r>
              <w:rPr>
                <w:rFonts w:ascii="Times New Roman" w:eastAsia="宋体" w:hAnsi="Times New Roman"/>
                <w:b/>
                <w:bCs/>
                <w:color w:val="000000"/>
                <w:sz w:val="18"/>
                <w:szCs w:val="18"/>
              </w:rPr>
              <w:t>Cash Collateral Received or Pledged</w:t>
            </w:r>
          </w:p>
        </w:tc>
        <w:tc>
          <w:tcPr>
            <w:tcW w:w="0" w:type="auto"/>
            <w:gridSpan w:val="3"/>
            <w:shd w:val="clear" w:color="auto" w:fill="auto"/>
            <w:tcMar>
              <w:left w:w="20" w:type="dxa"/>
              <w:right w:w="20" w:type="dxa"/>
            </w:tcMar>
            <w:vAlign w:val="bottom"/>
          </w:tcPr>
          <w:p w14:paraId="33DAC201" w14:textId="77777777" w:rsidR="004D6A64" w:rsidRDefault="004D6A64">
            <w:pPr>
              <w:rPr>
                <w:rFonts w:ascii="宋体"/>
              </w:rPr>
            </w:pPr>
          </w:p>
        </w:tc>
        <w:tc>
          <w:tcPr>
            <w:tcW w:w="0" w:type="auto"/>
            <w:gridSpan w:val="3"/>
            <w:shd w:val="clear" w:color="auto" w:fill="auto"/>
          </w:tcPr>
          <w:p w14:paraId="33DAC202" w14:textId="77777777" w:rsidR="004D6A64" w:rsidRDefault="004D6A64">
            <w:pPr>
              <w:rPr>
                <w:rFonts w:ascii="宋体"/>
                <w:vanish/>
              </w:rPr>
            </w:pPr>
          </w:p>
        </w:tc>
        <w:tc>
          <w:tcPr>
            <w:tcW w:w="0" w:type="auto"/>
            <w:shd w:val="clear" w:color="auto" w:fill="auto"/>
          </w:tcPr>
          <w:p w14:paraId="33DAC203" w14:textId="77777777" w:rsidR="004D6A64" w:rsidRDefault="004D6A64">
            <w:pPr>
              <w:rPr>
                <w:rFonts w:ascii="宋体"/>
              </w:rPr>
            </w:pPr>
          </w:p>
        </w:tc>
        <w:tc>
          <w:tcPr>
            <w:tcW w:w="0" w:type="auto"/>
            <w:shd w:val="clear" w:color="auto" w:fill="auto"/>
          </w:tcPr>
          <w:p w14:paraId="33DAC204" w14:textId="77777777" w:rsidR="004D6A64" w:rsidRDefault="004D6A64">
            <w:pPr>
              <w:rPr>
                <w:rFonts w:ascii="宋体"/>
              </w:rPr>
            </w:pPr>
          </w:p>
        </w:tc>
        <w:tc>
          <w:tcPr>
            <w:tcW w:w="0" w:type="auto"/>
            <w:shd w:val="clear" w:color="auto" w:fill="auto"/>
          </w:tcPr>
          <w:p w14:paraId="33DAC205" w14:textId="77777777" w:rsidR="004D6A64" w:rsidRDefault="004D6A64">
            <w:pPr>
              <w:rPr>
                <w:rFonts w:ascii="宋体"/>
              </w:rPr>
            </w:pPr>
          </w:p>
        </w:tc>
        <w:tc>
          <w:tcPr>
            <w:tcW w:w="0" w:type="auto"/>
            <w:shd w:val="clear" w:color="auto" w:fill="auto"/>
          </w:tcPr>
          <w:p w14:paraId="33DAC206" w14:textId="77777777" w:rsidR="004D6A64" w:rsidRDefault="004D6A64">
            <w:pPr>
              <w:rPr>
                <w:rFonts w:ascii="宋体"/>
              </w:rPr>
            </w:pPr>
          </w:p>
        </w:tc>
        <w:tc>
          <w:tcPr>
            <w:tcW w:w="0" w:type="auto"/>
            <w:shd w:val="clear" w:color="auto" w:fill="auto"/>
          </w:tcPr>
          <w:p w14:paraId="33DAC207" w14:textId="77777777" w:rsidR="004D6A64" w:rsidRDefault="004D6A64">
            <w:pPr>
              <w:rPr>
                <w:rFonts w:ascii="宋体"/>
              </w:rPr>
            </w:pPr>
          </w:p>
        </w:tc>
        <w:tc>
          <w:tcPr>
            <w:tcW w:w="0" w:type="auto"/>
            <w:shd w:val="clear" w:color="auto" w:fill="auto"/>
          </w:tcPr>
          <w:p w14:paraId="33DAC208" w14:textId="77777777" w:rsidR="004D6A64" w:rsidRDefault="004D6A64">
            <w:pPr>
              <w:rPr>
                <w:rFonts w:ascii="宋体"/>
              </w:rPr>
            </w:pPr>
          </w:p>
        </w:tc>
      </w:tr>
      <w:tr w:rsidR="004D6A64" w14:paraId="33DAC216" w14:textId="77777777">
        <w:trPr>
          <w:jc w:val="center"/>
        </w:trPr>
        <w:tc>
          <w:tcPr>
            <w:tcW w:w="0" w:type="auto"/>
            <w:gridSpan w:val="3"/>
            <w:shd w:val="clear" w:color="auto" w:fill="auto"/>
            <w:tcMar>
              <w:left w:w="20" w:type="dxa"/>
              <w:right w:w="20" w:type="dxa"/>
            </w:tcMar>
            <w:vAlign w:val="bottom"/>
          </w:tcPr>
          <w:p w14:paraId="33DAC20A" w14:textId="77777777" w:rsidR="004D6A64" w:rsidRDefault="004D6A64">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33DAC20B" w14:textId="77777777" w:rsidR="004D6A64" w:rsidRDefault="00506CD6">
            <w:pPr>
              <w:jc w:val="center"/>
              <w:textAlignment w:val="bottom"/>
            </w:pPr>
            <w:r>
              <w:rPr>
                <w:rFonts w:ascii="Times New Roman" w:eastAsia="宋体" w:hAnsi="Times New Roman"/>
                <w:color w:val="000000"/>
                <w:sz w:val="20"/>
                <w:szCs w:val="20"/>
              </w:rPr>
              <w:t>(in millions)</w:t>
            </w:r>
          </w:p>
        </w:tc>
        <w:tc>
          <w:tcPr>
            <w:tcW w:w="0" w:type="auto"/>
            <w:gridSpan w:val="3"/>
            <w:shd w:val="clear" w:color="auto" w:fill="auto"/>
          </w:tcPr>
          <w:p w14:paraId="33DAC20C" w14:textId="77777777" w:rsidR="004D6A64" w:rsidRDefault="004D6A64">
            <w:pPr>
              <w:rPr>
                <w:rFonts w:ascii="宋体"/>
                <w:vanish/>
              </w:rPr>
            </w:pPr>
          </w:p>
        </w:tc>
        <w:tc>
          <w:tcPr>
            <w:tcW w:w="0" w:type="auto"/>
            <w:gridSpan w:val="3"/>
            <w:shd w:val="clear" w:color="auto" w:fill="auto"/>
          </w:tcPr>
          <w:p w14:paraId="33DAC20D" w14:textId="77777777" w:rsidR="004D6A64" w:rsidRDefault="004D6A64">
            <w:pPr>
              <w:rPr>
                <w:rFonts w:ascii="宋体"/>
                <w:vanish/>
              </w:rPr>
            </w:pPr>
          </w:p>
        </w:tc>
        <w:tc>
          <w:tcPr>
            <w:tcW w:w="0" w:type="auto"/>
            <w:gridSpan w:val="3"/>
            <w:shd w:val="clear" w:color="auto" w:fill="auto"/>
          </w:tcPr>
          <w:p w14:paraId="33DAC20E" w14:textId="77777777" w:rsidR="004D6A64" w:rsidRDefault="004D6A64">
            <w:pPr>
              <w:rPr>
                <w:rFonts w:ascii="宋体"/>
                <w:vanish/>
              </w:rPr>
            </w:pPr>
          </w:p>
        </w:tc>
        <w:tc>
          <w:tcPr>
            <w:tcW w:w="0" w:type="auto"/>
            <w:gridSpan w:val="3"/>
            <w:shd w:val="clear" w:color="auto" w:fill="auto"/>
          </w:tcPr>
          <w:p w14:paraId="33DAC20F" w14:textId="77777777" w:rsidR="004D6A64" w:rsidRDefault="004D6A64">
            <w:pPr>
              <w:rPr>
                <w:rFonts w:ascii="宋体"/>
                <w:vanish/>
              </w:rPr>
            </w:pPr>
          </w:p>
        </w:tc>
        <w:tc>
          <w:tcPr>
            <w:tcW w:w="0" w:type="auto"/>
            <w:gridSpan w:val="3"/>
            <w:shd w:val="clear" w:color="auto" w:fill="auto"/>
          </w:tcPr>
          <w:p w14:paraId="33DAC210" w14:textId="77777777" w:rsidR="004D6A64" w:rsidRDefault="004D6A64">
            <w:pPr>
              <w:rPr>
                <w:rFonts w:ascii="宋体"/>
                <w:vanish/>
              </w:rPr>
            </w:pPr>
          </w:p>
        </w:tc>
        <w:tc>
          <w:tcPr>
            <w:tcW w:w="0" w:type="auto"/>
            <w:gridSpan w:val="3"/>
            <w:shd w:val="clear" w:color="auto" w:fill="auto"/>
          </w:tcPr>
          <w:p w14:paraId="33DAC211" w14:textId="77777777" w:rsidR="004D6A64" w:rsidRDefault="004D6A64">
            <w:pPr>
              <w:rPr>
                <w:rFonts w:ascii="宋体"/>
                <w:vanish/>
              </w:rPr>
            </w:pPr>
          </w:p>
        </w:tc>
        <w:tc>
          <w:tcPr>
            <w:tcW w:w="0" w:type="auto"/>
            <w:gridSpan w:val="3"/>
            <w:shd w:val="clear" w:color="auto" w:fill="auto"/>
          </w:tcPr>
          <w:p w14:paraId="33DAC212" w14:textId="77777777" w:rsidR="004D6A64" w:rsidRDefault="004D6A64">
            <w:pPr>
              <w:rPr>
                <w:rFonts w:ascii="宋体"/>
                <w:vanish/>
              </w:rPr>
            </w:pPr>
          </w:p>
        </w:tc>
        <w:tc>
          <w:tcPr>
            <w:tcW w:w="0" w:type="auto"/>
            <w:gridSpan w:val="3"/>
            <w:shd w:val="clear" w:color="auto" w:fill="auto"/>
          </w:tcPr>
          <w:p w14:paraId="33DAC213" w14:textId="77777777" w:rsidR="004D6A64" w:rsidRDefault="004D6A64">
            <w:pPr>
              <w:rPr>
                <w:rFonts w:ascii="宋体"/>
                <w:vanish/>
              </w:rPr>
            </w:pPr>
          </w:p>
        </w:tc>
        <w:tc>
          <w:tcPr>
            <w:tcW w:w="0" w:type="auto"/>
            <w:gridSpan w:val="2"/>
            <w:shd w:val="clear" w:color="auto" w:fill="auto"/>
          </w:tcPr>
          <w:p w14:paraId="33DAC214" w14:textId="77777777" w:rsidR="004D6A64" w:rsidRDefault="004D6A64">
            <w:pPr>
              <w:rPr>
                <w:rFonts w:ascii="宋体"/>
                <w:vanish/>
              </w:rPr>
            </w:pPr>
          </w:p>
        </w:tc>
        <w:tc>
          <w:tcPr>
            <w:tcW w:w="0" w:type="auto"/>
            <w:shd w:val="clear" w:color="auto" w:fill="auto"/>
          </w:tcPr>
          <w:p w14:paraId="33DAC215" w14:textId="77777777" w:rsidR="004D6A64" w:rsidRDefault="004D6A64">
            <w:pPr>
              <w:rPr>
                <w:rFonts w:ascii="宋体"/>
                <w:vanish/>
              </w:rPr>
            </w:pPr>
          </w:p>
        </w:tc>
      </w:tr>
      <w:tr w:rsidR="004D6A64" w14:paraId="33DAC23E" w14:textId="77777777">
        <w:trPr>
          <w:jc w:val="center"/>
        </w:trPr>
        <w:tc>
          <w:tcPr>
            <w:tcW w:w="0" w:type="auto"/>
            <w:gridSpan w:val="3"/>
            <w:shd w:val="clear" w:color="auto" w:fill="CCEEFF"/>
            <w:tcMar>
              <w:top w:w="40" w:type="dxa"/>
              <w:left w:w="20" w:type="dxa"/>
              <w:bottom w:w="40" w:type="dxa"/>
              <w:right w:w="20" w:type="dxa"/>
            </w:tcMar>
            <w:vAlign w:val="bottom"/>
          </w:tcPr>
          <w:p w14:paraId="33DAC217" w14:textId="77777777" w:rsidR="004D6A64" w:rsidRDefault="00506CD6">
            <w:pPr>
              <w:textAlignment w:val="bottom"/>
            </w:pPr>
            <w:r>
              <w:rPr>
                <w:rFonts w:ascii="Times New Roman" w:eastAsia="宋体" w:hAnsi="Times New Roman"/>
                <w:i/>
                <w:iCs/>
                <w:color w:val="000000"/>
                <w:sz w:val="20"/>
                <w:szCs w:val="20"/>
              </w:rPr>
              <w:t>Derivative instruments:</w:t>
            </w:r>
          </w:p>
        </w:tc>
        <w:tc>
          <w:tcPr>
            <w:tcW w:w="0" w:type="auto"/>
            <w:gridSpan w:val="3"/>
            <w:shd w:val="clear" w:color="auto" w:fill="CCEEFF"/>
            <w:tcMar>
              <w:left w:w="20" w:type="dxa"/>
              <w:right w:w="20" w:type="dxa"/>
            </w:tcMar>
            <w:vAlign w:val="bottom"/>
          </w:tcPr>
          <w:p w14:paraId="33DAC218"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219"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21A"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21B"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21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21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21E"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21F"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220"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221"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222" w14:textId="77777777" w:rsidR="004D6A64" w:rsidRDefault="004D6A64">
            <w:pPr>
              <w:rPr>
                <w:rFonts w:ascii="宋体"/>
              </w:rPr>
            </w:pPr>
          </w:p>
        </w:tc>
        <w:tc>
          <w:tcPr>
            <w:tcW w:w="0" w:type="auto"/>
            <w:shd w:val="clear" w:color="auto" w:fill="auto"/>
          </w:tcPr>
          <w:p w14:paraId="33DAC223" w14:textId="77777777" w:rsidR="004D6A64" w:rsidRDefault="004D6A64">
            <w:pPr>
              <w:rPr>
                <w:rFonts w:ascii="宋体"/>
              </w:rPr>
            </w:pPr>
          </w:p>
        </w:tc>
        <w:tc>
          <w:tcPr>
            <w:tcW w:w="0" w:type="auto"/>
            <w:shd w:val="clear" w:color="auto" w:fill="auto"/>
          </w:tcPr>
          <w:p w14:paraId="33DAC224" w14:textId="77777777" w:rsidR="004D6A64" w:rsidRDefault="004D6A64">
            <w:pPr>
              <w:rPr>
                <w:rFonts w:ascii="宋体"/>
              </w:rPr>
            </w:pPr>
          </w:p>
        </w:tc>
        <w:tc>
          <w:tcPr>
            <w:tcW w:w="0" w:type="auto"/>
            <w:shd w:val="clear" w:color="auto" w:fill="auto"/>
          </w:tcPr>
          <w:p w14:paraId="33DAC225" w14:textId="77777777" w:rsidR="004D6A64" w:rsidRDefault="004D6A64">
            <w:pPr>
              <w:rPr>
                <w:rFonts w:ascii="宋体"/>
              </w:rPr>
            </w:pPr>
          </w:p>
        </w:tc>
        <w:tc>
          <w:tcPr>
            <w:tcW w:w="0" w:type="auto"/>
            <w:shd w:val="clear" w:color="auto" w:fill="auto"/>
          </w:tcPr>
          <w:p w14:paraId="33DAC226" w14:textId="77777777" w:rsidR="004D6A64" w:rsidRDefault="004D6A64">
            <w:pPr>
              <w:rPr>
                <w:rFonts w:ascii="宋体"/>
              </w:rPr>
            </w:pPr>
          </w:p>
        </w:tc>
        <w:tc>
          <w:tcPr>
            <w:tcW w:w="0" w:type="auto"/>
            <w:shd w:val="clear" w:color="auto" w:fill="auto"/>
          </w:tcPr>
          <w:p w14:paraId="33DAC227" w14:textId="77777777" w:rsidR="004D6A64" w:rsidRDefault="004D6A64">
            <w:pPr>
              <w:rPr>
                <w:rFonts w:ascii="宋体"/>
              </w:rPr>
            </w:pPr>
          </w:p>
        </w:tc>
        <w:tc>
          <w:tcPr>
            <w:tcW w:w="0" w:type="auto"/>
            <w:shd w:val="clear" w:color="auto" w:fill="auto"/>
          </w:tcPr>
          <w:p w14:paraId="33DAC228" w14:textId="77777777" w:rsidR="004D6A64" w:rsidRDefault="004D6A64">
            <w:pPr>
              <w:rPr>
                <w:rFonts w:ascii="宋体"/>
              </w:rPr>
            </w:pPr>
          </w:p>
        </w:tc>
        <w:tc>
          <w:tcPr>
            <w:tcW w:w="0" w:type="auto"/>
            <w:shd w:val="clear" w:color="auto" w:fill="auto"/>
          </w:tcPr>
          <w:p w14:paraId="33DAC229" w14:textId="77777777" w:rsidR="004D6A64" w:rsidRDefault="004D6A64">
            <w:pPr>
              <w:rPr>
                <w:rFonts w:ascii="宋体"/>
              </w:rPr>
            </w:pPr>
          </w:p>
        </w:tc>
        <w:tc>
          <w:tcPr>
            <w:tcW w:w="0" w:type="auto"/>
            <w:shd w:val="clear" w:color="auto" w:fill="auto"/>
          </w:tcPr>
          <w:p w14:paraId="33DAC22A" w14:textId="77777777" w:rsidR="004D6A64" w:rsidRDefault="004D6A64">
            <w:pPr>
              <w:rPr>
                <w:rFonts w:ascii="宋体"/>
              </w:rPr>
            </w:pPr>
          </w:p>
        </w:tc>
        <w:tc>
          <w:tcPr>
            <w:tcW w:w="0" w:type="auto"/>
            <w:shd w:val="clear" w:color="auto" w:fill="auto"/>
          </w:tcPr>
          <w:p w14:paraId="33DAC22B" w14:textId="77777777" w:rsidR="004D6A64" w:rsidRDefault="004D6A64">
            <w:pPr>
              <w:rPr>
                <w:rFonts w:ascii="宋体"/>
              </w:rPr>
            </w:pPr>
          </w:p>
        </w:tc>
        <w:tc>
          <w:tcPr>
            <w:tcW w:w="0" w:type="auto"/>
            <w:shd w:val="clear" w:color="auto" w:fill="auto"/>
          </w:tcPr>
          <w:p w14:paraId="33DAC22C" w14:textId="77777777" w:rsidR="004D6A64" w:rsidRDefault="004D6A64">
            <w:pPr>
              <w:rPr>
                <w:rFonts w:ascii="宋体"/>
              </w:rPr>
            </w:pPr>
          </w:p>
        </w:tc>
        <w:tc>
          <w:tcPr>
            <w:tcW w:w="0" w:type="auto"/>
            <w:shd w:val="clear" w:color="auto" w:fill="auto"/>
          </w:tcPr>
          <w:p w14:paraId="33DAC22D" w14:textId="77777777" w:rsidR="004D6A64" w:rsidRDefault="004D6A64">
            <w:pPr>
              <w:rPr>
                <w:rFonts w:ascii="宋体"/>
              </w:rPr>
            </w:pPr>
          </w:p>
        </w:tc>
        <w:tc>
          <w:tcPr>
            <w:tcW w:w="0" w:type="auto"/>
            <w:shd w:val="clear" w:color="auto" w:fill="auto"/>
          </w:tcPr>
          <w:p w14:paraId="33DAC22E" w14:textId="77777777" w:rsidR="004D6A64" w:rsidRDefault="004D6A64">
            <w:pPr>
              <w:rPr>
                <w:rFonts w:ascii="宋体"/>
              </w:rPr>
            </w:pPr>
          </w:p>
        </w:tc>
        <w:tc>
          <w:tcPr>
            <w:tcW w:w="0" w:type="auto"/>
            <w:shd w:val="clear" w:color="auto" w:fill="auto"/>
          </w:tcPr>
          <w:p w14:paraId="33DAC22F" w14:textId="77777777" w:rsidR="004D6A64" w:rsidRDefault="004D6A64">
            <w:pPr>
              <w:rPr>
                <w:rFonts w:ascii="宋体"/>
              </w:rPr>
            </w:pPr>
          </w:p>
        </w:tc>
        <w:tc>
          <w:tcPr>
            <w:tcW w:w="0" w:type="auto"/>
            <w:shd w:val="clear" w:color="auto" w:fill="auto"/>
          </w:tcPr>
          <w:p w14:paraId="33DAC230" w14:textId="77777777" w:rsidR="004D6A64" w:rsidRDefault="004D6A64">
            <w:pPr>
              <w:rPr>
                <w:rFonts w:ascii="宋体"/>
              </w:rPr>
            </w:pPr>
          </w:p>
        </w:tc>
        <w:tc>
          <w:tcPr>
            <w:tcW w:w="0" w:type="auto"/>
            <w:shd w:val="clear" w:color="auto" w:fill="auto"/>
          </w:tcPr>
          <w:p w14:paraId="33DAC231" w14:textId="77777777" w:rsidR="004D6A64" w:rsidRDefault="004D6A64">
            <w:pPr>
              <w:rPr>
                <w:rFonts w:ascii="宋体"/>
              </w:rPr>
            </w:pPr>
          </w:p>
        </w:tc>
        <w:tc>
          <w:tcPr>
            <w:tcW w:w="0" w:type="auto"/>
            <w:shd w:val="clear" w:color="auto" w:fill="auto"/>
          </w:tcPr>
          <w:p w14:paraId="33DAC232" w14:textId="77777777" w:rsidR="004D6A64" w:rsidRDefault="004D6A64">
            <w:pPr>
              <w:rPr>
                <w:rFonts w:ascii="宋体"/>
              </w:rPr>
            </w:pPr>
          </w:p>
        </w:tc>
        <w:tc>
          <w:tcPr>
            <w:tcW w:w="0" w:type="auto"/>
            <w:shd w:val="clear" w:color="auto" w:fill="auto"/>
          </w:tcPr>
          <w:p w14:paraId="33DAC233" w14:textId="77777777" w:rsidR="004D6A64" w:rsidRDefault="004D6A64">
            <w:pPr>
              <w:rPr>
                <w:rFonts w:ascii="宋体"/>
              </w:rPr>
            </w:pPr>
          </w:p>
        </w:tc>
        <w:tc>
          <w:tcPr>
            <w:tcW w:w="0" w:type="auto"/>
            <w:shd w:val="clear" w:color="auto" w:fill="auto"/>
          </w:tcPr>
          <w:p w14:paraId="33DAC234" w14:textId="77777777" w:rsidR="004D6A64" w:rsidRDefault="004D6A64">
            <w:pPr>
              <w:rPr>
                <w:rFonts w:ascii="宋体"/>
              </w:rPr>
            </w:pPr>
          </w:p>
        </w:tc>
        <w:tc>
          <w:tcPr>
            <w:tcW w:w="0" w:type="auto"/>
            <w:shd w:val="clear" w:color="auto" w:fill="auto"/>
          </w:tcPr>
          <w:p w14:paraId="33DAC235" w14:textId="77777777" w:rsidR="004D6A64" w:rsidRDefault="004D6A64">
            <w:pPr>
              <w:rPr>
                <w:rFonts w:ascii="宋体"/>
              </w:rPr>
            </w:pPr>
          </w:p>
        </w:tc>
        <w:tc>
          <w:tcPr>
            <w:tcW w:w="0" w:type="auto"/>
            <w:shd w:val="clear" w:color="auto" w:fill="auto"/>
          </w:tcPr>
          <w:p w14:paraId="33DAC236" w14:textId="77777777" w:rsidR="004D6A64" w:rsidRDefault="004D6A64">
            <w:pPr>
              <w:rPr>
                <w:rFonts w:ascii="宋体"/>
              </w:rPr>
            </w:pPr>
          </w:p>
        </w:tc>
        <w:tc>
          <w:tcPr>
            <w:tcW w:w="0" w:type="auto"/>
            <w:shd w:val="clear" w:color="auto" w:fill="auto"/>
          </w:tcPr>
          <w:p w14:paraId="33DAC237" w14:textId="77777777" w:rsidR="004D6A64" w:rsidRDefault="004D6A64">
            <w:pPr>
              <w:rPr>
                <w:rFonts w:ascii="宋体"/>
              </w:rPr>
            </w:pPr>
          </w:p>
        </w:tc>
        <w:tc>
          <w:tcPr>
            <w:tcW w:w="0" w:type="auto"/>
            <w:shd w:val="clear" w:color="auto" w:fill="auto"/>
          </w:tcPr>
          <w:p w14:paraId="33DAC238" w14:textId="77777777" w:rsidR="004D6A64" w:rsidRDefault="004D6A64">
            <w:pPr>
              <w:rPr>
                <w:rFonts w:ascii="宋体"/>
              </w:rPr>
            </w:pPr>
          </w:p>
        </w:tc>
        <w:tc>
          <w:tcPr>
            <w:tcW w:w="0" w:type="auto"/>
            <w:shd w:val="clear" w:color="auto" w:fill="auto"/>
          </w:tcPr>
          <w:p w14:paraId="33DAC239" w14:textId="77777777" w:rsidR="004D6A64" w:rsidRDefault="004D6A64">
            <w:pPr>
              <w:rPr>
                <w:rFonts w:ascii="宋体"/>
              </w:rPr>
            </w:pPr>
          </w:p>
        </w:tc>
        <w:tc>
          <w:tcPr>
            <w:tcW w:w="0" w:type="auto"/>
            <w:shd w:val="clear" w:color="auto" w:fill="auto"/>
          </w:tcPr>
          <w:p w14:paraId="33DAC23A" w14:textId="77777777" w:rsidR="004D6A64" w:rsidRDefault="004D6A64">
            <w:pPr>
              <w:rPr>
                <w:rFonts w:ascii="宋体"/>
              </w:rPr>
            </w:pPr>
          </w:p>
        </w:tc>
        <w:tc>
          <w:tcPr>
            <w:tcW w:w="0" w:type="auto"/>
            <w:shd w:val="clear" w:color="auto" w:fill="auto"/>
          </w:tcPr>
          <w:p w14:paraId="33DAC23B" w14:textId="77777777" w:rsidR="004D6A64" w:rsidRDefault="004D6A64">
            <w:pPr>
              <w:rPr>
                <w:rFonts w:ascii="宋体"/>
              </w:rPr>
            </w:pPr>
          </w:p>
        </w:tc>
        <w:tc>
          <w:tcPr>
            <w:tcW w:w="0" w:type="auto"/>
            <w:shd w:val="clear" w:color="auto" w:fill="auto"/>
          </w:tcPr>
          <w:p w14:paraId="33DAC23C" w14:textId="77777777" w:rsidR="004D6A64" w:rsidRDefault="004D6A64">
            <w:pPr>
              <w:rPr>
                <w:rFonts w:ascii="宋体"/>
              </w:rPr>
            </w:pPr>
          </w:p>
        </w:tc>
        <w:tc>
          <w:tcPr>
            <w:tcW w:w="0" w:type="auto"/>
            <w:shd w:val="clear" w:color="auto" w:fill="auto"/>
          </w:tcPr>
          <w:p w14:paraId="33DAC23D" w14:textId="77777777" w:rsidR="004D6A64" w:rsidRDefault="004D6A64">
            <w:pPr>
              <w:rPr>
                <w:rFonts w:ascii="宋体"/>
              </w:rPr>
            </w:pPr>
          </w:p>
        </w:tc>
      </w:tr>
      <w:tr w:rsidR="004D6A64" w14:paraId="33DAC272" w14:textId="77777777">
        <w:trPr>
          <w:jc w:val="center"/>
        </w:trPr>
        <w:tc>
          <w:tcPr>
            <w:tcW w:w="0" w:type="auto"/>
            <w:gridSpan w:val="3"/>
            <w:shd w:val="clear" w:color="auto" w:fill="FFFFFF"/>
            <w:tcMar>
              <w:top w:w="40" w:type="dxa"/>
              <w:left w:w="20" w:type="dxa"/>
              <w:bottom w:w="40" w:type="dxa"/>
              <w:right w:w="20" w:type="dxa"/>
            </w:tcMar>
            <w:vAlign w:val="bottom"/>
          </w:tcPr>
          <w:p w14:paraId="33DAC23F" w14:textId="77777777" w:rsidR="004D6A64" w:rsidRDefault="00506CD6">
            <w:pPr>
              <w:textAlignment w:val="bottom"/>
            </w:pPr>
            <w:r>
              <w:rPr>
                <w:rFonts w:ascii="Times New Roman" w:eastAsia="宋体" w:hAnsi="Times New Roman"/>
                <w:color w:val="000000"/>
                <w:sz w:val="20"/>
                <w:szCs w:val="20"/>
              </w:rPr>
              <w:t>Financial assets</w:t>
            </w:r>
          </w:p>
        </w:tc>
        <w:tc>
          <w:tcPr>
            <w:tcW w:w="0" w:type="auto"/>
            <w:shd w:val="clear" w:color="auto" w:fill="FFFFFF"/>
            <w:tcMar>
              <w:top w:w="40" w:type="dxa"/>
              <w:left w:w="20" w:type="dxa"/>
              <w:bottom w:w="40" w:type="dxa"/>
            </w:tcMar>
            <w:vAlign w:val="bottom"/>
          </w:tcPr>
          <w:p w14:paraId="33DAC240"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C241" w14:textId="77777777" w:rsidR="004D6A64" w:rsidRDefault="00506CD6">
            <w:pPr>
              <w:jc w:val="right"/>
              <w:textAlignment w:val="bottom"/>
            </w:pPr>
            <w:r>
              <w:rPr>
                <w:rFonts w:ascii="Times New Roman" w:eastAsia="宋体" w:hAnsi="Times New Roman"/>
                <w:color w:val="000000"/>
                <w:sz w:val="20"/>
                <w:szCs w:val="20"/>
              </w:rPr>
              <w:t>594 </w:t>
            </w:r>
          </w:p>
        </w:tc>
        <w:tc>
          <w:tcPr>
            <w:tcW w:w="0" w:type="auto"/>
            <w:shd w:val="clear" w:color="auto" w:fill="FFFFFF"/>
            <w:tcMar>
              <w:top w:w="40" w:type="dxa"/>
              <w:bottom w:w="40" w:type="dxa"/>
              <w:right w:w="20" w:type="dxa"/>
            </w:tcMar>
            <w:vAlign w:val="bottom"/>
          </w:tcPr>
          <w:p w14:paraId="33DAC24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243"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C244"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C245" w14:textId="77777777" w:rsidR="004D6A64" w:rsidRDefault="00506CD6">
            <w:pPr>
              <w:jc w:val="right"/>
              <w:textAlignment w:val="bottom"/>
            </w:pPr>
            <w:r>
              <w:rPr>
                <w:rFonts w:ascii="Times New Roman" w:eastAsia="宋体" w:hAnsi="Times New Roman"/>
                <w:color w:val="000000"/>
                <w:sz w:val="20"/>
                <w:szCs w:val="20"/>
              </w:rPr>
              <w:t>(256)</w:t>
            </w:r>
          </w:p>
        </w:tc>
        <w:tc>
          <w:tcPr>
            <w:tcW w:w="0" w:type="auto"/>
            <w:shd w:val="clear" w:color="auto" w:fill="FFFFFF"/>
            <w:tcMar>
              <w:top w:w="40" w:type="dxa"/>
              <w:bottom w:w="40" w:type="dxa"/>
              <w:right w:w="20" w:type="dxa"/>
            </w:tcMar>
            <w:vAlign w:val="bottom"/>
          </w:tcPr>
          <w:p w14:paraId="33DAC24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247"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C248"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C249" w14:textId="77777777" w:rsidR="004D6A64" w:rsidRDefault="00506CD6">
            <w:pPr>
              <w:jc w:val="right"/>
              <w:textAlignment w:val="bottom"/>
            </w:pPr>
            <w:r>
              <w:rPr>
                <w:rFonts w:ascii="Times New Roman" w:eastAsia="宋体" w:hAnsi="Times New Roman"/>
                <w:color w:val="000000"/>
                <w:sz w:val="20"/>
                <w:szCs w:val="20"/>
              </w:rPr>
              <w:t>338 </w:t>
            </w:r>
          </w:p>
        </w:tc>
        <w:tc>
          <w:tcPr>
            <w:tcW w:w="0" w:type="auto"/>
            <w:shd w:val="clear" w:color="auto" w:fill="FFFFFF"/>
            <w:tcMar>
              <w:top w:w="40" w:type="dxa"/>
              <w:bottom w:w="40" w:type="dxa"/>
              <w:right w:w="20" w:type="dxa"/>
            </w:tcMar>
            <w:vAlign w:val="bottom"/>
          </w:tcPr>
          <w:p w14:paraId="33DAC24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24B"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C24C"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C24D"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C24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24F"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C250"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C251"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C25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253"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C254"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C255" w14:textId="77777777" w:rsidR="004D6A64" w:rsidRDefault="00506CD6">
            <w:pPr>
              <w:jc w:val="right"/>
              <w:textAlignment w:val="bottom"/>
            </w:pPr>
            <w:r>
              <w:rPr>
                <w:rFonts w:ascii="Times New Roman" w:eastAsia="宋体" w:hAnsi="Times New Roman"/>
                <w:color w:val="000000"/>
                <w:sz w:val="20"/>
                <w:szCs w:val="20"/>
              </w:rPr>
              <w:t>338 </w:t>
            </w:r>
          </w:p>
        </w:tc>
        <w:tc>
          <w:tcPr>
            <w:tcW w:w="0" w:type="auto"/>
            <w:shd w:val="clear" w:color="auto" w:fill="FFFFFF"/>
            <w:tcMar>
              <w:top w:w="40" w:type="dxa"/>
              <w:bottom w:w="40" w:type="dxa"/>
              <w:right w:w="20" w:type="dxa"/>
            </w:tcMar>
            <w:vAlign w:val="bottom"/>
          </w:tcPr>
          <w:p w14:paraId="33DAC256" w14:textId="77777777" w:rsidR="004D6A64" w:rsidRDefault="004D6A64">
            <w:pPr>
              <w:jc w:val="right"/>
              <w:rPr>
                <w:rFonts w:ascii="宋体"/>
              </w:rPr>
            </w:pPr>
          </w:p>
        </w:tc>
        <w:tc>
          <w:tcPr>
            <w:tcW w:w="0" w:type="auto"/>
            <w:shd w:val="clear" w:color="auto" w:fill="auto"/>
          </w:tcPr>
          <w:p w14:paraId="33DAC257" w14:textId="77777777" w:rsidR="004D6A64" w:rsidRDefault="004D6A64">
            <w:pPr>
              <w:rPr>
                <w:rFonts w:ascii="宋体"/>
              </w:rPr>
            </w:pPr>
          </w:p>
        </w:tc>
        <w:tc>
          <w:tcPr>
            <w:tcW w:w="0" w:type="auto"/>
            <w:shd w:val="clear" w:color="auto" w:fill="auto"/>
          </w:tcPr>
          <w:p w14:paraId="33DAC258" w14:textId="77777777" w:rsidR="004D6A64" w:rsidRDefault="004D6A64">
            <w:pPr>
              <w:rPr>
                <w:rFonts w:ascii="宋体"/>
              </w:rPr>
            </w:pPr>
          </w:p>
        </w:tc>
        <w:tc>
          <w:tcPr>
            <w:tcW w:w="0" w:type="auto"/>
            <w:shd w:val="clear" w:color="auto" w:fill="auto"/>
          </w:tcPr>
          <w:p w14:paraId="33DAC259" w14:textId="77777777" w:rsidR="004D6A64" w:rsidRDefault="004D6A64">
            <w:pPr>
              <w:rPr>
                <w:rFonts w:ascii="宋体"/>
              </w:rPr>
            </w:pPr>
          </w:p>
        </w:tc>
        <w:tc>
          <w:tcPr>
            <w:tcW w:w="0" w:type="auto"/>
            <w:shd w:val="clear" w:color="auto" w:fill="auto"/>
          </w:tcPr>
          <w:p w14:paraId="33DAC25A" w14:textId="77777777" w:rsidR="004D6A64" w:rsidRDefault="004D6A64">
            <w:pPr>
              <w:rPr>
                <w:rFonts w:ascii="宋体"/>
              </w:rPr>
            </w:pPr>
          </w:p>
        </w:tc>
        <w:tc>
          <w:tcPr>
            <w:tcW w:w="0" w:type="auto"/>
            <w:shd w:val="clear" w:color="auto" w:fill="auto"/>
          </w:tcPr>
          <w:p w14:paraId="33DAC25B" w14:textId="77777777" w:rsidR="004D6A64" w:rsidRDefault="004D6A64">
            <w:pPr>
              <w:rPr>
                <w:rFonts w:ascii="宋体"/>
              </w:rPr>
            </w:pPr>
          </w:p>
        </w:tc>
        <w:tc>
          <w:tcPr>
            <w:tcW w:w="0" w:type="auto"/>
            <w:shd w:val="clear" w:color="auto" w:fill="auto"/>
          </w:tcPr>
          <w:p w14:paraId="33DAC25C" w14:textId="77777777" w:rsidR="004D6A64" w:rsidRDefault="004D6A64">
            <w:pPr>
              <w:rPr>
                <w:rFonts w:ascii="宋体"/>
              </w:rPr>
            </w:pPr>
          </w:p>
        </w:tc>
        <w:tc>
          <w:tcPr>
            <w:tcW w:w="0" w:type="auto"/>
            <w:shd w:val="clear" w:color="auto" w:fill="auto"/>
          </w:tcPr>
          <w:p w14:paraId="33DAC25D" w14:textId="77777777" w:rsidR="004D6A64" w:rsidRDefault="004D6A64">
            <w:pPr>
              <w:rPr>
                <w:rFonts w:ascii="宋体"/>
              </w:rPr>
            </w:pPr>
          </w:p>
        </w:tc>
        <w:tc>
          <w:tcPr>
            <w:tcW w:w="0" w:type="auto"/>
            <w:shd w:val="clear" w:color="auto" w:fill="auto"/>
          </w:tcPr>
          <w:p w14:paraId="33DAC25E" w14:textId="77777777" w:rsidR="004D6A64" w:rsidRDefault="004D6A64">
            <w:pPr>
              <w:rPr>
                <w:rFonts w:ascii="宋体"/>
              </w:rPr>
            </w:pPr>
          </w:p>
        </w:tc>
        <w:tc>
          <w:tcPr>
            <w:tcW w:w="0" w:type="auto"/>
            <w:shd w:val="clear" w:color="auto" w:fill="auto"/>
          </w:tcPr>
          <w:p w14:paraId="33DAC25F" w14:textId="77777777" w:rsidR="004D6A64" w:rsidRDefault="004D6A64">
            <w:pPr>
              <w:rPr>
                <w:rFonts w:ascii="宋体"/>
              </w:rPr>
            </w:pPr>
          </w:p>
        </w:tc>
        <w:tc>
          <w:tcPr>
            <w:tcW w:w="0" w:type="auto"/>
            <w:shd w:val="clear" w:color="auto" w:fill="auto"/>
          </w:tcPr>
          <w:p w14:paraId="33DAC260" w14:textId="77777777" w:rsidR="004D6A64" w:rsidRDefault="004D6A64">
            <w:pPr>
              <w:rPr>
                <w:rFonts w:ascii="宋体"/>
              </w:rPr>
            </w:pPr>
          </w:p>
        </w:tc>
        <w:tc>
          <w:tcPr>
            <w:tcW w:w="0" w:type="auto"/>
            <w:shd w:val="clear" w:color="auto" w:fill="auto"/>
          </w:tcPr>
          <w:p w14:paraId="33DAC261" w14:textId="77777777" w:rsidR="004D6A64" w:rsidRDefault="004D6A64">
            <w:pPr>
              <w:rPr>
                <w:rFonts w:ascii="宋体"/>
              </w:rPr>
            </w:pPr>
          </w:p>
        </w:tc>
        <w:tc>
          <w:tcPr>
            <w:tcW w:w="0" w:type="auto"/>
            <w:shd w:val="clear" w:color="auto" w:fill="auto"/>
          </w:tcPr>
          <w:p w14:paraId="33DAC262" w14:textId="77777777" w:rsidR="004D6A64" w:rsidRDefault="004D6A64">
            <w:pPr>
              <w:rPr>
                <w:rFonts w:ascii="宋体"/>
              </w:rPr>
            </w:pPr>
          </w:p>
        </w:tc>
        <w:tc>
          <w:tcPr>
            <w:tcW w:w="0" w:type="auto"/>
            <w:shd w:val="clear" w:color="auto" w:fill="auto"/>
          </w:tcPr>
          <w:p w14:paraId="33DAC263" w14:textId="77777777" w:rsidR="004D6A64" w:rsidRDefault="004D6A64">
            <w:pPr>
              <w:rPr>
                <w:rFonts w:ascii="宋体"/>
              </w:rPr>
            </w:pPr>
          </w:p>
        </w:tc>
        <w:tc>
          <w:tcPr>
            <w:tcW w:w="0" w:type="auto"/>
            <w:shd w:val="clear" w:color="auto" w:fill="auto"/>
          </w:tcPr>
          <w:p w14:paraId="33DAC264" w14:textId="77777777" w:rsidR="004D6A64" w:rsidRDefault="004D6A64">
            <w:pPr>
              <w:rPr>
                <w:rFonts w:ascii="宋体"/>
              </w:rPr>
            </w:pPr>
          </w:p>
        </w:tc>
        <w:tc>
          <w:tcPr>
            <w:tcW w:w="0" w:type="auto"/>
            <w:shd w:val="clear" w:color="auto" w:fill="auto"/>
          </w:tcPr>
          <w:p w14:paraId="33DAC265" w14:textId="77777777" w:rsidR="004D6A64" w:rsidRDefault="004D6A64">
            <w:pPr>
              <w:rPr>
                <w:rFonts w:ascii="宋体"/>
              </w:rPr>
            </w:pPr>
          </w:p>
        </w:tc>
        <w:tc>
          <w:tcPr>
            <w:tcW w:w="0" w:type="auto"/>
            <w:shd w:val="clear" w:color="auto" w:fill="auto"/>
          </w:tcPr>
          <w:p w14:paraId="33DAC266" w14:textId="77777777" w:rsidR="004D6A64" w:rsidRDefault="004D6A64">
            <w:pPr>
              <w:rPr>
                <w:rFonts w:ascii="宋体"/>
              </w:rPr>
            </w:pPr>
          </w:p>
        </w:tc>
        <w:tc>
          <w:tcPr>
            <w:tcW w:w="0" w:type="auto"/>
            <w:shd w:val="clear" w:color="auto" w:fill="auto"/>
          </w:tcPr>
          <w:p w14:paraId="33DAC267" w14:textId="77777777" w:rsidR="004D6A64" w:rsidRDefault="004D6A64">
            <w:pPr>
              <w:rPr>
                <w:rFonts w:ascii="宋体"/>
              </w:rPr>
            </w:pPr>
          </w:p>
        </w:tc>
        <w:tc>
          <w:tcPr>
            <w:tcW w:w="0" w:type="auto"/>
            <w:shd w:val="clear" w:color="auto" w:fill="auto"/>
          </w:tcPr>
          <w:p w14:paraId="33DAC268" w14:textId="77777777" w:rsidR="004D6A64" w:rsidRDefault="004D6A64">
            <w:pPr>
              <w:rPr>
                <w:rFonts w:ascii="宋体"/>
              </w:rPr>
            </w:pPr>
          </w:p>
        </w:tc>
        <w:tc>
          <w:tcPr>
            <w:tcW w:w="0" w:type="auto"/>
            <w:shd w:val="clear" w:color="auto" w:fill="auto"/>
          </w:tcPr>
          <w:p w14:paraId="33DAC269" w14:textId="77777777" w:rsidR="004D6A64" w:rsidRDefault="004D6A64">
            <w:pPr>
              <w:rPr>
                <w:rFonts w:ascii="宋体"/>
              </w:rPr>
            </w:pPr>
          </w:p>
        </w:tc>
        <w:tc>
          <w:tcPr>
            <w:tcW w:w="0" w:type="auto"/>
            <w:shd w:val="clear" w:color="auto" w:fill="auto"/>
          </w:tcPr>
          <w:p w14:paraId="33DAC26A" w14:textId="77777777" w:rsidR="004D6A64" w:rsidRDefault="004D6A64">
            <w:pPr>
              <w:rPr>
                <w:rFonts w:ascii="宋体"/>
              </w:rPr>
            </w:pPr>
          </w:p>
        </w:tc>
        <w:tc>
          <w:tcPr>
            <w:tcW w:w="0" w:type="auto"/>
            <w:shd w:val="clear" w:color="auto" w:fill="auto"/>
          </w:tcPr>
          <w:p w14:paraId="33DAC26B" w14:textId="77777777" w:rsidR="004D6A64" w:rsidRDefault="004D6A64">
            <w:pPr>
              <w:rPr>
                <w:rFonts w:ascii="宋体"/>
              </w:rPr>
            </w:pPr>
          </w:p>
        </w:tc>
        <w:tc>
          <w:tcPr>
            <w:tcW w:w="0" w:type="auto"/>
            <w:shd w:val="clear" w:color="auto" w:fill="auto"/>
          </w:tcPr>
          <w:p w14:paraId="33DAC26C" w14:textId="77777777" w:rsidR="004D6A64" w:rsidRDefault="004D6A64">
            <w:pPr>
              <w:rPr>
                <w:rFonts w:ascii="宋体"/>
              </w:rPr>
            </w:pPr>
          </w:p>
        </w:tc>
        <w:tc>
          <w:tcPr>
            <w:tcW w:w="0" w:type="auto"/>
            <w:shd w:val="clear" w:color="auto" w:fill="auto"/>
          </w:tcPr>
          <w:p w14:paraId="33DAC26D" w14:textId="77777777" w:rsidR="004D6A64" w:rsidRDefault="004D6A64">
            <w:pPr>
              <w:rPr>
                <w:rFonts w:ascii="宋体"/>
              </w:rPr>
            </w:pPr>
          </w:p>
        </w:tc>
        <w:tc>
          <w:tcPr>
            <w:tcW w:w="0" w:type="auto"/>
            <w:shd w:val="clear" w:color="auto" w:fill="auto"/>
          </w:tcPr>
          <w:p w14:paraId="33DAC26E" w14:textId="77777777" w:rsidR="004D6A64" w:rsidRDefault="004D6A64">
            <w:pPr>
              <w:rPr>
                <w:rFonts w:ascii="宋体"/>
              </w:rPr>
            </w:pPr>
          </w:p>
        </w:tc>
        <w:tc>
          <w:tcPr>
            <w:tcW w:w="0" w:type="auto"/>
            <w:shd w:val="clear" w:color="auto" w:fill="auto"/>
          </w:tcPr>
          <w:p w14:paraId="33DAC26F" w14:textId="77777777" w:rsidR="004D6A64" w:rsidRDefault="004D6A64">
            <w:pPr>
              <w:rPr>
                <w:rFonts w:ascii="宋体"/>
              </w:rPr>
            </w:pPr>
          </w:p>
        </w:tc>
        <w:tc>
          <w:tcPr>
            <w:tcW w:w="0" w:type="auto"/>
            <w:shd w:val="clear" w:color="auto" w:fill="auto"/>
          </w:tcPr>
          <w:p w14:paraId="33DAC270" w14:textId="77777777" w:rsidR="004D6A64" w:rsidRDefault="004D6A64">
            <w:pPr>
              <w:rPr>
                <w:rFonts w:ascii="宋体"/>
              </w:rPr>
            </w:pPr>
          </w:p>
        </w:tc>
        <w:tc>
          <w:tcPr>
            <w:tcW w:w="0" w:type="auto"/>
            <w:shd w:val="clear" w:color="auto" w:fill="auto"/>
          </w:tcPr>
          <w:p w14:paraId="33DAC271" w14:textId="77777777" w:rsidR="004D6A64" w:rsidRDefault="004D6A64">
            <w:pPr>
              <w:rPr>
                <w:rFonts w:ascii="宋体"/>
              </w:rPr>
            </w:pPr>
          </w:p>
        </w:tc>
      </w:tr>
      <w:tr w:rsidR="004D6A64" w14:paraId="33DAC2A0" w14:textId="77777777">
        <w:trPr>
          <w:jc w:val="center"/>
        </w:trPr>
        <w:tc>
          <w:tcPr>
            <w:tcW w:w="0" w:type="auto"/>
            <w:gridSpan w:val="3"/>
            <w:shd w:val="clear" w:color="auto" w:fill="CCEEFF"/>
            <w:tcMar>
              <w:top w:w="40" w:type="dxa"/>
              <w:left w:w="20" w:type="dxa"/>
              <w:bottom w:w="40" w:type="dxa"/>
              <w:right w:w="20" w:type="dxa"/>
            </w:tcMar>
            <w:vAlign w:val="bottom"/>
          </w:tcPr>
          <w:p w14:paraId="33DAC273" w14:textId="77777777" w:rsidR="004D6A64" w:rsidRDefault="00506CD6">
            <w:pPr>
              <w:textAlignment w:val="bottom"/>
            </w:pPr>
            <w:r>
              <w:rPr>
                <w:rFonts w:ascii="Times New Roman" w:eastAsia="宋体" w:hAnsi="Times New Roman"/>
                <w:color w:val="000000"/>
                <w:sz w:val="20"/>
                <w:szCs w:val="20"/>
              </w:rPr>
              <w:t>Financial liabilities</w:t>
            </w:r>
          </w:p>
        </w:tc>
        <w:tc>
          <w:tcPr>
            <w:tcW w:w="0" w:type="auto"/>
            <w:gridSpan w:val="2"/>
            <w:shd w:val="clear" w:color="auto" w:fill="CCEEFF"/>
            <w:tcMar>
              <w:top w:w="40" w:type="dxa"/>
              <w:left w:w="20" w:type="dxa"/>
              <w:bottom w:w="40" w:type="dxa"/>
              <w:right w:w="0" w:type="dxa"/>
            </w:tcMar>
            <w:vAlign w:val="bottom"/>
          </w:tcPr>
          <w:p w14:paraId="33DAC274" w14:textId="77777777" w:rsidR="004D6A64" w:rsidRDefault="00506CD6">
            <w:pPr>
              <w:jc w:val="right"/>
              <w:textAlignment w:val="bottom"/>
            </w:pPr>
            <w:r>
              <w:rPr>
                <w:rFonts w:ascii="Times New Roman" w:eastAsia="宋体" w:hAnsi="Times New Roman"/>
                <w:color w:val="000000"/>
                <w:sz w:val="20"/>
                <w:szCs w:val="20"/>
              </w:rPr>
              <w:t>(575)</w:t>
            </w:r>
          </w:p>
        </w:tc>
        <w:tc>
          <w:tcPr>
            <w:tcW w:w="0" w:type="auto"/>
            <w:shd w:val="clear" w:color="auto" w:fill="CCEEFF"/>
            <w:tcMar>
              <w:top w:w="40" w:type="dxa"/>
              <w:bottom w:w="40" w:type="dxa"/>
              <w:right w:w="20" w:type="dxa"/>
            </w:tcMar>
            <w:vAlign w:val="bottom"/>
          </w:tcPr>
          <w:p w14:paraId="33DAC27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27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C277" w14:textId="77777777" w:rsidR="004D6A64" w:rsidRDefault="00506CD6">
            <w:pPr>
              <w:jc w:val="right"/>
              <w:textAlignment w:val="bottom"/>
            </w:pPr>
            <w:r>
              <w:rPr>
                <w:rFonts w:ascii="Times New Roman" w:eastAsia="宋体" w:hAnsi="Times New Roman"/>
                <w:color w:val="000000"/>
                <w:sz w:val="20"/>
                <w:szCs w:val="20"/>
              </w:rPr>
              <w:t>256 </w:t>
            </w:r>
          </w:p>
        </w:tc>
        <w:tc>
          <w:tcPr>
            <w:tcW w:w="0" w:type="auto"/>
            <w:shd w:val="clear" w:color="auto" w:fill="CCEEFF"/>
            <w:tcMar>
              <w:top w:w="40" w:type="dxa"/>
              <w:bottom w:w="40" w:type="dxa"/>
              <w:right w:w="20" w:type="dxa"/>
            </w:tcMar>
            <w:vAlign w:val="bottom"/>
          </w:tcPr>
          <w:p w14:paraId="33DAC27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27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C27A" w14:textId="77777777" w:rsidR="004D6A64" w:rsidRDefault="00506CD6">
            <w:pPr>
              <w:jc w:val="right"/>
              <w:textAlignment w:val="bottom"/>
            </w:pPr>
            <w:r>
              <w:rPr>
                <w:rFonts w:ascii="Times New Roman" w:eastAsia="宋体" w:hAnsi="Times New Roman"/>
                <w:color w:val="000000"/>
                <w:sz w:val="20"/>
                <w:szCs w:val="20"/>
              </w:rPr>
              <w:t>(319)</w:t>
            </w:r>
          </w:p>
        </w:tc>
        <w:tc>
          <w:tcPr>
            <w:tcW w:w="0" w:type="auto"/>
            <w:shd w:val="clear" w:color="auto" w:fill="CCEEFF"/>
            <w:tcMar>
              <w:top w:w="40" w:type="dxa"/>
              <w:bottom w:w="40" w:type="dxa"/>
              <w:right w:w="20" w:type="dxa"/>
            </w:tcMar>
            <w:vAlign w:val="bottom"/>
          </w:tcPr>
          <w:p w14:paraId="33DAC27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27C"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C27D"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C27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27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C280"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C28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28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C283" w14:textId="77777777" w:rsidR="004D6A64" w:rsidRDefault="00506CD6">
            <w:pPr>
              <w:jc w:val="right"/>
              <w:textAlignment w:val="bottom"/>
            </w:pPr>
            <w:r>
              <w:rPr>
                <w:rFonts w:ascii="Times New Roman" w:eastAsia="宋体" w:hAnsi="Times New Roman"/>
                <w:color w:val="000000"/>
                <w:sz w:val="20"/>
                <w:szCs w:val="20"/>
              </w:rPr>
              <w:t>(319)</w:t>
            </w:r>
          </w:p>
        </w:tc>
        <w:tc>
          <w:tcPr>
            <w:tcW w:w="0" w:type="auto"/>
            <w:shd w:val="clear" w:color="auto" w:fill="CCEEFF"/>
            <w:tcMar>
              <w:top w:w="40" w:type="dxa"/>
              <w:bottom w:w="40" w:type="dxa"/>
              <w:right w:w="20" w:type="dxa"/>
            </w:tcMar>
            <w:vAlign w:val="bottom"/>
          </w:tcPr>
          <w:p w14:paraId="33DAC284" w14:textId="77777777" w:rsidR="004D6A64" w:rsidRDefault="004D6A64">
            <w:pPr>
              <w:jc w:val="right"/>
              <w:rPr>
                <w:rFonts w:ascii="宋体"/>
              </w:rPr>
            </w:pPr>
          </w:p>
        </w:tc>
        <w:tc>
          <w:tcPr>
            <w:tcW w:w="0" w:type="auto"/>
            <w:shd w:val="clear" w:color="auto" w:fill="auto"/>
          </w:tcPr>
          <w:p w14:paraId="33DAC285" w14:textId="77777777" w:rsidR="004D6A64" w:rsidRDefault="004D6A64">
            <w:pPr>
              <w:rPr>
                <w:rFonts w:ascii="宋体"/>
              </w:rPr>
            </w:pPr>
          </w:p>
        </w:tc>
        <w:tc>
          <w:tcPr>
            <w:tcW w:w="0" w:type="auto"/>
            <w:shd w:val="clear" w:color="auto" w:fill="auto"/>
          </w:tcPr>
          <w:p w14:paraId="33DAC286" w14:textId="77777777" w:rsidR="004D6A64" w:rsidRDefault="004D6A64">
            <w:pPr>
              <w:rPr>
                <w:rFonts w:ascii="宋体"/>
              </w:rPr>
            </w:pPr>
          </w:p>
        </w:tc>
        <w:tc>
          <w:tcPr>
            <w:tcW w:w="0" w:type="auto"/>
            <w:shd w:val="clear" w:color="auto" w:fill="auto"/>
          </w:tcPr>
          <w:p w14:paraId="33DAC287" w14:textId="77777777" w:rsidR="004D6A64" w:rsidRDefault="004D6A64">
            <w:pPr>
              <w:rPr>
                <w:rFonts w:ascii="宋体"/>
              </w:rPr>
            </w:pPr>
          </w:p>
        </w:tc>
        <w:tc>
          <w:tcPr>
            <w:tcW w:w="0" w:type="auto"/>
            <w:shd w:val="clear" w:color="auto" w:fill="auto"/>
          </w:tcPr>
          <w:p w14:paraId="33DAC288" w14:textId="77777777" w:rsidR="004D6A64" w:rsidRDefault="004D6A64">
            <w:pPr>
              <w:rPr>
                <w:rFonts w:ascii="宋体"/>
              </w:rPr>
            </w:pPr>
          </w:p>
        </w:tc>
        <w:tc>
          <w:tcPr>
            <w:tcW w:w="0" w:type="auto"/>
            <w:shd w:val="clear" w:color="auto" w:fill="auto"/>
          </w:tcPr>
          <w:p w14:paraId="33DAC289" w14:textId="77777777" w:rsidR="004D6A64" w:rsidRDefault="004D6A64">
            <w:pPr>
              <w:rPr>
                <w:rFonts w:ascii="宋体"/>
              </w:rPr>
            </w:pPr>
          </w:p>
        </w:tc>
        <w:tc>
          <w:tcPr>
            <w:tcW w:w="0" w:type="auto"/>
            <w:shd w:val="clear" w:color="auto" w:fill="auto"/>
          </w:tcPr>
          <w:p w14:paraId="33DAC28A" w14:textId="77777777" w:rsidR="004D6A64" w:rsidRDefault="004D6A64">
            <w:pPr>
              <w:rPr>
                <w:rFonts w:ascii="宋体"/>
              </w:rPr>
            </w:pPr>
          </w:p>
        </w:tc>
        <w:tc>
          <w:tcPr>
            <w:tcW w:w="0" w:type="auto"/>
            <w:shd w:val="clear" w:color="auto" w:fill="auto"/>
          </w:tcPr>
          <w:p w14:paraId="33DAC28B" w14:textId="77777777" w:rsidR="004D6A64" w:rsidRDefault="004D6A64">
            <w:pPr>
              <w:rPr>
                <w:rFonts w:ascii="宋体"/>
              </w:rPr>
            </w:pPr>
          </w:p>
        </w:tc>
        <w:tc>
          <w:tcPr>
            <w:tcW w:w="0" w:type="auto"/>
            <w:shd w:val="clear" w:color="auto" w:fill="auto"/>
          </w:tcPr>
          <w:p w14:paraId="33DAC28C" w14:textId="77777777" w:rsidR="004D6A64" w:rsidRDefault="004D6A64">
            <w:pPr>
              <w:rPr>
                <w:rFonts w:ascii="宋体"/>
              </w:rPr>
            </w:pPr>
          </w:p>
        </w:tc>
        <w:tc>
          <w:tcPr>
            <w:tcW w:w="0" w:type="auto"/>
            <w:shd w:val="clear" w:color="auto" w:fill="auto"/>
          </w:tcPr>
          <w:p w14:paraId="33DAC28D" w14:textId="77777777" w:rsidR="004D6A64" w:rsidRDefault="004D6A64">
            <w:pPr>
              <w:rPr>
                <w:rFonts w:ascii="宋体"/>
              </w:rPr>
            </w:pPr>
          </w:p>
        </w:tc>
        <w:tc>
          <w:tcPr>
            <w:tcW w:w="0" w:type="auto"/>
            <w:shd w:val="clear" w:color="auto" w:fill="auto"/>
          </w:tcPr>
          <w:p w14:paraId="33DAC28E" w14:textId="77777777" w:rsidR="004D6A64" w:rsidRDefault="004D6A64">
            <w:pPr>
              <w:rPr>
                <w:rFonts w:ascii="宋体"/>
              </w:rPr>
            </w:pPr>
          </w:p>
        </w:tc>
        <w:tc>
          <w:tcPr>
            <w:tcW w:w="0" w:type="auto"/>
            <w:shd w:val="clear" w:color="auto" w:fill="auto"/>
          </w:tcPr>
          <w:p w14:paraId="33DAC28F" w14:textId="77777777" w:rsidR="004D6A64" w:rsidRDefault="004D6A64">
            <w:pPr>
              <w:rPr>
                <w:rFonts w:ascii="宋体"/>
              </w:rPr>
            </w:pPr>
          </w:p>
        </w:tc>
        <w:tc>
          <w:tcPr>
            <w:tcW w:w="0" w:type="auto"/>
            <w:shd w:val="clear" w:color="auto" w:fill="auto"/>
          </w:tcPr>
          <w:p w14:paraId="33DAC290" w14:textId="77777777" w:rsidR="004D6A64" w:rsidRDefault="004D6A64">
            <w:pPr>
              <w:rPr>
                <w:rFonts w:ascii="宋体"/>
              </w:rPr>
            </w:pPr>
          </w:p>
        </w:tc>
        <w:tc>
          <w:tcPr>
            <w:tcW w:w="0" w:type="auto"/>
            <w:shd w:val="clear" w:color="auto" w:fill="auto"/>
          </w:tcPr>
          <w:p w14:paraId="33DAC291" w14:textId="77777777" w:rsidR="004D6A64" w:rsidRDefault="004D6A64">
            <w:pPr>
              <w:rPr>
                <w:rFonts w:ascii="宋体"/>
              </w:rPr>
            </w:pPr>
          </w:p>
        </w:tc>
        <w:tc>
          <w:tcPr>
            <w:tcW w:w="0" w:type="auto"/>
            <w:shd w:val="clear" w:color="auto" w:fill="auto"/>
          </w:tcPr>
          <w:p w14:paraId="33DAC292" w14:textId="77777777" w:rsidR="004D6A64" w:rsidRDefault="004D6A64">
            <w:pPr>
              <w:rPr>
                <w:rFonts w:ascii="宋体"/>
              </w:rPr>
            </w:pPr>
          </w:p>
        </w:tc>
        <w:tc>
          <w:tcPr>
            <w:tcW w:w="0" w:type="auto"/>
            <w:shd w:val="clear" w:color="auto" w:fill="auto"/>
          </w:tcPr>
          <w:p w14:paraId="33DAC293" w14:textId="77777777" w:rsidR="004D6A64" w:rsidRDefault="004D6A64">
            <w:pPr>
              <w:rPr>
                <w:rFonts w:ascii="宋体"/>
              </w:rPr>
            </w:pPr>
          </w:p>
        </w:tc>
        <w:tc>
          <w:tcPr>
            <w:tcW w:w="0" w:type="auto"/>
            <w:shd w:val="clear" w:color="auto" w:fill="auto"/>
          </w:tcPr>
          <w:p w14:paraId="33DAC294" w14:textId="77777777" w:rsidR="004D6A64" w:rsidRDefault="004D6A64">
            <w:pPr>
              <w:rPr>
                <w:rFonts w:ascii="宋体"/>
              </w:rPr>
            </w:pPr>
          </w:p>
        </w:tc>
        <w:tc>
          <w:tcPr>
            <w:tcW w:w="0" w:type="auto"/>
            <w:shd w:val="clear" w:color="auto" w:fill="auto"/>
          </w:tcPr>
          <w:p w14:paraId="33DAC295" w14:textId="77777777" w:rsidR="004D6A64" w:rsidRDefault="004D6A64">
            <w:pPr>
              <w:rPr>
                <w:rFonts w:ascii="宋体"/>
              </w:rPr>
            </w:pPr>
          </w:p>
        </w:tc>
        <w:tc>
          <w:tcPr>
            <w:tcW w:w="0" w:type="auto"/>
            <w:shd w:val="clear" w:color="auto" w:fill="auto"/>
          </w:tcPr>
          <w:p w14:paraId="33DAC296" w14:textId="77777777" w:rsidR="004D6A64" w:rsidRDefault="004D6A64">
            <w:pPr>
              <w:rPr>
                <w:rFonts w:ascii="宋体"/>
              </w:rPr>
            </w:pPr>
          </w:p>
        </w:tc>
        <w:tc>
          <w:tcPr>
            <w:tcW w:w="0" w:type="auto"/>
            <w:shd w:val="clear" w:color="auto" w:fill="auto"/>
          </w:tcPr>
          <w:p w14:paraId="33DAC297" w14:textId="77777777" w:rsidR="004D6A64" w:rsidRDefault="004D6A64">
            <w:pPr>
              <w:rPr>
                <w:rFonts w:ascii="宋体"/>
              </w:rPr>
            </w:pPr>
          </w:p>
        </w:tc>
        <w:tc>
          <w:tcPr>
            <w:tcW w:w="0" w:type="auto"/>
            <w:shd w:val="clear" w:color="auto" w:fill="auto"/>
          </w:tcPr>
          <w:p w14:paraId="33DAC298" w14:textId="77777777" w:rsidR="004D6A64" w:rsidRDefault="004D6A64">
            <w:pPr>
              <w:rPr>
                <w:rFonts w:ascii="宋体"/>
              </w:rPr>
            </w:pPr>
          </w:p>
        </w:tc>
        <w:tc>
          <w:tcPr>
            <w:tcW w:w="0" w:type="auto"/>
            <w:shd w:val="clear" w:color="auto" w:fill="auto"/>
          </w:tcPr>
          <w:p w14:paraId="33DAC299" w14:textId="77777777" w:rsidR="004D6A64" w:rsidRDefault="004D6A64">
            <w:pPr>
              <w:rPr>
                <w:rFonts w:ascii="宋体"/>
              </w:rPr>
            </w:pPr>
          </w:p>
        </w:tc>
        <w:tc>
          <w:tcPr>
            <w:tcW w:w="0" w:type="auto"/>
            <w:shd w:val="clear" w:color="auto" w:fill="auto"/>
          </w:tcPr>
          <w:p w14:paraId="33DAC29A" w14:textId="77777777" w:rsidR="004D6A64" w:rsidRDefault="004D6A64">
            <w:pPr>
              <w:rPr>
                <w:rFonts w:ascii="宋体"/>
              </w:rPr>
            </w:pPr>
          </w:p>
        </w:tc>
        <w:tc>
          <w:tcPr>
            <w:tcW w:w="0" w:type="auto"/>
            <w:shd w:val="clear" w:color="auto" w:fill="auto"/>
          </w:tcPr>
          <w:p w14:paraId="33DAC29B" w14:textId="77777777" w:rsidR="004D6A64" w:rsidRDefault="004D6A64">
            <w:pPr>
              <w:rPr>
                <w:rFonts w:ascii="宋体"/>
              </w:rPr>
            </w:pPr>
          </w:p>
        </w:tc>
        <w:tc>
          <w:tcPr>
            <w:tcW w:w="0" w:type="auto"/>
            <w:shd w:val="clear" w:color="auto" w:fill="auto"/>
          </w:tcPr>
          <w:p w14:paraId="33DAC29C" w14:textId="77777777" w:rsidR="004D6A64" w:rsidRDefault="004D6A64">
            <w:pPr>
              <w:rPr>
                <w:rFonts w:ascii="宋体"/>
              </w:rPr>
            </w:pPr>
          </w:p>
        </w:tc>
        <w:tc>
          <w:tcPr>
            <w:tcW w:w="0" w:type="auto"/>
            <w:shd w:val="clear" w:color="auto" w:fill="auto"/>
          </w:tcPr>
          <w:p w14:paraId="33DAC29D" w14:textId="77777777" w:rsidR="004D6A64" w:rsidRDefault="004D6A64">
            <w:pPr>
              <w:rPr>
                <w:rFonts w:ascii="宋体"/>
              </w:rPr>
            </w:pPr>
          </w:p>
        </w:tc>
        <w:tc>
          <w:tcPr>
            <w:tcW w:w="0" w:type="auto"/>
            <w:shd w:val="clear" w:color="auto" w:fill="auto"/>
          </w:tcPr>
          <w:p w14:paraId="33DAC29E" w14:textId="77777777" w:rsidR="004D6A64" w:rsidRDefault="004D6A64">
            <w:pPr>
              <w:rPr>
                <w:rFonts w:ascii="宋体"/>
              </w:rPr>
            </w:pPr>
          </w:p>
        </w:tc>
        <w:tc>
          <w:tcPr>
            <w:tcW w:w="0" w:type="auto"/>
            <w:shd w:val="clear" w:color="auto" w:fill="auto"/>
          </w:tcPr>
          <w:p w14:paraId="33DAC29F" w14:textId="77777777" w:rsidR="004D6A64" w:rsidRDefault="004D6A64">
            <w:pPr>
              <w:rPr>
                <w:rFonts w:ascii="宋体"/>
              </w:rPr>
            </w:pPr>
          </w:p>
        </w:tc>
      </w:tr>
      <w:tr w:rsidR="004D6A64" w14:paraId="33DAC2D4" w14:textId="77777777">
        <w:trPr>
          <w:jc w:val="center"/>
        </w:trPr>
        <w:tc>
          <w:tcPr>
            <w:tcW w:w="0" w:type="auto"/>
            <w:gridSpan w:val="3"/>
            <w:shd w:val="clear" w:color="auto" w:fill="FFFFFF"/>
            <w:tcMar>
              <w:top w:w="40" w:type="dxa"/>
              <w:left w:w="135" w:type="dxa"/>
              <w:bottom w:w="40" w:type="dxa"/>
              <w:right w:w="20" w:type="dxa"/>
            </w:tcMar>
            <w:vAlign w:val="bottom"/>
          </w:tcPr>
          <w:p w14:paraId="33DAC2A1" w14:textId="77777777" w:rsidR="004D6A64" w:rsidRDefault="00506CD6">
            <w:pPr>
              <w:textAlignment w:val="bottom"/>
            </w:pPr>
            <w:r>
              <w:rPr>
                <w:rFonts w:ascii="Times New Roman" w:eastAsia="宋体" w:hAnsi="Times New Roman"/>
                <w:color w:val="000000"/>
                <w:sz w:val="20"/>
                <w:szCs w:val="20"/>
              </w:rPr>
              <w:t>Total derivative instruments</w:t>
            </w:r>
          </w:p>
        </w:tc>
        <w:tc>
          <w:tcPr>
            <w:tcW w:w="0" w:type="auto"/>
            <w:tcBorders>
              <w:top w:val="single" w:sz="8" w:space="0" w:color="000000"/>
            </w:tcBorders>
            <w:shd w:val="clear" w:color="auto" w:fill="FFFFFF"/>
            <w:tcMar>
              <w:top w:w="40" w:type="dxa"/>
              <w:left w:w="20" w:type="dxa"/>
              <w:bottom w:w="40" w:type="dxa"/>
            </w:tcMar>
            <w:vAlign w:val="bottom"/>
          </w:tcPr>
          <w:p w14:paraId="33DAC2A2"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C2A3" w14:textId="77777777" w:rsidR="004D6A64" w:rsidRDefault="00506CD6">
            <w:pPr>
              <w:jc w:val="right"/>
              <w:textAlignment w:val="bottom"/>
            </w:pPr>
            <w:r>
              <w:rPr>
                <w:rFonts w:ascii="Times New Roman" w:eastAsia="宋体" w:hAnsi="Times New Roman"/>
                <w:color w:val="000000"/>
                <w:sz w:val="20"/>
                <w:szCs w:val="20"/>
              </w:rPr>
              <w:t>19 </w:t>
            </w:r>
          </w:p>
        </w:tc>
        <w:tc>
          <w:tcPr>
            <w:tcW w:w="0" w:type="auto"/>
            <w:tcBorders>
              <w:top w:val="single" w:sz="8" w:space="0" w:color="000000"/>
            </w:tcBorders>
            <w:shd w:val="clear" w:color="auto" w:fill="FFFFFF"/>
            <w:tcMar>
              <w:top w:w="40" w:type="dxa"/>
              <w:bottom w:w="40" w:type="dxa"/>
              <w:right w:w="20" w:type="dxa"/>
            </w:tcMar>
            <w:vAlign w:val="bottom"/>
          </w:tcPr>
          <w:p w14:paraId="33DAC2A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2A5"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3DAC2A6"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C2A7" w14:textId="77777777" w:rsidR="004D6A64" w:rsidRDefault="00506CD6">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bottom w:w="40" w:type="dxa"/>
              <w:right w:w="20" w:type="dxa"/>
            </w:tcMar>
            <w:vAlign w:val="bottom"/>
          </w:tcPr>
          <w:p w14:paraId="33DAC2A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2A9"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3DAC2AA"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C2AB" w14:textId="77777777" w:rsidR="004D6A64" w:rsidRDefault="00506CD6">
            <w:pPr>
              <w:jc w:val="right"/>
              <w:textAlignment w:val="bottom"/>
            </w:pPr>
            <w:r>
              <w:rPr>
                <w:rFonts w:ascii="Times New Roman" w:eastAsia="宋体" w:hAnsi="Times New Roman"/>
                <w:color w:val="000000"/>
                <w:sz w:val="20"/>
                <w:szCs w:val="20"/>
              </w:rPr>
              <w:t>19 </w:t>
            </w:r>
          </w:p>
        </w:tc>
        <w:tc>
          <w:tcPr>
            <w:tcW w:w="0" w:type="auto"/>
            <w:tcBorders>
              <w:top w:val="single" w:sz="8" w:space="0" w:color="000000"/>
            </w:tcBorders>
            <w:shd w:val="clear" w:color="auto" w:fill="FFFFFF"/>
            <w:tcMar>
              <w:top w:w="40" w:type="dxa"/>
              <w:bottom w:w="40" w:type="dxa"/>
              <w:right w:w="20" w:type="dxa"/>
            </w:tcMar>
            <w:vAlign w:val="bottom"/>
          </w:tcPr>
          <w:p w14:paraId="33DAC2A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2AD"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3DAC2AE"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C2AF" w14:textId="77777777" w:rsidR="004D6A64" w:rsidRDefault="00506CD6">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bottom w:w="40" w:type="dxa"/>
              <w:right w:w="20" w:type="dxa"/>
            </w:tcMar>
            <w:vAlign w:val="bottom"/>
          </w:tcPr>
          <w:p w14:paraId="33DAC2B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2B1"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3DAC2B2"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C2B3" w14:textId="77777777" w:rsidR="004D6A64" w:rsidRDefault="00506CD6">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bottom w:w="40" w:type="dxa"/>
              <w:right w:w="20" w:type="dxa"/>
            </w:tcMar>
            <w:vAlign w:val="bottom"/>
          </w:tcPr>
          <w:p w14:paraId="33DAC2B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2B5"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3DAC2B6"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C2B7" w14:textId="77777777" w:rsidR="004D6A64" w:rsidRDefault="00506CD6">
            <w:pPr>
              <w:jc w:val="right"/>
              <w:textAlignment w:val="bottom"/>
            </w:pPr>
            <w:r>
              <w:rPr>
                <w:rFonts w:ascii="Times New Roman" w:eastAsia="宋体" w:hAnsi="Times New Roman"/>
                <w:color w:val="000000"/>
                <w:sz w:val="20"/>
                <w:szCs w:val="20"/>
              </w:rPr>
              <w:t>19 </w:t>
            </w:r>
          </w:p>
        </w:tc>
        <w:tc>
          <w:tcPr>
            <w:tcW w:w="0" w:type="auto"/>
            <w:tcBorders>
              <w:top w:val="single" w:sz="8" w:space="0" w:color="000000"/>
            </w:tcBorders>
            <w:shd w:val="clear" w:color="auto" w:fill="FFFFFF"/>
            <w:tcMar>
              <w:top w:w="40" w:type="dxa"/>
              <w:bottom w:w="40" w:type="dxa"/>
              <w:right w:w="20" w:type="dxa"/>
            </w:tcMar>
            <w:vAlign w:val="bottom"/>
          </w:tcPr>
          <w:p w14:paraId="33DAC2B8" w14:textId="77777777" w:rsidR="004D6A64" w:rsidRDefault="004D6A64">
            <w:pPr>
              <w:jc w:val="right"/>
              <w:rPr>
                <w:rFonts w:ascii="宋体"/>
              </w:rPr>
            </w:pPr>
          </w:p>
        </w:tc>
        <w:tc>
          <w:tcPr>
            <w:tcW w:w="0" w:type="auto"/>
            <w:shd w:val="clear" w:color="auto" w:fill="auto"/>
          </w:tcPr>
          <w:p w14:paraId="33DAC2B9" w14:textId="77777777" w:rsidR="004D6A64" w:rsidRDefault="004D6A64">
            <w:pPr>
              <w:rPr>
                <w:rFonts w:ascii="宋体"/>
              </w:rPr>
            </w:pPr>
          </w:p>
        </w:tc>
        <w:tc>
          <w:tcPr>
            <w:tcW w:w="0" w:type="auto"/>
            <w:shd w:val="clear" w:color="auto" w:fill="auto"/>
          </w:tcPr>
          <w:p w14:paraId="33DAC2BA" w14:textId="77777777" w:rsidR="004D6A64" w:rsidRDefault="004D6A64">
            <w:pPr>
              <w:rPr>
                <w:rFonts w:ascii="宋体"/>
              </w:rPr>
            </w:pPr>
          </w:p>
        </w:tc>
        <w:tc>
          <w:tcPr>
            <w:tcW w:w="0" w:type="auto"/>
            <w:shd w:val="clear" w:color="auto" w:fill="auto"/>
          </w:tcPr>
          <w:p w14:paraId="33DAC2BB" w14:textId="77777777" w:rsidR="004D6A64" w:rsidRDefault="004D6A64">
            <w:pPr>
              <w:rPr>
                <w:rFonts w:ascii="宋体"/>
              </w:rPr>
            </w:pPr>
          </w:p>
        </w:tc>
        <w:tc>
          <w:tcPr>
            <w:tcW w:w="0" w:type="auto"/>
            <w:shd w:val="clear" w:color="auto" w:fill="auto"/>
          </w:tcPr>
          <w:p w14:paraId="33DAC2BC" w14:textId="77777777" w:rsidR="004D6A64" w:rsidRDefault="004D6A64">
            <w:pPr>
              <w:rPr>
                <w:rFonts w:ascii="宋体"/>
              </w:rPr>
            </w:pPr>
          </w:p>
        </w:tc>
        <w:tc>
          <w:tcPr>
            <w:tcW w:w="0" w:type="auto"/>
            <w:shd w:val="clear" w:color="auto" w:fill="auto"/>
          </w:tcPr>
          <w:p w14:paraId="33DAC2BD" w14:textId="77777777" w:rsidR="004D6A64" w:rsidRDefault="004D6A64">
            <w:pPr>
              <w:rPr>
                <w:rFonts w:ascii="宋体"/>
              </w:rPr>
            </w:pPr>
          </w:p>
        </w:tc>
        <w:tc>
          <w:tcPr>
            <w:tcW w:w="0" w:type="auto"/>
            <w:shd w:val="clear" w:color="auto" w:fill="auto"/>
          </w:tcPr>
          <w:p w14:paraId="33DAC2BE" w14:textId="77777777" w:rsidR="004D6A64" w:rsidRDefault="004D6A64">
            <w:pPr>
              <w:rPr>
                <w:rFonts w:ascii="宋体"/>
              </w:rPr>
            </w:pPr>
          </w:p>
        </w:tc>
        <w:tc>
          <w:tcPr>
            <w:tcW w:w="0" w:type="auto"/>
            <w:shd w:val="clear" w:color="auto" w:fill="auto"/>
          </w:tcPr>
          <w:p w14:paraId="33DAC2BF" w14:textId="77777777" w:rsidR="004D6A64" w:rsidRDefault="004D6A64">
            <w:pPr>
              <w:rPr>
                <w:rFonts w:ascii="宋体"/>
              </w:rPr>
            </w:pPr>
          </w:p>
        </w:tc>
        <w:tc>
          <w:tcPr>
            <w:tcW w:w="0" w:type="auto"/>
            <w:shd w:val="clear" w:color="auto" w:fill="auto"/>
          </w:tcPr>
          <w:p w14:paraId="33DAC2C0" w14:textId="77777777" w:rsidR="004D6A64" w:rsidRDefault="004D6A64">
            <w:pPr>
              <w:rPr>
                <w:rFonts w:ascii="宋体"/>
              </w:rPr>
            </w:pPr>
          </w:p>
        </w:tc>
        <w:tc>
          <w:tcPr>
            <w:tcW w:w="0" w:type="auto"/>
            <w:shd w:val="clear" w:color="auto" w:fill="auto"/>
          </w:tcPr>
          <w:p w14:paraId="33DAC2C1" w14:textId="77777777" w:rsidR="004D6A64" w:rsidRDefault="004D6A64">
            <w:pPr>
              <w:rPr>
                <w:rFonts w:ascii="宋体"/>
              </w:rPr>
            </w:pPr>
          </w:p>
        </w:tc>
        <w:tc>
          <w:tcPr>
            <w:tcW w:w="0" w:type="auto"/>
            <w:shd w:val="clear" w:color="auto" w:fill="auto"/>
          </w:tcPr>
          <w:p w14:paraId="33DAC2C2" w14:textId="77777777" w:rsidR="004D6A64" w:rsidRDefault="004D6A64">
            <w:pPr>
              <w:rPr>
                <w:rFonts w:ascii="宋体"/>
              </w:rPr>
            </w:pPr>
          </w:p>
        </w:tc>
        <w:tc>
          <w:tcPr>
            <w:tcW w:w="0" w:type="auto"/>
            <w:shd w:val="clear" w:color="auto" w:fill="auto"/>
          </w:tcPr>
          <w:p w14:paraId="33DAC2C3" w14:textId="77777777" w:rsidR="004D6A64" w:rsidRDefault="004D6A64">
            <w:pPr>
              <w:rPr>
                <w:rFonts w:ascii="宋体"/>
              </w:rPr>
            </w:pPr>
          </w:p>
        </w:tc>
        <w:tc>
          <w:tcPr>
            <w:tcW w:w="0" w:type="auto"/>
            <w:shd w:val="clear" w:color="auto" w:fill="auto"/>
          </w:tcPr>
          <w:p w14:paraId="33DAC2C4" w14:textId="77777777" w:rsidR="004D6A64" w:rsidRDefault="004D6A64">
            <w:pPr>
              <w:rPr>
                <w:rFonts w:ascii="宋体"/>
              </w:rPr>
            </w:pPr>
          </w:p>
        </w:tc>
        <w:tc>
          <w:tcPr>
            <w:tcW w:w="0" w:type="auto"/>
            <w:shd w:val="clear" w:color="auto" w:fill="auto"/>
          </w:tcPr>
          <w:p w14:paraId="33DAC2C5" w14:textId="77777777" w:rsidR="004D6A64" w:rsidRDefault="004D6A64">
            <w:pPr>
              <w:rPr>
                <w:rFonts w:ascii="宋体"/>
              </w:rPr>
            </w:pPr>
          </w:p>
        </w:tc>
        <w:tc>
          <w:tcPr>
            <w:tcW w:w="0" w:type="auto"/>
            <w:shd w:val="clear" w:color="auto" w:fill="auto"/>
          </w:tcPr>
          <w:p w14:paraId="33DAC2C6" w14:textId="77777777" w:rsidR="004D6A64" w:rsidRDefault="004D6A64">
            <w:pPr>
              <w:rPr>
                <w:rFonts w:ascii="宋体"/>
              </w:rPr>
            </w:pPr>
          </w:p>
        </w:tc>
        <w:tc>
          <w:tcPr>
            <w:tcW w:w="0" w:type="auto"/>
            <w:shd w:val="clear" w:color="auto" w:fill="auto"/>
          </w:tcPr>
          <w:p w14:paraId="33DAC2C7" w14:textId="77777777" w:rsidR="004D6A64" w:rsidRDefault="004D6A64">
            <w:pPr>
              <w:rPr>
                <w:rFonts w:ascii="宋体"/>
              </w:rPr>
            </w:pPr>
          </w:p>
        </w:tc>
        <w:tc>
          <w:tcPr>
            <w:tcW w:w="0" w:type="auto"/>
            <w:shd w:val="clear" w:color="auto" w:fill="auto"/>
          </w:tcPr>
          <w:p w14:paraId="33DAC2C8" w14:textId="77777777" w:rsidR="004D6A64" w:rsidRDefault="004D6A64">
            <w:pPr>
              <w:rPr>
                <w:rFonts w:ascii="宋体"/>
              </w:rPr>
            </w:pPr>
          </w:p>
        </w:tc>
        <w:tc>
          <w:tcPr>
            <w:tcW w:w="0" w:type="auto"/>
            <w:shd w:val="clear" w:color="auto" w:fill="auto"/>
          </w:tcPr>
          <w:p w14:paraId="33DAC2C9" w14:textId="77777777" w:rsidR="004D6A64" w:rsidRDefault="004D6A64">
            <w:pPr>
              <w:rPr>
                <w:rFonts w:ascii="宋体"/>
              </w:rPr>
            </w:pPr>
          </w:p>
        </w:tc>
        <w:tc>
          <w:tcPr>
            <w:tcW w:w="0" w:type="auto"/>
            <w:shd w:val="clear" w:color="auto" w:fill="auto"/>
          </w:tcPr>
          <w:p w14:paraId="33DAC2CA" w14:textId="77777777" w:rsidR="004D6A64" w:rsidRDefault="004D6A64">
            <w:pPr>
              <w:rPr>
                <w:rFonts w:ascii="宋体"/>
              </w:rPr>
            </w:pPr>
          </w:p>
        </w:tc>
        <w:tc>
          <w:tcPr>
            <w:tcW w:w="0" w:type="auto"/>
            <w:shd w:val="clear" w:color="auto" w:fill="auto"/>
          </w:tcPr>
          <w:p w14:paraId="33DAC2CB" w14:textId="77777777" w:rsidR="004D6A64" w:rsidRDefault="004D6A64">
            <w:pPr>
              <w:rPr>
                <w:rFonts w:ascii="宋体"/>
              </w:rPr>
            </w:pPr>
          </w:p>
        </w:tc>
        <w:tc>
          <w:tcPr>
            <w:tcW w:w="0" w:type="auto"/>
            <w:shd w:val="clear" w:color="auto" w:fill="auto"/>
          </w:tcPr>
          <w:p w14:paraId="33DAC2CC" w14:textId="77777777" w:rsidR="004D6A64" w:rsidRDefault="004D6A64">
            <w:pPr>
              <w:rPr>
                <w:rFonts w:ascii="宋体"/>
              </w:rPr>
            </w:pPr>
          </w:p>
        </w:tc>
        <w:tc>
          <w:tcPr>
            <w:tcW w:w="0" w:type="auto"/>
            <w:shd w:val="clear" w:color="auto" w:fill="auto"/>
          </w:tcPr>
          <w:p w14:paraId="33DAC2CD" w14:textId="77777777" w:rsidR="004D6A64" w:rsidRDefault="004D6A64">
            <w:pPr>
              <w:rPr>
                <w:rFonts w:ascii="宋体"/>
              </w:rPr>
            </w:pPr>
          </w:p>
        </w:tc>
        <w:tc>
          <w:tcPr>
            <w:tcW w:w="0" w:type="auto"/>
            <w:shd w:val="clear" w:color="auto" w:fill="auto"/>
          </w:tcPr>
          <w:p w14:paraId="33DAC2CE" w14:textId="77777777" w:rsidR="004D6A64" w:rsidRDefault="004D6A64">
            <w:pPr>
              <w:rPr>
                <w:rFonts w:ascii="宋体"/>
              </w:rPr>
            </w:pPr>
          </w:p>
        </w:tc>
        <w:tc>
          <w:tcPr>
            <w:tcW w:w="0" w:type="auto"/>
            <w:shd w:val="clear" w:color="auto" w:fill="auto"/>
          </w:tcPr>
          <w:p w14:paraId="33DAC2CF" w14:textId="77777777" w:rsidR="004D6A64" w:rsidRDefault="004D6A64">
            <w:pPr>
              <w:rPr>
                <w:rFonts w:ascii="宋体"/>
              </w:rPr>
            </w:pPr>
          </w:p>
        </w:tc>
        <w:tc>
          <w:tcPr>
            <w:tcW w:w="0" w:type="auto"/>
            <w:shd w:val="clear" w:color="auto" w:fill="auto"/>
          </w:tcPr>
          <w:p w14:paraId="33DAC2D0" w14:textId="77777777" w:rsidR="004D6A64" w:rsidRDefault="004D6A64">
            <w:pPr>
              <w:rPr>
                <w:rFonts w:ascii="宋体"/>
              </w:rPr>
            </w:pPr>
          </w:p>
        </w:tc>
        <w:tc>
          <w:tcPr>
            <w:tcW w:w="0" w:type="auto"/>
            <w:shd w:val="clear" w:color="auto" w:fill="auto"/>
          </w:tcPr>
          <w:p w14:paraId="33DAC2D1" w14:textId="77777777" w:rsidR="004D6A64" w:rsidRDefault="004D6A64">
            <w:pPr>
              <w:rPr>
                <w:rFonts w:ascii="宋体"/>
              </w:rPr>
            </w:pPr>
          </w:p>
        </w:tc>
        <w:tc>
          <w:tcPr>
            <w:tcW w:w="0" w:type="auto"/>
            <w:shd w:val="clear" w:color="auto" w:fill="auto"/>
          </w:tcPr>
          <w:p w14:paraId="33DAC2D2" w14:textId="77777777" w:rsidR="004D6A64" w:rsidRDefault="004D6A64">
            <w:pPr>
              <w:rPr>
                <w:rFonts w:ascii="宋体"/>
              </w:rPr>
            </w:pPr>
          </w:p>
        </w:tc>
        <w:tc>
          <w:tcPr>
            <w:tcW w:w="0" w:type="auto"/>
            <w:shd w:val="clear" w:color="auto" w:fill="auto"/>
          </w:tcPr>
          <w:p w14:paraId="33DAC2D3" w14:textId="77777777" w:rsidR="004D6A64" w:rsidRDefault="004D6A64">
            <w:pPr>
              <w:rPr>
                <w:rFonts w:ascii="宋体"/>
              </w:rPr>
            </w:pPr>
          </w:p>
        </w:tc>
      </w:tr>
      <w:tr w:rsidR="004D6A64" w14:paraId="33DAC2FC" w14:textId="77777777">
        <w:trPr>
          <w:trHeight w:val="300"/>
          <w:jc w:val="center"/>
        </w:trPr>
        <w:tc>
          <w:tcPr>
            <w:tcW w:w="0" w:type="auto"/>
            <w:gridSpan w:val="3"/>
            <w:shd w:val="clear" w:color="auto" w:fill="auto"/>
            <w:tcMar>
              <w:left w:w="20" w:type="dxa"/>
              <w:right w:w="20" w:type="dxa"/>
            </w:tcMar>
            <w:vAlign w:val="bottom"/>
          </w:tcPr>
          <w:p w14:paraId="33DAC2D5" w14:textId="77777777" w:rsidR="004D6A64" w:rsidRDefault="004D6A64">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33DAC2D6"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C2D7" w14:textId="77777777" w:rsidR="004D6A64" w:rsidRDefault="004D6A64">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33DAC2D8"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C2D9" w14:textId="77777777" w:rsidR="004D6A64" w:rsidRDefault="004D6A64">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33DAC2DA"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C2DB" w14:textId="77777777" w:rsidR="004D6A64" w:rsidRDefault="004D6A64">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33DAC2DC"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C2DD" w14:textId="77777777" w:rsidR="004D6A64" w:rsidRDefault="004D6A64">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33DAC2DE"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C2DF" w14:textId="77777777" w:rsidR="004D6A64" w:rsidRDefault="004D6A64">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33DAC2E0" w14:textId="77777777" w:rsidR="004D6A64" w:rsidRDefault="004D6A64">
            <w:pPr>
              <w:rPr>
                <w:rFonts w:ascii="宋体"/>
              </w:rPr>
            </w:pPr>
          </w:p>
        </w:tc>
        <w:tc>
          <w:tcPr>
            <w:tcW w:w="0" w:type="auto"/>
            <w:shd w:val="clear" w:color="auto" w:fill="auto"/>
          </w:tcPr>
          <w:p w14:paraId="33DAC2E1" w14:textId="77777777" w:rsidR="004D6A64" w:rsidRDefault="004D6A64">
            <w:pPr>
              <w:rPr>
                <w:rFonts w:ascii="宋体"/>
              </w:rPr>
            </w:pPr>
          </w:p>
        </w:tc>
        <w:tc>
          <w:tcPr>
            <w:tcW w:w="0" w:type="auto"/>
            <w:shd w:val="clear" w:color="auto" w:fill="auto"/>
          </w:tcPr>
          <w:p w14:paraId="33DAC2E2" w14:textId="77777777" w:rsidR="004D6A64" w:rsidRDefault="004D6A64">
            <w:pPr>
              <w:rPr>
                <w:rFonts w:ascii="宋体"/>
              </w:rPr>
            </w:pPr>
          </w:p>
        </w:tc>
        <w:tc>
          <w:tcPr>
            <w:tcW w:w="0" w:type="auto"/>
            <w:shd w:val="clear" w:color="auto" w:fill="auto"/>
          </w:tcPr>
          <w:p w14:paraId="33DAC2E3" w14:textId="77777777" w:rsidR="004D6A64" w:rsidRDefault="004D6A64">
            <w:pPr>
              <w:rPr>
                <w:rFonts w:ascii="宋体"/>
              </w:rPr>
            </w:pPr>
          </w:p>
        </w:tc>
        <w:tc>
          <w:tcPr>
            <w:tcW w:w="0" w:type="auto"/>
            <w:shd w:val="clear" w:color="auto" w:fill="auto"/>
          </w:tcPr>
          <w:p w14:paraId="33DAC2E4" w14:textId="77777777" w:rsidR="004D6A64" w:rsidRDefault="004D6A64">
            <w:pPr>
              <w:rPr>
                <w:rFonts w:ascii="宋体"/>
              </w:rPr>
            </w:pPr>
          </w:p>
        </w:tc>
        <w:tc>
          <w:tcPr>
            <w:tcW w:w="0" w:type="auto"/>
            <w:shd w:val="clear" w:color="auto" w:fill="auto"/>
          </w:tcPr>
          <w:p w14:paraId="33DAC2E5" w14:textId="77777777" w:rsidR="004D6A64" w:rsidRDefault="004D6A64">
            <w:pPr>
              <w:rPr>
                <w:rFonts w:ascii="宋体"/>
              </w:rPr>
            </w:pPr>
          </w:p>
        </w:tc>
        <w:tc>
          <w:tcPr>
            <w:tcW w:w="0" w:type="auto"/>
            <w:shd w:val="clear" w:color="auto" w:fill="auto"/>
          </w:tcPr>
          <w:p w14:paraId="33DAC2E6" w14:textId="77777777" w:rsidR="004D6A64" w:rsidRDefault="004D6A64">
            <w:pPr>
              <w:rPr>
                <w:rFonts w:ascii="宋体"/>
              </w:rPr>
            </w:pPr>
          </w:p>
        </w:tc>
        <w:tc>
          <w:tcPr>
            <w:tcW w:w="0" w:type="auto"/>
            <w:shd w:val="clear" w:color="auto" w:fill="auto"/>
          </w:tcPr>
          <w:p w14:paraId="33DAC2E7" w14:textId="77777777" w:rsidR="004D6A64" w:rsidRDefault="004D6A64">
            <w:pPr>
              <w:rPr>
                <w:rFonts w:ascii="宋体"/>
              </w:rPr>
            </w:pPr>
          </w:p>
        </w:tc>
        <w:tc>
          <w:tcPr>
            <w:tcW w:w="0" w:type="auto"/>
            <w:shd w:val="clear" w:color="auto" w:fill="auto"/>
          </w:tcPr>
          <w:p w14:paraId="33DAC2E8" w14:textId="77777777" w:rsidR="004D6A64" w:rsidRDefault="004D6A64">
            <w:pPr>
              <w:rPr>
                <w:rFonts w:ascii="宋体"/>
              </w:rPr>
            </w:pPr>
          </w:p>
        </w:tc>
        <w:tc>
          <w:tcPr>
            <w:tcW w:w="0" w:type="auto"/>
            <w:shd w:val="clear" w:color="auto" w:fill="auto"/>
          </w:tcPr>
          <w:p w14:paraId="33DAC2E9" w14:textId="77777777" w:rsidR="004D6A64" w:rsidRDefault="004D6A64">
            <w:pPr>
              <w:rPr>
                <w:rFonts w:ascii="宋体"/>
              </w:rPr>
            </w:pPr>
          </w:p>
        </w:tc>
        <w:tc>
          <w:tcPr>
            <w:tcW w:w="0" w:type="auto"/>
            <w:shd w:val="clear" w:color="auto" w:fill="auto"/>
          </w:tcPr>
          <w:p w14:paraId="33DAC2EA" w14:textId="77777777" w:rsidR="004D6A64" w:rsidRDefault="004D6A64">
            <w:pPr>
              <w:rPr>
                <w:rFonts w:ascii="宋体"/>
              </w:rPr>
            </w:pPr>
          </w:p>
        </w:tc>
        <w:tc>
          <w:tcPr>
            <w:tcW w:w="0" w:type="auto"/>
            <w:shd w:val="clear" w:color="auto" w:fill="auto"/>
          </w:tcPr>
          <w:p w14:paraId="33DAC2EB" w14:textId="77777777" w:rsidR="004D6A64" w:rsidRDefault="004D6A64">
            <w:pPr>
              <w:rPr>
                <w:rFonts w:ascii="宋体"/>
              </w:rPr>
            </w:pPr>
          </w:p>
        </w:tc>
        <w:tc>
          <w:tcPr>
            <w:tcW w:w="0" w:type="auto"/>
            <w:shd w:val="clear" w:color="auto" w:fill="auto"/>
          </w:tcPr>
          <w:p w14:paraId="33DAC2EC" w14:textId="77777777" w:rsidR="004D6A64" w:rsidRDefault="004D6A64">
            <w:pPr>
              <w:rPr>
                <w:rFonts w:ascii="宋体"/>
              </w:rPr>
            </w:pPr>
          </w:p>
        </w:tc>
        <w:tc>
          <w:tcPr>
            <w:tcW w:w="0" w:type="auto"/>
            <w:shd w:val="clear" w:color="auto" w:fill="auto"/>
          </w:tcPr>
          <w:p w14:paraId="33DAC2ED" w14:textId="77777777" w:rsidR="004D6A64" w:rsidRDefault="004D6A64">
            <w:pPr>
              <w:rPr>
                <w:rFonts w:ascii="宋体"/>
              </w:rPr>
            </w:pPr>
          </w:p>
        </w:tc>
        <w:tc>
          <w:tcPr>
            <w:tcW w:w="0" w:type="auto"/>
            <w:shd w:val="clear" w:color="auto" w:fill="auto"/>
          </w:tcPr>
          <w:p w14:paraId="33DAC2EE" w14:textId="77777777" w:rsidR="004D6A64" w:rsidRDefault="004D6A64">
            <w:pPr>
              <w:rPr>
                <w:rFonts w:ascii="宋体"/>
              </w:rPr>
            </w:pPr>
          </w:p>
        </w:tc>
        <w:tc>
          <w:tcPr>
            <w:tcW w:w="0" w:type="auto"/>
            <w:shd w:val="clear" w:color="auto" w:fill="auto"/>
          </w:tcPr>
          <w:p w14:paraId="33DAC2EF" w14:textId="77777777" w:rsidR="004D6A64" w:rsidRDefault="004D6A64">
            <w:pPr>
              <w:rPr>
                <w:rFonts w:ascii="宋体"/>
              </w:rPr>
            </w:pPr>
          </w:p>
        </w:tc>
        <w:tc>
          <w:tcPr>
            <w:tcW w:w="0" w:type="auto"/>
            <w:shd w:val="clear" w:color="auto" w:fill="auto"/>
          </w:tcPr>
          <w:p w14:paraId="33DAC2F0" w14:textId="77777777" w:rsidR="004D6A64" w:rsidRDefault="004D6A64">
            <w:pPr>
              <w:rPr>
                <w:rFonts w:ascii="宋体"/>
              </w:rPr>
            </w:pPr>
          </w:p>
        </w:tc>
        <w:tc>
          <w:tcPr>
            <w:tcW w:w="0" w:type="auto"/>
            <w:shd w:val="clear" w:color="auto" w:fill="auto"/>
          </w:tcPr>
          <w:p w14:paraId="33DAC2F1" w14:textId="77777777" w:rsidR="004D6A64" w:rsidRDefault="004D6A64">
            <w:pPr>
              <w:rPr>
                <w:rFonts w:ascii="宋体"/>
              </w:rPr>
            </w:pPr>
          </w:p>
        </w:tc>
        <w:tc>
          <w:tcPr>
            <w:tcW w:w="0" w:type="auto"/>
            <w:shd w:val="clear" w:color="auto" w:fill="auto"/>
          </w:tcPr>
          <w:p w14:paraId="33DAC2F2" w14:textId="77777777" w:rsidR="004D6A64" w:rsidRDefault="004D6A64">
            <w:pPr>
              <w:rPr>
                <w:rFonts w:ascii="宋体"/>
              </w:rPr>
            </w:pPr>
          </w:p>
        </w:tc>
        <w:tc>
          <w:tcPr>
            <w:tcW w:w="0" w:type="auto"/>
            <w:shd w:val="clear" w:color="auto" w:fill="auto"/>
          </w:tcPr>
          <w:p w14:paraId="33DAC2F3" w14:textId="77777777" w:rsidR="004D6A64" w:rsidRDefault="004D6A64">
            <w:pPr>
              <w:rPr>
                <w:rFonts w:ascii="宋体"/>
              </w:rPr>
            </w:pPr>
          </w:p>
        </w:tc>
        <w:tc>
          <w:tcPr>
            <w:tcW w:w="0" w:type="auto"/>
            <w:shd w:val="clear" w:color="auto" w:fill="auto"/>
          </w:tcPr>
          <w:p w14:paraId="33DAC2F4" w14:textId="77777777" w:rsidR="004D6A64" w:rsidRDefault="004D6A64">
            <w:pPr>
              <w:rPr>
                <w:rFonts w:ascii="宋体"/>
              </w:rPr>
            </w:pPr>
          </w:p>
        </w:tc>
        <w:tc>
          <w:tcPr>
            <w:tcW w:w="0" w:type="auto"/>
            <w:shd w:val="clear" w:color="auto" w:fill="auto"/>
          </w:tcPr>
          <w:p w14:paraId="33DAC2F5" w14:textId="77777777" w:rsidR="004D6A64" w:rsidRDefault="004D6A64">
            <w:pPr>
              <w:rPr>
                <w:rFonts w:ascii="宋体"/>
              </w:rPr>
            </w:pPr>
          </w:p>
        </w:tc>
        <w:tc>
          <w:tcPr>
            <w:tcW w:w="0" w:type="auto"/>
            <w:shd w:val="clear" w:color="auto" w:fill="auto"/>
          </w:tcPr>
          <w:p w14:paraId="33DAC2F6" w14:textId="77777777" w:rsidR="004D6A64" w:rsidRDefault="004D6A64">
            <w:pPr>
              <w:rPr>
                <w:rFonts w:ascii="宋体"/>
              </w:rPr>
            </w:pPr>
          </w:p>
        </w:tc>
        <w:tc>
          <w:tcPr>
            <w:tcW w:w="0" w:type="auto"/>
            <w:shd w:val="clear" w:color="auto" w:fill="auto"/>
          </w:tcPr>
          <w:p w14:paraId="33DAC2F7" w14:textId="77777777" w:rsidR="004D6A64" w:rsidRDefault="004D6A64">
            <w:pPr>
              <w:rPr>
                <w:rFonts w:ascii="宋体"/>
              </w:rPr>
            </w:pPr>
          </w:p>
        </w:tc>
        <w:tc>
          <w:tcPr>
            <w:tcW w:w="0" w:type="auto"/>
            <w:shd w:val="clear" w:color="auto" w:fill="auto"/>
          </w:tcPr>
          <w:p w14:paraId="33DAC2F8" w14:textId="77777777" w:rsidR="004D6A64" w:rsidRDefault="004D6A64">
            <w:pPr>
              <w:rPr>
                <w:rFonts w:ascii="宋体"/>
              </w:rPr>
            </w:pPr>
          </w:p>
        </w:tc>
        <w:tc>
          <w:tcPr>
            <w:tcW w:w="0" w:type="auto"/>
            <w:shd w:val="clear" w:color="auto" w:fill="auto"/>
          </w:tcPr>
          <w:p w14:paraId="33DAC2F9" w14:textId="77777777" w:rsidR="004D6A64" w:rsidRDefault="004D6A64">
            <w:pPr>
              <w:rPr>
                <w:rFonts w:ascii="宋体"/>
              </w:rPr>
            </w:pPr>
          </w:p>
        </w:tc>
        <w:tc>
          <w:tcPr>
            <w:tcW w:w="0" w:type="auto"/>
            <w:shd w:val="clear" w:color="auto" w:fill="auto"/>
          </w:tcPr>
          <w:p w14:paraId="33DAC2FA" w14:textId="77777777" w:rsidR="004D6A64" w:rsidRDefault="004D6A64">
            <w:pPr>
              <w:rPr>
                <w:rFonts w:ascii="宋体"/>
              </w:rPr>
            </w:pPr>
          </w:p>
        </w:tc>
        <w:tc>
          <w:tcPr>
            <w:tcW w:w="0" w:type="auto"/>
            <w:shd w:val="clear" w:color="auto" w:fill="auto"/>
          </w:tcPr>
          <w:p w14:paraId="33DAC2FB" w14:textId="77777777" w:rsidR="004D6A64" w:rsidRDefault="004D6A64">
            <w:pPr>
              <w:rPr>
                <w:rFonts w:ascii="宋体"/>
              </w:rPr>
            </w:pPr>
          </w:p>
        </w:tc>
      </w:tr>
      <w:tr w:rsidR="004D6A64" w14:paraId="33DAC309" w14:textId="77777777">
        <w:trPr>
          <w:jc w:val="center"/>
        </w:trPr>
        <w:tc>
          <w:tcPr>
            <w:tcW w:w="0" w:type="auto"/>
            <w:gridSpan w:val="3"/>
            <w:shd w:val="clear" w:color="auto" w:fill="auto"/>
            <w:tcMar>
              <w:left w:w="20" w:type="dxa"/>
              <w:right w:w="20" w:type="dxa"/>
            </w:tcMar>
            <w:vAlign w:val="bottom"/>
          </w:tcPr>
          <w:p w14:paraId="33DAC2FD" w14:textId="77777777" w:rsidR="004D6A64" w:rsidRDefault="004D6A64">
            <w:pPr>
              <w:rPr>
                <w:rFonts w:ascii="宋体"/>
              </w:rPr>
            </w:pPr>
          </w:p>
        </w:tc>
        <w:tc>
          <w:tcPr>
            <w:tcW w:w="0" w:type="auto"/>
            <w:gridSpan w:val="33"/>
            <w:shd w:val="clear" w:color="auto" w:fill="auto"/>
            <w:tcMar>
              <w:top w:w="40" w:type="dxa"/>
              <w:left w:w="20" w:type="dxa"/>
              <w:bottom w:w="40" w:type="dxa"/>
              <w:right w:w="20" w:type="dxa"/>
            </w:tcMar>
            <w:vAlign w:val="bottom"/>
          </w:tcPr>
          <w:p w14:paraId="33DAC2FE" w14:textId="77777777" w:rsidR="004D6A64" w:rsidRDefault="00506CD6">
            <w:pPr>
              <w:jc w:val="center"/>
              <w:textAlignment w:val="bottom"/>
            </w:pPr>
            <w:r>
              <w:rPr>
                <w:rFonts w:ascii="Times New Roman" w:eastAsia="宋体" w:hAnsi="Times New Roman"/>
                <w:b/>
                <w:bCs/>
                <w:color w:val="000000"/>
                <w:sz w:val="20"/>
                <w:szCs w:val="20"/>
              </w:rPr>
              <w:t>January 31, 2020</w:t>
            </w:r>
          </w:p>
        </w:tc>
        <w:tc>
          <w:tcPr>
            <w:tcW w:w="0" w:type="auto"/>
            <w:gridSpan w:val="3"/>
            <w:shd w:val="clear" w:color="auto" w:fill="auto"/>
          </w:tcPr>
          <w:p w14:paraId="33DAC2FF" w14:textId="77777777" w:rsidR="004D6A64" w:rsidRDefault="004D6A64">
            <w:pPr>
              <w:rPr>
                <w:rFonts w:ascii="宋体"/>
                <w:vanish/>
              </w:rPr>
            </w:pPr>
          </w:p>
        </w:tc>
        <w:tc>
          <w:tcPr>
            <w:tcW w:w="0" w:type="auto"/>
            <w:gridSpan w:val="3"/>
            <w:shd w:val="clear" w:color="auto" w:fill="auto"/>
          </w:tcPr>
          <w:p w14:paraId="33DAC300" w14:textId="77777777" w:rsidR="004D6A64" w:rsidRDefault="004D6A64">
            <w:pPr>
              <w:rPr>
                <w:rFonts w:ascii="宋体"/>
                <w:vanish/>
              </w:rPr>
            </w:pPr>
          </w:p>
        </w:tc>
        <w:tc>
          <w:tcPr>
            <w:tcW w:w="0" w:type="auto"/>
            <w:gridSpan w:val="3"/>
            <w:shd w:val="clear" w:color="auto" w:fill="auto"/>
          </w:tcPr>
          <w:p w14:paraId="33DAC301" w14:textId="77777777" w:rsidR="004D6A64" w:rsidRDefault="004D6A64">
            <w:pPr>
              <w:rPr>
                <w:rFonts w:ascii="宋体"/>
                <w:vanish/>
              </w:rPr>
            </w:pPr>
          </w:p>
        </w:tc>
        <w:tc>
          <w:tcPr>
            <w:tcW w:w="0" w:type="auto"/>
            <w:gridSpan w:val="3"/>
            <w:shd w:val="clear" w:color="auto" w:fill="auto"/>
          </w:tcPr>
          <w:p w14:paraId="33DAC302" w14:textId="77777777" w:rsidR="004D6A64" w:rsidRDefault="004D6A64">
            <w:pPr>
              <w:rPr>
                <w:rFonts w:ascii="宋体"/>
                <w:vanish/>
              </w:rPr>
            </w:pPr>
          </w:p>
        </w:tc>
        <w:tc>
          <w:tcPr>
            <w:tcW w:w="0" w:type="auto"/>
            <w:gridSpan w:val="3"/>
            <w:shd w:val="clear" w:color="auto" w:fill="auto"/>
          </w:tcPr>
          <w:p w14:paraId="33DAC303" w14:textId="77777777" w:rsidR="004D6A64" w:rsidRDefault="004D6A64">
            <w:pPr>
              <w:rPr>
                <w:rFonts w:ascii="宋体"/>
                <w:vanish/>
              </w:rPr>
            </w:pPr>
          </w:p>
        </w:tc>
        <w:tc>
          <w:tcPr>
            <w:tcW w:w="0" w:type="auto"/>
            <w:gridSpan w:val="3"/>
            <w:shd w:val="clear" w:color="auto" w:fill="auto"/>
          </w:tcPr>
          <w:p w14:paraId="33DAC304" w14:textId="77777777" w:rsidR="004D6A64" w:rsidRDefault="004D6A64">
            <w:pPr>
              <w:rPr>
                <w:rFonts w:ascii="宋体"/>
                <w:vanish/>
              </w:rPr>
            </w:pPr>
          </w:p>
        </w:tc>
        <w:tc>
          <w:tcPr>
            <w:tcW w:w="0" w:type="auto"/>
            <w:gridSpan w:val="3"/>
            <w:shd w:val="clear" w:color="auto" w:fill="auto"/>
          </w:tcPr>
          <w:p w14:paraId="33DAC305" w14:textId="77777777" w:rsidR="004D6A64" w:rsidRDefault="004D6A64">
            <w:pPr>
              <w:rPr>
                <w:rFonts w:ascii="宋体"/>
                <w:vanish/>
              </w:rPr>
            </w:pPr>
          </w:p>
        </w:tc>
        <w:tc>
          <w:tcPr>
            <w:tcW w:w="0" w:type="auto"/>
            <w:gridSpan w:val="3"/>
            <w:shd w:val="clear" w:color="auto" w:fill="auto"/>
          </w:tcPr>
          <w:p w14:paraId="33DAC306" w14:textId="77777777" w:rsidR="004D6A64" w:rsidRDefault="004D6A64">
            <w:pPr>
              <w:rPr>
                <w:rFonts w:ascii="宋体"/>
                <w:vanish/>
              </w:rPr>
            </w:pPr>
          </w:p>
        </w:tc>
        <w:tc>
          <w:tcPr>
            <w:tcW w:w="0" w:type="auto"/>
            <w:gridSpan w:val="2"/>
            <w:shd w:val="clear" w:color="auto" w:fill="auto"/>
          </w:tcPr>
          <w:p w14:paraId="33DAC307" w14:textId="77777777" w:rsidR="004D6A64" w:rsidRDefault="004D6A64">
            <w:pPr>
              <w:rPr>
                <w:rFonts w:ascii="宋体"/>
                <w:vanish/>
              </w:rPr>
            </w:pPr>
          </w:p>
        </w:tc>
        <w:tc>
          <w:tcPr>
            <w:tcW w:w="0" w:type="auto"/>
            <w:shd w:val="clear" w:color="auto" w:fill="auto"/>
          </w:tcPr>
          <w:p w14:paraId="33DAC308" w14:textId="77777777" w:rsidR="004D6A64" w:rsidRDefault="004D6A64">
            <w:pPr>
              <w:rPr>
                <w:rFonts w:ascii="宋体"/>
                <w:vanish/>
              </w:rPr>
            </w:pPr>
          </w:p>
        </w:tc>
      </w:tr>
      <w:tr w:rsidR="004D6A64" w14:paraId="33DAC32B" w14:textId="77777777">
        <w:trPr>
          <w:jc w:val="center"/>
        </w:trPr>
        <w:tc>
          <w:tcPr>
            <w:tcW w:w="0" w:type="auto"/>
            <w:gridSpan w:val="3"/>
            <w:vMerge w:val="restart"/>
            <w:shd w:val="clear" w:color="auto" w:fill="FFFFFF"/>
            <w:tcMar>
              <w:left w:w="20" w:type="dxa"/>
              <w:right w:w="20" w:type="dxa"/>
            </w:tcMar>
            <w:vAlign w:val="bottom"/>
          </w:tcPr>
          <w:p w14:paraId="33DAC30A" w14:textId="77777777" w:rsidR="004D6A64" w:rsidRDefault="004D6A64">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3DAC30B" w14:textId="77777777" w:rsidR="004D6A64" w:rsidRDefault="00506CD6">
            <w:pPr>
              <w:jc w:val="center"/>
              <w:textAlignment w:val="bottom"/>
            </w:pPr>
            <w:r>
              <w:rPr>
                <w:rFonts w:ascii="Times New Roman" w:eastAsia="宋体" w:hAnsi="Times New Roman"/>
                <w:b/>
                <w:bCs/>
                <w:color w:val="000000"/>
                <w:sz w:val="18"/>
                <w:szCs w:val="18"/>
              </w:rPr>
              <w:t>Gross Amounts of Recognized Assets/ (Liabilities)</w:t>
            </w:r>
          </w:p>
        </w:tc>
        <w:tc>
          <w:tcPr>
            <w:tcW w:w="0" w:type="auto"/>
            <w:gridSpan w:val="3"/>
            <w:vMerge w:val="restart"/>
            <w:tcBorders>
              <w:top w:val="single" w:sz="8" w:space="0" w:color="000000"/>
            </w:tcBorders>
            <w:shd w:val="clear" w:color="auto" w:fill="FFFFFF"/>
            <w:tcMar>
              <w:left w:w="20" w:type="dxa"/>
              <w:right w:w="20" w:type="dxa"/>
            </w:tcMar>
            <w:vAlign w:val="bottom"/>
          </w:tcPr>
          <w:p w14:paraId="33DAC30C" w14:textId="77777777" w:rsidR="004D6A64" w:rsidRDefault="004D6A64">
            <w:pPr>
              <w:rPr>
                <w:rFonts w:ascii="宋体"/>
              </w:rPr>
            </w:pPr>
          </w:p>
        </w:tc>
        <w:tc>
          <w:tcPr>
            <w:tcW w:w="0" w:type="auto"/>
            <w:gridSpan w:val="3"/>
            <w:vMerge w:val="restart"/>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33DAC30D" w14:textId="77777777" w:rsidR="004D6A64" w:rsidRDefault="00506CD6">
            <w:pPr>
              <w:jc w:val="center"/>
              <w:textAlignment w:val="bottom"/>
            </w:pPr>
            <w:r>
              <w:rPr>
                <w:rFonts w:ascii="Times New Roman" w:eastAsia="宋体" w:hAnsi="Times New Roman"/>
                <w:b/>
                <w:bCs/>
                <w:color w:val="000000"/>
                <w:sz w:val="18"/>
                <w:szCs w:val="18"/>
              </w:rPr>
              <w:t>Gross Amounts Offset in the Statement of Financial Position</w:t>
            </w:r>
          </w:p>
        </w:tc>
        <w:tc>
          <w:tcPr>
            <w:tcW w:w="0" w:type="auto"/>
            <w:gridSpan w:val="3"/>
            <w:vMerge w:val="restart"/>
            <w:tcBorders>
              <w:top w:val="single" w:sz="8" w:space="0" w:color="000000"/>
            </w:tcBorders>
            <w:shd w:val="clear" w:color="auto" w:fill="FFFFFF"/>
            <w:tcMar>
              <w:left w:w="20" w:type="dxa"/>
              <w:right w:w="20" w:type="dxa"/>
            </w:tcMar>
            <w:vAlign w:val="bottom"/>
          </w:tcPr>
          <w:p w14:paraId="33DAC30E" w14:textId="77777777" w:rsidR="004D6A64" w:rsidRDefault="004D6A64">
            <w:pPr>
              <w:rPr>
                <w:rFonts w:ascii="宋体"/>
              </w:rPr>
            </w:pPr>
          </w:p>
        </w:tc>
        <w:tc>
          <w:tcPr>
            <w:tcW w:w="0" w:type="auto"/>
            <w:gridSpan w:val="3"/>
            <w:vMerge w:val="restart"/>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33DAC30F" w14:textId="77777777" w:rsidR="004D6A64" w:rsidRDefault="00506CD6">
            <w:pPr>
              <w:jc w:val="center"/>
              <w:textAlignment w:val="bottom"/>
            </w:pPr>
            <w:r>
              <w:rPr>
                <w:rFonts w:ascii="Times New Roman" w:eastAsia="宋体" w:hAnsi="Times New Roman"/>
                <w:b/>
                <w:bCs/>
                <w:color w:val="000000"/>
                <w:sz w:val="18"/>
                <w:szCs w:val="18"/>
              </w:rPr>
              <w:t xml:space="preserve">Net Amounts of </w:t>
            </w:r>
            <w:r>
              <w:rPr>
                <w:rFonts w:ascii="Times New Roman" w:eastAsia="宋体" w:hAnsi="Times New Roman"/>
                <w:b/>
                <w:bCs/>
                <w:color w:val="000000"/>
                <w:sz w:val="18"/>
                <w:szCs w:val="18"/>
              </w:rPr>
              <w:t>Assets/ (Liabilities) Presented in the Statement of Financial Position</w:t>
            </w:r>
          </w:p>
        </w:tc>
        <w:tc>
          <w:tcPr>
            <w:tcW w:w="0" w:type="auto"/>
            <w:gridSpan w:val="3"/>
            <w:tcBorders>
              <w:top w:val="single" w:sz="8" w:space="0" w:color="000000"/>
            </w:tcBorders>
            <w:shd w:val="clear" w:color="auto" w:fill="auto"/>
            <w:tcMar>
              <w:left w:w="20" w:type="dxa"/>
              <w:right w:w="20" w:type="dxa"/>
            </w:tcMar>
            <w:vAlign w:val="bottom"/>
          </w:tcPr>
          <w:p w14:paraId="33DAC310" w14:textId="77777777" w:rsidR="004D6A64" w:rsidRDefault="004D6A6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3DAC311" w14:textId="77777777" w:rsidR="004D6A64" w:rsidRDefault="00506CD6">
            <w:pPr>
              <w:jc w:val="center"/>
              <w:textAlignment w:val="bottom"/>
            </w:pPr>
            <w:r>
              <w:rPr>
                <w:rFonts w:ascii="Times New Roman" w:eastAsia="宋体" w:hAnsi="Times New Roman"/>
                <w:b/>
                <w:bCs/>
                <w:color w:val="000000"/>
                <w:sz w:val="18"/>
                <w:szCs w:val="18"/>
              </w:rPr>
              <w:t>Gross Amounts not Offset in the Statement of Financial Position</w:t>
            </w:r>
          </w:p>
        </w:tc>
        <w:tc>
          <w:tcPr>
            <w:tcW w:w="0" w:type="auto"/>
            <w:gridSpan w:val="3"/>
            <w:shd w:val="clear" w:color="auto" w:fill="auto"/>
          </w:tcPr>
          <w:p w14:paraId="33DAC312" w14:textId="77777777" w:rsidR="004D6A64" w:rsidRDefault="004D6A64">
            <w:pPr>
              <w:rPr>
                <w:rFonts w:ascii="宋体"/>
                <w:vanish/>
              </w:rPr>
            </w:pPr>
          </w:p>
        </w:tc>
        <w:tc>
          <w:tcPr>
            <w:tcW w:w="0" w:type="auto"/>
            <w:gridSpan w:val="3"/>
            <w:shd w:val="clear" w:color="auto" w:fill="auto"/>
          </w:tcPr>
          <w:p w14:paraId="33DAC313" w14:textId="77777777" w:rsidR="004D6A64" w:rsidRDefault="004D6A64">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33DAC314" w14:textId="77777777" w:rsidR="004D6A64" w:rsidRDefault="004D6A64">
            <w:pPr>
              <w:rPr>
                <w:rFonts w:ascii="宋体"/>
              </w:rPr>
            </w:pPr>
          </w:p>
        </w:tc>
        <w:tc>
          <w:tcPr>
            <w:tcW w:w="0" w:type="auto"/>
            <w:gridSpan w:val="3"/>
            <w:vMerge w:val="restart"/>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33DAC315" w14:textId="77777777" w:rsidR="004D6A64" w:rsidRDefault="00506CD6">
            <w:pPr>
              <w:jc w:val="center"/>
              <w:textAlignment w:val="bottom"/>
            </w:pPr>
            <w:r>
              <w:rPr>
                <w:rFonts w:ascii="Times New Roman" w:eastAsia="宋体" w:hAnsi="Times New Roman"/>
                <w:b/>
                <w:bCs/>
                <w:color w:val="000000"/>
                <w:sz w:val="18"/>
                <w:szCs w:val="18"/>
              </w:rPr>
              <w:t>Net Amount</w:t>
            </w:r>
          </w:p>
        </w:tc>
        <w:tc>
          <w:tcPr>
            <w:tcW w:w="0" w:type="auto"/>
            <w:shd w:val="clear" w:color="auto" w:fill="auto"/>
          </w:tcPr>
          <w:p w14:paraId="33DAC316" w14:textId="77777777" w:rsidR="004D6A64" w:rsidRDefault="004D6A64">
            <w:pPr>
              <w:rPr>
                <w:rFonts w:ascii="宋体"/>
              </w:rPr>
            </w:pPr>
          </w:p>
        </w:tc>
        <w:tc>
          <w:tcPr>
            <w:tcW w:w="0" w:type="auto"/>
            <w:shd w:val="clear" w:color="auto" w:fill="auto"/>
          </w:tcPr>
          <w:p w14:paraId="33DAC317" w14:textId="77777777" w:rsidR="004D6A64" w:rsidRDefault="004D6A64">
            <w:pPr>
              <w:rPr>
                <w:rFonts w:ascii="宋体"/>
              </w:rPr>
            </w:pPr>
          </w:p>
        </w:tc>
        <w:tc>
          <w:tcPr>
            <w:tcW w:w="0" w:type="auto"/>
            <w:shd w:val="clear" w:color="auto" w:fill="auto"/>
          </w:tcPr>
          <w:p w14:paraId="33DAC318" w14:textId="77777777" w:rsidR="004D6A64" w:rsidRDefault="004D6A64">
            <w:pPr>
              <w:rPr>
                <w:rFonts w:ascii="宋体"/>
              </w:rPr>
            </w:pPr>
          </w:p>
        </w:tc>
        <w:tc>
          <w:tcPr>
            <w:tcW w:w="0" w:type="auto"/>
            <w:shd w:val="clear" w:color="auto" w:fill="auto"/>
          </w:tcPr>
          <w:p w14:paraId="33DAC319" w14:textId="77777777" w:rsidR="004D6A64" w:rsidRDefault="004D6A64">
            <w:pPr>
              <w:rPr>
                <w:rFonts w:ascii="宋体"/>
              </w:rPr>
            </w:pPr>
          </w:p>
        </w:tc>
        <w:tc>
          <w:tcPr>
            <w:tcW w:w="0" w:type="auto"/>
            <w:shd w:val="clear" w:color="auto" w:fill="auto"/>
          </w:tcPr>
          <w:p w14:paraId="33DAC31A" w14:textId="77777777" w:rsidR="004D6A64" w:rsidRDefault="004D6A64">
            <w:pPr>
              <w:rPr>
                <w:rFonts w:ascii="宋体"/>
              </w:rPr>
            </w:pPr>
          </w:p>
        </w:tc>
        <w:tc>
          <w:tcPr>
            <w:tcW w:w="0" w:type="auto"/>
            <w:shd w:val="clear" w:color="auto" w:fill="auto"/>
          </w:tcPr>
          <w:p w14:paraId="33DAC31B" w14:textId="77777777" w:rsidR="004D6A64" w:rsidRDefault="004D6A64">
            <w:pPr>
              <w:rPr>
                <w:rFonts w:ascii="宋体"/>
              </w:rPr>
            </w:pPr>
          </w:p>
        </w:tc>
        <w:tc>
          <w:tcPr>
            <w:tcW w:w="0" w:type="auto"/>
            <w:shd w:val="clear" w:color="auto" w:fill="auto"/>
          </w:tcPr>
          <w:p w14:paraId="33DAC31C" w14:textId="77777777" w:rsidR="004D6A64" w:rsidRDefault="004D6A64">
            <w:pPr>
              <w:rPr>
                <w:rFonts w:ascii="宋体"/>
              </w:rPr>
            </w:pPr>
          </w:p>
        </w:tc>
        <w:tc>
          <w:tcPr>
            <w:tcW w:w="0" w:type="auto"/>
            <w:shd w:val="clear" w:color="auto" w:fill="auto"/>
          </w:tcPr>
          <w:p w14:paraId="33DAC31D" w14:textId="77777777" w:rsidR="004D6A64" w:rsidRDefault="004D6A64">
            <w:pPr>
              <w:rPr>
                <w:rFonts w:ascii="宋体"/>
              </w:rPr>
            </w:pPr>
          </w:p>
        </w:tc>
        <w:tc>
          <w:tcPr>
            <w:tcW w:w="0" w:type="auto"/>
            <w:shd w:val="clear" w:color="auto" w:fill="auto"/>
          </w:tcPr>
          <w:p w14:paraId="33DAC31E" w14:textId="77777777" w:rsidR="004D6A64" w:rsidRDefault="004D6A64">
            <w:pPr>
              <w:rPr>
                <w:rFonts w:ascii="宋体"/>
              </w:rPr>
            </w:pPr>
          </w:p>
        </w:tc>
        <w:tc>
          <w:tcPr>
            <w:tcW w:w="0" w:type="auto"/>
            <w:shd w:val="clear" w:color="auto" w:fill="auto"/>
          </w:tcPr>
          <w:p w14:paraId="33DAC31F" w14:textId="77777777" w:rsidR="004D6A64" w:rsidRDefault="004D6A64">
            <w:pPr>
              <w:rPr>
                <w:rFonts w:ascii="宋体"/>
              </w:rPr>
            </w:pPr>
          </w:p>
        </w:tc>
        <w:tc>
          <w:tcPr>
            <w:tcW w:w="0" w:type="auto"/>
            <w:shd w:val="clear" w:color="auto" w:fill="auto"/>
          </w:tcPr>
          <w:p w14:paraId="33DAC320" w14:textId="77777777" w:rsidR="004D6A64" w:rsidRDefault="004D6A64">
            <w:pPr>
              <w:rPr>
                <w:rFonts w:ascii="宋体"/>
              </w:rPr>
            </w:pPr>
          </w:p>
        </w:tc>
        <w:tc>
          <w:tcPr>
            <w:tcW w:w="0" w:type="auto"/>
            <w:shd w:val="clear" w:color="auto" w:fill="auto"/>
          </w:tcPr>
          <w:p w14:paraId="33DAC321" w14:textId="77777777" w:rsidR="004D6A64" w:rsidRDefault="004D6A64">
            <w:pPr>
              <w:rPr>
                <w:rFonts w:ascii="宋体"/>
              </w:rPr>
            </w:pPr>
          </w:p>
        </w:tc>
        <w:tc>
          <w:tcPr>
            <w:tcW w:w="0" w:type="auto"/>
            <w:shd w:val="clear" w:color="auto" w:fill="auto"/>
          </w:tcPr>
          <w:p w14:paraId="33DAC322" w14:textId="77777777" w:rsidR="004D6A64" w:rsidRDefault="004D6A64">
            <w:pPr>
              <w:rPr>
                <w:rFonts w:ascii="宋体"/>
              </w:rPr>
            </w:pPr>
          </w:p>
        </w:tc>
        <w:tc>
          <w:tcPr>
            <w:tcW w:w="0" w:type="auto"/>
            <w:shd w:val="clear" w:color="auto" w:fill="auto"/>
          </w:tcPr>
          <w:p w14:paraId="33DAC323" w14:textId="77777777" w:rsidR="004D6A64" w:rsidRDefault="004D6A64">
            <w:pPr>
              <w:rPr>
                <w:rFonts w:ascii="宋体"/>
              </w:rPr>
            </w:pPr>
          </w:p>
        </w:tc>
        <w:tc>
          <w:tcPr>
            <w:tcW w:w="0" w:type="auto"/>
            <w:shd w:val="clear" w:color="auto" w:fill="auto"/>
          </w:tcPr>
          <w:p w14:paraId="33DAC324" w14:textId="77777777" w:rsidR="004D6A64" w:rsidRDefault="004D6A64">
            <w:pPr>
              <w:rPr>
                <w:rFonts w:ascii="宋体"/>
              </w:rPr>
            </w:pPr>
          </w:p>
        </w:tc>
        <w:tc>
          <w:tcPr>
            <w:tcW w:w="0" w:type="auto"/>
            <w:shd w:val="clear" w:color="auto" w:fill="auto"/>
          </w:tcPr>
          <w:p w14:paraId="33DAC325" w14:textId="77777777" w:rsidR="004D6A64" w:rsidRDefault="004D6A64">
            <w:pPr>
              <w:rPr>
                <w:rFonts w:ascii="宋体"/>
              </w:rPr>
            </w:pPr>
          </w:p>
        </w:tc>
        <w:tc>
          <w:tcPr>
            <w:tcW w:w="0" w:type="auto"/>
            <w:shd w:val="clear" w:color="auto" w:fill="auto"/>
          </w:tcPr>
          <w:p w14:paraId="33DAC326" w14:textId="77777777" w:rsidR="004D6A64" w:rsidRDefault="004D6A64">
            <w:pPr>
              <w:rPr>
                <w:rFonts w:ascii="宋体"/>
              </w:rPr>
            </w:pPr>
          </w:p>
        </w:tc>
        <w:tc>
          <w:tcPr>
            <w:tcW w:w="0" w:type="auto"/>
            <w:shd w:val="clear" w:color="auto" w:fill="auto"/>
          </w:tcPr>
          <w:p w14:paraId="33DAC327" w14:textId="77777777" w:rsidR="004D6A64" w:rsidRDefault="004D6A64">
            <w:pPr>
              <w:rPr>
                <w:rFonts w:ascii="宋体"/>
              </w:rPr>
            </w:pPr>
          </w:p>
        </w:tc>
        <w:tc>
          <w:tcPr>
            <w:tcW w:w="0" w:type="auto"/>
            <w:shd w:val="clear" w:color="auto" w:fill="auto"/>
          </w:tcPr>
          <w:p w14:paraId="33DAC328" w14:textId="77777777" w:rsidR="004D6A64" w:rsidRDefault="004D6A64">
            <w:pPr>
              <w:rPr>
                <w:rFonts w:ascii="宋体"/>
              </w:rPr>
            </w:pPr>
          </w:p>
        </w:tc>
        <w:tc>
          <w:tcPr>
            <w:tcW w:w="0" w:type="auto"/>
            <w:shd w:val="clear" w:color="auto" w:fill="auto"/>
          </w:tcPr>
          <w:p w14:paraId="33DAC329" w14:textId="77777777" w:rsidR="004D6A64" w:rsidRDefault="004D6A64">
            <w:pPr>
              <w:rPr>
                <w:rFonts w:ascii="宋体"/>
              </w:rPr>
            </w:pPr>
          </w:p>
        </w:tc>
        <w:tc>
          <w:tcPr>
            <w:tcW w:w="0" w:type="auto"/>
            <w:shd w:val="clear" w:color="auto" w:fill="auto"/>
          </w:tcPr>
          <w:p w14:paraId="33DAC32A" w14:textId="77777777" w:rsidR="004D6A64" w:rsidRDefault="004D6A64">
            <w:pPr>
              <w:rPr>
                <w:rFonts w:ascii="宋体"/>
              </w:rPr>
            </w:pPr>
          </w:p>
        </w:tc>
      </w:tr>
      <w:tr w:rsidR="004D6A64" w14:paraId="33DAC345" w14:textId="77777777">
        <w:trPr>
          <w:jc w:val="center"/>
        </w:trPr>
        <w:tc>
          <w:tcPr>
            <w:tcW w:w="0" w:type="auto"/>
            <w:gridSpan w:val="3"/>
            <w:vMerge/>
            <w:shd w:val="clear" w:color="auto" w:fill="FFFFFF"/>
            <w:tcMar>
              <w:left w:w="20" w:type="dxa"/>
              <w:right w:w="20" w:type="dxa"/>
            </w:tcMar>
            <w:vAlign w:val="bottom"/>
          </w:tcPr>
          <w:p w14:paraId="33DAC32C" w14:textId="77777777" w:rsidR="004D6A64" w:rsidRDefault="004D6A64">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3DAC32D" w14:textId="77777777" w:rsidR="004D6A64" w:rsidRDefault="004D6A64">
            <w:pPr>
              <w:jc w:val="center"/>
              <w:rPr>
                <w:rFonts w:ascii="宋体"/>
              </w:rPr>
            </w:pPr>
          </w:p>
        </w:tc>
        <w:tc>
          <w:tcPr>
            <w:tcW w:w="0" w:type="auto"/>
            <w:gridSpan w:val="3"/>
            <w:vMerge/>
            <w:tcBorders>
              <w:top w:val="single" w:sz="8" w:space="0" w:color="000000"/>
            </w:tcBorders>
            <w:shd w:val="clear" w:color="auto" w:fill="FFFFFF"/>
            <w:tcMar>
              <w:left w:w="20" w:type="dxa"/>
              <w:right w:w="20" w:type="dxa"/>
            </w:tcMar>
            <w:vAlign w:val="bottom"/>
          </w:tcPr>
          <w:p w14:paraId="33DAC32E" w14:textId="77777777" w:rsidR="004D6A64" w:rsidRDefault="004D6A64">
            <w:pPr>
              <w:rPr>
                <w:rFonts w:ascii="宋体"/>
              </w:rPr>
            </w:pPr>
          </w:p>
        </w:tc>
        <w:tc>
          <w:tcPr>
            <w:tcW w:w="0" w:type="auto"/>
            <w:gridSpan w:val="3"/>
            <w:vMerge/>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33DAC32F" w14:textId="77777777" w:rsidR="004D6A64" w:rsidRDefault="004D6A64">
            <w:pPr>
              <w:jc w:val="center"/>
              <w:rPr>
                <w:rFonts w:ascii="宋体"/>
              </w:rPr>
            </w:pPr>
          </w:p>
        </w:tc>
        <w:tc>
          <w:tcPr>
            <w:tcW w:w="0" w:type="auto"/>
            <w:gridSpan w:val="3"/>
            <w:vMerge/>
            <w:tcBorders>
              <w:top w:val="single" w:sz="8" w:space="0" w:color="000000"/>
            </w:tcBorders>
            <w:shd w:val="clear" w:color="auto" w:fill="FFFFFF"/>
            <w:tcMar>
              <w:left w:w="20" w:type="dxa"/>
              <w:right w:w="20" w:type="dxa"/>
            </w:tcMar>
            <w:vAlign w:val="bottom"/>
          </w:tcPr>
          <w:p w14:paraId="33DAC330" w14:textId="77777777" w:rsidR="004D6A64" w:rsidRDefault="004D6A64">
            <w:pPr>
              <w:rPr>
                <w:rFonts w:ascii="宋体"/>
              </w:rPr>
            </w:pPr>
          </w:p>
        </w:tc>
        <w:tc>
          <w:tcPr>
            <w:tcW w:w="0" w:type="auto"/>
            <w:gridSpan w:val="3"/>
            <w:vMerge/>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33DAC331" w14:textId="77777777" w:rsidR="004D6A64" w:rsidRDefault="004D6A64">
            <w:pPr>
              <w:jc w:val="center"/>
              <w:rPr>
                <w:rFonts w:ascii="宋体"/>
              </w:rPr>
            </w:pPr>
          </w:p>
        </w:tc>
        <w:tc>
          <w:tcPr>
            <w:tcW w:w="0" w:type="auto"/>
            <w:gridSpan w:val="3"/>
            <w:shd w:val="clear" w:color="auto" w:fill="auto"/>
          </w:tcPr>
          <w:p w14:paraId="33DAC332" w14:textId="77777777" w:rsidR="004D6A64" w:rsidRDefault="004D6A64">
            <w:pPr>
              <w:rPr>
                <w:rFonts w:ascii="宋体"/>
                <w:vanish/>
              </w:rPr>
            </w:pPr>
          </w:p>
        </w:tc>
        <w:tc>
          <w:tcPr>
            <w:tcW w:w="0" w:type="auto"/>
            <w:gridSpan w:val="3"/>
            <w:shd w:val="clear" w:color="auto" w:fill="auto"/>
          </w:tcPr>
          <w:p w14:paraId="33DAC333" w14:textId="77777777" w:rsidR="004D6A64" w:rsidRDefault="004D6A64">
            <w:pPr>
              <w:rPr>
                <w:rFonts w:ascii="宋体"/>
                <w:vanish/>
              </w:rPr>
            </w:pPr>
          </w:p>
        </w:tc>
        <w:tc>
          <w:tcPr>
            <w:tcW w:w="0" w:type="auto"/>
            <w:gridSpan w:val="3"/>
            <w:shd w:val="clear" w:color="auto" w:fill="auto"/>
          </w:tcPr>
          <w:p w14:paraId="33DAC334" w14:textId="77777777" w:rsidR="004D6A64" w:rsidRDefault="004D6A64">
            <w:pPr>
              <w:rPr>
                <w:rFonts w:ascii="宋体"/>
                <w:vanish/>
              </w:rPr>
            </w:pPr>
          </w:p>
        </w:tc>
        <w:tc>
          <w:tcPr>
            <w:tcW w:w="0" w:type="auto"/>
            <w:gridSpan w:val="3"/>
            <w:shd w:val="clear" w:color="auto" w:fill="auto"/>
          </w:tcPr>
          <w:p w14:paraId="33DAC335" w14:textId="77777777" w:rsidR="004D6A64" w:rsidRDefault="004D6A64">
            <w:pPr>
              <w:rPr>
                <w:rFonts w:ascii="宋体"/>
                <w:vanish/>
              </w:rPr>
            </w:pPr>
          </w:p>
        </w:tc>
        <w:tc>
          <w:tcPr>
            <w:tcW w:w="0" w:type="auto"/>
            <w:gridSpan w:val="3"/>
            <w:shd w:val="clear" w:color="auto" w:fill="auto"/>
          </w:tcPr>
          <w:p w14:paraId="33DAC336" w14:textId="77777777" w:rsidR="004D6A64" w:rsidRDefault="004D6A64">
            <w:pPr>
              <w:rPr>
                <w:rFonts w:ascii="宋体"/>
                <w:vanish/>
              </w:rPr>
            </w:pPr>
          </w:p>
        </w:tc>
        <w:tc>
          <w:tcPr>
            <w:tcW w:w="0" w:type="auto"/>
            <w:gridSpan w:val="3"/>
            <w:shd w:val="clear" w:color="auto" w:fill="auto"/>
          </w:tcPr>
          <w:p w14:paraId="33DAC337"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C338" w14:textId="77777777" w:rsidR="004D6A64" w:rsidRDefault="004D6A64">
            <w:pPr>
              <w:rPr>
                <w:rFonts w:ascii="宋体"/>
              </w:rPr>
            </w:pPr>
          </w:p>
        </w:tc>
        <w:tc>
          <w:tcPr>
            <w:tcW w:w="0" w:type="auto"/>
            <w:gridSpan w:val="3"/>
            <w:vMerge/>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33DAC339" w14:textId="77777777" w:rsidR="004D6A64" w:rsidRDefault="004D6A64">
            <w:pPr>
              <w:jc w:val="cente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C33A" w14:textId="77777777" w:rsidR="004D6A64" w:rsidRDefault="00506CD6">
            <w:pPr>
              <w:jc w:val="center"/>
              <w:textAlignment w:val="bottom"/>
            </w:pPr>
            <w:r>
              <w:rPr>
                <w:rFonts w:ascii="Times New Roman" w:eastAsia="宋体" w:hAnsi="Times New Roman"/>
                <w:b/>
                <w:bCs/>
                <w:color w:val="000000"/>
                <w:sz w:val="18"/>
                <w:szCs w:val="18"/>
              </w:rPr>
              <w:t>Financial Instruments</w:t>
            </w:r>
          </w:p>
        </w:tc>
        <w:tc>
          <w:tcPr>
            <w:tcW w:w="0" w:type="auto"/>
            <w:gridSpan w:val="3"/>
            <w:tcBorders>
              <w:top w:val="single" w:sz="8" w:space="0" w:color="000000"/>
            </w:tcBorders>
            <w:shd w:val="clear" w:color="auto" w:fill="auto"/>
            <w:tcMar>
              <w:left w:w="20" w:type="dxa"/>
              <w:right w:w="20" w:type="dxa"/>
            </w:tcMar>
            <w:vAlign w:val="bottom"/>
          </w:tcPr>
          <w:p w14:paraId="33DAC33B"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C33C" w14:textId="77777777" w:rsidR="004D6A64" w:rsidRDefault="00506CD6">
            <w:pPr>
              <w:jc w:val="center"/>
              <w:textAlignment w:val="bottom"/>
            </w:pPr>
            <w:r>
              <w:rPr>
                <w:rFonts w:ascii="Times New Roman" w:eastAsia="宋体" w:hAnsi="Times New Roman"/>
                <w:b/>
                <w:bCs/>
                <w:color w:val="000000"/>
                <w:sz w:val="18"/>
                <w:szCs w:val="18"/>
              </w:rPr>
              <w:t>Cash Collateral Received or Pledged</w:t>
            </w:r>
          </w:p>
        </w:tc>
        <w:tc>
          <w:tcPr>
            <w:tcW w:w="0" w:type="auto"/>
            <w:gridSpan w:val="3"/>
            <w:shd w:val="clear" w:color="auto" w:fill="auto"/>
            <w:tcMar>
              <w:left w:w="20" w:type="dxa"/>
              <w:right w:w="20" w:type="dxa"/>
            </w:tcMar>
            <w:vAlign w:val="bottom"/>
          </w:tcPr>
          <w:p w14:paraId="33DAC33D" w14:textId="77777777" w:rsidR="004D6A64" w:rsidRDefault="004D6A64">
            <w:pPr>
              <w:rPr>
                <w:rFonts w:ascii="宋体"/>
              </w:rPr>
            </w:pPr>
          </w:p>
        </w:tc>
        <w:tc>
          <w:tcPr>
            <w:tcW w:w="0" w:type="auto"/>
            <w:gridSpan w:val="3"/>
            <w:shd w:val="clear" w:color="auto" w:fill="auto"/>
          </w:tcPr>
          <w:p w14:paraId="33DAC33E" w14:textId="77777777" w:rsidR="004D6A64" w:rsidRDefault="004D6A64">
            <w:pPr>
              <w:rPr>
                <w:rFonts w:ascii="宋体"/>
                <w:vanish/>
              </w:rPr>
            </w:pPr>
          </w:p>
        </w:tc>
        <w:tc>
          <w:tcPr>
            <w:tcW w:w="0" w:type="auto"/>
            <w:shd w:val="clear" w:color="auto" w:fill="auto"/>
          </w:tcPr>
          <w:p w14:paraId="33DAC33F" w14:textId="77777777" w:rsidR="004D6A64" w:rsidRDefault="004D6A64">
            <w:pPr>
              <w:rPr>
                <w:rFonts w:ascii="宋体"/>
              </w:rPr>
            </w:pPr>
          </w:p>
        </w:tc>
        <w:tc>
          <w:tcPr>
            <w:tcW w:w="0" w:type="auto"/>
            <w:shd w:val="clear" w:color="auto" w:fill="auto"/>
          </w:tcPr>
          <w:p w14:paraId="33DAC340" w14:textId="77777777" w:rsidR="004D6A64" w:rsidRDefault="004D6A64">
            <w:pPr>
              <w:rPr>
                <w:rFonts w:ascii="宋体"/>
              </w:rPr>
            </w:pPr>
          </w:p>
        </w:tc>
        <w:tc>
          <w:tcPr>
            <w:tcW w:w="0" w:type="auto"/>
            <w:shd w:val="clear" w:color="auto" w:fill="auto"/>
          </w:tcPr>
          <w:p w14:paraId="33DAC341" w14:textId="77777777" w:rsidR="004D6A64" w:rsidRDefault="004D6A64">
            <w:pPr>
              <w:rPr>
                <w:rFonts w:ascii="宋体"/>
              </w:rPr>
            </w:pPr>
          </w:p>
        </w:tc>
        <w:tc>
          <w:tcPr>
            <w:tcW w:w="0" w:type="auto"/>
            <w:shd w:val="clear" w:color="auto" w:fill="auto"/>
          </w:tcPr>
          <w:p w14:paraId="33DAC342" w14:textId="77777777" w:rsidR="004D6A64" w:rsidRDefault="004D6A64">
            <w:pPr>
              <w:rPr>
                <w:rFonts w:ascii="宋体"/>
              </w:rPr>
            </w:pPr>
          </w:p>
        </w:tc>
        <w:tc>
          <w:tcPr>
            <w:tcW w:w="0" w:type="auto"/>
            <w:shd w:val="clear" w:color="auto" w:fill="auto"/>
          </w:tcPr>
          <w:p w14:paraId="33DAC343" w14:textId="77777777" w:rsidR="004D6A64" w:rsidRDefault="004D6A64">
            <w:pPr>
              <w:rPr>
                <w:rFonts w:ascii="宋体"/>
              </w:rPr>
            </w:pPr>
          </w:p>
        </w:tc>
        <w:tc>
          <w:tcPr>
            <w:tcW w:w="0" w:type="auto"/>
            <w:shd w:val="clear" w:color="auto" w:fill="auto"/>
          </w:tcPr>
          <w:p w14:paraId="33DAC344" w14:textId="77777777" w:rsidR="004D6A64" w:rsidRDefault="004D6A64">
            <w:pPr>
              <w:rPr>
                <w:rFonts w:ascii="宋体"/>
              </w:rPr>
            </w:pPr>
          </w:p>
        </w:tc>
      </w:tr>
      <w:tr w:rsidR="004D6A64" w14:paraId="33DAC352" w14:textId="77777777">
        <w:trPr>
          <w:jc w:val="center"/>
        </w:trPr>
        <w:tc>
          <w:tcPr>
            <w:tcW w:w="0" w:type="auto"/>
            <w:gridSpan w:val="3"/>
            <w:shd w:val="clear" w:color="auto" w:fill="auto"/>
            <w:tcMar>
              <w:left w:w="20" w:type="dxa"/>
              <w:right w:w="20" w:type="dxa"/>
            </w:tcMar>
            <w:vAlign w:val="bottom"/>
          </w:tcPr>
          <w:p w14:paraId="33DAC346" w14:textId="77777777" w:rsidR="004D6A64" w:rsidRDefault="004D6A64">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33DAC347" w14:textId="77777777" w:rsidR="004D6A64" w:rsidRDefault="00506CD6">
            <w:pPr>
              <w:jc w:val="center"/>
              <w:textAlignment w:val="bottom"/>
            </w:pPr>
            <w:r>
              <w:rPr>
                <w:rFonts w:ascii="Times New Roman" w:eastAsia="宋体" w:hAnsi="Times New Roman"/>
                <w:color w:val="000000"/>
                <w:sz w:val="20"/>
                <w:szCs w:val="20"/>
              </w:rPr>
              <w:t>(in millions)</w:t>
            </w:r>
          </w:p>
        </w:tc>
        <w:tc>
          <w:tcPr>
            <w:tcW w:w="0" w:type="auto"/>
            <w:gridSpan w:val="3"/>
            <w:shd w:val="clear" w:color="auto" w:fill="auto"/>
          </w:tcPr>
          <w:p w14:paraId="33DAC348" w14:textId="77777777" w:rsidR="004D6A64" w:rsidRDefault="004D6A64">
            <w:pPr>
              <w:rPr>
                <w:rFonts w:ascii="宋体"/>
                <w:vanish/>
              </w:rPr>
            </w:pPr>
          </w:p>
        </w:tc>
        <w:tc>
          <w:tcPr>
            <w:tcW w:w="0" w:type="auto"/>
            <w:gridSpan w:val="3"/>
            <w:shd w:val="clear" w:color="auto" w:fill="auto"/>
          </w:tcPr>
          <w:p w14:paraId="33DAC349" w14:textId="77777777" w:rsidR="004D6A64" w:rsidRDefault="004D6A64">
            <w:pPr>
              <w:rPr>
                <w:rFonts w:ascii="宋体"/>
                <w:vanish/>
              </w:rPr>
            </w:pPr>
          </w:p>
        </w:tc>
        <w:tc>
          <w:tcPr>
            <w:tcW w:w="0" w:type="auto"/>
            <w:gridSpan w:val="3"/>
            <w:shd w:val="clear" w:color="auto" w:fill="auto"/>
          </w:tcPr>
          <w:p w14:paraId="33DAC34A" w14:textId="77777777" w:rsidR="004D6A64" w:rsidRDefault="004D6A64">
            <w:pPr>
              <w:rPr>
                <w:rFonts w:ascii="宋体"/>
                <w:vanish/>
              </w:rPr>
            </w:pPr>
          </w:p>
        </w:tc>
        <w:tc>
          <w:tcPr>
            <w:tcW w:w="0" w:type="auto"/>
            <w:gridSpan w:val="3"/>
            <w:shd w:val="clear" w:color="auto" w:fill="auto"/>
          </w:tcPr>
          <w:p w14:paraId="33DAC34B" w14:textId="77777777" w:rsidR="004D6A64" w:rsidRDefault="004D6A64">
            <w:pPr>
              <w:rPr>
                <w:rFonts w:ascii="宋体"/>
                <w:vanish/>
              </w:rPr>
            </w:pPr>
          </w:p>
        </w:tc>
        <w:tc>
          <w:tcPr>
            <w:tcW w:w="0" w:type="auto"/>
            <w:gridSpan w:val="3"/>
            <w:shd w:val="clear" w:color="auto" w:fill="auto"/>
          </w:tcPr>
          <w:p w14:paraId="33DAC34C" w14:textId="77777777" w:rsidR="004D6A64" w:rsidRDefault="004D6A64">
            <w:pPr>
              <w:rPr>
                <w:rFonts w:ascii="宋体"/>
                <w:vanish/>
              </w:rPr>
            </w:pPr>
          </w:p>
        </w:tc>
        <w:tc>
          <w:tcPr>
            <w:tcW w:w="0" w:type="auto"/>
            <w:gridSpan w:val="3"/>
            <w:shd w:val="clear" w:color="auto" w:fill="auto"/>
          </w:tcPr>
          <w:p w14:paraId="33DAC34D" w14:textId="77777777" w:rsidR="004D6A64" w:rsidRDefault="004D6A64">
            <w:pPr>
              <w:rPr>
                <w:rFonts w:ascii="宋体"/>
                <w:vanish/>
              </w:rPr>
            </w:pPr>
          </w:p>
        </w:tc>
        <w:tc>
          <w:tcPr>
            <w:tcW w:w="0" w:type="auto"/>
            <w:gridSpan w:val="3"/>
            <w:shd w:val="clear" w:color="auto" w:fill="auto"/>
          </w:tcPr>
          <w:p w14:paraId="33DAC34E" w14:textId="77777777" w:rsidR="004D6A64" w:rsidRDefault="004D6A64">
            <w:pPr>
              <w:rPr>
                <w:rFonts w:ascii="宋体"/>
                <w:vanish/>
              </w:rPr>
            </w:pPr>
          </w:p>
        </w:tc>
        <w:tc>
          <w:tcPr>
            <w:tcW w:w="0" w:type="auto"/>
            <w:gridSpan w:val="3"/>
            <w:shd w:val="clear" w:color="auto" w:fill="auto"/>
          </w:tcPr>
          <w:p w14:paraId="33DAC34F" w14:textId="77777777" w:rsidR="004D6A64" w:rsidRDefault="004D6A64">
            <w:pPr>
              <w:rPr>
                <w:rFonts w:ascii="宋体"/>
                <w:vanish/>
              </w:rPr>
            </w:pPr>
          </w:p>
        </w:tc>
        <w:tc>
          <w:tcPr>
            <w:tcW w:w="0" w:type="auto"/>
            <w:gridSpan w:val="2"/>
            <w:shd w:val="clear" w:color="auto" w:fill="auto"/>
          </w:tcPr>
          <w:p w14:paraId="33DAC350" w14:textId="77777777" w:rsidR="004D6A64" w:rsidRDefault="004D6A64">
            <w:pPr>
              <w:rPr>
                <w:rFonts w:ascii="宋体"/>
                <w:vanish/>
              </w:rPr>
            </w:pPr>
          </w:p>
        </w:tc>
        <w:tc>
          <w:tcPr>
            <w:tcW w:w="0" w:type="auto"/>
            <w:shd w:val="clear" w:color="auto" w:fill="auto"/>
          </w:tcPr>
          <w:p w14:paraId="33DAC351" w14:textId="77777777" w:rsidR="004D6A64" w:rsidRDefault="004D6A64">
            <w:pPr>
              <w:rPr>
                <w:rFonts w:ascii="宋体"/>
                <w:vanish/>
              </w:rPr>
            </w:pPr>
          </w:p>
        </w:tc>
      </w:tr>
      <w:tr w:rsidR="004D6A64" w14:paraId="33DAC37A" w14:textId="77777777">
        <w:trPr>
          <w:jc w:val="center"/>
        </w:trPr>
        <w:tc>
          <w:tcPr>
            <w:tcW w:w="0" w:type="auto"/>
            <w:gridSpan w:val="3"/>
            <w:shd w:val="clear" w:color="auto" w:fill="CCEEFF"/>
            <w:tcMar>
              <w:top w:w="40" w:type="dxa"/>
              <w:left w:w="20" w:type="dxa"/>
              <w:bottom w:w="40" w:type="dxa"/>
              <w:right w:w="20" w:type="dxa"/>
            </w:tcMar>
            <w:vAlign w:val="bottom"/>
          </w:tcPr>
          <w:p w14:paraId="33DAC353" w14:textId="77777777" w:rsidR="004D6A64" w:rsidRDefault="00506CD6">
            <w:pPr>
              <w:textAlignment w:val="bottom"/>
            </w:pPr>
            <w:r>
              <w:rPr>
                <w:rFonts w:ascii="Times New Roman" w:eastAsia="宋体" w:hAnsi="Times New Roman"/>
                <w:i/>
                <w:iCs/>
                <w:color w:val="000000"/>
                <w:sz w:val="20"/>
                <w:szCs w:val="20"/>
              </w:rPr>
              <w:t>Derivative instruments:</w:t>
            </w:r>
          </w:p>
        </w:tc>
        <w:tc>
          <w:tcPr>
            <w:tcW w:w="0" w:type="auto"/>
            <w:gridSpan w:val="3"/>
            <w:shd w:val="clear" w:color="auto" w:fill="CCEEFF"/>
            <w:tcMar>
              <w:left w:w="20" w:type="dxa"/>
              <w:right w:w="20" w:type="dxa"/>
            </w:tcMar>
            <w:vAlign w:val="bottom"/>
          </w:tcPr>
          <w:p w14:paraId="33DAC354"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35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356"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357"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358"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359"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35A"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35B"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35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35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35E" w14:textId="77777777" w:rsidR="004D6A64" w:rsidRDefault="004D6A64">
            <w:pPr>
              <w:rPr>
                <w:rFonts w:ascii="宋体"/>
              </w:rPr>
            </w:pPr>
          </w:p>
        </w:tc>
        <w:tc>
          <w:tcPr>
            <w:tcW w:w="0" w:type="auto"/>
            <w:shd w:val="clear" w:color="auto" w:fill="auto"/>
          </w:tcPr>
          <w:p w14:paraId="33DAC35F" w14:textId="77777777" w:rsidR="004D6A64" w:rsidRDefault="004D6A64">
            <w:pPr>
              <w:rPr>
                <w:rFonts w:ascii="宋体"/>
              </w:rPr>
            </w:pPr>
          </w:p>
        </w:tc>
        <w:tc>
          <w:tcPr>
            <w:tcW w:w="0" w:type="auto"/>
            <w:shd w:val="clear" w:color="auto" w:fill="auto"/>
          </w:tcPr>
          <w:p w14:paraId="33DAC360" w14:textId="77777777" w:rsidR="004D6A64" w:rsidRDefault="004D6A64">
            <w:pPr>
              <w:rPr>
                <w:rFonts w:ascii="宋体"/>
              </w:rPr>
            </w:pPr>
          </w:p>
        </w:tc>
        <w:tc>
          <w:tcPr>
            <w:tcW w:w="0" w:type="auto"/>
            <w:shd w:val="clear" w:color="auto" w:fill="auto"/>
          </w:tcPr>
          <w:p w14:paraId="33DAC361" w14:textId="77777777" w:rsidR="004D6A64" w:rsidRDefault="004D6A64">
            <w:pPr>
              <w:rPr>
                <w:rFonts w:ascii="宋体"/>
              </w:rPr>
            </w:pPr>
          </w:p>
        </w:tc>
        <w:tc>
          <w:tcPr>
            <w:tcW w:w="0" w:type="auto"/>
            <w:shd w:val="clear" w:color="auto" w:fill="auto"/>
          </w:tcPr>
          <w:p w14:paraId="33DAC362" w14:textId="77777777" w:rsidR="004D6A64" w:rsidRDefault="004D6A64">
            <w:pPr>
              <w:rPr>
                <w:rFonts w:ascii="宋体"/>
              </w:rPr>
            </w:pPr>
          </w:p>
        </w:tc>
        <w:tc>
          <w:tcPr>
            <w:tcW w:w="0" w:type="auto"/>
            <w:shd w:val="clear" w:color="auto" w:fill="auto"/>
          </w:tcPr>
          <w:p w14:paraId="33DAC363" w14:textId="77777777" w:rsidR="004D6A64" w:rsidRDefault="004D6A64">
            <w:pPr>
              <w:rPr>
                <w:rFonts w:ascii="宋体"/>
              </w:rPr>
            </w:pPr>
          </w:p>
        </w:tc>
        <w:tc>
          <w:tcPr>
            <w:tcW w:w="0" w:type="auto"/>
            <w:shd w:val="clear" w:color="auto" w:fill="auto"/>
          </w:tcPr>
          <w:p w14:paraId="33DAC364" w14:textId="77777777" w:rsidR="004D6A64" w:rsidRDefault="004D6A64">
            <w:pPr>
              <w:rPr>
                <w:rFonts w:ascii="宋体"/>
              </w:rPr>
            </w:pPr>
          </w:p>
        </w:tc>
        <w:tc>
          <w:tcPr>
            <w:tcW w:w="0" w:type="auto"/>
            <w:shd w:val="clear" w:color="auto" w:fill="auto"/>
          </w:tcPr>
          <w:p w14:paraId="33DAC365" w14:textId="77777777" w:rsidR="004D6A64" w:rsidRDefault="004D6A64">
            <w:pPr>
              <w:rPr>
                <w:rFonts w:ascii="宋体"/>
              </w:rPr>
            </w:pPr>
          </w:p>
        </w:tc>
        <w:tc>
          <w:tcPr>
            <w:tcW w:w="0" w:type="auto"/>
            <w:shd w:val="clear" w:color="auto" w:fill="auto"/>
          </w:tcPr>
          <w:p w14:paraId="33DAC366" w14:textId="77777777" w:rsidR="004D6A64" w:rsidRDefault="004D6A64">
            <w:pPr>
              <w:rPr>
                <w:rFonts w:ascii="宋体"/>
              </w:rPr>
            </w:pPr>
          </w:p>
        </w:tc>
        <w:tc>
          <w:tcPr>
            <w:tcW w:w="0" w:type="auto"/>
            <w:shd w:val="clear" w:color="auto" w:fill="auto"/>
          </w:tcPr>
          <w:p w14:paraId="33DAC367" w14:textId="77777777" w:rsidR="004D6A64" w:rsidRDefault="004D6A64">
            <w:pPr>
              <w:rPr>
                <w:rFonts w:ascii="宋体"/>
              </w:rPr>
            </w:pPr>
          </w:p>
        </w:tc>
        <w:tc>
          <w:tcPr>
            <w:tcW w:w="0" w:type="auto"/>
            <w:shd w:val="clear" w:color="auto" w:fill="auto"/>
          </w:tcPr>
          <w:p w14:paraId="33DAC368" w14:textId="77777777" w:rsidR="004D6A64" w:rsidRDefault="004D6A64">
            <w:pPr>
              <w:rPr>
                <w:rFonts w:ascii="宋体"/>
              </w:rPr>
            </w:pPr>
          </w:p>
        </w:tc>
        <w:tc>
          <w:tcPr>
            <w:tcW w:w="0" w:type="auto"/>
            <w:shd w:val="clear" w:color="auto" w:fill="auto"/>
          </w:tcPr>
          <w:p w14:paraId="33DAC369" w14:textId="77777777" w:rsidR="004D6A64" w:rsidRDefault="004D6A64">
            <w:pPr>
              <w:rPr>
                <w:rFonts w:ascii="宋体"/>
              </w:rPr>
            </w:pPr>
          </w:p>
        </w:tc>
        <w:tc>
          <w:tcPr>
            <w:tcW w:w="0" w:type="auto"/>
            <w:shd w:val="clear" w:color="auto" w:fill="auto"/>
          </w:tcPr>
          <w:p w14:paraId="33DAC36A" w14:textId="77777777" w:rsidR="004D6A64" w:rsidRDefault="004D6A64">
            <w:pPr>
              <w:rPr>
                <w:rFonts w:ascii="宋体"/>
              </w:rPr>
            </w:pPr>
          </w:p>
        </w:tc>
        <w:tc>
          <w:tcPr>
            <w:tcW w:w="0" w:type="auto"/>
            <w:shd w:val="clear" w:color="auto" w:fill="auto"/>
          </w:tcPr>
          <w:p w14:paraId="33DAC36B" w14:textId="77777777" w:rsidR="004D6A64" w:rsidRDefault="004D6A64">
            <w:pPr>
              <w:rPr>
                <w:rFonts w:ascii="宋体"/>
              </w:rPr>
            </w:pPr>
          </w:p>
        </w:tc>
        <w:tc>
          <w:tcPr>
            <w:tcW w:w="0" w:type="auto"/>
            <w:shd w:val="clear" w:color="auto" w:fill="auto"/>
          </w:tcPr>
          <w:p w14:paraId="33DAC36C" w14:textId="77777777" w:rsidR="004D6A64" w:rsidRDefault="004D6A64">
            <w:pPr>
              <w:rPr>
                <w:rFonts w:ascii="宋体"/>
              </w:rPr>
            </w:pPr>
          </w:p>
        </w:tc>
        <w:tc>
          <w:tcPr>
            <w:tcW w:w="0" w:type="auto"/>
            <w:shd w:val="clear" w:color="auto" w:fill="auto"/>
          </w:tcPr>
          <w:p w14:paraId="33DAC36D" w14:textId="77777777" w:rsidR="004D6A64" w:rsidRDefault="004D6A64">
            <w:pPr>
              <w:rPr>
                <w:rFonts w:ascii="宋体"/>
              </w:rPr>
            </w:pPr>
          </w:p>
        </w:tc>
        <w:tc>
          <w:tcPr>
            <w:tcW w:w="0" w:type="auto"/>
            <w:shd w:val="clear" w:color="auto" w:fill="auto"/>
          </w:tcPr>
          <w:p w14:paraId="33DAC36E" w14:textId="77777777" w:rsidR="004D6A64" w:rsidRDefault="004D6A64">
            <w:pPr>
              <w:rPr>
                <w:rFonts w:ascii="宋体"/>
              </w:rPr>
            </w:pPr>
          </w:p>
        </w:tc>
        <w:tc>
          <w:tcPr>
            <w:tcW w:w="0" w:type="auto"/>
            <w:shd w:val="clear" w:color="auto" w:fill="auto"/>
          </w:tcPr>
          <w:p w14:paraId="33DAC36F" w14:textId="77777777" w:rsidR="004D6A64" w:rsidRDefault="004D6A64">
            <w:pPr>
              <w:rPr>
                <w:rFonts w:ascii="宋体"/>
              </w:rPr>
            </w:pPr>
          </w:p>
        </w:tc>
        <w:tc>
          <w:tcPr>
            <w:tcW w:w="0" w:type="auto"/>
            <w:shd w:val="clear" w:color="auto" w:fill="auto"/>
          </w:tcPr>
          <w:p w14:paraId="33DAC370" w14:textId="77777777" w:rsidR="004D6A64" w:rsidRDefault="004D6A64">
            <w:pPr>
              <w:rPr>
                <w:rFonts w:ascii="宋体"/>
              </w:rPr>
            </w:pPr>
          </w:p>
        </w:tc>
        <w:tc>
          <w:tcPr>
            <w:tcW w:w="0" w:type="auto"/>
            <w:shd w:val="clear" w:color="auto" w:fill="auto"/>
          </w:tcPr>
          <w:p w14:paraId="33DAC371" w14:textId="77777777" w:rsidR="004D6A64" w:rsidRDefault="004D6A64">
            <w:pPr>
              <w:rPr>
                <w:rFonts w:ascii="宋体"/>
              </w:rPr>
            </w:pPr>
          </w:p>
        </w:tc>
        <w:tc>
          <w:tcPr>
            <w:tcW w:w="0" w:type="auto"/>
            <w:shd w:val="clear" w:color="auto" w:fill="auto"/>
          </w:tcPr>
          <w:p w14:paraId="33DAC372" w14:textId="77777777" w:rsidR="004D6A64" w:rsidRDefault="004D6A64">
            <w:pPr>
              <w:rPr>
                <w:rFonts w:ascii="宋体"/>
              </w:rPr>
            </w:pPr>
          </w:p>
        </w:tc>
        <w:tc>
          <w:tcPr>
            <w:tcW w:w="0" w:type="auto"/>
            <w:shd w:val="clear" w:color="auto" w:fill="auto"/>
          </w:tcPr>
          <w:p w14:paraId="33DAC373" w14:textId="77777777" w:rsidR="004D6A64" w:rsidRDefault="004D6A64">
            <w:pPr>
              <w:rPr>
                <w:rFonts w:ascii="宋体"/>
              </w:rPr>
            </w:pPr>
          </w:p>
        </w:tc>
        <w:tc>
          <w:tcPr>
            <w:tcW w:w="0" w:type="auto"/>
            <w:shd w:val="clear" w:color="auto" w:fill="auto"/>
          </w:tcPr>
          <w:p w14:paraId="33DAC374" w14:textId="77777777" w:rsidR="004D6A64" w:rsidRDefault="004D6A64">
            <w:pPr>
              <w:rPr>
                <w:rFonts w:ascii="宋体"/>
              </w:rPr>
            </w:pPr>
          </w:p>
        </w:tc>
        <w:tc>
          <w:tcPr>
            <w:tcW w:w="0" w:type="auto"/>
            <w:shd w:val="clear" w:color="auto" w:fill="auto"/>
          </w:tcPr>
          <w:p w14:paraId="33DAC375" w14:textId="77777777" w:rsidR="004D6A64" w:rsidRDefault="004D6A64">
            <w:pPr>
              <w:rPr>
                <w:rFonts w:ascii="宋体"/>
              </w:rPr>
            </w:pPr>
          </w:p>
        </w:tc>
        <w:tc>
          <w:tcPr>
            <w:tcW w:w="0" w:type="auto"/>
            <w:shd w:val="clear" w:color="auto" w:fill="auto"/>
          </w:tcPr>
          <w:p w14:paraId="33DAC376" w14:textId="77777777" w:rsidR="004D6A64" w:rsidRDefault="004D6A64">
            <w:pPr>
              <w:rPr>
                <w:rFonts w:ascii="宋体"/>
              </w:rPr>
            </w:pPr>
          </w:p>
        </w:tc>
        <w:tc>
          <w:tcPr>
            <w:tcW w:w="0" w:type="auto"/>
            <w:shd w:val="clear" w:color="auto" w:fill="auto"/>
          </w:tcPr>
          <w:p w14:paraId="33DAC377" w14:textId="77777777" w:rsidR="004D6A64" w:rsidRDefault="004D6A64">
            <w:pPr>
              <w:rPr>
                <w:rFonts w:ascii="宋体"/>
              </w:rPr>
            </w:pPr>
          </w:p>
        </w:tc>
        <w:tc>
          <w:tcPr>
            <w:tcW w:w="0" w:type="auto"/>
            <w:shd w:val="clear" w:color="auto" w:fill="auto"/>
          </w:tcPr>
          <w:p w14:paraId="33DAC378" w14:textId="77777777" w:rsidR="004D6A64" w:rsidRDefault="004D6A64">
            <w:pPr>
              <w:rPr>
                <w:rFonts w:ascii="宋体"/>
              </w:rPr>
            </w:pPr>
          </w:p>
        </w:tc>
        <w:tc>
          <w:tcPr>
            <w:tcW w:w="0" w:type="auto"/>
            <w:shd w:val="clear" w:color="auto" w:fill="auto"/>
          </w:tcPr>
          <w:p w14:paraId="33DAC379" w14:textId="77777777" w:rsidR="004D6A64" w:rsidRDefault="004D6A64">
            <w:pPr>
              <w:rPr>
                <w:rFonts w:ascii="宋体"/>
              </w:rPr>
            </w:pPr>
          </w:p>
        </w:tc>
      </w:tr>
      <w:tr w:rsidR="004D6A64" w14:paraId="33DAC3AE" w14:textId="77777777">
        <w:trPr>
          <w:jc w:val="center"/>
        </w:trPr>
        <w:tc>
          <w:tcPr>
            <w:tcW w:w="0" w:type="auto"/>
            <w:gridSpan w:val="3"/>
            <w:shd w:val="clear" w:color="auto" w:fill="FFFFFF"/>
            <w:tcMar>
              <w:top w:w="40" w:type="dxa"/>
              <w:left w:w="20" w:type="dxa"/>
              <w:bottom w:w="40" w:type="dxa"/>
              <w:right w:w="20" w:type="dxa"/>
            </w:tcMar>
            <w:vAlign w:val="bottom"/>
          </w:tcPr>
          <w:p w14:paraId="33DAC37B" w14:textId="77777777" w:rsidR="004D6A64" w:rsidRDefault="00506CD6">
            <w:pPr>
              <w:textAlignment w:val="bottom"/>
            </w:pPr>
            <w:r>
              <w:rPr>
                <w:rFonts w:ascii="Times New Roman" w:eastAsia="宋体" w:hAnsi="Times New Roman"/>
                <w:color w:val="000000"/>
                <w:sz w:val="20"/>
                <w:szCs w:val="20"/>
              </w:rPr>
              <w:t>Financial assets</w:t>
            </w:r>
          </w:p>
        </w:tc>
        <w:tc>
          <w:tcPr>
            <w:tcW w:w="0" w:type="auto"/>
            <w:shd w:val="clear" w:color="auto" w:fill="FFFFFF"/>
            <w:tcMar>
              <w:top w:w="40" w:type="dxa"/>
              <w:left w:w="20" w:type="dxa"/>
              <w:bottom w:w="40" w:type="dxa"/>
            </w:tcMar>
            <w:vAlign w:val="bottom"/>
          </w:tcPr>
          <w:p w14:paraId="33DAC37C"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C37D" w14:textId="77777777" w:rsidR="004D6A64" w:rsidRDefault="00506CD6">
            <w:pPr>
              <w:jc w:val="right"/>
              <w:textAlignment w:val="bottom"/>
            </w:pPr>
            <w:r>
              <w:rPr>
                <w:rFonts w:ascii="Times New Roman" w:eastAsia="宋体" w:hAnsi="Times New Roman"/>
                <w:color w:val="000000"/>
                <w:sz w:val="20"/>
                <w:szCs w:val="20"/>
              </w:rPr>
              <w:t>299 </w:t>
            </w:r>
          </w:p>
        </w:tc>
        <w:tc>
          <w:tcPr>
            <w:tcW w:w="0" w:type="auto"/>
            <w:shd w:val="clear" w:color="auto" w:fill="FFFFFF"/>
            <w:tcMar>
              <w:top w:w="40" w:type="dxa"/>
              <w:bottom w:w="40" w:type="dxa"/>
              <w:right w:w="20" w:type="dxa"/>
            </w:tcMar>
            <w:vAlign w:val="bottom"/>
          </w:tcPr>
          <w:p w14:paraId="33DAC37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37F"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C380"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C381" w14:textId="77777777" w:rsidR="004D6A64" w:rsidRDefault="00506CD6">
            <w:pPr>
              <w:jc w:val="right"/>
              <w:textAlignment w:val="bottom"/>
            </w:pPr>
            <w:r>
              <w:rPr>
                <w:rFonts w:ascii="Times New Roman" w:eastAsia="宋体" w:hAnsi="Times New Roman"/>
                <w:color w:val="000000"/>
                <w:sz w:val="20"/>
                <w:szCs w:val="20"/>
              </w:rPr>
              <w:t>(218)</w:t>
            </w:r>
          </w:p>
        </w:tc>
        <w:tc>
          <w:tcPr>
            <w:tcW w:w="0" w:type="auto"/>
            <w:shd w:val="clear" w:color="auto" w:fill="FFFFFF"/>
            <w:tcMar>
              <w:top w:w="40" w:type="dxa"/>
              <w:bottom w:w="40" w:type="dxa"/>
              <w:right w:w="20" w:type="dxa"/>
            </w:tcMar>
            <w:vAlign w:val="bottom"/>
          </w:tcPr>
          <w:p w14:paraId="33DAC38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383"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C384"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C385" w14:textId="77777777" w:rsidR="004D6A64" w:rsidRDefault="00506CD6">
            <w:pPr>
              <w:jc w:val="right"/>
              <w:textAlignment w:val="bottom"/>
            </w:pPr>
            <w:r>
              <w:rPr>
                <w:rFonts w:ascii="Times New Roman" w:eastAsia="宋体" w:hAnsi="Times New Roman"/>
                <w:color w:val="000000"/>
                <w:sz w:val="20"/>
                <w:szCs w:val="20"/>
              </w:rPr>
              <w:t>81 </w:t>
            </w:r>
          </w:p>
        </w:tc>
        <w:tc>
          <w:tcPr>
            <w:tcW w:w="0" w:type="auto"/>
            <w:shd w:val="clear" w:color="auto" w:fill="FFFFFF"/>
            <w:tcMar>
              <w:top w:w="40" w:type="dxa"/>
              <w:bottom w:w="40" w:type="dxa"/>
              <w:right w:w="20" w:type="dxa"/>
            </w:tcMar>
            <w:vAlign w:val="bottom"/>
          </w:tcPr>
          <w:p w14:paraId="33DAC38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387"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C388"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C389"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C38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38B"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C38C"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C38D"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C38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38F"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C390"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C391" w14:textId="77777777" w:rsidR="004D6A64" w:rsidRDefault="00506CD6">
            <w:pPr>
              <w:jc w:val="right"/>
              <w:textAlignment w:val="bottom"/>
            </w:pPr>
            <w:r>
              <w:rPr>
                <w:rFonts w:ascii="Times New Roman" w:eastAsia="宋体" w:hAnsi="Times New Roman"/>
                <w:color w:val="000000"/>
                <w:sz w:val="20"/>
                <w:szCs w:val="20"/>
              </w:rPr>
              <w:t>81 </w:t>
            </w:r>
          </w:p>
        </w:tc>
        <w:tc>
          <w:tcPr>
            <w:tcW w:w="0" w:type="auto"/>
            <w:shd w:val="clear" w:color="auto" w:fill="FFFFFF"/>
            <w:tcMar>
              <w:top w:w="40" w:type="dxa"/>
              <w:bottom w:w="40" w:type="dxa"/>
              <w:right w:w="20" w:type="dxa"/>
            </w:tcMar>
            <w:vAlign w:val="bottom"/>
          </w:tcPr>
          <w:p w14:paraId="33DAC392" w14:textId="77777777" w:rsidR="004D6A64" w:rsidRDefault="004D6A64">
            <w:pPr>
              <w:jc w:val="right"/>
              <w:rPr>
                <w:rFonts w:ascii="宋体"/>
              </w:rPr>
            </w:pPr>
          </w:p>
        </w:tc>
        <w:tc>
          <w:tcPr>
            <w:tcW w:w="0" w:type="auto"/>
            <w:shd w:val="clear" w:color="auto" w:fill="auto"/>
          </w:tcPr>
          <w:p w14:paraId="33DAC393" w14:textId="77777777" w:rsidR="004D6A64" w:rsidRDefault="004D6A64">
            <w:pPr>
              <w:rPr>
                <w:rFonts w:ascii="宋体"/>
              </w:rPr>
            </w:pPr>
          </w:p>
        </w:tc>
        <w:tc>
          <w:tcPr>
            <w:tcW w:w="0" w:type="auto"/>
            <w:shd w:val="clear" w:color="auto" w:fill="auto"/>
          </w:tcPr>
          <w:p w14:paraId="33DAC394" w14:textId="77777777" w:rsidR="004D6A64" w:rsidRDefault="004D6A64">
            <w:pPr>
              <w:rPr>
                <w:rFonts w:ascii="宋体"/>
              </w:rPr>
            </w:pPr>
          </w:p>
        </w:tc>
        <w:tc>
          <w:tcPr>
            <w:tcW w:w="0" w:type="auto"/>
            <w:shd w:val="clear" w:color="auto" w:fill="auto"/>
          </w:tcPr>
          <w:p w14:paraId="33DAC395" w14:textId="77777777" w:rsidR="004D6A64" w:rsidRDefault="004D6A64">
            <w:pPr>
              <w:rPr>
                <w:rFonts w:ascii="宋体"/>
              </w:rPr>
            </w:pPr>
          </w:p>
        </w:tc>
        <w:tc>
          <w:tcPr>
            <w:tcW w:w="0" w:type="auto"/>
            <w:shd w:val="clear" w:color="auto" w:fill="auto"/>
          </w:tcPr>
          <w:p w14:paraId="33DAC396" w14:textId="77777777" w:rsidR="004D6A64" w:rsidRDefault="004D6A64">
            <w:pPr>
              <w:rPr>
                <w:rFonts w:ascii="宋体"/>
              </w:rPr>
            </w:pPr>
          </w:p>
        </w:tc>
        <w:tc>
          <w:tcPr>
            <w:tcW w:w="0" w:type="auto"/>
            <w:shd w:val="clear" w:color="auto" w:fill="auto"/>
          </w:tcPr>
          <w:p w14:paraId="33DAC397" w14:textId="77777777" w:rsidR="004D6A64" w:rsidRDefault="004D6A64">
            <w:pPr>
              <w:rPr>
                <w:rFonts w:ascii="宋体"/>
              </w:rPr>
            </w:pPr>
          </w:p>
        </w:tc>
        <w:tc>
          <w:tcPr>
            <w:tcW w:w="0" w:type="auto"/>
            <w:shd w:val="clear" w:color="auto" w:fill="auto"/>
          </w:tcPr>
          <w:p w14:paraId="33DAC398" w14:textId="77777777" w:rsidR="004D6A64" w:rsidRDefault="004D6A64">
            <w:pPr>
              <w:rPr>
                <w:rFonts w:ascii="宋体"/>
              </w:rPr>
            </w:pPr>
          </w:p>
        </w:tc>
        <w:tc>
          <w:tcPr>
            <w:tcW w:w="0" w:type="auto"/>
            <w:shd w:val="clear" w:color="auto" w:fill="auto"/>
          </w:tcPr>
          <w:p w14:paraId="33DAC399" w14:textId="77777777" w:rsidR="004D6A64" w:rsidRDefault="004D6A64">
            <w:pPr>
              <w:rPr>
                <w:rFonts w:ascii="宋体"/>
              </w:rPr>
            </w:pPr>
          </w:p>
        </w:tc>
        <w:tc>
          <w:tcPr>
            <w:tcW w:w="0" w:type="auto"/>
            <w:shd w:val="clear" w:color="auto" w:fill="auto"/>
          </w:tcPr>
          <w:p w14:paraId="33DAC39A" w14:textId="77777777" w:rsidR="004D6A64" w:rsidRDefault="004D6A64">
            <w:pPr>
              <w:rPr>
                <w:rFonts w:ascii="宋体"/>
              </w:rPr>
            </w:pPr>
          </w:p>
        </w:tc>
        <w:tc>
          <w:tcPr>
            <w:tcW w:w="0" w:type="auto"/>
            <w:shd w:val="clear" w:color="auto" w:fill="auto"/>
          </w:tcPr>
          <w:p w14:paraId="33DAC39B" w14:textId="77777777" w:rsidR="004D6A64" w:rsidRDefault="004D6A64">
            <w:pPr>
              <w:rPr>
                <w:rFonts w:ascii="宋体"/>
              </w:rPr>
            </w:pPr>
          </w:p>
        </w:tc>
        <w:tc>
          <w:tcPr>
            <w:tcW w:w="0" w:type="auto"/>
            <w:shd w:val="clear" w:color="auto" w:fill="auto"/>
          </w:tcPr>
          <w:p w14:paraId="33DAC39C" w14:textId="77777777" w:rsidR="004D6A64" w:rsidRDefault="004D6A64">
            <w:pPr>
              <w:rPr>
                <w:rFonts w:ascii="宋体"/>
              </w:rPr>
            </w:pPr>
          </w:p>
        </w:tc>
        <w:tc>
          <w:tcPr>
            <w:tcW w:w="0" w:type="auto"/>
            <w:shd w:val="clear" w:color="auto" w:fill="auto"/>
          </w:tcPr>
          <w:p w14:paraId="33DAC39D" w14:textId="77777777" w:rsidR="004D6A64" w:rsidRDefault="004D6A64">
            <w:pPr>
              <w:rPr>
                <w:rFonts w:ascii="宋体"/>
              </w:rPr>
            </w:pPr>
          </w:p>
        </w:tc>
        <w:tc>
          <w:tcPr>
            <w:tcW w:w="0" w:type="auto"/>
            <w:shd w:val="clear" w:color="auto" w:fill="auto"/>
          </w:tcPr>
          <w:p w14:paraId="33DAC39E" w14:textId="77777777" w:rsidR="004D6A64" w:rsidRDefault="004D6A64">
            <w:pPr>
              <w:rPr>
                <w:rFonts w:ascii="宋体"/>
              </w:rPr>
            </w:pPr>
          </w:p>
        </w:tc>
        <w:tc>
          <w:tcPr>
            <w:tcW w:w="0" w:type="auto"/>
            <w:shd w:val="clear" w:color="auto" w:fill="auto"/>
          </w:tcPr>
          <w:p w14:paraId="33DAC39F" w14:textId="77777777" w:rsidR="004D6A64" w:rsidRDefault="004D6A64">
            <w:pPr>
              <w:rPr>
                <w:rFonts w:ascii="宋体"/>
              </w:rPr>
            </w:pPr>
          </w:p>
        </w:tc>
        <w:tc>
          <w:tcPr>
            <w:tcW w:w="0" w:type="auto"/>
            <w:shd w:val="clear" w:color="auto" w:fill="auto"/>
          </w:tcPr>
          <w:p w14:paraId="33DAC3A0" w14:textId="77777777" w:rsidR="004D6A64" w:rsidRDefault="004D6A64">
            <w:pPr>
              <w:rPr>
                <w:rFonts w:ascii="宋体"/>
              </w:rPr>
            </w:pPr>
          </w:p>
        </w:tc>
        <w:tc>
          <w:tcPr>
            <w:tcW w:w="0" w:type="auto"/>
            <w:shd w:val="clear" w:color="auto" w:fill="auto"/>
          </w:tcPr>
          <w:p w14:paraId="33DAC3A1" w14:textId="77777777" w:rsidR="004D6A64" w:rsidRDefault="004D6A64">
            <w:pPr>
              <w:rPr>
                <w:rFonts w:ascii="宋体"/>
              </w:rPr>
            </w:pPr>
          </w:p>
        </w:tc>
        <w:tc>
          <w:tcPr>
            <w:tcW w:w="0" w:type="auto"/>
            <w:shd w:val="clear" w:color="auto" w:fill="auto"/>
          </w:tcPr>
          <w:p w14:paraId="33DAC3A2" w14:textId="77777777" w:rsidR="004D6A64" w:rsidRDefault="004D6A64">
            <w:pPr>
              <w:rPr>
                <w:rFonts w:ascii="宋体"/>
              </w:rPr>
            </w:pPr>
          </w:p>
        </w:tc>
        <w:tc>
          <w:tcPr>
            <w:tcW w:w="0" w:type="auto"/>
            <w:shd w:val="clear" w:color="auto" w:fill="auto"/>
          </w:tcPr>
          <w:p w14:paraId="33DAC3A3" w14:textId="77777777" w:rsidR="004D6A64" w:rsidRDefault="004D6A64">
            <w:pPr>
              <w:rPr>
                <w:rFonts w:ascii="宋体"/>
              </w:rPr>
            </w:pPr>
          </w:p>
        </w:tc>
        <w:tc>
          <w:tcPr>
            <w:tcW w:w="0" w:type="auto"/>
            <w:shd w:val="clear" w:color="auto" w:fill="auto"/>
          </w:tcPr>
          <w:p w14:paraId="33DAC3A4" w14:textId="77777777" w:rsidR="004D6A64" w:rsidRDefault="004D6A64">
            <w:pPr>
              <w:rPr>
                <w:rFonts w:ascii="宋体"/>
              </w:rPr>
            </w:pPr>
          </w:p>
        </w:tc>
        <w:tc>
          <w:tcPr>
            <w:tcW w:w="0" w:type="auto"/>
            <w:shd w:val="clear" w:color="auto" w:fill="auto"/>
          </w:tcPr>
          <w:p w14:paraId="33DAC3A5" w14:textId="77777777" w:rsidR="004D6A64" w:rsidRDefault="004D6A64">
            <w:pPr>
              <w:rPr>
                <w:rFonts w:ascii="宋体"/>
              </w:rPr>
            </w:pPr>
          </w:p>
        </w:tc>
        <w:tc>
          <w:tcPr>
            <w:tcW w:w="0" w:type="auto"/>
            <w:shd w:val="clear" w:color="auto" w:fill="auto"/>
          </w:tcPr>
          <w:p w14:paraId="33DAC3A6" w14:textId="77777777" w:rsidR="004D6A64" w:rsidRDefault="004D6A64">
            <w:pPr>
              <w:rPr>
                <w:rFonts w:ascii="宋体"/>
              </w:rPr>
            </w:pPr>
          </w:p>
        </w:tc>
        <w:tc>
          <w:tcPr>
            <w:tcW w:w="0" w:type="auto"/>
            <w:shd w:val="clear" w:color="auto" w:fill="auto"/>
          </w:tcPr>
          <w:p w14:paraId="33DAC3A7" w14:textId="77777777" w:rsidR="004D6A64" w:rsidRDefault="004D6A64">
            <w:pPr>
              <w:rPr>
                <w:rFonts w:ascii="宋体"/>
              </w:rPr>
            </w:pPr>
          </w:p>
        </w:tc>
        <w:tc>
          <w:tcPr>
            <w:tcW w:w="0" w:type="auto"/>
            <w:shd w:val="clear" w:color="auto" w:fill="auto"/>
          </w:tcPr>
          <w:p w14:paraId="33DAC3A8" w14:textId="77777777" w:rsidR="004D6A64" w:rsidRDefault="004D6A64">
            <w:pPr>
              <w:rPr>
                <w:rFonts w:ascii="宋体"/>
              </w:rPr>
            </w:pPr>
          </w:p>
        </w:tc>
        <w:tc>
          <w:tcPr>
            <w:tcW w:w="0" w:type="auto"/>
            <w:shd w:val="clear" w:color="auto" w:fill="auto"/>
          </w:tcPr>
          <w:p w14:paraId="33DAC3A9" w14:textId="77777777" w:rsidR="004D6A64" w:rsidRDefault="004D6A64">
            <w:pPr>
              <w:rPr>
                <w:rFonts w:ascii="宋体"/>
              </w:rPr>
            </w:pPr>
          </w:p>
        </w:tc>
        <w:tc>
          <w:tcPr>
            <w:tcW w:w="0" w:type="auto"/>
            <w:shd w:val="clear" w:color="auto" w:fill="auto"/>
          </w:tcPr>
          <w:p w14:paraId="33DAC3AA" w14:textId="77777777" w:rsidR="004D6A64" w:rsidRDefault="004D6A64">
            <w:pPr>
              <w:rPr>
                <w:rFonts w:ascii="宋体"/>
              </w:rPr>
            </w:pPr>
          </w:p>
        </w:tc>
        <w:tc>
          <w:tcPr>
            <w:tcW w:w="0" w:type="auto"/>
            <w:shd w:val="clear" w:color="auto" w:fill="auto"/>
          </w:tcPr>
          <w:p w14:paraId="33DAC3AB" w14:textId="77777777" w:rsidR="004D6A64" w:rsidRDefault="004D6A64">
            <w:pPr>
              <w:rPr>
                <w:rFonts w:ascii="宋体"/>
              </w:rPr>
            </w:pPr>
          </w:p>
        </w:tc>
        <w:tc>
          <w:tcPr>
            <w:tcW w:w="0" w:type="auto"/>
            <w:shd w:val="clear" w:color="auto" w:fill="auto"/>
          </w:tcPr>
          <w:p w14:paraId="33DAC3AC" w14:textId="77777777" w:rsidR="004D6A64" w:rsidRDefault="004D6A64">
            <w:pPr>
              <w:rPr>
                <w:rFonts w:ascii="宋体"/>
              </w:rPr>
            </w:pPr>
          </w:p>
        </w:tc>
        <w:tc>
          <w:tcPr>
            <w:tcW w:w="0" w:type="auto"/>
            <w:shd w:val="clear" w:color="auto" w:fill="auto"/>
          </w:tcPr>
          <w:p w14:paraId="33DAC3AD" w14:textId="77777777" w:rsidR="004D6A64" w:rsidRDefault="004D6A64">
            <w:pPr>
              <w:rPr>
                <w:rFonts w:ascii="宋体"/>
              </w:rPr>
            </w:pPr>
          </w:p>
        </w:tc>
      </w:tr>
      <w:tr w:rsidR="004D6A64" w14:paraId="33DAC3DC" w14:textId="77777777">
        <w:trPr>
          <w:jc w:val="center"/>
        </w:trPr>
        <w:tc>
          <w:tcPr>
            <w:tcW w:w="0" w:type="auto"/>
            <w:gridSpan w:val="3"/>
            <w:shd w:val="clear" w:color="auto" w:fill="CCEEFF"/>
            <w:tcMar>
              <w:top w:w="40" w:type="dxa"/>
              <w:left w:w="20" w:type="dxa"/>
              <w:bottom w:w="40" w:type="dxa"/>
              <w:right w:w="20" w:type="dxa"/>
            </w:tcMar>
            <w:vAlign w:val="bottom"/>
          </w:tcPr>
          <w:p w14:paraId="33DAC3AF" w14:textId="77777777" w:rsidR="004D6A64" w:rsidRDefault="00506CD6">
            <w:pPr>
              <w:textAlignment w:val="bottom"/>
            </w:pPr>
            <w:r>
              <w:rPr>
                <w:rFonts w:ascii="Times New Roman" w:eastAsia="宋体" w:hAnsi="Times New Roman"/>
                <w:color w:val="000000"/>
                <w:sz w:val="20"/>
                <w:szCs w:val="20"/>
              </w:rPr>
              <w:t>Financial liabilities</w:t>
            </w:r>
          </w:p>
        </w:tc>
        <w:tc>
          <w:tcPr>
            <w:tcW w:w="0" w:type="auto"/>
            <w:gridSpan w:val="2"/>
            <w:shd w:val="clear" w:color="auto" w:fill="CCEEFF"/>
            <w:tcMar>
              <w:top w:w="40" w:type="dxa"/>
              <w:left w:w="20" w:type="dxa"/>
              <w:bottom w:w="40" w:type="dxa"/>
              <w:right w:w="0" w:type="dxa"/>
            </w:tcMar>
            <w:vAlign w:val="bottom"/>
          </w:tcPr>
          <w:p w14:paraId="33DAC3B0" w14:textId="77777777" w:rsidR="004D6A64" w:rsidRDefault="00506CD6">
            <w:pPr>
              <w:jc w:val="right"/>
              <w:textAlignment w:val="bottom"/>
            </w:pPr>
            <w:r>
              <w:rPr>
                <w:rFonts w:ascii="Times New Roman" w:eastAsia="宋体" w:hAnsi="Times New Roman"/>
                <w:color w:val="000000"/>
                <w:sz w:val="20"/>
                <w:szCs w:val="20"/>
              </w:rPr>
              <w:t>(286)</w:t>
            </w:r>
          </w:p>
        </w:tc>
        <w:tc>
          <w:tcPr>
            <w:tcW w:w="0" w:type="auto"/>
            <w:shd w:val="clear" w:color="auto" w:fill="CCEEFF"/>
            <w:tcMar>
              <w:top w:w="40" w:type="dxa"/>
              <w:bottom w:w="40" w:type="dxa"/>
              <w:right w:w="20" w:type="dxa"/>
            </w:tcMar>
            <w:vAlign w:val="bottom"/>
          </w:tcPr>
          <w:p w14:paraId="33DAC3B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3B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C3B3" w14:textId="77777777" w:rsidR="004D6A64" w:rsidRDefault="00506CD6">
            <w:pPr>
              <w:jc w:val="right"/>
              <w:textAlignment w:val="bottom"/>
            </w:pPr>
            <w:r>
              <w:rPr>
                <w:rFonts w:ascii="Times New Roman" w:eastAsia="宋体" w:hAnsi="Times New Roman"/>
                <w:color w:val="000000"/>
                <w:sz w:val="20"/>
                <w:szCs w:val="20"/>
              </w:rPr>
              <w:t>218 </w:t>
            </w:r>
          </w:p>
        </w:tc>
        <w:tc>
          <w:tcPr>
            <w:tcW w:w="0" w:type="auto"/>
            <w:shd w:val="clear" w:color="auto" w:fill="CCEEFF"/>
            <w:tcMar>
              <w:top w:w="40" w:type="dxa"/>
              <w:bottom w:w="40" w:type="dxa"/>
              <w:right w:w="20" w:type="dxa"/>
            </w:tcMar>
            <w:vAlign w:val="bottom"/>
          </w:tcPr>
          <w:p w14:paraId="33DAC3B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3B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C3B6" w14:textId="77777777" w:rsidR="004D6A64" w:rsidRDefault="00506CD6">
            <w:pPr>
              <w:jc w:val="right"/>
              <w:textAlignment w:val="bottom"/>
            </w:pPr>
            <w:r>
              <w:rPr>
                <w:rFonts w:ascii="Times New Roman" w:eastAsia="宋体" w:hAnsi="Times New Roman"/>
                <w:color w:val="000000"/>
                <w:sz w:val="20"/>
                <w:szCs w:val="20"/>
              </w:rPr>
              <w:t>(68)</w:t>
            </w:r>
          </w:p>
        </w:tc>
        <w:tc>
          <w:tcPr>
            <w:tcW w:w="0" w:type="auto"/>
            <w:shd w:val="clear" w:color="auto" w:fill="CCEEFF"/>
            <w:tcMar>
              <w:top w:w="40" w:type="dxa"/>
              <w:bottom w:w="40" w:type="dxa"/>
              <w:right w:w="20" w:type="dxa"/>
            </w:tcMar>
            <w:vAlign w:val="bottom"/>
          </w:tcPr>
          <w:p w14:paraId="33DAC3B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3B8"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C3B9"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C3B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3BB"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C3BC" w14:textId="77777777" w:rsidR="004D6A64" w:rsidRDefault="00506CD6">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bottom w:w="40" w:type="dxa"/>
              <w:right w:w="20" w:type="dxa"/>
            </w:tcMar>
            <w:vAlign w:val="bottom"/>
          </w:tcPr>
          <w:p w14:paraId="33DAC3B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3B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C3BF" w14:textId="77777777" w:rsidR="004D6A64" w:rsidRDefault="00506CD6">
            <w:pPr>
              <w:jc w:val="right"/>
              <w:textAlignment w:val="bottom"/>
            </w:pPr>
            <w:r>
              <w:rPr>
                <w:rFonts w:ascii="Times New Roman" w:eastAsia="宋体" w:hAnsi="Times New Roman"/>
                <w:color w:val="000000"/>
                <w:sz w:val="20"/>
                <w:szCs w:val="20"/>
              </w:rPr>
              <w:t>(53)</w:t>
            </w:r>
          </w:p>
        </w:tc>
        <w:tc>
          <w:tcPr>
            <w:tcW w:w="0" w:type="auto"/>
            <w:shd w:val="clear" w:color="auto" w:fill="CCEEFF"/>
            <w:tcMar>
              <w:top w:w="40" w:type="dxa"/>
              <w:bottom w:w="40" w:type="dxa"/>
              <w:right w:w="20" w:type="dxa"/>
            </w:tcMar>
            <w:vAlign w:val="bottom"/>
          </w:tcPr>
          <w:p w14:paraId="33DAC3C0" w14:textId="77777777" w:rsidR="004D6A64" w:rsidRDefault="004D6A64">
            <w:pPr>
              <w:jc w:val="right"/>
              <w:rPr>
                <w:rFonts w:ascii="宋体"/>
              </w:rPr>
            </w:pPr>
          </w:p>
        </w:tc>
        <w:tc>
          <w:tcPr>
            <w:tcW w:w="0" w:type="auto"/>
            <w:shd w:val="clear" w:color="auto" w:fill="auto"/>
          </w:tcPr>
          <w:p w14:paraId="33DAC3C1" w14:textId="77777777" w:rsidR="004D6A64" w:rsidRDefault="004D6A64">
            <w:pPr>
              <w:rPr>
                <w:rFonts w:ascii="宋体"/>
              </w:rPr>
            </w:pPr>
          </w:p>
        </w:tc>
        <w:tc>
          <w:tcPr>
            <w:tcW w:w="0" w:type="auto"/>
            <w:shd w:val="clear" w:color="auto" w:fill="auto"/>
          </w:tcPr>
          <w:p w14:paraId="33DAC3C2" w14:textId="77777777" w:rsidR="004D6A64" w:rsidRDefault="004D6A64">
            <w:pPr>
              <w:rPr>
                <w:rFonts w:ascii="宋体"/>
              </w:rPr>
            </w:pPr>
          </w:p>
        </w:tc>
        <w:tc>
          <w:tcPr>
            <w:tcW w:w="0" w:type="auto"/>
            <w:shd w:val="clear" w:color="auto" w:fill="auto"/>
          </w:tcPr>
          <w:p w14:paraId="33DAC3C3" w14:textId="77777777" w:rsidR="004D6A64" w:rsidRDefault="004D6A64">
            <w:pPr>
              <w:rPr>
                <w:rFonts w:ascii="宋体"/>
              </w:rPr>
            </w:pPr>
          </w:p>
        </w:tc>
        <w:tc>
          <w:tcPr>
            <w:tcW w:w="0" w:type="auto"/>
            <w:shd w:val="clear" w:color="auto" w:fill="auto"/>
          </w:tcPr>
          <w:p w14:paraId="33DAC3C4" w14:textId="77777777" w:rsidR="004D6A64" w:rsidRDefault="004D6A64">
            <w:pPr>
              <w:rPr>
                <w:rFonts w:ascii="宋体"/>
              </w:rPr>
            </w:pPr>
          </w:p>
        </w:tc>
        <w:tc>
          <w:tcPr>
            <w:tcW w:w="0" w:type="auto"/>
            <w:shd w:val="clear" w:color="auto" w:fill="auto"/>
          </w:tcPr>
          <w:p w14:paraId="33DAC3C5" w14:textId="77777777" w:rsidR="004D6A64" w:rsidRDefault="004D6A64">
            <w:pPr>
              <w:rPr>
                <w:rFonts w:ascii="宋体"/>
              </w:rPr>
            </w:pPr>
          </w:p>
        </w:tc>
        <w:tc>
          <w:tcPr>
            <w:tcW w:w="0" w:type="auto"/>
            <w:shd w:val="clear" w:color="auto" w:fill="auto"/>
          </w:tcPr>
          <w:p w14:paraId="33DAC3C6" w14:textId="77777777" w:rsidR="004D6A64" w:rsidRDefault="004D6A64">
            <w:pPr>
              <w:rPr>
                <w:rFonts w:ascii="宋体"/>
              </w:rPr>
            </w:pPr>
          </w:p>
        </w:tc>
        <w:tc>
          <w:tcPr>
            <w:tcW w:w="0" w:type="auto"/>
            <w:shd w:val="clear" w:color="auto" w:fill="auto"/>
          </w:tcPr>
          <w:p w14:paraId="33DAC3C7" w14:textId="77777777" w:rsidR="004D6A64" w:rsidRDefault="004D6A64">
            <w:pPr>
              <w:rPr>
                <w:rFonts w:ascii="宋体"/>
              </w:rPr>
            </w:pPr>
          </w:p>
        </w:tc>
        <w:tc>
          <w:tcPr>
            <w:tcW w:w="0" w:type="auto"/>
            <w:shd w:val="clear" w:color="auto" w:fill="auto"/>
          </w:tcPr>
          <w:p w14:paraId="33DAC3C8" w14:textId="77777777" w:rsidR="004D6A64" w:rsidRDefault="004D6A64">
            <w:pPr>
              <w:rPr>
                <w:rFonts w:ascii="宋体"/>
              </w:rPr>
            </w:pPr>
          </w:p>
        </w:tc>
        <w:tc>
          <w:tcPr>
            <w:tcW w:w="0" w:type="auto"/>
            <w:shd w:val="clear" w:color="auto" w:fill="auto"/>
          </w:tcPr>
          <w:p w14:paraId="33DAC3C9" w14:textId="77777777" w:rsidR="004D6A64" w:rsidRDefault="004D6A64">
            <w:pPr>
              <w:rPr>
                <w:rFonts w:ascii="宋体"/>
              </w:rPr>
            </w:pPr>
          </w:p>
        </w:tc>
        <w:tc>
          <w:tcPr>
            <w:tcW w:w="0" w:type="auto"/>
            <w:shd w:val="clear" w:color="auto" w:fill="auto"/>
          </w:tcPr>
          <w:p w14:paraId="33DAC3CA" w14:textId="77777777" w:rsidR="004D6A64" w:rsidRDefault="004D6A64">
            <w:pPr>
              <w:rPr>
                <w:rFonts w:ascii="宋体"/>
              </w:rPr>
            </w:pPr>
          </w:p>
        </w:tc>
        <w:tc>
          <w:tcPr>
            <w:tcW w:w="0" w:type="auto"/>
            <w:shd w:val="clear" w:color="auto" w:fill="auto"/>
          </w:tcPr>
          <w:p w14:paraId="33DAC3CB" w14:textId="77777777" w:rsidR="004D6A64" w:rsidRDefault="004D6A64">
            <w:pPr>
              <w:rPr>
                <w:rFonts w:ascii="宋体"/>
              </w:rPr>
            </w:pPr>
          </w:p>
        </w:tc>
        <w:tc>
          <w:tcPr>
            <w:tcW w:w="0" w:type="auto"/>
            <w:shd w:val="clear" w:color="auto" w:fill="auto"/>
          </w:tcPr>
          <w:p w14:paraId="33DAC3CC" w14:textId="77777777" w:rsidR="004D6A64" w:rsidRDefault="004D6A64">
            <w:pPr>
              <w:rPr>
                <w:rFonts w:ascii="宋体"/>
              </w:rPr>
            </w:pPr>
          </w:p>
        </w:tc>
        <w:tc>
          <w:tcPr>
            <w:tcW w:w="0" w:type="auto"/>
            <w:shd w:val="clear" w:color="auto" w:fill="auto"/>
          </w:tcPr>
          <w:p w14:paraId="33DAC3CD" w14:textId="77777777" w:rsidR="004D6A64" w:rsidRDefault="004D6A64">
            <w:pPr>
              <w:rPr>
                <w:rFonts w:ascii="宋体"/>
              </w:rPr>
            </w:pPr>
          </w:p>
        </w:tc>
        <w:tc>
          <w:tcPr>
            <w:tcW w:w="0" w:type="auto"/>
            <w:shd w:val="clear" w:color="auto" w:fill="auto"/>
          </w:tcPr>
          <w:p w14:paraId="33DAC3CE" w14:textId="77777777" w:rsidR="004D6A64" w:rsidRDefault="004D6A64">
            <w:pPr>
              <w:rPr>
                <w:rFonts w:ascii="宋体"/>
              </w:rPr>
            </w:pPr>
          </w:p>
        </w:tc>
        <w:tc>
          <w:tcPr>
            <w:tcW w:w="0" w:type="auto"/>
            <w:shd w:val="clear" w:color="auto" w:fill="auto"/>
          </w:tcPr>
          <w:p w14:paraId="33DAC3CF" w14:textId="77777777" w:rsidR="004D6A64" w:rsidRDefault="004D6A64">
            <w:pPr>
              <w:rPr>
                <w:rFonts w:ascii="宋体"/>
              </w:rPr>
            </w:pPr>
          </w:p>
        </w:tc>
        <w:tc>
          <w:tcPr>
            <w:tcW w:w="0" w:type="auto"/>
            <w:shd w:val="clear" w:color="auto" w:fill="auto"/>
          </w:tcPr>
          <w:p w14:paraId="33DAC3D0" w14:textId="77777777" w:rsidR="004D6A64" w:rsidRDefault="004D6A64">
            <w:pPr>
              <w:rPr>
                <w:rFonts w:ascii="宋体"/>
              </w:rPr>
            </w:pPr>
          </w:p>
        </w:tc>
        <w:tc>
          <w:tcPr>
            <w:tcW w:w="0" w:type="auto"/>
            <w:shd w:val="clear" w:color="auto" w:fill="auto"/>
          </w:tcPr>
          <w:p w14:paraId="33DAC3D1" w14:textId="77777777" w:rsidR="004D6A64" w:rsidRDefault="004D6A64">
            <w:pPr>
              <w:rPr>
                <w:rFonts w:ascii="宋体"/>
              </w:rPr>
            </w:pPr>
          </w:p>
        </w:tc>
        <w:tc>
          <w:tcPr>
            <w:tcW w:w="0" w:type="auto"/>
            <w:shd w:val="clear" w:color="auto" w:fill="auto"/>
          </w:tcPr>
          <w:p w14:paraId="33DAC3D2" w14:textId="77777777" w:rsidR="004D6A64" w:rsidRDefault="004D6A64">
            <w:pPr>
              <w:rPr>
                <w:rFonts w:ascii="宋体"/>
              </w:rPr>
            </w:pPr>
          </w:p>
        </w:tc>
        <w:tc>
          <w:tcPr>
            <w:tcW w:w="0" w:type="auto"/>
            <w:shd w:val="clear" w:color="auto" w:fill="auto"/>
          </w:tcPr>
          <w:p w14:paraId="33DAC3D3" w14:textId="77777777" w:rsidR="004D6A64" w:rsidRDefault="004D6A64">
            <w:pPr>
              <w:rPr>
                <w:rFonts w:ascii="宋体"/>
              </w:rPr>
            </w:pPr>
          </w:p>
        </w:tc>
        <w:tc>
          <w:tcPr>
            <w:tcW w:w="0" w:type="auto"/>
            <w:shd w:val="clear" w:color="auto" w:fill="auto"/>
          </w:tcPr>
          <w:p w14:paraId="33DAC3D4" w14:textId="77777777" w:rsidR="004D6A64" w:rsidRDefault="004D6A64">
            <w:pPr>
              <w:rPr>
                <w:rFonts w:ascii="宋体"/>
              </w:rPr>
            </w:pPr>
          </w:p>
        </w:tc>
        <w:tc>
          <w:tcPr>
            <w:tcW w:w="0" w:type="auto"/>
            <w:shd w:val="clear" w:color="auto" w:fill="auto"/>
          </w:tcPr>
          <w:p w14:paraId="33DAC3D5" w14:textId="77777777" w:rsidR="004D6A64" w:rsidRDefault="004D6A64">
            <w:pPr>
              <w:rPr>
                <w:rFonts w:ascii="宋体"/>
              </w:rPr>
            </w:pPr>
          </w:p>
        </w:tc>
        <w:tc>
          <w:tcPr>
            <w:tcW w:w="0" w:type="auto"/>
            <w:shd w:val="clear" w:color="auto" w:fill="auto"/>
          </w:tcPr>
          <w:p w14:paraId="33DAC3D6" w14:textId="77777777" w:rsidR="004D6A64" w:rsidRDefault="004D6A64">
            <w:pPr>
              <w:rPr>
                <w:rFonts w:ascii="宋体"/>
              </w:rPr>
            </w:pPr>
          </w:p>
        </w:tc>
        <w:tc>
          <w:tcPr>
            <w:tcW w:w="0" w:type="auto"/>
            <w:shd w:val="clear" w:color="auto" w:fill="auto"/>
          </w:tcPr>
          <w:p w14:paraId="33DAC3D7" w14:textId="77777777" w:rsidR="004D6A64" w:rsidRDefault="004D6A64">
            <w:pPr>
              <w:rPr>
                <w:rFonts w:ascii="宋体"/>
              </w:rPr>
            </w:pPr>
          </w:p>
        </w:tc>
        <w:tc>
          <w:tcPr>
            <w:tcW w:w="0" w:type="auto"/>
            <w:shd w:val="clear" w:color="auto" w:fill="auto"/>
          </w:tcPr>
          <w:p w14:paraId="33DAC3D8" w14:textId="77777777" w:rsidR="004D6A64" w:rsidRDefault="004D6A64">
            <w:pPr>
              <w:rPr>
                <w:rFonts w:ascii="宋体"/>
              </w:rPr>
            </w:pPr>
          </w:p>
        </w:tc>
        <w:tc>
          <w:tcPr>
            <w:tcW w:w="0" w:type="auto"/>
            <w:shd w:val="clear" w:color="auto" w:fill="auto"/>
          </w:tcPr>
          <w:p w14:paraId="33DAC3D9" w14:textId="77777777" w:rsidR="004D6A64" w:rsidRDefault="004D6A64">
            <w:pPr>
              <w:rPr>
                <w:rFonts w:ascii="宋体"/>
              </w:rPr>
            </w:pPr>
          </w:p>
        </w:tc>
        <w:tc>
          <w:tcPr>
            <w:tcW w:w="0" w:type="auto"/>
            <w:shd w:val="clear" w:color="auto" w:fill="auto"/>
          </w:tcPr>
          <w:p w14:paraId="33DAC3DA" w14:textId="77777777" w:rsidR="004D6A64" w:rsidRDefault="004D6A64">
            <w:pPr>
              <w:rPr>
                <w:rFonts w:ascii="宋体"/>
              </w:rPr>
            </w:pPr>
          </w:p>
        </w:tc>
        <w:tc>
          <w:tcPr>
            <w:tcW w:w="0" w:type="auto"/>
            <w:shd w:val="clear" w:color="auto" w:fill="auto"/>
          </w:tcPr>
          <w:p w14:paraId="33DAC3DB" w14:textId="77777777" w:rsidR="004D6A64" w:rsidRDefault="004D6A64">
            <w:pPr>
              <w:rPr>
                <w:rFonts w:ascii="宋体"/>
              </w:rPr>
            </w:pPr>
          </w:p>
        </w:tc>
      </w:tr>
      <w:tr w:rsidR="004D6A64" w14:paraId="33DAC410" w14:textId="77777777">
        <w:trPr>
          <w:jc w:val="center"/>
        </w:trPr>
        <w:tc>
          <w:tcPr>
            <w:tcW w:w="0" w:type="auto"/>
            <w:gridSpan w:val="3"/>
            <w:shd w:val="clear" w:color="auto" w:fill="FFFFFF"/>
            <w:tcMar>
              <w:top w:w="40" w:type="dxa"/>
              <w:left w:w="135" w:type="dxa"/>
              <w:bottom w:w="40" w:type="dxa"/>
              <w:right w:w="20" w:type="dxa"/>
            </w:tcMar>
            <w:vAlign w:val="bottom"/>
          </w:tcPr>
          <w:p w14:paraId="33DAC3DD" w14:textId="77777777" w:rsidR="004D6A64" w:rsidRDefault="00506CD6">
            <w:pPr>
              <w:textAlignment w:val="bottom"/>
            </w:pPr>
            <w:r>
              <w:rPr>
                <w:rFonts w:ascii="Times New Roman" w:eastAsia="宋体" w:hAnsi="Times New Roman"/>
                <w:color w:val="000000"/>
                <w:sz w:val="20"/>
                <w:szCs w:val="20"/>
              </w:rPr>
              <w:t>Total derivative instruments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C3DE"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C3DF" w14:textId="77777777" w:rsidR="004D6A64" w:rsidRDefault="00506CD6">
            <w:pPr>
              <w:jc w:val="right"/>
              <w:textAlignment w:val="bottom"/>
            </w:pPr>
            <w:r>
              <w:rPr>
                <w:rFonts w:ascii="Times New Roman" w:eastAsia="宋体" w:hAnsi="Times New Roman"/>
                <w:color w:val="000000"/>
                <w:sz w:val="20"/>
                <w:szCs w:val="20"/>
              </w:rPr>
              <w:t>13 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C3E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3E1"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C3E2"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C3E3" w14:textId="77777777" w:rsidR="004D6A64" w:rsidRDefault="00506CD6">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C3E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3E5"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C3E6"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C3E7" w14:textId="77777777" w:rsidR="004D6A64" w:rsidRDefault="00506CD6">
            <w:pPr>
              <w:jc w:val="right"/>
              <w:textAlignment w:val="bottom"/>
            </w:pPr>
            <w:r>
              <w:rPr>
                <w:rFonts w:ascii="Times New Roman" w:eastAsia="宋体" w:hAnsi="Times New Roman"/>
                <w:color w:val="000000"/>
                <w:sz w:val="20"/>
                <w:szCs w:val="20"/>
              </w:rPr>
              <w:t>13 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C3E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3E9"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C3EA"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C3EB" w14:textId="77777777" w:rsidR="004D6A64" w:rsidRDefault="00506CD6">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C3E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3ED"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C3EE"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C3EF" w14:textId="77777777" w:rsidR="004D6A64" w:rsidRDefault="00506CD6">
            <w:pPr>
              <w:jc w:val="right"/>
              <w:textAlignment w:val="bottom"/>
            </w:pPr>
            <w:r>
              <w:rPr>
                <w:rFonts w:ascii="Times New Roman" w:eastAsia="宋体" w:hAnsi="Times New Roman"/>
                <w:color w:val="000000"/>
                <w:sz w:val="20"/>
                <w:szCs w:val="20"/>
              </w:rPr>
              <w:t>15 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C3F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3F1"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C3F2"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C3F3" w14:textId="77777777" w:rsidR="004D6A64" w:rsidRDefault="00506CD6">
            <w:pPr>
              <w:jc w:val="right"/>
              <w:textAlignment w:val="bottom"/>
            </w:pPr>
            <w:r>
              <w:rPr>
                <w:rFonts w:ascii="Times New Roman" w:eastAsia="宋体" w:hAnsi="Times New Roman"/>
                <w:color w:val="000000"/>
                <w:sz w:val="20"/>
                <w:szCs w:val="20"/>
              </w:rPr>
              <w:t>28 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C3F4" w14:textId="77777777" w:rsidR="004D6A64" w:rsidRDefault="004D6A64">
            <w:pPr>
              <w:jc w:val="right"/>
              <w:rPr>
                <w:rFonts w:ascii="宋体"/>
              </w:rPr>
            </w:pPr>
          </w:p>
        </w:tc>
        <w:tc>
          <w:tcPr>
            <w:tcW w:w="0" w:type="auto"/>
            <w:shd w:val="clear" w:color="auto" w:fill="auto"/>
          </w:tcPr>
          <w:p w14:paraId="33DAC3F5" w14:textId="77777777" w:rsidR="004D6A64" w:rsidRDefault="004D6A64">
            <w:pPr>
              <w:rPr>
                <w:rFonts w:ascii="宋体"/>
              </w:rPr>
            </w:pPr>
          </w:p>
        </w:tc>
        <w:tc>
          <w:tcPr>
            <w:tcW w:w="0" w:type="auto"/>
            <w:shd w:val="clear" w:color="auto" w:fill="auto"/>
          </w:tcPr>
          <w:p w14:paraId="33DAC3F6" w14:textId="77777777" w:rsidR="004D6A64" w:rsidRDefault="004D6A64">
            <w:pPr>
              <w:rPr>
                <w:rFonts w:ascii="宋体"/>
              </w:rPr>
            </w:pPr>
          </w:p>
        </w:tc>
        <w:tc>
          <w:tcPr>
            <w:tcW w:w="0" w:type="auto"/>
            <w:shd w:val="clear" w:color="auto" w:fill="auto"/>
          </w:tcPr>
          <w:p w14:paraId="33DAC3F7" w14:textId="77777777" w:rsidR="004D6A64" w:rsidRDefault="004D6A64">
            <w:pPr>
              <w:rPr>
                <w:rFonts w:ascii="宋体"/>
              </w:rPr>
            </w:pPr>
          </w:p>
        </w:tc>
        <w:tc>
          <w:tcPr>
            <w:tcW w:w="0" w:type="auto"/>
            <w:shd w:val="clear" w:color="auto" w:fill="auto"/>
          </w:tcPr>
          <w:p w14:paraId="33DAC3F8" w14:textId="77777777" w:rsidR="004D6A64" w:rsidRDefault="004D6A64">
            <w:pPr>
              <w:rPr>
                <w:rFonts w:ascii="宋体"/>
              </w:rPr>
            </w:pPr>
          </w:p>
        </w:tc>
        <w:tc>
          <w:tcPr>
            <w:tcW w:w="0" w:type="auto"/>
            <w:shd w:val="clear" w:color="auto" w:fill="auto"/>
          </w:tcPr>
          <w:p w14:paraId="33DAC3F9" w14:textId="77777777" w:rsidR="004D6A64" w:rsidRDefault="004D6A64">
            <w:pPr>
              <w:rPr>
                <w:rFonts w:ascii="宋体"/>
              </w:rPr>
            </w:pPr>
          </w:p>
        </w:tc>
        <w:tc>
          <w:tcPr>
            <w:tcW w:w="0" w:type="auto"/>
            <w:shd w:val="clear" w:color="auto" w:fill="auto"/>
          </w:tcPr>
          <w:p w14:paraId="33DAC3FA" w14:textId="77777777" w:rsidR="004D6A64" w:rsidRDefault="004D6A64">
            <w:pPr>
              <w:rPr>
                <w:rFonts w:ascii="宋体"/>
              </w:rPr>
            </w:pPr>
          </w:p>
        </w:tc>
        <w:tc>
          <w:tcPr>
            <w:tcW w:w="0" w:type="auto"/>
            <w:shd w:val="clear" w:color="auto" w:fill="auto"/>
          </w:tcPr>
          <w:p w14:paraId="33DAC3FB" w14:textId="77777777" w:rsidR="004D6A64" w:rsidRDefault="004D6A64">
            <w:pPr>
              <w:rPr>
                <w:rFonts w:ascii="宋体"/>
              </w:rPr>
            </w:pPr>
          </w:p>
        </w:tc>
        <w:tc>
          <w:tcPr>
            <w:tcW w:w="0" w:type="auto"/>
            <w:shd w:val="clear" w:color="auto" w:fill="auto"/>
          </w:tcPr>
          <w:p w14:paraId="33DAC3FC" w14:textId="77777777" w:rsidR="004D6A64" w:rsidRDefault="004D6A64">
            <w:pPr>
              <w:rPr>
                <w:rFonts w:ascii="宋体"/>
              </w:rPr>
            </w:pPr>
          </w:p>
        </w:tc>
        <w:tc>
          <w:tcPr>
            <w:tcW w:w="0" w:type="auto"/>
            <w:shd w:val="clear" w:color="auto" w:fill="auto"/>
          </w:tcPr>
          <w:p w14:paraId="33DAC3FD" w14:textId="77777777" w:rsidR="004D6A64" w:rsidRDefault="004D6A64">
            <w:pPr>
              <w:rPr>
                <w:rFonts w:ascii="宋体"/>
              </w:rPr>
            </w:pPr>
          </w:p>
        </w:tc>
        <w:tc>
          <w:tcPr>
            <w:tcW w:w="0" w:type="auto"/>
            <w:shd w:val="clear" w:color="auto" w:fill="auto"/>
          </w:tcPr>
          <w:p w14:paraId="33DAC3FE" w14:textId="77777777" w:rsidR="004D6A64" w:rsidRDefault="004D6A64">
            <w:pPr>
              <w:rPr>
                <w:rFonts w:ascii="宋体"/>
              </w:rPr>
            </w:pPr>
          </w:p>
        </w:tc>
        <w:tc>
          <w:tcPr>
            <w:tcW w:w="0" w:type="auto"/>
            <w:shd w:val="clear" w:color="auto" w:fill="auto"/>
          </w:tcPr>
          <w:p w14:paraId="33DAC3FF" w14:textId="77777777" w:rsidR="004D6A64" w:rsidRDefault="004D6A64">
            <w:pPr>
              <w:rPr>
                <w:rFonts w:ascii="宋体"/>
              </w:rPr>
            </w:pPr>
          </w:p>
        </w:tc>
        <w:tc>
          <w:tcPr>
            <w:tcW w:w="0" w:type="auto"/>
            <w:shd w:val="clear" w:color="auto" w:fill="auto"/>
          </w:tcPr>
          <w:p w14:paraId="33DAC400" w14:textId="77777777" w:rsidR="004D6A64" w:rsidRDefault="004D6A64">
            <w:pPr>
              <w:rPr>
                <w:rFonts w:ascii="宋体"/>
              </w:rPr>
            </w:pPr>
          </w:p>
        </w:tc>
        <w:tc>
          <w:tcPr>
            <w:tcW w:w="0" w:type="auto"/>
            <w:shd w:val="clear" w:color="auto" w:fill="auto"/>
          </w:tcPr>
          <w:p w14:paraId="33DAC401" w14:textId="77777777" w:rsidR="004D6A64" w:rsidRDefault="004D6A64">
            <w:pPr>
              <w:rPr>
                <w:rFonts w:ascii="宋体"/>
              </w:rPr>
            </w:pPr>
          </w:p>
        </w:tc>
        <w:tc>
          <w:tcPr>
            <w:tcW w:w="0" w:type="auto"/>
            <w:shd w:val="clear" w:color="auto" w:fill="auto"/>
          </w:tcPr>
          <w:p w14:paraId="33DAC402" w14:textId="77777777" w:rsidR="004D6A64" w:rsidRDefault="004D6A64">
            <w:pPr>
              <w:rPr>
                <w:rFonts w:ascii="宋体"/>
              </w:rPr>
            </w:pPr>
          </w:p>
        </w:tc>
        <w:tc>
          <w:tcPr>
            <w:tcW w:w="0" w:type="auto"/>
            <w:shd w:val="clear" w:color="auto" w:fill="auto"/>
          </w:tcPr>
          <w:p w14:paraId="33DAC403" w14:textId="77777777" w:rsidR="004D6A64" w:rsidRDefault="004D6A64">
            <w:pPr>
              <w:rPr>
                <w:rFonts w:ascii="宋体"/>
              </w:rPr>
            </w:pPr>
          </w:p>
        </w:tc>
        <w:tc>
          <w:tcPr>
            <w:tcW w:w="0" w:type="auto"/>
            <w:shd w:val="clear" w:color="auto" w:fill="auto"/>
          </w:tcPr>
          <w:p w14:paraId="33DAC404" w14:textId="77777777" w:rsidR="004D6A64" w:rsidRDefault="004D6A64">
            <w:pPr>
              <w:rPr>
                <w:rFonts w:ascii="宋体"/>
              </w:rPr>
            </w:pPr>
          </w:p>
        </w:tc>
        <w:tc>
          <w:tcPr>
            <w:tcW w:w="0" w:type="auto"/>
            <w:shd w:val="clear" w:color="auto" w:fill="auto"/>
          </w:tcPr>
          <w:p w14:paraId="33DAC405" w14:textId="77777777" w:rsidR="004D6A64" w:rsidRDefault="004D6A64">
            <w:pPr>
              <w:rPr>
                <w:rFonts w:ascii="宋体"/>
              </w:rPr>
            </w:pPr>
          </w:p>
        </w:tc>
        <w:tc>
          <w:tcPr>
            <w:tcW w:w="0" w:type="auto"/>
            <w:shd w:val="clear" w:color="auto" w:fill="auto"/>
          </w:tcPr>
          <w:p w14:paraId="33DAC406" w14:textId="77777777" w:rsidR="004D6A64" w:rsidRDefault="004D6A64">
            <w:pPr>
              <w:rPr>
                <w:rFonts w:ascii="宋体"/>
              </w:rPr>
            </w:pPr>
          </w:p>
        </w:tc>
        <w:tc>
          <w:tcPr>
            <w:tcW w:w="0" w:type="auto"/>
            <w:shd w:val="clear" w:color="auto" w:fill="auto"/>
          </w:tcPr>
          <w:p w14:paraId="33DAC407" w14:textId="77777777" w:rsidR="004D6A64" w:rsidRDefault="004D6A64">
            <w:pPr>
              <w:rPr>
                <w:rFonts w:ascii="宋体"/>
              </w:rPr>
            </w:pPr>
          </w:p>
        </w:tc>
        <w:tc>
          <w:tcPr>
            <w:tcW w:w="0" w:type="auto"/>
            <w:shd w:val="clear" w:color="auto" w:fill="auto"/>
          </w:tcPr>
          <w:p w14:paraId="33DAC408" w14:textId="77777777" w:rsidR="004D6A64" w:rsidRDefault="004D6A64">
            <w:pPr>
              <w:rPr>
                <w:rFonts w:ascii="宋体"/>
              </w:rPr>
            </w:pPr>
          </w:p>
        </w:tc>
        <w:tc>
          <w:tcPr>
            <w:tcW w:w="0" w:type="auto"/>
            <w:shd w:val="clear" w:color="auto" w:fill="auto"/>
          </w:tcPr>
          <w:p w14:paraId="33DAC409" w14:textId="77777777" w:rsidR="004D6A64" w:rsidRDefault="004D6A64">
            <w:pPr>
              <w:rPr>
                <w:rFonts w:ascii="宋体"/>
              </w:rPr>
            </w:pPr>
          </w:p>
        </w:tc>
        <w:tc>
          <w:tcPr>
            <w:tcW w:w="0" w:type="auto"/>
            <w:shd w:val="clear" w:color="auto" w:fill="auto"/>
          </w:tcPr>
          <w:p w14:paraId="33DAC40A" w14:textId="77777777" w:rsidR="004D6A64" w:rsidRDefault="004D6A64">
            <w:pPr>
              <w:rPr>
                <w:rFonts w:ascii="宋体"/>
              </w:rPr>
            </w:pPr>
          </w:p>
        </w:tc>
        <w:tc>
          <w:tcPr>
            <w:tcW w:w="0" w:type="auto"/>
            <w:shd w:val="clear" w:color="auto" w:fill="auto"/>
          </w:tcPr>
          <w:p w14:paraId="33DAC40B" w14:textId="77777777" w:rsidR="004D6A64" w:rsidRDefault="004D6A64">
            <w:pPr>
              <w:rPr>
                <w:rFonts w:ascii="宋体"/>
              </w:rPr>
            </w:pPr>
          </w:p>
        </w:tc>
        <w:tc>
          <w:tcPr>
            <w:tcW w:w="0" w:type="auto"/>
            <w:shd w:val="clear" w:color="auto" w:fill="auto"/>
          </w:tcPr>
          <w:p w14:paraId="33DAC40C" w14:textId="77777777" w:rsidR="004D6A64" w:rsidRDefault="004D6A64">
            <w:pPr>
              <w:rPr>
                <w:rFonts w:ascii="宋体"/>
              </w:rPr>
            </w:pPr>
          </w:p>
        </w:tc>
        <w:tc>
          <w:tcPr>
            <w:tcW w:w="0" w:type="auto"/>
            <w:shd w:val="clear" w:color="auto" w:fill="auto"/>
          </w:tcPr>
          <w:p w14:paraId="33DAC40D" w14:textId="77777777" w:rsidR="004D6A64" w:rsidRDefault="004D6A64">
            <w:pPr>
              <w:rPr>
                <w:rFonts w:ascii="宋体"/>
              </w:rPr>
            </w:pPr>
          </w:p>
        </w:tc>
        <w:tc>
          <w:tcPr>
            <w:tcW w:w="0" w:type="auto"/>
            <w:shd w:val="clear" w:color="auto" w:fill="auto"/>
          </w:tcPr>
          <w:p w14:paraId="33DAC40E" w14:textId="77777777" w:rsidR="004D6A64" w:rsidRDefault="004D6A64">
            <w:pPr>
              <w:rPr>
                <w:rFonts w:ascii="宋体"/>
              </w:rPr>
            </w:pPr>
          </w:p>
        </w:tc>
        <w:tc>
          <w:tcPr>
            <w:tcW w:w="0" w:type="auto"/>
            <w:shd w:val="clear" w:color="auto" w:fill="auto"/>
          </w:tcPr>
          <w:p w14:paraId="33DAC40F" w14:textId="77777777" w:rsidR="004D6A64" w:rsidRDefault="004D6A64">
            <w:pPr>
              <w:rPr>
                <w:rFonts w:ascii="宋体"/>
              </w:rPr>
            </w:pPr>
          </w:p>
        </w:tc>
      </w:tr>
    </w:tbl>
    <w:p w14:paraId="33DAC411" w14:textId="77777777" w:rsidR="004D6A64" w:rsidRDefault="004D6A64"/>
    <w:p w14:paraId="33DAC412" w14:textId="77777777" w:rsidR="004D6A64" w:rsidRDefault="004D6A64">
      <w:pPr>
        <w:jc w:val="center"/>
      </w:pPr>
    </w:p>
    <w:p w14:paraId="33DAC413" w14:textId="77777777" w:rsidR="004D6A64" w:rsidRDefault="00506CD6">
      <w:pPr>
        <w:jc w:val="center"/>
      </w:pPr>
      <w:r>
        <w:rPr>
          <w:rFonts w:ascii="Times New Roman" w:eastAsia="宋体" w:hAnsi="Times New Roman"/>
          <w:color w:val="000000"/>
          <w:sz w:val="20"/>
          <w:szCs w:val="20"/>
        </w:rPr>
        <w:t>41</w:t>
      </w:r>
    </w:p>
    <w:p w14:paraId="33DAC414" w14:textId="77777777" w:rsidR="004D6A64" w:rsidRDefault="004D6A64">
      <w:pPr>
        <w:jc w:val="center"/>
      </w:pPr>
    </w:p>
    <w:p w14:paraId="33DAC415" w14:textId="77777777" w:rsidR="004D6A64" w:rsidRDefault="00506CD6">
      <w:r>
        <w:pict w14:anchorId="33DAFAED">
          <v:rect id="_x0000_i1065" style="width:415.3pt;height:1.5pt" o:hralign="center" o:hrstd="t" o:hr="t" fillcolor="#a0a0a0" stroked="f"/>
        </w:pict>
      </w:r>
    </w:p>
    <w:p w14:paraId="33DAC416" w14:textId="77777777" w:rsidR="004D6A64" w:rsidRDefault="00506CD6">
      <w:hyperlink r:id="rId164" w:anchor="if3e0e1bf9ecd4bf69551d7a85f98d64a_10" w:history="1">
        <w:r>
          <w:rPr>
            <w:rStyle w:val="a5"/>
            <w:rFonts w:ascii="Times New Roman" w:eastAsia="宋体" w:hAnsi="Times New Roman"/>
            <w:sz w:val="20"/>
            <w:szCs w:val="20"/>
          </w:rPr>
          <w:t>Table of Contents</w:t>
        </w:r>
      </w:hyperlink>
    </w:p>
    <w:p w14:paraId="33DAC417"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C418"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33DAC419"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C41A" w14:textId="77777777" w:rsidR="004D6A64" w:rsidRDefault="004D6A64">
      <w:pPr>
        <w:jc w:val="center"/>
      </w:pPr>
    </w:p>
    <w:p w14:paraId="33DAC41B" w14:textId="77777777" w:rsidR="004D6A64" w:rsidRDefault="00506CD6">
      <w:r>
        <w:rPr>
          <w:rFonts w:ascii="Times New Roman" w:eastAsia="宋体" w:hAnsi="Times New Roman"/>
          <w:b/>
          <w:bCs/>
          <w:color w:val="000000"/>
          <w:sz w:val="20"/>
          <w:szCs w:val="20"/>
        </w:rPr>
        <w:t xml:space="preserve">NOTE 8 — BUSINESS COMBINATIONS, GOODWILL AND INTANGIBLE ASSETS </w:t>
      </w:r>
    </w:p>
    <w:p w14:paraId="33DAC41C" w14:textId="77777777" w:rsidR="004D6A64" w:rsidRDefault="004D6A64"/>
    <w:p w14:paraId="33DAC41D" w14:textId="77777777" w:rsidR="004D6A64" w:rsidRDefault="00506CD6">
      <w:r>
        <w:rPr>
          <w:rFonts w:ascii="Times New Roman" w:eastAsia="宋体" w:hAnsi="Times New Roman"/>
          <w:b/>
          <w:bCs/>
          <w:color w:val="000000"/>
          <w:sz w:val="20"/>
          <w:szCs w:val="20"/>
        </w:rPr>
        <w:t>Business Combinations</w:t>
      </w:r>
    </w:p>
    <w:p w14:paraId="33DAC41E" w14:textId="77777777" w:rsidR="004D6A64" w:rsidRDefault="004D6A64"/>
    <w:p w14:paraId="33DAC41F" w14:textId="77777777" w:rsidR="004D6A64" w:rsidRDefault="00506CD6">
      <w:r>
        <w:rPr>
          <w:rFonts w:ascii="Times New Roman" w:eastAsia="宋体" w:hAnsi="Times New Roman"/>
          <w:i/>
          <w:iCs/>
          <w:color w:val="000000"/>
          <w:sz w:val="20"/>
          <w:szCs w:val="20"/>
          <w:u w:val="single"/>
        </w:rPr>
        <w:t>VMware, Inc. Acquisitions</w:t>
      </w:r>
    </w:p>
    <w:p w14:paraId="33DAC420" w14:textId="77777777" w:rsidR="004D6A64" w:rsidRDefault="004D6A64"/>
    <w:p w14:paraId="33DAC421" w14:textId="77777777" w:rsidR="004D6A64" w:rsidRDefault="00506CD6">
      <w:r>
        <w:rPr>
          <w:rFonts w:ascii="Times New Roman" w:eastAsia="宋体" w:hAnsi="Times New Roman"/>
          <w:i/>
          <w:iCs/>
          <w:color w:val="000000"/>
          <w:sz w:val="20"/>
          <w:szCs w:val="20"/>
        </w:rPr>
        <w:t>Datrium, Inc.</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 xml:space="preserve">During the three months ended July 31, 2020, VMware, Inc. completed the acquisition of Datrium, Inc., a provider of </w:t>
      </w:r>
      <w:r>
        <w:rPr>
          <w:rFonts w:ascii="Times New Roman" w:eastAsia="宋体" w:hAnsi="Times New Roman"/>
          <w:color w:val="000000"/>
          <w:sz w:val="20"/>
          <w:szCs w:val="20"/>
        </w:rPr>
        <w:t>cloud-native disaster recovery solutions, to broaden the VMware Site Recovery Disaster Recovery as a Service offerings. The total purchase price, net of cash acquired, was $137 million. The purchase price primarily included $25 million of identifiable inta</w:t>
      </w:r>
      <w:r>
        <w:rPr>
          <w:rFonts w:ascii="Times New Roman" w:eastAsia="宋体" w:hAnsi="Times New Roman"/>
          <w:color w:val="000000"/>
          <w:sz w:val="20"/>
          <w:szCs w:val="20"/>
        </w:rPr>
        <w:t>ngible assets and $91 million of goodwill that is not expected to be deductible for tax purposes. The identifiable intangible assets, which primarily consisted of completed technology, have estimated useful lives of three years to five years.</w:t>
      </w:r>
    </w:p>
    <w:p w14:paraId="33DAC422" w14:textId="77777777" w:rsidR="004D6A64" w:rsidRDefault="004D6A64"/>
    <w:p w14:paraId="33DAC423" w14:textId="77777777" w:rsidR="004D6A64" w:rsidRDefault="00506CD6">
      <w:r>
        <w:rPr>
          <w:rFonts w:ascii="Times New Roman" w:eastAsia="宋体" w:hAnsi="Times New Roman"/>
          <w:i/>
          <w:iCs/>
          <w:color w:val="000000"/>
          <w:sz w:val="20"/>
          <w:szCs w:val="20"/>
        </w:rPr>
        <w:t>Lastline, In</w:t>
      </w:r>
      <w:r>
        <w:rPr>
          <w:rFonts w:ascii="Times New Roman" w:eastAsia="宋体" w:hAnsi="Times New Roman"/>
          <w:i/>
          <w:iCs/>
          <w:color w:val="000000"/>
          <w:sz w:val="20"/>
          <w:szCs w:val="20"/>
        </w:rPr>
        <w:t>c.</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During the three months ended July 31, 2020, VMware, Inc. completed the acquisition of Lastline, Inc., a provider of network-based security breach detection products and services, to enhance capabilities for network detection and threat analysis on VM</w:t>
      </w:r>
      <w:r>
        <w:rPr>
          <w:rFonts w:ascii="Times New Roman" w:eastAsia="宋体" w:hAnsi="Times New Roman"/>
          <w:color w:val="000000"/>
          <w:sz w:val="20"/>
          <w:szCs w:val="20"/>
        </w:rPr>
        <w:t>ware NSX and SD-WAN offerings. The total purchase price, net of cash acquired, was $114 million. The purchase price primarily included $29 million of identifiable intangible assets and $86 million of goodwill that is not expected to be deductible for tax p</w:t>
      </w:r>
      <w:r>
        <w:rPr>
          <w:rFonts w:ascii="Times New Roman" w:eastAsia="宋体" w:hAnsi="Times New Roman"/>
          <w:color w:val="000000"/>
          <w:sz w:val="20"/>
          <w:szCs w:val="20"/>
        </w:rPr>
        <w:t>urposes. The identifiable intangible assets, which primarily consisted of completed technology, have estimated useful lives of one year to four years.</w:t>
      </w:r>
    </w:p>
    <w:p w14:paraId="33DAC424" w14:textId="77777777" w:rsidR="004D6A64" w:rsidRDefault="004D6A64"/>
    <w:p w14:paraId="33DAC425" w14:textId="77777777" w:rsidR="004D6A64" w:rsidRDefault="00506CD6">
      <w:r>
        <w:rPr>
          <w:rFonts w:ascii="Times New Roman" w:eastAsia="宋体" w:hAnsi="Times New Roman"/>
          <w:i/>
          <w:iCs/>
          <w:color w:val="000000"/>
          <w:sz w:val="20"/>
          <w:szCs w:val="20"/>
        </w:rPr>
        <w:t>Nyansa, Inc.</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During the three months ended May 1, 2020, VMware, Inc. completed the acquisition of Nyan</w:t>
      </w:r>
      <w:r>
        <w:rPr>
          <w:rFonts w:ascii="Times New Roman" w:eastAsia="宋体" w:hAnsi="Times New Roman"/>
          <w:color w:val="000000"/>
          <w:sz w:val="20"/>
          <w:szCs w:val="20"/>
        </w:rPr>
        <w:t>sa, Inc., a developer of artificial intelligence-based network analytics, to accelerate the delivery of end-to-end monitoring and troubleshooting capabilities within VMware SD-WAN by VeloCloud. The total purchase price, net of cash acquired, was $38 millio</w:t>
      </w:r>
      <w:r>
        <w:rPr>
          <w:rFonts w:ascii="Times New Roman" w:eastAsia="宋体" w:hAnsi="Times New Roman"/>
          <w:color w:val="000000"/>
          <w:sz w:val="20"/>
          <w:szCs w:val="20"/>
        </w:rPr>
        <w:t>n. The purchase price primarily included $14 million of identifiable intangible assets and $24 million of goodwill that is not expected to be deductible for tax purposes. The identifiable intangible assets, which primarily consisted of completed technology</w:t>
      </w:r>
      <w:r>
        <w:rPr>
          <w:rFonts w:ascii="Times New Roman" w:eastAsia="宋体" w:hAnsi="Times New Roman"/>
          <w:color w:val="000000"/>
          <w:sz w:val="20"/>
          <w:szCs w:val="20"/>
        </w:rPr>
        <w:t>, have estimated useful lives of one year to four years.</w:t>
      </w:r>
    </w:p>
    <w:p w14:paraId="33DAC426" w14:textId="77777777" w:rsidR="004D6A64" w:rsidRDefault="004D6A64"/>
    <w:p w14:paraId="33DAC427" w14:textId="77777777" w:rsidR="004D6A64" w:rsidRDefault="00506CD6">
      <w:r>
        <w:rPr>
          <w:rFonts w:ascii="Times New Roman" w:eastAsia="宋体" w:hAnsi="Times New Roman"/>
          <w:i/>
          <w:iCs/>
          <w:color w:val="000000"/>
          <w:sz w:val="20"/>
          <w:szCs w:val="20"/>
        </w:rPr>
        <w:t>Other Fiscal 2021 Acquisitions</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During the three months ended July 31, 2020, VMware, Inc. completed two other acquisitions, which were not material individually to the Condensed Consolidated Financ</w:t>
      </w:r>
      <w:r>
        <w:rPr>
          <w:rFonts w:ascii="Times New Roman" w:eastAsia="宋体" w:hAnsi="Times New Roman"/>
          <w:color w:val="000000"/>
          <w:sz w:val="20"/>
          <w:szCs w:val="20"/>
        </w:rPr>
        <w:t>ial Statements. VMware, Inc. expects these acquisitions to enhance its product features and capabilities for VMware Carbon Black Cloud and vRealize Operations offerings. The aggregate purchase price for these two acquisitions, net of cash acquired, was $40</w:t>
      </w:r>
      <w:r>
        <w:rPr>
          <w:rFonts w:ascii="Times New Roman" w:eastAsia="宋体" w:hAnsi="Times New Roman"/>
          <w:color w:val="000000"/>
          <w:sz w:val="20"/>
          <w:szCs w:val="20"/>
        </w:rPr>
        <w:t xml:space="preserve"> million and primarily included $31 million of identifiable intangible assets and $16 million of goodwill, of which $24 million is expected to be deductible for tax purposes. The identifiable intangible assets, which primarily consisted of completed techno</w:t>
      </w:r>
      <w:r>
        <w:rPr>
          <w:rFonts w:ascii="Times New Roman" w:eastAsia="宋体" w:hAnsi="Times New Roman"/>
          <w:color w:val="000000"/>
          <w:sz w:val="20"/>
          <w:szCs w:val="20"/>
        </w:rPr>
        <w:t>logy, have estimated useful lives of one year to five years.</w:t>
      </w:r>
    </w:p>
    <w:p w14:paraId="33DAC428" w14:textId="77777777" w:rsidR="004D6A64" w:rsidRDefault="004D6A64"/>
    <w:p w14:paraId="33DAC429" w14:textId="77777777" w:rsidR="004D6A64" w:rsidRDefault="00506CD6">
      <w:r>
        <w:rPr>
          <w:rFonts w:ascii="Times New Roman" w:eastAsia="宋体" w:hAnsi="Times New Roman"/>
          <w:color w:val="000000"/>
          <w:sz w:val="20"/>
          <w:szCs w:val="20"/>
        </w:rPr>
        <w:t xml:space="preserve">The pro forma financial information assuming the Fiscal 2021 acquisitions had occurred as of the beginning of the fiscal year prior to the fiscal year of acquisition, as well as the revenue and </w:t>
      </w:r>
      <w:r>
        <w:rPr>
          <w:rFonts w:ascii="Times New Roman" w:eastAsia="宋体" w:hAnsi="Times New Roman"/>
          <w:color w:val="000000"/>
          <w:sz w:val="20"/>
          <w:szCs w:val="20"/>
        </w:rPr>
        <w:t>earnings generated during the current fiscal year, were not material.</w:t>
      </w:r>
    </w:p>
    <w:p w14:paraId="33DAC42A" w14:textId="77777777" w:rsidR="004D6A64" w:rsidRDefault="004D6A64"/>
    <w:p w14:paraId="33DAC42B" w14:textId="77777777" w:rsidR="004D6A64" w:rsidRDefault="004D6A64">
      <w:pPr>
        <w:jc w:val="center"/>
      </w:pPr>
    </w:p>
    <w:p w14:paraId="33DAC42C" w14:textId="77777777" w:rsidR="004D6A64" w:rsidRDefault="00506CD6">
      <w:pPr>
        <w:jc w:val="center"/>
      </w:pPr>
      <w:r>
        <w:rPr>
          <w:rFonts w:ascii="Times New Roman" w:eastAsia="宋体" w:hAnsi="Times New Roman"/>
          <w:color w:val="000000"/>
          <w:sz w:val="20"/>
          <w:szCs w:val="20"/>
        </w:rPr>
        <w:t>42</w:t>
      </w:r>
    </w:p>
    <w:p w14:paraId="33DAC42D" w14:textId="77777777" w:rsidR="004D6A64" w:rsidRDefault="004D6A64">
      <w:pPr>
        <w:jc w:val="center"/>
      </w:pPr>
    </w:p>
    <w:p w14:paraId="33DAC42E" w14:textId="77777777" w:rsidR="004D6A64" w:rsidRDefault="00506CD6">
      <w:r>
        <w:pict w14:anchorId="33DAFAEE">
          <v:rect id="_x0000_i1066" style="width:415.3pt;height:1.5pt" o:hralign="center" o:hrstd="t" o:hr="t" fillcolor="#a0a0a0" stroked="f"/>
        </w:pict>
      </w:r>
    </w:p>
    <w:p w14:paraId="33DAC42F" w14:textId="77777777" w:rsidR="004D6A64" w:rsidRDefault="00506CD6">
      <w:hyperlink r:id="rId165" w:anchor="if3e0e1bf9ecd4bf69551d7a85f98d64a_10" w:history="1">
        <w:r>
          <w:rPr>
            <w:rStyle w:val="a5"/>
            <w:rFonts w:ascii="Times New Roman" w:eastAsia="宋体" w:hAnsi="Times New Roman"/>
            <w:sz w:val="20"/>
            <w:szCs w:val="20"/>
          </w:rPr>
          <w:t>Table of Contents</w:t>
        </w:r>
      </w:hyperlink>
    </w:p>
    <w:p w14:paraId="33DAC430" w14:textId="77777777" w:rsidR="004D6A64" w:rsidRDefault="00506CD6">
      <w:pPr>
        <w:jc w:val="center"/>
      </w:pPr>
      <w:r>
        <w:rPr>
          <w:rFonts w:ascii="Times New Roman" w:eastAsia="宋体" w:hAnsi="Times New Roman"/>
          <w:b/>
          <w:bCs/>
          <w:color w:val="000000"/>
          <w:sz w:val="20"/>
          <w:szCs w:val="20"/>
          <w:shd w:val="clear" w:color="auto" w:fill="FFFFFF"/>
        </w:rPr>
        <w:t>DELL T</w:t>
      </w:r>
      <w:r>
        <w:rPr>
          <w:rFonts w:ascii="Times New Roman" w:eastAsia="宋体" w:hAnsi="Times New Roman"/>
          <w:b/>
          <w:bCs/>
          <w:color w:val="000000"/>
          <w:sz w:val="20"/>
          <w:szCs w:val="20"/>
          <w:shd w:val="clear" w:color="auto" w:fill="FFFFFF"/>
        </w:rPr>
        <w:t>ECHNOLOGIES INC.</w:t>
      </w:r>
    </w:p>
    <w:p w14:paraId="33DAC431"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33DAC432"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C433" w14:textId="77777777" w:rsidR="004D6A64" w:rsidRDefault="004D6A64">
      <w:pPr>
        <w:jc w:val="center"/>
      </w:pPr>
    </w:p>
    <w:p w14:paraId="33DAC434" w14:textId="77777777" w:rsidR="004D6A64" w:rsidRDefault="00506CD6">
      <w:r>
        <w:rPr>
          <w:rFonts w:ascii="Times New Roman" w:eastAsia="宋体" w:hAnsi="Times New Roman"/>
          <w:b/>
          <w:bCs/>
          <w:color w:val="000000"/>
          <w:sz w:val="20"/>
          <w:szCs w:val="20"/>
        </w:rPr>
        <w:t>Goodwill</w:t>
      </w:r>
    </w:p>
    <w:p w14:paraId="33DAC435" w14:textId="77777777" w:rsidR="004D6A64" w:rsidRDefault="004D6A64"/>
    <w:p w14:paraId="33DAC436" w14:textId="77777777" w:rsidR="004D6A64" w:rsidRDefault="00506CD6">
      <w:r>
        <w:rPr>
          <w:rFonts w:ascii="Times New Roman" w:eastAsia="宋体" w:hAnsi="Times New Roman"/>
          <w:color w:val="000000"/>
          <w:sz w:val="20"/>
          <w:szCs w:val="20"/>
        </w:rPr>
        <w:t>The Infrastructure Solutions Group, Client Solutions Group, and VMware reporting units are consistent with the reportable segments identified in Note 17 of the Notes to the Condensed Consolidated Financial Statements. Offerings within Other businesses as d</w:t>
      </w:r>
      <w:r>
        <w:rPr>
          <w:rFonts w:ascii="Times New Roman" w:eastAsia="宋体" w:hAnsi="Times New Roman"/>
          <w:color w:val="000000"/>
          <w:sz w:val="20"/>
          <w:szCs w:val="20"/>
        </w:rPr>
        <w:t xml:space="preserve">efined below represent separate reporting units. </w:t>
      </w:r>
    </w:p>
    <w:p w14:paraId="33DAC437" w14:textId="77777777" w:rsidR="004D6A64" w:rsidRDefault="004D6A64"/>
    <w:p w14:paraId="33DAC438" w14:textId="77777777" w:rsidR="004D6A64" w:rsidRDefault="00506CD6">
      <w:r>
        <w:rPr>
          <w:rFonts w:ascii="Times New Roman" w:eastAsia="宋体" w:hAnsi="Times New Roman"/>
          <w:color w:val="000000"/>
          <w:sz w:val="20"/>
          <w:szCs w:val="20"/>
        </w:rPr>
        <w:t>The following table presents goodwill allocated to the Company’s reportable segments and changes in the carrying amount of goodwill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1951"/>
        <w:gridCol w:w="39"/>
        <w:gridCol w:w="136"/>
        <w:gridCol w:w="1169"/>
        <w:gridCol w:w="41"/>
        <w:gridCol w:w="36"/>
        <w:gridCol w:w="36"/>
        <w:gridCol w:w="36"/>
        <w:gridCol w:w="136"/>
        <w:gridCol w:w="756"/>
        <w:gridCol w:w="41"/>
        <w:gridCol w:w="36"/>
        <w:gridCol w:w="36"/>
        <w:gridCol w:w="36"/>
        <w:gridCol w:w="136"/>
        <w:gridCol w:w="725"/>
        <w:gridCol w:w="41"/>
        <w:gridCol w:w="36"/>
        <w:gridCol w:w="36"/>
        <w:gridCol w:w="36"/>
        <w:gridCol w:w="136"/>
        <w:gridCol w:w="860"/>
        <w:gridCol w:w="41"/>
        <w:gridCol w:w="36"/>
        <w:gridCol w:w="36"/>
        <w:gridCol w:w="36"/>
        <w:gridCol w:w="135"/>
        <w:gridCol w:w="615"/>
        <w:gridCol w:w="4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4D6A64" w14:paraId="33DAC457" w14:textId="77777777">
        <w:trPr>
          <w:gridAfter w:val="24"/>
          <w:jc w:val="center"/>
        </w:trPr>
        <w:tc>
          <w:tcPr>
            <w:tcW w:w="50" w:type="pct"/>
            <w:shd w:val="clear" w:color="auto" w:fill="auto"/>
          </w:tcPr>
          <w:p w14:paraId="33DAC439" w14:textId="77777777" w:rsidR="004D6A64" w:rsidRDefault="004D6A64">
            <w:pPr>
              <w:rPr>
                <w:rFonts w:ascii="宋体"/>
              </w:rPr>
            </w:pPr>
          </w:p>
        </w:tc>
        <w:tc>
          <w:tcPr>
            <w:tcW w:w="1728" w:type="pct"/>
            <w:shd w:val="clear" w:color="auto" w:fill="auto"/>
          </w:tcPr>
          <w:p w14:paraId="33DAC43A" w14:textId="77777777" w:rsidR="004D6A64" w:rsidRDefault="004D6A64">
            <w:pPr>
              <w:rPr>
                <w:rFonts w:ascii="宋体"/>
              </w:rPr>
            </w:pPr>
          </w:p>
        </w:tc>
        <w:tc>
          <w:tcPr>
            <w:tcW w:w="5" w:type="pct"/>
            <w:shd w:val="clear" w:color="auto" w:fill="auto"/>
          </w:tcPr>
          <w:p w14:paraId="33DAC43B" w14:textId="77777777" w:rsidR="004D6A64" w:rsidRDefault="004D6A64">
            <w:pPr>
              <w:rPr>
                <w:rFonts w:ascii="宋体"/>
              </w:rPr>
            </w:pPr>
          </w:p>
        </w:tc>
        <w:tc>
          <w:tcPr>
            <w:tcW w:w="50" w:type="pct"/>
            <w:shd w:val="clear" w:color="auto" w:fill="auto"/>
          </w:tcPr>
          <w:p w14:paraId="33DAC43C" w14:textId="77777777" w:rsidR="004D6A64" w:rsidRDefault="004D6A64">
            <w:pPr>
              <w:rPr>
                <w:rFonts w:ascii="宋体"/>
              </w:rPr>
            </w:pPr>
          </w:p>
        </w:tc>
        <w:tc>
          <w:tcPr>
            <w:tcW w:w="610" w:type="pct"/>
            <w:shd w:val="clear" w:color="auto" w:fill="auto"/>
          </w:tcPr>
          <w:p w14:paraId="33DAC43D" w14:textId="77777777" w:rsidR="004D6A64" w:rsidRDefault="004D6A64">
            <w:pPr>
              <w:rPr>
                <w:rFonts w:ascii="宋体"/>
              </w:rPr>
            </w:pPr>
          </w:p>
        </w:tc>
        <w:tc>
          <w:tcPr>
            <w:tcW w:w="5" w:type="pct"/>
            <w:shd w:val="clear" w:color="auto" w:fill="auto"/>
          </w:tcPr>
          <w:p w14:paraId="33DAC43E" w14:textId="77777777" w:rsidR="004D6A64" w:rsidRDefault="004D6A64">
            <w:pPr>
              <w:rPr>
                <w:rFonts w:ascii="宋体"/>
              </w:rPr>
            </w:pPr>
          </w:p>
        </w:tc>
        <w:tc>
          <w:tcPr>
            <w:tcW w:w="5" w:type="pct"/>
            <w:shd w:val="clear" w:color="auto" w:fill="auto"/>
          </w:tcPr>
          <w:p w14:paraId="33DAC43F" w14:textId="77777777" w:rsidR="004D6A64" w:rsidRDefault="004D6A64">
            <w:pPr>
              <w:rPr>
                <w:rFonts w:ascii="宋体"/>
              </w:rPr>
            </w:pPr>
          </w:p>
        </w:tc>
        <w:tc>
          <w:tcPr>
            <w:tcW w:w="19" w:type="pct"/>
            <w:shd w:val="clear" w:color="auto" w:fill="auto"/>
          </w:tcPr>
          <w:p w14:paraId="33DAC440" w14:textId="77777777" w:rsidR="004D6A64" w:rsidRDefault="004D6A64">
            <w:pPr>
              <w:rPr>
                <w:rFonts w:ascii="宋体"/>
              </w:rPr>
            </w:pPr>
          </w:p>
        </w:tc>
        <w:tc>
          <w:tcPr>
            <w:tcW w:w="5" w:type="pct"/>
            <w:shd w:val="clear" w:color="auto" w:fill="auto"/>
          </w:tcPr>
          <w:p w14:paraId="33DAC441" w14:textId="77777777" w:rsidR="004D6A64" w:rsidRDefault="004D6A64">
            <w:pPr>
              <w:rPr>
                <w:rFonts w:ascii="宋体"/>
              </w:rPr>
            </w:pPr>
          </w:p>
        </w:tc>
        <w:tc>
          <w:tcPr>
            <w:tcW w:w="50" w:type="pct"/>
            <w:shd w:val="clear" w:color="auto" w:fill="auto"/>
          </w:tcPr>
          <w:p w14:paraId="33DAC442" w14:textId="77777777" w:rsidR="004D6A64" w:rsidRDefault="004D6A64">
            <w:pPr>
              <w:rPr>
                <w:rFonts w:ascii="宋体"/>
              </w:rPr>
            </w:pPr>
          </w:p>
        </w:tc>
        <w:tc>
          <w:tcPr>
            <w:tcW w:w="559" w:type="pct"/>
            <w:shd w:val="clear" w:color="auto" w:fill="auto"/>
          </w:tcPr>
          <w:p w14:paraId="33DAC443" w14:textId="77777777" w:rsidR="004D6A64" w:rsidRDefault="004D6A64">
            <w:pPr>
              <w:rPr>
                <w:rFonts w:ascii="宋体"/>
              </w:rPr>
            </w:pPr>
          </w:p>
        </w:tc>
        <w:tc>
          <w:tcPr>
            <w:tcW w:w="5" w:type="pct"/>
            <w:shd w:val="clear" w:color="auto" w:fill="auto"/>
          </w:tcPr>
          <w:p w14:paraId="33DAC444" w14:textId="77777777" w:rsidR="004D6A64" w:rsidRDefault="004D6A64">
            <w:pPr>
              <w:rPr>
                <w:rFonts w:ascii="宋体"/>
              </w:rPr>
            </w:pPr>
          </w:p>
        </w:tc>
        <w:tc>
          <w:tcPr>
            <w:tcW w:w="5" w:type="pct"/>
            <w:shd w:val="clear" w:color="auto" w:fill="auto"/>
          </w:tcPr>
          <w:p w14:paraId="33DAC445" w14:textId="77777777" w:rsidR="004D6A64" w:rsidRDefault="004D6A64">
            <w:pPr>
              <w:rPr>
                <w:rFonts w:ascii="宋体"/>
              </w:rPr>
            </w:pPr>
          </w:p>
        </w:tc>
        <w:tc>
          <w:tcPr>
            <w:tcW w:w="19" w:type="pct"/>
            <w:shd w:val="clear" w:color="auto" w:fill="auto"/>
          </w:tcPr>
          <w:p w14:paraId="33DAC446" w14:textId="77777777" w:rsidR="004D6A64" w:rsidRDefault="004D6A64">
            <w:pPr>
              <w:rPr>
                <w:rFonts w:ascii="宋体"/>
              </w:rPr>
            </w:pPr>
          </w:p>
        </w:tc>
        <w:tc>
          <w:tcPr>
            <w:tcW w:w="5" w:type="pct"/>
            <w:shd w:val="clear" w:color="auto" w:fill="auto"/>
          </w:tcPr>
          <w:p w14:paraId="33DAC447" w14:textId="77777777" w:rsidR="004D6A64" w:rsidRDefault="004D6A64">
            <w:pPr>
              <w:rPr>
                <w:rFonts w:ascii="宋体"/>
              </w:rPr>
            </w:pPr>
          </w:p>
        </w:tc>
        <w:tc>
          <w:tcPr>
            <w:tcW w:w="50" w:type="pct"/>
            <w:shd w:val="clear" w:color="auto" w:fill="auto"/>
          </w:tcPr>
          <w:p w14:paraId="33DAC448" w14:textId="77777777" w:rsidR="004D6A64" w:rsidRDefault="004D6A64">
            <w:pPr>
              <w:rPr>
                <w:rFonts w:ascii="宋体"/>
              </w:rPr>
            </w:pPr>
          </w:p>
        </w:tc>
        <w:tc>
          <w:tcPr>
            <w:tcW w:w="559" w:type="pct"/>
            <w:shd w:val="clear" w:color="auto" w:fill="auto"/>
          </w:tcPr>
          <w:p w14:paraId="33DAC449" w14:textId="77777777" w:rsidR="004D6A64" w:rsidRDefault="004D6A64">
            <w:pPr>
              <w:rPr>
                <w:rFonts w:ascii="宋体"/>
              </w:rPr>
            </w:pPr>
          </w:p>
        </w:tc>
        <w:tc>
          <w:tcPr>
            <w:tcW w:w="5" w:type="pct"/>
            <w:shd w:val="clear" w:color="auto" w:fill="auto"/>
          </w:tcPr>
          <w:p w14:paraId="33DAC44A" w14:textId="77777777" w:rsidR="004D6A64" w:rsidRDefault="004D6A64">
            <w:pPr>
              <w:rPr>
                <w:rFonts w:ascii="宋体"/>
              </w:rPr>
            </w:pPr>
          </w:p>
        </w:tc>
        <w:tc>
          <w:tcPr>
            <w:tcW w:w="5" w:type="pct"/>
            <w:shd w:val="clear" w:color="auto" w:fill="auto"/>
          </w:tcPr>
          <w:p w14:paraId="33DAC44B" w14:textId="77777777" w:rsidR="004D6A64" w:rsidRDefault="004D6A64">
            <w:pPr>
              <w:rPr>
                <w:rFonts w:ascii="宋体"/>
              </w:rPr>
            </w:pPr>
          </w:p>
        </w:tc>
        <w:tc>
          <w:tcPr>
            <w:tcW w:w="19" w:type="pct"/>
            <w:shd w:val="clear" w:color="auto" w:fill="auto"/>
          </w:tcPr>
          <w:p w14:paraId="33DAC44C" w14:textId="77777777" w:rsidR="004D6A64" w:rsidRDefault="004D6A64">
            <w:pPr>
              <w:rPr>
                <w:rFonts w:ascii="宋体"/>
              </w:rPr>
            </w:pPr>
          </w:p>
        </w:tc>
        <w:tc>
          <w:tcPr>
            <w:tcW w:w="5" w:type="pct"/>
            <w:shd w:val="clear" w:color="auto" w:fill="auto"/>
          </w:tcPr>
          <w:p w14:paraId="33DAC44D" w14:textId="77777777" w:rsidR="004D6A64" w:rsidRDefault="004D6A64">
            <w:pPr>
              <w:rPr>
                <w:rFonts w:ascii="宋体"/>
              </w:rPr>
            </w:pPr>
          </w:p>
        </w:tc>
        <w:tc>
          <w:tcPr>
            <w:tcW w:w="50" w:type="pct"/>
            <w:shd w:val="clear" w:color="auto" w:fill="auto"/>
          </w:tcPr>
          <w:p w14:paraId="33DAC44E" w14:textId="77777777" w:rsidR="004D6A64" w:rsidRDefault="004D6A64">
            <w:pPr>
              <w:rPr>
                <w:rFonts w:ascii="宋体"/>
              </w:rPr>
            </w:pPr>
          </w:p>
        </w:tc>
        <w:tc>
          <w:tcPr>
            <w:tcW w:w="588" w:type="pct"/>
            <w:shd w:val="clear" w:color="auto" w:fill="auto"/>
          </w:tcPr>
          <w:p w14:paraId="33DAC44F" w14:textId="77777777" w:rsidR="004D6A64" w:rsidRDefault="004D6A64">
            <w:pPr>
              <w:rPr>
                <w:rFonts w:ascii="宋体"/>
              </w:rPr>
            </w:pPr>
          </w:p>
        </w:tc>
        <w:tc>
          <w:tcPr>
            <w:tcW w:w="5" w:type="pct"/>
            <w:shd w:val="clear" w:color="auto" w:fill="auto"/>
          </w:tcPr>
          <w:p w14:paraId="33DAC450" w14:textId="77777777" w:rsidR="004D6A64" w:rsidRDefault="004D6A64">
            <w:pPr>
              <w:rPr>
                <w:rFonts w:ascii="宋体"/>
              </w:rPr>
            </w:pPr>
          </w:p>
        </w:tc>
        <w:tc>
          <w:tcPr>
            <w:tcW w:w="5" w:type="pct"/>
            <w:shd w:val="clear" w:color="auto" w:fill="auto"/>
          </w:tcPr>
          <w:p w14:paraId="33DAC451" w14:textId="77777777" w:rsidR="004D6A64" w:rsidRDefault="004D6A64">
            <w:pPr>
              <w:rPr>
                <w:rFonts w:ascii="宋体"/>
              </w:rPr>
            </w:pPr>
          </w:p>
        </w:tc>
        <w:tc>
          <w:tcPr>
            <w:tcW w:w="19" w:type="pct"/>
            <w:shd w:val="clear" w:color="auto" w:fill="auto"/>
          </w:tcPr>
          <w:p w14:paraId="33DAC452" w14:textId="77777777" w:rsidR="004D6A64" w:rsidRDefault="004D6A64">
            <w:pPr>
              <w:rPr>
                <w:rFonts w:ascii="宋体"/>
              </w:rPr>
            </w:pPr>
          </w:p>
        </w:tc>
        <w:tc>
          <w:tcPr>
            <w:tcW w:w="5" w:type="pct"/>
            <w:shd w:val="clear" w:color="auto" w:fill="auto"/>
          </w:tcPr>
          <w:p w14:paraId="33DAC453" w14:textId="77777777" w:rsidR="004D6A64" w:rsidRDefault="004D6A64">
            <w:pPr>
              <w:rPr>
                <w:rFonts w:ascii="宋体"/>
              </w:rPr>
            </w:pPr>
          </w:p>
        </w:tc>
        <w:tc>
          <w:tcPr>
            <w:tcW w:w="50" w:type="pct"/>
            <w:shd w:val="clear" w:color="auto" w:fill="auto"/>
          </w:tcPr>
          <w:p w14:paraId="33DAC454" w14:textId="77777777" w:rsidR="004D6A64" w:rsidRDefault="004D6A64">
            <w:pPr>
              <w:rPr>
                <w:rFonts w:ascii="宋体"/>
              </w:rPr>
            </w:pPr>
          </w:p>
        </w:tc>
        <w:tc>
          <w:tcPr>
            <w:tcW w:w="508" w:type="pct"/>
            <w:shd w:val="clear" w:color="auto" w:fill="auto"/>
          </w:tcPr>
          <w:p w14:paraId="33DAC455" w14:textId="77777777" w:rsidR="004D6A64" w:rsidRDefault="004D6A64">
            <w:pPr>
              <w:rPr>
                <w:rFonts w:ascii="宋体"/>
              </w:rPr>
            </w:pPr>
          </w:p>
        </w:tc>
        <w:tc>
          <w:tcPr>
            <w:tcW w:w="5" w:type="pct"/>
            <w:shd w:val="clear" w:color="auto" w:fill="auto"/>
          </w:tcPr>
          <w:p w14:paraId="33DAC456" w14:textId="77777777" w:rsidR="004D6A64" w:rsidRDefault="004D6A64">
            <w:pPr>
              <w:rPr>
                <w:rFonts w:ascii="宋体"/>
              </w:rPr>
            </w:pPr>
          </w:p>
        </w:tc>
      </w:tr>
      <w:tr w:rsidR="004D6A64" w14:paraId="33DAC462" w14:textId="77777777">
        <w:trPr>
          <w:gridAfter w:val="24"/>
          <w:jc w:val="center"/>
        </w:trPr>
        <w:tc>
          <w:tcPr>
            <w:tcW w:w="0" w:type="auto"/>
            <w:gridSpan w:val="3"/>
            <w:shd w:val="clear" w:color="auto" w:fill="auto"/>
            <w:tcMar>
              <w:top w:w="40" w:type="dxa"/>
              <w:left w:w="20" w:type="dxa"/>
              <w:bottom w:w="40" w:type="dxa"/>
              <w:right w:w="20" w:type="dxa"/>
            </w:tcMar>
            <w:vAlign w:val="bottom"/>
          </w:tcPr>
          <w:p w14:paraId="33DAC458" w14:textId="77777777" w:rsidR="004D6A64" w:rsidRDefault="00506CD6">
            <w:pPr>
              <w:jc w:val="cente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33DAC459" w14:textId="77777777" w:rsidR="004D6A64" w:rsidRDefault="00506CD6">
            <w:pPr>
              <w:jc w:val="center"/>
              <w:textAlignment w:val="bottom"/>
            </w:pPr>
            <w:r>
              <w:rPr>
                <w:rFonts w:ascii="Times New Roman" w:eastAsia="宋体" w:hAnsi="Times New Roman"/>
                <w:b/>
                <w:bCs/>
                <w:color w:val="000000"/>
                <w:sz w:val="20"/>
                <w:szCs w:val="20"/>
              </w:rPr>
              <w:t>Infrastructure Solutions Group</w:t>
            </w:r>
          </w:p>
        </w:tc>
        <w:tc>
          <w:tcPr>
            <w:tcW w:w="0" w:type="auto"/>
            <w:gridSpan w:val="3"/>
            <w:shd w:val="clear" w:color="auto" w:fill="auto"/>
            <w:tcMar>
              <w:left w:w="20" w:type="dxa"/>
              <w:right w:w="20" w:type="dxa"/>
            </w:tcMar>
            <w:vAlign w:val="bottom"/>
          </w:tcPr>
          <w:p w14:paraId="33DAC45A" w14:textId="77777777" w:rsidR="004D6A64" w:rsidRDefault="004D6A6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3DAC45B" w14:textId="77777777" w:rsidR="004D6A64" w:rsidRDefault="00506CD6">
            <w:pPr>
              <w:jc w:val="center"/>
              <w:textAlignment w:val="bottom"/>
            </w:pPr>
            <w:r>
              <w:rPr>
                <w:rFonts w:ascii="Times New Roman" w:eastAsia="宋体" w:hAnsi="Times New Roman"/>
                <w:b/>
                <w:bCs/>
                <w:color w:val="000000"/>
                <w:sz w:val="20"/>
                <w:szCs w:val="20"/>
              </w:rPr>
              <w:t>Client Solutions Group</w:t>
            </w:r>
          </w:p>
        </w:tc>
        <w:tc>
          <w:tcPr>
            <w:tcW w:w="0" w:type="auto"/>
            <w:gridSpan w:val="3"/>
            <w:shd w:val="clear" w:color="auto" w:fill="auto"/>
            <w:tcMar>
              <w:left w:w="20" w:type="dxa"/>
              <w:right w:w="20" w:type="dxa"/>
            </w:tcMar>
            <w:vAlign w:val="bottom"/>
          </w:tcPr>
          <w:p w14:paraId="33DAC45C" w14:textId="77777777" w:rsidR="004D6A64" w:rsidRDefault="004D6A6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3DAC45D" w14:textId="77777777" w:rsidR="004D6A64" w:rsidRDefault="00506CD6">
            <w:pPr>
              <w:jc w:val="center"/>
              <w:textAlignment w:val="bottom"/>
            </w:pPr>
            <w:r>
              <w:rPr>
                <w:rFonts w:ascii="Times New Roman" w:eastAsia="宋体" w:hAnsi="Times New Roman"/>
                <w:b/>
                <w:bCs/>
                <w:color w:val="000000"/>
                <w:sz w:val="20"/>
                <w:szCs w:val="20"/>
              </w:rPr>
              <w:t>VMware</w:t>
            </w:r>
          </w:p>
        </w:tc>
        <w:tc>
          <w:tcPr>
            <w:tcW w:w="0" w:type="auto"/>
            <w:gridSpan w:val="3"/>
            <w:shd w:val="clear" w:color="auto" w:fill="auto"/>
            <w:tcMar>
              <w:left w:w="20" w:type="dxa"/>
              <w:right w:w="20" w:type="dxa"/>
            </w:tcMar>
            <w:vAlign w:val="bottom"/>
          </w:tcPr>
          <w:p w14:paraId="33DAC45E" w14:textId="77777777" w:rsidR="004D6A64" w:rsidRDefault="004D6A6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3DAC45F" w14:textId="77777777" w:rsidR="004D6A64" w:rsidRDefault="00506CD6">
            <w:pPr>
              <w:jc w:val="center"/>
              <w:textAlignment w:val="bottom"/>
            </w:pPr>
            <w:r>
              <w:rPr>
                <w:rFonts w:ascii="Times New Roman" w:eastAsia="宋体" w:hAnsi="Times New Roman"/>
                <w:b/>
                <w:bCs/>
                <w:color w:val="000000"/>
                <w:sz w:val="20"/>
                <w:szCs w:val="20"/>
              </w:rPr>
              <w:t>Other Businesses (a)</w:t>
            </w:r>
          </w:p>
        </w:tc>
        <w:tc>
          <w:tcPr>
            <w:tcW w:w="0" w:type="auto"/>
            <w:gridSpan w:val="3"/>
            <w:shd w:val="clear" w:color="auto" w:fill="auto"/>
            <w:tcMar>
              <w:left w:w="20" w:type="dxa"/>
              <w:right w:w="20" w:type="dxa"/>
            </w:tcMar>
            <w:vAlign w:val="bottom"/>
          </w:tcPr>
          <w:p w14:paraId="33DAC460" w14:textId="77777777" w:rsidR="004D6A64" w:rsidRDefault="004D6A6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3DAC461" w14:textId="77777777" w:rsidR="004D6A64" w:rsidRDefault="00506CD6">
            <w:pPr>
              <w:jc w:val="center"/>
              <w:textAlignment w:val="bottom"/>
            </w:pPr>
            <w:r>
              <w:rPr>
                <w:rFonts w:ascii="Times New Roman" w:eastAsia="宋体" w:hAnsi="Times New Roman"/>
                <w:b/>
                <w:bCs/>
                <w:color w:val="000000"/>
                <w:sz w:val="20"/>
                <w:szCs w:val="20"/>
              </w:rPr>
              <w:t>Total</w:t>
            </w:r>
          </w:p>
        </w:tc>
      </w:tr>
      <w:tr w:rsidR="004D6A64" w14:paraId="33DAC46D" w14:textId="77777777">
        <w:trPr>
          <w:jc w:val="center"/>
        </w:trPr>
        <w:tc>
          <w:tcPr>
            <w:tcW w:w="0" w:type="auto"/>
            <w:gridSpan w:val="3"/>
            <w:shd w:val="clear" w:color="auto" w:fill="auto"/>
            <w:tcMar>
              <w:left w:w="20" w:type="dxa"/>
              <w:right w:w="20" w:type="dxa"/>
            </w:tcMar>
            <w:vAlign w:val="bottom"/>
          </w:tcPr>
          <w:p w14:paraId="33DAC463" w14:textId="77777777" w:rsidR="004D6A64" w:rsidRDefault="004D6A64">
            <w:pPr>
              <w:rPr>
                <w:rFonts w:ascii="宋体"/>
              </w:rPr>
            </w:pPr>
          </w:p>
        </w:tc>
        <w:tc>
          <w:tcPr>
            <w:tcW w:w="0" w:type="auto"/>
            <w:gridSpan w:val="27"/>
            <w:tcBorders>
              <w:top w:val="single" w:sz="8" w:space="0" w:color="000000"/>
            </w:tcBorders>
            <w:shd w:val="clear" w:color="auto" w:fill="auto"/>
            <w:tcMar>
              <w:top w:w="40" w:type="dxa"/>
              <w:left w:w="20" w:type="dxa"/>
              <w:bottom w:w="40" w:type="dxa"/>
              <w:right w:w="20" w:type="dxa"/>
            </w:tcMar>
            <w:vAlign w:val="center"/>
          </w:tcPr>
          <w:p w14:paraId="33DAC464" w14:textId="77777777" w:rsidR="004D6A64" w:rsidRDefault="00506CD6">
            <w:pPr>
              <w:jc w:val="center"/>
              <w:textAlignment w:val="center"/>
            </w:pPr>
            <w:r>
              <w:rPr>
                <w:rFonts w:ascii="Times New Roman" w:eastAsia="宋体" w:hAnsi="Times New Roman"/>
                <w:color w:val="000000"/>
                <w:sz w:val="20"/>
                <w:szCs w:val="20"/>
              </w:rPr>
              <w:t>(in millions)</w:t>
            </w:r>
          </w:p>
        </w:tc>
        <w:tc>
          <w:tcPr>
            <w:tcW w:w="0" w:type="auto"/>
            <w:gridSpan w:val="3"/>
            <w:shd w:val="clear" w:color="auto" w:fill="auto"/>
          </w:tcPr>
          <w:p w14:paraId="33DAC465" w14:textId="77777777" w:rsidR="004D6A64" w:rsidRDefault="004D6A64">
            <w:pPr>
              <w:rPr>
                <w:rFonts w:ascii="宋体"/>
                <w:vanish/>
              </w:rPr>
            </w:pPr>
          </w:p>
        </w:tc>
        <w:tc>
          <w:tcPr>
            <w:tcW w:w="0" w:type="auto"/>
            <w:gridSpan w:val="3"/>
            <w:shd w:val="clear" w:color="auto" w:fill="auto"/>
          </w:tcPr>
          <w:p w14:paraId="33DAC466" w14:textId="77777777" w:rsidR="004D6A64" w:rsidRDefault="004D6A64">
            <w:pPr>
              <w:rPr>
                <w:rFonts w:ascii="宋体"/>
                <w:vanish/>
              </w:rPr>
            </w:pPr>
          </w:p>
        </w:tc>
        <w:tc>
          <w:tcPr>
            <w:tcW w:w="0" w:type="auto"/>
            <w:gridSpan w:val="3"/>
            <w:shd w:val="clear" w:color="auto" w:fill="auto"/>
          </w:tcPr>
          <w:p w14:paraId="33DAC467" w14:textId="77777777" w:rsidR="004D6A64" w:rsidRDefault="004D6A64">
            <w:pPr>
              <w:rPr>
                <w:rFonts w:ascii="宋体"/>
                <w:vanish/>
              </w:rPr>
            </w:pPr>
          </w:p>
        </w:tc>
        <w:tc>
          <w:tcPr>
            <w:tcW w:w="0" w:type="auto"/>
            <w:gridSpan w:val="3"/>
            <w:shd w:val="clear" w:color="auto" w:fill="auto"/>
          </w:tcPr>
          <w:p w14:paraId="33DAC468" w14:textId="77777777" w:rsidR="004D6A64" w:rsidRDefault="004D6A64">
            <w:pPr>
              <w:rPr>
                <w:rFonts w:ascii="宋体"/>
                <w:vanish/>
              </w:rPr>
            </w:pPr>
          </w:p>
        </w:tc>
        <w:tc>
          <w:tcPr>
            <w:tcW w:w="0" w:type="auto"/>
            <w:gridSpan w:val="3"/>
            <w:shd w:val="clear" w:color="auto" w:fill="auto"/>
          </w:tcPr>
          <w:p w14:paraId="33DAC469" w14:textId="77777777" w:rsidR="004D6A64" w:rsidRDefault="004D6A64">
            <w:pPr>
              <w:rPr>
                <w:rFonts w:ascii="宋体"/>
                <w:vanish/>
              </w:rPr>
            </w:pPr>
          </w:p>
        </w:tc>
        <w:tc>
          <w:tcPr>
            <w:tcW w:w="0" w:type="auto"/>
            <w:gridSpan w:val="3"/>
            <w:shd w:val="clear" w:color="auto" w:fill="auto"/>
          </w:tcPr>
          <w:p w14:paraId="33DAC46A" w14:textId="77777777" w:rsidR="004D6A64" w:rsidRDefault="004D6A64">
            <w:pPr>
              <w:rPr>
                <w:rFonts w:ascii="宋体"/>
                <w:vanish/>
              </w:rPr>
            </w:pPr>
          </w:p>
        </w:tc>
        <w:tc>
          <w:tcPr>
            <w:tcW w:w="0" w:type="auto"/>
            <w:gridSpan w:val="3"/>
            <w:shd w:val="clear" w:color="auto" w:fill="auto"/>
          </w:tcPr>
          <w:p w14:paraId="33DAC46B" w14:textId="77777777" w:rsidR="004D6A64" w:rsidRDefault="004D6A64">
            <w:pPr>
              <w:rPr>
                <w:rFonts w:ascii="宋体"/>
                <w:vanish/>
              </w:rPr>
            </w:pPr>
          </w:p>
        </w:tc>
        <w:tc>
          <w:tcPr>
            <w:tcW w:w="0" w:type="auto"/>
            <w:gridSpan w:val="3"/>
            <w:shd w:val="clear" w:color="auto" w:fill="auto"/>
          </w:tcPr>
          <w:p w14:paraId="33DAC46C" w14:textId="77777777" w:rsidR="004D6A64" w:rsidRDefault="004D6A64">
            <w:pPr>
              <w:rPr>
                <w:rFonts w:ascii="宋体"/>
                <w:vanish/>
              </w:rPr>
            </w:pPr>
          </w:p>
        </w:tc>
      </w:tr>
      <w:tr w:rsidR="004D6A64" w14:paraId="33DAC49A" w14:textId="77777777">
        <w:trPr>
          <w:jc w:val="center"/>
        </w:trPr>
        <w:tc>
          <w:tcPr>
            <w:tcW w:w="0" w:type="auto"/>
            <w:gridSpan w:val="3"/>
            <w:shd w:val="clear" w:color="auto" w:fill="CCEEFF"/>
            <w:tcMar>
              <w:top w:w="40" w:type="dxa"/>
              <w:left w:w="20" w:type="dxa"/>
              <w:bottom w:w="40" w:type="dxa"/>
              <w:right w:w="20" w:type="dxa"/>
            </w:tcMar>
            <w:vAlign w:val="center"/>
          </w:tcPr>
          <w:p w14:paraId="33DAC46E" w14:textId="77777777" w:rsidR="004D6A64" w:rsidRDefault="00506CD6">
            <w:pPr>
              <w:textAlignment w:val="center"/>
            </w:pPr>
            <w:r>
              <w:rPr>
                <w:rFonts w:ascii="Times New Roman" w:eastAsia="宋体" w:hAnsi="Times New Roman"/>
                <w:i/>
                <w:iCs/>
                <w:color w:val="000000"/>
                <w:sz w:val="20"/>
                <w:szCs w:val="20"/>
              </w:rPr>
              <w:t>Balance as of January 31, 2020</w:t>
            </w:r>
          </w:p>
        </w:tc>
        <w:tc>
          <w:tcPr>
            <w:tcW w:w="0" w:type="auto"/>
            <w:shd w:val="clear" w:color="auto" w:fill="CCEEFF"/>
            <w:tcMar>
              <w:top w:w="40" w:type="dxa"/>
              <w:left w:w="20" w:type="dxa"/>
              <w:bottom w:w="40" w:type="dxa"/>
            </w:tcMar>
            <w:vAlign w:val="center"/>
          </w:tcPr>
          <w:p w14:paraId="33DAC46F"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C470" w14:textId="77777777" w:rsidR="004D6A64" w:rsidRDefault="00506CD6">
            <w:pPr>
              <w:jc w:val="right"/>
              <w:textAlignment w:val="center"/>
            </w:pPr>
            <w:r>
              <w:rPr>
                <w:rFonts w:ascii="Times New Roman" w:eastAsia="宋体" w:hAnsi="Times New Roman"/>
                <w:color w:val="000000"/>
                <w:sz w:val="20"/>
                <w:szCs w:val="20"/>
              </w:rPr>
              <w:t>15,089 </w:t>
            </w:r>
          </w:p>
        </w:tc>
        <w:tc>
          <w:tcPr>
            <w:tcW w:w="0" w:type="auto"/>
            <w:shd w:val="clear" w:color="auto" w:fill="CCEEFF"/>
            <w:tcMar>
              <w:top w:w="40" w:type="dxa"/>
              <w:bottom w:w="40" w:type="dxa"/>
              <w:right w:w="20" w:type="dxa"/>
            </w:tcMar>
            <w:vAlign w:val="center"/>
          </w:tcPr>
          <w:p w14:paraId="33DAC47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472"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C473"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C474" w14:textId="77777777" w:rsidR="004D6A64" w:rsidRDefault="00506CD6">
            <w:pPr>
              <w:jc w:val="right"/>
              <w:textAlignment w:val="center"/>
            </w:pPr>
            <w:r>
              <w:rPr>
                <w:rFonts w:ascii="Times New Roman" w:eastAsia="宋体" w:hAnsi="Times New Roman"/>
                <w:color w:val="000000"/>
                <w:sz w:val="20"/>
                <w:szCs w:val="20"/>
              </w:rPr>
              <w:t>4,237 </w:t>
            </w:r>
          </w:p>
        </w:tc>
        <w:tc>
          <w:tcPr>
            <w:tcW w:w="0" w:type="auto"/>
            <w:shd w:val="clear" w:color="auto" w:fill="CCEEFF"/>
            <w:tcMar>
              <w:top w:w="40" w:type="dxa"/>
              <w:bottom w:w="40" w:type="dxa"/>
              <w:right w:w="20" w:type="dxa"/>
            </w:tcMar>
            <w:vAlign w:val="center"/>
          </w:tcPr>
          <w:p w14:paraId="33DAC47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476"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C477"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C478" w14:textId="77777777" w:rsidR="004D6A64" w:rsidRDefault="00506CD6">
            <w:pPr>
              <w:jc w:val="right"/>
              <w:textAlignment w:val="center"/>
            </w:pPr>
            <w:r>
              <w:rPr>
                <w:rFonts w:ascii="Times New Roman" w:eastAsia="宋体" w:hAnsi="Times New Roman"/>
                <w:color w:val="000000"/>
                <w:sz w:val="20"/>
                <w:szCs w:val="20"/>
              </w:rPr>
              <w:t>20,532 </w:t>
            </w:r>
          </w:p>
        </w:tc>
        <w:tc>
          <w:tcPr>
            <w:tcW w:w="0" w:type="auto"/>
            <w:shd w:val="clear" w:color="auto" w:fill="CCEEFF"/>
            <w:tcMar>
              <w:top w:w="40" w:type="dxa"/>
              <w:bottom w:w="40" w:type="dxa"/>
              <w:right w:w="20" w:type="dxa"/>
            </w:tcMar>
            <w:vAlign w:val="center"/>
          </w:tcPr>
          <w:p w14:paraId="33DAC479"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47A"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C47B"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C47C" w14:textId="77777777" w:rsidR="004D6A64" w:rsidRDefault="00506CD6">
            <w:pPr>
              <w:jc w:val="right"/>
              <w:textAlignment w:val="center"/>
            </w:pPr>
            <w:r>
              <w:rPr>
                <w:rFonts w:ascii="Times New Roman" w:eastAsia="宋体" w:hAnsi="Times New Roman"/>
                <w:color w:val="000000"/>
                <w:sz w:val="20"/>
                <w:szCs w:val="20"/>
              </w:rPr>
              <w:t>1,833 </w:t>
            </w:r>
          </w:p>
        </w:tc>
        <w:tc>
          <w:tcPr>
            <w:tcW w:w="0" w:type="auto"/>
            <w:shd w:val="clear" w:color="auto" w:fill="CCEEFF"/>
            <w:tcMar>
              <w:top w:w="40" w:type="dxa"/>
              <w:bottom w:w="40" w:type="dxa"/>
              <w:right w:w="20" w:type="dxa"/>
            </w:tcMar>
            <w:vAlign w:val="center"/>
          </w:tcPr>
          <w:p w14:paraId="33DAC47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47E"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C47F"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C480" w14:textId="77777777" w:rsidR="004D6A64" w:rsidRDefault="00506CD6">
            <w:pPr>
              <w:jc w:val="right"/>
              <w:textAlignment w:val="center"/>
            </w:pPr>
            <w:r>
              <w:rPr>
                <w:rFonts w:ascii="Times New Roman" w:eastAsia="宋体" w:hAnsi="Times New Roman"/>
                <w:color w:val="000000"/>
                <w:sz w:val="20"/>
                <w:szCs w:val="20"/>
              </w:rPr>
              <w:t>41,691 </w:t>
            </w:r>
          </w:p>
        </w:tc>
        <w:tc>
          <w:tcPr>
            <w:tcW w:w="0" w:type="auto"/>
            <w:shd w:val="clear" w:color="auto" w:fill="CCEEFF"/>
            <w:tcMar>
              <w:top w:w="40" w:type="dxa"/>
              <w:bottom w:w="40" w:type="dxa"/>
              <w:right w:w="20" w:type="dxa"/>
            </w:tcMar>
            <w:vAlign w:val="center"/>
          </w:tcPr>
          <w:p w14:paraId="33DAC481" w14:textId="77777777" w:rsidR="004D6A64" w:rsidRDefault="004D6A64">
            <w:pPr>
              <w:jc w:val="right"/>
              <w:rPr>
                <w:rFonts w:ascii="宋体"/>
              </w:rPr>
            </w:pPr>
          </w:p>
        </w:tc>
        <w:tc>
          <w:tcPr>
            <w:tcW w:w="0" w:type="auto"/>
            <w:shd w:val="clear" w:color="auto" w:fill="auto"/>
          </w:tcPr>
          <w:p w14:paraId="33DAC482" w14:textId="77777777" w:rsidR="004D6A64" w:rsidRDefault="004D6A64">
            <w:pPr>
              <w:rPr>
                <w:rFonts w:ascii="宋体"/>
              </w:rPr>
            </w:pPr>
          </w:p>
        </w:tc>
        <w:tc>
          <w:tcPr>
            <w:tcW w:w="0" w:type="auto"/>
            <w:shd w:val="clear" w:color="auto" w:fill="auto"/>
          </w:tcPr>
          <w:p w14:paraId="33DAC483" w14:textId="77777777" w:rsidR="004D6A64" w:rsidRDefault="004D6A64">
            <w:pPr>
              <w:rPr>
                <w:rFonts w:ascii="宋体"/>
              </w:rPr>
            </w:pPr>
          </w:p>
        </w:tc>
        <w:tc>
          <w:tcPr>
            <w:tcW w:w="0" w:type="auto"/>
            <w:shd w:val="clear" w:color="auto" w:fill="auto"/>
          </w:tcPr>
          <w:p w14:paraId="33DAC484" w14:textId="77777777" w:rsidR="004D6A64" w:rsidRDefault="004D6A64">
            <w:pPr>
              <w:rPr>
                <w:rFonts w:ascii="宋体"/>
              </w:rPr>
            </w:pPr>
          </w:p>
        </w:tc>
        <w:tc>
          <w:tcPr>
            <w:tcW w:w="0" w:type="auto"/>
            <w:shd w:val="clear" w:color="auto" w:fill="auto"/>
          </w:tcPr>
          <w:p w14:paraId="33DAC485" w14:textId="77777777" w:rsidR="004D6A64" w:rsidRDefault="004D6A64">
            <w:pPr>
              <w:rPr>
                <w:rFonts w:ascii="宋体"/>
              </w:rPr>
            </w:pPr>
          </w:p>
        </w:tc>
        <w:tc>
          <w:tcPr>
            <w:tcW w:w="0" w:type="auto"/>
            <w:shd w:val="clear" w:color="auto" w:fill="auto"/>
          </w:tcPr>
          <w:p w14:paraId="33DAC486" w14:textId="77777777" w:rsidR="004D6A64" w:rsidRDefault="004D6A64">
            <w:pPr>
              <w:rPr>
                <w:rFonts w:ascii="宋体"/>
              </w:rPr>
            </w:pPr>
          </w:p>
        </w:tc>
        <w:tc>
          <w:tcPr>
            <w:tcW w:w="0" w:type="auto"/>
            <w:shd w:val="clear" w:color="auto" w:fill="auto"/>
          </w:tcPr>
          <w:p w14:paraId="33DAC487" w14:textId="77777777" w:rsidR="004D6A64" w:rsidRDefault="004D6A64">
            <w:pPr>
              <w:rPr>
                <w:rFonts w:ascii="宋体"/>
              </w:rPr>
            </w:pPr>
          </w:p>
        </w:tc>
        <w:tc>
          <w:tcPr>
            <w:tcW w:w="0" w:type="auto"/>
            <w:shd w:val="clear" w:color="auto" w:fill="auto"/>
          </w:tcPr>
          <w:p w14:paraId="33DAC488" w14:textId="77777777" w:rsidR="004D6A64" w:rsidRDefault="004D6A64">
            <w:pPr>
              <w:rPr>
                <w:rFonts w:ascii="宋体"/>
              </w:rPr>
            </w:pPr>
          </w:p>
        </w:tc>
        <w:tc>
          <w:tcPr>
            <w:tcW w:w="0" w:type="auto"/>
            <w:shd w:val="clear" w:color="auto" w:fill="auto"/>
          </w:tcPr>
          <w:p w14:paraId="33DAC489" w14:textId="77777777" w:rsidR="004D6A64" w:rsidRDefault="004D6A64">
            <w:pPr>
              <w:rPr>
                <w:rFonts w:ascii="宋体"/>
              </w:rPr>
            </w:pPr>
          </w:p>
        </w:tc>
        <w:tc>
          <w:tcPr>
            <w:tcW w:w="0" w:type="auto"/>
            <w:shd w:val="clear" w:color="auto" w:fill="auto"/>
          </w:tcPr>
          <w:p w14:paraId="33DAC48A" w14:textId="77777777" w:rsidR="004D6A64" w:rsidRDefault="004D6A64">
            <w:pPr>
              <w:rPr>
                <w:rFonts w:ascii="宋体"/>
              </w:rPr>
            </w:pPr>
          </w:p>
        </w:tc>
        <w:tc>
          <w:tcPr>
            <w:tcW w:w="0" w:type="auto"/>
            <w:shd w:val="clear" w:color="auto" w:fill="auto"/>
          </w:tcPr>
          <w:p w14:paraId="33DAC48B" w14:textId="77777777" w:rsidR="004D6A64" w:rsidRDefault="004D6A64">
            <w:pPr>
              <w:rPr>
                <w:rFonts w:ascii="宋体"/>
              </w:rPr>
            </w:pPr>
          </w:p>
        </w:tc>
        <w:tc>
          <w:tcPr>
            <w:tcW w:w="0" w:type="auto"/>
            <w:shd w:val="clear" w:color="auto" w:fill="auto"/>
          </w:tcPr>
          <w:p w14:paraId="33DAC48C" w14:textId="77777777" w:rsidR="004D6A64" w:rsidRDefault="004D6A64">
            <w:pPr>
              <w:rPr>
                <w:rFonts w:ascii="宋体"/>
              </w:rPr>
            </w:pPr>
          </w:p>
        </w:tc>
        <w:tc>
          <w:tcPr>
            <w:tcW w:w="0" w:type="auto"/>
            <w:shd w:val="clear" w:color="auto" w:fill="auto"/>
          </w:tcPr>
          <w:p w14:paraId="33DAC48D" w14:textId="77777777" w:rsidR="004D6A64" w:rsidRDefault="004D6A64">
            <w:pPr>
              <w:rPr>
                <w:rFonts w:ascii="宋体"/>
              </w:rPr>
            </w:pPr>
          </w:p>
        </w:tc>
        <w:tc>
          <w:tcPr>
            <w:tcW w:w="0" w:type="auto"/>
            <w:shd w:val="clear" w:color="auto" w:fill="auto"/>
          </w:tcPr>
          <w:p w14:paraId="33DAC48E" w14:textId="77777777" w:rsidR="004D6A64" w:rsidRDefault="004D6A64">
            <w:pPr>
              <w:rPr>
                <w:rFonts w:ascii="宋体"/>
              </w:rPr>
            </w:pPr>
          </w:p>
        </w:tc>
        <w:tc>
          <w:tcPr>
            <w:tcW w:w="0" w:type="auto"/>
            <w:shd w:val="clear" w:color="auto" w:fill="auto"/>
          </w:tcPr>
          <w:p w14:paraId="33DAC48F" w14:textId="77777777" w:rsidR="004D6A64" w:rsidRDefault="004D6A64">
            <w:pPr>
              <w:rPr>
                <w:rFonts w:ascii="宋体"/>
              </w:rPr>
            </w:pPr>
          </w:p>
        </w:tc>
        <w:tc>
          <w:tcPr>
            <w:tcW w:w="0" w:type="auto"/>
            <w:shd w:val="clear" w:color="auto" w:fill="auto"/>
          </w:tcPr>
          <w:p w14:paraId="33DAC490" w14:textId="77777777" w:rsidR="004D6A64" w:rsidRDefault="004D6A64">
            <w:pPr>
              <w:rPr>
                <w:rFonts w:ascii="宋体"/>
              </w:rPr>
            </w:pPr>
          </w:p>
        </w:tc>
        <w:tc>
          <w:tcPr>
            <w:tcW w:w="0" w:type="auto"/>
            <w:shd w:val="clear" w:color="auto" w:fill="auto"/>
          </w:tcPr>
          <w:p w14:paraId="33DAC491" w14:textId="77777777" w:rsidR="004D6A64" w:rsidRDefault="004D6A64">
            <w:pPr>
              <w:rPr>
                <w:rFonts w:ascii="宋体"/>
              </w:rPr>
            </w:pPr>
          </w:p>
        </w:tc>
        <w:tc>
          <w:tcPr>
            <w:tcW w:w="0" w:type="auto"/>
            <w:shd w:val="clear" w:color="auto" w:fill="auto"/>
          </w:tcPr>
          <w:p w14:paraId="33DAC492" w14:textId="77777777" w:rsidR="004D6A64" w:rsidRDefault="004D6A64">
            <w:pPr>
              <w:rPr>
                <w:rFonts w:ascii="宋体"/>
              </w:rPr>
            </w:pPr>
          </w:p>
        </w:tc>
        <w:tc>
          <w:tcPr>
            <w:tcW w:w="0" w:type="auto"/>
            <w:shd w:val="clear" w:color="auto" w:fill="auto"/>
          </w:tcPr>
          <w:p w14:paraId="33DAC493" w14:textId="77777777" w:rsidR="004D6A64" w:rsidRDefault="004D6A64">
            <w:pPr>
              <w:rPr>
                <w:rFonts w:ascii="宋体"/>
              </w:rPr>
            </w:pPr>
          </w:p>
        </w:tc>
        <w:tc>
          <w:tcPr>
            <w:tcW w:w="0" w:type="auto"/>
            <w:shd w:val="clear" w:color="auto" w:fill="auto"/>
          </w:tcPr>
          <w:p w14:paraId="33DAC494" w14:textId="77777777" w:rsidR="004D6A64" w:rsidRDefault="004D6A64">
            <w:pPr>
              <w:rPr>
                <w:rFonts w:ascii="宋体"/>
              </w:rPr>
            </w:pPr>
          </w:p>
        </w:tc>
        <w:tc>
          <w:tcPr>
            <w:tcW w:w="0" w:type="auto"/>
            <w:shd w:val="clear" w:color="auto" w:fill="auto"/>
          </w:tcPr>
          <w:p w14:paraId="33DAC495" w14:textId="77777777" w:rsidR="004D6A64" w:rsidRDefault="004D6A64">
            <w:pPr>
              <w:rPr>
                <w:rFonts w:ascii="宋体"/>
              </w:rPr>
            </w:pPr>
          </w:p>
        </w:tc>
        <w:tc>
          <w:tcPr>
            <w:tcW w:w="0" w:type="auto"/>
            <w:shd w:val="clear" w:color="auto" w:fill="auto"/>
          </w:tcPr>
          <w:p w14:paraId="33DAC496" w14:textId="77777777" w:rsidR="004D6A64" w:rsidRDefault="004D6A64">
            <w:pPr>
              <w:rPr>
                <w:rFonts w:ascii="宋体"/>
              </w:rPr>
            </w:pPr>
          </w:p>
        </w:tc>
        <w:tc>
          <w:tcPr>
            <w:tcW w:w="0" w:type="auto"/>
            <w:shd w:val="clear" w:color="auto" w:fill="auto"/>
          </w:tcPr>
          <w:p w14:paraId="33DAC497" w14:textId="77777777" w:rsidR="004D6A64" w:rsidRDefault="004D6A64">
            <w:pPr>
              <w:rPr>
                <w:rFonts w:ascii="宋体"/>
              </w:rPr>
            </w:pPr>
          </w:p>
        </w:tc>
        <w:tc>
          <w:tcPr>
            <w:tcW w:w="0" w:type="auto"/>
            <w:shd w:val="clear" w:color="auto" w:fill="auto"/>
          </w:tcPr>
          <w:p w14:paraId="33DAC498" w14:textId="77777777" w:rsidR="004D6A64" w:rsidRDefault="004D6A64">
            <w:pPr>
              <w:rPr>
                <w:rFonts w:ascii="宋体"/>
              </w:rPr>
            </w:pPr>
          </w:p>
        </w:tc>
        <w:tc>
          <w:tcPr>
            <w:tcW w:w="0" w:type="auto"/>
            <w:shd w:val="clear" w:color="auto" w:fill="auto"/>
          </w:tcPr>
          <w:p w14:paraId="33DAC499" w14:textId="77777777" w:rsidR="004D6A64" w:rsidRDefault="004D6A64">
            <w:pPr>
              <w:rPr>
                <w:rFonts w:ascii="宋体"/>
              </w:rPr>
            </w:pPr>
          </w:p>
        </w:tc>
      </w:tr>
      <w:tr w:rsidR="004D6A64" w14:paraId="33DAC4C2" w14:textId="77777777">
        <w:trPr>
          <w:jc w:val="center"/>
        </w:trPr>
        <w:tc>
          <w:tcPr>
            <w:tcW w:w="0" w:type="auto"/>
            <w:gridSpan w:val="3"/>
            <w:shd w:val="clear" w:color="auto" w:fill="FFFFFF"/>
            <w:tcMar>
              <w:top w:w="40" w:type="dxa"/>
              <w:left w:w="135" w:type="dxa"/>
              <w:bottom w:w="40" w:type="dxa"/>
              <w:right w:w="20" w:type="dxa"/>
            </w:tcMar>
            <w:vAlign w:val="center"/>
          </w:tcPr>
          <w:p w14:paraId="33DAC49B" w14:textId="77777777" w:rsidR="004D6A64" w:rsidRDefault="00506CD6">
            <w:pPr>
              <w:textAlignment w:val="center"/>
            </w:pPr>
            <w:r>
              <w:rPr>
                <w:rFonts w:ascii="Times New Roman" w:eastAsia="宋体" w:hAnsi="Times New Roman"/>
                <w:color w:val="000000"/>
                <w:sz w:val="20"/>
                <w:szCs w:val="20"/>
              </w:rPr>
              <w:t>Goodwill acquired (b)</w:t>
            </w:r>
          </w:p>
        </w:tc>
        <w:tc>
          <w:tcPr>
            <w:tcW w:w="0" w:type="auto"/>
            <w:gridSpan w:val="2"/>
            <w:shd w:val="clear" w:color="auto" w:fill="FFFFFF"/>
            <w:tcMar>
              <w:top w:w="40" w:type="dxa"/>
              <w:left w:w="20" w:type="dxa"/>
              <w:bottom w:w="40" w:type="dxa"/>
              <w:right w:w="0" w:type="dxa"/>
            </w:tcMar>
            <w:vAlign w:val="center"/>
          </w:tcPr>
          <w:p w14:paraId="33DAC49C"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C49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49E"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49F"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C4A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4A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4A2" w14:textId="77777777" w:rsidR="004D6A64" w:rsidRDefault="00506CD6">
            <w:pPr>
              <w:jc w:val="right"/>
              <w:textAlignment w:val="center"/>
            </w:pPr>
            <w:r>
              <w:rPr>
                <w:rFonts w:ascii="Times New Roman" w:eastAsia="宋体" w:hAnsi="Times New Roman"/>
                <w:color w:val="000000"/>
                <w:sz w:val="20"/>
                <w:szCs w:val="20"/>
              </w:rPr>
              <w:t>218 </w:t>
            </w:r>
          </w:p>
        </w:tc>
        <w:tc>
          <w:tcPr>
            <w:tcW w:w="0" w:type="auto"/>
            <w:shd w:val="clear" w:color="auto" w:fill="FFFFFF"/>
            <w:tcMar>
              <w:top w:w="40" w:type="dxa"/>
              <w:bottom w:w="40" w:type="dxa"/>
              <w:right w:w="20" w:type="dxa"/>
            </w:tcMar>
            <w:vAlign w:val="center"/>
          </w:tcPr>
          <w:p w14:paraId="33DAC4A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4A4"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4A5"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C4A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4A7"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4A8" w14:textId="77777777" w:rsidR="004D6A64" w:rsidRDefault="00506CD6">
            <w:pPr>
              <w:jc w:val="right"/>
              <w:textAlignment w:val="center"/>
            </w:pPr>
            <w:r>
              <w:rPr>
                <w:rFonts w:ascii="Times New Roman" w:eastAsia="宋体" w:hAnsi="Times New Roman"/>
                <w:color w:val="000000"/>
                <w:sz w:val="20"/>
                <w:szCs w:val="20"/>
              </w:rPr>
              <w:t>218 </w:t>
            </w:r>
          </w:p>
        </w:tc>
        <w:tc>
          <w:tcPr>
            <w:tcW w:w="0" w:type="auto"/>
            <w:shd w:val="clear" w:color="auto" w:fill="FFFFFF"/>
            <w:tcMar>
              <w:top w:w="40" w:type="dxa"/>
              <w:bottom w:w="40" w:type="dxa"/>
              <w:right w:w="20" w:type="dxa"/>
            </w:tcMar>
            <w:vAlign w:val="center"/>
          </w:tcPr>
          <w:p w14:paraId="33DAC4A9" w14:textId="77777777" w:rsidR="004D6A64" w:rsidRDefault="004D6A64">
            <w:pPr>
              <w:jc w:val="right"/>
              <w:rPr>
                <w:rFonts w:ascii="宋体"/>
              </w:rPr>
            </w:pPr>
          </w:p>
        </w:tc>
        <w:tc>
          <w:tcPr>
            <w:tcW w:w="0" w:type="auto"/>
            <w:shd w:val="clear" w:color="auto" w:fill="auto"/>
          </w:tcPr>
          <w:p w14:paraId="33DAC4AA" w14:textId="77777777" w:rsidR="004D6A64" w:rsidRDefault="004D6A64">
            <w:pPr>
              <w:rPr>
                <w:rFonts w:ascii="宋体"/>
              </w:rPr>
            </w:pPr>
          </w:p>
        </w:tc>
        <w:tc>
          <w:tcPr>
            <w:tcW w:w="0" w:type="auto"/>
            <w:shd w:val="clear" w:color="auto" w:fill="auto"/>
          </w:tcPr>
          <w:p w14:paraId="33DAC4AB" w14:textId="77777777" w:rsidR="004D6A64" w:rsidRDefault="004D6A64">
            <w:pPr>
              <w:rPr>
                <w:rFonts w:ascii="宋体"/>
              </w:rPr>
            </w:pPr>
          </w:p>
        </w:tc>
        <w:tc>
          <w:tcPr>
            <w:tcW w:w="0" w:type="auto"/>
            <w:shd w:val="clear" w:color="auto" w:fill="auto"/>
          </w:tcPr>
          <w:p w14:paraId="33DAC4AC" w14:textId="77777777" w:rsidR="004D6A64" w:rsidRDefault="004D6A64">
            <w:pPr>
              <w:rPr>
                <w:rFonts w:ascii="宋体"/>
              </w:rPr>
            </w:pPr>
          </w:p>
        </w:tc>
        <w:tc>
          <w:tcPr>
            <w:tcW w:w="0" w:type="auto"/>
            <w:shd w:val="clear" w:color="auto" w:fill="auto"/>
          </w:tcPr>
          <w:p w14:paraId="33DAC4AD" w14:textId="77777777" w:rsidR="004D6A64" w:rsidRDefault="004D6A64">
            <w:pPr>
              <w:rPr>
                <w:rFonts w:ascii="宋体"/>
              </w:rPr>
            </w:pPr>
          </w:p>
        </w:tc>
        <w:tc>
          <w:tcPr>
            <w:tcW w:w="0" w:type="auto"/>
            <w:shd w:val="clear" w:color="auto" w:fill="auto"/>
          </w:tcPr>
          <w:p w14:paraId="33DAC4AE" w14:textId="77777777" w:rsidR="004D6A64" w:rsidRDefault="004D6A64">
            <w:pPr>
              <w:rPr>
                <w:rFonts w:ascii="宋体"/>
              </w:rPr>
            </w:pPr>
          </w:p>
        </w:tc>
        <w:tc>
          <w:tcPr>
            <w:tcW w:w="0" w:type="auto"/>
            <w:shd w:val="clear" w:color="auto" w:fill="auto"/>
          </w:tcPr>
          <w:p w14:paraId="33DAC4AF" w14:textId="77777777" w:rsidR="004D6A64" w:rsidRDefault="004D6A64">
            <w:pPr>
              <w:rPr>
                <w:rFonts w:ascii="宋体"/>
              </w:rPr>
            </w:pPr>
          </w:p>
        </w:tc>
        <w:tc>
          <w:tcPr>
            <w:tcW w:w="0" w:type="auto"/>
            <w:shd w:val="clear" w:color="auto" w:fill="auto"/>
          </w:tcPr>
          <w:p w14:paraId="33DAC4B0" w14:textId="77777777" w:rsidR="004D6A64" w:rsidRDefault="004D6A64">
            <w:pPr>
              <w:rPr>
                <w:rFonts w:ascii="宋体"/>
              </w:rPr>
            </w:pPr>
          </w:p>
        </w:tc>
        <w:tc>
          <w:tcPr>
            <w:tcW w:w="0" w:type="auto"/>
            <w:shd w:val="clear" w:color="auto" w:fill="auto"/>
          </w:tcPr>
          <w:p w14:paraId="33DAC4B1" w14:textId="77777777" w:rsidR="004D6A64" w:rsidRDefault="004D6A64">
            <w:pPr>
              <w:rPr>
                <w:rFonts w:ascii="宋体"/>
              </w:rPr>
            </w:pPr>
          </w:p>
        </w:tc>
        <w:tc>
          <w:tcPr>
            <w:tcW w:w="0" w:type="auto"/>
            <w:shd w:val="clear" w:color="auto" w:fill="auto"/>
          </w:tcPr>
          <w:p w14:paraId="33DAC4B2" w14:textId="77777777" w:rsidR="004D6A64" w:rsidRDefault="004D6A64">
            <w:pPr>
              <w:rPr>
                <w:rFonts w:ascii="宋体"/>
              </w:rPr>
            </w:pPr>
          </w:p>
        </w:tc>
        <w:tc>
          <w:tcPr>
            <w:tcW w:w="0" w:type="auto"/>
            <w:shd w:val="clear" w:color="auto" w:fill="auto"/>
          </w:tcPr>
          <w:p w14:paraId="33DAC4B3" w14:textId="77777777" w:rsidR="004D6A64" w:rsidRDefault="004D6A64">
            <w:pPr>
              <w:rPr>
                <w:rFonts w:ascii="宋体"/>
              </w:rPr>
            </w:pPr>
          </w:p>
        </w:tc>
        <w:tc>
          <w:tcPr>
            <w:tcW w:w="0" w:type="auto"/>
            <w:shd w:val="clear" w:color="auto" w:fill="auto"/>
          </w:tcPr>
          <w:p w14:paraId="33DAC4B4" w14:textId="77777777" w:rsidR="004D6A64" w:rsidRDefault="004D6A64">
            <w:pPr>
              <w:rPr>
                <w:rFonts w:ascii="宋体"/>
              </w:rPr>
            </w:pPr>
          </w:p>
        </w:tc>
        <w:tc>
          <w:tcPr>
            <w:tcW w:w="0" w:type="auto"/>
            <w:shd w:val="clear" w:color="auto" w:fill="auto"/>
          </w:tcPr>
          <w:p w14:paraId="33DAC4B5" w14:textId="77777777" w:rsidR="004D6A64" w:rsidRDefault="004D6A64">
            <w:pPr>
              <w:rPr>
                <w:rFonts w:ascii="宋体"/>
              </w:rPr>
            </w:pPr>
          </w:p>
        </w:tc>
        <w:tc>
          <w:tcPr>
            <w:tcW w:w="0" w:type="auto"/>
            <w:shd w:val="clear" w:color="auto" w:fill="auto"/>
          </w:tcPr>
          <w:p w14:paraId="33DAC4B6" w14:textId="77777777" w:rsidR="004D6A64" w:rsidRDefault="004D6A64">
            <w:pPr>
              <w:rPr>
                <w:rFonts w:ascii="宋体"/>
              </w:rPr>
            </w:pPr>
          </w:p>
        </w:tc>
        <w:tc>
          <w:tcPr>
            <w:tcW w:w="0" w:type="auto"/>
            <w:shd w:val="clear" w:color="auto" w:fill="auto"/>
          </w:tcPr>
          <w:p w14:paraId="33DAC4B7" w14:textId="77777777" w:rsidR="004D6A64" w:rsidRDefault="004D6A64">
            <w:pPr>
              <w:rPr>
                <w:rFonts w:ascii="宋体"/>
              </w:rPr>
            </w:pPr>
          </w:p>
        </w:tc>
        <w:tc>
          <w:tcPr>
            <w:tcW w:w="0" w:type="auto"/>
            <w:shd w:val="clear" w:color="auto" w:fill="auto"/>
          </w:tcPr>
          <w:p w14:paraId="33DAC4B8" w14:textId="77777777" w:rsidR="004D6A64" w:rsidRDefault="004D6A64">
            <w:pPr>
              <w:rPr>
                <w:rFonts w:ascii="宋体"/>
              </w:rPr>
            </w:pPr>
          </w:p>
        </w:tc>
        <w:tc>
          <w:tcPr>
            <w:tcW w:w="0" w:type="auto"/>
            <w:shd w:val="clear" w:color="auto" w:fill="auto"/>
          </w:tcPr>
          <w:p w14:paraId="33DAC4B9" w14:textId="77777777" w:rsidR="004D6A64" w:rsidRDefault="004D6A64">
            <w:pPr>
              <w:rPr>
                <w:rFonts w:ascii="宋体"/>
              </w:rPr>
            </w:pPr>
          </w:p>
        </w:tc>
        <w:tc>
          <w:tcPr>
            <w:tcW w:w="0" w:type="auto"/>
            <w:shd w:val="clear" w:color="auto" w:fill="auto"/>
          </w:tcPr>
          <w:p w14:paraId="33DAC4BA" w14:textId="77777777" w:rsidR="004D6A64" w:rsidRDefault="004D6A64">
            <w:pPr>
              <w:rPr>
                <w:rFonts w:ascii="宋体"/>
              </w:rPr>
            </w:pPr>
          </w:p>
        </w:tc>
        <w:tc>
          <w:tcPr>
            <w:tcW w:w="0" w:type="auto"/>
            <w:shd w:val="clear" w:color="auto" w:fill="auto"/>
          </w:tcPr>
          <w:p w14:paraId="33DAC4BB" w14:textId="77777777" w:rsidR="004D6A64" w:rsidRDefault="004D6A64">
            <w:pPr>
              <w:rPr>
                <w:rFonts w:ascii="宋体"/>
              </w:rPr>
            </w:pPr>
          </w:p>
        </w:tc>
        <w:tc>
          <w:tcPr>
            <w:tcW w:w="0" w:type="auto"/>
            <w:shd w:val="clear" w:color="auto" w:fill="auto"/>
          </w:tcPr>
          <w:p w14:paraId="33DAC4BC" w14:textId="77777777" w:rsidR="004D6A64" w:rsidRDefault="004D6A64">
            <w:pPr>
              <w:rPr>
                <w:rFonts w:ascii="宋体"/>
              </w:rPr>
            </w:pPr>
          </w:p>
        </w:tc>
        <w:tc>
          <w:tcPr>
            <w:tcW w:w="0" w:type="auto"/>
            <w:shd w:val="clear" w:color="auto" w:fill="auto"/>
          </w:tcPr>
          <w:p w14:paraId="33DAC4BD" w14:textId="77777777" w:rsidR="004D6A64" w:rsidRDefault="004D6A64">
            <w:pPr>
              <w:rPr>
                <w:rFonts w:ascii="宋体"/>
              </w:rPr>
            </w:pPr>
          </w:p>
        </w:tc>
        <w:tc>
          <w:tcPr>
            <w:tcW w:w="0" w:type="auto"/>
            <w:shd w:val="clear" w:color="auto" w:fill="auto"/>
          </w:tcPr>
          <w:p w14:paraId="33DAC4BE" w14:textId="77777777" w:rsidR="004D6A64" w:rsidRDefault="004D6A64">
            <w:pPr>
              <w:rPr>
                <w:rFonts w:ascii="宋体"/>
              </w:rPr>
            </w:pPr>
          </w:p>
        </w:tc>
        <w:tc>
          <w:tcPr>
            <w:tcW w:w="0" w:type="auto"/>
            <w:shd w:val="clear" w:color="auto" w:fill="auto"/>
          </w:tcPr>
          <w:p w14:paraId="33DAC4BF" w14:textId="77777777" w:rsidR="004D6A64" w:rsidRDefault="004D6A64">
            <w:pPr>
              <w:rPr>
                <w:rFonts w:ascii="宋体"/>
              </w:rPr>
            </w:pPr>
          </w:p>
        </w:tc>
        <w:tc>
          <w:tcPr>
            <w:tcW w:w="0" w:type="auto"/>
            <w:shd w:val="clear" w:color="auto" w:fill="auto"/>
          </w:tcPr>
          <w:p w14:paraId="33DAC4C0" w14:textId="77777777" w:rsidR="004D6A64" w:rsidRDefault="004D6A64">
            <w:pPr>
              <w:rPr>
                <w:rFonts w:ascii="宋体"/>
              </w:rPr>
            </w:pPr>
          </w:p>
        </w:tc>
        <w:tc>
          <w:tcPr>
            <w:tcW w:w="0" w:type="auto"/>
            <w:shd w:val="clear" w:color="auto" w:fill="auto"/>
          </w:tcPr>
          <w:p w14:paraId="33DAC4C1" w14:textId="77777777" w:rsidR="004D6A64" w:rsidRDefault="004D6A64">
            <w:pPr>
              <w:rPr>
                <w:rFonts w:ascii="宋体"/>
              </w:rPr>
            </w:pPr>
          </w:p>
        </w:tc>
      </w:tr>
      <w:tr w:rsidR="004D6A64" w14:paraId="33DAC4EA" w14:textId="77777777">
        <w:trPr>
          <w:jc w:val="center"/>
        </w:trPr>
        <w:tc>
          <w:tcPr>
            <w:tcW w:w="0" w:type="auto"/>
            <w:gridSpan w:val="3"/>
            <w:shd w:val="clear" w:color="auto" w:fill="CCEEFF"/>
            <w:tcMar>
              <w:top w:w="40" w:type="dxa"/>
              <w:left w:w="135" w:type="dxa"/>
              <w:bottom w:w="40" w:type="dxa"/>
              <w:right w:w="20" w:type="dxa"/>
            </w:tcMar>
            <w:vAlign w:val="center"/>
          </w:tcPr>
          <w:p w14:paraId="33DAC4C3" w14:textId="77777777" w:rsidR="004D6A64" w:rsidRDefault="00506CD6">
            <w:pPr>
              <w:textAlignment w:val="center"/>
            </w:pPr>
            <w:r>
              <w:rPr>
                <w:rFonts w:ascii="Times New Roman" w:eastAsia="宋体" w:hAnsi="Times New Roman"/>
                <w:color w:val="000000"/>
                <w:sz w:val="20"/>
                <w:szCs w:val="20"/>
              </w:rPr>
              <w:t>Impact of foreign currency translation</w:t>
            </w:r>
          </w:p>
        </w:tc>
        <w:tc>
          <w:tcPr>
            <w:tcW w:w="0" w:type="auto"/>
            <w:gridSpan w:val="2"/>
            <w:shd w:val="clear" w:color="auto" w:fill="CCEEFF"/>
            <w:tcMar>
              <w:top w:w="40" w:type="dxa"/>
              <w:left w:w="20" w:type="dxa"/>
              <w:bottom w:w="40" w:type="dxa"/>
              <w:right w:w="0" w:type="dxa"/>
            </w:tcMar>
            <w:vAlign w:val="center"/>
          </w:tcPr>
          <w:p w14:paraId="33DAC4C4" w14:textId="77777777" w:rsidR="004D6A64" w:rsidRDefault="00506CD6">
            <w:pPr>
              <w:jc w:val="right"/>
              <w:textAlignment w:val="center"/>
            </w:pPr>
            <w:r>
              <w:rPr>
                <w:rFonts w:ascii="Times New Roman" w:eastAsia="宋体" w:hAnsi="Times New Roman"/>
                <w:color w:val="000000"/>
                <w:sz w:val="20"/>
                <w:szCs w:val="20"/>
              </w:rPr>
              <w:t>111 </w:t>
            </w:r>
          </w:p>
        </w:tc>
        <w:tc>
          <w:tcPr>
            <w:tcW w:w="0" w:type="auto"/>
            <w:shd w:val="clear" w:color="auto" w:fill="CCEEFF"/>
            <w:tcMar>
              <w:top w:w="40" w:type="dxa"/>
              <w:bottom w:w="40" w:type="dxa"/>
              <w:right w:w="20" w:type="dxa"/>
            </w:tcMar>
            <w:vAlign w:val="center"/>
          </w:tcPr>
          <w:p w14:paraId="33DAC4C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4C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4C7"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C4C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4C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4CA"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C4C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4CC"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4CD" w14:textId="77777777" w:rsidR="004D6A64" w:rsidRDefault="00506CD6">
            <w:pPr>
              <w:jc w:val="right"/>
              <w:textAlignment w:val="center"/>
            </w:pPr>
            <w:r>
              <w:rPr>
                <w:rFonts w:ascii="Times New Roman" w:eastAsia="宋体" w:hAnsi="Times New Roman"/>
                <w:color w:val="000000"/>
                <w:sz w:val="20"/>
                <w:szCs w:val="20"/>
              </w:rPr>
              <w:t>7 </w:t>
            </w:r>
          </w:p>
        </w:tc>
        <w:tc>
          <w:tcPr>
            <w:tcW w:w="0" w:type="auto"/>
            <w:shd w:val="clear" w:color="auto" w:fill="CCEEFF"/>
            <w:tcMar>
              <w:top w:w="40" w:type="dxa"/>
              <w:bottom w:w="40" w:type="dxa"/>
              <w:right w:w="20" w:type="dxa"/>
            </w:tcMar>
            <w:vAlign w:val="center"/>
          </w:tcPr>
          <w:p w14:paraId="33DAC4C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4C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4D0" w14:textId="77777777" w:rsidR="004D6A64" w:rsidRDefault="00506CD6">
            <w:pPr>
              <w:jc w:val="right"/>
              <w:textAlignment w:val="center"/>
            </w:pPr>
            <w:r>
              <w:rPr>
                <w:rFonts w:ascii="Times New Roman" w:eastAsia="宋体" w:hAnsi="Times New Roman"/>
                <w:color w:val="000000"/>
                <w:sz w:val="20"/>
                <w:szCs w:val="20"/>
              </w:rPr>
              <w:t>118 </w:t>
            </w:r>
          </w:p>
        </w:tc>
        <w:tc>
          <w:tcPr>
            <w:tcW w:w="0" w:type="auto"/>
            <w:shd w:val="clear" w:color="auto" w:fill="CCEEFF"/>
            <w:tcMar>
              <w:top w:w="40" w:type="dxa"/>
              <w:bottom w:w="40" w:type="dxa"/>
              <w:right w:w="20" w:type="dxa"/>
            </w:tcMar>
            <w:vAlign w:val="center"/>
          </w:tcPr>
          <w:p w14:paraId="33DAC4D1" w14:textId="77777777" w:rsidR="004D6A64" w:rsidRDefault="004D6A64">
            <w:pPr>
              <w:jc w:val="right"/>
              <w:rPr>
                <w:rFonts w:ascii="宋体"/>
              </w:rPr>
            </w:pPr>
          </w:p>
        </w:tc>
        <w:tc>
          <w:tcPr>
            <w:tcW w:w="0" w:type="auto"/>
            <w:shd w:val="clear" w:color="auto" w:fill="auto"/>
          </w:tcPr>
          <w:p w14:paraId="33DAC4D2" w14:textId="77777777" w:rsidR="004D6A64" w:rsidRDefault="004D6A64">
            <w:pPr>
              <w:rPr>
                <w:rFonts w:ascii="宋体"/>
              </w:rPr>
            </w:pPr>
          </w:p>
        </w:tc>
        <w:tc>
          <w:tcPr>
            <w:tcW w:w="0" w:type="auto"/>
            <w:shd w:val="clear" w:color="auto" w:fill="auto"/>
          </w:tcPr>
          <w:p w14:paraId="33DAC4D3" w14:textId="77777777" w:rsidR="004D6A64" w:rsidRDefault="004D6A64">
            <w:pPr>
              <w:rPr>
                <w:rFonts w:ascii="宋体"/>
              </w:rPr>
            </w:pPr>
          </w:p>
        </w:tc>
        <w:tc>
          <w:tcPr>
            <w:tcW w:w="0" w:type="auto"/>
            <w:shd w:val="clear" w:color="auto" w:fill="auto"/>
          </w:tcPr>
          <w:p w14:paraId="33DAC4D4" w14:textId="77777777" w:rsidR="004D6A64" w:rsidRDefault="004D6A64">
            <w:pPr>
              <w:rPr>
                <w:rFonts w:ascii="宋体"/>
              </w:rPr>
            </w:pPr>
          </w:p>
        </w:tc>
        <w:tc>
          <w:tcPr>
            <w:tcW w:w="0" w:type="auto"/>
            <w:shd w:val="clear" w:color="auto" w:fill="auto"/>
          </w:tcPr>
          <w:p w14:paraId="33DAC4D5" w14:textId="77777777" w:rsidR="004D6A64" w:rsidRDefault="004D6A64">
            <w:pPr>
              <w:rPr>
                <w:rFonts w:ascii="宋体"/>
              </w:rPr>
            </w:pPr>
          </w:p>
        </w:tc>
        <w:tc>
          <w:tcPr>
            <w:tcW w:w="0" w:type="auto"/>
            <w:shd w:val="clear" w:color="auto" w:fill="auto"/>
          </w:tcPr>
          <w:p w14:paraId="33DAC4D6" w14:textId="77777777" w:rsidR="004D6A64" w:rsidRDefault="004D6A64">
            <w:pPr>
              <w:rPr>
                <w:rFonts w:ascii="宋体"/>
              </w:rPr>
            </w:pPr>
          </w:p>
        </w:tc>
        <w:tc>
          <w:tcPr>
            <w:tcW w:w="0" w:type="auto"/>
            <w:shd w:val="clear" w:color="auto" w:fill="auto"/>
          </w:tcPr>
          <w:p w14:paraId="33DAC4D7" w14:textId="77777777" w:rsidR="004D6A64" w:rsidRDefault="004D6A64">
            <w:pPr>
              <w:rPr>
                <w:rFonts w:ascii="宋体"/>
              </w:rPr>
            </w:pPr>
          </w:p>
        </w:tc>
        <w:tc>
          <w:tcPr>
            <w:tcW w:w="0" w:type="auto"/>
            <w:shd w:val="clear" w:color="auto" w:fill="auto"/>
          </w:tcPr>
          <w:p w14:paraId="33DAC4D8" w14:textId="77777777" w:rsidR="004D6A64" w:rsidRDefault="004D6A64">
            <w:pPr>
              <w:rPr>
                <w:rFonts w:ascii="宋体"/>
              </w:rPr>
            </w:pPr>
          </w:p>
        </w:tc>
        <w:tc>
          <w:tcPr>
            <w:tcW w:w="0" w:type="auto"/>
            <w:shd w:val="clear" w:color="auto" w:fill="auto"/>
          </w:tcPr>
          <w:p w14:paraId="33DAC4D9" w14:textId="77777777" w:rsidR="004D6A64" w:rsidRDefault="004D6A64">
            <w:pPr>
              <w:rPr>
                <w:rFonts w:ascii="宋体"/>
              </w:rPr>
            </w:pPr>
          </w:p>
        </w:tc>
        <w:tc>
          <w:tcPr>
            <w:tcW w:w="0" w:type="auto"/>
            <w:shd w:val="clear" w:color="auto" w:fill="auto"/>
          </w:tcPr>
          <w:p w14:paraId="33DAC4DA" w14:textId="77777777" w:rsidR="004D6A64" w:rsidRDefault="004D6A64">
            <w:pPr>
              <w:rPr>
                <w:rFonts w:ascii="宋体"/>
              </w:rPr>
            </w:pPr>
          </w:p>
        </w:tc>
        <w:tc>
          <w:tcPr>
            <w:tcW w:w="0" w:type="auto"/>
            <w:shd w:val="clear" w:color="auto" w:fill="auto"/>
          </w:tcPr>
          <w:p w14:paraId="33DAC4DB" w14:textId="77777777" w:rsidR="004D6A64" w:rsidRDefault="004D6A64">
            <w:pPr>
              <w:rPr>
                <w:rFonts w:ascii="宋体"/>
              </w:rPr>
            </w:pPr>
          </w:p>
        </w:tc>
        <w:tc>
          <w:tcPr>
            <w:tcW w:w="0" w:type="auto"/>
            <w:shd w:val="clear" w:color="auto" w:fill="auto"/>
          </w:tcPr>
          <w:p w14:paraId="33DAC4DC" w14:textId="77777777" w:rsidR="004D6A64" w:rsidRDefault="004D6A64">
            <w:pPr>
              <w:rPr>
                <w:rFonts w:ascii="宋体"/>
              </w:rPr>
            </w:pPr>
          </w:p>
        </w:tc>
        <w:tc>
          <w:tcPr>
            <w:tcW w:w="0" w:type="auto"/>
            <w:shd w:val="clear" w:color="auto" w:fill="auto"/>
          </w:tcPr>
          <w:p w14:paraId="33DAC4DD" w14:textId="77777777" w:rsidR="004D6A64" w:rsidRDefault="004D6A64">
            <w:pPr>
              <w:rPr>
                <w:rFonts w:ascii="宋体"/>
              </w:rPr>
            </w:pPr>
          </w:p>
        </w:tc>
        <w:tc>
          <w:tcPr>
            <w:tcW w:w="0" w:type="auto"/>
            <w:shd w:val="clear" w:color="auto" w:fill="auto"/>
          </w:tcPr>
          <w:p w14:paraId="33DAC4DE" w14:textId="77777777" w:rsidR="004D6A64" w:rsidRDefault="004D6A64">
            <w:pPr>
              <w:rPr>
                <w:rFonts w:ascii="宋体"/>
              </w:rPr>
            </w:pPr>
          </w:p>
        </w:tc>
        <w:tc>
          <w:tcPr>
            <w:tcW w:w="0" w:type="auto"/>
            <w:shd w:val="clear" w:color="auto" w:fill="auto"/>
          </w:tcPr>
          <w:p w14:paraId="33DAC4DF" w14:textId="77777777" w:rsidR="004D6A64" w:rsidRDefault="004D6A64">
            <w:pPr>
              <w:rPr>
                <w:rFonts w:ascii="宋体"/>
              </w:rPr>
            </w:pPr>
          </w:p>
        </w:tc>
        <w:tc>
          <w:tcPr>
            <w:tcW w:w="0" w:type="auto"/>
            <w:shd w:val="clear" w:color="auto" w:fill="auto"/>
          </w:tcPr>
          <w:p w14:paraId="33DAC4E0" w14:textId="77777777" w:rsidR="004D6A64" w:rsidRDefault="004D6A64">
            <w:pPr>
              <w:rPr>
                <w:rFonts w:ascii="宋体"/>
              </w:rPr>
            </w:pPr>
          </w:p>
        </w:tc>
        <w:tc>
          <w:tcPr>
            <w:tcW w:w="0" w:type="auto"/>
            <w:shd w:val="clear" w:color="auto" w:fill="auto"/>
          </w:tcPr>
          <w:p w14:paraId="33DAC4E1" w14:textId="77777777" w:rsidR="004D6A64" w:rsidRDefault="004D6A64">
            <w:pPr>
              <w:rPr>
                <w:rFonts w:ascii="宋体"/>
              </w:rPr>
            </w:pPr>
          </w:p>
        </w:tc>
        <w:tc>
          <w:tcPr>
            <w:tcW w:w="0" w:type="auto"/>
            <w:shd w:val="clear" w:color="auto" w:fill="auto"/>
          </w:tcPr>
          <w:p w14:paraId="33DAC4E2" w14:textId="77777777" w:rsidR="004D6A64" w:rsidRDefault="004D6A64">
            <w:pPr>
              <w:rPr>
                <w:rFonts w:ascii="宋体"/>
              </w:rPr>
            </w:pPr>
          </w:p>
        </w:tc>
        <w:tc>
          <w:tcPr>
            <w:tcW w:w="0" w:type="auto"/>
            <w:shd w:val="clear" w:color="auto" w:fill="auto"/>
          </w:tcPr>
          <w:p w14:paraId="33DAC4E3" w14:textId="77777777" w:rsidR="004D6A64" w:rsidRDefault="004D6A64">
            <w:pPr>
              <w:rPr>
                <w:rFonts w:ascii="宋体"/>
              </w:rPr>
            </w:pPr>
          </w:p>
        </w:tc>
        <w:tc>
          <w:tcPr>
            <w:tcW w:w="0" w:type="auto"/>
            <w:shd w:val="clear" w:color="auto" w:fill="auto"/>
          </w:tcPr>
          <w:p w14:paraId="33DAC4E4" w14:textId="77777777" w:rsidR="004D6A64" w:rsidRDefault="004D6A64">
            <w:pPr>
              <w:rPr>
                <w:rFonts w:ascii="宋体"/>
              </w:rPr>
            </w:pPr>
          </w:p>
        </w:tc>
        <w:tc>
          <w:tcPr>
            <w:tcW w:w="0" w:type="auto"/>
            <w:shd w:val="clear" w:color="auto" w:fill="auto"/>
          </w:tcPr>
          <w:p w14:paraId="33DAC4E5" w14:textId="77777777" w:rsidR="004D6A64" w:rsidRDefault="004D6A64">
            <w:pPr>
              <w:rPr>
                <w:rFonts w:ascii="宋体"/>
              </w:rPr>
            </w:pPr>
          </w:p>
        </w:tc>
        <w:tc>
          <w:tcPr>
            <w:tcW w:w="0" w:type="auto"/>
            <w:shd w:val="clear" w:color="auto" w:fill="auto"/>
          </w:tcPr>
          <w:p w14:paraId="33DAC4E6" w14:textId="77777777" w:rsidR="004D6A64" w:rsidRDefault="004D6A64">
            <w:pPr>
              <w:rPr>
                <w:rFonts w:ascii="宋体"/>
              </w:rPr>
            </w:pPr>
          </w:p>
        </w:tc>
        <w:tc>
          <w:tcPr>
            <w:tcW w:w="0" w:type="auto"/>
            <w:shd w:val="clear" w:color="auto" w:fill="auto"/>
          </w:tcPr>
          <w:p w14:paraId="33DAC4E7" w14:textId="77777777" w:rsidR="004D6A64" w:rsidRDefault="004D6A64">
            <w:pPr>
              <w:rPr>
                <w:rFonts w:ascii="宋体"/>
              </w:rPr>
            </w:pPr>
          </w:p>
        </w:tc>
        <w:tc>
          <w:tcPr>
            <w:tcW w:w="0" w:type="auto"/>
            <w:shd w:val="clear" w:color="auto" w:fill="auto"/>
          </w:tcPr>
          <w:p w14:paraId="33DAC4E8" w14:textId="77777777" w:rsidR="004D6A64" w:rsidRDefault="004D6A64">
            <w:pPr>
              <w:rPr>
                <w:rFonts w:ascii="宋体"/>
              </w:rPr>
            </w:pPr>
          </w:p>
        </w:tc>
        <w:tc>
          <w:tcPr>
            <w:tcW w:w="0" w:type="auto"/>
            <w:shd w:val="clear" w:color="auto" w:fill="auto"/>
          </w:tcPr>
          <w:p w14:paraId="33DAC4E9" w14:textId="77777777" w:rsidR="004D6A64" w:rsidRDefault="004D6A64">
            <w:pPr>
              <w:rPr>
                <w:rFonts w:ascii="宋体"/>
              </w:rPr>
            </w:pPr>
          </w:p>
        </w:tc>
      </w:tr>
      <w:tr w:rsidR="004D6A64" w14:paraId="33DAC50D" w14:textId="77777777">
        <w:trPr>
          <w:jc w:val="center"/>
          <w:hidden/>
        </w:trPr>
        <w:tc>
          <w:tcPr>
            <w:tcW w:w="0" w:type="auto"/>
            <w:gridSpan w:val="3"/>
            <w:shd w:val="clear" w:color="auto" w:fill="auto"/>
          </w:tcPr>
          <w:p w14:paraId="33DAC4EB" w14:textId="77777777" w:rsidR="004D6A64" w:rsidRDefault="004D6A64">
            <w:pPr>
              <w:rPr>
                <w:rFonts w:ascii="宋体"/>
                <w:vanish/>
              </w:rPr>
            </w:pPr>
          </w:p>
        </w:tc>
        <w:tc>
          <w:tcPr>
            <w:tcW w:w="0" w:type="auto"/>
            <w:gridSpan w:val="3"/>
            <w:shd w:val="clear" w:color="auto" w:fill="auto"/>
          </w:tcPr>
          <w:p w14:paraId="33DAC4EC" w14:textId="77777777" w:rsidR="004D6A64" w:rsidRDefault="004D6A64">
            <w:pPr>
              <w:rPr>
                <w:rFonts w:ascii="宋体"/>
                <w:vanish/>
              </w:rPr>
            </w:pPr>
          </w:p>
        </w:tc>
        <w:tc>
          <w:tcPr>
            <w:tcW w:w="0" w:type="auto"/>
            <w:gridSpan w:val="3"/>
            <w:shd w:val="clear" w:color="auto" w:fill="auto"/>
          </w:tcPr>
          <w:p w14:paraId="33DAC4ED" w14:textId="77777777" w:rsidR="004D6A64" w:rsidRDefault="004D6A64">
            <w:pPr>
              <w:rPr>
                <w:rFonts w:ascii="宋体"/>
                <w:vanish/>
              </w:rPr>
            </w:pPr>
          </w:p>
        </w:tc>
        <w:tc>
          <w:tcPr>
            <w:tcW w:w="0" w:type="auto"/>
            <w:gridSpan w:val="3"/>
            <w:shd w:val="clear" w:color="auto" w:fill="auto"/>
          </w:tcPr>
          <w:p w14:paraId="33DAC4EE" w14:textId="77777777" w:rsidR="004D6A64" w:rsidRDefault="004D6A64">
            <w:pPr>
              <w:rPr>
                <w:rFonts w:ascii="宋体"/>
                <w:vanish/>
              </w:rPr>
            </w:pPr>
          </w:p>
        </w:tc>
        <w:tc>
          <w:tcPr>
            <w:tcW w:w="0" w:type="auto"/>
            <w:gridSpan w:val="3"/>
            <w:shd w:val="clear" w:color="auto" w:fill="auto"/>
          </w:tcPr>
          <w:p w14:paraId="33DAC4EF" w14:textId="77777777" w:rsidR="004D6A64" w:rsidRDefault="004D6A64">
            <w:pPr>
              <w:rPr>
                <w:rFonts w:ascii="宋体"/>
                <w:vanish/>
              </w:rPr>
            </w:pPr>
          </w:p>
        </w:tc>
        <w:tc>
          <w:tcPr>
            <w:tcW w:w="0" w:type="auto"/>
            <w:gridSpan w:val="3"/>
            <w:shd w:val="clear" w:color="auto" w:fill="auto"/>
          </w:tcPr>
          <w:p w14:paraId="33DAC4F0" w14:textId="77777777" w:rsidR="004D6A64" w:rsidRDefault="004D6A64">
            <w:pPr>
              <w:rPr>
                <w:rFonts w:ascii="宋体"/>
                <w:vanish/>
              </w:rPr>
            </w:pPr>
          </w:p>
        </w:tc>
        <w:tc>
          <w:tcPr>
            <w:tcW w:w="0" w:type="auto"/>
            <w:gridSpan w:val="3"/>
            <w:shd w:val="clear" w:color="auto" w:fill="auto"/>
          </w:tcPr>
          <w:p w14:paraId="33DAC4F1" w14:textId="77777777" w:rsidR="004D6A64" w:rsidRDefault="004D6A64">
            <w:pPr>
              <w:rPr>
                <w:rFonts w:ascii="宋体"/>
                <w:vanish/>
              </w:rPr>
            </w:pPr>
          </w:p>
        </w:tc>
        <w:tc>
          <w:tcPr>
            <w:tcW w:w="0" w:type="auto"/>
            <w:gridSpan w:val="3"/>
            <w:shd w:val="clear" w:color="auto" w:fill="auto"/>
          </w:tcPr>
          <w:p w14:paraId="33DAC4F2" w14:textId="77777777" w:rsidR="004D6A64" w:rsidRDefault="004D6A64">
            <w:pPr>
              <w:rPr>
                <w:rFonts w:ascii="宋体"/>
                <w:vanish/>
              </w:rPr>
            </w:pPr>
          </w:p>
        </w:tc>
        <w:tc>
          <w:tcPr>
            <w:tcW w:w="0" w:type="auto"/>
            <w:gridSpan w:val="3"/>
            <w:shd w:val="clear" w:color="auto" w:fill="auto"/>
          </w:tcPr>
          <w:p w14:paraId="33DAC4F3" w14:textId="77777777" w:rsidR="004D6A64" w:rsidRDefault="004D6A64">
            <w:pPr>
              <w:rPr>
                <w:rFonts w:ascii="宋体"/>
                <w:vanish/>
              </w:rPr>
            </w:pPr>
          </w:p>
        </w:tc>
        <w:tc>
          <w:tcPr>
            <w:tcW w:w="0" w:type="auto"/>
            <w:gridSpan w:val="3"/>
            <w:shd w:val="clear" w:color="auto" w:fill="auto"/>
          </w:tcPr>
          <w:p w14:paraId="33DAC4F4" w14:textId="77777777" w:rsidR="004D6A64" w:rsidRDefault="004D6A64">
            <w:pPr>
              <w:rPr>
                <w:rFonts w:ascii="宋体"/>
                <w:vanish/>
              </w:rPr>
            </w:pPr>
          </w:p>
        </w:tc>
        <w:tc>
          <w:tcPr>
            <w:tcW w:w="0" w:type="auto"/>
            <w:shd w:val="clear" w:color="auto" w:fill="auto"/>
          </w:tcPr>
          <w:p w14:paraId="33DAC4F5" w14:textId="77777777" w:rsidR="004D6A64" w:rsidRDefault="004D6A64">
            <w:pPr>
              <w:rPr>
                <w:rFonts w:ascii="宋体"/>
              </w:rPr>
            </w:pPr>
          </w:p>
        </w:tc>
        <w:tc>
          <w:tcPr>
            <w:tcW w:w="0" w:type="auto"/>
            <w:shd w:val="clear" w:color="auto" w:fill="auto"/>
          </w:tcPr>
          <w:p w14:paraId="33DAC4F6" w14:textId="77777777" w:rsidR="004D6A64" w:rsidRDefault="004D6A64">
            <w:pPr>
              <w:rPr>
                <w:rFonts w:ascii="宋体"/>
              </w:rPr>
            </w:pPr>
          </w:p>
        </w:tc>
        <w:tc>
          <w:tcPr>
            <w:tcW w:w="0" w:type="auto"/>
            <w:shd w:val="clear" w:color="auto" w:fill="auto"/>
          </w:tcPr>
          <w:p w14:paraId="33DAC4F7" w14:textId="77777777" w:rsidR="004D6A64" w:rsidRDefault="004D6A64">
            <w:pPr>
              <w:rPr>
                <w:rFonts w:ascii="宋体"/>
              </w:rPr>
            </w:pPr>
          </w:p>
        </w:tc>
        <w:tc>
          <w:tcPr>
            <w:tcW w:w="0" w:type="auto"/>
            <w:shd w:val="clear" w:color="auto" w:fill="auto"/>
          </w:tcPr>
          <w:p w14:paraId="33DAC4F8" w14:textId="77777777" w:rsidR="004D6A64" w:rsidRDefault="004D6A64">
            <w:pPr>
              <w:rPr>
                <w:rFonts w:ascii="宋体"/>
              </w:rPr>
            </w:pPr>
          </w:p>
        </w:tc>
        <w:tc>
          <w:tcPr>
            <w:tcW w:w="0" w:type="auto"/>
            <w:shd w:val="clear" w:color="auto" w:fill="auto"/>
          </w:tcPr>
          <w:p w14:paraId="33DAC4F9" w14:textId="77777777" w:rsidR="004D6A64" w:rsidRDefault="004D6A64">
            <w:pPr>
              <w:rPr>
                <w:rFonts w:ascii="宋体"/>
              </w:rPr>
            </w:pPr>
          </w:p>
        </w:tc>
        <w:tc>
          <w:tcPr>
            <w:tcW w:w="0" w:type="auto"/>
            <w:shd w:val="clear" w:color="auto" w:fill="auto"/>
          </w:tcPr>
          <w:p w14:paraId="33DAC4FA" w14:textId="77777777" w:rsidR="004D6A64" w:rsidRDefault="004D6A64">
            <w:pPr>
              <w:rPr>
                <w:rFonts w:ascii="宋体"/>
              </w:rPr>
            </w:pPr>
          </w:p>
        </w:tc>
        <w:tc>
          <w:tcPr>
            <w:tcW w:w="0" w:type="auto"/>
            <w:shd w:val="clear" w:color="auto" w:fill="auto"/>
          </w:tcPr>
          <w:p w14:paraId="33DAC4FB" w14:textId="77777777" w:rsidR="004D6A64" w:rsidRDefault="004D6A64">
            <w:pPr>
              <w:rPr>
                <w:rFonts w:ascii="宋体"/>
              </w:rPr>
            </w:pPr>
          </w:p>
        </w:tc>
        <w:tc>
          <w:tcPr>
            <w:tcW w:w="0" w:type="auto"/>
            <w:shd w:val="clear" w:color="auto" w:fill="auto"/>
          </w:tcPr>
          <w:p w14:paraId="33DAC4FC" w14:textId="77777777" w:rsidR="004D6A64" w:rsidRDefault="004D6A64">
            <w:pPr>
              <w:rPr>
                <w:rFonts w:ascii="宋体"/>
              </w:rPr>
            </w:pPr>
          </w:p>
        </w:tc>
        <w:tc>
          <w:tcPr>
            <w:tcW w:w="0" w:type="auto"/>
            <w:shd w:val="clear" w:color="auto" w:fill="auto"/>
          </w:tcPr>
          <w:p w14:paraId="33DAC4FD" w14:textId="77777777" w:rsidR="004D6A64" w:rsidRDefault="004D6A64">
            <w:pPr>
              <w:rPr>
                <w:rFonts w:ascii="宋体"/>
              </w:rPr>
            </w:pPr>
          </w:p>
        </w:tc>
        <w:tc>
          <w:tcPr>
            <w:tcW w:w="0" w:type="auto"/>
            <w:shd w:val="clear" w:color="auto" w:fill="auto"/>
          </w:tcPr>
          <w:p w14:paraId="33DAC4FE" w14:textId="77777777" w:rsidR="004D6A64" w:rsidRDefault="004D6A64">
            <w:pPr>
              <w:rPr>
                <w:rFonts w:ascii="宋体"/>
              </w:rPr>
            </w:pPr>
          </w:p>
        </w:tc>
        <w:tc>
          <w:tcPr>
            <w:tcW w:w="0" w:type="auto"/>
            <w:shd w:val="clear" w:color="auto" w:fill="auto"/>
          </w:tcPr>
          <w:p w14:paraId="33DAC4FF" w14:textId="77777777" w:rsidR="004D6A64" w:rsidRDefault="004D6A64">
            <w:pPr>
              <w:rPr>
                <w:rFonts w:ascii="宋体"/>
              </w:rPr>
            </w:pPr>
          </w:p>
        </w:tc>
        <w:tc>
          <w:tcPr>
            <w:tcW w:w="0" w:type="auto"/>
            <w:shd w:val="clear" w:color="auto" w:fill="auto"/>
          </w:tcPr>
          <w:p w14:paraId="33DAC500" w14:textId="77777777" w:rsidR="004D6A64" w:rsidRDefault="004D6A64">
            <w:pPr>
              <w:rPr>
                <w:rFonts w:ascii="宋体"/>
              </w:rPr>
            </w:pPr>
          </w:p>
        </w:tc>
        <w:tc>
          <w:tcPr>
            <w:tcW w:w="0" w:type="auto"/>
            <w:shd w:val="clear" w:color="auto" w:fill="auto"/>
          </w:tcPr>
          <w:p w14:paraId="33DAC501" w14:textId="77777777" w:rsidR="004D6A64" w:rsidRDefault="004D6A64">
            <w:pPr>
              <w:rPr>
                <w:rFonts w:ascii="宋体"/>
              </w:rPr>
            </w:pPr>
          </w:p>
        </w:tc>
        <w:tc>
          <w:tcPr>
            <w:tcW w:w="0" w:type="auto"/>
            <w:shd w:val="clear" w:color="auto" w:fill="auto"/>
          </w:tcPr>
          <w:p w14:paraId="33DAC502" w14:textId="77777777" w:rsidR="004D6A64" w:rsidRDefault="004D6A64">
            <w:pPr>
              <w:rPr>
                <w:rFonts w:ascii="宋体"/>
              </w:rPr>
            </w:pPr>
          </w:p>
        </w:tc>
        <w:tc>
          <w:tcPr>
            <w:tcW w:w="0" w:type="auto"/>
            <w:shd w:val="clear" w:color="auto" w:fill="auto"/>
          </w:tcPr>
          <w:p w14:paraId="33DAC503" w14:textId="77777777" w:rsidR="004D6A64" w:rsidRDefault="004D6A64">
            <w:pPr>
              <w:rPr>
                <w:rFonts w:ascii="宋体"/>
              </w:rPr>
            </w:pPr>
          </w:p>
        </w:tc>
        <w:tc>
          <w:tcPr>
            <w:tcW w:w="0" w:type="auto"/>
            <w:shd w:val="clear" w:color="auto" w:fill="auto"/>
          </w:tcPr>
          <w:p w14:paraId="33DAC504" w14:textId="77777777" w:rsidR="004D6A64" w:rsidRDefault="004D6A64">
            <w:pPr>
              <w:rPr>
                <w:rFonts w:ascii="宋体"/>
              </w:rPr>
            </w:pPr>
          </w:p>
        </w:tc>
        <w:tc>
          <w:tcPr>
            <w:tcW w:w="0" w:type="auto"/>
            <w:shd w:val="clear" w:color="auto" w:fill="auto"/>
          </w:tcPr>
          <w:p w14:paraId="33DAC505" w14:textId="77777777" w:rsidR="004D6A64" w:rsidRDefault="004D6A64">
            <w:pPr>
              <w:rPr>
                <w:rFonts w:ascii="宋体"/>
              </w:rPr>
            </w:pPr>
          </w:p>
        </w:tc>
        <w:tc>
          <w:tcPr>
            <w:tcW w:w="0" w:type="auto"/>
            <w:shd w:val="clear" w:color="auto" w:fill="auto"/>
          </w:tcPr>
          <w:p w14:paraId="33DAC506" w14:textId="77777777" w:rsidR="004D6A64" w:rsidRDefault="004D6A64">
            <w:pPr>
              <w:rPr>
                <w:rFonts w:ascii="宋体"/>
              </w:rPr>
            </w:pPr>
          </w:p>
        </w:tc>
        <w:tc>
          <w:tcPr>
            <w:tcW w:w="0" w:type="auto"/>
            <w:shd w:val="clear" w:color="auto" w:fill="auto"/>
          </w:tcPr>
          <w:p w14:paraId="33DAC507" w14:textId="77777777" w:rsidR="004D6A64" w:rsidRDefault="004D6A64">
            <w:pPr>
              <w:rPr>
                <w:rFonts w:ascii="宋体"/>
              </w:rPr>
            </w:pPr>
          </w:p>
        </w:tc>
        <w:tc>
          <w:tcPr>
            <w:tcW w:w="0" w:type="auto"/>
            <w:shd w:val="clear" w:color="auto" w:fill="auto"/>
          </w:tcPr>
          <w:p w14:paraId="33DAC508" w14:textId="77777777" w:rsidR="004D6A64" w:rsidRDefault="004D6A64">
            <w:pPr>
              <w:rPr>
                <w:rFonts w:ascii="宋体"/>
              </w:rPr>
            </w:pPr>
          </w:p>
        </w:tc>
        <w:tc>
          <w:tcPr>
            <w:tcW w:w="0" w:type="auto"/>
            <w:shd w:val="clear" w:color="auto" w:fill="auto"/>
          </w:tcPr>
          <w:p w14:paraId="33DAC509" w14:textId="77777777" w:rsidR="004D6A64" w:rsidRDefault="004D6A64">
            <w:pPr>
              <w:rPr>
                <w:rFonts w:ascii="宋体"/>
              </w:rPr>
            </w:pPr>
          </w:p>
        </w:tc>
        <w:tc>
          <w:tcPr>
            <w:tcW w:w="0" w:type="auto"/>
            <w:shd w:val="clear" w:color="auto" w:fill="auto"/>
          </w:tcPr>
          <w:p w14:paraId="33DAC50A" w14:textId="77777777" w:rsidR="004D6A64" w:rsidRDefault="004D6A64">
            <w:pPr>
              <w:rPr>
                <w:rFonts w:ascii="宋体"/>
              </w:rPr>
            </w:pPr>
          </w:p>
        </w:tc>
        <w:tc>
          <w:tcPr>
            <w:tcW w:w="0" w:type="auto"/>
            <w:shd w:val="clear" w:color="auto" w:fill="auto"/>
          </w:tcPr>
          <w:p w14:paraId="33DAC50B" w14:textId="77777777" w:rsidR="004D6A64" w:rsidRDefault="004D6A64">
            <w:pPr>
              <w:rPr>
                <w:rFonts w:ascii="宋体"/>
              </w:rPr>
            </w:pPr>
          </w:p>
        </w:tc>
        <w:tc>
          <w:tcPr>
            <w:tcW w:w="0" w:type="auto"/>
            <w:shd w:val="clear" w:color="auto" w:fill="auto"/>
          </w:tcPr>
          <w:p w14:paraId="33DAC50C" w14:textId="77777777" w:rsidR="004D6A64" w:rsidRDefault="004D6A64">
            <w:pPr>
              <w:rPr>
                <w:rFonts w:ascii="宋体"/>
              </w:rPr>
            </w:pPr>
          </w:p>
        </w:tc>
      </w:tr>
      <w:tr w:rsidR="004D6A64" w14:paraId="33DAC535" w14:textId="77777777">
        <w:trPr>
          <w:jc w:val="center"/>
        </w:trPr>
        <w:tc>
          <w:tcPr>
            <w:tcW w:w="0" w:type="auto"/>
            <w:gridSpan w:val="3"/>
            <w:shd w:val="clear" w:color="auto" w:fill="FFFFFF"/>
            <w:tcMar>
              <w:top w:w="40" w:type="dxa"/>
              <w:left w:w="135" w:type="dxa"/>
              <w:bottom w:w="40" w:type="dxa"/>
              <w:right w:w="20" w:type="dxa"/>
            </w:tcMar>
            <w:vAlign w:val="center"/>
          </w:tcPr>
          <w:p w14:paraId="33DAC50E" w14:textId="77777777" w:rsidR="004D6A64" w:rsidRDefault="00506CD6">
            <w:pPr>
              <w:textAlignment w:val="center"/>
            </w:pPr>
            <w:r>
              <w:rPr>
                <w:rFonts w:ascii="Times New Roman" w:eastAsia="宋体" w:hAnsi="Times New Roman"/>
                <w:color w:val="000000"/>
                <w:sz w:val="20"/>
                <w:szCs w:val="20"/>
              </w:rPr>
              <w:t>Reclassification to assets held for sale (c)</w:t>
            </w:r>
          </w:p>
        </w:tc>
        <w:tc>
          <w:tcPr>
            <w:tcW w:w="0" w:type="auto"/>
            <w:gridSpan w:val="2"/>
            <w:shd w:val="clear" w:color="auto" w:fill="FFFFFF"/>
            <w:tcMar>
              <w:top w:w="40" w:type="dxa"/>
              <w:left w:w="20" w:type="dxa"/>
              <w:bottom w:w="40" w:type="dxa"/>
              <w:right w:w="0" w:type="dxa"/>
            </w:tcMar>
            <w:vAlign w:val="center"/>
          </w:tcPr>
          <w:p w14:paraId="33DAC50F"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C51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51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512"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C51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514"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515"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C51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517"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518" w14:textId="77777777" w:rsidR="004D6A64" w:rsidRDefault="00506CD6">
            <w:pPr>
              <w:jc w:val="right"/>
              <w:textAlignment w:val="center"/>
            </w:pPr>
            <w:r>
              <w:rPr>
                <w:rFonts w:ascii="Times New Roman" w:eastAsia="宋体" w:hAnsi="Times New Roman"/>
                <w:color w:val="000000"/>
                <w:sz w:val="20"/>
                <w:szCs w:val="20"/>
              </w:rPr>
              <w:t>(1,383)</w:t>
            </w:r>
          </w:p>
        </w:tc>
        <w:tc>
          <w:tcPr>
            <w:tcW w:w="0" w:type="auto"/>
            <w:shd w:val="clear" w:color="auto" w:fill="FFFFFF"/>
            <w:tcMar>
              <w:top w:w="40" w:type="dxa"/>
              <w:bottom w:w="40" w:type="dxa"/>
              <w:right w:w="20" w:type="dxa"/>
            </w:tcMar>
            <w:vAlign w:val="center"/>
          </w:tcPr>
          <w:p w14:paraId="33DAC51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51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51B" w14:textId="77777777" w:rsidR="004D6A64" w:rsidRDefault="00506CD6">
            <w:pPr>
              <w:jc w:val="right"/>
              <w:textAlignment w:val="center"/>
            </w:pPr>
            <w:r>
              <w:rPr>
                <w:rFonts w:ascii="Times New Roman" w:eastAsia="宋体" w:hAnsi="Times New Roman"/>
                <w:color w:val="000000"/>
                <w:sz w:val="20"/>
                <w:szCs w:val="20"/>
              </w:rPr>
              <w:t>(1,383)</w:t>
            </w:r>
          </w:p>
        </w:tc>
        <w:tc>
          <w:tcPr>
            <w:tcW w:w="0" w:type="auto"/>
            <w:shd w:val="clear" w:color="auto" w:fill="FFFFFF"/>
            <w:tcMar>
              <w:top w:w="40" w:type="dxa"/>
              <w:bottom w:w="40" w:type="dxa"/>
              <w:right w:w="20" w:type="dxa"/>
            </w:tcMar>
            <w:vAlign w:val="center"/>
          </w:tcPr>
          <w:p w14:paraId="33DAC51C" w14:textId="77777777" w:rsidR="004D6A64" w:rsidRDefault="004D6A64">
            <w:pPr>
              <w:jc w:val="right"/>
              <w:rPr>
                <w:rFonts w:ascii="宋体"/>
              </w:rPr>
            </w:pPr>
          </w:p>
        </w:tc>
        <w:tc>
          <w:tcPr>
            <w:tcW w:w="0" w:type="auto"/>
            <w:shd w:val="clear" w:color="auto" w:fill="auto"/>
          </w:tcPr>
          <w:p w14:paraId="33DAC51D" w14:textId="77777777" w:rsidR="004D6A64" w:rsidRDefault="004D6A64">
            <w:pPr>
              <w:rPr>
                <w:rFonts w:ascii="宋体"/>
              </w:rPr>
            </w:pPr>
          </w:p>
        </w:tc>
        <w:tc>
          <w:tcPr>
            <w:tcW w:w="0" w:type="auto"/>
            <w:shd w:val="clear" w:color="auto" w:fill="auto"/>
          </w:tcPr>
          <w:p w14:paraId="33DAC51E" w14:textId="77777777" w:rsidR="004D6A64" w:rsidRDefault="004D6A64">
            <w:pPr>
              <w:rPr>
                <w:rFonts w:ascii="宋体"/>
              </w:rPr>
            </w:pPr>
          </w:p>
        </w:tc>
        <w:tc>
          <w:tcPr>
            <w:tcW w:w="0" w:type="auto"/>
            <w:shd w:val="clear" w:color="auto" w:fill="auto"/>
          </w:tcPr>
          <w:p w14:paraId="33DAC51F" w14:textId="77777777" w:rsidR="004D6A64" w:rsidRDefault="004D6A64">
            <w:pPr>
              <w:rPr>
                <w:rFonts w:ascii="宋体"/>
              </w:rPr>
            </w:pPr>
          </w:p>
        </w:tc>
        <w:tc>
          <w:tcPr>
            <w:tcW w:w="0" w:type="auto"/>
            <w:shd w:val="clear" w:color="auto" w:fill="auto"/>
          </w:tcPr>
          <w:p w14:paraId="33DAC520" w14:textId="77777777" w:rsidR="004D6A64" w:rsidRDefault="004D6A64">
            <w:pPr>
              <w:rPr>
                <w:rFonts w:ascii="宋体"/>
              </w:rPr>
            </w:pPr>
          </w:p>
        </w:tc>
        <w:tc>
          <w:tcPr>
            <w:tcW w:w="0" w:type="auto"/>
            <w:shd w:val="clear" w:color="auto" w:fill="auto"/>
          </w:tcPr>
          <w:p w14:paraId="33DAC521" w14:textId="77777777" w:rsidR="004D6A64" w:rsidRDefault="004D6A64">
            <w:pPr>
              <w:rPr>
                <w:rFonts w:ascii="宋体"/>
              </w:rPr>
            </w:pPr>
          </w:p>
        </w:tc>
        <w:tc>
          <w:tcPr>
            <w:tcW w:w="0" w:type="auto"/>
            <w:shd w:val="clear" w:color="auto" w:fill="auto"/>
          </w:tcPr>
          <w:p w14:paraId="33DAC522" w14:textId="77777777" w:rsidR="004D6A64" w:rsidRDefault="004D6A64">
            <w:pPr>
              <w:rPr>
                <w:rFonts w:ascii="宋体"/>
              </w:rPr>
            </w:pPr>
          </w:p>
        </w:tc>
        <w:tc>
          <w:tcPr>
            <w:tcW w:w="0" w:type="auto"/>
            <w:shd w:val="clear" w:color="auto" w:fill="auto"/>
          </w:tcPr>
          <w:p w14:paraId="33DAC523" w14:textId="77777777" w:rsidR="004D6A64" w:rsidRDefault="004D6A64">
            <w:pPr>
              <w:rPr>
                <w:rFonts w:ascii="宋体"/>
              </w:rPr>
            </w:pPr>
          </w:p>
        </w:tc>
        <w:tc>
          <w:tcPr>
            <w:tcW w:w="0" w:type="auto"/>
            <w:shd w:val="clear" w:color="auto" w:fill="auto"/>
          </w:tcPr>
          <w:p w14:paraId="33DAC524" w14:textId="77777777" w:rsidR="004D6A64" w:rsidRDefault="004D6A64">
            <w:pPr>
              <w:rPr>
                <w:rFonts w:ascii="宋体"/>
              </w:rPr>
            </w:pPr>
          </w:p>
        </w:tc>
        <w:tc>
          <w:tcPr>
            <w:tcW w:w="0" w:type="auto"/>
            <w:shd w:val="clear" w:color="auto" w:fill="auto"/>
          </w:tcPr>
          <w:p w14:paraId="33DAC525" w14:textId="77777777" w:rsidR="004D6A64" w:rsidRDefault="004D6A64">
            <w:pPr>
              <w:rPr>
                <w:rFonts w:ascii="宋体"/>
              </w:rPr>
            </w:pPr>
          </w:p>
        </w:tc>
        <w:tc>
          <w:tcPr>
            <w:tcW w:w="0" w:type="auto"/>
            <w:shd w:val="clear" w:color="auto" w:fill="auto"/>
          </w:tcPr>
          <w:p w14:paraId="33DAC526" w14:textId="77777777" w:rsidR="004D6A64" w:rsidRDefault="004D6A64">
            <w:pPr>
              <w:rPr>
                <w:rFonts w:ascii="宋体"/>
              </w:rPr>
            </w:pPr>
          </w:p>
        </w:tc>
        <w:tc>
          <w:tcPr>
            <w:tcW w:w="0" w:type="auto"/>
            <w:shd w:val="clear" w:color="auto" w:fill="auto"/>
          </w:tcPr>
          <w:p w14:paraId="33DAC527" w14:textId="77777777" w:rsidR="004D6A64" w:rsidRDefault="004D6A64">
            <w:pPr>
              <w:rPr>
                <w:rFonts w:ascii="宋体"/>
              </w:rPr>
            </w:pPr>
          </w:p>
        </w:tc>
        <w:tc>
          <w:tcPr>
            <w:tcW w:w="0" w:type="auto"/>
            <w:shd w:val="clear" w:color="auto" w:fill="auto"/>
          </w:tcPr>
          <w:p w14:paraId="33DAC528" w14:textId="77777777" w:rsidR="004D6A64" w:rsidRDefault="004D6A64">
            <w:pPr>
              <w:rPr>
                <w:rFonts w:ascii="宋体"/>
              </w:rPr>
            </w:pPr>
          </w:p>
        </w:tc>
        <w:tc>
          <w:tcPr>
            <w:tcW w:w="0" w:type="auto"/>
            <w:shd w:val="clear" w:color="auto" w:fill="auto"/>
          </w:tcPr>
          <w:p w14:paraId="33DAC529" w14:textId="77777777" w:rsidR="004D6A64" w:rsidRDefault="004D6A64">
            <w:pPr>
              <w:rPr>
                <w:rFonts w:ascii="宋体"/>
              </w:rPr>
            </w:pPr>
          </w:p>
        </w:tc>
        <w:tc>
          <w:tcPr>
            <w:tcW w:w="0" w:type="auto"/>
            <w:shd w:val="clear" w:color="auto" w:fill="auto"/>
          </w:tcPr>
          <w:p w14:paraId="33DAC52A" w14:textId="77777777" w:rsidR="004D6A64" w:rsidRDefault="004D6A64">
            <w:pPr>
              <w:rPr>
                <w:rFonts w:ascii="宋体"/>
              </w:rPr>
            </w:pPr>
          </w:p>
        </w:tc>
        <w:tc>
          <w:tcPr>
            <w:tcW w:w="0" w:type="auto"/>
            <w:shd w:val="clear" w:color="auto" w:fill="auto"/>
          </w:tcPr>
          <w:p w14:paraId="33DAC52B" w14:textId="77777777" w:rsidR="004D6A64" w:rsidRDefault="004D6A64">
            <w:pPr>
              <w:rPr>
                <w:rFonts w:ascii="宋体"/>
              </w:rPr>
            </w:pPr>
          </w:p>
        </w:tc>
        <w:tc>
          <w:tcPr>
            <w:tcW w:w="0" w:type="auto"/>
            <w:shd w:val="clear" w:color="auto" w:fill="auto"/>
          </w:tcPr>
          <w:p w14:paraId="33DAC52C" w14:textId="77777777" w:rsidR="004D6A64" w:rsidRDefault="004D6A64">
            <w:pPr>
              <w:rPr>
                <w:rFonts w:ascii="宋体"/>
              </w:rPr>
            </w:pPr>
          </w:p>
        </w:tc>
        <w:tc>
          <w:tcPr>
            <w:tcW w:w="0" w:type="auto"/>
            <w:shd w:val="clear" w:color="auto" w:fill="auto"/>
          </w:tcPr>
          <w:p w14:paraId="33DAC52D" w14:textId="77777777" w:rsidR="004D6A64" w:rsidRDefault="004D6A64">
            <w:pPr>
              <w:rPr>
                <w:rFonts w:ascii="宋体"/>
              </w:rPr>
            </w:pPr>
          </w:p>
        </w:tc>
        <w:tc>
          <w:tcPr>
            <w:tcW w:w="0" w:type="auto"/>
            <w:shd w:val="clear" w:color="auto" w:fill="auto"/>
          </w:tcPr>
          <w:p w14:paraId="33DAC52E" w14:textId="77777777" w:rsidR="004D6A64" w:rsidRDefault="004D6A64">
            <w:pPr>
              <w:rPr>
                <w:rFonts w:ascii="宋体"/>
              </w:rPr>
            </w:pPr>
          </w:p>
        </w:tc>
        <w:tc>
          <w:tcPr>
            <w:tcW w:w="0" w:type="auto"/>
            <w:shd w:val="clear" w:color="auto" w:fill="auto"/>
          </w:tcPr>
          <w:p w14:paraId="33DAC52F" w14:textId="77777777" w:rsidR="004D6A64" w:rsidRDefault="004D6A64">
            <w:pPr>
              <w:rPr>
                <w:rFonts w:ascii="宋体"/>
              </w:rPr>
            </w:pPr>
          </w:p>
        </w:tc>
        <w:tc>
          <w:tcPr>
            <w:tcW w:w="0" w:type="auto"/>
            <w:shd w:val="clear" w:color="auto" w:fill="auto"/>
          </w:tcPr>
          <w:p w14:paraId="33DAC530" w14:textId="77777777" w:rsidR="004D6A64" w:rsidRDefault="004D6A64">
            <w:pPr>
              <w:rPr>
                <w:rFonts w:ascii="宋体"/>
              </w:rPr>
            </w:pPr>
          </w:p>
        </w:tc>
        <w:tc>
          <w:tcPr>
            <w:tcW w:w="0" w:type="auto"/>
            <w:shd w:val="clear" w:color="auto" w:fill="auto"/>
          </w:tcPr>
          <w:p w14:paraId="33DAC531" w14:textId="77777777" w:rsidR="004D6A64" w:rsidRDefault="004D6A64">
            <w:pPr>
              <w:rPr>
                <w:rFonts w:ascii="宋体"/>
              </w:rPr>
            </w:pPr>
          </w:p>
        </w:tc>
        <w:tc>
          <w:tcPr>
            <w:tcW w:w="0" w:type="auto"/>
            <w:shd w:val="clear" w:color="auto" w:fill="auto"/>
          </w:tcPr>
          <w:p w14:paraId="33DAC532" w14:textId="77777777" w:rsidR="004D6A64" w:rsidRDefault="004D6A64">
            <w:pPr>
              <w:rPr>
                <w:rFonts w:ascii="宋体"/>
              </w:rPr>
            </w:pPr>
          </w:p>
        </w:tc>
        <w:tc>
          <w:tcPr>
            <w:tcW w:w="0" w:type="auto"/>
            <w:shd w:val="clear" w:color="auto" w:fill="auto"/>
          </w:tcPr>
          <w:p w14:paraId="33DAC533" w14:textId="77777777" w:rsidR="004D6A64" w:rsidRDefault="004D6A64">
            <w:pPr>
              <w:rPr>
                <w:rFonts w:ascii="宋体"/>
              </w:rPr>
            </w:pPr>
          </w:p>
        </w:tc>
        <w:tc>
          <w:tcPr>
            <w:tcW w:w="0" w:type="auto"/>
            <w:shd w:val="clear" w:color="auto" w:fill="auto"/>
          </w:tcPr>
          <w:p w14:paraId="33DAC534" w14:textId="77777777" w:rsidR="004D6A64" w:rsidRDefault="004D6A64">
            <w:pPr>
              <w:rPr>
                <w:rFonts w:ascii="宋体"/>
              </w:rPr>
            </w:pPr>
          </w:p>
        </w:tc>
      </w:tr>
      <w:tr w:rsidR="004D6A64" w14:paraId="33DAC558" w14:textId="77777777">
        <w:trPr>
          <w:jc w:val="center"/>
          <w:hidden/>
        </w:trPr>
        <w:tc>
          <w:tcPr>
            <w:tcW w:w="0" w:type="auto"/>
            <w:gridSpan w:val="3"/>
            <w:shd w:val="clear" w:color="auto" w:fill="auto"/>
          </w:tcPr>
          <w:p w14:paraId="33DAC536" w14:textId="77777777" w:rsidR="004D6A64" w:rsidRDefault="004D6A64">
            <w:pPr>
              <w:rPr>
                <w:rFonts w:ascii="宋体"/>
                <w:vanish/>
              </w:rPr>
            </w:pPr>
          </w:p>
        </w:tc>
        <w:tc>
          <w:tcPr>
            <w:tcW w:w="0" w:type="auto"/>
            <w:gridSpan w:val="3"/>
            <w:shd w:val="clear" w:color="auto" w:fill="auto"/>
          </w:tcPr>
          <w:p w14:paraId="33DAC537" w14:textId="77777777" w:rsidR="004D6A64" w:rsidRDefault="004D6A64">
            <w:pPr>
              <w:rPr>
                <w:rFonts w:ascii="宋体"/>
                <w:vanish/>
              </w:rPr>
            </w:pPr>
          </w:p>
        </w:tc>
        <w:tc>
          <w:tcPr>
            <w:tcW w:w="0" w:type="auto"/>
            <w:gridSpan w:val="3"/>
            <w:shd w:val="clear" w:color="auto" w:fill="auto"/>
          </w:tcPr>
          <w:p w14:paraId="33DAC538" w14:textId="77777777" w:rsidR="004D6A64" w:rsidRDefault="004D6A64">
            <w:pPr>
              <w:rPr>
                <w:rFonts w:ascii="宋体"/>
                <w:vanish/>
              </w:rPr>
            </w:pPr>
          </w:p>
        </w:tc>
        <w:tc>
          <w:tcPr>
            <w:tcW w:w="0" w:type="auto"/>
            <w:gridSpan w:val="3"/>
            <w:shd w:val="clear" w:color="auto" w:fill="auto"/>
          </w:tcPr>
          <w:p w14:paraId="33DAC539" w14:textId="77777777" w:rsidR="004D6A64" w:rsidRDefault="004D6A64">
            <w:pPr>
              <w:rPr>
                <w:rFonts w:ascii="宋体"/>
                <w:vanish/>
              </w:rPr>
            </w:pPr>
          </w:p>
        </w:tc>
        <w:tc>
          <w:tcPr>
            <w:tcW w:w="0" w:type="auto"/>
            <w:gridSpan w:val="3"/>
            <w:shd w:val="clear" w:color="auto" w:fill="auto"/>
          </w:tcPr>
          <w:p w14:paraId="33DAC53A" w14:textId="77777777" w:rsidR="004D6A64" w:rsidRDefault="004D6A64">
            <w:pPr>
              <w:rPr>
                <w:rFonts w:ascii="宋体"/>
                <w:vanish/>
              </w:rPr>
            </w:pPr>
          </w:p>
        </w:tc>
        <w:tc>
          <w:tcPr>
            <w:tcW w:w="0" w:type="auto"/>
            <w:gridSpan w:val="3"/>
            <w:shd w:val="clear" w:color="auto" w:fill="auto"/>
          </w:tcPr>
          <w:p w14:paraId="33DAC53B" w14:textId="77777777" w:rsidR="004D6A64" w:rsidRDefault="004D6A64">
            <w:pPr>
              <w:rPr>
                <w:rFonts w:ascii="宋体"/>
                <w:vanish/>
              </w:rPr>
            </w:pPr>
          </w:p>
        </w:tc>
        <w:tc>
          <w:tcPr>
            <w:tcW w:w="0" w:type="auto"/>
            <w:gridSpan w:val="3"/>
            <w:shd w:val="clear" w:color="auto" w:fill="auto"/>
          </w:tcPr>
          <w:p w14:paraId="33DAC53C" w14:textId="77777777" w:rsidR="004D6A64" w:rsidRDefault="004D6A64">
            <w:pPr>
              <w:rPr>
                <w:rFonts w:ascii="宋体"/>
                <w:vanish/>
              </w:rPr>
            </w:pPr>
          </w:p>
        </w:tc>
        <w:tc>
          <w:tcPr>
            <w:tcW w:w="0" w:type="auto"/>
            <w:gridSpan w:val="3"/>
            <w:shd w:val="clear" w:color="auto" w:fill="auto"/>
          </w:tcPr>
          <w:p w14:paraId="33DAC53D" w14:textId="77777777" w:rsidR="004D6A64" w:rsidRDefault="004D6A64">
            <w:pPr>
              <w:rPr>
                <w:rFonts w:ascii="宋体"/>
                <w:vanish/>
              </w:rPr>
            </w:pPr>
          </w:p>
        </w:tc>
        <w:tc>
          <w:tcPr>
            <w:tcW w:w="0" w:type="auto"/>
            <w:gridSpan w:val="3"/>
            <w:shd w:val="clear" w:color="auto" w:fill="auto"/>
          </w:tcPr>
          <w:p w14:paraId="33DAC53E" w14:textId="77777777" w:rsidR="004D6A64" w:rsidRDefault="004D6A64">
            <w:pPr>
              <w:rPr>
                <w:rFonts w:ascii="宋体"/>
                <w:vanish/>
              </w:rPr>
            </w:pPr>
          </w:p>
        </w:tc>
        <w:tc>
          <w:tcPr>
            <w:tcW w:w="0" w:type="auto"/>
            <w:gridSpan w:val="3"/>
            <w:shd w:val="clear" w:color="auto" w:fill="auto"/>
          </w:tcPr>
          <w:p w14:paraId="33DAC53F" w14:textId="77777777" w:rsidR="004D6A64" w:rsidRDefault="004D6A64">
            <w:pPr>
              <w:rPr>
                <w:rFonts w:ascii="宋体"/>
                <w:vanish/>
              </w:rPr>
            </w:pPr>
          </w:p>
        </w:tc>
        <w:tc>
          <w:tcPr>
            <w:tcW w:w="0" w:type="auto"/>
            <w:shd w:val="clear" w:color="auto" w:fill="auto"/>
          </w:tcPr>
          <w:p w14:paraId="33DAC540" w14:textId="77777777" w:rsidR="004D6A64" w:rsidRDefault="004D6A64">
            <w:pPr>
              <w:rPr>
                <w:rFonts w:ascii="宋体"/>
              </w:rPr>
            </w:pPr>
          </w:p>
        </w:tc>
        <w:tc>
          <w:tcPr>
            <w:tcW w:w="0" w:type="auto"/>
            <w:shd w:val="clear" w:color="auto" w:fill="auto"/>
          </w:tcPr>
          <w:p w14:paraId="33DAC541" w14:textId="77777777" w:rsidR="004D6A64" w:rsidRDefault="004D6A64">
            <w:pPr>
              <w:rPr>
                <w:rFonts w:ascii="宋体"/>
              </w:rPr>
            </w:pPr>
          </w:p>
        </w:tc>
        <w:tc>
          <w:tcPr>
            <w:tcW w:w="0" w:type="auto"/>
            <w:shd w:val="clear" w:color="auto" w:fill="auto"/>
          </w:tcPr>
          <w:p w14:paraId="33DAC542" w14:textId="77777777" w:rsidR="004D6A64" w:rsidRDefault="004D6A64">
            <w:pPr>
              <w:rPr>
                <w:rFonts w:ascii="宋体"/>
              </w:rPr>
            </w:pPr>
          </w:p>
        </w:tc>
        <w:tc>
          <w:tcPr>
            <w:tcW w:w="0" w:type="auto"/>
            <w:shd w:val="clear" w:color="auto" w:fill="auto"/>
          </w:tcPr>
          <w:p w14:paraId="33DAC543" w14:textId="77777777" w:rsidR="004D6A64" w:rsidRDefault="004D6A64">
            <w:pPr>
              <w:rPr>
                <w:rFonts w:ascii="宋体"/>
              </w:rPr>
            </w:pPr>
          </w:p>
        </w:tc>
        <w:tc>
          <w:tcPr>
            <w:tcW w:w="0" w:type="auto"/>
            <w:shd w:val="clear" w:color="auto" w:fill="auto"/>
          </w:tcPr>
          <w:p w14:paraId="33DAC544" w14:textId="77777777" w:rsidR="004D6A64" w:rsidRDefault="004D6A64">
            <w:pPr>
              <w:rPr>
                <w:rFonts w:ascii="宋体"/>
              </w:rPr>
            </w:pPr>
          </w:p>
        </w:tc>
        <w:tc>
          <w:tcPr>
            <w:tcW w:w="0" w:type="auto"/>
            <w:shd w:val="clear" w:color="auto" w:fill="auto"/>
          </w:tcPr>
          <w:p w14:paraId="33DAC545" w14:textId="77777777" w:rsidR="004D6A64" w:rsidRDefault="004D6A64">
            <w:pPr>
              <w:rPr>
                <w:rFonts w:ascii="宋体"/>
              </w:rPr>
            </w:pPr>
          </w:p>
        </w:tc>
        <w:tc>
          <w:tcPr>
            <w:tcW w:w="0" w:type="auto"/>
            <w:shd w:val="clear" w:color="auto" w:fill="auto"/>
          </w:tcPr>
          <w:p w14:paraId="33DAC546" w14:textId="77777777" w:rsidR="004D6A64" w:rsidRDefault="004D6A64">
            <w:pPr>
              <w:rPr>
                <w:rFonts w:ascii="宋体"/>
              </w:rPr>
            </w:pPr>
          </w:p>
        </w:tc>
        <w:tc>
          <w:tcPr>
            <w:tcW w:w="0" w:type="auto"/>
            <w:shd w:val="clear" w:color="auto" w:fill="auto"/>
          </w:tcPr>
          <w:p w14:paraId="33DAC547" w14:textId="77777777" w:rsidR="004D6A64" w:rsidRDefault="004D6A64">
            <w:pPr>
              <w:rPr>
                <w:rFonts w:ascii="宋体"/>
              </w:rPr>
            </w:pPr>
          </w:p>
        </w:tc>
        <w:tc>
          <w:tcPr>
            <w:tcW w:w="0" w:type="auto"/>
            <w:shd w:val="clear" w:color="auto" w:fill="auto"/>
          </w:tcPr>
          <w:p w14:paraId="33DAC548" w14:textId="77777777" w:rsidR="004D6A64" w:rsidRDefault="004D6A64">
            <w:pPr>
              <w:rPr>
                <w:rFonts w:ascii="宋体"/>
              </w:rPr>
            </w:pPr>
          </w:p>
        </w:tc>
        <w:tc>
          <w:tcPr>
            <w:tcW w:w="0" w:type="auto"/>
            <w:shd w:val="clear" w:color="auto" w:fill="auto"/>
          </w:tcPr>
          <w:p w14:paraId="33DAC549" w14:textId="77777777" w:rsidR="004D6A64" w:rsidRDefault="004D6A64">
            <w:pPr>
              <w:rPr>
                <w:rFonts w:ascii="宋体"/>
              </w:rPr>
            </w:pPr>
          </w:p>
        </w:tc>
        <w:tc>
          <w:tcPr>
            <w:tcW w:w="0" w:type="auto"/>
            <w:shd w:val="clear" w:color="auto" w:fill="auto"/>
          </w:tcPr>
          <w:p w14:paraId="33DAC54A" w14:textId="77777777" w:rsidR="004D6A64" w:rsidRDefault="004D6A64">
            <w:pPr>
              <w:rPr>
                <w:rFonts w:ascii="宋体"/>
              </w:rPr>
            </w:pPr>
          </w:p>
        </w:tc>
        <w:tc>
          <w:tcPr>
            <w:tcW w:w="0" w:type="auto"/>
            <w:shd w:val="clear" w:color="auto" w:fill="auto"/>
          </w:tcPr>
          <w:p w14:paraId="33DAC54B" w14:textId="77777777" w:rsidR="004D6A64" w:rsidRDefault="004D6A64">
            <w:pPr>
              <w:rPr>
                <w:rFonts w:ascii="宋体"/>
              </w:rPr>
            </w:pPr>
          </w:p>
        </w:tc>
        <w:tc>
          <w:tcPr>
            <w:tcW w:w="0" w:type="auto"/>
            <w:shd w:val="clear" w:color="auto" w:fill="auto"/>
          </w:tcPr>
          <w:p w14:paraId="33DAC54C" w14:textId="77777777" w:rsidR="004D6A64" w:rsidRDefault="004D6A64">
            <w:pPr>
              <w:rPr>
                <w:rFonts w:ascii="宋体"/>
              </w:rPr>
            </w:pPr>
          </w:p>
        </w:tc>
        <w:tc>
          <w:tcPr>
            <w:tcW w:w="0" w:type="auto"/>
            <w:shd w:val="clear" w:color="auto" w:fill="auto"/>
          </w:tcPr>
          <w:p w14:paraId="33DAC54D" w14:textId="77777777" w:rsidR="004D6A64" w:rsidRDefault="004D6A64">
            <w:pPr>
              <w:rPr>
                <w:rFonts w:ascii="宋体"/>
              </w:rPr>
            </w:pPr>
          </w:p>
        </w:tc>
        <w:tc>
          <w:tcPr>
            <w:tcW w:w="0" w:type="auto"/>
            <w:shd w:val="clear" w:color="auto" w:fill="auto"/>
          </w:tcPr>
          <w:p w14:paraId="33DAC54E" w14:textId="77777777" w:rsidR="004D6A64" w:rsidRDefault="004D6A64">
            <w:pPr>
              <w:rPr>
                <w:rFonts w:ascii="宋体"/>
              </w:rPr>
            </w:pPr>
          </w:p>
        </w:tc>
        <w:tc>
          <w:tcPr>
            <w:tcW w:w="0" w:type="auto"/>
            <w:shd w:val="clear" w:color="auto" w:fill="auto"/>
          </w:tcPr>
          <w:p w14:paraId="33DAC54F" w14:textId="77777777" w:rsidR="004D6A64" w:rsidRDefault="004D6A64">
            <w:pPr>
              <w:rPr>
                <w:rFonts w:ascii="宋体"/>
              </w:rPr>
            </w:pPr>
          </w:p>
        </w:tc>
        <w:tc>
          <w:tcPr>
            <w:tcW w:w="0" w:type="auto"/>
            <w:shd w:val="clear" w:color="auto" w:fill="auto"/>
          </w:tcPr>
          <w:p w14:paraId="33DAC550" w14:textId="77777777" w:rsidR="004D6A64" w:rsidRDefault="004D6A64">
            <w:pPr>
              <w:rPr>
                <w:rFonts w:ascii="宋体"/>
              </w:rPr>
            </w:pPr>
          </w:p>
        </w:tc>
        <w:tc>
          <w:tcPr>
            <w:tcW w:w="0" w:type="auto"/>
            <w:shd w:val="clear" w:color="auto" w:fill="auto"/>
          </w:tcPr>
          <w:p w14:paraId="33DAC551" w14:textId="77777777" w:rsidR="004D6A64" w:rsidRDefault="004D6A64">
            <w:pPr>
              <w:rPr>
                <w:rFonts w:ascii="宋体"/>
              </w:rPr>
            </w:pPr>
          </w:p>
        </w:tc>
        <w:tc>
          <w:tcPr>
            <w:tcW w:w="0" w:type="auto"/>
            <w:shd w:val="clear" w:color="auto" w:fill="auto"/>
          </w:tcPr>
          <w:p w14:paraId="33DAC552" w14:textId="77777777" w:rsidR="004D6A64" w:rsidRDefault="004D6A64">
            <w:pPr>
              <w:rPr>
                <w:rFonts w:ascii="宋体"/>
              </w:rPr>
            </w:pPr>
          </w:p>
        </w:tc>
        <w:tc>
          <w:tcPr>
            <w:tcW w:w="0" w:type="auto"/>
            <w:shd w:val="clear" w:color="auto" w:fill="auto"/>
          </w:tcPr>
          <w:p w14:paraId="33DAC553" w14:textId="77777777" w:rsidR="004D6A64" w:rsidRDefault="004D6A64">
            <w:pPr>
              <w:rPr>
                <w:rFonts w:ascii="宋体"/>
              </w:rPr>
            </w:pPr>
          </w:p>
        </w:tc>
        <w:tc>
          <w:tcPr>
            <w:tcW w:w="0" w:type="auto"/>
            <w:shd w:val="clear" w:color="auto" w:fill="auto"/>
          </w:tcPr>
          <w:p w14:paraId="33DAC554" w14:textId="77777777" w:rsidR="004D6A64" w:rsidRDefault="004D6A64">
            <w:pPr>
              <w:rPr>
                <w:rFonts w:ascii="宋体"/>
              </w:rPr>
            </w:pPr>
          </w:p>
        </w:tc>
        <w:tc>
          <w:tcPr>
            <w:tcW w:w="0" w:type="auto"/>
            <w:shd w:val="clear" w:color="auto" w:fill="auto"/>
          </w:tcPr>
          <w:p w14:paraId="33DAC555" w14:textId="77777777" w:rsidR="004D6A64" w:rsidRDefault="004D6A64">
            <w:pPr>
              <w:rPr>
                <w:rFonts w:ascii="宋体"/>
              </w:rPr>
            </w:pPr>
          </w:p>
        </w:tc>
        <w:tc>
          <w:tcPr>
            <w:tcW w:w="0" w:type="auto"/>
            <w:shd w:val="clear" w:color="auto" w:fill="auto"/>
          </w:tcPr>
          <w:p w14:paraId="33DAC556" w14:textId="77777777" w:rsidR="004D6A64" w:rsidRDefault="004D6A64">
            <w:pPr>
              <w:rPr>
                <w:rFonts w:ascii="宋体"/>
              </w:rPr>
            </w:pPr>
          </w:p>
        </w:tc>
        <w:tc>
          <w:tcPr>
            <w:tcW w:w="0" w:type="auto"/>
            <w:shd w:val="clear" w:color="auto" w:fill="auto"/>
          </w:tcPr>
          <w:p w14:paraId="33DAC557" w14:textId="77777777" w:rsidR="004D6A64" w:rsidRDefault="004D6A64">
            <w:pPr>
              <w:rPr>
                <w:rFonts w:ascii="宋体"/>
              </w:rPr>
            </w:pPr>
          </w:p>
        </w:tc>
      </w:tr>
      <w:tr w:rsidR="004D6A64" w14:paraId="33DAC585" w14:textId="77777777">
        <w:trPr>
          <w:jc w:val="center"/>
        </w:trPr>
        <w:tc>
          <w:tcPr>
            <w:tcW w:w="0" w:type="auto"/>
            <w:gridSpan w:val="3"/>
            <w:shd w:val="clear" w:color="auto" w:fill="CCEEFF"/>
            <w:tcMar>
              <w:top w:w="40" w:type="dxa"/>
              <w:left w:w="20" w:type="dxa"/>
              <w:bottom w:w="40" w:type="dxa"/>
              <w:right w:w="20" w:type="dxa"/>
            </w:tcMar>
            <w:vAlign w:val="center"/>
          </w:tcPr>
          <w:p w14:paraId="33DAC559" w14:textId="77777777" w:rsidR="004D6A64" w:rsidRDefault="00506CD6">
            <w:pPr>
              <w:textAlignment w:val="center"/>
            </w:pPr>
            <w:r>
              <w:rPr>
                <w:rFonts w:ascii="Times New Roman" w:eastAsia="宋体" w:hAnsi="Times New Roman"/>
                <w:i/>
                <w:iCs/>
                <w:color w:val="000000"/>
                <w:sz w:val="20"/>
                <w:szCs w:val="20"/>
              </w:rPr>
              <w:t xml:space="preserve">Balance as of July </w:t>
            </w:r>
            <w:r>
              <w:rPr>
                <w:rFonts w:ascii="Times New Roman" w:eastAsia="宋体" w:hAnsi="Times New Roman"/>
                <w:i/>
                <w:iCs/>
                <w:color w:val="000000"/>
                <w:sz w:val="20"/>
                <w:szCs w:val="20"/>
              </w:rPr>
              <w:t>31, 2020</w:t>
            </w: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C55A"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C55B" w14:textId="77777777" w:rsidR="004D6A64" w:rsidRDefault="00506CD6">
            <w:pPr>
              <w:jc w:val="right"/>
              <w:textAlignment w:val="center"/>
            </w:pPr>
            <w:r>
              <w:rPr>
                <w:rFonts w:ascii="Times New Roman" w:eastAsia="宋体" w:hAnsi="Times New Roman"/>
                <w:color w:val="000000"/>
                <w:sz w:val="20"/>
                <w:szCs w:val="20"/>
              </w:rPr>
              <w:t>15,200 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C55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55D"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C55E"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C55F" w14:textId="77777777" w:rsidR="004D6A64" w:rsidRDefault="00506CD6">
            <w:pPr>
              <w:jc w:val="right"/>
              <w:textAlignment w:val="center"/>
            </w:pPr>
            <w:r>
              <w:rPr>
                <w:rFonts w:ascii="Times New Roman" w:eastAsia="宋体" w:hAnsi="Times New Roman"/>
                <w:color w:val="000000"/>
                <w:sz w:val="20"/>
                <w:szCs w:val="20"/>
              </w:rPr>
              <w:t>4,237 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C56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561"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C562"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C563" w14:textId="77777777" w:rsidR="004D6A64" w:rsidRDefault="00506CD6">
            <w:pPr>
              <w:jc w:val="right"/>
              <w:textAlignment w:val="center"/>
            </w:pPr>
            <w:r>
              <w:rPr>
                <w:rFonts w:ascii="Times New Roman" w:eastAsia="宋体" w:hAnsi="Times New Roman"/>
                <w:color w:val="000000"/>
                <w:sz w:val="20"/>
                <w:szCs w:val="20"/>
              </w:rPr>
              <w:t>20,750 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C56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565"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C566"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C567" w14:textId="77777777" w:rsidR="004D6A64" w:rsidRDefault="00506CD6">
            <w:pPr>
              <w:jc w:val="right"/>
              <w:textAlignment w:val="center"/>
            </w:pPr>
            <w:r>
              <w:rPr>
                <w:rFonts w:ascii="Times New Roman" w:eastAsia="宋体" w:hAnsi="Times New Roman"/>
                <w:color w:val="000000"/>
                <w:sz w:val="20"/>
                <w:szCs w:val="20"/>
              </w:rPr>
              <w:t>457 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C56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569"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C56A"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C56B" w14:textId="77777777" w:rsidR="004D6A64" w:rsidRDefault="00506CD6">
            <w:pPr>
              <w:jc w:val="right"/>
              <w:textAlignment w:val="center"/>
            </w:pPr>
            <w:r>
              <w:rPr>
                <w:rFonts w:ascii="Times New Roman" w:eastAsia="宋体" w:hAnsi="Times New Roman"/>
                <w:color w:val="000000"/>
                <w:sz w:val="20"/>
                <w:szCs w:val="20"/>
              </w:rPr>
              <w:t>40,644 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C56C" w14:textId="77777777" w:rsidR="004D6A64" w:rsidRDefault="004D6A64">
            <w:pPr>
              <w:jc w:val="right"/>
              <w:rPr>
                <w:rFonts w:ascii="宋体"/>
              </w:rPr>
            </w:pPr>
          </w:p>
        </w:tc>
        <w:tc>
          <w:tcPr>
            <w:tcW w:w="0" w:type="auto"/>
            <w:shd w:val="clear" w:color="auto" w:fill="auto"/>
          </w:tcPr>
          <w:p w14:paraId="33DAC56D" w14:textId="77777777" w:rsidR="004D6A64" w:rsidRDefault="004D6A64">
            <w:pPr>
              <w:rPr>
                <w:rFonts w:ascii="宋体"/>
              </w:rPr>
            </w:pPr>
          </w:p>
        </w:tc>
        <w:tc>
          <w:tcPr>
            <w:tcW w:w="0" w:type="auto"/>
            <w:shd w:val="clear" w:color="auto" w:fill="auto"/>
          </w:tcPr>
          <w:p w14:paraId="33DAC56E" w14:textId="77777777" w:rsidR="004D6A64" w:rsidRDefault="004D6A64">
            <w:pPr>
              <w:rPr>
                <w:rFonts w:ascii="宋体"/>
              </w:rPr>
            </w:pPr>
          </w:p>
        </w:tc>
        <w:tc>
          <w:tcPr>
            <w:tcW w:w="0" w:type="auto"/>
            <w:shd w:val="clear" w:color="auto" w:fill="auto"/>
          </w:tcPr>
          <w:p w14:paraId="33DAC56F" w14:textId="77777777" w:rsidR="004D6A64" w:rsidRDefault="004D6A64">
            <w:pPr>
              <w:rPr>
                <w:rFonts w:ascii="宋体"/>
              </w:rPr>
            </w:pPr>
          </w:p>
        </w:tc>
        <w:tc>
          <w:tcPr>
            <w:tcW w:w="0" w:type="auto"/>
            <w:shd w:val="clear" w:color="auto" w:fill="auto"/>
          </w:tcPr>
          <w:p w14:paraId="33DAC570" w14:textId="77777777" w:rsidR="004D6A64" w:rsidRDefault="004D6A64">
            <w:pPr>
              <w:rPr>
                <w:rFonts w:ascii="宋体"/>
              </w:rPr>
            </w:pPr>
          </w:p>
        </w:tc>
        <w:tc>
          <w:tcPr>
            <w:tcW w:w="0" w:type="auto"/>
            <w:shd w:val="clear" w:color="auto" w:fill="auto"/>
          </w:tcPr>
          <w:p w14:paraId="33DAC571" w14:textId="77777777" w:rsidR="004D6A64" w:rsidRDefault="004D6A64">
            <w:pPr>
              <w:rPr>
                <w:rFonts w:ascii="宋体"/>
              </w:rPr>
            </w:pPr>
          </w:p>
        </w:tc>
        <w:tc>
          <w:tcPr>
            <w:tcW w:w="0" w:type="auto"/>
            <w:shd w:val="clear" w:color="auto" w:fill="auto"/>
          </w:tcPr>
          <w:p w14:paraId="33DAC572" w14:textId="77777777" w:rsidR="004D6A64" w:rsidRDefault="004D6A64">
            <w:pPr>
              <w:rPr>
                <w:rFonts w:ascii="宋体"/>
              </w:rPr>
            </w:pPr>
          </w:p>
        </w:tc>
        <w:tc>
          <w:tcPr>
            <w:tcW w:w="0" w:type="auto"/>
            <w:shd w:val="clear" w:color="auto" w:fill="auto"/>
          </w:tcPr>
          <w:p w14:paraId="33DAC573" w14:textId="77777777" w:rsidR="004D6A64" w:rsidRDefault="004D6A64">
            <w:pPr>
              <w:rPr>
                <w:rFonts w:ascii="宋体"/>
              </w:rPr>
            </w:pPr>
          </w:p>
        </w:tc>
        <w:tc>
          <w:tcPr>
            <w:tcW w:w="0" w:type="auto"/>
            <w:shd w:val="clear" w:color="auto" w:fill="auto"/>
          </w:tcPr>
          <w:p w14:paraId="33DAC574" w14:textId="77777777" w:rsidR="004D6A64" w:rsidRDefault="004D6A64">
            <w:pPr>
              <w:rPr>
                <w:rFonts w:ascii="宋体"/>
              </w:rPr>
            </w:pPr>
          </w:p>
        </w:tc>
        <w:tc>
          <w:tcPr>
            <w:tcW w:w="0" w:type="auto"/>
            <w:shd w:val="clear" w:color="auto" w:fill="auto"/>
          </w:tcPr>
          <w:p w14:paraId="33DAC575" w14:textId="77777777" w:rsidR="004D6A64" w:rsidRDefault="004D6A64">
            <w:pPr>
              <w:rPr>
                <w:rFonts w:ascii="宋体"/>
              </w:rPr>
            </w:pPr>
          </w:p>
        </w:tc>
        <w:tc>
          <w:tcPr>
            <w:tcW w:w="0" w:type="auto"/>
            <w:shd w:val="clear" w:color="auto" w:fill="auto"/>
          </w:tcPr>
          <w:p w14:paraId="33DAC576" w14:textId="77777777" w:rsidR="004D6A64" w:rsidRDefault="004D6A64">
            <w:pPr>
              <w:rPr>
                <w:rFonts w:ascii="宋体"/>
              </w:rPr>
            </w:pPr>
          </w:p>
        </w:tc>
        <w:tc>
          <w:tcPr>
            <w:tcW w:w="0" w:type="auto"/>
            <w:shd w:val="clear" w:color="auto" w:fill="auto"/>
          </w:tcPr>
          <w:p w14:paraId="33DAC577" w14:textId="77777777" w:rsidR="004D6A64" w:rsidRDefault="004D6A64">
            <w:pPr>
              <w:rPr>
                <w:rFonts w:ascii="宋体"/>
              </w:rPr>
            </w:pPr>
          </w:p>
        </w:tc>
        <w:tc>
          <w:tcPr>
            <w:tcW w:w="0" w:type="auto"/>
            <w:shd w:val="clear" w:color="auto" w:fill="auto"/>
          </w:tcPr>
          <w:p w14:paraId="33DAC578" w14:textId="77777777" w:rsidR="004D6A64" w:rsidRDefault="004D6A64">
            <w:pPr>
              <w:rPr>
                <w:rFonts w:ascii="宋体"/>
              </w:rPr>
            </w:pPr>
          </w:p>
        </w:tc>
        <w:tc>
          <w:tcPr>
            <w:tcW w:w="0" w:type="auto"/>
            <w:shd w:val="clear" w:color="auto" w:fill="auto"/>
          </w:tcPr>
          <w:p w14:paraId="33DAC579" w14:textId="77777777" w:rsidR="004D6A64" w:rsidRDefault="004D6A64">
            <w:pPr>
              <w:rPr>
                <w:rFonts w:ascii="宋体"/>
              </w:rPr>
            </w:pPr>
          </w:p>
        </w:tc>
        <w:tc>
          <w:tcPr>
            <w:tcW w:w="0" w:type="auto"/>
            <w:shd w:val="clear" w:color="auto" w:fill="auto"/>
          </w:tcPr>
          <w:p w14:paraId="33DAC57A" w14:textId="77777777" w:rsidR="004D6A64" w:rsidRDefault="004D6A64">
            <w:pPr>
              <w:rPr>
                <w:rFonts w:ascii="宋体"/>
              </w:rPr>
            </w:pPr>
          </w:p>
        </w:tc>
        <w:tc>
          <w:tcPr>
            <w:tcW w:w="0" w:type="auto"/>
            <w:shd w:val="clear" w:color="auto" w:fill="auto"/>
          </w:tcPr>
          <w:p w14:paraId="33DAC57B" w14:textId="77777777" w:rsidR="004D6A64" w:rsidRDefault="004D6A64">
            <w:pPr>
              <w:rPr>
                <w:rFonts w:ascii="宋体"/>
              </w:rPr>
            </w:pPr>
          </w:p>
        </w:tc>
        <w:tc>
          <w:tcPr>
            <w:tcW w:w="0" w:type="auto"/>
            <w:shd w:val="clear" w:color="auto" w:fill="auto"/>
          </w:tcPr>
          <w:p w14:paraId="33DAC57C" w14:textId="77777777" w:rsidR="004D6A64" w:rsidRDefault="004D6A64">
            <w:pPr>
              <w:rPr>
                <w:rFonts w:ascii="宋体"/>
              </w:rPr>
            </w:pPr>
          </w:p>
        </w:tc>
        <w:tc>
          <w:tcPr>
            <w:tcW w:w="0" w:type="auto"/>
            <w:shd w:val="clear" w:color="auto" w:fill="auto"/>
          </w:tcPr>
          <w:p w14:paraId="33DAC57D" w14:textId="77777777" w:rsidR="004D6A64" w:rsidRDefault="004D6A64">
            <w:pPr>
              <w:rPr>
                <w:rFonts w:ascii="宋体"/>
              </w:rPr>
            </w:pPr>
          </w:p>
        </w:tc>
        <w:tc>
          <w:tcPr>
            <w:tcW w:w="0" w:type="auto"/>
            <w:shd w:val="clear" w:color="auto" w:fill="auto"/>
          </w:tcPr>
          <w:p w14:paraId="33DAC57E" w14:textId="77777777" w:rsidR="004D6A64" w:rsidRDefault="004D6A64">
            <w:pPr>
              <w:rPr>
                <w:rFonts w:ascii="宋体"/>
              </w:rPr>
            </w:pPr>
          </w:p>
        </w:tc>
        <w:tc>
          <w:tcPr>
            <w:tcW w:w="0" w:type="auto"/>
            <w:shd w:val="clear" w:color="auto" w:fill="auto"/>
          </w:tcPr>
          <w:p w14:paraId="33DAC57F" w14:textId="77777777" w:rsidR="004D6A64" w:rsidRDefault="004D6A64">
            <w:pPr>
              <w:rPr>
                <w:rFonts w:ascii="宋体"/>
              </w:rPr>
            </w:pPr>
          </w:p>
        </w:tc>
        <w:tc>
          <w:tcPr>
            <w:tcW w:w="0" w:type="auto"/>
            <w:shd w:val="clear" w:color="auto" w:fill="auto"/>
          </w:tcPr>
          <w:p w14:paraId="33DAC580" w14:textId="77777777" w:rsidR="004D6A64" w:rsidRDefault="004D6A64">
            <w:pPr>
              <w:rPr>
                <w:rFonts w:ascii="宋体"/>
              </w:rPr>
            </w:pPr>
          </w:p>
        </w:tc>
        <w:tc>
          <w:tcPr>
            <w:tcW w:w="0" w:type="auto"/>
            <w:shd w:val="clear" w:color="auto" w:fill="auto"/>
          </w:tcPr>
          <w:p w14:paraId="33DAC581" w14:textId="77777777" w:rsidR="004D6A64" w:rsidRDefault="004D6A64">
            <w:pPr>
              <w:rPr>
                <w:rFonts w:ascii="宋体"/>
              </w:rPr>
            </w:pPr>
          </w:p>
        </w:tc>
        <w:tc>
          <w:tcPr>
            <w:tcW w:w="0" w:type="auto"/>
            <w:shd w:val="clear" w:color="auto" w:fill="auto"/>
          </w:tcPr>
          <w:p w14:paraId="33DAC582" w14:textId="77777777" w:rsidR="004D6A64" w:rsidRDefault="004D6A64">
            <w:pPr>
              <w:rPr>
                <w:rFonts w:ascii="宋体"/>
              </w:rPr>
            </w:pPr>
          </w:p>
        </w:tc>
        <w:tc>
          <w:tcPr>
            <w:tcW w:w="0" w:type="auto"/>
            <w:shd w:val="clear" w:color="auto" w:fill="auto"/>
          </w:tcPr>
          <w:p w14:paraId="33DAC583" w14:textId="77777777" w:rsidR="004D6A64" w:rsidRDefault="004D6A64">
            <w:pPr>
              <w:rPr>
                <w:rFonts w:ascii="宋体"/>
              </w:rPr>
            </w:pPr>
          </w:p>
        </w:tc>
        <w:tc>
          <w:tcPr>
            <w:tcW w:w="0" w:type="auto"/>
            <w:shd w:val="clear" w:color="auto" w:fill="auto"/>
          </w:tcPr>
          <w:p w14:paraId="33DAC584" w14:textId="77777777" w:rsidR="004D6A64" w:rsidRDefault="004D6A64">
            <w:pPr>
              <w:rPr>
                <w:rFonts w:ascii="宋体"/>
              </w:rPr>
            </w:pPr>
          </w:p>
        </w:tc>
      </w:tr>
    </w:tbl>
    <w:p w14:paraId="33DAC586" w14:textId="77777777" w:rsidR="004D6A64" w:rsidRDefault="00506CD6">
      <w:r>
        <w:rPr>
          <w:rFonts w:ascii="Times New Roman" w:eastAsia="宋体" w:hAnsi="Times New Roman"/>
          <w:color w:val="000000"/>
          <w:sz w:val="20"/>
          <w:szCs w:val="20"/>
        </w:rPr>
        <w:t>____________________</w:t>
      </w:r>
    </w:p>
    <w:p w14:paraId="33DAC587" w14:textId="77777777" w:rsidR="004D6A64" w:rsidRDefault="00506CD6">
      <w:pPr>
        <w:pBdr>
          <w:left w:val="none" w:sz="0" w:space="0" w:color="auto"/>
        </w:pBdr>
        <w:ind w:hanging="360"/>
      </w:pPr>
      <w:r>
        <w:rPr>
          <w:rFonts w:ascii="Times New Roman" w:eastAsia="宋体" w:hAnsi="Times New Roman"/>
          <w:color w:val="000000"/>
          <w:sz w:val="20"/>
          <w:szCs w:val="20"/>
        </w:rPr>
        <w:t>(a) As of July 31, 2020, goodwill allocated to Other businesses consists of Secureworks, Virtustream, and Boomi.</w:t>
      </w:r>
    </w:p>
    <w:p w14:paraId="33DAC588" w14:textId="77777777" w:rsidR="004D6A64" w:rsidRDefault="00506CD6">
      <w:pPr>
        <w:pBdr>
          <w:left w:val="none" w:sz="0" w:space="0" w:color="auto"/>
        </w:pBdr>
        <w:ind w:hanging="360"/>
      </w:pPr>
      <w:r>
        <w:rPr>
          <w:rFonts w:ascii="Times New Roman" w:eastAsia="宋体" w:hAnsi="Times New Roman"/>
          <w:color w:val="000000"/>
          <w:sz w:val="20"/>
          <w:szCs w:val="20"/>
        </w:rPr>
        <w:t>(b) VMware, Inc. business combinations completed du</w:t>
      </w:r>
      <w:r>
        <w:rPr>
          <w:rFonts w:ascii="Times New Roman" w:eastAsia="宋体" w:hAnsi="Times New Roman"/>
          <w:color w:val="000000"/>
          <w:sz w:val="20"/>
          <w:szCs w:val="20"/>
        </w:rPr>
        <w:t>ring the six months ended July 31, 2020, as discussed above.</w:t>
      </w:r>
    </w:p>
    <w:p w14:paraId="33DAC589" w14:textId="77777777" w:rsidR="004D6A64" w:rsidRDefault="00506CD6">
      <w:pPr>
        <w:pBdr>
          <w:left w:val="none" w:sz="0" w:space="0" w:color="auto"/>
        </w:pBdr>
        <w:ind w:hanging="360"/>
      </w:pPr>
      <w:r>
        <w:rPr>
          <w:rFonts w:ascii="Times New Roman" w:eastAsia="宋体" w:hAnsi="Times New Roman"/>
          <w:color w:val="000000"/>
          <w:sz w:val="20"/>
          <w:szCs w:val="20"/>
        </w:rPr>
        <w:t>(c) During the six months ended July 31, 2020, RSA Security’s goodwill was reclassified to current assets held for sale on the Condensed Consolidated Statements of Financial Position due to the C</w:t>
      </w:r>
      <w:r>
        <w:rPr>
          <w:rFonts w:ascii="Times New Roman" w:eastAsia="宋体" w:hAnsi="Times New Roman"/>
          <w:color w:val="000000"/>
          <w:sz w:val="20"/>
          <w:szCs w:val="20"/>
        </w:rPr>
        <w:t>ompany’s entry into a definitive agreement to sell RSA Security. See Note 1 and Note 19 of the Notes to the Condensed Consolidated Financial Statements for additional information about the divestiture of RSA Security.</w:t>
      </w:r>
    </w:p>
    <w:p w14:paraId="33DAC58A" w14:textId="77777777" w:rsidR="004D6A64" w:rsidRDefault="004D6A64"/>
    <w:p w14:paraId="33DAC58B" w14:textId="77777777" w:rsidR="004D6A64" w:rsidRDefault="00506CD6">
      <w:r>
        <w:rPr>
          <w:rFonts w:ascii="Times New Roman" w:eastAsia="宋体" w:hAnsi="Times New Roman"/>
          <w:i/>
          <w:iCs/>
          <w:color w:val="000000"/>
          <w:sz w:val="20"/>
          <w:szCs w:val="20"/>
          <w:u w:val="single"/>
        </w:rPr>
        <w:t>Goodwill Impairment Tests</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Goodwill and indefinite-lived intangible assets are tested for impairment annually during the third fiscal quarter and whenever events or circumstances may indicate that an impairment has occurred. As a result of the changes in the current economic environ</w:t>
      </w:r>
      <w:r>
        <w:rPr>
          <w:rFonts w:ascii="Times New Roman" w:eastAsia="宋体" w:hAnsi="Times New Roman"/>
          <w:color w:val="000000"/>
          <w:sz w:val="20"/>
          <w:szCs w:val="20"/>
        </w:rPr>
        <w:t>ment related to the COVID-19 pandemic, the Company considered whether there was a potential triggering event requiring the evaluation of whether goodwill of any of the reporting units should be tested for impairment. The Company determined there was no tri</w:t>
      </w:r>
      <w:r>
        <w:rPr>
          <w:rFonts w:ascii="Times New Roman" w:eastAsia="宋体" w:hAnsi="Times New Roman"/>
          <w:color w:val="000000"/>
          <w:sz w:val="20"/>
          <w:szCs w:val="20"/>
        </w:rPr>
        <w:t>ggering event and no impairment test was performed as of July 31, 2020.</w:t>
      </w:r>
    </w:p>
    <w:p w14:paraId="33DAC58C" w14:textId="77777777" w:rsidR="004D6A64" w:rsidRDefault="004D6A64"/>
    <w:p w14:paraId="33DAC58D" w14:textId="77777777" w:rsidR="004D6A64" w:rsidRDefault="00506CD6">
      <w:r>
        <w:rPr>
          <w:rFonts w:ascii="Times New Roman" w:eastAsia="宋体" w:hAnsi="Times New Roman"/>
          <w:color w:val="000000"/>
          <w:sz w:val="20"/>
          <w:szCs w:val="20"/>
        </w:rPr>
        <w:t xml:space="preserve">For the annual impairment review in the third quarter of Fiscal 2020, the Company elected to bypass the assessment of qualitative factors to determine whether it was more likely than </w:t>
      </w:r>
      <w:r>
        <w:rPr>
          <w:rFonts w:ascii="Times New Roman" w:eastAsia="宋体" w:hAnsi="Times New Roman"/>
          <w:color w:val="000000"/>
          <w:sz w:val="20"/>
          <w:szCs w:val="20"/>
        </w:rPr>
        <w:t>not that the fair value of a reporting unit was less than its carrying amount, including goodwill. In electing to bypass the qualitative assessment, the Company proceeded directly to performing a quantitative goodwill impairment test to measure the fair va</w:t>
      </w:r>
      <w:r>
        <w:rPr>
          <w:rFonts w:ascii="Times New Roman" w:eastAsia="宋体" w:hAnsi="Times New Roman"/>
          <w:color w:val="000000"/>
          <w:sz w:val="20"/>
          <w:szCs w:val="20"/>
        </w:rPr>
        <w:t>lue of each goodwill reporting unit relative to its carrying amount, and to determine the amount of goodwill impairment loss to be recognized, if any.</w:t>
      </w:r>
    </w:p>
    <w:p w14:paraId="33DAC58E" w14:textId="77777777" w:rsidR="004D6A64" w:rsidRDefault="004D6A64"/>
    <w:p w14:paraId="33DAC58F" w14:textId="77777777" w:rsidR="004D6A64" w:rsidRDefault="00506CD6">
      <w:r>
        <w:rPr>
          <w:rFonts w:ascii="Times New Roman" w:eastAsia="宋体" w:hAnsi="Times New Roman"/>
          <w:color w:val="000000"/>
          <w:sz w:val="20"/>
          <w:szCs w:val="20"/>
        </w:rPr>
        <w:t xml:space="preserve">Management exercised significant judgment related to the above assessment, including the identification </w:t>
      </w:r>
      <w:r>
        <w:rPr>
          <w:rFonts w:ascii="Times New Roman" w:eastAsia="宋体" w:hAnsi="Times New Roman"/>
          <w:color w:val="000000"/>
          <w:sz w:val="20"/>
          <w:szCs w:val="20"/>
        </w:rPr>
        <w:t>of goodwill reporting units, assignment of assets and liabilities to goodwill reporting units, assignment of goodwill to reporting units, and determination of the fair value of each goodwill reporting unit. The fair value of each goodwill reporting unit is</w:t>
      </w:r>
      <w:r>
        <w:rPr>
          <w:rFonts w:ascii="Times New Roman" w:eastAsia="宋体" w:hAnsi="Times New Roman"/>
          <w:color w:val="000000"/>
          <w:sz w:val="20"/>
          <w:szCs w:val="20"/>
        </w:rPr>
        <w:t xml:space="preserve"> generally estimated using a combination of public company multiples and discounted cash flow methodologies, unless the reporting unit relates to a publicly-traded entity (VMware, Inc. or Secureworks), in which case the fair value is determined based prima</w:t>
      </w:r>
      <w:r>
        <w:rPr>
          <w:rFonts w:ascii="Times New Roman" w:eastAsia="宋体" w:hAnsi="Times New Roman"/>
          <w:color w:val="000000"/>
          <w:sz w:val="20"/>
          <w:szCs w:val="20"/>
        </w:rPr>
        <w:t>rily on the public company market valuation. The discounted cash flow and public company multiples methodologies require significant judgment, including estimation of future cash flows, which is dependent on internal forecasts, current and anticipated econ</w:t>
      </w:r>
      <w:r>
        <w:rPr>
          <w:rFonts w:ascii="Times New Roman" w:eastAsia="宋体" w:hAnsi="Times New Roman"/>
          <w:color w:val="000000"/>
          <w:sz w:val="20"/>
          <w:szCs w:val="20"/>
        </w:rPr>
        <w:t>omic conditions and trends, selection of market multiples through assessment of the reporting unit’s performance relative to peer competitors, the estimation of the long-term revenue growth rate and discount rate of the Company’s business, and the determin</w:t>
      </w:r>
      <w:r>
        <w:rPr>
          <w:rFonts w:ascii="Times New Roman" w:eastAsia="宋体" w:hAnsi="Times New Roman"/>
          <w:color w:val="000000"/>
          <w:sz w:val="20"/>
          <w:szCs w:val="20"/>
        </w:rPr>
        <w:t>ation of the Company’s weighted average cost of capital. Changes in these estimates and assumptions could materially affect the fair value of the goodwill reporting unit, potentially resulting in a non-cash impairment charge.</w:t>
      </w:r>
    </w:p>
    <w:p w14:paraId="33DAC590" w14:textId="77777777" w:rsidR="004D6A64" w:rsidRDefault="004D6A64"/>
    <w:p w14:paraId="33DAC591" w14:textId="77777777" w:rsidR="004D6A64" w:rsidRDefault="004D6A64"/>
    <w:p w14:paraId="33DAC592" w14:textId="77777777" w:rsidR="004D6A64" w:rsidRDefault="004D6A64">
      <w:pPr>
        <w:jc w:val="center"/>
      </w:pPr>
    </w:p>
    <w:p w14:paraId="33DAC593" w14:textId="77777777" w:rsidR="004D6A64" w:rsidRDefault="00506CD6">
      <w:pPr>
        <w:jc w:val="center"/>
      </w:pPr>
      <w:r>
        <w:rPr>
          <w:rFonts w:ascii="Times New Roman" w:eastAsia="宋体" w:hAnsi="Times New Roman"/>
          <w:color w:val="000000"/>
          <w:sz w:val="20"/>
          <w:szCs w:val="20"/>
        </w:rPr>
        <w:t>43</w:t>
      </w:r>
    </w:p>
    <w:p w14:paraId="33DAC594" w14:textId="77777777" w:rsidR="004D6A64" w:rsidRDefault="004D6A64">
      <w:pPr>
        <w:jc w:val="center"/>
      </w:pPr>
    </w:p>
    <w:p w14:paraId="33DAC595" w14:textId="77777777" w:rsidR="004D6A64" w:rsidRDefault="00506CD6">
      <w:r>
        <w:pict w14:anchorId="33DAFAEF">
          <v:rect id="_x0000_i1067" style="width:415.3pt;height:1.5pt" o:hralign="center" o:hrstd="t" o:hr="t" fillcolor="#a0a0a0" stroked="f"/>
        </w:pict>
      </w:r>
    </w:p>
    <w:p w14:paraId="33DAC596" w14:textId="77777777" w:rsidR="004D6A64" w:rsidRDefault="00506CD6">
      <w:hyperlink r:id="rId166" w:anchor="if3e0e1bf9ecd4bf69551d7a85f98d64a_10" w:history="1">
        <w:r>
          <w:rPr>
            <w:rStyle w:val="a5"/>
            <w:rFonts w:ascii="Times New Roman" w:eastAsia="宋体" w:hAnsi="Times New Roman"/>
            <w:sz w:val="20"/>
            <w:szCs w:val="20"/>
          </w:rPr>
          <w:t>Table of Contents</w:t>
        </w:r>
      </w:hyperlink>
    </w:p>
    <w:p w14:paraId="33DAC597"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C598" w14:textId="77777777" w:rsidR="004D6A64" w:rsidRDefault="00506CD6">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33DAC599"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C59A" w14:textId="77777777" w:rsidR="004D6A64" w:rsidRDefault="004D6A64">
      <w:pPr>
        <w:jc w:val="center"/>
      </w:pPr>
    </w:p>
    <w:p w14:paraId="33DAC59B" w14:textId="77777777" w:rsidR="004D6A64" w:rsidRDefault="00506CD6">
      <w:r>
        <w:rPr>
          <w:rFonts w:ascii="Times New Roman" w:eastAsia="宋体" w:hAnsi="Times New Roman"/>
          <w:color w:val="000000"/>
          <w:sz w:val="20"/>
          <w:szCs w:val="20"/>
        </w:rPr>
        <w:t>The fair value of the indefinite-lived trade names is generally estimated using discounted cash flow methodologies. The discounted cash flow methodology requires significant judgment, including estimation of future reven</w:t>
      </w:r>
      <w:r>
        <w:rPr>
          <w:rFonts w:ascii="Times New Roman" w:eastAsia="宋体" w:hAnsi="Times New Roman"/>
          <w:color w:val="000000"/>
          <w:sz w:val="20"/>
          <w:szCs w:val="20"/>
        </w:rPr>
        <w:t>ue, which is dependent on internal forecasts, the estimation of the long-term revenue growth rate of the Company’s business and the determination of the Company’s weighted average cost of capital and royalty rates. Changes in these estimates and assumption</w:t>
      </w:r>
      <w:r>
        <w:rPr>
          <w:rFonts w:ascii="Times New Roman" w:eastAsia="宋体" w:hAnsi="Times New Roman"/>
          <w:color w:val="000000"/>
          <w:sz w:val="20"/>
          <w:szCs w:val="20"/>
        </w:rPr>
        <w:t>s could materially affect the fair value of the indefinite-lived intangible assets, potentially resulting in a non-cash impairment charge.</w:t>
      </w:r>
    </w:p>
    <w:p w14:paraId="33DAC59C" w14:textId="77777777" w:rsidR="004D6A64" w:rsidRDefault="004D6A64"/>
    <w:p w14:paraId="33DAC59D" w14:textId="77777777" w:rsidR="004D6A64" w:rsidRDefault="00506CD6">
      <w:r>
        <w:rPr>
          <w:rFonts w:ascii="Times New Roman" w:eastAsia="宋体" w:hAnsi="Times New Roman"/>
          <w:color w:val="000000"/>
          <w:sz w:val="20"/>
          <w:szCs w:val="20"/>
        </w:rPr>
        <w:t>Based on the results of the annual impairment test performed during the fiscal year ended January 31, 2020, the fair</w:t>
      </w:r>
      <w:r>
        <w:rPr>
          <w:rFonts w:ascii="Times New Roman" w:eastAsia="宋体" w:hAnsi="Times New Roman"/>
          <w:color w:val="000000"/>
          <w:sz w:val="20"/>
          <w:szCs w:val="20"/>
        </w:rPr>
        <w:t xml:space="preserve"> values of each of the reporting units exceeded their carrying values. Based on this annual impairment test, it was determined that the fair value of the RSA Security reporting unit exceeded its carrying value by 13% as of November 1, 2019. The Company’s e</w:t>
      </w:r>
      <w:r>
        <w:rPr>
          <w:rFonts w:ascii="Times New Roman" w:eastAsia="宋体" w:hAnsi="Times New Roman"/>
          <w:color w:val="000000"/>
          <w:sz w:val="20"/>
          <w:szCs w:val="20"/>
        </w:rPr>
        <w:t>ntry into a definitive agreement to sell RSA Security for $2.075 billion, as discussed in Note 1 of the Notes to the Condensed Consolidated Financial Statements, provided a new fair value indication that the RSA Security reporting unit exceeds its carrying</w:t>
      </w:r>
      <w:r>
        <w:rPr>
          <w:rFonts w:ascii="Times New Roman" w:eastAsia="宋体" w:hAnsi="Times New Roman"/>
          <w:color w:val="000000"/>
          <w:sz w:val="20"/>
          <w:szCs w:val="20"/>
        </w:rPr>
        <w:t xml:space="preserve"> value. Accordingly, subsequent to the annual impairment test, based on fair value indicators as of January 31, 2020 and July 31, 2020, it was determined that the fair value of the RSA Security reporting unit exceeded its carrying amount by 20%. </w:t>
      </w:r>
    </w:p>
    <w:p w14:paraId="33DAC59E" w14:textId="77777777" w:rsidR="004D6A64" w:rsidRDefault="004D6A64"/>
    <w:p w14:paraId="33DAC59F" w14:textId="77777777" w:rsidR="004D6A64" w:rsidRDefault="00506CD6">
      <w:r>
        <w:rPr>
          <w:rFonts w:ascii="Times New Roman" w:eastAsia="宋体" w:hAnsi="Times New Roman"/>
          <w:color w:val="000000"/>
          <w:sz w:val="20"/>
          <w:szCs w:val="20"/>
        </w:rPr>
        <w:t>During t</w:t>
      </w:r>
      <w:r>
        <w:rPr>
          <w:rFonts w:ascii="Times New Roman" w:eastAsia="宋体" w:hAnsi="Times New Roman"/>
          <w:color w:val="000000"/>
          <w:sz w:val="20"/>
          <w:szCs w:val="20"/>
        </w:rPr>
        <w:t>he fiscal year ended January 31, 2020, an interim impairment assessment of Virtustream was required. There are no remaining balances of Virtustream goodwill, intangible assets, or property, plant, and equipment as of January 31, 2020 following the gross as</w:t>
      </w:r>
      <w:r>
        <w:rPr>
          <w:rFonts w:ascii="Times New Roman" w:eastAsia="宋体" w:hAnsi="Times New Roman"/>
          <w:color w:val="000000"/>
          <w:sz w:val="20"/>
          <w:szCs w:val="20"/>
        </w:rPr>
        <w:t>set impairment charge of $619 million (comprised of $207 million of goodwill, $266 million of intangible assets, net, and $146 million of property, plant, and equipment, net) recognized during the fiscal year ended January 31, 2020, and a gross goodwill im</w:t>
      </w:r>
      <w:r>
        <w:rPr>
          <w:rFonts w:ascii="Times New Roman" w:eastAsia="宋体" w:hAnsi="Times New Roman"/>
          <w:color w:val="000000"/>
          <w:sz w:val="20"/>
          <w:szCs w:val="20"/>
        </w:rPr>
        <w:t>pairment charge of $190 million recognized during the fiscal year ended February 1, 2019. The impairment is reflected in Other, net within cash flows from operating activities on the Condensed Consolidated Statements of Cash Flows.</w:t>
      </w:r>
    </w:p>
    <w:p w14:paraId="33DAC5A0" w14:textId="77777777" w:rsidR="004D6A64" w:rsidRDefault="004D6A64"/>
    <w:p w14:paraId="33DAC5A1" w14:textId="77777777" w:rsidR="004D6A64" w:rsidRDefault="004D6A64">
      <w:pPr>
        <w:jc w:val="center"/>
      </w:pPr>
    </w:p>
    <w:p w14:paraId="33DAC5A2" w14:textId="77777777" w:rsidR="004D6A64" w:rsidRDefault="00506CD6">
      <w:pPr>
        <w:jc w:val="center"/>
      </w:pPr>
      <w:r>
        <w:rPr>
          <w:rFonts w:ascii="Times New Roman" w:eastAsia="宋体" w:hAnsi="Times New Roman"/>
          <w:color w:val="000000"/>
          <w:sz w:val="20"/>
          <w:szCs w:val="20"/>
        </w:rPr>
        <w:t>44</w:t>
      </w:r>
    </w:p>
    <w:p w14:paraId="33DAC5A3" w14:textId="77777777" w:rsidR="004D6A64" w:rsidRDefault="004D6A64">
      <w:pPr>
        <w:jc w:val="center"/>
      </w:pPr>
    </w:p>
    <w:p w14:paraId="33DAC5A4" w14:textId="77777777" w:rsidR="004D6A64" w:rsidRDefault="00506CD6">
      <w:r>
        <w:pict w14:anchorId="33DAFAF0">
          <v:rect id="_x0000_i1068" style="width:415.3pt;height:1.5pt" o:hralign="center" o:hrstd="t" o:hr="t" fillcolor="#a0a0a0" stroked="f"/>
        </w:pict>
      </w:r>
    </w:p>
    <w:p w14:paraId="33DAC5A5" w14:textId="77777777" w:rsidR="004D6A64" w:rsidRDefault="00506CD6">
      <w:hyperlink r:id="rId167" w:anchor="if3e0e1bf9ecd4bf69551d7a85f98d64a_10" w:history="1">
        <w:r>
          <w:rPr>
            <w:rStyle w:val="a5"/>
            <w:rFonts w:ascii="Times New Roman" w:eastAsia="宋体" w:hAnsi="Times New Roman"/>
            <w:sz w:val="20"/>
            <w:szCs w:val="20"/>
          </w:rPr>
          <w:t>Table of Contents</w:t>
        </w:r>
      </w:hyperlink>
    </w:p>
    <w:p w14:paraId="33DAC5A6"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C5A7" w14:textId="77777777" w:rsidR="004D6A64" w:rsidRDefault="00506CD6">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33DAC5A8"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C5A9" w14:textId="77777777" w:rsidR="004D6A64" w:rsidRDefault="004D6A64">
      <w:pPr>
        <w:jc w:val="center"/>
      </w:pPr>
    </w:p>
    <w:p w14:paraId="33DAC5AA" w14:textId="77777777" w:rsidR="004D6A64" w:rsidRDefault="00506CD6">
      <w:r>
        <w:rPr>
          <w:rFonts w:ascii="Times New Roman" w:eastAsia="宋体" w:hAnsi="Times New Roman"/>
          <w:b/>
          <w:bCs/>
          <w:color w:val="000000"/>
          <w:sz w:val="20"/>
          <w:szCs w:val="20"/>
        </w:rPr>
        <w:t>Intangible Assets</w:t>
      </w:r>
    </w:p>
    <w:p w14:paraId="33DAC5AB" w14:textId="77777777" w:rsidR="004D6A64" w:rsidRDefault="004D6A64"/>
    <w:p w14:paraId="33DAC5AC" w14:textId="77777777" w:rsidR="004D6A64" w:rsidRDefault="00506CD6">
      <w:r>
        <w:rPr>
          <w:rFonts w:ascii="Times New Roman" w:eastAsia="宋体" w:hAnsi="Times New Roman"/>
          <w:color w:val="000000"/>
          <w:sz w:val="20"/>
          <w:szCs w:val="20"/>
        </w:rPr>
        <w:t xml:space="preserve">The following table presents the Company’s intangible assets as of the dates indicated: </w:t>
      </w:r>
    </w:p>
    <w:tbl>
      <w:tblPr>
        <w:tblW w:w="5000" w:type="pct"/>
        <w:tblCellMar>
          <w:top w:w="15" w:type="dxa"/>
          <w:left w:w="15" w:type="dxa"/>
          <w:bottom w:w="15" w:type="dxa"/>
          <w:right w:w="15" w:type="dxa"/>
        </w:tblCellMar>
        <w:tblLook w:val="04A0" w:firstRow="1" w:lastRow="0" w:firstColumn="1" w:lastColumn="0" w:noHBand="0" w:noVBand="1"/>
      </w:tblPr>
      <w:tblGrid>
        <w:gridCol w:w="53"/>
        <w:gridCol w:w="1188"/>
        <w:gridCol w:w="36"/>
        <w:gridCol w:w="131"/>
        <w:gridCol w:w="595"/>
        <w:gridCol w:w="40"/>
        <w:gridCol w:w="36"/>
        <w:gridCol w:w="35"/>
        <w:gridCol w:w="36"/>
        <w:gridCol w:w="133"/>
        <w:gridCol w:w="1066"/>
        <w:gridCol w:w="41"/>
        <w:gridCol w:w="36"/>
        <w:gridCol w:w="36"/>
        <w:gridCol w:w="36"/>
        <w:gridCol w:w="132"/>
        <w:gridCol w:w="596"/>
        <w:gridCol w:w="41"/>
        <w:gridCol w:w="36"/>
        <w:gridCol w:w="36"/>
        <w:gridCol w:w="36"/>
        <w:gridCol w:w="132"/>
        <w:gridCol w:w="596"/>
        <w:gridCol w:w="41"/>
        <w:gridCol w:w="36"/>
        <w:gridCol w:w="36"/>
        <w:gridCol w:w="36"/>
        <w:gridCol w:w="133"/>
        <w:gridCol w:w="1061"/>
        <w:gridCol w:w="41"/>
        <w:gridCol w:w="36"/>
        <w:gridCol w:w="36"/>
        <w:gridCol w:w="36"/>
        <w:gridCol w:w="132"/>
        <w:gridCol w:w="596"/>
        <w:gridCol w:w="4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4D6A64" w14:paraId="33DAC5D1" w14:textId="77777777">
        <w:trPr>
          <w:gridAfter w:val="27"/>
        </w:trPr>
        <w:tc>
          <w:tcPr>
            <w:tcW w:w="50" w:type="pct"/>
            <w:shd w:val="clear" w:color="auto" w:fill="auto"/>
          </w:tcPr>
          <w:p w14:paraId="33DAC5AD" w14:textId="77777777" w:rsidR="004D6A64" w:rsidRDefault="004D6A64">
            <w:pPr>
              <w:rPr>
                <w:rFonts w:ascii="宋体"/>
              </w:rPr>
            </w:pPr>
          </w:p>
        </w:tc>
        <w:tc>
          <w:tcPr>
            <w:tcW w:w="1326" w:type="pct"/>
            <w:shd w:val="clear" w:color="auto" w:fill="auto"/>
          </w:tcPr>
          <w:p w14:paraId="33DAC5AE" w14:textId="77777777" w:rsidR="004D6A64" w:rsidRDefault="004D6A64">
            <w:pPr>
              <w:rPr>
                <w:rFonts w:ascii="宋体"/>
              </w:rPr>
            </w:pPr>
          </w:p>
        </w:tc>
        <w:tc>
          <w:tcPr>
            <w:tcW w:w="5" w:type="pct"/>
            <w:shd w:val="clear" w:color="auto" w:fill="auto"/>
          </w:tcPr>
          <w:p w14:paraId="33DAC5AF" w14:textId="77777777" w:rsidR="004D6A64" w:rsidRDefault="004D6A64">
            <w:pPr>
              <w:rPr>
                <w:rFonts w:ascii="宋体"/>
              </w:rPr>
            </w:pPr>
          </w:p>
        </w:tc>
        <w:tc>
          <w:tcPr>
            <w:tcW w:w="50" w:type="pct"/>
            <w:shd w:val="clear" w:color="auto" w:fill="auto"/>
          </w:tcPr>
          <w:p w14:paraId="33DAC5B0" w14:textId="77777777" w:rsidR="004D6A64" w:rsidRDefault="004D6A64">
            <w:pPr>
              <w:rPr>
                <w:rFonts w:ascii="宋体"/>
              </w:rPr>
            </w:pPr>
          </w:p>
        </w:tc>
        <w:tc>
          <w:tcPr>
            <w:tcW w:w="442" w:type="pct"/>
            <w:shd w:val="clear" w:color="auto" w:fill="auto"/>
          </w:tcPr>
          <w:p w14:paraId="33DAC5B1" w14:textId="77777777" w:rsidR="004D6A64" w:rsidRDefault="004D6A64">
            <w:pPr>
              <w:rPr>
                <w:rFonts w:ascii="宋体"/>
              </w:rPr>
            </w:pPr>
          </w:p>
        </w:tc>
        <w:tc>
          <w:tcPr>
            <w:tcW w:w="5" w:type="pct"/>
            <w:shd w:val="clear" w:color="auto" w:fill="auto"/>
          </w:tcPr>
          <w:p w14:paraId="33DAC5B2" w14:textId="77777777" w:rsidR="004D6A64" w:rsidRDefault="004D6A64">
            <w:pPr>
              <w:rPr>
                <w:rFonts w:ascii="宋体"/>
              </w:rPr>
            </w:pPr>
          </w:p>
        </w:tc>
        <w:tc>
          <w:tcPr>
            <w:tcW w:w="5" w:type="pct"/>
            <w:shd w:val="clear" w:color="auto" w:fill="auto"/>
          </w:tcPr>
          <w:p w14:paraId="33DAC5B3" w14:textId="77777777" w:rsidR="004D6A64" w:rsidRDefault="004D6A64">
            <w:pPr>
              <w:rPr>
                <w:rFonts w:ascii="宋体"/>
              </w:rPr>
            </w:pPr>
          </w:p>
        </w:tc>
        <w:tc>
          <w:tcPr>
            <w:tcW w:w="19" w:type="pct"/>
            <w:shd w:val="clear" w:color="auto" w:fill="auto"/>
          </w:tcPr>
          <w:p w14:paraId="33DAC5B4" w14:textId="77777777" w:rsidR="004D6A64" w:rsidRDefault="004D6A64">
            <w:pPr>
              <w:rPr>
                <w:rFonts w:ascii="宋体"/>
              </w:rPr>
            </w:pPr>
          </w:p>
        </w:tc>
        <w:tc>
          <w:tcPr>
            <w:tcW w:w="5" w:type="pct"/>
            <w:shd w:val="clear" w:color="auto" w:fill="auto"/>
          </w:tcPr>
          <w:p w14:paraId="33DAC5B5" w14:textId="77777777" w:rsidR="004D6A64" w:rsidRDefault="004D6A64">
            <w:pPr>
              <w:rPr>
                <w:rFonts w:ascii="宋体"/>
              </w:rPr>
            </w:pPr>
          </w:p>
        </w:tc>
        <w:tc>
          <w:tcPr>
            <w:tcW w:w="50" w:type="pct"/>
            <w:shd w:val="clear" w:color="auto" w:fill="auto"/>
          </w:tcPr>
          <w:p w14:paraId="33DAC5B6" w14:textId="77777777" w:rsidR="004D6A64" w:rsidRDefault="004D6A64">
            <w:pPr>
              <w:rPr>
                <w:rFonts w:ascii="宋体"/>
              </w:rPr>
            </w:pPr>
          </w:p>
        </w:tc>
        <w:tc>
          <w:tcPr>
            <w:tcW w:w="705" w:type="pct"/>
            <w:shd w:val="clear" w:color="auto" w:fill="auto"/>
          </w:tcPr>
          <w:p w14:paraId="33DAC5B7" w14:textId="77777777" w:rsidR="004D6A64" w:rsidRDefault="004D6A64">
            <w:pPr>
              <w:rPr>
                <w:rFonts w:ascii="宋体"/>
              </w:rPr>
            </w:pPr>
          </w:p>
        </w:tc>
        <w:tc>
          <w:tcPr>
            <w:tcW w:w="5" w:type="pct"/>
            <w:shd w:val="clear" w:color="auto" w:fill="auto"/>
          </w:tcPr>
          <w:p w14:paraId="33DAC5B8" w14:textId="77777777" w:rsidR="004D6A64" w:rsidRDefault="004D6A64">
            <w:pPr>
              <w:rPr>
                <w:rFonts w:ascii="宋体"/>
              </w:rPr>
            </w:pPr>
          </w:p>
        </w:tc>
        <w:tc>
          <w:tcPr>
            <w:tcW w:w="5" w:type="pct"/>
            <w:shd w:val="clear" w:color="auto" w:fill="auto"/>
          </w:tcPr>
          <w:p w14:paraId="33DAC5B9" w14:textId="77777777" w:rsidR="004D6A64" w:rsidRDefault="004D6A64">
            <w:pPr>
              <w:rPr>
                <w:rFonts w:ascii="宋体"/>
              </w:rPr>
            </w:pPr>
          </w:p>
        </w:tc>
        <w:tc>
          <w:tcPr>
            <w:tcW w:w="19" w:type="pct"/>
            <w:shd w:val="clear" w:color="auto" w:fill="auto"/>
          </w:tcPr>
          <w:p w14:paraId="33DAC5BA" w14:textId="77777777" w:rsidR="004D6A64" w:rsidRDefault="004D6A64">
            <w:pPr>
              <w:rPr>
                <w:rFonts w:ascii="宋体"/>
              </w:rPr>
            </w:pPr>
          </w:p>
        </w:tc>
        <w:tc>
          <w:tcPr>
            <w:tcW w:w="5" w:type="pct"/>
            <w:shd w:val="clear" w:color="auto" w:fill="auto"/>
          </w:tcPr>
          <w:p w14:paraId="33DAC5BB" w14:textId="77777777" w:rsidR="004D6A64" w:rsidRDefault="004D6A64">
            <w:pPr>
              <w:rPr>
                <w:rFonts w:ascii="宋体"/>
              </w:rPr>
            </w:pPr>
          </w:p>
        </w:tc>
        <w:tc>
          <w:tcPr>
            <w:tcW w:w="50" w:type="pct"/>
            <w:shd w:val="clear" w:color="auto" w:fill="auto"/>
          </w:tcPr>
          <w:p w14:paraId="33DAC5BC" w14:textId="77777777" w:rsidR="004D6A64" w:rsidRDefault="004D6A64">
            <w:pPr>
              <w:rPr>
                <w:rFonts w:ascii="宋体"/>
              </w:rPr>
            </w:pPr>
          </w:p>
        </w:tc>
        <w:tc>
          <w:tcPr>
            <w:tcW w:w="442" w:type="pct"/>
            <w:shd w:val="clear" w:color="auto" w:fill="auto"/>
          </w:tcPr>
          <w:p w14:paraId="33DAC5BD" w14:textId="77777777" w:rsidR="004D6A64" w:rsidRDefault="004D6A64">
            <w:pPr>
              <w:rPr>
                <w:rFonts w:ascii="宋体"/>
              </w:rPr>
            </w:pPr>
          </w:p>
        </w:tc>
        <w:tc>
          <w:tcPr>
            <w:tcW w:w="5" w:type="pct"/>
            <w:shd w:val="clear" w:color="auto" w:fill="auto"/>
          </w:tcPr>
          <w:p w14:paraId="33DAC5BE" w14:textId="77777777" w:rsidR="004D6A64" w:rsidRDefault="004D6A64">
            <w:pPr>
              <w:rPr>
                <w:rFonts w:ascii="宋体"/>
              </w:rPr>
            </w:pPr>
          </w:p>
        </w:tc>
        <w:tc>
          <w:tcPr>
            <w:tcW w:w="5" w:type="pct"/>
            <w:shd w:val="clear" w:color="auto" w:fill="auto"/>
          </w:tcPr>
          <w:p w14:paraId="33DAC5BF" w14:textId="77777777" w:rsidR="004D6A64" w:rsidRDefault="004D6A64">
            <w:pPr>
              <w:rPr>
                <w:rFonts w:ascii="宋体"/>
              </w:rPr>
            </w:pPr>
          </w:p>
        </w:tc>
        <w:tc>
          <w:tcPr>
            <w:tcW w:w="19" w:type="pct"/>
            <w:shd w:val="clear" w:color="auto" w:fill="auto"/>
          </w:tcPr>
          <w:p w14:paraId="33DAC5C0" w14:textId="77777777" w:rsidR="004D6A64" w:rsidRDefault="004D6A64">
            <w:pPr>
              <w:rPr>
                <w:rFonts w:ascii="宋体"/>
              </w:rPr>
            </w:pPr>
          </w:p>
        </w:tc>
        <w:tc>
          <w:tcPr>
            <w:tcW w:w="5" w:type="pct"/>
            <w:shd w:val="clear" w:color="auto" w:fill="auto"/>
          </w:tcPr>
          <w:p w14:paraId="33DAC5C1" w14:textId="77777777" w:rsidR="004D6A64" w:rsidRDefault="004D6A64">
            <w:pPr>
              <w:rPr>
                <w:rFonts w:ascii="宋体"/>
              </w:rPr>
            </w:pPr>
          </w:p>
        </w:tc>
        <w:tc>
          <w:tcPr>
            <w:tcW w:w="50" w:type="pct"/>
            <w:shd w:val="clear" w:color="auto" w:fill="auto"/>
          </w:tcPr>
          <w:p w14:paraId="33DAC5C2" w14:textId="77777777" w:rsidR="004D6A64" w:rsidRDefault="004D6A64">
            <w:pPr>
              <w:rPr>
                <w:rFonts w:ascii="宋体"/>
              </w:rPr>
            </w:pPr>
          </w:p>
        </w:tc>
        <w:tc>
          <w:tcPr>
            <w:tcW w:w="442" w:type="pct"/>
            <w:shd w:val="clear" w:color="auto" w:fill="auto"/>
          </w:tcPr>
          <w:p w14:paraId="33DAC5C3" w14:textId="77777777" w:rsidR="004D6A64" w:rsidRDefault="004D6A64">
            <w:pPr>
              <w:rPr>
                <w:rFonts w:ascii="宋体"/>
              </w:rPr>
            </w:pPr>
          </w:p>
        </w:tc>
        <w:tc>
          <w:tcPr>
            <w:tcW w:w="5" w:type="pct"/>
            <w:shd w:val="clear" w:color="auto" w:fill="auto"/>
          </w:tcPr>
          <w:p w14:paraId="33DAC5C4" w14:textId="77777777" w:rsidR="004D6A64" w:rsidRDefault="004D6A64">
            <w:pPr>
              <w:rPr>
                <w:rFonts w:ascii="宋体"/>
              </w:rPr>
            </w:pPr>
          </w:p>
        </w:tc>
        <w:tc>
          <w:tcPr>
            <w:tcW w:w="5" w:type="pct"/>
            <w:shd w:val="clear" w:color="auto" w:fill="auto"/>
          </w:tcPr>
          <w:p w14:paraId="33DAC5C5" w14:textId="77777777" w:rsidR="004D6A64" w:rsidRDefault="004D6A64">
            <w:pPr>
              <w:rPr>
                <w:rFonts w:ascii="宋体"/>
              </w:rPr>
            </w:pPr>
          </w:p>
        </w:tc>
        <w:tc>
          <w:tcPr>
            <w:tcW w:w="19" w:type="pct"/>
            <w:shd w:val="clear" w:color="auto" w:fill="auto"/>
          </w:tcPr>
          <w:p w14:paraId="33DAC5C6" w14:textId="77777777" w:rsidR="004D6A64" w:rsidRDefault="004D6A64">
            <w:pPr>
              <w:rPr>
                <w:rFonts w:ascii="宋体"/>
              </w:rPr>
            </w:pPr>
          </w:p>
        </w:tc>
        <w:tc>
          <w:tcPr>
            <w:tcW w:w="5" w:type="pct"/>
            <w:shd w:val="clear" w:color="auto" w:fill="auto"/>
          </w:tcPr>
          <w:p w14:paraId="33DAC5C7" w14:textId="77777777" w:rsidR="004D6A64" w:rsidRDefault="004D6A64">
            <w:pPr>
              <w:rPr>
                <w:rFonts w:ascii="宋体"/>
              </w:rPr>
            </w:pPr>
          </w:p>
        </w:tc>
        <w:tc>
          <w:tcPr>
            <w:tcW w:w="50" w:type="pct"/>
            <w:shd w:val="clear" w:color="auto" w:fill="auto"/>
          </w:tcPr>
          <w:p w14:paraId="33DAC5C8" w14:textId="77777777" w:rsidR="004D6A64" w:rsidRDefault="004D6A64">
            <w:pPr>
              <w:rPr>
                <w:rFonts w:ascii="宋体"/>
              </w:rPr>
            </w:pPr>
          </w:p>
        </w:tc>
        <w:tc>
          <w:tcPr>
            <w:tcW w:w="668" w:type="pct"/>
            <w:shd w:val="clear" w:color="auto" w:fill="auto"/>
          </w:tcPr>
          <w:p w14:paraId="33DAC5C9" w14:textId="77777777" w:rsidR="004D6A64" w:rsidRDefault="004D6A64">
            <w:pPr>
              <w:rPr>
                <w:rFonts w:ascii="宋体"/>
              </w:rPr>
            </w:pPr>
          </w:p>
        </w:tc>
        <w:tc>
          <w:tcPr>
            <w:tcW w:w="5" w:type="pct"/>
            <w:shd w:val="clear" w:color="auto" w:fill="auto"/>
          </w:tcPr>
          <w:p w14:paraId="33DAC5CA" w14:textId="77777777" w:rsidR="004D6A64" w:rsidRDefault="004D6A64">
            <w:pPr>
              <w:rPr>
                <w:rFonts w:ascii="宋体"/>
              </w:rPr>
            </w:pPr>
          </w:p>
        </w:tc>
        <w:tc>
          <w:tcPr>
            <w:tcW w:w="5" w:type="pct"/>
            <w:shd w:val="clear" w:color="auto" w:fill="auto"/>
          </w:tcPr>
          <w:p w14:paraId="33DAC5CB" w14:textId="77777777" w:rsidR="004D6A64" w:rsidRDefault="004D6A64">
            <w:pPr>
              <w:rPr>
                <w:rFonts w:ascii="宋体"/>
              </w:rPr>
            </w:pPr>
          </w:p>
        </w:tc>
        <w:tc>
          <w:tcPr>
            <w:tcW w:w="19" w:type="pct"/>
            <w:shd w:val="clear" w:color="auto" w:fill="auto"/>
          </w:tcPr>
          <w:p w14:paraId="33DAC5CC" w14:textId="77777777" w:rsidR="004D6A64" w:rsidRDefault="004D6A64">
            <w:pPr>
              <w:rPr>
                <w:rFonts w:ascii="宋体"/>
              </w:rPr>
            </w:pPr>
          </w:p>
        </w:tc>
        <w:tc>
          <w:tcPr>
            <w:tcW w:w="5" w:type="pct"/>
            <w:shd w:val="clear" w:color="auto" w:fill="auto"/>
          </w:tcPr>
          <w:p w14:paraId="33DAC5CD" w14:textId="77777777" w:rsidR="004D6A64" w:rsidRDefault="004D6A64">
            <w:pPr>
              <w:rPr>
                <w:rFonts w:ascii="宋体"/>
              </w:rPr>
            </w:pPr>
          </w:p>
        </w:tc>
        <w:tc>
          <w:tcPr>
            <w:tcW w:w="50" w:type="pct"/>
            <w:shd w:val="clear" w:color="auto" w:fill="auto"/>
          </w:tcPr>
          <w:p w14:paraId="33DAC5CE" w14:textId="77777777" w:rsidR="004D6A64" w:rsidRDefault="004D6A64">
            <w:pPr>
              <w:rPr>
                <w:rFonts w:ascii="宋体"/>
              </w:rPr>
            </w:pPr>
          </w:p>
        </w:tc>
        <w:tc>
          <w:tcPr>
            <w:tcW w:w="442" w:type="pct"/>
            <w:shd w:val="clear" w:color="auto" w:fill="auto"/>
          </w:tcPr>
          <w:p w14:paraId="33DAC5CF" w14:textId="77777777" w:rsidR="004D6A64" w:rsidRDefault="004D6A64">
            <w:pPr>
              <w:rPr>
                <w:rFonts w:ascii="宋体"/>
              </w:rPr>
            </w:pPr>
          </w:p>
        </w:tc>
        <w:tc>
          <w:tcPr>
            <w:tcW w:w="5" w:type="pct"/>
            <w:shd w:val="clear" w:color="auto" w:fill="auto"/>
          </w:tcPr>
          <w:p w14:paraId="33DAC5D0" w14:textId="77777777" w:rsidR="004D6A64" w:rsidRDefault="004D6A64">
            <w:pPr>
              <w:rPr>
                <w:rFonts w:ascii="宋体"/>
              </w:rPr>
            </w:pPr>
          </w:p>
        </w:tc>
      </w:tr>
      <w:tr w:rsidR="004D6A64" w14:paraId="33DAC5DE" w14:textId="77777777">
        <w:trPr>
          <w:gridAfter w:val="3"/>
        </w:trPr>
        <w:tc>
          <w:tcPr>
            <w:tcW w:w="0" w:type="auto"/>
            <w:gridSpan w:val="3"/>
            <w:shd w:val="clear" w:color="auto" w:fill="auto"/>
            <w:tcMar>
              <w:top w:w="40" w:type="dxa"/>
              <w:left w:w="20" w:type="dxa"/>
              <w:bottom w:w="40" w:type="dxa"/>
              <w:right w:w="20" w:type="dxa"/>
            </w:tcMar>
            <w:vAlign w:val="bottom"/>
          </w:tcPr>
          <w:p w14:paraId="33DAC5D2" w14:textId="77777777" w:rsidR="004D6A64" w:rsidRDefault="00506CD6">
            <w:pPr>
              <w:jc w:val="center"/>
              <w:textAlignment w:val="bottom"/>
            </w:pPr>
            <w:r>
              <w:rPr>
                <w:rFonts w:ascii="Times New Roman" w:eastAsia="宋体" w:hAnsi="Times New Roman"/>
                <w:color w:val="000000"/>
                <w:sz w:val="20"/>
                <w:szCs w:val="20"/>
              </w:rPr>
              <w:t> </w:t>
            </w:r>
          </w:p>
        </w:tc>
        <w:tc>
          <w:tcPr>
            <w:tcW w:w="0" w:type="auto"/>
            <w:gridSpan w:val="15"/>
            <w:shd w:val="clear" w:color="auto" w:fill="auto"/>
            <w:tcMar>
              <w:top w:w="40" w:type="dxa"/>
              <w:left w:w="20" w:type="dxa"/>
              <w:bottom w:w="40" w:type="dxa"/>
              <w:right w:w="20" w:type="dxa"/>
            </w:tcMar>
            <w:vAlign w:val="bottom"/>
          </w:tcPr>
          <w:p w14:paraId="33DAC5D3"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shd w:val="clear" w:color="auto" w:fill="auto"/>
          </w:tcPr>
          <w:p w14:paraId="33DAC5D4" w14:textId="77777777" w:rsidR="004D6A64" w:rsidRDefault="004D6A64">
            <w:pPr>
              <w:rPr>
                <w:rFonts w:ascii="宋体"/>
                <w:vanish/>
              </w:rPr>
            </w:pPr>
          </w:p>
        </w:tc>
        <w:tc>
          <w:tcPr>
            <w:tcW w:w="0" w:type="auto"/>
            <w:gridSpan w:val="3"/>
            <w:shd w:val="clear" w:color="auto" w:fill="auto"/>
          </w:tcPr>
          <w:p w14:paraId="33DAC5D5" w14:textId="77777777" w:rsidR="004D6A64" w:rsidRDefault="004D6A64">
            <w:pPr>
              <w:rPr>
                <w:rFonts w:ascii="宋体"/>
                <w:vanish/>
              </w:rPr>
            </w:pPr>
          </w:p>
        </w:tc>
        <w:tc>
          <w:tcPr>
            <w:tcW w:w="0" w:type="auto"/>
            <w:gridSpan w:val="3"/>
            <w:shd w:val="clear" w:color="auto" w:fill="auto"/>
          </w:tcPr>
          <w:p w14:paraId="33DAC5D6" w14:textId="77777777" w:rsidR="004D6A64" w:rsidRDefault="004D6A64">
            <w:pPr>
              <w:rPr>
                <w:rFonts w:ascii="宋体"/>
                <w:vanish/>
              </w:rPr>
            </w:pPr>
          </w:p>
        </w:tc>
        <w:tc>
          <w:tcPr>
            <w:tcW w:w="0" w:type="auto"/>
            <w:gridSpan w:val="3"/>
            <w:shd w:val="clear" w:color="auto" w:fill="auto"/>
          </w:tcPr>
          <w:p w14:paraId="33DAC5D7"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C5D8" w14:textId="77777777" w:rsidR="004D6A64" w:rsidRDefault="004D6A64">
            <w:pPr>
              <w:rPr>
                <w:rFonts w:ascii="宋体"/>
              </w:rPr>
            </w:pPr>
          </w:p>
        </w:tc>
        <w:tc>
          <w:tcPr>
            <w:tcW w:w="0" w:type="auto"/>
            <w:gridSpan w:val="15"/>
            <w:shd w:val="clear" w:color="auto" w:fill="auto"/>
            <w:tcMar>
              <w:top w:w="40" w:type="dxa"/>
              <w:left w:w="20" w:type="dxa"/>
              <w:bottom w:w="40" w:type="dxa"/>
              <w:right w:w="20" w:type="dxa"/>
            </w:tcMar>
            <w:vAlign w:val="bottom"/>
          </w:tcPr>
          <w:p w14:paraId="33DAC5D9" w14:textId="77777777" w:rsidR="004D6A64" w:rsidRDefault="00506CD6">
            <w:pPr>
              <w:jc w:val="center"/>
              <w:textAlignment w:val="bottom"/>
            </w:pPr>
            <w:r>
              <w:rPr>
                <w:rFonts w:ascii="Times New Roman" w:eastAsia="宋体" w:hAnsi="Times New Roman"/>
                <w:b/>
                <w:bCs/>
                <w:color w:val="000000"/>
                <w:sz w:val="20"/>
                <w:szCs w:val="20"/>
              </w:rPr>
              <w:t>January 31, 2020</w:t>
            </w:r>
          </w:p>
        </w:tc>
        <w:tc>
          <w:tcPr>
            <w:tcW w:w="0" w:type="auto"/>
            <w:gridSpan w:val="3"/>
            <w:shd w:val="clear" w:color="auto" w:fill="auto"/>
          </w:tcPr>
          <w:p w14:paraId="33DAC5DA" w14:textId="77777777" w:rsidR="004D6A64" w:rsidRDefault="004D6A64">
            <w:pPr>
              <w:rPr>
                <w:rFonts w:ascii="宋体"/>
                <w:vanish/>
              </w:rPr>
            </w:pPr>
          </w:p>
        </w:tc>
        <w:tc>
          <w:tcPr>
            <w:tcW w:w="0" w:type="auto"/>
            <w:gridSpan w:val="3"/>
            <w:shd w:val="clear" w:color="auto" w:fill="auto"/>
          </w:tcPr>
          <w:p w14:paraId="33DAC5DB" w14:textId="77777777" w:rsidR="004D6A64" w:rsidRDefault="004D6A64">
            <w:pPr>
              <w:rPr>
                <w:rFonts w:ascii="宋体"/>
                <w:vanish/>
              </w:rPr>
            </w:pPr>
          </w:p>
        </w:tc>
        <w:tc>
          <w:tcPr>
            <w:tcW w:w="0" w:type="auto"/>
            <w:gridSpan w:val="3"/>
            <w:shd w:val="clear" w:color="auto" w:fill="auto"/>
          </w:tcPr>
          <w:p w14:paraId="33DAC5DC" w14:textId="77777777" w:rsidR="004D6A64" w:rsidRDefault="004D6A64">
            <w:pPr>
              <w:rPr>
                <w:rFonts w:ascii="宋体"/>
                <w:vanish/>
              </w:rPr>
            </w:pPr>
          </w:p>
        </w:tc>
        <w:tc>
          <w:tcPr>
            <w:tcW w:w="0" w:type="auto"/>
            <w:gridSpan w:val="3"/>
            <w:shd w:val="clear" w:color="auto" w:fill="auto"/>
          </w:tcPr>
          <w:p w14:paraId="33DAC5DD" w14:textId="77777777" w:rsidR="004D6A64" w:rsidRDefault="004D6A64">
            <w:pPr>
              <w:rPr>
                <w:rFonts w:ascii="宋体"/>
                <w:vanish/>
              </w:rPr>
            </w:pPr>
          </w:p>
        </w:tc>
      </w:tr>
      <w:tr w:rsidR="004D6A64" w14:paraId="33DAC603" w14:textId="77777777">
        <w:trPr>
          <w:gridAfter w:val="3"/>
        </w:trPr>
        <w:tc>
          <w:tcPr>
            <w:tcW w:w="0" w:type="auto"/>
            <w:gridSpan w:val="3"/>
            <w:shd w:val="clear" w:color="auto" w:fill="auto"/>
            <w:tcMar>
              <w:top w:w="40" w:type="dxa"/>
              <w:left w:w="20" w:type="dxa"/>
              <w:bottom w:w="40" w:type="dxa"/>
              <w:right w:w="20" w:type="dxa"/>
            </w:tcMar>
            <w:vAlign w:val="bottom"/>
          </w:tcPr>
          <w:p w14:paraId="33DAC5DF" w14:textId="77777777" w:rsidR="004D6A64" w:rsidRDefault="00506CD6">
            <w:pPr>
              <w:jc w:val="cente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C5E0" w14:textId="77777777" w:rsidR="004D6A64" w:rsidRDefault="00506CD6">
            <w:pPr>
              <w:jc w:val="center"/>
              <w:textAlignment w:val="bottom"/>
            </w:pPr>
            <w:r>
              <w:rPr>
                <w:rFonts w:ascii="Times New Roman" w:eastAsia="宋体" w:hAnsi="Times New Roman"/>
                <w:b/>
                <w:bCs/>
                <w:color w:val="000000"/>
                <w:sz w:val="20"/>
                <w:szCs w:val="20"/>
              </w:rPr>
              <w:t>Gross</w:t>
            </w:r>
          </w:p>
        </w:tc>
        <w:tc>
          <w:tcPr>
            <w:tcW w:w="0" w:type="auto"/>
            <w:gridSpan w:val="3"/>
            <w:tcBorders>
              <w:top w:val="single" w:sz="8" w:space="0" w:color="000000"/>
            </w:tcBorders>
            <w:shd w:val="clear" w:color="auto" w:fill="auto"/>
            <w:tcMar>
              <w:left w:w="20" w:type="dxa"/>
              <w:right w:w="20" w:type="dxa"/>
            </w:tcMar>
            <w:vAlign w:val="bottom"/>
          </w:tcPr>
          <w:p w14:paraId="33DAC5E1"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C5E2" w14:textId="77777777" w:rsidR="004D6A64" w:rsidRDefault="00506CD6">
            <w:pPr>
              <w:jc w:val="center"/>
              <w:textAlignment w:val="bottom"/>
            </w:pPr>
            <w:r>
              <w:rPr>
                <w:rFonts w:ascii="Times New Roman" w:eastAsia="宋体" w:hAnsi="Times New Roman"/>
                <w:b/>
                <w:bCs/>
                <w:color w:val="000000"/>
                <w:sz w:val="20"/>
                <w:szCs w:val="20"/>
              </w:rPr>
              <w:t>Accumulated</w:t>
            </w:r>
            <w:r>
              <w:rPr>
                <w:rFonts w:ascii="Times New Roman" w:eastAsia="宋体" w:hAnsi="Times New Roman"/>
                <w:b/>
                <w:bCs/>
                <w:color w:val="000000"/>
                <w:sz w:val="20"/>
                <w:szCs w:val="20"/>
              </w:rPr>
              <w:br/>
              <w:t>Amortization</w:t>
            </w:r>
          </w:p>
        </w:tc>
        <w:tc>
          <w:tcPr>
            <w:tcW w:w="0" w:type="auto"/>
            <w:gridSpan w:val="3"/>
            <w:tcBorders>
              <w:top w:val="single" w:sz="8" w:space="0" w:color="000000"/>
            </w:tcBorders>
            <w:shd w:val="clear" w:color="auto" w:fill="auto"/>
            <w:tcMar>
              <w:left w:w="20" w:type="dxa"/>
              <w:right w:w="20" w:type="dxa"/>
            </w:tcMar>
            <w:vAlign w:val="bottom"/>
          </w:tcPr>
          <w:p w14:paraId="33DAC5E3"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C5E4" w14:textId="77777777" w:rsidR="004D6A64" w:rsidRDefault="00506CD6">
            <w:pPr>
              <w:jc w:val="center"/>
              <w:textAlignment w:val="bottom"/>
            </w:pPr>
            <w:r>
              <w:rPr>
                <w:rFonts w:ascii="Times New Roman" w:eastAsia="宋体" w:hAnsi="Times New Roman"/>
                <w:b/>
                <w:bCs/>
                <w:color w:val="000000"/>
                <w:sz w:val="20"/>
                <w:szCs w:val="20"/>
              </w:rPr>
              <w:t>Net</w:t>
            </w:r>
          </w:p>
        </w:tc>
        <w:tc>
          <w:tcPr>
            <w:tcW w:w="0" w:type="auto"/>
            <w:gridSpan w:val="3"/>
            <w:shd w:val="clear" w:color="auto" w:fill="auto"/>
            <w:tcMar>
              <w:left w:w="20" w:type="dxa"/>
              <w:right w:w="20" w:type="dxa"/>
            </w:tcMar>
            <w:vAlign w:val="bottom"/>
          </w:tcPr>
          <w:p w14:paraId="33DAC5E5"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C5E6" w14:textId="77777777" w:rsidR="004D6A64" w:rsidRDefault="00506CD6">
            <w:pPr>
              <w:jc w:val="center"/>
              <w:textAlignment w:val="bottom"/>
            </w:pPr>
            <w:r>
              <w:rPr>
                <w:rFonts w:ascii="Times New Roman" w:eastAsia="宋体" w:hAnsi="Times New Roman"/>
                <w:b/>
                <w:bCs/>
                <w:color w:val="000000"/>
                <w:sz w:val="20"/>
                <w:szCs w:val="20"/>
              </w:rPr>
              <w:t>Gross</w:t>
            </w:r>
          </w:p>
        </w:tc>
        <w:tc>
          <w:tcPr>
            <w:tcW w:w="0" w:type="auto"/>
            <w:gridSpan w:val="3"/>
            <w:tcBorders>
              <w:top w:val="single" w:sz="8" w:space="0" w:color="000000"/>
            </w:tcBorders>
            <w:shd w:val="clear" w:color="auto" w:fill="auto"/>
            <w:tcMar>
              <w:left w:w="20" w:type="dxa"/>
              <w:right w:w="20" w:type="dxa"/>
            </w:tcMar>
            <w:vAlign w:val="bottom"/>
          </w:tcPr>
          <w:p w14:paraId="33DAC5E7"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C5E8" w14:textId="77777777" w:rsidR="004D6A64" w:rsidRDefault="00506CD6">
            <w:pPr>
              <w:jc w:val="center"/>
              <w:textAlignment w:val="bottom"/>
            </w:pPr>
            <w:r>
              <w:rPr>
                <w:rFonts w:ascii="Times New Roman" w:eastAsia="宋体" w:hAnsi="Times New Roman"/>
                <w:b/>
                <w:bCs/>
                <w:color w:val="000000"/>
                <w:sz w:val="20"/>
                <w:szCs w:val="20"/>
              </w:rPr>
              <w:t>Accumulated</w:t>
            </w:r>
            <w:r>
              <w:rPr>
                <w:rFonts w:ascii="Times New Roman" w:eastAsia="宋体" w:hAnsi="Times New Roman"/>
                <w:b/>
                <w:bCs/>
                <w:color w:val="000000"/>
                <w:sz w:val="20"/>
                <w:szCs w:val="20"/>
              </w:rPr>
              <w:br/>
              <w:t>Amortization</w:t>
            </w:r>
          </w:p>
        </w:tc>
        <w:tc>
          <w:tcPr>
            <w:tcW w:w="0" w:type="auto"/>
            <w:gridSpan w:val="3"/>
            <w:tcBorders>
              <w:top w:val="single" w:sz="8" w:space="0" w:color="000000"/>
            </w:tcBorders>
            <w:shd w:val="clear" w:color="auto" w:fill="auto"/>
            <w:tcMar>
              <w:left w:w="20" w:type="dxa"/>
              <w:right w:w="20" w:type="dxa"/>
            </w:tcMar>
            <w:vAlign w:val="bottom"/>
          </w:tcPr>
          <w:p w14:paraId="33DAC5E9"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C5EA" w14:textId="77777777" w:rsidR="004D6A64" w:rsidRDefault="00506CD6">
            <w:pPr>
              <w:jc w:val="center"/>
              <w:textAlignment w:val="bottom"/>
            </w:pPr>
            <w:r>
              <w:rPr>
                <w:rFonts w:ascii="Times New Roman" w:eastAsia="宋体" w:hAnsi="Times New Roman"/>
                <w:b/>
                <w:bCs/>
                <w:color w:val="000000"/>
                <w:sz w:val="20"/>
                <w:szCs w:val="20"/>
              </w:rPr>
              <w:t>Net</w:t>
            </w:r>
          </w:p>
        </w:tc>
        <w:tc>
          <w:tcPr>
            <w:tcW w:w="0" w:type="auto"/>
            <w:shd w:val="clear" w:color="auto" w:fill="auto"/>
          </w:tcPr>
          <w:p w14:paraId="33DAC5EB" w14:textId="77777777" w:rsidR="004D6A64" w:rsidRDefault="004D6A64">
            <w:pPr>
              <w:rPr>
                <w:rFonts w:ascii="宋体"/>
              </w:rPr>
            </w:pPr>
          </w:p>
        </w:tc>
        <w:tc>
          <w:tcPr>
            <w:tcW w:w="0" w:type="auto"/>
            <w:shd w:val="clear" w:color="auto" w:fill="auto"/>
          </w:tcPr>
          <w:p w14:paraId="33DAC5EC" w14:textId="77777777" w:rsidR="004D6A64" w:rsidRDefault="004D6A64">
            <w:pPr>
              <w:rPr>
                <w:rFonts w:ascii="宋体"/>
              </w:rPr>
            </w:pPr>
          </w:p>
        </w:tc>
        <w:tc>
          <w:tcPr>
            <w:tcW w:w="0" w:type="auto"/>
            <w:shd w:val="clear" w:color="auto" w:fill="auto"/>
          </w:tcPr>
          <w:p w14:paraId="33DAC5ED" w14:textId="77777777" w:rsidR="004D6A64" w:rsidRDefault="004D6A64">
            <w:pPr>
              <w:rPr>
                <w:rFonts w:ascii="宋体"/>
              </w:rPr>
            </w:pPr>
          </w:p>
        </w:tc>
        <w:tc>
          <w:tcPr>
            <w:tcW w:w="0" w:type="auto"/>
            <w:shd w:val="clear" w:color="auto" w:fill="auto"/>
          </w:tcPr>
          <w:p w14:paraId="33DAC5EE" w14:textId="77777777" w:rsidR="004D6A64" w:rsidRDefault="004D6A64">
            <w:pPr>
              <w:rPr>
                <w:rFonts w:ascii="宋体"/>
              </w:rPr>
            </w:pPr>
          </w:p>
        </w:tc>
        <w:tc>
          <w:tcPr>
            <w:tcW w:w="0" w:type="auto"/>
            <w:shd w:val="clear" w:color="auto" w:fill="auto"/>
          </w:tcPr>
          <w:p w14:paraId="33DAC5EF" w14:textId="77777777" w:rsidR="004D6A64" w:rsidRDefault="004D6A64">
            <w:pPr>
              <w:rPr>
                <w:rFonts w:ascii="宋体"/>
              </w:rPr>
            </w:pPr>
          </w:p>
        </w:tc>
        <w:tc>
          <w:tcPr>
            <w:tcW w:w="0" w:type="auto"/>
            <w:shd w:val="clear" w:color="auto" w:fill="auto"/>
          </w:tcPr>
          <w:p w14:paraId="33DAC5F0" w14:textId="77777777" w:rsidR="004D6A64" w:rsidRDefault="004D6A64">
            <w:pPr>
              <w:rPr>
                <w:rFonts w:ascii="宋体"/>
              </w:rPr>
            </w:pPr>
          </w:p>
        </w:tc>
        <w:tc>
          <w:tcPr>
            <w:tcW w:w="0" w:type="auto"/>
            <w:shd w:val="clear" w:color="auto" w:fill="auto"/>
          </w:tcPr>
          <w:p w14:paraId="33DAC5F1" w14:textId="77777777" w:rsidR="004D6A64" w:rsidRDefault="004D6A64">
            <w:pPr>
              <w:rPr>
                <w:rFonts w:ascii="宋体"/>
              </w:rPr>
            </w:pPr>
          </w:p>
        </w:tc>
        <w:tc>
          <w:tcPr>
            <w:tcW w:w="0" w:type="auto"/>
            <w:shd w:val="clear" w:color="auto" w:fill="auto"/>
          </w:tcPr>
          <w:p w14:paraId="33DAC5F2" w14:textId="77777777" w:rsidR="004D6A64" w:rsidRDefault="004D6A64">
            <w:pPr>
              <w:rPr>
                <w:rFonts w:ascii="宋体"/>
              </w:rPr>
            </w:pPr>
          </w:p>
        </w:tc>
        <w:tc>
          <w:tcPr>
            <w:tcW w:w="0" w:type="auto"/>
            <w:shd w:val="clear" w:color="auto" w:fill="auto"/>
          </w:tcPr>
          <w:p w14:paraId="33DAC5F3" w14:textId="77777777" w:rsidR="004D6A64" w:rsidRDefault="004D6A64">
            <w:pPr>
              <w:rPr>
                <w:rFonts w:ascii="宋体"/>
              </w:rPr>
            </w:pPr>
          </w:p>
        </w:tc>
        <w:tc>
          <w:tcPr>
            <w:tcW w:w="0" w:type="auto"/>
            <w:shd w:val="clear" w:color="auto" w:fill="auto"/>
          </w:tcPr>
          <w:p w14:paraId="33DAC5F4" w14:textId="77777777" w:rsidR="004D6A64" w:rsidRDefault="004D6A64">
            <w:pPr>
              <w:rPr>
                <w:rFonts w:ascii="宋体"/>
              </w:rPr>
            </w:pPr>
          </w:p>
        </w:tc>
        <w:tc>
          <w:tcPr>
            <w:tcW w:w="0" w:type="auto"/>
            <w:shd w:val="clear" w:color="auto" w:fill="auto"/>
          </w:tcPr>
          <w:p w14:paraId="33DAC5F5" w14:textId="77777777" w:rsidR="004D6A64" w:rsidRDefault="004D6A64">
            <w:pPr>
              <w:rPr>
                <w:rFonts w:ascii="宋体"/>
              </w:rPr>
            </w:pPr>
          </w:p>
        </w:tc>
        <w:tc>
          <w:tcPr>
            <w:tcW w:w="0" w:type="auto"/>
            <w:shd w:val="clear" w:color="auto" w:fill="auto"/>
          </w:tcPr>
          <w:p w14:paraId="33DAC5F6" w14:textId="77777777" w:rsidR="004D6A64" w:rsidRDefault="004D6A64">
            <w:pPr>
              <w:rPr>
                <w:rFonts w:ascii="宋体"/>
              </w:rPr>
            </w:pPr>
          </w:p>
        </w:tc>
        <w:tc>
          <w:tcPr>
            <w:tcW w:w="0" w:type="auto"/>
            <w:shd w:val="clear" w:color="auto" w:fill="auto"/>
          </w:tcPr>
          <w:p w14:paraId="33DAC5F7" w14:textId="77777777" w:rsidR="004D6A64" w:rsidRDefault="004D6A64">
            <w:pPr>
              <w:rPr>
                <w:rFonts w:ascii="宋体"/>
              </w:rPr>
            </w:pPr>
          </w:p>
        </w:tc>
        <w:tc>
          <w:tcPr>
            <w:tcW w:w="0" w:type="auto"/>
            <w:shd w:val="clear" w:color="auto" w:fill="auto"/>
          </w:tcPr>
          <w:p w14:paraId="33DAC5F8" w14:textId="77777777" w:rsidR="004D6A64" w:rsidRDefault="004D6A64">
            <w:pPr>
              <w:rPr>
                <w:rFonts w:ascii="宋体"/>
              </w:rPr>
            </w:pPr>
          </w:p>
        </w:tc>
        <w:tc>
          <w:tcPr>
            <w:tcW w:w="0" w:type="auto"/>
            <w:shd w:val="clear" w:color="auto" w:fill="auto"/>
          </w:tcPr>
          <w:p w14:paraId="33DAC5F9" w14:textId="77777777" w:rsidR="004D6A64" w:rsidRDefault="004D6A64">
            <w:pPr>
              <w:rPr>
                <w:rFonts w:ascii="宋体"/>
              </w:rPr>
            </w:pPr>
          </w:p>
        </w:tc>
        <w:tc>
          <w:tcPr>
            <w:tcW w:w="0" w:type="auto"/>
            <w:shd w:val="clear" w:color="auto" w:fill="auto"/>
          </w:tcPr>
          <w:p w14:paraId="33DAC5FA" w14:textId="77777777" w:rsidR="004D6A64" w:rsidRDefault="004D6A64">
            <w:pPr>
              <w:rPr>
                <w:rFonts w:ascii="宋体"/>
              </w:rPr>
            </w:pPr>
          </w:p>
        </w:tc>
        <w:tc>
          <w:tcPr>
            <w:tcW w:w="0" w:type="auto"/>
            <w:shd w:val="clear" w:color="auto" w:fill="auto"/>
          </w:tcPr>
          <w:p w14:paraId="33DAC5FB" w14:textId="77777777" w:rsidR="004D6A64" w:rsidRDefault="004D6A64">
            <w:pPr>
              <w:rPr>
                <w:rFonts w:ascii="宋体"/>
              </w:rPr>
            </w:pPr>
          </w:p>
        </w:tc>
        <w:tc>
          <w:tcPr>
            <w:tcW w:w="0" w:type="auto"/>
            <w:shd w:val="clear" w:color="auto" w:fill="auto"/>
          </w:tcPr>
          <w:p w14:paraId="33DAC5FC" w14:textId="77777777" w:rsidR="004D6A64" w:rsidRDefault="004D6A64">
            <w:pPr>
              <w:rPr>
                <w:rFonts w:ascii="宋体"/>
              </w:rPr>
            </w:pPr>
          </w:p>
        </w:tc>
        <w:tc>
          <w:tcPr>
            <w:tcW w:w="0" w:type="auto"/>
            <w:shd w:val="clear" w:color="auto" w:fill="auto"/>
          </w:tcPr>
          <w:p w14:paraId="33DAC5FD" w14:textId="77777777" w:rsidR="004D6A64" w:rsidRDefault="004D6A64">
            <w:pPr>
              <w:rPr>
                <w:rFonts w:ascii="宋体"/>
              </w:rPr>
            </w:pPr>
          </w:p>
        </w:tc>
        <w:tc>
          <w:tcPr>
            <w:tcW w:w="0" w:type="auto"/>
            <w:shd w:val="clear" w:color="auto" w:fill="auto"/>
          </w:tcPr>
          <w:p w14:paraId="33DAC5FE" w14:textId="77777777" w:rsidR="004D6A64" w:rsidRDefault="004D6A64">
            <w:pPr>
              <w:rPr>
                <w:rFonts w:ascii="宋体"/>
              </w:rPr>
            </w:pPr>
          </w:p>
        </w:tc>
        <w:tc>
          <w:tcPr>
            <w:tcW w:w="0" w:type="auto"/>
            <w:shd w:val="clear" w:color="auto" w:fill="auto"/>
          </w:tcPr>
          <w:p w14:paraId="33DAC5FF" w14:textId="77777777" w:rsidR="004D6A64" w:rsidRDefault="004D6A64">
            <w:pPr>
              <w:rPr>
                <w:rFonts w:ascii="宋体"/>
              </w:rPr>
            </w:pPr>
          </w:p>
        </w:tc>
        <w:tc>
          <w:tcPr>
            <w:tcW w:w="0" w:type="auto"/>
            <w:shd w:val="clear" w:color="auto" w:fill="auto"/>
          </w:tcPr>
          <w:p w14:paraId="33DAC600" w14:textId="77777777" w:rsidR="004D6A64" w:rsidRDefault="004D6A64">
            <w:pPr>
              <w:rPr>
                <w:rFonts w:ascii="宋体"/>
              </w:rPr>
            </w:pPr>
          </w:p>
        </w:tc>
        <w:tc>
          <w:tcPr>
            <w:tcW w:w="0" w:type="auto"/>
            <w:shd w:val="clear" w:color="auto" w:fill="auto"/>
          </w:tcPr>
          <w:p w14:paraId="33DAC601" w14:textId="77777777" w:rsidR="004D6A64" w:rsidRDefault="004D6A64">
            <w:pPr>
              <w:rPr>
                <w:rFonts w:ascii="宋体"/>
              </w:rPr>
            </w:pPr>
          </w:p>
        </w:tc>
        <w:tc>
          <w:tcPr>
            <w:tcW w:w="0" w:type="auto"/>
            <w:shd w:val="clear" w:color="auto" w:fill="auto"/>
          </w:tcPr>
          <w:p w14:paraId="33DAC602" w14:textId="77777777" w:rsidR="004D6A64" w:rsidRDefault="004D6A64">
            <w:pPr>
              <w:rPr>
                <w:rFonts w:ascii="宋体"/>
              </w:rPr>
            </w:pPr>
          </w:p>
        </w:tc>
      </w:tr>
      <w:tr w:rsidR="004D6A64" w14:paraId="33DAC610" w14:textId="77777777">
        <w:tc>
          <w:tcPr>
            <w:tcW w:w="0" w:type="auto"/>
            <w:gridSpan w:val="3"/>
            <w:shd w:val="clear" w:color="auto" w:fill="auto"/>
            <w:tcMar>
              <w:top w:w="40" w:type="dxa"/>
              <w:left w:w="20" w:type="dxa"/>
              <w:bottom w:w="40" w:type="dxa"/>
              <w:right w:w="20" w:type="dxa"/>
            </w:tcMar>
            <w:vAlign w:val="center"/>
          </w:tcPr>
          <w:p w14:paraId="33DAC604" w14:textId="77777777" w:rsidR="004D6A64" w:rsidRDefault="00506CD6">
            <w:pPr>
              <w:jc w:val="center"/>
              <w:textAlignment w:val="center"/>
            </w:pPr>
            <w:r>
              <w:rPr>
                <w:rFonts w:ascii="Times New Roman" w:eastAsia="宋体" w:hAnsi="Times New Roman"/>
                <w:color w:val="000000"/>
                <w:sz w:val="20"/>
                <w:szCs w:val="20"/>
              </w:rPr>
              <w:t> </w:t>
            </w:r>
          </w:p>
        </w:tc>
        <w:tc>
          <w:tcPr>
            <w:tcW w:w="0" w:type="auto"/>
            <w:gridSpan w:val="33"/>
            <w:tcBorders>
              <w:top w:val="single" w:sz="8" w:space="0" w:color="000000"/>
            </w:tcBorders>
            <w:shd w:val="clear" w:color="auto" w:fill="auto"/>
            <w:tcMar>
              <w:top w:w="40" w:type="dxa"/>
              <w:left w:w="20" w:type="dxa"/>
              <w:bottom w:w="40" w:type="dxa"/>
              <w:right w:w="20" w:type="dxa"/>
            </w:tcMar>
            <w:vAlign w:val="center"/>
          </w:tcPr>
          <w:p w14:paraId="33DAC605" w14:textId="77777777" w:rsidR="004D6A64" w:rsidRDefault="00506CD6">
            <w:pPr>
              <w:jc w:val="center"/>
              <w:textAlignment w:val="center"/>
            </w:pPr>
            <w:r>
              <w:rPr>
                <w:rFonts w:ascii="Times New Roman" w:eastAsia="宋体" w:hAnsi="Times New Roman"/>
                <w:color w:val="000000"/>
                <w:sz w:val="20"/>
                <w:szCs w:val="20"/>
              </w:rPr>
              <w:t>(in millions)</w:t>
            </w:r>
          </w:p>
        </w:tc>
        <w:tc>
          <w:tcPr>
            <w:tcW w:w="0" w:type="auto"/>
            <w:gridSpan w:val="3"/>
            <w:shd w:val="clear" w:color="auto" w:fill="auto"/>
          </w:tcPr>
          <w:p w14:paraId="33DAC606" w14:textId="77777777" w:rsidR="004D6A64" w:rsidRDefault="004D6A64">
            <w:pPr>
              <w:rPr>
                <w:rFonts w:ascii="宋体"/>
                <w:vanish/>
              </w:rPr>
            </w:pPr>
          </w:p>
        </w:tc>
        <w:tc>
          <w:tcPr>
            <w:tcW w:w="0" w:type="auto"/>
            <w:gridSpan w:val="3"/>
            <w:shd w:val="clear" w:color="auto" w:fill="auto"/>
          </w:tcPr>
          <w:p w14:paraId="33DAC607" w14:textId="77777777" w:rsidR="004D6A64" w:rsidRDefault="004D6A64">
            <w:pPr>
              <w:rPr>
                <w:rFonts w:ascii="宋体"/>
                <w:vanish/>
              </w:rPr>
            </w:pPr>
          </w:p>
        </w:tc>
        <w:tc>
          <w:tcPr>
            <w:tcW w:w="0" w:type="auto"/>
            <w:gridSpan w:val="3"/>
            <w:shd w:val="clear" w:color="auto" w:fill="auto"/>
          </w:tcPr>
          <w:p w14:paraId="33DAC608" w14:textId="77777777" w:rsidR="004D6A64" w:rsidRDefault="004D6A64">
            <w:pPr>
              <w:rPr>
                <w:rFonts w:ascii="宋体"/>
                <w:vanish/>
              </w:rPr>
            </w:pPr>
          </w:p>
        </w:tc>
        <w:tc>
          <w:tcPr>
            <w:tcW w:w="0" w:type="auto"/>
            <w:gridSpan w:val="3"/>
            <w:shd w:val="clear" w:color="auto" w:fill="auto"/>
          </w:tcPr>
          <w:p w14:paraId="33DAC609" w14:textId="77777777" w:rsidR="004D6A64" w:rsidRDefault="004D6A64">
            <w:pPr>
              <w:rPr>
                <w:rFonts w:ascii="宋体"/>
                <w:vanish/>
              </w:rPr>
            </w:pPr>
          </w:p>
        </w:tc>
        <w:tc>
          <w:tcPr>
            <w:tcW w:w="0" w:type="auto"/>
            <w:gridSpan w:val="3"/>
            <w:shd w:val="clear" w:color="auto" w:fill="auto"/>
          </w:tcPr>
          <w:p w14:paraId="33DAC60A" w14:textId="77777777" w:rsidR="004D6A64" w:rsidRDefault="004D6A64">
            <w:pPr>
              <w:rPr>
                <w:rFonts w:ascii="宋体"/>
                <w:vanish/>
              </w:rPr>
            </w:pPr>
          </w:p>
        </w:tc>
        <w:tc>
          <w:tcPr>
            <w:tcW w:w="0" w:type="auto"/>
            <w:gridSpan w:val="3"/>
            <w:shd w:val="clear" w:color="auto" w:fill="auto"/>
          </w:tcPr>
          <w:p w14:paraId="33DAC60B" w14:textId="77777777" w:rsidR="004D6A64" w:rsidRDefault="004D6A64">
            <w:pPr>
              <w:rPr>
                <w:rFonts w:ascii="宋体"/>
                <w:vanish/>
              </w:rPr>
            </w:pPr>
          </w:p>
        </w:tc>
        <w:tc>
          <w:tcPr>
            <w:tcW w:w="0" w:type="auto"/>
            <w:gridSpan w:val="3"/>
            <w:shd w:val="clear" w:color="auto" w:fill="auto"/>
          </w:tcPr>
          <w:p w14:paraId="33DAC60C" w14:textId="77777777" w:rsidR="004D6A64" w:rsidRDefault="004D6A64">
            <w:pPr>
              <w:rPr>
                <w:rFonts w:ascii="宋体"/>
                <w:vanish/>
              </w:rPr>
            </w:pPr>
          </w:p>
        </w:tc>
        <w:tc>
          <w:tcPr>
            <w:tcW w:w="0" w:type="auto"/>
            <w:gridSpan w:val="3"/>
            <w:shd w:val="clear" w:color="auto" w:fill="auto"/>
          </w:tcPr>
          <w:p w14:paraId="33DAC60D" w14:textId="77777777" w:rsidR="004D6A64" w:rsidRDefault="004D6A64">
            <w:pPr>
              <w:rPr>
                <w:rFonts w:ascii="宋体"/>
                <w:vanish/>
              </w:rPr>
            </w:pPr>
          </w:p>
        </w:tc>
        <w:tc>
          <w:tcPr>
            <w:tcW w:w="0" w:type="auto"/>
            <w:gridSpan w:val="2"/>
            <w:shd w:val="clear" w:color="auto" w:fill="auto"/>
          </w:tcPr>
          <w:p w14:paraId="33DAC60E" w14:textId="77777777" w:rsidR="004D6A64" w:rsidRDefault="004D6A64">
            <w:pPr>
              <w:rPr>
                <w:rFonts w:ascii="宋体"/>
                <w:vanish/>
              </w:rPr>
            </w:pPr>
          </w:p>
        </w:tc>
        <w:tc>
          <w:tcPr>
            <w:tcW w:w="0" w:type="auto"/>
            <w:shd w:val="clear" w:color="auto" w:fill="auto"/>
          </w:tcPr>
          <w:p w14:paraId="33DAC60F" w14:textId="77777777" w:rsidR="004D6A64" w:rsidRDefault="004D6A64">
            <w:pPr>
              <w:rPr>
                <w:rFonts w:ascii="宋体"/>
                <w:vanish/>
              </w:rPr>
            </w:pPr>
          </w:p>
        </w:tc>
      </w:tr>
      <w:tr w:rsidR="004D6A64" w14:paraId="33DAC644" w14:textId="77777777">
        <w:tc>
          <w:tcPr>
            <w:tcW w:w="0" w:type="auto"/>
            <w:gridSpan w:val="3"/>
            <w:shd w:val="clear" w:color="auto" w:fill="CCEEFF"/>
            <w:tcMar>
              <w:top w:w="40" w:type="dxa"/>
              <w:left w:w="20" w:type="dxa"/>
              <w:bottom w:w="40" w:type="dxa"/>
              <w:right w:w="20" w:type="dxa"/>
            </w:tcMar>
            <w:vAlign w:val="center"/>
          </w:tcPr>
          <w:p w14:paraId="33DAC611" w14:textId="77777777" w:rsidR="004D6A64" w:rsidRDefault="00506CD6">
            <w:pPr>
              <w:textAlignment w:val="center"/>
            </w:pPr>
            <w:r>
              <w:rPr>
                <w:rFonts w:ascii="Times New Roman" w:eastAsia="宋体" w:hAnsi="Times New Roman"/>
                <w:color w:val="000000"/>
                <w:sz w:val="20"/>
                <w:szCs w:val="20"/>
              </w:rPr>
              <w:t>Customer relationships</w:t>
            </w:r>
          </w:p>
        </w:tc>
        <w:tc>
          <w:tcPr>
            <w:tcW w:w="0" w:type="auto"/>
            <w:shd w:val="clear" w:color="auto" w:fill="CCEEFF"/>
            <w:tcMar>
              <w:top w:w="40" w:type="dxa"/>
              <w:left w:w="20" w:type="dxa"/>
              <w:bottom w:w="40" w:type="dxa"/>
            </w:tcMar>
            <w:vAlign w:val="center"/>
          </w:tcPr>
          <w:p w14:paraId="33DAC612"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C613" w14:textId="77777777" w:rsidR="004D6A64" w:rsidRDefault="00506CD6">
            <w:pPr>
              <w:jc w:val="right"/>
              <w:textAlignment w:val="center"/>
            </w:pPr>
            <w:r>
              <w:rPr>
                <w:rFonts w:ascii="Times New Roman" w:eastAsia="宋体" w:hAnsi="Times New Roman"/>
                <w:color w:val="000000"/>
                <w:sz w:val="20"/>
                <w:szCs w:val="20"/>
              </w:rPr>
              <w:t>22,392 </w:t>
            </w:r>
          </w:p>
        </w:tc>
        <w:tc>
          <w:tcPr>
            <w:tcW w:w="0" w:type="auto"/>
            <w:shd w:val="clear" w:color="auto" w:fill="CCEEFF"/>
            <w:tcMar>
              <w:top w:w="40" w:type="dxa"/>
              <w:bottom w:w="40" w:type="dxa"/>
              <w:right w:w="20" w:type="dxa"/>
            </w:tcMar>
            <w:vAlign w:val="center"/>
          </w:tcPr>
          <w:p w14:paraId="33DAC61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615"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C616"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C617" w14:textId="77777777" w:rsidR="004D6A64" w:rsidRDefault="00506CD6">
            <w:pPr>
              <w:jc w:val="right"/>
              <w:textAlignment w:val="center"/>
            </w:pPr>
            <w:r>
              <w:rPr>
                <w:rFonts w:ascii="Times New Roman" w:eastAsia="宋体" w:hAnsi="Times New Roman"/>
                <w:color w:val="000000"/>
                <w:sz w:val="20"/>
                <w:szCs w:val="20"/>
              </w:rPr>
              <w:t>(14,555)</w:t>
            </w:r>
          </w:p>
        </w:tc>
        <w:tc>
          <w:tcPr>
            <w:tcW w:w="0" w:type="auto"/>
            <w:shd w:val="clear" w:color="auto" w:fill="CCEEFF"/>
            <w:tcMar>
              <w:top w:w="40" w:type="dxa"/>
              <w:bottom w:w="40" w:type="dxa"/>
              <w:right w:w="20" w:type="dxa"/>
            </w:tcMar>
            <w:vAlign w:val="center"/>
          </w:tcPr>
          <w:p w14:paraId="33DAC61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619"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C61A"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C61B" w14:textId="77777777" w:rsidR="004D6A64" w:rsidRDefault="00506CD6">
            <w:pPr>
              <w:jc w:val="right"/>
              <w:textAlignment w:val="center"/>
            </w:pPr>
            <w:r>
              <w:rPr>
                <w:rFonts w:ascii="Times New Roman" w:eastAsia="宋体" w:hAnsi="Times New Roman"/>
                <w:color w:val="000000"/>
                <w:sz w:val="20"/>
                <w:szCs w:val="20"/>
              </w:rPr>
              <w:t>7,837 </w:t>
            </w:r>
          </w:p>
        </w:tc>
        <w:tc>
          <w:tcPr>
            <w:tcW w:w="0" w:type="auto"/>
            <w:shd w:val="clear" w:color="auto" w:fill="CCEEFF"/>
            <w:tcMar>
              <w:top w:w="40" w:type="dxa"/>
              <w:bottom w:w="40" w:type="dxa"/>
              <w:right w:w="20" w:type="dxa"/>
            </w:tcMar>
            <w:vAlign w:val="center"/>
          </w:tcPr>
          <w:p w14:paraId="33DAC61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61D"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C61E"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C61F" w14:textId="77777777" w:rsidR="004D6A64" w:rsidRDefault="00506CD6">
            <w:pPr>
              <w:jc w:val="right"/>
              <w:textAlignment w:val="center"/>
            </w:pPr>
            <w:r>
              <w:rPr>
                <w:rFonts w:ascii="Times New Roman" w:eastAsia="宋体" w:hAnsi="Times New Roman"/>
                <w:color w:val="000000"/>
                <w:sz w:val="20"/>
                <w:szCs w:val="20"/>
              </w:rPr>
              <w:t>22,950 </w:t>
            </w:r>
          </w:p>
        </w:tc>
        <w:tc>
          <w:tcPr>
            <w:tcW w:w="0" w:type="auto"/>
            <w:shd w:val="clear" w:color="auto" w:fill="CCEEFF"/>
            <w:tcMar>
              <w:top w:w="40" w:type="dxa"/>
              <w:bottom w:w="40" w:type="dxa"/>
              <w:right w:w="20" w:type="dxa"/>
            </w:tcMar>
            <w:vAlign w:val="center"/>
          </w:tcPr>
          <w:p w14:paraId="33DAC62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621"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C622"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C623" w14:textId="77777777" w:rsidR="004D6A64" w:rsidRDefault="00506CD6">
            <w:pPr>
              <w:jc w:val="right"/>
              <w:textAlignment w:val="center"/>
            </w:pPr>
            <w:r>
              <w:rPr>
                <w:rFonts w:ascii="Times New Roman" w:eastAsia="宋体" w:hAnsi="Times New Roman"/>
                <w:color w:val="000000"/>
                <w:sz w:val="20"/>
                <w:szCs w:val="20"/>
              </w:rPr>
              <w:t>(13,821)</w:t>
            </w:r>
          </w:p>
        </w:tc>
        <w:tc>
          <w:tcPr>
            <w:tcW w:w="0" w:type="auto"/>
            <w:shd w:val="clear" w:color="auto" w:fill="CCEEFF"/>
            <w:tcMar>
              <w:top w:w="40" w:type="dxa"/>
              <w:bottom w:w="40" w:type="dxa"/>
              <w:right w:w="20" w:type="dxa"/>
            </w:tcMar>
            <w:vAlign w:val="center"/>
          </w:tcPr>
          <w:p w14:paraId="33DAC62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625"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C626"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C627" w14:textId="77777777" w:rsidR="004D6A64" w:rsidRDefault="00506CD6">
            <w:pPr>
              <w:jc w:val="right"/>
              <w:textAlignment w:val="center"/>
            </w:pPr>
            <w:r>
              <w:rPr>
                <w:rFonts w:ascii="Times New Roman" w:eastAsia="宋体" w:hAnsi="Times New Roman"/>
                <w:color w:val="000000"/>
                <w:sz w:val="20"/>
                <w:szCs w:val="20"/>
              </w:rPr>
              <w:t>9,129 </w:t>
            </w:r>
          </w:p>
        </w:tc>
        <w:tc>
          <w:tcPr>
            <w:tcW w:w="0" w:type="auto"/>
            <w:shd w:val="clear" w:color="auto" w:fill="CCEEFF"/>
            <w:tcMar>
              <w:top w:w="40" w:type="dxa"/>
              <w:bottom w:w="40" w:type="dxa"/>
              <w:right w:w="20" w:type="dxa"/>
            </w:tcMar>
            <w:vAlign w:val="center"/>
          </w:tcPr>
          <w:p w14:paraId="33DAC628" w14:textId="77777777" w:rsidR="004D6A64" w:rsidRDefault="004D6A64">
            <w:pPr>
              <w:jc w:val="right"/>
              <w:rPr>
                <w:rFonts w:ascii="宋体"/>
              </w:rPr>
            </w:pPr>
          </w:p>
        </w:tc>
        <w:tc>
          <w:tcPr>
            <w:tcW w:w="0" w:type="auto"/>
            <w:shd w:val="clear" w:color="auto" w:fill="auto"/>
          </w:tcPr>
          <w:p w14:paraId="33DAC629" w14:textId="77777777" w:rsidR="004D6A64" w:rsidRDefault="004D6A64">
            <w:pPr>
              <w:rPr>
                <w:rFonts w:ascii="宋体"/>
              </w:rPr>
            </w:pPr>
          </w:p>
        </w:tc>
        <w:tc>
          <w:tcPr>
            <w:tcW w:w="0" w:type="auto"/>
            <w:shd w:val="clear" w:color="auto" w:fill="auto"/>
          </w:tcPr>
          <w:p w14:paraId="33DAC62A" w14:textId="77777777" w:rsidR="004D6A64" w:rsidRDefault="004D6A64">
            <w:pPr>
              <w:rPr>
                <w:rFonts w:ascii="宋体"/>
              </w:rPr>
            </w:pPr>
          </w:p>
        </w:tc>
        <w:tc>
          <w:tcPr>
            <w:tcW w:w="0" w:type="auto"/>
            <w:shd w:val="clear" w:color="auto" w:fill="auto"/>
          </w:tcPr>
          <w:p w14:paraId="33DAC62B" w14:textId="77777777" w:rsidR="004D6A64" w:rsidRDefault="004D6A64">
            <w:pPr>
              <w:rPr>
                <w:rFonts w:ascii="宋体"/>
              </w:rPr>
            </w:pPr>
          </w:p>
        </w:tc>
        <w:tc>
          <w:tcPr>
            <w:tcW w:w="0" w:type="auto"/>
            <w:shd w:val="clear" w:color="auto" w:fill="auto"/>
          </w:tcPr>
          <w:p w14:paraId="33DAC62C" w14:textId="77777777" w:rsidR="004D6A64" w:rsidRDefault="004D6A64">
            <w:pPr>
              <w:rPr>
                <w:rFonts w:ascii="宋体"/>
              </w:rPr>
            </w:pPr>
          </w:p>
        </w:tc>
        <w:tc>
          <w:tcPr>
            <w:tcW w:w="0" w:type="auto"/>
            <w:shd w:val="clear" w:color="auto" w:fill="auto"/>
          </w:tcPr>
          <w:p w14:paraId="33DAC62D" w14:textId="77777777" w:rsidR="004D6A64" w:rsidRDefault="004D6A64">
            <w:pPr>
              <w:rPr>
                <w:rFonts w:ascii="宋体"/>
              </w:rPr>
            </w:pPr>
          </w:p>
        </w:tc>
        <w:tc>
          <w:tcPr>
            <w:tcW w:w="0" w:type="auto"/>
            <w:shd w:val="clear" w:color="auto" w:fill="auto"/>
          </w:tcPr>
          <w:p w14:paraId="33DAC62E" w14:textId="77777777" w:rsidR="004D6A64" w:rsidRDefault="004D6A64">
            <w:pPr>
              <w:rPr>
                <w:rFonts w:ascii="宋体"/>
              </w:rPr>
            </w:pPr>
          </w:p>
        </w:tc>
        <w:tc>
          <w:tcPr>
            <w:tcW w:w="0" w:type="auto"/>
            <w:shd w:val="clear" w:color="auto" w:fill="auto"/>
          </w:tcPr>
          <w:p w14:paraId="33DAC62F" w14:textId="77777777" w:rsidR="004D6A64" w:rsidRDefault="004D6A64">
            <w:pPr>
              <w:rPr>
                <w:rFonts w:ascii="宋体"/>
              </w:rPr>
            </w:pPr>
          </w:p>
        </w:tc>
        <w:tc>
          <w:tcPr>
            <w:tcW w:w="0" w:type="auto"/>
            <w:shd w:val="clear" w:color="auto" w:fill="auto"/>
          </w:tcPr>
          <w:p w14:paraId="33DAC630" w14:textId="77777777" w:rsidR="004D6A64" w:rsidRDefault="004D6A64">
            <w:pPr>
              <w:rPr>
                <w:rFonts w:ascii="宋体"/>
              </w:rPr>
            </w:pPr>
          </w:p>
        </w:tc>
        <w:tc>
          <w:tcPr>
            <w:tcW w:w="0" w:type="auto"/>
            <w:shd w:val="clear" w:color="auto" w:fill="auto"/>
          </w:tcPr>
          <w:p w14:paraId="33DAC631" w14:textId="77777777" w:rsidR="004D6A64" w:rsidRDefault="004D6A64">
            <w:pPr>
              <w:rPr>
                <w:rFonts w:ascii="宋体"/>
              </w:rPr>
            </w:pPr>
          </w:p>
        </w:tc>
        <w:tc>
          <w:tcPr>
            <w:tcW w:w="0" w:type="auto"/>
            <w:shd w:val="clear" w:color="auto" w:fill="auto"/>
          </w:tcPr>
          <w:p w14:paraId="33DAC632" w14:textId="77777777" w:rsidR="004D6A64" w:rsidRDefault="004D6A64">
            <w:pPr>
              <w:rPr>
                <w:rFonts w:ascii="宋体"/>
              </w:rPr>
            </w:pPr>
          </w:p>
        </w:tc>
        <w:tc>
          <w:tcPr>
            <w:tcW w:w="0" w:type="auto"/>
            <w:shd w:val="clear" w:color="auto" w:fill="auto"/>
          </w:tcPr>
          <w:p w14:paraId="33DAC633" w14:textId="77777777" w:rsidR="004D6A64" w:rsidRDefault="004D6A64">
            <w:pPr>
              <w:rPr>
                <w:rFonts w:ascii="宋体"/>
              </w:rPr>
            </w:pPr>
          </w:p>
        </w:tc>
        <w:tc>
          <w:tcPr>
            <w:tcW w:w="0" w:type="auto"/>
            <w:shd w:val="clear" w:color="auto" w:fill="auto"/>
          </w:tcPr>
          <w:p w14:paraId="33DAC634" w14:textId="77777777" w:rsidR="004D6A64" w:rsidRDefault="004D6A64">
            <w:pPr>
              <w:rPr>
                <w:rFonts w:ascii="宋体"/>
              </w:rPr>
            </w:pPr>
          </w:p>
        </w:tc>
        <w:tc>
          <w:tcPr>
            <w:tcW w:w="0" w:type="auto"/>
            <w:shd w:val="clear" w:color="auto" w:fill="auto"/>
          </w:tcPr>
          <w:p w14:paraId="33DAC635" w14:textId="77777777" w:rsidR="004D6A64" w:rsidRDefault="004D6A64">
            <w:pPr>
              <w:rPr>
                <w:rFonts w:ascii="宋体"/>
              </w:rPr>
            </w:pPr>
          </w:p>
        </w:tc>
        <w:tc>
          <w:tcPr>
            <w:tcW w:w="0" w:type="auto"/>
            <w:shd w:val="clear" w:color="auto" w:fill="auto"/>
          </w:tcPr>
          <w:p w14:paraId="33DAC636" w14:textId="77777777" w:rsidR="004D6A64" w:rsidRDefault="004D6A64">
            <w:pPr>
              <w:rPr>
                <w:rFonts w:ascii="宋体"/>
              </w:rPr>
            </w:pPr>
          </w:p>
        </w:tc>
        <w:tc>
          <w:tcPr>
            <w:tcW w:w="0" w:type="auto"/>
            <w:shd w:val="clear" w:color="auto" w:fill="auto"/>
          </w:tcPr>
          <w:p w14:paraId="33DAC637" w14:textId="77777777" w:rsidR="004D6A64" w:rsidRDefault="004D6A64">
            <w:pPr>
              <w:rPr>
                <w:rFonts w:ascii="宋体"/>
              </w:rPr>
            </w:pPr>
          </w:p>
        </w:tc>
        <w:tc>
          <w:tcPr>
            <w:tcW w:w="0" w:type="auto"/>
            <w:shd w:val="clear" w:color="auto" w:fill="auto"/>
          </w:tcPr>
          <w:p w14:paraId="33DAC638" w14:textId="77777777" w:rsidR="004D6A64" w:rsidRDefault="004D6A64">
            <w:pPr>
              <w:rPr>
                <w:rFonts w:ascii="宋体"/>
              </w:rPr>
            </w:pPr>
          </w:p>
        </w:tc>
        <w:tc>
          <w:tcPr>
            <w:tcW w:w="0" w:type="auto"/>
            <w:shd w:val="clear" w:color="auto" w:fill="auto"/>
          </w:tcPr>
          <w:p w14:paraId="33DAC639" w14:textId="77777777" w:rsidR="004D6A64" w:rsidRDefault="004D6A64">
            <w:pPr>
              <w:rPr>
                <w:rFonts w:ascii="宋体"/>
              </w:rPr>
            </w:pPr>
          </w:p>
        </w:tc>
        <w:tc>
          <w:tcPr>
            <w:tcW w:w="0" w:type="auto"/>
            <w:shd w:val="clear" w:color="auto" w:fill="auto"/>
          </w:tcPr>
          <w:p w14:paraId="33DAC63A" w14:textId="77777777" w:rsidR="004D6A64" w:rsidRDefault="004D6A64">
            <w:pPr>
              <w:rPr>
                <w:rFonts w:ascii="宋体"/>
              </w:rPr>
            </w:pPr>
          </w:p>
        </w:tc>
        <w:tc>
          <w:tcPr>
            <w:tcW w:w="0" w:type="auto"/>
            <w:shd w:val="clear" w:color="auto" w:fill="auto"/>
          </w:tcPr>
          <w:p w14:paraId="33DAC63B" w14:textId="77777777" w:rsidR="004D6A64" w:rsidRDefault="004D6A64">
            <w:pPr>
              <w:rPr>
                <w:rFonts w:ascii="宋体"/>
              </w:rPr>
            </w:pPr>
          </w:p>
        </w:tc>
        <w:tc>
          <w:tcPr>
            <w:tcW w:w="0" w:type="auto"/>
            <w:shd w:val="clear" w:color="auto" w:fill="auto"/>
          </w:tcPr>
          <w:p w14:paraId="33DAC63C" w14:textId="77777777" w:rsidR="004D6A64" w:rsidRDefault="004D6A64">
            <w:pPr>
              <w:rPr>
                <w:rFonts w:ascii="宋体"/>
              </w:rPr>
            </w:pPr>
          </w:p>
        </w:tc>
        <w:tc>
          <w:tcPr>
            <w:tcW w:w="0" w:type="auto"/>
            <w:shd w:val="clear" w:color="auto" w:fill="auto"/>
          </w:tcPr>
          <w:p w14:paraId="33DAC63D" w14:textId="77777777" w:rsidR="004D6A64" w:rsidRDefault="004D6A64">
            <w:pPr>
              <w:rPr>
                <w:rFonts w:ascii="宋体"/>
              </w:rPr>
            </w:pPr>
          </w:p>
        </w:tc>
        <w:tc>
          <w:tcPr>
            <w:tcW w:w="0" w:type="auto"/>
            <w:shd w:val="clear" w:color="auto" w:fill="auto"/>
          </w:tcPr>
          <w:p w14:paraId="33DAC63E" w14:textId="77777777" w:rsidR="004D6A64" w:rsidRDefault="004D6A64">
            <w:pPr>
              <w:rPr>
                <w:rFonts w:ascii="宋体"/>
              </w:rPr>
            </w:pPr>
          </w:p>
        </w:tc>
        <w:tc>
          <w:tcPr>
            <w:tcW w:w="0" w:type="auto"/>
            <w:shd w:val="clear" w:color="auto" w:fill="auto"/>
          </w:tcPr>
          <w:p w14:paraId="33DAC63F" w14:textId="77777777" w:rsidR="004D6A64" w:rsidRDefault="004D6A64">
            <w:pPr>
              <w:rPr>
                <w:rFonts w:ascii="宋体"/>
              </w:rPr>
            </w:pPr>
          </w:p>
        </w:tc>
        <w:tc>
          <w:tcPr>
            <w:tcW w:w="0" w:type="auto"/>
            <w:shd w:val="clear" w:color="auto" w:fill="auto"/>
          </w:tcPr>
          <w:p w14:paraId="33DAC640" w14:textId="77777777" w:rsidR="004D6A64" w:rsidRDefault="004D6A64">
            <w:pPr>
              <w:rPr>
                <w:rFonts w:ascii="宋体"/>
              </w:rPr>
            </w:pPr>
          </w:p>
        </w:tc>
        <w:tc>
          <w:tcPr>
            <w:tcW w:w="0" w:type="auto"/>
            <w:shd w:val="clear" w:color="auto" w:fill="auto"/>
          </w:tcPr>
          <w:p w14:paraId="33DAC641" w14:textId="77777777" w:rsidR="004D6A64" w:rsidRDefault="004D6A64">
            <w:pPr>
              <w:rPr>
                <w:rFonts w:ascii="宋体"/>
              </w:rPr>
            </w:pPr>
          </w:p>
        </w:tc>
        <w:tc>
          <w:tcPr>
            <w:tcW w:w="0" w:type="auto"/>
            <w:shd w:val="clear" w:color="auto" w:fill="auto"/>
          </w:tcPr>
          <w:p w14:paraId="33DAC642" w14:textId="77777777" w:rsidR="004D6A64" w:rsidRDefault="004D6A64">
            <w:pPr>
              <w:rPr>
                <w:rFonts w:ascii="宋体"/>
              </w:rPr>
            </w:pPr>
          </w:p>
        </w:tc>
        <w:tc>
          <w:tcPr>
            <w:tcW w:w="0" w:type="auto"/>
            <w:shd w:val="clear" w:color="auto" w:fill="auto"/>
          </w:tcPr>
          <w:p w14:paraId="33DAC643" w14:textId="77777777" w:rsidR="004D6A64" w:rsidRDefault="004D6A64">
            <w:pPr>
              <w:rPr>
                <w:rFonts w:ascii="宋体"/>
              </w:rPr>
            </w:pPr>
          </w:p>
        </w:tc>
      </w:tr>
      <w:tr w:rsidR="004D6A64" w14:paraId="33DAC672" w14:textId="77777777">
        <w:tc>
          <w:tcPr>
            <w:tcW w:w="0" w:type="auto"/>
            <w:gridSpan w:val="3"/>
            <w:shd w:val="clear" w:color="auto" w:fill="FFFFFF"/>
            <w:tcMar>
              <w:top w:w="40" w:type="dxa"/>
              <w:left w:w="20" w:type="dxa"/>
              <w:bottom w:w="40" w:type="dxa"/>
              <w:right w:w="20" w:type="dxa"/>
            </w:tcMar>
            <w:vAlign w:val="center"/>
          </w:tcPr>
          <w:p w14:paraId="33DAC645" w14:textId="77777777" w:rsidR="004D6A64" w:rsidRDefault="00506CD6">
            <w:pPr>
              <w:textAlignment w:val="center"/>
            </w:pPr>
            <w:r>
              <w:rPr>
                <w:rFonts w:ascii="Times New Roman" w:eastAsia="宋体" w:hAnsi="Times New Roman"/>
                <w:color w:val="000000"/>
                <w:sz w:val="20"/>
                <w:szCs w:val="20"/>
              </w:rPr>
              <w:t>Developed technology</w:t>
            </w:r>
          </w:p>
        </w:tc>
        <w:tc>
          <w:tcPr>
            <w:tcW w:w="0" w:type="auto"/>
            <w:gridSpan w:val="2"/>
            <w:shd w:val="clear" w:color="auto" w:fill="FFFFFF"/>
            <w:tcMar>
              <w:top w:w="40" w:type="dxa"/>
              <w:left w:w="20" w:type="dxa"/>
              <w:bottom w:w="40" w:type="dxa"/>
              <w:right w:w="0" w:type="dxa"/>
            </w:tcMar>
            <w:vAlign w:val="center"/>
          </w:tcPr>
          <w:p w14:paraId="33DAC646" w14:textId="77777777" w:rsidR="004D6A64" w:rsidRDefault="00506CD6">
            <w:pPr>
              <w:jc w:val="right"/>
              <w:textAlignment w:val="center"/>
            </w:pPr>
            <w:r>
              <w:rPr>
                <w:rFonts w:ascii="Times New Roman" w:eastAsia="宋体" w:hAnsi="Times New Roman"/>
                <w:color w:val="000000"/>
                <w:sz w:val="20"/>
                <w:szCs w:val="20"/>
              </w:rPr>
              <w:t>15,451 </w:t>
            </w:r>
          </w:p>
        </w:tc>
        <w:tc>
          <w:tcPr>
            <w:tcW w:w="0" w:type="auto"/>
            <w:shd w:val="clear" w:color="auto" w:fill="FFFFFF"/>
            <w:tcMar>
              <w:top w:w="40" w:type="dxa"/>
              <w:bottom w:w="40" w:type="dxa"/>
              <w:right w:w="20" w:type="dxa"/>
            </w:tcMar>
            <w:vAlign w:val="center"/>
          </w:tcPr>
          <w:p w14:paraId="33DAC64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648"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649" w14:textId="77777777" w:rsidR="004D6A64" w:rsidRDefault="00506CD6">
            <w:pPr>
              <w:jc w:val="right"/>
              <w:textAlignment w:val="center"/>
            </w:pPr>
            <w:r>
              <w:rPr>
                <w:rFonts w:ascii="Times New Roman" w:eastAsia="宋体" w:hAnsi="Times New Roman"/>
                <w:color w:val="000000"/>
                <w:sz w:val="20"/>
                <w:szCs w:val="20"/>
              </w:rPr>
              <w:t>(11,384)</w:t>
            </w:r>
          </w:p>
        </w:tc>
        <w:tc>
          <w:tcPr>
            <w:tcW w:w="0" w:type="auto"/>
            <w:shd w:val="clear" w:color="auto" w:fill="FFFFFF"/>
            <w:tcMar>
              <w:top w:w="40" w:type="dxa"/>
              <w:bottom w:w="40" w:type="dxa"/>
              <w:right w:w="20" w:type="dxa"/>
            </w:tcMar>
            <w:vAlign w:val="center"/>
          </w:tcPr>
          <w:p w14:paraId="33DAC64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64B"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64C" w14:textId="77777777" w:rsidR="004D6A64" w:rsidRDefault="00506CD6">
            <w:pPr>
              <w:jc w:val="right"/>
              <w:textAlignment w:val="center"/>
            </w:pPr>
            <w:r>
              <w:rPr>
                <w:rFonts w:ascii="Times New Roman" w:eastAsia="宋体" w:hAnsi="Times New Roman"/>
                <w:color w:val="000000"/>
                <w:sz w:val="20"/>
                <w:szCs w:val="20"/>
              </w:rPr>
              <w:t>4,067 </w:t>
            </w:r>
          </w:p>
        </w:tc>
        <w:tc>
          <w:tcPr>
            <w:tcW w:w="0" w:type="auto"/>
            <w:shd w:val="clear" w:color="auto" w:fill="FFFFFF"/>
            <w:tcMar>
              <w:top w:w="40" w:type="dxa"/>
              <w:bottom w:w="40" w:type="dxa"/>
              <w:right w:w="20" w:type="dxa"/>
            </w:tcMar>
            <w:vAlign w:val="center"/>
          </w:tcPr>
          <w:p w14:paraId="33DAC64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64E"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64F" w14:textId="77777777" w:rsidR="004D6A64" w:rsidRDefault="00506CD6">
            <w:pPr>
              <w:jc w:val="right"/>
              <w:textAlignment w:val="center"/>
            </w:pPr>
            <w:r>
              <w:rPr>
                <w:rFonts w:ascii="Times New Roman" w:eastAsia="宋体" w:hAnsi="Times New Roman"/>
                <w:color w:val="000000"/>
                <w:sz w:val="20"/>
                <w:szCs w:val="20"/>
              </w:rPr>
              <w:t>15,707 </w:t>
            </w:r>
          </w:p>
        </w:tc>
        <w:tc>
          <w:tcPr>
            <w:tcW w:w="0" w:type="auto"/>
            <w:shd w:val="clear" w:color="auto" w:fill="FFFFFF"/>
            <w:tcMar>
              <w:top w:w="40" w:type="dxa"/>
              <w:bottom w:w="40" w:type="dxa"/>
              <w:right w:w="20" w:type="dxa"/>
            </w:tcMar>
            <w:vAlign w:val="center"/>
          </w:tcPr>
          <w:p w14:paraId="33DAC65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65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652" w14:textId="77777777" w:rsidR="004D6A64" w:rsidRDefault="00506CD6">
            <w:pPr>
              <w:jc w:val="right"/>
              <w:textAlignment w:val="center"/>
            </w:pPr>
            <w:r>
              <w:rPr>
                <w:rFonts w:ascii="Times New Roman" w:eastAsia="宋体" w:hAnsi="Times New Roman"/>
                <w:color w:val="000000"/>
                <w:sz w:val="20"/>
                <w:szCs w:val="20"/>
              </w:rPr>
              <w:t>(10,974)</w:t>
            </w:r>
          </w:p>
        </w:tc>
        <w:tc>
          <w:tcPr>
            <w:tcW w:w="0" w:type="auto"/>
            <w:shd w:val="clear" w:color="auto" w:fill="FFFFFF"/>
            <w:tcMar>
              <w:top w:w="40" w:type="dxa"/>
              <w:bottom w:w="40" w:type="dxa"/>
              <w:right w:w="20" w:type="dxa"/>
            </w:tcMar>
            <w:vAlign w:val="center"/>
          </w:tcPr>
          <w:p w14:paraId="33DAC65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654"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655" w14:textId="77777777" w:rsidR="004D6A64" w:rsidRDefault="00506CD6">
            <w:pPr>
              <w:jc w:val="right"/>
              <w:textAlignment w:val="center"/>
            </w:pPr>
            <w:r>
              <w:rPr>
                <w:rFonts w:ascii="Times New Roman" w:eastAsia="宋体" w:hAnsi="Times New Roman"/>
                <w:color w:val="000000"/>
                <w:sz w:val="20"/>
                <w:szCs w:val="20"/>
              </w:rPr>
              <w:t>4,733 </w:t>
            </w:r>
          </w:p>
        </w:tc>
        <w:tc>
          <w:tcPr>
            <w:tcW w:w="0" w:type="auto"/>
            <w:shd w:val="clear" w:color="auto" w:fill="FFFFFF"/>
            <w:tcMar>
              <w:top w:w="40" w:type="dxa"/>
              <w:bottom w:w="40" w:type="dxa"/>
              <w:right w:w="20" w:type="dxa"/>
            </w:tcMar>
            <w:vAlign w:val="center"/>
          </w:tcPr>
          <w:p w14:paraId="33DAC656" w14:textId="77777777" w:rsidR="004D6A64" w:rsidRDefault="004D6A64">
            <w:pPr>
              <w:jc w:val="right"/>
              <w:rPr>
                <w:rFonts w:ascii="宋体"/>
              </w:rPr>
            </w:pPr>
          </w:p>
        </w:tc>
        <w:tc>
          <w:tcPr>
            <w:tcW w:w="0" w:type="auto"/>
            <w:shd w:val="clear" w:color="auto" w:fill="auto"/>
          </w:tcPr>
          <w:p w14:paraId="33DAC657" w14:textId="77777777" w:rsidR="004D6A64" w:rsidRDefault="004D6A64">
            <w:pPr>
              <w:rPr>
                <w:rFonts w:ascii="宋体"/>
              </w:rPr>
            </w:pPr>
          </w:p>
        </w:tc>
        <w:tc>
          <w:tcPr>
            <w:tcW w:w="0" w:type="auto"/>
            <w:shd w:val="clear" w:color="auto" w:fill="auto"/>
          </w:tcPr>
          <w:p w14:paraId="33DAC658" w14:textId="77777777" w:rsidR="004D6A64" w:rsidRDefault="004D6A64">
            <w:pPr>
              <w:rPr>
                <w:rFonts w:ascii="宋体"/>
              </w:rPr>
            </w:pPr>
          </w:p>
        </w:tc>
        <w:tc>
          <w:tcPr>
            <w:tcW w:w="0" w:type="auto"/>
            <w:shd w:val="clear" w:color="auto" w:fill="auto"/>
          </w:tcPr>
          <w:p w14:paraId="33DAC659" w14:textId="77777777" w:rsidR="004D6A64" w:rsidRDefault="004D6A64">
            <w:pPr>
              <w:rPr>
                <w:rFonts w:ascii="宋体"/>
              </w:rPr>
            </w:pPr>
          </w:p>
        </w:tc>
        <w:tc>
          <w:tcPr>
            <w:tcW w:w="0" w:type="auto"/>
            <w:shd w:val="clear" w:color="auto" w:fill="auto"/>
          </w:tcPr>
          <w:p w14:paraId="33DAC65A" w14:textId="77777777" w:rsidR="004D6A64" w:rsidRDefault="004D6A64">
            <w:pPr>
              <w:rPr>
                <w:rFonts w:ascii="宋体"/>
              </w:rPr>
            </w:pPr>
          </w:p>
        </w:tc>
        <w:tc>
          <w:tcPr>
            <w:tcW w:w="0" w:type="auto"/>
            <w:shd w:val="clear" w:color="auto" w:fill="auto"/>
          </w:tcPr>
          <w:p w14:paraId="33DAC65B" w14:textId="77777777" w:rsidR="004D6A64" w:rsidRDefault="004D6A64">
            <w:pPr>
              <w:rPr>
                <w:rFonts w:ascii="宋体"/>
              </w:rPr>
            </w:pPr>
          </w:p>
        </w:tc>
        <w:tc>
          <w:tcPr>
            <w:tcW w:w="0" w:type="auto"/>
            <w:shd w:val="clear" w:color="auto" w:fill="auto"/>
          </w:tcPr>
          <w:p w14:paraId="33DAC65C" w14:textId="77777777" w:rsidR="004D6A64" w:rsidRDefault="004D6A64">
            <w:pPr>
              <w:rPr>
                <w:rFonts w:ascii="宋体"/>
              </w:rPr>
            </w:pPr>
          </w:p>
        </w:tc>
        <w:tc>
          <w:tcPr>
            <w:tcW w:w="0" w:type="auto"/>
            <w:shd w:val="clear" w:color="auto" w:fill="auto"/>
          </w:tcPr>
          <w:p w14:paraId="33DAC65D" w14:textId="77777777" w:rsidR="004D6A64" w:rsidRDefault="004D6A64">
            <w:pPr>
              <w:rPr>
                <w:rFonts w:ascii="宋体"/>
              </w:rPr>
            </w:pPr>
          </w:p>
        </w:tc>
        <w:tc>
          <w:tcPr>
            <w:tcW w:w="0" w:type="auto"/>
            <w:shd w:val="clear" w:color="auto" w:fill="auto"/>
          </w:tcPr>
          <w:p w14:paraId="33DAC65E" w14:textId="77777777" w:rsidR="004D6A64" w:rsidRDefault="004D6A64">
            <w:pPr>
              <w:rPr>
                <w:rFonts w:ascii="宋体"/>
              </w:rPr>
            </w:pPr>
          </w:p>
        </w:tc>
        <w:tc>
          <w:tcPr>
            <w:tcW w:w="0" w:type="auto"/>
            <w:shd w:val="clear" w:color="auto" w:fill="auto"/>
          </w:tcPr>
          <w:p w14:paraId="33DAC65F" w14:textId="77777777" w:rsidR="004D6A64" w:rsidRDefault="004D6A64">
            <w:pPr>
              <w:rPr>
                <w:rFonts w:ascii="宋体"/>
              </w:rPr>
            </w:pPr>
          </w:p>
        </w:tc>
        <w:tc>
          <w:tcPr>
            <w:tcW w:w="0" w:type="auto"/>
            <w:shd w:val="clear" w:color="auto" w:fill="auto"/>
          </w:tcPr>
          <w:p w14:paraId="33DAC660" w14:textId="77777777" w:rsidR="004D6A64" w:rsidRDefault="004D6A64">
            <w:pPr>
              <w:rPr>
                <w:rFonts w:ascii="宋体"/>
              </w:rPr>
            </w:pPr>
          </w:p>
        </w:tc>
        <w:tc>
          <w:tcPr>
            <w:tcW w:w="0" w:type="auto"/>
            <w:shd w:val="clear" w:color="auto" w:fill="auto"/>
          </w:tcPr>
          <w:p w14:paraId="33DAC661" w14:textId="77777777" w:rsidR="004D6A64" w:rsidRDefault="004D6A64">
            <w:pPr>
              <w:rPr>
                <w:rFonts w:ascii="宋体"/>
              </w:rPr>
            </w:pPr>
          </w:p>
        </w:tc>
        <w:tc>
          <w:tcPr>
            <w:tcW w:w="0" w:type="auto"/>
            <w:shd w:val="clear" w:color="auto" w:fill="auto"/>
          </w:tcPr>
          <w:p w14:paraId="33DAC662" w14:textId="77777777" w:rsidR="004D6A64" w:rsidRDefault="004D6A64">
            <w:pPr>
              <w:rPr>
                <w:rFonts w:ascii="宋体"/>
              </w:rPr>
            </w:pPr>
          </w:p>
        </w:tc>
        <w:tc>
          <w:tcPr>
            <w:tcW w:w="0" w:type="auto"/>
            <w:shd w:val="clear" w:color="auto" w:fill="auto"/>
          </w:tcPr>
          <w:p w14:paraId="33DAC663" w14:textId="77777777" w:rsidR="004D6A64" w:rsidRDefault="004D6A64">
            <w:pPr>
              <w:rPr>
                <w:rFonts w:ascii="宋体"/>
              </w:rPr>
            </w:pPr>
          </w:p>
        </w:tc>
        <w:tc>
          <w:tcPr>
            <w:tcW w:w="0" w:type="auto"/>
            <w:shd w:val="clear" w:color="auto" w:fill="auto"/>
          </w:tcPr>
          <w:p w14:paraId="33DAC664" w14:textId="77777777" w:rsidR="004D6A64" w:rsidRDefault="004D6A64">
            <w:pPr>
              <w:rPr>
                <w:rFonts w:ascii="宋体"/>
              </w:rPr>
            </w:pPr>
          </w:p>
        </w:tc>
        <w:tc>
          <w:tcPr>
            <w:tcW w:w="0" w:type="auto"/>
            <w:shd w:val="clear" w:color="auto" w:fill="auto"/>
          </w:tcPr>
          <w:p w14:paraId="33DAC665" w14:textId="77777777" w:rsidR="004D6A64" w:rsidRDefault="004D6A64">
            <w:pPr>
              <w:rPr>
                <w:rFonts w:ascii="宋体"/>
              </w:rPr>
            </w:pPr>
          </w:p>
        </w:tc>
        <w:tc>
          <w:tcPr>
            <w:tcW w:w="0" w:type="auto"/>
            <w:shd w:val="clear" w:color="auto" w:fill="auto"/>
          </w:tcPr>
          <w:p w14:paraId="33DAC666" w14:textId="77777777" w:rsidR="004D6A64" w:rsidRDefault="004D6A64">
            <w:pPr>
              <w:rPr>
                <w:rFonts w:ascii="宋体"/>
              </w:rPr>
            </w:pPr>
          </w:p>
        </w:tc>
        <w:tc>
          <w:tcPr>
            <w:tcW w:w="0" w:type="auto"/>
            <w:shd w:val="clear" w:color="auto" w:fill="auto"/>
          </w:tcPr>
          <w:p w14:paraId="33DAC667" w14:textId="77777777" w:rsidR="004D6A64" w:rsidRDefault="004D6A64">
            <w:pPr>
              <w:rPr>
                <w:rFonts w:ascii="宋体"/>
              </w:rPr>
            </w:pPr>
          </w:p>
        </w:tc>
        <w:tc>
          <w:tcPr>
            <w:tcW w:w="0" w:type="auto"/>
            <w:shd w:val="clear" w:color="auto" w:fill="auto"/>
          </w:tcPr>
          <w:p w14:paraId="33DAC668" w14:textId="77777777" w:rsidR="004D6A64" w:rsidRDefault="004D6A64">
            <w:pPr>
              <w:rPr>
                <w:rFonts w:ascii="宋体"/>
              </w:rPr>
            </w:pPr>
          </w:p>
        </w:tc>
        <w:tc>
          <w:tcPr>
            <w:tcW w:w="0" w:type="auto"/>
            <w:shd w:val="clear" w:color="auto" w:fill="auto"/>
          </w:tcPr>
          <w:p w14:paraId="33DAC669" w14:textId="77777777" w:rsidR="004D6A64" w:rsidRDefault="004D6A64">
            <w:pPr>
              <w:rPr>
                <w:rFonts w:ascii="宋体"/>
              </w:rPr>
            </w:pPr>
          </w:p>
        </w:tc>
        <w:tc>
          <w:tcPr>
            <w:tcW w:w="0" w:type="auto"/>
            <w:shd w:val="clear" w:color="auto" w:fill="auto"/>
          </w:tcPr>
          <w:p w14:paraId="33DAC66A" w14:textId="77777777" w:rsidR="004D6A64" w:rsidRDefault="004D6A64">
            <w:pPr>
              <w:rPr>
                <w:rFonts w:ascii="宋体"/>
              </w:rPr>
            </w:pPr>
          </w:p>
        </w:tc>
        <w:tc>
          <w:tcPr>
            <w:tcW w:w="0" w:type="auto"/>
            <w:shd w:val="clear" w:color="auto" w:fill="auto"/>
          </w:tcPr>
          <w:p w14:paraId="33DAC66B" w14:textId="77777777" w:rsidR="004D6A64" w:rsidRDefault="004D6A64">
            <w:pPr>
              <w:rPr>
                <w:rFonts w:ascii="宋体"/>
              </w:rPr>
            </w:pPr>
          </w:p>
        </w:tc>
        <w:tc>
          <w:tcPr>
            <w:tcW w:w="0" w:type="auto"/>
            <w:shd w:val="clear" w:color="auto" w:fill="auto"/>
          </w:tcPr>
          <w:p w14:paraId="33DAC66C" w14:textId="77777777" w:rsidR="004D6A64" w:rsidRDefault="004D6A64">
            <w:pPr>
              <w:rPr>
                <w:rFonts w:ascii="宋体"/>
              </w:rPr>
            </w:pPr>
          </w:p>
        </w:tc>
        <w:tc>
          <w:tcPr>
            <w:tcW w:w="0" w:type="auto"/>
            <w:shd w:val="clear" w:color="auto" w:fill="auto"/>
          </w:tcPr>
          <w:p w14:paraId="33DAC66D" w14:textId="77777777" w:rsidR="004D6A64" w:rsidRDefault="004D6A64">
            <w:pPr>
              <w:rPr>
                <w:rFonts w:ascii="宋体"/>
              </w:rPr>
            </w:pPr>
          </w:p>
        </w:tc>
        <w:tc>
          <w:tcPr>
            <w:tcW w:w="0" w:type="auto"/>
            <w:shd w:val="clear" w:color="auto" w:fill="auto"/>
          </w:tcPr>
          <w:p w14:paraId="33DAC66E" w14:textId="77777777" w:rsidR="004D6A64" w:rsidRDefault="004D6A64">
            <w:pPr>
              <w:rPr>
                <w:rFonts w:ascii="宋体"/>
              </w:rPr>
            </w:pPr>
          </w:p>
        </w:tc>
        <w:tc>
          <w:tcPr>
            <w:tcW w:w="0" w:type="auto"/>
            <w:shd w:val="clear" w:color="auto" w:fill="auto"/>
          </w:tcPr>
          <w:p w14:paraId="33DAC66F" w14:textId="77777777" w:rsidR="004D6A64" w:rsidRDefault="004D6A64">
            <w:pPr>
              <w:rPr>
                <w:rFonts w:ascii="宋体"/>
              </w:rPr>
            </w:pPr>
          </w:p>
        </w:tc>
        <w:tc>
          <w:tcPr>
            <w:tcW w:w="0" w:type="auto"/>
            <w:shd w:val="clear" w:color="auto" w:fill="auto"/>
          </w:tcPr>
          <w:p w14:paraId="33DAC670" w14:textId="77777777" w:rsidR="004D6A64" w:rsidRDefault="004D6A64">
            <w:pPr>
              <w:rPr>
                <w:rFonts w:ascii="宋体"/>
              </w:rPr>
            </w:pPr>
          </w:p>
        </w:tc>
        <w:tc>
          <w:tcPr>
            <w:tcW w:w="0" w:type="auto"/>
            <w:shd w:val="clear" w:color="auto" w:fill="auto"/>
          </w:tcPr>
          <w:p w14:paraId="33DAC671" w14:textId="77777777" w:rsidR="004D6A64" w:rsidRDefault="004D6A64">
            <w:pPr>
              <w:rPr>
                <w:rFonts w:ascii="宋体"/>
              </w:rPr>
            </w:pPr>
          </w:p>
        </w:tc>
      </w:tr>
      <w:tr w:rsidR="004D6A64" w14:paraId="33DAC6A0" w14:textId="77777777">
        <w:tc>
          <w:tcPr>
            <w:tcW w:w="0" w:type="auto"/>
            <w:gridSpan w:val="3"/>
            <w:shd w:val="clear" w:color="auto" w:fill="CCEEFF"/>
            <w:tcMar>
              <w:top w:w="40" w:type="dxa"/>
              <w:left w:w="20" w:type="dxa"/>
              <w:bottom w:w="40" w:type="dxa"/>
              <w:right w:w="20" w:type="dxa"/>
            </w:tcMar>
            <w:vAlign w:val="center"/>
          </w:tcPr>
          <w:p w14:paraId="33DAC673" w14:textId="77777777" w:rsidR="004D6A64" w:rsidRDefault="00506CD6">
            <w:pPr>
              <w:textAlignment w:val="center"/>
            </w:pPr>
            <w:r>
              <w:rPr>
                <w:rFonts w:ascii="Times New Roman" w:eastAsia="宋体" w:hAnsi="Times New Roman"/>
                <w:color w:val="000000"/>
                <w:sz w:val="20"/>
                <w:szCs w:val="20"/>
              </w:rPr>
              <w:t>Trade names</w:t>
            </w:r>
          </w:p>
        </w:tc>
        <w:tc>
          <w:tcPr>
            <w:tcW w:w="0" w:type="auto"/>
            <w:gridSpan w:val="2"/>
            <w:shd w:val="clear" w:color="auto" w:fill="CCEEFF"/>
            <w:tcMar>
              <w:top w:w="40" w:type="dxa"/>
              <w:left w:w="20" w:type="dxa"/>
              <w:bottom w:w="40" w:type="dxa"/>
              <w:right w:w="0" w:type="dxa"/>
            </w:tcMar>
            <w:vAlign w:val="center"/>
          </w:tcPr>
          <w:p w14:paraId="33DAC674" w14:textId="77777777" w:rsidR="004D6A64" w:rsidRDefault="00506CD6">
            <w:pPr>
              <w:jc w:val="right"/>
              <w:textAlignment w:val="center"/>
            </w:pPr>
            <w:r>
              <w:rPr>
                <w:rFonts w:ascii="Times New Roman" w:eastAsia="宋体" w:hAnsi="Times New Roman"/>
                <w:color w:val="000000"/>
                <w:sz w:val="20"/>
                <w:szCs w:val="20"/>
              </w:rPr>
              <w:t>1,267 </w:t>
            </w:r>
          </w:p>
        </w:tc>
        <w:tc>
          <w:tcPr>
            <w:tcW w:w="0" w:type="auto"/>
            <w:shd w:val="clear" w:color="auto" w:fill="CCEEFF"/>
            <w:tcMar>
              <w:top w:w="40" w:type="dxa"/>
              <w:bottom w:w="40" w:type="dxa"/>
              <w:right w:w="20" w:type="dxa"/>
            </w:tcMar>
            <w:vAlign w:val="center"/>
          </w:tcPr>
          <w:p w14:paraId="33DAC67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67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677" w14:textId="77777777" w:rsidR="004D6A64" w:rsidRDefault="00506CD6">
            <w:pPr>
              <w:jc w:val="right"/>
              <w:textAlignment w:val="center"/>
            </w:pPr>
            <w:r>
              <w:rPr>
                <w:rFonts w:ascii="Times New Roman" w:eastAsia="宋体" w:hAnsi="Times New Roman"/>
                <w:color w:val="000000"/>
                <w:sz w:val="20"/>
                <w:szCs w:val="20"/>
              </w:rPr>
              <w:t>(862)</w:t>
            </w:r>
          </w:p>
        </w:tc>
        <w:tc>
          <w:tcPr>
            <w:tcW w:w="0" w:type="auto"/>
            <w:shd w:val="clear" w:color="auto" w:fill="CCEEFF"/>
            <w:tcMar>
              <w:top w:w="40" w:type="dxa"/>
              <w:bottom w:w="40" w:type="dxa"/>
              <w:right w:w="20" w:type="dxa"/>
            </w:tcMar>
            <w:vAlign w:val="center"/>
          </w:tcPr>
          <w:p w14:paraId="33DAC67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67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67A" w14:textId="77777777" w:rsidR="004D6A64" w:rsidRDefault="00506CD6">
            <w:pPr>
              <w:jc w:val="right"/>
              <w:textAlignment w:val="center"/>
            </w:pPr>
            <w:r>
              <w:rPr>
                <w:rFonts w:ascii="Times New Roman" w:eastAsia="宋体" w:hAnsi="Times New Roman"/>
                <w:color w:val="000000"/>
                <w:sz w:val="20"/>
                <w:szCs w:val="20"/>
              </w:rPr>
              <w:t>405 </w:t>
            </w:r>
          </w:p>
        </w:tc>
        <w:tc>
          <w:tcPr>
            <w:tcW w:w="0" w:type="auto"/>
            <w:shd w:val="clear" w:color="auto" w:fill="CCEEFF"/>
            <w:tcMar>
              <w:top w:w="40" w:type="dxa"/>
              <w:bottom w:w="40" w:type="dxa"/>
              <w:right w:w="20" w:type="dxa"/>
            </w:tcMar>
            <w:vAlign w:val="center"/>
          </w:tcPr>
          <w:p w14:paraId="33DAC67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67C"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67D" w14:textId="77777777" w:rsidR="004D6A64" w:rsidRDefault="00506CD6">
            <w:pPr>
              <w:jc w:val="right"/>
              <w:textAlignment w:val="center"/>
            </w:pPr>
            <w:r>
              <w:rPr>
                <w:rFonts w:ascii="Times New Roman" w:eastAsia="宋体" w:hAnsi="Times New Roman"/>
                <w:color w:val="000000"/>
                <w:sz w:val="20"/>
                <w:szCs w:val="20"/>
              </w:rPr>
              <w:t>1,306 </w:t>
            </w:r>
          </w:p>
        </w:tc>
        <w:tc>
          <w:tcPr>
            <w:tcW w:w="0" w:type="auto"/>
            <w:shd w:val="clear" w:color="auto" w:fill="CCEEFF"/>
            <w:tcMar>
              <w:top w:w="40" w:type="dxa"/>
              <w:bottom w:w="40" w:type="dxa"/>
              <w:right w:w="20" w:type="dxa"/>
            </w:tcMar>
            <w:vAlign w:val="center"/>
          </w:tcPr>
          <w:p w14:paraId="33DAC67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67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680" w14:textId="77777777" w:rsidR="004D6A64" w:rsidRDefault="00506CD6">
            <w:pPr>
              <w:jc w:val="right"/>
              <w:textAlignment w:val="center"/>
            </w:pPr>
            <w:r>
              <w:rPr>
                <w:rFonts w:ascii="Times New Roman" w:eastAsia="宋体" w:hAnsi="Times New Roman"/>
                <w:color w:val="000000"/>
                <w:sz w:val="20"/>
                <w:szCs w:val="20"/>
              </w:rPr>
              <w:t>(816)</w:t>
            </w:r>
          </w:p>
        </w:tc>
        <w:tc>
          <w:tcPr>
            <w:tcW w:w="0" w:type="auto"/>
            <w:shd w:val="clear" w:color="auto" w:fill="CCEEFF"/>
            <w:tcMar>
              <w:top w:w="40" w:type="dxa"/>
              <w:bottom w:w="40" w:type="dxa"/>
              <w:right w:w="20" w:type="dxa"/>
            </w:tcMar>
            <w:vAlign w:val="center"/>
          </w:tcPr>
          <w:p w14:paraId="33DAC68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68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683" w14:textId="77777777" w:rsidR="004D6A64" w:rsidRDefault="00506CD6">
            <w:pPr>
              <w:jc w:val="right"/>
              <w:textAlignment w:val="center"/>
            </w:pPr>
            <w:r>
              <w:rPr>
                <w:rFonts w:ascii="Times New Roman" w:eastAsia="宋体" w:hAnsi="Times New Roman"/>
                <w:color w:val="000000"/>
                <w:sz w:val="20"/>
                <w:szCs w:val="20"/>
              </w:rPr>
              <w:t>490 </w:t>
            </w:r>
          </w:p>
        </w:tc>
        <w:tc>
          <w:tcPr>
            <w:tcW w:w="0" w:type="auto"/>
            <w:shd w:val="clear" w:color="auto" w:fill="CCEEFF"/>
            <w:tcMar>
              <w:top w:w="40" w:type="dxa"/>
              <w:bottom w:w="40" w:type="dxa"/>
              <w:right w:w="20" w:type="dxa"/>
            </w:tcMar>
            <w:vAlign w:val="center"/>
          </w:tcPr>
          <w:p w14:paraId="33DAC684" w14:textId="77777777" w:rsidR="004D6A64" w:rsidRDefault="004D6A64">
            <w:pPr>
              <w:jc w:val="right"/>
              <w:rPr>
                <w:rFonts w:ascii="宋体"/>
              </w:rPr>
            </w:pPr>
          </w:p>
        </w:tc>
        <w:tc>
          <w:tcPr>
            <w:tcW w:w="0" w:type="auto"/>
            <w:shd w:val="clear" w:color="auto" w:fill="auto"/>
          </w:tcPr>
          <w:p w14:paraId="33DAC685" w14:textId="77777777" w:rsidR="004D6A64" w:rsidRDefault="004D6A64">
            <w:pPr>
              <w:rPr>
                <w:rFonts w:ascii="宋体"/>
              </w:rPr>
            </w:pPr>
          </w:p>
        </w:tc>
        <w:tc>
          <w:tcPr>
            <w:tcW w:w="0" w:type="auto"/>
            <w:shd w:val="clear" w:color="auto" w:fill="auto"/>
          </w:tcPr>
          <w:p w14:paraId="33DAC686" w14:textId="77777777" w:rsidR="004D6A64" w:rsidRDefault="004D6A64">
            <w:pPr>
              <w:rPr>
                <w:rFonts w:ascii="宋体"/>
              </w:rPr>
            </w:pPr>
          </w:p>
        </w:tc>
        <w:tc>
          <w:tcPr>
            <w:tcW w:w="0" w:type="auto"/>
            <w:shd w:val="clear" w:color="auto" w:fill="auto"/>
          </w:tcPr>
          <w:p w14:paraId="33DAC687" w14:textId="77777777" w:rsidR="004D6A64" w:rsidRDefault="004D6A64">
            <w:pPr>
              <w:rPr>
                <w:rFonts w:ascii="宋体"/>
              </w:rPr>
            </w:pPr>
          </w:p>
        </w:tc>
        <w:tc>
          <w:tcPr>
            <w:tcW w:w="0" w:type="auto"/>
            <w:shd w:val="clear" w:color="auto" w:fill="auto"/>
          </w:tcPr>
          <w:p w14:paraId="33DAC688" w14:textId="77777777" w:rsidR="004D6A64" w:rsidRDefault="004D6A64">
            <w:pPr>
              <w:rPr>
                <w:rFonts w:ascii="宋体"/>
              </w:rPr>
            </w:pPr>
          </w:p>
        </w:tc>
        <w:tc>
          <w:tcPr>
            <w:tcW w:w="0" w:type="auto"/>
            <w:shd w:val="clear" w:color="auto" w:fill="auto"/>
          </w:tcPr>
          <w:p w14:paraId="33DAC689" w14:textId="77777777" w:rsidR="004D6A64" w:rsidRDefault="004D6A64">
            <w:pPr>
              <w:rPr>
                <w:rFonts w:ascii="宋体"/>
              </w:rPr>
            </w:pPr>
          </w:p>
        </w:tc>
        <w:tc>
          <w:tcPr>
            <w:tcW w:w="0" w:type="auto"/>
            <w:shd w:val="clear" w:color="auto" w:fill="auto"/>
          </w:tcPr>
          <w:p w14:paraId="33DAC68A" w14:textId="77777777" w:rsidR="004D6A64" w:rsidRDefault="004D6A64">
            <w:pPr>
              <w:rPr>
                <w:rFonts w:ascii="宋体"/>
              </w:rPr>
            </w:pPr>
          </w:p>
        </w:tc>
        <w:tc>
          <w:tcPr>
            <w:tcW w:w="0" w:type="auto"/>
            <w:shd w:val="clear" w:color="auto" w:fill="auto"/>
          </w:tcPr>
          <w:p w14:paraId="33DAC68B" w14:textId="77777777" w:rsidR="004D6A64" w:rsidRDefault="004D6A64">
            <w:pPr>
              <w:rPr>
                <w:rFonts w:ascii="宋体"/>
              </w:rPr>
            </w:pPr>
          </w:p>
        </w:tc>
        <w:tc>
          <w:tcPr>
            <w:tcW w:w="0" w:type="auto"/>
            <w:shd w:val="clear" w:color="auto" w:fill="auto"/>
          </w:tcPr>
          <w:p w14:paraId="33DAC68C" w14:textId="77777777" w:rsidR="004D6A64" w:rsidRDefault="004D6A64">
            <w:pPr>
              <w:rPr>
                <w:rFonts w:ascii="宋体"/>
              </w:rPr>
            </w:pPr>
          </w:p>
        </w:tc>
        <w:tc>
          <w:tcPr>
            <w:tcW w:w="0" w:type="auto"/>
            <w:shd w:val="clear" w:color="auto" w:fill="auto"/>
          </w:tcPr>
          <w:p w14:paraId="33DAC68D" w14:textId="77777777" w:rsidR="004D6A64" w:rsidRDefault="004D6A64">
            <w:pPr>
              <w:rPr>
                <w:rFonts w:ascii="宋体"/>
              </w:rPr>
            </w:pPr>
          </w:p>
        </w:tc>
        <w:tc>
          <w:tcPr>
            <w:tcW w:w="0" w:type="auto"/>
            <w:shd w:val="clear" w:color="auto" w:fill="auto"/>
          </w:tcPr>
          <w:p w14:paraId="33DAC68E" w14:textId="77777777" w:rsidR="004D6A64" w:rsidRDefault="004D6A64">
            <w:pPr>
              <w:rPr>
                <w:rFonts w:ascii="宋体"/>
              </w:rPr>
            </w:pPr>
          </w:p>
        </w:tc>
        <w:tc>
          <w:tcPr>
            <w:tcW w:w="0" w:type="auto"/>
            <w:shd w:val="clear" w:color="auto" w:fill="auto"/>
          </w:tcPr>
          <w:p w14:paraId="33DAC68F" w14:textId="77777777" w:rsidR="004D6A64" w:rsidRDefault="004D6A64">
            <w:pPr>
              <w:rPr>
                <w:rFonts w:ascii="宋体"/>
              </w:rPr>
            </w:pPr>
          </w:p>
        </w:tc>
        <w:tc>
          <w:tcPr>
            <w:tcW w:w="0" w:type="auto"/>
            <w:shd w:val="clear" w:color="auto" w:fill="auto"/>
          </w:tcPr>
          <w:p w14:paraId="33DAC690" w14:textId="77777777" w:rsidR="004D6A64" w:rsidRDefault="004D6A64">
            <w:pPr>
              <w:rPr>
                <w:rFonts w:ascii="宋体"/>
              </w:rPr>
            </w:pPr>
          </w:p>
        </w:tc>
        <w:tc>
          <w:tcPr>
            <w:tcW w:w="0" w:type="auto"/>
            <w:shd w:val="clear" w:color="auto" w:fill="auto"/>
          </w:tcPr>
          <w:p w14:paraId="33DAC691" w14:textId="77777777" w:rsidR="004D6A64" w:rsidRDefault="004D6A64">
            <w:pPr>
              <w:rPr>
                <w:rFonts w:ascii="宋体"/>
              </w:rPr>
            </w:pPr>
          </w:p>
        </w:tc>
        <w:tc>
          <w:tcPr>
            <w:tcW w:w="0" w:type="auto"/>
            <w:shd w:val="clear" w:color="auto" w:fill="auto"/>
          </w:tcPr>
          <w:p w14:paraId="33DAC692" w14:textId="77777777" w:rsidR="004D6A64" w:rsidRDefault="004D6A64">
            <w:pPr>
              <w:rPr>
                <w:rFonts w:ascii="宋体"/>
              </w:rPr>
            </w:pPr>
          </w:p>
        </w:tc>
        <w:tc>
          <w:tcPr>
            <w:tcW w:w="0" w:type="auto"/>
            <w:shd w:val="clear" w:color="auto" w:fill="auto"/>
          </w:tcPr>
          <w:p w14:paraId="33DAC693" w14:textId="77777777" w:rsidR="004D6A64" w:rsidRDefault="004D6A64">
            <w:pPr>
              <w:rPr>
                <w:rFonts w:ascii="宋体"/>
              </w:rPr>
            </w:pPr>
          </w:p>
        </w:tc>
        <w:tc>
          <w:tcPr>
            <w:tcW w:w="0" w:type="auto"/>
            <w:shd w:val="clear" w:color="auto" w:fill="auto"/>
          </w:tcPr>
          <w:p w14:paraId="33DAC694" w14:textId="77777777" w:rsidR="004D6A64" w:rsidRDefault="004D6A64">
            <w:pPr>
              <w:rPr>
                <w:rFonts w:ascii="宋体"/>
              </w:rPr>
            </w:pPr>
          </w:p>
        </w:tc>
        <w:tc>
          <w:tcPr>
            <w:tcW w:w="0" w:type="auto"/>
            <w:shd w:val="clear" w:color="auto" w:fill="auto"/>
          </w:tcPr>
          <w:p w14:paraId="33DAC695" w14:textId="77777777" w:rsidR="004D6A64" w:rsidRDefault="004D6A64">
            <w:pPr>
              <w:rPr>
                <w:rFonts w:ascii="宋体"/>
              </w:rPr>
            </w:pPr>
          </w:p>
        </w:tc>
        <w:tc>
          <w:tcPr>
            <w:tcW w:w="0" w:type="auto"/>
            <w:shd w:val="clear" w:color="auto" w:fill="auto"/>
          </w:tcPr>
          <w:p w14:paraId="33DAC696" w14:textId="77777777" w:rsidR="004D6A64" w:rsidRDefault="004D6A64">
            <w:pPr>
              <w:rPr>
                <w:rFonts w:ascii="宋体"/>
              </w:rPr>
            </w:pPr>
          </w:p>
        </w:tc>
        <w:tc>
          <w:tcPr>
            <w:tcW w:w="0" w:type="auto"/>
            <w:shd w:val="clear" w:color="auto" w:fill="auto"/>
          </w:tcPr>
          <w:p w14:paraId="33DAC697" w14:textId="77777777" w:rsidR="004D6A64" w:rsidRDefault="004D6A64">
            <w:pPr>
              <w:rPr>
                <w:rFonts w:ascii="宋体"/>
              </w:rPr>
            </w:pPr>
          </w:p>
        </w:tc>
        <w:tc>
          <w:tcPr>
            <w:tcW w:w="0" w:type="auto"/>
            <w:shd w:val="clear" w:color="auto" w:fill="auto"/>
          </w:tcPr>
          <w:p w14:paraId="33DAC698" w14:textId="77777777" w:rsidR="004D6A64" w:rsidRDefault="004D6A64">
            <w:pPr>
              <w:rPr>
                <w:rFonts w:ascii="宋体"/>
              </w:rPr>
            </w:pPr>
          </w:p>
        </w:tc>
        <w:tc>
          <w:tcPr>
            <w:tcW w:w="0" w:type="auto"/>
            <w:shd w:val="clear" w:color="auto" w:fill="auto"/>
          </w:tcPr>
          <w:p w14:paraId="33DAC699" w14:textId="77777777" w:rsidR="004D6A64" w:rsidRDefault="004D6A64">
            <w:pPr>
              <w:rPr>
                <w:rFonts w:ascii="宋体"/>
              </w:rPr>
            </w:pPr>
          </w:p>
        </w:tc>
        <w:tc>
          <w:tcPr>
            <w:tcW w:w="0" w:type="auto"/>
            <w:shd w:val="clear" w:color="auto" w:fill="auto"/>
          </w:tcPr>
          <w:p w14:paraId="33DAC69A" w14:textId="77777777" w:rsidR="004D6A64" w:rsidRDefault="004D6A64">
            <w:pPr>
              <w:rPr>
                <w:rFonts w:ascii="宋体"/>
              </w:rPr>
            </w:pPr>
          </w:p>
        </w:tc>
        <w:tc>
          <w:tcPr>
            <w:tcW w:w="0" w:type="auto"/>
            <w:shd w:val="clear" w:color="auto" w:fill="auto"/>
          </w:tcPr>
          <w:p w14:paraId="33DAC69B" w14:textId="77777777" w:rsidR="004D6A64" w:rsidRDefault="004D6A64">
            <w:pPr>
              <w:rPr>
                <w:rFonts w:ascii="宋体"/>
              </w:rPr>
            </w:pPr>
          </w:p>
        </w:tc>
        <w:tc>
          <w:tcPr>
            <w:tcW w:w="0" w:type="auto"/>
            <w:shd w:val="clear" w:color="auto" w:fill="auto"/>
          </w:tcPr>
          <w:p w14:paraId="33DAC69C" w14:textId="77777777" w:rsidR="004D6A64" w:rsidRDefault="004D6A64">
            <w:pPr>
              <w:rPr>
                <w:rFonts w:ascii="宋体"/>
              </w:rPr>
            </w:pPr>
          </w:p>
        </w:tc>
        <w:tc>
          <w:tcPr>
            <w:tcW w:w="0" w:type="auto"/>
            <w:shd w:val="clear" w:color="auto" w:fill="auto"/>
          </w:tcPr>
          <w:p w14:paraId="33DAC69D" w14:textId="77777777" w:rsidR="004D6A64" w:rsidRDefault="004D6A64">
            <w:pPr>
              <w:rPr>
                <w:rFonts w:ascii="宋体"/>
              </w:rPr>
            </w:pPr>
          </w:p>
        </w:tc>
        <w:tc>
          <w:tcPr>
            <w:tcW w:w="0" w:type="auto"/>
            <w:shd w:val="clear" w:color="auto" w:fill="auto"/>
          </w:tcPr>
          <w:p w14:paraId="33DAC69E" w14:textId="77777777" w:rsidR="004D6A64" w:rsidRDefault="004D6A64">
            <w:pPr>
              <w:rPr>
                <w:rFonts w:ascii="宋体"/>
              </w:rPr>
            </w:pPr>
          </w:p>
        </w:tc>
        <w:tc>
          <w:tcPr>
            <w:tcW w:w="0" w:type="auto"/>
            <w:shd w:val="clear" w:color="auto" w:fill="auto"/>
          </w:tcPr>
          <w:p w14:paraId="33DAC69F" w14:textId="77777777" w:rsidR="004D6A64" w:rsidRDefault="004D6A64">
            <w:pPr>
              <w:rPr>
                <w:rFonts w:ascii="宋体"/>
              </w:rPr>
            </w:pPr>
          </w:p>
        </w:tc>
      </w:tr>
      <w:tr w:rsidR="004D6A64" w14:paraId="33DAC6CE" w14:textId="77777777">
        <w:tc>
          <w:tcPr>
            <w:tcW w:w="0" w:type="auto"/>
            <w:gridSpan w:val="3"/>
            <w:shd w:val="clear" w:color="auto" w:fill="FFFFFF"/>
            <w:tcMar>
              <w:top w:w="40" w:type="dxa"/>
              <w:left w:w="135" w:type="dxa"/>
              <w:bottom w:w="40" w:type="dxa"/>
              <w:right w:w="20" w:type="dxa"/>
            </w:tcMar>
            <w:vAlign w:val="center"/>
          </w:tcPr>
          <w:p w14:paraId="33DAC6A1" w14:textId="77777777" w:rsidR="004D6A64" w:rsidRDefault="00506CD6">
            <w:pPr>
              <w:textAlignment w:val="center"/>
            </w:pPr>
            <w:r>
              <w:rPr>
                <w:rFonts w:ascii="Times New Roman" w:eastAsia="宋体" w:hAnsi="Times New Roman"/>
                <w:color w:val="000000"/>
                <w:sz w:val="20"/>
                <w:szCs w:val="20"/>
              </w:rPr>
              <w:t>Definite-lived intangible assets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C6A2" w14:textId="77777777" w:rsidR="004D6A64" w:rsidRDefault="00506CD6">
            <w:pPr>
              <w:jc w:val="right"/>
              <w:textAlignment w:val="center"/>
            </w:pPr>
            <w:r>
              <w:rPr>
                <w:rFonts w:ascii="Times New Roman" w:eastAsia="宋体" w:hAnsi="Times New Roman"/>
                <w:color w:val="000000"/>
                <w:sz w:val="20"/>
                <w:szCs w:val="20"/>
              </w:rPr>
              <w:t>39,110 </w:t>
            </w:r>
          </w:p>
        </w:tc>
        <w:tc>
          <w:tcPr>
            <w:tcW w:w="0" w:type="auto"/>
            <w:tcBorders>
              <w:top w:val="single" w:sz="8" w:space="0" w:color="000000"/>
            </w:tcBorders>
            <w:shd w:val="clear" w:color="auto" w:fill="FFFFFF"/>
            <w:tcMar>
              <w:top w:w="40" w:type="dxa"/>
              <w:bottom w:w="40" w:type="dxa"/>
              <w:right w:w="20" w:type="dxa"/>
            </w:tcMar>
            <w:vAlign w:val="center"/>
          </w:tcPr>
          <w:p w14:paraId="33DAC6A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6A4"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C6A5" w14:textId="77777777" w:rsidR="004D6A64" w:rsidRDefault="00506CD6">
            <w:pPr>
              <w:jc w:val="right"/>
              <w:textAlignment w:val="center"/>
            </w:pPr>
            <w:r>
              <w:rPr>
                <w:rFonts w:ascii="Times New Roman" w:eastAsia="宋体" w:hAnsi="Times New Roman"/>
                <w:color w:val="000000"/>
                <w:sz w:val="20"/>
                <w:szCs w:val="20"/>
              </w:rPr>
              <w:t>(26,801)</w:t>
            </w:r>
          </w:p>
        </w:tc>
        <w:tc>
          <w:tcPr>
            <w:tcW w:w="0" w:type="auto"/>
            <w:tcBorders>
              <w:top w:val="single" w:sz="8" w:space="0" w:color="000000"/>
            </w:tcBorders>
            <w:shd w:val="clear" w:color="auto" w:fill="FFFFFF"/>
            <w:tcMar>
              <w:top w:w="40" w:type="dxa"/>
              <w:bottom w:w="40" w:type="dxa"/>
              <w:right w:w="20" w:type="dxa"/>
            </w:tcMar>
            <w:vAlign w:val="center"/>
          </w:tcPr>
          <w:p w14:paraId="33DAC6A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6A7"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C6A8" w14:textId="77777777" w:rsidR="004D6A64" w:rsidRDefault="00506CD6">
            <w:pPr>
              <w:jc w:val="right"/>
              <w:textAlignment w:val="center"/>
            </w:pPr>
            <w:r>
              <w:rPr>
                <w:rFonts w:ascii="Times New Roman" w:eastAsia="宋体" w:hAnsi="Times New Roman"/>
                <w:color w:val="000000"/>
                <w:sz w:val="20"/>
                <w:szCs w:val="20"/>
              </w:rPr>
              <w:t>12,309 </w:t>
            </w:r>
          </w:p>
        </w:tc>
        <w:tc>
          <w:tcPr>
            <w:tcW w:w="0" w:type="auto"/>
            <w:tcBorders>
              <w:top w:val="single" w:sz="8" w:space="0" w:color="000000"/>
            </w:tcBorders>
            <w:shd w:val="clear" w:color="auto" w:fill="FFFFFF"/>
            <w:tcMar>
              <w:top w:w="40" w:type="dxa"/>
              <w:bottom w:w="40" w:type="dxa"/>
              <w:right w:w="20" w:type="dxa"/>
            </w:tcMar>
            <w:vAlign w:val="center"/>
          </w:tcPr>
          <w:p w14:paraId="33DAC6A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6AA"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C6AB" w14:textId="77777777" w:rsidR="004D6A64" w:rsidRDefault="00506CD6">
            <w:pPr>
              <w:jc w:val="right"/>
              <w:textAlignment w:val="center"/>
            </w:pPr>
            <w:r>
              <w:rPr>
                <w:rFonts w:ascii="Times New Roman" w:eastAsia="宋体" w:hAnsi="Times New Roman"/>
                <w:color w:val="000000"/>
                <w:sz w:val="20"/>
                <w:szCs w:val="20"/>
              </w:rPr>
              <w:t>39,963 </w:t>
            </w:r>
          </w:p>
        </w:tc>
        <w:tc>
          <w:tcPr>
            <w:tcW w:w="0" w:type="auto"/>
            <w:tcBorders>
              <w:top w:val="single" w:sz="8" w:space="0" w:color="000000"/>
            </w:tcBorders>
            <w:shd w:val="clear" w:color="auto" w:fill="FFFFFF"/>
            <w:tcMar>
              <w:top w:w="40" w:type="dxa"/>
              <w:bottom w:w="40" w:type="dxa"/>
              <w:right w:w="20" w:type="dxa"/>
            </w:tcMar>
            <w:vAlign w:val="center"/>
          </w:tcPr>
          <w:p w14:paraId="33DAC6A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6AD"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C6AE" w14:textId="77777777" w:rsidR="004D6A64" w:rsidRDefault="00506CD6">
            <w:pPr>
              <w:jc w:val="right"/>
              <w:textAlignment w:val="center"/>
            </w:pPr>
            <w:r>
              <w:rPr>
                <w:rFonts w:ascii="Times New Roman" w:eastAsia="宋体" w:hAnsi="Times New Roman"/>
                <w:color w:val="000000"/>
                <w:sz w:val="20"/>
                <w:szCs w:val="20"/>
              </w:rPr>
              <w:t>(25,611)</w:t>
            </w:r>
          </w:p>
        </w:tc>
        <w:tc>
          <w:tcPr>
            <w:tcW w:w="0" w:type="auto"/>
            <w:tcBorders>
              <w:top w:val="single" w:sz="8" w:space="0" w:color="000000"/>
            </w:tcBorders>
            <w:shd w:val="clear" w:color="auto" w:fill="FFFFFF"/>
            <w:tcMar>
              <w:top w:w="40" w:type="dxa"/>
              <w:bottom w:w="40" w:type="dxa"/>
              <w:right w:w="20" w:type="dxa"/>
            </w:tcMar>
            <w:vAlign w:val="center"/>
          </w:tcPr>
          <w:p w14:paraId="33DAC6A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6B0"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C6B1" w14:textId="77777777" w:rsidR="004D6A64" w:rsidRDefault="00506CD6">
            <w:pPr>
              <w:jc w:val="right"/>
              <w:textAlignment w:val="center"/>
            </w:pPr>
            <w:r>
              <w:rPr>
                <w:rFonts w:ascii="Times New Roman" w:eastAsia="宋体" w:hAnsi="Times New Roman"/>
                <w:color w:val="000000"/>
                <w:sz w:val="20"/>
                <w:szCs w:val="20"/>
              </w:rPr>
              <w:t>14,352 </w:t>
            </w:r>
          </w:p>
        </w:tc>
        <w:tc>
          <w:tcPr>
            <w:tcW w:w="0" w:type="auto"/>
            <w:tcBorders>
              <w:top w:val="single" w:sz="8" w:space="0" w:color="000000"/>
            </w:tcBorders>
            <w:shd w:val="clear" w:color="auto" w:fill="FFFFFF"/>
            <w:tcMar>
              <w:top w:w="40" w:type="dxa"/>
              <w:bottom w:w="40" w:type="dxa"/>
              <w:right w:w="20" w:type="dxa"/>
            </w:tcMar>
            <w:vAlign w:val="center"/>
          </w:tcPr>
          <w:p w14:paraId="33DAC6B2" w14:textId="77777777" w:rsidR="004D6A64" w:rsidRDefault="004D6A64">
            <w:pPr>
              <w:jc w:val="right"/>
              <w:rPr>
                <w:rFonts w:ascii="宋体"/>
              </w:rPr>
            </w:pPr>
          </w:p>
        </w:tc>
        <w:tc>
          <w:tcPr>
            <w:tcW w:w="0" w:type="auto"/>
            <w:shd w:val="clear" w:color="auto" w:fill="auto"/>
          </w:tcPr>
          <w:p w14:paraId="33DAC6B3" w14:textId="77777777" w:rsidR="004D6A64" w:rsidRDefault="004D6A64">
            <w:pPr>
              <w:rPr>
                <w:rFonts w:ascii="宋体"/>
              </w:rPr>
            </w:pPr>
          </w:p>
        </w:tc>
        <w:tc>
          <w:tcPr>
            <w:tcW w:w="0" w:type="auto"/>
            <w:shd w:val="clear" w:color="auto" w:fill="auto"/>
          </w:tcPr>
          <w:p w14:paraId="33DAC6B4" w14:textId="77777777" w:rsidR="004D6A64" w:rsidRDefault="004D6A64">
            <w:pPr>
              <w:rPr>
                <w:rFonts w:ascii="宋体"/>
              </w:rPr>
            </w:pPr>
          </w:p>
        </w:tc>
        <w:tc>
          <w:tcPr>
            <w:tcW w:w="0" w:type="auto"/>
            <w:shd w:val="clear" w:color="auto" w:fill="auto"/>
          </w:tcPr>
          <w:p w14:paraId="33DAC6B5" w14:textId="77777777" w:rsidR="004D6A64" w:rsidRDefault="004D6A64">
            <w:pPr>
              <w:rPr>
                <w:rFonts w:ascii="宋体"/>
              </w:rPr>
            </w:pPr>
          </w:p>
        </w:tc>
        <w:tc>
          <w:tcPr>
            <w:tcW w:w="0" w:type="auto"/>
            <w:shd w:val="clear" w:color="auto" w:fill="auto"/>
          </w:tcPr>
          <w:p w14:paraId="33DAC6B6" w14:textId="77777777" w:rsidR="004D6A64" w:rsidRDefault="004D6A64">
            <w:pPr>
              <w:rPr>
                <w:rFonts w:ascii="宋体"/>
              </w:rPr>
            </w:pPr>
          </w:p>
        </w:tc>
        <w:tc>
          <w:tcPr>
            <w:tcW w:w="0" w:type="auto"/>
            <w:shd w:val="clear" w:color="auto" w:fill="auto"/>
          </w:tcPr>
          <w:p w14:paraId="33DAC6B7" w14:textId="77777777" w:rsidR="004D6A64" w:rsidRDefault="004D6A64">
            <w:pPr>
              <w:rPr>
                <w:rFonts w:ascii="宋体"/>
              </w:rPr>
            </w:pPr>
          </w:p>
        </w:tc>
        <w:tc>
          <w:tcPr>
            <w:tcW w:w="0" w:type="auto"/>
            <w:shd w:val="clear" w:color="auto" w:fill="auto"/>
          </w:tcPr>
          <w:p w14:paraId="33DAC6B8" w14:textId="77777777" w:rsidR="004D6A64" w:rsidRDefault="004D6A64">
            <w:pPr>
              <w:rPr>
                <w:rFonts w:ascii="宋体"/>
              </w:rPr>
            </w:pPr>
          </w:p>
        </w:tc>
        <w:tc>
          <w:tcPr>
            <w:tcW w:w="0" w:type="auto"/>
            <w:shd w:val="clear" w:color="auto" w:fill="auto"/>
          </w:tcPr>
          <w:p w14:paraId="33DAC6B9" w14:textId="77777777" w:rsidR="004D6A64" w:rsidRDefault="004D6A64">
            <w:pPr>
              <w:rPr>
                <w:rFonts w:ascii="宋体"/>
              </w:rPr>
            </w:pPr>
          </w:p>
        </w:tc>
        <w:tc>
          <w:tcPr>
            <w:tcW w:w="0" w:type="auto"/>
            <w:shd w:val="clear" w:color="auto" w:fill="auto"/>
          </w:tcPr>
          <w:p w14:paraId="33DAC6BA" w14:textId="77777777" w:rsidR="004D6A64" w:rsidRDefault="004D6A64">
            <w:pPr>
              <w:rPr>
                <w:rFonts w:ascii="宋体"/>
              </w:rPr>
            </w:pPr>
          </w:p>
        </w:tc>
        <w:tc>
          <w:tcPr>
            <w:tcW w:w="0" w:type="auto"/>
            <w:shd w:val="clear" w:color="auto" w:fill="auto"/>
          </w:tcPr>
          <w:p w14:paraId="33DAC6BB" w14:textId="77777777" w:rsidR="004D6A64" w:rsidRDefault="004D6A64">
            <w:pPr>
              <w:rPr>
                <w:rFonts w:ascii="宋体"/>
              </w:rPr>
            </w:pPr>
          </w:p>
        </w:tc>
        <w:tc>
          <w:tcPr>
            <w:tcW w:w="0" w:type="auto"/>
            <w:shd w:val="clear" w:color="auto" w:fill="auto"/>
          </w:tcPr>
          <w:p w14:paraId="33DAC6BC" w14:textId="77777777" w:rsidR="004D6A64" w:rsidRDefault="004D6A64">
            <w:pPr>
              <w:rPr>
                <w:rFonts w:ascii="宋体"/>
              </w:rPr>
            </w:pPr>
          </w:p>
        </w:tc>
        <w:tc>
          <w:tcPr>
            <w:tcW w:w="0" w:type="auto"/>
            <w:shd w:val="clear" w:color="auto" w:fill="auto"/>
          </w:tcPr>
          <w:p w14:paraId="33DAC6BD" w14:textId="77777777" w:rsidR="004D6A64" w:rsidRDefault="004D6A64">
            <w:pPr>
              <w:rPr>
                <w:rFonts w:ascii="宋体"/>
              </w:rPr>
            </w:pPr>
          </w:p>
        </w:tc>
        <w:tc>
          <w:tcPr>
            <w:tcW w:w="0" w:type="auto"/>
            <w:shd w:val="clear" w:color="auto" w:fill="auto"/>
          </w:tcPr>
          <w:p w14:paraId="33DAC6BE" w14:textId="77777777" w:rsidR="004D6A64" w:rsidRDefault="004D6A64">
            <w:pPr>
              <w:rPr>
                <w:rFonts w:ascii="宋体"/>
              </w:rPr>
            </w:pPr>
          </w:p>
        </w:tc>
        <w:tc>
          <w:tcPr>
            <w:tcW w:w="0" w:type="auto"/>
            <w:shd w:val="clear" w:color="auto" w:fill="auto"/>
          </w:tcPr>
          <w:p w14:paraId="33DAC6BF" w14:textId="77777777" w:rsidR="004D6A64" w:rsidRDefault="004D6A64">
            <w:pPr>
              <w:rPr>
                <w:rFonts w:ascii="宋体"/>
              </w:rPr>
            </w:pPr>
          </w:p>
        </w:tc>
        <w:tc>
          <w:tcPr>
            <w:tcW w:w="0" w:type="auto"/>
            <w:shd w:val="clear" w:color="auto" w:fill="auto"/>
          </w:tcPr>
          <w:p w14:paraId="33DAC6C0" w14:textId="77777777" w:rsidR="004D6A64" w:rsidRDefault="004D6A64">
            <w:pPr>
              <w:rPr>
                <w:rFonts w:ascii="宋体"/>
              </w:rPr>
            </w:pPr>
          </w:p>
        </w:tc>
        <w:tc>
          <w:tcPr>
            <w:tcW w:w="0" w:type="auto"/>
            <w:shd w:val="clear" w:color="auto" w:fill="auto"/>
          </w:tcPr>
          <w:p w14:paraId="33DAC6C1" w14:textId="77777777" w:rsidR="004D6A64" w:rsidRDefault="004D6A64">
            <w:pPr>
              <w:rPr>
                <w:rFonts w:ascii="宋体"/>
              </w:rPr>
            </w:pPr>
          </w:p>
        </w:tc>
        <w:tc>
          <w:tcPr>
            <w:tcW w:w="0" w:type="auto"/>
            <w:shd w:val="clear" w:color="auto" w:fill="auto"/>
          </w:tcPr>
          <w:p w14:paraId="33DAC6C2" w14:textId="77777777" w:rsidR="004D6A64" w:rsidRDefault="004D6A64">
            <w:pPr>
              <w:rPr>
                <w:rFonts w:ascii="宋体"/>
              </w:rPr>
            </w:pPr>
          </w:p>
        </w:tc>
        <w:tc>
          <w:tcPr>
            <w:tcW w:w="0" w:type="auto"/>
            <w:shd w:val="clear" w:color="auto" w:fill="auto"/>
          </w:tcPr>
          <w:p w14:paraId="33DAC6C3" w14:textId="77777777" w:rsidR="004D6A64" w:rsidRDefault="004D6A64">
            <w:pPr>
              <w:rPr>
                <w:rFonts w:ascii="宋体"/>
              </w:rPr>
            </w:pPr>
          </w:p>
        </w:tc>
        <w:tc>
          <w:tcPr>
            <w:tcW w:w="0" w:type="auto"/>
            <w:shd w:val="clear" w:color="auto" w:fill="auto"/>
          </w:tcPr>
          <w:p w14:paraId="33DAC6C4" w14:textId="77777777" w:rsidR="004D6A64" w:rsidRDefault="004D6A64">
            <w:pPr>
              <w:rPr>
                <w:rFonts w:ascii="宋体"/>
              </w:rPr>
            </w:pPr>
          </w:p>
        </w:tc>
        <w:tc>
          <w:tcPr>
            <w:tcW w:w="0" w:type="auto"/>
            <w:shd w:val="clear" w:color="auto" w:fill="auto"/>
          </w:tcPr>
          <w:p w14:paraId="33DAC6C5" w14:textId="77777777" w:rsidR="004D6A64" w:rsidRDefault="004D6A64">
            <w:pPr>
              <w:rPr>
                <w:rFonts w:ascii="宋体"/>
              </w:rPr>
            </w:pPr>
          </w:p>
        </w:tc>
        <w:tc>
          <w:tcPr>
            <w:tcW w:w="0" w:type="auto"/>
            <w:shd w:val="clear" w:color="auto" w:fill="auto"/>
          </w:tcPr>
          <w:p w14:paraId="33DAC6C6" w14:textId="77777777" w:rsidR="004D6A64" w:rsidRDefault="004D6A64">
            <w:pPr>
              <w:rPr>
                <w:rFonts w:ascii="宋体"/>
              </w:rPr>
            </w:pPr>
          </w:p>
        </w:tc>
        <w:tc>
          <w:tcPr>
            <w:tcW w:w="0" w:type="auto"/>
            <w:shd w:val="clear" w:color="auto" w:fill="auto"/>
          </w:tcPr>
          <w:p w14:paraId="33DAC6C7" w14:textId="77777777" w:rsidR="004D6A64" w:rsidRDefault="004D6A64">
            <w:pPr>
              <w:rPr>
                <w:rFonts w:ascii="宋体"/>
              </w:rPr>
            </w:pPr>
          </w:p>
        </w:tc>
        <w:tc>
          <w:tcPr>
            <w:tcW w:w="0" w:type="auto"/>
            <w:shd w:val="clear" w:color="auto" w:fill="auto"/>
          </w:tcPr>
          <w:p w14:paraId="33DAC6C8" w14:textId="77777777" w:rsidR="004D6A64" w:rsidRDefault="004D6A64">
            <w:pPr>
              <w:rPr>
                <w:rFonts w:ascii="宋体"/>
              </w:rPr>
            </w:pPr>
          </w:p>
        </w:tc>
        <w:tc>
          <w:tcPr>
            <w:tcW w:w="0" w:type="auto"/>
            <w:shd w:val="clear" w:color="auto" w:fill="auto"/>
          </w:tcPr>
          <w:p w14:paraId="33DAC6C9" w14:textId="77777777" w:rsidR="004D6A64" w:rsidRDefault="004D6A64">
            <w:pPr>
              <w:rPr>
                <w:rFonts w:ascii="宋体"/>
              </w:rPr>
            </w:pPr>
          </w:p>
        </w:tc>
        <w:tc>
          <w:tcPr>
            <w:tcW w:w="0" w:type="auto"/>
            <w:shd w:val="clear" w:color="auto" w:fill="auto"/>
          </w:tcPr>
          <w:p w14:paraId="33DAC6CA" w14:textId="77777777" w:rsidR="004D6A64" w:rsidRDefault="004D6A64">
            <w:pPr>
              <w:rPr>
                <w:rFonts w:ascii="宋体"/>
              </w:rPr>
            </w:pPr>
          </w:p>
        </w:tc>
        <w:tc>
          <w:tcPr>
            <w:tcW w:w="0" w:type="auto"/>
            <w:shd w:val="clear" w:color="auto" w:fill="auto"/>
          </w:tcPr>
          <w:p w14:paraId="33DAC6CB" w14:textId="77777777" w:rsidR="004D6A64" w:rsidRDefault="004D6A64">
            <w:pPr>
              <w:rPr>
                <w:rFonts w:ascii="宋体"/>
              </w:rPr>
            </w:pPr>
          </w:p>
        </w:tc>
        <w:tc>
          <w:tcPr>
            <w:tcW w:w="0" w:type="auto"/>
            <w:shd w:val="clear" w:color="auto" w:fill="auto"/>
          </w:tcPr>
          <w:p w14:paraId="33DAC6CC" w14:textId="77777777" w:rsidR="004D6A64" w:rsidRDefault="004D6A64">
            <w:pPr>
              <w:rPr>
                <w:rFonts w:ascii="宋体"/>
              </w:rPr>
            </w:pPr>
          </w:p>
        </w:tc>
        <w:tc>
          <w:tcPr>
            <w:tcW w:w="0" w:type="auto"/>
            <w:shd w:val="clear" w:color="auto" w:fill="auto"/>
          </w:tcPr>
          <w:p w14:paraId="33DAC6CD" w14:textId="77777777" w:rsidR="004D6A64" w:rsidRDefault="004D6A64">
            <w:pPr>
              <w:rPr>
                <w:rFonts w:ascii="宋体"/>
              </w:rPr>
            </w:pPr>
          </w:p>
        </w:tc>
      </w:tr>
      <w:tr w:rsidR="004D6A64" w14:paraId="33DAC6FC" w14:textId="77777777">
        <w:tc>
          <w:tcPr>
            <w:tcW w:w="0" w:type="auto"/>
            <w:gridSpan w:val="3"/>
            <w:shd w:val="clear" w:color="auto" w:fill="CCEEFF"/>
            <w:tcMar>
              <w:top w:w="40" w:type="dxa"/>
              <w:left w:w="20" w:type="dxa"/>
              <w:bottom w:w="40" w:type="dxa"/>
              <w:right w:w="20" w:type="dxa"/>
            </w:tcMar>
            <w:vAlign w:val="center"/>
          </w:tcPr>
          <w:p w14:paraId="33DAC6CF" w14:textId="77777777" w:rsidR="004D6A64" w:rsidRDefault="00506CD6">
            <w:pPr>
              <w:textAlignment w:val="center"/>
            </w:pPr>
            <w:r>
              <w:rPr>
                <w:rFonts w:ascii="Times New Roman" w:eastAsia="宋体" w:hAnsi="Times New Roman"/>
                <w:color w:val="000000"/>
                <w:sz w:val="20"/>
                <w:szCs w:val="20"/>
              </w:rPr>
              <w:t>Indefinite-lived trade names</w:t>
            </w:r>
          </w:p>
        </w:tc>
        <w:tc>
          <w:tcPr>
            <w:tcW w:w="0" w:type="auto"/>
            <w:gridSpan w:val="2"/>
            <w:shd w:val="clear" w:color="auto" w:fill="CCEEFF"/>
            <w:tcMar>
              <w:top w:w="40" w:type="dxa"/>
              <w:left w:w="20" w:type="dxa"/>
              <w:bottom w:w="40" w:type="dxa"/>
              <w:right w:w="0" w:type="dxa"/>
            </w:tcMar>
            <w:vAlign w:val="center"/>
          </w:tcPr>
          <w:p w14:paraId="33DAC6D0" w14:textId="77777777" w:rsidR="004D6A64" w:rsidRDefault="00506CD6">
            <w:pPr>
              <w:jc w:val="right"/>
              <w:textAlignment w:val="center"/>
            </w:pPr>
            <w:r>
              <w:rPr>
                <w:rFonts w:ascii="Times New Roman" w:eastAsia="宋体" w:hAnsi="Times New Roman"/>
                <w:color w:val="000000"/>
                <w:sz w:val="20"/>
                <w:szCs w:val="20"/>
              </w:rPr>
              <w:t>3,755 </w:t>
            </w:r>
          </w:p>
        </w:tc>
        <w:tc>
          <w:tcPr>
            <w:tcW w:w="0" w:type="auto"/>
            <w:shd w:val="clear" w:color="auto" w:fill="CCEEFF"/>
            <w:tcMar>
              <w:top w:w="40" w:type="dxa"/>
              <w:bottom w:w="40" w:type="dxa"/>
              <w:right w:w="20" w:type="dxa"/>
            </w:tcMar>
            <w:vAlign w:val="center"/>
          </w:tcPr>
          <w:p w14:paraId="33DAC6D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6D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6D3"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C6D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6D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6D6" w14:textId="77777777" w:rsidR="004D6A64" w:rsidRDefault="00506CD6">
            <w:pPr>
              <w:jc w:val="right"/>
              <w:textAlignment w:val="center"/>
            </w:pPr>
            <w:r>
              <w:rPr>
                <w:rFonts w:ascii="Times New Roman" w:eastAsia="宋体" w:hAnsi="Times New Roman"/>
                <w:color w:val="000000"/>
                <w:sz w:val="20"/>
                <w:szCs w:val="20"/>
              </w:rPr>
              <w:t>3,755 </w:t>
            </w:r>
          </w:p>
        </w:tc>
        <w:tc>
          <w:tcPr>
            <w:tcW w:w="0" w:type="auto"/>
            <w:shd w:val="clear" w:color="auto" w:fill="CCEEFF"/>
            <w:tcMar>
              <w:top w:w="40" w:type="dxa"/>
              <w:bottom w:w="40" w:type="dxa"/>
              <w:right w:w="20" w:type="dxa"/>
            </w:tcMar>
            <w:vAlign w:val="center"/>
          </w:tcPr>
          <w:p w14:paraId="33DAC6D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6D8"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6D9" w14:textId="77777777" w:rsidR="004D6A64" w:rsidRDefault="00506CD6">
            <w:pPr>
              <w:jc w:val="right"/>
              <w:textAlignment w:val="center"/>
            </w:pPr>
            <w:r>
              <w:rPr>
                <w:rFonts w:ascii="Times New Roman" w:eastAsia="宋体" w:hAnsi="Times New Roman"/>
                <w:color w:val="000000"/>
                <w:sz w:val="20"/>
                <w:szCs w:val="20"/>
              </w:rPr>
              <w:t>3,755 </w:t>
            </w:r>
          </w:p>
        </w:tc>
        <w:tc>
          <w:tcPr>
            <w:tcW w:w="0" w:type="auto"/>
            <w:shd w:val="clear" w:color="auto" w:fill="CCEEFF"/>
            <w:tcMar>
              <w:top w:w="40" w:type="dxa"/>
              <w:bottom w:w="40" w:type="dxa"/>
              <w:right w:w="20" w:type="dxa"/>
            </w:tcMar>
            <w:vAlign w:val="center"/>
          </w:tcPr>
          <w:p w14:paraId="33DAC6D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6DB"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6DC"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C6D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6D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6DF" w14:textId="77777777" w:rsidR="004D6A64" w:rsidRDefault="00506CD6">
            <w:pPr>
              <w:jc w:val="right"/>
              <w:textAlignment w:val="center"/>
            </w:pPr>
            <w:r>
              <w:rPr>
                <w:rFonts w:ascii="Times New Roman" w:eastAsia="宋体" w:hAnsi="Times New Roman"/>
                <w:color w:val="000000"/>
                <w:sz w:val="20"/>
                <w:szCs w:val="20"/>
              </w:rPr>
              <w:t>3,755 </w:t>
            </w:r>
          </w:p>
        </w:tc>
        <w:tc>
          <w:tcPr>
            <w:tcW w:w="0" w:type="auto"/>
            <w:shd w:val="clear" w:color="auto" w:fill="CCEEFF"/>
            <w:tcMar>
              <w:top w:w="40" w:type="dxa"/>
              <w:bottom w:w="40" w:type="dxa"/>
              <w:right w:w="20" w:type="dxa"/>
            </w:tcMar>
            <w:vAlign w:val="center"/>
          </w:tcPr>
          <w:p w14:paraId="33DAC6E0" w14:textId="77777777" w:rsidR="004D6A64" w:rsidRDefault="004D6A64">
            <w:pPr>
              <w:jc w:val="right"/>
              <w:rPr>
                <w:rFonts w:ascii="宋体"/>
              </w:rPr>
            </w:pPr>
          </w:p>
        </w:tc>
        <w:tc>
          <w:tcPr>
            <w:tcW w:w="0" w:type="auto"/>
            <w:shd w:val="clear" w:color="auto" w:fill="auto"/>
          </w:tcPr>
          <w:p w14:paraId="33DAC6E1" w14:textId="77777777" w:rsidR="004D6A64" w:rsidRDefault="004D6A64">
            <w:pPr>
              <w:rPr>
                <w:rFonts w:ascii="宋体"/>
              </w:rPr>
            </w:pPr>
          </w:p>
        </w:tc>
        <w:tc>
          <w:tcPr>
            <w:tcW w:w="0" w:type="auto"/>
            <w:shd w:val="clear" w:color="auto" w:fill="auto"/>
          </w:tcPr>
          <w:p w14:paraId="33DAC6E2" w14:textId="77777777" w:rsidR="004D6A64" w:rsidRDefault="004D6A64">
            <w:pPr>
              <w:rPr>
                <w:rFonts w:ascii="宋体"/>
              </w:rPr>
            </w:pPr>
          </w:p>
        </w:tc>
        <w:tc>
          <w:tcPr>
            <w:tcW w:w="0" w:type="auto"/>
            <w:shd w:val="clear" w:color="auto" w:fill="auto"/>
          </w:tcPr>
          <w:p w14:paraId="33DAC6E3" w14:textId="77777777" w:rsidR="004D6A64" w:rsidRDefault="004D6A64">
            <w:pPr>
              <w:rPr>
                <w:rFonts w:ascii="宋体"/>
              </w:rPr>
            </w:pPr>
          </w:p>
        </w:tc>
        <w:tc>
          <w:tcPr>
            <w:tcW w:w="0" w:type="auto"/>
            <w:shd w:val="clear" w:color="auto" w:fill="auto"/>
          </w:tcPr>
          <w:p w14:paraId="33DAC6E4" w14:textId="77777777" w:rsidR="004D6A64" w:rsidRDefault="004D6A64">
            <w:pPr>
              <w:rPr>
                <w:rFonts w:ascii="宋体"/>
              </w:rPr>
            </w:pPr>
          </w:p>
        </w:tc>
        <w:tc>
          <w:tcPr>
            <w:tcW w:w="0" w:type="auto"/>
            <w:shd w:val="clear" w:color="auto" w:fill="auto"/>
          </w:tcPr>
          <w:p w14:paraId="33DAC6E5" w14:textId="77777777" w:rsidR="004D6A64" w:rsidRDefault="004D6A64">
            <w:pPr>
              <w:rPr>
                <w:rFonts w:ascii="宋体"/>
              </w:rPr>
            </w:pPr>
          </w:p>
        </w:tc>
        <w:tc>
          <w:tcPr>
            <w:tcW w:w="0" w:type="auto"/>
            <w:shd w:val="clear" w:color="auto" w:fill="auto"/>
          </w:tcPr>
          <w:p w14:paraId="33DAC6E6" w14:textId="77777777" w:rsidR="004D6A64" w:rsidRDefault="004D6A64">
            <w:pPr>
              <w:rPr>
                <w:rFonts w:ascii="宋体"/>
              </w:rPr>
            </w:pPr>
          </w:p>
        </w:tc>
        <w:tc>
          <w:tcPr>
            <w:tcW w:w="0" w:type="auto"/>
            <w:shd w:val="clear" w:color="auto" w:fill="auto"/>
          </w:tcPr>
          <w:p w14:paraId="33DAC6E7" w14:textId="77777777" w:rsidR="004D6A64" w:rsidRDefault="004D6A64">
            <w:pPr>
              <w:rPr>
                <w:rFonts w:ascii="宋体"/>
              </w:rPr>
            </w:pPr>
          </w:p>
        </w:tc>
        <w:tc>
          <w:tcPr>
            <w:tcW w:w="0" w:type="auto"/>
            <w:shd w:val="clear" w:color="auto" w:fill="auto"/>
          </w:tcPr>
          <w:p w14:paraId="33DAC6E8" w14:textId="77777777" w:rsidR="004D6A64" w:rsidRDefault="004D6A64">
            <w:pPr>
              <w:rPr>
                <w:rFonts w:ascii="宋体"/>
              </w:rPr>
            </w:pPr>
          </w:p>
        </w:tc>
        <w:tc>
          <w:tcPr>
            <w:tcW w:w="0" w:type="auto"/>
            <w:shd w:val="clear" w:color="auto" w:fill="auto"/>
          </w:tcPr>
          <w:p w14:paraId="33DAC6E9" w14:textId="77777777" w:rsidR="004D6A64" w:rsidRDefault="004D6A64">
            <w:pPr>
              <w:rPr>
                <w:rFonts w:ascii="宋体"/>
              </w:rPr>
            </w:pPr>
          </w:p>
        </w:tc>
        <w:tc>
          <w:tcPr>
            <w:tcW w:w="0" w:type="auto"/>
            <w:shd w:val="clear" w:color="auto" w:fill="auto"/>
          </w:tcPr>
          <w:p w14:paraId="33DAC6EA" w14:textId="77777777" w:rsidR="004D6A64" w:rsidRDefault="004D6A64">
            <w:pPr>
              <w:rPr>
                <w:rFonts w:ascii="宋体"/>
              </w:rPr>
            </w:pPr>
          </w:p>
        </w:tc>
        <w:tc>
          <w:tcPr>
            <w:tcW w:w="0" w:type="auto"/>
            <w:shd w:val="clear" w:color="auto" w:fill="auto"/>
          </w:tcPr>
          <w:p w14:paraId="33DAC6EB" w14:textId="77777777" w:rsidR="004D6A64" w:rsidRDefault="004D6A64">
            <w:pPr>
              <w:rPr>
                <w:rFonts w:ascii="宋体"/>
              </w:rPr>
            </w:pPr>
          </w:p>
        </w:tc>
        <w:tc>
          <w:tcPr>
            <w:tcW w:w="0" w:type="auto"/>
            <w:shd w:val="clear" w:color="auto" w:fill="auto"/>
          </w:tcPr>
          <w:p w14:paraId="33DAC6EC" w14:textId="77777777" w:rsidR="004D6A64" w:rsidRDefault="004D6A64">
            <w:pPr>
              <w:rPr>
                <w:rFonts w:ascii="宋体"/>
              </w:rPr>
            </w:pPr>
          </w:p>
        </w:tc>
        <w:tc>
          <w:tcPr>
            <w:tcW w:w="0" w:type="auto"/>
            <w:shd w:val="clear" w:color="auto" w:fill="auto"/>
          </w:tcPr>
          <w:p w14:paraId="33DAC6ED" w14:textId="77777777" w:rsidR="004D6A64" w:rsidRDefault="004D6A64">
            <w:pPr>
              <w:rPr>
                <w:rFonts w:ascii="宋体"/>
              </w:rPr>
            </w:pPr>
          </w:p>
        </w:tc>
        <w:tc>
          <w:tcPr>
            <w:tcW w:w="0" w:type="auto"/>
            <w:shd w:val="clear" w:color="auto" w:fill="auto"/>
          </w:tcPr>
          <w:p w14:paraId="33DAC6EE" w14:textId="77777777" w:rsidR="004D6A64" w:rsidRDefault="004D6A64">
            <w:pPr>
              <w:rPr>
                <w:rFonts w:ascii="宋体"/>
              </w:rPr>
            </w:pPr>
          </w:p>
        </w:tc>
        <w:tc>
          <w:tcPr>
            <w:tcW w:w="0" w:type="auto"/>
            <w:shd w:val="clear" w:color="auto" w:fill="auto"/>
          </w:tcPr>
          <w:p w14:paraId="33DAC6EF" w14:textId="77777777" w:rsidR="004D6A64" w:rsidRDefault="004D6A64">
            <w:pPr>
              <w:rPr>
                <w:rFonts w:ascii="宋体"/>
              </w:rPr>
            </w:pPr>
          </w:p>
        </w:tc>
        <w:tc>
          <w:tcPr>
            <w:tcW w:w="0" w:type="auto"/>
            <w:shd w:val="clear" w:color="auto" w:fill="auto"/>
          </w:tcPr>
          <w:p w14:paraId="33DAC6F0" w14:textId="77777777" w:rsidR="004D6A64" w:rsidRDefault="004D6A64">
            <w:pPr>
              <w:rPr>
                <w:rFonts w:ascii="宋体"/>
              </w:rPr>
            </w:pPr>
          </w:p>
        </w:tc>
        <w:tc>
          <w:tcPr>
            <w:tcW w:w="0" w:type="auto"/>
            <w:shd w:val="clear" w:color="auto" w:fill="auto"/>
          </w:tcPr>
          <w:p w14:paraId="33DAC6F1" w14:textId="77777777" w:rsidR="004D6A64" w:rsidRDefault="004D6A64">
            <w:pPr>
              <w:rPr>
                <w:rFonts w:ascii="宋体"/>
              </w:rPr>
            </w:pPr>
          </w:p>
        </w:tc>
        <w:tc>
          <w:tcPr>
            <w:tcW w:w="0" w:type="auto"/>
            <w:shd w:val="clear" w:color="auto" w:fill="auto"/>
          </w:tcPr>
          <w:p w14:paraId="33DAC6F2" w14:textId="77777777" w:rsidR="004D6A64" w:rsidRDefault="004D6A64">
            <w:pPr>
              <w:rPr>
                <w:rFonts w:ascii="宋体"/>
              </w:rPr>
            </w:pPr>
          </w:p>
        </w:tc>
        <w:tc>
          <w:tcPr>
            <w:tcW w:w="0" w:type="auto"/>
            <w:shd w:val="clear" w:color="auto" w:fill="auto"/>
          </w:tcPr>
          <w:p w14:paraId="33DAC6F3" w14:textId="77777777" w:rsidR="004D6A64" w:rsidRDefault="004D6A64">
            <w:pPr>
              <w:rPr>
                <w:rFonts w:ascii="宋体"/>
              </w:rPr>
            </w:pPr>
          </w:p>
        </w:tc>
        <w:tc>
          <w:tcPr>
            <w:tcW w:w="0" w:type="auto"/>
            <w:shd w:val="clear" w:color="auto" w:fill="auto"/>
          </w:tcPr>
          <w:p w14:paraId="33DAC6F4" w14:textId="77777777" w:rsidR="004D6A64" w:rsidRDefault="004D6A64">
            <w:pPr>
              <w:rPr>
                <w:rFonts w:ascii="宋体"/>
              </w:rPr>
            </w:pPr>
          </w:p>
        </w:tc>
        <w:tc>
          <w:tcPr>
            <w:tcW w:w="0" w:type="auto"/>
            <w:shd w:val="clear" w:color="auto" w:fill="auto"/>
          </w:tcPr>
          <w:p w14:paraId="33DAC6F5" w14:textId="77777777" w:rsidR="004D6A64" w:rsidRDefault="004D6A64">
            <w:pPr>
              <w:rPr>
                <w:rFonts w:ascii="宋体"/>
              </w:rPr>
            </w:pPr>
          </w:p>
        </w:tc>
        <w:tc>
          <w:tcPr>
            <w:tcW w:w="0" w:type="auto"/>
            <w:shd w:val="clear" w:color="auto" w:fill="auto"/>
          </w:tcPr>
          <w:p w14:paraId="33DAC6F6" w14:textId="77777777" w:rsidR="004D6A64" w:rsidRDefault="004D6A64">
            <w:pPr>
              <w:rPr>
                <w:rFonts w:ascii="宋体"/>
              </w:rPr>
            </w:pPr>
          </w:p>
        </w:tc>
        <w:tc>
          <w:tcPr>
            <w:tcW w:w="0" w:type="auto"/>
            <w:shd w:val="clear" w:color="auto" w:fill="auto"/>
          </w:tcPr>
          <w:p w14:paraId="33DAC6F7" w14:textId="77777777" w:rsidR="004D6A64" w:rsidRDefault="004D6A64">
            <w:pPr>
              <w:rPr>
                <w:rFonts w:ascii="宋体"/>
              </w:rPr>
            </w:pPr>
          </w:p>
        </w:tc>
        <w:tc>
          <w:tcPr>
            <w:tcW w:w="0" w:type="auto"/>
            <w:shd w:val="clear" w:color="auto" w:fill="auto"/>
          </w:tcPr>
          <w:p w14:paraId="33DAC6F8" w14:textId="77777777" w:rsidR="004D6A64" w:rsidRDefault="004D6A64">
            <w:pPr>
              <w:rPr>
                <w:rFonts w:ascii="宋体"/>
              </w:rPr>
            </w:pPr>
          </w:p>
        </w:tc>
        <w:tc>
          <w:tcPr>
            <w:tcW w:w="0" w:type="auto"/>
            <w:shd w:val="clear" w:color="auto" w:fill="auto"/>
          </w:tcPr>
          <w:p w14:paraId="33DAC6F9" w14:textId="77777777" w:rsidR="004D6A64" w:rsidRDefault="004D6A64">
            <w:pPr>
              <w:rPr>
                <w:rFonts w:ascii="宋体"/>
              </w:rPr>
            </w:pPr>
          </w:p>
        </w:tc>
        <w:tc>
          <w:tcPr>
            <w:tcW w:w="0" w:type="auto"/>
            <w:shd w:val="clear" w:color="auto" w:fill="auto"/>
          </w:tcPr>
          <w:p w14:paraId="33DAC6FA" w14:textId="77777777" w:rsidR="004D6A64" w:rsidRDefault="004D6A64">
            <w:pPr>
              <w:rPr>
                <w:rFonts w:ascii="宋体"/>
              </w:rPr>
            </w:pPr>
          </w:p>
        </w:tc>
        <w:tc>
          <w:tcPr>
            <w:tcW w:w="0" w:type="auto"/>
            <w:shd w:val="clear" w:color="auto" w:fill="auto"/>
          </w:tcPr>
          <w:p w14:paraId="33DAC6FB" w14:textId="77777777" w:rsidR="004D6A64" w:rsidRDefault="004D6A64">
            <w:pPr>
              <w:rPr>
                <w:rFonts w:ascii="宋体"/>
              </w:rPr>
            </w:pPr>
          </w:p>
        </w:tc>
      </w:tr>
      <w:tr w:rsidR="004D6A64" w14:paraId="33DAC730" w14:textId="77777777">
        <w:tc>
          <w:tcPr>
            <w:tcW w:w="0" w:type="auto"/>
            <w:gridSpan w:val="3"/>
            <w:shd w:val="clear" w:color="auto" w:fill="FFFFFF"/>
            <w:tcMar>
              <w:top w:w="40" w:type="dxa"/>
              <w:left w:w="225" w:type="dxa"/>
              <w:bottom w:w="40" w:type="dxa"/>
              <w:right w:w="20" w:type="dxa"/>
            </w:tcMar>
            <w:vAlign w:val="center"/>
          </w:tcPr>
          <w:p w14:paraId="33DAC6FD" w14:textId="77777777" w:rsidR="004D6A64" w:rsidRDefault="00506CD6">
            <w:pPr>
              <w:textAlignment w:val="center"/>
            </w:pPr>
            <w:r>
              <w:rPr>
                <w:rFonts w:ascii="Times New Roman" w:eastAsia="宋体" w:hAnsi="Times New Roman"/>
                <w:color w:val="000000"/>
                <w:sz w:val="20"/>
                <w:szCs w:val="20"/>
              </w:rPr>
              <w:t>Total intangible assets</w:t>
            </w: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C6FE"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C6FF" w14:textId="77777777" w:rsidR="004D6A64" w:rsidRDefault="00506CD6">
            <w:pPr>
              <w:jc w:val="right"/>
              <w:textAlignment w:val="center"/>
            </w:pPr>
            <w:r>
              <w:rPr>
                <w:rFonts w:ascii="Times New Roman" w:eastAsia="宋体" w:hAnsi="Times New Roman"/>
                <w:color w:val="000000"/>
                <w:sz w:val="20"/>
                <w:szCs w:val="20"/>
              </w:rPr>
              <w:t>42,865 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C70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701"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C702"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C703" w14:textId="77777777" w:rsidR="004D6A64" w:rsidRDefault="00506CD6">
            <w:pPr>
              <w:jc w:val="right"/>
              <w:textAlignment w:val="center"/>
            </w:pPr>
            <w:r>
              <w:rPr>
                <w:rFonts w:ascii="Times New Roman" w:eastAsia="宋体" w:hAnsi="Times New Roman"/>
                <w:color w:val="000000"/>
                <w:sz w:val="20"/>
                <w:szCs w:val="20"/>
              </w:rPr>
              <w:t>(26,801)</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C70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705"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C706"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C707" w14:textId="77777777" w:rsidR="004D6A64" w:rsidRDefault="00506CD6">
            <w:pPr>
              <w:jc w:val="right"/>
              <w:textAlignment w:val="center"/>
            </w:pPr>
            <w:r>
              <w:rPr>
                <w:rFonts w:ascii="Times New Roman" w:eastAsia="宋体" w:hAnsi="Times New Roman"/>
                <w:color w:val="000000"/>
                <w:sz w:val="20"/>
                <w:szCs w:val="20"/>
              </w:rPr>
              <w:t>16,064 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C70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709"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C70A"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C70B" w14:textId="77777777" w:rsidR="004D6A64" w:rsidRDefault="00506CD6">
            <w:pPr>
              <w:jc w:val="right"/>
              <w:textAlignment w:val="center"/>
            </w:pPr>
            <w:r>
              <w:rPr>
                <w:rFonts w:ascii="Times New Roman" w:eastAsia="宋体" w:hAnsi="Times New Roman"/>
                <w:color w:val="000000"/>
                <w:sz w:val="20"/>
                <w:szCs w:val="20"/>
              </w:rPr>
              <w:t>43,718 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C70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70D"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C70E"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C70F" w14:textId="77777777" w:rsidR="004D6A64" w:rsidRDefault="00506CD6">
            <w:pPr>
              <w:jc w:val="right"/>
              <w:textAlignment w:val="center"/>
            </w:pPr>
            <w:r>
              <w:rPr>
                <w:rFonts w:ascii="Times New Roman" w:eastAsia="宋体" w:hAnsi="Times New Roman"/>
                <w:color w:val="000000"/>
                <w:sz w:val="20"/>
                <w:szCs w:val="20"/>
              </w:rPr>
              <w:t>(25,611)</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C71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711"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C712"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C713" w14:textId="77777777" w:rsidR="004D6A64" w:rsidRDefault="00506CD6">
            <w:pPr>
              <w:jc w:val="right"/>
              <w:textAlignment w:val="center"/>
            </w:pPr>
            <w:r>
              <w:rPr>
                <w:rFonts w:ascii="Times New Roman" w:eastAsia="宋体" w:hAnsi="Times New Roman"/>
                <w:color w:val="000000"/>
                <w:sz w:val="20"/>
                <w:szCs w:val="20"/>
              </w:rPr>
              <w:t>18,107 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C714" w14:textId="77777777" w:rsidR="004D6A64" w:rsidRDefault="004D6A64">
            <w:pPr>
              <w:jc w:val="right"/>
              <w:rPr>
                <w:rFonts w:ascii="宋体"/>
              </w:rPr>
            </w:pPr>
          </w:p>
        </w:tc>
        <w:tc>
          <w:tcPr>
            <w:tcW w:w="0" w:type="auto"/>
            <w:shd w:val="clear" w:color="auto" w:fill="auto"/>
          </w:tcPr>
          <w:p w14:paraId="33DAC715" w14:textId="77777777" w:rsidR="004D6A64" w:rsidRDefault="004D6A64">
            <w:pPr>
              <w:rPr>
                <w:rFonts w:ascii="宋体"/>
              </w:rPr>
            </w:pPr>
          </w:p>
        </w:tc>
        <w:tc>
          <w:tcPr>
            <w:tcW w:w="0" w:type="auto"/>
            <w:shd w:val="clear" w:color="auto" w:fill="auto"/>
          </w:tcPr>
          <w:p w14:paraId="33DAC716" w14:textId="77777777" w:rsidR="004D6A64" w:rsidRDefault="004D6A64">
            <w:pPr>
              <w:rPr>
                <w:rFonts w:ascii="宋体"/>
              </w:rPr>
            </w:pPr>
          </w:p>
        </w:tc>
        <w:tc>
          <w:tcPr>
            <w:tcW w:w="0" w:type="auto"/>
            <w:shd w:val="clear" w:color="auto" w:fill="auto"/>
          </w:tcPr>
          <w:p w14:paraId="33DAC717" w14:textId="77777777" w:rsidR="004D6A64" w:rsidRDefault="004D6A64">
            <w:pPr>
              <w:rPr>
                <w:rFonts w:ascii="宋体"/>
              </w:rPr>
            </w:pPr>
          </w:p>
        </w:tc>
        <w:tc>
          <w:tcPr>
            <w:tcW w:w="0" w:type="auto"/>
            <w:shd w:val="clear" w:color="auto" w:fill="auto"/>
          </w:tcPr>
          <w:p w14:paraId="33DAC718" w14:textId="77777777" w:rsidR="004D6A64" w:rsidRDefault="004D6A64">
            <w:pPr>
              <w:rPr>
                <w:rFonts w:ascii="宋体"/>
              </w:rPr>
            </w:pPr>
          </w:p>
        </w:tc>
        <w:tc>
          <w:tcPr>
            <w:tcW w:w="0" w:type="auto"/>
            <w:shd w:val="clear" w:color="auto" w:fill="auto"/>
          </w:tcPr>
          <w:p w14:paraId="33DAC719" w14:textId="77777777" w:rsidR="004D6A64" w:rsidRDefault="004D6A64">
            <w:pPr>
              <w:rPr>
                <w:rFonts w:ascii="宋体"/>
              </w:rPr>
            </w:pPr>
          </w:p>
        </w:tc>
        <w:tc>
          <w:tcPr>
            <w:tcW w:w="0" w:type="auto"/>
            <w:shd w:val="clear" w:color="auto" w:fill="auto"/>
          </w:tcPr>
          <w:p w14:paraId="33DAC71A" w14:textId="77777777" w:rsidR="004D6A64" w:rsidRDefault="004D6A64">
            <w:pPr>
              <w:rPr>
                <w:rFonts w:ascii="宋体"/>
              </w:rPr>
            </w:pPr>
          </w:p>
        </w:tc>
        <w:tc>
          <w:tcPr>
            <w:tcW w:w="0" w:type="auto"/>
            <w:shd w:val="clear" w:color="auto" w:fill="auto"/>
          </w:tcPr>
          <w:p w14:paraId="33DAC71B" w14:textId="77777777" w:rsidR="004D6A64" w:rsidRDefault="004D6A64">
            <w:pPr>
              <w:rPr>
                <w:rFonts w:ascii="宋体"/>
              </w:rPr>
            </w:pPr>
          </w:p>
        </w:tc>
        <w:tc>
          <w:tcPr>
            <w:tcW w:w="0" w:type="auto"/>
            <w:shd w:val="clear" w:color="auto" w:fill="auto"/>
          </w:tcPr>
          <w:p w14:paraId="33DAC71C" w14:textId="77777777" w:rsidR="004D6A64" w:rsidRDefault="004D6A64">
            <w:pPr>
              <w:rPr>
                <w:rFonts w:ascii="宋体"/>
              </w:rPr>
            </w:pPr>
          </w:p>
        </w:tc>
        <w:tc>
          <w:tcPr>
            <w:tcW w:w="0" w:type="auto"/>
            <w:shd w:val="clear" w:color="auto" w:fill="auto"/>
          </w:tcPr>
          <w:p w14:paraId="33DAC71D" w14:textId="77777777" w:rsidR="004D6A64" w:rsidRDefault="004D6A64">
            <w:pPr>
              <w:rPr>
                <w:rFonts w:ascii="宋体"/>
              </w:rPr>
            </w:pPr>
          </w:p>
        </w:tc>
        <w:tc>
          <w:tcPr>
            <w:tcW w:w="0" w:type="auto"/>
            <w:shd w:val="clear" w:color="auto" w:fill="auto"/>
          </w:tcPr>
          <w:p w14:paraId="33DAC71E" w14:textId="77777777" w:rsidR="004D6A64" w:rsidRDefault="004D6A64">
            <w:pPr>
              <w:rPr>
                <w:rFonts w:ascii="宋体"/>
              </w:rPr>
            </w:pPr>
          </w:p>
        </w:tc>
        <w:tc>
          <w:tcPr>
            <w:tcW w:w="0" w:type="auto"/>
            <w:shd w:val="clear" w:color="auto" w:fill="auto"/>
          </w:tcPr>
          <w:p w14:paraId="33DAC71F" w14:textId="77777777" w:rsidR="004D6A64" w:rsidRDefault="004D6A64">
            <w:pPr>
              <w:rPr>
                <w:rFonts w:ascii="宋体"/>
              </w:rPr>
            </w:pPr>
          </w:p>
        </w:tc>
        <w:tc>
          <w:tcPr>
            <w:tcW w:w="0" w:type="auto"/>
            <w:shd w:val="clear" w:color="auto" w:fill="auto"/>
          </w:tcPr>
          <w:p w14:paraId="33DAC720" w14:textId="77777777" w:rsidR="004D6A64" w:rsidRDefault="004D6A64">
            <w:pPr>
              <w:rPr>
                <w:rFonts w:ascii="宋体"/>
              </w:rPr>
            </w:pPr>
          </w:p>
        </w:tc>
        <w:tc>
          <w:tcPr>
            <w:tcW w:w="0" w:type="auto"/>
            <w:shd w:val="clear" w:color="auto" w:fill="auto"/>
          </w:tcPr>
          <w:p w14:paraId="33DAC721" w14:textId="77777777" w:rsidR="004D6A64" w:rsidRDefault="004D6A64">
            <w:pPr>
              <w:rPr>
                <w:rFonts w:ascii="宋体"/>
              </w:rPr>
            </w:pPr>
          </w:p>
        </w:tc>
        <w:tc>
          <w:tcPr>
            <w:tcW w:w="0" w:type="auto"/>
            <w:shd w:val="clear" w:color="auto" w:fill="auto"/>
          </w:tcPr>
          <w:p w14:paraId="33DAC722" w14:textId="77777777" w:rsidR="004D6A64" w:rsidRDefault="004D6A64">
            <w:pPr>
              <w:rPr>
                <w:rFonts w:ascii="宋体"/>
              </w:rPr>
            </w:pPr>
          </w:p>
        </w:tc>
        <w:tc>
          <w:tcPr>
            <w:tcW w:w="0" w:type="auto"/>
            <w:shd w:val="clear" w:color="auto" w:fill="auto"/>
          </w:tcPr>
          <w:p w14:paraId="33DAC723" w14:textId="77777777" w:rsidR="004D6A64" w:rsidRDefault="004D6A64">
            <w:pPr>
              <w:rPr>
                <w:rFonts w:ascii="宋体"/>
              </w:rPr>
            </w:pPr>
          </w:p>
        </w:tc>
        <w:tc>
          <w:tcPr>
            <w:tcW w:w="0" w:type="auto"/>
            <w:shd w:val="clear" w:color="auto" w:fill="auto"/>
          </w:tcPr>
          <w:p w14:paraId="33DAC724" w14:textId="77777777" w:rsidR="004D6A64" w:rsidRDefault="004D6A64">
            <w:pPr>
              <w:rPr>
                <w:rFonts w:ascii="宋体"/>
              </w:rPr>
            </w:pPr>
          </w:p>
        </w:tc>
        <w:tc>
          <w:tcPr>
            <w:tcW w:w="0" w:type="auto"/>
            <w:shd w:val="clear" w:color="auto" w:fill="auto"/>
          </w:tcPr>
          <w:p w14:paraId="33DAC725" w14:textId="77777777" w:rsidR="004D6A64" w:rsidRDefault="004D6A64">
            <w:pPr>
              <w:rPr>
                <w:rFonts w:ascii="宋体"/>
              </w:rPr>
            </w:pPr>
          </w:p>
        </w:tc>
        <w:tc>
          <w:tcPr>
            <w:tcW w:w="0" w:type="auto"/>
            <w:shd w:val="clear" w:color="auto" w:fill="auto"/>
          </w:tcPr>
          <w:p w14:paraId="33DAC726" w14:textId="77777777" w:rsidR="004D6A64" w:rsidRDefault="004D6A64">
            <w:pPr>
              <w:rPr>
                <w:rFonts w:ascii="宋体"/>
              </w:rPr>
            </w:pPr>
          </w:p>
        </w:tc>
        <w:tc>
          <w:tcPr>
            <w:tcW w:w="0" w:type="auto"/>
            <w:shd w:val="clear" w:color="auto" w:fill="auto"/>
          </w:tcPr>
          <w:p w14:paraId="33DAC727" w14:textId="77777777" w:rsidR="004D6A64" w:rsidRDefault="004D6A64">
            <w:pPr>
              <w:rPr>
                <w:rFonts w:ascii="宋体"/>
              </w:rPr>
            </w:pPr>
          </w:p>
        </w:tc>
        <w:tc>
          <w:tcPr>
            <w:tcW w:w="0" w:type="auto"/>
            <w:shd w:val="clear" w:color="auto" w:fill="auto"/>
          </w:tcPr>
          <w:p w14:paraId="33DAC728" w14:textId="77777777" w:rsidR="004D6A64" w:rsidRDefault="004D6A64">
            <w:pPr>
              <w:rPr>
                <w:rFonts w:ascii="宋体"/>
              </w:rPr>
            </w:pPr>
          </w:p>
        </w:tc>
        <w:tc>
          <w:tcPr>
            <w:tcW w:w="0" w:type="auto"/>
            <w:shd w:val="clear" w:color="auto" w:fill="auto"/>
          </w:tcPr>
          <w:p w14:paraId="33DAC729" w14:textId="77777777" w:rsidR="004D6A64" w:rsidRDefault="004D6A64">
            <w:pPr>
              <w:rPr>
                <w:rFonts w:ascii="宋体"/>
              </w:rPr>
            </w:pPr>
          </w:p>
        </w:tc>
        <w:tc>
          <w:tcPr>
            <w:tcW w:w="0" w:type="auto"/>
            <w:shd w:val="clear" w:color="auto" w:fill="auto"/>
          </w:tcPr>
          <w:p w14:paraId="33DAC72A" w14:textId="77777777" w:rsidR="004D6A64" w:rsidRDefault="004D6A64">
            <w:pPr>
              <w:rPr>
                <w:rFonts w:ascii="宋体"/>
              </w:rPr>
            </w:pPr>
          </w:p>
        </w:tc>
        <w:tc>
          <w:tcPr>
            <w:tcW w:w="0" w:type="auto"/>
            <w:shd w:val="clear" w:color="auto" w:fill="auto"/>
          </w:tcPr>
          <w:p w14:paraId="33DAC72B" w14:textId="77777777" w:rsidR="004D6A64" w:rsidRDefault="004D6A64">
            <w:pPr>
              <w:rPr>
                <w:rFonts w:ascii="宋体"/>
              </w:rPr>
            </w:pPr>
          </w:p>
        </w:tc>
        <w:tc>
          <w:tcPr>
            <w:tcW w:w="0" w:type="auto"/>
            <w:shd w:val="clear" w:color="auto" w:fill="auto"/>
          </w:tcPr>
          <w:p w14:paraId="33DAC72C" w14:textId="77777777" w:rsidR="004D6A64" w:rsidRDefault="004D6A64">
            <w:pPr>
              <w:rPr>
                <w:rFonts w:ascii="宋体"/>
              </w:rPr>
            </w:pPr>
          </w:p>
        </w:tc>
        <w:tc>
          <w:tcPr>
            <w:tcW w:w="0" w:type="auto"/>
            <w:shd w:val="clear" w:color="auto" w:fill="auto"/>
          </w:tcPr>
          <w:p w14:paraId="33DAC72D" w14:textId="77777777" w:rsidR="004D6A64" w:rsidRDefault="004D6A64">
            <w:pPr>
              <w:rPr>
                <w:rFonts w:ascii="宋体"/>
              </w:rPr>
            </w:pPr>
          </w:p>
        </w:tc>
        <w:tc>
          <w:tcPr>
            <w:tcW w:w="0" w:type="auto"/>
            <w:shd w:val="clear" w:color="auto" w:fill="auto"/>
          </w:tcPr>
          <w:p w14:paraId="33DAC72E" w14:textId="77777777" w:rsidR="004D6A64" w:rsidRDefault="004D6A64">
            <w:pPr>
              <w:rPr>
                <w:rFonts w:ascii="宋体"/>
              </w:rPr>
            </w:pPr>
          </w:p>
        </w:tc>
        <w:tc>
          <w:tcPr>
            <w:tcW w:w="0" w:type="auto"/>
            <w:shd w:val="clear" w:color="auto" w:fill="auto"/>
          </w:tcPr>
          <w:p w14:paraId="33DAC72F" w14:textId="77777777" w:rsidR="004D6A64" w:rsidRDefault="004D6A64">
            <w:pPr>
              <w:rPr>
                <w:rFonts w:ascii="宋体"/>
              </w:rPr>
            </w:pPr>
          </w:p>
        </w:tc>
      </w:tr>
    </w:tbl>
    <w:p w14:paraId="33DAC731" w14:textId="77777777" w:rsidR="004D6A64" w:rsidRDefault="004D6A64"/>
    <w:p w14:paraId="33DAC732" w14:textId="77777777" w:rsidR="004D6A64" w:rsidRDefault="00506CD6">
      <w:r>
        <w:rPr>
          <w:rFonts w:ascii="Times New Roman" w:eastAsia="宋体" w:hAnsi="Times New Roman"/>
          <w:color w:val="000000"/>
          <w:sz w:val="20"/>
          <w:szCs w:val="20"/>
        </w:rPr>
        <w:t xml:space="preserve">Amortization expense related to definite-lived intangible assets was approximately $0.8 billion and $1.1 billion for the three months ended July 31, 2020 and August 2, 2019, respectively, and $1.7 billion and $2.3 billion for the six months ended July 31, </w:t>
      </w:r>
      <w:r>
        <w:rPr>
          <w:rFonts w:ascii="Times New Roman" w:eastAsia="宋体" w:hAnsi="Times New Roman"/>
          <w:color w:val="000000"/>
          <w:sz w:val="20"/>
          <w:szCs w:val="20"/>
        </w:rPr>
        <w:t>2020 and August 2, 2019, respectively. There were no material impairment charges related to intangible assets during the three and six months ended July 31, 2020. During the three and six months ended August 2, 2019, an impairment charge related to Virtust</w:t>
      </w:r>
      <w:r>
        <w:rPr>
          <w:rFonts w:ascii="Times New Roman" w:eastAsia="宋体" w:hAnsi="Times New Roman"/>
          <w:color w:val="000000"/>
          <w:sz w:val="20"/>
          <w:szCs w:val="20"/>
        </w:rPr>
        <w:t xml:space="preserve">ream intangible assets, net was approximately $266 million. </w:t>
      </w:r>
    </w:p>
    <w:p w14:paraId="33DAC733" w14:textId="77777777" w:rsidR="004D6A64" w:rsidRDefault="004D6A64"/>
    <w:p w14:paraId="33DAC734" w14:textId="77777777" w:rsidR="004D6A64" w:rsidRDefault="00506CD6">
      <w:r>
        <w:rPr>
          <w:rFonts w:ascii="Times New Roman" w:eastAsia="宋体" w:hAnsi="Times New Roman"/>
          <w:color w:val="000000"/>
          <w:sz w:val="20"/>
          <w:szCs w:val="20"/>
        </w:rPr>
        <w:t>During the three months ended May 1, 2020, the Company recognized proceeds and a gain of $120 million from the sale of certain internally developed intellectual property assets.</w:t>
      </w:r>
    </w:p>
    <w:p w14:paraId="33DAC735" w14:textId="77777777" w:rsidR="004D6A64" w:rsidRDefault="004D6A64"/>
    <w:p w14:paraId="33DAC736" w14:textId="77777777" w:rsidR="004D6A64" w:rsidRDefault="00506CD6">
      <w:r>
        <w:rPr>
          <w:rFonts w:ascii="Times New Roman" w:eastAsia="宋体" w:hAnsi="Times New Roman"/>
          <w:color w:val="000000"/>
          <w:sz w:val="20"/>
          <w:szCs w:val="20"/>
        </w:rPr>
        <w:t>The following t</w:t>
      </w:r>
      <w:r>
        <w:rPr>
          <w:rFonts w:ascii="Times New Roman" w:eastAsia="宋体" w:hAnsi="Times New Roman"/>
          <w:color w:val="000000"/>
          <w:sz w:val="20"/>
          <w:szCs w:val="20"/>
        </w:rPr>
        <w:t>able presents the estimated future annual pre-tax amortization expense of definite-lived intangible assets as of the date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6586"/>
        <w:gridCol w:w="37"/>
        <w:gridCol w:w="135"/>
        <w:gridCol w:w="1492"/>
        <w:gridCol w:w="41"/>
      </w:tblGrid>
      <w:tr w:rsidR="004D6A64" w14:paraId="33DAC73D" w14:textId="77777777">
        <w:trPr>
          <w:jc w:val="center"/>
        </w:trPr>
        <w:tc>
          <w:tcPr>
            <w:tcW w:w="50" w:type="pct"/>
            <w:shd w:val="clear" w:color="auto" w:fill="auto"/>
          </w:tcPr>
          <w:p w14:paraId="33DAC737" w14:textId="77777777" w:rsidR="004D6A64" w:rsidRDefault="004D6A64">
            <w:pPr>
              <w:rPr>
                <w:rFonts w:ascii="宋体"/>
              </w:rPr>
            </w:pPr>
          </w:p>
        </w:tc>
        <w:tc>
          <w:tcPr>
            <w:tcW w:w="3972" w:type="pct"/>
            <w:shd w:val="clear" w:color="auto" w:fill="auto"/>
          </w:tcPr>
          <w:p w14:paraId="33DAC738" w14:textId="77777777" w:rsidR="004D6A64" w:rsidRDefault="004D6A64">
            <w:pPr>
              <w:rPr>
                <w:rFonts w:ascii="宋体"/>
              </w:rPr>
            </w:pPr>
          </w:p>
        </w:tc>
        <w:tc>
          <w:tcPr>
            <w:tcW w:w="5" w:type="pct"/>
            <w:shd w:val="clear" w:color="auto" w:fill="auto"/>
          </w:tcPr>
          <w:p w14:paraId="33DAC739" w14:textId="77777777" w:rsidR="004D6A64" w:rsidRDefault="004D6A64">
            <w:pPr>
              <w:rPr>
                <w:rFonts w:ascii="宋体"/>
              </w:rPr>
            </w:pPr>
          </w:p>
        </w:tc>
        <w:tc>
          <w:tcPr>
            <w:tcW w:w="50" w:type="pct"/>
            <w:shd w:val="clear" w:color="auto" w:fill="auto"/>
          </w:tcPr>
          <w:p w14:paraId="33DAC73A" w14:textId="77777777" w:rsidR="004D6A64" w:rsidRDefault="004D6A64">
            <w:pPr>
              <w:rPr>
                <w:rFonts w:ascii="宋体"/>
              </w:rPr>
            </w:pPr>
          </w:p>
        </w:tc>
        <w:tc>
          <w:tcPr>
            <w:tcW w:w="917" w:type="pct"/>
            <w:shd w:val="clear" w:color="auto" w:fill="auto"/>
          </w:tcPr>
          <w:p w14:paraId="33DAC73B" w14:textId="77777777" w:rsidR="004D6A64" w:rsidRDefault="004D6A64">
            <w:pPr>
              <w:rPr>
                <w:rFonts w:ascii="宋体"/>
              </w:rPr>
            </w:pPr>
          </w:p>
        </w:tc>
        <w:tc>
          <w:tcPr>
            <w:tcW w:w="5" w:type="pct"/>
            <w:shd w:val="clear" w:color="auto" w:fill="auto"/>
          </w:tcPr>
          <w:p w14:paraId="33DAC73C" w14:textId="77777777" w:rsidR="004D6A64" w:rsidRDefault="004D6A64">
            <w:pPr>
              <w:rPr>
                <w:rFonts w:ascii="宋体"/>
              </w:rPr>
            </w:pPr>
          </w:p>
        </w:tc>
      </w:tr>
      <w:tr w:rsidR="004D6A64" w14:paraId="33DAC740" w14:textId="77777777">
        <w:trPr>
          <w:jc w:val="center"/>
        </w:trPr>
        <w:tc>
          <w:tcPr>
            <w:tcW w:w="0" w:type="auto"/>
            <w:gridSpan w:val="3"/>
            <w:shd w:val="clear" w:color="auto" w:fill="auto"/>
            <w:tcMar>
              <w:left w:w="20" w:type="dxa"/>
              <w:right w:w="20" w:type="dxa"/>
            </w:tcMar>
            <w:vAlign w:val="bottom"/>
          </w:tcPr>
          <w:p w14:paraId="33DAC73E"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C73F" w14:textId="77777777" w:rsidR="004D6A64" w:rsidRDefault="00506CD6">
            <w:pPr>
              <w:jc w:val="center"/>
              <w:textAlignment w:val="bottom"/>
            </w:pPr>
            <w:r>
              <w:rPr>
                <w:rFonts w:ascii="Times New Roman" w:eastAsia="宋体" w:hAnsi="Times New Roman"/>
                <w:b/>
                <w:bCs/>
                <w:color w:val="000000"/>
                <w:sz w:val="20"/>
                <w:szCs w:val="20"/>
              </w:rPr>
              <w:t>July 31, 2020</w:t>
            </w:r>
          </w:p>
        </w:tc>
      </w:tr>
      <w:tr w:rsidR="004D6A64" w14:paraId="33DAC743" w14:textId="77777777">
        <w:trPr>
          <w:jc w:val="center"/>
        </w:trPr>
        <w:tc>
          <w:tcPr>
            <w:tcW w:w="0" w:type="auto"/>
            <w:gridSpan w:val="3"/>
            <w:shd w:val="clear" w:color="auto" w:fill="auto"/>
            <w:tcMar>
              <w:top w:w="40" w:type="dxa"/>
              <w:left w:w="20" w:type="dxa"/>
              <w:bottom w:w="40" w:type="dxa"/>
              <w:right w:w="20" w:type="dxa"/>
            </w:tcMar>
            <w:vAlign w:val="center"/>
          </w:tcPr>
          <w:p w14:paraId="33DAC741" w14:textId="77777777" w:rsidR="004D6A64" w:rsidRDefault="00506CD6">
            <w:pPr>
              <w:textAlignment w:val="center"/>
            </w:pPr>
            <w:r>
              <w:rPr>
                <w:rFonts w:ascii="Times New Roman" w:eastAsia="宋体" w:hAnsi="Times New Roman"/>
                <w:b/>
                <w:bCs/>
                <w:color w:val="000000"/>
                <w:sz w:val="20"/>
                <w:szCs w:val="20"/>
              </w:rPr>
              <w:t>Fiscal Years</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3DAC742" w14:textId="77777777" w:rsidR="004D6A64" w:rsidRDefault="00506CD6">
            <w:pPr>
              <w:jc w:val="center"/>
              <w:textAlignment w:val="center"/>
            </w:pPr>
            <w:r>
              <w:rPr>
                <w:rFonts w:ascii="Times New Roman" w:eastAsia="宋体" w:hAnsi="Times New Roman"/>
                <w:color w:val="000000"/>
                <w:sz w:val="20"/>
                <w:szCs w:val="20"/>
              </w:rPr>
              <w:t>(in millions)</w:t>
            </w:r>
          </w:p>
        </w:tc>
      </w:tr>
      <w:tr w:rsidR="004D6A64" w14:paraId="33DAC748" w14:textId="77777777">
        <w:trPr>
          <w:jc w:val="center"/>
        </w:trPr>
        <w:tc>
          <w:tcPr>
            <w:tcW w:w="0" w:type="auto"/>
            <w:gridSpan w:val="3"/>
            <w:shd w:val="clear" w:color="auto" w:fill="CCEEFF"/>
            <w:tcMar>
              <w:top w:w="40" w:type="dxa"/>
              <w:left w:w="20" w:type="dxa"/>
              <w:bottom w:w="40" w:type="dxa"/>
              <w:right w:w="20" w:type="dxa"/>
            </w:tcMar>
            <w:vAlign w:val="center"/>
          </w:tcPr>
          <w:p w14:paraId="33DAC744" w14:textId="77777777" w:rsidR="004D6A64" w:rsidRDefault="00506CD6">
            <w:pPr>
              <w:textAlignment w:val="center"/>
            </w:pPr>
            <w:r>
              <w:rPr>
                <w:rFonts w:ascii="Times New Roman" w:eastAsia="宋体" w:hAnsi="Times New Roman"/>
                <w:color w:val="000000"/>
                <w:sz w:val="20"/>
                <w:szCs w:val="20"/>
              </w:rPr>
              <w:t>2021 (remaining six months)</w:t>
            </w:r>
          </w:p>
        </w:tc>
        <w:tc>
          <w:tcPr>
            <w:tcW w:w="0" w:type="auto"/>
            <w:shd w:val="clear" w:color="auto" w:fill="CCEEFF"/>
            <w:tcMar>
              <w:top w:w="40" w:type="dxa"/>
              <w:left w:w="20" w:type="dxa"/>
              <w:bottom w:w="40" w:type="dxa"/>
            </w:tcMar>
            <w:vAlign w:val="center"/>
          </w:tcPr>
          <w:p w14:paraId="33DAC745"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C746" w14:textId="77777777" w:rsidR="004D6A64" w:rsidRDefault="00506CD6">
            <w:pPr>
              <w:jc w:val="right"/>
              <w:textAlignment w:val="center"/>
            </w:pPr>
            <w:r>
              <w:rPr>
                <w:rFonts w:ascii="Times New Roman" w:eastAsia="宋体" w:hAnsi="Times New Roman"/>
                <w:color w:val="000000"/>
                <w:sz w:val="20"/>
                <w:szCs w:val="20"/>
              </w:rPr>
              <w:t>1,687 </w:t>
            </w:r>
          </w:p>
        </w:tc>
        <w:tc>
          <w:tcPr>
            <w:tcW w:w="0" w:type="auto"/>
            <w:shd w:val="clear" w:color="auto" w:fill="CCEEFF"/>
            <w:tcMar>
              <w:top w:w="40" w:type="dxa"/>
              <w:bottom w:w="40" w:type="dxa"/>
              <w:right w:w="20" w:type="dxa"/>
            </w:tcMar>
            <w:vAlign w:val="center"/>
          </w:tcPr>
          <w:p w14:paraId="33DAC747" w14:textId="77777777" w:rsidR="004D6A64" w:rsidRDefault="004D6A64">
            <w:pPr>
              <w:jc w:val="right"/>
              <w:rPr>
                <w:rFonts w:ascii="宋体"/>
              </w:rPr>
            </w:pPr>
          </w:p>
        </w:tc>
      </w:tr>
      <w:tr w:rsidR="004D6A64" w14:paraId="33DAC74C" w14:textId="77777777">
        <w:trPr>
          <w:jc w:val="center"/>
        </w:trPr>
        <w:tc>
          <w:tcPr>
            <w:tcW w:w="0" w:type="auto"/>
            <w:gridSpan w:val="3"/>
            <w:shd w:val="clear" w:color="auto" w:fill="FFFFFF"/>
            <w:tcMar>
              <w:top w:w="40" w:type="dxa"/>
              <w:left w:w="20" w:type="dxa"/>
              <w:bottom w:w="40" w:type="dxa"/>
              <w:right w:w="20" w:type="dxa"/>
            </w:tcMar>
            <w:vAlign w:val="center"/>
          </w:tcPr>
          <w:p w14:paraId="33DAC749" w14:textId="77777777" w:rsidR="004D6A64" w:rsidRDefault="00506CD6">
            <w:pPr>
              <w:textAlignment w:val="center"/>
            </w:pPr>
            <w:r>
              <w:rPr>
                <w:rFonts w:ascii="Times New Roman" w:eastAsia="宋体" w:hAnsi="Times New Roman"/>
                <w:color w:val="000000"/>
                <w:sz w:val="20"/>
                <w:szCs w:val="20"/>
              </w:rPr>
              <w:t>2022</w:t>
            </w:r>
          </w:p>
        </w:tc>
        <w:tc>
          <w:tcPr>
            <w:tcW w:w="0" w:type="auto"/>
            <w:gridSpan w:val="2"/>
            <w:shd w:val="clear" w:color="auto" w:fill="FFFFFF"/>
            <w:tcMar>
              <w:top w:w="40" w:type="dxa"/>
              <w:left w:w="20" w:type="dxa"/>
              <w:bottom w:w="40" w:type="dxa"/>
              <w:right w:w="0" w:type="dxa"/>
            </w:tcMar>
            <w:vAlign w:val="center"/>
          </w:tcPr>
          <w:p w14:paraId="33DAC74A" w14:textId="77777777" w:rsidR="004D6A64" w:rsidRDefault="00506CD6">
            <w:pPr>
              <w:jc w:val="right"/>
              <w:textAlignment w:val="center"/>
            </w:pPr>
            <w:r>
              <w:rPr>
                <w:rFonts w:ascii="Times New Roman" w:eastAsia="宋体" w:hAnsi="Times New Roman"/>
                <w:color w:val="000000"/>
                <w:sz w:val="20"/>
                <w:szCs w:val="20"/>
              </w:rPr>
              <w:t>2,685 </w:t>
            </w:r>
          </w:p>
        </w:tc>
        <w:tc>
          <w:tcPr>
            <w:tcW w:w="0" w:type="auto"/>
            <w:shd w:val="clear" w:color="auto" w:fill="FFFFFF"/>
            <w:tcMar>
              <w:top w:w="40" w:type="dxa"/>
              <w:bottom w:w="40" w:type="dxa"/>
              <w:right w:w="20" w:type="dxa"/>
            </w:tcMar>
            <w:vAlign w:val="center"/>
          </w:tcPr>
          <w:p w14:paraId="33DAC74B" w14:textId="77777777" w:rsidR="004D6A64" w:rsidRDefault="004D6A64">
            <w:pPr>
              <w:jc w:val="right"/>
              <w:rPr>
                <w:rFonts w:ascii="宋体"/>
              </w:rPr>
            </w:pPr>
          </w:p>
        </w:tc>
      </w:tr>
      <w:tr w:rsidR="004D6A64" w14:paraId="33DAC750" w14:textId="77777777">
        <w:trPr>
          <w:jc w:val="center"/>
        </w:trPr>
        <w:tc>
          <w:tcPr>
            <w:tcW w:w="0" w:type="auto"/>
            <w:gridSpan w:val="3"/>
            <w:shd w:val="clear" w:color="auto" w:fill="CCEEFF"/>
            <w:tcMar>
              <w:top w:w="40" w:type="dxa"/>
              <w:left w:w="20" w:type="dxa"/>
              <w:bottom w:w="40" w:type="dxa"/>
              <w:right w:w="20" w:type="dxa"/>
            </w:tcMar>
            <w:vAlign w:val="center"/>
          </w:tcPr>
          <w:p w14:paraId="33DAC74D" w14:textId="77777777" w:rsidR="004D6A64" w:rsidRDefault="00506CD6">
            <w:pPr>
              <w:textAlignment w:val="center"/>
            </w:pPr>
            <w:r>
              <w:rPr>
                <w:rFonts w:ascii="Times New Roman" w:eastAsia="宋体" w:hAnsi="Times New Roman"/>
                <w:color w:val="000000"/>
                <w:sz w:val="20"/>
                <w:szCs w:val="20"/>
              </w:rPr>
              <w:t>2023</w:t>
            </w:r>
          </w:p>
        </w:tc>
        <w:tc>
          <w:tcPr>
            <w:tcW w:w="0" w:type="auto"/>
            <w:gridSpan w:val="2"/>
            <w:shd w:val="clear" w:color="auto" w:fill="CCEEFF"/>
            <w:tcMar>
              <w:top w:w="40" w:type="dxa"/>
              <w:left w:w="20" w:type="dxa"/>
              <w:bottom w:w="40" w:type="dxa"/>
              <w:right w:w="0" w:type="dxa"/>
            </w:tcMar>
            <w:vAlign w:val="center"/>
          </w:tcPr>
          <w:p w14:paraId="33DAC74E" w14:textId="77777777" w:rsidR="004D6A64" w:rsidRDefault="00506CD6">
            <w:pPr>
              <w:jc w:val="right"/>
              <w:textAlignment w:val="center"/>
            </w:pPr>
            <w:r>
              <w:rPr>
                <w:rFonts w:ascii="Times New Roman" w:eastAsia="宋体" w:hAnsi="Times New Roman"/>
                <w:color w:val="000000"/>
                <w:sz w:val="20"/>
                <w:szCs w:val="20"/>
              </w:rPr>
              <w:t>1,808 </w:t>
            </w:r>
          </w:p>
        </w:tc>
        <w:tc>
          <w:tcPr>
            <w:tcW w:w="0" w:type="auto"/>
            <w:shd w:val="clear" w:color="auto" w:fill="CCEEFF"/>
            <w:tcMar>
              <w:top w:w="40" w:type="dxa"/>
              <w:bottom w:w="40" w:type="dxa"/>
              <w:right w:w="20" w:type="dxa"/>
            </w:tcMar>
            <w:vAlign w:val="center"/>
          </w:tcPr>
          <w:p w14:paraId="33DAC74F" w14:textId="77777777" w:rsidR="004D6A64" w:rsidRDefault="004D6A64">
            <w:pPr>
              <w:jc w:val="right"/>
              <w:rPr>
                <w:rFonts w:ascii="宋体"/>
              </w:rPr>
            </w:pPr>
          </w:p>
        </w:tc>
      </w:tr>
      <w:tr w:rsidR="004D6A64" w14:paraId="33DAC754" w14:textId="77777777">
        <w:trPr>
          <w:jc w:val="center"/>
        </w:trPr>
        <w:tc>
          <w:tcPr>
            <w:tcW w:w="0" w:type="auto"/>
            <w:gridSpan w:val="3"/>
            <w:shd w:val="clear" w:color="auto" w:fill="FFFFFF"/>
            <w:tcMar>
              <w:top w:w="40" w:type="dxa"/>
              <w:left w:w="20" w:type="dxa"/>
              <w:bottom w:w="40" w:type="dxa"/>
              <w:right w:w="20" w:type="dxa"/>
            </w:tcMar>
            <w:vAlign w:val="center"/>
          </w:tcPr>
          <w:p w14:paraId="33DAC751" w14:textId="77777777" w:rsidR="004D6A64" w:rsidRDefault="00506CD6">
            <w:pPr>
              <w:textAlignment w:val="center"/>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vAlign w:val="center"/>
          </w:tcPr>
          <w:p w14:paraId="33DAC752" w14:textId="77777777" w:rsidR="004D6A64" w:rsidRDefault="00506CD6">
            <w:pPr>
              <w:jc w:val="right"/>
              <w:textAlignment w:val="center"/>
            </w:pPr>
            <w:r>
              <w:rPr>
                <w:rFonts w:ascii="Times New Roman" w:eastAsia="宋体" w:hAnsi="Times New Roman"/>
                <w:color w:val="000000"/>
                <w:sz w:val="20"/>
                <w:szCs w:val="20"/>
              </w:rPr>
              <w:t>1,444 </w:t>
            </w:r>
          </w:p>
        </w:tc>
        <w:tc>
          <w:tcPr>
            <w:tcW w:w="0" w:type="auto"/>
            <w:shd w:val="clear" w:color="auto" w:fill="FFFFFF"/>
            <w:tcMar>
              <w:top w:w="40" w:type="dxa"/>
              <w:bottom w:w="40" w:type="dxa"/>
              <w:right w:w="20" w:type="dxa"/>
            </w:tcMar>
            <w:vAlign w:val="center"/>
          </w:tcPr>
          <w:p w14:paraId="33DAC753" w14:textId="77777777" w:rsidR="004D6A64" w:rsidRDefault="004D6A64">
            <w:pPr>
              <w:jc w:val="right"/>
              <w:rPr>
                <w:rFonts w:ascii="宋体"/>
              </w:rPr>
            </w:pPr>
          </w:p>
        </w:tc>
      </w:tr>
      <w:tr w:rsidR="004D6A64" w14:paraId="33DAC758" w14:textId="77777777">
        <w:trPr>
          <w:jc w:val="center"/>
        </w:trPr>
        <w:tc>
          <w:tcPr>
            <w:tcW w:w="0" w:type="auto"/>
            <w:gridSpan w:val="3"/>
            <w:shd w:val="clear" w:color="auto" w:fill="CCEEFF"/>
            <w:tcMar>
              <w:top w:w="40" w:type="dxa"/>
              <w:left w:w="20" w:type="dxa"/>
              <w:bottom w:w="40" w:type="dxa"/>
              <w:right w:w="20" w:type="dxa"/>
            </w:tcMar>
            <w:vAlign w:val="center"/>
          </w:tcPr>
          <w:p w14:paraId="33DAC755" w14:textId="77777777" w:rsidR="004D6A64" w:rsidRDefault="00506CD6">
            <w:pPr>
              <w:textAlignment w:val="center"/>
            </w:pPr>
            <w:r>
              <w:rPr>
                <w:rFonts w:ascii="Times New Roman" w:eastAsia="宋体" w:hAnsi="Times New Roman"/>
                <w:color w:val="000000"/>
                <w:sz w:val="20"/>
                <w:szCs w:val="20"/>
              </w:rPr>
              <w:t>2025</w:t>
            </w:r>
          </w:p>
        </w:tc>
        <w:tc>
          <w:tcPr>
            <w:tcW w:w="0" w:type="auto"/>
            <w:gridSpan w:val="2"/>
            <w:shd w:val="clear" w:color="auto" w:fill="CCEEFF"/>
            <w:tcMar>
              <w:top w:w="40" w:type="dxa"/>
              <w:left w:w="20" w:type="dxa"/>
              <w:bottom w:w="40" w:type="dxa"/>
              <w:right w:w="0" w:type="dxa"/>
            </w:tcMar>
            <w:vAlign w:val="center"/>
          </w:tcPr>
          <w:p w14:paraId="33DAC756" w14:textId="77777777" w:rsidR="004D6A64" w:rsidRDefault="00506CD6">
            <w:pPr>
              <w:jc w:val="right"/>
              <w:textAlignment w:val="center"/>
            </w:pPr>
            <w:r>
              <w:rPr>
                <w:rFonts w:ascii="Times New Roman" w:eastAsia="宋体" w:hAnsi="Times New Roman"/>
                <w:color w:val="000000"/>
                <w:sz w:val="20"/>
                <w:szCs w:val="20"/>
              </w:rPr>
              <w:t>1,101 </w:t>
            </w:r>
          </w:p>
        </w:tc>
        <w:tc>
          <w:tcPr>
            <w:tcW w:w="0" w:type="auto"/>
            <w:shd w:val="clear" w:color="auto" w:fill="CCEEFF"/>
            <w:tcMar>
              <w:top w:w="40" w:type="dxa"/>
              <w:bottom w:w="40" w:type="dxa"/>
              <w:right w:w="20" w:type="dxa"/>
            </w:tcMar>
            <w:vAlign w:val="center"/>
          </w:tcPr>
          <w:p w14:paraId="33DAC757" w14:textId="77777777" w:rsidR="004D6A64" w:rsidRDefault="004D6A64">
            <w:pPr>
              <w:jc w:val="right"/>
              <w:rPr>
                <w:rFonts w:ascii="宋体"/>
              </w:rPr>
            </w:pPr>
          </w:p>
        </w:tc>
      </w:tr>
      <w:tr w:rsidR="004D6A64" w14:paraId="33DAC75C" w14:textId="77777777">
        <w:trPr>
          <w:jc w:val="center"/>
        </w:trPr>
        <w:tc>
          <w:tcPr>
            <w:tcW w:w="0" w:type="auto"/>
            <w:gridSpan w:val="3"/>
            <w:shd w:val="clear" w:color="auto" w:fill="FFFFFF"/>
            <w:tcMar>
              <w:top w:w="40" w:type="dxa"/>
              <w:left w:w="20" w:type="dxa"/>
              <w:bottom w:w="40" w:type="dxa"/>
              <w:right w:w="20" w:type="dxa"/>
            </w:tcMar>
            <w:vAlign w:val="center"/>
          </w:tcPr>
          <w:p w14:paraId="33DAC759" w14:textId="77777777" w:rsidR="004D6A64" w:rsidRDefault="00506CD6">
            <w:pPr>
              <w:textAlignment w:val="center"/>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center"/>
          </w:tcPr>
          <w:p w14:paraId="33DAC75A" w14:textId="77777777" w:rsidR="004D6A64" w:rsidRDefault="00506CD6">
            <w:pPr>
              <w:jc w:val="right"/>
              <w:textAlignment w:val="center"/>
            </w:pPr>
            <w:r>
              <w:rPr>
                <w:rFonts w:ascii="Times New Roman" w:eastAsia="宋体" w:hAnsi="Times New Roman"/>
                <w:color w:val="000000"/>
                <w:sz w:val="20"/>
                <w:szCs w:val="20"/>
              </w:rPr>
              <w:t>3,584 </w:t>
            </w:r>
          </w:p>
        </w:tc>
        <w:tc>
          <w:tcPr>
            <w:tcW w:w="0" w:type="auto"/>
            <w:shd w:val="clear" w:color="auto" w:fill="FFFFFF"/>
            <w:tcMar>
              <w:top w:w="40" w:type="dxa"/>
              <w:bottom w:w="40" w:type="dxa"/>
              <w:right w:w="20" w:type="dxa"/>
            </w:tcMar>
            <w:vAlign w:val="center"/>
          </w:tcPr>
          <w:p w14:paraId="33DAC75B" w14:textId="77777777" w:rsidR="004D6A64" w:rsidRDefault="004D6A64">
            <w:pPr>
              <w:jc w:val="right"/>
              <w:rPr>
                <w:rFonts w:ascii="宋体"/>
              </w:rPr>
            </w:pPr>
          </w:p>
        </w:tc>
      </w:tr>
      <w:tr w:rsidR="004D6A64" w14:paraId="33DAC761" w14:textId="77777777">
        <w:trPr>
          <w:jc w:val="center"/>
        </w:trPr>
        <w:tc>
          <w:tcPr>
            <w:tcW w:w="0" w:type="auto"/>
            <w:gridSpan w:val="3"/>
            <w:shd w:val="clear" w:color="auto" w:fill="CCEEFF"/>
            <w:tcMar>
              <w:top w:w="40" w:type="dxa"/>
              <w:left w:w="135" w:type="dxa"/>
              <w:bottom w:w="40" w:type="dxa"/>
              <w:right w:w="20" w:type="dxa"/>
            </w:tcMar>
            <w:vAlign w:val="center"/>
          </w:tcPr>
          <w:p w14:paraId="33DAC75D" w14:textId="77777777" w:rsidR="004D6A64" w:rsidRDefault="00506CD6">
            <w:pPr>
              <w:textAlignment w:val="center"/>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C75E"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C75F" w14:textId="77777777" w:rsidR="004D6A64" w:rsidRDefault="00506CD6">
            <w:pPr>
              <w:jc w:val="right"/>
              <w:textAlignment w:val="center"/>
            </w:pPr>
            <w:r>
              <w:rPr>
                <w:rFonts w:ascii="Times New Roman" w:eastAsia="宋体" w:hAnsi="Times New Roman"/>
                <w:color w:val="000000"/>
                <w:sz w:val="20"/>
                <w:szCs w:val="20"/>
              </w:rPr>
              <w:t>12,309 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C760" w14:textId="77777777" w:rsidR="004D6A64" w:rsidRDefault="004D6A64">
            <w:pPr>
              <w:jc w:val="right"/>
              <w:rPr>
                <w:rFonts w:ascii="宋体"/>
              </w:rPr>
            </w:pPr>
          </w:p>
        </w:tc>
      </w:tr>
    </w:tbl>
    <w:p w14:paraId="33DAC762" w14:textId="77777777" w:rsidR="004D6A64" w:rsidRDefault="004D6A64">
      <w:pPr>
        <w:jc w:val="center"/>
      </w:pPr>
    </w:p>
    <w:p w14:paraId="33DAC763" w14:textId="77777777" w:rsidR="004D6A64" w:rsidRDefault="00506CD6">
      <w:pPr>
        <w:jc w:val="center"/>
      </w:pPr>
      <w:r>
        <w:rPr>
          <w:rFonts w:ascii="Times New Roman" w:eastAsia="宋体" w:hAnsi="Times New Roman"/>
          <w:color w:val="000000"/>
          <w:sz w:val="20"/>
          <w:szCs w:val="20"/>
        </w:rPr>
        <w:t>45</w:t>
      </w:r>
    </w:p>
    <w:p w14:paraId="33DAC764" w14:textId="77777777" w:rsidR="004D6A64" w:rsidRDefault="004D6A64">
      <w:pPr>
        <w:jc w:val="center"/>
      </w:pPr>
    </w:p>
    <w:p w14:paraId="33DAC765" w14:textId="77777777" w:rsidR="004D6A64" w:rsidRDefault="00506CD6">
      <w:r>
        <w:pict w14:anchorId="33DAFAF1">
          <v:rect id="_x0000_i1069" style="width:415.3pt;height:1.5pt" o:hralign="center" o:hrstd="t" o:hr="t" fillcolor="#a0a0a0" stroked="f"/>
        </w:pict>
      </w:r>
    </w:p>
    <w:p w14:paraId="33DAC766" w14:textId="77777777" w:rsidR="004D6A64" w:rsidRDefault="00506CD6">
      <w:hyperlink r:id="rId168" w:anchor="if3e0e1bf9ecd4bf69551d7a85f98d64a_10" w:history="1">
        <w:r>
          <w:rPr>
            <w:rStyle w:val="a5"/>
            <w:rFonts w:ascii="Times New Roman" w:eastAsia="宋体" w:hAnsi="Times New Roman"/>
            <w:sz w:val="20"/>
            <w:szCs w:val="20"/>
          </w:rPr>
          <w:t>Table of Contents</w:t>
        </w:r>
      </w:hyperlink>
    </w:p>
    <w:p w14:paraId="33DAC767"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C768" w14:textId="77777777" w:rsidR="004D6A64" w:rsidRDefault="00506CD6">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33DAC769"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C76A" w14:textId="77777777" w:rsidR="004D6A64" w:rsidRDefault="004D6A64">
      <w:pPr>
        <w:jc w:val="center"/>
      </w:pPr>
    </w:p>
    <w:p w14:paraId="33DAC76B" w14:textId="77777777" w:rsidR="004D6A64" w:rsidRDefault="00506CD6">
      <w:r>
        <w:rPr>
          <w:rFonts w:ascii="Times New Roman" w:eastAsia="宋体" w:hAnsi="Times New Roman"/>
          <w:b/>
          <w:bCs/>
          <w:color w:val="000000"/>
          <w:sz w:val="20"/>
          <w:szCs w:val="20"/>
        </w:rPr>
        <w:t xml:space="preserve">NOTE 9 — DEFERRED REVENUE </w:t>
      </w:r>
    </w:p>
    <w:p w14:paraId="33DAC76C" w14:textId="77777777" w:rsidR="004D6A64" w:rsidRDefault="004D6A64"/>
    <w:p w14:paraId="33DAC76D" w14:textId="77777777" w:rsidR="004D6A64" w:rsidRDefault="00506CD6">
      <w:r>
        <w:rPr>
          <w:rFonts w:ascii="Times New Roman" w:eastAsia="宋体" w:hAnsi="Times New Roman"/>
          <w:i/>
          <w:iCs/>
          <w:color w:val="000000"/>
          <w:sz w:val="20"/>
          <w:szCs w:val="20"/>
        </w:rPr>
        <w:t>Deferred Revenue</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 Deferred revenue is recorded for support and deployment services, software maintenance, professional services, training, and software-as-a-service when the Company has a rig</w:t>
      </w:r>
      <w:r>
        <w:rPr>
          <w:rFonts w:ascii="Times New Roman" w:eastAsia="宋体" w:hAnsi="Times New Roman"/>
          <w:color w:val="000000"/>
          <w:sz w:val="20"/>
          <w:szCs w:val="20"/>
        </w:rPr>
        <w:t>ht to invoice or payments have been received for undelivered products or services where transfer of control has not occurred. Revenue is recognized on these items when the revenue recognition criteria are met, generally resulting in ratable recognition ove</w:t>
      </w:r>
      <w:r>
        <w:rPr>
          <w:rFonts w:ascii="Times New Roman" w:eastAsia="宋体" w:hAnsi="Times New Roman"/>
          <w:color w:val="000000"/>
          <w:sz w:val="20"/>
          <w:szCs w:val="20"/>
        </w:rPr>
        <w:t>r the contract term. The Company also has deferred revenue related to undelivered hardware and professional services, consisting of installations and consulting engagements, which are recognized as the Company’s performance obligations under the contract a</w:t>
      </w:r>
      <w:r>
        <w:rPr>
          <w:rFonts w:ascii="Times New Roman" w:eastAsia="宋体" w:hAnsi="Times New Roman"/>
          <w:color w:val="000000"/>
          <w:sz w:val="20"/>
          <w:szCs w:val="20"/>
        </w:rPr>
        <w:t>re completed.</w:t>
      </w:r>
    </w:p>
    <w:p w14:paraId="33DAC76E" w14:textId="77777777" w:rsidR="004D6A64" w:rsidRDefault="004D6A64"/>
    <w:p w14:paraId="33DAC76F" w14:textId="77777777" w:rsidR="004D6A64" w:rsidRDefault="00506CD6">
      <w:r>
        <w:rPr>
          <w:rFonts w:ascii="Times New Roman" w:eastAsia="宋体" w:hAnsi="Times New Roman"/>
          <w:color w:val="000000"/>
          <w:sz w:val="20"/>
          <w:szCs w:val="20"/>
        </w:rPr>
        <w:t>The following table presents the changes in the Company’s deferred revenue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3130"/>
        <w:gridCol w:w="38"/>
        <w:gridCol w:w="135"/>
        <w:gridCol w:w="862"/>
        <w:gridCol w:w="41"/>
        <w:gridCol w:w="36"/>
        <w:gridCol w:w="36"/>
        <w:gridCol w:w="36"/>
        <w:gridCol w:w="135"/>
        <w:gridCol w:w="863"/>
        <w:gridCol w:w="41"/>
        <w:gridCol w:w="36"/>
        <w:gridCol w:w="36"/>
        <w:gridCol w:w="36"/>
        <w:gridCol w:w="135"/>
        <w:gridCol w:w="863"/>
        <w:gridCol w:w="41"/>
        <w:gridCol w:w="36"/>
        <w:gridCol w:w="36"/>
        <w:gridCol w:w="36"/>
        <w:gridCol w:w="135"/>
        <w:gridCol w:w="865"/>
        <w:gridCol w:w="41"/>
        <w:gridCol w:w="36"/>
        <w:gridCol w:w="36"/>
        <w:gridCol w:w="36"/>
        <w:gridCol w:w="36"/>
        <w:gridCol w:w="36"/>
        <w:gridCol w:w="36"/>
        <w:gridCol w:w="36"/>
        <w:gridCol w:w="36"/>
        <w:gridCol w:w="36"/>
        <w:gridCol w:w="36"/>
        <w:gridCol w:w="36"/>
        <w:gridCol w:w="36"/>
        <w:gridCol w:w="36"/>
        <w:gridCol w:w="36"/>
        <w:gridCol w:w="36"/>
        <w:gridCol w:w="36"/>
        <w:gridCol w:w="36"/>
        <w:gridCol w:w="36"/>
      </w:tblGrid>
      <w:tr w:rsidR="004D6A64" w14:paraId="33DAC788" w14:textId="77777777">
        <w:trPr>
          <w:gridAfter w:val="18"/>
        </w:trPr>
        <w:tc>
          <w:tcPr>
            <w:tcW w:w="50" w:type="pct"/>
            <w:shd w:val="clear" w:color="auto" w:fill="auto"/>
          </w:tcPr>
          <w:p w14:paraId="33DAC770" w14:textId="77777777" w:rsidR="004D6A64" w:rsidRDefault="004D6A64">
            <w:pPr>
              <w:rPr>
                <w:rFonts w:ascii="宋体"/>
              </w:rPr>
            </w:pPr>
          </w:p>
        </w:tc>
        <w:tc>
          <w:tcPr>
            <w:tcW w:w="2137" w:type="pct"/>
            <w:shd w:val="clear" w:color="auto" w:fill="auto"/>
          </w:tcPr>
          <w:p w14:paraId="33DAC771" w14:textId="77777777" w:rsidR="004D6A64" w:rsidRDefault="004D6A64">
            <w:pPr>
              <w:rPr>
                <w:rFonts w:ascii="宋体"/>
              </w:rPr>
            </w:pPr>
          </w:p>
        </w:tc>
        <w:tc>
          <w:tcPr>
            <w:tcW w:w="5" w:type="pct"/>
            <w:shd w:val="clear" w:color="auto" w:fill="auto"/>
          </w:tcPr>
          <w:p w14:paraId="33DAC772" w14:textId="77777777" w:rsidR="004D6A64" w:rsidRDefault="004D6A64">
            <w:pPr>
              <w:rPr>
                <w:rFonts w:ascii="宋体"/>
              </w:rPr>
            </w:pPr>
          </w:p>
        </w:tc>
        <w:tc>
          <w:tcPr>
            <w:tcW w:w="50" w:type="pct"/>
            <w:shd w:val="clear" w:color="auto" w:fill="auto"/>
          </w:tcPr>
          <w:p w14:paraId="33DAC773" w14:textId="77777777" w:rsidR="004D6A64" w:rsidRDefault="004D6A64">
            <w:pPr>
              <w:rPr>
                <w:rFonts w:ascii="宋体"/>
              </w:rPr>
            </w:pPr>
          </w:p>
        </w:tc>
        <w:tc>
          <w:tcPr>
            <w:tcW w:w="624" w:type="pct"/>
            <w:shd w:val="clear" w:color="auto" w:fill="auto"/>
          </w:tcPr>
          <w:p w14:paraId="33DAC774" w14:textId="77777777" w:rsidR="004D6A64" w:rsidRDefault="004D6A64">
            <w:pPr>
              <w:rPr>
                <w:rFonts w:ascii="宋体"/>
              </w:rPr>
            </w:pPr>
          </w:p>
        </w:tc>
        <w:tc>
          <w:tcPr>
            <w:tcW w:w="5" w:type="pct"/>
            <w:shd w:val="clear" w:color="auto" w:fill="auto"/>
          </w:tcPr>
          <w:p w14:paraId="33DAC775" w14:textId="77777777" w:rsidR="004D6A64" w:rsidRDefault="004D6A64">
            <w:pPr>
              <w:rPr>
                <w:rFonts w:ascii="宋体"/>
              </w:rPr>
            </w:pPr>
          </w:p>
        </w:tc>
        <w:tc>
          <w:tcPr>
            <w:tcW w:w="5" w:type="pct"/>
            <w:shd w:val="clear" w:color="auto" w:fill="auto"/>
          </w:tcPr>
          <w:p w14:paraId="33DAC776" w14:textId="77777777" w:rsidR="004D6A64" w:rsidRDefault="004D6A64">
            <w:pPr>
              <w:rPr>
                <w:rFonts w:ascii="宋体"/>
              </w:rPr>
            </w:pPr>
          </w:p>
        </w:tc>
        <w:tc>
          <w:tcPr>
            <w:tcW w:w="19" w:type="pct"/>
            <w:shd w:val="clear" w:color="auto" w:fill="auto"/>
          </w:tcPr>
          <w:p w14:paraId="33DAC777" w14:textId="77777777" w:rsidR="004D6A64" w:rsidRDefault="004D6A64">
            <w:pPr>
              <w:rPr>
                <w:rFonts w:ascii="宋体"/>
              </w:rPr>
            </w:pPr>
          </w:p>
        </w:tc>
        <w:tc>
          <w:tcPr>
            <w:tcW w:w="5" w:type="pct"/>
            <w:shd w:val="clear" w:color="auto" w:fill="auto"/>
          </w:tcPr>
          <w:p w14:paraId="33DAC778" w14:textId="77777777" w:rsidR="004D6A64" w:rsidRDefault="004D6A64">
            <w:pPr>
              <w:rPr>
                <w:rFonts w:ascii="宋体"/>
              </w:rPr>
            </w:pPr>
          </w:p>
        </w:tc>
        <w:tc>
          <w:tcPr>
            <w:tcW w:w="50" w:type="pct"/>
            <w:shd w:val="clear" w:color="auto" w:fill="auto"/>
          </w:tcPr>
          <w:p w14:paraId="33DAC779" w14:textId="77777777" w:rsidR="004D6A64" w:rsidRDefault="004D6A64">
            <w:pPr>
              <w:rPr>
                <w:rFonts w:ascii="宋体"/>
              </w:rPr>
            </w:pPr>
          </w:p>
        </w:tc>
        <w:tc>
          <w:tcPr>
            <w:tcW w:w="624" w:type="pct"/>
            <w:shd w:val="clear" w:color="auto" w:fill="auto"/>
          </w:tcPr>
          <w:p w14:paraId="33DAC77A" w14:textId="77777777" w:rsidR="004D6A64" w:rsidRDefault="004D6A64">
            <w:pPr>
              <w:rPr>
                <w:rFonts w:ascii="宋体"/>
              </w:rPr>
            </w:pPr>
          </w:p>
        </w:tc>
        <w:tc>
          <w:tcPr>
            <w:tcW w:w="5" w:type="pct"/>
            <w:shd w:val="clear" w:color="auto" w:fill="auto"/>
          </w:tcPr>
          <w:p w14:paraId="33DAC77B" w14:textId="77777777" w:rsidR="004D6A64" w:rsidRDefault="004D6A64">
            <w:pPr>
              <w:rPr>
                <w:rFonts w:ascii="宋体"/>
              </w:rPr>
            </w:pPr>
          </w:p>
        </w:tc>
        <w:tc>
          <w:tcPr>
            <w:tcW w:w="5" w:type="pct"/>
            <w:shd w:val="clear" w:color="auto" w:fill="auto"/>
          </w:tcPr>
          <w:p w14:paraId="33DAC77C" w14:textId="77777777" w:rsidR="004D6A64" w:rsidRDefault="004D6A64">
            <w:pPr>
              <w:rPr>
                <w:rFonts w:ascii="宋体"/>
              </w:rPr>
            </w:pPr>
          </w:p>
        </w:tc>
        <w:tc>
          <w:tcPr>
            <w:tcW w:w="19" w:type="pct"/>
            <w:shd w:val="clear" w:color="auto" w:fill="auto"/>
          </w:tcPr>
          <w:p w14:paraId="33DAC77D" w14:textId="77777777" w:rsidR="004D6A64" w:rsidRDefault="004D6A64">
            <w:pPr>
              <w:rPr>
                <w:rFonts w:ascii="宋体"/>
              </w:rPr>
            </w:pPr>
          </w:p>
        </w:tc>
        <w:tc>
          <w:tcPr>
            <w:tcW w:w="5" w:type="pct"/>
            <w:shd w:val="clear" w:color="auto" w:fill="auto"/>
          </w:tcPr>
          <w:p w14:paraId="33DAC77E" w14:textId="77777777" w:rsidR="004D6A64" w:rsidRDefault="004D6A64">
            <w:pPr>
              <w:rPr>
                <w:rFonts w:ascii="宋体"/>
              </w:rPr>
            </w:pPr>
          </w:p>
        </w:tc>
        <w:tc>
          <w:tcPr>
            <w:tcW w:w="50" w:type="pct"/>
            <w:shd w:val="clear" w:color="auto" w:fill="auto"/>
          </w:tcPr>
          <w:p w14:paraId="33DAC77F" w14:textId="77777777" w:rsidR="004D6A64" w:rsidRDefault="004D6A64">
            <w:pPr>
              <w:rPr>
                <w:rFonts w:ascii="宋体"/>
              </w:rPr>
            </w:pPr>
          </w:p>
        </w:tc>
        <w:tc>
          <w:tcPr>
            <w:tcW w:w="624" w:type="pct"/>
            <w:shd w:val="clear" w:color="auto" w:fill="auto"/>
          </w:tcPr>
          <w:p w14:paraId="33DAC780" w14:textId="77777777" w:rsidR="004D6A64" w:rsidRDefault="004D6A64">
            <w:pPr>
              <w:rPr>
                <w:rFonts w:ascii="宋体"/>
              </w:rPr>
            </w:pPr>
          </w:p>
        </w:tc>
        <w:tc>
          <w:tcPr>
            <w:tcW w:w="5" w:type="pct"/>
            <w:shd w:val="clear" w:color="auto" w:fill="auto"/>
          </w:tcPr>
          <w:p w14:paraId="33DAC781" w14:textId="77777777" w:rsidR="004D6A64" w:rsidRDefault="004D6A64">
            <w:pPr>
              <w:rPr>
                <w:rFonts w:ascii="宋体"/>
              </w:rPr>
            </w:pPr>
          </w:p>
        </w:tc>
        <w:tc>
          <w:tcPr>
            <w:tcW w:w="5" w:type="pct"/>
            <w:shd w:val="clear" w:color="auto" w:fill="auto"/>
          </w:tcPr>
          <w:p w14:paraId="33DAC782" w14:textId="77777777" w:rsidR="004D6A64" w:rsidRDefault="004D6A64">
            <w:pPr>
              <w:rPr>
                <w:rFonts w:ascii="宋体"/>
              </w:rPr>
            </w:pPr>
          </w:p>
        </w:tc>
        <w:tc>
          <w:tcPr>
            <w:tcW w:w="19" w:type="pct"/>
            <w:shd w:val="clear" w:color="auto" w:fill="auto"/>
          </w:tcPr>
          <w:p w14:paraId="33DAC783" w14:textId="77777777" w:rsidR="004D6A64" w:rsidRDefault="004D6A64">
            <w:pPr>
              <w:rPr>
                <w:rFonts w:ascii="宋体"/>
              </w:rPr>
            </w:pPr>
          </w:p>
        </w:tc>
        <w:tc>
          <w:tcPr>
            <w:tcW w:w="5" w:type="pct"/>
            <w:shd w:val="clear" w:color="auto" w:fill="auto"/>
          </w:tcPr>
          <w:p w14:paraId="33DAC784" w14:textId="77777777" w:rsidR="004D6A64" w:rsidRDefault="004D6A64">
            <w:pPr>
              <w:rPr>
                <w:rFonts w:ascii="宋体"/>
              </w:rPr>
            </w:pPr>
          </w:p>
        </w:tc>
        <w:tc>
          <w:tcPr>
            <w:tcW w:w="50" w:type="pct"/>
            <w:shd w:val="clear" w:color="auto" w:fill="auto"/>
          </w:tcPr>
          <w:p w14:paraId="33DAC785" w14:textId="77777777" w:rsidR="004D6A64" w:rsidRDefault="004D6A64">
            <w:pPr>
              <w:rPr>
                <w:rFonts w:ascii="宋体"/>
              </w:rPr>
            </w:pPr>
          </w:p>
        </w:tc>
        <w:tc>
          <w:tcPr>
            <w:tcW w:w="625" w:type="pct"/>
            <w:shd w:val="clear" w:color="auto" w:fill="auto"/>
          </w:tcPr>
          <w:p w14:paraId="33DAC786" w14:textId="77777777" w:rsidR="004D6A64" w:rsidRDefault="004D6A64">
            <w:pPr>
              <w:rPr>
                <w:rFonts w:ascii="宋体"/>
              </w:rPr>
            </w:pPr>
          </w:p>
        </w:tc>
        <w:tc>
          <w:tcPr>
            <w:tcW w:w="5" w:type="pct"/>
            <w:shd w:val="clear" w:color="auto" w:fill="auto"/>
          </w:tcPr>
          <w:p w14:paraId="33DAC787" w14:textId="77777777" w:rsidR="004D6A64" w:rsidRDefault="004D6A64">
            <w:pPr>
              <w:rPr>
                <w:rFonts w:ascii="宋体"/>
              </w:rPr>
            </w:pPr>
          </w:p>
        </w:tc>
      </w:tr>
      <w:tr w:rsidR="004D6A64" w14:paraId="33DAC791" w14:textId="77777777">
        <w:trPr>
          <w:gridAfter w:val="6"/>
        </w:trPr>
        <w:tc>
          <w:tcPr>
            <w:tcW w:w="0" w:type="auto"/>
            <w:gridSpan w:val="3"/>
            <w:shd w:val="clear" w:color="auto" w:fill="auto"/>
            <w:tcMar>
              <w:left w:w="20" w:type="dxa"/>
              <w:right w:w="20" w:type="dxa"/>
            </w:tcMar>
            <w:vAlign w:val="bottom"/>
          </w:tcPr>
          <w:p w14:paraId="33DAC789" w14:textId="77777777" w:rsidR="004D6A64" w:rsidRDefault="004D6A64">
            <w:pPr>
              <w:rPr>
                <w:rFonts w:ascii="宋体"/>
              </w:rPr>
            </w:pPr>
          </w:p>
        </w:tc>
        <w:tc>
          <w:tcPr>
            <w:tcW w:w="0" w:type="auto"/>
            <w:gridSpan w:val="9"/>
            <w:shd w:val="clear" w:color="auto" w:fill="auto"/>
            <w:tcMar>
              <w:top w:w="40" w:type="dxa"/>
              <w:left w:w="20" w:type="dxa"/>
              <w:bottom w:w="40" w:type="dxa"/>
              <w:right w:w="20" w:type="dxa"/>
            </w:tcMar>
            <w:vAlign w:val="bottom"/>
          </w:tcPr>
          <w:p w14:paraId="33DAC78A" w14:textId="77777777" w:rsidR="004D6A64" w:rsidRDefault="00506CD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Pr>
          <w:p w14:paraId="33DAC78B" w14:textId="77777777" w:rsidR="004D6A64" w:rsidRDefault="004D6A64">
            <w:pPr>
              <w:rPr>
                <w:rFonts w:ascii="宋体"/>
                <w:vanish/>
              </w:rPr>
            </w:pPr>
          </w:p>
        </w:tc>
        <w:tc>
          <w:tcPr>
            <w:tcW w:w="0" w:type="auto"/>
            <w:gridSpan w:val="3"/>
            <w:shd w:val="clear" w:color="auto" w:fill="auto"/>
          </w:tcPr>
          <w:p w14:paraId="33DAC78C"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C78D" w14:textId="77777777" w:rsidR="004D6A64" w:rsidRDefault="004D6A64">
            <w:pPr>
              <w:rPr>
                <w:rFonts w:ascii="宋体"/>
              </w:rPr>
            </w:pPr>
          </w:p>
        </w:tc>
        <w:tc>
          <w:tcPr>
            <w:tcW w:w="0" w:type="auto"/>
            <w:gridSpan w:val="9"/>
            <w:shd w:val="clear" w:color="auto" w:fill="auto"/>
            <w:tcMar>
              <w:top w:w="40" w:type="dxa"/>
              <w:left w:w="20" w:type="dxa"/>
              <w:bottom w:w="40" w:type="dxa"/>
              <w:right w:w="20" w:type="dxa"/>
            </w:tcMar>
            <w:vAlign w:val="bottom"/>
          </w:tcPr>
          <w:p w14:paraId="33DAC78E" w14:textId="77777777" w:rsidR="004D6A64" w:rsidRDefault="00506CD6">
            <w:pPr>
              <w:jc w:val="center"/>
              <w:textAlignment w:val="bottom"/>
            </w:pPr>
            <w:r>
              <w:rPr>
                <w:rFonts w:ascii="Times New Roman" w:eastAsia="宋体" w:hAnsi="Times New Roman"/>
                <w:b/>
                <w:bCs/>
                <w:color w:val="000000"/>
                <w:sz w:val="20"/>
                <w:szCs w:val="20"/>
              </w:rPr>
              <w:t>Six Months Ended</w:t>
            </w:r>
          </w:p>
        </w:tc>
        <w:tc>
          <w:tcPr>
            <w:tcW w:w="0" w:type="auto"/>
            <w:gridSpan w:val="3"/>
            <w:shd w:val="clear" w:color="auto" w:fill="auto"/>
          </w:tcPr>
          <w:p w14:paraId="33DAC78F" w14:textId="77777777" w:rsidR="004D6A64" w:rsidRDefault="004D6A64">
            <w:pPr>
              <w:rPr>
                <w:rFonts w:ascii="宋体"/>
                <w:vanish/>
              </w:rPr>
            </w:pPr>
          </w:p>
        </w:tc>
        <w:tc>
          <w:tcPr>
            <w:tcW w:w="0" w:type="auto"/>
            <w:gridSpan w:val="3"/>
            <w:shd w:val="clear" w:color="auto" w:fill="auto"/>
          </w:tcPr>
          <w:p w14:paraId="33DAC790" w14:textId="77777777" w:rsidR="004D6A64" w:rsidRDefault="004D6A64">
            <w:pPr>
              <w:rPr>
                <w:rFonts w:ascii="宋体"/>
                <w:vanish/>
              </w:rPr>
            </w:pPr>
          </w:p>
        </w:tc>
      </w:tr>
      <w:tr w:rsidR="004D6A64" w14:paraId="33DAC7A6" w14:textId="77777777">
        <w:trPr>
          <w:gridAfter w:val="6"/>
        </w:trPr>
        <w:tc>
          <w:tcPr>
            <w:tcW w:w="0" w:type="auto"/>
            <w:gridSpan w:val="3"/>
            <w:shd w:val="clear" w:color="auto" w:fill="auto"/>
            <w:tcMar>
              <w:left w:w="20" w:type="dxa"/>
              <w:right w:w="20" w:type="dxa"/>
            </w:tcMar>
            <w:vAlign w:val="bottom"/>
          </w:tcPr>
          <w:p w14:paraId="33DAC792"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C793"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C794"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C795"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gridSpan w:val="3"/>
            <w:shd w:val="clear" w:color="auto" w:fill="auto"/>
            <w:tcMar>
              <w:left w:w="20" w:type="dxa"/>
              <w:right w:w="20" w:type="dxa"/>
            </w:tcMar>
            <w:vAlign w:val="bottom"/>
          </w:tcPr>
          <w:p w14:paraId="33DAC796"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C797"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C798"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C799"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shd w:val="clear" w:color="auto" w:fill="auto"/>
          </w:tcPr>
          <w:p w14:paraId="33DAC79A" w14:textId="77777777" w:rsidR="004D6A64" w:rsidRDefault="004D6A64">
            <w:pPr>
              <w:rPr>
                <w:rFonts w:ascii="宋体"/>
              </w:rPr>
            </w:pPr>
          </w:p>
        </w:tc>
        <w:tc>
          <w:tcPr>
            <w:tcW w:w="0" w:type="auto"/>
            <w:shd w:val="clear" w:color="auto" w:fill="auto"/>
          </w:tcPr>
          <w:p w14:paraId="33DAC79B" w14:textId="77777777" w:rsidR="004D6A64" w:rsidRDefault="004D6A64">
            <w:pPr>
              <w:rPr>
                <w:rFonts w:ascii="宋体"/>
              </w:rPr>
            </w:pPr>
          </w:p>
        </w:tc>
        <w:tc>
          <w:tcPr>
            <w:tcW w:w="0" w:type="auto"/>
            <w:shd w:val="clear" w:color="auto" w:fill="auto"/>
          </w:tcPr>
          <w:p w14:paraId="33DAC79C" w14:textId="77777777" w:rsidR="004D6A64" w:rsidRDefault="004D6A64">
            <w:pPr>
              <w:rPr>
                <w:rFonts w:ascii="宋体"/>
              </w:rPr>
            </w:pPr>
          </w:p>
        </w:tc>
        <w:tc>
          <w:tcPr>
            <w:tcW w:w="0" w:type="auto"/>
            <w:shd w:val="clear" w:color="auto" w:fill="auto"/>
          </w:tcPr>
          <w:p w14:paraId="33DAC79D" w14:textId="77777777" w:rsidR="004D6A64" w:rsidRDefault="004D6A64">
            <w:pPr>
              <w:rPr>
                <w:rFonts w:ascii="宋体"/>
              </w:rPr>
            </w:pPr>
          </w:p>
        </w:tc>
        <w:tc>
          <w:tcPr>
            <w:tcW w:w="0" w:type="auto"/>
            <w:shd w:val="clear" w:color="auto" w:fill="auto"/>
          </w:tcPr>
          <w:p w14:paraId="33DAC79E" w14:textId="77777777" w:rsidR="004D6A64" w:rsidRDefault="004D6A64">
            <w:pPr>
              <w:rPr>
                <w:rFonts w:ascii="宋体"/>
              </w:rPr>
            </w:pPr>
          </w:p>
        </w:tc>
        <w:tc>
          <w:tcPr>
            <w:tcW w:w="0" w:type="auto"/>
            <w:shd w:val="clear" w:color="auto" w:fill="auto"/>
          </w:tcPr>
          <w:p w14:paraId="33DAC79F" w14:textId="77777777" w:rsidR="004D6A64" w:rsidRDefault="004D6A64">
            <w:pPr>
              <w:rPr>
                <w:rFonts w:ascii="宋体"/>
              </w:rPr>
            </w:pPr>
          </w:p>
        </w:tc>
        <w:tc>
          <w:tcPr>
            <w:tcW w:w="0" w:type="auto"/>
            <w:shd w:val="clear" w:color="auto" w:fill="auto"/>
          </w:tcPr>
          <w:p w14:paraId="33DAC7A0" w14:textId="77777777" w:rsidR="004D6A64" w:rsidRDefault="004D6A64">
            <w:pPr>
              <w:rPr>
                <w:rFonts w:ascii="宋体"/>
              </w:rPr>
            </w:pPr>
          </w:p>
        </w:tc>
        <w:tc>
          <w:tcPr>
            <w:tcW w:w="0" w:type="auto"/>
            <w:shd w:val="clear" w:color="auto" w:fill="auto"/>
          </w:tcPr>
          <w:p w14:paraId="33DAC7A1" w14:textId="77777777" w:rsidR="004D6A64" w:rsidRDefault="004D6A64">
            <w:pPr>
              <w:rPr>
                <w:rFonts w:ascii="宋体"/>
              </w:rPr>
            </w:pPr>
          </w:p>
        </w:tc>
        <w:tc>
          <w:tcPr>
            <w:tcW w:w="0" w:type="auto"/>
            <w:shd w:val="clear" w:color="auto" w:fill="auto"/>
          </w:tcPr>
          <w:p w14:paraId="33DAC7A2" w14:textId="77777777" w:rsidR="004D6A64" w:rsidRDefault="004D6A64">
            <w:pPr>
              <w:rPr>
                <w:rFonts w:ascii="宋体"/>
              </w:rPr>
            </w:pPr>
          </w:p>
        </w:tc>
        <w:tc>
          <w:tcPr>
            <w:tcW w:w="0" w:type="auto"/>
            <w:shd w:val="clear" w:color="auto" w:fill="auto"/>
          </w:tcPr>
          <w:p w14:paraId="33DAC7A3" w14:textId="77777777" w:rsidR="004D6A64" w:rsidRDefault="004D6A64">
            <w:pPr>
              <w:rPr>
                <w:rFonts w:ascii="宋体"/>
              </w:rPr>
            </w:pPr>
          </w:p>
        </w:tc>
        <w:tc>
          <w:tcPr>
            <w:tcW w:w="0" w:type="auto"/>
            <w:shd w:val="clear" w:color="auto" w:fill="auto"/>
          </w:tcPr>
          <w:p w14:paraId="33DAC7A4" w14:textId="77777777" w:rsidR="004D6A64" w:rsidRDefault="004D6A64">
            <w:pPr>
              <w:rPr>
                <w:rFonts w:ascii="宋体"/>
              </w:rPr>
            </w:pPr>
          </w:p>
        </w:tc>
        <w:tc>
          <w:tcPr>
            <w:tcW w:w="0" w:type="auto"/>
            <w:shd w:val="clear" w:color="auto" w:fill="auto"/>
          </w:tcPr>
          <w:p w14:paraId="33DAC7A5" w14:textId="77777777" w:rsidR="004D6A64" w:rsidRDefault="004D6A64">
            <w:pPr>
              <w:rPr>
                <w:rFonts w:ascii="宋体"/>
              </w:rPr>
            </w:pPr>
          </w:p>
        </w:tc>
      </w:tr>
      <w:tr w:rsidR="004D6A64" w14:paraId="33DAC7AF" w14:textId="77777777">
        <w:tc>
          <w:tcPr>
            <w:tcW w:w="0" w:type="auto"/>
            <w:gridSpan w:val="3"/>
            <w:shd w:val="clear" w:color="auto" w:fill="auto"/>
            <w:tcMar>
              <w:left w:w="20" w:type="dxa"/>
              <w:right w:w="20" w:type="dxa"/>
            </w:tcMar>
            <w:vAlign w:val="bottom"/>
          </w:tcPr>
          <w:p w14:paraId="33DAC7A7" w14:textId="77777777" w:rsidR="004D6A64" w:rsidRDefault="004D6A64">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33DAC7A8" w14:textId="77777777" w:rsidR="004D6A64" w:rsidRDefault="00506CD6">
            <w:pPr>
              <w:jc w:val="center"/>
              <w:textAlignment w:val="center"/>
            </w:pPr>
            <w:r>
              <w:rPr>
                <w:rFonts w:ascii="Times New Roman" w:eastAsia="宋体" w:hAnsi="Times New Roman"/>
                <w:color w:val="000000"/>
                <w:sz w:val="20"/>
                <w:szCs w:val="20"/>
              </w:rPr>
              <w:t>(in millions)</w:t>
            </w:r>
          </w:p>
        </w:tc>
        <w:tc>
          <w:tcPr>
            <w:tcW w:w="0" w:type="auto"/>
            <w:gridSpan w:val="3"/>
            <w:shd w:val="clear" w:color="auto" w:fill="auto"/>
          </w:tcPr>
          <w:p w14:paraId="33DAC7A9" w14:textId="77777777" w:rsidR="004D6A64" w:rsidRDefault="004D6A64">
            <w:pPr>
              <w:rPr>
                <w:rFonts w:ascii="宋体"/>
                <w:vanish/>
              </w:rPr>
            </w:pPr>
          </w:p>
        </w:tc>
        <w:tc>
          <w:tcPr>
            <w:tcW w:w="0" w:type="auto"/>
            <w:gridSpan w:val="3"/>
            <w:shd w:val="clear" w:color="auto" w:fill="auto"/>
          </w:tcPr>
          <w:p w14:paraId="33DAC7AA" w14:textId="77777777" w:rsidR="004D6A64" w:rsidRDefault="004D6A64">
            <w:pPr>
              <w:rPr>
                <w:rFonts w:ascii="宋体"/>
                <w:vanish/>
              </w:rPr>
            </w:pPr>
          </w:p>
        </w:tc>
        <w:tc>
          <w:tcPr>
            <w:tcW w:w="0" w:type="auto"/>
            <w:gridSpan w:val="3"/>
            <w:shd w:val="clear" w:color="auto" w:fill="auto"/>
          </w:tcPr>
          <w:p w14:paraId="33DAC7AB" w14:textId="77777777" w:rsidR="004D6A64" w:rsidRDefault="004D6A64">
            <w:pPr>
              <w:rPr>
                <w:rFonts w:ascii="宋体"/>
                <w:vanish/>
              </w:rPr>
            </w:pPr>
          </w:p>
        </w:tc>
        <w:tc>
          <w:tcPr>
            <w:tcW w:w="0" w:type="auto"/>
            <w:gridSpan w:val="3"/>
            <w:shd w:val="clear" w:color="auto" w:fill="auto"/>
          </w:tcPr>
          <w:p w14:paraId="33DAC7AC" w14:textId="77777777" w:rsidR="004D6A64" w:rsidRDefault="004D6A64">
            <w:pPr>
              <w:rPr>
                <w:rFonts w:ascii="宋体"/>
                <w:vanish/>
              </w:rPr>
            </w:pPr>
          </w:p>
        </w:tc>
        <w:tc>
          <w:tcPr>
            <w:tcW w:w="0" w:type="auto"/>
            <w:gridSpan w:val="3"/>
            <w:shd w:val="clear" w:color="auto" w:fill="auto"/>
          </w:tcPr>
          <w:p w14:paraId="33DAC7AD" w14:textId="77777777" w:rsidR="004D6A64" w:rsidRDefault="004D6A64">
            <w:pPr>
              <w:rPr>
                <w:rFonts w:ascii="宋体"/>
                <w:vanish/>
              </w:rPr>
            </w:pPr>
          </w:p>
        </w:tc>
        <w:tc>
          <w:tcPr>
            <w:tcW w:w="0" w:type="auto"/>
            <w:gridSpan w:val="3"/>
            <w:shd w:val="clear" w:color="auto" w:fill="auto"/>
          </w:tcPr>
          <w:p w14:paraId="33DAC7AE" w14:textId="77777777" w:rsidR="004D6A64" w:rsidRDefault="004D6A64">
            <w:pPr>
              <w:rPr>
                <w:rFonts w:ascii="宋体"/>
                <w:vanish/>
              </w:rPr>
            </w:pPr>
          </w:p>
        </w:tc>
      </w:tr>
      <w:tr w:rsidR="004D6A64" w14:paraId="33DAC7CA" w14:textId="77777777">
        <w:tc>
          <w:tcPr>
            <w:tcW w:w="0" w:type="auto"/>
            <w:gridSpan w:val="3"/>
            <w:shd w:val="clear" w:color="auto" w:fill="CCEEFF"/>
            <w:tcMar>
              <w:top w:w="40" w:type="dxa"/>
              <w:left w:w="20" w:type="dxa"/>
              <w:bottom w:w="40" w:type="dxa"/>
              <w:right w:w="20" w:type="dxa"/>
            </w:tcMar>
            <w:vAlign w:val="center"/>
          </w:tcPr>
          <w:p w14:paraId="33DAC7B0" w14:textId="77777777" w:rsidR="004D6A64" w:rsidRDefault="00506CD6">
            <w:pPr>
              <w:textAlignment w:val="center"/>
            </w:pPr>
            <w:r>
              <w:rPr>
                <w:rFonts w:ascii="Times New Roman" w:eastAsia="宋体" w:hAnsi="Times New Roman"/>
                <w:i/>
                <w:iCs/>
                <w:color w:val="000000"/>
                <w:sz w:val="20"/>
                <w:szCs w:val="20"/>
              </w:rPr>
              <w:t>Deferred revenue:</w:t>
            </w:r>
          </w:p>
        </w:tc>
        <w:tc>
          <w:tcPr>
            <w:tcW w:w="0" w:type="auto"/>
            <w:gridSpan w:val="3"/>
            <w:shd w:val="clear" w:color="auto" w:fill="CCEEFF"/>
            <w:tcMar>
              <w:left w:w="20" w:type="dxa"/>
              <w:right w:w="20" w:type="dxa"/>
            </w:tcMar>
            <w:vAlign w:val="bottom"/>
          </w:tcPr>
          <w:p w14:paraId="33DAC7B1"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7B2"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7B3"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7B4"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7B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7B6"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7B7" w14:textId="77777777" w:rsidR="004D6A64" w:rsidRDefault="004D6A64">
            <w:pPr>
              <w:rPr>
                <w:rFonts w:ascii="宋体"/>
              </w:rPr>
            </w:pPr>
          </w:p>
        </w:tc>
        <w:tc>
          <w:tcPr>
            <w:tcW w:w="0" w:type="auto"/>
            <w:shd w:val="clear" w:color="auto" w:fill="auto"/>
          </w:tcPr>
          <w:p w14:paraId="33DAC7B8" w14:textId="77777777" w:rsidR="004D6A64" w:rsidRDefault="004D6A64">
            <w:pPr>
              <w:rPr>
                <w:rFonts w:ascii="宋体"/>
              </w:rPr>
            </w:pPr>
          </w:p>
        </w:tc>
        <w:tc>
          <w:tcPr>
            <w:tcW w:w="0" w:type="auto"/>
            <w:shd w:val="clear" w:color="auto" w:fill="auto"/>
          </w:tcPr>
          <w:p w14:paraId="33DAC7B9" w14:textId="77777777" w:rsidR="004D6A64" w:rsidRDefault="004D6A64">
            <w:pPr>
              <w:rPr>
                <w:rFonts w:ascii="宋体"/>
              </w:rPr>
            </w:pPr>
          </w:p>
        </w:tc>
        <w:tc>
          <w:tcPr>
            <w:tcW w:w="0" w:type="auto"/>
            <w:shd w:val="clear" w:color="auto" w:fill="auto"/>
          </w:tcPr>
          <w:p w14:paraId="33DAC7BA" w14:textId="77777777" w:rsidR="004D6A64" w:rsidRDefault="004D6A64">
            <w:pPr>
              <w:rPr>
                <w:rFonts w:ascii="宋体"/>
              </w:rPr>
            </w:pPr>
          </w:p>
        </w:tc>
        <w:tc>
          <w:tcPr>
            <w:tcW w:w="0" w:type="auto"/>
            <w:shd w:val="clear" w:color="auto" w:fill="auto"/>
          </w:tcPr>
          <w:p w14:paraId="33DAC7BB" w14:textId="77777777" w:rsidR="004D6A64" w:rsidRDefault="004D6A64">
            <w:pPr>
              <w:rPr>
                <w:rFonts w:ascii="宋体"/>
              </w:rPr>
            </w:pPr>
          </w:p>
        </w:tc>
        <w:tc>
          <w:tcPr>
            <w:tcW w:w="0" w:type="auto"/>
            <w:shd w:val="clear" w:color="auto" w:fill="auto"/>
          </w:tcPr>
          <w:p w14:paraId="33DAC7BC" w14:textId="77777777" w:rsidR="004D6A64" w:rsidRDefault="004D6A64">
            <w:pPr>
              <w:rPr>
                <w:rFonts w:ascii="宋体"/>
              </w:rPr>
            </w:pPr>
          </w:p>
        </w:tc>
        <w:tc>
          <w:tcPr>
            <w:tcW w:w="0" w:type="auto"/>
            <w:shd w:val="clear" w:color="auto" w:fill="auto"/>
          </w:tcPr>
          <w:p w14:paraId="33DAC7BD" w14:textId="77777777" w:rsidR="004D6A64" w:rsidRDefault="004D6A64">
            <w:pPr>
              <w:rPr>
                <w:rFonts w:ascii="宋体"/>
              </w:rPr>
            </w:pPr>
          </w:p>
        </w:tc>
        <w:tc>
          <w:tcPr>
            <w:tcW w:w="0" w:type="auto"/>
            <w:shd w:val="clear" w:color="auto" w:fill="auto"/>
          </w:tcPr>
          <w:p w14:paraId="33DAC7BE" w14:textId="77777777" w:rsidR="004D6A64" w:rsidRDefault="004D6A64">
            <w:pPr>
              <w:rPr>
                <w:rFonts w:ascii="宋体"/>
              </w:rPr>
            </w:pPr>
          </w:p>
        </w:tc>
        <w:tc>
          <w:tcPr>
            <w:tcW w:w="0" w:type="auto"/>
            <w:shd w:val="clear" w:color="auto" w:fill="auto"/>
          </w:tcPr>
          <w:p w14:paraId="33DAC7BF" w14:textId="77777777" w:rsidR="004D6A64" w:rsidRDefault="004D6A64">
            <w:pPr>
              <w:rPr>
                <w:rFonts w:ascii="宋体"/>
              </w:rPr>
            </w:pPr>
          </w:p>
        </w:tc>
        <w:tc>
          <w:tcPr>
            <w:tcW w:w="0" w:type="auto"/>
            <w:shd w:val="clear" w:color="auto" w:fill="auto"/>
          </w:tcPr>
          <w:p w14:paraId="33DAC7C0" w14:textId="77777777" w:rsidR="004D6A64" w:rsidRDefault="004D6A64">
            <w:pPr>
              <w:rPr>
                <w:rFonts w:ascii="宋体"/>
              </w:rPr>
            </w:pPr>
          </w:p>
        </w:tc>
        <w:tc>
          <w:tcPr>
            <w:tcW w:w="0" w:type="auto"/>
            <w:shd w:val="clear" w:color="auto" w:fill="auto"/>
          </w:tcPr>
          <w:p w14:paraId="33DAC7C1" w14:textId="77777777" w:rsidR="004D6A64" w:rsidRDefault="004D6A64">
            <w:pPr>
              <w:rPr>
                <w:rFonts w:ascii="宋体"/>
              </w:rPr>
            </w:pPr>
          </w:p>
        </w:tc>
        <w:tc>
          <w:tcPr>
            <w:tcW w:w="0" w:type="auto"/>
            <w:shd w:val="clear" w:color="auto" w:fill="auto"/>
          </w:tcPr>
          <w:p w14:paraId="33DAC7C2" w14:textId="77777777" w:rsidR="004D6A64" w:rsidRDefault="004D6A64">
            <w:pPr>
              <w:rPr>
                <w:rFonts w:ascii="宋体"/>
              </w:rPr>
            </w:pPr>
          </w:p>
        </w:tc>
        <w:tc>
          <w:tcPr>
            <w:tcW w:w="0" w:type="auto"/>
            <w:shd w:val="clear" w:color="auto" w:fill="auto"/>
          </w:tcPr>
          <w:p w14:paraId="33DAC7C3" w14:textId="77777777" w:rsidR="004D6A64" w:rsidRDefault="004D6A64">
            <w:pPr>
              <w:rPr>
                <w:rFonts w:ascii="宋体"/>
              </w:rPr>
            </w:pPr>
          </w:p>
        </w:tc>
        <w:tc>
          <w:tcPr>
            <w:tcW w:w="0" w:type="auto"/>
            <w:shd w:val="clear" w:color="auto" w:fill="auto"/>
          </w:tcPr>
          <w:p w14:paraId="33DAC7C4" w14:textId="77777777" w:rsidR="004D6A64" w:rsidRDefault="004D6A64">
            <w:pPr>
              <w:rPr>
                <w:rFonts w:ascii="宋体"/>
              </w:rPr>
            </w:pPr>
          </w:p>
        </w:tc>
        <w:tc>
          <w:tcPr>
            <w:tcW w:w="0" w:type="auto"/>
            <w:shd w:val="clear" w:color="auto" w:fill="auto"/>
          </w:tcPr>
          <w:p w14:paraId="33DAC7C5" w14:textId="77777777" w:rsidR="004D6A64" w:rsidRDefault="004D6A64">
            <w:pPr>
              <w:rPr>
                <w:rFonts w:ascii="宋体"/>
              </w:rPr>
            </w:pPr>
          </w:p>
        </w:tc>
        <w:tc>
          <w:tcPr>
            <w:tcW w:w="0" w:type="auto"/>
            <w:shd w:val="clear" w:color="auto" w:fill="auto"/>
          </w:tcPr>
          <w:p w14:paraId="33DAC7C6" w14:textId="77777777" w:rsidR="004D6A64" w:rsidRDefault="004D6A64">
            <w:pPr>
              <w:rPr>
                <w:rFonts w:ascii="宋体"/>
              </w:rPr>
            </w:pPr>
          </w:p>
        </w:tc>
        <w:tc>
          <w:tcPr>
            <w:tcW w:w="0" w:type="auto"/>
            <w:shd w:val="clear" w:color="auto" w:fill="auto"/>
          </w:tcPr>
          <w:p w14:paraId="33DAC7C7" w14:textId="77777777" w:rsidR="004D6A64" w:rsidRDefault="004D6A64">
            <w:pPr>
              <w:rPr>
                <w:rFonts w:ascii="宋体"/>
              </w:rPr>
            </w:pPr>
          </w:p>
        </w:tc>
        <w:tc>
          <w:tcPr>
            <w:tcW w:w="0" w:type="auto"/>
            <w:shd w:val="clear" w:color="auto" w:fill="auto"/>
          </w:tcPr>
          <w:p w14:paraId="33DAC7C8" w14:textId="77777777" w:rsidR="004D6A64" w:rsidRDefault="004D6A64">
            <w:pPr>
              <w:rPr>
                <w:rFonts w:ascii="宋体"/>
              </w:rPr>
            </w:pPr>
          </w:p>
        </w:tc>
        <w:tc>
          <w:tcPr>
            <w:tcW w:w="0" w:type="auto"/>
            <w:shd w:val="clear" w:color="auto" w:fill="auto"/>
          </w:tcPr>
          <w:p w14:paraId="33DAC7C9" w14:textId="77777777" w:rsidR="004D6A64" w:rsidRDefault="004D6A64">
            <w:pPr>
              <w:rPr>
                <w:rFonts w:ascii="宋体"/>
              </w:rPr>
            </w:pPr>
          </w:p>
        </w:tc>
      </w:tr>
      <w:tr w:rsidR="004D6A64" w14:paraId="33DAC7ED" w14:textId="77777777">
        <w:tc>
          <w:tcPr>
            <w:tcW w:w="0" w:type="auto"/>
            <w:gridSpan w:val="3"/>
            <w:shd w:val="clear" w:color="auto" w:fill="FFFFFF"/>
            <w:tcMar>
              <w:top w:w="40" w:type="dxa"/>
              <w:left w:w="20" w:type="dxa"/>
              <w:bottom w:w="40" w:type="dxa"/>
              <w:right w:w="20" w:type="dxa"/>
            </w:tcMar>
            <w:vAlign w:val="center"/>
          </w:tcPr>
          <w:p w14:paraId="33DAC7CB" w14:textId="77777777" w:rsidR="004D6A64" w:rsidRDefault="00506CD6">
            <w:pPr>
              <w:textAlignment w:val="center"/>
            </w:pPr>
            <w:r>
              <w:rPr>
                <w:rFonts w:ascii="Times New Roman" w:eastAsia="宋体" w:hAnsi="Times New Roman"/>
                <w:color w:val="000000"/>
                <w:sz w:val="20"/>
                <w:szCs w:val="20"/>
              </w:rPr>
              <w:t>Deferred revenue at beginning of period</w:t>
            </w:r>
          </w:p>
        </w:tc>
        <w:tc>
          <w:tcPr>
            <w:tcW w:w="0" w:type="auto"/>
            <w:shd w:val="clear" w:color="auto" w:fill="FFFFFF"/>
            <w:tcMar>
              <w:top w:w="40" w:type="dxa"/>
              <w:left w:w="20" w:type="dxa"/>
              <w:bottom w:w="40" w:type="dxa"/>
            </w:tcMar>
            <w:vAlign w:val="center"/>
          </w:tcPr>
          <w:p w14:paraId="33DAC7CC"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C7CD" w14:textId="77777777" w:rsidR="004D6A64" w:rsidRDefault="00506CD6">
            <w:pPr>
              <w:jc w:val="right"/>
              <w:textAlignment w:val="center"/>
            </w:pPr>
            <w:r>
              <w:rPr>
                <w:rFonts w:ascii="Times New Roman" w:eastAsia="宋体" w:hAnsi="Times New Roman"/>
                <w:color w:val="000000"/>
                <w:sz w:val="20"/>
                <w:szCs w:val="20"/>
              </w:rPr>
              <w:t>27,617 </w:t>
            </w:r>
          </w:p>
        </w:tc>
        <w:tc>
          <w:tcPr>
            <w:tcW w:w="0" w:type="auto"/>
            <w:shd w:val="clear" w:color="auto" w:fill="FFFFFF"/>
            <w:tcMar>
              <w:top w:w="40" w:type="dxa"/>
              <w:bottom w:w="40" w:type="dxa"/>
              <w:right w:w="20" w:type="dxa"/>
            </w:tcMar>
            <w:vAlign w:val="center"/>
          </w:tcPr>
          <w:p w14:paraId="33DAC7C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7CF"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C7D0"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C7D1" w14:textId="77777777" w:rsidR="004D6A64" w:rsidRDefault="00506CD6">
            <w:pPr>
              <w:jc w:val="right"/>
              <w:textAlignment w:val="center"/>
            </w:pPr>
            <w:r>
              <w:rPr>
                <w:rFonts w:ascii="Times New Roman" w:eastAsia="宋体" w:hAnsi="Times New Roman"/>
                <w:color w:val="000000"/>
                <w:sz w:val="20"/>
                <w:szCs w:val="20"/>
              </w:rPr>
              <w:t>24,178 </w:t>
            </w:r>
          </w:p>
        </w:tc>
        <w:tc>
          <w:tcPr>
            <w:tcW w:w="0" w:type="auto"/>
            <w:shd w:val="clear" w:color="auto" w:fill="FFFFFF"/>
            <w:tcMar>
              <w:top w:w="40" w:type="dxa"/>
              <w:bottom w:w="40" w:type="dxa"/>
              <w:right w:w="20" w:type="dxa"/>
            </w:tcMar>
            <w:vAlign w:val="center"/>
          </w:tcPr>
          <w:p w14:paraId="33DAC7D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7D3"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C7D4"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C7D5" w14:textId="77777777" w:rsidR="004D6A64" w:rsidRDefault="00506CD6">
            <w:pPr>
              <w:jc w:val="right"/>
              <w:textAlignment w:val="center"/>
            </w:pPr>
            <w:r>
              <w:rPr>
                <w:rFonts w:ascii="Times New Roman" w:eastAsia="宋体" w:hAnsi="Times New Roman"/>
                <w:color w:val="000000"/>
                <w:sz w:val="20"/>
                <w:szCs w:val="20"/>
              </w:rPr>
              <w:t>27,800 </w:t>
            </w:r>
          </w:p>
        </w:tc>
        <w:tc>
          <w:tcPr>
            <w:tcW w:w="0" w:type="auto"/>
            <w:shd w:val="clear" w:color="auto" w:fill="FFFFFF"/>
            <w:tcMar>
              <w:top w:w="40" w:type="dxa"/>
              <w:bottom w:w="40" w:type="dxa"/>
              <w:right w:w="20" w:type="dxa"/>
            </w:tcMar>
            <w:vAlign w:val="center"/>
          </w:tcPr>
          <w:p w14:paraId="33DAC7D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7D7"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C7D8"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C7D9" w14:textId="77777777" w:rsidR="004D6A64" w:rsidRDefault="00506CD6">
            <w:pPr>
              <w:jc w:val="right"/>
              <w:textAlignment w:val="center"/>
            </w:pPr>
            <w:r>
              <w:rPr>
                <w:rFonts w:ascii="Times New Roman" w:eastAsia="宋体" w:hAnsi="Times New Roman"/>
                <w:color w:val="000000"/>
                <w:sz w:val="20"/>
                <w:szCs w:val="20"/>
              </w:rPr>
              <w:t>24,010 </w:t>
            </w:r>
          </w:p>
        </w:tc>
        <w:tc>
          <w:tcPr>
            <w:tcW w:w="0" w:type="auto"/>
            <w:shd w:val="clear" w:color="auto" w:fill="FFFFFF"/>
            <w:tcMar>
              <w:top w:w="40" w:type="dxa"/>
              <w:bottom w:w="40" w:type="dxa"/>
              <w:right w:w="20" w:type="dxa"/>
            </w:tcMar>
            <w:vAlign w:val="center"/>
          </w:tcPr>
          <w:p w14:paraId="33DAC7DA" w14:textId="77777777" w:rsidR="004D6A64" w:rsidRDefault="004D6A64">
            <w:pPr>
              <w:jc w:val="right"/>
              <w:rPr>
                <w:rFonts w:ascii="宋体"/>
              </w:rPr>
            </w:pPr>
          </w:p>
        </w:tc>
        <w:tc>
          <w:tcPr>
            <w:tcW w:w="0" w:type="auto"/>
            <w:shd w:val="clear" w:color="auto" w:fill="auto"/>
          </w:tcPr>
          <w:p w14:paraId="33DAC7DB" w14:textId="77777777" w:rsidR="004D6A64" w:rsidRDefault="004D6A64">
            <w:pPr>
              <w:rPr>
                <w:rFonts w:ascii="宋体"/>
              </w:rPr>
            </w:pPr>
          </w:p>
        </w:tc>
        <w:tc>
          <w:tcPr>
            <w:tcW w:w="0" w:type="auto"/>
            <w:shd w:val="clear" w:color="auto" w:fill="auto"/>
          </w:tcPr>
          <w:p w14:paraId="33DAC7DC" w14:textId="77777777" w:rsidR="004D6A64" w:rsidRDefault="004D6A64">
            <w:pPr>
              <w:rPr>
                <w:rFonts w:ascii="宋体"/>
              </w:rPr>
            </w:pPr>
          </w:p>
        </w:tc>
        <w:tc>
          <w:tcPr>
            <w:tcW w:w="0" w:type="auto"/>
            <w:shd w:val="clear" w:color="auto" w:fill="auto"/>
          </w:tcPr>
          <w:p w14:paraId="33DAC7DD" w14:textId="77777777" w:rsidR="004D6A64" w:rsidRDefault="004D6A64">
            <w:pPr>
              <w:rPr>
                <w:rFonts w:ascii="宋体"/>
              </w:rPr>
            </w:pPr>
          </w:p>
        </w:tc>
        <w:tc>
          <w:tcPr>
            <w:tcW w:w="0" w:type="auto"/>
            <w:shd w:val="clear" w:color="auto" w:fill="auto"/>
          </w:tcPr>
          <w:p w14:paraId="33DAC7DE" w14:textId="77777777" w:rsidR="004D6A64" w:rsidRDefault="004D6A64">
            <w:pPr>
              <w:rPr>
                <w:rFonts w:ascii="宋体"/>
              </w:rPr>
            </w:pPr>
          </w:p>
        </w:tc>
        <w:tc>
          <w:tcPr>
            <w:tcW w:w="0" w:type="auto"/>
            <w:shd w:val="clear" w:color="auto" w:fill="auto"/>
          </w:tcPr>
          <w:p w14:paraId="33DAC7DF" w14:textId="77777777" w:rsidR="004D6A64" w:rsidRDefault="004D6A64">
            <w:pPr>
              <w:rPr>
                <w:rFonts w:ascii="宋体"/>
              </w:rPr>
            </w:pPr>
          </w:p>
        </w:tc>
        <w:tc>
          <w:tcPr>
            <w:tcW w:w="0" w:type="auto"/>
            <w:shd w:val="clear" w:color="auto" w:fill="auto"/>
          </w:tcPr>
          <w:p w14:paraId="33DAC7E0" w14:textId="77777777" w:rsidR="004D6A64" w:rsidRDefault="004D6A64">
            <w:pPr>
              <w:rPr>
                <w:rFonts w:ascii="宋体"/>
              </w:rPr>
            </w:pPr>
          </w:p>
        </w:tc>
        <w:tc>
          <w:tcPr>
            <w:tcW w:w="0" w:type="auto"/>
            <w:shd w:val="clear" w:color="auto" w:fill="auto"/>
          </w:tcPr>
          <w:p w14:paraId="33DAC7E1" w14:textId="77777777" w:rsidR="004D6A64" w:rsidRDefault="004D6A64">
            <w:pPr>
              <w:rPr>
                <w:rFonts w:ascii="宋体"/>
              </w:rPr>
            </w:pPr>
          </w:p>
        </w:tc>
        <w:tc>
          <w:tcPr>
            <w:tcW w:w="0" w:type="auto"/>
            <w:shd w:val="clear" w:color="auto" w:fill="auto"/>
          </w:tcPr>
          <w:p w14:paraId="33DAC7E2" w14:textId="77777777" w:rsidR="004D6A64" w:rsidRDefault="004D6A64">
            <w:pPr>
              <w:rPr>
                <w:rFonts w:ascii="宋体"/>
              </w:rPr>
            </w:pPr>
          </w:p>
        </w:tc>
        <w:tc>
          <w:tcPr>
            <w:tcW w:w="0" w:type="auto"/>
            <w:shd w:val="clear" w:color="auto" w:fill="auto"/>
          </w:tcPr>
          <w:p w14:paraId="33DAC7E3" w14:textId="77777777" w:rsidR="004D6A64" w:rsidRDefault="004D6A64">
            <w:pPr>
              <w:rPr>
                <w:rFonts w:ascii="宋体"/>
              </w:rPr>
            </w:pPr>
          </w:p>
        </w:tc>
        <w:tc>
          <w:tcPr>
            <w:tcW w:w="0" w:type="auto"/>
            <w:shd w:val="clear" w:color="auto" w:fill="auto"/>
          </w:tcPr>
          <w:p w14:paraId="33DAC7E4" w14:textId="77777777" w:rsidR="004D6A64" w:rsidRDefault="004D6A64">
            <w:pPr>
              <w:rPr>
                <w:rFonts w:ascii="宋体"/>
              </w:rPr>
            </w:pPr>
          </w:p>
        </w:tc>
        <w:tc>
          <w:tcPr>
            <w:tcW w:w="0" w:type="auto"/>
            <w:shd w:val="clear" w:color="auto" w:fill="auto"/>
          </w:tcPr>
          <w:p w14:paraId="33DAC7E5" w14:textId="77777777" w:rsidR="004D6A64" w:rsidRDefault="004D6A64">
            <w:pPr>
              <w:rPr>
                <w:rFonts w:ascii="宋体"/>
              </w:rPr>
            </w:pPr>
          </w:p>
        </w:tc>
        <w:tc>
          <w:tcPr>
            <w:tcW w:w="0" w:type="auto"/>
            <w:shd w:val="clear" w:color="auto" w:fill="auto"/>
          </w:tcPr>
          <w:p w14:paraId="33DAC7E6" w14:textId="77777777" w:rsidR="004D6A64" w:rsidRDefault="004D6A64">
            <w:pPr>
              <w:rPr>
                <w:rFonts w:ascii="宋体"/>
              </w:rPr>
            </w:pPr>
          </w:p>
        </w:tc>
        <w:tc>
          <w:tcPr>
            <w:tcW w:w="0" w:type="auto"/>
            <w:shd w:val="clear" w:color="auto" w:fill="auto"/>
          </w:tcPr>
          <w:p w14:paraId="33DAC7E7" w14:textId="77777777" w:rsidR="004D6A64" w:rsidRDefault="004D6A64">
            <w:pPr>
              <w:rPr>
                <w:rFonts w:ascii="宋体"/>
              </w:rPr>
            </w:pPr>
          </w:p>
        </w:tc>
        <w:tc>
          <w:tcPr>
            <w:tcW w:w="0" w:type="auto"/>
            <w:shd w:val="clear" w:color="auto" w:fill="auto"/>
          </w:tcPr>
          <w:p w14:paraId="33DAC7E8" w14:textId="77777777" w:rsidR="004D6A64" w:rsidRDefault="004D6A64">
            <w:pPr>
              <w:rPr>
                <w:rFonts w:ascii="宋体"/>
              </w:rPr>
            </w:pPr>
          </w:p>
        </w:tc>
        <w:tc>
          <w:tcPr>
            <w:tcW w:w="0" w:type="auto"/>
            <w:shd w:val="clear" w:color="auto" w:fill="auto"/>
          </w:tcPr>
          <w:p w14:paraId="33DAC7E9" w14:textId="77777777" w:rsidR="004D6A64" w:rsidRDefault="004D6A64">
            <w:pPr>
              <w:rPr>
                <w:rFonts w:ascii="宋体"/>
              </w:rPr>
            </w:pPr>
          </w:p>
        </w:tc>
        <w:tc>
          <w:tcPr>
            <w:tcW w:w="0" w:type="auto"/>
            <w:shd w:val="clear" w:color="auto" w:fill="auto"/>
          </w:tcPr>
          <w:p w14:paraId="33DAC7EA" w14:textId="77777777" w:rsidR="004D6A64" w:rsidRDefault="004D6A64">
            <w:pPr>
              <w:rPr>
                <w:rFonts w:ascii="宋体"/>
              </w:rPr>
            </w:pPr>
          </w:p>
        </w:tc>
        <w:tc>
          <w:tcPr>
            <w:tcW w:w="0" w:type="auto"/>
            <w:shd w:val="clear" w:color="auto" w:fill="auto"/>
          </w:tcPr>
          <w:p w14:paraId="33DAC7EB" w14:textId="77777777" w:rsidR="004D6A64" w:rsidRDefault="004D6A64">
            <w:pPr>
              <w:rPr>
                <w:rFonts w:ascii="宋体"/>
              </w:rPr>
            </w:pPr>
          </w:p>
        </w:tc>
        <w:tc>
          <w:tcPr>
            <w:tcW w:w="0" w:type="auto"/>
            <w:shd w:val="clear" w:color="auto" w:fill="auto"/>
          </w:tcPr>
          <w:p w14:paraId="33DAC7EC" w14:textId="77777777" w:rsidR="004D6A64" w:rsidRDefault="004D6A64">
            <w:pPr>
              <w:rPr>
                <w:rFonts w:ascii="宋体"/>
              </w:rPr>
            </w:pPr>
          </w:p>
        </w:tc>
      </w:tr>
      <w:tr w:rsidR="004D6A64" w14:paraId="33DAC80C" w14:textId="77777777">
        <w:tc>
          <w:tcPr>
            <w:tcW w:w="0" w:type="auto"/>
            <w:gridSpan w:val="3"/>
            <w:shd w:val="clear" w:color="auto" w:fill="CCEEFF"/>
            <w:tcMar>
              <w:top w:w="40" w:type="dxa"/>
              <w:left w:w="120" w:type="dxa"/>
              <w:bottom w:w="40" w:type="dxa"/>
              <w:right w:w="20" w:type="dxa"/>
            </w:tcMar>
            <w:vAlign w:val="center"/>
          </w:tcPr>
          <w:p w14:paraId="33DAC7EE" w14:textId="77777777" w:rsidR="004D6A64" w:rsidRDefault="00506CD6">
            <w:pPr>
              <w:textAlignment w:val="center"/>
            </w:pPr>
            <w:r>
              <w:rPr>
                <w:rFonts w:ascii="Times New Roman" w:eastAsia="宋体" w:hAnsi="Times New Roman"/>
                <w:color w:val="000000"/>
                <w:sz w:val="20"/>
                <w:szCs w:val="20"/>
              </w:rPr>
              <w:t>Revenue deferrals</w:t>
            </w:r>
          </w:p>
        </w:tc>
        <w:tc>
          <w:tcPr>
            <w:tcW w:w="0" w:type="auto"/>
            <w:gridSpan w:val="2"/>
            <w:shd w:val="clear" w:color="auto" w:fill="CCEEFF"/>
            <w:tcMar>
              <w:top w:w="40" w:type="dxa"/>
              <w:left w:w="20" w:type="dxa"/>
              <w:bottom w:w="40" w:type="dxa"/>
              <w:right w:w="0" w:type="dxa"/>
            </w:tcMar>
            <w:vAlign w:val="center"/>
          </w:tcPr>
          <w:p w14:paraId="33DAC7EF" w14:textId="77777777" w:rsidR="004D6A64" w:rsidRDefault="00506CD6">
            <w:pPr>
              <w:jc w:val="right"/>
              <w:textAlignment w:val="center"/>
            </w:pPr>
            <w:r>
              <w:rPr>
                <w:rFonts w:ascii="Times New Roman" w:eastAsia="宋体" w:hAnsi="Times New Roman"/>
                <w:color w:val="000000"/>
                <w:sz w:val="20"/>
                <w:szCs w:val="20"/>
              </w:rPr>
              <w:t>6,550 </w:t>
            </w:r>
          </w:p>
        </w:tc>
        <w:tc>
          <w:tcPr>
            <w:tcW w:w="0" w:type="auto"/>
            <w:shd w:val="clear" w:color="auto" w:fill="CCEEFF"/>
            <w:tcMar>
              <w:top w:w="40" w:type="dxa"/>
              <w:bottom w:w="40" w:type="dxa"/>
              <w:right w:w="20" w:type="dxa"/>
            </w:tcMar>
            <w:vAlign w:val="center"/>
          </w:tcPr>
          <w:p w14:paraId="33DAC7F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7F1"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7F2" w14:textId="77777777" w:rsidR="004D6A64" w:rsidRDefault="00506CD6">
            <w:pPr>
              <w:jc w:val="right"/>
              <w:textAlignment w:val="center"/>
            </w:pPr>
            <w:r>
              <w:rPr>
                <w:rFonts w:ascii="Times New Roman" w:eastAsia="宋体" w:hAnsi="Times New Roman"/>
                <w:color w:val="000000"/>
                <w:sz w:val="20"/>
                <w:szCs w:val="20"/>
              </w:rPr>
              <w:t>5,975 </w:t>
            </w:r>
          </w:p>
        </w:tc>
        <w:tc>
          <w:tcPr>
            <w:tcW w:w="0" w:type="auto"/>
            <w:shd w:val="clear" w:color="auto" w:fill="CCEEFF"/>
            <w:tcMar>
              <w:top w:w="40" w:type="dxa"/>
              <w:bottom w:w="40" w:type="dxa"/>
              <w:right w:w="20" w:type="dxa"/>
            </w:tcMar>
            <w:vAlign w:val="center"/>
          </w:tcPr>
          <w:p w14:paraId="33DAC7F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7F4"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7F5" w14:textId="77777777" w:rsidR="004D6A64" w:rsidRDefault="00506CD6">
            <w:pPr>
              <w:jc w:val="right"/>
              <w:textAlignment w:val="center"/>
            </w:pPr>
            <w:r>
              <w:rPr>
                <w:rFonts w:ascii="Times New Roman" w:eastAsia="宋体" w:hAnsi="Times New Roman"/>
                <w:color w:val="000000"/>
                <w:sz w:val="20"/>
                <w:szCs w:val="20"/>
              </w:rPr>
              <w:t>12,095 </w:t>
            </w:r>
          </w:p>
        </w:tc>
        <w:tc>
          <w:tcPr>
            <w:tcW w:w="0" w:type="auto"/>
            <w:shd w:val="clear" w:color="auto" w:fill="CCEEFF"/>
            <w:tcMar>
              <w:top w:w="40" w:type="dxa"/>
              <w:bottom w:w="40" w:type="dxa"/>
              <w:right w:w="20" w:type="dxa"/>
            </w:tcMar>
            <w:vAlign w:val="center"/>
          </w:tcPr>
          <w:p w14:paraId="33DAC7F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7F7"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7F8" w14:textId="77777777" w:rsidR="004D6A64" w:rsidRDefault="00506CD6">
            <w:pPr>
              <w:jc w:val="right"/>
              <w:textAlignment w:val="center"/>
            </w:pPr>
            <w:r>
              <w:rPr>
                <w:rFonts w:ascii="Times New Roman" w:eastAsia="宋体" w:hAnsi="Times New Roman"/>
                <w:color w:val="000000"/>
                <w:sz w:val="20"/>
                <w:szCs w:val="20"/>
              </w:rPr>
              <w:t>10,875 </w:t>
            </w:r>
          </w:p>
        </w:tc>
        <w:tc>
          <w:tcPr>
            <w:tcW w:w="0" w:type="auto"/>
            <w:shd w:val="clear" w:color="auto" w:fill="CCEEFF"/>
            <w:tcMar>
              <w:top w:w="40" w:type="dxa"/>
              <w:bottom w:w="40" w:type="dxa"/>
              <w:right w:w="20" w:type="dxa"/>
            </w:tcMar>
            <w:vAlign w:val="center"/>
          </w:tcPr>
          <w:p w14:paraId="33DAC7F9" w14:textId="77777777" w:rsidR="004D6A64" w:rsidRDefault="004D6A64">
            <w:pPr>
              <w:jc w:val="right"/>
              <w:rPr>
                <w:rFonts w:ascii="宋体"/>
              </w:rPr>
            </w:pPr>
          </w:p>
        </w:tc>
        <w:tc>
          <w:tcPr>
            <w:tcW w:w="0" w:type="auto"/>
            <w:shd w:val="clear" w:color="auto" w:fill="auto"/>
          </w:tcPr>
          <w:p w14:paraId="33DAC7FA" w14:textId="77777777" w:rsidR="004D6A64" w:rsidRDefault="004D6A64">
            <w:pPr>
              <w:rPr>
                <w:rFonts w:ascii="宋体"/>
              </w:rPr>
            </w:pPr>
          </w:p>
        </w:tc>
        <w:tc>
          <w:tcPr>
            <w:tcW w:w="0" w:type="auto"/>
            <w:shd w:val="clear" w:color="auto" w:fill="auto"/>
          </w:tcPr>
          <w:p w14:paraId="33DAC7FB" w14:textId="77777777" w:rsidR="004D6A64" w:rsidRDefault="004D6A64">
            <w:pPr>
              <w:rPr>
                <w:rFonts w:ascii="宋体"/>
              </w:rPr>
            </w:pPr>
          </w:p>
        </w:tc>
        <w:tc>
          <w:tcPr>
            <w:tcW w:w="0" w:type="auto"/>
            <w:shd w:val="clear" w:color="auto" w:fill="auto"/>
          </w:tcPr>
          <w:p w14:paraId="33DAC7FC" w14:textId="77777777" w:rsidR="004D6A64" w:rsidRDefault="004D6A64">
            <w:pPr>
              <w:rPr>
                <w:rFonts w:ascii="宋体"/>
              </w:rPr>
            </w:pPr>
          </w:p>
        </w:tc>
        <w:tc>
          <w:tcPr>
            <w:tcW w:w="0" w:type="auto"/>
            <w:shd w:val="clear" w:color="auto" w:fill="auto"/>
          </w:tcPr>
          <w:p w14:paraId="33DAC7FD" w14:textId="77777777" w:rsidR="004D6A64" w:rsidRDefault="004D6A64">
            <w:pPr>
              <w:rPr>
                <w:rFonts w:ascii="宋体"/>
              </w:rPr>
            </w:pPr>
          </w:p>
        </w:tc>
        <w:tc>
          <w:tcPr>
            <w:tcW w:w="0" w:type="auto"/>
            <w:shd w:val="clear" w:color="auto" w:fill="auto"/>
          </w:tcPr>
          <w:p w14:paraId="33DAC7FE" w14:textId="77777777" w:rsidR="004D6A64" w:rsidRDefault="004D6A64">
            <w:pPr>
              <w:rPr>
                <w:rFonts w:ascii="宋体"/>
              </w:rPr>
            </w:pPr>
          </w:p>
        </w:tc>
        <w:tc>
          <w:tcPr>
            <w:tcW w:w="0" w:type="auto"/>
            <w:shd w:val="clear" w:color="auto" w:fill="auto"/>
          </w:tcPr>
          <w:p w14:paraId="33DAC7FF" w14:textId="77777777" w:rsidR="004D6A64" w:rsidRDefault="004D6A64">
            <w:pPr>
              <w:rPr>
                <w:rFonts w:ascii="宋体"/>
              </w:rPr>
            </w:pPr>
          </w:p>
        </w:tc>
        <w:tc>
          <w:tcPr>
            <w:tcW w:w="0" w:type="auto"/>
            <w:shd w:val="clear" w:color="auto" w:fill="auto"/>
          </w:tcPr>
          <w:p w14:paraId="33DAC800" w14:textId="77777777" w:rsidR="004D6A64" w:rsidRDefault="004D6A64">
            <w:pPr>
              <w:rPr>
                <w:rFonts w:ascii="宋体"/>
              </w:rPr>
            </w:pPr>
          </w:p>
        </w:tc>
        <w:tc>
          <w:tcPr>
            <w:tcW w:w="0" w:type="auto"/>
            <w:shd w:val="clear" w:color="auto" w:fill="auto"/>
          </w:tcPr>
          <w:p w14:paraId="33DAC801" w14:textId="77777777" w:rsidR="004D6A64" w:rsidRDefault="004D6A64">
            <w:pPr>
              <w:rPr>
                <w:rFonts w:ascii="宋体"/>
              </w:rPr>
            </w:pPr>
          </w:p>
        </w:tc>
        <w:tc>
          <w:tcPr>
            <w:tcW w:w="0" w:type="auto"/>
            <w:shd w:val="clear" w:color="auto" w:fill="auto"/>
          </w:tcPr>
          <w:p w14:paraId="33DAC802" w14:textId="77777777" w:rsidR="004D6A64" w:rsidRDefault="004D6A64">
            <w:pPr>
              <w:rPr>
                <w:rFonts w:ascii="宋体"/>
              </w:rPr>
            </w:pPr>
          </w:p>
        </w:tc>
        <w:tc>
          <w:tcPr>
            <w:tcW w:w="0" w:type="auto"/>
            <w:shd w:val="clear" w:color="auto" w:fill="auto"/>
          </w:tcPr>
          <w:p w14:paraId="33DAC803" w14:textId="77777777" w:rsidR="004D6A64" w:rsidRDefault="004D6A64">
            <w:pPr>
              <w:rPr>
                <w:rFonts w:ascii="宋体"/>
              </w:rPr>
            </w:pPr>
          </w:p>
        </w:tc>
        <w:tc>
          <w:tcPr>
            <w:tcW w:w="0" w:type="auto"/>
            <w:shd w:val="clear" w:color="auto" w:fill="auto"/>
          </w:tcPr>
          <w:p w14:paraId="33DAC804" w14:textId="77777777" w:rsidR="004D6A64" w:rsidRDefault="004D6A64">
            <w:pPr>
              <w:rPr>
                <w:rFonts w:ascii="宋体"/>
              </w:rPr>
            </w:pPr>
          </w:p>
        </w:tc>
        <w:tc>
          <w:tcPr>
            <w:tcW w:w="0" w:type="auto"/>
            <w:shd w:val="clear" w:color="auto" w:fill="auto"/>
          </w:tcPr>
          <w:p w14:paraId="33DAC805" w14:textId="77777777" w:rsidR="004D6A64" w:rsidRDefault="004D6A64">
            <w:pPr>
              <w:rPr>
                <w:rFonts w:ascii="宋体"/>
              </w:rPr>
            </w:pPr>
          </w:p>
        </w:tc>
        <w:tc>
          <w:tcPr>
            <w:tcW w:w="0" w:type="auto"/>
            <w:shd w:val="clear" w:color="auto" w:fill="auto"/>
          </w:tcPr>
          <w:p w14:paraId="33DAC806" w14:textId="77777777" w:rsidR="004D6A64" w:rsidRDefault="004D6A64">
            <w:pPr>
              <w:rPr>
                <w:rFonts w:ascii="宋体"/>
              </w:rPr>
            </w:pPr>
          </w:p>
        </w:tc>
        <w:tc>
          <w:tcPr>
            <w:tcW w:w="0" w:type="auto"/>
            <w:shd w:val="clear" w:color="auto" w:fill="auto"/>
          </w:tcPr>
          <w:p w14:paraId="33DAC807" w14:textId="77777777" w:rsidR="004D6A64" w:rsidRDefault="004D6A64">
            <w:pPr>
              <w:rPr>
                <w:rFonts w:ascii="宋体"/>
              </w:rPr>
            </w:pPr>
          </w:p>
        </w:tc>
        <w:tc>
          <w:tcPr>
            <w:tcW w:w="0" w:type="auto"/>
            <w:shd w:val="clear" w:color="auto" w:fill="auto"/>
          </w:tcPr>
          <w:p w14:paraId="33DAC808" w14:textId="77777777" w:rsidR="004D6A64" w:rsidRDefault="004D6A64">
            <w:pPr>
              <w:rPr>
                <w:rFonts w:ascii="宋体"/>
              </w:rPr>
            </w:pPr>
          </w:p>
        </w:tc>
        <w:tc>
          <w:tcPr>
            <w:tcW w:w="0" w:type="auto"/>
            <w:shd w:val="clear" w:color="auto" w:fill="auto"/>
          </w:tcPr>
          <w:p w14:paraId="33DAC809" w14:textId="77777777" w:rsidR="004D6A64" w:rsidRDefault="004D6A64">
            <w:pPr>
              <w:rPr>
                <w:rFonts w:ascii="宋体"/>
              </w:rPr>
            </w:pPr>
          </w:p>
        </w:tc>
        <w:tc>
          <w:tcPr>
            <w:tcW w:w="0" w:type="auto"/>
            <w:shd w:val="clear" w:color="auto" w:fill="auto"/>
          </w:tcPr>
          <w:p w14:paraId="33DAC80A" w14:textId="77777777" w:rsidR="004D6A64" w:rsidRDefault="004D6A64">
            <w:pPr>
              <w:rPr>
                <w:rFonts w:ascii="宋体"/>
              </w:rPr>
            </w:pPr>
          </w:p>
        </w:tc>
        <w:tc>
          <w:tcPr>
            <w:tcW w:w="0" w:type="auto"/>
            <w:shd w:val="clear" w:color="auto" w:fill="auto"/>
          </w:tcPr>
          <w:p w14:paraId="33DAC80B" w14:textId="77777777" w:rsidR="004D6A64" w:rsidRDefault="004D6A64">
            <w:pPr>
              <w:rPr>
                <w:rFonts w:ascii="宋体"/>
              </w:rPr>
            </w:pPr>
          </w:p>
        </w:tc>
      </w:tr>
      <w:tr w:rsidR="004D6A64" w14:paraId="33DAC82B" w14:textId="77777777">
        <w:tc>
          <w:tcPr>
            <w:tcW w:w="0" w:type="auto"/>
            <w:gridSpan w:val="3"/>
            <w:shd w:val="clear" w:color="auto" w:fill="FFFFFF"/>
            <w:tcMar>
              <w:top w:w="40" w:type="dxa"/>
              <w:left w:w="120" w:type="dxa"/>
              <w:bottom w:w="40" w:type="dxa"/>
              <w:right w:w="20" w:type="dxa"/>
            </w:tcMar>
            <w:vAlign w:val="center"/>
          </w:tcPr>
          <w:p w14:paraId="33DAC80D" w14:textId="77777777" w:rsidR="004D6A64" w:rsidRDefault="00506CD6">
            <w:pPr>
              <w:textAlignment w:val="center"/>
            </w:pPr>
            <w:r>
              <w:rPr>
                <w:rFonts w:ascii="Times New Roman" w:eastAsia="宋体" w:hAnsi="Times New Roman"/>
                <w:color w:val="000000"/>
                <w:sz w:val="20"/>
                <w:szCs w:val="20"/>
              </w:rPr>
              <w:t>Revenue recognized</w:t>
            </w:r>
          </w:p>
        </w:tc>
        <w:tc>
          <w:tcPr>
            <w:tcW w:w="0" w:type="auto"/>
            <w:gridSpan w:val="2"/>
            <w:shd w:val="clear" w:color="auto" w:fill="FFFFFF"/>
            <w:tcMar>
              <w:top w:w="40" w:type="dxa"/>
              <w:left w:w="20" w:type="dxa"/>
              <w:bottom w:w="40" w:type="dxa"/>
              <w:right w:w="0" w:type="dxa"/>
            </w:tcMar>
            <w:vAlign w:val="center"/>
          </w:tcPr>
          <w:p w14:paraId="33DAC80E" w14:textId="77777777" w:rsidR="004D6A64" w:rsidRDefault="00506CD6">
            <w:pPr>
              <w:jc w:val="right"/>
              <w:textAlignment w:val="center"/>
            </w:pPr>
            <w:r>
              <w:rPr>
                <w:rFonts w:ascii="Times New Roman" w:eastAsia="宋体" w:hAnsi="Times New Roman"/>
                <w:color w:val="000000"/>
                <w:sz w:val="20"/>
                <w:szCs w:val="20"/>
              </w:rPr>
              <w:t>(5,376)</w:t>
            </w:r>
          </w:p>
        </w:tc>
        <w:tc>
          <w:tcPr>
            <w:tcW w:w="0" w:type="auto"/>
            <w:shd w:val="clear" w:color="auto" w:fill="FFFFFF"/>
            <w:tcMar>
              <w:top w:w="40" w:type="dxa"/>
              <w:bottom w:w="40" w:type="dxa"/>
              <w:right w:w="20" w:type="dxa"/>
            </w:tcMar>
            <w:vAlign w:val="center"/>
          </w:tcPr>
          <w:p w14:paraId="33DAC80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81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811" w14:textId="77777777" w:rsidR="004D6A64" w:rsidRDefault="00506CD6">
            <w:pPr>
              <w:jc w:val="right"/>
              <w:textAlignment w:val="center"/>
            </w:pPr>
            <w:r>
              <w:rPr>
                <w:rFonts w:ascii="Times New Roman" w:eastAsia="宋体" w:hAnsi="Times New Roman"/>
                <w:color w:val="000000"/>
                <w:sz w:val="20"/>
                <w:szCs w:val="20"/>
              </w:rPr>
              <w:t>(4,805)</w:t>
            </w:r>
          </w:p>
        </w:tc>
        <w:tc>
          <w:tcPr>
            <w:tcW w:w="0" w:type="auto"/>
            <w:shd w:val="clear" w:color="auto" w:fill="FFFFFF"/>
            <w:tcMar>
              <w:top w:w="40" w:type="dxa"/>
              <w:bottom w:w="40" w:type="dxa"/>
              <w:right w:w="20" w:type="dxa"/>
            </w:tcMar>
            <w:vAlign w:val="center"/>
          </w:tcPr>
          <w:p w14:paraId="33DAC81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81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814" w14:textId="77777777" w:rsidR="004D6A64" w:rsidRDefault="00506CD6">
            <w:pPr>
              <w:jc w:val="right"/>
              <w:textAlignment w:val="center"/>
            </w:pPr>
            <w:r>
              <w:rPr>
                <w:rFonts w:ascii="Times New Roman" w:eastAsia="宋体" w:hAnsi="Times New Roman"/>
                <w:color w:val="000000"/>
                <w:sz w:val="20"/>
                <w:szCs w:val="20"/>
              </w:rPr>
              <w:t>(10,843)</w:t>
            </w:r>
          </w:p>
        </w:tc>
        <w:tc>
          <w:tcPr>
            <w:tcW w:w="0" w:type="auto"/>
            <w:shd w:val="clear" w:color="auto" w:fill="FFFFFF"/>
            <w:tcMar>
              <w:top w:w="40" w:type="dxa"/>
              <w:bottom w:w="40" w:type="dxa"/>
              <w:right w:w="20" w:type="dxa"/>
            </w:tcMar>
            <w:vAlign w:val="center"/>
          </w:tcPr>
          <w:p w14:paraId="33DAC81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81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817" w14:textId="77777777" w:rsidR="004D6A64" w:rsidRDefault="00506CD6">
            <w:pPr>
              <w:jc w:val="right"/>
              <w:textAlignment w:val="center"/>
            </w:pPr>
            <w:r>
              <w:rPr>
                <w:rFonts w:ascii="Times New Roman" w:eastAsia="宋体" w:hAnsi="Times New Roman"/>
                <w:color w:val="000000"/>
                <w:sz w:val="20"/>
                <w:szCs w:val="20"/>
              </w:rPr>
              <w:t>(9,537)</w:t>
            </w:r>
          </w:p>
        </w:tc>
        <w:tc>
          <w:tcPr>
            <w:tcW w:w="0" w:type="auto"/>
            <w:shd w:val="clear" w:color="auto" w:fill="FFFFFF"/>
            <w:tcMar>
              <w:top w:w="40" w:type="dxa"/>
              <w:bottom w:w="40" w:type="dxa"/>
              <w:right w:w="20" w:type="dxa"/>
            </w:tcMar>
            <w:vAlign w:val="center"/>
          </w:tcPr>
          <w:p w14:paraId="33DAC818" w14:textId="77777777" w:rsidR="004D6A64" w:rsidRDefault="004D6A64">
            <w:pPr>
              <w:jc w:val="right"/>
              <w:rPr>
                <w:rFonts w:ascii="宋体"/>
              </w:rPr>
            </w:pPr>
          </w:p>
        </w:tc>
        <w:tc>
          <w:tcPr>
            <w:tcW w:w="0" w:type="auto"/>
            <w:shd w:val="clear" w:color="auto" w:fill="auto"/>
          </w:tcPr>
          <w:p w14:paraId="33DAC819" w14:textId="77777777" w:rsidR="004D6A64" w:rsidRDefault="004D6A64">
            <w:pPr>
              <w:rPr>
                <w:rFonts w:ascii="宋体"/>
              </w:rPr>
            </w:pPr>
          </w:p>
        </w:tc>
        <w:tc>
          <w:tcPr>
            <w:tcW w:w="0" w:type="auto"/>
            <w:shd w:val="clear" w:color="auto" w:fill="auto"/>
          </w:tcPr>
          <w:p w14:paraId="33DAC81A" w14:textId="77777777" w:rsidR="004D6A64" w:rsidRDefault="004D6A64">
            <w:pPr>
              <w:rPr>
                <w:rFonts w:ascii="宋体"/>
              </w:rPr>
            </w:pPr>
          </w:p>
        </w:tc>
        <w:tc>
          <w:tcPr>
            <w:tcW w:w="0" w:type="auto"/>
            <w:shd w:val="clear" w:color="auto" w:fill="auto"/>
          </w:tcPr>
          <w:p w14:paraId="33DAC81B" w14:textId="77777777" w:rsidR="004D6A64" w:rsidRDefault="004D6A64">
            <w:pPr>
              <w:rPr>
                <w:rFonts w:ascii="宋体"/>
              </w:rPr>
            </w:pPr>
          </w:p>
        </w:tc>
        <w:tc>
          <w:tcPr>
            <w:tcW w:w="0" w:type="auto"/>
            <w:shd w:val="clear" w:color="auto" w:fill="auto"/>
          </w:tcPr>
          <w:p w14:paraId="33DAC81C" w14:textId="77777777" w:rsidR="004D6A64" w:rsidRDefault="004D6A64">
            <w:pPr>
              <w:rPr>
                <w:rFonts w:ascii="宋体"/>
              </w:rPr>
            </w:pPr>
          </w:p>
        </w:tc>
        <w:tc>
          <w:tcPr>
            <w:tcW w:w="0" w:type="auto"/>
            <w:shd w:val="clear" w:color="auto" w:fill="auto"/>
          </w:tcPr>
          <w:p w14:paraId="33DAC81D" w14:textId="77777777" w:rsidR="004D6A64" w:rsidRDefault="004D6A64">
            <w:pPr>
              <w:rPr>
                <w:rFonts w:ascii="宋体"/>
              </w:rPr>
            </w:pPr>
          </w:p>
        </w:tc>
        <w:tc>
          <w:tcPr>
            <w:tcW w:w="0" w:type="auto"/>
            <w:shd w:val="clear" w:color="auto" w:fill="auto"/>
          </w:tcPr>
          <w:p w14:paraId="33DAC81E" w14:textId="77777777" w:rsidR="004D6A64" w:rsidRDefault="004D6A64">
            <w:pPr>
              <w:rPr>
                <w:rFonts w:ascii="宋体"/>
              </w:rPr>
            </w:pPr>
          </w:p>
        </w:tc>
        <w:tc>
          <w:tcPr>
            <w:tcW w:w="0" w:type="auto"/>
            <w:shd w:val="clear" w:color="auto" w:fill="auto"/>
          </w:tcPr>
          <w:p w14:paraId="33DAC81F" w14:textId="77777777" w:rsidR="004D6A64" w:rsidRDefault="004D6A64">
            <w:pPr>
              <w:rPr>
                <w:rFonts w:ascii="宋体"/>
              </w:rPr>
            </w:pPr>
          </w:p>
        </w:tc>
        <w:tc>
          <w:tcPr>
            <w:tcW w:w="0" w:type="auto"/>
            <w:shd w:val="clear" w:color="auto" w:fill="auto"/>
          </w:tcPr>
          <w:p w14:paraId="33DAC820" w14:textId="77777777" w:rsidR="004D6A64" w:rsidRDefault="004D6A64">
            <w:pPr>
              <w:rPr>
                <w:rFonts w:ascii="宋体"/>
              </w:rPr>
            </w:pPr>
          </w:p>
        </w:tc>
        <w:tc>
          <w:tcPr>
            <w:tcW w:w="0" w:type="auto"/>
            <w:shd w:val="clear" w:color="auto" w:fill="auto"/>
          </w:tcPr>
          <w:p w14:paraId="33DAC821" w14:textId="77777777" w:rsidR="004D6A64" w:rsidRDefault="004D6A64">
            <w:pPr>
              <w:rPr>
                <w:rFonts w:ascii="宋体"/>
              </w:rPr>
            </w:pPr>
          </w:p>
        </w:tc>
        <w:tc>
          <w:tcPr>
            <w:tcW w:w="0" w:type="auto"/>
            <w:shd w:val="clear" w:color="auto" w:fill="auto"/>
          </w:tcPr>
          <w:p w14:paraId="33DAC822" w14:textId="77777777" w:rsidR="004D6A64" w:rsidRDefault="004D6A64">
            <w:pPr>
              <w:rPr>
                <w:rFonts w:ascii="宋体"/>
              </w:rPr>
            </w:pPr>
          </w:p>
        </w:tc>
        <w:tc>
          <w:tcPr>
            <w:tcW w:w="0" w:type="auto"/>
            <w:shd w:val="clear" w:color="auto" w:fill="auto"/>
          </w:tcPr>
          <w:p w14:paraId="33DAC823" w14:textId="77777777" w:rsidR="004D6A64" w:rsidRDefault="004D6A64">
            <w:pPr>
              <w:rPr>
                <w:rFonts w:ascii="宋体"/>
              </w:rPr>
            </w:pPr>
          </w:p>
        </w:tc>
        <w:tc>
          <w:tcPr>
            <w:tcW w:w="0" w:type="auto"/>
            <w:shd w:val="clear" w:color="auto" w:fill="auto"/>
          </w:tcPr>
          <w:p w14:paraId="33DAC824" w14:textId="77777777" w:rsidR="004D6A64" w:rsidRDefault="004D6A64">
            <w:pPr>
              <w:rPr>
                <w:rFonts w:ascii="宋体"/>
              </w:rPr>
            </w:pPr>
          </w:p>
        </w:tc>
        <w:tc>
          <w:tcPr>
            <w:tcW w:w="0" w:type="auto"/>
            <w:shd w:val="clear" w:color="auto" w:fill="auto"/>
          </w:tcPr>
          <w:p w14:paraId="33DAC825" w14:textId="77777777" w:rsidR="004D6A64" w:rsidRDefault="004D6A64">
            <w:pPr>
              <w:rPr>
                <w:rFonts w:ascii="宋体"/>
              </w:rPr>
            </w:pPr>
          </w:p>
        </w:tc>
        <w:tc>
          <w:tcPr>
            <w:tcW w:w="0" w:type="auto"/>
            <w:shd w:val="clear" w:color="auto" w:fill="auto"/>
          </w:tcPr>
          <w:p w14:paraId="33DAC826" w14:textId="77777777" w:rsidR="004D6A64" w:rsidRDefault="004D6A64">
            <w:pPr>
              <w:rPr>
                <w:rFonts w:ascii="宋体"/>
              </w:rPr>
            </w:pPr>
          </w:p>
        </w:tc>
        <w:tc>
          <w:tcPr>
            <w:tcW w:w="0" w:type="auto"/>
            <w:shd w:val="clear" w:color="auto" w:fill="auto"/>
          </w:tcPr>
          <w:p w14:paraId="33DAC827" w14:textId="77777777" w:rsidR="004D6A64" w:rsidRDefault="004D6A64">
            <w:pPr>
              <w:rPr>
                <w:rFonts w:ascii="宋体"/>
              </w:rPr>
            </w:pPr>
          </w:p>
        </w:tc>
        <w:tc>
          <w:tcPr>
            <w:tcW w:w="0" w:type="auto"/>
            <w:shd w:val="clear" w:color="auto" w:fill="auto"/>
          </w:tcPr>
          <w:p w14:paraId="33DAC828" w14:textId="77777777" w:rsidR="004D6A64" w:rsidRDefault="004D6A64">
            <w:pPr>
              <w:rPr>
                <w:rFonts w:ascii="宋体"/>
              </w:rPr>
            </w:pPr>
          </w:p>
        </w:tc>
        <w:tc>
          <w:tcPr>
            <w:tcW w:w="0" w:type="auto"/>
            <w:shd w:val="clear" w:color="auto" w:fill="auto"/>
          </w:tcPr>
          <w:p w14:paraId="33DAC829" w14:textId="77777777" w:rsidR="004D6A64" w:rsidRDefault="004D6A64">
            <w:pPr>
              <w:rPr>
                <w:rFonts w:ascii="宋体"/>
              </w:rPr>
            </w:pPr>
          </w:p>
        </w:tc>
        <w:tc>
          <w:tcPr>
            <w:tcW w:w="0" w:type="auto"/>
            <w:shd w:val="clear" w:color="auto" w:fill="auto"/>
          </w:tcPr>
          <w:p w14:paraId="33DAC82A" w14:textId="77777777" w:rsidR="004D6A64" w:rsidRDefault="004D6A64">
            <w:pPr>
              <w:rPr>
                <w:rFonts w:ascii="宋体"/>
              </w:rPr>
            </w:pPr>
          </w:p>
        </w:tc>
      </w:tr>
      <w:tr w:rsidR="004D6A64" w14:paraId="33DAC84A" w14:textId="77777777">
        <w:tc>
          <w:tcPr>
            <w:tcW w:w="0" w:type="auto"/>
            <w:gridSpan w:val="3"/>
            <w:shd w:val="clear" w:color="auto" w:fill="CCEEFF"/>
            <w:tcMar>
              <w:top w:w="40" w:type="dxa"/>
              <w:left w:w="120" w:type="dxa"/>
              <w:bottom w:w="40" w:type="dxa"/>
              <w:right w:w="20" w:type="dxa"/>
            </w:tcMar>
            <w:vAlign w:val="center"/>
          </w:tcPr>
          <w:p w14:paraId="33DAC82C" w14:textId="77777777" w:rsidR="004D6A64" w:rsidRDefault="00506CD6">
            <w:pPr>
              <w:textAlignment w:val="center"/>
            </w:pPr>
            <w:r>
              <w:rPr>
                <w:rFonts w:ascii="Times New Roman" w:eastAsia="宋体" w:hAnsi="Times New Roman"/>
                <w:color w:val="000000"/>
                <w:sz w:val="20"/>
                <w:szCs w:val="20"/>
              </w:rPr>
              <w:t>Other (a)</w:t>
            </w:r>
          </w:p>
        </w:tc>
        <w:tc>
          <w:tcPr>
            <w:tcW w:w="0" w:type="auto"/>
            <w:gridSpan w:val="2"/>
            <w:shd w:val="clear" w:color="auto" w:fill="CCEEFF"/>
            <w:tcMar>
              <w:top w:w="40" w:type="dxa"/>
              <w:left w:w="20" w:type="dxa"/>
              <w:bottom w:w="40" w:type="dxa"/>
              <w:right w:w="0" w:type="dxa"/>
            </w:tcMar>
            <w:vAlign w:val="center"/>
          </w:tcPr>
          <w:p w14:paraId="33DAC82D"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C82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82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830"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C83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83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833" w14:textId="77777777" w:rsidR="004D6A64" w:rsidRDefault="00506CD6">
            <w:pPr>
              <w:jc w:val="right"/>
              <w:textAlignment w:val="center"/>
            </w:pPr>
            <w:r>
              <w:rPr>
                <w:rFonts w:ascii="Times New Roman" w:eastAsia="宋体" w:hAnsi="Times New Roman"/>
                <w:color w:val="000000"/>
                <w:sz w:val="20"/>
                <w:szCs w:val="20"/>
              </w:rPr>
              <w:t>(261)</w:t>
            </w:r>
          </w:p>
        </w:tc>
        <w:tc>
          <w:tcPr>
            <w:tcW w:w="0" w:type="auto"/>
            <w:shd w:val="clear" w:color="auto" w:fill="CCEEFF"/>
            <w:tcMar>
              <w:top w:w="40" w:type="dxa"/>
              <w:bottom w:w="40" w:type="dxa"/>
              <w:right w:w="20" w:type="dxa"/>
            </w:tcMar>
            <w:vAlign w:val="center"/>
          </w:tcPr>
          <w:p w14:paraId="33DAC83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83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836"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C837" w14:textId="77777777" w:rsidR="004D6A64" w:rsidRDefault="004D6A64">
            <w:pPr>
              <w:jc w:val="right"/>
              <w:rPr>
                <w:rFonts w:ascii="宋体"/>
              </w:rPr>
            </w:pPr>
          </w:p>
        </w:tc>
        <w:tc>
          <w:tcPr>
            <w:tcW w:w="0" w:type="auto"/>
            <w:shd w:val="clear" w:color="auto" w:fill="auto"/>
          </w:tcPr>
          <w:p w14:paraId="33DAC838" w14:textId="77777777" w:rsidR="004D6A64" w:rsidRDefault="004D6A64">
            <w:pPr>
              <w:rPr>
                <w:rFonts w:ascii="宋体"/>
              </w:rPr>
            </w:pPr>
          </w:p>
        </w:tc>
        <w:tc>
          <w:tcPr>
            <w:tcW w:w="0" w:type="auto"/>
            <w:shd w:val="clear" w:color="auto" w:fill="auto"/>
          </w:tcPr>
          <w:p w14:paraId="33DAC839" w14:textId="77777777" w:rsidR="004D6A64" w:rsidRDefault="004D6A64">
            <w:pPr>
              <w:rPr>
                <w:rFonts w:ascii="宋体"/>
              </w:rPr>
            </w:pPr>
          </w:p>
        </w:tc>
        <w:tc>
          <w:tcPr>
            <w:tcW w:w="0" w:type="auto"/>
            <w:shd w:val="clear" w:color="auto" w:fill="auto"/>
          </w:tcPr>
          <w:p w14:paraId="33DAC83A" w14:textId="77777777" w:rsidR="004D6A64" w:rsidRDefault="004D6A64">
            <w:pPr>
              <w:rPr>
                <w:rFonts w:ascii="宋体"/>
              </w:rPr>
            </w:pPr>
          </w:p>
        </w:tc>
        <w:tc>
          <w:tcPr>
            <w:tcW w:w="0" w:type="auto"/>
            <w:shd w:val="clear" w:color="auto" w:fill="auto"/>
          </w:tcPr>
          <w:p w14:paraId="33DAC83B" w14:textId="77777777" w:rsidR="004D6A64" w:rsidRDefault="004D6A64">
            <w:pPr>
              <w:rPr>
                <w:rFonts w:ascii="宋体"/>
              </w:rPr>
            </w:pPr>
          </w:p>
        </w:tc>
        <w:tc>
          <w:tcPr>
            <w:tcW w:w="0" w:type="auto"/>
            <w:shd w:val="clear" w:color="auto" w:fill="auto"/>
          </w:tcPr>
          <w:p w14:paraId="33DAC83C" w14:textId="77777777" w:rsidR="004D6A64" w:rsidRDefault="004D6A64">
            <w:pPr>
              <w:rPr>
                <w:rFonts w:ascii="宋体"/>
              </w:rPr>
            </w:pPr>
          </w:p>
        </w:tc>
        <w:tc>
          <w:tcPr>
            <w:tcW w:w="0" w:type="auto"/>
            <w:shd w:val="clear" w:color="auto" w:fill="auto"/>
          </w:tcPr>
          <w:p w14:paraId="33DAC83D" w14:textId="77777777" w:rsidR="004D6A64" w:rsidRDefault="004D6A64">
            <w:pPr>
              <w:rPr>
                <w:rFonts w:ascii="宋体"/>
              </w:rPr>
            </w:pPr>
          </w:p>
        </w:tc>
        <w:tc>
          <w:tcPr>
            <w:tcW w:w="0" w:type="auto"/>
            <w:shd w:val="clear" w:color="auto" w:fill="auto"/>
          </w:tcPr>
          <w:p w14:paraId="33DAC83E" w14:textId="77777777" w:rsidR="004D6A64" w:rsidRDefault="004D6A64">
            <w:pPr>
              <w:rPr>
                <w:rFonts w:ascii="宋体"/>
              </w:rPr>
            </w:pPr>
          </w:p>
        </w:tc>
        <w:tc>
          <w:tcPr>
            <w:tcW w:w="0" w:type="auto"/>
            <w:shd w:val="clear" w:color="auto" w:fill="auto"/>
          </w:tcPr>
          <w:p w14:paraId="33DAC83F" w14:textId="77777777" w:rsidR="004D6A64" w:rsidRDefault="004D6A64">
            <w:pPr>
              <w:rPr>
                <w:rFonts w:ascii="宋体"/>
              </w:rPr>
            </w:pPr>
          </w:p>
        </w:tc>
        <w:tc>
          <w:tcPr>
            <w:tcW w:w="0" w:type="auto"/>
            <w:shd w:val="clear" w:color="auto" w:fill="auto"/>
          </w:tcPr>
          <w:p w14:paraId="33DAC840" w14:textId="77777777" w:rsidR="004D6A64" w:rsidRDefault="004D6A64">
            <w:pPr>
              <w:rPr>
                <w:rFonts w:ascii="宋体"/>
              </w:rPr>
            </w:pPr>
          </w:p>
        </w:tc>
        <w:tc>
          <w:tcPr>
            <w:tcW w:w="0" w:type="auto"/>
            <w:shd w:val="clear" w:color="auto" w:fill="auto"/>
          </w:tcPr>
          <w:p w14:paraId="33DAC841" w14:textId="77777777" w:rsidR="004D6A64" w:rsidRDefault="004D6A64">
            <w:pPr>
              <w:rPr>
                <w:rFonts w:ascii="宋体"/>
              </w:rPr>
            </w:pPr>
          </w:p>
        </w:tc>
        <w:tc>
          <w:tcPr>
            <w:tcW w:w="0" w:type="auto"/>
            <w:shd w:val="clear" w:color="auto" w:fill="auto"/>
          </w:tcPr>
          <w:p w14:paraId="33DAC842" w14:textId="77777777" w:rsidR="004D6A64" w:rsidRDefault="004D6A64">
            <w:pPr>
              <w:rPr>
                <w:rFonts w:ascii="宋体"/>
              </w:rPr>
            </w:pPr>
          </w:p>
        </w:tc>
        <w:tc>
          <w:tcPr>
            <w:tcW w:w="0" w:type="auto"/>
            <w:shd w:val="clear" w:color="auto" w:fill="auto"/>
          </w:tcPr>
          <w:p w14:paraId="33DAC843" w14:textId="77777777" w:rsidR="004D6A64" w:rsidRDefault="004D6A64">
            <w:pPr>
              <w:rPr>
                <w:rFonts w:ascii="宋体"/>
              </w:rPr>
            </w:pPr>
          </w:p>
        </w:tc>
        <w:tc>
          <w:tcPr>
            <w:tcW w:w="0" w:type="auto"/>
            <w:shd w:val="clear" w:color="auto" w:fill="auto"/>
          </w:tcPr>
          <w:p w14:paraId="33DAC844" w14:textId="77777777" w:rsidR="004D6A64" w:rsidRDefault="004D6A64">
            <w:pPr>
              <w:rPr>
                <w:rFonts w:ascii="宋体"/>
              </w:rPr>
            </w:pPr>
          </w:p>
        </w:tc>
        <w:tc>
          <w:tcPr>
            <w:tcW w:w="0" w:type="auto"/>
            <w:shd w:val="clear" w:color="auto" w:fill="auto"/>
          </w:tcPr>
          <w:p w14:paraId="33DAC845" w14:textId="77777777" w:rsidR="004D6A64" w:rsidRDefault="004D6A64">
            <w:pPr>
              <w:rPr>
                <w:rFonts w:ascii="宋体"/>
              </w:rPr>
            </w:pPr>
          </w:p>
        </w:tc>
        <w:tc>
          <w:tcPr>
            <w:tcW w:w="0" w:type="auto"/>
            <w:shd w:val="clear" w:color="auto" w:fill="auto"/>
          </w:tcPr>
          <w:p w14:paraId="33DAC846" w14:textId="77777777" w:rsidR="004D6A64" w:rsidRDefault="004D6A64">
            <w:pPr>
              <w:rPr>
                <w:rFonts w:ascii="宋体"/>
              </w:rPr>
            </w:pPr>
          </w:p>
        </w:tc>
        <w:tc>
          <w:tcPr>
            <w:tcW w:w="0" w:type="auto"/>
            <w:shd w:val="clear" w:color="auto" w:fill="auto"/>
          </w:tcPr>
          <w:p w14:paraId="33DAC847" w14:textId="77777777" w:rsidR="004D6A64" w:rsidRDefault="004D6A64">
            <w:pPr>
              <w:rPr>
                <w:rFonts w:ascii="宋体"/>
              </w:rPr>
            </w:pPr>
          </w:p>
        </w:tc>
        <w:tc>
          <w:tcPr>
            <w:tcW w:w="0" w:type="auto"/>
            <w:shd w:val="clear" w:color="auto" w:fill="auto"/>
          </w:tcPr>
          <w:p w14:paraId="33DAC848" w14:textId="77777777" w:rsidR="004D6A64" w:rsidRDefault="004D6A64">
            <w:pPr>
              <w:rPr>
                <w:rFonts w:ascii="宋体"/>
              </w:rPr>
            </w:pPr>
          </w:p>
        </w:tc>
        <w:tc>
          <w:tcPr>
            <w:tcW w:w="0" w:type="auto"/>
            <w:shd w:val="clear" w:color="auto" w:fill="auto"/>
          </w:tcPr>
          <w:p w14:paraId="33DAC849" w14:textId="77777777" w:rsidR="004D6A64" w:rsidRDefault="004D6A64">
            <w:pPr>
              <w:rPr>
                <w:rFonts w:ascii="宋体"/>
              </w:rPr>
            </w:pPr>
          </w:p>
        </w:tc>
      </w:tr>
      <w:tr w:rsidR="004D6A64" w14:paraId="33DAC86D" w14:textId="77777777">
        <w:tc>
          <w:tcPr>
            <w:tcW w:w="0" w:type="auto"/>
            <w:gridSpan w:val="3"/>
            <w:shd w:val="clear" w:color="auto" w:fill="FFFFFF"/>
            <w:tcMar>
              <w:top w:w="40" w:type="dxa"/>
              <w:left w:w="20" w:type="dxa"/>
              <w:bottom w:w="40" w:type="dxa"/>
              <w:right w:w="20" w:type="dxa"/>
            </w:tcMar>
            <w:vAlign w:val="center"/>
          </w:tcPr>
          <w:p w14:paraId="33DAC84B" w14:textId="77777777" w:rsidR="004D6A64" w:rsidRDefault="00506CD6">
            <w:pPr>
              <w:textAlignment w:val="center"/>
            </w:pPr>
            <w:r>
              <w:rPr>
                <w:rFonts w:ascii="Times New Roman" w:eastAsia="宋体" w:hAnsi="Times New Roman"/>
                <w:color w:val="000000"/>
                <w:sz w:val="20"/>
                <w:szCs w:val="20"/>
              </w:rPr>
              <w:t>Deferred revenue at end of period</w:t>
            </w:r>
          </w:p>
        </w:tc>
        <w:tc>
          <w:tcPr>
            <w:tcW w:w="0" w:type="auto"/>
            <w:tcBorders>
              <w:top w:val="single" w:sz="8" w:space="0" w:color="000000"/>
            </w:tcBorders>
            <w:shd w:val="clear" w:color="auto" w:fill="FFFFFF"/>
            <w:tcMar>
              <w:top w:w="40" w:type="dxa"/>
              <w:left w:w="20" w:type="dxa"/>
              <w:bottom w:w="40" w:type="dxa"/>
            </w:tcMar>
            <w:vAlign w:val="center"/>
          </w:tcPr>
          <w:p w14:paraId="33DAC84C"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C84D" w14:textId="77777777" w:rsidR="004D6A64" w:rsidRDefault="00506CD6">
            <w:pPr>
              <w:jc w:val="right"/>
              <w:textAlignment w:val="center"/>
            </w:pPr>
            <w:r>
              <w:rPr>
                <w:rFonts w:ascii="Times New Roman" w:eastAsia="宋体" w:hAnsi="Times New Roman"/>
                <w:color w:val="000000"/>
                <w:sz w:val="20"/>
                <w:szCs w:val="20"/>
              </w:rPr>
              <w:t>28,791 </w:t>
            </w:r>
          </w:p>
        </w:tc>
        <w:tc>
          <w:tcPr>
            <w:tcW w:w="0" w:type="auto"/>
            <w:tcBorders>
              <w:top w:val="single" w:sz="8" w:space="0" w:color="000000"/>
            </w:tcBorders>
            <w:shd w:val="clear" w:color="auto" w:fill="FFFFFF"/>
            <w:tcMar>
              <w:top w:w="40" w:type="dxa"/>
              <w:bottom w:w="40" w:type="dxa"/>
              <w:right w:w="20" w:type="dxa"/>
            </w:tcMar>
            <w:vAlign w:val="center"/>
          </w:tcPr>
          <w:p w14:paraId="33DAC84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84F"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C850"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C851" w14:textId="77777777" w:rsidR="004D6A64" w:rsidRDefault="00506CD6">
            <w:pPr>
              <w:jc w:val="right"/>
              <w:textAlignment w:val="center"/>
            </w:pPr>
            <w:r>
              <w:rPr>
                <w:rFonts w:ascii="Times New Roman" w:eastAsia="宋体" w:hAnsi="Times New Roman"/>
                <w:color w:val="000000"/>
                <w:sz w:val="20"/>
                <w:szCs w:val="20"/>
              </w:rPr>
              <w:t>25,348 </w:t>
            </w:r>
          </w:p>
        </w:tc>
        <w:tc>
          <w:tcPr>
            <w:tcW w:w="0" w:type="auto"/>
            <w:tcBorders>
              <w:top w:val="single" w:sz="8" w:space="0" w:color="000000"/>
            </w:tcBorders>
            <w:shd w:val="clear" w:color="auto" w:fill="FFFFFF"/>
            <w:tcMar>
              <w:top w:w="40" w:type="dxa"/>
              <w:bottom w:w="40" w:type="dxa"/>
              <w:right w:w="20" w:type="dxa"/>
            </w:tcMar>
            <w:vAlign w:val="center"/>
          </w:tcPr>
          <w:p w14:paraId="33DAC85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853"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C854"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C855" w14:textId="77777777" w:rsidR="004D6A64" w:rsidRDefault="00506CD6">
            <w:pPr>
              <w:jc w:val="right"/>
              <w:textAlignment w:val="center"/>
            </w:pPr>
            <w:r>
              <w:rPr>
                <w:rFonts w:ascii="Times New Roman" w:eastAsia="宋体" w:hAnsi="Times New Roman"/>
                <w:color w:val="000000"/>
                <w:sz w:val="20"/>
                <w:szCs w:val="20"/>
              </w:rPr>
              <w:t>28,791 </w:t>
            </w:r>
          </w:p>
        </w:tc>
        <w:tc>
          <w:tcPr>
            <w:tcW w:w="0" w:type="auto"/>
            <w:tcBorders>
              <w:top w:val="single" w:sz="8" w:space="0" w:color="000000"/>
            </w:tcBorders>
            <w:shd w:val="clear" w:color="auto" w:fill="FFFFFF"/>
            <w:tcMar>
              <w:top w:w="40" w:type="dxa"/>
              <w:bottom w:w="40" w:type="dxa"/>
              <w:right w:w="20" w:type="dxa"/>
            </w:tcMar>
            <w:vAlign w:val="center"/>
          </w:tcPr>
          <w:p w14:paraId="33DAC85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857"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C858"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C859" w14:textId="77777777" w:rsidR="004D6A64" w:rsidRDefault="00506CD6">
            <w:pPr>
              <w:jc w:val="right"/>
              <w:textAlignment w:val="center"/>
            </w:pPr>
            <w:r>
              <w:rPr>
                <w:rFonts w:ascii="Times New Roman" w:eastAsia="宋体" w:hAnsi="Times New Roman"/>
                <w:color w:val="000000"/>
                <w:sz w:val="20"/>
                <w:szCs w:val="20"/>
              </w:rPr>
              <w:t>25,348 </w:t>
            </w:r>
          </w:p>
        </w:tc>
        <w:tc>
          <w:tcPr>
            <w:tcW w:w="0" w:type="auto"/>
            <w:tcBorders>
              <w:top w:val="single" w:sz="8" w:space="0" w:color="000000"/>
            </w:tcBorders>
            <w:shd w:val="clear" w:color="auto" w:fill="FFFFFF"/>
            <w:tcMar>
              <w:top w:w="40" w:type="dxa"/>
              <w:bottom w:w="40" w:type="dxa"/>
              <w:right w:w="20" w:type="dxa"/>
            </w:tcMar>
            <w:vAlign w:val="center"/>
          </w:tcPr>
          <w:p w14:paraId="33DAC85A" w14:textId="77777777" w:rsidR="004D6A64" w:rsidRDefault="004D6A64">
            <w:pPr>
              <w:jc w:val="right"/>
              <w:rPr>
                <w:rFonts w:ascii="宋体"/>
              </w:rPr>
            </w:pPr>
          </w:p>
        </w:tc>
        <w:tc>
          <w:tcPr>
            <w:tcW w:w="0" w:type="auto"/>
            <w:shd w:val="clear" w:color="auto" w:fill="auto"/>
          </w:tcPr>
          <w:p w14:paraId="33DAC85B" w14:textId="77777777" w:rsidR="004D6A64" w:rsidRDefault="004D6A64">
            <w:pPr>
              <w:rPr>
                <w:rFonts w:ascii="宋体"/>
              </w:rPr>
            </w:pPr>
          </w:p>
        </w:tc>
        <w:tc>
          <w:tcPr>
            <w:tcW w:w="0" w:type="auto"/>
            <w:shd w:val="clear" w:color="auto" w:fill="auto"/>
          </w:tcPr>
          <w:p w14:paraId="33DAC85C" w14:textId="77777777" w:rsidR="004D6A64" w:rsidRDefault="004D6A64">
            <w:pPr>
              <w:rPr>
                <w:rFonts w:ascii="宋体"/>
              </w:rPr>
            </w:pPr>
          </w:p>
        </w:tc>
        <w:tc>
          <w:tcPr>
            <w:tcW w:w="0" w:type="auto"/>
            <w:shd w:val="clear" w:color="auto" w:fill="auto"/>
          </w:tcPr>
          <w:p w14:paraId="33DAC85D" w14:textId="77777777" w:rsidR="004D6A64" w:rsidRDefault="004D6A64">
            <w:pPr>
              <w:rPr>
                <w:rFonts w:ascii="宋体"/>
              </w:rPr>
            </w:pPr>
          </w:p>
        </w:tc>
        <w:tc>
          <w:tcPr>
            <w:tcW w:w="0" w:type="auto"/>
            <w:shd w:val="clear" w:color="auto" w:fill="auto"/>
          </w:tcPr>
          <w:p w14:paraId="33DAC85E" w14:textId="77777777" w:rsidR="004D6A64" w:rsidRDefault="004D6A64">
            <w:pPr>
              <w:rPr>
                <w:rFonts w:ascii="宋体"/>
              </w:rPr>
            </w:pPr>
          </w:p>
        </w:tc>
        <w:tc>
          <w:tcPr>
            <w:tcW w:w="0" w:type="auto"/>
            <w:shd w:val="clear" w:color="auto" w:fill="auto"/>
          </w:tcPr>
          <w:p w14:paraId="33DAC85F" w14:textId="77777777" w:rsidR="004D6A64" w:rsidRDefault="004D6A64">
            <w:pPr>
              <w:rPr>
                <w:rFonts w:ascii="宋体"/>
              </w:rPr>
            </w:pPr>
          </w:p>
        </w:tc>
        <w:tc>
          <w:tcPr>
            <w:tcW w:w="0" w:type="auto"/>
            <w:shd w:val="clear" w:color="auto" w:fill="auto"/>
          </w:tcPr>
          <w:p w14:paraId="33DAC860" w14:textId="77777777" w:rsidR="004D6A64" w:rsidRDefault="004D6A64">
            <w:pPr>
              <w:rPr>
                <w:rFonts w:ascii="宋体"/>
              </w:rPr>
            </w:pPr>
          </w:p>
        </w:tc>
        <w:tc>
          <w:tcPr>
            <w:tcW w:w="0" w:type="auto"/>
            <w:shd w:val="clear" w:color="auto" w:fill="auto"/>
          </w:tcPr>
          <w:p w14:paraId="33DAC861" w14:textId="77777777" w:rsidR="004D6A64" w:rsidRDefault="004D6A64">
            <w:pPr>
              <w:rPr>
                <w:rFonts w:ascii="宋体"/>
              </w:rPr>
            </w:pPr>
          </w:p>
        </w:tc>
        <w:tc>
          <w:tcPr>
            <w:tcW w:w="0" w:type="auto"/>
            <w:shd w:val="clear" w:color="auto" w:fill="auto"/>
          </w:tcPr>
          <w:p w14:paraId="33DAC862" w14:textId="77777777" w:rsidR="004D6A64" w:rsidRDefault="004D6A64">
            <w:pPr>
              <w:rPr>
                <w:rFonts w:ascii="宋体"/>
              </w:rPr>
            </w:pPr>
          </w:p>
        </w:tc>
        <w:tc>
          <w:tcPr>
            <w:tcW w:w="0" w:type="auto"/>
            <w:shd w:val="clear" w:color="auto" w:fill="auto"/>
          </w:tcPr>
          <w:p w14:paraId="33DAC863" w14:textId="77777777" w:rsidR="004D6A64" w:rsidRDefault="004D6A64">
            <w:pPr>
              <w:rPr>
                <w:rFonts w:ascii="宋体"/>
              </w:rPr>
            </w:pPr>
          </w:p>
        </w:tc>
        <w:tc>
          <w:tcPr>
            <w:tcW w:w="0" w:type="auto"/>
            <w:shd w:val="clear" w:color="auto" w:fill="auto"/>
          </w:tcPr>
          <w:p w14:paraId="33DAC864" w14:textId="77777777" w:rsidR="004D6A64" w:rsidRDefault="004D6A64">
            <w:pPr>
              <w:rPr>
                <w:rFonts w:ascii="宋体"/>
              </w:rPr>
            </w:pPr>
          </w:p>
        </w:tc>
        <w:tc>
          <w:tcPr>
            <w:tcW w:w="0" w:type="auto"/>
            <w:shd w:val="clear" w:color="auto" w:fill="auto"/>
          </w:tcPr>
          <w:p w14:paraId="33DAC865" w14:textId="77777777" w:rsidR="004D6A64" w:rsidRDefault="004D6A64">
            <w:pPr>
              <w:rPr>
                <w:rFonts w:ascii="宋体"/>
              </w:rPr>
            </w:pPr>
          </w:p>
        </w:tc>
        <w:tc>
          <w:tcPr>
            <w:tcW w:w="0" w:type="auto"/>
            <w:shd w:val="clear" w:color="auto" w:fill="auto"/>
          </w:tcPr>
          <w:p w14:paraId="33DAC866" w14:textId="77777777" w:rsidR="004D6A64" w:rsidRDefault="004D6A64">
            <w:pPr>
              <w:rPr>
                <w:rFonts w:ascii="宋体"/>
              </w:rPr>
            </w:pPr>
          </w:p>
        </w:tc>
        <w:tc>
          <w:tcPr>
            <w:tcW w:w="0" w:type="auto"/>
            <w:shd w:val="clear" w:color="auto" w:fill="auto"/>
          </w:tcPr>
          <w:p w14:paraId="33DAC867" w14:textId="77777777" w:rsidR="004D6A64" w:rsidRDefault="004D6A64">
            <w:pPr>
              <w:rPr>
                <w:rFonts w:ascii="宋体"/>
              </w:rPr>
            </w:pPr>
          </w:p>
        </w:tc>
        <w:tc>
          <w:tcPr>
            <w:tcW w:w="0" w:type="auto"/>
            <w:shd w:val="clear" w:color="auto" w:fill="auto"/>
          </w:tcPr>
          <w:p w14:paraId="33DAC868" w14:textId="77777777" w:rsidR="004D6A64" w:rsidRDefault="004D6A64">
            <w:pPr>
              <w:rPr>
                <w:rFonts w:ascii="宋体"/>
              </w:rPr>
            </w:pPr>
          </w:p>
        </w:tc>
        <w:tc>
          <w:tcPr>
            <w:tcW w:w="0" w:type="auto"/>
            <w:shd w:val="clear" w:color="auto" w:fill="auto"/>
          </w:tcPr>
          <w:p w14:paraId="33DAC869" w14:textId="77777777" w:rsidR="004D6A64" w:rsidRDefault="004D6A64">
            <w:pPr>
              <w:rPr>
                <w:rFonts w:ascii="宋体"/>
              </w:rPr>
            </w:pPr>
          </w:p>
        </w:tc>
        <w:tc>
          <w:tcPr>
            <w:tcW w:w="0" w:type="auto"/>
            <w:shd w:val="clear" w:color="auto" w:fill="auto"/>
          </w:tcPr>
          <w:p w14:paraId="33DAC86A" w14:textId="77777777" w:rsidR="004D6A64" w:rsidRDefault="004D6A64">
            <w:pPr>
              <w:rPr>
                <w:rFonts w:ascii="宋体"/>
              </w:rPr>
            </w:pPr>
          </w:p>
        </w:tc>
        <w:tc>
          <w:tcPr>
            <w:tcW w:w="0" w:type="auto"/>
            <w:shd w:val="clear" w:color="auto" w:fill="auto"/>
          </w:tcPr>
          <w:p w14:paraId="33DAC86B" w14:textId="77777777" w:rsidR="004D6A64" w:rsidRDefault="004D6A64">
            <w:pPr>
              <w:rPr>
                <w:rFonts w:ascii="宋体"/>
              </w:rPr>
            </w:pPr>
          </w:p>
        </w:tc>
        <w:tc>
          <w:tcPr>
            <w:tcW w:w="0" w:type="auto"/>
            <w:shd w:val="clear" w:color="auto" w:fill="auto"/>
          </w:tcPr>
          <w:p w14:paraId="33DAC86C" w14:textId="77777777" w:rsidR="004D6A64" w:rsidRDefault="004D6A64">
            <w:pPr>
              <w:rPr>
                <w:rFonts w:ascii="宋体"/>
              </w:rPr>
            </w:pPr>
          </w:p>
        </w:tc>
      </w:tr>
      <w:tr w:rsidR="004D6A64" w14:paraId="33DAC890" w14:textId="77777777">
        <w:tc>
          <w:tcPr>
            <w:tcW w:w="0" w:type="auto"/>
            <w:gridSpan w:val="3"/>
            <w:shd w:val="clear" w:color="auto" w:fill="CCEEFF"/>
            <w:tcMar>
              <w:top w:w="40" w:type="dxa"/>
              <w:left w:w="135" w:type="dxa"/>
              <w:bottom w:w="40" w:type="dxa"/>
              <w:right w:w="20" w:type="dxa"/>
            </w:tcMar>
            <w:vAlign w:val="center"/>
          </w:tcPr>
          <w:p w14:paraId="33DAC86E" w14:textId="77777777" w:rsidR="004D6A64" w:rsidRDefault="00506CD6">
            <w:pPr>
              <w:textAlignment w:val="center"/>
            </w:pPr>
            <w:r>
              <w:rPr>
                <w:rFonts w:ascii="Times New Roman" w:eastAsia="宋体" w:hAnsi="Times New Roman"/>
                <w:color w:val="000000"/>
                <w:sz w:val="20"/>
                <w:szCs w:val="20"/>
              </w:rPr>
              <w:t>Short-term deferred revenue</w:t>
            </w:r>
          </w:p>
        </w:tc>
        <w:tc>
          <w:tcPr>
            <w:tcW w:w="0" w:type="auto"/>
            <w:tcBorders>
              <w:top w:val="double" w:sz="6" w:space="0" w:color="000000"/>
            </w:tcBorders>
            <w:shd w:val="clear" w:color="auto" w:fill="CCEEFF"/>
            <w:tcMar>
              <w:top w:w="40" w:type="dxa"/>
              <w:left w:w="20" w:type="dxa"/>
              <w:bottom w:w="40" w:type="dxa"/>
            </w:tcMar>
            <w:vAlign w:val="center"/>
          </w:tcPr>
          <w:p w14:paraId="33DAC86F" w14:textId="77777777" w:rsidR="004D6A64" w:rsidRDefault="00506CD6">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bottom w:w="40" w:type="dxa"/>
              <w:right w:w="0" w:type="dxa"/>
            </w:tcMar>
            <w:vAlign w:val="center"/>
          </w:tcPr>
          <w:p w14:paraId="33DAC870" w14:textId="77777777" w:rsidR="004D6A64" w:rsidRDefault="00506CD6">
            <w:pPr>
              <w:jc w:val="right"/>
              <w:textAlignment w:val="center"/>
            </w:pPr>
            <w:r>
              <w:rPr>
                <w:rFonts w:ascii="Times New Roman" w:eastAsia="宋体" w:hAnsi="Times New Roman"/>
                <w:color w:val="000000"/>
                <w:sz w:val="20"/>
                <w:szCs w:val="20"/>
              </w:rPr>
              <w:t>15,341 </w:t>
            </w:r>
          </w:p>
        </w:tc>
        <w:tc>
          <w:tcPr>
            <w:tcW w:w="0" w:type="auto"/>
            <w:tcBorders>
              <w:top w:val="double" w:sz="6" w:space="0" w:color="000000"/>
            </w:tcBorders>
            <w:shd w:val="clear" w:color="auto" w:fill="CCEEFF"/>
            <w:tcMar>
              <w:top w:w="40" w:type="dxa"/>
              <w:bottom w:w="40" w:type="dxa"/>
              <w:right w:w="20" w:type="dxa"/>
            </w:tcMar>
            <w:vAlign w:val="center"/>
          </w:tcPr>
          <w:p w14:paraId="33DAC87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872" w14:textId="77777777" w:rsidR="004D6A64" w:rsidRDefault="004D6A64">
            <w:pPr>
              <w:rPr>
                <w:rFonts w:ascii="宋体"/>
              </w:rPr>
            </w:pPr>
          </w:p>
        </w:tc>
        <w:tc>
          <w:tcPr>
            <w:tcW w:w="0" w:type="auto"/>
            <w:tcBorders>
              <w:top w:val="double" w:sz="6" w:space="0" w:color="000000"/>
            </w:tcBorders>
            <w:shd w:val="clear" w:color="auto" w:fill="CCEEFF"/>
            <w:tcMar>
              <w:top w:w="40" w:type="dxa"/>
              <w:left w:w="20" w:type="dxa"/>
              <w:bottom w:w="40" w:type="dxa"/>
            </w:tcMar>
            <w:vAlign w:val="center"/>
          </w:tcPr>
          <w:p w14:paraId="33DAC873" w14:textId="77777777" w:rsidR="004D6A64" w:rsidRDefault="00506CD6">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bottom w:w="40" w:type="dxa"/>
              <w:right w:w="0" w:type="dxa"/>
            </w:tcMar>
            <w:vAlign w:val="center"/>
          </w:tcPr>
          <w:p w14:paraId="33DAC874" w14:textId="77777777" w:rsidR="004D6A64" w:rsidRDefault="00506CD6">
            <w:pPr>
              <w:jc w:val="right"/>
              <w:textAlignment w:val="center"/>
            </w:pPr>
            <w:r>
              <w:rPr>
                <w:rFonts w:ascii="Times New Roman" w:eastAsia="宋体" w:hAnsi="Times New Roman"/>
                <w:color w:val="000000"/>
                <w:sz w:val="20"/>
                <w:szCs w:val="20"/>
              </w:rPr>
              <w:t>13,568 </w:t>
            </w:r>
          </w:p>
        </w:tc>
        <w:tc>
          <w:tcPr>
            <w:tcW w:w="0" w:type="auto"/>
            <w:tcBorders>
              <w:top w:val="double" w:sz="6" w:space="0" w:color="000000"/>
            </w:tcBorders>
            <w:shd w:val="clear" w:color="auto" w:fill="CCEEFF"/>
            <w:tcMar>
              <w:top w:w="40" w:type="dxa"/>
              <w:bottom w:w="40" w:type="dxa"/>
              <w:right w:w="20" w:type="dxa"/>
            </w:tcMar>
            <w:vAlign w:val="center"/>
          </w:tcPr>
          <w:p w14:paraId="33DAC87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876" w14:textId="77777777" w:rsidR="004D6A64" w:rsidRDefault="004D6A64">
            <w:pPr>
              <w:rPr>
                <w:rFonts w:ascii="宋体"/>
              </w:rPr>
            </w:pPr>
          </w:p>
        </w:tc>
        <w:tc>
          <w:tcPr>
            <w:tcW w:w="0" w:type="auto"/>
            <w:tcBorders>
              <w:top w:val="double" w:sz="6" w:space="0" w:color="000000"/>
            </w:tcBorders>
            <w:shd w:val="clear" w:color="auto" w:fill="CCEEFF"/>
            <w:tcMar>
              <w:top w:w="40" w:type="dxa"/>
              <w:left w:w="20" w:type="dxa"/>
              <w:bottom w:w="40" w:type="dxa"/>
            </w:tcMar>
            <w:vAlign w:val="center"/>
          </w:tcPr>
          <w:p w14:paraId="33DAC877" w14:textId="77777777" w:rsidR="004D6A64" w:rsidRDefault="00506CD6">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bottom w:w="40" w:type="dxa"/>
              <w:right w:w="0" w:type="dxa"/>
            </w:tcMar>
            <w:vAlign w:val="center"/>
          </w:tcPr>
          <w:p w14:paraId="33DAC878" w14:textId="77777777" w:rsidR="004D6A64" w:rsidRDefault="00506CD6">
            <w:pPr>
              <w:jc w:val="right"/>
              <w:textAlignment w:val="center"/>
            </w:pPr>
            <w:r>
              <w:rPr>
                <w:rFonts w:ascii="Times New Roman" w:eastAsia="宋体" w:hAnsi="Times New Roman"/>
                <w:color w:val="000000"/>
                <w:sz w:val="20"/>
                <w:szCs w:val="20"/>
              </w:rPr>
              <w:t>15,341 </w:t>
            </w:r>
          </w:p>
        </w:tc>
        <w:tc>
          <w:tcPr>
            <w:tcW w:w="0" w:type="auto"/>
            <w:tcBorders>
              <w:top w:val="double" w:sz="6" w:space="0" w:color="000000"/>
            </w:tcBorders>
            <w:shd w:val="clear" w:color="auto" w:fill="CCEEFF"/>
            <w:tcMar>
              <w:top w:w="40" w:type="dxa"/>
              <w:bottom w:w="40" w:type="dxa"/>
              <w:right w:w="20" w:type="dxa"/>
            </w:tcMar>
            <w:vAlign w:val="center"/>
          </w:tcPr>
          <w:p w14:paraId="33DAC879"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87A" w14:textId="77777777" w:rsidR="004D6A64" w:rsidRDefault="004D6A64">
            <w:pPr>
              <w:rPr>
                <w:rFonts w:ascii="宋体"/>
              </w:rPr>
            </w:pPr>
          </w:p>
        </w:tc>
        <w:tc>
          <w:tcPr>
            <w:tcW w:w="0" w:type="auto"/>
            <w:tcBorders>
              <w:top w:val="double" w:sz="6" w:space="0" w:color="000000"/>
            </w:tcBorders>
            <w:shd w:val="clear" w:color="auto" w:fill="CCEEFF"/>
            <w:tcMar>
              <w:top w:w="40" w:type="dxa"/>
              <w:left w:w="20" w:type="dxa"/>
              <w:bottom w:w="40" w:type="dxa"/>
            </w:tcMar>
            <w:vAlign w:val="center"/>
          </w:tcPr>
          <w:p w14:paraId="33DAC87B" w14:textId="77777777" w:rsidR="004D6A64" w:rsidRDefault="00506CD6">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bottom w:w="40" w:type="dxa"/>
              <w:right w:w="0" w:type="dxa"/>
            </w:tcMar>
            <w:vAlign w:val="center"/>
          </w:tcPr>
          <w:p w14:paraId="33DAC87C" w14:textId="77777777" w:rsidR="004D6A64" w:rsidRDefault="00506CD6">
            <w:pPr>
              <w:jc w:val="right"/>
              <w:textAlignment w:val="center"/>
            </w:pPr>
            <w:r>
              <w:rPr>
                <w:rFonts w:ascii="Times New Roman" w:eastAsia="宋体" w:hAnsi="Times New Roman"/>
                <w:color w:val="000000"/>
                <w:sz w:val="20"/>
                <w:szCs w:val="20"/>
              </w:rPr>
              <w:t>13,568 </w:t>
            </w:r>
          </w:p>
        </w:tc>
        <w:tc>
          <w:tcPr>
            <w:tcW w:w="0" w:type="auto"/>
            <w:tcBorders>
              <w:top w:val="double" w:sz="6" w:space="0" w:color="000000"/>
            </w:tcBorders>
            <w:shd w:val="clear" w:color="auto" w:fill="CCEEFF"/>
            <w:tcMar>
              <w:top w:w="40" w:type="dxa"/>
              <w:bottom w:w="40" w:type="dxa"/>
              <w:right w:w="20" w:type="dxa"/>
            </w:tcMar>
            <w:vAlign w:val="center"/>
          </w:tcPr>
          <w:p w14:paraId="33DAC87D" w14:textId="77777777" w:rsidR="004D6A64" w:rsidRDefault="004D6A64">
            <w:pPr>
              <w:jc w:val="right"/>
              <w:rPr>
                <w:rFonts w:ascii="宋体"/>
              </w:rPr>
            </w:pPr>
          </w:p>
        </w:tc>
        <w:tc>
          <w:tcPr>
            <w:tcW w:w="0" w:type="auto"/>
            <w:shd w:val="clear" w:color="auto" w:fill="auto"/>
          </w:tcPr>
          <w:p w14:paraId="33DAC87E" w14:textId="77777777" w:rsidR="004D6A64" w:rsidRDefault="004D6A64">
            <w:pPr>
              <w:rPr>
                <w:rFonts w:ascii="宋体"/>
              </w:rPr>
            </w:pPr>
          </w:p>
        </w:tc>
        <w:tc>
          <w:tcPr>
            <w:tcW w:w="0" w:type="auto"/>
            <w:shd w:val="clear" w:color="auto" w:fill="auto"/>
          </w:tcPr>
          <w:p w14:paraId="33DAC87F" w14:textId="77777777" w:rsidR="004D6A64" w:rsidRDefault="004D6A64">
            <w:pPr>
              <w:rPr>
                <w:rFonts w:ascii="宋体"/>
              </w:rPr>
            </w:pPr>
          </w:p>
        </w:tc>
        <w:tc>
          <w:tcPr>
            <w:tcW w:w="0" w:type="auto"/>
            <w:shd w:val="clear" w:color="auto" w:fill="auto"/>
          </w:tcPr>
          <w:p w14:paraId="33DAC880" w14:textId="77777777" w:rsidR="004D6A64" w:rsidRDefault="004D6A64">
            <w:pPr>
              <w:rPr>
                <w:rFonts w:ascii="宋体"/>
              </w:rPr>
            </w:pPr>
          </w:p>
        </w:tc>
        <w:tc>
          <w:tcPr>
            <w:tcW w:w="0" w:type="auto"/>
            <w:shd w:val="clear" w:color="auto" w:fill="auto"/>
          </w:tcPr>
          <w:p w14:paraId="33DAC881" w14:textId="77777777" w:rsidR="004D6A64" w:rsidRDefault="004D6A64">
            <w:pPr>
              <w:rPr>
                <w:rFonts w:ascii="宋体"/>
              </w:rPr>
            </w:pPr>
          </w:p>
        </w:tc>
        <w:tc>
          <w:tcPr>
            <w:tcW w:w="0" w:type="auto"/>
            <w:shd w:val="clear" w:color="auto" w:fill="auto"/>
          </w:tcPr>
          <w:p w14:paraId="33DAC882" w14:textId="77777777" w:rsidR="004D6A64" w:rsidRDefault="004D6A64">
            <w:pPr>
              <w:rPr>
                <w:rFonts w:ascii="宋体"/>
              </w:rPr>
            </w:pPr>
          </w:p>
        </w:tc>
        <w:tc>
          <w:tcPr>
            <w:tcW w:w="0" w:type="auto"/>
            <w:shd w:val="clear" w:color="auto" w:fill="auto"/>
          </w:tcPr>
          <w:p w14:paraId="33DAC883" w14:textId="77777777" w:rsidR="004D6A64" w:rsidRDefault="004D6A64">
            <w:pPr>
              <w:rPr>
                <w:rFonts w:ascii="宋体"/>
              </w:rPr>
            </w:pPr>
          </w:p>
        </w:tc>
        <w:tc>
          <w:tcPr>
            <w:tcW w:w="0" w:type="auto"/>
            <w:shd w:val="clear" w:color="auto" w:fill="auto"/>
          </w:tcPr>
          <w:p w14:paraId="33DAC884" w14:textId="77777777" w:rsidR="004D6A64" w:rsidRDefault="004D6A64">
            <w:pPr>
              <w:rPr>
                <w:rFonts w:ascii="宋体"/>
              </w:rPr>
            </w:pPr>
          </w:p>
        </w:tc>
        <w:tc>
          <w:tcPr>
            <w:tcW w:w="0" w:type="auto"/>
            <w:shd w:val="clear" w:color="auto" w:fill="auto"/>
          </w:tcPr>
          <w:p w14:paraId="33DAC885" w14:textId="77777777" w:rsidR="004D6A64" w:rsidRDefault="004D6A64">
            <w:pPr>
              <w:rPr>
                <w:rFonts w:ascii="宋体"/>
              </w:rPr>
            </w:pPr>
          </w:p>
        </w:tc>
        <w:tc>
          <w:tcPr>
            <w:tcW w:w="0" w:type="auto"/>
            <w:shd w:val="clear" w:color="auto" w:fill="auto"/>
          </w:tcPr>
          <w:p w14:paraId="33DAC886" w14:textId="77777777" w:rsidR="004D6A64" w:rsidRDefault="004D6A64">
            <w:pPr>
              <w:rPr>
                <w:rFonts w:ascii="宋体"/>
              </w:rPr>
            </w:pPr>
          </w:p>
        </w:tc>
        <w:tc>
          <w:tcPr>
            <w:tcW w:w="0" w:type="auto"/>
            <w:shd w:val="clear" w:color="auto" w:fill="auto"/>
          </w:tcPr>
          <w:p w14:paraId="33DAC887" w14:textId="77777777" w:rsidR="004D6A64" w:rsidRDefault="004D6A64">
            <w:pPr>
              <w:rPr>
                <w:rFonts w:ascii="宋体"/>
              </w:rPr>
            </w:pPr>
          </w:p>
        </w:tc>
        <w:tc>
          <w:tcPr>
            <w:tcW w:w="0" w:type="auto"/>
            <w:shd w:val="clear" w:color="auto" w:fill="auto"/>
          </w:tcPr>
          <w:p w14:paraId="33DAC888" w14:textId="77777777" w:rsidR="004D6A64" w:rsidRDefault="004D6A64">
            <w:pPr>
              <w:rPr>
                <w:rFonts w:ascii="宋体"/>
              </w:rPr>
            </w:pPr>
          </w:p>
        </w:tc>
        <w:tc>
          <w:tcPr>
            <w:tcW w:w="0" w:type="auto"/>
            <w:shd w:val="clear" w:color="auto" w:fill="auto"/>
          </w:tcPr>
          <w:p w14:paraId="33DAC889" w14:textId="77777777" w:rsidR="004D6A64" w:rsidRDefault="004D6A64">
            <w:pPr>
              <w:rPr>
                <w:rFonts w:ascii="宋体"/>
              </w:rPr>
            </w:pPr>
          </w:p>
        </w:tc>
        <w:tc>
          <w:tcPr>
            <w:tcW w:w="0" w:type="auto"/>
            <w:shd w:val="clear" w:color="auto" w:fill="auto"/>
          </w:tcPr>
          <w:p w14:paraId="33DAC88A" w14:textId="77777777" w:rsidR="004D6A64" w:rsidRDefault="004D6A64">
            <w:pPr>
              <w:rPr>
                <w:rFonts w:ascii="宋体"/>
              </w:rPr>
            </w:pPr>
          </w:p>
        </w:tc>
        <w:tc>
          <w:tcPr>
            <w:tcW w:w="0" w:type="auto"/>
            <w:shd w:val="clear" w:color="auto" w:fill="auto"/>
          </w:tcPr>
          <w:p w14:paraId="33DAC88B" w14:textId="77777777" w:rsidR="004D6A64" w:rsidRDefault="004D6A64">
            <w:pPr>
              <w:rPr>
                <w:rFonts w:ascii="宋体"/>
              </w:rPr>
            </w:pPr>
          </w:p>
        </w:tc>
        <w:tc>
          <w:tcPr>
            <w:tcW w:w="0" w:type="auto"/>
            <w:shd w:val="clear" w:color="auto" w:fill="auto"/>
          </w:tcPr>
          <w:p w14:paraId="33DAC88C" w14:textId="77777777" w:rsidR="004D6A64" w:rsidRDefault="004D6A64">
            <w:pPr>
              <w:rPr>
                <w:rFonts w:ascii="宋体"/>
              </w:rPr>
            </w:pPr>
          </w:p>
        </w:tc>
        <w:tc>
          <w:tcPr>
            <w:tcW w:w="0" w:type="auto"/>
            <w:shd w:val="clear" w:color="auto" w:fill="auto"/>
          </w:tcPr>
          <w:p w14:paraId="33DAC88D" w14:textId="77777777" w:rsidR="004D6A64" w:rsidRDefault="004D6A64">
            <w:pPr>
              <w:rPr>
                <w:rFonts w:ascii="宋体"/>
              </w:rPr>
            </w:pPr>
          </w:p>
        </w:tc>
        <w:tc>
          <w:tcPr>
            <w:tcW w:w="0" w:type="auto"/>
            <w:shd w:val="clear" w:color="auto" w:fill="auto"/>
          </w:tcPr>
          <w:p w14:paraId="33DAC88E" w14:textId="77777777" w:rsidR="004D6A64" w:rsidRDefault="004D6A64">
            <w:pPr>
              <w:rPr>
                <w:rFonts w:ascii="宋体"/>
              </w:rPr>
            </w:pPr>
          </w:p>
        </w:tc>
        <w:tc>
          <w:tcPr>
            <w:tcW w:w="0" w:type="auto"/>
            <w:shd w:val="clear" w:color="auto" w:fill="auto"/>
          </w:tcPr>
          <w:p w14:paraId="33DAC88F" w14:textId="77777777" w:rsidR="004D6A64" w:rsidRDefault="004D6A64">
            <w:pPr>
              <w:rPr>
                <w:rFonts w:ascii="宋体"/>
              </w:rPr>
            </w:pPr>
          </w:p>
        </w:tc>
      </w:tr>
      <w:tr w:rsidR="004D6A64" w14:paraId="33DAC8B3" w14:textId="77777777">
        <w:tc>
          <w:tcPr>
            <w:tcW w:w="0" w:type="auto"/>
            <w:gridSpan w:val="3"/>
            <w:shd w:val="clear" w:color="auto" w:fill="FFFFFF"/>
            <w:tcMar>
              <w:top w:w="40" w:type="dxa"/>
              <w:left w:w="135" w:type="dxa"/>
              <w:bottom w:w="40" w:type="dxa"/>
              <w:right w:w="20" w:type="dxa"/>
            </w:tcMar>
            <w:vAlign w:val="center"/>
          </w:tcPr>
          <w:p w14:paraId="33DAC891" w14:textId="77777777" w:rsidR="004D6A64" w:rsidRDefault="00506CD6">
            <w:pPr>
              <w:textAlignment w:val="center"/>
            </w:pPr>
            <w:r>
              <w:rPr>
                <w:rFonts w:ascii="Times New Roman" w:eastAsia="宋体" w:hAnsi="Times New Roman"/>
                <w:color w:val="000000"/>
                <w:sz w:val="20"/>
                <w:szCs w:val="20"/>
              </w:rPr>
              <w:t>Long-term deferred revenue</w:t>
            </w:r>
          </w:p>
        </w:tc>
        <w:tc>
          <w:tcPr>
            <w:tcW w:w="0" w:type="auto"/>
            <w:shd w:val="clear" w:color="auto" w:fill="FFFFFF"/>
            <w:tcMar>
              <w:top w:w="40" w:type="dxa"/>
              <w:left w:w="20" w:type="dxa"/>
              <w:bottom w:w="40" w:type="dxa"/>
            </w:tcMar>
            <w:vAlign w:val="center"/>
          </w:tcPr>
          <w:p w14:paraId="33DAC892"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C893" w14:textId="77777777" w:rsidR="004D6A64" w:rsidRDefault="00506CD6">
            <w:pPr>
              <w:jc w:val="right"/>
              <w:textAlignment w:val="center"/>
            </w:pPr>
            <w:r>
              <w:rPr>
                <w:rFonts w:ascii="Times New Roman" w:eastAsia="宋体" w:hAnsi="Times New Roman"/>
                <w:color w:val="000000"/>
                <w:sz w:val="20"/>
                <w:szCs w:val="20"/>
              </w:rPr>
              <w:t>13,450 </w:t>
            </w:r>
          </w:p>
        </w:tc>
        <w:tc>
          <w:tcPr>
            <w:tcW w:w="0" w:type="auto"/>
            <w:shd w:val="clear" w:color="auto" w:fill="FFFFFF"/>
            <w:tcMar>
              <w:top w:w="40" w:type="dxa"/>
              <w:bottom w:w="40" w:type="dxa"/>
              <w:right w:w="20" w:type="dxa"/>
            </w:tcMar>
            <w:vAlign w:val="center"/>
          </w:tcPr>
          <w:p w14:paraId="33DAC89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895"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C896"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C897" w14:textId="77777777" w:rsidR="004D6A64" w:rsidRDefault="00506CD6">
            <w:pPr>
              <w:jc w:val="right"/>
              <w:textAlignment w:val="center"/>
            </w:pPr>
            <w:r>
              <w:rPr>
                <w:rFonts w:ascii="Times New Roman" w:eastAsia="宋体" w:hAnsi="Times New Roman"/>
                <w:color w:val="000000"/>
                <w:sz w:val="20"/>
                <w:szCs w:val="20"/>
              </w:rPr>
              <w:t>11,780 </w:t>
            </w:r>
          </w:p>
        </w:tc>
        <w:tc>
          <w:tcPr>
            <w:tcW w:w="0" w:type="auto"/>
            <w:shd w:val="clear" w:color="auto" w:fill="FFFFFF"/>
            <w:tcMar>
              <w:top w:w="40" w:type="dxa"/>
              <w:bottom w:w="40" w:type="dxa"/>
              <w:right w:w="20" w:type="dxa"/>
            </w:tcMar>
            <w:vAlign w:val="center"/>
          </w:tcPr>
          <w:p w14:paraId="33DAC89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899"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C89A"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C89B" w14:textId="77777777" w:rsidR="004D6A64" w:rsidRDefault="00506CD6">
            <w:pPr>
              <w:jc w:val="right"/>
              <w:textAlignment w:val="center"/>
            </w:pPr>
            <w:r>
              <w:rPr>
                <w:rFonts w:ascii="Times New Roman" w:eastAsia="宋体" w:hAnsi="Times New Roman"/>
                <w:color w:val="000000"/>
                <w:sz w:val="20"/>
                <w:szCs w:val="20"/>
              </w:rPr>
              <w:t>13,450 </w:t>
            </w:r>
          </w:p>
        </w:tc>
        <w:tc>
          <w:tcPr>
            <w:tcW w:w="0" w:type="auto"/>
            <w:shd w:val="clear" w:color="auto" w:fill="FFFFFF"/>
            <w:tcMar>
              <w:top w:w="40" w:type="dxa"/>
              <w:bottom w:w="40" w:type="dxa"/>
              <w:right w:w="20" w:type="dxa"/>
            </w:tcMar>
            <w:vAlign w:val="center"/>
          </w:tcPr>
          <w:p w14:paraId="33DAC89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89D"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C89E"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C89F" w14:textId="77777777" w:rsidR="004D6A64" w:rsidRDefault="00506CD6">
            <w:pPr>
              <w:jc w:val="right"/>
              <w:textAlignment w:val="center"/>
            </w:pPr>
            <w:r>
              <w:rPr>
                <w:rFonts w:ascii="Times New Roman" w:eastAsia="宋体" w:hAnsi="Times New Roman"/>
                <w:color w:val="000000"/>
                <w:sz w:val="20"/>
                <w:szCs w:val="20"/>
              </w:rPr>
              <w:t>11,780 </w:t>
            </w:r>
          </w:p>
        </w:tc>
        <w:tc>
          <w:tcPr>
            <w:tcW w:w="0" w:type="auto"/>
            <w:shd w:val="clear" w:color="auto" w:fill="FFFFFF"/>
            <w:tcMar>
              <w:top w:w="40" w:type="dxa"/>
              <w:bottom w:w="40" w:type="dxa"/>
              <w:right w:w="20" w:type="dxa"/>
            </w:tcMar>
            <w:vAlign w:val="center"/>
          </w:tcPr>
          <w:p w14:paraId="33DAC8A0" w14:textId="77777777" w:rsidR="004D6A64" w:rsidRDefault="004D6A64">
            <w:pPr>
              <w:jc w:val="right"/>
              <w:rPr>
                <w:rFonts w:ascii="宋体"/>
              </w:rPr>
            </w:pPr>
          </w:p>
        </w:tc>
        <w:tc>
          <w:tcPr>
            <w:tcW w:w="0" w:type="auto"/>
            <w:shd w:val="clear" w:color="auto" w:fill="auto"/>
          </w:tcPr>
          <w:p w14:paraId="33DAC8A1" w14:textId="77777777" w:rsidR="004D6A64" w:rsidRDefault="004D6A64">
            <w:pPr>
              <w:rPr>
                <w:rFonts w:ascii="宋体"/>
              </w:rPr>
            </w:pPr>
          </w:p>
        </w:tc>
        <w:tc>
          <w:tcPr>
            <w:tcW w:w="0" w:type="auto"/>
            <w:shd w:val="clear" w:color="auto" w:fill="auto"/>
          </w:tcPr>
          <w:p w14:paraId="33DAC8A2" w14:textId="77777777" w:rsidR="004D6A64" w:rsidRDefault="004D6A64">
            <w:pPr>
              <w:rPr>
                <w:rFonts w:ascii="宋体"/>
              </w:rPr>
            </w:pPr>
          </w:p>
        </w:tc>
        <w:tc>
          <w:tcPr>
            <w:tcW w:w="0" w:type="auto"/>
            <w:shd w:val="clear" w:color="auto" w:fill="auto"/>
          </w:tcPr>
          <w:p w14:paraId="33DAC8A3" w14:textId="77777777" w:rsidR="004D6A64" w:rsidRDefault="004D6A64">
            <w:pPr>
              <w:rPr>
                <w:rFonts w:ascii="宋体"/>
              </w:rPr>
            </w:pPr>
          </w:p>
        </w:tc>
        <w:tc>
          <w:tcPr>
            <w:tcW w:w="0" w:type="auto"/>
            <w:shd w:val="clear" w:color="auto" w:fill="auto"/>
          </w:tcPr>
          <w:p w14:paraId="33DAC8A4" w14:textId="77777777" w:rsidR="004D6A64" w:rsidRDefault="004D6A64">
            <w:pPr>
              <w:rPr>
                <w:rFonts w:ascii="宋体"/>
              </w:rPr>
            </w:pPr>
          </w:p>
        </w:tc>
        <w:tc>
          <w:tcPr>
            <w:tcW w:w="0" w:type="auto"/>
            <w:shd w:val="clear" w:color="auto" w:fill="auto"/>
          </w:tcPr>
          <w:p w14:paraId="33DAC8A5" w14:textId="77777777" w:rsidR="004D6A64" w:rsidRDefault="004D6A64">
            <w:pPr>
              <w:rPr>
                <w:rFonts w:ascii="宋体"/>
              </w:rPr>
            </w:pPr>
          </w:p>
        </w:tc>
        <w:tc>
          <w:tcPr>
            <w:tcW w:w="0" w:type="auto"/>
            <w:shd w:val="clear" w:color="auto" w:fill="auto"/>
          </w:tcPr>
          <w:p w14:paraId="33DAC8A6" w14:textId="77777777" w:rsidR="004D6A64" w:rsidRDefault="004D6A64">
            <w:pPr>
              <w:rPr>
                <w:rFonts w:ascii="宋体"/>
              </w:rPr>
            </w:pPr>
          </w:p>
        </w:tc>
        <w:tc>
          <w:tcPr>
            <w:tcW w:w="0" w:type="auto"/>
            <w:shd w:val="clear" w:color="auto" w:fill="auto"/>
          </w:tcPr>
          <w:p w14:paraId="33DAC8A7" w14:textId="77777777" w:rsidR="004D6A64" w:rsidRDefault="004D6A64">
            <w:pPr>
              <w:rPr>
                <w:rFonts w:ascii="宋体"/>
              </w:rPr>
            </w:pPr>
          </w:p>
        </w:tc>
        <w:tc>
          <w:tcPr>
            <w:tcW w:w="0" w:type="auto"/>
            <w:shd w:val="clear" w:color="auto" w:fill="auto"/>
          </w:tcPr>
          <w:p w14:paraId="33DAC8A8" w14:textId="77777777" w:rsidR="004D6A64" w:rsidRDefault="004D6A64">
            <w:pPr>
              <w:rPr>
                <w:rFonts w:ascii="宋体"/>
              </w:rPr>
            </w:pPr>
          </w:p>
        </w:tc>
        <w:tc>
          <w:tcPr>
            <w:tcW w:w="0" w:type="auto"/>
            <w:shd w:val="clear" w:color="auto" w:fill="auto"/>
          </w:tcPr>
          <w:p w14:paraId="33DAC8A9" w14:textId="77777777" w:rsidR="004D6A64" w:rsidRDefault="004D6A64">
            <w:pPr>
              <w:rPr>
                <w:rFonts w:ascii="宋体"/>
              </w:rPr>
            </w:pPr>
          </w:p>
        </w:tc>
        <w:tc>
          <w:tcPr>
            <w:tcW w:w="0" w:type="auto"/>
            <w:shd w:val="clear" w:color="auto" w:fill="auto"/>
          </w:tcPr>
          <w:p w14:paraId="33DAC8AA" w14:textId="77777777" w:rsidR="004D6A64" w:rsidRDefault="004D6A64">
            <w:pPr>
              <w:rPr>
                <w:rFonts w:ascii="宋体"/>
              </w:rPr>
            </w:pPr>
          </w:p>
        </w:tc>
        <w:tc>
          <w:tcPr>
            <w:tcW w:w="0" w:type="auto"/>
            <w:shd w:val="clear" w:color="auto" w:fill="auto"/>
          </w:tcPr>
          <w:p w14:paraId="33DAC8AB" w14:textId="77777777" w:rsidR="004D6A64" w:rsidRDefault="004D6A64">
            <w:pPr>
              <w:rPr>
                <w:rFonts w:ascii="宋体"/>
              </w:rPr>
            </w:pPr>
          </w:p>
        </w:tc>
        <w:tc>
          <w:tcPr>
            <w:tcW w:w="0" w:type="auto"/>
            <w:shd w:val="clear" w:color="auto" w:fill="auto"/>
          </w:tcPr>
          <w:p w14:paraId="33DAC8AC" w14:textId="77777777" w:rsidR="004D6A64" w:rsidRDefault="004D6A64">
            <w:pPr>
              <w:rPr>
                <w:rFonts w:ascii="宋体"/>
              </w:rPr>
            </w:pPr>
          </w:p>
        </w:tc>
        <w:tc>
          <w:tcPr>
            <w:tcW w:w="0" w:type="auto"/>
            <w:shd w:val="clear" w:color="auto" w:fill="auto"/>
          </w:tcPr>
          <w:p w14:paraId="33DAC8AD" w14:textId="77777777" w:rsidR="004D6A64" w:rsidRDefault="004D6A64">
            <w:pPr>
              <w:rPr>
                <w:rFonts w:ascii="宋体"/>
              </w:rPr>
            </w:pPr>
          </w:p>
        </w:tc>
        <w:tc>
          <w:tcPr>
            <w:tcW w:w="0" w:type="auto"/>
            <w:shd w:val="clear" w:color="auto" w:fill="auto"/>
          </w:tcPr>
          <w:p w14:paraId="33DAC8AE" w14:textId="77777777" w:rsidR="004D6A64" w:rsidRDefault="004D6A64">
            <w:pPr>
              <w:rPr>
                <w:rFonts w:ascii="宋体"/>
              </w:rPr>
            </w:pPr>
          </w:p>
        </w:tc>
        <w:tc>
          <w:tcPr>
            <w:tcW w:w="0" w:type="auto"/>
            <w:shd w:val="clear" w:color="auto" w:fill="auto"/>
          </w:tcPr>
          <w:p w14:paraId="33DAC8AF" w14:textId="77777777" w:rsidR="004D6A64" w:rsidRDefault="004D6A64">
            <w:pPr>
              <w:rPr>
                <w:rFonts w:ascii="宋体"/>
              </w:rPr>
            </w:pPr>
          </w:p>
        </w:tc>
        <w:tc>
          <w:tcPr>
            <w:tcW w:w="0" w:type="auto"/>
            <w:shd w:val="clear" w:color="auto" w:fill="auto"/>
          </w:tcPr>
          <w:p w14:paraId="33DAC8B0" w14:textId="77777777" w:rsidR="004D6A64" w:rsidRDefault="004D6A64">
            <w:pPr>
              <w:rPr>
                <w:rFonts w:ascii="宋体"/>
              </w:rPr>
            </w:pPr>
          </w:p>
        </w:tc>
        <w:tc>
          <w:tcPr>
            <w:tcW w:w="0" w:type="auto"/>
            <w:shd w:val="clear" w:color="auto" w:fill="auto"/>
          </w:tcPr>
          <w:p w14:paraId="33DAC8B1" w14:textId="77777777" w:rsidR="004D6A64" w:rsidRDefault="004D6A64">
            <w:pPr>
              <w:rPr>
                <w:rFonts w:ascii="宋体"/>
              </w:rPr>
            </w:pPr>
          </w:p>
        </w:tc>
        <w:tc>
          <w:tcPr>
            <w:tcW w:w="0" w:type="auto"/>
            <w:shd w:val="clear" w:color="auto" w:fill="auto"/>
          </w:tcPr>
          <w:p w14:paraId="33DAC8B2" w14:textId="77777777" w:rsidR="004D6A64" w:rsidRDefault="004D6A64">
            <w:pPr>
              <w:rPr>
                <w:rFonts w:ascii="宋体"/>
              </w:rPr>
            </w:pPr>
          </w:p>
        </w:tc>
      </w:tr>
    </w:tbl>
    <w:p w14:paraId="33DAC8B4" w14:textId="77777777" w:rsidR="004D6A64" w:rsidRDefault="00506CD6">
      <w:r>
        <w:rPr>
          <w:rFonts w:ascii="Times New Roman" w:eastAsia="宋体" w:hAnsi="Times New Roman"/>
          <w:color w:val="000000"/>
          <w:sz w:val="20"/>
          <w:szCs w:val="20"/>
        </w:rPr>
        <w:t>____________________</w:t>
      </w:r>
    </w:p>
    <w:p w14:paraId="33DAC8B5" w14:textId="77777777" w:rsidR="004D6A64" w:rsidRDefault="00506CD6">
      <w:pPr>
        <w:pBdr>
          <w:left w:val="none" w:sz="0" w:space="0" w:color="auto"/>
        </w:pBdr>
        <w:ind w:hanging="270"/>
      </w:pPr>
      <w:r>
        <w:rPr>
          <w:rFonts w:ascii="Times New Roman" w:eastAsia="宋体" w:hAnsi="Times New Roman"/>
          <w:color w:val="000000"/>
          <w:sz w:val="20"/>
          <w:szCs w:val="20"/>
        </w:rPr>
        <w:t xml:space="preserve">(a) Reclassification of RSA Security deferred revenue to </w:t>
      </w:r>
      <w:r>
        <w:rPr>
          <w:rFonts w:ascii="Times New Roman" w:eastAsia="宋体" w:hAnsi="Times New Roman"/>
          <w:color w:val="000000"/>
          <w:sz w:val="20"/>
          <w:szCs w:val="20"/>
        </w:rPr>
        <w:t>liabilities held for sale as of July 31, 2020. See Note 1 and Note 19 of the Notes to the Condensed Consolidated Financial Statements for more information about the divestiture of RSA Security.</w:t>
      </w:r>
    </w:p>
    <w:p w14:paraId="33DAC8B6" w14:textId="77777777" w:rsidR="004D6A64" w:rsidRDefault="004D6A64"/>
    <w:p w14:paraId="33DAC8B7" w14:textId="77777777" w:rsidR="004D6A64" w:rsidRDefault="00506CD6">
      <w:r>
        <w:rPr>
          <w:rFonts w:ascii="Times New Roman" w:eastAsia="宋体" w:hAnsi="Times New Roman"/>
          <w:i/>
          <w:iCs/>
          <w:color w:val="000000"/>
          <w:sz w:val="20"/>
          <w:szCs w:val="20"/>
        </w:rPr>
        <w:t xml:space="preserve">Remaining Performance Obligations </w:t>
      </w:r>
      <w:r>
        <w:rPr>
          <w:rFonts w:ascii="Times New Roman" w:eastAsia="宋体" w:hAnsi="Times New Roman"/>
          <w:color w:val="000000"/>
          <w:sz w:val="20"/>
          <w:szCs w:val="20"/>
        </w:rPr>
        <w:t>— Remaining performance obl</w:t>
      </w:r>
      <w:r>
        <w:rPr>
          <w:rFonts w:ascii="Times New Roman" w:eastAsia="宋体" w:hAnsi="Times New Roman"/>
          <w:color w:val="000000"/>
          <w:sz w:val="20"/>
          <w:szCs w:val="20"/>
        </w:rPr>
        <w:t>igations represent the aggregate amount of the transaction price allocated to performance obligations not delivered, or partially undelivered, as of the end of the reporting period. Remaining performance obligations include deferred revenue plus unbilled a</w:t>
      </w:r>
      <w:r>
        <w:rPr>
          <w:rFonts w:ascii="Times New Roman" w:eastAsia="宋体" w:hAnsi="Times New Roman"/>
          <w:color w:val="000000"/>
          <w:sz w:val="20"/>
          <w:szCs w:val="20"/>
        </w:rPr>
        <w:t>mounts not yet recorded in deferred revenue. The value of the transaction price allocated to remaining performance obligations as of July 31, 2020 was approximately $37 billion. The Company expects to recognize approximately 62% of remaining performance ob</w:t>
      </w:r>
      <w:r>
        <w:rPr>
          <w:rFonts w:ascii="Times New Roman" w:eastAsia="宋体" w:hAnsi="Times New Roman"/>
          <w:color w:val="000000"/>
          <w:sz w:val="20"/>
          <w:szCs w:val="20"/>
        </w:rPr>
        <w:t>ligations as revenue in the next twelve months, and the remainder thereafter.</w:t>
      </w:r>
    </w:p>
    <w:p w14:paraId="33DAC8B8" w14:textId="77777777" w:rsidR="004D6A64" w:rsidRDefault="004D6A64"/>
    <w:p w14:paraId="33DAC8B9" w14:textId="77777777" w:rsidR="004D6A64" w:rsidRDefault="00506CD6">
      <w:r>
        <w:rPr>
          <w:rFonts w:ascii="Times New Roman" w:eastAsia="宋体" w:hAnsi="Times New Roman"/>
          <w:color w:val="000000"/>
          <w:sz w:val="20"/>
          <w:szCs w:val="20"/>
        </w:rPr>
        <w:t>The aggregate amount of the transaction price allocated to remaining performance obligations does not include amounts owed under cancelable contracts where there is no substanti</w:t>
      </w:r>
      <w:r>
        <w:rPr>
          <w:rFonts w:ascii="Times New Roman" w:eastAsia="宋体" w:hAnsi="Times New Roman"/>
          <w:color w:val="000000"/>
          <w:sz w:val="20"/>
          <w:szCs w:val="20"/>
        </w:rPr>
        <w:t xml:space="preserve">ve termination penalty. The Company applied the practical expedient to exclude the value of remaining performance obligations for contracts for which revenue is recognized at the amount to which the Company has the right to invoice for services performed. </w:t>
      </w:r>
    </w:p>
    <w:p w14:paraId="33DAC8BA" w14:textId="77777777" w:rsidR="004D6A64" w:rsidRDefault="004D6A64"/>
    <w:p w14:paraId="33DAC8BB" w14:textId="77777777" w:rsidR="004D6A64" w:rsidRDefault="00506CD6">
      <w:r>
        <w:rPr>
          <w:rFonts w:ascii="Times New Roman" w:eastAsia="宋体" w:hAnsi="Times New Roman"/>
          <w:color w:val="000000"/>
          <w:sz w:val="20"/>
          <w:szCs w:val="20"/>
        </w:rPr>
        <w:t>Remaining performance obligation estimates are subject to change and are affected by several factors, including terminations, changes in the scope of contracts, periodic revalidation, adjustments for revenue that have not materialized, and adjustments fo</w:t>
      </w:r>
      <w:r>
        <w:rPr>
          <w:rFonts w:ascii="Times New Roman" w:eastAsia="宋体" w:hAnsi="Times New Roman"/>
          <w:color w:val="000000"/>
          <w:sz w:val="20"/>
          <w:szCs w:val="20"/>
        </w:rPr>
        <w:t>r currency.</w:t>
      </w:r>
    </w:p>
    <w:p w14:paraId="33DAC8BC" w14:textId="77777777" w:rsidR="004D6A64" w:rsidRDefault="004D6A64"/>
    <w:p w14:paraId="33DAC8BD" w14:textId="77777777" w:rsidR="004D6A64" w:rsidRDefault="004D6A64">
      <w:pPr>
        <w:jc w:val="center"/>
      </w:pPr>
    </w:p>
    <w:p w14:paraId="33DAC8BE" w14:textId="77777777" w:rsidR="004D6A64" w:rsidRDefault="00506CD6">
      <w:pPr>
        <w:jc w:val="center"/>
      </w:pPr>
      <w:r>
        <w:rPr>
          <w:rFonts w:ascii="Times New Roman" w:eastAsia="宋体" w:hAnsi="Times New Roman"/>
          <w:color w:val="000000"/>
          <w:sz w:val="20"/>
          <w:szCs w:val="20"/>
        </w:rPr>
        <w:t>46</w:t>
      </w:r>
    </w:p>
    <w:p w14:paraId="33DAC8BF" w14:textId="77777777" w:rsidR="004D6A64" w:rsidRDefault="004D6A64">
      <w:pPr>
        <w:jc w:val="center"/>
      </w:pPr>
    </w:p>
    <w:p w14:paraId="33DAC8C0" w14:textId="77777777" w:rsidR="004D6A64" w:rsidRDefault="00506CD6">
      <w:r>
        <w:pict w14:anchorId="33DAFAF2">
          <v:rect id="_x0000_i1070" style="width:415.3pt;height:1.5pt" o:hralign="center" o:hrstd="t" o:hr="t" fillcolor="#a0a0a0" stroked="f"/>
        </w:pict>
      </w:r>
    </w:p>
    <w:p w14:paraId="33DAC8C1" w14:textId="77777777" w:rsidR="004D6A64" w:rsidRDefault="00506CD6">
      <w:hyperlink r:id="rId169" w:anchor="if3e0e1bf9ecd4bf69551d7a85f98d64a_10" w:history="1">
        <w:r>
          <w:rPr>
            <w:rStyle w:val="a5"/>
            <w:rFonts w:ascii="Times New Roman" w:eastAsia="宋体" w:hAnsi="Times New Roman"/>
            <w:sz w:val="20"/>
            <w:szCs w:val="20"/>
          </w:rPr>
          <w:t>Table of Contents</w:t>
        </w:r>
      </w:hyperlink>
    </w:p>
    <w:p w14:paraId="33DAC8C2"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C8C3"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w:t>
      </w:r>
      <w:r>
        <w:rPr>
          <w:rFonts w:ascii="Times New Roman" w:eastAsia="宋体" w:hAnsi="Times New Roman"/>
          <w:b/>
          <w:bCs/>
          <w:color w:val="000000"/>
          <w:sz w:val="20"/>
          <w:szCs w:val="20"/>
          <w:shd w:val="clear" w:color="auto" w:fill="FFFFFF"/>
        </w:rPr>
        <w:t>CIAL STATEMENTS (Continued)</w:t>
      </w:r>
    </w:p>
    <w:p w14:paraId="33DAC8C4"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C8C5" w14:textId="77777777" w:rsidR="004D6A64" w:rsidRDefault="004D6A64">
      <w:pPr>
        <w:jc w:val="center"/>
      </w:pPr>
    </w:p>
    <w:p w14:paraId="33DAC8C6" w14:textId="77777777" w:rsidR="004D6A64" w:rsidRDefault="00506CD6">
      <w:r>
        <w:rPr>
          <w:rFonts w:ascii="Times New Roman" w:eastAsia="宋体" w:hAnsi="Times New Roman"/>
          <w:b/>
          <w:bCs/>
          <w:color w:val="000000"/>
          <w:sz w:val="20"/>
          <w:szCs w:val="20"/>
        </w:rPr>
        <w:t xml:space="preserve">NOTE 10 — COMMITMENTS AND CONTINGENCIES </w:t>
      </w:r>
    </w:p>
    <w:p w14:paraId="33DAC8C7" w14:textId="77777777" w:rsidR="004D6A64" w:rsidRDefault="004D6A64"/>
    <w:p w14:paraId="33DAC8C8" w14:textId="77777777" w:rsidR="004D6A64" w:rsidRDefault="00506CD6">
      <w:r>
        <w:rPr>
          <w:rFonts w:ascii="Times New Roman" w:eastAsia="宋体" w:hAnsi="Times New Roman"/>
          <w:b/>
          <w:bCs/>
          <w:color w:val="000000"/>
          <w:sz w:val="20"/>
          <w:szCs w:val="20"/>
        </w:rPr>
        <w:t>Legal Matters</w:t>
      </w:r>
    </w:p>
    <w:p w14:paraId="33DAC8C9" w14:textId="77777777" w:rsidR="004D6A64" w:rsidRDefault="004D6A64"/>
    <w:p w14:paraId="33DAC8CA" w14:textId="77777777" w:rsidR="004D6A64" w:rsidRDefault="00506CD6">
      <w:r>
        <w:rPr>
          <w:rFonts w:ascii="Times New Roman" w:eastAsia="宋体" w:hAnsi="Times New Roman"/>
          <w:color w:val="000000"/>
          <w:sz w:val="20"/>
          <w:szCs w:val="20"/>
        </w:rPr>
        <w:t>The Company is involved in various claims, suits, assessments, investigations, and legal proceedings that arise from time to time in the ordinary course of its business, including those identified below, consisting of matters involving consumer, antitrust,</w:t>
      </w:r>
      <w:r>
        <w:rPr>
          <w:rFonts w:ascii="Times New Roman" w:eastAsia="宋体" w:hAnsi="Times New Roman"/>
          <w:color w:val="000000"/>
          <w:sz w:val="20"/>
          <w:szCs w:val="20"/>
        </w:rPr>
        <w:t xml:space="preserve"> tax, intellectual property, and other issues on a global basis. </w:t>
      </w:r>
    </w:p>
    <w:p w14:paraId="33DAC8CB" w14:textId="77777777" w:rsidR="004D6A64" w:rsidRDefault="004D6A64"/>
    <w:p w14:paraId="33DAC8CC" w14:textId="77777777" w:rsidR="004D6A64" w:rsidRDefault="00506CD6">
      <w:r>
        <w:rPr>
          <w:rFonts w:ascii="Times New Roman" w:eastAsia="宋体" w:hAnsi="Times New Roman"/>
          <w:color w:val="000000"/>
          <w:sz w:val="20"/>
          <w:szCs w:val="20"/>
        </w:rPr>
        <w:t xml:space="preserve">The Company accrues a liability when it believes that it is both probable that a liability has been incurred and that it can reasonably estimate the amount of the loss. The Company reviews </w:t>
      </w:r>
      <w:r>
        <w:rPr>
          <w:rFonts w:ascii="Times New Roman" w:eastAsia="宋体" w:hAnsi="Times New Roman"/>
          <w:color w:val="000000"/>
          <w:sz w:val="20"/>
          <w:szCs w:val="20"/>
        </w:rPr>
        <w:t>these accruals at least quarterly and adjusts them to reflect ongoing negotiations, settlements, rulings, advice of legal counsel, and other relevant information. To the extent new information is obtained and the Company’s views on the probable outcomes of</w:t>
      </w:r>
      <w:r>
        <w:rPr>
          <w:rFonts w:ascii="Times New Roman" w:eastAsia="宋体" w:hAnsi="Times New Roman"/>
          <w:color w:val="000000"/>
          <w:sz w:val="20"/>
          <w:szCs w:val="20"/>
        </w:rPr>
        <w:t xml:space="preserve"> claims, suits, assessments, investigations, or legal proceedings change, changes in the Company’s accrued liabilities would be recorded in the period in which such a determination is made. For some matters, the amount of liability is not probable or the a</w:t>
      </w:r>
      <w:r>
        <w:rPr>
          <w:rFonts w:ascii="Times New Roman" w:eastAsia="宋体" w:hAnsi="Times New Roman"/>
          <w:color w:val="000000"/>
          <w:sz w:val="20"/>
          <w:szCs w:val="20"/>
        </w:rPr>
        <w:t xml:space="preserve">mount cannot be reasonably estimated and therefore accruals have not been made. </w:t>
      </w:r>
    </w:p>
    <w:p w14:paraId="33DAC8CD" w14:textId="77777777" w:rsidR="004D6A64" w:rsidRDefault="004D6A64"/>
    <w:p w14:paraId="33DAC8CE" w14:textId="77777777" w:rsidR="004D6A64" w:rsidRDefault="00506CD6">
      <w:r>
        <w:rPr>
          <w:rFonts w:ascii="Times New Roman" w:eastAsia="宋体" w:hAnsi="Times New Roman"/>
          <w:color w:val="000000"/>
          <w:sz w:val="20"/>
          <w:szCs w:val="20"/>
        </w:rPr>
        <w:t>The following is a discussion of the Company’s significant legal matters and other proceedings:</w:t>
      </w:r>
    </w:p>
    <w:p w14:paraId="33DAC8CF" w14:textId="77777777" w:rsidR="004D6A64" w:rsidRDefault="004D6A64"/>
    <w:p w14:paraId="33DAC8D0" w14:textId="77777777" w:rsidR="004D6A64" w:rsidRDefault="00506CD6">
      <w:pPr>
        <w:pBdr>
          <w:left w:val="none" w:sz="0" w:space="0" w:color="auto"/>
        </w:pBdr>
      </w:pPr>
      <w:r>
        <w:rPr>
          <w:rFonts w:ascii="Times New Roman" w:eastAsia="宋体" w:hAnsi="Times New Roman"/>
          <w:i/>
          <w:iCs/>
          <w:color w:val="000000"/>
          <w:sz w:val="20"/>
          <w:szCs w:val="20"/>
        </w:rPr>
        <w:t>Class Actions Related to the Class V Transaction</w:t>
      </w:r>
      <w:r>
        <w:rPr>
          <w:rFonts w:ascii="Times New Roman" w:eastAsia="宋体" w:hAnsi="Times New Roman"/>
          <w:color w:val="000000"/>
          <w:sz w:val="20"/>
          <w:szCs w:val="20"/>
        </w:rPr>
        <w:t xml:space="preserve"> — Four purported </w:t>
      </w:r>
      <w:r>
        <w:rPr>
          <w:rFonts w:ascii="Times New Roman" w:eastAsia="宋体" w:hAnsi="Times New Roman"/>
          <w:color w:val="000000"/>
          <w:sz w:val="20"/>
          <w:szCs w:val="20"/>
        </w:rPr>
        <w:t xml:space="preserve">stockholders brought putative class action complaints arising out of the Class V transaction described in Note 1of the Notes to the Condensed Consolidated Financial Statements. The actions were captioned Hallandale Beach Police and Fire Retirement Plan v. </w:t>
      </w:r>
      <w:r>
        <w:rPr>
          <w:rFonts w:ascii="Times New Roman" w:eastAsia="宋体" w:hAnsi="Times New Roman"/>
          <w:color w:val="000000"/>
          <w:sz w:val="20"/>
          <w:szCs w:val="20"/>
        </w:rPr>
        <w:t xml:space="preserve">Michael Dell et al. (Civil Action No. 2018-0816-JTL), Howard Karp v. Michael Dell et al. (Civil Action No. 2019-0032-JTL), Miramar Police Officers’ Retirement Plan v. Michael Dell et al. (Civil Action No. 2019-0049-JTL), and Steamfitters Local 449 Pension </w:t>
      </w:r>
      <w:r>
        <w:rPr>
          <w:rFonts w:ascii="Times New Roman" w:eastAsia="宋体" w:hAnsi="Times New Roman"/>
          <w:color w:val="000000"/>
          <w:sz w:val="20"/>
          <w:szCs w:val="20"/>
        </w:rPr>
        <w:t xml:space="preserve">Plan v. Michael Dell et al. (Civil Action No. 2019-0115-JTL). The four actions were consolidated in the Delaware Chancery Court into In Re Dell Class V Litigation (Consol. C.A. No. 2018-0816-JTL), which names as defendants the Company’s board of directors </w:t>
      </w:r>
      <w:r>
        <w:rPr>
          <w:rFonts w:ascii="Times New Roman" w:eastAsia="宋体" w:hAnsi="Times New Roman"/>
          <w:color w:val="000000"/>
          <w:sz w:val="20"/>
          <w:szCs w:val="20"/>
        </w:rPr>
        <w:t>and certain stockholders of the Company, including Michael S. Dell. The plaintiffs generally allege that the defendants breached their fiduciary duties to the former holders of Class V Common Stock in connection with the Class V transaction by allegedly ca</w:t>
      </w:r>
      <w:r>
        <w:rPr>
          <w:rFonts w:ascii="Times New Roman" w:eastAsia="宋体" w:hAnsi="Times New Roman"/>
          <w:color w:val="000000"/>
          <w:sz w:val="20"/>
          <w:szCs w:val="20"/>
        </w:rPr>
        <w:t>using the Company to enter into a transaction that favored the interests of the controlling stockholders at the expense of such former stockholders. The plaintiffs seek, among other remedies, a judicial declaration that the defendants breached their fiduci</w:t>
      </w:r>
      <w:r>
        <w:rPr>
          <w:rFonts w:ascii="Times New Roman" w:eastAsia="宋体" w:hAnsi="Times New Roman"/>
          <w:color w:val="000000"/>
          <w:sz w:val="20"/>
          <w:szCs w:val="20"/>
        </w:rPr>
        <w:t>ary duties and an award of damages, fees, and costs. The plaintiffs filed an amended complaint in August 2019 making substantially similar allegations to those described above. The defendants filed a motion to dismiss the action in September 2019. The cour</w:t>
      </w:r>
      <w:r>
        <w:rPr>
          <w:rFonts w:ascii="Times New Roman" w:eastAsia="宋体" w:hAnsi="Times New Roman"/>
          <w:color w:val="000000"/>
          <w:sz w:val="20"/>
          <w:szCs w:val="20"/>
        </w:rPr>
        <w:t>t denied the motion in June 2020 and the case has now moved to discovery.</w:t>
      </w:r>
    </w:p>
    <w:p w14:paraId="33DAC8D1" w14:textId="77777777" w:rsidR="004D6A64" w:rsidRDefault="004D6A64">
      <w:pPr>
        <w:pBdr>
          <w:left w:val="none" w:sz="0" w:space="0" w:color="auto"/>
        </w:pBdr>
      </w:pPr>
    </w:p>
    <w:p w14:paraId="33DAC8D2" w14:textId="77777777" w:rsidR="004D6A64" w:rsidRDefault="00506CD6">
      <w:pPr>
        <w:pBdr>
          <w:left w:val="none" w:sz="0" w:space="0" w:color="auto"/>
        </w:pBdr>
      </w:pPr>
      <w:r>
        <w:rPr>
          <w:rFonts w:ascii="Times New Roman" w:eastAsia="宋体" w:hAnsi="Times New Roman"/>
          <w:i/>
          <w:iCs/>
          <w:color w:val="000000"/>
          <w:sz w:val="20"/>
          <w:szCs w:val="20"/>
        </w:rPr>
        <w:t>Patent Litigation</w:t>
      </w:r>
      <w:r>
        <w:rPr>
          <w:rFonts w:ascii="Times New Roman" w:eastAsia="宋体" w:hAnsi="Times New Roman"/>
          <w:color w:val="000000"/>
          <w:sz w:val="20"/>
          <w:szCs w:val="20"/>
        </w:rPr>
        <w:t xml:space="preserve"> — On April 25, 2019, Cirba Inc. (“Cirba”) filed a lawsuit against VMware, Inc. in the United States District Court for the District of Delaware, alleging two paten</w:t>
      </w:r>
      <w:r>
        <w:rPr>
          <w:rFonts w:ascii="Times New Roman" w:eastAsia="宋体" w:hAnsi="Times New Roman"/>
          <w:color w:val="000000"/>
          <w:sz w:val="20"/>
          <w:szCs w:val="20"/>
        </w:rPr>
        <w:t>t infringement claims and three trademark infringement-related claims.  On May 6, 2019, Cirba filed a motion seeking a preliminary injunction tied to one of the two patents it alleges VMware, Inc. infringes.  Following a hearing on August 6, 2019, the Cour</w:t>
      </w:r>
      <w:r>
        <w:rPr>
          <w:rFonts w:ascii="Times New Roman" w:eastAsia="宋体" w:hAnsi="Times New Roman"/>
          <w:color w:val="000000"/>
          <w:sz w:val="20"/>
          <w:szCs w:val="20"/>
        </w:rPr>
        <w:t>t denied Cirba’s preliminary injunction motion and set the case for trial in mid-January 2020. On August 20, 2019, VMware, Inc. filed counterclaims against Cirba, asserting among other claims that Cirba is infringing four VMware, Inc. patents.  The Delawar</w:t>
      </w:r>
      <w:r>
        <w:rPr>
          <w:rFonts w:ascii="Times New Roman" w:eastAsia="宋体" w:hAnsi="Times New Roman"/>
          <w:color w:val="000000"/>
          <w:sz w:val="20"/>
          <w:szCs w:val="20"/>
        </w:rPr>
        <w:t>e Court severed those claims from the January 2020 trial on Cirba’s claims, and the trial on VMware, Inc.’s patent claims is currently set for September 2021. The trial on Cirba’s claims in the Delaware court was completed on January 23, 2020, and on Janua</w:t>
      </w:r>
      <w:r>
        <w:rPr>
          <w:rFonts w:ascii="Times New Roman" w:eastAsia="宋体" w:hAnsi="Times New Roman"/>
          <w:color w:val="000000"/>
          <w:sz w:val="20"/>
          <w:szCs w:val="20"/>
        </w:rPr>
        <w:t>ry 24, 2020, the jury returned a verdict finding that VMware, Inc. willfully infringed the two asserted patents and awarding approximately $237 million in damages. The jury further found that VMware, Inc. was not liable on Cirba’s trademark infringement-re</w:t>
      </w:r>
      <w:r>
        <w:rPr>
          <w:rFonts w:ascii="Times New Roman" w:eastAsia="宋体" w:hAnsi="Times New Roman"/>
          <w:color w:val="000000"/>
          <w:sz w:val="20"/>
          <w:szCs w:val="20"/>
        </w:rPr>
        <w:t xml:space="preserve">lated claims. A total of $237 million was accrued for the Delaware action, which reflects the estimated losses that are considered both probable and reasonably estimable at this time. The parties filed the post-trial motions in which VMware, Inc. moved to </w:t>
      </w:r>
      <w:r>
        <w:rPr>
          <w:rFonts w:ascii="Times New Roman" w:eastAsia="宋体" w:hAnsi="Times New Roman"/>
          <w:color w:val="000000"/>
          <w:sz w:val="20"/>
          <w:szCs w:val="20"/>
        </w:rPr>
        <w:t>set aside the verdict and reduce the damages award, and Cirba moved for a permanent injunction, enhanced damages, setting of an ongoing royalty rate, and an award of pre-judgment and post-judgment interest and supplemental damages. A hearing was held in th</w:t>
      </w:r>
      <w:r>
        <w:rPr>
          <w:rFonts w:ascii="Times New Roman" w:eastAsia="宋体" w:hAnsi="Times New Roman"/>
          <w:color w:val="000000"/>
          <w:sz w:val="20"/>
          <w:szCs w:val="20"/>
        </w:rPr>
        <w:t>e Delaware court on those motions on May 15, 2020, and the Delaware court has taken those motions under advisement. VMware, Inc. intends to vigorously defend itself in this matter, including, if necessary, via an appeal. Final resolution of this matter cou</w:t>
      </w:r>
      <w:r>
        <w:rPr>
          <w:rFonts w:ascii="Times New Roman" w:eastAsia="宋体" w:hAnsi="Times New Roman"/>
          <w:color w:val="000000"/>
          <w:sz w:val="20"/>
          <w:szCs w:val="20"/>
        </w:rPr>
        <w:t>ld be materially different from the amount accrued. The amount accrued for this matter is included in Accrued and other in the Condensed Consolidated Statements of Financial Position as of July 31, 2020 and January 31, 2020, and the charge was classified i</w:t>
      </w:r>
      <w:r>
        <w:rPr>
          <w:rFonts w:ascii="Times New Roman" w:eastAsia="宋体" w:hAnsi="Times New Roman"/>
          <w:color w:val="000000"/>
          <w:sz w:val="20"/>
          <w:szCs w:val="20"/>
        </w:rPr>
        <w:t>n Selling, general and administrative in the Consolidated Statements of Income (Loss) during the fiscal year ended January 31, 2020.</w:t>
      </w:r>
    </w:p>
    <w:p w14:paraId="33DAC8D3" w14:textId="77777777" w:rsidR="004D6A64" w:rsidRDefault="004D6A64">
      <w:pPr>
        <w:pBdr>
          <w:left w:val="none" w:sz="0" w:space="0" w:color="auto"/>
        </w:pBdr>
      </w:pPr>
    </w:p>
    <w:p w14:paraId="33DAC8D4" w14:textId="77777777" w:rsidR="004D6A64" w:rsidRDefault="004D6A64">
      <w:pPr>
        <w:jc w:val="center"/>
      </w:pPr>
    </w:p>
    <w:p w14:paraId="33DAC8D5" w14:textId="77777777" w:rsidR="004D6A64" w:rsidRDefault="00506CD6">
      <w:pPr>
        <w:jc w:val="center"/>
      </w:pPr>
      <w:r>
        <w:rPr>
          <w:rFonts w:ascii="Times New Roman" w:eastAsia="宋体" w:hAnsi="Times New Roman"/>
          <w:color w:val="000000"/>
          <w:sz w:val="20"/>
          <w:szCs w:val="20"/>
        </w:rPr>
        <w:t>47</w:t>
      </w:r>
    </w:p>
    <w:p w14:paraId="33DAC8D6" w14:textId="77777777" w:rsidR="004D6A64" w:rsidRDefault="004D6A64">
      <w:pPr>
        <w:jc w:val="center"/>
      </w:pPr>
    </w:p>
    <w:p w14:paraId="33DAC8D7" w14:textId="77777777" w:rsidR="004D6A64" w:rsidRDefault="00506CD6">
      <w:r>
        <w:pict w14:anchorId="33DAFAF3">
          <v:rect id="_x0000_i1071" style="width:415.3pt;height:1.5pt" o:hralign="center" o:hrstd="t" o:hr="t" fillcolor="#a0a0a0" stroked="f"/>
        </w:pict>
      </w:r>
    </w:p>
    <w:p w14:paraId="33DAC8D8" w14:textId="77777777" w:rsidR="004D6A64" w:rsidRDefault="00506CD6">
      <w:hyperlink r:id="rId170" w:anchor="if3e0e1bf9ecd4bf69551d7a85f98d64a_10" w:history="1">
        <w:r>
          <w:rPr>
            <w:rStyle w:val="a5"/>
            <w:rFonts w:ascii="Times New Roman" w:eastAsia="宋体" w:hAnsi="Times New Roman"/>
            <w:sz w:val="20"/>
            <w:szCs w:val="20"/>
          </w:rPr>
          <w:t>Table of Contents</w:t>
        </w:r>
      </w:hyperlink>
    </w:p>
    <w:p w14:paraId="33DAC8D9"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C8DA"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33DAC8DB"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C8DC" w14:textId="77777777" w:rsidR="004D6A64" w:rsidRDefault="004D6A64">
      <w:pPr>
        <w:jc w:val="center"/>
      </w:pPr>
    </w:p>
    <w:p w14:paraId="33DAC8DD" w14:textId="77777777" w:rsidR="004D6A64" w:rsidRDefault="00506CD6">
      <w:pPr>
        <w:pBdr>
          <w:left w:val="none" w:sz="0" w:space="0" w:color="auto"/>
        </w:pBdr>
      </w:pPr>
      <w:r>
        <w:rPr>
          <w:rFonts w:ascii="Times New Roman" w:eastAsia="宋体" w:hAnsi="Times New Roman"/>
          <w:color w:val="000000"/>
          <w:sz w:val="20"/>
          <w:szCs w:val="20"/>
        </w:rPr>
        <w:t>On October 22, 2019, VMware, Inc. filed a separate patent infringement lawsuit against Cirba i</w:t>
      </w:r>
      <w:r>
        <w:rPr>
          <w:rFonts w:ascii="Times New Roman" w:eastAsia="宋体" w:hAnsi="Times New Roman"/>
          <w:color w:val="000000"/>
          <w:sz w:val="20"/>
          <w:szCs w:val="20"/>
        </w:rPr>
        <w:t>n the United States District Court for the Eastern District of Virginia, asserting that Cirba infringes four additional VMware, Inc. patents. The Virginia court transferred these patent claims to Delaware. On March 23, 2020, Cirba filed a counterclaim asse</w:t>
      </w:r>
      <w:r>
        <w:rPr>
          <w:rFonts w:ascii="Times New Roman" w:eastAsia="宋体" w:hAnsi="Times New Roman"/>
          <w:color w:val="000000"/>
          <w:sz w:val="20"/>
          <w:szCs w:val="20"/>
        </w:rPr>
        <w:t>rting one additional patent against VMware, Inc. VMware, Inc. intends to vigorously defend itself in this matter.</w:t>
      </w:r>
    </w:p>
    <w:p w14:paraId="33DAC8DE" w14:textId="77777777" w:rsidR="004D6A64" w:rsidRDefault="004D6A64">
      <w:pPr>
        <w:pBdr>
          <w:left w:val="none" w:sz="0" w:space="0" w:color="auto"/>
        </w:pBdr>
      </w:pPr>
    </w:p>
    <w:p w14:paraId="33DAC8DF" w14:textId="77777777" w:rsidR="004D6A64" w:rsidRDefault="00506CD6">
      <w:pPr>
        <w:pBdr>
          <w:left w:val="none" w:sz="0" w:space="0" w:color="auto"/>
        </w:pBdr>
      </w:pPr>
      <w:r>
        <w:rPr>
          <w:rFonts w:ascii="Times New Roman" w:eastAsia="宋体" w:hAnsi="Times New Roman"/>
          <w:i/>
          <w:iCs/>
          <w:color w:val="000000"/>
          <w:sz w:val="20"/>
          <w:szCs w:val="20"/>
        </w:rPr>
        <w:t>Class Actions Related to VMware, Inc.’s Acquisition of Pivotal Software</w:t>
      </w:r>
      <w:r>
        <w:rPr>
          <w:rFonts w:ascii="Times New Roman" w:eastAsia="宋体" w:hAnsi="Times New Roman"/>
          <w:color w:val="000000"/>
          <w:sz w:val="20"/>
          <w:szCs w:val="20"/>
        </w:rPr>
        <w:t xml:space="preserve"> — Two purported stockholders brought putative class action complaints</w:t>
      </w:r>
      <w:r>
        <w:rPr>
          <w:rFonts w:ascii="Times New Roman" w:eastAsia="宋体" w:hAnsi="Times New Roman"/>
          <w:color w:val="000000"/>
          <w:sz w:val="20"/>
          <w:szCs w:val="20"/>
        </w:rPr>
        <w:t xml:space="preserve"> arising out of VMware, Inc.’s acquisition of Pivotal Software, Inc. on December 30, 2019 as described in Note 1 of the Notes to the Condensed Consolidated Financial Statements. The two actions were consolidated in the Delaware Chancery Court into In re: P</w:t>
      </w:r>
      <w:r>
        <w:rPr>
          <w:rFonts w:ascii="Times New Roman" w:eastAsia="宋体" w:hAnsi="Times New Roman"/>
          <w:color w:val="000000"/>
          <w:sz w:val="20"/>
          <w:szCs w:val="20"/>
        </w:rPr>
        <w:t>ivotal Software, Inc. Stockholders Litigation (Civil Action No. 2020-0440-KSJM). The complaint names as defendants the Company, VMware, Inc., Michael S. Dell, and certain officers of Pivotal. The plaintiffs generally allege that the defendants breached the</w:t>
      </w:r>
      <w:r>
        <w:rPr>
          <w:rFonts w:ascii="Times New Roman" w:eastAsia="宋体" w:hAnsi="Times New Roman"/>
          <w:color w:val="000000"/>
          <w:sz w:val="20"/>
          <w:szCs w:val="20"/>
        </w:rPr>
        <w:t xml:space="preserve">ir fiduciary duties to the former holders of Pivotal Class A Common Stock in connection with VMware, Inc.’s acquisition of Pivotal by allegedly causing Pivotal to enter into a transaction that favored the interests of Pivotal’s controlling stockholders at </w:t>
      </w:r>
      <w:r>
        <w:rPr>
          <w:rFonts w:ascii="Times New Roman" w:eastAsia="宋体" w:hAnsi="Times New Roman"/>
          <w:color w:val="000000"/>
          <w:sz w:val="20"/>
          <w:szCs w:val="20"/>
        </w:rPr>
        <w:t>the expense of such former stockholders. The plaintiffs seek, among other remedies, a judicial declaration that the defendants breached their fiduciary duties and an award of damages, fees, and costs.</w:t>
      </w:r>
    </w:p>
    <w:p w14:paraId="33DAC8E0" w14:textId="77777777" w:rsidR="004D6A64" w:rsidRDefault="004D6A64"/>
    <w:p w14:paraId="33DAC8E1" w14:textId="77777777" w:rsidR="004D6A64" w:rsidRDefault="00506CD6">
      <w:pPr>
        <w:pBdr>
          <w:left w:val="none" w:sz="0" w:space="0" w:color="auto"/>
        </w:pBdr>
      </w:pPr>
      <w:r>
        <w:rPr>
          <w:rFonts w:ascii="Times New Roman" w:eastAsia="宋体" w:hAnsi="Times New Roman"/>
          <w:i/>
          <w:iCs/>
          <w:color w:val="000000"/>
          <w:sz w:val="20"/>
          <w:szCs w:val="20"/>
        </w:rPr>
        <w:t>Other Litigation</w:t>
      </w:r>
      <w:r>
        <w:rPr>
          <w:rFonts w:ascii="Times New Roman" w:eastAsia="宋体" w:hAnsi="Times New Roman"/>
          <w:color w:val="000000"/>
          <w:sz w:val="20"/>
          <w:szCs w:val="20"/>
        </w:rPr>
        <w:t xml:space="preserve"> — The various legal proceedings in wh</w:t>
      </w:r>
      <w:r>
        <w:rPr>
          <w:rFonts w:ascii="Times New Roman" w:eastAsia="宋体" w:hAnsi="Times New Roman"/>
          <w:color w:val="000000"/>
          <w:sz w:val="20"/>
          <w:szCs w:val="20"/>
        </w:rPr>
        <w:t>ich Dell is involved include commercial and intellectual property litigation. Dell does not currently anticipate that any of these matters will have a material adverse effect on its business, financial condition, results of operations, or cash flows.</w:t>
      </w:r>
    </w:p>
    <w:p w14:paraId="33DAC8E2" w14:textId="77777777" w:rsidR="004D6A64" w:rsidRDefault="004D6A64"/>
    <w:p w14:paraId="33DAC8E3" w14:textId="77777777" w:rsidR="004D6A64" w:rsidRDefault="00506CD6">
      <w:r>
        <w:rPr>
          <w:rFonts w:ascii="Times New Roman" w:eastAsia="宋体" w:hAnsi="Times New Roman"/>
          <w:color w:val="000000"/>
          <w:sz w:val="20"/>
          <w:szCs w:val="20"/>
        </w:rPr>
        <w:t xml:space="preserve">As </w:t>
      </w:r>
      <w:r>
        <w:rPr>
          <w:rFonts w:ascii="Times New Roman" w:eastAsia="宋体" w:hAnsi="Times New Roman"/>
          <w:color w:val="000000"/>
          <w:sz w:val="20"/>
          <w:szCs w:val="20"/>
        </w:rPr>
        <w:t>of July 31, 2020, the Company does not believe there is a reasonable possibility that a material loss exceeding the amounts already accrued for these or other proceedings or matters has been incurred. However, since the ultimate resolution of any such proc</w:t>
      </w:r>
      <w:r>
        <w:rPr>
          <w:rFonts w:ascii="Times New Roman" w:eastAsia="宋体" w:hAnsi="Times New Roman"/>
          <w:color w:val="000000"/>
          <w:sz w:val="20"/>
          <w:szCs w:val="20"/>
        </w:rPr>
        <w:t>eedings and matters is inherently unpredictable, the Company’s business, financial condition, results of operations, or cash flows could be materially affected in any particular period by unfavorable outcomes in one or more of these proceedings or matters.</w:t>
      </w:r>
      <w:r>
        <w:rPr>
          <w:rFonts w:ascii="Times New Roman" w:eastAsia="宋体" w:hAnsi="Times New Roman"/>
          <w:color w:val="000000"/>
          <w:sz w:val="20"/>
          <w:szCs w:val="20"/>
        </w:rPr>
        <w:t xml:space="preserve"> Whether the outcome of any claim, suit, assessment, investigation, or legal proceeding, individually or collectively, could have a material adverse effect on the Company’s business, financial condition, results of operations, or cash flows will depend on </w:t>
      </w:r>
      <w:r>
        <w:rPr>
          <w:rFonts w:ascii="Times New Roman" w:eastAsia="宋体" w:hAnsi="Times New Roman"/>
          <w:color w:val="000000"/>
          <w:sz w:val="20"/>
          <w:szCs w:val="20"/>
        </w:rPr>
        <w:t>a number of variables, including the nature, timing, and amount of any associated expenses, amounts paid in settlement, damages, or other remedies or consequences.</w:t>
      </w:r>
    </w:p>
    <w:p w14:paraId="33DAC8E4" w14:textId="77777777" w:rsidR="004D6A64" w:rsidRDefault="004D6A64"/>
    <w:p w14:paraId="33DAC8E5" w14:textId="77777777" w:rsidR="004D6A64" w:rsidRDefault="00506CD6">
      <w:r>
        <w:rPr>
          <w:rFonts w:ascii="Times New Roman" w:eastAsia="宋体" w:hAnsi="Times New Roman"/>
          <w:b/>
          <w:bCs/>
          <w:color w:val="000000"/>
          <w:sz w:val="20"/>
          <w:szCs w:val="20"/>
        </w:rPr>
        <w:t>Indemnifications</w:t>
      </w:r>
    </w:p>
    <w:p w14:paraId="33DAC8E6" w14:textId="77777777" w:rsidR="004D6A64" w:rsidRDefault="004D6A64"/>
    <w:p w14:paraId="33DAC8E7" w14:textId="77777777" w:rsidR="004D6A64" w:rsidRDefault="00506CD6">
      <w:r>
        <w:rPr>
          <w:rFonts w:ascii="Times New Roman" w:eastAsia="宋体" w:hAnsi="Times New Roman"/>
          <w:color w:val="000000"/>
          <w:sz w:val="20"/>
          <w:szCs w:val="20"/>
        </w:rPr>
        <w:t>In the ordinary course of business, the Company enters into contractual a</w:t>
      </w:r>
      <w:r>
        <w:rPr>
          <w:rFonts w:ascii="Times New Roman" w:eastAsia="宋体" w:hAnsi="Times New Roman"/>
          <w:color w:val="000000"/>
          <w:sz w:val="20"/>
          <w:szCs w:val="20"/>
        </w:rPr>
        <w:t>rrangements under which it may agree to indemnify the third party to such arrangements from any losses incurred relating to the services it performs on behalf of the Company or for losses arising from certain events as defined in the particular contract, s</w:t>
      </w:r>
      <w:r>
        <w:rPr>
          <w:rFonts w:ascii="Times New Roman" w:eastAsia="宋体" w:hAnsi="Times New Roman"/>
          <w:color w:val="000000"/>
          <w:sz w:val="20"/>
          <w:szCs w:val="20"/>
        </w:rPr>
        <w:t>uch as litigation or claims relating to past performance. Such indemnification obligations may not be subject to maximum loss clauses. Historically, payments related to these indemnifications have not been material to the Company.</w:t>
      </w:r>
    </w:p>
    <w:p w14:paraId="33DAC8E8" w14:textId="77777777" w:rsidR="004D6A64" w:rsidRDefault="004D6A64"/>
    <w:p w14:paraId="33DAC8E9" w14:textId="77777777" w:rsidR="004D6A64" w:rsidRDefault="004D6A64">
      <w:pPr>
        <w:jc w:val="center"/>
      </w:pPr>
    </w:p>
    <w:p w14:paraId="33DAC8EA" w14:textId="77777777" w:rsidR="004D6A64" w:rsidRDefault="00506CD6">
      <w:pPr>
        <w:jc w:val="center"/>
      </w:pPr>
      <w:r>
        <w:rPr>
          <w:rFonts w:ascii="Times New Roman" w:eastAsia="宋体" w:hAnsi="Times New Roman"/>
          <w:color w:val="000000"/>
          <w:sz w:val="20"/>
          <w:szCs w:val="20"/>
        </w:rPr>
        <w:t>48</w:t>
      </w:r>
    </w:p>
    <w:p w14:paraId="33DAC8EB" w14:textId="77777777" w:rsidR="004D6A64" w:rsidRDefault="004D6A64">
      <w:pPr>
        <w:jc w:val="center"/>
      </w:pPr>
    </w:p>
    <w:p w14:paraId="33DAC8EC" w14:textId="77777777" w:rsidR="004D6A64" w:rsidRDefault="00506CD6">
      <w:r>
        <w:pict w14:anchorId="33DAFAF4">
          <v:rect id="_x0000_i1072" style="width:415.3pt;height:1.5pt" o:hralign="center" o:hrstd="t" o:hr="t" fillcolor="#a0a0a0" stroked="f"/>
        </w:pict>
      </w:r>
    </w:p>
    <w:p w14:paraId="33DAC8ED" w14:textId="77777777" w:rsidR="004D6A64" w:rsidRDefault="00506CD6">
      <w:hyperlink r:id="rId171" w:anchor="if3e0e1bf9ecd4bf69551d7a85f98d64a_10" w:history="1">
        <w:r>
          <w:rPr>
            <w:rStyle w:val="a5"/>
            <w:rFonts w:ascii="Times New Roman" w:eastAsia="宋体" w:hAnsi="Times New Roman"/>
            <w:sz w:val="20"/>
            <w:szCs w:val="20"/>
          </w:rPr>
          <w:t>Table of Contents</w:t>
        </w:r>
      </w:hyperlink>
    </w:p>
    <w:p w14:paraId="33DAC8EE"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C8EF"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33DAC8F0"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C8F1" w14:textId="77777777" w:rsidR="004D6A64" w:rsidRDefault="004D6A64">
      <w:pPr>
        <w:jc w:val="center"/>
      </w:pPr>
    </w:p>
    <w:p w14:paraId="33DAC8F2" w14:textId="77777777" w:rsidR="004D6A64" w:rsidRDefault="00506CD6">
      <w:r>
        <w:rPr>
          <w:rFonts w:ascii="Times New Roman" w:eastAsia="宋体" w:hAnsi="Times New Roman"/>
          <w:b/>
          <w:bCs/>
          <w:color w:val="000000"/>
          <w:sz w:val="20"/>
          <w:szCs w:val="20"/>
        </w:rPr>
        <w:t xml:space="preserve">NOTE 11 — INCOME AND OTHER TAXES </w:t>
      </w:r>
    </w:p>
    <w:p w14:paraId="33DAC8F3" w14:textId="77777777" w:rsidR="004D6A64" w:rsidRDefault="004D6A64"/>
    <w:p w14:paraId="33DAC8F4" w14:textId="77777777" w:rsidR="004D6A64" w:rsidRDefault="00506CD6">
      <w:r>
        <w:rPr>
          <w:rFonts w:ascii="Times New Roman" w:eastAsia="宋体" w:hAnsi="Times New Roman"/>
          <w:color w:val="000000"/>
          <w:sz w:val="20"/>
          <w:szCs w:val="20"/>
        </w:rPr>
        <w:t>For the three months ended July 31, 2020 and August 2, 2019, the Company’s effective income tax rate was -119.8% and 3912.6% on pre-tax income of $500 million and pre-tax losses of $111 million, respe</w:t>
      </w:r>
      <w:r>
        <w:rPr>
          <w:rFonts w:ascii="Times New Roman" w:eastAsia="宋体" w:hAnsi="Times New Roman"/>
          <w:color w:val="000000"/>
          <w:sz w:val="20"/>
          <w:szCs w:val="20"/>
        </w:rPr>
        <w:t>ctively. For the six months ended July 31, 2020 and August 2, 2019, the Company’s effective income tax rate was -101.4% and 1895.7% on pre-tax income of $636 million and pre-tax losses of $254 million, respectively. The changes in the Company’s effective t</w:t>
      </w:r>
      <w:r>
        <w:rPr>
          <w:rFonts w:ascii="Times New Roman" w:eastAsia="宋体" w:hAnsi="Times New Roman"/>
          <w:color w:val="000000"/>
          <w:sz w:val="20"/>
          <w:szCs w:val="20"/>
        </w:rPr>
        <w:t>ax rates are primarily driven by discrete tax items and a change in the Company’s jurisdictional mix of income.  For the three and six months ended July 31, 2020, the Company’s effective income tax rate benefit includes $746 million of discrete tax benefit</w:t>
      </w:r>
      <w:r>
        <w:rPr>
          <w:rFonts w:ascii="Times New Roman" w:eastAsia="宋体" w:hAnsi="Times New Roman"/>
          <w:color w:val="000000"/>
          <w:sz w:val="20"/>
          <w:szCs w:val="20"/>
        </w:rPr>
        <w:t>s related to an audit settlement. For the six months ended July 31, 2020, the Company’s effective income tax rate also includes a discrete tax benefit of $59 million from an intra-entity asset transfer of certain of Pivotal’s intellectual property to an Ir</w:t>
      </w:r>
      <w:r>
        <w:rPr>
          <w:rFonts w:ascii="Times New Roman" w:eastAsia="宋体" w:hAnsi="Times New Roman"/>
          <w:color w:val="000000"/>
          <w:sz w:val="20"/>
          <w:szCs w:val="20"/>
        </w:rPr>
        <w:t>ish subsidiary that was completed by VMware, Inc. during the period. For the three and six months ended August 2, 2019, the Company’s effective tax rate includes discrete tax benefits of $4.5 billion and $4.9 billion, respectively, related to similar intra</w:t>
      </w:r>
      <w:r>
        <w:rPr>
          <w:rFonts w:ascii="Times New Roman" w:eastAsia="宋体" w:hAnsi="Times New Roman"/>
          <w:color w:val="000000"/>
          <w:sz w:val="20"/>
          <w:szCs w:val="20"/>
        </w:rPr>
        <w:t>-entity asset transfers. The tax benefit for each intra-entity asset transfer was recorded as a deferred tax asset in the period of transaction and represents the book and tax basis difference on the transferred assets measured based on the intellectual pr</w:t>
      </w:r>
      <w:r>
        <w:rPr>
          <w:rFonts w:ascii="Times New Roman" w:eastAsia="宋体" w:hAnsi="Times New Roman"/>
          <w:color w:val="000000"/>
          <w:sz w:val="20"/>
          <w:szCs w:val="20"/>
        </w:rPr>
        <w:t>operty’s current fair value and applicable Irish statutory tax rate. The Company expects to be able to realize the deferred tax assets resulting from these intra-entity asset transfers.</w:t>
      </w:r>
    </w:p>
    <w:p w14:paraId="33DAC8F5" w14:textId="77777777" w:rsidR="004D6A64" w:rsidRDefault="004D6A64"/>
    <w:p w14:paraId="33DAC8F6" w14:textId="77777777" w:rsidR="004D6A64" w:rsidRDefault="00506CD6">
      <w:r>
        <w:rPr>
          <w:rFonts w:ascii="Times New Roman" w:eastAsia="宋体" w:hAnsi="Times New Roman"/>
          <w:color w:val="000000"/>
          <w:sz w:val="20"/>
          <w:szCs w:val="20"/>
        </w:rPr>
        <w:t xml:space="preserve">The differences between the estimated effective income tax rates and </w:t>
      </w:r>
      <w:r>
        <w:rPr>
          <w:rFonts w:ascii="Times New Roman" w:eastAsia="宋体" w:hAnsi="Times New Roman"/>
          <w:color w:val="000000"/>
          <w:sz w:val="20"/>
          <w:szCs w:val="20"/>
        </w:rPr>
        <w:t>the U.S. federal statutory rate of 21% principally result from the Company’s geographical distribution of income, differences between the book and tax treatment of certain items, and the discrete tax items discussed above. In certain jurisdictions, the Com</w:t>
      </w:r>
      <w:r>
        <w:rPr>
          <w:rFonts w:ascii="Times New Roman" w:eastAsia="宋体" w:hAnsi="Times New Roman"/>
          <w:color w:val="000000"/>
          <w:sz w:val="20"/>
          <w:szCs w:val="20"/>
        </w:rPr>
        <w:t xml:space="preserve">pany’s tax rate is significantly less than the applicable statutory rate as a result of tax holidays. The majority of the Company’s foreign income that is subject to these tax holidays and lower tax rates is attributable to Singapore, China, and Malaysia. </w:t>
      </w:r>
      <w:r>
        <w:rPr>
          <w:rFonts w:ascii="Times New Roman" w:eastAsia="宋体" w:hAnsi="Times New Roman"/>
          <w:color w:val="000000"/>
          <w:sz w:val="20"/>
          <w:szCs w:val="20"/>
        </w:rPr>
        <w:t>A significant portion of these income tax benefits relates to a tax holiday that will be effective until January 31, 2029.  The Company’s other tax holidays will expire in whole or in part during fiscal years 2022 through 2030. Many of these tax holidays a</w:t>
      </w:r>
      <w:r>
        <w:rPr>
          <w:rFonts w:ascii="Times New Roman" w:eastAsia="宋体" w:hAnsi="Times New Roman"/>
          <w:color w:val="000000"/>
          <w:sz w:val="20"/>
          <w:szCs w:val="20"/>
        </w:rPr>
        <w:t xml:space="preserve">nd reduced tax rates may be extended when certain conditions are met or may be terminated early if certain conditions are not met. As of July 31, 2020, the Company was not aware of any matters of non-compliance related to these tax holidays. The effective </w:t>
      </w:r>
      <w:r>
        <w:rPr>
          <w:rFonts w:ascii="Times New Roman" w:eastAsia="宋体" w:hAnsi="Times New Roman"/>
          <w:color w:val="000000"/>
          <w:sz w:val="20"/>
          <w:szCs w:val="20"/>
        </w:rPr>
        <w:t>income tax rate for future quarters of Fiscal 2021 may be impacted by the actual mix of jurisdictions in which income is generated.</w:t>
      </w:r>
    </w:p>
    <w:p w14:paraId="33DAC8F7" w14:textId="77777777" w:rsidR="004D6A64" w:rsidRDefault="004D6A64"/>
    <w:p w14:paraId="33DAC8F8" w14:textId="77777777" w:rsidR="004D6A64" w:rsidRDefault="00506CD6">
      <w:r>
        <w:rPr>
          <w:rFonts w:ascii="Times New Roman" w:eastAsia="宋体" w:hAnsi="Times New Roman"/>
          <w:color w:val="000000"/>
          <w:sz w:val="20"/>
          <w:szCs w:val="20"/>
        </w:rPr>
        <w:t>During the three months ended July 31, 2020, the Company effectively settled the Internal Revenue Service (“IRS”) audit for</w:t>
      </w:r>
      <w:r>
        <w:rPr>
          <w:rFonts w:ascii="Times New Roman" w:eastAsia="宋体" w:hAnsi="Times New Roman"/>
          <w:color w:val="000000"/>
          <w:sz w:val="20"/>
          <w:szCs w:val="20"/>
        </w:rPr>
        <w:t xml:space="preserve"> fiscal years 2010 through 2014, for which the Company made a cash payment of $435 million to the IRS on August 3, 2020. The IRS has started its examination of fiscal years 2015 through 2019. The Company believes it has valid positions supporting its tax r</w:t>
      </w:r>
      <w:r>
        <w:rPr>
          <w:rFonts w:ascii="Times New Roman" w:eastAsia="宋体" w:hAnsi="Times New Roman"/>
          <w:color w:val="000000"/>
          <w:sz w:val="20"/>
          <w:szCs w:val="20"/>
        </w:rPr>
        <w:t xml:space="preserve">eturns and that it is adequately reserved. </w:t>
      </w:r>
    </w:p>
    <w:p w14:paraId="33DAC8F9" w14:textId="77777777" w:rsidR="004D6A64" w:rsidRDefault="004D6A64"/>
    <w:p w14:paraId="33DAC8FA" w14:textId="77777777" w:rsidR="004D6A64" w:rsidRDefault="00506CD6">
      <w:r>
        <w:rPr>
          <w:rFonts w:ascii="Times New Roman" w:eastAsia="宋体" w:hAnsi="Times New Roman"/>
          <w:color w:val="000000"/>
          <w:sz w:val="20"/>
          <w:szCs w:val="20"/>
        </w:rPr>
        <w:t>The Company is also currently under income tax audits in various state and foreign jurisdictions.  The Company is undergoing negotiations, and in some cases contested proceedings, relating to tax matters with th</w:t>
      </w:r>
      <w:r>
        <w:rPr>
          <w:rFonts w:ascii="Times New Roman" w:eastAsia="宋体" w:hAnsi="Times New Roman"/>
          <w:color w:val="000000"/>
          <w:sz w:val="20"/>
          <w:szCs w:val="20"/>
        </w:rPr>
        <w:t>e taxing authorities in these jurisdictions.  The Company believes that it has provided adequate reserves related to all matters contained in tax periods open to examination.  Although the Company believes it has made adequate provisions for the uncertaint</w:t>
      </w:r>
      <w:r>
        <w:rPr>
          <w:rFonts w:ascii="Times New Roman" w:eastAsia="宋体" w:hAnsi="Times New Roman"/>
          <w:color w:val="000000"/>
          <w:sz w:val="20"/>
          <w:szCs w:val="20"/>
        </w:rPr>
        <w:t>ies surrounding these audits, should the Company experience unfavorable outcomes, such outcomes could have a material impact on its results of operations, financial position, and cash flows.  With respect to major U.S., state and foreign taxing jurisdictio</w:t>
      </w:r>
      <w:r>
        <w:rPr>
          <w:rFonts w:ascii="Times New Roman" w:eastAsia="宋体" w:hAnsi="Times New Roman"/>
          <w:color w:val="000000"/>
          <w:sz w:val="20"/>
          <w:szCs w:val="20"/>
        </w:rPr>
        <w:t>ns, the Company is generally not subject to tax examinations for years prior to the fiscal year ended January 29, 2010.</w:t>
      </w:r>
    </w:p>
    <w:p w14:paraId="33DAC8FB" w14:textId="77777777" w:rsidR="004D6A64" w:rsidRDefault="004D6A64"/>
    <w:p w14:paraId="33DAC8FC" w14:textId="77777777" w:rsidR="004D6A64" w:rsidRDefault="00506CD6">
      <w:r>
        <w:rPr>
          <w:rFonts w:ascii="Times New Roman" w:eastAsia="宋体" w:hAnsi="Times New Roman"/>
          <w:color w:val="000000"/>
          <w:sz w:val="20"/>
          <w:szCs w:val="20"/>
        </w:rPr>
        <w:t xml:space="preserve">Judgment is required in evaluating the Company’s uncertain tax positions and determining the Company’s provision for income taxes. The </w:t>
      </w:r>
      <w:r>
        <w:rPr>
          <w:rFonts w:ascii="Times New Roman" w:eastAsia="宋体" w:hAnsi="Times New Roman"/>
          <w:color w:val="000000"/>
          <w:sz w:val="20"/>
          <w:szCs w:val="20"/>
        </w:rPr>
        <w:t>unrecognized tax benefits were $1.3 billion and $2.5 billion as of July 31, 2020 and January 31, 2020, respectively, and are included in accrued and other and other non-current liabilities in the Condensed Consolidated Statements of Financial Position. The</w:t>
      </w:r>
      <w:r>
        <w:rPr>
          <w:rFonts w:ascii="Times New Roman" w:eastAsia="宋体" w:hAnsi="Times New Roman"/>
          <w:color w:val="000000"/>
          <w:sz w:val="20"/>
          <w:szCs w:val="20"/>
        </w:rPr>
        <w:t xml:space="preserve"> Company does not anticipate a significant change to the total amount of unrecognized tax benefits within the next twelve months.</w:t>
      </w:r>
    </w:p>
    <w:p w14:paraId="33DAC8FD" w14:textId="77777777" w:rsidR="004D6A64" w:rsidRDefault="004D6A64"/>
    <w:p w14:paraId="33DAC8FE" w14:textId="77777777" w:rsidR="004D6A64" w:rsidRDefault="004D6A64">
      <w:pPr>
        <w:jc w:val="center"/>
      </w:pPr>
    </w:p>
    <w:p w14:paraId="33DAC8FF" w14:textId="77777777" w:rsidR="004D6A64" w:rsidRDefault="00506CD6">
      <w:pPr>
        <w:jc w:val="center"/>
      </w:pPr>
      <w:r>
        <w:rPr>
          <w:rFonts w:ascii="Times New Roman" w:eastAsia="宋体" w:hAnsi="Times New Roman"/>
          <w:color w:val="000000"/>
          <w:sz w:val="20"/>
          <w:szCs w:val="20"/>
        </w:rPr>
        <w:t>49</w:t>
      </w:r>
    </w:p>
    <w:p w14:paraId="33DAC900" w14:textId="77777777" w:rsidR="004D6A64" w:rsidRDefault="004D6A64">
      <w:pPr>
        <w:jc w:val="center"/>
      </w:pPr>
    </w:p>
    <w:p w14:paraId="33DAC901" w14:textId="77777777" w:rsidR="004D6A64" w:rsidRDefault="00506CD6">
      <w:r>
        <w:pict w14:anchorId="33DAFAF5">
          <v:rect id="_x0000_i1073" style="width:415.3pt;height:1.5pt" o:hralign="center" o:hrstd="t" o:hr="t" fillcolor="#a0a0a0" stroked="f"/>
        </w:pict>
      </w:r>
    </w:p>
    <w:p w14:paraId="33DAC902" w14:textId="77777777" w:rsidR="004D6A64" w:rsidRDefault="00506CD6">
      <w:hyperlink r:id="rId172" w:anchor="if3e0e1bf9ecd4bf69551d7a85f98d64a_10" w:history="1">
        <w:r>
          <w:rPr>
            <w:rStyle w:val="a5"/>
            <w:rFonts w:ascii="Times New Roman" w:eastAsia="宋体" w:hAnsi="Times New Roman"/>
            <w:sz w:val="20"/>
            <w:szCs w:val="20"/>
          </w:rPr>
          <w:t>Table of Contents</w:t>
        </w:r>
      </w:hyperlink>
    </w:p>
    <w:p w14:paraId="33DAC903"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C904"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33DAC905"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C906" w14:textId="77777777" w:rsidR="004D6A64" w:rsidRDefault="004D6A64">
      <w:pPr>
        <w:jc w:val="center"/>
      </w:pPr>
    </w:p>
    <w:p w14:paraId="33DAC907" w14:textId="77777777" w:rsidR="004D6A64" w:rsidRDefault="00506CD6">
      <w:r>
        <w:rPr>
          <w:rFonts w:ascii="Times New Roman" w:eastAsia="宋体" w:hAnsi="Times New Roman"/>
          <w:color w:val="000000"/>
          <w:sz w:val="20"/>
          <w:szCs w:val="20"/>
        </w:rPr>
        <w:t xml:space="preserve">The Company takes certain non-income tax positions in the jurisdictions in which it operates and has received certain non-income tax assessments from various jurisdictions. The Company believes that a material loss in these matters is </w:t>
      </w:r>
      <w:r>
        <w:rPr>
          <w:rFonts w:ascii="Times New Roman" w:eastAsia="宋体" w:hAnsi="Times New Roman"/>
          <w:color w:val="000000"/>
          <w:sz w:val="20"/>
          <w:szCs w:val="20"/>
        </w:rPr>
        <w:t>not probable and that it is not reasonably possible that a material loss exceeding amounts already accrued has been incurred.  The Company believes its positions in these non-income tax litigation matters are supportable and that it ultimately will prevail</w:t>
      </w:r>
      <w:r>
        <w:rPr>
          <w:rFonts w:ascii="Times New Roman" w:eastAsia="宋体" w:hAnsi="Times New Roman"/>
          <w:color w:val="000000"/>
          <w:sz w:val="20"/>
          <w:szCs w:val="20"/>
        </w:rPr>
        <w:t xml:space="preserve"> in the matters. In the normal course of business, the Company’s positions and conclusions related to its non-income taxes could be challenged and assessments may be made. To the extent new information is obtained and the Company’s views on its positions, </w:t>
      </w:r>
      <w:r>
        <w:rPr>
          <w:rFonts w:ascii="Times New Roman" w:eastAsia="宋体" w:hAnsi="Times New Roman"/>
          <w:color w:val="000000"/>
          <w:sz w:val="20"/>
          <w:szCs w:val="20"/>
        </w:rPr>
        <w:t>probable outcomes of assessments, or litigation change, changes in estimates to the Company’s accrued liabilities would be recorded in the period in which such a determination is made. In the resolution process for income tax and non-income tax audits, the</w:t>
      </w:r>
      <w:r>
        <w:rPr>
          <w:rFonts w:ascii="Times New Roman" w:eastAsia="宋体" w:hAnsi="Times New Roman"/>
          <w:color w:val="000000"/>
          <w:sz w:val="20"/>
          <w:szCs w:val="20"/>
        </w:rPr>
        <w:t xml:space="preserve"> Company is required in certain situations to provide collateral guarantees or indemnification to regulators and tax authorities until the matter is resolved.</w:t>
      </w:r>
    </w:p>
    <w:p w14:paraId="33DAC908" w14:textId="77777777" w:rsidR="004D6A64" w:rsidRDefault="004D6A64"/>
    <w:p w14:paraId="33DAC909" w14:textId="77777777" w:rsidR="004D6A64" w:rsidRDefault="004D6A64">
      <w:pPr>
        <w:jc w:val="center"/>
      </w:pPr>
    </w:p>
    <w:p w14:paraId="33DAC90A" w14:textId="77777777" w:rsidR="004D6A64" w:rsidRDefault="00506CD6">
      <w:pPr>
        <w:jc w:val="center"/>
      </w:pPr>
      <w:r>
        <w:rPr>
          <w:rFonts w:ascii="Times New Roman" w:eastAsia="宋体" w:hAnsi="Times New Roman"/>
          <w:color w:val="000000"/>
          <w:sz w:val="20"/>
          <w:szCs w:val="20"/>
        </w:rPr>
        <w:t>50</w:t>
      </w:r>
    </w:p>
    <w:p w14:paraId="33DAC90B" w14:textId="77777777" w:rsidR="004D6A64" w:rsidRDefault="004D6A64">
      <w:pPr>
        <w:jc w:val="center"/>
      </w:pPr>
    </w:p>
    <w:p w14:paraId="33DAC90C" w14:textId="77777777" w:rsidR="004D6A64" w:rsidRDefault="00506CD6">
      <w:r>
        <w:pict w14:anchorId="33DAFAF6">
          <v:rect id="_x0000_i1074" style="width:415.3pt;height:1.5pt" o:hralign="center" o:hrstd="t" o:hr="t" fillcolor="#a0a0a0" stroked="f"/>
        </w:pict>
      </w:r>
    </w:p>
    <w:p w14:paraId="33DAC90D" w14:textId="77777777" w:rsidR="004D6A64" w:rsidRDefault="00506CD6">
      <w:hyperlink r:id="rId173" w:anchor="if3e0e1bf9ecd4bf69551d7a85f98d64a_10" w:history="1">
        <w:r>
          <w:rPr>
            <w:rStyle w:val="a5"/>
            <w:rFonts w:ascii="Times New Roman" w:eastAsia="宋体" w:hAnsi="Times New Roman"/>
            <w:sz w:val="20"/>
            <w:szCs w:val="20"/>
          </w:rPr>
          <w:t>Table of Contents</w:t>
        </w:r>
      </w:hyperlink>
    </w:p>
    <w:p w14:paraId="33DAC90E"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C90F"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33DAC910"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C911" w14:textId="77777777" w:rsidR="004D6A64" w:rsidRDefault="004D6A64">
      <w:pPr>
        <w:jc w:val="center"/>
      </w:pPr>
    </w:p>
    <w:p w14:paraId="33DAC912" w14:textId="77777777" w:rsidR="004D6A64" w:rsidRDefault="00506CD6">
      <w:r>
        <w:rPr>
          <w:rFonts w:ascii="Times New Roman" w:eastAsia="宋体" w:hAnsi="Times New Roman"/>
          <w:b/>
          <w:bCs/>
          <w:color w:val="000000"/>
          <w:sz w:val="20"/>
          <w:szCs w:val="20"/>
        </w:rPr>
        <w:t xml:space="preserve">NOTE 12 — ACCUMULATED OTHER COMPREHENSIVE INCOME (LOSS) </w:t>
      </w:r>
    </w:p>
    <w:p w14:paraId="33DAC913" w14:textId="77777777" w:rsidR="004D6A64" w:rsidRDefault="004D6A64"/>
    <w:p w14:paraId="33DAC914" w14:textId="77777777" w:rsidR="004D6A64" w:rsidRDefault="00506CD6">
      <w:r>
        <w:rPr>
          <w:rFonts w:ascii="Times New Roman" w:eastAsia="宋体" w:hAnsi="Times New Roman"/>
          <w:color w:val="000000"/>
          <w:sz w:val="20"/>
          <w:szCs w:val="20"/>
        </w:rPr>
        <w:t>Accumulated other comprehensive income (loss) is presented in stockholders’ equity (deficit) in the Condensed Consolidated Statements of Financial Position and consists of amoun</w:t>
      </w:r>
      <w:r>
        <w:rPr>
          <w:rFonts w:ascii="Times New Roman" w:eastAsia="宋体" w:hAnsi="Times New Roman"/>
          <w:color w:val="000000"/>
          <w:sz w:val="20"/>
          <w:szCs w:val="20"/>
        </w:rPr>
        <w:t>ts related to foreign currency translation adjustments, unrealized net gains (losses) on cash flow hedges, and actuarial net gains (losses) from pension and other postretirement plans.</w:t>
      </w:r>
    </w:p>
    <w:p w14:paraId="33DAC915" w14:textId="77777777" w:rsidR="004D6A64" w:rsidRDefault="004D6A64"/>
    <w:p w14:paraId="33DAC916" w14:textId="77777777" w:rsidR="004D6A64" w:rsidRDefault="00506CD6">
      <w:r>
        <w:rPr>
          <w:rFonts w:ascii="Times New Roman" w:eastAsia="宋体" w:hAnsi="Times New Roman"/>
          <w:color w:val="000000"/>
          <w:sz w:val="20"/>
          <w:szCs w:val="20"/>
        </w:rPr>
        <w:t>The following table presents changes in accumulated other comprehensiv</w:t>
      </w:r>
      <w:r>
        <w:rPr>
          <w:rFonts w:ascii="Times New Roman" w:eastAsia="宋体" w:hAnsi="Times New Roman"/>
          <w:color w:val="000000"/>
          <w:sz w:val="20"/>
          <w:szCs w:val="20"/>
        </w:rPr>
        <w:t>e income (loss), net of tax, by the following components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300"/>
        <w:gridCol w:w="37"/>
        <w:gridCol w:w="136"/>
        <w:gridCol w:w="1048"/>
        <w:gridCol w:w="41"/>
        <w:gridCol w:w="36"/>
        <w:gridCol w:w="36"/>
        <w:gridCol w:w="36"/>
        <w:gridCol w:w="36"/>
        <w:gridCol w:w="36"/>
        <w:gridCol w:w="136"/>
        <w:gridCol w:w="660"/>
        <w:gridCol w:w="41"/>
        <w:gridCol w:w="36"/>
        <w:gridCol w:w="36"/>
        <w:gridCol w:w="36"/>
        <w:gridCol w:w="136"/>
        <w:gridCol w:w="1224"/>
        <w:gridCol w:w="41"/>
        <w:gridCol w:w="36"/>
        <w:gridCol w:w="36"/>
        <w:gridCol w:w="36"/>
        <w:gridCol w:w="136"/>
        <w:gridCol w:w="1276"/>
        <w:gridCol w:w="41"/>
        <w:gridCol w:w="36"/>
        <w:gridCol w:w="36"/>
        <w:gridCol w:w="36"/>
        <w:gridCol w:w="36"/>
        <w:gridCol w:w="36"/>
        <w:gridCol w:w="36"/>
        <w:gridCol w:w="36"/>
        <w:gridCol w:w="36"/>
        <w:gridCol w:w="36"/>
        <w:gridCol w:w="36"/>
        <w:gridCol w:w="36"/>
        <w:gridCol w:w="36"/>
        <w:gridCol w:w="36"/>
        <w:gridCol w:w="36"/>
        <w:gridCol w:w="36"/>
        <w:gridCol w:w="36"/>
        <w:gridCol w:w="36"/>
        <w:gridCol w:w="36"/>
      </w:tblGrid>
      <w:tr w:rsidR="004D6A64" w14:paraId="33DAC931" w14:textId="77777777">
        <w:trPr>
          <w:gridAfter w:val="18"/>
          <w:jc w:val="center"/>
        </w:trPr>
        <w:tc>
          <w:tcPr>
            <w:tcW w:w="50" w:type="pct"/>
            <w:shd w:val="clear" w:color="auto" w:fill="auto"/>
          </w:tcPr>
          <w:p w14:paraId="33DAC917" w14:textId="77777777" w:rsidR="004D6A64" w:rsidRDefault="004D6A64">
            <w:pPr>
              <w:rPr>
                <w:rFonts w:ascii="宋体"/>
              </w:rPr>
            </w:pPr>
          </w:p>
        </w:tc>
        <w:tc>
          <w:tcPr>
            <w:tcW w:w="1787" w:type="pct"/>
            <w:shd w:val="clear" w:color="auto" w:fill="auto"/>
          </w:tcPr>
          <w:p w14:paraId="33DAC918" w14:textId="77777777" w:rsidR="004D6A64" w:rsidRDefault="004D6A64">
            <w:pPr>
              <w:rPr>
                <w:rFonts w:ascii="宋体"/>
              </w:rPr>
            </w:pPr>
          </w:p>
        </w:tc>
        <w:tc>
          <w:tcPr>
            <w:tcW w:w="5" w:type="pct"/>
            <w:shd w:val="clear" w:color="auto" w:fill="auto"/>
          </w:tcPr>
          <w:p w14:paraId="33DAC919" w14:textId="77777777" w:rsidR="004D6A64" w:rsidRDefault="004D6A64">
            <w:pPr>
              <w:rPr>
                <w:rFonts w:ascii="宋体"/>
              </w:rPr>
            </w:pPr>
          </w:p>
        </w:tc>
        <w:tc>
          <w:tcPr>
            <w:tcW w:w="50" w:type="pct"/>
            <w:shd w:val="clear" w:color="auto" w:fill="auto"/>
          </w:tcPr>
          <w:p w14:paraId="33DAC91A" w14:textId="77777777" w:rsidR="004D6A64" w:rsidRDefault="004D6A64">
            <w:pPr>
              <w:rPr>
                <w:rFonts w:ascii="宋体"/>
              </w:rPr>
            </w:pPr>
          </w:p>
        </w:tc>
        <w:tc>
          <w:tcPr>
            <w:tcW w:w="712" w:type="pct"/>
            <w:shd w:val="clear" w:color="auto" w:fill="auto"/>
          </w:tcPr>
          <w:p w14:paraId="33DAC91B" w14:textId="77777777" w:rsidR="004D6A64" w:rsidRDefault="004D6A64">
            <w:pPr>
              <w:rPr>
                <w:rFonts w:ascii="宋体"/>
              </w:rPr>
            </w:pPr>
          </w:p>
        </w:tc>
        <w:tc>
          <w:tcPr>
            <w:tcW w:w="5" w:type="pct"/>
            <w:shd w:val="clear" w:color="auto" w:fill="auto"/>
          </w:tcPr>
          <w:p w14:paraId="33DAC91C" w14:textId="77777777" w:rsidR="004D6A64" w:rsidRDefault="004D6A64">
            <w:pPr>
              <w:rPr>
                <w:rFonts w:ascii="宋体"/>
              </w:rPr>
            </w:pPr>
          </w:p>
        </w:tc>
        <w:tc>
          <w:tcPr>
            <w:tcW w:w="5" w:type="pct"/>
            <w:shd w:val="clear" w:color="auto" w:fill="auto"/>
          </w:tcPr>
          <w:p w14:paraId="33DAC91D" w14:textId="77777777" w:rsidR="004D6A64" w:rsidRDefault="004D6A64">
            <w:pPr>
              <w:rPr>
                <w:rFonts w:ascii="宋体"/>
              </w:rPr>
            </w:pPr>
          </w:p>
        </w:tc>
        <w:tc>
          <w:tcPr>
            <w:tcW w:w="19" w:type="pct"/>
            <w:shd w:val="clear" w:color="auto" w:fill="auto"/>
          </w:tcPr>
          <w:p w14:paraId="33DAC91E" w14:textId="77777777" w:rsidR="004D6A64" w:rsidRDefault="004D6A64">
            <w:pPr>
              <w:rPr>
                <w:rFonts w:ascii="宋体"/>
              </w:rPr>
            </w:pPr>
          </w:p>
        </w:tc>
        <w:tc>
          <w:tcPr>
            <w:tcW w:w="5" w:type="pct"/>
            <w:shd w:val="clear" w:color="auto" w:fill="auto"/>
          </w:tcPr>
          <w:p w14:paraId="33DAC91F" w14:textId="77777777" w:rsidR="004D6A64" w:rsidRDefault="004D6A64">
            <w:pPr>
              <w:rPr>
                <w:rFonts w:ascii="宋体"/>
              </w:rPr>
            </w:pPr>
          </w:p>
        </w:tc>
        <w:tc>
          <w:tcPr>
            <w:tcW w:w="0" w:type="auto"/>
            <w:shd w:val="clear" w:color="auto" w:fill="auto"/>
          </w:tcPr>
          <w:p w14:paraId="33DAC920" w14:textId="77777777" w:rsidR="004D6A64" w:rsidRDefault="004D6A64">
            <w:pPr>
              <w:rPr>
                <w:rFonts w:ascii="宋体"/>
                <w:vanish/>
              </w:rPr>
            </w:pPr>
          </w:p>
        </w:tc>
        <w:tc>
          <w:tcPr>
            <w:tcW w:w="0" w:type="auto"/>
            <w:shd w:val="clear" w:color="auto" w:fill="auto"/>
          </w:tcPr>
          <w:p w14:paraId="33DAC921" w14:textId="77777777" w:rsidR="004D6A64" w:rsidRDefault="004D6A64">
            <w:pPr>
              <w:rPr>
                <w:rFonts w:ascii="宋体"/>
                <w:vanish/>
              </w:rPr>
            </w:pPr>
          </w:p>
        </w:tc>
        <w:tc>
          <w:tcPr>
            <w:tcW w:w="50" w:type="pct"/>
            <w:shd w:val="clear" w:color="auto" w:fill="auto"/>
          </w:tcPr>
          <w:p w14:paraId="33DAC922" w14:textId="77777777" w:rsidR="004D6A64" w:rsidRDefault="004D6A64">
            <w:pPr>
              <w:rPr>
                <w:rFonts w:ascii="宋体"/>
              </w:rPr>
            </w:pPr>
          </w:p>
        </w:tc>
        <w:tc>
          <w:tcPr>
            <w:tcW w:w="712" w:type="pct"/>
            <w:shd w:val="clear" w:color="auto" w:fill="auto"/>
          </w:tcPr>
          <w:p w14:paraId="33DAC923" w14:textId="77777777" w:rsidR="004D6A64" w:rsidRDefault="004D6A64">
            <w:pPr>
              <w:rPr>
                <w:rFonts w:ascii="宋体"/>
              </w:rPr>
            </w:pPr>
          </w:p>
        </w:tc>
        <w:tc>
          <w:tcPr>
            <w:tcW w:w="5" w:type="pct"/>
            <w:shd w:val="clear" w:color="auto" w:fill="auto"/>
          </w:tcPr>
          <w:p w14:paraId="33DAC924" w14:textId="77777777" w:rsidR="004D6A64" w:rsidRDefault="004D6A64">
            <w:pPr>
              <w:rPr>
                <w:rFonts w:ascii="宋体"/>
              </w:rPr>
            </w:pPr>
          </w:p>
        </w:tc>
        <w:tc>
          <w:tcPr>
            <w:tcW w:w="5" w:type="pct"/>
            <w:shd w:val="clear" w:color="auto" w:fill="auto"/>
          </w:tcPr>
          <w:p w14:paraId="33DAC925" w14:textId="77777777" w:rsidR="004D6A64" w:rsidRDefault="004D6A64">
            <w:pPr>
              <w:rPr>
                <w:rFonts w:ascii="宋体"/>
              </w:rPr>
            </w:pPr>
          </w:p>
        </w:tc>
        <w:tc>
          <w:tcPr>
            <w:tcW w:w="19" w:type="pct"/>
            <w:shd w:val="clear" w:color="auto" w:fill="auto"/>
          </w:tcPr>
          <w:p w14:paraId="33DAC926" w14:textId="77777777" w:rsidR="004D6A64" w:rsidRDefault="004D6A64">
            <w:pPr>
              <w:rPr>
                <w:rFonts w:ascii="宋体"/>
              </w:rPr>
            </w:pPr>
          </w:p>
        </w:tc>
        <w:tc>
          <w:tcPr>
            <w:tcW w:w="5" w:type="pct"/>
            <w:shd w:val="clear" w:color="auto" w:fill="auto"/>
          </w:tcPr>
          <w:p w14:paraId="33DAC927" w14:textId="77777777" w:rsidR="004D6A64" w:rsidRDefault="004D6A64">
            <w:pPr>
              <w:rPr>
                <w:rFonts w:ascii="宋体"/>
              </w:rPr>
            </w:pPr>
          </w:p>
        </w:tc>
        <w:tc>
          <w:tcPr>
            <w:tcW w:w="50" w:type="pct"/>
            <w:shd w:val="clear" w:color="auto" w:fill="auto"/>
          </w:tcPr>
          <w:p w14:paraId="33DAC928" w14:textId="77777777" w:rsidR="004D6A64" w:rsidRDefault="004D6A64">
            <w:pPr>
              <w:rPr>
                <w:rFonts w:ascii="宋体"/>
              </w:rPr>
            </w:pPr>
          </w:p>
        </w:tc>
        <w:tc>
          <w:tcPr>
            <w:tcW w:w="712" w:type="pct"/>
            <w:shd w:val="clear" w:color="auto" w:fill="auto"/>
          </w:tcPr>
          <w:p w14:paraId="33DAC929" w14:textId="77777777" w:rsidR="004D6A64" w:rsidRDefault="004D6A64">
            <w:pPr>
              <w:rPr>
                <w:rFonts w:ascii="宋体"/>
              </w:rPr>
            </w:pPr>
          </w:p>
        </w:tc>
        <w:tc>
          <w:tcPr>
            <w:tcW w:w="5" w:type="pct"/>
            <w:shd w:val="clear" w:color="auto" w:fill="auto"/>
          </w:tcPr>
          <w:p w14:paraId="33DAC92A" w14:textId="77777777" w:rsidR="004D6A64" w:rsidRDefault="004D6A64">
            <w:pPr>
              <w:rPr>
                <w:rFonts w:ascii="宋体"/>
              </w:rPr>
            </w:pPr>
          </w:p>
        </w:tc>
        <w:tc>
          <w:tcPr>
            <w:tcW w:w="5" w:type="pct"/>
            <w:shd w:val="clear" w:color="auto" w:fill="auto"/>
          </w:tcPr>
          <w:p w14:paraId="33DAC92B" w14:textId="77777777" w:rsidR="004D6A64" w:rsidRDefault="004D6A64">
            <w:pPr>
              <w:rPr>
                <w:rFonts w:ascii="宋体"/>
              </w:rPr>
            </w:pPr>
          </w:p>
        </w:tc>
        <w:tc>
          <w:tcPr>
            <w:tcW w:w="19" w:type="pct"/>
            <w:shd w:val="clear" w:color="auto" w:fill="auto"/>
          </w:tcPr>
          <w:p w14:paraId="33DAC92C" w14:textId="77777777" w:rsidR="004D6A64" w:rsidRDefault="004D6A64">
            <w:pPr>
              <w:rPr>
                <w:rFonts w:ascii="宋体"/>
              </w:rPr>
            </w:pPr>
          </w:p>
        </w:tc>
        <w:tc>
          <w:tcPr>
            <w:tcW w:w="5" w:type="pct"/>
            <w:shd w:val="clear" w:color="auto" w:fill="auto"/>
          </w:tcPr>
          <w:p w14:paraId="33DAC92D" w14:textId="77777777" w:rsidR="004D6A64" w:rsidRDefault="004D6A64">
            <w:pPr>
              <w:rPr>
                <w:rFonts w:ascii="宋体"/>
              </w:rPr>
            </w:pPr>
          </w:p>
        </w:tc>
        <w:tc>
          <w:tcPr>
            <w:tcW w:w="50" w:type="pct"/>
            <w:shd w:val="clear" w:color="auto" w:fill="auto"/>
          </w:tcPr>
          <w:p w14:paraId="33DAC92E" w14:textId="77777777" w:rsidR="004D6A64" w:rsidRDefault="004D6A64">
            <w:pPr>
              <w:rPr>
                <w:rFonts w:ascii="宋体"/>
              </w:rPr>
            </w:pPr>
          </w:p>
        </w:tc>
        <w:tc>
          <w:tcPr>
            <w:tcW w:w="712" w:type="pct"/>
            <w:shd w:val="clear" w:color="auto" w:fill="auto"/>
          </w:tcPr>
          <w:p w14:paraId="33DAC92F" w14:textId="77777777" w:rsidR="004D6A64" w:rsidRDefault="004D6A64">
            <w:pPr>
              <w:rPr>
                <w:rFonts w:ascii="宋体"/>
              </w:rPr>
            </w:pPr>
          </w:p>
        </w:tc>
        <w:tc>
          <w:tcPr>
            <w:tcW w:w="5" w:type="pct"/>
            <w:shd w:val="clear" w:color="auto" w:fill="auto"/>
          </w:tcPr>
          <w:p w14:paraId="33DAC930" w14:textId="77777777" w:rsidR="004D6A64" w:rsidRDefault="004D6A64">
            <w:pPr>
              <w:rPr>
                <w:rFonts w:ascii="宋体"/>
              </w:rPr>
            </w:pPr>
          </w:p>
        </w:tc>
      </w:tr>
      <w:tr w:rsidR="004D6A64" w14:paraId="33DAC93C" w14:textId="77777777">
        <w:trPr>
          <w:gridAfter w:val="18"/>
          <w:jc w:val="center"/>
        </w:trPr>
        <w:tc>
          <w:tcPr>
            <w:tcW w:w="0" w:type="auto"/>
            <w:gridSpan w:val="3"/>
            <w:shd w:val="clear" w:color="auto" w:fill="auto"/>
            <w:tcMar>
              <w:left w:w="20" w:type="dxa"/>
              <w:right w:w="20" w:type="dxa"/>
            </w:tcMar>
            <w:vAlign w:val="bottom"/>
          </w:tcPr>
          <w:p w14:paraId="33DAC932"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C933" w14:textId="77777777" w:rsidR="004D6A64" w:rsidRDefault="00506CD6">
            <w:pPr>
              <w:jc w:val="center"/>
              <w:textAlignment w:val="bottom"/>
            </w:pPr>
            <w:r>
              <w:rPr>
                <w:rFonts w:ascii="Times New Roman" w:eastAsia="宋体" w:hAnsi="Times New Roman"/>
                <w:b/>
                <w:bCs/>
                <w:color w:val="000000"/>
                <w:sz w:val="20"/>
                <w:szCs w:val="20"/>
              </w:rPr>
              <w:t>Foreign Currency Translation Adjustments</w:t>
            </w:r>
          </w:p>
        </w:tc>
        <w:tc>
          <w:tcPr>
            <w:tcW w:w="0" w:type="auto"/>
            <w:gridSpan w:val="3"/>
            <w:shd w:val="clear" w:color="auto" w:fill="auto"/>
            <w:tcMar>
              <w:left w:w="20" w:type="dxa"/>
              <w:right w:w="20" w:type="dxa"/>
            </w:tcMar>
            <w:vAlign w:val="bottom"/>
          </w:tcPr>
          <w:p w14:paraId="33DAC934" w14:textId="77777777" w:rsidR="004D6A64" w:rsidRDefault="004D6A64">
            <w:pPr>
              <w:rPr>
                <w:rFonts w:ascii="宋体"/>
              </w:rPr>
            </w:pPr>
          </w:p>
        </w:tc>
        <w:tc>
          <w:tcPr>
            <w:tcW w:w="0" w:type="auto"/>
            <w:shd w:val="clear" w:color="auto" w:fill="auto"/>
          </w:tcPr>
          <w:p w14:paraId="33DAC935" w14:textId="77777777" w:rsidR="004D6A64" w:rsidRDefault="004D6A64">
            <w:pPr>
              <w:rPr>
                <w:rFonts w:ascii="宋体"/>
                <w:vanish/>
              </w:rPr>
            </w:pPr>
          </w:p>
        </w:tc>
        <w:tc>
          <w:tcPr>
            <w:tcW w:w="0" w:type="auto"/>
            <w:shd w:val="clear" w:color="auto" w:fill="auto"/>
          </w:tcPr>
          <w:p w14:paraId="33DAC936" w14:textId="77777777" w:rsidR="004D6A64" w:rsidRDefault="004D6A64">
            <w:pPr>
              <w:rPr>
                <w:rFonts w:ascii="宋体"/>
                <w:vanish/>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3DAC937" w14:textId="77777777" w:rsidR="004D6A64" w:rsidRDefault="00506CD6">
            <w:pPr>
              <w:jc w:val="center"/>
              <w:textAlignment w:val="bottom"/>
            </w:pPr>
            <w:r>
              <w:rPr>
                <w:rFonts w:ascii="Times New Roman" w:eastAsia="宋体" w:hAnsi="Times New Roman"/>
                <w:b/>
                <w:bCs/>
                <w:color w:val="000000"/>
                <w:sz w:val="20"/>
                <w:szCs w:val="20"/>
              </w:rPr>
              <w:t>Cash Flow Hedges</w:t>
            </w:r>
          </w:p>
        </w:tc>
        <w:tc>
          <w:tcPr>
            <w:tcW w:w="0" w:type="auto"/>
            <w:gridSpan w:val="3"/>
            <w:shd w:val="clear" w:color="auto" w:fill="auto"/>
            <w:tcMar>
              <w:left w:w="20" w:type="dxa"/>
              <w:right w:w="20" w:type="dxa"/>
            </w:tcMar>
            <w:vAlign w:val="bottom"/>
          </w:tcPr>
          <w:p w14:paraId="33DAC938" w14:textId="77777777" w:rsidR="004D6A64" w:rsidRDefault="004D6A6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3DAC939" w14:textId="77777777" w:rsidR="004D6A64" w:rsidRDefault="00506CD6">
            <w:pPr>
              <w:jc w:val="center"/>
              <w:textAlignment w:val="bottom"/>
            </w:pPr>
            <w:r>
              <w:rPr>
                <w:rFonts w:ascii="Times New Roman" w:eastAsia="宋体" w:hAnsi="Times New Roman"/>
                <w:b/>
                <w:bCs/>
                <w:color w:val="000000"/>
                <w:sz w:val="20"/>
                <w:szCs w:val="20"/>
              </w:rPr>
              <w:t>Pension and Other Postretirement Plans</w:t>
            </w:r>
          </w:p>
        </w:tc>
        <w:tc>
          <w:tcPr>
            <w:tcW w:w="0" w:type="auto"/>
            <w:gridSpan w:val="3"/>
            <w:shd w:val="clear" w:color="auto" w:fill="auto"/>
            <w:tcMar>
              <w:left w:w="20" w:type="dxa"/>
              <w:right w:w="20" w:type="dxa"/>
            </w:tcMar>
            <w:vAlign w:val="bottom"/>
          </w:tcPr>
          <w:p w14:paraId="33DAC93A" w14:textId="77777777" w:rsidR="004D6A64" w:rsidRDefault="004D6A6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3DAC93B" w14:textId="77777777" w:rsidR="004D6A64" w:rsidRDefault="00506CD6">
            <w:pPr>
              <w:jc w:val="center"/>
              <w:textAlignment w:val="bottom"/>
            </w:pPr>
            <w:r>
              <w:rPr>
                <w:rFonts w:ascii="Times New Roman" w:eastAsia="宋体" w:hAnsi="Times New Roman"/>
                <w:b/>
                <w:bCs/>
                <w:color w:val="000000"/>
                <w:sz w:val="20"/>
                <w:szCs w:val="20"/>
              </w:rPr>
              <w:t>Accumulated Other Comprehensive Income (Loss)</w:t>
            </w:r>
          </w:p>
        </w:tc>
      </w:tr>
      <w:tr w:rsidR="004D6A64" w14:paraId="33DAC947" w14:textId="77777777">
        <w:trPr>
          <w:jc w:val="center"/>
        </w:trPr>
        <w:tc>
          <w:tcPr>
            <w:tcW w:w="0" w:type="auto"/>
            <w:gridSpan w:val="3"/>
            <w:shd w:val="clear" w:color="auto" w:fill="auto"/>
            <w:tcMar>
              <w:left w:w="20" w:type="dxa"/>
              <w:right w:w="20" w:type="dxa"/>
            </w:tcMar>
            <w:vAlign w:val="bottom"/>
          </w:tcPr>
          <w:p w14:paraId="33DAC93D" w14:textId="77777777" w:rsidR="004D6A64" w:rsidRDefault="004D6A64">
            <w:pPr>
              <w:rPr>
                <w:rFonts w:ascii="宋体"/>
              </w:rPr>
            </w:pPr>
          </w:p>
        </w:tc>
        <w:tc>
          <w:tcPr>
            <w:tcW w:w="0" w:type="auto"/>
            <w:gridSpan w:val="17"/>
            <w:tcBorders>
              <w:top w:val="single" w:sz="8" w:space="0" w:color="000000"/>
            </w:tcBorders>
            <w:shd w:val="clear" w:color="auto" w:fill="auto"/>
            <w:tcMar>
              <w:top w:w="40" w:type="dxa"/>
              <w:left w:w="20" w:type="dxa"/>
              <w:bottom w:w="40" w:type="dxa"/>
              <w:right w:w="20" w:type="dxa"/>
            </w:tcMar>
            <w:vAlign w:val="bottom"/>
          </w:tcPr>
          <w:p w14:paraId="33DAC93E" w14:textId="77777777" w:rsidR="004D6A64" w:rsidRDefault="00506CD6">
            <w:pPr>
              <w:jc w:val="center"/>
              <w:textAlignment w:val="bottom"/>
            </w:pPr>
            <w:r>
              <w:rPr>
                <w:rFonts w:ascii="Times New Roman" w:eastAsia="宋体" w:hAnsi="Times New Roman"/>
                <w:color w:val="000000"/>
                <w:sz w:val="20"/>
                <w:szCs w:val="20"/>
              </w:rPr>
              <w:t>(in millions)</w:t>
            </w:r>
          </w:p>
        </w:tc>
        <w:tc>
          <w:tcPr>
            <w:tcW w:w="0" w:type="auto"/>
            <w:gridSpan w:val="3"/>
            <w:shd w:val="clear" w:color="auto" w:fill="auto"/>
          </w:tcPr>
          <w:p w14:paraId="33DAC93F" w14:textId="77777777" w:rsidR="004D6A64" w:rsidRDefault="004D6A64">
            <w:pPr>
              <w:rPr>
                <w:rFonts w:ascii="宋体"/>
                <w:vanish/>
              </w:rPr>
            </w:pPr>
          </w:p>
        </w:tc>
        <w:tc>
          <w:tcPr>
            <w:tcW w:w="0" w:type="auto"/>
            <w:gridSpan w:val="3"/>
            <w:shd w:val="clear" w:color="auto" w:fill="auto"/>
          </w:tcPr>
          <w:p w14:paraId="33DAC940" w14:textId="77777777" w:rsidR="004D6A64" w:rsidRDefault="004D6A64">
            <w:pPr>
              <w:rPr>
                <w:rFonts w:ascii="宋体"/>
                <w:vanish/>
              </w:rPr>
            </w:pPr>
          </w:p>
        </w:tc>
        <w:tc>
          <w:tcPr>
            <w:tcW w:w="0" w:type="auto"/>
            <w:gridSpan w:val="3"/>
            <w:shd w:val="clear" w:color="auto" w:fill="auto"/>
          </w:tcPr>
          <w:p w14:paraId="33DAC941" w14:textId="77777777" w:rsidR="004D6A64" w:rsidRDefault="004D6A64">
            <w:pPr>
              <w:rPr>
                <w:rFonts w:ascii="宋体"/>
                <w:vanish/>
              </w:rPr>
            </w:pPr>
          </w:p>
        </w:tc>
        <w:tc>
          <w:tcPr>
            <w:tcW w:w="0" w:type="auto"/>
            <w:gridSpan w:val="3"/>
            <w:shd w:val="clear" w:color="auto" w:fill="auto"/>
          </w:tcPr>
          <w:p w14:paraId="33DAC942" w14:textId="77777777" w:rsidR="004D6A64" w:rsidRDefault="004D6A64">
            <w:pPr>
              <w:rPr>
                <w:rFonts w:ascii="宋体"/>
                <w:vanish/>
              </w:rPr>
            </w:pPr>
          </w:p>
        </w:tc>
        <w:tc>
          <w:tcPr>
            <w:tcW w:w="0" w:type="auto"/>
            <w:gridSpan w:val="3"/>
            <w:shd w:val="clear" w:color="auto" w:fill="auto"/>
          </w:tcPr>
          <w:p w14:paraId="33DAC943" w14:textId="77777777" w:rsidR="004D6A64" w:rsidRDefault="004D6A64">
            <w:pPr>
              <w:rPr>
                <w:rFonts w:ascii="宋体"/>
                <w:vanish/>
              </w:rPr>
            </w:pPr>
          </w:p>
        </w:tc>
        <w:tc>
          <w:tcPr>
            <w:tcW w:w="0" w:type="auto"/>
            <w:gridSpan w:val="3"/>
            <w:shd w:val="clear" w:color="auto" w:fill="auto"/>
          </w:tcPr>
          <w:p w14:paraId="33DAC944" w14:textId="77777777" w:rsidR="004D6A64" w:rsidRDefault="004D6A64">
            <w:pPr>
              <w:rPr>
                <w:rFonts w:ascii="宋体"/>
                <w:vanish/>
              </w:rPr>
            </w:pPr>
          </w:p>
        </w:tc>
        <w:tc>
          <w:tcPr>
            <w:tcW w:w="0" w:type="auto"/>
            <w:gridSpan w:val="3"/>
            <w:shd w:val="clear" w:color="auto" w:fill="auto"/>
          </w:tcPr>
          <w:p w14:paraId="33DAC945" w14:textId="77777777" w:rsidR="004D6A64" w:rsidRDefault="004D6A64">
            <w:pPr>
              <w:rPr>
                <w:rFonts w:ascii="宋体"/>
                <w:vanish/>
              </w:rPr>
            </w:pPr>
          </w:p>
        </w:tc>
        <w:tc>
          <w:tcPr>
            <w:tcW w:w="0" w:type="auto"/>
            <w:gridSpan w:val="3"/>
            <w:shd w:val="clear" w:color="auto" w:fill="auto"/>
          </w:tcPr>
          <w:p w14:paraId="33DAC946" w14:textId="77777777" w:rsidR="004D6A64" w:rsidRDefault="004D6A64">
            <w:pPr>
              <w:rPr>
                <w:rFonts w:ascii="宋体"/>
                <w:vanish/>
              </w:rPr>
            </w:pPr>
          </w:p>
        </w:tc>
      </w:tr>
      <w:tr w:rsidR="004D6A64" w14:paraId="33DAC96C" w14:textId="77777777">
        <w:trPr>
          <w:jc w:val="center"/>
        </w:trPr>
        <w:tc>
          <w:tcPr>
            <w:tcW w:w="0" w:type="auto"/>
            <w:gridSpan w:val="3"/>
            <w:shd w:val="clear" w:color="auto" w:fill="CCEEFF"/>
            <w:tcMar>
              <w:top w:w="40" w:type="dxa"/>
              <w:left w:w="20" w:type="dxa"/>
              <w:bottom w:w="40" w:type="dxa"/>
              <w:right w:w="20" w:type="dxa"/>
            </w:tcMar>
            <w:vAlign w:val="bottom"/>
          </w:tcPr>
          <w:p w14:paraId="33DAC948" w14:textId="77777777" w:rsidR="004D6A64" w:rsidRDefault="00506CD6">
            <w:pPr>
              <w:textAlignment w:val="bottom"/>
            </w:pPr>
            <w:r>
              <w:rPr>
                <w:rFonts w:ascii="Times New Roman" w:eastAsia="宋体" w:hAnsi="Times New Roman"/>
                <w:i/>
                <w:iCs/>
                <w:color w:val="000000"/>
                <w:sz w:val="20"/>
                <w:szCs w:val="20"/>
              </w:rPr>
              <w:t xml:space="preserve">Balances as of January 31, </w:t>
            </w:r>
            <w:r>
              <w:rPr>
                <w:rFonts w:ascii="Times New Roman" w:eastAsia="宋体" w:hAnsi="Times New Roman"/>
                <w:i/>
                <w:iCs/>
                <w:color w:val="000000"/>
                <w:sz w:val="20"/>
                <w:szCs w:val="20"/>
              </w:rPr>
              <w:t>2020</w:t>
            </w:r>
          </w:p>
        </w:tc>
        <w:tc>
          <w:tcPr>
            <w:tcW w:w="0" w:type="auto"/>
            <w:shd w:val="clear" w:color="auto" w:fill="CCEEFF"/>
            <w:tcMar>
              <w:top w:w="40" w:type="dxa"/>
              <w:left w:w="20" w:type="dxa"/>
              <w:bottom w:w="40" w:type="dxa"/>
            </w:tcMar>
            <w:vAlign w:val="bottom"/>
          </w:tcPr>
          <w:p w14:paraId="33DAC949"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C94A" w14:textId="77777777" w:rsidR="004D6A64" w:rsidRDefault="00506CD6">
            <w:pPr>
              <w:jc w:val="right"/>
              <w:textAlignment w:val="bottom"/>
            </w:pPr>
            <w:r>
              <w:rPr>
                <w:rFonts w:ascii="Times New Roman" w:eastAsia="宋体" w:hAnsi="Times New Roman"/>
                <w:color w:val="000000"/>
                <w:sz w:val="20"/>
                <w:szCs w:val="20"/>
              </w:rPr>
              <w:t>(678)</w:t>
            </w:r>
          </w:p>
        </w:tc>
        <w:tc>
          <w:tcPr>
            <w:tcW w:w="0" w:type="auto"/>
            <w:shd w:val="clear" w:color="auto" w:fill="CCEEFF"/>
            <w:tcMar>
              <w:top w:w="40" w:type="dxa"/>
              <w:bottom w:w="40" w:type="dxa"/>
              <w:right w:w="20" w:type="dxa"/>
            </w:tcMar>
            <w:vAlign w:val="bottom"/>
          </w:tcPr>
          <w:p w14:paraId="33DAC94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94C" w14:textId="77777777" w:rsidR="004D6A64" w:rsidRDefault="004D6A64">
            <w:pPr>
              <w:rPr>
                <w:rFonts w:ascii="宋体"/>
              </w:rPr>
            </w:pPr>
          </w:p>
        </w:tc>
        <w:tc>
          <w:tcPr>
            <w:tcW w:w="0" w:type="auto"/>
            <w:shd w:val="clear" w:color="auto" w:fill="auto"/>
          </w:tcPr>
          <w:p w14:paraId="33DAC94D" w14:textId="77777777" w:rsidR="004D6A64" w:rsidRDefault="004D6A64">
            <w:pPr>
              <w:rPr>
                <w:rFonts w:ascii="宋体"/>
                <w:vanish/>
              </w:rPr>
            </w:pPr>
          </w:p>
        </w:tc>
        <w:tc>
          <w:tcPr>
            <w:tcW w:w="0" w:type="auto"/>
            <w:shd w:val="clear" w:color="auto" w:fill="auto"/>
          </w:tcPr>
          <w:p w14:paraId="33DAC94E" w14:textId="77777777" w:rsidR="004D6A64" w:rsidRDefault="004D6A64">
            <w:pPr>
              <w:rPr>
                <w:rFonts w:ascii="宋体"/>
                <w:vanish/>
              </w:rPr>
            </w:pPr>
          </w:p>
        </w:tc>
        <w:tc>
          <w:tcPr>
            <w:tcW w:w="0" w:type="auto"/>
            <w:shd w:val="clear" w:color="auto" w:fill="CCEEFF"/>
            <w:tcMar>
              <w:top w:w="40" w:type="dxa"/>
              <w:left w:w="20" w:type="dxa"/>
              <w:bottom w:w="40" w:type="dxa"/>
            </w:tcMar>
            <w:vAlign w:val="bottom"/>
          </w:tcPr>
          <w:p w14:paraId="33DAC94F"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C950" w14:textId="77777777" w:rsidR="004D6A64" w:rsidRDefault="00506CD6">
            <w:pPr>
              <w:jc w:val="right"/>
              <w:textAlignment w:val="bottom"/>
            </w:pPr>
            <w:r>
              <w:rPr>
                <w:rFonts w:ascii="Times New Roman" w:eastAsia="宋体" w:hAnsi="Times New Roman"/>
                <w:color w:val="000000"/>
                <w:sz w:val="20"/>
                <w:szCs w:val="20"/>
              </w:rPr>
              <w:t>14 </w:t>
            </w:r>
          </w:p>
        </w:tc>
        <w:tc>
          <w:tcPr>
            <w:tcW w:w="0" w:type="auto"/>
            <w:shd w:val="clear" w:color="auto" w:fill="CCEEFF"/>
            <w:tcMar>
              <w:top w:w="40" w:type="dxa"/>
              <w:bottom w:w="40" w:type="dxa"/>
              <w:right w:w="20" w:type="dxa"/>
            </w:tcMar>
            <w:vAlign w:val="bottom"/>
          </w:tcPr>
          <w:p w14:paraId="33DAC95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952"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C953"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C954" w14:textId="77777777" w:rsidR="004D6A64" w:rsidRDefault="00506CD6">
            <w:pPr>
              <w:jc w:val="right"/>
              <w:textAlignment w:val="bottom"/>
            </w:pPr>
            <w:r>
              <w:rPr>
                <w:rFonts w:ascii="Times New Roman" w:eastAsia="宋体" w:hAnsi="Times New Roman"/>
                <w:color w:val="000000"/>
                <w:sz w:val="20"/>
                <w:szCs w:val="20"/>
              </w:rPr>
              <w:t>(45)</w:t>
            </w:r>
          </w:p>
        </w:tc>
        <w:tc>
          <w:tcPr>
            <w:tcW w:w="0" w:type="auto"/>
            <w:shd w:val="clear" w:color="auto" w:fill="CCEEFF"/>
            <w:tcMar>
              <w:top w:w="40" w:type="dxa"/>
              <w:bottom w:w="40" w:type="dxa"/>
              <w:right w:w="20" w:type="dxa"/>
            </w:tcMar>
            <w:vAlign w:val="bottom"/>
          </w:tcPr>
          <w:p w14:paraId="33DAC95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956"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C957"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C958" w14:textId="77777777" w:rsidR="004D6A64" w:rsidRDefault="00506CD6">
            <w:pPr>
              <w:jc w:val="right"/>
              <w:textAlignment w:val="bottom"/>
            </w:pPr>
            <w:r>
              <w:rPr>
                <w:rFonts w:ascii="Times New Roman" w:eastAsia="宋体" w:hAnsi="Times New Roman"/>
                <w:color w:val="000000"/>
                <w:sz w:val="20"/>
                <w:szCs w:val="20"/>
              </w:rPr>
              <w:t>(709)</w:t>
            </w:r>
          </w:p>
        </w:tc>
        <w:tc>
          <w:tcPr>
            <w:tcW w:w="0" w:type="auto"/>
            <w:shd w:val="clear" w:color="auto" w:fill="CCEEFF"/>
            <w:tcMar>
              <w:top w:w="40" w:type="dxa"/>
              <w:bottom w:w="40" w:type="dxa"/>
              <w:right w:w="20" w:type="dxa"/>
            </w:tcMar>
            <w:vAlign w:val="bottom"/>
          </w:tcPr>
          <w:p w14:paraId="33DAC959" w14:textId="77777777" w:rsidR="004D6A64" w:rsidRDefault="004D6A64">
            <w:pPr>
              <w:jc w:val="right"/>
              <w:rPr>
                <w:rFonts w:ascii="宋体"/>
              </w:rPr>
            </w:pPr>
          </w:p>
        </w:tc>
        <w:tc>
          <w:tcPr>
            <w:tcW w:w="0" w:type="auto"/>
            <w:shd w:val="clear" w:color="auto" w:fill="auto"/>
          </w:tcPr>
          <w:p w14:paraId="33DAC95A" w14:textId="77777777" w:rsidR="004D6A64" w:rsidRDefault="004D6A64">
            <w:pPr>
              <w:rPr>
                <w:rFonts w:ascii="宋体"/>
              </w:rPr>
            </w:pPr>
          </w:p>
        </w:tc>
        <w:tc>
          <w:tcPr>
            <w:tcW w:w="0" w:type="auto"/>
            <w:shd w:val="clear" w:color="auto" w:fill="auto"/>
          </w:tcPr>
          <w:p w14:paraId="33DAC95B" w14:textId="77777777" w:rsidR="004D6A64" w:rsidRDefault="004D6A64">
            <w:pPr>
              <w:rPr>
                <w:rFonts w:ascii="宋体"/>
              </w:rPr>
            </w:pPr>
          </w:p>
        </w:tc>
        <w:tc>
          <w:tcPr>
            <w:tcW w:w="0" w:type="auto"/>
            <w:shd w:val="clear" w:color="auto" w:fill="auto"/>
          </w:tcPr>
          <w:p w14:paraId="33DAC95C" w14:textId="77777777" w:rsidR="004D6A64" w:rsidRDefault="004D6A64">
            <w:pPr>
              <w:rPr>
                <w:rFonts w:ascii="宋体"/>
              </w:rPr>
            </w:pPr>
          </w:p>
        </w:tc>
        <w:tc>
          <w:tcPr>
            <w:tcW w:w="0" w:type="auto"/>
            <w:shd w:val="clear" w:color="auto" w:fill="auto"/>
          </w:tcPr>
          <w:p w14:paraId="33DAC95D" w14:textId="77777777" w:rsidR="004D6A64" w:rsidRDefault="004D6A64">
            <w:pPr>
              <w:rPr>
                <w:rFonts w:ascii="宋体"/>
              </w:rPr>
            </w:pPr>
          </w:p>
        </w:tc>
        <w:tc>
          <w:tcPr>
            <w:tcW w:w="0" w:type="auto"/>
            <w:shd w:val="clear" w:color="auto" w:fill="auto"/>
          </w:tcPr>
          <w:p w14:paraId="33DAC95E" w14:textId="77777777" w:rsidR="004D6A64" w:rsidRDefault="004D6A64">
            <w:pPr>
              <w:rPr>
                <w:rFonts w:ascii="宋体"/>
              </w:rPr>
            </w:pPr>
          </w:p>
        </w:tc>
        <w:tc>
          <w:tcPr>
            <w:tcW w:w="0" w:type="auto"/>
            <w:shd w:val="clear" w:color="auto" w:fill="auto"/>
          </w:tcPr>
          <w:p w14:paraId="33DAC95F" w14:textId="77777777" w:rsidR="004D6A64" w:rsidRDefault="004D6A64">
            <w:pPr>
              <w:rPr>
                <w:rFonts w:ascii="宋体"/>
              </w:rPr>
            </w:pPr>
          </w:p>
        </w:tc>
        <w:tc>
          <w:tcPr>
            <w:tcW w:w="0" w:type="auto"/>
            <w:shd w:val="clear" w:color="auto" w:fill="auto"/>
          </w:tcPr>
          <w:p w14:paraId="33DAC960" w14:textId="77777777" w:rsidR="004D6A64" w:rsidRDefault="004D6A64">
            <w:pPr>
              <w:rPr>
                <w:rFonts w:ascii="宋体"/>
              </w:rPr>
            </w:pPr>
          </w:p>
        </w:tc>
        <w:tc>
          <w:tcPr>
            <w:tcW w:w="0" w:type="auto"/>
            <w:shd w:val="clear" w:color="auto" w:fill="auto"/>
          </w:tcPr>
          <w:p w14:paraId="33DAC961" w14:textId="77777777" w:rsidR="004D6A64" w:rsidRDefault="004D6A64">
            <w:pPr>
              <w:rPr>
                <w:rFonts w:ascii="宋体"/>
              </w:rPr>
            </w:pPr>
          </w:p>
        </w:tc>
        <w:tc>
          <w:tcPr>
            <w:tcW w:w="0" w:type="auto"/>
            <w:shd w:val="clear" w:color="auto" w:fill="auto"/>
          </w:tcPr>
          <w:p w14:paraId="33DAC962" w14:textId="77777777" w:rsidR="004D6A64" w:rsidRDefault="004D6A64">
            <w:pPr>
              <w:rPr>
                <w:rFonts w:ascii="宋体"/>
              </w:rPr>
            </w:pPr>
          </w:p>
        </w:tc>
        <w:tc>
          <w:tcPr>
            <w:tcW w:w="0" w:type="auto"/>
            <w:shd w:val="clear" w:color="auto" w:fill="auto"/>
          </w:tcPr>
          <w:p w14:paraId="33DAC963" w14:textId="77777777" w:rsidR="004D6A64" w:rsidRDefault="004D6A64">
            <w:pPr>
              <w:rPr>
                <w:rFonts w:ascii="宋体"/>
              </w:rPr>
            </w:pPr>
          </w:p>
        </w:tc>
        <w:tc>
          <w:tcPr>
            <w:tcW w:w="0" w:type="auto"/>
            <w:shd w:val="clear" w:color="auto" w:fill="auto"/>
          </w:tcPr>
          <w:p w14:paraId="33DAC964" w14:textId="77777777" w:rsidR="004D6A64" w:rsidRDefault="004D6A64">
            <w:pPr>
              <w:rPr>
                <w:rFonts w:ascii="宋体"/>
              </w:rPr>
            </w:pPr>
          </w:p>
        </w:tc>
        <w:tc>
          <w:tcPr>
            <w:tcW w:w="0" w:type="auto"/>
            <w:shd w:val="clear" w:color="auto" w:fill="auto"/>
          </w:tcPr>
          <w:p w14:paraId="33DAC965" w14:textId="77777777" w:rsidR="004D6A64" w:rsidRDefault="004D6A64">
            <w:pPr>
              <w:rPr>
                <w:rFonts w:ascii="宋体"/>
              </w:rPr>
            </w:pPr>
          </w:p>
        </w:tc>
        <w:tc>
          <w:tcPr>
            <w:tcW w:w="0" w:type="auto"/>
            <w:shd w:val="clear" w:color="auto" w:fill="auto"/>
          </w:tcPr>
          <w:p w14:paraId="33DAC966" w14:textId="77777777" w:rsidR="004D6A64" w:rsidRDefault="004D6A64">
            <w:pPr>
              <w:rPr>
                <w:rFonts w:ascii="宋体"/>
              </w:rPr>
            </w:pPr>
          </w:p>
        </w:tc>
        <w:tc>
          <w:tcPr>
            <w:tcW w:w="0" w:type="auto"/>
            <w:shd w:val="clear" w:color="auto" w:fill="auto"/>
          </w:tcPr>
          <w:p w14:paraId="33DAC967" w14:textId="77777777" w:rsidR="004D6A64" w:rsidRDefault="004D6A64">
            <w:pPr>
              <w:rPr>
                <w:rFonts w:ascii="宋体"/>
              </w:rPr>
            </w:pPr>
          </w:p>
        </w:tc>
        <w:tc>
          <w:tcPr>
            <w:tcW w:w="0" w:type="auto"/>
            <w:shd w:val="clear" w:color="auto" w:fill="auto"/>
          </w:tcPr>
          <w:p w14:paraId="33DAC968" w14:textId="77777777" w:rsidR="004D6A64" w:rsidRDefault="004D6A64">
            <w:pPr>
              <w:rPr>
                <w:rFonts w:ascii="宋体"/>
              </w:rPr>
            </w:pPr>
          </w:p>
        </w:tc>
        <w:tc>
          <w:tcPr>
            <w:tcW w:w="0" w:type="auto"/>
            <w:shd w:val="clear" w:color="auto" w:fill="auto"/>
          </w:tcPr>
          <w:p w14:paraId="33DAC969" w14:textId="77777777" w:rsidR="004D6A64" w:rsidRDefault="004D6A64">
            <w:pPr>
              <w:rPr>
                <w:rFonts w:ascii="宋体"/>
              </w:rPr>
            </w:pPr>
          </w:p>
        </w:tc>
        <w:tc>
          <w:tcPr>
            <w:tcW w:w="0" w:type="auto"/>
            <w:shd w:val="clear" w:color="auto" w:fill="auto"/>
          </w:tcPr>
          <w:p w14:paraId="33DAC96A" w14:textId="77777777" w:rsidR="004D6A64" w:rsidRDefault="004D6A64">
            <w:pPr>
              <w:rPr>
                <w:rFonts w:ascii="宋体"/>
              </w:rPr>
            </w:pPr>
          </w:p>
        </w:tc>
        <w:tc>
          <w:tcPr>
            <w:tcW w:w="0" w:type="auto"/>
            <w:shd w:val="clear" w:color="auto" w:fill="auto"/>
          </w:tcPr>
          <w:p w14:paraId="33DAC96B" w14:textId="77777777" w:rsidR="004D6A64" w:rsidRDefault="004D6A64">
            <w:pPr>
              <w:rPr>
                <w:rFonts w:ascii="宋体"/>
              </w:rPr>
            </w:pPr>
          </w:p>
        </w:tc>
      </w:tr>
      <w:tr w:rsidR="004D6A64" w14:paraId="33DAC989" w14:textId="77777777">
        <w:trPr>
          <w:jc w:val="center"/>
          <w:hidden/>
        </w:trPr>
        <w:tc>
          <w:tcPr>
            <w:tcW w:w="0" w:type="auto"/>
            <w:gridSpan w:val="3"/>
            <w:shd w:val="clear" w:color="auto" w:fill="auto"/>
          </w:tcPr>
          <w:p w14:paraId="33DAC96D" w14:textId="77777777" w:rsidR="004D6A64" w:rsidRDefault="004D6A64">
            <w:pPr>
              <w:rPr>
                <w:rFonts w:ascii="宋体"/>
                <w:vanish/>
              </w:rPr>
            </w:pPr>
          </w:p>
        </w:tc>
        <w:tc>
          <w:tcPr>
            <w:tcW w:w="0" w:type="auto"/>
            <w:gridSpan w:val="3"/>
            <w:shd w:val="clear" w:color="auto" w:fill="auto"/>
          </w:tcPr>
          <w:p w14:paraId="33DAC96E" w14:textId="77777777" w:rsidR="004D6A64" w:rsidRDefault="004D6A64">
            <w:pPr>
              <w:rPr>
                <w:rFonts w:ascii="宋体"/>
                <w:vanish/>
              </w:rPr>
            </w:pPr>
          </w:p>
        </w:tc>
        <w:tc>
          <w:tcPr>
            <w:tcW w:w="0" w:type="auto"/>
            <w:gridSpan w:val="3"/>
            <w:shd w:val="clear" w:color="auto" w:fill="auto"/>
          </w:tcPr>
          <w:p w14:paraId="33DAC96F" w14:textId="77777777" w:rsidR="004D6A64" w:rsidRDefault="004D6A64">
            <w:pPr>
              <w:rPr>
                <w:rFonts w:ascii="宋体"/>
                <w:vanish/>
              </w:rPr>
            </w:pPr>
          </w:p>
        </w:tc>
        <w:tc>
          <w:tcPr>
            <w:tcW w:w="0" w:type="auto"/>
            <w:shd w:val="clear" w:color="auto" w:fill="auto"/>
          </w:tcPr>
          <w:p w14:paraId="33DAC970" w14:textId="77777777" w:rsidR="004D6A64" w:rsidRDefault="004D6A64">
            <w:pPr>
              <w:rPr>
                <w:rFonts w:ascii="宋体"/>
                <w:vanish/>
              </w:rPr>
            </w:pPr>
          </w:p>
        </w:tc>
        <w:tc>
          <w:tcPr>
            <w:tcW w:w="0" w:type="auto"/>
            <w:shd w:val="clear" w:color="auto" w:fill="auto"/>
          </w:tcPr>
          <w:p w14:paraId="33DAC971" w14:textId="77777777" w:rsidR="004D6A64" w:rsidRDefault="004D6A64">
            <w:pPr>
              <w:rPr>
                <w:rFonts w:ascii="宋体"/>
                <w:vanish/>
              </w:rPr>
            </w:pPr>
          </w:p>
        </w:tc>
        <w:tc>
          <w:tcPr>
            <w:tcW w:w="0" w:type="auto"/>
            <w:gridSpan w:val="3"/>
            <w:shd w:val="clear" w:color="auto" w:fill="auto"/>
          </w:tcPr>
          <w:p w14:paraId="33DAC972" w14:textId="77777777" w:rsidR="004D6A64" w:rsidRDefault="004D6A64">
            <w:pPr>
              <w:rPr>
                <w:rFonts w:ascii="宋体"/>
                <w:vanish/>
              </w:rPr>
            </w:pPr>
          </w:p>
        </w:tc>
        <w:tc>
          <w:tcPr>
            <w:tcW w:w="0" w:type="auto"/>
            <w:gridSpan w:val="3"/>
            <w:shd w:val="clear" w:color="auto" w:fill="auto"/>
          </w:tcPr>
          <w:p w14:paraId="33DAC973" w14:textId="77777777" w:rsidR="004D6A64" w:rsidRDefault="004D6A64">
            <w:pPr>
              <w:rPr>
                <w:rFonts w:ascii="宋体"/>
                <w:vanish/>
              </w:rPr>
            </w:pPr>
          </w:p>
        </w:tc>
        <w:tc>
          <w:tcPr>
            <w:tcW w:w="0" w:type="auto"/>
            <w:gridSpan w:val="3"/>
            <w:shd w:val="clear" w:color="auto" w:fill="auto"/>
          </w:tcPr>
          <w:p w14:paraId="33DAC974" w14:textId="77777777" w:rsidR="004D6A64" w:rsidRDefault="004D6A64">
            <w:pPr>
              <w:rPr>
                <w:rFonts w:ascii="宋体"/>
                <w:vanish/>
              </w:rPr>
            </w:pPr>
          </w:p>
        </w:tc>
        <w:tc>
          <w:tcPr>
            <w:tcW w:w="0" w:type="auto"/>
            <w:gridSpan w:val="3"/>
            <w:shd w:val="clear" w:color="auto" w:fill="auto"/>
          </w:tcPr>
          <w:p w14:paraId="33DAC975" w14:textId="77777777" w:rsidR="004D6A64" w:rsidRDefault="004D6A64">
            <w:pPr>
              <w:rPr>
                <w:rFonts w:ascii="宋体"/>
                <w:vanish/>
              </w:rPr>
            </w:pPr>
          </w:p>
        </w:tc>
        <w:tc>
          <w:tcPr>
            <w:tcW w:w="0" w:type="auto"/>
            <w:gridSpan w:val="3"/>
            <w:shd w:val="clear" w:color="auto" w:fill="auto"/>
          </w:tcPr>
          <w:p w14:paraId="33DAC976" w14:textId="77777777" w:rsidR="004D6A64" w:rsidRDefault="004D6A64">
            <w:pPr>
              <w:rPr>
                <w:rFonts w:ascii="宋体"/>
                <w:vanish/>
              </w:rPr>
            </w:pPr>
          </w:p>
        </w:tc>
        <w:tc>
          <w:tcPr>
            <w:tcW w:w="0" w:type="auto"/>
            <w:shd w:val="clear" w:color="auto" w:fill="auto"/>
          </w:tcPr>
          <w:p w14:paraId="33DAC977" w14:textId="77777777" w:rsidR="004D6A64" w:rsidRDefault="004D6A64">
            <w:pPr>
              <w:rPr>
                <w:rFonts w:ascii="宋体"/>
              </w:rPr>
            </w:pPr>
          </w:p>
        </w:tc>
        <w:tc>
          <w:tcPr>
            <w:tcW w:w="0" w:type="auto"/>
            <w:shd w:val="clear" w:color="auto" w:fill="auto"/>
          </w:tcPr>
          <w:p w14:paraId="33DAC978" w14:textId="77777777" w:rsidR="004D6A64" w:rsidRDefault="004D6A64">
            <w:pPr>
              <w:rPr>
                <w:rFonts w:ascii="宋体"/>
              </w:rPr>
            </w:pPr>
          </w:p>
        </w:tc>
        <w:tc>
          <w:tcPr>
            <w:tcW w:w="0" w:type="auto"/>
            <w:shd w:val="clear" w:color="auto" w:fill="auto"/>
          </w:tcPr>
          <w:p w14:paraId="33DAC979" w14:textId="77777777" w:rsidR="004D6A64" w:rsidRDefault="004D6A64">
            <w:pPr>
              <w:rPr>
                <w:rFonts w:ascii="宋体"/>
              </w:rPr>
            </w:pPr>
          </w:p>
        </w:tc>
        <w:tc>
          <w:tcPr>
            <w:tcW w:w="0" w:type="auto"/>
            <w:shd w:val="clear" w:color="auto" w:fill="auto"/>
          </w:tcPr>
          <w:p w14:paraId="33DAC97A" w14:textId="77777777" w:rsidR="004D6A64" w:rsidRDefault="004D6A64">
            <w:pPr>
              <w:rPr>
                <w:rFonts w:ascii="宋体"/>
              </w:rPr>
            </w:pPr>
          </w:p>
        </w:tc>
        <w:tc>
          <w:tcPr>
            <w:tcW w:w="0" w:type="auto"/>
            <w:shd w:val="clear" w:color="auto" w:fill="auto"/>
          </w:tcPr>
          <w:p w14:paraId="33DAC97B" w14:textId="77777777" w:rsidR="004D6A64" w:rsidRDefault="004D6A64">
            <w:pPr>
              <w:rPr>
                <w:rFonts w:ascii="宋体"/>
              </w:rPr>
            </w:pPr>
          </w:p>
        </w:tc>
        <w:tc>
          <w:tcPr>
            <w:tcW w:w="0" w:type="auto"/>
            <w:shd w:val="clear" w:color="auto" w:fill="auto"/>
          </w:tcPr>
          <w:p w14:paraId="33DAC97C" w14:textId="77777777" w:rsidR="004D6A64" w:rsidRDefault="004D6A64">
            <w:pPr>
              <w:rPr>
                <w:rFonts w:ascii="宋体"/>
              </w:rPr>
            </w:pPr>
          </w:p>
        </w:tc>
        <w:tc>
          <w:tcPr>
            <w:tcW w:w="0" w:type="auto"/>
            <w:shd w:val="clear" w:color="auto" w:fill="auto"/>
          </w:tcPr>
          <w:p w14:paraId="33DAC97D" w14:textId="77777777" w:rsidR="004D6A64" w:rsidRDefault="004D6A64">
            <w:pPr>
              <w:rPr>
                <w:rFonts w:ascii="宋体"/>
              </w:rPr>
            </w:pPr>
          </w:p>
        </w:tc>
        <w:tc>
          <w:tcPr>
            <w:tcW w:w="0" w:type="auto"/>
            <w:shd w:val="clear" w:color="auto" w:fill="auto"/>
          </w:tcPr>
          <w:p w14:paraId="33DAC97E" w14:textId="77777777" w:rsidR="004D6A64" w:rsidRDefault="004D6A64">
            <w:pPr>
              <w:rPr>
                <w:rFonts w:ascii="宋体"/>
              </w:rPr>
            </w:pPr>
          </w:p>
        </w:tc>
        <w:tc>
          <w:tcPr>
            <w:tcW w:w="0" w:type="auto"/>
            <w:shd w:val="clear" w:color="auto" w:fill="auto"/>
          </w:tcPr>
          <w:p w14:paraId="33DAC97F" w14:textId="77777777" w:rsidR="004D6A64" w:rsidRDefault="004D6A64">
            <w:pPr>
              <w:rPr>
                <w:rFonts w:ascii="宋体"/>
              </w:rPr>
            </w:pPr>
          </w:p>
        </w:tc>
        <w:tc>
          <w:tcPr>
            <w:tcW w:w="0" w:type="auto"/>
            <w:shd w:val="clear" w:color="auto" w:fill="auto"/>
          </w:tcPr>
          <w:p w14:paraId="33DAC980" w14:textId="77777777" w:rsidR="004D6A64" w:rsidRDefault="004D6A64">
            <w:pPr>
              <w:rPr>
                <w:rFonts w:ascii="宋体"/>
              </w:rPr>
            </w:pPr>
          </w:p>
        </w:tc>
        <w:tc>
          <w:tcPr>
            <w:tcW w:w="0" w:type="auto"/>
            <w:shd w:val="clear" w:color="auto" w:fill="auto"/>
          </w:tcPr>
          <w:p w14:paraId="33DAC981" w14:textId="77777777" w:rsidR="004D6A64" w:rsidRDefault="004D6A64">
            <w:pPr>
              <w:rPr>
                <w:rFonts w:ascii="宋体"/>
              </w:rPr>
            </w:pPr>
          </w:p>
        </w:tc>
        <w:tc>
          <w:tcPr>
            <w:tcW w:w="0" w:type="auto"/>
            <w:shd w:val="clear" w:color="auto" w:fill="auto"/>
          </w:tcPr>
          <w:p w14:paraId="33DAC982" w14:textId="77777777" w:rsidR="004D6A64" w:rsidRDefault="004D6A64">
            <w:pPr>
              <w:rPr>
                <w:rFonts w:ascii="宋体"/>
              </w:rPr>
            </w:pPr>
          </w:p>
        </w:tc>
        <w:tc>
          <w:tcPr>
            <w:tcW w:w="0" w:type="auto"/>
            <w:shd w:val="clear" w:color="auto" w:fill="auto"/>
          </w:tcPr>
          <w:p w14:paraId="33DAC983" w14:textId="77777777" w:rsidR="004D6A64" w:rsidRDefault="004D6A64">
            <w:pPr>
              <w:rPr>
                <w:rFonts w:ascii="宋体"/>
              </w:rPr>
            </w:pPr>
          </w:p>
        </w:tc>
        <w:tc>
          <w:tcPr>
            <w:tcW w:w="0" w:type="auto"/>
            <w:shd w:val="clear" w:color="auto" w:fill="auto"/>
          </w:tcPr>
          <w:p w14:paraId="33DAC984" w14:textId="77777777" w:rsidR="004D6A64" w:rsidRDefault="004D6A64">
            <w:pPr>
              <w:rPr>
                <w:rFonts w:ascii="宋体"/>
              </w:rPr>
            </w:pPr>
          </w:p>
        </w:tc>
        <w:tc>
          <w:tcPr>
            <w:tcW w:w="0" w:type="auto"/>
            <w:shd w:val="clear" w:color="auto" w:fill="auto"/>
          </w:tcPr>
          <w:p w14:paraId="33DAC985" w14:textId="77777777" w:rsidR="004D6A64" w:rsidRDefault="004D6A64">
            <w:pPr>
              <w:rPr>
                <w:rFonts w:ascii="宋体"/>
              </w:rPr>
            </w:pPr>
          </w:p>
        </w:tc>
        <w:tc>
          <w:tcPr>
            <w:tcW w:w="0" w:type="auto"/>
            <w:shd w:val="clear" w:color="auto" w:fill="auto"/>
          </w:tcPr>
          <w:p w14:paraId="33DAC986" w14:textId="77777777" w:rsidR="004D6A64" w:rsidRDefault="004D6A64">
            <w:pPr>
              <w:rPr>
                <w:rFonts w:ascii="宋体"/>
              </w:rPr>
            </w:pPr>
          </w:p>
        </w:tc>
        <w:tc>
          <w:tcPr>
            <w:tcW w:w="0" w:type="auto"/>
            <w:shd w:val="clear" w:color="auto" w:fill="auto"/>
          </w:tcPr>
          <w:p w14:paraId="33DAC987" w14:textId="77777777" w:rsidR="004D6A64" w:rsidRDefault="004D6A64">
            <w:pPr>
              <w:rPr>
                <w:rFonts w:ascii="宋体"/>
              </w:rPr>
            </w:pPr>
          </w:p>
        </w:tc>
        <w:tc>
          <w:tcPr>
            <w:tcW w:w="0" w:type="auto"/>
            <w:shd w:val="clear" w:color="auto" w:fill="auto"/>
          </w:tcPr>
          <w:p w14:paraId="33DAC988" w14:textId="77777777" w:rsidR="004D6A64" w:rsidRDefault="004D6A64">
            <w:pPr>
              <w:rPr>
                <w:rFonts w:ascii="宋体"/>
              </w:rPr>
            </w:pPr>
          </w:p>
        </w:tc>
      </w:tr>
      <w:tr w:rsidR="004D6A64" w14:paraId="33DAC9AA" w14:textId="77777777">
        <w:trPr>
          <w:jc w:val="center"/>
        </w:trPr>
        <w:tc>
          <w:tcPr>
            <w:tcW w:w="0" w:type="auto"/>
            <w:gridSpan w:val="3"/>
            <w:shd w:val="clear" w:color="auto" w:fill="FFFFFF"/>
            <w:tcMar>
              <w:top w:w="40" w:type="dxa"/>
              <w:left w:w="105" w:type="dxa"/>
              <w:bottom w:w="40" w:type="dxa"/>
              <w:right w:w="20" w:type="dxa"/>
            </w:tcMar>
            <w:vAlign w:val="bottom"/>
          </w:tcPr>
          <w:p w14:paraId="33DAC98A" w14:textId="77777777" w:rsidR="004D6A64" w:rsidRDefault="00506CD6">
            <w:pPr>
              <w:textAlignment w:val="bottom"/>
            </w:pPr>
            <w:r>
              <w:rPr>
                <w:rFonts w:ascii="Times New Roman" w:eastAsia="宋体" w:hAnsi="Times New Roman"/>
                <w:color w:val="000000"/>
                <w:sz w:val="20"/>
                <w:szCs w:val="20"/>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33DAC98B" w14:textId="77777777" w:rsidR="004D6A64" w:rsidRDefault="00506CD6">
            <w:pPr>
              <w:jc w:val="right"/>
              <w:textAlignment w:val="bottom"/>
            </w:pPr>
            <w:r>
              <w:rPr>
                <w:rFonts w:ascii="Times New Roman" w:eastAsia="宋体" w:hAnsi="Times New Roman"/>
                <w:color w:val="000000"/>
                <w:sz w:val="20"/>
                <w:szCs w:val="20"/>
              </w:rPr>
              <w:t>264 </w:t>
            </w:r>
          </w:p>
        </w:tc>
        <w:tc>
          <w:tcPr>
            <w:tcW w:w="0" w:type="auto"/>
            <w:shd w:val="clear" w:color="auto" w:fill="FFFFFF"/>
            <w:tcMar>
              <w:top w:w="40" w:type="dxa"/>
              <w:bottom w:w="40" w:type="dxa"/>
              <w:right w:w="20" w:type="dxa"/>
            </w:tcMar>
            <w:vAlign w:val="bottom"/>
          </w:tcPr>
          <w:p w14:paraId="33DAC98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98D" w14:textId="77777777" w:rsidR="004D6A64" w:rsidRDefault="004D6A64">
            <w:pPr>
              <w:rPr>
                <w:rFonts w:ascii="宋体"/>
              </w:rPr>
            </w:pPr>
          </w:p>
        </w:tc>
        <w:tc>
          <w:tcPr>
            <w:tcW w:w="0" w:type="auto"/>
            <w:shd w:val="clear" w:color="auto" w:fill="auto"/>
          </w:tcPr>
          <w:p w14:paraId="33DAC98E" w14:textId="77777777" w:rsidR="004D6A64" w:rsidRDefault="004D6A64">
            <w:pPr>
              <w:rPr>
                <w:rFonts w:ascii="宋体"/>
                <w:vanish/>
              </w:rPr>
            </w:pPr>
          </w:p>
        </w:tc>
        <w:tc>
          <w:tcPr>
            <w:tcW w:w="0" w:type="auto"/>
            <w:shd w:val="clear" w:color="auto" w:fill="auto"/>
          </w:tcPr>
          <w:p w14:paraId="33DAC98F" w14:textId="77777777" w:rsidR="004D6A64" w:rsidRDefault="004D6A64">
            <w:pPr>
              <w:rPr>
                <w:rFonts w:ascii="宋体"/>
                <w:vanish/>
              </w:rPr>
            </w:pPr>
          </w:p>
        </w:tc>
        <w:tc>
          <w:tcPr>
            <w:tcW w:w="0" w:type="auto"/>
            <w:gridSpan w:val="2"/>
            <w:shd w:val="clear" w:color="auto" w:fill="FFFFFF"/>
            <w:tcMar>
              <w:top w:w="40" w:type="dxa"/>
              <w:left w:w="20" w:type="dxa"/>
              <w:bottom w:w="40" w:type="dxa"/>
              <w:right w:w="0" w:type="dxa"/>
            </w:tcMar>
            <w:vAlign w:val="bottom"/>
          </w:tcPr>
          <w:p w14:paraId="33DAC990" w14:textId="77777777" w:rsidR="004D6A64" w:rsidRDefault="00506CD6">
            <w:pPr>
              <w:jc w:val="right"/>
              <w:textAlignment w:val="bottom"/>
            </w:pPr>
            <w:r>
              <w:rPr>
                <w:rFonts w:ascii="Times New Roman" w:eastAsia="宋体" w:hAnsi="Times New Roman"/>
                <w:color w:val="000000"/>
                <w:sz w:val="20"/>
                <w:szCs w:val="20"/>
              </w:rPr>
              <w:t>(90)</w:t>
            </w:r>
          </w:p>
        </w:tc>
        <w:tc>
          <w:tcPr>
            <w:tcW w:w="0" w:type="auto"/>
            <w:shd w:val="clear" w:color="auto" w:fill="FFFFFF"/>
            <w:tcMar>
              <w:top w:w="40" w:type="dxa"/>
              <w:bottom w:w="40" w:type="dxa"/>
              <w:right w:w="20" w:type="dxa"/>
            </w:tcMar>
            <w:vAlign w:val="bottom"/>
          </w:tcPr>
          <w:p w14:paraId="33DAC99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992"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C993" w14:textId="77777777" w:rsidR="004D6A64" w:rsidRDefault="00506CD6">
            <w:pPr>
              <w:jc w:val="right"/>
              <w:textAlignment w:val="bottom"/>
            </w:pPr>
            <w:r>
              <w:rPr>
                <w:rFonts w:ascii="Times New Roman" w:eastAsia="宋体" w:hAnsi="Times New Roman"/>
                <w:color w:val="000000"/>
                <w:sz w:val="20"/>
                <w:szCs w:val="20"/>
              </w:rPr>
              <w:t>(22)</w:t>
            </w:r>
          </w:p>
        </w:tc>
        <w:tc>
          <w:tcPr>
            <w:tcW w:w="0" w:type="auto"/>
            <w:shd w:val="clear" w:color="auto" w:fill="FFFFFF"/>
            <w:tcMar>
              <w:top w:w="40" w:type="dxa"/>
              <w:bottom w:w="40" w:type="dxa"/>
              <w:right w:w="20" w:type="dxa"/>
            </w:tcMar>
            <w:vAlign w:val="bottom"/>
          </w:tcPr>
          <w:p w14:paraId="33DAC99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995"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C996" w14:textId="77777777" w:rsidR="004D6A64" w:rsidRDefault="00506CD6">
            <w:pPr>
              <w:jc w:val="right"/>
              <w:textAlignment w:val="bottom"/>
            </w:pPr>
            <w:r>
              <w:rPr>
                <w:rFonts w:ascii="Times New Roman" w:eastAsia="宋体" w:hAnsi="Times New Roman"/>
                <w:color w:val="000000"/>
                <w:sz w:val="20"/>
                <w:szCs w:val="20"/>
              </w:rPr>
              <w:t>152 </w:t>
            </w:r>
          </w:p>
        </w:tc>
        <w:tc>
          <w:tcPr>
            <w:tcW w:w="0" w:type="auto"/>
            <w:shd w:val="clear" w:color="auto" w:fill="FFFFFF"/>
            <w:tcMar>
              <w:top w:w="40" w:type="dxa"/>
              <w:bottom w:w="40" w:type="dxa"/>
              <w:right w:w="20" w:type="dxa"/>
            </w:tcMar>
            <w:vAlign w:val="bottom"/>
          </w:tcPr>
          <w:p w14:paraId="33DAC997" w14:textId="77777777" w:rsidR="004D6A64" w:rsidRDefault="004D6A64">
            <w:pPr>
              <w:jc w:val="right"/>
              <w:rPr>
                <w:rFonts w:ascii="宋体"/>
              </w:rPr>
            </w:pPr>
          </w:p>
        </w:tc>
        <w:tc>
          <w:tcPr>
            <w:tcW w:w="0" w:type="auto"/>
            <w:shd w:val="clear" w:color="auto" w:fill="auto"/>
          </w:tcPr>
          <w:p w14:paraId="33DAC998" w14:textId="77777777" w:rsidR="004D6A64" w:rsidRDefault="004D6A64">
            <w:pPr>
              <w:rPr>
                <w:rFonts w:ascii="宋体"/>
              </w:rPr>
            </w:pPr>
          </w:p>
        </w:tc>
        <w:tc>
          <w:tcPr>
            <w:tcW w:w="0" w:type="auto"/>
            <w:shd w:val="clear" w:color="auto" w:fill="auto"/>
          </w:tcPr>
          <w:p w14:paraId="33DAC999" w14:textId="77777777" w:rsidR="004D6A64" w:rsidRDefault="004D6A64">
            <w:pPr>
              <w:rPr>
                <w:rFonts w:ascii="宋体"/>
              </w:rPr>
            </w:pPr>
          </w:p>
        </w:tc>
        <w:tc>
          <w:tcPr>
            <w:tcW w:w="0" w:type="auto"/>
            <w:shd w:val="clear" w:color="auto" w:fill="auto"/>
          </w:tcPr>
          <w:p w14:paraId="33DAC99A" w14:textId="77777777" w:rsidR="004D6A64" w:rsidRDefault="004D6A64">
            <w:pPr>
              <w:rPr>
                <w:rFonts w:ascii="宋体"/>
              </w:rPr>
            </w:pPr>
          </w:p>
        </w:tc>
        <w:tc>
          <w:tcPr>
            <w:tcW w:w="0" w:type="auto"/>
            <w:shd w:val="clear" w:color="auto" w:fill="auto"/>
          </w:tcPr>
          <w:p w14:paraId="33DAC99B" w14:textId="77777777" w:rsidR="004D6A64" w:rsidRDefault="004D6A64">
            <w:pPr>
              <w:rPr>
                <w:rFonts w:ascii="宋体"/>
              </w:rPr>
            </w:pPr>
          </w:p>
        </w:tc>
        <w:tc>
          <w:tcPr>
            <w:tcW w:w="0" w:type="auto"/>
            <w:shd w:val="clear" w:color="auto" w:fill="auto"/>
          </w:tcPr>
          <w:p w14:paraId="33DAC99C" w14:textId="77777777" w:rsidR="004D6A64" w:rsidRDefault="004D6A64">
            <w:pPr>
              <w:rPr>
                <w:rFonts w:ascii="宋体"/>
              </w:rPr>
            </w:pPr>
          </w:p>
        </w:tc>
        <w:tc>
          <w:tcPr>
            <w:tcW w:w="0" w:type="auto"/>
            <w:shd w:val="clear" w:color="auto" w:fill="auto"/>
          </w:tcPr>
          <w:p w14:paraId="33DAC99D" w14:textId="77777777" w:rsidR="004D6A64" w:rsidRDefault="004D6A64">
            <w:pPr>
              <w:rPr>
                <w:rFonts w:ascii="宋体"/>
              </w:rPr>
            </w:pPr>
          </w:p>
        </w:tc>
        <w:tc>
          <w:tcPr>
            <w:tcW w:w="0" w:type="auto"/>
            <w:shd w:val="clear" w:color="auto" w:fill="auto"/>
          </w:tcPr>
          <w:p w14:paraId="33DAC99E" w14:textId="77777777" w:rsidR="004D6A64" w:rsidRDefault="004D6A64">
            <w:pPr>
              <w:rPr>
                <w:rFonts w:ascii="宋体"/>
              </w:rPr>
            </w:pPr>
          </w:p>
        </w:tc>
        <w:tc>
          <w:tcPr>
            <w:tcW w:w="0" w:type="auto"/>
            <w:shd w:val="clear" w:color="auto" w:fill="auto"/>
          </w:tcPr>
          <w:p w14:paraId="33DAC99F" w14:textId="77777777" w:rsidR="004D6A64" w:rsidRDefault="004D6A64">
            <w:pPr>
              <w:rPr>
                <w:rFonts w:ascii="宋体"/>
              </w:rPr>
            </w:pPr>
          </w:p>
        </w:tc>
        <w:tc>
          <w:tcPr>
            <w:tcW w:w="0" w:type="auto"/>
            <w:shd w:val="clear" w:color="auto" w:fill="auto"/>
          </w:tcPr>
          <w:p w14:paraId="33DAC9A0" w14:textId="77777777" w:rsidR="004D6A64" w:rsidRDefault="004D6A64">
            <w:pPr>
              <w:rPr>
                <w:rFonts w:ascii="宋体"/>
              </w:rPr>
            </w:pPr>
          </w:p>
        </w:tc>
        <w:tc>
          <w:tcPr>
            <w:tcW w:w="0" w:type="auto"/>
            <w:shd w:val="clear" w:color="auto" w:fill="auto"/>
          </w:tcPr>
          <w:p w14:paraId="33DAC9A1" w14:textId="77777777" w:rsidR="004D6A64" w:rsidRDefault="004D6A64">
            <w:pPr>
              <w:rPr>
                <w:rFonts w:ascii="宋体"/>
              </w:rPr>
            </w:pPr>
          </w:p>
        </w:tc>
        <w:tc>
          <w:tcPr>
            <w:tcW w:w="0" w:type="auto"/>
            <w:shd w:val="clear" w:color="auto" w:fill="auto"/>
          </w:tcPr>
          <w:p w14:paraId="33DAC9A2" w14:textId="77777777" w:rsidR="004D6A64" w:rsidRDefault="004D6A64">
            <w:pPr>
              <w:rPr>
                <w:rFonts w:ascii="宋体"/>
              </w:rPr>
            </w:pPr>
          </w:p>
        </w:tc>
        <w:tc>
          <w:tcPr>
            <w:tcW w:w="0" w:type="auto"/>
            <w:shd w:val="clear" w:color="auto" w:fill="auto"/>
          </w:tcPr>
          <w:p w14:paraId="33DAC9A3" w14:textId="77777777" w:rsidR="004D6A64" w:rsidRDefault="004D6A64">
            <w:pPr>
              <w:rPr>
                <w:rFonts w:ascii="宋体"/>
              </w:rPr>
            </w:pPr>
          </w:p>
        </w:tc>
        <w:tc>
          <w:tcPr>
            <w:tcW w:w="0" w:type="auto"/>
            <w:shd w:val="clear" w:color="auto" w:fill="auto"/>
          </w:tcPr>
          <w:p w14:paraId="33DAC9A4" w14:textId="77777777" w:rsidR="004D6A64" w:rsidRDefault="004D6A64">
            <w:pPr>
              <w:rPr>
                <w:rFonts w:ascii="宋体"/>
              </w:rPr>
            </w:pPr>
          </w:p>
        </w:tc>
        <w:tc>
          <w:tcPr>
            <w:tcW w:w="0" w:type="auto"/>
            <w:shd w:val="clear" w:color="auto" w:fill="auto"/>
          </w:tcPr>
          <w:p w14:paraId="33DAC9A5" w14:textId="77777777" w:rsidR="004D6A64" w:rsidRDefault="004D6A64">
            <w:pPr>
              <w:rPr>
                <w:rFonts w:ascii="宋体"/>
              </w:rPr>
            </w:pPr>
          </w:p>
        </w:tc>
        <w:tc>
          <w:tcPr>
            <w:tcW w:w="0" w:type="auto"/>
            <w:shd w:val="clear" w:color="auto" w:fill="auto"/>
          </w:tcPr>
          <w:p w14:paraId="33DAC9A6" w14:textId="77777777" w:rsidR="004D6A64" w:rsidRDefault="004D6A64">
            <w:pPr>
              <w:rPr>
                <w:rFonts w:ascii="宋体"/>
              </w:rPr>
            </w:pPr>
          </w:p>
        </w:tc>
        <w:tc>
          <w:tcPr>
            <w:tcW w:w="0" w:type="auto"/>
            <w:shd w:val="clear" w:color="auto" w:fill="auto"/>
          </w:tcPr>
          <w:p w14:paraId="33DAC9A7" w14:textId="77777777" w:rsidR="004D6A64" w:rsidRDefault="004D6A64">
            <w:pPr>
              <w:rPr>
                <w:rFonts w:ascii="宋体"/>
              </w:rPr>
            </w:pPr>
          </w:p>
        </w:tc>
        <w:tc>
          <w:tcPr>
            <w:tcW w:w="0" w:type="auto"/>
            <w:shd w:val="clear" w:color="auto" w:fill="auto"/>
          </w:tcPr>
          <w:p w14:paraId="33DAC9A8" w14:textId="77777777" w:rsidR="004D6A64" w:rsidRDefault="004D6A64">
            <w:pPr>
              <w:rPr>
                <w:rFonts w:ascii="宋体"/>
              </w:rPr>
            </w:pPr>
          </w:p>
        </w:tc>
        <w:tc>
          <w:tcPr>
            <w:tcW w:w="0" w:type="auto"/>
            <w:shd w:val="clear" w:color="auto" w:fill="auto"/>
          </w:tcPr>
          <w:p w14:paraId="33DAC9A9" w14:textId="77777777" w:rsidR="004D6A64" w:rsidRDefault="004D6A64">
            <w:pPr>
              <w:rPr>
                <w:rFonts w:ascii="宋体"/>
              </w:rPr>
            </w:pPr>
          </w:p>
        </w:tc>
      </w:tr>
      <w:tr w:rsidR="004D6A64" w14:paraId="33DAC9CB" w14:textId="77777777">
        <w:trPr>
          <w:jc w:val="center"/>
        </w:trPr>
        <w:tc>
          <w:tcPr>
            <w:tcW w:w="0" w:type="auto"/>
            <w:gridSpan w:val="3"/>
            <w:shd w:val="clear" w:color="auto" w:fill="CCEEFF"/>
            <w:tcMar>
              <w:top w:w="40" w:type="dxa"/>
              <w:left w:w="105" w:type="dxa"/>
              <w:bottom w:w="40" w:type="dxa"/>
              <w:right w:w="20" w:type="dxa"/>
            </w:tcMar>
            <w:vAlign w:val="bottom"/>
          </w:tcPr>
          <w:p w14:paraId="33DAC9AB" w14:textId="77777777" w:rsidR="004D6A64" w:rsidRDefault="00506CD6">
            <w:pPr>
              <w:textAlignment w:val="bottom"/>
            </w:pPr>
            <w:r>
              <w:rPr>
                <w:rFonts w:ascii="Times New Roman" w:eastAsia="宋体" w:hAnsi="Times New Roman"/>
                <w:color w:val="000000"/>
                <w:sz w:val="20"/>
                <w:szCs w:val="20"/>
              </w:rPr>
              <w:t>Amounts reclassified from accumulated other comprehensive income (loss)</w:t>
            </w:r>
          </w:p>
        </w:tc>
        <w:tc>
          <w:tcPr>
            <w:tcW w:w="0" w:type="auto"/>
            <w:gridSpan w:val="2"/>
            <w:shd w:val="clear" w:color="auto" w:fill="CCEEFF"/>
            <w:tcMar>
              <w:top w:w="40" w:type="dxa"/>
              <w:left w:w="20" w:type="dxa"/>
              <w:bottom w:w="40" w:type="dxa"/>
              <w:right w:w="0" w:type="dxa"/>
            </w:tcMar>
            <w:vAlign w:val="bottom"/>
          </w:tcPr>
          <w:p w14:paraId="33DAC9AC"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C9A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9AE" w14:textId="77777777" w:rsidR="004D6A64" w:rsidRDefault="004D6A64">
            <w:pPr>
              <w:rPr>
                <w:rFonts w:ascii="宋体"/>
              </w:rPr>
            </w:pPr>
          </w:p>
        </w:tc>
        <w:tc>
          <w:tcPr>
            <w:tcW w:w="0" w:type="auto"/>
            <w:shd w:val="clear" w:color="auto" w:fill="auto"/>
          </w:tcPr>
          <w:p w14:paraId="33DAC9AF" w14:textId="77777777" w:rsidR="004D6A64" w:rsidRDefault="004D6A64">
            <w:pPr>
              <w:rPr>
                <w:rFonts w:ascii="宋体"/>
                <w:vanish/>
              </w:rPr>
            </w:pPr>
          </w:p>
        </w:tc>
        <w:tc>
          <w:tcPr>
            <w:tcW w:w="0" w:type="auto"/>
            <w:shd w:val="clear" w:color="auto" w:fill="auto"/>
          </w:tcPr>
          <w:p w14:paraId="33DAC9B0" w14:textId="77777777" w:rsidR="004D6A64" w:rsidRDefault="004D6A64">
            <w:pPr>
              <w:rPr>
                <w:rFonts w:ascii="宋体"/>
                <w:vanish/>
              </w:rPr>
            </w:pPr>
          </w:p>
        </w:tc>
        <w:tc>
          <w:tcPr>
            <w:tcW w:w="0" w:type="auto"/>
            <w:gridSpan w:val="2"/>
            <w:shd w:val="clear" w:color="auto" w:fill="CCEEFF"/>
            <w:tcMar>
              <w:top w:w="40" w:type="dxa"/>
              <w:left w:w="20" w:type="dxa"/>
              <w:bottom w:w="40" w:type="dxa"/>
              <w:right w:w="0" w:type="dxa"/>
            </w:tcMar>
            <w:vAlign w:val="bottom"/>
          </w:tcPr>
          <w:p w14:paraId="33DAC9B1" w14:textId="77777777" w:rsidR="004D6A64" w:rsidRDefault="00506CD6">
            <w:pPr>
              <w:jc w:val="right"/>
              <w:textAlignment w:val="bottom"/>
            </w:pPr>
            <w:r>
              <w:rPr>
                <w:rFonts w:ascii="Times New Roman" w:eastAsia="宋体" w:hAnsi="Times New Roman"/>
                <w:color w:val="000000"/>
                <w:sz w:val="20"/>
                <w:szCs w:val="20"/>
              </w:rPr>
              <w:t>(108)</w:t>
            </w:r>
          </w:p>
        </w:tc>
        <w:tc>
          <w:tcPr>
            <w:tcW w:w="0" w:type="auto"/>
            <w:shd w:val="clear" w:color="auto" w:fill="CCEEFF"/>
            <w:tcMar>
              <w:top w:w="40" w:type="dxa"/>
              <w:bottom w:w="40" w:type="dxa"/>
              <w:right w:w="20" w:type="dxa"/>
            </w:tcMar>
            <w:vAlign w:val="bottom"/>
          </w:tcPr>
          <w:p w14:paraId="33DAC9B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9B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C9B4" w14:textId="77777777" w:rsidR="004D6A64" w:rsidRDefault="00506CD6">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bottom w:w="40" w:type="dxa"/>
              <w:right w:w="20" w:type="dxa"/>
            </w:tcMar>
            <w:vAlign w:val="bottom"/>
          </w:tcPr>
          <w:p w14:paraId="33DAC9B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9B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C9B7" w14:textId="77777777" w:rsidR="004D6A64" w:rsidRDefault="00506CD6">
            <w:pPr>
              <w:jc w:val="right"/>
              <w:textAlignment w:val="bottom"/>
            </w:pPr>
            <w:r>
              <w:rPr>
                <w:rFonts w:ascii="Times New Roman" w:eastAsia="宋体" w:hAnsi="Times New Roman"/>
                <w:color w:val="000000"/>
                <w:sz w:val="20"/>
                <w:szCs w:val="20"/>
              </w:rPr>
              <w:t>(104)</w:t>
            </w:r>
          </w:p>
        </w:tc>
        <w:tc>
          <w:tcPr>
            <w:tcW w:w="0" w:type="auto"/>
            <w:shd w:val="clear" w:color="auto" w:fill="CCEEFF"/>
            <w:tcMar>
              <w:top w:w="40" w:type="dxa"/>
              <w:bottom w:w="40" w:type="dxa"/>
              <w:right w:w="20" w:type="dxa"/>
            </w:tcMar>
            <w:vAlign w:val="bottom"/>
          </w:tcPr>
          <w:p w14:paraId="33DAC9B8" w14:textId="77777777" w:rsidR="004D6A64" w:rsidRDefault="004D6A64">
            <w:pPr>
              <w:jc w:val="right"/>
              <w:rPr>
                <w:rFonts w:ascii="宋体"/>
              </w:rPr>
            </w:pPr>
          </w:p>
        </w:tc>
        <w:tc>
          <w:tcPr>
            <w:tcW w:w="0" w:type="auto"/>
            <w:shd w:val="clear" w:color="auto" w:fill="auto"/>
          </w:tcPr>
          <w:p w14:paraId="33DAC9B9" w14:textId="77777777" w:rsidR="004D6A64" w:rsidRDefault="004D6A64">
            <w:pPr>
              <w:rPr>
                <w:rFonts w:ascii="宋体"/>
              </w:rPr>
            </w:pPr>
          </w:p>
        </w:tc>
        <w:tc>
          <w:tcPr>
            <w:tcW w:w="0" w:type="auto"/>
            <w:shd w:val="clear" w:color="auto" w:fill="auto"/>
          </w:tcPr>
          <w:p w14:paraId="33DAC9BA" w14:textId="77777777" w:rsidR="004D6A64" w:rsidRDefault="004D6A64">
            <w:pPr>
              <w:rPr>
                <w:rFonts w:ascii="宋体"/>
              </w:rPr>
            </w:pPr>
          </w:p>
        </w:tc>
        <w:tc>
          <w:tcPr>
            <w:tcW w:w="0" w:type="auto"/>
            <w:shd w:val="clear" w:color="auto" w:fill="auto"/>
          </w:tcPr>
          <w:p w14:paraId="33DAC9BB" w14:textId="77777777" w:rsidR="004D6A64" w:rsidRDefault="004D6A64">
            <w:pPr>
              <w:rPr>
                <w:rFonts w:ascii="宋体"/>
              </w:rPr>
            </w:pPr>
          </w:p>
        </w:tc>
        <w:tc>
          <w:tcPr>
            <w:tcW w:w="0" w:type="auto"/>
            <w:shd w:val="clear" w:color="auto" w:fill="auto"/>
          </w:tcPr>
          <w:p w14:paraId="33DAC9BC" w14:textId="77777777" w:rsidR="004D6A64" w:rsidRDefault="004D6A64">
            <w:pPr>
              <w:rPr>
                <w:rFonts w:ascii="宋体"/>
              </w:rPr>
            </w:pPr>
          </w:p>
        </w:tc>
        <w:tc>
          <w:tcPr>
            <w:tcW w:w="0" w:type="auto"/>
            <w:shd w:val="clear" w:color="auto" w:fill="auto"/>
          </w:tcPr>
          <w:p w14:paraId="33DAC9BD" w14:textId="77777777" w:rsidR="004D6A64" w:rsidRDefault="004D6A64">
            <w:pPr>
              <w:rPr>
                <w:rFonts w:ascii="宋体"/>
              </w:rPr>
            </w:pPr>
          </w:p>
        </w:tc>
        <w:tc>
          <w:tcPr>
            <w:tcW w:w="0" w:type="auto"/>
            <w:shd w:val="clear" w:color="auto" w:fill="auto"/>
          </w:tcPr>
          <w:p w14:paraId="33DAC9BE" w14:textId="77777777" w:rsidR="004D6A64" w:rsidRDefault="004D6A64">
            <w:pPr>
              <w:rPr>
                <w:rFonts w:ascii="宋体"/>
              </w:rPr>
            </w:pPr>
          </w:p>
        </w:tc>
        <w:tc>
          <w:tcPr>
            <w:tcW w:w="0" w:type="auto"/>
            <w:shd w:val="clear" w:color="auto" w:fill="auto"/>
          </w:tcPr>
          <w:p w14:paraId="33DAC9BF" w14:textId="77777777" w:rsidR="004D6A64" w:rsidRDefault="004D6A64">
            <w:pPr>
              <w:rPr>
                <w:rFonts w:ascii="宋体"/>
              </w:rPr>
            </w:pPr>
          </w:p>
        </w:tc>
        <w:tc>
          <w:tcPr>
            <w:tcW w:w="0" w:type="auto"/>
            <w:shd w:val="clear" w:color="auto" w:fill="auto"/>
          </w:tcPr>
          <w:p w14:paraId="33DAC9C0" w14:textId="77777777" w:rsidR="004D6A64" w:rsidRDefault="004D6A64">
            <w:pPr>
              <w:rPr>
                <w:rFonts w:ascii="宋体"/>
              </w:rPr>
            </w:pPr>
          </w:p>
        </w:tc>
        <w:tc>
          <w:tcPr>
            <w:tcW w:w="0" w:type="auto"/>
            <w:shd w:val="clear" w:color="auto" w:fill="auto"/>
          </w:tcPr>
          <w:p w14:paraId="33DAC9C1" w14:textId="77777777" w:rsidR="004D6A64" w:rsidRDefault="004D6A64">
            <w:pPr>
              <w:rPr>
                <w:rFonts w:ascii="宋体"/>
              </w:rPr>
            </w:pPr>
          </w:p>
        </w:tc>
        <w:tc>
          <w:tcPr>
            <w:tcW w:w="0" w:type="auto"/>
            <w:shd w:val="clear" w:color="auto" w:fill="auto"/>
          </w:tcPr>
          <w:p w14:paraId="33DAC9C2" w14:textId="77777777" w:rsidR="004D6A64" w:rsidRDefault="004D6A64">
            <w:pPr>
              <w:rPr>
                <w:rFonts w:ascii="宋体"/>
              </w:rPr>
            </w:pPr>
          </w:p>
        </w:tc>
        <w:tc>
          <w:tcPr>
            <w:tcW w:w="0" w:type="auto"/>
            <w:shd w:val="clear" w:color="auto" w:fill="auto"/>
          </w:tcPr>
          <w:p w14:paraId="33DAC9C3" w14:textId="77777777" w:rsidR="004D6A64" w:rsidRDefault="004D6A64">
            <w:pPr>
              <w:rPr>
                <w:rFonts w:ascii="宋体"/>
              </w:rPr>
            </w:pPr>
          </w:p>
        </w:tc>
        <w:tc>
          <w:tcPr>
            <w:tcW w:w="0" w:type="auto"/>
            <w:shd w:val="clear" w:color="auto" w:fill="auto"/>
          </w:tcPr>
          <w:p w14:paraId="33DAC9C4" w14:textId="77777777" w:rsidR="004D6A64" w:rsidRDefault="004D6A64">
            <w:pPr>
              <w:rPr>
                <w:rFonts w:ascii="宋体"/>
              </w:rPr>
            </w:pPr>
          </w:p>
        </w:tc>
        <w:tc>
          <w:tcPr>
            <w:tcW w:w="0" w:type="auto"/>
            <w:shd w:val="clear" w:color="auto" w:fill="auto"/>
          </w:tcPr>
          <w:p w14:paraId="33DAC9C5" w14:textId="77777777" w:rsidR="004D6A64" w:rsidRDefault="004D6A64">
            <w:pPr>
              <w:rPr>
                <w:rFonts w:ascii="宋体"/>
              </w:rPr>
            </w:pPr>
          </w:p>
        </w:tc>
        <w:tc>
          <w:tcPr>
            <w:tcW w:w="0" w:type="auto"/>
            <w:shd w:val="clear" w:color="auto" w:fill="auto"/>
          </w:tcPr>
          <w:p w14:paraId="33DAC9C6" w14:textId="77777777" w:rsidR="004D6A64" w:rsidRDefault="004D6A64">
            <w:pPr>
              <w:rPr>
                <w:rFonts w:ascii="宋体"/>
              </w:rPr>
            </w:pPr>
          </w:p>
        </w:tc>
        <w:tc>
          <w:tcPr>
            <w:tcW w:w="0" w:type="auto"/>
            <w:shd w:val="clear" w:color="auto" w:fill="auto"/>
          </w:tcPr>
          <w:p w14:paraId="33DAC9C7" w14:textId="77777777" w:rsidR="004D6A64" w:rsidRDefault="004D6A64">
            <w:pPr>
              <w:rPr>
                <w:rFonts w:ascii="宋体"/>
              </w:rPr>
            </w:pPr>
          </w:p>
        </w:tc>
        <w:tc>
          <w:tcPr>
            <w:tcW w:w="0" w:type="auto"/>
            <w:shd w:val="clear" w:color="auto" w:fill="auto"/>
          </w:tcPr>
          <w:p w14:paraId="33DAC9C8" w14:textId="77777777" w:rsidR="004D6A64" w:rsidRDefault="004D6A64">
            <w:pPr>
              <w:rPr>
                <w:rFonts w:ascii="宋体"/>
              </w:rPr>
            </w:pPr>
          </w:p>
        </w:tc>
        <w:tc>
          <w:tcPr>
            <w:tcW w:w="0" w:type="auto"/>
            <w:shd w:val="clear" w:color="auto" w:fill="auto"/>
          </w:tcPr>
          <w:p w14:paraId="33DAC9C9" w14:textId="77777777" w:rsidR="004D6A64" w:rsidRDefault="004D6A64">
            <w:pPr>
              <w:rPr>
                <w:rFonts w:ascii="宋体"/>
              </w:rPr>
            </w:pPr>
          </w:p>
        </w:tc>
        <w:tc>
          <w:tcPr>
            <w:tcW w:w="0" w:type="auto"/>
            <w:shd w:val="clear" w:color="auto" w:fill="auto"/>
          </w:tcPr>
          <w:p w14:paraId="33DAC9CA" w14:textId="77777777" w:rsidR="004D6A64" w:rsidRDefault="004D6A64">
            <w:pPr>
              <w:rPr>
                <w:rFonts w:ascii="宋体"/>
              </w:rPr>
            </w:pPr>
          </w:p>
        </w:tc>
      </w:tr>
      <w:tr w:rsidR="004D6A64" w14:paraId="33DAC9EC" w14:textId="77777777">
        <w:trPr>
          <w:jc w:val="center"/>
        </w:trPr>
        <w:tc>
          <w:tcPr>
            <w:tcW w:w="0" w:type="auto"/>
            <w:gridSpan w:val="3"/>
            <w:shd w:val="clear" w:color="auto" w:fill="FFFFFF"/>
            <w:tcMar>
              <w:top w:w="40" w:type="dxa"/>
              <w:left w:w="255" w:type="dxa"/>
              <w:bottom w:w="40" w:type="dxa"/>
              <w:right w:w="20" w:type="dxa"/>
            </w:tcMar>
            <w:vAlign w:val="bottom"/>
          </w:tcPr>
          <w:p w14:paraId="33DAC9CC" w14:textId="77777777" w:rsidR="004D6A64" w:rsidRDefault="00506CD6">
            <w:pPr>
              <w:textAlignment w:val="bottom"/>
            </w:pPr>
            <w:r>
              <w:rPr>
                <w:rFonts w:ascii="Times New Roman" w:eastAsia="宋体" w:hAnsi="Times New Roman"/>
                <w:color w:val="000000"/>
                <w:sz w:val="20"/>
                <w:szCs w:val="20"/>
              </w:rPr>
              <w:t>Total change for the period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3DAC9CD" w14:textId="77777777" w:rsidR="004D6A64" w:rsidRDefault="00506CD6">
            <w:pPr>
              <w:jc w:val="right"/>
              <w:textAlignment w:val="bottom"/>
            </w:pPr>
            <w:r>
              <w:rPr>
                <w:rFonts w:ascii="Times New Roman" w:eastAsia="宋体" w:hAnsi="Times New Roman"/>
                <w:color w:val="000000"/>
                <w:sz w:val="20"/>
                <w:szCs w:val="20"/>
              </w:rPr>
              <w:t>264 </w:t>
            </w:r>
          </w:p>
        </w:tc>
        <w:tc>
          <w:tcPr>
            <w:tcW w:w="0" w:type="auto"/>
            <w:tcBorders>
              <w:top w:val="single" w:sz="8" w:space="0" w:color="000000"/>
            </w:tcBorders>
            <w:shd w:val="clear" w:color="auto" w:fill="FFFFFF"/>
            <w:tcMar>
              <w:top w:w="40" w:type="dxa"/>
              <w:bottom w:w="40" w:type="dxa"/>
              <w:right w:w="20" w:type="dxa"/>
            </w:tcMar>
            <w:vAlign w:val="bottom"/>
          </w:tcPr>
          <w:p w14:paraId="33DAC9C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9CF" w14:textId="77777777" w:rsidR="004D6A64" w:rsidRDefault="004D6A64">
            <w:pPr>
              <w:rPr>
                <w:rFonts w:ascii="宋体"/>
              </w:rPr>
            </w:pPr>
          </w:p>
        </w:tc>
        <w:tc>
          <w:tcPr>
            <w:tcW w:w="0" w:type="auto"/>
            <w:shd w:val="clear" w:color="auto" w:fill="auto"/>
          </w:tcPr>
          <w:p w14:paraId="33DAC9D0" w14:textId="77777777" w:rsidR="004D6A64" w:rsidRDefault="004D6A64">
            <w:pPr>
              <w:rPr>
                <w:rFonts w:ascii="宋体"/>
                <w:vanish/>
              </w:rPr>
            </w:pPr>
          </w:p>
        </w:tc>
        <w:tc>
          <w:tcPr>
            <w:tcW w:w="0" w:type="auto"/>
            <w:shd w:val="clear" w:color="auto" w:fill="auto"/>
          </w:tcPr>
          <w:p w14:paraId="33DAC9D1" w14:textId="77777777" w:rsidR="004D6A64" w:rsidRDefault="004D6A64">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3DAC9D2" w14:textId="77777777" w:rsidR="004D6A64" w:rsidRDefault="00506CD6">
            <w:pPr>
              <w:jc w:val="right"/>
              <w:textAlignment w:val="bottom"/>
            </w:pPr>
            <w:r>
              <w:rPr>
                <w:rFonts w:ascii="Times New Roman" w:eastAsia="宋体" w:hAnsi="Times New Roman"/>
                <w:color w:val="000000"/>
                <w:sz w:val="20"/>
                <w:szCs w:val="20"/>
              </w:rPr>
              <w:t>(198)</w:t>
            </w:r>
          </w:p>
        </w:tc>
        <w:tc>
          <w:tcPr>
            <w:tcW w:w="0" w:type="auto"/>
            <w:tcBorders>
              <w:top w:val="single" w:sz="8" w:space="0" w:color="000000"/>
            </w:tcBorders>
            <w:shd w:val="clear" w:color="auto" w:fill="FFFFFF"/>
            <w:tcMar>
              <w:top w:w="40" w:type="dxa"/>
              <w:bottom w:w="40" w:type="dxa"/>
              <w:right w:w="20" w:type="dxa"/>
            </w:tcMar>
            <w:vAlign w:val="bottom"/>
          </w:tcPr>
          <w:p w14:paraId="33DAC9D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9D4"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3DAC9D5" w14:textId="77777777" w:rsidR="004D6A64" w:rsidRDefault="00506CD6">
            <w:pPr>
              <w:jc w:val="right"/>
              <w:textAlignment w:val="bottom"/>
            </w:pPr>
            <w:r>
              <w:rPr>
                <w:rFonts w:ascii="Times New Roman" w:eastAsia="宋体" w:hAnsi="Times New Roman"/>
                <w:color w:val="000000"/>
                <w:sz w:val="20"/>
                <w:szCs w:val="20"/>
              </w:rPr>
              <w:t>(18)</w:t>
            </w:r>
          </w:p>
        </w:tc>
        <w:tc>
          <w:tcPr>
            <w:tcW w:w="0" w:type="auto"/>
            <w:tcBorders>
              <w:top w:val="single" w:sz="8" w:space="0" w:color="000000"/>
            </w:tcBorders>
            <w:shd w:val="clear" w:color="auto" w:fill="FFFFFF"/>
            <w:tcMar>
              <w:top w:w="40" w:type="dxa"/>
              <w:bottom w:w="40" w:type="dxa"/>
              <w:right w:w="20" w:type="dxa"/>
            </w:tcMar>
            <w:vAlign w:val="bottom"/>
          </w:tcPr>
          <w:p w14:paraId="33DAC9D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9D7"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3DAC9D8" w14:textId="77777777" w:rsidR="004D6A64" w:rsidRDefault="00506CD6">
            <w:pPr>
              <w:jc w:val="right"/>
              <w:textAlignment w:val="bottom"/>
            </w:pPr>
            <w:r>
              <w:rPr>
                <w:rFonts w:ascii="Times New Roman" w:eastAsia="宋体" w:hAnsi="Times New Roman"/>
                <w:color w:val="000000"/>
                <w:sz w:val="20"/>
                <w:szCs w:val="20"/>
              </w:rPr>
              <w:t>48 </w:t>
            </w:r>
          </w:p>
        </w:tc>
        <w:tc>
          <w:tcPr>
            <w:tcW w:w="0" w:type="auto"/>
            <w:tcBorders>
              <w:top w:val="single" w:sz="8" w:space="0" w:color="000000"/>
            </w:tcBorders>
            <w:shd w:val="clear" w:color="auto" w:fill="FFFFFF"/>
            <w:tcMar>
              <w:top w:w="40" w:type="dxa"/>
              <w:bottom w:w="40" w:type="dxa"/>
              <w:right w:w="20" w:type="dxa"/>
            </w:tcMar>
            <w:vAlign w:val="bottom"/>
          </w:tcPr>
          <w:p w14:paraId="33DAC9D9" w14:textId="77777777" w:rsidR="004D6A64" w:rsidRDefault="004D6A64">
            <w:pPr>
              <w:jc w:val="right"/>
              <w:rPr>
                <w:rFonts w:ascii="宋体"/>
              </w:rPr>
            </w:pPr>
          </w:p>
        </w:tc>
        <w:tc>
          <w:tcPr>
            <w:tcW w:w="0" w:type="auto"/>
            <w:shd w:val="clear" w:color="auto" w:fill="auto"/>
          </w:tcPr>
          <w:p w14:paraId="33DAC9DA" w14:textId="77777777" w:rsidR="004D6A64" w:rsidRDefault="004D6A64">
            <w:pPr>
              <w:rPr>
                <w:rFonts w:ascii="宋体"/>
              </w:rPr>
            </w:pPr>
          </w:p>
        </w:tc>
        <w:tc>
          <w:tcPr>
            <w:tcW w:w="0" w:type="auto"/>
            <w:shd w:val="clear" w:color="auto" w:fill="auto"/>
          </w:tcPr>
          <w:p w14:paraId="33DAC9DB" w14:textId="77777777" w:rsidR="004D6A64" w:rsidRDefault="004D6A64">
            <w:pPr>
              <w:rPr>
                <w:rFonts w:ascii="宋体"/>
              </w:rPr>
            </w:pPr>
          </w:p>
        </w:tc>
        <w:tc>
          <w:tcPr>
            <w:tcW w:w="0" w:type="auto"/>
            <w:shd w:val="clear" w:color="auto" w:fill="auto"/>
          </w:tcPr>
          <w:p w14:paraId="33DAC9DC" w14:textId="77777777" w:rsidR="004D6A64" w:rsidRDefault="004D6A64">
            <w:pPr>
              <w:rPr>
                <w:rFonts w:ascii="宋体"/>
              </w:rPr>
            </w:pPr>
          </w:p>
        </w:tc>
        <w:tc>
          <w:tcPr>
            <w:tcW w:w="0" w:type="auto"/>
            <w:shd w:val="clear" w:color="auto" w:fill="auto"/>
          </w:tcPr>
          <w:p w14:paraId="33DAC9DD" w14:textId="77777777" w:rsidR="004D6A64" w:rsidRDefault="004D6A64">
            <w:pPr>
              <w:rPr>
                <w:rFonts w:ascii="宋体"/>
              </w:rPr>
            </w:pPr>
          </w:p>
        </w:tc>
        <w:tc>
          <w:tcPr>
            <w:tcW w:w="0" w:type="auto"/>
            <w:shd w:val="clear" w:color="auto" w:fill="auto"/>
          </w:tcPr>
          <w:p w14:paraId="33DAC9DE" w14:textId="77777777" w:rsidR="004D6A64" w:rsidRDefault="004D6A64">
            <w:pPr>
              <w:rPr>
                <w:rFonts w:ascii="宋体"/>
              </w:rPr>
            </w:pPr>
          </w:p>
        </w:tc>
        <w:tc>
          <w:tcPr>
            <w:tcW w:w="0" w:type="auto"/>
            <w:shd w:val="clear" w:color="auto" w:fill="auto"/>
          </w:tcPr>
          <w:p w14:paraId="33DAC9DF" w14:textId="77777777" w:rsidR="004D6A64" w:rsidRDefault="004D6A64">
            <w:pPr>
              <w:rPr>
                <w:rFonts w:ascii="宋体"/>
              </w:rPr>
            </w:pPr>
          </w:p>
        </w:tc>
        <w:tc>
          <w:tcPr>
            <w:tcW w:w="0" w:type="auto"/>
            <w:shd w:val="clear" w:color="auto" w:fill="auto"/>
          </w:tcPr>
          <w:p w14:paraId="33DAC9E0" w14:textId="77777777" w:rsidR="004D6A64" w:rsidRDefault="004D6A64">
            <w:pPr>
              <w:rPr>
                <w:rFonts w:ascii="宋体"/>
              </w:rPr>
            </w:pPr>
          </w:p>
        </w:tc>
        <w:tc>
          <w:tcPr>
            <w:tcW w:w="0" w:type="auto"/>
            <w:shd w:val="clear" w:color="auto" w:fill="auto"/>
          </w:tcPr>
          <w:p w14:paraId="33DAC9E1" w14:textId="77777777" w:rsidR="004D6A64" w:rsidRDefault="004D6A64">
            <w:pPr>
              <w:rPr>
                <w:rFonts w:ascii="宋体"/>
              </w:rPr>
            </w:pPr>
          </w:p>
        </w:tc>
        <w:tc>
          <w:tcPr>
            <w:tcW w:w="0" w:type="auto"/>
            <w:shd w:val="clear" w:color="auto" w:fill="auto"/>
          </w:tcPr>
          <w:p w14:paraId="33DAC9E2" w14:textId="77777777" w:rsidR="004D6A64" w:rsidRDefault="004D6A64">
            <w:pPr>
              <w:rPr>
                <w:rFonts w:ascii="宋体"/>
              </w:rPr>
            </w:pPr>
          </w:p>
        </w:tc>
        <w:tc>
          <w:tcPr>
            <w:tcW w:w="0" w:type="auto"/>
            <w:shd w:val="clear" w:color="auto" w:fill="auto"/>
          </w:tcPr>
          <w:p w14:paraId="33DAC9E3" w14:textId="77777777" w:rsidR="004D6A64" w:rsidRDefault="004D6A64">
            <w:pPr>
              <w:rPr>
                <w:rFonts w:ascii="宋体"/>
              </w:rPr>
            </w:pPr>
          </w:p>
        </w:tc>
        <w:tc>
          <w:tcPr>
            <w:tcW w:w="0" w:type="auto"/>
            <w:shd w:val="clear" w:color="auto" w:fill="auto"/>
          </w:tcPr>
          <w:p w14:paraId="33DAC9E4" w14:textId="77777777" w:rsidR="004D6A64" w:rsidRDefault="004D6A64">
            <w:pPr>
              <w:rPr>
                <w:rFonts w:ascii="宋体"/>
              </w:rPr>
            </w:pPr>
          </w:p>
        </w:tc>
        <w:tc>
          <w:tcPr>
            <w:tcW w:w="0" w:type="auto"/>
            <w:shd w:val="clear" w:color="auto" w:fill="auto"/>
          </w:tcPr>
          <w:p w14:paraId="33DAC9E5" w14:textId="77777777" w:rsidR="004D6A64" w:rsidRDefault="004D6A64">
            <w:pPr>
              <w:rPr>
                <w:rFonts w:ascii="宋体"/>
              </w:rPr>
            </w:pPr>
          </w:p>
        </w:tc>
        <w:tc>
          <w:tcPr>
            <w:tcW w:w="0" w:type="auto"/>
            <w:shd w:val="clear" w:color="auto" w:fill="auto"/>
          </w:tcPr>
          <w:p w14:paraId="33DAC9E6" w14:textId="77777777" w:rsidR="004D6A64" w:rsidRDefault="004D6A64">
            <w:pPr>
              <w:rPr>
                <w:rFonts w:ascii="宋体"/>
              </w:rPr>
            </w:pPr>
          </w:p>
        </w:tc>
        <w:tc>
          <w:tcPr>
            <w:tcW w:w="0" w:type="auto"/>
            <w:shd w:val="clear" w:color="auto" w:fill="auto"/>
          </w:tcPr>
          <w:p w14:paraId="33DAC9E7" w14:textId="77777777" w:rsidR="004D6A64" w:rsidRDefault="004D6A64">
            <w:pPr>
              <w:rPr>
                <w:rFonts w:ascii="宋体"/>
              </w:rPr>
            </w:pPr>
          </w:p>
        </w:tc>
        <w:tc>
          <w:tcPr>
            <w:tcW w:w="0" w:type="auto"/>
            <w:shd w:val="clear" w:color="auto" w:fill="auto"/>
          </w:tcPr>
          <w:p w14:paraId="33DAC9E8" w14:textId="77777777" w:rsidR="004D6A64" w:rsidRDefault="004D6A64">
            <w:pPr>
              <w:rPr>
                <w:rFonts w:ascii="宋体"/>
              </w:rPr>
            </w:pPr>
          </w:p>
        </w:tc>
        <w:tc>
          <w:tcPr>
            <w:tcW w:w="0" w:type="auto"/>
            <w:shd w:val="clear" w:color="auto" w:fill="auto"/>
          </w:tcPr>
          <w:p w14:paraId="33DAC9E9" w14:textId="77777777" w:rsidR="004D6A64" w:rsidRDefault="004D6A64">
            <w:pPr>
              <w:rPr>
                <w:rFonts w:ascii="宋体"/>
              </w:rPr>
            </w:pPr>
          </w:p>
        </w:tc>
        <w:tc>
          <w:tcPr>
            <w:tcW w:w="0" w:type="auto"/>
            <w:shd w:val="clear" w:color="auto" w:fill="auto"/>
          </w:tcPr>
          <w:p w14:paraId="33DAC9EA" w14:textId="77777777" w:rsidR="004D6A64" w:rsidRDefault="004D6A64">
            <w:pPr>
              <w:rPr>
                <w:rFonts w:ascii="宋体"/>
              </w:rPr>
            </w:pPr>
          </w:p>
        </w:tc>
        <w:tc>
          <w:tcPr>
            <w:tcW w:w="0" w:type="auto"/>
            <w:shd w:val="clear" w:color="auto" w:fill="auto"/>
          </w:tcPr>
          <w:p w14:paraId="33DAC9EB" w14:textId="77777777" w:rsidR="004D6A64" w:rsidRDefault="004D6A64">
            <w:pPr>
              <w:rPr>
                <w:rFonts w:ascii="宋体"/>
              </w:rPr>
            </w:pPr>
          </w:p>
        </w:tc>
      </w:tr>
      <w:tr w:rsidR="004D6A64" w14:paraId="33DACA0D" w14:textId="77777777">
        <w:trPr>
          <w:jc w:val="center"/>
        </w:trPr>
        <w:tc>
          <w:tcPr>
            <w:tcW w:w="0" w:type="auto"/>
            <w:gridSpan w:val="3"/>
            <w:shd w:val="clear" w:color="auto" w:fill="CCEEFF"/>
            <w:tcMar>
              <w:top w:w="40" w:type="dxa"/>
              <w:left w:w="105" w:type="dxa"/>
              <w:bottom w:w="40" w:type="dxa"/>
              <w:right w:w="20" w:type="dxa"/>
            </w:tcMar>
            <w:vAlign w:val="bottom"/>
          </w:tcPr>
          <w:p w14:paraId="33DAC9ED" w14:textId="77777777" w:rsidR="004D6A64" w:rsidRDefault="00506CD6">
            <w:pPr>
              <w:textAlignment w:val="bottom"/>
            </w:pPr>
            <w:r>
              <w:rPr>
                <w:rFonts w:ascii="Times New Roman" w:eastAsia="宋体" w:hAnsi="Times New Roman"/>
                <w:color w:val="000000"/>
                <w:sz w:val="20"/>
                <w:szCs w:val="20"/>
              </w:rPr>
              <w:t>Less: Change in comprehensive loss attributable to non-controlling interests</w:t>
            </w:r>
          </w:p>
        </w:tc>
        <w:tc>
          <w:tcPr>
            <w:tcW w:w="0" w:type="auto"/>
            <w:gridSpan w:val="2"/>
            <w:shd w:val="clear" w:color="auto" w:fill="CCEEFF"/>
            <w:tcMar>
              <w:top w:w="40" w:type="dxa"/>
              <w:left w:w="20" w:type="dxa"/>
              <w:bottom w:w="40" w:type="dxa"/>
              <w:right w:w="0" w:type="dxa"/>
            </w:tcMar>
            <w:vAlign w:val="bottom"/>
          </w:tcPr>
          <w:p w14:paraId="33DAC9EE"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C9E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9F0" w14:textId="77777777" w:rsidR="004D6A64" w:rsidRDefault="004D6A64">
            <w:pPr>
              <w:rPr>
                <w:rFonts w:ascii="宋体"/>
              </w:rPr>
            </w:pPr>
          </w:p>
        </w:tc>
        <w:tc>
          <w:tcPr>
            <w:tcW w:w="0" w:type="auto"/>
            <w:shd w:val="clear" w:color="auto" w:fill="auto"/>
          </w:tcPr>
          <w:p w14:paraId="33DAC9F1" w14:textId="77777777" w:rsidR="004D6A64" w:rsidRDefault="004D6A64">
            <w:pPr>
              <w:rPr>
                <w:rFonts w:ascii="宋体"/>
                <w:vanish/>
              </w:rPr>
            </w:pPr>
          </w:p>
        </w:tc>
        <w:tc>
          <w:tcPr>
            <w:tcW w:w="0" w:type="auto"/>
            <w:shd w:val="clear" w:color="auto" w:fill="auto"/>
          </w:tcPr>
          <w:p w14:paraId="33DAC9F2" w14:textId="77777777" w:rsidR="004D6A64" w:rsidRDefault="004D6A64">
            <w:pPr>
              <w:rPr>
                <w:rFonts w:ascii="宋体"/>
                <w:vanish/>
              </w:rPr>
            </w:pPr>
          </w:p>
        </w:tc>
        <w:tc>
          <w:tcPr>
            <w:tcW w:w="0" w:type="auto"/>
            <w:gridSpan w:val="2"/>
            <w:shd w:val="clear" w:color="auto" w:fill="CCEEFF"/>
            <w:tcMar>
              <w:top w:w="40" w:type="dxa"/>
              <w:left w:w="20" w:type="dxa"/>
              <w:bottom w:w="40" w:type="dxa"/>
              <w:right w:w="0" w:type="dxa"/>
            </w:tcMar>
            <w:vAlign w:val="bottom"/>
          </w:tcPr>
          <w:p w14:paraId="33DAC9F3" w14:textId="77777777" w:rsidR="004D6A64" w:rsidRDefault="00506CD6">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bottom w:w="40" w:type="dxa"/>
              <w:right w:w="20" w:type="dxa"/>
            </w:tcMar>
            <w:vAlign w:val="bottom"/>
          </w:tcPr>
          <w:p w14:paraId="33DAC9F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9F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C9F6"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C9F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9F8"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C9F9" w14:textId="77777777" w:rsidR="004D6A64" w:rsidRDefault="00506CD6">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bottom w:w="40" w:type="dxa"/>
              <w:right w:w="20" w:type="dxa"/>
            </w:tcMar>
            <w:vAlign w:val="bottom"/>
          </w:tcPr>
          <w:p w14:paraId="33DAC9FA" w14:textId="77777777" w:rsidR="004D6A64" w:rsidRDefault="004D6A64">
            <w:pPr>
              <w:jc w:val="right"/>
              <w:rPr>
                <w:rFonts w:ascii="宋体"/>
              </w:rPr>
            </w:pPr>
          </w:p>
        </w:tc>
        <w:tc>
          <w:tcPr>
            <w:tcW w:w="0" w:type="auto"/>
            <w:shd w:val="clear" w:color="auto" w:fill="auto"/>
          </w:tcPr>
          <w:p w14:paraId="33DAC9FB" w14:textId="77777777" w:rsidR="004D6A64" w:rsidRDefault="004D6A64">
            <w:pPr>
              <w:rPr>
                <w:rFonts w:ascii="宋体"/>
              </w:rPr>
            </w:pPr>
          </w:p>
        </w:tc>
        <w:tc>
          <w:tcPr>
            <w:tcW w:w="0" w:type="auto"/>
            <w:shd w:val="clear" w:color="auto" w:fill="auto"/>
          </w:tcPr>
          <w:p w14:paraId="33DAC9FC" w14:textId="77777777" w:rsidR="004D6A64" w:rsidRDefault="004D6A64">
            <w:pPr>
              <w:rPr>
                <w:rFonts w:ascii="宋体"/>
              </w:rPr>
            </w:pPr>
          </w:p>
        </w:tc>
        <w:tc>
          <w:tcPr>
            <w:tcW w:w="0" w:type="auto"/>
            <w:shd w:val="clear" w:color="auto" w:fill="auto"/>
          </w:tcPr>
          <w:p w14:paraId="33DAC9FD" w14:textId="77777777" w:rsidR="004D6A64" w:rsidRDefault="004D6A64">
            <w:pPr>
              <w:rPr>
                <w:rFonts w:ascii="宋体"/>
              </w:rPr>
            </w:pPr>
          </w:p>
        </w:tc>
        <w:tc>
          <w:tcPr>
            <w:tcW w:w="0" w:type="auto"/>
            <w:shd w:val="clear" w:color="auto" w:fill="auto"/>
          </w:tcPr>
          <w:p w14:paraId="33DAC9FE" w14:textId="77777777" w:rsidR="004D6A64" w:rsidRDefault="004D6A64">
            <w:pPr>
              <w:rPr>
                <w:rFonts w:ascii="宋体"/>
              </w:rPr>
            </w:pPr>
          </w:p>
        </w:tc>
        <w:tc>
          <w:tcPr>
            <w:tcW w:w="0" w:type="auto"/>
            <w:shd w:val="clear" w:color="auto" w:fill="auto"/>
          </w:tcPr>
          <w:p w14:paraId="33DAC9FF" w14:textId="77777777" w:rsidR="004D6A64" w:rsidRDefault="004D6A64">
            <w:pPr>
              <w:rPr>
                <w:rFonts w:ascii="宋体"/>
              </w:rPr>
            </w:pPr>
          </w:p>
        </w:tc>
        <w:tc>
          <w:tcPr>
            <w:tcW w:w="0" w:type="auto"/>
            <w:shd w:val="clear" w:color="auto" w:fill="auto"/>
          </w:tcPr>
          <w:p w14:paraId="33DACA00" w14:textId="77777777" w:rsidR="004D6A64" w:rsidRDefault="004D6A64">
            <w:pPr>
              <w:rPr>
                <w:rFonts w:ascii="宋体"/>
              </w:rPr>
            </w:pPr>
          </w:p>
        </w:tc>
        <w:tc>
          <w:tcPr>
            <w:tcW w:w="0" w:type="auto"/>
            <w:shd w:val="clear" w:color="auto" w:fill="auto"/>
          </w:tcPr>
          <w:p w14:paraId="33DACA01" w14:textId="77777777" w:rsidR="004D6A64" w:rsidRDefault="004D6A64">
            <w:pPr>
              <w:rPr>
                <w:rFonts w:ascii="宋体"/>
              </w:rPr>
            </w:pPr>
          </w:p>
        </w:tc>
        <w:tc>
          <w:tcPr>
            <w:tcW w:w="0" w:type="auto"/>
            <w:shd w:val="clear" w:color="auto" w:fill="auto"/>
          </w:tcPr>
          <w:p w14:paraId="33DACA02" w14:textId="77777777" w:rsidR="004D6A64" w:rsidRDefault="004D6A64">
            <w:pPr>
              <w:rPr>
                <w:rFonts w:ascii="宋体"/>
              </w:rPr>
            </w:pPr>
          </w:p>
        </w:tc>
        <w:tc>
          <w:tcPr>
            <w:tcW w:w="0" w:type="auto"/>
            <w:shd w:val="clear" w:color="auto" w:fill="auto"/>
          </w:tcPr>
          <w:p w14:paraId="33DACA03" w14:textId="77777777" w:rsidR="004D6A64" w:rsidRDefault="004D6A64">
            <w:pPr>
              <w:rPr>
                <w:rFonts w:ascii="宋体"/>
              </w:rPr>
            </w:pPr>
          </w:p>
        </w:tc>
        <w:tc>
          <w:tcPr>
            <w:tcW w:w="0" w:type="auto"/>
            <w:shd w:val="clear" w:color="auto" w:fill="auto"/>
          </w:tcPr>
          <w:p w14:paraId="33DACA04" w14:textId="77777777" w:rsidR="004D6A64" w:rsidRDefault="004D6A64">
            <w:pPr>
              <w:rPr>
                <w:rFonts w:ascii="宋体"/>
              </w:rPr>
            </w:pPr>
          </w:p>
        </w:tc>
        <w:tc>
          <w:tcPr>
            <w:tcW w:w="0" w:type="auto"/>
            <w:shd w:val="clear" w:color="auto" w:fill="auto"/>
          </w:tcPr>
          <w:p w14:paraId="33DACA05" w14:textId="77777777" w:rsidR="004D6A64" w:rsidRDefault="004D6A64">
            <w:pPr>
              <w:rPr>
                <w:rFonts w:ascii="宋体"/>
              </w:rPr>
            </w:pPr>
          </w:p>
        </w:tc>
        <w:tc>
          <w:tcPr>
            <w:tcW w:w="0" w:type="auto"/>
            <w:shd w:val="clear" w:color="auto" w:fill="auto"/>
          </w:tcPr>
          <w:p w14:paraId="33DACA06" w14:textId="77777777" w:rsidR="004D6A64" w:rsidRDefault="004D6A64">
            <w:pPr>
              <w:rPr>
                <w:rFonts w:ascii="宋体"/>
              </w:rPr>
            </w:pPr>
          </w:p>
        </w:tc>
        <w:tc>
          <w:tcPr>
            <w:tcW w:w="0" w:type="auto"/>
            <w:shd w:val="clear" w:color="auto" w:fill="auto"/>
          </w:tcPr>
          <w:p w14:paraId="33DACA07" w14:textId="77777777" w:rsidR="004D6A64" w:rsidRDefault="004D6A64">
            <w:pPr>
              <w:rPr>
                <w:rFonts w:ascii="宋体"/>
              </w:rPr>
            </w:pPr>
          </w:p>
        </w:tc>
        <w:tc>
          <w:tcPr>
            <w:tcW w:w="0" w:type="auto"/>
            <w:shd w:val="clear" w:color="auto" w:fill="auto"/>
          </w:tcPr>
          <w:p w14:paraId="33DACA08" w14:textId="77777777" w:rsidR="004D6A64" w:rsidRDefault="004D6A64">
            <w:pPr>
              <w:rPr>
                <w:rFonts w:ascii="宋体"/>
              </w:rPr>
            </w:pPr>
          </w:p>
        </w:tc>
        <w:tc>
          <w:tcPr>
            <w:tcW w:w="0" w:type="auto"/>
            <w:shd w:val="clear" w:color="auto" w:fill="auto"/>
          </w:tcPr>
          <w:p w14:paraId="33DACA09" w14:textId="77777777" w:rsidR="004D6A64" w:rsidRDefault="004D6A64">
            <w:pPr>
              <w:rPr>
                <w:rFonts w:ascii="宋体"/>
              </w:rPr>
            </w:pPr>
          </w:p>
        </w:tc>
        <w:tc>
          <w:tcPr>
            <w:tcW w:w="0" w:type="auto"/>
            <w:shd w:val="clear" w:color="auto" w:fill="auto"/>
          </w:tcPr>
          <w:p w14:paraId="33DACA0A" w14:textId="77777777" w:rsidR="004D6A64" w:rsidRDefault="004D6A64">
            <w:pPr>
              <w:rPr>
                <w:rFonts w:ascii="宋体"/>
              </w:rPr>
            </w:pPr>
          </w:p>
        </w:tc>
        <w:tc>
          <w:tcPr>
            <w:tcW w:w="0" w:type="auto"/>
            <w:shd w:val="clear" w:color="auto" w:fill="auto"/>
          </w:tcPr>
          <w:p w14:paraId="33DACA0B" w14:textId="77777777" w:rsidR="004D6A64" w:rsidRDefault="004D6A64">
            <w:pPr>
              <w:rPr>
                <w:rFonts w:ascii="宋体"/>
              </w:rPr>
            </w:pPr>
          </w:p>
        </w:tc>
        <w:tc>
          <w:tcPr>
            <w:tcW w:w="0" w:type="auto"/>
            <w:shd w:val="clear" w:color="auto" w:fill="auto"/>
          </w:tcPr>
          <w:p w14:paraId="33DACA0C" w14:textId="77777777" w:rsidR="004D6A64" w:rsidRDefault="004D6A64">
            <w:pPr>
              <w:rPr>
                <w:rFonts w:ascii="宋体"/>
              </w:rPr>
            </w:pPr>
          </w:p>
        </w:tc>
      </w:tr>
      <w:tr w:rsidR="004D6A64" w14:paraId="33DACA32" w14:textId="77777777">
        <w:trPr>
          <w:jc w:val="center"/>
        </w:trPr>
        <w:tc>
          <w:tcPr>
            <w:tcW w:w="0" w:type="auto"/>
            <w:gridSpan w:val="3"/>
            <w:shd w:val="clear" w:color="auto" w:fill="FFFFFF"/>
            <w:tcMar>
              <w:top w:w="40" w:type="dxa"/>
              <w:left w:w="20" w:type="dxa"/>
              <w:bottom w:w="40" w:type="dxa"/>
              <w:right w:w="20" w:type="dxa"/>
            </w:tcMar>
            <w:vAlign w:val="bottom"/>
          </w:tcPr>
          <w:p w14:paraId="33DACA0E" w14:textId="77777777" w:rsidR="004D6A64" w:rsidRDefault="00506CD6">
            <w:pPr>
              <w:textAlignment w:val="bottom"/>
            </w:pPr>
            <w:r>
              <w:rPr>
                <w:rFonts w:ascii="Times New Roman" w:eastAsia="宋体" w:hAnsi="Times New Roman"/>
                <w:i/>
                <w:iCs/>
                <w:color w:val="000000"/>
                <w:sz w:val="20"/>
                <w:szCs w:val="20"/>
              </w:rPr>
              <w:t>Balances as of July 31, 2020</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CA0F"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CA10" w14:textId="77777777" w:rsidR="004D6A64" w:rsidRDefault="00506CD6">
            <w:pPr>
              <w:jc w:val="right"/>
              <w:textAlignment w:val="bottom"/>
            </w:pPr>
            <w:r>
              <w:rPr>
                <w:rFonts w:ascii="Times New Roman" w:eastAsia="宋体" w:hAnsi="Times New Roman"/>
                <w:color w:val="000000"/>
                <w:sz w:val="20"/>
                <w:szCs w:val="20"/>
              </w:rPr>
              <w:t>(414)</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CA1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A12" w14:textId="77777777" w:rsidR="004D6A64" w:rsidRDefault="004D6A64">
            <w:pPr>
              <w:rPr>
                <w:rFonts w:ascii="宋体"/>
              </w:rPr>
            </w:pPr>
          </w:p>
        </w:tc>
        <w:tc>
          <w:tcPr>
            <w:tcW w:w="0" w:type="auto"/>
            <w:shd w:val="clear" w:color="auto" w:fill="auto"/>
          </w:tcPr>
          <w:p w14:paraId="33DACA13" w14:textId="77777777" w:rsidR="004D6A64" w:rsidRDefault="004D6A64">
            <w:pPr>
              <w:rPr>
                <w:rFonts w:ascii="宋体"/>
                <w:vanish/>
              </w:rPr>
            </w:pPr>
          </w:p>
        </w:tc>
        <w:tc>
          <w:tcPr>
            <w:tcW w:w="0" w:type="auto"/>
            <w:shd w:val="clear" w:color="auto" w:fill="auto"/>
          </w:tcPr>
          <w:p w14:paraId="33DACA14" w14:textId="77777777" w:rsidR="004D6A64" w:rsidRDefault="004D6A64">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CA15"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CA16" w14:textId="77777777" w:rsidR="004D6A64" w:rsidRDefault="00506CD6">
            <w:pPr>
              <w:jc w:val="right"/>
              <w:textAlignment w:val="bottom"/>
            </w:pPr>
            <w:r>
              <w:rPr>
                <w:rFonts w:ascii="Times New Roman" w:eastAsia="宋体" w:hAnsi="Times New Roman"/>
                <w:color w:val="000000"/>
                <w:sz w:val="20"/>
                <w:szCs w:val="20"/>
              </w:rPr>
              <w:t>(183)</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CA1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A18"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CA19"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CA1A" w14:textId="77777777" w:rsidR="004D6A64" w:rsidRDefault="00506CD6">
            <w:pPr>
              <w:jc w:val="right"/>
              <w:textAlignment w:val="bottom"/>
            </w:pPr>
            <w:r>
              <w:rPr>
                <w:rFonts w:ascii="Times New Roman" w:eastAsia="宋体" w:hAnsi="Times New Roman"/>
                <w:color w:val="000000"/>
                <w:sz w:val="20"/>
                <w:szCs w:val="20"/>
              </w:rPr>
              <w:t>(63)</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CA1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A1C"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CA1D"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CA1E" w14:textId="77777777" w:rsidR="004D6A64" w:rsidRDefault="00506CD6">
            <w:pPr>
              <w:jc w:val="right"/>
              <w:textAlignment w:val="bottom"/>
            </w:pPr>
            <w:r>
              <w:rPr>
                <w:rFonts w:ascii="Times New Roman" w:eastAsia="宋体" w:hAnsi="Times New Roman"/>
                <w:color w:val="000000"/>
                <w:sz w:val="20"/>
                <w:szCs w:val="20"/>
              </w:rPr>
              <w:t>(660)</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CA1F" w14:textId="77777777" w:rsidR="004D6A64" w:rsidRDefault="004D6A64">
            <w:pPr>
              <w:jc w:val="right"/>
              <w:rPr>
                <w:rFonts w:ascii="宋体"/>
              </w:rPr>
            </w:pPr>
          </w:p>
        </w:tc>
        <w:tc>
          <w:tcPr>
            <w:tcW w:w="0" w:type="auto"/>
            <w:shd w:val="clear" w:color="auto" w:fill="auto"/>
          </w:tcPr>
          <w:p w14:paraId="33DACA20" w14:textId="77777777" w:rsidR="004D6A64" w:rsidRDefault="004D6A64">
            <w:pPr>
              <w:rPr>
                <w:rFonts w:ascii="宋体"/>
              </w:rPr>
            </w:pPr>
          </w:p>
        </w:tc>
        <w:tc>
          <w:tcPr>
            <w:tcW w:w="0" w:type="auto"/>
            <w:shd w:val="clear" w:color="auto" w:fill="auto"/>
          </w:tcPr>
          <w:p w14:paraId="33DACA21" w14:textId="77777777" w:rsidR="004D6A64" w:rsidRDefault="004D6A64">
            <w:pPr>
              <w:rPr>
                <w:rFonts w:ascii="宋体"/>
              </w:rPr>
            </w:pPr>
          </w:p>
        </w:tc>
        <w:tc>
          <w:tcPr>
            <w:tcW w:w="0" w:type="auto"/>
            <w:shd w:val="clear" w:color="auto" w:fill="auto"/>
          </w:tcPr>
          <w:p w14:paraId="33DACA22" w14:textId="77777777" w:rsidR="004D6A64" w:rsidRDefault="004D6A64">
            <w:pPr>
              <w:rPr>
                <w:rFonts w:ascii="宋体"/>
              </w:rPr>
            </w:pPr>
          </w:p>
        </w:tc>
        <w:tc>
          <w:tcPr>
            <w:tcW w:w="0" w:type="auto"/>
            <w:shd w:val="clear" w:color="auto" w:fill="auto"/>
          </w:tcPr>
          <w:p w14:paraId="33DACA23" w14:textId="77777777" w:rsidR="004D6A64" w:rsidRDefault="004D6A64">
            <w:pPr>
              <w:rPr>
                <w:rFonts w:ascii="宋体"/>
              </w:rPr>
            </w:pPr>
          </w:p>
        </w:tc>
        <w:tc>
          <w:tcPr>
            <w:tcW w:w="0" w:type="auto"/>
            <w:shd w:val="clear" w:color="auto" w:fill="auto"/>
          </w:tcPr>
          <w:p w14:paraId="33DACA24" w14:textId="77777777" w:rsidR="004D6A64" w:rsidRDefault="004D6A64">
            <w:pPr>
              <w:rPr>
                <w:rFonts w:ascii="宋体"/>
              </w:rPr>
            </w:pPr>
          </w:p>
        </w:tc>
        <w:tc>
          <w:tcPr>
            <w:tcW w:w="0" w:type="auto"/>
            <w:shd w:val="clear" w:color="auto" w:fill="auto"/>
          </w:tcPr>
          <w:p w14:paraId="33DACA25" w14:textId="77777777" w:rsidR="004D6A64" w:rsidRDefault="004D6A64">
            <w:pPr>
              <w:rPr>
                <w:rFonts w:ascii="宋体"/>
              </w:rPr>
            </w:pPr>
          </w:p>
        </w:tc>
        <w:tc>
          <w:tcPr>
            <w:tcW w:w="0" w:type="auto"/>
            <w:shd w:val="clear" w:color="auto" w:fill="auto"/>
          </w:tcPr>
          <w:p w14:paraId="33DACA26" w14:textId="77777777" w:rsidR="004D6A64" w:rsidRDefault="004D6A64">
            <w:pPr>
              <w:rPr>
                <w:rFonts w:ascii="宋体"/>
              </w:rPr>
            </w:pPr>
          </w:p>
        </w:tc>
        <w:tc>
          <w:tcPr>
            <w:tcW w:w="0" w:type="auto"/>
            <w:shd w:val="clear" w:color="auto" w:fill="auto"/>
          </w:tcPr>
          <w:p w14:paraId="33DACA27" w14:textId="77777777" w:rsidR="004D6A64" w:rsidRDefault="004D6A64">
            <w:pPr>
              <w:rPr>
                <w:rFonts w:ascii="宋体"/>
              </w:rPr>
            </w:pPr>
          </w:p>
        </w:tc>
        <w:tc>
          <w:tcPr>
            <w:tcW w:w="0" w:type="auto"/>
            <w:shd w:val="clear" w:color="auto" w:fill="auto"/>
          </w:tcPr>
          <w:p w14:paraId="33DACA28" w14:textId="77777777" w:rsidR="004D6A64" w:rsidRDefault="004D6A64">
            <w:pPr>
              <w:rPr>
                <w:rFonts w:ascii="宋体"/>
              </w:rPr>
            </w:pPr>
          </w:p>
        </w:tc>
        <w:tc>
          <w:tcPr>
            <w:tcW w:w="0" w:type="auto"/>
            <w:shd w:val="clear" w:color="auto" w:fill="auto"/>
          </w:tcPr>
          <w:p w14:paraId="33DACA29" w14:textId="77777777" w:rsidR="004D6A64" w:rsidRDefault="004D6A64">
            <w:pPr>
              <w:rPr>
                <w:rFonts w:ascii="宋体"/>
              </w:rPr>
            </w:pPr>
          </w:p>
        </w:tc>
        <w:tc>
          <w:tcPr>
            <w:tcW w:w="0" w:type="auto"/>
            <w:shd w:val="clear" w:color="auto" w:fill="auto"/>
          </w:tcPr>
          <w:p w14:paraId="33DACA2A" w14:textId="77777777" w:rsidR="004D6A64" w:rsidRDefault="004D6A64">
            <w:pPr>
              <w:rPr>
                <w:rFonts w:ascii="宋体"/>
              </w:rPr>
            </w:pPr>
          </w:p>
        </w:tc>
        <w:tc>
          <w:tcPr>
            <w:tcW w:w="0" w:type="auto"/>
            <w:shd w:val="clear" w:color="auto" w:fill="auto"/>
          </w:tcPr>
          <w:p w14:paraId="33DACA2B" w14:textId="77777777" w:rsidR="004D6A64" w:rsidRDefault="004D6A64">
            <w:pPr>
              <w:rPr>
                <w:rFonts w:ascii="宋体"/>
              </w:rPr>
            </w:pPr>
          </w:p>
        </w:tc>
        <w:tc>
          <w:tcPr>
            <w:tcW w:w="0" w:type="auto"/>
            <w:shd w:val="clear" w:color="auto" w:fill="auto"/>
          </w:tcPr>
          <w:p w14:paraId="33DACA2C" w14:textId="77777777" w:rsidR="004D6A64" w:rsidRDefault="004D6A64">
            <w:pPr>
              <w:rPr>
                <w:rFonts w:ascii="宋体"/>
              </w:rPr>
            </w:pPr>
          </w:p>
        </w:tc>
        <w:tc>
          <w:tcPr>
            <w:tcW w:w="0" w:type="auto"/>
            <w:shd w:val="clear" w:color="auto" w:fill="auto"/>
          </w:tcPr>
          <w:p w14:paraId="33DACA2D" w14:textId="77777777" w:rsidR="004D6A64" w:rsidRDefault="004D6A64">
            <w:pPr>
              <w:rPr>
                <w:rFonts w:ascii="宋体"/>
              </w:rPr>
            </w:pPr>
          </w:p>
        </w:tc>
        <w:tc>
          <w:tcPr>
            <w:tcW w:w="0" w:type="auto"/>
            <w:shd w:val="clear" w:color="auto" w:fill="auto"/>
          </w:tcPr>
          <w:p w14:paraId="33DACA2E" w14:textId="77777777" w:rsidR="004D6A64" w:rsidRDefault="004D6A64">
            <w:pPr>
              <w:rPr>
                <w:rFonts w:ascii="宋体"/>
              </w:rPr>
            </w:pPr>
          </w:p>
        </w:tc>
        <w:tc>
          <w:tcPr>
            <w:tcW w:w="0" w:type="auto"/>
            <w:shd w:val="clear" w:color="auto" w:fill="auto"/>
          </w:tcPr>
          <w:p w14:paraId="33DACA2F" w14:textId="77777777" w:rsidR="004D6A64" w:rsidRDefault="004D6A64">
            <w:pPr>
              <w:rPr>
                <w:rFonts w:ascii="宋体"/>
              </w:rPr>
            </w:pPr>
          </w:p>
        </w:tc>
        <w:tc>
          <w:tcPr>
            <w:tcW w:w="0" w:type="auto"/>
            <w:shd w:val="clear" w:color="auto" w:fill="auto"/>
          </w:tcPr>
          <w:p w14:paraId="33DACA30" w14:textId="77777777" w:rsidR="004D6A64" w:rsidRDefault="004D6A64">
            <w:pPr>
              <w:rPr>
                <w:rFonts w:ascii="宋体"/>
              </w:rPr>
            </w:pPr>
          </w:p>
        </w:tc>
        <w:tc>
          <w:tcPr>
            <w:tcW w:w="0" w:type="auto"/>
            <w:shd w:val="clear" w:color="auto" w:fill="auto"/>
          </w:tcPr>
          <w:p w14:paraId="33DACA31" w14:textId="77777777" w:rsidR="004D6A64" w:rsidRDefault="004D6A64">
            <w:pPr>
              <w:rPr>
                <w:rFonts w:ascii="宋体"/>
              </w:rPr>
            </w:pPr>
          </w:p>
        </w:tc>
      </w:tr>
    </w:tbl>
    <w:p w14:paraId="33DACA33" w14:textId="77777777" w:rsidR="004D6A64" w:rsidRDefault="004D6A64"/>
    <w:p w14:paraId="33DACA34" w14:textId="77777777" w:rsidR="004D6A64" w:rsidRDefault="00506CD6">
      <w:r>
        <w:rPr>
          <w:rFonts w:ascii="Times New Roman" w:eastAsia="宋体" w:hAnsi="Times New Roman"/>
          <w:color w:val="000000"/>
          <w:sz w:val="20"/>
          <w:szCs w:val="20"/>
        </w:rPr>
        <w:t>Amounts related to the Company’s cash flow hedg</w:t>
      </w:r>
      <w:r>
        <w:rPr>
          <w:rFonts w:ascii="Times New Roman" w:eastAsia="宋体" w:hAnsi="Times New Roman"/>
          <w:color w:val="000000"/>
          <w:sz w:val="20"/>
          <w:szCs w:val="20"/>
        </w:rPr>
        <w:t>es are reclassified to net income during the same period in which the items being hedged are recognized in earnings. See Note 7 of the Notes to the Condensed Consolidated Financial Statements for more information on the Company’s derivative instruments.</w:t>
      </w:r>
    </w:p>
    <w:p w14:paraId="33DACA35" w14:textId="77777777" w:rsidR="004D6A64" w:rsidRDefault="004D6A64"/>
    <w:p w14:paraId="33DACA36" w14:textId="77777777" w:rsidR="004D6A64" w:rsidRDefault="004D6A64">
      <w:pPr>
        <w:jc w:val="center"/>
      </w:pPr>
    </w:p>
    <w:p w14:paraId="33DACA37" w14:textId="77777777" w:rsidR="004D6A64" w:rsidRDefault="00506CD6">
      <w:pPr>
        <w:jc w:val="center"/>
      </w:pPr>
      <w:r>
        <w:rPr>
          <w:rFonts w:ascii="Times New Roman" w:eastAsia="宋体" w:hAnsi="Times New Roman"/>
          <w:color w:val="000000"/>
          <w:sz w:val="20"/>
          <w:szCs w:val="20"/>
        </w:rPr>
        <w:t>51</w:t>
      </w:r>
    </w:p>
    <w:p w14:paraId="33DACA38" w14:textId="77777777" w:rsidR="004D6A64" w:rsidRDefault="004D6A64">
      <w:pPr>
        <w:jc w:val="center"/>
      </w:pPr>
    </w:p>
    <w:p w14:paraId="33DACA39" w14:textId="77777777" w:rsidR="004D6A64" w:rsidRDefault="00506CD6">
      <w:r>
        <w:pict w14:anchorId="33DAFAF7">
          <v:rect id="_x0000_i1075" style="width:415.3pt;height:1.5pt" o:hralign="center" o:hrstd="t" o:hr="t" fillcolor="#a0a0a0" stroked="f"/>
        </w:pict>
      </w:r>
    </w:p>
    <w:p w14:paraId="33DACA3A" w14:textId="77777777" w:rsidR="004D6A64" w:rsidRDefault="00506CD6">
      <w:hyperlink r:id="rId174" w:anchor="if3e0e1bf9ecd4bf69551d7a85f98d64a_10" w:history="1">
        <w:r>
          <w:rPr>
            <w:rStyle w:val="a5"/>
            <w:rFonts w:ascii="Times New Roman" w:eastAsia="宋体" w:hAnsi="Times New Roman"/>
            <w:sz w:val="20"/>
            <w:szCs w:val="20"/>
          </w:rPr>
          <w:t>Table of Contents</w:t>
        </w:r>
      </w:hyperlink>
    </w:p>
    <w:p w14:paraId="33DACA3B"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CA3C" w14:textId="77777777" w:rsidR="004D6A64" w:rsidRDefault="00506CD6">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33DACA3D"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CA3E" w14:textId="77777777" w:rsidR="004D6A64" w:rsidRDefault="004D6A64">
      <w:pPr>
        <w:jc w:val="center"/>
      </w:pPr>
    </w:p>
    <w:p w14:paraId="33DACA3F" w14:textId="77777777" w:rsidR="004D6A64" w:rsidRDefault="00506CD6">
      <w:r>
        <w:rPr>
          <w:rFonts w:ascii="Times New Roman" w:eastAsia="宋体" w:hAnsi="Times New Roman"/>
          <w:color w:val="000000"/>
          <w:sz w:val="20"/>
          <w:szCs w:val="20"/>
        </w:rPr>
        <w:t>The following table presents reclassifications out of accumulated other comprehensive income (loss), net of tax, to net income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8"/>
        <w:gridCol w:w="2249"/>
        <w:gridCol w:w="37"/>
        <w:gridCol w:w="36"/>
        <w:gridCol w:w="36"/>
        <w:gridCol w:w="136"/>
        <w:gridCol w:w="619"/>
        <w:gridCol w:w="41"/>
        <w:gridCol w:w="36"/>
        <w:gridCol w:w="36"/>
        <w:gridCol w:w="36"/>
        <w:gridCol w:w="136"/>
        <w:gridCol w:w="704"/>
        <w:gridCol w:w="41"/>
        <w:gridCol w:w="36"/>
        <w:gridCol w:w="36"/>
        <w:gridCol w:w="36"/>
        <w:gridCol w:w="135"/>
        <w:gridCol w:w="534"/>
        <w:gridCol w:w="41"/>
        <w:gridCol w:w="36"/>
        <w:gridCol w:w="36"/>
        <w:gridCol w:w="36"/>
        <w:gridCol w:w="36"/>
        <w:gridCol w:w="36"/>
        <w:gridCol w:w="136"/>
        <w:gridCol w:w="619"/>
        <w:gridCol w:w="41"/>
        <w:gridCol w:w="36"/>
        <w:gridCol w:w="36"/>
        <w:gridCol w:w="36"/>
        <w:gridCol w:w="136"/>
        <w:gridCol w:w="704"/>
        <w:gridCol w:w="41"/>
        <w:gridCol w:w="36"/>
        <w:gridCol w:w="36"/>
        <w:gridCol w:w="36"/>
        <w:gridCol w:w="135"/>
        <w:gridCol w:w="538"/>
        <w:gridCol w:w="41"/>
        <w:gridCol w:w="36"/>
        <w:gridCol w:w="36"/>
        <w:gridCol w:w="36"/>
        <w:gridCol w:w="36"/>
        <w:gridCol w:w="36"/>
        <w:gridCol w:w="36"/>
        <w:gridCol w:w="36"/>
        <w:gridCol w:w="36"/>
        <w:gridCol w:w="36"/>
        <w:gridCol w:w="36"/>
        <w:gridCol w:w="36"/>
        <w:gridCol w:w="36"/>
        <w:gridCol w:w="36"/>
        <w:gridCol w:w="36"/>
        <w:gridCol w:w="36"/>
      </w:tblGrid>
      <w:tr w:rsidR="004D6A64" w14:paraId="33DACA68" w14:textId="77777777">
        <w:trPr>
          <w:gridAfter w:val="15"/>
        </w:trPr>
        <w:tc>
          <w:tcPr>
            <w:tcW w:w="50" w:type="pct"/>
            <w:shd w:val="clear" w:color="auto" w:fill="auto"/>
          </w:tcPr>
          <w:p w14:paraId="33DACA40" w14:textId="77777777" w:rsidR="004D6A64" w:rsidRDefault="004D6A64">
            <w:pPr>
              <w:rPr>
                <w:rFonts w:ascii="宋体"/>
              </w:rPr>
            </w:pPr>
          </w:p>
        </w:tc>
        <w:tc>
          <w:tcPr>
            <w:tcW w:w="1597" w:type="pct"/>
            <w:shd w:val="clear" w:color="auto" w:fill="auto"/>
          </w:tcPr>
          <w:p w14:paraId="33DACA41" w14:textId="77777777" w:rsidR="004D6A64" w:rsidRDefault="004D6A64">
            <w:pPr>
              <w:rPr>
                <w:rFonts w:ascii="宋体"/>
              </w:rPr>
            </w:pPr>
          </w:p>
        </w:tc>
        <w:tc>
          <w:tcPr>
            <w:tcW w:w="5" w:type="pct"/>
            <w:shd w:val="clear" w:color="auto" w:fill="auto"/>
          </w:tcPr>
          <w:p w14:paraId="33DACA42" w14:textId="77777777" w:rsidR="004D6A64" w:rsidRDefault="004D6A64">
            <w:pPr>
              <w:rPr>
                <w:rFonts w:ascii="宋体"/>
              </w:rPr>
            </w:pPr>
          </w:p>
        </w:tc>
        <w:tc>
          <w:tcPr>
            <w:tcW w:w="0" w:type="auto"/>
            <w:shd w:val="clear" w:color="auto" w:fill="auto"/>
          </w:tcPr>
          <w:p w14:paraId="33DACA43" w14:textId="77777777" w:rsidR="004D6A64" w:rsidRDefault="004D6A64">
            <w:pPr>
              <w:rPr>
                <w:rFonts w:ascii="宋体"/>
                <w:vanish/>
              </w:rPr>
            </w:pPr>
          </w:p>
        </w:tc>
        <w:tc>
          <w:tcPr>
            <w:tcW w:w="0" w:type="auto"/>
            <w:shd w:val="clear" w:color="auto" w:fill="auto"/>
          </w:tcPr>
          <w:p w14:paraId="33DACA44" w14:textId="77777777" w:rsidR="004D6A64" w:rsidRDefault="004D6A64">
            <w:pPr>
              <w:rPr>
                <w:rFonts w:ascii="宋体"/>
                <w:vanish/>
              </w:rPr>
            </w:pPr>
          </w:p>
        </w:tc>
        <w:tc>
          <w:tcPr>
            <w:tcW w:w="50" w:type="pct"/>
            <w:shd w:val="clear" w:color="auto" w:fill="auto"/>
          </w:tcPr>
          <w:p w14:paraId="33DACA45" w14:textId="77777777" w:rsidR="004D6A64" w:rsidRDefault="004D6A64">
            <w:pPr>
              <w:rPr>
                <w:rFonts w:ascii="宋体"/>
              </w:rPr>
            </w:pPr>
          </w:p>
        </w:tc>
        <w:tc>
          <w:tcPr>
            <w:tcW w:w="478" w:type="pct"/>
            <w:shd w:val="clear" w:color="auto" w:fill="auto"/>
          </w:tcPr>
          <w:p w14:paraId="33DACA46" w14:textId="77777777" w:rsidR="004D6A64" w:rsidRDefault="004D6A64">
            <w:pPr>
              <w:rPr>
                <w:rFonts w:ascii="宋体"/>
              </w:rPr>
            </w:pPr>
          </w:p>
        </w:tc>
        <w:tc>
          <w:tcPr>
            <w:tcW w:w="5" w:type="pct"/>
            <w:shd w:val="clear" w:color="auto" w:fill="auto"/>
          </w:tcPr>
          <w:p w14:paraId="33DACA47" w14:textId="77777777" w:rsidR="004D6A64" w:rsidRDefault="004D6A64">
            <w:pPr>
              <w:rPr>
                <w:rFonts w:ascii="宋体"/>
              </w:rPr>
            </w:pPr>
          </w:p>
        </w:tc>
        <w:tc>
          <w:tcPr>
            <w:tcW w:w="5" w:type="pct"/>
            <w:shd w:val="clear" w:color="auto" w:fill="auto"/>
          </w:tcPr>
          <w:p w14:paraId="33DACA48" w14:textId="77777777" w:rsidR="004D6A64" w:rsidRDefault="004D6A64">
            <w:pPr>
              <w:rPr>
                <w:rFonts w:ascii="宋体"/>
              </w:rPr>
            </w:pPr>
          </w:p>
        </w:tc>
        <w:tc>
          <w:tcPr>
            <w:tcW w:w="19" w:type="pct"/>
            <w:shd w:val="clear" w:color="auto" w:fill="auto"/>
          </w:tcPr>
          <w:p w14:paraId="33DACA49" w14:textId="77777777" w:rsidR="004D6A64" w:rsidRDefault="004D6A64">
            <w:pPr>
              <w:rPr>
                <w:rFonts w:ascii="宋体"/>
              </w:rPr>
            </w:pPr>
          </w:p>
        </w:tc>
        <w:tc>
          <w:tcPr>
            <w:tcW w:w="5" w:type="pct"/>
            <w:shd w:val="clear" w:color="auto" w:fill="auto"/>
          </w:tcPr>
          <w:p w14:paraId="33DACA4A" w14:textId="77777777" w:rsidR="004D6A64" w:rsidRDefault="004D6A64">
            <w:pPr>
              <w:rPr>
                <w:rFonts w:ascii="宋体"/>
              </w:rPr>
            </w:pPr>
          </w:p>
        </w:tc>
        <w:tc>
          <w:tcPr>
            <w:tcW w:w="50" w:type="pct"/>
            <w:shd w:val="clear" w:color="auto" w:fill="auto"/>
          </w:tcPr>
          <w:p w14:paraId="33DACA4B" w14:textId="77777777" w:rsidR="004D6A64" w:rsidRDefault="004D6A64">
            <w:pPr>
              <w:rPr>
                <w:rFonts w:ascii="宋体"/>
              </w:rPr>
            </w:pPr>
          </w:p>
        </w:tc>
        <w:tc>
          <w:tcPr>
            <w:tcW w:w="478" w:type="pct"/>
            <w:shd w:val="clear" w:color="auto" w:fill="auto"/>
          </w:tcPr>
          <w:p w14:paraId="33DACA4C" w14:textId="77777777" w:rsidR="004D6A64" w:rsidRDefault="004D6A64">
            <w:pPr>
              <w:rPr>
                <w:rFonts w:ascii="宋体"/>
              </w:rPr>
            </w:pPr>
          </w:p>
        </w:tc>
        <w:tc>
          <w:tcPr>
            <w:tcW w:w="5" w:type="pct"/>
            <w:shd w:val="clear" w:color="auto" w:fill="auto"/>
          </w:tcPr>
          <w:p w14:paraId="33DACA4D" w14:textId="77777777" w:rsidR="004D6A64" w:rsidRDefault="004D6A64">
            <w:pPr>
              <w:rPr>
                <w:rFonts w:ascii="宋体"/>
              </w:rPr>
            </w:pPr>
          </w:p>
        </w:tc>
        <w:tc>
          <w:tcPr>
            <w:tcW w:w="5" w:type="pct"/>
            <w:shd w:val="clear" w:color="auto" w:fill="auto"/>
          </w:tcPr>
          <w:p w14:paraId="33DACA4E" w14:textId="77777777" w:rsidR="004D6A64" w:rsidRDefault="004D6A64">
            <w:pPr>
              <w:rPr>
                <w:rFonts w:ascii="宋体"/>
              </w:rPr>
            </w:pPr>
          </w:p>
        </w:tc>
        <w:tc>
          <w:tcPr>
            <w:tcW w:w="19" w:type="pct"/>
            <w:shd w:val="clear" w:color="auto" w:fill="auto"/>
          </w:tcPr>
          <w:p w14:paraId="33DACA4F" w14:textId="77777777" w:rsidR="004D6A64" w:rsidRDefault="004D6A64">
            <w:pPr>
              <w:rPr>
                <w:rFonts w:ascii="宋体"/>
              </w:rPr>
            </w:pPr>
          </w:p>
        </w:tc>
        <w:tc>
          <w:tcPr>
            <w:tcW w:w="5" w:type="pct"/>
            <w:shd w:val="clear" w:color="auto" w:fill="auto"/>
          </w:tcPr>
          <w:p w14:paraId="33DACA50" w14:textId="77777777" w:rsidR="004D6A64" w:rsidRDefault="004D6A64">
            <w:pPr>
              <w:rPr>
                <w:rFonts w:ascii="宋体"/>
              </w:rPr>
            </w:pPr>
          </w:p>
        </w:tc>
        <w:tc>
          <w:tcPr>
            <w:tcW w:w="50" w:type="pct"/>
            <w:shd w:val="clear" w:color="auto" w:fill="auto"/>
          </w:tcPr>
          <w:p w14:paraId="33DACA51" w14:textId="77777777" w:rsidR="004D6A64" w:rsidRDefault="004D6A64">
            <w:pPr>
              <w:rPr>
                <w:rFonts w:ascii="宋体"/>
              </w:rPr>
            </w:pPr>
          </w:p>
        </w:tc>
        <w:tc>
          <w:tcPr>
            <w:tcW w:w="478" w:type="pct"/>
            <w:shd w:val="clear" w:color="auto" w:fill="auto"/>
          </w:tcPr>
          <w:p w14:paraId="33DACA52" w14:textId="77777777" w:rsidR="004D6A64" w:rsidRDefault="004D6A64">
            <w:pPr>
              <w:rPr>
                <w:rFonts w:ascii="宋体"/>
              </w:rPr>
            </w:pPr>
          </w:p>
        </w:tc>
        <w:tc>
          <w:tcPr>
            <w:tcW w:w="5" w:type="pct"/>
            <w:shd w:val="clear" w:color="auto" w:fill="auto"/>
          </w:tcPr>
          <w:p w14:paraId="33DACA53" w14:textId="77777777" w:rsidR="004D6A64" w:rsidRDefault="004D6A64">
            <w:pPr>
              <w:rPr>
                <w:rFonts w:ascii="宋体"/>
              </w:rPr>
            </w:pPr>
          </w:p>
        </w:tc>
        <w:tc>
          <w:tcPr>
            <w:tcW w:w="5" w:type="pct"/>
            <w:shd w:val="clear" w:color="auto" w:fill="auto"/>
          </w:tcPr>
          <w:p w14:paraId="33DACA54" w14:textId="77777777" w:rsidR="004D6A64" w:rsidRDefault="004D6A64">
            <w:pPr>
              <w:rPr>
                <w:rFonts w:ascii="宋体"/>
              </w:rPr>
            </w:pPr>
          </w:p>
        </w:tc>
        <w:tc>
          <w:tcPr>
            <w:tcW w:w="19" w:type="pct"/>
            <w:shd w:val="clear" w:color="auto" w:fill="auto"/>
          </w:tcPr>
          <w:p w14:paraId="33DACA55" w14:textId="77777777" w:rsidR="004D6A64" w:rsidRDefault="004D6A64">
            <w:pPr>
              <w:rPr>
                <w:rFonts w:ascii="宋体"/>
              </w:rPr>
            </w:pPr>
          </w:p>
        </w:tc>
        <w:tc>
          <w:tcPr>
            <w:tcW w:w="5" w:type="pct"/>
            <w:shd w:val="clear" w:color="auto" w:fill="auto"/>
          </w:tcPr>
          <w:p w14:paraId="33DACA56" w14:textId="77777777" w:rsidR="004D6A64" w:rsidRDefault="004D6A64">
            <w:pPr>
              <w:rPr>
                <w:rFonts w:ascii="宋体"/>
              </w:rPr>
            </w:pPr>
          </w:p>
        </w:tc>
        <w:tc>
          <w:tcPr>
            <w:tcW w:w="0" w:type="auto"/>
            <w:shd w:val="clear" w:color="auto" w:fill="auto"/>
          </w:tcPr>
          <w:p w14:paraId="33DACA57" w14:textId="77777777" w:rsidR="004D6A64" w:rsidRDefault="004D6A64">
            <w:pPr>
              <w:rPr>
                <w:rFonts w:ascii="宋体"/>
                <w:vanish/>
              </w:rPr>
            </w:pPr>
          </w:p>
        </w:tc>
        <w:tc>
          <w:tcPr>
            <w:tcW w:w="0" w:type="auto"/>
            <w:shd w:val="clear" w:color="auto" w:fill="auto"/>
          </w:tcPr>
          <w:p w14:paraId="33DACA58" w14:textId="77777777" w:rsidR="004D6A64" w:rsidRDefault="004D6A64">
            <w:pPr>
              <w:rPr>
                <w:rFonts w:ascii="宋体"/>
                <w:vanish/>
              </w:rPr>
            </w:pPr>
          </w:p>
        </w:tc>
        <w:tc>
          <w:tcPr>
            <w:tcW w:w="50" w:type="pct"/>
            <w:shd w:val="clear" w:color="auto" w:fill="auto"/>
          </w:tcPr>
          <w:p w14:paraId="33DACA59" w14:textId="77777777" w:rsidR="004D6A64" w:rsidRDefault="004D6A64">
            <w:pPr>
              <w:rPr>
                <w:rFonts w:ascii="宋体"/>
              </w:rPr>
            </w:pPr>
          </w:p>
        </w:tc>
        <w:tc>
          <w:tcPr>
            <w:tcW w:w="478" w:type="pct"/>
            <w:shd w:val="clear" w:color="auto" w:fill="auto"/>
          </w:tcPr>
          <w:p w14:paraId="33DACA5A" w14:textId="77777777" w:rsidR="004D6A64" w:rsidRDefault="004D6A64">
            <w:pPr>
              <w:rPr>
                <w:rFonts w:ascii="宋体"/>
              </w:rPr>
            </w:pPr>
          </w:p>
        </w:tc>
        <w:tc>
          <w:tcPr>
            <w:tcW w:w="5" w:type="pct"/>
            <w:shd w:val="clear" w:color="auto" w:fill="auto"/>
          </w:tcPr>
          <w:p w14:paraId="33DACA5B" w14:textId="77777777" w:rsidR="004D6A64" w:rsidRDefault="004D6A64">
            <w:pPr>
              <w:rPr>
                <w:rFonts w:ascii="宋体"/>
              </w:rPr>
            </w:pPr>
          </w:p>
        </w:tc>
        <w:tc>
          <w:tcPr>
            <w:tcW w:w="5" w:type="pct"/>
            <w:shd w:val="clear" w:color="auto" w:fill="auto"/>
          </w:tcPr>
          <w:p w14:paraId="33DACA5C" w14:textId="77777777" w:rsidR="004D6A64" w:rsidRDefault="004D6A64">
            <w:pPr>
              <w:rPr>
                <w:rFonts w:ascii="宋体"/>
              </w:rPr>
            </w:pPr>
          </w:p>
        </w:tc>
        <w:tc>
          <w:tcPr>
            <w:tcW w:w="19" w:type="pct"/>
            <w:shd w:val="clear" w:color="auto" w:fill="auto"/>
          </w:tcPr>
          <w:p w14:paraId="33DACA5D" w14:textId="77777777" w:rsidR="004D6A64" w:rsidRDefault="004D6A64">
            <w:pPr>
              <w:rPr>
                <w:rFonts w:ascii="宋体"/>
              </w:rPr>
            </w:pPr>
          </w:p>
        </w:tc>
        <w:tc>
          <w:tcPr>
            <w:tcW w:w="5" w:type="pct"/>
            <w:shd w:val="clear" w:color="auto" w:fill="auto"/>
          </w:tcPr>
          <w:p w14:paraId="33DACA5E" w14:textId="77777777" w:rsidR="004D6A64" w:rsidRDefault="004D6A64">
            <w:pPr>
              <w:rPr>
                <w:rFonts w:ascii="宋体"/>
              </w:rPr>
            </w:pPr>
          </w:p>
        </w:tc>
        <w:tc>
          <w:tcPr>
            <w:tcW w:w="50" w:type="pct"/>
            <w:shd w:val="clear" w:color="auto" w:fill="auto"/>
          </w:tcPr>
          <w:p w14:paraId="33DACA5F" w14:textId="77777777" w:rsidR="004D6A64" w:rsidRDefault="004D6A64">
            <w:pPr>
              <w:rPr>
                <w:rFonts w:ascii="宋体"/>
              </w:rPr>
            </w:pPr>
          </w:p>
        </w:tc>
        <w:tc>
          <w:tcPr>
            <w:tcW w:w="478" w:type="pct"/>
            <w:shd w:val="clear" w:color="auto" w:fill="auto"/>
          </w:tcPr>
          <w:p w14:paraId="33DACA60" w14:textId="77777777" w:rsidR="004D6A64" w:rsidRDefault="004D6A64">
            <w:pPr>
              <w:rPr>
                <w:rFonts w:ascii="宋体"/>
              </w:rPr>
            </w:pPr>
          </w:p>
        </w:tc>
        <w:tc>
          <w:tcPr>
            <w:tcW w:w="5" w:type="pct"/>
            <w:shd w:val="clear" w:color="auto" w:fill="auto"/>
          </w:tcPr>
          <w:p w14:paraId="33DACA61" w14:textId="77777777" w:rsidR="004D6A64" w:rsidRDefault="004D6A64">
            <w:pPr>
              <w:rPr>
                <w:rFonts w:ascii="宋体"/>
              </w:rPr>
            </w:pPr>
          </w:p>
        </w:tc>
        <w:tc>
          <w:tcPr>
            <w:tcW w:w="5" w:type="pct"/>
            <w:shd w:val="clear" w:color="auto" w:fill="auto"/>
          </w:tcPr>
          <w:p w14:paraId="33DACA62" w14:textId="77777777" w:rsidR="004D6A64" w:rsidRDefault="004D6A64">
            <w:pPr>
              <w:rPr>
                <w:rFonts w:ascii="宋体"/>
              </w:rPr>
            </w:pPr>
          </w:p>
        </w:tc>
        <w:tc>
          <w:tcPr>
            <w:tcW w:w="19" w:type="pct"/>
            <w:shd w:val="clear" w:color="auto" w:fill="auto"/>
          </w:tcPr>
          <w:p w14:paraId="33DACA63" w14:textId="77777777" w:rsidR="004D6A64" w:rsidRDefault="004D6A64">
            <w:pPr>
              <w:rPr>
                <w:rFonts w:ascii="宋体"/>
              </w:rPr>
            </w:pPr>
          </w:p>
        </w:tc>
        <w:tc>
          <w:tcPr>
            <w:tcW w:w="5" w:type="pct"/>
            <w:shd w:val="clear" w:color="auto" w:fill="auto"/>
          </w:tcPr>
          <w:p w14:paraId="33DACA64" w14:textId="77777777" w:rsidR="004D6A64" w:rsidRDefault="004D6A64">
            <w:pPr>
              <w:rPr>
                <w:rFonts w:ascii="宋体"/>
              </w:rPr>
            </w:pPr>
          </w:p>
        </w:tc>
        <w:tc>
          <w:tcPr>
            <w:tcW w:w="50" w:type="pct"/>
            <w:shd w:val="clear" w:color="auto" w:fill="auto"/>
          </w:tcPr>
          <w:p w14:paraId="33DACA65" w14:textId="77777777" w:rsidR="004D6A64" w:rsidRDefault="004D6A64">
            <w:pPr>
              <w:rPr>
                <w:rFonts w:ascii="宋体"/>
              </w:rPr>
            </w:pPr>
          </w:p>
        </w:tc>
        <w:tc>
          <w:tcPr>
            <w:tcW w:w="479" w:type="pct"/>
            <w:shd w:val="clear" w:color="auto" w:fill="auto"/>
          </w:tcPr>
          <w:p w14:paraId="33DACA66" w14:textId="77777777" w:rsidR="004D6A64" w:rsidRDefault="004D6A64">
            <w:pPr>
              <w:rPr>
                <w:rFonts w:ascii="宋体"/>
              </w:rPr>
            </w:pPr>
          </w:p>
        </w:tc>
        <w:tc>
          <w:tcPr>
            <w:tcW w:w="5" w:type="pct"/>
            <w:shd w:val="clear" w:color="auto" w:fill="auto"/>
          </w:tcPr>
          <w:p w14:paraId="33DACA67" w14:textId="77777777" w:rsidR="004D6A64" w:rsidRDefault="004D6A64">
            <w:pPr>
              <w:rPr>
                <w:rFonts w:ascii="宋体"/>
              </w:rPr>
            </w:pPr>
          </w:p>
        </w:tc>
      </w:tr>
      <w:tr w:rsidR="004D6A64" w14:paraId="33DACA75" w14:textId="77777777">
        <w:tc>
          <w:tcPr>
            <w:tcW w:w="0" w:type="auto"/>
            <w:gridSpan w:val="3"/>
            <w:shd w:val="clear" w:color="auto" w:fill="auto"/>
            <w:tcMar>
              <w:left w:w="20" w:type="dxa"/>
              <w:right w:w="20" w:type="dxa"/>
            </w:tcMar>
            <w:vAlign w:val="bottom"/>
          </w:tcPr>
          <w:p w14:paraId="33DACA69" w14:textId="77777777" w:rsidR="004D6A64" w:rsidRDefault="004D6A64">
            <w:pPr>
              <w:rPr>
                <w:rFonts w:ascii="宋体"/>
              </w:rPr>
            </w:pPr>
          </w:p>
        </w:tc>
        <w:tc>
          <w:tcPr>
            <w:tcW w:w="0" w:type="auto"/>
            <w:shd w:val="clear" w:color="auto" w:fill="auto"/>
          </w:tcPr>
          <w:p w14:paraId="33DACA6A" w14:textId="77777777" w:rsidR="004D6A64" w:rsidRDefault="004D6A64">
            <w:pPr>
              <w:rPr>
                <w:rFonts w:ascii="宋体"/>
                <w:vanish/>
              </w:rPr>
            </w:pPr>
          </w:p>
        </w:tc>
        <w:tc>
          <w:tcPr>
            <w:tcW w:w="0" w:type="auto"/>
            <w:shd w:val="clear" w:color="auto" w:fill="auto"/>
          </w:tcPr>
          <w:p w14:paraId="33DACA6B" w14:textId="77777777" w:rsidR="004D6A64" w:rsidRDefault="004D6A64">
            <w:pPr>
              <w:rPr>
                <w:rFonts w:ascii="宋体"/>
                <w:vanish/>
              </w:rPr>
            </w:pPr>
          </w:p>
        </w:tc>
        <w:tc>
          <w:tcPr>
            <w:tcW w:w="0" w:type="auto"/>
            <w:gridSpan w:val="29"/>
            <w:tcBorders>
              <w:bottom w:val="single" w:sz="8" w:space="0" w:color="000000"/>
            </w:tcBorders>
            <w:shd w:val="clear" w:color="auto" w:fill="auto"/>
            <w:tcMar>
              <w:top w:w="40" w:type="dxa"/>
              <w:left w:w="20" w:type="dxa"/>
              <w:bottom w:w="40" w:type="dxa"/>
              <w:right w:w="20" w:type="dxa"/>
            </w:tcMar>
            <w:vAlign w:val="bottom"/>
          </w:tcPr>
          <w:p w14:paraId="33DACA6C" w14:textId="77777777" w:rsidR="004D6A64" w:rsidRDefault="00506CD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Pr>
          <w:p w14:paraId="33DACA6D" w14:textId="77777777" w:rsidR="004D6A64" w:rsidRDefault="004D6A64">
            <w:pPr>
              <w:rPr>
                <w:rFonts w:ascii="宋体"/>
                <w:vanish/>
              </w:rPr>
            </w:pPr>
          </w:p>
        </w:tc>
        <w:tc>
          <w:tcPr>
            <w:tcW w:w="0" w:type="auto"/>
            <w:gridSpan w:val="3"/>
            <w:shd w:val="clear" w:color="auto" w:fill="auto"/>
          </w:tcPr>
          <w:p w14:paraId="33DACA6E" w14:textId="77777777" w:rsidR="004D6A64" w:rsidRDefault="004D6A64">
            <w:pPr>
              <w:rPr>
                <w:rFonts w:ascii="宋体"/>
                <w:vanish/>
              </w:rPr>
            </w:pPr>
          </w:p>
        </w:tc>
        <w:tc>
          <w:tcPr>
            <w:tcW w:w="0" w:type="auto"/>
            <w:gridSpan w:val="3"/>
            <w:shd w:val="clear" w:color="auto" w:fill="auto"/>
          </w:tcPr>
          <w:p w14:paraId="33DACA6F" w14:textId="77777777" w:rsidR="004D6A64" w:rsidRDefault="004D6A64">
            <w:pPr>
              <w:rPr>
                <w:rFonts w:ascii="宋体"/>
                <w:vanish/>
              </w:rPr>
            </w:pPr>
          </w:p>
        </w:tc>
        <w:tc>
          <w:tcPr>
            <w:tcW w:w="0" w:type="auto"/>
            <w:gridSpan w:val="3"/>
            <w:shd w:val="clear" w:color="auto" w:fill="auto"/>
          </w:tcPr>
          <w:p w14:paraId="33DACA70" w14:textId="77777777" w:rsidR="004D6A64" w:rsidRDefault="004D6A64">
            <w:pPr>
              <w:rPr>
                <w:rFonts w:ascii="宋体"/>
                <w:vanish/>
              </w:rPr>
            </w:pPr>
          </w:p>
        </w:tc>
        <w:tc>
          <w:tcPr>
            <w:tcW w:w="0" w:type="auto"/>
            <w:gridSpan w:val="3"/>
            <w:shd w:val="clear" w:color="auto" w:fill="auto"/>
          </w:tcPr>
          <w:p w14:paraId="33DACA71" w14:textId="77777777" w:rsidR="004D6A64" w:rsidRDefault="004D6A64">
            <w:pPr>
              <w:rPr>
                <w:rFonts w:ascii="宋体"/>
                <w:vanish/>
              </w:rPr>
            </w:pPr>
          </w:p>
        </w:tc>
        <w:tc>
          <w:tcPr>
            <w:tcW w:w="0" w:type="auto"/>
            <w:gridSpan w:val="3"/>
            <w:shd w:val="clear" w:color="auto" w:fill="auto"/>
          </w:tcPr>
          <w:p w14:paraId="33DACA72" w14:textId="77777777" w:rsidR="004D6A64" w:rsidRDefault="004D6A64">
            <w:pPr>
              <w:rPr>
                <w:rFonts w:ascii="宋体"/>
                <w:vanish/>
              </w:rPr>
            </w:pPr>
          </w:p>
        </w:tc>
        <w:tc>
          <w:tcPr>
            <w:tcW w:w="0" w:type="auto"/>
            <w:gridSpan w:val="2"/>
            <w:shd w:val="clear" w:color="auto" w:fill="auto"/>
          </w:tcPr>
          <w:p w14:paraId="33DACA73" w14:textId="77777777" w:rsidR="004D6A64" w:rsidRDefault="004D6A64">
            <w:pPr>
              <w:rPr>
                <w:rFonts w:ascii="宋体"/>
                <w:vanish/>
              </w:rPr>
            </w:pPr>
          </w:p>
        </w:tc>
        <w:tc>
          <w:tcPr>
            <w:tcW w:w="0" w:type="auto"/>
            <w:shd w:val="clear" w:color="auto" w:fill="auto"/>
          </w:tcPr>
          <w:p w14:paraId="33DACA74" w14:textId="77777777" w:rsidR="004D6A64" w:rsidRDefault="004D6A64">
            <w:pPr>
              <w:rPr>
                <w:rFonts w:ascii="宋体"/>
                <w:vanish/>
              </w:rPr>
            </w:pPr>
          </w:p>
        </w:tc>
      </w:tr>
      <w:tr w:rsidR="004D6A64" w14:paraId="33DACA84" w14:textId="77777777">
        <w:tc>
          <w:tcPr>
            <w:tcW w:w="0" w:type="auto"/>
            <w:gridSpan w:val="3"/>
            <w:shd w:val="clear" w:color="auto" w:fill="auto"/>
            <w:tcMar>
              <w:left w:w="20" w:type="dxa"/>
              <w:right w:w="20" w:type="dxa"/>
            </w:tcMar>
            <w:vAlign w:val="bottom"/>
          </w:tcPr>
          <w:p w14:paraId="33DACA76" w14:textId="77777777" w:rsidR="004D6A64" w:rsidRDefault="004D6A64">
            <w:pPr>
              <w:rPr>
                <w:rFonts w:ascii="宋体"/>
              </w:rPr>
            </w:pPr>
          </w:p>
        </w:tc>
        <w:tc>
          <w:tcPr>
            <w:tcW w:w="0" w:type="auto"/>
            <w:shd w:val="clear" w:color="auto" w:fill="auto"/>
          </w:tcPr>
          <w:p w14:paraId="33DACA77" w14:textId="77777777" w:rsidR="004D6A64" w:rsidRDefault="004D6A64">
            <w:pPr>
              <w:rPr>
                <w:rFonts w:ascii="宋体"/>
                <w:vanish/>
              </w:rPr>
            </w:pPr>
          </w:p>
        </w:tc>
        <w:tc>
          <w:tcPr>
            <w:tcW w:w="0" w:type="auto"/>
            <w:shd w:val="clear" w:color="auto" w:fill="auto"/>
          </w:tcPr>
          <w:p w14:paraId="33DACA78" w14:textId="77777777" w:rsidR="004D6A64" w:rsidRDefault="004D6A64">
            <w:pPr>
              <w:rPr>
                <w:rFonts w:ascii="宋体"/>
                <w:vanish/>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3DACA79"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shd w:val="clear" w:color="auto" w:fill="auto"/>
          </w:tcPr>
          <w:p w14:paraId="33DACA7A" w14:textId="77777777" w:rsidR="004D6A64" w:rsidRDefault="004D6A64">
            <w:pPr>
              <w:rPr>
                <w:rFonts w:ascii="宋体"/>
                <w:vanish/>
              </w:rPr>
            </w:pPr>
          </w:p>
        </w:tc>
        <w:tc>
          <w:tcPr>
            <w:tcW w:w="0" w:type="auto"/>
            <w:shd w:val="clear" w:color="auto" w:fill="auto"/>
          </w:tcPr>
          <w:p w14:paraId="33DACA7B" w14:textId="77777777" w:rsidR="004D6A64" w:rsidRDefault="004D6A64">
            <w:pPr>
              <w:rPr>
                <w:rFonts w:ascii="宋体"/>
                <w:vanish/>
              </w:rPr>
            </w:pPr>
          </w:p>
        </w:tc>
        <w:tc>
          <w:tcPr>
            <w:tcW w:w="0" w:type="auto"/>
            <w:shd w:val="clear" w:color="auto" w:fill="auto"/>
          </w:tcPr>
          <w:p w14:paraId="33DACA7C" w14:textId="77777777" w:rsidR="004D6A64" w:rsidRDefault="004D6A64">
            <w:pPr>
              <w:rPr>
                <w:rFonts w:ascii="宋体"/>
                <w:vanish/>
              </w:rPr>
            </w:pPr>
          </w:p>
        </w:tc>
        <w:tc>
          <w:tcPr>
            <w:tcW w:w="0" w:type="auto"/>
            <w:gridSpan w:val="3"/>
            <w:shd w:val="clear" w:color="auto" w:fill="auto"/>
          </w:tcPr>
          <w:p w14:paraId="33DACA7D" w14:textId="77777777" w:rsidR="004D6A64" w:rsidRDefault="004D6A64">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33DACA7E" w14:textId="77777777" w:rsidR="004D6A64" w:rsidRDefault="004D6A64">
            <w:pPr>
              <w:rPr>
                <w:rFonts w:ascii="宋体"/>
              </w:rPr>
            </w:pPr>
          </w:p>
        </w:tc>
        <w:tc>
          <w:tcPr>
            <w:tcW w:w="0" w:type="auto"/>
            <w:gridSpan w:val="3"/>
            <w:shd w:val="clear" w:color="auto" w:fill="auto"/>
          </w:tcPr>
          <w:p w14:paraId="33DACA7F" w14:textId="77777777" w:rsidR="004D6A64" w:rsidRDefault="004D6A64">
            <w:pPr>
              <w:rPr>
                <w:rFonts w:ascii="宋体"/>
                <w:vanish/>
              </w:rPr>
            </w:pPr>
          </w:p>
        </w:tc>
        <w:tc>
          <w:tcPr>
            <w:tcW w:w="0" w:type="auto"/>
            <w:gridSpan w:val="3"/>
            <w:shd w:val="clear" w:color="auto" w:fill="auto"/>
          </w:tcPr>
          <w:p w14:paraId="33DACA80" w14:textId="77777777" w:rsidR="004D6A64" w:rsidRDefault="004D6A64">
            <w:pPr>
              <w:rPr>
                <w:rFonts w:ascii="宋体"/>
                <w:vanish/>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3DACA81" w14:textId="77777777" w:rsidR="004D6A64" w:rsidRDefault="00506CD6">
            <w:pPr>
              <w:jc w:val="center"/>
              <w:textAlignment w:val="bottom"/>
            </w:pPr>
            <w:r>
              <w:rPr>
                <w:rFonts w:ascii="Times New Roman" w:eastAsia="宋体" w:hAnsi="Times New Roman"/>
                <w:b/>
                <w:bCs/>
                <w:color w:val="000000"/>
                <w:sz w:val="20"/>
                <w:szCs w:val="20"/>
              </w:rPr>
              <w:t xml:space="preserve">August 2, </w:t>
            </w:r>
            <w:r>
              <w:rPr>
                <w:rFonts w:ascii="Times New Roman" w:eastAsia="宋体" w:hAnsi="Times New Roman"/>
                <w:b/>
                <w:bCs/>
                <w:color w:val="000000"/>
                <w:sz w:val="20"/>
                <w:szCs w:val="20"/>
              </w:rPr>
              <w:t>2019</w:t>
            </w:r>
          </w:p>
        </w:tc>
        <w:tc>
          <w:tcPr>
            <w:tcW w:w="0" w:type="auto"/>
            <w:gridSpan w:val="2"/>
            <w:shd w:val="clear" w:color="auto" w:fill="auto"/>
          </w:tcPr>
          <w:p w14:paraId="33DACA82" w14:textId="77777777" w:rsidR="004D6A64" w:rsidRDefault="004D6A64">
            <w:pPr>
              <w:rPr>
                <w:rFonts w:ascii="宋体"/>
                <w:vanish/>
              </w:rPr>
            </w:pPr>
          </w:p>
        </w:tc>
        <w:tc>
          <w:tcPr>
            <w:tcW w:w="0" w:type="auto"/>
            <w:shd w:val="clear" w:color="auto" w:fill="auto"/>
          </w:tcPr>
          <w:p w14:paraId="33DACA83" w14:textId="77777777" w:rsidR="004D6A64" w:rsidRDefault="004D6A64">
            <w:pPr>
              <w:rPr>
                <w:rFonts w:ascii="宋体"/>
                <w:vanish/>
              </w:rPr>
            </w:pPr>
          </w:p>
        </w:tc>
      </w:tr>
      <w:tr w:rsidR="004D6A64" w14:paraId="33DACAA4" w14:textId="77777777">
        <w:tc>
          <w:tcPr>
            <w:tcW w:w="0" w:type="auto"/>
            <w:gridSpan w:val="3"/>
            <w:shd w:val="clear" w:color="auto" w:fill="auto"/>
            <w:tcMar>
              <w:left w:w="20" w:type="dxa"/>
              <w:right w:w="20" w:type="dxa"/>
            </w:tcMar>
            <w:vAlign w:val="bottom"/>
          </w:tcPr>
          <w:p w14:paraId="33DACA85" w14:textId="77777777" w:rsidR="004D6A64" w:rsidRDefault="004D6A64">
            <w:pPr>
              <w:rPr>
                <w:rFonts w:ascii="宋体"/>
              </w:rPr>
            </w:pPr>
          </w:p>
        </w:tc>
        <w:tc>
          <w:tcPr>
            <w:tcW w:w="0" w:type="auto"/>
            <w:shd w:val="clear" w:color="auto" w:fill="auto"/>
          </w:tcPr>
          <w:p w14:paraId="33DACA86" w14:textId="77777777" w:rsidR="004D6A64" w:rsidRDefault="004D6A64">
            <w:pPr>
              <w:rPr>
                <w:rFonts w:ascii="宋体"/>
                <w:vanish/>
              </w:rPr>
            </w:pPr>
          </w:p>
        </w:tc>
        <w:tc>
          <w:tcPr>
            <w:tcW w:w="0" w:type="auto"/>
            <w:shd w:val="clear" w:color="auto" w:fill="auto"/>
          </w:tcPr>
          <w:p w14:paraId="33DACA87" w14:textId="77777777" w:rsidR="004D6A64" w:rsidRDefault="004D6A64">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CA88" w14:textId="77777777" w:rsidR="004D6A64" w:rsidRDefault="00506CD6">
            <w:pPr>
              <w:jc w:val="center"/>
              <w:textAlignment w:val="bottom"/>
            </w:pPr>
            <w:r>
              <w:rPr>
                <w:rFonts w:ascii="Times New Roman" w:eastAsia="宋体" w:hAnsi="Times New Roman"/>
                <w:b/>
                <w:bCs/>
                <w:color w:val="000000"/>
                <w:sz w:val="20"/>
                <w:szCs w:val="20"/>
              </w:rPr>
              <w:t>Cash Flow Hedges</w:t>
            </w:r>
          </w:p>
        </w:tc>
        <w:tc>
          <w:tcPr>
            <w:tcW w:w="0" w:type="auto"/>
            <w:gridSpan w:val="3"/>
            <w:tcBorders>
              <w:top w:val="single" w:sz="8" w:space="0" w:color="000000"/>
            </w:tcBorders>
            <w:shd w:val="clear" w:color="auto" w:fill="auto"/>
            <w:tcMar>
              <w:left w:w="20" w:type="dxa"/>
              <w:right w:w="20" w:type="dxa"/>
            </w:tcMar>
            <w:vAlign w:val="bottom"/>
          </w:tcPr>
          <w:p w14:paraId="33DACA89"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CA8A" w14:textId="77777777" w:rsidR="004D6A64" w:rsidRDefault="00506CD6">
            <w:pPr>
              <w:jc w:val="center"/>
              <w:textAlignment w:val="bottom"/>
            </w:pPr>
            <w:r>
              <w:rPr>
                <w:rFonts w:ascii="Times New Roman" w:eastAsia="宋体" w:hAnsi="Times New Roman"/>
                <w:b/>
                <w:bCs/>
                <w:color w:val="000000"/>
                <w:sz w:val="20"/>
                <w:szCs w:val="20"/>
              </w:rPr>
              <w:t>Pensions</w:t>
            </w:r>
          </w:p>
        </w:tc>
        <w:tc>
          <w:tcPr>
            <w:tcW w:w="0" w:type="auto"/>
            <w:gridSpan w:val="3"/>
            <w:tcBorders>
              <w:top w:val="single" w:sz="8" w:space="0" w:color="000000"/>
            </w:tcBorders>
            <w:shd w:val="clear" w:color="auto" w:fill="auto"/>
            <w:tcMar>
              <w:left w:w="20" w:type="dxa"/>
              <w:right w:w="20" w:type="dxa"/>
            </w:tcMar>
            <w:vAlign w:val="bottom"/>
          </w:tcPr>
          <w:p w14:paraId="33DACA8B"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CA8C" w14:textId="77777777" w:rsidR="004D6A64" w:rsidRDefault="00506CD6">
            <w:pPr>
              <w:jc w:val="center"/>
              <w:textAlignment w:val="bottom"/>
            </w:pPr>
            <w:r>
              <w:rPr>
                <w:rFonts w:ascii="Times New Roman" w:eastAsia="宋体" w:hAnsi="Times New Roman"/>
                <w:b/>
                <w:bCs/>
                <w:color w:val="000000"/>
                <w:sz w:val="20"/>
                <w:szCs w:val="20"/>
              </w:rPr>
              <w:t>Total</w:t>
            </w:r>
          </w:p>
        </w:tc>
        <w:tc>
          <w:tcPr>
            <w:tcW w:w="0" w:type="auto"/>
            <w:gridSpan w:val="3"/>
            <w:shd w:val="clear" w:color="auto" w:fill="auto"/>
            <w:tcMar>
              <w:left w:w="20" w:type="dxa"/>
              <w:right w:w="20" w:type="dxa"/>
            </w:tcMar>
            <w:vAlign w:val="bottom"/>
          </w:tcPr>
          <w:p w14:paraId="33DACA8D" w14:textId="77777777" w:rsidR="004D6A64" w:rsidRDefault="004D6A64">
            <w:pPr>
              <w:rPr>
                <w:rFonts w:ascii="宋体"/>
              </w:rPr>
            </w:pPr>
          </w:p>
        </w:tc>
        <w:tc>
          <w:tcPr>
            <w:tcW w:w="0" w:type="auto"/>
            <w:shd w:val="clear" w:color="auto" w:fill="auto"/>
          </w:tcPr>
          <w:p w14:paraId="33DACA8E" w14:textId="77777777" w:rsidR="004D6A64" w:rsidRDefault="004D6A64">
            <w:pPr>
              <w:rPr>
                <w:rFonts w:ascii="宋体"/>
                <w:vanish/>
              </w:rPr>
            </w:pPr>
          </w:p>
        </w:tc>
        <w:tc>
          <w:tcPr>
            <w:tcW w:w="0" w:type="auto"/>
            <w:shd w:val="clear" w:color="auto" w:fill="auto"/>
          </w:tcPr>
          <w:p w14:paraId="33DACA8F" w14:textId="77777777" w:rsidR="004D6A64" w:rsidRDefault="004D6A64">
            <w:pPr>
              <w:rPr>
                <w:rFonts w:ascii="宋体"/>
                <w:vanish/>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CA90" w14:textId="77777777" w:rsidR="004D6A64" w:rsidRDefault="00506CD6">
            <w:pPr>
              <w:jc w:val="center"/>
              <w:textAlignment w:val="bottom"/>
            </w:pPr>
            <w:r>
              <w:rPr>
                <w:rFonts w:ascii="Times New Roman" w:eastAsia="宋体" w:hAnsi="Times New Roman"/>
                <w:b/>
                <w:bCs/>
                <w:color w:val="000000"/>
                <w:sz w:val="20"/>
                <w:szCs w:val="20"/>
              </w:rPr>
              <w:t>Cash Flow Hedges</w:t>
            </w:r>
          </w:p>
        </w:tc>
        <w:tc>
          <w:tcPr>
            <w:tcW w:w="0" w:type="auto"/>
            <w:gridSpan w:val="3"/>
            <w:tcBorders>
              <w:top w:val="single" w:sz="8" w:space="0" w:color="000000"/>
            </w:tcBorders>
            <w:shd w:val="clear" w:color="auto" w:fill="auto"/>
            <w:tcMar>
              <w:left w:w="20" w:type="dxa"/>
              <w:right w:w="20" w:type="dxa"/>
            </w:tcMar>
            <w:vAlign w:val="bottom"/>
          </w:tcPr>
          <w:p w14:paraId="33DACA91"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CA92" w14:textId="77777777" w:rsidR="004D6A64" w:rsidRDefault="00506CD6">
            <w:pPr>
              <w:jc w:val="center"/>
              <w:textAlignment w:val="bottom"/>
            </w:pPr>
            <w:r>
              <w:rPr>
                <w:rFonts w:ascii="Times New Roman" w:eastAsia="宋体" w:hAnsi="Times New Roman"/>
                <w:b/>
                <w:bCs/>
                <w:color w:val="000000"/>
                <w:sz w:val="20"/>
                <w:szCs w:val="20"/>
              </w:rPr>
              <w:t>Pensions</w:t>
            </w:r>
          </w:p>
        </w:tc>
        <w:tc>
          <w:tcPr>
            <w:tcW w:w="0" w:type="auto"/>
            <w:gridSpan w:val="3"/>
            <w:tcBorders>
              <w:top w:val="single" w:sz="8" w:space="0" w:color="000000"/>
            </w:tcBorders>
            <w:shd w:val="clear" w:color="auto" w:fill="auto"/>
            <w:tcMar>
              <w:left w:w="20" w:type="dxa"/>
              <w:right w:w="20" w:type="dxa"/>
            </w:tcMar>
            <w:vAlign w:val="bottom"/>
          </w:tcPr>
          <w:p w14:paraId="33DACA93"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CA94" w14:textId="77777777" w:rsidR="004D6A64" w:rsidRDefault="00506CD6">
            <w:pPr>
              <w:jc w:val="center"/>
              <w:textAlignment w:val="bottom"/>
            </w:pPr>
            <w:r>
              <w:rPr>
                <w:rFonts w:ascii="Times New Roman" w:eastAsia="宋体" w:hAnsi="Times New Roman"/>
                <w:b/>
                <w:bCs/>
                <w:color w:val="000000"/>
                <w:sz w:val="20"/>
                <w:szCs w:val="20"/>
              </w:rPr>
              <w:t>Total</w:t>
            </w:r>
          </w:p>
        </w:tc>
        <w:tc>
          <w:tcPr>
            <w:tcW w:w="0" w:type="auto"/>
            <w:shd w:val="clear" w:color="auto" w:fill="auto"/>
          </w:tcPr>
          <w:p w14:paraId="33DACA95" w14:textId="77777777" w:rsidR="004D6A64" w:rsidRDefault="004D6A64">
            <w:pPr>
              <w:rPr>
                <w:rFonts w:ascii="宋体"/>
              </w:rPr>
            </w:pPr>
          </w:p>
        </w:tc>
        <w:tc>
          <w:tcPr>
            <w:tcW w:w="0" w:type="auto"/>
            <w:shd w:val="clear" w:color="auto" w:fill="auto"/>
          </w:tcPr>
          <w:p w14:paraId="33DACA96" w14:textId="77777777" w:rsidR="004D6A64" w:rsidRDefault="004D6A64">
            <w:pPr>
              <w:rPr>
                <w:rFonts w:ascii="宋体"/>
              </w:rPr>
            </w:pPr>
          </w:p>
        </w:tc>
        <w:tc>
          <w:tcPr>
            <w:tcW w:w="0" w:type="auto"/>
            <w:shd w:val="clear" w:color="auto" w:fill="auto"/>
          </w:tcPr>
          <w:p w14:paraId="33DACA97" w14:textId="77777777" w:rsidR="004D6A64" w:rsidRDefault="004D6A64">
            <w:pPr>
              <w:rPr>
                <w:rFonts w:ascii="宋体"/>
              </w:rPr>
            </w:pPr>
          </w:p>
        </w:tc>
        <w:tc>
          <w:tcPr>
            <w:tcW w:w="0" w:type="auto"/>
            <w:shd w:val="clear" w:color="auto" w:fill="auto"/>
          </w:tcPr>
          <w:p w14:paraId="33DACA98" w14:textId="77777777" w:rsidR="004D6A64" w:rsidRDefault="004D6A64">
            <w:pPr>
              <w:rPr>
                <w:rFonts w:ascii="宋体"/>
              </w:rPr>
            </w:pPr>
          </w:p>
        </w:tc>
        <w:tc>
          <w:tcPr>
            <w:tcW w:w="0" w:type="auto"/>
            <w:shd w:val="clear" w:color="auto" w:fill="auto"/>
          </w:tcPr>
          <w:p w14:paraId="33DACA99" w14:textId="77777777" w:rsidR="004D6A64" w:rsidRDefault="004D6A64">
            <w:pPr>
              <w:rPr>
                <w:rFonts w:ascii="宋体"/>
              </w:rPr>
            </w:pPr>
          </w:p>
        </w:tc>
        <w:tc>
          <w:tcPr>
            <w:tcW w:w="0" w:type="auto"/>
            <w:shd w:val="clear" w:color="auto" w:fill="auto"/>
          </w:tcPr>
          <w:p w14:paraId="33DACA9A" w14:textId="77777777" w:rsidR="004D6A64" w:rsidRDefault="004D6A64">
            <w:pPr>
              <w:rPr>
                <w:rFonts w:ascii="宋体"/>
              </w:rPr>
            </w:pPr>
          </w:p>
        </w:tc>
        <w:tc>
          <w:tcPr>
            <w:tcW w:w="0" w:type="auto"/>
            <w:shd w:val="clear" w:color="auto" w:fill="auto"/>
          </w:tcPr>
          <w:p w14:paraId="33DACA9B" w14:textId="77777777" w:rsidR="004D6A64" w:rsidRDefault="004D6A64">
            <w:pPr>
              <w:rPr>
                <w:rFonts w:ascii="宋体"/>
              </w:rPr>
            </w:pPr>
          </w:p>
        </w:tc>
        <w:tc>
          <w:tcPr>
            <w:tcW w:w="0" w:type="auto"/>
            <w:shd w:val="clear" w:color="auto" w:fill="auto"/>
          </w:tcPr>
          <w:p w14:paraId="33DACA9C" w14:textId="77777777" w:rsidR="004D6A64" w:rsidRDefault="004D6A64">
            <w:pPr>
              <w:rPr>
                <w:rFonts w:ascii="宋体"/>
              </w:rPr>
            </w:pPr>
          </w:p>
        </w:tc>
        <w:tc>
          <w:tcPr>
            <w:tcW w:w="0" w:type="auto"/>
            <w:shd w:val="clear" w:color="auto" w:fill="auto"/>
          </w:tcPr>
          <w:p w14:paraId="33DACA9D" w14:textId="77777777" w:rsidR="004D6A64" w:rsidRDefault="004D6A64">
            <w:pPr>
              <w:rPr>
                <w:rFonts w:ascii="宋体"/>
              </w:rPr>
            </w:pPr>
          </w:p>
        </w:tc>
        <w:tc>
          <w:tcPr>
            <w:tcW w:w="0" w:type="auto"/>
            <w:shd w:val="clear" w:color="auto" w:fill="auto"/>
          </w:tcPr>
          <w:p w14:paraId="33DACA9E" w14:textId="77777777" w:rsidR="004D6A64" w:rsidRDefault="004D6A64">
            <w:pPr>
              <w:rPr>
                <w:rFonts w:ascii="宋体"/>
              </w:rPr>
            </w:pPr>
          </w:p>
        </w:tc>
        <w:tc>
          <w:tcPr>
            <w:tcW w:w="0" w:type="auto"/>
            <w:shd w:val="clear" w:color="auto" w:fill="auto"/>
          </w:tcPr>
          <w:p w14:paraId="33DACA9F" w14:textId="77777777" w:rsidR="004D6A64" w:rsidRDefault="004D6A64">
            <w:pPr>
              <w:rPr>
                <w:rFonts w:ascii="宋体"/>
              </w:rPr>
            </w:pPr>
          </w:p>
        </w:tc>
        <w:tc>
          <w:tcPr>
            <w:tcW w:w="0" w:type="auto"/>
            <w:shd w:val="clear" w:color="auto" w:fill="auto"/>
          </w:tcPr>
          <w:p w14:paraId="33DACAA0" w14:textId="77777777" w:rsidR="004D6A64" w:rsidRDefault="004D6A64">
            <w:pPr>
              <w:rPr>
                <w:rFonts w:ascii="宋体"/>
              </w:rPr>
            </w:pPr>
          </w:p>
        </w:tc>
        <w:tc>
          <w:tcPr>
            <w:tcW w:w="0" w:type="auto"/>
            <w:shd w:val="clear" w:color="auto" w:fill="auto"/>
          </w:tcPr>
          <w:p w14:paraId="33DACAA1" w14:textId="77777777" w:rsidR="004D6A64" w:rsidRDefault="004D6A64">
            <w:pPr>
              <w:rPr>
                <w:rFonts w:ascii="宋体"/>
              </w:rPr>
            </w:pPr>
          </w:p>
        </w:tc>
        <w:tc>
          <w:tcPr>
            <w:tcW w:w="0" w:type="auto"/>
            <w:shd w:val="clear" w:color="auto" w:fill="auto"/>
          </w:tcPr>
          <w:p w14:paraId="33DACAA2" w14:textId="77777777" w:rsidR="004D6A64" w:rsidRDefault="004D6A64">
            <w:pPr>
              <w:rPr>
                <w:rFonts w:ascii="宋体"/>
              </w:rPr>
            </w:pPr>
          </w:p>
        </w:tc>
        <w:tc>
          <w:tcPr>
            <w:tcW w:w="0" w:type="auto"/>
            <w:shd w:val="clear" w:color="auto" w:fill="auto"/>
          </w:tcPr>
          <w:p w14:paraId="33DACAA3" w14:textId="77777777" w:rsidR="004D6A64" w:rsidRDefault="004D6A64">
            <w:pPr>
              <w:rPr>
                <w:rFonts w:ascii="宋体"/>
              </w:rPr>
            </w:pPr>
          </w:p>
        </w:tc>
      </w:tr>
      <w:tr w:rsidR="004D6A64" w14:paraId="33DACAB1" w14:textId="77777777">
        <w:tc>
          <w:tcPr>
            <w:tcW w:w="0" w:type="auto"/>
            <w:gridSpan w:val="3"/>
            <w:shd w:val="clear" w:color="auto" w:fill="FFFFFF"/>
            <w:tcMar>
              <w:left w:w="20" w:type="dxa"/>
              <w:right w:w="20" w:type="dxa"/>
            </w:tcMar>
            <w:vAlign w:val="bottom"/>
          </w:tcPr>
          <w:p w14:paraId="33DACAA5" w14:textId="77777777" w:rsidR="004D6A64" w:rsidRDefault="004D6A64">
            <w:pPr>
              <w:rPr>
                <w:rFonts w:ascii="宋体"/>
              </w:rPr>
            </w:pPr>
          </w:p>
        </w:tc>
        <w:tc>
          <w:tcPr>
            <w:tcW w:w="0" w:type="auto"/>
            <w:shd w:val="clear" w:color="auto" w:fill="auto"/>
          </w:tcPr>
          <w:p w14:paraId="33DACAA6" w14:textId="77777777" w:rsidR="004D6A64" w:rsidRDefault="004D6A64">
            <w:pPr>
              <w:rPr>
                <w:rFonts w:ascii="宋体"/>
                <w:vanish/>
              </w:rPr>
            </w:pPr>
          </w:p>
        </w:tc>
        <w:tc>
          <w:tcPr>
            <w:tcW w:w="0" w:type="auto"/>
            <w:shd w:val="clear" w:color="auto" w:fill="auto"/>
          </w:tcPr>
          <w:p w14:paraId="33DACAA7" w14:textId="77777777" w:rsidR="004D6A64" w:rsidRDefault="004D6A64">
            <w:pPr>
              <w:rPr>
                <w:rFonts w:ascii="宋体"/>
                <w:vanish/>
              </w:rPr>
            </w:pPr>
          </w:p>
        </w:tc>
        <w:tc>
          <w:tcPr>
            <w:tcW w:w="0" w:type="auto"/>
            <w:gridSpan w:val="29"/>
            <w:tcBorders>
              <w:top w:val="single" w:sz="8" w:space="0" w:color="000000"/>
            </w:tcBorders>
            <w:shd w:val="clear" w:color="auto" w:fill="FFFFFF"/>
            <w:tcMar>
              <w:top w:w="40" w:type="dxa"/>
              <w:left w:w="20" w:type="dxa"/>
              <w:bottom w:w="40" w:type="dxa"/>
              <w:right w:w="20" w:type="dxa"/>
            </w:tcMar>
            <w:vAlign w:val="bottom"/>
          </w:tcPr>
          <w:p w14:paraId="33DACAA8" w14:textId="77777777" w:rsidR="004D6A64" w:rsidRDefault="00506CD6">
            <w:pPr>
              <w:jc w:val="center"/>
              <w:textAlignment w:val="bottom"/>
            </w:pPr>
            <w:r>
              <w:rPr>
                <w:rFonts w:ascii="Times New Roman" w:eastAsia="宋体" w:hAnsi="Times New Roman"/>
                <w:color w:val="000000"/>
                <w:sz w:val="20"/>
                <w:szCs w:val="20"/>
              </w:rPr>
              <w:t>(in millions)</w:t>
            </w:r>
          </w:p>
        </w:tc>
        <w:tc>
          <w:tcPr>
            <w:tcW w:w="0" w:type="auto"/>
            <w:gridSpan w:val="3"/>
            <w:shd w:val="clear" w:color="auto" w:fill="auto"/>
          </w:tcPr>
          <w:p w14:paraId="33DACAA9" w14:textId="77777777" w:rsidR="004D6A64" w:rsidRDefault="004D6A64">
            <w:pPr>
              <w:rPr>
                <w:rFonts w:ascii="宋体"/>
                <w:vanish/>
              </w:rPr>
            </w:pPr>
          </w:p>
        </w:tc>
        <w:tc>
          <w:tcPr>
            <w:tcW w:w="0" w:type="auto"/>
            <w:gridSpan w:val="3"/>
            <w:shd w:val="clear" w:color="auto" w:fill="auto"/>
          </w:tcPr>
          <w:p w14:paraId="33DACAAA" w14:textId="77777777" w:rsidR="004D6A64" w:rsidRDefault="004D6A64">
            <w:pPr>
              <w:rPr>
                <w:rFonts w:ascii="宋体"/>
                <w:vanish/>
              </w:rPr>
            </w:pPr>
          </w:p>
        </w:tc>
        <w:tc>
          <w:tcPr>
            <w:tcW w:w="0" w:type="auto"/>
            <w:gridSpan w:val="3"/>
            <w:shd w:val="clear" w:color="auto" w:fill="auto"/>
          </w:tcPr>
          <w:p w14:paraId="33DACAAB" w14:textId="77777777" w:rsidR="004D6A64" w:rsidRDefault="004D6A64">
            <w:pPr>
              <w:rPr>
                <w:rFonts w:ascii="宋体"/>
                <w:vanish/>
              </w:rPr>
            </w:pPr>
          </w:p>
        </w:tc>
        <w:tc>
          <w:tcPr>
            <w:tcW w:w="0" w:type="auto"/>
            <w:gridSpan w:val="3"/>
            <w:shd w:val="clear" w:color="auto" w:fill="auto"/>
          </w:tcPr>
          <w:p w14:paraId="33DACAAC" w14:textId="77777777" w:rsidR="004D6A64" w:rsidRDefault="004D6A64">
            <w:pPr>
              <w:rPr>
                <w:rFonts w:ascii="宋体"/>
                <w:vanish/>
              </w:rPr>
            </w:pPr>
          </w:p>
        </w:tc>
        <w:tc>
          <w:tcPr>
            <w:tcW w:w="0" w:type="auto"/>
            <w:gridSpan w:val="3"/>
            <w:shd w:val="clear" w:color="auto" w:fill="auto"/>
          </w:tcPr>
          <w:p w14:paraId="33DACAAD" w14:textId="77777777" w:rsidR="004D6A64" w:rsidRDefault="004D6A64">
            <w:pPr>
              <w:rPr>
                <w:rFonts w:ascii="宋体"/>
                <w:vanish/>
              </w:rPr>
            </w:pPr>
          </w:p>
        </w:tc>
        <w:tc>
          <w:tcPr>
            <w:tcW w:w="0" w:type="auto"/>
            <w:gridSpan w:val="3"/>
            <w:shd w:val="clear" w:color="auto" w:fill="auto"/>
          </w:tcPr>
          <w:p w14:paraId="33DACAAE" w14:textId="77777777" w:rsidR="004D6A64" w:rsidRDefault="004D6A64">
            <w:pPr>
              <w:rPr>
                <w:rFonts w:ascii="宋体"/>
                <w:vanish/>
              </w:rPr>
            </w:pPr>
          </w:p>
        </w:tc>
        <w:tc>
          <w:tcPr>
            <w:tcW w:w="0" w:type="auto"/>
            <w:gridSpan w:val="2"/>
            <w:shd w:val="clear" w:color="auto" w:fill="auto"/>
          </w:tcPr>
          <w:p w14:paraId="33DACAAF" w14:textId="77777777" w:rsidR="004D6A64" w:rsidRDefault="004D6A64">
            <w:pPr>
              <w:rPr>
                <w:rFonts w:ascii="宋体"/>
                <w:vanish/>
              </w:rPr>
            </w:pPr>
          </w:p>
        </w:tc>
        <w:tc>
          <w:tcPr>
            <w:tcW w:w="0" w:type="auto"/>
            <w:shd w:val="clear" w:color="auto" w:fill="auto"/>
          </w:tcPr>
          <w:p w14:paraId="33DACAB0" w14:textId="77777777" w:rsidR="004D6A64" w:rsidRDefault="004D6A64">
            <w:pPr>
              <w:rPr>
                <w:rFonts w:ascii="宋体"/>
                <w:vanish/>
              </w:rPr>
            </w:pPr>
          </w:p>
        </w:tc>
      </w:tr>
      <w:tr w:rsidR="004D6A64" w14:paraId="33DACAD1" w14:textId="77777777">
        <w:tc>
          <w:tcPr>
            <w:tcW w:w="0" w:type="auto"/>
            <w:gridSpan w:val="3"/>
            <w:shd w:val="clear" w:color="auto" w:fill="CCEEFF"/>
            <w:tcMar>
              <w:top w:w="40" w:type="dxa"/>
              <w:left w:w="20" w:type="dxa"/>
              <w:bottom w:w="40" w:type="dxa"/>
              <w:right w:w="20" w:type="dxa"/>
            </w:tcMar>
            <w:vAlign w:val="center"/>
          </w:tcPr>
          <w:p w14:paraId="33DACAB2" w14:textId="77777777" w:rsidR="004D6A64" w:rsidRDefault="00506CD6">
            <w:pPr>
              <w:textAlignment w:val="center"/>
            </w:pPr>
            <w:r>
              <w:rPr>
                <w:rFonts w:ascii="Times New Roman" w:eastAsia="宋体" w:hAnsi="Times New Roman"/>
                <w:i/>
                <w:iCs/>
                <w:color w:val="000000"/>
                <w:sz w:val="20"/>
                <w:szCs w:val="20"/>
              </w:rPr>
              <w:t>Total reclassifications, net of tax:</w:t>
            </w:r>
          </w:p>
        </w:tc>
        <w:tc>
          <w:tcPr>
            <w:tcW w:w="0" w:type="auto"/>
            <w:shd w:val="clear" w:color="auto" w:fill="auto"/>
          </w:tcPr>
          <w:p w14:paraId="33DACAB3" w14:textId="77777777" w:rsidR="004D6A64" w:rsidRDefault="004D6A64">
            <w:pPr>
              <w:rPr>
                <w:rFonts w:ascii="宋体"/>
                <w:vanish/>
              </w:rPr>
            </w:pPr>
          </w:p>
        </w:tc>
        <w:tc>
          <w:tcPr>
            <w:tcW w:w="0" w:type="auto"/>
            <w:shd w:val="clear" w:color="auto" w:fill="auto"/>
          </w:tcPr>
          <w:p w14:paraId="33DACAB4" w14:textId="77777777" w:rsidR="004D6A64" w:rsidRDefault="004D6A64">
            <w:pPr>
              <w:rPr>
                <w:rFonts w:ascii="宋体"/>
                <w:vanish/>
              </w:rPr>
            </w:pPr>
          </w:p>
        </w:tc>
        <w:tc>
          <w:tcPr>
            <w:tcW w:w="0" w:type="auto"/>
            <w:gridSpan w:val="3"/>
            <w:shd w:val="clear" w:color="auto" w:fill="CCEEFF"/>
            <w:tcMar>
              <w:left w:w="20" w:type="dxa"/>
              <w:right w:w="20" w:type="dxa"/>
            </w:tcMar>
            <w:vAlign w:val="bottom"/>
          </w:tcPr>
          <w:p w14:paraId="33DACAB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AB6"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AB7"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AB8"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AB9"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ABA" w14:textId="77777777" w:rsidR="004D6A64" w:rsidRDefault="004D6A64">
            <w:pPr>
              <w:rPr>
                <w:rFonts w:ascii="宋体"/>
              </w:rPr>
            </w:pPr>
          </w:p>
        </w:tc>
        <w:tc>
          <w:tcPr>
            <w:tcW w:w="0" w:type="auto"/>
            <w:shd w:val="clear" w:color="auto" w:fill="auto"/>
          </w:tcPr>
          <w:p w14:paraId="33DACABB" w14:textId="77777777" w:rsidR="004D6A64" w:rsidRDefault="004D6A64">
            <w:pPr>
              <w:rPr>
                <w:rFonts w:ascii="宋体"/>
                <w:vanish/>
              </w:rPr>
            </w:pPr>
          </w:p>
        </w:tc>
        <w:tc>
          <w:tcPr>
            <w:tcW w:w="0" w:type="auto"/>
            <w:shd w:val="clear" w:color="auto" w:fill="auto"/>
          </w:tcPr>
          <w:p w14:paraId="33DACABC" w14:textId="77777777" w:rsidR="004D6A64" w:rsidRDefault="004D6A64">
            <w:pPr>
              <w:rPr>
                <w:rFonts w:ascii="宋体"/>
                <w:vanish/>
              </w:rPr>
            </w:pPr>
          </w:p>
        </w:tc>
        <w:tc>
          <w:tcPr>
            <w:tcW w:w="0" w:type="auto"/>
            <w:gridSpan w:val="3"/>
            <w:shd w:val="clear" w:color="auto" w:fill="CCEEFF"/>
            <w:tcMar>
              <w:left w:w="20" w:type="dxa"/>
              <w:right w:w="20" w:type="dxa"/>
            </w:tcMar>
            <w:vAlign w:val="bottom"/>
          </w:tcPr>
          <w:p w14:paraId="33DACAB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ABE"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ABF"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AC0"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AC1" w14:textId="77777777" w:rsidR="004D6A64" w:rsidRDefault="004D6A64">
            <w:pPr>
              <w:rPr>
                <w:rFonts w:ascii="宋体"/>
              </w:rPr>
            </w:pPr>
          </w:p>
        </w:tc>
        <w:tc>
          <w:tcPr>
            <w:tcW w:w="0" w:type="auto"/>
            <w:shd w:val="clear" w:color="auto" w:fill="auto"/>
          </w:tcPr>
          <w:p w14:paraId="33DACAC2" w14:textId="77777777" w:rsidR="004D6A64" w:rsidRDefault="004D6A64">
            <w:pPr>
              <w:rPr>
                <w:rFonts w:ascii="宋体"/>
              </w:rPr>
            </w:pPr>
          </w:p>
        </w:tc>
        <w:tc>
          <w:tcPr>
            <w:tcW w:w="0" w:type="auto"/>
            <w:shd w:val="clear" w:color="auto" w:fill="auto"/>
          </w:tcPr>
          <w:p w14:paraId="33DACAC3" w14:textId="77777777" w:rsidR="004D6A64" w:rsidRDefault="004D6A64">
            <w:pPr>
              <w:rPr>
                <w:rFonts w:ascii="宋体"/>
              </w:rPr>
            </w:pPr>
          </w:p>
        </w:tc>
        <w:tc>
          <w:tcPr>
            <w:tcW w:w="0" w:type="auto"/>
            <w:shd w:val="clear" w:color="auto" w:fill="auto"/>
          </w:tcPr>
          <w:p w14:paraId="33DACAC4" w14:textId="77777777" w:rsidR="004D6A64" w:rsidRDefault="004D6A64">
            <w:pPr>
              <w:rPr>
                <w:rFonts w:ascii="宋体"/>
              </w:rPr>
            </w:pPr>
          </w:p>
        </w:tc>
        <w:tc>
          <w:tcPr>
            <w:tcW w:w="0" w:type="auto"/>
            <w:shd w:val="clear" w:color="auto" w:fill="auto"/>
          </w:tcPr>
          <w:p w14:paraId="33DACAC5" w14:textId="77777777" w:rsidR="004D6A64" w:rsidRDefault="004D6A64">
            <w:pPr>
              <w:rPr>
                <w:rFonts w:ascii="宋体"/>
              </w:rPr>
            </w:pPr>
          </w:p>
        </w:tc>
        <w:tc>
          <w:tcPr>
            <w:tcW w:w="0" w:type="auto"/>
            <w:shd w:val="clear" w:color="auto" w:fill="auto"/>
          </w:tcPr>
          <w:p w14:paraId="33DACAC6" w14:textId="77777777" w:rsidR="004D6A64" w:rsidRDefault="004D6A64">
            <w:pPr>
              <w:rPr>
                <w:rFonts w:ascii="宋体"/>
              </w:rPr>
            </w:pPr>
          </w:p>
        </w:tc>
        <w:tc>
          <w:tcPr>
            <w:tcW w:w="0" w:type="auto"/>
            <w:shd w:val="clear" w:color="auto" w:fill="auto"/>
          </w:tcPr>
          <w:p w14:paraId="33DACAC7" w14:textId="77777777" w:rsidR="004D6A64" w:rsidRDefault="004D6A64">
            <w:pPr>
              <w:rPr>
                <w:rFonts w:ascii="宋体"/>
              </w:rPr>
            </w:pPr>
          </w:p>
        </w:tc>
        <w:tc>
          <w:tcPr>
            <w:tcW w:w="0" w:type="auto"/>
            <w:shd w:val="clear" w:color="auto" w:fill="auto"/>
          </w:tcPr>
          <w:p w14:paraId="33DACAC8" w14:textId="77777777" w:rsidR="004D6A64" w:rsidRDefault="004D6A64">
            <w:pPr>
              <w:rPr>
                <w:rFonts w:ascii="宋体"/>
              </w:rPr>
            </w:pPr>
          </w:p>
        </w:tc>
        <w:tc>
          <w:tcPr>
            <w:tcW w:w="0" w:type="auto"/>
            <w:shd w:val="clear" w:color="auto" w:fill="auto"/>
          </w:tcPr>
          <w:p w14:paraId="33DACAC9" w14:textId="77777777" w:rsidR="004D6A64" w:rsidRDefault="004D6A64">
            <w:pPr>
              <w:rPr>
                <w:rFonts w:ascii="宋体"/>
              </w:rPr>
            </w:pPr>
          </w:p>
        </w:tc>
        <w:tc>
          <w:tcPr>
            <w:tcW w:w="0" w:type="auto"/>
            <w:shd w:val="clear" w:color="auto" w:fill="auto"/>
          </w:tcPr>
          <w:p w14:paraId="33DACACA" w14:textId="77777777" w:rsidR="004D6A64" w:rsidRDefault="004D6A64">
            <w:pPr>
              <w:rPr>
                <w:rFonts w:ascii="宋体"/>
              </w:rPr>
            </w:pPr>
          </w:p>
        </w:tc>
        <w:tc>
          <w:tcPr>
            <w:tcW w:w="0" w:type="auto"/>
            <w:shd w:val="clear" w:color="auto" w:fill="auto"/>
          </w:tcPr>
          <w:p w14:paraId="33DACACB" w14:textId="77777777" w:rsidR="004D6A64" w:rsidRDefault="004D6A64">
            <w:pPr>
              <w:rPr>
                <w:rFonts w:ascii="宋体"/>
              </w:rPr>
            </w:pPr>
          </w:p>
        </w:tc>
        <w:tc>
          <w:tcPr>
            <w:tcW w:w="0" w:type="auto"/>
            <w:shd w:val="clear" w:color="auto" w:fill="auto"/>
          </w:tcPr>
          <w:p w14:paraId="33DACACC" w14:textId="77777777" w:rsidR="004D6A64" w:rsidRDefault="004D6A64">
            <w:pPr>
              <w:rPr>
                <w:rFonts w:ascii="宋体"/>
              </w:rPr>
            </w:pPr>
          </w:p>
        </w:tc>
        <w:tc>
          <w:tcPr>
            <w:tcW w:w="0" w:type="auto"/>
            <w:shd w:val="clear" w:color="auto" w:fill="auto"/>
          </w:tcPr>
          <w:p w14:paraId="33DACACD" w14:textId="77777777" w:rsidR="004D6A64" w:rsidRDefault="004D6A64">
            <w:pPr>
              <w:rPr>
                <w:rFonts w:ascii="宋体"/>
              </w:rPr>
            </w:pPr>
          </w:p>
        </w:tc>
        <w:tc>
          <w:tcPr>
            <w:tcW w:w="0" w:type="auto"/>
            <w:shd w:val="clear" w:color="auto" w:fill="auto"/>
          </w:tcPr>
          <w:p w14:paraId="33DACACE" w14:textId="77777777" w:rsidR="004D6A64" w:rsidRDefault="004D6A64">
            <w:pPr>
              <w:rPr>
                <w:rFonts w:ascii="宋体"/>
              </w:rPr>
            </w:pPr>
          </w:p>
        </w:tc>
        <w:tc>
          <w:tcPr>
            <w:tcW w:w="0" w:type="auto"/>
            <w:shd w:val="clear" w:color="auto" w:fill="auto"/>
          </w:tcPr>
          <w:p w14:paraId="33DACACF" w14:textId="77777777" w:rsidR="004D6A64" w:rsidRDefault="004D6A64">
            <w:pPr>
              <w:rPr>
                <w:rFonts w:ascii="宋体"/>
              </w:rPr>
            </w:pPr>
          </w:p>
        </w:tc>
        <w:tc>
          <w:tcPr>
            <w:tcW w:w="0" w:type="auto"/>
            <w:shd w:val="clear" w:color="auto" w:fill="auto"/>
          </w:tcPr>
          <w:p w14:paraId="33DACAD0" w14:textId="77777777" w:rsidR="004D6A64" w:rsidRDefault="004D6A64">
            <w:pPr>
              <w:rPr>
                <w:rFonts w:ascii="宋体"/>
              </w:rPr>
            </w:pPr>
          </w:p>
        </w:tc>
      </w:tr>
      <w:tr w:rsidR="004D6A64" w14:paraId="33DACAFD" w14:textId="77777777">
        <w:tc>
          <w:tcPr>
            <w:tcW w:w="0" w:type="auto"/>
            <w:gridSpan w:val="3"/>
            <w:shd w:val="clear" w:color="auto" w:fill="FFFFFF"/>
            <w:tcMar>
              <w:top w:w="40" w:type="dxa"/>
              <w:left w:w="135" w:type="dxa"/>
              <w:bottom w:w="40" w:type="dxa"/>
              <w:right w:w="20" w:type="dxa"/>
            </w:tcMar>
            <w:vAlign w:val="center"/>
          </w:tcPr>
          <w:p w14:paraId="33DACAD2" w14:textId="77777777" w:rsidR="004D6A64" w:rsidRDefault="00506CD6">
            <w:pPr>
              <w:textAlignment w:val="center"/>
            </w:pPr>
            <w:r>
              <w:rPr>
                <w:rFonts w:ascii="Times New Roman" w:eastAsia="宋体" w:hAnsi="Times New Roman"/>
                <w:color w:val="000000"/>
                <w:sz w:val="20"/>
                <w:szCs w:val="20"/>
              </w:rPr>
              <w:t>Net revenue</w:t>
            </w:r>
          </w:p>
        </w:tc>
        <w:tc>
          <w:tcPr>
            <w:tcW w:w="0" w:type="auto"/>
            <w:shd w:val="clear" w:color="auto" w:fill="auto"/>
          </w:tcPr>
          <w:p w14:paraId="33DACAD3" w14:textId="77777777" w:rsidR="004D6A64" w:rsidRDefault="004D6A64">
            <w:pPr>
              <w:rPr>
                <w:rFonts w:ascii="宋体"/>
                <w:vanish/>
              </w:rPr>
            </w:pPr>
          </w:p>
        </w:tc>
        <w:tc>
          <w:tcPr>
            <w:tcW w:w="0" w:type="auto"/>
            <w:shd w:val="clear" w:color="auto" w:fill="auto"/>
          </w:tcPr>
          <w:p w14:paraId="33DACAD4" w14:textId="77777777" w:rsidR="004D6A64" w:rsidRDefault="004D6A64">
            <w:pPr>
              <w:rPr>
                <w:rFonts w:ascii="宋体"/>
                <w:vanish/>
              </w:rPr>
            </w:pPr>
          </w:p>
        </w:tc>
        <w:tc>
          <w:tcPr>
            <w:tcW w:w="0" w:type="auto"/>
            <w:shd w:val="clear" w:color="auto" w:fill="FFFFFF"/>
            <w:tcMar>
              <w:top w:w="40" w:type="dxa"/>
              <w:left w:w="20" w:type="dxa"/>
              <w:bottom w:w="40" w:type="dxa"/>
            </w:tcMar>
            <w:vAlign w:val="center"/>
          </w:tcPr>
          <w:p w14:paraId="33DACAD5"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CAD6" w14:textId="77777777" w:rsidR="004D6A64" w:rsidRDefault="00506CD6">
            <w:pPr>
              <w:jc w:val="right"/>
              <w:textAlignment w:val="center"/>
            </w:pPr>
            <w:r>
              <w:rPr>
                <w:rFonts w:ascii="Times New Roman" w:eastAsia="宋体" w:hAnsi="Times New Roman"/>
                <w:color w:val="000000"/>
                <w:sz w:val="20"/>
                <w:szCs w:val="20"/>
              </w:rPr>
              <w:t>9 </w:t>
            </w:r>
          </w:p>
        </w:tc>
        <w:tc>
          <w:tcPr>
            <w:tcW w:w="0" w:type="auto"/>
            <w:shd w:val="clear" w:color="auto" w:fill="FFFFFF"/>
            <w:tcMar>
              <w:top w:w="40" w:type="dxa"/>
              <w:bottom w:w="40" w:type="dxa"/>
              <w:right w:w="20" w:type="dxa"/>
            </w:tcMar>
            <w:vAlign w:val="center"/>
          </w:tcPr>
          <w:p w14:paraId="33DACAD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AD8"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CAD9"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CADA"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CAD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ADC"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CADD"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CADE" w14:textId="77777777" w:rsidR="004D6A64" w:rsidRDefault="00506CD6">
            <w:pPr>
              <w:jc w:val="right"/>
              <w:textAlignment w:val="center"/>
            </w:pPr>
            <w:r>
              <w:rPr>
                <w:rFonts w:ascii="Times New Roman" w:eastAsia="宋体" w:hAnsi="Times New Roman"/>
                <w:color w:val="000000"/>
                <w:sz w:val="20"/>
                <w:szCs w:val="20"/>
              </w:rPr>
              <w:t>9 </w:t>
            </w:r>
          </w:p>
        </w:tc>
        <w:tc>
          <w:tcPr>
            <w:tcW w:w="0" w:type="auto"/>
            <w:shd w:val="clear" w:color="auto" w:fill="FFFFFF"/>
            <w:tcMar>
              <w:top w:w="40" w:type="dxa"/>
              <w:bottom w:w="40" w:type="dxa"/>
              <w:right w:w="20" w:type="dxa"/>
            </w:tcMar>
            <w:vAlign w:val="center"/>
          </w:tcPr>
          <w:p w14:paraId="33DACAD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AE0" w14:textId="77777777" w:rsidR="004D6A64" w:rsidRDefault="004D6A64">
            <w:pPr>
              <w:rPr>
                <w:rFonts w:ascii="宋体"/>
              </w:rPr>
            </w:pPr>
          </w:p>
        </w:tc>
        <w:tc>
          <w:tcPr>
            <w:tcW w:w="0" w:type="auto"/>
            <w:shd w:val="clear" w:color="auto" w:fill="auto"/>
          </w:tcPr>
          <w:p w14:paraId="33DACAE1" w14:textId="77777777" w:rsidR="004D6A64" w:rsidRDefault="004D6A64">
            <w:pPr>
              <w:rPr>
                <w:rFonts w:ascii="宋体"/>
                <w:vanish/>
              </w:rPr>
            </w:pPr>
          </w:p>
        </w:tc>
        <w:tc>
          <w:tcPr>
            <w:tcW w:w="0" w:type="auto"/>
            <w:shd w:val="clear" w:color="auto" w:fill="auto"/>
          </w:tcPr>
          <w:p w14:paraId="33DACAE2" w14:textId="77777777" w:rsidR="004D6A64" w:rsidRDefault="004D6A64">
            <w:pPr>
              <w:rPr>
                <w:rFonts w:ascii="宋体"/>
                <w:vanish/>
              </w:rPr>
            </w:pPr>
          </w:p>
        </w:tc>
        <w:tc>
          <w:tcPr>
            <w:tcW w:w="0" w:type="auto"/>
            <w:shd w:val="clear" w:color="auto" w:fill="FFFFFF"/>
            <w:tcMar>
              <w:top w:w="40" w:type="dxa"/>
              <w:left w:w="20" w:type="dxa"/>
              <w:bottom w:w="40" w:type="dxa"/>
            </w:tcMar>
            <w:vAlign w:val="center"/>
          </w:tcPr>
          <w:p w14:paraId="33DACAE3"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CAE4" w14:textId="77777777" w:rsidR="004D6A64" w:rsidRDefault="00506CD6">
            <w:pPr>
              <w:jc w:val="right"/>
              <w:textAlignment w:val="center"/>
            </w:pPr>
            <w:r>
              <w:rPr>
                <w:rFonts w:ascii="Times New Roman" w:eastAsia="宋体" w:hAnsi="Times New Roman"/>
                <w:color w:val="000000"/>
                <w:sz w:val="20"/>
                <w:szCs w:val="20"/>
              </w:rPr>
              <w:t>68 </w:t>
            </w:r>
          </w:p>
        </w:tc>
        <w:tc>
          <w:tcPr>
            <w:tcW w:w="0" w:type="auto"/>
            <w:shd w:val="clear" w:color="auto" w:fill="FFFFFF"/>
            <w:tcMar>
              <w:top w:w="40" w:type="dxa"/>
              <w:bottom w:w="40" w:type="dxa"/>
              <w:right w:w="20" w:type="dxa"/>
            </w:tcMar>
            <w:vAlign w:val="center"/>
          </w:tcPr>
          <w:p w14:paraId="33DACAE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AE6"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CAE7"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CAE8"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CAE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AEA"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CAEB"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CAEC" w14:textId="77777777" w:rsidR="004D6A64" w:rsidRDefault="00506CD6">
            <w:pPr>
              <w:jc w:val="right"/>
              <w:textAlignment w:val="center"/>
            </w:pPr>
            <w:r>
              <w:rPr>
                <w:rFonts w:ascii="Times New Roman" w:eastAsia="宋体" w:hAnsi="Times New Roman"/>
                <w:color w:val="000000"/>
                <w:sz w:val="20"/>
                <w:szCs w:val="20"/>
              </w:rPr>
              <w:t>68 </w:t>
            </w:r>
          </w:p>
        </w:tc>
        <w:tc>
          <w:tcPr>
            <w:tcW w:w="0" w:type="auto"/>
            <w:shd w:val="clear" w:color="auto" w:fill="FFFFFF"/>
            <w:tcMar>
              <w:top w:w="40" w:type="dxa"/>
              <w:bottom w:w="40" w:type="dxa"/>
              <w:right w:w="20" w:type="dxa"/>
            </w:tcMar>
            <w:vAlign w:val="center"/>
          </w:tcPr>
          <w:p w14:paraId="33DACAED" w14:textId="77777777" w:rsidR="004D6A64" w:rsidRDefault="004D6A64">
            <w:pPr>
              <w:jc w:val="right"/>
              <w:rPr>
                <w:rFonts w:ascii="宋体"/>
              </w:rPr>
            </w:pPr>
          </w:p>
        </w:tc>
        <w:tc>
          <w:tcPr>
            <w:tcW w:w="0" w:type="auto"/>
            <w:shd w:val="clear" w:color="auto" w:fill="auto"/>
          </w:tcPr>
          <w:p w14:paraId="33DACAEE" w14:textId="77777777" w:rsidR="004D6A64" w:rsidRDefault="004D6A64">
            <w:pPr>
              <w:rPr>
                <w:rFonts w:ascii="宋体"/>
              </w:rPr>
            </w:pPr>
          </w:p>
        </w:tc>
        <w:tc>
          <w:tcPr>
            <w:tcW w:w="0" w:type="auto"/>
            <w:shd w:val="clear" w:color="auto" w:fill="auto"/>
          </w:tcPr>
          <w:p w14:paraId="33DACAEF" w14:textId="77777777" w:rsidR="004D6A64" w:rsidRDefault="004D6A64">
            <w:pPr>
              <w:rPr>
                <w:rFonts w:ascii="宋体"/>
              </w:rPr>
            </w:pPr>
          </w:p>
        </w:tc>
        <w:tc>
          <w:tcPr>
            <w:tcW w:w="0" w:type="auto"/>
            <w:shd w:val="clear" w:color="auto" w:fill="auto"/>
          </w:tcPr>
          <w:p w14:paraId="33DACAF0" w14:textId="77777777" w:rsidR="004D6A64" w:rsidRDefault="004D6A64">
            <w:pPr>
              <w:rPr>
                <w:rFonts w:ascii="宋体"/>
              </w:rPr>
            </w:pPr>
          </w:p>
        </w:tc>
        <w:tc>
          <w:tcPr>
            <w:tcW w:w="0" w:type="auto"/>
            <w:shd w:val="clear" w:color="auto" w:fill="auto"/>
          </w:tcPr>
          <w:p w14:paraId="33DACAF1" w14:textId="77777777" w:rsidR="004D6A64" w:rsidRDefault="004D6A64">
            <w:pPr>
              <w:rPr>
                <w:rFonts w:ascii="宋体"/>
              </w:rPr>
            </w:pPr>
          </w:p>
        </w:tc>
        <w:tc>
          <w:tcPr>
            <w:tcW w:w="0" w:type="auto"/>
            <w:shd w:val="clear" w:color="auto" w:fill="auto"/>
          </w:tcPr>
          <w:p w14:paraId="33DACAF2" w14:textId="77777777" w:rsidR="004D6A64" w:rsidRDefault="004D6A64">
            <w:pPr>
              <w:rPr>
                <w:rFonts w:ascii="宋体"/>
              </w:rPr>
            </w:pPr>
          </w:p>
        </w:tc>
        <w:tc>
          <w:tcPr>
            <w:tcW w:w="0" w:type="auto"/>
            <w:shd w:val="clear" w:color="auto" w:fill="auto"/>
          </w:tcPr>
          <w:p w14:paraId="33DACAF3" w14:textId="77777777" w:rsidR="004D6A64" w:rsidRDefault="004D6A64">
            <w:pPr>
              <w:rPr>
                <w:rFonts w:ascii="宋体"/>
              </w:rPr>
            </w:pPr>
          </w:p>
        </w:tc>
        <w:tc>
          <w:tcPr>
            <w:tcW w:w="0" w:type="auto"/>
            <w:shd w:val="clear" w:color="auto" w:fill="auto"/>
          </w:tcPr>
          <w:p w14:paraId="33DACAF4" w14:textId="77777777" w:rsidR="004D6A64" w:rsidRDefault="004D6A64">
            <w:pPr>
              <w:rPr>
                <w:rFonts w:ascii="宋体"/>
              </w:rPr>
            </w:pPr>
          </w:p>
        </w:tc>
        <w:tc>
          <w:tcPr>
            <w:tcW w:w="0" w:type="auto"/>
            <w:shd w:val="clear" w:color="auto" w:fill="auto"/>
          </w:tcPr>
          <w:p w14:paraId="33DACAF5" w14:textId="77777777" w:rsidR="004D6A64" w:rsidRDefault="004D6A64">
            <w:pPr>
              <w:rPr>
                <w:rFonts w:ascii="宋体"/>
              </w:rPr>
            </w:pPr>
          </w:p>
        </w:tc>
        <w:tc>
          <w:tcPr>
            <w:tcW w:w="0" w:type="auto"/>
            <w:shd w:val="clear" w:color="auto" w:fill="auto"/>
          </w:tcPr>
          <w:p w14:paraId="33DACAF6" w14:textId="77777777" w:rsidR="004D6A64" w:rsidRDefault="004D6A64">
            <w:pPr>
              <w:rPr>
                <w:rFonts w:ascii="宋体"/>
              </w:rPr>
            </w:pPr>
          </w:p>
        </w:tc>
        <w:tc>
          <w:tcPr>
            <w:tcW w:w="0" w:type="auto"/>
            <w:shd w:val="clear" w:color="auto" w:fill="auto"/>
          </w:tcPr>
          <w:p w14:paraId="33DACAF7" w14:textId="77777777" w:rsidR="004D6A64" w:rsidRDefault="004D6A64">
            <w:pPr>
              <w:rPr>
                <w:rFonts w:ascii="宋体"/>
              </w:rPr>
            </w:pPr>
          </w:p>
        </w:tc>
        <w:tc>
          <w:tcPr>
            <w:tcW w:w="0" w:type="auto"/>
            <w:shd w:val="clear" w:color="auto" w:fill="auto"/>
          </w:tcPr>
          <w:p w14:paraId="33DACAF8" w14:textId="77777777" w:rsidR="004D6A64" w:rsidRDefault="004D6A64">
            <w:pPr>
              <w:rPr>
                <w:rFonts w:ascii="宋体"/>
              </w:rPr>
            </w:pPr>
          </w:p>
        </w:tc>
        <w:tc>
          <w:tcPr>
            <w:tcW w:w="0" w:type="auto"/>
            <w:shd w:val="clear" w:color="auto" w:fill="auto"/>
          </w:tcPr>
          <w:p w14:paraId="33DACAF9" w14:textId="77777777" w:rsidR="004D6A64" w:rsidRDefault="004D6A64">
            <w:pPr>
              <w:rPr>
                <w:rFonts w:ascii="宋体"/>
              </w:rPr>
            </w:pPr>
          </w:p>
        </w:tc>
        <w:tc>
          <w:tcPr>
            <w:tcW w:w="0" w:type="auto"/>
            <w:shd w:val="clear" w:color="auto" w:fill="auto"/>
          </w:tcPr>
          <w:p w14:paraId="33DACAFA" w14:textId="77777777" w:rsidR="004D6A64" w:rsidRDefault="004D6A64">
            <w:pPr>
              <w:rPr>
                <w:rFonts w:ascii="宋体"/>
              </w:rPr>
            </w:pPr>
          </w:p>
        </w:tc>
        <w:tc>
          <w:tcPr>
            <w:tcW w:w="0" w:type="auto"/>
            <w:shd w:val="clear" w:color="auto" w:fill="auto"/>
          </w:tcPr>
          <w:p w14:paraId="33DACAFB" w14:textId="77777777" w:rsidR="004D6A64" w:rsidRDefault="004D6A64">
            <w:pPr>
              <w:rPr>
                <w:rFonts w:ascii="宋体"/>
              </w:rPr>
            </w:pPr>
          </w:p>
        </w:tc>
        <w:tc>
          <w:tcPr>
            <w:tcW w:w="0" w:type="auto"/>
            <w:shd w:val="clear" w:color="auto" w:fill="auto"/>
          </w:tcPr>
          <w:p w14:paraId="33DACAFC" w14:textId="77777777" w:rsidR="004D6A64" w:rsidRDefault="004D6A64">
            <w:pPr>
              <w:rPr>
                <w:rFonts w:ascii="宋体"/>
              </w:rPr>
            </w:pPr>
          </w:p>
        </w:tc>
      </w:tr>
      <w:tr w:rsidR="004D6A64" w14:paraId="33DACB23" w14:textId="77777777">
        <w:tc>
          <w:tcPr>
            <w:tcW w:w="0" w:type="auto"/>
            <w:gridSpan w:val="3"/>
            <w:shd w:val="clear" w:color="auto" w:fill="CCEEFF"/>
            <w:tcMar>
              <w:top w:w="40" w:type="dxa"/>
              <w:left w:w="135" w:type="dxa"/>
              <w:bottom w:w="40" w:type="dxa"/>
              <w:right w:w="20" w:type="dxa"/>
            </w:tcMar>
            <w:vAlign w:val="center"/>
          </w:tcPr>
          <w:p w14:paraId="33DACAFE" w14:textId="77777777" w:rsidR="004D6A64" w:rsidRDefault="00506CD6">
            <w:pPr>
              <w:textAlignment w:val="center"/>
            </w:pPr>
            <w:r>
              <w:rPr>
                <w:rFonts w:ascii="Times New Roman" w:eastAsia="宋体" w:hAnsi="Times New Roman"/>
                <w:color w:val="000000"/>
                <w:sz w:val="20"/>
                <w:szCs w:val="20"/>
              </w:rPr>
              <w:t>Cost of net revenue</w:t>
            </w:r>
          </w:p>
        </w:tc>
        <w:tc>
          <w:tcPr>
            <w:tcW w:w="0" w:type="auto"/>
            <w:shd w:val="clear" w:color="auto" w:fill="auto"/>
          </w:tcPr>
          <w:p w14:paraId="33DACAFF" w14:textId="77777777" w:rsidR="004D6A64" w:rsidRDefault="004D6A64">
            <w:pPr>
              <w:rPr>
                <w:rFonts w:ascii="宋体"/>
                <w:vanish/>
              </w:rPr>
            </w:pPr>
          </w:p>
        </w:tc>
        <w:tc>
          <w:tcPr>
            <w:tcW w:w="0" w:type="auto"/>
            <w:shd w:val="clear" w:color="auto" w:fill="auto"/>
          </w:tcPr>
          <w:p w14:paraId="33DACB00" w14:textId="77777777" w:rsidR="004D6A64" w:rsidRDefault="004D6A64">
            <w:pPr>
              <w:rPr>
                <w:rFonts w:ascii="宋体"/>
                <w:vanish/>
              </w:rPr>
            </w:pPr>
          </w:p>
        </w:tc>
        <w:tc>
          <w:tcPr>
            <w:tcW w:w="0" w:type="auto"/>
            <w:gridSpan w:val="2"/>
            <w:shd w:val="clear" w:color="auto" w:fill="CCEEFF"/>
            <w:tcMar>
              <w:top w:w="40" w:type="dxa"/>
              <w:left w:w="20" w:type="dxa"/>
              <w:bottom w:w="40" w:type="dxa"/>
              <w:right w:w="0" w:type="dxa"/>
            </w:tcMar>
            <w:vAlign w:val="center"/>
          </w:tcPr>
          <w:p w14:paraId="33DACB01" w14:textId="77777777" w:rsidR="004D6A64" w:rsidRDefault="00506CD6">
            <w:pPr>
              <w:jc w:val="right"/>
              <w:textAlignment w:val="center"/>
            </w:pPr>
            <w:r>
              <w:rPr>
                <w:rFonts w:ascii="Times New Roman" w:eastAsia="宋体" w:hAnsi="Times New Roman"/>
                <w:color w:val="000000"/>
                <w:sz w:val="20"/>
                <w:szCs w:val="20"/>
              </w:rPr>
              <w:t>(1)</w:t>
            </w:r>
          </w:p>
        </w:tc>
        <w:tc>
          <w:tcPr>
            <w:tcW w:w="0" w:type="auto"/>
            <w:shd w:val="clear" w:color="auto" w:fill="CCEEFF"/>
            <w:tcMar>
              <w:top w:w="40" w:type="dxa"/>
              <w:bottom w:w="40" w:type="dxa"/>
              <w:right w:w="20" w:type="dxa"/>
            </w:tcMar>
            <w:vAlign w:val="center"/>
          </w:tcPr>
          <w:p w14:paraId="33DACB0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B0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B04"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CB0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B0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B07" w14:textId="77777777" w:rsidR="004D6A64" w:rsidRDefault="00506CD6">
            <w:pPr>
              <w:jc w:val="right"/>
              <w:textAlignment w:val="center"/>
            </w:pPr>
            <w:r>
              <w:rPr>
                <w:rFonts w:ascii="Times New Roman" w:eastAsia="宋体" w:hAnsi="Times New Roman"/>
                <w:color w:val="000000"/>
                <w:sz w:val="20"/>
                <w:szCs w:val="20"/>
              </w:rPr>
              <w:t>(1)</w:t>
            </w:r>
          </w:p>
        </w:tc>
        <w:tc>
          <w:tcPr>
            <w:tcW w:w="0" w:type="auto"/>
            <w:shd w:val="clear" w:color="auto" w:fill="CCEEFF"/>
            <w:tcMar>
              <w:top w:w="40" w:type="dxa"/>
              <w:bottom w:w="40" w:type="dxa"/>
              <w:right w:w="20" w:type="dxa"/>
            </w:tcMar>
            <w:vAlign w:val="center"/>
          </w:tcPr>
          <w:p w14:paraId="33DACB0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B09" w14:textId="77777777" w:rsidR="004D6A64" w:rsidRDefault="004D6A64">
            <w:pPr>
              <w:rPr>
                <w:rFonts w:ascii="宋体"/>
              </w:rPr>
            </w:pPr>
          </w:p>
        </w:tc>
        <w:tc>
          <w:tcPr>
            <w:tcW w:w="0" w:type="auto"/>
            <w:shd w:val="clear" w:color="auto" w:fill="auto"/>
          </w:tcPr>
          <w:p w14:paraId="33DACB0A" w14:textId="77777777" w:rsidR="004D6A64" w:rsidRDefault="004D6A64">
            <w:pPr>
              <w:rPr>
                <w:rFonts w:ascii="宋体"/>
                <w:vanish/>
              </w:rPr>
            </w:pPr>
          </w:p>
        </w:tc>
        <w:tc>
          <w:tcPr>
            <w:tcW w:w="0" w:type="auto"/>
            <w:shd w:val="clear" w:color="auto" w:fill="auto"/>
          </w:tcPr>
          <w:p w14:paraId="33DACB0B" w14:textId="77777777" w:rsidR="004D6A64" w:rsidRDefault="004D6A64">
            <w:pPr>
              <w:rPr>
                <w:rFonts w:ascii="宋体"/>
                <w:vanish/>
              </w:rPr>
            </w:pPr>
          </w:p>
        </w:tc>
        <w:tc>
          <w:tcPr>
            <w:tcW w:w="0" w:type="auto"/>
            <w:gridSpan w:val="2"/>
            <w:shd w:val="clear" w:color="auto" w:fill="CCEEFF"/>
            <w:tcMar>
              <w:top w:w="40" w:type="dxa"/>
              <w:left w:w="20" w:type="dxa"/>
              <w:bottom w:w="40" w:type="dxa"/>
              <w:right w:w="0" w:type="dxa"/>
            </w:tcMar>
            <w:vAlign w:val="center"/>
          </w:tcPr>
          <w:p w14:paraId="33DACB0C"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CB0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B0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B0F"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CB1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B11"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B12"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CB13" w14:textId="77777777" w:rsidR="004D6A64" w:rsidRDefault="004D6A64">
            <w:pPr>
              <w:jc w:val="right"/>
              <w:rPr>
                <w:rFonts w:ascii="宋体"/>
              </w:rPr>
            </w:pPr>
          </w:p>
        </w:tc>
        <w:tc>
          <w:tcPr>
            <w:tcW w:w="0" w:type="auto"/>
            <w:shd w:val="clear" w:color="auto" w:fill="auto"/>
          </w:tcPr>
          <w:p w14:paraId="33DACB14" w14:textId="77777777" w:rsidR="004D6A64" w:rsidRDefault="004D6A64">
            <w:pPr>
              <w:rPr>
                <w:rFonts w:ascii="宋体"/>
              </w:rPr>
            </w:pPr>
          </w:p>
        </w:tc>
        <w:tc>
          <w:tcPr>
            <w:tcW w:w="0" w:type="auto"/>
            <w:shd w:val="clear" w:color="auto" w:fill="auto"/>
          </w:tcPr>
          <w:p w14:paraId="33DACB15" w14:textId="77777777" w:rsidR="004D6A64" w:rsidRDefault="004D6A64">
            <w:pPr>
              <w:rPr>
                <w:rFonts w:ascii="宋体"/>
              </w:rPr>
            </w:pPr>
          </w:p>
        </w:tc>
        <w:tc>
          <w:tcPr>
            <w:tcW w:w="0" w:type="auto"/>
            <w:shd w:val="clear" w:color="auto" w:fill="auto"/>
          </w:tcPr>
          <w:p w14:paraId="33DACB16" w14:textId="77777777" w:rsidR="004D6A64" w:rsidRDefault="004D6A64">
            <w:pPr>
              <w:rPr>
                <w:rFonts w:ascii="宋体"/>
              </w:rPr>
            </w:pPr>
          </w:p>
        </w:tc>
        <w:tc>
          <w:tcPr>
            <w:tcW w:w="0" w:type="auto"/>
            <w:shd w:val="clear" w:color="auto" w:fill="auto"/>
          </w:tcPr>
          <w:p w14:paraId="33DACB17" w14:textId="77777777" w:rsidR="004D6A64" w:rsidRDefault="004D6A64">
            <w:pPr>
              <w:rPr>
                <w:rFonts w:ascii="宋体"/>
              </w:rPr>
            </w:pPr>
          </w:p>
        </w:tc>
        <w:tc>
          <w:tcPr>
            <w:tcW w:w="0" w:type="auto"/>
            <w:shd w:val="clear" w:color="auto" w:fill="auto"/>
          </w:tcPr>
          <w:p w14:paraId="33DACB18" w14:textId="77777777" w:rsidR="004D6A64" w:rsidRDefault="004D6A64">
            <w:pPr>
              <w:rPr>
                <w:rFonts w:ascii="宋体"/>
              </w:rPr>
            </w:pPr>
          </w:p>
        </w:tc>
        <w:tc>
          <w:tcPr>
            <w:tcW w:w="0" w:type="auto"/>
            <w:shd w:val="clear" w:color="auto" w:fill="auto"/>
          </w:tcPr>
          <w:p w14:paraId="33DACB19" w14:textId="77777777" w:rsidR="004D6A64" w:rsidRDefault="004D6A64">
            <w:pPr>
              <w:rPr>
                <w:rFonts w:ascii="宋体"/>
              </w:rPr>
            </w:pPr>
          </w:p>
        </w:tc>
        <w:tc>
          <w:tcPr>
            <w:tcW w:w="0" w:type="auto"/>
            <w:shd w:val="clear" w:color="auto" w:fill="auto"/>
          </w:tcPr>
          <w:p w14:paraId="33DACB1A" w14:textId="77777777" w:rsidR="004D6A64" w:rsidRDefault="004D6A64">
            <w:pPr>
              <w:rPr>
                <w:rFonts w:ascii="宋体"/>
              </w:rPr>
            </w:pPr>
          </w:p>
        </w:tc>
        <w:tc>
          <w:tcPr>
            <w:tcW w:w="0" w:type="auto"/>
            <w:shd w:val="clear" w:color="auto" w:fill="auto"/>
          </w:tcPr>
          <w:p w14:paraId="33DACB1B" w14:textId="77777777" w:rsidR="004D6A64" w:rsidRDefault="004D6A64">
            <w:pPr>
              <w:rPr>
                <w:rFonts w:ascii="宋体"/>
              </w:rPr>
            </w:pPr>
          </w:p>
        </w:tc>
        <w:tc>
          <w:tcPr>
            <w:tcW w:w="0" w:type="auto"/>
            <w:shd w:val="clear" w:color="auto" w:fill="auto"/>
          </w:tcPr>
          <w:p w14:paraId="33DACB1C" w14:textId="77777777" w:rsidR="004D6A64" w:rsidRDefault="004D6A64">
            <w:pPr>
              <w:rPr>
                <w:rFonts w:ascii="宋体"/>
              </w:rPr>
            </w:pPr>
          </w:p>
        </w:tc>
        <w:tc>
          <w:tcPr>
            <w:tcW w:w="0" w:type="auto"/>
            <w:shd w:val="clear" w:color="auto" w:fill="auto"/>
          </w:tcPr>
          <w:p w14:paraId="33DACB1D" w14:textId="77777777" w:rsidR="004D6A64" w:rsidRDefault="004D6A64">
            <w:pPr>
              <w:rPr>
                <w:rFonts w:ascii="宋体"/>
              </w:rPr>
            </w:pPr>
          </w:p>
        </w:tc>
        <w:tc>
          <w:tcPr>
            <w:tcW w:w="0" w:type="auto"/>
            <w:shd w:val="clear" w:color="auto" w:fill="auto"/>
          </w:tcPr>
          <w:p w14:paraId="33DACB1E" w14:textId="77777777" w:rsidR="004D6A64" w:rsidRDefault="004D6A64">
            <w:pPr>
              <w:rPr>
                <w:rFonts w:ascii="宋体"/>
              </w:rPr>
            </w:pPr>
          </w:p>
        </w:tc>
        <w:tc>
          <w:tcPr>
            <w:tcW w:w="0" w:type="auto"/>
            <w:shd w:val="clear" w:color="auto" w:fill="auto"/>
          </w:tcPr>
          <w:p w14:paraId="33DACB1F" w14:textId="77777777" w:rsidR="004D6A64" w:rsidRDefault="004D6A64">
            <w:pPr>
              <w:rPr>
                <w:rFonts w:ascii="宋体"/>
              </w:rPr>
            </w:pPr>
          </w:p>
        </w:tc>
        <w:tc>
          <w:tcPr>
            <w:tcW w:w="0" w:type="auto"/>
            <w:shd w:val="clear" w:color="auto" w:fill="auto"/>
          </w:tcPr>
          <w:p w14:paraId="33DACB20" w14:textId="77777777" w:rsidR="004D6A64" w:rsidRDefault="004D6A64">
            <w:pPr>
              <w:rPr>
                <w:rFonts w:ascii="宋体"/>
              </w:rPr>
            </w:pPr>
          </w:p>
        </w:tc>
        <w:tc>
          <w:tcPr>
            <w:tcW w:w="0" w:type="auto"/>
            <w:shd w:val="clear" w:color="auto" w:fill="auto"/>
          </w:tcPr>
          <w:p w14:paraId="33DACB21" w14:textId="77777777" w:rsidR="004D6A64" w:rsidRDefault="004D6A64">
            <w:pPr>
              <w:rPr>
                <w:rFonts w:ascii="宋体"/>
              </w:rPr>
            </w:pPr>
          </w:p>
        </w:tc>
        <w:tc>
          <w:tcPr>
            <w:tcW w:w="0" w:type="auto"/>
            <w:shd w:val="clear" w:color="auto" w:fill="auto"/>
          </w:tcPr>
          <w:p w14:paraId="33DACB22" w14:textId="77777777" w:rsidR="004D6A64" w:rsidRDefault="004D6A64">
            <w:pPr>
              <w:rPr>
                <w:rFonts w:ascii="宋体"/>
              </w:rPr>
            </w:pPr>
          </w:p>
        </w:tc>
      </w:tr>
      <w:tr w:rsidR="004D6A64" w14:paraId="33DACB49" w14:textId="77777777">
        <w:tc>
          <w:tcPr>
            <w:tcW w:w="0" w:type="auto"/>
            <w:gridSpan w:val="3"/>
            <w:shd w:val="clear" w:color="auto" w:fill="FFFFFF"/>
            <w:tcMar>
              <w:top w:w="40" w:type="dxa"/>
              <w:left w:w="135" w:type="dxa"/>
              <w:bottom w:w="40" w:type="dxa"/>
              <w:right w:w="20" w:type="dxa"/>
            </w:tcMar>
            <w:vAlign w:val="center"/>
          </w:tcPr>
          <w:p w14:paraId="33DACB24" w14:textId="77777777" w:rsidR="004D6A64" w:rsidRDefault="00506CD6">
            <w:pPr>
              <w:textAlignment w:val="center"/>
            </w:pPr>
            <w:r>
              <w:rPr>
                <w:rFonts w:ascii="Times New Roman" w:eastAsia="宋体" w:hAnsi="Times New Roman"/>
                <w:color w:val="000000"/>
                <w:sz w:val="20"/>
                <w:szCs w:val="20"/>
              </w:rPr>
              <w:t>Operating expenses</w:t>
            </w:r>
          </w:p>
        </w:tc>
        <w:tc>
          <w:tcPr>
            <w:tcW w:w="0" w:type="auto"/>
            <w:shd w:val="clear" w:color="auto" w:fill="auto"/>
          </w:tcPr>
          <w:p w14:paraId="33DACB25" w14:textId="77777777" w:rsidR="004D6A64" w:rsidRDefault="004D6A64">
            <w:pPr>
              <w:rPr>
                <w:rFonts w:ascii="宋体"/>
                <w:vanish/>
              </w:rPr>
            </w:pPr>
          </w:p>
        </w:tc>
        <w:tc>
          <w:tcPr>
            <w:tcW w:w="0" w:type="auto"/>
            <w:shd w:val="clear" w:color="auto" w:fill="auto"/>
          </w:tcPr>
          <w:p w14:paraId="33DACB26" w14:textId="77777777" w:rsidR="004D6A64" w:rsidRDefault="004D6A64">
            <w:pPr>
              <w:rPr>
                <w:rFonts w:ascii="宋体"/>
                <w:vanish/>
              </w:rPr>
            </w:pPr>
          </w:p>
        </w:tc>
        <w:tc>
          <w:tcPr>
            <w:tcW w:w="0" w:type="auto"/>
            <w:gridSpan w:val="2"/>
            <w:shd w:val="clear" w:color="auto" w:fill="FFFFFF"/>
            <w:tcMar>
              <w:top w:w="40" w:type="dxa"/>
              <w:left w:w="20" w:type="dxa"/>
              <w:bottom w:w="40" w:type="dxa"/>
              <w:right w:w="0" w:type="dxa"/>
            </w:tcMar>
            <w:vAlign w:val="center"/>
          </w:tcPr>
          <w:p w14:paraId="33DACB27"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CB2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B29"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B2A" w14:textId="77777777" w:rsidR="004D6A64" w:rsidRDefault="00506CD6">
            <w:pPr>
              <w:jc w:val="right"/>
              <w:textAlignment w:val="center"/>
            </w:pPr>
            <w:r>
              <w:rPr>
                <w:rFonts w:ascii="Times New Roman" w:eastAsia="宋体" w:hAnsi="Times New Roman"/>
                <w:color w:val="000000"/>
                <w:sz w:val="20"/>
                <w:szCs w:val="20"/>
              </w:rPr>
              <w:t>(2)</w:t>
            </w:r>
          </w:p>
        </w:tc>
        <w:tc>
          <w:tcPr>
            <w:tcW w:w="0" w:type="auto"/>
            <w:shd w:val="clear" w:color="auto" w:fill="FFFFFF"/>
            <w:tcMar>
              <w:top w:w="40" w:type="dxa"/>
              <w:bottom w:w="40" w:type="dxa"/>
              <w:right w:w="20" w:type="dxa"/>
            </w:tcMar>
            <w:vAlign w:val="center"/>
          </w:tcPr>
          <w:p w14:paraId="33DACB2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B2C"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B2D" w14:textId="77777777" w:rsidR="004D6A64" w:rsidRDefault="00506CD6">
            <w:pPr>
              <w:jc w:val="right"/>
              <w:textAlignment w:val="center"/>
            </w:pPr>
            <w:r>
              <w:rPr>
                <w:rFonts w:ascii="Times New Roman" w:eastAsia="宋体" w:hAnsi="Times New Roman"/>
                <w:color w:val="000000"/>
                <w:sz w:val="20"/>
                <w:szCs w:val="20"/>
              </w:rPr>
              <w:t>(2)</w:t>
            </w:r>
          </w:p>
        </w:tc>
        <w:tc>
          <w:tcPr>
            <w:tcW w:w="0" w:type="auto"/>
            <w:shd w:val="clear" w:color="auto" w:fill="FFFFFF"/>
            <w:tcMar>
              <w:top w:w="40" w:type="dxa"/>
              <w:bottom w:w="40" w:type="dxa"/>
              <w:right w:w="20" w:type="dxa"/>
            </w:tcMar>
            <w:vAlign w:val="center"/>
          </w:tcPr>
          <w:p w14:paraId="33DACB2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B2F" w14:textId="77777777" w:rsidR="004D6A64" w:rsidRDefault="004D6A64">
            <w:pPr>
              <w:rPr>
                <w:rFonts w:ascii="宋体"/>
              </w:rPr>
            </w:pPr>
          </w:p>
        </w:tc>
        <w:tc>
          <w:tcPr>
            <w:tcW w:w="0" w:type="auto"/>
            <w:shd w:val="clear" w:color="auto" w:fill="auto"/>
          </w:tcPr>
          <w:p w14:paraId="33DACB30" w14:textId="77777777" w:rsidR="004D6A64" w:rsidRDefault="004D6A64">
            <w:pPr>
              <w:rPr>
                <w:rFonts w:ascii="宋体"/>
                <w:vanish/>
              </w:rPr>
            </w:pPr>
          </w:p>
        </w:tc>
        <w:tc>
          <w:tcPr>
            <w:tcW w:w="0" w:type="auto"/>
            <w:shd w:val="clear" w:color="auto" w:fill="auto"/>
          </w:tcPr>
          <w:p w14:paraId="33DACB31" w14:textId="77777777" w:rsidR="004D6A64" w:rsidRDefault="004D6A64">
            <w:pPr>
              <w:rPr>
                <w:rFonts w:ascii="宋体"/>
                <w:vanish/>
              </w:rPr>
            </w:pPr>
          </w:p>
        </w:tc>
        <w:tc>
          <w:tcPr>
            <w:tcW w:w="0" w:type="auto"/>
            <w:gridSpan w:val="2"/>
            <w:shd w:val="clear" w:color="auto" w:fill="FFFFFF"/>
            <w:tcMar>
              <w:top w:w="40" w:type="dxa"/>
              <w:left w:w="20" w:type="dxa"/>
              <w:bottom w:w="40" w:type="dxa"/>
              <w:right w:w="0" w:type="dxa"/>
            </w:tcMar>
            <w:vAlign w:val="center"/>
          </w:tcPr>
          <w:p w14:paraId="33DACB32"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CB3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B34"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B35"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CB3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B37"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B38"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CB39" w14:textId="77777777" w:rsidR="004D6A64" w:rsidRDefault="004D6A64">
            <w:pPr>
              <w:jc w:val="right"/>
              <w:rPr>
                <w:rFonts w:ascii="宋体"/>
              </w:rPr>
            </w:pPr>
          </w:p>
        </w:tc>
        <w:tc>
          <w:tcPr>
            <w:tcW w:w="0" w:type="auto"/>
            <w:shd w:val="clear" w:color="auto" w:fill="auto"/>
          </w:tcPr>
          <w:p w14:paraId="33DACB3A" w14:textId="77777777" w:rsidR="004D6A64" w:rsidRDefault="004D6A64">
            <w:pPr>
              <w:rPr>
                <w:rFonts w:ascii="宋体"/>
              </w:rPr>
            </w:pPr>
          </w:p>
        </w:tc>
        <w:tc>
          <w:tcPr>
            <w:tcW w:w="0" w:type="auto"/>
            <w:shd w:val="clear" w:color="auto" w:fill="auto"/>
          </w:tcPr>
          <w:p w14:paraId="33DACB3B" w14:textId="77777777" w:rsidR="004D6A64" w:rsidRDefault="004D6A64">
            <w:pPr>
              <w:rPr>
                <w:rFonts w:ascii="宋体"/>
              </w:rPr>
            </w:pPr>
          </w:p>
        </w:tc>
        <w:tc>
          <w:tcPr>
            <w:tcW w:w="0" w:type="auto"/>
            <w:shd w:val="clear" w:color="auto" w:fill="auto"/>
          </w:tcPr>
          <w:p w14:paraId="33DACB3C" w14:textId="77777777" w:rsidR="004D6A64" w:rsidRDefault="004D6A64">
            <w:pPr>
              <w:rPr>
                <w:rFonts w:ascii="宋体"/>
              </w:rPr>
            </w:pPr>
          </w:p>
        </w:tc>
        <w:tc>
          <w:tcPr>
            <w:tcW w:w="0" w:type="auto"/>
            <w:shd w:val="clear" w:color="auto" w:fill="auto"/>
          </w:tcPr>
          <w:p w14:paraId="33DACB3D" w14:textId="77777777" w:rsidR="004D6A64" w:rsidRDefault="004D6A64">
            <w:pPr>
              <w:rPr>
                <w:rFonts w:ascii="宋体"/>
              </w:rPr>
            </w:pPr>
          </w:p>
        </w:tc>
        <w:tc>
          <w:tcPr>
            <w:tcW w:w="0" w:type="auto"/>
            <w:shd w:val="clear" w:color="auto" w:fill="auto"/>
          </w:tcPr>
          <w:p w14:paraId="33DACB3E" w14:textId="77777777" w:rsidR="004D6A64" w:rsidRDefault="004D6A64">
            <w:pPr>
              <w:rPr>
                <w:rFonts w:ascii="宋体"/>
              </w:rPr>
            </w:pPr>
          </w:p>
        </w:tc>
        <w:tc>
          <w:tcPr>
            <w:tcW w:w="0" w:type="auto"/>
            <w:shd w:val="clear" w:color="auto" w:fill="auto"/>
          </w:tcPr>
          <w:p w14:paraId="33DACB3F" w14:textId="77777777" w:rsidR="004D6A64" w:rsidRDefault="004D6A64">
            <w:pPr>
              <w:rPr>
                <w:rFonts w:ascii="宋体"/>
              </w:rPr>
            </w:pPr>
          </w:p>
        </w:tc>
        <w:tc>
          <w:tcPr>
            <w:tcW w:w="0" w:type="auto"/>
            <w:shd w:val="clear" w:color="auto" w:fill="auto"/>
          </w:tcPr>
          <w:p w14:paraId="33DACB40" w14:textId="77777777" w:rsidR="004D6A64" w:rsidRDefault="004D6A64">
            <w:pPr>
              <w:rPr>
                <w:rFonts w:ascii="宋体"/>
              </w:rPr>
            </w:pPr>
          </w:p>
        </w:tc>
        <w:tc>
          <w:tcPr>
            <w:tcW w:w="0" w:type="auto"/>
            <w:shd w:val="clear" w:color="auto" w:fill="auto"/>
          </w:tcPr>
          <w:p w14:paraId="33DACB41" w14:textId="77777777" w:rsidR="004D6A64" w:rsidRDefault="004D6A64">
            <w:pPr>
              <w:rPr>
                <w:rFonts w:ascii="宋体"/>
              </w:rPr>
            </w:pPr>
          </w:p>
        </w:tc>
        <w:tc>
          <w:tcPr>
            <w:tcW w:w="0" w:type="auto"/>
            <w:shd w:val="clear" w:color="auto" w:fill="auto"/>
          </w:tcPr>
          <w:p w14:paraId="33DACB42" w14:textId="77777777" w:rsidR="004D6A64" w:rsidRDefault="004D6A64">
            <w:pPr>
              <w:rPr>
                <w:rFonts w:ascii="宋体"/>
              </w:rPr>
            </w:pPr>
          </w:p>
        </w:tc>
        <w:tc>
          <w:tcPr>
            <w:tcW w:w="0" w:type="auto"/>
            <w:shd w:val="clear" w:color="auto" w:fill="auto"/>
          </w:tcPr>
          <w:p w14:paraId="33DACB43" w14:textId="77777777" w:rsidR="004D6A64" w:rsidRDefault="004D6A64">
            <w:pPr>
              <w:rPr>
                <w:rFonts w:ascii="宋体"/>
              </w:rPr>
            </w:pPr>
          </w:p>
        </w:tc>
        <w:tc>
          <w:tcPr>
            <w:tcW w:w="0" w:type="auto"/>
            <w:shd w:val="clear" w:color="auto" w:fill="auto"/>
          </w:tcPr>
          <w:p w14:paraId="33DACB44" w14:textId="77777777" w:rsidR="004D6A64" w:rsidRDefault="004D6A64">
            <w:pPr>
              <w:rPr>
                <w:rFonts w:ascii="宋体"/>
              </w:rPr>
            </w:pPr>
          </w:p>
        </w:tc>
        <w:tc>
          <w:tcPr>
            <w:tcW w:w="0" w:type="auto"/>
            <w:shd w:val="clear" w:color="auto" w:fill="auto"/>
          </w:tcPr>
          <w:p w14:paraId="33DACB45" w14:textId="77777777" w:rsidR="004D6A64" w:rsidRDefault="004D6A64">
            <w:pPr>
              <w:rPr>
                <w:rFonts w:ascii="宋体"/>
              </w:rPr>
            </w:pPr>
          </w:p>
        </w:tc>
        <w:tc>
          <w:tcPr>
            <w:tcW w:w="0" w:type="auto"/>
            <w:shd w:val="clear" w:color="auto" w:fill="auto"/>
          </w:tcPr>
          <w:p w14:paraId="33DACB46" w14:textId="77777777" w:rsidR="004D6A64" w:rsidRDefault="004D6A64">
            <w:pPr>
              <w:rPr>
                <w:rFonts w:ascii="宋体"/>
              </w:rPr>
            </w:pPr>
          </w:p>
        </w:tc>
        <w:tc>
          <w:tcPr>
            <w:tcW w:w="0" w:type="auto"/>
            <w:shd w:val="clear" w:color="auto" w:fill="auto"/>
          </w:tcPr>
          <w:p w14:paraId="33DACB47" w14:textId="77777777" w:rsidR="004D6A64" w:rsidRDefault="004D6A64">
            <w:pPr>
              <w:rPr>
                <w:rFonts w:ascii="宋体"/>
              </w:rPr>
            </w:pPr>
          </w:p>
        </w:tc>
        <w:tc>
          <w:tcPr>
            <w:tcW w:w="0" w:type="auto"/>
            <w:shd w:val="clear" w:color="auto" w:fill="auto"/>
          </w:tcPr>
          <w:p w14:paraId="33DACB48" w14:textId="77777777" w:rsidR="004D6A64" w:rsidRDefault="004D6A64">
            <w:pPr>
              <w:rPr>
                <w:rFonts w:ascii="宋体"/>
              </w:rPr>
            </w:pPr>
          </w:p>
        </w:tc>
      </w:tr>
      <w:tr w:rsidR="004D6A64" w14:paraId="33DACB69" w14:textId="77777777">
        <w:trPr>
          <w:hidden/>
        </w:trPr>
        <w:tc>
          <w:tcPr>
            <w:tcW w:w="0" w:type="auto"/>
            <w:gridSpan w:val="3"/>
            <w:shd w:val="clear" w:color="auto" w:fill="auto"/>
          </w:tcPr>
          <w:p w14:paraId="33DACB4A" w14:textId="77777777" w:rsidR="004D6A64" w:rsidRDefault="004D6A64">
            <w:pPr>
              <w:rPr>
                <w:rFonts w:ascii="宋体"/>
                <w:vanish/>
              </w:rPr>
            </w:pPr>
          </w:p>
        </w:tc>
        <w:tc>
          <w:tcPr>
            <w:tcW w:w="0" w:type="auto"/>
            <w:shd w:val="clear" w:color="auto" w:fill="auto"/>
          </w:tcPr>
          <w:p w14:paraId="33DACB4B" w14:textId="77777777" w:rsidR="004D6A64" w:rsidRDefault="004D6A64">
            <w:pPr>
              <w:rPr>
                <w:rFonts w:ascii="宋体"/>
                <w:vanish/>
              </w:rPr>
            </w:pPr>
          </w:p>
        </w:tc>
        <w:tc>
          <w:tcPr>
            <w:tcW w:w="0" w:type="auto"/>
            <w:shd w:val="clear" w:color="auto" w:fill="auto"/>
          </w:tcPr>
          <w:p w14:paraId="33DACB4C" w14:textId="77777777" w:rsidR="004D6A64" w:rsidRDefault="004D6A64">
            <w:pPr>
              <w:rPr>
                <w:rFonts w:ascii="宋体"/>
                <w:vanish/>
              </w:rPr>
            </w:pPr>
          </w:p>
        </w:tc>
        <w:tc>
          <w:tcPr>
            <w:tcW w:w="0" w:type="auto"/>
            <w:gridSpan w:val="3"/>
            <w:shd w:val="clear" w:color="auto" w:fill="auto"/>
          </w:tcPr>
          <w:p w14:paraId="33DACB4D" w14:textId="77777777" w:rsidR="004D6A64" w:rsidRDefault="004D6A64">
            <w:pPr>
              <w:rPr>
                <w:rFonts w:ascii="宋体"/>
                <w:vanish/>
              </w:rPr>
            </w:pPr>
          </w:p>
        </w:tc>
        <w:tc>
          <w:tcPr>
            <w:tcW w:w="0" w:type="auto"/>
            <w:gridSpan w:val="3"/>
            <w:shd w:val="clear" w:color="auto" w:fill="auto"/>
          </w:tcPr>
          <w:p w14:paraId="33DACB4E" w14:textId="77777777" w:rsidR="004D6A64" w:rsidRDefault="004D6A64">
            <w:pPr>
              <w:rPr>
                <w:rFonts w:ascii="宋体"/>
                <w:vanish/>
              </w:rPr>
            </w:pPr>
          </w:p>
        </w:tc>
        <w:tc>
          <w:tcPr>
            <w:tcW w:w="0" w:type="auto"/>
            <w:gridSpan w:val="3"/>
            <w:shd w:val="clear" w:color="auto" w:fill="auto"/>
          </w:tcPr>
          <w:p w14:paraId="33DACB4F" w14:textId="77777777" w:rsidR="004D6A64" w:rsidRDefault="004D6A64">
            <w:pPr>
              <w:rPr>
                <w:rFonts w:ascii="宋体"/>
                <w:vanish/>
              </w:rPr>
            </w:pPr>
          </w:p>
        </w:tc>
        <w:tc>
          <w:tcPr>
            <w:tcW w:w="0" w:type="auto"/>
            <w:gridSpan w:val="3"/>
            <w:shd w:val="clear" w:color="auto" w:fill="auto"/>
          </w:tcPr>
          <w:p w14:paraId="33DACB50" w14:textId="77777777" w:rsidR="004D6A64" w:rsidRDefault="004D6A64">
            <w:pPr>
              <w:rPr>
                <w:rFonts w:ascii="宋体"/>
                <w:vanish/>
              </w:rPr>
            </w:pPr>
          </w:p>
        </w:tc>
        <w:tc>
          <w:tcPr>
            <w:tcW w:w="0" w:type="auto"/>
            <w:gridSpan w:val="3"/>
            <w:shd w:val="clear" w:color="auto" w:fill="auto"/>
          </w:tcPr>
          <w:p w14:paraId="33DACB51" w14:textId="77777777" w:rsidR="004D6A64" w:rsidRDefault="004D6A64">
            <w:pPr>
              <w:rPr>
                <w:rFonts w:ascii="宋体"/>
                <w:vanish/>
              </w:rPr>
            </w:pPr>
          </w:p>
        </w:tc>
        <w:tc>
          <w:tcPr>
            <w:tcW w:w="0" w:type="auto"/>
            <w:gridSpan w:val="3"/>
            <w:shd w:val="clear" w:color="auto" w:fill="auto"/>
          </w:tcPr>
          <w:p w14:paraId="33DACB52" w14:textId="77777777" w:rsidR="004D6A64" w:rsidRDefault="004D6A64">
            <w:pPr>
              <w:rPr>
                <w:rFonts w:ascii="宋体"/>
                <w:vanish/>
              </w:rPr>
            </w:pPr>
          </w:p>
        </w:tc>
        <w:tc>
          <w:tcPr>
            <w:tcW w:w="0" w:type="auto"/>
            <w:shd w:val="clear" w:color="auto" w:fill="auto"/>
          </w:tcPr>
          <w:p w14:paraId="33DACB53" w14:textId="77777777" w:rsidR="004D6A64" w:rsidRDefault="004D6A64">
            <w:pPr>
              <w:rPr>
                <w:rFonts w:ascii="宋体"/>
                <w:vanish/>
              </w:rPr>
            </w:pPr>
          </w:p>
        </w:tc>
        <w:tc>
          <w:tcPr>
            <w:tcW w:w="0" w:type="auto"/>
            <w:shd w:val="clear" w:color="auto" w:fill="auto"/>
          </w:tcPr>
          <w:p w14:paraId="33DACB54" w14:textId="77777777" w:rsidR="004D6A64" w:rsidRDefault="004D6A64">
            <w:pPr>
              <w:rPr>
                <w:rFonts w:ascii="宋体"/>
                <w:vanish/>
              </w:rPr>
            </w:pPr>
          </w:p>
        </w:tc>
        <w:tc>
          <w:tcPr>
            <w:tcW w:w="0" w:type="auto"/>
            <w:gridSpan w:val="3"/>
            <w:shd w:val="clear" w:color="auto" w:fill="auto"/>
          </w:tcPr>
          <w:p w14:paraId="33DACB55" w14:textId="77777777" w:rsidR="004D6A64" w:rsidRDefault="004D6A64">
            <w:pPr>
              <w:rPr>
                <w:rFonts w:ascii="宋体"/>
                <w:vanish/>
              </w:rPr>
            </w:pPr>
          </w:p>
        </w:tc>
        <w:tc>
          <w:tcPr>
            <w:tcW w:w="0" w:type="auto"/>
            <w:gridSpan w:val="3"/>
            <w:shd w:val="clear" w:color="auto" w:fill="auto"/>
          </w:tcPr>
          <w:p w14:paraId="33DACB56" w14:textId="77777777" w:rsidR="004D6A64" w:rsidRDefault="004D6A64">
            <w:pPr>
              <w:rPr>
                <w:rFonts w:ascii="宋体"/>
                <w:vanish/>
              </w:rPr>
            </w:pPr>
          </w:p>
        </w:tc>
        <w:tc>
          <w:tcPr>
            <w:tcW w:w="0" w:type="auto"/>
            <w:gridSpan w:val="3"/>
            <w:shd w:val="clear" w:color="auto" w:fill="auto"/>
          </w:tcPr>
          <w:p w14:paraId="33DACB57" w14:textId="77777777" w:rsidR="004D6A64" w:rsidRDefault="004D6A64">
            <w:pPr>
              <w:rPr>
                <w:rFonts w:ascii="宋体"/>
                <w:vanish/>
              </w:rPr>
            </w:pPr>
          </w:p>
        </w:tc>
        <w:tc>
          <w:tcPr>
            <w:tcW w:w="0" w:type="auto"/>
            <w:gridSpan w:val="3"/>
            <w:shd w:val="clear" w:color="auto" w:fill="auto"/>
          </w:tcPr>
          <w:p w14:paraId="33DACB58" w14:textId="77777777" w:rsidR="004D6A64" w:rsidRDefault="004D6A64">
            <w:pPr>
              <w:rPr>
                <w:rFonts w:ascii="宋体"/>
                <w:vanish/>
              </w:rPr>
            </w:pPr>
          </w:p>
        </w:tc>
        <w:tc>
          <w:tcPr>
            <w:tcW w:w="0" w:type="auto"/>
            <w:gridSpan w:val="3"/>
            <w:shd w:val="clear" w:color="auto" w:fill="auto"/>
          </w:tcPr>
          <w:p w14:paraId="33DACB59" w14:textId="77777777" w:rsidR="004D6A64" w:rsidRDefault="004D6A64">
            <w:pPr>
              <w:rPr>
                <w:rFonts w:ascii="宋体"/>
                <w:vanish/>
              </w:rPr>
            </w:pPr>
          </w:p>
        </w:tc>
        <w:tc>
          <w:tcPr>
            <w:tcW w:w="0" w:type="auto"/>
            <w:shd w:val="clear" w:color="auto" w:fill="auto"/>
          </w:tcPr>
          <w:p w14:paraId="33DACB5A" w14:textId="77777777" w:rsidR="004D6A64" w:rsidRDefault="004D6A64">
            <w:pPr>
              <w:rPr>
                <w:rFonts w:ascii="宋体"/>
              </w:rPr>
            </w:pPr>
          </w:p>
        </w:tc>
        <w:tc>
          <w:tcPr>
            <w:tcW w:w="0" w:type="auto"/>
            <w:shd w:val="clear" w:color="auto" w:fill="auto"/>
          </w:tcPr>
          <w:p w14:paraId="33DACB5B" w14:textId="77777777" w:rsidR="004D6A64" w:rsidRDefault="004D6A64">
            <w:pPr>
              <w:rPr>
                <w:rFonts w:ascii="宋体"/>
              </w:rPr>
            </w:pPr>
          </w:p>
        </w:tc>
        <w:tc>
          <w:tcPr>
            <w:tcW w:w="0" w:type="auto"/>
            <w:shd w:val="clear" w:color="auto" w:fill="auto"/>
          </w:tcPr>
          <w:p w14:paraId="33DACB5C" w14:textId="77777777" w:rsidR="004D6A64" w:rsidRDefault="004D6A64">
            <w:pPr>
              <w:rPr>
                <w:rFonts w:ascii="宋体"/>
              </w:rPr>
            </w:pPr>
          </w:p>
        </w:tc>
        <w:tc>
          <w:tcPr>
            <w:tcW w:w="0" w:type="auto"/>
            <w:shd w:val="clear" w:color="auto" w:fill="auto"/>
          </w:tcPr>
          <w:p w14:paraId="33DACB5D" w14:textId="77777777" w:rsidR="004D6A64" w:rsidRDefault="004D6A64">
            <w:pPr>
              <w:rPr>
                <w:rFonts w:ascii="宋体"/>
              </w:rPr>
            </w:pPr>
          </w:p>
        </w:tc>
        <w:tc>
          <w:tcPr>
            <w:tcW w:w="0" w:type="auto"/>
            <w:shd w:val="clear" w:color="auto" w:fill="auto"/>
          </w:tcPr>
          <w:p w14:paraId="33DACB5E" w14:textId="77777777" w:rsidR="004D6A64" w:rsidRDefault="004D6A64">
            <w:pPr>
              <w:rPr>
                <w:rFonts w:ascii="宋体"/>
              </w:rPr>
            </w:pPr>
          </w:p>
        </w:tc>
        <w:tc>
          <w:tcPr>
            <w:tcW w:w="0" w:type="auto"/>
            <w:shd w:val="clear" w:color="auto" w:fill="auto"/>
          </w:tcPr>
          <w:p w14:paraId="33DACB5F" w14:textId="77777777" w:rsidR="004D6A64" w:rsidRDefault="004D6A64">
            <w:pPr>
              <w:rPr>
                <w:rFonts w:ascii="宋体"/>
              </w:rPr>
            </w:pPr>
          </w:p>
        </w:tc>
        <w:tc>
          <w:tcPr>
            <w:tcW w:w="0" w:type="auto"/>
            <w:shd w:val="clear" w:color="auto" w:fill="auto"/>
          </w:tcPr>
          <w:p w14:paraId="33DACB60" w14:textId="77777777" w:rsidR="004D6A64" w:rsidRDefault="004D6A64">
            <w:pPr>
              <w:rPr>
                <w:rFonts w:ascii="宋体"/>
              </w:rPr>
            </w:pPr>
          </w:p>
        </w:tc>
        <w:tc>
          <w:tcPr>
            <w:tcW w:w="0" w:type="auto"/>
            <w:shd w:val="clear" w:color="auto" w:fill="auto"/>
          </w:tcPr>
          <w:p w14:paraId="33DACB61" w14:textId="77777777" w:rsidR="004D6A64" w:rsidRDefault="004D6A64">
            <w:pPr>
              <w:rPr>
                <w:rFonts w:ascii="宋体"/>
              </w:rPr>
            </w:pPr>
          </w:p>
        </w:tc>
        <w:tc>
          <w:tcPr>
            <w:tcW w:w="0" w:type="auto"/>
            <w:shd w:val="clear" w:color="auto" w:fill="auto"/>
          </w:tcPr>
          <w:p w14:paraId="33DACB62" w14:textId="77777777" w:rsidR="004D6A64" w:rsidRDefault="004D6A64">
            <w:pPr>
              <w:rPr>
                <w:rFonts w:ascii="宋体"/>
              </w:rPr>
            </w:pPr>
          </w:p>
        </w:tc>
        <w:tc>
          <w:tcPr>
            <w:tcW w:w="0" w:type="auto"/>
            <w:shd w:val="clear" w:color="auto" w:fill="auto"/>
          </w:tcPr>
          <w:p w14:paraId="33DACB63" w14:textId="77777777" w:rsidR="004D6A64" w:rsidRDefault="004D6A64">
            <w:pPr>
              <w:rPr>
                <w:rFonts w:ascii="宋体"/>
              </w:rPr>
            </w:pPr>
          </w:p>
        </w:tc>
        <w:tc>
          <w:tcPr>
            <w:tcW w:w="0" w:type="auto"/>
            <w:shd w:val="clear" w:color="auto" w:fill="auto"/>
          </w:tcPr>
          <w:p w14:paraId="33DACB64" w14:textId="77777777" w:rsidR="004D6A64" w:rsidRDefault="004D6A64">
            <w:pPr>
              <w:rPr>
                <w:rFonts w:ascii="宋体"/>
              </w:rPr>
            </w:pPr>
          </w:p>
        </w:tc>
        <w:tc>
          <w:tcPr>
            <w:tcW w:w="0" w:type="auto"/>
            <w:shd w:val="clear" w:color="auto" w:fill="auto"/>
          </w:tcPr>
          <w:p w14:paraId="33DACB65" w14:textId="77777777" w:rsidR="004D6A64" w:rsidRDefault="004D6A64">
            <w:pPr>
              <w:rPr>
                <w:rFonts w:ascii="宋体"/>
              </w:rPr>
            </w:pPr>
          </w:p>
        </w:tc>
        <w:tc>
          <w:tcPr>
            <w:tcW w:w="0" w:type="auto"/>
            <w:shd w:val="clear" w:color="auto" w:fill="auto"/>
          </w:tcPr>
          <w:p w14:paraId="33DACB66" w14:textId="77777777" w:rsidR="004D6A64" w:rsidRDefault="004D6A64">
            <w:pPr>
              <w:rPr>
                <w:rFonts w:ascii="宋体"/>
              </w:rPr>
            </w:pPr>
          </w:p>
        </w:tc>
        <w:tc>
          <w:tcPr>
            <w:tcW w:w="0" w:type="auto"/>
            <w:shd w:val="clear" w:color="auto" w:fill="auto"/>
          </w:tcPr>
          <w:p w14:paraId="33DACB67" w14:textId="77777777" w:rsidR="004D6A64" w:rsidRDefault="004D6A64">
            <w:pPr>
              <w:rPr>
                <w:rFonts w:ascii="宋体"/>
              </w:rPr>
            </w:pPr>
          </w:p>
        </w:tc>
        <w:tc>
          <w:tcPr>
            <w:tcW w:w="0" w:type="auto"/>
            <w:shd w:val="clear" w:color="auto" w:fill="auto"/>
          </w:tcPr>
          <w:p w14:paraId="33DACB68" w14:textId="77777777" w:rsidR="004D6A64" w:rsidRDefault="004D6A64">
            <w:pPr>
              <w:rPr>
                <w:rFonts w:ascii="宋体"/>
              </w:rPr>
            </w:pPr>
          </w:p>
        </w:tc>
      </w:tr>
      <w:tr w:rsidR="004D6A64" w14:paraId="33DACB95" w14:textId="77777777">
        <w:tc>
          <w:tcPr>
            <w:tcW w:w="0" w:type="auto"/>
            <w:gridSpan w:val="3"/>
            <w:shd w:val="clear" w:color="auto" w:fill="CCEEFF"/>
            <w:tcMar>
              <w:top w:w="40" w:type="dxa"/>
              <w:left w:w="225" w:type="dxa"/>
              <w:bottom w:w="40" w:type="dxa"/>
              <w:right w:w="20" w:type="dxa"/>
            </w:tcMar>
            <w:vAlign w:val="center"/>
          </w:tcPr>
          <w:p w14:paraId="33DACB6A" w14:textId="77777777" w:rsidR="004D6A64" w:rsidRDefault="00506CD6">
            <w:pPr>
              <w:textAlignment w:val="center"/>
            </w:pPr>
            <w:r>
              <w:rPr>
                <w:rFonts w:ascii="Times New Roman" w:eastAsia="宋体" w:hAnsi="Times New Roman"/>
                <w:color w:val="000000"/>
                <w:sz w:val="20"/>
                <w:szCs w:val="20"/>
              </w:rPr>
              <w:t>Total reclassifications, net of tax</w:t>
            </w:r>
          </w:p>
        </w:tc>
        <w:tc>
          <w:tcPr>
            <w:tcW w:w="0" w:type="auto"/>
            <w:shd w:val="clear" w:color="auto" w:fill="auto"/>
          </w:tcPr>
          <w:p w14:paraId="33DACB6B" w14:textId="77777777" w:rsidR="004D6A64" w:rsidRDefault="004D6A64">
            <w:pPr>
              <w:rPr>
                <w:rFonts w:ascii="宋体"/>
                <w:vanish/>
              </w:rPr>
            </w:pPr>
          </w:p>
        </w:tc>
        <w:tc>
          <w:tcPr>
            <w:tcW w:w="0" w:type="auto"/>
            <w:shd w:val="clear" w:color="auto" w:fill="auto"/>
          </w:tcPr>
          <w:p w14:paraId="33DACB6C" w14:textId="77777777" w:rsidR="004D6A64" w:rsidRDefault="004D6A64">
            <w:pPr>
              <w:rPr>
                <w:rFonts w:ascii="宋体"/>
                <w:vanish/>
              </w:rPr>
            </w:pPr>
          </w:p>
        </w:tc>
        <w:tc>
          <w:tcPr>
            <w:tcW w:w="0" w:type="auto"/>
            <w:tcBorders>
              <w:top w:val="single" w:sz="8" w:space="0" w:color="000000"/>
            </w:tcBorders>
            <w:shd w:val="clear" w:color="auto" w:fill="CCEEFF"/>
            <w:tcMar>
              <w:top w:w="40" w:type="dxa"/>
              <w:left w:w="20" w:type="dxa"/>
              <w:bottom w:w="40" w:type="dxa"/>
            </w:tcMar>
            <w:vAlign w:val="center"/>
          </w:tcPr>
          <w:p w14:paraId="33DACB6D"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CB6E" w14:textId="77777777" w:rsidR="004D6A64" w:rsidRDefault="00506CD6">
            <w:pPr>
              <w:jc w:val="right"/>
              <w:textAlignment w:val="center"/>
            </w:pPr>
            <w:r>
              <w:rPr>
                <w:rFonts w:ascii="Times New Roman" w:eastAsia="宋体" w:hAnsi="Times New Roman"/>
                <w:color w:val="000000"/>
                <w:sz w:val="20"/>
                <w:szCs w:val="20"/>
              </w:rPr>
              <w:t>8 </w:t>
            </w:r>
          </w:p>
        </w:tc>
        <w:tc>
          <w:tcPr>
            <w:tcW w:w="0" w:type="auto"/>
            <w:tcBorders>
              <w:top w:val="single" w:sz="8" w:space="0" w:color="000000"/>
            </w:tcBorders>
            <w:shd w:val="clear" w:color="auto" w:fill="CCEEFF"/>
            <w:tcMar>
              <w:top w:w="40" w:type="dxa"/>
              <w:bottom w:w="40" w:type="dxa"/>
              <w:right w:w="20" w:type="dxa"/>
            </w:tcMar>
            <w:vAlign w:val="center"/>
          </w:tcPr>
          <w:p w14:paraId="33DACB6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B70"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33DACB71"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CB72" w14:textId="77777777" w:rsidR="004D6A64" w:rsidRDefault="00506CD6">
            <w:pPr>
              <w:jc w:val="right"/>
              <w:textAlignment w:val="center"/>
            </w:pPr>
            <w:r>
              <w:rPr>
                <w:rFonts w:ascii="Times New Roman" w:eastAsia="宋体" w:hAnsi="Times New Roman"/>
                <w:color w:val="000000"/>
                <w:sz w:val="20"/>
                <w:szCs w:val="20"/>
              </w:rPr>
              <w:t>(2)</w:t>
            </w:r>
          </w:p>
        </w:tc>
        <w:tc>
          <w:tcPr>
            <w:tcW w:w="0" w:type="auto"/>
            <w:tcBorders>
              <w:top w:val="single" w:sz="8" w:space="0" w:color="000000"/>
            </w:tcBorders>
            <w:shd w:val="clear" w:color="auto" w:fill="CCEEFF"/>
            <w:tcMar>
              <w:top w:w="40" w:type="dxa"/>
              <w:bottom w:w="40" w:type="dxa"/>
              <w:right w:w="20" w:type="dxa"/>
            </w:tcMar>
            <w:vAlign w:val="center"/>
          </w:tcPr>
          <w:p w14:paraId="33DACB7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B74"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33DACB75"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CB76" w14:textId="77777777" w:rsidR="004D6A64" w:rsidRDefault="00506CD6">
            <w:pPr>
              <w:jc w:val="right"/>
              <w:textAlignment w:val="center"/>
            </w:pPr>
            <w:r>
              <w:rPr>
                <w:rFonts w:ascii="Times New Roman" w:eastAsia="宋体" w:hAnsi="Times New Roman"/>
                <w:color w:val="000000"/>
                <w:sz w:val="20"/>
                <w:szCs w:val="20"/>
              </w:rPr>
              <w:t>6 </w:t>
            </w:r>
          </w:p>
        </w:tc>
        <w:tc>
          <w:tcPr>
            <w:tcW w:w="0" w:type="auto"/>
            <w:tcBorders>
              <w:top w:val="single" w:sz="8" w:space="0" w:color="000000"/>
            </w:tcBorders>
            <w:shd w:val="clear" w:color="auto" w:fill="CCEEFF"/>
            <w:tcMar>
              <w:top w:w="40" w:type="dxa"/>
              <w:bottom w:w="40" w:type="dxa"/>
              <w:right w:w="20" w:type="dxa"/>
            </w:tcMar>
            <w:vAlign w:val="center"/>
          </w:tcPr>
          <w:p w14:paraId="33DACB7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B78" w14:textId="77777777" w:rsidR="004D6A64" w:rsidRDefault="004D6A64">
            <w:pPr>
              <w:rPr>
                <w:rFonts w:ascii="宋体"/>
              </w:rPr>
            </w:pPr>
          </w:p>
        </w:tc>
        <w:tc>
          <w:tcPr>
            <w:tcW w:w="0" w:type="auto"/>
            <w:shd w:val="clear" w:color="auto" w:fill="auto"/>
          </w:tcPr>
          <w:p w14:paraId="33DACB79" w14:textId="77777777" w:rsidR="004D6A64" w:rsidRDefault="004D6A64">
            <w:pPr>
              <w:rPr>
                <w:rFonts w:ascii="宋体"/>
                <w:vanish/>
              </w:rPr>
            </w:pPr>
          </w:p>
        </w:tc>
        <w:tc>
          <w:tcPr>
            <w:tcW w:w="0" w:type="auto"/>
            <w:shd w:val="clear" w:color="auto" w:fill="auto"/>
          </w:tcPr>
          <w:p w14:paraId="33DACB7A" w14:textId="77777777" w:rsidR="004D6A64" w:rsidRDefault="004D6A64">
            <w:pPr>
              <w:rPr>
                <w:rFonts w:ascii="宋体"/>
                <w:vanish/>
              </w:rPr>
            </w:pPr>
          </w:p>
        </w:tc>
        <w:tc>
          <w:tcPr>
            <w:tcW w:w="0" w:type="auto"/>
            <w:tcBorders>
              <w:top w:val="single" w:sz="8" w:space="0" w:color="000000"/>
            </w:tcBorders>
            <w:shd w:val="clear" w:color="auto" w:fill="CCEEFF"/>
            <w:tcMar>
              <w:top w:w="40" w:type="dxa"/>
              <w:left w:w="20" w:type="dxa"/>
              <w:bottom w:w="40" w:type="dxa"/>
            </w:tcMar>
            <w:vAlign w:val="center"/>
          </w:tcPr>
          <w:p w14:paraId="33DACB7B"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CB7C" w14:textId="77777777" w:rsidR="004D6A64" w:rsidRDefault="00506CD6">
            <w:pPr>
              <w:jc w:val="right"/>
              <w:textAlignment w:val="center"/>
            </w:pPr>
            <w:r>
              <w:rPr>
                <w:rFonts w:ascii="Times New Roman" w:eastAsia="宋体" w:hAnsi="Times New Roman"/>
                <w:color w:val="000000"/>
                <w:sz w:val="20"/>
                <w:szCs w:val="20"/>
              </w:rPr>
              <w:t>68 </w:t>
            </w:r>
          </w:p>
        </w:tc>
        <w:tc>
          <w:tcPr>
            <w:tcW w:w="0" w:type="auto"/>
            <w:tcBorders>
              <w:top w:val="single" w:sz="8" w:space="0" w:color="000000"/>
            </w:tcBorders>
            <w:shd w:val="clear" w:color="auto" w:fill="CCEEFF"/>
            <w:tcMar>
              <w:top w:w="40" w:type="dxa"/>
              <w:bottom w:w="40" w:type="dxa"/>
              <w:right w:w="20" w:type="dxa"/>
            </w:tcMar>
            <w:vAlign w:val="center"/>
          </w:tcPr>
          <w:p w14:paraId="33DACB7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B7E"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33DACB7F"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CB80" w14:textId="77777777" w:rsidR="004D6A64" w:rsidRDefault="00506CD6">
            <w:pPr>
              <w:jc w:val="right"/>
              <w:textAlignment w:val="center"/>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bottom w:w="40" w:type="dxa"/>
              <w:right w:w="20" w:type="dxa"/>
            </w:tcMar>
            <w:vAlign w:val="center"/>
          </w:tcPr>
          <w:p w14:paraId="33DACB8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B82"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33DACB83"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CB84" w14:textId="77777777" w:rsidR="004D6A64" w:rsidRDefault="00506CD6">
            <w:pPr>
              <w:jc w:val="right"/>
              <w:textAlignment w:val="center"/>
            </w:pPr>
            <w:r>
              <w:rPr>
                <w:rFonts w:ascii="Times New Roman" w:eastAsia="宋体" w:hAnsi="Times New Roman"/>
                <w:color w:val="000000"/>
                <w:sz w:val="20"/>
                <w:szCs w:val="20"/>
              </w:rPr>
              <w:t>68 </w:t>
            </w:r>
          </w:p>
        </w:tc>
        <w:tc>
          <w:tcPr>
            <w:tcW w:w="0" w:type="auto"/>
            <w:tcBorders>
              <w:top w:val="single" w:sz="8" w:space="0" w:color="000000"/>
            </w:tcBorders>
            <w:shd w:val="clear" w:color="auto" w:fill="CCEEFF"/>
            <w:tcMar>
              <w:top w:w="40" w:type="dxa"/>
              <w:bottom w:w="40" w:type="dxa"/>
              <w:right w:w="20" w:type="dxa"/>
            </w:tcMar>
            <w:vAlign w:val="center"/>
          </w:tcPr>
          <w:p w14:paraId="33DACB85" w14:textId="77777777" w:rsidR="004D6A64" w:rsidRDefault="004D6A64">
            <w:pPr>
              <w:jc w:val="right"/>
              <w:rPr>
                <w:rFonts w:ascii="宋体"/>
              </w:rPr>
            </w:pPr>
          </w:p>
        </w:tc>
        <w:tc>
          <w:tcPr>
            <w:tcW w:w="0" w:type="auto"/>
            <w:shd w:val="clear" w:color="auto" w:fill="auto"/>
          </w:tcPr>
          <w:p w14:paraId="33DACB86" w14:textId="77777777" w:rsidR="004D6A64" w:rsidRDefault="004D6A64">
            <w:pPr>
              <w:rPr>
                <w:rFonts w:ascii="宋体"/>
              </w:rPr>
            </w:pPr>
          </w:p>
        </w:tc>
        <w:tc>
          <w:tcPr>
            <w:tcW w:w="0" w:type="auto"/>
            <w:shd w:val="clear" w:color="auto" w:fill="auto"/>
          </w:tcPr>
          <w:p w14:paraId="33DACB87" w14:textId="77777777" w:rsidR="004D6A64" w:rsidRDefault="004D6A64">
            <w:pPr>
              <w:rPr>
                <w:rFonts w:ascii="宋体"/>
              </w:rPr>
            </w:pPr>
          </w:p>
        </w:tc>
        <w:tc>
          <w:tcPr>
            <w:tcW w:w="0" w:type="auto"/>
            <w:shd w:val="clear" w:color="auto" w:fill="auto"/>
          </w:tcPr>
          <w:p w14:paraId="33DACB88" w14:textId="77777777" w:rsidR="004D6A64" w:rsidRDefault="004D6A64">
            <w:pPr>
              <w:rPr>
                <w:rFonts w:ascii="宋体"/>
              </w:rPr>
            </w:pPr>
          </w:p>
        </w:tc>
        <w:tc>
          <w:tcPr>
            <w:tcW w:w="0" w:type="auto"/>
            <w:shd w:val="clear" w:color="auto" w:fill="auto"/>
          </w:tcPr>
          <w:p w14:paraId="33DACB89" w14:textId="77777777" w:rsidR="004D6A64" w:rsidRDefault="004D6A64">
            <w:pPr>
              <w:rPr>
                <w:rFonts w:ascii="宋体"/>
              </w:rPr>
            </w:pPr>
          </w:p>
        </w:tc>
        <w:tc>
          <w:tcPr>
            <w:tcW w:w="0" w:type="auto"/>
            <w:shd w:val="clear" w:color="auto" w:fill="auto"/>
          </w:tcPr>
          <w:p w14:paraId="33DACB8A" w14:textId="77777777" w:rsidR="004D6A64" w:rsidRDefault="004D6A64">
            <w:pPr>
              <w:rPr>
                <w:rFonts w:ascii="宋体"/>
              </w:rPr>
            </w:pPr>
          </w:p>
        </w:tc>
        <w:tc>
          <w:tcPr>
            <w:tcW w:w="0" w:type="auto"/>
            <w:shd w:val="clear" w:color="auto" w:fill="auto"/>
          </w:tcPr>
          <w:p w14:paraId="33DACB8B" w14:textId="77777777" w:rsidR="004D6A64" w:rsidRDefault="004D6A64">
            <w:pPr>
              <w:rPr>
                <w:rFonts w:ascii="宋体"/>
              </w:rPr>
            </w:pPr>
          </w:p>
        </w:tc>
        <w:tc>
          <w:tcPr>
            <w:tcW w:w="0" w:type="auto"/>
            <w:shd w:val="clear" w:color="auto" w:fill="auto"/>
          </w:tcPr>
          <w:p w14:paraId="33DACB8C" w14:textId="77777777" w:rsidR="004D6A64" w:rsidRDefault="004D6A64">
            <w:pPr>
              <w:rPr>
                <w:rFonts w:ascii="宋体"/>
              </w:rPr>
            </w:pPr>
          </w:p>
        </w:tc>
        <w:tc>
          <w:tcPr>
            <w:tcW w:w="0" w:type="auto"/>
            <w:shd w:val="clear" w:color="auto" w:fill="auto"/>
          </w:tcPr>
          <w:p w14:paraId="33DACB8D" w14:textId="77777777" w:rsidR="004D6A64" w:rsidRDefault="004D6A64">
            <w:pPr>
              <w:rPr>
                <w:rFonts w:ascii="宋体"/>
              </w:rPr>
            </w:pPr>
          </w:p>
        </w:tc>
        <w:tc>
          <w:tcPr>
            <w:tcW w:w="0" w:type="auto"/>
            <w:shd w:val="clear" w:color="auto" w:fill="auto"/>
          </w:tcPr>
          <w:p w14:paraId="33DACB8E" w14:textId="77777777" w:rsidR="004D6A64" w:rsidRDefault="004D6A64">
            <w:pPr>
              <w:rPr>
                <w:rFonts w:ascii="宋体"/>
              </w:rPr>
            </w:pPr>
          </w:p>
        </w:tc>
        <w:tc>
          <w:tcPr>
            <w:tcW w:w="0" w:type="auto"/>
            <w:shd w:val="clear" w:color="auto" w:fill="auto"/>
          </w:tcPr>
          <w:p w14:paraId="33DACB8F" w14:textId="77777777" w:rsidR="004D6A64" w:rsidRDefault="004D6A64">
            <w:pPr>
              <w:rPr>
                <w:rFonts w:ascii="宋体"/>
              </w:rPr>
            </w:pPr>
          </w:p>
        </w:tc>
        <w:tc>
          <w:tcPr>
            <w:tcW w:w="0" w:type="auto"/>
            <w:shd w:val="clear" w:color="auto" w:fill="auto"/>
          </w:tcPr>
          <w:p w14:paraId="33DACB90" w14:textId="77777777" w:rsidR="004D6A64" w:rsidRDefault="004D6A64">
            <w:pPr>
              <w:rPr>
                <w:rFonts w:ascii="宋体"/>
              </w:rPr>
            </w:pPr>
          </w:p>
        </w:tc>
        <w:tc>
          <w:tcPr>
            <w:tcW w:w="0" w:type="auto"/>
            <w:shd w:val="clear" w:color="auto" w:fill="auto"/>
          </w:tcPr>
          <w:p w14:paraId="33DACB91" w14:textId="77777777" w:rsidR="004D6A64" w:rsidRDefault="004D6A64">
            <w:pPr>
              <w:rPr>
                <w:rFonts w:ascii="宋体"/>
              </w:rPr>
            </w:pPr>
          </w:p>
        </w:tc>
        <w:tc>
          <w:tcPr>
            <w:tcW w:w="0" w:type="auto"/>
            <w:shd w:val="clear" w:color="auto" w:fill="auto"/>
          </w:tcPr>
          <w:p w14:paraId="33DACB92" w14:textId="77777777" w:rsidR="004D6A64" w:rsidRDefault="004D6A64">
            <w:pPr>
              <w:rPr>
                <w:rFonts w:ascii="宋体"/>
              </w:rPr>
            </w:pPr>
          </w:p>
        </w:tc>
        <w:tc>
          <w:tcPr>
            <w:tcW w:w="0" w:type="auto"/>
            <w:shd w:val="clear" w:color="auto" w:fill="auto"/>
          </w:tcPr>
          <w:p w14:paraId="33DACB93" w14:textId="77777777" w:rsidR="004D6A64" w:rsidRDefault="004D6A64">
            <w:pPr>
              <w:rPr>
                <w:rFonts w:ascii="宋体"/>
              </w:rPr>
            </w:pPr>
          </w:p>
        </w:tc>
        <w:tc>
          <w:tcPr>
            <w:tcW w:w="0" w:type="auto"/>
            <w:shd w:val="clear" w:color="auto" w:fill="auto"/>
          </w:tcPr>
          <w:p w14:paraId="33DACB94" w14:textId="77777777" w:rsidR="004D6A64" w:rsidRDefault="004D6A64">
            <w:pPr>
              <w:rPr>
                <w:rFonts w:ascii="宋体"/>
              </w:rPr>
            </w:pPr>
          </w:p>
        </w:tc>
      </w:tr>
      <w:tr w:rsidR="004D6A64" w14:paraId="33DACBB5" w14:textId="77777777">
        <w:trPr>
          <w:trHeight w:val="300"/>
        </w:trPr>
        <w:tc>
          <w:tcPr>
            <w:tcW w:w="0" w:type="auto"/>
            <w:gridSpan w:val="3"/>
            <w:shd w:val="clear" w:color="auto" w:fill="auto"/>
            <w:tcMar>
              <w:left w:w="20" w:type="dxa"/>
              <w:right w:w="20" w:type="dxa"/>
            </w:tcMar>
            <w:vAlign w:val="bottom"/>
          </w:tcPr>
          <w:p w14:paraId="33DACB96" w14:textId="77777777" w:rsidR="004D6A64" w:rsidRDefault="004D6A64">
            <w:pPr>
              <w:rPr>
                <w:rFonts w:ascii="宋体"/>
              </w:rPr>
            </w:pPr>
          </w:p>
        </w:tc>
        <w:tc>
          <w:tcPr>
            <w:tcW w:w="0" w:type="auto"/>
            <w:shd w:val="clear" w:color="auto" w:fill="auto"/>
          </w:tcPr>
          <w:p w14:paraId="33DACB97" w14:textId="77777777" w:rsidR="004D6A64" w:rsidRDefault="004D6A64">
            <w:pPr>
              <w:rPr>
                <w:rFonts w:ascii="宋体"/>
                <w:vanish/>
              </w:rPr>
            </w:pPr>
          </w:p>
        </w:tc>
        <w:tc>
          <w:tcPr>
            <w:tcW w:w="0" w:type="auto"/>
            <w:shd w:val="clear" w:color="auto" w:fill="auto"/>
          </w:tcPr>
          <w:p w14:paraId="33DACB98" w14:textId="77777777" w:rsidR="004D6A64" w:rsidRDefault="004D6A64">
            <w:pPr>
              <w:rPr>
                <w:rFonts w:ascii="宋体"/>
                <w:vanish/>
              </w:rPr>
            </w:pPr>
          </w:p>
        </w:tc>
        <w:tc>
          <w:tcPr>
            <w:tcW w:w="0" w:type="auto"/>
            <w:gridSpan w:val="3"/>
            <w:tcBorders>
              <w:top w:val="double" w:sz="6" w:space="0" w:color="000000"/>
            </w:tcBorders>
            <w:shd w:val="clear" w:color="auto" w:fill="auto"/>
            <w:tcMar>
              <w:left w:w="20" w:type="dxa"/>
              <w:right w:w="20" w:type="dxa"/>
            </w:tcMar>
            <w:vAlign w:val="bottom"/>
          </w:tcPr>
          <w:p w14:paraId="33DACB99"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CB9A" w14:textId="77777777" w:rsidR="004D6A64" w:rsidRDefault="004D6A64">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33DACB9B"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CB9C" w14:textId="77777777" w:rsidR="004D6A64" w:rsidRDefault="004D6A64">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33DACB9D"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CB9E" w14:textId="77777777" w:rsidR="004D6A64" w:rsidRDefault="004D6A64">
            <w:pPr>
              <w:rPr>
                <w:rFonts w:ascii="宋体"/>
              </w:rPr>
            </w:pPr>
          </w:p>
        </w:tc>
        <w:tc>
          <w:tcPr>
            <w:tcW w:w="0" w:type="auto"/>
            <w:shd w:val="clear" w:color="auto" w:fill="auto"/>
          </w:tcPr>
          <w:p w14:paraId="33DACB9F" w14:textId="77777777" w:rsidR="004D6A64" w:rsidRDefault="004D6A64">
            <w:pPr>
              <w:rPr>
                <w:rFonts w:ascii="宋体"/>
                <w:vanish/>
              </w:rPr>
            </w:pPr>
          </w:p>
        </w:tc>
        <w:tc>
          <w:tcPr>
            <w:tcW w:w="0" w:type="auto"/>
            <w:shd w:val="clear" w:color="auto" w:fill="auto"/>
          </w:tcPr>
          <w:p w14:paraId="33DACBA0" w14:textId="77777777" w:rsidR="004D6A64" w:rsidRDefault="004D6A64">
            <w:pPr>
              <w:rPr>
                <w:rFonts w:ascii="宋体"/>
                <w:vanish/>
              </w:rPr>
            </w:pPr>
          </w:p>
        </w:tc>
        <w:tc>
          <w:tcPr>
            <w:tcW w:w="0" w:type="auto"/>
            <w:gridSpan w:val="3"/>
            <w:tcBorders>
              <w:top w:val="double" w:sz="6" w:space="0" w:color="000000"/>
            </w:tcBorders>
            <w:shd w:val="clear" w:color="auto" w:fill="auto"/>
            <w:tcMar>
              <w:left w:w="20" w:type="dxa"/>
              <w:right w:w="20" w:type="dxa"/>
            </w:tcMar>
            <w:vAlign w:val="bottom"/>
          </w:tcPr>
          <w:p w14:paraId="33DACBA1"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CBA2" w14:textId="77777777" w:rsidR="004D6A64" w:rsidRDefault="004D6A64">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33DACBA3"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CBA4" w14:textId="77777777" w:rsidR="004D6A64" w:rsidRDefault="004D6A64">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33DACBA5" w14:textId="77777777" w:rsidR="004D6A64" w:rsidRDefault="004D6A64">
            <w:pPr>
              <w:rPr>
                <w:rFonts w:ascii="宋体"/>
              </w:rPr>
            </w:pPr>
          </w:p>
        </w:tc>
        <w:tc>
          <w:tcPr>
            <w:tcW w:w="0" w:type="auto"/>
            <w:shd w:val="clear" w:color="auto" w:fill="auto"/>
          </w:tcPr>
          <w:p w14:paraId="33DACBA6" w14:textId="77777777" w:rsidR="004D6A64" w:rsidRDefault="004D6A64">
            <w:pPr>
              <w:rPr>
                <w:rFonts w:ascii="宋体"/>
              </w:rPr>
            </w:pPr>
          </w:p>
        </w:tc>
        <w:tc>
          <w:tcPr>
            <w:tcW w:w="0" w:type="auto"/>
            <w:shd w:val="clear" w:color="auto" w:fill="auto"/>
          </w:tcPr>
          <w:p w14:paraId="33DACBA7" w14:textId="77777777" w:rsidR="004D6A64" w:rsidRDefault="004D6A64">
            <w:pPr>
              <w:rPr>
                <w:rFonts w:ascii="宋体"/>
              </w:rPr>
            </w:pPr>
          </w:p>
        </w:tc>
        <w:tc>
          <w:tcPr>
            <w:tcW w:w="0" w:type="auto"/>
            <w:shd w:val="clear" w:color="auto" w:fill="auto"/>
          </w:tcPr>
          <w:p w14:paraId="33DACBA8" w14:textId="77777777" w:rsidR="004D6A64" w:rsidRDefault="004D6A64">
            <w:pPr>
              <w:rPr>
                <w:rFonts w:ascii="宋体"/>
              </w:rPr>
            </w:pPr>
          </w:p>
        </w:tc>
        <w:tc>
          <w:tcPr>
            <w:tcW w:w="0" w:type="auto"/>
            <w:shd w:val="clear" w:color="auto" w:fill="auto"/>
          </w:tcPr>
          <w:p w14:paraId="33DACBA9" w14:textId="77777777" w:rsidR="004D6A64" w:rsidRDefault="004D6A64">
            <w:pPr>
              <w:rPr>
                <w:rFonts w:ascii="宋体"/>
              </w:rPr>
            </w:pPr>
          </w:p>
        </w:tc>
        <w:tc>
          <w:tcPr>
            <w:tcW w:w="0" w:type="auto"/>
            <w:shd w:val="clear" w:color="auto" w:fill="auto"/>
          </w:tcPr>
          <w:p w14:paraId="33DACBAA" w14:textId="77777777" w:rsidR="004D6A64" w:rsidRDefault="004D6A64">
            <w:pPr>
              <w:rPr>
                <w:rFonts w:ascii="宋体"/>
              </w:rPr>
            </w:pPr>
          </w:p>
        </w:tc>
        <w:tc>
          <w:tcPr>
            <w:tcW w:w="0" w:type="auto"/>
            <w:shd w:val="clear" w:color="auto" w:fill="auto"/>
          </w:tcPr>
          <w:p w14:paraId="33DACBAB" w14:textId="77777777" w:rsidR="004D6A64" w:rsidRDefault="004D6A64">
            <w:pPr>
              <w:rPr>
                <w:rFonts w:ascii="宋体"/>
              </w:rPr>
            </w:pPr>
          </w:p>
        </w:tc>
        <w:tc>
          <w:tcPr>
            <w:tcW w:w="0" w:type="auto"/>
            <w:shd w:val="clear" w:color="auto" w:fill="auto"/>
          </w:tcPr>
          <w:p w14:paraId="33DACBAC" w14:textId="77777777" w:rsidR="004D6A64" w:rsidRDefault="004D6A64">
            <w:pPr>
              <w:rPr>
                <w:rFonts w:ascii="宋体"/>
              </w:rPr>
            </w:pPr>
          </w:p>
        </w:tc>
        <w:tc>
          <w:tcPr>
            <w:tcW w:w="0" w:type="auto"/>
            <w:shd w:val="clear" w:color="auto" w:fill="auto"/>
          </w:tcPr>
          <w:p w14:paraId="33DACBAD" w14:textId="77777777" w:rsidR="004D6A64" w:rsidRDefault="004D6A64">
            <w:pPr>
              <w:rPr>
                <w:rFonts w:ascii="宋体"/>
              </w:rPr>
            </w:pPr>
          </w:p>
        </w:tc>
        <w:tc>
          <w:tcPr>
            <w:tcW w:w="0" w:type="auto"/>
            <w:shd w:val="clear" w:color="auto" w:fill="auto"/>
          </w:tcPr>
          <w:p w14:paraId="33DACBAE" w14:textId="77777777" w:rsidR="004D6A64" w:rsidRDefault="004D6A64">
            <w:pPr>
              <w:rPr>
                <w:rFonts w:ascii="宋体"/>
              </w:rPr>
            </w:pPr>
          </w:p>
        </w:tc>
        <w:tc>
          <w:tcPr>
            <w:tcW w:w="0" w:type="auto"/>
            <w:shd w:val="clear" w:color="auto" w:fill="auto"/>
          </w:tcPr>
          <w:p w14:paraId="33DACBAF" w14:textId="77777777" w:rsidR="004D6A64" w:rsidRDefault="004D6A64">
            <w:pPr>
              <w:rPr>
                <w:rFonts w:ascii="宋体"/>
              </w:rPr>
            </w:pPr>
          </w:p>
        </w:tc>
        <w:tc>
          <w:tcPr>
            <w:tcW w:w="0" w:type="auto"/>
            <w:shd w:val="clear" w:color="auto" w:fill="auto"/>
          </w:tcPr>
          <w:p w14:paraId="33DACBB0" w14:textId="77777777" w:rsidR="004D6A64" w:rsidRDefault="004D6A64">
            <w:pPr>
              <w:rPr>
                <w:rFonts w:ascii="宋体"/>
              </w:rPr>
            </w:pPr>
          </w:p>
        </w:tc>
        <w:tc>
          <w:tcPr>
            <w:tcW w:w="0" w:type="auto"/>
            <w:shd w:val="clear" w:color="auto" w:fill="auto"/>
          </w:tcPr>
          <w:p w14:paraId="33DACBB1" w14:textId="77777777" w:rsidR="004D6A64" w:rsidRDefault="004D6A64">
            <w:pPr>
              <w:rPr>
                <w:rFonts w:ascii="宋体"/>
              </w:rPr>
            </w:pPr>
          </w:p>
        </w:tc>
        <w:tc>
          <w:tcPr>
            <w:tcW w:w="0" w:type="auto"/>
            <w:shd w:val="clear" w:color="auto" w:fill="auto"/>
          </w:tcPr>
          <w:p w14:paraId="33DACBB2" w14:textId="77777777" w:rsidR="004D6A64" w:rsidRDefault="004D6A64">
            <w:pPr>
              <w:rPr>
                <w:rFonts w:ascii="宋体"/>
              </w:rPr>
            </w:pPr>
          </w:p>
        </w:tc>
        <w:tc>
          <w:tcPr>
            <w:tcW w:w="0" w:type="auto"/>
            <w:shd w:val="clear" w:color="auto" w:fill="auto"/>
          </w:tcPr>
          <w:p w14:paraId="33DACBB3" w14:textId="77777777" w:rsidR="004D6A64" w:rsidRDefault="004D6A64">
            <w:pPr>
              <w:rPr>
                <w:rFonts w:ascii="宋体"/>
              </w:rPr>
            </w:pPr>
          </w:p>
        </w:tc>
        <w:tc>
          <w:tcPr>
            <w:tcW w:w="0" w:type="auto"/>
            <w:shd w:val="clear" w:color="auto" w:fill="auto"/>
          </w:tcPr>
          <w:p w14:paraId="33DACBB4" w14:textId="77777777" w:rsidR="004D6A64" w:rsidRDefault="004D6A64">
            <w:pPr>
              <w:rPr>
                <w:rFonts w:ascii="宋体"/>
              </w:rPr>
            </w:pPr>
          </w:p>
        </w:tc>
      </w:tr>
      <w:tr w:rsidR="004D6A64" w14:paraId="33DACBC2" w14:textId="77777777">
        <w:tc>
          <w:tcPr>
            <w:tcW w:w="0" w:type="auto"/>
            <w:gridSpan w:val="3"/>
            <w:shd w:val="clear" w:color="auto" w:fill="auto"/>
            <w:tcMar>
              <w:left w:w="20" w:type="dxa"/>
              <w:right w:w="20" w:type="dxa"/>
            </w:tcMar>
            <w:vAlign w:val="bottom"/>
          </w:tcPr>
          <w:p w14:paraId="33DACBB6" w14:textId="77777777" w:rsidR="004D6A64" w:rsidRDefault="004D6A64">
            <w:pPr>
              <w:rPr>
                <w:rFonts w:ascii="宋体"/>
              </w:rPr>
            </w:pPr>
          </w:p>
        </w:tc>
        <w:tc>
          <w:tcPr>
            <w:tcW w:w="0" w:type="auto"/>
            <w:shd w:val="clear" w:color="auto" w:fill="auto"/>
          </w:tcPr>
          <w:p w14:paraId="33DACBB7" w14:textId="77777777" w:rsidR="004D6A64" w:rsidRDefault="004D6A64">
            <w:pPr>
              <w:rPr>
                <w:rFonts w:ascii="宋体"/>
                <w:vanish/>
              </w:rPr>
            </w:pPr>
          </w:p>
        </w:tc>
        <w:tc>
          <w:tcPr>
            <w:tcW w:w="0" w:type="auto"/>
            <w:shd w:val="clear" w:color="auto" w:fill="auto"/>
          </w:tcPr>
          <w:p w14:paraId="33DACBB8" w14:textId="77777777" w:rsidR="004D6A64" w:rsidRDefault="004D6A64">
            <w:pPr>
              <w:rPr>
                <w:rFonts w:ascii="宋体"/>
                <w:vanish/>
              </w:rPr>
            </w:pPr>
          </w:p>
        </w:tc>
        <w:tc>
          <w:tcPr>
            <w:tcW w:w="0" w:type="auto"/>
            <w:gridSpan w:val="29"/>
            <w:tcBorders>
              <w:bottom w:val="single" w:sz="8" w:space="0" w:color="000000"/>
            </w:tcBorders>
            <w:shd w:val="clear" w:color="auto" w:fill="FFFFFF"/>
            <w:tcMar>
              <w:top w:w="40" w:type="dxa"/>
              <w:left w:w="20" w:type="dxa"/>
              <w:bottom w:w="40" w:type="dxa"/>
              <w:right w:w="20" w:type="dxa"/>
            </w:tcMar>
            <w:vAlign w:val="bottom"/>
          </w:tcPr>
          <w:p w14:paraId="33DACBB9" w14:textId="77777777" w:rsidR="004D6A64" w:rsidRDefault="00506CD6">
            <w:pPr>
              <w:jc w:val="center"/>
              <w:textAlignment w:val="bottom"/>
            </w:pPr>
            <w:r>
              <w:rPr>
                <w:rFonts w:ascii="Times New Roman" w:eastAsia="宋体" w:hAnsi="Times New Roman"/>
                <w:b/>
                <w:bCs/>
                <w:color w:val="000000"/>
                <w:sz w:val="20"/>
                <w:szCs w:val="20"/>
              </w:rPr>
              <w:t>Six Months Ended</w:t>
            </w:r>
          </w:p>
        </w:tc>
        <w:tc>
          <w:tcPr>
            <w:tcW w:w="0" w:type="auto"/>
            <w:gridSpan w:val="3"/>
            <w:shd w:val="clear" w:color="auto" w:fill="auto"/>
          </w:tcPr>
          <w:p w14:paraId="33DACBBA" w14:textId="77777777" w:rsidR="004D6A64" w:rsidRDefault="004D6A64">
            <w:pPr>
              <w:rPr>
                <w:rFonts w:ascii="宋体"/>
                <w:vanish/>
              </w:rPr>
            </w:pPr>
          </w:p>
        </w:tc>
        <w:tc>
          <w:tcPr>
            <w:tcW w:w="0" w:type="auto"/>
            <w:gridSpan w:val="3"/>
            <w:shd w:val="clear" w:color="auto" w:fill="auto"/>
          </w:tcPr>
          <w:p w14:paraId="33DACBBB" w14:textId="77777777" w:rsidR="004D6A64" w:rsidRDefault="004D6A64">
            <w:pPr>
              <w:rPr>
                <w:rFonts w:ascii="宋体"/>
                <w:vanish/>
              </w:rPr>
            </w:pPr>
          </w:p>
        </w:tc>
        <w:tc>
          <w:tcPr>
            <w:tcW w:w="0" w:type="auto"/>
            <w:gridSpan w:val="3"/>
            <w:shd w:val="clear" w:color="auto" w:fill="auto"/>
          </w:tcPr>
          <w:p w14:paraId="33DACBBC" w14:textId="77777777" w:rsidR="004D6A64" w:rsidRDefault="004D6A64">
            <w:pPr>
              <w:rPr>
                <w:rFonts w:ascii="宋体"/>
                <w:vanish/>
              </w:rPr>
            </w:pPr>
          </w:p>
        </w:tc>
        <w:tc>
          <w:tcPr>
            <w:tcW w:w="0" w:type="auto"/>
            <w:gridSpan w:val="3"/>
            <w:shd w:val="clear" w:color="auto" w:fill="auto"/>
          </w:tcPr>
          <w:p w14:paraId="33DACBBD" w14:textId="77777777" w:rsidR="004D6A64" w:rsidRDefault="004D6A64">
            <w:pPr>
              <w:rPr>
                <w:rFonts w:ascii="宋体"/>
                <w:vanish/>
              </w:rPr>
            </w:pPr>
          </w:p>
        </w:tc>
        <w:tc>
          <w:tcPr>
            <w:tcW w:w="0" w:type="auto"/>
            <w:gridSpan w:val="3"/>
            <w:shd w:val="clear" w:color="auto" w:fill="auto"/>
          </w:tcPr>
          <w:p w14:paraId="33DACBBE" w14:textId="77777777" w:rsidR="004D6A64" w:rsidRDefault="004D6A64">
            <w:pPr>
              <w:rPr>
                <w:rFonts w:ascii="宋体"/>
                <w:vanish/>
              </w:rPr>
            </w:pPr>
          </w:p>
        </w:tc>
        <w:tc>
          <w:tcPr>
            <w:tcW w:w="0" w:type="auto"/>
            <w:gridSpan w:val="3"/>
            <w:shd w:val="clear" w:color="auto" w:fill="auto"/>
          </w:tcPr>
          <w:p w14:paraId="33DACBBF" w14:textId="77777777" w:rsidR="004D6A64" w:rsidRDefault="004D6A64">
            <w:pPr>
              <w:rPr>
                <w:rFonts w:ascii="宋体"/>
                <w:vanish/>
              </w:rPr>
            </w:pPr>
          </w:p>
        </w:tc>
        <w:tc>
          <w:tcPr>
            <w:tcW w:w="0" w:type="auto"/>
            <w:gridSpan w:val="2"/>
            <w:shd w:val="clear" w:color="auto" w:fill="auto"/>
          </w:tcPr>
          <w:p w14:paraId="33DACBC0" w14:textId="77777777" w:rsidR="004D6A64" w:rsidRDefault="004D6A64">
            <w:pPr>
              <w:rPr>
                <w:rFonts w:ascii="宋体"/>
                <w:vanish/>
              </w:rPr>
            </w:pPr>
          </w:p>
        </w:tc>
        <w:tc>
          <w:tcPr>
            <w:tcW w:w="0" w:type="auto"/>
            <w:shd w:val="clear" w:color="auto" w:fill="auto"/>
          </w:tcPr>
          <w:p w14:paraId="33DACBC1" w14:textId="77777777" w:rsidR="004D6A64" w:rsidRDefault="004D6A64">
            <w:pPr>
              <w:rPr>
                <w:rFonts w:ascii="宋体"/>
                <w:vanish/>
              </w:rPr>
            </w:pPr>
          </w:p>
        </w:tc>
      </w:tr>
      <w:tr w:rsidR="004D6A64" w14:paraId="33DACBD1" w14:textId="77777777">
        <w:tc>
          <w:tcPr>
            <w:tcW w:w="0" w:type="auto"/>
            <w:gridSpan w:val="3"/>
            <w:shd w:val="clear" w:color="auto" w:fill="auto"/>
            <w:tcMar>
              <w:left w:w="20" w:type="dxa"/>
              <w:right w:w="20" w:type="dxa"/>
            </w:tcMar>
            <w:vAlign w:val="bottom"/>
          </w:tcPr>
          <w:p w14:paraId="33DACBC3" w14:textId="77777777" w:rsidR="004D6A64" w:rsidRDefault="004D6A64">
            <w:pPr>
              <w:rPr>
                <w:rFonts w:ascii="宋体"/>
              </w:rPr>
            </w:pPr>
          </w:p>
        </w:tc>
        <w:tc>
          <w:tcPr>
            <w:tcW w:w="0" w:type="auto"/>
            <w:shd w:val="clear" w:color="auto" w:fill="auto"/>
          </w:tcPr>
          <w:p w14:paraId="33DACBC4" w14:textId="77777777" w:rsidR="004D6A64" w:rsidRDefault="004D6A64">
            <w:pPr>
              <w:rPr>
                <w:rFonts w:ascii="宋体"/>
                <w:vanish/>
              </w:rPr>
            </w:pPr>
          </w:p>
        </w:tc>
        <w:tc>
          <w:tcPr>
            <w:tcW w:w="0" w:type="auto"/>
            <w:shd w:val="clear" w:color="auto" w:fill="auto"/>
          </w:tcPr>
          <w:p w14:paraId="33DACBC5" w14:textId="77777777" w:rsidR="004D6A64" w:rsidRDefault="004D6A64">
            <w:pPr>
              <w:rPr>
                <w:rFonts w:ascii="宋体"/>
                <w:vanish/>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3DACBC6"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shd w:val="clear" w:color="auto" w:fill="auto"/>
          </w:tcPr>
          <w:p w14:paraId="33DACBC7" w14:textId="77777777" w:rsidR="004D6A64" w:rsidRDefault="004D6A64">
            <w:pPr>
              <w:rPr>
                <w:rFonts w:ascii="宋体"/>
                <w:vanish/>
              </w:rPr>
            </w:pPr>
          </w:p>
        </w:tc>
        <w:tc>
          <w:tcPr>
            <w:tcW w:w="0" w:type="auto"/>
            <w:shd w:val="clear" w:color="auto" w:fill="auto"/>
          </w:tcPr>
          <w:p w14:paraId="33DACBC8" w14:textId="77777777" w:rsidR="004D6A64" w:rsidRDefault="004D6A64">
            <w:pPr>
              <w:rPr>
                <w:rFonts w:ascii="宋体"/>
                <w:vanish/>
              </w:rPr>
            </w:pPr>
          </w:p>
        </w:tc>
        <w:tc>
          <w:tcPr>
            <w:tcW w:w="0" w:type="auto"/>
            <w:shd w:val="clear" w:color="auto" w:fill="auto"/>
          </w:tcPr>
          <w:p w14:paraId="33DACBC9" w14:textId="77777777" w:rsidR="004D6A64" w:rsidRDefault="004D6A64">
            <w:pPr>
              <w:rPr>
                <w:rFonts w:ascii="宋体"/>
                <w:vanish/>
              </w:rPr>
            </w:pPr>
          </w:p>
        </w:tc>
        <w:tc>
          <w:tcPr>
            <w:tcW w:w="0" w:type="auto"/>
            <w:gridSpan w:val="3"/>
            <w:shd w:val="clear" w:color="auto" w:fill="auto"/>
          </w:tcPr>
          <w:p w14:paraId="33DACBCA" w14:textId="77777777" w:rsidR="004D6A64" w:rsidRDefault="004D6A64">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33DACBCB" w14:textId="77777777" w:rsidR="004D6A64" w:rsidRDefault="004D6A64">
            <w:pPr>
              <w:rPr>
                <w:rFonts w:ascii="宋体"/>
              </w:rPr>
            </w:pPr>
          </w:p>
        </w:tc>
        <w:tc>
          <w:tcPr>
            <w:tcW w:w="0" w:type="auto"/>
            <w:gridSpan w:val="3"/>
            <w:shd w:val="clear" w:color="auto" w:fill="auto"/>
          </w:tcPr>
          <w:p w14:paraId="33DACBCC" w14:textId="77777777" w:rsidR="004D6A64" w:rsidRDefault="004D6A64">
            <w:pPr>
              <w:rPr>
                <w:rFonts w:ascii="宋体"/>
                <w:vanish/>
              </w:rPr>
            </w:pPr>
          </w:p>
        </w:tc>
        <w:tc>
          <w:tcPr>
            <w:tcW w:w="0" w:type="auto"/>
            <w:gridSpan w:val="3"/>
            <w:shd w:val="clear" w:color="auto" w:fill="auto"/>
          </w:tcPr>
          <w:p w14:paraId="33DACBCD" w14:textId="77777777" w:rsidR="004D6A64" w:rsidRDefault="004D6A64">
            <w:pPr>
              <w:rPr>
                <w:rFonts w:ascii="宋体"/>
                <w:vanish/>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3DACBCE"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gridSpan w:val="2"/>
            <w:shd w:val="clear" w:color="auto" w:fill="auto"/>
          </w:tcPr>
          <w:p w14:paraId="33DACBCF" w14:textId="77777777" w:rsidR="004D6A64" w:rsidRDefault="004D6A64">
            <w:pPr>
              <w:rPr>
                <w:rFonts w:ascii="宋体"/>
                <w:vanish/>
              </w:rPr>
            </w:pPr>
          </w:p>
        </w:tc>
        <w:tc>
          <w:tcPr>
            <w:tcW w:w="0" w:type="auto"/>
            <w:shd w:val="clear" w:color="auto" w:fill="auto"/>
          </w:tcPr>
          <w:p w14:paraId="33DACBD0" w14:textId="77777777" w:rsidR="004D6A64" w:rsidRDefault="004D6A64">
            <w:pPr>
              <w:rPr>
                <w:rFonts w:ascii="宋体"/>
                <w:vanish/>
              </w:rPr>
            </w:pPr>
          </w:p>
        </w:tc>
      </w:tr>
      <w:tr w:rsidR="004D6A64" w14:paraId="33DACBF1" w14:textId="77777777">
        <w:tc>
          <w:tcPr>
            <w:tcW w:w="0" w:type="auto"/>
            <w:gridSpan w:val="3"/>
            <w:shd w:val="clear" w:color="auto" w:fill="auto"/>
            <w:tcMar>
              <w:left w:w="20" w:type="dxa"/>
              <w:right w:w="20" w:type="dxa"/>
            </w:tcMar>
            <w:vAlign w:val="bottom"/>
          </w:tcPr>
          <w:p w14:paraId="33DACBD2" w14:textId="77777777" w:rsidR="004D6A64" w:rsidRDefault="004D6A64">
            <w:pPr>
              <w:rPr>
                <w:rFonts w:ascii="宋体"/>
              </w:rPr>
            </w:pPr>
          </w:p>
        </w:tc>
        <w:tc>
          <w:tcPr>
            <w:tcW w:w="0" w:type="auto"/>
            <w:shd w:val="clear" w:color="auto" w:fill="auto"/>
          </w:tcPr>
          <w:p w14:paraId="33DACBD3" w14:textId="77777777" w:rsidR="004D6A64" w:rsidRDefault="004D6A64">
            <w:pPr>
              <w:rPr>
                <w:rFonts w:ascii="宋体"/>
                <w:vanish/>
              </w:rPr>
            </w:pPr>
          </w:p>
        </w:tc>
        <w:tc>
          <w:tcPr>
            <w:tcW w:w="0" w:type="auto"/>
            <w:shd w:val="clear" w:color="auto" w:fill="auto"/>
          </w:tcPr>
          <w:p w14:paraId="33DACBD4" w14:textId="77777777" w:rsidR="004D6A64" w:rsidRDefault="004D6A64">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CBD5" w14:textId="77777777" w:rsidR="004D6A64" w:rsidRDefault="00506CD6">
            <w:pPr>
              <w:jc w:val="center"/>
              <w:textAlignment w:val="bottom"/>
            </w:pPr>
            <w:r>
              <w:rPr>
                <w:rFonts w:ascii="Times New Roman" w:eastAsia="宋体" w:hAnsi="Times New Roman"/>
                <w:b/>
                <w:bCs/>
                <w:color w:val="000000"/>
                <w:sz w:val="20"/>
                <w:szCs w:val="20"/>
              </w:rPr>
              <w:t>Cash Flow Hedges</w:t>
            </w:r>
          </w:p>
        </w:tc>
        <w:tc>
          <w:tcPr>
            <w:tcW w:w="0" w:type="auto"/>
            <w:gridSpan w:val="3"/>
            <w:tcBorders>
              <w:top w:val="single" w:sz="8" w:space="0" w:color="000000"/>
            </w:tcBorders>
            <w:shd w:val="clear" w:color="auto" w:fill="auto"/>
            <w:tcMar>
              <w:left w:w="20" w:type="dxa"/>
              <w:right w:w="20" w:type="dxa"/>
            </w:tcMar>
            <w:vAlign w:val="bottom"/>
          </w:tcPr>
          <w:p w14:paraId="33DACBD6"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CBD7" w14:textId="77777777" w:rsidR="004D6A64" w:rsidRDefault="00506CD6">
            <w:pPr>
              <w:jc w:val="center"/>
              <w:textAlignment w:val="bottom"/>
            </w:pPr>
            <w:r>
              <w:rPr>
                <w:rFonts w:ascii="Times New Roman" w:eastAsia="宋体" w:hAnsi="Times New Roman"/>
                <w:b/>
                <w:bCs/>
                <w:color w:val="000000"/>
                <w:sz w:val="20"/>
                <w:szCs w:val="20"/>
              </w:rPr>
              <w:t>Pensions</w:t>
            </w:r>
          </w:p>
        </w:tc>
        <w:tc>
          <w:tcPr>
            <w:tcW w:w="0" w:type="auto"/>
            <w:gridSpan w:val="3"/>
            <w:tcBorders>
              <w:top w:val="single" w:sz="8" w:space="0" w:color="000000"/>
            </w:tcBorders>
            <w:shd w:val="clear" w:color="auto" w:fill="auto"/>
            <w:tcMar>
              <w:left w:w="20" w:type="dxa"/>
              <w:right w:w="20" w:type="dxa"/>
            </w:tcMar>
            <w:vAlign w:val="bottom"/>
          </w:tcPr>
          <w:p w14:paraId="33DACBD8"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CBD9" w14:textId="77777777" w:rsidR="004D6A64" w:rsidRDefault="00506CD6">
            <w:pPr>
              <w:jc w:val="center"/>
              <w:textAlignment w:val="bottom"/>
            </w:pPr>
            <w:r>
              <w:rPr>
                <w:rFonts w:ascii="Times New Roman" w:eastAsia="宋体" w:hAnsi="Times New Roman"/>
                <w:b/>
                <w:bCs/>
                <w:color w:val="000000"/>
                <w:sz w:val="20"/>
                <w:szCs w:val="20"/>
              </w:rPr>
              <w:t>Total</w:t>
            </w:r>
          </w:p>
        </w:tc>
        <w:tc>
          <w:tcPr>
            <w:tcW w:w="0" w:type="auto"/>
            <w:gridSpan w:val="3"/>
            <w:shd w:val="clear" w:color="auto" w:fill="auto"/>
            <w:tcMar>
              <w:left w:w="20" w:type="dxa"/>
              <w:right w:w="20" w:type="dxa"/>
            </w:tcMar>
            <w:vAlign w:val="bottom"/>
          </w:tcPr>
          <w:p w14:paraId="33DACBDA" w14:textId="77777777" w:rsidR="004D6A64" w:rsidRDefault="004D6A64">
            <w:pPr>
              <w:rPr>
                <w:rFonts w:ascii="宋体"/>
              </w:rPr>
            </w:pPr>
          </w:p>
        </w:tc>
        <w:tc>
          <w:tcPr>
            <w:tcW w:w="0" w:type="auto"/>
            <w:shd w:val="clear" w:color="auto" w:fill="auto"/>
          </w:tcPr>
          <w:p w14:paraId="33DACBDB" w14:textId="77777777" w:rsidR="004D6A64" w:rsidRDefault="004D6A64">
            <w:pPr>
              <w:rPr>
                <w:rFonts w:ascii="宋体"/>
                <w:vanish/>
              </w:rPr>
            </w:pPr>
          </w:p>
        </w:tc>
        <w:tc>
          <w:tcPr>
            <w:tcW w:w="0" w:type="auto"/>
            <w:shd w:val="clear" w:color="auto" w:fill="auto"/>
          </w:tcPr>
          <w:p w14:paraId="33DACBDC" w14:textId="77777777" w:rsidR="004D6A64" w:rsidRDefault="004D6A64">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CBDD" w14:textId="77777777" w:rsidR="004D6A64" w:rsidRDefault="00506CD6">
            <w:pPr>
              <w:jc w:val="center"/>
              <w:textAlignment w:val="bottom"/>
            </w:pPr>
            <w:r>
              <w:rPr>
                <w:rFonts w:ascii="Times New Roman" w:eastAsia="宋体" w:hAnsi="Times New Roman"/>
                <w:b/>
                <w:bCs/>
                <w:color w:val="000000"/>
                <w:sz w:val="20"/>
                <w:szCs w:val="20"/>
              </w:rPr>
              <w:t>Cash Flow Hedges</w:t>
            </w:r>
          </w:p>
        </w:tc>
        <w:tc>
          <w:tcPr>
            <w:tcW w:w="0" w:type="auto"/>
            <w:gridSpan w:val="3"/>
            <w:tcBorders>
              <w:top w:val="single" w:sz="8" w:space="0" w:color="000000"/>
            </w:tcBorders>
            <w:shd w:val="clear" w:color="auto" w:fill="auto"/>
            <w:tcMar>
              <w:left w:w="20" w:type="dxa"/>
              <w:right w:w="20" w:type="dxa"/>
            </w:tcMar>
            <w:vAlign w:val="bottom"/>
          </w:tcPr>
          <w:p w14:paraId="33DACBDE"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CBDF" w14:textId="77777777" w:rsidR="004D6A64" w:rsidRDefault="00506CD6">
            <w:pPr>
              <w:jc w:val="center"/>
              <w:textAlignment w:val="bottom"/>
            </w:pPr>
            <w:r>
              <w:rPr>
                <w:rFonts w:ascii="Times New Roman" w:eastAsia="宋体" w:hAnsi="Times New Roman"/>
                <w:b/>
                <w:bCs/>
                <w:color w:val="000000"/>
                <w:sz w:val="20"/>
                <w:szCs w:val="20"/>
              </w:rPr>
              <w:t>Pensions</w:t>
            </w:r>
          </w:p>
        </w:tc>
        <w:tc>
          <w:tcPr>
            <w:tcW w:w="0" w:type="auto"/>
            <w:gridSpan w:val="3"/>
            <w:tcBorders>
              <w:top w:val="single" w:sz="8" w:space="0" w:color="000000"/>
            </w:tcBorders>
            <w:shd w:val="clear" w:color="auto" w:fill="auto"/>
            <w:tcMar>
              <w:left w:w="20" w:type="dxa"/>
              <w:right w:w="20" w:type="dxa"/>
            </w:tcMar>
            <w:vAlign w:val="bottom"/>
          </w:tcPr>
          <w:p w14:paraId="33DACBE0"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CBE1" w14:textId="77777777" w:rsidR="004D6A64" w:rsidRDefault="00506CD6">
            <w:pPr>
              <w:jc w:val="center"/>
              <w:textAlignment w:val="bottom"/>
            </w:pPr>
            <w:r>
              <w:rPr>
                <w:rFonts w:ascii="Times New Roman" w:eastAsia="宋体" w:hAnsi="Times New Roman"/>
                <w:b/>
                <w:bCs/>
                <w:color w:val="000000"/>
                <w:sz w:val="20"/>
                <w:szCs w:val="20"/>
              </w:rPr>
              <w:t>Total</w:t>
            </w:r>
          </w:p>
        </w:tc>
        <w:tc>
          <w:tcPr>
            <w:tcW w:w="0" w:type="auto"/>
            <w:shd w:val="clear" w:color="auto" w:fill="auto"/>
          </w:tcPr>
          <w:p w14:paraId="33DACBE2" w14:textId="77777777" w:rsidR="004D6A64" w:rsidRDefault="004D6A64">
            <w:pPr>
              <w:rPr>
                <w:rFonts w:ascii="宋体"/>
              </w:rPr>
            </w:pPr>
          </w:p>
        </w:tc>
        <w:tc>
          <w:tcPr>
            <w:tcW w:w="0" w:type="auto"/>
            <w:shd w:val="clear" w:color="auto" w:fill="auto"/>
          </w:tcPr>
          <w:p w14:paraId="33DACBE3" w14:textId="77777777" w:rsidR="004D6A64" w:rsidRDefault="004D6A64">
            <w:pPr>
              <w:rPr>
                <w:rFonts w:ascii="宋体"/>
              </w:rPr>
            </w:pPr>
          </w:p>
        </w:tc>
        <w:tc>
          <w:tcPr>
            <w:tcW w:w="0" w:type="auto"/>
            <w:shd w:val="clear" w:color="auto" w:fill="auto"/>
          </w:tcPr>
          <w:p w14:paraId="33DACBE4" w14:textId="77777777" w:rsidR="004D6A64" w:rsidRDefault="004D6A64">
            <w:pPr>
              <w:rPr>
                <w:rFonts w:ascii="宋体"/>
              </w:rPr>
            </w:pPr>
          </w:p>
        </w:tc>
        <w:tc>
          <w:tcPr>
            <w:tcW w:w="0" w:type="auto"/>
            <w:shd w:val="clear" w:color="auto" w:fill="auto"/>
          </w:tcPr>
          <w:p w14:paraId="33DACBE5" w14:textId="77777777" w:rsidR="004D6A64" w:rsidRDefault="004D6A64">
            <w:pPr>
              <w:rPr>
                <w:rFonts w:ascii="宋体"/>
              </w:rPr>
            </w:pPr>
          </w:p>
        </w:tc>
        <w:tc>
          <w:tcPr>
            <w:tcW w:w="0" w:type="auto"/>
            <w:shd w:val="clear" w:color="auto" w:fill="auto"/>
          </w:tcPr>
          <w:p w14:paraId="33DACBE6" w14:textId="77777777" w:rsidR="004D6A64" w:rsidRDefault="004D6A64">
            <w:pPr>
              <w:rPr>
                <w:rFonts w:ascii="宋体"/>
              </w:rPr>
            </w:pPr>
          </w:p>
        </w:tc>
        <w:tc>
          <w:tcPr>
            <w:tcW w:w="0" w:type="auto"/>
            <w:shd w:val="clear" w:color="auto" w:fill="auto"/>
          </w:tcPr>
          <w:p w14:paraId="33DACBE7" w14:textId="77777777" w:rsidR="004D6A64" w:rsidRDefault="004D6A64">
            <w:pPr>
              <w:rPr>
                <w:rFonts w:ascii="宋体"/>
              </w:rPr>
            </w:pPr>
          </w:p>
        </w:tc>
        <w:tc>
          <w:tcPr>
            <w:tcW w:w="0" w:type="auto"/>
            <w:shd w:val="clear" w:color="auto" w:fill="auto"/>
          </w:tcPr>
          <w:p w14:paraId="33DACBE8" w14:textId="77777777" w:rsidR="004D6A64" w:rsidRDefault="004D6A64">
            <w:pPr>
              <w:rPr>
                <w:rFonts w:ascii="宋体"/>
              </w:rPr>
            </w:pPr>
          </w:p>
        </w:tc>
        <w:tc>
          <w:tcPr>
            <w:tcW w:w="0" w:type="auto"/>
            <w:shd w:val="clear" w:color="auto" w:fill="auto"/>
          </w:tcPr>
          <w:p w14:paraId="33DACBE9" w14:textId="77777777" w:rsidR="004D6A64" w:rsidRDefault="004D6A64">
            <w:pPr>
              <w:rPr>
                <w:rFonts w:ascii="宋体"/>
              </w:rPr>
            </w:pPr>
          </w:p>
        </w:tc>
        <w:tc>
          <w:tcPr>
            <w:tcW w:w="0" w:type="auto"/>
            <w:shd w:val="clear" w:color="auto" w:fill="auto"/>
          </w:tcPr>
          <w:p w14:paraId="33DACBEA" w14:textId="77777777" w:rsidR="004D6A64" w:rsidRDefault="004D6A64">
            <w:pPr>
              <w:rPr>
                <w:rFonts w:ascii="宋体"/>
              </w:rPr>
            </w:pPr>
          </w:p>
        </w:tc>
        <w:tc>
          <w:tcPr>
            <w:tcW w:w="0" w:type="auto"/>
            <w:shd w:val="clear" w:color="auto" w:fill="auto"/>
          </w:tcPr>
          <w:p w14:paraId="33DACBEB" w14:textId="77777777" w:rsidR="004D6A64" w:rsidRDefault="004D6A64">
            <w:pPr>
              <w:rPr>
                <w:rFonts w:ascii="宋体"/>
              </w:rPr>
            </w:pPr>
          </w:p>
        </w:tc>
        <w:tc>
          <w:tcPr>
            <w:tcW w:w="0" w:type="auto"/>
            <w:shd w:val="clear" w:color="auto" w:fill="auto"/>
          </w:tcPr>
          <w:p w14:paraId="33DACBEC" w14:textId="77777777" w:rsidR="004D6A64" w:rsidRDefault="004D6A64">
            <w:pPr>
              <w:rPr>
                <w:rFonts w:ascii="宋体"/>
              </w:rPr>
            </w:pPr>
          </w:p>
        </w:tc>
        <w:tc>
          <w:tcPr>
            <w:tcW w:w="0" w:type="auto"/>
            <w:shd w:val="clear" w:color="auto" w:fill="auto"/>
          </w:tcPr>
          <w:p w14:paraId="33DACBED" w14:textId="77777777" w:rsidR="004D6A64" w:rsidRDefault="004D6A64">
            <w:pPr>
              <w:rPr>
                <w:rFonts w:ascii="宋体"/>
              </w:rPr>
            </w:pPr>
          </w:p>
        </w:tc>
        <w:tc>
          <w:tcPr>
            <w:tcW w:w="0" w:type="auto"/>
            <w:shd w:val="clear" w:color="auto" w:fill="auto"/>
          </w:tcPr>
          <w:p w14:paraId="33DACBEE" w14:textId="77777777" w:rsidR="004D6A64" w:rsidRDefault="004D6A64">
            <w:pPr>
              <w:rPr>
                <w:rFonts w:ascii="宋体"/>
              </w:rPr>
            </w:pPr>
          </w:p>
        </w:tc>
        <w:tc>
          <w:tcPr>
            <w:tcW w:w="0" w:type="auto"/>
            <w:shd w:val="clear" w:color="auto" w:fill="auto"/>
          </w:tcPr>
          <w:p w14:paraId="33DACBEF" w14:textId="77777777" w:rsidR="004D6A64" w:rsidRDefault="004D6A64">
            <w:pPr>
              <w:rPr>
                <w:rFonts w:ascii="宋体"/>
              </w:rPr>
            </w:pPr>
          </w:p>
        </w:tc>
        <w:tc>
          <w:tcPr>
            <w:tcW w:w="0" w:type="auto"/>
            <w:shd w:val="clear" w:color="auto" w:fill="auto"/>
          </w:tcPr>
          <w:p w14:paraId="33DACBF0" w14:textId="77777777" w:rsidR="004D6A64" w:rsidRDefault="004D6A64">
            <w:pPr>
              <w:rPr>
                <w:rFonts w:ascii="宋体"/>
              </w:rPr>
            </w:pPr>
          </w:p>
        </w:tc>
      </w:tr>
      <w:tr w:rsidR="004D6A64" w14:paraId="33DACC00" w14:textId="77777777">
        <w:tc>
          <w:tcPr>
            <w:tcW w:w="0" w:type="auto"/>
            <w:gridSpan w:val="3"/>
            <w:shd w:val="clear" w:color="auto" w:fill="FFFFFF"/>
            <w:tcMar>
              <w:left w:w="20" w:type="dxa"/>
              <w:right w:w="20" w:type="dxa"/>
            </w:tcMar>
            <w:vAlign w:val="bottom"/>
          </w:tcPr>
          <w:p w14:paraId="33DACBF2" w14:textId="77777777" w:rsidR="004D6A64" w:rsidRDefault="004D6A64">
            <w:pPr>
              <w:rPr>
                <w:rFonts w:ascii="宋体"/>
              </w:rPr>
            </w:pPr>
          </w:p>
        </w:tc>
        <w:tc>
          <w:tcPr>
            <w:tcW w:w="0" w:type="auto"/>
            <w:shd w:val="clear" w:color="auto" w:fill="auto"/>
          </w:tcPr>
          <w:p w14:paraId="33DACBF3" w14:textId="77777777" w:rsidR="004D6A64" w:rsidRDefault="004D6A64">
            <w:pPr>
              <w:rPr>
                <w:rFonts w:ascii="宋体"/>
                <w:vanish/>
              </w:rPr>
            </w:pPr>
          </w:p>
        </w:tc>
        <w:tc>
          <w:tcPr>
            <w:tcW w:w="0" w:type="auto"/>
            <w:shd w:val="clear" w:color="auto" w:fill="auto"/>
          </w:tcPr>
          <w:p w14:paraId="33DACBF4" w14:textId="77777777" w:rsidR="004D6A64" w:rsidRDefault="004D6A64">
            <w:pPr>
              <w:rPr>
                <w:rFonts w:ascii="宋体"/>
                <w:vanish/>
              </w:rPr>
            </w:pPr>
          </w:p>
        </w:tc>
        <w:tc>
          <w:tcPr>
            <w:tcW w:w="0" w:type="auto"/>
            <w:gridSpan w:val="15"/>
            <w:tcBorders>
              <w:top w:val="single" w:sz="8" w:space="0" w:color="000000"/>
            </w:tcBorders>
            <w:shd w:val="clear" w:color="auto" w:fill="FFFFFF"/>
            <w:tcMar>
              <w:top w:w="40" w:type="dxa"/>
              <w:left w:w="20" w:type="dxa"/>
              <w:bottom w:w="40" w:type="dxa"/>
              <w:right w:w="20" w:type="dxa"/>
            </w:tcMar>
            <w:vAlign w:val="bottom"/>
          </w:tcPr>
          <w:p w14:paraId="33DACBF5" w14:textId="77777777" w:rsidR="004D6A64" w:rsidRDefault="00506CD6">
            <w:pPr>
              <w:jc w:val="center"/>
              <w:textAlignment w:val="bottom"/>
            </w:pPr>
            <w:r>
              <w:rPr>
                <w:rFonts w:ascii="Times New Roman" w:eastAsia="宋体" w:hAnsi="Times New Roman"/>
                <w:color w:val="000000"/>
                <w:sz w:val="20"/>
                <w:szCs w:val="20"/>
              </w:rPr>
              <w:t>(in millions)</w:t>
            </w:r>
          </w:p>
        </w:tc>
        <w:tc>
          <w:tcPr>
            <w:tcW w:w="0" w:type="auto"/>
            <w:gridSpan w:val="3"/>
            <w:shd w:val="clear" w:color="auto" w:fill="auto"/>
          </w:tcPr>
          <w:p w14:paraId="33DACBF6" w14:textId="77777777" w:rsidR="004D6A64" w:rsidRDefault="004D6A64">
            <w:pPr>
              <w:rPr>
                <w:rFonts w:ascii="宋体"/>
                <w:vanish/>
              </w:rPr>
            </w:pPr>
          </w:p>
        </w:tc>
        <w:tc>
          <w:tcPr>
            <w:tcW w:w="0" w:type="auto"/>
            <w:shd w:val="clear" w:color="auto" w:fill="auto"/>
          </w:tcPr>
          <w:p w14:paraId="33DACBF7" w14:textId="77777777" w:rsidR="004D6A64" w:rsidRDefault="004D6A64">
            <w:pPr>
              <w:rPr>
                <w:rFonts w:ascii="宋体"/>
                <w:vanish/>
              </w:rPr>
            </w:pPr>
          </w:p>
        </w:tc>
        <w:tc>
          <w:tcPr>
            <w:tcW w:w="0" w:type="auto"/>
            <w:shd w:val="clear" w:color="auto" w:fill="auto"/>
          </w:tcPr>
          <w:p w14:paraId="33DACBF8" w14:textId="77777777" w:rsidR="004D6A64" w:rsidRDefault="004D6A64">
            <w:pPr>
              <w:rPr>
                <w:rFonts w:ascii="宋体"/>
                <w:vanish/>
              </w:rPr>
            </w:pPr>
          </w:p>
        </w:tc>
        <w:tc>
          <w:tcPr>
            <w:tcW w:w="0" w:type="auto"/>
            <w:gridSpan w:val="3"/>
            <w:shd w:val="clear" w:color="auto" w:fill="auto"/>
          </w:tcPr>
          <w:p w14:paraId="33DACBF9" w14:textId="77777777" w:rsidR="004D6A64" w:rsidRDefault="004D6A64">
            <w:pPr>
              <w:rPr>
                <w:rFonts w:ascii="宋体"/>
                <w:vanish/>
              </w:rPr>
            </w:pPr>
          </w:p>
        </w:tc>
        <w:tc>
          <w:tcPr>
            <w:tcW w:w="0" w:type="auto"/>
            <w:gridSpan w:val="3"/>
            <w:shd w:val="clear" w:color="auto" w:fill="FFFFFF"/>
            <w:tcMar>
              <w:left w:w="20" w:type="dxa"/>
              <w:right w:w="20" w:type="dxa"/>
            </w:tcMar>
            <w:vAlign w:val="bottom"/>
          </w:tcPr>
          <w:p w14:paraId="33DACBFA" w14:textId="77777777" w:rsidR="004D6A64" w:rsidRDefault="004D6A64">
            <w:pPr>
              <w:rPr>
                <w:rFonts w:ascii="宋体"/>
              </w:rPr>
            </w:pPr>
          </w:p>
        </w:tc>
        <w:tc>
          <w:tcPr>
            <w:tcW w:w="0" w:type="auto"/>
            <w:gridSpan w:val="3"/>
            <w:shd w:val="clear" w:color="auto" w:fill="auto"/>
          </w:tcPr>
          <w:p w14:paraId="33DACBFB" w14:textId="77777777" w:rsidR="004D6A64" w:rsidRDefault="004D6A64">
            <w:pPr>
              <w:rPr>
                <w:rFonts w:ascii="宋体"/>
                <w:vanish/>
              </w:rPr>
            </w:pPr>
          </w:p>
        </w:tc>
        <w:tc>
          <w:tcPr>
            <w:tcW w:w="0" w:type="auto"/>
            <w:gridSpan w:val="3"/>
            <w:shd w:val="clear" w:color="auto" w:fill="auto"/>
          </w:tcPr>
          <w:p w14:paraId="33DACBFC" w14:textId="77777777" w:rsidR="004D6A64" w:rsidRDefault="004D6A64">
            <w:pPr>
              <w:rPr>
                <w:rFonts w:ascii="宋体"/>
                <w:vanish/>
              </w:rPr>
            </w:pPr>
          </w:p>
        </w:tc>
        <w:tc>
          <w:tcPr>
            <w:tcW w:w="0" w:type="auto"/>
            <w:gridSpan w:val="15"/>
            <w:tcBorders>
              <w:top w:val="single" w:sz="8" w:space="0" w:color="000000"/>
            </w:tcBorders>
            <w:shd w:val="clear" w:color="auto" w:fill="FFFFFF"/>
            <w:tcMar>
              <w:top w:w="40" w:type="dxa"/>
              <w:left w:w="20" w:type="dxa"/>
              <w:bottom w:w="40" w:type="dxa"/>
              <w:right w:w="20" w:type="dxa"/>
            </w:tcMar>
            <w:vAlign w:val="center"/>
          </w:tcPr>
          <w:p w14:paraId="33DACBFD" w14:textId="77777777" w:rsidR="004D6A64" w:rsidRDefault="00506CD6">
            <w:pPr>
              <w:jc w:val="center"/>
              <w:textAlignment w:val="center"/>
            </w:pPr>
            <w:r>
              <w:rPr>
                <w:rFonts w:ascii="Times New Roman" w:eastAsia="宋体" w:hAnsi="Times New Roman"/>
                <w:color w:val="000000"/>
                <w:sz w:val="20"/>
                <w:szCs w:val="20"/>
              </w:rPr>
              <w:t>(in millions)</w:t>
            </w:r>
          </w:p>
        </w:tc>
        <w:tc>
          <w:tcPr>
            <w:tcW w:w="0" w:type="auto"/>
            <w:gridSpan w:val="2"/>
            <w:shd w:val="clear" w:color="auto" w:fill="auto"/>
          </w:tcPr>
          <w:p w14:paraId="33DACBFE" w14:textId="77777777" w:rsidR="004D6A64" w:rsidRDefault="004D6A64">
            <w:pPr>
              <w:rPr>
                <w:rFonts w:ascii="宋体"/>
                <w:vanish/>
              </w:rPr>
            </w:pPr>
          </w:p>
        </w:tc>
        <w:tc>
          <w:tcPr>
            <w:tcW w:w="0" w:type="auto"/>
            <w:shd w:val="clear" w:color="auto" w:fill="auto"/>
          </w:tcPr>
          <w:p w14:paraId="33DACBFF" w14:textId="77777777" w:rsidR="004D6A64" w:rsidRDefault="004D6A64">
            <w:pPr>
              <w:rPr>
                <w:rFonts w:ascii="宋体"/>
                <w:vanish/>
              </w:rPr>
            </w:pPr>
          </w:p>
        </w:tc>
      </w:tr>
      <w:tr w:rsidR="004D6A64" w14:paraId="33DACC20" w14:textId="77777777">
        <w:tc>
          <w:tcPr>
            <w:tcW w:w="0" w:type="auto"/>
            <w:gridSpan w:val="3"/>
            <w:shd w:val="clear" w:color="auto" w:fill="CCEEFF"/>
            <w:tcMar>
              <w:top w:w="40" w:type="dxa"/>
              <w:left w:w="20" w:type="dxa"/>
              <w:bottom w:w="40" w:type="dxa"/>
              <w:right w:w="20" w:type="dxa"/>
            </w:tcMar>
            <w:vAlign w:val="center"/>
          </w:tcPr>
          <w:p w14:paraId="33DACC01" w14:textId="77777777" w:rsidR="004D6A64" w:rsidRDefault="00506CD6">
            <w:pPr>
              <w:textAlignment w:val="center"/>
            </w:pPr>
            <w:r>
              <w:rPr>
                <w:rFonts w:ascii="Times New Roman" w:eastAsia="宋体" w:hAnsi="Times New Roman"/>
                <w:i/>
                <w:iCs/>
                <w:color w:val="000000"/>
                <w:sz w:val="20"/>
                <w:szCs w:val="20"/>
              </w:rPr>
              <w:t>Total reclassifications, net of tax:</w:t>
            </w:r>
          </w:p>
        </w:tc>
        <w:tc>
          <w:tcPr>
            <w:tcW w:w="0" w:type="auto"/>
            <w:shd w:val="clear" w:color="auto" w:fill="auto"/>
          </w:tcPr>
          <w:p w14:paraId="33DACC02" w14:textId="77777777" w:rsidR="004D6A64" w:rsidRDefault="004D6A64">
            <w:pPr>
              <w:rPr>
                <w:rFonts w:ascii="宋体"/>
                <w:vanish/>
              </w:rPr>
            </w:pPr>
          </w:p>
        </w:tc>
        <w:tc>
          <w:tcPr>
            <w:tcW w:w="0" w:type="auto"/>
            <w:shd w:val="clear" w:color="auto" w:fill="auto"/>
          </w:tcPr>
          <w:p w14:paraId="33DACC03" w14:textId="77777777" w:rsidR="004D6A64" w:rsidRDefault="004D6A64">
            <w:pPr>
              <w:rPr>
                <w:rFonts w:ascii="宋体"/>
                <w:vanish/>
              </w:rPr>
            </w:pPr>
          </w:p>
        </w:tc>
        <w:tc>
          <w:tcPr>
            <w:tcW w:w="0" w:type="auto"/>
            <w:gridSpan w:val="3"/>
            <w:shd w:val="clear" w:color="auto" w:fill="CCEEFF"/>
            <w:tcMar>
              <w:left w:w="20" w:type="dxa"/>
              <w:right w:w="20" w:type="dxa"/>
            </w:tcMar>
            <w:vAlign w:val="bottom"/>
          </w:tcPr>
          <w:p w14:paraId="33DACC04"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C0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C06"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C07"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C08"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C09" w14:textId="77777777" w:rsidR="004D6A64" w:rsidRDefault="004D6A64">
            <w:pPr>
              <w:rPr>
                <w:rFonts w:ascii="宋体"/>
              </w:rPr>
            </w:pPr>
          </w:p>
        </w:tc>
        <w:tc>
          <w:tcPr>
            <w:tcW w:w="0" w:type="auto"/>
            <w:shd w:val="clear" w:color="auto" w:fill="auto"/>
          </w:tcPr>
          <w:p w14:paraId="33DACC0A" w14:textId="77777777" w:rsidR="004D6A64" w:rsidRDefault="004D6A64">
            <w:pPr>
              <w:rPr>
                <w:rFonts w:ascii="宋体"/>
                <w:vanish/>
              </w:rPr>
            </w:pPr>
          </w:p>
        </w:tc>
        <w:tc>
          <w:tcPr>
            <w:tcW w:w="0" w:type="auto"/>
            <w:shd w:val="clear" w:color="auto" w:fill="auto"/>
          </w:tcPr>
          <w:p w14:paraId="33DACC0B" w14:textId="77777777" w:rsidR="004D6A64" w:rsidRDefault="004D6A64">
            <w:pPr>
              <w:rPr>
                <w:rFonts w:ascii="宋体"/>
                <w:vanish/>
              </w:rPr>
            </w:pPr>
          </w:p>
        </w:tc>
        <w:tc>
          <w:tcPr>
            <w:tcW w:w="0" w:type="auto"/>
            <w:gridSpan w:val="3"/>
            <w:shd w:val="clear" w:color="auto" w:fill="CCEEFF"/>
            <w:tcMar>
              <w:left w:w="20" w:type="dxa"/>
              <w:right w:w="20" w:type="dxa"/>
            </w:tcMar>
            <w:vAlign w:val="center"/>
          </w:tcPr>
          <w:p w14:paraId="33DACC0C" w14:textId="77777777" w:rsidR="004D6A64" w:rsidRDefault="004D6A64">
            <w:pPr>
              <w:rPr>
                <w:rFonts w:ascii="宋体"/>
              </w:rPr>
            </w:pPr>
          </w:p>
        </w:tc>
        <w:tc>
          <w:tcPr>
            <w:tcW w:w="0" w:type="auto"/>
            <w:gridSpan w:val="3"/>
            <w:shd w:val="clear" w:color="auto" w:fill="CCEEFF"/>
            <w:tcMar>
              <w:left w:w="20" w:type="dxa"/>
              <w:right w:w="20" w:type="dxa"/>
            </w:tcMar>
            <w:vAlign w:val="center"/>
          </w:tcPr>
          <w:p w14:paraId="33DACC0D" w14:textId="77777777" w:rsidR="004D6A64" w:rsidRDefault="004D6A64">
            <w:pPr>
              <w:rPr>
                <w:rFonts w:ascii="宋体"/>
              </w:rPr>
            </w:pPr>
          </w:p>
        </w:tc>
        <w:tc>
          <w:tcPr>
            <w:tcW w:w="0" w:type="auto"/>
            <w:gridSpan w:val="3"/>
            <w:shd w:val="clear" w:color="auto" w:fill="CCEEFF"/>
            <w:tcMar>
              <w:left w:w="20" w:type="dxa"/>
              <w:right w:w="20" w:type="dxa"/>
            </w:tcMar>
            <w:vAlign w:val="center"/>
          </w:tcPr>
          <w:p w14:paraId="33DACC0E" w14:textId="77777777" w:rsidR="004D6A64" w:rsidRDefault="004D6A64">
            <w:pPr>
              <w:rPr>
                <w:rFonts w:ascii="宋体"/>
              </w:rPr>
            </w:pPr>
          </w:p>
        </w:tc>
        <w:tc>
          <w:tcPr>
            <w:tcW w:w="0" w:type="auto"/>
            <w:gridSpan w:val="3"/>
            <w:shd w:val="clear" w:color="auto" w:fill="CCEEFF"/>
            <w:tcMar>
              <w:left w:w="20" w:type="dxa"/>
              <w:right w:w="20" w:type="dxa"/>
            </w:tcMar>
            <w:vAlign w:val="center"/>
          </w:tcPr>
          <w:p w14:paraId="33DACC0F" w14:textId="77777777" w:rsidR="004D6A64" w:rsidRDefault="004D6A64">
            <w:pPr>
              <w:rPr>
                <w:rFonts w:ascii="宋体"/>
              </w:rPr>
            </w:pPr>
          </w:p>
        </w:tc>
        <w:tc>
          <w:tcPr>
            <w:tcW w:w="0" w:type="auto"/>
            <w:gridSpan w:val="3"/>
            <w:shd w:val="clear" w:color="auto" w:fill="CCEEFF"/>
            <w:tcMar>
              <w:left w:w="20" w:type="dxa"/>
              <w:right w:w="20" w:type="dxa"/>
            </w:tcMar>
            <w:vAlign w:val="center"/>
          </w:tcPr>
          <w:p w14:paraId="33DACC10" w14:textId="77777777" w:rsidR="004D6A64" w:rsidRDefault="004D6A64">
            <w:pPr>
              <w:rPr>
                <w:rFonts w:ascii="宋体"/>
              </w:rPr>
            </w:pPr>
          </w:p>
        </w:tc>
        <w:tc>
          <w:tcPr>
            <w:tcW w:w="0" w:type="auto"/>
            <w:shd w:val="clear" w:color="auto" w:fill="auto"/>
          </w:tcPr>
          <w:p w14:paraId="33DACC11" w14:textId="77777777" w:rsidR="004D6A64" w:rsidRDefault="004D6A64">
            <w:pPr>
              <w:rPr>
                <w:rFonts w:ascii="宋体"/>
              </w:rPr>
            </w:pPr>
          </w:p>
        </w:tc>
        <w:tc>
          <w:tcPr>
            <w:tcW w:w="0" w:type="auto"/>
            <w:shd w:val="clear" w:color="auto" w:fill="auto"/>
          </w:tcPr>
          <w:p w14:paraId="33DACC12" w14:textId="77777777" w:rsidR="004D6A64" w:rsidRDefault="004D6A64">
            <w:pPr>
              <w:rPr>
                <w:rFonts w:ascii="宋体"/>
              </w:rPr>
            </w:pPr>
          </w:p>
        </w:tc>
        <w:tc>
          <w:tcPr>
            <w:tcW w:w="0" w:type="auto"/>
            <w:shd w:val="clear" w:color="auto" w:fill="auto"/>
          </w:tcPr>
          <w:p w14:paraId="33DACC13" w14:textId="77777777" w:rsidR="004D6A64" w:rsidRDefault="004D6A64">
            <w:pPr>
              <w:rPr>
                <w:rFonts w:ascii="宋体"/>
              </w:rPr>
            </w:pPr>
          </w:p>
        </w:tc>
        <w:tc>
          <w:tcPr>
            <w:tcW w:w="0" w:type="auto"/>
            <w:shd w:val="clear" w:color="auto" w:fill="auto"/>
          </w:tcPr>
          <w:p w14:paraId="33DACC14" w14:textId="77777777" w:rsidR="004D6A64" w:rsidRDefault="004D6A64">
            <w:pPr>
              <w:rPr>
                <w:rFonts w:ascii="宋体"/>
              </w:rPr>
            </w:pPr>
          </w:p>
        </w:tc>
        <w:tc>
          <w:tcPr>
            <w:tcW w:w="0" w:type="auto"/>
            <w:shd w:val="clear" w:color="auto" w:fill="auto"/>
          </w:tcPr>
          <w:p w14:paraId="33DACC15" w14:textId="77777777" w:rsidR="004D6A64" w:rsidRDefault="004D6A64">
            <w:pPr>
              <w:rPr>
                <w:rFonts w:ascii="宋体"/>
              </w:rPr>
            </w:pPr>
          </w:p>
        </w:tc>
        <w:tc>
          <w:tcPr>
            <w:tcW w:w="0" w:type="auto"/>
            <w:shd w:val="clear" w:color="auto" w:fill="auto"/>
          </w:tcPr>
          <w:p w14:paraId="33DACC16" w14:textId="77777777" w:rsidR="004D6A64" w:rsidRDefault="004D6A64">
            <w:pPr>
              <w:rPr>
                <w:rFonts w:ascii="宋体"/>
              </w:rPr>
            </w:pPr>
          </w:p>
        </w:tc>
        <w:tc>
          <w:tcPr>
            <w:tcW w:w="0" w:type="auto"/>
            <w:shd w:val="clear" w:color="auto" w:fill="auto"/>
          </w:tcPr>
          <w:p w14:paraId="33DACC17" w14:textId="77777777" w:rsidR="004D6A64" w:rsidRDefault="004D6A64">
            <w:pPr>
              <w:rPr>
                <w:rFonts w:ascii="宋体"/>
              </w:rPr>
            </w:pPr>
          </w:p>
        </w:tc>
        <w:tc>
          <w:tcPr>
            <w:tcW w:w="0" w:type="auto"/>
            <w:shd w:val="clear" w:color="auto" w:fill="auto"/>
          </w:tcPr>
          <w:p w14:paraId="33DACC18" w14:textId="77777777" w:rsidR="004D6A64" w:rsidRDefault="004D6A64">
            <w:pPr>
              <w:rPr>
                <w:rFonts w:ascii="宋体"/>
              </w:rPr>
            </w:pPr>
          </w:p>
        </w:tc>
        <w:tc>
          <w:tcPr>
            <w:tcW w:w="0" w:type="auto"/>
            <w:shd w:val="clear" w:color="auto" w:fill="auto"/>
          </w:tcPr>
          <w:p w14:paraId="33DACC19" w14:textId="77777777" w:rsidR="004D6A64" w:rsidRDefault="004D6A64">
            <w:pPr>
              <w:rPr>
                <w:rFonts w:ascii="宋体"/>
              </w:rPr>
            </w:pPr>
          </w:p>
        </w:tc>
        <w:tc>
          <w:tcPr>
            <w:tcW w:w="0" w:type="auto"/>
            <w:shd w:val="clear" w:color="auto" w:fill="auto"/>
          </w:tcPr>
          <w:p w14:paraId="33DACC1A" w14:textId="77777777" w:rsidR="004D6A64" w:rsidRDefault="004D6A64">
            <w:pPr>
              <w:rPr>
                <w:rFonts w:ascii="宋体"/>
              </w:rPr>
            </w:pPr>
          </w:p>
        </w:tc>
        <w:tc>
          <w:tcPr>
            <w:tcW w:w="0" w:type="auto"/>
            <w:shd w:val="clear" w:color="auto" w:fill="auto"/>
          </w:tcPr>
          <w:p w14:paraId="33DACC1B" w14:textId="77777777" w:rsidR="004D6A64" w:rsidRDefault="004D6A64">
            <w:pPr>
              <w:rPr>
                <w:rFonts w:ascii="宋体"/>
              </w:rPr>
            </w:pPr>
          </w:p>
        </w:tc>
        <w:tc>
          <w:tcPr>
            <w:tcW w:w="0" w:type="auto"/>
            <w:shd w:val="clear" w:color="auto" w:fill="auto"/>
          </w:tcPr>
          <w:p w14:paraId="33DACC1C" w14:textId="77777777" w:rsidR="004D6A64" w:rsidRDefault="004D6A64">
            <w:pPr>
              <w:rPr>
                <w:rFonts w:ascii="宋体"/>
              </w:rPr>
            </w:pPr>
          </w:p>
        </w:tc>
        <w:tc>
          <w:tcPr>
            <w:tcW w:w="0" w:type="auto"/>
            <w:shd w:val="clear" w:color="auto" w:fill="auto"/>
          </w:tcPr>
          <w:p w14:paraId="33DACC1D" w14:textId="77777777" w:rsidR="004D6A64" w:rsidRDefault="004D6A64">
            <w:pPr>
              <w:rPr>
                <w:rFonts w:ascii="宋体"/>
              </w:rPr>
            </w:pPr>
          </w:p>
        </w:tc>
        <w:tc>
          <w:tcPr>
            <w:tcW w:w="0" w:type="auto"/>
            <w:shd w:val="clear" w:color="auto" w:fill="auto"/>
          </w:tcPr>
          <w:p w14:paraId="33DACC1E" w14:textId="77777777" w:rsidR="004D6A64" w:rsidRDefault="004D6A64">
            <w:pPr>
              <w:rPr>
                <w:rFonts w:ascii="宋体"/>
              </w:rPr>
            </w:pPr>
          </w:p>
        </w:tc>
        <w:tc>
          <w:tcPr>
            <w:tcW w:w="0" w:type="auto"/>
            <w:shd w:val="clear" w:color="auto" w:fill="auto"/>
          </w:tcPr>
          <w:p w14:paraId="33DACC1F" w14:textId="77777777" w:rsidR="004D6A64" w:rsidRDefault="004D6A64">
            <w:pPr>
              <w:rPr>
                <w:rFonts w:ascii="宋体"/>
              </w:rPr>
            </w:pPr>
          </w:p>
        </w:tc>
      </w:tr>
      <w:tr w:rsidR="004D6A64" w14:paraId="33DACC4C" w14:textId="77777777">
        <w:tc>
          <w:tcPr>
            <w:tcW w:w="0" w:type="auto"/>
            <w:gridSpan w:val="3"/>
            <w:shd w:val="clear" w:color="auto" w:fill="FFFFFF"/>
            <w:tcMar>
              <w:top w:w="40" w:type="dxa"/>
              <w:left w:w="135" w:type="dxa"/>
              <w:bottom w:w="40" w:type="dxa"/>
              <w:right w:w="20" w:type="dxa"/>
            </w:tcMar>
            <w:vAlign w:val="center"/>
          </w:tcPr>
          <w:p w14:paraId="33DACC21" w14:textId="77777777" w:rsidR="004D6A64" w:rsidRDefault="00506CD6">
            <w:pPr>
              <w:textAlignment w:val="center"/>
            </w:pPr>
            <w:r>
              <w:rPr>
                <w:rFonts w:ascii="Times New Roman" w:eastAsia="宋体" w:hAnsi="Times New Roman"/>
                <w:color w:val="000000"/>
                <w:sz w:val="20"/>
                <w:szCs w:val="20"/>
              </w:rPr>
              <w:t>Net revenue</w:t>
            </w:r>
          </w:p>
        </w:tc>
        <w:tc>
          <w:tcPr>
            <w:tcW w:w="0" w:type="auto"/>
            <w:shd w:val="clear" w:color="auto" w:fill="auto"/>
          </w:tcPr>
          <w:p w14:paraId="33DACC22" w14:textId="77777777" w:rsidR="004D6A64" w:rsidRDefault="004D6A64">
            <w:pPr>
              <w:rPr>
                <w:rFonts w:ascii="宋体"/>
                <w:vanish/>
              </w:rPr>
            </w:pPr>
          </w:p>
        </w:tc>
        <w:tc>
          <w:tcPr>
            <w:tcW w:w="0" w:type="auto"/>
            <w:shd w:val="clear" w:color="auto" w:fill="auto"/>
          </w:tcPr>
          <w:p w14:paraId="33DACC23" w14:textId="77777777" w:rsidR="004D6A64" w:rsidRDefault="004D6A64">
            <w:pPr>
              <w:rPr>
                <w:rFonts w:ascii="宋体"/>
                <w:vanish/>
              </w:rPr>
            </w:pPr>
          </w:p>
        </w:tc>
        <w:tc>
          <w:tcPr>
            <w:tcW w:w="0" w:type="auto"/>
            <w:shd w:val="clear" w:color="auto" w:fill="FFFFFF"/>
            <w:tcMar>
              <w:top w:w="40" w:type="dxa"/>
              <w:left w:w="20" w:type="dxa"/>
              <w:bottom w:w="40" w:type="dxa"/>
            </w:tcMar>
            <w:vAlign w:val="center"/>
          </w:tcPr>
          <w:p w14:paraId="33DACC24"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CC25" w14:textId="77777777" w:rsidR="004D6A64" w:rsidRDefault="00506CD6">
            <w:pPr>
              <w:jc w:val="right"/>
              <w:textAlignment w:val="center"/>
            </w:pPr>
            <w:r>
              <w:rPr>
                <w:rFonts w:ascii="Times New Roman" w:eastAsia="宋体" w:hAnsi="Times New Roman"/>
                <w:color w:val="000000"/>
                <w:sz w:val="20"/>
                <w:szCs w:val="20"/>
              </w:rPr>
              <w:t>105 </w:t>
            </w:r>
          </w:p>
        </w:tc>
        <w:tc>
          <w:tcPr>
            <w:tcW w:w="0" w:type="auto"/>
            <w:shd w:val="clear" w:color="auto" w:fill="FFFFFF"/>
            <w:tcMar>
              <w:top w:w="40" w:type="dxa"/>
              <w:bottom w:w="40" w:type="dxa"/>
              <w:right w:w="20" w:type="dxa"/>
            </w:tcMar>
            <w:vAlign w:val="center"/>
          </w:tcPr>
          <w:p w14:paraId="33DACC2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C27"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CC28"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CC29"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CC2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C2B"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CC2C"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CC2D" w14:textId="77777777" w:rsidR="004D6A64" w:rsidRDefault="00506CD6">
            <w:pPr>
              <w:jc w:val="right"/>
              <w:textAlignment w:val="center"/>
            </w:pPr>
            <w:r>
              <w:rPr>
                <w:rFonts w:ascii="Times New Roman" w:eastAsia="宋体" w:hAnsi="Times New Roman"/>
                <w:color w:val="000000"/>
                <w:sz w:val="20"/>
                <w:szCs w:val="20"/>
              </w:rPr>
              <w:t>105 </w:t>
            </w:r>
          </w:p>
        </w:tc>
        <w:tc>
          <w:tcPr>
            <w:tcW w:w="0" w:type="auto"/>
            <w:shd w:val="clear" w:color="auto" w:fill="FFFFFF"/>
            <w:tcMar>
              <w:top w:w="40" w:type="dxa"/>
              <w:bottom w:w="40" w:type="dxa"/>
              <w:right w:w="20" w:type="dxa"/>
            </w:tcMar>
            <w:vAlign w:val="center"/>
          </w:tcPr>
          <w:p w14:paraId="33DACC2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C2F" w14:textId="77777777" w:rsidR="004D6A64" w:rsidRDefault="004D6A64">
            <w:pPr>
              <w:rPr>
                <w:rFonts w:ascii="宋体"/>
              </w:rPr>
            </w:pPr>
          </w:p>
        </w:tc>
        <w:tc>
          <w:tcPr>
            <w:tcW w:w="0" w:type="auto"/>
            <w:shd w:val="clear" w:color="auto" w:fill="auto"/>
          </w:tcPr>
          <w:p w14:paraId="33DACC30" w14:textId="77777777" w:rsidR="004D6A64" w:rsidRDefault="004D6A64">
            <w:pPr>
              <w:rPr>
                <w:rFonts w:ascii="宋体"/>
                <w:vanish/>
              </w:rPr>
            </w:pPr>
          </w:p>
        </w:tc>
        <w:tc>
          <w:tcPr>
            <w:tcW w:w="0" w:type="auto"/>
            <w:shd w:val="clear" w:color="auto" w:fill="auto"/>
          </w:tcPr>
          <w:p w14:paraId="33DACC31" w14:textId="77777777" w:rsidR="004D6A64" w:rsidRDefault="004D6A64">
            <w:pPr>
              <w:rPr>
                <w:rFonts w:ascii="宋体"/>
                <w:vanish/>
              </w:rPr>
            </w:pPr>
          </w:p>
        </w:tc>
        <w:tc>
          <w:tcPr>
            <w:tcW w:w="0" w:type="auto"/>
            <w:shd w:val="clear" w:color="auto" w:fill="FFFFFF"/>
            <w:tcMar>
              <w:top w:w="40" w:type="dxa"/>
              <w:left w:w="20" w:type="dxa"/>
              <w:bottom w:w="40" w:type="dxa"/>
            </w:tcMar>
            <w:vAlign w:val="center"/>
          </w:tcPr>
          <w:p w14:paraId="33DACC32"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CC33" w14:textId="77777777" w:rsidR="004D6A64" w:rsidRDefault="00506CD6">
            <w:pPr>
              <w:jc w:val="right"/>
              <w:textAlignment w:val="center"/>
            </w:pPr>
            <w:r>
              <w:rPr>
                <w:rFonts w:ascii="Times New Roman" w:eastAsia="宋体" w:hAnsi="Times New Roman"/>
                <w:color w:val="000000"/>
                <w:sz w:val="20"/>
                <w:szCs w:val="20"/>
              </w:rPr>
              <w:t>126 </w:t>
            </w:r>
          </w:p>
        </w:tc>
        <w:tc>
          <w:tcPr>
            <w:tcW w:w="0" w:type="auto"/>
            <w:shd w:val="clear" w:color="auto" w:fill="FFFFFF"/>
            <w:tcMar>
              <w:top w:w="40" w:type="dxa"/>
              <w:bottom w:w="40" w:type="dxa"/>
              <w:right w:w="20" w:type="dxa"/>
            </w:tcMar>
            <w:vAlign w:val="center"/>
          </w:tcPr>
          <w:p w14:paraId="33DACC34" w14:textId="77777777" w:rsidR="004D6A64" w:rsidRDefault="004D6A64">
            <w:pPr>
              <w:jc w:val="right"/>
              <w:rPr>
                <w:rFonts w:ascii="宋体"/>
              </w:rPr>
            </w:pPr>
          </w:p>
        </w:tc>
        <w:tc>
          <w:tcPr>
            <w:tcW w:w="0" w:type="auto"/>
            <w:gridSpan w:val="3"/>
            <w:shd w:val="clear" w:color="auto" w:fill="FFFFFF"/>
            <w:tcMar>
              <w:left w:w="20" w:type="dxa"/>
              <w:right w:w="20" w:type="dxa"/>
            </w:tcMar>
            <w:vAlign w:val="center"/>
          </w:tcPr>
          <w:p w14:paraId="33DACC35"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CC36"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CC37"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CC38" w14:textId="77777777" w:rsidR="004D6A64" w:rsidRDefault="004D6A64">
            <w:pPr>
              <w:jc w:val="right"/>
              <w:rPr>
                <w:rFonts w:ascii="宋体"/>
              </w:rPr>
            </w:pPr>
          </w:p>
        </w:tc>
        <w:tc>
          <w:tcPr>
            <w:tcW w:w="0" w:type="auto"/>
            <w:gridSpan w:val="3"/>
            <w:shd w:val="clear" w:color="auto" w:fill="FFFFFF"/>
            <w:tcMar>
              <w:left w:w="20" w:type="dxa"/>
              <w:right w:w="20" w:type="dxa"/>
            </w:tcMar>
            <w:vAlign w:val="center"/>
          </w:tcPr>
          <w:p w14:paraId="33DACC39"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CC3A"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CC3B" w14:textId="77777777" w:rsidR="004D6A64" w:rsidRDefault="00506CD6">
            <w:pPr>
              <w:jc w:val="right"/>
              <w:textAlignment w:val="center"/>
            </w:pPr>
            <w:r>
              <w:rPr>
                <w:rFonts w:ascii="Times New Roman" w:eastAsia="宋体" w:hAnsi="Times New Roman"/>
                <w:color w:val="000000"/>
                <w:sz w:val="20"/>
                <w:szCs w:val="20"/>
              </w:rPr>
              <w:t>126 </w:t>
            </w:r>
          </w:p>
        </w:tc>
        <w:tc>
          <w:tcPr>
            <w:tcW w:w="0" w:type="auto"/>
            <w:shd w:val="clear" w:color="auto" w:fill="FFFFFF"/>
            <w:tcMar>
              <w:top w:w="40" w:type="dxa"/>
              <w:bottom w:w="40" w:type="dxa"/>
              <w:right w:w="20" w:type="dxa"/>
            </w:tcMar>
            <w:vAlign w:val="center"/>
          </w:tcPr>
          <w:p w14:paraId="33DACC3C" w14:textId="77777777" w:rsidR="004D6A64" w:rsidRDefault="004D6A64">
            <w:pPr>
              <w:jc w:val="right"/>
              <w:rPr>
                <w:rFonts w:ascii="宋体"/>
              </w:rPr>
            </w:pPr>
          </w:p>
        </w:tc>
        <w:tc>
          <w:tcPr>
            <w:tcW w:w="0" w:type="auto"/>
            <w:shd w:val="clear" w:color="auto" w:fill="auto"/>
          </w:tcPr>
          <w:p w14:paraId="33DACC3D" w14:textId="77777777" w:rsidR="004D6A64" w:rsidRDefault="004D6A64">
            <w:pPr>
              <w:rPr>
                <w:rFonts w:ascii="宋体"/>
              </w:rPr>
            </w:pPr>
          </w:p>
        </w:tc>
        <w:tc>
          <w:tcPr>
            <w:tcW w:w="0" w:type="auto"/>
            <w:shd w:val="clear" w:color="auto" w:fill="auto"/>
          </w:tcPr>
          <w:p w14:paraId="33DACC3E" w14:textId="77777777" w:rsidR="004D6A64" w:rsidRDefault="004D6A64">
            <w:pPr>
              <w:rPr>
                <w:rFonts w:ascii="宋体"/>
              </w:rPr>
            </w:pPr>
          </w:p>
        </w:tc>
        <w:tc>
          <w:tcPr>
            <w:tcW w:w="0" w:type="auto"/>
            <w:shd w:val="clear" w:color="auto" w:fill="auto"/>
          </w:tcPr>
          <w:p w14:paraId="33DACC3F" w14:textId="77777777" w:rsidR="004D6A64" w:rsidRDefault="004D6A64">
            <w:pPr>
              <w:rPr>
                <w:rFonts w:ascii="宋体"/>
              </w:rPr>
            </w:pPr>
          </w:p>
        </w:tc>
        <w:tc>
          <w:tcPr>
            <w:tcW w:w="0" w:type="auto"/>
            <w:shd w:val="clear" w:color="auto" w:fill="auto"/>
          </w:tcPr>
          <w:p w14:paraId="33DACC40" w14:textId="77777777" w:rsidR="004D6A64" w:rsidRDefault="004D6A64">
            <w:pPr>
              <w:rPr>
                <w:rFonts w:ascii="宋体"/>
              </w:rPr>
            </w:pPr>
          </w:p>
        </w:tc>
        <w:tc>
          <w:tcPr>
            <w:tcW w:w="0" w:type="auto"/>
            <w:shd w:val="clear" w:color="auto" w:fill="auto"/>
          </w:tcPr>
          <w:p w14:paraId="33DACC41" w14:textId="77777777" w:rsidR="004D6A64" w:rsidRDefault="004D6A64">
            <w:pPr>
              <w:rPr>
                <w:rFonts w:ascii="宋体"/>
              </w:rPr>
            </w:pPr>
          </w:p>
        </w:tc>
        <w:tc>
          <w:tcPr>
            <w:tcW w:w="0" w:type="auto"/>
            <w:shd w:val="clear" w:color="auto" w:fill="auto"/>
          </w:tcPr>
          <w:p w14:paraId="33DACC42" w14:textId="77777777" w:rsidR="004D6A64" w:rsidRDefault="004D6A64">
            <w:pPr>
              <w:rPr>
                <w:rFonts w:ascii="宋体"/>
              </w:rPr>
            </w:pPr>
          </w:p>
        </w:tc>
        <w:tc>
          <w:tcPr>
            <w:tcW w:w="0" w:type="auto"/>
            <w:shd w:val="clear" w:color="auto" w:fill="auto"/>
          </w:tcPr>
          <w:p w14:paraId="33DACC43" w14:textId="77777777" w:rsidR="004D6A64" w:rsidRDefault="004D6A64">
            <w:pPr>
              <w:rPr>
                <w:rFonts w:ascii="宋体"/>
              </w:rPr>
            </w:pPr>
          </w:p>
        </w:tc>
        <w:tc>
          <w:tcPr>
            <w:tcW w:w="0" w:type="auto"/>
            <w:shd w:val="clear" w:color="auto" w:fill="auto"/>
          </w:tcPr>
          <w:p w14:paraId="33DACC44" w14:textId="77777777" w:rsidR="004D6A64" w:rsidRDefault="004D6A64">
            <w:pPr>
              <w:rPr>
                <w:rFonts w:ascii="宋体"/>
              </w:rPr>
            </w:pPr>
          </w:p>
        </w:tc>
        <w:tc>
          <w:tcPr>
            <w:tcW w:w="0" w:type="auto"/>
            <w:shd w:val="clear" w:color="auto" w:fill="auto"/>
          </w:tcPr>
          <w:p w14:paraId="33DACC45" w14:textId="77777777" w:rsidR="004D6A64" w:rsidRDefault="004D6A64">
            <w:pPr>
              <w:rPr>
                <w:rFonts w:ascii="宋体"/>
              </w:rPr>
            </w:pPr>
          </w:p>
        </w:tc>
        <w:tc>
          <w:tcPr>
            <w:tcW w:w="0" w:type="auto"/>
            <w:shd w:val="clear" w:color="auto" w:fill="auto"/>
          </w:tcPr>
          <w:p w14:paraId="33DACC46" w14:textId="77777777" w:rsidR="004D6A64" w:rsidRDefault="004D6A64">
            <w:pPr>
              <w:rPr>
                <w:rFonts w:ascii="宋体"/>
              </w:rPr>
            </w:pPr>
          </w:p>
        </w:tc>
        <w:tc>
          <w:tcPr>
            <w:tcW w:w="0" w:type="auto"/>
            <w:shd w:val="clear" w:color="auto" w:fill="auto"/>
          </w:tcPr>
          <w:p w14:paraId="33DACC47" w14:textId="77777777" w:rsidR="004D6A64" w:rsidRDefault="004D6A64">
            <w:pPr>
              <w:rPr>
                <w:rFonts w:ascii="宋体"/>
              </w:rPr>
            </w:pPr>
          </w:p>
        </w:tc>
        <w:tc>
          <w:tcPr>
            <w:tcW w:w="0" w:type="auto"/>
            <w:shd w:val="clear" w:color="auto" w:fill="auto"/>
          </w:tcPr>
          <w:p w14:paraId="33DACC48" w14:textId="77777777" w:rsidR="004D6A64" w:rsidRDefault="004D6A64">
            <w:pPr>
              <w:rPr>
                <w:rFonts w:ascii="宋体"/>
              </w:rPr>
            </w:pPr>
          </w:p>
        </w:tc>
        <w:tc>
          <w:tcPr>
            <w:tcW w:w="0" w:type="auto"/>
            <w:shd w:val="clear" w:color="auto" w:fill="auto"/>
          </w:tcPr>
          <w:p w14:paraId="33DACC49" w14:textId="77777777" w:rsidR="004D6A64" w:rsidRDefault="004D6A64">
            <w:pPr>
              <w:rPr>
                <w:rFonts w:ascii="宋体"/>
              </w:rPr>
            </w:pPr>
          </w:p>
        </w:tc>
        <w:tc>
          <w:tcPr>
            <w:tcW w:w="0" w:type="auto"/>
            <w:shd w:val="clear" w:color="auto" w:fill="auto"/>
          </w:tcPr>
          <w:p w14:paraId="33DACC4A" w14:textId="77777777" w:rsidR="004D6A64" w:rsidRDefault="004D6A64">
            <w:pPr>
              <w:rPr>
                <w:rFonts w:ascii="宋体"/>
              </w:rPr>
            </w:pPr>
          </w:p>
        </w:tc>
        <w:tc>
          <w:tcPr>
            <w:tcW w:w="0" w:type="auto"/>
            <w:shd w:val="clear" w:color="auto" w:fill="auto"/>
          </w:tcPr>
          <w:p w14:paraId="33DACC4B" w14:textId="77777777" w:rsidR="004D6A64" w:rsidRDefault="004D6A64">
            <w:pPr>
              <w:rPr>
                <w:rFonts w:ascii="宋体"/>
              </w:rPr>
            </w:pPr>
          </w:p>
        </w:tc>
      </w:tr>
      <w:tr w:rsidR="004D6A64" w14:paraId="33DACC72" w14:textId="77777777">
        <w:tc>
          <w:tcPr>
            <w:tcW w:w="0" w:type="auto"/>
            <w:gridSpan w:val="3"/>
            <w:shd w:val="clear" w:color="auto" w:fill="CCEEFF"/>
            <w:tcMar>
              <w:top w:w="40" w:type="dxa"/>
              <w:left w:w="135" w:type="dxa"/>
              <w:bottom w:w="40" w:type="dxa"/>
              <w:right w:w="20" w:type="dxa"/>
            </w:tcMar>
            <w:vAlign w:val="center"/>
          </w:tcPr>
          <w:p w14:paraId="33DACC4D" w14:textId="77777777" w:rsidR="004D6A64" w:rsidRDefault="00506CD6">
            <w:pPr>
              <w:textAlignment w:val="center"/>
            </w:pPr>
            <w:r>
              <w:rPr>
                <w:rFonts w:ascii="Times New Roman" w:eastAsia="宋体" w:hAnsi="Times New Roman"/>
                <w:color w:val="000000"/>
                <w:sz w:val="20"/>
                <w:szCs w:val="20"/>
              </w:rPr>
              <w:t>Cost of net revenue</w:t>
            </w:r>
          </w:p>
        </w:tc>
        <w:tc>
          <w:tcPr>
            <w:tcW w:w="0" w:type="auto"/>
            <w:shd w:val="clear" w:color="auto" w:fill="auto"/>
          </w:tcPr>
          <w:p w14:paraId="33DACC4E" w14:textId="77777777" w:rsidR="004D6A64" w:rsidRDefault="004D6A64">
            <w:pPr>
              <w:rPr>
                <w:rFonts w:ascii="宋体"/>
                <w:vanish/>
              </w:rPr>
            </w:pPr>
          </w:p>
        </w:tc>
        <w:tc>
          <w:tcPr>
            <w:tcW w:w="0" w:type="auto"/>
            <w:shd w:val="clear" w:color="auto" w:fill="auto"/>
          </w:tcPr>
          <w:p w14:paraId="33DACC4F" w14:textId="77777777" w:rsidR="004D6A64" w:rsidRDefault="004D6A64">
            <w:pPr>
              <w:rPr>
                <w:rFonts w:ascii="宋体"/>
                <w:vanish/>
              </w:rPr>
            </w:pPr>
          </w:p>
        </w:tc>
        <w:tc>
          <w:tcPr>
            <w:tcW w:w="0" w:type="auto"/>
            <w:gridSpan w:val="2"/>
            <w:shd w:val="clear" w:color="auto" w:fill="CCEEFF"/>
            <w:tcMar>
              <w:top w:w="40" w:type="dxa"/>
              <w:left w:w="20" w:type="dxa"/>
              <w:bottom w:w="40" w:type="dxa"/>
              <w:right w:w="0" w:type="dxa"/>
            </w:tcMar>
            <w:vAlign w:val="center"/>
          </w:tcPr>
          <w:p w14:paraId="33DACC50" w14:textId="77777777" w:rsidR="004D6A64" w:rsidRDefault="00506CD6">
            <w:pPr>
              <w:jc w:val="right"/>
              <w:textAlignment w:val="center"/>
            </w:pPr>
            <w:r>
              <w:rPr>
                <w:rFonts w:ascii="Times New Roman" w:eastAsia="宋体" w:hAnsi="Times New Roman"/>
                <w:color w:val="000000"/>
                <w:sz w:val="20"/>
                <w:szCs w:val="20"/>
              </w:rPr>
              <w:t>3 </w:t>
            </w:r>
          </w:p>
        </w:tc>
        <w:tc>
          <w:tcPr>
            <w:tcW w:w="0" w:type="auto"/>
            <w:shd w:val="clear" w:color="auto" w:fill="CCEEFF"/>
            <w:tcMar>
              <w:top w:w="40" w:type="dxa"/>
              <w:bottom w:w="40" w:type="dxa"/>
              <w:right w:w="20" w:type="dxa"/>
            </w:tcMar>
            <w:vAlign w:val="center"/>
          </w:tcPr>
          <w:p w14:paraId="33DACC5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C5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C53"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CC5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C5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C56" w14:textId="77777777" w:rsidR="004D6A64" w:rsidRDefault="00506CD6">
            <w:pPr>
              <w:jc w:val="right"/>
              <w:textAlignment w:val="center"/>
            </w:pPr>
            <w:r>
              <w:rPr>
                <w:rFonts w:ascii="Times New Roman" w:eastAsia="宋体" w:hAnsi="Times New Roman"/>
                <w:color w:val="000000"/>
                <w:sz w:val="20"/>
                <w:szCs w:val="20"/>
              </w:rPr>
              <w:t>3 </w:t>
            </w:r>
          </w:p>
        </w:tc>
        <w:tc>
          <w:tcPr>
            <w:tcW w:w="0" w:type="auto"/>
            <w:shd w:val="clear" w:color="auto" w:fill="CCEEFF"/>
            <w:tcMar>
              <w:top w:w="40" w:type="dxa"/>
              <w:bottom w:w="40" w:type="dxa"/>
              <w:right w:w="20" w:type="dxa"/>
            </w:tcMar>
            <w:vAlign w:val="center"/>
          </w:tcPr>
          <w:p w14:paraId="33DACC5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C58" w14:textId="77777777" w:rsidR="004D6A64" w:rsidRDefault="004D6A64">
            <w:pPr>
              <w:rPr>
                <w:rFonts w:ascii="宋体"/>
              </w:rPr>
            </w:pPr>
          </w:p>
        </w:tc>
        <w:tc>
          <w:tcPr>
            <w:tcW w:w="0" w:type="auto"/>
            <w:shd w:val="clear" w:color="auto" w:fill="auto"/>
          </w:tcPr>
          <w:p w14:paraId="33DACC59" w14:textId="77777777" w:rsidR="004D6A64" w:rsidRDefault="004D6A64">
            <w:pPr>
              <w:rPr>
                <w:rFonts w:ascii="宋体"/>
                <w:vanish/>
              </w:rPr>
            </w:pPr>
          </w:p>
        </w:tc>
        <w:tc>
          <w:tcPr>
            <w:tcW w:w="0" w:type="auto"/>
            <w:shd w:val="clear" w:color="auto" w:fill="auto"/>
          </w:tcPr>
          <w:p w14:paraId="33DACC5A" w14:textId="77777777" w:rsidR="004D6A64" w:rsidRDefault="004D6A64">
            <w:pPr>
              <w:rPr>
                <w:rFonts w:ascii="宋体"/>
                <w:vanish/>
              </w:rPr>
            </w:pPr>
          </w:p>
        </w:tc>
        <w:tc>
          <w:tcPr>
            <w:tcW w:w="0" w:type="auto"/>
            <w:gridSpan w:val="2"/>
            <w:shd w:val="clear" w:color="auto" w:fill="CCEEFF"/>
            <w:tcMar>
              <w:top w:w="40" w:type="dxa"/>
              <w:left w:w="20" w:type="dxa"/>
              <w:bottom w:w="40" w:type="dxa"/>
              <w:right w:w="0" w:type="dxa"/>
            </w:tcMar>
            <w:vAlign w:val="center"/>
          </w:tcPr>
          <w:p w14:paraId="33DACC5B"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CC5C" w14:textId="77777777" w:rsidR="004D6A64" w:rsidRDefault="004D6A64">
            <w:pPr>
              <w:jc w:val="right"/>
              <w:rPr>
                <w:rFonts w:ascii="宋体"/>
              </w:rPr>
            </w:pPr>
          </w:p>
        </w:tc>
        <w:tc>
          <w:tcPr>
            <w:tcW w:w="0" w:type="auto"/>
            <w:gridSpan w:val="3"/>
            <w:shd w:val="clear" w:color="auto" w:fill="CCEEFF"/>
            <w:tcMar>
              <w:left w:w="20" w:type="dxa"/>
              <w:right w:w="20" w:type="dxa"/>
            </w:tcMar>
            <w:vAlign w:val="center"/>
          </w:tcPr>
          <w:p w14:paraId="33DACC5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C5E"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CC5F" w14:textId="77777777" w:rsidR="004D6A64" w:rsidRDefault="004D6A64">
            <w:pPr>
              <w:jc w:val="right"/>
              <w:rPr>
                <w:rFonts w:ascii="宋体"/>
              </w:rPr>
            </w:pPr>
          </w:p>
        </w:tc>
        <w:tc>
          <w:tcPr>
            <w:tcW w:w="0" w:type="auto"/>
            <w:gridSpan w:val="3"/>
            <w:shd w:val="clear" w:color="auto" w:fill="CCEEFF"/>
            <w:tcMar>
              <w:left w:w="20" w:type="dxa"/>
              <w:right w:w="20" w:type="dxa"/>
            </w:tcMar>
            <w:vAlign w:val="center"/>
          </w:tcPr>
          <w:p w14:paraId="33DACC60"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C61"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CC62" w14:textId="77777777" w:rsidR="004D6A64" w:rsidRDefault="004D6A64">
            <w:pPr>
              <w:jc w:val="right"/>
              <w:rPr>
                <w:rFonts w:ascii="宋体"/>
              </w:rPr>
            </w:pPr>
          </w:p>
        </w:tc>
        <w:tc>
          <w:tcPr>
            <w:tcW w:w="0" w:type="auto"/>
            <w:shd w:val="clear" w:color="auto" w:fill="auto"/>
          </w:tcPr>
          <w:p w14:paraId="33DACC63" w14:textId="77777777" w:rsidR="004D6A64" w:rsidRDefault="004D6A64">
            <w:pPr>
              <w:rPr>
                <w:rFonts w:ascii="宋体"/>
              </w:rPr>
            </w:pPr>
          </w:p>
        </w:tc>
        <w:tc>
          <w:tcPr>
            <w:tcW w:w="0" w:type="auto"/>
            <w:shd w:val="clear" w:color="auto" w:fill="auto"/>
          </w:tcPr>
          <w:p w14:paraId="33DACC64" w14:textId="77777777" w:rsidR="004D6A64" w:rsidRDefault="004D6A64">
            <w:pPr>
              <w:rPr>
                <w:rFonts w:ascii="宋体"/>
              </w:rPr>
            </w:pPr>
          </w:p>
        </w:tc>
        <w:tc>
          <w:tcPr>
            <w:tcW w:w="0" w:type="auto"/>
            <w:shd w:val="clear" w:color="auto" w:fill="auto"/>
          </w:tcPr>
          <w:p w14:paraId="33DACC65" w14:textId="77777777" w:rsidR="004D6A64" w:rsidRDefault="004D6A64">
            <w:pPr>
              <w:rPr>
                <w:rFonts w:ascii="宋体"/>
              </w:rPr>
            </w:pPr>
          </w:p>
        </w:tc>
        <w:tc>
          <w:tcPr>
            <w:tcW w:w="0" w:type="auto"/>
            <w:shd w:val="clear" w:color="auto" w:fill="auto"/>
          </w:tcPr>
          <w:p w14:paraId="33DACC66" w14:textId="77777777" w:rsidR="004D6A64" w:rsidRDefault="004D6A64">
            <w:pPr>
              <w:rPr>
                <w:rFonts w:ascii="宋体"/>
              </w:rPr>
            </w:pPr>
          </w:p>
        </w:tc>
        <w:tc>
          <w:tcPr>
            <w:tcW w:w="0" w:type="auto"/>
            <w:shd w:val="clear" w:color="auto" w:fill="auto"/>
          </w:tcPr>
          <w:p w14:paraId="33DACC67" w14:textId="77777777" w:rsidR="004D6A64" w:rsidRDefault="004D6A64">
            <w:pPr>
              <w:rPr>
                <w:rFonts w:ascii="宋体"/>
              </w:rPr>
            </w:pPr>
          </w:p>
        </w:tc>
        <w:tc>
          <w:tcPr>
            <w:tcW w:w="0" w:type="auto"/>
            <w:shd w:val="clear" w:color="auto" w:fill="auto"/>
          </w:tcPr>
          <w:p w14:paraId="33DACC68" w14:textId="77777777" w:rsidR="004D6A64" w:rsidRDefault="004D6A64">
            <w:pPr>
              <w:rPr>
                <w:rFonts w:ascii="宋体"/>
              </w:rPr>
            </w:pPr>
          </w:p>
        </w:tc>
        <w:tc>
          <w:tcPr>
            <w:tcW w:w="0" w:type="auto"/>
            <w:shd w:val="clear" w:color="auto" w:fill="auto"/>
          </w:tcPr>
          <w:p w14:paraId="33DACC69" w14:textId="77777777" w:rsidR="004D6A64" w:rsidRDefault="004D6A64">
            <w:pPr>
              <w:rPr>
                <w:rFonts w:ascii="宋体"/>
              </w:rPr>
            </w:pPr>
          </w:p>
        </w:tc>
        <w:tc>
          <w:tcPr>
            <w:tcW w:w="0" w:type="auto"/>
            <w:shd w:val="clear" w:color="auto" w:fill="auto"/>
          </w:tcPr>
          <w:p w14:paraId="33DACC6A" w14:textId="77777777" w:rsidR="004D6A64" w:rsidRDefault="004D6A64">
            <w:pPr>
              <w:rPr>
                <w:rFonts w:ascii="宋体"/>
              </w:rPr>
            </w:pPr>
          </w:p>
        </w:tc>
        <w:tc>
          <w:tcPr>
            <w:tcW w:w="0" w:type="auto"/>
            <w:shd w:val="clear" w:color="auto" w:fill="auto"/>
          </w:tcPr>
          <w:p w14:paraId="33DACC6B" w14:textId="77777777" w:rsidR="004D6A64" w:rsidRDefault="004D6A64">
            <w:pPr>
              <w:rPr>
                <w:rFonts w:ascii="宋体"/>
              </w:rPr>
            </w:pPr>
          </w:p>
        </w:tc>
        <w:tc>
          <w:tcPr>
            <w:tcW w:w="0" w:type="auto"/>
            <w:shd w:val="clear" w:color="auto" w:fill="auto"/>
          </w:tcPr>
          <w:p w14:paraId="33DACC6C" w14:textId="77777777" w:rsidR="004D6A64" w:rsidRDefault="004D6A64">
            <w:pPr>
              <w:rPr>
                <w:rFonts w:ascii="宋体"/>
              </w:rPr>
            </w:pPr>
          </w:p>
        </w:tc>
        <w:tc>
          <w:tcPr>
            <w:tcW w:w="0" w:type="auto"/>
            <w:shd w:val="clear" w:color="auto" w:fill="auto"/>
          </w:tcPr>
          <w:p w14:paraId="33DACC6D" w14:textId="77777777" w:rsidR="004D6A64" w:rsidRDefault="004D6A64">
            <w:pPr>
              <w:rPr>
                <w:rFonts w:ascii="宋体"/>
              </w:rPr>
            </w:pPr>
          </w:p>
        </w:tc>
        <w:tc>
          <w:tcPr>
            <w:tcW w:w="0" w:type="auto"/>
            <w:shd w:val="clear" w:color="auto" w:fill="auto"/>
          </w:tcPr>
          <w:p w14:paraId="33DACC6E" w14:textId="77777777" w:rsidR="004D6A64" w:rsidRDefault="004D6A64">
            <w:pPr>
              <w:rPr>
                <w:rFonts w:ascii="宋体"/>
              </w:rPr>
            </w:pPr>
          </w:p>
        </w:tc>
        <w:tc>
          <w:tcPr>
            <w:tcW w:w="0" w:type="auto"/>
            <w:shd w:val="clear" w:color="auto" w:fill="auto"/>
          </w:tcPr>
          <w:p w14:paraId="33DACC6F" w14:textId="77777777" w:rsidR="004D6A64" w:rsidRDefault="004D6A64">
            <w:pPr>
              <w:rPr>
                <w:rFonts w:ascii="宋体"/>
              </w:rPr>
            </w:pPr>
          </w:p>
        </w:tc>
        <w:tc>
          <w:tcPr>
            <w:tcW w:w="0" w:type="auto"/>
            <w:shd w:val="clear" w:color="auto" w:fill="auto"/>
          </w:tcPr>
          <w:p w14:paraId="33DACC70" w14:textId="77777777" w:rsidR="004D6A64" w:rsidRDefault="004D6A64">
            <w:pPr>
              <w:rPr>
                <w:rFonts w:ascii="宋体"/>
              </w:rPr>
            </w:pPr>
          </w:p>
        </w:tc>
        <w:tc>
          <w:tcPr>
            <w:tcW w:w="0" w:type="auto"/>
            <w:shd w:val="clear" w:color="auto" w:fill="auto"/>
          </w:tcPr>
          <w:p w14:paraId="33DACC71" w14:textId="77777777" w:rsidR="004D6A64" w:rsidRDefault="004D6A64">
            <w:pPr>
              <w:rPr>
                <w:rFonts w:ascii="宋体"/>
              </w:rPr>
            </w:pPr>
          </w:p>
        </w:tc>
      </w:tr>
      <w:tr w:rsidR="004D6A64" w14:paraId="33DACC98" w14:textId="77777777">
        <w:tc>
          <w:tcPr>
            <w:tcW w:w="0" w:type="auto"/>
            <w:gridSpan w:val="3"/>
            <w:shd w:val="clear" w:color="auto" w:fill="FFFFFF"/>
            <w:tcMar>
              <w:top w:w="40" w:type="dxa"/>
              <w:left w:w="135" w:type="dxa"/>
              <w:bottom w:w="40" w:type="dxa"/>
              <w:right w:w="20" w:type="dxa"/>
            </w:tcMar>
            <w:vAlign w:val="center"/>
          </w:tcPr>
          <w:p w14:paraId="33DACC73" w14:textId="77777777" w:rsidR="004D6A64" w:rsidRDefault="00506CD6">
            <w:pPr>
              <w:textAlignment w:val="center"/>
            </w:pPr>
            <w:r>
              <w:rPr>
                <w:rFonts w:ascii="Times New Roman" w:eastAsia="宋体" w:hAnsi="Times New Roman"/>
                <w:color w:val="000000"/>
                <w:sz w:val="20"/>
                <w:szCs w:val="20"/>
              </w:rPr>
              <w:t>Operating expenses</w:t>
            </w:r>
          </w:p>
        </w:tc>
        <w:tc>
          <w:tcPr>
            <w:tcW w:w="0" w:type="auto"/>
            <w:shd w:val="clear" w:color="auto" w:fill="auto"/>
          </w:tcPr>
          <w:p w14:paraId="33DACC74" w14:textId="77777777" w:rsidR="004D6A64" w:rsidRDefault="004D6A64">
            <w:pPr>
              <w:rPr>
                <w:rFonts w:ascii="宋体"/>
                <w:vanish/>
              </w:rPr>
            </w:pPr>
          </w:p>
        </w:tc>
        <w:tc>
          <w:tcPr>
            <w:tcW w:w="0" w:type="auto"/>
            <w:shd w:val="clear" w:color="auto" w:fill="auto"/>
          </w:tcPr>
          <w:p w14:paraId="33DACC75" w14:textId="77777777" w:rsidR="004D6A64" w:rsidRDefault="004D6A64">
            <w:pPr>
              <w:rPr>
                <w:rFonts w:ascii="宋体"/>
                <w:vanish/>
              </w:rPr>
            </w:pPr>
          </w:p>
        </w:tc>
        <w:tc>
          <w:tcPr>
            <w:tcW w:w="0" w:type="auto"/>
            <w:gridSpan w:val="2"/>
            <w:shd w:val="clear" w:color="auto" w:fill="FFFFFF"/>
            <w:tcMar>
              <w:top w:w="40" w:type="dxa"/>
              <w:left w:w="20" w:type="dxa"/>
              <w:bottom w:w="40" w:type="dxa"/>
              <w:right w:w="0" w:type="dxa"/>
            </w:tcMar>
            <w:vAlign w:val="center"/>
          </w:tcPr>
          <w:p w14:paraId="33DACC76"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CC7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C78"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C79" w14:textId="77777777" w:rsidR="004D6A64" w:rsidRDefault="00506CD6">
            <w:pPr>
              <w:jc w:val="right"/>
              <w:textAlignment w:val="center"/>
            </w:pPr>
            <w:r>
              <w:rPr>
                <w:rFonts w:ascii="Times New Roman" w:eastAsia="宋体" w:hAnsi="Times New Roman"/>
                <w:color w:val="000000"/>
                <w:sz w:val="20"/>
                <w:szCs w:val="20"/>
              </w:rPr>
              <w:t>(4)</w:t>
            </w:r>
          </w:p>
        </w:tc>
        <w:tc>
          <w:tcPr>
            <w:tcW w:w="0" w:type="auto"/>
            <w:shd w:val="clear" w:color="auto" w:fill="FFFFFF"/>
            <w:tcMar>
              <w:top w:w="40" w:type="dxa"/>
              <w:bottom w:w="40" w:type="dxa"/>
              <w:right w:w="20" w:type="dxa"/>
            </w:tcMar>
            <w:vAlign w:val="center"/>
          </w:tcPr>
          <w:p w14:paraId="33DACC7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C7B"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C7C" w14:textId="77777777" w:rsidR="004D6A64" w:rsidRDefault="00506CD6">
            <w:pPr>
              <w:jc w:val="right"/>
              <w:textAlignment w:val="center"/>
            </w:pPr>
            <w:r>
              <w:rPr>
                <w:rFonts w:ascii="Times New Roman" w:eastAsia="宋体" w:hAnsi="Times New Roman"/>
                <w:color w:val="000000"/>
                <w:sz w:val="20"/>
                <w:szCs w:val="20"/>
              </w:rPr>
              <w:t>(4)</w:t>
            </w:r>
          </w:p>
        </w:tc>
        <w:tc>
          <w:tcPr>
            <w:tcW w:w="0" w:type="auto"/>
            <w:shd w:val="clear" w:color="auto" w:fill="FFFFFF"/>
            <w:tcMar>
              <w:top w:w="40" w:type="dxa"/>
              <w:bottom w:w="40" w:type="dxa"/>
              <w:right w:w="20" w:type="dxa"/>
            </w:tcMar>
            <w:vAlign w:val="center"/>
          </w:tcPr>
          <w:p w14:paraId="33DACC7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C7E" w14:textId="77777777" w:rsidR="004D6A64" w:rsidRDefault="004D6A64">
            <w:pPr>
              <w:rPr>
                <w:rFonts w:ascii="宋体"/>
              </w:rPr>
            </w:pPr>
          </w:p>
        </w:tc>
        <w:tc>
          <w:tcPr>
            <w:tcW w:w="0" w:type="auto"/>
            <w:shd w:val="clear" w:color="auto" w:fill="auto"/>
          </w:tcPr>
          <w:p w14:paraId="33DACC7F" w14:textId="77777777" w:rsidR="004D6A64" w:rsidRDefault="004D6A64">
            <w:pPr>
              <w:rPr>
                <w:rFonts w:ascii="宋体"/>
                <w:vanish/>
              </w:rPr>
            </w:pPr>
          </w:p>
        </w:tc>
        <w:tc>
          <w:tcPr>
            <w:tcW w:w="0" w:type="auto"/>
            <w:shd w:val="clear" w:color="auto" w:fill="auto"/>
          </w:tcPr>
          <w:p w14:paraId="33DACC80" w14:textId="77777777" w:rsidR="004D6A64" w:rsidRDefault="004D6A64">
            <w:pPr>
              <w:rPr>
                <w:rFonts w:ascii="宋体"/>
                <w:vanish/>
              </w:rPr>
            </w:pPr>
          </w:p>
        </w:tc>
        <w:tc>
          <w:tcPr>
            <w:tcW w:w="0" w:type="auto"/>
            <w:gridSpan w:val="2"/>
            <w:shd w:val="clear" w:color="auto" w:fill="FFFFFF"/>
            <w:tcMar>
              <w:top w:w="40" w:type="dxa"/>
              <w:left w:w="20" w:type="dxa"/>
              <w:bottom w:w="40" w:type="dxa"/>
              <w:right w:w="0" w:type="dxa"/>
            </w:tcMar>
            <w:vAlign w:val="center"/>
          </w:tcPr>
          <w:p w14:paraId="33DACC81"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CC82" w14:textId="77777777" w:rsidR="004D6A64" w:rsidRDefault="004D6A64">
            <w:pPr>
              <w:jc w:val="right"/>
              <w:rPr>
                <w:rFonts w:ascii="宋体"/>
              </w:rPr>
            </w:pPr>
          </w:p>
        </w:tc>
        <w:tc>
          <w:tcPr>
            <w:tcW w:w="0" w:type="auto"/>
            <w:gridSpan w:val="3"/>
            <w:shd w:val="clear" w:color="auto" w:fill="FFFFFF"/>
            <w:tcMar>
              <w:left w:w="20" w:type="dxa"/>
              <w:right w:w="20" w:type="dxa"/>
            </w:tcMar>
            <w:vAlign w:val="center"/>
          </w:tcPr>
          <w:p w14:paraId="33DACC8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C84"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CC85" w14:textId="77777777" w:rsidR="004D6A64" w:rsidRDefault="004D6A64">
            <w:pPr>
              <w:jc w:val="right"/>
              <w:rPr>
                <w:rFonts w:ascii="宋体"/>
              </w:rPr>
            </w:pPr>
          </w:p>
        </w:tc>
        <w:tc>
          <w:tcPr>
            <w:tcW w:w="0" w:type="auto"/>
            <w:gridSpan w:val="3"/>
            <w:shd w:val="clear" w:color="auto" w:fill="FFFFFF"/>
            <w:tcMar>
              <w:left w:w="20" w:type="dxa"/>
              <w:right w:w="20" w:type="dxa"/>
            </w:tcMar>
            <w:vAlign w:val="center"/>
          </w:tcPr>
          <w:p w14:paraId="33DACC8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C87"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CC88" w14:textId="77777777" w:rsidR="004D6A64" w:rsidRDefault="004D6A64">
            <w:pPr>
              <w:jc w:val="right"/>
              <w:rPr>
                <w:rFonts w:ascii="宋体"/>
              </w:rPr>
            </w:pPr>
          </w:p>
        </w:tc>
        <w:tc>
          <w:tcPr>
            <w:tcW w:w="0" w:type="auto"/>
            <w:shd w:val="clear" w:color="auto" w:fill="auto"/>
          </w:tcPr>
          <w:p w14:paraId="33DACC89" w14:textId="77777777" w:rsidR="004D6A64" w:rsidRDefault="004D6A64">
            <w:pPr>
              <w:rPr>
                <w:rFonts w:ascii="宋体"/>
              </w:rPr>
            </w:pPr>
          </w:p>
        </w:tc>
        <w:tc>
          <w:tcPr>
            <w:tcW w:w="0" w:type="auto"/>
            <w:shd w:val="clear" w:color="auto" w:fill="auto"/>
          </w:tcPr>
          <w:p w14:paraId="33DACC8A" w14:textId="77777777" w:rsidR="004D6A64" w:rsidRDefault="004D6A64">
            <w:pPr>
              <w:rPr>
                <w:rFonts w:ascii="宋体"/>
              </w:rPr>
            </w:pPr>
          </w:p>
        </w:tc>
        <w:tc>
          <w:tcPr>
            <w:tcW w:w="0" w:type="auto"/>
            <w:shd w:val="clear" w:color="auto" w:fill="auto"/>
          </w:tcPr>
          <w:p w14:paraId="33DACC8B" w14:textId="77777777" w:rsidR="004D6A64" w:rsidRDefault="004D6A64">
            <w:pPr>
              <w:rPr>
                <w:rFonts w:ascii="宋体"/>
              </w:rPr>
            </w:pPr>
          </w:p>
        </w:tc>
        <w:tc>
          <w:tcPr>
            <w:tcW w:w="0" w:type="auto"/>
            <w:shd w:val="clear" w:color="auto" w:fill="auto"/>
          </w:tcPr>
          <w:p w14:paraId="33DACC8C" w14:textId="77777777" w:rsidR="004D6A64" w:rsidRDefault="004D6A64">
            <w:pPr>
              <w:rPr>
                <w:rFonts w:ascii="宋体"/>
              </w:rPr>
            </w:pPr>
          </w:p>
        </w:tc>
        <w:tc>
          <w:tcPr>
            <w:tcW w:w="0" w:type="auto"/>
            <w:shd w:val="clear" w:color="auto" w:fill="auto"/>
          </w:tcPr>
          <w:p w14:paraId="33DACC8D" w14:textId="77777777" w:rsidR="004D6A64" w:rsidRDefault="004D6A64">
            <w:pPr>
              <w:rPr>
                <w:rFonts w:ascii="宋体"/>
              </w:rPr>
            </w:pPr>
          </w:p>
        </w:tc>
        <w:tc>
          <w:tcPr>
            <w:tcW w:w="0" w:type="auto"/>
            <w:shd w:val="clear" w:color="auto" w:fill="auto"/>
          </w:tcPr>
          <w:p w14:paraId="33DACC8E" w14:textId="77777777" w:rsidR="004D6A64" w:rsidRDefault="004D6A64">
            <w:pPr>
              <w:rPr>
                <w:rFonts w:ascii="宋体"/>
              </w:rPr>
            </w:pPr>
          </w:p>
        </w:tc>
        <w:tc>
          <w:tcPr>
            <w:tcW w:w="0" w:type="auto"/>
            <w:shd w:val="clear" w:color="auto" w:fill="auto"/>
          </w:tcPr>
          <w:p w14:paraId="33DACC8F" w14:textId="77777777" w:rsidR="004D6A64" w:rsidRDefault="004D6A64">
            <w:pPr>
              <w:rPr>
                <w:rFonts w:ascii="宋体"/>
              </w:rPr>
            </w:pPr>
          </w:p>
        </w:tc>
        <w:tc>
          <w:tcPr>
            <w:tcW w:w="0" w:type="auto"/>
            <w:shd w:val="clear" w:color="auto" w:fill="auto"/>
          </w:tcPr>
          <w:p w14:paraId="33DACC90" w14:textId="77777777" w:rsidR="004D6A64" w:rsidRDefault="004D6A64">
            <w:pPr>
              <w:rPr>
                <w:rFonts w:ascii="宋体"/>
              </w:rPr>
            </w:pPr>
          </w:p>
        </w:tc>
        <w:tc>
          <w:tcPr>
            <w:tcW w:w="0" w:type="auto"/>
            <w:shd w:val="clear" w:color="auto" w:fill="auto"/>
          </w:tcPr>
          <w:p w14:paraId="33DACC91" w14:textId="77777777" w:rsidR="004D6A64" w:rsidRDefault="004D6A64">
            <w:pPr>
              <w:rPr>
                <w:rFonts w:ascii="宋体"/>
              </w:rPr>
            </w:pPr>
          </w:p>
        </w:tc>
        <w:tc>
          <w:tcPr>
            <w:tcW w:w="0" w:type="auto"/>
            <w:shd w:val="clear" w:color="auto" w:fill="auto"/>
          </w:tcPr>
          <w:p w14:paraId="33DACC92" w14:textId="77777777" w:rsidR="004D6A64" w:rsidRDefault="004D6A64">
            <w:pPr>
              <w:rPr>
                <w:rFonts w:ascii="宋体"/>
              </w:rPr>
            </w:pPr>
          </w:p>
        </w:tc>
        <w:tc>
          <w:tcPr>
            <w:tcW w:w="0" w:type="auto"/>
            <w:shd w:val="clear" w:color="auto" w:fill="auto"/>
          </w:tcPr>
          <w:p w14:paraId="33DACC93" w14:textId="77777777" w:rsidR="004D6A64" w:rsidRDefault="004D6A64">
            <w:pPr>
              <w:rPr>
                <w:rFonts w:ascii="宋体"/>
              </w:rPr>
            </w:pPr>
          </w:p>
        </w:tc>
        <w:tc>
          <w:tcPr>
            <w:tcW w:w="0" w:type="auto"/>
            <w:shd w:val="clear" w:color="auto" w:fill="auto"/>
          </w:tcPr>
          <w:p w14:paraId="33DACC94" w14:textId="77777777" w:rsidR="004D6A64" w:rsidRDefault="004D6A64">
            <w:pPr>
              <w:rPr>
                <w:rFonts w:ascii="宋体"/>
              </w:rPr>
            </w:pPr>
          </w:p>
        </w:tc>
        <w:tc>
          <w:tcPr>
            <w:tcW w:w="0" w:type="auto"/>
            <w:shd w:val="clear" w:color="auto" w:fill="auto"/>
          </w:tcPr>
          <w:p w14:paraId="33DACC95" w14:textId="77777777" w:rsidR="004D6A64" w:rsidRDefault="004D6A64">
            <w:pPr>
              <w:rPr>
                <w:rFonts w:ascii="宋体"/>
              </w:rPr>
            </w:pPr>
          </w:p>
        </w:tc>
        <w:tc>
          <w:tcPr>
            <w:tcW w:w="0" w:type="auto"/>
            <w:shd w:val="clear" w:color="auto" w:fill="auto"/>
          </w:tcPr>
          <w:p w14:paraId="33DACC96" w14:textId="77777777" w:rsidR="004D6A64" w:rsidRDefault="004D6A64">
            <w:pPr>
              <w:rPr>
                <w:rFonts w:ascii="宋体"/>
              </w:rPr>
            </w:pPr>
          </w:p>
        </w:tc>
        <w:tc>
          <w:tcPr>
            <w:tcW w:w="0" w:type="auto"/>
            <w:shd w:val="clear" w:color="auto" w:fill="auto"/>
          </w:tcPr>
          <w:p w14:paraId="33DACC97" w14:textId="77777777" w:rsidR="004D6A64" w:rsidRDefault="004D6A64">
            <w:pPr>
              <w:rPr>
                <w:rFonts w:ascii="宋体"/>
              </w:rPr>
            </w:pPr>
          </w:p>
        </w:tc>
      </w:tr>
      <w:tr w:rsidR="004D6A64" w14:paraId="33DACCB8" w14:textId="77777777">
        <w:trPr>
          <w:hidden/>
        </w:trPr>
        <w:tc>
          <w:tcPr>
            <w:tcW w:w="0" w:type="auto"/>
            <w:gridSpan w:val="3"/>
            <w:shd w:val="clear" w:color="auto" w:fill="auto"/>
          </w:tcPr>
          <w:p w14:paraId="33DACC99" w14:textId="77777777" w:rsidR="004D6A64" w:rsidRDefault="004D6A64">
            <w:pPr>
              <w:rPr>
                <w:rFonts w:ascii="宋体"/>
                <w:vanish/>
              </w:rPr>
            </w:pPr>
          </w:p>
        </w:tc>
        <w:tc>
          <w:tcPr>
            <w:tcW w:w="0" w:type="auto"/>
            <w:shd w:val="clear" w:color="auto" w:fill="auto"/>
          </w:tcPr>
          <w:p w14:paraId="33DACC9A" w14:textId="77777777" w:rsidR="004D6A64" w:rsidRDefault="004D6A64">
            <w:pPr>
              <w:rPr>
                <w:rFonts w:ascii="宋体"/>
                <w:vanish/>
              </w:rPr>
            </w:pPr>
          </w:p>
        </w:tc>
        <w:tc>
          <w:tcPr>
            <w:tcW w:w="0" w:type="auto"/>
            <w:shd w:val="clear" w:color="auto" w:fill="auto"/>
          </w:tcPr>
          <w:p w14:paraId="33DACC9B" w14:textId="77777777" w:rsidR="004D6A64" w:rsidRDefault="004D6A64">
            <w:pPr>
              <w:rPr>
                <w:rFonts w:ascii="宋体"/>
                <w:vanish/>
              </w:rPr>
            </w:pPr>
          </w:p>
        </w:tc>
        <w:tc>
          <w:tcPr>
            <w:tcW w:w="0" w:type="auto"/>
            <w:gridSpan w:val="3"/>
            <w:shd w:val="clear" w:color="auto" w:fill="auto"/>
          </w:tcPr>
          <w:p w14:paraId="33DACC9C" w14:textId="77777777" w:rsidR="004D6A64" w:rsidRDefault="004D6A64">
            <w:pPr>
              <w:rPr>
                <w:rFonts w:ascii="宋体"/>
                <w:vanish/>
              </w:rPr>
            </w:pPr>
          </w:p>
        </w:tc>
        <w:tc>
          <w:tcPr>
            <w:tcW w:w="0" w:type="auto"/>
            <w:gridSpan w:val="3"/>
            <w:shd w:val="clear" w:color="auto" w:fill="auto"/>
          </w:tcPr>
          <w:p w14:paraId="33DACC9D" w14:textId="77777777" w:rsidR="004D6A64" w:rsidRDefault="004D6A64">
            <w:pPr>
              <w:rPr>
                <w:rFonts w:ascii="宋体"/>
                <w:vanish/>
              </w:rPr>
            </w:pPr>
          </w:p>
        </w:tc>
        <w:tc>
          <w:tcPr>
            <w:tcW w:w="0" w:type="auto"/>
            <w:gridSpan w:val="3"/>
            <w:shd w:val="clear" w:color="auto" w:fill="auto"/>
          </w:tcPr>
          <w:p w14:paraId="33DACC9E" w14:textId="77777777" w:rsidR="004D6A64" w:rsidRDefault="004D6A64">
            <w:pPr>
              <w:rPr>
                <w:rFonts w:ascii="宋体"/>
                <w:vanish/>
              </w:rPr>
            </w:pPr>
          </w:p>
        </w:tc>
        <w:tc>
          <w:tcPr>
            <w:tcW w:w="0" w:type="auto"/>
            <w:gridSpan w:val="3"/>
            <w:shd w:val="clear" w:color="auto" w:fill="auto"/>
          </w:tcPr>
          <w:p w14:paraId="33DACC9F" w14:textId="77777777" w:rsidR="004D6A64" w:rsidRDefault="004D6A64">
            <w:pPr>
              <w:rPr>
                <w:rFonts w:ascii="宋体"/>
                <w:vanish/>
              </w:rPr>
            </w:pPr>
          </w:p>
        </w:tc>
        <w:tc>
          <w:tcPr>
            <w:tcW w:w="0" w:type="auto"/>
            <w:gridSpan w:val="3"/>
            <w:shd w:val="clear" w:color="auto" w:fill="auto"/>
          </w:tcPr>
          <w:p w14:paraId="33DACCA0" w14:textId="77777777" w:rsidR="004D6A64" w:rsidRDefault="004D6A64">
            <w:pPr>
              <w:rPr>
                <w:rFonts w:ascii="宋体"/>
                <w:vanish/>
              </w:rPr>
            </w:pPr>
          </w:p>
        </w:tc>
        <w:tc>
          <w:tcPr>
            <w:tcW w:w="0" w:type="auto"/>
            <w:gridSpan w:val="3"/>
            <w:shd w:val="clear" w:color="auto" w:fill="auto"/>
          </w:tcPr>
          <w:p w14:paraId="33DACCA1" w14:textId="77777777" w:rsidR="004D6A64" w:rsidRDefault="004D6A64">
            <w:pPr>
              <w:rPr>
                <w:rFonts w:ascii="宋体"/>
                <w:vanish/>
              </w:rPr>
            </w:pPr>
          </w:p>
        </w:tc>
        <w:tc>
          <w:tcPr>
            <w:tcW w:w="0" w:type="auto"/>
            <w:shd w:val="clear" w:color="auto" w:fill="auto"/>
          </w:tcPr>
          <w:p w14:paraId="33DACCA2" w14:textId="77777777" w:rsidR="004D6A64" w:rsidRDefault="004D6A64">
            <w:pPr>
              <w:rPr>
                <w:rFonts w:ascii="宋体"/>
                <w:vanish/>
              </w:rPr>
            </w:pPr>
          </w:p>
        </w:tc>
        <w:tc>
          <w:tcPr>
            <w:tcW w:w="0" w:type="auto"/>
            <w:shd w:val="clear" w:color="auto" w:fill="auto"/>
          </w:tcPr>
          <w:p w14:paraId="33DACCA3" w14:textId="77777777" w:rsidR="004D6A64" w:rsidRDefault="004D6A64">
            <w:pPr>
              <w:rPr>
                <w:rFonts w:ascii="宋体"/>
                <w:vanish/>
              </w:rPr>
            </w:pPr>
          </w:p>
        </w:tc>
        <w:tc>
          <w:tcPr>
            <w:tcW w:w="0" w:type="auto"/>
            <w:gridSpan w:val="3"/>
            <w:shd w:val="clear" w:color="auto" w:fill="auto"/>
          </w:tcPr>
          <w:p w14:paraId="33DACCA4" w14:textId="77777777" w:rsidR="004D6A64" w:rsidRDefault="004D6A64">
            <w:pPr>
              <w:rPr>
                <w:rFonts w:ascii="宋体"/>
                <w:vanish/>
              </w:rPr>
            </w:pPr>
          </w:p>
        </w:tc>
        <w:tc>
          <w:tcPr>
            <w:tcW w:w="0" w:type="auto"/>
            <w:gridSpan w:val="3"/>
            <w:shd w:val="clear" w:color="auto" w:fill="auto"/>
          </w:tcPr>
          <w:p w14:paraId="33DACCA5" w14:textId="77777777" w:rsidR="004D6A64" w:rsidRDefault="004D6A64">
            <w:pPr>
              <w:rPr>
                <w:rFonts w:ascii="宋体"/>
                <w:vanish/>
              </w:rPr>
            </w:pPr>
          </w:p>
        </w:tc>
        <w:tc>
          <w:tcPr>
            <w:tcW w:w="0" w:type="auto"/>
            <w:gridSpan w:val="3"/>
            <w:shd w:val="clear" w:color="auto" w:fill="auto"/>
          </w:tcPr>
          <w:p w14:paraId="33DACCA6" w14:textId="77777777" w:rsidR="004D6A64" w:rsidRDefault="004D6A64">
            <w:pPr>
              <w:rPr>
                <w:rFonts w:ascii="宋体"/>
                <w:vanish/>
              </w:rPr>
            </w:pPr>
          </w:p>
        </w:tc>
        <w:tc>
          <w:tcPr>
            <w:tcW w:w="0" w:type="auto"/>
            <w:gridSpan w:val="3"/>
            <w:shd w:val="clear" w:color="auto" w:fill="auto"/>
          </w:tcPr>
          <w:p w14:paraId="33DACCA7" w14:textId="77777777" w:rsidR="004D6A64" w:rsidRDefault="004D6A64">
            <w:pPr>
              <w:rPr>
                <w:rFonts w:ascii="宋体"/>
                <w:vanish/>
              </w:rPr>
            </w:pPr>
          </w:p>
        </w:tc>
        <w:tc>
          <w:tcPr>
            <w:tcW w:w="0" w:type="auto"/>
            <w:gridSpan w:val="3"/>
            <w:shd w:val="clear" w:color="auto" w:fill="auto"/>
          </w:tcPr>
          <w:p w14:paraId="33DACCA8" w14:textId="77777777" w:rsidR="004D6A64" w:rsidRDefault="004D6A64">
            <w:pPr>
              <w:rPr>
                <w:rFonts w:ascii="宋体"/>
                <w:vanish/>
              </w:rPr>
            </w:pPr>
          </w:p>
        </w:tc>
        <w:tc>
          <w:tcPr>
            <w:tcW w:w="0" w:type="auto"/>
            <w:shd w:val="clear" w:color="auto" w:fill="auto"/>
          </w:tcPr>
          <w:p w14:paraId="33DACCA9" w14:textId="77777777" w:rsidR="004D6A64" w:rsidRDefault="004D6A64">
            <w:pPr>
              <w:rPr>
                <w:rFonts w:ascii="宋体"/>
              </w:rPr>
            </w:pPr>
          </w:p>
        </w:tc>
        <w:tc>
          <w:tcPr>
            <w:tcW w:w="0" w:type="auto"/>
            <w:shd w:val="clear" w:color="auto" w:fill="auto"/>
          </w:tcPr>
          <w:p w14:paraId="33DACCAA" w14:textId="77777777" w:rsidR="004D6A64" w:rsidRDefault="004D6A64">
            <w:pPr>
              <w:rPr>
                <w:rFonts w:ascii="宋体"/>
              </w:rPr>
            </w:pPr>
          </w:p>
        </w:tc>
        <w:tc>
          <w:tcPr>
            <w:tcW w:w="0" w:type="auto"/>
            <w:shd w:val="clear" w:color="auto" w:fill="auto"/>
          </w:tcPr>
          <w:p w14:paraId="33DACCAB" w14:textId="77777777" w:rsidR="004D6A64" w:rsidRDefault="004D6A64">
            <w:pPr>
              <w:rPr>
                <w:rFonts w:ascii="宋体"/>
              </w:rPr>
            </w:pPr>
          </w:p>
        </w:tc>
        <w:tc>
          <w:tcPr>
            <w:tcW w:w="0" w:type="auto"/>
            <w:shd w:val="clear" w:color="auto" w:fill="auto"/>
          </w:tcPr>
          <w:p w14:paraId="33DACCAC" w14:textId="77777777" w:rsidR="004D6A64" w:rsidRDefault="004D6A64">
            <w:pPr>
              <w:rPr>
                <w:rFonts w:ascii="宋体"/>
              </w:rPr>
            </w:pPr>
          </w:p>
        </w:tc>
        <w:tc>
          <w:tcPr>
            <w:tcW w:w="0" w:type="auto"/>
            <w:shd w:val="clear" w:color="auto" w:fill="auto"/>
          </w:tcPr>
          <w:p w14:paraId="33DACCAD" w14:textId="77777777" w:rsidR="004D6A64" w:rsidRDefault="004D6A64">
            <w:pPr>
              <w:rPr>
                <w:rFonts w:ascii="宋体"/>
              </w:rPr>
            </w:pPr>
          </w:p>
        </w:tc>
        <w:tc>
          <w:tcPr>
            <w:tcW w:w="0" w:type="auto"/>
            <w:shd w:val="clear" w:color="auto" w:fill="auto"/>
          </w:tcPr>
          <w:p w14:paraId="33DACCAE" w14:textId="77777777" w:rsidR="004D6A64" w:rsidRDefault="004D6A64">
            <w:pPr>
              <w:rPr>
                <w:rFonts w:ascii="宋体"/>
              </w:rPr>
            </w:pPr>
          </w:p>
        </w:tc>
        <w:tc>
          <w:tcPr>
            <w:tcW w:w="0" w:type="auto"/>
            <w:shd w:val="clear" w:color="auto" w:fill="auto"/>
          </w:tcPr>
          <w:p w14:paraId="33DACCAF" w14:textId="77777777" w:rsidR="004D6A64" w:rsidRDefault="004D6A64">
            <w:pPr>
              <w:rPr>
                <w:rFonts w:ascii="宋体"/>
              </w:rPr>
            </w:pPr>
          </w:p>
        </w:tc>
        <w:tc>
          <w:tcPr>
            <w:tcW w:w="0" w:type="auto"/>
            <w:shd w:val="clear" w:color="auto" w:fill="auto"/>
          </w:tcPr>
          <w:p w14:paraId="33DACCB0" w14:textId="77777777" w:rsidR="004D6A64" w:rsidRDefault="004D6A64">
            <w:pPr>
              <w:rPr>
                <w:rFonts w:ascii="宋体"/>
              </w:rPr>
            </w:pPr>
          </w:p>
        </w:tc>
        <w:tc>
          <w:tcPr>
            <w:tcW w:w="0" w:type="auto"/>
            <w:shd w:val="clear" w:color="auto" w:fill="auto"/>
          </w:tcPr>
          <w:p w14:paraId="33DACCB1" w14:textId="77777777" w:rsidR="004D6A64" w:rsidRDefault="004D6A64">
            <w:pPr>
              <w:rPr>
                <w:rFonts w:ascii="宋体"/>
              </w:rPr>
            </w:pPr>
          </w:p>
        </w:tc>
        <w:tc>
          <w:tcPr>
            <w:tcW w:w="0" w:type="auto"/>
            <w:shd w:val="clear" w:color="auto" w:fill="auto"/>
          </w:tcPr>
          <w:p w14:paraId="33DACCB2" w14:textId="77777777" w:rsidR="004D6A64" w:rsidRDefault="004D6A64">
            <w:pPr>
              <w:rPr>
                <w:rFonts w:ascii="宋体"/>
              </w:rPr>
            </w:pPr>
          </w:p>
        </w:tc>
        <w:tc>
          <w:tcPr>
            <w:tcW w:w="0" w:type="auto"/>
            <w:shd w:val="clear" w:color="auto" w:fill="auto"/>
          </w:tcPr>
          <w:p w14:paraId="33DACCB3" w14:textId="77777777" w:rsidR="004D6A64" w:rsidRDefault="004D6A64">
            <w:pPr>
              <w:rPr>
                <w:rFonts w:ascii="宋体"/>
              </w:rPr>
            </w:pPr>
          </w:p>
        </w:tc>
        <w:tc>
          <w:tcPr>
            <w:tcW w:w="0" w:type="auto"/>
            <w:shd w:val="clear" w:color="auto" w:fill="auto"/>
          </w:tcPr>
          <w:p w14:paraId="33DACCB4" w14:textId="77777777" w:rsidR="004D6A64" w:rsidRDefault="004D6A64">
            <w:pPr>
              <w:rPr>
                <w:rFonts w:ascii="宋体"/>
              </w:rPr>
            </w:pPr>
          </w:p>
        </w:tc>
        <w:tc>
          <w:tcPr>
            <w:tcW w:w="0" w:type="auto"/>
            <w:shd w:val="clear" w:color="auto" w:fill="auto"/>
          </w:tcPr>
          <w:p w14:paraId="33DACCB5" w14:textId="77777777" w:rsidR="004D6A64" w:rsidRDefault="004D6A64">
            <w:pPr>
              <w:rPr>
                <w:rFonts w:ascii="宋体"/>
              </w:rPr>
            </w:pPr>
          </w:p>
        </w:tc>
        <w:tc>
          <w:tcPr>
            <w:tcW w:w="0" w:type="auto"/>
            <w:shd w:val="clear" w:color="auto" w:fill="auto"/>
          </w:tcPr>
          <w:p w14:paraId="33DACCB6" w14:textId="77777777" w:rsidR="004D6A64" w:rsidRDefault="004D6A64">
            <w:pPr>
              <w:rPr>
                <w:rFonts w:ascii="宋体"/>
              </w:rPr>
            </w:pPr>
          </w:p>
        </w:tc>
        <w:tc>
          <w:tcPr>
            <w:tcW w:w="0" w:type="auto"/>
            <w:shd w:val="clear" w:color="auto" w:fill="auto"/>
          </w:tcPr>
          <w:p w14:paraId="33DACCB7" w14:textId="77777777" w:rsidR="004D6A64" w:rsidRDefault="004D6A64">
            <w:pPr>
              <w:rPr>
                <w:rFonts w:ascii="宋体"/>
              </w:rPr>
            </w:pPr>
          </w:p>
        </w:tc>
      </w:tr>
      <w:tr w:rsidR="004D6A64" w14:paraId="33DACCE4" w14:textId="77777777">
        <w:tc>
          <w:tcPr>
            <w:tcW w:w="0" w:type="auto"/>
            <w:gridSpan w:val="3"/>
            <w:shd w:val="clear" w:color="auto" w:fill="CCEEFF"/>
            <w:tcMar>
              <w:top w:w="40" w:type="dxa"/>
              <w:left w:w="225" w:type="dxa"/>
              <w:bottom w:w="40" w:type="dxa"/>
              <w:right w:w="20" w:type="dxa"/>
            </w:tcMar>
            <w:vAlign w:val="center"/>
          </w:tcPr>
          <w:p w14:paraId="33DACCB9" w14:textId="77777777" w:rsidR="004D6A64" w:rsidRDefault="00506CD6">
            <w:pPr>
              <w:textAlignment w:val="center"/>
            </w:pPr>
            <w:r>
              <w:rPr>
                <w:rFonts w:ascii="Times New Roman" w:eastAsia="宋体" w:hAnsi="Times New Roman"/>
                <w:color w:val="000000"/>
                <w:sz w:val="20"/>
                <w:szCs w:val="20"/>
              </w:rPr>
              <w:t>Total reclassifications, net of tax</w:t>
            </w:r>
          </w:p>
        </w:tc>
        <w:tc>
          <w:tcPr>
            <w:tcW w:w="0" w:type="auto"/>
            <w:shd w:val="clear" w:color="auto" w:fill="auto"/>
          </w:tcPr>
          <w:p w14:paraId="33DACCBA" w14:textId="77777777" w:rsidR="004D6A64" w:rsidRDefault="004D6A64">
            <w:pPr>
              <w:rPr>
                <w:rFonts w:ascii="宋体"/>
                <w:vanish/>
              </w:rPr>
            </w:pPr>
          </w:p>
        </w:tc>
        <w:tc>
          <w:tcPr>
            <w:tcW w:w="0" w:type="auto"/>
            <w:shd w:val="clear" w:color="auto" w:fill="auto"/>
          </w:tcPr>
          <w:p w14:paraId="33DACCBB" w14:textId="77777777" w:rsidR="004D6A64" w:rsidRDefault="004D6A64">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CCBC"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CCBD" w14:textId="77777777" w:rsidR="004D6A64" w:rsidRDefault="00506CD6">
            <w:pPr>
              <w:jc w:val="right"/>
              <w:textAlignment w:val="center"/>
            </w:pPr>
            <w:r>
              <w:rPr>
                <w:rFonts w:ascii="Times New Roman" w:eastAsia="宋体" w:hAnsi="Times New Roman"/>
                <w:color w:val="000000"/>
                <w:sz w:val="20"/>
                <w:szCs w:val="20"/>
              </w:rPr>
              <w:t>108 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CCB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CBF"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CCC0"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CCC1" w14:textId="77777777" w:rsidR="004D6A64" w:rsidRDefault="00506CD6">
            <w:pPr>
              <w:jc w:val="right"/>
              <w:textAlignment w:val="center"/>
            </w:pPr>
            <w:r>
              <w:rPr>
                <w:rFonts w:ascii="Times New Roman" w:eastAsia="宋体" w:hAnsi="Times New Roman"/>
                <w:color w:val="000000"/>
                <w:sz w:val="20"/>
                <w:szCs w:val="20"/>
              </w:rPr>
              <w:t>(4)</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CCC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CC3"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CCC4"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CCC5" w14:textId="77777777" w:rsidR="004D6A64" w:rsidRDefault="00506CD6">
            <w:pPr>
              <w:jc w:val="right"/>
              <w:textAlignment w:val="center"/>
            </w:pPr>
            <w:r>
              <w:rPr>
                <w:rFonts w:ascii="Times New Roman" w:eastAsia="宋体" w:hAnsi="Times New Roman"/>
                <w:color w:val="000000"/>
                <w:sz w:val="20"/>
                <w:szCs w:val="20"/>
              </w:rPr>
              <w:t>104 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CCC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CC7" w14:textId="77777777" w:rsidR="004D6A64" w:rsidRDefault="004D6A64">
            <w:pPr>
              <w:rPr>
                <w:rFonts w:ascii="宋体"/>
              </w:rPr>
            </w:pPr>
          </w:p>
        </w:tc>
        <w:tc>
          <w:tcPr>
            <w:tcW w:w="0" w:type="auto"/>
            <w:shd w:val="clear" w:color="auto" w:fill="auto"/>
          </w:tcPr>
          <w:p w14:paraId="33DACCC8" w14:textId="77777777" w:rsidR="004D6A64" w:rsidRDefault="004D6A64">
            <w:pPr>
              <w:rPr>
                <w:rFonts w:ascii="宋体"/>
                <w:vanish/>
              </w:rPr>
            </w:pPr>
          </w:p>
        </w:tc>
        <w:tc>
          <w:tcPr>
            <w:tcW w:w="0" w:type="auto"/>
            <w:shd w:val="clear" w:color="auto" w:fill="auto"/>
          </w:tcPr>
          <w:p w14:paraId="33DACCC9" w14:textId="77777777" w:rsidR="004D6A64" w:rsidRDefault="004D6A64">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CCCA"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CCCB" w14:textId="77777777" w:rsidR="004D6A64" w:rsidRDefault="00506CD6">
            <w:pPr>
              <w:jc w:val="right"/>
              <w:textAlignment w:val="center"/>
            </w:pPr>
            <w:r>
              <w:rPr>
                <w:rFonts w:ascii="Times New Roman" w:eastAsia="宋体" w:hAnsi="Times New Roman"/>
                <w:color w:val="000000"/>
                <w:sz w:val="20"/>
                <w:szCs w:val="20"/>
              </w:rPr>
              <w:t>126 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CCCC" w14:textId="77777777" w:rsidR="004D6A64" w:rsidRDefault="004D6A64">
            <w:pPr>
              <w:jc w:val="right"/>
              <w:rPr>
                <w:rFonts w:ascii="宋体"/>
              </w:rPr>
            </w:pPr>
          </w:p>
        </w:tc>
        <w:tc>
          <w:tcPr>
            <w:tcW w:w="0" w:type="auto"/>
            <w:gridSpan w:val="3"/>
            <w:shd w:val="clear" w:color="auto" w:fill="CCEEFF"/>
            <w:tcMar>
              <w:left w:w="20" w:type="dxa"/>
              <w:right w:w="20" w:type="dxa"/>
            </w:tcMar>
            <w:vAlign w:val="center"/>
          </w:tcPr>
          <w:p w14:paraId="33DACCCD"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CCCE"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CCCF" w14:textId="77777777" w:rsidR="004D6A64" w:rsidRDefault="00506CD6">
            <w:pPr>
              <w:jc w:val="right"/>
              <w:textAlignment w:val="center"/>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CCD0" w14:textId="77777777" w:rsidR="004D6A64" w:rsidRDefault="004D6A64">
            <w:pPr>
              <w:jc w:val="right"/>
              <w:rPr>
                <w:rFonts w:ascii="宋体"/>
              </w:rPr>
            </w:pPr>
          </w:p>
        </w:tc>
        <w:tc>
          <w:tcPr>
            <w:tcW w:w="0" w:type="auto"/>
            <w:gridSpan w:val="3"/>
            <w:shd w:val="clear" w:color="auto" w:fill="CCEEFF"/>
            <w:tcMar>
              <w:left w:w="20" w:type="dxa"/>
              <w:right w:w="20" w:type="dxa"/>
            </w:tcMar>
            <w:vAlign w:val="center"/>
          </w:tcPr>
          <w:p w14:paraId="33DACCD1"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CCD2"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CCD3" w14:textId="77777777" w:rsidR="004D6A64" w:rsidRDefault="00506CD6">
            <w:pPr>
              <w:jc w:val="right"/>
              <w:textAlignment w:val="center"/>
            </w:pPr>
            <w:r>
              <w:rPr>
                <w:rFonts w:ascii="Times New Roman" w:eastAsia="宋体" w:hAnsi="Times New Roman"/>
                <w:color w:val="000000"/>
                <w:sz w:val="20"/>
                <w:szCs w:val="20"/>
              </w:rPr>
              <w:t>126 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CCD4" w14:textId="77777777" w:rsidR="004D6A64" w:rsidRDefault="004D6A64">
            <w:pPr>
              <w:jc w:val="right"/>
              <w:rPr>
                <w:rFonts w:ascii="宋体"/>
              </w:rPr>
            </w:pPr>
          </w:p>
        </w:tc>
        <w:tc>
          <w:tcPr>
            <w:tcW w:w="0" w:type="auto"/>
            <w:shd w:val="clear" w:color="auto" w:fill="auto"/>
          </w:tcPr>
          <w:p w14:paraId="33DACCD5" w14:textId="77777777" w:rsidR="004D6A64" w:rsidRDefault="004D6A64">
            <w:pPr>
              <w:rPr>
                <w:rFonts w:ascii="宋体"/>
              </w:rPr>
            </w:pPr>
          </w:p>
        </w:tc>
        <w:tc>
          <w:tcPr>
            <w:tcW w:w="0" w:type="auto"/>
            <w:shd w:val="clear" w:color="auto" w:fill="auto"/>
          </w:tcPr>
          <w:p w14:paraId="33DACCD6" w14:textId="77777777" w:rsidR="004D6A64" w:rsidRDefault="004D6A64">
            <w:pPr>
              <w:rPr>
                <w:rFonts w:ascii="宋体"/>
              </w:rPr>
            </w:pPr>
          </w:p>
        </w:tc>
        <w:tc>
          <w:tcPr>
            <w:tcW w:w="0" w:type="auto"/>
            <w:shd w:val="clear" w:color="auto" w:fill="auto"/>
          </w:tcPr>
          <w:p w14:paraId="33DACCD7" w14:textId="77777777" w:rsidR="004D6A64" w:rsidRDefault="004D6A64">
            <w:pPr>
              <w:rPr>
                <w:rFonts w:ascii="宋体"/>
              </w:rPr>
            </w:pPr>
          </w:p>
        </w:tc>
        <w:tc>
          <w:tcPr>
            <w:tcW w:w="0" w:type="auto"/>
            <w:shd w:val="clear" w:color="auto" w:fill="auto"/>
          </w:tcPr>
          <w:p w14:paraId="33DACCD8" w14:textId="77777777" w:rsidR="004D6A64" w:rsidRDefault="004D6A64">
            <w:pPr>
              <w:rPr>
                <w:rFonts w:ascii="宋体"/>
              </w:rPr>
            </w:pPr>
          </w:p>
        </w:tc>
        <w:tc>
          <w:tcPr>
            <w:tcW w:w="0" w:type="auto"/>
            <w:shd w:val="clear" w:color="auto" w:fill="auto"/>
          </w:tcPr>
          <w:p w14:paraId="33DACCD9" w14:textId="77777777" w:rsidR="004D6A64" w:rsidRDefault="004D6A64">
            <w:pPr>
              <w:rPr>
                <w:rFonts w:ascii="宋体"/>
              </w:rPr>
            </w:pPr>
          </w:p>
        </w:tc>
        <w:tc>
          <w:tcPr>
            <w:tcW w:w="0" w:type="auto"/>
            <w:shd w:val="clear" w:color="auto" w:fill="auto"/>
          </w:tcPr>
          <w:p w14:paraId="33DACCDA" w14:textId="77777777" w:rsidR="004D6A64" w:rsidRDefault="004D6A64">
            <w:pPr>
              <w:rPr>
                <w:rFonts w:ascii="宋体"/>
              </w:rPr>
            </w:pPr>
          </w:p>
        </w:tc>
        <w:tc>
          <w:tcPr>
            <w:tcW w:w="0" w:type="auto"/>
            <w:shd w:val="clear" w:color="auto" w:fill="auto"/>
          </w:tcPr>
          <w:p w14:paraId="33DACCDB" w14:textId="77777777" w:rsidR="004D6A64" w:rsidRDefault="004D6A64">
            <w:pPr>
              <w:rPr>
                <w:rFonts w:ascii="宋体"/>
              </w:rPr>
            </w:pPr>
          </w:p>
        </w:tc>
        <w:tc>
          <w:tcPr>
            <w:tcW w:w="0" w:type="auto"/>
            <w:shd w:val="clear" w:color="auto" w:fill="auto"/>
          </w:tcPr>
          <w:p w14:paraId="33DACCDC" w14:textId="77777777" w:rsidR="004D6A64" w:rsidRDefault="004D6A64">
            <w:pPr>
              <w:rPr>
                <w:rFonts w:ascii="宋体"/>
              </w:rPr>
            </w:pPr>
          </w:p>
        </w:tc>
        <w:tc>
          <w:tcPr>
            <w:tcW w:w="0" w:type="auto"/>
            <w:shd w:val="clear" w:color="auto" w:fill="auto"/>
          </w:tcPr>
          <w:p w14:paraId="33DACCDD" w14:textId="77777777" w:rsidR="004D6A64" w:rsidRDefault="004D6A64">
            <w:pPr>
              <w:rPr>
                <w:rFonts w:ascii="宋体"/>
              </w:rPr>
            </w:pPr>
          </w:p>
        </w:tc>
        <w:tc>
          <w:tcPr>
            <w:tcW w:w="0" w:type="auto"/>
            <w:shd w:val="clear" w:color="auto" w:fill="auto"/>
          </w:tcPr>
          <w:p w14:paraId="33DACCDE" w14:textId="77777777" w:rsidR="004D6A64" w:rsidRDefault="004D6A64">
            <w:pPr>
              <w:rPr>
                <w:rFonts w:ascii="宋体"/>
              </w:rPr>
            </w:pPr>
          </w:p>
        </w:tc>
        <w:tc>
          <w:tcPr>
            <w:tcW w:w="0" w:type="auto"/>
            <w:shd w:val="clear" w:color="auto" w:fill="auto"/>
          </w:tcPr>
          <w:p w14:paraId="33DACCDF" w14:textId="77777777" w:rsidR="004D6A64" w:rsidRDefault="004D6A64">
            <w:pPr>
              <w:rPr>
                <w:rFonts w:ascii="宋体"/>
              </w:rPr>
            </w:pPr>
          </w:p>
        </w:tc>
        <w:tc>
          <w:tcPr>
            <w:tcW w:w="0" w:type="auto"/>
            <w:shd w:val="clear" w:color="auto" w:fill="auto"/>
          </w:tcPr>
          <w:p w14:paraId="33DACCE0" w14:textId="77777777" w:rsidR="004D6A64" w:rsidRDefault="004D6A64">
            <w:pPr>
              <w:rPr>
                <w:rFonts w:ascii="宋体"/>
              </w:rPr>
            </w:pPr>
          </w:p>
        </w:tc>
        <w:tc>
          <w:tcPr>
            <w:tcW w:w="0" w:type="auto"/>
            <w:shd w:val="clear" w:color="auto" w:fill="auto"/>
          </w:tcPr>
          <w:p w14:paraId="33DACCE1" w14:textId="77777777" w:rsidR="004D6A64" w:rsidRDefault="004D6A64">
            <w:pPr>
              <w:rPr>
                <w:rFonts w:ascii="宋体"/>
              </w:rPr>
            </w:pPr>
          </w:p>
        </w:tc>
        <w:tc>
          <w:tcPr>
            <w:tcW w:w="0" w:type="auto"/>
            <w:shd w:val="clear" w:color="auto" w:fill="auto"/>
          </w:tcPr>
          <w:p w14:paraId="33DACCE2" w14:textId="77777777" w:rsidR="004D6A64" w:rsidRDefault="004D6A64">
            <w:pPr>
              <w:rPr>
                <w:rFonts w:ascii="宋体"/>
              </w:rPr>
            </w:pPr>
          </w:p>
        </w:tc>
        <w:tc>
          <w:tcPr>
            <w:tcW w:w="0" w:type="auto"/>
            <w:shd w:val="clear" w:color="auto" w:fill="auto"/>
          </w:tcPr>
          <w:p w14:paraId="33DACCE3" w14:textId="77777777" w:rsidR="004D6A64" w:rsidRDefault="004D6A64">
            <w:pPr>
              <w:rPr>
                <w:rFonts w:ascii="宋体"/>
              </w:rPr>
            </w:pPr>
          </w:p>
        </w:tc>
      </w:tr>
    </w:tbl>
    <w:p w14:paraId="33DACCE5" w14:textId="77777777" w:rsidR="004D6A64" w:rsidRDefault="004D6A64">
      <w:pPr>
        <w:jc w:val="center"/>
      </w:pPr>
    </w:p>
    <w:p w14:paraId="33DACCE6" w14:textId="77777777" w:rsidR="004D6A64" w:rsidRDefault="00506CD6">
      <w:pPr>
        <w:jc w:val="center"/>
      </w:pPr>
      <w:r>
        <w:rPr>
          <w:rFonts w:ascii="Times New Roman" w:eastAsia="宋体" w:hAnsi="Times New Roman"/>
          <w:color w:val="000000"/>
          <w:sz w:val="20"/>
          <w:szCs w:val="20"/>
        </w:rPr>
        <w:t>52</w:t>
      </w:r>
    </w:p>
    <w:p w14:paraId="33DACCE7" w14:textId="77777777" w:rsidR="004D6A64" w:rsidRDefault="004D6A64">
      <w:pPr>
        <w:jc w:val="center"/>
      </w:pPr>
    </w:p>
    <w:p w14:paraId="33DACCE8" w14:textId="77777777" w:rsidR="004D6A64" w:rsidRDefault="00506CD6">
      <w:r>
        <w:pict w14:anchorId="33DAFAF8">
          <v:rect id="_x0000_i1076" style="width:415.3pt;height:1.5pt" o:hralign="center" o:hrstd="t" o:hr="t" fillcolor="#a0a0a0" stroked="f"/>
        </w:pict>
      </w:r>
    </w:p>
    <w:p w14:paraId="33DACCE9" w14:textId="77777777" w:rsidR="004D6A64" w:rsidRDefault="00506CD6">
      <w:hyperlink r:id="rId175" w:anchor="if3e0e1bf9ecd4bf69551d7a85f98d64a_10" w:history="1">
        <w:r>
          <w:rPr>
            <w:rStyle w:val="a5"/>
            <w:rFonts w:ascii="Times New Roman" w:eastAsia="宋体" w:hAnsi="Times New Roman"/>
            <w:sz w:val="20"/>
            <w:szCs w:val="20"/>
          </w:rPr>
          <w:t>Table of Contents</w:t>
        </w:r>
      </w:hyperlink>
    </w:p>
    <w:p w14:paraId="33DACCEA"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CCEB"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33DACCEC"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CCED" w14:textId="77777777" w:rsidR="004D6A64" w:rsidRDefault="004D6A64">
      <w:pPr>
        <w:jc w:val="center"/>
      </w:pPr>
    </w:p>
    <w:p w14:paraId="33DACCEE" w14:textId="77777777" w:rsidR="004D6A64" w:rsidRDefault="00506CD6">
      <w:r>
        <w:rPr>
          <w:rFonts w:ascii="Times New Roman" w:eastAsia="宋体" w:hAnsi="Times New Roman"/>
          <w:b/>
          <w:bCs/>
          <w:color w:val="000000"/>
          <w:sz w:val="20"/>
          <w:szCs w:val="20"/>
        </w:rPr>
        <w:t>NOTE 13</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 xml:space="preserve">— NON-CONTROLLING INTERESTS </w:t>
      </w:r>
    </w:p>
    <w:p w14:paraId="33DACCEF" w14:textId="77777777" w:rsidR="004D6A64" w:rsidRDefault="004D6A64"/>
    <w:p w14:paraId="33DACCF0" w14:textId="77777777" w:rsidR="004D6A64" w:rsidRDefault="00506CD6">
      <w:r>
        <w:rPr>
          <w:rFonts w:ascii="Times New Roman" w:eastAsia="宋体" w:hAnsi="Times New Roman"/>
          <w:i/>
          <w:iCs/>
          <w:color w:val="000000"/>
          <w:sz w:val="20"/>
          <w:szCs w:val="20"/>
        </w:rPr>
        <w:t>VMware, Inc.</w:t>
      </w:r>
      <w:r>
        <w:rPr>
          <w:rFonts w:ascii="Times New Roman" w:eastAsia="宋体" w:hAnsi="Times New Roman"/>
          <w:color w:val="000000"/>
          <w:sz w:val="20"/>
          <w:szCs w:val="20"/>
        </w:rPr>
        <w:t xml:space="preserve"> — The non-controlling interests’ share of equity in VMware, Inc. is reflected as a component of the non-controlling interests in the Condensed Consolidated Statements of Financial Posi</w:t>
      </w:r>
      <w:r>
        <w:rPr>
          <w:rFonts w:ascii="Times New Roman" w:eastAsia="宋体" w:hAnsi="Times New Roman"/>
          <w:color w:val="000000"/>
          <w:sz w:val="20"/>
          <w:szCs w:val="20"/>
        </w:rPr>
        <w:t>tion and was $4.9 billion and $4.6 billion as of July 31, 2020 and January 31, 2020, respectively. As of July 31, 2020 and January 31, 2020, the Company held approximately 80.4% and 80.9%, respectively, of the outstanding equity interest in VMware, Inc.</w:t>
      </w:r>
    </w:p>
    <w:p w14:paraId="33DACCF1" w14:textId="77777777" w:rsidR="004D6A64" w:rsidRDefault="004D6A64"/>
    <w:p w14:paraId="33DACCF2" w14:textId="77777777" w:rsidR="004D6A64" w:rsidRDefault="00506CD6">
      <w:r>
        <w:rPr>
          <w:rFonts w:ascii="Times New Roman" w:eastAsia="宋体" w:hAnsi="Times New Roman"/>
          <w:color w:val="000000"/>
          <w:sz w:val="20"/>
          <w:szCs w:val="20"/>
        </w:rPr>
        <w:t>A</w:t>
      </w:r>
      <w:r>
        <w:rPr>
          <w:rFonts w:ascii="Times New Roman" w:eastAsia="宋体" w:hAnsi="Times New Roman"/>
          <w:color w:val="000000"/>
          <w:sz w:val="20"/>
          <w:szCs w:val="20"/>
        </w:rPr>
        <w:t>s a result of VMware, Inc.’s acquisition of the non-controlling interest in Pivotal from Pivotal’s public shareholders on December 30, 2019, as described in Note 1 of the Notes to the Condensed Consolidated Financial Statements, the non-controlling interes</w:t>
      </w:r>
      <w:r>
        <w:rPr>
          <w:rFonts w:ascii="Times New Roman" w:eastAsia="宋体" w:hAnsi="Times New Roman"/>
          <w:color w:val="000000"/>
          <w:sz w:val="20"/>
          <w:szCs w:val="20"/>
        </w:rPr>
        <w:t>ts’ share of equity in Pivotal is only reflected as a component of the non-controlling interest through December 30, 2019. Pivotal’s Class A common stock ceased to be listed and traded on the NYSE as of the acquisition date, and there was no non-controllin</w:t>
      </w:r>
      <w:r>
        <w:rPr>
          <w:rFonts w:ascii="Times New Roman" w:eastAsia="宋体" w:hAnsi="Times New Roman"/>
          <w:color w:val="000000"/>
          <w:sz w:val="20"/>
          <w:szCs w:val="20"/>
        </w:rPr>
        <w:t xml:space="preserve">g interest in Pivotal as of July 31, 2020 and January 31, 2020. </w:t>
      </w:r>
    </w:p>
    <w:p w14:paraId="33DACCF3" w14:textId="77777777" w:rsidR="004D6A64" w:rsidRDefault="004D6A64"/>
    <w:p w14:paraId="33DACCF4" w14:textId="77777777" w:rsidR="004D6A64" w:rsidRDefault="00506CD6">
      <w:r>
        <w:rPr>
          <w:rFonts w:ascii="Times New Roman" w:eastAsia="宋体" w:hAnsi="Times New Roman"/>
          <w:i/>
          <w:iCs/>
          <w:color w:val="000000"/>
          <w:sz w:val="20"/>
          <w:szCs w:val="20"/>
        </w:rPr>
        <w:t>Secureworks</w:t>
      </w:r>
      <w:r>
        <w:rPr>
          <w:rFonts w:ascii="Times New Roman" w:eastAsia="宋体" w:hAnsi="Times New Roman"/>
          <w:color w:val="000000"/>
          <w:sz w:val="20"/>
          <w:szCs w:val="20"/>
        </w:rPr>
        <w:t xml:space="preserve"> — The non-controlling interests’ share of equity in Secureworks is reflected as a component of the non-controlling interests in the Condensed Consolidated Statements of Financial</w:t>
      </w:r>
      <w:r>
        <w:rPr>
          <w:rFonts w:ascii="Times New Roman" w:eastAsia="宋体" w:hAnsi="Times New Roman"/>
          <w:color w:val="000000"/>
          <w:sz w:val="20"/>
          <w:szCs w:val="20"/>
        </w:rPr>
        <w:t xml:space="preserve"> Position and was $94 million and $88 million as of July 31, 2020 and January 31, 2020, respectively. As of July 31, 2020 and January 31, 2020, the Company held approximately 85.9% and 86.8%, respectively, of the outstanding equity interest in Secureworks,</w:t>
      </w:r>
      <w:r>
        <w:rPr>
          <w:rFonts w:ascii="Times New Roman" w:eastAsia="宋体" w:hAnsi="Times New Roman"/>
          <w:color w:val="000000"/>
          <w:sz w:val="20"/>
          <w:szCs w:val="20"/>
        </w:rPr>
        <w:t xml:space="preserve"> excluding restricted stock awards (“RSAs”). As of July 31, 2020 and January 31, 2020, the Company held approximately 85.2% and 86.2%, respectively, of the outstanding equity interest in Secureworks, including RSAs.</w:t>
      </w:r>
    </w:p>
    <w:p w14:paraId="33DACCF5" w14:textId="77777777" w:rsidR="004D6A64" w:rsidRDefault="004D6A64"/>
    <w:p w14:paraId="33DACCF6" w14:textId="77777777" w:rsidR="004D6A64" w:rsidRDefault="00506CD6">
      <w:r>
        <w:rPr>
          <w:rFonts w:ascii="Times New Roman" w:eastAsia="宋体" w:hAnsi="Times New Roman"/>
          <w:color w:val="000000"/>
          <w:sz w:val="20"/>
          <w:szCs w:val="20"/>
        </w:rPr>
        <w:t>The following table presents the effect</w:t>
      </w:r>
      <w:r>
        <w:rPr>
          <w:rFonts w:ascii="Times New Roman" w:eastAsia="宋体" w:hAnsi="Times New Roman"/>
          <w:color w:val="000000"/>
          <w:sz w:val="20"/>
          <w:szCs w:val="20"/>
        </w:rPr>
        <w:t xml:space="preserve"> of changes in the Company’s ownership interest in VMware, Inc. and Secureworks on the Company’s equity for the period indicated:</w:t>
      </w:r>
    </w:p>
    <w:tbl>
      <w:tblPr>
        <w:tblW w:w="5000" w:type="pct"/>
        <w:tblCellMar>
          <w:top w:w="15" w:type="dxa"/>
          <w:left w:w="15" w:type="dxa"/>
          <w:bottom w:w="15" w:type="dxa"/>
          <w:right w:w="15" w:type="dxa"/>
        </w:tblCellMar>
        <w:tblLook w:val="04A0" w:firstRow="1" w:lastRow="0" w:firstColumn="1" w:lastColumn="0" w:noHBand="0" w:noVBand="1"/>
      </w:tblPr>
      <w:tblGrid>
        <w:gridCol w:w="44"/>
        <w:gridCol w:w="6586"/>
        <w:gridCol w:w="38"/>
        <w:gridCol w:w="136"/>
        <w:gridCol w:w="1491"/>
        <w:gridCol w:w="41"/>
      </w:tblGrid>
      <w:tr w:rsidR="004D6A64" w14:paraId="33DACCFD" w14:textId="77777777">
        <w:tc>
          <w:tcPr>
            <w:tcW w:w="50" w:type="pct"/>
            <w:shd w:val="clear" w:color="auto" w:fill="auto"/>
          </w:tcPr>
          <w:p w14:paraId="33DACCF7" w14:textId="77777777" w:rsidR="004D6A64" w:rsidRDefault="004D6A64">
            <w:pPr>
              <w:rPr>
                <w:rFonts w:ascii="宋体"/>
              </w:rPr>
            </w:pPr>
          </w:p>
        </w:tc>
        <w:tc>
          <w:tcPr>
            <w:tcW w:w="3972" w:type="pct"/>
            <w:shd w:val="clear" w:color="auto" w:fill="auto"/>
          </w:tcPr>
          <w:p w14:paraId="33DACCF8" w14:textId="77777777" w:rsidR="004D6A64" w:rsidRDefault="004D6A64">
            <w:pPr>
              <w:rPr>
                <w:rFonts w:ascii="宋体"/>
              </w:rPr>
            </w:pPr>
          </w:p>
        </w:tc>
        <w:tc>
          <w:tcPr>
            <w:tcW w:w="5" w:type="pct"/>
            <w:shd w:val="clear" w:color="auto" w:fill="auto"/>
          </w:tcPr>
          <w:p w14:paraId="33DACCF9" w14:textId="77777777" w:rsidR="004D6A64" w:rsidRDefault="004D6A64">
            <w:pPr>
              <w:rPr>
                <w:rFonts w:ascii="宋体"/>
              </w:rPr>
            </w:pPr>
          </w:p>
        </w:tc>
        <w:tc>
          <w:tcPr>
            <w:tcW w:w="50" w:type="pct"/>
            <w:shd w:val="clear" w:color="auto" w:fill="auto"/>
          </w:tcPr>
          <w:p w14:paraId="33DACCFA" w14:textId="77777777" w:rsidR="004D6A64" w:rsidRDefault="004D6A64">
            <w:pPr>
              <w:rPr>
                <w:rFonts w:ascii="宋体"/>
              </w:rPr>
            </w:pPr>
          </w:p>
        </w:tc>
        <w:tc>
          <w:tcPr>
            <w:tcW w:w="917" w:type="pct"/>
            <w:shd w:val="clear" w:color="auto" w:fill="auto"/>
          </w:tcPr>
          <w:p w14:paraId="33DACCFB" w14:textId="77777777" w:rsidR="004D6A64" w:rsidRDefault="004D6A64">
            <w:pPr>
              <w:rPr>
                <w:rFonts w:ascii="宋体"/>
              </w:rPr>
            </w:pPr>
          </w:p>
        </w:tc>
        <w:tc>
          <w:tcPr>
            <w:tcW w:w="5" w:type="pct"/>
            <w:shd w:val="clear" w:color="auto" w:fill="auto"/>
          </w:tcPr>
          <w:p w14:paraId="33DACCFC" w14:textId="77777777" w:rsidR="004D6A64" w:rsidRDefault="004D6A64">
            <w:pPr>
              <w:rPr>
                <w:rFonts w:ascii="宋体"/>
              </w:rPr>
            </w:pPr>
          </w:p>
        </w:tc>
      </w:tr>
      <w:tr w:rsidR="004D6A64" w14:paraId="33DACD00" w14:textId="77777777">
        <w:tc>
          <w:tcPr>
            <w:tcW w:w="0" w:type="auto"/>
            <w:gridSpan w:val="3"/>
            <w:shd w:val="clear" w:color="auto" w:fill="auto"/>
            <w:tcMar>
              <w:left w:w="20" w:type="dxa"/>
              <w:right w:w="20" w:type="dxa"/>
            </w:tcMar>
            <w:vAlign w:val="bottom"/>
          </w:tcPr>
          <w:p w14:paraId="33DACCFE"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CCFF" w14:textId="77777777" w:rsidR="004D6A64" w:rsidRDefault="00506CD6">
            <w:pPr>
              <w:jc w:val="center"/>
              <w:textAlignment w:val="bottom"/>
            </w:pPr>
            <w:r>
              <w:rPr>
                <w:rFonts w:ascii="Times New Roman" w:eastAsia="宋体" w:hAnsi="Times New Roman"/>
                <w:b/>
                <w:bCs/>
                <w:color w:val="000000"/>
                <w:sz w:val="20"/>
                <w:szCs w:val="20"/>
              </w:rPr>
              <w:t>Six Months Ended</w:t>
            </w:r>
          </w:p>
        </w:tc>
      </w:tr>
      <w:tr w:rsidR="004D6A64" w14:paraId="33DACD03" w14:textId="77777777">
        <w:tc>
          <w:tcPr>
            <w:tcW w:w="0" w:type="auto"/>
            <w:gridSpan w:val="3"/>
            <w:shd w:val="clear" w:color="auto" w:fill="auto"/>
            <w:tcMar>
              <w:left w:w="20" w:type="dxa"/>
              <w:right w:w="20" w:type="dxa"/>
            </w:tcMar>
            <w:vAlign w:val="bottom"/>
          </w:tcPr>
          <w:p w14:paraId="33DACD01"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CD02" w14:textId="77777777" w:rsidR="004D6A64" w:rsidRDefault="00506CD6">
            <w:pPr>
              <w:jc w:val="center"/>
              <w:textAlignment w:val="bottom"/>
            </w:pPr>
            <w:r>
              <w:rPr>
                <w:rFonts w:ascii="Times New Roman" w:eastAsia="宋体" w:hAnsi="Times New Roman"/>
                <w:b/>
                <w:bCs/>
                <w:color w:val="000000"/>
                <w:sz w:val="20"/>
                <w:szCs w:val="20"/>
              </w:rPr>
              <w:t>July 31, 2020</w:t>
            </w:r>
          </w:p>
        </w:tc>
      </w:tr>
      <w:tr w:rsidR="004D6A64" w14:paraId="33DACD06" w14:textId="77777777">
        <w:tc>
          <w:tcPr>
            <w:tcW w:w="0" w:type="auto"/>
            <w:gridSpan w:val="3"/>
            <w:shd w:val="clear" w:color="auto" w:fill="auto"/>
            <w:tcMar>
              <w:left w:w="20" w:type="dxa"/>
              <w:right w:w="20" w:type="dxa"/>
            </w:tcMar>
            <w:vAlign w:val="bottom"/>
          </w:tcPr>
          <w:p w14:paraId="33DACD04"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CD05" w14:textId="77777777" w:rsidR="004D6A64" w:rsidRDefault="00506CD6">
            <w:pPr>
              <w:jc w:val="center"/>
              <w:textAlignment w:val="bottom"/>
            </w:pPr>
            <w:r>
              <w:rPr>
                <w:rFonts w:ascii="Times New Roman" w:eastAsia="宋体" w:hAnsi="Times New Roman"/>
                <w:color w:val="000000"/>
                <w:sz w:val="20"/>
                <w:szCs w:val="20"/>
              </w:rPr>
              <w:t>(in millions)</w:t>
            </w:r>
          </w:p>
        </w:tc>
      </w:tr>
      <w:tr w:rsidR="004D6A64" w14:paraId="33DACD0B" w14:textId="77777777">
        <w:tc>
          <w:tcPr>
            <w:tcW w:w="0" w:type="auto"/>
            <w:gridSpan w:val="3"/>
            <w:shd w:val="clear" w:color="auto" w:fill="CCEEFF"/>
            <w:tcMar>
              <w:top w:w="40" w:type="dxa"/>
              <w:left w:w="20" w:type="dxa"/>
              <w:bottom w:w="40" w:type="dxa"/>
              <w:right w:w="20" w:type="dxa"/>
            </w:tcMar>
            <w:vAlign w:val="bottom"/>
          </w:tcPr>
          <w:p w14:paraId="33DACD07" w14:textId="77777777" w:rsidR="004D6A64" w:rsidRDefault="00506CD6">
            <w:pPr>
              <w:textAlignment w:val="bottom"/>
            </w:pPr>
            <w:r>
              <w:rPr>
                <w:rFonts w:ascii="Times New Roman" w:eastAsia="宋体" w:hAnsi="Times New Roman"/>
                <w:color w:val="000000"/>
                <w:sz w:val="20"/>
                <w:szCs w:val="20"/>
              </w:rPr>
              <w:t>Net income attributable to Dell Technologies Inc.</w:t>
            </w:r>
          </w:p>
        </w:tc>
        <w:tc>
          <w:tcPr>
            <w:tcW w:w="0" w:type="auto"/>
            <w:shd w:val="clear" w:color="auto" w:fill="CCEEFF"/>
            <w:tcMar>
              <w:top w:w="40" w:type="dxa"/>
              <w:left w:w="20" w:type="dxa"/>
              <w:bottom w:w="40" w:type="dxa"/>
            </w:tcMar>
            <w:vAlign w:val="bottom"/>
          </w:tcPr>
          <w:p w14:paraId="33DACD08"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CD09" w14:textId="77777777" w:rsidR="004D6A64" w:rsidRDefault="00506CD6">
            <w:pPr>
              <w:jc w:val="right"/>
              <w:textAlignment w:val="bottom"/>
            </w:pPr>
            <w:r>
              <w:rPr>
                <w:rFonts w:ascii="Times New Roman" w:eastAsia="宋体" w:hAnsi="Times New Roman"/>
                <w:color w:val="000000"/>
                <w:sz w:val="20"/>
                <w:szCs w:val="20"/>
              </w:rPr>
              <w:t>1,191 </w:t>
            </w:r>
          </w:p>
        </w:tc>
        <w:tc>
          <w:tcPr>
            <w:tcW w:w="0" w:type="auto"/>
            <w:shd w:val="clear" w:color="auto" w:fill="CCEEFF"/>
            <w:tcMar>
              <w:top w:w="40" w:type="dxa"/>
              <w:bottom w:w="40" w:type="dxa"/>
              <w:right w:w="20" w:type="dxa"/>
            </w:tcMar>
            <w:vAlign w:val="bottom"/>
          </w:tcPr>
          <w:p w14:paraId="33DACD0A" w14:textId="77777777" w:rsidR="004D6A64" w:rsidRDefault="004D6A64">
            <w:pPr>
              <w:jc w:val="right"/>
              <w:rPr>
                <w:rFonts w:ascii="宋体"/>
              </w:rPr>
            </w:pPr>
          </w:p>
        </w:tc>
      </w:tr>
      <w:tr w:rsidR="004D6A64" w14:paraId="33DACD0E" w14:textId="77777777">
        <w:tc>
          <w:tcPr>
            <w:tcW w:w="0" w:type="auto"/>
            <w:gridSpan w:val="3"/>
            <w:shd w:val="clear" w:color="auto" w:fill="FFFFFF"/>
            <w:tcMar>
              <w:top w:w="40" w:type="dxa"/>
              <w:left w:w="20" w:type="dxa"/>
              <w:bottom w:w="40" w:type="dxa"/>
              <w:right w:w="20" w:type="dxa"/>
            </w:tcMar>
            <w:vAlign w:val="bottom"/>
          </w:tcPr>
          <w:p w14:paraId="33DACD0C" w14:textId="77777777" w:rsidR="004D6A64" w:rsidRDefault="00506CD6">
            <w:pPr>
              <w:textAlignment w:val="bottom"/>
            </w:pPr>
            <w:r>
              <w:rPr>
                <w:rFonts w:ascii="Times New Roman" w:eastAsia="宋体" w:hAnsi="Times New Roman"/>
                <w:color w:val="000000"/>
                <w:sz w:val="20"/>
                <w:szCs w:val="20"/>
              </w:rPr>
              <w:t>Transfers (to)/from the non-controlling interests:</w:t>
            </w:r>
          </w:p>
        </w:tc>
        <w:tc>
          <w:tcPr>
            <w:tcW w:w="0" w:type="auto"/>
            <w:gridSpan w:val="3"/>
            <w:shd w:val="clear" w:color="auto" w:fill="FFFFFF"/>
            <w:tcMar>
              <w:left w:w="20" w:type="dxa"/>
              <w:right w:w="20" w:type="dxa"/>
            </w:tcMar>
            <w:vAlign w:val="bottom"/>
          </w:tcPr>
          <w:p w14:paraId="33DACD0D" w14:textId="77777777" w:rsidR="004D6A64" w:rsidRDefault="004D6A64">
            <w:pPr>
              <w:rPr>
                <w:rFonts w:ascii="宋体"/>
              </w:rPr>
            </w:pPr>
          </w:p>
        </w:tc>
      </w:tr>
      <w:tr w:rsidR="004D6A64" w14:paraId="33DACD12" w14:textId="77777777">
        <w:tc>
          <w:tcPr>
            <w:tcW w:w="0" w:type="auto"/>
            <w:gridSpan w:val="3"/>
            <w:shd w:val="clear" w:color="auto" w:fill="CCEEFF"/>
            <w:tcMar>
              <w:top w:w="40" w:type="dxa"/>
              <w:left w:w="120" w:type="dxa"/>
              <w:bottom w:w="40" w:type="dxa"/>
              <w:right w:w="20" w:type="dxa"/>
            </w:tcMar>
            <w:vAlign w:val="bottom"/>
          </w:tcPr>
          <w:p w14:paraId="33DACD0F" w14:textId="77777777" w:rsidR="004D6A64" w:rsidRDefault="00506CD6">
            <w:pPr>
              <w:textAlignment w:val="bottom"/>
            </w:pPr>
            <w:r>
              <w:rPr>
                <w:rFonts w:ascii="Times New Roman" w:eastAsia="宋体" w:hAnsi="Times New Roman"/>
                <w:color w:val="000000"/>
                <w:sz w:val="20"/>
                <w:szCs w:val="20"/>
              </w:rPr>
              <w:t>Increase in Dell Technologies Inc. additional paid-in-capital for equity issuances and other equity activity</w:t>
            </w:r>
          </w:p>
        </w:tc>
        <w:tc>
          <w:tcPr>
            <w:tcW w:w="0" w:type="auto"/>
            <w:gridSpan w:val="2"/>
            <w:shd w:val="clear" w:color="auto" w:fill="CCEEFF"/>
            <w:tcMar>
              <w:top w:w="40" w:type="dxa"/>
              <w:left w:w="20" w:type="dxa"/>
              <w:bottom w:w="40" w:type="dxa"/>
              <w:right w:w="0" w:type="dxa"/>
            </w:tcMar>
            <w:vAlign w:val="bottom"/>
          </w:tcPr>
          <w:p w14:paraId="33DACD10" w14:textId="77777777" w:rsidR="004D6A64" w:rsidRDefault="00506CD6">
            <w:pPr>
              <w:jc w:val="right"/>
              <w:textAlignment w:val="bottom"/>
            </w:pPr>
            <w:r>
              <w:rPr>
                <w:rFonts w:ascii="Times New Roman" w:eastAsia="宋体" w:hAnsi="Times New Roman"/>
                <w:color w:val="000000"/>
                <w:sz w:val="20"/>
                <w:szCs w:val="20"/>
              </w:rPr>
              <w:t>491 </w:t>
            </w:r>
          </w:p>
        </w:tc>
        <w:tc>
          <w:tcPr>
            <w:tcW w:w="0" w:type="auto"/>
            <w:shd w:val="clear" w:color="auto" w:fill="CCEEFF"/>
            <w:tcMar>
              <w:top w:w="40" w:type="dxa"/>
              <w:bottom w:w="40" w:type="dxa"/>
              <w:right w:w="20" w:type="dxa"/>
            </w:tcMar>
            <w:vAlign w:val="bottom"/>
          </w:tcPr>
          <w:p w14:paraId="33DACD11" w14:textId="77777777" w:rsidR="004D6A64" w:rsidRDefault="004D6A64">
            <w:pPr>
              <w:jc w:val="right"/>
              <w:rPr>
                <w:rFonts w:ascii="宋体"/>
              </w:rPr>
            </w:pPr>
          </w:p>
        </w:tc>
      </w:tr>
      <w:tr w:rsidR="004D6A64" w14:paraId="33DACD16" w14:textId="77777777">
        <w:tc>
          <w:tcPr>
            <w:tcW w:w="0" w:type="auto"/>
            <w:gridSpan w:val="3"/>
            <w:shd w:val="clear" w:color="auto" w:fill="FFFFFF"/>
            <w:tcMar>
              <w:top w:w="40" w:type="dxa"/>
              <w:left w:w="120" w:type="dxa"/>
              <w:bottom w:w="40" w:type="dxa"/>
              <w:right w:w="20" w:type="dxa"/>
            </w:tcMar>
            <w:vAlign w:val="bottom"/>
          </w:tcPr>
          <w:p w14:paraId="33DACD13" w14:textId="77777777" w:rsidR="004D6A64" w:rsidRDefault="00506CD6">
            <w:pPr>
              <w:textAlignment w:val="bottom"/>
            </w:pPr>
            <w:r>
              <w:rPr>
                <w:rFonts w:ascii="Times New Roman" w:eastAsia="宋体" w:hAnsi="Times New Roman"/>
                <w:color w:val="000000"/>
                <w:sz w:val="20"/>
                <w:szCs w:val="20"/>
              </w:rPr>
              <w:t xml:space="preserve">Decrease in Dell Technologies Inc. additional paid-in-capital for equity </w:t>
            </w:r>
            <w:r>
              <w:rPr>
                <w:rFonts w:ascii="Times New Roman" w:eastAsia="宋体" w:hAnsi="Times New Roman"/>
                <w:color w:val="000000"/>
                <w:sz w:val="20"/>
                <w:szCs w:val="20"/>
              </w:rPr>
              <w:t>issuances and other equity activity</w:t>
            </w:r>
          </w:p>
        </w:tc>
        <w:tc>
          <w:tcPr>
            <w:tcW w:w="0" w:type="auto"/>
            <w:gridSpan w:val="2"/>
            <w:shd w:val="clear" w:color="auto" w:fill="FFFFFF"/>
            <w:tcMar>
              <w:top w:w="40" w:type="dxa"/>
              <w:left w:w="20" w:type="dxa"/>
              <w:bottom w:w="40" w:type="dxa"/>
              <w:right w:w="0" w:type="dxa"/>
            </w:tcMar>
            <w:vAlign w:val="bottom"/>
          </w:tcPr>
          <w:p w14:paraId="33DACD14" w14:textId="77777777" w:rsidR="004D6A64" w:rsidRDefault="00506CD6">
            <w:pPr>
              <w:jc w:val="right"/>
              <w:textAlignment w:val="bottom"/>
            </w:pPr>
            <w:r>
              <w:rPr>
                <w:rFonts w:ascii="Times New Roman" w:eastAsia="宋体" w:hAnsi="Times New Roman"/>
                <w:color w:val="000000"/>
                <w:sz w:val="20"/>
                <w:szCs w:val="20"/>
              </w:rPr>
              <w:t>(529)</w:t>
            </w:r>
          </w:p>
        </w:tc>
        <w:tc>
          <w:tcPr>
            <w:tcW w:w="0" w:type="auto"/>
            <w:shd w:val="clear" w:color="auto" w:fill="FFFFFF"/>
            <w:tcMar>
              <w:top w:w="40" w:type="dxa"/>
              <w:bottom w:w="40" w:type="dxa"/>
              <w:right w:w="20" w:type="dxa"/>
            </w:tcMar>
            <w:vAlign w:val="bottom"/>
          </w:tcPr>
          <w:p w14:paraId="33DACD15" w14:textId="77777777" w:rsidR="004D6A64" w:rsidRDefault="004D6A64">
            <w:pPr>
              <w:jc w:val="right"/>
              <w:rPr>
                <w:rFonts w:ascii="宋体"/>
              </w:rPr>
            </w:pPr>
          </w:p>
        </w:tc>
      </w:tr>
      <w:tr w:rsidR="004D6A64" w14:paraId="33DACD1A" w14:textId="77777777">
        <w:tc>
          <w:tcPr>
            <w:tcW w:w="0" w:type="auto"/>
            <w:gridSpan w:val="3"/>
            <w:shd w:val="clear" w:color="auto" w:fill="CCEEFF"/>
            <w:tcMar>
              <w:top w:w="40" w:type="dxa"/>
              <w:left w:w="20" w:type="dxa"/>
              <w:bottom w:w="40" w:type="dxa"/>
              <w:right w:w="20" w:type="dxa"/>
            </w:tcMar>
            <w:vAlign w:val="bottom"/>
          </w:tcPr>
          <w:p w14:paraId="33DACD17" w14:textId="77777777" w:rsidR="004D6A64" w:rsidRDefault="00506CD6">
            <w:pPr>
              <w:textAlignment w:val="bottom"/>
            </w:pPr>
            <w:r>
              <w:rPr>
                <w:rFonts w:ascii="Times New Roman" w:eastAsia="宋体" w:hAnsi="Times New Roman"/>
                <w:color w:val="000000"/>
                <w:sz w:val="20"/>
                <w:szCs w:val="20"/>
              </w:rPr>
              <w:t>Net transfers to non-controlling interests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3DACD18" w14:textId="77777777" w:rsidR="004D6A64" w:rsidRDefault="00506CD6">
            <w:pPr>
              <w:jc w:val="right"/>
              <w:textAlignment w:val="bottom"/>
            </w:pPr>
            <w:r>
              <w:rPr>
                <w:rFonts w:ascii="Times New Roman" w:eastAsia="宋体" w:hAnsi="Times New Roman"/>
                <w:color w:val="000000"/>
                <w:sz w:val="20"/>
                <w:szCs w:val="20"/>
              </w:rPr>
              <w:t>(38)</w:t>
            </w:r>
          </w:p>
        </w:tc>
        <w:tc>
          <w:tcPr>
            <w:tcW w:w="0" w:type="auto"/>
            <w:tcBorders>
              <w:top w:val="single" w:sz="8" w:space="0" w:color="000000"/>
            </w:tcBorders>
            <w:shd w:val="clear" w:color="auto" w:fill="CCEEFF"/>
            <w:tcMar>
              <w:top w:w="40" w:type="dxa"/>
              <w:bottom w:w="40" w:type="dxa"/>
              <w:right w:w="20" w:type="dxa"/>
            </w:tcMar>
            <w:vAlign w:val="bottom"/>
          </w:tcPr>
          <w:p w14:paraId="33DACD19" w14:textId="77777777" w:rsidR="004D6A64" w:rsidRDefault="004D6A64">
            <w:pPr>
              <w:jc w:val="right"/>
              <w:rPr>
                <w:rFonts w:ascii="宋体"/>
              </w:rPr>
            </w:pPr>
          </w:p>
        </w:tc>
      </w:tr>
      <w:tr w:rsidR="004D6A64" w14:paraId="33DACD1F" w14:textId="77777777">
        <w:tc>
          <w:tcPr>
            <w:tcW w:w="0" w:type="auto"/>
            <w:gridSpan w:val="3"/>
            <w:shd w:val="clear" w:color="auto" w:fill="FFFFFF"/>
            <w:tcMar>
              <w:top w:w="40" w:type="dxa"/>
              <w:left w:w="120" w:type="dxa"/>
              <w:bottom w:w="40" w:type="dxa"/>
              <w:right w:w="20" w:type="dxa"/>
            </w:tcMar>
            <w:vAlign w:val="bottom"/>
          </w:tcPr>
          <w:p w14:paraId="33DACD1B" w14:textId="77777777" w:rsidR="004D6A64" w:rsidRDefault="00506CD6">
            <w:pPr>
              <w:textAlignment w:val="bottom"/>
            </w:pPr>
            <w:r>
              <w:rPr>
                <w:rFonts w:ascii="Times New Roman" w:eastAsia="宋体" w:hAnsi="Times New Roman"/>
                <w:color w:val="000000"/>
                <w:sz w:val="20"/>
                <w:szCs w:val="20"/>
              </w:rPr>
              <w:t>Change from net income attributable to Dell Technologies Inc. and transfers to the non-controlling interests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CD1C"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CD1D" w14:textId="77777777" w:rsidR="004D6A64" w:rsidRDefault="00506CD6">
            <w:pPr>
              <w:jc w:val="right"/>
              <w:textAlignment w:val="bottom"/>
            </w:pPr>
            <w:r>
              <w:rPr>
                <w:rFonts w:ascii="Times New Roman" w:eastAsia="宋体" w:hAnsi="Times New Roman"/>
                <w:color w:val="000000"/>
                <w:sz w:val="20"/>
                <w:szCs w:val="20"/>
              </w:rPr>
              <w:t>1,153 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CD1E" w14:textId="77777777" w:rsidR="004D6A64" w:rsidRDefault="004D6A64">
            <w:pPr>
              <w:jc w:val="right"/>
              <w:rPr>
                <w:rFonts w:ascii="宋体"/>
              </w:rPr>
            </w:pPr>
          </w:p>
        </w:tc>
      </w:tr>
    </w:tbl>
    <w:p w14:paraId="33DACD20" w14:textId="77777777" w:rsidR="004D6A64" w:rsidRDefault="004D6A64"/>
    <w:p w14:paraId="33DACD21" w14:textId="77777777" w:rsidR="004D6A64" w:rsidRDefault="004D6A64">
      <w:pPr>
        <w:jc w:val="center"/>
      </w:pPr>
    </w:p>
    <w:p w14:paraId="33DACD22" w14:textId="77777777" w:rsidR="004D6A64" w:rsidRDefault="00506CD6">
      <w:pPr>
        <w:jc w:val="center"/>
      </w:pPr>
      <w:r>
        <w:rPr>
          <w:rFonts w:ascii="Times New Roman" w:eastAsia="宋体" w:hAnsi="Times New Roman"/>
          <w:color w:val="000000"/>
          <w:sz w:val="20"/>
          <w:szCs w:val="20"/>
        </w:rPr>
        <w:t>53</w:t>
      </w:r>
    </w:p>
    <w:p w14:paraId="33DACD23" w14:textId="77777777" w:rsidR="004D6A64" w:rsidRDefault="004D6A64">
      <w:pPr>
        <w:jc w:val="center"/>
      </w:pPr>
    </w:p>
    <w:p w14:paraId="33DACD24" w14:textId="77777777" w:rsidR="004D6A64" w:rsidRDefault="00506CD6">
      <w:r>
        <w:pict w14:anchorId="33DAFAF9">
          <v:rect id="_x0000_i1077" style="width:415.3pt;height:1.5pt" o:hralign="center" o:hrstd="t" o:hr="t" fillcolor="#a0a0a0" stroked="f"/>
        </w:pict>
      </w:r>
    </w:p>
    <w:p w14:paraId="33DACD25" w14:textId="77777777" w:rsidR="004D6A64" w:rsidRDefault="00506CD6">
      <w:hyperlink r:id="rId176" w:anchor="if3e0e1bf9ecd4bf69551d7a85f98d64a_10" w:history="1">
        <w:r>
          <w:rPr>
            <w:rStyle w:val="a5"/>
            <w:rFonts w:ascii="Times New Roman" w:eastAsia="宋体" w:hAnsi="Times New Roman"/>
            <w:sz w:val="20"/>
            <w:szCs w:val="20"/>
          </w:rPr>
          <w:t>Table of Contents</w:t>
        </w:r>
      </w:hyperlink>
    </w:p>
    <w:p w14:paraId="33DACD26"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CD27" w14:textId="77777777" w:rsidR="004D6A64" w:rsidRDefault="00506CD6">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33DACD28"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CD29" w14:textId="77777777" w:rsidR="004D6A64" w:rsidRDefault="004D6A64">
      <w:pPr>
        <w:jc w:val="center"/>
      </w:pPr>
    </w:p>
    <w:p w14:paraId="33DACD2A" w14:textId="77777777" w:rsidR="004D6A64" w:rsidRDefault="00506CD6">
      <w:r>
        <w:rPr>
          <w:rFonts w:ascii="Times New Roman" w:eastAsia="宋体" w:hAnsi="Times New Roman"/>
          <w:b/>
          <w:bCs/>
          <w:color w:val="000000"/>
          <w:sz w:val="20"/>
          <w:szCs w:val="20"/>
        </w:rPr>
        <w:t>NOTE 14</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 CAPITALIZATION</w:t>
      </w:r>
      <w:r>
        <w:rPr>
          <w:rFonts w:ascii="Times New Roman" w:eastAsia="宋体" w:hAnsi="Times New Roman"/>
          <w:color w:val="000000"/>
          <w:sz w:val="20"/>
          <w:szCs w:val="20"/>
        </w:rPr>
        <w:t xml:space="preserve"> </w:t>
      </w:r>
    </w:p>
    <w:p w14:paraId="33DACD2B" w14:textId="77777777" w:rsidR="004D6A64" w:rsidRDefault="004D6A64"/>
    <w:p w14:paraId="33DACD2C" w14:textId="77777777" w:rsidR="004D6A64" w:rsidRDefault="00506CD6">
      <w:r>
        <w:rPr>
          <w:rFonts w:ascii="Times New Roman" w:eastAsia="宋体" w:hAnsi="Times New Roman"/>
          <w:color w:val="000000"/>
          <w:sz w:val="20"/>
          <w:szCs w:val="20"/>
        </w:rPr>
        <w:t>The following table presents the Company’s authorized, issued, and outstanding common stock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380"/>
        <w:gridCol w:w="36"/>
        <w:gridCol w:w="75"/>
        <w:gridCol w:w="925"/>
        <w:gridCol w:w="41"/>
        <w:gridCol w:w="36"/>
        <w:gridCol w:w="36"/>
        <w:gridCol w:w="36"/>
        <w:gridCol w:w="44"/>
        <w:gridCol w:w="860"/>
        <w:gridCol w:w="41"/>
        <w:gridCol w:w="36"/>
        <w:gridCol w:w="36"/>
        <w:gridCol w:w="36"/>
        <w:gridCol w:w="82"/>
        <w:gridCol w:w="1018"/>
        <w:gridCol w:w="41"/>
        <w:gridCol w:w="36"/>
        <w:gridCol w:w="36"/>
        <w:gridCol w:w="36"/>
        <w:gridCol w:w="36"/>
        <w:gridCol w:w="36"/>
        <w:gridCol w:w="36"/>
        <w:gridCol w:w="36"/>
        <w:gridCol w:w="36"/>
        <w:gridCol w:w="36"/>
        <w:gridCol w:w="36"/>
        <w:gridCol w:w="36"/>
        <w:gridCol w:w="36"/>
        <w:gridCol w:w="36"/>
        <w:gridCol w:w="36"/>
        <w:gridCol w:w="36"/>
      </w:tblGrid>
      <w:tr w:rsidR="004D6A64" w14:paraId="33DACD3F" w14:textId="77777777">
        <w:trPr>
          <w:gridAfter w:val="15"/>
          <w:jc w:val="center"/>
        </w:trPr>
        <w:tc>
          <w:tcPr>
            <w:tcW w:w="50" w:type="pct"/>
            <w:shd w:val="clear" w:color="auto" w:fill="auto"/>
          </w:tcPr>
          <w:p w14:paraId="33DACD2D" w14:textId="77777777" w:rsidR="004D6A64" w:rsidRDefault="004D6A64">
            <w:pPr>
              <w:rPr>
                <w:rFonts w:ascii="宋体"/>
              </w:rPr>
            </w:pPr>
          </w:p>
        </w:tc>
        <w:tc>
          <w:tcPr>
            <w:tcW w:w="2847" w:type="pct"/>
            <w:shd w:val="clear" w:color="auto" w:fill="auto"/>
          </w:tcPr>
          <w:p w14:paraId="33DACD2E" w14:textId="77777777" w:rsidR="004D6A64" w:rsidRDefault="004D6A64">
            <w:pPr>
              <w:rPr>
                <w:rFonts w:ascii="宋体"/>
              </w:rPr>
            </w:pPr>
          </w:p>
        </w:tc>
        <w:tc>
          <w:tcPr>
            <w:tcW w:w="5" w:type="pct"/>
            <w:shd w:val="clear" w:color="auto" w:fill="auto"/>
          </w:tcPr>
          <w:p w14:paraId="33DACD2F" w14:textId="77777777" w:rsidR="004D6A64" w:rsidRDefault="004D6A64">
            <w:pPr>
              <w:rPr>
                <w:rFonts w:ascii="宋体"/>
              </w:rPr>
            </w:pPr>
          </w:p>
        </w:tc>
        <w:tc>
          <w:tcPr>
            <w:tcW w:w="50" w:type="pct"/>
            <w:shd w:val="clear" w:color="auto" w:fill="auto"/>
          </w:tcPr>
          <w:p w14:paraId="33DACD30" w14:textId="77777777" w:rsidR="004D6A64" w:rsidRDefault="004D6A64">
            <w:pPr>
              <w:rPr>
                <w:rFonts w:ascii="宋体"/>
              </w:rPr>
            </w:pPr>
          </w:p>
        </w:tc>
        <w:tc>
          <w:tcPr>
            <w:tcW w:w="624" w:type="pct"/>
            <w:shd w:val="clear" w:color="auto" w:fill="auto"/>
          </w:tcPr>
          <w:p w14:paraId="33DACD31" w14:textId="77777777" w:rsidR="004D6A64" w:rsidRDefault="004D6A64">
            <w:pPr>
              <w:rPr>
                <w:rFonts w:ascii="宋体"/>
              </w:rPr>
            </w:pPr>
          </w:p>
        </w:tc>
        <w:tc>
          <w:tcPr>
            <w:tcW w:w="5" w:type="pct"/>
            <w:shd w:val="clear" w:color="auto" w:fill="auto"/>
          </w:tcPr>
          <w:p w14:paraId="33DACD32" w14:textId="77777777" w:rsidR="004D6A64" w:rsidRDefault="004D6A64">
            <w:pPr>
              <w:rPr>
                <w:rFonts w:ascii="宋体"/>
              </w:rPr>
            </w:pPr>
          </w:p>
        </w:tc>
        <w:tc>
          <w:tcPr>
            <w:tcW w:w="5" w:type="pct"/>
            <w:shd w:val="clear" w:color="auto" w:fill="auto"/>
          </w:tcPr>
          <w:p w14:paraId="33DACD33" w14:textId="77777777" w:rsidR="004D6A64" w:rsidRDefault="004D6A64">
            <w:pPr>
              <w:rPr>
                <w:rFonts w:ascii="宋体"/>
              </w:rPr>
            </w:pPr>
          </w:p>
        </w:tc>
        <w:tc>
          <w:tcPr>
            <w:tcW w:w="19" w:type="pct"/>
            <w:shd w:val="clear" w:color="auto" w:fill="auto"/>
          </w:tcPr>
          <w:p w14:paraId="33DACD34" w14:textId="77777777" w:rsidR="004D6A64" w:rsidRDefault="004D6A64">
            <w:pPr>
              <w:rPr>
                <w:rFonts w:ascii="宋体"/>
              </w:rPr>
            </w:pPr>
          </w:p>
        </w:tc>
        <w:tc>
          <w:tcPr>
            <w:tcW w:w="5" w:type="pct"/>
            <w:shd w:val="clear" w:color="auto" w:fill="auto"/>
          </w:tcPr>
          <w:p w14:paraId="33DACD35" w14:textId="77777777" w:rsidR="004D6A64" w:rsidRDefault="004D6A64">
            <w:pPr>
              <w:rPr>
                <w:rFonts w:ascii="宋体"/>
              </w:rPr>
            </w:pPr>
          </w:p>
        </w:tc>
        <w:tc>
          <w:tcPr>
            <w:tcW w:w="50" w:type="pct"/>
            <w:shd w:val="clear" w:color="auto" w:fill="auto"/>
          </w:tcPr>
          <w:p w14:paraId="33DACD36" w14:textId="77777777" w:rsidR="004D6A64" w:rsidRDefault="004D6A64">
            <w:pPr>
              <w:rPr>
                <w:rFonts w:ascii="宋体"/>
              </w:rPr>
            </w:pPr>
          </w:p>
        </w:tc>
        <w:tc>
          <w:tcPr>
            <w:tcW w:w="624" w:type="pct"/>
            <w:shd w:val="clear" w:color="auto" w:fill="auto"/>
          </w:tcPr>
          <w:p w14:paraId="33DACD37" w14:textId="77777777" w:rsidR="004D6A64" w:rsidRDefault="004D6A64">
            <w:pPr>
              <w:rPr>
                <w:rFonts w:ascii="宋体"/>
              </w:rPr>
            </w:pPr>
          </w:p>
        </w:tc>
        <w:tc>
          <w:tcPr>
            <w:tcW w:w="5" w:type="pct"/>
            <w:shd w:val="clear" w:color="auto" w:fill="auto"/>
          </w:tcPr>
          <w:p w14:paraId="33DACD38" w14:textId="77777777" w:rsidR="004D6A64" w:rsidRDefault="004D6A64">
            <w:pPr>
              <w:rPr>
                <w:rFonts w:ascii="宋体"/>
              </w:rPr>
            </w:pPr>
          </w:p>
        </w:tc>
        <w:tc>
          <w:tcPr>
            <w:tcW w:w="5" w:type="pct"/>
            <w:shd w:val="clear" w:color="auto" w:fill="auto"/>
          </w:tcPr>
          <w:p w14:paraId="33DACD39" w14:textId="77777777" w:rsidR="004D6A64" w:rsidRDefault="004D6A64">
            <w:pPr>
              <w:rPr>
                <w:rFonts w:ascii="宋体"/>
              </w:rPr>
            </w:pPr>
          </w:p>
        </w:tc>
        <w:tc>
          <w:tcPr>
            <w:tcW w:w="19" w:type="pct"/>
            <w:shd w:val="clear" w:color="auto" w:fill="auto"/>
          </w:tcPr>
          <w:p w14:paraId="33DACD3A" w14:textId="77777777" w:rsidR="004D6A64" w:rsidRDefault="004D6A64">
            <w:pPr>
              <w:rPr>
                <w:rFonts w:ascii="宋体"/>
              </w:rPr>
            </w:pPr>
          </w:p>
        </w:tc>
        <w:tc>
          <w:tcPr>
            <w:tcW w:w="5" w:type="pct"/>
            <w:shd w:val="clear" w:color="auto" w:fill="auto"/>
          </w:tcPr>
          <w:p w14:paraId="33DACD3B" w14:textId="77777777" w:rsidR="004D6A64" w:rsidRDefault="004D6A64">
            <w:pPr>
              <w:rPr>
                <w:rFonts w:ascii="宋体"/>
              </w:rPr>
            </w:pPr>
          </w:p>
        </w:tc>
        <w:tc>
          <w:tcPr>
            <w:tcW w:w="50" w:type="pct"/>
            <w:shd w:val="clear" w:color="auto" w:fill="auto"/>
          </w:tcPr>
          <w:p w14:paraId="33DACD3C" w14:textId="77777777" w:rsidR="004D6A64" w:rsidRDefault="004D6A64">
            <w:pPr>
              <w:rPr>
                <w:rFonts w:ascii="宋体"/>
              </w:rPr>
            </w:pPr>
          </w:p>
        </w:tc>
        <w:tc>
          <w:tcPr>
            <w:tcW w:w="625" w:type="pct"/>
            <w:shd w:val="clear" w:color="auto" w:fill="auto"/>
          </w:tcPr>
          <w:p w14:paraId="33DACD3D" w14:textId="77777777" w:rsidR="004D6A64" w:rsidRDefault="004D6A64">
            <w:pPr>
              <w:rPr>
                <w:rFonts w:ascii="宋体"/>
              </w:rPr>
            </w:pPr>
          </w:p>
        </w:tc>
        <w:tc>
          <w:tcPr>
            <w:tcW w:w="5" w:type="pct"/>
            <w:shd w:val="clear" w:color="auto" w:fill="auto"/>
          </w:tcPr>
          <w:p w14:paraId="33DACD3E" w14:textId="77777777" w:rsidR="004D6A64" w:rsidRDefault="004D6A64">
            <w:pPr>
              <w:rPr>
                <w:rFonts w:ascii="宋体"/>
              </w:rPr>
            </w:pPr>
          </w:p>
        </w:tc>
      </w:tr>
      <w:tr w:rsidR="004D6A64" w14:paraId="33DACD46" w14:textId="77777777">
        <w:trPr>
          <w:gridAfter w:val="15"/>
          <w:jc w:val="center"/>
        </w:trPr>
        <w:tc>
          <w:tcPr>
            <w:tcW w:w="0" w:type="auto"/>
            <w:gridSpan w:val="3"/>
            <w:shd w:val="clear" w:color="auto" w:fill="auto"/>
            <w:tcMar>
              <w:left w:w="20" w:type="dxa"/>
              <w:right w:w="20" w:type="dxa"/>
            </w:tcMar>
            <w:vAlign w:val="bottom"/>
          </w:tcPr>
          <w:p w14:paraId="33DACD40"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CD41" w14:textId="77777777" w:rsidR="004D6A64" w:rsidRDefault="00506CD6">
            <w:pPr>
              <w:jc w:val="center"/>
              <w:textAlignment w:val="bottom"/>
            </w:pPr>
            <w:r>
              <w:rPr>
                <w:rFonts w:ascii="Times New Roman" w:eastAsia="宋体" w:hAnsi="Times New Roman"/>
                <w:b/>
                <w:bCs/>
                <w:color w:val="000000"/>
                <w:sz w:val="20"/>
                <w:szCs w:val="20"/>
              </w:rPr>
              <w:t>Authorized</w:t>
            </w:r>
          </w:p>
        </w:tc>
        <w:tc>
          <w:tcPr>
            <w:tcW w:w="0" w:type="auto"/>
            <w:gridSpan w:val="3"/>
            <w:shd w:val="clear" w:color="auto" w:fill="auto"/>
            <w:tcMar>
              <w:left w:w="20" w:type="dxa"/>
              <w:right w:w="20" w:type="dxa"/>
            </w:tcMar>
            <w:vAlign w:val="bottom"/>
          </w:tcPr>
          <w:p w14:paraId="33DACD42" w14:textId="77777777" w:rsidR="004D6A64" w:rsidRDefault="004D6A6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3DACD43" w14:textId="77777777" w:rsidR="004D6A64" w:rsidRDefault="00506CD6">
            <w:pPr>
              <w:jc w:val="center"/>
              <w:textAlignment w:val="bottom"/>
            </w:pPr>
            <w:r>
              <w:rPr>
                <w:rFonts w:ascii="Times New Roman" w:eastAsia="宋体" w:hAnsi="Times New Roman"/>
                <w:b/>
                <w:bCs/>
                <w:color w:val="000000"/>
                <w:sz w:val="20"/>
                <w:szCs w:val="20"/>
              </w:rPr>
              <w:t>Issued</w:t>
            </w:r>
          </w:p>
        </w:tc>
        <w:tc>
          <w:tcPr>
            <w:tcW w:w="0" w:type="auto"/>
            <w:gridSpan w:val="3"/>
            <w:shd w:val="clear" w:color="auto" w:fill="auto"/>
            <w:tcMar>
              <w:left w:w="20" w:type="dxa"/>
              <w:right w:w="20" w:type="dxa"/>
            </w:tcMar>
            <w:vAlign w:val="bottom"/>
          </w:tcPr>
          <w:p w14:paraId="33DACD44" w14:textId="77777777" w:rsidR="004D6A64" w:rsidRDefault="004D6A6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3DACD45" w14:textId="77777777" w:rsidR="004D6A64" w:rsidRDefault="00506CD6">
            <w:pPr>
              <w:jc w:val="center"/>
              <w:textAlignment w:val="bottom"/>
            </w:pPr>
            <w:r>
              <w:rPr>
                <w:rFonts w:ascii="Times New Roman" w:eastAsia="宋体" w:hAnsi="Times New Roman"/>
                <w:b/>
                <w:bCs/>
                <w:color w:val="000000"/>
                <w:sz w:val="20"/>
                <w:szCs w:val="20"/>
              </w:rPr>
              <w:t>Outstanding</w:t>
            </w:r>
          </w:p>
        </w:tc>
      </w:tr>
      <w:tr w:rsidR="004D6A64" w14:paraId="33DACD4D" w14:textId="77777777">
        <w:trPr>
          <w:gridAfter w:val="3"/>
          <w:jc w:val="center"/>
        </w:trPr>
        <w:tc>
          <w:tcPr>
            <w:tcW w:w="0" w:type="auto"/>
            <w:gridSpan w:val="3"/>
            <w:shd w:val="clear" w:color="auto" w:fill="auto"/>
            <w:tcMar>
              <w:left w:w="20" w:type="dxa"/>
              <w:right w:w="20" w:type="dxa"/>
            </w:tcMar>
            <w:vAlign w:val="bottom"/>
          </w:tcPr>
          <w:p w14:paraId="33DACD47" w14:textId="77777777" w:rsidR="004D6A64" w:rsidRDefault="004D6A64">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center"/>
          </w:tcPr>
          <w:p w14:paraId="33DACD48" w14:textId="77777777" w:rsidR="004D6A64" w:rsidRDefault="00506CD6">
            <w:pPr>
              <w:jc w:val="center"/>
              <w:textAlignment w:val="center"/>
            </w:pPr>
            <w:r>
              <w:rPr>
                <w:rFonts w:ascii="Times New Roman" w:eastAsia="宋体" w:hAnsi="Times New Roman"/>
                <w:color w:val="000000"/>
                <w:sz w:val="20"/>
                <w:szCs w:val="20"/>
              </w:rPr>
              <w:t xml:space="preserve">(in </w:t>
            </w:r>
            <w:r>
              <w:rPr>
                <w:rFonts w:ascii="Times New Roman" w:eastAsia="宋体" w:hAnsi="Times New Roman"/>
                <w:color w:val="000000"/>
                <w:sz w:val="20"/>
                <w:szCs w:val="20"/>
              </w:rPr>
              <w:t>millions)</w:t>
            </w:r>
          </w:p>
        </w:tc>
        <w:tc>
          <w:tcPr>
            <w:tcW w:w="0" w:type="auto"/>
            <w:gridSpan w:val="3"/>
            <w:shd w:val="clear" w:color="auto" w:fill="auto"/>
          </w:tcPr>
          <w:p w14:paraId="33DACD49" w14:textId="77777777" w:rsidR="004D6A64" w:rsidRDefault="004D6A64">
            <w:pPr>
              <w:rPr>
                <w:rFonts w:ascii="宋体"/>
                <w:vanish/>
              </w:rPr>
            </w:pPr>
          </w:p>
        </w:tc>
        <w:tc>
          <w:tcPr>
            <w:tcW w:w="0" w:type="auto"/>
            <w:gridSpan w:val="3"/>
            <w:shd w:val="clear" w:color="auto" w:fill="auto"/>
          </w:tcPr>
          <w:p w14:paraId="33DACD4A" w14:textId="77777777" w:rsidR="004D6A64" w:rsidRDefault="004D6A64">
            <w:pPr>
              <w:rPr>
                <w:rFonts w:ascii="宋体"/>
                <w:vanish/>
              </w:rPr>
            </w:pPr>
          </w:p>
        </w:tc>
        <w:tc>
          <w:tcPr>
            <w:tcW w:w="0" w:type="auto"/>
            <w:gridSpan w:val="3"/>
            <w:shd w:val="clear" w:color="auto" w:fill="auto"/>
          </w:tcPr>
          <w:p w14:paraId="33DACD4B" w14:textId="77777777" w:rsidR="004D6A64" w:rsidRDefault="004D6A64">
            <w:pPr>
              <w:rPr>
                <w:rFonts w:ascii="宋体"/>
                <w:vanish/>
              </w:rPr>
            </w:pPr>
          </w:p>
        </w:tc>
        <w:tc>
          <w:tcPr>
            <w:tcW w:w="0" w:type="auto"/>
            <w:gridSpan w:val="3"/>
            <w:shd w:val="clear" w:color="auto" w:fill="auto"/>
          </w:tcPr>
          <w:p w14:paraId="33DACD4C" w14:textId="77777777" w:rsidR="004D6A64" w:rsidRDefault="004D6A64">
            <w:pPr>
              <w:rPr>
                <w:rFonts w:ascii="宋体"/>
                <w:vanish/>
              </w:rPr>
            </w:pPr>
          </w:p>
        </w:tc>
      </w:tr>
      <w:tr w:rsidR="004D6A64" w14:paraId="33DACD54" w14:textId="77777777">
        <w:trPr>
          <w:jc w:val="center"/>
        </w:trPr>
        <w:tc>
          <w:tcPr>
            <w:tcW w:w="0" w:type="auto"/>
            <w:gridSpan w:val="18"/>
            <w:shd w:val="clear" w:color="auto" w:fill="CCEEFF"/>
            <w:tcMar>
              <w:top w:w="40" w:type="dxa"/>
              <w:left w:w="20" w:type="dxa"/>
              <w:bottom w:w="40" w:type="dxa"/>
              <w:right w:w="20" w:type="dxa"/>
            </w:tcMar>
            <w:vAlign w:val="center"/>
          </w:tcPr>
          <w:p w14:paraId="33DACD4E" w14:textId="77777777" w:rsidR="004D6A64" w:rsidRDefault="00506CD6">
            <w:pPr>
              <w:textAlignment w:val="center"/>
            </w:pPr>
            <w:r>
              <w:rPr>
                <w:rFonts w:ascii="Times New Roman" w:eastAsia="宋体" w:hAnsi="Times New Roman"/>
                <w:i/>
                <w:iCs/>
                <w:color w:val="000000"/>
                <w:sz w:val="20"/>
                <w:szCs w:val="20"/>
              </w:rPr>
              <w:t>Common stock as of July 31, 2020</w:t>
            </w:r>
          </w:p>
        </w:tc>
        <w:tc>
          <w:tcPr>
            <w:tcW w:w="0" w:type="auto"/>
            <w:gridSpan w:val="3"/>
            <w:shd w:val="clear" w:color="auto" w:fill="auto"/>
          </w:tcPr>
          <w:p w14:paraId="33DACD4F" w14:textId="77777777" w:rsidR="004D6A64" w:rsidRDefault="004D6A64">
            <w:pPr>
              <w:rPr>
                <w:rFonts w:ascii="宋体"/>
                <w:vanish/>
              </w:rPr>
            </w:pPr>
          </w:p>
        </w:tc>
        <w:tc>
          <w:tcPr>
            <w:tcW w:w="0" w:type="auto"/>
            <w:gridSpan w:val="3"/>
            <w:shd w:val="clear" w:color="auto" w:fill="auto"/>
          </w:tcPr>
          <w:p w14:paraId="33DACD50" w14:textId="77777777" w:rsidR="004D6A64" w:rsidRDefault="004D6A64">
            <w:pPr>
              <w:rPr>
                <w:rFonts w:ascii="宋体"/>
                <w:vanish/>
              </w:rPr>
            </w:pPr>
          </w:p>
        </w:tc>
        <w:tc>
          <w:tcPr>
            <w:tcW w:w="0" w:type="auto"/>
            <w:gridSpan w:val="3"/>
            <w:shd w:val="clear" w:color="auto" w:fill="auto"/>
          </w:tcPr>
          <w:p w14:paraId="33DACD51" w14:textId="77777777" w:rsidR="004D6A64" w:rsidRDefault="004D6A64">
            <w:pPr>
              <w:rPr>
                <w:rFonts w:ascii="宋体"/>
                <w:vanish/>
              </w:rPr>
            </w:pPr>
          </w:p>
        </w:tc>
        <w:tc>
          <w:tcPr>
            <w:tcW w:w="0" w:type="auto"/>
            <w:gridSpan w:val="3"/>
            <w:shd w:val="clear" w:color="auto" w:fill="auto"/>
          </w:tcPr>
          <w:p w14:paraId="33DACD52" w14:textId="77777777" w:rsidR="004D6A64" w:rsidRDefault="004D6A64">
            <w:pPr>
              <w:rPr>
                <w:rFonts w:ascii="宋体"/>
                <w:vanish/>
              </w:rPr>
            </w:pPr>
          </w:p>
        </w:tc>
        <w:tc>
          <w:tcPr>
            <w:tcW w:w="0" w:type="auto"/>
            <w:gridSpan w:val="3"/>
            <w:shd w:val="clear" w:color="auto" w:fill="auto"/>
          </w:tcPr>
          <w:p w14:paraId="33DACD53" w14:textId="77777777" w:rsidR="004D6A64" w:rsidRDefault="004D6A64">
            <w:pPr>
              <w:rPr>
                <w:rFonts w:ascii="宋体"/>
                <w:vanish/>
              </w:rPr>
            </w:pPr>
          </w:p>
        </w:tc>
      </w:tr>
      <w:tr w:rsidR="004D6A64" w14:paraId="33DACD6D" w14:textId="77777777">
        <w:trPr>
          <w:jc w:val="center"/>
        </w:trPr>
        <w:tc>
          <w:tcPr>
            <w:tcW w:w="0" w:type="auto"/>
            <w:gridSpan w:val="3"/>
            <w:shd w:val="clear" w:color="auto" w:fill="FFFFFF"/>
            <w:tcMar>
              <w:top w:w="40" w:type="dxa"/>
              <w:left w:w="135" w:type="dxa"/>
              <w:bottom w:w="40" w:type="dxa"/>
              <w:right w:w="20" w:type="dxa"/>
            </w:tcMar>
            <w:vAlign w:val="center"/>
          </w:tcPr>
          <w:p w14:paraId="33DACD55" w14:textId="77777777" w:rsidR="004D6A64" w:rsidRDefault="00506CD6">
            <w:pPr>
              <w:textAlignment w:val="center"/>
            </w:pPr>
            <w:r>
              <w:rPr>
                <w:rFonts w:ascii="Times New Roman" w:eastAsia="宋体" w:hAnsi="Times New Roman"/>
                <w:color w:val="000000"/>
                <w:sz w:val="20"/>
                <w:szCs w:val="20"/>
              </w:rPr>
              <w:t>Class A</w:t>
            </w:r>
          </w:p>
        </w:tc>
        <w:tc>
          <w:tcPr>
            <w:tcW w:w="0" w:type="auto"/>
            <w:gridSpan w:val="2"/>
            <w:shd w:val="clear" w:color="auto" w:fill="FFFFFF"/>
            <w:tcMar>
              <w:top w:w="40" w:type="dxa"/>
              <w:left w:w="20" w:type="dxa"/>
              <w:bottom w:w="40" w:type="dxa"/>
              <w:right w:w="0" w:type="dxa"/>
            </w:tcMar>
            <w:vAlign w:val="center"/>
          </w:tcPr>
          <w:p w14:paraId="33DACD56" w14:textId="77777777" w:rsidR="004D6A64" w:rsidRDefault="00506CD6">
            <w:pPr>
              <w:jc w:val="right"/>
              <w:textAlignment w:val="center"/>
            </w:pPr>
            <w:r>
              <w:rPr>
                <w:rFonts w:ascii="Times New Roman" w:eastAsia="宋体" w:hAnsi="Times New Roman"/>
                <w:color w:val="000000"/>
                <w:sz w:val="20"/>
                <w:szCs w:val="20"/>
              </w:rPr>
              <w:t>600 </w:t>
            </w:r>
          </w:p>
        </w:tc>
        <w:tc>
          <w:tcPr>
            <w:tcW w:w="0" w:type="auto"/>
            <w:shd w:val="clear" w:color="auto" w:fill="FFFFFF"/>
            <w:tcMar>
              <w:top w:w="40" w:type="dxa"/>
              <w:bottom w:w="40" w:type="dxa"/>
              <w:right w:w="20" w:type="dxa"/>
            </w:tcMar>
            <w:vAlign w:val="center"/>
          </w:tcPr>
          <w:p w14:paraId="33DACD5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D58"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D59" w14:textId="77777777" w:rsidR="004D6A64" w:rsidRDefault="00506CD6">
            <w:pPr>
              <w:jc w:val="right"/>
              <w:textAlignment w:val="center"/>
            </w:pPr>
            <w:r>
              <w:rPr>
                <w:rFonts w:ascii="Times New Roman" w:eastAsia="宋体" w:hAnsi="Times New Roman"/>
                <w:color w:val="000000"/>
                <w:sz w:val="20"/>
                <w:szCs w:val="20"/>
              </w:rPr>
              <w:t>385 </w:t>
            </w:r>
          </w:p>
        </w:tc>
        <w:tc>
          <w:tcPr>
            <w:tcW w:w="0" w:type="auto"/>
            <w:shd w:val="clear" w:color="auto" w:fill="FFFFFF"/>
            <w:tcMar>
              <w:top w:w="40" w:type="dxa"/>
              <w:bottom w:w="40" w:type="dxa"/>
              <w:right w:w="20" w:type="dxa"/>
            </w:tcMar>
            <w:vAlign w:val="center"/>
          </w:tcPr>
          <w:p w14:paraId="33DACD5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D5B"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D5C" w14:textId="77777777" w:rsidR="004D6A64" w:rsidRDefault="00506CD6">
            <w:pPr>
              <w:jc w:val="right"/>
              <w:textAlignment w:val="center"/>
            </w:pPr>
            <w:r>
              <w:rPr>
                <w:rFonts w:ascii="Times New Roman" w:eastAsia="宋体" w:hAnsi="Times New Roman"/>
                <w:color w:val="000000"/>
                <w:sz w:val="20"/>
                <w:szCs w:val="20"/>
              </w:rPr>
              <w:t>385 </w:t>
            </w:r>
          </w:p>
        </w:tc>
        <w:tc>
          <w:tcPr>
            <w:tcW w:w="0" w:type="auto"/>
            <w:shd w:val="clear" w:color="auto" w:fill="FFFFFF"/>
            <w:tcMar>
              <w:top w:w="40" w:type="dxa"/>
              <w:bottom w:w="40" w:type="dxa"/>
              <w:right w:w="20" w:type="dxa"/>
            </w:tcMar>
            <w:vAlign w:val="center"/>
          </w:tcPr>
          <w:p w14:paraId="33DACD5D" w14:textId="77777777" w:rsidR="004D6A64" w:rsidRDefault="004D6A64">
            <w:pPr>
              <w:jc w:val="right"/>
              <w:rPr>
                <w:rFonts w:ascii="宋体"/>
              </w:rPr>
            </w:pPr>
          </w:p>
        </w:tc>
        <w:tc>
          <w:tcPr>
            <w:tcW w:w="0" w:type="auto"/>
            <w:shd w:val="clear" w:color="auto" w:fill="auto"/>
          </w:tcPr>
          <w:p w14:paraId="33DACD5E" w14:textId="77777777" w:rsidR="004D6A64" w:rsidRDefault="004D6A64">
            <w:pPr>
              <w:rPr>
                <w:rFonts w:ascii="宋体"/>
              </w:rPr>
            </w:pPr>
          </w:p>
        </w:tc>
        <w:tc>
          <w:tcPr>
            <w:tcW w:w="0" w:type="auto"/>
            <w:shd w:val="clear" w:color="auto" w:fill="auto"/>
          </w:tcPr>
          <w:p w14:paraId="33DACD5F" w14:textId="77777777" w:rsidR="004D6A64" w:rsidRDefault="004D6A64">
            <w:pPr>
              <w:rPr>
                <w:rFonts w:ascii="宋体"/>
              </w:rPr>
            </w:pPr>
          </w:p>
        </w:tc>
        <w:tc>
          <w:tcPr>
            <w:tcW w:w="0" w:type="auto"/>
            <w:shd w:val="clear" w:color="auto" w:fill="auto"/>
          </w:tcPr>
          <w:p w14:paraId="33DACD60" w14:textId="77777777" w:rsidR="004D6A64" w:rsidRDefault="004D6A64">
            <w:pPr>
              <w:rPr>
                <w:rFonts w:ascii="宋体"/>
              </w:rPr>
            </w:pPr>
          </w:p>
        </w:tc>
        <w:tc>
          <w:tcPr>
            <w:tcW w:w="0" w:type="auto"/>
            <w:shd w:val="clear" w:color="auto" w:fill="auto"/>
          </w:tcPr>
          <w:p w14:paraId="33DACD61" w14:textId="77777777" w:rsidR="004D6A64" w:rsidRDefault="004D6A64">
            <w:pPr>
              <w:rPr>
                <w:rFonts w:ascii="宋体"/>
              </w:rPr>
            </w:pPr>
          </w:p>
        </w:tc>
        <w:tc>
          <w:tcPr>
            <w:tcW w:w="0" w:type="auto"/>
            <w:shd w:val="clear" w:color="auto" w:fill="auto"/>
          </w:tcPr>
          <w:p w14:paraId="33DACD62" w14:textId="77777777" w:rsidR="004D6A64" w:rsidRDefault="004D6A64">
            <w:pPr>
              <w:rPr>
                <w:rFonts w:ascii="宋体"/>
              </w:rPr>
            </w:pPr>
          </w:p>
        </w:tc>
        <w:tc>
          <w:tcPr>
            <w:tcW w:w="0" w:type="auto"/>
            <w:shd w:val="clear" w:color="auto" w:fill="auto"/>
          </w:tcPr>
          <w:p w14:paraId="33DACD63" w14:textId="77777777" w:rsidR="004D6A64" w:rsidRDefault="004D6A64">
            <w:pPr>
              <w:rPr>
                <w:rFonts w:ascii="宋体"/>
              </w:rPr>
            </w:pPr>
          </w:p>
        </w:tc>
        <w:tc>
          <w:tcPr>
            <w:tcW w:w="0" w:type="auto"/>
            <w:shd w:val="clear" w:color="auto" w:fill="auto"/>
          </w:tcPr>
          <w:p w14:paraId="33DACD64" w14:textId="77777777" w:rsidR="004D6A64" w:rsidRDefault="004D6A64">
            <w:pPr>
              <w:rPr>
                <w:rFonts w:ascii="宋体"/>
              </w:rPr>
            </w:pPr>
          </w:p>
        </w:tc>
        <w:tc>
          <w:tcPr>
            <w:tcW w:w="0" w:type="auto"/>
            <w:shd w:val="clear" w:color="auto" w:fill="auto"/>
          </w:tcPr>
          <w:p w14:paraId="33DACD65" w14:textId="77777777" w:rsidR="004D6A64" w:rsidRDefault="004D6A64">
            <w:pPr>
              <w:rPr>
                <w:rFonts w:ascii="宋体"/>
              </w:rPr>
            </w:pPr>
          </w:p>
        </w:tc>
        <w:tc>
          <w:tcPr>
            <w:tcW w:w="0" w:type="auto"/>
            <w:shd w:val="clear" w:color="auto" w:fill="auto"/>
          </w:tcPr>
          <w:p w14:paraId="33DACD66" w14:textId="77777777" w:rsidR="004D6A64" w:rsidRDefault="004D6A64">
            <w:pPr>
              <w:rPr>
                <w:rFonts w:ascii="宋体"/>
              </w:rPr>
            </w:pPr>
          </w:p>
        </w:tc>
        <w:tc>
          <w:tcPr>
            <w:tcW w:w="0" w:type="auto"/>
            <w:shd w:val="clear" w:color="auto" w:fill="auto"/>
          </w:tcPr>
          <w:p w14:paraId="33DACD67" w14:textId="77777777" w:rsidR="004D6A64" w:rsidRDefault="004D6A64">
            <w:pPr>
              <w:rPr>
                <w:rFonts w:ascii="宋体"/>
              </w:rPr>
            </w:pPr>
          </w:p>
        </w:tc>
        <w:tc>
          <w:tcPr>
            <w:tcW w:w="0" w:type="auto"/>
            <w:shd w:val="clear" w:color="auto" w:fill="auto"/>
          </w:tcPr>
          <w:p w14:paraId="33DACD68" w14:textId="77777777" w:rsidR="004D6A64" w:rsidRDefault="004D6A64">
            <w:pPr>
              <w:rPr>
                <w:rFonts w:ascii="宋体"/>
              </w:rPr>
            </w:pPr>
          </w:p>
        </w:tc>
        <w:tc>
          <w:tcPr>
            <w:tcW w:w="0" w:type="auto"/>
            <w:shd w:val="clear" w:color="auto" w:fill="auto"/>
          </w:tcPr>
          <w:p w14:paraId="33DACD69" w14:textId="77777777" w:rsidR="004D6A64" w:rsidRDefault="004D6A64">
            <w:pPr>
              <w:rPr>
                <w:rFonts w:ascii="宋体"/>
              </w:rPr>
            </w:pPr>
          </w:p>
        </w:tc>
        <w:tc>
          <w:tcPr>
            <w:tcW w:w="0" w:type="auto"/>
            <w:shd w:val="clear" w:color="auto" w:fill="auto"/>
          </w:tcPr>
          <w:p w14:paraId="33DACD6A" w14:textId="77777777" w:rsidR="004D6A64" w:rsidRDefault="004D6A64">
            <w:pPr>
              <w:rPr>
                <w:rFonts w:ascii="宋体"/>
              </w:rPr>
            </w:pPr>
          </w:p>
        </w:tc>
        <w:tc>
          <w:tcPr>
            <w:tcW w:w="0" w:type="auto"/>
            <w:shd w:val="clear" w:color="auto" w:fill="auto"/>
          </w:tcPr>
          <w:p w14:paraId="33DACD6B" w14:textId="77777777" w:rsidR="004D6A64" w:rsidRDefault="004D6A64">
            <w:pPr>
              <w:rPr>
                <w:rFonts w:ascii="宋体"/>
              </w:rPr>
            </w:pPr>
          </w:p>
        </w:tc>
        <w:tc>
          <w:tcPr>
            <w:tcW w:w="0" w:type="auto"/>
            <w:shd w:val="clear" w:color="auto" w:fill="auto"/>
          </w:tcPr>
          <w:p w14:paraId="33DACD6C" w14:textId="77777777" w:rsidR="004D6A64" w:rsidRDefault="004D6A64">
            <w:pPr>
              <w:rPr>
                <w:rFonts w:ascii="宋体"/>
              </w:rPr>
            </w:pPr>
          </w:p>
        </w:tc>
      </w:tr>
      <w:tr w:rsidR="004D6A64" w14:paraId="33DACD86" w14:textId="77777777">
        <w:trPr>
          <w:jc w:val="center"/>
        </w:trPr>
        <w:tc>
          <w:tcPr>
            <w:tcW w:w="0" w:type="auto"/>
            <w:gridSpan w:val="3"/>
            <w:shd w:val="clear" w:color="auto" w:fill="CCEEFF"/>
            <w:tcMar>
              <w:top w:w="40" w:type="dxa"/>
              <w:left w:w="135" w:type="dxa"/>
              <w:bottom w:w="40" w:type="dxa"/>
              <w:right w:w="20" w:type="dxa"/>
            </w:tcMar>
            <w:vAlign w:val="center"/>
          </w:tcPr>
          <w:p w14:paraId="33DACD6E" w14:textId="77777777" w:rsidR="004D6A64" w:rsidRDefault="00506CD6">
            <w:pPr>
              <w:textAlignment w:val="center"/>
            </w:pPr>
            <w:r>
              <w:rPr>
                <w:rFonts w:ascii="Times New Roman" w:eastAsia="宋体" w:hAnsi="Times New Roman"/>
                <w:color w:val="000000"/>
                <w:sz w:val="20"/>
                <w:szCs w:val="20"/>
              </w:rPr>
              <w:t>Class B</w:t>
            </w:r>
          </w:p>
        </w:tc>
        <w:tc>
          <w:tcPr>
            <w:tcW w:w="0" w:type="auto"/>
            <w:gridSpan w:val="2"/>
            <w:shd w:val="clear" w:color="auto" w:fill="CCEEFF"/>
            <w:tcMar>
              <w:top w:w="40" w:type="dxa"/>
              <w:left w:w="20" w:type="dxa"/>
              <w:bottom w:w="40" w:type="dxa"/>
              <w:right w:w="0" w:type="dxa"/>
            </w:tcMar>
            <w:vAlign w:val="center"/>
          </w:tcPr>
          <w:p w14:paraId="33DACD6F" w14:textId="77777777" w:rsidR="004D6A64" w:rsidRDefault="00506CD6">
            <w:pPr>
              <w:jc w:val="right"/>
              <w:textAlignment w:val="center"/>
            </w:pPr>
            <w:r>
              <w:rPr>
                <w:rFonts w:ascii="Times New Roman" w:eastAsia="宋体" w:hAnsi="Times New Roman"/>
                <w:color w:val="000000"/>
                <w:sz w:val="20"/>
                <w:szCs w:val="20"/>
              </w:rPr>
              <w:t>200 </w:t>
            </w:r>
          </w:p>
        </w:tc>
        <w:tc>
          <w:tcPr>
            <w:tcW w:w="0" w:type="auto"/>
            <w:shd w:val="clear" w:color="auto" w:fill="CCEEFF"/>
            <w:tcMar>
              <w:top w:w="40" w:type="dxa"/>
              <w:bottom w:w="40" w:type="dxa"/>
              <w:right w:w="20" w:type="dxa"/>
            </w:tcMar>
            <w:vAlign w:val="center"/>
          </w:tcPr>
          <w:p w14:paraId="33DACD7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D71"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D72" w14:textId="77777777" w:rsidR="004D6A64" w:rsidRDefault="00506CD6">
            <w:pPr>
              <w:jc w:val="right"/>
              <w:textAlignment w:val="center"/>
            </w:pPr>
            <w:r>
              <w:rPr>
                <w:rFonts w:ascii="Times New Roman" w:eastAsia="宋体" w:hAnsi="Times New Roman"/>
                <w:color w:val="000000"/>
                <w:sz w:val="20"/>
                <w:szCs w:val="20"/>
              </w:rPr>
              <w:t>102 </w:t>
            </w:r>
          </w:p>
        </w:tc>
        <w:tc>
          <w:tcPr>
            <w:tcW w:w="0" w:type="auto"/>
            <w:shd w:val="clear" w:color="auto" w:fill="CCEEFF"/>
            <w:tcMar>
              <w:top w:w="40" w:type="dxa"/>
              <w:bottom w:w="40" w:type="dxa"/>
              <w:right w:w="20" w:type="dxa"/>
            </w:tcMar>
            <w:vAlign w:val="center"/>
          </w:tcPr>
          <w:p w14:paraId="33DACD7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D74"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D75" w14:textId="77777777" w:rsidR="004D6A64" w:rsidRDefault="00506CD6">
            <w:pPr>
              <w:jc w:val="right"/>
              <w:textAlignment w:val="center"/>
            </w:pPr>
            <w:r>
              <w:rPr>
                <w:rFonts w:ascii="Times New Roman" w:eastAsia="宋体" w:hAnsi="Times New Roman"/>
                <w:color w:val="000000"/>
                <w:sz w:val="20"/>
                <w:szCs w:val="20"/>
              </w:rPr>
              <w:t>102 </w:t>
            </w:r>
          </w:p>
        </w:tc>
        <w:tc>
          <w:tcPr>
            <w:tcW w:w="0" w:type="auto"/>
            <w:shd w:val="clear" w:color="auto" w:fill="CCEEFF"/>
            <w:tcMar>
              <w:top w:w="40" w:type="dxa"/>
              <w:bottom w:w="40" w:type="dxa"/>
              <w:right w:w="20" w:type="dxa"/>
            </w:tcMar>
            <w:vAlign w:val="center"/>
          </w:tcPr>
          <w:p w14:paraId="33DACD76" w14:textId="77777777" w:rsidR="004D6A64" w:rsidRDefault="004D6A64">
            <w:pPr>
              <w:jc w:val="right"/>
              <w:rPr>
                <w:rFonts w:ascii="宋体"/>
              </w:rPr>
            </w:pPr>
          </w:p>
        </w:tc>
        <w:tc>
          <w:tcPr>
            <w:tcW w:w="0" w:type="auto"/>
            <w:shd w:val="clear" w:color="auto" w:fill="auto"/>
          </w:tcPr>
          <w:p w14:paraId="33DACD77" w14:textId="77777777" w:rsidR="004D6A64" w:rsidRDefault="004D6A64">
            <w:pPr>
              <w:rPr>
                <w:rFonts w:ascii="宋体"/>
              </w:rPr>
            </w:pPr>
          </w:p>
        </w:tc>
        <w:tc>
          <w:tcPr>
            <w:tcW w:w="0" w:type="auto"/>
            <w:shd w:val="clear" w:color="auto" w:fill="auto"/>
          </w:tcPr>
          <w:p w14:paraId="33DACD78" w14:textId="77777777" w:rsidR="004D6A64" w:rsidRDefault="004D6A64">
            <w:pPr>
              <w:rPr>
                <w:rFonts w:ascii="宋体"/>
              </w:rPr>
            </w:pPr>
          </w:p>
        </w:tc>
        <w:tc>
          <w:tcPr>
            <w:tcW w:w="0" w:type="auto"/>
            <w:shd w:val="clear" w:color="auto" w:fill="auto"/>
          </w:tcPr>
          <w:p w14:paraId="33DACD79" w14:textId="77777777" w:rsidR="004D6A64" w:rsidRDefault="004D6A64">
            <w:pPr>
              <w:rPr>
                <w:rFonts w:ascii="宋体"/>
              </w:rPr>
            </w:pPr>
          </w:p>
        </w:tc>
        <w:tc>
          <w:tcPr>
            <w:tcW w:w="0" w:type="auto"/>
            <w:shd w:val="clear" w:color="auto" w:fill="auto"/>
          </w:tcPr>
          <w:p w14:paraId="33DACD7A" w14:textId="77777777" w:rsidR="004D6A64" w:rsidRDefault="004D6A64">
            <w:pPr>
              <w:rPr>
                <w:rFonts w:ascii="宋体"/>
              </w:rPr>
            </w:pPr>
          </w:p>
        </w:tc>
        <w:tc>
          <w:tcPr>
            <w:tcW w:w="0" w:type="auto"/>
            <w:shd w:val="clear" w:color="auto" w:fill="auto"/>
          </w:tcPr>
          <w:p w14:paraId="33DACD7B" w14:textId="77777777" w:rsidR="004D6A64" w:rsidRDefault="004D6A64">
            <w:pPr>
              <w:rPr>
                <w:rFonts w:ascii="宋体"/>
              </w:rPr>
            </w:pPr>
          </w:p>
        </w:tc>
        <w:tc>
          <w:tcPr>
            <w:tcW w:w="0" w:type="auto"/>
            <w:shd w:val="clear" w:color="auto" w:fill="auto"/>
          </w:tcPr>
          <w:p w14:paraId="33DACD7C" w14:textId="77777777" w:rsidR="004D6A64" w:rsidRDefault="004D6A64">
            <w:pPr>
              <w:rPr>
                <w:rFonts w:ascii="宋体"/>
              </w:rPr>
            </w:pPr>
          </w:p>
        </w:tc>
        <w:tc>
          <w:tcPr>
            <w:tcW w:w="0" w:type="auto"/>
            <w:shd w:val="clear" w:color="auto" w:fill="auto"/>
          </w:tcPr>
          <w:p w14:paraId="33DACD7D" w14:textId="77777777" w:rsidR="004D6A64" w:rsidRDefault="004D6A64">
            <w:pPr>
              <w:rPr>
                <w:rFonts w:ascii="宋体"/>
              </w:rPr>
            </w:pPr>
          </w:p>
        </w:tc>
        <w:tc>
          <w:tcPr>
            <w:tcW w:w="0" w:type="auto"/>
            <w:shd w:val="clear" w:color="auto" w:fill="auto"/>
          </w:tcPr>
          <w:p w14:paraId="33DACD7E" w14:textId="77777777" w:rsidR="004D6A64" w:rsidRDefault="004D6A64">
            <w:pPr>
              <w:rPr>
                <w:rFonts w:ascii="宋体"/>
              </w:rPr>
            </w:pPr>
          </w:p>
        </w:tc>
        <w:tc>
          <w:tcPr>
            <w:tcW w:w="0" w:type="auto"/>
            <w:shd w:val="clear" w:color="auto" w:fill="auto"/>
          </w:tcPr>
          <w:p w14:paraId="33DACD7F" w14:textId="77777777" w:rsidR="004D6A64" w:rsidRDefault="004D6A64">
            <w:pPr>
              <w:rPr>
                <w:rFonts w:ascii="宋体"/>
              </w:rPr>
            </w:pPr>
          </w:p>
        </w:tc>
        <w:tc>
          <w:tcPr>
            <w:tcW w:w="0" w:type="auto"/>
            <w:shd w:val="clear" w:color="auto" w:fill="auto"/>
          </w:tcPr>
          <w:p w14:paraId="33DACD80" w14:textId="77777777" w:rsidR="004D6A64" w:rsidRDefault="004D6A64">
            <w:pPr>
              <w:rPr>
                <w:rFonts w:ascii="宋体"/>
              </w:rPr>
            </w:pPr>
          </w:p>
        </w:tc>
        <w:tc>
          <w:tcPr>
            <w:tcW w:w="0" w:type="auto"/>
            <w:shd w:val="clear" w:color="auto" w:fill="auto"/>
          </w:tcPr>
          <w:p w14:paraId="33DACD81" w14:textId="77777777" w:rsidR="004D6A64" w:rsidRDefault="004D6A64">
            <w:pPr>
              <w:rPr>
                <w:rFonts w:ascii="宋体"/>
              </w:rPr>
            </w:pPr>
          </w:p>
        </w:tc>
        <w:tc>
          <w:tcPr>
            <w:tcW w:w="0" w:type="auto"/>
            <w:shd w:val="clear" w:color="auto" w:fill="auto"/>
          </w:tcPr>
          <w:p w14:paraId="33DACD82" w14:textId="77777777" w:rsidR="004D6A64" w:rsidRDefault="004D6A64">
            <w:pPr>
              <w:rPr>
                <w:rFonts w:ascii="宋体"/>
              </w:rPr>
            </w:pPr>
          </w:p>
        </w:tc>
        <w:tc>
          <w:tcPr>
            <w:tcW w:w="0" w:type="auto"/>
            <w:shd w:val="clear" w:color="auto" w:fill="auto"/>
          </w:tcPr>
          <w:p w14:paraId="33DACD83" w14:textId="77777777" w:rsidR="004D6A64" w:rsidRDefault="004D6A64">
            <w:pPr>
              <w:rPr>
                <w:rFonts w:ascii="宋体"/>
              </w:rPr>
            </w:pPr>
          </w:p>
        </w:tc>
        <w:tc>
          <w:tcPr>
            <w:tcW w:w="0" w:type="auto"/>
            <w:shd w:val="clear" w:color="auto" w:fill="auto"/>
          </w:tcPr>
          <w:p w14:paraId="33DACD84" w14:textId="77777777" w:rsidR="004D6A64" w:rsidRDefault="004D6A64">
            <w:pPr>
              <w:rPr>
                <w:rFonts w:ascii="宋体"/>
              </w:rPr>
            </w:pPr>
          </w:p>
        </w:tc>
        <w:tc>
          <w:tcPr>
            <w:tcW w:w="0" w:type="auto"/>
            <w:shd w:val="clear" w:color="auto" w:fill="auto"/>
          </w:tcPr>
          <w:p w14:paraId="33DACD85" w14:textId="77777777" w:rsidR="004D6A64" w:rsidRDefault="004D6A64">
            <w:pPr>
              <w:rPr>
                <w:rFonts w:ascii="宋体"/>
              </w:rPr>
            </w:pPr>
          </w:p>
        </w:tc>
      </w:tr>
      <w:tr w:rsidR="004D6A64" w14:paraId="33DACD9F" w14:textId="77777777">
        <w:trPr>
          <w:jc w:val="center"/>
        </w:trPr>
        <w:tc>
          <w:tcPr>
            <w:tcW w:w="0" w:type="auto"/>
            <w:gridSpan w:val="3"/>
            <w:shd w:val="clear" w:color="auto" w:fill="FFFFFF"/>
            <w:tcMar>
              <w:top w:w="40" w:type="dxa"/>
              <w:left w:w="135" w:type="dxa"/>
              <w:bottom w:w="40" w:type="dxa"/>
              <w:right w:w="20" w:type="dxa"/>
            </w:tcMar>
            <w:vAlign w:val="center"/>
          </w:tcPr>
          <w:p w14:paraId="33DACD87" w14:textId="77777777" w:rsidR="004D6A64" w:rsidRDefault="00506CD6">
            <w:pPr>
              <w:textAlignment w:val="center"/>
            </w:pPr>
            <w:r>
              <w:rPr>
                <w:rFonts w:ascii="Times New Roman" w:eastAsia="宋体" w:hAnsi="Times New Roman"/>
                <w:color w:val="000000"/>
                <w:sz w:val="20"/>
                <w:szCs w:val="20"/>
              </w:rPr>
              <w:t>Class C</w:t>
            </w:r>
          </w:p>
        </w:tc>
        <w:tc>
          <w:tcPr>
            <w:tcW w:w="0" w:type="auto"/>
            <w:gridSpan w:val="2"/>
            <w:shd w:val="clear" w:color="auto" w:fill="FFFFFF"/>
            <w:tcMar>
              <w:top w:w="40" w:type="dxa"/>
              <w:left w:w="20" w:type="dxa"/>
              <w:bottom w:w="40" w:type="dxa"/>
              <w:right w:w="0" w:type="dxa"/>
            </w:tcMar>
            <w:vAlign w:val="center"/>
          </w:tcPr>
          <w:p w14:paraId="33DACD88" w14:textId="77777777" w:rsidR="004D6A64" w:rsidRDefault="00506CD6">
            <w:pPr>
              <w:jc w:val="right"/>
              <w:textAlignment w:val="center"/>
            </w:pPr>
            <w:r>
              <w:rPr>
                <w:rFonts w:ascii="Times New Roman" w:eastAsia="宋体" w:hAnsi="Times New Roman"/>
                <w:color w:val="000000"/>
                <w:sz w:val="20"/>
                <w:szCs w:val="20"/>
              </w:rPr>
              <w:t>7,900 </w:t>
            </w:r>
          </w:p>
        </w:tc>
        <w:tc>
          <w:tcPr>
            <w:tcW w:w="0" w:type="auto"/>
            <w:shd w:val="clear" w:color="auto" w:fill="FFFFFF"/>
            <w:tcMar>
              <w:top w:w="40" w:type="dxa"/>
              <w:bottom w:w="40" w:type="dxa"/>
              <w:right w:w="20" w:type="dxa"/>
            </w:tcMar>
            <w:vAlign w:val="center"/>
          </w:tcPr>
          <w:p w14:paraId="33DACD8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D8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D8B" w14:textId="77777777" w:rsidR="004D6A64" w:rsidRDefault="00506CD6">
            <w:pPr>
              <w:jc w:val="right"/>
              <w:textAlignment w:val="center"/>
            </w:pPr>
            <w:r>
              <w:rPr>
                <w:rFonts w:ascii="Times New Roman" w:eastAsia="宋体" w:hAnsi="Times New Roman"/>
                <w:color w:val="000000"/>
                <w:sz w:val="20"/>
                <w:szCs w:val="20"/>
              </w:rPr>
              <w:t>266 </w:t>
            </w:r>
          </w:p>
        </w:tc>
        <w:tc>
          <w:tcPr>
            <w:tcW w:w="0" w:type="auto"/>
            <w:shd w:val="clear" w:color="auto" w:fill="FFFFFF"/>
            <w:tcMar>
              <w:top w:w="40" w:type="dxa"/>
              <w:bottom w:w="40" w:type="dxa"/>
              <w:right w:w="20" w:type="dxa"/>
            </w:tcMar>
            <w:vAlign w:val="center"/>
          </w:tcPr>
          <w:p w14:paraId="33DACD8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D8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D8E" w14:textId="77777777" w:rsidR="004D6A64" w:rsidRDefault="00506CD6">
            <w:pPr>
              <w:jc w:val="right"/>
              <w:textAlignment w:val="center"/>
            </w:pPr>
            <w:r>
              <w:rPr>
                <w:rFonts w:ascii="Times New Roman" w:eastAsia="宋体" w:hAnsi="Times New Roman"/>
                <w:color w:val="000000"/>
                <w:sz w:val="20"/>
                <w:szCs w:val="20"/>
              </w:rPr>
              <w:t>258 </w:t>
            </w:r>
          </w:p>
        </w:tc>
        <w:tc>
          <w:tcPr>
            <w:tcW w:w="0" w:type="auto"/>
            <w:shd w:val="clear" w:color="auto" w:fill="FFFFFF"/>
            <w:tcMar>
              <w:top w:w="40" w:type="dxa"/>
              <w:bottom w:w="40" w:type="dxa"/>
              <w:right w:w="20" w:type="dxa"/>
            </w:tcMar>
            <w:vAlign w:val="center"/>
          </w:tcPr>
          <w:p w14:paraId="33DACD8F" w14:textId="77777777" w:rsidR="004D6A64" w:rsidRDefault="004D6A64">
            <w:pPr>
              <w:jc w:val="right"/>
              <w:rPr>
                <w:rFonts w:ascii="宋体"/>
              </w:rPr>
            </w:pPr>
          </w:p>
        </w:tc>
        <w:tc>
          <w:tcPr>
            <w:tcW w:w="0" w:type="auto"/>
            <w:shd w:val="clear" w:color="auto" w:fill="auto"/>
          </w:tcPr>
          <w:p w14:paraId="33DACD90" w14:textId="77777777" w:rsidR="004D6A64" w:rsidRDefault="004D6A64">
            <w:pPr>
              <w:rPr>
                <w:rFonts w:ascii="宋体"/>
              </w:rPr>
            </w:pPr>
          </w:p>
        </w:tc>
        <w:tc>
          <w:tcPr>
            <w:tcW w:w="0" w:type="auto"/>
            <w:shd w:val="clear" w:color="auto" w:fill="auto"/>
          </w:tcPr>
          <w:p w14:paraId="33DACD91" w14:textId="77777777" w:rsidR="004D6A64" w:rsidRDefault="004D6A64">
            <w:pPr>
              <w:rPr>
                <w:rFonts w:ascii="宋体"/>
              </w:rPr>
            </w:pPr>
          </w:p>
        </w:tc>
        <w:tc>
          <w:tcPr>
            <w:tcW w:w="0" w:type="auto"/>
            <w:shd w:val="clear" w:color="auto" w:fill="auto"/>
          </w:tcPr>
          <w:p w14:paraId="33DACD92" w14:textId="77777777" w:rsidR="004D6A64" w:rsidRDefault="004D6A64">
            <w:pPr>
              <w:rPr>
                <w:rFonts w:ascii="宋体"/>
              </w:rPr>
            </w:pPr>
          </w:p>
        </w:tc>
        <w:tc>
          <w:tcPr>
            <w:tcW w:w="0" w:type="auto"/>
            <w:shd w:val="clear" w:color="auto" w:fill="auto"/>
          </w:tcPr>
          <w:p w14:paraId="33DACD93" w14:textId="77777777" w:rsidR="004D6A64" w:rsidRDefault="004D6A64">
            <w:pPr>
              <w:rPr>
                <w:rFonts w:ascii="宋体"/>
              </w:rPr>
            </w:pPr>
          </w:p>
        </w:tc>
        <w:tc>
          <w:tcPr>
            <w:tcW w:w="0" w:type="auto"/>
            <w:shd w:val="clear" w:color="auto" w:fill="auto"/>
          </w:tcPr>
          <w:p w14:paraId="33DACD94" w14:textId="77777777" w:rsidR="004D6A64" w:rsidRDefault="004D6A64">
            <w:pPr>
              <w:rPr>
                <w:rFonts w:ascii="宋体"/>
              </w:rPr>
            </w:pPr>
          </w:p>
        </w:tc>
        <w:tc>
          <w:tcPr>
            <w:tcW w:w="0" w:type="auto"/>
            <w:shd w:val="clear" w:color="auto" w:fill="auto"/>
          </w:tcPr>
          <w:p w14:paraId="33DACD95" w14:textId="77777777" w:rsidR="004D6A64" w:rsidRDefault="004D6A64">
            <w:pPr>
              <w:rPr>
                <w:rFonts w:ascii="宋体"/>
              </w:rPr>
            </w:pPr>
          </w:p>
        </w:tc>
        <w:tc>
          <w:tcPr>
            <w:tcW w:w="0" w:type="auto"/>
            <w:shd w:val="clear" w:color="auto" w:fill="auto"/>
          </w:tcPr>
          <w:p w14:paraId="33DACD96" w14:textId="77777777" w:rsidR="004D6A64" w:rsidRDefault="004D6A64">
            <w:pPr>
              <w:rPr>
                <w:rFonts w:ascii="宋体"/>
              </w:rPr>
            </w:pPr>
          </w:p>
        </w:tc>
        <w:tc>
          <w:tcPr>
            <w:tcW w:w="0" w:type="auto"/>
            <w:shd w:val="clear" w:color="auto" w:fill="auto"/>
          </w:tcPr>
          <w:p w14:paraId="33DACD97" w14:textId="77777777" w:rsidR="004D6A64" w:rsidRDefault="004D6A64">
            <w:pPr>
              <w:rPr>
                <w:rFonts w:ascii="宋体"/>
              </w:rPr>
            </w:pPr>
          </w:p>
        </w:tc>
        <w:tc>
          <w:tcPr>
            <w:tcW w:w="0" w:type="auto"/>
            <w:shd w:val="clear" w:color="auto" w:fill="auto"/>
          </w:tcPr>
          <w:p w14:paraId="33DACD98" w14:textId="77777777" w:rsidR="004D6A64" w:rsidRDefault="004D6A64">
            <w:pPr>
              <w:rPr>
                <w:rFonts w:ascii="宋体"/>
              </w:rPr>
            </w:pPr>
          </w:p>
        </w:tc>
        <w:tc>
          <w:tcPr>
            <w:tcW w:w="0" w:type="auto"/>
            <w:shd w:val="clear" w:color="auto" w:fill="auto"/>
          </w:tcPr>
          <w:p w14:paraId="33DACD99" w14:textId="77777777" w:rsidR="004D6A64" w:rsidRDefault="004D6A64">
            <w:pPr>
              <w:rPr>
                <w:rFonts w:ascii="宋体"/>
              </w:rPr>
            </w:pPr>
          </w:p>
        </w:tc>
        <w:tc>
          <w:tcPr>
            <w:tcW w:w="0" w:type="auto"/>
            <w:shd w:val="clear" w:color="auto" w:fill="auto"/>
          </w:tcPr>
          <w:p w14:paraId="33DACD9A" w14:textId="77777777" w:rsidR="004D6A64" w:rsidRDefault="004D6A64">
            <w:pPr>
              <w:rPr>
                <w:rFonts w:ascii="宋体"/>
              </w:rPr>
            </w:pPr>
          </w:p>
        </w:tc>
        <w:tc>
          <w:tcPr>
            <w:tcW w:w="0" w:type="auto"/>
            <w:shd w:val="clear" w:color="auto" w:fill="auto"/>
          </w:tcPr>
          <w:p w14:paraId="33DACD9B" w14:textId="77777777" w:rsidR="004D6A64" w:rsidRDefault="004D6A64">
            <w:pPr>
              <w:rPr>
                <w:rFonts w:ascii="宋体"/>
              </w:rPr>
            </w:pPr>
          </w:p>
        </w:tc>
        <w:tc>
          <w:tcPr>
            <w:tcW w:w="0" w:type="auto"/>
            <w:shd w:val="clear" w:color="auto" w:fill="auto"/>
          </w:tcPr>
          <w:p w14:paraId="33DACD9C" w14:textId="77777777" w:rsidR="004D6A64" w:rsidRDefault="004D6A64">
            <w:pPr>
              <w:rPr>
                <w:rFonts w:ascii="宋体"/>
              </w:rPr>
            </w:pPr>
          </w:p>
        </w:tc>
        <w:tc>
          <w:tcPr>
            <w:tcW w:w="0" w:type="auto"/>
            <w:shd w:val="clear" w:color="auto" w:fill="auto"/>
          </w:tcPr>
          <w:p w14:paraId="33DACD9D" w14:textId="77777777" w:rsidR="004D6A64" w:rsidRDefault="004D6A64">
            <w:pPr>
              <w:rPr>
                <w:rFonts w:ascii="宋体"/>
              </w:rPr>
            </w:pPr>
          </w:p>
        </w:tc>
        <w:tc>
          <w:tcPr>
            <w:tcW w:w="0" w:type="auto"/>
            <w:shd w:val="clear" w:color="auto" w:fill="auto"/>
          </w:tcPr>
          <w:p w14:paraId="33DACD9E" w14:textId="77777777" w:rsidR="004D6A64" w:rsidRDefault="004D6A64">
            <w:pPr>
              <w:rPr>
                <w:rFonts w:ascii="宋体"/>
              </w:rPr>
            </w:pPr>
          </w:p>
        </w:tc>
      </w:tr>
      <w:tr w:rsidR="004D6A64" w14:paraId="33DACDB8" w14:textId="77777777">
        <w:trPr>
          <w:jc w:val="center"/>
        </w:trPr>
        <w:tc>
          <w:tcPr>
            <w:tcW w:w="0" w:type="auto"/>
            <w:gridSpan w:val="3"/>
            <w:shd w:val="clear" w:color="auto" w:fill="CCEEFF"/>
            <w:tcMar>
              <w:top w:w="40" w:type="dxa"/>
              <w:left w:w="135" w:type="dxa"/>
              <w:bottom w:w="40" w:type="dxa"/>
              <w:right w:w="20" w:type="dxa"/>
            </w:tcMar>
            <w:vAlign w:val="center"/>
          </w:tcPr>
          <w:p w14:paraId="33DACDA0" w14:textId="77777777" w:rsidR="004D6A64" w:rsidRDefault="00506CD6">
            <w:pPr>
              <w:textAlignment w:val="center"/>
            </w:pPr>
            <w:r>
              <w:rPr>
                <w:rFonts w:ascii="Times New Roman" w:eastAsia="宋体" w:hAnsi="Times New Roman"/>
                <w:color w:val="000000"/>
                <w:sz w:val="20"/>
                <w:szCs w:val="20"/>
              </w:rPr>
              <w:t>Class D</w:t>
            </w:r>
          </w:p>
        </w:tc>
        <w:tc>
          <w:tcPr>
            <w:tcW w:w="0" w:type="auto"/>
            <w:gridSpan w:val="2"/>
            <w:shd w:val="clear" w:color="auto" w:fill="CCEEFF"/>
            <w:tcMar>
              <w:top w:w="40" w:type="dxa"/>
              <w:left w:w="20" w:type="dxa"/>
              <w:bottom w:w="40" w:type="dxa"/>
              <w:right w:w="0" w:type="dxa"/>
            </w:tcMar>
            <w:vAlign w:val="center"/>
          </w:tcPr>
          <w:p w14:paraId="33DACDA1" w14:textId="77777777" w:rsidR="004D6A64" w:rsidRDefault="00506CD6">
            <w:pPr>
              <w:jc w:val="right"/>
              <w:textAlignment w:val="center"/>
            </w:pPr>
            <w:r>
              <w:rPr>
                <w:rFonts w:ascii="Times New Roman" w:eastAsia="宋体" w:hAnsi="Times New Roman"/>
                <w:color w:val="000000"/>
                <w:sz w:val="20"/>
                <w:szCs w:val="20"/>
              </w:rPr>
              <w:t>100 </w:t>
            </w:r>
          </w:p>
        </w:tc>
        <w:tc>
          <w:tcPr>
            <w:tcW w:w="0" w:type="auto"/>
            <w:shd w:val="clear" w:color="auto" w:fill="CCEEFF"/>
            <w:tcMar>
              <w:top w:w="40" w:type="dxa"/>
              <w:bottom w:w="40" w:type="dxa"/>
              <w:right w:w="20" w:type="dxa"/>
            </w:tcMar>
            <w:vAlign w:val="center"/>
          </w:tcPr>
          <w:p w14:paraId="33DACDA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DA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DA4"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CDA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DA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DA7"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CDA8" w14:textId="77777777" w:rsidR="004D6A64" w:rsidRDefault="004D6A64">
            <w:pPr>
              <w:jc w:val="right"/>
              <w:rPr>
                <w:rFonts w:ascii="宋体"/>
              </w:rPr>
            </w:pPr>
          </w:p>
        </w:tc>
        <w:tc>
          <w:tcPr>
            <w:tcW w:w="0" w:type="auto"/>
            <w:shd w:val="clear" w:color="auto" w:fill="auto"/>
          </w:tcPr>
          <w:p w14:paraId="33DACDA9" w14:textId="77777777" w:rsidR="004D6A64" w:rsidRDefault="004D6A64">
            <w:pPr>
              <w:rPr>
                <w:rFonts w:ascii="宋体"/>
              </w:rPr>
            </w:pPr>
          </w:p>
        </w:tc>
        <w:tc>
          <w:tcPr>
            <w:tcW w:w="0" w:type="auto"/>
            <w:shd w:val="clear" w:color="auto" w:fill="auto"/>
          </w:tcPr>
          <w:p w14:paraId="33DACDAA" w14:textId="77777777" w:rsidR="004D6A64" w:rsidRDefault="004D6A64">
            <w:pPr>
              <w:rPr>
                <w:rFonts w:ascii="宋体"/>
              </w:rPr>
            </w:pPr>
          </w:p>
        </w:tc>
        <w:tc>
          <w:tcPr>
            <w:tcW w:w="0" w:type="auto"/>
            <w:shd w:val="clear" w:color="auto" w:fill="auto"/>
          </w:tcPr>
          <w:p w14:paraId="33DACDAB" w14:textId="77777777" w:rsidR="004D6A64" w:rsidRDefault="004D6A64">
            <w:pPr>
              <w:rPr>
                <w:rFonts w:ascii="宋体"/>
              </w:rPr>
            </w:pPr>
          </w:p>
        </w:tc>
        <w:tc>
          <w:tcPr>
            <w:tcW w:w="0" w:type="auto"/>
            <w:shd w:val="clear" w:color="auto" w:fill="auto"/>
          </w:tcPr>
          <w:p w14:paraId="33DACDAC" w14:textId="77777777" w:rsidR="004D6A64" w:rsidRDefault="004D6A64">
            <w:pPr>
              <w:rPr>
                <w:rFonts w:ascii="宋体"/>
              </w:rPr>
            </w:pPr>
          </w:p>
        </w:tc>
        <w:tc>
          <w:tcPr>
            <w:tcW w:w="0" w:type="auto"/>
            <w:shd w:val="clear" w:color="auto" w:fill="auto"/>
          </w:tcPr>
          <w:p w14:paraId="33DACDAD" w14:textId="77777777" w:rsidR="004D6A64" w:rsidRDefault="004D6A64">
            <w:pPr>
              <w:rPr>
                <w:rFonts w:ascii="宋体"/>
              </w:rPr>
            </w:pPr>
          </w:p>
        </w:tc>
        <w:tc>
          <w:tcPr>
            <w:tcW w:w="0" w:type="auto"/>
            <w:shd w:val="clear" w:color="auto" w:fill="auto"/>
          </w:tcPr>
          <w:p w14:paraId="33DACDAE" w14:textId="77777777" w:rsidR="004D6A64" w:rsidRDefault="004D6A64">
            <w:pPr>
              <w:rPr>
                <w:rFonts w:ascii="宋体"/>
              </w:rPr>
            </w:pPr>
          </w:p>
        </w:tc>
        <w:tc>
          <w:tcPr>
            <w:tcW w:w="0" w:type="auto"/>
            <w:shd w:val="clear" w:color="auto" w:fill="auto"/>
          </w:tcPr>
          <w:p w14:paraId="33DACDAF" w14:textId="77777777" w:rsidR="004D6A64" w:rsidRDefault="004D6A64">
            <w:pPr>
              <w:rPr>
                <w:rFonts w:ascii="宋体"/>
              </w:rPr>
            </w:pPr>
          </w:p>
        </w:tc>
        <w:tc>
          <w:tcPr>
            <w:tcW w:w="0" w:type="auto"/>
            <w:shd w:val="clear" w:color="auto" w:fill="auto"/>
          </w:tcPr>
          <w:p w14:paraId="33DACDB0" w14:textId="77777777" w:rsidR="004D6A64" w:rsidRDefault="004D6A64">
            <w:pPr>
              <w:rPr>
                <w:rFonts w:ascii="宋体"/>
              </w:rPr>
            </w:pPr>
          </w:p>
        </w:tc>
        <w:tc>
          <w:tcPr>
            <w:tcW w:w="0" w:type="auto"/>
            <w:shd w:val="clear" w:color="auto" w:fill="auto"/>
          </w:tcPr>
          <w:p w14:paraId="33DACDB1" w14:textId="77777777" w:rsidR="004D6A64" w:rsidRDefault="004D6A64">
            <w:pPr>
              <w:rPr>
                <w:rFonts w:ascii="宋体"/>
              </w:rPr>
            </w:pPr>
          </w:p>
        </w:tc>
        <w:tc>
          <w:tcPr>
            <w:tcW w:w="0" w:type="auto"/>
            <w:shd w:val="clear" w:color="auto" w:fill="auto"/>
          </w:tcPr>
          <w:p w14:paraId="33DACDB2" w14:textId="77777777" w:rsidR="004D6A64" w:rsidRDefault="004D6A64">
            <w:pPr>
              <w:rPr>
                <w:rFonts w:ascii="宋体"/>
              </w:rPr>
            </w:pPr>
          </w:p>
        </w:tc>
        <w:tc>
          <w:tcPr>
            <w:tcW w:w="0" w:type="auto"/>
            <w:shd w:val="clear" w:color="auto" w:fill="auto"/>
          </w:tcPr>
          <w:p w14:paraId="33DACDB3" w14:textId="77777777" w:rsidR="004D6A64" w:rsidRDefault="004D6A64">
            <w:pPr>
              <w:rPr>
                <w:rFonts w:ascii="宋体"/>
              </w:rPr>
            </w:pPr>
          </w:p>
        </w:tc>
        <w:tc>
          <w:tcPr>
            <w:tcW w:w="0" w:type="auto"/>
            <w:shd w:val="clear" w:color="auto" w:fill="auto"/>
          </w:tcPr>
          <w:p w14:paraId="33DACDB4" w14:textId="77777777" w:rsidR="004D6A64" w:rsidRDefault="004D6A64">
            <w:pPr>
              <w:rPr>
                <w:rFonts w:ascii="宋体"/>
              </w:rPr>
            </w:pPr>
          </w:p>
        </w:tc>
        <w:tc>
          <w:tcPr>
            <w:tcW w:w="0" w:type="auto"/>
            <w:shd w:val="clear" w:color="auto" w:fill="auto"/>
          </w:tcPr>
          <w:p w14:paraId="33DACDB5" w14:textId="77777777" w:rsidR="004D6A64" w:rsidRDefault="004D6A64">
            <w:pPr>
              <w:rPr>
                <w:rFonts w:ascii="宋体"/>
              </w:rPr>
            </w:pPr>
          </w:p>
        </w:tc>
        <w:tc>
          <w:tcPr>
            <w:tcW w:w="0" w:type="auto"/>
            <w:shd w:val="clear" w:color="auto" w:fill="auto"/>
          </w:tcPr>
          <w:p w14:paraId="33DACDB6" w14:textId="77777777" w:rsidR="004D6A64" w:rsidRDefault="004D6A64">
            <w:pPr>
              <w:rPr>
                <w:rFonts w:ascii="宋体"/>
              </w:rPr>
            </w:pPr>
          </w:p>
        </w:tc>
        <w:tc>
          <w:tcPr>
            <w:tcW w:w="0" w:type="auto"/>
            <w:shd w:val="clear" w:color="auto" w:fill="auto"/>
          </w:tcPr>
          <w:p w14:paraId="33DACDB7" w14:textId="77777777" w:rsidR="004D6A64" w:rsidRDefault="004D6A64">
            <w:pPr>
              <w:rPr>
                <w:rFonts w:ascii="宋体"/>
              </w:rPr>
            </w:pPr>
          </w:p>
        </w:tc>
      </w:tr>
      <w:tr w:rsidR="004D6A64" w14:paraId="33DACDD1" w14:textId="77777777">
        <w:trPr>
          <w:jc w:val="center"/>
        </w:trPr>
        <w:tc>
          <w:tcPr>
            <w:tcW w:w="0" w:type="auto"/>
            <w:gridSpan w:val="3"/>
            <w:shd w:val="clear" w:color="auto" w:fill="FFFFFF"/>
            <w:tcMar>
              <w:top w:w="40" w:type="dxa"/>
              <w:left w:w="135" w:type="dxa"/>
              <w:bottom w:w="40" w:type="dxa"/>
              <w:right w:w="20" w:type="dxa"/>
            </w:tcMar>
            <w:vAlign w:val="center"/>
          </w:tcPr>
          <w:p w14:paraId="33DACDB9" w14:textId="77777777" w:rsidR="004D6A64" w:rsidRDefault="00506CD6">
            <w:pPr>
              <w:textAlignment w:val="center"/>
            </w:pPr>
            <w:r>
              <w:rPr>
                <w:rFonts w:ascii="Times New Roman" w:eastAsia="宋体" w:hAnsi="Times New Roman"/>
                <w:color w:val="000000"/>
                <w:sz w:val="20"/>
                <w:szCs w:val="20"/>
              </w:rPr>
              <w:t>Class V</w:t>
            </w:r>
          </w:p>
        </w:tc>
        <w:tc>
          <w:tcPr>
            <w:tcW w:w="0" w:type="auto"/>
            <w:gridSpan w:val="2"/>
            <w:shd w:val="clear" w:color="auto" w:fill="FFFFFF"/>
            <w:tcMar>
              <w:top w:w="40" w:type="dxa"/>
              <w:left w:w="20" w:type="dxa"/>
              <w:bottom w:w="40" w:type="dxa"/>
              <w:right w:w="0" w:type="dxa"/>
            </w:tcMar>
            <w:vAlign w:val="center"/>
          </w:tcPr>
          <w:p w14:paraId="33DACDBA" w14:textId="77777777" w:rsidR="004D6A64" w:rsidRDefault="00506CD6">
            <w:pPr>
              <w:jc w:val="right"/>
              <w:textAlignment w:val="center"/>
            </w:pPr>
            <w:r>
              <w:rPr>
                <w:rFonts w:ascii="Times New Roman" w:eastAsia="宋体" w:hAnsi="Times New Roman"/>
                <w:color w:val="000000"/>
                <w:sz w:val="20"/>
                <w:szCs w:val="20"/>
              </w:rPr>
              <w:t>343 </w:t>
            </w:r>
          </w:p>
        </w:tc>
        <w:tc>
          <w:tcPr>
            <w:tcW w:w="0" w:type="auto"/>
            <w:shd w:val="clear" w:color="auto" w:fill="FFFFFF"/>
            <w:tcMar>
              <w:top w:w="40" w:type="dxa"/>
              <w:bottom w:w="40" w:type="dxa"/>
              <w:right w:w="20" w:type="dxa"/>
            </w:tcMar>
            <w:vAlign w:val="center"/>
          </w:tcPr>
          <w:p w14:paraId="33DACDB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DBC"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DBD"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CDB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DBF"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DC0"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CDC1" w14:textId="77777777" w:rsidR="004D6A64" w:rsidRDefault="004D6A64">
            <w:pPr>
              <w:jc w:val="right"/>
              <w:rPr>
                <w:rFonts w:ascii="宋体"/>
              </w:rPr>
            </w:pPr>
          </w:p>
        </w:tc>
        <w:tc>
          <w:tcPr>
            <w:tcW w:w="0" w:type="auto"/>
            <w:shd w:val="clear" w:color="auto" w:fill="auto"/>
          </w:tcPr>
          <w:p w14:paraId="33DACDC2" w14:textId="77777777" w:rsidR="004D6A64" w:rsidRDefault="004D6A64">
            <w:pPr>
              <w:rPr>
                <w:rFonts w:ascii="宋体"/>
              </w:rPr>
            </w:pPr>
          </w:p>
        </w:tc>
        <w:tc>
          <w:tcPr>
            <w:tcW w:w="0" w:type="auto"/>
            <w:shd w:val="clear" w:color="auto" w:fill="auto"/>
          </w:tcPr>
          <w:p w14:paraId="33DACDC3" w14:textId="77777777" w:rsidR="004D6A64" w:rsidRDefault="004D6A64">
            <w:pPr>
              <w:rPr>
                <w:rFonts w:ascii="宋体"/>
              </w:rPr>
            </w:pPr>
          </w:p>
        </w:tc>
        <w:tc>
          <w:tcPr>
            <w:tcW w:w="0" w:type="auto"/>
            <w:shd w:val="clear" w:color="auto" w:fill="auto"/>
          </w:tcPr>
          <w:p w14:paraId="33DACDC4" w14:textId="77777777" w:rsidR="004D6A64" w:rsidRDefault="004D6A64">
            <w:pPr>
              <w:rPr>
                <w:rFonts w:ascii="宋体"/>
              </w:rPr>
            </w:pPr>
          </w:p>
        </w:tc>
        <w:tc>
          <w:tcPr>
            <w:tcW w:w="0" w:type="auto"/>
            <w:shd w:val="clear" w:color="auto" w:fill="auto"/>
          </w:tcPr>
          <w:p w14:paraId="33DACDC5" w14:textId="77777777" w:rsidR="004D6A64" w:rsidRDefault="004D6A64">
            <w:pPr>
              <w:rPr>
                <w:rFonts w:ascii="宋体"/>
              </w:rPr>
            </w:pPr>
          </w:p>
        </w:tc>
        <w:tc>
          <w:tcPr>
            <w:tcW w:w="0" w:type="auto"/>
            <w:shd w:val="clear" w:color="auto" w:fill="auto"/>
          </w:tcPr>
          <w:p w14:paraId="33DACDC6" w14:textId="77777777" w:rsidR="004D6A64" w:rsidRDefault="004D6A64">
            <w:pPr>
              <w:rPr>
                <w:rFonts w:ascii="宋体"/>
              </w:rPr>
            </w:pPr>
          </w:p>
        </w:tc>
        <w:tc>
          <w:tcPr>
            <w:tcW w:w="0" w:type="auto"/>
            <w:shd w:val="clear" w:color="auto" w:fill="auto"/>
          </w:tcPr>
          <w:p w14:paraId="33DACDC7" w14:textId="77777777" w:rsidR="004D6A64" w:rsidRDefault="004D6A64">
            <w:pPr>
              <w:rPr>
                <w:rFonts w:ascii="宋体"/>
              </w:rPr>
            </w:pPr>
          </w:p>
        </w:tc>
        <w:tc>
          <w:tcPr>
            <w:tcW w:w="0" w:type="auto"/>
            <w:shd w:val="clear" w:color="auto" w:fill="auto"/>
          </w:tcPr>
          <w:p w14:paraId="33DACDC8" w14:textId="77777777" w:rsidR="004D6A64" w:rsidRDefault="004D6A64">
            <w:pPr>
              <w:rPr>
                <w:rFonts w:ascii="宋体"/>
              </w:rPr>
            </w:pPr>
          </w:p>
        </w:tc>
        <w:tc>
          <w:tcPr>
            <w:tcW w:w="0" w:type="auto"/>
            <w:shd w:val="clear" w:color="auto" w:fill="auto"/>
          </w:tcPr>
          <w:p w14:paraId="33DACDC9" w14:textId="77777777" w:rsidR="004D6A64" w:rsidRDefault="004D6A64">
            <w:pPr>
              <w:rPr>
                <w:rFonts w:ascii="宋体"/>
              </w:rPr>
            </w:pPr>
          </w:p>
        </w:tc>
        <w:tc>
          <w:tcPr>
            <w:tcW w:w="0" w:type="auto"/>
            <w:shd w:val="clear" w:color="auto" w:fill="auto"/>
          </w:tcPr>
          <w:p w14:paraId="33DACDCA" w14:textId="77777777" w:rsidR="004D6A64" w:rsidRDefault="004D6A64">
            <w:pPr>
              <w:rPr>
                <w:rFonts w:ascii="宋体"/>
              </w:rPr>
            </w:pPr>
          </w:p>
        </w:tc>
        <w:tc>
          <w:tcPr>
            <w:tcW w:w="0" w:type="auto"/>
            <w:shd w:val="clear" w:color="auto" w:fill="auto"/>
          </w:tcPr>
          <w:p w14:paraId="33DACDCB" w14:textId="77777777" w:rsidR="004D6A64" w:rsidRDefault="004D6A64">
            <w:pPr>
              <w:rPr>
                <w:rFonts w:ascii="宋体"/>
              </w:rPr>
            </w:pPr>
          </w:p>
        </w:tc>
        <w:tc>
          <w:tcPr>
            <w:tcW w:w="0" w:type="auto"/>
            <w:shd w:val="clear" w:color="auto" w:fill="auto"/>
          </w:tcPr>
          <w:p w14:paraId="33DACDCC" w14:textId="77777777" w:rsidR="004D6A64" w:rsidRDefault="004D6A64">
            <w:pPr>
              <w:rPr>
                <w:rFonts w:ascii="宋体"/>
              </w:rPr>
            </w:pPr>
          </w:p>
        </w:tc>
        <w:tc>
          <w:tcPr>
            <w:tcW w:w="0" w:type="auto"/>
            <w:shd w:val="clear" w:color="auto" w:fill="auto"/>
          </w:tcPr>
          <w:p w14:paraId="33DACDCD" w14:textId="77777777" w:rsidR="004D6A64" w:rsidRDefault="004D6A64">
            <w:pPr>
              <w:rPr>
                <w:rFonts w:ascii="宋体"/>
              </w:rPr>
            </w:pPr>
          </w:p>
        </w:tc>
        <w:tc>
          <w:tcPr>
            <w:tcW w:w="0" w:type="auto"/>
            <w:shd w:val="clear" w:color="auto" w:fill="auto"/>
          </w:tcPr>
          <w:p w14:paraId="33DACDCE" w14:textId="77777777" w:rsidR="004D6A64" w:rsidRDefault="004D6A64">
            <w:pPr>
              <w:rPr>
                <w:rFonts w:ascii="宋体"/>
              </w:rPr>
            </w:pPr>
          </w:p>
        </w:tc>
        <w:tc>
          <w:tcPr>
            <w:tcW w:w="0" w:type="auto"/>
            <w:shd w:val="clear" w:color="auto" w:fill="auto"/>
          </w:tcPr>
          <w:p w14:paraId="33DACDCF" w14:textId="77777777" w:rsidR="004D6A64" w:rsidRDefault="004D6A64">
            <w:pPr>
              <w:rPr>
                <w:rFonts w:ascii="宋体"/>
              </w:rPr>
            </w:pPr>
          </w:p>
        </w:tc>
        <w:tc>
          <w:tcPr>
            <w:tcW w:w="0" w:type="auto"/>
            <w:shd w:val="clear" w:color="auto" w:fill="auto"/>
          </w:tcPr>
          <w:p w14:paraId="33DACDD0" w14:textId="77777777" w:rsidR="004D6A64" w:rsidRDefault="004D6A64">
            <w:pPr>
              <w:rPr>
                <w:rFonts w:ascii="宋体"/>
              </w:rPr>
            </w:pPr>
          </w:p>
        </w:tc>
      </w:tr>
      <w:tr w:rsidR="004D6A64" w14:paraId="33DACDEA" w14:textId="77777777">
        <w:trPr>
          <w:jc w:val="center"/>
        </w:trPr>
        <w:tc>
          <w:tcPr>
            <w:tcW w:w="0" w:type="auto"/>
            <w:gridSpan w:val="3"/>
            <w:shd w:val="clear" w:color="auto" w:fill="CCEEFF"/>
            <w:tcMar>
              <w:left w:w="135" w:type="dxa"/>
              <w:right w:w="20" w:type="dxa"/>
            </w:tcMar>
            <w:vAlign w:val="center"/>
          </w:tcPr>
          <w:p w14:paraId="33DACDD2"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CDD3" w14:textId="77777777" w:rsidR="004D6A64" w:rsidRDefault="00506CD6">
            <w:pPr>
              <w:jc w:val="right"/>
              <w:textAlignment w:val="center"/>
            </w:pPr>
            <w:r>
              <w:rPr>
                <w:rFonts w:ascii="Times New Roman" w:eastAsia="宋体" w:hAnsi="Times New Roman"/>
                <w:color w:val="000000"/>
                <w:sz w:val="20"/>
                <w:szCs w:val="20"/>
              </w:rPr>
              <w:t>9,143 </w:t>
            </w:r>
          </w:p>
        </w:tc>
        <w:tc>
          <w:tcPr>
            <w:tcW w:w="0" w:type="auto"/>
            <w:tcBorders>
              <w:top w:val="single" w:sz="8" w:space="0" w:color="000000"/>
            </w:tcBorders>
            <w:shd w:val="clear" w:color="auto" w:fill="CCEEFF"/>
            <w:tcMar>
              <w:top w:w="40" w:type="dxa"/>
              <w:bottom w:w="40" w:type="dxa"/>
              <w:right w:w="20" w:type="dxa"/>
            </w:tcMar>
            <w:vAlign w:val="center"/>
          </w:tcPr>
          <w:p w14:paraId="33DACDD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DD5"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CDD6" w14:textId="77777777" w:rsidR="004D6A64" w:rsidRDefault="00506CD6">
            <w:pPr>
              <w:jc w:val="right"/>
              <w:textAlignment w:val="center"/>
            </w:pPr>
            <w:r>
              <w:rPr>
                <w:rFonts w:ascii="Times New Roman" w:eastAsia="宋体" w:hAnsi="Times New Roman"/>
                <w:color w:val="000000"/>
                <w:sz w:val="20"/>
                <w:szCs w:val="20"/>
              </w:rPr>
              <w:t>753 </w:t>
            </w:r>
          </w:p>
        </w:tc>
        <w:tc>
          <w:tcPr>
            <w:tcW w:w="0" w:type="auto"/>
            <w:tcBorders>
              <w:top w:val="single" w:sz="8" w:space="0" w:color="000000"/>
            </w:tcBorders>
            <w:shd w:val="clear" w:color="auto" w:fill="CCEEFF"/>
            <w:tcMar>
              <w:top w:w="40" w:type="dxa"/>
              <w:bottom w:w="40" w:type="dxa"/>
              <w:right w:w="20" w:type="dxa"/>
            </w:tcMar>
            <w:vAlign w:val="center"/>
          </w:tcPr>
          <w:p w14:paraId="33DACDD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DD8"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CDD9" w14:textId="77777777" w:rsidR="004D6A64" w:rsidRDefault="00506CD6">
            <w:pPr>
              <w:jc w:val="right"/>
              <w:textAlignment w:val="center"/>
            </w:pPr>
            <w:r>
              <w:rPr>
                <w:rFonts w:ascii="Times New Roman" w:eastAsia="宋体" w:hAnsi="Times New Roman"/>
                <w:color w:val="000000"/>
                <w:sz w:val="20"/>
                <w:szCs w:val="20"/>
              </w:rPr>
              <w:t>745 </w:t>
            </w:r>
          </w:p>
        </w:tc>
        <w:tc>
          <w:tcPr>
            <w:tcW w:w="0" w:type="auto"/>
            <w:tcBorders>
              <w:top w:val="single" w:sz="8" w:space="0" w:color="000000"/>
            </w:tcBorders>
            <w:shd w:val="clear" w:color="auto" w:fill="CCEEFF"/>
            <w:tcMar>
              <w:top w:w="40" w:type="dxa"/>
              <w:bottom w:w="40" w:type="dxa"/>
              <w:right w:w="20" w:type="dxa"/>
            </w:tcMar>
            <w:vAlign w:val="center"/>
          </w:tcPr>
          <w:p w14:paraId="33DACDDA" w14:textId="77777777" w:rsidR="004D6A64" w:rsidRDefault="004D6A64">
            <w:pPr>
              <w:jc w:val="right"/>
              <w:rPr>
                <w:rFonts w:ascii="宋体"/>
              </w:rPr>
            </w:pPr>
          </w:p>
        </w:tc>
        <w:tc>
          <w:tcPr>
            <w:tcW w:w="0" w:type="auto"/>
            <w:shd w:val="clear" w:color="auto" w:fill="auto"/>
          </w:tcPr>
          <w:p w14:paraId="33DACDDB" w14:textId="77777777" w:rsidR="004D6A64" w:rsidRDefault="004D6A64">
            <w:pPr>
              <w:rPr>
                <w:rFonts w:ascii="宋体"/>
              </w:rPr>
            </w:pPr>
          </w:p>
        </w:tc>
        <w:tc>
          <w:tcPr>
            <w:tcW w:w="0" w:type="auto"/>
            <w:shd w:val="clear" w:color="auto" w:fill="auto"/>
          </w:tcPr>
          <w:p w14:paraId="33DACDDC" w14:textId="77777777" w:rsidR="004D6A64" w:rsidRDefault="004D6A64">
            <w:pPr>
              <w:rPr>
                <w:rFonts w:ascii="宋体"/>
              </w:rPr>
            </w:pPr>
          </w:p>
        </w:tc>
        <w:tc>
          <w:tcPr>
            <w:tcW w:w="0" w:type="auto"/>
            <w:shd w:val="clear" w:color="auto" w:fill="auto"/>
          </w:tcPr>
          <w:p w14:paraId="33DACDDD" w14:textId="77777777" w:rsidR="004D6A64" w:rsidRDefault="004D6A64">
            <w:pPr>
              <w:rPr>
                <w:rFonts w:ascii="宋体"/>
              </w:rPr>
            </w:pPr>
          </w:p>
        </w:tc>
        <w:tc>
          <w:tcPr>
            <w:tcW w:w="0" w:type="auto"/>
            <w:shd w:val="clear" w:color="auto" w:fill="auto"/>
          </w:tcPr>
          <w:p w14:paraId="33DACDDE" w14:textId="77777777" w:rsidR="004D6A64" w:rsidRDefault="004D6A64">
            <w:pPr>
              <w:rPr>
                <w:rFonts w:ascii="宋体"/>
              </w:rPr>
            </w:pPr>
          </w:p>
        </w:tc>
        <w:tc>
          <w:tcPr>
            <w:tcW w:w="0" w:type="auto"/>
            <w:shd w:val="clear" w:color="auto" w:fill="auto"/>
          </w:tcPr>
          <w:p w14:paraId="33DACDDF" w14:textId="77777777" w:rsidR="004D6A64" w:rsidRDefault="004D6A64">
            <w:pPr>
              <w:rPr>
                <w:rFonts w:ascii="宋体"/>
              </w:rPr>
            </w:pPr>
          </w:p>
        </w:tc>
        <w:tc>
          <w:tcPr>
            <w:tcW w:w="0" w:type="auto"/>
            <w:shd w:val="clear" w:color="auto" w:fill="auto"/>
          </w:tcPr>
          <w:p w14:paraId="33DACDE0" w14:textId="77777777" w:rsidR="004D6A64" w:rsidRDefault="004D6A64">
            <w:pPr>
              <w:rPr>
                <w:rFonts w:ascii="宋体"/>
              </w:rPr>
            </w:pPr>
          </w:p>
        </w:tc>
        <w:tc>
          <w:tcPr>
            <w:tcW w:w="0" w:type="auto"/>
            <w:shd w:val="clear" w:color="auto" w:fill="auto"/>
          </w:tcPr>
          <w:p w14:paraId="33DACDE1" w14:textId="77777777" w:rsidR="004D6A64" w:rsidRDefault="004D6A64">
            <w:pPr>
              <w:rPr>
                <w:rFonts w:ascii="宋体"/>
              </w:rPr>
            </w:pPr>
          </w:p>
        </w:tc>
        <w:tc>
          <w:tcPr>
            <w:tcW w:w="0" w:type="auto"/>
            <w:shd w:val="clear" w:color="auto" w:fill="auto"/>
          </w:tcPr>
          <w:p w14:paraId="33DACDE2" w14:textId="77777777" w:rsidR="004D6A64" w:rsidRDefault="004D6A64">
            <w:pPr>
              <w:rPr>
                <w:rFonts w:ascii="宋体"/>
              </w:rPr>
            </w:pPr>
          </w:p>
        </w:tc>
        <w:tc>
          <w:tcPr>
            <w:tcW w:w="0" w:type="auto"/>
            <w:shd w:val="clear" w:color="auto" w:fill="auto"/>
          </w:tcPr>
          <w:p w14:paraId="33DACDE3" w14:textId="77777777" w:rsidR="004D6A64" w:rsidRDefault="004D6A64">
            <w:pPr>
              <w:rPr>
                <w:rFonts w:ascii="宋体"/>
              </w:rPr>
            </w:pPr>
          </w:p>
        </w:tc>
        <w:tc>
          <w:tcPr>
            <w:tcW w:w="0" w:type="auto"/>
            <w:shd w:val="clear" w:color="auto" w:fill="auto"/>
          </w:tcPr>
          <w:p w14:paraId="33DACDE4" w14:textId="77777777" w:rsidR="004D6A64" w:rsidRDefault="004D6A64">
            <w:pPr>
              <w:rPr>
                <w:rFonts w:ascii="宋体"/>
              </w:rPr>
            </w:pPr>
          </w:p>
        </w:tc>
        <w:tc>
          <w:tcPr>
            <w:tcW w:w="0" w:type="auto"/>
            <w:shd w:val="clear" w:color="auto" w:fill="auto"/>
          </w:tcPr>
          <w:p w14:paraId="33DACDE5" w14:textId="77777777" w:rsidR="004D6A64" w:rsidRDefault="004D6A64">
            <w:pPr>
              <w:rPr>
                <w:rFonts w:ascii="宋体"/>
              </w:rPr>
            </w:pPr>
          </w:p>
        </w:tc>
        <w:tc>
          <w:tcPr>
            <w:tcW w:w="0" w:type="auto"/>
            <w:shd w:val="clear" w:color="auto" w:fill="auto"/>
          </w:tcPr>
          <w:p w14:paraId="33DACDE6" w14:textId="77777777" w:rsidR="004D6A64" w:rsidRDefault="004D6A64">
            <w:pPr>
              <w:rPr>
                <w:rFonts w:ascii="宋体"/>
              </w:rPr>
            </w:pPr>
          </w:p>
        </w:tc>
        <w:tc>
          <w:tcPr>
            <w:tcW w:w="0" w:type="auto"/>
            <w:shd w:val="clear" w:color="auto" w:fill="auto"/>
          </w:tcPr>
          <w:p w14:paraId="33DACDE7" w14:textId="77777777" w:rsidR="004D6A64" w:rsidRDefault="004D6A64">
            <w:pPr>
              <w:rPr>
                <w:rFonts w:ascii="宋体"/>
              </w:rPr>
            </w:pPr>
          </w:p>
        </w:tc>
        <w:tc>
          <w:tcPr>
            <w:tcW w:w="0" w:type="auto"/>
            <w:shd w:val="clear" w:color="auto" w:fill="auto"/>
          </w:tcPr>
          <w:p w14:paraId="33DACDE8" w14:textId="77777777" w:rsidR="004D6A64" w:rsidRDefault="004D6A64">
            <w:pPr>
              <w:rPr>
                <w:rFonts w:ascii="宋体"/>
              </w:rPr>
            </w:pPr>
          </w:p>
        </w:tc>
        <w:tc>
          <w:tcPr>
            <w:tcW w:w="0" w:type="auto"/>
            <w:shd w:val="clear" w:color="auto" w:fill="auto"/>
          </w:tcPr>
          <w:p w14:paraId="33DACDE9" w14:textId="77777777" w:rsidR="004D6A64" w:rsidRDefault="004D6A64">
            <w:pPr>
              <w:rPr>
                <w:rFonts w:ascii="宋体"/>
              </w:rPr>
            </w:pPr>
          </w:p>
        </w:tc>
      </w:tr>
      <w:tr w:rsidR="004D6A64" w14:paraId="33DACE00" w14:textId="77777777">
        <w:trPr>
          <w:trHeight w:val="300"/>
          <w:jc w:val="center"/>
        </w:trPr>
        <w:tc>
          <w:tcPr>
            <w:tcW w:w="0" w:type="auto"/>
            <w:gridSpan w:val="3"/>
            <w:shd w:val="clear" w:color="auto" w:fill="FFFFFF"/>
            <w:tcMar>
              <w:left w:w="20" w:type="dxa"/>
              <w:right w:w="20" w:type="dxa"/>
            </w:tcMar>
            <w:vAlign w:val="bottom"/>
          </w:tcPr>
          <w:p w14:paraId="33DACDEB" w14:textId="77777777" w:rsidR="004D6A64" w:rsidRDefault="004D6A6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3DACDEC"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CDED" w14:textId="77777777" w:rsidR="004D6A64" w:rsidRDefault="004D6A6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3DACDEE"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CDEF" w14:textId="77777777" w:rsidR="004D6A64" w:rsidRDefault="004D6A6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3DACDF0" w14:textId="77777777" w:rsidR="004D6A64" w:rsidRDefault="004D6A64">
            <w:pPr>
              <w:rPr>
                <w:rFonts w:ascii="宋体"/>
              </w:rPr>
            </w:pPr>
          </w:p>
        </w:tc>
        <w:tc>
          <w:tcPr>
            <w:tcW w:w="0" w:type="auto"/>
            <w:shd w:val="clear" w:color="auto" w:fill="auto"/>
          </w:tcPr>
          <w:p w14:paraId="33DACDF1" w14:textId="77777777" w:rsidR="004D6A64" w:rsidRDefault="004D6A64">
            <w:pPr>
              <w:rPr>
                <w:rFonts w:ascii="宋体"/>
              </w:rPr>
            </w:pPr>
          </w:p>
        </w:tc>
        <w:tc>
          <w:tcPr>
            <w:tcW w:w="0" w:type="auto"/>
            <w:shd w:val="clear" w:color="auto" w:fill="auto"/>
          </w:tcPr>
          <w:p w14:paraId="33DACDF2" w14:textId="77777777" w:rsidR="004D6A64" w:rsidRDefault="004D6A64">
            <w:pPr>
              <w:rPr>
                <w:rFonts w:ascii="宋体"/>
              </w:rPr>
            </w:pPr>
          </w:p>
        </w:tc>
        <w:tc>
          <w:tcPr>
            <w:tcW w:w="0" w:type="auto"/>
            <w:shd w:val="clear" w:color="auto" w:fill="auto"/>
          </w:tcPr>
          <w:p w14:paraId="33DACDF3" w14:textId="77777777" w:rsidR="004D6A64" w:rsidRDefault="004D6A64">
            <w:pPr>
              <w:rPr>
                <w:rFonts w:ascii="宋体"/>
              </w:rPr>
            </w:pPr>
          </w:p>
        </w:tc>
        <w:tc>
          <w:tcPr>
            <w:tcW w:w="0" w:type="auto"/>
            <w:shd w:val="clear" w:color="auto" w:fill="auto"/>
          </w:tcPr>
          <w:p w14:paraId="33DACDF4" w14:textId="77777777" w:rsidR="004D6A64" w:rsidRDefault="004D6A64">
            <w:pPr>
              <w:rPr>
                <w:rFonts w:ascii="宋体"/>
              </w:rPr>
            </w:pPr>
          </w:p>
        </w:tc>
        <w:tc>
          <w:tcPr>
            <w:tcW w:w="0" w:type="auto"/>
            <w:shd w:val="clear" w:color="auto" w:fill="auto"/>
          </w:tcPr>
          <w:p w14:paraId="33DACDF5" w14:textId="77777777" w:rsidR="004D6A64" w:rsidRDefault="004D6A64">
            <w:pPr>
              <w:rPr>
                <w:rFonts w:ascii="宋体"/>
              </w:rPr>
            </w:pPr>
          </w:p>
        </w:tc>
        <w:tc>
          <w:tcPr>
            <w:tcW w:w="0" w:type="auto"/>
            <w:shd w:val="clear" w:color="auto" w:fill="auto"/>
          </w:tcPr>
          <w:p w14:paraId="33DACDF6" w14:textId="77777777" w:rsidR="004D6A64" w:rsidRDefault="004D6A64">
            <w:pPr>
              <w:rPr>
                <w:rFonts w:ascii="宋体"/>
              </w:rPr>
            </w:pPr>
          </w:p>
        </w:tc>
        <w:tc>
          <w:tcPr>
            <w:tcW w:w="0" w:type="auto"/>
            <w:shd w:val="clear" w:color="auto" w:fill="auto"/>
          </w:tcPr>
          <w:p w14:paraId="33DACDF7" w14:textId="77777777" w:rsidR="004D6A64" w:rsidRDefault="004D6A64">
            <w:pPr>
              <w:rPr>
                <w:rFonts w:ascii="宋体"/>
              </w:rPr>
            </w:pPr>
          </w:p>
        </w:tc>
        <w:tc>
          <w:tcPr>
            <w:tcW w:w="0" w:type="auto"/>
            <w:shd w:val="clear" w:color="auto" w:fill="auto"/>
          </w:tcPr>
          <w:p w14:paraId="33DACDF8" w14:textId="77777777" w:rsidR="004D6A64" w:rsidRDefault="004D6A64">
            <w:pPr>
              <w:rPr>
                <w:rFonts w:ascii="宋体"/>
              </w:rPr>
            </w:pPr>
          </w:p>
        </w:tc>
        <w:tc>
          <w:tcPr>
            <w:tcW w:w="0" w:type="auto"/>
            <w:shd w:val="clear" w:color="auto" w:fill="auto"/>
          </w:tcPr>
          <w:p w14:paraId="33DACDF9" w14:textId="77777777" w:rsidR="004D6A64" w:rsidRDefault="004D6A64">
            <w:pPr>
              <w:rPr>
                <w:rFonts w:ascii="宋体"/>
              </w:rPr>
            </w:pPr>
          </w:p>
        </w:tc>
        <w:tc>
          <w:tcPr>
            <w:tcW w:w="0" w:type="auto"/>
            <w:shd w:val="clear" w:color="auto" w:fill="auto"/>
          </w:tcPr>
          <w:p w14:paraId="33DACDFA" w14:textId="77777777" w:rsidR="004D6A64" w:rsidRDefault="004D6A64">
            <w:pPr>
              <w:rPr>
                <w:rFonts w:ascii="宋体"/>
              </w:rPr>
            </w:pPr>
          </w:p>
        </w:tc>
        <w:tc>
          <w:tcPr>
            <w:tcW w:w="0" w:type="auto"/>
            <w:shd w:val="clear" w:color="auto" w:fill="auto"/>
          </w:tcPr>
          <w:p w14:paraId="33DACDFB" w14:textId="77777777" w:rsidR="004D6A64" w:rsidRDefault="004D6A64">
            <w:pPr>
              <w:rPr>
                <w:rFonts w:ascii="宋体"/>
              </w:rPr>
            </w:pPr>
          </w:p>
        </w:tc>
        <w:tc>
          <w:tcPr>
            <w:tcW w:w="0" w:type="auto"/>
            <w:shd w:val="clear" w:color="auto" w:fill="auto"/>
          </w:tcPr>
          <w:p w14:paraId="33DACDFC" w14:textId="77777777" w:rsidR="004D6A64" w:rsidRDefault="004D6A64">
            <w:pPr>
              <w:rPr>
                <w:rFonts w:ascii="宋体"/>
              </w:rPr>
            </w:pPr>
          </w:p>
        </w:tc>
        <w:tc>
          <w:tcPr>
            <w:tcW w:w="0" w:type="auto"/>
            <w:shd w:val="clear" w:color="auto" w:fill="auto"/>
          </w:tcPr>
          <w:p w14:paraId="33DACDFD" w14:textId="77777777" w:rsidR="004D6A64" w:rsidRDefault="004D6A64">
            <w:pPr>
              <w:rPr>
                <w:rFonts w:ascii="宋体"/>
              </w:rPr>
            </w:pPr>
          </w:p>
        </w:tc>
        <w:tc>
          <w:tcPr>
            <w:tcW w:w="0" w:type="auto"/>
            <w:shd w:val="clear" w:color="auto" w:fill="auto"/>
          </w:tcPr>
          <w:p w14:paraId="33DACDFE" w14:textId="77777777" w:rsidR="004D6A64" w:rsidRDefault="004D6A64">
            <w:pPr>
              <w:rPr>
                <w:rFonts w:ascii="宋体"/>
              </w:rPr>
            </w:pPr>
          </w:p>
        </w:tc>
        <w:tc>
          <w:tcPr>
            <w:tcW w:w="0" w:type="auto"/>
            <w:shd w:val="clear" w:color="auto" w:fill="auto"/>
          </w:tcPr>
          <w:p w14:paraId="33DACDFF" w14:textId="77777777" w:rsidR="004D6A64" w:rsidRDefault="004D6A64">
            <w:pPr>
              <w:rPr>
                <w:rFonts w:ascii="宋体"/>
              </w:rPr>
            </w:pPr>
          </w:p>
        </w:tc>
      </w:tr>
      <w:tr w:rsidR="004D6A64" w14:paraId="33DACE07" w14:textId="77777777">
        <w:trPr>
          <w:jc w:val="center"/>
        </w:trPr>
        <w:tc>
          <w:tcPr>
            <w:tcW w:w="0" w:type="auto"/>
            <w:gridSpan w:val="18"/>
            <w:shd w:val="clear" w:color="auto" w:fill="CCEEFF"/>
            <w:tcMar>
              <w:top w:w="40" w:type="dxa"/>
              <w:left w:w="20" w:type="dxa"/>
              <w:bottom w:w="40" w:type="dxa"/>
              <w:right w:w="20" w:type="dxa"/>
            </w:tcMar>
            <w:vAlign w:val="center"/>
          </w:tcPr>
          <w:p w14:paraId="33DACE01" w14:textId="77777777" w:rsidR="004D6A64" w:rsidRDefault="00506CD6">
            <w:pPr>
              <w:textAlignment w:val="center"/>
            </w:pPr>
            <w:r>
              <w:rPr>
                <w:rFonts w:ascii="Times New Roman" w:eastAsia="宋体" w:hAnsi="Times New Roman"/>
                <w:i/>
                <w:iCs/>
                <w:color w:val="000000"/>
                <w:sz w:val="20"/>
                <w:szCs w:val="20"/>
              </w:rPr>
              <w:t>Common stock as of January 31, 2020</w:t>
            </w:r>
          </w:p>
        </w:tc>
        <w:tc>
          <w:tcPr>
            <w:tcW w:w="0" w:type="auto"/>
            <w:gridSpan w:val="3"/>
            <w:shd w:val="clear" w:color="auto" w:fill="auto"/>
          </w:tcPr>
          <w:p w14:paraId="33DACE02" w14:textId="77777777" w:rsidR="004D6A64" w:rsidRDefault="004D6A64">
            <w:pPr>
              <w:rPr>
                <w:rFonts w:ascii="宋体"/>
                <w:vanish/>
              </w:rPr>
            </w:pPr>
          </w:p>
        </w:tc>
        <w:tc>
          <w:tcPr>
            <w:tcW w:w="0" w:type="auto"/>
            <w:gridSpan w:val="3"/>
            <w:shd w:val="clear" w:color="auto" w:fill="auto"/>
          </w:tcPr>
          <w:p w14:paraId="33DACE03" w14:textId="77777777" w:rsidR="004D6A64" w:rsidRDefault="004D6A64">
            <w:pPr>
              <w:rPr>
                <w:rFonts w:ascii="宋体"/>
                <w:vanish/>
              </w:rPr>
            </w:pPr>
          </w:p>
        </w:tc>
        <w:tc>
          <w:tcPr>
            <w:tcW w:w="0" w:type="auto"/>
            <w:gridSpan w:val="3"/>
            <w:shd w:val="clear" w:color="auto" w:fill="auto"/>
          </w:tcPr>
          <w:p w14:paraId="33DACE04" w14:textId="77777777" w:rsidR="004D6A64" w:rsidRDefault="004D6A64">
            <w:pPr>
              <w:rPr>
                <w:rFonts w:ascii="宋体"/>
                <w:vanish/>
              </w:rPr>
            </w:pPr>
          </w:p>
        </w:tc>
        <w:tc>
          <w:tcPr>
            <w:tcW w:w="0" w:type="auto"/>
            <w:gridSpan w:val="3"/>
            <w:shd w:val="clear" w:color="auto" w:fill="auto"/>
          </w:tcPr>
          <w:p w14:paraId="33DACE05" w14:textId="77777777" w:rsidR="004D6A64" w:rsidRDefault="004D6A64">
            <w:pPr>
              <w:rPr>
                <w:rFonts w:ascii="宋体"/>
                <w:vanish/>
              </w:rPr>
            </w:pPr>
          </w:p>
        </w:tc>
        <w:tc>
          <w:tcPr>
            <w:tcW w:w="0" w:type="auto"/>
            <w:gridSpan w:val="3"/>
            <w:shd w:val="clear" w:color="auto" w:fill="auto"/>
          </w:tcPr>
          <w:p w14:paraId="33DACE06" w14:textId="77777777" w:rsidR="004D6A64" w:rsidRDefault="004D6A64">
            <w:pPr>
              <w:rPr>
                <w:rFonts w:ascii="宋体"/>
                <w:vanish/>
              </w:rPr>
            </w:pPr>
          </w:p>
        </w:tc>
      </w:tr>
      <w:tr w:rsidR="004D6A64" w14:paraId="33DACE20" w14:textId="77777777">
        <w:trPr>
          <w:jc w:val="center"/>
        </w:trPr>
        <w:tc>
          <w:tcPr>
            <w:tcW w:w="0" w:type="auto"/>
            <w:gridSpan w:val="3"/>
            <w:shd w:val="clear" w:color="auto" w:fill="FFFFFF"/>
            <w:tcMar>
              <w:top w:w="40" w:type="dxa"/>
              <w:left w:w="135" w:type="dxa"/>
              <w:bottom w:w="40" w:type="dxa"/>
              <w:right w:w="20" w:type="dxa"/>
            </w:tcMar>
            <w:vAlign w:val="center"/>
          </w:tcPr>
          <w:p w14:paraId="33DACE08" w14:textId="77777777" w:rsidR="004D6A64" w:rsidRDefault="00506CD6">
            <w:pPr>
              <w:textAlignment w:val="center"/>
            </w:pPr>
            <w:r>
              <w:rPr>
                <w:rFonts w:ascii="Times New Roman" w:eastAsia="宋体" w:hAnsi="Times New Roman"/>
                <w:color w:val="000000"/>
                <w:sz w:val="20"/>
                <w:szCs w:val="20"/>
              </w:rPr>
              <w:t>Class A</w:t>
            </w:r>
          </w:p>
        </w:tc>
        <w:tc>
          <w:tcPr>
            <w:tcW w:w="0" w:type="auto"/>
            <w:gridSpan w:val="2"/>
            <w:shd w:val="clear" w:color="auto" w:fill="FFFFFF"/>
            <w:tcMar>
              <w:top w:w="40" w:type="dxa"/>
              <w:left w:w="20" w:type="dxa"/>
              <w:bottom w:w="40" w:type="dxa"/>
              <w:right w:w="0" w:type="dxa"/>
            </w:tcMar>
            <w:vAlign w:val="center"/>
          </w:tcPr>
          <w:p w14:paraId="33DACE09" w14:textId="77777777" w:rsidR="004D6A64" w:rsidRDefault="00506CD6">
            <w:pPr>
              <w:jc w:val="right"/>
              <w:textAlignment w:val="center"/>
            </w:pPr>
            <w:r>
              <w:rPr>
                <w:rFonts w:ascii="Times New Roman" w:eastAsia="宋体" w:hAnsi="Times New Roman"/>
                <w:color w:val="000000"/>
                <w:sz w:val="20"/>
                <w:szCs w:val="20"/>
              </w:rPr>
              <w:t>600 </w:t>
            </w:r>
          </w:p>
        </w:tc>
        <w:tc>
          <w:tcPr>
            <w:tcW w:w="0" w:type="auto"/>
            <w:shd w:val="clear" w:color="auto" w:fill="FFFFFF"/>
            <w:tcMar>
              <w:top w:w="40" w:type="dxa"/>
              <w:bottom w:w="40" w:type="dxa"/>
              <w:right w:w="20" w:type="dxa"/>
            </w:tcMar>
            <w:vAlign w:val="center"/>
          </w:tcPr>
          <w:p w14:paraId="33DACE0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E0B"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E0C" w14:textId="77777777" w:rsidR="004D6A64" w:rsidRDefault="00506CD6">
            <w:pPr>
              <w:jc w:val="right"/>
              <w:textAlignment w:val="center"/>
            </w:pPr>
            <w:r>
              <w:rPr>
                <w:rFonts w:ascii="Times New Roman" w:eastAsia="宋体" w:hAnsi="Times New Roman"/>
                <w:color w:val="000000"/>
                <w:sz w:val="20"/>
                <w:szCs w:val="20"/>
              </w:rPr>
              <w:t>385 </w:t>
            </w:r>
          </w:p>
        </w:tc>
        <w:tc>
          <w:tcPr>
            <w:tcW w:w="0" w:type="auto"/>
            <w:shd w:val="clear" w:color="auto" w:fill="FFFFFF"/>
            <w:tcMar>
              <w:top w:w="40" w:type="dxa"/>
              <w:bottom w:w="40" w:type="dxa"/>
              <w:right w:w="20" w:type="dxa"/>
            </w:tcMar>
            <w:vAlign w:val="center"/>
          </w:tcPr>
          <w:p w14:paraId="33DACE0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E0E"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E0F" w14:textId="77777777" w:rsidR="004D6A64" w:rsidRDefault="00506CD6">
            <w:pPr>
              <w:jc w:val="right"/>
              <w:textAlignment w:val="center"/>
            </w:pPr>
            <w:r>
              <w:rPr>
                <w:rFonts w:ascii="Times New Roman" w:eastAsia="宋体" w:hAnsi="Times New Roman"/>
                <w:color w:val="000000"/>
                <w:sz w:val="20"/>
                <w:szCs w:val="20"/>
              </w:rPr>
              <w:t>385 </w:t>
            </w:r>
          </w:p>
        </w:tc>
        <w:tc>
          <w:tcPr>
            <w:tcW w:w="0" w:type="auto"/>
            <w:shd w:val="clear" w:color="auto" w:fill="FFFFFF"/>
            <w:tcMar>
              <w:top w:w="40" w:type="dxa"/>
              <w:bottom w:w="40" w:type="dxa"/>
              <w:right w:w="20" w:type="dxa"/>
            </w:tcMar>
            <w:vAlign w:val="center"/>
          </w:tcPr>
          <w:p w14:paraId="33DACE10" w14:textId="77777777" w:rsidR="004D6A64" w:rsidRDefault="004D6A64">
            <w:pPr>
              <w:jc w:val="right"/>
              <w:rPr>
                <w:rFonts w:ascii="宋体"/>
              </w:rPr>
            </w:pPr>
          </w:p>
        </w:tc>
        <w:tc>
          <w:tcPr>
            <w:tcW w:w="0" w:type="auto"/>
            <w:shd w:val="clear" w:color="auto" w:fill="auto"/>
          </w:tcPr>
          <w:p w14:paraId="33DACE11" w14:textId="77777777" w:rsidR="004D6A64" w:rsidRDefault="004D6A64">
            <w:pPr>
              <w:rPr>
                <w:rFonts w:ascii="宋体"/>
              </w:rPr>
            </w:pPr>
          </w:p>
        </w:tc>
        <w:tc>
          <w:tcPr>
            <w:tcW w:w="0" w:type="auto"/>
            <w:shd w:val="clear" w:color="auto" w:fill="auto"/>
          </w:tcPr>
          <w:p w14:paraId="33DACE12" w14:textId="77777777" w:rsidR="004D6A64" w:rsidRDefault="004D6A64">
            <w:pPr>
              <w:rPr>
                <w:rFonts w:ascii="宋体"/>
              </w:rPr>
            </w:pPr>
          </w:p>
        </w:tc>
        <w:tc>
          <w:tcPr>
            <w:tcW w:w="0" w:type="auto"/>
            <w:shd w:val="clear" w:color="auto" w:fill="auto"/>
          </w:tcPr>
          <w:p w14:paraId="33DACE13" w14:textId="77777777" w:rsidR="004D6A64" w:rsidRDefault="004D6A64">
            <w:pPr>
              <w:rPr>
                <w:rFonts w:ascii="宋体"/>
              </w:rPr>
            </w:pPr>
          </w:p>
        </w:tc>
        <w:tc>
          <w:tcPr>
            <w:tcW w:w="0" w:type="auto"/>
            <w:shd w:val="clear" w:color="auto" w:fill="auto"/>
          </w:tcPr>
          <w:p w14:paraId="33DACE14" w14:textId="77777777" w:rsidR="004D6A64" w:rsidRDefault="004D6A64">
            <w:pPr>
              <w:rPr>
                <w:rFonts w:ascii="宋体"/>
              </w:rPr>
            </w:pPr>
          </w:p>
        </w:tc>
        <w:tc>
          <w:tcPr>
            <w:tcW w:w="0" w:type="auto"/>
            <w:shd w:val="clear" w:color="auto" w:fill="auto"/>
          </w:tcPr>
          <w:p w14:paraId="33DACE15" w14:textId="77777777" w:rsidR="004D6A64" w:rsidRDefault="004D6A64">
            <w:pPr>
              <w:rPr>
                <w:rFonts w:ascii="宋体"/>
              </w:rPr>
            </w:pPr>
          </w:p>
        </w:tc>
        <w:tc>
          <w:tcPr>
            <w:tcW w:w="0" w:type="auto"/>
            <w:shd w:val="clear" w:color="auto" w:fill="auto"/>
          </w:tcPr>
          <w:p w14:paraId="33DACE16" w14:textId="77777777" w:rsidR="004D6A64" w:rsidRDefault="004D6A64">
            <w:pPr>
              <w:rPr>
                <w:rFonts w:ascii="宋体"/>
              </w:rPr>
            </w:pPr>
          </w:p>
        </w:tc>
        <w:tc>
          <w:tcPr>
            <w:tcW w:w="0" w:type="auto"/>
            <w:shd w:val="clear" w:color="auto" w:fill="auto"/>
          </w:tcPr>
          <w:p w14:paraId="33DACE17" w14:textId="77777777" w:rsidR="004D6A64" w:rsidRDefault="004D6A64">
            <w:pPr>
              <w:rPr>
                <w:rFonts w:ascii="宋体"/>
              </w:rPr>
            </w:pPr>
          </w:p>
        </w:tc>
        <w:tc>
          <w:tcPr>
            <w:tcW w:w="0" w:type="auto"/>
            <w:shd w:val="clear" w:color="auto" w:fill="auto"/>
          </w:tcPr>
          <w:p w14:paraId="33DACE18" w14:textId="77777777" w:rsidR="004D6A64" w:rsidRDefault="004D6A64">
            <w:pPr>
              <w:rPr>
                <w:rFonts w:ascii="宋体"/>
              </w:rPr>
            </w:pPr>
          </w:p>
        </w:tc>
        <w:tc>
          <w:tcPr>
            <w:tcW w:w="0" w:type="auto"/>
            <w:shd w:val="clear" w:color="auto" w:fill="auto"/>
          </w:tcPr>
          <w:p w14:paraId="33DACE19" w14:textId="77777777" w:rsidR="004D6A64" w:rsidRDefault="004D6A64">
            <w:pPr>
              <w:rPr>
                <w:rFonts w:ascii="宋体"/>
              </w:rPr>
            </w:pPr>
          </w:p>
        </w:tc>
        <w:tc>
          <w:tcPr>
            <w:tcW w:w="0" w:type="auto"/>
            <w:shd w:val="clear" w:color="auto" w:fill="auto"/>
          </w:tcPr>
          <w:p w14:paraId="33DACE1A" w14:textId="77777777" w:rsidR="004D6A64" w:rsidRDefault="004D6A64">
            <w:pPr>
              <w:rPr>
                <w:rFonts w:ascii="宋体"/>
              </w:rPr>
            </w:pPr>
          </w:p>
        </w:tc>
        <w:tc>
          <w:tcPr>
            <w:tcW w:w="0" w:type="auto"/>
            <w:shd w:val="clear" w:color="auto" w:fill="auto"/>
          </w:tcPr>
          <w:p w14:paraId="33DACE1B" w14:textId="77777777" w:rsidR="004D6A64" w:rsidRDefault="004D6A64">
            <w:pPr>
              <w:rPr>
                <w:rFonts w:ascii="宋体"/>
              </w:rPr>
            </w:pPr>
          </w:p>
        </w:tc>
        <w:tc>
          <w:tcPr>
            <w:tcW w:w="0" w:type="auto"/>
            <w:shd w:val="clear" w:color="auto" w:fill="auto"/>
          </w:tcPr>
          <w:p w14:paraId="33DACE1C" w14:textId="77777777" w:rsidR="004D6A64" w:rsidRDefault="004D6A64">
            <w:pPr>
              <w:rPr>
                <w:rFonts w:ascii="宋体"/>
              </w:rPr>
            </w:pPr>
          </w:p>
        </w:tc>
        <w:tc>
          <w:tcPr>
            <w:tcW w:w="0" w:type="auto"/>
            <w:shd w:val="clear" w:color="auto" w:fill="auto"/>
          </w:tcPr>
          <w:p w14:paraId="33DACE1D" w14:textId="77777777" w:rsidR="004D6A64" w:rsidRDefault="004D6A64">
            <w:pPr>
              <w:rPr>
                <w:rFonts w:ascii="宋体"/>
              </w:rPr>
            </w:pPr>
          </w:p>
        </w:tc>
        <w:tc>
          <w:tcPr>
            <w:tcW w:w="0" w:type="auto"/>
            <w:shd w:val="clear" w:color="auto" w:fill="auto"/>
          </w:tcPr>
          <w:p w14:paraId="33DACE1E" w14:textId="77777777" w:rsidR="004D6A64" w:rsidRDefault="004D6A64">
            <w:pPr>
              <w:rPr>
                <w:rFonts w:ascii="宋体"/>
              </w:rPr>
            </w:pPr>
          </w:p>
        </w:tc>
        <w:tc>
          <w:tcPr>
            <w:tcW w:w="0" w:type="auto"/>
            <w:shd w:val="clear" w:color="auto" w:fill="auto"/>
          </w:tcPr>
          <w:p w14:paraId="33DACE1F" w14:textId="77777777" w:rsidR="004D6A64" w:rsidRDefault="004D6A64">
            <w:pPr>
              <w:rPr>
                <w:rFonts w:ascii="宋体"/>
              </w:rPr>
            </w:pPr>
          </w:p>
        </w:tc>
      </w:tr>
      <w:tr w:rsidR="004D6A64" w14:paraId="33DACE39" w14:textId="77777777">
        <w:trPr>
          <w:jc w:val="center"/>
        </w:trPr>
        <w:tc>
          <w:tcPr>
            <w:tcW w:w="0" w:type="auto"/>
            <w:gridSpan w:val="3"/>
            <w:shd w:val="clear" w:color="auto" w:fill="CCEEFF"/>
            <w:tcMar>
              <w:top w:w="40" w:type="dxa"/>
              <w:left w:w="135" w:type="dxa"/>
              <w:bottom w:w="40" w:type="dxa"/>
              <w:right w:w="20" w:type="dxa"/>
            </w:tcMar>
            <w:vAlign w:val="center"/>
          </w:tcPr>
          <w:p w14:paraId="33DACE21" w14:textId="77777777" w:rsidR="004D6A64" w:rsidRDefault="00506CD6">
            <w:pPr>
              <w:textAlignment w:val="center"/>
            </w:pPr>
            <w:r>
              <w:rPr>
                <w:rFonts w:ascii="Times New Roman" w:eastAsia="宋体" w:hAnsi="Times New Roman"/>
                <w:color w:val="000000"/>
                <w:sz w:val="20"/>
                <w:szCs w:val="20"/>
              </w:rPr>
              <w:t>Class B</w:t>
            </w:r>
          </w:p>
        </w:tc>
        <w:tc>
          <w:tcPr>
            <w:tcW w:w="0" w:type="auto"/>
            <w:gridSpan w:val="2"/>
            <w:shd w:val="clear" w:color="auto" w:fill="CCEEFF"/>
            <w:tcMar>
              <w:top w:w="40" w:type="dxa"/>
              <w:left w:w="20" w:type="dxa"/>
              <w:bottom w:w="40" w:type="dxa"/>
              <w:right w:w="0" w:type="dxa"/>
            </w:tcMar>
            <w:vAlign w:val="center"/>
          </w:tcPr>
          <w:p w14:paraId="33DACE22" w14:textId="77777777" w:rsidR="004D6A64" w:rsidRDefault="00506CD6">
            <w:pPr>
              <w:jc w:val="right"/>
              <w:textAlignment w:val="center"/>
            </w:pPr>
            <w:r>
              <w:rPr>
                <w:rFonts w:ascii="Times New Roman" w:eastAsia="宋体" w:hAnsi="Times New Roman"/>
                <w:color w:val="000000"/>
                <w:sz w:val="20"/>
                <w:szCs w:val="20"/>
              </w:rPr>
              <w:t>200 </w:t>
            </w:r>
          </w:p>
        </w:tc>
        <w:tc>
          <w:tcPr>
            <w:tcW w:w="0" w:type="auto"/>
            <w:shd w:val="clear" w:color="auto" w:fill="CCEEFF"/>
            <w:tcMar>
              <w:top w:w="40" w:type="dxa"/>
              <w:bottom w:w="40" w:type="dxa"/>
              <w:right w:w="20" w:type="dxa"/>
            </w:tcMar>
            <w:vAlign w:val="center"/>
          </w:tcPr>
          <w:p w14:paraId="33DACE2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E24"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E25" w14:textId="77777777" w:rsidR="004D6A64" w:rsidRDefault="00506CD6">
            <w:pPr>
              <w:jc w:val="right"/>
              <w:textAlignment w:val="center"/>
            </w:pPr>
            <w:r>
              <w:rPr>
                <w:rFonts w:ascii="Times New Roman" w:eastAsia="宋体" w:hAnsi="Times New Roman"/>
                <w:color w:val="000000"/>
                <w:sz w:val="20"/>
                <w:szCs w:val="20"/>
              </w:rPr>
              <w:t>102 </w:t>
            </w:r>
          </w:p>
        </w:tc>
        <w:tc>
          <w:tcPr>
            <w:tcW w:w="0" w:type="auto"/>
            <w:shd w:val="clear" w:color="auto" w:fill="CCEEFF"/>
            <w:tcMar>
              <w:top w:w="40" w:type="dxa"/>
              <w:bottom w:w="40" w:type="dxa"/>
              <w:right w:w="20" w:type="dxa"/>
            </w:tcMar>
            <w:vAlign w:val="center"/>
          </w:tcPr>
          <w:p w14:paraId="33DACE2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E27"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E28" w14:textId="77777777" w:rsidR="004D6A64" w:rsidRDefault="00506CD6">
            <w:pPr>
              <w:jc w:val="right"/>
              <w:textAlignment w:val="center"/>
            </w:pPr>
            <w:r>
              <w:rPr>
                <w:rFonts w:ascii="Times New Roman" w:eastAsia="宋体" w:hAnsi="Times New Roman"/>
                <w:color w:val="000000"/>
                <w:sz w:val="20"/>
                <w:szCs w:val="20"/>
              </w:rPr>
              <w:t>102 </w:t>
            </w:r>
          </w:p>
        </w:tc>
        <w:tc>
          <w:tcPr>
            <w:tcW w:w="0" w:type="auto"/>
            <w:shd w:val="clear" w:color="auto" w:fill="CCEEFF"/>
            <w:tcMar>
              <w:top w:w="40" w:type="dxa"/>
              <w:bottom w:w="40" w:type="dxa"/>
              <w:right w:w="20" w:type="dxa"/>
            </w:tcMar>
            <w:vAlign w:val="center"/>
          </w:tcPr>
          <w:p w14:paraId="33DACE29" w14:textId="77777777" w:rsidR="004D6A64" w:rsidRDefault="004D6A64">
            <w:pPr>
              <w:jc w:val="right"/>
              <w:rPr>
                <w:rFonts w:ascii="宋体"/>
              </w:rPr>
            </w:pPr>
          </w:p>
        </w:tc>
        <w:tc>
          <w:tcPr>
            <w:tcW w:w="0" w:type="auto"/>
            <w:shd w:val="clear" w:color="auto" w:fill="auto"/>
          </w:tcPr>
          <w:p w14:paraId="33DACE2A" w14:textId="77777777" w:rsidR="004D6A64" w:rsidRDefault="004D6A64">
            <w:pPr>
              <w:rPr>
                <w:rFonts w:ascii="宋体"/>
              </w:rPr>
            </w:pPr>
          </w:p>
        </w:tc>
        <w:tc>
          <w:tcPr>
            <w:tcW w:w="0" w:type="auto"/>
            <w:shd w:val="clear" w:color="auto" w:fill="auto"/>
          </w:tcPr>
          <w:p w14:paraId="33DACE2B" w14:textId="77777777" w:rsidR="004D6A64" w:rsidRDefault="004D6A64">
            <w:pPr>
              <w:rPr>
                <w:rFonts w:ascii="宋体"/>
              </w:rPr>
            </w:pPr>
          </w:p>
        </w:tc>
        <w:tc>
          <w:tcPr>
            <w:tcW w:w="0" w:type="auto"/>
            <w:shd w:val="clear" w:color="auto" w:fill="auto"/>
          </w:tcPr>
          <w:p w14:paraId="33DACE2C" w14:textId="77777777" w:rsidR="004D6A64" w:rsidRDefault="004D6A64">
            <w:pPr>
              <w:rPr>
                <w:rFonts w:ascii="宋体"/>
              </w:rPr>
            </w:pPr>
          </w:p>
        </w:tc>
        <w:tc>
          <w:tcPr>
            <w:tcW w:w="0" w:type="auto"/>
            <w:shd w:val="clear" w:color="auto" w:fill="auto"/>
          </w:tcPr>
          <w:p w14:paraId="33DACE2D" w14:textId="77777777" w:rsidR="004D6A64" w:rsidRDefault="004D6A64">
            <w:pPr>
              <w:rPr>
                <w:rFonts w:ascii="宋体"/>
              </w:rPr>
            </w:pPr>
          </w:p>
        </w:tc>
        <w:tc>
          <w:tcPr>
            <w:tcW w:w="0" w:type="auto"/>
            <w:shd w:val="clear" w:color="auto" w:fill="auto"/>
          </w:tcPr>
          <w:p w14:paraId="33DACE2E" w14:textId="77777777" w:rsidR="004D6A64" w:rsidRDefault="004D6A64">
            <w:pPr>
              <w:rPr>
                <w:rFonts w:ascii="宋体"/>
              </w:rPr>
            </w:pPr>
          </w:p>
        </w:tc>
        <w:tc>
          <w:tcPr>
            <w:tcW w:w="0" w:type="auto"/>
            <w:shd w:val="clear" w:color="auto" w:fill="auto"/>
          </w:tcPr>
          <w:p w14:paraId="33DACE2F" w14:textId="77777777" w:rsidR="004D6A64" w:rsidRDefault="004D6A64">
            <w:pPr>
              <w:rPr>
                <w:rFonts w:ascii="宋体"/>
              </w:rPr>
            </w:pPr>
          </w:p>
        </w:tc>
        <w:tc>
          <w:tcPr>
            <w:tcW w:w="0" w:type="auto"/>
            <w:shd w:val="clear" w:color="auto" w:fill="auto"/>
          </w:tcPr>
          <w:p w14:paraId="33DACE30" w14:textId="77777777" w:rsidR="004D6A64" w:rsidRDefault="004D6A64">
            <w:pPr>
              <w:rPr>
                <w:rFonts w:ascii="宋体"/>
              </w:rPr>
            </w:pPr>
          </w:p>
        </w:tc>
        <w:tc>
          <w:tcPr>
            <w:tcW w:w="0" w:type="auto"/>
            <w:shd w:val="clear" w:color="auto" w:fill="auto"/>
          </w:tcPr>
          <w:p w14:paraId="33DACE31" w14:textId="77777777" w:rsidR="004D6A64" w:rsidRDefault="004D6A64">
            <w:pPr>
              <w:rPr>
                <w:rFonts w:ascii="宋体"/>
              </w:rPr>
            </w:pPr>
          </w:p>
        </w:tc>
        <w:tc>
          <w:tcPr>
            <w:tcW w:w="0" w:type="auto"/>
            <w:shd w:val="clear" w:color="auto" w:fill="auto"/>
          </w:tcPr>
          <w:p w14:paraId="33DACE32" w14:textId="77777777" w:rsidR="004D6A64" w:rsidRDefault="004D6A64">
            <w:pPr>
              <w:rPr>
                <w:rFonts w:ascii="宋体"/>
              </w:rPr>
            </w:pPr>
          </w:p>
        </w:tc>
        <w:tc>
          <w:tcPr>
            <w:tcW w:w="0" w:type="auto"/>
            <w:shd w:val="clear" w:color="auto" w:fill="auto"/>
          </w:tcPr>
          <w:p w14:paraId="33DACE33" w14:textId="77777777" w:rsidR="004D6A64" w:rsidRDefault="004D6A64">
            <w:pPr>
              <w:rPr>
                <w:rFonts w:ascii="宋体"/>
              </w:rPr>
            </w:pPr>
          </w:p>
        </w:tc>
        <w:tc>
          <w:tcPr>
            <w:tcW w:w="0" w:type="auto"/>
            <w:shd w:val="clear" w:color="auto" w:fill="auto"/>
          </w:tcPr>
          <w:p w14:paraId="33DACE34" w14:textId="77777777" w:rsidR="004D6A64" w:rsidRDefault="004D6A64">
            <w:pPr>
              <w:rPr>
                <w:rFonts w:ascii="宋体"/>
              </w:rPr>
            </w:pPr>
          </w:p>
        </w:tc>
        <w:tc>
          <w:tcPr>
            <w:tcW w:w="0" w:type="auto"/>
            <w:shd w:val="clear" w:color="auto" w:fill="auto"/>
          </w:tcPr>
          <w:p w14:paraId="33DACE35" w14:textId="77777777" w:rsidR="004D6A64" w:rsidRDefault="004D6A64">
            <w:pPr>
              <w:rPr>
                <w:rFonts w:ascii="宋体"/>
              </w:rPr>
            </w:pPr>
          </w:p>
        </w:tc>
        <w:tc>
          <w:tcPr>
            <w:tcW w:w="0" w:type="auto"/>
            <w:shd w:val="clear" w:color="auto" w:fill="auto"/>
          </w:tcPr>
          <w:p w14:paraId="33DACE36" w14:textId="77777777" w:rsidR="004D6A64" w:rsidRDefault="004D6A64">
            <w:pPr>
              <w:rPr>
                <w:rFonts w:ascii="宋体"/>
              </w:rPr>
            </w:pPr>
          </w:p>
        </w:tc>
        <w:tc>
          <w:tcPr>
            <w:tcW w:w="0" w:type="auto"/>
            <w:shd w:val="clear" w:color="auto" w:fill="auto"/>
          </w:tcPr>
          <w:p w14:paraId="33DACE37" w14:textId="77777777" w:rsidR="004D6A64" w:rsidRDefault="004D6A64">
            <w:pPr>
              <w:rPr>
                <w:rFonts w:ascii="宋体"/>
              </w:rPr>
            </w:pPr>
          </w:p>
        </w:tc>
        <w:tc>
          <w:tcPr>
            <w:tcW w:w="0" w:type="auto"/>
            <w:shd w:val="clear" w:color="auto" w:fill="auto"/>
          </w:tcPr>
          <w:p w14:paraId="33DACE38" w14:textId="77777777" w:rsidR="004D6A64" w:rsidRDefault="004D6A64">
            <w:pPr>
              <w:rPr>
                <w:rFonts w:ascii="宋体"/>
              </w:rPr>
            </w:pPr>
          </w:p>
        </w:tc>
      </w:tr>
      <w:tr w:rsidR="004D6A64" w14:paraId="33DACE52" w14:textId="77777777">
        <w:trPr>
          <w:jc w:val="center"/>
        </w:trPr>
        <w:tc>
          <w:tcPr>
            <w:tcW w:w="0" w:type="auto"/>
            <w:gridSpan w:val="3"/>
            <w:shd w:val="clear" w:color="auto" w:fill="FFFFFF"/>
            <w:tcMar>
              <w:top w:w="40" w:type="dxa"/>
              <w:left w:w="135" w:type="dxa"/>
              <w:bottom w:w="40" w:type="dxa"/>
              <w:right w:w="20" w:type="dxa"/>
            </w:tcMar>
            <w:vAlign w:val="center"/>
          </w:tcPr>
          <w:p w14:paraId="33DACE3A" w14:textId="77777777" w:rsidR="004D6A64" w:rsidRDefault="00506CD6">
            <w:pPr>
              <w:textAlignment w:val="center"/>
            </w:pPr>
            <w:r>
              <w:rPr>
                <w:rFonts w:ascii="Times New Roman" w:eastAsia="宋体" w:hAnsi="Times New Roman"/>
                <w:color w:val="000000"/>
                <w:sz w:val="20"/>
                <w:szCs w:val="20"/>
              </w:rPr>
              <w:t>Class C</w:t>
            </w:r>
          </w:p>
        </w:tc>
        <w:tc>
          <w:tcPr>
            <w:tcW w:w="0" w:type="auto"/>
            <w:gridSpan w:val="2"/>
            <w:shd w:val="clear" w:color="auto" w:fill="FFFFFF"/>
            <w:tcMar>
              <w:top w:w="40" w:type="dxa"/>
              <w:left w:w="20" w:type="dxa"/>
              <w:bottom w:w="40" w:type="dxa"/>
              <w:right w:w="0" w:type="dxa"/>
            </w:tcMar>
            <w:vAlign w:val="center"/>
          </w:tcPr>
          <w:p w14:paraId="33DACE3B" w14:textId="77777777" w:rsidR="004D6A64" w:rsidRDefault="00506CD6">
            <w:pPr>
              <w:jc w:val="right"/>
              <w:textAlignment w:val="center"/>
            </w:pPr>
            <w:r>
              <w:rPr>
                <w:rFonts w:ascii="Times New Roman" w:eastAsia="宋体" w:hAnsi="Times New Roman"/>
                <w:color w:val="000000"/>
                <w:sz w:val="20"/>
                <w:szCs w:val="20"/>
              </w:rPr>
              <w:t>7,900 </w:t>
            </w:r>
          </w:p>
        </w:tc>
        <w:tc>
          <w:tcPr>
            <w:tcW w:w="0" w:type="auto"/>
            <w:shd w:val="clear" w:color="auto" w:fill="FFFFFF"/>
            <w:tcMar>
              <w:top w:w="40" w:type="dxa"/>
              <w:bottom w:w="40" w:type="dxa"/>
              <w:right w:w="20" w:type="dxa"/>
            </w:tcMar>
            <w:vAlign w:val="center"/>
          </w:tcPr>
          <w:p w14:paraId="33DACE3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E3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E3E" w14:textId="77777777" w:rsidR="004D6A64" w:rsidRDefault="00506CD6">
            <w:pPr>
              <w:jc w:val="right"/>
              <w:textAlignment w:val="center"/>
            </w:pPr>
            <w:r>
              <w:rPr>
                <w:rFonts w:ascii="Times New Roman" w:eastAsia="宋体" w:hAnsi="Times New Roman"/>
                <w:color w:val="000000"/>
                <w:sz w:val="20"/>
                <w:szCs w:val="20"/>
              </w:rPr>
              <w:t>258 </w:t>
            </w:r>
          </w:p>
        </w:tc>
        <w:tc>
          <w:tcPr>
            <w:tcW w:w="0" w:type="auto"/>
            <w:shd w:val="clear" w:color="auto" w:fill="FFFFFF"/>
            <w:tcMar>
              <w:top w:w="40" w:type="dxa"/>
              <w:bottom w:w="40" w:type="dxa"/>
              <w:right w:w="20" w:type="dxa"/>
            </w:tcMar>
            <w:vAlign w:val="center"/>
          </w:tcPr>
          <w:p w14:paraId="33DACE3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E4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E41" w14:textId="77777777" w:rsidR="004D6A64" w:rsidRDefault="00506CD6">
            <w:pPr>
              <w:jc w:val="right"/>
              <w:textAlignment w:val="center"/>
            </w:pPr>
            <w:r>
              <w:rPr>
                <w:rFonts w:ascii="Times New Roman" w:eastAsia="宋体" w:hAnsi="Times New Roman"/>
                <w:color w:val="000000"/>
                <w:sz w:val="20"/>
                <w:szCs w:val="20"/>
              </w:rPr>
              <w:t>256 </w:t>
            </w:r>
          </w:p>
        </w:tc>
        <w:tc>
          <w:tcPr>
            <w:tcW w:w="0" w:type="auto"/>
            <w:shd w:val="clear" w:color="auto" w:fill="FFFFFF"/>
            <w:tcMar>
              <w:top w:w="40" w:type="dxa"/>
              <w:bottom w:w="40" w:type="dxa"/>
              <w:right w:w="20" w:type="dxa"/>
            </w:tcMar>
            <w:vAlign w:val="center"/>
          </w:tcPr>
          <w:p w14:paraId="33DACE42" w14:textId="77777777" w:rsidR="004D6A64" w:rsidRDefault="004D6A64">
            <w:pPr>
              <w:jc w:val="right"/>
              <w:rPr>
                <w:rFonts w:ascii="宋体"/>
              </w:rPr>
            </w:pPr>
          </w:p>
        </w:tc>
        <w:tc>
          <w:tcPr>
            <w:tcW w:w="0" w:type="auto"/>
            <w:shd w:val="clear" w:color="auto" w:fill="auto"/>
          </w:tcPr>
          <w:p w14:paraId="33DACE43" w14:textId="77777777" w:rsidR="004D6A64" w:rsidRDefault="004D6A64">
            <w:pPr>
              <w:rPr>
                <w:rFonts w:ascii="宋体"/>
              </w:rPr>
            </w:pPr>
          </w:p>
        </w:tc>
        <w:tc>
          <w:tcPr>
            <w:tcW w:w="0" w:type="auto"/>
            <w:shd w:val="clear" w:color="auto" w:fill="auto"/>
          </w:tcPr>
          <w:p w14:paraId="33DACE44" w14:textId="77777777" w:rsidR="004D6A64" w:rsidRDefault="004D6A64">
            <w:pPr>
              <w:rPr>
                <w:rFonts w:ascii="宋体"/>
              </w:rPr>
            </w:pPr>
          </w:p>
        </w:tc>
        <w:tc>
          <w:tcPr>
            <w:tcW w:w="0" w:type="auto"/>
            <w:shd w:val="clear" w:color="auto" w:fill="auto"/>
          </w:tcPr>
          <w:p w14:paraId="33DACE45" w14:textId="77777777" w:rsidR="004D6A64" w:rsidRDefault="004D6A64">
            <w:pPr>
              <w:rPr>
                <w:rFonts w:ascii="宋体"/>
              </w:rPr>
            </w:pPr>
          </w:p>
        </w:tc>
        <w:tc>
          <w:tcPr>
            <w:tcW w:w="0" w:type="auto"/>
            <w:shd w:val="clear" w:color="auto" w:fill="auto"/>
          </w:tcPr>
          <w:p w14:paraId="33DACE46" w14:textId="77777777" w:rsidR="004D6A64" w:rsidRDefault="004D6A64">
            <w:pPr>
              <w:rPr>
                <w:rFonts w:ascii="宋体"/>
              </w:rPr>
            </w:pPr>
          </w:p>
        </w:tc>
        <w:tc>
          <w:tcPr>
            <w:tcW w:w="0" w:type="auto"/>
            <w:shd w:val="clear" w:color="auto" w:fill="auto"/>
          </w:tcPr>
          <w:p w14:paraId="33DACE47" w14:textId="77777777" w:rsidR="004D6A64" w:rsidRDefault="004D6A64">
            <w:pPr>
              <w:rPr>
                <w:rFonts w:ascii="宋体"/>
              </w:rPr>
            </w:pPr>
          </w:p>
        </w:tc>
        <w:tc>
          <w:tcPr>
            <w:tcW w:w="0" w:type="auto"/>
            <w:shd w:val="clear" w:color="auto" w:fill="auto"/>
          </w:tcPr>
          <w:p w14:paraId="33DACE48" w14:textId="77777777" w:rsidR="004D6A64" w:rsidRDefault="004D6A64">
            <w:pPr>
              <w:rPr>
                <w:rFonts w:ascii="宋体"/>
              </w:rPr>
            </w:pPr>
          </w:p>
        </w:tc>
        <w:tc>
          <w:tcPr>
            <w:tcW w:w="0" w:type="auto"/>
            <w:shd w:val="clear" w:color="auto" w:fill="auto"/>
          </w:tcPr>
          <w:p w14:paraId="33DACE49" w14:textId="77777777" w:rsidR="004D6A64" w:rsidRDefault="004D6A64">
            <w:pPr>
              <w:rPr>
                <w:rFonts w:ascii="宋体"/>
              </w:rPr>
            </w:pPr>
          </w:p>
        </w:tc>
        <w:tc>
          <w:tcPr>
            <w:tcW w:w="0" w:type="auto"/>
            <w:shd w:val="clear" w:color="auto" w:fill="auto"/>
          </w:tcPr>
          <w:p w14:paraId="33DACE4A" w14:textId="77777777" w:rsidR="004D6A64" w:rsidRDefault="004D6A64">
            <w:pPr>
              <w:rPr>
                <w:rFonts w:ascii="宋体"/>
              </w:rPr>
            </w:pPr>
          </w:p>
        </w:tc>
        <w:tc>
          <w:tcPr>
            <w:tcW w:w="0" w:type="auto"/>
            <w:shd w:val="clear" w:color="auto" w:fill="auto"/>
          </w:tcPr>
          <w:p w14:paraId="33DACE4B" w14:textId="77777777" w:rsidR="004D6A64" w:rsidRDefault="004D6A64">
            <w:pPr>
              <w:rPr>
                <w:rFonts w:ascii="宋体"/>
              </w:rPr>
            </w:pPr>
          </w:p>
        </w:tc>
        <w:tc>
          <w:tcPr>
            <w:tcW w:w="0" w:type="auto"/>
            <w:shd w:val="clear" w:color="auto" w:fill="auto"/>
          </w:tcPr>
          <w:p w14:paraId="33DACE4C" w14:textId="77777777" w:rsidR="004D6A64" w:rsidRDefault="004D6A64">
            <w:pPr>
              <w:rPr>
                <w:rFonts w:ascii="宋体"/>
              </w:rPr>
            </w:pPr>
          </w:p>
        </w:tc>
        <w:tc>
          <w:tcPr>
            <w:tcW w:w="0" w:type="auto"/>
            <w:shd w:val="clear" w:color="auto" w:fill="auto"/>
          </w:tcPr>
          <w:p w14:paraId="33DACE4D" w14:textId="77777777" w:rsidR="004D6A64" w:rsidRDefault="004D6A64">
            <w:pPr>
              <w:rPr>
                <w:rFonts w:ascii="宋体"/>
              </w:rPr>
            </w:pPr>
          </w:p>
        </w:tc>
        <w:tc>
          <w:tcPr>
            <w:tcW w:w="0" w:type="auto"/>
            <w:shd w:val="clear" w:color="auto" w:fill="auto"/>
          </w:tcPr>
          <w:p w14:paraId="33DACE4E" w14:textId="77777777" w:rsidR="004D6A64" w:rsidRDefault="004D6A64">
            <w:pPr>
              <w:rPr>
                <w:rFonts w:ascii="宋体"/>
              </w:rPr>
            </w:pPr>
          </w:p>
        </w:tc>
        <w:tc>
          <w:tcPr>
            <w:tcW w:w="0" w:type="auto"/>
            <w:shd w:val="clear" w:color="auto" w:fill="auto"/>
          </w:tcPr>
          <w:p w14:paraId="33DACE4F" w14:textId="77777777" w:rsidR="004D6A64" w:rsidRDefault="004D6A64">
            <w:pPr>
              <w:rPr>
                <w:rFonts w:ascii="宋体"/>
              </w:rPr>
            </w:pPr>
          </w:p>
        </w:tc>
        <w:tc>
          <w:tcPr>
            <w:tcW w:w="0" w:type="auto"/>
            <w:shd w:val="clear" w:color="auto" w:fill="auto"/>
          </w:tcPr>
          <w:p w14:paraId="33DACE50" w14:textId="77777777" w:rsidR="004D6A64" w:rsidRDefault="004D6A64">
            <w:pPr>
              <w:rPr>
                <w:rFonts w:ascii="宋体"/>
              </w:rPr>
            </w:pPr>
          </w:p>
        </w:tc>
        <w:tc>
          <w:tcPr>
            <w:tcW w:w="0" w:type="auto"/>
            <w:shd w:val="clear" w:color="auto" w:fill="auto"/>
          </w:tcPr>
          <w:p w14:paraId="33DACE51" w14:textId="77777777" w:rsidR="004D6A64" w:rsidRDefault="004D6A64">
            <w:pPr>
              <w:rPr>
                <w:rFonts w:ascii="宋体"/>
              </w:rPr>
            </w:pPr>
          </w:p>
        </w:tc>
      </w:tr>
      <w:tr w:rsidR="004D6A64" w14:paraId="33DACE6B" w14:textId="77777777">
        <w:trPr>
          <w:jc w:val="center"/>
        </w:trPr>
        <w:tc>
          <w:tcPr>
            <w:tcW w:w="0" w:type="auto"/>
            <w:gridSpan w:val="3"/>
            <w:shd w:val="clear" w:color="auto" w:fill="CCEEFF"/>
            <w:tcMar>
              <w:top w:w="40" w:type="dxa"/>
              <w:left w:w="135" w:type="dxa"/>
              <w:bottom w:w="40" w:type="dxa"/>
              <w:right w:w="20" w:type="dxa"/>
            </w:tcMar>
            <w:vAlign w:val="center"/>
          </w:tcPr>
          <w:p w14:paraId="33DACE53" w14:textId="77777777" w:rsidR="004D6A64" w:rsidRDefault="00506CD6">
            <w:pPr>
              <w:textAlignment w:val="center"/>
            </w:pPr>
            <w:r>
              <w:rPr>
                <w:rFonts w:ascii="Times New Roman" w:eastAsia="宋体" w:hAnsi="Times New Roman"/>
                <w:color w:val="000000"/>
                <w:sz w:val="20"/>
                <w:szCs w:val="20"/>
              </w:rPr>
              <w:t>Class D</w:t>
            </w:r>
          </w:p>
        </w:tc>
        <w:tc>
          <w:tcPr>
            <w:tcW w:w="0" w:type="auto"/>
            <w:gridSpan w:val="2"/>
            <w:shd w:val="clear" w:color="auto" w:fill="CCEEFF"/>
            <w:tcMar>
              <w:top w:w="40" w:type="dxa"/>
              <w:left w:w="20" w:type="dxa"/>
              <w:bottom w:w="40" w:type="dxa"/>
              <w:right w:w="0" w:type="dxa"/>
            </w:tcMar>
            <w:vAlign w:val="center"/>
          </w:tcPr>
          <w:p w14:paraId="33DACE54" w14:textId="77777777" w:rsidR="004D6A64" w:rsidRDefault="00506CD6">
            <w:pPr>
              <w:jc w:val="right"/>
              <w:textAlignment w:val="center"/>
            </w:pPr>
            <w:r>
              <w:rPr>
                <w:rFonts w:ascii="Times New Roman" w:eastAsia="宋体" w:hAnsi="Times New Roman"/>
                <w:color w:val="000000"/>
                <w:sz w:val="20"/>
                <w:szCs w:val="20"/>
              </w:rPr>
              <w:t>100 </w:t>
            </w:r>
          </w:p>
        </w:tc>
        <w:tc>
          <w:tcPr>
            <w:tcW w:w="0" w:type="auto"/>
            <w:shd w:val="clear" w:color="auto" w:fill="CCEEFF"/>
            <w:tcMar>
              <w:top w:w="40" w:type="dxa"/>
              <w:bottom w:w="40" w:type="dxa"/>
              <w:right w:w="20" w:type="dxa"/>
            </w:tcMar>
            <w:vAlign w:val="center"/>
          </w:tcPr>
          <w:p w14:paraId="33DACE5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E5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E57"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CE5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E5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CE5A"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CE5B" w14:textId="77777777" w:rsidR="004D6A64" w:rsidRDefault="004D6A64">
            <w:pPr>
              <w:jc w:val="right"/>
              <w:rPr>
                <w:rFonts w:ascii="宋体"/>
              </w:rPr>
            </w:pPr>
          </w:p>
        </w:tc>
        <w:tc>
          <w:tcPr>
            <w:tcW w:w="0" w:type="auto"/>
            <w:shd w:val="clear" w:color="auto" w:fill="auto"/>
          </w:tcPr>
          <w:p w14:paraId="33DACE5C" w14:textId="77777777" w:rsidR="004D6A64" w:rsidRDefault="004D6A64">
            <w:pPr>
              <w:rPr>
                <w:rFonts w:ascii="宋体"/>
              </w:rPr>
            </w:pPr>
          </w:p>
        </w:tc>
        <w:tc>
          <w:tcPr>
            <w:tcW w:w="0" w:type="auto"/>
            <w:shd w:val="clear" w:color="auto" w:fill="auto"/>
          </w:tcPr>
          <w:p w14:paraId="33DACE5D" w14:textId="77777777" w:rsidR="004D6A64" w:rsidRDefault="004D6A64">
            <w:pPr>
              <w:rPr>
                <w:rFonts w:ascii="宋体"/>
              </w:rPr>
            </w:pPr>
          </w:p>
        </w:tc>
        <w:tc>
          <w:tcPr>
            <w:tcW w:w="0" w:type="auto"/>
            <w:shd w:val="clear" w:color="auto" w:fill="auto"/>
          </w:tcPr>
          <w:p w14:paraId="33DACE5E" w14:textId="77777777" w:rsidR="004D6A64" w:rsidRDefault="004D6A64">
            <w:pPr>
              <w:rPr>
                <w:rFonts w:ascii="宋体"/>
              </w:rPr>
            </w:pPr>
          </w:p>
        </w:tc>
        <w:tc>
          <w:tcPr>
            <w:tcW w:w="0" w:type="auto"/>
            <w:shd w:val="clear" w:color="auto" w:fill="auto"/>
          </w:tcPr>
          <w:p w14:paraId="33DACE5F" w14:textId="77777777" w:rsidR="004D6A64" w:rsidRDefault="004D6A64">
            <w:pPr>
              <w:rPr>
                <w:rFonts w:ascii="宋体"/>
              </w:rPr>
            </w:pPr>
          </w:p>
        </w:tc>
        <w:tc>
          <w:tcPr>
            <w:tcW w:w="0" w:type="auto"/>
            <w:shd w:val="clear" w:color="auto" w:fill="auto"/>
          </w:tcPr>
          <w:p w14:paraId="33DACE60" w14:textId="77777777" w:rsidR="004D6A64" w:rsidRDefault="004D6A64">
            <w:pPr>
              <w:rPr>
                <w:rFonts w:ascii="宋体"/>
              </w:rPr>
            </w:pPr>
          </w:p>
        </w:tc>
        <w:tc>
          <w:tcPr>
            <w:tcW w:w="0" w:type="auto"/>
            <w:shd w:val="clear" w:color="auto" w:fill="auto"/>
          </w:tcPr>
          <w:p w14:paraId="33DACE61" w14:textId="77777777" w:rsidR="004D6A64" w:rsidRDefault="004D6A64">
            <w:pPr>
              <w:rPr>
                <w:rFonts w:ascii="宋体"/>
              </w:rPr>
            </w:pPr>
          </w:p>
        </w:tc>
        <w:tc>
          <w:tcPr>
            <w:tcW w:w="0" w:type="auto"/>
            <w:shd w:val="clear" w:color="auto" w:fill="auto"/>
          </w:tcPr>
          <w:p w14:paraId="33DACE62" w14:textId="77777777" w:rsidR="004D6A64" w:rsidRDefault="004D6A64">
            <w:pPr>
              <w:rPr>
                <w:rFonts w:ascii="宋体"/>
              </w:rPr>
            </w:pPr>
          </w:p>
        </w:tc>
        <w:tc>
          <w:tcPr>
            <w:tcW w:w="0" w:type="auto"/>
            <w:shd w:val="clear" w:color="auto" w:fill="auto"/>
          </w:tcPr>
          <w:p w14:paraId="33DACE63" w14:textId="77777777" w:rsidR="004D6A64" w:rsidRDefault="004D6A64">
            <w:pPr>
              <w:rPr>
                <w:rFonts w:ascii="宋体"/>
              </w:rPr>
            </w:pPr>
          </w:p>
        </w:tc>
        <w:tc>
          <w:tcPr>
            <w:tcW w:w="0" w:type="auto"/>
            <w:shd w:val="clear" w:color="auto" w:fill="auto"/>
          </w:tcPr>
          <w:p w14:paraId="33DACE64" w14:textId="77777777" w:rsidR="004D6A64" w:rsidRDefault="004D6A64">
            <w:pPr>
              <w:rPr>
                <w:rFonts w:ascii="宋体"/>
              </w:rPr>
            </w:pPr>
          </w:p>
        </w:tc>
        <w:tc>
          <w:tcPr>
            <w:tcW w:w="0" w:type="auto"/>
            <w:shd w:val="clear" w:color="auto" w:fill="auto"/>
          </w:tcPr>
          <w:p w14:paraId="33DACE65" w14:textId="77777777" w:rsidR="004D6A64" w:rsidRDefault="004D6A64">
            <w:pPr>
              <w:rPr>
                <w:rFonts w:ascii="宋体"/>
              </w:rPr>
            </w:pPr>
          </w:p>
        </w:tc>
        <w:tc>
          <w:tcPr>
            <w:tcW w:w="0" w:type="auto"/>
            <w:shd w:val="clear" w:color="auto" w:fill="auto"/>
          </w:tcPr>
          <w:p w14:paraId="33DACE66" w14:textId="77777777" w:rsidR="004D6A64" w:rsidRDefault="004D6A64">
            <w:pPr>
              <w:rPr>
                <w:rFonts w:ascii="宋体"/>
              </w:rPr>
            </w:pPr>
          </w:p>
        </w:tc>
        <w:tc>
          <w:tcPr>
            <w:tcW w:w="0" w:type="auto"/>
            <w:shd w:val="clear" w:color="auto" w:fill="auto"/>
          </w:tcPr>
          <w:p w14:paraId="33DACE67" w14:textId="77777777" w:rsidR="004D6A64" w:rsidRDefault="004D6A64">
            <w:pPr>
              <w:rPr>
                <w:rFonts w:ascii="宋体"/>
              </w:rPr>
            </w:pPr>
          </w:p>
        </w:tc>
        <w:tc>
          <w:tcPr>
            <w:tcW w:w="0" w:type="auto"/>
            <w:shd w:val="clear" w:color="auto" w:fill="auto"/>
          </w:tcPr>
          <w:p w14:paraId="33DACE68" w14:textId="77777777" w:rsidR="004D6A64" w:rsidRDefault="004D6A64">
            <w:pPr>
              <w:rPr>
                <w:rFonts w:ascii="宋体"/>
              </w:rPr>
            </w:pPr>
          </w:p>
        </w:tc>
        <w:tc>
          <w:tcPr>
            <w:tcW w:w="0" w:type="auto"/>
            <w:shd w:val="clear" w:color="auto" w:fill="auto"/>
          </w:tcPr>
          <w:p w14:paraId="33DACE69" w14:textId="77777777" w:rsidR="004D6A64" w:rsidRDefault="004D6A64">
            <w:pPr>
              <w:rPr>
                <w:rFonts w:ascii="宋体"/>
              </w:rPr>
            </w:pPr>
          </w:p>
        </w:tc>
        <w:tc>
          <w:tcPr>
            <w:tcW w:w="0" w:type="auto"/>
            <w:shd w:val="clear" w:color="auto" w:fill="auto"/>
          </w:tcPr>
          <w:p w14:paraId="33DACE6A" w14:textId="77777777" w:rsidR="004D6A64" w:rsidRDefault="004D6A64">
            <w:pPr>
              <w:rPr>
                <w:rFonts w:ascii="宋体"/>
              </w:rPr>
            </w:pPr>
          </w:p>
        </w:tc>
      </w:tr>
      <w:tr w:rsidR="004D6A64" w14:paraId="33DACE84" w14:textId="77777777">
        <w:trPr>
          <w:jc w:val="center"/>
        </w:trPr>
        <w:tc>
          <w:tcPr>
            <w:tcW w:w="0" w:type="auto"/>
            <w:gridSpan w:val="3"/>
            <w:shd w:val="clear" w:color="auto" w:fill="FFFFFF"/>
            <w:tcMar>
              <w:top w:w="40" w:type="dxa"/>
              <w:left w:w="135" w:type="dxa"/>
              <w:bottom w:w="40" w:type="dxa"/>
              <w:right w:w="20" w:type="dxa"/>
            </w:tcMar>
            <w:vAlign w:val="center"/>
          </w:tcPr>
          <w:p w14:paraId="33DACE6C" w14:textId="77777777" w:rsidR="004D6A64" w:rsidRDefault="00506CD6">
            <w:pPr>
              <w:textAlignment w:val="center"/>
            </w:pPr>
            <w:r>
              <w:rPr>
                <w:rFonts w:ascii="Times New Roman" w:eastAsia="宋体" w:hAnsi="Times New Roman"/>
                <w:color w:val="000000"/>
                <w:sz w:val="20"/>
                <w:szCs w:val="20"/>
              </w:rPr>
              <w:t>Class V</w:t>
            </w:r>
          </w:p>
        </w:tc>
        <w:tc>
          <w:tcPr>
            <w:tcW w:w="0" w:type="auto"/>
            <w:gridSpan w:val="2"/>
            <w:shd w:val="clear" w:color="auto" w:fill="FFFFFF"/>
            <w:tcMar>
              <w:top w:w="40" w:type="dxa"/>
              <w:left w:w="20" w:type="dxa"/>
              <w:bottom w:w="40" w:type="dxa"/>
              <w:right w:w="0" w:type="dxa"/>
            </w:tcMar>
            <w:vAlign w:val="center"/>
          </w:tcPr>
          <w:p w14:paraId="33DACE6D" w14:textId="77777777" w:rsidR="004D6A64" w:rsidRDefault="00506CD6">
            <w:pPr>
              <w:jc w:val="right"/>
              <w:textAlignment w:val="center"/>
            </w:pPr>
            <w:r>
              <w:rPr>
                <w:rFonts w:ascii="Times New Roman" w:eastAsia="宋体" w:hAnsi="Times New Roman"/>
                <w:color w:val="000000"/>
                <w:sz w:val="20"/>
                <w:szCs w:val="20"/>
              </w:rPr>
              <w:t>343 </w:t>
            </w:r>
          </w:p>
        </w:tc>
        <w:tc>
          <w:tcPr>
            <w:tcW w:w="0" w:type="auto"/>
            <w:shd w:val="clear" w:color="auto" w:fill="FFFFFF"/>
            <w:tcMar>
              <w:top w:w="40" w:type="dxa"/>
              <w:bottom w:w="40" w:type="dxa"/>
              <w:right w:w="20" w:type="dxa"/>
            </w:tcMar>
            <w:vAlign w:val="center"/>
          </w:tcPr>
          <w:p w14:paraId="33DACE6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E6F"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E70"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CE7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E72"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CE73"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CE74" w14:textId="77777777" w:rsidR="004D6A64" w:rsidRDefault="004D6A64">
            <w:pPr>
              <w:jc w:val="right"/>
              <w:rPr>
                <w:rFonts w:ascii="宋体"/>
              </w:rPr>
            </w:pPr>
          </w:p>
        </w:tc>
        <w:tc>
          <w:tcPr>
            <w:tcW w:w="0" w:type="auto"/>
            <w:shd w:val="clear" w:color="auto" w:fill="auto"/>
          </w:tcPr>
          <w:p w14:paraId="33DACE75" w14:textId="77777777" w:rsidR="004D6A64" w:rsidRDefault="004D6A64">
            <w:pPr>
              <w:rPr>
                <w:rFonts w:ascii="宋体"/>
              </w:rPr>
            </w:pPr>
          </w:p>
        </w:tc>
        <w:tc>
          <w:tcPr>
            <w:tcW w:w="0" w:type="auto"/>
            <w:shd w:val="clear" w:color="auto" w:fill="auto"/>
          </w:tcPr>
          <w:p w14:paraId="33DACE76" w14:textId="77777777" w:rsidR="004D6A64" w:rsidRDefault="004D6A64">
            <w:pPr>
              <w:rPr>
                <w:rFonts w:ascii="宋体"/>
              </w:rPr>
            </w:pPr>
          </w:p>
        </w:tc>
        <w:tc>
          <w:tcPr>
            <w:tcW w:w="0" w:type="auto"/>
            <w:shd w:val="clear" w:color="auto" w:fill="auto"/>
          </w:tcPr>
          <w:p w14:paraId="33DACE77" w14:textId="77777777" w:rsidR="004D6A64" w:rsidRDefault="004D6A64">
            <w:pPr>
              <w:rPr>
                <w:rFonts w:ascii="宋体"/>
              </w:rPr>
            </w:pPr>
          </w:p>
        </w:tc>
        <w:tc>
          <w:tcPr>
            <w:tcW w:w="0" w:type="auto"/>
            <w:shd w:val="clear" w:color="auto" w:fill="auto"/>
          </w:tcPr>
          <w:p w14:paraId="33DACE78" w14:textId="77777777" w:rsidR="004D6A64" w:rsidRDefault="004D6A64">
            <w:pPr>
              <w:rPr>
                <w:rFonts w:ascii="宋体"/>
              </w:rPr>
            </w:pPr>
          </w:p>
        </w:tc>
        <w:tc>
          <w:tcPr>
            <w:tcW w:w="0" w:type="auto"/>
            <w:shd w:val="clear" w:color="auto" w:fill="auto"/>
          </w:tcPr>
          <w:p w14:paraId="33DACE79" w14:textId="77777777" w:rsidR="004D6A64" w:rsidRDefault="004D6A64">
            <w:pPr>
              <w:rPr>
                <w:rFonts w:ascii="宋体"/>
              </w:rPr>
            </w:pPr>
          </w:p>
        </w:tc>
        <w:tc>
          <w:tcPr>
            <w:tcW w:w="0" w:type="auto"/>
            <w:shd w:val="clear" w:color="auto" w:fill="auto"/>
          </w:tcPr>
          <w:p w14:paraId="33DACE7A" w14:textId="77777777" w:rsidR="004D6A64" w:rsidRDefault="004D6A64">
            <w:pPr>
              <w:rPr>
                <w:rFonts w:ascii="宋体"/>
              </w:rPr>
            </w:pPr>
          </w:p>
        </w:tc>
        <w:tc>
          <w:tcPr>
            <w:tcW w:w="0" w:type="auto"/>
            <w:shd w:val="clear" w:color="auto" w:fill="auto"/>
          </w:tcPr>
          <w:p w14:paraId="33DACE7B" w14:textId="77777777" w:rsidR="004D6A64" w:rsidRDefault="004D6A64">
            <w:pPr>
              <w:rPr>
                <w:rFonts w:ascii="宋体"/>
              </w:rPr>
            </w:pPr>
          </w:p>
        </w:tc>
        <w:tc>
          <w:tcPr>
            <w:tcW w:w="0" w:type="auto"/>
            <w:shd w:val="clear" w:color="auto" w:fill="auto"/>
          </w:tcPr>
          <w:p w14:paraId="33DACE7C" w14:textId="77777777" w:rsidR="004D6A64" w:rsidRDefault="004D6A64">
            <w:pPr>
              <w:rPr>
                <w:rFonts w:ascii="宋体"/>
              </w:rPr>
            </w:pPr>
          </w:p>
        </w:tc>
        <w:tc>
          <w:tcPr>
            <w:tcW w:w="0" w:type="auto"/>
            <w:shd w:val="clear" w:color="auto" w:fill="auto"/>
          </w:tcPr>
          <w:p w14:paraId="33DACE7D" w14:textId="77777777" w:rsidR="004D6A64" w:rsidRDefault="004D6A64">
            <w:pPr>
              <w:rPr>
                <w:rFonts w:ascii="宋体"/>
              </w:rPr>
            </w:pPr>
          </w:p>
        </w:tc>
        <w:tc>
          <w:tcPr>
            <w:tcW w:w="0" w:type="auto"/>
            <w:shd w:val="clear" w:color="auto" w:fill="auto"/>
          </w:tcPr>
          <w:p w14:paraId="33DACE7E" w14:textId="77777777" w:rsidR="004D6A64" w:rsidRDefault="004D6A64">
            <w:pPr>
              <w:rPr>
                <w:rFonts w:ascii="宋体"/>
              </w:rPr>
            </w:pPr>
          </w:p>
        </w:tc>
        <w:tc>
          <w:tcPr>
            <w:tcW w:w="0" w:type="auto"/>
            <w:shd w:val="clear" w:color="auto" w:fill="auto"/>
          </w:tcPr>
          <w:p w14:paraId="33DACE7F" w14:textId="77777777" w:rsidR="004D6A64" w:rsidRDefault="004D6A64">
            <w:pPr>
              <w:rPr>
                <w:rFonts w:ascii="宋体"/>
              </w:rPr>
            </w:pPr>
          </w:p>
        </w:tc>
        <w:tc>
          <w:tcPr>
            <w:tcW w:w="0" w:type="auto"/>
            <w:shd w:val="clear" w:color="auto" w:fill="auto"/>
          </w:tcPr>
          <w:p w14:paraId="33DACE80" w14:textId="77777777" w:rsidR="004D6A64" w:rsidRDefault="004D6A64">
            <w:pPr>
              <w:rPr>
                <w:rFonts w:ascii="宋体"/>
              </w:rPr>
            </w:pPr>
          </w:p>
        </w:tc>
        <w:tc>
          <w:tcPr>
            <w:tcW w:w="0" w:type="auto"/>
            <w:shd w:val="clear" w:color="auto" w:fill="auto"/>
          </w:tcPr>
          <w:p w14:paraId="33DACE81" w14:textId="77777777" w:rsidR="004D6A64" w:rsidRDefault="004D6A64">
            <w:pPr>
              <w:rPr>
                <w:rFonts w:ascii="宋体"/>
              </w:rPr>
            </w:pPr>
          </w:p>
        </w:tc>
        <w:tc>
          <w:tcPr>
            <w:tcW w:w="0" w:type="auto"/>
            <w:shd w:val="clear" w:color="auto" w:fill="auto"/>
          </w:tcPr>
          <w:p w14:paraId="33DACE82" w14:textId="77777777" w:rsidR="004D6A64" w:rsidRDefault="004D6A64">
            <w:pPr>
              <w:rPr>
                <w:rFonts w:ascii="宋体"/>
              </w:rPr>
            </w:pPr>
          </w:p>
        </w:tc>
        <w:tc>
          <w:tcPr>
            <w:tcW w:w="0" w:type="auto"/>
            <w:shd w:val="clear" w:color="auto" w:fill="auto"/>
          </w:tcPr>
          <w:p w14:paraId="33DACE83" w14:textId="77777777" w:rsidR="004D6A64" w:rsidRDefault="004D6A64">
            <w:pPr>
              <w:rPr>
                <w:rFonts w:ascii="宋体"/>
              </w:rPr>
            </w:pPr>
          </w:p>
        </w:tc>
      </w:tr>
      <w:tr w:rsidR="004D6A64" w14:paraId="33DACE9D" w14:textId="77777777">
        <w:trPr>
          <w:jc w:val="center"/>
        </w:trPr>
        <w:tc>
          <w:tcPr>
            <w:tcW w:w="0" w:type="auto"/>
            <w:gridSpan w:val="3"/>
            <w:shd w:val="clear" w:color="auto" w:fill="CCEEFF"/>
            <w:tcMar>
              <w:left w:w="135" w:type="dxa"/>
              <w:right w:w="20" w:type="dxa"/>
            </w:tcMar>
            <w:vAlign w:val="bottom"/>
          </w:tcPr>
          <w:p w14:paraId="33DACE85" w14:textId="77777777" w:rsidR="004D6A64" w:rsidRDefault="004D6A6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3DACE86" w14:textId="77777777" w:rsidR="004D6A64" w:rsidRDefault="00506CD6">
            <w:pPr>
              <w:jc w:val="right"/>
              <w:textAlignment w:val="bottom"/>
            </w:pPr>
            <w:r>
              <w:rPr>
                <w:rFonts w:ascii="Times New Roman" w:eastAsia="宋体" w:hAnsi="Times New Roman"/>
                <w:color w:val="000000"/>
                <w:sz w:val="20"/>
                <w:szCs w:val="20"/>
              </w:rPr>
              <w:t>9,143 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33DACE8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E88" w14:textId="77777777" w:rsidR="004D6A64" w:rsidRDefault="004D6A6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3DACE89" w14:textId="77777777" w:rsidR="004D6A64" w:rsidRDefault="00506CD6">
            <w:pPr>
              <w:jc w:val="right"/>
              <w:textAlignment w:val="bottom"/>
            </w:pPr>
            <w:r>
              <w:rPr>
                <w:rFonts w:ascii="Times New Roman" w:eastAsia="宋体" w:hAnsi="Times New Roman"/>
                <w:color w:val="000000"/>
                <w:sz w:val="20"/>
                <w:szCs w:val="20"/>
              </w:rPr>
              <w:t>745 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33DACE8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E8B" w14:textId="77777777" w:rsidR="004D6A64" w:rsidRDefault="004D6A6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3DACE8C" w14:textId="77777777" w:rsidR="004D6A64" w:rsidRDefault="00506CD6">
            <w:pPr>
              <w:jc w:val="right"/>
              <w:textAlignment w:val="bottom"/>
            </w:pPr>
            <w:r>
              <w:rPr>
                <w:rFonts w:ascii="Times New Roman" w:eastAsia="宋体" w:hAnsi="Times New Roman"/>
                <w:color w:val="000000"/>
                <w:sz w:val="20"/>
                <w:szCs w:val="20"/>
              </w:rPr>
              <w:t>743 </w:t>
            </w:r>
          </w:p>
        </w:tc>
        <w:tc>
          <w:tcPr>
            <w:tcW w:w="0" w:type="auto"/>
            <w:tcBorders>
              <w:top w:val="single" w:sz="8" w:space="0" w:color="000000"/>
              <w:bottom w:val="double" w:sz="6" w:space="0" w:color="000000"/>
            </w:tcBorders>
            <w:shd w:val="clear" w:color="auto" w:fill="CCEEFF"/>
            <w:tcMar>
              <w:top w:w="40" w:type="dxa"/>
              <w:bottom w:w="40" w:type="dxa"/>
              <w:right w:w="20" w:type="dxa"/>
            </w:tcMar>
            <w:vAlign w:val="bottom"/>
          </w:tcPr>
          <w:p w14:paraId="33DACE8D" w14:textId="77777777" w:rsidR="004D6A64" w:rsidRDefault="004D6A64">
            <w:pPr>
              <w:jc w:val="right"/>
              <w:rPr>
                <w:rFonts w:ascii="宋体"/>
              </w:rPr>
            </w:pPr>
          </w:p>
        </w:tc>
        <w:tc>
          <w:tcPr>
            <w:tcW w:w="0" w:type="auto"/>
            <w:shd w:val="clear" w:color="auto" w:fill="auto"/>
          </w:tcPr>
          <w:p w14:paraId="33DACE8E" w14:textId="77777777" w:rsidR="004D6A64" w:rsidRDefault="004D6A64">
            <w:pPr>
              <w:rPr>
                <w:rFonts w:ascii="宋体"/>
              </w:rPr>
            </w:pPr>
          </w:p>
        </w:tc>
        <w:tc>
          <w:tcPr>
            <w:tcW w:w="0" w:type="auto"/>
            <w:shd w:val="clear" w:color="auto" w:fill="auto"/>
          </w:tcPr>
          <w:p w14:paraId="33DACE8F" w14:textId="77777777" w:rsidR="004D6A64" w:rsidRDefault="004D6A64">
            <w:pPr>
              <w:rPr>
                <w:rFonts w:ascii="宋体"/>
              </w:rPr>
            </w:pPr>
          </w:p>
        </w:tc>
        <w:tc>
          <w:tcPr>
            <w:tcW w:w="0" w:type="auto"/>
            <w:shd w:val="clear" w:color="auto" w:fill="auto"/>
          </w:tcPr>
          <w:p w14:paraId="33DACE90" w14:textId="77777777" w:rsidR="004D6A64" w:rsidRDefault="004D6A64">
            <w:pPr>
              <w:rPr>
                <w:rFonts w:ascii="宋体"/>
              </w:rPr>
            </w:pPr>
          </w:p>
        </w:tc>
        <w:tc>
          <w:tcPr>
            <w:tcW w:w="0" w:type="auto"/>
            <w:shd w:val="clear" w:color="auto" w:fill="auto"/>
          </w:tcPr>
          <w:p w14:paraId="33DACE91" w14:textId="77777777" w:rsidR="004D6A64" w:rsidRDefault="004D6A64">
            <w:pPr>
              <w:rPr>
                <w:rFonts w:ascii="宋体"/>
              </w:rPr>
            </w:pPr>
          </w:p>
        </w:tc>
        <w:tc>
          <w:tcPr>
            <w:tcW w:w="0" w:type="auto"/>
            <w:shd w:val="clear" w:color="auto" w:fill="auto"/>
          </w:tcPr>
          <w:p w14:paraId="33DACE92" w14:textId="77777777" w:rsidR="004D6A64" w:rsidRDefault="004D6A64">
            <w:pPr>
              <w:rPr>
                <w:rFonts w:ascii="宋体"/>
              </w:rPr>
            </w:pPr>
          </w:p>
        </w:tc>
        <w:tc>
          <w:tcPr>
            <w:tcW w:w="0" w:type="auto"/>
            <w:shd w:val="clear" w:color="auto" w:fill="auto"/>
          </w:tcPr>
          <w:p w14:paraId="33DACE93" w14:textId="77777777" w:rsidR="004D6A64" w:rsidRDefault="004D6A64">
            <w:pPr>
              <w:rPr>
                <w:rFonts w:ascii="宋体"/>
              </w:rPr>
            </w:pPr>
          </w:p>
        </w:tc>
        <w:tc>
          <w:tcPr>
            <w:tcW w:w="0" w:type="auto"/>
            <w:shd w:val="clear" w:color="auto" w:fill="auto"/>
          </w:tcPr>
          <w:p w14:paraId="33DACE94" w14:textId="77777777" w:rsidR="004D6A64" w:rsidRDefault="004D6A64">
            <w:pPr>
              <w:rPr>
                <w:rFonts w:ascii="宋体"/>
              </w:rPr>
            </w:pPr>
          </w:p>
        </w:tc>
        <w:tc>
          <w:tcPr>
            <w:tcW w:w="0" w:type="auto"/>
            <w:shd w:val="clear" w:color="auto" w:fill="auto"/>
          </w:tcPr>
          <w:p w14:paraId="33DACE95" w14:textId="77777777" w:rsidR="004D6A64" w:rsidRDefault="004D6A64">
            <w:pPr>
              <w:rPr>
                <w:rFonts w:ascii="宋体"/>
              </w:rPr>
            </w:pPr>
          </w:p>
        </w:tc>
        <w:tc>
          <w:tcPr>
            <w:tcW w:w="0" w:type="auto"/>
            <w:shd w:val="clear" w:color="auto" w:fill="auto"/>
          </w:tcPr>
          <w:p w14:paraId="33DACE96" w14:textId="77777777" w:rsidR="004D6A64" w:rsidRDefault="004D6A64">
            <w:pPr>
              <w:rPr>
                <w:rFonts w:ascii="宋体"/>
              </w:rPr>
            </w:pPr>
          </w:p>
        </w:tc>
        <w:tc>
          <w:tcPr>
            <w:tcW w:w="0" w:type="auto"/>
            <w:shd w:val="clear" w:color="auto" w:fill="auto"/>
          </w:tcPr>
          <w:p w14:paraId="33DACE97" w14:textId="77777777" w:rsidR="004D6A64" w:rsidRDefault="004D6A64">
            <w:pPr>
              <w:rPr>
                <w:rFonts w:ascii="宋体"/>
              </w:rPr>
            </w:pPr>
          </w:p>
        </w:tc>
        <w:tc>
          <w:tcPr>
            <w:tcW w:w="0" w:type="auto"/>
            <w:shd w:val="clear" w:color="auto" w:fill="auto"/>
          </w:tcPr>
          <w:p w14:paraId="33DACE98" w14:textId="77777777" w:rsidR="004D6A64" w:rsidRDefault="004D6A64">
            <w:pPr>
              <w:rPr>
                <w:rFonts w:ascii="宋体"/>
              </w:rPr>
            </w:pPr>
          </w:p>
        </w:tc>
        <w:tc>
          <w:tcPr>
            <w:tcW w:w="0" w:type="auto"/>
            <w:shd w:val="clear" w:color="auto" w:fill="auto"/>
          </w:tcPr>
          <w:p w14:paraId="33DACE99" w14:textId="77777777" w:rsidR="004D6A64" w:rsidRDefault="004D6A64">
            <w:pPr>
              <w:rPr>
                <w:rFonts w:ascii="宋体"/>
              </w:rPr>
            </w:pPr>
          </w:p>
        </w:tc>
        <w:tc>
          <w:tcPr>
            <w:tcW w:w="0" w:type="auto"/>
            <w:shd w:val="clear" w:color="auto" w:fill="auto"/>
          </w:tcPr>
          <w:p w14:paraId="33DACE9A" w14:textId="77777777" w:rsidR="004D6A64" w:rsidRDefault="004D6A64">
            <w:pPr>
              <w:rPr>
                <w:rFonts w:ascii="宋体"/>
              </w:rPr>
            </w:pPr>
          </w:p>
        </w:tc>
        <w:tc>
          <w:tcPr>
            <w:tcW w:w="0" w:type="auto"/>
            <w:shd w:val="clear" w:color="auto" w:fill="auto"/>
          </w:tcPr>
          <w:p w14:paraId="33DACE9B" w14:textId="77777777" w:rsidR="004D6A64" w:rsidRDefault="004D6A64">
            <w:pPr>
              <w:rPr>
                <w:rFonts w:ascii="宋体"/>
              </w:rPr>
            </w:pPr>
          </w:p>
        </w:tc>
        <w:tc>
          <w:tcPr>
            <w:tcW w:w="0" w:type="auto"/>
            <w:shd w:val="clear" w:color="auto" w:fill="auto"/>
          </w:tcPr>
          <w:p w14:paraId="33DACE9C" w14:textId="77777777" w:rsidR="004D6A64" w:rsidRDefault="004D6A64">
            <w:pPr>
              <w:rPr>
                <w:rFonts w:ascii="宋体"/>
              </w:rPr>
            </w:pPr>
          </w:p>
        </w:tc>
      </w:tr>
    </w:tbl>
    <w:p w14:paraId="33DACE9E" w14:textId="77777777" w:rsidR="004D6A64" w:rsidRDefault="004D6A64"/>
    <w:p w14:paraId="33DACE9F" w14:textId="77777777" w:rsidR="004D6A64" w:rsidRDefault="00506CD6">
      <w:r>
        <w:rPr>
          <w:rFonts w:ascii="Times New Roman" w:eastAsia="宋体" w:hAnsi="Times New Roman"/>
          <w:color w:val="000000"/>
          <w:sz w:val="20"/>
          <w:szCs w:val="20"/>
        </w:rPr>
        <w:t>Under the Company’s certificate of incorporation as amended and restated upon the completion of the Class V transaction described in Note 1 of the Notes to the Condensed Consolidated Financi</w:t>
      </w:r>
      <w:r>
        <w:rPr>
          <w:rFonts w:ascii="Times New Roman" w:eastAsia="宋体" w:hAnsi="Times New Roman"/>
          <w:color w:val="000000"/>
          <w:sz w:val="20"/>
          <w:szCs w:val="20"/>
        </w:rPr>
        <w:t>al Statements, the Company is prohibited from issuing any of the authorized shares of Class V Common Stock.</w:t>
      </w:r>
    </w:p>
    <w:p w14:paraId="33DACEA0" w14:textId="77777777" w:rsidR="004D6A64" w:rsidRDefault="004D6A64"/>
    <w:p w14:paraId="33DACEA1" w14:textId="77777777" w:rsidR="004D6A64" w:rsidRDefault="00506CD6">
      <w:r>
        <w:rPr>
          <w:rFonts w:ascii="Times New Roman" w:eastAsia="宋体" w:hAnsi="Times New Roman"/>
          <w:b/>
          <w:bCs/>
          <w:color w:val="000000"/>
          <w:sz w:val="20"/>
          <w:szCs w:val="20"/>
        </w:rPr>
        <w:t>Preferred Stock</w:t>
      </w:r>
    </w:p>
    <w:p w14:paraId="33DACEA2" w14:textId="77777777" w:rsidR="004D6A64" w:rsidRDefault="004D6A64"/>
    <w:p w14:paraId="33DACEA3" w14:textId="77777777" w:rsidR="004D6A64" w:rsidRDefault="00506CD6">
      <w:r>
        <w:rPr>
          <w:rFonts w:ascii="Times New Roman" w:eastAsia="宋体" w:hAnsi="Times New Roman"/>
          <w:color w:val="000000"/>
          <w:sz w:val="20"/>
          <w:szCs w:val="20"/>
        </w:rPr>
        <w:t>The Company is authorized to issue one million shares of preferred stock, par value $0.01 per share. As of July 31, 2020 and Janua</w:t>
      </w:r>
      <w:r>
        <w:rPr>
          <w:rFonts w:ascii="Times New Roman" w:eastAsia="宋体" w:hAnsi="Times New Roman"/>
          <w:color w:val="000000"/>
          <w:sz w:val="20"/>
          <w:szCs w:val="20"/>
        </w:rPr>
        <w:t xml:space="preserve">ry 31, 2020, no shares of preferred stock were issued or outstanding. </w:t>
      </w:r>
    </w:p>
    <w:p w14:paraId="33DACEA4" w14:textId="77777777" w:rsidR="004D6A64" w:rsidRDefault="004D6A64"/>
    <w:p w14:paraId="33DACEA5" w14:textId="77777777" w:rsidR="004D6A64" w:rsidRDefault="00506CD6">
      <w:r>
        <w:rPr>
          <w:rFonts w:ascii="Times New Roman" w:eastAsia="宋体" w:hAnsi="Times New Roman"/>
          <w:b/>
          <w:bCs/>
          <w:color w:val="000000"/>
          <w:sz w:val="20"/>
          <w:szCs w:val="20"/>
        </w:rPr>
        <w:t>Common Stock</w:t>
      </w:r>
    </w:p>
    <w:p w14:paraId="33DACEA6" w14:textId="77777777" w:rsidR="004D6A64" w:rsidRDefault="004D6A64"/>
    <w:p w14:paraId="33DACEA7" w14:textId="77777777" w:rsidR="004D6A64" w:rsidRDefault="00506CD6">
      <w:r>
        <w:rPr>
          <w:rFonts w:ascii="Times New Roman" w:eastAsia="宋体" w:hAnsi="Times New Roman"/>
          <w:i/>
          <w:iCs/>
          <w:color w:val="000000"/>
          <w:sz w:val="20"/>
          <w:szCs w:val="20"/>
        </w:rPr>
        <w:t xml:space="preserve">Dell Technologies Common Stock </w:t>
      </w:r>
      <w:r>
        <w:rPr>
          <w:rFonts w:ascii="Times New Roman" w:eastAsia="宋体" w:hAnsi="Times New Roman"/>
          <w:color w:val="000000"/>
          <w:sz w:val="20"/>
          <w:szCs w:val="20"/>
        </w:rPr>
        <w:t>— The Class A Common Stock, the Class B Common Stock, the Class C Common Stock, and the Class D Common Stock are collectively referred to a</w:t>
      </w:r>
      <w:r>
        <w:rPr>
          <w:rFonts w:ascii="Times New Roman" w:eastAsia="宋体" w:hAnsi="Times New Roman"/>
          <w:color w:val="000000"/>
          <w:sz w:val="20"/>
          <w:szCs w:val="20"/>
        </w:rPr>
        <w:t>s Dell Technologies Common Stock. The par value for all classes of Dell Technologies Common Stock is $0.01 per share. The Class A Common Stock, the Class B Common Stock, the Class C Common Stock, and the Class D Common Stock share equally in dividends decl</w:t>
      </w:r>
      <w:r>
        <w:rPr>
          <w:rFonts w:ascii="Times New Roman" w:eastAsia="宋体" w:hAnsi="Times New Roman"/>
          <w:color w:val="000000"/>
          <w:sz w:val="20"/>
          <w:szCs w:val="20"/>
        </w:rPr>
        <w:t xml:space="preserve">ared or accumulated and have equal participation rights in undistributed earnings. </w:t>
      </w:r>
    </w:p>
    <w:p w14:paraId="33DACEA8" w14:textId="77777777" w:rsidR="004D6A64" w:rsidRDefault="004D6A64"/>
    <w:p w14:paraId="33DACEA9" w14:textId="77777777" w:rsidR="004D6A64" w:rsidRDefault="00506CD6">
      <w:r>
        <w:rPr>
          <w:rFonts w:ascii="Times New Roman" w:eastAsia="宋体" w:hAnsi="Times New Roman"/>
          <w:i/>
          <w:iCs/>
          <w:color w:val="000000"/>
          <w:sz w:val="20"/>
          <w:szCs w:val="20"/>
        </w:rPr>
        <w:t>Voting Rights</w:t>
      </w:r>
      <w:r>
        <w:rPr>
          <w:rFonts w:ascii="Times New Roman" w:eastAsia="宋体" w:hAnsi="Times New Roman"/>
          <w:color w:val="000000"/>
          <w:sz w:val="20"/>
          <w:szCs w:val="20"/>
        </w:rPr>
        <w:t xml:space="preserve"> — Each holder of record of (a) Class A Common Stock is entitled to ten votes per share of Class A Common Stock; (b) Class B Common Stock is entitled to ten v</w:t>
      </w:r>
      <w:r>
        <w:rPr>
          <w:rFonts w:ascii="Times New Roman" w:eastAsia="宋体" w:hAnsi="Times New Roman"/>
          <w:color w:val="000000"/>
          <w:sz w:val="20"/>
          <w:szCs w:val="20"/>
        </w:rPr>
        <w:t>otes per share of Class B Common Stock; (c) Class C Common Stock is entitled to one vote per share of Class C Common Stock; and (d) Class D Common Stock is not entitled to any vote on any matter except to the extent required by provisions of Delaware law (</w:t>
      </w:r>
      <w:r>
        <w:rPr>
          <w:rFonts w:ascii="Times New Roman" w:eastAsia="宋体" w:hAnsi="Times New Roman"/>
          <w:color w:val="000000"/>
          <w:sz w:val="20"/>
          <w:szCs w:val="20"/>
        </w:rPr>
        <w:t>in which case such holder is entitled to one vote per share of Class D Common Stock).</w:t>
      </w:r>
    </w:p>
    <w:p w14:paraId="33DACEAA" w14:textId="77777777" w:rsidR="004D6A64" w:rsidRDefault="004D6A64"/>
    <w:p w14:paraId="33DACEAB" w14:textId="77777777" w:rsidR="004D6A64" w:rsidRDefault="00506CD6">
      <w:r>
        <w:rPr>
          <w:rFonts w:ascii="Times New Roman" w:eastAsia="宋体" w:hAnsi="Times New Roman"/>
          <w:i/>
          <w:iCs/>
          <w:color w:val="000000"/>
          <w:sz w:val="20"/>
          <w:szCs w:val="20"/>
        </w:rPr>
        <w:t>Conversion Rights</w:t>
      </w:r>
      <w:r>
        <w:rPr>
          <w:rFonts w:ascii="Times New Roman" w:eastAsia="宋体" w:hAnsi="Times New Roman"/>
          <w:color w:val="000000"/>
          <w:sz w:val="20"/>
          <w:szCs w:val="20"/>
        </w:rPr>
        <w:t xml:space="preserve"> — Under the Company’s certificate of incorporation, at any time and from time to time, any holder of Class A Common Stock or Class B Common Stock has t</w:t>
      </w:r>
      <w:r>
        <w:rPr>
          <w:rFonts w:ascii="Times New Roman" w:eastAsia="宋体" w:hAnsi="Times New Roman"/>
          <w:color w:val="000000"/>
          <w:sz w:val="20"/>
          <w:szCs w:val="20"/>
        </w:rPr>
        <w:t>he right to convert all or any of the shares of Class A Common Stock or Class B Common Stock, as applicable, held by such holder into shares of Class C Common Stock on a one-to-one basis.  During the six months ended July 31, 2020, the Company issued 72,72</w:t>
      </w:r>
      <w:r>
        <w:rPr>
          <w:rFonts w:ascii="Times New Roman" w:eastAsia="宋体" w:hAnsi="Times New Roman"/>
          <w:color w:val="000000"/>
          <w:sz w:val="20"/>
          <w:szCs w:val="20"/>
        </w:rPr>
        <w:t xml:space="preserve">7 shares of Class C Common Stock to stockholders upon the conversion of the same number of shares of Class A Common Stock into Class C Common Stock in accordance with the Company’s certificate of incorporation. </w:t>
      </w:r>
    </w:p>
    <w:p w14:paraId="33DACEAC" w14:textId="77777777" w:rsidR="004D6A64" w:rsidRDefault="004D6A64">
      <w:pPr>
        <w:jc w:val="center"/>
      </w:pPr>
    </w:p>
    <w:p w14:paraId="33DACEAD" w14:textId="77777777" w:rsidR="004D6A64" w:rsidRDefault="00506CD6">
      <w:pPr>
        <w:jc w:val="center"/>
      </w:pPr>
      <w:r>
        <w:rPr>
          <w:rFonts w:ascii="Times New Roman" w:eastAsia="宋体" w:hAnsi="Times New Roman"/>
          <w:color w:val="000000"/>
          <w:sz w:val="20"/>
          <w:szCs w:val="20"/>
        </w:rPr>
        <w:t>54</w:t>
      </w:r>
    </w:p>
    <w:p w14:paraId="33DACEAE" w14:textId="77777777" w:rsidR="004D6A64" w:rsidRDefault="004D6A64">
      <w:pPr>
        <w:jc w:val="center"/>
      </w:pPr>
    </w:p>
    <w:p w14:paraId="33DACEAF" w14:textId="77777777" w:rsidR="004D6A64" w:rsidRDefault="00506CD6">
      <w:r>
        <w:pict w14:anchorId="33DAFAFA">
          <v:rect id="_x0000_i1078" style="width:415.3pt;height:1.5pt" o:hralign="center" o:hrstd="t" o:hr="t" fillcolor="#a0a0a0" stroked="f"/>
        </w:pict>
      </w:r>
    </w:p>
    <w:p w14:paraId="33DACEB0" w14:textId="77777777" w:rsidR="004D6A64" w:rsidRDefault="00506CD6">
      <w:hyperlink r:id="rId177" w:anchor="if3e0e1bf9ecd4bf69551d7a85f98d64a_10" w:history="1">
        <w:r>
          <w:rPr>
            <w:rStyle w:val="a5"/>
            <w:rFonts w:ascii="Times New Roman" w:eastAsia="宋体" w:hAnsi="Times New Roman"/>
            <w:sz w:val="20"/>
            <w:szCs w:val="20"/>
          </w:rPr>
          <w:t>Table of Contents</w:t>
        </w:r>
      </w:hyperlink>
    </w:p>
    <w:p w14:paraId="33DACEB1"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CEB2"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33DACEB3"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CEB4" w14:textId="77777777" w:rsidR="004D6A64" w:rsidRDefault="004D6A64">
      <w:pPr>
        <w:jc w:val="center"/>
      </w:pPr>
    </w:p>
    <w:p w14:paraId="33DACEB5" w14:textId="77777777" w:rsidR="004D6A64" w:rsidRDefault="00506CD6">
      <w:r>
        <w:rPr>
          <w:rFonts w:ascii="Times New Roman" w:eastAsia="宋体" w:hAnsi="Times New Roman"/>
          <w:b/>
          <w:bCs/>
          <w:color w:val="000000"/>
          <w:sz w:val="20"/>
          <w:szCs w:val="20"/>
        </w:rPr>
        <w:t>Repurchases of Common Stock</w:t>
      </w:r>
    </w:p>
    <w:p w14:paraId="33DACEB6" w14:textId="77777777" w:rsidR="004D6A64" w:rsidRDefault="004D6A64"/>
    <w:p w14:paraId="33DACEB7" w14:textId="77777777" w:rsidR="004D6A64" w:rsidRDefault="00506CD6">
      <w:r>
        <w:rPr>
          <w:rFonts w:ascii="Times New Roman" w:eastAsia="宋体" w:hAnsi="Times New Roman"/>
          <w:i/>
          <w:iCs/>
          <w:color w:val="000000"/>
          <w:sz w:val="20"/>
          <w:szCs w:val="20"/>
          <w:u w:val="single"/>
        </w:rPr>
        <w:t>Dell Technologies Common Stock Repurchases by Dell Technologies</w:t>
      </w:r>
    </w:p>
    <w:p w14:paraId="33DACEB8" w14:textId="77777777" w:rsidR="004D6A64" w:rsidRDefault="004D6A64"/>
    <w:p w14:paraId="33DACEB9" w14:textId="77777777" w:rsidR="004D6A64" w:rsidRDefault="00506CD6">
      <w:r>
        <w:rPr>
          <w:rFonts w:ascii="Times New Roman" w:eastAsia="宋体" w:hAnsi="Times New Roman"/>
          <w:color w:val="000000"/>
          <w:sz w:val="20"/>
          <w:szCs w:val="20"/>
        </w:rPr>
        <w:t xml:space="preserve">On February 24, 2020, the Company’s board of directors approved a stock repurchase program under which the Company is authorized to repurchase up to $1.0 billion </w:t>
      </w:r>
      <w:r>
        <w:rPr>
          <w:rFonts w:ascii="Times New Roman" w:eastAsia="宋体" w:hAnsi="Times New Roman"/>
          <w:color w:val="000000"/>
          <w:sz w:val="20"/>
          <w:szCs w:val="20"/>
        </w:rPr>
        <w:t>of shares of the Class C Common Stock over a 24-month period expiring on February 28, 2022, of which approximately $760 million remained available as of July 31, 2020. During the six months ended July 31, 2020, the Company repurchased approximately 6 milli</w:t>
      </w:r>
      <w:r>
        <w:rPr>
          <w:rFonts w:ascii="Times New Roman" w:eastAsia="宋体" w:hAnsi="Times New Roman"/>
          <w:color w:val="000000"/>
          <w:sz w:val="20"/>
          <w:szCs w:val="20"/>
        </w:rPr>
        <w:t>on shares of Class C Common Stock for approximately $240 million. During the three months ended May 1, 2020, the Company suspended activity under its stock repurchase program. During the six months ended August 2, 2019, Dell Technologies Common Stock repur</w:t>
      </w:r>
      <w:r>
        <w:rPr>
          <w:rFonts w:ascii="Times New Roman" w:eastAsia="宋体" w:hAnsi="Times New Roman"/>
          <w:color w:val="000000"/>
          <w:sz w:val="20"/>
          <w:szCs w:val="20"/>
        </w:rPr>
        <w:t>chases were immaterial.</w:t>
      </w:r>
    </w:p>
    <w:p w14:paraId="33DACEBA" w14:textId="77777777" w:rsidR="004D6A64" w:rsidRDefault="004D6A64"/>
    <w:p w14:paraId="33DACEBB" w14:textId="77777777" w:rsidR="004D6A64" w:rsidRDefault="00506CD6">
      <w:r>
        <w:rPr>
          <w:rFonts w:ascii="Times New Roman" w:eastAsia="宋体" w:hAnsi="Times New Roman"/>
          <w:color w:val="000000"/>
          <w:sz w:val="20"/>
          <w:szCs w:val="20"/>
        </w:rPr>
        <w:t>To the extent not retired, shares repurchased under the repurchase program are placed in the Company’s treasury.</w:t>
      </w:r>
    </w:p>
    <w:p w14:paraId="33DACEBC" w14:textId="77777777" w:rsidR="004D6A64" w:rsidRDefault="004D6A64"/>
    <w:p w14:paraId="33DACEBD" w14:textId="77777777" w:rsidR="004D6A64" w:rsidRDefault="00506CD6">
      <w:r>
        <w:rPr>
          <w:rFonts w:ascii="Times New Roman" w:eastAsia="宋体" w:hAnsi="Times New Roman"/>
          <w:i/>
          <w:iCs/>
          <w:color w:val="000000"/>
          <w:sz w:val="20"/>
          <w:szCs w:val="20"/>
          <w:u w:val="single"/>
        </w:rPr>
        <w:t>VMware, Inc. Class A Common Stock Repurchases by VMware, Inc.</w:t>
      </w:r>
      <w:r>
        <w:rPr>
          <w:rFonts w:ascii="Times New Roman" w:eastAsia="宋体" w:hAnsi="Times New Roman"/>
          <w:color w:val="000000"/>
          <w:sz w:val="20"/>
          <w:szCs w:val="20"/>
          <w:u w:val="single"/>
        </w:rPr>
        <w:t xml:space="preserve"> </w:t>
      </w:r>
    </w:p>
    <w:p w14:paraId="33DACEBE" w14:textId="77777777" w:rsidR="004D6A64" w:rsidRDefault="004D6A64"/>
    <w:p w14:paraId="33DACEBF" w14:textId="77777777" w:rsidR="004D6A64" w:rsidRDefault="00506CD6">
      <w:r>
        <w:rPr>
          <w:rFonts w:ascii="Times New Roman" w:eastAsia="宋体" w:hAnsi="Times New Roman"/>
          <w:color w:val="000000"/>
          <w:sz w:val="20"/>
          <w:szCs w:val="20"/>
        </w:rPr>
        <w:t>On May 29, 2019, VMware, Inc.’s board of directors au</w:t>
      </w:r>
      <w:r>
        <w:rPr>
          <w:rFonts w:ascii="Times New Roman" w:eastAsia="宋体" w:hAnsi="Times New Roman"/>
          <w:color w:val="000000"/>
          <w:sz w:val="20"/>
          <w:szCs w:val="20"/>
        </w:rPr>
        <w:t>thorized the repurchase of up to $1.5 billion of VMware, Inc.’s Class A common stock through January 29, 2021. On July 15, 2020, VMware, Inc.’s board of directors extended authorization of VMware, Inc.’s existing repurchase program and authorized the repur</w:t>
      </w:r>
      <w:r>
        <w:rPr>
          <w:rFonts w:ascii="Times New Roman" w:eastAsia="宋体" w:hAnsi="Times New Roman"/>
          <w:color w:val="000000"/>
          <w:sz w:val="20"/>
          <w:szCs w:val="20"/>
        </w:rPr>
        <w:t xml:space="preserve">chase of up to an additional $1.0 billion of VMware, Inc.’s Class A common stock through January 28, 2022. As of July 31, 2020, the cumulative authorized amount remaining for stock repurchases was $1.7 billion. </w:t>
      </w:r>
    </w:p>
    <w:p w14:paraId="33DACEC0" w14:textId="77777777" w:rsidR="004D6A64" w:rsidRDefault="004D6A64"/>
    <w:p w14:paraId="33DACEC1" w14:textId="77777777" w:rsidR="004D6A64" w:rsidRDefault="00506CD6">
      <w:r>
        <w:rPr>
          <w:rFonts w:ascii="Times New Roman" w:eastAsia="宋体" w:hAnsi="Times New Roman"/>
          <w:color w:val="000000"/>
          <w:sz w:val="20"/>
          <w:szCs w:val="20"/>
        </w:rPr>
        <w:t xml:space="preserve">During the six months ended July 31, 2020, </w:t>
      </w:r>
      <w:r>
        <w:rPr>
          <w:rFonts w:ascii="Times New Roman" w:eastAsia="宋体" w:hAnsi="Times New Roman"/>
          <w:color w:val="000000"/>
          <w:sz w:val="20"/>
          <w:szCs w:val="20"/>
        </w:rPr>
        <w:t>VMware, Inc. repurchased 2.5 million shares of its Class A common stock in the open market for approximately $311 million. During the six months ended August 2, 2019, VMware, Inc. repurchased 5.7 million shares of its Class A common stock in the open marke</w:t>
      </w:r>
      <w:r>
        <w:rPr>
          <w:rFonts w:ascii="Times New Roman" w:eastAsia="宋体" w:hAnsi="Times New Roman"/>
          <w:color w:val="000000"/>
          <w:sz w:val="20"/>
          <w:szCs w:val="20"/>
        </w:rPr>
        <w:t>t for approximately $1.0 billion, of which approximately $0.1 billion impacted Dell Technologies’ accumulated deficit balance as of August 2, 2019 as a result of the full depletion of VMware, Inc’s additional paid-in capital in the same period.</w:t>
      </w:r>
    </w:p>
    <w:p w14:paraId="33DACEC2" w14:textId="77777777" w:rsidR="004D6A64" w:rsidRDefault="004D6A64">
      <w:pPr>
        <w:pBdr>
          <w:left w:val="none" w:sz="0" w:space="0" w:color="auto"/>
        </w:pBdr>
        <w:ind w:hanging="360"/>
      </w:pPr>
    </w:p>
    <w:p w14:paraId="33DACEC3" w14:textId="77777777" w:rsidR="004D6A64" w:rsidRDefault="00506CD6">
      <w:r>
        <w:rPr>
          <w:rFonts w:ascii="Times New Roman" w:eastAsia="宋体" w:hAnsi="Times New Roman"/>
          <w:color w:val="000000"/>
          <w:sz w:val="20"/>
          <w:szCs w:val="20"/>
        </w:rPr>
        <w:t>All shares</w:t>
      </w:r>
      <w:r>
        <w:rPr>
          <w:rFonts w:ascii="Times New Roman" w:eastAsia="宋体" w:hAnsi="Times New Roman"/>
          <w:color w:val="000000"/>
          <w:sz w:val="20"/>
          <w:szCs w:val="20"/>
        </w:rPr>
        <w:t xml:space="preserve"> repurchased under VMware, Inc.’s stock repurchase programs are retired.</w:t>
      </w:r>
    </w:p>
    <w:p w14:paraId="33DACEC4" w14:textId="77777777" w:rsidR="004D6A64" w:rsidRDefault="004D6A64"/>
    <w:p w14:paraId="33DACEC5" w14:textId="77777777" w:rsidR="004D6A64" w:rsidRDefault="00506CD6">
      <w:r>
        <w:rPr>
          <w:rFonts w:ascii="Times New Roman" w:eastAsia="宋体" w:hAnsi="Times New Roman"/>
          <w:color w:val="000000"/>
          <w:sz w:val="20"/>
          <w:szCs w:val="20"/>
        </w:rPr>
        <w:t>The above VMware, Inc. Class A common stock repurchases for the six months ended July 31, 2020 and August 2, 2019 exclude shares repurchased to settle employee tax withholding relate</w:t>
      </w:r>
      <w:r>
        <w:rPr>
          <w:rFonts w:ascii="Times New Roman" w:eastAsia="宋体" w:hAnsi="Times New Roman"/>
          <w:color w:val="000000"/>
          <w:sz w:val="20"/>
          <w:szCs w:val="20"/>
        </w:rPr>
        <w:t>d to the vesting of VMware, Inc. stock awards of $275 million and $348 million, respectively.</w:t>
      </w:r>
    </w:p>
    <w:p w14:paraId="33DACEC6" w14:textId="77777777" w:rsidR="004D6A64" w:rsidRDefault="004D6A64"/>
    <w:p w14:paraId="33DACEC7" w14:textId="77777777" w:rsidR="004D6A64" w:rsidRDefault="004D6A64">
      <w:pPr>
        <w:jc w:val="center"/>
      </w:pPr>
    </w:p>
    <w:p w14:paraId="33DACEC8" w14:textId="77777777" w:rsidR="004D6A64" w:rsidRDefault="00506CD6">
      <w:pPr>
        <w:jc w:val="center"/>
      </w:pPr>
      <w:r>
        <w:rPr>
          <w:rFonts w:ascii="Times New Roman" w:eastAsia="宋体" w:hAnsi="Times New Roman"/>
          <w:color w:val="000000"/>
          <w:sz w:val="20"/>
          <w:szCs w:val="20"/>
        </w:rPr>
        <w:t>55</w:t>
      </w:r>
    </w:p>
    <w:p w14:paraId="33DACEC9" w14:textId="77777777" w:rsidR="004D6A64" w:rsidRDefault="004D6A64">
      <w:pPr>
        <w:jc w:val="center"/>
      </w:pPr>
    </w:p>
    <w:p w14:paraId="33DACECA" w14:textId="77777777" w:rsidR="004D6A64" w:rsidRDefault="00506CD6">
      <w:r>
        <w:pict w14:anchorId="33DAFAFB">
          <v:rect id="_x0000_i1079" style="width:415.3pt;height:1.5pt" o:hralign="center" o:hrstd="t" o:hr="t" fillcolor="#a0a0a0" stroked="f"/>
        </w:pict>
      </w:r>
    </w:p>
    <w:p w14:paraId="33DACECB" w14:textId="77777777" w:rsidR="004D6A64" w:rsidRDefault="00506CD6">
      <w:hyperlink r:id="rId178" w:anchor="if3e0e1bf9ecd4bf69551d7a85f98d64a_10" w:history="1">
        <w:r>
          <w:rPr>
            <w:rStyle w:val="a5"/>
            <w:rFonts w:ascii="Times New Roman" w:eastAsia="宋体" w:hAnsi="Times New Roman"/>
            <w:sz w:val="20"/>
            <w:szCs w:val="20"/>
          </w:rPr>
          <w:t>Table of Contents</w:t>
        </w:r>
      </w:hyperlink>
    </w:p>
    <w:p w14:paraId="33DACECC"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CECD"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33DACECE"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CECF" w14:textId="77777777" w:rsidR="004D6A64" w:rsidRDefault="004D6A64">
      <w:pPr>
        <w:jc w:val="center"/>
      </w:pPr>
    </w:p>
    <w:p w14:paraId="33DACED0" w14:textId="77777777" w:rsidR="004D6A64" w:rsidRDefault="00506CD6">
      <w:r>
        <w:rPr>
          <w:rFonts w:ascii="Times New Roman" w:eastAsia="宋体" w:hAnsi="Times New Roman"/>
          <w:b/>
          <w:bCs/>
          <w:color w:val="000000"/>
          <w:sz w:val="20"/>
          <w:szCs w:val="20"/>
        </w:rPr>
        <w:t xml:space="preserve">NOTE 15 — EARNINGS PER SHARE </w:t>
      </w:r>
    </w:p>
    <w:p w14:paraId="33DACED1" w14:textId="77777777" w:rsidR="004D6A64" w:rsidRDefault="004D6A64">
      <w:pPr>
        <w:jc w:val="both"/>
      </w:pPr>
    </w:p>
    <w:p w14:paraId="33DACED2" w14:textId="77777777" w:rsidR="004D6A64" w:rsidRDefault="00506CD6">
      <w:r>
        <w:rPr>
          <w:rFonts w:ascii="Times New Roman" w:eastAsia="宋体" w:hAnsi="Times New Roman"/>
          <w:color w:val="000000"/>
          <w:sz w:val="20"/>
          <w:szCs w:val="20"/>
        </w:rPr>
        <w:t xml:space="preserve">Basic earnings per share is based on the weighted-average effect of all common shares issued and outstanding and is calculated by dividing net income by the weighted-average shares outstanding </w:t>
      </w:r>
      <w:r>
        <w:rPr>
          <w:rFonts w:ascii="Times New Roman" w:eastAsia="宋体" w:hAnsi="Times New Roman"/>
          <w:color w:val="000000"/>
          <w:sz w:val="20"/>
          <w:szCs w:val="20"/>
        </w:rPr>
        <w:t>during the period. Diluted earnings per share is calculated by dividing net income by the weighted-average number of common shares used in the basic earnings per share calculation plus the number of common shares that would be issued assuming exercise or c</w:t>
      </w:r>
      <w:r>
        <w:rPr>
          <w:rFonts w:ascii="Times New Roman" w:eastAsia="宋体" w:hAnsi="Times New Roman"/>
          <w:color w:val="000000"/>
          <w:sz w:val="20"/>
          <w:szCs w:val="20"/>
        </w:rPr>
        <w:t>onversion of all potentially dilutive instruments. The Company excludes equity instruments from the calculation of diluted earnings per share if the effect of including such instruments is antidilutive.</w:t>
      </w:r>
    </w:p>
    <w:p w14:paraId="33DACED3" w14:textId="77777777" w:rsidR="004D6A64" w:rsidRDefault="004D6A64"/>
    <w:p w14:paraId="33DACED4" w14:textId="77777777" w:rsidR="004D6A64" w:rsidRDefault="00506CD6">
      <w:r>
        <w:rPr>
          <w:rFonts w:ascii="Times New Roman" w:eastAsia="宋体" w:hAnsi="Times New Roman"/>
          <w:color w:val="000000"/>
          <w:sz w:val="20"/>
          <w:szCs w:val="20"/>
        </w:rPr>
        <w:t xml:space="preserve">The Class A Common Stock, the Class B Common Stock, </w:t>
      </w:r>
      <w:r>
        <w:rPr>
          <w:rFonts w:ascii="Times New Roman" w:eastAsia="宋体" w:hAnsi="Times New Roman"/>
          <w:color w:val="000000"/>
          <w:sz w:val="20"/>
          <w:szCs w:val="20"/>
        </w:rPr>
        <w:t xml:space="preserve">the Class C Common Stock, and the Class D Common Stock are collectively referred to as Dell Technologies Common Stock. </w:t>
      </w:r>
    </w:p>
    <w:p w14:paraId="33DACED5" w14:textId="77777777" w:rsidR="004D6A64" w:rsidRDefault="004D6A64"/>
    <w:p w14:paraId="33DACED6" w14:textId="77777777" w:rsidR="004D6A64" w:rsidRDefault="00506CD6">
      <w:r>
        <w:rPr>
          <w:rFonts w:ascii="Times New Roman" w:eastAsia="宋体" w:hAnsi="Times New Roman"/>
          <w:color w:val="000000"/>
          <w:sz w:val="20"/>
          <w:szCs w:val="20"/>
        </w:rPr>
        <w:t>For purposes of calculating earnings per share, the Company uses the two-class method. As all classes of Dell Technologies Common Stock</w:t>
      </w:r>
      <w:r>
        <w:rPr>
          <w:rFonts w:ascii="Times New Roman" w:eastAsia="宋体" w:hAnsi="Times New Roman"/>
          <w:color w:val="000000"/>
          <w:sz w:val="20"/>
          <w:szCs w:val="20"/>
        </w:rPr>
        <w:t xml:space="preserve"> share the same rights in dividends, basic and diluted earnings per share are the same for each class of Dell Technologies Common Stock.</w:t>
      </w:r>
    </w:p>
    <w:p w14:paraId="33DACED7" w14:textId="77777777" w:rsidR="004D6A64" w:rsidRDefault="004D6A64"/>
    <w:p w14:paraId="33DACED8" w14:textId="77777777" w:rsidR="004D6A64" w:rsidRDefault="00506CD6">
      <w:r>
        <w:rPr>
          <w:rFonts w:ascii="Times New Roman" w:eastAsia="宋体" w:hAnsi="Times New Roman"/>
          <w:color w:val="000000"/>
          <w:sz w:val="20"/>
          <w:szCs w:val="20"/>
        </w:rPr>
        <w:t>The following table presents the basic and diluted earnings per share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3230"/>
        <w:gridCol w:w="36"/>
        <w:gridCol w:w="135"/>
        <w:gridCol w:w="891"/>
        <w:gridCol w:w="41"/>
        <w:gridCol w:w="36"/>
        <w:gridCol w:w="36"/>
        <w:gridCol w:w="36"/>
        <w:gridCol w:w="136"/>
        <w:gridCol w:w="892"/>
        <w:gridCol w:w="42"/>
        <w:gridCol w:w="36"/>
        <w:gridCol w:w="36"/>
        <w:gridCol w:w="36"/>
        <w:gridCol w:w="135"/>
        <w:gridCol w:w="892"/>
        <w:gridCol w:w="41"/>
        <w:gridCol w:w="36"/>
        <w:gridCol w:w="36"/>
        <w:gridCol w:w="36"/>
        <w:gridCol w:w="136"/>
        <w:gridCol w:w="894"/>
        <w:gridCol w:w="42"/>
        <w:gridCol w:w="36"/>
        <w:gridCol w:w="36"/>
        <w:gridCol w:w="36"/>
        <w:gridCol w:w="36"/>
        <w:gridCol w:w="36"/>
        <w:gridCol w:w="36"/>
        <w:gridCol w:w="36"/>
        <w:gridCol w:w="36"/>
        <w:gridCol w:w="36"/>
        <w:gridCol w:w="36"/>
        <w:gridCol w:w="36"/>
        <w:gridCol w:w="36"/>
      </w:tblGrid>
      <w:tr w:rsidR="004D6A64" w14:paraId="33DACEF1" w14:textId="77777777">
        <w:trPr>
          <w:gridAfter w:val="12"/>
        </w:trPr>
        <w:tc>
          <w:tcPr>
            <w:tcW w:w="50" w:type="pct"/>
            <w:shd w:val="clear" w:color="auto" w:fill="auto"/>
          </w:tcPr>
          <w:p w14:paraId="33DACED9" w14:textId="77777777" w:rsidR="004D6A64" w:rsidRDefault="004D6A64">
            <w:pPr>
              <w:rPr>
                <w:rFonts w:ascii="宋体"/>
              </w:rPr>
            </w:pPr>
          </w:p>
        </w:tc>
        <w:tc>
          <w:tcPr>
            <w:tcW w:w="2137" w:type="pct"/>
            <w:shd w:val="clear" w:color="auto" w:fill="auto"/>
          </w:tcPr>
          <w:p w14:paraId="33DACEDA" w14:textId="77777777" w:rsidR="004D6A64" w:rsidRDefault="004D6A64">
            <w:pPr>
              <w:rPr>
                <w:rFonts w:ascii="宋体"/>
              </w:rPr>
            </w:pPr>
          </w:p>
        </w:tc>
        <w:tc>
          <w:tcPr>
            <w:tcW w:w="5" w:type="pct"/>
            <w:shd w:val="clear" w:color="auto" w:fill="auto"/>
          </w:tcPr>
          <w:p w14:paraId="33DACEDB" w14:textId="77777777" w:rsidR="004D6A64" w:rsidRDefault="004D6A64">
            <w:pPr>
              <w:rPr>
                <w:rFonts w:ascii="宋体"/>
              </w:rPr>
            </w:pPr>
          </w:p>
        </w:tc>
        <w:tc>
          <w:tcPr>
            <w:tcW w:w="50" w:type="pct"/>
            <w:shd w:val="clear" w:color="auto" w:fill="auto"/>
          </w:tcPr>
          <w:p w14:paraId="33DACEDC" w14:textId="77777777" w:rsidR="004D6A64" w:rsidRDefault="004D6A64">
            <w:pPr>
              <w:rPr>
                <w:rFonts w:ascii="宋体"/>
              </w:rPr>
            </w:pPr>
          </w:p>
        </w:tc>
        <w:tc>
          <w:tcPr>
            <w:tcW w:w="624" w:type="pct"/>
            <w:shd w:val="clear" w:color="auto" w:fill="auto"/>
          </w:tcPr>
          <w:p w14:paraId="33DACEDD" w14:textId="77777777" w:rsidR="004D6A64" w:rsidRDefault="004D6A64">
            <w:pPr>
              <w:rPr>
                <w:rFonts w:ascii="宋体"/>
              </w:rPr>
            </w:pPr>
          </w:p>
        </w:tc>
        <w:tc>
          <w:tcPr>
            <w:tcW w:w="5" w:type="pct"/>
            <w:shd w:val="clear" w:color="auto" w:fill="auto"/>
          </w:tcPr>
          <w:p w14:paraId="33DACEDE" w14:textId="77777777" w:rsidR="004D6A64" w:rsidRDefault="004D6A64">
            <w:pPr>
              <w:rPr>
                <w:rFonts w:ascii="宋体"/>
              </w:rPr>
            </w:pPr>
          </w:p>
        </w:tc>
        <w:tc>
          <w:tcPr>
            <w:tcW w:w="5" w:type="pct"/>
            <w:shd w:val="clear" w:color="auto" w:fill="auto"/>
          </w:tcPr>
          <w:p w14:paraId="33DACEDF" w14:textId="77777777" w:rsidR="004D6A64" w:rsidRDefault="004D6A64">
            <w:pPr>
              <w:rPr>
                <w:rFonts w:ascii="宋体"/>
              </w:rPr>
            </w:pPr>
          </w:p>
        </w:tc>
        <w:tc>
          <w:tcPr>
            <w:tcW w:w="19" w:type="pct"/>
            <w:shd w:val="clear" w:color="auto" w:fill="auto"/>
          </w:tcPr>
          <w:p w14:paraId="33DACEE0" w14:textId="77777777" w:rsidR="004D6A64" w:rsidRDefault="004D6A64">
            <w:pPr>
              <w:rPr>
                <w:rFonts w:ascii="宋体"/>
              </w:rPr>
            </w:pPr>
          </w:p>
        </w:tc>
        <w:tc>
          <w:tcPr>
            <w:tcW w:w="5" w:type="pct"/>
            <w:shd w:val="clear" w:color="auto" w:fill="auto"/>
          </w:tcPr>
          <w:p w14:paraId="33DACEE1" w14:textId="77777777" w:rsidR="004D6A64" w:rsidRDefault="004D6A64">
            <w:pPr>
              <w:rPr>
                <w:rFonts w:ascii="宋体"/>
              </w:rPr>
            </w:pPr>
          </w:p>
        </w:tc>
        <w:tc>
          <w:tcPr>
            <w:tcW w:w="50" w:type="pct"/>
            <w:shd w:val="clear" w:color="auto" w:fill="auto"/>
          </w:tcPr>
          <w:p w14:paraId="33DACEE2" w14:textId="77777777" w:rsidR="004D6A64" w:rsidRDefault="004D6A64">
            <w:pPr>
              <w:rPr>
                <w:rFonts w:ascii="宋体"/>
              </w:rPr>
            </w:pPr>
          </w:p>
        </w:tc>
        <w:tc>
          <w:tcPr>
            <w:tcW w:w="624" w:type="pct"/>
            <w:shd w:val="clear" w:color="auto" w:fill="auto"/>
          </w:tcPr>
          <w:p w14:paraId="33DACEE3" w14:textId="77777777" w:rsidR="004D6A64" w:rsidRDefault="004D6A64">
            <w:pPr>
              <w:rPr>
                <w:rFonts w:ascii="宋体"/>
              </w:rPr>
            </w:pPr>
          </w:p>
        </w:tc>
        <w:tc>
          <w:tcPr>
            <w:tcW w:w="5" w:type="pct"/>
            <w:shd w:val="clear" w:color="auto" w:fill="auto"/>
          </w:tcPr>
          <w:p w14:paraId="33DACEE4" w14:textId="77777777" w:rsidR="004D6A64" w:rsidRDefault="004D6A64">
            <w:pPr>
              <w:rPr>
                <w:rFonts w:ascii="宋体"/>
              </w:rPr>
            </w:pPr>
          </w:p>
        </w:tc>
        <w:tc>
          <w:tcPr>
            <w:tcW w:w="5" w:type="pct"/>
            <w:shd w:val="clear" w:color="auto" w:fill="auto"/>
          </w:tcPr>
          <w:p w14:paraId="33DACEE5" w14:textId="77777777" w:rsidR="004D6A64" w:rsidRDefault="004D6A64">
            <w:pPr>
              <w:rPr>
                <w:rFonts w:ascii="宋体"/>
              </w:rPr>
            </w:pPr>
          </w:p>
        </w:tc>
        <w:tc>
          <w:tcPr>
            <w:tcW w:w="19" w:type="pct"/>
            <w:shd w:val="clear" w:color="auto" w:fill="auto"/>
          </w:tcPr>
          <w:p w14:paraId="33DACEE6" w14:textId="77777777" w:rsidR="004D6A64" w:rsidRDefault="004D6A64">
            <w:pPr>
              <w:rPr>
                <w:rFonts w:ascii="宋体"/>
              </w:rPr>
            </w:pPr>
          </w:p>
        </w:tc>
        <w:tc>
          <w:tcPr>
            <w:tcW w:w="5" w:type="pct"/>
            <w:shd w:val="clear" w:color="auto" w:fill="auto"/>
          </w:tcPr>
          <w:p w14:paraId="33DACEE7" w14:textId="77777777" w:rsidR="004D6A64" w:rsidRDefault="004D6A64">
            <w:pPr>
              <w:rPr>
                <w:rFonts w:ascii="宋体"/>
              </w:rPr>
            </w:pPr>
          </w:p>
        </w:tc>
        <w:tc>
          <w:tcPr>
            <w:tcW w:w="50" w:type="pct"/>
            <w:shd w:val="clear" w:color="auto" w:fill="auto"/>
          </w:tcPr>
          <w:p w14:paraId="33DACEE8" w14:textId="77777777" w:rsidR="004D6A64" w:rsidRDefault="004D6A64">
            <w:pPr>
              <w:rPr>
                <w:rFonts w:ascii="宋体"/>
              </w:rPr>
            </w:pPr>
          </w:p>
        </w:tc>
        <w:tc>
          <w:tcPr>
            <w:tcW w:w="624" w:type="pct"/>
            <w:shd w:val="clear" w:color="auto" w:fill="auto"/>
          </w:tcPr>
          <w:p w14:paraId="33DACEE9" w14:textId="77777777" w:rsidR="004D6A64" w:rsidRDefault="004D6A64">
            <w:pPr>
              <w:rPr>
                <w:rFonts w:ascii="宋体"/>
              </w:rPr>
            </w:pPr>
          </w:p>
        </w:tc>
        <w:tc>
          <w:tcPr>
            <w:tcW w:w="5" w:type="pct"/>
            <w:shd w:val="clear" w:color="auto" w:fill="auto"/>
          </w:tcPr>
          <w:p w14:paraId="33DACEEA" w14:textId="77777777" w:rsidR="004D6A64" w:rsidRDefault="004D6A64">
            <w:pPr>
              <w:rPr>
                <w:rFonts w:ascii="宋体"/>
              </w:rPr>
            </w:pPr>
          </w:p>
        </w:tc>
        <w:tc>
          <w:tcPr>
            <w:tcW w:w="5" w:type="pct"/>
            <w:shd w:val="clear" w:color="auto" w:fill="auto"/>
          </w:tcPr>
          <w:p w14:paraId="33DACEEB" w14:textId="77777777" w:rsidR="004D6A64" w:rsidRDefault="004D6A64">
            <w:pPr>
              <w:rPr>
                <w:rFonts w:ascii="宋体"/>
              </w:rPr>
            </w:pPr>
          </w:p>
        </w:tc>
        <w:tc>
          <w:tcPr>
            <w:tcW w:w="19" w:type="pct"/>
            <w:shd w:val="clear" w:color="auto" w:fill="auto"/>
          </w:tcPr>
          <w:p w14:paraId="33DACEEC" w14:textId="77777777" w:rsidR="004D6A64" w:rsidRDefault="004D6A64">
            <w:pPr>
              <w:rPr>
                <w:rFonts w:ascii="宋体"/>
              </w:rPr>
            </w:pPr>
          </w:p>
        </w:tc>
        <w:tc>
          <w:tcPr>
            <w:tcW w:w="5" w:type="pct"/>
            <w:shd w:val="clear" w:color="auto" w:fill="auto"/>
          </w:tcPr>
          <w:p w14:paraId="33DACEED" w14:textId="77777777" w:rsidR="004D6A64" w:rsidRDefault="004D6A64">
            <w:pPr>
              <w:rPr>
                <w:rFonts w:ascii="宋体"/>
              </w:rPr>
            </w:pPr>
          </w:p>
        </w:tc>
        <w:tc>
          <w:tcPr>
            <w:tcW w:w="50" w:type="pct"/>
            <w:shd w:val="clear" w:color="auto" w:fill="auto"/>
          </w:tcPr>
          <w:p w14:paraId="33DACEEE" w14:textId="77777777" w:rsidR="004D6A64" w:rsidRDefault="004D6A64">
            <w:pPr>
              <w:rPr>
                <w:rFonts w:ascii="宋体"/>
              </w:rPr>
            </w:pPr>
          </w:p>
        </w:tc>
        <w:tc>
          <w:tcPr>
            <w:tcW w:w="625" w:type="pct"/>
            <w:shd w:val="clear" w:color="auto" w:fill="auto"/>
          </w:tcPr>
          <w:p w14:paraId="33DACEEF" w14:textId="77777777" w:rsidR="004D6A64" w:rsidRDefault="004D6A64">
            <w:pPr>
              <w:rPr>
                <w:rFonts w:ascii="宋体"/>
              </w:rPr>
            </w:pPr>
          </w:p>
        </w:tc>
        <w:tc>
          <w:tcPr>
            <w:tcW w:w="5" w:type="pct"/>
            <w:shd w:val="clear" w:color="auto" w:fill="auto"/>
          </w:tcPr>
          <w:p w14:paraId="33DACEF0" w14:textId="77777777" w:rsidR="004D6A64" w:rsidRDefault="004D6A64">
            <w:pPr>
              <w:rPr>
                <w:rFonts w:ascii="宋体"/>
              </w:rPr>
            </w:pPr>
          </w:p>
        </w:tc>
      </w:tr>
      <w:tr w:rsidR="004D6A64" w14:paraId="33DACEFA" w14:textId="77777777">
        <w:tc>
          <w:tcPr>
            <w:tcW w:w="0" w:type="auto"/>
            <w:gridSpan w:val="3"/>
            <w:shd w:val="clear" w:color="auto" w:fill="auto"/>
            <w:tcMar>
              <w:top w:w="40" w:type="dxa"/>
              <w:left w:w="20" w:type="dxa"/>
              <w:bottom w:w="40" w:type="dxa"/>
              <w:right w:w="20" w:type="dxa"/>
            </w:tcMar>
            <w:vAlign w:val="bottom"/>
          </w:tcPr>
          <w:p w14:paraId="33DACEF2" w14:textId="77777777" w:rsidR="004D6A64" w:rsidRDefault="00506CD6">
            <w:pPr>
              <w:textAlignment w:val="bottom"/>
            </w:pPr>
            <w:r>
              <w:rPr>
                <w:rFonts w:ascii="Times New Roman" w:eastAsia="宋体" w:hAnsi="Times New Roman"/>
                <w:color w:val="000000"/>
                <w:sz w:val="20"/>
                <w:szCs w:val="20"/>
              </w:rPr>
              <w:t> </w:t>
            </w:r>
          </w:p>
        </w:tc>
        <w:tc>
          <w:tcPr>
            <w:tcW w:w="0" w:type="auto"/>
            <w:gridSpan w:val="9"/>
            <w:shd w:val="clear" w:color="auto" w:fill="auto"/>
            <w:tcMar>
              <w:top w:w="40" w:type="dxa"/>
              <w:left w:w="20" w:type="dxa"/>
              <w:bottom w:w="40" w:type="dxa"/>
              <w:right w:w="20" w:type="dxa"/>
            </w:tcMar>
            <w:vAlign w:val="bottom"/>
          </w:tcPr>
          <w:p w14:paraId="33DACEF3" w14:textId="77777777" w:rsidR="004D6A64" w:rsidRDefault="00506CD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Pr>
          <w:p w14:paraId="33DACEF4" w14:textId="77777777" w:rsidR="004D6A64" w:rsidRDefault="004D6A64">
            <w:pPr>
              <w:rPr>
                <w:rFonts w:ascii="宋体"/>
                <w:vanish/>
              </w:rPr>
            </w:pPr>
          </w:p>
        </w:tc>
        <w:tc>
          <w:tcPr>
            <w:tcW w:w="0" w:type="auto"/>
            <w:gridSpan w:val="3"/>
            <w:shd w:val="clear" w:color="auto" w:fill="auto"/>
          </w:tcPr>
          <w:p w14:paraId="33DACEF5"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CEF6" w14:textId="77777777" w:rsidR="004D6A64" w:rsidRDefault="004D6A64">
            <w:pPr>
              <w:rPr>
                <w:rFonts w:ascii="宋体"/>
              </w:rPr>
            </w:pPr>
          </w:p>
        </w:tc>
        <w:tc>
          <w:tcPr>
            <w:tcW w:w="0" w:type="auto"/>
            <w:gridSpan w:val="9"/>
            <w:shd w:val="clear" w:color="auto" w:fill="auto"/>
            <w:tcMar>
              <w:top w:w="40" w:type="dxa"/>
              <w:left w:w="20" w:type="dxa"/>
              <w:bottom w:w="40" w:type="dxa"/>
              <w:right w:w="20" w:type="dxa"/>
            </w:tcMar>
            <w:vAlign w:val="bottom"/>
          </w:tcPr>
          <w:p w14:paraId="33DACEF7" w14:textId="77777777" w:rsidR="004D6A64" w:rsidRDefault="00506CD6">
            <w:pPr>
              <w:jc w:val="center"/>
              <w:textAlignment w:val="bottom"/>
            </w:pPr>
            <w:r>
              <w:rPr>
                <w:rFonts w:ascii="Times New Roman" w:eastAsia="宋体" w:hAnsi="Times New Roman"/>
                <w:b/>
                <w:bCs/>
                <w:color w:val="000000"/>
                <w:sz w:val="20"/>
                <w:szCs w:val="20"/>
              </w:rPr>
              <w:t>Six Months Ended</w:t>
            </w:r>
          </w:p>
        </w:tc>
        <w:tc>
          <w:tcPr>
            <w:tcW w:w="0" w:type="auto"/>
            <w:gridSpan w:val="3"/>
            <w:shd w:val="clear" w:color="auto" w:fill="auto"/>
          </w:tcPr>
          <w:p w14:paraId="33DACEF8" w14:textId="77777777" w:rsidR="004D6A64" w:rsidRDefault="004D6A64">
            <w:pPr>
              <w:rPr>
                <w:rFonts w:ascii="宋体"/>
                <w:vanish/>
              </w:rPr>
            </w:pPr>
          </w:p>
        </w:tc>
        <w:tc>
          <w:tcPr>
            <w:tcW w:w="0" w:type="auto"/>
            <w:gridSpan w:val="3"/>
            <w:shd w:val="clear" w:color="auto" w:fill="auto"/>
          </w:tcPr>
          <w:p w14:paraId="33DACEF9" w14:textId="77777777" w:rsidR="004D6A64" w:rsidRDefault="004D6A64">
            <w:pPr>
              <w:rPr>
                <w:rFonts w:ascii="宋体"/>
                <w:vanish/>
              </w:rPr>
            </w:pPr>
          </w:p>
        </w:tc>
      </w:tr>
      <w:tr w:rsidR="004D6A64" w14:paraId="33DACF0F" w14:textId="77777777">
        <w:tc>
          <w:tcPr>
            <w:tcW w:w="0" w:type="auto"/>
            <w:gridSpan w:val="3"/>
            <w:shd w:val="clear" w:color="auto" w:fill="auto"/>
            <w:tcMar>
              <w:top w:w="40" w:type="dxa"/>
              <w:left w:w="20" w:type="dxa"/>
              <w:bottom w:w="40" w:type="dxa"/>
              <w:right w:w="20" w:type="dxa"/>
            </w:tcMar>
            <w:vAlign w:val="bottom"/>
          </w:tcPr>
          <w:p w14:paraId="33DACEFB" w14:textId="77777777" w:rsidR="004D6A64" w:rsidRDefault="00506CD6">
            <w:pPr>
              <w:textAlignment w:val="bottom"/>
            </w:pPr>
            <w:r>
              <w:rPr>
                <w:rFonts w:ascii="Times New Roman" w:eastAsia="宋体" w:hAnsi="Times New Roman"/>
                <w:color w:val="000000"/>
                <w:sz w:val="20"/>
                <w:szCs w:val="20"/>
              </w:rPr>
              <w:t> </w:t>
            </w: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CEFC"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CEFD"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CEFE"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gridSpan w:val="3"/>
            <w:shd w:val="clear" w:color="auto" w:fill="auto"/>
            <w:tcMar>
              <w:left w:w="20" w:type="dxa"/>
              <w:right w:w="20" w:type="dxa"/>
            </w:tcMar>
            <w:vAlign w:val="bottom"/>
          </w:tcPr>
          <w:p w14:paraId="33DACEFF"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CF00"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CF01"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CF02"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shd w:val="clear" w:color="auto" w:fill="auto"/>
          </w:tcPr>
          <w:p w14:paraId="33DACF03" w14:textId="77777777" w:rsidR="004D6A64" w:rsidRDefault="004D6A64">
            <w:pPr>
              <w:rPr>
                <w:rFonts w:ascii="宋体"/>
              </w:rPr>
            </w:pPr>
          </w:p>
        </w:tc>
        <w:tc>
          <w:tcPr>
            <w:tcW w:w="0" w:type="auto"/>
            <w:shd w:val="clear" w:color="auto" w:fill="auto"/>
          </w:tcPr>
          <w:p w14:paraId="33DACF04" w14:textId="77777777" w:rsidR="004D6A64" w:rsidRDefault="004D6A64">
            <w:pPr>
              <w:rPr>
                <w:rFonts w:ascii="宋体"/>
              </w:rPr>
            </w:pPr>
          </w:p>
        </w:tc>
        <w:tc>
          <w:tcPr>
            <w:tcW w:w="0" w:type="auto"/>
            <w:shd w:val="clear" w:color="auto" w:fill="auto"/>
          </w:tcPr>
          <w:p w14:paraId="33DACF05" w14:textId="77777777" w:rsidR="004D6A64" w:rsidRDefault="004D6A64">
            <w:pPr>
              <w:rPr>
                <w:rFonts w:ascii="宋体"/>
              </w:rPr>
            </w:pPr>
          </w:p>
        </w:tc>
        <w:tc>
          <w:tcPr>
            <w:tcW w:w="0" w:type="auto"/>
            <w:shd w:val="clear" w:color="auto" w:fill="auto"/>
          </w:tcPr>
          <w:p w14:paraId="33DACF06" w14:textId="77777777" w:rsidR="004D6A64" w:rsidRDefault="004D6A64">
            <w:pPr>
              <w:rPr>
                <w:rFonts w:ascii="宋体"/>
              </w:rPr>
            </w:pPr>
          </w:p>
        </w:tc>
        <w:tc>
          <w:tcPr>
            <w:tcW w:w="0" w:type="auto"/>
            <w:shd w:val="clear" w:color="auto" w:fill="auto"/>
          </w:tcPr>
          <w:p w14:paraId="33DACF07" w14:textId="77777777" w:rsidR="004D6A64" w:rsidRDefault="004D6A64">
            <w:pPr>
              <w:rPr>
                <w:rFonts w:ascii="宋体"/>
              </w:rPr>
            </w:pPr>
          </w:p>
        </w:tc>
        <w:tc>
          <w:tcPr>
            <w:tcW w:w="0" w:type="auto"/>
            <w:shd w:val="clear" w:color="auto" w:fill="auto"/>
          </w:tcPr>
          <w:p w14:paraId="33DACF08" w14:textId="77777777" w:rsidR="004D6A64" w:rsidRDefault="004D6A64">
            <w:pPr>
              <w:rPr>
                <w:rFonts w:ascii="宋体"/>
              </w:rPr>
            </w:pPr>
          </w:p>
        </w:tc>
        <w:tc>
          <w:tcPr>
            <w:tcW w:w="0" w:type="auto"/>
            <w:shd w:val="clear" w:color="auto" w:fill="auto"/>
          </w:tcPr>
          <w:p w14:paraId="33DACF09" w14:textId="77777777" w:rsidR="004D6A64" w:rsidRDefault="004D6A64">
            <w:pPr>
              <w:rPr>
                <w:rFonts w:ascii="宋体"/>
              </w:rPr>
            </w:pPr>
          </w:p>
        </w:tc>
        <w:tc>
          <w:tcPr>
            <w:tcW w:w="0" w:type="auto"/>
            <w:shd w:val="clear" w:color="auto" w:fill="auto"/>
          </w:tcPr>
          <w:p w14:paraId="33DACF0A" w14:textId="77777777" w:rsidR="004D6A64" w:rsidRDefault="004D6A64">
            <w:pPr>
              <w:rPr>
                <w:rFonts w:ascii="宋体"/>
              </w:rPr>
            </w:pPr>
          </w:p>
        </w:tc>
        <w:tc>
          <w:tcPr>
            <w:tcW w:w="0" w:type="auto"/>
            <w:shd w:val="clear" w:color="auto" w:fill="auto"/>
          </w:tcPr>
          <w:p w14:paraId="33DACF0B" w14:textId="77777777" w:rsidR="004D6A64" w:rsidRDefault="004D6A64">
            <w:pPr>
              <w:rPr>
                <w:rFonts w:ascii="宋体"/>
              </w:rPr>
            </w:pPr>
          </w:p>
        </w:tc>
        <w:tc>
          <w:tcPr>
            <w:tcW w:w="0" w:type="auto"/>
            <w:shd w:val="clear" w:color="auto" w:fill="auto"/>
          </w:tcPr>
          <w:p w14:paraId="33DACF0C" w14:textId="77777777" w:rsidR="004D6A64" w:rsidRDefault="004D6A64">
            <w:pPr>
              <w:rPr>
                <w:rFonts w:ascii="宋体"/>
              </w:rPr>
            </w:pPr>
          </w:p>
        </w:tc>
        <w:tc>
          <w:tcPr>
            <w:tcW w:w="0" w:type="auto"/>
            <w:shd w:val="clear" w:color="auto" w:fill="auto"/>
          </w:tcPr>
          <w:p w14:paraId="33DACF0D" w14:textId="77777777" w:rsidR="004D6A64" w:rsidRDefault="004D6A64">
            <w:pPr>
              <w:rPr>
                <w:rFonts w:ascii="宋体"/>
              </w:rPr>
            </w:pPr>
          </w:p>
        </w:tc>
        <w:tc>
          <w:tcPr>
            <w:tcW w:w="0" w:type="auto"/>
            <w:shd w:val="clear" w:color="auto" w:fill="auto"/>
          </w:tcPr>
          <w:p w14:paraId="33DACF0E" w14:textId="77777777" w:rsidR="004D6A64" w:rsidRDefault="004D6A64">
            <w:pPr>
              <w:rPr>
                <w:rFonts w:ascii="宋体"/>
              </w:rPr>
            </w:pPr>
          </w:p>
        </w:tc>
      </w:tr>
      <w:tr w:rsidR="004D6A64" w14:paraId="33DACF1B" w14:textId="77777777">
        <w:tc>
          <w:tcPr>
            <w:tcW w:w="0" w:type="auto"/>
            <w:gridSpan w:val="12"/>
            <w:shd w:val="clear" w:color="auto" w:fill="CCEEFF"/>
            <w:tcMar>
              <w:top w:w="40" w:type="dxa"/>
              <w:left w:w="20" w:type="dxa"/>
              <w:bottom w:w="40" w:type="dxa"/>
              <w:right w:w="20" w:type="dxa"/>
            </w:tcMar>
            <w:vAlign w:val="center"/>
          </w:tcPr>
          <w:p w14:paraId="33DACF10" w14:textId="77777777" w:rsidR="004D6A64" w:rsidRDefault="00506CD6">
            <w:pPr>
              <w:textAlignment w:val="center"/>
            </w:pPr>
            <w:r>
              <w:rPr>
                <w:rFonts w:ascii="Times New Roman" w:eastAsia="宋体" w:hAnsi="Times New Roman"/>
                <w:i/>
                <w:iCs/>
                <w:color w:val="000000"/>
                <w:sz w:val="20"/>
                <w:szCs w:val="20"/>
              </w:rPr>
              <w:t>Earnings per share attributable to Dell Technologies Inc.</w:t>
            </w:r>
          </w:p>
        </w:tc>
        <w:tc>
          <w:tcPr>
            <w:tcW w:w="0" w:type="auto"/>
            <w:gridSpan w:val="3"/>
            <w:shd w:val="clear" w:color="auto" w:fill="auto"/>
          </w:tcPr>
          <w:p w14:paraId="33DACF11" w14:textId="77777777" w:rsidR="004D6A64" w:rsidRDefault="004D6A64">
            <w:pPr>
              <w:rPr>
                <w:rFonts w:ascii="宋体"/>
                <w:vanish/>
              </w:rPr>
            </w:pPr>
          </w:p>
        </w:tc>
        <w:tc>
          <w:tcPr>
            <w:tcW w:w="0" w:type="auto"/>
            <w:gridSpan w:val="3"/>
            <w:shd w:val="clear" w:color="auto" w:fill="auto"/>
          </w:tcPr>
          <w:p w14:paraId="33DACF12" w14:textId="77777777" w:rsidR="004D6A64" w:rsidRDefault="004D6A64">
            <w:pPr>
              <w:rPr>
                <w:rFonts w:ascii="宋体"/>
                <w:vanish/>
              </w:rPr>
            </w:pPr>
          </w:p>
        </w:tc>
        <w:tc>
          <w:tcPr>
            <w:tcW w:w="0" w:type="auto"/>
            <w:gridSpan w:val="3"/>
            <w:shd w:val="clear" w:color="auto" w:fill="auto"/>
          </w:tcPr>
          <w:p w14:paraId="33DACF13" w14:textId="77777777" w:rsidR="004D6A64" w:rsidRDefault="004D6A64">
            <w:pPr>
              <w:rPr>
                <w:rFonts w:ascii="宋体"/>
                <w:vanish/>
              </w:rPr>
            </w:pPr>
          </w:p>
        </w:tc>
        <w:tc>
          <w:tcPr>
            <w:tcW w:w="0" w:type="auto"/>
            <w:gridSpan w:val="3"/>
            <w:shd w:val="clear" w:color="auto" w:fill="CCEEFF"/>
            <w:tcMar>
              <w:left w:w="20" w:type="dxa"/>
              <w:right w:w="20" w:type="dxa"/>
            </w:tcMar>
            <w:vAlign w:val="bottom"/>
          </w:tcPr>
          <w:p w14:paraId="33DACF14" w14:textId="77777777" w:rsidR="004D6A64" w:rsidRDefault="004D6A64">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CF1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F16" w14:textId="77777777" w:rsidR="004D6A64" w:rsidRDefault="004D6A64">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CF17" w14:textId="77777777" w:rsidR="004D6A64" w:rsidRDefault="004D6A64">
            <w:pPr>
              <w:rPr>
                <w:rFonts w:ascii="宋体"/>
              </w:rPr>
            </w:pPr>
          </w:p>
        </w:tc>
        <w:tc>
          <w:tcPr>
            <w:tcW w:w="0" w:type="auto"/>
            <w:shd w:val="clear" w:color="auto" w:fill="auto"/>
          </w:tcPr>
          <w:p w14:paraId="33DACF18" w14:textId="77777777" w:rsidR="004D6A64" w:rsidRDefault="004D6A64">
            <w:pPr>
              <w:rPr>
                <w:rFonts w:ascii="宋体"/>
              </w:rPr>
            </w:pPr>
          </w:p>
        </w:tc>
        <w:tc>
          <w:tcPr>
            <w:tcW w:w="0" w:type="auto"/>
            <w:shd w:val="clear" w:color="auto" w:fill="auto"/>
          </w:tcPr>
          <w:p w14:paraId="33DACF19" w14:textId="77777777" w:rsidR="004D6A64" w:rsidRDefault="004D6A64">
            <w:pPr>
              <w:rPr>
                <w:rFonts w:ascii="宋体"/>
              </w:rPr>
            </w:pPr>
          </w:p>
        </w:tc>
        <w:tc>
          <w:tcPr>
            <w:tcW w:w="0" w:type="auto"/>
            <w:shd w:val="clear" w:color="auto" w:fill="auto"/>
          </w:tcPr>
          <w:p w14:paraId="33DACF1A" w14:textId="77777777" w:rsidR="004D6A64" w:rsidRDefault="004D6A64">
            <w:pPr>
              <w:rPr>
                <w:rFonts w:ascii="宋体"/>
              </w:rPr>
            </w:pPr>
          </w:p>
        </w:tc>
      </w:tr>
      <w:tr w:rsidR="004D6A64" w14:paraId="33DACF38" w14:textId="77777777">
        <w:tc>
          <w:tcPr>
            <w:tcW w:w="0" w:type="auto"/>
            <w:gridSpan w:val="3"/>
            <w:shd w:val="clear" w:color="auto" w:fill="FFFFFF"/>
            <w:tcMar>
              <w:top w:w="40" w:type="dxa"/>
              <w:left w:w="225" w:type="dxa"/>
              <w:bottom w:w="40" w:type="dxa"/>
              <w:right w:w="20" w:type="dxa"/>
            </w:tcMar>
            <w:vAlign w:val="center"/>
          </w:tcPr>
          <w:p w14:paraId="33DACF1C" w14:textId="77777777" w:rsidR="004D6A64" w:rsidRDefault="00506CD6">
            <w:pPr>
              <w:textAlignment w:val="center"/>
            </w:pPr>
            <w:r>
              <w:rPr>
                <w:rFonts w:ascii="Times New Roman" w:eastAsia="宋体" w:hAnsi="Times New Roman"/>
                <w:color w:val="000000"/>
                <w:sz w:val="20"/>
                <w:szCs w:val="20"/>
              </w:rPr>
              <w:t xml:space="preserve">Dell </w:t>
            </w:r>
            <w:r>
              <w:rPr>
                <w:rFonts w:ascii="Times New Roman" w:eastAsia="宋体" w:hAnsi="Times New Roman"/>
                <w:color w:val="000000"/>
                <w:sz w:val="20"/>
                <w:szCs w:val="20"/>
              </w:rPr>
              <w:t>Technologies Common Stock — Basic</w:t>
            </w:r>
          </w:p>
        </w:tc>
        <w:tc>
          <w:tcPr>
            <w:tcW w:w="0" w:type="auto"/>
            <w:shd w:val="clear" w:color="auto" w:fill="FFFFFF"/>
            <w:tcMar>
              <w:top w:w="40" w:type="dxa"/>
              <w:left w:w="20" w:type="dxa"/>
              <w:bottom w:w="40" w:type="dxa"/>
            </w:tcMar>
            <w:vAlign w:val="center"/>
          </w:tcPr>
          <w:p w14:paraId="33DACF1D"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CF1E" w14:textId="77777777" w:rsidR="004D6A64" w:rsidRDefault="00506CD6">
            <w:pPr>
              <w:jc w:val="right"/>
              <w:textAlignment w:val="center"/>
            </w:pPr>
            <w:r>
              <w:rPr>
                <w:rFonts w:ascii="Times New Roman" w:eastAsia="宋体" w:hAnsi="Times New Roman"/>
                <w:color w:val="000000"/>
                <w:sz w:val="20"/>
                <w:szCs w:val="20"/>
              </w:rPr>
              <w:t>1.41 </w:t>
            </w:r>
          </w:p>
        </w:tc>
        <w:tc>
          <w:tcPr>
            <w:tcW w:w="0" w:type="auto"/>
            <w:shd w:val="clear" w:color="auto" w:fill="FFFFFF"/>
            <w:tcMar>
              <w:top w:w="40" w:type="dxa"/>
              <w:bottom w:w="40" w:type="dxa"/>
              <w:right w:w="20" w:type="dxa"/>
            </w:tcMar>
            <w:vAlign w:val="center"/>
          </w:tcPr>
          <w:p w14:paraId="33DACF1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F20"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CF21"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CF22" w14:textId="77777777" w:rsidR="004D6A64" w:rsidRDefault="00506CD6">
            <w:pPr>
              <w:jc w:val="right"/>
              <w:textAlignment w:val="center"/>
            </w:pPr>
            <w:r>
              <w:rPr>
                <w:rFonts w:ascii="Times New Roman" w:eastAsia="宋体" w:hAnsi="Times New Roman"/>
                <w:color w:val="000000"/>
                <w:sz w:val="20"/>
                <w:szCs w:val="20"/>
              </w:rPr>
              <w:t>4.75 </w:t>
            </w:r>
          </w:p>
        </w:tc>
        <w:tc>
          <w:tcPr>
            <w:tcW w:w="0" w:type="auto"/>
            <w:shd w:val="clear" w:color="auto" w:fill="FFFFFF"/>
            <w:tcMar>
              <w:top w:w="40" w:type="dxa"/>
              <w:bottom w:w="40" w:type="dxa"/>
              <w:right w:w="20" w:type="dxa"/>
            </w:tcMar>
            <w:vAlign w:val="center"/>
          </w:tcPr>
          <w:p w14:paraId="33DACF2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F24"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CF25"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CF26" w14:textId="77777777" w:rsidR="004D6A64" w:rsidRDefault="00506CD6">
            <w:pPr>
              <w:jc w:val="right"/>
              <w:textAlignment w:val="center"/>
            </w:pPr>
            <w:r>
              <w:rPr>
                <w:rFonts w:ascii="Times New Roman" w:eastAsia="宋体" w:hAnsi="Times New Roman"/>
                <w:color w:val="000000"/>
                <w:sz w:val="20"/>
                <w:szCs w:val="20"/>
              </w:rPr>
              <w:t>1.61 </w:t>
            </w:r>
          </w:p>
        </w:tc>
        <w:tc>
          <w:tcPr>
            <w:tcW w:w="0" w:type="auto"/>
            <w:shd w:val="clear" w:color="auto" w:fill="FFFFFF"/>
            <w:tcMar>
              <w:top w:w="40" w:type="dxa"/>
              <w:bottom w:w="40" w:type="dxa"/>
              <w:right w:w="20" w:type="dxa"/>
            </w:tcMar>
            <w:vAlign w:val="center"/>
          </w:tcPr>
          <w:p w14:paraId="33DACF2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F28"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CF29"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CF2A" w14:textId="77777777" w:rsidR="004D6A64" w:rsidRDefault="00506CD6">
            <w:pPr>
              <w:jc w:val="right"/>
              <w:textAlignment w:val="center"/>
            </w:pPr>
            <w:r>
              <w:rPr>
                <w:rFonts w:ascii="Times New Roman" w:eastAsia="宋体" w:hAnsi="Times New Roman"/>
                <w:color w:val="000000"/>
                <w:sz w:val="20"/>
                <w:szCs w:val="20"/>
              </w:rPr>
              <w:t>5.17 </w:t>
            </w:r>
          </w:p>
        </w:tc>
        <w:tc>
          <w:tcPr>
            <w:tcW w:w="0" w:type="auto"/>
            <w:shd w:val="clear" w:color="auto" w:fill="FFFFFF"/>
            <w:tcMar>
              <w:top w:w="40" w:type="dxa"/>
              <w:bottom w:w="40" w:type="dxa"/>
              <w:right w:w="20" w:type="dxa"/>
            </w:tcMar>
            <w:vAlign w:val="center"/>
          </w:tcPr>
          <w:p w14:paraId="33DACF2B" w14:textId="77777777" w:rsidR="004D6A64" w:rsidRDefault="004D6A64">
            <w:pPr>
              <w:jc w:val="right"/>
              <w:rPr>
                <w:rFonts w:ascii="宋体"/>
              </w:rPr>
            </w:pPr>
          </w:p>
        </w:tc>
        <w:tc>
          <w:tcPr>
            <w:tcW w:w="0" w:type="auto"/>
            <w:shd w:val="clear" w:color="auto" w:fill="auto"/>
          </w:tcPr>
          <w:p w14:paraId="33DACF2C" w14:textId="77777777" w:rsidR="004D6A64" w:rsidRDefault="004D6A64">
            <w:pPr>
              <w:rPr>
                <w:rFonts w:ascii="宋体"/>
              </w:rPr>
            </w:pPr>
          </w:p>
        </w:tc>
        <w:tc>
          <w:tcPr>
            <w:tcW w:w="0" w:type="auto"/>
            <w:shd w:val="clear" w:color="auto" w:fill="auto"/>
          </w:tcPr>
          <w:p w14:paraId="33DACF2D" w14:textId="77777777" w:rsidR="004D6A64" w:rsidRDefault="004D6A64">
            <w:pPr>
              <w:rPr>
                <w:rFonts w:ascii="宋体"/>
              </w:rPr>
            </w:pPr>
          </w:p>
        </w:tc>
        <w:tc>
          <w:tcPr>
            <w:tcW w:w="0" w:type="auto"/>
            <w:shd w:val="clear" w:color="auto" w:fill="auto"/>
          </w:tcPr>
          <w:p w14:paraId="33DACF2E" w14:textId="77777777" w:rsidR="004D6A64" w:rsidRDefault="004D6A64">
            <w:pPr>
              <w:rPr>
                <w:rFonts w:ascii="宋体"/>
              </w:rPr>
            </w:pPr>
          </w:p>
        </w:tc>
        <w:tc>
          <w:tcPr>
            <w:tcW w:w="0" w:type="auto"/>
            <w:shd w:val="clear" w:color="auto" w:fill="auto"/>
          </w:tcPr>
          <w:p w14:paraId="33DACF2F" w14:textId="77777777" w:rsidR="004D6A64" w:rsidRDefault="004D6A64">
            <w:pPr>
              <w:rPr>
                <w:rFonts w:ascii="宋体"/>
              </w:rPr>
            </w:pPr>
          </w:p>
        </w:tc>
        <w:tc>
          <w:tcPr>
            <w:tcW w:w="0" w:type="auto"/>
            <w:shd w:val="clear" w:color="auto" w:fill="auto"/>
          </w:tcPr>
          <w:p w14:paraId="33DACF30" w14:textId="77777777" w:rsidR="004D6A64" w:rsidRDefault="004D6A64">
            <w:pPr>
              <w:rPr>
                <w:rFonts w:ascii="宋体"/>
              </w:rPr>
            </w:pPr>
          </w:p>
        </w:tc>
        <w:tc>
          <w:tcPr>
            <w:tcW w:w="0" w:type="auto"/>
            <w:shd w:val="clear" w:color="auto" w:fill="auto"/>
          </w:tcPr>
          <w:p w14:paraId="33DACF31" w14:textId="77777777" w:rsidR="004D6A64" w:rsidRDefault="004D6A64">
            <w:pPr>
              <w:rPr>
                <w:rFonts w:ascii="宋体"/>
              </w:rPr>
            </w:pPr>
          </w:p>
        </w:tc>
        <w:tc>
          <w:tcPr>
            <w:tcW w:w="0" w:type="auto"/>
            <w:shd w:val="clear" w:color="auto" w:fill="auto"/>
          </w:tcPr>
          <w:p w14:paraId="33DACF32" w14:textId="77777777" w:rsidR="004D6A64" w:rsidRDefault="004D6A64">
            <w:pPr>
              <w:rPr>
                <w:rFonts w:ascii="宋体"/>
              </w:rPr>
            </w:pPr>
          </w:p>
        </w:tc>
        <w:tc>
          <w:tcPr>
            <w:tcW w:w="0" w:type="auto"/>
            <w:shd w:val="clear" w:color="auto" w:fill="auto"/>
          </w:tcPr>
          <w:p w14:paraId="33DACF33" w14:textId="77777777" w:rsidR="004D6A64" w:rsidRDefault="004D6A64">
            <w:pPr>
              <w:rPr>
                <w:rFonts w:ascii="宋体"/>
              </w:rPr>
            </w:pPr>
          </w:p>
        </w:tc>
        <w:tc>
          <w:tcPr>
            <w:tcW w:w="0" w:type="auto"/>
            <w:shd w:val="clear" w:color="auto" w:fill="auto"/>
          </w:tcPr>
          <w:p w14:paraId="33DACF34" w14:textId="77777777" w:rsidR="004D6A64" w:rsidRDefault="004D6A64">
            <w:pPr>
              <w:rPr>
                <w:rFonts w:ascii="宋体"/>
              </w:rPr>
            </w:pPr>
          </w:p>
        </w:tc>
        <w:tc>
          <w:tcPr>
            <w:tcW w:w="0" w:type="auto"/>
            <w:shd w:val="clear" w:color="auto" w:fill="auto"/>
          </w:tcPr>
          <w:p w14:paraId="33DACF35" w14:textId="77777777" w:rsidR="004D6A64" w:rsidRDefault="004D6A64">
            <w:pPr>
              <w:rPr>
                <w:rFonts w:ascii="宋体"/>
              </w:rPr>
            </w:pPr>
          </w:p>
        </w:tc>
        <w:tc>
          <w:tcPr>
            <w:tcW w:w="0" w:type="auto"/>
            <w:shd w:val="clear" w:color="auto" w:fill="auto"/>
          </w:tcPr>
          <w:p w14:paraId="33DACF36" w14:textId="77777777" w:rsidR="004D6A64" w:rsidRDefault="004D6A64">
            <w:pPr>
              <w:rPr>
                <w:rFonts w:ascii="宋体"/>
              </w:rPr>
            </w:pPr>
          </w:p>
        </w:tc>
        <w:tc>
          <w:tcPr>
            <w:tcW w:w="0" w:type="auto"/>
            <w:shd w:val="clear" w:color="auto" w:fill="auto"/>
          </w:tcPr>
          <w:p w14:paraId="33DACF37" w14:textId="77777777" w:rsidR="004D6A64" w:rsidRDefault="004D6A64">
            <w:pPr>
              <w:rPr>
                <w:rFonts w:ascii="宋体"/>
              </w:rPr>
            </w:pPr>
          </w:p>
        </w:tc>
      </w:tr>
      <w:tr w:rsidR="004D6A64" w14:paraId="33DACF55" w14:textId="77777777">
        <w:tc>
          <w:tcPr>
            <w:tcW w:w="0" w:type="auto"/>
            <w:gridSpan w:val="3"/>
            <w:shd w:val="clear" w:color="auto" w:fill="CCEEFF"/>
            <w:tcMar>
              <w:top w:w="40" w:type="dxa"/>
              <w:left w:w="225" w:type="dxa"/>
              <w:bottom w:w="40" w:type="dxa"/>
              <w:right w:w="20" w:type="dxa"/>
            </w:tcMar>
            <w:vAlign w:val="center"/>
          </w:tcPr>
          <w:p w14:paraId="33DACF39" w14:textId="77777777" w:rsidR="004D6A64" w:rsidRDefault="00506CD6">
            <w:pPr>
              <w:textAlignment w:val="center"/>
            </w:pPr>
            <w:r>
              <w:rPr>
                <w:rFonts w:ascii="Times New Roman" w:eastAsia="宋体" w:hAnsi="Times New Roman"/>
                <w:color w:val="000000"/>
                <w:sz w:val="20"/>
                <w:szCs w:val="20"/>
              </w:rPr>
              <w:t>Dell Technologies Common Stock — Diluted</w:t>
            </w:r>
          </w:p>
        </w:tc>
        <w:tc>
          <w:tcPr>
            <w:tcW w:w="0" w:type="auto"/>
            <w:shd w:val="clear" w:color="auto" w:fill="CCEEFF"/>
            <w:tcMar>
              <w:top w:w="40" w:type="dxa"/>
              <w:left w:w="20" w:type="dxa"/>
              <w:bottom w:w="40" w:type="dxa"/>
            </w:tcMar>
            <w:vAlign w:val="center"/>
          </w:tcPr>
          <w:p w14:paraId="33DACF3A"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CF3B" w14:textId="77777777" w:rsidR="004D6A64" w:rsidRDefault="00506CD6">
            <w:pPr>
              <w:jc w:val="right"/>
              <w:textAlignment w:val="center"/>
            </w:pPr>
            <w:r>
              <w:rPr>
                <w:rFonts w:ascii="Times New Roman" w:eastAsia="宋体" w:hAnsi="Times New Roman"/>
                <w:color w:val="000000"/>
                <w:sz w:val="20"/>
                <w:szCs w:val="20"/>
              </w:rPr>
              <w:t>1.37 </w:t>
            </w:r>
          </w:p>
        </w:tc>
        <w:tc>
          <w:tcPr>
            <w:tcW w:w="0" w:type="auto"/>
            <w:shd w:val="clear" w:color="auto" w:fill="CCEEFF"/>
            <w:tcMar>
              <w:top w:w="40" w:type="dxa"/>
              <w:bottom w:w="40" w:type="dxa"/>
              <w:right w:w="20" w:type="dxa"/>
            </w:tcMar>
            <w:vAlign w:val="center"/>
          </w:tcPr>
          <w:p w14:paraId="33DACF3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F3D"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CF3E"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CF3F" w14:textId="77777777" w:rsidR="004D6A64" w:rsidRDefault="00506CD6">
            <w:pPr>
              <w:jc w:val="right"/>
              <w:textAlignment w:val="center"/>
            </w:pPr>
            <w:r>
              <w:rPr>
                <w:rFonts w:ascii="Times New Roman" w:eastAsia="宋体" w:hAnsi="Times New Roman"/>
                <w:color w:val="000000"/>
                <w:sz w:val="20"/>
                <w:szCs w:val="20"/>
              </w:rPr>
              <w:t>4.47 </w:t>
            </w:r>
          </w:p>
        </w:tc>
        <w:tc>
          <w:tcPr>
            <w:tcW w:w="0" w:type="auto"/>
            <w:shd w:val="clear" w:color="auto" w:fill="CCEEFF"/>
            <w:tcMar>
              <w:top w:w="40" w:type="dxa"/>
              <w:bottom w:w="40" w:type="dxa"/>
              <w:right w:w="20" w:type="dxa"/>
            </w:tcMar>
            <w:vAlign w:val="center"/>
          </w:tcPr>
          <w:p w14:paraId="33DACF4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F41"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CF42"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CF43" w14:textId="77777777" w:rsidR="004D6A64" w:rsidRDefault="00506CD6">
            <w:pPr>
              <w:jc w:val="right"/>
              <w:textAlignment w:val="center"/>
            </w:pPr>
            <w:r>
              <w:rPr>
                <w:rFonts w:ascii="Times New Roman" w:eastAsia="宋体" w:hAnsi="Times New Roman"/>
                <w:color w:val="000000"/>
                <w:sz w:val="20"/>
                <w:szCs w:val="20"/>
              </w:rPr>
              <w:t>1.56 </w:t>
            </w:r>
          </w:p>
        </w:tc>
        <w:tc>
          <w:tcPr>
            <w:tcW w:w="0" w:type="auto"/>
            <w:shd w:val="clear" w:color="auto" w:fill="CCEEFF"/>
            <w:tcMar>
              <w:top w:w="40" w:type="dxa"/>
              <w:bottom w:w="40" w:type="dxa"/>
              <w:right w:w="20" w:type="dxa"/>
            </w:tcMar>
            <w:vAlign w:val="center"/>
          </w:tcPr>
          <w:p w14:paraId="33DACF4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CF45"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CF46"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CF47" w14:textId="77777777" w:rsidR="004D6A64" w:rsidRDefault="00506CD6">
            <w:pPr>
              <w:jc w:val="right"/>
              <w:textAlignment w:val="center"/>
            </w:pPr>
            <w:r>
              <w:rPr>
                <w:rFonts w:ascii="Times New Roman" w:eastAsia="宋体" w:hAnsi="Times New Roman"/>
                <w:color w:val="000000"/>
                <w:sz w:val="20"/>
                <w:szCs w:val="20"/>
              </w:rPr>
              <w:t>4.84 </w:t>
            </w:r>
          </w:p>
        </w:tc>
        <w:tc>
          <w:tcPr>
            <w:tcW w:w="0" w:type="auto"/>
            <w:shd w:val="clear" w:color="auto" w:fill="CCEEFF"/>
            <w:tcMar>
              <w:top w:w="40" w:type="dxa"/>
              <w:bottom w:w="40" w:type="dxa"/>
              <w:right w:w="20" w:type="dxa"/>
            </w:tcMar>
            <w:vAlign w:val="center"/>
          </w:tcPr>
          <w:p w14:paraId="33DACF48" w14:textId="77777777" w:rsidR="004D6A64" w:rsidRDefault="004D6A64">
            <w:pPr>
              <w:jc w:val="right"/>
              <w:rPr>
                <w:rFonts w:ascii="宋体"/>
              </w:rPr>
            </w:pPr>
          </w:p>
        </w:tc>
        <w:tc>
          <w:tcPr>
            <w:tcW w:w="0" w:type="auto"/>
            <w:shd w:val="clear" w:color="auto" w:fill="auto"/>
          </w:tcPr>
          <w:p w14:paraId="33DACF49" w14:textId="77777777" w:rsidR="004D6A64" w:rsidRDefault="004D6A64">
            <w:pPr>
              <w:rPr>
                <w:rFonts w:ascii="宋体"/>
              </w:rPr>
            </w:pPr>
          </w:p>
        </w:tc>
        <w:tc>
          <w:tcPr>
            <w:tcW w:w="0" w:type="auto"/>
            <w:shd w:val="clear" w:color="auto" w:fill="auto"/>
          </w:tcPr>
          <w:p w14:paraId="33DACF4A" w14:textId="77777777" w:rsidR="004D6A64" w:rsidRDefault="004D6A64">
            <w:pPr>
              <w:rPr>
                <w:rFonts w:ascii="宋体"/>
              </w:rPr>
            </w:pPr>
          </w:p>
        </w:tc>
        <w:tc>
          <w:tcPr>
            <w:tcW w:w="0" w:type="auto"/>
            <w:shd w:val="clear" w:color="auto" w:fill="auto"/>
          </w:tcPr>
          <w:p w14:paraId="33DACF4B" w14:textId="77777777" w:rsidR="004D6A64" w:rsidRDefault="004D6A64">
            <w:pPr>
              <w:rPr>
                <w:rFonts w:ascii="宋体"/>
              </w:rPr>
            </w:pPr>
          </w:p>
        </w:tc>
        <w:tc>
          <w:tcPr>
            <w:tcW w:w="0" w:type="auto"/>
            <w:shd w:val="clear" w:color="auto" w:fill="auto"/>
          </w:tcPr>
          <w:p w14:paraId="33DACF4C" w14:textId="77777777" w:rsidR="004D6A64" w:rsidRDefault="004D6A64">
            <w:pPr>
              <w:rPr>
                <w:rFonts w:ascii="宋体"/>
              </w:rPr>
            </w:pPr>
          </w:p>
        </w:tc>
        <w:tc>
          <w:tcPr>
            <w:tcW w:w="0" w:type="auto"/>
            <w:shd w:val="clear" w:color="auto" w:fill="auto"/>
          </w:tcPr>
          <w:p w14:paraId="33DACF4D" w14:textId="77777777" w:rsidR="004D6A64" w:rsidRDefault="004D6A64">
            <w:pPr>
              <w:rPr>
                <w:rFonts w:ascii="宋体"/>
              </w:rPr>
            </w:pPr>
          </w:p>
        </w:tc>
        <w:tc>
          <w:tcPr>
            <w:tcW w:w="0" w:type="auto"/>
            <w:shd w:val="clear" w:color="auto" w:fill="auto"/>
          </w:tcPr>
          <w:p w14:paraId="33DACF4E" w14:textId="77777777" w:rsidR="004D6A64" w:rsidRDefault="004D6A64">
            <w:pPr>
              <w:rPr>
                <w:rFonts w:ascii="宋体"/>
              </w:rPr>
            </w:pPr>
          </w:p>
        </w:tc>
        <w:tc>
          <w:tcPr>
            <w:tcW w:w="0" w:type="auto"/>
            <w:shd w:val="clear" w:color="auto" w:fill="auto"/>
          </w:tcPr>
          <w:p w14:paraId="33DACF4F" w14:textId="77777777" w:rsidR="004D6A64" w:rsidRDefault="004D6A64">
            <w:pPr>
              <w:rPr>
                <w:rFonts w:ascii="宋体"/>
              </w:rPr>
            </w:pPr>
          </w:p>
        </w:tc>
        <w:tc>
          <w:tcPr>
            <w:tcW w:w="0" w:type="auto"/>
            <w:shd w:val="clear" w:color="auto" w:fill="auto"/>
          </w:tcPr>
          <w:p w14:paraId="33DACF50" w14:textId="77777777" w:rsidR="004D6A64" w:rsidRDefault="004D6A64">
            <w:pPr>
              <w:rPr>
                <w:rFonts w:ascii="宋体"/>
              </w:rPr>
            </w:pPr>
          </w:p>
        </w:tc>
        <w:tc>
          <w:tcPr>
            <w:tcW w:w="0" w:type="auto"/>
            <w:shd w:val="clear" w:color="auto" w:fill="auto"/>
          </w:tcPr>
          <w:p w14:paraId="33DACF51" w14:textId="77777777" w:rsidR="004D6A64" w:rsidRDefault="004D6A64">
            <w:pPr>
              <w:rPr>
                <w:rFonts w:ascii="宋体"/>
              </w:rPr>
            </w:pPr>
          </w:p>
        </w:tc>
        <w:tc>
          <w:tcPr>
            <w:tcW w:w="0" w:type="auto"/>
            <w:shd w:val="clear" w:color="auto" w:fill="auto"/>
          </w:tcPr>
          <w:p w14:paraId="33DACF52" w14:textId="77777777" w:rsidR="004D6A64" w:rsidRDefault="004D6A64">
            <w:pPr>
              <w:rPr>
                <w:rFonts w:ascii="宋体"/>
              </w:rPr>
            </w:pPr>
          </w:p>
        </w:tc>
        <w:tc>
          <w:tcPr>
            <w:tcW w:w="0" w:type="auto"/>
            <w:shd w:val="clear" w:color="auto" w:fill="auto"/>
          </w:tcPr>
          <w:p w14:paraId="33DACF53" w14:textId="77777777" w:rsidR="004D6A64" w:rsidRDefault="004D6A64">
            <w:pPr>
              <w:rPr>
                <w:rFonts w:ascii="宋体"/>
              </w:rPr>
            </w:pPr>
          </w:p>
        </w:tc>
        <w:tc>
          <w:tcPr>
            <w:tcW w:w="0" w:type="auto"/>
            <w:shd w:val="clear" w:color="auto" w:fill="auto"/>
          </w:tcPr>
          <w:p w14:paraId="33DACF54" w14:textId="77777777" w:rsidR="004D6A64" w:rsidRDefault="004D6A64">
            <w:pPr>
              <w:rPr>
                <w:rFonts w:ascii="宋体"/>
              </w:rPr>
            </w:pPr>
          </w:p>
        </w:tc>
      </w:tr>
      <w:tr w:rsidR="004D6A64" w14:paraId="33DACF6A" w14:textId="77777777">
        <w:trPr>
          <w:hidden/>
        </w:trPr>
        <w:tc>
          <w:tcPr>
            <w:tcW w:w="0" w:type="auto"/>
            <w:gridSpan w:val="3"/>
            <w:shd w:val="clear" w:color="auto" w:fill="auto"/>
          </w:tcPr>
          <w:p w14:paraId="33DACF56" w14:textId="77777777" w:rsidR="004D6A64" w:rsidRDefault="004D6A64">
            <w:pPr>
              <w:rPr>
                <w:rFonts w:ascii="宋体"/>
                <w:vanish/>
              </w:rPr>
            </w:pPr>
          </w:p>
        </w:tc>
        <w:tc>
          <w:tcPr>
            <w:tcW w:w="0" w:type="auto"/>
            <w:gridSpan w:val="3"/>
            <w:shd w:val="clear" w:color="auto" w:fill="auto"/>
          </w:tcPr>
          <w:p w14:paraId="33DACF57" w14:textId="77777777" w:rsidR="004D6A64" w:rsidRDefault="004D6A64">
            <w:pPr>
              <w:rPr>
                <w:rFonts w:ascii="宋体"/>
                <w:vanish/>
              </w:rPr>
            </w:pPr>
          </w:p>
        </w:tc>
        <w:tc>
          <w:tcPr>
            <w:tcW w:w="0" w:type="auto"/>
            <w:gridSpan w:val="3"/>
            <w:shd w:val="clear" w:color="auto" w:fill="auto"/>
          </w:tcPr>
          <w:p w14:paraId="33DACF58" w14:textId="77777777" w:rsidR="004D6A64" w:rsidRDefault="004D6A64">
            <w:pPr>
              <w:rPr>
                <w:rFonts w:ascii="宋体"/>
                <w:vanish/>
              </w:rPr>
            </w:pPr>
          </w:p>
        </w:tc>
        <w:tc>
          <w:tcPr>
            <w:tcW w:w="0" w:type="auto"/>
            <w:gridSpan w:val="3"/>
            <w:shd w:val="clear" w:color="auto" w:fill="auto"/>
          </w:tcPr>
          <w:p w14:paraId="33DACF59" w14:textId="77777777" w:rsidR="004D6A64" w:rsidRDefault="004D6A64">
            <w:pPr>
              <w:rPr>
                <w:rFonts w:ascii="宋体"/>
                <w:vanish/>
              </w:rPr>
            </w:pPr>
          </w:p>
        </w:tc>
        <w:tc>
          <w:tcPr>
            <w:tcW w:w="0" w:type="auto"/>
            <w:gridSpan w:val="3"/>
            <w:shd w:val="clear" w:color="auto" w:fill="auto"/>
          </w:tcPr>
          <w:p w14:paraId="33DACF5A" w14:textId="77777777" w:rsidR="004D6A64" w:rsidRDefault="004D6A64">
            <w:pPr>
              <w:rPr>
                <w:rFonts w:ascii="宋体"/>
                <w:vanish/>
              </w:rPr>
            </w:pPr>
          </w:p>
        </w:tc>
        <w:tc>
          <w:tcPr>
            <w:tcW w:w="0" w:type="auto"/>
            <w:gridSpan w:val="3"/>
            <w:shd w:val="clear" w:color="auto" w:fill="auto"/>
          </w:tcPr>
          <w:p w14:paraId="33DACF5B" w14:textId="77777777" w:rsidR="004D6A64" w:rsidRDefault="004D6A64">
            <w:pPr>
              <w:rPr>
                <w:rFonts w:ascii="宋体"/>
                <w:vanish/>
              </w:rPr>
            </w:pPr>
          </w:p>
        </w:tc>
        <w:tc>
          <w:tcPr>
            <w:tcW w:w="0" w:type="auto"/>
            <w:gridSpan w:val="3"/>
            <w:shd w:val="clear" w:color="auto" w:fill="auto"/>
          </w:tcPr>
          <w:p w14:paraId="33DACF5C" w14:textId="77777777" w:rsidR="004D6A64" w:rsidRDefault="004D6A64">
            <w:pPr>
              <w:rPr>
                <w:rFonts w:ascii="宋体"/>
                <w:vanish/>
              </w:rPr>
            </w:pPr>
          </w:p>
        </w:tc>
        <w:tc>
          <w:tcPr>
            <w:tcW w:w="0" w:type="auto"/>
            <w:gridSpan w:val="3"/>
            <w:shd w:val="clear" w:color="auto" w:fill="auto"/>
          </w:tcPr>
          <w:p w14:paraId="33DACF5D" w14:textId="77777777" w:rsidR="004D6A64" w:rsidRDefault="004D6A64">
            <w:pPr>
              <w:rPr>
                <w:rFonts w:ascii="宋体"/>
                <w:vanish/>
              </w:rPr>
            </w:pPr>
          </w:p>
        </w:tc>
        <w:tc>
          <w:tcPr>
            <w:tcW w:w="0" w:type="auto"/>
            <w:shd w:val="clear" w:color="auto" w:fill="auto"/>
          </w:tcPr>
          <w:p w14:paraId="33DACF5E" w14:textId="77777777" w:rsidR="004D6A64" w:rsidRDefault="004D6A64">
            <w:pPr>
              <w:rPr>
                <w:rFonts w:ascii="宋体"/>
              </w:rPr>
            </w:pPr>
          </w:p>
        </w:tc>
        <w:tc>
          <w:tcPr>
            <w:tcW w:w="0" w:type="auto"/>
            <w:shd w:val="clear" w:color="auto" w:fill="auto"/>
          </w:tcPr>
          <w:p w14:paraId="33DACF5F" w14:textId="77777777" w:rsidR="004D6A64" w:rsidRDefault="004D6A64">
            <w:pPr>
              <w:rPr>
                <w:rFonts w:ascii="宋体"/>
              </w:rPr>
            </w:pPr>
          </w:p>
        </w:tc>
        <w:tc>
          <w:tcPr>
            <w:tcW w:w="0" w:type="auto"/>
            <w:shd w:val="clear" w:color="auto" w:fill="auto"/>
          </w:tcPr>
          <w:p w14:paraId="33DACF60" w14:textId="77777777" w:rsidR="004D6A64" w:rsidRDefault="004D6A64">
            <w:pPr>
              <w:rPr>
                <w:rFonts w:ascii="宋体"/>
              </w:rPr>
            </w:pPr>
          </w:p>
        </w:tc>
        <w:tc>
          <w:tcPr>
            <w:tcW w:w="0" w:type="auto"/>
            <w:shd w:val="clear" w:color="auto" w:fill="auto"/>
          </w:tcPr>
          <w:p w14:paraId="33DACF61" w14:textId="77777777" w:rsidR="004D6A64" w:rsidRDefault="004D6A64">
            <w:pPr>
              <w:rPr>
                <w:rFonts w:ascii="宋体"/>
              </w:rPr>
            </w:pPr>
          </w:p>
        </w:tc>
        <w:tc>
          <w:tcPr>
            <w:tcW w:w="0" w:type="auto"/>
            <w:shd w:val="clear" w:color="auto" w:fill="auto"/>
          </w:tcPr>
          <w:p w14:paraId="33DACF62" w14:textId="77777777" w:rsidR="004D6A64" w:rsidRDefault="004D6A64">
            <w:pPr>
              <w:rPr>
                <w:rFonts w:ascii="宋体"/>
              </w:rPr>
            </w:pPr>
          </w:p>
        </w:tc>
        <w:tc>
          <w:tcPr>
            <w:tcW w:w="0" w:type="auto"/>
            <w:shd w:val="clear" w:color="auto" w:fill="auto"/>
          </w:tcPr>
          <w:p w14:paraId="33DACF63" w14:textId="77777777" w:rsidR="004D6A64" w:rsidRDefault="004D6A64">
            <w:pPr>
              <w:rPr>
                <w:rFonts w:ascii="宋体"/>
              </w:rPr>
            </w:pPr>
          </w:p>
        </w:tc>
        <w:tc>
          <w:tcPr>
            <w:tcW w:w="0" w:type="auto"/>
            <w:shd w:val="clear" w:color="auto" w:fill="auto"/>
          </w:tcPr>
          <w:p w14:paraId="33DACF64" w14:textId="77777777" w:rsidR="004D6A64" w:rsidRDefault="004D6A64">
            <w:pPr>
              <w:rPr>
                <w:rFonts w:ascii="宋体"/>
              </w:rPr>
            </w:pPr>
          </w:p>
        </w:tc>
        <w:tc>
          <w:tcPr>
            <w:tcW w:w="0" w:type="auto"/>
            <w:shd w:val="clear" w:color="auto" w:fill="auto"/>
          </w:tcPr>
          <w:p w14:paraId="33DACF65" w14:textId="77777777" w:rsidR="004D6A64" w:rsidRDefault="004D6A64">
            <w:pPr>
              <w:rPr>
                <w:rFonts w:ascii="宋体"/>
              </w:rPr>
            </w:pPr>
          </w:p>
        </w:tc>
        <w:tc>
          <w:tcPr>
            <w:tcW w:w="0" w:type="auto"/>
            <w:shd w:val="clear" w:color="auto" w:fill="auto"/>
          </w:tcPr>
          <w:p w14:paraId="33DACF66" w14:textId="77777777" w:rsidR="004D6A64" w:rsidRDefault="004D6A64">
            <w:pPr>
              <w:rPr>
                <w:rFonts w:ascii="宋体"/>
              </w:rPr>
            </w:pPr>
          </w:p>
        </w:tc>
        <w:tc>
          <w:tcPr>
            <w:tcW w:w="0" w:type="auto"/>
            <w:shd w:val="clear" w:color="auto" w:fill="auto"/>
          </w:tcPr>
          <w:p w14:paraId="33DACF67" w14:textId="77777777" w:rsidR="004D6A64" w:rsidRDefault="004D6A64">
            <w:pPr>
              <w:rPr>
                <w:rFonts w:ascii="宋体"/>
              </w:rPr>
            </w:pPr>
          </w:p>
        </w:tc>
        <w:tc>
          <w:tcPr>
            <w:tcW w:w="0" w:type="auto"/>
            <w:shd w:val="clear" w:color="auto" w:fill="auto"/>
          </w:tcPr>
          <w:p w14:paraId="33DACF68" w14:textId="77777777" w:rsidR="004D6A64" w:rsidRDefault="004D6A64">
            <w:pPr>
              <w:rPr>
                <w:rFonts w:ascii="宋体"/>
              </w:rPr>
            </w:pPr>
          </w:p>
        </w:tc>
        <w:tc>
          <w:tcPr>
            <w:tcW w:w="0" w:type="auto"/>
            <w:shd w:val="clear" w:color="auto" w:fill="auto"/>
          </w:tcPr>
          <w:p w14:paraId="33DACF69" w14:textId="77777777" w:rsidR="004D6A64" w:rsidRDefault="004D6A64">
            <w:pPr>
              <w:rPr>
                <w:rFonts w:ascii="宋体"/>
              </w:rPr>
            </w:pPr>
          </w:p>
        </w:tc>
      </w:tr>
      <w:tr w:rsidR="004D6A64" w14:paraId="33DACF7F" w14:textId="77777777">
        <w:trPr>
          <w:hidden/>
        </w:trPr>
        <w:tc>
          <w:tcPr>
            <w:tcW w:w="0" w:type="auto"/>
            <w:gridSpan w:val="3"/>
            <w:shd w:val="clear" w:color="auto" w:fill="auto"/>
          </w:tcPr>
          <w:p w14:paraId="33DACF6B" w14:textId="77777777" w:rsidR="004D6A64" w:rsidRDefault="004D6A64">
            <w:pPr>
              <w:rPr>
                <w:rFonts w:ascii="宋体"/>
                <w:vanish/>
              </w:rPr>
            </w:pPr>
          </w:p>
        </w:tc>
        <w:tc>
          <w:tcPr>
            <w:tcW w:w="0" w:type="auto"/>
            <w:gridSpan w:val="3"/>
            <w:shd w:val="clear" w:color="auto" w:fill="auto"/>
          </w:tcPr>
          <w:p w14:paraId="33DACF6C" w14:textId="77777777" w:rsidR="004D6A64" w:rsidRDefault="004D6A64">
            <w:pPr>
              <w:rPr>
                <w:rFonts w:ascii="宋体"/>
                <w:vanish/>
              </w:rPr>
            </w:pPr>
          </w:p>
        </w:tc>
        <w:tc>
          <w:tcPr>
            <w:tcW w:w="0" w:type="auto"/>
            <w:gridSpan w:val="3"/>
            <w:shd w:val="clear" w:color="auto" w:fill="auto"/>
          </w:tcPr>
          <w:p w14:paraId="33DACF6D" w14:textId="77777777" w:rsidR="004D6A64" w:rsidRDefault="004D6A64">
            <w:pPr>
              <w:rPr>
                <w:rFonts w:ascii="宋体"/>
                <w:vanish/>
              </w:rPr>
            </w:pPr>
          </w:p>
        </w:tc>
        <w:tc>
          <w:tcPr>
            <w:tcW w:w="0" w:type="auto"/>
            <w:gridSpan w:val="3"/>
            <w:shd w:val="clear" w:color="auto" w:fill="auto"/>
          </w:tcPr>
          <w:p w14:paraId="33DACF6E" w14:textId="77777777" w:rsidR="004D6A64" w:rsidRDefault="004D6A64">
            <w:pPr>
              <w:rPr>
                <w:rFonts w:ascii="宋体"/>
                <w:vanish/>
              </w:rPr>
            </w:pPr>
          </w:p>
        </w:tc>
        <w:tc>
          <w:tcPr>
            <w:tcW w:w="0" w:type="auto"/>
            <w:gridSpan w:val="3"/>
            <w:shd w:val="clear" w:color="auto" w:fill="auto"/>
          </w:tcPr>
          <w:p w14:paraId="33DACF6F" w14:textId="77777777" w:rsidR="004D6A64" w:rsidRDefault="004D6A64">
            <w:pPr>
              <w:rPr>
                <w:rFonts w:ascii="宋体"/>
                <w:vanish/>
              </w:rPr>
            </w:pPr>
          </w:p>
        </w:tc>
        <w:tc>
          <w:tcPr>
            <w:tcW w:w="0" w:type="auto"/>
            <w:gridSpan w:val="3"/>
            <w:shd w:val="clear" w:color="auto" w:fill="auto"/>
          </w:tcPr>
          <w:p w14:paraId="33DACF70" w14:textId="77777777" w:rsidR="004D6A64" w:rsidRDefault="004D6A64">
            <w:pPr>
              <w:rPr>
                <w:rFonts w:ascii="宋体"/>
                <w:vanish/>
              </w:rPr>
            </w:pPr>
          </w:p>
        </w:tc>
        <w:tc>
          <w:tcPr>
            <w:tcW w:w="0" w:type="auto"/>
            <w:gridSpan w:val="3"/>
            <w:shd w:val="clear" w:color="auto" w:fill="auto"/>
          </w:tcPr>
          <w:p w14:paraId="33DACF71" w14:textId="77777777" w:rsidR="004D6A64" w:rsidRDefault="004D6A64">
            <w:pPr>
              <w:rPr>
                <w:rFonts w:ascii="宋体"/>
                <w:vanish/>
              </w:rPr>
            </w:pPr>
          </w:p>
        </w:tc>
        <w:tc>
          <w:tcPr>
            <w:tcW w:w="0" w:type="auto"/>
            <w:gridSpan w:val="3"/>
            <w:shd w:val="clear" w:color="auto" w:fill="auto"/>
          </w:tcPr>
          <w:p w14:paraId="33DACF72" w14:textId="77777777" w:rsidR="004D6A64" w:rsidRDefault="004D6A64">
            <w:pPr>
              <w:rPr>
                <w:rFonts w:ascii="宋体"/>
                <w:vanish/>
              </w:rPr>
            </w:pPr>
          </w:p>
        </w:tc>
        <w:tc>
          <w:tcPr>
            <w:tcW w:w="0" w:type="auto"/>
            <w:shd w:val="clear" w:color="auto" w:fill="auto"/>
          </w:tcPr>
          <w:p w14:paraId="33DACF73" w14:textId="77777777" w:rsidR="004D6A64" w:rsidRDefault="004D6A64">
            <w:pPr>
              <w:rPr>
                <w:rFonts w:ascii="宋体"/>
              </w:rPr>
            </w:pPr>
          </w:p>
        </w:tc>
        <w:tc>
          <w:tcPr>
            <w:tcW w:w="0" w:type="auto"/>
            <w:shd w:val="clear" w:color="auto" w:fill="auto"/>
          </w:tcPr>
          <w:p w14:paraId="33DACF74" w14:textId="77777777" w:rsidR="004D6A64" w:rsidRDefault="004D6A64">
            <w:pPr>
              <w:rPr>
                <w:rFonts w:ascii="宋体"/>
              </w:rPr>
            </w:pPr>
          </w:p>
        </w:tc>
        <w:tc>
          <w:tcPr>
            <w:tcW w:w="0" w:type="auto"/>
            <w:shd w:val="clear" w:color="auto" w:fill="auto"/>
          </w:tcPr>
          <w:p w14:paraId="33DACF75" w14:textId="77777777" w:rsidR="004D6A64" w:rsidRDefault="004D6A64">
            <w:pPr>
              <w:rPr>
                <w:rFonts w:ascii="宋体"/>
              </w:rPr>
            </w:pPr>
          </w:p>
        </w:tc>
        <w:tc>
          <w:tcPr>
            <w:tcW w:w="0" w:type="auto"/>
            <w:shd w:val="clear" w:color="auto" w:fill="auto"/>
          </w:tcPr>
          <w:p w14:paraId="33DACF76" w14:textId="77777777" w:rsidR="004D6A64" w:rsidRDefault="004D6A64">
            <w:pPr>
              <w:rPr>
                <w:rFonts w:ascii="宋体"/>
              </w:rPr>
            </w:pPr>
          </w:p>
        </w:tc>
        <w:tc>
          <w:tcPr>
            <w:tcW w:w="0" w:type="auto"/>
            <w:shd w:val="clear" w:color="auto" w:fill="auto"/>
          </w:tcPr>
          <w:p w14:paraId="33DACF77" w14:textId="77777777" w:rsidR="004D6A64" w:rsidRDefault="004D6A64">
            <w:pPr>
              <w:rPr>
                <w:rFonts w:ascii="宋体"/>
              </w:rPr>
            </w:pPr>
          </w:p>
        </w:tc>
        <w:tc>
          <w:tcPr>
            <w:tcW w:w="0" w:type="auto"/>
            <w:shd w:val="clear" w:color="auto" w:fill="auto"/>
          </w:tcPr>
          <w:p w14:paraId="33DACF78" w14:textId="77777777" w:rsidR="004D6A64" w:rsidRDefault="004D6A64">
            <w:pPr>
              <w:rPr>
                <w:rFonts w:ascii="宋体"/>
              </w:rPr>
            </w:pPr>
          </w:p>
        </w:tc>
        <w:tc>
          <w:tcPr>
            <w:tcW w:w="0" w:type="auto"/>
            <w:shd w:val="clear" w:color="auto" w:fill="auto"/>
          </w:tcPr>
          <w:p w14:paraId="33DACF79" w14:textId="77777777" w:rsidR="004D6A64" w:rsidRDefault="004D6A64">
            <w:pPr>
              <w:rPr>
                <w:rFonts w:ascii="宋体"/>
              </w:rPr>
            </w:pPr>
          </w:p>
        </w:tc>
        <w:tc>
          <w:tcPr>
            <w:tcW w:w="0" w:type="auto"/>
            <w:shd w:val="clear" w:color="auto" w:fill="auto"/>
          </w:tcPr>
          <w:p w14:paraId="33DACF7A" w14:textId="77777777" w:rsidR="004D6A64" w:rsidRDefault="004D6A64">
            <w:pPr>
              <w:rPr>
                <w:rFonts w:ascii="宋体"/>
              </w:rPr>
            </w:pPr>
          </w:p>
        </w:tc>
        <w:tc>
          <w:tcPr>
            <w:tcW w:w="0" w:type="auto"/>
            <w:shd w:val="clear" w:color="auto" w:fill="auto"/>
          </w:tcPr>
          <w:p w14:paraId="33DACF7B" w14:textId="77777777" w:rsidR="004D6A64" w:rsidRDefault="004D6A64">
            <w:pPr>
              <w:rPr>
                <w:rFonts w:ascii="宋体"/>
              </w:rPr>
            </w:pPr>
          </w:p>
        </w:tc>
        <w:tc>
          <w:tcPr>
            <w:tcW w:w="0" w:type="auto"/>
            <w:shd w:val="clear" w:color="auto" w:fill="auto"/>
          </w:tcPr>
          <w:p w14:paraId="33DACF7C" w14:textId="77777777" w:rsidR="004D6A64" w:rsidRDefault="004D6A64">
            <w:pPr>
              <w:rPr>
                <w:rFonts w:ascii="宋体"/>
              </w:rPr>
            </w:pPr>
          </w:p>
        </w:tc>
        <w:tc>
          <w:tcPr>
            <w:tcW w:w="0" w:type="auto"/>
            <w:shd w:val="clear" w:color="auto" w:fill="auto"/>
          </w:tcPr>
          <w:p w14:paraId="33DACF7D" w14:textId="77777777" w:rsidR="004D6A64" w:rsidRDefault="004D6A64">
            <w:pPr>
              <w:rPr>
                <w:rFonts w:ascii="宋体"/>
              </w:rPr>
            </w:pPr>
          </w:p>
        </w:tc>
        <w:tc>
          <w:tcPr>
            <w:tcW w:w="0" w:type="auto"/>
            <w:shd w:val="clear" w:color="auto" w:fill="auto"/>
          </w:tcPr>
          <w:p w14:paraId="33DACF7E" w14:textId="77777777" w:rsidR="004D6A64" w:rsidRDefault="004D6A64">
            <w:pPr>
              <w:rPr>
                <w:rFonts w:ascii="宋体"/>
              </w:rPr>
            </w:pPr>
          </w:p>
        </w:tc>
      </w:tr>
    </w:tbl>
    <w:p w14:paraId="33DACF80" w14:textId="77777777" w:rsidR="004D6A64" w:rsidRDefault="004D6A64"/>
    <w:p w14:paraId="33DACF81" w14:textId="77777777" w:rsidR="004D6A64" w:rsidRDefault="00506CD6">
      <w:r>
        <w:rPr>
          <w:rFonts w:ascii="Times New Roman" w:eastAsia="宋体" w:hAnsi="Times New Roman"/>
          <w:color w:val="000000"/>
          <w:sz w:val="20"/>
          <w:szCs w:val="20"/>
        </w:rPr>
        <w:t xml:space="preserve">The following table presents the computation of basic and diluted earnings per </w:t>
      </w:r>
      <w:r>
        <w:rPr>
          <w:rFonts w:ascii="Times New Roman" w:eastAsia="宋体" w:hAnsi="Times New Roman"/>
          <w:color w:val="000000"/>
          <w:sz w:val="20"/>
          <w:szCs w:val="20"/>
        </w:rPr>
        <w:t>share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3130"/>
        <w:gridCol w:w="38"/>
        <w:gridCol w:w="135"/>
        <w:gridCol w:w="862"/>
        <w:gridCol w:w="41"/>
        <w:gridCol w:w="36"/>
        <w:gridCol w:w="36"/>
        <w:gridCol w:w="36"/>
        <w:gridCol w:w="135"/>
        <w:gridCol w:w="863"/>
        <w:gridCol w:w="41"/>
        <w:gridCol w:w="36"/>
        <w:gridCol w:w="36"/>
        <w:gridCol w:w="36"/>
        <w:gridCol w:w="135"/>
        <w:gridCol w:w="863"/>
        <w:gridCol w:w="41"/>
        <w:gridCol w:w="36"/>
        <w:gridCol w:w="36"/>
        <w:gridCol w:w="36"/>
        <w:gridCol w:w="135"/>
        <w:gridCol w:w="865"/>
        <w:gridCol w:w="41"/>
        <w:gridCol w:w="36"/>
        <w:gridCol w:w="36"/>
        <w:gridCol w:w="36"/>
        <w:gridCol w:w="36"/>
        <w:gridCol w:w="36"/>
        <w:gridCol w:w="36"/>
        <w:gridCol w:w="36"/>
        <w:gridCol w:w="36"/>
        <w:gridCol w:w="36"/>
        <w:gridCol w:w="36"/>
        <w:gridCol w:w="36"/>
        <w:gridCol w:w="36"/>
        <w:gridCol w:w="36"/>
        <w:gridCol w:w="36"/>
        <w:gridCol w:w="36"/>
        <w:gridCol w:w="36"/>
        <w:gridCol w:w="36"/>
        <w:gridCol w:w="36"/>
      </w:tblGrid>
      <w:tr w:rsidR="004D6A64" w14:paraId="33DACF9A" w14:textId="77777777">
        <w:trPr>
          <w:gridAfter w:val="18"/>
        </w:trPr>
        <w:tc>
          <w:tcPr>
            <w:tcW w:w="50" w:type="pct"/>
            <w:shd w:val="clear" w:color="auto" w:fill="auto"/>
          </w:tcPr>
          <w:p w14:paraId="33DACF82" w14:textId="77777777" w:rsidR="004D6A64" w:rsidRDefault="004D6A64">
            <w:pPr>
              <w:rPr>
                <w:rFonts w:ascii="宋体"/>
              </w:rPr>
            </w:pPr>
          </w:p>
        </w:tc>
        <w:tc>
          <w:tcPr>
            <w:tcW w:w="2137" w:type="pct"/>
            <w:shd w:val="clear" w:color="auto" w:fill="auto"/>
          </w:tcPr>
          <w:p w14:paraId="33DACF83" w14:textId="77777777" w:rsidR="004D6A64" w:rsidRDefault="004D6A64">
            <w:pPr>
              <w:rPr>
                <w:rFonts w:ascii="宋体"/>
              </w:rPr>
            </w:pPr>
          </w:p>
        </w:tc>
        <w:tc>
          <w:tcPr>
            <w:tcW w:w="5" w:type="pct"/>
            <w:shd w:val="clear" w:color="auto" w:fill="auto"/>
          </w:tcPr>
          <w:p w14:paraId="33DACF84" w14:textId="77777777" w:rsidR="004D6A64" w:rsidRDefault="004D6A64">
            <w:pPr>
              <w:rPr>
                <w:rFonts w:ascii="宋体"/>
              </w:rPr>
            </w:pPr>
          </w:p>
        </w:tc>
        <w:tc>
          <w:tcPr>
            <w:tcW w:w="50" w:type="pct"/>
            <w:shd w:val="clear" w:color="auto" w:fill="auto"/>
          </w:tcPr>
          <w:p w14:paraId="33DACF85" w14:textId="77777777" w:rsidR="004D6A64" w:rsidRDefault="004D6A64">
            <w:pPr>
              <w:rPr>
                <w:rFonts w:ascii="宋体"/>
              </w:rPr>
            </w:pPr>
          </w:p>
        </w:tc>
        <w:tc>
          <w:tcPr>
            <w:tcW w:w="624" w:type="pct"/>
            <w:shd w:val="clear" w:color="auto" w:fill="auto"/>
          </w:tcPr>
          <w:p w14:paraId="33DACF86" w14:textId="77777777" w:rsidR="004D6A64" w:rsidRDefault="004D6A64">
            <w:pPr>
              <w:rPr>
                <w:rFonts w:ascii="宋体"/>
              </w:rPr>
            </w:pPr>
          </w:p>
        </w:tc>
        <w:tc>
          <w:tcPr>
            <w:tcW w:w="5" w:type="pct"/>
            <w:shd w:val="clear" w:color="auto" w:fill="auto"/>
          </w:tcPr>
          <w:p w14:paraId="33DACF87" w14:textId="77777777" w:rsidR="004D6A64" w:rsidRDefault="004D6A64">
            <w:pPr>
              <w:rPr>
                <w:rFonts w:ascii="宋体"/>
              </w:rPr>
            </w:pPr>
          </w:p>
        </w:tc>
        <w:tc>
          <w:tcPr>
            <w:tcW w:w="5" w:type="pct"/>
            <w:shd w:val="clear" w:color="auto" w:fill="auto"/>
          </w:tcPr>
          <w:p w14:paraId="33DACF88" w14:textId="77777777" w:rsidR="004D6A64" w:rsidRDefault="004D6A64">
            <w:pPr>
              <w:rPr>
                <w:rFonts w:ascii="宋体"/>
              </w:rPr>
            </w:pPr>
          </w:p>
        </w:tc>
        <w:tc>
          <w:tcPr>
            <w:tcW w:w="19" w:type="pct"/>
            <w:shd w:val="clear" w:color="auto" w:fill="auto"/>
          </w:tcPr>
          <w:p w14:paraId="33DACF89" w14:textId="77777777" w:rsidR="004D6A64" w:rsidRDefault="004D6A64">
            <w:pPr>
              <w:rPr>
                <w:rFonts w:ascii="宋体"/>
              </w:rPr>
            </w:pPr>
          </w:p>
        </w:tc>
        <w:tc>
          <w:tcPr>
            <w:tcW w:w="5" w:type="pct"/>
            <w:shd w:val="clear" w:color="auto" w:fill="auto"/>
          </w:tcPr>
          <w:p w14:paraId="33DACF8A" w14:textId="77777777" w:rsidR="004D6A64" w:rsidRDefault="004D6A64">
            <w:pPr>
              <w:rPr>
                <w:rFonts w:ascii="宋体"/>
              </w:rPr>
            </w:pPr>
          </w:p>
        </w:tc>
        <w:tc>
          <w:tcPr>
            <w:tcW w:w="50" w:type="pct"/>
            <w:shd w:val="clear" w:color="auto" w:fill="auto"/>
          </w:tcPr>
          <w:p w14:paraId="33DACF8B" w14:textId="77777777" w:rsidR="004D6A64" w:rsidRDefault="004D6A64">
            <w:pPr>
              <w:rPr>
                <w:rFonts w:ascii="宋体"/>
              </w:rPr>
            </w:pPr>
          </w:p>
        </w:tc>
        <w:tc>
          <w:tcPr>
            <w:tcW w:w="624" w:type="pct"/>
            <w:shd w:val="clear" w:color="auto" w:fill="auto"/>
          </w:tcPr>
          <w:p w14:paraId="33DACF8C" w14:textId="77777777" w:rsidR="004D6A64" w:rsidRDefault="004D6A64">
            <w:pPr>
              <w:rPr>
                <w:rFonts w:ascii="宋体"/>
              </w:rPr>
            </w:pPr>
          </w:p>
        </w:tc>
        <w:tc>
          <w:tcPr>
            <w:tcW w:w="5" w:type="pct"/>
            <w:shd w:val="clear" w:color="auto" w:fill="auto"/>
          </w:tcPr>
          <w:p w14:paraId="33DACF8D" w14:textId="77777777" w:rsidR="004D6A64" w:rsidRDefault="004D6A64">
            <w:pPr>
              <w:rPr>
                <w:rFonts w:ascii="宋体"/>
              </w:rPr>
            </w:pPr>
          </w:p>
        </w:tc>
        <w:tc>
          <w:tcPr>
            <w:tcW w:w="5" w:type="pct"/>
            <w:shd w:val="clear" w:color="auto" w:fill="auto"/>
          </w:tcPr>
          <w:p w14:paraId="33DACF8E" w14:textId="77777777" w:rsidR="004D6A64" w:rsidRDefault="004D6A64">
            <w:pPr>
              <w:rPr>
                <w:rFonts w:ascii="宋体"/>
              </w:rPr>
            </w:pPr>
          </w:p>
        </w:tc>
        <w:tc>
          <w:tcPr>
            <w:tcW w:w="19" w:type="pct"/>
            <w:shd w:val="clear" w:color="auto" w:fill="auto"/>
          </w:tcPr>
          <w:p w14:paraId="33DACF8F" w14:textId="77777777" w:rsidR="004D6A64" w:rsidRDefault="004D6A64">
            <w:pPr>
              <w:rPr>
                <w:rFonts w:ascii="宋体"/>
              </w:rPr>
            </w:pPr>
          </w:p>
        </w:tc>
        <w:tc>
          <w:tcPr>
            <w:tcW w:w="5" w:type="pct"/>
            <w:shd w:val="clear" w:color="auto" w:fill="auto"/>
          </w:tcPr>
          <w:p w14:paraId="33DACF90" w14:textId="77777777" w:rsidR="004D6A64" w:rsidRDefault="004D6A64">
            <w:pPr>
              <w:rPr>
                <w:rFonts w:ascii="宋体"/>
              </w:rPr>
            </w:pPr>
          </w:p>
        </w:tc>
        <w:tc>
          <w:tcPr>
            <w:tcW w:w="50" w:type="pct"/>
            <w:shd w:val="clear" w:color="auto" w:fill="auto"/>
          </w:tcPr>
          <w:p w14:paraId="33DACF91" w14:textId="77777777" w:rsidR="004D6A64" w:rsidRDefault="004D6A64">
            <w:pPr>
              <w:rPr>
                <w:rFonts w:ascii="宋体"/>
              </w:rPr>
            </w:pPr>
          </w:p>
        </w:tc>
        <w:tc>
          <w:tcPr>
            <w:tcW w:w="624" w:type="pct"/>
            <w:shd w:val="clear" w:color="auto" w:fill="auto"/>
          </w:tcPr>
          <w:p w14:paraId="33DACF92" w14:textId="77777777" w:rsidR="004D6A64" w:rsidRDefault="004D6A64">
            <w:pPr>
              <w:rPr>
                <w:rFonts w:ascii="宋体"/>
              </w:rPr>
            </w:pPr>
          </w:p>
        </w:tc>
        <w:tc>
          <w:tcPr>
            <w:tcW w:w="5" w:type="pct"/>
            <w:shd w:val="clear" w:color="auto" w:fill="auto"/>
          </w:tcPr>
          <w:p w14:paraId="33DACF93" w14:textId="77777777" w:rsidR="004D6A64" w:rsidRDefault="004D6A64">
            <w:pPr>
              <w:rPr>
                <w:rFonts w:ascii="宋体"/>
              </w:rPr>
            </w:pPr>
          </w:p>
        </w:tc>
        <w:tc>
          <w:tcPr>
            <w:tcW w:w="5" w:type="pct"/>
            <w:shd w:val="clear" w:color="auto" w:fill="auto"/>
          </w:tcPr>
          <w:p w14:paraId="33DACF94" w14:textId="77777777" w:rsidR="004D6A64" w:rsidRDefault="004D6A64">
            <w:pPr>
              <w:rPr>
                <w:rFonts w:ascii="宋体"/>
              </w:rPr>
            </w:pPr>
          </w:p>
        </w:tc>
        <w:tc>
          <w:tcPr>
            <w:tcW w:w="19" w:type="pct"/>
            <w:shd w:val="clear" w:color="auto" w:fill="auto"/>
          </w:tcPr>
          <w:p w14:paraId="33DACF95" w14:textId="77777777" w:rsidR="004D6A64" w:rsidRDefault="004D6A64">
            <w:pPr>
              <w:rPr>
                <w:rFonts w:ascii="宋体"/>
              </w:rPr>
            </w:pPr>
          </w:p>
        </w:tc>
        <w:tc>
          <w:tcPr>
            <w:tcW w:w="5" w:type="pct"/>
            <w:shd w:val="clear" w:color="auto" w:fill="auto"/>
          </w:tcPr>
          <w:p w14:paraId="33DACF96" w14:textId="77777777" w:rsidR="004D6A64" w:rsidRDefault="004D6A64">
            <w:pPr>
              <w:rPr>
                <w:rFonts w:ascii="宋体"/>
              </w:rPr>
            </w:pPr>
          </w:p>
        </w:tc>
        <w:tc>
          <w:tcPr>
            <w:tcW w:w="50" w:type="pct"/>
            <w:shd w:val="clear" w:color="auto" w:fill="auto"/>
          </w:tcPr>
          <w:p w14:paraId="33DACF97" w14:textId="77777777" w:rsidR="004D6A64" w:rsidRDefault="004D6A64">
            <w:pPr>
              <w:rPr>
                <w:rFonts w:ascii="宋体"/>
              </w:rPr>
            </w:pPr>
          </w:p>
        </w:tc>
        <w:tc>
          <w:tcPr>
            <w:tcW w:w="625" w:type="pct"/>
            <w:shd w:val="clear" w:color="auto" w:fill="auto"/>
          </w:tcPr>
          <w:p w14:paraId="33DACF98" w14:textId="77777777" w:rsidR="004D6A64" w:rsidRDefault="004D6A64">
            <w:pPr>
              <w:rPr>
                <w:rFonts w:ascii="宋体"/>
              </w:rPr>
            </w:pPr>
          </w:p>
        </w:tc>
        <w:tc>
          <w:tcPr>
            <w:tcW w:w="5" w:type="pct"/>
            <w:shd w:val="clear" w:color="auto" w:fill="auto"/>
          </w:tcPr>
          <w:p w14:paraId="33DACF99" w14:textId="77777777" w:rsidR="004D6A64" w:rsidRDefault="004D6A64">
            <w:pPr>
              <w:rPr>
                <w:rFonts w:ascii="宋体"/>
              </w:rPr>
            </w:pPr>
          </w:p>
        </w:tc>
      </w:tr>
      <w:tr w:rsidR="004D6A64" w14:paraId="33DACFA3" w14:textId="77777777">
        <w:trPr>
          <w:gridAfter w:val="6"/>
        </w:trPr>
        <w:tc>
          <w:tcPr>
            <w:tcW w:w="0" w:type="auto"/>
            <w:gridSpan w:val="3"/>
            <w:shd w:val="clear" w:color="auto" w:fill="auto"/>
            <w:tcMar>
              <w:left w:w="20" w:type="dxa"/>
              <w:right w:w="20" w:type="dxa"/>
            </w:tcMar>
            <w:vAlign w:val="bottom"/>
          </w:tcPr>
          <w:p w14:paraId="33DACF9B" w14:textId="77777777" w:rsidR="004D6A64" w:rsidRDefault="004D6A64">
            <w:pPr>
              <w:rPr>
                <w:rFonts w:ascii="宋体"/>
              </w:rPr>
            </w:pPr>
          </w:p>
        </w:tc>
        <w:tc>
          <w:tcPr>
            <w:tcW w:w="0" w:type="auto"/>
            <w:gridSpan w:val="9"/>
            <w:shd w:val="clear" w:color="auto" w:fill="auto"/>
            <w:tcMar>
              <w:top w:w="40" w:type="dxa"/>
              <w:left w:w="20" w:type="dxa"/>
              <w:bottom w:w="40" w:type="dxa"/>
              <w:right w:w="20" w:type="dxa"/>
            </w:tcMar>
            <w:vAlign w:val="bottom"/>
          </w:tcPr>
          <w:p w14:paraId="33DACF9C" w14:textId="77777777" w:rsidR="004D6A64" w:rsidRDefault="00506CD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Pr>
          <w:p w14:paraId="33DACF9D" w14:textId="77777777" w:rsidR="004D6A64" w:rsidRDefault="004D6A64">
            <w:pPr>
              <w:rPr>
                <w:rFonts w:ascii="宋体"/>
                <w:vanish/>
              </w:rPr>
            </w:pPr>
          </w:p>
        </w:tc>
        <w:tc>
          <w:tcPr>
            <w:tcW w:w="0" w:type="auto"/>
            <w:gridSpan w:val="3"/>
            <w:shd w:val="clear" w:color="auto" w:fill="auto"/>
          </w:tcPr>
          <w:p w14:paraId="33DACF9E"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CF9F" w14:textId="77777777" w:rsidR="004D6A64" w:rsidRDefault="004D6A64">
            <w:pPr>
              <w:rPr>
                <w:rFonts w:ascii="宋体"/>
              </w:rPr>
            </w:pPr>
          </w:p>
        </w:tc>
        <w:tc>
          <w:tcPr>
            <w:tcW w:w="0" w:type="auto"/>
            <w:gridSpan w:val="9"/>
            <w:shd w:val="clear" w:color="auto" w:fill="auto"/>
            <w:tcMar>
              <w:top w:w="40" w:type="dxa"/>
              <w:left w:w="20" w:type="dxa"/>
              <w:bottom w:w="40" w:type="dxa"/>
              <w:right w:w="20" w:type="dxa"/>
            </w:tcMar>
            <w:vAlign w:val="bottom"/>
          </w:tcPr>
          <w:p w14:paraId="33DACFA0" w14:textId="77777777" w:rsidR="004D6A64" w:rsidRDefault="00506CD6">
            <w:pPr>
              <w:jc w:val="center"/>
              <w:textAlignment w:val="bottom"/>
            </w:pPr>
            <w:r>
              <w:rPr>
                <w:rFonts w:ascii="Times New Roman" w:eastAsia="宋体" w:hAnsi="Times New Roman"/>
                <w:b/>
                <w:bCs/>
                <w:color w:val="000000"/>
                <w:sz w:val="20"/>
                <w:szCs w:val="20"/>
              </w:rPr>
              <w:t>Six Months Ended</w:t>
            </w:r>
          </w:p>
        </w:tc>
        <w:tc>
          <w:tcPr>
            <w:tcW w:w="0" w:type="auto"/>
            <w:gridSpan w:val="3"/>
            <w:shd w:val="clear" w:color="auto" w:fill="auto"/>
          </w:tcPr>
          <w:p w14:paraId="33DACFA1" w14:textId="77777777" w:rsidR="004D6A64" w:rsidRDefault="004D6A64">
            <w:pPr>
              <w:rPr>
                <w:rFonts w:ascii="宋体"/>
                <w:vanish/>
              </w:rPr>
            </w:pPr>
          </w:p>
        </w:tc>
        <w:tc>
          <w:tcPr>
            <w:tcW w:w="0" w:type="auto"/>
            <w:gridSpan w:val="3"/>
            <w:shd w:val="clear" w:color="auto" w:fill="auto"/>
          </w:tcPr>
          <w:p w14:paraId="33DACFA2" w14:textId="77777777" w:rsidR="004D6A64" w:rsidRDefault="004D6A64">
            <w:pPr>
              <w:rPr>
                <w:rFonts w:ascii="宋体"/>
                <w:vanish/>
              </w:rPr>
            </w:pPr>
          </w:p>
        </w:tc>
      </w:tr>
      <w:tr w:rsidR="004D6A64" w14:paraId="33DACFB8" w14:textId="77777777">
        <w:trPr>
          <w:gridAfter w:val="6"/>
        </w:trPr>
        <w:tc>
          <w:tcPr>
            <w:tcW w:w="0" w:type="auto"/>
            <w:gridSpan w:val="3"/>
            <w:shd w:val="clear" w:color="auto" w:fill="auto"/>
            <w:tcMar>
              <w:left w:w="20" w:type="dxa"/>
              <w:right w:w="20" w:type="dxa"/>
            </w:tcMar>
            <w:vAlign w:val="bottom"/>
          </w:tcPr>
          <w:p w14:paraId="33DACFA4"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CFA5"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CFA6"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CFA7"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gridSpan w:val="3"/>
            <w:shd w:val="clear" w:color="auto" w:fill="auto"/>
            <w:tcMar>
              <w:left w:w="20" w:type="dxa"/>
              <w:right w:w="20" w:type="dxa"/>
            </w:tcMar>
            <w:vAlign w:val="bottom"/>
          </w:tcPr>
          <w:p w14:paraId="33DACFA8"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CFA9"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CFAA"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CFAB"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shd w:val="clear" w:color="auto" w:fill="auto"/>
          </w:tcPr>
          <w:p w14:paraId="33DACFAC" w14:textId="77777777" w:rsidR="004D6A64" w:rsidRDefault="004D6A64">
            <w:pPr>
              <w:rPr>
                <w:rFonts w:ascii="宋体"/>
              </w:rPr>
            </w:pPr>
          </w:p>
        </w:tc>
        <w:tc>
          <w:tcPr>
            <w:tcW w:w="0" w:type="auto"/>
            <w:shd w:val="clear" w:color="auto" w:fill="auto"/>
          </w:tcPr>
          <w:p w14:paraId="33DACFAD" w14:textId="77777777" w:rsidR="004D6A64" w:rsidRDefault="004D6A64">
            <w:pPr>
              <w:rPr>
                <w:rFonts w:ascii="宋体"/>
              </w:rPr>
            </w:pPr>
          </w:p>
        </w:tc>
        <w:tc>
          <w:tcPr>
            <w:tcW w:w="0" w:type="auto"/>
            <w:shd w:val="clear" w:color="auto" w:fill="auto"/>
          </w:tcPr>
          <w:p w14:paraId="33DACFAE" w14:textId="77777777" w:rsidR="004D6A64" w:rsidRDefault="004D6A64">
            <w:pPr>
              <w:rPr>
                <w:rFonts w:ascii="宋体"/>
              </w:rPr>
            </w:pPr>
          </w:p>
        </w:tc>
        <w:tc>
          <w:tcPr>
            <w:tcW w:w="0" w:type="auto"/>
            <w:shd w:val="clear" w:color="auto" w:fill="auto"/>
          </w:tcPr>
          <w:p w14:paraId="33DACFAF" w14:textId="77777777" w:rsidR="004D6A64" w:rsidRDefault="004D6A64">
            <w:pPr>
              <w:rPr>
                <w:rFonts w:ascii="宋体"/>
              </w:rPr>
            </w:pPr>
          </w:p>
        </w:tc>
        <w:tc>
          <w:tcPr>
            <w:tcW w:w="0" w:type="auto"/>
            <w:shd w:val="clear" w:color="auto" w:fill="auto"/>
          </w:tcPr>
          <w:p w14:paraId="33DACFB0" w14:textId="77777777" w:rsidR="004D6A64" w:rsidRDefault="004D6A64">
            <w:pPr>
              <w:rPr>
                <w:rFonts w:ascii="宋体"/>
              </w:rPr>
            </w:pPr>
          </w:p>
        </w:tc>
        <w:tc>
          <w:tcPr>
            <w:tcW w:w="0" w:type="auto"/>
            <w:shd w:val="clear" w:color="auto" w:fill="auto"/>
          </w:tcPr>
          <w:p w14:paraId="33DACFB1" w14:textId="77777777" w:rsidR="004D6A64" w:rsidRDefault="004D6A64">
            <w:pPr>
              <w:rPr>
                <w:rFonts w:ascii="宋体"/>
              </w:rPr>
            </w:pPr>
          </w:p>
        </w:tc>
        <w:tc>
          <w:tcPr>
            <w:tcW w:w="0" w:type="auto"/>
            <w:shd w:val="clear" w:color="auto" w:fill="auto"/>
          </w:tcPr>
          <w:p w14:paraId="33DACFB2" w14:textId="77777777" w:rsidR="004D6A64" w:rsidRDefault="004D6A64">
            <w:pPr>
              <w:rPr>
                <w:rFonts w:ascii="宋体"/>
              </w:rPr>
            </w:pPr>
          </w:p>
        </w:tc>
        <w:tc>
          <w:tcPr>
            <w:tcW w:w="0" w:type="auto"/>
            <w:shd w:val="clear" w:color="auto" w:fill="auto"/>
          </w:tcPr>
          <w:p w14:paraId="33DACFB3" w14:textId="77777777" w:rsidR="004D6A64" w:rsidRDefault="004D6A64">
            <w:pPr>
              <w:rPr>
                <w:rFonts w:ascii="宋体"/>
              </w:rPr>
            </w:pPr>
          </w:p>
        </w:tc>
        <w:tc>
          <w:tcPr>
            <w:tcW w:w="0" w:type="auto"/>
            <w:shd w:val="clear" w:color="auto" w:fill="auto"/>
          </w:tcPr>
          <w:p w14:paraId="33DACFB4" w14:textId="77777777" w:rsidR="004D6A64" w:rsidRDefault="004D6A64">
            <w:pPr>
              <w:rPr>
                <w:rFonts w:ascii="宋体"/>
              </w:rPr>
            </w:pPr>
          </w:p>
        </w:tc>
        <w:tc>
          <w:tcPr>
            <w:tcW w:w="0" w:type="auto"/>
            <w:shd w:val="clear" w:color="auto" w:fill="auto"/>
          </w:tcPr>
          <w:p w14:paraId="33DACFB5" w14:textId="77777777" w:rsidR="004D6A64" w:rsidRDefault="004D6A64">
            <w:pPr>
              <w:rPr>
                <w:rFonts w:ascii="宋体"/>
              </w:rPr>
            </w:pPr>
          </w:p>
        </w:tc>
        <w:tc>
          <w:tcPr>
            <w:tcW w:w="0" w:type="auto"/>
            <w:shd w:val="clear" w:color="auto" w:fill="auto"/>
          </w:tcPr>
          <w:p w14:paraId="33DACFB6" w14:textId="77777777" w:rsidR="004D6A64" w:rsidRDefault="004D6A64">
            <w:pPr>
              <w:rPr>
                <w:rFonts w:ascii="宋体"/>
              </w:rPr>
            </w:pPr>
          </w:p>
        </w:tc>
        <w:tc>
          <w:tcPr>
            <w:tcW w:w="0" w:type="auto"/>
            <w:shd w:val="clear" w:color="auto" w:fill="auto"/>
          </w:tcPr>
          <w:p w14:paraId="33DACFB7" w14:textId="77777777" w:rsidR="004D6A64" w:rsidRDefault="004D6A64">
            <w:pPr>
              <w:rPr>
                <w:rFonts w:ascii="宋体"/>
              </w:rPr>
            </w:pPr>
          </w:p>
        </w:tc>
      </w:tr>
      <w:tr w:rsidR="004D6A64" w14:paraId="33DACFC1" w14:textId="77777777">
        <w:tc>
          <w:tcPr>
            <w:tcW w:w="0" w:type="auto"/>
            <w:gridSpan w:val="3"/>
            <w:shd w:val="clear" w:color="auto" w:fill="FFFFFF"/>
            <w:tcMar>
              <w:left w:w="20" w:type="dxa"/>
              <w:right w:w="20" w:type="dxa"/>
            </w:tcMar>
            <w:vAlign w:val="bottom"/>
          </w:tcPr>
          <w:p w14:paraId="33DACFB9" w14:textId="77777777" w:rsidR="004D6A64" w:rsidRDefault="004D6A64">
            <w:pPr>
              <w:rPr>
                <w:rFonts w:ascii="宋体"/>
              </w:rPr>
            </w:pPr>
          </w:p>
        </w:tc>
        <w:tc>
          <w:tcPr>
            <w:tcW w:w="0" w:type="auto"/>
            <w:gridSpan w:val="21"/>
            <w:tcBorders>
              <w:top w:val="single" w:sz="8" w:space="0" w:color="000000"/>
            </w:tcBorders>
            <w:shd w:val="clear" w:color="auto" w:fill="FFFFFF"/>
            <w:tcMar>
              <w:top w:w="40" w:type="dxa"/>
              <w:left w:w="20" w:type="dxa"/>
              <w:bottom w:w="40" w:type="dxa"/>
              <w:right w:w="20" w:type="dxa"/>
            </w:tcMar>
            <w:vAlign w:val="bottom"/>
          </w:tcPr>
          <w:p w14:paraId="33DACFBA" w14:textId="77777777" w:rsidR="004D6A64" w:rsidRDefault="00506CD6">
            <w:pPr>
              <w:jc w:val="center"/>
              <w:textAlignment w:val="bottom"/>
            </w:pPr>
            <w:r>
              <w:rPr>
                <w:rFonts w:ascii="Times New Roman" w:eastAsia="宋体" w:hAnsi="Times New Roman"/>
                <w:color w:val="000000"/>
                <w:sz w:val="20"/>
                <w:szCs w:val="20"/>
              </w:rPr>
              <w:t>(in millions)</w:t>
            </w:r>
          </w:p>
        </w:tc>
        <w:tc>
          <w:tcPr>
            <w:tcW w:w="0" w:type="auto"/>
            <w:gridSpan w:val="3"/>
            <w:shd w:val="clear" w:color="auto" w:fill="auto"/>
          </w:tcPr>
          <w:p w14:paraId="33DACFBB" w14:textId="77777777" w:rsidR="004D6A64" w:rsidRDefault="004D6A64">
            <w:pPr>
              <w:rPr>
                <w:rFonts w:ascii="宋体"/>
                <w:vanish/>
              </w:rPr>
            </w:pPr>
          </w:p>
        </w:tc>
        <w:tc>
          <w:tcPr>
            <w:tcW w:w="0" w:type="auto"/>
            <w:gridSpan w:val="3"/>
            <w:shd w:val="clear" w:color="auto" w:fill="auto"/>
          </w:tcPr>
          <w:p w14:paraId="33DACFBC" w14:textId="77777777" w:rsidR="004D6A64" w:rsidRDefault="004D6A64">
            <w:pPr>
              <w:rPr>
                <w:rFonts w:ascii="宋体"/>
                <w:vanish/>
              </w:rPr>
            </w:pPr>
          </w:p>
        </w:tc>
        <w:tc>
          <w:tcPr>
            <w:tcW w:w="0" w:type="auto"/>
            <w:gridSpan w:val="3"/>
            <w:shd w:val="clear" w:color="auto" w:fill="auto"/>
          </w:tcPr>
          <w:p w14:paraId="33DACFBD" w14:textId="77777777" w:rsidR="004D6A64" w:rsidRDefault="004D6A64">
            <w:pPr>
              <w:rPr>
                <w:rFonts w:ascii="宋体"/>
                <w:vanish/>
              </w:rPr>
            </w:pPr>
          </w:p>
        </w:tc>
        <w:tc>
          <w:tcPr>
            <w:tcW w:w="0" w:type="auto"/>
            <w:gridSpan w:val="3"/>
            <w:shd w:val="clear" w:color="auto" w:fill="auto"/>
          </w:tcPr>
          <w:p w14:paraId="33DACFBE" w14:textId="77777777" w:rsidR="004D6A64" w:rsidRDefault="004D6A64">
            <w:pPr>
              <w:rPr>
                <w:rFonts w:ascii="宋体"/>
                <w:vanish/>
              </w:rPr>
            </w:pPr>
          </w:p>
        </w:tc>
        <w:tc>
          <w:tcPr>
            <w:tcW w:w="0" w:type="auto"/>
            <w:gridSpan w:val="3"/>
            <w:shd w:val="clear" w:color="auto" w:fill="auto"/>
          </w:tcPr>
          <w:p w14:paraId="33DACFBF" w14:textId="77777777" w:rsidR="004D6A64" w:rsidRDefault="004D6A64">
            <w:pPr>
              <w:rPr>
                <w:rFonts w:ascii="宋体"/>
                <w:vanish/>
              </w:rPr>
            </w:pPr>
          </w:p>
        </w:tc>
        <w:tc>
          <w:tcPr>
            <w:tcW w:w="0" w:type="auto"/>
            <w:gridSpan w:val="3"/>
            <w:shd w:val="clear" w:color="auto" w:fill="auto"/>
          </w:tcPr>
          <w:p w14:paraId="33DACFC0" w14:textId="77777777" w:rsidR="004D6A64" w:rsidRDefault="004D6A64">
            <w:pPr>
              <w:rPr>
                <w:rFonts w:ascii="宋体"/>
                <w:vanish/>
              </w:rPr>
            </w:pPr>
          </w:p>
        </w:tc>
      </w:tr>
      <w:tr w:rsidR="004D6A64" w14:paraId="33DACFDC" w14:textId="77777777">
        <w:tc>
          <w:tcPr>
            <w:tcW w:w="0" w:type="auto"/>
            <w:gridSpan w:val="3"/>
            <w:shd w:val="clear" w:color="auto" w:fill="CCEEFF"/>
            <w:tcMar>
              <w:top w:w="40" w:type="dxa"/>
              <w:left w:w="20" w:type="dxa"/>
              <w:bottom w:w="40" w:type="dxa"/>
              <w:right w:w="20" w:type="dxa"/>
            </w:tcMar>
            <w:vAlign w:val="bottom"/>
          </w:tcPr>
          <w:p w14:paraId="33DACFC2" w14:textId="77777777" w:rsidR="004D6A64" w:rsidRDefault="00506CD6">
            <w:pPr>
              <w:textAlignment w:val="bottom"/>
            </w:pPr>
            <w:r>
              <w:rPr>
                <w:rFonts w:ascii="Times New Roman" w:eastAsia="宋体" w:hAnsi="Times New Roman"/>
                <w:i/>
                <w:iCs/>
                <w:color w:val="000000"/>
                <w:sz w:val="20"/>
                <w:szCs w:val="20"/>
              </w:rPr>
              <w:t>Numerator: Dell Technologies Common Stock</w:t>
            </w:r>
          </w:p>
        </w:tc>
        <w:tc>
          <w:tcPr>
            <w:tcW w:w="0" w:type="auto"/>
            <w:gridSpan w:val="3"/>
            <w:shd w:val="clear" w:color="auto" w:fill="CCEEFF"/>
            <w:tcMar>
              <w:left w:w="20" w:type="dxa"/>
              <w:right w:w="20" w:type="dxa"/>
            </w:tcMar>
            <w:vAlign w:val="bottom"/>
          </w:tcPr>
          <w:p w14:paraId="33DACFC3"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FC4"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FC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FC6"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FC7"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FC8"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CFC9" w14:textId="77777777" w:rsidR="004D6A64" w:rsidRDefault="004D6A64">
            <w:pPr>
              <w:rPr>
                <w:rFonts w:ascii="宋体"/>
              </w:rPr>
            </w:pPr>
          </w:p>
        </w:tc>
        <w:tc>
          <w:tcPr>
            <w:tcW w:w="0" w:type="auto"/>
            <w:shd w:val="clear" w:color="auto" w:fill="auto"/>
          </w:tcPr>
          <w:p w14:paraId="33DACFCA" w14:textId="77777777" w:rsidR="004D6A64" w:rsidRDefault="004D6A64">
            <w:pPr>
              <w:rPr>
                <w:rFonts w:ascii="宋体"/>
              </w:rPr>
            </w:pPr>
          </w:p>
        </w:tc>
        <w:tc>
          <w:tcPr>
            <w:tcW w:w="0" w:type="auto"/>
            <w:shd w:val="clear" w:color="auto" w:fill="auto"/>
          </w:tcPr>
          <w:p w14:paraId="33DACFCB" w14:textId="77777777" w:rsidR="004D6A64" w:rsidRDefault="004D6A64">
            <w:pPr>
              <w:rPr>
                <w:rFonts w:ascii="宋体"/>
              </w:rPr>
            </w:pPr>
          </w:p>
        </w:tc>
        <w:tc>
          <w:tcPr>
            <w:tcW w:w="0" w:type="auto"/>
            <w:shd w:val="clear" w:color="auto" w:fill="auto"/>
          </w:tcPr>
          <w:p w14:paraId="33DACFCC" w14:textId="77777777" w:rsidR="004D6A64" w:rsidRDefault="004D6A64">
            <w:pPr>
              <w:rPr>
                <w:rFonts w:ascii="宋体"/>
              </w:rPr>
            </w:pPr>
          </w:p>
        </w:tc>
        <w:tc>
          <w:tcPr>
            <w:tcW w:w="0" w:type="auto"/>
            <w:shd w:val="clear" w:color="auto" w:fill="auto"/>
          </w:tcPr>
          <w:p w14:paraId="33DACFCD" w14:textId="77777777" w:rsidR="004D6A64" w:rsidRDefault="004D6A64">
            <w:pPr>
              <w:rPr>
                <w:rFonts w:ascii="宋体"/>
              </w:rPr>
            </w:pPr>
          </w:p>
        </w:tc>
        <w:tc>
          <w:tcPr>
            <w:tcW w:w="0" w:type="auto"/>
            <w:shd w:val="clear" w:color="auto" w:fill="auto"/>
          </w:tcPr>
          <w:p w14:paraId="33DACFCE" w14:textId="77777777" w:rsidR="004D6A64" w:rsidRDefault="004D6A64">
            <w:pPr>
              <w:rPr>
                <w:rFonts w:ascii="宋体"/>
              </w:rPr>
            </w:pPr>
          </w:p>
        </w:tc>
        <w:tc>
          <w:tcPr>
            <w:tcW w:w="0" w:type="auto"/>
            <w:shd w:val="clear" w:color="auto" w:fill="auto"/>
          </w:tcPr>
          <w:p w14:paraId="33DACFCF" w14:textId="77777777" w:rsidR="004D6A64" w:rsidRDefault="004D6A64">
            <w:pPr>
              <w:rPr>
                <w:rFonts w:ascii="宋体"/>
              </w:rPr>
            </w:pPr>
          </w:p>
        </w:tc>
        <w:tc>
          <w:tcPr>
            <w:tcW w:w="0" w:type="auto"/>
            <w:shd w:val="clear" w:color="auto" w:fill="auto"/>
          </w:tcPr>
          <w:p w14:paraId="33DACFD0" w14:textId="77777777" w:rsidR="004D6A64" w:rsidRDefault="004D6A64">
            <w:pPr>
              <w:rPr>
                <w:rFonts w:ascii="宋体"/>
              </w:rPr>
            </w:pPr>
          </w:p>
        </w:tc>
        <w:tc>
          <w:tcPr>
            <w:tcW w:w="0" w:type="auto"/>
            <w:shd w:val="clear" w:color="auto" w:fill="auto"/>
          </w:tcPr>
          <w:p w14:paraId="33DACFD1" w14:textId="77777777" w:rsidR="004D6A64" w:rsidRDefault="004D6A64">
            <w:pPr>
              <w:rPr>
                <w:rFonts w:ascii="宋体"/>
              </w:rPr>
            </w:pPr>
          </w:p>
        </w:tc>
        <w:tc>
          <w:tcPr>
            <w:tcW w:w="0" w:type="auto"/>
            <w:shd w:val="clear" w:color="auto" w:fill="auto"/>
          </w:tcPr>
          <w:p w14:paraId="33DACFD2" w14:textId="77777777" w:rsidR="004D6A64" w:rsidRDefault="004D6A64">
            <w:pPr>
              <w:rPr>
                <w:rFonts w:ascii="宋体"/>
              </w:rPr>
            </w:pPr>
          </w:p>
        </w:tc>
        <w:tc>
          <w:tcPr>
            <w:tcW w:w="0" w:type="auto"/>
            <w:shd w:val="clear" w:color="auto" w:fill="auto"/>
          </w:tcPr>
          <w:p w14:paraId="33DACFD3" w14:textId="77777777" w:rsidR="004D6A64" w:rsidRDefault="004D6A64">
            <w:pPr>
              <w:rPr>
                <w:rFonts w:ascii="宋体"/>
              </w:rPr>
            </w:pPr>
          </w:p>
        </w:tc>
        <w:tc>
          <w:tcPr>
            <w:tcW w:w="0" w:type="auto"/>
            <w:shd w:val="clear" w:color="auto" w:fill="auto"/>
          </w:tcPr>
          <w:p w14:paraId="33DACFD4" w14:textId="77777777" w:rsidR="004D6A64" w:rsidRDefault="004D6A64">
            <w:pPr>
              <w:rPr>
                <w:rFonts w:ascii="宋体"/>
              </w:rPr>
            </w:pPr>
          </w:p>
        </w:tc>
        <w:tc>
          <w:tcPr>
            <w:tcW w:w="0" w:type="auto"/>
            <w:shd w:val="clear" w:color="auto" w:fill="auto"/>
          </w:tcPr>
          <w:p w14:paraId="33DACFD5" w14:textId="77777777" w:rsidR="004D6A64" w:rsidRDefault="004D6A64">
            <w:pPr>
              <w:rPr>
                <w:rFonts w:ascii="宋体"/>
              </w:rPr>
            </w:pPr>
          </w:p>
        </w:tc>
        <w:tc>
          <w:tcPr>
            <w:tcW w:w="0" w:type="auto"/>
            <w:shd w:val="clear" w:color="auto" w:fill="auto"/>
          </w:tcPr>
          <w:p w14:paraId="33DACFD6" w14:textId="77777777" w:rsidR="004D6A64" w:rsidRDefault="004D6A64">
            <w:pPr>
              <w:rPr>
                <w:rFonts w:ascii="宋体"/>
              </w:rPr>
            </w:pPr>
          </w:p>
        </w:tc>
        <w:tc>
          <w:tcPr>
            <w:tcW w:w="0" w:type="auto"/>
            <w:shd w:val="clear" w:color="auto" w:fill="auto"/>
          </w:tcPr>
          <w:p w14:paraId="33DACFD7" w14:textId="77777777" w:rsidR="004D6A64" w:rsidRDefault="004D6A64">
            <w:pPr>
              <w:rPr>
                <w:rFonts w:ascii="宋体"/>
              </w:rPr>
            </w:pPr>
          </w:p>
        </w:tc>
        <w:tc>
          <w:tcPr>
            <w:tcW w:w="0" w:type="auto"/>
            <w:shd w:val="clear" w:color="auto" w:fill="auto"/>
          </w:tcPr>
          <w:p w14:paraId="33DACFD8" w14:textId="77777777" w:rsidR="004D6A64" w:rsidRDefault="004D6A64">
            <w:pPr>
              <w:rPr>
                <w:rFonts w:ascii="宋体"/>
              </w:rPr>
            </w:pPr>
          </w:p>
        </w:tc>
        <w:tc>
          <w:tcPr>
            <w:tcW w:w="0" w:type="auto"/>
            <w:shd w:val="clear" w:color="auto" w:fill="auto"/>
          </w:tcPr>
          <w:p w14:paraId="33DACFD9" w14:textId="77777777" w:rsidR="004D6A64" w:rsidRDefault="004D6A64">
            <w:pPr>
              <w:rPr>
                <w:rFonts w:ascii="宋体"/>
              </w:rPr>
            </w:pPr>
          </w:p>
        </w:tc>
        <w:tc>
          <w:tcPr>
            <w:tcW w:w="0" w:type="auto"/>
            <w:shd w:val="clear" w:color="auto" w:fill="auto"/>
          </w:tcPr>
          <w:p w14:paraId="33DACFDA" w14:textId="77777777" w:rsidR="004D6A64" w:rsidRDefault="004D6A64">
            <w:pPr>
              <w:rPr>
                <w:rFonts w:ascii="宋体"/>
              </w:rPr>
            </w:pPr>
          </w:p>
        </w:tc>
        <w:tc>
          <w:tcPr>
            <w:tcW w:w="0" w:type="auto"/>
            <w:shd w:val="clear" w:color="auto" w:fill="auto"/>
          </w:tcPr>
          <w:p w14:paraId="33DACFDB" w14:textId="77777777" w:rsidR="004D6A64" w:rsidRDefault="004D6A64">
            <w:pPr>
              <w:rPr>
                <w:rFonts w:ascii="宋体"/>
              </w:rPr>
            </w:pPr>
          </w:p>
        </w:tc>
      </w:tr>
      <w:tr w:rsidR="004D6A64" w14:paraId="33DACFFF" w14:textId="77777777">
        <w:tc>
          <w:tcPr>
            <w:tcW w:w="0" w:type="auto"/>
            <w:gridSpan w:val="3"/>
            <w:shd w:val="clear" w:color="auto" w:fill="FFFFFF"/>
            <w:tcMar>
              <w:top w:w="40" w:type="dxa"/>
              <w:left w:w="20" w:type="dxa"/>
              <w:bottom w:w="40" w:type="dxa"/>
              <w:right w:w="20" w:type="dxa"/>
            </w:tcMar>
            <w:vAlign w:val="bottom"/>
          </w:tcPr>
          <w:p w14:paraId="33DACFDD" w14:textId="77777777" w:rsidR="004D6A64" w:rsidRDefault="00506CD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 xml:space="preserve">Net income attributable to Dell Technologies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basic</w:t>
            </w:r>
          </w:p>
        </w:tc>
        <w:tc>
          <w:tcPr>
            <w:tcW w:w="0" w:type="auto"/>
            <w:shd w:val="clear" w:color="auto" w:fill="FFFFFF"/>
            <w:tcMar>
              <w:top w:w="40" w:type="dxa"/>
              <w:left w:w="20" w:type="dxa"/>
              <w:bottom w:w="40" w:type="dxa"/>
            </w:tcMar>
            <w:vAlign w:val="bottom"/>
          </w:tcPr>
          <w:p w14:paraId="33DACFDE"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CFDF" w14:textId="77777777" w:rsidR="004D6A64" w:rsidRDefault="00506CD6">
            <w:pPr>
              <w:jc w:val="right"/>
              <w:textAlignment w:val="bottom"/>
            </w:pPr>
            <w:r>
              <w:rPr>
                <w:rFonts w:ascii="Times New Roman" w:eastAsia="宋体" w:hAnsi="Times New Roman"/>
                <w:color w:val="000000"/>
                <w:sz w:val="20"/>
                <w:szCs w:val="20"/>
              </w:rPr>
              <w:t>1,048 </w:t>
            </w:r>
          </w:p>
        </w:tc>
        <w:tc>
          <w:tcPr>
            <w:tcW w:w="0" w:type="auto"/>
            <w:shd w:val="clear" w:color="auto" w:fill="FFFFFF"/>
            <w:tcMar>
              <w:top w:w="40" w:type="dxa"/>
              <w:bottom w:w="40" w:type="dxa"/>
              <w:right w:w="20" w:type="dxa"/>
            </w:tcMar>
            <w:vAlign w:val="bottom"/>
          </w:tcPr>
          <w:p w14:paraId="33DACFE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FE1"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CFE2"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CFE3" w14:textId="77777777" w:rsidR="004D6A64" w:rsidRDefault="00506CD6">
            <w:pPr>
              <w:jc w:val="right"/>
              <w:textAlignment w:val="bottom"/>
            </w:pPr>
            <w:r>
              <w:rPr>
                <w:rFonts w:ascii="Times New Roman" w:eastAsia="宋体" w:hAnsi="Times New Roman"/>
                <w:color w:val="000000"/>
                <w:sz w:val="20"/>
                <w:szCs w:val="20"/>
              </w:rPr>
              <w:t>3,416 </w:t>
            </w:r>
          </w:p>
        </w:tc>
        <w:tc>
          <w:tcPr>
            <w:tcW w:w="0" w:type="auto"/>
            <w:shd w:val="clear" w:color="auto" w:fill="FFFFFF"/>
            <w:tcMar>
              <w:top w:w="40" w:type="dxa"/>
              <w:bottom w:w="40" w:type="dxa"/>
              <w:right w:w="20" w:type="dxa"/>
            </w:tcMar>
            <w:vAlign w:val="bottom"/>
          </w:tcPr>
          <w:p w14:paraId="33DACFE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FE5"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CFE6"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CFE7" w14:textId="77777777" w:rsidR="004D6A64" w:rsidRDefault="00506CD6">
            <w:pPr>
              <w:jc w:val="right"/>
              <w:textAlignment w:val="bottom"/>
            </w:pPr>
            <w:r>
              <w:rPr>
                <w:rFonts w:ascii="Times New Roman" w:eastAsia="宋体" w:hAnsi="Times New Roman"/>
                <w:color w:val="000000"/>
                <w:sz w:val="20"/>
                <w:szCs w:val="20"/>
              </w:rPr>
              <w:t>1,191 </w:t>
            </w:r>
          </w:p>
        </w:tc>
        <w:tc>
          <w:tcPr>
            <w:tcW w:w="0" w:type="auto"/>
            <w:shd w:val="clear" w:color="auto" w:fill="FFFFFF"/>
            <w:tcMar>
              <w:top w:w="40" w:type="dxa"/>
              <w:bottom w:w="40" w:type="dxa"/>
              <w:right w:w="20" w:type="dxa"/>
            </w:tcMar>
            <w:vAlign w:val="bottom"/>
          </w:tcPr>
          <w:p w14:paraId="33DACFE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CFE9"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CFEA"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CFEB" w14:textId="77777777" w:rsidR="004D6A64" w:rsidRDefault="00506CD6">
            <w:pPr>
              <w:jc w:val="right"/>
              <w:textAlignment w:val="bottom"/>
            </w:pPr>
            <w:r>
              <w:rPr>
                <w:rFonts w:ascii="Times New Roman" w:eastAsia="宋体" w:hAnsi="Times New Roman"/>
                <w:color w:val="000000"/>
                <w:sz w:val="20"/>
                <w:szCs w:val="20"/>
              </w:rPr>
              <w:t>3,709 </w:t>
            </w:r>
          </w:p>
        </w:tc>
        <w:tc>
          <w:tcPr>
            <w:tcW w:w="0" w:type="auto"/>
            <w:shd w:val="clear" w:color="auto" w:fill="FFFFFF"/>
            <w:tcMar>
              <w:top w:w="40" w:type="dxa"/>
              <w:bottom w:w="40" w:type="dxa"/>
              <w:right w:w="20" w:type="dxa"/>
            </w:tcMar>
            <w:vAlign w:val="bottom"/>
          </w:tcPr>
          <w:p w14:paraId="33DACFEC" w14:textId="77777777" w:rsidR="004D6A64" w:rsidRDefault="004D6A64">
            <w:pPr>
              <w:jc w:val="right"/>
              <w:rPr>
                <w:rFonts w:ascii="宋体"/>
              </w:rPr>
            </w:pPr>
          </w:p>
        </w:tc>
        <w:tc>
          <w:tcPr>
            <w:tcW w:w="0" w:type="auto"/>
            <w:shd w:val="clear" w:color="auto" w:fill="auto"/>
          </w:tcPr>
          <w:p w14:paraId="33DACFED" w14:textId="77777777" w:rsidR="004D6A64" w:rsidRDefault="004D6A64">
            <w:pPr>
              <w:rPr>
                <w:rFonts w:ascii="宋体"/>
              </w:rPr>
            </w:pPr>
          </w:p>
        </w:tc>
        <w:tc>
          <w:tcPr>
            <w:tcW w:w="0" w:type="auto"/>
            <w:shd w:val="clear" w:color="auto" w:fill="auto"/>
          </w:tcPr>
          <w:p w14:paraId="33DACFEE" w14:textId="77777777" w:rsidR="004D6A64" w:rsidRDefault="004D6A64">
            <w:pPr>
              <w:rPr>
                <w:rFonts w:ascii="宋体"/>
              </w:rPr>
            </w:pPr>
          </w:p>
        </w:tc>
        <w:tc>
          <w:tcPr>
            <w:tcW w:w="0" w:type="auto"/>
            <w:shd w:val="clear" w:color="auto" w:fill="auto"/>
          </w:tcPr>
          <w:p w14:paraId="33DACFEF" w14:textId="77777777" w:rsidR="004D6A64" w:rsidRDefault="004D6A64">
            <w:pPr>
              <w:rPr>
                <w:rFonts w:ascii="宋体"/>
              </w:rPr>
            </w:pPr>
          </w:p>
        </w:tc>
        <w:tc>
          <w:tcPr>
            <w:tcW w:w="0" w:type="auto"/>
            <w:shd w:val="clear" w:color="auto" w:fill="auto"/>
          </w:tcPr>
          <w:p w14:paraId="33DACFF0" w14:textId="77777777" w:rsidR="004D6A64" w:rsidRDefault="004D6A64">
            <w:pPr>
              <w:rPr>
                <w:rFonts w:ascii="宋体"/>
              </w:rPr>
            </w:pPr>
          </w:p>
        </w:tc>
        <w:tc>
          <w:tcPr>
            <w:tcW w:w="0" w:type="auto"/>
            <w:shd w:val="clear" w:color="auto" w:fill="auto"/>
          </w:tcPr>
          <w:p w14:paraId="33DACFF1" w14:textId="77777777" w:rsidR="004D6A64" w:rsidRDefault="004D6A64">
            <w:pPr>
              <w:rPr>
                <w:rFonts w:ascii="宋体"/>
              </w:rPr>
            </w:pPr>
          </w:p>
        </w:tc>
        <w:tc>
          <w:tcPr>
            <w:tcW w:w="0" w:type="auto"/>
            <w:shd w:val="clear" w:color="auto" w:fill="auto"/>
          </w:tcPr>
          <w:p w14:paraId="33DACFF2" w14:textId="77777777" w:rsidR="004D6A64" w:rsidRDefault="004D6A64">
            <w:pPr>
              <w:rPr>
                <w:rFonts w:ascii="宋体"/>
              </w:rPr>
            </w:pPr>
          </w:p>
        </w:tc>
        <w:tc>
          <w:tcPr>
            <w:tcW w:w="0" w:type="auto"/>
            <w:shd w:val="clear" w:color="auto" w:fill="auto"/>
          </w:tcPr>
          <w:p w14:paraId="33DACFF3" w14:textId="77777777" w:rsidR="004D6A64" w:rsidRDefault="004D6A64">
            <w:pPr>
              <w:rPr>
                <w:rFonts w:ascii="宋体"/>
              </w:rPr>
            </w:pPr>
          </w:p>
        </w:tc>
        <w:tc>
          <w:tcPr>
            <w:tcW w:w="0" w:type="auto"/>
            <w:shd w:val="clear" w:color="auto" w:fill="auto"/>
          </w:tcPr>
          <w:p w14:paraId="33DACFF4" w14:textId="77777777" w:rsidR="004D6A64" w:rsidRDefault="004D6A64">
            <w:pPr>
              <w:rPr>
                <w:rFonts w:ascii="宋体"/>
              </w:rPr>
            </w:pPr>
          </w:p>
        </w:tc>
        <w:tc>
          <w:tcPr>
            <w:tcW w:w="0" w:type="auto"/>
            <w:shd w:val="clear" w:color="auto" w:fill="auto"/>
          </w:tcPr>
          <w:p w14:paraId="33DACFF5" w14:textId="77777777" w:rsidR="004D6A64" w:rsidRDefault="004D6A64">
            <w:pPr>
              <w:rPr>
                <w:rFonts w:ascii="宋体"/>
              </w:rPr>
            </w:pPr>
          </w:p>
        </w:tc>
        <w:tc>
          <w:tcPr>
            <w:tcW w:w="0" w:type="auto"/>
            <w:shd w:val="clear" w:color="auto" w:fill="auto"/>
          </w:tcPr>
          <w:p w14:paraId="33DACFF6" w14:textId="77777777" w:rsidR="004D6A64" w:rsidRDefault="004D6A64">
            <w:pPr>
              <w:rPr>
                <w:rFonts w:ascii="宋体"/>
              </w:rPr>
            </w:pPr>
          </w:p>
        </w:tc>
        <w:tc>
          <w:tcPr>
            <w:tcW w:w="0" w:type="auto"/>
            <w:shd w:val="clear" w:color="auto" w:fill="auto"/>
          </w:tcPr>
          <w:p w14:paraId="33DACFF7" w14:textId="77777777" w:rsidR="004D6A64" w:rsidRDefault="004D6A64">
            <w:pPr>
              <w:rPr>
                <w:rFonts w:ascii="宋体"/>
              </w:rPr>
            </w:pPr>
          </w:p>
        </w:tc>
        <w:tc>
          <w:tcPr>
            <w:tcW w:w="0" w:type="auto"/>
            <w:shd w:val="clear" w:color="auto" w:fill="auto"/>
          </w:tcPr>
          <w:p w14:paraId="33DACFF8" w14:textId="77777777" w:rsidR="004D6A64" w:rsidRDefault="004D6A64">
            <w:pPr>
              <w:rPr>
                <w:rFonts w:ascii="宋体"/>
              </w:rPr>
            </w:pPr>
          </w:p>
        </w:tc>
        <w:tc>
          <w:tcPr>
            <w:tcW w:w="0" w:type="auto"/>
            <w:shd w:val="clear" w:color="auto" w:fill="auto"/>
          </w:tcPr>
          <w:p w14:paraId="33DACFF9" w14:textId="77777777" w:rsidR="004D6A64" w:rsidRDefault="004D6A64">
            <w:pPr>
              <w:rPr>
                <w:rFonts w:ascii="宋体"/>
              </w:rPr>
            </w:pPr>
          </w:p>
        </w:tc>
        <w:tc>
          <w:tcPr>
            <w:tcW w:w="0" w:type="auto"/>
            <w:shd w:val="clear" w:color="auto" w:fill="auto"/>
          </w:tcPr>
          <w:p w14:paraId="33DACFFA" w14:textId="77777777" w:rsidR="004D6A64" w:rsidRDefault="004D6A64">
            <w:pPr>
              <w:rPr>
                <w:rFonts w:ascii="宋体"/>
              </w:rPr>
            </w:pPr>
          </w:p>
        </w:tc>
        <w:tc>
          <w:tcPr>
            <w:tcW w:w="0" w:type="auto"/>
            <w:shd w:val="clear" w:color="auto" w:fill="auto"/>
          </w:tcPr>
          <w:p w14:paraId="33DACFFB" w14:textId="77777777" w:rsidR="004D6A64" w:rsidRDefault="004D6A64">
            <w:pPr>
              <w:rPr>
                <w:rFonts w:ascii="宋体"/>
              </w:rPr>
            </w:pPr>
          </w:p>
        </w:tc>
        <w:tc>
          <w:tcPr>
            <w:tcW w:w="0" w:type="auto"/>
            <w:shd w:val="clear" w:color="auto" w:fill="auto"/>
          </w:tcPr>
          <w:p w14:paraId="33DACFFC" w14:textId="77777777" w:rsidR="004D6A64" w:rsidRDefault="004D6A64">
            <w:pPr>
              <w:rPr>
                <w:rFonts w:ascii="宋体"/>
              </w:rPr>
            </w:pPr>
          </w:p>
        </w:tc>
        <w:tc>
          <w:tcPr>
            <w:tcW w:w="0" w:type="auto"/>
            <w:shd w:val="clear" w:color="auto" w:fill="auto"/>
          </w:tcPr>
          <w:p w14:paraId="33DACFFD" w14:textId="77777777" w:rsidR="004D6A64" w:rsidRDefault="004D6A64">
            <w:pPr>
              <w:rPr>
                <w:rFonts w:ascii="宋体"/>
              </w:rPr>
            </w:pPr>
          </w:p>
        </w:tc>
        <w:tc>
          <w:tcPr>
            <w:tcW w:w="0" w:type="auto"/>
            <w:shd w:val="clear" w:color="auto" w:fill="auto"/>
          </w:tcPr>
          <w:p w14:paraId="33DACFFE" w14:textId="77777777" w:rsidR="004D6A64" w:rsidRDefault="004D6A64">
            <w:pPr>
              <w:rPr>
                <w:rFonts w:ascii="宋体"/>
              </w:rPr>
            </w:pPr>
          </w:p>
        </w:tc>
      </w:tr>
      <w:tr w:rsidR="004D6A64" w14:paraId="33DAD01E" w14:textId="77777777">
        <w:tc>
          <w:tcPr>
            <w:tcW w:w="0" w:type="auto"/>
            <w:gridSpan w:val="3"/>
            <w:shd w:val="clear" w:color="auto" w:fill="CCEEFF"/>
            <w:tcMar>
              <w:top w:w="40" w:type="dxa"/>
              <w:left w:w="345" w:type="dxa"/>
              <w:bottom w:w="40" w:type="dxa"/>
              <w:right w:w="20" w:type="dxa"/>
            </w:tcMar>
            <w:vAlign w:val="bottom"/>
          </w:tcPr>
          <w:p w14:paraId="33DAD000" w14:textId="77777777" w:rsidR="004D6A64" w:rsidRDefault="00506CD6">
            <w:pPr>
              <w:textAlignment w:val="bottom"/>
            </w:pPr>
            <w:r>
              <w:rPr>
                <w:rFonts w:ascii="Times New Roman" w:eastAsia="宋体" w:hAnsi="Times New Roman"/>
                <w:color w:val="000000"/>
                <w:sz w:val="20"/>
                <w:szCs w:val="20"/>
              </w:rPr>
              <w:t>Incremental dilution from VMware, Inc. attributable to Dell Technologies (a)</w:t>
            </w:r>
          </w:p>
        </w:tc>
        <w:tc>
          <w:tcPr>
            <w:tcW w:w="0" w:type="auto"/>
            <w:gridSpan w:val="2"/>
            <w:shd w:val="clear" w:color="auto" w:fill="CCEEFF"/>
            <w:tcMar>
              <w:top w:w="40" w:type="dxa"/>
              <w:left w:w="20" w:type="dxa"/>
              <w:bottom w:w="40" w:type="dxa"/>
              <w:right w:w="0" w:type="dxa"/>
            </w:tcMar>
            <w:vAlign w:val="bottom"/>
          </w:tcPr>
          <w:p w14:paraId="33DAD001" w14:textId="77777777" w:rsidR="004D6A64" w:rsidRDefault="00506CD6">
            <w:pPr>
              <w:jc w:val="right"/>
              <w:textAlignment w:val="bottom"/>
            </w:pPr>
            <w:r>
              <w:rPr>
                <w:rFonts w:ascii="Times New Roman" w:eastAsia="宋体" w:hAnsi="Times New Roman"/>
                <w:color w:val="000000"/>
                <w:sz w:val="20"/>
                <w:szCs w:val="20"/>
              </w:rPr>
              <w:t>(3)</w:t>
            </w:r>
          </w:p>
        </w:tc>
        <w:tc>
          <w:tcPr>
            <w:tcW w:w="0" w:type="auto"/>
            <w:shd w:val="clear" w:color="auto" w:fill="CCEEFF"/>
            <w:tcMar>
              <w:top w:w="40" w:type="dxa"/>
              <w:bottom w:w="40" w:type="dxa"/>
              <w:right w:w="20" w:type="dxa"/>
            </w:tcMar>
            <w:vAlign w:val="bottom"/>
          </w:tcPr>
          <w:p w14:paraId="33DAD00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00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D004" w14:textId="77777777" w:rsidR="004D6A64" w:rsidRDefault="00506CD6">
            <w:pPr>
              <w:jc w:val="right"/>
              <w:textAlignment w:val="bottom"/>
            </w:pPr>
            <w:r>
              <w:rPr>
                <w:rFonts w:ascii="Times New Roman" w:eastAsia="宋体" w:hAnsi="Times New Roman"/>
                <w:color w:val="000000"/>
                <w:sz w:val="20"/>
                <w:szCs w:val="20"/>
              </w:rPr>
              <w:t>(62)</w:t>
            </w:r>
          </w:p>
        </w:tc>
        <w:tc>
          <w:tcPr>
            <w:tcW w:w="0" w:type="auto"/>
            <w:shd w:val="clear" w:color="auto" w:fill="CCEEFF"/>
            <w:tcMar>
              <w:top w:w="40" w:type="dxa"/>
              <w:bottom w:w="40" w:type="dxa"/>
              <w:right w:w="20" w:type="dxa"/>
            </w:tcMar>
            <w:vAlign w:val="bottom"/>
          </w:tcPr>
          <w:p w14:paraId="33DAD00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00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D007" w14:textId="77777777" w:rsidR="004D6A64" w:rsidRDefault="00506CD6">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bottom w:w="40" w:type="dxa"/>
              <w:right w:w="20" w:type="dxa"/>
            </w:tcMar>
            <w:vAlign w:val="bottom"/>
          </w:tcPr>
          <w:p w14:paraId="33DAD00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00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D00A" w14:textId="77777777" w:rsidR="004D6A64" w:rsidRDefault="00506CD6">
            <w:pPr>
              <w:jc w:val="right"/>
              <w:textAlignment w:val="bottom"/>
            </w:pPr>
            <w:r>
              <w:rPr>
                <w:rFonts w:ascii="Times New Roman" w:eastAsia="宋体" w:hAnsi="Times New Roman"/>
                <w:color w:val="000000"/>
                <w:sz w:val="20"/>
                <w:szCs w:val="20"/>
              </w:rPr>
              <w:t>(78)</w:t>
            </w:r>
          </w:p>
        </w:tc>
        <w:tc>
          <w:tcPr>
            <w:tcW w:w="0" w:type="auto"/>
            <w:shd w:val="clear" w:color="auto" w:fill="CCEEFF"/>
            <w:tcMar>
              <w:top w:w="40" w:type="dxa"/>
              <w:bottom w:w="40" w:type="dxa"/>
              <w:right w:w="20" w:type="dxa"/>
            </w:tcMar>
            <w:vAlign w:val="bottom"/>
          </w:tcPr>
          <w:p w14:paraId="33DAD00B" w14:textId="77777777" w:rsidR="004D6A64" w:rsidRDefault="004D6A64">
            <w:pPr>
              <w:jc w:val="right"/>
              <w:rPr>
                <w:rFonts w:ascii="宋体"/>
              </w:rPr>
            </w:pPr>
          </w:p>
        </w:tc>
        <w:tc>
          <w:tcPr>
            <w:tcW w:w="0" w:type="auto"/>
            <w:shd w:val="clear" w:color="auto" w:fill="auto"/>
          </w:tcPr>
          <w:p w14:paraId="33DAD00C" w14:textId="77777777" w:rsidR="004D6A64" w:rsidRDefault="004D6A64">
            <w:pPr>
              <w:rPr>
                <w:rFonts w:ascii="宋体"/>
              </w:rPr>
            </w:pPr>
          </w:p>
        </w:tc>
        <w:tc>
          <w:tcPr>
            <w:tcW w:w="0" w:type="auto"/>
            <w:shd w:val="clear" w:color="auto" w:fill="auto"/>
          </w:tcPr>
          <w:p w14:paraId="33DAD00D" w14:textId="77777777" w:rsidR="004D6A64" w:rsidRDefault="004D6A64">
            <w:pPr>
              <w:rPr>
                <w:rFonts w:ascii="宋体"/>
              </w:rPr>
            </w:pPr>
          </w:p>
        </w:tc>
        <w:tc>
          <w:tcPr>
            <w:tcW w:w="0" w:type="auto"/>
            <w:shd w:val="clear" w:color="auto" w:fill="auto"/>
          </w:tcPr>
          <w:p w14:paraId="33DAD00E" w14:textId="77777777" w:rsidR="004D6A64" w:rsidRDefault="004D6A64">
            <w:pPr>
              <w:rPr>
                <w:rFonts w:ascii="宋体"/>
              </w:rPr>
            </w:pPr>
          </w:p>
        </w:tc>
        <w:tc>
          <w:tcPr>
            <w:tcW w:w="0" w:type="auto"/>
            <w:shd w:val="clear" w:color="auto" w:fill="auto"/>
          </w:tcPr>
          <w:p w14:paraId="33DAD00F" w14:textId="77777777" w:rsidR="004D6A64" w:rsidRDefault="004D6A64">
            <w:pPr>
              <w:rPr>
                <w:rFonts w:ascii="宋体"/>
              </w:rPr>
            </w:pPr>
          </w:p>
        </w:tc>
        <w:tc>
          <w:tcPr>
            <w:tcW w:w="0" w:type="auto"/>
            <w:shd w:val="clear" w:color="auto" w:fill="auto"/>
          </w:tcPr>
          <w:p w14:paraId="33DAD010" w14:textId="77777777" w:rsidR="004D6A64" w:rsidRDefault="004D6A64">
            <w:pPr>
              <w:rPr>
                <w:rFonts w:ascii="宋体"/>
              </w:rPr>
            </w:pPr>
          </w:p>
        </w:tc>
        <w:tc>
          <w:tcPr>
            <w:tcW w:w="0" w:type="auto"/>
            <w:shd w:val="clear" w:color="auto" w:fill="auto"/>
          </w:tcPr>
          <w:p w14:paraId="33DAD011" w14:textId="77777777" w:rsidR="004D6A64" w:rsidRDefault="004D6A64">
            <w:pPr>
              <w:rPr>
                <w:rFonts w:ascii="宋体"/>
              </w:rPr>
            </w:pPr>
          </w:p>
        </w:tc>
        <w:tc>
          <w:tcPr>
            <w:tcW w:w="0" w:type="auto"/>
            <w:shd w:val="clear" w:color="auto" w:fill="auto"/>
          </w:tcPr>
          <w:p w14:paraId="33DAD012" w14:textId="77777777" w:rsidR="004D6A64" w:rsidRDefault="004D6A64">
            <w:pPr>
              <w:rPr>
                <w:rFonts w:ascii="宋体"/>
              </w:rPr>
            </w:pPr>
          </w:p>
        </w:tc>
        <w:tc>
          <w:tcPr>
            <w:tcW w:w="0" w:type="auto"/>
            <w:shd w:val="clear" w:color="auto" w:fill="auto"/>
          </w:tcPr>
          <w:p w14:paraId="33DAD013" w14:textId="77777777" w:rsidR="004D6A64" w:rsidRDefault="004D6A64">
            <w:pPr>
              <w:rPr>
                <w:rFonts w:ascii="宋体"/>
              </w:rPr>
            </w:pPr>
          </w:p>
        </w:tc>
        <w:tc>
          <w:tcPr>
            <w:tcW w:w="0" w:type="auto"/>
            <w:shd w:val="clear" w:color="auto" w:fill="auto"/>
          </w:tcPr>
          <w:p w14:paraId="33DAD014" w14:textId="77777777" w:rsidR="004D6A64" w:rsidRDefault="004D6A64">
            <w:pPr>
              <w:rPr>
                <w:rFonts w:ascii="宋体"/>
              </w:rPr>
            </w:pPr>
          </w:p>
        </w:tc>
        <w:tc>
          <w:tcPr>
            <w:tcW w:w="0" w:type="auto"/>
            <w:shd w:val="clear" w:color="auto" w:fill="auto"/>
          </w:tcPr>
          <w:p w14:paraId="33DAD015" w14:textId="77777777" w:rsidR="004D6A64" w:rsidRDefault="004D6A64">
            <w:pPr>
              <w:rPr>
                <w:rFonts w:ascii="宋体"/>
              </w:rPr>
            </w:pPr>
          </w:p>
        </w:tc>
        <w:tc>
          <w:tcPr>
            <w:tcW w:w="0" w:type="auto"/>
            <w:shd w:val="clear" w:color="auto" w:fill="auto"/>
          </w:tcPr>
          <w:p w14:paraId="33DAD016" w14:textId="77777777" w:rsidR="004D6A64" w:rsidRDefault="004D6A64">
            <w:pPr>
              <w:rPr>
                <w:rFonts w:ascii="宋体"/>
              </w:rPr>
            </w:pPr>
          </w:p>
        </w:tc>
        <w:tc>
          <w:tcPr>
            <w:tcW w:w="0" w:type="auto"/>
            <w:shd w:val="clear" w:color="auto" w:fill="auto"/>
          </w:tcPr>
          <w:p w14:paraId="33DAD017" w14:textId="77777777" w:rsidR="004D6A64" w:rsidRDefault="004D6A64">
            <w:pPr>
              <w:rPr>
                <w:rFonts w:ascii="宋体"/>
              </w:rPr>
            </w:pPr>
          </w:p>
        </w:tc>
        <w:tc>
          <w:tcPr>
            <w:tcW w:w="0" w:type="auto"/>
            <w:shd w:val="clear" w:color="auto" w:fill="auto"/>
          </w:tcPr>
          <w:p w14:paraId="33DAD018" w14:textId="77777777" w:rsidR="004D6A64" w:rsidRDefault="004D6A64">
            <w:pPr>
              <w:rPr>
                <w:rFonts w:ascii="宋体"/>
              </w:rPr>
            </w:pPr>
          </w:p>
        </w:tc>
        <w:tc>
          <w:tcPr>
            <w:tcW w:w="0" w:type="auto"/>
            <w:shd w:val="clear" w:color="auto" w:fill="auto"/>
          </w:tcPr>
          <w:p w14:paraId="33DAD019" w14:textId="77777777" w:rsidR="004D6A64" w:rsidRDefault="004D6A64">
            <w:pPr>
              <w:rPr>
                <w:rFonts w:ascii="宋体"/>
              </w:rPr>
            </w:pPr>
          </w:p>
        </w:tc>
        <w:tc>
          <w:tcPr>
            <w:tcW w:w="0" w:type="auto"/>
            <w:shd w:val="clear" w:color="auto" w:fill="auto"/>
          </w:tcPr>
          <w:p w14:paraId="33DAD01A" w14:textId="77777777" w:rsidR="004D6A64" w:rsidRDefault="004D6A64">
            <w:pPr>
              <w:rPr>
                <w:rFonts w:ascii="宋体"/>
              </w:rPr>
            </w:pPr>
          </w:p>
        </w:tc>
        <w:tc>
          <w:tcPr>
            <w:tcW w:w="0" w:type="auto"/>
            <w:shd w:val="clear" w:color="auto" w:fill="auto"/>
          </w:tcPr>
          <w:p w14:paraId="33DAD01B" w14:textId="77777777" w:rsidR="004D6A64" w:rsidRDefault="004D6A64">
            <w:pPr>
              <w:rPr>
                <w:rFonts w:ascii="宋体"/>
              </w:rPr>
            </w:pPr>
          </w:p>
        </w:tc>
        <w:tc>
          <w:tcPr>
            <w:tcW w:w="0" w:type="auto"/>
            <w:shd w:val="clear" w:color="auto" w:fill="auto"/>
          </w:tcPr>
          <w:p w14:paraId="33DAD01C" w14:textId="77777777" w:rsidR="004D6A64" w:rsidRDefault="004D6A64">
            <w:pPr>
              <w:rPr>
                <w:rFonts w:ascii="宋体"/>
              </w:rPr>
            </w:pPr>
          </w:p>
        </w:tc>
        <w:tc>
          <w:tcPr>
            <w:tcW w:w="0" w:type="auto"/>
            <w:shd w:val="clear" w:color="auto" w:fill="auto"/>
          </w:tcPr>
          <w:p w14:paraId="33DAD01D" w14:textId="77777777" w:rsidR="004D6A64" w:rsidRDefault="004D6A64">
            <w:pPr>
              <w:rPr>
                <w:rFonts w:ascii="宋体"/>
              </w:rPr>
            </w:pPr>
          </w:p>
        </w:tc>
      </w:tr>
      <w:tr w:rsidR="004D6A64" w14:paraId="33DAD041" w14:textId="77777777">
        <w:tc>
          <w:tcPr>
            <w:tcW w:w="0" w:type="auto"/>
            <w:gridSpan w:val="3"/>
            <w:shd w:val="clear" w:color="auto" w:fill="FFFFFF"/>
            <w:tcMar>
              <w:top w:w="40" w:type="dxa"/>
              <w:left w:w="20" w:type="dxa"/>
              <w:bottom w:w="40" w:type="dxa"/>
              <w:right w:w="20" w:type="dxa"/>
            </w:tcMar>
            <w:vAlign w:val="bottom"/>
          </w:tcPr>
          <w:p w14:paraId="33DAD01F" w14:textId="77777777" w:rsidR="004D6A64" w:rsidRDefault="00506CD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 xml:space="preserve">Net income attributable to Dell Technologies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diluted</w:t>
            </w:r>
          </w:p>
        </w:tc>
        <w:tc>
          <w:tcPr>
            <w:tcW w:w="0" w:type="auto"/>
            <w:tcBorders>
              <w:top w:val="single" w:sz="8" w:space="0" w:color="000000"/>
            </w:tcBorders>
            <w:shd w:val="clear" w:color="auto" w:fill="FFFFFF"/>
            <w:tcMar>
              <w:top w:w="40" w:type="dxa"/>
              <w:left w:w="20" w:type="dxa"/>
              <w:bottom w:w="40" w:type="dxa"/>
            </w:tcMar>
            <w:vAlign w:val="bottom"/>
          </w:tcPr>
          <w:p w14:paraId="33DAD020"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D021" w14:textId="77777777" w:rsidR="004D6A64" w:rsidRDefault="00506CD6">
            <w:pPr>
              <w:jc w:val="right"/>
              <w:textAlignment w:val="bottom"/>
            </w:pPr>
            <w:r>
              <w:rPr>
                <w:rFonts w:ascii="Times New Roman" w:eastAsia="宋体" w:hAnsi="Times New Roman"/>
                <w:color w:val="000000"/>
                <w:sz w:val="20"/>
                <w:szCs w:val="20"/>
              </w:rPr>
              <w:t>1,045 </w:t>
            </w:r>
          </w:p>
        </w:tc>
        <w:tc>
          <w:tcPr>
            <w:tcW w:w="0" w:type="auto"/>
            <w:tcBorders>
              <w:top w:val="single" w:sz="8" w:space="0" w:color="000000"/>
            </w:tcBorders>
            <w:shd w:val="clear" w:color="auto" w:fill="FFFFFF"/>
            <w:tcMar>
              <w:top w:w="40" w:type="dxa"/>
              <w:bottom w:w="40" w:type="dxa"/>
              <w:right w:w="20" w:type="dxa"/>
            </w:tcMar>
            <w:vAlign w:val="bottom"/>
          </w:tcPr>
          <w:p w14:paraId="33DAD02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023"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3DAD024"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D025" w14:textId="77777777" w:rsidR="004D6A64" w:rsidRDefault="00506CD6">
            <w:pPr>
              <w:jc w:val="right"/>
              <w:textAlignment w:val="bottom"/>
            </w:pPr>
            <w:r>
              <w:rPr>
                <w:rFonts w:ascii="Times New Roman" w:eastAsia="宋体" w:hAnsi="Times New Roman"/>
                <w:color w:val="000000"/>
                <w:sz w:val="20"/>
                <w:szCs w:val="20"/>
              </w:rPr>
              <w:t>3,354 </w:t>
            </w:r>
          </w:p>
        </w:tc>
        <w:tc>
          <w:tcPr>
            <w:tcW w:w="0" w:type="auto"/>
            <w:tcBorders>
              <w:top w:val="single" w:sz="8" w:space="0" w:color="000000"/>
            </w:tcBorders>
            <w:shd w:val="clear" w:color="auto" w:fill="FFFFFF"/>
            <w:tcMar>
              <w:top w:w="40" w:type="dxa"/>
              <w:bottom w:w="40" w:type="dxa"/>
              <w:right w:w="20" w:type="dxa"/>
            </w:tcMar>
            <w:vAlign w:val="bottom"/>
          </w:tcPr>
          <w:p w14:paraId="33DAD02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027"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3DAD028"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D029" w14:textId="77777777" w:rsidR="004D6A64" w:rsidRDefault="00506CD6">
            <w:pPr>
              <w:jc w:val="right"/>
              <w:textAlignment w:val="bottom"/>
            </w:pPr>
            <w:r>
              <w:rPr>
                <w:rFonts w:ascii="Times New Roman" w:eastAsia="宋体" w:hAnsi="Times New Roman"/>
                <w:color w:val="000000"/>
                <w:sz w:val="20"/>
                <w:szCs w:val="20"/>
              </w:rPr>
              <w:t>1,186 </w:t>
            </w:r>
          </w:p>
        </w:tc>
        <w:tc>
          <w:tcPr>
            <w:tcW w:w="0" w:type="auto"/>
            <w:tcBorders>
              <w:top w:val="single" w:sz="8" w:space="0" w:color="000000"/>
            </w:tcBorders>
            <w:shd w:val="clear" w:color="auto" w:fill="FFFFFF"/>
            <w:tcMar>
              <w:top w:w="40" w:type="dxa"/>
              <w:bottom w:w="40" w:type="dxa"/>
              <w:right w:w="20" w:type="dxa"/>
            </w:tcMar>
            <w:vAlign w:val="bottom"/>
          </w:tcPr>
          <w:p w14:paraId="33DAD02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02B"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3DAD02C"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D02D" w14:textId="77777777" w:rsidR="004D6A64" w:rsidRDefault="00506CD6">
            <w:pPr>
              <w:jc w:val="right"/>
              <w:textAlignment w:val="bottom"/>
            </w:pPr>
            <w:r>
              <w:rPr>
                <w:rFonts w:ascii="Times New Roman" w:eastAsia="宋体" w:hAnsi="Times New Roman"/>
                <w:color w:val="000000"/>
                <w:sz w:val="20"/>
                <w:szCs w:val="20"/>
              </w:rPr>
              <w:t>3,631 </w:t>
            </w:r>
          </w:p>
        </w:tc>
        <w:tc>
          <w:tcPr>
            <w:tcW w:w="0" w:type="auto"/>
            <w:tcBorders>
              <w:top w:val="single" w:sz="8" w:space="0" w:color="000000"/>
            </w:tcBorders>
            <w:shd w:val="clear" w:color="auto" w:fill="FFFFFF"/>
            <w:tcMar>
              <w:top w:w="40" w:type="dxa"/>
              <w:bottom w:w="40" w:type="dxa"/>
              <w:right w:w="20" w:type="dxa"/>
            </w:tcMar>
            <w:vAlign w:val="bottom"/>
          </w:tcPr>
          <w:p w14:paraId="33DAD02E" w14:textId="77777777" w:rsidR="004D6A64" w:rsidRDefault="004D6A64">
            <w:pPr>
              <w:jc w:val="right"/>
              <w:rPr>
                <w:rFonts w:ascii="宋体"/>
              </w:rPr>
            </w:pPr>
          </w:p>
        </w:tc>
        <w:tc>
          <w:tcPr>
            <w:tcW w:w="0" w:type="auto"/>
            <w:shd w:val="clear" w:color="auto" w:fill="auto"/>
          </w:tcPr>
          <w:p w14:paraId="33DAD02F" w14:textId="77777777" w:rsidR="004D6A64" w:rsidRDefault="004D6A64">
            <w:pPr>
              <w:rPr>
                <w:rFonts w:ascii="宋体"/>
              </w:rPr>
            </w:pPr>
          </w:p>
        </w:tc>
        <w:tc>
          <w:tcPr>
            <w:tcW w:w="0" w:type="auto"/>
            <w:shd w:val="clear" w:color="auto" w:fill="auto"/>
          </w:tcPr>
          <w:p w14:paraId="33DAD030" w14:textId="77777777" w:rsidR="004D6A64" w:rsidRDefault="004D6A64">
            <w:pPr>
              <w:rPr>
                <w:rFonts w:ascii="宋体"/>
              </w:rPr>
            </w:pPr>
          </w:p>
        </w:tc>
        <w:tc>
          <w:tcPr>
            <w:tcW w:w="0" w:type="auto"/>
            <w:shd w:val="clear" w:color="auto" w:fill="auto"/>
          </w:tcPr>
          <w:p w14:paraId="33DAD031" w14:textId="77777777" w:rsidR="004D6A64" w:rsidRDefault="004D6A64">
            <w:pPr>
              <w:rPr>
                <w:rFonts w:ascii="宋体"/>
              </w:rPr>
            </w:pPr>
          </w:p>
        </w:tc>
        <w:tc>
          <w:tcPr>
            <w:tcW w:w="0" w:type="auto"/>
            <w:shd w:val="clear" w:color="auto" w:fill="auto"/>
          </w:tcPr>
          <w:p w14:paraId="33DAD032" w14:textId="77777777" w:rsidR="004D6A64" w:rsidRDefault="004D6A64">
            <w:pPr>
              <w:rPr>
                <w:rFonts w:ascii="宋体"/>
              </w:rPr>
            </w:pPr>
          </w:p>
        </w:tc>
        <w:tc>
          <w:tcPr>
            <w:tcW w:w="0" w:type="auto"/>
            <w:shd w:val="clear" w:color="auto" w:fill="auto"/>
          </w:tcPr>
          <w:p w14:paraId="33DAD033" w14:textId="77777777" w:rsidR="004D6A64" w:rsidRDefault="004D6A64">
            <w:pPr>
              <w:rPr>
                <w:rFonts w:ascii="宋体"/>
              </w:rPr>
            </w:pPr>
          </w:p>
        </w:tc>
        <w:tc>
          <w:tcPr>
            <w:tcW w:w="0" w:type="auto"/>
            <w:shd w:val="clear" w:color="auto" w:fill="auto"/>
          </w:tcPr>
          <w:p w14:paraId="33DAD034" w14:textId="77777777" w:rsidR="004D6A64" w:rsidRDefault="004D6A64">
            <w:pPr>
              <w:rPr>
                <w:rFonts w:ascii="宋体"/>
              </w:rPr>
            </w:pPr>
          </w:p>
        </w:tc>
        <w:tc>
          <w:tcPr>
            <w:tcW w:w="0" w:type="auto"/>
            <w:shd w:val="clear" w:color="auto" w:fill="auto"/>
          </w:tcPr>
          <w:p w14:paraId="33DAD035" w14:textId="77777777" w:rsidR="004D6A64" w:rsidRDefault="004D6A64">
            <w:pPr>
              <w:rPr>
                <w:rFonts w:ascii="宋体"/>
              </w:rPr>
            </w:pPr>
          </w:p>
        </w:tc>
        <w:tc>
          <w:tcPr>
            <w:tcW w:w="0" w:type="auto"/>
            <w:shd w:val="clear" w:color="auto" w:fill="auto"/>
          </w:tcPr>
          <w:p w14:paraId="33DAD036" w14:textId="77777777" w:rsidR="004D6A64" w:rsidRDefault="004D6A64">
            <w:pPr>
              <w:rPr>
                <w:rFonts w:ascii="宋体"/>
              </w:rPr>
            </w:pPr>
          </w:p>
        </w:tc>
        <w:tc>
          <w:tcPr>
            <w:tcW w:w="0" w:type="auto"/>
            <w:shd w:val="clear" w:color="auto" w:fill="auto"/>
          </w:tcPr>
          <w:p w14:paraId="33DAD037" w14:textId="77777777" w:rsidR="004D6A64" w:rsidRDefault="004D6A64">
            <w:pPr>
              <w:rPr>
                <w:rFonts w:ascii="宋体"/>
              </w:rPr>
            </w:pPr>
          </w:p>
        </w:tc>
        <w:tc>
          <w:tcPr>
            <w:tcW w:w="0" w:type="auto"/>
            <w:shd w:val="clear" w:color="auto" w:fill="auto"/>
          </w:tcPr>
          <w:p w14:paraId="33DAD038" w14:textId="77777777" w:rsidR="004D6A64" w:rsidRDefault="004D6A64">
            <w:pPr>
              <w:rPr>
                <w:rFonts w:ascii="宋体"/>
              </w:rPr>
            </w:pPr>
          </w:p>
        </w:tc>
        <w:tc>
          <w:tcPr>
            <w:tcW w:w="0" w:type="auto"/>
            <w:shd w:val="clear" w:color="auto" w:fill="auto"/>
          </w:tcPr>
          <w:p w14:paraId="33DAD039" w14:textId="77777777" w:rsidR="004D6A64" w:rsidRDefault="004D6A64">
            <w:pPr>
              <w:rPr>
                <w:rFonts w:ascii="宋体"/>
              </w:rPr>
            </w:pPr>
          </w:p>
        </w:tc>
        <w:tc>
          <w:tcPr>
            <w:tcW w:w="0" w:type="auto"/>
            <w:shd w:val="clear" w:color="auto" w:fill="auto"/>
          </w:tcPr>
          <w:p w14:paraId="33DAD03A" w14:textId="77777777" w:rsidR="004D6A64" w:rsidRDefault="004D6A64">
            <w:pPr>
              <w:rPr>
                <w:rFonts w:ascii="宋体"/>
              </w:rPr>
            </w:pPr>
          </w:p>
        </w:tc>
        <w:tc>
          <w:tcPr>
            <w:tcW w:w="0" w:type="auto"/>
            <w:shd w:val="clear" w:color="auto" w:fill="auto"/>
          </w:tcPr>
          <w:p w14:paraId="33DAD03B" w14:textId="77777777" w:rsidR="004D6A64" w:rsidRDefault="004D6A64">
            <w:pPr>
              <w:rPr>
                <w:rFonts w:ascii="宋体"/>
              </w:rPr>
            </w:pPr>
          </w:p>
        </w:tc>
        <w:tc>
          <w:tcPr>
            <w:tcW w:w="0" w:type="auto"/>
            <w:shd w:val="clear" w:color="auto" w:fill="auto"/>
          </w:tcPr>
          <w:p w14:paraId="33DAD03C" w14:textId="77777777" w:rsidR="004D6A64" w:rsidRDefault="004D6A64">
            <w:pPr>
              <w:rPr>
                <w:rFonts w:ascii="宋体"/>
              </w:rPr>
            </w:pPr>
          </w:p>
        </w:tc>
        <w:tc>
          <w:tcPr>
            <w:tcW w:w="0" w:type="auto"/>
            <w:shd w:val="clear" w:color="auto" w:fill="auto"/>
          </w:tcPr>
          <w:p w14:paraId="33DAD03D" w14:textId="77777777" w:rsidR="004D6A64" w:rsidRDefault="004D6A64">
            <w:pPr>
              <w:rPr>
                <w:rFonts w:ascii="宋体"/>
              </w:rPr>
            </w:pPr>
          </w:p>
        </w:tc>
        <w:tc>
          <w:tcPr>
            <w:tcW w:w="0" w:type="auto"/>
            <w:shd w:val="clear" w:color="auto" w:fill="auto"/>
          </w:tcPr>
          <w:p w14:paraId="33DAD03E" w14:textId="77777777" w:rsidR="004D6A64" w:rsidRDefault="004D6A64">
            <w:pPr>
              <w:rPr>
                <w:rFonts w:ascii="宋体"/>
              </w:rPr>
            </w:pPr>
          </w:p>
        </w:tc>
        <w:tc>
          <w:tcPr>
            <w:tcW w:w="0" w:type="auto"/>
            <w:shd w:val="clear" w:color="auto" w:fill="auto"/>
          </w:tcPr>
          <w:p w14:paraId="33DAD03F" w14:textId="77777777" w:rsidR="004D6A64" w:rsidRDefault="004D6A64">
            <w:pPr>
              <w:rPr>
                <w:rFonts w:ascii="宋体"/>
              </w:rPr>
            </w:pPr>
          </w:p>
        </w:tc>
        <w:tc>
          <w:tcPr>
            <w:tcW w:w="0" w:type="auto"/>
            <w:shd w:val="clear" w:color="auto" w:fill="auto"/>
          </w:tcPr>
          <w:p w14:paraId="33DAD040" w14:textId="77777777" w:rsidR="004D6A64" w:rsidRDefault="004D6A64">
            <w:pPr>
              <w:rPr>
                <w:rFonts w:ascii="宋体"/>
              </w:rPr>
            </w:pPr>
          </w:p>
        </w:tc>
      </w:tr>
      <w:tr w:rsidR="004D6A64" w14:paraId="33DAD05C" w14:textId="77777777">
        <w:trPr>
          <w:trHeight w:val="280"/>
        </w:trPr>
        <w:tc>
          <w:tcPr>
            <w:tcW w:w="0" w:type="auto"/>
            <w:gridSpan w:val="3"/>
            <w:shd w:val="clear" w:color="auto" w:fill="CCEEFF"/>
            <w:tcMar>
              <w:left w:w="20" w:type="dxa"/>
              <w:right w:w="20" w:type="dxa"/>
            </w:tcMar>
            <w:vAlign w:val="bottom"/>
          </w:tcPr>
          <w:p w14:paraId="33DAD042" w14:textId="77777777" w:rsidR="004D6A64" w:rsidRDefault="004D6A64">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D043"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044" w14:textId="77777777" w:rsidR="004D6A64" w:rsidRDefault="004D6A64">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D04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046" w14:textId="77777777" w:rsidR="004D6A64" w:rsidRDefault="004D6A64">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D047"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048" w14:textId="77777777" w:rsidR="004D6A64" w:rsidRDefault="004D6A64">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D049" w14:textId="77777777" w:rsidR="004D6A64" w:rsidRDefault="004D6A64">
            <w:pPr>
              <w:rPr>
                <w:rFonts w:ascii="宋体"/>
              </w:rPr>
            </w:pPr>
          </w:p>
        </w:tc>
        <w:tc>
          <w:tcPr>
            <w:tcW w:w="0" w:type="auto"/>
            <w:shd w:val="clear" w:color="auto" w:fill="auto"/>
          </w:tcPr>
          <w:p w14:paraId="33DAD04A" w14:textId="77777777" w:rsidR="004D6A64" w:rsidRDefault="004D6A64">
            <w:pPr>
              <w:rPr>
                <w:rFonts w:ascii="宋体"/>
              </w:rPr>
            </w:pPr>
          </w:p>
        </w:tc>
        <w:tc>
          <w:tcPr>
            <w:tcW w:w="0" w:type="auto"/>
            <w:shd w:val="clear" w:color="auto" w:fill="auto"/>
          </w:tcPr>
          <w:p w14:paraId="33DAD04B" w14:textId="77777777" w:rsidR="004D6A64" w:rsidRDefault="004D6A64">
            <w:pPr>
              <w:rPr>
                <w:rFonts w:ascii="宋体"/>
              </w:rPr>
            </w:pPr>
          </w:p>
        </w:tc>
        <w:tc>
          <w:tcPr>
            <w:tcW w:w="0" w:type="auto"/>
            <w:shd w:val="clear" w:color="auto" w:fill="auto"/>
          </w:tcPr>
          <w:p w14:paraId="33DAD04C" w14:textId="77777777" w:rsidR="004D6A64" w:rsidRDefault="004D6A64">
            <w:pPr>
              <w:rPr>
                <w:rFonts w:ascii="宋体"/>
              </w:rPr>
            </w:pPr>
          </w:p>
        </w:tc>
        <w:tc>
          <w:tcPr>
            <w:tcW w:w="0" w:type="auto"/>
            <w:shd w:val="clear" w:color="auto" w:fill="auto"/>
          </w:tcPr>
          <w:p w14:paraId="33DAD04D" w14:textId="77777777" w:rsidR="004D6A64" w:rsidRDefault="004D6A64">
            <w:pPr>
              <w:rPr>
                <w:rFonts w:ascii="宋体"/>
              </w:rPr>
            </w:pPr>
          </w:p>
        </w:tc>
        <w:tc>
          <w:tcPr>
            <w:tcW w:w="0" w:type="auto"/>
            <w:shd w:val="clear" w:color="auto" w:fill="auto"/>
          </w:tcPr>
          <w:p w14:paraId="33DAD04E" w14:textId="77777777" w:rsidR="004D6A64" w:rsidRDefault="004D6A64">
            <w:pPr>
              <w:rPr>
                <w:rFonts w:ascii="宋体"/>
              </w:rPr>
            </w:pPr>
          </w:p>
        </w:tc>
        <w:tc>
          <w:tcPr>
            <w:tcW w:w="0" w:type="auto"/>
            <w:shd w:val="clear" w:color="auto" w:fill="auto"/>
          </w:tcPr>
          <w:p w14:paraId="33DAD04F" w14:textId="77777777" w:rsidR="004D6A64" w:rsidRDefault="004D6A64">
            <w:pPr>
              <w:rPr>
                <w:rFonts w:ascii="宋体"/>
              </w:rPr>
            </w:pPr>
          </w:p>
        </w:tc>
        <w:tc>
          <w:tcPr>
            <w:tcW w:w="0" w:type="auto"/>
            <w:shd w:val="clear" w:color="auto" w:fill="auto"/>
          </w:tcPr>
          <w:p w14:paraId="33DAD050" w14:textId="77777777" w:rsidR="004D6A64" w:rsidRDefault="004D6A64">
            <w:pPr>
              <w:rPr>
                <w:rFonts w:ascii="宋体"/>
              </w:rPr>
            </w:pPr>
          </w:p>
        </w:tc>
        <w:tc>
          <w:tcPr>
            <w:tcW w:w="0" w:type="auto"/>
            <w:shd w:val="clear" w:color="auto" w:fill="auto"/>
          </w:tcPr>
          <w:p w14:paraId="33DAD051" w14:textId="77777777" w:rsidR="004D6A64" w:rsidRDefault="004D6A64">
            <w:pPr>
              <w:rPr>
                <w:rFonts w:ascii="宋体"/>
              </w:rPr>
            </w:pPr>
          </w:p>
        </w:tc>
        <w:tc>
          <w:tcPr>
            <w:tcW w:w="0" w:type="auto"/>
            <w:shd w:val="clear" w:color="auto" w:fill="auto"/>
          </w:tcPr>
          <w:p w14:paraId="33DAD052" w14:textId="77777777" w:rsidR="004D6A64" w:rsidRDefault="004D6A64">
            <w:pPr>
              <w:rPr>
                <w:rFonts w:ascii="宋体"/>
              </w:rPr>
            </w:pPr>
          </w:p>
        </w:tc>
        <w:tc>
          <w:tcPr>
            <w:tcW w:w="0" w:type="auto"/>
            <w:shd w:val="clear" w:color="auto" w:fill="auto"/>
          </w:tcPr>
          <w:p w14:paraId="33DAD053" w14:textId="77777777" w:rsidR="004D6A64" w:rsidRDefault="004D6A64">
            <w:pPr>
              <w:rPr>
                <w:rFonts w:ascii="宋体"/>
              </w:rPr>
            </w:pPr>
          </w:p>
        </w:tc>
        <w:tc>
          <w:tcPr>
            <w:tcW w:w="0" w:type="auto"/>
            <w:shd w:val="clear" w:color="auto" w:fill="auto"/>
          </w:tcPr>
          <w:p w14:paraId="33DAD054" w14:textId="77777777" w:rsidR="004D6A64" w:rsidRDefault="004D6A64">
            <w:pPr>
              <w:rPr>
                <w:rFonts w:ascii="宋体"/>
              </w:rPr>
            </w:pPr>
          </w:p>
        </w:tc>
        <w:tc>
          <w:tcPr>
            <w:tcW w:w="0" w:type="auto"/>
            <w:shd w:val="clear" w:color="auto" w:fill="auto"/>
          </w:tcPr>
          <w:p w14:paraId="33DAD055" w14:textId="77777777" w:rsidR="004D6A64" w:rsidRDefault="004D6A64">
            <w:pPr>
              <w:rPr>
                <w:rFonts w:ascii="宋体"/>
              </w:rPr>
            </w:pPr>
          </w:p>
        </w:tc>
        <w:tc>
          <w:tcPr>
            <w:tcW w:w="0" w:type="auto"/>
            <w:shd w:val="clear" w:color="auto" w:fill="auto"/>
          </w:tcPr>
          <w:p w14:paraId="33DAD056" w14:textId="77777777" w:rsidR="004D6A64" w:rsidRDefault="004D6A64">
            <w:pPr>
              <w:rPr>
                <w:rFonts w:ascii="宋体"/>
              </w:rPr>
            </w:pPr>
          </w:p>
        </w:tc>
        <w:tc>
          <w:tcPr>
            <w:tcW w:w="0" w:type="auto"/>
            <w:shd w:val="clear" w:color="auto" w:fill="auto"/>
          </w:tcPr>
          <w:p w14:paraId="33DAD057" w14:textId="77777777" w:rsidR="004D6A64" w:rsidRDefault="004D6A64">
            <w:pPr>
              <w:rPr>
                <w:rFonts w:ascii="宋体"/>
              </w:rPr>
            </w:pPr>
          </w:p>
        </w:tc>
        <w:tc>
          <w:tcPr>
            <w:tcW w:w="0" w:type="auto"/>
            <w:shd w:val="clear" w:color="auto" w:fill="auto"/>
          </w:tcPr>
          <w:p w14:paraId="33DAD058" w14:textId="77777777" w:rsidR="004D6A64" w:rsidRDefault="004D6A64">
            <w:pPr>
              <w:rPr>
                <w:rFonts w:ascii="宋体"/>
              </w:rPr>
            </w:pPr>
          </w:p>
        </w:tc>
        <w:tc>
          <w:tcPr>
            <w:tcW w:w="0" w:type="auto"/>
            <w:shd w:val="clear" w:color="auto" w:fill="auto"/>
          </w:tcPr>
          <w:p w14:paraId="33DAD059" w14:textId="77777777" w:rsidR="004D6A64" w:rsidRDefault="004D6A64">
            <w:pPr>
              <w:rPr>
                <w:rFonts w:ascii="宋体"/>
              </w:rPr>
            </w:pPr>
          </w:p>
        </w:tc>
        <w:tc>
          <w:tcPr>
            <w:tcW w:w="0" w:type="auto"/>
            <w:shd w:val="clear" w:color="auto" w:fill="auto"/>
          </w:tcPr>
          <w:p w14:paraId="33DAD05A" w14:textId="77777777" w:rsidR="004D6A64" w:rsidRDefault="004D6A64">
            <w:pPr>
              <w:rPr>
                <w:rFonts w:ascii="宋体"/>
              </w:rPr>
            </w:pPr>
          </w:p>
        </w:tc>
        <w:tc>
          <w:tcPr>
            <w:tcW w:w="0" w:type="auto"/>
            <w:shd w:val="clear" w:color="auto" w:fill="auto"/>
          </w:tcPr>
          <w:p w14:paraId="33DAD05B" w14:textId="77777777" w:rsidR="004D6A64" w:rsidRDefault="004D6A64">
            <w:pPr>
              <w:rPr>
                <w:rFonts w:ascii="宋体"/>
              </w:rPr>
            </w:pPr>
          </w:p>
        </w:tc>
      </w:tr>
      <w:tr w:rsidR="004D6A64" w14:paraId="33DAD06E" w14:textId="77777777">
        <w:tc>
          <w:tcPr>
            <w:tcW w:w="0" w:type="auto"/>
            <w:gridSpan w:val="12"/>
            <w:shd w:val="clear" w:color="auto" w:fill="FFFFFF"/>
            <w:tcMar>
              <w:top w:w="40" w:type="dxa"/>
              <w:left w:w="20" w:type="dxa"/>
              <w:bottom w:w="40" w:type="dxa"/>
              <w:right w:w="20" w:type="dxa"/>
            </w:tcMar>
            <w:vAlign w:val="bottom"/>
          </w:tcPr>
          <w:p w14:paraId="33DAD05D" w14:textId="77777777" w:rsidR="004D6A64" w:rsidRDefault="00506CD6">
            <w:pPr>
              <w:textAlignment w:val="bottom"/>
            </w:pPr>
            <w:r>
              <w:rPr>
                <w:rFonts w:ascii="Times New Roman" w:eastAsia="宋体" w:hAnsi="Times New Roman"/>
                <w:i/>
                <w:iCs/>
                <w:color w:val="000000"/>
                <w:sz w:val="20"/>
                <w:szCs w:val="20"/>
              </w:rPr>
              <w:t xml:space="preserve">Denominator: Dell Technologies Common Stock </w:t>
            </w:r>
            <w:r>
              <w:rPr>
                <w:rFonts w:ascii="Times New Roman" w:eastAsia="宋体" w:hAnsi="Times New Roman"/>
                <w:i/>
                <w:iCs/>
                <w:color w:val="000000"/>
                <w:sz w:val="20"/>
                <w:szCs w:val="20"/>
              </w:rPr>
              <w:t>weighted-average shares outstanding</w:t>
            </w:r>
          </w:p>
        </w:tc>
        <w:tc>
          <w:tcPr>
            <w:tcW w:w="0" w:type="auto"/>
            <w:gridSpan w:val="3"/>
            <w:shd w:val="clear" w:color="auto" w:fill="auto"/>
          </w:tcPr>
          <w:p w14:paraId="33DAD05E" w14:textId="77777777" w:rsidR="004D6A64" w:rsidRDefault="004D6A64">
            <w:pPr>
              <w:rPr>
                <w:rFonts w:ascii="宋体"/>
                <w:vanish/>
              </w:rPr>
            </w:pPr>
          </w:p>
        </w:tc>
        <w:tc>
          <w:tcPr>
            <w:tcW w:w="0" w:type="auto"/>
            <w:gridSpan w:val="3"/>
            <w:shd w:val="clear" w:color="auto" w:fill="auto"/>
          </w:tcPr>
          <w:p w14:paraId="33DAD05F" w14:textId="77777777" w:rsidR="004D6A64" w:rsidRDefault="004D6A64">
            <w:pPr>
              <w:rPr>
                <w:rFonts w:ascii="宋体"/>
                <w:vanish/>
              </w:rPr>
            </w:pPr>
          </w:p>
        </w:tc>
        <w:tc>
          <w:tcPr>
            <w:tcW w:w="0" w:type="auto"/>
            <w:gridSpan w:val="3"/>
            <w:shd w:val="clear" w:color="auto" w:fill="auto"/>
          </w:tcPr>
          <w:p w14:paraId="33DAD060" w14:textId="77777777" w:rsidR="004D6A64" w:rsidRDefault="004D6A64">
            <w:pPr>
              <w:rPr>
                <w:rFonts w:ascii="宋体"/>
                <w:vanish/>
              </w:rPr>
            </w:pPr>
          </w:p>
        </w:tc>
        <w:tc>
          <w:tcPr>
            <w:tcW w:w="0" w:type="auto"/>
            <w:gridSpan w:val="3"/>
            <w:shd w:val="clear" w:color="auto" w:fill="FFFFFF"/>
            <w:tcMar>
              <w:left w:w="20" w:type="dxa"/>
              <w:right w:w="20" w:type="dxa"/>
            </w:tcMar>
            <w:vAlign w:val="bottom"/>
          </w:tcPr>
          <w:p w14:paraId="33DAD061"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062"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063"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064" w14:textId="77777777" w:rsidR="004D6A64" w:rsidRDefault="004D6A64">
            <w:pPr>
              <w:rPr>
                <w:rFonts w:ascii="宋体"/>
              </w:rPr>
            </w:pPr>
          </w:p>
        </w:tc>
        <w:tc>
          <w:tcPr>
            <w:tcW w:w="0" w:type="auto"/>
            <w:shd w:val="clear" w:color="auto" w:fill="auto"/>
          </w:tcPr>
          <w:p w14:paraId="33DAD065" w14:textId="77777777" w:rsidR="004D6A64" w:rsidRDefault="004D6A64">
            <w:pPr>
              <w:rPr>
                <w:rFonts w:ascii="宋体"/>
              </w:rPr>
            </w:pPr>
          </w:p>
        </w:tc>
        <w:tc>
          <w:tcPr>
            <w:tcW w:w="0" w:type="auto"/>
            <w:shd w:val="clear" w:color="auto" w:fill="auto"/>
          </w:tcPr>
          <w:p w14:paraId="33DAD066" w14:textId="77777777" w:rsidR="004D6A64" w:rsidRDefault="004D6A64">
            <w:pPr>
              <w:rPr>
                <w:rFonts w:ascii="宋体"/>
              </w:rPr>
            </w:pPr>
          </w:p>
        </w:tc>
        <w:tc>
          <w:tcPr>
            <w:tcW w:w="0" w:type="auto"/>
            <w:shd w:val="clear" w:color="auto" w:fill="auto"/>
          </w:tcPr>
          <w:p w14:paraId="33DAD067" w14:textId="77777777" w:rsidR="004D6A64" w:rsidRDefault="004D6A64">
            <w:pPr>
              <w:rPr>
                <w:rFonts w:ascii="宋体"/>
              </w:rPr>
            </w:pPr>
          </w:p>
        </w:tc>
        <w:tc>
          <w:tcPr>
            <w:tcW w:w="0" w:type="auto"/>
            <w:shd w:val="clear" w:color="auto" w:fill="auto"/>
          </w:tcPr>
          <w:p w14:paraId="33DAD068" w14:textId="77777777" w:rsidR="004D6A64" w:rsidRDefault="004D6A64">
            <w:pPr>
              <w:rPr>
                <w:rFonts w:ascii="宋体"/>
              </w:rPr>
            </w:pPr>
          </w:p>
        </w:tc>
        <w:tc>
          <w:tcPr>
            <w:tcW w:w="0" w:type="auto"/>
            <w:shd w:val="clear" w:color="auto" w:fill="auto"/>
          </w:tcPr>
          <w:p w14:paraId="33DAD069" w14:textId="77777777" w:rsidR="004D6A64" w:rsidRDefault="004D6A64">
            <w:pPr>
              <w:rPr>
                <w:rFonts w:ascii="宋体"/>
              </w:rPr>
            </w:pPr>
          </w:p>
        </w:tc>
        <w:tc>
          <w:tcPr>
            <w:tcW w:w="0" w:type="auto"/>
            <w:shd w:val="clear" w:color="auto" w:fill="auto"/>
          </w:tcPr>
          <w:p w14:paraId="33DAD06A" w14:textId="77777777" w:rsidR="004D6A64" w:rsidRDefault="004D6A64">
            <w:pPr>
              <w:rPr>
                <w:rFonts w:ascii="宋体"/>
              </w:rPr>
            </w:pPr>
          </w:p>
        </w:tc>
        <w:tc>
          <w:tcPr>
            <w:tcW w:w="0" w:type="auto"/>
            <w:shd w:val="clear" w:color="auto" w:fill="auto"/>
          </w:tcPr>
          <w:p w14:paraId="33DAD06B" w14:textId="77777777" w:rsidR="004D6A64" w:rsidRDefault="004D6A64">
            <w:pPr>
              <w:rPr>
                <w:rFonts w:ascii="宋体"/>
              </w:rPr>
            </w:pPr>
          </w:p>
        </w:tc>
        <w:tc>
          <w:tcPr>
            <w:tcW w:w="0" w:type="auto"/>
            <w:shd w:val="clear" w:color="auto" w:fill="auto"/>
          </w:tcPr>
          <w:p w14:paraId="33DAD06C" w14:textId="77777777" w:rsidR="004D6A64" w:rsidRDefault="004D6A64">
            <w:pPr>
              <w:rPr>
                <w:rFonts w:ascii="宋体"/>
              </w:rPr>
            </w:pPr>
          </w:p>
        </w:tc>
        <w:tc>
          <w:tcPr>
            <w:tcW w:w="0" w:type="auto"/>
            <w:shd w:val="clear" w:color="auto" w:fill="auto"/>
          </w:tcPr>
          <w:p w14:paraId="33DAD06D" w14:textId="77777777" w:rsidR="004D6A64" w:rsidRDefault="004D6A64">
            <w:pPr>
              <w:rPr>
                <w:rFonts w:ascii="宋体"/>
              </w:rPr>
            </w:pPr>
          </w:p>
        </w:tc>
      </w:tr>
      <w:tr w:rsidR="004D6A64" w14:paraId="33DAD08D" w14:textId="77777777">
        <w:tc>
          <w:tcPr>
            <w:tcW w:w="0" w:type="auto"/>
            <w:gridSpan w:val="3"/>
            <w:shd w:val="clear" w:color="auto" w:fill="CCEEFF"/>
            <w:tcMar>
              <w:top w:w="40" w:type="dxa"/>
              <w:left w:w="20" w:type="dxa"/>
              <w:bottom w:w="40" w:type="dxa"/>
              <w:right w:w="20" w:type="dxa"/>
            </w:tcMar>
            <w:vAlign w:val="bottom"/>
          </w:tcPr>
          <w:p w14:paraId="33DAD06F" w14:textId="77777777" w:rsidR="004D6A64" w:rsidRDefault="00506CD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 xml:space="preserve">Weighted-average shares outstanding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basic</w:t>
            </w:r>
          </w:p>
        </w:tc>
        <w:tc>
          <w:tcPr>
            <w:tcW w:w="0" w:type="auto"/>
            <w:gridSpan w:val="2"/>
            <w:shd w:val="clear" w:color="auto" w:fill="CCEEFF"/>
            <w:tcMar>
              <w:top w:w="40" w:type="dxa"/>
              <w:left w:w="20" w:type="dxa"/>
              <w:bottom w:w="40" w:type="dxa"/>
              <w:right w:w="0" w:type="dxa"/>
            </w:tcMar>
            <w:vAlign w:val="bottom"/>
          </w:tcPr>
          <w:p w14:paraId="33DAD070" w14:textId="77777777" w:rsidR="004D6A64" w:rsidRDefault="00506CD6">
            <w:pPr>
              <w:jc w:val="right"/>
              <w:textAlignment w:val="bottom"/>
            </w:pPr>
            <w:r>
              <w:rPr>
                <w:rFonts w:ascii="Times New Roman" w:eastAsia="宋体" w:hAnsi="Times New Roman"/>
                <w:color w:val="000000"/>
                <w:sz w:val="20"/>
                <w:szCs w:val="20"/>
              </w:rPr>
              <w:t>741 </w:t>
            </w:r>
          </w:p>
        </w:tc>
        <w:tc>
          <w:tcPr>
            <w:tcW w:w="0" w:type="auto"/>
            <w:shd w:val="clear" w:color="auto" w:fill="CCEEFF"/>
            <w:tcMar>
              <w:top w:w="40" w:type="dxa"/>
              <w:bottom w:w="40" w:type="dxa"/>
              <w:right w:w="20" w:type="dxa"/>
            </w:tcMar>
            <w:vAlign w:val="bottom"/>
          </w:tcPr>
          <w:p w14:paraId="33DAD07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07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D073" w14:textId="77777777" w:rsidR="004D6A64" w:rsidRDefault="00506CD6">
            <w:pPr>
              <w:jc w:val="right"/>
              <w:textAlignment w:val="bottom"/>
            </w:pPr>
            <w:r>
              <w:rPr>
                <w:rFonts w:ascii="Times New Roman" w:eastAsia="宋体" w:hAnsi="Times New Roman"/>
                <w:color w:val="000000"/>
                <w:sz w:val="20"/>
                <w:szCs w:val="20"/>
              </w:rPr>
              <w:t>719 </w:t>
            </w:r>
          </w:p>
        </w:tc>
        <w:tc>
          <w:tcPr>
            <w:tcW w:w="0" w:type="auto"/>
            <w:shd w:val="clear" w:color="auto" w:fill="CCEEFF"/>
            <w:tcMar>
              <w:top w:w="40" w:type="dxa"/>
              <w:bottom w:w="40" w:type="dxa"/>
              <w:right w:w="20" w:type="dxa"/>
            </w:tcMar>
            <w:vAlign w:val="bottom"/>
          </w:tcPr>
          <w:p w14:paraId="33DAD07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07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D076" w14:textId="77777777" w:rsidR="004D6A64" w:rsidRDefault="00506CD6">
            <w:pPr>
              <w:jc w:val="right"/>
              <w:textAlignment w:val="bottom"/>
            </w:pPr>
            <w:r>
              <w:rPr>
                <w:rFonts w:ascii="Times New Roman" w:eastAsia="宋体" w:hAnsi="Times New Roman"/>
                <w:color w:val="000000"/>
                <w:sz w:val="20"/>
                <w:szCs w:val="20"/>
              </w:rPr>
              <w:t>740 </w:t>
            </w:r>
          </w:p>
        </w:tc>
        <w:tc>
          <w:tcPr>
            <w:tcW w:w="0" w:type="auto"/>
            <w:shd w:val="clear" w:color="auto" w:fill="CCEEFF"/>
            <w:tcMar>
              <w:top w:w="40" w:type="dxa"/>
              <w:bottom w:w="40" w:type="dxa"/>
              <w:right w:w="20" w:type="dxa"/>
            </w:tcMar>
            <w:vAlign w:val="bottom"/>
          </w:tcPr>
          <w:p w14:paraId="33DAD07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078"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D079" w14:textId="77777777" w:rsidR="004D6A64" w:rsidRDefault="00506CD6">
            <w:pPr>
              <w:jc w:val="right"/>
              <w:textAlignment w:val="bottom"/>
            </w:pPr>
            <w:r>
              <w:rPr>
                <w:rFonts w:ascii="Times New Roman" w:eastAsia="宋体" w:hAnsi="Times New Roman"/>
                <w:color w:val="000000"/>
                <w:sz w:val="20"/>
                <w:szCs w:val="20"/>
              </w:rPr>
              <w:t>718 </w:t>
            </w:r>
          </w:p>
        </w:tc>
        <w:tc>
          <w:tcPr>
            <w:tcW w:w="0" w:type="auto"/>
            <w:shd w:val="clear" w:color="auto" w:fill="CCEEFF"/>
            <w:tcMar>
              <w:top w:w="40" w:type="dxa"/>
              <w:bottom w:w="40" w:type="dxa"/>
              <w:right w:w="20" w:type="dxa"/>
            </w:tcMar>
            <w:vAlign w:val="bottom"/>
          </w:tcPr>
          <w:p w14:paraId="33DAD07A" w14:textId="77777777" w:rsidR="004D6A64" w:rsidRDefault="004D6A64">
            <w:pPr>
              <w:jc w:val="right"/>
              <w:rPr>
                <w:rFonts w:ascii="宋体"/>
              </w:rPr>
            </w:pPr>
          </w:p>
        </w:tc>
        <w:tc>
          <w:tcPr>
            <w:tcW w:w="0" w:type="auto"/>
            <w:shd w:val="clear" w:color="auto" w:fill="auto"/>
          </w:tcPr>
          <w:p w14:paraId="33DAD07B" w14:textId="77777777" w:rsidR="004D6A64" w:rsidRDefault="004D6A64">
            <w:pPr>
              <w:rPr>
                <w:rFonts w:ascii="宋体"/>
              </w:rPr>
            </w:pPr>
          </w:p>
        </w:tc>
        <w:tc>
          <w:tcPr>
            <w:tcW w:w="0" w:type="auto"/>
            <w:shd w:val="clear" w:color="auto" w:fill="auto"/>
          </w:tcPr>
          <w:p w14:paraId="33DAD07C" w14:textId="77777777" w:rsidR="004D6A64" w:rsidRDefault="004D6A64">
            <w:pPr>
              <w:rPr>
                <w:rFonts w:ascii="宋体"/>
              </w:rPr>
            </w:pPr>
          </w:p>
        </w:tc>
        <w:tc>
          <w:tcPr>
            <w:tcW w:w="0" w:type="auto"/>
            <w:shd w:val="clear" w:color="auto" w:fill="auto"/>
          </w:tcPr>
          <w:p w14:paraId="33DAD07D" w14:textId="77777777" w:rsidR="004D6A64" w:rsidRDefault="004D6A64">
            <w:pPr>
              <w:rPr>
                <w:rFonts w:ascii="宋体"/>
              </w:rPr>
            </w:pPr>
          </w:p>
        </w:tc>
        <w:tc>
          <w:tcPr>
            <w:tcW w:w="0" w:type="auto"/>
            <w:shd w:val="clear" w:color="auto" w:fill="auto"/>
          </w:tcPr>
          <w:p w14:paraId="33DAD07E" w14:textId="77777777" w:rsidR="004D6A64" w:rsidRDefault="004D6A64">
            <w:pPr>
              <w:rPr>
                <w:rFonts w:ascii="宋体"/>
              </w:rPr>
            </w:pPr>
          </w:p>
        </w:tc>
        <w:tc>
          <w:tcPr>
            <w:tcW w:w="0" w:type="auto"/>
            <w:shd w:val="clear" w:color="auto" w:fill="auto"/>
          </w:tcPr>
          <w:p w14:paraId="33DAD07F" w14:textId="77777777" w:rsidR="004D6A64" w:rsidRDefault="004D6A64">
            <w:pPr>
              <w:rPr>
                <w:rFonts w:ascii="宋体"/>
              </w:rPr>
            </w:pPr>
          </w:p>
        </w:tc>
        <w:tc>
          <w:tcPr>
            <w:tcW w:w="0" w:type="auto"/>
            <w:shd w:val="clear" w:color="auto" w:fill="auto"/>
          </w:tcPr>
          <w:p w14:paraId="33DAD080" w14:textId="77777777" w:rsidR="004D6A64" w:rsidRDefault="004D6A64">
            <w:pPr>
              <w:rPr>
                <w:rFonts w:ascii="宋体"/>
              </w:rPr>
            </w:pPr>
          </w:p>
        </w:tc>
        <w:tc>
          <w:tcPr>
            <w:tcW w:w="0" w:type="auto"/>
            <w:shd w:val="clear" w:color="auto" w:fill="auto"/>
          </w:tcPr>
          <w:p w14:paraId="33DAD081" w14:textId="77777777" w:rsidR="004D6A64" w:rsidRDefault="004D6A64">
            <w:pPr>
              <w:rPr>
                <w:rFonts w:ascii="宋体"/>
              </w:rPr>
            </w:pPr>
          </w:p>
        </w:tc>
        <w:tc>
          <w:tcPr>
            <w:tcW w:w="0" w:type="auto"/>
            <w:shd w:val="clear" w:color="auto" w:fill="auto"/>
          </w:tcPr>
          <w:p w14:paraId="33DAD082" w14:textId="77777777" w:rsidR="004D6A64" w:rsidRDefault="004D6A64">
            <w:pPr>
              <w:rPr>
                <w:rFonts w:ascii="宋体"/>
              </w:rPr>
            </w:pPr>
          </w:p>
        </w:tc>
        <w:tc>
          <w:tcPr>
            <w:tcW w:w="0" w:type="auto"/>
            <w:shd w:val="clear" w:color="auto" w:fill="auto"/>
          </w:tcPr>
          <w:p w14:paraId="33DAD083" w14:textId="77777777" w:rsidR="004D6A64" w:rsidRDefault="004D6A64">
            <w:pPr>
              <w:rPr>
                <w:rFonts w:ascii="宋体"/>
              </w:rPr>
            </w:pPr>
          </w:p>
        </w:tc>
        <w:tc>
          <w:tcPr>
            <w:tcW w:w="0" w:type="auto"/>
            <w:shd w:val="clear" w:color="auto" w:fill="auto"/>
          </w:tcPr>
          <w:p w14:paraId="33DAD084" w14:textId="77777777" w:rsidR="004D6A64" w:rsidRDefault="004D6A64">
            <w:pPr>
              <w:rPr>
                <w:rFonts w:ascii="宋体"/>
              </w:rPr>
            </w:pPr>
          </w:p>
        </w:tc>
        <w:tc>
          <w:tcPr>
            <w:tcW w:w="0" w:type="auto"/>
            <w:shd w:val="clear" w:color="auto" w:fill="auto"/>
          </w:tcPr>
          <w:p w14:paraId="33DAD085" w14:textId="77777777" w:rsidR="004D6A64" w:rsidRDefault="004D6A64">
            <w:pPr>
              <w:rPr>
                <w:rFonts w:ascii="宋体"/>
              </w:rPr>
            </w:pPr>
          </w:p>
        </w:tc>
        <w:tc>
          <w:tcPr>
            <w:tcW w:w="0" w:type="auto"/>
            <w:shd w:val="clear" w:color="auto" w:fill="auto"/>
          </w:tcPr>
          <w:p w14:paraId="33DAD086" w14:textId="77777777" w:rsidR="004D6A64" w:rsidRDefault="004D6A64">
            <w:pPr>
              <w:rPr>
                <w:rFonts w:ascii="宋体"/>
              </w:rPr>
            </w:pPr>
          </w:p>
        </w:tc>
        <w:tc>
          <w:tcPr>
            <w:tcW w:w="0" w:type="auto"/>
            <w:shd w:val="clear" w:color="auto" w:fill="auto"/>
          </w:tcPr>
          <w:p w14:paraId="33DAD087" w14:textId="77777777" w:rsidR="004D6A64" w:rsidRDefault="004D6A64">
            <w:pPr>
              <w:rPr>
                <w:rFonts w:ascii="宋体"/>
              </w:rPr>
            </w:pPr>
          </w:p>
        </w:tc>
        <w:tc>
          <w:tcPr>
            <w:tcW w:w="0" w:type="auto"/>
            <w:shd w:val="clear" w:color="auto" w:fill="auto"/>
          </w:tcPr>
          <w:p w14:paraId="33DAD088" w14:textId="77777777" w:rsidR="004D6A64" w:rsidRDefault="004D6A64">
            <w:pPr>
              <w:rPr>
                <w:rFonts w:ascii="宋体"/>
              </w:rPr>
            </w:pPr>
          </w:p>
        </w:tc>
        <w:tc>
          <w:tcPr>
            <w:tcW w:w="0" w:type="auto"/>
            <w:shd w:val="clear" w:color="auto" w:fill="auto"/>
          </w:tcPr>
          <w:p w14:paraId="33DAD089" w14:textId="77777777" w:rsidR="004D6A64" w:rsidRDefault="004D6A64">
            <w:pPr>
              <w:rPr>
                <w:rFonts w:ascii="宋体"/>
              </w:rPr>
            </w:pPr>
          </w:p>
        </w:tc>
        <w:tc>
          <w:tcPr>
            <w:tcW w:w="0" w:type="auto"/>
            <w:shd w:val="clear" w:color="auto" w:fill="auto"/>
          </w:tcPr>
          <w:p w14:paraId="33DAD08A" w14:textId="77777777" w:rsidR="004D6A64" w:rsidRDefault="004D6A64">
            <w:pPr>
              <w:rPr>
                <w:rFonts w:ascii="宋体"/>
              </w:rPr>
            </w:pPr>
          </w:p>
        </w:tc>
        <w:tc>
          <w:tcPr>
            <w:tcW w:w="0" w:type="auto"/>
            <w:shd w:val="clear" w:color="auto" w:fill="auto"/>
          </w:tcPr>
          <w:p w14:paraId="33DAD08B" w14:textId="77777777" w:rsidR="004D6A64" w:rsidRDefault="004D6A64">
            <w:pPr>
              <w:rPr>
                <w:rFonts w:ascii="宋体"/>
              </w:rPr>
            </w:pPr>
          </w:p>
        </w:tc>
        <w:tc>
          <w:tcPr>
            <w:tcW w:w="0" w:type="auto"/>
            <w:shd w:val="clear" w:color="auto" w:fill="auto"/>
          </w:tcPr>
          <w:p w14:paraId="33DAD08C" w14:textId="77777777" w:rsidR="004D6A64" w:rsidRDefault="004D6A64">
            <w:pPr>
              <w:rPr>
                <w:rFonts w:ascii="宋体"/>
              </w:rPr>
            </w:pPr>
          </w:p>
        </w:tc>
      </w:tr>
      <w:tr w:rsidR="004D6A64" w14:paraId="33DAD0AC" w14:textId="77777777">
        <w:tc>
          <w:tcPr>
            <w:tcW w:w="0" w:type="auto"/>
            <w:gridSpan w:val="3"/>
            <w:shd w:val="clear" w:color="auto" w:fill="FFFFFF"/>
            <w:tcMar>
              <w:top w:w="40" w:type="dxa"/>
              <w:left w:w="345" w:type="dxa"/>
              <w:bottom w:w="40" w:type="dxa"/>
              <w:right w:w="20" w:type="dxa"/>
            </w:tcMar>
            <w:vAlign w:val="bottom"/>
          </w:tcPr>
          <w:p w14:paraId="33DAD08E" w14:textId="77777777" w:rsidR="004D6A64" w:rsidRDefault="00506CD6">
            <w:pPr>
              <w:textAlignment w:val="bottom"/>
            </w:pPr>
            <w:r>
              <w:rPr>
                <w:rFonts w:ascii="Times New Roman" w:eastAsia="宋体" w:hAnsi="Times New Roman"/>
                <w:color w:val="000000"/>
                <w:sz w:val="20"/>
                <w:szCs w:val="20"/>
              </w:rPr>
              <w:t>Dilutive effect of options, restricted stock units, restricted stock, and other</w:t>
            </w:r>
          </w:p>
        </w:tc>
        <w:tc>
          <w:tcPr>
            <w:tcW w:w="0" w:type="auto"/>
            <w:gridSpan w:val="2"/>
            <w:shd w:val="clear" w:color="auto" w:fill="FFFFFF"/>
            <w:tcMar>
              <w:top w:w="40" w:type="dxa"/>
              <w:left w:w="20" w:type="dxa"/>
              <w:bottom w:w="40" w:type="dxa"/>
              <w:right w:w="0" w:type="dxa"/>
            </w:tcMar>
            <w:vAlign w:val="bottom"/>
          </w:tcPr>
          <w:p w14:paraId="33DAD08F" w14:textId="77777777" w:rsidR="004D6A64" w:rsidRDefault="00506CD6">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bottom w:w="40" w:type="dxa"/>
              <w:right w:w="20" w:type="dxa"/>
            </w:tcMar>
            <w:vAlign w:val="bottom"/>
          </w:tcPr>
          <w:p w14:paraId="33DAD09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09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D092" w14:textId="77777777" w:rsidR="004D6A64" w:rsidRDefault="00506CD6">
            <w:pPr>
              <w:jc w:val="right"/>
              <w:textAlignment w:val="bottom"/>
            </w:pPr>
            <w:r>
              <w:rPr>
                <w:rFonts w:ascii="Times New Roman" w:eastAsia="宋体" w:hAnsi="Times New Roman"/>
                <w:color w:val="000000"/>
                <w:sz w:val="20"/>
                <w:szCs w:val="20"/>
              </w:rPr>
              <w:t>32 </w:t>
            </w:r>
          </w:p>
        </w:tc>
        <w:tc>
          <w:tcPr>
            <w:tcW w:w="0" w:type="auto"/>
            <w:shd w:val="clear" w:color="auto" w:fill="FFFFFF"/>
            <w:tcMar>
              <w:top w:w="40" w:type="dxa"/>
              <w:bottom w:w="40" w:type="dxa"/>
              <w:right w:w="20" w:type="dxa"/>
            </w:tcMar>
            <w:vAlign w:val="bottom"/>
          </w:tcPr>
          <w:p w14:paraId="33DAD09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094"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D095" w14:textId="77777777" w:rsidR="004D6A64" w:rsidRDefault="00506CD6">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bottom w:w="40" w:type="dxa"/>
              <w:right w:w="20" w:type="dxa"/>
            </w:tcMar>
            <w:vAlign w:val="bottom"/>
          </w:tcPr>
          <w:p w14:paraId="33DAD09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097"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D098" w14:textId="77777777" w:rsidR="004D6A64" w:rsidRDefault="00506CD6">
            <w:pPr>
              <w:jc w:val="right"/>
              <w:textAlignment w:val="bottom"/>
            </w:pPr>
            <w:r>
              <w:rPr>
                <w:rFonts w:ascii="Times New Roman" w:eastAsia="宋体" w:hAnsi="Times New Roman"/>
                <w:color w:val="000000"/>
                <w:sz w:val="20"/>
                <w:szCs w:val="20"/>
              </w:rPr>
              <w:t>32 </w:t>
            </w:r>
          </w:p>
        </w:tc>
        <w:tc>
          <w:tcPr>
            <w:tcW w:w="0" w:type="auto"/>
            <w:shd w:val="clear" w:color="auto" w:fill="FFFFFF"/>
            <w:tcMar>
              <w:top w:w="40" w:type="dxa"/>
              <w:bottom w:w="40" w:type="dxa"/>
              <w:right w:w="20" w:type="dxa"/>
            </w:tcMar>
            <w:vAlign w:val="bottom"/>
          </w:tcPr>
          <w:p w14:paraId="33DAD099" w14:textId="77777777" w:rsidR="004D6A64" w:rsidRDefault="004D6A64">
            <w:pPr>
              <w:jc w:val="right"/>
              <w:rPr>
                <w:rFonts w:ascii="宋体"/>
              </w:rPr>
            </w:pPr>
          </w:p>
        </w:tc>
        <w:tc>
          <w:tcPr>
            <w:tcW w:w="0" w:type="auto"/>
            <w:shd w:val="clear" w:color="auto" w:fill="auto"/>
          </w:tcPr>
          <w:p w14:paraId="33DAD09A" w14:textId="77777777" w:rsidR="004D6A64" w:rsidRDefault="004D6A64">
            <w:pPr>
              <w:rPr>
                <w:rFonts w:ascii="宋体"/>
              </w:rPr>
            </w:pPr>
          </w:p>
        </w:tc>
        <w:tc>
          <w:tcPr>
            <w:tcW w:w="0" w:type="auto"/>
            <w:shd w:val="clear" w:color="auto" w:fill="auto"/>
          </w:tcPr>
          <w:p w14:paraId="33DAD09B" w14:textId="77777777" w:rsidR="004D6A64" w:rsidRDefault="004D6A64">
            <w:pPr>
              <w:rPr>
                <w:rFonts w:ascii="宋体"/>
              </w:rPr>
            </w:pPr>
          </w:p>
        </w:tc>
        <w:tc>
          <w:tcPr>
            <w:tcW w:w="0" w:type="auto"/>
            <w:shd w:val="clear" w:color="auto" w:fill="auto"/>
          </w:tcPr>
          <w:p w14:paraId="33DAD09C" w14:textId="77777777" w:rsidR="004D6A64" w:rsidRDefault="004D6A64">
            <w:pPr>
              <w:rPr>
                <w:rFonts w:ascii="宋体"/>
              </w:rPr>
            </w:pPr>
          </w:p>
        </w:tc>
        <w:tc>
          <w:tcPr>
            <w:tcW w:w="0" w:type="auto"/>
            <w:shd w:val="clear" w:color="auto" w:fill="auto"/>
          </w:tcPr>
          <w:p w14:paraId="33DAD09D" w14:textId="77777777" w:rsidR="004D6A64" w:rsidRDefault="004D6A64">
            <w:pPr>
              <w:rPr>
                <w:rFonts w:ascii="宋体"/>
              </w:rPr>
            </w:pPr>
          </w:p>
        </w:tc>
        <w:tc>
          <w:tcPr>
            <w:tcW w:w="0" w:type="auto"/>
            <w:shd w:val="clear" w:color="auto" w:fill="auto"/>
          </w:tcPr>
          <w:p w14:paraId="33DAD09E" w14:textId="77777777" w:rsidR="004D6A64" w:rsidRDefault="004D6A64">
            <w:pPr>
              <w:rPr>
                <w:rFonts w:ascii="宋体"/>
              </w:rPr>
            </w:pPr>
          </w:p>
        </w:tc>
        <w:tc>
          <w:tcPr>
            <w:tcW w:w="0" w:type="auto"/>
            <w:shd w:val="clear" w:color="auto" w:fill="auto"/>
          </w:tcPr>
          <w:p w14:paraId="33DAD09F" w14:textId="77777777" w:rsidR="004D6A64" w:rsidRDefault="004D6A64">
            <w:pPr>
              <w:rPr>
                <w:rFonts w:ascii="宋体"/>
              </w:rPr>
            </w:pPr>
          </w:p>
        </w:tc>
        <w:tc>
          <w:tcPr>
            <w:tcW w:w="0" w:type="auto"/>
            <w:shd w:val="clear" w:color="auto" w:fill="auto"/>
          </w:tcPr>
          <w:p w14:paraId="33DAD0A0" w14:textId="77777777" w:rsidR="004D6A64" w:rsidRDefault="004D6A64">
            <w:pPr>
              <w:rPr>
                <w:rFonts w:ascii="宋体"/>
              </w:rPr>
            </w:pPr>
          </w:p>
        </w:tc>
        <w:tc>
          <w:tcPr>
            <w:tcW w:w="0" w:type="auto"/>
            <w:shd w:val="clear" w:color="auto" w:fill="auto"/>
          </w:tcPr>
          <w:p w14:paraId="33DAD0A1" w14:textId="77777777" w:rsidR="004D6A64" w:rsidRDefault="004D6A64">
            <w:pPr>
              <w:rPr>
                <w:rFonts w:ascii="宋体"/>
              </w:rPr>
            </w:pPr>
          </w:p>
        </w:tc>
        <w:tc>
          <w:tcPr>
            <w:tcW w:w="0" w:type="auto"/>
            <w:shd w:val="clear" w:color="auto" w:fill="auto"/>
          </w:tcPr>
          <w:p w14:paraId="33DAD0A2" w14:textId="77777777" w:rsidR="004D6A64" w:rsidRDefault="004D6A64">
            <w:pPr>
              <w:rPr>
                <w:rFonts w:ascii="宋体"/>
              </w:rPr>
            </w:pPr>
          </w:p>
        </w:tc>
        <w:tc>
          <w:tcPr>
            <w:tcW w:w="0" w:type="auto"/>
            <w:shd w:val="clear" w:color="auto" w:fill="auto"/>
          </w:tcPr>
          <w:p w14:paraId="33DAD0A3" w14:textId="77777777" w:rsidR="004D6A64" w:rsidRDefault="004D6A64">
            <w:pPr>
              <w:rPr>
                <w:rFonts w:ascii="宋体"/>
              </w:rPr>
            </w:pPr>
          </w:p>
        </w:tc>
        <w:tc>
          <w:tcPr>
            <w:tcW w:w="0" w:type="auto"/>
            <w:shd w:val="clear" w:color="auto" w:fill="auto"/>
          </w:tcPr>
          <w:p w14:paraId="33DAD0A4" w14:textId="77777777" w:rsidR="004D6A64" w:rsidRDefault="004D6A64">
            <w:pPr>
              <w:rPr>
                <w:rFonts w:ascii="宋体"/>
              </w:rPr>
            </w:pPr>
          </w:p>
        </w:tc>
        <w:tc>
          <w:tcPr>
            <w:tcW w:w="0" w:type="auto"/>
            <w:shd w:val="clear" w:color="auto" w:fill="auto"/>
          </w:tcPr>
          <w:p w14:paraId="33DAD0A5" w14:textId="77777777" w:rsidR="004D6A64" w:rsidRDefault="004D6A64">
            <w:pPr>
              <w:rPr>
                <w:rFonts w:ascii="宋体"/>
              </w:rPr>
            </w:pPr>
          </w:p>
        </w:tc>
        <w:tc>
          <w:tcPr>
            <w:tcW w:w="0" w:type="auto"/>
            <w:shd w:val="clear" w:color="auto" w:fill="auto"/>
          </w:tcPr>
          <w:p w14:paraId="33DAD0A6" w14:textId="77777777" w:rsidR="004D6A64" w:rsidRDefault="004D6A64">
            <w:pPr>
              <w:rPr>
                <w:rFonts w:ascii="宋体"/>
              </w:rPr>
            </w:pPr>
          </w:p>
        </w:tc>
        <w:tc>
          <w:tcPr>
            <w:tcW w:w="0" w:type="auto"/>
            <w:shd w:val="clear" w:color="auto" w:fill="auto"/>
          </w:tcPr>
          <w:p w14:paraId="33DAD0A7" w14:textId="77777777" w:rsidR="004D6A64" w:rsidRDefault="004D6A64">
            <w:pPr>
              <w:rPr>
                <w:rFonts w:ascii="宋体"/>
              </w:rPr>
            </w:pPr>
          </w:p>
        </w:tc>
        <w:tc>
          <w:tcPr>
            <w:tcW w:w="0" w:type="auto"/>
            <w:shd w:val="clear" w:color="auto" w:fill="auto"/>
          </w:tcPr>
          <w:p w14:paraId="33DAD0A8" w14:textId="77777777" w:rsidR="004D6A64" w:rsidRDefault="004D6A64">
            <w:pPr>
              <w:rPr>
                <w:rFonts w:ascii="宋体"/>
              </w:rPr>
            </w:pPr>
          </w:p>
        </w:tc>
        <w:tc>
          <w:tcPr>
            <w:tcW w:w="0" w:type="auto"/>
            <w:shd w:val="clear" w:color="auto" w:fill="auto"/>
          </w:tcPr>
          <w:p w14:paraId="33DAD0A9" w14:textId="77777777" w:rsidR="004D6A64" w:rsidRDefault="004D6A64">
            <w:pPr>
              <w:rPr>
                <w:rFonts w:ascii="宋体"/>
              </w:rPr>
            </w:pPr>
          </w:p>
        </w:tc>
        <w:tc>
          <w:tcPr>
            <w:tcW w:w="0" w:type="auto"/>
            <w:shd w:val="clear" w:color="auto" w:fill="auto"/>
          </w:tcPr>
          <w:p w14:paraId="33DAD0AA" w14:textId="77777777" w:rsidR="004D6A64" w:rsidRDefault="004D6A64">
            <w:pPr>
              <w:rPr>
                <w:rFonts w:ascii="宋体"/>
              </w:rPr>
            </w:pPr>
          </w:p>
        </w:tc>
        <w:tc>
          <w:tcPr>
            <w:tcW w:w="0" w:type="auto"/>
            <w:shd w:val="clear" w:color="auto" w:fill="auto"/>
          </w:tcPr>
          <w:p w14:paraId="33DAD0AB" w14:textId="77777777" w:rsidR="004D6A64" w:rsidRDefault="004D6A64">
            <w:pPr>
              <w:rPr>
                <w:rFonts w:ascii="宋体"/>
              </w:rPr>
            </w:pPr>
          </w:p>
        </w:tc>
      </w:tr>
      <w:tr w:rsidR="004D6A64" w14:paraId="33DAD0CB" w14:textId="77777777">
        <w:tc>
          <w:tcPr>
            <w:tcW w:w="0" w:type="auto"/>
            <w:gridSpan w:val="3"/>
            <w:shd w:val="clear" w:color="auto" w:fill="CCEEFF"/>
            <w:tcMar>
              <w:top w:w="40" w:type="dxa"/>
              <w:left w:w="20" w:type="dxa"/>
              <w:bottom w:w="40" w:type="dxa"/>
              <w:right w:w="20" w:type="dxa"/>
            </w:tcMar>
            <w:vAlign w:val="bottom"/>
          </w:tcPr>
          <w:p w14:paraId="33DAD0AD" w14:textId="77777777" w:rsidR="004D6A64" w:rsidRDefault="00506CD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 xml:space="preserve">Weighted-average shares outstanding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diluted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3DAD0AE" w14:textId="77777777" w:rsidR="004D6A64" w:rsidRDefault="00506CD6">
            <w:pPr>
              <w:jc w:val="right"/>
              <w:textAlignment w:val="bottom"/>
            </w:pPr>
            <w:r>
              <w:rPr>
                <w:rFonts w:ascii="Times New Roman" w:eastAsia="宋体" w:hAnsi="Times New Roman"/>
                <w:color w:val="000000"/>
                <w:sz w:val="20"/>
                <w:szCs w:val="20"/>
              </w:rPr>
              <w:t>761 </w:t>
            </w:r>
          </w:p>
        </w:tc>
        <w:tc>
          <w:tcPr>
            <w:tcW w:w="0" w:type="auto"/>
            <w:tcBorders>
              <w:top w:val="single" w:sz="8" w:space="0" w:color="000000"/>
            </w:tcBorders>
            <w:shd w:val="clear" w:color="auto" w:fill="CCEEFF"/>
            <w:tcMar>
              <w:top w:w="40" w:type="dxa"/>
              <w:bottom w:w="40" w:type="dxa"/>
              <w:right w:w="20" w:type="dxa"/>
            </w:tcMar>
            <w:vAlign w:val="bottom"/>
          </w:tcPr>
          <w:p w14:paraId="33DAD0A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0B0"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3DAD0B1" w14:textId="77777777" w:rsidR="004D6A64" w:rsidRDefault="00506CD6">
            <w:pPr>
              <w:jc w:val="right"/>
              <w:textAlignment w:val="bottom"/>
            </w:pPr>
            <w:r>
              <w:rPr>
                <w:rFonts w:ascii="Times New Roman" w:eastAsia="宋体" w:hAnsi="Times New Roman"/>
                <w:color w:val="000000"/>
                <w:sz w:val="20"/>
                <w:szCs w:val="20"/>
              </w:rPr>
              <w:t>751 </w:t>
            </w:r>
          </w:p>
        </w:tc>
        <w:tc>
          <w:tcPr>
            <w:tcW w:w="0" w:type="auto"/>
            <w:tcBorders>
              <w:top w:val="single" w:sz="8" w:space="0" w:color="000000"/>
            </w:tcBorders>
            <w:shd w:val="clear" w:color="auto" w:fill="CCEEFF"/>
            <w:tcMar>
              <w:top w:w="40" w:type="dxa"/>
              <w:bottom w:w="40" w:type="dxa"/>
              <w:right w:w="20" w:type="dxa"/>
            </w:tcMar>
            <w:vAlign w:val="bottom"/>
          </w:tcPr>
          <w:p w14:paraId="33DAD0B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0B3"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3DAD0B4" w14:textId="77777777" w:rsidR="004D6A64" w:rsidRDefault="00506CD6">
            <w:pPr>
              <w:jc w:val="right"/>
              <w:textAlignment w:val="bottom"/>
            </w:pPr>
            <w:r>
              <w:rPr>
                <w:rFonts w:ascii="Times New Roman" w:eastAsia="宋体" w:hAnsi="Times New Roman"/>
                <w:color w:val="000000"/>
                <w:sz w:val="20"/>
                <w:szCs w:val="20"/>
              </w:rPr>
              <w:t>758 </w:t>
            </w:r>
          </w:p>
        </w:tc>
        <w:tc>
          <w:tcPr>
            <w:tcW w:w="0" w:type="auto"/>
            <w:tcBorders>
              <w:top w:val="single" w:sz="8" w:space="0" w:color="000000"/>
            </w:tcBorders>
            <w:shd w:val="clear" w:color="auto" w:fill="CCEEFF"/>
            <w:tcMar>
              <w:top w:w="40" w:type="dxa"/>
              <w:bottom w:w="40" w:type="dxa"/>
              <w:right w:w="20" w:type="dxa"/>
            </w:tcMar>
            <w:vAlign w:val="bottom"/>
          </w:tcPr>
          <w:p w14:paraId="33DAD0B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0B6"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3DAD0B7" w14:textId="77777777" w:rsidR="004D6A64" w:rsidRDefault="00506CD6">
            <w:pPr>
              <w:jc w:val="right"/>
              <w:textAlignment w:val="bottom"/>
            </w:pPr>
            <w:r>
              <w:rPr>
                <w:rFonts w:ascii="Times New Roman" w:eastAsia="宋体" w:hAnsi="Times New Roman"/>
                <w:color w:val="000000"/>
                <w:sz w:val="20"/>
                <w:szCs w:val="20"/>
              </w:rPr>
              <w:t>750 </w:t>
            </w:r>
          </w:p>
        </w:tc>
        <w:tc>
          <w:tcPr>
            <w:tcW w:w="0" w:type="auto"/>
            <w:tcBorders>
              <w:top w:val="single" w:sz="8" w:space="0" w:color="000000"/>
            </w:tcBorders>
            <w:shd w:val="clear" w:color="auto" w:fill="CCEEFF"/>
            <w:tcMar>
              <w:top w:w="40" w:type="dxa"/>
              <w:bottom w:w="40" w:type="dxa"/>
              <w:right w:w="20" w:type="dxa"/>
            </w:tcMar>
            <w:vAlign w:val="bottom"/>
          </w:tcPr>
          <w:p w14:paraId="33DAD0B8" w14:textId="77777777" w:rsidR="004D6A64" w:rsidRDefault="004D6A64">
            <w:pPr>
              <w:jc w:val="right"/>
              <w:rPr>
                <w:rFonts w:ascii="宋体"/>
              </w:rPr>
            </w:pPr>
          </w:p>
        </w:tc>
        <w:tc>
          <w:tcPr>
            <w:tcW w:w="0" w:type="auto"/>
            <w:shd w:val="clear" w:color="auto" w:fill="auto"/>
          </w:tcPr>
          <w:p w14:paraId="33DAD0B9" w14:textId="77777777" w:rsidR="004D6A64" w:rsidRDefault="004D6A64">
            <w:pPr>
              <w:rPr>
                <w:rFonts w:ascii="宋体"/>
              </w:rPr>
            </w:pPr>
          </w:p>
        </w:tc>
        <w:tc>
          <w:tcPr>
            <w:tcW w:w="0" w:type="auto"/>
            <w:shd w:val="clear" w:color="auto" w:fill="auto"/>
          </w:tcPr>
          <w:p w14:paraId="33DAD0BA" w14:textId="77777777" w:rsidR="004D6A64" w:rsidRDefault="004D6A64">
            <w:pPr>
              <w:rPr>
                <w:rFonts w:ascii="宋体"/>
              </w:rPr>
            </w:pPr>
          </w:p>
        </w:tc>
        <w:tc>
          <w:tcPr>
            <w:tcW w:w="0" w:type="auto"/>
            <w:shd w:val="clear" w:color="auto" w:fill="auto"/>
          </w:tcPr>
          <w:p w14:paraId="33DAD0BB" w14:textId="77777777" w:rsidR="004D6A64" w:rsidRDefault="004D6A64">
            <w:pPr>
              <w:rPr>
                <w:rFonts w:ascii="宋体"/>
              </w:rPr>
            </w:pPr>
          </w:p>
        </w:tc>
        <w:tc>
          <w:tcPr>
            <w:tcW w:w="0" w:type="auto"/>
            <w:shd w:val="clear" w:color="auto" w:fill="auto"/>
          </w:tcPr>
          <w:p w14:paraId="33DAD0BC" w14:textId="77777777" w:rsidR="004D6A64" w:rsidRDefault="004D6A64">
            <w:pPr>
              <w:rPr>
                <w:rFonts w:ascii="宋体"/>
              </w:rPr>
            </w:pPr>
          </w:p>
        </w:tc>
        <w:tc>
          <w:tcPr>
            <w:tcW w:w="0" w:type="auto"/>
            <w:shd w:val="clear" w:color="auto" w:fill="auto"/>
          </w:tcPr>
          <w:p w14:paraId="33DAD0BD" w14:textId="77777777" w:rsidR="004D6A64" w:rsidRDefault="004D6A64">
            <w:pPr>
              <w:rPr>
                <w:rFonts w:ascii="宋体"/>
              </w:rPr>
            </w:pPr>
          </w:p>
        </w:tc>
        <w:tc>
          <w:tcPr>
            <w:tcW w:w="0" w:type="auto"/>
            <w:shd w:val="clear" w:color="auto" w:fill="auto"/>
          </w:tcPr>
          <w:p w14:paraId="33DAD0BE" w14:textId="77777777" w:rsidR="004D6A64" w:rsidRDefault="004D6A64">
            <w:pPr>
              <w:rPr>
                <w:rFonts w:ascii="宋体"/>
              </w:rPr>
            </w:pPr>
          </w:p>
        </w:tc>
        <w:tc>
          <w:tcPr>
            <w:tcW w:w="0" w:type="auto"/>
            <w:shd w:val="clear" w:color="auto" w:fill="auto"/>
          </w:tcPr>
          <w:p w14:paraId="33DAD0BF" w14:textId="77777777" w:rsidR="004D6A64" w:rsidRDefault="004D6A64">
            <w:pPr>
              <w:rPr>
                <w:rFonts w:ascii="宋体"/>
              </w:rPr>
            </w:pPr>
          </w:p>
        </w:tc>
        <w:tc>
          <w:tcPr>
            <w:tcW w:w="0" w:type="auto"/>
            <w:shd w:val="clear" w:color="auto" w:fill="auto"/>
          </w:tcPr>
          <w:p w14:paraId="33DAD0C0" w14:textId="77777777" w:rsidR="004D6A64" w:rsidRDefault="004D6A64">
            <w:pPr>
              <w:rPr>
                <w:rFonts w:ascii="宋体"/>
              </w:rPr>
            </w:pPr>
          </w:p>
        </w:tc>
        <w:tc>
          <w:tcPr>
            <w:tcW w:w="0" w:type="auto"/>
            <w:shd w:val="clear" w:color="auto" w:fill="auto"/>
          </w:tcPr>
          <w:p w14:paraId="33DAD0C1" w14:textId="77777777" w:rsidR="004D6A64" w:rsidRDefault="004D6A64">
            <w:pPr>
              <w:rPr>
                <w:rFonts w:ascii="宋体"/>
              </w:rPr>
            </w:pPr>
          </w:p>
        </w:tc>
        <w:tc>
          <w:tcPr>
            <w:tcW w:w="0" w:type="auto"/>
            <w:shd w:val="clear" w:color="auto" w:fill="auto"/>
          </w:tcPr>
          <w:p w14:paraId="33DAD0C2" w14:textId="77777777" w:rsidR="004D6A64" w:rsidRDefault="004D6A64">
            <w:pPr>
              <w:rPr>
                <w:rFonts w:ascii="宋体"/>
              </w:rPr>
            </w:pPr>
          </w:p>
        </w:tc>
        <w:tc>
          <w:tcPr>
            <w:tcW w:w="0" w:type="auto"/>
            <w:shd w:val="clear" w:color="auto" w:fill="auto"/>
          </w:tcPr>
          <w:p w14:paraId="33DAD0C3" w14:textId="77777777" w:rsidR="004D6A64" w:rsidRDefault="004D6A64">
            <w:pPr>
              <w:rPr>
                <w:rFonts w:ascii="宋体"/>
              </w:rPr>
            </w:pPr>
          </w:p>
        </w:tc>
        <w:tc>
          <w:tcPr>
            <w:tcW w:w="0" w:type="auto"/>
            <w:shd w:val="clear" w:color="auto" w:fill="auto"/>
          </w:tcPr>
          <w:p w14:paraId="33DAD0C4" w14:textId="77777777" w:rsidR="004D6A64" w:rsidRDefault="004D6A64">
            <w:pPr>
              <w:rPr>
                <w:rFonts w:ascii="宋体"/>
              </w:rPr>
            </w:pPr>
          </w:p>
        </w:tc>
        <w:tc>
          <w:tcPr>
            <w:tcW w:w="0" w:type="auto"/>
            <w:shd w:val="clear" w:color="auto" w:fill="auto"/>
          </w:tcPr>
          <w:p w14:paraId="33DAD0C5" w14:textId="77777777" w:rsidR="004D6A64" w:rsidRDefault="004D6A64">
            <w:pPr>
              <w:rPr>
                <w:rFonts w:ascii="宋体"/>
              </w:rPr>
            </w:pPr>
          </w:p>
        </w:tc>
        <w:tc>
          <w:tcPr>
            <w:tcW w:w="0" w:type="auto"/>
            <w:shd w:val="clear" w:color="auto" w:fill="auto"/>
          </w:tcPr>
          <w:p w14:paraId="33DAD0C6" w14:textId="77777777" w:rsidR="004D6A64" w:rsidRDefault="004D6A64">
            <w:pPr>
              <w:rPr>
                <w:rFonts w:ascii="宋体"/>
              </w:rPr>
            </w:pPr>
          </w:p>
        </w:tc>
        <w:tc>
          <w:tcPr>
            <w:tcW w:w="0" w:type="auto"/>
            <w:shd w:val="clear" w:color="auto" w:fill="auto"/>
          </w:tcPr>
          <w:p w14:paraId="33DAD0C7" w14:textId="77777777" w:rsidR="004D6A64" w:rsidRDefault="004D6A64">
            <w:pPr>
              <w:rPr>
                <w:rFonts w:ascii="宋体"/>
              </w:rPr>
            </w:pPr>
          </w:p>
        </w:tc>
        <w:tc>
          <w:tcPr>
            <w:tcW w:w="0" w:type="auto"/>
            <w:shd w:val="clear" w:color="auto" w:fill="auto"/>
          </w:tcPr>
          <w:p w14:paraId="33DAD0C8" w14:textId="77777777" w:rsidR="004D6A64" w:rsidRDefault="004D6A64">
            <w:pPr>
              <w:rPr>
                <w:rFonts w:ascii="宋体"/>
              </w:rPr>
            </w:pPr>
          </w:p>
        </w:tc>
        <w:tc>
          <w:tcPr>
            <w:tcW w:w="0" w:type="auto"/>
            <w:shd w:val="clear" w:color="auto" w:fill="auto"/>
          </w:tcPr>
          <w:p w14:paraId="33DAD0C9" w14:textId="77777777" w:rsidR="004D6A64" w:rsidRDefault="004D6A64">
            <w:pPr>
              <w:rPr>
                <w:rFonts w:ascii="宋体"/>
              </w:rPr>
            </w:pPr>
          </w:p>
        </w:tc>
        <w:tc>
          <w:tcPr>
            <w:tcW w:w="0" w:type="auto"/>
            <w:shd w:val="clear" w:color="auto" w:fill="auto"/>
          </w:tcPr>
          <w:p w14:paraId="33DAD0CA" w14:textId="77777777" w:rsidR="004D6A64" w:rsidRDefault="004D6A64">
            <w:pPr>
              <w:rPr>
                <w:rFonts w:ascii="宋体"/>
              </w:rPr>
            </w:pPr>
          </w:p>
        </w:tc>
      </w:tr>
      <w:tr w:rsidR="004D6A64" w14:paraId="33DAD0EA" w14:textId="77777777">
        <w:tc>
          <w:tcPr>
            <w:tcW w:w="0" w:type="auto"/>
            <w:gridSpan w:val="3"/>
            <w:shd w:val="clear" w:color="auto" w:fill="FFFFFF"/>
            <w:tcMar>
              <w:top w:w="40" w:type="dxa"/>
              <w:left w:w="20" w:type="dxa"/>
              <w:bottom w:w="40" w:type="dxa"/>
              <w:right w:w="20" w:type="dxa"/>
            </w:tcMar>
            <w:vAlign w:val="bottom"/>
          </w:tcPr>
          <w:p w14:paraId="33DAD0CC" w14:textId="77777777" w:rsidR="004D6A64" w:rsidRDefault="00506CD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 xml:space="preserve">Weighted-average shares outstanding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antidilutive</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33DAD0CD" w14:textId="77777777" w:rsidR="004D6A64" w:rsidRDefault="00506CD6">
            <w:pPr>
              <w:jc w:val="right"/>
              <w:textAlignment w:val="bottom"/>
            </w:pPr>
            <w:r>
              <w:rPr>
                <w:rFonts w:ascii="Times New Roman" w:eastAsia="宋体" w:hAnsi="Times New Roman"/>
                <w:color w:val="000000"/>
                <w:sz w:val="20"/>
                <w:szCs w:val="20"/>
              </w:rPr>
              <w:t>6 </w:t>
            </w:r>
          </w:p>
        </w:tc>
        <w:tc>
          <w:tcPr>
            <w:tcW w:w="0" w:type="auto"/>
            <w:tcBorders>
              <w:top w:val="double" w:sz="6" w:space="0" w:color="000000"/>
            </w:tcBorders>
            <w:shd w:val="clear" w:color="auto" w:fill="FFFFFF"/>
            <w:tcMar>
              <w:top w:w="40" w:type="dxa"/>
              <w:bottom w:w="40" w:type="dxa"/>
              <w:right w:w="20" w:type="dxa"/>
            </w:tcMar>
            <w:vAlign w:val="bottom"/>
          </w:tcPr>
          <w:p w14:paraId="33DAD0C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0CF" w14:textId="77777777" w:rsidR="004D6A64" w:rsidRDefault="004D6A64">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33DAD0D0" w14:textId="77777777" w:rsidR="004D6A64" w:rsidRDefault="00506CD6">
            <w:pPr>
              <w:jc w:val="right"/>
              <w:textAlignment w:val="bottom"/>
            </w:pPr>
            <w:r>
              <w:rPr>
                <w:rFonts w:ascii="Times New Roman" w:eastAsia="宋体" w:hAnsi="Times New Roman"/>
                <w:color w:val="000000"/>
                <w:sz w:val="20"/>
                <w:szCs w:val="20"/>
              </w:rPr>
              <w:t>1 </w:t>
            </w:r>
          </w:p>
        </w:tc>
        <w:tc>
          <w:tcPr>
            <w:tcW w:w="0" w:type="auto"/>
            <w:tcBorders>
              <w:top w:val="double" w:sz="6" w:space="0" w:color="000000"/>
            </w:tcBorders>
            <w:shd w:val="clear" w:color="auto" w:fill="FFFFFF"/>
            <w:tcMar>
              <w:top w:w="40" w:type="dxa"/>
              <w:bottom w:w="40" w:type="dxa"/>
              <w:right w:w="20" w:type="dxa"/>
            </w:tcMar>
            <w:vAlign w:val="bottom"/>
          </w:tcPr>
          <w:p w14:paraId="33DAD0D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0D2" w14:textId="77777777" w:rsidR="004D6A64" w:rsidRDefault="004D6A64">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33DAD0D3" w14:textId="77777777" w:rsidR="004D6A64" w:rsidRDefault="00506CD6">
            <w:pPr>
              <w:jc w:val="right"/>
              <w:textAlignment w:val="bottom"/>
            </w:pPr>
            <w:r>
              <w:rPr>
                <w:rFonts w:ascii="Times New Roman" w:eastAsia="宋体" w:hAnsi="Times New Roman"/>
                <w:color w:val="000000"/>
                <w:sz w:val="20"/>
                <w:szCs w:val="20"/>
              </w:rPr>
              <w:t>6 </w:t>
            </w:r>
          </w:p>
        </w:tc>
        <w:tc>
          <w:tcPr>
            <w:tcW w:w="0" w:type="auto"/>
            <w:tcBorders>
              <w:top w:val="double" w:sz="6" w:space="0" w:color="000000"/>
            </w:tcBorders>
            <w:shd w:val="clear" w:color="auto" w:fill="FFFFFF"/>
            <w:tcMar>
              <w:top w:w="40" w:type="dxa"/>
              <w:bottom w:w="40" w:type="dxa"/>
              <w:right w:w="20" w:type="dxa"/>
            </w:tcMar>
            <w:vAlign w:val="bottom"/>
          </w:tcPr>
          <w:p w14:paraId="33DAD0D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0D5" w14:textId="77777777" w:rsidR="004D6A64" w:rsidRDefault="004D6A64">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33DAD0D6" w14:textId="77777777" w:rsidR="004D6A64" w:rsidRDefault="00506CD6">
            <w:pPr>
              <w:jc w:val="right"/>
              <w:textAlignment w:val="bottom"/>
            </w:pPr>
            <w:r>
              <w:rPr>
                <w:rFonts w:ascii="Times New Roman" w:eastAsia="宋体" w:hAnsi="Times New Roman"/>
                <w:color w:val="000000"/>
                <w:sz w:val="20"/>
                <w:szCs w:val="20"/>
              </w:rPr>
              <w:t>1 </w:t>
            </w:r>
          </w:p>
        </w:tc>
        <w:tc>
          <w:tcPr>
            <w:tcW w:w="0" w:type="auto"/>
            <w:tcBorders>
              <w:top w:val="double" w:sz="6" w:space="0" w:color="000000"/>
            </w:tcBorders>
            <w:shd w:val="clear" w:color="auto" w:fill="FFFFFF"/>
            <w:tcMar>
              <w:top w:w="40" w:type="dxa"/>
              <w:bottom w:w="40" w:type="dxa"/>
              <w:right w:w="20" w:type="dxa"/>
            </w:tcMar>
            <w:vAlign w:val="bottom"/>
          </w:tcPr>
          <w:p w14:paraId="33DAD0D7" w14:textId="77777777" w:rsidR="004D6A64" w:rsidRDefault="004D6A64">
            <w:pPr>
              <w:jc w:val="right"/>
              <w:rPr>
                <w:rFonts w:ascii="宋体"/>
              </w:rPr>
            </w:pPr>
          </w:p>
        </w:tc>
        <w:tc>
          <w:tcPr>
            <w:tcW w:w="0" w:type="auto"/>
            <w:shd w:val="clear" w:color="auto" w:fill="auto"/>
          </w:tcPr>
          <w:p w14:paraId="33DAD0D8" w14:textId="77777777" w:rsidR="004D6A64" w:rsidRDefault="004D6A64">
            <w:pPr>
              <w:rPr>
                <w:rFonts w:ascii="宋体"/>
              </w:rPr>
            </w:pPr>
          </w:p>
        </w:tc>
        <w:tc>
          <w:tcPr>
            <w:tcW w:w="0" w:type="auto"/>
            <w:shd w:val="clear" w:color="auto" w:fill="auto"/>
          </w:tcPr>
          <w:p w14:paraId="33DAD0D9" w14:textId="77777777" w:rsidR="004D6A64" w:rsidRDefault="004D6A64">
            <w:pPr>
              <w:rPr>
                <w:rFonts w:ascii="宋体"/>
              </w:rPr>
            </w:pPr>
          </w:p>
        </w:tc>
        <w:tc>
          <w:tcPr>
            <w:tcW w:w="0" w:type="auto"/>
            <w:shd w:val="clear" w:color="auto" w:fill="auto"/>
          </w:tcPr>
          <w:p w14:paraId="33DAD0DA" w14:textId="77777777" w:rsidR="004D6A64" w:rsidRDefault="004D6A64">
            <w:pPr>
              <w:rPr>
                <w:rFonts w:ascii="宋体"/>
              </w:rPr>
            </w:pPr>
          </w:p>
        </w:tc>
        <w:tc>
          <w:tcPr>
            <w:tcW w:w="0" w:type="auto"/>
            <w:shd w:val="clear" w:color="auto" w:fill="auto"/>
          </w:tcPr>
          <w:p w14:paraId="33DAD0DB" w14:textId="77777777" w:rsidR="004D6A64" w:rsidRDefault="004D6A64">
            <w:pPr>
              <w:rPr>
                <w:rFonts w:ascii="宋体"/>
              </w:rPr>
            </w:pPr>
          </w:p>
        </w:tc>
        <w:tc>
          <w:tcPr>
            <w:tcW w:w="0" w:type="auto"/>
            <w:shd w:val="clear" w:color="auto" w:fill="auto"/>
          </w:tcPr>
          <w:p w14:paraId="33DAD0DC" w14:textId="77777777" w:rsidR="004D6A64" w:rsidRDefault="004D6A64">
            <w:pPr>
              <w:rPr>
                <w:rFonts w:ascii="宋体"/>
              </w:rPr>
            </w:pPr>
          </w:p>
        </w:tc>
        <w:tc>
          <w:tcPr>
            <w:tcW w:w="0" w:type="auto"/>
            <w:shd w:val="clear" w:color="auto" w:fill="auto"/>
          </w:tcPr>
          <w:p w14:paraId="33DAD0DD" w14:textId="77777777" w:rsidR="004D6A64" w:rsidRDefault="004D6A64">
            <w:pPr>
              <w:rPr>
                <w:rFonts w:ascii="宋体"/>
              </w:rPr>
            </w:pPr>
          </w:p>
        </w:tc>
        <w:tc>
          <w:tcPr>
            <w:tcW w:w="0" w:type="auto"/>
            <w:shd w:val="clear" w:color="auto" w:fill="auto"/>
          </w:tcPr>
          <w:p w14:paraId="33DAD0DE" w14:textId="77777777" w:rsidR="004D6A64" w:rsidRDefault="004D6A64">
            <w:pPr>
              <w:rPr>
                <w:rFonts w:ascii="宋体"/>
              </w:rPr>
            </w:pPr>
          </w:p>
        </w:tc>
        <w:tc>
          <w:tcPr>
            <w:tcW w:w="0" w:type="auto"/>
            <w:shd w:val="clear" w:color="auto" w:fill="auto"/>
          </w:tcPr>
          <w:p w14:paraId="33DAD0DF" w14:textId="77777777" w:rsidR="004D6A64" w:rsidRDefault="004D6A64">
            <w:pPr>
              <w:rPr>
                <w:rFonts w:ascii="宋体"/>
              </w:rPr>
            </w:pPr>
          </w:p>
        </w:tc>
        <w:tc>
          <w:tcPr>
            <w:tcW w:w="0" w:type="auto"/>
            <w:shd w:val="clear" w:color="auto" w:fill="auto"/>
          </w:tcPr>
          <w:p w14:paraId="33DAD0E0" w14:textId="77777777" w:rsidR="004D6A64" w:rsidRDefault="004D6A64">
            <w:pPr>
              <w:rPr>
                <w:rFonts w:ascii="宋体"/>
              </w:rPr>
            </w:pPr>
          </w:p>
        </w:tc>
        <w:tc>
          <w:tcPr>
            <w:tcW w:w="0" w:type="auto"/>
            <w:shd w:val="clear" w:color="auto" w:fill="auto"/>
          </w:tcPr>
          <w:p w14:paraId="33DAD0E1" w14:textId="77777777" w:rsidR="004D6A64" w:rsidRDefault="004D6A64">
            <w:pPr>
              <w:rPr>
                <w:rFonts w:ascii="宋体"/>
              </w:rPr>
            </w:pPr>
          </w:p>
        </w:tc>
        <w:tc>
          <w:tcPr>
            <w:tcW w:w="0" w:type="auto"/>
            <w:shd w:val="clear" w:color="auto" w:fill="auto"/>
          </w:tcPr>
          <w:p w14:paraId="33DAD0E2" w14:textId="77777777" w:rsidR="004D6A64" w:rsidRDefault="004D6A64">
            <w:pPr>
              <w:rPr>
                <w:rFonts w:ascii="宋体"/>
              </w:rPr>
            </w:pPr>
          </w:p>
        </w:tc>
        <w:tc>
          <w:tcPr>
            <w:tcW w:w="0" w:type="auto"/>
            <w:shd w:val="clear" w:color="auto" w:fill="auto"/>
          </w:tcPr>
          <w:p w14:paraId="33DAD0E3" w14:textId="77777777" w:rsidR="004D6A64" w:rsidRDefault="004D6A64">
            <w:pPr>
              <w:rPr>
                <w:rFonts w:ascii="宋体"/>
              </w:rPr>
            </w:pPr>
          </w:p>
        </w:tc>
        <w:tc>
          <w:tcPr>
            <w:tcW w:w="0" w:type="auto"/>
            <w:shd w:val="clear" w:color="auto" w:fill="auto"/>
          </w:tcPr>
          <w:p w14:paraId="33DAD0E4" w14:textId="77777777" w:rsidR="004D6A64" w:rsidRDefault="004D6A64">
            <w:pPr>
              <w:rPr>
                <w:rFonts w:ascii="宋体"/>
              </w:rPr>
            </w:pPr>
          </w:p>
        </w:tc>
        <w:tc>
          <w:tcPr>
            <w:tcW w:w="0" w:type="auto"/>
            <w:shd w:val="clear" w:color="auto" w:fill="auto"/>
          </w:tcPr>
          <w:p w14:paraId="33DAD0E5" w14:textId="77777777" w:rsidR="004D6A64" w:rsidRDefault="004D6A64">
            <w:pPr>
              <w:rPr>
                <w:rFonts w:ascii="宋体"/>
              </w:rPr>
            </w:pPr>
          </w:p>
        </w:tc>
        <w:tc>
          <w:tcPr>
            <w:tcW w:w="0" w:type="auto"/>
            <w:shd w:val="clear" w:color="auto" w:fill="auto"/>
          </w:tcPr>
          <w:p w14:paraId="33DAD0E6" w14:textId="77777777" w:rsidR="004D6A64" w:rsidRDefault="004D6A64">
            <w:pPr>
              <w:rPr>
                <w:rFonts w:ascii="宋体"/>
              </w:rPr>
            </w:pPr>
          </w:p>
        </w:tc>
        <w:tc>
          <w:tcPr>
            <w:tcW w:w="0" w:type="auto"/>
            <w:shd w:val="clear" w:color="auto" w:fill="auto"/>
          </w:tcPr>
          <w:p w14:paraId="33DAD0E7" w14:textId="77777777" w:rsidR="004D6A64" w:rsidRDefault="004D6A64">
            <w:pPr>
              <w:rPr>
                <w:rFonts w:ascii="宋体"/>
              </w:rPr>
            </w:pPr>
          </w:p>
        </w:tc>
        <w:tc>
          <w:tcPr>
            <w:tcW w:w="0" w:type="auto"/>
            <w:shd w:val="clear" w:color="auto" w:fill="auto"/>
          </w:tcPr>
          <w:p w14:paraId="33DAD0E8" w14:textId="77777777" w:rsidR="004D6A64" w:rsidRDefault="004D6A64">
            <w:pPr>
              <w:rPr>
                <w:rFonts w:ascii="宋体"/>
              </w:rPr>
            </w:pPr>
          </w:p>
        </w:tc>
        <w:tc>
          <w:tcPr>
            <w:tcW w:w="0" w:type="auto"/>
            <w:shd w:val="clear" w:color="auto" w:fill="auto"/>
          </w:tcPr>
          <w:p w14:paraId="33DAD0E9" w14:textId="77777777" w:rsidR="004D6A64" w:rsidRDefault="004D6A64">
            <w:pPr>
              <w:rPr>
                <w:rFonts w:ascii="宋体"/>
              </w:rPr>
            </w:pPr>
          </w:p>
        </w:tc>
      </w:tr>
    </w:tbl>
    <w:p w14:paraId="33DAD0EB" w14:textId="77777777" w:rsidR="004D6A64" w:rsidRDefault="00506CD6">
      <w:r>
        <w:rPr>
          <w:rFonts w:ascii="Times New Roman" w:eastAsia="宋体" w:hAnsi="Times New Roman"/>
          <w:color w:val="000000"/>
          <w:sz w:val="20"/>
          <w:szCs w:val="20"/>
        </w:rPr>
        <w:t>____________________</w:t>
      </w:r>
    </w:p>
    <w:p w14:paraId="33DAD0EC" w14:textId="77777777" w:rsidR="004D6A64" w:rsidRDefault="00506CD6">
      <w:pPr>
        <w:pBdr>
          <w:left w:val="none" w:sz="0" w:space="0" w:color="auto"/>
        </w:pBdr>
        <w:ind w:hanging="360"/>
      </w:pPr>
      <w:r>
        <w:rPr>
          <w:rFonts w:ascii="Times New Roman" w:eastAsia="宋体" w:hAnsi="Times New Roman"/>
          <w:color w:val="000000"/>
          <w:sz w:val="20"/>
          <w:szCs w:val="20"/>
        </w:rPr>
        <w:t>(a)The incremental dilution from VMware, Inc. represents the impact of VMware, Inc.’s dilutive securities on diluted earnin</w:t>
      </w:r>
      <w:r>
        <w:rPr>
          <w:rFonts w:ascii="Times New Roman" w:eastAsia="宋体" w:hAnsi="Times New Roman"/>
          <w:color w:val="000000"/>
          <w:sz w:val="20"/>
          <w:szCs w:val="20"/>
        </w:rPr>
        <w:t>gs per share of Dell Technologies Common Stock, and is calculated by multiplying the difference between VMware, Inc.’s basic and diluted earnings per share by the number of shares of VMware, Inc. common stock held by the Company. For the three and six mont</w:t>
      </w:r>
      <w:r>
        <w:rPr>
          <w:rFonts w:ascii="Times New Roman" w:eastAsia="宋体" w:hAnsi="Times New Roman"/>
          <w:color w:val="000000"/>
          <w:sz w:val="20"/>
          <w:szCs w:val="20"/>
        </w:rPr>
        <w:t>hs ended August 2, 2019, the incremental dilution from VMware, Inc. was calculated by the Company without regard to VMware, Inc.’s required retrospective adjustments for the Pivotal acquisition in its stand-alone financial statements, and there was no incr</w:t>
      </w:r>
      <w:r>
        <w:rPr>
          <w:rFonts w:ascii="Times New Roman" w:eastAsia="宋体" w:hAnsi="Times New Roman"/>
          <w:color w:val="000000"/>
          <w:sz w:val="20"/>
          <w:szCs w:val="20"/>
        </w:rPr>
        <w:t>emental dilution from Pivotal due to its net loss position. For both periods presented, there was no incremental dilution from Secureworks due to its net loss position.</w:t>
      </w:r>
    </w:p>
    <w:p w14:paraId="33DAD0ED" w14:textId="77777777" w:rsidR="004D6A64" w:rsidRDefault="004D6A64"/>
    <w:p w14:paraId="33DAD0EE" w14:textId="77777777" w:rsidR="004D6A64" w:rsidRDefault="004D6A64">
      <w:pPr>
        <w:jc w:val="center"/>
      </w:pPr>
    </w:p>
    <w:p w14:paraId="33DAD0EF" w14:textId="77777777" w:rsidR="004D6A64" w:rsidRDefault="00506CD6">
      <w:pPr>
        <w:jc w:val="center"/>
      </w:pPr>
      <w:r>
        <w:rPr>
          <w:rFonts w:ascii="Times New Roman" w:eastAsia="宋体" w:hAnsi="Times New Roman"/>
          <w:color w:val="000000"/>
          <w:sz w:val="20"/>
          <w:szCs w:val="20"/>
        </w:rPr>
        <w:t>56</w:t>
      </w:r>
    </w:p>
    <w:p w14:paraId="33DAD0F0" w14:textId="77777777" w:rsidR="004D6A64" w:rsidRDefault="004D6A64">
      <w:pPr>
        <w:jc w:val="center"/>
      </w:pPr>
    </w:p>
    <w:p w14:paraId="33DAD0F1" w14:textId="77777777" w:rsidR="004D6A64" w:rsidRDefault="00506CD6">
      <w:r>
        <w:pict w14:anchorId="33DAFAFC">
          <v:rect id="_x0000_i1080" style="width:415.3pt;height:1.5pt" o:hralign="center" o:hrstd="t" o:hr="t" fillcolor="#a0a0a0" stroked="f"/>
        </w:pict>
      </w:r>
    </w:p>
    <w:p w14:paraId="33DAD0F2" w14:textId="77777777" w:rsidR="004D6A64" w:rsidRDefault="00506CD6">
      <w:hyperlink r:id="rId179" w:anchor="if3e0e1bf9ecd4bf69551d7a85f98d64a_10" w:history="1">
        <w:r>
          <w:rPr>
            <w:rStyle w:val="a5"/>
            <w:rFonts w:ascii="Times New Roman" w:eastAsia="宋体" w:hAnsi="Times New Roman"/>
            <w:sz w:val="20"/>
            <w:szCs w:val="20"/>
          </w:rPr>
          <w:t>Table of Contents</w:t>
        </w:r>
      </w:hyperlink>
    </w:p>
    <w:p w14:paraId="33DAD0F3"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D0F4"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33DAD0F5"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D0F6" w14:textId="77777777" w:rsidR="004D6A64" w:rsidRDefault="004D6A64">
      <w:pPr>
        <w:jc w:val="center"/>
      </w:pPr>
    </w:p>
    <w:p w14:paraId="33DAD0F7" w14:textId="77777777" w:rsidR="004D6A64" w:rsidRDefault="00506CD6">
      <w:r>
        <w:rPr>
          <w:rFonts w:ascii="Times New Roman" w:eastAsia="宋体" w:hAnsi="Times New Roman"/>
          <w:b/>
          <w:bCs/>
          <w:color w:val="000000"/>
          <w:sz w:val="20"/>
          <w:szCs w:val="20"/>
        </w:rPr>
        <w:t>NOTE 16</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 xml:space="preserve">— REDEEMABLE SHARES </w:t>
      </w:r>
    </w:p>
    <w:p w14:paraId="33DAD0F8" w14:textId="77777777" w:rsidR="004D6A64" w:rsidRDefault="004D6A64"/>
    <w:p w14:paraId="33DAD0F9" w14:textId="77777777" w:rsidR="004D6A64" w:rsidRDefault="00506CD6">
      <w:r>
        <w:rPr>
          <w:rFonts w:ascii="Times New Roman" w:eastAsia="宋体" w:hAnsi="Times New Roman"/>
          <w:color w:val="000000"/>
          <w:sz w:val="20"/>
          <w:szCs w:val="20"/>
        </w:rPr>
        <w:t xml:space="preserve">Awards under the </w:t>
      </w:r>
      <w:r>
        <w:rPr>
          <w:rFonts w:ascii="Times New Roman" w:eastAsia="宋体" w:hAnsi="Times New Roman"/>
          <w:color w:val="000000"/>
          <w:sz w:val="20"/>
          <w:szCs w:val="20"/>
        </w:rPr>
        <w:t>Company’s stock incentive plans include certain rights that allow the holder to exercise a put feature for the underlying Class A or Class C Common Stock after a six month holding period following the issuance of such common stock. The put feature requires</w:t>
      </w:r>
      <w:r>
        <w:rPr>
          <w:rFonts w:ascii="Times New Roman" w:eastAsia="宋体" w:hAnsi="Times New Roman"/>
          <w:color w:val="000000"/>
          <w:sz w:val="20"/>
          <w:szCs w:val="20"/>
        </w:rPr>
        <w:t xml:space="preserve"> the Company to purchase the stock at its fair market value. Accordingly, these awards and such common stock are subject to reclassification from equity to temporary equity, and the Company determines the award amounts to be classified as temporary equity </w:t>
      </w:r>
      <w:r>
        <w:rPr>
          <w:rFonts w:ascii="Times New Roman" w:eastAsia="宋体" w:hAnsi="Times New Roman"/>
          <w:color w:val="000000"/>
          <w:sz w:val="20"/>
          <w:szCs w:val="20"/>
        </w:rPr>
        <w:t>as follows:</w:t>
      </w:r>
    </w:p>
    <w:p w14:paraId="33DAD0FA" w14:textId="77777777" w:rsidR="004D6A64" w:rsidRDefault="004D6A64"/>
    <w:p w14:paraId="33DAD0FB" w14:textId="77777777" w:rsidR="004D6A64" w:rsidRDefault="00506CD6">
      <w:pPr>
        <w:pBdr>
          <w:left w:val="none" w:sz="0" w:space="0" w:color="auto"/>
        </w:pBdr>
        <w:ind w:hanging="360"/>
      </w:pPr>
      <w:r>
        <w:rPr>
          <w:rFonts w:ascii="Times New Roman" w:eastAsia="宋体" w:hAnsi="Times New Roman"/>
          <w:color w:val="000000"/>
          <w:sz w:val="20"/>
          <w:szCs w:val="20"/>
        </w:rPr>
        <w:t>•For stock options to purchase Class C Common Stock subject to service requirements, the intrinsic value of the option is multiplied by the portion of the option for which services have been rendered. Upon exercise of the option, the amount in</w:t>
      </w:r>
      <w:r>
        <w:rPr>
          <w:rFonts w:ascii="Times New Roman" w:eastAsia="宋体" w:hAnsi="Times New Roman"/>
          <w:color w:val="000000"/>
          <w:sz w:val="20"/>
          <w:szCs w:val="20"/>
        </w:rPr>
        <w:t xml:space="preserve"> temporary equity represents the fair value of the Class C Common Stock.</w:t>
      </w:r>
    </w:p>
    <w:p w14:paraId="33DAD0FC" w14:textId="77777777" w:rsidR="004D6A64" w:rsidRDefault="004D6A64">
      <w:pPr>
        <w:pBdr>
          <w:left w:val="none" w:sz="0" w:space="0" w:color="auto"/>
        </w:pBdr>
      </w:pPr>
    </w:p>
    <w:p w14:paraId="33DAD0FD" w14:textId="77777777" w:rsidR="004D6A64" w:rsidRDefault="00506CD6">
      <w:pPr>
        <w:pBdr>
          <w:left w:val="none" w:sz="0" w:space="0" w:color="auto"/>
        </w:pBdr>
        <w:ind w:hanging="360"/>
      </w:pPr>
      <w:r>
        <w:rPr>
          <w:rFonts w:ascii="Times New Roman" w:eastAsia="宋体" w:hAnsi="Times New Roman"/>
          <w:color w:val="000000"/>
          <w:sz w:val="20"/>
          <w:szCs w:val="20"/>
        </w:rPr>
        <w:t>•For stock appreciation rights, restricted stock units (“RSUs”), or restricted stock awards (“RSAs”), any of which stock award types are subject to service requirements, the fair val</w:t>
      </w:r>
      <w:r>
        <w:rPr>
          <w:rFonts w:ascii="Times New Roman" w:eastAsia="宋体" w:hAnsi="Times New Roman"/>
          <w:color w:val="000000"/>
          <w:sz w:val="20"/>
          <w:szCs w:val="20"/>
        </w:rPr>
        <w:t>ue of the share is multiplied by the portion of the share for which services have been rendered.</w:t>
      </w:r>
    </w:p>
    <w:p w14:paraId="33DAD0FE" w14:textId="77777777" w:rsidR="004D6A64" w:rsidRDefault="004D6A64">
      <w:pPr>
        <w:pBdr>
          <w:left w:val="none" w:sz="0" w:space="0" w:color="auto"/>
        </w:pBdr>
      </w:pPr>
    </w:p>
    <w:p w14:paraId="33DAD0FF" w14:textId="77777777" w:rsidR="004D6A64" w:rsidRDefault="00506CD6">
      <w:pPr>
        <w:pBdr>
          <w:left w:val="none" w:sz="0" w:space="0" w:color="auto"/>
        </w:pBdr>
        <w:ind w:hanging="360"/>
      </w:pPr>
      <w:r>
        <w:rPr>
          <w:rFonts w:ascii="Times New Roman" w:eastAsia="宋体" w:hAnsi="Times New Roman"/>
          <w:color w:val="000000"/>
          <w:sz w:val="20"/>
          <w:szCs w:val="20"/>
        </w:rPr>
        <w:t>•For share-based arrangements that are subject to the occurrence of a contingent event, those amounts are reclassified to temporary equity based on a probabil</w:t>
      </w:r>
      <w:r>
        <w:rPr>
          <w:rFonts w:ascii="Times New Roman" w:eastAsia="宋体" w:hAnsi="Times New Roman"/>
          <w:color w:val="000000"/>
          <w:sz w:val="20"/>
          <w:szCs w:val="20"/>
        </w:rPr>
        <w:t>ity assessment performed by the Company on a periodic basis. Contingent events include the achievement of performance-based metrics.</w:t>
      </w:r>
    </w:p>
    <w:p w14:paraId="33DAD100" w14:textId="77777777" w:rsidR="004D6A64" w:rsidRDefault="004D6A64">
      <w:pPr>
        <w:pBdr>
          <w:left w:val="none" w:sz="0" w:space="0" w:color="auto"/>
        </w:pBdr>
      </w:pPr>
    </w:p>
    <w:p w14:paraId="33DAD101" w14:textId="77777777" w:rsidR="004D6A64" w:rsidRDefault="00506CD6">
      <w:r>
        <w:rPr>
          <w:rFonts w:ascii="Times New Roman" w:eastAsia="宋体" w:hAnsi="Times New Roman"/>
          <w:color w:val="000000"/>
          <w:sz w:val="20"/>
          <w:szCs w:val="20"/>
        </w:rPr>
        <w:t>In connection with the Class V transaction described in Note 1 of the Notes to the Condensed Consolidated Financial Statem</w:t>
      </w:r>
      <w:r>
        <w:rPr>
          <w:rFonts w:ascii="Times New Roman" w:eastAsia="宋体" w:hAnsi="Times New Roman"/>
          <w:color w:val="000000"/>
          <w:sz w:val="20"/>
          <w:szCs w:val="20"/>
        </w:rPr>
        <w:t>ents, the put feature provisions were amended to provide that the put feature applicable to transfers of Dell Technologies securities will terminate upon the earlier of two years after the expiration on June 27, 2019 of the post-transaction lock-up or cons</w:t>
      </w:r>
      <w:r>
        <w:rPr>
          <w:rFonts w:ascii="Times New Roman" w:eastAsia="宋体" w:hAnsi="Times New Roman"/>
          <w:color w:val="000000"/>
          <w:sz w:val="20"/>
          <w:szCs w:val="20"/>
        </w:rPr>
        <w:t>ummation of any underwritten public offering of shares of Class C Common Stock.</w:t>
      </w:r>
    </w:p>
    <w:p w14:paraId="33DAD102" w14:textId="77777777" w:rsidR="004D6A64" w:rsidRDefault="004D6A64"/>
    <w:p w14:paraId="33DAD103" w14:textId="77777777" w:rsidR="004D6A64" w:rsidRDefault="00506CD6">
      <w:r>
        <w:rPr>
          <w:rFonts w:ascii="Times New Roman" w:eastAsia="宋体" w:hAnsi="Times New Roman"/>
          <w:color w:val="000000"/>
          <w:sz w:val="20"/>
          <w:szCs w:val="20"/>
        </w:rPr>
        <w:t>The following table presents the amount of redeemable shares classified as temporary equity and summarizes the award type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738"/>
        <w:gridCol w:w="36"/>
        <w:gridCol w:w="135"/>
        <w:gridCol w:w="1424"/>
        <w:gridCol w:w="41"/>
        <w:gridCol w:w="36"/>
        <w:gridCol w:w="36"/>
        <w:gridCol w:w="36"/>
        <w:gridCol w:w="136"/>
        <w:gridCol w:w="1424"/>
        <w:gridCol w:w="41"/>
        <w:gridCol w:w="36"/>
        <w:gridCol w:w="36"/>
        <w:gridCol w:w="36"/>
        <w:gridCol w:w="36"/>
        <w:gridCol w:w="36"/>
        <w:gridCol w:w="36"/>
      </w:tblGrid>
      <w:tr w:rsidR="004D6A64" w14:paraId="33DAD110" w14:textId="77777777">
        <w:trPr>
          <w:gridAfter w:val="6"/>
        </w:trPr>
        <w:tc>
          <w:tcPr>
            <w:tcW w:w="50" w:type="pct"/>
            <w:shd w:val="clear" w:color="auto" w:fill="auto"/>
          </w:tcPr>
          <w:p w14:paraId="33DAD104" w14:textId="77777777" w:rsidR="004D6A64" w:rsidRDefault="004D6A64">
            <w:pPr>
              <w:rPr>
                <w:rFonts w:ascii="宋体"/>
              </w:rPr>
            </w:pPr>
          </w:p>
        </w:tc>
        <w:tc>
          <w:tcPr>
            <w:tcW w:w="2971" w:type="pct"/>
            <w:shd w:val="clear" w:color="auto" w:fill="auto"/>
          </w:tcPr>
          <w:p w14:paraId="33DAD105" w14:textId="77777777" w:rsidR="004D6A64" w:rsidRDefault="004D6A64">
            <w:pPr>
              <w:rPr>
                <w:rFonts w:ascii="宋体"/>
              </w:rPr>
            </w:pPr>
          </w:p>
        </w:tc>
        <w:tc>
          <w:tcPr>
            <w:tcW w:w="5" w:type="pct"/>
            <w:shd w:val="clear" w:color="auto" w:fill="auto"/>
          </w:tcPr>
          <w:p w14:paraId="33DAD106" w14:textId="77777777" w:rsidR="004D6A64" w:rsidRDefault="004D6A64">
            <w:pPr>
              <w:rPr>
                <w:rFonts w:ascii="宋体"/>
              </w:rPr>
            </w:pPr>
          </w:p>
        </w:tc>
        <w:tc>
          <w:tcPr>
            <w:tcW w:w="50" w:type="pct"/>
            <w:shd w:val="clear" w:color="auto" w:fill="auto"/>
          </w:tcPr>
          <w:p w14:paraId="33DAD107" w14:textId="77777777" w:rsidR="004D6A64" w:rsidRDefault="004D6A64">
            <w:pPr>
              <w:rPr>
                <w:rFonts w:ascii="宋体"/>
              </w:rPr>
            </w:pPr>
          </w:p>
        </w:tc>
        <w:tc>
          <w:tcPr>
            <w:tcW w:w="917" w:type="pct"/>
            <w:shd w:val="clear" w:color="auto" w:fill="auto"/>
          </w:tcPr>
          <w:p w14:paraId="33DAD108" w14:textId="77777777" w:rsidR="004D6A64" w:rsidRDefault="004D6A64">
            <w:pPr>
              <w:rPr>
                <w:rFonts w:ascii="宋体"/>
              </w:rPr>
            </w:pPr>
          </w:p>
        </w:tc>
        <w:tc>
          <w:tcPr>
            <w:tcW w:w="5" w:type="pct"/>
            <w:shd w:val="clear" w:color="auto" w:fill="auto"/>
          </w:tcPr>
          <w:p w14:paraId="33DAD109" w14:textId="77777777" w:rsidR="004D6A64" w:rsidRDefault="004D6A64">
            <w:pPr>
              <w:rPr>
                <w:rFonts w:ascii="宋体"/>
              </w:rPr>
            </w:pPr>
          </w:p>
        </w:tc>
        <w:tc>
          <w:tcPr>
            <w:tcW w:w="5" w:type="pct"/>
            <w:shd w:val="clear" w:color="auto" w:fill="auto"/>
          </w:tcPr>
          <w:p w14:paraId="33DAD10A" w14:textId="77777777" w:rsidR="004D6A64" w:rsidRDefault="004D6A64">
            <w:pPr>
              <w:rPr>
                <w:rFonts w:ascii="宋体"/>
              </w:rPr>
            </w:pPr>
          </w:p>
        </w:tc>
        <w:tc>
          <w:tcPr>
            <w:tcW w:w="19" w:type="pct"/>
            <w:shd w:val="clear" w:color="auto" w:fill="auto"/>
          </w:tcPr>
          <w:p w14:paraId="33DAD10B" w14:textId="77777777" w:rsidR="004D6A64" w:rsidRDefault="004D6A64">
            <w:pPr>
              <w:rPr>
                <w:rFonts w:ascii="宋体"/>
              </w:rPr>
            </w:pPr>
          </w:p>
        </w:tc>
        <w:tc>
          <w:tcPr>
            <w:tcW w:w="5" w:type="pct"/>
            <w:shd w:val="clear" w:color="auto" w:fill="auto"/>
          </w:tcPr>
          <w:p w14:paraId="33DAD10C" w14:textId="77777777" w:rsidR="004D6A64" w:rsidRDefault="004D6A64">
            <w:pPr>
              <w:rPr>
                <w:rFonts w:ascii="宋体"/>
              </w:rPr>
            </w:pPr>
          </w:p>
        </w:tc>
        <w:tc>
          <w:tcPr>
            <w:tcW w:w="50" w:type="pct"/>
            <w:shd w:val="clear" w:color="auto" w:fill="auto"/>
          </w:tcPr>
          <w:p w14:paraId="33DAD10D" w14:textId="77777777" w:rsidR="004D6A64" w:rsidRDefault="004D6A64">
            <w:pPr>
              <w:rPr>
                <w:rFonts w:ascii="宋体"/>
              </w:rPr>
            </w:pPr>
          </w:p>
        </w:tc>
        <w:tc>
          <w:tcPr>
            <w:tcW w:w="917" w:type="pct"/>
            <w:shd w:val="clear" w:color="auto" w:fill="auto"/>
          </w:tcPr>
          <w:p w14:paraId="33DAD10E" w14:textId="77777777" w:rsidR="004D6A64" w:rsidRDefault="004D6A64">
            <w:pPr>
              <w:rPr>
                <w:rFonts w:ascii="宋体"/>
              </w:rPr>
            </w:pPr>
          </w:p>
        </w:tc>
        <w:tc>
          <w:tcPr>
            <w:tcW w:w="5" w:type="pct"/>
            <w:shd w:val="clear" w:color="auto" w:fill="auto"/>
          </w:tcPr>
          <w:p w14:paraId="33DAD10F" w14:textId="77777777" w:rsidR="004D6A64" w:rsidRDefault="004D6A64">
            <w:pPr>
              <w:rPr>
                <w:rFonts w:ascii="宋体"/>
              </w:rPr>
            </w:pPr>
          </w:p>
        </w:tc>
      </w:tr>
      <w:tr w:rsidR="004D6A64" w14:paraId="33DAD115" w14:textId="77777777">
        <w:trPr>
          <w:gridAfter w:val="6"/>
        </w:trPr>
        <w:tc>
          <w:tcPr>
            <w:tcW w:w="0" w:type="auto"/>
            <w:gridSpan w:val="3"/>
            <w:shd w:val="clear" w:color="auto" w:fill="auto"/>
            <w:tcMar>
              <w:left w:w="20" w:type="dxa"/>
              <w:right w:w="20" w:type="dxa"/>
            </w:tcMar>
            <w:vAlign w:val="bottom"/>
          </w:tcPr>
          <w:p w14:paraId="33DAD111"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D112" w14:textId="77777777" w:rsidR="004D6A64" w:rsidRDefault="00506CD6">
            <w:pPr>
              <w:jc w:val="center"/>
              <w:textAlignment w:val="bottom"/>
            </w:pPr>
            <w:r>
              <w:rPr>
                <w:rFonts w:ascii="Times New Roman" w:eastAsia="宋体" w:hAnsi="Times New Roman"/>
                <w:b/>
                <w:bCs/>
                <w:color w:val="000000"/>
                <w:sz w:val="20"/>
                <w:szCs w:val="20"/>
              </w:rPr>
              <w:t xml:space="preserve">July 31, </w:t>
            </w:r>
            <w:r>
              <w:rPr>
                <w:rFonts w:ascii="Times New Roman" w:eastAsia="宋体" w:hAnsi="Times New Roman"/>
                <w:b/>
                <w:bCs/>
                <w:color w:val="000000"/>
                <w:sz w:val="20"/>
                <w:szCs w:val="20"/>
              </w:rPr>
              <w:t>2020</w:t>
            </w:r>
          </w:p>
        </w:tc>
        <w:tc>
          <w:tcPr>
            <w:tcW w:w="0" w:type="auto"/>
            <w:gridSpan w:val="3"/>
            <w:shd w:val="clear" w:color="auto" w:fill="auto"/>
            <w:tcMar>
              <w:left w:w="20" w:type="dxa"/>
              <w:right w:w="20" w:type="dxa"/>
            </w:tcMar>
            <w:vAlign w:val="bottom"/>
          </w:tcPr>
          <w:p w14:paraId="33DAD113" w14:textId="77777777" w:rsidR="004D6A64" w:rsidRDefault="004D6A6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3DAD114" w14:textId="77777777" w:rsidR="004D6A64" w:rsidRDefault="00506CD6">
            <w:pPr>
              <w:jc w:val="center"/>
              <w:textAlignment w:val="bottom"/>
            </w:pPr>
            <w:r>
              <w:rPr>
                <w:rFonts w:ascii="Times New Roman" w:eastAsia="宋体" w:hAnsi="Times New Roman"/>
                <w:b/>
                <w:bCs/>
                <w:color w:val="000000"/>
                <w:sz w:val="20"/>
                <w:szCs w:val="20"/>
              </w:rPr>
              <w:t>January 31, 2020</w:t>
            </w:r>
          </w:p>
        </w:tc>
      </w:tr>
      <w:tr w:rsidR="004D6A64" w14:paraId="33DAD11A" w14:textId="77777777">
        <w:tc>
          <w:tcPr>
            <w:tcW w:w="0" w:type="auto"/>
            <w:gridSpan w:val="3"/>
            <w:shd w:val="clear" w:color="auto" w:fill="auto"/>
            <w:tcMar>
              <w:left w:w="20" w:type="dxa"/>
              <w:right w:w="20" w:type="dxa"/>
            </w:tcMar>
            <w:vAlign w:val="bottom"/>
          </w:tcPr>
          <w:p w14:paraId="33DAD116" w14:textId="77777777" w:rsidR="004D6A64" w:rsidRDefault="004D6A6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33DAD117" w14:textId="77777777" w:rsidR="004D6A64" w:rsidRDefault="00506CD6">
            <w:pPr>
              <w:jc w:val="center"/>
              <w:textAlignment w:val="center"/>
            </w:pPr>
            <w:r>
              <w:rPr>
                <w:rFonts w:ascii="Times New Roman" w:eastAsia="宋体" w:hAnsi="Times New Roman"/>
                <w:color w:val="000000"/>
                <w:sz w:val="20"/>
                <w:szCs w:val="20"/>
              </w:rPr>
              <w:t>(in millions)</w:t>
            </w:r>
          </w:p>
        </w:tc>
        <w:tc>
          <w:tcPr>
            <w:tcW w:w="0" w:type="auto"/>
            <w:gridSpan w:val="3"/>
            <w:shd w:val="clear" w:color="auto" w:fill="auto"/>
          </w:tcPr>
          <w:p w14:paraId="33DAD118" w14:textId="77777777" w:rsidR="004D6A64" w:rsidRDefault="004D6A64">
            <w:pPr>
              <w:rPr>
                <w:rFonts w:ascii="宋体"/>
                <w:vanish/>
              </w:rPr>
            </w:pPr>
          </w:p>
        </w:tc>
        <w:tc>
          <w:tcPr>
            <w:tcW w:w="0" w:type="auto"/>
            <w:gridSpan w:val="3"/>
            <w:shd w:val="clear" w:color="auto" w:fill="auto"/>
          </w:tcPr>
          <w:p w14:paraId="33DAD119" w14:textId="77777777" w:rsidR="004D6A64" w:rsidRDefault="004D6A64">
            <w:pPr>
              <w:rPr>
                <w:rFonts w:ascii="宋体"/>
                <w:vanish/>
              </w:rPr>
            </w:pPr>
          </w:p>
        </w:tc>
      </w:tr>
      <w:tr w:rsidR="004D6A64" w14:paraId="33DAD129" w14:textId="77777777">
        <w:tc>
          <w:tcPr>
            <w:tcW w:w="0" w:type="auto"/>
            <w:gridSpan w:val="3"/>
            <w:shd w:val="clear" w:color="auto" w:fill="CCEEFF"/>
            <w:tcMar>
              <w:top w:w="40" w:type="dxa"/>
              <w:left w:w="20" w:type="dxa"/>
              <w:bottom w:w="40" w:type="dxa"/>
              <w:right w:w="20" w:type="dxa"/>
            </w:tcMar>
            <w:vAlign w:val="center"/>
          </w:tcPr>
          <w:p w14:paraId="33DAD11B" w14:textId="77777777" w:rsidR="004D6A64" w:rsidRDefault="00506CD6">
            <w:pPr>
              <w:textAlignment w:val="center"/>
            </w:pPr>
            <w:r>
              <w:rPr>
                <w:rFonts w:ascii="Times New Roman" w:eastAsia="宋体" w:hAnsi="Times New Roman"/>
                <w:color w:val="000000"/>
                <w:sz w:val="20"/>
                <w:szCs w:val="20"/>
              </w:rPr>
              <w:t>Redeemable shares classified as temporary equity</w:t>
            </w:r>
          </w:p>
        </w:tc>
        <w:tc>
          <w:tcPr>
            <w:tcW w:w="0" w:type="auto"/>
            <w:shd w:val="clear" w:color="auto" w:fill="CCEEFF"/>
            <w:tcMar>
              <w:top w:w="40" w:type="dxa"/>
              <w:left w:w="20" w:type="dxa"/>
              <w:bottom w:w="40" w:type="dxa"/>
            </w:tcMar>
            <w:vAlign w:val="center"/>
          </w:tcPr>
          <w:p w14:paraId="33DAD11C"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D11D" w14:textId="77777777" w:rsidR="004D6A64" w:rsidRDefault="00506CD6">
            <w:pPr>
              <w:jc w:val="right"/>
              <w:textAlignment w:val="center"/>
            </w:pPr>
            <w:r>
              <w:rPr>
                <w:rFonts w:ascii="Times New Roman" w:eastAsia="宋体" w:hAnsi="Times New Roman"/>
                <w:color w:val="000000"/>
                <w:sz w:val="20"/>
                <w:szCs w:val="20"/>
              </w:rPr>
              <w:t>610 </w:t>
            </w:r>
          </w:p>
        </w:tc>
        <w:tc>
          <w:tcPr>
            <w:tcW w:w="0" w:type="auto"/>
            <w:shd w:val="clear" w:color="auto" w:fill="CCEEFF"/>
            <w:tcMar>
              <w:top w:w="40" w:type="dxa"/>
              <w:bottom w:w="40" w:type="dxa"/>
              <w:right w:w="20" w:type="dxa"/>
            </w:tcMar>
            <w:vAlign w:val="center"/>
          </w:tcPr>
          <w:p w14:paraId="33DAD11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11F"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D120"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D121" w14:textId="77777777" w:rsidR="004D6A64" w:rsidRDefault="00506CD6">
            <w:pPr>
              <w:jc w:val="right"/>
              <w:textAlignment w:val="center"/>
            </w:pPr>
            <w:r>
              <w:rPr>
                <w:rFonts w:ascii="Times New Roman" w:eastAsia="宋体" w:hAnsi="Times New Roman"/>
                <w:color w:val="000000"/>
                <w:sz w:val="20"/>
                <w:szCs w:val="20"/>
              </w:rPr>
              <w:t>629 </w:t>
            </w:r>
          </w:p>
        </w:tc>
        <w:tc>
          <w:tcPr>
            <w:tcW w:w="0" w:type="auto"/>
            <w:shd w:val="clear" w:color="auto" w:fill="CCEEFF"/>
            <w:tcMar>
              <w:top w:w="40" w:type="dxa"/>
              <w:bottom w:w="40" w:type="dxa"/>
              <w:right w:w="20" w:type="dxa"/>
            </w:tcMar>
            <w:vAlign w:val="center"/>
          </w:tcPr>
          <w:p w14:paraId="33DAD122" w14:textId="77777777" w:rsidR="004D6A64" w:rsidRDefault="004D6A64">
            <w:pPr>
              <w:jc w:val="right"/>
              <w:rPr>
                <w:rFonts w:ascii="宋体"/>
              </w:rPr>
            </w:pPr>
          </w:p>
        </w:tc>
        <w:tc>
          <w:tcPr>
            <w:tcW w:w="0" w:type="auto"/>
            <w:shd w:val="clear" w:color="auto" w:fill="auto"/>
          </w:tcPr>
          <w:p w14:paraId="33DAD123" w14:textId="77777777" w:rsidR="004D6A64" w:rsidRDefault="004D6A64">
            <w:pPr>
              <w:rPr>
                <w:rFonts w:ascii="宋体"/>
              </w:rPr>
            </w:pPr>
          </w:p>
        </w:tc>
        <w:tc>
          <w:tcPr>
            <w:tcW w:w="0" w:type="auto"/>
            <w:shd w:val="clear" w:color="auto" w:fill="auto"/>
          </w:tcPr>
          <w:p w14:paraId="33DAD124" w14:textId="77777777" w:rsidR="004D6A64" w:rsidRDefault="004D6A64">
            <w:pPr>
              <w:rPr>
                <w:rFonts w:ascii="宋体"/>
              </w:rPr>
            </w:pPr>
          </w:p>
        </w:tc>
        <w:tc>
          <w:tcPr>
            <w:tcW w:w="0" w:type="auto"/>
            <w:shd w:val="clear" w:color="auto" w:fill="auto"/>
          </w:tcPr>
          <w:p w14:paraId="33DAD125" w14:textId="77777777" w:rsidR="004D6A64" w:rsidRDefault="004D6A64">
            <w:pPr>
              <w:rPr>
                <w:rFonts w:ascii="宋体"/>
              </w:rPr>
            </w:pPr>
          </w:p>
        </w:tc>
        <w:tc>
          <w:tcPr>
            <w:tcW w:w="0" w:type="auto"/>
            <w:shd w:val="clear" w:color="auto" w:fill="auto"/>
          </w:tcPr>
          <w:p w14:paraId="33DAD126" w14:textId="77777777" w:rsidR="004D6A64" w:rsidRDefault="004D6A64">
            <w:pPr>
              <w:rPr>
                <w:rFonts w:ascii="宋体"/>
              </w:rPr>
            </w:pPr>
          </w:p>
        </w:tc>
        <w:tc>
          <w:tcPr>
            <w:tcW w:w="0" w:type="auto"/>
            <w:shd w:val="clear" w:color="auto" w:fill="auto"/>
          </w:tcPr>
          <w:p w14:paraId="33DAD127" w14:textId="77777777" w:rsidR="004D6A64" w:rsidRDefault="004D6A64">
            <w:pPr>
              <w:rPr>
                <w:rFonts w:ascii="宋体"/>
              </w:rPr>
            </w:pPr>
          </w:p>
        </w:tc>
        <w:tc>
          <w:tcPr>
            <w:tcW w:w="0" w:type="auto"/>
            <w:shd w:val="clear" w:color="auto" w:fill="auto"/>
          </w:tcPr>
          <w:p w14:paraId="33DAD128" w14:textId="77777777" w:rsidR="004D6A64" w:rsidRDefault="004D6A64">
            <w:pPr>
              <w:rPr>
                <w:rFonts w:ascii="宋体"/>
              </w:rPr>
            </w:pPr>
          </w:p>
        </w:tc>
      </w:tr>
      <w:tr w:rsidR="004D6A64" w14:paraId="33DAD134" w14:textId="77777777">
        <w:trPr>
          <w:trHeight w:val="300"/>
        </w:trPr>
        <w:tc>
          <w:tcPr>
            <w:tcW w:w="0" w:type="auto"/>
            <w:gridSpan w:val="3"/>
            <w:shd w:val="clear" w:color="auto" w:fill="FFFFFF"/>
            <w:tcMar>
              <w:left w:w="20" w:type="dxa"/>
              <w:right w:w="20" w:type="dxa"/>
            </w:tcMar>
            <w:vAlign w:val="bottom"/>
          </w:tcPr>
          <w:p w14:paraId="33DAD12A"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12B"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12C"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12D" w14:textId="77777777" w:rsidR="004D6A64" w:rsidRDefault="004D6A64">
            <w:pPr>
              <w:rPr>
                <w:rFonts w:ascii="宋体"/>
              </w:rPr>
            </w:pPr>
          </w:p>
        </w:tc>
        <w:tc>
          <w:tcPr>
            <w:tcW w:w="0" w:type="auto"/>
            <w:shd w:val="clear" w:color="auto" w:fill="auto"/>
          </w:tcPr>
          <w:p w14:paraId="33DAD12E" w14:textId="77777777" w:rsidR="004D6A64" w:rsidRDefault="004D6A64">
            <w:pPr>
              <w:rPr>
                <w:rFonts w:ascii="宋体"/>
              </w:rPr>
            </w:pPr>
          </w:p>
        </w:tc>
        <w:tc>
          <w:tcPr>
            <w:tcW w:w="0" w:type="auto"/>
            <w:shd w:val="clear" w:color="auto" w:fill="auto"/>
          </w:tcPr>
          <w:p w14:paraId="33DAD12F" w14:textId="77777777" w:rsidR="004D6A64" w:rsidRDefault="004D6A64">
            <w:pPr>
              <w:rPr>
                <w:rFonts w:ascii="宋体"/>
              </w:rPr>
            </w:pPr>
          </w:p>
        </w:tc>
        <w:tc>
          <w:tcPr>
            <w:tcW w:w="0" w:type="auto"/>
            <w:shd w:val="clear" w:color="auto" w:fill="auto"/>
          </w:tcPr>
          <w:p w14:paraId="33DAD130" w14:textId="77777777" w:rsidR="004D6A64" w:rsidRDefault="004D6A64">
            <w:pPr>
              <w:rPr>
                <w:rFonts w:ascii="宋体"/>
              </w:rPr>
            </w:pPr>
          </w:p>
        </w:tc>
        <w:tc>
          <w:tcPr>
            <w:tcW w:w="0" w:type="auto"/>
            <w:shd w:val="clear" w:color="auto" w:fill="auto"/>
          </w:tcPr>
          <w:p w14:paraId="33DAD131" w14:textId="77777777" w:rsidR="004D6A64" w:rsidRDefault="004D6A64">
            <w:pPr>
              <w:rPr>
                <w:rFonts w:ascii="宋体"/>
              </w:rPr>
            </w:pPr>
          </w:p>
        </w:tc>
        <w:tc>
          <w:tcPr>
            <w:tcW w:w="0" w:type="auto"/>
            <w:shd w:val="clear" w:color="auto" w:fill="auto"/>
          </w:tcPr>
          <w:p w14:paraId="33DAD132" w14:textId="77777777" w:rsidR="004D6A64" w:rsidRDefault="004D6A64">
            <w:pPr>
              <w:rPr>
                <w:rFonts w:ascii="宋体"/>
              </w:rPr>
            </w:pPr>
          </w:p>
        </w:tc>
        <w:tc>
          <w:tcPr>
            <w:tcW w:w="0" w:type="auto"/>
            <w:shd w:val="clear" w:color="auto" w:fill="auto"/>
          </w:tcPr>
          <w:p w14:paraId="33DAD133" w14:textId="77777777" w:rsidR="004D6A64" w:rsidRDefault="004D6A64">
            <w:pPr>
              <w:rPr>
                <w:rFonts w:ascii="宋体"/>
              </w:rPr>
            </w:pPr>
          </w:p>
        </w:tc>
      </w:tr>
      <w:tr w:rsidR="004D6A64" w14:paraId="33DAD141" w14:textId="77777777">
        <w:tc>
          <w:tcPr>
            <w:tcW w:w="0" w:type="auto"/>
            <w:gridSpan w:val="3"/>
            <w:shd w:val="clear" w:color="auto" w:fill="CCEEFF"/>
            <w:tcMar>
              <w:top w:w="40" w:type="dxa"/>
              <w:left w:w="20" w:type="dxa"/>
              <w:bottom w:w="40" w:type="dxa"/>
              <w:right w:w="20" w:type="dxa"/>
            </w:tcMar>
            <w:vAlign w:val="center"/>
          </w:tcPr>
          <w:p w14:paraId="33DAD135" w14:textId="77777777" w:rsidR="004D6A64" w:rsidRDefault="00506CD6">
            <w:pPr>
              <w:textAlignment w:val="center"/>
            </w:pPr>
            <w:r>
              <w:rPr>
                <w:rFonts w:ascii="Times New Roman" w:eastAsia="宋体" w:hAnsi="Times New Roman"/>
                <w:color w:val="000000"/>
                <w:sz w:val="20"/>
                <w:szCs w:val="20"/>
              </w:rPr>
              <w:t>Issued and outstanding unrestricted common shares</w:t>
            </w:r>
          </w:p>
        </w:tc>
        <w:tc>
          <w:tcPr>
            <w:tcW w:w="0" w:type="auto"/>
            <w:gridSpan w:val="2"/>
            <w:shd w:val="clear" w:color="auto" w:fill="CCEEFF"/>
            <w:tcMar>
              <w:top w:w="40" w:type="dxa"/>
              <w:left w:w="20" w:type="dxa"/>
              <w:bottom w:w="40" w:type="dxa"/>
              <w:right w:w="0" w:type="dxa"/>
            </w:tcMar>
            <w:vAlign w:val="center"/>
          </w:tcPr>
          <w:p w14:paraId="33DAD136" w14:textId="77777777" w:rsidR="004D6A64" w:rsidRDefault="00506CD6">
            <w:pPr>
              <w:jc w:val="right"/>
              <w:textAlignment w:val="center"/>
            </w:pPr>
            <w:r>
              <w:rPr>
                <w:rFonts w:ascii="Times New Roman" w:eastAsia="宋体" w:hAnsi="Times New Roman"/>
                <w:color w:val="000000"/>
                <w:sz w:val="20"/>
                <w:szCs w:val="20"/>
              </w:rPr>
              <w:t>2 </w:t>
            </w:r>
          </w:p>
        </w:tc>
        <w:tc>
          <w:tcPr>
            <w:tcW w:w="0" w:type="auto"/>
            <w:shd w:val="clear" w:color="auto" w:fill="CCEEFF"/>
            <w:tcMar>
              <w:top w:w="40" w:type="dxa"/>
              <w:bottom w:w="40" w:type="dxa"/>
              <w:right w:w="20" w:type="dxa"/>
            </w:tcMar>
            <w:vAlign w:val="center"/>
          </w:tcPr>
          <w:p w14:paraId="33DAD13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138"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139" w14:textId="77777777" w:rsidR="004D6A64" w:rsidRDefault="00506CD6">
            <w:pPr>
              <w:jc w:val="right"/>
              <w:textAlignment w:val="center"/>
            </w:pPr>
            <w:r>
              <w:rPr>
                <w:rFonts w:ascii="Times New Roman" w:eastAsia="宋体" w:hAnsi="Times New Roman"/>
                <w:color w:val="000000"/>
                <w:sz w:val="20"/>
                <w:szCs w:val="20"/>
              </w:rPr>
              <w:t>2 </w:t>
            </w:r>
          </w:p>
        </w:tc>
        <w:tc>
          <w:tcPr>
            <w:tcW w:w="0" w:type="auto"/>
            <w:shd w:val="clear" w:color="auto" w:fill="CCEEFF"/>
            <w:tcMar>
              <w:top w:w="40" w:type="dxa"/>
              <w:bottom w:w="40" w:type="dxa"/>
              <w:right w:w="20" w:type="dxa"/>
            </w:tcMar>
            <w:vAlign w:val="center"/>
          </w:tcPr>
          <w:p w14:paraId="33DAD13A" w14:textId="77777777" w:rsidR="004D6A64" w:rsidRDefault="004D6A64">
            <w:pPr>
              <w:jc w:val="right"/>
              <w:rPr>
                <w:rFonts w:ascii="宋体"/>
              </w:rPr>
            </w:pPr>
          </w:p>
        </w:tc>
        <w:tc>
          <w:tcPr>
            <w:tcW w:w="0" w:type="auto"/>
            <w:shd w:val="clear" w:color="auto" w:fill="auto"/>
          </w:tcPr>
          <w:p w14:paraId="33DAD13B" w14:textId="77777777" w:rsidR="004D6A64" w:rsidRDefault="004D6A64">
            <w:pPr>
              <w:rPr>
                <w:rFonts w:ascii="宋体"/>
              </w:rPr>
            </w:pPr>
          </w:p>
        </w:tc>
        <w:tc>
          <w:tcPr>
            <w:tcW w:w="0" w:type="auto"/>
            <w:shd w:val="clear" w:color="auto" w:fill="auto"/>
          </w:tcPr>
          <w:p w14:paraId="33DAD13C" w14:textId="77777777" w:rsidR="004D6A64" w:rsidRDefault="004D6A64">
            <w:pPr>
              <w:rPr>
                <w:rFonts w:ascii="宋体"/>
              </w:rPr>
            </w:pPr>
          </w:p>
        </w:tc>
        <w:tc>
          <w:tcPr>
            <w:tcW w:w="0" w:type="auto"/>
            <w:shd w:val="clear" w:color="auto" w:fill="auto"/>
          </w:tcPr>
          <w:p w14:paraId="33DAD13D" w14:textId="77777777" w:rsidR="004D6A64" w:rsidRDefault="004D6A64">
            <w:pPr>
              <w:rPr>
                <w:rFonts w:ascii="宋体"/>
              </w:rPr>
            </w:pPr>
          </w:p>
        </w:tc>
        <w:tc>
          <w:tcPr>
            <w:tcW w:w="0" w:type="auto"/>
            <w:shd w:val="clear" w:color="auto" w:fill="auto"/>
          </w:tcPr>
          <w:p w14:paraId="33DAD13E" w14:textId="77777777" w:rsidR="004D6A64" w:rsidRDefault="004D6A64">
            <w:pPr>
              <w:rPr>
                <w:rFonts w:ascii="宋体"/>
              </w:rPr>
            </w:pPr>
          </w:p>
        </w:tc>
        <w:tc>
          <w:tcPr>
            <w:tcW w:w="0" w:type="auto"/>
            <w:shd w:val="clear" w:color="auto" w:fill="auto"/>
          </w:tcPr>
          <w:p w14:paraId="33DAD13F" w14:textId="77777777" w:rsidR="004D6A64" w:rsidRDefault="004D6A64">
            <w:pPr>
              <w:rPr>
                <w:rFonts w:ascii="宋体"/>
              </w:rPr>
            </w:pPr>
          </w:p>
        </w:tc>
        <w:tc>
          <w:tcPr>
            <w:tcW w:w="0" w:type="auto"/>
            <w:shd w:val="clear" w:color="auto" w:fill="auto"/>
          </w:tcPr>
          <w:p w14:paraId="33DAD140" w14:textId="77777777" w:rsidR="004D6A64" w:rsidRDefault="004D6A64">
            <w:pPr>
              <w:rPr>
                <w:rFonts w:ascii="宋体"/>
              </w:rPr>
            </w:pPr>
          </w:p>
        </w:tc>
      </w:tr>
      <w:tr w:rsidR="004D6A64" w14:paraId="33DAD14E" w14:textId="77777777">
        <w:tc>
          <w:tcPr>
            <w:tcW w:w="0" w:type="auto"/>
            <w:gridSpan w:val="3"/>
            <w:shd w:val="clear" w:color="auto" w:fill="FFFFFF"/>
            <w:tcMar>
              <w:top w:w="40" w:type="dxa"/>
              <w:left w:w="20" w:type="dxa"/>
              <w:bottom w:w="40" w:type="dxa"/>
              <w:right w:w="20" w:type="dxa"/>
            </w:tcMar>
            <w:vAlign w:val="center"/>
          </w:tcPr>
          <w:p w14:paraId="33DAD142" w14:textId="77777777" w:rsidR="004D6A64" w:rsidRDefault="00506CD6">
            <w:pPr>
              <w:textAlignment w:val="center"/>
            </w:pPr>
            <w:r>
              <w:rPr>
                <w:rFonts w:ascii="Times New Roman" w:eastAsia="宋体" w:hAnsi="Times New Roman"/>
                <w:color w:val="000000"/>
                <w:sz w:val="20"/>
                <w:szCs w:val="20"/>
              </w:rPr>
              <w:t>Restricted stock units</w:t>
            </w:r>
          </w:p>
        </w:tc>
        <w:tc>
          <w:tcPr>
            <w:tcW w:w="0" w:type="auto"/>
            <w:gridSpan w:val="2"/>
            <w:shd w:val="clear" w:color="auto" w:fill="FFFFFF"/>
            <w:tcMar>
              <w:top w:w="40" w:type="dxa"/>
              <w:left w:w="20" w:type="dxa"/>
              <w:bottom w:w="40" w:type="dxa"/>
              <w:right w:w="0" w:type="dxa"/>
            </w:tcMar>
            <w:vAlign w:val="center"/>
          </w:tcPr>
          <w:p w14:paraId="33DAD143" w14:textId="77777777" w:rsidR="004D6A64" w:rsidRDefault="00506CD6">
            <w:pPr>
              <w:jc w:val="right"/>
              <w:textAlignment w:val="center"/>
            </w:pPr>
            <w:r>
              <w:rPr>
                <w:rFonts w:ascii="Times New Roman" w:eastAsia="宋体" w:hAnsi="Times New Roman"/>
                <w:color w:val="000000"/>
                <w:sz w:val="20"/>
                <w:szCs w:val="20"/>
              </w:rPr>
              <w:t>1 </w:t>
            </w:r>
          </w:p>
        </w:tc>
        <w:tc>
          <w:tcPr>
            <w:tcW w:w="0" w:type="auto"/>
            <w:shd w:val="clear" w:color="auto" w:fill="FFFFFF"/>
            <w:tcMar>
              <w:top w:w="40" w:type="dxa"/>
              <w:bottom w:w="40" w:type="dxa"/>
              <w:right w:w="20" w:type="dxa"/>
            </w:tcMar>
            <w:vAlign w:val="center"/>
          </w:tcPr>
          <w:p w14:paraId="33DAD14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145"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146" w14:textId="77777777" w:rsidR="004D6A64" w:rsidRDefault="00506CD6">
            <w:pPr>
              <w:jc w:val="right"/>
              <w:textAlignment w:val="center"/>
            </w:pPr>
            <w:r>
              <w:rPr>
                <w:rFonts w:ascii="Times New Roman" w:eastAsia="宋体" w:hAnsi="Times New Roman"/>
                <w:color w:val="000000"/>
                <w:sz w:val="20"/>
                <w:szCs w:val="20"/>
              </w:rPr>
              <w:t>1 </w:t>
            </w:r>
          </w:p>
        </w:tc>
        <w:tc>
          <w:tcPr>
            <w:tcW w:w="0" w:type="auto"/>
            <w:shd w:val="clear" w:color="auto" w:fill="FFFFFF"/>
            <w:tcMar>
              <w:top w:w="40" w:type="dxa"/>
              <w:bottom w:w="40" w:type="dxa"/>
              <w:right w:w="20" w:type="dxa"/>
            </w:tcMar>
            <w:vAlign w:val="center"/>
          </w:tcPr>
          <w:p w14:paraId="33DAD147" w14:textId="77777777" w:rsidR="004D6A64" w:rsidRDefault="004D6A64">
            <w:pPr>
              <w:jc w:val="right"/>
              <w:rPr>
                <w:rFonts w:ascii="宋体"/>
              </w:rPr>
            </w:pPr>
          </w:p>
        </w:tc>
        <w:tc>
          <w:tcPr>
            <w:tcW w:w="0" w:type="auto"/>
            <w:shd w:val="clear" w:color="auto" w:fill="auto"/>
          </w:tcPr>
          <w:p w14:paraId="33DAD148" w14:textId="77777777" w:rsidR="004D6A64" w:rsidRDefault="004D6A64">
            <w:pPr>
              <w:rPr>
                <w:rFonts w:ascii="宋体"/>
              </w:rPr>
            </w:pPr>
          </w:p>
        </w:tc>
        <w:tc>
          <w:tcPr>
            <w:tcW w:w="0" w:type="auto"/>
            <w:shd w:val="clear" w:color="auto" w:fill="auto"/>
          </w:tcPr>
          <w:p w14:paraId="33DAD149" w14:textId="77777777" w:rsidR="004D6A64" w:rsidRDefault="004D6A64">
            <w:pPr>
              <w:rPr>
                <w:rFonts w:ascii="宋体"/>
              </w:rPr>
            </w:pPr>
          </w:p>
        </w:tc>
        <w:tc>
          <w:tcPr>
            <w:tcW w:w="0" w:type="auto"/>
            <w:shd w:val="clear" w:color="auto" w:fill="auto"/>
          </w:tcPr>
          <w:p w14:paraId="33DAD14A" w14:textId="77777777" w:rsidR="004D6A64" w:rsidRDefault="004D6A64">
            <w:pPr>
              <w:rPr>
                <w:rFonts w:ascii="宋体"/>
              </w:rPr>
            </w:pPr>
          </w:p>
        </w:tc>
        <w:tc>
          <w:tcPr>
            <w:tcW w:w="0" w:type="auto"/>
            <w:shd w:val="clear" w:color="auto" w:fill="auto"/>
          </w:tcPr>
          <w:p w14:paraId="33DAD14B" w14:textId="77777777" w:rsidR="004D6A64" w:rsidRDefault="004D6A64">
            <w:pPr>
              <w:rPr>
                <w:rFonts w:ascii="宋体"/>
              </w:rPr>
            </w:pPr>
          </w:p>
        </w:tc>
        <w:tc>
          <w:tcPr>
            <w:tcW w:w="0" w:type="auto"/>
            <w:shd w:val="clear" w:color="auto" w:fill="auto"/>
          </w:tcPr>
          <w:p w14:paraId="33DAD14C" w14:textId="77777777" w:rsidR="004D6A64" w:rsidRDefault="004D6A64">
            <w:pPr>
              <w:rPr>
                <w:rFonts w:ascii="宋体"/>
              </w:rPr>
            </w:pPr>
          </w:p>
        </w:tc>
        <w:tc>
          <w:tcPr>
            <w:tcW w:w="0" w:type="auto"/>
            <w:shd w:val="clear" w:color="auto" w:fill="auto"/>
          </w:tcPr>
          <w:p w14:paraId="33DAD14D" w14:textId="77777777" w:rsidR="004D6A64" w:rsidRDefault="004D6A64">
            <w:pPr>
              <w:rPr>
                <w:rFonts w:ascii="宋体"/>
              </w:rPr>
            </w:pPr>
          </w:p>
        </w:tc>
      </w:tr>
      <w:tr w:rsidR="004D6A64" w14:paraId="33DAD15B" w14:textId="77777777">
        <w:tc>
          <w:tcPr>
            <w:tcW w:w="0" w:type="auto"/>
            <w:gridSpan w:val="3"/>
            <w:shd w:val="clear" w:color="auto" w:fill="CCEEFF"/>
            <w:tcMar>
              <w:top w:w="40" w:type="dxa"/>
              <w:left w:w="20" w:type="dxa"/>
              <w:bottom w:w="40" w:type="dxa"/>
              <w:right w:w="20" w:type="dxa"/>
            </w:tcMar>
            <w:vAlign w:val="center"/>
          </w:tcPr>
          <w:p w14:paraId="33DAD14F" w14:textId="77777777" w:rsidR="004D6A64" w:rsidRDefault="00506CD6">
            <w:pPr>
              <w:textAlignment w:val="center"/>
            </w:pPr>
            <w:r>
              <w:rPr>
                <w:rFonts w:ascii="Times New Roman" w:eastAsia="宋体" w:hAnsi="Times New Roman"/>
                <w:color w:val="000000"/>
                <w:sz w:val="20"/>
                <w:szCs w:val="20"/>
              </w:rPr>
              <w:t xml:space="preserve">Restricted stock </w:t>
            </w:r>
            <w:r>
              <w:rPr>
                <w:rFonts w:ascii="Times New Roman" w:eastAsia="宋体" w:hAnsi="Times New Roman"/>
                <w:color w:val="000000"/>
                <w:sz w:val="20"/>
                <w:szCs w:val="20"/>
              </w:rPr>
              <w:t>awards</w:t>
            </w:r>
          </w:p>
        </w:tc>
        <w:tc>
          <w:tcPr>
            <w:tcW w:w="0" w:type="auto"/>
            <w:gridSpan w:val="2"/>
            <w:shd w:val="clear" w:color="auto" w:fill="CCEEFF"/>
            <w:tcMar>
              <w:top w:w="40" w:type="dxa"/>
              <w:left w:w="20" w:type="dxa"/>
              <w:bottom w:w="40" w:type="dxa"/>
              <w:right w:w="0" w:type="dxa"/>
            </w:tcMar>
            <w:vAlign w:val="center"/>
          </w:tcPr>
          <w:p w14:paraId="33DAD150"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D15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15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153"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D154" w14:textId="77777777" w:rsidR="004D6A64" w:rsidRDefault="004D6A64">
            <w:pPr>
              <w:jc w:val="right"/>
              <w:rPr>
                <w:rFonts w:ascii="宋体"/>
              </w:rPr>
            </w:pPr>
          </w:p>
        </w:tc>
        <w:tc>
          <w:tcPr>
            <w:tcW w:w="0" w:type="auto"/>
            <w:shd w:val="clear" w:color="auto" w:fill="auto"/>
          </w:tcPr>
          <w:p w14:paraId="33DAD155" w14:textId="77777777" w:rsidR="004D6A64" w:rsidRDefault="004D6A64">
            <w:pPr>
              <w:rPr>
                <w:rFonts w:ascii="宋体"/>
              </w:rPr>
            </w:pPr>
          </w:p>
        </w:tc>
        <w:tc>
          <w:tcPr>
            <w:tcW w:w="0" w:type="auto"/>
            <w:shd w:val="clear" w:color="auto" w:fill="auto"/>
          </w:tcPr>
          <w:p w14:paraId="33DAD156" w14:textId="77777777" w:rsidR="004D6A64" w:rsidRDefault="004D6A64">
            <w:pPr>
              <w:rPr>
                <w:rFonts w:ascii="宋体"/>
              </w:rPr>
            </w:pPr>
          </w:p>
        </w:tc>
        <w:tc>
          <w:tcPr>
            <w:tcW w:w="0" w:type="auto"/>
            <w:shd w:val="clear" w:color="auto" w:fill="auto"/>
          </w:tcPr>
          <w:p w14:paraId="33DAD157" w14:textId="77777777" w:rsidR="004D6A64" w:rsidRDefault="004D6A64">
            <w:pPr>
              <w:rPr>
                <w:rFonts w:ascii="宋体"/>
              </w:rPr>
            </w:pPr>
          </w:p>
        </w:tc>
        <w:tc>
          <w:tcPr>
            <w:tcW w:w="0" w:type="auto"/>
            <w:shd w:val="clear" w:color="auto" w:fill="auto"/>
          </w:tcPr>
          <w:p w14:paraId="33DAD158" w14:textId="77777777" w:rsidR="004D6A64" w:rsidRDefault="004D6A64">
            <w:pPr>
              <w:rPr>
                <w:rFonts w:ascii="宋体"/>
              </w:rPr>
            </w:pPr>
          </w:p>
        </w:tc>
        <w:tc>
          <w:tcPr>
            <w:tcW w:w="0" w:type="auto"/>
            <w:shd w:val="clear" w:color="auto" w:fill="auto"/>
          </w:tcPr>
          <w:p w14:paraId="33DAD159" w14:textId="77777777" w:rsidR="004D6A64" w:rsidRDefault="004D6A64">
            <w:pPr>
              <w:rPr>
                <w:rFonts w:ascii="宋体"/>
              </w:rPr>
            </w:pPr>
          </w:p>
        </w:tc>
        <w:tc>
          <w:tcPr>
            <w:tcW w:w="0" w:type="auto"/>
            <w:shd w:val="clear" w:color="auto" w:fill="auto"/>
          </w:tcPr>
          <w:p w14:paraId="33DAD15A" w14:textId="77777777" w:rsidR="004D6A64" w:rsidRDefault="004D6A64">
            <w:pPr>
              <w:rPr>
                <w:rFonts w:ascii="宋体"/>
              </w:rPr>
            </w:pPr>
          </w:p>
        </w:tc>
      </w:tr>
      <w:tr w:rsidR="004D6A64" w14:paraId="33DAD168" w14:textId="77777777">
        <w:tc>
          <w:tcPr>
            <w:tcW w:w="0" w:type="auto"/>
            <w:gridSpan w:val="3"/>
            <w:shd w:val="clear" w:color="auto" w:fill="FFFFFF"/>
            <w:tcMar>
              <w:top w:w="40" w:type="dxa"/>
              <w:left w:w="20" w:type="dxa"/>
              <w:bottom w:w="40" w:type="dxa"/>
              <w:right w:w="20" w:type="dxa"/>
            </w:tcMar>
            <w:vAlign w:val="center"/>
          </w:tcPr>
          <w:p w14:paraId="33DAD15C" w14:textId="77777777" w:rsidR="004D6A64" w:rsidRDefault="00506CD6">
            <w:pPr>
              <w:textAlignment w:val="center"/>
            </w:pPr>
            <w:r>
              <w:rPr>
                <w:rFonts w:ascii="Times New Roman" w:eastAsia="宋体" w:hAnsi="Times New Roman"/>
                <w:color w:val="000000"/>
                <w:sz w:val="20"/>
                <w:szCs w:val="20"/>
              </w:rPr>
              <w:t>Outstanding stock options</w:t>
            </w:r>
          </w:p>
        </w:tc>
        <w:tc>
          <w:tcPr>
            <w:tcW w:w="0" w:type="auto"/>
            <w:gridSpan w:val="2"/>
            <w:shd w:val="clear" w:color="auto" w:fill="FFFFFF"/>
            <w:tcMar>
              <w:top w:w="40" w:type="dxa"/>
              <w:left w:w="20" w:type="dxa"/>
              <w:bottom w:w="40" w:type="dxa"/>
              <w:right w:w="0" w:type="dxa"/>
            </w:tcMar>
            <w:vAlign w:val="center"/>
          </w:tcPr>
          <w:p w14:paraId="33DAD15D" w14:textId="77777777" w:rsidR="004D6A64" w:rsidRDefault="00506CD6">
            <w:pPr>
              <w:jc w:val="right"/>
              <w:textAlignment w:val="center"/>
            </w:pPr>
            <w:r>
              <w:rPr>
                <w:rFonts w:ascii="Times New Roman" w:eastAsia="宋体" w:hAnsi="Times New Roman"/>
                <w:color w:val="000000"/>
                <w:sz w:val="20"/>
                <w:szCs w:val="20"/>
              </w:rPr>
              <w:t>10 </w:t>
            </w:r>
          </w:p>
        </w:tc>
        <w:tc>
          <w:tcPr>
            <w:tcW w:w="0" w:type="auto"/>
            <w:shd w:val="clear" w:color="auto" w:fill="FFFFFF"/>
            <w:tcMar>
              <w:top w:w="40" w:type="dxa"/>
              <w:bottom w:w="40" w:type="dxa"/>
              <w:right w:w="20" w:type="dxa"/>
            </w:tcMar>
            <w:vAlign w:val="center"/>
          </w:tcPr>
          <w:p w14:paraId="33DAD15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15F"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160" w14:textId="77777777" w:rsidR="004D6A64" w:rsidRDefault="00506CD6">
            <w:pPr>
              <w:jc w:val="right"/>
              <w:textAlignment w:val="center"/>
            </w:pPr>
            <w:r>
              <w:rPr>
                <w:rFonts w:ascii="Times New Roman" w:eastAsia="宋体" w:hAnsi="Times New Roman"/>
                <w:color w:val="000000"/>
                <w:sz w:val="20"/>
                <w:szCs w:val="20"/>
              </w:rPr>
              <w:t>15 </w:t>
            </w:r>
          </w:p>
        </w:tc>
        <w:tc>
          <w:tcPr>
            <w:tcW w:w="0" w:type="auto"/>
            <w:shd w:val="clear" w:color="auto" w:fill="FFFFFF"/>
            <w:tcMar>
              <w:top w:w="40" w:type="dxa"/>
              <w:bottom w:w="40" w:type="dxa"/>
              <w:right w:w="20" w:type="dxa"/>
            </w:tcMar>
            <w:vAlign w:val="center"/>
          </w:tcPr>
          <w:p w14:paraId="33DAD161" w14:textId="77777777" w:rsidR="004D6A64" w:rsidRDefault="004D6A64">
            <w:pPr>
              <w:jc w:val="right"/>
              <w:rPr>
                <w:rFonts w:ascii="宋体"/>
              </w:rPr>
            </w:pPr>
          </w:p>
        </w:tc>
        <w:tc>
          <w:tcPr>
            <w:tcW w:w="0" w:type="auto"/>
            <w:shd w:val="clear" w:color="auto" w:fill="auto"/>
          </w:tcPr>
          <w:p w14:paraId="33DAD162" w14:textId="77777777" w:rsidR="004D6A64" w:rsidRDefault="004D6A64">
            <w:pPr>
              <w:rPr>
                <w:rFonts w:ascii="宋体"/>
              </w:rPr>
            </w:pPr>
          </w:p>
        </w:tc>
        <w:tc>
          <w:tcPr>
            <w:tcW w:w="0" w:type="auto"/>
            <w:shd w:val="clear" w:color="auto" w:fill="auto"/>
          </w:tcPr>
          <w:p w14:paraId="33DAD163" w14:textId="77777777" w:rsidR="004D6A64" w:rsidRDefault="004D6A64">
            <w:pPr>
              <w:rPr>
                <w:rFonts w:ascii="宋体"/>
              </w:rPr>
            </w:pPr>
          </w:p>
        </w:tc>
        <w:tc>
          <w:tcPr>
            <w:tcW w:w="0" w:type="auto"/>
            <w:shd w:val="clear" w:color="auto" w:fill="auto"/>
          </w:tcPr>
          <w:p w14:paraId="33DAD164" w14:textId="77777777" w:rsidR="004D6A64" w:rsidRDefault="004D6A64">
            <w:pPr>
              <w:rPr>
                <w:rFonts w:ascii="宋体"/>
              </w:rPr>
            </w:pPr>
          </w:p>
        </w:tc>
        <w:tc>
          <w:tcPr>
            <w:tcW w:w="0" w:type="auto"/>
            <w:shd w:val="clear" w:color="auto" w:fill="auto"/>
          </w:tcPr>
          <w:p w14:paraId="33DAD165" w14:textId="77777777" w:rsidR="004D6A64" w:rsidRDefault="004D6A64">
            <w:pPr>
              <w:rPr>
                <w:rFonts w:ascii="宋体"/>
              </w:rPr>
            </w:pPr>
          </w:p>
        </w:tc>
        <w:tc>
          <w:tcPr>
            <w:tcW w:w="0" w:type="auto"/>
            <w:shd w:val="clear" w:color="auto" w:fill="auto"/>
          </w:tcPr>
          <w:p w14:paraId="33DAD166" w14:textId="77777777" w:rsidR="004D6A64" w:rsidRDefault="004D6A64">
            <w:pPr>
              <w:rPr>
                <w:rFonts w:ascii="宋体"/>
              </w:rPr>
            </w:pPr>
          </w:p>
        </w:tc>
        <w:tc>
          <w:tcPr>
            <w:tcW w:w="0" w:type="auto"/>
            <w:shd w:val="clear" w:color="auto" w:fill="auto"/>
          </w:tcPr>
          <w:p w14:paraId="33DAD167" w14:textId="77777777" w:rsidR="004D6A64" w:rsidRDefault="004D6A64">
            <w:pPr>
              <w:rPr>
                <w:rFonts w:ascii="宋体"/>
              </w:rPr>
            </w:pPr>
          </w:p>
        </w:tc>
      </w:tr>
    </w:tbl>
    <w:p w14:paraId="33DAD169" w14:textId="77777777" w:rsidR="004D6A64" w:rsidRDefault="00506CD6">
      <w:pPr>
        <w:spacing w:before="240"/>
      </w:pPr>
      <w:r>
        <w:rPr>
          <w:rFonts w:ascii="Times New Roman" w:eastAsia="宋体" w:hAnsi="Times New Roman"/>
          <w:color w:val="000000"/>
          <w:sz w:val="20"/>
          <w:szCs w:val="20"/>
        </w:rPr>
        <w:t xml:space="preserve">The decrease in the value of redeemable shares during the six months ended July 31, 2020 was primarily attributable to a reduction in the number of shares eligible for put rights. </w:t>
      </w:r>
    </w:p>
    <w:p w14:paraId="33DAD16A" w14:textId="77777777" w:rsidR="004D6A64" w:rsidRDefault="004D6A64">
      <w:pPr>
        <w:jc w:val="center"/>
      </w:pPr>
    </w:p>
    <w:p w14:paraId="33DAD16B" w14:textId="77777777" w:rsidR="004D6A64" w:rsidRDefault="00506CD6">
      <w:pPr>
        <w:jc w:val="center"/>
      </w:pPr>
      <w:r>
        <w:rPr>
          <w:rFonts w:ascii="Times New Roman" w:eastAsia="宋体" w:hAnsi="Times New Roman"/>
          <w:color w:val="000000"/>
          <w:sz w:val="20"/>
          <w:szCs w:val="20"/>
        </w:rPr>
        <w:t>57</w:t>
      </w:r>
    </w:p>
    <w:p w14:paraId="33DAD16C" w14:textId="77777777" w:rsidR="004D6A64" w:rsidRDefault="004D6A64">
      <w:pPr>
        <w:jc w:val="center"/>
      </w:pPr>
    </w:p>
    <w:p w14:paraId="33DAD16D" w14:textId="77777777" w:rsidR="004D6A64" w:rsidRDefault="00506CD6">
      <w:r>
        <w:pict w14:anchorId="33DAFAFD">
          <v:rect id="_x0000_i1081" style="width:415.3pt;height:1.5pt" o:hralign="center" o:hrstd="t" o:hr="t" fillcolor="#a0a0a0" stroked="f"/>
        </w:pict>
      </w:r>
    </w:p>
    <w:p w14:paraId="33DAD16E" w14:textId="77777777" w:rsidR="004D6A64" w:rsidRDefault="00506CD6">
      <w:hyperlink r:id="rId180" w:anchor="if3e0e1bf9ecd4bf69551d7a85f98d64a_10" w:history="1">
        <w:r>
          <w:rPr>
            <w:rStyle w:val="a5"/>
            <w:rFonts w:ascii="Times New Roman" w:eastAsia="宋体" w:hAnsi="Times New Roman"/>
            <w:sz w:val="20"/>
            <w:szCs w:val="20"/>
          </w:rPr>
          <w:t>Table of Contents</w:t>
        </w:r>
      </w:hyperlink>
    </w:p>
    <w:p w14:paraId="33DAD16F"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D170"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33DAD171"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D172" w14:textId="77777777" w:rsidR="004D6A64" w:rsidRDefault="004D6A64">
      <w:pPr>
        <w:jc w:val="center"/>
      </w:pPr>
    </w:p>
    <w:p w14:paraId="33DAD173" w14:textId="77777777" w:rsidR="004D6A64" w:rsidRDefault="00506CD6">
      <w:r>
        <w:rPr>
          <w:rFonts w:ascii="Times New Roman" w:eastAsia="宋体" w:hAnsi="Times New Roman"/>
          <w:b/>
          <w:bCs/>
          <w:color w:val="000000"/>
          <w:sz w:val="20"/>
          <w:szCs w:val="20"/>
        </w:rPr>
        <w:t xml:space="preserve">NOTE 17 — SEGMENT INFORMATION </w:t>
      </w:r>
    </w:p>
    <w:p w14:paraId="33DAD174" w14:textId="77777777" w:rsidR="004D6A64" w:rsidRDefault="004D6A64"/>
    <w:p w14:paraId="33DAD175" w14:textId="77777777" w:rsidR="004D6A64" w:rsidRDefault="00506CD6">
      <w:r>
        <w:rPr>
          <w:rFonts w:ascii="Times New Roman" w:eastAsia="宋体" w:hAnsi="Times New Roman"/>
          <w:color w:val="000000"/>
          <w:sz w:val="20"/>
          <w:szCs w:val="20"/>
        </w:rPr>
        <w:t>The Company has three reportable segments that are based on the following business units: Infrastructure Solutions Group (“ISG”); Client Solutions Group (“CSG”); and VMware.</w:t>
      </w:r>
    </w:p>
    <w:p w14:paraId="33DAD176" w14:textId="77777777" w:rsidR="004D6A64" w:rsidRDefault="004D6A64"/>
    <w:p w14:paraId="33DAD177" w14:textId="77777777" w:rsidR="004D6A64" w:rsidRDefault="00506CD6">
      <w:r>
        <w:rPr>
          <w:rFonts w:ascii="Times New Roman" w:eastAsia="宋体" w:hAnsi="Times New Roman"/>
          <w:color w:val="000000"/>
          <w:sz w:val="20"/>
          <w:szCs w:val="20"/>
        </w:rPr>
        <w:t>On December 30, 2019, VMware</w:t>
      </w:r>
      <w:r>
        <w:rPr>
          <w:rFonts w:ascii="Times New Roman" w:eastAsia="宋体" w:hAnsi="Times New Roman"/>
          <w:color w:val="000000"/>
          <w:sz w:val="20"/>
          <w:szCs w:val="20"/>
        </w:rPr>
        <w:t>, Inc. completed its acquisition of Pivotal. Due to the Company’s ownership of a controlling interest in Pivotal, the Company and VMware, Inc. accounted for the Pivotal acquisition as a transaction between entities under common control, and consequently th</w:t>
      </w:r>
      <w:r>
        <w:rPr>
          <w:rFonts w:ascii="Times New Roman" w:eastAsia="宋体" w:hAnsi="Times New Roman"/>
          <w:color w:val="000000"/>
          <w:sz w:val="20"/>
          <w:szCs w:val="20"/>
        </w:rPr>
        <w:t>e transaction had no net effect to the Company’s consolidated financial statements. Pivotal now operates as a wholly-owned subsidiary of VMware, Inc. and Dell Technologies reports Pivotal results within the VMware reportable segment. Previously, Pivotal re</w:t>
      </w:r>
      <w:r>
        <w:rPr>
          <w:rFonts w:ascii="Times New Roman" w:eastAsia="宋体" w:hAnsi="Times New Roman"/>
          <w:color w:val="000000"/>
          <w:sz w:val="20"/>
          <w:szCs w:val="20"/>
        </w:rPr>
        <w:t>sults were reported within Other businesses. Prior period results have been recast to conform with the current period presentation.</w:t>
      </w:r>
    </w:p>
    <w:p w14:paraId="33DAD178" w14:textId="77777777" w:rsidR="004D6A64" w:rsidRDefault="004D6A64"/>
    <w:p w14:paraId="33DAD179" w14:textId="77777777" w:rsidR="004D6A64" w:rsidRDefault="00506CD6">
      <w:r>
        <w:rPr>
          <w:rFonts w:ascii="Times New Roman" w:eastAsia="宋体" w:hAnsi="Times New Roman"/>
          <w:color w:val="000000"/>
          <w:sz w:val="20"/>
          <w:szCs w:val="20"/>
        </w:rPr>
        <w:t>ISG enables the digital transformation of the Company’s customers through its trusted multi-cloud and big data solutions, w</w:t>
      </w:r>
      <w:r>
        <w:rPr>
          <w:rFonts w:ascii="Times New Roman" w:eastAsia="宋体" w:hAnsi="Times New Roman"/>
          <w:color w:val="000000"/>
          <w:sz w:val="20"/>
          <w:szCs w:val="20"/>
        </w:rPr>
        <w:t>hich are built upon a modern data center infrastructure. The ISG comprehensive portfolio of advanced storage solutions includes traditional storage solutions as well as next-generation storage solutions (such as all-flash arrays, scale-out file, object pla</w:t>
      </w:r>
      <w:r>
        <w:rPr>
          <w:rFonts w:ascii="Times New Roman" w:eastAsia="宋体" w:hAnsi="Times New Roman"/>
          <w:color w:val="000000"/>
          <w:sz w:val="20"/>
          <w:szCs w:val="20"/>
        </w:rPr>
        <w:t>tforms, and software-defined solutions), while the Company’s server portfolio includes high-performance rack, blade, tower, and hyperscale servers. The ISG networking portfolio helps business customers transform and modernize their infrastructure, mobilize</w:t>
      </w:r>
      <w:r>
        <w:rPr>
          <w:rFonts w:ascii="Times New Roman" w:eastAsia="宋体" w:hAnsi="Times New Roman"/>
          <w:color w:val="000000"/>
          <w:sz w:val="20"/>
          <w:szCs w:val="20"/>
        </w:rPr>
        <w:t xml:space="preserve"> and enrich end-user experiences, and accelerate business applications and processes. ISG also offers attached software, peripherals, and services, including support and deployment, configuration, and extended warranty services.</w:t>
      </w:r>
    </w:p>
    <w:p w14:paraId="33DAD17A" w14:textId="77777777" w:rsidR="004D6A64" w:rsidRDefault="004D6A64"/>
    <w:p w14:paraId="33DAD17B" w14:textId="77777777" w:rsidR="004D6A64" w:rsidRDefault="00506CD6">
      <w:r>
        <w:rPr>
          <w:rFonts w:ascii="Times New Roman" w:eastAsia="宋体" w:hAnsi="Times New Roman"/>
          <w:color w:val="000000"/>
          <w:sz w:val="20"/>
          <w:szCs w:val="20"/>
        </w:rPr>
        <w:t>CSG includes sales to comm</w:t>
      </w:r>
      <w:r>
        <w:rPr>
          <w:rFonts w:ascii="Times New Roman" w:eastAsia="宋体" w:hAnsi="Times New Roman"/>
          <w:color w:val="000000"/>
          <w:sz w:val="20"/>
          <w:szCs w:val="20"/>
        </w:rPr>
        <w:t>ercial and consumer customers of branded hardware (such as desktops, workstations, and notebooks) and branded peripherals (such as displays and projectors), as well as services and third-party software and peripherals. CSG also offers attached software, pe</w:t>
      </w:r>
      <w:r>
        <w:rPr>
          <w:rFonts w:ascii="Times New Roman" w:eastAsia="宋体" w:hAnsi="Times New Roman"/>
          <w:color w:val="000000"/>
          <w:sz w:val="20"/>
          <w:szCs w:val="20"/>
        </w:rPr>
        <w:t>ripherals, and services, including support and deployment, configuration, and extended warranty services.</w:t>
      </w:r>
    </w:p>
    <w:p w14:paraId="33DAD17C" w14:textId="77777777" w:rsidR="004D6A64" w:rsidRDefault="004D6A64"/>
    <w:p w14:paraId="33DAD17D" w14:textId="77777777" w:rsidR="004D6A64" w:rsidRDefault="00506CD6">
      <w:r>
        <w:rPr>
          <w:rFonts w:ascii="Times New Roman" w:eastAsia="宋体" w:hAnsi="Times New Roman"/>
          <w:color w:val="000000"/>
          <w:sz w:val="20"/>
          <w:szCs w:val="20"/>
        </w:rPr>
        <w:t>VMware works with customers in the areas of hybrid and multi-cloud, modern applications, networking, security, and digital workspaces, helping custom</w:t>
      </w:r>
      <w:r>
        <w:rPr>
          <w:rFonts w:ascii="Times New Roman" w:eastAsia="宋体" w:hAnsi="Times New Roman"/>
          <w:color w:val="000000"/>
          <w:sz w:val="20"/>
          <w:szCs w:val="20"/>
        </w:rPr>
        <w:t>ers manage their IT resources across private clouds and complex multi-cloud, multi-device environments. VMware enables its customers to digitally transform their operations as they ready their applications, infrastructure, and employees for constantly evol</w:t>
      </w:r>
      <w:r>
        <w:rPr>
          <w:rFonts w:ascii="Times New Roman" w:eastAsia="宋体" w:hAnsi="Times New Roman"/>
          <w:color w:val="000000"/>
          <w:sz w:val="20"/>
          <w:szCs w:val="20"/>
        </w:rPr>
        <w:t xml:space="preserve">ving business needs. </w:t>
      </w:r>
    </w:p>
    <w:p w14:paraId="33DAD17E" w14:textId="77777777" w:rsidR="004D6A64" w:rsidRDefault="004D6A64"/>
    <w:p w14:paraId="33DAD17F" w14:textId="77777777" w:rsidR="004D6A64" w:rsidRDefault="00506CD6">
      <w:r>
        <w:rPr>
          <w:rFonts w:ascii="Times New Roman" w:eastAsia="宋体" w:hAnsi="Times New Roman"/>
          <w:color w:val="000000"/>
          <w:sz w:val="20"/>
          <w:szCs w:val="20"/>
        </w:rPr>
        <w:t>The reportable segments disclosed herein are based on information reviewed by the Company’s management to evaluate the business segment results. The Company’s measure of segment revenue and segment operating income for management rep</w:t>
      </w:r>
      <w:r>
        <w:rPr>
          <w:rFonts w:ascii="Times New Roman" w:eastAsia="宋体" w:hAnsi="Times New Roman"/>
          <w:color w:val="000000"/>
          <w:sz w:val="20"/>
          <w:szCs w:val="20"/>
        </w:rPr>
        <w:t>orting purposes excludes the impact of Other businesses, unallocated corporate transactions, the impact of purchase accounting, amortization of intangible assets, transaction-related expenses, stock-based compensation expense, and other corporate expenses,</w:t>
      </w:r>
      <w:r>
        <w:rPr>
          <w:rFonts w:ascii="Times New Roman" w:eastAsia="宋体" w:hAnsi="Times New Roman"/>
          <w:color w:val="000000"/>
          <w:sz w:val="20"/>
          <w:szCs w:val="20"/>
        </w:rPr>
        <w:t xml:space="preserve"> as applicable. The Company does not allocate assets to the above reportable segments for internal reporting purposes.</w:t>
      </w:r>
    </w:p>
    <w:p w14:paraId="33DAD180" w14:textId="77777777" w:rsidR="004D6A64" w:rsidRDefault="004D6A64"/>
    <w:p w14:paraId="33DAD181" w14:textId="77777777" w:rsidR="004D6A64" w:rsidRDefault="004D6A64">
      <w:pPr>
        <w:jc w:val="center"/>
      </w:pPr>
    </w:p>
    <w:p w14:paraId="33DAD182" w14:textId="77777777" w:rsidR="004D6A64" w:rsidRDefault="00506CD6">
      <w:pPr>
        <w:jc w:val="center"/>
      </w:pPr>
      <w:r>
        <w:rPr>
          <w:rFonts w:ascii="Times New Roman" w:eastAsia="宋体" w:hAnsi="Times New Roman"/>
          <w:color w:val="000000"/>
          <w:sz w:val="20"/>
          <w:szCs w:val="20"/>
        </w:rPr>
        <w:t>58</w:t>
      </w:r>
    </w:p>
    <w:p w14:paraId="33DAD183" w14:textId="77777777" w:rsidR="004D6A64" w:rsidRDefault="004D6A64">
      <w:pPr>
        <w:jc w:val="center"/>
      </w:pPr>
    </w:p>
    <w:p w14:paraId="33DAD184" w14:textId="77777777" w:rsidR="004D6A64" w:rsidRDefault="00506CD6">
      <w:r>
        <w:pict w14:anchorId="33DAFAFE">
          <v:rect id="_x0000_i1082" style="width:415.3pt;height:1.5pt" o:hralign="center" o:hrstd="t" o:hr="t" fillcolor="#a0a0a0" stroked="f"/>
        </w:pict>
      </w:r>
    </w:p>
    <w:p w14:paraId="33DAD185" w14:textId="77777777" w:rsidR="004D6A64" w:rsidRDefault="00506CD6">
      <w:hyperlink r:id="rId181" w:anchor="if3e0e1bf9ecd4bf69551d7a85f98d64a_10" w:history="1">
        <w:r>
          <w:rPr>
            <w:rStyle w:val="a5"/>
            <w:rFonts w:ascii="Times New Roman" w:eastAsia="宋体" w:hAnsi="Times New Roman"/>
            <w:sz w:val="20"/>
            <w:szCs w:val="20"/>
          </w:rPr>
          <w:t>Table of Contents</w:t>
        </w:r>
      </w:hyperlink>
    </w:p>
    <w:p w14:paraId="33DAD186"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D187"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33DAD188"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D189" w14:textId="77777777" w:rsidR="004D6A64" w:rsidRDefault="004D6A64">
      <w:pPr>
        <w:jc w:val="center"/>
      </w:pPr>
    </w:p>
    <w:p w14:paraId="33DAD18A" w14:textId="77777777" w:rsidR="004D6A64" w:rsidRDefault="00506CD6">
      <w:r>
        <w:rPr>
          <w:rFonts w:ascii="Times New Roman" w:eastAsia="宋体" w:hAnsi="Times New Roman"/>
          <w:color w:val="000000"/>
          <w:sz w:val="20"/>
          <w:szCs w:val="20"/>
        </w:rPr>
        <w:t xml:space="preserve">The following table presents a reconciliation of net revenue by the Company’s reportable segments to the Company’s consolidated net revenue as well as a reconciliation of consolidated segment operating income to the Company’s </w:t>
      </w:r>
      <w:r>
        <w:rPr>
          <w:rFonts w:ascii="Times New Roman" w:eastAsia="宋体" w:hAnsi="Times New Roman"/>
          <w:color w:val="000000"/>
          <w:sz w:val="20"/>
          <w:szCs w:val="20"/>
        </w:rPr>
        <w:t>consolidated operating income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2"/>
        <w:gridCol w:w="3127"/>
        <w:gridCol w:w="38"/>
        <w:gridCol w:w="135"/>
        <w:gridCol w:w="862"/>
        <w:gridCol w:w="41"/>
        <w:gridCol w:w="36"/>
        <w:gridCol w:w="36"/>
        <w:gridCol w:w="36"/>
        <w:gridCol w:w="135"/>
        <w:gridCol w:w="863"/>
        <w:gridCol w:w="41"/>
        <w:gridCol w:w="36"/>
        <w:gridCol w:w="36"/>
        <w:gridCol w:w="36"/>
        <w:gridCol w:w="135"/>
        <w:gridCol w:w="863"/>
        <w:gridCol w:w="41"/>
        <w:gridCol w:w="36"/>
        <w:gridCol w:w="36"/>
        <w:gridCol w:w="36"/>
        <w:gridCol w:w="135"/>
        <w:gridCol w:w="865"/>
        <w:gridCol w:w="41"/>
        <w:gridCol w:w="36"/>
        <w:gridCol w:w="36"/>
        <w:gridCol w:w="36"/>
        <w:gridCol w:w="36"/>
        <w:gridCol w:w="36"/>
        <w:gridCol w:w="36"/>
        <w:gridCol w:w="36"/>
        <w:gridCol w:w="36"/>
        <w:gridCol w:w="36"/>
        <w:gridCol w:w="36"/>
        <w:gridCol w:w="36"/>
        <w:gridCol w:w="36"/>
        <w:gridCol w:w="36"/>
        <w:gridCol w:w="36"/>
        <w:gridCol w:w="36"/>
        <w:gridCol w:w="36"/>
        <w:gridCol w:w="36"/>
        <w:gridCol w:w="36"/>
      </w:tblGrid>
      <w:tr w:rsidR="004D6A64" w14:paraId="33DAD1A3" w14:textId="77777777">
        <w:trPr>
          <w:gridAfter w:val="18"/>
        </w:trPr>
        <w:tc>
          <w:tcPr>
            <w:tcW w:w="50" w:type="pct"/>
            <w:shd w:val="clear" w:color="auto" w:fill="auto"/>
          </w:tcPr>
          <w:p w14:paraId="33DAD18B" w14:textId="77777777" w:rsidR="004D6A64" w:rsidRDefault="004D6A64">
            <w:pPr>
              <w:rPr>
                <w:rFonts w:ascii="宋体"/>
              </w:rPr>
            </w:pPr>
          </w:p>
        </w:tc>
        <w:tc>
          <w:tcPr>
            <w:tcW w:w="2137" w:type="pct"/>
            <w:shd w:val="clear" w:color="auto" w:fill="auto"/>
          </w:tcPr>
          <w:p w14:paraId="33DAD18C" w14:textId="77777777" w:rsidR="004D6A64" w:rsidRDefault="004D6A64">
            <w:pPr>
              <w:rPr>
                <w:rFonts w:ascii="宋体"/>
              </w:rPr>
            </w:pPr>
          </w:p>
        </w:tc>
        <w:tc>
          <w:tcPr>
            <w:tcW w:w="5" w:type="pct"/>
            <w:shd w:val="clear" w:color="auto" w:fill="auto"/>
          </w:tcPr>
          <w:p w14:paraId="33DAD18D" w14:textId="77777777" w:rsidR="004D6A64" w:rsidRDefault="004D6A64">
            <w:pPr>
              <w:rPr>
                <w:rFonts w:ascii="宋体"/>
              </w:rPr>
            </w:pPr>
          </w:p>
        </w:tc>
        <w:tc>
          <w:tcPr>
            <w:tcW w:w="50" w:type="pct"/>
            <w:shd w:val="clear" w:color="auto" w:fill="auto"/>
          </w:tcPr>
          <w:p w14:paraId="33DAD18E" w14:textId="77777777" w:rsidR="004D6A64" w:rsidRDefault="004D6A64">
            <w:pPr>
              <w:rPr>
                <w:rFonts w:ascii="宋体"/>
              </w:rPr>
            </w:pPr>
          </w:p>
        </w:tc>
        <w:tc>
          <w:tcPr>
            <w:tcW w:w="624" w:type="pct"/>
            <w:shd w:val="clear" w:color="auto" w:fill="auto"/>
          </w:tcPr>
          <w:p w14:paraId="33DAD18F" w14:textId="77777777" w:rsidR="004D6A64" w:rsidRDefault="004D6A64">
            <w:pPr>
              <w:rPr>
                <w:rFonts w:ascii="宋体"/>
              </w:rPr>
            </w:pPr>
          </w:p>
        </w:tc>
        <w:tc>
          <w:tcPr>
            <w:tcW w:w="5" w:type="pct"/>
            <w:shd w:val="clear" w:color="auto" w:fill="auto"/>
          </w:tcPr>
          <w:p w14:paraId="33DAD190" w14:textId="77777777" w:rsidR="004D6A64" w:rsidRDefault="004D6A64">
            <w:pPr>
              <w:rPr>
                <w:rFonts w:ascii="宋体"/>
              </w:rPr>
            </w:pPr>
          </w:p>
        </w:tc>
        <w:tc>
          <w:tcPr>
            <w:tcW w:w="5" w:type="pct"/>
            <w:shd w:val="clear" w:color="auto" w:fill="auto"/>
          </w:tcPr>
          <w:p w14:paraId="33DAD191" w14:textId="77777777" w:rsidR="004D6A64" w:rsidRDefault="004D6A64">
            <w:pPr>
              <w:rPr>
                <w:rFonts w:ascii="宋体"/>
              </w:rPr>
            </w:pPr>
          </w:p>
        </w:tc>
        <w:tc>
          <w:tcPr>
            <w:tcW w:w="19" w:type="pct"/>
            <w:shd w:val="clear" w:color="auto" w:fill="auto"/>
          </w:tcPr>
          <w:p w14:paraId="33DAD192" w14:textId="77777777" w:rsidR="004D6A64" w:rsidRDefault="004D6A64">
            <w:pPr>
              <w:rPr>
                <w:rFonts w:ascii="宋体"/>
              </w:rPr>
            </w:pPr>
          </w:p>
        </w:tc>
        <w:tc>
          <w:tcPr>
            <w:tcW w:w="5" w:type="pct"/>
            <w:shd w:val="clear" w:color="auto" w:fill="auto"/>
          </w:tcPr>
          <w:p w14:paraId="33DAD193" w14:textId="77777777" w:rsidR="004D6A64" w:rsidRDefault="004D6A64">
            <w:pPr>
              <w:rPr>
                <w:rFonts w:ascii="宋体"/>
              </w:rPr>
            </w:pPr>
          </w:p>
        </w:tc>
        <w:tc>
          <w:tcPr>
            <w:tcW w:w="50" w:type="pct"/>
            <w:shd w:val="clear" w:color="auto" w:fill="auto"/>
          </w:tcPr>
          <w:p w14:paraId="33DAD194" w14:textId="77777777" w:rsidR="004D6A64" w:rsidRDefault="004D6A64">
            <w:pPr>
              <w:rPr>
                <w:rFonts w:ascii="宋体"/>
              </w:rPr>
            </w:pPr>
          </w:p>
        </w:tc>
        <w:tc>
          <w:tcPr>
            <w:tcW w:w="624" w:type="pct"/>
            <w:shd w:val="clear" w:color="auto" w:fill="auto"/>
          </w:tcPr>
          <w:p w14:paraId="33DAD195" w14:textId="77777777" w:rsidR="004D6A64" w:rsidRDefault="004D6A64">
            <w:pPr>
              <w:rPr>
                <w:rFonts w:ascii="宋体"/>
              </w:rPr>
            </w:pPr>
          </w:p>
        </w:tc>
        <w:tc>
          <w:tcPr>
            <w:tcW w:w="5" w:type="pct"/>
            <w:shd w:val="clear" w:color="auto" w:fill="auto"/>
          </w:tcPr>
          <w:p w14:paraId="33DAD196" w14:textId="77777777" w:rsidR="004D6A64" w:rsidRDefault="004D6A64">
            <w:pPr>
              <w:rPr>
                <w:rFonts w:ascii="宋体"/>
              </w:rPr>
            </w:pPr>
          </w:p>
        </w:tc>
        <w:tc>
          <w:tcPr>
            <w:tcW w:w="5" w:type="pct"/>
            <w:shd w:val="clear" w:color="auto" w:fill="auto"/>
          </w:tcPr>
          <w:p w14:paraId="33DAD197" w14:textId="77777777" w:rsidR="004D6A64" w:rsidRDefault="004D6A64">
            <w:pPr>
              <w:rPr>
                <w:rFonts w:ascii="宋体"/>
              </w:rPr>
            </w:pPr>
          </w:p>
        </w:tc>
        <w:tc>
          <w:tcPr>
            <w:tcW w:w="19" w:type="pct"/>
            <w:shd w:val="clear" w:color="auto" w:fill="auto"/>
          </w:tcPr>
          <w:p w14:paraId="33DAD198" w14:textId="77777777" w:rsidR="004D6A64" w:rsidRDefault="004D6A64">
            <w:pPr>
              <w:rPr>
                <w:rFonts w:ascii="宋体"/>
              </w:rPr>
            </w:pPr>
          </w:p>
        </w:tc>
        <w:tc>
          <w:tcPr>
            <w:tcW w:w="5" w:type="pct"/>
            <w:shd w:val="clear" w:color="auto" w:fill="auto"/>
          </w:tcPr>
          <w:p w14:paraId="33DAD199" w14:textId="77777777" w:rsidR="004D6A64" w:rsidRDefault="004D6A64">
            <w:pPr>
              <w:rPr>
                <w:rFonts w:ascii="宋体"/>
              </w:rPr>
            </w:pPr>
          </w:p>
        </w:tc>
        <w:tc>
          <w:tcPr>
            <w:tcW w:w="50" w:type="pct"/>
            <w:shd w:val="clear" w:color="auto" w:fill="auto"/>
          </w:tcPr>
          <w:p w14:paraId="33DAD19A" w14:textId="77777777" w:rsidR="004D6A64" w:rsidRDefault="004D6A64">
            <w:pPr>
              <w:rPr>
                <w:rFonts w:ascii="宋体"/>
              </w:rPr>
            </w:pPr>
          </w:p>
        </w:tc>
        <w:tc>
          <w:tcPr>
            <w:tcW w:w="624" w:type="pct"/>
            <w:shd w:val="clear" w:color="auto" w:fill="auto"/>
          </w:tcPr>
          <w:p w14:paraId="33DAD19B" w14:textId="77777777" w:rsidR="004D6A64" w:rsidRDefault="004D6A64">
            <w:pPr>
              <w:rPr>
                <w:rFonts w:ascii="宋体"/>
              </w:rPr>
            </w:pPr>
          </w:p>
        </w:tc>
        <w:tc>
          <w:tcPr>
            <w:tcW w:w="5" w:type="pct"/>
            <w:shd w:val="clear" w:color="auto" w:fill="auto"/>
          </w:tcPr>
          <w:p w14:paraId="33DAD19C" w14:textId="77777777" w:rsidR="004D6A64" w:rsidRDefault="004D6A64">
            <w:pPr>
              <w:rPr>
                <w:rFonts w:ascii="宋体"/>
              </w:rPr>
            </w:pPr>
          </w:p>
        </w:tc>
        <w:tc>
          <w:tcPr>
            <w:tcW w:w="5" w:type="pct"/>
            <w:shd w:val="clear" w:color="auto" w:fill="auto"/>
          </w:tcPr>
          <w:p w14:paraId="33DAD19D" w14:textId="77777777" w:rsidR="004D6A64" w:rsidRDefault="004D6A64">
            <w:pPr>
              <w:rPr>
                <w:rFonts w:ascii="宋体"/>
              </w:rPr>
            </w:pPr>
          </w:p>
        </w:tc>
        <w:tc>
          <w:tcPr>
            <w:tcW w:w="19" w:type="pct"/>
            <w:shd w:val="clear" w:color="auto" w:fill="auto"/>
          </w:tcPr>
          <w:p w14:paraId="33DAD19E" w14:textId="77777777" w:rsidR="004D6A64" w:rsidRDefault="004D6A64">
            <w:pPr>
              <w:rPr>
                <w:rFonts w:ascii="宋体"/>
              </w:rPr>
            </w:pPr>
          </w:p>
        </w:tc>
        <w:tc>
          <w:tcPr>
            <w:tcW w:w="5" w:type="pct"/>
            <w:shd w:val="clear" w:color="auto" w:fill="auto"/>
          </w:tcPr>
          <w:p w14:paraId="33DAD19F" w14:textId="77777777" w:rsidR="004D6A64" w:rsidRDefault="004D6A64">
            <w:pPr>
              <w:rPr>
                <w:rFonts w:ascii="宋体"/>
              </w:rPr>
            </w:pPr>
          </w:p>
        </w:tc>
        <w:tc>
          <w:tcPr>
            <w:tcW w:w="50" w:type="pct"/>
            <w:shd w:val="clear" w:color="auto" w:fill="auto"/>
          </w:tcPr>
          <w:p w14:paraId="33DAD1A0" w14:textId="77777777" w:rsidR="004D6A64" w:rsidRDefault="004D6A64">
            <w:pPr>
              <w:rPr>
                <w:rFonts w:ascii="宋体"/>
              </w:rPr>
            </w:pPr>
          </w:p>
        </w:tc>
        <w:tc>
          <w:tcPr>
            <w:tcW w:w="625" w:type="pct"/>
            <w:shd w:val="clear" w:color="auto" w:fill="auto"/>
          </w:tcPr>
          <w:p w14:paraId="33DAD1A1" w14:textId="77777777" w:rsidR="004D6A64" w:rsidRDefault="004D6A64">
            <w:pPr>
              <w:rPr>
                <w:rFonts w:ascii="宋体"/>
              </w:rPr>
            </w:pPr>
          </w:p>
        </w:tc>
        <w:tc>
          <w:tcPr>
            <w:tcW w:w="5" w:type="pct"/>
            <w:shd w:val="clear" w:color="auto" w:fill="auto"/>
          </w:tcPr>
          <w:p w14:paraId="33DAD1A2" w14:textId="77777777" w:rsidR="004D6A64" w:rsidRDefault="004D6A64">
            <w:pPr>
              <w:rPr>
                <w:rFonts w:ascii="宋体"/>
              </w:rPr>
            </w:pPr>
          </w:p>
        </w:tc>
      </w:tr>
      <w:tr w:rsidR="004D6A64" w14:paraId="33DAD1AC" w14:textId="77777777">
        <w:trPr>
          <w:gridAfter w:val="6"/>
        </w:trPr>
        <w:tc>
          <w:tcPr>
            <w:tcW w:w="0" w:type="auto"/>
            <w:gridSpan w:val="3"/>
            <w:shd w:val="clear" w:color="auto" w:fill="auto"/>
            <w:tcMar>
              <w:top w:w="40" w:type="dxa"/>
              <w:left w:w="20" w:type="dxa"/>
              <w:bottom w:w="40" w:type="dxa"/>
              <w:right w:w="20" w:type="dxa"/>
            </w:tcMar>
            <w:vAlign w:val="bottom"/>
          </w:tcPr>
          <w:p w14:paraId="33DAD1A4" w14:textId="77777777" w:rsidR="004D6A64" w:rsidRDefault="00506CD6">
            <w:pPr>
              <w:jc w:val="center"/>
              <w:textAlignment w:val="bottom"/>
            </w:pPr>
            <w:r>
              <w:rPr>
                <w:rFonts w:ascii="Times New Roman" w:eastAsia="宋体" w:hAnsi="Times New Roman"/>
                <w:color w:val="000000"/>
                <w:sz w:val="20"/>
                <w:szCs w:val="20"/>
              </w:rPr>
              <w:t> </w:t>
            </w:r>
          </w:p>
        </w:tc>
        <w:tc>
          <w:tcPr>
            <w:tcW w:w="0" w:type="auto"/>
            <w:gridSpan w:val="9"/>
            <w:shd w:val="clear" w:color="auto" w:fill="auto"/>
            <w:tcMar>
              <w:top w:w="40" w:type="dxa"/>
              <w:left w:w="20" w:type="dxa"/>
              <w:bottom w:w="40" w:type="dxa"/>
              <w:right w:w="20" w:type="dxa"/>
            </w:tcMar>
            <w:vAlign w:val="bottom"/>
          </w:tcPr>
          <w:p w14:paraId="33DAD1A5" w14:textId="77777777" w:rsidR="004D6A64" w:rsidRDefault="00506CD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Pr>
          <w:p w14:paraId="33DAD1A6" w14:textId="77777777" w:rsidR="004D6A64" w:rsidRDefault="004D6A64">
            <w:pPr>
              <w:rPr>
                <w:rFonts w:ascii="宋体"/>
                <w:vanish/>
              </w:rPr>
            </w:pPr>
          </w:p>
        </w:tc>
        <w:tc>
          <w:tcPr>
            <w:tcW w:w="0" w:type="auto"/>
            <w:gridSpan w:val="3"/>
            <w:shd w:val="clear" w:color="auto" w:fill="auto"/>
          </w:tcPr>
          <w:p w14:paraId="33DAD1A7"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D1A8" w14:textId="77777777" w:rsidR="004D6A64" w:rsidRDefault="004D6A64">
            <w:pPr>
              <w:rPr>
                <w:rFonts w:ascii="宋体"/>
              </w:rPr>
            </w:pPr>
          </w:p>
        </w:tc>
        <w:tc>
          <w:tcPr>
            <w:tcW w:w="0" w:type="auto"/>
            <w:gridSpan w:val="9"/>
            <w:shd w:val="clear" w:color="auto" w:fill="auto"/>
            <w:tcMar>
              <w:top w:w="40" w:type="dxa"/>
              <w:left w:w="20" w:type="dxa"/>
              <w:bottom w:w="40" w:type="dxa"/>
              <w:right w:w="20" w:type="dxa"/>
            </w:tcMar>
            <w:vAlign w:val="bottom"/>
          </w:tcPr>
          <w:p w14:paraId="33DAD1A9" w14:textId="77777777" w:rsidR="004D6A64" w:rsidRDefault="00506CD6">
            <w:pPr>
              <w:jc w:val="center"/>
              <w:textAlignment w:val="bottom"/>
            </w:pPr>
            <w:r>
              <w:rPr>
                <w:rFonts w:ascii="Times New Roman" w:eastAsia="宋体" w:hAnsi="Times New Roman"/>
                <w:b/>
                <w:bCs/>
                <w:color w:val="000000"/>
                <w:sz w:val="20"/>
                <w:szCs w:val="20"/>
              </w:rPr>
              <w:t>Six Months Ended</w:t>
            </w:r>
          </w:p>
        </w:tc>
        <w:tc>
          <w:tcPr>
            <w:tcW w:w="0" w:type="auto"/>
            <w:gridSpan w:val="3"/>
            <w:shd w:val="clear" w:color="auto" w:fill="auto"/>
          </w:tcPr>
          <w:p w14:paraId="33DAD1AA" w14:textId="77777777" w:rsidR="004D6A64" w:rsidRDefault="004D6A64">
            <w:pPr>
              <w:rPr>
                <w:rFonts w:ascii="宋体"/>
                <w:vanish/>
              </w:rPr>
            </w:pPr>
          </w:p>
        </w:tc>
        <w:tc>
          <w:tcPr>
            <w:tcW w:w="0" w:type="auto"/>
            <w:gridSpan w:val="3"/>
            <w:shd w:val="clear" w:color="auto" w:fill="auto"/>
          </w:tcPr>
          <w:p w14:paraId="33DAD1AB" w14:textId="77777777" w:rsidR="004D6A64" w:rsidRDefault="004D6A64">
            <w:pPr>
              <w:rPr>
                <w:rFonts w:ascii="宋体"/>
                <w:vanish/>
              </w:rPr>
            </w:pPr>
          </w:p>
        </w:tc>
      </w:tr>
      <w:tr w:rsidR="004D6A64" w14:paraId="33DAD1C1" w14:textId="77777777">
        <w:trPr>
          <w:gridAfter w:val="6"/>
        </w:trPr>
        <w:tc>
          <w:tcPr>
            <w:tcW w:w="0" w:type="auto"/>
            <w:gridSpan w:val="3"/>
            <w:shd w:val="clear" w:color="auto" w:fill="auto"/>
            <w:tcMar>
              <w:top w:w="40" w:type="dxa"/>
              <w:left w:w="20" w:type="dxa"/>
              <w:bottom w:w="40" w:type="dxa"/>
              <w:right w:w="20" w:type="dxa"/>
            </w:tcMar>
            <w:vAlign w:val="bottom"/>
          </w:tcPr>
          <w:p w14:paraId="33DAD1AD" w14:textId="77777777" w:rsidR="004D6A64" w:rsidRDefault="00506CD6">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D1AE"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D1AF"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D1B0"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gridSpan w:val="3"/>
            <w:shd w:val="clear" w:color="auto" w:fill="auto"/>
            <w:tcMar>
              <w:left w:w="20" w:type="dxa"/>
              <w:right w:w="20" w:type="dxa"/>
            </w:tcMar>
            <w:vAlign w:val="bottom"/>
          </w:tcPr>
          <w:p w14:paraId="33DAD1B1"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D1B2"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D1B3"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D1B4"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shd w:val="clear" w:color="auto" w:fill="auto"/>
          </w:tcPr>
          <w:p w14:paraId="33DAD1B5" w14:textId="77777777" w:rsidR="004D6A64" w:rsidRDefault="004D6A64">
            <w:pPr>
              <w:rPr>
                <w:rFonts w:ascii="宋体"/>
              </w:rPr>
            </w:pPr>
          </w:p>
        </w:tc>
        <w:tc>
          <w:tcPr>
            <w:tcW w:w="0" w:type="auto"/>
            <w:shd w:val="clear" w:color="auto" w:fill="auto"/>
          </w:tcPr>
          <w:p w14:paraId="33DAD1B6" w14:textId="77777777" w:rsidR="004D6A64" w:rsidRDefault="004D6A64">
            <w:pPr>
              <w:rPr>
                <w:rFonts w:ascii="宋体"/>
              </w:rPr>
            </w:pPr>
          </w:p>
        </w:tc>
        <w:tc>
          <w:tcPr>
            <w:tcW w:w="0" w:type="auto"/>
            <w:shd w:val="clear" w:color="auto" w:fill="auto"/>
          </w:tcPr>
          <w:p w14:paraId="33DAD1B7" w14:textId="77777777" w:rsidR="004D6A64" w:rsidRDefault="004D6A64">
            <w:pPr>
              <w:rPr>
                <w:rFonts w:ascii="宋体"/>
              </w:rPr>
            </w:pPr>
          </w:p>
        </w:tc>
        <w:tc>
          <w:tcPr>
            <w:tcW w:w="0" w:type="auto"/>
            <w:shd w:val="clear" w:color="auto" w:fill="auto"/>
          </w:tcPr>
          <w:p w14:paraId="33DAD1B8" w14:textId="77777777" w:rsidR="004D6A64" w:rsidRDefault="004D6A64">
            <w:pPr>
              <w:rPr>
                <w:rFonts w:ascii="宋体"/>
              </w:rPr>
            </w:pPr>
          </w:p>
        </w:tc>
        <w:tc>
          <w:tcPr>
            <w:tcW w:w="0" w:type="auto"/>
            <w:shd w:val="clear" w:color="auto" w:fill="auto"/>
          </w:tcPr>
          <w:p w14:paraId="33DAD1B9" w14:textId="77777777" w:rsidR="004D6A64" w:rsidRDefault="004D6A64">
            <w:pPr>
              <w:rPr>
                <w:rFonts w:ascii="宋体"/>
              </w:rPr>
            </w:pPr>
          </w:p>
        </w:tc>
        <w:tc>
          <w:tcPr>
            <w:tcW w:w="0" w:type="auto"/>
            <w:shd w:val="clear" w:color="auto" w:fill="auto"/>
          </w:tcPr>
          <w:p w14:paraId="33DAD1BA" w14:textId="77777777" w:rsidR="004D6A64" w:rsidRDefault="004D6A64">
            <w:pPr>
              <w:rPr>
                <w:rFonts w:ascii="宋体"/>
              </w:rPr>
            </w:pPr>
          </w:p>
        </w:tc>
        <w:tc>
          <w:tcPr>
            <w:tcW w:w="0" w:type="auto"/>
            <w:shd w:val="clear" w:color="auto" w:fill="auto"/>
          </w:tcPr>
          <w:p w14:paraId="33DAD1BB" w14:textId="77777777" w:rsidR="004D6A64" w:rsidRDefault="004D6A64">
            <w:pPr>
              <w:rPr>
                <w:rFonts w:ascii="宋体"/>
              </w:rPr>
            </w:pPr>
          </w:p>
        </w:tc>
        <w:tc>
          <w:tcPr>
            <w:tcW w:w="0" w:type="auto"/>
            <w:shd w:val="clear" w:color="auto" w:fill="auto"/>
          </w:tcPr>
          <w:p w14:paraId="33DAD1BC" w14:textId="77777777" w:rsidR="004D6A64" w:rsidRDefault="004D6A64">
            <w:pPr>
              <w:rPr>
                <w:rFonts w:ascii="宋体"/>
              </w:rPr>
            </w:pPr>
          </w:p>
        </w:tc>
        <w:tc>
          <w:tcPr>
            <w:tcW w:w="0" w:type="auto"/>
            <w:shd w:val="clear" w:color="auto" w:fill="auto"/>
          </w:tcPr>
          <w:p w14:paraId="33DAD1BD" w14:textId="77777777" w:rsidR="004D6A64" w:rsidRDefault="004D6A64">
            <w:pPr>
              <w:rPr>
                <w:rFonts w:ascii="宋体"/>
              </w:rPr>
            </w:pPr>
          </w:p>
        </w:tc>
        <w:tc>
          <w:tcPr>
            <w:tcW w:w="0" w:type="auto"/>
            <w:shd w:val="clear" w:color="auto" w:fill="auto"/>
          </w:tcPr>
          <w:p w14:paraId="33DAD1BE" w14:textId="77777777" w:rsidR="004D6A64" w:rsidRDefault="004D6A64">
            <w:pPr>
              <w:rPr>
                <w:rFonts w:ascii="宋体"/>
              </w:rPr>
            </w:pPr>
          </w:p>
        </w:tc>
        <w:tc>
          <w:tcPr>
            <w:tcW w:w="0" w:type="auto"/>
            <w:shd w:val="clear" w:color="auto" w:fill="auto"/>
          </w:tcPr>
          <w:p w14:paraId="33DAD1BF" w14:textId="77777777" w:rsidR="004D6A64" w:rsidRDefault="004D6A64">
            <w:pPr>
              <w:rPr>
                <w:rFonts w:ascii="宋体"/>
              </w:rPr>
            </w:pPr>
          </w:p>
        </w:tc>
        <w:tc>
          <w:tcPr>
            <w:tcW w:w="0" w:type="auto"/>
            <w:shd w:val="clear" w:color="auto" w:fill="auto"/>
          </w:tcPr>
          <w:p w14:paraId="33DAD1C0" w14:textId="77777777" w:rsidR="004D6A64" w:rsidRDefault="004D6A64">
            <w:pPr>
              <w:rPr>
                <w:rFonts w:ascii="宋体"/>
              </w:rPr>
            </w:pPr>
          </w:p>
        </w:tc>
      </w:tr>
      <w:tr w:rsidR="004D6A64" w14:paraId="33DAD1CA" w14:textId="77777777">
        <w:tc>
          <w:tcPr>
            <w:tcW w:w="0" w:type="auto"/>
            <w:gridSpan w:val="3"/>
            <w:shd w:val="clear" w:color="auto" w:fill="auto"/>
            <w:tcMar>
              <w:top w:w="40" w:type="dxa"/>
              <w:left w:w="20" w:type="dxa"/>
              <w:bottom w:w="40" w:type="dxa"/>
              <w:right w:w="20" w:type="dxa"/>
            </w:tcMar>
            <w:vAlign w:val="center"/>
          </w:tcPr>
          <w:p w14:paraId="33DAD1C2" w14:textId="77777777" w:rsidR="004D6A64" w:rsidRDefault="00506CD6">
            <w:pPr>
              <w:jc w:val="center"/>
              <w:textAlignment w:val="center"/>
            </w:pPr>
            <w:r>
              <w:rPr>
                <w:rFonts w:ascii="Times New Roman" w:eastAsia="宋体" w:hAnsi="Times New Roman"/>
                <w:color w:val="000000"/>
                <w:sz w:val="20"/>
                <w:szCs w:val="20"/>
              </w:rPr>
              <w:t> </w:t>
            </w: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33DAD1C3" w14:textId="77777777" w:rsidR="004D6A64" w:rsidRDefault="00506CD6">
            <w:pPr>
              <w:jc w:val="center"/>
              <w:textAlignment w:val="center"/>
            </w:pPr>
            <w:r>
              <w:rPr>
                <w:rFonts w:ascii="Times New Roman" w:eastAsia="宋体" w:hAnsi="Times New Roman"/>
                <w:color w:val="000000"/>
                <w:sz w:val="20"/>
                <w:szCs w:val="20"/>
              </w:rPr>
              <w:t>(in</w:t>
            </w:r>
            <w:r>
              <w:rPr>
                <w:rFonts w:ascii="Times New Roman" w:eastAsia="宋体" w:hAnsi="Times New Roman"/>
                <w:color w:val="000000"/>
                <w:sz w:val="20"/>
                <w:szCs w:val="20"/>
              </w:rPr>
              <w:t xml:space="preserve"> millions)</w:t>
            </w:r>
          </w:p>
        </w:tc>
        <w:tc>
          <w:tcPr>
            <w:tcW w:w="0" w:type="auto"/>
            <w:gridSpan w:val="3"/>
            <w:shd w:val="clear" w:color="auto" w:fill="auto"/>
          </w:tcPr>
          <w:p w14:paraId="33DAD1C4" w14:textId="77777777" w:rsidR="004D6A64" w:rsidRDefault="004D6A64">
            <w:pPr>
              <w:rPr>
                <w:rFonts w:ascii="宋体"/>
                <w:vanish/>
              </w:rPr>
            </w:pPr>
          </w:p>
        </w:tc>
        <w:tc>
          <w:tcPr>
            <w:tcW w:w="0" w:type="auto"/>
            <w:gridSpan w:val="3"/>
            <w:shd w:val="clear" w:color="auto" w:fill="auto"/>
          </w:tcPr>
          <w:p w14:paraId="33DAD1C5" w14:textId="77777777" w:rsidR="004D6A64" w:rsidRDefault="004D6A64">
            <w:pPr>
              <w:rPr>
                <w:rFonts w:ascii="宋体"/>
                <w:vanish/>
              </w:rPr>
            </w:pPr>
          </w:p>
        </w:tc>
        <w:tc>
          <w:tcPr>
            <w:tcW w:w="0" w:type="auto"/>
            <w:gridSpan w:val="3"/>
            <w:shd w:val="clear" w:color="auto" w:fill="auto"/>
          </w:tcPr>
          <w:p w14:paraId="33DAD1C6" w14:textId="77777777" w:rsidR="004D6A64" w:rsidRDefault="004D6A64">
            <w:pPr>
              <w:rPr>
                <w:rFonts w:ascii="宋体"/>
                <w:vanish/>
              </w:rPr>
            </w:pPr>
          </w:p>
        </w:tc>
        <w:tc>
          <w:tcPr>
            <w:tcW w:w="0" w:type="auto"/>
            <w:gridSpan w:val="3"/>
            <w:shd w:val="clear" w:color="auto" w:fill="auto"/>
          </w:tcPr>
          <w:p w14:paraId="33DAD1C7" w14:textId="77777777" w:rsidR="004D6A64" w:rsidRDefault="004D6A64">
            <w:pPr>
              <w:rPr>
                <w:rFonts w:ascii="宋体"/>
                <w:vanish/>
              </w:rPr>
            </w:pPr>
          </w:p>
        </w:tc>
        <w:tc>
          <w:tcPr>
            <w:tcW w:w="0" w:type="auto"/>
            <w:gridSpan w:val="3"/>
            <w:shd w:val="clear" w:color="auto" w:fill="auto"/>
          </w:tcPr>
          <w:p w14:paraId="33DAD1C8" w14:textId="77777777" w:rsidR="004D6A64" w:rsidRDefault="004D6A64">
            <w:pPr>
              <w:rPr>
                <w:rFonts w:ascii="宋体"/>
                <w:vanish/>
              </w:rPr>
            </w:pPr>
          </w:p>
        </w:tc>
        <w:tc>
          <w:tcPr>
            <w:tcW w:w="0" w:type="auto"/>
            <w:gridSpan w:val="3"/>
            <w:shd w:val="clear" w:color="auto" w:fill="auto"/>
          </w:tcPr>
          <w:p w14:paraId="33DAD1C9" w14:textId="77777777" w:rsidR="004D6A64" w:rsidRDefault="004D6A64">
            <w:pPr>
              <w:rPr>
                <w:rFonts w:ascii="宋体"/>
                <w:vanish/>
              </w:rPr>
            </w:pPr>
          </w:p>
        </w:tc>
      </w:tr>
      <w:tr w:rsidR="004D6A64" w14:paraId="33DAD1E5" w14:textId="77777777">
        <w:tc>
          <w:tcPr>
            <w:tcW w:w="0" w:type="auto"/>
            <w:gridSpan w:val="3"/>
            <w:shd w:val="clear" w:color="auto" w:fill="CCEEFF"/>
            <w:tcMar>
              <w:top w:w="40" w:type="dxa"/>
              <w:left w:w="20" w:type="dxa"/>
              <w:bottom w:w="40" w:type="dxa"/>
              <w:right w:w="20" w:type="dxa"/>
            </w:tcMar>
            <w:vAlign w:val="center"/>
          </w:tcPr>
          <w:p w14:paraId="33DAD1CB" w14:textId="77777777" w:rsidR="004D6A64" w:rsidRDefault="00506CD6">
            <w:pPr>
              <w:textAlignment w:val="center"/>
            </w:pPr>
            <w:r>
              <w:rPr>
                <w:rFonts w:ascii="Times New Roman" w:eastAsia="宋体" w:hAnsi="Times New Roman"/>
                <w:i/>
                <w:iCs/>
                <w:color w:val="000000"/>
                <w:sz w:val="20"/>
                <w:szCs w:val="20"/>
              </w:rPr>
              <w:t>Consolidated net revenue:</w:t>
            </w:r>
          </w:p>
        </w:tc>
        <w:tc>
          <w:tcPr>
            <w:tcW w:w="0" w:type="auto"/>
            <w:gridSpan w:val="3"/>
            <w:shd w:val="clear" w:color="auto" w:fill="CCEEFF"/>
            <w:tcMar>
              <w:top w:w="40" w:type="dxa"/>
              <w:left w:w="20" w:type="dxa"/>
              <w:bottom w:w="40" w:type="dxa"/>
              <w:right w:w="20" w:type="dxa"/>
            </w:tcMar>
            <w:vAlign w:val="center"/>
          </w:tcPr>
          <w:p w14:paraId="33DAD1CC" w14:textId="77777777" w:rsidR="004D6A64" w:rsidRDefault="00506CD6">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left w:w="20" w:type="dxa"/>
              <w:right w:w="20" w:type="dxa"/>
            </w:tcMar>
            <w:vAlign w:val="bottom"/>
          </w:tcPr>
          <w:p w14:paraId="33DAD1C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1CE"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1CF" w14:textId="77777777" w:rsidR="004D6A64" w:rsidRDefault="004D6A64">
            <w:pPr>
              <w:rPr>
                <w:rFonts w:ascii="宋体"/>
              </w:rPr>
            </w:pPr>
          </w:p>
        </w:tc>
        <w:tc>
          <w:tcPr>
            <w:tcW w:w="0" w:type="auto"/>
            <w:gridSpan w:val="3"/>
            <w:shd w:val="clear" w:color="auto" w:fill="CCEEFF"/>
            <w:tcMar>
              <w:top w:w="40" w:type="dxa"/>
              <w:left w:w="20" w:type="dxa"/>
              <w:bottom w:w="40" w:type="dxa"/>
              <w:right w:w="20" w:type="dxa"/>
            </w:tcMar>
            <w:vAlign w:val="center"/>
          </w:tcPr>
          <w:p w14:paraId="33DAD1D0" w14:textId="77777777" w:rsidR="004D6A64" w:rsidRDefault="00506CD6">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left w:w="20" w:type="dxa"/>
              <w:right w:w="20" w:type="dxa"/>
            </w:tcMar>
            <w:vAlign w:val="bottom"/>
          </w:tcPr>
          <w:p w14:paraId="33DAD1D1" w14:textId="77777777" w:rsidR="004D6A64" w:rsidRDefault="004D6A64">
            <w:pPr>
              <w:rPr>
                <w:rFonts w:ascii="宋体"/>
              </w:rPr>
            </w:pPr>
          </w:p>
        </w:tc>
        <w:tc>
          <w:tcPr>
            <w:tcW w:w="0" w:type="auto"/>
            <w:gridSpan w:val="3"/>
            <w:shd w:val="clear" w:color="auto" w:fill="CCEEFF"/>
            <w:tcMar>
              <w:top w:w="40" w:type="dxa"/>
              <w:left w:w="20" w:type="dxa"/>
              <w:bottom w:w="40" w:type="dxa"/>
              <w:right w:w="20" w:type="dxa"/>
            </w:tcMar>
            <w:vAlign w:val="center"/>
          </w:tcPr>
          <w:p w14:paraId="33DAD1D2"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auto"/>
          </w:tcPr>
          <w:p w14:paraId="33DAD1D3" w14:textId="77777777" w:rsidR="004D6A64" w:rsidRDefault="004D6A64">
            <w:pPr>
              <w:rPr>
                <w:rFonts w:ascii="宋体"/>
              </w:rPr>
            </w:pPr>
          </w:p>
        </w:tc>
        <w:tc>
          <w:tcPr>
            <w:tcW w:w="0" w:type="auto"/>
            <w:shd w:val="clear" w:color="auto" w:fill="auto"/>
          </w:tcPr>
          <w:p w14:paraId="33DAD1D4" w14:textId="77777777" w:rsidR="004D6A64" w:rsidRDefault="004D6A64">
            <w:pPr>
              <w:rPr>
                <w:rFonts w:ascii="宋体"/>
              </w:rPr>
            </w:pPr>
          </w:p>
        </w:tc>
        <w:tc>
          <w:tcPr>
            <w:tcW w:w="0" w:type="auto"/>
            <w:shd w:val="clear" w:color="auto" w:fill="auto"/>
          </w:tcPr>
          <w:p w14:paraId="33DAD1D5" w14:textId="77777777" w:rsidR="004D6A64" w:rsidRDefault="004D6A64">
            <w:pPr>
              <w:rPr>
                <w:rFonts w:ascii="宋体"/>
              </w:rPr>
            </w:pPr>
          </w:p>
        </w:tc>
        <w:tc>
          <w:tcPr>
            <w:tcW w:w="0" w:type="auto"/>
            <w:shd w:val="clear" w:color="auto" w:fill="auto"/>
          </w:tcPr>
          <w:p w14:paraId="33DAD1D6" w14:textId="77777777" w:rsidR="004D6A64" w:rsidRDefault="004D6A64">
            <w:pPr>
              <w:rPr>
                <w:rFonts w:ascii="宋体"/>
              </w:rPr>
            </w:pPr>
          </w:p>
        </w:tc>
        <w:tc>
          <w:tcPr>
            <w:tcW w:w="0" w:type="auto"/>
            <w:shd w:val="clear" w:color="auto" w:fill="auto"/>
          </w:tcPr>
          <w:p w14:paraId="33DAD1D7" w14:textId="77777777" w:rsidR="004D6A64" w:rsidRDefault="004D6A64">
            <w:pPr>
              <w:rPr>
                <w:rFonts w:ascii="宋体"/>
              </w:rPr>
            </w:pPr>
          </w:p>
        </w:tc>
        <w:tc>
          <w:tcPr>
            <w:tcW w:w="0" w:type="auto"/>
            <w:shd w:val="clear" w:color="auto" w:fill="auto"/>
          </w:tcPr>
          <w:p w14:paraId="33DAD1D8" w14:textId="77777777" w:rsidR="004D6A64" w:rsidRDefault="004D6A64">
            <w:pPr>
              <w:rPr>
                <w:rFonts w:ascii="宋体"/>
              </w:rPr>
            </w:pPr>
          </w:p>
        </w:tc>
        <w:tc>
          <w:tcPr>
            <w:tcW w:w="0" w:type="auto"/>
            <w:shd w:val="clear" w:color="auto" w:fill="auto"/>
          </w:tcPr>
          <w:p w14:paraId="33DAD1D9" w14:textId="77777777" w:rsidR="004D6A64" w:rsidRDefault="004D6A64">
            <w:pPr>
              <w:rPr>
                <w:rFonts w:ascii="宋体"/>
              </w:rPr>
            </w:pPr>
          </w:p>
        </w:tc>
        <w:tc>
          <w:tcPr>
            <w:tcW w:w="0" w:type="auto"/>
            <w:shd w:val="clear" w:color="auto" w:fill="auto"/>
          </w:tcPr>
          <w:p w14:paraId="33DAD1DA" w14:textId="77777777" w:rsidR="004D6A64" w:rsidRDefault="004D6A64">
            <w:pPr>
              <w:rPr>
                <w:rFonts w:ascii="宋体"/>
              </w:rPr>
            </w:pPr>
          </w:p>
        </w:tc>
        <w:tc>
          <w:tcPr>
            <w:tcW w:w="0" w:type="auto"/>
            <w:shd w:val="clear" w:color="auto" w:fill="auto"/>
          </w:tcPr>
          <w:p w14:paraId="33DAD1DB" w14:textId="77777777" w:rsidR="004D6A64" w:rsidRDefault="004D6A64">
            <w:pPr>
              <w:rPr>
                <w:rFonts w:ascii="宋体"/>
              </w:rPr>
            </w:pPr>
          </w:p>
        </w:tc>
        <w:tc>
          <w:tcPr>
            <w:tcW w:w="0" w:type="auto"/>
            <w:shd w:val="clear" w:color="auto" w:fill="auto"/>
          </w:tcPr>
          <w:p w14:paraId="33DAD1DC" w14:textId="77777777" w:rsidR="004D6A64" w:rsidRDefault="004D6A64">
            <w:pPr>
              <w:rPr>
                <w:rFonts w:ascii="宋体"/>
              </w:rPr>
            </w:pPr>
          </w:p>
        </w:tc>
        <w:tc>
          <w:tcPr>
            <w:tcW w:w="0" w:type="auto"/>
            <w:shd w:val="clear" w:color="auto" w:fill="auto"/>
          </w:tcPr>
          <w:p w14:paraId="33DAD1DD" w14:textId="77777777" w:rsidR="004D6A64" w:rsidRDefault="004D6A64">
            <w:pPr>
              <w:rPr>
                <w:rFonts w:ascii="宋体"/>
              </w:rPr>
            </w:pPr>
          </w:p>
        </w:tc>
        <w:tc>
          <w:tcPr>
            <w:tcW w:w="0" w:type="auto"/>
            <w:shd w:val="clear" w:color="auto" w:fill="auto"/>
          </w:tcPr>
          <w:p w14:paraId="33DAD1DE" w14:textId="77777777" w:rsidR="004D6A64" w:rsidRDefault="004D6A64">
            <w:pPr>
              <w:rPr>
                <w:rFonts w:ascii="宋体"/>
              </w:rPr>
            </w:pPr>
          </w:p>
        </w:tc>
        <w:tc>
          <w:tcPr>
            <w:tcW w:w="0" w:type="auto"/>
            <w:shd w:val="clear" w:color="auto" w:fill="auto"/>
          </w:tcPr>
          <w:p w14:paraId="33DAD1DF" w14:textId="77777777" w:rsidR="004D6A64" w:rsidRDefault="004D6A64">
            <w:pPr>
              <w:rPr>
                <w:rFonts w:ascii="宋体"/>
              </w:rPr>
            </w:pPr>
          </w:p>
        </w:tc>
        <w:tc>
          <w:tcPr>
            <w:tcW w:w="0" w:type="auto"/>
            <w:shd w:val="clear" w:color="auto" w:fill="auto"/>
          </w:tcPr>
          <w:p w14:paraId="33DAD1E0" w14:textId="77777777" w:rsidR="004D6A64" w:rsidRDefault="004D6A64">
            <w:pPr>
              <w:rPr>
                <w:rFonts w:ascii="宋体"/>
              </w:rPr>
            </w:pPr>
          </w:p>
        </w:tc>
        <w:tc>
          <w:tcPr>
            <w:tcW w:w="0" w:type="auto"/>
            <w:shd w:val="clear" w:color="auto" w:fill="auto"/>
          </w:tcPr>
          <w:p w14:paraId="33DAD1E1" w14:textId="77777777" w:rsidR="004D6A64" w:rsidRDefault="004D6A64">
            <w:pPr>
              <w:rPr>
                <w:rFonts w:ascii="宋体"/>
              </w:rPr>
            </w:pPr>
          </w:p>
        </w:tc>
        <w:tc>
          <w:tcPr>
            <w:tcW w:w="0" w:type="auto"/>
            <w:shd w:val="clear" w:color="auto" w:fill="auto"/>
          </w:tcPr>
          <w:p w14:paraId="33DAD1E2" w14:textId="77777777" w:rsidR="004D6A64" w:rsidRDefault="004D6A64">
            <w:pPr>
              <w:rPr>
                <w:rFonts w:ascii="宋体"/>
              </w:rPr>
            </w:pPr>
          </w:p>
        </w:tc>
        <w:tc>
          <w:tcPr>
            <w:tcW w:w="0" w:type="auto"/>
            <w:shd w:val="clear" w:color="auto" w:fill="auto"/>
          </w:tcPr>
          <w:p w14:paraId="33DAD1E3" w14:textId="77777777" w:rsidR="004D6A64" w:rsidRDefault="004D6A64">
            <w:pPr>
              <w:rPr>
                <w:rFonts w:ascii="宋体"/>
              </w:rPr>
            </w:pPr>
          </w:p>
        </w:tc>
        <w:tc>
          <w:tcPr>
            <w:tcW w:w="0" w:type="auto"/>
            <w:shd w:val="clear" w:color="auto" w:fill="auto"/>
          </w:tcPr>
          <w:p w14:paraId="33DAD1E4" w14:textId="77777777" w:rsidR="004D6A64" w:rsidRDefault="004D6A64">
            <w:pPr>
              <w:rPr>
                <w:rFonts w:ascii="宋体"/>
              </w:rPr>
            </w:pPr>
          </w:p>
        </w:tc>
      </w:tr>
      <w:tr w:rsidR="004D6A64" w14:paraId="33DAD208" w14:textId="77777777">
        <w:tc>
          <w:tcPr>
            <w:tcW w:w="0" w:type="auto"/>
            <w:gridSpan w:val="3"/>
            <w:shd w:val="clear" w:color="auto" w:fill="FFFFFF"/>
            <w:tcMar>
              <w:top w:w="40" w:type="dxa"/>
              <w:left w:w="20" w:type="dxa"/>
              <w:bottom w:w="40" w:type="dxa"/>
              <w:right w:w="20" w:type="dxa"/>
            </w:tcMar>
            <w:vAlign w:val="center"/>
          </w:tcPr>
          <w:p w14:paraId="33DAD1E6" w14:textId="77777777" w:rsidR="004D6A64" w:rsidRDefault="00506CD6">
            <w:pPr>
              <w:textAlignment w:val="center"/>
            </w:pPr>
            <w:r>
              <w:rPr>
                <w:rFonts w:ascii="Times New Roman" w:eastAsia="宋体" w:hAnsi="Times New Roman"/>
                <w:color w:val="000000"/>
                <w:sz w:val="20"/>
                <w:szCs w:val="20"/>
              </w:rPr>
              <w:t>Infrastructure Solutions Group</w:t>
            </w:r>
          </w:p>
        </w:tc>
        <w:tc>
          <w:tcPr>
            <w:tcW w:w="0" w:type="auto"/>
            <w:shd w:val="clear" w:color="auto" w:fill="FFFFFF"/>
            <w:tcMar>
              <w:top w:w="40" w:type="dxa"/>
              <w:left w:w="20" w:type="dxa"/>
              <w:bottom w:w="40" w:type="dxa"/>
            </w:tcMar>
            <w:vAlign w:val="center"/>
          </w:tcPr>
          <w:p w14:paraId="33DAD1E7"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D1E8" w14:textId="77777777" w:rsidR="004D6A64" w:rsidRDefault="00506CD6">
            <w:pPr>
              <w:jc w:val="right"/>
              <w:textAlignment w:val="center"/>
            </w:pPr>
            <w:r>
              <w:rPr>
                <w:rFonts w:ascii="Times New Roman" w:eastAsia="宋体" w:hAnsi="Times New Roman"/>
                <w:color w:val="000000"/>
                <w:sz w:val="20"/>
                <w:szCs w:val="20"/>
              </w:rPr>
              <w:t>8,207 </w:t>
            </w:r>
          </w:p>
        </w:tc>
        <w:tc>
          <w:tcPr>
            <w:tcW w:w="0" w:type="auto"/>
            <w:shd w:val="clear" w:color="auto" w:fill="FFFFFF"/>
            <w:tcMar>
              <w:top w:w="40" w:type="dxa"/>
              <w:bottom w:w="40" w:type="dxa"/>
              <w:right w:w="20" w:type="dxa"/>
            </w:tcMar>
            <w:vAlign w:val="center"/>
          </w:tcPr>
          <w:p w14:paraId="33DAD1E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1EA"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D1EB"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D1EC" w14:textId="77777777" w:rsidR="004D6A64" w:rsidRDefault="00506CD6">
            <w:pPr>
              <w:jc w:val="right"/>
              <w:textAlignment w:val="center"/>
            </w:pPr>
            <w:r>
              <w:rPr>
                <w:rFonts w:ascii="Times New Roman" w:eastAsia="宋体" w:hAnsi="Times New Roman"/>
                <w:color w:val="000000"/>
                <w:sz w:val="20"/>
                <w:szCs w:val="20"/>
              </w:rPr>
              <w:t>8,621 </w:t>
            </w:r>
          </w:p>
        </w:tc>
        <w:tc>
          <w:tcPr>
            <w:tcW w:w="0" w:type="auto"/>
            <w:shd w:val="clear" w:color="auto" w:fill="FFFFFF"/>
            <w:tcMar>
              <w:top w:w="40" w:type="dxa"/>
              <w:bottom w:w="40" w:type="dxa"/>
              <w:right w:w="20" w:type="dxa"/>
            </w:tcMar>
            <w:vAlign w:val="center"/>
          </w:tcPr>
          <w:p w14:paraId="33DAD1E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1EE"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D1EF"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D1F0" w14:textId="77777777" w:rsidR="004D6A64" w:rsidRDefault="00506CD6">
            <w:pPr>
              <w:jc w:val="right"/>
              <w:textAlignment w:val="center"/>
            </w:pPr>
            <w:r>
              <w:rPr>
                <w:rFonts w:ascii="Times New Roman" w:eastAsia="宋体" w:hAnsi="Times New Roman"/>
                <w:color w:val="000000"/>
                <w:sz w:val="20"/>
                <w:szCs w:val="20"/>
              </w:rPr>
              <w:t>15,776 </w:t>
            </w:r>
          </w:p>
        </w:tc>
        <w:tc>
          <w:tcPr>
            <w:tcW w:w="0" w:type="auto"/>
            <w:shd w:val="clear" w:color="auto" w:fill="FFFFFF"/>
            <w:tcMar>
              <w:top w:w="40" w:type="dxa"/>
              <w:bottom w:w="40" w:type="dxa"/>
              <w:right w:w="20" w:type="dxa"/>
            </w:tcMar>
            <w:vAlign w:val="center"/>
          </w:tcPr>
          <w:p w14:paraId="33DAD1F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1F2"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D1F3"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D1F4" w14:textId="77777777" w:rsidR="004D6A64" w:rsidRDefault="00506CD6">
            <w:pPr>
              <w:jc w:val="right"/>
              <w:textAlignment w:val="center"/>
            </w:pPr>
            <w:r>
              <w:rPr>
                <w:rFonts w:ascii="Times New Roman" w:eastAsia="宋体" w:hAnsi="Times New Roman"/>
                <w:color w:val="000000"/>
                <w:sz w:val="20"/>
                <w:szCs w:val="20"/>
              </w:rPr>
              <w:t>16,823 </w:t>
            </w:r>
          </w:p>
        </w:tc>
        <w:tc>
          <w:tcPr>
            <w:tcW w:w="0" w:type="auto"/>
            <w:shd w:val="clear" w:color="auto" w:fill="FFFFFF"/>
            <w:tcMar>
              <w:top w:w="40" w:type="dxa"/>
              <w:bottom w:w="40" w:type="dxa"/>
              <w:right w:w="20" w:type="dxa"/>
            </w:tcMar>
            <w:vAlign w:val="center"/>
          </w:tcPr>
          <w:p w14:paraId="33DAD1F5" w14:textId="77777777" w:rsidR="004D6A64" w:rsidRDefault="004D6A64">
            <w:pPr>
              <w:jc w:val="right"/>
              <w:rPr>
                <w:rFonts w:ascii="宋体"/>
              </w:rPr>
            </w:pPr>
          </w:p>
        </w:tc>
        <w:tc>
          <w:tcPr>
            <w:tcW w:w="0" w:type="auto"/>
            <w:shd w:val="clear" w:color="auto" w:fill="auto"/>
          </w:tcPr>
          <w:p w14:paraId="33DAD1F6" w14:textId="77777777" w:rsidR="004D6A64" w:rsidRDefault="004D6A64">
            <w:pPr>
              <w:rPr>
                <w:rFonts w:ascii="宋体"/>
              </w:rPr>
            </w:pPr>
          </w:p>
        </w:tc>
        <w:tc>
          <w:tcPr>
            <w:tcW w:w="0" w:type="auto"/>
            <w:shd w:val="clear" w:color="auto" w:fill="auto"/>
          </w:tcPr>
          <w:p w14:paraId="33DAD1F7" w14:textId="77777777" w:rsidR="004D6A64" w:rsidRDefault="004D6A64">
            <w:pPr>
              <w:rPr>
                <w:rFonts w:ascii="宋体"/>
              </w:rPr>
            </w:pPr>
          </w:p>
        </w:tc>
        <w:tc>
          <w:tcPr>
            <w:tcW w:w="0" w:type="auto"/>
            <w:shd w:val="clear" w:color="auto" w:fill="auto"/>
          </w:tcPr>
          <w:p w14:paraId="33DAD1F8" w14:textId="77777777" w:rsidR="004D6A64" w:rsidRDefault="004D6A64">
            <w:pPr>
              <w:rPr>
                <w:rFonts w:ascii="宋体"/>
              </w:rPr>
            </w:pPr>
          </w:p>
        </w:tc>
        <w:tc>
          <w:tcPr>
            <w:tcW w:w="0" w:type="auto"/>
            <w:shd w:val="clear" w:color="auto" w:fill="auto"/>
          </w:tcPr>
          <w:p w14:paraId="33DAD1F9" w14:textId="77777777" w:rsidR="004D6A64" w:rsidRDefault="004D6A64">
            <w:pPr>
              <w:rPr>
                <w:rFonts w:ascii="宋体"/>
              </w:rPr>
            </w:pPr>
          </w:p>
        </w:tc>
        <w:tc>
          <w:tcPr>
            <w:tcW w:w="0" w:type="auto"/>
            <w:shd w:val="clear" w:color="auto" w:fill="auto"/>
          </w:tcPr>
          <w:p w14:paraId="33DAD1FA" w14:textId="77777777" w:rsidR="004D6A64" w:rsidRDefault="004D6A64">
            <w:pPr>
              <w:rPr>
                <w:rFonts w:ascii="宋体"/>
              </w:rPr>
            </w:pPr>
          </w:p>
        </w:tc>
        <w:tc>
          <w:tcPr>
            <w:tcW w:w="0" w:type="auto"/>
            <w:shd w:val="clear" w:color="auto" w:fill="auto"/>
          </w:tcPr>
          <w:p w14:paraId="33DAD1FB" w14:textId="77777777" w:rsidR="004D6A64" w:rsidRDefault="004D6A64">
            <w:pPr>
              <w:rPr>
                <w:rFonts w:ascii="宋体"/>
              </w:rPr>
            </w:pPr>
          </w:p>
        </w:tc>
        <w:tc>
          <w:tcPr>
            <w:tcW w:w="0" w:type="auto"/>
            <w:shd w:val="clear" w:color="auto" w:fill="auto"/>
          </w:tcPr>
          <w:p w14:paraId="33DAD1FC" w14:textId="77777777" w:rsidR="004D6A64" w:rsidRDefault="004D6A64">
            <w:pPr>
              <w:rPr>
                <w:rFonts w:ascii="宋体"/>
              </w:rPr>
            </w:pPr>
          </w:p>
        </w:tc>
        <w:tc>
          <w:tcPr>
            <w:tcW w:w="0" w:type="auto"/>
            <w:shd w:val="clear" w:color="auto" w:fill="auto"/>
          </w:tcPr>
          <w:p w14:paraId="33DAD1FD" w14:textId="77777777" w:rsidR="004D6A64" w:rsidRDefault="004D6A64">
            <w:pPr>
              <w:rPr>
                <w:rFonts w:ascii="宋体"/>
              </w:rPr>
            </w:pPr>
          </w:p>
        </w:tc>
        <w:tc>
          <w:tcPr>
            <w:tcW w:w="0" w:type="auto"/>
            <w:shd w:val="clear" w:color="auto" w:fill="auto"/>
          </w:tcPr>
          <w:p w14:paraId="33DAD1FE" w14:textId="77777777" w:rsidR="004D6A64" w:rsidRDefault="004D6A64">
            <w:pPr>
              <w:rPr>
                <w:rFonts w:ascii="宋体"/>
              </w:rPr>
            </w:pPr>
          </w:p>
        </w:tc>
        <w:tc>
          <w:tcPr>
            <w:tcW w:w="0" w:type="auto"/>
            <w:shd w:val="clear" w:color="auto" w:fill="auto"/>
          </w:tcPr>
          <w:p w14:paraId="33DAD1FF" w14:textId="77777777" w:rsidR="004D6A64" w:rsidRDefault="004D6A64">
            <w:pPr>
              <w:rPr>
                <w:rFonts w:ascii="宋体"/>
              </w:rPr>
            </w:pPr>
          </w:p>
        </w:tc>
        <w:tc>
          <w:tcPr>
            <w:tcW w:w="0" w:type="auto"/>
            <w:shd w:val="clear" w:color="auto" w:fill="auto"/>
          </w:tcPr>
          <w:p w14:paraId="33DAD200" w14:textId="77777777" w:rsidR="004D6A64" w:rsidRDefault="004D6A64">
            <w:pPr>
              <w:rPr>
                <w:rFonts w:ascii="宋体"/>
              </w:rPr>
            </w:pPr>
          </w:p>
        </w:tc>
        <w:tc>
          <w:tcPr>
            <w:tcW w:w="0" w:type="auto"/>
            <w:shd w:val="clear" w:color="auto" w:fill="auto"/>
          </w:tcPr>
          <w:p w14:paraId="33DAD201" w14:textId="77777777" w:rsidR="004D6A64" w:rsidRDefault="004D6A64">
            <w:pPr>
              <w:rPr>
                <w:rFonts w:ascii="宋体"/>
              </w:rPr>
            </w:pPr>
          </w:p>
        </w:tc>
        <w:tc>
          <w:tcPr>
            <w:tcW w:w="0" w:type="auto"/>
            <w:shd w:val="clear" w:color="auto" w:fill="auto"/>
          </w:tcPr>
          <w:p w14:paraId="33DAD202" w14:textId="77777777" w:rsidR="004D6A64" w:rsidRDefault="004D6A64">
            <w:pPr>
              <w:rPr>
                <w:rFonts w:ascii="宋体"/>
              </w:rPr>
            </w:pPr>
          </w:p>
        </w:tc>
        <w:tc>
          <w:tcPr>
            <w:tcW w:w="0" w:type="auto"/>
            <w:shd w:val="clear" w:color="auto" w:fill="auto"/>
          </w:tcPr>
          <w:p w14:paraId="33DAD203" w14:textId="77777777" w:rsidR="004D6A64" w:rsidRDefault="004D6A64">
            <w:pPr>
              <w:rPr>
                <w:rFonts w:ascii="宋体"/>
              </w:rPr>
            </w:pPr>
          </w:p>
        </w:tc>
        <w:tc>
          <w:tcPr>
            <w:tcW w:w="0" w:type="auto"/>
            <w:shd w:val="clear" w:color="auto" w:fill="auto"/>
          </w:tcPr>
          <w:p w14:paraId="33DAD204" w14:textId="77777777" w:rsidR="004D6A64" w:rsidRDefault="004D6A64">
            <w:pPr>
              <w:rPr>
                <w:rFonts w:ascii="宋体"/>
              </w:rPr>
            </w:pPr>
          </w:p>
        </w:tc>
        <w:tc>
          <w:tcPr>
            <w:tcW w:w="0" w:type="auto"/>
            <w:shd w:val="clear" w:color="auto" w:fill="auto"/>
          </w:tcPr>
          <w:p w14:paraId="33DAD205" w14:textId="77777777" w:rsidR="004D6A64" w:rsidRDefault="004D6A64">
            <w:pPr>
              <w:rPr>
                <w:rFonts w:ascii="宋体"/>
              </w:rPr>
            </w:pPr>
          </w:p>
        </w:tc>
        <w:tc>
          <w:tcPr>
            <w:tcW w:w="0" w:type="auto"/>
            <w:shd w:val="clear" w:color="auto" w:fill="auto"/>
          </w:tcPr>
          <w:p w14:paraId="33DAD206" w14:textId="77777777" w:rsidR="004D6A64" w:rsidRDefault="004D6A64">
            <w:pPr>
              <w:rPr>
                <w:rFonts w:ascii="宋体"/>
              </w:rPr>
            </w:pPr>
          </w:p>
        </w:tc>
        <w:tc>
          <w:tcPr>
            <w:tcW w:w="0" w:type="auto"/>
            <w:shd w:val="clear" w:color="auto" w:fill="auto"/>
          </w:tcPr>
          <w:p w14:paraId="33DAD207" w14:textId="77777777" w:rsidR="004D6A64" w:rsidRDefault="004D6A64">
            <w:pPr>
              <w:rPr>
                <w:rFonts w:ascii="宋体"/>
              </w:rPr>
            </w:pPr>
          </w:p>
        </w:tc>
      </w:tr>
      <w:tr w:rsidR="004D6A64" w14:paraId="33DAD227" w14:textId="77777777">
        <w:tc>
          <w:tcPr>
            <w:tcW w:w="0" w:type="auto"/>
            <w:gridSpan w:val="3"/>
            <w:shd w:val="clear" w:color="auto" w:fill="CCEEFF"/>
            <w:tcMar>
              <w:top w:w="40" w:type="dxa"/>
              <w:left w:w="20" w:type="dxa"/>
              <w:bottom w:w="40" w:type="dxa"/>
              <w:right w:w="20" w:type="dxa"/>
            </w:tcMar>
            <w:vAlign w:val="center"/>
          </w:tcPr>
          <w:p w14:paraId="33DAD209" w14:textId="77777777" w:rsidR="004D6A64" w:rsidRDefault="00506CD6">
            <w:pPr>
              <w:textAlignment w:val="center"/>
            </w:pPr>
            <w:r>
              <w:rPr>
                <w:rFonts w:ascii="Times New Roman" w:eastAsia="宋体" w:hAnsi="Times New Roman"/>
                <w:color w:val="000000"/>
                <w:sz w:val="20"/>
                <w:szCs w:val="20"/>
              </w:rPr>
              <w:t>Client Solutions Group</w:t>
            </w:r>
          </w:p>
        </w:tc>
        <w:tc>
          <w:tcPr>
            <w:tcW w:w="0" w:type="auto"/>
            <w:gridSpan w:val="2"/>
            <w:shd w:val="clear" w:color="auto" w:fill="CCEEFF"/>
            <w:tcMar>
              <w:top w:w="40" w:type="dxa"/>
              <w:left w:w="20" w:type="dxa"/>
              <w:bottom w:w="40" w:type="dxa"/>
              <w:right w:w="0" w:type="dxa"/>
            </w:tcMar>
            <w:vAlign w:val="center"/>
          </w:tcPr>
          <w:p w14:paraId="33DAD20A" w14:textId="77777777" w:rsidR="004D6A64" w:rsidRDefault="00506CD6">
            <w:pPr>
              <w:jc w:val="right"/>
              <w:textAlignment w:val="center"/>
            </w:pPr>
            <w:r>
              <w:rPr>
                <w:rFonts w:ascii="Times New Roman" w:eastAsia="宋体" w:hAnsi="Times New Roman"/>
                <w:color w:val="000000"/>
                <w:sz w:val="20"/>
                <w:szCs w:val="20"/>
              </w:rPr>
              <w:t>11,203 </w:t>
            </w:r>
          </w:p>
        </w:tc>
        <w:tc>
          <w:tcPr>
            <w:tcW w:w="0" w:type="auto"/>
            <w:shd w:val="clear" w:color="auto" w:fill="CCEEFF"/>
            <w:tcMar>
              <w:top w:w="40" w:type="dxa"/>
              <w:bottom w:w="40" w:type="dxa"/>
              <w:right w:w="20" w:type="dxa"/>
            </w:tcMar>
            <w:vAlign w:val="center"/>
          </w:tcPr>
          <w:p w14:paraId="33DAD20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20C"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20D" w14:textId="77777777" w:rsidR="004D6A64" w:rsidRDefault="00506CD6">
            <w:pPr>
              <w:jc w:val="right"/>
              <w:textAlignment w:val="center"/>
            </w:pPr>
            <w:r>
              <w:rPr>
                <w:rFonts w:ascii="Times New Roman" w:eastAsia="宋体" w:hAnsi="Times New Roman"/>
                <w:color w:val="000000"/>
                <w:sz w:val="20"/>
                <w:szCs w:val="20"/>
              </w:rPr>
              <w:t>11,748 </w:t>
            </w:r>
          </w:p>
        </w:tc>
        <w:tc>
          <w:tcPr>
            <w:tcW w:w="0" w:type="auto"/>
            <w:shd w:val="clear" w:color="auto" w:fill="CCEEFF"/>
            <w:tcMar>
              <w:top w:w="40" w:type="dxa"/>
              <w:bottom w:w="40" w:type="dxa"/>
              <w:right w:w="20" w:type="dxa"/>
            </w:tcMar>
            <w:vAlign w:val="center"/>
          </w:tcPr>
          <w:p w14:paraId="33DAD20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20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210" w14:textId="77777777" w:rsidR="004D6A64" w:rsidRDefault="00506CD6">
            <w:pPr>
              <w:jc w:val="right"/>
              <w:textAlignment w:val="center"/>
            </w:pPr>
            <w:r>
              <w:rPr>
                <w:rFonts w:ascii="Times New Roman" w:eastAsia="宋体" w:hAnsi="Times New Roman"/>
                <w:color w:val="000000"/>
                <w:sz w:val="20"/>
                <w:szCs w:val="20"/>
              </w:rPr>
              <w:t>22,307 </w:t>
            </w:r>
          </w:p>
        </w:tc>
        <w:tc>
          <w:tcPr>
            <w:tcW w:w="0" w:type="auto"/>
            <w:shd w:val="clear" w:color="auto" w:fill="CCEEFF"/>
            <w:tcMar>
              <w:top w:w="40" w:type="dxa"/>
              <w:bottom w:w="40" w:type="dxa"/>
              <w:right w:w="20" w:type="dxa"/>
            </w:tcMar>
            <w:vAlign w:val="center"/>
          </w:tcPr>
          <w:p w14:paraId="33DAD21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21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213" w14:textId="77777777" w:rsidR="004D6A64" w:rsidRDefault="00506CD6">
            <w:pPr>
              <w:jc w:val="right"/>
              <w:textAlignment w:val="center"/>
            </w:pPr>
            <w:r>
              <w:rPr>
                <w:rFonts w:ascii="Times New Roman" w:eastAsia="宋体" w:hAnsi="Times New Roman"/>
                <w:color w:val="000000"/>
                <w:sz w:val="20"/>
                <w:szCs w:val="20"/>
              </w:rPr>
              <w:t>22,658 </w:t>
            </w:r>
          </w:p>
        </w:tc>
        <w:tc>
          <w:tcPr>
            <w:tcW w:w="0" w:type="auto"/>
            <w:shd w:val="clear" w:color="auto" w:fill="CCEEFF"/>
            <w:tcMar>
              <w:top w:w="40" w:type="dxa"/>
              <w:bottom w:w="40" w:type="dxa"/>
              <w:right w:w="20" w:type="dxa"/>
            </w:tcMar>
            <w:vAlign w:val="center"/>
          </w:tcPr>
          <w:p w14:paraId="33DAD214" w14:textId="77777777" w:rsidR="004D6A64" w:rsidRDefault="004D6A64">
            <w:pPr>
              <w:jc w:val="right"/>
              <w:rPr>
                <w:rFonts w:ascii="宋体"/>
              </w:rPr>
            </w:pPr>
          </w:p>
        </w:tc>
        <w:tc>
          <w:tcPr>
            <w:tcW w:w="0" w:type="auto"/>
            <w:shd w:val="clear" w:color="auto" w:fill="auto"/>
          </w:tcPr>
          <w:p w14:paraId="33DAD215" w14:textId="77777777" w:rsidR="004D6A64" w:rsidRDefault="004D6A64">
            <w:pPr>
              <w:rPr>
                <w:rFonts w:ascii="宋体"/>
              </w:rPr>
            </w:pPr>
          </w:p>
        </w:tc>
        <w:tc>
          <w:tcPr>
            <w:tcW w:w="0" w:type="auto"/>
            <w:shd w:val="clear" w:color="auto" w:fill="auto"/>
          </w:tcPr>
          <w:p w14:paraId="33DAD216" w14:textId="77777777" w:rsidR="004D6A64" w:rsidRDefault="004D6A64">
            <w:pPr>
              <w:rPr>
                <w:rFonts w:ascii="宋体"/>
              </w:rPr>
            </w:pPr>
          </w:p>
        </w:tc>
        <w:tc>
          <w:tcPr>
            <w:tcW w:w="0" w:type="auto"/>
            <w:shd w:val="clear" w:color="auto" w:fill="auto"/>
          </w:tcPr>
          <w:p w14:paraId="33DAD217" w14:textId="77777777" w:rsidR="004D6A64" w:rsidRDefault="004D6A64">
            <w:pPr>
              <w:rPr>
                <w:rFonts w:ascii="宋体"/>
              </w:rPr>
            </w:pPr>
          </w:p>
        </w:tc>
        <w:tc>
          <w:tcPr>
            <w:tcW w:w="0" w:type="auto"/>
            <w:shd w:val="clear" w:color="auto" w:fill="auto"/>
          </w:tcPr>
          <w:p w14:paraId="33DAD218" w14:textId="77777777" w:rsidR="004D6A64" w:rsidRDefault="004D6A64">
            <w:pPr>
              <w:rPr>
                <w:rFonts w:ascii="宋体"/>
              </w:rPr>
            </w:pPr>
          </w:p>
        </w:tc>
        <w:tc>
          <w:tcPr>
            <w:tcW w:w="0" w:type="auto"/>
            <w:shd w:val="clear" w:color="auto" w:fill="auto"/>
          </w:tcPr>
          <w:p w14:paraId="33DAD219" w14:textId="77777777" w:rsidR="004D6A64" w:rsidRDefault="004D6A64">
            <w:pPr>
              <w:rPr>
                <w:rFonts w:ascii="宋体"/>
              </w:rPr>
            </w:pPr>
          </w:p>
        </w:tc>
        <w:tc>
          <w:tcPr>
            <w:tcW w:w="0" w:type="auto"/>
            <w:shd w:val="clear" w:color="auto" w:fill="auto"/>
          </w:tcPr>
          <w:p w14:paraId="33DAD21A" w14:textId="77777777" w:rsidR="004D6A64" w:rsidRDefault="004D6A64">
            <w:pPr>
              <w:rPr>
                <w:rFonts w:ascii="宋体"/>
              </w:rPr>
            </w:pPr>
          </w:p>
        </w:tc>
        <w:tc>
          <w:tcPr>
            <w:tcW w:w="0" w:type="auto"/>
            <w:shd w:val="clear" w:color="auto" w:fill="auto"/>
          </w:tcPr>
          <w:p w14:paraId="33DAD21B" w14:textId="77777777" w:rsidR="004D6A64" w:rsidRDefault="004D6A64">
            <w:pPr>
              <w:rPr>
                <w:rFonts w:ascii="宋体"/>
              </w:rPr>
            </w:pPr>
          </w:p>
        </w:tc>
        <w:tc>
          <w:tcPr>
            <w:tcW w:w="0" w:type="auto"/>
            <w:shd w:val="clear" w:color="auto" w:fill="auto"/>
          </w:tcPr>
          <w:p w14:paraId="33DAD21C" w14:textId="77777777" w:rsidR="004D6A64" w:rsidRDefault="004D6A64">
            <w:pPr>
              <w:rPr>
                <w:rFonts w:ascii="宋体"/>
              </w:rPr>
            </w:pPr>
          </w:p>
        </w:tc>
        <w:tc>
          <w:tcPr>
            <w:tcW w:w="0" w:type="auto"/>
            <w:shd w:val="clear" w:color="auto" w:fill="auto"/>
          </w:tcPr>
          <w:p w14:paraId="33DAD21D" w14:textId="77777777" w:rsidR="004D6A64" w:rsidRDefault="004D6A64">
            <w:pPr>
              <w:rPr>
                <w:rFonts w:ascii="宋体"/>
              </w:rPr>
            </w:pPr>
          </w:p>
        </w:tc>
        <w:tc>
          <w:tcPr>
            <w:tcW w:w="0" w:type="auto"/>
            <w:shd w:val="clear" w:color="auto" w:fill="auto"/>
          </w:tcPr>
          <w:p w14:paraId="33DAD21E" w14:textId="77777777" w:rsidR="004D6A64" w:rsidRDefault="004D6A64">
            <w:pPr>
              <w:rPr>
                <w:rFonts w:ascii="宋体"/>
              </w:rPr>
            </w:pPr>
          </w:p>
        </w:tc>
        <w:tc>
          <w:tcPr>
            <w:tcW w:w="0" w:type="auto"/>
            <w:shd w:val="clear" w:color="auto" w:fill="auto"/>
          </w:tcPr>
          <w:p w14:paraId="33DAD21F" w14:textId="77777777" w:rsidR="004D6A64" w:rsidRDefault="004D6A64">
            <w:pPr>
              <w:rPr>
                <w:rFonts w:ascii="宋体"/>
              </w:rPr>
            </w:pPr>
          </w:p>
        </w:tc>
        <w:tc>
          <w:tcPr>
            <w:tcW w:w="0" w:type="auto"/>
            <w:shd w:val="clear" w:color="auto" w:fill="auto"/>
          </w:tcPr>
          <w:p w14:paraId="33DAD220" w14:textId="77777777" w:rsidR="004D6A64" w:rsidRDefault="004D6A64">
            <w:pPr>
              <w:rPr>
                <w:rFonts w:ascii="宋体"/>
              </w:rPr>
            </w:pPr>
          </w:p>
        </w:tc>
        <w:tc>
          <w:tcPr>
            <w:tcW w:w="0" w:type="auto"/>
            <w:shd w:val="clear" w:color="auto" w:fill="auto"/>
          </w:tcPr>
          <w:p w14:paraId="33DAD221" w14:textId="77777777" w:rsidR="004D6A64" w:rsidRDefault="004D6A64">
            <w:pPr>
              <w:rPr>
                <w:rFonts w:ascii="宋体"/>
              </w:rPr>
            </w:pPr>
          </w:p>
        </w:tc>
        <w:tc>
          <w:tcPr>
            <w:tcW w:w="0" w:type="auto"/>
            <w:shd w:val="clear" w:color="auto" w:fill="auto"/>
          </w:tcPr>
          <w:p w14:paraId="33DAD222" w14:textId="77777777" w:rsidR="004D6A64" w:rsidRDefault="004D6A64">
            <w:pPr>
              <w:rPr>
                <w:rFonts w:ascii="宋体"/>
              </w:rPr>
            </w:pPr>
          </w:p>
        </w:tc>
        <w:tc>
          <w:tcPr>
            <w:tcW w:w="0" w:type="auto"/>
            <w:shd w:val="clear" w:color="auto" w:fill="auto"/>
          </w:tcPr>
          <w:p w14:paraId="33DAD223" w14:textId="77777777" w:rsidR="004D6A64" w:rsidRDefault="004D6A64">
            <w:pPr>
              <w:rPr>
                <w:rFonts w:ascii="宋体"/>
              </w:rPr>
            </w:pPr>
          </w:p>
        </w:tc>
        <w:tc>
          <w:tcPr>
            <w:tcW w:w="0" w:type="auto"/>
            <w:shd w:val="clear" w:color="auto" w:fill="auto"/>
          </w:tcPr>
          <w:p w14:paraId="33DAD224" w14:textId="77777777" w:rsidR="004D6A64" w:rsidRDefault="004D6A64">
            <w:pPr>
              <w:rPr>
                <w:rFonts w:ascii="宋体"/>
              </w:rPr>
            </w:pPr>
          </w:p>
        </w:tc>
        <w:tc>
          <w:tcPr>
            <w:tcW w:w="0" w:type="auto"/>
            <w:shd w:val="clear" w:color="auto" w:fill="auto"/>
          </w:tcPr>
          <w:p w14:paraId="33DAD225" w14:textId="77777777" w:rsidR="004D6A64" w:rsidRDefault="004D6A64">
            <w:pPr>
              <w:rPr>
                <w:rFonts w:ascii="宋体"/>
              </w:rPr>
            </w:pPr>
          </w:p>
        </w:tc>
        <w:tc>
          <w:tcPr>
            <w:tcW w:w="0" w:type="auto"/>
            <w:shd w:val="clear" w:color="auto" w:fill="auto"/>
          </w:tcPr>
          <w:p w14:paraId="33DAD226" w14:textId="77777777" w:rsidR="004D6A64" w:rsidRDefault="004D6A64">
            <w:pPr>
              <w:rPr>
                <w:rFonts w:ascii="宋体"/>
              </w:rPr>
            </w:pPr>
          </w:p>
        </w:tc>
      </w:tr>
      <w:tr w:rsidR="004D6A64" w14:paraId="33DAD246" w14:textId="77777777">
        <w:tc>
          <w:tcPr>
            <w:tcW w:w="0" w:type="auto"/>
            <w:gridSpan w:val="3"/>
            <w:shd w:val="clear" w:color="auto" w:fill="FFFFFF"/>
            <w:tcMar>
              <w:top w:w="40" w:type="dxa"/>
              <w:left w:w="20" w:type="dxa"/>
              <w:bottom w:w="40" w:type="dxa"/>
              <w:right w:w="20" w:type="dxa"/>
            </w:tcMar>
            <w:vAlign w:val="center"/>
          </w:tcPr>
          <w:p w14:paraId="33DAD228" w14:textId="77777777" w:rsidR="004D6A64" w:rsidRDefault="00506CD6">
            <w:pPr>
              <w:textAlignment w:val="center"/>
            </w:pPr>
            <w:r>
              <w:rPr>
                <w:rFonts w:ascii="Times New Roman" w:eastAsia="宋体" w:hAnsi="Times New Roman"/>
                <w:color w:val="000000"/>
                <w:sz w:val="20"/>
                <w:szCs w:val="20"/>
              </w:rPr>
              <w:t>VMware</w:t>
            </w:r>
          </w:p>
        </w:tc>
        <w:tc>
          <w:tcPr>
            <w:tcW w:w="0" w:type="auto"/>
            <w:gridSpan w:val="2"/>
            <w:shd w:val="clear" w:color="auto" w:fill="FFFFFF"/>
            <w:tcMar>
              <w:top w:w="40" w:type="dxa"/>
              <w:left w:w="20" w:type="dxa"/>
              <w:bottom w:w="40" w:type="dxa"/>
              <w:right w:w="0" w:type="dxa"/>
            </w:tcMar>
            <w:vAlign w:val="center"/>
          </w:tcPr>
          <w:p w14:paraId="33DAD229" w14:textId="77777777" w:rsidR="004D6A64" w:rsidRDefault="00506CD6">
            <w:pPr>
              <w:jc w:val="right"/>
              <w:textAlignment w:val="center"/>
            </w:pPr>
            <w:r>
              <w:rPr>
                <w:rFonts w:ascii="Times New Roman" w:eastAsia="宋体" w:hAnsi="Times New Roman"/>
                <w:color w:val="000000"/>
                <w:sz w:val="20"/>
                <w:szCs w:val="20"/>
              </w:rPr>
              <w:t>2,908 </w:t>
            </w:r>
          </w:p>
        </w:tc>
        <w:tc>
          <w:tcPr>
            <w:tcW w:w="0" w:type="auto"/>
            <w:shd w:val="clear" w:color="auto" w:fill="FFFFFF"/>
            <w:tcMar>
              <w:top w:w="40" w:type="dxa"/>
              <w:bottom w:w="40" w:type="dxa"/>
              <w:right w:w="20" w:type="dxa"/>
            </w:tcMar>
            <w:vAlign w:val="center"/>
          </w:tcPr>
          <w:p w14:paraId="33DAD22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22B"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22C" w14:textId="77777777" w:rsidR="004D6A64" w:rsidRDefault="00506CD6">
            <w:pPr>
              <w:jc w:val="right"/>
              <w:textAlignment w:val="center"/>
            </w:pPr>
            <w:r>
              <w:rPr>
                <w:rFonts w:ascii="Times New Roman" w:eastAsia="宋体" w:hAnsi="Times New Roman"/>
                <w:color w:val="000000"/>
                <w:sz w:val="20"/>
                <w:szCs w:val="20"/>
              </w:rPr>
              <w:t>2,651 </w:t>
            </w:r>
          </w:p>
        </w:tc>
        <w:tc>
          <w:tcPr>
            <w:tcW w:w="0" w:type="auto"/>
            <w:shd w:val="clear" w:color="auto" w:fill="FFFFFF"/>
            <w:tcMar>
              <w:top w:w="40" w:type="dxa"/>
              <w:bottom w:w="40" w:type="dxa"/>
              <w:right w:w="20" w:type="dxa"/>
            </w:tcMar>
            <w:vAlign w:val="center"/>
          </w:tcPr>
          <w:p w14:paraId="33DAD22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22E"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22F" w14:textId="77777777" w:rsidR="004D6A64" w:rsidRDefault="00506CD6">
            <w:pPr>
              <w:jc w:val="right"/>
              <w:textAlignment w:val="center"/>
            </w:pPr>
            <w:r>
              <w:rPr>
                <w:rFonts w:ascii="Times New Roman" w:eastAsia="宋体" w:hAnsi="Times New Roman"/>
                <w:color w:val="000000"/>
                <w:sz w:val="20"/>
                <w:szCs w:val="20"/>
              </w:rPr>
              <w:t>5,663 </w:t>
            </w:r>
          </w:p>
        </w:tc>
        <w:tc>
          <w:tcPr>
            <w:tcW w:w="0" w:type="auto"/>
            <w:shd w:val="clear" w:color="auto" w:fill="FFFFFF"/>
            <w:tcMar>
              <w:top w:w="40" w:type="dxa"/>
              <w:bottom w:w="40" w:type="dxa"/>
              <w:right w:w="20" w:type="dxa"/>
            </w:tcMar>
            <w:vAlign w:val="center"/>
          </w:tcPr>
          <w:p w14:paraId="33DAD23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23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232" w14:textId="77777777" w:rsidR="004D6A64" w:rsidRDefault="00506CD6">
            <w:pPr>
              <w:jc w:val="right"/>
              <w:textAlignment w:val="center"/>
            </w:pPr>
            <w:r>
              <w:rPr>
                <w:rFonts w:ascii="Times New Roman" w:eastAsia="宋体" w:hAnsi="Times New Roman"/>
                <w:color w:val="000000"/>
                <w:sz w:val="20"/>
                <w:szCs w:val="20"/>
              </w:rPr>
              <w:t>5,108 </w:t>
            </w:r>
          </w:p>
        </w:tc>
        <w:tc>
          <w:tcPr>
            <w:tcW w:w="0" w:type="auto"/>
            <w:shd w:val="clear" w:color="auto" w:fill="FFFFFF"/>
            <w:tcMar>
              <w:top w:w="40" w:type="dxa"/>
              <w:bottom w:w="40" w:type="dxa"/>
              <w:right w:w="20" w:type="dxa"/>
            </w:tcMar>
            <w:vAlign w:val="center"/>
          </w:tcPr>
          <w:p w14:paraId="33DAD233" w14:textId="77777777" w:rsidR="004D6A64" w:rsidRDefault="004D6A64">
            <w:pPr>
              <w:jc w:val="right"/>
              <w:rPr>
                <w:rFonts w:ascii="宋体"/>
              </w:rPr>
            </w:pPr>
          </w:p>
        </w:tc>
        <w:tc>
          <w:tcPr>
            <w:tcW w:w="0" w:type="auto"/>
            <w:shd w:val="clear" w:color="auto" w:fill="auto"/>
          </w:tcPr>
          <w:p w14:paraId="33DAD234" w14:textId="77777777" w:rsidR="004D6A64" w:rsidRDefault="004D6A64">
            <w:pPr>
              <w:rPr>
                <w:rFonts w:ascii="宋体"/>
              </w:rPr>
            </w:pPr>
          </w:p>
        </w:tc>
        <w:tc>
          <w:tcPr>
            <w:tcW w:w="0" w:type="auto"/>
            <w:shd w:val="clear" w:color="auto" w:fill="auto"/>
          </w:tcPr>
          <w:p w14:paraId="33DAD235" w14:textId="77777777" w:rsidR="004D6A64" w:rsidRDefault="004D6A64">
            <w:pPr>
              <w:rPr>
                <w:rFonts w:ascii="宋体"/>
              </w:rPr>
            </w:pPr>
          </w:p>
        </w:tc>
        <w:tc>
          <w:tcPr>
            <w:tcW w:w="0" w:type="auto"/>
            <w:shd w:val="clear" w:color="auto" w:fill="auto"/>
          </w:tcPr>
          <w:p w14:paraId="33DAD236" w14:textId="77777777" w:rsidR="004D6A64" w:rsidRDefault="004D6A64">
            <w:pPr>
              <w:rPr>
                <w:rFonts w:ascii="宋体"/>
              </w:rPr>
            </w:pPr>
          </w:p>
        </w:tc>
        <w:tc>
          <w:tcPr>
            <w:tcW w:w="0" w:type="auto"/>
            <w:shd w:val="clear" w:color="auto" w:fill="auto"/>
          </w:tcPr>
          <w:p w14:paraId="33DAD237" w14:textId="77777777" w:rsidR="004D6A64" w:rsidRDefault="004D6A64">
            <w:pPr>
              <w:rPr>
                <w:rFonts w:ascii="宋体"/>
              </w:rPr>
            </w:pPr>
          </w:p>
        </w:tc>
        <w:tc>
          <w:tcPr>
            <w:tcW w:w="0" w:type="auto"/>
            <w:shd w:val="clear" w:color="auto" w:fill="auto"/>
          </w:tcPr>
          <w:p w14:paraId="33DAD238" w14:textId="77777777" w:rsidR="004D6A64" w:rsidRDefault="004D6A64">
            <w:pPr>
              <w:rPr>
                <w:rFonts w:ascii="宋体"/>
              </w:rPr>
            </w:pPr>
          </w:p>
        </w:tc>
        <w:tc>
          <w:tcPr>
            <w:tcW w:w="0" w:type="auto"/>
            <w:shd w:val="clear" w:color="auto" w:fill="auto"/>
          </w:tcPr>
          <w:p w14:paraId="33DAD239" w14:textId="77777777" w:rsidR="004D6A64" w:rsidRDefault="004D6A64">
            <w:pPr>
              <w:rPr>
                <w:rFonts w:ascii="宋体"/>
              </w:rPr>
            </w:pPr>
          </w:p>
        </w:tc>
        <w:tc>
          <w:tcPr>
            <w:tcW w:w="0" w:type="auto"/>
            <w:shd w:val="clear" w:color="auto" w:fill="auto"/>
          </w:tcPr>
          <w:p w14:paraId="33DAD23A" w14:textId="77777777" w:rsidR="004D6A64" w:rsidRDefault="004D6A64">
            <w:pPr>
              <w:rPr>
                <w:rFonts w:ascii="宋体"/>
              </w:rPr>
            </w:pPr>
          </w:p>
        </w:tc>
        <w:tc>
          <w:tcPr>
            <w:tcW w:w="0" w:type="auto"/>
            <w:shd w:val="clear" w:color="auto" w:fill="auto"/>
          </w:tcPr>
          <w:p w14:paraId="33DAD23B" w14:textId="77777777" w:rsidR="004D6A64" w:rsidRDefault="004D6A64">
            <w:pPr>
              <w:rPr>
                <w:rFonts w:ascii="宋体"/>
              </w:rPr>
            </w:pPr>
          </w:p>
        </w:tc>
        <w:tc>
          <w:tcPr>
            <w:tcW w:w="0" w:type="auto"/>
            <w:shd w:val="clear" w:color="auto" w:fill="auto"/>
          </w:tcPr>
          <w:p w14:paraId="33DAD23C" w14:textId="77777777" w:rsidR="004D6A64" w:rsidRDefault="004D6A64">
            <w:pPr>
              <w:rPr>
                <w:rFonts w:ascii="宋体"/>
              </w:rPr>
            </w:pPr>
          </w:p>
        </w:tc>
        <w:tc>
          <w:tcPr>
            <w:tcW w:w="0" w:type="auto"/>
            <w:shd w:val="clear" w:color="auto" w:fill="auto"/>
          </w:tcPr>
          <w:p w14:paraId="33DAD23D" w14:textId="77777777" w:rsidR="004D6A64" w:rsidRDefault="004D6A64">
            <w:pPr>
              <w:rPr>
                <w:rFonts w:ascii="宋体"/>
              </w:rPr>
            </w:pPr>
          </w:p>
        </w:tc>
        <w:tc>
          <w:tcPr>
            <w:tcW w:w="0" w:type="auto"/>
            <w:shd w:val="clear" w:color="auto" w:fill="auto"/>
          </w:tcPr>
          <w:p w14:paraId="33DAD23E" w14:textId="77777777" w:rsidR="004D6A64" w:rsidRDefault="004D6A64">
            <w:pPr>
              <w:rPr>
                <w:rFonts w:ascii="宋体"/>
              </w:rPr>
            </w:pPr>
          </w:p>
        </w:tc>
        <w:tc>
          <w:tcPr>
            <w:tcW w:w="0" w:type="auto"/>
            <w:shd w:val="clear" w:color="auto" w:fill="auto"/>
          </w:tcPr>
          <w:p w14:paraId="33DAD23F" w14:textId="77777777" w:rsidR="004D6A64" w:rsidRDefault="004D6A64">
            <w:pPr>
              <w:rPr>
                <w:rFonts w:ascii="宋体"/>
              </w:rPr>
            </w:pPr>
          </w:p>
        </w:tc>
        <w:tc>
          <w:tcPr>
            <w:tcW w:w="0" w:type="auto"/>
            <w:shd w:val="clear" w:color="auto" w:fill="auto"/>
          </w:tcPr>
          <w:p w14:paraId="33DAD240" w14:textId="77777777" w:rsidR="004D6A64" w:rsidRDefault="004D6A64">
            <w:pPr>
              <w:rPr>
                <w:rFonts w:ascii="宋体"/>
              </w:rPr>
            </w:pPr>
          </w:p>
        </w:tc>
        <w:tc>
          <w:tcPr>
            <w:tcW w:w="0" w:type="auto"/>
            <w:shd w:val="clear" w:color="auto" w:fill="auto"/>
          </w:tcPr>
          <w:p w14:paraId="33DAD241" w14:textId="77777777" w:rsidR="004D6A64" w:rsidRDefault="004D6A64">
            <w:pPr>
              <w:rPr>
                <w:rFonts w:ascii="宋体"/>
              </w:rPr>
            </w:pPr>
          </w:p>
        </w:tc>
        <w:tc>
          <w:tcPr>
            <w:tcW w:w="0" w:type="auto"/>
            <w:shd w:val="clear" w:color="auto" w:fill="auto"/>
          </w:tcPr>
          <w:p w14:paraId="33DAD242" w14:textId="77777777" w:rsidR="004D6A64" w:rsidRDefault="004D6A64">
            <w:pPr>
              <w:rPr>
                <w:rFonts w:ascii="宋体"/>
              </w:rPr>
            </w:pPr>
          </w:p>
        </w:tc>
        <w:tc>
          <w:tcPr>
            <w:tcW w:w="0" w:type="auto"/>
            <w:shd w:val="clear" w:color="auto" w:fill="auto"/>
          </w:tcPr>
          <w:p w14:paraId="33DAD243" w14:textId="77777777" w:rsidR="004D6A64" w:rsidRDefault="004D6A64">
            <w:pPr>
              <w:rPr>
                <w:rFonts w:ascii="宋体"/>
              </w:rPr>
            </w:pPr>
          </w:p>
        </w:tc>
        <w:tc>
          <w:tcPr>
            <w:tcW w:w="0" w:type="auto"/>
            <w:shd w:val="clear" w:color="auto" w:fill="auto"/>
          </w:tcPr>
          <w:p w14:paraId="33DAD244" w14:textId="77777777" w:rsidR="004D6A64" w:rsidRDefault="004D6A64">
            <w:pPr>
              <w:rPr>
                <w:rFonts w:ascii="宋体"/>
              </w:rPr>
            </w:pPr>
          </w:p>
        </w:tc>
        <w:tc>
          <w:tcPr>
            <w:tcW w:w="0" w:type="auto"/>
            <w:shd w:val="clear" w:color="auto" w:fill="auto"/>
          </w:tcPr>
          <w:p w14:paraId="33DAD245" w14:textId="77777777" w:rsidR="004D6A64" w:rsidRDefault="004D6A64">
            <w:pPr>
              <w:rPr>
                <w:rFonts w:ascii="宋体"/>
              </w:rPr>
            </w:pPr>
          </w:p>
        </w:tc>
      </w:tr>
      <w:tr w:rsidR="004D6A64" w14:paraId="33DAD265" w14:textId="77777777">
        <w:tc>
          <w:tcPr>
            <w:tcW w:w="0" w:type="auto"/>
            <w:gridSpan w:val="3"/>
            <w:shd w:val="clear" w:color="auto" w:fill="CCEEFF"/>
            <w:tcMar>
              <w:top w:w="40" w:type="dxa"/>
              <w:left w:w="135" w:type="dxa"/>
              <w:bottom w:w="40" w:type="dxa"/>
              <w:right w:w="20" w:type="dxa"/>
            </w:tcMar>
            <w:vAlign w:val="center"/>
          </w:tcPr>
          <w:p w14:paraId="33DAD247" w14:textId="77777777" w:rsidR="004D6A64" w:rsidRDefault="00506CD6">
            <w:pPr>
              <w:textAlignment w:val="center"/>
            </w:pPr>
            <w:r>
              <w:rPr>
                <w:rFonts w:ascii="Times New Roman" w:eastAsia="宋体" w:hAnsi="Times New Roman"/>
                <w:color w:val="000000"/>
                <w:sz w:val="20"/>
                <w:szCs w:val="20"/>
              </w:rPr>
              <w:t>Reportable segment net revenue</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D248" w14:textId="77777777" w:rsidR="004D6A64" w:rsidRDefault="00506CD6">
            <w:pPr>
              <w:jc w:val="right"/>
              <w:textAlignment w:val="center"/>
            </w:pPr>
            <w:r>
              <w:rPr>
                <w:rFonts w:ascii="Times New Roman" w:eastAsia="宋体" w:hAnsi="Times New Roman"/>
                <w:color w:val="000000"/>
                <w:sz w:val="20"/>
                <w:szCs w:val="20"/>
              </w:rPr>
              <w:t>22,318 </w:t>
            </w:r>
          </w:p>
        </w:tc>
        <w:tc>
          <w:tcPr>
            <w:tcW w:w="0" w:type="auto"/>
            <w:tcBorders>
              <w:top w:val="single" w:sz="8" w:space="0" w:color="000000"/>
            </w:tcBorders>
            <w:shd w:val="clear" w:color="auto" w:fill="CCEEFF"/>
            <w:tcMar>
              <w:top w:w="40" w:type="dxa"/>
              <w:bottom w:w="40" w:type="dxa"/>
              <w:right w:w="20" w:type="dxa"/>
            </w:tcMar>
            <w:vAlign w:val="center"/>
          </w:tcPr>
          <w:p w14:paraId="33DAD249"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24A"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D24B" w14:textId="77777777" w:rsidR="004D6A64" w:rsidRDefault="00506CD6">
            <w:pPr>
              <w:jc w:val="right"/>
              <w:textAlignment w:val="center"/>
            </w:pPr>
            <w:r>
              <w:rPr>
                <w:rFonts w:ascii="Times New Roman" w:eastAsia="宋体" w:hAnsi="Times New Roman"/>
                <w:color w:val="000000"/>
                <w:sz w:val="20"/>
                <w:szCs w:val="20"/>
              </w:rPr>
              <w:t>23,020 </w:t>
            </w:r>
          </w:p>
        </w:tc>
        <w:tc>
          <w:tcPr>
            <w:tcW w:w="0" w:type="auto"/>
            <w:tcBorders>
              <w:top w:val="single" w:sz="8" w:space="0" w:color="000000"/>
            </w:tcBorders>
            <w:shd w:val="clear" w:color="auto" w:fill="CCEEFF"/>
            <w:tcMar>
              <w:top w:w="40" w:type="dxa"/>
              <w:bottom w:w="40" w:type="dxa"/>
              <w:right w:w="20" w:type="dxa"/>
            </w:tcMar>
            <w:vAlign w:val="center"/>
          </w:tcPr>
          <w:p w14:paraId="33DAD24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24D"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D24E" w14:textId="77777777" w:rsidR="004D6A64" w:rsidRDefault="00506CD6">
            <w:pPr>
              <w:jc w:val="right"/>
              <w:textAlignment w:val="center"/>
            </w:pPr>
            <w:r>
              <w:rPr>
                <w:rFonts w:ascii="Times New Roman" w:eastAsia="宋体" w:hAnsi="Times New Roman"/>
                <w:color w:val="000000"/>
                <w:sz w:val="20"/>
                <w:szCs w:val="20"/>
              </w:rPr>
              <w:t>43,746 </w:t>
            </w:r>
          </w:p>
        </w:tc>
        <w:tc>
          <w:tcPr>
            <w:tcW w:w="0" w:type="auto"/>
            <w:tcBorders>
              <w:top w:val="single" w:sz="8" w:space="0" w:color="000000"/>
            </w:tcBorders>
            <w:shd w:val="clear" w:color="auto" w:fill="CCEEFF"/>
            <w:tcMar>
              <w:top w:w="40" w:type="dxa"/>
              <w:bottom w:w="40" w:type="dxa"/>
              <w:right w:w="20" w:type="dxa"/>
            </w:tcMar>
            <w:vAlign w:val="center"/>
          </w:tcPr>
          <w:p w14:paraId="33DAD24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250"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D251" w14:textId="77777777" w:rsidR="004D6A64" w:rsidRDefault="00506CD6">
            <w:pPr>
              <w:jc w:val="right"/>
              <w:textAlignment w:val="center"/>
            </w:pPr>
            <w:r>
              <w:rPr>
                <w:rFonts w:ascii="Times New Roman" w:eastAsia="宋体" w:hAnsi="Times New Roman"/>
                <w:color w:val="000000"/>
                <w:sz w:val="20"/>
                <w:szCs w:val="20"/>
              </w:rPr>
              <w:t>44,589 </w:t>
            </w:r>
          </w:p>
        </w:tc>
        <w:tc>
          <w:tcPr>
            <w:tcW w:w="0" w:type="auto"/>
            <w:tcBorders>
              <w:top w:val="single" w:sz="8" w:space="0" w:color="000000"/>
            </w:tcBorders>
            <w:shd w:val="clear" w:color="auto" w:fill="CCEEFF"/>
            <w:tcMar>
              <w:top w:w="40" w:type="dxa"/>
              <w:bottom w:w="40" w:type="dxa"/>
              <w:right w:w="20" w:type="dxa"/>
            </w:tcMar>
            <w:vAlign w:val="center"/>
          </w:tcPr>
          <w:p w14:paraId="33DAD252" w14:textId="77777777" w:rsidR="004D6A64" w:rsidRDefault="004D6A64">
            <w:pPr>
              <w:jc w:val="right"/>
              <w:rPr>
                <w:rFonts w:ascii="宋体"/>
              </w:rPr>
            </w:pPr>
          </w:p>
        </w:tc>
        <w:tc>
          <w:tcPr>
            <w:tcW w:w="0" w:type="auto"/>
            <w:shd w:val="clear" w:color="auto" w:fill="auto"/>
          </w:tcPr>
          <w:p w14:paraId="33DAD253" w14:textId="77777777" w:rsidR="004D6A64" w:rsidRDefault="004D6A64">
            <w:pPr>
              <w:rPr>
                <w:rFonts w:ascii="宋体"/>
              </w:rPr>
            </w:pPr>
          </w:p>
        </w:tc>
        <w:tc>
          <w:tcPr>
            <w:tcW w:w="0" w:type="auto"/>
            <w:shd w:val="clear" w:color="auto" w:fill="auto"/>
          </w:tcPr>
          <w:p w14:paraId="33DAD254" w14:textId="77777777" w:rsidR="004D6A64" w:rsidRDefault="004D6A64">
            <w:pPr>
              <w:rPr>
                <w:rFonts w:ascii="宋体"/>
              </w:rPr>
            </w:pPr>
          </w:p>
        </w:tc>
        <w:tc>
          <w:tcPr>
            <w:tcW w:w="0" w:type="auto"/>
            <w:shd w:val="clear" w:color="auto" w:fill="auto"/>
          </w:tcPr>
          <w:p w14:paraId="33DAD255" w14:textId="77777777" w:rsidR="004D6A64" w:rsidRDefault="004D6A64">
            <w:pPr>
              <w:rPr>
                <w:rFonts w:ascii="宋体"/>
              </w:rPr>
            </w:pPr>
          </w:p>
        </w:tc>
        <w:tc>
          <w:tcPr>
            <w:tcW w:w="0" w:type="auto"/>
            <w:shd w:val="clear" w:color="auto" w:fill="auto"/>
          </w:tcPr>
          <w:p w14:paraId="33DAD256" w14:textId="77777777" w:rsidR="004D6A64" w:rsidRDefault="004D6A64">
            <w:pPr>
              <w:rPr>
                <w:rFonts w:ascii="宋体"/>
              </w:rPr>
            </w:pPr>
          </w:p>
        </w:tc>
        <w:tc>
          <w:tcPr>
            <w:tcW w:w="0" w:type="auto"/>
            <w:shd w:val="clear" w:color="auto" w:fill="auto"/>
          </w:tcPr>
          <w:p w14:paraId="33DAD257" w14:textId="77777777" w:rsidR="004D6A64" w:rsidRDefault="004D6A64">
            <w:pPr>
              <w:rPr>
                <w:rFonts w:ascii="宋体"/>
              </w:rPr>
            </w:pPr>
          </w:p>
        </w:tc>
        <w:tc>
          <w:tcPr>
            <w:tcW w:w="0" w:type="auto"/>
            <w:shd w:val="clear" w:color="auto" w:fill="auto"/>
          </w:tcPr>
          <w:p w14:paraId="33DAD258" w14:textId="77777777" w:rsidR="004D6A64" w:rsidRDefault="004D6A64">
            <w:pPr>
              <w:rPr>
                <w:rFonts w:ascii="宋体"/>
              </w:rPr>
            </w:pPr>
          </w:p>
        </w:tc>
        <w:tc>
          <w:tcPr>
            <w:tcW w:w="0" w:type="auto"/>
            <w:shd w:val="clear" w:color="auto" w:fill="auto"/>
          </w:tcPr>
          <w:p w14:paraId="33DAD259" w14:textId="77777777" w:rsidR="004D6A64" w:rsidRDefault="004D6A64">
            <w:pPr>
              <w:rPr>
                <w:rFonts w:ascii="宋体"/>
              </w:rPr>
            </w:pPr>
          </w:p>
        </w:tc>
        <w:tc>
          <w:tcPr>
            <w:tcW w:w="0" w:type="auto"/>
            <w:shd w:val="clear" w:color="auto" w:fill="auto"/>
          </w:tcPr>
          <w:p w14:paraId="33DAD25A" w14:textId="77777777" w:rsidR="004D6A64" w:rsidRDefault="004D6A64">
            <w:pPr>
              <w:rPr>
                <w:rFonts w:ascii="宋体"/>
              </w:rPr>
            </w:pPr>
          </w:p>
        </w:tc>
        <w:tc>
          <w:tcPr>
            <w:tcW w:w="0" w:type="auto"/>
            <w:shd w:val="clear" w:color="auto" w:fill="auto"/>
          </w:tcPr>
          <w:p w14:paraId="33DAD25B" w14:textId="77777777" w:rsidR="004D6A64" w:rsidRDefault="004D6A64">
            <w:pPr>
              <w:rPr>
                <w:rFonts w:ascii="宋体"/>
              </w:rPr>
            </w:pPr>
          </w:p>
        </w:tc>
        <w:tc>
          <w:tcPr>
            <w:tcW w:w="0" w:type="auto"/>
            <w:shd w:val="clear" w:color="auto" w:fill="auto"/>
          </w:tcPr>
          <w:p w14:paraId="33DAD25C" w14:textId="77777777" w:rsidR="004D6A64" w:rsidRDefault="004D6A64">
            <w:pPr>
              <w:rPr>
                <w:rFonts w:ascii="宋体"/>
              </w:rPr>
            </w:pPr>
          </w:p>
        </w:tc>
        <w:tc>
          <w:tcPr>
            <w:tcW w:w="0" w:type="auto"/>
            <w:shd w:val="clear" w:color="auto" w:fill="auto"/>
          </w:tcPr>
          <w:p w14:paraId="33DAD25D" w14:textId="77777777" w:rsidR="004D6A64" w:rsidRDefault="004D6A64">
            <w:pPr>
              <w:rPr>
                <w:rFonts w:ascii="宋体"/>
              </w:rPr>
            </w:pPr>
          </w:p>
        </w:tc>
        <w:tc>
          <w:tcPr>
            <w:tcW w:w="0" w:type="auto"/>
            <w:shd w:val="clear" w:color="auto" w:fill="auto"/>
          </w:tcPr>
          <w:p w14:paraId="33DAD25E" w14:textId="77777777" w:rsidR="004D6A64" w:rsidRDefault="004D6A64">
            <w:pPr>
              <w:rPr>
                <w:rFonts w:ascii="宋体"/>
              </w:rPr>
            </w:pPr>
          </w:p>
        </w:tc>
        <w:tc>
          <w:tcPr>
            <w:tcW w:w="0" w:type="auto"/>
            <w:shd w:val="clear" w:color="auto" w:fill="auto"/>
          </w:tcPr>
          <w:p w14:paraId="33DAD25F" w14:textId="77777777" w:rsidR="004D6A64" w:rsidRDefault="004D6A64">
            <w:pPr>
              <w:rPr>
                <w:rFonts w:ascii="宋体"/>
              </w:rPr>
            </w:pPr>
          </w:p>
        </w:tc>
        <w:tc>
          <w:tcPr>
            <w:tcW w:w="0" w:type="auto"/>
            <w:shd w:val="clear" w:color="auto" w:fill="auto"/>
          </w:tcPr>
          <w:p w14:paraId="33DAD260" w14:textId="77777777" w:rsidR="004D6A64" w:rsidRDefault="004D6A64">
            <w:pPr>
              <w:rPr>
                <w:rFonts w:ascii="宋体"/>
              </w:rPr>
            </w:pPr>
          </w:p>
        </w:tc>
        <w:tc>
          <w:tcPr>
            <w:tcW w:w="0" w:type="auto"/>
            <w:shd w:val="clear" w:color="auto" w:fill="auto"/>
          </w:tcPr>
          <w:p w14:paraId="33DAD261" w14:textId="77777777" w:rsidR="004D6A64" w:rsidRDefault="004D6A64">
            <w:pPr>
              <w:rPr>
                <w:rFonts w:ascii="宋体"/>
              </w:rPr>
            </w:pPr>
          </w:p>
        </w:tc>
        <w:tc>
          <w:tcPr>
            <w:tcW w:w="0" w:type="auto"/>
            <w:shd w:val="clear" w:color="auto" w:fill="auto"/>
          </w:tcPr>
          <w:p w14:paraId="33DAD262" w14:textId="77777777" w:rsidR="004D6A64" w:rsidRDefault="004D6A64">
            <w:pPr>
              <w:rPr>
                <w:rFonts w:ascii="宋体"/>
              </w:rPr>
            </w:pPr>
          </w:p>
        </w:tc>
        <w:tc>
          <w:tcPr>
            <w:tcW w:w="0" w:type="auto"/>
            <w:shd w:val="clear" w:color="auto" w:fill="auto"/>
          </w:tcPr>
          <w:p w14:paraId="33DAD263" w14:textId="77777777" w:rsidR="004D6A64" w:rsidRDefault="004D6A64">
            <w:pPr>
              <w:rPr>
                <w:rFonts w:ascii="宋体"/>
              </w:rPr>
            </w:pPr>
          </w:p>
        </w:tc>
        <w:tc>
          <w:tcPr>
            <w:tcW w:w="0" w:type="auto"/>
            <w:shd w:val="clear" w:color="auto" w:fill="auto"/>
          </w:tcPr>
          <w:p w14:paraId="33DAD264" w14:textId="77777777" w:rsidR="004D6A64" w:rsidRDefault="004D6A64">
            <w:pPr>
              <w:rPr>
                <w:rFonts w:ascii="宋体"/>
              </w:rPr>
            </w:pPr>
          </w:p>
        </w:tc>
      </w:tr>
      <w:tr w:rsidR="004D6A64" w14:paraId="33DAD284" w14:textId="77777777">
        <w:tc>
          <w:tcPr>
            <w:tcW w:w="0" w:type="auto"/>
            <w:gridSpan w:val="3"/>
            <w:shd w:val="clear" w:color="auto" w:fill="FFFFFF"/>
            <w:tcMar>
              <w:top w:w="40" w:type="dxa"/>
              <w:left w:w="225" w:type="dxa"/>
              <w:bottom w:w="40" w:type="dxa"/>
              <w:right w:w="20" w:type="dxa"/>
            </w:tcMar>
            <w:vAlign w:val="center"/>
          </w:tcPr>
          <w:p w14:paraId="33DAD266" w14:textId="77777777" w:rsidR="004D6A64" w:rsidRDefault="00506CD6">
            <w:pPr>
              <w:textAlignment w:val="center"/>
            </w:pPr>
            <w:r>
              <w:rPr>
                <w:rFonts w:ascii="Times New Roman" w:eastAsia="宋体" w:hAnsi="Times New Roman"/>
                <w:color w:val="000000"/>
                <w:sz w:val="20"/>
                <w:szCs w:val="20"/>
              </w:rPr>
              <w:t>Other businesses (a)</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D267" w14:textId="77777777" w:rsidR="004D6A64" w:rsidRDefault="00506CD6">
            <w:pPr>
              <w:jc w:val="right"/>
              <w:textAlignment w:val="center"/>
            </w:pPr>
            <w:r>
              <w:rPr>
                <w:rFonts w:ascii="Times New Roman" w:eastAsia="宋体" w:hAnsi="Times New Roman"/>
                <w:color w:val="000000"/>
                <w:sz w:val="20"/>
                <w:szCs w:val="20"/>
              </w:rPr>
              <w:t>457 </w:t>
            </w:r>
          </w:p>
        </w:tc>
        <w:tc>
          <w:tcPr>
            <w:tcW w:w="0" w:type="auto"/>
            <w:tcBorders>
              <w:top w:val="single" w:sz="8" w:space="0" w:color="000000"/>
            </w:tcBorders>
            <w:shd w:val="clear" w:color="auto" w:fill="FFFFFF"/>
            <w:tcMar>
              <w:top w:w="40" w:type="dxa"/>
              <w:bottom w:w="40" w:type="dxa"/>
              <w:right w:w="20" w:type="dxa"/>
            </w:tcMar>
            <w:vAlign w:val="center"/>
          </w:tcPr>
          <w:p w14:paraId="33DAD26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269"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D26A" w14:textId="77777777" w:rsidR="004D6A64" w:rsidRDefault="00506CD6">
            <w:pPr>
              <w:jc w:val="right"/>
              <w:textAlignment w:val="center"/>
            </w:pPr>
            <w:r>
              <w:rPr>
                <w:rFonts w:ascii="Times New Roman" w:eastAsia="宋体" w:hAnsi="Times New Roman"/>
                <w:color w:val="000000"/>
                <w:sz w:val="20"/>
                <w:szCs w:val="20"/>
              </w:rPr>
              <w:t>434 </w:t>
            </w:r>
          </w:p>
        </w:tc>
        <w:tc>
          <w:tcPr>
            <w:tcW w:w="0" w:type="auto"/>
            <w:tcBorders>
              <w:top w:val="single" w:sz="8" w:space="0" w:color="000000"/>
            </w:tcBorders>
            <w:shd w:val="clear" w:color="auto" w:fill="FFFFFF"/>
            <w:tcMar>
              <w:top w:w="40" w:type="dxa"/>
              <w:bottom w:w="40" w:type="dxa"/>
              <w:right w:w="20" w:type="dxa"/>
            </w:tcMar>
            <w:vAlign w:val="center"/>
          </w:tcPr>
          <w:p w14:paraId="33DAD26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26C"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D26D" w14:textId="77777777" w:rsidR="004D6A64" w:rsidRDefault="00506CD6">
            <w:pPr>
              <w:jc w:val="right"/>
              <w:textAlignment w:val="center"/>
            </w:pPr>
            <w:r>
              <w:rPr>
                <w:rFonts w:ascii="Times New Roman" w:eastAsia="宋体" w:hAnsi="Times New Roman"/>
                <w:color w:val="000000"/>
                <w:sz w:val="20"/>
                <w:szCs w:val="20"/>
              </w:rPr>
              <w:t>974 </w:t>
            </w:r>
          </w:p>
        </w:tc>
        <w:tc>
          <w:tcPr>
            <w:tcW w:w="0" w:type="auto"/>
            <w:tcBorders>
              <w:top w:val="single" w:sz="8" w:space="0" w:color="000000"/>
            </w:tcBorders>
            <w:shd w:val="clear" w:color="auto" w:fill="FFFFFF"/>
            <w:tcMar>
              <w:top w:w="40" w:type="dxa"/>
              <w:bottom w:w="40" w:type="dxa"/>
              <w:right w:w="20" w:type="dxa"/>
            </w:tcMar>
            <w:vAlign w:val="center"/>
          </w:tcPr>
          <w:p w14:paraId="33DAD26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26F"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D270" w14:textId="77777777" w:rsidR="004D6A64" w:rsidRDefault="00506CD6">
            <w:pPr>
              <w:jc w:val="right"/>
              <w:textAlignment w:val="center"/>
            </w:pPr>
            <w:r>
              <w:rPr>
                <w:rFonts w:ascii="Times New Roman" w:eastAsia="宋体" w:hAnsi="Times New Roman"/>
                <w:color w:val="000000"/>
                <w:sz w:val="20"/>
                <w:szCs w:val="20"/>
              </w:rPr>
              <w:t>855 </w:t>
            </w:r>
          </w:p>
        </w:tc>
        <w:tc>
          <w:tcPr>
            <w:tcW w:w="0" w:type="auto"/>
            <w:tcBorders>
              <w:top w:val="single" w:sz="8" w:space="0" w:color="000000"/>
            </w:tcBorders>
            <w:shd w:val="clear" w:color="auto" w:fill="FFFFFF"/>
            <w:tcMar>
              <w:top w:w="40" w:type="dxa"/>
              <w:bottom w:w="40" w:type="dxa"/>
              <w:right w:w="20" w:type="dxa"/>
            </w:tcMar>
            <w:vAlign w:val="center"/>
          </w:tcPr>
          <w:p w14:paraId="33DAD271" w14:textId="77777777" w:rsidR="004D6A64" w:rsidRDefault="004D6A64">
            <w:pPr>
              <w:jc w:val="right"/>
              <w:rPr>
                <w:rFonts w:ascii="宋体"/>
              </w:rPr>
            </w:pPr>
          </w:p>
        </w:tc>
        <w:tc>
          <w:tcPr>
            <w:tcW w:w="0" w:type="auto"/>
            <w:shd w:val="clear" w:color="auto" w:fill="auto"/>
          </w:tcPr>
          <w:p w14:paraId="33DAD272" w14:textId="77777777" w:rsidR="004D6A64" w:rsidRDefault="004D6A64">
            <w:pPr>
              <w:rPr>
                <w:rFonts w:ascii="宋体"/>
              </w:rPr>
            </w:pPr>
          </w:p>
        </w:tc>
        <w:tc>
          <w:tcPr>
            <w:tcW w:w="0" w:type="auto"/>
            <w:shd w:val="clear" w:color="auto" w:fill="auto"/>
          </w:tcPr>
          <w:p w14:paraId="33DAD273" w14:textId="77777777" w:rsidR="004D6A64" w:rsidRDefault="004D6A64">
            <w:pPr>
              <w:rPr>
                <w:rFonts w:ascii="宋体"/>
              </w:rPr>
            </w:pPr>
          </w:p>
        </w:tc>
        <w:tc>
          <w:tcPr>
            <w:tcW w:w="0" w:type="auto"/>
            <w:shd w:val="clear" w:color="auto" w:fill="auto"/>
          </w:tcPr>
          <w:p w14:paraId="33DAD274" w14:textId="77777777" w:rsidR="004D6A64" w:rsidRDefault="004D6A64">
            <w:pPr>
              <w:rPr>
                <w:rFonts w:ascii="宋体"/>
              </w:rPr>
            </w:pPr>
          </w:p>
        </w:tc>
        <w:tc>
          <w:tcPr>
            <w:tcW w:w="0" w:type="auto"/>
            <w:shd w:val="clear" w:color="auto" w:fill="auto"/>
          </w:tcPr>
          <w:p w14:paraId="33DAD275" w14:textId="77777777" w:rsidR="004D6A64" w:rsidRDefault="004D6A64">
            <w:pPr>
              <w:rPr>
                <w:rFonts w:ascii="宋体"/>
              </w:rPr>
            </w:pPr>
          </w:p>
        </w:tc>
        <w:tc>
          <w:tcPr>
            <w:tcW w:w="0" w:type="auto"/>
            <w:shd w:val="clear" w:color="auto" w:fill="auto"/>
          </w:tcPr>
          <w:p w14:paraId="33DAD276" w14:textId="77777777" w:rsidR="004D6A64" w:rsidRDefault="004D6A64">
            <w:pPr>
              <w:rPr>
                <w:rFonts w:ascii="宋体"/>
              </w:rPr>
            </w:pPr>
          </w:p>
        </w:tc>
        <w:tc>
          <w:tcPr>
            <w:tcW w:w="0" w:type="auto"/>
            <w:shd w:val="clear" w:color="auto" w:fill="auto"/>
          </w:tcPr>
          <w:p w14:paraId="33DAD277" w14:textId="77777777" w:rsidR="004D6A64" w:rsidRDefault="004D6A64">
            <w:pPr>
              <w:rPr>
                <w:rFonts w:ascii="宋体"/>
              </w:rPr>
            </w:pPr>
          </w:p>
        </w:tc>
        <w:tc>
          <w:tcPr>
            <w:tcW w:w="0" w:type="auto"/>
            <w:shd w:val="clear" w:color="auto" w:fill="auto"/>
          </w:tcPr>
          <w:p w14:paraId="33DAD278" w14:textId="77777777" w:rsidR="004D6A64" w:rsidRDefault="004D6A64">
            <w:pPr>
              <w:rPr>
                <w:rFonts w:ascii="宋体"/>
              </w:rPr>
            </w:pPr>
          </w:p>
        </w:tc>
        <w:tc>
          <w:tcPr>
            <w:tcW w:w="0" w:type="auto"/>
            <w:shd w:val="clear" w:color="auto" w:fill="auto"/>
          </w:tcPr>
          <w:p w14:paraId="33DAD279" w14:textId="77777777" w:rsidR="004D6A64" w:rsidRDefault="004D6A64">
            <w:pPr>
              <w:rPr>
                <w:rFonts w:ascii="宋体"/>
              </w:rPr>
            </w:pPr>
          </w:p>
        </w:tc>
        <w:tc>
          <w:tcPr>
            <w:tcW w:w="0" w:type="auto"/>
            <w:shd w:val="clear" w:color="auto" w:fill="auto"/>
          </w:tcPr>
          <w:p w14:paraId="33DAD27A" w14:textId="77777777" w:rsidR="004D6A64" w:rsidRDefault="004D6A64">
            <w:pPr>
              <w:rPr>
                <w:rFonts w:ascii="宋体"/>
              </w:rPr>
            </w:pPr>
          </w:p>
        </w:tc>
        <w:tc>
          <w:tcPr>
            <w:tcW w:w="0" w:type="auto"/>
            <w:shd w:val="clear" w:color="auto" w:fill="auto"/>
          </w:tcPr>
          <w:p w14:paraId="33DAD27B" w14:textId="77777777" w:rsidR="004D6A64" w:rsidRDefault="004D6A64">
            <w:pPr>
              <w:rPr>
                <w:rFonts w:ascii="宋体"/>
              </w:rPr>
            </w:pPr>
          </w:p>
        </w:tc>
        <w:tc>
          <w:tcPr>
            <w:tcW w:w="0" w:type="auto"/>
            <w:shd w:val="clear" w:color="auto" w:fill="auto"/>
          </w:tcPr>
          <w:p w14:paraId="33DAD27C" w14:textId="77777777" w:rsidR="004D6A64" w:rsidRDefault="004D6A64">
            <w:pPr>
              <w:rPr>
                <w:rFonts w:ascii="宋体"/>
              </w:rPr>
            </w:pPr>
          </w:p>
        </w:tc>
        <w:tc>
          <w:tcPr>
            <w:tcW w:w="0" w:type="auto"/>
            <w:shd w:val="clear" w:color="auto" w:fill="auto"/>
          </w:tcPr>
          <w:p w14:paraId="33DAD27D" w14:textId="77777777" w:rsidR="004D6A64" w:rsidRDefault="004D6A64">
            <w:pPr>
              <w:rPr>
                <w:rFonts w:ascii="宋体"/>
              </w:rPr>
            </w:pPr>
          </w:p>
        </w:tc>
        <w:tc>
          <w:tcPr>
            <w:tcW w:w="0" w:type="auto"/>
            <w:shd w:val="clear" w:color="auto" w:fill="auto"/>
          </w:tcPr>
          <w:p w14:paraId="33DAD27E" w14:textId="77777777" w:rsidR="004D6A64" w:rsidRDefault="004D6A64">
            <w:pPr>
              <w:rPr>
                <w:rFonts w:ascii="宋体"/>
              </w:rPr>
            </w:pPr>
          </w:p>
        </w:tc>
        <w:tc>
          <w:tcPr>
            <w:tcW w:w="0" w:type="auto"/>
            <w:shd w:val="clear" w:color="auto" w:fill="auto"/>
          </w:tcPr>
          <w:p w14:paraId="33DAD27F" w14:textId="77777777" w:rsidR="004D6A64" w:rsidRDefault="004D6A64">
            <w:pPr>
              <w:rPr>
                <w:rFonts w:ascii="宋体"/>
              </w:rPr>
            </w:pPr>
          </w:p>
        </w:tc>
        <w:tc>
          <w:tcPr>
            <w:tcW w:w="0" w:type="auto"/>
            <w:shd w:val="clear" w:color="auto" w:fill="auto"/>
          </w:tcPr>
          <w:p w14:paraId="33DAD280" w14:textId="77777777" w:rsidR="004D6A64" w:rsidRDefault="004D6A64">
            <w:pPr>
              <w:rPr>
                <w:rFonts w:ascii="宋体"/>
              </w:rPr>
            </w:pPr>
          </w:p>
        </w:tc>
        <w:tc>
          <w:tcPr>
            <w:tcW w:w="0" w:type="auto"/>
            <w:shd w:val="clear" w:color="auto" w:fill="auto"/>
          </w:tcPr>
          <w:p w14:paraId="33DAD281" w14:textId="77777777" w:rsidR="004D6A64" w:rsidRDefault="004D6A64">
            <w:pPr>
              <w:rPr>
                <w:rFonts w:ascii="宋体"/>
              </w:rPr>
            </w:pPr>
          </w:p>
        </w:tc>
        <w:tc>
          <w:tcPr>
            <w:tcW w:w="0" w:type="auto"/>
            <w:shd w:val="clear" w:color="auto" w:fill="auto"/>
          </w:tcPr>
          <w:p w14:paraId="33DAD282" w14:textId="77777777" w:rsidR="004D6A64" w:rsidRDefault="004D6A64">
            <w:pPr>
              <w:rPr>
                <w:rFonts w:ascii="宋体"/>
              </w:rPr>
            </w:pPr>
          </w:p>
        </w:tc>
        <w:tc>
          <w:tcPr>
            <w:tcW w:w="0" w:type="auto"/>
            <w:shd w:val="clear" w:color="auto" w:fill="auto"/>
          </w:tcPr>
          <w:p w14:paraId="33DAD283" w14:textId="77777777" w:rsidR="004D6A64" w:rsidRDefault="004D6A64">
            <w:pPr>
              <w:rPr>
                <w:rFonts w:ascii="宋体"/>
              </w:rPr>
            </w:pPr>
          </w:p>
        </w:tc>
      </w:tr>
      <w:tr w:rsidR="004D6A64" w14:paraId="33DAD29F" w14:textId="77777777">
        <w:trPr>
          <w:hidden/>
        </w:trPr>
        <w:tc>
          <w:tcPr>
            <w:tcW w:w="0" w:type="auto"/>
            <w:gridSpan w:val="3"/>
            <w:shd w:val="clear" w:color="auto" w:fill="auto"/>
          </w:tcPr>
          <w:p w14:paraId="33DAD285" w14:textId="77777777" w:rsidR="004D6A64" w:rsidRDefault="004D6A64">
            <w:pPr>
              <w:rPr>
                <w:rFonts w:ascii="宋体"/>
                <w:vanish/>
              </w:rPr>
            </w:pPr>
          </w:p>
        </w:tc>
        <w:tc>
          <w:tcPr>
            <w:tcW w:w="0" w:type="auto"/>
            <w:gridSpan w:val="3"/>
            <w:shd w:val="clear" w:color="auto" w:fill="auto"/>
          </w:tcPr>
          <w:p w14:paraId="33DAD286" w14:textId="77777777" w:rsidR="004D6A64" w:rsidRDefault="004D6A64">
            <w:pPr>
              <w:rPr>
                <w:rFonts w:ascii="宋体"/>
                <w:vanish/>
              </w:rPr>
            </w:pPr>
          </w:p>
        </w:tc>
        <w:tc>
          <w:tcPr>
            <w:tcW w:w="0" w:type="auto"/>
            <w:gridSpan w:val="3"/>
            <w:shd w:val="clear" w:color="auto" w:fill="auto"/>
          </w:tcPr>
          <w:p w14:paraId="33DAD287" w14:textId="77777777" w:rsidR="004D6A64" w:rsidRDefault="004D6A64">
            <w:pPr>
              <w:rPr>
                <w:rFonts w:ascii="宋体"/>
                <w:vanish/>
              </w:rPr>
            </w:pPr>
          </w:p>
        </w:tc>
        <w:tc>
          <w:tcPr>
            <w:tcW w:w="0" w:type="auto"/>
            <w:gridSpan w:val="3"/>
            <w:shd w:val="clear" w:color="auto" w:fill="auto"/>
          </w:tcPr>
          <w:p w14:paraId="33DAD288" w14:textId="77777777" w:rsidR="004D6A64" w:rsidRDefault="004D6A64">
            <w:pPr>
              <w:rPr>
                <w:rFonts w:ascii="宋体"/>
                <w:vanish/>
              </w:rPr>
            </w:pPr>
          </w:p>
        </w:tc>
        <w:tc>
          <w:tcPr>
            <w:tcW w:w="0" w:type="auto"/>
            <w:gridSpan w:val="3"/>
            <w:shd w:val="clear" w:color="auto" w:fill="auto"/>
          </w:tcPr>
          <w:p w14:paraId="33DAD289" w14:textId="77777777" w:rsidR="004D6A64" w:rsidRDefault="004D6A64">
            <w:pPr>
              <w:rPr>
                <w:rFonts w:ascii="宋体"/>
                <w:vanish/>
              </w:rPr>
            </w:pPr>
          </w:p>
        </w:tc>
        <w:tc>
          <w:tcPr>
            <w:tcW w:w="0" w:type="auto"/>
            <w:gridSpan w:val="3"/>
            <w:shd w:val="clear" w:color="auto" w:fill="auto"/>
          </w:tcPr>
          <w:p w14:paraId="33DAD28A" w14:textId="77777777" w:rsidR="004D6A64" w:rsidRDefault="004D6A64">
            <w:pPr>
              <w:rPr>
                <w:rFonts w:ascii="宋体"/>
                <w:vanish/>
              </w:rPr>
            </w:pPr>
          </w:p>
        </w:tc>
        <w:tc>
          <w:tcPr>
            <w:tcW w:w="0" w:type="auto"/>
            <w:gridSpan w:val="3"/>
            <w:shd w:val="clear" w:color="auto" w:fill="auto"/>
          </w:tcPr>
          <w:p w14:paraId="33DAD28B" w14:textId="77777777" w:rsidR="004D6A64" w:rsidRDefault="004D6A64">
            <w:pPr>
              <w:rPr>
                <w:rFonts w:ascii="宋体"/>
                <w:vanish/>
              </w:rPr>
            </w:pPr>
          </w:p>
        </w:tc>
        <w:tc>
          <w:tcPr>
            <w:tcW w:w="0" w:type="auto"/>
            <w:gridSpan w:val="3"/>
            <w:shd w:val="clear" w:color="auto" w:fill="auto"/>
          </w:tcPr>
          <w:p w14:paraId="33DAD28C" w14:textId="77777777" w:rsidR="004D6A64" w:rsidRDefault="004D6A64">
            <w:pPr>
              <w:rPr>
                <w:rFonts w:ascii="宋体"/>
                <w:vanish/>
              </w:rPr>
            </w:pPr>
          </w:p>
        </w:tc>
        <w:tc>
          <w:tcPr>
            <w:tcW w:w="0" w:type="auto"/>
            <w:shd w:val="clear" w:color="auto" w:fill="auto"/>
          </w:tcPr>
          <w:p w14:paraId="33DAD28D" w14:textId="77777777" w:rsidR="004D6A64" w:rsidRDefault="004D6A64">
            <w:pPr>
              <w:rPr>
                <w:rFonts w:ascii="宋体"/>
              </w:rPr>
            </w:pPr>
          </w:p>
        </w:tc>
        <w:tc>
          <w:tcPr>
            <w:tcW w:w="0" w:type="auto"/>
            <w:shd w:val="clear" w:color="auto" w:fill="auto"/>
          </w:tcPr>
          <w:p w14:paraId="33DAD28E" w14:textId="77777777" w:rsidR="004D6A64" w:rsidRDefault="004D6A64">
            <w:pPr>
              <w:rPr>
                <w:rFonts w:ascii="宋体"/>
              </w:rPr>
            </w:pPr>
          </w:p>
        </w:tc>
        <w:tc>
          <w:tcPr>
            <w:tcW w:w="0" w:type="auto"/>
            <w:shd w:val="clear" w:color="auto" w:fill="auto"/>
          </w:tcPr>
          <w:p w14:paraId="33DAD28F" w14:textId="77777777" w:rsidR="004D6A64" w:rsidRDefault="004D6A64">
            <w:pPr>
              <w:rPr>
                <w:rFonts w:ascii="宋体"/>
              </w:rPr>
            </w:pPr>
          </w:p>
        </w:tc>
        <w:tc>
          <w:tcPr>
            <w:tcW w:w="0" w:type="auto"/>
            <w:shd w:val="clear" w:color="auto" w:fill="auto"/>
          </w:tcPr>
          <w:p w14:paraId="33DAD290" w14:textId="77777777" w:rsidR="004D6A64" w:rsidRDefault="004D6A64">
            <w:pPr>
              <w:rPr>
                <w:rFonts w:ascii="宋体"/>
              </w:rPr>
            </w:pPr>
          </w:p>
        </w:tc>
        <w:tc>
          <w:tcPr>
            <w:tcW w:w="0" w:type="auto"/>
            <w:shd w:val="clear" w:color="auto" w:fill="auto"/>
          </w:tcPr>
          <w:p w14:paraId="33DAD291" w14:textId="77777777" w:rsidR="004D6A64" w:rsidRDefault="004D6A64">
            <w:pPr>
              <w:rPr>
                <w:rFonts w:ascii="宋体"/>
              </w:rPr>
            </w:pPr>
          </w:p>
        </w:tc>
        <w:tc>
          <w:tcPr>
            <w:tcW w:w="0" w:type="auto"/>
            <w:shd w:val="clear" w:color="auto" w:fill="auto"/>
          </w:tcPr>
          <w:p w14:paraId="33DAD292" w14:textId="77777777" w:rsidR="004D6A64" w:rsidRDefault="004D6A64">
            <w:pPr>
              <w:rPr>
                <w:rFonts w:ascii="宋体"/>
              </w:rPr>
            </w:pPr>
          </w:p>
        </w:tc>
        <w:tc>
          <w:tcPr>
            <w:tcW w:w="0" w:type="auto"/>
            <w:shd w:val="clear" w:color="auto" w:fill="auto"/>
          </w:tcPr>
          <w:p w14:paraId="33DAD293" w14:textId="77777777" w:rsidR="004D6A64" w:rsidRDefault="004D6A64">
            <w:pPr>
              <w:rPr>
                <w:rFonts w:ascii="宋体"/>
              </w:rPr>
            </w:pPr>
          </w:p>
        </w:tc>
        <w:tc>
          <w:tcPr>
            <w:tcW w:w="0" w:type="auto"/>
            <w:shd w:val="clear" w:color="auto" w:fill="auto"/>
          </w:tcPr>
          <w:p w14:paraId="33DAD294" w14:textId="77777777" w:rsidR="004D6A64" w:rsidRDefault="004D6A64">
            <w:pPr>
              <w:rPr>
                <w:rFonts w:ascii="宋体"/>
              </w:rPr>
            </w:pPr>
          </w:p>
        </w:tc>
        <w:tc>
          <w:tcPr>
            <w:tcW w:w="0" w:type="auto"/>
            <w:shd w:val="clear" w:color="auto" w:fill="auto"/>
          </w:tcPr>
          <w:p w14:paraId="33DAD295" w14:textId="77777777" w:rsidR="004D6A64" w:rsidRDefault="004D6A64">
            <w:pPr>
              <w:rPr>
                <w:rFonts w:ascii="宋体"/>
              </w:rPr>
            </w:pPr>
          </w:p>
        </w:tc>
        <w:tc>
          <w:tcPr>
            <w:tcW w:w="0" w:type="auto"/>
            <w:shd w:val="clear" w:color="auto" w:fill="auto"/>
          </w:tcPr>
          <w:p w14:paraId="33DAD296" w14:textId="77777777" w:rsidR="004D6A64" w:rsidRDefault="004D6A64">
            <w:pPr>
              <w:rPr>
                <w:rFonts w:ascii="宋体"/>
              </w:rPr>
            </w:pPr>
          </w:p>
        </w:tc>
        <w:tc>
          <w:tcPr>
            <w:tcW w:w="0" w:type="auto"/>
            <w:shd w:val="clear" w:color="auto" w:fill="auto"/>
          </w:tcPr>
          <w:p w14:paraId="33DAD297" w14:textId="77777777" w:rsidR="004D6A64" w:rsidRDefault="004D6A64">
            <w:pPr>
              <w:rPr>
                <w:rFonts w:ascii="宋体"/>
              </w:rPr>
            </w:pPr>
          </w:p>
        </w:tc>
        <w:tc>
          <w:tcPr>
            <w:tcW w:w="0" w:type="auto"/>
            <w:shd w:val="clear" w:color="auto" w:fill="auto"/>
          </w:tcPr>
          <w:p w14:paraId="33DAD298" w14:textId="77777777" w:rsidR="004D6A64" w:rsidRDefault="004D6A64">
            <w:pPr>
              <w:rPr>
                <w:rFonts w:ascii="宋体"/>
              </w:rPr>
            </w:pPr>
          </w:p>
        </w:tc>
        <w:tc>
          <w:tcPr>
            <w:tcW w:w="0" w:type="auto"/>
            <w:shd w:val="clear" w:color="auto" w:fill="auto"/>
          </w:tcPr>
          <w:p w14:paraId="33DAD299" w14:textId="77777777" w:rsidR="004D6A64" w:rsidRDefault="004D6A64">
            <w:pPr>
              <w:rPr>
                <w:rFonts w:ascii="宋体"/>
              </w:rPr>
            </w:pPr>
          </w:p>
        </w:tc>
        <w:tc>
          <w:tcPr>
            <w:tcW w:w="0" w:type="auto"/>
            <w:shd w:val="clear" w:color="auto" w:fill="auto"/>
          </w:tcPr>
          <w:p w14:paraId="33DAD29A" w14:textId="77777777" w:rsidR="004D6A64" w:rsidRDefault="004D6A64">
            <w:pPr>
              <w:rPr>
                <w:rFonts w:ascii="宋体"/>
              </w:rPr>
            </w:pPr>
          </w:p>
        </w:tc>
        <w:tc>
          <w:tcPr>
            <w:tcW w:w="0" w:type="auto"/>
            <w:shd w:val="clear" w:color="auto" w:fill="auto"/>
          </w:tcPr>
          <w:p w14:paraId="33DAD29B" w14:textId="77777777" w:rsidR="004D6A64" w:rsidRDefault="004D6A64">
            <w:pPr>
              <w:rPr>
                <w:rFonts w:ascii="宋体"/>
              </w:rPr>
            </w:pPr>
          </w:p>
        </w:tc>
        <w:tc>
          <w:tcPr>
            <w:tcW w:w="0" w:type="auto"/>
            <w:shd w:val="clear" w:color="auto" w:fill="auto"/>
          </w:tcPr>
          <w:p w14:paraId="33DAD29C" w14:textId="77777777" w:rsidR="004D6A64" w:rsidRDefault="004D6A64">
            <w:pPr>
              <w:rPr>
                <w:rFonts w:ascii="宋体"/>
              </w:rPr>
            </w:pPr>
          </w:p>
        </w:tc>
        <w:tc>
          <w:tcPr>
            <w:tcW w:w="0" w:type="auto"/>
            <w:shd w:val="clear" w:color="auto" w:fill="auto"/>
          </w:tcPr>
          <w:p w14:paraId="33DAD29D" w14:textId="77777777" w:rsidR="004D6A64" w:rsidRDefault="004D6A64">
            <w:pPr>
              <w:rPr>
                <w:rFonts w:ascii="宋体"/>
              </w:rPr>
            </w:pPr>
          </w:p>
        </w:tc>
        <w:tc>
          <w:tcPr>
            <w:tcW w:w="0" w:type="auto"/>
            <w:shd w:val="clear" w:color="auto" w:fill="auto"/>
          </w:tcPr>
          <w:p w14:paraId="33DAD29E" w14:textId="77777777" w:rsidR="004D6A64" w:rsidRDefault="004D6A64">
            <w:pPr>
              <w:rPr>
                <w:rFonts w:ascii="宋体"/>
              </w:rPr>
            </w:pPr>
          </w:p>
        </w:tc>
      </w:tr>
      <w:tr w:rsidR="004D6A64" w14:paraId="33DAD2BE" w14:textId="77777777">
        <w:tc>
          <w:tcPr>
            <w:tcW w:w="0" w:type="auto"/>
            <w:gridSpan w:val="3"/>
            <w:shd w:val="clear" w:color="auto" w:fill="CCEEFF"/>
            <w:tcMar>
              <w:top w:w="40" w:type="dxa"/>
              <w:left w:w="225" w:type="dxa"/>
              <w:bottom w:w="40" w:type="dxa"/>
              <w:right w:w="20" w:type="dxa"/>
            </w:tcMar>
            <w:vAlign w:val="center"/>
          </w:tcPr>
          <w:p w14:paraId="33DAD2A0" w14:textId="77777777" w:rsidR="004D6A64" w:rsidRDefault="00506CD6">
            <w:pPr>
              <w:textAlignment w:val="center"/>
            </w:pPr>
            <w:r>
              <w:rPr>
                <w:rFonts w:ascii="Times New Roman" w:eastAsia="宋体" w:hAnsi="Times New Roman"/>
                <w:color w:val="000000"/>
                <w:sz w:val="20"/>
                <w:szCs w:val="20"/>
              </w:rPr>
              <w:t>Impact of purchase accounting (c)</w:t>
            </w:r>
          </w:p>
        </w:tc>
        <w:tc>
          <w:tcPr>
            <w:tcW w:w="0" w:type="auto"/>
            <w:gridSpan w:val="2"/>
            <w:shd w:val="clear" w:color="auto" w:fill="CCEEFF"/>
            <w:tcMar>
              <w:top w:w="40" w:type="dxa"/>
              <w:left w:w="20" w:type="dxa"/>
              <w:bottom w:w="40" w:type="dxa"/>
              <w:right w:w="0" w:type="dxa"/>
            </w:tcMar>
            <w:vAlign w:val="center"/>
          </w:tcPr>
          <w:p w14:paraId="33DAD2A1" w14:textId="77777777" w:rsidR="004D6A64" w:rsidRDefault="00506CD6">
            <w:pPr>
              <w:jc w:val="right"/>
              <w:textAlignment w:val="center"/>
            </w:pPr>
            <w:r>
              <w:rPr>
                <w:rFonts w:ascii="Times New Roman" w:eastAsia="宋体" w:hAnsi="Times New Roman"/>
                <w:color w:val="000000"/>
                <w:sz w:val="20"/>
                <w:szCs w:val="20"/>
              </w:rPr>
              <w:t>(42)</w:t>
            </w:r>
          </w:p>
        </w:tc>
        <w:tc>
          <w:tcPr>
            <w:tcW w:w="0" w:type="auto"/>
            <w:shd w:val="clear" w:color="auto" w:fill="CCEEFF"/>
            <w:tcMar>
              <w:top w:w="40" w:type="dxa"/>
              <w:bottom w:w="40" w:type="dxa"/>
              <w:right w:w="20" w:type="dxa"/>
            </w:tcMar>
            <w:vAlign w:val="center"/>
          </w:tcPr>
          <w:p w14:paraId="33DAD2A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2A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2A4" w14:textId="77777777" w:rsidR="004D6A64" w:rsidRDefault="00506CD6">
            <w:pPr>
              <w:jc w:val="right"/>
              <w:textAlignment w:val="center"/>
            </w:pPr>
            <w:r>
              <w:rPr>
                <w:rFonts w:ascii="Times New Roman" w:eastAsia="宋体" w:hAnsi="Times New Roman"/>
                <w:color w:val="000000"/>
                <w:sz w:val="20"/>
                <w:szCs w:val="20"/>
              </w:rPr>
              <w:t>(84)</w:t>
            </w:r>
          </w:p>
        </w:tc>
        <w:tc>
          <w:tcPr>
            <w:tcW w:w="0" w:type="auto"/>
            <w:shd w:val="clear" w:color="auto" w:fill="CCEEFF"/>
            <w:tcMar>
              <w:top w:w="40" w:type="dxa"/>
              <w:bottom w:w="40" w:type="dxa"/>
              <w:right w:w="20" w:type="dxa"/>
            </w:tcMar>
            <w:vAlign w:val="center"/>
          </w:tcPr>
          <w:p w14:paraId="33DAD2A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2A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2A7" w14:textId="77777777" w:rsidR="004D6A64" w:rsidRDefault="00506CD6">
            <w:pPr>
              <w:jc w:val="right"/>
              <w:textAlignment w:val="center"/>
            </w:pPr>
            <w:r>
              <w:rPr>
                <w:rFonts w:ascii="Times New Roman" w:eastAsia="宋体" w:hAnsi="Times New Roman"/>
                <w:color w:val="000000"/>
                <w:sz w:val="20"/>
                <w:szCs w:val="20"/>
              </w:rPr>
              <w:t>(90)</w:t>
            </w:r>
          </w:p>
        </w:tc>
        <w:tc>
          <w:tcPr>
            <w:tcW w:w="0" w:type="auto"/>
            <w:shd w:val="clear" w:color="auto" w:fill="CCEEFF"/>
            <w:tcMar>
              <w:top w:w="40" w:type="dxa"/>
              <w:bottom w:w="40" w:type="dxa"/>
              <w:right w:w="20" w:type="dxa"/>
            </w:tcMar>
            <w:vAlign w:val="center"/>
          </w:tcPr>
          <w:p w14:paraId="33DAD2A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2A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2AA" w14:textId="77777777" w:rsidR="004D6A64" w:rsidRDefault="00506CD6">
            <w:pPr>
              <w:jc w:val="right"/>
              <w:textAlignment w:val="center"/>
            </w:pPr>
            <w:r>
              <w:rPr>
                <w:rFonts w:ascii="Times New Roman" w:eastAsia="宋体" w:hAnsi="Times New Roman"/>
                <w:color w:val="000000"/>
                <w:sz w:val="20"/>
                <w:szCs w:val="20"/>
              </w:rPr>
              <w:t>(166)</w:t>
            </w:r>
          </w:p>
        </w:tc>
        <w:tc>
          <w:tcPr>
            <w:tcW w:w="0" w:type="auto"/>
            <w:shd w:val="clear" w:color="auto" w:fill="CCEEFF"/>
            <w:tcMar>
              <w:top w:w="40" w:type="dxa"/>
              <w:bottom w:w="40" w:type="dxa"/>
              <w:right w:w="20" w:type="dxa"/>
            </w:tcMar>
            <w:vAlign w:val="center"/>
          </w:tcPr>
          <w:p w14:paraId="33DAD2AB" w14:textId="77777777" w:rsidR="004D6A64" w:rsidRDefault="004D6A64">
            <w:pPr>
              <w:jc w:val="right"/>
              <w:rPr>
                <w:rFonts w:ascii="宋体"/>
              </w:rPr>
            </w:pPr>
          </w:p>
        </w:tc>
        <w:tc>
          <w:tcPr>
            <w:tcW w:w="0" w:type="auto"/>
            <w:shd w:val="clear" w:color="auto" w:fill="auto"/>
          </w:tcPr>
          <w:p w14:paraId="33DAD2AC" w14:textId="77777777" w:rsidR="004D6A64" w:rsidRDefault="004D6A64">
            <w:pPr>
              <w:rPr>
                <w:rFonts w:ascii="宋体"/>
              </w:rPr>
            </w:pPr>
          </w:p>
        </w:tc>
        <w:tc>
          <w:tcPr>
            <w:tcW w:w="0" w:type="auto"/>
            <w:shd w:val="clear" w:color="auto" w:fill="auto"/>
          </w:tcPr>
          <w:p w14:paraId="33DAD2AD" w14:textId="77777777" w:rsidR="004D6A64" w:rsidRDefault="004D6A64">
            <w:pPr>
              <w:rPr>
                <w:rFonts w:ascii="宋体"/>
              </w:rPr>
            </w:pPr>
          </w:p>
        </w:tc>
        <w:tc>
          <w:tcPr>
            <w:tcW w:w="0" w:type="auto"/>
            <w:shd w:val="clear" w:color="auto" w:fill="auto"/>
          </w:tcPr>
          <w:p w14:paraId="33DAD2AE" w14:textId="77777777" w:rsidR="004D6A64" w:rsidRDefault="004D6A64">
            <w:pPr>
              <w:rPr>
                <w:rFonts w:ascii="宋体"/>
              </w:rPr>
            </w:pPr>
          </w:p>
        </w:tc>
        <w:tc>
          <w:tcPr>
            <w:tcW w:w="0" w:type="auto"/>
            <w:shd w:val="clear" w:color="auto" w:fill="auto"/>
          </w:tcPr>
          <w:p w14:paraId="33DAD2AF" w14:textId="77777777" w:rsidR="004D6A64" w:rsidRDefault="004D6A64">
            <w:pPr>
              <w:rPr>
                <w:rFonts w:ascii="宋体"/>
              </w:rPr>
            </w:pPr>
          </w:p>
        </w:tc>
        <w:tc>
          <w:tcPr>
            <w:tcW w:w="0" w:type="auto"/>
            <w:shd w:val="clear" w:color="auto" w:fill="auto"/>
          </w:tcPr>
          <w:p w14:paraId="33DAD2B0" w14:textId="77777777" w:rsidR="004D6A64" w:rsidRDefault="004D6A64">
            <w:pPr>
              <w:rPr>
                <w:rFonts w:ascii="宋体"/>
              </w:rPr>
            </w:pPr>
          </w:p>
        </w:tc>
        <w:tc>
          <w:tcPr>
            <w:tcW w:w="0" w:type="auto"/>
            <w:shd w:val="clear" w:color="auto" w:fill="auto"/>
          </w:tcPr>
          <w:p w14:paraId="33DAD2B1" w14:textId="77777777" w:rsidR="004D6A64" w:rsidRDefault="004D6A64">
            <w:pPr>
              <w:rPr>
                <w:rFonts w:ascii="宋体"/>
              </w:rPr>
            </w:pPr>
          </w:p>
        </w:tc>
        <w:tc>
          <w:tcPr>
            <w:tcW w:w="0" w:type="auto"/>
            <w:shd w:val="clear" w:color="auto" w:fill="auto"/>
          </w:tcPr>
          <w:p w14:paraId="33DAD2B2" w14:textId="77777777" w:rsidR="004D6A64" w:rsidRDefault="004D6A64">
            <w:pPr>
              <w:rPr>
                <w:rFonts w:ascii="宋体"/>
              </w:rPr>
            </w:pPr>
          </w:p>
        </w:tc>
        <w:tc>
          <w:tcPr>
            <w:tcW w:w="0" w:type="auto"/>
            <w:shd w:val="clear" w:color="auto" w:fill="auto"/>
          </w:tcPr>
          <w:p w14:paraId="33DAD2B3" w14:textId="77777777" w:rsidR="004D6A64" w:rsidRDefault="004D6A64">
            <w:pPr>
              <w:rPr>
                <w:rFonts w:ascii="宋体"/>
              </w:rPr>
            </w:pPr>
          </w:p>
        </w:tc>
        <w:tc>
          <w:tcPr>
            <w:tcW w:w="0" w:type="auto"/>
            <w:shd w:val="clear" w:color="auto" w:fill="auto"/>
          </w:tcPr>
          <w:p w14:paraId="33DAD2B4" w14:textId="77777777" w:rsidR="004D6A64" w:rsidRDefault="004D6A64">
            <w:pPr>
              <w:rPr>
                <w:rFonts w:ascii="宋体"/>
              </w:rPr>
            </w:pPr>
          </w:p>
        </w:tc>
        <w:tc>
          <w:tcPr>
            <w:tcW w:w="0" w:type="auto"/>
            <w:shd w:val="clear" w:color="auto" w:fill="auto"/>
          </w:tcPr>
          <w:p w14:paraId="33DAD2B5" w14:textId="77777777" w:rsidR="004D6A64" w:rsidRDefault="004D6A64">
            <w:pPr>
              <w:rPr>
                <w:rFonts w:ascii="宋体"/>
              </w:rPr>
            </w:pPr>
          </w:p>
        </w:tc>
        <w:tc>
          <w:tcPr>
            <w:tcW w:w="0" w:type="auto"/>
            <w:shd w:val="clear" w:color="auto" w:fill="auto"/>
          </w:tcPr>
          <w:p w14:paraId="33DAD2B6" w14:textId="77777777" w:rsidR="004D6A64" w:rsidRDefault="004D6A64">
            <w:pPr>
              <w:rPr>
                <w:rFonts w:ascii="宋体"/>
              </w:rPr>
            </w:pPr>
          </w:p>
        </w:tc>
        <w:tc>
          <w:tcPr>
            <w:tcW w:w="0" w:type="auto"/>
            <w:shd w:val="clear" w:color="auto" w:fill="auto"/>
          </w:tcPr>
          <w:p w14:paraId="33DAD2B7" w14:textId="77777777" w:rsidR="004D6A64" w:rsidRDefault="004D6A64">
            <w:pPr>
              <w:rPr>
                <w:rFonts w:ascii="宋体"/>
              </w:rPr>
            </w:pPr>
          </w:p>
        </w:tc>
        <w:tc>
          <w:tcPr>
            <w:tcW w:w="0" w:type="auto"/>
            <w:shd w:val="clear" w:color="auto" w:fill="auto"/>
          </w:tcPr>
          <w:p w14:paraId="33DAD2B8" w14:textId="77777777" w:rsidR="004D6A64" w:rsidRDefault="004D6A64">
            <w:pPr>
              <w:rPr>
                <w:rFonts w:ascii="宋体"/>
              </w:rPr>
            </w:pPr>
          </w:p>
        </w:tc>
        <w:tc>
          <w:tcPr>
            <w:tcW w:w="0" w:type="auto"/>
            <w:shd w:val="clear" w:color="auto" w:fill="auto"/>
          </w:tcPr>
          <w:p w14:paraId="33DAD2B9" w14:textId="77777777" w:rsidR="004D6A64" w:rsidRDefault="004D6A64">
            <w:pPr>
              <w:rPr>
                <w:rFonts w:ascii="宋体"/>
              </w:rPr>
            </w:pPr>
          </w:p>
        </w:tc>
        <w:tc>
          <w:tcPr>
            <w:tcW w:w="0" w:type="auto"/>
            <w:shd w:val="clear" w:color="auto" w:fill="auto"/>
          </w:tcPr>
          <w:p w14:paraId="33DAD2BA" w14:textId="77777777" w:rsidR="004D6A64" w:rsidRDefault="004D6A64">
            <w:pPr>
              <w:rPr>
                <w:rFonts w:ascii="宋体"/>
              </w:rPr>
            </w:pPr>
          </w:p>
        </w:tc>
        <w:tc>
          <w:tcPr>
            <w:tcW w:w="0" w:type="auto"/>
            <w:shd w:val="clear" w:color="auto" w:fill="auto"/>
          </w:tcPr>
          <w:p w14:paraId="33DAD2BB" w14:textId="77777777" w:rsidR="004D6A64" w:rsidRDefault="004D6A64">
            <w:pPr>
              <w:rPr>
                <w:rFonts w:ascii="宋体"/>
              </w:rPr>
            </w:pPr>
          </w:p>
        </w:tc>
        <w:tc>
          <w:tcPr>
            <w:tcW w:w="0" w:type="auto"/>
            <w:shd w:val="clear" w:color="auto" w:fill="auto"/>
          </w:tcPr>
          <w:p w14:paraId="33DAD2BC" w14:textId="77777777" w:rsidR="004D6A64" w:rsidRDefault="004D6A64">
            <w:pPr>
              <w:rPr>
                <w:rFonts w:ascii="宋体"/>
              </w:rPr>
            </w:pPr>
          </w:p>
        </w:tc>
        <w:tc>
          <w:tcPr>
            <w:tcW w:w="0" w:type="auto"/>
            <w:shd w:val="clear" w:color="auto" w:fill="auto"/>
          </w:tcPr>
          <w:p w14:paraId="33DAD2BD" w14:textId="77777777" w:rsidR="004D6A64" w:rsidRDefault="004D6A64">
            <w:pPr>
              <w:rPr>
                <w:rFonts w:ascii="宋体"/>
              </w:rPr>
            </w:pPr>
          </w:p>
        </w:tc>
      </w:tr>
      <w:tr w:rsidR="004D6A64" w14:paraId="33DAD2E1" w14:textId="77777777">
        <w:tc>
          <w:tcPr>
            <w:tcW w:w="0" w:type="auto"/>
            <w:gridSpan w:val="3"/>
            <w:shd w:val="clear" w:color="auto" w:fill="FFFFFF"/>
            <w:tcMar>
              <w:top w:w="40" w:type="dxa"/>
              <w:left w:w="360" w:type="dxa"/>
              <w:bottom w:w="40" w:type="dxa"/>
              <w:right w:w="20" w:type="dxa"/>
            </w:tcMar>
            <w:vAlign w:val="center"/>
          </w:tcPr>
          <w:p w14:paraId="33DAD2BF" w14:textId="77777777" w:rsidR="004D6A64" w:rsidRDefault="00506CD6">
            <w:pPr>
              <w:textAlignment w:val="center"/>
            </w:pPr>
            <w:r>
              <w:rPr>
                <w:rFonts w:ascii="Times New Roman" w:eastAsia="宋体" w:hAnsi="Times New Roman"/>
                <w:color w:val="000000"/>
                <w:sz w:val="20"/>
                <w:szCs w:val="20"/>
              </w:rPr>
              <w:t>Total consolidated net revenue</w:t>
            </w:r>
          </w:p>
        </w:tc>
        <w:tc>
          <w:tcPr>
            <w:tcW w:w="0" w:type="auto"/>
            <w:tcBorders>
              <w:top w:val="single" w:sz="8" w:space="0" w:color="000000"/>
            </w:tcBorders>
            <w:shd w:val="clear" w:color="auto" w:fill="FFFFFF"/>
            <w:tcMar>
              <w:top w:w="40" w:type="dxa"/>
              <w:left w:w="20" w:type="dxa"/>
              <w:bottom w:w="40" w:type="dxa"/>
            </w:tcMar>
            <w:vAlign w:val="center"/>
          </w:tcPr>
          <w:p w14:paraId="33DAD2C0"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D2C1" w14:textId="77777777" w:rsidR="004D6A64" w:rsidRDefault="00506CD6">
            <w:pPr>
              <w:jc w:val="right"/>
              <w:textAlignment w:val="center"/>
            </w:pPr>
            <w:r>
              <w:rPr>
                <w:rFonts w:ascii="Times New Roman" w:eastAsia="宋体" w:hAnsi="Times New Roman"/>
                <w:color w:val="000000"/>
                <w:sz w:val="20"/>
                <w:szCs w:val="20"/>
              </w:rPr>
              <w:t>22,733 </w:t>
            </w:r>
          </w:p>
        </w:tc>
        <w:tc>
          <w:tcPr>
            <w:tcW w:w="0" w:type="auto"/>
            <w:tcBorders>
              <w:top w:val="single" w:sz="8" w:space="0" w:color="000000"/>
            </w:tcBorders>
            <w:shd w:val="clear" w:color="auto" w:fill="FFFFFF"/>
            <w:tcMar>
              <w:top w:w="40" w:type="dxa"/>
              <w:bottom w:w="40" w:type="dxa"/>
              <w:right w:w="20" w:type="dxa"/>
            </w:tcMar>
            <w:vAlign w:val="center"/>
          </w:tcPr>
          <w:p w14:paraId="33DAD2C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2C3"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D2C4"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D2C5" w14:textId="77777777" w:rsidR="004D6A64" w:rsidRDefault="00506CD6">
            <w:pPr>
              <w:jc w:val="right"/>
              <w:textAlignment w:val="center"/>
            </w:pPr>
            <w:r>
              <w:rPr>
                <w:rFonts w:ascii="Times New Roman" w:eastAsia="宋体" w:hAnsi="Times New Roman"/>
                <w:color w:val="000000"/>
                <w:sz w:val="20"/>
                <w:szCs w:val="20"/>
              </w:rPr>
              <w:t>23,370 </w:t>
            </w:r>
          </w:p>
        </w:tc>
        <w:tc>
          <w:tcPr>
            <w:tcW w:w="0" w:type="auto"/>
            <w:tcBorders>
              <w:top w:val="single" w:sz="8" w:space="0" w:color="000000"/>
            </w:tcBorders>
            <w:shd w:val="clear" w:color="auto" w:fill="FFFFFF"/>
            <w:tcMar>
              <w:top w:w="40" w:type="dxa"/>
              <w:bottom w:w="40" w:type="dxa"/>
              <w:right w:w="20" w:type="dxa"/>
            </w:tcMar>
            <w:vAlign w:val="center"/>
          </w:tcPr>
          <w:p w14:paraId="33DAD2C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2C7"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D2C8"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D2C9" w14:textId="77777777" w:rsidR="004D6A64" w:rsidRDefault="00506CD6">
            <w:pPr>
              <w:jc w:val="right"/>
              <w:textAlignment w:val="center"/>
            </w:pPr>
            <w:r>
              <w:rPr>
                <w:rFonts w:ascii="Times New Roman" w:eastAsia="宋体" w:hAnsi="Times New Roman"/>
                <w:color w:val="000000"/>
                <w:sz w:val="20"/>
                <w:szCs w:val="20"/>
              </w:rPr>
              <w:t>44,630 </w:t>
            </w:r>
          </w:p>
        </w:tc>
        <w:tc>
          <w:tcPr>
            <w:tcW w:w="0" w:type="auto"/>
            <w:tcBorders>
              <w:top w:val="single" w:sz="8" w:space="0" w:color="000000"/>
            </w:tcBorders>
            <w:shd w:val="clear" w:color="auto" w:fill="FFFFFF"/>
            <w:tcMar>
              <w:top w:w="40" w:type="dxa"/>
              <w:bottom w:w="40" w:type="dxa"/>
              <w:right w:w="20" w:type="dxa"/>
            </w:tcMar>
            <w:vAlign w:val="center"/>
          </w:tcPr>
          <w:p w14:paraId="33DAD2C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2CB"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D2CC"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D2CD" w14:textId="77777777" w:rsidR="004D6A64" w:rsidRDefault="00506CD6">
            <w:pPr>
              <w:jc w:val="right"/>
              <w:textAlignment w:val="center"/>
            </w:pPr>
            <w:r>
              <w:rPr>
                <w:rFonts w:ascii="Times New Roman" w:eastAsia="宋体" w:hAnsi="Times New Roman"/>
                <w:color w:val="000000"/>
                <w:sz w:val="20"/>
                <w:szCs w:val="20"/>
              </w:rPr>
              <w:t>45,278 </w:t>
            </w:r>
          </w:p>
        </w:tc>
        <w:tc>
          <w:tcPr>
            <w:tcW w:w="0" w:type="auto"/>
            <w:tcBorders>
              <w:top w:val="single" w:sz="8" w:space="0" w:color="000000"/>
            </w:tcBorders>
            <w:shd w:val="clear" w:color="auto" w:fill="FFFFFF"/>
            <w:tcMar>
              <w:top w:w="40" w:type="dxa"/>
              <w:bottom w:w="40" w:type="dxa"/>
              <w:right w:w="20" w:type="dxa"/>
            </w:tcMar>
            <w:vAlign w:val="center"/>
          </w:tcPr>
          <w:p w14:paraId="33DAD2CE" w14:textId="77777777" w:rsidR="004D6A64" w:rsidRDefault="004D6A64">
            <w:pPr>
              <w:jc w:val="right"/>
              <w:rPr>
                <w:rFonts w:ascii="宋体"/>
              </w:rPr>
            </w:pPr>
          </w:p>
        </w:tc>
        <w:tc>
          <w:tcPr>
            <w:tcW w:w="0" w:type="auto"/>
            <w:shd w:val="clear" w:color="auto" w:fill="auto"/>
          </w:tcPr>
          <w:p w14:paraId="33DAD2CF" w14:textId="77777777" w:rsidR="004D6A64" w:rsidRDefault="004D6A64">
            <w:pPr>
              <w:rPr>
                <w:rFonts w:ascii="宋体"/>
              </w:rPr>
            </w:pPr>
          </w:p>
        </w:tc>
        <w:tc>
          <w:tcPr>
            <w:tcW w:w="0" w:type="auto"/>
            <w:shd w:val="clear" w:color="auto" w:fill="auto"/>
          </w:tcPr>
          <w:p w14:paraId="33DAD2D0" w14:textId="77777777" w:rsidR="004D6A64" w:rsidRDefault="004D6A64">
            <w:pPr>
              <w:rPr>
                <w:rFonts w:ascii="宋体"/>
              </w:rPr>
            </w:pPr>
          </w:p>
        </w:tc>
        <w:tc>
          <w:tcPr>
            <w:tcW w:w="0" w:type="auto"/>
            <w:shd w:val="clear" w:color="auto" w:fill="auto"/>
          </w:tcPr>
          <w:p w14:paraId="33DAD2D1" w14:textId="77777777" w:rsidR="004D6A64" w:rsidRDefault="004D6A64">
            <w:pPr>
              <w:rPr>
                <w:rFonts w:ascii="宋体"/>
              </w:rPr>
            </w:pPr>
          </w:p>
        </w:tc>
        <w:tc>
          <w:tcPr>
            <w:tcW w:w="0" w:type="auto"/>
            <w:shd w:val="clear" w:color="auto" w:fill="auto"/>
          </w:tcPr>
          <w:p w14:paraId="33DAD2D2" w14:textId="77777777" w:rsidR="004D6A64" w:rsidRDefault="004D6A64">
            <w:pPr>
              <w:rPr>
                <w:rFonts w:ascii="宋体"/>
              </w:rPr>
            </w:pPr>
          </w:p>
        </w:tc>
        <w:tc>
          <w:tcPr>
            <w:tcW w:w="0" w:type="auto"/>
            <w:shd w:val="clear" w:color="auto" w:fill="auto"/>
          </w:tcPr>
          <w:p w14:paraId="33DAD2D3" w14:textId="77777777" w:rsidR="004D6A64" w:rsidRDefault="004D6A64">
            <w:pPr>
              <w:rPr>
                <w:rFonts w:ascii="宋体"/>
              </w:rPr>
            </w:pPr>
          </w:p>
        </w:tc>
        <w:tc>
          <w:tcPr>
            <w:tcW w:w="0" w:type="auto"/>
            <w:shd w:val="clear" w:color="auto" w:fill="auto"/>
          </w:tcPr>
          <w:p w14:paraId="33DAD2D4" w14:textId="77777777" w:rsidR="004D6A64" w:rsidRDefault="004D6A64">
            <w:pPr>
              <w:rPr>
                <w:rFonts w:ascii="宋体"/>
              </w:rPr>
            </w:pPr>
          </w:p>
        </w:tc>
        <w:tc>
          <w:tcPr>
            <w:tcW w:w="0" w:type="auto"/>
            <w:shd w:val="clear" w:color="auto" w:fill="auto"/>
          </w:tcPr>
          <w:p w14:paraId="33DAD2D5" w14:textId="77777777" w:rsidR="004D6A64" w:rsidRDefault="004D6A64">
            <w:pPr>
              <w:rPr>
                <w:rFonts w:ascii="宋体"/>
              </w:rPr>
            </w:pPr>
          </w:p>
        </w:tc>
        <w:tc>
          <w:tcPr>
            <w:tcW w:w="0" w:type="auto"/>
            <w:shd w:val="clear" w:color="auto" w:fill="auto"/>
          </w:tcPr>
          <w:p w14:paraId="33DAD2D6" w14:textId="77777777" w:rsidR="004D6A64" w:rsidRDefault="004D6A64">
            <w:pPr>
              <w:rPr>
                <w:rFonts w:ascii="宋体"/>
              </w:rPr>
            </w:pPr>
          </w:p>
        </w:tc>
        <w:tc>
          <w:tcPr>
            <w:tcW w:w="0" w:type="auto"/>
            <w:shd w:val="clear" w:color="auto" w:fill="auto"/>
          </w:tcPr>
          <w:p w14:paraId="33DAD2D7" w14:textId="77777777" w:rsidR="004D6A64" w:rsidRDefault="004D6A64">
            <w:pPr>
              <w:rPr>
                <w:rFonts w:ascii="宋体"/>
              </w:rPr>
            </w:pPr>
          </w:p>
        </w:tc>
        <w:tc>
          <w:tcPr>
            <w:tcW w:w="0" w:type="auto"/>
            <w:shd w:val="clear" w:color="auto" w:fill="auto"/>
          </w:tcPr>
          <w:p w14:paraId="33DAD2D8" w14:textId="77777777" w:rsidR="004D6A64" w:rsidRDefault="004D6A64">
            <w:pPr>
              <w:rPr>
                <w:rFonts w:ascii="宋体"/>
              </w:rPr>
            </w:pPr>
          </w:p>
        </w:tc>
        <w:tc>
          <w:tcPr>
            <w:tcW w:w="0" w:type="auto"/>
            <w:shd w:val="clear" w:color="auto" w:fill="auto"/>
          </w:tcPr>
          <w:p w14:paraId="33DAD2D9" w14:textId="77777777" w:rsidR="004D6A64" w:rsidRDefault="004D6A64">
            <w:pPr>
              <w:rPr>
                <w:rFonts w:ascii="宋体"/>
              </w:rPr>
            </w:pPr>
          </w:p>
        </w:tc>
        <w:tc>
          <w:tcPr>
            <w:tcW w:w="0" w:type="auto"/>
            <w:shd w:val="clear" w:color="auto" w:fill="auto"/>
          </w:tcPr>
          <w:p w14:paraId="33DAD2DA" w14:textId="77777777" w:rsidR="004D6A64" w:rsidRDefault="004D6A64">
            <w:pPr>
              <w:rPr>
                <w:rFonts w:ascii="宋体"/>
              </w:rPr>
            </w:pPr>
          </w:p>
        </w:tc>
        <w:tc>
          <w:tcPr>
            <w:tcW w:w="0" w:type="auto"/>
            <w:shd w:val="clear" w:color="auto" w:fill="auto"/>
          </w:tcPr>
          <w:p w14:paraId="33DAD2DB" w14:textId="77777777" w:rsidR="004D6A64" w:rsidRDefault="004D6A64">
            <w:pPr>
              <w:rPr>
                <w:rFonts w:ascii="宋体"/>
              </w:rPr>
            </w:pPr>
          </w:p>
        </w:tc>
        <w:tc>
          <w:tcPr>
            <w:tcW w:w="0" w:type="auto"/>
            <w:shd w:val="clear" w:color="auto" w:fill="auto"/>
          </w:tcPr>
          <w:p w14:paraId="33DAD2DC" w14:textId="77777777" w:rsidR="004D6A64" w:rsidRDefault="004D6A64">
            <w:pPr>
              <w:rPr>
                <w:rFonts w:ascii="宋体"/>
              </w:rPr>
            </w:pPr>
          </w:p>
        </w:tc>
        <w:tc>
          <w:tcPr>
            <w:tcW w:w="0" w:type="auto"/>
            <w:shd w:val="clear" w:color="auto" w:fill="auto"/>
          </w:tcPr>
          <w:p w14:paraId="33DAD2DD" w14:textId="77777777" w:rsidR="004D6A64" w:rsidRDefault="004D6A64">
            <w:pPr>
              <w:rPr>
                <w:rFonts w:ascii="宋体"/>
              </w:rPr>
            </w:pPr>
          </w:p>
        </w:tc>
        <w:tc>
          <w:tcPr>
            <w:tcW w:w="0" w:type="auto"/>
            <w:shd w:val="clear" w:color="auto" w:fill="auto"/>
          </w:tcPr>
          <w:p w14:paraId="33DAD2DE" w14:textId="77777777" w:rsidR="004D6A64" w:rsidRDefault="004D6A64">
            <w:pPr>
              <w:rPr>
                <w:rFonts w:ascii="宋体"/>
              </w:rPr>
            </w:pPr>
          </w:p>
        </w:tc>
        <w:tc>
          <w:tcPr>
            <w:tcW w:w="0" w:type="auto"/>
            <w:shd w:val="clear" w:color="auto" w:fill="auto"/>
          </w:tcPr>
          <w:p w14:paraId="33DAD2DF" w14:textId="77777777" w:rsidR="004D6A64" w:rsidRDefault="004D6A64">
            <w:pPr>
              <w:rPr>
                <w:rFonts w:ascii="宋体"/>
              </w:rPr>
            </w:pPr>
          </w:p>
        </w:tc>
        <w:tc>
          <w:tcPr>
            <w:tcW w:w="0" w:type="auto"/>
            <w:shd w:val="clear" w:color="auto" w:fill="auto"/>
          </w:tcPr>
          <w:p w14:paraId="33DAD2E0" w14:textId="77777777" w:rsidR="004D6A64" w:rsidRDefault="004D6A64">
            <w:pPr>
              <w:rPr>
                <w:rFonts w:ascii="宋体"/>
              </w:rPr>
            </w:pPr>
          </w:p>
        </w:tc>
      </w:tr>
      <w:tr w:rsidR="004D6A64" w14:paraId="33DAD2FC" w14:textId="77777777">
        <w:trPr>
          <w:trHeight w:val="280"/>
        </w:trPr>
        <w:tc>
          <w:tcPr>
            <w:tcW w:w="0" w:type="auto"/>
            <w:gridSpan w:val="3"/>
            <w:shd w:val="clear" w:color="auto" w:fill="CCEEFF"/>
            <w:tcMar>
              <w:left w:w="20" w:type="dxa"/>
              <w:right w:w="20" w:type="dxa"/>
            </w:tcMar>
            <w:vAlign w:val="bottom"/>
          </w:tcPr>
          <w:p w14:paraId="33DAD2E2"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D2E3"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2E4"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D2E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2E6"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D2E7"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2E8"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D2E9" w14:textId="77777777" w:rsidR="004D6A64" w:rsidRDefault="004D6A64">
            <w:pPr>
              <w:rPr>
                <w:rFonts w:ascii="宋体"/>
              </w:rPr>
            </w:pPr>
          </w:p>
        </w:tc>
        <w:tc>
          <w:tcPr>
            <w:tcW w:w="0" w:type="auto"/>
            <w:shd w:val="clear" w:color="auto" w:fill="auto"/>
          </w:tcPr>
          <w:p w14:paraId="33DAD2EA" w14:textId="77777777" w:rsidR="004D6A64" w:rsidRDefault="004D6A64">
            <w:pPr>
              <w:rPr>
                <w:rFonts w:ascii="宋体"/>
              </w:rPr>
            </w:pPr>
          </w:p>
        </w:tc>
        <w:tc>
          <w:tcPr>
            <w:tcW w:w="0" w:type="auto"/>
            <w:shd w:val="clear" w:color="auto" w:fill="auto"/>
          </w:tcPr>
          <w:p w14:paraId="33DAD2EB" w14:textId="77777777" w:rsidR="004D6A64" w:rsidRDefault="004D6A64">
            <w:pPr>
              <w:rPr>
                <w:rFonts w:ascii="宋体"/>
              </w:rPr>
            </w:pPr>
          </w:p>
        </w:tc>
        <w:tc>
          <w:tcPr>
            <w:tcW w:w="0" w:type="auto"/>
            <w:shd w:val="clear" w:color="auto" w:fill="auto"/>
          </w:tcPr>
          <w:p w14:paraId="33DAD2EC" w14:textId="77777777" w:rsidR="004D6A64" w:rsidRDefault="004D6A64">
            <w:pPr>
              <w:rPr>
                <w:rFonts w:ascii="宋体"/>
              </w:rPr>
            </w:pPr>
          </w:p>
        </w:tc>
        <w:tc>
          <w:tcPr>
            <w:tcW w:w="0" w:type="auto"/>
            <w:shd w:val="clear" w:color="auto" w:fill="auto"/>
          </w:tcPr>
          <w:p w14:paraId="33DAD2ED" w14:textId="77777777" w:rsidR="004D6A64" w:rsidRDefault="004D6A64">
            <w:pPr>
              <w:rPr>
                <w:rFonts w:ascii="宋体"/>
              </w:rPr>
            </w:pPr>
          </w:p>
        </w:tc>
        <w:tc>
          <w:tcPr>
            <w:tcW w:w="0" w:type="auto"/>
            <w:shd w:val="clear" w:color="auto" w:fill="auto"/>
          </w:tcPr>
          <w:p w14:paraId="33DAD2EE" w14:textId="77777777" w:rsidR="004D6A64" w:rsidRDefault="004D6A64">
            <w:pPr>
              <w:rPr>
                <w:rFonts w:ascii="宋体"/>
              </w:rPr>
            </w:pPr>
          </w:p>
        </w:tc>
        <w:tc>
          <w:tcPr>
            <w:tcW w:w="0" w:type="auto"/>
            <w:shd w:val="clear" w:color="auto" w:fill="auto"/>
          </w:tcPr>
          <w:p w14:paraId="33DAD2EF" w14:textId="77777777" w:rsidR="004D6A64" w:rsidRDefault="004D6A64">
            <w:pPr>
              <w:rPr>
                <w:rFonts w:ascii="宋体"/>
              </w:rPr>
            </w:pPr>
          </w:p>
        </w:tc>
        <w:tc>
          <w:tcPr>
            <w:tcW w:w="0" w:type="auto"/>
            <w:shd w:val="clear" w:color="auto" w:fill="auto"/>
          </w:tcPr>
          <w:p w14:paraId="33DAD2F0" w14:textId="77777777" w:rsidR="004D6A64" w:rsidRDefault="004D6A64">
            <w:pPr>
              <w:rPr>
                <w:rFonts w:ascii="宋体"/>
              </w:rPr>
            </w:pPr>
          </w:p>
        </w:tc>
        <w:tc>
          <w:tcPr>
            <w:tcW w:w="0" w:type="auto"/>
            <w:shd w:val="clear" w:color="auto" w:fill="auto"/>
          </w:tcPr>
          <w:p w14:paraId="33DAD2F1" w14:textId="77777777" w:rsidR="004D6A64" w:rsidRDefault="004D6A64">
            <w:pPr>
              <w:rPr>
                <w:rFonts w:ascii="宋体"/>
              </w:rPr>
            </w:pPr>
          </w:p>
        </w:tc>
        <w:tc>
          <w:tcPr>
            <w:tcW w:w="0" w:type="auto"/>
            <w:shd w:val="clear" w:color="auto" w:fill="auto"/>
          </w:tcPr>
          <w:p w14:paraId="33DAD2F2" w14:textId="77777777" w:rsidR="004D6A64" w:rsidRDefault="004D6A64">
            <w:pPr>
              <w:rPr>
                <w:rFonts w:ascii="宋体"/>
              </w:rPr>
            </w:pPr>
          </w:p>
        </w:tc>
        <w:tc>
          <w:tcPr>
            <w:tcW w:w="0" w:type="auto"/>
            <w:shd w:val="clear" w:color="auto" w:fill="auto"/>
          </w:tcPr>
          <w:p w14:paraId="33DAD2F3" w14:textId="77777777" w:rsidR="004D6A64" w:rsidRDefault="004D6A64">
            <w:pPr>
              <w:rPr>
                <w:rFonts w:ascii="宋体"/>
              </w:rPr>
            </w:pPr>
          </w:p>
        </w:tc>
        <w:tc>
          <w:tcPr>
            <w:tcW w:w="0" w:type="auto"/>
            <w:shd w:val="clear" w:color="auto" w:fill="auto"/>
          </w:tcPr>
          <w:p w14:paraId="33DAD2F4" w14:textId="77777777" w:rsidR="004D6A64" w:rsidRDefault="004D6A64">
            <w:pPr>
              <w:rPr>
                <w:rFonts w:ascii="宋体"/>
              </w:rPr>
            </w:pPr>
          </w:p>
        </w:tc>
        <w:tc>
          <w:tcPr>
            <w:tcW w:w="0" w:type="auto"/>
            <w:shd w:val="clear" w:color="auto" w:fill="auto"/>
          </w:tcPr>
          <w:p w14:paraId="33DAD2F5" w14:textId="77777777" w:rsidR="004D6A64" w:rsidRDefault="004D6A64">
            <w:pPr>
              <w:rPr>
                <w:rFonts w:ascii="宋体"/>
              </w:rPr>
            </w:pPr>
          </w:p>
        </w:tc>
        <w:tc>
          <w:tcPr>
            <w:tcW w:w="0" w:type="auto"/>
            <w:shd w:val="clear" w:color="auto" w:fill="auto"/>
          </w:tcPr>
          <w:p w14:paraId="33DAD2F6" w14:textId="77777777" w:rsidR="004D6A64" w:rsidRDefault="004D6A64">
            <w:pPr>
              <w:rPr>
                <w:rFonts w:ascii="宋体"/>
              </w:rPr>
            </w:pPr>
          </w:p>
        </w:tc>
        <w:tc>
          <w:tcPr>
            <w:tcW w:w="0" w:type="auto"/>
            <w:shd w:val="clear" w:color="auto" w:fill="auto"/>
          </w:tcPr>
          <w:p w14:paraId="33DAD2F7" w14:textId="77777777" w:rsidR="004D6A64" w:rsidRDefault="004D6A64">
            <w:pPr>
              <w:rPr>
                <w:rFonts w:ascii="宋体"/>
              </w:rPr>
            </w:pPr>
          </w:p>
        </w:tc>
        <w:tc>
          <w:tcPr>
            <w:tcW w:w="0" w:type="auto"/>
            <w:shd w:val="clear" w:color="auto" w:fill="auto"/>
          </w:tcPr>
          <w:p w14:paraId="33DAD2F8" w14:textId="77777777" w:rsidR="004D6A64" w:rsidRDefault="004D6A64">
            <w:pPr>
              <w:rPr>
                <w:rFonts w:ascii="宋体"/>
              </w:rPr>
            </w:pPr>
          </w:p>
        </w:tc>
        <w:tc>
          <w:tcPr>
            <w:tcW w:w="0" w:type="auto"/>
            <w:shd w:val="clear" w:color="auto" w:fill="auto"/>
          </w:tcPr>
          <w:p w14:paraId="33DAD2F9" w14:textId="77777777" w:rsidR="004D6A64" w:rsidRDefault="004D6A64">
            <w:pPr>
              <w:rPr>
                <w:rFonts w:ascii="宋体"/>
              </w:rPr>
            </w:pPr>
          </w:p>
        </w:tc>
        <w:tc>
          <w:tcPr>
            <w:tcW w:w="0" w:type="auto"/>
            <w:shd w:val="clear" w:color="auto" w:fill="auto"/>
          </w:tcPr>
          <w:p w14:paraId="33DAD2FA" w14:textId="77777777" w:rsidR="004D6A64" w:rsidRDefault="004D6A64">
            <w:pPr>
              <w:rPr>
                <w:rFonts w:ascii="宋体"/>
              </w:rPr>
            </w:pPr>
          </w:p>
        </w:tc>
        <w:tc>
          <w:tcPr>
            <w:tcW w:w="0" w:type="auto"/>
            <w:shd w:val="clear" w:color="auto" w:fill="auto"/>
          </w:tcPr>
          <w:p w14:paraId="33DAD2FB" w14:textId="77777777" w:rsidR="004D6A64" w:rsidRDefault="004D6A64">
            <w:pPr>
              <w:rPr>
                <w:rFonts w:ascii="宋体"/>
              </w:rPr>
            </w:pPr>
          </w:p>
        </w:tc>
      </w:tr>
      <w:tr w:rsidR="004D6A64" w14:paraId="33DAD317" w14:textId="77777777">
        <w:tc>
          <w:tcPr>
            <w:tcW w:w="0" w:type="auto"/>
            <w:gridSpan w:val="3"/>
            <w:shd w:val="clear" w:color="auto" w:fill="FFFFFF"/>
            <w:tcMar>
              <w:top w:w="40" w:type="dxa"/>
              <w:left w:w="20" w:type="dxa"/>
              <w:bottom w:w="40" w:type="dxa"/>
              <w:right w:w="20" w:type="dxa"/>
            </w:tcMar>
            <w:vAlign w:val="center"/>
          </w:tcPr>
          <w:p w14:paraId="33DAD2FD" w14:textId="77777777" w:rsidR="004D6A64" w:rsidRDefault="00506CD6">
            <w:pPr>
              <w:textAlignment w:val="center"/>
            </w:pPr>
            <w:r>
              <w:rPr>
                <w:rFonts w:ascii="Times New Roman" w:eastAsia="宋体" w:hAnsi="Times New Roman"/>
                <w:i/>
                <w:iCs/>
                <w:color w:val="000000"/>
                <w:sz w:val="20"/>
                <w:szCs w:val="20"/>
              </w:rPr>
              <w:t>Consolidated operating income:</w:t>
            </w:r>
          </w:p>
        </w:tc>
        <w:tc>
          <w:tcPr>
            <w:tcW w:w="0" w:type="auto"/>
            <w:gridSpan w:val="3"/>
            <w:shd w:val="clear" w:color="auto" w:fill="FFFFFF"/>
            <w:tcMar>
              <w:left w:w="20" w:type="dxa"/>
              <w:right w:w="20" w:type="dxa"/>
            </w:tcMar>
            <w:vAlign w:val="bottom"/>
          </w:tcPr>
          <w:p w14:paraId="33DAD2FE"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2FF"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300"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301"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302"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303"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304" w14:textId="77777777" w:rsidR="004D6A64" w:rsidRDefault="004D6A64">
            <w:pPr>
              <w:rPr>
                <w:rFonts w:ascii="宋体"/>
              </w:rPr>
            </w:pPr>
          </w:p>
        </w:tc>
        <w:tc>
          <w:tcPr>
            <w:tcW w:w="0" w:type="auto"/>
            <w:shd w:val="clear" w:color="auto" w:fill="auto"/>
          </w:tcPr>
          <w:p w14:paraId="33DAD305" w14:textId="77777777" w:rsidR="004D6A64" w:rsidRDefault="004D6A64">
            <w:pPr>
              <w:rPr>
                <w:rFonts w:ascii="宋体"/>
              </w:rPr>
            </w:pPr>
          </w:p>
        </w:tc>
        <w:tc>
          <w:tcPr>
            <w:tcW w:w="0" w:type="auto"/>
            <w:shd w:val="clear" w:color="auto" w:fill="auto"/>
          </w:tcPr>
          <w:p w14:paraId="33DAD306" w14:textId="77777777" w:rsidR="004D6A64" w:rsidRDefault="004D6A64">
            <w:pPr>
              <w:rPr>
                <w:rFonts w:ascii="宋体"/>
              </w:rPr>
            </w:pPr>
          </w:p>
        </w:tc>
        <w:tc>
          <w:tcPr>
            <w:tcW w:w="0" w:type="auto"/>
            <w:shd w:val="clear" w:color="auto" w:fill="auto"/>
          </w:tcPr>
          <w:p w14:paraId="33DAD307" w14:textId="77777777" w:rsidR="004D6A64" w:rsidRDefault="004D6A64">
            <w:pPr>
              <w:rPr>
                <w:rFonts w:ascii="宋体"/>
              </w:rPr>
            </w:pPr>
          </w:p>
        </w:tc>
        <w:tc>
          <w:tcPr>
            <w:tcW w:w="0" w:type="auto"/>
            <w:shd w:val="clear" w:color="auto" w:fill="auto"/>
          </w:tcPr>
          <w:p w14:paraId="33DAD308" w14:textId="77777777" w:rsidR="004D6A64" w:rsidRDefault="004D6A64">
            <w:pPr>
              <w:rPr>
                <w:rFonts w:ascii="宋体"/>
              </w:rPr>
            </w:pPr>
          </w:p>
        </w:tc>
        <w:tc>
          <w:tcPr>
            <w:tcW w:w="0" w:type="auto"/>
            <w:shd w:val="clear" w:color="auto" w:fill="auto"/>
          </w:tcPr>
          <w:p w14:paraId="33DAD309" w14:textId="77777777" w:rsidR="004D6A64" w:rsidRDefault="004D6A64">
            <w:pPr>
              <w:rPr>
                <w:rFonts w:ascii="宋体"/>
              </w:rPr>
            </w:pPr>
          </w:p>
        </w:tc>
        <w:tc>
          <w:tcPr>
            <w:tcW w:w="0" w:type="auto"/>
            <w:shd w:val="clear" w:color="auto" w:fill="auto"/>
          </w:tcPr>
          <w:p w14:paraId="33DAD30A" w14:textId="77777777" w:rsidR="004D6A64" w:rsidRDefault="004D6A64">
            <w:pPr>
              <w:rPr>
                <w:rFonts w:ascii="宋体"/>
              </w:rPr>
            </w:pPr>
          </w:p>
        </w:tc>
        <w:tc>
          <w:tcPr>
            <w:tcW w:w="0" w:type="auto"/>
            <w:shd w:val="clear" w:color="auto" w:fill="auto"/>
          </w:tcPr>
          <w:p w14:paraId="33DAD30B" w14:textId="77777777" w:rsidR="004D6A64" w:rsidRDefault="004D6A64">
            <w:pPr>
              <w:rPr>
                <w:rFonts w:ascii="宋体"/>
              </w:rPr>
            </w:pPr>
          </w:p>
        </w:tc>
        <w:tc>
          <w:tcPr>
            <w:tcW w:w="0" w:type="auto"/>
            <w:shd w:val="clear" w:color="auto" w:fill="auto"/>
          </w:tcPr>
          <w:p w14:paraId="33DAD30C" w14:textId="77777777" w:rsidR="004D6A64" w:rsidRDefault="004D6A64">
            <w:pPr>
              <w:rPr>
                <w:rFonts w:ascii="宋体"/>
              </w:rPr>
            </w:pPr>
          </w:p>
        </w:tc>
        <w:tc>
          <w:tcPr>
            <w:tcW w:w="0" w:type="auto"/>
            <w:shd w:val="clear" w:color="auto" w:fill="auto"/>
          </w:tcPr>
          <w:p w14:paraId="33DAD30D" w14:textId="77777777" w:rsidR="004D6A64" w:rsidRDefault="004D6A64">
            <w:pPr>
              <w:rPr>
                <w:rFonts w:ascii="宋体"/>
              </w:rPr>
            </w:pPr>
          </w:p>
        </w:tc>
        <w:tc>
          <w:tcPr>
            <w:tcW w:w="0" w:type="auto"/>
            <w:shd w:val="clear" w:color="auto" w:fill="auto"/>
          </w:tcPr>
          <w:p w14:paraId="33DAD30E" w14:textId="77777777" w:rsidR="004D6A64" w:rsidRDefault="004D6A64">
            <w:pPr>
              <w:rPr>
                <w:rFonts w:ascii="宋体"/>
              </w:rPr>
            </w:pPr>
          </w:p>
        </w:tc>
        <w:tc>
          <w:tcPr>
            <w:tcW w:w="0" w:type="auto"/>
            <w:shd w:val="clear" w:color="auto" w:fill="auto"/>
          </w:tcPr>
          <w:p w14:paraId="33DAD30F" w14:textId="77777777" w:rsidR="004D6A64" w:rsidRDefault="004D6A64">
            <w:pPr>
              <w:rPr>
                <w:rFonts w:ascii="宋体"/>
              </w:rPr>
            </w:pPr>
          </w:p>
        </w:tc>
        <w:tc>
          <w:tcPr>
            <w:tcW w:w="0" w:type="auto"/>
            <w:shd w:val="clear" w:color="auto" w:fill="auto"/>
          </w:tcPr>
          <w:p w14:paraId="33DAD310" w14:textId="77777777" w:rsidR="004D6A64" w:rsidRDefault="004D6A64">
            <w:pPr>
              <w:rPr>
                <w:rFonts w:ascii="宋体"/>
              </w:rPr>
            </w:pPr>
          </w:p>
        </w:tc>
        <w:tc>
          <w:tcPr>
            <w:tcW w:w="0" w:type="auto"/>
            <w:shd w:val="clear" w:color="auto" w:fill="auto"/>
          </w:tcPr>
          <w:p w14:paraId="33DAD311" w14:textId="77777777" w:rsidR="004D6A64" w:rsidRDefault="004D6A64">
            <w:pPr>
              <w:rPr>
                <w:rFonts w:ascii="宋体"/>
              </w:rPr>
            </w:pPr>
          </w:p>
        </w:tc>
        <w:tc>
          <w:tcPr>
            <w:tcW w:w="0" w:type="auto"/>
            <w:shd w:val="clear" w:color="auto" w:fill="auto"/>
          </w:tcPr>
          <w:p w14:paraId="33DAD312" w14:textId="77777777" w:rsidR="004D6A64" w:rsidRDefault="004D6A64">
            <w:pPr>
              <w:rPr>
                <w:rFonts w:ascii="宋体"/>
              </w:rPr>
            </w:pPr>
          </w:p>
        </w:tc>
        <w:tc>
          <w:tcPr>
            <w:tcW w:w="0" w:type="auto"/>
            <w:shd w:val="clear" w:color="auto" w:fill="auto"/>
          </w:tcPr>
          <w:p w14:paraId="33DAD313" w14:textId="77777777" w:rsidR="004D6A64" w:rsidRDefault="004D6A64">
            <w:pPr>
              <w:rPr>
                <w:rFonts w:ascii="宋体"/>
              </w:rPr>
            </w:pPr>
          </w:p>
        </w:tc>
        <w:tc>
          <w:tcPr>
            <w:tcW w:w="0" w:type="auto"/>
            <w:shd w:val="clear" w:color="auto" w:fill="auto"/>
          </w:tcPr>
          <w:p w14:paraId="33DAD314" w14:textId="77777777" w:rsidR="004D6A64" w:rsidRDefault="004D6A64">
            <w:pPr>
              <w:rPr>
                <w:rFonts w:ascii="宋体"/>
              </w:rPr>
            </w:pPr>
          </w:p>
        </w:tc>
        <w:tc>
          <w:tcPr>
            <w:tcW w:w="0" w:type="auto"/>
            <w:shd w:val="clear" w:color="auto" w:fill="auto"/>
          </w:tcPr>
          <w:p w14:paraId="33DAD315" w14:textId="77777777" w:rsidR="004D6A64" w:rsidRDefault="004D6A64">
            <w:pPr>
              <w:rPr>
                <w:rFonts w:ascii="宋体"/>
              </w:rPr>
            </w:pPr>
          </w:p>
        </w:tc>
        <w:tc>
          <w:tcPr>
            <w:tcW w:w="0" w:type="auto"/>
            <w:shd w:val="clear" w:color="auto" w:fill="auto"/>
          </w:tcPr>
          <w:p w14:paraId="33DAD316" w14:textId="77777777" w:rsidR="004D6A64" w:rsidRDefault="004D6A64">
            <w:pPr>
              <w:rPr>
                <w:rFonts w:ascii="宋体"/>
              </w:rPr>
            </w:pPr>
          </w:p>
        </w:tc>
      </w:tr>
      <w:tr w:rsidR="004D6A64" w14:paraId="33DAD33A" w14:textId="77777777">
        <w:tc>
          <w:tcPr>
            <w:tcW w:w="0" w:type="auto"/>
            <w:gridSpan w:val="3"/>
            <w:shd w:val="clear" w:color="auto" w:fill="CCEEFF"/>
            <w:tcMar>
              <w:top w:w="40" w:type="dxa"/>
              <w:left w:w="20" w:type="dxa"/>
              <w:bottom w:w="40" w:type="dxa"/>
              <w:right w:w="20" w:type="dxa"/>
            </w:tcMar>
            <w:vAlign w:val="center"/>
          </w:tcPr>
          <w:p w14:paraId="33DAD318" w14:textId="77777777" w:rsidR="004D6A64" w:rsidRDefault="00506CD6">
            <w:pPr>
              <w:textAlignment w:val="center"/>
            </w:pPr>
            <w:r>
              <w:rPr>
                <w:rFonts w:ascii="Times New Roman" w:eastAsia="宋体" w:hAnsi="Times New Roman"/>
                <w:color w:val="000000"/>
                <w:sz w:val="20"/>
                <w:szCs w:val="20"/>
              </w:rPr>
              <w:t>Infrastructure Solutions Group</w:t>
            </w:r>
          </w:p>
        </w:tc>
        <w:tc>
          <w:tcPr>
            <w:tcW w:w="0" w:type="auto"/>
            <w:shd w:val="clear" w:color="auto" w:fill="CCEEFF"/>
            <w:tcMar>
              <w:top w:w="40" w:type="dxa"/>
              <w:left w:w="20" w:type="dxa"/>
              <w:bottom w:w="40" w:type="dxa"/>
            </w:tcMar>
            <w:vAlign w:val="center"/>
          </w:tcPr>
          <w:p w14:paraId="33DAD319"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D31A" w14:textId="77777777" w:rsidR="004D6A64" w:rsidRDefault="00506CD6">
            <w:pPr>
              <w:jc w:val="right"/>
              <w:textAlignment w:val="center"/>
            </w:pPr>
            <w:r>
              <w:rPr>
                <w:rFonts w:ascii="Times New Roman" w:eastAsia="宋体" w:hAnsi="Times New Roman"/>
                <w:color w:val="000000"/>
                <w:sz w:val="20"/>
                <w:szCs w:val="20"/>
              </w:rPr>
              <w:t>973 </w:t>
            </w:r>
          </w:p>
        </w:tc>
        <w:tc>
          <w:tcPr>
            <w:tcW w:w="0" w:type="auto"/>
            <w:shd w:val="clear" w:color="auto" w:fill="CCEEFF"/>
            <w:tcMar>
              <w:top w:w="40" w:type="dxa"/>
              <w:bottom w:w="40" w:type="dxa"/>
              <w:right w:w="20" w:type="dxa"/>
            </w:tcMar>
            <w:vAlign w:val="center"/>
          </w:tcPr>
          <w:p w14:paraId="33DAD31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31C"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D31D"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D31E" w14:textId="77777777" w:rsidR="004D6A64" w:rsidRDefault="00506CD6">
            <w:pPr>
              <w:jc w:val="right"/>
              <w:textAlignment w:val="center"/>
            </w:pPr>
            <w:r>
              <w:rPr>
                <w:rFonts w:ascii="Times New Roman" w:eastAsia="宋体" w:hAnsi="Times New Roman"/>
                <w:color w:val="000000"/>
                <w:sz w:val="20"/>
                <w:szCs w:val="20"/>
              </w:rPr>
              <w:t>1,050 </w:t>
            </w:r>
          </w:p>
        </w:tc>
        <w:tc>
          <w:tcPr>
            <w:tcW w:w="0" w:type="auto"/>
            <w:shd w:val="clear" w:color="auto" w:fill="CCEEFF"/>
            <w:tcMar>
              <w:top w:w="40" w:type="dxa"/>
              <w:bottom w:w="40" w:type="dxa"/>
              <w:right w:w="20" w:type="dxa"/>
            </w:tcMar>
            <w:vAlign w:val="center"/>
          </w:tcPr>
          <w:p w14:paraId="33DAD31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320"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D321"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D322" w14:textId="77777777" w:rsidR="004D6A64" w:rsidRDefault="00506CD6">
            <w:pPr>
              <w:jc w:val="right"/>
              <w:textAlignment w:val="center"/>
            </w:pPr>
            <w:r>
              <w:rPr>
                <w:rFonts w:ascii="Times New Roman" w:eastAsia="宋体" w:hAnsi="Times New Roman"/>
                <w:color w:val="000000"/>
                <w:sz w:val="20"/>
                <w:szCs w:val="20"/>
              </w:rPr>
              <w:t>1,705 </w:t>
            </w:r>
          </w:p>
        </w:tc>
        <w:tc>
          <w:tcPr>
            <w:tcW w:w="0" w:type="auto"/>
            <w:shd w:val="clear" w:color="auto" w:fill="CCEEFF"/>
            <w:tcMar>
              <w:top w:w="40" w:type="dxa"/>
              <w:bottom w:w="40" w:type="dxa"/>
              <w:right w:w="20" w:type="dxa"/>
            </w:tcMar>
            <w:vAlign w:val="center"/>
          </w:tcPr>
          <w:p w14:paraId="33DAD32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324"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D325"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D326" w14:textId="77777777" w:rsidR="004D6A64" w:rsidRDefault="00506CD6">
            <w:pPr>
              <w:jc w:val="right"/>
              <w:textAlignment w:val="center"/>
            </w:pPr>
            <w:r>
              <w:rPr>
                <w:rFonts w:ascii="Times New Roman" w:eastAsia="宋体" w:hAnsi="Times New Roman"/>
                <w:color w:val="000000"/>
                <w:sz w:val="20"/>
                <w:szCs w:val="20"/>
              </w:rPr>
              <w:t>1,893 </w:t>
            </w:r>
          </w:p>
        </w:tc>
        <w:tc>
          <w:tcPr>
            <w:tcW w:w="0" w:type="auto"/>
            <w:shd w:val="clear" w:color="auto" w:fill="CCEEFF"/>
            <w:tcMar>
              <w:top w:w="40" w:type="dxa"/>
              <w:bottom w:w="40" w:type="dxa"/>
              <w:right w:w="20" w:type="dxa"/>
            </w:tcMar>
            <w:vAlign w:val="center"/>
          </w:tcPr>
          <w:p w14:paraId="33DAD327" w14:textId="77777777" w:rsidR="004D6A64" w:rsidRDefault="004D6A64">
            <w:pPr>
              <w:jc w:val="right"/>
              <w:rPr>
                <w:rFonts w:ascii="宋体"/>
              </w:rPr>
            </w:pPr>
          </w:p>
        </w:tc>
        <w:tc>
          <w:tcPr>
            <w:tcW w:w="0" w:type="auto"/>
            <w:shd w:val="clear" w:color="auto" w:fill="auto"/>
          </w:tcPr>
          <w:p w14:paraId="33DAD328" w14:textId="77777777" w:rsidR="004D6A64" w:rsidRDefault="004D6A64">
            <w:pPr>
              <w:rPr>
                <w:rFonts w:ascii="宋体"/>
              </w:rPr>
            </w:pPr>
          </w:p>
        </w:tc>
        <w:tc>
          <w:tcPr>
            <w:tcW w:w="0" w:type="auto"/>
            <w:shd w:val="clear" w:color="auto" w:fill="auto"/>
          </w:tcPr>
          <w:p w14:paraId="33DAD329" w14:textId="77777777" w:rsidR="004D6A64" w:rsidRDefault="004D6A64">
            <w:pPr>
              <w:rPr>
                <w:rFonts w:ascii="宋体"/>
              </w:rPr>
            </w:pPr>
          </w:p>
        </w:tc>
        <w:tc>
          <w:tcPr>
            <w:tcW w:w="0" w:type="auto"/>
            <w:shd w:val="clear" w:color="auto" w:fill="auto"/>
          </w:tcPr>
          <w:p w14:paraId="33DAD32A" w14:textId="77777777" w:rsidR="004D6A64" w:rsidRDefault="004D6A64">
            <w:pPr>
              <w:rPr>
                <w:rFonts w:ascii="宋体"/>
              </w:rPr>
            </w:pPr>
          </w:p>
        </w:tc>
        <w:tc>
          <w:tcPr>
            <w:tcW w:w="0" w:type="auto"/>
            <w:shd w:val="clear" w:color="auto" w:fill="auto"/>
          </w:tcPr>
          <w:p w14:paraId="33DAD32B" w14:textId="77777777" w:rsidR="004D6A64" w:rsidRDefault="004D6A64">
            <w:pPr>
              <w:rPr>
                <w:rFonts w:ascii="宋体"/>
              </w:rPr>
            </w:pPr>
          </w:p>
        </w:tc>
        <w:tc>
          <w:tcPr>
            <w:tcW w:w="0" w:type="auto"/>
            <w:shd w:val="clear" w:color="auto" w:fill="auto"/>
          </w:tcPr>
          <w:p w14:paraId="33DAD32C" w14:textId="77777777" w:rsidR="004D6A64" w:rsidRDefault="004D6A64">
            <w:pPr>
              <w:rPr>
                <w:rFonts w:ascii="宋体"/>
              </w:rPr>
            </w:pPr>
          </w:p>
        </w:tc>
        <w:tc>
          <w:tcPr>
            <w:tcW w:w="0" w:type="auto"/>
            <w:shd w:val="clear" w:color="auto" w:fill="auto"/>
          </w:tcPr>
          <w:p w14:paraId="33DAD32D" w14:textId="77777777" w:rsidR="004D6A64" w:rsidRDefault="004D6A64">
            <w:pPr>
              <w:rPr>
                <w:rFonts w:ascii="宋体"/>
              </w:rPr>
            </w:pPr>
          </w:p>
        </w:tc>
        <w:tc>
          <w:tcPr>
            <w:tcW w:w="0" w:type="auto"/>
            <w:shd w:val="clear" w:color="auto" w:fill="auto"/>
          </w:tcPr>
          <w:p w14:paraId="33DAD32E" w14:textId="77777777" w:rsidR="004D6A64" w:rsidRDefault="004D6A64">
            <w:pPr>
              <w:rPr>
                <w:rFonts w:ascii="宋体"/>
              </w:rPr>
            </w:pPr>
          </w:p>
        </w:tc>
        <w:tc>
          <w:tcPr>
            <w:tcW w:w="0" w:type="auto"/>
            <w:shd w:val="clear" w:color="auto" w:fill="auto"/>
          </w:tcPr>
          <w:p w14:paraId="33DAD32F" w14:textId="77777777" w:rsidR="004D6A64" w:rsidRDefault="004D6A64">
            <w:pPr>
              <w:rPr>
                <w:rFonts w:ascii="宋体"/>
              </w:rPr>
            </w:pPr>
          </w:p>
        </w:tc>
        <w:tc>
          <w:tcPr>
            <w:tcW w:w="0" w:type="auto"/>
            <w:shd w:val="clear" w:color="auto" w:fill="auto"/>
          </w:tcPr>
          <w:p w14:paraId="33DAD330" w14:textId="77777777" w:rsidR="004D6A64" w:rsidRDefault="004D6A64">
            <w:pPr>
              <w:rPr>
                <w:rFonts w:ascii="宋体"/>
              </w:rPr>
            </w:pPr>
          </w:p>
        </w:tc>
        <w:tc>
          <w:tcPr>
            <w:tcW w:w="0" w:type="auto"/>
            <w:shd w:val="clear" w:color="auto" w:fill="auto"/>
          </w:tcPr>
          <w:p w14:paraId="33DAD331" w14:textId="77777777" w:rsidR="004D6A64" w:rsidRDefault="004D6A64">
            <w:pPr>
              <w:rPr>
                <w:rFonts w:ascii="宋体"/>
              </w:rPr>
            </w:pPr>
          </w:p>
        </w:tc>
        <w:tc>
          <w:tcPr>
            <w:tcW w:w="0" w:type="auto"/>
            <w:shd w:val="clear" w:color="auto" w:fill="auto"/>
          </w:tcPr>
          <w:p w14:paraId="33DAD332" w14:textId="77777777" w:rsidR="004D6A64" w:rsidRDefault="004D6A64">
            <w:pPr>
              <w:rPr>
                <w:rFonts w:ascii="宋体"/>
              </w:rPr>
            </w:pPr>
          </w:p>
        </w:tc>
        <w:tc>
          <w:tcPr>
            <w:tcW w:w="0" w:type="auto"/>
            <w:shd w:val="clear" w:color="auto" w:fill="auto"/>
          </w:tcPr>
          <w:p w14:paraId="33DAD333" w14:textId="77777777" w:rsidR="004D6A64" w:rsidRDefault="004D6A64">
            <w:pPr>
              <w:rPr>
                <w:rFonts w:ascii="宋体"/>
              </w:rPr>
            </w:pPr>
          </w:p>
        </w:tc>
        <w:tc>
          <w:tcPr>
            <w:tcW w:w="0" w:type="auto"/>
            <w:shd w:val="clear" w:color="auto" w:fill="auto"/>
          </w:tcPr>
          <w:p w14:paraId="33DAD334" w14:textId="77777777" w:rsidR="004D6A64" w:rsidRDefault="004D6A64">
            <w:pPr>
              <w:rPr>
                <w:rFonts w:ascii="宋体"/>
              </w:rPr>
            </w:pPr>
          </w:p>
        </w:tc>
        <w:tc>
          <w:tcPr>
            <w:tcW w:w="0" w:type="auto"/>
            <w:shd w:val="clear" w:color="auto" w:fill="auto"/>
          </w:tcPr>
          <w:p w14:paraId="33DAD335" w14:textId="77777777" w:rsidR="004D6A64" w:rsidRDefault="004D6A64">
            <w:pPr>
              <w:rPr>
                <w:rFonts w:ascii="宋体"/>
              </w:rPr>
            </w:pPr>
          </w:p>
        </w:tc>
        <w:tc>
          <w:tcPr>
            <w:tcW w:w="0" w:type="auto"/>
            <w:shd w:val="clear" w:color="auto" w:fill="auto"/>
          </w:tcPr>
          <w:p w14:paraId="33DAD336" w14:textId="77777777" w:rsidR="004D6A64" w:rsidRDefault="004D6A64">
            <w:pPr>
              <w:rPr>
                <w:rFonts w:ascii="宋体"/>
              </w:rPr>
            </w:pPr>
          </w:p>
        </w:tc>
        <w:tc>
          <w:tcPr>
            <w:tcW w:w="0" w:type="auto"/>
            <w:shd w:val="clear" w:color="auto" w:fill="auto"/>
          </w:tcPr>
          <w:p w14:paraId="33DAD337" w14:textId="77777777" w:rsidR="004D6A64" w:rsidRDefault="004D6A64">
            <w:pPr>
              <w:rPr>
                <w:rFonts w:ascii="宋体"/>
              </w:rPr>
            </w:pPr>
          </w:p>
        </w:tc>
        <w:tc>
          <w:tcPr>
            <w:tcW w:w="0" w:type="auto"/>
            <w:shd w:val="clear" w:color="auto" w:fill="auto"/>
          </w:tcPr>
          <w:p w14:paraId="33DAD338" w14:textId="77777777" w:rsidR="004D6A64" w:rsidRDefault="004D6A64">
            <w:pPr>
              <w:rPr>
                <w:rFonts w:ascii="宋体"/>
              </w:rPr>
            </w:pPr>
          </w:p>
        </w:tc>
        <w:tc>
          <w:tcPr>
            <w:tcW w:w="0" w:type="auto"/>
            <w:shd w:val="clear" w:color="auto" w:fill="auto"/>
          </w:tcPr>
          <w:p w14:paraId="33DAD339" w14:textId="77777777" w:rsidR="004D6A64" w:rsidRDefault="004D6A64">
            <w:pPr>
              <w:rPr>
                <w:rFonts w:ascii="宋体"/>
              </w:rPr>
            </w:pPr>
          </w:p>
        </w:tc>
      </w:tr>
      <w:tr w:rsidR="004D6A64" w14:paraId="33DAD359" w14:textId="77777777">
        <w:tc>
          <w:tcPr>
            <w:tcW w:w="0" w:type="auto"/>
            <w:gridSpan w:val="3"/>
            <w:shd w:val="clear" w:color="auto" w:fill="FFFFFF"/>
            <w:tcMar>
              <w:top w:w="40" w:type="dxa"/>
              <w:left w:w="20" w:type="dxa"/>
              <w:bottom w:w="40" w:type="dxa"/>
              <w:right w:w="20" w:type="dxa"/>
            </w:tcMar>
            <w:vAlign w:val="center"/>
          </w:tcPr>
          <w:p w14:paraId="33DAD33B" w14:textId="77777777" w:rsidR="004D6A64" w:rsidRDefault="00506CD6">
            <w:pPr>
              <w:textAlignment w:val="center"/>
            </w:pPr>
            <w:r>
              <w:rPr>
                <w:rFonts w:ascii="Times New Roman" w:eastAsia="宋体" w:hAnsi="Times New Roman"/>
                <w:color w:val="000000"/>
                <w:sz w:val="20"/>
                <w:szCs w:val="20"/>
              </w:rPr>
              <w:t>Client Solutions Group</w:t>
            </w:r>
          </w:p>
        </w:tc>
        <w:tc>
          <w:tcPr>
            <w:tcW w:w="0" w:type="auto"/>
            <w:gridSpan w:val="2"/>
            <w:shd w:val="clear" w:color="auto" w:fill="FFFFFF"/>
            <w:tcMar>
              <w:top w:w="40" w:type="dxa"/>
              <w:left w:w="20" w:type="dxa"/>
              <w:bottom w:w="40" w:type="dxa"/>
              <w:right w:w="0" w:type="dxa"/>
            </w:tcMar>
            <w:vAlign w:val="center"/>
          </w:tcPr>
          <w:p w14:paraId="33DAD33C" w14:textId="77777777" w:rsidR="004D6A64" w:rsidRDefault="00506CD6">
            <w:pPr>
              <w:jc w:val="right"/>
              <w:textAlignment w:val="center"/>
            </w:pPr>
            <w:r>
              <w:rPr>
                <w:rFonts w:ascii="Times New Roman" w:eastAsia="宋体" w:hAnsi="Times New Roman"/>
                <w:color w:val="000000"/>
                <w:sz w:val="20"/>
                <w:szCs w:val="20"/>
              </w:rPr>
              <w:t>715 </w:t>
            </w:r>
          </w:p>
        </w:tc>
        <w:tc>
          <w:tcPr>
            <w:tcW w:w="0" w:type="auto"/>
            <w:shd w:val="clear" w:color="auto" w:fill="FFFFFF"/>
            <w:tcMar>
              <w:top w:w="40" w:type="dxa"/>
              <w:bottom w:w="40" w:type="dxa"/>
              <w:right w:w="20" w:type="dxa"/>
            </w:tcMar>
            <w:vAlign w:val="center"/>
          </w:tcPr>
          <w:p w14:paraId="33DAD33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33E"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33F" w14:textId="77777777" w:rsidR="004D6A64" w:rsidRDefault="00506CD6">
            <w:pPr>
              <w:jc w:val="right"/>
              <w:textAlignment w:val="center"/>
            </w:pPr>
            <w:r>
              <w:rPr>
                <w:rFonts w:ascii="Times New Roman" w:eastAsia="宋体" w:hAnsi="Times New Roman"/>
                <w:color w:val="000000"/>
                <w:sz w:val="20"/>
                <w:szCs w:val="20"/>
              </w:rPr>
              <w:t>982 </w:t>
            </w:r>
          </w:p>
        </w:tc>
        <w:tc>
          <w:tcPr>
            <w:tcW w:w="0" w:type="auto"/>
            <w:shd w:val="clear" w:color="auto" w:fill="FFFFFF"/>
            <w:tcMar>
              <w:top w:w="40" w:type="dxa"/>
              <w:bottom w:w="40" w:type="dxa"/>
              <w:right w:w="20" w:type="dxa"/>
            </w:tcMar>
            <w:vAlign w:val="center"/>
          </w:tcPr>
          <w:p w14:paraId="33DAD34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34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342" w14:textId="77777777" w:rsidR="004D6A64" w:rsidRDefault="00506CD6">
            <w:pPr>
              <w:jc w:val="right"/>
              <w:textAlignment w:val="center"/>
            </w:pPr>
            <w:r>
              <w:rPr>
                <w:rFonts w:ascii="Times New Roman" w:eastAsia="宋体" w:hAnsi="Times New Roman"/>
                <w:color w:val="000000"/>
                <w:sz w:val="20"/>
                <w:szCs w:val="20"/>
              </w:rPr>
              <w:t>1,307 </w:t>
            </w:r>
          </w:p>
        </w:tc>
        <w:tc>
          <w:tcPr>
            <w:tcW w:w="0" w:type="auto"/>
            <w:shd w:val="clear" w:color="auto" w:fill="FFFFFF"/>
            <w:tcMar>
              <w:top w:w="40" w:type="dxa"/>
              <w:bottom w:w="40" w:type="dxa"/>
              <w:right w:w="20" w:type="dxa"/>
            </w:tcMar>
            <w:vAlign w:val="center"/>
          </w:tcPr>
          <w:p w14:paraId="33DAD34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344"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345" w14:textId="77777777" w:rsidR="004D6A64" w:rsidRDefault="00506CD6">
            <w:pPr>
              <w:jc w:val="right"/>
              <w:textAlignment w:val="center"/>
            </w:pPr>
            <w:r>
              <w:rPr>
                <w:rFonts w:ascii="Times New Roman" w:eastAsia="宋体" w:hAnsi="Times New Roman"/>
                <w:color w:val="000000"/>
                <w:sz w:val="20"/>
                <w:szCs w:val="20"/>
              </w:rPr>
              <w:t>1,775 </w:t>
            </w:r>
          </w:p>
        </w:tc>
        <w:tc>
          <w:tcPr>
            <w:tcW w:w="0" w:type="auto"/>
            <w:shd w:val="clear" w:color="auto" w:fill="FFFFFF"/>
            <w:tcMar>
              <w:top w:w="40" w:type="dxa"/>
              <w:bottom w:w="40" w:type="dxa"/>
              <w:right w:w="20" w:type="dxa"/>
            </w:tcMar>
            <w:vAlign w:val="center"/>
          </w:tcPr>
          <w:p w14:paraId="33DAD346" w14:textId="77777777" w:rsidR="004D6A64" w:rsidRDefault="004D6A64">
            <w:pPr>
              <w:jc w:val="right"/>
              <w:rPr>
                <w:rFonts w:ascii="宋体"/>
              </w:rPr>
            </w:pPr>
          </w:p>
        </w:tc>
        <w:tc>
          <w:tcPr>
            <w:tcW w:w="0" w:type="auto"/>
            <w:shd w:val="clear" w:color="auto" w:fill="auto"/>
          </w:tcPr>
          <w:p w14:paraId="33DAD347" w14:textId="77777777" w:rsidR="004D6A64" w:rsidRDefault="004D6A64">
            <w:pPr>
              <w:rPr>
                <w:rFonts w:ascii="宋体"/>
              </w:rPr>
            </w:pPr>
          </w:p>
        </w:tc>
        <w:tc>
          <w:tcPr>
            <w:tcW w:w="0" w:type="auto"/>
            <w:shd w:val="clear" w:color="auto" w:fill="auto"/>
          </w:tcPr>
          <w:p w14:paraId="33DAD348" w14:textId="77777777" w:rsidR="004D6A64" w:rsidRDefault="004D6A64">
            <w:pPr>
              <w:rPr>
                <w:rFonts w:ascii="宋体"/>
              </w:rPr>
            </w:pPr>
          </w:p>
        </w:tc>
        <w:tc>
          <w:tcPr>
            <w:tcW w:w="0" w:type="auto"/>
            <w:shd w:val="clear" w:color="auto" w:fill="auto"/>
          </w:tcPr>
          <w:p w14:paraId="33DAD349" w14:textId="77777777" w:rsidR="004D6A64" w:rsidRDefault="004D6A64">
            <w:pPr>
              <w:rPr>
                <w:rFonts w:ascii="宋体"/>
              </w:rPr>
            </w:pPr>
          </w:p>
        </w:tc>
        <w:tc>
          <w:tcPr>
            <w:tcW w:w="0" w:type="auto"/>
            <w:shd w:val="clear" w:color="auto" w:fill="auto"/>
          </w:tcPr>
          <w:p w14:paraId="33DAD34A" w14:textId="77777777" w:rsidR="004D6A64" w:rsidRDefault="004D6A64">
            <w:pPr>
              <w:rPr>
                <w:rFonts w:ascii="宋体"/>
              </w:rPr>
            </w:pPr>
          </w:p>
        </w:tc>
        <w:tc>
          <w:tcPr>
            <w:tcW w:w="0" w:type="auto"/>
            <w:shd w:val="clear" w:color="auto" w:fill="auto"/>
          </w:tcPr>
          <w:p w14:paraId="33DAD34B" w14:textId="77777777" w:rsidR="004D6A64" w:rsidRDefault="004D6A64">
            <w:pPr>
              <w:rPr>
                <w:rFonts w:ascii="宋体"/>
              </w:rPr>
            </w:pPr>
          </w:p>
        </w:tc>
        <w:tc>
          <w:tcPr>
            <w:tcW w:w="0" w:type="auto"/>
            <w:shd w:val="clear" w:color="auto" w:fill="auto"/>
          </w:tcPr>
          <w:p w14:paraId="33DAD34C" w14:textId="77777777" w:rsidR="004D6A64" w:rsidRDefault="004D6A64">
            <w:pPr>
              <w:rPr>
                <w:rFonts w:ascii="宋体"/>
              </w:rPr>
            </w:pPr>
          </w:p>
        </w:tc>
        <w:tc>
          <w:tcPr>
            <w:tcW w:w="0" w:type="auto"/>
            <w:shd w:val="clear" w:color="auto" w:fill="auto"/>
          </w:tcPr>
          <w:p w14:paraId="33DAD34D" w14:textId="77777777" w:rsidR="004D6A64" w:rsidRDefault="004D6A64">
            <w:pPr>
              <w:rPr>
                <w:rFonts w:ascii="宋体"/>
              </w:rPr>
            </w:pPr>
          </w:p>
        </w:tc>
        <w:tc>
          <w:tcPr>
            <w:tcW w:w="0" w:type="auto"/>
            <w:shd w:val="clear" w:color="auto" w:fill="auto"/>
          </w:tcPr>
          <w:p w14:paraId="33DAD34E" w14:textId="77777777" w:rsidR="004D6A64" w:rsidRDefault="004D6A64">
            <w:pPr>
              <w:rPr>
                <w:rFonts w:ascii="宋体"/>
              </w:rPr>
            </w:pPr>
          </w:p>
        </w:tc>
        <w:tc>
          <w:tcPr>
            <w:tcW w:w="0" w:type="auto"/>
            <w:shd w:val="clear" w:color="auto" w:fill="auto"/>
          </w:tcPr>
          <w:p w14:paraId="33DAD34F" w14:textId="77777777" w:rsidR="004D6A64" w:rsidRDefault="004D6A64">
            <w:pPr>
              <w:rPr>
                <w:rFonts w:ascii="宋体"/>
              </w:rPr>
            </w:pPr>
          </w:p>
        </w:tc>
        <w:tc>
          <w:tcPr>
            <w:tcW w:w="0" w:type="auto"/>
            <w:shd w:val="clear" w:color="auto" w:fill="auto"/>
          </w:tcPr>
          <w:p w14:paraId="33DAD350" w14:textId="77777777" w:rsidR="004D6A64" w:rsidRDefault="004D6A64">
            <w:pPr>
              <w:rPr>
                <w:rFonts w:ascii="宋体"/>
              </w:rPr>
            </w:pPr>
          </w:p>
        </w:tc>
        <w:tc>
          <w:tcPr>
            <w:tcW w:w="0" w:type="auto"/>
            <w:shd w:val="clear" w:color="auto" w:fill="auto"/>
          </w:tcPr>
          <w:p w14:paraId="33DAD351" w14:textId="77777777" w:rsidR="004D6A64" w:rsidRDefault="004D6A64">
            <w:pPr>
              <w:rPr>
                <w:rFonts w:ascii="宋体"/>
              </w:rPr>
            </w:pPr>
          </w:p>
        </w:tc>
        <w:tc>
          <w:tcPr>
            <w:tcW w:w="0" w:type="auto"/>
            <w:shd w:val="clear" w:color="auto" w:fill="auto"/>
          </w:tcPr>
          <w:p w14:paraId="33DAD352" w14:textId="77777777" w:rsidR="004D6A64" w:rsidRDefault="004D6A64">
            <w:pPr>
              <w:rPr>
                <w:rFonts w:ascii="宋体"/>
              </w:rPr>
            </w:pPr>
          </w:p>
        </w:tc>
        <w:tc>
          <w:tcPr>
            <w:tcW w:w="0" w:type="auto"/>
            <w:shd w:val="clear" w:color="auto" w:fill="auto"/>
          </w:tcPr>
          <w:p w14:paraId="33DAD353" w14:textId="77777777" w:rsidR="004D6A64" w:rsidRDefault="004D6A64">
            <w:pPr>
              <w:rPr>
                <w:rFonts w:ascii="宋体"/>
              </w:rPr>
            </w:pPr>
          </w:p>
        </w:tc>
        <w:tc>
          <w:tcPr>
            <w:tcW w:w="0" w:type="auto"/>
            <w:shd w:val="clear" w:color="auto" w:fill="auto"/>
          </w:tcPr>
          <w:p w14:paraId="33DAD354" w14:textId="77777777" w:rsidR="004D6A64" w:rsidRDefault="004D6A64">
            <w:pPr>
              <w:rPr>
                <w:rFonts w:ascii="宋体"/>
              </w:rPr>
            </w:pPr>
          </w:p>
        </w:tc>
        <w:tc>
          <w:tcPr>
            <w:tcW w:w="0" w:type="auto"/>
            <w:shd w:val="clear" w:color="auto" w:fill="auto"/>
          </w:tcPr>
          <w:p w14:paraId="33DAD355" w14:textId="77777777" w:rsidR="004D6A64" w:rsidRDefault="004D6A64">
            <w:pPr>
              <w:rPr>
                <w:rFonts w:ascii="宋体"/>
              </w:rPr>
            </w:pPr>
          </w:p>
        </w:tc>
        <w:tc>
          <w:tcPr>
            <w:tcW w:w="0" w:type="auto"/>
            <w:shd w:val="clear" w:color="auto" w:fill="auto"/>
          </w:tcPr>
          <w:p w14:paraId="33DAD356" w14:textId="77777777" w:rsidR="004D6A64" w:rsidRDefault="004D6A64">
            <w:pPr>
              <w:rPr>
                <w:rFonts w:ascii="宋体"/>
              </w:rPr>
            </w:pPr>
          </w:p>
        </w:tc>
        <w:tc>
          <w:tcPr>
            <w:tcW w:w="0" w:type="auto"/>
            <w:shd w:val="clear" w:color="auto" w:fill="auto"/>
          </w:tcPr>
          <w:p w14:paraId="33DAD357" w14:textId="77777777" w:rsidR="004D6A64" w:rsidRDefault="004D6A64">
            <w:pPr>
              <w:rPr>
                <w:rFonts w:ascii="宋体"/>
              </w:rPr>
            </w:pPr>
          </w:p>
        </w:tc>
        <w:tc>
          <w:tcPr>
            <w:tcW w:w="0" w:type="auto"/>
            <w:shd w:val="clear" w:color="auto" w:fill="auto"/>
          </w:tcPr>
          <w:p w14:paraId="33DAD358" w14:textId="77777777" w:rsidR="004D6A64" w:rsidRDefault="004D6A64">
            <w:pPr>
              <w:rPr>
                <w:rFonts w:ascii="宋体"/>
              </w:rPr>
            </w:pPr>
          </w:p>
        </w:tc>
      </w:tr>
      <w:tr w:rsidR="004D6A64" w14:paraId="33DAD378" w14:textId="77777777">
        <w:tc>
          <w:tcPr>
            <w:tcW w:w="0" w:type="auto"/>
            <w:gridSpan w:val="3"/>
            <w:shd w:val="clear" w:color="auto" w:fill="CCEEFF"/>
            <w:tcMar>
              <w:top w:w="40" w:type="dxa"/>
              <w:left w:w="20" w:type="dxa"/>
              <w:bottom w:w="40" w:type="dxa"/>
              <w:right w:w="20" w:type="dxa"/>
            </w:tcMar>
            <w:vAlign w:val="center"/>
          </w:tcPr>
          <w:p w14:paraId="33DAD35A" w14:textId="77777777" w:rsidR="004D6A64" w:rsidRDefault="00506CD6">
            <w:pPr>
              <w:textAlignment w:val="center"/>
            </w:pPr>
            <w:r>
              <w:rPr>
                <w:rFonts w:ascii="Times New Roman" w:eastAsia="宋体" w:hAnsi="Times New Roman"/>
                <w:color w:val="000000"/>
                <w:sz w:val="20"/>
                <w:szCs w:val="20"/>
              </w:rPr>
              <w:t>VMware</w:t>
            </w:r>
          </w:p>
        </w:tc>
        <w:tc>
          <w:tcPr>
            <w:tcW w:w="0" w:type="auto"/>
            <w:gridSpan w:val="2"/>
            <w:shd w:val="clear" w:color="auto" w:fill="CCEEFF"/>
            <w:tcMar>
              <w:top w:w="40" w:type="dxa"/>
              <w:left w:w="20" w:type="dxa"/>
              <w:bottom w:w="40" w:type="dxa"/>
              <w:right w:w="0" w:type="dxa"/>
            </w:tcMar>
            <w:vAlign w:val="center"/>
          </w:tcPr>
          <w:p w14:paraId="33DAD35B" w14:textId="77777777" w:rsidR="004D6A64" w:rsidRDefault="00506CD6">
            <w:pPr>
              <w:jc w:val="right"/>
              <w:textAlignment w:val="center"/>
            </w:pPr>
            <w:r>
              <w:rPr>
                <w:rFonts w:ascii="Times New Roman" w:eastAsia="宋体" w:hAnsi="Times New Roman"/>
                <w:color w:val="000000"/>
                <w:sz w:val="20"/>
                <w:szCs w:val="20"/>
              </w:rPr>
              <w:t>894 </w:t>
            </w:r>
          </w:p>
        </w:tc>
        <w:tc>
          <w:tcPr>
            <w:tcW w:w="0" w:type="auto"/>
            <w:shd w:val="clear" w:color="auto" w:fill="CCEEFF"/>
            <w:tcMar>
              <w:top w:w="40" w:type="dxa"/>
              <w:bottom w:w="40" w:type="dxa"/>
              <w:right w:w="20" w:type="dxa"/>
            </w:tcMar>
            <w:vAlign w:val="center"/>
          </w:tcPr>
          <w:p w14:paraId="33DAD35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35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35E" w14:textId="77777777" w:rsidR="004D6A64" w:rsidRDefault="00506CD6">
            <w:pPr>
              <w:jc w:val="right"/>
              <w:textAlignment w:val="center"/>
            </w:pPr>
            <w:r>
              <w:rPr>
                <w:rFonts w:ascii="Times New Roman" w:eastAsia="宋体" w:hAnsi="Times New Roman"/>
                <w:color w:val="000000"/>
                <w:sz w:val="20"/>
                <w:szCs w:val="20"/>
              </w:rPr>
              <w:t>751 </w:t>
            </w:r>
          </w:p>
        </w:tc>
        <w:tc>
          <w:tcPr>
            <w:tcW w:w="0" w:type="auto"/>
            <w:shd w:val="clear" w:color="auto" w:fill="CCEEFF"/>
            <w:tcMar>
              <w:top w:w="40" w:type="dxa"/>
              <w:bottom w:w="40" w:type="dxa"/>
              <w:right w:w="20" w:type="dxa"/>
            </w:tcMar>
            <w:vAlign w:val="center"/>
          </w:tcPr>
          <w:p w14:paraId="33DAD35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360"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361" w14:textId="77777777" w:rsidR="004D6A64" w:rsidRDefault="00506CD6">
            <w:pPr>
              <w:jc w:val="right"/>
              <w:textAlignment w:val="center"/>
            </w:pPr>
            <w:r>
              <w:rPr>
                <w:rFonts w:ascii="Times New Roman" w:eastAsia="宋体" w:hAnsi="Times New Roman"/>
                <w:color w:val="000000"/>
                <w:sz w:val="20"/>
                <w:szCs w:val="20"/>
              </w:rPr>
              <w:t>1,667 </w:t>
            </w:r>
          </w:p>
        </w:tc>
        <w:tc>
          <w:tcPr>
            <w:tcW w:w="0" w:type="auto"/>
            <w:shd w:val="clear" w:color="auto" w:fill="CCEEFF"/>
            <w:tcMar>
              <w:top w:w="40" w:type="dxa"/>
              <w:bottom w:w="40" w:type="dxa"/>
              <w:right w:w="20" w:type="dxa"/>
            </w:tcMar>
            <w:vAlign w:val="center"/>
          </w:tcPr>
          <w:p w14:paraId="33DAD36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36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364" w14:textId="77777777" w:rsidR="004D6A64" w:rsidRDefault="00506CD6">
            <w:pPr>
              <w:jc w:val="right"/>
              <w:textAlignment w:val="center"/>
            </w:pPr>
            <w:r>
              <w:rPr>
                <w:rFonts w:ascii="Times New Roman" w:eastAsia="宋体" w:hAnsi="Times New Roman"/>
                <w:color w:val="000000"/>
                <w:sz w:val="20"/>
                <w:szCs w:val="20"/>
              </w:rPr>
              <w:t>1,346 </w:t>
            </w:r>
          </w:p>
        </w:tc>
        <w:tc>
          <w:tcPr>
            <w:tcW w:w="0" w:type="auto"/>
            <w:shd w:val="clear" w:color="auto" w:fill="CCEEFF"/>
            <w:tcMar>
              <w:top w:w="40" w:type="dxa"/>
              <w:bottom w:w="40" w:type="dxa"/>
              <w:right w:w="20" w:type="dxa"/>
            </w:tcMar>
            <w:vAlign w:val="center"/>
          </w:tcPr>
          <w:p w14:paraId="33DAD365" w14:textId="77777777" w:rsidR="004D6A64" w:rsidRDefault="004D6A64">
            <w:pPr>
              <w:jc w:val="right"/>
              <w:rPr>
                <w:rFonts w:ascii="宋体"/>
              </w:rPr>
            </w:pPr>
          </w:p>
        </w:tc>
        <w:tc>
          <w:tcPr>
            <w:tcW w:w="0" w:type="auto"/>
            <w:shd w:val="clear" w:color="auto" w:fill="auto"/>
          </w:tcPr>
          <w:p w14:paraId="33DAD366" w14:textId="77777777" w:rsidR="004D6A64" w:rsidRDefault="004D6A64">
            <w:pPr>
              <w:rPr>
                <w:rFonts w:ascii="宋体"/>
              </w:rPr>
            </w:pPr>
          </w:p>
        </w:tc>
        <w:tc>
          <w:tcPr>
            <w:tcW w:w="0" w:type="auto"/>
            <w:shd w:val="clear" w:color="auto" w:fill="auto"/>
          </w:tcPr>
          <w:p w14:paraId="33DAD367" w14:textId="77777777" w:rsidR="004D6A64" w:rsidRDefault="004D6A64">
            <w:pPr>
              <w:rPr>
                <w:rFonts w:ascii="宋体"/>
              </w:rPr>
            </w:pPr>
          </w:p>
        </w:tc>
        <w:tc>
          <w:tcPr>
            <w:tcW w:w="0" w:type="auto"/>
            <w:shd w:val="clear" w:color="auto" w:fill="auto"/>
          </w:tcPr>
          <w:p w14:paraId="33DAD368" w14:textId="77777777" w:rsidR="004D6A64" w:rsidRDefault="004D6A64">
            <w:pPr>
              <w:rPr>
                <w:rFonts w:ascii="宋体"/>
              </w:rPr>
            </w:pPr>
          </w:p>
        </w:tc>
        <w:tc>
          <w:tcPr>
            <w:tcW w:w="0" w:type="auto"/>
            <w:shd w:val="clear" w:color="auto" w:fill="auto"/>
          </w:tcPr>
          <w:p w14:paraId="33DAD369" w14:textId="77777777" w:rsidR="004D6A64" w:rsidRDefault="004D6A64">
            <w:pPr>
              <w:rPr>
                <w:rFonts w:ascii="宋体"/>
              </w:rPr>
            </w:pPr>
          </w:p>
        </w:tc>
        <w:tc>
          <w:tcPr>
            <w:tcW w:w="0" w:type="auto"/>
            <w:shd w:val="clear" w:color="auto" w:fill="auto"/>
          </w:tcPr>
          <w:p w14:paraId="33DAD36A" w14:textId="77777777" w:rsidR="004D6A64" w:rsidRDefault="004D6A64">
            <w:pPr>
              <w:rPr>
                <w:rFonts w:ascii="宋体"/>
              </w:rPr>
            </w:pPr>
          </w:p>
        </w:tc>
        <w:tc>
          <w:tcPr>
            <w:tcW w:w="0" w:type="auto"/>
            <w:shd w:val="clear" w:color="auto" w:fill="auto"/>
          </w:tcPr>
          <w:p w14:paraId="33DAD36B" w14:textId="77777777" w:rsidR="004D6A64" w:rsidRDefault="004D6A64">
            <w:pPr>
              <w:rPr>
                <w:rFonts w:ascii="宋体"/>
              </w:rPr>
            </w:pPr>
          </w:p>
        </w:tc>
        <w:tc>
          <w:tcPr>
            <w:tcW w:w="0" w:type="auto"/>
            <w:shd w:val="clear" w:color="auto" w:fill="auto"/>
          </w:tcPr>
          <w:p w14:paraId="33DAD36C" w14:textId="77777777" w:rsidR="004D6A64" w:rsidRDefault="004D6A64">
            <w:pPr>
              <w:rPr>
                <w:rFonts w:ascii="宋体"/>
              </w:rPr>
            </w:pPr>
          </w:p>
        </w:tc>
        <w:tc>
          <w:tcPr>
            <w:tcW w:w="0" w:type="auto"/>
            <w:shd w:val="clear" w:color="auto" w:fill="auto"/>
          </w:tcPr>
          <w:p w14:paraId="33DAD36D" w14:textId="77777777" w:rsidR="004D6A64" w:rsidRDefault="004D6A64">
            <w:pPr>
              <w:rPr>
                <w:rFonts w:ascii="宋体"/>
              </w:rPr>
            </w:pPr>
          </w:p>
        </w:tc>
        <w:tc>
          <w:tcPr>
            <w:tcW w:w="0" w:type="auto"/>
            <w:shd w:val="clear" w:color="auto" w:fill="auto"/>
          </w:tcPr>
          <w:p w14:paraId="33DAD36E" w14:textId="77777777" w:rsidR="004D6A64" w:rsidRDefault="004D6A64">
            <w:pPr>
              <w:rPr>
                <w:rFonts w:ascii="宋体"/>
              </w:rPr>
            </w:pPr>
          </w:p>
        </w:tc>
        <w:tc>
          <w:tcPr>
            <w:tcW w:w="0" w:type="auto"/>
            <w:shd w:val="clear" w:color="auto" w:fill="auto"/>
          </w:tcPr>
          <w:p w14:paraId="33DAD36F" w14:textId="77777777" w:rsidR="004D6A64" w:rsidRDefault="004D6A64">
            <w:pPr>
              <w:rPr>
                <w:rFonts w:ascii="宋体"/>
              </w:rPr>
            </w:pPr>
          </w:p>
        </w:tc>
        <w:tc>
          <w:tcPr>
            <w:tcW w:w="0" w:type="auto"/>
            <w:shd w:val="clear" w:color="auto" w:fill="auto"/>
          </w:tcPr>
          <w:p w14:paraId="33DAD370" w14:textId="77777777" w:rsidR="004D6A64" w:rsidRDefault="004D6A64">
            <w:pPr>
              <w:rPr>
                <w:rFonts w:ascii="宋体"/>
              </w:rPr>
            </w:pPr>
          </w:p>
        </w:tc>
        <w:tc>
          <w:tcPr>
            <w:tcW w:w="0" w:type="auto"/>
            <w:shd w:val="clear" w:color="auto" w:fill="auto"/>
          </w:tcPr>
          <w:p w14:paraId="33DAD371" w14:textId="77777777" w:rsidR="004D6A64" w:rsidRDefault="004D6A64">
            <w:pPr>
              <w:rPr>
                <w:rFonts w:ascii="宋体"/>
              </w:rPr>
            </w:pPr>
          </w:p>
        </w:tc>
        <w:tc>
          <w:tcPr>
            <w:tcW w:w="0" w:type="auto"/>
            <w:shd w:val="clear" w:color="auto" w:fill="auto"/>
          </w:tcPr>
          <w:p w14:paraId="33DAD372" w14:textId="77777777" w:rsidR="004D6A64" w:rsidRDefault="004D6A64">
            <w:pPr>
              <w:rPr>
                <w:rFonts w:ascii="宋体"/>
              </w:rPr>
            </w:pPr>
          </w:p>
        </w:tc>
        <w:tc>
          <w:tcPr>
            <w:tcW w:w="0" w:type="auto"/>
            <w:shd w:val="clear" w:color="auto" w:fill="auto"/>
          </w:tcPr>
          <w:p w14:paraId="33DAD373" w14:textId="77777777" w:rsidR="004D6A64" w:rsidRDefault="004D6A64">
            <w:pPr>
              <w:rPr>
                <w:rFonts w:ascii="宋体"/>
              </w:rPr>
            </w:pPr>
          </w:p>
        </w:tc>
        <w:tc>
          <w:tcPr>
            <w:tcW w:w="0" w:type="auto"/>
            <w:shd w:val="clear" w:color="auto" w:fill="auto"/>
          </w:tcPr>
          <w:p w14:paraId="33DAD374" w14:textId="77777777" w:rsidR="004D6A64" w:rsidRDefault="004D6A64">
            <w:pPr>
              <w:rPr>
                <w:rFonts w:ascii="宋体"/>
              </w:rPr>
            </w:pPr>
          </w:p>
        </w:tc>
        <w:tc>
          <w:tcPr>
            <w:tcW w:w="0" w:type="auto"/>
            <w:shd w:val="clear" w:color="auto" w:fill="auto"/>
          </w:tcPr>
          <w:p w14:paraId="33DAD375" w14:textId="77777777" w:rsidR="004D6A64" w:rsidRDefault="004D6A64">
            <w:pPr>
              <w:rPr>
                <w:rFonts w:ascii="宋体"/>
              </w:rPr>
            </w:pPr>
          </w:p>
        </w:tc>
        <w:tc>
          <w:tcPr>
            <w:tcW w:w="0" w:type="auto"/>
            <w:shd w:val="clear" w:color="auto" w:fill="auto"/>
          </w:tcPr>
          <w:p w14:paraId="33DAD376" w14:textId="77777777" w:rsidR="004D6A64" w:rsidRDefault="004D6A64">
            <w:pPr>
              <w:rPr>
                <w:rFonts w:ascii="宋体"/>
              </w:rPr>
            </w:pPr>
          </w:p>
        </w:tc>
        <w:tc>
          <w:tcPr>
            <w:tcW w:w="0" w:type="auto"/>
            <w:shd w:val="clear" w:color="auto" w:fill="auto"/>
          </w:tcPr>
          <w:p w14:paraId="33DAD377" w14:textId="77777777" w:rsidR="004D6A64" w:rsidRDefault="004D6A64">
            <w:pPr>
              <w:rPr>
                <w:rFonts w:ascii="宋体"/>
              </w:rPr>
            </w:pPr>
          </w:p>
        </w:tc>
      </w:tr>
      <w:tr w:rsidR="004D6A64" w14:paraId="33DAD397" w14:textId="77777777">
        <w:tc>
          <w:tcPr>
            <w:tcW w:w="0" w:type="auto"/>
            <w:gridSpan w:val="3"/>
            <w:shd w:val="clear" w:color="auto" w:fill="FFFFFF"/>
            <w:tcMar>
              <w:top w:w="40" w:type="dxa"/>
              <w:left w:w="135" w:type="dxa"/>
              <w:bottom w:w="40" w:type="dxa"/>
              <w:right w:w="20" w:type="dxa"/>
            </w:tcMar>
            <w:vAlign w:val="center"/>
          </w:tcPr>
          <w:p w14:paraId="33DAD379" w14:textId="77777777" w:rsidR="004D6A64" w:rsidRDefault="00506CD6">
            <w:pPr>
              <w:textAlignment w:val="center"/>
            </w:pPr>
            <w:r>
              <w:rPr>
                <w:rFonts w:ascii="Times New Roman" w:eastAsia="宋体" w:hAnsi="Times New Roman"/>
                <w:color w:val="000000"/>
                <w:sz w:val="20"/>
                <w:szCs w:val="20"/>
              </w:rPr>
              <w:t>Reportable segment operating income</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D37A" w14:textId="77777777" w:rsidR="004D6A64" w:rsidRDefault="00506CD6">
            <w:pPr>
              <w:jc w:val="right"/>
              <w:textAlignment w:val="center"/>
            </w:pPr>
            <w:r>
              <w:rPr>
                <w:rFonts w:ascii="Times New Roman" w:eastAsia="宋体" w:hAnsi="Times New Roman"/>
                <w:color w:val="000000"/>
                <w:sz w:val="20"/>
                <w:szCs w:val="20"/>
              </w:rPr>
              <w:t>2,582 </w:t>
            </w:r>
          </w:p>
        </w:tc>
        <w:tc>
          <w:tcPr>
            <w:tcW w:w="0" w:type="auto"/>
            <w:tcBorders>
              <w:top w:val="single" w:sz="8" w:space="0" w:color="000000"/>
            </w:tcBorders>
            <w:shd w:val="clear" w:color="auto" w:fill="FFFFFF"/>
            <w:tcMar>
              <w:top w:w="40" w:type="dxa"/>
              <w:bottom w:w="40" w:type="dxa"/>
              <w:right w:w="20" w:type="dxa"/>
            </w:tcMar>
            <w:vAlign w:val="center"/>
          </w:tcPr>
          <w:p w14:paraId="33DAD37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37C"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D37D" w14:textId="77777777" w:rsidR="004D6A64" w:rsidRDefault="00506CD6">
            <w:pPr>
              <w:jc w:val="right"/>
              <w:textAlignment w:val="center"/>
            </w:pPr>
            <w:r>
              <w:rPr>
                <w:rFonts w:ascii="Times New Roman" w:eastAsia="宋体" w:hAnsi="Times New Roman"/>
                <w:color w:val="000000"/>
                <w:sz w:val="20"/>
                <w:szCs w:val="20"/>
              </w:rPr>
              <w:t>2,783 </w:t>
            </w:r>
          </w:p>
        </w:tc>
        <w:tc>
          <w:tcPr>
            <w:tcW w:w="0" w:type="auto"/>
            <w:tcBorders>
              <w:top w:val="single" w:sz="8" w:space="0" w:color="000000"/>
            </w:tcBorders>
            <w:shd w:val="clear" w:color="auto" w:fill="FFFFFF"/>
            <w:tcMar>
              <w:top w:w="40" w:type="dxa"/>
              <w:bottom w:w="40" w:type="dxa"/>
              <w:right w:w="20" w:type="dxa"/>
            </w:tcMar>
            <w:vAlign w:val="center"/>
          </w:tcPr>
          <w:p w14:paraId="33DAD37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37F"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D380" w14:textId="77777777" w:rsidR="004D6A64" w:rsidRDefault="00506CD6">
            <w:pPr>
              <w:jc w:val="right"/>
              <w:textAlignment w:val="center"/>
            </w:pPr>
            <w:r>
              <w:rPr>
                <w:rFonts w:ascii="Times New Roman" w:eastAsia="宋体" w:hAnsi="Times New Roman"/>
                <w:color w:val="000000"/>
                <w:sz w:val="20"/>
                <w:szCs w:val="20"/>
              </w:rPr>
              <w:t>4,679 </w:t>
            </w:r>
          </w:p>
        </w:tc>
        <w:tc>
          <w:tcPr>
            <w:tcW w:w="0" w:type="auto"/>
            <w:tcBorders>
              <w:top w:val="single" w:sz="8" w:space="0" w:color="000000"/>
            </w:tcBorders>
            <w:shd w:val="clear" w:color="auto" w:fill="FFFFFF"/>
            <w:tcMar>
              <w:top w:w="40" w:type="dxa"/>
              <w:bottom w:w="40" w:type="dxa"/>
              <w:right w:w="20" w:type="dxa"/>
            </w:tcMar>
            <w:vAlign w:val="center"/>
          </w:tcPr>
          <w:p w14:paraId="33DAD38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382"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D383" w14:textId="77777777" w:rsidR="004D6A64" w:rsidRDefault="00506CD6">
            <w:pPr>
              <w:jc w:val="right"/>
              <w:textAlignment w:val="center"/>
            </w:pPr>
            <w:r>
              <w:rPr>
                <w:rFonts w:ascii="Times New Roman" w:eastAsia="宋体" w:hAnsi="Times New Roman"/>
                <w:color w:val="000000"/>
                <w:sz w:val="20"/>
                <w:szCs w:val="20"/>
              </w:rPr>
              <w:t>5,014 </w:t>
            </w:r>
          </w:p>
        </w:tc>
        <w:tc>
          <w:tcPr>
            <w:tcW w:w="0" w:type="auto"/>
            <w:tcBorders>
              <w:top w:val="single" w:sz="8" w:space="0" w:color="000000"/>
            </w:tcBorders>
            <w:shd w:val="clear" w:color="auto" w:fill="FFFFFF"/>
            <w:tcMar>
              <w:top w:w="40" w:type="dxa"/>
              <w:bottom w:w="40" w:type="dxa"/>
              <w:right w:w="20" w:type="dxa"/>
            </w:tcMar>
            <w:vAlign w:val="center"/>
          </w:tcPr>
          <w:p w14:paraId="33DAD384" w14:textId="77777777" w:rsidR="004D6A64" w:rsidRDefault="004D6A64">
            <w:pPr>
              <w:jc w:val="right"/>
              <w:rPr>
                <w:rFonts w:ascii="宋体"/>
              </w:rPr>
            </w:pPr>
          </w:p>
        </w:tc>
        <w:tc>
          <w:tcPr>
            <w:tcW w:w="0" w:type="auto"/>
            <w:shd w:val="clear" w:color="auto" w:fill="auto"/>
          </w:tcPr>
          <w:p w14:paraId="33DAD385" w14:textId="77777777" w:rsidR="004D6A64" w:rsidRDefault="004D6A64">
            <w:pPr>
              <w:rPr>
                <w:rFonts w:ascii="宋体"/>
              </w:rPr>
            </w:pPr>
          </w:p>
        </w:tc>
        <w:tc>
          <w:tcPr>
            <w:tcW w:w="0" w:type="auto"/>
            <w:shd w:val="clear" w:color="auto" w:fill="auto"/>
          </w:tcPr>
          <w:p w14:paraId="33DAD386" w14:textId="77777777" w:rsidR="004D6A64" w:rsidRDefault="004D6A64">
            <w:pPr>
              <w:rPr>
                <w:rFonts w:ascii="宋体"/>
              </w:rPr>
            </w:pPr>
          </w:p>
        </w:tc>
        <w:tc>
          <w:tcPr>
            <w:tcW w:w="0" w:type="auto"/>
            <w:shd w:val="clear" w:color="auto" w:fill="auto"/>
          </w:tcPr>
          <w:p w14:paraId="33DAD387" w14:textId="77777777" w:rsidR="004D6A64" w:rsidRDefault="004D6A64">
            <w:pPr>
              <w:rPr>
                <w:rFonts w:ascii="宋体"/>
              </w:rPr>
            </w:pPr>
          </w:p>
        </w:tc>
        <w:tc>
          <w:tcPr>
            <w:tcW w:w="0" w:type="auto"/>
            <w:shd w:val="clear" w:color="auto" w:fill="auto"/>
          </w:tcPr>
          <w:p w14:paraId="33DAD388" w14:textId="77777777" w:rsidR="004D6A64" w:rsidRDefault="004D6A64">
            <w:pPr>
              <w:rPr>
                <w:rFonts w:ascii="宋体"/>
              </w:rPr>
            </w:pPr>
          </w:p>
        </w:tc>
        <w:tc>
          <w:tcPr>
            <w:tcW w:w="0" w:type="auto"/>
            <w:shd w:val="clear" w:color="auto" w:fill="auto"/>
          </w:tcPr>
          <w:p w14:paraId="33DAD389" w14:textId="77777777" w:rsidR="004D6A64" w:rsidRDefault="004D6A64">
            <w:pPr>
              <w:rPr>
                <w:rFonts w:ascii="宋体"/>
              </w:rPr>
            </w:pPr>
          </w:p>
        </w:tc>
        <w:tc>
          <w:tcPr>
            <w:tcW w:w="0" w:type="auto"/>
            <w:shd w:val="clear" w:color="auto" w:fill="auto"/>
          </w:tcPr>
          <w:p w14:paraId="33DAD38A" w14:textId="77777777" w:rsidR="004D6A64" w:rsidRDefault="004D6A64">
            <w:pPr>
              <w:rPr>
                <w:rFonts w:ascii="宋体"/>
              </w:rPr>
            </w:pPr>
          </w:p>
        </w:tc>
        <w:tc>
          <w:tcPr>
            <w:tcW w:w="0" w:type="auto"/>
            <w:shd w:val="clear" w:color="auto" w:fill="auto"/>
          </w:tcPr>
          <w:p w14:paraId="33DAD38B" w14:textId="77777777" w:rsidR="004D6A64" w:rsidRDefault="004D6A64">
            <w:pPr>
              <w:rPr>
                <w:rFonts w:ascii="宋体"/>
              </w:rPr>
            </w:pPr>
          </w:p>
        </w:tc>
        <w:tc>
          <w:tcPr>
            <w:tcW w:w="0" w:type="auto"/>
            <w:shd w:val="clear" w:color="auto" w:fill="auto"/>
          </w:tcPr>
          <w:p w14:paraId="33DAD38C" w14:textId="77777777" w:rsidR="004D6A64" w:rsidRDefault="004D6A64">
            <w:pPr>
              <w:rPr>
                <w:rFonts w:ascii="宋体"/>
              </w:rPr>
            </w:pPr>
          </w:p>
        </w:tc>
        <w:tc>
          <w:tcPr>
            <w:tcW w:w="0" w:type="auto"/>
            <w:shd w:val="clear" w:color="auto" w:fill="auto"/>
          </w:tcPr>
          <w:p w14:paraId="33DAD38D" w14:textId="77777777" w:rsidR="004D6A64" w:rsidRDefault="004D6A64">
            <w:pPr>
              <w:rPr>
                <w:rFonts w:ascii="宋体"/>
              </w:rPr>
            </w:pPr>
          </w:p>
        </w:tc>
        <w:tc>
          <w:tcPr>
            <w:tcW w:w="0" w:type="auto"/>
            <w:shd w:val="clear" w:color="auto" w:fill="auto"/>
          </w:tcPr>
          <w:p w14:paraId="33DAD38E" w14:textId="77777777" w:rsidR="004D6A64" w:rsidRDefault="004D6A64">
            <w:pPr>
              <w:rPr>
                <w:rFonts w:ascii="宋体"/>
              </w:rPr>
            </w:pPr>
          </w:p>
        </w:tc>
        <w:tc>
          <w:tcPr>
            <w:tcW w:w="0" w:type="auto"/>
            <w:shd w:val="clear" w:color="auto" w:fill="auto"/>
          </w:tcPr>
          <w:p w14:paraId="33DAD38F" w14:textId="77777777" w:rsidR="004D6A64" w:rsidRDefault="004D6A64">
            <w:pPr>
              <w:rPr>
                <w:rFonts w:ascii="宋体"/>
              </w:rPr>
            </w:pPr>
          </w:p>
        </w:tc>
        <w:tc>
          <w:tcPr>
            <w:tcW w:w="0" w:type="auto"/>
            <w:shd w:val="clear" w:color="auto" w:fill="auto"/>
          </w:tcPr>
          <w:p w14:paraId="33DAD390" w14:textId="77777777" w:rsidR="004D6A64" w:rsidRDefault="004D6A64">
            <w:pPr>
              <w:rPr>
                <w:rFonts w:ascii="宋体"/>
              </w:rPr>
            </w:pPr>
          </w:p>
        </w:tc>
        <w:tc>
          <w:tcPr>
            <w:tcW w:w="0" w:type="auto"/>
            <w:shd w:val="clear" w:color="auto" w:fill="auto"/>
          </w:tcPr>
          <w:p w14:paraId="33DAD391" w14:textId="77777777" w:rsidR="004D6A64" w:rsidRDefault="004D6A64">
            <w:pPr>
              <w:rPr>
                <w:rFonts w:ascii="宋体"/>
              </w:rPr>
            </w:pPr>
          </w:p>
        </w:tc>
        <w:tc>
          <w:tcPr>
            <w:tcW w:w="0" w:type="auto"/>
            <w:shd w:val="clear" w:color="auto" w:fill="auto"/>
          </w:tcPr>
          <w:p w14:paraId="33DAD392" w14:textId="77777777" w:rsidR="004D6A64" w:rsidRDefault="004D6A64">
            <w:pPr>
              <w:rPr>
                <w:rFonts w:ascii="宋体"/>
              </w:rPr>
            </w:pPr>
          </w:p>
        </w:tc>
        <w:tc>
          <w:tcPr>
            <w:tcW w:w="0" w:type="auto"/>
            <w:shd w:val="clear" w:color="auto" w:fill="auto"/>
          </w:tcPr>
          <w:p w14:paraId="33DAD393" w14:textId="77777777" w:rsidR="004D6A64" w:rsidRDefault="004D6A64">
            <w:pPr>
              <w:rPr>
                <w:rFonts w:ascii="宋体"/>
              </w:rPr>
            </w:pPr>
          </w:p>
        </w:tc>
        <w:tc>
          <w:tcPr>
            <w:tcW w:w="0" w:type="auto"/>
            <w:shd w:val="clear" w:color="auto" w:fill="auto"/>
          </w:tcPr>
          <w:p w14:paraId="33DAD394" w14:textId="77777777" w:rsidR="004D6A64" w:rsidRDefault="004D6A64">
            <w:pPr>
              <w:rPr>
                <w:rFonts w:ascii="宋体"/>
              </w:rPr>
            </w:pPr>
          </w:p>
        </w:tc>
        <w:tc>
          <w:tcPr>
            <w:tcW w:w="0" w:type="auto"/>
            <w:shd w:val="clear" w:color="auto" w:fill="auto"/>
          </w:tcPr>
          <w:p w14:paraId="33DAD395" w14:textId="77777777" w:rsidR="004D6A64" w:rsidRDefault="004D6A64">
            <w:pPr>
              <w:rPr>
                <w:rFonts w:ascii="宋体"/>
              </w:rPr>
            </w:pPr>
          </w:p>
        </w:tc>
        <w:tc>
          <w:tcPr>
            <w:tcW w:w="0" w:type="auto"/>
            <w:shd w:val="clear" w:color="auto" w:fill="auto"/>
          </w:tcPr>
          <w:p w14:paraId="33DAD396" w14:textId="77777777" w:rsidR="004D6A64" w:rsidRDefault="004D6A64">
            <w:pPr>
              <w:rPr>
                <w:rFonts w:ascii="宋体"/>
              </w:rPr>
            </w:pPr>
          </w:p>
        </w:tc>
      </w:tr>
      <w:tr w:rsidR="004D6A64" w14:paraId="33DAD3B6" w14:textId="77777777">
        <w:tc>
          <w:tcPr>
            <w:tcW w:w="0" w:type="auto"/>
            <w:gridSpan w:val="3"/>
            <w:shd w:val="clear" w:color="auto" w:fill="CCEEFF"/>
            <w:tcMar>
              <w:top w:w="40" w:type="dxa"/>
              <w:left w:w="225" w:type="dxa"/>
              <w:bottom w:w="40" w:type="dxa"/>
              <w:right w:w="20" w:type="dxa"/>
            </w:tcMar>
            <w:vAlign w:val="center"/>
          </w:tcPr>
          <w:p w14:paraId="33DAD398" w14:textId="77777777" w:rsidR="004D6A64" w:rsidRDefault="00506CD6">
            <w:pPr>
              <w:textAlignment w:val="center"/>
            </w:pPr>
            <w:r>
              <w:rPr>
                <w:rFonts w:ascii="Times New Roman" w:eastAsia="宋体" w:hAnsi="Times New Roman"/>
                <w:color w:val="000000"/>
                <w:sz w:val="20"/>
                <w:szCs w:val="20"/>
              </w:rPr>
              <w:t>Other businesses (a)</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D399" w14:textId="77777777" w:rsidR="004D6A64" w:rsidRDefault="00506CD6">
            <w:pPr>
              <w:jc w:val="right"/>
              <w:textAlignment w:val="center"/>
            </w:pPr>
            <w:r>
              <w:rPr>
                <w:rFonts w:ascii="Times New Roman" w:eastAsia="宋体" w:hAnsi="Times New Roman"/>
                <w:color w:val="000000"/>
                <w:sz w:val="20"/>
                <w:szCs w:val="20"/>
              </w:rPr>
              <w:t>37 </w:t>
            </w:r>
          </w:p>
        </w:tc>
        <w:tc>
          <w:tcPr>
            <w:tcW w:w="0" w:type="auto"/>
            <w:tcBorders>
              <w:top w:val="single" w:sz="8" w:space="0" w:color="000000"/>
            </w:tcBorders>
            <w:shd w:val="clear" w:color="auto" w:fill="CCEEFF"/>
            <w:tcMar>
              <w:top w:w="40" w:type="dxa"/>
              <w:bottom w:w="40" w:type="dxa"/>
              <w:right w:w="20" w:type="dxa"/>
            </w:tcMar>
            <w:vAlign w:val="center"/>
          </w:tcPr>
          <w:p w14:paraId="33DAD39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39B"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D39C" w14:textId="77777777" w:rsidR="004D6A64" w:rsidRDefault="00506CD6">
            <w:pPr>
              <w:jc w:val="right"/>
              <w:textAlignment w:val="center"/>
            </w:pPr>
            <w:r>
              <w:rPr>
                <w:rFonts w:ascii="Times New Roman" w:eastAsia="宋体" w:hAnsi="Times New Roman"/>
                <w:color w:val="000000"/>
                <w:sz w:val="20"/>
                <w:szCs w:val="20"/>
              </w:rPr>
              <w:t>(14)</w:t>
            </w:r>
          </w:p>
        </w:tc>
        <w:tc>
          <w:tcPr>
            <w:tcW w:w="0" w:type="auto"/>
            <w:tcBorders>
              <w:top w:val="single" w:sz="8" w:space="0" w:color="000000"/>
            </w:tcBorders>
            <w:shd w:val="clear" w:color="auto" w:fill="CCEEFF"/>
            <w:tcMar>
              <w:top w:w="40" w:type="dxa"/>
              <w:bottom w:w="40" w:type="dxa"/>
              <w:right w:w="20" w:type="dxa"/>
            </w:tcMar>
            <w:vAlign w:val="center"/>
          </w:tcPr>
          <w:p w14:paraId="33DAD39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39E"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D39F" w14:textId="77777777" w:rsidR="004D6A64" w:rsidRDefault="00506CD6">
            <w:pPr>
              <w:jc w:val="right"/>
              <w:textAlignment w:val="center"/>
            </w:pPr>
            <w:r>
              <w:rPr>
                <w:rFonts w:ascii="Times New Roman" w:eastAsia="宋体" w:hAnsi="Times New Roman"/>
                <w:color w:val="000000"/>
                <w:sz w:val="20"/>
                <w:szCs w:val="20"/>
              </w:rPr>
              <w:t>102 </w:t>
            </w:r>
          </w:p>
        </w:tc>
        <w:tc>
          <w:tcPr>
            <w:tcW w:w="0" w:type="auto"/>
            <w:tcBorders>
              <w:top w:val="single" w:sz="8" w:space="0" w:color="000000"/>
            </w:tcBorders>
            <w:shd w:val="clear" w:color="auto" w:fill="CCEEFF"/>
            <w:tcMar>
              <w:top w:w="40" w:type="dxa"/>
              <w:bottom w:w="40" w:type="dxa"/>
              <w:right w:w="20" w:type="dxa"/>
            </w:tcMar>
            <w:vAlign w:val="center"/>
          </w:tcPr>
          <w:p w14:paraId="33DAD3A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3A1"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D3A2" w14:textId="77777777" w:rsidR="004D6A64" w:rsidRDefault="00506CD6">
            <w:pPr>
              <w:jc w:val="right"/>
              <w:textAlignment w:val="center"/>
            </w:pPr>
            <w:r>
              <w:rPr>
                <w:rFonts w:ascii="Times New Roman" w:eastAsia="宋体" w:hAnsi="Times New Roman"/>
                <w:color w:val="000000"/>
                <w:sz w:val="20"/>
                <w:szCs w:val="20"/>
              </w:rPr>
              <w:t>(48)</w:t>
            </w:r>
          </w:p>
        </w:tc>
        <w:tc>
          <w:tcPr>
            <w:tcW w:w="0" w:type="auto"/>
            <w:tcBorders>
              <w:top w:val="single" w:sz="8" w:space="0" w:color="000000"/>
            </w:tcBorders>
            <w:shd w:val="clear" w:color="auto" w:fill="CCEEFF"/>
            <w:tcMar>
              <w:top w:w="40" w:type="dxa"/>
              <w:bottom w:w="40" w:type="dxa"/>
              <w:right w:w="20" w:type="dxa"/>
            </w:tcMar>
            <w:vAlign w:val="center"/>
          </w:tcPr>
          <w:p w14:paraId="33DAD3A3" w14:textId="77777777" w:rsidR="004D6A64" w:rsidRDefault="004D6A64">
            <w:pPr>
              <w:jc w:val="right"/>
              <w:rPr>
                <w:rFonts w:ascii="宋体"/>
              </w:rPr>
            </w:pPr>
          </w:p>
        </w:tc>
        <w:tc>
          <w:tcPr>
            <w:tcW w:w="0" w:type="auto"/>
            <w:shd w:val="clear" w:color="auto" w:fill="auto"/>
          </w:tcPr>
          <w:p w14:paraId="33DAD3A4" w14:textId="77777777" w:rsidR="004D6A64" w:rsidRDefault="004D6A64">
            <w:pPr>
              <w:rPr>
                <w:rFonts w:ascii="宋体"/>
              </w:rPr>
            </w:pPr>
          </w:p>
        </w:tc>
        <w:tc>
          <w:tcPr>
            <w:tcW w:w="0" w:type="auto"/>
            <w:shd w:val="clear" w:color="auto" w:fill="auto"/>
          </w:tcPr>
          <w:p w14:paraId="33DAD3A5" w14:textId="77777777" w:rsidR="004D6A64" w:rsidRDefault="004D6A64">
            <w:pPr>
              <w:rPr>
                <w:rFonts w:ascii="宋体"/>
              </w:rPr>
            </w:pPr>
          </w:p>
        </w:tc>
        <w:tc>
          <w:tcPr>
            <w:tcW w:w="0" w:type="auto"/>
            <w:shd w:val="clear" w:color="auto" w:fill="auto"/>
          </w:tcPr>
          <w:p w14:paraId="33DAD3A6" w14:textId="77777777" w:rsidR="004D6A64" w:rsidRDefault="004D6A64">
            <w:pPr>
              <w:rPr>
                <w:rFonts w:ascii="宋体"/>
              </w:rPr>
            </w:pPr>
          </w:p>
        </w:tc>
        <w:tc>
          <w:tcPr>
            <w:tcW w:w="0" w:type="auto"/>
            <w:shd w:val="clear" w:color="auto" w:fill="auto"/>
          </w:tcPr>
          <w:p w14:paraId="33DAD3A7" w14:textId="77777777" w:rsidR="004D6A64" w:rsidRDefault="004D6A64">
            <w:pPr>
              <w:rPr>
                <w:rFonts w:ascii="宋体"/>
              </w:rPr>
            </w:pPr>
          </w:p>
        </w:tc>
        <w:tc>
          <w:tcPr>
            <w:tcW w:w="0" w:type="auto"/>
            <w:shd w:val="clear" w:color="auto" w:fill="auto"/>
          </w:tcPr>
          <w:p w14:paraId="33DAD3A8" w14:textId="77777777" w:rsidR="004D6A64" w:rsidRDefault="004D6A64">
            <w:pPr>
              <w:rPr>
                <w:rFonts w:ascii="宋体"/>
              </w:rPr>
            </w:pPr>
          </w:p>
        </w:tc>
        <w:tc>
          <w:tcPr>
            <w:tcW w:w="0" w:type="auto"/>
            <w:shd w:val="clear" w:color="auto" w:fill="auto"/>
          </w:tcPr>
          <w:p w14:paraId="33DAD3A9" w14:textId="77777777" w:rsidR="004D6A64" w:rsidRDefault="004D6A64">
            <w:pPr>
              <w:rPr>
                <w:rFonts w:ascii="宋体"/>
              </w:rPr>
            </w:pPr>
          </w:p>
        </w:tc>
        <w:tc>
          <w:tcPr>
            <w:tcW w:w="0" w:type="auto"/>
            <w:shd w:val="clear" w:color="auto" w:fill="auto"/>
          </w:tcPr>
          <w:p w14:paraId="33DAD3AA" w14:textId="77777777" w:rsidR="004D6A64" w:rsidRDefault="004D6A64">
            <w:pPr>
              <w:rPr>
                <w:rFonts w:ascii="宋体"/>
              </w:rPr>
            </w:pPr>
          </w:p>
        </w:tc>
        <w:tc>
          <w:tcPr>
            <w:tcW w:w="0" w:type="auto"/>
            <w:shd w:val="clear" w:color="auto" w:fill="auto"/>
          </w:tcPr>
          <w:p w14:paraId="33DAD3AB" w14:textId="77777777" w:rsidR="004D6A64" w:rsidRDefault="004D6A64">
            <w:pPr>
              <w:rPr>
                <w:rFonts w:ascii="宋体"/>
              </w:rPr>
            </w:pPr>
          </w:p>
        </w:tc>
        <w:tc>
          <w:tcPr>
            <w:tcW w:w="0" w:type="auto"/>
            <w:shd w:val="clear" w:color="auto" w:fill="auto"/>
          </w:tcPr>
          <w:p w14:paraId="33DAD3AC" w14:textId="77777777" w:rsidR="004D6A64" w:rsidRDefault="004D6A64">
            <w:pPr>
              <w:rPr>
                <w:rFonts w:ascii="宋体"/>
              </w:rPr>
            </w:pPr>
          </w:p>
        </w:tc>
        <w:tc>
          <w:tcPr>
            <w:tcW w:w="0" w:type="auto"/>
            <w:shd w:val="clear" w:color="auto" w:fill="auto"/>
          </w:tcPr>
          <w:p w14:paraId="33DAD3AD" w14:textId="77777777" w:rsidR="004D6A64" w:rsidRDefault="004D6A64">
            <w:pPr>
              <w:rPr>
                <w:rFonts w:ascii="宋体"/>
              </w:rPr>
            </w:pPr>
          </w:p>
        </w:tc>
        <w:tc>
          <w:tcPr>
            <w:tcW w:w="0" w:type="auto"/>
            <w:shd w:val="clear" w:color="auto" w:fill="auto"/>
          </w:tcPr>
          <w:p w14:paraId="33DAD3AE" w14:textId="77777777" w:rsidR="004D6A64" w:rsidRDefault="004D6A64">
            <w:pPr>
              <w:rPr>
                <w:rFonts w:ascii="宋体"/>
              </w:rPr>
            </w:pPr>
          </w:p>
        </w:tc>
        <w:tc>
          <w:tcPr>
            <w:tcW w:w="0" w:type="auto"/>
            <w:shd w:val="clear" w:color="auto" w:fill="auto"/>
          </w:tcPr>
          <w:p w14:paraId="33DAD3AF" w14:textId="77777777" w:rsidR="004D6A64" w:rsidRDefault="004D6A64">
            <w:pPr>
              <w:rPr>
                <w:rFonts w:ascii="宋体"/>
              </w:rPr>
            </w:pPr>
          </w:p>
        </w:tc>
        <w:tc>
          <w:tcPr>
            <w:tcW w:w="0" w:type="auto"/>
            <w:shd w:val="clear" w:color="auto" w:fill="auto"/>
          </w:tcPr>
          <w:p w14:paraId="33DAD3B0" w14:textId="77777777" w:rsidR="004D6A64" w:rsidRDefault="004D6A64">
            <w:pPr>
              <w:rPr>
                <w:rFonts w:ascii="宋体"/>
              </w:rPr>
            </w:pPr>
          </w:p>
        </w:tc>
        <w:tc>
          <w:tcPr>
            <w:tcW w:w="0" w:type="auto"/>
            <w:shd w:val="clear" w:color="auto" w:fill="auto"/>
          </w:tcPr>
          <w:p w14:paraId="33DAD3B1" w14:textId="77777777" w:rsidR="004D6A64" w:rsidRDefault="004D6A64">
            <w:pPr>
              <w:rPr>
                <w:rFonts w:ascii="宋体"/>
              </w:rPr>
            </w:pPr>
          </w:p>
        </w:tc>
        <w:tc>
          <w:tcPr>
            <w:tcW w:w="0" w:type="auto"/>
            <w:shd w:val="clear" w:color="auto" w:fill="auto"/>
          </w:tcPr>
          <w:p w14:paraId="33DAD3B2" w14:textId="77777777" w:rsidR="004D6A64" w:rsidRDefault="004D6A64">
            <w:pPr>
              <w:rPr>
                <w:rFonts w:ascii="宋体"/>
              </w:rPr>
            </w:pPr>
          </w:p>
        </w:tc>
        <w:tc>
          <w:tcPr>
            <w:tcW w:w="0" w:type="auto"/>
            <w:shd w:val="clear" w:color="auto" w:fill="auto"/>
          </w:tcPr>
          <w:p w14:paraId="33DAD3B3" w14:textId="77777777" w:rsidR="004D6A64" w:rsidRDefault="004D6A64">
            <w:pPr>
              <w:rPr>
                <w:rFonts w:ascii="宋体"/>
              </w:rPr>
            </w:pPr>
          </w:p>
        </w:tc>
        <w:tc>
          <w:tcPr>
            <w:tcW w:w="0" w:type="auto"/>
            <w:shd w:val="clear" w:color="auto" w:fill="auto"/>
          </w:tcPr>
          <w:p w14:paraId="33DAD3B4" w14:textId="77777777" w:rsidR="004D6A64" w:rsidRDefault="004D6A64">
            <w:pPr>
              <w:rPr>
                <w:rFonts w:ascii="宋体"/>
              </w:rPr>
            </w:pPr>
          </w:p>
        </w:tc>
        <w:tc>
          <w:tcPr>
            <w:tcW w:w="0" w:type="auto"/>
            <w:shd w:val="clear" w:color="auto" w:fill="auto"/>
          </w:tcPr>
          <w:p w14:paraId="33DAD3B5" w14:textId="77777777" w:rsidR="004D6A64" w:rsidRDefault="004D6A64">
            <w:pPr>
              <w:rPr>
                <w:rFonts w:ascii="宋体"/>
              </w:rPr>
            </w:pPr>
          </w:p>
        </w:tc>
      </w:tr>
      <w:tr w:rsidR="004D6A64" w14:paraId="33DAD3D5" w14:textId="77777777">
        <w:tc>
          <w:tcPr>
            <w:tcW w:w="0" w:type="auto"/>
            <w:gridSpan w:val="3"/>
            <w:shd w:val="clear" w:color="auto" w:fill="FFFFFF"/>
            <w:tcMar>
              <w:top w:w="40" w:type="dxa"/>
              <w:left w:w="225" w:type="dxa"/>
              <w:bottom w:w="40" w:type="dxa"/>
              <w:right w:w="20" w:type="dxa"/>
            </w:tcMar>
            <w:vAlign w:val="center"/>
          </w:tcPr>
          <w:p w14:paraId="33DAD3B7" w14:textId="77777777" w:rsidR="004D6A64" w:rsidRDefault="00506CD6">
            <w:pPr>
              <w:textAlignment w:val="center"/>
            </w:pPr>
            <w:r>
              <w:rPr>
                <w:rFonts w:ascii="Times New Roman" w:eastAsia="宋体" w:hAnsi="Times New Roman"/>
                <w:color w:val="000000"/>
                <w:sz w:val="20"/>
                <w:szCs w:val="20"/>
              </w:rPr>
              <w:t>Unallocated transactions (b)</w:t>
            </w:r>
          </w:p>
        </w:tc>
        <w:tc>
          <w:tcPr>
            <w:tcW w:w="0" w:type="auto"/>
            <w:gridSpan w:val="2"/>
            <w:shd w:val="clear" w:color="auto" w:fill="FFFFFF"/>
            <w:tcMar>
              <w:top w:w="40" w:type="dxa"/>
              <w:left w:w="20" w:type="dxa"/>
              <w:bottom w:w="40" w:type="dxa"/>
              <w:right w:w="0" w:type="dxa"/>
            </w:tcMar>
            <w:vAlign w:val="center"/>
          </w:tcPr>
          <w:p w14:paraId="33DAD3B8" w14:textId="77777777" w:rsidR="004D6A64" w:rsidRDefault="00506CD6">
            <w:pPr>
              <w:jc w:val="right"/>
              <w:textAlignment w:val="center"/>
            </w:pPr>
            <w:r>
              <w:rPr>
                <w:rFonts w:ascii="Times New Roman" w:eastAsia="宋体" w:hAnsi="Times New Roman"/>
                <w:color w:val="000000"/>
                <w:sz w:val="20"/>
                <w:szCs w:val="20"/>
              </w:rPr>
              <w:t>(1)</w:t>
            </w:r>
          </w:p>
        </w:tc>
        <w:tc>
          <w:tcPr>
            <w:tcW w:w="0" w:type="auto"/>
            <w:shd w:val="clear" w:color="auto" w:fill="FFFFFF"/>
            <w:tcMar>
              <w:top w:w="40" w:type="dxa"/>
              <w:bottom w:w="40" w:type="dxa"/>
              <w:right w:w="20" w:type="dxa"/>
            </w:tcMar>
            <w:vAlign w:val="center"/>
          </w:tcPr>
          <w:p w14:paraId="33DAD3B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3B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3BB" w14:textId="77777777" w:rsidR="004D6A64" w:rsidRDefault="00506CD6">
            <w:pPr>
              <w:jc w:val="right"/>
              <w:textAlignment w:val="center"/>
            </w:pPr>
            <w:r>
              <w:rPr>
                <w:rFonts w:ascii="Times New Roman" w:eastAsia="宋体" w:hAnsi="Times New Roman"/>
                <w:color w:val="000000"/>
                <w:sz w:val="20"/>
                <w:szCs w:val="20"/>
              </w:rPr>
              <w:t>(26)</w:t>
            </w:r>
          </w:p>
        </w:tc>
        <w:tc>
          <w:tcPr>
            <w:tcW w:w="0" w:type="auto"/>
            <w:shd w:val="clear" w:color="auto" w:fill="FFFFFF"/>
            <w:tcMar>
              <w:top w:w="40" w:type="dxa"/>
              <w:bottom w:w="40" w:type="dxa"/>
              <w:right w:w="20" w:type="dxa"/>
            </w:tcMar>
            <w:vAlign w:val="center"/>
          </w:tcPr>
          <w:p w14:paraId="33DAD3B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3B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3BE" w14:textId="77777777" w:rsidR="004D6A64" w:rsidRDefault="00506CD6">
            <w:pPr>
              <w:jc w:val="right"/>
              <w:textAlignment w:val="center"/>
            </w:pPr>
            <w:r>
              <w:rPr>
                <w:rFonts w:ascii="Times New Roman" w:eastAsia="宋体" w:hAnsi="Times New Roman"/>
                <w:color w:val="000000"/>
                <w:sz w:val="20"/>
                <w:szCs w:val="20"/>
              </w:rPr>
              <w:t>(2)</w:t>
            </w:r>
          </w:p>
        </w:tc>
        <w:tc>
          <w:tcPr>
            <w:tcW w:w="0" w:type="auto"/>
            <w:shd w:val="clear" w:color="auto" w:fill="FFFFFF"/>
            <w:tcMar>
              <w:top w:w="40" w:type="dxa"/>
              <w:bottom w:w="40" w:type="dxa"/>
              <w:right w:w="20" w:type="dxa"/>
            </w:tcMar>
            <w:vAlign w:val="center"/>
          </w:tcPr>
          <w:p w14:paraId="33DAD3B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3C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3C1" w14:textId="77777777" w:rsidR="004D6A64" w:rsidRDefault="00506CD6">
            <w:pPr>
              <w:jc w:val="right"/>
              <w:textAlignment w:val="center"/>
            </w:pPr>
            <w:r>
              <w:rPr>
                <w:rFonts w:ascii="Times New Roman" w:eastAsia="宋体" w:hAnsi="Times New Roman"/>
                <w:color w:val="000000"/>
                <w:sz w:val="20"/>
                <w:szCs w:val="20"/>
              </w:rPr>
              <w:t>(27)</w:t>
            </w:r>
          </w:p>
        </w:tc>
        <w:tc>
          <w:tcPr>
            <w:tcW w:w="0" w:type="auto"/>
            <w:shd w:val="clear" w:color="auto" w:fill="FFFFFF"/>
            <w:tcMar>
              <w:top w:w="40" w:type="dxa"/>
              <w:bottom w:w="40" w:type="dxa"/>
              <w:right w:w="20" w:type="dxa"/>
            </w:tcMar>
            <w:vAlign w:val="center"/>
          </w:tcPr>
          <w:p w14:paraId="33DAD3C2" w14:textId="77777777" w:rsidR="004D6A64" w:rsidRDefault="004D6A64">
            <w:pPr>
              <w:jc w:val="right"/>
              <w:rPr>
                <w:rFonts w:ascii="宋体"/>
              </w:rPr>
            </w:pPr>
          </w:p>
        </w:tc>
        <w:tc>
          <w:tcPr>
            <w:tcW w:w="0" w:type="auto"/>
            <w:shd w:val="clear" w:color="auto" w:fill="auto"/>
          </w:tcPr>
          <w:p w14:paraId="33DAD3C3" w14:textId="77777777" w:rsidR="004D6A64" w:rsidRDefault="004D6A64">
            <w:pPr>
              <w:rPr>
                <w:rFonts w:ascii="宋体"/>
              </w:rPr>
            </w:pPr>
          </w:p>
        </w:tc>
        <w:tc>
          <w:tcPr>
            <w:tcW w:w="0" w:type="auto"/>
            <w:shd w:val="clear" w:color="auto" w:fill="auto"/>
          </w:tcPr>
          <w:p w14:paraId="33DAD3C4" w14:textId="77777777" w:rsidR="004D6A64" w:rsidRDefault="004D6A64">
            <w:pPr>
              <w:rPr>
                <w:rFonts w:ascii="宋体"/>
              </w:rPr>
            </w:pPr>
          </w:p>
        </w:tc>
        <w:tc>
          <w:tcPr>
            <w:tcW w:w="0" w:type="auto"/>
            <w:shd w:val="clear" w:color="auto" w:fill="auto"/>
          </w:tcPr>
          <w:p w14:paraId="33DAD3C5" w14:textId="77777777" w:rsidR="004D6A64" w:rsidRDefault="004D6A64">
            <w:pPr>
              <w:rPr>
                <w:rFonts w:ascii="宋体"/>
              </w:rPr>
            </w:pPr>
          </w:p>
        </w:tc>
        <w:tc>
          <w:tcPr>
            <w:tcW w:w="0" w:type="auto"/>
            <w:shd w:val="clear" w:color="auto" w:fill="auto"/>
          </w:tcPr>
          <w:p w14:paraId="33DAD3C6" w14:textId="77777777" w:rsidR="004D6A64" w:rsidRDefault="004D6A64">
            <w:pPr>
              <w:rPr>
                <w:rFonts w:ascii="宋体"/>
              </w:rPr>
            </w:pPr>
          </w:p>
        </w:tc>
        <w:tc>
          <w:tcPr>
            <w:tcW w:w="0" w:type="auto"/>
            <w:shd w:val="clear" w:color="auto" w:fill="auto"/>
          </w:tcPr>
          <w:p w14:paraId="33DAD3C7" w14:textId="77777777" w:rsidR="004D6A64" w:rsidRDefault="004D6A64">
            <w:pPr>
              <w:rPr>
                <w:rFonts w:ascii="宋体"/>
              </w:rPr>
            </w:pPr>
          </w:p>
        </w:tc>
        <w:tc>
          <w:tcPr>
            <w:tcW w:w="0" w:type="auto"/>
            <w:shd w:val="clear" w:color="auto" w:fill="auto"/>
          </w:tcPr>
          <w:p w14:paraId="33DAD3C8" w14:textId="77777777" w:rsidR="004D6A64" w:rsidRDefault="004D6A64">
            <w:pPr>
              <w:rPr>
                <w:rFonts w:ascii="宋体"/>
              </w:rPr>
            </w:pPr>
          </w:p>
        </w:tc>
        <w:tc>
          <w:tcPr>
            <w:tcW w:w="0" w:type="auto"/>
            <w:shd w:val="clear" w:color="auto" w:fill="auto"/>
          </w:tcPr>
          <w:p w14:paraId="33DAD3C9" w14:textId="77777777" w:rsidR="004D6A64" w:rsidRDefault="004D6A64">
            <w:pPr>
              <w:rPr>
                <w:rFonts w:ascii="宋体"/>
              </w:rPr>
            </w:pPr>
          </w:p>
        </w:tc>
        <w:tc>
          <w:tcPr>
            <w:tcW w:w="0" w:type="auto"/>
            <w:shd w:val="clear" w:color="auto" w:fill="auto"/>
          </w:tcPr>
          <w:p w14:paraId="33DAD3CA" w14:textId="77777777" w:rsidR="004D6A64" w:rsidRDefault="004D6A64">
            <w:pPr>
              <w:rPr>
                <w:rFonts w:ascii="宋体"/>
              </w:rPr>
            </w:pPr>
          </w:p>
        </w:tc>
        <w:tc>
          <w:tcPr>
            <w:tcW w:w="0" w:type="auto"/>
            <w:shd w:val="clear" w:color="auto" w:fill="auto"/>
          </w:tcPr>
          <w:p w14:paraId="33DAD3CB" w14:textId="77777777" w:rsidR="004D6A64" w:rsidRDefault="004D6A64">
            <w:pPr>
              <w:rPr>
                <w:rFonts w:ascii="宋体"/>
              </w:rPr>
            </w:pPr>
          </w:p>
        </w:tc>
        <w:tc>
          <w:tcPr>
            <w:tcW w:w="0" w:type="auto"/>
            <w:shd w:val="clear" w:color="auto" w:fill="auto"/>
          </w:tcPr>
          <w:p w14:paraId="33DAD3CC" w14:textId="77777777" w:rsidR="004D6A64" w:rsidRDefault="004D6A64">
            <w:pPr>
              <w:rPr>
                <w:rFonts w:ascii="宋体"/>
              </w:rPr>
            </w:pPr>
          </w:p>
        </w:tc>
        <w:tc>
          <w:tcPr>
            <w:tcW w:w="0" w:type="auto"/>
            <w:shd w:val="clear" w:color="auto" w:fill="auto"/>
          </w:tcPr>
          <w:p w14:paraId="33DAD3CD" w14:textId="77777777" w:rsidR="004D6A64" w:rsidRDefault="004D6A64">
            <w:pPr>
              <w:rPr>
                <w:rFonts w:ascii="宋体"/>
              </w:rPr>
            </w:pPr>
          </w:p>
        </w:tc>
        <w:tc>
          <w:tcPr>
            <w:tcW w:w="0" w:type="auto"/>
            <w:shd w:val="clear" w:color="auto" w:fill="auto"/>
          </w:tcPr>
          <w:p w14:paraId="33DAD3CE" w14:textId="77777777" w:rsidR="004D6A64" w:rsidRDefault="004D6A64">
            <w:pPr>
              <w:rPr>
                <w:rFonts w:ascii="宋体"/>
              </w:rPr>
            </w:pPr>
          </w:p>
        </w:tc>
        <w:tc>
          <w:tcPr>
            <w:tcW w:w="0" w:type="auto"/>
            <w:shd w:val="clear" w:color="auto" w:fill="auto"/>
          </w:tcPr>
          <w:p w14:paraId="33DAD3CF" w14:textId="77777777" w:rsidR="004D6A64" w:rsidRDefault="004D6A64">
            <w:pPr>
              <w:rPr>
                <w:rFonts w:ascii="宋体"/>
              </w:rPr>
            </w:pPr>
          </w:p>
        </w:tc>
        <w:tc>
          <w:tcPr>
            <w:tcW w:w="0" w:type="auto"/>
            <w:shd w:val="clear" w:color="auto" w:fill="auto"/>
          </w:tcPr>
          <w:p w14:paraId="33DAD3D0" w14:textId="77777777" w:rsidR="004D6A64" w:rsidRDefault="004D6A64">
            <w:pPr>
              <w:rPr>
                <w:rFonts w:ascii="宋体"/>
              </w:rPr>
            </w:pPr>
          </w:p>
        </w:tc>
        <w:tc>
          <w:tcPr>
            <w:tcW w:w="0" w:type="auto"/>
            <w:shd w:val="clear" w:color="auto" w:fill="auto"/>
          </w:tcPr>
          <w:p w14:paraId="33DAD3D1" w14:textId="77777777" w:rsidR="004D6A64" w:rsidRDefault="004D6A64">
            <w:pPr>
              <w:rPr>
                <w:rFonts w:ascii="宋体"/>
              </w:rPr>
            </w:pPr>
          </w:p>
        </w:tc>
        <w:tc>
          <w:tcPr>
            <w:tcW w:w="0" w:type="auto"/>
            <w:shd w:val="clear" w:color="auto" w:fill="auto"/>
          </w:tcPr>
          <w:p w14:paraId="33DAD3D2" w14:textId="77777777" w:rsidR="004D6A64" w:rsidRDefault="004D6A64">
            <w:pPr>
              <w:rPr>
                <w:rFonts w:ascii="宋体"/>
              </w:rPr>
            </w:pPr>
          </w:p>
        </w:tc>
        <w:tc>
          <w:tcPr>
            <w:tcW w:w="0" w:type="auto"/>
            <w:shd w:val="clear" w:color="auto" w:fill="auto"/>
          </w:tcPr>
          <w:p w14:paraId="33DAD3D3" w14:textId="77777777" w:rsidR="004D6A64" w:rsidRDefault="004D6A64">
            <w:pPr>
              <w:rPr>
                <w:rFonts w:ascii="宋体"/>
              </w:rPr>
            </w:pPr>
          </w:p>
        </w:tc>
        <w:tc>
          <w:tcPr>
            <w:tcW w:w="0" w:type="auto"/>
            <w:shd w:val="clear" w:color="auto" w:fill="auto"/>
          </w:tcPr>
          <w:p w14:paraId="33DAD3D4" w14:textId="77777777" w:rsidR="004D6A64" w:rsidRDefault="004D6A64">
            <w:pPr>
              <w:rPr>
                <w:rFonts w:ascii="宋体"/>
              </w:rPr>
            </w:pPr>
          </w:p>
        </w:tc>
      </w:tr>
      <w:tr w:rsidR="004D6A64" w14:paraId="33DAD3F4" w14:textId="77777777">
        <w:tc>
          <w:tcPr>
            <w:tcW w:w="0" w:type="auto"/>
            <w:gridSpan w:val="3"/>
            <w:shd w:val="clear" w:color="auto" w:fill="CCEEFF"/>
            <w:tcMar>
              <w:top w:w="40" w:type="dxa"/>
              <w:left w:w="225" w:type="dxa"/>
              <w:bottom w:w="40" w:type="dxa"/>
              <w:right w:w="20" w:type="dxa"/>
            </w:tcMar>
            <w:vAlign w:val="center"/>
          </w:tcPr>
          <w:p w14:paraId="33DAD3D6" w14:textId="77777777" w:rsidR="004D6A64" w:rsidRDefault="00506CD6">
            <w:pPr>
              <w:textAlignment w:val="center"/>
            </w:pPr>
            <w:r>
              <w:rPr>
                <w:rFonts w:ascii="Times New Roman" w:eastAsia="宋体" w:hAnsi="Times New Roman"/>
                <w:color w:val="000000"/>
                <w:sz w:val="20"/>
                <w:szCs w:val="20"/>
              </w:rPr>
              <w:t>Impact of purchase accounting (c)</w:t>
            </w:r>
          </w:p>
        </w:tc>
        <w:tc>
          <w:tcPr>
            <w:tcW w:w="0" w:type="auto"/>
            <w:gridSpan w:val="2"/>
            <w:shd w:val="clear" w:color="auto" w:fill="CCEEFF"/>
            <w:tcMar>
              <w:top w:w="40" w:type="dxa"/>
              <w:left w:w="20" w:type="dxa"/>
              <w:bottom w:w="40" w:type="dxa"/>
              <w:right w:w="0" w:type="dxa"/>
            </w:tcMar>
            <w:vAlign w:val="center"/>
          </w:tcPr>
          <w:p w14:paraId="33DAD3D7" w14:textId="77777777" w:rsidR="004D6A64" w:rsidRDefault="00506CD6">
            <w:pPr>
              <w:jc w:val="right"/>
              <w:textAlignment w:val="center"/>
            </w:pPr>
            <w:r>
              <w:rPr>
                <w:rFonts w:ascii="Times New Roman" w:eastAsia="宋体" w:hAnsi="Times New Roman"/>
                <w:color w:val="000000"/>
                <w:sz w:val="20"/>
                <w:szCs w:val="20"/>
              </w:rPr>
              <w:t>(53)</w:t>
            </w:r>
          </w:p>
        </w:tc>
        <w:tc>
          <w:tcPr>
            <w:tcW w:w="0" w:type="auto"/>
            <w:shd w:val="clear" w:color="auto" w:fill="CCEEFF"/>
            <w:tcMar>
              <w:top w:w="40" w:type="dxa"/>
              <w:bottom w:w="40" w:type="dxa"/>
              <w:right w:w="20" w:type="dxa"/>
            </w:tcMar>
            <w:vAlign w:val="center"/>
          </w:tcPr>
          <w:p w14:paraId="33DAD3D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3D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3DA" w14:textId="77777777" w:rsidR="004D6A64" w:rsidRDefault="00506CD6">
            <w:pPr>
              <w:jc w:val="right"/>
              <w:textAlignment w:val="center"/>
            </w:pPr>
            <w:r>
              <w:rPr>
                <w:rFonts w:ascii="Times New Roman" w:eastAsia="宋体" w:hAnsi="Times New Roman"/>
                <w:color w:val="000000"/>
                <w:sz w:val="20"/>
                <w:szCs w:val="20"/>
              </w:rPr>
              <w:t>(102)</w:t>
            </w:r>
          </w:p>
        </w:tc>
        <w:tc>
          <w:tcPr>
            <w:tcW w:w="0" w:type="auto"/>
            <w:shd w:val="clear" w:color="auto" w:fill="CCEEFF"/>
            <w:tcMar>
              <w:top w:w="40" w:type="dxa"/>
              <w:bottom w:w="40" w:type="dxa"/>
              <w:right w:w="20" w:type="dxa"/>
            </w:tcMar>
            <w:vAlign w:val="center"/>
          </w:tcPr>
          <w:p w14:paraId="33DAD3D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3DC"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3DD" w14:textId="77777777" w:rsidR="004D6A64" w:rsidRDefault="00506CD6">
            <w:pPr>
              <w:jc w:val="right"/>
              <w:textAlignment w:val="center"/>
            </w:pPr>
            <w:r>
              <w:rPr>
                <w:rFonts w:ascii="Times New Roman" w:eastAsia="宋体" w:hAnsi="Times New Roman"/>
                <w:color w:val="000000"/>
                <w:sz w:val="20"/>
                <w:szCs w:val="20"/>
              </w:rPr>
              <w:t>(116)</w:t>
            </w:r>
          </w:p>
        </w:tc>
        <w:tc>
          <w:tcPr>
            <w:tcW w:w="0" w:type="auto"/>
            <w:shd w:val="clear" w:color="auto" w:fill="CCEEFF"/>
            <w:tcMar>
              <w:top w:w="40" w:type="dxa"/>
              <w:bottom w:w="40" w:type="dxa"/>
              <w:right w:w="20" w:type="dxa"/>
            </w:tcMar>
            <w:vAlign w:val="center"/>
          </w:tcPr>
          <w:p w14:paraId="33DAD3D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3D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3E0" w14:textId="77777777" w:rsidR="004D6A64" w:rsidRDefault="00506CD6">
            <w:pPr>
              <w:jc w:val="right"/>
              <w:textAlignment w:val="center"/>
            </w:pPr>
            <w:r>
              <w:rPr>
                <w:rFonts w:ascii="Times New Roman" w:eastAsia="宋体" w:hAnsi="Times New Roman"/>
                <w:color w:val="000000"/>
                <w:sz w:val="20"/>
                <w:szCs w:val="20"/>
              </w:rPr>
              <w:t>(203)</w:t>
            </w:r>
          </w:p>
        </w:tc>
        <w:tc>
          <w:tcPr>
            <w:tcW w:w="0" w:type="auto"/>
            <w:shd w:val="clear" w:color="auto" w:fill="CCEEFF"/>
            <w:tcMar>
              <w:top w:w="40" w:type="dxa"/>
              <w:bottom w:w="40" w:type="dxa"/>
              <w:right w:w="20" w:type="dxa"/>
            </w:tcMar>
            <w:vAlign w:val="center"/>
          </w:tcPr>
          <w:p w14:paraId="33DAD3E1" w14:textId="77777777" w:rsidR="004D6A64" w:rsidRDefault="004D6A64">
            <w:pPr>
              <w:jc w:val="right"/>
              <w:rPr>
                <w:rFonts w:ascii="宋体"/>
              </w:rPr>
            </w:pPr>
          </w:p>
        </w:tc>
        <w:tc>
          <w:tcPr>
            <w:tcW w:w="0" w:type="auto"/>
            <w:shd w:val="clear" w:color="auto" w:fill="auto"/>
          </w:tcPr>
          <w:p w14:paraId="33DAD3E2" w14:textId="77777777" w:rsidR="004D6A64" w:rsidRDefault="004D6A64">
            <w:pPr>
              <w:rPr>
                <w:rFonts w:ascii="宋体"/>
              </w:rPr>
            </w:pPr>
          </w:p>
        </w:tc>
        <w:tc>
          <w:tcPr>
            <w:tcW w:w="0" w:type="auto"/>
            <w:shd w:val="clear" w:color="auto" w:fill="auto"/>
          </w:tcPr>
          <w:p w14:paraId="33DAD3E3" w14:textId="77777777" w:rsidR="004D6A64" w:rsidRDefault="004D6A64">
            <w:pPr>
              <w:rPr>
                <w:rFonts w:ascii="宋体"/>
              </w:rPr>
            </w:pPr>
          </w:p>
        </w:tc>
        <w:tc>
          <w:tcPr>
            <w:tcW w:w="0" w:type="auto"/>
            <w:shd w:val="clear" w:color="auto" w:fill="auto"/>
          </w:tcPr>
          <w:p w14:paraId="33DAD3E4" w14:textId="77777777" w:rsidR="004D6A64" w:rsidRDefault="004D6A64">
            <w:pPr>
              <w:rPr>
                <w:rFonts w:ascii="宋体"/>
              </w:rPr>
            </w:pPr>
          </w:p>
        </w:tc>
        <w:tc>
          <w:tcPr>
            <w:tcW w:w="0" w:type="auto"/>
            <w:shd w:val="clear" w:color="auto" w:fill="auto"/>
          </w:tcPr>
          <w:p w14:paraId="33DAD3E5" w14:textId="77777777" w:rsidR="004D6A64" w:rsidRDefault="004D6A64">
            <w:pPr>
              <w:rPr>
                <w:rFonts w:ascii="宋体"/>
              </w:rPr>
            </w:pPr>
          </w:p>
        </w:tc>
        <w:tc>
          <w:tcPr>
            <w:tcW w:w="0" w:type="auto"/>
            <w:shd w:val="clear" w:color="auto" w:fill="auto"/>
          </w:tcPr>
          <w:p w14:paraId="33DAD3E6" w14:textId="77777777" w:rsidR="004D6A64" w:rsidRDefault="004D6A64">
            <w:pPr>
              <w:rPr>
                <w:rFonts w:ascii="宋体"/>
              </w:rPr>
            </w:pPr>
          </w:p>
        </w:tc>
        <w:tc>
          <w:tcPr>
            <w:tcW w:w="0" w:type="auto"/>
            <w:shd w:val="clear" w:color="auto" w:fill="auto"/>
          </w:tcPr>
          <w:p w14:paraId="33DAD3E7" w14:textId="77777777" w:rsidR="004D6A64" w:rsidRDefault="004D6A64">
            <w:pPr>
              <w:rPr>
                <w:rFonts w:ascii="宋体"/>
              </w:rPr>
            </w:pPr>
          </w:p>
        </w:tc>
        <w:tc>
          <w:tcPr>
            <w:tcW w:w="0" w:type="auto"/>
            <w:shd w:val="clear" w:color="auto" w:fill="auto"/>
          </w:tcPr>
          <w:p w14:paraId="33DAD3E8" w14:textId="77777777" w:rsidR="004D6A64" w:rsidRDefault="004D6A64">
            <w:pPr>
              <w:rPr>
                <w:rFonts w:ascii="宋体"/>
              </w:rPr>
            </w:pPr>
          </w:p>
        </w:tc>
        <w:tc>
          <w:tcPr>
            <w:tcW w:w="0" w:type="auto"/>
            <w:shd w:val="clear" w:color="auto" w:fill="auto"/>
          </w:tcPr>
          <w:p w14:paraId="33DAD3E9" w14:textId="77777777" w:rsidR="004D6A64" w:rsidRDefault="004D6A64">
            <w:pPr>
              <w:rPr>
                <w:rFonts w:ascii="宋体"/>
              </w:rPr>
            </w:pPr>
          </w:p>
        </w:tc>
        <w:tc>
          <w:tcPr>
            <w:tcW w:w="0" w:type="auto"/>
            <w:shd w:val="clear" w:color="auto" w:fill="auto"/>
          </w:tcPr>
          <w:p w14:paraId="33DAD3EA" w14:textId="77777777" w:rsidR="004D6A64" w:rsidRDefault="004D6A64">
            <w:pPr>
              <w:rPr>
                <w:rFonts w:ascii="宋体"/>
              </w:rPr>
            </w:pPr>
          </w:p>
        </w:tc>
        <w:tc>
          <w:tcPr>
            <w:tcW w:w="0" w:type="auto"/>
            <w:shd w:val="clear" w:color="auto" w:fill="auto"/>
          </w:tcPr>
          <w:p w14:paraId="33DAD3EB" w14:textId="77777777" w:rsidR="004D6A64" w:rsidRDefault="004D6A64">
            <w:pPr>
              <w:rPr>
                <w:rFonts w:ascii="宋体"/>
              </w:rPr>
            </w:pPr>
          </w:p>
        </w:tc>
        <w:tc>
          <w:tcPr>
            <w:tcW w:w="0" w:type="auto"/>
            <w:shd w:val="clear" w:color="auto" w:fill="auto"/>
          </w:tcPr>
          <w:p w14:paraId="33DAD3EC" w14:textId="77777777" w:rsidR="004D6A64" w:rsidRDefault="004D6A64">
            <w:pPr>
              <w:rPr>
                <w:rFonts w:ascii="宋体"/>
              </w:rPr>
            </w:pPr>
          </w:p>
        </w:tc>
        <w:tc>
          <w:tcPr>
            <w:tcW w:w="0" w:type="auto"/>
            <w:shd w:val="clear" w:color="auto" w:fill="auto"/>
          </w:tcPr>
          <w:p w14:paraId="33DAD3ED" w14:textId="77777777" w:rsidR="004D6A64" w:rsidRDefault="004D6A64">
            <w:pPr>
              <w:rPr>
                <w:rFonts w:ascii="宋体"/>
              </w:rPr>
            </w:pPr>
          </w:p>
        </w:tc>
        <w:tc>
          <w:tcPr>
            <w:tcW w:w="0" w:type="auto"/>
            <w:shd w:val="clear" w:color="auto" w:fill="auto"/>
          </w:tcPr>
          <w:p w14:paraId="33DAD3EE" w14:textId="77777777" w:rsidR="004D6A64" w:rsidRDefault="004D6A64">
            <w:pPr>
              <w:rPr>
                <w:rFonts w:ascii="宋体"/>
              </w:rPr>
            </w:pPr>
          </w:p>
        </w:tc>
        <w:tc>
          <w:tcPr>
            <w:tcW w:w="0" w:type="auto"/>
            <w:shd w:val="clear" w:color="auto" w:fill="auto"/>
          </w:tcPr>
          <w:p w14:paraId="33DAD3EF" w14:textId="77777777" w:rsidR="004D6A64" w:rsidRDefault="004D6A64">
            <w:pPr>
              <w:rPr>
                <w:rFonts w:ascii="宋体"/>
              </w:rPr>
            </w:pPr>
          </w:p>
        </w:tc>
        <w:tc>
          <w:tcPr>
            <w:tcW w:w="0" w:type="auto"/>
            <w:shd w:val="clear" w:color="auto" w:fill="auto"/>
          </w:tcPr>
          <w:p w14:paraId="33DAD3F0" w14:textId="77777777" w:rsidR="004D6A64" w:rsidRDefault="004D6A64">
            <w:pPr>
              <w:rPr>
                <w:rFonts w:ascii="宋体"/>
              </w:rPr>
            </w:pPr>
          </w:p>
        </w:tc>
        <w:tc>
          <w:tcPr>
            <w:tcW w:w="0" w:type="auto"/>
            <w:shd w:val="clear" w:color="auto" w:fill="auto"/>
          </w:tcPr>
          <w:p w14:paraId="33DAD3F1" w14:textId="77777777" w:rsidR="004D6A64" w:rsidRDefault="004D6A64">
            <w:pPr>
              <w:rPr>
                <w:rFonts w:ascii="宋体"/>
              </w:rPr>
            </w:pPr>
          </w:p>
        </w:tc>
        <w:tc>
          <w:tcPr>
            <w:tcW w:w="0" w:type="auto"/>
            <w:shd w:val="clear" w:color="auto" w:fill="auto"/>
          </w:tcPr>
          <w:p w14:paraId="33DAD3F2" w14:textId="77777777" w:rsidR="004D6A64" w:rsidRDefault="004D6A64">
            <w:pPr>
              <w:rPr>
                <w:rFonts w:ascii="宋体"/>
              </w:rPr>
            </w:pPr>
          </w:p>
        </w:tc>
        <w:tc>
          <w:tcPr>
            <w:tcW w:w="0" w:type="auto"/>
            <w:shd w:val="clear" w:color="auto" w:fill="auto"/>
          </w:tcPr>
          <w:p w14:paraId="33DAD3F3" w14:textId="77777777" w:rsidR="004D6A64" w:rsidRDefault="004D6A64">
            <w:pPr>
              <w:rPr>
                <w:rFonts w:ascii="宋体"/>
              </w:rPr>
            </w:pPr>
          </w:p>
        </w:tc>
      </w:tr>
      <w:tr w:rsidR="004D6A64" w14:paraId="33DAD413" w14:textId="77777777">
        <w:tc>
          <w:tcPr>
            <w:tcW w:w="0" w:type="auto"/>
            <w:gridSpan w:val="3"/>
            <w:shd w:val="clear" w:color="auto" w:fill="FFFFFF"/>
            <w:tcMar>
              <w:top w:w="40" w:type="dxa"/>
              <w:left w:w="225" w:type="dxa"/>
              <w:bottom w:w="40" w:type="dxa"/>
              <w:right w:w="20" w:type="dxa"/>
            </w:tcMar>
            <w:vAlign w:val="center"/>
          </w:tcPr>
          <w:p w14:paraId="33DAD3F5" w14:textId="77777777" w:rsidR="004D6A64" w:rsidRDefault="00506CD6">
            <w:pPr>
              <w:textAlignment w:val="center"/>
            </w:pPr>
            <w:r>
              <w:rPr>
                <w:rFonts w:ascii="Times New Roman" w:eastAsia="宋体" w:hAnsi="Times New Roman"/>
                <w:color w:val="000000"/>
                <w:sz w:val="20"/>
                <w:szCs w:val="20"/>
              </w:rPr>
              <w:t>Amortization of intangibles</w:t>
            </w:r>
          </w:p>
        </w:tc>
        <w:tc>
          <w:tcPr>
            <w:tcW w:w="0" w:type="auto"/>
            <w:gridSpan w:val="2"/>
            <w:shd w:val="clear" w:color="auto" w:fill="FFFFFF"/>
            <w:tcMar>
              <w:top w:w="40" w:type="dxa"/>
              <w:left w:w="20" w:type="dxa"/>
              <w:bottom w:w="40" w:type="dxa"/>
              <w:right w:w="0" w:type="dxa"/>
            </w:tcMar>
            <w:vAlign w:val="center"/>
          </w:tcPr>
          <w:p w14:paraId="33DAD3F6" w14:textId="77777777" w:rsidR="004D6A64" w:rsidRDefault="00506CD6">
            <w:pPr>
              <w:jc w:val="right"/>
              <w:textAlignment w:val="center"/>
            </w:pPr>
            <w:r>
              <w:rPr>
                <w:rFonts w:ascii="Times New Roman" w:eastAsia="宋体" w:hAnsi="Times New Roman"/>
                <w:color w:val="000000"/>
                <w:sz w:val="20"/>
                <w:szCs w:val="20"/>
              </w:rPr>
              <w:t>(847)</w:t>
            </w:r>
          </w:p>
        </w:tc>
        <w:tc>
          <w:tcPr>
            <w:tcW w:w="0" w:type="auto"/>
            <w:shd w:val="clear" w:color="auto" w:fill="FFFFFF"/>
            <w:tcMar>
              <w:top w:w="40" w:type="dxa"/>
              <w:bottom w:w="40" w:type="dxa"/>
              <w:right w:w="20" w:type="dxa"/>
            </w:tcMar>
            <w:vAlign w:val="center"/>
          </w:tcPr>
          <w:p w14:paraId="33DAD3F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3F8"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3F9" w14:textId="77777777" w:rsidR="004D6A64" w:rsidRDefault="00506CD6">
            <w:pPr>
              <w:jc w:val="right"/>
              <w:textAlignment w:val="center"/>
            </w:pPr>
            <w:r>
              <w:rPr>
                <w:rFonts w:ascii="Times New Roman" w:eastAsia="宋体" w:hAnsi="Times New Roman"/>
                <w:color w:val="000000"/>
                <w:sz w:val="20"/>
                <w:szCs w:val="20"/>
              </w:rPr>
              <w:t>(1,060)</w:t>
            </w:r>
          </w:p>
        </w:tc>
        <w:tc>
          <w:tcPr>
            <w:tcW w:w="0" w:type="auto"/>
            <w:shd w:val="clear" w:color="auto" w:fill="FFFFFF"/>
            <w:tcMar>
              <w:top w:w="40" w:type="dxa"/>
              <w:bottom w:w="40" w:type="dxa"/>
              <w:right w:w="20" w:type="dxa"/>
            </w:tcMar>
            <w:vAlign w:val="center"/>
          </w:tcPr>
          <w:p w14:paraId="33DAD3F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3FB"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3FC" w14:textId="77777777" w:rsidR="004D6A64" w:rsidRDefault="00506CD6">
            <w:pPr>
              <w:jc w:val="right"/>
              <w:textAlignment w:val="center"/>
            </w:pPr>
            <w:r>
              <w:rPr>
                <w:rFonts w:ascii="Times New Roman" w:eastAsia="宋体" w:hAnsi="Times New Roman"/>
                <w:color w:val="000000"/>
                <w:sz w:val="20"/>
                <w:szCs w:val="20"/>
              </w:rPr>
              <w:t>(1,702)</w:t>
            </w:r>
          </w:p>
        </w:tc>
        <w:tc>
          <w:tcPr>
            <w:tcW w:w="0" w:type="auto"/>
            <w:shd w:val="clear" w:color="auto" w:fill="FFFFFF"/>
            <w:tcMar>
              <w:top w:w="40" w:type="dxa"/>
              <w:bottom w:w="40" w:type="dxa"/>
              <w:right w:w="20" w:type="dxa"/>
            </w:tcMar>
            <w:vAlign w:val="center"/>
          </w:tcPr>
          <w:p w14:paraId="33DAD3F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3FE"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3FF" w14:textId="77777777" w:rsidR="004D6A64" w:rsidRDefault="00506CD6">
            <w:pPr>
              <w:jc w:val="right"/>
              <w:textAlignment w:val="center"/>
            </w:pPr>
            <w:r>
              <w:rPr>
                <w:rFonts w:ascii="Times New Roman" w:eastAsia="宋体" w:hAnsi="Times New Roman"/>
                <w:color w:val="000000"/>
                <w:sz w:val="20"/>
                <w:szCs w:val="20"/>
              </w:rPr>
              <w:t>(2,277)</w:t>
            </w:r>
          </w:p>
        </w:tc>
        <w:tc>
          <w:tcPr>
            <w:tcW w:w="0" w:type="auto"/>
            <w:shd w:val="clear" w:color="auto" w:fill="FFFFFF"/>
            <w:tcMar>
              <w:top w:w="40" w:type="dxa"/>
              <w:bottom w:w="40" w:type="dxa"/>
              <w:right w:w="20" w:type="dxa"/>
            </w:tcMar>
            <w:vAlign w:val="center"/>
          </w:tcPr>
          <w:p w14:paraId="33DAD400" w14:textId="77777777" w:rsidR="004D6A64" w:rsidRDefault="004D6A64">
            <w:pPr>
              <w:jc w:val="right"/>
              <w:rPr>
                <w:rFonts w:ascii="宋体"/>
              </w:rPr>
            </w:pPr>
          </w:p>
        </w:tc>
        <w:tc>
          <w:tcPr>
            <w:tcW w:w="0" w:type="auto"/>
            <w:shd w:val="clear" w:color="auto" w:fill="auto"/>
          </w:tcPr>
          <w:p w14:paraId="33DAD401" w14:textId="77777777" w:rsidR="004D6A64" w:rsidRDefault="004D6A64">
            <w:pPr>
              <w:rPr>
                <w:rFonts w:ascii="宋体"/>
              </w:rPr>
            </w:pPr>
          </w:p>
        </w:tc>
        <w:tc>
          <w:tcPr>
            <w:tcW w:w="0" w:type="auto"/>
            <w:shd w:val="clear" w:color="auto" w:fill="auto"/>
          </w:tcPr>
          <w:p w14:paraId="33DAD402" w14:textId="77777777" w:rsidR="004D6A64" w:rsidRDefault="004D6A64">
            <w:pPr>
              <w:rPr>
                <w:rFonts w:ascii="宋体"/>
              </w:rPr>
            </w:pPr>
          </w:p>
        </w:tc>
        <w:tc>
          <w:tcPr>
            <w:tcW w:w="0" w:type="auto"/>
            <w:shd w:val="clear" w:color="auto" w:fill="auto"/>
          </w:tcPr>
          <w:p w14:paraId="33DAD403" w14:textId="77777777" w:rsidR="004D6A64" w:rsidRDefault="004D6A64">
            <w:pPr>
              <w:rPr>
                <w:rFonts w:ascii="宋体"/>
              </w:rPr>
            </w:pPr>
          </w:p>
        </w:tc>
        <w:tc>
          <w:tcPr>
            <w:tcW w:w="0" w:type="auto"/>
            <w:shd w:val="clear" w:color="auto" w:fill="auto"/>
          </w:tcPr>
          <w:p w14:paraId="33DAD404" w14:textId="77777777" w:rsidR="004D6A64" w:rsidRDefault="004D6A64">
            <w:pPr>
              <w:rPr>
                <w:rFonts w:ascii="宋体"/>
              </w:rPr>
            </w:pPr>
          </w:p>
        </w:tc>
        <w:tc>
          <w:tcPr>
            <w:tcW w:w="0" w:type="auto"/>
            <w:shd w:val="clear" w:color="auto" w:fill="auto"/>
          </w:tcPr>
          <w:p w14:paraId="33DAD405" w14:textId="77777777" w:rsidR="004D6A64" w:rsidRDefault="004D6A64">
            <w:pPr>
              <w:rPr>
                <w:rFonts w:ascii="宋体"/>
              </w:rPr>
            </w:pPr>
          </w:p>
        </w:tc>
        <w:tc>
          <w:tcPr>
            <w:tcW w:w="0" w:type="auto"/>
            <w:shd w:val="clear" w:color="auto" w:fill="auto"/>
          </w:tcPr>
          <w:p w14:paraId="33DAD406" w14:textId="77777777" w:rsidR="004D6A64" w:rsidRDefault="004D6A64">
            <w:pPr>
              <w:rPr>
                <w:rFonts w:ascii="宋体"/>
              </w:rPr>
            </w:pPr>
          </w:p>
        </w:tc>
        <w:tc>
          <w:tcPr>
            <w:tcW w:w="0" w:type="auto"/>
            <w:shd w:val="clear" w:color="auto" w:fill="auto"/>
          </w:tcPr>
          <w:p w14:paraId="33DAD407" w14:textId="77777777" w:rsidR="004D6A64" w:rsidRDefault="004D6A64">
            <w:pPr>
              <w:rPr>
                <w:rFonts w:ascii="宋体"/>
              </w:rPr>
            </w:pPr>
          </w:p>
        </w:tc>
        <w:tc>
          <w:tcPr>
            <w:tcW w:w="0" w:type="auto"/>
            <w:shd w:val="clear" w:color="auto" w:fill="auto"/>
          </w:tcPr>
          <w:p w14:paraId="33DAD408" w14:textId="77777777" w:rsidR="004D6A64" w:rsidRDefault="004D6A64">
            <w:pPr>
              <w:rPr>
                <w:rFonts w:ascii="宋体"/>
              </w:rPr>
            </w:pPr>
          </w:p>
        </w:tc>
        <w:tc>
          <w:tcPr>
            <w:tcW w:w="0" w:type="auto"/>
            <w:shd w:val="clear" w:color="auto" w:fill="auto"/>
          </w:tcPr>
          <w:p w14:paraId="33DAD409" w14:textId="77777777" w:rsidR="004D6A64" w:rsidRDefault="004D6A64">
            <w:pPr>
              <w:rPr>
                <w:rFonts w:ascii="宋体"/>
              </w:rPr>
            </w:pPr>
          </w:p>
        </w:tc>
        <w:tc>
          <w:tcPr>
            <w:tcW w:w="0" w:type="auto"/>
            <w:shd w:val="clear" w:color="auto" w:fill="auto"/>
          </w:tcPr>
          <w:p w14:paraId="33DAD40A" w14:textId="77777777" w:rsidR="004D6A64" w:rsidRDefault="004D6A64">
            <w:pPr>
              <w:rPr>
                <w:rFonts w:ascii="宋体"/>
              </w:rPr>
            </w:pPr>
          </w:p>
        </w:tc>
        <w:tc>
          <w:tcPr>
            <w:tcW w:w="0" w:type="auto"/>
            <w:shd w:val="clear" w:color="auto" w:fill="auto"/>
          </w:tcPr>
          <w:p w14:paraId="33DAD40B" w14:textId="77777777" w:rsidR="004D6A64" w:rsidRDefault="004D6A64">
            <w:pPr>
              <w:rPr>
                <w:rFonts w:ascii="宋体"/>
              </w:rPr>
            </w:pPr>
          </w:p>
        </w:tc>
        <w:tc>
          <w:tcPr>
            <w:tcW w:w="0" w:type="auto"/>
            <w:shd w:val="clear" w:color="auto" w:fill="auto"/>
          </w:tcPr>
          <w:p w14:paraId="33DAD40C" w14:textId="77777777" w:rsidR="004D6A64" w:rsidRDefault="004D6A64">
            <w:pPr>
              <w:rPr>
                <w:rFonts w:ascii="宋体"/>
              </w:rPr>
            </w:pPr>
          </w:p>
        </w:tc>
        <w:tc>
          <w:tcPr>
            <w:tcW w:w="0" w:type="auto"/>
            <w:shd w:val="clear" w:color="auto" w:fill="auto"/>
          </w:tcPr>
          <w:p w14:paraId="33DAD40D" w14:textId="77777777" w:rsidR="004D6A64" w:rsidRDefault="004D6A64">
            <w:pPr>
              <w:rPr>
                <w:rFonts w:ascii="宋体"/>
              </w:rPr>
            </w:pPr>
          </w:p>
        </w:tc>
        <w:tc>
          <w:tcPr>
            <w:tcW w:w="0" w:type="auto"/>
            <w:shd w:val="clear" w:color="auto" w:fill="auto"/>
          </w:tcPr>
          <w:p w14:paraId="33DAD40E" w14:textId="77777777" w:rsidR="004D6A64" w:rsidRDefault="004D6A64">
            <w:pPr>
              <w:rPr>
                <w:rFonts w:ascii="宋体"/>
              </w:rPr>
            </w:pPr>
          </w:p>
        </w:tc>
        <w:tc>
          <w:tcPr>
            <w:tcW w:w="0" w:type="auto"/>
            <w:shd w:val="clear" w:color="auto" w:fill="auto"/>
          </w:tcPr>
          <w:p w14:paraId="33DAD40F" w14:textId="77777777" w:rsidR="004D6A64" w:rsidRDefault="004D6A64">
            <w:pPr>
              <w:rPr>
                <w:rFonts w:ascii="宋体"/>
              </w:rPr>
            </w:pPr>
          </w:p>
        </w:tc>
        <w:tc>
          <w:tcPr>
            <w:tcW w:w="0" w:type="auto"/>
            <w:shd w:val="clear" w:color="auto" w:fill="auto"/>
          </w:tcPr>
          <w:p w14:paraId="33DAD410" w14:textId="77777777" w:rsidR="004D6A64" w:rsidRDefault="004D6A64">
            <w:pPr>
              <w:rPr>
                <w:rFonts w:ascii="宋体"/>
              </w:rPr>
            </w:pPr>
          </w:p>
        </w:tc>
        <w:tc>
          <w:tcPr>
            <w:tcW w:w="0" w:type="auto"/>
            <w:shd w:val="clear" w:color="auto" w:fill="auto"/>
          </w:tcPr>
          <w:p w14:paraId="33DAD411" w14:textId="77777777" w:rsidR="004D6A64" w:rsidRDefault="004D6A64">
            <w:pPr>
              <w:rPr>
                <w:rFonts w:ascii="宋体"/>
              </w:rPr>
            </w:pPr>
          </w:p>
        </w:tc>
        <w:tc>
          <w:tcPr>
            <w:tcW w:w="0" w:type="auto"/>
            <w:shd w:val="clear" w:color="auto" w:fill="auto"/>
          </w:tcPr>
          <w:p w14:paraId="33DAD412" w14:textId="77777777" w:rsidR="004D6A64" w:rsidRDefault="004D6A64">
            <w:pPr>
              <w:rPr>
                <w:rFonts w:ascii="宋体"/>
              </w:rPr>
            </w:pPr>
          </w:p>
        </w:tc>
      </w:tr>
      <w:tr w:rsidR="004D6A64" w14:paraId="33DAD432" w14:textId="77777777">
        <w:tc>
          <w:tcPr>
            <w:tcW w:w="0" w:type="auto"/>
            <w:gridSpan w:val="3"/>
            <w:shd w:val="clear" w:color="auto" w:fill="CCEEFF"/>
            <w:tcMar>
              <w:top w:w="40" w:type="dxa"/>
              <w:left w:w="225" w:type="dxa"/>
              <w:bottom w:w="40" w:type="dxa"/>
              <w:right w:w="20" w:type="dxa"/>
            </w:tcMar>
            <w:vAlign w:val="center"/>
          </w:tcPr>
          <w:p w14:paraId="33DAD414" w14:textId="77777777" w:rsidR="004D6A64" w:rsidRDefault="00506CD6">
            <w:pPr>
              <w:textAlignment w:val="center"/>
            </w:pPr>
            <w:r>
              <w:rPr>
                <w:rFonts w:ascii="Times New Roman" w:eastAsia="宋体" w:hAnsi="Times New Roman"/>
                <w:color w:val="000000"/>
                <w:sz w:val="20"/>
                <w:szCs w:val="20"/>
              </w:rPr>
              <w:t>Transaction-related expenses (d)</w:t>
            </w:r>
          </w:p>
        </w:tc>
        <w:tc>
          <w:tcPr>
            <w:tcW w:w="0" w:type="auto"/>
            <w:gridSpan w:val="2"/>
            <w:shd w:val="clear" w:color="auto" w:fill="CCEEFF"/>
            <w:tcMar>
              <w:top w:w="40" w:type="dxa"/>
              <w:left w:w="20" w:type="dxa"/>
              <w:bottom w:w="40" w:type="dxa"/>
              <w:right w:w="0" w:type="dxa"/>
            </w:tcMar>
            <w:vAlign w:val="center"/>
          </w:tcPr>
          <w:p w14:paraId="33DAD415" w14:textId="77777777" w:rsidR="004D6A64" w:rsidRDefault="00506CD6">
            <w:pPr>
              <w:jc w:val="right"/>
              <w:textAlignment w:val="center"/>
            </w:pPr>
            <w:r>
              <w:rPr>
                <w:rFonts w:ascii="Times New Roman" w:eastAsia="宋体" w:hAnsi="Times New Roman"/>
                <w:color w:val="000000"/>
                <w:sz w:val="20"/>
                <w:szCs w:val="20"/>
              </w:rPr>
              <w:t>(83)</w:t>
            </w:r>
          </w:p>
        </w:tc>
        <w:tc>
          <w:tcPr>
            <w:tcW w:w="0" w:type="auto"/>
            <w:shd w:val="clear" w:color="auto" w:fill="CCEEFF"/>
            <w:tcMar>
              <w:top w:w="40" w:type="dxa"/>
              <w:bottom w:w="40" w:type="dxa"/>
              <w:right w:w="20" w:type="dxa"/>
            </w:tcMar>
            <w:vAlign w:val="center"/>
          </w:tcPr>
          <w:p w14:paraId="33DAD41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417"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418" w14:textId="77777777" w:rsidR="004D6A64" w:rsidRDefault="00506CD6">
            <w:pPr>
              <w:jc w:val="right"/>
              <w:textAlignment w:val="center"/>
            </w:pPr>
            <w:r>
              <w:rPr>
                <w:rFonts w:ascii="Times New Roman" w:eastAsia="宋体" w:hAnsi="Times New Roman"/>
                <w:color w:val="000000"/>
                <w:sz w:val="20"/>
                <w:szCs w:val="20"/>
              </w:rPr>
              <w:t>(47)</w:t>
            </w:r>
          </w:p>
        </w:tc>
        <w:tc>
          <w:tcPr>
            <w:tcW w:w="0" w:type="auto"/>
            <w:shd w:val="clear" w:color="auto" w:fill="CCEEFF"/>
            <w:tcMar>
              <w:top w:w="40" w:type="dxa"/>
              <w:bottom w:w="40" w:type="dxa"/>
              <w:right w:w="20" w:type="dxa"/>
            </w:tcMar>
            <w:vAlign w:val="center"/>
          </w:tcPr>
          <w:p w14:paraId="33DAD419"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41A"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41B" w14:textId="77777777" w:rsidR="004D6A64" w:rsidRDefault="00506CD6">
            <w:pPr>
              <w:jc w:val="right"/>
              <w:textAlignment w:val="center"/>
            </w:pPr>
            <w:r>
              <w:rPr>
                <w:rFonts w:ascii="Times New Roman" w:eastAsia="宋体" w:hAnsi="Times New Roman"/>
                <w:color w:val="000000"/>
                <w:sz w:val="20"/>
                <w:szCs w:val="20"/>
              </w:rPr>
              <w:t>(159)</w:t>
            </w:r>
          </w:p>
        </w:tc>
        <w:tc>
          <w:tcPr>
            <w:tcW w:w="0" w:type="auto"/>
            <w:shd w:val="clear" w:color="auto" w:fill="CCEEFF"/>
            <w:tcMar>
              <w:top w:w="40" w:type="dxa"/>
              <w:bottom w:w="40" w:type="dxa"/>
              <w:right w:w="20" w:type="dxa"/>
            </w:tcMar>
            <w:vAlign w:val="center"/>
          </w:tcPr>
          <w:p w14:paraId="33DAD41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41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41E" w14:textId="77777777" w:rsidR="004D6A64" w:rsidRDefault="00506CD6">
            <w:pPr>
              <w:jc w:val="right"/>
              <w:textAlignment w:val="center"/>
            </w:pPr>
            <w:r>
              <w:rPr>
                <w:rFonts w:ascii="Times New Roman" w:eastAsia="宋体" w:hAnsi="Times New Roman"/>
                <w:color w:val="000000"/>
                <w:sz w:val="20"/>
                <w:szCs w:val="20"/>
              </w:rPr>
              <w:t>(89)</w:t>
            </w:r>
          </w:p>
        </w:tc>
        <w:tc>
          <w:tcPr>
            <w:tcW w:w="0" w:type="auto"/>
            <w:shd w:val="clear" w:color="auto" w:fill="CCEEFF"/>
            <w:tcMar>
              <w:top w:w="40" w:type="dxa"/>
              <w:bottom w:w="40" w:type="dxa"/>
              <w:right w:w="20" w:type="dxa"/>
            </w:tcMar>
            <w:vAlign w:val="center"/>
          </w:tcPr>
          <w:p w14:paraId="33DAD41F" w14:textId="77777777" w:rsidR="004D6A64" w:rsidRDefault="004D6A64">
            <w:pPr>
              <w:jc w:val="right"/>
              <w:rPr>
                <w:rFonts w:ascii="宋体"/>
              </w:rPr>
            </w:pPr>
          </w:p>
        </w:tc>
        <w:tc>
          <w:tcPr>
            <w:tcW w:w="0" w:type="auto"/>
            <w:shd w:val="clear" w:color="auto" w:fill="auto"/>
          </w:tcPr>
          <w:p w14:paraId="33DAD420" w14:textId="77777777" w:rsidR="004D6A64" w:rsidRDefault="004D6A64">
            <w:pPr>
              <w:rPr>
                <w:rFonts w:ascii="宋体"/>
              </w:rPr>
            </w:pPr>
          </w:p>
        </w:tc>
        <w:tc>
          <w:tcPr>
            <w:tcW w:w="0" w:type="auto"/>
            <w:shd w:val="clear" w:color="auto" w:fill="auto"/>
          </w:tcPr>
          <w:p w14:paraId="33DAD421" w14:textId="77777777" w:rsidR="004D6A64" w:rsidRDefault="004D6A64">
            <w:pPr>
              <w:rPr>
                <w:rFonts w:ascii="宋体"/>
              </w:rPr>
            </w:pPr>
          </w:p>
        </w:tc>
        <w:tc>
          <w:tcPr>
            <w:tcW w:w="0" w:type="auto"/>
            <w:shd w:val="clear" w:color="auto" w:fill="auto"/>
          </w:tcPr>
          <w:p w14:paraId="33DAD422" w14:textId="77777777" w:rsidR="004D6A64" w:rsidRDefault="004D6A64">
            <w:pPr>
              <w:rPr>
                <w:rFonts w:ascii="宋体"/>
              </w:rPr>
            </w:pPr>
          </w:p>
        </w:tc>
        <w:tc>
          <w:tcPr>
            <w:tcW w:w="0" w:type="auto"/>
            <w:shd w:val="clear" w:color="auto" w:fill="auto"/>
          </w:tcPr>
          <w:p w14:paraId="33DAD423" w14:textId="77777777" w:rsidR="004D6A64" w:rsidRDefault="004D6A64">
            <w:pPr>
              <w:rPr>
                <w:rFonts w:ascii="宋体"/>
              </w:rPr>
            </w:pPr>
          </w:p>
        </w:tc>
        <w:tc>
          <w:tcPr>
            <w:tcW w:w="0" w:type="auto"/>
            <w:shd w:val="clear" w:color="auto" w:fill="auto"/>
          </w:tcPr>
          <w:p w14:paraId="33DAD424" w14:textId="77777777" w:rsidR="004D6A64" w:rsidRDefault="004D6A64">
            <w:pPr>
              <w:rPr>
                <w:rFonts w:ascii="宋体"/>
              </w:rPr>
            </w:pPr>
          </w:p>
        </w:tc>
        <w:tc>
          <w:tcPr>
            <w:tcW w:w="0" w:type="auto"/>
            <w:shd w:val="clear" w:color="auto" w:fill="auto"/>
          </w:tcPr>
          <w:p w14:paraId="33DAD425" w14:textId="77777777" w:rsidR="004D6A64" w:rsidRDefault="004D6A64">
            <w:pPr>
              <w:rPr>
                <w:rFonts w:ascii="宋体"/>
              </w:rPr>
            </w:pPr>
          </w:p>
        </w:tc>
        <w:tc>
          <w:tcPr>
            <w:tcW w:w="0" w:type="auto"/>
            <w:shd w:val="clear" w:color="auto" w:fill="auto"/>
          </w:tcPr>
          <w:p w14:paraId="33DAD426" w14:textId="77777777" w:rsidR="004D6A64" w:rsidRDefault="004D6A64">
            <w:pPr>
              <w:rPr>
                <w:rFonts w:ascii="宋体"/>
              </w:rPr>
            </w:pPr>
          </w:p>
        </w:tc>
        <w:tc>
          <w:tcPr>
            <w:tcW w:w="0" w:type="auto"/>
            <w:shd w:val="clear" w:color="auto" w:fill="auto"/>
          </w:tcPr>
          <w:p w14:paraId="33DAD427" w14:textId="77777777" w:rsidR="004D6A64" w:rsidRDefault="004D6A64">
            <w:pPr>
              <w:rPr>
                <w:rFonts w:ascii="宋体"/>
              </w:rPr>
            </w:pPr>
          </w:p>
        </w:tc>
        <w:tc>
          <w:tcPr>
            <w:tcW w:w="0" w:type="auto"/>
            <w:shd w:val="clear" w:color="auto" w:fill="auto"/>
          </w:tcPr>
          <w:p w14:paraId="33DAD428" w14:textId="77777777" w:rsidR="004D6A64" w:rsidRDefault="004D6A64">
            <w:pPr>
              <w:rPr>
                <w:rFonts w:ascii="宋体"/>
              </w:rPr>
            </w:pPr>
          </w:p>
        </w:tc>
        <w:tc>
          <w:tcPr>
            <w:tcW w:w="0" w:type="auto"/>
            <w:shd w:val="clear" w:color="auto" w:fill="auto"/>
          </w:tcPr>
          <w:p w14:paraId="33DAD429" w14:textId="77777777" w:rsidR="004D6A64" w:rsidRDefault="004D6A64">
            <w:pPr>
              <w:rPr>
                <w:rFonts w:ascii="宋体"/>
              </w:rPr>
            </w:pPr>
          </w:p>
        </w:tc>
        <w:tc>
          <w:tcPr>
            <w:tcW w:w="0" w:type="auto"/>
            <w:shd w:val="clear" w:color="auto" w:fill="auto"/>
          </w:tcPr>
          <w:p w14:paraId="33DAD42A" w14:textId="77777777" w:rsidR="004D6A64" w:rsidRDefault="004D6A64">
            <w:pPr>
              <w:rPr>
                <w:rFonts w:ascii="宋体"/>
              </w:rPr>
            </w:pPr>
          </w:p>
        </w:tc>
        <w:tc>
          <w:tcPr>
            <w:tcW w:w="0" w:type="auto"/>
            <w:shd w:val="clear" w:color="auto" w:fill="auto"/>
          </w:tcPr>
          <w:p w14:paraId="33DAD42B" w14:textId="77777777" w:rsidR="004D6A64" w:rsidRDefault="004D6A64">
            <w:pPr>
              <w:rPr>
                <w:rFonts w:ascii="宋体"/>
              </w:rPr>
            </w:pPr>
          </w:p>
        </w:tc>
        <w:tc>
          <w:tcPr>
            <w:tcW w:w="0" w:type="auto"/>
            <w:shd w:val="clear" w:color="auto" w:fill="auto"/>
          </w:tcPr>
          <w:p w14:paraId="33DAD42C" w14:textId="77777777" w:rsidR="004D6A64" w:rsidRDefault="004D6A64">
            <w:pPr>
              <w:rPr>
                <w:rFonts w:ascii="宋体"/>
              </w:rPr>
            </w:pPr>
          </w:p>
        </w:tc>
        <w:tc>
          <w:tcPr>
            <w:tcW w:w="0" w:type="auto"/>
            <w:shd w:val="clear" w:color="auto" w:fill="auto"/>
          </w:tcPr>
          <w:p w14:paraId="33DAD42D" w14:textId="77777777" w:rsidR="004D6A64" w:rsidRDefault="004D6A64">
            <w:pPr>
              <w:rPr>
                <w:rFonts w:ascii="宋体"/>
              </w:rPr>
            </w:pPr>
          </w:p>
        </w:tc>
        <w:tc>
          <w:tcPr>
            <w:tcW w:w="0" w:type="auto"/>
            <w:shd w:val="clear" w:color="auto" w:fill="auto"/>
          </w:tcPr>
          <w:p w14:paraId="33DAD42E" w14:textId="77777777" w:rsidR="004D6A64" w:rsidRDefault="004D6A64">
            <w:pPr>
              <w:rPr>
                <w:rFonts w:ascii="宋体"/>
              </w:rPr>
            </w:pPr>
          </w:p>
        </w:tc>
        <w:tc>
          <w:tcPr>
            <w:tcW w:w="0" w:type="auto"/>
            <w:shd w:val="clear" w:color="auto" w:fill="auto"/>
          </w:tcPr>
          <w:p w14:paraId="33DAD42F" w14:textId="77777777" w:rsidR="004D6A64" w:rsidRDefault="004D6A64">
            <w:pPr>
              <w:rPr>
                <w:rFonts w:ascii="宋体"/>
              </w:rPr>
            </w:pPr>
          </w:p>
        </w:tc>
        <w:tc>
          <w:tcPr>
            <w:tcW w:w="0" w:type="auto"/>
            <w:shd w:val="clear" w:color="auto" w:fill="auto"/>
          </w:tcPr>
          <w:p w14:paraId="33DAD430" w14:textId="77777777" w:rsidR="004D6A64" w:rsidRDefault="004D6A64">
            <w:pPr>
              <w:rPr>
                <w:rFonts w:ascii="宋体"/>
              </w:rPr>
            </w:pPr>
          </w:p>
        </w:tc>
        <w:tc>
          <w:tcPr>
            <w:tcW w:w="0" w:type="auto"/>
            <w:shd w:val="clear" w:color="auto" w:fill="auto"/>
          </w:tcPr>
          <w:p w14:paraId="33DAD431" w14:textId="77777777" w:rsidR="004D6A64" w:rsidRDefault="004D6A64">
            <w:pPr>
              <w:rPr>
                <w:rFonts w:ascii="宋体"/>
              </w:rPr>
            </w:pPr>
          </w:p>
        </w:tc>
      </w:tr>
      <w:tr w:rsidR="004D6A64" w14:paraId="33DAD451" w14:textId="77777777">
        <w:tc>
          <w:tcPr>
            <w:tcW w:w="0" w:type="auto"/>
            <w:gridSpan w:val="3"/>
            <w:shd w:val="clear" w:color="auto" w:fill="FFFFFF"/>
            <w:tcMar>
              <w:top w:w="40" w:type="dxa"/>
              <w:left w:w="225" w:type="dxa"/>
              <w:bottom w:w="40" w:type="dxa"/>
              <w:right w:w="20" w:type="dxa"/>
            </w:tcMar>
            <w:vAlign w:val="center"/>
          </w:tcPr>
          <w:p w14:paraId="33DAD433" w14:textId="77777777" w:rsidR="004D6A64" w:rsidRDefault="00506CD6">
            <w:pPr>
              <w:textAlignment w:val="center"/>
            </w:pPr>
            <w:r>
              <w:rPr>
                <w:rFonts w:ascii="Times New Roman" w:eastAsia="宋体" w:hAnsi="Times New Roman"/>
                <w:color w:val="000000"/>
                <w:sz w:val="20"/>
                <w:szCs w:val="20"/>
              </w:rPr>
              <w:t>Stock-based compensation expense (e)</w:t>
            </w:r>
          </w:p>
        </w:tc>
        <w:tc>
          <w:tcPr>
            <w:tcW w:w="0" w:type="auto"/>
            <w:gridSpan w:val="2"/>
            <w:shd w:val="clear" w:color="auto" w:fill="FFFFFF"/>
            <w:tcMar>
              <w:top w:w="40" w:type="dxa"/>
              <w:left w:w="20" w:type="dxa"/>
              <w:bottom w:w="40" w:type="dxa"/>
              <w:right w:w="0" w:type="dxa"/>
            </w:tcMar>
            <w:vAlign w:val="center"/>
          </w:tcPr>
          <w:p w14:paraId="33DAD434" w14:textId="77777777" w:rsidR="004D6A64" w:rsidRDefault="00506CD6">
            <w:pPr>
              <w:jc w:val="right"/>
              <w:textAlignment w:val="center"/>
            </w:pPr>
            <w:r>
              <w:rPr>
                <w:rFonts w:ascii="Times New Roman" w:eastAsia="宋体" w:hAnsi="Times New Roman"/>
                <w:color w:val="000000"/>
                <w:sz w:val="20"/>
                <w:szCs w:val="20"/>
              </w:rPr>
              <w:t>(413)</w:t>
            </w:r>
          </w:p>
        </w:tc>
        <w:tc>
          <w:tcPr>
            <w:tcW w:w="0" w:type="auto"/>
            <w:shd w:val="clear" w:color="auto" w:fill="FFFFFF"/>
            <w:tcMar>
              <w:top w:w="40" w:type="dxa"/>
              <w:bottom w:w="40" w:type="dxa"/>
              <w:right w:w="20" w:type="dxa"/>
            </w:tcMar>
            <w:vAlign w:val="center"/>
          </w:tcPr>
          <w:p w14:paraId="33DAD43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43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437" w14:textId="77777777" w:rsidR="004D6A64" w:rsidRDefault="00506CD6">
            <w:pPr>
              <w:jc w:val="right"/>
              <w:textAlignment w:val="center"/>
            </w:pPr>
            <w:r>
              <w:rPr>
                <w:rFonts w:ascii="Times New Roman" w:eastAsia="宋体" w:hAnsi="Times New Roman"/>
                <w:color w:val="000000"/>
                <w:sz w:val="20"/>
                <w:szCs w:val="20"/>
              </w:rPr>
              <w:t>(301)</w:t>
            </w:r>
          </w:p>
        </w:tc>
        <w:tc>
          <w:tcPr>
            <w:tcW w:w="0" w:type="auto"/>
            <w:shd w:val="clear" w:color="auto" w:fill="FFFFFF"/>
            <w:tcMar>
              <w:top w:w="40" w:type="dxa"/>
              <w:bottom w:w="40" w:type="dxa"/>
              <w:right w:w="20" w:type="dxa"/>
            </w:tcMar>
            <w:vAlign w:val="center"/>
          </w:tcPr>
          <w:p w14:paraId="33DAD43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439"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43A" w14:textId="77777777" w:rsidR="004D6A64" w:rsidRDefault="00506CD6">
            <w:pPr>
              <w:jc w:val="right"/>
              <w:textAlignment w:val="center"/>
            </w:pPr>
            <w:r>
              <w:rPr>
                <w:rFonts w:ascii="Times New Roman" w:eastAsia="宋体" w:hAnsi="Times New Roman"/>
                <w:color w:val="000000"/>
                <w:sz w:val="20"/>
                <w:szCs w:val="20"/>
              </w:rPr>
              <w:t>(783)</w:t>
            </w:r>
          </w:p>
        </w:tc>
        <w:tc>
          <w:tcPr>
            <w:tcW w:w="0" w:type="auto"/>
            <w:shd w:val="clear" w:color="auto" w:fill="FFFFFF"/>
            <w:tcMar>
              <w:top w:w="40" w:type="dxa"/>
              <w:bottom w:w="40" w:type="dxa"/>
              <w:right w:w="20" w:type="dxa"/>
            </w:tcMar>
            <w:vAlign w:val="center"/>
          </w:tcPr>
          <w:p w14:paraId="33DAD43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43C"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43D" w14:textId="77777777" w:rsidR="004D6A64" w:rsidRDefault="00506CD6">
            <w:pPr>
              <w:jc w:val="right"/>
              <w:textAlignment w:val="center"/>
            </w:pPr>
            <w:r>
              <w:rPr>
                <w:rFonts w:ascii="Times New Roman" w:eastAsia="宋体" w:hAnsi="Times New Roman"/>
                <w:color w:val="000000"/>
                <w:sz w:val="20"/>
                <w:szCs w:val="20"/>
              </w:rPr>
              <w:t>(564)</w:t>
            </w:r>
          </w:p>
        </w:tc>
        <w:tc>
          <w:tcPr>
            <w:tcW w:w="0" w:type="auto"/>
            <w:shd w:val="clear" w:color="auto" w:fill="FFFFFF"/>
            <w:tcMar>
              <w:top w:w="40" w:type="dxa"/>
              <w:bottom w:w="40" w:type="dxa"/>
              <w:right w:w="20" w:type="dxa"/>
            </w:tcMar>
            <w:vAlign w:val="center"/>
          </w:tcPr>
          <w:p w14:paraId="33DAD43E" w14:textId="77777777" w:rsidR="004D6A64" w:rsidRDefault="004D6A64">
            <w:pPr>
              <w:jc w:val="right"/>
              <w:rPr>
                <w:rFonts w:ascii="宋体"/>
              </w:rPr>
            </w:pPr>
          </w:p>
        </w:tc>
        <w:tc>
          <w:tcPr>
            <w:tcW w:w="0" w:type="auto"/>
            <w:shd w:val="clear" w:color="auto" w:fill="auto"/>
          </w:tcPr>
          <w:p w14:paraId="33DAD43F" w14:textId="77777777" w:rsidR="004D6A64" w:rsidRDefault="004D6A64">
            <w:pPr>
              <w:rPr>
                <w:rFonts w:ascii="宋体"/>
              </w:rPr>
            </w:pPr>
          </w:p>
        </w:tc>
        <w:tc>
          <w:tcPr>
            <w:tcW w:w="0" w:type="auto"/>
            <w:shd w:val="clear" w:color="auto" w:fill="auto"/>
          </w:tcPr>
          <w:p w14:paraId="33DAD440" w14:textId="77777777" w:rsidR="004D6A64" w:rsidRDefault="004D6A64">
            <w:pPr>
              <w:rPr>
                <w:rFonts w:ascii="宋体"/>
              </w:rPr>
            </w:pPr>
          </w:p>
        </w:tc>
        <w:tc>
          <w:tcPr>
            <w:tcW w:w="0" w:type="auto"/>
            <w:shd w:val="clear" w:color="auto" w:fill="auto"/>
          </w:tcPr>
          <w:p w14:paraId="33DAD441" w14:textId="77777777" w:rsidR="004D6A64" w:rsidRDefault="004D6A64">
            <w:pPr>
              <w:rPr>
                <w:rFonts w:ascii="宋体"/>
              </w:rPr>
            </w:pPr>
          </w:p>
        </w:tc>
        <w:tc>
          <w:tcPr>
            <w:tcW w:w="0" w:type="auto"/>
            <w:shd w:val="clear" w:color="auto" w:fill="auto"/>
          </w:tcPr>
          <w:p w14:paraId="33DAD442" w14:textId="77777777" w:rsidR="004D6A64" w:rsidRDefault="004D6A64">
            <w:pPr>
              <w:rPr>
                <w:rFonts w:ascii="宋体"/>
              </w:rPr>
            </w:pPr>
          </w:p>
        </w:tc>
        <w:tc>
          <w:tcPr>
            <w:tcW w:w="0" w:type="auto"/>
            <w:shd w:val="clear" w:color="auto" w:fill="auto"/>
          </w:tcPr>
          <w:p w14:paraId="33DAD443" w14:textId="77777777" w:rsidR="004D6A64" w:rsidRDefault="004D6A64">
            <w:pPr>
              <w:rPr>
                <w:rFonts w:ascii="宋体"/>
              </w:rPr>
            </w:pPr>
          </w:p>
        </w:tc>
        <w:tc>
          <w:tcPr>
            <w:tcW w:w="0" w:type="auto"/>
            <w:shd w:val="clear" w:color="auto" w:fill="auto"/>
          </w:tcPr>
          <w:p w14:paraId="33DAD444" w14:textId="77777777" w:rsidR="004D6A64" w:rsidRDefault="004D6A64">
            <w:pPr>
              <w:rPr>
                <w:rFonts w:ascii="宋体"/>
              </w:rPr>
            </w:pPr>
          </w:p>
        </w:tc>
        <w:tc>
          <w:tcPr>
            <w:tcW w:w="0" w:type="auto"/>
            <w:shd w:val="clear" w:color="auto" w:fill="auto"/>
          </w:tcPr>
          <w:p w14:paraId="33DAD445" w14:textId="77777777" w:rsidR="004D6A64" w:rsidRDefault="004D6A64">
            <w:pPr>
              <w:rPr>
                <w:rFonts w:ascii="宋体"/>
              </w:rPr>
            </w:pPr>
          </w:p>
        </w:tc>
        <w:tc>
          <w:tcPr>
            <w:tcW w:w="0" w:type="auto"/>
            <w:shd w:val="clear" w:color="auto" w:fill="auto"/>
          </w:tcPr>
          <w:p w14:paraId="33DAD446" w14:textId="77777777" w:rsidR="004D6A64" w:rsidRDefault="004D6A64">
            <w:pPr>
              <w:rPr>
                <w:rFonts w:ascii="宋体"/>
              </w:rPr>
            </w:pPr>
          </w:p>
        </w:tc>
        <w:tc>
          <w:tcPr>
            <w:tcW w:w="0" w:type="auto"/>
            <w:shd w:val="clear" w:color="auto" w:fill="auto"/>
          </w:tcPr>
          <w:p w14:paraId="33DAD447" w14:textId="77777777" w:rsidR="004D6A64" w:rsidRDefault="004D6A64">
            <w:pPr>
              <w:rPr>
                <w:rFonts w:ascii="宋体"/>
              </w:rPr>
            </w:pPr>
          </w:p>
        </w:tc>
        <w:tc>
          <w:tcPr>
            <w:tcW w:w="0" w:type="auto"/>
            <w:shd w:val="clear" w:color="auto" w:fill="auto"/>
          </w:tcPr>
          <w:p w14:paraId="33DAD448" w14:textId="77777777" w:rsidR="004D6A64" w:rsidRDefault="004D6A64">
            <w:pPr>
              <w:rPr>
                <w:rFonts w:ascii="宋体"/>
              </w:rPr>
            </w:pPr>
          </w:p>
        </w:tc>
        <w:tc>
          <w:tcPr>
            <w:tcW w:w="0" w:type="auto"/>
            <w:shd w:val="clear" w:color="auto" w:fill="auto"/>
          </w:tcPr>
          <w:p w14:paraId="33DAD449" w14:textId="77777777" w:rsidR="004D6A64" w:rsidRDefault="004D6A64">
            <w:pPr>
              <w:rPr>
                <w:rFonts w:ascii="宋体"/>
              </w:rPr>
            </w:pPr>
          </w:p>
        </w:tc>
        <w:tc>
          <w:tcPr>
            <w:tcW w:w="0" w:type="auto"/>
            <w:shd w:val="clear" w:color="auto" w:fill="auto"/>
          </w:tcPr>
          <w:p w14:paraId="33DAD44A" w14:textId="77777777" w:rsidR="004D6A64" w:rsidRDefault="004D6A64">
            <w:pPr>
              <w:rPr>
                <w:rFonts w:ascii="宋体"/>
              </w:rPr>
            </w:pPr>
          </w:p>
        </w:tc>
        <w:tc>
          <w:tcPr>
            <w:tcW w:w="0" w:type="auto"/>
            <w:shd w:val="clear" w:color="auto" w:fill="auto"/>
          </w:tcPr>
          <w:p w14:paraId="33DAD44B" w14:textId="77777777" w:rsidR="004D6A64" w:rsidRDefault="004D6A64">
            <w:pPr>
              <w:rPr>
                <w:rFonts w:ascii="宋体"/>
              </w:rPr>
            </w:pPr>
          </w:p>
        </w:tc>
        <w:tc>
          <w:tcPr>
            <w:tcW w:w="0" w:type="auto"/>
            <w:shd w:val="clear" w:color="auto" w:fill="auto"/>
          </w:tcPr>
          <w:p w14:paraId="33DAD44C" w14:textId="77777777" w:rsidR="004D6A64" w:rsidRDefault="004D6A64">
            <w:pPr>
              <w:rPr>
                <w:rFonts w:ascii="宋体"/>
              </w:rPr>
            </w:pPr>
          </w:p>
        </w:tc>
        <w:tc>
          <w:tcPr>
            <w:tcW w:w="0" w:type="auto"/>
            <w:shd w:val="clear" w:color="auto" w:fill="auto"/>
          </w:tcPr>
          <w:p w14:paraId="33DAD44D" w14:textId="77777777" w:rsidR="004D6A64" w:rsidRDefault="004D6A64">
            <w:pPr>
              <w:rPr>
                <w:rFonts w:ascii="宋体"/>
              </w:rPr>
            </w:pPr>
          </w:p>
        </w:tc>
        <w:tc>
          <w:tcPr>
            <w:tcW w:w="0" w:type="auto"/>
            <w:shd w:val="clear" w:color="auto" w:fill="auto"/>
          </w:tcPr>
          <w:p w14:paraId="33DAD44E" w14:textId="77777777" w:rsidR="004D6A64" w:rsidRDefault="004D6A64">
            <w:pPr>
              <w:rPr>
                <w:rFonts w:ascii="宋体"/>
              </w:rPr>
            </w:pPr>
          </w:p>
        </w:tc>
        <w:tc>
          <w:tcPr>
            <w:tcW w:w="0" w:type="auto"/>
            <w:shd w:val="clear" w:color="auto" w:fill="auto"/>
          </w:tcPr>
          <w:p w14:paraId="33DAD44F" w14:textId="77777777" w:rsidR="004D6A64" w:rsidRDefault="004D6A64">
            <w:pPr>
              <w:rPr>
                <w:rFonts w:ascii="宋体"/>
              </w:rPr>
            </w:pPr>
          </w:p>
        </w:tc>
        <w:tc>
          <w:tcPr>
            <w:tcW w:w="0" w:type="auto"/>
            <w:shd w:val="clear" w:color="auto" w:fill="auto"/>
          </w:tcPr>
          <w:p w14:paraId="33DAD450" w14:textId="77777777" w:rsidR="004D6A64" w:rsidRDefault="004D6A64">
            <w:pPr>
              <w:rPr>
                <w:rFonts w:ascii="宋体"/>
              </w:rPr>
            </w:pPr>
          </w:p>
        </w:tc>
      </w:tr>
      <w:tr w:rsidR="004D6A64" w14:paraId="33DAD470" w14:textId="77777777">
        <w:tc>
          <w:tcPr>
            <w:tcW w:w="0" w:type="auto"/>
            <w:gridSpan w:val="3"/>
            <w:shd w:val="clear" w:color="auto" w:fill="CCEEFF"/>
            <w:tcMar>
              <w:top w:w="40" w:type="dxa"/>
              <w:left w:w="225" w:type="dxa"/>
              <w:bottom w:w="40" w:type="dxa"/>
              <w:right w:w="20" w:type="dxa"/>
            </w:tcMar>
            <w:vAlign w:val="center"/>
          </w:tcPr>
          <w:p w14:paraId="33DAD452" w14:textId="77777777" w:rsidR="004D6A64" w:rsidRDefault="00506CD6">
            <w:pPr>
              <w:textAlignment w:val="center"/>
            </w:pPr>
            <w:r>
              <w:rPr>
                <w:rFonts w:ascii="Times New Roman" w:eastAsia="宋体" w:hAnsi="Times New Roman"/>
                <w:color w:val="000000"/>
                <w:sz w:val="20"/>
                <w:szCs w:val="20"/>
              </w:rPr>
              <w:t>Other corporate expenses (f)</w:t>
            </w:r>
          </w:p>
        </w:tc>
        <w:tc>
          <w:tcPr>
            <w:tcW w:w="0" w:type="auto"/>
            <w:gridSpan w:val="2"/>
            <w:shd w:val="clear" w:color="auto" w:fill="CCEEFF"/>
            <w:tcMar>
              <w:top w:w="40" w:type="dxa"/>
              <w:left w:w="20" w:type="dxa"/>
              <w:bottom w:w="40" w:type="dxa"/>
              <w:right w:w="0" w:type="dxa"/>
            </w:tcMar>
            <w:vAlign w:val="center"/>
          </w:tcPr>
          <w:p w14:paraId="33DAD453" w14:textId="77777777" w:rsidR="004D6A64" w:rsidRDefault="00506CD6">
            <w:pPr>
              <w:jc w:val="right"/>
              <w:textAlignment w:val="center"/>
            </w:pPr>
            <w:r>
              <w:rPr>
                <w:rFonts w:ascii="Times New Roman" w:eastAsia="宋体" w:hAnsi="Times New Roman"/>
                <w:color w:val="000000"/>
                <w:sz w:val="20"/>
                <w:szCs w:val="20"/>
              </w:rPr>
              <w:t>(86)</w:t>
            </w:r>
          </w:p>
        </w:tc>
        <w:tc>
          <w:tcPr>
            <w:tcW w:w="0" w:type="auto"/>
            <w:shd w:val="clear" w:color="auto" w:fill="CCEEFF"/>
            <w:tcMar>
              <w:top w:w="40" w:type="dxa"/>
              <w:bottom w:w="40" w:type="dxa"/>
              <w:right w:w="20" w:type="dxa"/>
            </w:tcMar>
            <w:vAlign w:val="center"/>
          </w:tcPr>
          <w:p w14:paraId="33DAD45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45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456" w14:textId="77777777" w:rsidR="004D6A64" w:rsidRDefault="00506CD6">
            <w:pPr>
              <w:jc w:val="right"/>
              <w:textAlignment w:val="center"/>
            </w:pPr>
            <w:r>
              <w:rPr>
                <w:rFonts w:ascii="Times New Roman" w:eastAsia="宋体" w:hAnsi="Times New Roman"/>
                <w:color w:val="000000"/>
                <w:sz w:val="20"/>
                <w:szCs w:val="20"/>
              </w:rPr>
              <w:t>(714)</w:t>
            </w:r>
          </w:p>
        </w:tc>
        <w:tc>
          <w:tcPr>
            <w:tcW w:w="0" w:type="auto"/>
            <w:shd w:val="clear" w:color="auto" w:fill="CCEEFF"/>
            <w:tcMar>
              <w:top w:w="40" w:type="dxa"/>
              <w:bottom w:w="40" w:type="dxa"/>
              <w:right w:w="20" w:type="dxa"/>
            </w:tcMar>
            <w:vAlign w:val="center"/>
          </w:tcPr>
          <w:p w14:paraId="33DAD45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458"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459" w14:textId="77777777" w:rsidR="004D6A64" w:rsidRDefault="00506CD6">
            <w:pPr>
              <w:jc w:val="right"/>
              <w:textAlignment w:val="center"/>
            </w:pPr>
            <w:r>
              <w:rPr>
                <w:rFonts w:ascii="Times New Roman" w:eastAsia="宋体" w:hAnsi="Times New Roman"/>
                <w:color w:val="000000"/>
                <w:sz w:val="20"/>
                <w:szCs w:val="20"/>
              </w:rPr>
              <w:t>(181)</w:t>
            </w:r>
          </w:p>
        </w:tc>
        <w:tc>
          <w:tcPr>
            <w:tcW w:w="0" w:type="auto"/>
            <w:shd w:val="clear" w:color="auto" w:fill="CCEEFF"/>
            <w:tcMar>
              <w:top w:w="40" w:type="dxa"/>
              <w:bottom w:w="40" w:type="dxa"/>
              <w:right w:w="20" w:type="dxa"/>
            </w:tcMar>
            <w:vAlign w:val="center"/>
          </w:tcPr>
          <w:p w14:paraId="33DAD45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45B"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45C" w14:textId="77777777" w:rsidR="004D6A64" w:rsidRDefault="00506CD6">
            <w:pPr>
              <w:jc w:val="right"/>
              <w:textAlignment w:val="center"/>
            </w:pPr>
            <w:r>
              <w:rPr>
                <w:rFonts w:ascii="Times New Roman" w:eastAsia="宋体" w:hAnsi="Times New Roman"/>
                <w:color w:val="000000"/>
                <w:sz w:val="20"/>
                <w:szCs w:val="20"/>
              </w:rPr>
              <w:t>(737)</w:t>
            </w:r>
          </w:p>
        </w:tc>
        <w:tc>
          <w:tcPr>
            <w:tcW w:w="0" w:type="auto"/>
            <w:shd w:val="clear" w:color="auto" w:fill="CCEEFF"/>
            <w:tcMar>
              <w:top w:w="40" w:type="dxa"/>
              <w:bottom w:w="40" w:type="dxa"/>
              <w:right w:w="20" w:type="dxa"/>
            </w:tcMar>
            <w:vAlign w:val="center"/>
          </w:tcPr>
          <w:p w14:paraId="33DAD45D" w14:textId="77777777" w:rsidR="004D6A64" w:rsidRDefault="004D6A64">
            <w:pPr>
              <w:jc w:val="right"/>
              <w:rPr>
                <w:rFonts w:ascii="宋体"/>
              </w:rPr>
            </w:pPr>
          </w:p>
        </w:tc>
        <w:tc>
          <w:tcPr>
            <w:tcW w:w="0" w:type="auto"/>
            <w:shd w:val="clear" w:color="auto" w:fill="auto"/>
          </w:tcPr>
          <w:p w14:paraId="33DAD45E" w14:textId="77777777" w:rsidR="004D6A64" w:rsidRDefault="004D6A64">
            <w:pPr>
              <w:rPr>
                <w:rFonts w:ascii="宋体"/>
              </w:rPr>
            </w:pPr>
          </w:p>
        </w:tc>
        <w:tc>
          <w:tcPr>
            <w:tcW w:w="0" w:type="auto"/>
            <w:shd w:val="clear" w:color="auto" w:fill="auto"/>
          </w:tcPr>
          <w:p w14:paraId="33DAD45F" w14:textId="77777777" w:rsidR="004D6A64" w:rsidRDefault="004D6A64">
            <w:pPr>
              <w:rPr>
                <w:rFonts w:ascii="宋体"/>
              </w:rPr>
            </w:pPr>
          </w:p>
        </w:tc>
        <w:tc>
          <w:tcPr>
            <w:tcW w:w="0" w:type="auto"/>
            <w:shd w:val="clear" w:color="auto" w:fill="auto"/>
          </w:tcPr>
          <w:p w14:paraId="33DAD460" w14:textId="77777777" w:rsidR="004D6A64" w:rsidRDefault="004D6A64">
            <w:pPr>
              <w:rPr>
                <w:rFonts w:ascii="宋体"/>
              </w:rPr>
            </w:pPr>
          </w:p>
        </w:tc>
        <w:tc>
          <w:tcPr>
            <w:tcW w:w="0" w:type="auto"/>
            <w:shd w:val="clear" w:color="auto" w:fill="auto"/>
          </w:tcPr>
          <w:p w14:paraId="33DAD461" w14:textId="77777777" w:rsidR="004D6A64" w:rsidRDefault="004D6A64">
            <w:pPr>
              <w:rPr>
                <w:rFonts w:ascii="宋体"/>
              </w:rPr>
            </w:pPr>
          </w:p>
        </w:tc>
        <w:tc>
          <w:tcPr>
            <w:tcW w:w="0" w:type="auto"/>
            <w:shd w:val="clear" w:color="auto" w:fill="auto"/>
          </w:tcPr>
          <w:p w14:paraId="33DAD462" w14:textId="77777777" w:rsidR="004D6A64" w:rsidRDefault="004D6A64">
            <w:pPr>
              <w:rPr>
                <w:rFonts w:ascii="宋体"/>
              </w:rPr>
            </w:pPr>
          </w:p>
        </w:tc>
        <w:tc>
          <w:tcPr>
            <w:tcW w:w="0" w:type="auto"/>
            <w:shd w:val="clear" w:color="auto" w:fill="auto"/>
          </w:tcPr>
          <w:p w14:paraId="33DAD463" w14:textId="77777777" w:rsidR="004D6A64" w:rsidRDefault="004D6A64">
            <w:pPr>
              <w:rPr>
                <w:rFonts w:ascii="宋体"/>
              </w:rPr>
            </w:pPr>
          </w:p>
        </w:tc>
        <w:tc>
          <w:tcPr>
            <w:tcW w:w="0" w:type="auto"/>
            <w:shd w:val="clear" w:color="auto" w:fill="auto"/>
          </w:tcPr>
          <w:p w14:paraId="33DAD464" w14:textId="77777777" w:rsidR="004D6A64" w:rsidRDefault="004D6A64">
            <w:pPr>
              <w:rPr>
                <w:rFonts w:ascii="宋体"/>
              </w:rPr>
            </w:pPr>
          </w:p>
        </w:tc>
        <w:tc>
          <w:tcPr>
            <w:tcW w:w="0" w:type="auto"/>
            <w:shd w:val="clear" w:color="auto" w:fill="auto"/>
          </w:tcPr>
          <w:p w14:paraId="33DAD465" w14:textId="77777777" w:rsidR="004D6A64" w:rsidRDefault="004D6A64">
            <w:pPr>
              <w:rPr>
                <w:rFonts w:ascii="宋体"/>
              </w:rPr>
            </w:pPr>
          </w:p>
        </w:tc>
        <w:tc>
          <w:tcPr>
            <w:tcW w:w="0" w:type="auto"/>
            <w:shd w:val="clear" w:color="auto" w:fill="auto"/>
          </w:tcPr>
          <w:p w14:paraId="33DAD466" w14:textId="77777777" w:rsidR="004D6A64" w:rsidRDefault="004D6A64">
            <w:pPr>
              <w:rPr>
                <w:rFonts w:ascii="宋体"/>
              </w:rPr>
            </w:pPr>
          </w:p>
        </w:tc>
        <w:tc>
          <w:tcPr>
            <w:tcW w:w="0" w:type="auto"/>
            <w:shd w:val="clear" w:color="auto" w:fill="auto"/>
          </w:tcPr>
          <w:p w14:paraId="33DAD467" w14:textId="77777777" w:rsidR="004D6A64" w:rsidRDefault="004D6A64">
            <w:pPr>
              <w:rPr>
                <w:rFonts w:ascii="宋体"/>
              </w:rPr>
            </w:pPr>
          </w:p>
        </w:tc>
        <w:tc>
          <w:tcPr>
            <w:tcW w:w="0" w:type="auto"/>
            <w:shd w:val="clear" w:color="auto" w:fill="auto"/>
          </w:tcPr>
          <w:p w14:paraId="33DAD468" w14:textId="77777777" w:rsidR="004D6A64" w:rsidRDefault="004D6A64">
            <w:pPr>
              <w:rPr>
                <w:rFonts w:ascii="宋体"/>
              </w:rPr>
            </w:pPr>
          </w:p>
        </w:tc>
        <w:tc>
          <w:tcPr>
            <w:tcW w:w="0" w:type="auto"/>
            <w:shd w:val="clear" w:color="auto" w:fill="auto"/>
          </w:tcPr>
          <w:p w14:paraId="33DAD469" w14:textId="77777777" w:rsidR="004D6A64" w:rsidRDefault="004D6A64">
            <w:pPr>
              <w:rPr>
                <w:rFonts w:ascii="宋体"/>
              </w:rPr>
            </w:pPr>
          </w:p>
        </w:tc>
        <w:tc>
          <w:tcPr>
            <w:tcW w:w="0" w:type="auto"/>
            <w:shd w:val="clear" w:color="auto" w:fill="auto"/>
          </w:tcPr>
          <w:p w14:paraId="33DAD46A" w14:textId="77777777" w:rsidR="004D6A64" w:rsidRDefault="004D6A64">
            <w:pPr>
              <w:rPr>
                <w:rFonts w:ascii="宋体"/>
              </w:rPr>
            </w:pPr>
          </w:p>
        </w:tc>
        <w:tc>
          <w:tcPr>
            <w:tcW w:w="0" w:type="auto"/>
            <w:shd w:val="clear" w:color="auto" w:fill="auto"/>
          </w:tcPr>
          <w:p w14:paraId="33DAD46B" w14:textId="77777777" w:rsidR="004D6A64" w:rsidRDefault="004D6A64">
            <w:pPr>
              <w:rPr>
                <w:rFonts w:ascii="宋体"/>
              </w:rPr>
            </w:pPr>
          </w:p>
        </w:tc>
        <w:tc>
          <w:tcPr>
            <w:tcW w:w="0" w:type="auto"/>
            <w:shd w:val="clear" w:color="auto" w:fill="auto"/>
          </w:tcPr>
          <w:p w14:paraId="33DAD46C" w14:textId="77777777" w:rsidR="004D6A64" w:rsidRDefault="004D6A64">
            <w:pPr>
              <w:rPr>
                <w:rFonts w:ascii="宋体"/>
              </w:rPr>
            </w:pPr>
          </w:p>
        </w:tc>
        <w:tc>
          <w:tcPr>
            <w:tcW w:w="0" w:type="auto"/>
            <w:shd w:val="clear" w:color="auto" w:fill="auto"/>
          </w:tcPr>
          <w:p w14:paraId="33DAD46D" w14:textId="77777777" w:rsidR="004D6A64" w:rsidRDefault="004D6A64">
            <w:pPr>
              <w:rPr>
                <w:rFonts w:ascii="宋体"/>
              </w:rPr>
            </w:pPr>
          </w:p>
        </w:tc>
        <w:tc>
          <w:tcPr>
            <w:tcW w:w="0" w:type="auto"/>
            <w:shd w:val="clear" w:color="auto" w:fill="auto"/>
          </w:tcPr>
          <w:p w14:paraId="33DAD46E" w14:textId="77777777" w:rsidR="004D6A64" w:rsidRDefault="004D6A64">
            <w:pPr>
              <w:rPr>
                <w:rFonts w:ascii="宋体"/>
              </w:rPr>
            </w:pPr>
          </w:p>
        </w:tc>
        <w:tc>
          <w:tcPr>
            <w:tcW w:w="0" w:type="auto"/>
            <w:shd w:val="clear" w:color="auto" w:fill="auto"/>
          </w:tcPr>
          <w:p w14:paraId="33DAD46F" w14:textId="77777777" w:rsidR="004D6A64" w:rsidRDefault="004D6A64">
            <w:pPr>
              <w:rPr>
                <w:rFonts w:ascii="宋体"/>
              </w:rPr>
            </w:pPr>
          </w:p>
        </w:tc>
      </w:tr>
      <w:tr w:rsidR="004D6A64" w14:paraId="33DAD493" w14:textId="77777777">
        <w:tc>
          <w:tcPr>
            <w:tcW w:w="0" w:type="auto"/>
            <w:gridSpan w:val="3"/>
            <w:shd w:val="clear" w:color="auto" w:fill="FFFFFF"/>
            <w:tcMar>
              <w:top w:w="40" w:type="dxa"/>
              <w:left w:w="360" w:type="dxa"/>
              <w:bottom w:w="40" w:type="dxa"/>
              <w:right w:w="20" w:type="dxa"/>
            </w:tcMar>
            <w:vAlign w:val="center"/>
          </w:tcPr>
          <w:p w14:paraId="33DAD471" w14:textId="77777777" w:rsidR="004D6A64" w:rsidRDefault="00506CD6">
            <w:pPr>
              <w:textAlignment w:val="center"/>
            </w:pPr>
            <w:r>
              <w:rPr>
                <w:rFonts w:ascii="Times New Roman" w:eastAsia="宋体" w:hAnsi="Times New Roman"/>
                <w:color w:val="000000"/>
                <w:sz w:val="20"/>
                <w:szCs w:val="20"/>
              </w:rPr>
              <w:t>Total consolidated operating income</w:t>
            </w: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D472"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D473" w14:textId="77777777" w:rsidR="004D6A64" w:rsidRDefault="00506CD6">
            <w:pPr>
              <w:jc w:val="right"/>
              <w:textAlignment w:val="center"/>
            </w:pPr>
            <w:r>
              <w:rPr>
                <w:rFonts w:ascii="Times New Roman" w:eastAsia="宋体" w:hAnsi="Times New Roman"/>
                <w:color w:val="000000"/>
                <w:sz w:val="20"/>
                <w:szCs w:val="20"/>
              </w:rPr>
              <w:t>1,136 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D47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475"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D476"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D477" w14:textId="77777777" w:rsidR="004D6A64" w:rsidRDefault="00506CD6">
            <w:pPr>
              <w:jc w:val="right"/>
              <w:textAlignment w:val="center"/>
            </w:pPr>
            <w:r>
              <w:rPr>
                <w:rFonts w:ascii="Times New Roman" w:eastAsia="宋体" w:hAnsi="Times New Roman"/>
                <w:color w:val="000000"/>
                <w:sz w:val="20"/>
                <w:szCs w:val="20"/>
              </w:rPr>
              <w:t>519 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D47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479"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D47A"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D47B" w14:textId="77777777" w:rsidR="004D6A64" w:rsidRDefault="00506CD6">
            <w:pPr>
              <w:jc w:val="right"/>
              <w:textAlignment w:val="center"/>
            </w:pPr>
            <w:r>
              <w:rPr>
                <w:rFonts w:ascii="Times New Roman" w:eastAsia="宋体" w:hAnsi="Times New Roman"/>
                <w:color w:val="000000"/>
                <w:sz w:val="20"/>
                <w:szCs w:val="20"/>
              </w:rPr>
              <w:t>1,838 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D47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47D"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D47E"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D47F" w14:textId="77777777" w:rsidR="004D6A64" w:rsidRDefault="00506CD6">
            <w:pPr>
              <w:jc w:val="right"/>
              <w:textAlignment w:val="center"/>
            </w:pPr>
            <w:r>
              <w:rPr>
                <w:rFonts w:ascii="Times New Roman" w:eastAsia="宋体" w:hAnsi="Times New Roman"/>
                <w:color w:val="000000"/>
                <w:sz w:val="20"/>
                <w:szCs w:val="20"/>
              </w:rPr>
              <w:t>1,069 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D480" w14:textId="77777777" w:rsidR="004D6A64" w:rsidRDefault="004D6A64">
            <w:pPr>
              <w:jc w:val="right"/>
              <w:rPr>
                <w:rFonts w:ascii="宋体"/>
              </w:rPr>
            </w:pPr>
          </w:p>
        </w:tc>
        <w:tc>
          <w:tcPr>
            <w:tcW w:w="0" w:type="auto"/>
            <w:shd w:val="clear" w:color="auto" w:fill="auto"/>
          </w:tcPr>
          <w:p w14:paraId="33DAD481" w14:textId="77777777" w:rsidR="004D6A64" w:rsidRDefault="004D6A64">
            <w:pPr>
              <w:rPr>
                <w:rFonts w:ascii="宋体"/>
              </w:rPr>
            </w:pPr>
          </w:p>
        </w:tc>
        <w:tc>
          <w:tcPr>
            <w:tcW w:w="0" w:type="auto"/>
            <w:shd w:val="clear" w:color="auto" w:fill="auto"/>
          </w:tcPr>
          <w:p w14:paraId="33DAD482" w14:textId="77777777" w:rsidR="004D6A64" w:rsidRDefault="004D6A64">
            <w:pPr>
              <w:rPr>
                <w:rFonts w:ascii="宋体"/>
              </w:rPr>
            </w:pPr>
          </w:p>
        </w:tc>
        <w:tc>
          <w:tcPr>
            <w:tcW w:w="0" w:type="auto"/>
            <w:shd w:val="clear" w:color="auto" w:fill="auto"/>
          </w:tcPr>
          <w:p w14:paraId="33DAD483" w14:textId="77777777" w:rsidR="004D6A64" w:rsidRDefault="004D6A64">
            <w:pPr>
              <w:rPr>
                <w:rFonts w:ascii="宋体"/>
              </w:rPr>
            </w:pPr>
          </w:p>
        </w:tc>
        <w:tc>
          <w:tcPr>
            <w:tcW w:w="0" w:type="auto"/>
            <w:shd w:val="clear" w:color="auto" w:fill="auto"/>
          </w:tcPr>
          <w:p w14:paraId="33DAD484" w14:textId="77777777" w:rsidR="004D6A64" w:rsidRDefault="004D6A64">
            <w:pPr>
              <w:rPr>
                <w:rFonts w:ascii="宋体"/>
              </w:rPr>
            </w:pPr>
          </w:p>
        </w:tc>
        <w:tc>
          <w:tcPr>
            <w:tcW w:w="0" w:type="auto"/>
            <w:shd w:val="clear" w:color="auto" w:fill="auto"/>
          </w:tcPr>
          <w:p w14:paraId="33DAD485" w14:textId="77777777" w:rsidR="004D6A64" w:rsidRDefault="004D6A64">
            <w:pPr>
              <w:rPr>
                <w:rFonts w:ascii="宋体"/>
              </w:rPr>
            </w:pPr>
          </w:p>
        </w:tc>
        <w:tc>
          <w:tcPr>
            <w:tcW w:w="0" w:type="auto"/>
            <w:shd w:val="clear" w:color="auto" w:fill="auto"/>
          </w:tcPr>
          <w:p w14:paraId="33DAD486" w14:textId="77777777" w:rsidR="004D6A64" w:rsidRDefault="004D6A64">
            <w:pPr>
              <w:rPr>
                <w:rFonts w:ascii="宋体"/>
              </w:rPr>
            </w:pPr>
          </w:p>
        </w:tc>
        <w:tc>
          <w:tcPr>
            <w:tcW w:w="0" w:type="auto"/>
            <w:shd w:val="clear" w:color="auto" w:fill="auto"/>
          </w:tcPr>
          <w:p w14:paraId="33DAD487" w14:textId="77777777" w:rsidR="004D6A64" w:rsidRDefault="004D6A64">
            <w:pPr>
              <w:rPr>
                <w:rFonts w:ascii="宋体"/>
              </w:rPr>
            </w:pPr>
          </w:p>
        </w:tc>
        <w:tc>
          <w:tcPr>
            <w:tcW w:w="0" w:type="auto"/>
            <w:shd w:val="clear" w:color="auto" w:fill="auto"/>
          </w:tcPr>
          <w:p w14:paraId="33DAD488" w14:textId="77777777" w:rsidR="004D6A64" w:rsidRDefault="004D6A64">
            <w:pPr>
              <w:rPr>
                <w:rFonts w:ascii="宋体"/>
              </w:rPr>
            </w:pPr>
          </w:p>
        </w:tc>
        <w:tc>
          <w:tcPr>
            <w:tcW w:w="0" w:type="auto"/>
            <w:shd w:val="clear" w:color="auto" w:fill="auto"/>
          </w:tcPr>
          <w:p w14:paraId="33DAD489" w14:textId="77777777" w:rsidR="004D6A64" w:rsidRDefault="004D6A64">
            <w:pPr>
              <w:rPr>
                <w:rFonts w:ascii="宋体"/>
              </w:rPr>
            </w:pPr>
          </w:p>
        </w:tc>
        <w:tc>
          <w:tcPr>
            <w:tcW w:w="0" w:type="auto"/>
            <w:shd w:val="clear" w:color="auto" w:fill="auto"/>
          </w:tcPr>
          <w:p w14:paraId="33DAD48A" w14:textId="77777777" w:rsidR="004D6A64" w:rsidRDefault="004D6A64">
            <w:pPr>
              <w:rPr>
                <w:rFonts w:ascii="宋体"/>
              </w:rPr>
            </w:pPr>
          </w:p>
        </w:tc>
        <w:tc>
          <w:tcPr>
            <w:tcW w:w="0" w:type="auto"/>
            <w:shd w:val="clear" w:color="auto" w:fill="auto"/>
          </w:tcPr>
          <w:p w14:paraId="33DAD48B" w14:textId="77777777" w:rsidR="004D6A64" w:rsidRDefault="004D6A64">
            <w:pPr>
              <w:rPr>
                <w:rFonts w:ascii="宋体"/>
              </w:rPr>
            </w:pPr>
          </w:p>
        </w:tc>
        <w:tc>
          <w:tcPr>
            <w:tcW w:w="0" w:type="auto"/>
            <w:shd w:val="clear" w:color="auto" w:fill="auto"/>
          </w:tcPr>
          <w:p w14:paraId="33DAD48C" w14:textId="77777777" w:rsidR="004D6A64" w:rsidRDefault="004D6A64">
            <w:pPr>
              <w:rPr>
                <w:rFonts w:ascii="宋体"/>
              </w:rPr>
            </w:pPr>
          </w:p>
        </w:tc>
        <w:tc>
          <w:tcPr>
            <w:tcW w:w="0" w:type="auto"/>
            <w:shd w:val="clear" w:color="auto" w:fill="auto"/>
          </w:tcPr>
          <w:p w14:paraId="33DAD48D" w14:textId="77777777" w:rsidR="004D6A64" w:rsidRDefault="004D6A64">
            <w:pPr>
              <w:rPr>
                <w:rFonts w:ascii="宋体"/>
              </w:rPr>
            </w:pPr>
          </w:p>
        </w:tc>
        <w:tc>
          <w:tcPr>
            <w:tcW w:w="0" w:type="auto"/>
            <w:shd w:val="clear" w:color="auto" w:fill="auto"/>
          </w:tcPr>
          <w:p w14:paraId="33DAD48E" w14:textId="77777777" w:rsidR="004D6A64" w:rsidRDefault="004D6A64">
            <w:pPr>
              <w:rPr>
                <w:rFonts w:ascii="宋体"/>
              </w:rPr>
            </w:pPr>
          </w:p>
        </w:tc>
        <w:tc>
          <w:tcPr>
            <w:tcW w:w="0" w:type="auto"/>
            <w:shd w:val="clear" w:color="auto" w:fill="auto"/>
          </w:tcPr>
          <w:p w14:paraId="33DAD48F" w14:textId="77777777" w:rsidR="004D6A64" w:rsidRDefault="004D6A64">
            <w:pPr>
              <w:rPr>
                <w:rFonts w:ascii="宋体"/>
              </w:rPr>
            </w:pPr>
          </w:p>
        </w:tc>
        <w:tc>
          <w:tcPr>
            <w:tcW w:w="0" w:type="auto"/>
            <w:shd w:val="clear" w:color="auto" w:fill="auto"/>
          </w:tcPr>
          <w:p w14:paraId="33DAD490" w14:textId="77777777" w:rsidR="004D6A64" w:rsidRDefault="004D6A64">
            <w:pPr>
              <w:rPr>
                <w:rFonts w:ascii="宋体"/>
              </w:rPr>
            </w:pPr>
          </w:p>
        </w:tc>
        <w:tc>
          <w:tcPr>
            <w:tcW w:w="0" w:type="auto"/>
            <w:shd w:val="clear" w:color="auto" w:fill="auto"/>
          </w:tcPr>
          <w:p w14:paraId="33DAD491" w14:textId="77777777" w:rsidR="004D6A64" w:rsidRDefault="004D6A64">
            <w:pPr>
              <w:rPr>
                <w:rFonts w:ascii="宋体"/>
              </w:rPr>
            </w:pPr>
          </w:p>
        </w:tc>
        <w:tc>
          <w:tcPr>
            <w:tcW w:w="0" w:type="auto"/>
            <w:shd w:val="clear" w:color="auto" w:fill="auto"/>
          </w:tcPr>
          <w:p w14:paraId="33DAD492" w14:textId="77777777" w:rsidR="004D6A64" w:rsidRDefault="004D6A64">
            <w:pPr>
              <w:rPr>
                <w:rFonts w:ascii="宋体"/>
              </w:rPr>
            </w:pPr>
          </w:p>
        </w:tc>
      </w:tr>
    </w:tbl>
    <w:p w14:paraId="33DAD494" w14:textId="77777777" w:rsidR="004D6A64" w:rsidRDefault="00506CD6">
      <w:r>
        <w:rPr>
          <w:rFonts w:ascii="Times New Roman" w:eastAsia="宋体" w:hAnsi="Times New Roman"/>
          <w:color w:val="000000"/>
          <w:sz w:val="20"/>
          <w:szCs w:val="20"/>
        </w:rPr>
        <w:t>____________________</w:t>
      </w:r>
    </w:p>
    <w:p w14:paraId="33DAD495" w14:textId="77777777" w:rsidR="004D6A64" w:rsidRDefault="00506CD6">
      <w:pPr>
        <w:pBdr>
          <w:left w:val="none" w:sz="0" w:space="0" w:color="auto"/>
        </w:pBdr>
        <w:ind w:hanging="360"/>
      </w:pPr>
      <w:r>
        <w:rPr>
          <w:rFonts w:ascii="Times New Roman" w:eastAsia="宋体" w:hAnsi="Times New Roman"/>
          <w:color w:val="000000"/>
          <w:sz w:val="20"/>
          <w:szCs w:val="20"/>
        </w:rPr>
        <w:t>(a)Secureworks, RSA Se</w:t>
      </w:r>
      <w:r>
        <w:rPr>
          <w:rFonts w:ascii="Times New Roman" w:eastAsia="宋体" w:hAnsi="Times New Roman"/>
          <w:color w:val="000000"/>
          <w:sz w:val="20"/>
          <w:szCs w:val="20"/>
        </w:rPr>
        <w:t>curity, Virtustream, and Boomi constitute “Other businesses” and do not meet the requirements for a reportable segment, either individually or collectively. The results of Other businesses are not material to the Company’s overall results.</w:t>
      </w:r>
    </w:p>
    <w:p w14:paraId="33DAD496" w14:textId="77777777" w:rsidR="004D6A64" w:rsidRDefault="00506CD6">
      <w:pPr>
        <w:pBdr>
          <w:left w:val="none" w:sz="0" w:space="0" w:color="auto"/>
        </w:pBdr>
        <w:ind w:hanging="360"/>
      </w:pPr>
      <w:r>
        <w:rPr>
          <w:rFonts w:ascii="Times New Roman" w:eastAsia="宋体" w:hAnsi="Times New Roman"/>
          <w:color w:val="000000"/>
          <w:sz w:val="20"/>
          <w:szCs w:val="20"/>
        </w:rPr>
        <w:t>(b)Unallocated t</w:t>
      </w:r>
      <w:r>
        <w:rPr>
          <w:rFonts w:ascii="Times New Roman" w:eastAsia="宋体" w:hAnsi="Times New Roman"/>
          <w:color w:val="000000"/>
          <w:sz w:val="20"/>
          <w:szCs w:val="20"/>
        </w:rPr>
        <w:t>ransactions includes other corporate items that are not allocated to Dell Technologies’ reportable segments.</w:t>
      </w:r>
    </w:p>
    <w:p w14:paraId="33DAD497" w14:textId="77777777" w:rsidR="004D6A64" w:rsidRDefault="00506CD6">
      <w:pPr>
        <w:pBdr>
          <w:left w:val="none" w:sz="0" w:space="0" w:color="auto"/>
        </w:pBdr>
        <w:ind w:hanging="360"/>
      </w:pPr>
      <w:r>
        <w:rPr>
          <w:rFonts w:ascii="Times New Roman" w:eastAsia="宋体" w:hAnsi="Times New Roman"/>
          <w:color w:val="000000"/>
          <w:sz w:val="20"/>
          <w:szCs w:val="20"/>
        </w:rPr>
        <w:t>(c)Impact of purchase accounting includes non-cash purchase accounting adjustments that are primarily related to the EMC merger transaction.</w:t>
      </w:r>
    </w:p>
    <w:p w14:paraId="33DAD498" w14:textId="77777777" w:rsidR="004D6A64" w:rsidRDefault="00506CD6">
      <w:pPr>
        <w:pBdr>
          <w:left w:val="none" w:sz="0" w:space="0" w:color="auto"/>
        </w:pBdr>
        <w:ind w:hanging="360"/>
      </w:pPr>
      <w:r>
        <w:rPr>
          <w:rFonts w:ascii="Times New Roman" w:eastAsia="宋体" w:hAnsi="Times New Roman"/>
          <w:color w:val="000000"/>
          <w:sz w:val="20"/>
          <w:szCs w:val="20"/>
        </w:rPr>
        <w:t>(d)Tra</w:t>
      </w:r>
      <w:r>
        <w:rPr>
          <w:rFonts w:ascii="Times New Roman" w:eastAsia="宋体" w:hAnsi="Times New Roman"/>
          <w:color w:val="000000"/>
          <w:sz w:val="20"/>
          <w:szCs w:val="20"/>
        </w:rPr>
        <w:t>nsaction-related expenses includes acquisition, integration, and divestiture related costs.</w:t>
      </w:r>
    </w:p>
    <w:p w14:paraId="33DAD499" w14:textId="77777777" w:rsidR="004D6A64" w:rsidRDefault="00506CD6">
      <w:pPr>
        <w:pBdr>
          <w:left w:val="none" w:sz="0" w:space="0" w:color="auto"/>
        </w:pBdr>
        <w:ind w:hanging="360"/>
      </w:pPr>
      <w:r>
        <w:rPr>
          <w:rFonts w:ascii="Times New Roman" w:eastAsia="宋体" w:hAnsi="Times New Roman"/>
          <w:color w:val="000000"/>
          <w:sz w:val="20"/>
          <w:szCs w:val="20"/>
        </w:rPr>
        <w:t xml:space="preserve">(e)Stock-based compensation expense consists of equity awards granted based on the estimated fair value of those awards at grant date. </w:t>
      </w:r>
    </w:p>
    <w:p w14:paraId="33DAD49A" w14:textId="77777777" w:rsidR="004D6A64" w:rsidRDefault="00506CD6">
      <w:pPr>
        <w:pBdr>
          <w:left w:val="none" w:sz="0" w:space="0" w:color="auto"/>
        </w:pBdr>
        <w:ind w:hanging="360"/>
      </w:pPr>
      <w:r>
        <w:rPr>
          <w:rFonts w:ascii="Times New Roman" w:eastAsia="宋体" w:hAnsi="Times New Roman"/>
          <w:color w:val="000000"/>
          <w:sz w:val="20"/>
          <w:szCs w:val="20"/>
        </w:rPr>
        <w:t xml:space="preserve">(f)Other corporate expenses </w:t>
      </w:r>
      <w:r>
        <w:rPr>
          <w:rFonts w:ascii="Times New Roman" w:eastAsia="宋体" w:hAnsi="Times New Roman"/>
          <w:color w:val="000000"/>
          <w:sz w:val="20"/>
          <w:szCs w:val="20"/>
        </w:rPr>
        <w:t>includes impairment charges, severance, facility action, and other costs. During the second quarter and first six months of Fiscal 2020, this category includes Virtustream gross impairment charges of $619 million.</w:t>
      </w:r>
    </w:p>
    <w:p w14:paraId="33DAD49B" w14:textId="77777777" w:rsidR="004D6A64" w:rsidRDefault="004D6A64"/>
    <w:p w14:paraId="33DAD49C" w14:textId="77777777" w:rsidR="004D6A64" w:rsidRDefault="004D6A64">
      <w:pPr>
        <w:jc w:val="center"/>
      </w:pPr>
    </w:p>
    <w:p w14:paraId="33DAD49D" w14:textId="77777777" w:rsidR="004D6A64" w:rsidRDefault="00506CD6">
      <w:pPr>
        <w:jc w:val="center"/>
      </w:pPr>
      <w:r>
        <w:rPr>
          <w:rFonts w:ascii="Times New Roman" w:eastAsia="宋体" w:hAnsi="Times New Roman"/>
          <w:color w:val="000000"/>
          <w:sz w:val="20"/>
          <w:szCs w:val="20"/>
        </w:rPr>
        <w:t>59</w:t>
      </w:r>
    </w:p>
    <w:p w14:paraId="33DAD49E" w14:textId="77777777" w:rsidR="004D6A64" w:rsidRDefault="004D6A64">
      <w:pPr>
        <w:jc w:val="center"/>
      </w:pPr>
    </w:p>
    <w:p w14:paraId="33DAD49F" w14:textId="77777777" w:rsidR="004D6A64" w:rsidRDefault="00506CD6">
      <w:r>
        <w:pict w14:anchorId="33DAFAFF">
          <v:rect id="_x0000_i1083" style="width:415.3pt;height:1.5pt" o:hralign="center" o:hrstd="t" o:hr="t" fillcolor="#a0a0a0" stroked="f"/>
        </w:pict>
      </w:r>
    </w:p>
    <w:p w14:paraId="33DAD4A0" w14:textId="77777777" w:rsidR="004D6A64" w:rsidRDefault="00506CD6">
      <w:hyperlink r:id="rId182" w:anchor="if3e0e1bf9ecd4bf69551d7a85f98d64a_10" w:history="1">
        <w:r>
          <w:rPr>
            <w:rStyle w:val="a5"/>
            <w:rFonts w:ascii="Times New Roman" w:eastAsia="宋体" w:hAnsi="Times New Roman"/>
            <w:sz w:val="20"/>
            <w:szCs w:val="20"/>
          </w:rPr>
          <w:t>Table of Contents</w:t>
        </w:r>
      </w:hyperlink>
    </w:p>
    <w:p w14:paraId="33DAD4A1"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D4A2"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33DAD4A3"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D4A4" w14:textId="77777777" w:rsidR="004D6A64" w:rsidRDefault="004D6A64">
      <w:pPr>
        <w:jc w:val="center"/>
      </w:pPr>
    </w:p>
    <w:p w14:paraId="33DAD4A5" w14:textId="77777777" w:rsidR="004D6A64" w:rsidRDefault="00506CD6">
      <w:pPr>
        <w:spacing w:before="120"/>
      </w:pPr>
      <w:r>
        <w:rPr>
          <w:rFonts w:ascii="Times New Roman" w:eastAsia="宋体" w:hAnsi="Times New Roman"/>
          <w:color w:val="000000"/>
          <w:sz w:val="20"/>
          <w:szCs w:val="20"/>
        </w:rPr>
        <w:t>The following table presents the disaggregation of net revenue by reportable segment, and by major product categories within the segments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3130"/>
        <w:gridCol w:w="37"/>
        <w:gridCol w:w="135"/>
        <w:gridCol w:w="863"/>
        <w:gridCol w:w="41"/>
        <w:gridCol w:w="36"/>
        <w:gridCol w:w="36"/>
        <w:gridCol w:w="36"/>
        <w:gridCol w:w="135"/>
        <w:gridCol w:w="863"/>
        <w:gridCol w:w="41"/>
        <w:gridCol w:w="36"/>
        <w:gridCol w:w="36"/>
        <w:gridCol w:w="36"/>
        <w:gridCol w:w="135"/>
        <w:gridCol w:w="863"/>
        <w:gridCol w:w="41"/>
        <w:gridCol w:w="36"/>
        <w:gridCol w:w="36"/>
        <w:gridCol w:w="36"/>
        <w:gridCol w:w="135"/>
        <w:gridCol w:w="865"/>
        <w:gridCol w:w="41"/>
        <w:gridCol w:w="36"/>
        <w:gridCol w:w="36"/>
        <w:gridCol w:w="36"/>
        <w:gridCol w:w="36"/>
        <w:gridCol w:w="36"/>
        <w:gridCol w:w="36"/>
        <w:gridCol w:w="36"/>
        <w:gridCol w:w="36"/>
        <w:gridCol w:w="36"/>
        <w:gridCol w:w="36"/>
        <w:gridCol w:w="36"/>
        <w:gridCol w:w="36"/>
        <w:gridCol w:w="36"/>
        <w:gridCol w:w="36"/>
        <w:gridCol w:w="36"/>
        <w:gridCol w:w="36"/>
        <w:gridCol w:w="36"/>
        <w:gridCol w:w="36"/>
      </w:tblGrid>
      <w:tr w:rsidR="004D6A64" w14:paraId="33DAD4BE" w14:textId="77777777">
        <w:trPr>
          <w:gridAfter w:val="18"/>
        </w:trPr>
        <w:tc>
          <w:tcPr>
            <w:tcW w:w="50" w:type="pct"/>
            <w:shd w:val="clear" w:color="auto" w:fill="auto"/>
          </w:tcPr>
          <w:p w14:paraId="33DAD4A6" w14:textId="77777777" w:rsidR="004D6A64" w:rsidRDefault="004D6A64">
            <w:pPr>
              <w:rPr>
                <w:rFonts w:ascii="宋体"/>
              </w:rPr>
            </w:pPr>
          </w:p>
        </w:tc>
        <w:tc>
          <w:tcPr>
            <w:tcW w:w="2137" w:type="pct"/>
            <w:shd w:val="clear" w:color="auto" w:fill="auto"/>
          </w:tcPr>
          <w:p w14:paraId="33DAD4A7" w14:textId="77777777" w:rsidR="004D6A64" w:rsidRDefault="004D6A64">
            <w:pPr>
              <w:rPr>
                <w:rFonts w:ascii="宋体"/>
              </w:rPr>
            </w:pPr>
          </w:p>
        </w:tc>
        <w:tc>
          <w:tcPr>
            <w:tcW w:w="5" w:type="pct"/>
            <w:shd w:val="clear" w:color="auto" w:fill="auto"/>
          </w:tcPr>
          <w:p w14:paraId="33DAD4A8" w14:textId="77777777" w:rsidR="004D6A64" w:rsidRDefault="004D6A64">
            <w:pPr>
              <w:rPr>
                <w:rFonts w:ascii="宋体"/>
              </w:rPr>
            </w:pPr>
          </w:p>
        </w:tc>
        <w:tc>
          <w:tcPr>
            <w:tcW w:w="50" w:type="pct"/>
            <w:shd w:val="clear" w:color="auto" w:fill="auto"/>
          </w:tcPr>
          <w:p w14:paraId="33DAD4A9" w14:textId="77777777" w:rsidR="004D6A64" w:rsidRDefault="004D6A64">
            <w:pPr>
              <w:rPr>
                <w:rFonts w:ascii="宋体"/>
              </w:rPr>
            </w:pPr>
          </w:p>
        </w:tc>
        <w:tc>
          <w:tcPr>
            <w:tcW w:w="624" w:type="pct"/>
            <w:shd w:val="clear" w:color="auto" w:fill="auto"/>
          </w:tcPr>
          <w:p w14:paraId="33DAD4AA" w14:textId="77777777" w:rsidR="004D6A64" w:rsidRDefault="004D6A64">
            <w:pPr>
              <w:rPr>
                <w:rFonts w:ascii="宋体"/>
              </w:rPr>
            </w:pPr>
          </w:p>
        </w:tc>
        <w:tc>
          <w:tcPr>
            <w:tcW w:w="5" w:type="pct"/>
            <w:shd w:val="clear" w:color="auto" w:fill="auto"/>
          </w:tcPr>
          <w:p w14:paraId="33DAD4AB" w14:textId="77777777" w:rsidR="004D6A64" w:rsidRDefault="004D6A64">
            <w:pPr>
              <w:rPr>
                <w:rFonts w:ascii="宋体"/>
              </w:rPr>
            </w:pPr>
          </w:p>
        </w:tc>
        <w:tc>
          <w:tcPr>
            <w:tcW w:w="5" w:type="pct"/>
            <w:shd w:val="clear" w:color="auto" w:fill="auto"/>
          </w:tcPr>
          <w:p w14:paraId="33DAD4AC" w14:textId="77777777" w:rsidR="004D6A64" w:rsidRDefault="004D6A64">
            <w:pPr>
              <w:rPr>
                <w:rFonts w:ascii="宋体"/>
              </w:rPr>
            </w:pPr>
          </w:p>
        </w:tc>
        <w:tc>
          <w:tcPr>
            <w:tcW w:w="19" w:type="pct"/>
            <w:shd w:val="clear" w:color="auto" w:fill="auto"/>
          </w:tcPr>
          <w:p w14:paraId="33DAD4AD" w14:textId="77777777" w:rsidR="004D6A64" w:rsidRDefault="004D6A64">
            <w:pPr>
              <w:rPr>
                <w:rFonts w:ascii="宋体"/>
              </w:rPr>
            </w:pPr>
          </w:p>
        </w:tc>
        <w:tc>
          <w:tcPr>
            <w:tcW w:w="5" w:type="pct"/>
            <w:shd w:val="clear" w:color="auto" w:fill="auto"/>
          </w:tcPr>
          <w:p w14:paraId="33DAD4AE" w14:textId="77777777" w:rsidR="004D6A64" w:rsidRDefault="004D6A64">
            <w:pPr>
              <w:rPr>
                <w:rFonts w:ascii="宋体"/>
              </w:rPr>
            </w:pPr>
          </w:p>
        </w:tc>
        <w:tc>
          <w:tcPr>
            <w:tcW w:w="50" w:type="pct"/>
            <w:shd w:val="clear" w:color="auto" w:fill="auto"/>
          </w:tcPr>
          <w:p w14:paraId="33DAD4AF" w14:textId="77777777" w:rsidR="004D6A64" w:rsidRDefault="004D6A64">
            <w:pPr>
              <w:rPr>
                <w:rFonts w:ascii="宋体"/>
              </w:rPr>
            </w:pPr>
          </w:p>
        </w:tc>
        <w:tc>
          <w:tcPr>
            <w:tcW w:w="624" w:type="pct"/>
            <w:shd w:val="clear" w:color="auto" w:fill="auto"/>
          </w:tcPr>
          <w:p w14:paraId="33DAD4B0" w14:textId="77777777" w:rsidR="004D6A64" w:rsidRDefault="004D6A64">
            <w:pPr>
              <w:rPr>
                <w:rFonts w:ascii="宋体"/>
              </w:rPr>
            </w:pPr>
          </w:p>
        </w:tc>
        <w:tc>
          <w:tcPr>
            <w:tcW w:w="5" w:type="pct"/>
            <w:shd w:val="clear" w:color="auto" w:fill="auto"/>
          </w:tcPr>
          <w:p w14:paraId="33DAD4B1" w14:textId="77777777" w:rsidR="004D6A64" w:rsidRDefault="004D6A64">
            <w:pPr>
              <w:rPr>
                <w:rFonts w:ascii="宋体"/>
              </w:rPr>
            </w:pPr>
          </w:p>
        </w:tc>
        <w:tc>
          <w:tcPr>
            <w:tcW w:w="5" w:type="pct"/>
            <w:shd w:val="clear" w:color="auto" w:fill="auto"/>
          </w:tcPr>
          <w:p w14:paraId="33DAD4B2" w14:textId="77777777" w:rsidR="004D6A64" w:rsidRDefault="004D6A64">
            <w:pPr>
              <w:rPr>
                <w:rFonts w:ascii="宋体"/>
              </w:rPr>
            </w:pPr>
          </w:p>
        </w:tc>
        <w:tc>
          <w:tcPr>
            <w:tcW w:w="19" w:type="pct"/>
            <w:shd w:val="clear" w:color="auto" w:fill="auto"/>
          </w:tcPr>
          <w:p w14:paraId="33DAD4B3" w14:textId="77777777" w:rsidR="004D6A64" w:rsidRDefault="004D6A64">
            <w:pPr>
              <w:rPr>
                <w:rFonts w:ascii="宋体"/>
              </w:rPr>
            </w:pPr>
          </w:p>
        </w:tc>
        <w:tc>
          <w:tcPr>
            <w:tcW w:w="5" w:type="pct"/>
            <w:shd w:val="clear" w:color="auto" w:fill="auto"/>
          </w:tcPr>
          <w:p w14:paraId="33DAD4B4" w14:textId="77777777" w:rsidR="004D6A64" w:rsidRDefault="004D6A64">
            <w:pPr>
              <w:rPr>
                <w:rFonts w:ascii="宋体"/>
              </w:rPr>
            </w:pPr>
          </w:p>
        </w:tc>
        <w:tc>
          <w:tcPr>
            <w:tcW w:w="50" w:type="pct"/>
            <w:shd w:val="clear" w:color="auto" w:fill="auto"/>
          </w:tcPr>
          <w:p w14:paraId="33DAD4B5" w14:textId="77777777" w:rsidR="004D6A64" w:rsidRDefault="004D6A64">
            <w:pPr>
              <w:rPr>
                <w:rFonts w:ascii="宋体"/>
              </w:rPr>
            </w:pPr>
          </w:p>
        </w:tc>
        <w:tc>
          <w:tcPr>
            <w:tcW w:w="624" w:type="pct"/>
            <w:shd w:val="clear" w:color="auto" w:fill="auto"/>
          </w:tcPr>
          <w:p w14:paraId="33DAD4B6" w14:textId="77777777" w:rsidR="004D6A64" w:rsidRDefault="004D6A64">
            <w:pPr>
              <w:rPr>
                <w:rFonts w:ascii="宋体"/>
              </w:rPr>
            </w:pPr>
          </w:p>
        </w:tc>
        <w:tc>
          <w:tcPr>
            <w:tcW w:w="5" w:type="pct"/>
            <w:shd w:val="clear" w:color="auto" w:fill="auto"/>
          </w:tcPr>
          <w:p w14:paraId="33DAD4B7" w14:textId="77777777" w:rsidR="004D6A64" w:rsidRDefault="004D6A64">
            <w:pPr>
              <w:rPr>
                <w:rFonts w:ascii="宋体"/>
              </w:rPr>
            </w:pPr>
          </w:p>
        </w:tc>
        <w:tc>
          <w:tcPr>
            <w:tcW w:w="5" w:type="pct"/>
            <w:shd w:val="clear" w:color="auto" w:fill="auto"/>
          </w:tcPr>
          <w:p w14:paraId="33DAD4B8" w14:textId="77777777" w:rsidR="004D6A64" w:rsidRDefault="004D6A64">
            <w:pPr>
              <w:rPr>
                <w:rFonts w:ascii="宋体"/>
              </w:rPr>
            </w:pPr>
          </w:p>
        </w:tc>
        <w:tc>
          <w:tcPr>
            <w:tcW w:w="19" w:type="pct"/>
            <w:shd w:val="clear" w:color="auto" w:fill="auto"/>
          </w:tcPr>
          <w:p w14:paraId="33DAD4B9" w14:textId="77777777" w:rsidR="004D6A64" w:rsidRDefault="004D6A64">
            <w:pPr>
              <w:rPr>
                <w:rFonts w:ascii="宋体"/>
              </w:rPr>
            </w:pPr>
          </w:p>
        </w:tc>
        <w:tc>
          <w:tcPr>
            <w:tcW w:w="5" w:type="pct"/>
            <w:shd w:val="clear" w:color="auto" w:fill="auto"/>
          </w:tcPr>
          <w:p w14:paraId="33DAD4BA" w14:textId="77777777" w:rsidR="004D6A64" w:rsidRDefault="004D6A64">
            <w:pPr>
              <w:rPr>
                <w:rFonts w:ascii="宋体"/>
              </w:rPr>
            </w:pPr>
          </w:p>
        </w:tc>
        <w:tc>
          <w:tcPr>
            <w:tcW w:w="50" w:type="pct"/>
            <w:shd w:val="clear" w:color="auto" w:fill="auto"/>
          </w:tcPr>
          <w:p w14:paraId="33DAD4BB" w14:textId="77777777" w:rsidR="004D6A64" w:rsidRDefault="004D6A64">
            <w:pPr>
              <w:rPr>
                <w:rFonts w:ascii="宋体"/>
              </w:rPr>
            </w:pPr>
          </w:p>
        </w:tc>
        <w:tc>
          <w:tcPr>
            <w:tcW w:w="625" w:type="pct"/>
            <w:shd w:val="clear" w:color="auto" w:fill="auto"/>
          </w:tcPr>
          <w:p w14:paraId="33DAD4BC" w14:textId="77777777" w:rsidR="004D6A64" w:rsidRDefault="004D6A64">
            <w:pPr>
              <w:rPr>
                <w:rFonts w:ascii="宋体"/>
              </w:rPr>
            </w:pPr>
          </w:p>
        </w:tc>
        <w:tc>
          <w:tcPr>
            <w:tcW w:w="5" w:type="pct"/>
            <w:shd w:val="clear" w:color="auto" w:fill="auto"/>
          </w:tcPr>
          <w:p w14:paraId="33DAD4BD" w14:textId="77777777" w:rsidR="004D6A64" w:rsidRDefault="004D6A64">
            <w:pPr>
              <w:rPr>
                <w:rFonts w:ascii="宋体"/>
              </w:rPr>
            </w:pPr>
          </w:p>
        </w:tc>
      </w:tr>
      <w:tr w:rsidR="004D6A64" w14:paraId="33DAD4C7" w14:textId="77777777">
        <w:trPr>
          <w:gridAfter w:val="6"/>
        </w:trPr>
        <w:tc>
          <w:tcPr>
            <w:tcW w:w="0" w:type="auto"/>
            <w:gridSpan w:val="3"/>
            <w:shd w:val="clear" w:color="auto" w:fill="auto"/>
            <w:tcMar>
              <w:top w:w="40" w:type="dxa"/>
              <w:left w:w="20" w:type="dxa"/>
              <w:bottom w:w="40" w:type="dxa"/>
              <w:right w:w="20" w:type="dxa"/>
            </w:tcMar>
            <w:vAlign w:val="bottom"/>
          </w:tcPr>
          <w:p w14:paraId="33DAD4BF" w14:textId="77777777" w:rsidR="004D6A64" w:rsidRDefault="00506CD6">
            <w:pPr>
              <w:jc w:val="center"/>
              <w:textAlignment w:val="bottom"/>
            </w:pPr>
            <w:r>
              <w:rPr>
                <w:rFonts w:ascii="Times New Roman" w:eastAsia="宋体" w:hAnsi="Times New Roman"/>
                <w:color w:val="000000"/>
                <w:sz w:val="20"/>
                <w:szCs w:val="20"/>
              </w:rPr>
              <w:t> </w:t>
            </w:r>
          </w:p>
        </w:tc>
        <w:tc>
          <w:tcPr>
            <w:tcW w:w="0" w:type="auto"/>
            <w:gridSpan w:val="9"/>
            <w:shd w:val="clear" w:color="auto" w:fill="auto"/>
            <w:tcMar>
              <w:top w:w="40" w:type="dxa"/>
              <w:left w:w="20" w:type="dxa"/>
              <w:bottom w:w="40" w:type="dxa"/>
              <w:right w:w="20" w:type="dxa"/>
            </w:tcMar>
            <w:vAlign w:val="bottom"/>
          </w:tcPr>
          <w:p w14:paraId="33DAD4C0" w14:textId="77777777" w:rsidR="004D6A64" w:rsidRDefault="00506CD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Pr>
          <w:p w14:paraId="33DAD4C1" w14:textId="77777777" w:rsidR="004D6A64" w:rsidRDefault="004D6A64">
            <w:pPr>
              <w:rPr>
                <w:rFonts w:ascii="宋体"/>
                <w:vanish/>
              </w:rPr>
            </w:pPr>
          </w:p>
        </w:tc>
        <w:tc>
          <w:tcPr>
            <w:tcW w:w="0" w:type="auto"/>
            <w:gridSpan w:val="3"/>
            <w:shd w:val="clear" w:color="auto" w:fill="auto"/>
          </w:tcPr>
          <w:p w14:paraId="33DAD4C2"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D4C3" w14:textId="77777777" w:rsidR="004D6A64" w:rsidRDefault="004D6A64">
            <w:pPr>
              <w:rPr>
                <w:rFonts w:ascii="宋体"/>
              </w:rPr>
            </w:pPr>
          </w:p>
        </w:tc>
        <w:tc>
          <w:tcPr>
            <w:tcW w:w="0" w:type="auto"/>
            <w:gridSpan w:val="9"/>
            <w:shd w:val="clear" w:color="auto" w:fill="auto"/>
            <w:tcMar>
              <w:top w:w="40" w:type="dxa"/>
              <w:left w:w="20" w:type="dxa"/>
              <w:bottom w:w="40" w:type="dxa"/>
              <w:right w:w="20" w:type="dxa"/>
            </w:tcMar>
            <w:vAlign w:val="bottom"/>
          </w:tcPr>
          <w:p w14:paraId="33DAD4C4" w14:textId="77777777" w:rsidR="004D6A64" w:rsidRDefault="00506CD6">
            <w:pPr>
              <w:jc w:val="center"/>
              <w:textAlignment w:val="bottom"/>
            </w:pPr>
            <w:r>
              <w:rPr>
                <w:rFonts w:ascii="Times New Roman" w:eastAsia="宋体" w:hAnsi="Times New Roman"/>
                <w:b/>
                <w:bCs/>
                <w:color w:val="000000"/>
                <w:sz w:val="20"/>
                <w:szCs w:val="20"/>
              </w:rPr>
              <w:t>Six Months Ended</w:t>
            </w:r>
          </w:p>
        </w:tc>
        <w:tc>
          <w:tcPr>
            <w:tcW w:w="0" w:type="auto"/>
            <w:gridSpan w:val="3"/>
            <w:shd w:val="clear" w:color="auto" w:fill="auto"/>
          </w:tcPr>
          <w:p w14:paraId="33DAD4C5" w14:textId="77777777" w:rsidR="004D6A64" w:rsidRDefault="004D6A64">
            <w:pPr>
              <w:rPr>
                <w:rFonts w:ascii="宋体"/>
                <w:vanish/>
              </w:rPr>
            </w:pPr>
          </w:p>
        </w:tc>
        <w:tc>
          <w:tcPr>
            <w:tcW w:w="0" w:type="auto"/>
            <w:gridSpan w:val="3"/>
            <w:shd w:val="clear" w:color="auto" w:fill="auto"/>
          </w:tcPr>
          <w:p w14:paraId="33DAD4C6" w14:textId="77777777" w:rsidR="004D6A64" w:rsidRDefault="004D6A64">
            <w:pPr>
              <w:rPr>
                <w:rFonts w:ascii="宋体"/>
                <w:vanish/>
              </w:rPr>
            </w:pPr>
          </w:p>
        </w:tc>
      </w:tr>
      <w:tr w:rsidR="004D6A64" w14:paraId="33DAD4DC" w14:textId="77777777">
        <w:trPr>
          <w:gridAfter w:val="6"/>
        </w:trPr>
        <w:tc>
          <w:tcPr>
            <w:tcW w:w="0" w:type="auto"/>
            <w:gridSpan w:val="3"/>
            <w:shd w:val="clear" w:color="auto" w:fill="auto"/>
            <w:tcMar>
              <w:top w:w="40" w:type="dxa"/>
              <w:left w:w="20" w:type="dxa"/>
              <w:bottom w:w="40" w:type="dxa"/>
              <w:right w:w="20" w:type="dxa"/>
            </w:tcMar>
            <w:vAlign w:val="bottom"/>
          </w:tcPr>
          <w:p w14:paraId="33DAD4C8" w14:textId="77777777" w:rsidR="004D6A64" w:rsidRDefault="00506CD6">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D4C9"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D4CA"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D4CB"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gridSpan w:val="3"/>
            <w:shd w:val="clear" w:color="auto" w:fill="auto"/>
            <w:tcMar>
              <w:left w:w="20" w:type="dxa"/>
              <w:right w:w="20" w:type="dxa"/>
            </w:tcMar>
            <w:vAlign w:val="bottom"/>
          </w:tcPr>
          <w:p w14:paraId="33DAD4CC"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D4CD"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D4CE"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D4CF"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shd w:val="clear" w:color="auto" w:fill="auto"/>
          </w:tcPr>
          <w:p w14:paraId="33DAD4D0" w14:textId="77777777" w:rsidR="004D6A64" w:rsidRDefault="004D6A64">
            <w:pPr>
              <w:rPr>
                <w:rFonts w:ascii="宋体"/>
              </w:rPr>
            </w:pPr>
          </w:p>
        </w:tc>
        <w:tc>
          <w:tcPr>
            <w:tcW w:w="0" w:type="auto"/>
            <w:shd w:val="clear" w:color="auto" w:fill="auto"/>
          </w:tcPr>
          <w:p w14:paraId="33DAD4D1" w14:textId="77777777" w:rsidR="004D6A64" w:rsidRDefault="004D6A64">
            <w:pPr>
              <w:rPr>
                <w:rFonts w:ascii="宋体"/>
              </w:rPr>
            </w:pPr>
          </w:p>
        </w:tc>
        <w:tc>
          <w:tcPr>
            <w:tcW w:w="0" w:type="auto"/>
            <w:shd w:val="clear" w:color="auto" w:fill="auto"/>
          </w:tcPr>
          <w:p w14:paraId="33DAD4D2" w14:textId="77777777" w:rsidR="004D6A64" w:rsidRDefault="004D6A64">
            <w:pPr>
              <w:rPr>
                <w:rFonts w:ascii="宋体"/>
              </w:rPr>
            </w:pPr>
          </w:p>
        </w:tc>
        <w:tc>
          <w:tcPr>
            <w:tcW w:w="0" w:type="auto"/>
            <w:shd w:val="clear" w:color="auto" w:fill="auto"/>
          </w:tcPr>
          <w:p w14:paraId="33DAD4D3" w14:textId="77777777" w:rsidR="004D6A64" w:rsidRDefault="004D6A64">
            <w:pPr>
              <w:rPr>
                <w:rFonts w:ascii="宋体"/>
              </w:rPr>
            </w:pPr>
          </w:p>
        </w:tc>
        <w:tc>
          <w:tcPr>
            <w:tcW w:w="0" w:type="auto"/>
            <w:shd w:val="clear" w:color="auto" w:fill="auto"/>
          </w:tcPr>
          <w:p w14:paraId="33DAD4D4" w14:textId="77777777" w:rsidR="004D6A64" w:rsidRDefault="004D6A64">
            <w:pPr>
              <w:rPr>
                <w:rFonts w:ascii="宋体"/>
              </w:rPr>
            </w:pPr>
          </w:p>
        </w:tc>
        <w:tc>
          <w:tcPr>
            <w:tcW w:w="0" w:type="auto"/>
            <w:shd w:val="clear" w:color="auto" w:fill="auto"/>
          </w:tcPr>
          <w:p w14:paraId="33DAD4D5" w14:textId="77777777" w:rsidR="004D6A64" w:rsidRDefault="004D6A64">
            <w:pPr>
              <w:rPr>
                <w:rFonts w:ascii="宋体"/>
              </w:rPr>
            </w:pPr>
          </w:p>
        </w:tc>
        <w:tc>
          <w:tcPr>
            <w:tcW w:w="0" w:type="auto"/>
            <w:shd w:val="clear" w:color="auto" w:fill="auto"/>
          </w:tcPr>
          <w:p w14:paraId="33DAD4D6" w14:textId="77777777" w:rsidR="004D6A64" w:rsidRDefault="004D6A64">
            <w:pPr>
              <w:rPr>
                <w:rFonts w:ascii="宋体"/>
              </w:rPr>
            </w:pPr>
          </w:p>
        </w:tc>
        <w:tc>
          <w:tcPr>
            <w:tcW w:w="0" w:type="auto"/>
            <w:shd w:val="clear" w:color="auto" w:fill="auto"/>
          </w:tcPr>
          <w:p w14:paraId="33DAD4D7" w14:textId="77777777" w:rsidR="004D6A64" w:rsidRDefault="004D6A64">
            <w:pPr>
              <w:rPr>
                <w:rFonts w:ascii="宋体"/>
              </w:rPr>
            </w:pPr>
          </w:p>
        </w:tc>
        <w:tc>
          <w:tcPr>
            <w:tcW w:w="0" w:type="auto"/>
            <w:shd w:val="clear" w:color="auto" w:fill="auto"/>
          </w:tcPr>
          <w:p w14:paraId="33DAD4D8" w14:textId="77777777" w:rsidR="004D6A64" w:rsidRDefault="004D6A64">
            <w:pPr>
              <w:rPr>
                <w:rFonts w:ascii="宋体"/>
              </w:rPr>
            </w:pPr>
          </w:p>
        </w:tc>
        <w:tc>
          <w:tcPr>
            <w:tcW w:w="0" w:type="auto"/>
            <w:shd w:val="clear" w:color="auto" w:fill="auto"/>
          </w:tcPr>
          <w:p w14:paraId="33DAD4D9" w14:textId="77777777" w:rsidR="004D6A64" w:rsidRDefault="004D6A64">
            <w:pPr>
              <w:rPr>
                <w:rFonts w:ascii="宋体"/>
              </w:rPr>
            </w:pPr>
          </w:p>
        </w:tc>
        <w:tc>
          <w:tcPr>
            <w:tcW w:w="0" w:type="auto"/>
            <w:shd w:val="clear" w:color="auto" w:fill="auto"/>
          </w:tcPr>
          <w:p w14:paraId="33DAD4DA" w14:textId="77777777" w:rsidR="004D6A64" w:rsidRDefault="004D6A64">
            <w:pPr>
              <w:rPr>
                <w:rFonts w:ascii="宋体"/>
              </w:rPr>
            </w:pPr>
          </w:p>
        </w:tc>
        <w:tc>
          <w:tcPr>
            <w:tcW w:w="0" w:type="auto"/>
            <w:shd w:val="clear" w:color="auto" w:fill="auto"/>
          </w:tcPr>
          <w:p w14:paraId="33DAD4DB" w14:textId="77777777" w:rsidR="004D6A64" w:rsidRDefault="004D6A64">
            <w:pPr>
              <w:rPr>
                <w:rFonts w:ascii="宋体"/>
              </w:rPr>
            </w:pPr>
          </w:p>
        </w:tc>
      </w:tr>
      <w:tr w:rsidR="004D6A64" w14:paraId="33DAD4E5" w14:textId="77777777">
        <w:tc>
          <w:tcPr>
            <w:tcW w:w="0" w:type="auto"/>
            <w:gridSpan w:val="3"/>
            <w:shd w:val="clear" w:color="auto" w:fill="auto"/>
            <w:tcMar>
              <w:top w:w="40" w:type="dxa"/>
              <w:left w:w="20" w:type="dxa"/>
              <w:bottom w:w="40" w:type="dxa"/>
              <w:right w:w="20" w:type="dxa"/>
            </w:tcMar>
            <w:vAlign w:val="center"/>
          </w:tcPr>
          <w:p w14:paraId="33DAD4DD" w14:textId="77777777" w:rsidR="004D6A64" w:rsidRDefault="00506CD6">
            <w:pPr>
              <w:jc w:val="center"/>
              <w:textAlignment w:val="center"/>
            </w:pPr>
            <w:r>
              <w:rPr>
                <w:rFonts w:ascii="Times New Roman" w:eastAsia="宋体" w:hAnsi="Times New Roman"/>
                <w:color w:val="000000"/>
                <w:sz w:val="20"/>
                <w:szCs w:val="20"/>
              </w:rPr>
              <w:t> </w:t>
            </w: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33DAD4DE" w14:textId="77777777" w:rsidR="004D6A64" w:rsidRDefault="00506CD6">
            <w:pPr>
              <w:jc w:val="center"/>
              <w:textAlignment w:val="center"/>
            </w:pPr>
            <w:r>
              <w:rPr>
                <w:rFonts w:ascii="Times New Roman" w:eastAsia="宋体" w:hAnsi="Times New Roman"/>
                <w:color w:val="000000"/>
                <w:sz w:val="20"/>
                <w:szCs w:val="20"/>
              </w:rPr>
              <w:t>(in</w:t>
            </w:r>
            <w:r>
              <w:rPr>
                <w:rFonts w:ascii="Times New Roman" w:eastAsia="宋体" w:hAnsi="Times New Roman"/>
                <w:color w:val="000000"/>
                <w:sz w:val="20"/>
                <w:szCs w:val="20"/>
              </w:rPr>
              <w:t xml:space="preserve"> millions)</w:t>
            </w:r>
          </w:p>
        </w:tc>
        <w:tc>
          <w:tcPr>
            <w:tcW w:w="0" w:type="auto"/>
            <w:gridSpan w:val="3"/>
            <w:shd w:val="clear" w:color="auto" w:fill="auto"/>
          </w:tcPr>
          <w:p w14:paraId="33DAD4DF" w14:textId="77777777" w:rsidR="004D6A64" w:rsidRDefault="004D6A64">
            <w:pPr>
              <w:rPr>
                <w:rFonts w:ascii="宋体"/>
                <w:vanish/>
              </w:rPr>
            </w:pPr>
          </w:p>
        </w:tc>
        <w:tc>
          <w:tcPr>
            <w:tcW w:w="0" w:type="auto"/>
            <w:gridSpan w:val="3"/>
            <w:shd w:val="clear" w:color="auto" w:fill="auto"/>
          </w:tcPr>
          <w:p w14:paraId="33DAD4E0" w14:textId="77777777" w:rsidR="004D6A64" w:rsidRDefault="004D6A64">
            <w:pPr>
              <w:rPr>
                <w:rFonts w:ascii="宋体"/>
                <w:vanish/>
              </w:rPr>
            </w:pPr>
          </w:p>
        </w:tc>
        <w:tc>
          <w:tcPr>
            <w:tcW w:w="0" w:type="auto"/>
            <w:gridSpan w:val="3"/>
            <w:shd w:val="clear" w:color="auto" w:fill="auto"/>
          </w:tcPr>
          <w:p w14:paraId="33DAD4E1" w14:textId="77777777" w:rsidR="004D6A64" w:rsidRDefault="004D6A64">
            <w:pPr>
              <w:rPr>
                <w:rFonts w:ascii="宋体"/>
                <w:vanish/>
              </w:rPr>
            </w:pPr>
          </w:p>
        </w:tc>
        <w:tc>
          <w:tcPr>
            <w:tcW w:w="0" w:type="auto"/>
            <w:gridSpan w:val="3"/>
            <w:shd w:val="clear" w:color="auto" w:fill="auto"/>
          </w:tcPr>
          <w:p w14:paraId="33DAD4E2" w14:textId="77777777" w:rsidR="004D6A64" w:rsidRDefault="004D6A64">
            <w:pPr>
              <w:rPr>
                <w:rFonts w:ascii="宋体"/>
                <w:vanish/>
              </w:rPr>
            </w:pPr>
          </w:p>
        </w:tc>
        <w:tc>
          <w:tcPr>
            <w:tcW w:w="0" w:type="auto"/>
            <w:gridSpan w:val="3"/>
            <w:shd w:val="clear" w:color="auto" w:fill="auto"/>
          </w:tcPr>
          <w:p w14:paraId="33DAD4E3" w14:textId="77777777" w:rsidR="004D6A64" w:rsidRDefault="004D6A64">
            <w:pPr>
              <w:rPr>
                <w:rFonts w:ascii="宋体"/>
                <w:vanish/>
              </w:rPr>
            </w:pPr>
          </w:p>
        </w:tc>
        <w:tc>
          <w:tcPr>
            <w:tcW w:w="0" w:type="auto"/>
            <w:gridSpan w:val="3"/>
            <w:shd w:val="clear" w:color="auto" w:fill="auto"/>
          </w:tcPr>
          <w:p w14:paraId="33DAD4E4" w14:textId="77777777" w:rsidR="004D6A64" w:rsidRDefault="004D6A64">
            <w:pPr>
              <w:rPr>
                <w:rFonts w:ascii="宋体"/>
                <w:vanish/>
              </w:rPr>
            </w:pPr>
          </w:p>
        </w:tc>
      </w:tr>
      <w:tr w:rsidR="004D6A64" w14:paraId="33DAD500" w14:textId="77777777">
        <w:tc>
          <w:tcPr>
            <w:tcW w:w="0" w:type="auto"/>
            <w:gridSpan w:val="3"/>
            <w:shd w:val="clear" w:color="auto" w:fill="CCEEFF"/>
            <w:tcMar>
              <w:top w:w="40" w:type="dxa"/>
              <w:left w:w="20" w:type="dxa"/>
              <w:bottom w:w="40" w:type="dxa"/>
              <w:right w:w="20" w:type="dxa"/>
            </w:tcMar>
            <w:vAlign w:val="center"/>
          </w:tcPr>
          <w:p w14:paraId="33DAD4E6" w14:textId="77777777" w:rsidR="004D6A64" w:rsidRDefault="00506CD6">
            <w:pPr>
              <w:textAlignment w:val="center"/>
            </w:pPr>
            <w:r>
              <w:rPr>
                <w:rFonts w:ascii="Times New Roman" w:eastAsia="宋体" w:hAnsi="Times New Roman"/>
                <w:i/>
                <w:iCs/>
                <w:color w:val="000000"/>
                <w:sz w:val="20"/>
                <w:szCs w:val="20"/>
              </w:rPr>
              <w:t>Net revenue:</w:t>
            </w:r>
          </w:p>
        </w:tc>
        <w:tc>
          <w:tcPr>
            <w:tcW w:w="0" w:type="auto"/>
            <w:gridSpan w:val="3"/>
            <w:shd w:val="clear" w:color="auto" w:fill="CCEEFF"/>
            <w:tcMar>
              <w:top w:w="40" w:type="dxa"/>
              <w:left w:w="20" w:type="dxa"/>
              <w:bottom w:w="40" w:type="dxa"/>
              <w:right w:w="20" w:type="dxa"/>
            </w:tcMar>
            <w:vAlign w:val="center"/>
          </w:tcPr>
          <w:p w14:paraId="33DAD4E7" w14:textId="77777777" w:rsidR="004D6A64" w:rsidRDefault="00506CD6">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left w:w="20" w:type="dxa"/>
              <w:right w:w="20" w:type="dxa"/>
            </w:tcMar>
            <w:vAlign w:val="bottom"/>
          </w:tcPr>
          <w:p w14:paraId="33DAD4E8" w14:textId="77777777" w:rsidR="004D6A64" w:rsidRDefault="004D6A64">
            <w:pPr>
              <w:rPr>
                <w:rFonts w:ascii="宋体"/>
              </w:rPr>
            </w:pPr>
          </w:p>
        </w:tc>
        <w:tc>
          <w:tcPr>
            <w:tcW w:w="0" w:type="auto"/>
            <w:gridSpan w:val="3"/>
            <w:shd w:val="clear" w:color="auto" w:fill="CCEEFF"/>
            <w:tcMar>
              <w:top w:w="40" w:type="dxa"/>
              <w:left w:w="20" w:type="dxa"/>
              <w:bottom w:w="40" w:type="dxa"/>
              <w:right w:w="20" w:type="dxa"/>
            </w:tcMar>
            <w:vAlign w:val="center"/>
          </w:tcPr>
          <w:p w14:paraId="33DAD4E9" w14:textId="77777777" w:rsidR="004D6A64" w:rsidRDefault="00506CD6">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left w:w="20" w:type="dxa"/>
              <w:right w:w="20" w:type="dxa"/>
            </w:tcMar>
            <w:vAlign w:val="bottom"/>
          </w:tcPr>
          <w:p w14:paraId="33DAD4EA" w14:textId="77777777" w:rsidR="004D6A64" w:rsidRDefault="004D6A64">
            <w:pPr>
              <w:rPr>
                <w:rFonts w:ascii="宋体"/>
              </w:rPr>
            </w:pPr>
          </w:p>
        </w:tc>
        <w:tc>
          <w:tcPr>
            <w:tcW w:w="0" w:type="auto"/>
            <w:gridSpan w:val="3"/>
            <w:shd w:val="clear" w:color="auto" w:fill="CCEEFF"/>
            <w:tcMar>
              <w:top w:w="40" w:type="dxa"/>
              <w:left w:w="20" w:type="dxa"/>
              <w:bottom w:w="40" w:type="dxa"/>
              <w:right w:w="20" w:type="dxa"/>
            </w:tcMar>
            <w:vAlign w:val="center"/>
          </w:tcPr>
          <w:p w14:paraId="33DAD4EB" w14:textId="77777777" w:rsidR="004D6A64" w:rsidRDefault="00506CD6">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left w:w="20" w:type="dxa"/>
              <w:right w:w="20" w:type="dxa"/>
            </w:tcMar>
            <w:vAlign w:val="bottom"/>
          </w:tcPr>
          <w:p w14:paraId="33DAD4E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4ED" w14:textId="77777777" w:rsidR="004D6A64" w:rsidRDefault="004D6A64">
            <w:pPr>
              <w:rPr>
                <w:rFonts w:ascii="宋体"/>
              </w:rPr>
            </w:pPr>
          </w:p>
        </w:tc>
        <w:tc>
          <w:tcPr>
            <w:tcW w:w="0" w:type="auto"/>
            <w:shd w:val="clear" w:color="auto" w:fill="auto"/>
          </w:tcPr>
          <w:p w14:paraId="33DAD4EE" w14:textId="77777777" w:rsidR="004D6A64" w:rsidRDefault="004D6A64">
            <w:pPr>
              <w:rPr>
                <w:rFonts w:ascii="宋体"/>
              </w:rPr>
            </w:pPr>
          </w:p>
        </w:tc>
        <w:tc>
          <w:tcPr>
            <w:tcW w:w="0" w:type="auto"/>
            <w:shd w:val="clear" w:color="auto" w:fill="auto"/>
          </w:tcPr>
          <w:p w14:paraId="33DAD4EF" w14:textId="77777777" w:rsidR="004D6A64" w:rsidRDefault="004D6A64">
            <w:pPr>
              <w:rPr>
                <w:rFonts w:ascii="宋体"/>
              </w:rPr>
            </w:pPr>
          </w:p>
        </w:tc>
        <w:tc>
          <w:tcPr>
            <w:tcW w:w="0" w:type="auto"/>
            <w:shd w:val="clear" w:color="auto" w:fill="auto"/>
          </w:tcPr>
          <w:p w14:paraId="33DAD4F0" w14:textId="77777777" w:rsidR="004D6A64" w:rsidRDefault="004D6A64">
            <w:pPr>
              <w:rPr>
                <w:rFonts w:ascii="宋体"/>
              </w:rPr>
            </w:pPr>
          </w:p>
        </w:tc>
        <w:tc>
          <w:tcPr>
            <w:tcW w:w="0" w:type="auto"/>
            <w:shd w:val="clear" w:color="auto" w:fill="auto"/>
          </w:tcPr>
          <w:p w14:paraId="33DAD4F1" w14:textId="77777777" w:rsidR="004D6A64" w:rsidRDefault="004D6A64">
            <w:pPr>
              <w:rPr>
                <w:rFonts w:ascii="宋体"/>
              </w:rPr>
            </w:pPr>
          </w:p>
        </w:tc>
        <w:tc>
          <w:tcPr>
            <w:tcW w:w="0" w:type="auto"/>
            <w:shd w:val="clear" w:color="auto" w:fill="auto"/>
          </w:tcPr>
          <w:p w14:paraId="33DAD4F2" w14:textId="77777777" w:rsidR="004D6A64" w:rsidRDefault="004D6A64">
            <w:pPr>
              <w:rPr>
                <w:rFonts w:ascii="宋体"/>
              </w:rPr>
            </w:pPr>
          </w:p>
        </w:tc>
        <w:tc>
          <w:tcPr>
            <w:tcW w:w="0" w:type="auto"/>
            <w:shd w:val="clear" w:color="auto" w:fill="auto"/>
          </w:tcPr>
          <w:p w14:paraId="33DAD4F3" w14:textId="77777777" w:rsidR="004D6A64" w:rsidRDefault="004D6A64">
            <w:pPr>
              <w:rPr>
                <w:rFonts w:ascii="宋体"/>
              </w:rPr>
            </w:pPr>
          </w:p>
        </w:tc>
        <w:tc>
          <w:tcPr>
            <w:tcW w:w="0" w:type="auto"/>
            <w:shd w:val="clear" w:color="auto" w:fill="auto"/>
          </w:tcPr>
          <w:p w14:paraId="33DAD4F4" w14:textId="77777777" w:rsidR="004D6A64" w:rsidRDefault="004D6A64">
            <w:pPr>
              <w:rPr>
                <w:rFonts w:ascii="宋体"/>
              </w:rPr>
            </w:pPr>
          </w:p>
        </w:tc>
        <w:tc>
          <w:tcPr>
            <w:tcW w:w="0" w:type="auto"/>
            <w:shd w:val="clear" w:color="auto" w:fill="auto"/>
          </w:tcPr>
          <w:p w14:paraId="33DAD4F5" w14:textId="77777777" w:rsidR="004D6A64" w:rsidRDefault="004D6A64">
            <w:pPr>
              <w:rPr>
                <w:rFonts w:ascii="宋体"/>
              </w:rPr>
            </w:pPr>
          </w:p>
        </w:tc>
        <w:tc>
          <w:tcPr>
            <w:tcW w:w="0" w:type="auto"/>
            <w:shd w:val="clear" w:color="auto" w:fill="auto"/>
          </w:tcPr>
          <w:p w14:paraId="33DAD4F6" w14:textId="77777777" w:rsidR="004D6A64" w:rsidRDefault="004D6A64">
            <w:pPr>
              <w:rPr>
                <w:rFonts w:ascii="宋体"/>
              </w:rPr>
            </w:pPr>
          </w:p>
        </w:tc>
        <w:tc>
          <w:tcPr>
            <w:tcW w:w="0" w:type="auto"/>
            <w:shd w:val="clear" w:color="auto" w:fill="auto"/>
          </w:tcPr>
          <w:p w14:paraId="33DAD4F7" w14:textId="77777777" w:rsidR="004D6A64" w:rsidRDefault="004D6A64">
            <w:pPr>
              <w:rPr>
                <w:rFonts w:ascii="宋体"/>
              </w:rPr>
            </w:pPr>
          </w:p>
        </w:tc>
        <w:tc>
          <w:tcPr>
            <w:tcW w:w="0" w:type="auto"/>
            <w:shd w:val="clear" w:color="auto" w:fill="auto"/>
          </w:tcPr>
          <w:p w14:paraId="33DAD4F8" w14:textId="77777777" w:rsidR="004D6A64" w:rsidRDefault="004D6A64">
            <w:pPr>
              <w:rPr>
                <w:rFonts w:ascii="宋体"/>
              </w:rPr>
            </w:pPr>
          </w:p>
        </w:tc>
        <w:tc>
          <w:tcPr>
            <w:tcW w:w="0" w:type="auto"/>
            <w:shd w:val="clear" w:color="auto" w:fill="auto"/>
          </w:tcPr>
          <w:p w14:paraId="33DAD4F9" w14:textId="77777777" w:rsidR="004D6A64" w:rsidRDefault="004D6A64">
            <w:pPr>
              <w:rPr>
                <w:rFonts w:ascii="宋体"/>
              </w:rPr>
            </w:pPr>
          </w:p>
        </w:tc>
        <w:tc>
          <w:tcPr>
            <w:tcW w:w="0" w:type="auto"/>
            <w:shd w:val="clear" w:color="auto" w:fill="auto"/>
          </w:tcPr>
          <w:p w14:paraId="33DAD4FA" w14:textId="77777777" w:rsidR="004D6A64" w:rsidRDefault="004D6A64">
            <w:pPr>
              <w:rPr>
                <w:rFonts w:ascii="宋体"/>
              </w:rPr>
            </w:pPr>
          </w:p>
        </w:tc>
        <w:tc>
          <w:tcPr>
            <w:tcW w:w="0" w:type="auto"/>
            <w:shd w:val="clear" w:color="auto" w:fill="auto"/>
          </w:tcPr>
          <w:p w14:paraId="33DAD4FB" w14:textId="77777777" w:rsidR="004D6A64" w:rsidRDefault="004D6A64">
            <w:pPr>
              <w:rPr>
                <w:rFonts w:ascii="宋体"/>
              </w:rPr>
            </w:pPr>
          </w:p>
        </w:tc>
        <w:tc>
          <w:tcPr>
            <w:tcW w:w="0" w:type="auto"/>
            <w:shd w:val="clear" w:color="auto" w:fill="auto"/>
          </w:tcPr>
          <w:p w14:paraId="33DAD4FC" w14:textId="77777777" w:rsidR="004D6A64" w:rsidRDefault="004D6A64">
            <w:pPr>
              <w:rPr>
                <w:rFonts w:ascii="宋体"/>
              </w:rPr>
            </w:pPr>
          </w:p>
        </w:tc>
        <w:tc>
          <w:tcPr>
            <w:tcW w:w="0" w:type="auto"/>
            <w:shd w:val="clear" w:color="auto" w:fill="auto"/>
          </w:tcPr>
          <w:p w14:paraId="33DAD4FD" w14:textId="77777777" w:rsidR="004D6A64" w:rsidRDefault="004D6A64">
            <w:pPr>
              <w:rPr>
                <w:rFonts w:ascii="宋体"/>
              </w:rPr>
            </w:pPr>
          </w:p>
        </w:tc>
        <w:tc>
          <w:tcPr>
            <w:tcW w:w="0" w:type="auto"/>
            <w:shd w:val="clear" w:color="auto" w:fill="auto"/>
          </w:tcPr>
          <w:p w14:paraId="33DAD4FE" w14:textId="77777777" w:rsidR="004D6A64" w:rsidRDefault="004D6A64">
            <w:pPr>
              <w:rPr>
                <w:rFonts w:ascii="宋体"/>
              </w:rPr>
            </w:pPr>
          </w:p>
        </w:tc>
        <w:tc>
          <w:tcPr>
            <w:tcW w:w="0" w:type="auto"/>
            <w:shd w:val="clear" w:color="auto" w:fill="auto"/>
          </w:tcPr>
          <w:p w14:paraId="33DAD4FF" w14:textId="77777777" w:rsidR="004D6A64" w:rsidRDefault="004D6A64">
            <w:pPr>
              <w:rPr>
                <w:rFonts w:ascii="宋体"/>
              </w:rPr>
            </w:pPr>
          </w:p>
        </w:tc>
      </w:tr>
      <w:tr w:rsidR="004D6A64" w14:paraId="33DAD51B" w14:textId="77777777">
        <w:tc>
          <w:tcPr>
            <w:tcW w:w="0" w:type="auto"/>
            <w:gridSpan w:val="3"/>
            <w:shd w:val="clear" w:color="auto" w:fill="FFFFFF"/>
            <w:tcMar>
              <w:top w:w="40" w:type="dxa"/>
              <w:left w:w="135" w:type="dxa"/>
              <w:bottom w:w="40" w:type="dxa"/>
              <w:right w:w="20" w:type="dxa"/>
            </w:tcMar>
            <w:vAlign w:val="center"/>
          </w:tcPr>
          <w:p w14:paraId="33DAD501" w14:textId="77777777" w:rsidR="004D6A64" w:rsidRDefault="00506CD6">
            <w:pPr>
              <w:textAlignment w:val="center"/>
            </w:pPr>
            <w:r>
              <w:rPr>
                <w:rFonts w:ascii="Times New Roman" w:eastAsia="宋体" w:hAnsi="Times New Roman"/>
                <w:i/>
                <w:iCs/>
                <w:color w:val="000000"/>
                <w:sz w:val="20"/>
                <w:szCs w:val="20"/>
              </w:rPr>
              <w:t>Infra</w:t>
            </w:r>
            <w:r>
              <w:rPr>
                <w:rFonts w:ascii="Times New Roman" w:eastAsia="宋体" w:hAnsi="Times New Roman"/>
                <w:i/>
                <w:iCs/>
                <w:color w:val="000000"/>
                <w:sz w:val="20"/>
                <w:szCs w:val="20"/>
              </w:rPr>
              <w:t>structure Solutions Group:</w:t>
            </w:r>
          </w:p>
        </w:tc>
        <w:tc>
          <w:tcPr>
            <w:tcW w:w="0" w:type="auto"/>
            <w:gridSpan w:val="3"/>
            <w:shd w:val="clear" w:color="auto" w:fill="FFFFFF"/>
            <w:tcMar>
              <w:left w:w="20" w:type="dxa"/>
              <w:right w:w="20" w:type="dxa"/>
            </w:tcMar>
            <w:vAlign w:val="bottom"/>
          </w:tcPr>
          <w:p w14:paraId="33DAD502"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503"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504"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505"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506"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507"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508" w14:textId="77777777" w:rsidR="004D6A64" w:rsidRDefault="004D6A64">
            <w:pPr>
              <w:rPr>
                <w:rFonts w:ascii="宋体"/>
              </w:rPr>
            </w:pPr>
          </w:p>
        </w:tc>
        <w:tc>
          <w:tcPr>
            <w:tcW w:w="0" w:type="auto"/>
            <w:shd w:val="clear" w:color="auto" w:fill="auto"/>
          </w:tcPr>
          <w:p w14:paraId="33DAD509" w14:textId="77777777" w:rsidR="004D6A64" w:rsidRDefault="004D6A64">
            <w:pPr>
              <w:rPr>
                <w:rFonts w:ascii="宋体"/>
              </w:rPr>
            </w:pPr>
          </w:p>
        </w:tc>
        <w:tc>
          <w:tcPr>
            <w:tcW w:w="0" w:type="auto"/>
            <w:shd w:val="clear" w:color="auto" w:fill="auto"/>
          </w:tcPr>
          <w:p w14:paraId="33DAD50A" w14:textId="77777777" w:rsidR="004D6A64" w:rsidRDefault="004D6A64">
            <w:pPr>
              <w:rPr>
                <w:rFonts w:ascii="宋体"/>
              </w:rPr>
            </w:pPr>
          </w:p>
        </w:tc>
        <w:tc>
          <w:tcPr>
            <w:tcW w:w="0" w:type="auto"/>
            <w:shd w:val="clear" w:color="auto" w:fill="auto"/>
          </w:tcPr>
          <w:p w14:paraId="33DAD50B" w14:textId="77777777" w:rsidR="004D6A64" w:rsidRDefault="004D6A64">
            <w:pPr>
              <w:rPr>
                <w:rFonts w:ascii="宋体"/>
              </w:rPr>
            </w:pPr>
          </w:p>
        </w:tc>
        <w:tc>
          <w:tcPr>
            <w:tcW w:w="0" w:type="auto"/>
            <w:shd w:val="clear" w:color="auto" w:fill="auto"/>
          </w:tcPr>
          <w:p w14:paraId="33DAD50C" w14:textId="77777777" w:rsidR="004D6A64" w:rsidRDefault="004D6A64">
            <w:pPr>
              <w:rPr>
                <w:rFonts w:ascii="宋体"/>
              </w:rPr>
            </w:pPr>
          </w:p>
        </w:tc>
        <w:tc>
          <w:tcPr>
            <w:tcW w:w="0" w:type="auto"/>
            <w:shd w:val="clear" w:color="auto" w:fill="auto"/>
          </w:tcPr>
          <w:p w14:paraId="33DAD50D" w14:textId="77777777" w:rsidR="004D6A64" w:rsidRDefault="004D6A64">
            <w:pPr>
              <w:rPr>
                <w:rFonts w:ascii="宋体"/>
              </w:rPr>
            </w:pPr>
          </w:p>
        </w:tc>
        <w:tc>
          <w:tcPr>
            <w:tcW w:w="0" w:type="auto"/>
            <w:shd w:val="clear" w:color="auto" w:fill="auto"/>
          </w:tcPr>
          <w:p w14:paraId="33DAD50E" w14:textId="77777777" w:rsidR="004D6A64" w:rsidRDefault="004D6A64">
            <w:pPr>
              <w:rPr>
                <w:rFonts w:ascii="宋体"/>
              </w:rPr>
            </w:pPr>
          </w:p>
        </w:tc>
        <w:tc>
          <w:tcPr>
            <w:tcW w:w="0" w:type="auto"/>
            <w:shd w:val="clear" w:color="auto" w:fill="auto"/>
          </w:tcPr>
          <w:p w14:paraId="33DAD50F" w14:textId="77777777" w:rsidR="004D6A64" w:rsidRDefault="004D6A64">
            <w:pPr>
              <w:rPr>
                <w:rFonts w:ascii="宋体"/>
              </w:rPr>
            </w:pPr>
          </w:p>
        </w:tc>
        <w:tc>
          <w:tcPr>
            <w:tcW w:w="0" w:type="auto"/>
            <w:shd w:val="clear" w:color="auto" w:fill="auto"/>
          </w:tcPr>
          <w:p w14:paraId="33DAD510" w14:textId="77777777" w:rsidR="004D6A64" w:rsidRDefault="004D6A64">
            <w:pPr>
              <w:rPr>
                <w:rFonts w:ascii="宋体"/>
              </w:rPr>
            </w:pPr>
          </w:p>
        </w:tc>
        <w:tc>
          <w:tcPr>
            <w:tcW w:w="0" w:type="auto"/>
            <w:shd w:val="clear" w:color="auto" w:fill="auto"/>
          </w:tcPr>
          <w:p w14:paraId="33DAD511" w14:textId="77777777" w:rsidR="004D6A64" w:rsidRDefault="004D6A64">
            <w:pPr>
              <w:rPr>
                <w:rFonts w:ascii="宋体"/>
              </w:rPr>
            </w:pPr>
          </w:p>
        </w:tc>
        <w:tc>
          <w:tcPr>
            <w:tcW w:w="0" w:type="auto"/>
            <w:shd w:val="clear" w:color="auto" w:fill="auto"/>
          </w:tcPr>
          <w:p w14:paraId="33DAD512" w14:textId="77777777" w:rsidR="004D6A64" w:rsidRDefault="004D6A64">
            <w:pPr>
              <w:rPr>
                <w:rFonts w:ascii="宋体"/>
              </w:rPr>
            </w:pPr>
          </w:p>
        </w:tc>
        <w:tc>
          <w:tcPr>
            <w:tcW w:w="0" w:type="auto"/>
            <w:shd w:val="clear" w:color="auto" w:fill="auto"/>
          </w:tcPr>
          <w:p w14:paraId="33DAD513" w14:textId="77777777" w:rsidR="004D6A64" w:rsidRDefault="004D6A64">
            <w:pPr>
              <w:rPr>
                <w:rFonts w:ascii="宋体"/>
              </w:rPr>
            </w:pPr>
          </w:p>
        </w:tc>
        <w:tc>
          <w:tcPr>
            <w:tcW w:w="0" w:type="auto"/>
            <w:shd w:val="clear" w:color="auto" w:fill="auto"/>
          </w:tcPr>
          <w:p w14:paraId="33DAD514" w14:textId="77777777" w:rsidR="004D6A64" w:rsidRDefault="004D6A64">
            <w:pPr>
              <w:rPr>
                <w:rFonts w:ascii="宋体"/>
              </w:rPr>
            </w:pPr>
          </w:p>
        </w:tc>
        <w:tc>
          <w:tcPr>
            <w:tcW w:w="0" w:type="auto"/>
            <w:shd w:val="clear" w:color="auto" w:fill="auto"/>
          </w:tcPr>
          <w:p w14:paraId="33DAD515" w14:textId="77777777" w:rsidR="004D6A64" w:rsidRDefault="004D6A64">
            <w:pPr>
              <w:rPr>
                <w:rFonts w:ascii="宋体"/>
              </w:rPr>
            </w:pPr>
          </w:p>
        </w:tc>
        <w:tc>
          <w:tcPr>
            <w:tcW w:w="0" w:type="auto"/>
            <w:shd w:val="clear" w:color="auto" w:fill="auto"/>
          </w:tcPr>
          <w:p w14:paraId="33DAD516" w14:textId="77777777" w:rsidR="004D6A64" w:rsidRDefault="004D6A64">
            <w:pPr>
              <w:rPr>
                <w:rFonts w:ascii="宋体"/>
              </w:rPr>
            </w:pPr>
          </w:p>
        </w:tc>
        <w:tc>
          <w:tcPr>
            <w:tcW w:w="0" w:type="auto"/>
            <w:shd w:val="clear" w:color="auto" w:fill="auto"/>
          </w:tcPr>
          <w:p w14:paraId="33DAD517" w14:textId="77777777" w:rsidR="004D6A64" w:rsidRDefault="004D6A64">
            <w:pPr>
              <w:rPr>
                <w:rFonts w:ascii="宋体"/>
              </w:rPr>
            </w:pPr>
          </w:p>
        </w:tc>
        <w:tc>
          <w:tcPr>
            <w:tcW w:w="0" w:type="auto"/>
            <w:shd w:val="clear" w:color="auto" w:fill="auto"/>
          </w:tcPr>
          <w:p w14:paraId="33DAD518" w14:textId="77777777" w:rsidR="004D6A64" w:rsidRDefault="004D6A64">
            <w:pPr>
              <w:rPr>
                <w:rFonts w:ascii="宋体"/>
              </w:rPr>
            </w:pPr>
          </w:p>
        </w:tc>
        <w:tc>
          <w:tcPr>
            <w:tcW w:w="0" w:type="auto"/>
            <w:shd w:val="clear" w:color="auto" w:fill="auto"/>
          </w:tcPr>
          <w:p w14:paraId="33DAD519" w14:textId="77777777" w:rsidR="004D6A64" w:rsidRDefault="004D6A64">
            <w:pPr>
              <w:rPr>
                <w:rFonts w:ascii="宋体"/>
              </w:rPr>
            </w:pPr>
          </w:p>
        </w:tc>
        <w:tc>
          <w:tcPr>
            <w:tcW w:w="0" w:type="auto"/>
            <w:shd w:val="clear" w:color="auto" w:fill="auto"/>
          </w:tcPr>
          <w:p w14:paraId="33DAD51A" w14:textId="77777777" w:rsidR="004D6A64" w:rsidRDefault="004D6A64">
            <w:pPr>
              <w:rPr>
                <w:rFonts w:ascii="宋体"/>
              </w:rPr>
            </w:pPr>
          </w:p>
        </w:tc>
      </w:tr>
      <w:tr w:rsidR="004D6A64" w14:paraId="33DAD53E" w14:textId="77777777">
        <w:tc>
          <w:tcPr>
            <w:tcW w:w="0" w:type="auto"/>
            <w:gridSpan w:val="3"/>
            <w:shd w:val="clear" w:color="auto" w:fill="CCEEFF"/>
            <w:tcMar>
              <w:top w:w="40" w:type="dxa"/>
              <w:left w:w="240" w:type="dxa"/>
              <w:bottom w:w="40" w:type="dxa"/>
              <w:right w:w="20" w:type="dxa"/>
            </w:tcMar>
            <w:vAlign w:val="center"/>
          </w:tcPr>
          <w:p w14:paraId="33DAD51C" w14:textId="77777777" w:rsidR="004D6A64" w:rsidRDefault="00506CD6">
            <w:pPr>
              <w:textAlignment w:val="center"/>
            </w:pPr>
            <w:r>
              <w:rPr>
                <w:rFonts w:ascii="Times New Roman" w:eastAsia="宋体" w:hAnsi="Times New Roman"/>
                <w:color w:val="000000"/>
                <w:sz w:val="20"/>
                <w:szCs w:val="20"/>
              </w:rPr>
              <w:t>Servers and networking</w:t>
            </w:r>
          </w:p>
        </w:tc>
        <w:tc>
          <w:tcPr>
            <w:tcW w:w="0" w:type="auto"/>
            <w:shd w:val="clear" w:color="auto" w:fill="CCEEFF"/>
            <w:tcMar>
              <w:top w:w="40" w:type="dxa"/>
              <w:left w:w="20" w:type="dxa"/>
              <w:bottom w:w="40" w:type="dxa"/>
            </w:tcMar>
            <w:vAlign w:val="center"/>
          </w:tcPr>
          <w:p w14:paraId="33DAD51D"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D51E" w14:textId="77777777" w:rsidR="004D6A64" w:rsidRDefault="00506CD6">
            <w:pPr>
              <w:jc w:val="right"/>
              <w:textAlignment w:val="center"/>
            </w:pPr>
            <w:r>
              <w:rPr>
                <w:rFonts w:ascii="Times New Roman" w:eastAsia="宋体" w:hAnsi="Times New Roman"/>
                <w:color w:val="000000"/>
                <w:sz w:val="20"/>
                <w:szCs w:val="20"/>
              </w:rPr>
              <w:t>4,196 </w:t>
            </w:r>
          </w:p>
        </w:tc>
        <w:tc>
          <w:tcPr>
            <w:tcW w:w="0" w:type="auto"/>
            <w:shd w:val="clear" w:color="auto" w:fill="CCEEFF"/>
            <w:tcMar>
              <w:top w:w="40" w:type="dxa"/>
              <w:bottom w:w="40" w:type="dxa"/>
              <w:right w:w="20" w:type="dxa"/>
            </w:tcMar>
            <w:vAlign w:val="center"/>
          </w:tcPr>
          <w:p w14:paraId="33DAD51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520"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D521"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D522" w14:textId="77777777" w:rsidR="004D6A64" w:rsidRDefault="00506CD6">
            <w:pPr>
              <w:jc w:val="right"/>
              <w:textAlignment w:val="center"/>
            </w:pPr>
            <w:r>
              <w:rPr>
                <w:rFonts w:ascii="Times New Roman" w:eastAsia="宋体" w:hAnsi="Times New Roman"/>
                <w:color w:val="000000"/>
                <w:sz w:val="20"/>
                <w:szCs w:val="20"/>
              </w:rPr>
              <w:t>4,437 </w:t>
            </w:r>
          </w:p>
        </w:tc>
        <w:tc>
          <w:tcPr>
            <w:tcW w:w="0" w:type="auto"/>
            <w:shd w:val="clear" w:color="auto" w:fill="CCEEFF"/>
            <w:tcMar>
              <w:top w:w="40" w:type="dxa"/>
              <w:bottom w:w="40" w:type="dxa"/>
              <w:right w:w="20" w:type="dxa"/>
            </w:tcMar>
            <w:vAlign w:val="center"/>
          </w:tcPr>
          <w:p w14:paraId="33DAD52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524"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D525"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D526" w14:textId="77777777" w:rsidR="004D6A64" w:rsidRDefault="00506CD6">
            <w:pPr>
              <w:jc w:val="right"/>
              <w:textAlignment w:val="center"/>
            </w:pPr>
            <w:r>
              <w:rPr>
                <w:rFonts w:ascii="Times New Roman" w:eastAsia="宋体" w:hAnsi="Times New Roman"/>
                <w:color w:val="000000"/>
                <w:sz w:val="20"/>
                <w:szCs w:val="20"/>
              </w:rPr>
              <w:t>7,954 </w:t>
            </w:r>
          </w:p>
        </w:tc>
        <w:tc>
          <w:tcPr>
            <w:tcW w:w="0" w:type="auto"/>
            <w:shd w:val="clear" w:color="auto" w:fill="CCEEFF"/>
            <w:tcMar>
              <w:top w:w="40" w:type="dxa"/>
              <w:bottom w:w="40" w:type="dxa"/>
              <w:right w:w="20" w:type="dxa"/>
            </w:tcMar>
            <w:vAlign w:val="center"/>
          </w:tcPr>
          <w:p w14:paraId="33DAD52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528"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D529"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D52A" w14:textId="77777777" w:rsidR="004D6A64" w:rsidRDefault="00506CD6">
            <w:pPr>
              <w:jc w:val="right"/>
              <w:textAlignment w:val="center"/>
            </w:pPr>
            <w:r>
              <w:rPr>
                <w:rFonts w:ascii="Times New Roman" w:eastAsia="宋体" w:hAnsi="Times New Roman"/>
                <w:color w:val="000000"/>
                <w:sz w:val="20"/>
                <w:szCs w:val="20"/>
              </w:rPr>
              <w:t>8,617 </w:t>
            </w:r>
          </w:p>
        </w:tc>
        <w:tc>
          <w:tcPr>
            <w:tcW w:w="0" w:type="auto"/>
            <w:shd w:val="clear" w:color="auto" w:fill="CCEEFF"/>
            <w:tcMar>
              <w:top w:w="40" w:type="dxa"/>
              <w:bottom w:w="40" w:type="dxa"/>
              <w:right w:w="20" w:type="dxa"/>
            </w:tcMar>
            <w:vAlign w:val="center"/>
          </w:tcPr>
          <w:p w14:paraId="33DAD52B" w14:textId="77777777" w:rsidR="004D6A64" w:rsidRDefault="004D6A64">
            <w:pPr>
              <w:jc w:val="right"/>
              <w:rPr>
                <w:rFonts w:ascii="宋体"/>
              </w:rPr>
            </w:pPr>
          </w:p>
        </w:tc>
        <w:tc>
          <w:tcPr>
            <w:tcW w:w="0" w:type="auto"/>
            <w:shd w:val="clear" w:color="auto" w:fill="auto"/>
          </w:tcPr>
          <w:p w14:paraId="33DAD52C" w14:textId="77777777" w:rsidR="004D6A64" w:rsidRDefault="004D6A64">
            <w:pPr>
              <w:rPr>
                <w:rFonts w:ascii="宋体"/>
              </w:rPr>
            </w:pPr>
          </w:p>
        </w:tc>
        <w:tc>
          <w:tcPr>
            <w:tcW w:w="0" w:type="auto"/>
            <w:shd w:val="clear" w:color="auto" w:fill="auto"/>
          </w:tcPr>
          <w:p w14:paraId="33DAD52D" w14:textId="77777777" w:rsidR="004D6A64" w:rsidRDefault="004D6A64">
            <w:pPr>
              <w:rPr>
                <w:rFonts w:ascii="宋体"/>
              </w:rPr>
            </w:pPr>
          </w:p>
        </w:tc>
        <w:tc>
          <w:tcPr>
            <w:tcW w:w="0" w:type="auto"/>
            <w:shd w:val="clear" w:color="auto" w:fill="auto"/>
          </w:tcPr>
          <w:p w14:paraId="33DAD52E" w14:textId="77777777" w:rsidR="004D6A64" w:rsidRDefault="004D6A64">
            <w:pPr>
              <w:rPr>
                <w:rFonts w:ascii="宋体"/>
              </w:rPr>
            </w:pPr>
          </w:p>
        </w:tc>
        <w:tc>
          <w:tcPr>
            <w:tcW w:w="0" w:type="auto"/>
            <w:shd w:val="clear" w:color="auto" w:fill="auto"/>
          </w:tcPr>
          <w:p w14:paraId="33DAD52F" w14:textId="77777777" w:rsidR="004D6A64" w:rsidRDefault="004D6A64">
            <w:pPr>
              <w:rPr>
                <w:rFonts w:ascii="宋体"/>
              </w:rPr>
            </w:pPr>
          </w:p>
        </w:tc>
        <w:tc>
          <w:tcPr>
            <w:tcW w:w="0" w:type="auto"/>
            <w:shd w:val="clear" w:color="auto" w:fill="auto"/>
          </w:tcPr>
          <w:p w14:paraId="33DAD530" w14:textId="77777777" w:rsidR="004D6A64" w:rsidRDefault="004D6A64">
            <w:pPr>
              <w:rPr>
                <w:rFonts w:ascii="宋体"/>
              </w:rPr>
            </w:pPr>
          </w:p>
        </w:tc>
        <w:tc>
          <w:tcPr>
            <w:tcW w:w="0" w:type="auto"/>
            <w:shd w:val="clear" w:color="auto" w:fill="auto"/>
          </w:tcPr>
          <w:p w14:paraId="33DAD531" w14:textId="77777777" w:rsidR="004D6A64" w:rsidRDefault="004D6A64">
            <w:pPr>
              <w:rPr>
                <w:rFonts w:ascii="宋体"/>
              </w:rPr>
            </w:pPr>
          </w:p>
        </w:tc>
        <w:tc>
          <w:tcPr>
            <w:tcW w:w="0" w:type="auto"/>
            <w:shd w:val="clear" w:color="auto" w:fill="auto"/>
          </w:tcPr>
          <w:p w14:paraId="33DAD532" w14:textId="77777777" w:rsidR="004D6A64" w:rsidRDefault="004D6A64">
            <w:pPr>
              <w:rPr>
                <w:rFonts w:ascii="宋体"/>
              </w:rPr>
            </w:pPr>
          </w:p>
        </w:tc>
        <w:tc>
          <w:tcPr>
            <w:tcW w:w="0" w:type="auto"/>
            <w:shd w:val="clear" w:color="auto" w:fill="auto"/>
          </w:tcPr>
          <w:p w14:paraId="33DAD533" w14:textId="77777777" w:rsidR="004D6A64" w:rsidRDefault="004D6A64">
            <w:pPr>
              <w:rPr>
                <w:rFonts w:ascii="宋体"/>
              </w:rPr>
            </w:pPr>
          </w:p>
        </w:tc>
        <w:tc>
          <w:tcPr>
            <w:tcW w:w="0" w:type="auto"/>
            <w:shd w:val="clear" w:color="auto" w:fill="auto"/>
          </w:tcPr>
          <w:p w14:paraId="33DAD534" w14:textId="77777777" w:rsidR="004D6A64" w:rsidRDefault="004D6A64">
            <w:pPr>
              <w:rPr>
                <w:rFonts w:ascii="宋体"/>
              </w:rPr>
            </w:pPr>
          </w:p>
        </w:tc>
        <w:tc>
          <w:tcPr>
            <w:tcW w:w="0" w:type="auto"/>
            <w:shd w:val="clear" w:color="auto" w:fill="auto"/>
          </w:tcPr>
          <w:p w14:paraId="33DAD535" w14:textId="77777777" w:rsidR="004D6A64" w:rsidRDefault="004D6A64">
            <w:pPr>
              <w:rPr>
                <w:rFonts w:ascii="宋体"/>
              </w:rPr>
            </w:pPr>
          </w:p>
        </w:tc>
        <w:tc>
          <w:tcPr>
            <w:tcW w:w="0" w:type="auto"/>
            <w:shd w:val="clear" w:color="auto" w:fill="auto"/>
          </w:tcPr>
          <w:p w14:paraId="33DAD536" w14:textId="77777777" w:rsidR="004D6A64" w:rsidRDefault="004D6A64">
            <w:pPr>
              <w:rPr>
                <w:rFonts w:ascii="宋体"/>
              </w:rPr>
            </w:pPr>
          </w:p>
        </w:tc>
        <w:tc>
          <w:tcPr>
            <w:tcW w:w="0" w:type="auto"/>
            <w:shd w:val="clear" w:color="auto" w:fill="auto"/>
          </w:tcPr>
          <w:p w14:paraId="33DAD537" w14:textId="77777777" w:rsidR="004D6A64" w:rsidRDefault="004D6A64">
            <w:pPr>
              <w:rPr>
                <w:rFonts w:ascii="宋体"/>
              </w:rPr>
            </w:pPr>
          </w:p>
        </w:tc>
        <w:tc>
          <w:tcPr>
            <w:tcW w:w="0" w:type="auto"/>
            <w:shd w:val="clear" w:color="auto" w:fill="auto"/>
          </w:tcPr>
          <w:p w14:paraId="33DAD538" w14:textId="77777777" w:rsidR="004D6A64" w:rsidRDefault="004D6A64">
            <w:pPr>
              <w:rPr>
                <w:rFonts w:ascii="宋体"/>
              </w:rPr>
            </w:pPr>
          </w:p>
        </w:tc>
        <w:tc>
          <w:tcPr>
            <w:tcW w:w="0" w:type="auto"/>
            <w:shd w:val="clear" w:color="auto" w:fill="auto"/>
          </w:tcPr>
          <w:p w14:paraId="33DAD539" w14:textId="77777777" w:rsidR="004D6A64" w:rsidRDefault="004D6A64">
            <w:pPr>
              <w:rPr>
                <w:rFonts w:ascii="宋体"/>
              </w:rPr>
            </w:pPr>
          </w:p>
        </w:tc>
        <w:tc>
          <w:tcPr>
            <w:tcW w:w="0" w:type="auto"/>
            <w:shd w:val="clear" w:color="auto" w:fill="auto"/>
          </w:tcPr>
          <w:p w14:paraId="33DAD53A" w14:textId="77777777" w:rsidR="004D6A64" w:rsidRDefault="004D6A64">
            <w:pPr>
              <w:rPr>
                <w:rFonts w:ascii="宋体"/>
              </w:rPr>
            </w:pPr>
          </w:p>
        </w:tc>
        <w:tc>
          <w:tcPr>
            <w:tcW w:w="0" w:type="auto"/>
            <w:shd w:val="clear" w:color="auto" w:fill="auto"/>
          </w:tcPr>
          <w:p w14:paraId="33DAD53B" w14:textId="77777777" w:rsidR="004D6A64" w:rsidRDefault="004D6A64">
            <w:pPr>
              <w:rPr>
                <w:rFonts w:ascii="宋体"/>
              </w:rPr>
            </w:pPr>
          </w:p>
        </w:tc>
        <w:tc>
          <w:tcPr>
            <w:tcW w:w="0" w:type="auto"/>
            <w:shd w:val="clear" w:color="auto" w:fill="auto"/>
          </w:tcPr>
          <w:p w14:paraId="33DAD53C" w14:textId="77777777" w:rsidR="004D6A64" w:rsidRDefault="004D6A64">
            <w:pPr>
              <w:rPr>
                <w:rFonts w:ascii="宋体"/>
              </w:rPr>
            </w:pPr>
          </w:p>
        </w:tc>
        <w:tc>
          <w:tcPr>
            <w:tcW w:w="0" w:type="auto"/>
            <w:shd w:val="clear" w:color="auto" w:fill="auto"/>
          </w:tcPr>
          <w:p w14:paraId="33DAD53D" w14:textId="77777777" w:rsidR="004D6A64" w:rsidRDefault="004D6A64">
            <w:pPr>
              <w:rPr>
                <w:rFonts w:ascii="宋体"/>
              </w:rPr>
            </w:pPr>
          </w:p>
        </w:tc>
      </w:tr>
      <w:tr w:rsidR="004D6A64" w14:paraId="33DAD55D" w14:textId="77777777">
        <w:tc>
          <w:tcPr>
            <w:tcW w:w="0" w:type="auto"/>
            <w:gridSpan w:val="3"/>
            <w:shd w:val="clear" w:color="auto" w:fill="FFFFFF"/>
            <w:tcMar>
              <w:top w:w="40" w:type="dxa"/>
              <w:left w:w="240" w:type="dxa"/>
              <w:bottom w:w="40" w:type="dxa"/>
              <w:right w:w="20" w:type="dxa"/>
            </w:tcMar>
            <w:vAlign w:val="center"/>
          </w:tcPr>
          <w:p w14:paraId="33DAD53F" w14:textId="77777777" w:rsidR="004D6A64" w:rsidRDefault="00506CD6">
            <w:pPr>
              <w:textAlignment w:val="center"/>
            </w:pPr>
            <w:r>
              <w:rPr>
                <w:rFonts w:ascii="Times New Roman" w:eastAsia="宋体" w:hAnsi="Times New Roman"/>
                <w:color w:val="000000"/>
                <w:sz w:val="20"/>
                <w:szCs w:val="20"/>
              </w:rPr>
              <w:t>Storage</w:t>
            </w:r>
          </w:p>
        </w:tc>
        <w:tc>
          <w:tcPr>
            <w:tcW w:w="0" w:type="auto"/>
            <w:gridSpan w:val="2"/>
            <w:shd w:val="clear" w:color="auto" w:fill="FFFFFF"/>
            <w:tcMar>
              <w:top w:w="40" w:type="dxa"/>
              <w:left w:w="20" w:type="dxa"/>
              <w:bottom w:w="40" w:type="dxa"/>
              <w:right w:w="0" w:type="dxa"/>
            </w:tcMar>
            <w:vAlign w:val="center"/>
          </w:tcPr>
          <w:p w14:paraId="33DAD540" w14:textId="77777777" w:rsidR="004D6A64" w:rsidRDefault="00506CD6">
            <w:pPr>
              <w:jc w:val="right"/>
              <w:textAlignment w:val="center"/>
            </w:pPr>
            <w:r>
              <w:rPr>
                <w:rFonts w:ascii="Times New Roman" w:eastAsia="宋体" w:hAnsi="Times New Roman"/>
                <w:color w:val="000000"/>
                <w:sz w:val="20"/>
                <w:szCs w:val="20"/>
              </w:rPr>
              <w:t>4,011 </w:t>
            </w:r>
          </w:p>
        </w:tc>
        <w:tc>
          <w:tcPr>
            <w:tcW w:w="0" w:type="auto"/>
            <w:shd w:val="clear" w:color="auto" w:fill="FFFFFF"/>
            <w:tcMar>
              <w:top w:w="40" w:type="dxa"/>
              <w:bottom w:w="40" w:type="dxa"/>
              <w:right w:w="20" w:type="dxa"/>
            </w:tcMar>
            <w:vAlign w:val="center"/>
          </w:tcPr>
          <w:p w14:paraId="33DAD54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542"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543" w14:textId="77777777" w:rsidR="004D6A64" w:rsidRDefault="00506CD6">
            <w:pPr>
              <w:jc w:val="right"/>
              <w:textAlignment w:val="center"/>
            </w:pPr>
            <w:r>
              <w:rPr>
                <w:rFonts w:ascii="Times New Roman" w:eastAsia="宋体" w:hAnsi="Times New Roman"/>
                <w:color w:val="000000"/>
                <w:sz w:val="20"/>
                <w:szCs w:val="20"/>
              </w:rPr>
              <w:t>4,184 </w:t>
            </w:r>
          </w:p>
        </w:tc>
        <w:tc>
          <w:tcPr>
            <w:tcW w:w="0" w:type="auto"/>
            <w:shd w:val="clear" w:color="auto" w:fill="FFFFFF"/>
            <w:tcMar>
              <w:top w:w="40" w:type="dxa"/>
              <w:bottom w:w="40" w:type="dxa"/>
              <w:right w:w="20" w:type="dxa"/>
            </w:tcMar>
            <w:vAlign w:val="center"/>
          </w:tcPr>
          <w:p w14:paraId="33DAD54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545"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546" w14:textId="77777777" w:rsidR="004D6A64" w:rsidRDefault="00506CD6">
            <w:pPr>
              <w:jc w:val="right"/>
              <w:textAlignment w:val="center"/>
            </w:pPr>
            <w:r>
              <w:rPr>
                <w:rFonts w:ascii="Times New Roman" w:eastAsia="宋体" w:hAnsi="Times New Roman"/>
                <w:color w:val="000000"/>
                <w:sz w:val="20"/>
                <w:szCs w:val="20"/>
              </w:rPr>
              <w:t>7,822 </w:t>
            </w:r>
          </w:p>
        </w:tc>
        <w:tc>
          <w:tcPr>
            <w:tcW w:w="0" w:type="auto"/>
            <w:shd w:val="clear" w:color="auto" w:fill="FFFFFF"/>
            <w:tcMar>
              <w:top w:w="40" w:type="dxa"/>
              <w:bottom w:w="40" w:type="dxa"/>
              <w:right w:w="20" w:type="dxa"/>
            </w:tcMar>
            <w:vAlign w:val="center"/>
          </w:tcPr>
          <w:p w14:paraId="33DAD54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548"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549" w14:textId="77777777" w:rsidR="004D6A64" w:rsidRDefault="00506CD6">
            <w:pPr>
              <w:jc w:val="right"/>
              <w:textAlignment w:val="center"/>
            </w:pPr>
            <w:r>
              <w:rPr>
                <w:rFonts w:ascii="Times New Roman" w:eastAsia="宋体" w:hAnsi="Times New Roman"/>
                <w:color w:val="000000"/>
                <w:sz w:val="20"/>
                <w:szCs w:val="20"/>
              </w:rPr>
              <w:t>8,206 </w:t>
            </w:r>
          </w:p>
        </w:tc>
        <w:tc>
          <w:tcPr>
            <w:tcW w:w="0" w:type="auto"/>
            <w:shd w:val="clear" w:color="auto" w:fill="FFFFFF"/>
            <w:tcMar>
              <w:top w:w="40" w:type="dxa"/>
              <w:bottom w:w="40" w:type="dxa"/>
              <w:right w:w="20" w:type="dxa"/>
            </w:tcMar>
            <w:vAlign w:val="center"/>
          </w:tcPr>
          <w:p w14:paraId="33DAD54A" w14:textId="77777777" w:rsidR="004D6A64" w:rsidRDefault="004D6A64">
            <w:pPr>
              <w:jc w:val="right"/>
              <w:rPr>
                <w:rFonts w:ascii="宋体"/>
              </w:rPr>
            </w:pPr>
          </w:p>
        </w:tc>
        <w:tc>
          <w:tcPr>
            <w:tcW w:w="0" w:type="auto"/>
            <w:shd w:val="clear" w:color="auto" w:fill="auto"/>
          </w:tcPr>
          <w:p w14:paraId="33DAD54B" w14:textId="77777777" w:rsidR="004D6A64" w:rsidRDefault="004D6A64">
            <w:pPr>
              <w:rPr>
                <w:rFonts w:ascii="宋体"/>
              </w:rPr>
            </w:pPr>
          </w:p>
        </w:tc>
        <w:tc>
          <w:tcPr>
            <w:tcW w:w="0" w:type="auto"/>
            <w:shd w:val="clear" w:color="auto" w:fill="auto"/>
          </w:tcPr>
          <w:p w14:paraId="33DAD54C" w14:textId="77777777" w:rsidR="004D6A64" w:rsidRDefault="004D6A64">
            <w:pPr>
              <w:rPr>
                <w:rFonts w:ascii="宋体"/>
              </w:rPr>
            </w:pPr>
          </w:p>
        </w:tc>
        <w:tc>
          <w:tcPr>
            <w:tcW w:w="0" w:type="auto"/>
            <w:shd w:val="clear" w:color="auto" w:fill="auto"/>
          </w:tcPr>
          <w:p w14:paraId="33DAD54D" w14:textId="77777777" w:rsidR="004D6A64" w:rsidRDefault="004D6A64">
            <w:pPr>
              <w:rPr>
                <w:rFonts w:ascii="宋体"/>
              </w:rPr>
            </w:pPr>
          </w:p>
        </w:tc>
        <w:tc>
          <w:tcPr>
            <w:tcW w:w="0" w:type="auto"/>
            <w:shd w:val="clear" w:color="auto" w:fill="auto"/>
          </w:tcPr>
          <w:p w14:paraId="33DAD54E" w14:textId="77777777" w:rsidR="004D6A64" w:rsidRDefault="004D6A64">
            <w:pPr>
              <w:rPr>
                <w:rFonts w:ascii="宋体"/>
              </w:rPr>
            </w:pPr>
          </w:p>
        </w:tc>
        <w:tc>
          <w:tcPr>
            <w:tcW w:w="0" w:type="auto"/>
            <w:shd w:val="clear" w:color="auto" w:fill="auto"/>
          </w:tcPr>
          <w:p w14:paraId="33DAD54F" w14:textId="77777777" w:rsidR="004D6A64" w:rsidRDefault="004D6A64">
            <w:pPr>
              <w:rPr>
                <w:rFonts w:ascii="宋体"/>
              </w:rPr>
            </w:pPr>
          </w:p>
        </w:tc>
        <w:tc>
          <w:tcPr>
            <w:tcW w:w="0" w:type="auto"/>
            <w:shd w:val="clear" w:color="auto" w:fill="auto"/>
          </w:tcPr>
          <w:p w14:paraId="33DAD550" w14:textId="77777777" w:rsidR="004D6A64" w:rsidRDefault="004D6A64">
            <w:pPr>
              <w:rPr>
                <w:rFonts w:ascii="宋体"/>
              </w:rPr>
            </w:pPr>
          </w:p>
        </w:tc>
        <w:tc>
          <w:tcPr>
            <w:tcW w:w="0" w:type="auto"/>
            <w:shd w:val="clear" w:color="auto" w:fill="auto"/>
          </w:tcPr>
          <w:p w14:paraId="33DAD551" w14:textId="77777777" w:rsidR="004D6A64" w:rsidRDefault="004D6A64">
            <w:pPr>
              <w:rPr>
                <w:rFonts w:ascii="宋体"/>
              </w:rPr>
            </w:pPr>
          </w:p>
        </w:tc>
        <w:tc>
          <w:tcPr>
            <w:tcW w:w="0" w:type="auto"/>
            <w:shd w:val="clear" w:color="auto" w:fill="auto"/>
          </w:tcPr>
          <w:p w14:paraId="33DAD552" w14:textId="77777777" w:rsidR="004D6A64" w:rsidRDefault="004D6A64">
            <w:pPr>
              <w:rPr>
                <w:rFonts w:ascii="宋体"/>
              </w:rPr>
            </w:pPr>
          </w:p>
        </w:tc>
        <w:tc>
          <w:tcPr>
            <w:tcW w:w="0" w:type="auto"/>
            <w:shd w:val="clear" w:color="auto" w:fill="auto"/>
          </w:tcPr>
          <w:p w14:paraId="33DAD553" w14:textId="77777777" w:rsidR="004D6A64" w:rsidRDefault="004D6A64">
            <w:pPr>
              <w:rPr>
                <w:rFonts w:ascii="宋体"/>
              </w:rPr>
            </w:pPr>
          </w:p>
        </w:tc>
        <w:tc>
          <w:tcPr>
            <w:tcW w:w="0" w:type="auto"/>
            <w:shd w:val="clear" w:color="auto" w:fill="auto"/>
          </w:tcPr>
          <w:p w14:paraId="33DAD554" w14:textId="77777777" w:rsidR="004D6A64" w:rsidRDefault="004D6A64">
            <w:pPr>
              <w:rPr>
                <w:rFonts w:ascii="宋体"/>
              </w:rPr>
            </w:pPr>
          </w:p>
        </w:tc>
        <w:tc>
          <w:tcPr>
            <w:tcW w:w="0" w:type="auto"/>
            <w:shd w:val="clear" w:color="auto" w:fill="auto"/>
          </w:tcPr>
          <w:p w14:paraId="33DAD555" w14:textId="77777777" w:rsidR="004D6A64" w:rsidRDefault="004D6A64">
            <w:pPr>
              <w:rPr>
                <w:rFonts w:ascii="宋体"/>
              </w:rPr>
            </w:pPr>
          </w:p>
        </w:tc>
        <w:tc>
          <w:tcPr>
            <w:tcW w:w="0" w:type="auto"/>
            <w:shd w:val="clear" w:color="auto" w:fill="auto"/>
          </w:tcPr>
          <w:p w14:paraId="33DAD556" w14:textId="77777777" w:rsidR="004D6A64" w:rsidRDefault="004D6A64">
            <w:pPr>
              <w:rPr>
                <w:rFonts w:ascii="宋体"/>
              </w:rPr>
            </w:pPr>
          </w:p>
        </w:tc>
        <w:tc>
          <w:tcPr>
            <w:tcW w:w="0" w:type="auto"/>
            <w:shd w:val="clear" w:color="auto" w:fill="auto"/>
          </w:tcPr>
          <w:p w14:paraId="33DAD557" w14:textId="77777777" w:rsidR="004D6A64" w:rsidRDefault="004D6A64">
            <w:pPr>
              <w:rPr>
                <w:rFonts w:ascii="宋体"/>
              </w:rPr>
            </w:pPr>
          </w:p>
        </w:tc>
        <w:tc>
          <w:tcPr>
            <w:tcW w:w="0" w:type="auto"/>
            <w:shd w:val="clear" w:color="auto" w:fill="auto"/>
          </w:tcPr>
          <w:p w14:paraId="33DAD558" w14:textId="77777777" w:rsidR="004D6A64" w:rsidRDefault="004D6A64">
            <w:pPr>
              <w:rPr>
                <w:rFonts w:ascii="宋体"/>
              </w:rPr>
            </w:pPr>
          </w:p>
        </w:tc>
        <w:tc>
          <w:tcPr>
            <w:tcW w:w="0" w:type="auto"/>
            <w:shd w:val="clear" w:color="auto" w:fill="auto"/>
          </w:tcPr>
          <w:p w14:paraId="33DAD559" w14:textId="77777777" w:rsidR="004D6A64" w:rsidRDefault="004D6A64">
            <w:pPr>
              <w:rPr>
                <w:rFonts w:ascii="宋体"/>
              </w:rPr>
            </w:pPr>
          </w:p>
        </w:tc>
        <w:tc>
          <w:tcPr>
            <w:tcW w:w="0" w:type="auto"/>
            <w:shd w:val="clear" w:color="auto" w:fill="auto"/>
          </w:tcPr>
          <w:p w14:paraId="33DAD55A" w14:textId="77777777" w:rsidR="004D6A64" w:rsidRDefault="004D6A64">
            <w:pPr>
              <w:rPr>
                <w:rFonts w:ascii="宋体"/>
              </w:rPr>
            </w:pPr>
          </w:p>
        </w:tc>
        <w:tc>
          <w:tcPr>
            <w:tcW w:w="0" w:type="auto"/>
            <w:shd w:val="clear" w:color="auto" w:fill="auto"/>
          </w:tcPr>
          <w:p w14:paraId="33DAD55B" w14:textId="77777777" w:rsidR="004D6A64" w:rsidRDefault="004D6A64">
            <w:pPr>
              <w:rPr>
                <w:rFonts w:ascii="宋体"/>
              </w:rPr>
            </w:pPr>
          </w:p>
        </w:tc>
        <w:tc>
          <w:tcPr>
            <w:tcW w:w="0" w:type="auto"/>
            <w:shd w:val="clear" w:color="auto" w:fill="auto"/>
          </w:tcPr>
          <w:p w14:paraId="33DAD55C" w14:textId="77777777" w:rsidR="004D6A64" w:rsidRDefault="004D6A64">
            <w:pPr>
              <w:rPr>
                <w:rFonts w:ascii="宋体"/>
              </w:rPr>
            </w:pPr>
          </w:p>
        </w:tc>
      </w:tr>
      <w:tr w:rsidR="004D6A64" w14:paraId="33DAD57C" w14:textId="77777777">
        <w:tc>
          <w:tcPr>
            <w:tcW w:w="0" w:type="auto"/>
            <w:gridSpan w:val="3"/>
            <w:shd w:val="clear" w:color="auto" w:fill="CCEEFF"/>
            <w:tcMar>
              <w:top w:w="40" w:type="dxa"/>
              <w:left w:w="465" w:type="dxa"/>
              <w:bottom w:w="40" w:type="dxa"/>
              <w:right w:w="20" w:type="dxa"/>
            </w:tcMar>
            <w:vAlign w:val="center"/>
          </w:tcPr>
          <w:p w14:paraId="33DAD55E" w14:textId="77777777" w:rsidR="004D6A64" w:rsidRDefault="00506CD6">
            <w:pPr>
              <w:textAlignment w:val="center"/>
            </w:pPr>
            <w:r>
              <w:rPr>
                <w:rFonts w:ascii="Times New Roman" w:eastAsia="宋体" w:hAnsi="Times New Roman"/>
                <w:color w:val="000000"/>
                <w:sz w:val="20"/>
                <w:szCs w:val="20"/>
              </w:rPr>
              <w:t>Total ISG net revenue</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D55F" w14:textId="77777777" w:rsidR="004D6A64" w:rsidRDefault="00506CD6">
            <w:pPr>
              <w:jc w:val="right"/>
              <w:textAlignment w:val="center"/>
            </w:pPr>
            <w:r>
              <w:rPr>
                <w:rFonts w:ascii="Times New Roman" w:eastAsia="宋体" w:hAnsi="Times New Roman"/>
                <w:color w:val="000000"/>
                <w:sz w:val="20"/>
                <w:szCs w:val="20"/>
              </w:rPr>
              <w:t>8,207 </w:t>
            </w:r>
          </w:p>
        </w:tc>
        <w:tc>
          <w:tcPr>
            <w:tcW w:w="0" w:type="auto"/>
            <w:tcBorders>
              <w:top w:val="single" w:sz="8" w:space="0" w:color="000000"/>
            </w:tcBorders>
            <w:shd w:val="clear" w:color="auto" w:fill="CCEEFF"/>
            <w:tcMar>
              <w:top w:w="40" w:type="dxa"/>
              <w:bottom w:w="40" w:type="dxa"/>
              <w:right w:w="20" w:type="dxa"/>
            </w:tcMar>
            <w:vAlign w:val="center"/>
          </w:tcPr>
          <w:p w14:paraId="33DAD56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561"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D562" w14:textId="77777777" w:rsidR="004D6A64" w:rsidRDefault="00506CD6">
            <w:pPr>
              <w:jc w:val="right"/>
              <w:textAlignment w:val="center"/>
            </w:pPr>
            <w:r>
              <w:rPr>
                <w:rFonts w:ascii="Times New Roman" w:eastAsia="宋体" w:hAnsi="Times New Roman"/>
                <w:color w:val="000000"/>
                <w:sz w:val="20"/>
                <w:szCs w:val="20"/>
              </w:rPr>
              <w:t>8,621 </w:t>
            </w:r>
          </w:p>
        </w:tc>
        <w:tc>
          <w:tcPr>
            <w:tcW w:w="0" w:type="auto"/>
            <w:tcBorders>
              <w:top w:val="single" w:sz="8" w:space="0" w:color="000000"/>
            </w:tcBorders>
            <w:shd w:val="clear" w:color="auto" w:fill="CCEEFF"/>
            <w:tcMar>
              <w:top w:w="40" w:type="dxa"/>
              <w:bottom w:w="40" w:type="dxa"/>
              <w:right w:w="20" w:type="dxa"/>
            </w:tcMar>
            <w:vAlign w:val="center"/>
          </w:tcPr>
          <w:p w14:paraId="33DAD56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564"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D565" w14:textId="77777777" w:rsidR="004D6A64" w:rsidRDefault="00506CD6">
            <w:pPr>
              <w:jc w:val="right"/>
              <w:textAlignment w:val="center"/>
            </w:pPr>
            <w:r>
              <w:rPr>
                <w:rFonts w:ascii="Times New Roman" w:eastAsia="宋体" w:hAnsi="Times New Roman"/>
                <w:color w:val="000000"/>
                <w:sz w:val="20"/>
                <w:szCs w:val="20"/>
              </w:rPr>
              <w:t>15,776 </w:t>
            </w:r>
          </w:p>
        </w:tc>
        <w:tc>
          <w:tcPr>
            <w:tcW w:w="0" w:type="auto"/>
            <w:tcBorders>
              <w:top w:val="single" w:sz="8" w:space="0" w:color="000000"/>
            </w:tcBorders>
            <w:shd w:val="clear" w:color="auto" w:fill="CCEEFF"/>
            <w:tcMar>
              <w:top w:w="40" w:type="dxa"/>
              <w:bottom w:w="40" w:type="dxa"/>
              <w:right w:w="20" w:type="dxa"/>
            </w:tcMar>
            <w:vAlign w:val="center"/>
          </w:tcPr>
          <w:p w14:paraId="33DAD56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567"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D568" w14:textId="77777777" w:rsidR="004D6A64" w:rsidRDefault="00506CD6">
            <w:pPr>
              <w:jc w:val="right"/>
              <w:textAlignment w:val="center"/>
            </w:pPr>
            <w:r>
              <w:rPr>
                <w:rFonts w:ascii="Times New Roman" w:eastAsia="宋体" w:hAnsi="Times New Roman"/>
                <w:color w:val="000000"/>
                <w:sz w:val="20"/>
                <w:szCs w:val="20"/>
              </w:rPr>
              <w:t>16,823 </w:t>
            </w:r>
          </w:p>
        </w:tc>
        <w:tc>
          <w:tcPr>
            <w:tcW w:w="0" w:type="auto"/>
            <w:tcBorders>
              <w:top w:val="single" w:sz="8" w:space="0" w:color="000000"/>
            </w:tcBorders>
            <w:shd w:val="clear" w:color="auto" w:fill="CCEEFF"/>
            <w:tcMar>
              <w:top w:w="40" w:type="dxa"/>
              <w:bottom w:w="40" w:type="dxa"/>
              <w:right w:w="20" w:type="dxa"/>
            </w:tcMar>
            <w:vAlign w:val="center"/>
          </w:tcPr>
          <w:p w14:paraId="33DAD569" w14:textId="77777777" w:rsidR="004D6A64" w:rsidRDefault="004D6A64">
            <w:pPr>
              <w:jc w:val="right"/>
              <w:rPr>
                <w:rFonts w:ascii="宋体"/>
              </w:rPr>
            </w:pPr>
          </w:p>
        </w:tc>
        <w:tc>
          <w:tcPr>
            <w:tcW w:w="0" w:type="auto"/>
            <w:shd w:val="clear" w:color="auto" w:fill="auto"/>
          </w:tcPr>
          <w:p w14:paraId="33DAD56A" w14:textId="77777777" w:rsidR="004D6A64" w:rsidRDefault="004D6A64">
            <w:pPr>
              <w:rPr>
                <w:rFonts w:ascii="宋体"/>
              </w:rPr>
            </w:pPr>
          </w:p>
        </w:tc>
        <w:tc>
          <w:tcPr>
            <w:tcW w:w="0" w:type="auto"/>
            <w:shd w:val="clear" w:color="auto" w:fill="auto"/>
          </w:tcPr>
          <w:p w14:paraId="33DAD56B" w14:textId="77777777" w:rsidR="004D6A64" w:rsidRDefault="004D6A64">
            <w:pPr>
              <w:rPr>
                <w:rFonts w:ascii="宋体"/>
              </w:rPr>
            </w:pPr>
          </w:p>
        </w:tc>
        <w:tc>
          <w:tcPr>
            <w:tcW w:w="0" w:type="auto"/>
            <w:shd w:val="clear" w:color="auto" w:fill="auto"/>
          </w:tcPr>
          <w:p w14:paraId="33DAD56C" w14:textId="77777777" w:rsidR="004D6A64" w:rsidRDefault="004D6A64">
            <w:pPr>
              <w:rPr>
                <w:rFonts w:ascii="宋体"/>
              </w:rPr>
            </w:pPr>
          </w:p>
        </w:tc>
        <w:tc>
          <w:tcPr>
            <w:tcW w:w="0" w:type="auto"/>
            <w:shd w:val="clear" w:color="auto" w:fill="auto"/>
          </w:tcPr>
          <w:p w14:paraId="33DAD56D" w14:textId="77777777" w:rsidR="004D6A64" w:rsidRDefault="004D6A64">
            <w:pPr>
              <w:rPr>
                <w:rFonts w:ascii="宋体"/>
              </w:rPr>
            </w:pPr>
          </w:p>
        </w:tc>
        <w:tc>
          <w:tcPr>
            <w:tcW w:w="0" w:type="auto"/>
            <w:shd w:val="clear" w:color="auto" w:fill="auto"/>
          </w:tcPr>
          <w:p w14:paraId="33DAD56E" w14:textId="77777777" w:rsidR="004D6A64" w:rsidRDefault="004D6A64">
            <w:pPr>
              <w:rPr>
                <w:rFonts w:ascii="宋体"/>
              </w:rPr>
            </w:pPr>
          </w:p>
        </w:tc>
        <w:tc>
          <w:tcPr>
            <w:tcW w:w="0" w:type="auto"/>
            <w:shd w:val="clear" w:color="auto" w:fill="auto"/>
          </w:tcPr>
          <w:p w14:paraId="33DAD56F" w14:textId="77777777" w:rsidR="004D6A64" w:rsidRDefault="004D6A64">
            <w:pPr>
              <w:rPr>
                <w:rFonts w:ascii="宋体"/>
              </w:rPr>
            </w:pPr>
          </w:p>
        </w:tc>
        <w:tc>
          <w:tcPr>
            <w:tcW w:w="0" w:type="auto"/>
            <w:shd w:val="clear" w:color="auto" w:fill="auto"/>
          </w:tcPr>
          <w:p w14:paraId="33DAD570" w14:textId="77777777" w:rsidR="004D6A64" w:rsidRDefault="004D6A64">
            <w:pPr>
              <w:rPr>
                <w:rFonts w:ascii="宋体"/>
              </w:rPr>
            </w:pPr>
          </w:p>
        </w:tc>
        <w:tc>
          <w:tcPr>
            <w:tcW w:w="0" w:type="auto"/>
            <w:shd w:val="clear" w:color="auto" w:fill="auto"/>
          </w:tcPr>
          <w:p w14:paraId="33DAD571" w14:textId="77777777" w:rsidR="004D6A64" w:rsidRDefault="004D6A64">
            <w:pPr>
              <w:rPr>
                <w:rFonts w:ascii="宋体"/>
              </w:rPr>
            </w:pPr>
          </w:p>
        </w:tc>
        <w:tc>
          <w:tcPr>
            <w:tcW w:w="0" w:type="auto"/>
            <w:shd w:val="clear" w:color="auto" w:fill="auto"/>
          </w:tcPr>
          <w:p w14:paraId="33DAD572" w14:textId="77777777" w:rsidR="004D6A64" w:rsidRDefault="004D6A64">
            <w:pPr>
              <w:rPr>
                <w:rFonts w:ascii="宋体"/>
              </w:rPr>
            </w:pPr>
          </w:p>
        </w:tc>
        <w:tc>
          <w:tcPr>
            <w:tcW w:w="0" w:type="auto"/>
            <w:shd w:val="clear" w:color="auto" w:fill="auto"/>
          </w:tcPr>
          <w:p w14:paraId="33DAD573" w14:textId="77777777" w:rsidR="004D6A64" w:rsidRDefault="004D6A64">
            <w:pPr>
              <w:rPr>
                <w:rFonts w:ascii="宋体"/>
              </w:rPr>
            </w:pPr>
          </w:p>
        </w:tc>
        <w:tc>
          <w:tcPr>
            <w:tcW w:w="0" w:type="auto"/>
            <w:shd w:val="clear" w:color="auto" w:fill="auto"/>
          </w:tcPr>
          <w:p w14:paraId="33DAD574" w14:textId="77777777" w:rsidR="004D6A64" w:rsidRDefault="004D6A64">
            <w:pPr>
              <w:rPr>
                <w:rFonts w:ascii="宋体"/>
              </w:rPr>
            </w:pPr>
          </w:p>
        </w:tc>
        <w:tc>
          <w:tcPr>
            <w:tcW w:w="0" w:type="auto"/>
            <w:shd w:val="clear" w:color="auto" w:fill="auto"/>
          </w:tcPr>
          <w:p w14:paraId="33DAD575" w14:textId="77777777" w:rsidR="004D6A64" w:rsidRDefault="004D6A64">
            <w:pPr>
              <w:rPr>
                <w:rFonts w:ascii="宋体"/>
              </w:rPr>
            </w:pPr>
          </w:p>
        </w:tc>
        <w:tc>
          <w:tcPr>
            <w:tcW w:w="0" w:type="auto"/>
            <w:shd w:val="clear" w:color="auto" w:fill="auto"/>
          </w:tcPr>
          <w:p w14:paraId="33DAD576" w14:textId="77777777" w:rsidR="004D6A64" w:rsidRDefault="004D6A64">
            <w:pPr>
              <w:rPr>
                <w:rFonts w:ascii="宋体"/>
              </w:rPr>
            </w:pPr>
          </w:p>
        </w:tc>
        <w:tc>
          <w:tcPr>
            <w:tcW w:w="0" w:type="auto"/>
            <w:shd w:val="clear" w:color="auto" w:fill="auto"/>
          </w:tcPr>
          <w:p w14:paraId="33DAD577" w14:textId="77777777" w:rsidR="004D6A64" w:rsidRDefault="004D6A64">
            <w:pPr>
              <w:rPr>
                <w:rFonts w:ascii="宋体"/>
              </w:rPr>
            </w:pPr>
          </w:p>
        </w:tc>
        <w:tc>
          <w:tcPr>
            <w:tcW w:w="0" w:type="auto"/>
            <w:shd w:val="clear" w:color="auto" w:fill="auto"/>
          </w:tcPr>
          <w:p w14:paraId="33DAD578" w14:textId="77777777" w:rsidR="004D6A64" w:rsidRDefault="004D6A64">
            <w:pPr>
              <w:rPr>
                <w:rFonts w:ascii="宋体"/>
              </w:rPr>
            </w:pPr>
          </w:p>
        </w:tc>
        <w:tc>
          <w:tcPr>
            <w:tcW w:w="0" w:type="auto"/>
            <w:shd w:val="clear" w:color="auto" w:fill="auto"/>
          </w:tcPr>
          <w:p w14:paraId="33DAD579" w14:textId="77777777" w:rsidR="004D6A64" w:rsidRDefault="004D6A64">
            <w:pPr>
              <w:rPr>
                <w:rFonts w:ascii="宋体"/>
              </w:rPr>
            </w:pPr>
          </w:p>
        </w:tc>
        <w:tc>
          <w:tcPr>
            <w:tcW w:w="0" w:type="auto"/>
            <w:shd w:val="clear" w:color="auto" w:fill="auto"/>
          </w:tcPr>
          <w:p w14:paraId="33DAD57A" w14:textId="77777777" w:rsidR="004D6A64" w:rsidRDefault="004D6A64">
            <w:pPr>
              <w:rPr>
                <w:rFonts w:ascii="宋体"/>
              </w:rPr>
            </w:pPr>
          </w:p>
        </w:tc>
        <w:tc>
          <w:tcPr>
            <w:tcW w:w="0" w:type="auto"/>
            <w:shd w:val="clear" w:color="auto" w:fill="auto"/>
          </w:tcPr>
          <w:p w14:paraId="33DAD57B" w14:textId="77777777" w:rsidR="004D6A64" w:rsidRDefault="004D6A64">
            <w:pPr>
              <w:rPr>
                <w:rFonts w:ascii="宋体"/>
              </w:rPr>
            </w:pPr>
          </w:p>
        </w:tc>
      </w:tr>
      <w:tr w:rsidR="004D6A64" w14:paraId="33DAD597" w14:textId="77777777">
        <w:tc>
          <w:tcPr>
            <w:tcW w:w="0" w:type="auto"/>
            <w:gridSpan w:val="3"/>
            <w:shd w:val="clear" w:color="auto" w:fill="FFFFFF"/>
            <w:tcMar>
              <w:top w:w="40" w:type="dxa"/>
              <w:left w:w="135" w:type="dxa"/>
              <w:bottom w:w="40" w:type="dxa"/>
              <w:right w:w="20" w:type="dxa"/>
            </w:tcMar>
            <w:vAlign w:val="center"/>
          </w:tcPr>
          <w:p w14:paraId="33DAD57D" w14:textId="77777777" w:rsidR="004D6A64" w:rsidRDefault="00506CD6">
            <w:pPr>
              <w:textAlignment w:val="center"/>
            </w:pPr>
            <w:r>
              <w:rPr>
                <w:rFonts w:ascii="Times New Roman" w:eastAsia="宋体" w:hAnsi="Times New Roman"/>
                <w:i/>
                <w:iCs/>
                <w:color w:val="000000"/>
                <w:sz w:val="20"/>
                <w:szCs w:val="20"/>
              </w:rPr>
              <w:t>Client Solutions Group:</w:t>
            </w:r>
          </w:p>
        </w:tc>
        <w:tc>
          <w:tcPr>
            <w:tcW w:w="0" w:type="auto"/>
            <w:gridSpan w:val="3"/>
            <w:tcBorders>
              <w:top w:val="single" w:sz="8" w:space="0" w:color="000000"/>
            </w:tcBorders>
            <w:shd w:val="clear" w:color="auto" w:fill="FFFFFF"/>
            <w:tcMar>
              <w:left w:w="20" w:type="dxa"/>
              <w:right w:w="20" w:type="dxa"/>
            </w:tcMar>
            <w:vAlign w:val="bottom"/>
          </w:tcPr>
          <w:p w14:paraId="33DAD57E"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57F" w14:textId="77777777" w:rsidR="004D6A64" w:rsidRDefault="004D6A64">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33DAD580"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581" w14:textId="77777777" w:rsidR="004D6A64" w:rsidRDefault="004D6A64">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33DAD582"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583" w14:textId="77777777" w:rsidR="004D6A64" w:rsidRDefault="004D6A64">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33DAD584" w14:textId="77777777" w:rsidR="004D6A64" w:rsidRDefault="004D6A64">
            <w:pPr>
              <w:rPr>
                <w:rFonts w:ascii="宋体"/>
              </w:rPr>
            </w:pPr>
          </w:p>
        </w:tc>
        <w:tc>
          <w:tcPr>
            <w:tcW w:w="0" w:type="auto"/>
            <w:shd w:val="clear" w:color="auto" w:fill="auto"/>
          </w:tcPr>
          <w:p w14:paraId="33DAD585" w14:textId="77777777" w:rsidR="004D6A64" w:rsidRDefault="004D6A64">
            <w:pPr>
              <w:rPr>
                <w:rFonts w:ascii="宋体"/>
              </w:rPr>
            </w:pPr>
          </w:p>
        </w:tc>
        <w:tc>
          <w:tcPr>
            <w:tcW w:w="0" w:type="auto"/>
            <w:shd w:val="clear" w:color="auto" w:fill="auto"/>
          </w:tcPr>
          <w:p w14:paraId="33DAD586" w14:textId="77777777" w:rsidR="004D6A64" w:rsidRDefault="004D6A64">
            <w:pPr>
              <w:rPr>
                <w:rFonts w:ascii="宋体"/>
              </w:rPr>
            </w:pPr>
          </w:p>
        </w:tc>
        <w:tc>
          <w:tcPr>
            <w:tcW w:w="0" w:type="auto"/>
            <w:shd w:val="clear" w:color="auto" w:fill="auto"/>
          </w:tcPr>
          <w:p w14:paraId="33DAD587" w14:textId="77777777" w:rsidR="004D6A64" w:rsidRDefault="004D6A64">
            <w:pPr>
              <w:rPr>
                <w:rFonts w:ascii="宋体"/>
              </w:rPr>
            </w:pPr>
          </w:p>
        </w:tc>
        <w:tc>
          <w:tcPr>
            <w:tcW w:w="0" w:type="auto"/>
            <w:shd w:val="clear" w:color="auto" w:fill="auto"/>
          </w:tcPr>
          <w:p w14:paraId="33DAD588" w14:textId="77777777" w:rsidR="004D6A64" w:rsidRDefault="004D6A64">
            <w:pPr>
              <w:rPr>
                <w:rFonts w:ascii="宋体"/>
              </w:rPr>
            </w:pPr>
          </w:p>
        </w:tc>
        <w:tc>
          <w:tcPr>
            <w:tcW w:w="0" w:type="auto"/>
            <w:shd w:val="clear" w:color="auto" w:fill="auto"/>
          </w:tcPr>
          <w:p w14:paraId="33DAD589" w14:textId="77777777" w:rsidR="004D6A64" w:rsidRDefault="004D6A64">
            <w:pPr>
              <w:rPr>
                <w:rFonts w:ascii="宋体"/>
              </w:rPr>
            </w:pPr>
          </w:p>
        </w:tc>
        <w:tc>
          <w:tcPr>
            <w:tcW w:w="0" w:type="auto"/>
            <w:shd w:val="clear" w:color="auto" w:fill="auto"/>
          </w:tcPr>
          <w:p w14:paraId="33DAD58A" w14:textId="77777777" w:rsidR="004D6A64" w:rsidRDefault="004D6A64">
            <w:pPr>
              <w:rPr>
                <w:rFonts w:ascii="宋体"/>
              </w:rPr>
            </w:pPr>
          </w:p>
        </w:tc>
        <w:tc>
          <w:tcPr>
            <w:tcW w:w="0" w:type="auto"/>
            <w:shd w:val="clear" w:color="auto" w:fill="auto"/>
          </w:tcPr>
          <w:p w14:paraId="33DAD58B" w14:textId="77777777" w:rsidR="004D6A64" w:rsidRDefault="004D6A64">
            <w:pPr>
              <w:rPr>
                <w:rFonts w:ascii="宋体"/>
              </w:rPr>
            </w:pPr>
          </w:p>
        </w:tc>
        <w:tc>
          <w:tcPr>
            <w:tcW w:w="0" w:type="auto"/>
            <w:shd w:val="clear" w:color="auto" w:fill="auto"/>
          </w:tcPr>
          <w:p w14:paraId="33DAD58C" w14:textId="77777777" w:rsidR="004D6A64" w:rsidRDefault="004D6A64">
            <w:pPr>
              <w:rPr>
                <w:rFonts w:ascii="宋体"/>
              </w:rPr>
            </w:pPr>
          </w:p>
        </w:tc>
        <w:tc>
          <w:tcPr>
            <w:tcW w:w="0" w:type="auto"/>
            <w:shd w:val="clear" w:color="auto" w:fill="auto"/>
          </w:tcPr>
          <w:p w14:paraId="33DAD58D" w14:textId="77777777" w:rsidR="004D6A64" w:rsidRDefault="004D6A64">
            <w:pPr>
              <w:rPr>
                <w:rFonts w:ascii="宋体"/>
              </w:rPr>
            </w:pPr>
          </w:p>
        </w:tc>
        <w:tc>
          <w:tcPr>
            <w:tcW w:w="0" w:type="auto"/>
            <w:shd w:val="clear" w:color="auto" w:fill="auto"/>
          </w:tcPr>
          <w:p w14:paraId="33DAD58E" w14:textId="77777777" w:rsidR="004D6A64" w:rsidRDefault="004D6A64">
            <w:pPr>
              <w:rPr>
                <w:rFonts w:ascii="宋体"/>
              </w:rPr>
            </w:pPr>
          </w:p>
        </w:tc>
        <w:tc>
          <w:tcPr>
            <w:tcW w:w="0" w:type="auto"/>
            <w:shd w:val="clear" w:color="auto" w:fill="auto"/>
          </w:tcPr>
          <w:p w14:paraId="33DAD58F" w14:textId="77777777" w:rsidR="004D6A64" w:rsidRDefault="004D6A64">
            <w:pPr>
              <w:rPr>
                <w:rFonts w:ascii="宋体"/>
              </w:rPr>
            </w:pPr>
          </w:p>
        </w:tc>
        <w:tc>
          <w:tcPr>
            <w:tcW w:w="0" w:type="auto"/>
            <w:shd w:val="clear" w:color="auto" w:fill="auto"/>
          </w:tcPr>
          <w:p w14:paraId="33DAD590" w14:textId="77777777" w:rsidR="004D6A64" w:rsidRDefault="004D6A64">
            <w:pPr>
              <w:rPr>
                <w:rFonts w:ascii="宋体"/>
              </w:rPr>
            </w:pPr>
          </w:p>
        </w:tc>
        <w:tc>
          <w:tcPr>
            <w:tcW w:w="0" w:type="auto"/>
            <w:shd w:val="clear" w:color="auto" w:fill="auto"/>
          </w:tcPr>
          <w:p w14:paraId="33DAD591" w14:textId="77777777" w:rsidR="004D6A64" w:rsidRDefault="004D6A64">
            <w:pPr>
              <w:rPr>
                <w:rFonts w:ascii="宋体"/>
              </w:rPr>
            </w:pPr>
          </w:p>
        </w:tc>
        <w:tc>
          <w:tcPr>
            <w:tcW w:w="0" w:type="auto"/>
            <w:shd w:val="clear" w:color="auto" w:fill="auto"/>
          </w:tcPr>
          <w:p w14:paraId="33DAD592" w14:textId="77777777" w:rsidR="004D6A64" w:rsidRDefault="004D6A64">
            <w:pPr>
              <w:rPr>
                <w:rFonts w:ascii="宋体"/>
              </w:rPr>
            </w:pPr>
          </w:p>
        </w:tc>
        <w:tc>
          <w:tcPr>
            <w:tcW w:w="0" w:type="auto"/>
            <w:shd w:val="clear" w:color="auto" w:fill="auto"/>
          </w:tcPr>
          <w:p w14:paraId="33DAD593" w14:textId="77777777" w:rsidR="004D6A64" w:rsidRDefault="004D6A64">
            <w:pPr>
              <w:rPr>
                <w:rFonts w:ascii="宋体"/>
              </w:rPr>
            </w:pPr>
          </w:p>
        </w:tc>
        <w:tc>
          <w:tcPr>
            <w:tcW w:w="0" w:type="auto"/>
            <w:shd w:val="clear" w:color="auto" w:fill="auto"/>
          </w:tcPr>
          <w:p w14:paraId="33DAD594" w14:textId="77777777" w:rsidR="004D6A64" w:rsidRDefault="004D6A64">
            <w:pPr>
              <w:rPr>
                <w:rFonts w:ascii="宋体"/>
              </w:rPr>
            </w:pPr>
          </w:p>
        </w:tc>
        <w:tc>
          <w:tcPr>
            <w:tcW w:w="0" w:type="auto"/>
            <w:shd w:val="clear" w:color="auto" w:fill="auto"/>
          </w:tcPr>
          <w:p w14:paraId="33DAD595" w14:textId="77777777" w:rsidR="004D6A64" w:rsidRDefault="004D6A64">
            <w:pPr>
              <w:rPr>
                <w:rFonts w:ascii="宋体"/>
              </w:rPr>
            </w:pPr>
          </w:p>
        </w:tc>
        <w:tc>
          <w:tcPr>
            <w:tcW w:w="0" w:type="auto"/>
            <w:shd w:val="clear" w:color="auto" w:fill="auto"/>
          </w:tcPr>
          <w:p w14:paraId="33DAD596" w14:textId="77777777" w:rsidR="004D6A64" w:rsidRDefault="004D6A64">
            <w:pPr>
              <w:rPr>
                <w:rFonts w:ascii="宋体"/>
              </w:rPr>
            </w:pPr>
          </w:p>
        </w:tc>
      </w:tr>
      <w:tr w:rsidR="004D6A64" w14:paraId="33DAD5B6" w14:textId="77777777">
        <w:tc>
          <w:tcPr>
            <w:tcW w:w="0" w:type="auto"/>
            <w:gridSpan w:val="3"/>
            <w:shd w:val="clear" w:color="auto" w:fill="CCEEFF"/>
            <w:tcMar>
              <w:top w:w="40" w:type="dxa"/>
              <w:left w:w="240" w:type="dxa"/>
              <w:bottom w:w="40" w:type="dxa"/>
              <w:right w:w="20" w:type="dxa"/>
            </w:tcMar>
            <w:vAlign w:val="center"/>
          </w:tcPr>
          <w:p w14:paraId="33DAD598" w14:textId="77777777" w:rsidR="004D6A64" w:rsidRDefault="00506CD6">
            <w:pPr>
              <w:textAlignment w:val="center"/>
            </w:pPr>
            <w:r>
              <w:rPr>
                <w:rFonts w:ascii="Times New Roman" w:eastAsia="宋体" w:hAnsi="Times New Roman"/>
                <w:color w:val="000000"/>
                <w:sz w:val="20"/>
                <w:szCs w:val="20"/>
              </w:rPr>
              <w:t>Commercial</w:t>
            </w:r>
          </w:p>
        </w:tc>
        <w:tc>
          <w:tcPr>
            <w:tcW w:w="0" w:type="auto"/>
            <w:gridSpan w:val="2"/>
            <w:shd w:val="clear" w:color="auto" w:fill="CCEEFF"/>
            <w:tcMar>
              <w:top w:w="40" w:type="dxa"/>
              <w:left w:w="20" w:type="dxa"/>
              <w:bottom w:w="40" w:type="dxa"/>
              <w:right w:w="0" w:type="dxa"/>
            </w:tcMar>
            <w:vAlign w:val="center"/>
          </w:tcPr>
          <w:p w14:paraId="33DAD599" w14:textId="77777777" w:rsidR="004D6A64" w:rsidRDefault="00506CD6">
            <w:pPr>
              <w:jc w:val="right"/>
              <w:textAlignment w:val="center"/>
            </w:pPr>
            <w:r>
              <w:rPr>
                <w:rFonts w:ascii="Times New Roman" w:eastAsia="宋体" w:hAnsi="Times New Roman"/>
                <w:color w:val="000000"/>
                <w:sz w:val="20"/>
                <w:szCs w:val="20"/>
              </w:rPr>
              <w:t>8,039 </w:t>
            </w:r>
          </w:p>
        </w:tc>
        <w:tc>
          <w:tcPr>
            <w:tcW w:w="0" w:type="auto"/>
            <w:shd w:val="clear" w:color="auto" w:fill="CCEEFF"/>
            <w:tcMar>
              <w:top w:w="40" w:type="dxa"/>
              <w:bottom w:w="40" w:type="dxa"/>
              <w:right w:w="20" w:type="dxa"/>
            </w:tcMar>
            <w:vAlign w:val="center"/>
          </w:tcPr>
          <w:p w14:paraId="33DAD59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59B"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59C" w14:textId="77777777" w:rsidR="004D6A64" w:rsidRDefault="00506CD6">
            <w:pPr>
              <w:jc w:val="right"/>
              <w:textAlignment w:val="center"/>
            </w:pPr>
            <w:r>
              <w:rPr>
                <w:rFonts w:ascii="Times New Roman" w:eastAsia="宋体" w:hAnsi="Times New Roman"/>
                <w:color w:val="000000"/>
                <w:sz w:val="20"/>
                <w:szCs w:val="20"/>
              </w:rPr>
              <w:t>9,077 </w:t>
            </w:r>
          </w:p>
        </w:tc>
        <w:tc>
          <w:tcPr>
            <w:tcW w:w="0" w:type="auto"/>
            <w:shd w:val="clear" w:color="auto" w:fill="CCEEFF"/>
            <w:tcMar>
              <w:top w:w="40" w:type="dxa"/>
              <w:bottom w:w="40" w:type="dxa"/>
              <w:right w:w="20" w:type="dxa"/>
            </w:tcMar>
            <w:vAlign w:val="center"/>
          </w:tcPr>
          <w:p w14:paraId="33DAD59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59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59F" w14:textId="77777777" w:rsidR="004D6A64" w:rsidRDefault="00506CD6">
            <w:pPr>
              <w:jc w:val="right"/>
              <w:textAlignment w:val="center"/>
            </w:pPr>
            <w:r>
              <w:rPr>
                <w:rFonts w:ascii="Times New Roman" w:eastAsia="宋体" w:hAnsi="Times New Roman"/>
                <w:color w:val="000000"/>
                <w:sz w:val="20"/>
                <w:szCs w:val="20"/>
              </w:rPr>
              <w:t>16,673 </w:t>
            </w:r>
          </w:p>
        </w:tc>
        <w:tc>
          <w:tcPr>
            <w:tcW w:w="0" w:type="auto"/>
            <w:shd w:val="clear" w:color="auto" w:fill="CCEEFF"/>
            <w:tcMar>
              <w:top w:w="40" w:type="dxa"/>
              <w:bottom w:w="40" w:type="dxa"/>
              <w:right w:w="20" w:type="dxa"/>
            </w:tcMar>
            <w:vAlign w:val="center"/>
          </w:tcPr>
          <w:p w14:paraId="33DAD5A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5A1"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5A2" w14:textId="77777777" w:rsidR="004D6A64" w:rsidRDefault="00506CD6">
            <w:pPr>
              <w:jc w:val="right"/>
              <w:textAlignment w:val="center"/>
            </w:pPr>
            <w:r>
              <w:rPr>
                <w:rFonts w:ascii="Times New Roman" w:eastAsia="宋体" w:hAnsi="Times New Roman"/>
                <w:color w:val="000000"/>
                <w:sz w:val="20"/>
                <w:szCs w:val="20"/>
              </w:rPr>
              <w:t>17,384 </w:t>
            </w:r>
          </w:p>
        </w:tc>
        <w:tc>
          <w:tcPr>
            <w:tcW w:w="0" w:type="auto"/>
            <w:shd w:val="clear" w:color="auto" w:fill="CCEEFF"/>
            <w:tcMar>
              <w:top w:w="40" w:type="dxa"/>
              <w:bottom w:w="40" w:type="dxa"/>
              <w:right w:w="20" w:type="dxa"/>
            </w:tcMar>
            <w:vAlign w:val="center"/>
          </w:tcPr>
          <w:p w14:paraId="33DAD5A3" w14:textId="77777777" w:rsidR="004D6A64" w:rsidRDefault="004D6A64">
            <w:pPr>
              <w:jc w:val="right"/>
              <w:rPr>
                <w:rFonts w:ascii="宋体"/>
              </w:rPr>
            </w:pPr>
          </w:p>
        </w:tc>
        <w:tc>
          <w:tcPr>
            <w:tcW w:w="0" w:type="auto"/>
            <w:shd w:val="clear" w:color="auto" w:fill="auto"/>
          </w:tcPr>
          <w:p w14:paraId="33DAD5A4" w14:textId="77777777" w:rsidR="004D6A64" w:rsidRDefault="004D6A64">
            <w:pPr>
              <w:rPr>
                <w:rFonts w:ascii="宋体"/>
              </w:rPr>
            </w:pPr>
          </w:p>
        </w:tc>
        <w:tc>
          <w:tcPr>
            <w:tcW w:w="0" w:type="auto"/>
            <w:shd w:val="clear" w:color="auto" w:fill="auto"/>
          </w:tcPr>
          <w:p w14:paraId="33DAD5A5" w14:textId="77777777" w:rsidR="004D6A64" w:rsidRDefault="004D6A64">
            <w:pPr>
              <w:rPr>
                <w:rFonts w:ascii="宋体"/>
              </w:rPr>
            </w:pPr>
          </w:p>
        </w:tc>
        <w:tc>
          <w:tcPr>
            <w:tcW w:w="0" w:type="auto"/>
            <w:shd w:val="clear" w:color="auto" w:fill="auto"/>
          </w:tcPr>
          <w:p w14:paraId="33DAD5A6" w14:textId="77777777" w:rsidR="004D6A64" w:rsidRDefault="004D6A64">
            <w:pPr>
              <w:rPr>
                <w:rFonts w:ascii="宋体"/>
              </w:rPr>
            </w:pPr>
          </w:p>
        </w:tc>
        <w:tc>
          <w:tcPr>
            <w:tcW w:w="0" w:type="auto"/>
            <w:shd w:val="clear" w:color="auto" w:fill="auto"/>
          </w:tcPr>
          <w:p w14:paraId="33DAD5A7" w14:textId="77777777" w:rsidR="004D6A64" w:rsidRDefault="004D6A64">
            <w:pPr>
              <w:rPr>
                <w:rFonts w:ascii="宋体"/>
              </w:rPr>
            </w:pPr>
          </w:p>
        </w:tc>
        <w:tc>
          <w:tcPr>
            <w:tcW w:w="0" w:type="auto"/>
            <w:shd w:val="clear" w:color="auto" w:fill="auto"/>
          </w:tcPr>
          <w:p w14:paraId="33DAD5A8" w14:textId="77777777" w:rsidR="004D6A64" w:rsidRDefault="004D6A64">
            <w:pPr>
              <w:rPr>
                <w:rFonts w:ascii="宋体"/>
              </w:rPr>
            </w:pPr>
          </w:p>
        </w:tc>
        <w:tc>
          <w:tcPr>
            <w:tcW w:w="0" w:type="auto"/>
            <w:shd w:val="clear" w:color="auto" w:fill="auto"/>
          </w:tcPr>
          <w:p w14:paraId="33DAD5A9" w14:textId="77777777" w:rsidR="004D6A64" w:rsidRDefault="004D6A64">
            <w:pPr>
              <w:rPr>
                <w:rFonts w:ascii="宋体"/>
              </w:rPr>
            </w:pPr>
          </w:p>
        </w:tc>
        <w:tc>
          <w:tcPr>
            <w:tcW w:w="0" w:type="auto"/>
            <w:shd w:val="clear" w:color="auto" w:fill="auto"/>
          </w:tcPr>
          <w:p w14:paraId="33DAD5AA" w14:textId="77777777" w:rsidR="004D6A64" w:rsidRDefault="004D6A64">
            <w:pPr>
              <w:rPr>
                <w:rFonts w:ascii="宋体"/>
              </w:rPr>
            </w:pPr>
          </w:p>
        </w:tc>
        <w:tc>
          <w:tcPr>
            <w:tcW w:w="0" w:type="auto"/>
            <w:shd w:val="clear" w:color="auto" w:fill="auto"/>
          </w:tcPr>
          <w:p w14:paraId="33DAD5AB" w14:textId="77777777" w:rsidR="004D6A64" w:rsidRDefault="004D6A64">
            <w:pPr>
              <w:rPr>
                <w:rFonts w:ascii="宋体"/>
              </w:rPr>
            </w:pPr>
          </w:p>
        </w:tc>
        <w:tc>
          <w:tcPr>
            <w:tcW w:w="0" w:type="auto"/>
            <w:shd w:val="clear" w:color="auto" w:fill="auto"/>
          </w:tcPr>
          <w:p w14:paraId="33DAD5AC" w14:textId="77777777" w:rsidR="004D6A64" w:rsidRDefault="004D6A64">
            <w:pPr>
              <w:rPr>
                <w:rFonts w:ascii="宋体"/>
              </w:rPr>
            </w:pPr>
          </w:p>
        </w:tc>
        <w:tc>
          <w:tcPr>
            <w:tcW w:w="0" w:type="auto"/>
            <w:shd w:val="clear" w:color="auto" w:fill="auto"/>
          </w:tcPr>
          <w:p w14:paraId="33DAD5AD" w14:textId="77777777" w:rsidR="004D6A64" w:rsidRDefault="004D6A64">
            <w:pPr>
              <w:rPr>
                <w:rFonts w:ascii="宋体"/>
              </w:rPr>
            </w:pPr>
          </w:p>
        </w:tc>
        <w:tc>
          <w:tcPr>
            <w:tcW w:w="0" w:type="auto"/>
            <w:shd w:val="clear" w:color="auto" w:fill="auto"/>
          </w:tcPr>
          <w:p w14:paraId="33DAD5AE" w14:textId="77777777" w:rsidR="004D6A64" w:rsidRDefault="004D6A64">
            <w:pPr>
              <w:rPr>
                <w:rFonts w:ascii="宋体"/>
              </w:rPr>
            </w:pPr>
          </w:p>
        </w:tc>
        <w:tc>
          <w:tcPr>
            <w:tcW w:w="0" w:type="auto"/>
            <w:shd w:val="clear" w:color="auto" w:fill="auto"/>
          </w:tcPr>
          <w:p w14:paraId="33DAD5AF" w14:textId="77777777" w:rsidR="004D6A64" w:rsidRDefault="004D6A64">
            <w:pPr>
              <w:rPr>
                <w:rFonts w:ascii="宋体"/>
              </w:rPr>
            </w:pPr>
          </w:p>
        </w:tc>
        <w:tc>
          <w:tcPr>
            <w:tcW w:w="0" w:type="auto"/>
            <w:shd w:val="clear" w:color="auto" w:fill="auto"/>
          </w:tcPr>
          <w:p w14:paraId="33DAD5B0" w14:textId="77777777" w:rsidR="004D6A64" w:rsidRDefault="004D6A64">
            <w:pPr>
              <w:rPr>
                <w:rFonts w:ascii="宋体"/>
              </w:rPr>
            </w:pPr>
          </w:p>
        </w:tc>
        <w:tc>
          <w:tcPr>
            <w:tcW w:w="0" w:type="auto"/>
            <w:shd w:val="clear" w:color="auto" w:fill="auto"/>
          </w:tcPr>
          <w:p w14:paraId="33DAD5B1" w14:textId="77777777" w:rsidR="004D6A64" w:rsidRDefault="004D6A64">
            <w:pPr>
              <w:rPr>
                <w:rFonts w:ascii="宋体"/>
              </w:rPr>
            </w:pPr>
          </w:p>
        </w:tc>
        <w:tc>
          <w:tcPr>
            <w:tcW w:w="0" w:type="auto"/>
            <w:shd w:val="clear" w:color="auto" w:fill="auto"/>
          </w:tcPr>
          <w:p w14:paraId="33DAD5B2" w14:textId="77777777" w:rsidR="004D6A64" w:rsidRDefault="004D6A64">
            <w:pPr>
              <w:rPr>
                <w:rFonts w:ascii="宋体"/>
              </w:rPr>
            </w:pPr>
          </w:p>
        </w:tc>
        <w:tc>
          <w:tcPr>
            <w:tcW w:w="0" w:type="auto"/>
            <w:shd w:val="clear" w:color="auto" w:fill="auto"/>
          </w:tcPr>
          <w:p w14:paraId="33DAD5B3" w14:textId="77777777" w:rsidR="004D6A64" w:rsidRDefault="004D6A64">
            <w:pPr>
              <w:rPr>
                <w:rFonts w:ascii="宋体"/>
              </w:rPr>
            </w:pPr>
          </w:p>
        </w:tc>
        <w:tc>
          <w:tcPr>
            <w:tcW w:w="0" w:type="auto"/>
            <w:shd w:val="clear" w:color="auto" w:fill="auto"/>
          </w:tcPr>
          <w:p w14:paraId="33DAD5B4" w14:textId="77777777" w:rsidR="004D6A64" w:rsidRDefault="004D6A64">
            <w:pPr>
              <w:rPr>
                <w:rFonts w:ascii="宋体"/>
              </w:rPr>
            </w:pPr>
          </w:p>
        </w:tc>
        <w:tc>
          <w:tcPr>
            <w:tcW w:w="0" w:type="auto"/>
            <w:shd w:val="clear" w:color="auto" w:fill="auto"/>
          </w:tcPr>
          <w:p w14:paraId="33DAD5B5" w14:textId="77777777" w:rsidR="004D6A64" w:rsidRDefault="004D6A64">
            <w:pPr>
              <w:rPr>
                <w:rFonts w:ascii="宋体"/>
              </w:rPr>
            </w:pPr>
          </w:p>
        </w:tc>
      </w:tr>
      <w:tr w:rsidR="004D6A64" w14:paraId="33DAD5D5" w14:textId="77777777">
        <w:tc>
          <w:tcPr>
            <w:tcW w:w="0" w:type="auto"/>
            <w:gridSpan w:val="3"/>
            <w:shd w:val="clear" w:color="auto" w:fill="FFFFFF"/>
            <w:tcMar>
              <w:top w:w="40" w:type="dxa"/>
              <w:left w:w="240" w:type="dxa"/>
              <w:bottom w:w="40" w:type="dxa"/>
              <w:right w:w="20" w:type="dxa"/>
            </w:tcMar>
            <w:vAlign w:val="center"/>
          </w:tcPr>
          <w:p w14:paraId="33DAD5B7" w14:textId="77777777" w:rsidR="004D6A64" w:rsidRDefault="00506CD6">
            <w:pPr>
              <w:textAlignment w:val="center"/>
            </w:pPr>
            <w:r>
              <w:rPr>
                <w:rFonts w:ascii="Times New Roman" w:eastAsia="宋体" w:hAnsi="Times New Roman"/>
                <w:color w:val="000000"/>
                <w:sz w:val="20"/>
                <w:szCs w:val="20"/>
              </w:rPr>
              <w:t>Consumer</w:t>
            </w:r>
          </w:p>
        </w:tc>
        <w:tc>
          <w:tcPr>
            <w:tcW w:w="0" w:type="auto"/>
            <w:gridSpan w:val="2"/>
            <w:shd w:val="clear" w:color="auto" w:fill="FFFFFF"/>
            <w:tcMar>
              <w:top w:w="40" w:type="dxa"/>
              <w:left w:w="20" w:type="dxa"/>
              <w:bottom w:w="40" w:type="dxa"/>
              <w:right w:w="0" w:type="dxa"/>
            </w:tcMar>
            <w:vAlign w:val="center"/>
          </w:tcPr>
          <w:p w14:paraId="33DAD5B8" w14:textId="77777777" w:rsidR="004D6A64" w:rsidRDefault="00506CD6">
            <w:pPr>
              <w:jc w:val="right"/>
              <w:textAlignment w:val="center"/>
            </w:pPr>
            <w:r>
              <w:rPr>
                <w:rFonts w:ascii="Times New Roman" w:eastAsia="宋体" w:hAnsi="Times New Roman"/>
                <w:color w:val="000000"/>
                <w:sz w:val="20"/>
                <w:szCs w:val="20"/>
              </w:rPr>
              <w:t>3,164 </w:t>
            </w:r>
          </w:p>
        </w:tc>
        <w:tc>
          <w:tcPr>
            <w:tcW w:w="0" w:type="auto"/>
            <w:shd w:val="clear" w:color="auto" w:fill="FFFFFF"/>
            <w:tcMar>
              <w:top w:w="40" w:type="dxa"/>
              <w:bottom w:w="40" w:type="dxa"/>
              <w:right w:w="20" w:type="dxa"/>
            </w:tcMar>
            <w:vAlign w:val="center"/>
          </w:tcPr>
          <w:p w14:paraId="33DAD5B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5B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5BB" w14:textId="77777777" w:rsidR="004D6A64" w:rsidRDefault="00506CD6">
            <w:pPr>
              <w:jc w:val="right"/>
              <w:textAlignment w:val="center"/>
            </w:pPr>
            <w:r>
              <w:rPr>
                <w:rFonts w:ascii="Times New Roman" w:eastAsia="宋体" w:hAnsi="Times New Roman"/>
                <w:color w:val="000000"/>
                <w:sz w:val="20"/>
                <w:szCs w:val="20"/>
              </w:rPr>
              <w:t>2,671 </w:t>
            </w:r>
          </w:p>
        </w:tc>
        <w:tc>
          <w:tcPr>
            <w:tcW w:w="0" w:type="auto"/>
            <w:shd w:val="clear" w:color="auto" w:fill="FFFFFF"/>
            <w:tcMar>
              <w:top w:w="40" w:type="dxa"/>
              <w:bottom w:w="40" w:type="dxa"/>
              <w:right w:w="20" w:type="dxa"/>
            </w:tcMar>
            <w:vAlign w:val="center"/>
          </w:tcPr>
          <w:p w14:paraId="33DAD5B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5B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5BE" w14:textId="77777777" w:rsidR="004D6A64" w:rsidRDefault="00506CD6">
            <w:pPr>
              <w:jc w:val="right"/>
              <w:textAlignment w:val="center"/>
            </w:pPr>
            <w:r>
              <w:rPr>
                <w:rFonts w:ascii="Times New Roman" w:eastAsia="宋体" w:hAnsi="Times New Roman"/>
                <w:color w:val="000000"/>
                <w:sz w:val="20"/>
                <w:szCs w:val="20"/>
              </w:rPr>
              <w:t>5,634 </w:t>
            </w:r>
          </w:p>
        </w:tc>
        <w:tc>
          <w:tcPr>
            <w:tcW w:w="0" w:type="auto"/>
            <w:shd w:val="clear" w:color="auto" w:fill="FFFFFF"/>
            <w:tcMar>
              <w:top w:w="40" w:type="dxa"/>
              <w:bottom w:w="40" w:type="dxa"/>
              <w:right w:w="20" w:type="dxa"/>
            </w:tcMar>
            <w:vAlign w:val="center"/>
          </w:tcPr>
          <w:p w14:paraId="33DAD5B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5C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5C1" w14:textId="77777777" w:rsidR="004D6A64" w:rsidRDefault="00506CD6">
            <w:pPr>
              <w:jc w:val="right"/>
              <w:textAlignment w:val="center"/>
            </w:pPr>
            <w:r>
              <w:rPr>
                <w:rFonts w:ascii="Times New Roman" w:eastAsia="宋体" w:hAnsi="Times New Roman"/>
                <w:color w:val="000000"/>
                <w:sz w:val="20"/>
                <w:szCs w:val="20"/>
              </w:rPr>
              <w:t>5,274 </w:t>
            </w:r>
          </w:p>
        </w:tc>
        <w:tc>
          <w:tcPr>
            <w:tcW w:w="0" w:type="auto"/>
            <w:shd w:val="clear" w:color="auto" w:fill="FFFFFF"/>
            <w:tcMar>
              <w:top w:w="40" w:type="dxa"/>
              <w:bottom w:w="40" w:type="dxa"/>
              <w:right w:w="20" w:type="dxa"/>
            </w:tcMar>
            <w:vAlign w:val="center"/>
          </w:tcPr>
          <w:p w14:paraId="33DAD5C2" w14:textId="77777777" w:rsidR="004D6A64" w:rsidRDefault="004D6A64">
            <w:pPr>
              <w:jc w:val="right"/>
              <w:rPr>
                <w:rFonts w:ascii="宋体"/>
              </w:rPr>
            </w:pPr>
          </w:p>
        </w:tc>
        <w:tc>
          <w:tcPr>
            <w:tcW w:w="0" w:type="auto"/>
            <w:shd w:val="clear" w:color="auto" w:fill="auto"/>
          </w:tcPr>
          <w:p w14:paraId="33DAD5C3" w14:textId="77777777" w:rsidR="004D6A64" w:rsidRDefault="004D6A64">
            <w:pPr>
              <w:rPr>
                <w:rFonts w:ascii="宋体"/>
              </w:rPr>
            </w:pPr>
          </w:p>
        </w:tc>
        <w:tc>
          <w:tcPr>
            <w:tcW w:w="0" w:type="auto"/>
            <w:shd w:val="clear" w:color="auto" w:fill="auto"/>
          </w:tcPr>
          <w:p w14:paraId="33DAD5C4" w14:textId="77777777" w:rsidR="004D6A64" w:rsidRDefault="004D6A64">
            <w:pPr>
              <w:rPr>
                <w:rFonts w:ascii="宋体"/>
              </w:rPr>
            </w:pPr>
          </w:p>
        </w:tc>
        <w:tc>
          <w:tcPr>
            <w:tcW w:w="0" w:type="auto"/>
            <w:shd w:val="clear" w:color="auto" w:fill="auto"/>
          </w:tcPr>
          <w:p w14:paraId="33DAD5C5" w14:textId="77777777" w:rsidR="004D6A64" w:rsidRDefault="004D6A64">
            <w:pPr>
              <w:rPr>
                <w:rFonts w:ascii="宋体"/>
              </w:rPr>
            </w:pPr>
          </w:p>
        </w:tc>
        <w:tc>
          <w:tcPr>
            <w:tcW w:w="0" w:type="auto"/>
            <w:shd w:val="clear" w:color="auto" w:fill="auto"/>
          </w:tcPr>
          <w:p w14:paraId="33DAD5C6" w14:textId="77777777" w:rsidR="004D6A64" w:rsidRDefault="004D6A64">
            <w:pPr>
              <w:rPr>
                <w:rFonts w:ascii="宋体"/>
              </w:rPr>
            </w:pPr>
          </w:p>
        </w:tc>
        <w:tc>
          <w:tcPr>
            <w:tcW w:w="0" w:type="auto"/>
            <w:shd w:val="clear" w:color="auto" w:fill="auto"/>
          </w:tcPr>
          <w:p w14:paraId="33DAD5C7" w14:textId="77777777" w:rsidR="004D6A64" w:rsidRDefault="004D6A64">
            <w:pPr>
              <w:rPr>
                <w:rFonts w:ascii="宋体"/>
              </w:rPr>
            </w:pPr>
          </w:p>
        </w:tc>
        <w:tc>
          <w:tcPr>
            <w:tcW w:w="0" w:type="auto"/>
            <w:shd w:val="clear" w:color="auto" w:fill="auto"/>
          </w:tcPr>
          <w:p w14:paraId="33DAD5C8" w14:textId="77777777" w:rsidR="004D6A64" w:rsidRDefault="004D6A64">
            <w:pPr>
              <w:rPr>
                <w:rFonts w:ascii="宋体"/>
              </w:rPr>
            </w:pPr>
          </w:p>
        </w:tc>
        <w:tc>
          <w:tcPr>
            <w:tcW w:w="0" w:type="auto"/>
            <w:shd w:val="clear" w:color="auto" w:fill="auto"/>
          </w:tcPr>
          <w:p w14:paraId="33DAD5C9" w14:textId="77777777" w:rsidR="004D6A64" w:rsidRDefault="004D6A64">
            <w:pPr>
              <w:rPr>
                <w:rFonts w:ascii="宋体"/>
              </w:rPr>
            </w:pPr>
          </w:p>
        </w:tc>
        <w:tc>
          <w:tcPr>
            <w:tcW w:w="0" w:type="auto"/>
            <w:shd w:val="clear" w:color="auto" w:fill="auto"/>
          </w:tcPr>
          <w:p w14:paraId="33DAD5CA" w14:textId="77777777" w:rsidR="004D6A64" w:rsidRDefault="004D6A64">
            <w:pPr>
              <w:rPr>
                <w:rFonts w:ascii="宋体"/>
              </w:rPr>
            </w:pPr>
          </w:p>
        </w:tc>
        <w:tc>
          <w:tcPr>
            <w:tcW w:w="0" w:type="auto"/>
            <w:shd w:val="clear" w:color="auto" w:fill="auto"/>
          </w:tcPr>
          <w:p w14:paraId="33DAD5CB" w14:textId="77777777" w:rsidR="004D6A64" w:rsidRDefault="004D6A64">
            <w:pPr>
              <w:rPr>
                <w:rFonts w:ascii="宋体"/>
              </w:rPr>
            </w:pPr>
          </w:p>
        </w:tc>
        <w:tc>
          <w:tcPr>
            <w:tcW w:w="0" w:type="auto"/>
            <w:shd w:val="clear" w:color="auto" w:fill="auto"/>
          </w:tcPr>
          <w:p w14:paraId="33DAD5CC" w14:textId="77777777" w:rsidR="004D6A64" w:rsidRDefault="004D6A64">
            <w:pPr>
              <w:rPr>
                <w:rFonts w:ascii="宋体"/>
              </w:rPr>
            </w:pPr>
          </w:p>
        </w:tc>
        <w:tc>
          <w:tcPr>
            <w:tcW w:w="0" w:type="auto"/>
            <w:shd w:val="clear" w:color="auto" w:fill="auto"/>
          </w:tcPr>
          <w:p w14:paraId="33DAD5CD" w14:textId="77777777" w:rsidR="004D6A64" w:rsidRDefault="004D6A64">
            <w:pPr>
              <w:rPr>
                <w:rFonts w:ascii="宋体"/>
              </w:rPr>
            </w:pPr>
          </w:p>
        </w:tc>
        <w:tc>
          <w:tcPr>
            <w:tcW w:w="0" w:type="auto"/>
            <w:shd w:val="clear" w:color="auto" w:fill="auto"/>
          </w:tcPr>
          <w:p w14:paraId="33DAD5CE" w14:textId="77777777" w:rsidR="004D6A64" w:rsidRDefault="004D6A64">
            <w:pPr>
              <w:rPr>
                <w:rFonts w:ascii="宋体"/>
              </w:rPr>
            </w:pPr>
          </w:p>
        </w:tc>
        <w:tc>
          <w:tcPr>
            <w:tcW w:w="0" w:type="auto"/>
            <w:shd w:val="clear" w:color="auto" w:fill="auto"/>
          </w:tcPr>
          <w:p w14:paraId="33DAD5CF" w14:textId="77777777" w:rsidR="004D6A64" w:rsidRDefault="004D6A64">
            <w:pPr>
              <w:rPr>
                <w:rFonts w:ascii="宋体"/>
              </w:rPr>
            </w:pPr>
          </w:p>
        </w:tc>
        <w:tc>
          <w:tcPr>
            <w:tcW w:w="0" w:type="auto"/>
            <w:shd w:val="clear" w:color="auto" w:fill="auto"/>
          </w:tcPr>
          <w:p w14:paraId="33DAD5D0" w14:textId="77777777" w:rsidR="004D6A64" w:rsidRDefault="004D6A64">
            <w:pPr>
              <w:rPr>
                <w:rFonts w:ascii="宋体"/>
              </w:rPr>
            </w:pPr>
          </w:p>
        </w:tc>
        <w:tc>
          <w:tcPr>
            <w:tcW w:w="0" w:type="auto"/>
            <w:shd w:val="clear" w:color="auto" w:fill="auto"/>
          </w:tcPr>
          <w:p w14:paraId="33DAD5D1" w14:textId="77777777" w:rsidR="004D6A64" w:rsidRDefault="004D6A64">
            <w:pPr>
              <w:rPr>
                <w:rFonts w:ascii="宋体"/>
              </w:rPr>
            </w:pPr>
          </w:p>
        </w:tc>
        <w:tc>
          <w:tcPr>
            <w:tcW w:w="0" w:type="auto"/>
            <w:shd w:val="clear" w:color="auto" w:fill="auto"/>
          </w:tcPr>
          <w:p w14:paraId="33DAD5D2" w14:textId="77777777" w:rsidR="004D6A64" w:rsidRDefault="004D6A64">
            <w:pPr>
              <w:rPr>
                <w:rFonts w:ascii="宋体"/>
              </w:rPr>
            </w:pPr>
          </w:p>
        </w:tc>
        <w:tc>
          <w:tcPr>
            <w:tcW w:w="0" w:type="auto"/>
            <w:shd w:val="clear" w:color="auto" w:fill="auto"/>
          </w:tcPr>
          <w:p w14:paraId="33DAD5D3" w14:textId="77777777" w:rsidR="004D6A64" w:rsidRDefault="004D6A64">
            <w:pPr>
              <w:rPr>
                <w:rFonts w:ascii="宋体"/>
              </w:rPr>
            </w:pPr>
          </w:p>
        </w:tc>
        <w:tc>
          <w:tcPr>
            <w:tcW w:w="0" w:type="auto"/>
            <w:shd w:val="clear" w:color="auto" w:fill="auto"/>
          </w:tcPr>
          <w:p w14:paraId="33DAD5D4" w14:textId="77777777" w:rsidR="004D6A64" w:rsidRDefault="004D6A64">
            <w:pPr>
              <w:rPr>
                <w:rFonts w:ascii="宋体"/>
              </w:rPr>
            </w:pPr>
          </w:p>
        </w:tc>
      </w:tr>
      <w:tr w:rsidR="004D6A64" w14:paraId="33DAD5F4" w14:textId="77777777">
        <w:tc>
          <w:tcPr>
            <w:tcW w:w="0" w:type="auto"/>
            <w:gridSpan w:val="3"/>
            <w:shd w:val="clear" w:color="auto" w:fill="CCEEFF"/>
            <w:tcMar>
              <w:top w:w="40" w:type="dxa"/>
              <w:left w:w="465" w:type="dxa"/>
              <w:bottom w:w="40" w:type="dxa"/>
              <w:right w:w="20" w:type="dxa"/>
            </w:tcMar>
            <w:vAlign w:val="center"/>
          </w:tcPr>
          <w:p w14:paraId="33DAD5D6" w14:textId="77777777" w:rsidR="004D6A64" w:rsidRDefault="00506CD6">
            <w:pPr>
              <w:textAlignment w:val="center"/>
            </w:pPr>
            <w:r>
              <w:rPr>
                <w:rFonts w:ascii="Times New Roman" w:eastAsia="宋体" w:hAnsi="Times New Roman"/>
                <w:color w:val="000000"/>
                <w:sz w:val="20"/>
                <w:szCs w:val="20"/>
              </w:rPr>
              <w:t>Total CSG net revenue</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D5D7" w14:textId="77777777" w:rsidR="004D6A64" w:rsidRDefault="00506CD6">
            <w:pPr>
              <w:jc w:val="right"/>
              <w:textAlignment w:val="center"/>
            </w:pPr>
            <w:r>
              <w:rPr>
                <w:rFonts w:ascii="Times New Roman" w:eastAsia="宋体" w:hAnsi="Times New Roman"/>
                <w:color w:val="000000"/>
                <w:sz w:val="20"/>
                <w:szCs w:val="20"/>
              </w:rPr>
              <w:t>11,203 </w:t>
            </w:r>
          </w:p>
        </w:tc>
        <w:tc>
          <w:tcPr>
            <w:tcW w:w="0" w:type="auto"/>
            <w:tcBorders>
              <w:top w:val="single" w:sz="8" w:space="0" w:color="000000"/>
            </w:tcBorders>
            <w:shd w:val="clear" w:color="auto" w:fill="CCEEFF"/>
            <w:tcMar>
              <w:top w:w="40" w:type="dxa"/>
              <w:bottom w:w="40" w:type="dxa"/>
              <w:right w:w="20" w:type="dxa"/>
            </w:tcMar>
            <w:vAlign w:val="center"/>
          </w:tcPr>
          <w:p w14:paraId="33DAD5D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5D9"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D5DA" w14:textId="77777777" w:rsidR="004D6A64" w:rsidRDefault="00506CD6">
            <w:pPr>
              <w:jc w:val="right"/>
              <w:textAlignment w:val="center"/>
            </w:pPr>
            <w:r>
              <w:rPr>
                <w:rFonts w:ascii="Times New Roman" w:eastAsia="宋体" w:hAnsi="Times New Roman"/>
                <w:color w:val="000000"/>
                <w:sz w:val="20"/>
                <w:szCs w:val="20"/>
              </w:rPr>
              <w:t>11,748 </w:t>
            </w:r>
          </w:p>
        </w:tc>
        <w:tc>
          <w:tcPr>
            <w:tcW w:w="0" w:type="auto"/>
            <w:tcBorders>
              <w:top w:val="single" w:sz="8" w:space="0" w:color="000000"/>
            </w:tcBorders>
            <w:shd w:val="clear" w:color="auto" w:fill="CCEEFF"/>
            <w:tcMar>
              <w:top w:w="40" w:type="dxa"/>
              <w:bottom w:w="40" w:type="dxa"/>
              <w:right w:w="20" w:type="dxa"/>
            </w:tcMar>
            <w:vAlign w:val="center"/>
          </w:tcPr>
          <w:p w14:paraId="33DAD5D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5DC"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D5DD" w14:textId="77777777" w:rsidR="004D6A64" w:rsidRDefault="00506CD6">
            <w:pPr>
              <w:jc w:val="right"/>
              <w:textAlignment w:val="center"/>
            </w:pPr>
            <w:r>
              <w:rPr>
                <w:rFonts w:ascii="Times New Roman" w:eastAsia="宋体" w:hAnsi="Times New Roman"/>
                <w:color w:val="000000"/>
                <w:sz w:val="20"/>
                <w:szCs w:val="20"/>
              </w:rPr>
              <w:t>22,307 </w:t>
            </w:r>
          </w:p>
        </w:tc>
        <w:tc>
          <w:tcPr>
            <w:tcW w:w="0" w:type="auto"/>
            <w:tcBorders>
              <w:top w:val="single" w:sz="8" w:space="0" w:color="000000"/>
            </w:tcBorders>
            <w:shd w:val="clear" w:color="auto" w:fill="CCEEFF"/>
            <w:tcMar>
              <w:top w:w="40" w:type="dxa"/>
              <w:bottom w:w="40" w:type="dxa"/>
              <w:right w:w="20" w:type="dxa"/>
            </w:tcMar>
            <w:vAlign w:val="center"/>
          </w:tcPr>
          <w:p w14:paraId="33DAD5D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5DF"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D5E0" w14:textId="77777777" w:rsidR="004D6A64" w:rsidRDefault="00506CD6">
            <w:pPr>
              <w:jc w:val="right"/>
              <w:textAlignment w:val="center"/>
            </w:pPr>
            <w:r>
              <w:rPr>
                <w:rFonts w:ascii="Times New Roman" w:eastAsia="宋体" w:hAnsi="Times New Roman"/>
                <w:color w:val="000000"/>
                <w:sz w:val="20"/>
                <w:szCs w:val="20"/>
              </w:rPr>
              <w:t>22,658 </w:t>
            </w:r>
          </w:p>
        </w:tc>
        <w:tc>
          <w:tcPr>
            <w:tcW w:w="0" w:type="auto"/>
            <w:tcBorders>
              <w:top w:val="single" w:sz="8" w:space="0" w:color="000000"/>
            </w:tcBorders>
            <w:shd w:val="clear" w:color="auto" w:fill="CCEEFF"/>
            <w:tcMar>
              <w:top w:w="40" w:type="dxa"/>
              <w:bottom w:w="40" w:type="dxa"/>
              <w:right w:w="20" w:type="dxa"/>
            </w:tcMar>
            <w:vAlign w:val="center"/>
          </w:tcPr>
          <w:p w14:paraId="33DAD5E1" w14:textId="77777777" w:rsidR="004D6A64" w:rsidRDefault="004D6A64">
            <w:pPr>
              <w:jc w:val="right"/>
              <w:rPr>
                <w:rFonts w:ascii="宋体"/>
              </w:rPr>
            </w:pPr>
          </w:p>
        </w:tc>
        <w:tc>
          <w:tcPr>
            <w:tcW w:w="0" w:type="auto"/>
            <w:shd w:val="clear" w:color="auto" w:fill="auto"/>
          </w:tcPr>
          <w:p w14:paraId="33DAD5E2" w14:textId="77777777" w:rsidR="004D6A64" w:rsidRDefault="004D6A64">
            <w:pPr>
              <w:rPr>
                <w:rFonts w:ascii="宋体"/>
              </w:rPr>
            </w:pPr>
          </w:p>
        </w:tc>
        <w:tc>
          <w:tcPr>
            <w:tcW w:w="0" w:type="auto"/>
            <w:shd w:val="clear" w:color="auto" w:fill="auto"/>
          </w:tcPr>
          <w:p w14:paraId="33DAD5E3" w14:textId="77777777" w:rsidR="004D6A64" w:rsidRDefault="004D6A64">
            <w:pPr>
              <w:rPr>
                <w:rFonts w:ascii="宋体"/>
              </w:rPr>
            </w:pPr>
          </w:p>
        </w:tc>
        <w:tc>
          <w:tcPr>
            <w:tcW w:w="0" w:type="auto"/>
            <w:shd w:val="clear" w:color="auto" w:fill="auto"/>
          </w:tcPr>
          <w:p w14:paraId="33DAD5E4" w14:textId="77777777" w:rsidR="004D6A64" w:rsidRDefault="004D6A64">
            <w:pPr>
              <w:rPr>
                <w:rFonts w:ascii="宋体"/>
              </w:rPr>
            </w:pPr>
          </w:p>
        </w:tc>
        <w:tc>
          <w:tcPr>
            <w:tcW w:w="0" w:type="auto"/>
            <w:shd w:val="clear" w:color="auto" w:fill="auto"/>
          </w:tcPr>
          <w:p w14:paraId="33DAD5E5" w14:textId="77777777" w:rsidR="004D6A64" w:rsidRDefault="004D6A64">
            <w:pPr>
              <w:rPr>
                <w:rFonts w:ascii="宋体"/>
              </w:rPr>
            </w:pPr>
          </w:p>
        </w:tc>
        <w:tc>
          <w:tcPr>
            <w:tcW w:w="0" w:type="auto"/>
            <w:shd w:val="clear" w:color="auto" w:fill="auto"/>
          </w:tcPr>
          <w:p w14:paraId="33DAD5E6" w14:textId="77777777" w:rsidR="004D6A64" w:rsidRDefault="004D6A64">
            <w:pPr>
              <w:rPr>
                <w:rFonts w:ascii="宋体"/>
              </w:rPr>
            </w:pPr>
          </w:p>
        </w:tc>
        <w:tc>
          <w:tcPr>
            <w:tcW w:w="0" w:type="auto"/>
            <w:shd w:val="clear" w:color="auto" w:fill="auto"/>
          </w:tcPr>
          <w:p w14:paraId="33DAD5E7" w14:textId="77777777" w:rsidR="004D6A64" w:rsidRDefault="004D6A64">
            <w:pPr>
              <w:rPr>
                <w:rFonts w:ascii="宋体"/>
              </w:rPr>
            </w:pPr>
          </w:p>
        </w:tc>
        <w:tc>
          <w:tcPr>
            <w:tcW w:w="0" w:type="auto"/>
            <w:shd w:val="clear" w:color="auto" w:fill="auto"/>
          </w:tcPr>
          <w:p w14:paraId="33DAD5E8" w14:textId="77777777" w:rsidR="004D6A64" w:rsidRDefault="004D6A64">
            <w:pPr>
              <w:rPr>
                <w:rFonts w:ascii="宋体"/>
              </w:rPr>
            </w:pPr>
          </w:p>
        </w:tc>
        <w:tc>
          <w:tcPr>
            <w:tcW w:w="0" w:type="auto"/>
            <w:shd w:val="clear" w:color="auto" w:fill="auto"/>
          </w:tcPr>
          <w:p w14:paraId="33DAD5E9" w14:textId="77777777" w:rsidR="004D6A64" w:rsidRDefault="004D6A64">
            <w:pPr>
              <w:rPr>
                <w:rFonts w:ascii="宋体"/>
              </w:rPr>
            </w:pPr>
          </w:p>
        </w:tc>
        <w:tc>
          <w:tcPr>
            <w:tcW w:w="0" w:type="auto"/>
            <w:shd w:val="clear" w:color="auto" w:fill="auto"/>
          </w:tcPr>
          <w:p w14:paraId="33DAD5EA" w14:textId="77777777" w:rsidR="004D6A64" w:rsidRDefault="004D6A64">
            <w:pPr>
              <w:rPr>
                <w:rFonts w:ascii="宋体"/>
              </w:rPr>
            </w:pPr>
          </w:p>
        </w:tc>
        <w:tc>
          <w:tcPr>
            <w:tcW w:w="0" w:type="auto"/>
            <w:shd w:val="clear" w:color="auto" w:fill="auto"/>
          </w:tcPr>
          <w:p w14:paraId="33DAD5EB" w14:textId="77777777" w:rsidR="004D6A64" w:rsidRDefault="004D6A64">
            <w:pPr>
              <w:rPr>
                <w:rFonts w:ascii="宋体"/>
              </w:rPr>
            </w:pPr>
          </w:p>
        </w:tc>
        <w:tc>
          <w:tcPr>
            <w:tcW w:w="0" w:type="auto"/>
            <w:shd w:val="clear" w:color="auto" w:fill="auto"/>
          </w:tcPr>
          <w:p w14:paraId="33DAD5EC" w14:textId="77777777" w:rsidR="004D6A64" w:rsidRDefault="004D6A64">
            <w:pPr>
              <w:rPr>
                <w:rFonts w:ascii="宋体"/>
              </w:rPr>
            </w:pPr>
          </w:p>
        </w:tc>
        <w:tc>
          <w:tcPr>
            <w:tcW w:w="0" w:type="auto"/>
            <w:shd w:val="clear" w:color="auto" w:fill="auto"/>
          </w:tcPr>
          <w:p w14:paraId="33DAD5ED" w14:textId="77777777" w:rsidR="004D6A64" w:rsidRDefault="004D6A64">
            <w:pPr>
              <w:rPr>
                <w:rFonts w:ascii="宋体"/>
              </w:rPr>
            </w:pPr>
          </w:p>
        </w:tc>
        <w:tc>
          <w:tcPr>
            <w:tcW w:w="0" w:type="auto"/>
            <w:shd w:val="clear" w:color="auto" w:fill="auto"/>
          </w:tcPr>
          <w:p w14:paraId="33DAD5EE" w14:textId="77777777" w:rsidR="004D6A64" w:rsidRDefault="004D6A64">
            <w:pPr>
              <w:rPr>
                <w:rFonts w:ascii="宋体"/>
              </w:rPr>
            </w:pPr>
          </w:p>
        </w:tc>
        <w:tc>
          <w:tcPr>
            <w:tcW w:w="0" w:type="auto"/>
            <w:shd w:val="clear" w:color="auto" w:fill="auto"/>
          </w:tcPr>
          <w:p w14:paraId="33DAD5EF" w14:textId="77777777" w:rsidR="004D6A64" w:rsidRDefault="004D6A64">
            <w:pPr>
              <w:rPr>
                <w:rFonts w:ascii="宋体"/>
              </w:rPr>
            </w:pPr>
          </w:p>
        </w:tc>
        <w:tc>
          <w:tcPr>
            <w:tcW w:w="0" w:type="auto"/>
            <w:shd w:val="clear" w:color="auto" w:fill="auto"/>
          </w:tcPr>
          <w:p w14:paraId="33DAD5F0" w14:textId="77777777" w:rsidR="004D6A64" w:rsidRDefault="004D6A64">
            <w:pPr>
              <w:rPr>
                <w:rFonts w:ascii="宋体"/>
              </w:rPr>
            </w:pPr>
          </w:p>
        </w:tc>
        <w:tc>
          <w:tcPr>
            <w:tcW w:w="0" w:type="auto"/>
            <w:shd w:val="clear" w:color="auto" w:fill="auto"/>
          </w:tcPr>
          <w:p w14:paraId="33DAD5F1" w14:textId="77777777" w:rsidR="004D6A64" w:rsidRDefault="004D6A64">
            <w:pPr>
              <w:rPr>
                <w:rFonts w:ascii="宋体"/>
              </w:rPr>
            </w:pPr>
          </w:p>
        </w:tc>
        <w:tc>
          <w:tcPr>
            <w:tcW w:w="0" w:type="auto"/>
            <w:shd w:val="clear" w:color="auto" w:fill="auto"/>
          </w:tcPr>
          <w:p w14:paraId="33DAD5F2" w14:textId="77777777" w:rsidR="004D6A64" w:rsidRDefault="004D6A64">
            <w:pPr>
              <w:rPr>
                <w:rFonts w:ascii="宋体"/>
              </w:rPr>
            </w:pPr>
          </w:p>
        </w:tc>
        <w:tc>
          <w:tcPr>
            <w:tcW w:w="0" w:type="auto"/>
            <w:shd w:val="clear" w:color="auto" w:fill="auto"/>
          </w:tcPr>
          <w:p w14:paraId="33DAD5F3" w14:textId="77777777" w:rsidR="004D6A64" w:rsidRDefault="004D6A64">
            <w:pPr>
              <w:rPr>
                <w:rFonts w:ascii="宋体"/>
              </w:rPr>
            </w:pPr>
          </w:p>
        </w:tc>
      </w:tr>
      <w:tr w:rsidR="004D6A64" w14:paraId="33DAD60F" w14:textId="77777777">
        <w:tc>
          <w:tcPr>
            <w:tcW w:w="0" w:type="auto"/>
            <w:gridSpan w:val="3"/>
            <w:shd w:val="clear" w:color="auto" w:fill="FFFFFF"/>
            <w:tcMar>
              <w:top w:w="40" w:type="dxa"/>
              <w:left w:w="135" w:type="dxa"/>
              <w:bottom w:w="40" w:type="dxa"/>
              <w:right w:w="20" w:type="dxa"/>
            </w:tcMar>
            <w:vAlign w:val="center"/>
          </w:tcPr>
          <w:p w14:paraId="33DAD5F5" w14:textId="77777777" w:rsidR="004D6A64" w:rsidRDefault="00506CD6">
            <w:pPr>
              <w:textAlignment w:val="center"/>
            </w:pPr>
            <w:r>
              <w:rPr>
                <w:rFonts w:ascii="Times New Roman" w:eastAsia="宋体" w:hAnsi="Times New Roman"/>
                <w:i/>
                <w:iCs/>
                <w:color w:val="000000"/>
                <w:sz w:val="20"/>
                <w:szCs w:val="20"/>
              </w:rPr>
              <w:t>VMware:</w:t>
            </w:r>
          </w:p>
        </w:tc>
        <w:tc>
          <w:tcPr>
            <w:tcW w:w="0" w:type="auto"/>
            <w:gridSpan w:val="3"/>
            <w:tcBorders>
              <w:top w:val="single" w:sz="8" w:space="0" w:color="000000"/>
            </w:tcBorders>
            <w:shd w:val="clear" w:color="auto" w:fill="FFFFFF"/>
            <w:tcMar>
              <w:left w:w="20" w:type="dxa"/>
              <w:right w:w="20" w:type="dxa"/>
            </w:tcMar>
            <w:vAlign w:val="bottom"/>
          </w:tcPr>
          <w:p w14:paraId="33DAD5F6"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5F7" w14:textId="77777777" w:rsidR="004D6A64" w:rsidRDefault="004D6A64">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33DAD5F8"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5F9" w14:textId="77777777" w:rsidR="004D6A64" w:rsidRDefault="004D6A64">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33DAD5FA"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5FB" w14:textId="77777777" w:rsidR="004D6A64" w:rsidRDefault="004D6A64">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33DAD5FC" w14:textId="77777777" w:rsidR="004D6A64" w:rsidRDefault="004D6A64">
            <w:pPr>
              <w:rPr>
                <w:rFonts w:ascii="宋体"/>
              </w:rPr>
            </w:pPr>
          </w:p>
        </w:tc>
        <w:tc>
          <w:tcPr>
            <w:tcW w:w="0" w:type="auto"/>
            <w:shd w:val="clear" w:color="auto" w:fill="auto"/>
          </w:tcPr>
          <w:p w14:paraId="33DAD5FD" w14:textId="77777777" w:rsidR="004D6A64" w:rsidRDefault="004D6A64">
            <w:pPr>
              <w:rPr>
                <w:rFonts w:ascii="宋体"/>
              </w:rPr>
            </w:pPr>
          </w:p>
        </w:tc>
        <w:tc>
          <w:tcPr>
            <w:tcW w:w="0" w:type="auto"/>
            <w:shd w:val="clear" w:color="auto" w:fill="auto"/>
          </w:tcPr>
          <w:p w14:paraId="33DAD5FE" w14:textId="77777777" w:rsidR="004D6A64" w:rsidRDefault="004D6A64">
            <w:pPr>
              <w:rPr>
                <w:rFonts w:ascii="宋体"/>
              </w:rPr>
            </w:pPr>
          </w:p>
        </w:tc>
        <w:tc>
          <w:tcPr>
            <w:tcW w:w="0" w:type="auto"/>
            <w:shd w:val="clear" w:color="auto" w:fill="auto"/>
          </w:tcPr>
          <w:p w14:paraId="33DAD5FF" w14:textId="77777777" w:rsidR="004D6A64" w:rsidRDefault="004D6A64">
            <w:pPr>
              <w:rPr>
                <w:rFonts w:ascii="宋体"/>
              </w:rPr>
            </w:pPr>
          </w:p>
        </w:tc>
        <w:tc>
          <w:tcPr>
            <w:tcW w:w="0" w:type="auto"/>
            <w:shd w:val="clear" w:color="auto" w:fill="auto"/>
          </w:tcPr>
          <w:p w14:paraId="33DAD600" w14:textId="77777777" w:rsidR="004D6A64" w:rsidRDefault="004D6A64">
            <w:pPr>
              <w:rPr>
                <w:rFonts w:ascii="宋体"/>
              </w:rPr>
            </w:pPr>
          </w:p>
        </w:tc>
        <w:tc>
          <w:tcPr>
            <w:tcW w:w="0" w:type="auto"/>
            <w:shd w:val="clear" w:color="auto" w:fill="auto"/>
          </w:tcPr>
          <w:p w14:paraId="33DAD601" w14:textId="77777777" w:rsidR="004D6A64" w:rsidRDefault="004D6A64">
            <w:pPr>
              <w:rPr>
                <w:rFonts w:ascii="宋体"/>
              </w:rPr>
            </w:pPr>
          </w:p>
        </w:tc>
        <w:tc>
          <w:tcPr>
            <w:tcW w:w="0" w:type="auto"/>
            <w:shd w:val="clear" w:color="auto" w:fill="auto"/>
          </w:tcPr>
          <w:p w14:paraId="33DAD602" w14:textId="77777777" w:rsidR="004D6A64" w:rsidRDefault="004D6A64">
            <w:pPr>
              <w:rPr>
                <w:rFonts w:ascii="宋体"/>
              </w:rPr>
            </w:pPr>
          </w:p>
        </w:tc>
        <w:tc>
          <w:tcPr>
            <w:tcW w:w="0" w:type="auto"/>
            <w:shd w:val="clear" w:color="auto" w:fill="auto"/>
          </w:tcPr>
          <w:p w14:paraId="33DAD603" w14:textId="77777777" w:rsidR="004D6A64" w:rsidRDefault="004D6A64">
            <w:pPr>
              <w:rPr>
                <w:rFonts w:ascii="宋体"/>
              </w:rPr>
            </w:pPr>
          </w:p>
        </w:tc>
        <w:tc>
          <w:tcPr>
            <w:tcW w:w="0" w:type="auto"/>
            <w:shd w:val="clear" w:color="auto" w:fill="auto"/>
          </w:tcPr>
          <w:p w14:paraId="33DAD604" w14:textId="77777777" w:rsidR="004D6A64" w:rsidRDefault="004D6A64">
            <w:pPr>
              <w:rPr>
                <w:rFonts w:ascii="宋体"/>
              </w:rPr>
            </w:pPr>
          </w:p>
        </w:tc>
        <w:tc>
          <w:tcPr>
            <w:tcW w:w="0" w:type="auto"/>
            <w:shd w:val="clear" w:color="auto" w:fill="auto"/>
          </w:tcPr>
          <w:p w14:paraId="33DAD605" w14:textId="77777777" w:rsidR="004D6A64" w:rsidRDefault="004D6A64">
            <w:pPr>
              <w:rPr>
                <w:rFonts w:ascii="宋体"/>
              </w:rPr>
            </w:pPr>
          </w:p>
        </w:tc>
        <w:tc>
          <w:tcPr>
            <w:tcW w:w="0" w:type="auto"/>
            <w:shd w:val="clear" w:color="auto" w:fill="auto"/>
          </w:tcPr>
          <w:p w14:paraId="33DAD606" w14:textId="77777777" w:rsidR="004D6A64" w:rsidRDefault="004D6A64">
            <w:pPr>
              <w:rPr>
                <w:rFonts w:ascii="宋体"/>
              </w:rPr>
            </w:pPr>
          </w:p>
        </w:tc>
        <w:tc>
          <w:tcPr>
            <w:tcW w:w="0" w:type="auto"/>
            <w:shd w:val="clear" w:color="auto" w:fill="auto"/>
          </w:tcPr>
          <w:p w14:paraId="33DAD607" w14:textId="77777777" w:rsidR="004D6A64" w:rsidRDefault="004D6A64">
            <w:pPr>
              <w:rPr>
                <w:rFonts w:ascii="宋体"/>
              </w:rPr>
            </w:pPr>
          </w:p>
        </w:tc>
        <w:tc>
          <w:tcPr>
            <w:tcW w:w="0" w:type="auto"/>
            <w:shd w:val="clear" w:color="auto" w:fill="auto"/>
          </w:tcPr>
          <w:p w14:paraId="33DAD608" w14:textId="77777777" w:rsidR="004D6A64" w:rsidRDefault="004D6A64">
            <w:pPr>
              <w:rPr>
                <w:rFonts w:ascii="宋体"/>
              </w:rPr>
            </w:pPr>
          </w:p>
        </w:tc>
        <w:tc>
          <w:tcPr>
            <w:tcW w:w="0" w:type="auto"/>
            <w:shd w:val="clear" w:color="auto" w:fill="auto"/>
          </w:tcPr>
          <w:p w14:paraId="33DAD609" w14:textId="77777777" w:rsidR="004D6A64" w:rsidRDefault="004D6A64">
            <w:pPr>
              <w:rPr>
                <w:rFonts w:ascii="宋体"/>
              </w:rPr>
            </w:pPr>
          </w:p>
        </w:tc>
        <w:tc>
          <w:tcPr>
            <w:tcW w:w="0" w:type="auto"/>
            <w:shd w:val="clear" w:color="auto" w:fill="auto"/>
          </w:tcPr>
          <w:p w14:paraId="33DAD60A" w14:textId="77777777" w:rsidR="004D6A64" w:rsidRDefault="004D6A64">
            <w:pPr>
              <w:rPr>
                <w:rFonts w:ascii="宋体"/>
              </w:rPr>
            </w:pPr>
          </w:p>
        </w:tc>
        <w:tc>
          <w:tcPr>
            <w:tcW w:w="0" w:type="auto"/>
            <w:shd w:val="clear" w:color="auto" w:fill="auto"/>
          </w:tcPr>
          <w:p w14:paraId="33DAD60B" w14:textId="77777777" w:rsidR="004D6A64" w:rsidRDefault="004D6A64">
            <w:pPr>
              <w:rPr>
                <w:rFonts w:ascii="宋体"/>
              </w:rPr>
            </w:pPr>
          </w:p>
        </w:tc>
        <w:tc>
          <w:tcPr>
            <w:tcW w:w="0" w:type="auto"/>
            <w:shd w:val="clear" w:color="auto" w:fill="auto"/>
          </w:tcPr>
          <w:p w14:paraId="33DAD60C" w14:textId="77777777" w:rsidR="004D6A64" w:rsidRDefault="004D6A64">
            <w:pPr>
              <w:rPr>
                <w:rFonts w:ascii="宋体"/>
              </w:rPr>
            </w:pPr>
          </w:p>
        </w:tc>
        <w:tc>
          <w:tcPr>
            <w:tcW w:w="0" w:type="auto"/>
            <w:shd w:val="clear" w:color="auto" w:fill="auto"/>
          </w:tcPr>
          <w:p w14:paraId="33DAD60D" w14:textId="77777777" w:rsidR="004D6A64" w:rsidRDefault="004D6A64">
            <w:pPr>
              <w:rPr>
                <w:rFonts w:ascii="宋体"/>
              </w:rPr>
            </w:pPr>
          </w:p>
        </w:tc>
        <w:tc>
          <w:tcPr>
            <w:tcW w:w="0" w:type="auto"/>
            <w:shd w:val="clear" w:color="auto" w:fill="auto"/>
          </w:tcPr>
          <w:p w14:paraId="33DAD60E" w14:textId="77777777" w:rsidR="004D6A64" w:rsidRDefault="004D6A64">
            <w:pPr>
              <w:rPr>
                <w:rFonts w:ascii="宋体"/>
              </w:rPr>
            </w:pPr>
          </w:p>
        </w:tc>
      </w:tr>
      <w:tr w:rsidR="004D6A64" w14:paraId="33DAD62E" w14:textId="77777777">
        <w:tc>
          <w:tcPr>
            <w:tcW w:w="0" w:type="auto"/>
            <w:gridSpan w:val="3"/>
            <w:shd w:val="clear" w:color="auto" w:fill="CCEEFF"/>
            <w:tcMar>
              <w:top w:w="40" w:type="dxa"/>
              <w:left w:w="465" w:type="dxa"/>
              <w:bottom w:w="40" w:type="dxa"/>
              <w:right w:w="20" w:type="dxa"/>
            </w:tcMar>
            <w:vAlign w:val="center"/>
          </w:tcPr>
          <w:p w14:paraId="33DAD610" w14:textId="77777777" w:rsidR="004D6A64" w:rsidRDefault="00506CD6">
            <w:pPr>
              <w:textAlignment w:val="center"/>
            </w:pPr>
            <w:r>
              <w:rPr>
                <w:rFonts w:ascii="Times New Roman" w:eastAsia="宋体" w:hAnsi="Times New Roman"/>
                <w:color w:val="000000"/>
                <w:sz w:val="20"/>
                <w:szCs w:val="20"/>
              </w:rPr>
              <w:t>Total VMware net revenue</w:t>
            </w:r>
          </w:p>
        </w:tc>
        <w:tc>
          <w:tcPr>
            <w:tcW w:w="0" w:type="auto"/>
            <w:gridSpan w:val="2"/>
            <w:shd w:val="clear" w:color="auto" w:fill="CCEEFF"/>
            <w:tcMar>
              <w:top w:w="40" w:type="dxa"/>
              <w:left w:w="20" w:type="dxa"/>
              <w:bottom w:w="40" w:type="dxa"/>
              <w:right w:w="0" w:type="dxa"/>
            </w:tcMar>
            <w:vAlign w:val="center"/>
          </w:tcPr>
          <w:p w14:paraId="33DAD611" w14:textId="77777777" w:rsidR="004D6A64" w:rsidRDefault="00506CD6">
            <w:pPr>
              <w:jc w:val="right"/>
              <w:textAlignment w:val="center"/>
            </w:pPr>
            <w:r>
              <w:rPr>
                <w:rFonts w:ascii="Times New Roman" w:eastAsia="宋体" w:hAnsi="Times New Roman"/>
                <w:color w:val="000000"/>
                <w:sz w:val="20"/>
                <w:szCs w:val="20"/>
              </w:rPr>
              <w:t>2,908 </w:t>
            </w:r>
          </w:p>
        </w:tc>
        <w:tc>
          <w:tcPr>
            <w:tcW w:w="0" w:type="auto"/>
            <w:shd w:val="clear" w:color="auto" w:fill="CCEEFF"/>
            <w:tcMar>
              <w:top w:w="40" w:type="dxa"/>
              <w:bottom w:w="40" w:type="dxa"/>
              <w:right w:w="20" w:type="dxa"/>
            </w:tcMar>
            <w:vAlign w:val="center"/>
          </w:tcPr>
          <w:p w14:paraId="33DAD61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61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614" w14:textId="77777777" w:rsidR="004D6A64" w:rsidRDefault="00506CD6">
            <w:pPr>
              <w:jc w:val="right"/>
              <w:textAlignment w:val="center"/>
            </w:pPr>
            <w:r>
              <w:rPr>
                <w:rFonts w:ascii="Times New Roman" w:eastAsia="宋体" w:hAnsi="Times New Roman"/>
                <w:color w:val="000000"/>
                <w:sz w:val="20"/>
                <w:szCs w:val="20"/>
              </w:rPr>
              <w:t>2,651 </w:t>
            </w:r>
          </w:p>
        </w:tc>
        <w:tc>
          <w:tcPr>
            <w:tcW w:w="0" w:type="auto"/>
            <w:shd w:val="clear" w:color="auto" w:fill="CCEEFF"/>
            <w:tcMar>
              <w:top w:w="40" w:type="dxa"/>
              <w:bottom w:w="40" w:type="dxa"/>
              <w:right w:w="20" w:type="dxa"/>
            </w:tcMar>
            <w:vAlign w:val="center"/>
          </w:tcPr>
          <w:p w14:paraId="33DAD61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61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617" w14:textId="77777777" w:rsidR="004D6A64" w:rsidRDefault="00506CD6">
            <w:pPr>
              <w:jc w:val="right"/>
              <w:textAlignment w:val="center"/>
            </w:pPr>
            <w:r>
              <w:rPr>
                <w:rFonts w:ascii="Times New Roman" w:eastAsia="宋体" w:hAnsi="Times New Roman"/>
                <w:color w:val="000000"/>
                <w:sz w:val="20"/>
                <w:szCs w:val="20"/>
              </w:rPr>
              <w:t>5,663 </w:t>
            </w:r>
          </w:p>
        </w:tc>
        <w:tc>
          <w:tcPr>
            <w:tcW w:w="0" w:type="auto"/>
            <w:shd w:val="clear" w:color="auto" w:fill="CCEEFF"/>
            <w:tcMar>
              <w:top w:w="40" w:type="dxa"/>
              <w:bottom w:w="40" w:type="dxa"/>
              <w:right w:w="20" w:type="dxa"/>
            </w:tcMar>
            <w:vAlign w:val="center"/>
          </w:tcPr>
          <w:p w14:paraId="33DAD61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61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61A" w14:textId="77777777" w:rsidR="004D6A64" w:rsidRDefault="00506CD6">
            <w:pPr>
              <w:jc w:val="right"/>
              <w:textAlignment w:val="center"/>
            </w:pPr>
            <w:r>
              <w:rPr>
                <w:rFonts w:ascii="Times New Roman" w:eastAsia="宋体" w:hAnsi="Times New Roman"/>
                <w:color w:val="000000"/>
                <w:sz w:val="20"/>
                <w:szCs w:val="20"/>
              </w:rPr>
              <w:t>5,108 </w:t>
            </w:r>
          </w:p>
        </w:tc>
        <w:tc>
          <w:tcPr>
            <w:tcW w:w="0" w:type="auto"/>
            <w:shd w:val="clear" w:color="auto" w:fill="CCEEFF"/>
            <w:tcMar>
              <w:top w:w="40" w:type="dxa"/>
              <w:bottom w:w="40" w:type="dxa"/>
              <w:right w:w="20" w:type="dxa"/>
            </w:tcMar>
            <w:vAlign w:val="center"/>
          </w:tcPr>
          <w:p w14:paraId="33DAD61B" w14:textId="77777777" w:rsidR="004D6A64" w:rsidRDefault="004D6A64">
            <w:pPr>
              <w:jc w:val="right"/>
              <w:rPr>
                <w:rFonts w:ascii="宋体"/>
              </w:rPr>
            </w:pPr>
          </w:p>
        </w:tc>
        <w:tc>
          <w:tcPr>
            <w:tcW w:w="0" w:type="auto"/>
            <w:shd w:val="clear" w:color="auto" w:fill="auto"/>
          </w:tcPr>
          <w:p w14:paraId="33DAD61C" w14:textId="77777777" w:rsidR="004D6A64" w:rsidRDefault="004D6A64">
            <w:pPr>
              <w:rPr>
                <w:rFonts w:ascii="宋体"/>
              </w:rPr>
            </w:pPr>
          </w:p>
        </w:tc>
        <w:tc>
          <w:tcPr>
            <w:tcW w:w="0" w:type="auto"/>
            <w:shd w:val="clear" w:color="auto" w:fill="auto"/>
          </w:tcPr>
          <w:p w14:paraId="33DAD61D" w14:textId="77777777" w:rsidR="004D6A64" w:rsidRDefault="004D6A64">
            <w:pPr>
              <w:rPr>
                <w:rFonts w:ascii="宋体"/>
              </w:rPr>
            </w:pPr>
          </w:p>
        </w:tc>
        <w:tc>
          <w:tcPr>
            <w:tcW w:w="0" w:type="auto"/>
            <w:shd w:val="clear" w:color="auto" w:fill="auto"/>
          </w:tcPr>
          <w:p w14:paraId="33DAD61E" w14:textId="77777777" w:rsidR="004D6A64" w:rsidRDefault="004D6A64">
            <w:pPr>
              <w:rPr>
                <w:rFonts w:ascii="宋体"/>
              </w:rPr>
            </w:pPr>
          </w:p>
        </w:tc>
        <w:tc>
          <w:tcPr>
            <w:tcW w:w="0" w:type="auto"/>
            <w:shd w:val="clear" w:color="auto" w:fill="auto"/>
          </w:tcPr>
          <w:p w14:paraId="33DAD61F" w14:textId="77777777" w:rsidR="004D6A64" w:rsidRDefault="004D6A64">
            <w:pPr>
              <w:rPr>
                <w:rFonts w:ascii="宋体"/>
              </w:rPr>
            </w:pPr>
          </w:p>
        </w:tc>
        <w:tc>
          <w:tcPr>
            <w:tcW w:w="0" w:type="auto"/>
            <w:shd w:val="clear" w:color="auto" w:fill="auto"/>
          </w:tcPr>
          <w:p w14:paraId="33DAD620" w14:textId="77777777" w:rsidR="004D6A64" w:rsidRDefault="004D6A64">
            <w:pPr>
              <w:rPr>
                <w:rFonts w:ascii="宋体"/>
              </w:rPr>
            </w:pPr>
          </w:p>
        </w:tc>
        <w:tc>
          <w:tcPr>
            <w:tcW w:w="0" w:type="auto"/>
            <w:shd w:val="clear" w:color="auto" w:fill="auto"/>
          </w:tcPr>
          <w:p w14:paraId="33DAD621" w14:textId="77777777" w:rsidR="004D6A64" w:rsidRDefault="004D6A64">
            <w:pPr>
              <w:rPr>
                <w:rFonts w:ascii="宋体"/>
              </w:rPr>
            </w:pPr>
          </w:p>
        </w:tc>
        <w:tc>
          <w:tcPr>
            <w:tcW w:w="0" w:type="auto"/>
            <w:shd w:val="clear" w:color="auto" w:fill="auto"/>
          </w:tcPr>
          <w:p w14:paraId="33DAD622" w14:textId="77777777" w:rsidR="004D6A64" w:rsidRDefault="004D6A64">
            <w:pPr>
              <w:rPr>
                <w:rFonts w:ascii="宋体"/>
              </w:rPr>
            </w:pPr>
          </w:p>
        </w:tc>
        <w:tc>
          <w:tcPr>
            <w:tcW w:w="0" w:type="auto"/>
            <w:shd w:val="clear" w:color="auto" w:fill="auto"/>
          </w:tcPr>
          <w:p w14:paraId="33DAD623" w14:textId="77777777" w:rsidR="004D6A64" w:rsidRDefault="004D6A64">
            <w:pPr>
              <w:rPr>
                <w:rFonts w:ascii="宋体"/>
              </w:rPr>
            </w:pPr>
          </w:p>
        </w:tc>
        <w:tc>
          <w:tcPr>
            <w:tcW w:w="0" w:type="auto"/>
            <w:shd w:val="clear" w:color="auto" w:fill="auto"/>
          </w:tcPr>
          <w:p w14:paraId="33DAD624" w14:textId="77777777" w:rsidR="004D6A64" w:rsidRDefault="004D6A64">
            <w:pPr>
              <w:rPr>
                <w:rFonts w:ascii="宋体"/>
              </w:rPr>
            </w:pPr>
          </w:p>
        </w:tc>
        <w:tc>
          <w:tcPr>
            <w:tcW w:w="0" w:type="auto"/>
            <w:shd w:val="clear" w:color="auto" w:fill="auto"/>
          </w:tcPr>
          <w:p w14:paraId="33DAD625" w14:textId="77777777" w:rsidR="004D6A64" w:rsidRDefault="004D6A64">
            <w:pPr>
              <w:rPr>
                <w:rFonts w:ascii="宋体"/>
              </w:rPr>
            </w:pPr>
          </w:p>
        </w:tc>
        <w:tc>
          <w:tcPr>
            <w:tcW w:w="0" w:type="auto"/>
            <w:shd w:val="clear" w:color="auto" w:fill="auto"/>
          </w:tcPr>
          <w:p w14:paraId="33DAD626" w14:textId="77777777" w:rsidR="004D6A64" w:rsidRDefault="004D6A64">
            <w:pPr>
              <w:rPr>
                <w:rFonts w:ascii="宋体"/>
              </w:rPr>
            </w:pPr>
          </w:p>
        </w:tc>
        <w:tc>
          <w:tcPr>
            <w:tcW w:w="0" w:type="auto"/>
            <w:shd w:val="clear" w:color="auto" w:fill="auto"/>
          </w:tcPr>
          <w:p w14:paraId="33DAD627" w14:textId="77777777" w:rsidR="004D6A64" w:rsidRDefault="004D6A64">
            <w:pPr>
              <w:rPr>
                <w:rFonts w:ascii="宋体"/>
              </w:rPr>
            </w:pPr>
          </w:p>
        </w:tc>
        <w:tc>
          <w:tcPr>
            <w:tcW w:w="0" w:type="auto"/>
            <w:shd w:val="clear" w:color="auto" w:fill="auto"/>
          </w:tcPr>
          <w:p w14:paraId="33DAD628" w14:textId="77777777" w:rsidR="004D6A64" w:rsidRDefault="004D6A64">
            <w:pPr>
              <w:rPr>
                <w:rFonts w:ascii="宋体"/>
              </w:rPr>
            </w:pPr>
          </w:p>
        </w:tc>
        <w:tc>
          <w:tcPr>
            <w:tcW w:w="0" w:type="auto"/>
            <w:shd w:val="clear" w:color="auto" w:fill="auto"/>
          </w:tcPr>
          <w:p w14:paraId="33DAD629" w14:textId="77777777" w:rsidR="004D6A64" w:rsidRDefault="004D6A64">
            <w:pPr>
              <w:rPr>
                <w:rFonts w:ascii="宋体"/>
              </w:rPr>
            </w:pPr>
          </w:p>
        </w:tc>
        <w:tc>
          <w:tcPr>
            <w:tcW w:w="0" w:type="auto"/>
            <w:shd w:val="clear" w:color="auto" w:fill="auto"/>
          </w:tcPr>
          <w:p w14:paraId="33DAD62A" w14:textId="77777777" w:rsidR="004D6A64" w:rsidRDefault="004D6A64">
            <w:pPr>
              <w:rPr>
                <w:rFonts w:ascii="宋体"/>
              </w:rPr>
            </w:pPr>
          </w:p>
        </w:tc>
        <w:tc>
          <w:tcPr>
            <w:tcW w:w="0" w:type="auto"/>
            <w:shd w:val="clear" w:color="auto" w:fill="auto"/>
          </w:tcPr>
          <w:p w14:paraId="33DAD62B" w14:textId="77777777" w:rsidR="004D6A64" w:rsidRDefault="004D6A64">
            <w:pPr>
              <w:rPr>
                <w:rFonts w:ascii="宋体"/>
              </w:rPr>
            </w:pPr>
          </w:p>
        </w:tc>
        <w:tc>
          <w:tcPr>
            <w:tcW w:w="0" w:type="auto"/>
            <w:shd w:val="clear" w:color="auto" w:fill="auto"/>
          </w:tcPr>
          <w:p w14:paraId="33DAD62C" w14:textId="77777777" w:rsidR="004D6A64" w:rsidRDefault="004D6A64">
            <w:pPr>
              <w:rPr>
                <w:rFonts w:ascii="宋体"/>
              </w:rPr>
            </w:pPr>
          </w:p>
        </w:tc>
        <w:tc>
          <w:tcPr>
            <w:tcW w:w="0" w:type="auto"/>
            <w:shd w:val="clear" w:color="auto" w:fill="auto"/>
          </w:tcPr>
          <w:p w14:paraId="33DAD62D" w14:textId="77777777" w:rsidR="004D6A64" w:rsidRDefault="004D6A64">
            <w:pPr>
              <w:rPr>
                <w:rFonts w:ascii="宋体"/>
              </w:rPr>
            </w:pPr>
          </w:p>
        </w:tc>
      </w:tr>
      <w:tr w:rsidR="004D6A64" w14:paraId="33DAD651" w14:textId="77777777">
        <w:tc>
          <w:tcPr>
            <w:tcW w:w="0" w:type="auto"/>
            <w:gridSpan w:val="3"/>
            <w:shd w:val="clear" w:color="auto" w:fill="FFFFFF"/>
            <w:tcMar>
              <w:top w:w="40" w:type="dxa"/>
              <w:left w:w="735" w:type="dxa"/>
              <w:bottom w:w="40" w:type="dxa"/>
              <w:right w:w="20" w:type="dxa"/>
            </w:tcMar>
            <w:vAlign w:val="center"/>
          </w:tcPr>
          <w:p w14:paraId="33DAD62F" w14:textId="77777777" w:rsidR="004D6A64" w:rsidRDefault="00506CD6">
            <w:pPr>
              <w:textAlignment w:val="center"/>
            </w:pPr>
            <w:r>
              <w:rPr>
                <w:rFonts w:ascii="Times New Roman" w:eastAsia="宋体" w:hAnsi="Times New Roman"/>
                <w:color w:val="000000"/>
                <w:sz w:val="20"/>
                <w:szCs w:val="20"/>
              </w:rPr>
              <w:t>Total segment net revenue</w:t>
            </w: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D630"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D631" w14:textId="77777777" w:rsidR="004D6A64" w:rsidRDefault="00506CD6">
            <w:pPr>
              <w:jc w:val="right"/>
              <w:textAlignment w:val="center"/>
            </w:pPr>
            <w:r>
              <w:rPr>
                <w:rFonts w:ascii="Times New Roman" w:eastAsia="宋体" w:hAnsi="Times New Roman"/>
                <w:color w:val="000000"/>
                <w:sz w:val="20"/>
                <w:szCs w:val="20"/>
              </w:rPr>
              <w:t>22,318 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D63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633"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D634"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D635" w14:textId="77777777" w:rsidR="004D6A64" w:rsidRDefault="00506CD6">
            <w:pPr>
              <w:jc w:val="right"/>
              <w:textAlignment w:val="center"/>
            </w:pPr>
            <w:r>
              <w:rPr>
                <w:rFonts w:ascii="Times New Roman" w:eastAsia="宋体" w:hAnsi="Times New Roman"/>
                <w:color w:val="000000"/>
                <w:sz w:val="20"/>
                <w:szCs w:val="20"/>
              </w:rPr>
              <w:t>23,020 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D63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637"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D638"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D639" w14:textId="77777777" w:rsidR="004D6A64" w:rsidRDefault="00506CD6">
            <w:pPr>
              <w:jc w:val="right"/>
              <w:textAlignment w:val="center"/>
            </w:pPr>
            <w:r>
              <w:rPr>
                <w:rFonts w:ascii="Times New Roman" w:eastAsia="宋体" w:hAnsi="Times New Roman"/>
                <w:color w:val="000000"/>
                <w:sz w:val="20"/>
                <w:szCs w:val="20"/>
              </w:rPr>
              <w:t>43,746 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D63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63B"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D63C"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D63D" w14:textId="77777777" w:rsidR="004D6A64" w:rsidRDefault="00506CD6">
            <w:pPr>
              <w:jc w:val="right"/>
              <w:textAlignment w:val="center"/>
            </w:pPr>
            <w:r>
              <w:rPr>
                <w:rFonts w:ascii="Times New Roman" w:eastAsia="宋体" w:hAnsi="Times New Roman"/>
                <w:color w:val="000000"/>
                <w:sz w:val="20"/>
                <w:szCs w:val="20"/>
              </w:rPr>
              <w:t>44,589 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D63E" w14:textId="77777777" w:rsidR="004D6A64" w:rsidRDefault="004D6A64">
            <w:pPr>
              <w:jc w:val="right"/>
              <w:rPr>
                <w:rFonts w:ascii="宋体"/>
              </w:rPr>
            </w:pPr>
          </w:p>
        </w:tc>
        <w:tc>
          <w:tcPr>
            <w:tcW w:w="0" w:type="auto"/>
            <w:shd w:val="clear" w:color="auto" w:fill="auto"/>
          </w:tcPr>
          <w:p w14:paraId="33DAD63F" w14:textId="77777777" w:rsidR="004D6A64" w:rsidRDefault="004D6A64">
            <w:pPr>
              <w:rPr>
                <w:rFonts w:ascii="宋体"/>
              </w:rPr>
            </w:pPr>
          </w:p>
        </w:tc>
        <w:tc>
          <w:tcPr>
            <w:tcW w:w="0" w:type="auto"/>
            <w:shd w:val="clear" w:color="auto" w:fill="auto"/>
          </w:tcPr>
          <w:p w14:paraId="33DAD640" w14:textId="77777777" w:rsidR="004D6A64" w:rsidRDefault="004D6A64">
            <w:pPr>
              <w:rPr>
                <w:rFonts w:ascii="宋体"/>
              </w:rPr>
            </w:pPr>
          </w:p>
        </w:tc>
        <w:tc>
          <w:tcPr>
            <w:tcW w:w="0" w:type="auto"/>
            <w:shd w:val="clear" w:color="auto" w:fill="auto"/>
          </w:tcPr>
          <w:p w14:paraId="33DAD641" w14:textId="77777777" w:rsidR="004D6A64" w:rsidRDefault="004D6A64">
            <w:pPr>
              <w:rPr>
                <w:rFonts w:ascii="宋体"/>
              </w:rPr>
            </w:pPr>
          </w:p>
        </w:tc>
        <w:tc>
          <w:tcPr>
            <w:tcW w:w="0" w:type="auto"/>
            <w:shd w:val="clear" w:color="auto" w:fill="auto"/>
          </w:tcPr>
          <w:p w14:paraId="33DAD642" w14:textId="77777777" w:rsidR="004D6A64" w:rsidRDefault="004D6A64">
            <w:pPr>
              <w:rPr>
                <w:rFonts w:ascii="宋体"/>
              </w:rPr>
            </w:pPr>
          </w:p>
        </w:tc>
        <w:tc>
          <w:tcPr>
            <w:tcW w:w="0" w:type="auto"/>
            <w:shd w:val="clear" w:color="auto" w:fill="auto"/>
          </w:tcPr>
          <w:p w14:paraId="33DAD643" w14:textId="77777777" w:rsidR="004D6A64" w:rsidRDefault="004D6A64">
            <w:pPr>
              <w:rPr>
                <w:rFonts w:ascii="宋体"/>
              </w:rPr>
            </w:pPr>
          </w:p>
        </w:tc>
        <w:tc>
          <w:tcPr>
            <w:tcW w:w="0" w:type="auto"/>
            <w:shd w:val="clear" w:color="auto" w:fill="auto"/>
          </w:tcPr>
          <w:p w14:paraId="33DAD644" w14:textId="77777777" w:rsidR="004D6A64" w:rsidRDefault="004D6A64">
            <w:pPr>
              <w:rPr>
                <w:rFonts w:ascii="宋体"/>
              </w:rPr>
            </w:pPr>
          </w:p>
        </w:tc>
        <w:tc>
          <w:tcPr>
            <w:tcW w:w="0" w:type="auto"/>
            <w:shd w:val="clear" w:color="auto" w:fill="auto"/>
          </w:tcPr>
          <w:p w14:paraId="33DAD645" w14:textId="77777777" w:rsidR="004D6A64" w:rsidRDefault="004D6A64">
            <w:pPr>
              <w:rPr>
                <w:rFonts w:ascii="宋体"/>
              </w:rPr>
            </w:pPr>
          </w:p>
        </w:tc>
        <w:tc>
          <w:tcPr>
            <w:tcW w:w="0" w:type="auto"/>
            <w:shd w:val="clear" w:color="auto" w:fill="auto"/>
          </w:tcPr>
          <w:p w14:paraId="33DAD646" w14:textId="77777777" w:rsidR="004D6A64" w:rsidRDefault="004D6A64">
            <w:pPr>
              <w:rPr>
                <w:rFonts w:ascii="宋体"/>
              </w:rPr>
            </w:pPr>
          </w:p>
        </w:tc>
        <w:tc>
          <w:tcPr>
            <w:tcW w:w="0" w:type="auto"/>
            <w:shd w:val="clear" w:color="auto" w:fill="auto"/>
          </w:tcPr>
          <w:p w14:paraId="33DAD647" w14:textId="77777777" w:rsidR="004D6A64" w:rsidRDefault="004D6A64">
            <w:pPr>
              <w:rPr>
                <w:rFonts w:ascii="宋体"/>
              </w:rPr>
            </w:pPr>
          </w:p>
        </w:tc>
        <w:tc>
          <w:tcPr>
            <w:tcW w:w="0" w:type="auto"/>
            <w:shd w:val="clear" w:color="auto" w:fill="auto"/>
          </w:tcPr>
          <w:p w14:paraId="33DAD648" w14:textId="77777777" w:rsidR="004D6A64" w:rsidRDefault="004D6A64">
            <w:pPr>
              <w:rPr>
                <w:rFonts w:ascii="宋体"/>
              </w:rPr>
            </w:pPr>
          </w:p>
        </w:tc>
        <w:tc>
          <w:tcPr>
            <w:tcW w:w="0" w:type="auto"/>
            <w:shd w:val="clear" w:color="auto" w:fill="auto"/>
          </w:tcPr>
          <w:p w14:paraId="33DAD649" w14:textId="77777777" w:rsidR="004D6A64" w:rsidRDefault="004D6A64">
            <w:pPr>
              <w:rPr>
                <w:rFonts w:ascii="宋体"/>
              </w:rPr>
            </w:pPr>
          </w:p>
        </w:tc>
        <w:tc>
          <w:tcPr>
            <w:tcW w:w="0" w:type="auto"/>
            <w:shd w:val="clear" w:color="auto" w:fill="auto"/>
          </w:tcPr>
          <w:p w14:paraId="33DAD64A" w14:textId="77777777" w:rsidR="004D6A64" w:rsidRDefault="004D6A64">
            <w:pPr>
              <w:rPr>
                <w:rFonts w:ascii="宋体"/>
              </w:rPr>
            </w:pPr>
          </w:p>
        </w:tc>
        <w:tc>
          <w:tcPr>
            <w:tcW w:w="0" w:type="auto"/>
            <w:shd w:val="clear" w:color="auto" w:fill="auto"/>
          </w:tcPr>
          <w:p w14:paraId="33DAD64B" w14:textId="77777777" w:rsidR="004D6A64" w:rsidRDefault="004D6A64">
            <w:pPr>
              <w:rPr>
                <w:rFonts w:ascii="宋体"/>
              </w:rPr>
            </w:pPr>
          </w:p>
        </w:tc>
        <w:tc>
          <w:tcPr>
            <w:tcW w:w="0" w:type="auto"/>
            <w:shd w:val="clear" w:color="auto" w:fill="auto"/>
          </w:tcPr>
          <w:p w14:paraId="33DAD64C" w14:textId="77777777" w:rsidR="004D6A64" w:rsidRDefault="004D6A64">
            <w:pPr>
              <w:rPr>
                <w:rFonts w:ascii="宋体"/>
              </w:rPr>
            </w:pPr>
          </w:p>
        </w:tc>
        <w:tc>
          <w:tcPr>
            <w:tcW w:w="0" w:type="auto"/>
            <w:shd w:val="clear" w:color="auto" w:fill="auto"/>
          </w:tcPr>
          <w:p w14:paraId="33DAD64D" w14:textId="77777777" w:rsidR="004D6A64" w:rsidRDefault="004D6A64">
            <w:pPr>
              <w:rPr>
                <w:rFonts w:ascii="宋体"/>
              </w:rPr>
            </w:pPr>
          </w:p>
        </w:tc>
        <w:tc>
          <w:tcPr>
            <w:tcW w:w="0" w:type="auto"/>
            <w:shd w:val="clear" w:color="auto" w:fill="auto"/>
          </w:tcPr>
          <w:p w14:paraId="33DAD64E" w14:textId="77777777" w:rsidR="004D6A64" w:rsidRDefault="004D6A64">
            <w:pPr>
              <w:rPr>
                <w:rFonts w:ascii="宋体"/>
              </w:rPr>
            </w:pPr>
          </w:p>
        </w:tc>
        <w:tc>
          <w:tcPr>
            <w:tcW w:w="0" w:type="auto"/>
            <w:shd w:val="clear" w:color="auto" w:fill="auto"/>
          </w:tcPr>
          <w:p w14:paraId="33DAD64F" w14:textId="77777777" w:rsidR="004D6A64" w:rsidRDefault="004D6A64">
            <w:pPr>
              <w:rPr>
                <w:rFonts w:ascii="宋体"/>
              </w:rPr>
            </w:pPr>
          </w:p>
        </w:tc>
        <w:tc>
          <w:tcPr>
            <w:tcW w:w="0" w:type="auto"/>
            <w:shd w:val="clear" w:color="auto" w:fill="auto"/>
          </w:tcPr>
          <w:p w14:paraId="33DAD650" w14:textId="77777777" w:rsidR="004D6A64" w:rsidRDefault="004D6A64">
            <w:pPr>
              <w:rPr>
                <w:rFonts w:ascii="宋体"/>
              </w:rPr>
            </w:pPr>
          </w:p>
        </w:tc>
      </w:tr>
    </w:tbl>
    <w:p w14:paraId="33DAD652" w14:textId="77777777" w:rsidR="004D6A64" w:rsidRDefault="004D6A64"/>
    <w:p w14:paraId="33DAD653" w14:textId="77777777" w:rsidR="004D6A64" w:rsidRDefault="004D6A64">
      <w:pPr>
        <w:jc w:val="center"/>
      </w:pPr>
    </w:p>
    <w:p w14:paraId="33DAD654" w14:textId="77777777" w:rsidR="004D6A64" w:rsidRDefault="00506CD6">
      <w:pPr>
        <w:jc w:val="center"/>
      </w:pPr>
      <w:r>
        <w:rPr>
          <w:rFonts w:ascii="Times New Roman" w:eastAsia="宋体" w:hAnsi="Times New Roman"/>
          <w:color w:val="000000"/>
          <w:sz w:val="20"/>
          <w:szCs w:val="20"/>
        </w:rPr>
        <w:t>60</w:t>
      </w:r>
    </w:p>
    <w:p w14:paraId="33DAD655" w14:textId="77777777" w:rsidR="004D6A64" w:rsidRDefault="004D6A64">
      <w:pPr>
        <w:jc w:val="center"/>
      </w:pPr>
    </w:p>
    <w:p w14:paraId="33DAD656" w14:textId="77777777" w:rsidR="004D6A64" w:rsidRDefault="00506CD6">
      <w:r>
        <w:pict w14:anchorId="33DAFB00">
          <v:rect id="_x0000_i1084" style="width:415.3pt;height:1.5pt" o:hralign="center" o:hrstd="t" o:hr="t" fillcolor="#a0a0a0" stroked="f"/>
        </w:pict>
      </w:r>
    </w:p>
    <w:p w14:paraId="33DAD657" w14:textId="77777777" w:rsidR="004D6A64" w:rsidRDefault="00506CD6">
      <w:hyperlink r:id="rId183" w:anchor="if3e0e1bf9ecd4bf69551d7a85f98d64a_10" w:history="1">
        <w:r>
          <w:rPr>
            <w:rStyle w:val="a5"/>
            <w:rFonts w:ascii="Times New Roman" w:eastAsia="宋体" w:hAnsi="Times New Roman"/>
            <w:sz w:val="20"/>
            <w:szCs w:val="20"/>
          </w:rPr>
          <w:t>Table of Contents</w:t>
        </w:r>
      </w:hyperlink>
    </w:p>
    <w:p w14:paraId="33DAD658"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D659" w14:textId="77777777" w:rsidR="004D6A64" w:rsidRDefault="00506CD6">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33DAD65A"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D65B" w14:textId="77777777" w:rsidR="004D6A64" w:rsidRDefault="004D6A64">
      <w:pPr>
        <w:jc w:val="center"/>
      </w:pPr>
    </w:p>
    <w:p w14:paraId="33DAD65C" w14:textId="77777777" w:rsidR="004D6A64" w:rsidRDefault="00506CD6">
      <w:r>
        <w:rPr>
          <w:rFonts w:ascii="Times New Roman" w:eastAsia="宋体" w:hAnsi="Times New Roman"/>
          <w:b/>
          <w:bCs/>
          <w:color w:val="000000"/>
          <w:sz w:val="20"/>
          <w:szCs w:val="20"/>
        </w:rPr>
        <w:t xml:space="preserve">NOTE 18 — SUPPLEMENTAL CONSOLIDATED FINANCIAL INFORMATION </w:t>
      </w:r>
    </w:p>
    <w:p w14:paraId="33DAD65D" w14:textId="77777777" w:rsidR="004D6A64" w:rsidRDefault="004D6A64"/>
    <w:p w14:paraId="33DAD65E" w14:textId="77777777" w:rsidR="004D6A64" w:rsidRDefault="00506CD6">
      <w:r>
        <w:rPr>
          <w:rFonts w:ascii="Times New Roman" w:eastAsia="宋体" w:hAnsi="Times New Roman"/>
          <w:color w:val="000000"/>
          <w:sz w:val="20"/>
          <w:szCs w:val="20"/>
        </w:rPr>
        <w:t>The following table presents additional information on selected accounts included in the Condensed Consolidated Statements of Financial Position as of the dates</w:t>
      </w:r>
      <w:r>
        <w:rPr>
          <w:rFonts w:ascii="Times New Roman" w:eastAsia="宋体" w:hAnsi="Times New Roman"/>
          <w:color w:val="000000"/>
          <w:sz w:val="20"/>
          <w:szCs w:val="20"/>
        </w:rPr>
        <w:t xml:space="preserve"> indicated:</w:t>
      </w:r>
    </w:p>
    <w:tbl>
      <w:tblPr>
        <w:tblW w:w="4993" w:type="pct"/>
        <w:tblCellMar>
          <w:top w:w="15" w:type="dxa"/>
          <w:left w:w="15" w:type="dxa"/>
          <w:bottom w:w="15" w:type="dxa"/>
          <w:right w:w="15" w:type="dxa"/>
        </w:tblCellMar>
        <w:tblLook w:val="04A0" w:firstRow="1" w:lastRow="0" w:firstColumn="1" w:lastColumn="0" w:noHBand="0" w:noVBand="1"/>
      </w:tblPr>
      <w:tblGrid>
        <w:gridCol w:w="40"/>
        <w:gridCol w:w="4741"/>
        <w:gridCol w:w="39"/>
        <w:gridCol w:w="135"/>
        <w:gridCol w:w="1436"/>
        <w:gridCol w:w="41"/>
        <w:gridCol w:w="36"/>
        <w:gridCol w:w="36"/>
        <w:gridCol w:w="36"/>
        <w:gridCol w:w="135"/>
        <w:gridCol w:w="1392"/>
        <w:gridCol w:w="41"/>
        <w:gridCol w:w="36"/>
        <w:gridCol w:w="36"/>
        <w:gridCol w:w="36"/>
        <w:gridCol w:w="36"/>
        <w:gridCol w:w="36"/>
        <w:gridCol w:w="36"/>
      </w:tblGrid>
      <w:tr w:rsidR="004D6A64" w14:paraId="33DAD66B" w14:textId="77777777">
        <w:trPr>
          <w:gridAfter w:val="6"/>
        </w:trPr>
        <w:tc>
          <w:tcPr>
            <w:tcW w:w="50" w:type="pct"/>
            <w:shd w:val="clear" w:color="auto" w:fill="auto"/>
          </w:tcPr>
          <w:p w14:paraId="33DAD65F" w14:textId="77777777" w:rsidR="004D6A64" w:rsidRDefault="004D6A64">
            <w:pPr>
              <w:rPr>
                <w:rFonts w:ascii="宋体"/>
              </w:rPr>
            </w:pPr>
          </w:p>
        </w:tc>
        <w:tc>
          <w:tcPr>
            <w:tcW w:w="2961" w:type="pct"/>
            <w:shd w:val="clear" w:color="auto" w:fill="auto"/>
          </w:tcPr>
          <w:p w14:paraId="33DAD660" w14:textId="77777777" w:rsidR="004D6A64" w:rsidRDefault="004D6A64">
            <w:pPr>
              <w:rPr>
                <w:rFonts w:ascii="宋体"/>
              </w:rPr>
            </w:pPr>
          </w:p>
        </w:tc>
        <w:tc>
          <w:tcPr>
            <w:tcW w:w="5" w:type="pct"/>
            <w:shd w:val="clear" w:color="auto" w:fill="auto"/>
          </w:tcPr>
          <w:p w14:paraId="33DAD661" w14:textId="77777777" w:rsidR="004D6A64" w:rsidRDefault="004D6A64">
            <w:pPr>
              <w:rPr>
                <w:rFonts w:ascii="宋体"/>
              </w:rPr>
            </w:pPr>
          </w:p>
        </w:tc>
        <w:tc>
          <w:tcPr>
            <w:tcW w:w="50" w:type="pct"/>
            <w:shd w:val="clear" w:color="auto" w:fill="auto"/>
          </w:tcPr>
          <w:p w14:paraId="33DAD662" w14:textId="77777777" w:rsidR="004D6A64" w:rsidRDefault="004D6A64">
            <w:pPr>
              <w:rPr>
                <w:rFonts w:ascii="宋体"/>
              </w:rPr>
            </w:pPr>
          </w:p>
        </w:tc>
        <w:tc>
          <w:tcPr>
            <w:tcW w:w="918" w:type="pct"/>
            <w:shd w:val="clear" w:color="auto" w:fill="auto"/>
          </w:tcPr>
          <w:p w14:paraId="33DAD663" w14:textId="77777777" w:rsidR="004D6A64" w:rsidRDefault="004D6A64">
            <w:pPr>
              <w:rPr>
                <w:rFonts w:ascii="宋体"/>
              </w:rPr>
            </w:pPr>
          </w:p>
        </w:tc>
        <w:tc>
          <w:tcPr>
            <w:tcW w:w="5" w:type="pct"/>
            <w:shd w:val="clear" w:color="auto" w:fill="auto"/>
          </w:tcPr>
          <w:p w14:paraId="33DAD664" w14:textId="77777777" w:rsidR="004D6A64" w:rsidRDefault="004D6A64">
            <w:pPr>
              <w:rPr>
                <w:rFonts w:ascii="宋体"/>
              </w:rPr>
            </w:pPr>
          </w:p>
        </w:tc>
        <w:tc>
          <w:tcPr>
            <w:tcW w:w="5" w:type="pct"/>
            <w:shd w:val="clear" w:color="auto" w:fill="auto"/>
          </w:tcPr>
          <w:p w14:paraId="33DAD665" w14:textId="77777777" w:rsidR="004D6A64" w:rsidRDefault="004D6A64">
            <w:pPr>
              <w:rPr>
                <w:rFonts w:ascii="宋体"/>
              </w:rPr>
            </w:pPr>
          </w:p>
        </w:tc>
        <w:tc>
          <w:tcPr>
            <w:tcW w:w="26" w:type="pct"/>
            <w:shd w:val="clear" w:color="auto" w:fill="auto"/>
          </w:tcPr>
          <w:p w14:paraId="33DAD666" w14:textId="77777777" w:rsidR="004D6A64" w:rsidRDefault="004D6A64">
            <w:pPr>
              <w:rPr>
                <w:rFonts w:ascii="宋体"/>
              </w:rPr>
            </w:pPr>
          </w:p>
        </w:tc>
        <w:tc>
          <w:tcPr>
            <w:tcW w:w="5" w:type="pct"/>
            <w:shd w:val="clear" w:color="auto" w:fill="auto"/>
          </w:tcPr>
          <w:p w14:paraId="33DAD667" w14:textId="77777777" w:rsidR="004D6A64" w:rsidRDefault="004D6A64">
            <w:pPr>
              <w:rPr>
                <w:rFonts w:ascii="宋体"/>
              </w:rPr>
            </w:pPr>
          </w:p>
        </w:tc>
        <w:tc>
          <w:tcPr>
            <w:tcW w:w="50" w:type="pct"/>
            <w:shd w:val="clear" w:color="auto" w:fill="auto"/>
          </w:tcPr>
          <w:p w14:paraId="33DAD668" w14:textId="77777777" w:rsidR="004D6A64" w:rsidRDefault="004D6A64">
            <w:pPr>
              <w:rPr>
                <w:rFonts w:ascii="宋体"/>
              </w:rPr>
            </w:pPr>
          </w:p>
        </w:tc>
        <w:tc>
          <w:tcPr>
            <w:tcW w:w="918" w:type="pct"/>
            <w:shd w:val="clear" w:color="auto" w:fill="auto"/>
          </w:tcPr>
          <w:p w14:paraId="33DAD669" w14:textId="77777777" w:rsidR="004D6A64" w:rsidRDefault="004D6A64">
            <w:pPr>
              <w:rPr>
                <w:rFonts w:ascii="宋体"/>
              </w:rPr>
            </w:pPr>
          </w:p>
        </w:tc>
        <w:tc>
          <w:tcPr>
            <w:tcW w:w="5" w:type="pct"/>
            <w:shd w:val="clear" w:color="auto" w:fill="auto"/>
          </w:tcPr>
          <w:p w14:paraId="33DAD66A" w14:textId="77777777" w:rsidR="004D6A64" w:rsidRDefault="004D6A64">
            <w:pPr>
              <w:rPr>
                <w:rFonts w:ascii="宋体"/>
              </w:rPr>
            </w:pPr>
          </w:p>
        </w:tc>
      </w:tr>
      <w:tr w:rsidR="004D6A64" w14:paraId="33DAD670" w14:textId="77777777">
        <w:trPr>
          <w:gridAfter w:val="6"/>
        </w:trPr>
        <w:tc>
          <w:tcPr>
            <w:tcW w:w="0" w:type="auto"/>
            <w:gridSpan w:val="3"/>
            <w:shd w:val="clear" w:color="auto" w:fill="auto"/>
            <w:tcMar>
              <w:top w:w="40" w:type="dxa"/>
              <w:left w:w="20" w:type="dxa"/>
              <w:bottom w:w="40" w:type="dxa"/>
              <w:right w:w="20" w:type="dxa"/>
            </w:tcMar>
            <w:vAlign w:val="bottom"/>
          </w:tcPr>
          <w:p w14:paraId="33DAD66C" w14:textId="77777777" w:rsidR="004D6A64" w:rsidRDefault="00506CD6">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33DAD66D"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shd w:val="clear" w:color="auto" w:fill="auto"/>
            <w:tcMar>
              <w:left w:w="20" w:type="dxa"/>
              <w:right w:w="20" w:type="dxa"/>
            </w:tcMar>
            <w:vAlign w:val="bottom"/>
          </w:tcPr>
          <w:p w14:paraId="33DAD66E" w14:textId="77777777" w:rsidR="004D6A64" w:rsidRDefault="004D6A6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3DAD66F" w14:textId="77777777" w:rsidR="004D6A64" w:rsidRDefault="00506CD6">
            <w:pPr>
              <w:jc w:val="center"/>
              <w:textAlignment w:val="bottom"/>
            </w:pPr>
            <w:r>
              <w:rPr>
                <w:rFonts w:ascii="Times New Roman" w:eastAsia="宋体" w:hAnsi="Times New Roman"/>
                <w:b/>
                <w:bCs/>
                <w:color w:val="000000"/>
                <w:sz w:val="20"/>
                <w:szCs w:val="20"/>
              </w:rPr>
              <w:t>January 31, 2020</w:t>
            </w:r>
          </w:p>
        </w:tc>
      </w:tr>
      <w:tr w:rsidR="004D6A64" w14:paraId="33DAD675" w14:textId="77777777">
        <w:tc>
          <w:tcPr>
            <w:tcW w:w="0" w:type="auto"/>
            <w:gridSpan w:val="3"/>
            <w:shd w:val="clear" w:color="auto" w:fill="auto"/>
            <w:tcMar>
              <w:top w:w="40" w:type="dxa"/>
              <w:left w:w="20" w:type="dxa"/>
              <w:bottom w:w="40" w:type="dxa"/>
              <w:right w:w="20" w:type="dxa"/>
            </w:tcMar>
            <w:vAlign w:val="center"/>
          </w:tcPr>
          <w:p w14:paraId="33DAD671" w14:textId="77777777" w:rsidR="004D6A64" w:rsidRDefault="00506CD6">
            <w:pPr>
              <w:jc w:val="center"/>
              <w:textAlignment w:val="center"/>
            </w:pPr>
            <w:r>
              <w:rPr>
                <w:rFonts w:ascii="Times New Roman" w:eastAsia="宋体" w:hAnsi="Times New Roman"/>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33DAD672" w14:textId="77777777" w:rsidR="004D6A64" w:rsidRDefault="00506CD6">
            <w:pPr>
              <w:jc w:val="center"/>
              <w:textAlignment w:val="center"/>
            </w:pPr>
            <w:r>
              <w:rPr>
                <w:rFonts w:ascii="Times New Roman" w:eastAsia="宋体" w:hAnsi="Times New Roman"/>
                <w:color w:val="000000"/>
                <w:sz w:val="20"/>
                <w:szCs w:val="20"/>
              </w:rPr>
              <w:t>(in millions)</w:t>
            </w:r>
          </w:p>
        </w:tc>
        <w:tc>
          <w:tcPr>
            <w:tcW w:w="0" w:type="auto"/>
            <w:gridSpan w:val="3"/>
            <w:shd w:val="clear" w:color="auto" w:fill="auto"/>
          </w:tcPr>
          <w:p w14:paraId="33DAD673" w14:textId="77777777" w:rsidR="004D6A64" w:rsidRDefault="004D6A64">
            <w:pPr>
              <w:rPr>
                <w:rFonts w:ascii="宋体"/>
                <w:vanish/>
              </w:rPr>
            </w:pPr>
          </w:p>
        </w:tc>
        <w:tc>
          <w:tcPr>
            <w:tcW w:w="0" w:type="auto"/>
            <w:gridSpan w:val="3"/>
            <w:shd w:val="clear" w:color="auto" w:fill="auto"/>
          </w:tcPr>
          <w:p w14:paraId="33DAD674" w14:textId="77777777" w:rsidR="004D6A64" w:rsidRDefault="004D6A64">
            <w:pPr>
              <w:rPr>
                <w:rFonts w:ascii="宋体"/>
                <w:vanish/>
              </w:rPr>
            </w:pPr>
          </w:p>
        </w:tc>
      </w:tr>
      <w:tr w:rsidR="004D6A64" w14:paraId="33DAD680" w14:textId="77777777">
        <w:tc>
          <w:tcPr>
            <w:tcW w:w="0" w:type="auto"/>
            <w:gridSpan w:val="3"/>
            <w:shd w:val="clear" w:color="auto" w:fill="CCEEFF"/>
            <w:tcMar>
              <w:top w:w="40" w:type="dxa"/>
              <w:left w:w="20" w:type="dxa"/>
              <w:bottom w:w="40" w:type="dxa"/>
              <w:right w:w="20" w:type="dxa"/>
            </w:tcMar>
            <w:vAlign w:val="center"/>
          </w:tcPr>
          <w:p w14:paraId="33DAD676" w14:textId="77777777" w:rsidR="004D6A64" w:rsidRDefault="00506CD6">
            <w:pPr>
              <w:textAlignment w:val="center"/>
            </w:pPr>
            <w:r>
              <w:rPr>
                <w:rFonts w:ascii="Times New Roman" w:eastAsia="宋体" w:hAnsi="Times New Roman"/>
                <w:i/>
                <w:iCs/>
                <w:color w:val="000000"/>
                <w:sz w:val="20"/>
                <w:szCs w:val="20"/>
              </w:rPr>
              <w:t>Cash, cash equivalents, and restricted cash:</w:t>
            </w:r>
          </w:p>
        </w:tc>
        <w:tc>
          <w:tcPr>
            <w:tcW w:w="0" w:type="auto"/>
            <w:gridSpan w:val="3"/>
            <w:shd w:val="clear" w:color="auto" w:fill="CCEEFF"/>
            <w:tcMar>
              <w:left w:w="20" w:type="dxa"/>
              <w:right w:w="20" w:type="dxa"/>
            </w:tcMar>
            <w:vAlign w:val="bottom"/>
          </w:tcPr>
          <w:p w14:paraId="33DAD677"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678"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679" w14:textId="77777777" w:rsidR="004D6A64" w:rsidRDefault="004D6A64">
            <w:pPr>
              <w:rPr>
                <w:rFonts w:ascii="宋体"/>
              </w:rPr>
            </w:pPr>
          </w:p>
        </w:tc>
        <w:tc>
          <w:tcPr>
            <w:tcW w:w="0" w:type="auto"/>
            <w:shd w:val="clear" w:color="auto" w:fill="auto"/>
          </w:tcPr>
          <w:p w14:paraId="33DAD67A" w14:textId="77777777" w:rsidR="004D6A64" w:rsidRDefault="004D6A64">
            <w:pPr>
              <w:rPr>
                <w:rFonts w:ascii="宋体"/>
              </w:rPr>
            </w:pPr>
          </w:p>
        </w:tc>
        <w:tc>
          <w:tcPr>
            <w:tcW w:w="0" w:type="auto"/>
            <w:shd w:val="clear" w:color="auto" w:fill="auto"/>
          </w:tcPr>
          <w:p w14:paraId="33DAD67B" w14:textId="77777777" w:rsidR="004D6A64" w:rsidRDefault="004D6A64">
            <w:pPr>
              <w:rPr>
                <w:rFonts w:ascii="宋体"/>
              </w:rPr>
            </w:pPr>
          </w:p>
        </w:tc>
        <w:tc>
          <w:tcPr>
            <w:tcW w:w="0" w:type="auto"/>
            <w:shd w:val="clear" w:color="auto" w:fill="auto"/>
          </w:tcPr>
          <w:p w14:paraId="33DAD67C" w14:textId="77777777" w:rsidR="004D6A64" w:rsidRDefault="004D6A64">
            <w:pPr>
              <w:rPr>
                <w:rFonts w:ascii="宋体"/>
              </w:rPr>
            </w:pPr>
          </w:p>
        </w:tc>
        <w:tc>
          <w:tcPr>
            <w:tcW w:w="0" w:type="auto"/>
            <w:shd w:val="clear" w:color="auto" w:fill="auto"/>
          </w:tcPr>
          <w:p w14:paraId="33DAD67D" w14:textId="77777777" w:rsidR="004D6A64" w:rsidRDefault="004D6A64">
            <w:pPr>
              <w:rPr>
                <w:rFonts w:ascii="宋体"/>
              </w:rPr>
            </w:pPr>
          </w:p>
        </w:tc>
        <w:tc>
          <w:tcPr>
            <w:tcW w:w="0" w:type="auto"/>
            <w:shd w:val="clear" w:color="auto" w:fill="auto"/>
          </w:tcPr>
          <w:p w14:paraId="33DAD67E" w14:textId="77777777" w:rsidR="004D6A64" w:rsidRDefault="004D6A64">
            <w:pPr>
              <w:rPr>
                <w:rFonts w:ascii="宋体"/>
              </w:rPr>
            </w:pPr>
          </w:p>
        </w:tc>
        <w:tc>
          <w:tcPr>
            <w:tcW w:w="0" w:type="auto"/>
            <w:shd w:val="clear" w:color="auto" w:fill="auto"/>
          </w:tcPr>
          <w:p w14:paraId="33DAD67F" w14:textId="77777777" w:rsidR="004D6A64" w:rsidRDefault="004D6A64">
            <w:pPr>
              <w:rPr>
                <w:rFonts w:ascii="宋体"/>
              </w:rPr>
            </w:pPr>
          </w:p>
        </w:tc>
      </w:tr>
      <w:tr w:rsidR="004D6A64" w14:paraId="33DAD68F" w14:textId="77777777">
        <w:tc>
          <w:tcPr>
            <w:tcW w:w="0" w:type="auto"/>
            <w:gridSpan w:val="3"/>
            <w:shd w:val="clear" w:color="auto" w:fill="FFFFFF"/>
            <w:tcMar>
              <w:top w:w="40" w:type="dxa"/>
              <w:left w:w="135" w:type="dxa"/>
              <w:bottom w:w="40" w:type="dxa"/>
              <w:right w:w="20" w:type="dxa"/>
            </w:tcMar>
            <w:vAlign w:val="center"/>
          </w:tcPr>
          <w:p w14:paraId="33DAD681" w14:textId="77777777" w:rsidR="004D6A64" w:rsidRDefault="00506CD6">
            <w:pPr>
              <w:textAlignment w:val="center"/>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tcMar>
            <w:vAlign w:val="center"/>
          </w:tcPr>
          <w:p w14:paraId="33DAD682"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D683" w14:textId="77777777" w:rsidR="004D6A64" w:rsidRDefault="00506CD6">
            <w:pPr>
              <w:jc w:val="right"/>
              <w:textAlignment w:val="center"/>
            </w:pPr>
            <w:r>
              <w:rPr>
                <w:rFonts w:ascii="Times New Roman" w:eastAsia="宋体" w:hAnsi="Times New Roman"/>
                <w:color w:val="000000"/>
                <w:sz w:val="20"/>
                <w:szCs w:val="20"/>
              </w:rPr>
              <w:t>11,221 </w:t>
            </w:r>
          </w:p>
        </w:tc>
        <w:tc>
          <w:tcPr>
            <w:tcW w:w="0" w:type="auto"/>
            <w:shd w:val="clear" w:color="auto" w:fill="FFFFFF"/>
            <w:tcMar>
              <w:top w:w="40" w:type="dxa"/>
              <w:bottom w:w="40" w:type="dxa"/>
              <w:right w:w="20" w:type="dxa"/>
            </w:tcMar>
            <w:vAlign w:val="center"/>
          </w:tcPr>
          <w:p w14:paraId="33DAD68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685"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D686"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D687" w14:textId="77777777" w:rsidR="004D6A64" w:rsidRDefault="00506CD6">
            <w:pPr>
              <w:jc w:val="right"/>
              <w:textAlignment w:val="center"/>
            </w:pPr>
            <w:r>
              <w:rPr>
                <w:rFonts w:ascii="Times New Roman" w:eastAsia="宋体" w:hAnsi="Times New Roman"/>
                <w:color w:val="000000"/>
                <w:sz w:val="20"/>
                <w:szCs w:val="20"/>
              </w:rPr>
              <w:t>9,302 </w:t>
            </w:r>
          </w:p>
        </w:tc>
        <w:tc>
          <w:tcPr>
            <w:tcW w:w="0" w:type="auto"/>
            <w:shd w:val="clear" w:color="auto" w:fill="FFFFFF"/>
            <w:tcMar>
              <w:top w:w="40" w:type="dxa"/>
              <w:bottom w:w="40" w:type="dxa"/>
              <w:right w:w="20" w:type="dxa"/>
            </w:tcMar>
            <w:vAlign w:val="center"/>
          </w:tcPr>
          <w:p w14:paraId="33DAD688" w14:textId="77777777" w:rsidR="004D6A64" w:rsidRDefault="004D6A64">
            <w:pPr>
              <w:jc w:val="right"/>
              <w:rPr>
                <w:rFonts w:ascii="宋体"/>
              </w:rPr>
            </w:pPr>
          </w:p>
        </w:tc>
        <w:tc>
          <w:tcPr>
            <w:tcW w:w="0" w:type="auto"/>
            <w:shd w:val="clear" w:color="auto" w:fill="auto"/>
          </w:tcPr>
          <w:p w14:paraId="33DAD689" w14:textId="77777777" w:rsidR="004D6A64" w:rsidRDefault="004D6A64">
            <w:pPr>
              <w:rPr>
                <w:rFonts w:ascii="宋体"/>
              </w:rPr>
            </w:pPr>
          </w:p>
        </w:tc>
        <w:tc>
          <w:tcPr>
            <w:tcW w:w="0" w:type="auto"/>
            <w:shd w:val="clear" w:color="auto" w:fill="auto"/>
          </w:tcPr>
          <w:p w14:paraId="33DAD68A" w14:textId="77777777" w:rsidR="004D6A64" w:rsidRDefault="004D6A64">
            <w:pPr>
              <w:rPr>
                <w:rFonts w:ascii="宋体"/>
              </w:rPr>
            </w:pPr>
          </w:p>
        </w:tc>
        <w:tc>
          <w:tcPr>
            <w:tcW w:w="0" w:type="auto"/>
            <w:shd w:val="clear" w:color="auto" w:fill="auto"/>
          </w:tcPr>
          <w:p w14:paraId="33DAD68B" w14:textId="77777777" w:rsidR="004D6A64" w:rsidRDefault="004D6A64">
            <w:pPr>
              <w:rPr>
                <w:rFonts w:ascii="宋体"/>
              </w:rPr>
            </w:pPr>
          </w:p>
        </w:tc>
        <w:tc>
          <w:tcPr>
            <w:tcW w:w="0" w:type="auto"/>
            <w:shd w:val="clear" w:color="auto" w:fill="auto"/>
          </w:tcPr>
          <w:p w14:paraId="33DAD68C" w14:textId="77777777" w:rsidR="004D6A64" w:rsidRDefault="004D6A64">
            <w:pPr>
              <w:rPr>
                <w:rFonts w:ascii="宋体"/>
              </w:rPr>
            </w:pPr>
          </w:p>
        </w:tc>
        <w:tc>
          <w:tcPr>
            <w:tcW w:w="0" w:type="auto"/>
            <w:shd w:val="clear" w:color="auto" w:fill="auto"/>
          </w:tcPr>
          <w:p w14:paraId="33DAD68D" w14:textId="77777777" w:rsidR="004D6A64" w:rsidRDefault="004D6A64">
            <w:pPr>
              <w:rPr>
                <w:rFonts w:ascii="宋体"/>
              </w:rPr>
            </w:pPr>
          </w:p>
        </w:tc>
        <w:tc>
          <w:tcPr>
            <w:tcW w:w="0" w:type="auto"/>
            <w:shd w:val="clear" w:color="auto" w:fill="auto"/>
          </w:tcPr>
          <w:p w14:paraId="33DAD68E" w14:textId="77777777" w:rsidR="004D6A64" w:rsidRDefault="004D6A64">
            <w:pPr>
              <w:rPr>
                <w:rFonts w:ascii="宋体"/>
              </w:rPr>
            </w:pPr>
          </w:p>
        </w:tc>
      </w:tr>
      <w:tr w:rsidR="004D6A64" w14:paraId="33DAD69C" w14:textId="77777777">
        <w:tc>
          <w:tcPr>
            <w:tcW w:w="0" w:type="auto"/>
            <w:gridSpan w:val="3"/>
            <w:shd w:val="clear" w:color="auto" w:fill="CCEEFF"/>
            <w:tcMar>
              <w:top w:w="40" w:type="dxa"/>
              <w:left w:w="135" w:type="dxa"/>
              <w:bottom w:w="40" w:type="dxa"/>
              <w:right w:w="20" w:type="dxa"/>
            </w:tcMar>
            <w:vAlign w:val="center"/>
          </w:tcPr>
          <w:p w14:paraId="33DAD690" w14:textId="77777777" w:rsidR="004D6A64" w:rsidRDefault="00506CD6">
            <w:pPr>
              <w:textAlignment w:val="center"/>
            </w:pPr>
            <w:r>
              <w:rPr>
                <w:rFonts w:ascii="Times New Roman" w:eastAsia="宋体" w:hAnsi="Times New Roman"/>
                <w:color w:val="000000"/>
                <w:sz w:val="20"/>
                <w:szCs w:val="20"/>
              </w:rPr>
              <w:t>Restricted cash - other current assets (a)</w:t>
            </w:r>
          </w:p>
        </w:tc>
        <w:tc>
          <w:tcPr>
            <w:tcW w:w="0" w:type="auto"/>
            <w:gridSpan w:val="2"/>
            <w:shd w:val="clear" w:color="auto" w:fill="CCEEFF"/>
            <w:tcMar>
              <w:top w:w="40" w:type="dxa"/>
              <w:left w:w="20" w:type="dxa"/>
              <w:bottom w:w="40" w:type="dxa"/>
              <w:right w:w="0" w:type="dxa"/>
            </w:tcMar>
            <w:vAlign w:val="center"/>
          </w:tcPr>
          <w:p w14:paraId="33DAD691" w14:textId="77777777" w:rsidR="004D6A64" w:rsidRDefault="00506CD6">
            <w:pPr>
              <w:jc w:val="right"/>
              <w:textAlignment w:val="center"/>
            </w:pPr>
            <w:r>
              <w:rPr>
                <w:rFonts w:ascii="Times New Roman" w:eastAsia="宋体" w:hAnsi="Times New Roman"/>
                <w:color w:val="000000"/>
                <w:sz w:val="20"/>
                <w:szCs w:val="20"/>
              </w:rPr>
              <w:t>725 </w:t>
            </w:r>
          </w:p>
        </w:tc>
        <w:tc>
          <w:tcPr>
            <w:tcW w:w="0" w:type="auto"/>
            <w:shd w:val="clear" w:color="auto" w:fill="CCEEFF"/>
            <w:tcMar>
              <w:top w:w="40" w:type="dxa"/>
              <w:bottom w:w="40" w:type="dxa"/>
              <w:right w:w="20" w:type="dxa"/>
            </w:tcMar>
            <w:vAlign w:val="center"/>
          </w:tcPr>
          <w:p w14:paraId="33DAD69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69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694" w14:textId="77777777" w:rsidR="004D6A64" w:rsidRDefault="00506CD6">
            <w:pPr>
              <w:jc w:val="right"/>
              <w:textAlignment w:val="center"/>
            </w:pPr>
            <w:r>
              <w:rPr>
                <w:rFonts w:ascii="Times New Roman" w:eastAsia="宋体" w:hAnsi="Times New Roman"/>
                <w:color w:val="000000"/>
                <w:sz w:val="20"/>
                <w:szCs w:val="20"/>
              </w:rPr>
              <w:t>730 </w:t>
            </w:r>
          </w:p>
        </w:tc>
        <w:tc>
          <w:tcPr>
            <w:tcW w:w="0" w:type="auto"/>
            <w:shd w:val="clear" w:color="auto" w:fill="CCEEFF"/>
            <w:tcMar>
              <w:top w:w="40" w:type="dxa"/>
              <w:bottom w:w="40" w:type="dxa"/>
              <w:right w:w="20" w:type="dxa"/>
            </w:tcMar>
            <w:vAlign w:val="center"/>
          </w:tcPr>
          <w:p w14:paraId="33DAD695" w14:textId="77777777" w:rsidR="004D6A64" w:rsidRDefault="004D6A64">
            <w:pPr>
              <w:jc w:val="right"/>
              <w:rPr>
                <w:rFonts w:ascii="宋体"/>
              </w:rPr>
            </w:pPr>
          </w:p>
        </w:tc>
        <w:tc>
          <w:tcPr>
            <w:tcW w:w="0" w:type="auto"/>
            <w:shd w:val="clear" w:color="auto" w:fill="auto"/>
          </w:tcPr>
          <w:p w14:paraId="33DAD696" w14:textId="77777777" w:rsidR="004D6A64" w:rsidRDefault="004D6A64">
            <w:pPr>
              <w:rPr>
                <w:rFonts w:ascii="宋体"/>
              </w:rPr>
            </w:pPr>
          </w:p>
        </w:tc>
        <w:tc>
          <w:tcPr>
            <w:tcW w:w="0" w:type="auto"/>
            <w:shd w:val="clear" w:color="auto" w:fill="auto"/>
          </w:tcPr>
          <w:p w14:paraId="33DAD697" w14:textId="77777777" w:rsidR="004D6A64" w:rsidRDefault="004D6A64">
            <w:pPr>
              <w:rPr>
                <w:rFonts w:ascii="宋体"/>
              </w:rPr>
            </w:pPr>
          </w:p>
        </w:tc>
        <w:tc>
          <w:tcPr>
            <w:tcW w:w="0" w:type="auto"/>
            <w:shd w:val="clear" w:color="auto" w:fill="auto"/>
          </w:tcPr>
          <w:p w14:paraId="33DAD698" w14:textId="77777777" w:rsidR="004D6A64" w:rsidRDefault="004D6A64">
            <w:pPr>
              <w:rPr>
                <w:rFonts w:ascii="宋体"/>
              </w:rPr>
            </w:pPr>
          </w:p>
        </w:tc>
        <w:tc>
          <w:tcPr>
            <w:tcW w:w="0" w:type="auto"/>
            <w:shd w:val="clear" w:color="auto" w:fill="auto"/>
          </w:tcPr>
          <w:p w14:paraId="33DAD699" w14:textId="77777777" w:rsidR="004D6A64" w:rsidRDefault="004D6A64">
            <w:pPr>
              <w:rPr>
                <w:rFonts w:ascii="宋体"/>
              </w:rPr>
            </w:pPr>
          </w:p>
        </w:tc>
        <w:tc>
          <w:tcPr>
            <w:tcW w:w="0" w:type="auto"/>
            <w:shd w:val="clear" w:color="auto" w:fill="auto"/>
          </w:tcPr>
          <w:p w14:paraId="33DAD69A" w14:textId="77777777" w:rsidR="004D6A64" w:rsidRDefault="004D6A64">
            <w:pPr>
              <w:rPr>
                <w:rFonts w:ascii="宋体"/>
              </w:rPr>
            </w:pPr>
          </w:p>
        </w:tc>
        <w:tc>
          <w:tcPr>
            <w:tcW w:w="0" w:type="auto"/>
            <w:shd w:val="clear" w:color="auto" w:fill="auto"/>
          </w:tcPr>
          <w:p w14:paraId="33DAD69B" w14:textId="77777777" w:rsidR="004D6A64" w:rsidRDefault="004D6A64">
            <w:pPr>
              <w:rPr>
                <w:rFonts w:ascii="宋体"/>
              </w:rPr>
            </w:pPr>
          </w:p>
        </w:tc>
      </w:tr>
      <w:tr w:rsidR="004D6A64" w14:paraId="33DAD6A9" w14:textId="77777777">
        <w:tc>
          <w:tcPr>
            <w:tcW w:w="0" w:type="auto"/>
            <w:gridSpan w:val="3"/>
            <w:shd w:val="clear" w:color="auto" w:fill="FFFFFF"/>
            <w:tcMar>
              <w:top w:w="40" w:type="dxa"/>
              <w:left w:w="135" w:type="dxa"/>
              <w:bottom w:w="40" w:type="dxa"/>
              <w:right w:w="20" w:type="dxa"/>
            </w:tcMar>
            <w:vAlign w:val="center"/>
          </w:tcPr>
          <w:p w14:paraId="33DAD69D" w14:textId="77777777" w:rsidR="004D6A64" w:rsidRDefault="00506CD6">
            <w:pPr>
              <w:textAlignment w:val="center"/>
            </w:pPr>
            <w:r>
              <w:rPr>
                <w:rFonts w:ascii="Times New Roman" w:eastAsia="宋体" w:hAnsi="Times New Roman"/>
                <w:color w:val="000000"/>
                <w:sz w:val="20"/>
                <w:szCs w:val="20"/>
              </w:rPr>
              <w:t>Restricted cash - other non-current assets (a)</w:t>
            </w:r>
          </w:p>
        </w:tc>
        <w:tc>
          <w:tcPr>
            <w:tcW w:w="0" w:type="auto"/>
            <w:gridSpan w:val="2"/>
            <w:shd w:val="clear" w:color="auto" w:fill="FFFFFF"/>
            <w:tcMar>
              <w:top w:w="40" w:type="dxa"/>
              <w:left w:w="20" w:type="dxa"/>
              <w:bottom w:w="40" w:type="dxa"/>
              <w:right w:w="0" w:type="dxa"/>
            </w:tcMar>
            <w:vAlign w:val="center"/>
          </w:tcPr>
          <w:p w14:paraId="33DAD69E" w14:textId="77777777" w:rsidR="004D6A64" w:rsidRDefault="00506CD6">
            <w:pPr>
              <w:jc w:val="right"/>
              <w:textAlignment w:val="center"/>
            </w:pPr>
            <w:r>
              <w:rPr>
                <w:rFonts w:ascii="Times New Roman" w:eastAsia="宋体" w:hAnsi="Times New Roman"/>
                <w:color w:val="000000"/>
                <w:sz w:val="20"/>
                <w:szCs w:val="20"/>
              </w:rPr>
              <w:t>107 </w:t>
            </w:r>
          </w:p>
        </w:tc>
        <w:tc>
          <w:tcPr>
            <w:tcW w:w="0" w:type="auto"/>
            <w:shd w:val="clear" w:color="auto" w:fill="FFFFFF"/>
            <w:tcMar>
              <w:top w:w="40" w:type="dxa"/>
              <w:bottom w:w="40" w:type="dxa"/>
              <w:right w:w="20" w:type="dxa"/>
            </w:tcMar>
            <w:vAlign w:val="center"/>
          </w:tcPr>
          <w:p w14:paraId="33DAD69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6A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6A1" w14:textId="77777777" w:rsidR="004D6A64" w:rsidRDefault="00506CD6">
            <w:pPr>
              <w:jc w:val="right"/>
              <w:textAlignment w:val="center"/>
            </w:pPr>
            <w:r>
              <w:rPr>
                <w:rFonts w:ascii="Times New Roman" w:eastAsia="宋体" w:hAnsi="Times New Roman"/>
                <w:color w:val="000000"/>
                <w:sz w:val="20"/>
                <w:szCs w:val="20"/>
              </w:rPr>
              <w:t>119 </w:t>
            </w:r>
          </w:p>
        </w:tc>
        <w:tc>
          <w:tcPr>
            <w:tcW w:w="0" w:type="auto"/>
            <w:shd w:val="clear" w:color="auto" w:fill="FFFFFF"/>
            <w:tcMar>
              <w:top w:w="40" w:type="dxa"/>
              <w:bottom w:w="40" w:type="dxa"/>
              <w:right w:w="20" w:type="dxa"/>
            </w:tcMar>
            <w:vAlign w:val="center"/>
          </w:tcPr>
          <w:p w14:paraId="33DAD6A2" w14:textId="77777777" w:rsidR="004D6A64" w:rsidRDefault="004D6A64">
            <w:pPr>
              <w:jc w:val="right"/>
              <w:rPr>
                <w:rFonts w:ascii="宋体"/>
              </w:rPr>
            </w:pPr>
          </w:p>
        </w:tc>
        <w:tc>
          <w:tcPr>
            <w:tcW w:w="0" w:type="auto"/>
            <w:shd w:val="clear" w:color="auto" w:fill="auto"/>
          </w:tcPr>
          <w:p w14:paraId="33DAD6A3" w14:textId="77777777" w:rsidR="004D6A64" w:rsidRDefault="004D6A64">
            <w:pPr>
              <w:rPr>
                <w:rFonts w:ascii="宋体"/>
              </w:rPr>
            </w:pPr>
          </w:p>
        </w:tc>
        <w:tc>
          <w:tcPr>
            <w:tcW w:w="0" w:type="auto"/>
            <w:shd w:val="clear" w:color="auto" w:fill="auto"/>
          </w:tcPr>
          <w:p w14:paraId="33DAD6A4" w14:textId="77777777" w:rsidR="004D6A64" w:rsidRDefault="004D6A64">
            <w:pPr>
              <w:rPr>
                <w:rFonts w:ascii="宋体"/>
              </w:rPr>
            </w:pPr>
          </w:p>
        </w:tc>
        <w:tc>
          <w:tcPr>
            <w:tcW w:w="0" w:type="auto"/>
            <w:shd w:val="clear" w:color="auto" w:fill="auto"/>
          </w:tcPr>
          <w:p w14:paraId="33DAD6A5" w14:textId="77777777" w:rsidR="004D6A64" w:rsidRDefault="004D6A64">
            <w:pPr>
              <w:rPr>
                <w:rFonts w:ascii="宋体"/>
              </w:rPr>
            </w:pPr>
          </w:p>
        </w:tc>
        <w:tc>
          <w:tcPr>
            <w:tcW w:w="0" w:type="auto"/>
            <w:shd w:val="clear" w:color="auto" w:fill="auto"/>
          </w:tcPr>
          <w:p w14:paraId="33DAD6A6" w14:textId="77777777" w:rsidR="004D6A64" w:rsidRDefault="004D6A64">
            <w:pPr>
              <w:rPr>
                <w:rFonts w:ascii="宋体"/>
              </w:rPr>
            </w:pPr>
          </w:p>
        </w:tc>
        <w:tc>
          <w:tcPr>
            <w:tcW w:w="0" w:type="auto"/>
            <w:shd w:val="clear" w:color="auto" w:fill="auto"/>
          </w:tcPr>
          <w:p w14:paraId="33DAD6A7" w14:textId="77777777" w:rsidR="004D6A64" w:rsidRDefault="004D6A64">
            <w:pPr>
              <w:rPr>
                <w:rFonts w:ascii="宋体"/>
              </w:rPr>
            </w:pPr>
          </w:p>
        </w:tc>
        <w:tc>
          <w:tcPr>
            <w:tcW w:w="0" w:type="auto"/>
            <w:shd w:val="clear" w:color="auto" w:fill="auto"/>
          </w:tcPr>
          <w:p w14:paraId="33DAD6A8" w14:textId="77777777" w:rsidR="004D6A64" w:rsidRDefault="004D6A64">
            <w:pPr>
              <w:rPr>
                <w:rFonts w:ascii="宋体"/>
              </w:rPr>
            </w:pPr>
          </w:p>
        </w:tc>
      </w:tr>
      <w:tr w:rsidR="004D6A64" w14:paraId="33DAD6B8" w14:textId="77777777">
        <w:tc>
          <w:tcPr>
            <w:tcW w:w="0" w:type="auto"/>
            <w:gridSpan w:val="3"/>
            <w:shd w:val="clear" w:color="auto" w:fill="CCEEFF"/>
            <w:tcMar>
              <w:top w:w="40" w:type="dxa"/>
              <w:left w:w="225" w:type="dxa"/>
              <w:bottom w:w="40" w:type="dxa"/>
              <w:right w:w="20" w:type="dxa"/>
            </w:tcMar>
            <w:vAlign w:val="center"/>
          </w:tcPr>
          <w:p w14:paraId="33DAD6AA" w14:textId="77777777" w:rsidR="004D6A64" w:rsidRDefault="00506CD6">
            <w:pPr>
              <w:textAlignment w:val="center"/>
            </w:pPr>
            <w:r>
              <w:rPr>
                <w:rFonts w:ascii="Times New Roman" w:eastAsia="宋体" w:hAnsi="Times New Roman"/>
                <w:color w:val="000000"/>
                <w:sz w:val="20"/>
                <w:szCs w:val="20"/>
              </w:rPr>
              <w:t>Total cash, cash equivalents, and restricted cash</w:t>
            </w:r>
          </w:p>
        </w:tc>
        <w:tc>
          <w:tcPr>
            <w:tcW w:w="0" w:type="auto"/>
            <w:tcBorders>
              <w:top w:val="single" w:sz="8" w:space="0" w:color="000000"/>
            </w:tcBorders>
            <w:shd w:val="clear" w:color="auto" w:fill="CCEEFF"/>
            <w:tcMar>
              <w:top w:w="40" w:type="dxa"/>
              <w:left w:w="20" w:type="dxa"/>
              <w:bottom w:w="40" w:type="dxa"/>
            </w:tcMar>
            <w:vAlign w:val="center"/>
          </w:tcPr>
          <w:p w14:paraId="33DAD6AB"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D6AC" w14:textId="77777777" w:rsidR="004D6A64" w:rsidRDefault="00506CD6">
            <w:pPr>
              <w:jc w:val="right"/>
              <w:textAlignment w:val="center"/>
            </w:pPr>
            <w:r>
              <w:rPr>
                <w:rFonts w:ascii="Times New Roman" w:eastAsia="宋体" w:hAnsi="Times New Roman"/>
                <w:color w:val="000000"/>
                <w:sz w:val="20"/>
                <w:szCs w:val="20"/>
              </w:rPr>
              <w:t>12,053 </w:t>
            </w:r>
          </w:p>
        </w:tc>
        <w:tc>
          <w:tcPr>
            <w:tcW w:w="0" w:type="auto"/>
            <w:tcBorders>
              <w:top w:val="single" w:sz="8" w:space="0" w:color="000000"/>
            </w:tcBorders>
            <w:shd w:val="clear" w:color="auto" w:fill="CCEEFF"/>
            <w:tcMar>
              <w:top w:w="40" w:type="dxa"/>
              <w:bottom w:w="40" w:type="dxa"/>
              <w:right w:w="20" w:type="dxa"/>
            </w:tcMar>
            <w:vAlign w:val="center"/>
          </w:tcPr>
          <w:p w14:paraId="33DAD6A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6AE"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33DAD6AF"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D6B0" w14:textId="77777777" w:rsidR="004D6A64" w:rsidRDefault="00506CD6">
            <w:pPr>
              <w:jc w:val="right"/>
              <w:textAlignment w:val="center"/>
            </w:pPr>
            <w:r>
              <w:rPr>
                <w:rFonts w:ascii="Times New Roman" w:eastAsia="宋体" w:hAnsi="Times New Roman"/>
                <w:color w:val="000000"/>
                <w:sz w:val="20"/>
                <w:szCs w:val="20"/>
              </w:rPr>
              <w:t>10,151 </w:t>
            </w:r>
          </w:p>
        </w:tc>
        <w:tc>
          <w:tcPr>
            <w:tcW w:w="0" w:type="auto"/>
            <w:tcBorders>
              <w:top w:val="single" w:sz="8" w:space="0" w:color="000000"/>
            </w:tcBorders>
            <w:shd w:val="clear" w:color="auto" w:fill="CCEEFF"/>
            <w:tcMar>
              <w:top w:w="40" w:type="dxa"/>
              <w:bottom w:w="40" w:type="dxa"/>
              <w:right w:w="20" w:type="dxa"/>
            </w:tcMar>
            <w:vAlign w:val="center"/>
          </w:tcPr>
          <w:p w14:paraId="33DAD6B1" w14:textId="77777777" w:rsidR="004D6A64" w:rsidRDefault="004D6A64">
            <w:pPr>
              <w:jc w:val="right"/>
              <w:rPr>
                <w:rFonts w:ascii="宋体"/>
              </w:rPr>
            </w:pPr>
          </w:p>
        </w:tc>
        <w:tc>
          <w:tcPr>
            <w:tcW w:w="0" w:type="auto"/>
            <w:shd w:val="clear" w:color="auto" w:fill="auto"/>
          </w:tcPr>
          <w:p w14:paraId="33DAD6B2" w14:textId="77777777" w:rsidR="004D6A64" w:rsidRDefault="004D6A64">
            <w:pPr>
              <w:rPr>
                <w:rFonts w:ascii="宋体"/>
              </w:rPr>
            </w:pPr>
          </w:p>
        </w:tc>
        <w:tc>
          <w:tcPr>
            <w:tcW w:w="0" w:type="auto"/>
            <w:shd w:val="clear" w:color="auto" w:fill="auto"/>
          </w:tcPr>
          <w:p w14:paraId="33DAD6B3" w14:textId="77777777" w:rsidR="004D6A64" w:rsidRDefault="004D6A64">
            <w:pPr>
              <w:rPr>
                <w:rFonts w:ascii="宋体"/>
              </w:rPr>
            </w:pPr>
          </w:p>
        </w:tc>
        <w:tc>
          <w:tcPr>
            <w:tcW w:w="0" w:type="auto"/>
            <w:shd w:val="clear" w:color="auto" w:fill="auto"/>
          </w:tcPr>
          <w:p w14:paraId="33DAD6B4" w14:textId="77777777" w:rsidR="004D6A64" w:rsidRDefault="004D6A64">
            <w:pPr>
              <w:rPr>
                <w:rFonts w:ascii="宋体"/>
              </w:rPr>
            </w:pPr>
          </w:p>
        </w:tc>
        <w:tc>
          <w:tcPr>
            <w:tcW w:w="0" w:type="auto"/>
            <w:shd w:val="clear" w:color="auto" w:fill="auto"/>
          </w:tcPr>
          <w:p w14:paraId="33DAD6B5" w14:textId="77777777" w:rsidR="004D6A64" w:rsidRDefault="004D6A64">
            <w:pPr>
              <w:rPr>
                <w:rFonts w:ascii="宋体"/>
              </w:rPr>
            </w:pPr>
          </w:p>
        </w:tc>
        <w:tc>
          <w:tcPr>
            <w:tcW w:w="0" w:type="auto"/>
            <w:shd w:val="clear" w:color="auto" w:fill="auto"/>
          </w:tcPr>
          <w:p w14:paraId="33DAD6B6" w14:textId="77777777" w:rsidR="004D6A64" w:rsidRDefault="004D6A64">
            <w:pPr>
              <w:rPr>
                <w:rFonts w:ascii="宋体"/>
              </w:rPr>
            </w:pPr>
          </w:p>
        </w:tc>
        <w:tc>
          <w:tcPr>
            <w:tcW w:w="0" w:type="auto"/>
            <w:shd w:val="clear" w:color="auto" w:fill="auto"/>
          </w:tcPr>
          <w:p w14:paraId="33DAD6B7" w14:textId="77777777" w:rsidR="004D6A64" w:rsidRDefault="004D6A64">
            <w:pPr>
              <w:rPr>
                <w:rFonts w:ascii="宋体"/>
              </w:rPr>
            </w:pPr>
          </w:p>
        </w:tc>
      </w:tr>
      <w:tr w:rsidR="004D6A64" w14:paraId="33DAD6C3" w14:textId="77777777">
        <w:tc>
          <w:tcPr>
            <w:tcW w:w="0" w:type="auto"/>
            <w:gridSpan w:val="3"/>
            <w:shd w:val="clear" w:color="auto" w:fill="FFFFFF"/>
            <w:tcMar>
              <w:top w:w="40" w:type="dxa"/>
              <w:left w:w="20" w:type="dxa"/>
              <w:bottom w:w="40" w:type="dxa"/>
              <w:right w:w="20" w:type="dxa"/>
            </w:tcMar>
            <w:vAlign w:val="center"/>
          </w:tcPr>
          <w:p w14:paraId="33DAD6B9" w14:textId="77777777" w:rsidR="004D6A64" w:rsidRDefault="00506CD6">
            <w:pPr>
              <w:textAlignment w:val="center"/>
            </w:pPr>
            <w:r>
              <w:rPr>
                <w:rFonts w:ascii="Times New Roman" w:eastAsia="宋体" w:hAnsi="Times New Roman"/>
                <w:i/>
                <w:iCs/>
                <w:color w:val="000000"/>
                <w:sz w:val="20"/>
                <w:szCs w:val="20"/>
              </w:rPr>
              <w:t>Inventories, net:</w:t>
            </w:r>
          </w:p>
        </w:tc>
        <w:tc>
          <w:tcPr>
            <w:tcW w:w="0" w:type="auto"/>
            <w:gridSpan w:val="3"/>
            <w:tcBorders>
              <w:top w:val="double" w:sz="6" w:space="0" w:color="000000"/>
            </w:tcBorders>
            <w:shd w:val="clear" w:color="auto" w:fill="FFFFFF"/>
            <w:tcMar>
              <w:left w:w="20" w:type="dxa"/>
              <w:right w:w="20" w:type="dxa"/>
            </w:tcMar>
            <w:vAlign w:val="bottom"/>
          </w:tcPr>
          <w:p w14:paraId="33DAD6BA"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6BB" w14:textId="77777777" w:rsidR="004D6A64" w:rsidRDefault="004D6A6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3DAD6BC" w14:textId="77777777" w:rsidR="004D6A64" w:rsidRDefault="004D6A64">
            <w:pPr>
              <w:rPr>
                <w:rFonts w:ascii="宋体"/>
              </w:rPr>
            </w:pPr>
          </w:p>
        </w:tc>
        <w:tc>
          <w:tcPr>
            <w:tcW w:w="0" w:type="auto"/>
            <w:shd w:val="clear" w:color="auto" w:fill="auto"/>
          </w:tcPr>
          <w:p w14:paraId="33DAD6BD" w14:textId="77777777" w:rsidR="004D6A64" w:rsidRDefault="004D6A64">
            <w:pPr>
              <w:rPr>
                <w:rFonts w:ascii="宋体"/>
              </w:rPr>
            </w:pPr>
          </w:p>
        </w:tc>
        <w:tc>
          <w:tcPr>
            <w:tcW w:w="0" w:type="auto"/>
            <w:shd w:val="clear" w:color="auto" w:fill="auto"/>
          </w:tcPr>
          <w:p w14:paraId="33DAD6BE" w14:textId="77777777" w:rsidR="004D6A64" w:rsidRDefault="004D6A64">
            <w:pPr>
              <w:rPr>
                <w:rFonts w:ascii="宋体"/>
              </w:rPr>
            </w:pPr>
          </w:p>
        </w:tc>
        <w:tc>
          <w:tcPr>
            <w:tcW w:w="0" w:type="auto"/>
            <w:shd w:val="clear" w:color="auto" w:fill="auto"/>
          </w:tcPr>
          <w:p w14:paraId="33DAD6BF" w14:textId="77777777" w:rsidR="004D6A64" w:rsidRDefault="004D6A64">
            <w:pPr>
              <w:rPr>
                <w:rFonts w:ascii="宋体"/>
              </w:rPr>
            </w:pPr>
          </w:p>
        </w:tc>
        <w:tc>
          <w:tcPr>
            <w:tcW w:w="0" w:type="auto"/>
            <w:shd w:val="clear" w:color="auto" w:fill="auto"/>
          </w:tcPr>
          <w:p w14:paraId="33DAD6C0" w14:textId="77777777" w:rsidR="004D6A64" w:rsidRDefault="004D6A64">
            <w:pPr>
              <w:rPr>
                <w:rFonts w:ascii="宋体"/>
              </w:rPr>
            </w:pPr>
          </w:p>
        </w:tc>
        <w:tc>
          <w:tcPr>
            <w:tcW w:w="0" w:type="auto"/>
            <w:shd w:val="clear" w:color="auto" w:fill="auto"/>
          </w:tcPr>
          <w:p w14:paraId="33DAD6C1" w14:textId="77777777" w:rsidR="004D6A64" w:rsidRDefault="004D6A64">
            <w:pPr>
              <w:rPr>
                <w:rFonts w:ascii="宋体"/>
              </w:rPr>
            </w:pPr>
          </w:p>
        </w:tc>
        <w:tc>
          <w:tcPr>
            <w:tcW w:w="0" w:type="auto"/>
            <w:shd w:val="clear" w:color="auto" w:fill="auto"/>
          </w:tcPr>
          <w:p w14:paraId="33DAD6C2" w14:textId="77777777" w:rsidR="004D6A64" w:rsidRDefault="004D6A64">
            <w:pPr>
              <w:rPr>
                <w:rFonts w:ascii="宋体"/>
              </w:rPr>
            </w:pPr>
          </w:p>
        </w:tc>
      </w:tr>
      <w:tr w:rsidR="004D6A64" w14:paraId="33DAD6D2" w14:textId="77777777">
        <w:tc>
          <w:tcPr>
            <w:tcW w:w="0" w:type="auto"/>
            <w:gridSpan w:val="3"/>
            <w:shd w:val="clear" w:color="auto" w:fill="CCEEFF"/>
            <w:tcMar>
              <w:top w:w="40" w:type="dxa"/>
              <w:left w:w="135" w:type="dxa"/>
              <w:bottom w:w="40" w:type="dxa"/>
              <w:right w:w="20" w:type="dxa"/>
            </w:tcMar>
            <w:vAlign w:val="center"/>
          </w:tcPr>
          <w:p w14:paraId="33DAD6C4" w14:textId="77777777" w:rsidR="004D6A64" w:rsidRDefault="00506CD6">
            <w:pPr>
              <w:textAlignment w:val="center"/>
            </w:pPr>
            <w:r>
              <w:rPr>
                <w:rFonts w:ascii="Times New Roman" w:eastAsia="宋体" w:hAnsi="Times New Roman"/>
                <w:color w:val="000000"/>
                <w:sz w:val="20"/>
                <w:szCs w:val="20"/>
              </w:rPr>
              <w:t>Production materials</w:t>
            </w:r>
          </w:p>
        </w:tc>
        <w:tc>
          <w:tcPr>
            <w:tcW w:w="0" w:type="auto"/>
            <w:shd w:val="clear" w:color="auto" w:fill="CCEEFF"/>
            <w:tcMar>
              <w:top w:w="40" w:type="dxa"/>
              <w:left w:w="20" w:type="dxa"/>
              <w:bottom w:w="40" w:type="dxa"/>
            </w:tcMar>
            <w:vAlign w:val="center"/>
          </w:tcPr>
          <w:p w14:paraId="33DAD6C5"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D6C6" w14:textId="77777777" w:rsidR="004D6A64" w:rsidRDefault="00506CD6">
            <w:pPr>
              <w:jc w:val="right"/>
              <w:textAlignment w:val="center"/>
            </w:pPr>
            <w:r>
              <w:rPr>
                <w:rFonts w:ascii="Times New Roman" w:eastAsia="宋体" w:hAnsi="Times New Roman"/>
                <w:color w:val="000000"/>
                <w:sz w:val="20"/>
                <w:szCs w:val="20"/>
              </w:rPr>
              <w:t>1,884 </w:t>
            </w:r>
          </w:p>
        </w:tc>
        <w:tc>
          <w:tcPr>
            <w:tcW w:w="0" w:type="auto"/>
            <w:shd w:val="clear" w:color="auto" w:fill="CCEEFF"/>
            <w:tcMar>
              <w:top w:w="40" w:type="dxa"/>
              <w:bottom w:w="40" w:type="dxa"/>
              <w:right w:w="20" w:type="dxa"/>
            </w:tcMar>
            <w:vAlign w:val="center"/>
          </w:tcPr>
          <w:p w14:paraId="33DAD6C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6C8"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D6C9"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D6CA" w14:textId="77777777" w:rsidR="004D6A64" w:rsidRDefault="00506CD6">
            <w:pPr>
              <w:jc w:val="right"/>
              <w:textAlignment w:val="center"/>
            </w:pPr>
            <w:r>
              <w:rPr>
                <w:rFonts w:ascii="Times New Roman" w:eastAsia="宋体" w:hAnsi="Times New Roman"/>
                <w:color w:val="000000"/>
                <w:sz w:val="20"/>
                <w:szCs w:val="20"/>
              </w:rPr>
              <w:t>1,590 </w:t>
            </w:r>
          </w:p>
        </w:tc>
        <w:tc>
          <w:tcPr>
            <w:tcW w:w="0" w:type="auto"/>
            <w:shd w:val="clear" w:color="auto" w:fill="CCEEFF"/>
            <w:tcMar>
              <w:top w:w="40" w:type="dxa"/>
              <w:bottom w:w="40" w:type="dxa"/>
              <w:right w:w="20" w:type="dxa"/>
            </w:tcMar>
            <w:vAlign w:val="center"/>
          </w:tcPr>
          <w:p w14:paraId="33DAD6CB" w14:textId="77777777" w:rsidR="004D6A64" w:rsidRDefault="004D6A64">
            <w:pPr>
              <w:jc w:val="right"/>
              <w:rPr>
                <w:rFonts w:ascii="宋体"/>
              </w:rPr>
            </w:pPr>
          </w:p>
        </w:tc>
        <w:tc>
          <w:tcPr>
            <w:tcW w:w="0" w:type="auto"/>
            <w:shd w:val="clear" w:color="auto" w:fill="auto"/>
          </w:tcPr>
          <w:p w14:paraId="33DAD6CC" w14:textId="77777777" w:rsidR="004D6A64" w:rsidRDefault="004D6A64">
            <w:pPr>
              <w:rPr>
                <w:rFonts w:ascii="宋体"/>
              </w:rPr>
            </w:pPr>
          </w:p>
        </w:tc>
        <w:tc>
          <w:tcPr>
            <w:tcW w:w="0" w:type="auto"/>
            <w:shd w:val="clear" w:color="auto" w:fill="auto"/>
          </w:tcPr>
          <w:p w14:paraId="33DAD6CD" w14:textId="77777777" w:rsidR="004D6A64" w:rsidRDefault="004D6A64">
            <w:pPr>
              <w:rPr>
                <w:rFonts w:ascii="宋体"/>
              </w:rPr>
            </w:pPr>
          </w:p>
        </w:tc>
        <w:tc>
          <w:tcPr>
            <w:tcW w:w="0" w:type="auto"/>
            <w:shd w:val="clear" w:color="auto" w:fill="auto"/>
          </w:tcPr>
          <w:p w14:paraId="33DAD6CE" w14:textId="77777777" w:rsidR="004D6A64" w:rsidRDefault="004D6A64">
            <w:pPr>
              <w:rPr>
                <w:rFonts w:ascii="宋体"/>
              </w:rPr>
            </w:pPr>
          </w:p>
        </w:tc>
        <w:tc>
          <w:tcPr>
            <w:tcW w:w="0" w:type="auto"/>
            <w:shd w:val="clear" w:color="auto" w:fill="auto"/>
          </w:tcPr>
          <w:p w14:paraId="33DAD6CF" w14:textId="77777777" w:rsidR="004D6A64" w:rsidRDefault="004D6A64">
            <w:pPr>
              <w:rPr>
                <w:rFonts w:ascii="宋体"/>
              </w:rPr>
            </w:pPr>
          </w:p>
        </w:tc>
        <w:tc>
          <w:tcPr>
            <w:tcW w:w="0" w:type="auto"/>
            <w:shd w:val="clear" w:color="auto" w:fill="auto"/>
          </w:tcPr>
          <w:p w14:paraId="33DAD6D0" w14:textId="77777777" w:rsidR="004D6A64" w:rsidRDefault="004D6A64">
            <w:pPr>
              <w:rPr>
                <w:rFonts w:ascii="宋体"/>
              </w:rPr>
            </w:pPr>
          </w:p>
        </w:tc>
        <w:tc>
          <w:tcPr>
            <w:tcW w:w="0" w:type="auto"/>
            <w:shd w:val="clear" w:color="auto" w:fill="auto"/>
          </w:tcPr>
          <w:p w14:paraId="33DAD6D1" w14:textId="77777777" w:rsidR="004D6A64" w:rsidRDefault="004D6A64">
            <w:pPr>
              <w:rPr>
                <w:rFonts w:ascii="宋体"/>
              </w:rPr>
            </w:pPr>
          </w:p>
        </w:tc>
      </w:tr>
      <w:tr w:rsidR="004D6A64" w14:paraId="33DAD6DF" w14:textId="77777777">
        <w:tc>
          <w:tcPr>
            <w:tcW w:w="0" w:type="auto"/>
            <w:gridSpan w:val="3"/>
            <w:shd w:val="clear" w:color="auto" w:fill="FFFFFF"/>
            <w:tcMar>
              <w:top w:w="40" w:type="dxa"/>
              <w:left w:w="135" w:type="dxa"/>
              <w:bottom w:w="40" w:type="dxa"/>
              <w:right w:w="20" w:type="dxa"/>
            </w:tcMar>
            <w:vAlign w:val="center"/>
          </w:tcPr>
          <w:p w14:paraId="33DAD6D3" w14:textId="77777777" w:rsidR="004D6A64" w:rsidRDefault="00506CD6">
            <w:pPr>
              <w:textAlignment w:val="center"/>
            </w:pPr>
            <w:r>
              <w:rPr>
                <w:rFonts w:ascii="Times New Roman" w:eastAsia="宋体" w:hAnsi="Times New Roman"/>
                <w:color w:val="000000"/>
                <w:sz w:val="20"/>
                <w:szCs w:val="20"/>
              </w:rPr>
              <w:t>Work-in-process</w:t>
            </w:r>
          </w:p>
        </w:tc>
        <w:tc>
          <w:tcPr>
            <w:tcW w:w="0" w:type="auto"/>
            <w:gridSpan w:val="2"/>
            <w:shd w:val="clear" w:color="auto" w:fill="FFFFFF"/>
            <w:tcMar>
              <w:top w:w="40" w:type="dxa"/>
              <w:left w:w="20" w:type="dxa"/>
              <w:bottom w:w="40" w:type="dxa"/>
              <w:right w:w="0" w:type="dxa"/>
            </w:tcMar>
            <w:vAlign w:val="center"/>
          </w:tcPr>
          <w:p w14:paraId="33DAD6D4" w14:textId="77777777" w:rsidR="004D6A64" w:rsidRDefault="00506CD6">
            <w:pPr>
              <w:jc w:val="right"/>
              <w:textAlignment w:val="center"/>
            </w:pPr>
            <w:r>
              <w:rPr>
                <w:rFonts w:ascii="Times New Roman" w:eastAsia="宋体" w:hAnsi="Times New Roman"/>
                <w:color w:val="000000"/>
                <w:sz w:val="20"/>
                <w:szCs w:val="20"/>
              </w:rPr>
              <w:t>677 </w:t>
            </w:r>
          </w:p>
        </w:tc>
        <w:tc>
          <w:tcPr>
            <w:tcW w:w="0" w:type="auto"/>
            <w:shd w:val="clear" w:color="auto" w:fill="FFFFFF"/>
            <w:tcMar>
              <w:top w:w="40" w:type="dxa"/>
              <w:bottom w:w="40" w:type="dxa"/>
              <w:right w:w="20" w:type="dxa"/>
            </w:tcMar>
            <w:vAlign w:val="center"/>
          </w:tcPr>
          <w:p w14:paraId="33DAD6D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6D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6D7" w14:textId="77777777" w:rsidR="004D6A64" w:rsidRDefault="00506CD6">
            <w:pPr>
              <w:jc w:val="right"/>
              <w:textAlignment w:val="center"/>
            </w:pPr>
            <w:r>
              <w:rPr>
                <w:rFonts w:ascii="Times New Roman" w:eastAsia="宋体" w:hAnsi="Times New Roman"/>
                <w:color w:val="000000"/>
                <w:sz w:val="20"/>
                <w:szCs w:val="20"/>
              </w:rPr>
              <w:t>563 </w:t>
            </w:r>
          </w:p>
        </w:tc>
        <w:tc>
          <w:tcPr>
            <w:tcW w:w="0" w:type="auto"/>
            <w:shd w:val="clear" w:color="auto" w:fill="FFFFFF"/>
            <w:tcMar>
              <w:top w:w="40" w:type="dxa"/>
              <w:bottom w:w="40" w:type="dxa"/>
              <w:right w:w="20" w:type="dxa"/>
            </w:tcMar>
            <w:vAlign w:val="center"/>
          </w:tcPr>
          <w:p w14:paraId="33DAD6D8" w14:textId="77777777" w:rsidR="004D6A64" w:rsidRDefault="004D6A64">
            <w:pPr>
              <w:jc w:val="right"/>
              <w:rPr>
                <w:rFonts w:ascii="宋体"/>
              </w:rPr>
            </w:pPr>
          </w:p>
        </w:tc>
        <w:tc>
          <w:tcPr>
            <w:tcW w:w="0" w:type="auto"/>
            <w:shd w:val="clear" w:color="auto" w:fill="auto"/>
          </w:tcPr>
          <w:p w14:paraId="33DAD6D9" w14:textId="77777777" w:rsidR="004D6A64" w:rsidRDefault="004D6A64">
            <w:pPr>
              <w:rPr>
                <w:rFonts w:ascii="宋体"/>
              </w:rPr>
            </w:pPr>
          </w:p>
        </w:tc>
        <w:tc>
          <w:tcPr>
            <w:tcW w:w="0" w:type="auto"/>
            <w:shd w:val="clear" w:color="auto" w:fill="auto"/>
          </w:tcPr>
          <w:p w14:paraId="33DAD6DA" w14:textId="77777777" w:rsidR="004D6A64" w:rsidRDefault="004D6A64">
            <w:pPr>
              <w:rPr>
                <w:rFonts w:ascii="宋体"/>
              </w:rPr>
            </w:pPr>
          </w:p>
        </w:tc>
        <w:tc>
          <w:tcPr>
            <w:tcW w:w="0" w:type="auto"/>
            <w:shd w:val="clear" w:color="auto" w:fill="auto"/>
          </w:tcPr>
          <w:p w14:paraId="33DAD6DB" w14:textId="77777777" w:rsidR="004D6A64" w:rsidRDefault="004D6A64">
            <w:pPr>
              <w:rPr>
                <w:rFonts w:ascii="宋体"/>
              </w:rPr>
            </w:pPr>
          </w:p>
        </w:tc>
        <w:tc>
          <w:tcPr>
            <w:tcW w:w="0" w:type="auto"/>
            <w:shd w:val="clear" w:color="auto" w:fill="auto"/>
          </w:tcPr>
          <w:p w14:paraId="33DAD6DC" w14:textId="77777777" w:rsidR="004D6A64" w:rsidRDefault="004D6A64">
            <w:pPr>
              <w:rPr>
                <w:rFonts w:ascii="宋体"/>
              </w:rPr>
            </w:pPr>
          </w:p>
        </w:tc>
        <w:tc>
          <w:tcPr>
            <w:tcW w:w="0" w:type="auto"/>
            <w:shd w:val="clear" w:color="auto" w:fill="auto"/>
          </w:tcPr>
          <w:p w14:paraId="33DAD6DD" w14:textId="77777777" w:rsidR="004D6A64" w:rsidRDefault="004D6A64">
            <w:pPr>
              <w:rPr>
                <w:rFonts w:ascii="宋体"/>
              </w:rPr>
            </w:pPr>
          </w:p>
        </w:tc>
        <w:tc>
          <w:tcPr>
            <w:tcW w:w="0" w:type="auto"/>
            <w:shd w:val="clear" w:color="auto" w:fill="auto"/>
          </w:tcPr>
          <w:p w14:paraId="33DAD6DE" w14:textId="77777777" w:rsidR="004D6A64" w:rsidRDefault="004D6A64">
            <w:pPr>
              <w:rPr>
                <w:rFonts w:ascii="宋体"/>
              </w:rPr>
            </w:pPr>
          </w:p>
        </w:tc>
      </w:tr>
      <w:tr w:rsidR="004D6A64" w14:paraId="33DAD6EC" w14:textId="77777777">
        <w:tc>
          <w:tcPr>
            <w:tcW w:w="0" w:type="auto"/>
            <w:gridSpan w:val="3"/>
            <w:shd w:val="clear" w:color="auto" w:fill="CCEEFF"/>
            <w:tcMar>
              <w:top w:w="40" w:type="dxa"/>
              <w:left w:w="135" w:type="dxa"/>
              <w:bottom w:w="40" w:type="dxa"/>
              <w:right w:w="20" w:type="dxa"/>
            </w:tcMar>
            <w:vAlign w:val="center"/>
          </w:tcPr>
          <w:p w14:paraId="33DAD6E0" w14:textId="77777777" w:rsidR="004D6A64" w:rsidRDefault="00506CD6">
            <w:pPr>
              <w:textAlignment w:val="center"/>
            </w:pPr>
            <w:r>
              <w:rPr>
                <w:rFonts w:ascii="Times New Roman" w:eastAsia="宋体" w:hAnsi="Times New Roman"/>
                <w:color w:val="000000"/>
                <w:sz w:val="20"/>
                <w:szCs w:val="20"/>
              </w:rPr>
              <w:t>Finished goods</w:t>
            </w:r>
          </w:p>
        </w:tc>
        <w:tc>
          <w:tcPr>
            <w:tcW w:w="0" w:type="auto"/>
            <w:gridSpan w:val="2"/>
            <w:shd w:val="clear" w:color="auto" w:fill="CCEEFF"/>
            <w:tcMar>
              <w:top w:w="40" w:type="dxa"/>
              <w:left w:w="20" w:type="dxa"/>
              <w:bottom w:w="40" w:type="dxa"/>
              <w:right w:w="0" w:type="dxa"/>
            </w:tcMar>
            <w:vAlign w:val="center"/>
          </w:tcPr>
          <w:p w14:paraId="33DAD6E1" w14:textId="77777777" w:rsidR="004D6A64" w:rsidRDefault="00506CD6">
            <w:pPr>
              <w:jc w:val="right"/>
              <w:textAlignment w:val="center"/>
            </w:pPr>
            <w:r>
              <w:rPr>
                <w:rFonts w:ascii="Times New Roman" w:eastAsia="宋体" w:hAnsi="Times New Roman"/>
                <w:color w:val="000000"/>
                <w:sz w:val="20"/>
                <w:szCs w:val="20"/>
              </w:rPr>
              <w:t>1,041 </w:t>
            </w:r>
          </w:p>
        </w:tc>
        <w:tc>
          <w:tcPr>
            <w:tcW w:w="0" w:type="auto"/>
            <w:shd w:val="clear" w:color="auto" w:fill="CCEEFF"/>
            <w:tcMar>
              <w:top w:w="40" w:type="dxa"/>
              <w:bottom w:w="40" w:type="dxa"/>
              <w:right w:w="20" w:type="dxa"/>
            </w:tcMar>
            <w:vAlign w:val="center"/>
          </w:tcPr>
          <w:p w14:paraId="33DAD6E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6E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6E4" w14:textId="77777777" w:rsidR="004D6A64" w:rsidRDefault="00506CD6">
            <w:pPr>
              <w:jc w:val="right"/>
              <w:textAlignment w:val="center"/>
            </w:pPr>
            <w:r>
              <w:rPr>
                <w:rFonts w:ascii="Times New Roman" w:eastAsia="宋体" w:hAnsi="Times New Roman"/>
                <w:color w:val="000000"/>
                <w:sz w:val="20"/>
                <w:szCs w:val="20"/>
              </w:rPr>
              <w:t>1,128 </w:t>
            </w:r>
          </w:p>
        </w:tc>
        <w:tc>
          <w:tcPr>
            <w:tcW w:w="0" w:type="auto"/>
            <w:shd w:val="clear" w:color="auto" w:fill="CCEEFF"/>
            <w:tcMar>
              <w:top w:w="40" w:type="dxa"/>
              <w:bottom w:w="40" w:type="dxa"/>
              <w:right w:w="20" w:type="dxa"/>
            </w:tcMar>
            <w:vAlign w:val="center"/>
          </w:tcPr>
          <w:p w14:paraId="33DAD6E5" w14:textId="77777777" w:rsidR="004D6A64" w:rsidRDefault="004D6A64">
            <w:pPr>
              <w:jc w:val="right"/>
              <w:rPr>
                <w:rFonts w:ascii="宋体"/>
              </w:rPr>
            </w:pPr>
          </w:p>
        </w:tc>
        <w:tc>
          <w:tcPr>
            <w:tcW w:w="0" w:type="auto"/>
            <w:shd w:val="clear" w:color="auto" w:fill="auto"/>
          </w:tcPr>
          <w:p w14:paraId="33DAD6E6" w14:textId="77777777" w:rsidR="004D6A64" w:rsidRDefault="004D6A64">
            <w:pPr>
              <w:rPr>
                <w:rFonts w:ascii="宋体"/>
              </w:rPr>
            </w:pPr>
          </w:p>
        </w:tc>
        <w:tc>
          <w:tcPr>
            <w:tcW w:w="0" w:type="auto"/>
            <w:shd w:val="clear" w:color="auto" w:fill="auto"/>
          </w:tcPr>
          <w:p w14:paraId="33DAD6E7" w14:textId="77777777" w:rsidR="004D6A64" w:rsidRDefault="004D6A64">
            <w:pPr>
              <w:rPr>
                <w:rFonts w:ascii="宋体"/>
              </w:rPr>
            </w:pPr>
          </w:p>
        </w:tc>
        <w:tc>
          <w:tcPr>
            <w:tcW w:w="0" w:type="auto"/>
            <w:shd w:val="clear" w:color="auto" w:fill="auto"/>
          </w:tcPr>
          <w:p w14:paraId="33DAD6E8" w14:textId="77777777" w:rsidR="004D6A64" w:rsidRDefault="004D6A64">
            <w:pPr>
              <w:rPr>
                <w:rFonts w:ascii="宋体"/>
              </w:rPr>
            </w:pPr>
          </w:p>
        </w:tc>
        <w:tc>
          <w:tcPr>
            <w:tcW w:w="0" w:type="auto"/>
            <w:shd w:val="clear" w:color="auto" w:fill="auto"/>
          </w:tcPr>
          <w:p w14:paraId="33DAD6E9" w14:textId="77777777" w:rsidR="004D6A64" w:rsidRDefault="004D6A64">
            <w:pPr>
              <w:rPr>
                <w:rFonts w:ascii="宋体"/>
              </w:rPr>
            </w:pPr>
          </w:p>
        </w:tc>
        <w:tc>
          <w:tcPr>
            <w:tcW w:w="0" w:type="auto"/>
            <w:shd w:val="clear" w:color="auto" w:fill="auto"/>
          </w:tcPr>
          <w:p w14:paraId="33DAD6EA" w14:textId="77777777" w:rsidR="004D6A64" w:rsidRDefault="004D6A64">
            <w:pPr>
              <w:rPr>
                <w:rFonts w:ascii="宋体"/>
              </w:rPr>
            </w:pPr>
          </w:p>
        </w:tc>
        <w:tc>
          <w:tcPr>
            <w:tcW w:w="0" w:type="auto"/>
            <w:shd w:val="clear" w:color="auto" w:fill="auto"/>
          </w:tcPr>
          <w:p w14:paraId="33DAD6EB" w14:textId="77777777" w:rsidR="004D6A64" w:rsidRDefault="004D6A64">
            <w:pPr>
              <w:rPr>
                <w:rFonts w:ascii="宋体"/>
              </w:rPr>
            </w:pPr>
          </w:p>
        </w:tc>
      </w:tr>
      <w:tr w:rsidR="004D6A64" w14:paraId="33DAD6FB" w14:textId="77777777">
        <w:tc>
          <w:tcPr>
            <w:tcW w:w="0" w:type="auto"/>
            <w:gridSpan w:val="3"/>
            <w:shd w:val="clear" w:color="auto" w:fill="FFFFFF"/>
            <w:tcMar>
              <w:top w:w="40" w:type="dxa"/>
              <w:left w:w="225" w:type="dxa"/>
              <w:bottom w:w="40" w:type="dxa"/>
              <w:right w:w="20" w:type="dxa"/>
            </w:tcMar>
            <w:vAlign w:val="center"/>
          </w:tcPr>
          <w:p w14:paraId="33DAD6ED" w14:textId="77777777" w:rsidR="004D6A64" w:rsidRDefault="00506CD6">
            <w:pPr>
              <w:textAlignment w:val="center"/>
            </w:pPr>
            <w:r>
              <w:rPr>
                <w:rFonts w:ascii="Times New Roman" w:eastAsia="宋体" w:hAnsi="Times New Roman"/>
                <w:color w:val="000000"/>
                <w:sz w:val="20"/>
                <w:szCs w:val="20"/>
              </w:rPr>
              <w:t>Total inventories, net</w:t>
            </w:r>
          </w:p>
        </w:tc>
        <w:tc>
          <w:tcPr>
            <w:tcW w:w="0" w:type="auto"/>
            <w:tcBorders>
              <w:top w:val="single" w:sz="8" w:space="0" w:color="000000"/>
            </w:tcBorders>
            <w:shd w:val="clear" w:color="auto" w:fill="FFFFFF"/>
            <w:tcMar>
              <w:top w:w="40" w:type="dxa"/>
              <w:left w:w="20" w:type="dxa"/>
              <w:bottom w:w="40" w:type="dxa"/>
            </w:tcMar>
            <w:vAlign w:val="center"/>
          </w:tcPr>
          <w:p w14:paraId="33DAD6EE"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D6EF" w14:textId="77777777" w:rsidR="004D6A64" w:rsidRDefault="00506CD6">
            <w:pPr>
              <w:jc w:val="right"/>
              <w:textAlignment w:val="center"/>
            </w:pPr>
            <w:r>
              <w:rPr>
                <w:rFonts w:ascii="Times New Roman" w:eastAsia="宋体" w:hAnsi="Times New Roman"/>
                <w:color w:val="000000"/>
                <w:sz w:val="20"/>
                <w:szCs w:val="20"/>
              </w:rPr>
              <w:t>3,602 </w:t>
            </w:r>
          </w:p>
        </w:tc>
        <w:tc>
          <w:tcPr>
            <w:tcW w:w="0" w:type="auto"/>
            <w:tcBorders>
              <w:top w:val="single" w:sz="8" w:space="0" w:color="000000"/>
            </w:tcBorders>
            <w:shd w:val="clear" w:color="auto" w:fill="FFFFFF"/>
            <w:tcMar>
              <w:top w:w="40" w:type="dxa"/>
              <w:bottom w:w="40" w:type="dxa"/>
              <w:right w:w="20" w:type="dxa"/>
            </w:tcMar>
            <w:vAlign w:val="center"/>
          </w:tcPr>
          <w:p w14:paraId="33DAD6F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6F1"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D6F2"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D6F3" w14:textId="77777777" w:rsidR="004D6A64" w:rsidRDefault="00506CD6">
            <w:pPr>
              <w:jc w:val="right"/>
              <w:textAlignment w:val="center"/>
            </w:pPr>
            <w:r>
              <w:rPr>
                <w:rFonts w:ascii="Times New Roman" w:eastAsia="宋体" w:hAnsi="Times New Roman"/>
                <w:color w:val="000000"/>
                <w:sz w:val="20"/>
                <w:szCs w:val="20"/>
              </w:rPr>
              <w:t>3,281 </w:t>
            </w:r>
          </w:p>
        </w:tc>
        <w:tc>
          <w:tcPr>
            <w:tcW w:w="0" w:type="auto"/>
            <w:tcBorders>
              <w:top w:val="single" w:sz="8" w:space="0" w:color="000000"/>
            </w:tcBorders>
            <w:shd w:val="clear" w:color="auto" w:fill="FFFFFF"/>
            <w:tcMar>
              <w:top w:w="40" w:type="dxa"/>
              <w:bottom w:w="40" w:type="dxa"/>
              <w:right w:w="20" w:type="dxa"/>
            </w:tcMar>
            <w:vAlign w:val="center"/>
          </w:tcPr>
          <w:p w14:paraId="33DAD6F4" w14:textId="77777777" w:rsidR="004D6A64" w:rsidRDefault="004D6A64">
            <w:pPr>
              <w:jc w:val="right"/>
              <w:rPr>
                <w:rFonts w:ascii="宋体"/>
              </w:rPr>
            </w:pPr>
          </w:p>
        </w:tc>
        <w:tc>
          <w:tcPr>
            <w:tcW w:w="0" w:type="auto"/>
            <w:shd w:val="clear" w:color="auto" w:fill="auto"/>
          </w:tcPr>
          <w:p w14:paraId="33DAD6F5" w14:textId="77777777" w:rsidR="004D6A64" w:rsidRDefault="004D6A64">
            <w:pPr>
              <w:rPr>
                <w:rFonts w:ascii="宋体"/>
              </w:rPr>
            </w:pPr>
          </w:p>
        </w:tc>
        <w:tc>
          <w:tcPr>
            <w:tcW w:w="0" w:type="auto"/>
            <w:shd w:val="clear" w:color="auto" w:fill="auto"/>
          </w:tcPr>
          <w:p w14:paraId="33DAD6F6" w14:textId="77777777" w:rsidR="004D6A64" w:rsidRDefault="004D6A64">
            <w:pPr>
              <w:rPr>
                <w:rFonts w:ascii="宋体"/>
              </w:rPr>
            </w:pPr>
          </w:p>
        </w:tc>
        <w:tc>
          <w:tcPr>
            <w:tcW w:w="0" w:type="auto"/>
            <w:shd w:val="clear" w:color="auto" w:fill="auto"/>
          </w:tcPr>
          <w:p w14:paraId="33DAD6F7" w14:textId="77777777" w:rsidR="004D6A64" w:rsidRDefault="004D6A64">
            <w:pPr>
              <w:rPr>
                <w:rFonts w:ascii="宋体"/>
              </w:rPr>
            </w:pPr>
          </w:p>
        </w:tc>
        <w:tc>
          <w:tcPr>
            <w:tcW w:w="0" w:type="auto"/>
            <w:shd w:val="clear" w:color="auto" w:fill="auto"/>
          </w:tcPr>
          <w:p w14:paraId="33DAD6F8" w14:textId="77777777" w:rsidR="004D6A64" w:rsidRDefault="004D6A64">
            <w:pPr>
              <w:rPr>
                <w:rFonts w:ascii="宋体"/>
              </w:rPr>
            </w:pPr>
          </w:p>
        </w:tc>
        <w:tc>
          <w:tcPr>
            <w:tcW w:w="0" w:type="auto"/>
            <w:shd w:val="clear" w:color="auto" w:fill="auto"/>
          </w:tcPr>
          <w:p w14:paraId="33DAD6F9" w14:textId="77777777" w:rsidR="004D6A64" w:rsidRDefault="004D6A64">
            <w:pPr>
              <w:rPr>
                <w:rFonts w:ascii="宋体"/>
              </w:rPr>
            </w:pPr>
          </w:p>
        </w:tc>
        <w:tc>
          <w:tcPr>
            <w:tcW w:w="0" w:type="auto"/>
            <w:shd w:val="clear" w:color="auto" w:fill="auto"/>
          </w:tcPr>
          <w:p w14:paraId="33DAD6FA" w14:textId="77777777" w:rsidR="004D6A64" w:rsidRDefault="004D6A64">
            <w:pPr>
              <w:rPr>
                <w:rFonts w:ascii="宋体"/>
              </w:rPr>
            </w:pPr>
          </w:p>
        </w:tc>
      </w:tr>
      <w:tr w:rsidR="004D6A64" w14:paraId="33DAD706" w14:textId="77777777">
        <w:trPr>
          <w:hidden/>
        </w:trPr>
        <w:tc>
          <w:tcPr>
            <w:tcW w:w="0" w:type="auto"/>
            <w:gridSpan w:val="3"/>
            <w:shd w:val="clear" w:color="auto" w:fill="auto"/>
          </w:tcPr>
          <w:p w14:paraId="33DAD6FC" w14:textId="77777777" w:rsidR="004D6A64" w:rsidRDefault="004D6A64">
            <w:pPr>
              <w:rPr>
                <w:rFonts w:ascii="宋体"/>
                <w:vanish/>
              </w:rPr>
            </w:pPr>
          </w:p>
        </w:tc>
        <w:tc>
          <w:tcPr>
            <w:tcW w:w="0" w:type="auto"/>
            <w:gridSpan w:val="3"/>
            <w:shd w:val="clear" w:color="auto" w:fill="auto"/>
          </w:tcPr>
          <w:p w14:paraId="33DAD6FD" w14:textId="77777777" w:rsidR="004D6A64" w:rsidRDefault="004D6A64">
            <w:pPr>
              <w:rPr>
                <w:rFonts w:ascii="宋体"/>
                <w:vanish/>
              </w:rPr>
            </w:pPr>
          </w:p>
        </w:tc>
        <w:tc>
          <w:tcPr>
            <w:tcW w:w="0" w:type="auto"/>
            <w:gridSpan w:val="3"/>
            <w:shd w:val="clear" w:color="auto" w:fill="auto"/>
          </w:tcPr>
          <w:p w14:paraId="33DAD6FE" w14:textId="77777777" w:rsidR="004D6A64" w:rsidRDefault="004D6A64">
            <w:pPr>
              <w:rPr>
                <w:rFonts w:ascii="宋体"/>
                <w:vanish/>
              </w:rPr>
            </w:pPr>
          </w:p>
        </w:tc>
        <w:tc>
          <w:tcPr>
            <w:tcW w:w="0" w:type="auto"/>
            <w:gridSpan w:val="3"/>
            <w:shd w:val="clear" w:color="auto" w:fill="auto"/>
          </w:tcPr>
          <w:p w14:paraId="33DAD6FF" w14:textId="77777777" w:rsidR="004D6A64" w:rsidRDefault="004D6A64">
            <w:pPr>
              <w:rPr>
                <w:rFonts w:ascii="宋体"/>
                <w:vanish/>
              </w:rPr>
            </w:pPr>
          </w:p>
        </w:tc>
        <w:tc>
          <w:tcPr>
            <w:tcW w:w="0" w:type="auto"/>
            <w:shd w:val="clear" w:color="auto" w:fill="auto"/>
          </w:tcPr>
          <w:p w14:paraId="33DAD700" w14:textId="77777777" w:rsidR="004D6A64" w:rsidRDefault="004D6A64">
            <w:pPr>
              <w:rPr>
                <w:rFonts w:ascii="宋体"/>
              </w:rPr>
            </w:pPr>
          </w:p>
        </w:tc>
        <w:tc>
          <w:tcPr>
            <w:tcW w:w="0" w:type="auto"/>
            <w:shd w:val="clear" w:color="auto" w:fill="auto"/>
          </w:tcPr>
          <w:p w14:paraId="33DAD701" w14:textId="77777777" w:rsidR="004D6A64" w:rsidRDefault="004D6A64">
            <w:pPr>
              <w:rPr>
                <w:rFonts w:ascii="宋体"/>
              </w:rPr>
            </w:pPr>
          </w:p>
        </w:tc>
        <w:tc>
          <w:tcPr>
            <w:tcW w:w="0" w:type="auto"/>
            <w:shd w:val="clear" w:color="auto" w:fill="auto"/>
          </w:tcPr>
          <w:p w14:paraId="33DAD702" w14:textId="77777777" w:rsidR="004D6A64" w:rsidRDefault="004D6A64">
            <w:pPr>
              <w:rPr>
                <w:rFonts w:ascii="宋体"/>
              </w:rPr>
            </w:pPr>
          </w:p>
        </w:tc>
        <w:tc>
          <w:tcPr>
            <w:tcW w:w="0" w:type="auto"/>
            <w:shd w:val="clear" w:color="auto" w:fill="auto"/>
          </w:tcPr>
          <w:p w14:paraId="33DAD703" w14:textId="77777777" w:rsidR="004D6A64" w:rsidRDefault="004D6A64">
            <w:pPr>
              <w:rPr>
                <w:rFonts w:ascii="宋体"/>
              </w:rPr>
            </w:pPr>
          </w:p>
        </w:tc>
        <w:tc>
          <w:tcPr>
            <w:tcW w:w="0" w:type="auto"/>
            <w:shd w:val="clear" w:color="auto" w:fill="auto"/>
          </w:tcPr>
          <w:p w14:paraId="33DAD704" w14:textId="77777777" w:rsidR="004D6A64" w:rsidRDefault="004D6A64">
            <w:pPr>
              <w:rPr>
                <w:rFonts w:ascii="宋体"/>
              </w:rPr>
            </w:pPr>
          </w:p>
        </w:tc>
        <w:tc>
          <w:tcPr>
            <w:tcW w:w="0" w:type="auto"/>
            <w:shd w:val="clear" w:color="auto" w:fill="auto"/>
          </w:tcPr>
          <w:p w14:paraId="33DAD705" w14:textId="77777777" w:rsidR="004D6A64" w:rsidRDefault="004D6A64">
            <w:pPr>
              <w:rPr>
                <w:rFonts w:ascii="宋体"/>
              </w:rPr>
            </w:pPr>
          </w:p>
        </w:tc>
      </w:tr>
      <w:tr w:rsidR="004D6A64" w14:paraId="33DAD711" w14:textId="77777777">
        <w:trPr>
          <w:hidden/>
        </w:trPr>
        <w:tc>
          <w:tcPr>
            <w:tcW w:w="0" w:type="auto"/>
            <w:gridSpan w:val="3"/>
            <w:shd w:val="clear" w:color="auto" w:fill="auto"/>
          </w:tcPr>
          <w:p w14:paraId="33DAD707" w14:textId="77777777" w:rsidR="004D6A64" w:rsidRDefault="004D6A64">
            <w:pPr>
              <w:rPr>
                <w:rFonts w:ascii="宋体"/>
                <w:vanish/>
              </w:rPr>
            </w:pPr>
          </w:p>
        </w:tc>
        <w:tc>
          <w:tcPr>
            <w:tcW w:w="0" w:type="auto"/>
            <w:gridSpan w:val="3"/>
            <w:shd w:val="clear" w:color="auto" w:fill="auto"/>
          </w:tcPr>
          <w:p w14:paraId="33DAD708" w14:textId="77777777" w:rsidR="004D6A64" w:rsidRDefault="004D6A64">
            <w:pPr>
              <w:rPr>
                <w:rFonts w:ascii="宋体"/>
                <w:vanish/>
              </w:rPr>
            </w:pPr>
          </w:p>
        </w:tc>
        <w:tc>
          <w:tcPr>
            <w:tcW w:w="0" w:type="auto"/>
            <w:gridSpan w:val="3"/>
            <w:shd w:val="clear" w:color="auto" w:fill="auto"/>
          </w:tcPr>
          <w:p w14:paraId="33DAD709" w14:textId="77777777" w:rsidR="004D6A64" w:rsidRDefault="004D6A64">
            <w:pPr>
              <w:rPr>
                <w:rFonts w:ascii="宋体"/>
                <w:vanish/>
              </w:rPr>
            </w:pPr>
          </w:p>
        </w:tc>
        <w:tc>
          <w:tcPr>
            <w:tcW w:w="0" w:type="auto"/>
            <w:gridSpan w:val="3"/>
            <w:shd w:val="clear" w:color="auto" w:fill="auto"/>
          </w:tcPr>
          <w:p w14:paraId="33DAD70A" w14:textId="77777777" w:rsidR="004D6A64" w:rsidRDefault="004D6A64">
            <w:pPr>
              <w:rPr>
                <w:rFonts w:ascii="宋体"/>
                <w:vanish/>
              </w:rPr>
            </w:pPr>
          </w:p>
        </w:tc>
        <w:tc>
          <w:tcPr>
            <w:tcW w:w="0" w:type="auto"/>
            <w:shd w:val="clear" w:color="auto" w:fill="auto"/>
          </w:tcPr>
          <w:p w14:paraId="33DAD70B" w14:textId="77777777" w:rsidR="004D6A64" w:rsidRDefault="004D6A64">
            <w:pPr>
              <w:rPr>
                <w:rFonts w:ascii="宋体"/>
              </w:rPr>
            </w:pPr>
          </w:p>
        </w:tc>
        <w:tc>
          <w:tcPr>
            <w:tcW w:w="0" w:type="auto"/>
            <w:shd w:val="clear" w:color="auto" w:fill="auto"/>
          </w:tcPr>
          <w:p w14:paraId="33DAD70C" w14:textId="77777777" w:rsidR="004D6A64" w:rsidRDefault="004D6A64">
            <w:pPr>
              <w:rPr>
                <w:rFonts w:ascii="宋体"/>
              </w:rPr>
            </w:pPr>
          </w:p>
        </w:tc>
        <w:tc>
          <w:tcPr>
            <w:tcW w:w="0" w:type="auto"/>
            <w:shd w:val="clear" w:color="auto" w:fill="auto"/>
          </w:tcPr>
          <w:p w14:paraId="33DAD70D" w14:textId="77777777" w:rsidR="004D6A64" w:rsidRDefault="004D6A64">
            <w:pPr>
              <w:rPr>
                <w:rFonts w:ascii="宋体"/>
              </w:rPr>
            </w:pPr>
          </w:p>
        </w:tc>
        <w:tc>
          <w:tcPr>
            <w:tcW w:w="0" w:type="auto"/>
            <w:shd w:val="clear" w:color="auto" w:fill="auto"/>
          </w:tcPr>
          <w:p w14:paraId="33DAD70E" w14:textId="77777777" w:rsidR="004D6A64" w:rsidRDefault="004D6A64">
            <w:pPr>
              <w:rPr>
                <w:rFonts w:ascii="宋体"/>
              </w:rPr>
            </w:pPr>
          </w:p>
        </w:tc>
        <w:tc>
          <w:tcPr>
            <w:tcW w:w="0" w:type="auto"/>
            <w:shd w:val="clear" w:color="auto" w:fill="auto"/>
          </w:tcPr>
          <w:p w14:paraId="33DAD70F" w14:textId="77777777" w:rsidR="004D6A64" w:rsidRDefault="004D6A64">
            <w:pPr>
              <w:rPr>
                <w:rFonts w:ascii="宋体"/>
              </w:rPr>
            </w:pPr>
          </w:p>
        </w:tc>
        <w:tc>
          <w:tcPr>
            <w:tcW w:w="0" w:type="auto"/>
            <w:shd w:val="clear" w:color="auto" w:fill="auto"/>
          </w:tcPr>
          <w:p w14:paraId="33DAD710" w14:textId="77777777" w:rsidR="004D6A64" w:rsidRDefault="004D6A64">
            <w:pPr>
              <w:rPr>
                <w:rFonts w:ascii="宋体"/>
              </w:rPr>
            </w:pPr>
          </w:p>
        </w:tc>
      </w:tr>
      <w:tr w:rsidR="004D6A64" w14:paraId="33DAD71C" w14:textId="77777777">
        <w:trPr>
          <w:hidden/>
        </w:trPr>
        <w:tc>
          <w:tcPr>
            <w:tcW w:w="0" w:type="auto"/>
            <w:gridSpan w:val="3"/>
            <w:shd w:val="clear" w:color="auto" w:fill="auto"/>
          </w:tcPr>
          <w:p w14:paraId="33DAD712" w14:textId="77777777" w:rsidR="004D6A64" w:rsidRDefault="004D6A64">
            <w:pPr>
              <w:rPr>
                <w:rFonts w:ascii="宋体"/>
                <w:vanish/>
              </w:rPr>
            </w:pPr>
          </w:p>
        </w:tc>
        <w:tc>
          <w:tcPr>
            <w:tcW w:w="0" w:type="auto"/>
            <w:gridSpan w:val="3"/>
            <w:shd w:val="clear" w:color="auto" w:fill="auto"/>
          </w:tcPr>
          <w:p w14:paraId="33DAD713" w14:textId="77777777" w:rsidR="004D6A64" w:rsidRDefault="004D6A64">
            <w:pPr>
              <w:rPr>
                <w:rFonts w:ascii="宋体"/>
                <w:vanish/>
              </w:rPr>
            </w:pPr>
          </w:p>
        </w:tc>
        <w:tc>
          <w:tcPr>
            <w:tcW w:w="0" w:type="auto"/>
            <w:gridSpan w:val="3"/>
            <w:shd w:val="clear" w:color="auto" w:fill="auto"/>
          </w:tcPr>
          <w:p w14:paraId="33DAD714" w14:textId="77777777" w:rsidR="004D6A64" w:rsidRDefault="004D6A64">
            <w:pPr>
              <w:rPr>
                <w:rFonts w:ascii="宋体"/>
                <w:vanish/>
              </w:rPr>
            </w:pPr>
          </w:p>
        </w:tc>
        <w:tc>
          <w:tcPr>
            <w:tcW w:w="0" w:type="auto"/>
            <w:gridSpan w:val="3"/>
            <w:shd w:val="clear" w:color="auto" w:fill="auto"/>
          </w:tcPr>
          <w:p w14:paraId="33DAD715" w14:textId="77777777" w:rsidR="004D6A64" w:rsidRDefault="004D6A64">
            <w:pPr>
              <w:rPr>
                <w:rFonts w:ascii="宋体"/>
                <w:vanish/>
              </w:rPr>
            </w:pPr>
          </w:p>
        </w:tc>
        <w:tc>
          <w:tcPr>
            <w:tcW w:w="0" w:type="auto"/>
            <w:shd w:val="clear" w:color="auto" w:fill="auto"/>
          </w:tcPr>
          <w:p w14:paraId="33DAD716" w14:textId="77777777" w:rsidR="004D6A64" w:rsidRDefault="004D6A64">
            <w:pPr>
              <w:rPr>
                <w:rFonts w:ascii="宋体"/>
              </w:rPr>
            </w:pPr>
          </w:p>
        </w:tc>
        <w:tc>
          <w:tcPr>
            <w:tcW w:w="0" w:type="auto"/>
            <w:shd w:val="clear" w:color="auto" w:fill="auto"/>
          </w:tcPr>
          <w:p w14:paraId="33DAD717" w14:textId="77777777" w:rsidR="004D6A64" w:rsidRDefault="004D6A64">
            <w:pPr>
              <w:rPr>
                <w:rFonts w:ascii="宋体"/>
              </w:rPr>
            </w:pPr>
          </w:p>
        </w:tc>
        <w:tc>
          <w:tcPr>
            <w:tcW w:w="0" w:type="auto"/>
            <w:shd w:val="clear" w:color="auto" w:fill="auto"/>
          </w:tcPr>
          <w:p w14:paraId="33DAD718" w14:textId="77777777" w:rsidR="004D6A64" w:rsidRDefault="004D6A64">
            <w:pPr>
              <w:rPr>
                <w:rFonts w:ascii="宋体"/>
              </w:rPr>
            </w:pPr>
          </w:p>
        </w:tc>
        <w:tc>
          <w:tcPr>
            <w:tcW w:w="0" w:type="auto"/>
            <w:shd w:val="clear" w:color="auto" w:fill="auto"/>
          </w:tcPr>
          <w:p w14:paraId="33DAD719" w14:textId="77777777" w:rsidR="004D6A64" w:rsidRDefault="004D6A64">
            <w:pPr>
              <w:rPr>
                <w:rFonts w:ascii="宋体"/>
              </w:rPr>
            </w:pPr>
          </w:p>
        </w:tc>
        <w:tc>
          <w:tcPr>
            <w:tcW w:w="0" w:type="auto"/>
            <w:shd w:val="clear" w:color="auto" w:fill="auto"/>
          </w:tcPr>
          <w:p w14:paraId="33DAD71A" w14:textId="77777777" w:rsidR="004D6A64" w:rsidRDefault="004D6A64">
            <w:pPr>
              <w:rPr>
                <w:rFonts w:ascii="宋体"/>
              </w:rPr>
            </w:pPr>
          </w:p>
        </w:tc>
        <w:tc>
          <w:tcPr>
            <w:tcW w:w="0" w:type="auto"/>
            <w:shd w:val="clear" w:color="auto" w:fill="auto"/>
          </w:tcPr>
          <w:p w14:paraId="33DAD71B" w14:textId="77777777" w:rsidR="004D6A64" w:rsidRDefault="004D6A64">
            <w:pPr>
              <w:rPr>
                <w:rFonts w:ascii="宋体"/>
              </w:rPr>
            </w:pPr>
          </w:p>
        </w:tc>
      </w:tr>
      <w:tr w:rsidR="004D6A64" w14:paraId="33DAD727" w14:textId="77777777">
        <w:trPr>
          <w:hidden/>
        </w:trPr>
        <w:tc>
          <w:tcPr>
            <w:tcW w:w="0" w:type="auto"/>
            <w:gridSpan w:val="3"/>
            <w:shd w:val="clear" w:color="auto" w:fill="auto"/>
          </w:tcPr>
          <w:p w14:paraId="33DAD71D" w14:textId="77777777" w:rsidR="004D6A64" w:rsidRDefault="004D6A64">
            <w:pPr>
              <w:rPr>
                <w:rFonts w:ascii="宋体"/>
                <w:vanish/>
              </w:rPr>
            </w:pPr>
          </w:p>
        </w:tc>
        <w:tc>
          <w:tcPr>
            <w:tcW w:w="0" w:type="auto"/>
            <w:gridSpan w:val="3"/>
            <w:shd w:val="clear" w:color="auto" w:fill="auto"/>
          </w:tcPr>
          <w:p w14:paraId="33DAD71E" w14:textId="77777777" w:rsidR="004D6A64" w:rsidRDefault="004D6A64">
            <w:pPr>
              <w:rPr>
                <w:rFonts w:ascii="宋体"/>
                <w:vanish/>
              </w:rPr>
            </w:pPr>
          </w:p>
        </w:tc>
        <w:tc>
          <w:tcPr>
            <w:tcW w:w="0" w:type="auto"/>
            <w:gridSpan w:val="3"/>
            <w:shd w:val="clear" w:color="auto" w:fill="auto"/>
          </w:tcPr>
          <w:p w14:paraId="33DAD71F" w14:textId="77777777" w:rsidR="004D6A64" w:rsidRDefault="004D6A64">
            <w:pPr>
              <w:rPr>
                <w:rFonts w:ascii="宋体"/>
                <w:vanish/>
              </w:rPr>
            </w:pPr>
          </w:p>
        </w:tc>
        <w:tc>
          <w:tcPr>
            <w:tcW w:w="0" w:type="auto"/>
            <w:gridSpan w:val="3"/>
            <w:shd w:val="clear" w:color="auto" w:fill="auto"/>
          </w:tcPr>
          <w:p w14:paraId="33DAD720" w14:textId="77777777" w:rsidR="004D6A64" w:rsidRDefault="004D6A64">
            <w:pPr>
              <w:rPr>
                <w:rFonts w:ascii="宋体"/>
                <w:vanish/>
              </w:rPr>
            </w:pPr>
          </w:p>
        </w:tc>
        <w:tc>
          <w:tcPr>
            <w:tcW w:w="0" w:type="auto"/>
            <w:shd w:val="clear" w:color="auto" w:fill="auto"/>
          </w:tcPr>
          <w:p w14:paraId="33DAD721" w14:textId="77777777" w:rsidR="004D6A64" w:rsidRDefault="004D6A64">
            <w:pPr>
              <w:rPr>
                <w:rFonts w:ascii="宋体"/>
              </w:rPr>
            </w:pPr>
          </w:p>
        </w:tc>
        <w:tc>
          <w:tcPr>
            <w:tcW w:w="0" w:type="auto"/>
            <w:shd w:val="clear" w:color="auto" w:fill="auto"/>
          </w:tcPr>
          <w:p w14:paraId="33DAD722" w14:textId="77777777" w:rsidR="004D6A64" w:rsidRDefault="004D6A64">
            <w:pPr>
              <w:rPr>
                <w:rFonts w:ascii="宋体"/>
              </w:rPr>
            </w:pPr>
          </w:p>
        </w:tc>
        <w:tc>
          <w:tcPr>
            <w:tcW w:w="0" w:type="auto"/>
            <w:shd w:val="clear" w:color="auto" w:fill="auto"/>
          </w:tcPr>
          <w:p w14:paraId="33DAD723" w14:textId="77777777" w:rsidR="004D6A64" w:rsidRDefault="004D6A64">
            <w:pPr>
              <w:rPr>
                <w:rFonts w:ascii="宋体"/>
              </w:rPr>
            </w:pPr>
          </w:p>
        </w:tc>
        <w:tc>
          <w:tcPr>
            <w:tcW w:w="0" w:type="auto"/>
            <w:shd w:val="clear" w:color="auto" w:fill="auto"/>
          </w:tcPr>
          <w:p w14:paraId="33DAD724" w14:textId="77777777" w:rsidR="004D6A64" w:rsidRDefault="004D6A64">
            <w:pPr>
              <w:rPr>
                <w:rFonts w:ascii="宋体"/>
              </w:rPr>
            </w:pPr>
          </w:p>
        </w:tc>
        <w:tc>
          <w:tcPr>
            <w:tcW w:w="0" w:type="auto"/>
            <w:shd w:val="clear" w:color="auto" w:fill="auto"/>
          </w:tcPr>
          <w:p w14:paraId="33DAD725" w14:textId="77777777" w:rsidR="004D6A64" w:rsidRDefault="004D6A64">
            <w:pPr>
              <w:rPr>
                <w:rFonts w:ascii="宋体"/>
              </w:rPr>
            </w:pPr>
          </w:p>
        </w:tc>
        <w:tc>
          <w:tcPr>
            <w:tcW w:w="0" w:type="auto"/>
            <w:shd w:val="clear" w:color="auto" w:fill="auto"/>
          </w:tcPr>
          <w:p w14:paraId="33DAD726" w14:textId="77777777" w:rsidR="004D6A64" w:rsidRDefault="004D6A64">
            <w:pPr>
              <w:rPr>
                <w:rFonts w:ascii="宋体"/>
              </w:rPr>
            </w:pPr>
          </w:p>
        </w:tc>
      </w:tr>
      <w:tr w:rsidR="004D6A64" w14:paraId="33DAD732" w14:textId="77777777">
        <w:trPr>
          <w:hidden/>
        </w:trPr>
        <w:tc>
          <w:tcPr>
            <w:tcW w:w="0" w:type="auto"/>
            <w:gridSpan w:val="3"/>
            <w:shd w:val="clear" w:color="auto" w:fill="auto"/>
          </w:tcPr>
          <w:p w14:paraId="33DAD728" w14:textId="77777777" w:rsidR="004D6A64" w:rsidRDefault="004D6A64">
            <w:pPr>
              <w:rPr>
                <w:rFonts w:ascii="宋体"/>
                <w:vanish/>
              </w:rPr>
            </w:pPr>
          </w:p>
        </w:tc>
        <w:tc>
          <w:tcPr>
            <w:tcW w:w="0" w:type="auto"/>
            <w:gridSpan w:val="3"/>
            <w:shd w:val="clear" w:color="auto" w:fill="auto"/>
          </w:tcPr>
          <w:p w14:paraId="33DAD729" w14:textId="77777777" w:rsidR="004D6A64" w:rsidRDefault="004D6A64">
            <w:pPr>
              <w:rPr>
                <w:rFonts w:ascii="宋体"/>
                <w:vanish/>
              </w:rPr>
            </w:pPr>
          </w:p>
        </w:tc>
        <w:tc>
          <w:tcPr>
            <w:tcW w:w="0" w:type="auto"/>
            <w:gridSpan w:val="3"/>
            <w:shd w:val="clear" w:color="auto" w:fill="auto"/>
          </w:tcPr>
          <w:p w14:paraId="33DAD72A" w14:textId="77777777" w:rsidR="004D6A64" w:rsidRDefault="004D6A64">
            <w:pPr>
              <w:rPr>
                <w:rFonts w:ascii="宋体"/>
                <w:vanish/>
              </w:rPr>
            </w:pPr>
          </w:p>
        </w:tc>
        <w:tc>
          <w:tcPr>
            <w:tcW w:w="0" w:type="auto"/>
            <w:gridSpan w:val="3"/>
            <w:shd w:val="clear" w:color="auto" w:fill="auto"/>
          </w:tcPr>
          <w:p w14:paraId="33DAD72B" w14:textId="77777777" w:rsidR="004D6A64" w:rsidRDefault="004D6A64">
            <w:pPr>
              <w:rPr>
                <w:rFonts w:ascii="宋体"/>
                <w:vanish/>
              </w:rPr>
            </w:pPr>
          </w:p>
        </w:tc>
        <w:tc>
          <w:tcPr>
            <w:tcW w:w="0" w:type="auto"/>
            <w:shd w:val="clear" w:color="auto" w:fill="auto"/>
          </w:tcPr>
          <w:p w14:paraId="33DAD72C" w14:textId="77777777" w:rsidR="004D6A64" w:rsidRDefault="004D6A64">
            <w:pPr>
              <w:rPr>
                <w:rFonts w:ascii="宋体"/>
              </w:rPr>
            </w:pPr>
          </w:p>
        </w:tc>
        <w:tc>
          <w:tcPr>
            <w:tcW w:w="0" w:type="auto"/>
            <w:shd w:val="clear" w:color="auto" w:fill="auto"/>
          </w:tcPr>
          <w:p w14:paraId="33DAD72D" w14:textId="77777777" w:rsidR="004D6A64" w:rsidRDefault="004D6A64">
            <w:pPr>
              <w:rPr>
                <w:rFonts w:ascii="宋体"/>
              </w:rPr>
            </w:pPr>
          </w:p>
        </w:tc>
        <w:tc>
          <w:tcPr>
            <w:tcW w:w="0" w:type="auto"/>
            <w:shd w:val="clear" w:color="auto" w:fill="auto"/>
          </w:tcPr>
          <w:p w14:paraId="33DAD72E" w14:textId="77777777" w:rsidR="004D6A64" w:rsidRDefault="004D6A64">
            <w:pPr>
              <w:rPr>
                <w:rFonts w:ascii="宋体"/>
              </w:rPr>
            </w:pPr>
          </w:p>
        </w:tc>
        <w:tc>
          <w:tcPr>
            <w:tcW w:w="0" w:type="auto"/>
            <w:shd w:val="clear" w:color="auto" w:fill="auto"/>
          </w:tcPr>
          <w:p w14:paraId="33DAD72F" w14:textId="77777777" w:rsidR="004D6A64" w:rsidRDefault="004D6A64">
            <w:pPr>
              <w:rPr>
                <w:rFonts w:ascii="宋体"/>
              </w:rPr>
            </w:pPr>
          </w:p>
        </w:tc>
        <w:tc>
          <w:tcPr>
            <w:tcW w:w="0" w:type="auto"/>
            <w:shd w:val="clear" w:color="auto" w:fill="auto"/>
          </w:tcPr>
          <w:p w14:paraId="33DAD730" w14:textId="77777777" w:rsidR="004D6A64" w:rsidRDefault="004D6A64">
            <w:pPr>
              <w:rPr>
                <w:rFonts w:ascii="宋体"/>
              </w:rPr>
            </w:pPr>
          </w:p>
        </w:tc>
        <w:tc>
          <w:tcPr>
            <w:tcW w:w="0" w:type="auto"/>
            <w:shd w:val="clear" w:color="auto" w:fill="auto"/>
          </w:tcPr>
          <w:p w14:paraId="33DAD731" w14:textId="77777777" w:rsidR="004D6A64" w:rsidRDefault="004D6A64">
            <w:pPr>
              <w:rPr>
                <w:rFonts w:ascii="宋体"/>
              </w:rPr>
            </w:pPr>
          </w:p>
        </w:tc>
      </w:tr>
      <w:tr w:rsidR="004D6A64" w14:paraId="33DAD73D" w14:textId="77777777">
        <w:trPr>
          <w:hidden/>
        </w:trPr>
        <w:tc>
          <w:tcPr>
            <w:tcW w:w="0" w:type="auto"/>
            <w:gridSpan w:val="3"/>
            <w:shd w:val="clear" w:color="auto" w:fill="auto"/>
          </w:tcPr>
          <w:p w14:paraId="33DAD733" w14:textId="77777777" w:rsidR="004D6A64" w:rsidRDefault="004D6A64">
            <w:pPr>
              <w:rPr>
                <w:rFonts w:ascii="宋体"/>
                <w:vanish/>
              </w:rPr>
            </w:pPr>
          </w:p>
        </w:tc>
        <w:tc>
          <w:tcPr>
            <w:tcW w:w="0" w:type="auto"/>
            <w:gridSpan w:val="3"/>
            <w:shd w:val="clear" w:color="auto" w:fill="auto"/>
          </w:tcPr>
          <w:p w14:paraId="33DAD734" w14:textId="77777777" w:rsidR="004D6A64" w:rsidRDefault="004D6A64">
            <w:pPr>
              <w:rPr>
                <w:rFonts w:ascii="宋体"/>
                <w:vanish/>
              </w:rPr>
            </w:pPr>
          </w:p>
        </w:tc>
        <w:tc>
          <w:tcPr>
            <w:tcW w:w="0" w:type="auto"/>
            <w:gridSpan w:val="3"/>
            <w:shd w:val="clear" w:color="auto" w:fill="auto"/>
          </w:tcPr>
          <w:p w14:paraId="33DAD735" w14:textId="77777777" w:rsidR="004D6A64" w:rsidRDefault="004D6A64">
            <w:pPr>
              <w:rPr>
                <w:rFonts w:ascii="宋体"/>
                <w:vanish/>
              </w:rPr>
            </w:pPr>
          </w:p>
        </w:tc>
        <w:tc>
          <w:tcPr>
            <w:tcW w:w="0" w:type="auto"/>
            <w:gridSpan w:val="3"/>
            <w:shd w:val="clear" w:color="auto" w:fill="auto"/>
          </w:tcPr>
          <w:p w14:paraId="33DAD736" w14:textId="77777777" w:rsidR="004D6A64" w:rsidRDefault="004D6A64">
            <w:pPr>
              <w:rPr>
                <w:rFonts w:ascii="宋体"/>
                <w:vanish/>
              </w:rPr>
            </w:pPr>
          </w:p>
        </w:tc>
        <w:tc>
          <w:tcPr>
            <w:tcW w:w="0" w:type="auto"/>
            <w:shd w:val="clear" w:color="auto" w:fill="auto"/>
          </w:tcPr>
          <w:p w14:paraId="33DAD737" w14:textId="77777777" w:rsidR="004D6A64" w:rsidRDefault="004D6A64">
            <w:pPr>
              <w:rPr>
                <w:rFonts w:ascii="宋体"/>
              </w:rPr>
            </w:pPr>
          </w:p>
        </w:tc>
        <w:tc>
          <w:tcPr>
            <w:tcW w:w="0" w:type="auto"/>
            <w:shd w:val="clear" w:color="auto" w:fill="auto"/>
          </w:tcPr>
          <w:p w14:paraId="33DAD738" w14:textId="77777777" w:rsidR="004D6A64" w:rsidRDefault="004D6A64">
            <w:pPr>
              <w:rPr>
                <w:rFonts w:ascii="宋体"/>
              </w:rPr>
            </w:pPr>
          </w:p>
        </w:tc>
        <w:tc>
          <w:tcPr>
            <w:tcW w:w="0" w:type="auto"/>
            <w:shd w:val="clear" w:color="auto" w:fill="auto"/>
          </w:tcPr>
          <w:p w14:paraId="33DAD739" w14:textId="77777777" w:rsidR="004D6A64" w:rsidRDefault="004D6A64">
            <w:pPr>
              <w:rPr>
                <w:rFonts w:ascii="宋体"/>
              </w:rPr>
            </w:pPr>
          </w:p>
        </w:tc>
        <w:tc>
          <w:tcPr>
            <w:tcW w:w="0" w:type="auto"/>
            <w:shd w:val="clear" w:color="auto" w:fill="auto"/>
          </w:tcPr>
          <w:p w14:paraId="33DAD73A" w14:textId="77777777" w:rsidR="004D6A64" w:rsidRDefault="004D6A64">
            <w:pPr>
              <w:rPr>
                <w:rFonts w:ascii="宋体"/>
              </w:rPr>
            </w:pPr>
          </w:p>
        </w:tc>
        <w:tc>
          <w:tcPr>
            <w:tcW w:w="0" w:type="auto"/>
            <w:shd w:val="clear" w:color="auto" w:fill="auto"/>
          </w:tcPr>
          <w:p w14:paraId="33DAD73B" w14:textId="77777777" w:rsidR="004D6A64" w:rsidRDefault="004D6A64">
            <w:pPr>
              <w:rPr>
                <w:rFonts w:ascii="宋体"/>
              </w:rPr>
            </w:pPr>
          </w:p>
        </w:tc>
        <w:tc>
          <w:tcPr>
            <w:tcW w:w="0" w:type="auto"/>
            <w:shd w:val="clear" w:color="auto" w:fill="auto"/>
          </w:tcPr>
          <w:p w14:paraId="33DAD73C" w14:textId="77777777" w:rsidR="004D6A64" w:rsidRDefault="004D6A64">
            <w:pPr>
              <w:rPr>
                <w:rFonts w:ascii="宋体"/>
              </w:rPr>
            </w:pPr>
          </w:p>
        </w:tc>
      </w:tr>
      <w:tr w:rsidR="004D6A64" w14:paraId="33DAD748" w14:textId="77777777">
        <w:tc>
          <w:tcPr>
            <w:tcW w:w="0" w:type="auto"/>
            <w:gridSpan w:val="3"/>
            <w:shd w:val="clear" w:color="auto" w:fill="CCEEFF"/>
            <w:tcMar>
              <w:top w:w="40" w:type="dxa"/>
              <w:left w:w="20" w:type="dxa"/>
              <w:bottom w:w="40" w:type="dxa"/>
              <w:right w:w="20" w:type="dxa"/>
            </w:tcMar>
            <w:vAlign w:val="center"/>
          </w:tcPr>
          <w:p w14:paraId="33DAD73E" w14:textId="77777777" w:rsidR="004D6A64" w:rsidRDefault="00506CD6">
            <w:pPr>
              <w:textAlignment w:val="center"/>
            </w:pPr>
            <w:r>
              <w:rPr>
                <w:rFonts w:ascii="Times New Roman" w:eastAsia="宋体" w:hAnsi="Times New Roman"/>
                <w:i/>
                <w:iCs/>
                <w:color w:val="000000"/>
                <w:sz w:val="20"/>
                <w:szCs w:val="20"/>
              </w:rPr>
              <w:t>Other non-current assets:</w:t>
            </w:r>
          </w:p>
        </w:tc>
        <w:tc>
          <w:tcPr>
            <w:tcW w:w="0" w:type="auto"/>
            <w:gridSpan w:val="3"/>
            <w:tcBorders>
              <w:top w:val="double" w:sz="6" w:space="0" w:color="000000"/>
            </w:tcBorders>
            <w:shd w:val="clear" w:color="auto" w:fill="CCEEFF"/>
            <w:tcMar>
              <w:left w:w="20" w:type="dxa"/>
              <w:right w:w="20" w:type="dxa"/>
            </w:tcMar>
            <w:vAlign w:val="bottom"/>
          </w:tcPr>
          <w:p w14:paraId="33DAD73F"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740"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D741" w14:textId="77777777" w:rsidR="004D6A64" w:rsidRDefault="004D6A64">
            <w:pPr>
              <w:rPr>
                <w:rFonts w:ascii="宋体"/>
              </w:rPr>
            </w:pPr>
          </w:p>
        </w:tc>
        <w:tc>
          <w:tcPr>
            <w:tcW w:w="0" w:type="auto"/>
            <w:shd w:val="clear" w:color="auto" w:fill="auto"/>
          </w:tcPr>
          <w:p w14:paraId="33DAD742" w14:textId="77777777" w:rsidR="004D6A64" w:rsidRDefault="004D6A64">
            <w:pPr>
              <w:rPr>
                <w:rFonts w:ascii="宋体"/>
              </w:rPr>
            </w:pPr>
          </w:p>
        </w:tc>
        <w:tc>
          <w:tcPr>
            <w:tcW w:w="0" w:type="auto"/>
            <w:shd w:val="clear" w:color="auto" w:fill="auto"/>
          </w:tcPr>
          <w:p w14:paraId="33DAD743" w14:textId="77777777" w:rsidR="004D6A64" w:rsidRDefault="004D6A64">
            <w:pPr>
              <w:rPr>
                <w:rFonts w:ascii="宋体"/>
              </w:rPr>
            </w:pPr>
          </w:p>
        </w:tc>
        <w:tc>
          <w:tcPr>
            <w:tcW w:w="0" w:type="auto"/>
            <w:shd w:val="clear" w:color="auto" w:fill="auto"/>
          </w:tcPr>
          <w:p w14:paraId="33DAD744" w14:textId="77777777" w:rsidR="004D6A64" w:rsidRDefault="004D6A64">
            <w:pPr>
              <w:rPr>
                <w:rFonts w:ascii="宋体"/>
              </w:rPr>
            </w:pPr>
          </w:p>
        </w:tc>
        <w:tc>
          <w:tcPr>
            <w:tcW w:w="0" w:type="auto"/>
            <w:shd w:val="clear" w:color="auto" w:fill="auto"/>
          </w:tcPr>
          <w:p w14:paraId="33DAD745" w14:textId="77777777" w:rsidR="004D6A64" w:rsidRDefault="004D6A64">
            <w:pPr>
              <w:rPr>
                <w:rFonts w:ascii="宋体"/>
              </w:rPr>
            </w:pPr>
          </w:p>
        </w:tc>
        <w:tc>
          <w:tcPr>
            <w:tcW w:w="0" w:type="auto"/>
            <w:shd w:val="clear" w:color="auto" w:fill="auto"/>
          </w:tcPr>
          <w:p w14:paraId="33DAD746" w14:textId="77777777" w:rsidR="004D6A64" w:rsidRDefault="004D6A64">
            <w:pPr>
              <w:rPr>
                <w:rFonts w:ascii="宋体"/>
              </w:rPr>
            </w:pPr>
          </w:p>
        </w:tc>
        <w:tc>
          <w:tcPr>
            <w:tcW w:w="0" w:type="auto"/>
            <w:shd w:val="clear" w:color="auto" w:fill="auto"/>
          </w:tcPr>
          <w:p w14:paraId="33DAD747" w14:textId="77777777" w:rsidR="004D6A64" w:rsidRDefault="004D6A64">
            <w:pPr>
              <w:rPr>
                <w:rFonts w:ascii="宋体"/>
              </w:rPr>
            </w:pPr>
          </w:p>
        </w:tc>
      </w:tr>
      <w:tr w:rsidR="004D6A64" w14:paraId="33DAD757" w14:textId="77777777">
        <w:tc>
          <w:tcPr>
            <w:tcW w:w="0" w:type="auto"/>
            <w:gridSpan w:val="3"/>
            <w:shd w:val="clear" w:color="auto" w:fill="FFFFFF"/>
            <w:tcMar>
              <w:top w:w="40" w:type="dxa"/>
              <w:left w:w="135" w:type="dxa"/>
              <w:bottom w:w="40" w:type="dxa"/>
              <w:right w:w="20" w:type="dxa"/>
            </w:tcMar>
            <w:vAlign w:val="center"/>
          </w:tcPr>
          <w:p w14:paraId="33DAD749" w14:textId="77777777" w:rsidR="004D6A64" w:rsidRDefault="00506CD6">
            <w:pPr>
              <w:textAlignment w:val="center"/>
            </w:pPr>
            <w:r>
              <w:rPr>
                <w:rFonts w:ascii="Times New Roman" w:eastAsia="宋体" w:hAnsi="Times New Roman"/>
                <w:color w:val="000000"/>
                <w:sz w:val="20"/>
                <w:szCs w:val="20"/>
              </w:rPr>
              <w:t xml:space="preserve">Deferred and other tax assets </w:t>
            </w:r>
          </w:p>
        </w:tc>
        <w:tc>
          <w:tcPr>
            <w:tcW w:w="0" w:type="auto"/>
            <w:shd w:val="clear" w:color="auto" w:fill="FFFFFF"/>
            <w:tcMar>
              <w:top w:w="40" w:type="dxa"/>
              <w:left w:w="20" w:type="dxa"/>
              <w:bottom w:w="40" w:type="dxa"/>
            </w:tcMar>
            <w:vAlign w:val="center"/>
          </w:tcPr>
          <w:p w14:paraId="33DAD74A"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D74B" w14:textId="77777777" w:rsidR="004D6A64" w:rsidRDefault="00506CD6">
            <w:pPr>
              <w:jc w:val="right"/>
              <w:textAlignment w:val="center"/>
            </w:pPr>
            <w:r>
              <w:rPr>
                <w:rFonts w:ascii="Times New Roman" w:eastAsia="宋体" w:hAnsi="Times New Roman"/>
                <w:color w:val="000000"/>
                <w:sz w:val="20"/>
                <w:szCs w:val="20"/>
              </w:rPr>
              <w:t>6,131 </w:t>
            </w:r>
          </w:p>
        </w:tc>
        <w:tc>
          <w:tcPr>
            <w:tcW w:w="0" w:type="auto"/>
            <w:shd w:val="clear" w:color="auto" w:fill="FFFFFF"/>
            <w:tcMar>
              <w:top w:w="40" w:type="dxa"/>
              <w:bottom w:w="40" w:type="dxa"/>
              <w:right w:w="20" w:type="dxa"/>
            </w:tcMar>
            <w:vAlign w:val="center"/>
          </w:tcPr>
          <w:p w14:paraId="33DAD74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74D"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D74E"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D74F" w14:textId="77777777" w:rsidR="004D6A64" w:rsidRDefault="00506CD6">
            <w:pPr>
              <w:jc w:val="right"/>
              <w:textAlignment w:val="center"/>
            </w:pPr>
            <w:r>
              <w:rPr>
                <w:rFonts w:ascii="Times New Roman" w:eastAsia="宋体" w:hAnsi="Times New Roman"/>
                <w:color w:val="000000"/>
                <w:sz w:val="20"/>
                <w:szCs w:val="20"/>
              </w:rPr>
              <w:t>5,960 </w:t>
            </w:r>
          </w:p>
        </w:tc>
        <w:tc>
          <w:tcPr>
            <w:tcW w:w="0" w:type="auto"/>
            <w:shd w:val="clear" w:color="auto" w:fill="FFFFFF"/>
            <w:tcMar>
              <w:top w:w="40" w:type="dxa"/>
              <w:bottom w:w="40" w:type="dxa"/>
              <w:right w:w="20" w:type="dxa"/>
            </w:tcMar>
            <w:vAlign w:val="center"/>
          </w:tcPr>
          <w:p w14:paraId="33DAD750" w14:textId="77777777" w:rsidR="004D6A64" w:rsidRDefault="004D6A64">
            <w:pPr>
              <w:jc w:val="right"/>
              <w:rPr>
                <w:rFonts w:ascii="宋体"/>
              </w:rPr>
            </w:pPr>
          </w:p>
        </w:tc>
        <w:tc>
          <w:tcPr>
            <w:tcW w:w="0" w:type="auto"/>
            <w:shd w:val="clear" w:color="auto" w:fill="auto"/>
          </w:tcPr>
          <w:p w14:paraId="33DAD751" w14:textId="77777777" w:rsidR="004D6A64" w:rsidRDefault="004D6A64">
            <w:pPr>
              <w:rPr>
                <w:rFonts w:ascii="宋体"/>
              </w:rPr>
            </w:pPr>
          </w:p>
        </w:tc>
        <w:tc>
          <w:tcPr>
            <w:tcW w:w="0" w:type="auto"/>
            <w:shd w:val="clear" w:color="auto" w:fill="auto"/>
          </w:tcPr>
          <w:p w14:paraId="33DAD752" w14:textId="77777777" w:rsidR="004D6A64" w:rsidRDefault="004D6A64">
            <w:pPr>
              <w:rPr>
                <w:rFonts w:ascii="宋体"/>
              </w:rPr>
            </w:pPr>
          </w:p>
        </w:tc>
        <w:tc>
          <w:tcPr>
            <w:tcW w:w="0" w:type="auto"/>
            <w:shd w:val="clear" w:color="auto" w:fill="auto"/>
          </w:tcPr>
          <w:p w14:paraId="33DAD753" w14:textId="77777777" w:rsidR="004D6A64" w:rsidRDefault="004D6A64">
            <w:pPr>
              <w:rPr>
                <w:rFonts w:ascii="宋体"/>
              </w:rPr>
            </w:pPr>
          </w:p>
        </w:tc>
        <w:tc>
          <w:tcPr>
            <w:tcW w:w="0" w:type="auto"/>
            <w:shd w:val="clear" w:color="auto" w:fill="auto"/>
          </w:tcPr>
          <w:p w14:paraId="33DAD754" w14:textId="77777777" w:rsidR="004D6A64" w:rsidRDefault="004D6A64">
            <w:pPr>
              <w:rPr>
                <w:rFonts w:ascii="宋体"/>
              </w:rPr>
            </w:pPr>
          </w:p>
        </w:tc>
        <w:tc>
          <w:tcPr>
            <w:tcW w:w="0" w:type="auto"/>
            <w:shd w:val="clear" w:color="auto" w:fill="auto"/>
          </w:tcPr>
          <w:p w14:paraId="33DAD755" w14:textId="77777777" w:rsidR="004D6A64" w:rsidRDefault="004D6A64">
            <w:pPr>
              <w:rPr>
                <w:rFonts w:ascii="宋体"/>
              </w:rPr>
            </w:pPr>
          </w:p>
        </w:tc>
        <w:tc>
          <w:tcPr>
            <w:tcW w:w="0" w:type="auto"/>
            <w:shd w:val="clear" w:color="auto" w:fill="auto"/>
          </w:tcPr>
          <w:p w14:paraId="33DAD756" w14:textId="77777777" w:rsidR="004D6A64" w:rsidRDefault="004D6A64">
            <w:pPr>
              <w:rPr>
                <w:rFonts w:ascii="宋体"/>
              </w:rPr>
            </w:pPr>
          </w:p>
        </w:tc>
      </w:tr>
      <w:tr w:rsidR="004D6A64" w14:paraId="33DAD764" w14:textId="77777777">
        <w:tc>
          <w:tcPr>
            <w:tcW w:w="0" w:type="auto"/>
            <w:gridSpan w:val="3"/>
            <w:shd w:val="clear" w:color="auto" w:fill="CCEEFF"/>
            <w:tcMar>
              <w:top w:w="40" w:type="dxa"/>
              <w:left w:w="135" w:type="dxa"/>
              <w:bottom w:w="40" w:type="dxa"/>
              <w:right w:w="20" w:type="dxa"/>
            </w:tcMar>
            <w:vAlign w:val="center"/>
          </w:tcPr>
          <w:p w14:paraId="33DAD758" w14:textId="77777777" w:rsidR="004D6A64" w:rsidRDefault="00506CD6">
            <w:pPr>
              <w:textAlignment w:val="center"/>
            </w:pPr>
            <w:r>
              <w:rPr>
                <w:rFonts w:ascii="Times New Roman" w:eastAsia="宋体" w:hAnsi="Times New Roman"/>
                <w:color w:val="000000"/>
                <w:sz w:val="20"/>
                <w:szCs w:val="20"/>
              </w:rPr>
              <w:t xml:space="preserve">Operating lease ROU assets </w:t>
            </w:r>
          </w:p>
        </w:tc>
        <w:tc>
          <w:tcPr>
            <w:tcW w:w="0" w:type="auto"/>
            <w:gridSpan w:val="2"/>
            <w:shd w:val="clear" w:color="auto" w:fill="CCEEFF"/>
            <w:tcMar>
              <w:top w:w="40" w:type="dxa"/>
              <w:left w:w="20" w:type="dxa"/>
              <w:bottom w:w="40" w:type="dxa"/>
              <w:right w:w="0" w:type="dxa"/>
            </w:tcMar>
            <w:vAlign w:val="center"/>
          </w:tcPr>
          <w:p w14:paraId="33DAD759" w14:textId="77777777" w:rsidR="004D6A64" w:rsidRDefault="00506CD6">
            <w:pPr>
              <w:jc w:val="right"/>
              <w:textAlignment w:val="center"/>
            </w:pPr>
            <w:r>
              <w:rPr>
                <w:rFonts w:ascii="Times New Roman" w:eastAsia="宋体" w:hAnsi="Times New Roman"/>
                <w:color w:val="000000"/>
                <w:sz w:val="20"/>
                <w:szCs w:val="20"/>
              </w:rPr>
              <w:t>1,787 </w:t>
            </w:r>
          </w:p>
        </w:tc>
        <w:tc>
          <w:tcPr>
            <w:tcW w:w="0" w:type="auto"/>
            <w:shd w:val="clear" w:color="auto" w:fill="CCEEFF"/>
            <w:tcMar>
              <w:top w:w="40" w:type="dxa"/>
              <w:bottom w:w="40" w:type="dxa"/>
              <w:right w:w="20" w:type="dxa"/>
            </w:tcMar>
            <w:vAlign w:val="center"/>
          </w:tcPr>
          <w:p w14:paraId="33DAD75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75B"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75C" w14:textId="77777777" w:rsidR="004D6A64" w:rsidRDefault="00506CD6">
            <w:pPr>
              <w:jc w:val="right"/>
              <w:textAlignment w:val="center"/>
            </w:pPr>
            <w:r>
              <w:rPr>
                <w:rFonts w:ascii="Times New Roman" w:eastAsia="宋体" w:hAnsi="Times New Roman"/>
                <w:color w:val="000000"/>
                <w:sz w:val="20"/>
                <w:szCs w:val="20"/>
              </w:rPr>
              <w:t>1,780 </w:t>
            </w:r>
          </w:p>
        </w:tc>
        <w:tc>
          <w:tcPr>
            <w:tcW w:w="0" w:type="auto"/>
            <w:shd w:val="clear" w:color="auto" w:fill="CCEEFF"/>
            <w:tcMar>
              <w:top w:w="40" w:type="dxa"/>
              <w:bottom w:w="40" w:type="dxa"/>
              <w:right w:w="20" w:type="dxa"/>
            </w:tcMar>
            <w:vAlign w:val="center"/>
          </w:tcPr>
          <w:p w14:paraId="33DAD75D" w14:textId="77777777" w:rsidR="004D6A64" w:rsidRDefault="004D6A64">
            <w:pPr>
              <w:jc w:val="right"/>
              <w:rPr>
                <w:rFonts w:ascii="宋体"/>
              </w:rPr>
            </w:pPr>
          </w:p>
        </w:tc>
        <w:tc>
          <w:tcPr>
            <w:tcW w:w="0" w:type="auto"/>
            <w:shd w:val="clear" w:color="auto" w:fill="auto"/>
          </w:tcPr>
          <w:p w14:paraId="33DAD75E" w14:textId="77777777" w:rsidR="004D6A64" w:rsidRDefault="004D6A64">
            <w:pPr>
              <w:rPr>
                <w:rFonts w:ascii="宋体"/>
              </w:rPr>
            </w:pPr>
          </w:p>
        </w:tc>
        <w:tc>
          <w:tcPr>
            <w:tcW w:w="0" w:type="auto"/>
            <w:shd w:val="clear" w:color="auto" w:fill="auto"/>
          </w:tcPr>
          <w:p w14:paraId="33DAD75F" w14:textId="77777777" w:rsidR="004D6A64" w:rsidRDefault="004D6A64">
            <w:pPr>
              <w:rPr>
                <w:rFonts w:ascii="宋体"/>
              </w:rPr>
            </w:pPr>
          </w:p>
        </w:tc>
        <w:tc>
          <w:tcPr>
            <w:tcW w:w="0" w:type="auto"/>
            <w:shd w:val="clear" w:color="auto" w:fill="auto"/>
          </w:tcPr>
          <w:p w14:paraId="33DAD760" w14:textId="77777777" w:rsidR="004D6A64" w:rsidRDefault="004D6A64">
            <w:pPr>
              <w:rPr>
                <w:rFonts w:ascii="宋体"/>
              </w:rPr>
            </w:pPr>
          </w:p>
        </w:tc>
        <w:tc>
          <w:tcPr>
            <w:tcW w:w="0" w:type="auto"/>
            <w:shd w:val="clear" w:color="auto" w:fill="auto"/>
          </w:tcPr>
          <w:p w14:paraId="33DAD761" w14:textId="77777777" w:rsidR="004D6A64" w:rsidRDefault="004D6A64">
            <w:pPr>
              <w:rPr>
                <w:rFonts w:ascii="宋体"/>
              </w:rPr>
            </w:pPr>
          </w:p>
        </w:tc>
        <w:tc>
          <w:tcPr>
            <w:tcW w:w="0" w:type="auto"/>
            <w:shd w:val="clear" w:color="auto" w:fill="auto"/>
          </w:tcPr>
          <w:p w14:paraId="33DAD762" w14:textId="77777777" w:rsidR="004D6A64" w:rsidRDefault="004D6A64">
            <w:pPr>
              <w:rPr>
                <w:rFonts w:ascii="宋体"/>
              </w:rPr>
            </w:pPr>
          </w:p>
        </w:tc>
        <w:tc>
          <w:tcPr>
            <w:tcW w:w="0" w:type="auto"/>
            <w:shd w:val="clear" w:color="auto" w:fill="auto"/>
          </w:tcPr>
          <w:p w14:paraId="33DAD763" w14:textId="77777777" w:rsidR="004D6A64" w:rsidRDefault="004D6A64">
            <w:pPr>
              <w:rPr>
                <w:rFonts w:ascii="宋体"/>
              </w:rPr>
            </w:pPr>
          </w:p>
        </w:tc>
      </w:tr>
      <w:tr w:rsidR="004D6A64" w14:paraId="33DAD771" w14:textId="77777777">
        <w:tc>
          <w:tcPr>
            <w:tcW w:w="0" w:type="auto"/>
            <w:gridSpan w:val="3"/>
            <w:shd w:val="clear" w:color="auto" w:fill="FFFFFF"/>
            <w:tcMar>
              <w:top w:w="40" w:type="dxa"/>
              <w:left w:w="135" w:type="dxa"/>
              <w:bottom w:w="40" w:type="dxa"/>
              <w:right w:w="20" w:type="dxa"/>
            </w:tcMar>
            <w:vAlign w:val="center"/>
          </w:tcPr>
          <w:p w14:paraId="33DAD765" w14:textId="77777777" w:rsidR="004D6A64" w:rsidRDefault="00506CD6">
            <w:pPr>
              <w:textAlignment w:val="center"/>
            </w:pPr>
            <w:r>
              <w:rPr>
                <w:rFonts w:ascii="Times New Roman" w:eastAsia="宋体" w:hAnsi="Times New Roman"/>
                <w:color w:val="000000"/>
                <w:sz w:val="20"/>
                <w:szCs w:val="20"/>
              </w:rPr>
              <w:t>Deferred Commissions</w:t>
            </w:r>
          </w:p>
        </w:tc>
        <w:tc>
          <w:tcPr>
            <w:tcW w:w="0" w:type="auto"/>
            <w:gridSpan w:val="2"/>
            <w:shd w:val="clear" w:color="auto" w:fill="FFFFFF"/>
            <w:tcMar>
              <w:top w:w="40" w:type="dxa"/>
              <w:left w:w="20" w:type="dxa"/>
              <w:bottom w:w="40" w:type="dxa"/>
              <w:right w:w="0" w:type="dxa"/>
            </w:tcMar>
            <w:vAlign w:val="center"/>
          </w:tcPr>
          <w:p w14:paraId="33DAD766" w14:textId="77777777" w:rsidR="004D6A64" w:rsidRDefault="00506CD6">
            <w:pPr>
              <w:jc w:val="right"/>
              <w:textAlignment w:val="center"/>
            </w:pPr>
            <w:r>
              <w:rPr>
                <w:rFonts w:ascii="Times New Roman" w:eastAsia="宋体" w:hAnsi="Times New Roman"/>
                <w:color w:val="000000"/>
                <w:sz w:val="20"/>
                <w:szCs w:val="20"/>
              </w:rPr>
              <w:t>1,025 </w:t>
            </w:r>
          </w:p>
        </w:tc>
        <w:tc>
          <w:tcPr>
            <w:tcW w:w="0" w:type="auto"/>
            <w:shd w:val="clear" w:color="auto" w:fill="FFFFFF"/>
            <w:tcMar>
              <w:top w:w="40" w:type="dxa"/>
              <w:bottom w:w="40" w:type="dxa"/>
              <w:right w:w="20" w:type="dxa"/>
            </w:tcMar>
            <w:vAlign w:val="center"/>
          </w:tcPr>
          <w:p w14:paraId="33DAD76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768"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769" w14:textId="77777777" w:rsidR="004D6A64" w:rsidRDefault="00506CD6">
            <w:pPr>
              <w:jc w:val="right"/>
              <w:textAlignment w:val="center"/>
            </w:pPr>
            <w:r>
              <w:rPr>
                <w:rFonts w:ascii="Times New Roman" w:eastAsia="宋体" w:hAnsi="Times New Roman"/>
                <w:color w:val="000000"/>
                <w:sz w:val="20"/>
                <w:szCs w:val="20"/>
              </w:rPr>
              <w:t>998 </w:t>
            </w:r>
          </w:p>
        </w:tc>
        <w:tc>
          <w:tcPr>
            <w:tcW w:w="0" w:type="auto"/>
            <w:shd w:val="clear" w:color="auto" w:fill="FFFFFF"/>
            <w:tcMar>
              <w:top w:w="40" w:type="dxa"/>
              <w:bottom w:w="40" w:type="dxa"/>
              <w:right w:w="20" w:type="dxa"/>
            </w:tcMar>
            <w:vAlign w:val="center"/>
          </w:tcPr>
          <w:p w14:paraId="33DAD76A" w14:textId="77777777" w:rsidR="004D6A64" w:rsidRDefault="004D6A64">
            <w:pPr>
              <w:jc w:val="right"/>
              <w:rPr>
                <w:rFonts w:ascii="宋体"/>
              </w:rPr>
            </w:pPr>
          </w:p>
        </w:tc>
        <w:tc>
          <w:tcPr>
            <w:tcW w:w="0" w:type="auto"/>
            <w:shd w:val="clear" w:color="auto" w:fill="auto"/>
          </w:tcPr>
          <w:p w14:paraId="33DAD76B" w14:textId="77777777" w:rsidR="004D6A64" w:rsidRDefault="004D6A64">
            <w:pPr>
              <w:rPr>
                <w:rFonts w:ascii="宋体"/>
              </w:rPr>
            </w:pPr>
          </w:p>
        </w:tc>
        <w:tc>
          <w:tcPr>
            <w:tcW w:w="0" w:type="auto"/>
            <w:shd w:val="clear" w:color="auto" w:fill="auto"/>
          </w:tcPr>
          <w:p w14:paraId="33DAD76C" w14:textId="77777777" w:rsidR="004D6A64" w:rsidRDefault="004D6A64">
            <w:pPr>
              <w:rPr>
                <w:rFonts w:ascii="宋体"/>
              </w:rPr>
            </w:pPr>
          </w:p>
        </w:tc>
        <w:tc>
          <w:tcPr>
            <w:tcW w:w="0" w:type="auto"/>
            <w:shd w:val="clear" w:color="auto" w:fill="auto"/>
          </w:tcPr>
          <w:p w14:paraId="33DAD76D" w14:textId="77777777" w:rsidR="004D6A64" w:rsidRDefault="004D6A64">
            <w:pPr>
              <w:rPr>
                <w:rFonts w:ascii="宋体"/>
              </w:rPr>
            </w:pPr>
          </w:p>
        </w:tc>
        <w:tc>
          <w:tcPr>
            <w:tcW w:w="0" w:type="auto"/>
            <w:shd w:val="clear" w:color="auto" w:fill="auto"/>
          </w:tcPr>
          <w:p w14:paraId="33DAD76E" w14:textId="77777777" w:rsidR="004D6A64" w:rsidRDefault="004D6A64">
            <w:pPr>
              <w:rPr>
                <w:rFonts w:ascii="宋体"/>
              </w:rPr>
            </w:pPr>
          </w:p>
        </w:tc>
        <w:tc>
          <w:tcPr>
            <w:tcW w:w="0" w:type="auto"/>
            <w:shd w:val="clear" w:color="auto" w:fill="auto"/>
          </w:tcPr>
          <w:p w14:paraId="33DAD76F" w14:textId="77777777" w:rsidR="004D6A64" w:rsidRDefault="004D6A64">
            <w:pPr>
              <w:rPr>
                <w:rFonts w:ascii="宋体"/>
              </w:rPr>
            </w:pPr>
          </w:p>
        </w:tc>
        <w:tc>
          <w:tcPr>
            <w:tcW w:w="0" w:type="auto"/>
            <w:shd w:val="clear" w:color="auto" w:fill="auto"/>
          </w:tcPr>
          <w:p w14:paraId="33DAD770" w14:textId="77777777" w:rsidR="004D6A64" w:rsidRDefault="004D6A64">
            <w:pPr>
              <w:rPr>
                <w:rFonts w:ascii="宋体"/>
              </w:rPr>
            </w:pPr>
          </w:p>
        </w:tc>
      </w:tr>
      <w:tr w:rsidR="004D6A64" w14:paraId="33DAD77E" w14:textId="77777777">
        <w:tc>
          <w:tcPr>
            <w:tcW w:w="0" w:type="auto"/>
            <w:gridSpan w:val="3"/>
            <w:shd w:val="clear" w:color="auto" w:fill="CCEEFF"/>
            <w:tcMar>
              <w:top w:w="40" w:type="dxa"/>
              <w:left w:w="135" w:type="dxa"/>
              <w:bottom w:w="40" w:type="dxa"/>
              <w:right w:w="20" w:type="dxa"/>
            </w:tcMar>
            <w:vAlign w:val="center"/>
          </w:tcPr>
          <w:p w14:paraId="33DAD772" w14:textId="77777777" w:rsidR="004D6A64" w:rsidRDefault="00506CD6">
            <w:pPr>
              <w:textAlignment w:val="center"/>
            </w:pPr>
            <w:r>
              <w:rPr>
                <w:rFonts w:ascii="Times New Roman" w:eastAsia="宋体" w:hAnsi="Times New Roman"/>
                <w:color w:val="000000"/>
                <w:sz w:val="20"/>
                <w:szCs w:val="20"/>
              </w:rPr>
              <w:t>Other</w:t>
            </w:r>
          </w:p>
        </w:tc>
        <w:tc>
          <w:tcPr>
            <w:tcW w:w="0" w:type="auto"/>
            <w:gridSpan w:val="2"/>
            <w:shd w:val="clear" w:color="auto" w:fill="CCEEFF"/>
            <w:tcMar>
              <w:top w:w="40" w:type="dxa"/>
              <w:left w:w="20" w:type="dxa"/>
              <w:bottom w:w="40" w:type="dxa"/>
              <w:right w:w="0" w:type="dxa"/>
            </w:tcMar>
            <w:vAlign w:val="center"/>
          </w:tcPr>
          <w:p w14:paraId="33DAD773" w14:textId="77777777" w:rsidR="004D6A64" w:rsidRDefault="00506CD6">
            <w:pPr>
              <w:jc w:val="right"/>
              <w:textAlignment w:val="center"/>
            </w:pPr>
            <w:r>
              <w:rPr>
                <w:rFonts w:ascii="Times New Roman" w:eastAsia="宋体" w:hAnsi="Times New Roman"/>
                <w:color w:val="000000"/>
                <w:sz w:val="20"/>
                <w:szCs w:val="20"/>
              </w:rPr>
              <w:t>1,704 </w:t>
            </w:r>
          </w:p>
        </w:tc>
        <w:tc>
          <w:tcPr>
            <w:tcW w:w="0" w:type="auto"/>
            <w:shd w:val="clear" w:color="auto" w:fill="CCEEFF"/>
            <w:tcMar>
              <w:top w:w="40" w:type="dxa"/>
              <w:bottom w:w="40" w:type="dxa"/>
              <w:right w:w="20" w:type="dxa"/>
            </w:tcMar>
            <w:vAlign w:val="center"/>
          </w:tcPr>
          <w:p w14:paraId="33DAD77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77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776" w14:textId="77777777" w:rsidR="004D6A64" w:rsidRDefault="00506CD6">
            <w:pPr>
              <w:jc w:val="right"/>
              <w:textAlignment w:val="center"/>
            </w:pPr>
            <w:r>
              <w:rPr>
                <w:rFonts w:ascii="Times New Roman" w:eastAsia="宋体" w:hAnsi="Times New Roman"/>
                <w:color w:val="000000"/>
                <w:sz w:val="20"/>
                <w:szCs w:val="20"/>
              </w:rPr>
              <w:t>1,690 </w:t>
            </w:r>
          </w:p>
        </w:tc>
        <w:tc>
          <w:tcPr>
            <w:tcW w:w="0" w:type="auto"/>
            <w:shd w:val="clear" w:color="auto" w:fill="CCEEFF"/>
            <w:tcMar>
              <w:top w:w="40" w:type="dxa"/>
              <w:bottom w:w="40" w:type="dxa"/>
              <w:right w:w="20" w:type="dxa"/>
            </w:tcMar>
            <w:vAlign w:val="center"/>
          </w:tcPr>
          <w:p w14:paraId="33DAD777" w14:textId="77777777" w:rsidR="004D6A64" w:rsidRDefault="004D6A64">
            <w:pPr>
              <w:jc w:val="right"/>
              <w:rPr>
                <w:rFonts w:ascii="宋体"/>
              </w:rPr>
            </w:pPr>
          </w:p>
        </w:tc>
        <w:tc>
          <w:tcPr>
            <w:tcW w:w="0" w:type="auto"/>
            <w:shd w:val="clear" w:color="auto" w:fill="auto"/>
          </w:tcPr>
          <w:p w14:paraId="33DAD778" w14:textId="77777777" w:rsidR="004D6A64" w:rsidRDefault="004D6A64">
            <w:pPr>
              <w:rPr>
                <w:rFonts w:ascii="宋体"/>
              </w:rPr>
            </w:pPr>
          </w:p>
        </w:tc>
        <w:tc>
          <w:tcPr>
            <w:tcW w:w="0" w:type="auto"/>
            <w:shd w:val="clear" w:color="auto" w:fill="auto"/>
          </w:tcPr>
          <w:p w14:paraId="33DAD779" w14:textId="77777777" w:rsidR="004D6A64" w:rsidRDefault="004D6A64">
            <w:pPr>
              <w:rPr>
                <w:rFonts w:ascii="宋体"/>
              </w:rPr>
            </w:pPr>
          </w:p>
        </w:tc>
        <w:tc>
          <w:tcPr>
            <w:tcW w:w="0" w:type="auto"/>
            <w:shd w:val="clear" w:color="auto" w:fill="auto"/>
          </w:tcPr>
          <w:p w14:paraId="33DAD77A" w14:textId="77777777" w:rsidR="004D6A64" w:rsidRDefault="004D6A64">
            <w:pPr>
              <w:rPr>
                <w:rFonts w:ascii="宋体"/>
              </w:rPr>
            </w:pPr>
          </w:p>
        </w:tc>
        <w:tc>
          <w:tcPr>
            <w:tcW w:w="0" w:type="auto"/>
            <w:shd w:val="clear" w:color="auto" w:fill="auto"/>
          </w:tcPr>
          <w:p w14:paraId="33DAD77B" w14:textId="77777777" w:rsidR="004D6A64" w:rsidRDefault="004D6A64">
            <w:pPr>
              <w:rPr>
                <w:rFonts w:ascii="宋体"/>
              </w:rPr>
            </w:pPr>
          </w:p>
        </w:tc>
        <w:tc>
          <w:tcPr>
            <w:tcW w:w="0" w:type="auto"/>
            <w:shd w:val="clear" w:color="auto" w:fill="auto"/>
          </w:tcPr>
          <w:p w14:paraId="33DAD77C" w14:textId="77777777" w:rsidR="004D6A64" w:rsidRDefault="004D6A64">
            <w:pPr>
              <w:rPr>
                <w:rFonts w:ascii="宋体"/>
              </w:rPr>
            </w:pPr>
          </w:p>
        </w:tc>
        <w:tc>
          <w:tcPr>
            <w:tcW w:w="0" w:type="auto"/>
            <w:shd w:val="clear" w:color="auto" w:fill="auto"/>
          </w:tcPr>
          <w:p w14:paraId="33DAD77D" w14:textId="77777777" w:rsidR="004D6A64" w:rsidRDefault="004D6A64">
            <w:pPr>
              <w:rPr>
                <w:rFonts w:ascii="宋体"/>
              </w:rPr>
            </w:pPr>
          </w:p>
        </w:tc>
      </w:tr>
      <w:tr w:rsidR="004D6A64" w14:paraId="33DAD78D" w14:textId="77777777">
        <w:tc>
          <w:tcPr>
            <w:tcW w:w="0" w:type="auto"/>
            <w:gridSpan w:val="3"/>
            <w:shd w:val="clear" w:color="auto" w:fill="FFFFFF"/>
            <w:tcMar>
              <w:top w:w="40" w:type="dxa"/>
              <w:left w:w="225" w:type="dxa"/>
              <w:bottom w:w="40" w:type="dxa"/>
              <w:right w:w="20" w:type="dxa"/>
            </w:tcMar>
            <w:vAlign w:val="center"/>
          </w:tcPr>
          <w:p w14:paraId="33DAD77F" w14:textId="77777777" w:rsidR="004D6A64" w:rsidRDefault="00506CD6">
            <w:pPr>
              <w:textAlignment w:val="center"/>
            </w:pPr>
            <w:r>
              <w:rPr>
                <w:rFonts w:ascii="Times New Roman" w:eastAsia="宋体" w:hAnsi="Times New Roman"/>
                <w:color w:val="000000"/>
                <w:sz w:val="20"/>
                <w:szCs w:val="20"/>
              </w:rPr>
              <w:t>Total other non-current assets</w:t>
            </w:r>
          </w:p>
        </w:tc>
        <w:tc>
          <w:tcPr>
            <w:tcW w:w="0" w:type="auto"/>
            <w:tcBorders>
              <w:top w:val="single" w:sz="8" w:space="0" w:color="000000"/>
            </w:tcBorders>
            <w:shd w:val="clear" w:color="auto" w:fill="FFFFFF"/>
            <w:tcMar>
              <w:top w:w="40" w:type="dxa"/>
              <w:left w:w="20" w:type="dxa"/>
              <w:bottom w:w="40" w:type="dxa"/>
            </w:tcMar>
            <w:vAlign w:val="center"/>
          </w:tcPr>
          <w:p w14:paraId="33DAD780"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D781" w14:textId="77777777" w:rsidR="004D6A64" w:rsidRDefault="00506CD6">
            <w:pPr>
              <w:jc w:val="right"/>
              <w:textAlignment w:val="center"/>
            </w:pPr>
            <w:r>
              <w:rPr>
                <w:rFonts w:ascii="Times New Roman" w:eastAsia="宋体" w:hAnsi="Times New Roman"/>
                <w:color w:val="000000"/>
                <w:sz w:val="20"/>
                <w:szCs w:val="20"/>
              </w:rPr>
              <w:t>10,647 </w:t>
            </w:r>
          </w:p>
        </w:tc>
        <w:tc>
          <w:tcPr>
            <w:tcW w:w="0" w:type="auto"/>
            <w:tcBorders>
              <w:top w:val="single" w:sz="8" w:space="0" w:color="000000"/>
            </w:tcBorders>
            <w:shd w:val="clear" w:color="auto" w:fill="FFFFFF"/>
            <w:tcMar>
              <w:top w:w="40" w:type="dxa"/>
              <w:bottom w:w="40" w:type="dxa"/>
              <w:right w:w="20" w:type="dxa"/>
            </w:tcMar>
            <w:vAlign w:val="center"/>
          </w:tcPr>
          <w:p w14:paraId="33DAD78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783"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D784"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D785" w14:textId="77777777" w:rsidR="004D6A64" w:rsidRDefault="00506CD6">
            <w:pPr>
              <w:jc w:val="right"/>
              <w:textAlignment w:val="center"/>
            </w:pPr>
            <w:r>
              <w:rPr>
                <w:rFonts w:ascii="Times New Roman" w:eastAsia="宋体" w:hAnsi="Times New Roman"/>
                <w:color w:val="000000"/>
                <w:sz w:val="20"/>
                <w:szCs w:val="20"/>
              </w:rPr>
              <w:t>10,428 </w:t>
            </w:r>
          </w:p>
        </w:tc>
        <w:tc>
          <w:tcPr>
            <w:tcW w:w="0" w:type="auto"/>
            <w:tcBorders>
              <w:top w:val="single" w:sz="8" w:space="0" w:color="000000"/>
            </w:tcBorders>
            <w:shd w:val="clear" w:color="auto" w:fill="FFFFFF"/>
            <w:tcMar>
              <w:top w:w="40" w:type="dxa"/>
              <w:bottom w:w="40" w:type="dxa"/>
              <w:right w:w="20" w:type="dxa"/>
            </w:tcMar>
            <w:vAlign w:val="center"/>
          </w:tcPr>
          <w:p w14:paraId="33DAD786" w14:textId="77777777" w:rsidR="004D6A64" w:rsidRDefault="004D6A64">
            <w:pPr>
              <w:jc w:val="right"/>
              <w:rPr>
                <w:rFonts w:ascii="宋体"/>
              </w:rPr>
            </w:pPr>
          </w:p>
        </w:tc>
        <w:tc>
          <w:tcPr>
            <w:tcW w:w="0" w:type="auto"/>
            <w:shd w:val="clear" w:color="auto" w:fill="auto"/>
          </w:tcPr>
          <w:p w14:paraId="33DAD787" w14:textId="77777777" w:rsidR="004D6A64" w:rsidRDefault="004D6A64">
            <w:pPr>
              <w:rPr>
                <w:rFonts w:ascii="宋体"/>
              </w:rPr>
            </w:pPr>
          </w:p>
        </w:tc>
        <w:tc>
          <w:tcPr>
            <w:tcW w:w="0" w:type="auto"/>
            <w:shd w:val="clear" w:color="auto" w:fill="auto"/>
          </w:tcPr>
          <w:p w14:paraId="33DAD788" w14:textId="77777777" w:rsidR="004D6A64" w:rsidRDefault="004D6A64">
            <w:pPr>
              <w:rPr>
                <w:rFonts w:ascii="宋体"/>
              </w:rPr>
            </w:pPr>
          </w:p>
        </w:tc>
        <w:tc>
          <w:tcPr>
            <w:tcW w:w="0" w:type="auto"/>
            <w:shd w:val="clear" w:color="auto" w:fill="auto"/>
          </w:tcPr>
          <w:p w14:paraId="33DAD789" w14:textId="77777777" w:rsidR="004D6A64" w:rsidRDefault="004D6A64">
            <w:pPr>
              <w:rPr>
                <w:rFonts w:ascii="宋体"/>
              </w:rPr>
            </w:pPr>
          </w:p>
        </w:tc>
        <w:tc>
          <w:tcPr>
            <w:tcW w:w="0" w:type="auto"/>
            <w:shd w:val="clear" w:color="auto" w:fill="auto"/>
          </w:tcPr>
          <w:p w14:paraId="33DAD78A" w14:textId="77777777" w:rsidR="004D6A64" w:rsidRDefault="004D6A64">
            <w:pPr>
              <w:rPr>
                <w:rFonts w:ascii="宋体"/>
              </w:rPr>
            </w:pPr>
          </w:p>
        </w:tc>
        <w:tc>
          <w:tcPr>
            <w:tcW w:w="0" w:type="auto"/>
            <w:shd w:val="clear" w:color="auto" w:fill="auto"/>
          </w:tcPr>
          <w:p w14:paraId="33DAD78B" w14:textId="77777777" w:rsidR="004D6A64" w:rsidRDefault="004D6A64">
            <w:pPr>
              <w:rPr>
                <w:rFonts w:ascii="宋体"/>
              </w:rPr>
            </w:pPr>
          </w:p>
        </w:tc>
        <w:tc>
          <w:tcPr>
            <w:tcW w:w="0" w:type="auto"/>
            <w:shd w:val="clear" w:color="auto" w:fill="auto"/>
          </w:tcPr>
          <w:p w14:paraId="33DAD78C" w14:textId="77777777" w:rsidR="004D6A64" w:rsidRDefault="004D6A64">
            <w:pPr>
              <w:rPr>
                <w:rFonts w:ascii="宋体"/>
              </w:rPr>
            </w:pPr>
          </w:p>
        </w:tc>
      </w:tr>
      <w:tr w:rsidR="004D6A64" w14:paraId="33DAD798" w14:textId="77777777">
        <w:tc>
          <w:tcPr>
            <w:tcW w:w="0" w:type="auto"/>
            <w:gridSpan w:val="3"/>
            <w:shd w:val="clear" w:color="auto" w:fill="CCEEFF"/>
            <w:tcMar>
              <w:top w:w="40" w:type="dxa"/>
              <w:left w:w="20" w:type="dxa"/>
              <w:bottom w:w="40" w:type="dxa"/>
              <w:right w:w="20" w:type="dxa"/>
            </w:tcMar>
            <w:vAlign w:val="center"/>
          </w:tcPr>
          <w:p w14:paraId="33DAD78E" w14:textId="77777777" w:rsidR="004D6A64" w:rsidRDefault="00506CD6">
            <w:pPr>
              <w:textAlignment w:val="center"/>
            </w:pPr>
            <w:r>
              <w:rPr>
                <w:rFonts w:ascii="Times New Roman" w:eastAsia="宋体" w:hAnsi="Times New Roman"/>
                <w:i/>
                <w:iCs/>
                <w:color w:val="000000"/>
                <w:sz w:val="20"/>
                <w:szCs w:val="20"/>
              </w:rPr>
              <w:t xml:space="preserve">Other </w:t>
            </w:r>
            <w:r>
              <w:rPr>
                <w:rFonts w:ascii="Times New Roman" w:eastAsia="宋体" w:hAnsi="Times New Roman"/>
                <w:i/>
                <w:iCs/>
                <w:color w:val="000000"/>
                <w:sz w:val="20"/>
                <w:szCs w:val="20"/>
              </w:rPr>
              <w:t>non-current liabilities:</w:t>
            </w:r>
          </w:p>
        </w:tc>
        <w:tc>
          <w:tcPr>
            <w:tcW w:w="0" w:type="auto"/>
            <w:gridSpan w:val="3"/>
            <w:tcBorders>
              <w:top w:val="double" w:sz="6" w:space="0" w:color="000000"/>
            </w:tcBorders>
            <w:shd w:val="clear" w:color="auto" w:fill="CCEEFF"/>
            <w:tcMar>
              <w:left w:w="20" w:type="dxa"/>
              <w:right w:w="20" w:type="dxa"/>
            </w:tcMar>
            <w:vAlign w:val="bottom"/>
          </w:tcPr>
          <w:p w14:paraId="33DAD78F"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790"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D791" w14:textId="77777777" w:rsidR="004D6A64" w:rsidRDefault="004D6A64">
            <w:pPr>
              <w:rPr>
                <w:rFonts w:ascii="宋体"/>
              </w:rPr>
            </w:pPr>
          </w:p>
        </w:tc>
        <w:tc>
          <w:tcPr>
            <w:tcW w:w="0" w:type="auto"/>
            <w:shd w:val="clear" w:color="auto" w:fill="auto"/>
          </w:tcPr>
          <w:p w14:paraId="33DAD792" w14:textId="77777777" w:rsidR="004D6A64" w:rsidRDefault="004D6A64">
            <w:pPr>
              <w:rPr>
                <w:rFonts w:ascii="宋体"/>
              </w:rPr>
            </w:pPr>
          </w:p>
        </w:tc>
        <w:tc>
          <w:tcPr>
            <w:tcW w:w="0" w:type="auto"/>
            <w:shd w:val="clear" w:color="auto" w:fill="auto"/>
          </w:tcPr>
          <w:p w14:paraId="33DAD793" w14:textId="77777777" w:rsidR="004D6A64" w:rsidRDefault="004D6A64">
            <w:pPr>
              <w:rPr>
                <w:rFonts w:ascii="宋体"/>
              </w:rPr>
            </w:pPr>
          </w:p>
        </w:tc>
        <w:tc>
          <w:tcPr>
            <w:tcW w:w="0" w:type="auto"/>
            <w:shd w:val="clear" w:color="auto" w:fill="auto"/>
          </w:tcPr>
          <w:p w14:paraId="33DAD794" w14:textId="77777777" w:rsidR="004D6A64" w:rsidRDefault="004D6A64">
            <w:pPr>
              <w:rPr>
                <w:rFonts w:ascii="宋体"/>
              </w:rPr>
            </w:pPr>
          </w:p>
        </w:tc>
        <w:tc>
          <w:tcPr>
            <w:tcW w:w="0" w:type="auto"/>
            <w:shd w:val="clear" w:color="auto" w:fill="auto"/>
          </w:tcPr>
          <w:p w14:paraId="33DAD795" w14:textId="77777777" w:rsidR="004D6A64" w:rsidRDefault="004D6A64">
            <w:pPr>
              <w:rPr>
                <w:rFonts w:ascii="宋体"/>
              </w:rPr>
            </w:pPr>
          </w:p>
        </w:tc>
        <w:tc>
          <w:tcPr>
            <w:tcW w:w="0" w:type="auto"/>
            <w:shd w:val="clear" w:color="auto" w:fill="auto"/>
          </w:tcPr>
          <w:p w14:paraId="33DAD796" w14:textId="77777777" w:rsidR="004D6A64" w:rsidRDefault="004D6A64">
            <w:pPr>
              <w:rPr>
                <w:rFonts w:ascii="宋体"/>
              </w:rPr>
            </w:pPr>
          </w:p>
        </w:tc>
        <w:tc>
          <w:tcPr>
            <w:tcW w:w="0" w:type="auto"/>
            <w:shd w:val="clear" w:color="auto" w:fill="auto"/>
          </w:tcPr>
          <w:p w14:paraId="33DAD797" w14:textId="77777777" w:rsidR="004D6A64" w:rsidRDefault="004D6A64">
            <w:pPr>
              <w:rPr>
                <w:rFonts w:ascii="宋体"/>
              </w:rPr>
            </w:pPr>
          </w:p>
        </w:tc>
      </w:tr>
      <w:tr w:rsidR="004D6A64" w14:paraId="33DAD7A7" w14:textId="77777777">
        <w:tc>
          <w:tcPr>
            <w:tcW w:w="0" w:type="auto"/>
            <w:gridSpan w:val="3"/>
            <w:shd w:val="clear" w:color="auto" w:fill="FFFFFF"/>
            <w:tcMar>
              <w:top w:w="40" w:type="dxa"/>
              <w:left w:w="135" w:type="dxa"/>
              <w:bottom w:w="40" w:type="dxa"/>
              <w:right w:w="20" w:type="dxa"/>
            </w:tcMar>
            <w:vAlign w:val="center"/>
          </w:tcPr>
          <w:p w14:paraId="33DAD799" w14:textId="77777777" w:rsidR="004D6A64" w:rsidRDefault="00506CD6">
            <w:pPr>
              <w:textAlignment w:val="center"/>
            </w:pPr>
            <w:r>
              <w:rPr>
                <w:rFonts w:ascii="Times New Roman" w:eastAsia="宋体" w:hAnsi="Times New Roman"/>
                <w:color w:val="000000"/>
                <w:sz w:val="20"/>
                <w:szCs w:val="20"/>
              </w:rPr>
              <w:t>Deferred and other tax liabilities</w:t>
            </w:r>
          </w:p>
        </w:tc>
        <w:tc>
          <w:tcPr>
            <w:tcW w:w="0" w:type="auto"/>
            <w:shd w:val="clear" w:color="auto" w:fill="FFFFFF"/>
            <w:tcMar>
              <w:top w:w="40" w:type="dxa"/>
              <w:left w:w="20" w:type="dxa"/>
              <w:bottom w:w="40" w:type="dxa"/>
            </w:tcMar>
            <w:vAlign w:val="center"/>
          </w:tcPr>
          <w:p w14:paraId="33DAD79A"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D79B" w14:textId="77777777" w:rsidR="004D6A64" w:rsidRDefault="00506CD6">
            <w:pPr>
              <w:jc w:val="right"/>
              <w:textAlignment w:val="center"/>
            </w:pPr>
            <w:r>
              <w:rPr>
                <w:rFonts w:ascii="Times New Roman" w:eastAsia="宋体" w:hAnsi="Times New Roman"/>
                <w:color w:val="000000"/>
                <w:sz w:val="20"/>
                <w:szCs w:val="20"/>
              </w:rPr>
              <w:t>2,010 </w:t>
            </w:r>
          </w:p>
        </w:tc>
        <w:tc>
          <w:tcPr>
            <w:tcW w:w="0" w:type="auto"/>
            <w:shd w:val="clear" w:color="auto" w:fill="FFFFFF"/>
            <w:tcMar>
              <w:top w:w="40" w:type="dxa"/>
              <w:bottom w:w="40" w:type="dxa"/>
              <w:right w:w="20" w:type="dxa"/>
            </w:tcMar>
            <w:vAlign w:val="center"/>
          </w:tcPr>
          <w:p w14:paraId="33DAD79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79D"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D79E"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D79F" w14:textId="77777777" w:rsidR="004D6A64" w:rsidRDefault="00506CD6">
            <w:pPr>
              <w:jc w:val="right"/>
              <w:textAlignment w:val="center"/>
            </w:pPr>
            <w:r>
              <w:rPr>
                <w:rFonts w:ascii="Times New Roman" w:eastAsia="宋体" w:hAnsi="Times New Roman"/>
                <w:color w:val="000000"/>
                <w:sz w:val="20"/>
                <w:szCs w:val="20"/>
              </w:rPr>
              <w:t>3,110 </w:t>
            </w:r>
          </w:p>
        </w:tc>
        <w:tc>
          <w:tcPr>
            <w:tcW w:w="0" w:type="auto"/>
            <w:shd w:val="clear" w:color="auto" w:fill="FFFFFF"/>
            <w:tcMar>
              <w:top w:w="40" w:type="dxa"/>
              <w:bottom w:w="40" w:type="dxa"/>
              <w:right w:w="20" w:type="dxa"/>
            </w:tcMar>
            <w:vAlign w:val="center"/>
          </w:tcPr>
          <w:p w14:paraId="33DAD7A0" w14:textId="77777777" w:rsidR="004D6A64" w:rsidRDefault="004D6A64">
            <w:pPr>
              <w:jc w:val="right"/>
              <w:rPr>
                <w:rFonts w:ascii="宋体"/>
              </w:rPr>
            </w:pPr>
          </w:p>
        </w:tc>
        <w:tc>
          <w:tcPr>
            <w:tcW w:w="0" w:type="auto"/>
            <w:shd w:val="clear" w:color="auto" w:fill="auto"/>
          </w:tcPr>
          <w:p w14:paraId="33DAD7A1" w14:textId="77777777" w:rsidR="004D6A64" w:rsidRDefault="004D6A64">
            <w:pPr>
              <w:rPr>
                <w:rFonts w:ascii="宋体"/>
              </w:rPr>
            </w:pPr>
          </w:p>
        </w:tc>
        <w:tc>
          <w:tcPr>
            <w:tcW w:w="0" w:type="auto"/>
            <w:shd w:val="clear" w:color="auto" w:fill="auto"/>
          </w:tcPr>
          <w:p w14:paraId="33DAD7A2" w14:textId="77777777" w:rsidR="004D6A64" w:rsidRDefault="004D6A64">
            <w:pPr>
              <w:rPr>
                <w:rFonts w:ascii="宋体"/>
              </w:rPr>
            </w:pPr>
          </w:p>
        </w:tc>
        <w:tc>
          <w:tcPr>
            <w:tcW w:w="0" w:type="auto"/>
            <w:shd w:val="clear" w:color="auto" w:fill="auto"/>
          </w:tcPr>
          <w:p w14:paraId="33DAD7A3" w14:textId="77777777" w:rsidR="004D6A64" w:rsidRDefault="004D6A64">
            <w:pPr>
              <w:rPr>
                <w:rFonts w:ascii="宋体"/>
              </w:rPr>
            </w:pPr>
          </w:p>
        </w:tc>
        <w:tc>
          <w:tcPr>
            <w:tcW w:w="0" w:type="auto"/>
            <w:shd w:val="clear" w:color="auto" w:fill="auto"/>
          </w:tcPr>
          <w:p w14:paraId="33DAD7A4" w14:textId="77777777" w:rsidR="004D6A64" w:rsidRDefault="004D6A64">
            <w:pPr>
              <w:rPr>
                <w:rFonts w:ascii="宋体"/>
              </w:rPr>
            </w:pPr>
          </w:p>
        </w:tc>
        <w:tc>
          <w:tcPr>
            <w:tcW w:w="0" w:type="auto"/>
            <w:shd w:val="clear" w:color="auto" w:fill="auto"/>
          </w:tcPr>
          <w:p w14:paraId="33DAD7A5" w14:textId="77777777" w:rsidR="004D6A64" w:rsidRDefault="004D6A64">
            <w:pPr>
              <w:rPr>
                <w:rFonts w:ascii="宋体"/>
              </w:rPr>
            </w:pPr>
          </w:p>
        </w:tc>
        <w:tc>
          <w:tcPr>
            <w:tcW w:w="0" w:type="auto"/>
            <w:shd w:val="clear" w:color="auto" w:fill="auto"/>
          </w:tcPr>
          <w:p w14:paraId="33DAD7A6" w14:textId="77777777" w:rsidR="004D6A64" w:rsidRDefault="004D6A64">
            <w:pPr>
              <w:rPr>
                <w:rFonts w:ascii="宋体"/>
              </w:rPr>
            </w:pPr>
          </w:p>
        </w:tc>
      </w:tr>
      <w:tr w:rsidR="004D6A64" w14:paraId="33DAD7B4" w14:textId="77777777">
        <w:tc>
          <w:tcPr>
            <w:tcW w:w="0" w:type="auto"/>
            <w:gridSpan w:val="3"/>
            <w:shd w:val="clear" w:color="auto" w:fill="CCEEFF"/>
            <w:tcMar>
              <w:top w:w="40" w:type="dxa"/>
              <w:left w:w="135" w:type="dxa"/>
              <w:bottom w:w="40" w:type="dxa"/>
              <w:right w:w="20" w:type="dxa"/>
            </w:tcMar>
            <w:vAlign w:val="center"/>
          </w:tcPr>
          <w:p w14:paraId="33DAD7A8" w14:textId="77777777" w:rsidR="004D6A64" w:rsidRDefault="00506CD6">
            <w:pPr>
              <w:textAlignment w:val="center"/>
            </w:pPr>
            <w:r>
              <w:rPr>
                <w:rFonts w:ascii="Times New Roman" w:eastAsia="宋体" w:hAnsi="Times New Roman"/>
                <w:color w:val="000000"/>
                <w:sz w:val="20"/>
                <w:szCs w:val="20"/>
              </w:rPr>
              <w:t>Operating lease liabilities</w:t>
            </w:r>
          </w:p>
        </w:tc>
        <w:tc>
          <w:tcPr>
            <w:tcW w:w="0" w:type="auto"/>
            <w:gridSpan w:val="2"/>
            <w:shd w:val="clear" w:color="auto" w:fill="CCEEFF"/>
            <w:tcMar>
              <w:top w:w="40" w:type="dxa"/>
              <w:left w:w="20" w:type="dxa"/>
              <w:bottom w:w="40" w:type="dxa"/>
              <w:right w:w="0" w:type="dxa"/>
            </w:tcMar>
            <w:vAlign w:val="center"/>
          </w:tcPr>
          <w:p w14:paraId="33DAD7A9" w14:textId="77777777" w:rsidR="004D6A64" w:rsidRDefault="00506CD6">
            <w:pPr>
              <w:jc w:val="right"/>
              <w:textAlignment w:val="center"/>
            </w:pPr>
            <w:r>
              <w:rPr>
                <w:rFonts w:ascii="Times New Roman" w:eastAsia="宋体" w:hAnsi="Times New Roman"/>
                <w:color w:val="000000"/>
                <w:sz w:val="20"/>
                <w:szCs w:val="20"/>
              </w:rPr>
              <w:t>1,383 </w:t>
            </w:r>
          </w:p>
        </w:tc>
        <w:tc>
          <w:tcPr>
            <w:tcW w:w="0" w:type="auto"/>
            <w:shd w:val="clear" w:color="auto" w:fill="CCEEFF"/>
            <w:tcMar>
              <w:top w:w="40" w:type="dxa"/>
              <w:bottom w:w="40" w:type="dxa"/>
              <w:right w:w="20" w:type="dxa"/>
            </w:tcMar>
            <w:vAlign w:val="center"/>
          </w:tcPr>
          <w:p w14:paraId="33DAD7A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7AB"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7AC" w14:textId="77777777" w:rsidR="004D6A64" w:rsidRDefault="00506CD6">
            <w:pPr>
              <w:jc w:val="right"/>
              <w:textAlignment w:val="center"/>
            </w:pPr>
            <w:r>
              <w:rPr>
                <w:rFonts w:ascii="Times New Roman" w:eastAsia="宋体" w:hAnsi="Times New Roman"/>
                <w:color w:val="000000"/>
                <w:sz w:val="20"/>
                <w:szCs w:val="20"/>
              </w:rPr>
              <w:t>1,360 </w:t>
            </w:r>
          </w:p>
        </w:tc>
        <w:tc>
          <w:tcPr>
            <w:tcW w:w="0" w:type="auto"/>
            <w:shd w:val="clear" w:color="auto" w:fill="CCEEFF"/>
            <w:tcMar>
              <w:top w:w="40" w:type="dxa"/>
              <w:bottom w:w="40" w:type="dxa"/>
              <w:right w:w="20" w:type="dxa"/>
            </w:tcMar>
            <w:vAlign w:val="center"/>
          </w:tcPr>
          <w:p w14:paraId="33DAD7AD" w14:textId="77777777" w:rsidR="004D6A64" w:rsidRDefault="004D6A64">
            <w:pPr>
              <w:jc w:val="right"/>
              <w:rPr>
                <w:rFonts w:ascii="宋体"/>
              </w:rPr>
            </w:pPr>
          </w:p>
        </w:tc>
        <w:tc>
          <w:tcPr>
            <w:tcW w:w="0" w:type="auto"/>
            <w:shd w:val="clear" w:color="auto" w:fill="auto"/>
          </w:tcPr>
          <w:p w14:paraId="33DAD7AE" w14:textId="77777777" w:rsidR="004D6A64" w:rsidRDefault="004D6A64">
            <w:pPr>
              <w:rPr>
                <w:rFonts w:ascii="宋体"/>
              </w:rPr>
            </w:pPr>
          </w:p>
        </w:tc>
        <w:tc>
          <w:tcPr>
            <w:tcW w:w="0" w:type="auto"/>
            <w:shd w:val="clear" w:color="auto" w:fill="auto"/>
          </w:tcPr>
          <w:p w14:paraId="33DAD7AF" w14:textId="77777777" w:rsidR="004D6A64" w:rsidRDefault="004D6A64">
            <w:pPr>
              <w:rPr>
                <w:rFonts w:ascii="宋体"/>
              </w:rPr>
            </w:pPr>
          </w:p>
        </w:tc>
        <w:tc>
          <w:tcPr>
            <w:tcW w:w="0" w:type="auto"/>
            <w:shd w:val="clear" w:color="auto" w:fill="auto"/>
          </w:tcPr>
          <w:p w14:paraId="33DAD7B0" w14:textId="77777777" w:rsidR="004D6A64" w:rsidRDefault="004D6A64">
            <w:pPr>
              <w:rPr>
                <w:rFonts w:ascii="宋体"/>
              </w:rPr>
            </w:pPr>
          </w:p>
        </w:tc>
        <w:tc>
          <w:tcPr>
            <w:tcW w:w="0" w:type="auto"/>
            <w:shd w:val="clear" w:color="auto" w:fill="auto"/>
          </w:tcPr>
          <w:p w14:paraId="33DAD7B1" w14:textId="77777777" w:rsidR="004D6A64" w:rsidRDefault="004D6A64">
            <w:pPr>
              <w:rPr>
                <w:rFonts w:ascii="宋体"/>
              </w:rPr>
            </w:pPr>
          </w:p>
        </w:tc>
        <w:tc>
          <w:tcPr>
            <w:tcW w:w="0" w:type="auto"/>
            <w:shd w:val="clear" w:color="auto" w:fill="auto"/>
          </w:tcPr>
          <w:p w14:paraId="33DAD7B2" w14:textId="77777777" w:rsidR="004D6A64" w:rsidRDefault="004D6A64">
            <w:pPr>
              <w:rPr>
                <w:rFonts w:ascii="宋体"/>
              </w:rPr>
            </w:pPr>
          </w:p>
        </w:tc>
        <w:tc>
          <w:tcPr>
            <w:tcW w:w="0" w:type="auto"/>
            <w:shd w:val="clear" w:color="auto" w:fill="auto"/>
          </w:tcPr>
          <w:p w14:paraId="33DAD7B3" w14:textId="77777777" w:rsidR="004D6A64" w:rsidRDefault="004D6A64">
            <w:pPr>
              <w:rPr>
                <w:rFonts w:ascii="宋体"/>
              </w:rPr>
            </w:pPr>
          </w:p>
        </w:tc>
      </w:tr>
      <w:tr w:rsidR="004D6A64" w14:paraId="33DAD7C1" w14:textId="77777777">
        <w:tc>
          <w:tcPr>
            <w:tcW w:w="0" w:type="auto"/>
            <w:gridSpan w:val="3"/>
            <w:shd w:val="clear" w:color="auto" w:fill="FFFFFF"/>
            <w:tcMar>
              <w:top w:w="40" w:type="dxa"/>
              <w:left w:w="135" w:type="dxa"/>
              <w:bottom w:w="40" w:type="dxa"/>
              <w:right w:w="20" w:type="dxa"/>
            </w:tcMar>
            <w:vAlign w:val="center"/>
          </w:tcPr>
          <w:p w14:paraId="33DAD7B5" w14:textId="77777777" w:rsidR="004D6A64" w:rsidRDefault="00506CD6">
            <w:pPr>
              <w:textAlignment w:val="center"/>
            </w:pPr>
            <w:r>
              <w:rPr>
                <w:rFonts w:ascii="Times New Roman" w:eastAsia="宋体" w:hAnsi="Times New Roman"/>
                <w:color w:val="000000"/>
                <w:sz w:val="20"/>
                <w:szCs w:val="20"/>
              </w:rPr>
              <w:t>Warranty liability</w:t>
            </w:r>
          </w:p>
        </w:tc>
        <w:tc>
          <w:tcPr>
            <w:tcW w:w="0" w:type="auto"/>
            <w:gridSpan w:val="2"/>
            <w:shd w:val="clear" w:color="auto" w:fill="FFFFFF"/>
            <w:tcMar>
              <w:top w:w="40" w:type="dxa"/>
              <w:left w:w="20" w:type="dxa"/>
              <w:bottom w:w="40" w:type="dxa"/>
              <w:right w:w="0" w:type="dxa"/>
            </w:tcMar>
            <w:vAlign w:val="center"/>
          </w:tcPr>
          <w:p w14:paraId="33DAD7B6" w14:textId="77777777" w:rsidR="004D6A64" w:rsidRDefault="00506CD6">
            <w:pPr>
              <w:jc w:val="right"/>
              <w:textAlignment w:val="center"/>
            </w:pPr>
            <w:r>
              <w:rPr>
                <w:rFonts w:ascii="Times New Roman" w:eastAsia="宋体" w:hAnsi="Times New Roman"/>
                <w:color w:val="000000"/>
                <w:sz w:val="20"/>
                <w:szCs w:val="20"/>
              </w:rPr>
              <w:t>140 </w:t>
            </w:r>
          </w:p>
        </w:tc>
        <w:tc>
          <w:tcPr>
            <w:tcW w:w="0" w:type="auto"/>
            <w:shd w:val="clear" w:color="auto" w:fill="FFFFFF"/>
            <w:tcMar>
              <w:top w:w="40" w:type="dxa"/>
              <w:bottom w:w="40" w:type="dxa"/>
              <w:right w:w="20" w:type="dxa"/>
            </w:tcMar>
            <w:vAlign w:val="center"/>
          </w:tcPr>
          <w:p w14:paraId="33DAD7B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7B8"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7B9" w14:textId="77777777" w:rsidR="004D6A64" w:rsidRDefault="00506CD6">
            <w:pPr>
              <w:jc w:val="right"/>
              <w:textAlignment w:val="center"/>
            </w:pPr>
            <w:r>
              <w:rPr>
                <w:rFonts w:ascii="Times New Roman" w:eastAsia="宋体" w:hAnsi="Times New Roman"/>
                <w:color w:val="000000"/>
                <w:sz w:val="20"/>
                <w:szCs w:val="20"/>
              </w:rPr>
              <w:t>155 </w:t>
            </w:r>
          </w:p>
        </w:tc>
        <w:tc>
          <w:tcPr>
            <w:tcW w:w="0" w:type="auto"/>
            <w:shd w:val="clear" w:color="auto" w:fill="FFFFFF"/>
            <w:tcMar>
              <w:top w:w="40" w:type="dxa"/>
              <w:bottom w:w="40" w:type="dxa"/>
              <w:right w:w="20" w:type="dxa"/>
            </w:tcMar>
            <w:vAlign w:val="center"/>
          </w:tcPr>
          <w:p w14:paraId="33DAD7BA" w14:textId="77777777" w:rsidR="004D6A64" w:rsidRDefault="004D6A64">
            <w:pPr>
              <w:jc w:val="right"/>
              <w:rPr>
                <w:rFonts w:ascii="宋体"/>
              </w:rPr>
            </w:pPr>
          </w:p>
        </w:tc>
        <w:tc>
          <w:tcPr>
            <w:tcW w:w="0" w:type="auto"/>
            <w:shd w:val="clear" w:color="auto" w:fill="auto"/>
          </w:tcPr>
          <w:p w14:paraId="33DAD7BB" w14:textId="77777777" w:rsidR="004D6A64" w:rsidRDefault="004D6A64">
            <w:pPr>
              <w:rPr>
                <w:rFonts w:ascii="宋体"/>
              </w:rPr>
            </w:pPr>
          </w:p>
        </w:tc>
        <w:tc>
          <w:tcPr>
            <w:tcW w:w="0" w:type="auto"/>
            <w:shd w:val="clear" w:color="auto" w:fill="auto"/>
          </w:tcPr>
          <w:p w14:paraId="33DAD7BC" w14:textId="77777777" w:rsidR="004D6A64" w:rsidRDefault="004D6A64">
            <w:pPr>
              <w:rPr>
                <w:rFonts w:ascii="宋体"/>
              </w:rPr>
            </w:pPr>
          </w:p>
        </w:tc>
        <w:tc>
          <w:tcPr>
            <w:tcW w:w="0" w:type="auto"/>
            <w:shd w:val="clear" w:color="auto" w:fill="auto"/>
          </w:tcPr>
          <w:p w14:paraId="33DAD7BD" w14:textId="77777777" w:rsidR="004D6A64" w:rsidRDefault="004D6A64">
            <w:pPr>
              <w:rPr>
                <w:rFonts w:ascii="宋体"/>
              </w:rPr>
            </w:pPr>
          </w:p>
        </w:tc>
        <w:tc>
          <w:tcPr>
            <w:tcW w:w="0" w:type="auto"/>
            <w:shd w:val="clear" w:color="auto" w:fill="auto"/>
          </w:tcPr>
          <w:p w14:paraId="33DAD7BE" w14:textId="77777777" w:rsidR="004D6A64" w:rsidRDefault="004D6A64">
            <w:pPr>
              <w:rPr>
                <w:rFonts w:ascii="宋体"/>
              </w:rPr>
            </w:pPr>
          </w:p>
        </w:tc>
        <w:tc>
          <w:tcPr>
            <w:tcW w:w="0" w:type="auto"/>
            <w:shd w:val="clear" w:color="auto" w:fill="auto"/>
          </w:tcPr>
          <w:p w14:paraId="33DAD7BF" w14:textId="77777777" w:rsidR="004D6A64" w:rsidRDefault="004D6A64">
            <w:pPr>
              <w:rPr>
                <w:rFonts w:ascii="宋体"/>
              </w:rPr>
            </w:pPr>
          </w:p>
        </w:tc>
        <w:tc>
          <w:tcPr>
            <w:tcW w:w="0" w:type="auto"/>
            <w:shd w:val="clear" w:color="auto" w:fill="auto"/>
          </w:tcPr>
          <w:p w14:paraId="33DAD7C0" w14:textId="77777777" w:rsidR="004D6A64" w:rsidRDefault="004D6A64">
            <w:pPr>
              <w:rPr>
                <w:rFonts w:ascii="宋体"/>
              </w:rPr>
            </w:pPr>
          </w:p>
        </w:tc>
      </w:tr>
      <w:tr w:rsidR="004D6A64" w14:paraId="33DAD7CE" w14:textId="77777777">
        <w:tc>
          <w:tcPr>
            <w:tcW w:w="0" w:type="auto"/>
            <w:gridSpan w:val="3"/>
            <w:shd w:val="clear" w:color="auto" w:fill="CCEEFF"/>
            <w:tcMar>
              <w:top w:w="40" w:type="dxa"/>
              <w:left w:w="135" w:type="dxa"/>
              <w:bottom w:w="40" w:type="dxa"/>
              <w:right w:w="20" w:type="dxa"/>
            </w:tcMar>
            <w:vAlign w:val="center"/>
          </w:tcPr>
          <w:p w14:paraId="33DAD7C2" w14:textId="77777777" w:rsidR="004D6A64" w:rsidRDefault="00506CD6">
            <w:pPr>
              <w:textAlignment w:val="center"/>
            </w:pPr>
            <w:r>
              <w:rPr>
                <w:rFonts w:ascii="Times New Roman" w:eastAsia="宋体" w:hAnsi="Times New Roman"/>
                <w:color w:val="000000"/>
                <w:sz w:val="20"/>
                <w:szCs w:val="20"/>
              </w:rPr>
              <w:t>Other</w:t>
            </w:r>
          </w:p>
        </w:tc>
        <w:tc>
          <w:tcPr>
            <w:tcW w:w="0" w:type="auto"/>
            <w:gridSpan w:val="2"/>
            <w:shd w:val="clear" w:color="auto" w:fill="CCEEFF"/>
            <w:tcMar>
              <w:top w:w="40" w:type="dxa"/>
              <w:left w:w="20" w:type="dxa"/>
              <w:bottom w:w="40" w:type="dxa"/>
              <w:right w:w="0" w:type="dxa"/>
            </w:tcMar>
            <w:vAlign w:val="center"/>
          </w:tcPr>
          <w:p w14:paraId="33DAD7C3" w14:textId="77777777" w:rsidR="004D6A64" w:rsidRDefault="00506CD6">
            <w:pPr>
              <w:jc w:val="right"/>
              <w:textAlignment w:val="center"/>
            </w:pPr>
            <w:r>
              <w:rPr>
                <w:rFonts w:ascii="Times New Roman" w:eastAsia="宋体" w:hAnsi="Times New Roman"/>
                <w:color w:val="000000"/>
                <w:sz w:val="20"/>
                <w:szCs w:val="20"/>
              </w:rPr>
              <w:t>1,229 </w:t>
            </w:r>
          </w:p>
        </w:tc>
        <w:tc>
          <w:tcPr>
            <w:tcW w:w="0" w:type="auto"/>
            <w:shd w:val="clear" w:color="auto" w:fill="CCEEFF"/>
            <w:tcMar>
              <w:top w:w="40" w:type="dxa"/>
              <w:bottom w:w="40" w:type="dxa"/>
              <w:right w:w="20" w:type="dxa"/>
            </w:tcMar>
            <w:vAlign w:val="center"/>
          </w:tcPr>
          <w:p w14:paraId="33DAD7C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7C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7C6" w14:textId="77777777" w:rsidR="004D6A64" w:rsidRDefault="00506CD6">
            <w:pPr>
              <w:jc w:val="right"/>
              <w:textAlignment w:val="center"/>
            </w:pPr>
            <w:r>
              <w:rPr>
                <w:rFonts w:ascii="Times New Roman" w:eastAsia="宋体" w:hAnsi="Times New Roman"/>
                <w:color w:val="000000"/>
                <w:sz w:val="20"/>
                <w:szCs w:val="20"/>
              </w:rPr>
              <w:t>758 </w:t>
            </w:r>
          </w:p>
        </w:tc>
        <w:tc>
          <w:tcPr>
            <w:tcW w:w="0" w:type="auto"/>
            <w:shd w:val="clear" w:color="auto" w:fill="CCEEFF"/>
            <w:tcMar>
              <w:top w:w="40" w:type="dxa"/>
              <w:bottom w:w="40" w:type="dxa"/>
              <w:right w:w="20" w:type="dxa"/>
            </w:tcMar>
            <w:vAlign w:val="center"/>
          </w:tcPr>
          <w:p w14:paraId="33DAD7C7" w14:textId="77777777" w:rsidR="004D6A64" w:rsidRDefault="004D6A64">
            <w:pPr>
              <w:jc w:val="right"/>
              <w:rPr>
                <w:rFonts w:ascii="宋体"/>
              </w:rPr>
            </w:pPr>
          </w:p>
        </w:tc>
        <w:tc>
          <w:tcPr>
            <w:tcW w:w="0" w:type="auto"/>
            <w:shd w:val="clear" w:color="auto" w:fill="auto"/>
          </w:tcPr>
          <w:p w14:paraId="33DAD7C8" w14:textId="77777777" w:rsidR="004D6A64" w:rsidRDefault="004D6A64">
            <w:pPr>
              <w:rPr>
                <w:rFonts w:ascii="宋体"/>
              </w:rPr>
            </w:pPr>
          </w:p>
        </w:tc>
        <w:tc>
          <w:tcPr>
            <w:tcW w:w="0" w:type="auto"/>
            <w:shd w:val="clear" w:color="auto" w:fill="auto"/>
          </w:tcPr>
          <w:p w14:paraId="33DAD7C9" w14:textId="77777777" w:rsidR="004D6A64" w:rsidRDefault="004D6A64">
            <w:pPr>
              <w:rPr>
                <w:rFonts w:ascii="宋体"/>
              </w:rPr>
            </w:pPr>
          </w:p>
        </w:tc>
        <w:tc>
          <w:tcPr>
            <w:tcW w:w="0" w:type="auto"/>
            <w:shd w:val="clear" w:color="auto" w:fill="auto"/>
          </w:tcPr>
          <w:p w14:paraId="33DAD7CA" w14:textId="77777777" w:rsidR="004D6A64" w:rsidRDefault="004D6A64">
            <w:pPr>
              <w:rPr>
                <w:rFonts w:ascii="宋体"/>
              </w:rPr>
            </w:pPr>
          </w:p>
        </w:tc>
        <w:tc>
          <w:tcPr>
            <w:tcW w:w="0" w:type="auto"/>
            <w:shd w:val="clear" w:color="auto" w:fill="auto"/>
          </w:tcPr>
          <w:p w14:paraId="33DAD7CB" w14:textId="77777777" w:rsidR="004D6A64" w:rsidRDefault="004D6A64">
            <w:pPr>
              <w:rPr>
                <w:rFonts w:ascii="宋体"/>
              </w:rPr>
            </w:pPr>
          </w:p>
        </w:tc>
        <w:tc>
          <w:tcPr>
            <w:tcW w:w="0" w:type="auto"/>
            <w:shd w:val="clear" w:color="auto" w:fill="auto"/>
          </w:tcPr>
          <w:p w14:paraId="33DAD7CC" w14:textId="77777777" w:rsidR="004D6A64" w:rsidRDefault="004D6A64">
            <w:pPr>
              <w:rPr>
                <w:rFonts w:ascii="宋体"/>
              </w:rPr>
            </w:pPr>
          </w:p>
        </w:tc>
        <w:tc>
          <w:tcPr>
            <w:tcW w:w="0" w:type="auto"/>
            <w:shd w:val="clear" w:color="auto" w:fill="auto"/>
          </w:tcPr>
          <w:p w14:paraId="33DAD7CD" w14:textId="77777777" w:rsidR="004D6A64" w:rsidRDefault="004D6A64">
            <w:pPr>
              <w:rPr>
                <w:rFonts w:ascii="宋体"/>
              </w:rPr>
            </w:pPr>
          </w:p>
        </w:tc>
      </w:tr>
      <w:tr w:rsidR="004D6A64" w14:paraId="33DAD7DD" w14:textId="77777777">
        <w:tc>
          <w:tcPr>
            <w:tcW w:w="0" w:type="auto"/>
            <w:gridSpan w:val="3"/>
            <w:shd w:val="clear" w:color="auto" w:fill="FFFFFF"/>
            <w:tcMar>
              <w:top w:w="40" w:type="dxa"/>
              <w:left w:w="225" w:type="dxa"/>
              <w:bottom w:w="40" w:type="dxa"/>
              <w:right w:w="20" w:type="dxa"/>
            </w:tcMar>
            <w:vAlign w:val="center"/>
          </w:tcPr>
          <w:p w14:paraId="33DAD7CF" w14:textId="77777777" w:rsidR="004D6A64" w:rsidRDefault="00506CD6">
            <w:pPr>
              <w:textAlignment w:val="center"/>
            </w:pPr>
            <w:r>
              <w:rPr>
                <w:rFonts w:ascii="Times New Roman" w:eastAsia="宋体" w:hAnsi="Times New Roman"/>
                <w:color w:val="000000"/>
                <w:sz w:val="20"/>
                <w:szCs w:val="20"/>
              </w:rPr>
              <w:t xml:space="preserve">Total other non-current </w:t>
            </w:r>
            <w:r>
              <w:rPr>
                <w:rFonts w:ascii="Times New Roman" w:eastAsia="宋体" w:hAnsi="Times New Roman"/>
                <w:color w:val="000000"/>
                <w:sz w:val="20"/>
                <w:szCs w:val="20"/>
              </w:rPr>
              <w:t>liabilities</w:t>
            </w: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D7D0"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D7D1" w14:textId="77777777" w:rsidR="004D6A64" w:rsidRDefault="00506CD6">
            <w:pPr>
              <w:jc w:val="right"/>
              <w:textAlignment w:val="center"/>
            </w:pPr>
            <w:r>
              <w:rPr>
                <w:rFonts w:ascii="Times New Roman" w:eastAsia="宋体" w:hAnsi="Times New Roman"/>
                <w:color w:val="000000"/>
                <w:sz w:val="20"/>
                <w:szCs w:val="20"/>
              </w:rPr>
              <w:t>4,762 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D7D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7D3"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D7D4"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D7D5" w14:textId="77777777" w:rsidR="004D6A64" w:rsidRDefault="00506CD6">
            <w:pPr>
              <w:jc w:val="right"/>
              <w:textAlignment w:val="center"/>
            </w:pPr>
            <w:r>
              <w:rPr>
                <w:rFonts w:ascii="Times New Roman" w:eastAsia="宋体" w:hAnsi="Times New Roman"/>
                <w:color w:val="000000"/>
                <w:sz w:val="20"/>
                <w:szCs w:val="20"/>
              </w:rPr>
              <w:t>5,383 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D7D6" w14:textId="77777777" w:rsidR="004D6A64" w:rsidRDefault="004D6A64">
            <w:pPr>
              <w:jc w:val="right"/>
              <w:rPr>
                <w:rFonts w:ascii="宋体"/>
              </w:rPr>
            </w:pPr>
          </w:p>
        </w:tc>
        <w:tc>
          <w:tcPr>
            <w:tcW w:w="0" w:type="auto"/>
            <w:shd w:val="clear" w:color="auto" w:fill="auto"/>
          </w:tcPr>
          <w:p w14:paraId="33DAD7D7" w14:textId="77777777" w:rsidR="004D6A64" w:rsidRDefault="004D6A64">
            <w:pPr>
              <w:rPr>
                <w:rFonts w:ascii="宋体"/>
              </w:rPr>
            </w:pPr>
          </w:p>
        </w:tc>
        <w:tc>
          <w:tcPr>
            <w:tcW w:w="0" w:type="auto"/>
            <w:shd w:val="clear" w:color="auto" w:fill="auto"/>
          </w:tcPr>
          <w:p w14:paraId="33DAD7D8" w14:textId="77777777" w:rsidR="004D6A64" w:rsidRDefault="004D6A64">
            <w:pPr>
              <w:rPr>
                <w:rFonts w:ascii="宋体"/>
              </w:rPr>
            </w:pPr>
          </w:p>
        </w:tc>
        <w:tc>
          <w:tcPr>
            <w:tcW w:w="0" w:type="auto"/>
            <w:shd w:val="clear" w:color="auto" w:fill="auto"/>
          </w:tcPr>
          <w:p w14:paraId="33DAD7D9" w14:textId="77777777" w:rsidR="004D6A64" w:rsidRDefault="004D6A64">
            <w:pPr>
              <w:rPr>
                <w:rFonts w:ascii="宋体"/>
              </w:rPr>
            </w:pPr>
          </w:p>
        </w:tc>
        <w:tc>
          <w:tcPr>
            <w:tcW w:w="0" w:type="auto"/>
            <w:shd w:val="clear" w:color="auto" w:fill="auto"/>
          </w:tcPr>
          <w:p w14:paraId="33DAD7DA" w14:textId="77777777" w:rsidR="004D6A64" w:rsidRDefault="004D6A64">
            <w:pPr>
              <w:rPr>
                <w:rFonts w:ascii="宋体"/>
              </w:rPr>
            </w:pPr>
          </w:p>
        </w:tc>
        <w:tc>
          <w:tcPr>
            <w:tcW w:w="0" w:type="auto"/>
            <w:shd w:val="clear" w:color="auto" w:fill="auto"/>
          </w:tcPr>
          <w:p w14:paraId="33DAD7DB" w14:textId="77777777" w:rsidR="004D6A64" w:rsidRDefault="004D6A64">
            <w:pPr>
              <w:rPr>
                <w:rFonts w:ascii="宋体"/>
              </w:rPr>
            </w:pPr>
          </w:p>
        </w:tc>
        <w:tc>
          <w:tcPr>
            <w:tcW w:w="0" w:type="auto"/>
            <w:shd w:val="clear" w:color="auto" w:fill="auto"/>
          </w:tcPr>
          <w:p w14:paraId="33DAD7DC" w14:textId="77777777" w:rsidR="004D6A64" w:rsidRDefault="004D6A64">
            <w:pPr>
              <w:rPr>
                <w:rFonts w:ascii="宋体"/>
              </w:rPr>
            </w:pPr>
          </w:p>
        </w:tc>
      </w:tr>
    </w:tbl>
    <w:p w14:paraId="33DAD7DE" w14:textId="77777777" w:rsidR="004D6A64" w:rsidRDefault="00506CD6">
      <w:r>
        <w:rPr>
          <w:rFonts w:ascii="Times New Roman" w:eastAsia="宋体" w:hAnsi="Times New Roman"/>
          <w:color w:val="000000"/>
          <w:sz w:val="20"/>
          <w:szCs w:val="20"/>
        </w:rPr>
        <w:t>____________________</w:t>
      </w:r>
    </w:p>
    <w:p w14:paraId="33DAD7DF" w14:textId="77777777" w:rsidR="004D6A64" w:rsidRDefault="00506CD6">
      <w:pPr>
        <w:pBdr>
          <w:left w:val="none" w:sz="0" w:space="0" w:color="auto"/>
        </w:pBdr>
        <w:ind w:hanging="360"/>
      </w:pPr>
      <w:r>
        <w:rPr>
          <w:rFonts w:ascii="Times New Roman" w:eastAsia="宋体" w:hAnsi="Times New Roman"/>
          <w:color w:val="000000"/>
          <w:sz w:val="20"/>
          <w:szCs w:val="20"/>
        </w:rPr>
        <w:t>(a) Restricted cash primarily includes cash required to be held in escrow pursuant to DFS securitization arrangements and VMware, Inc. restricted cash.</w:t>
      </w:r>
    </w:p>
    <w:p w14:paraId="33DAD7E0" w14:textId="77777777" w:rsidR="004D6A64" w:rsidRDefault="004D6A64">
      <w:pPr>
        <w:pBdr>
          <w:left w:val="none" w:sz="0" w:space="0" w:color="auto"/>
        </w:pBdr>
        <w:ind w:hanging="360"/>
      </w:pPr>
    </w:p>
    <w:p w14:paraId="33DAD7E1" w14:textId="77777777" w:rsidR="004D6A64" w:rsidRDefault="004D6A64">
      <w:pPr>
        <w:jc w:val="center"/>
      </w:pPr>
    </w:p>
    <w:p w14:paraId="33DAD7E2" w14:textId="77777777" w:rsidR="004D6A64" w:rsidRDefault="00506CD6">
      <w:pPr>
        <w:jc w:val="center"/>
      </w:pPr>
      <w:r>
        <w:rPr>
          <w:rFonts w:ascii="Times New Roman" w:eastAsia="宋体" w:hAnsi="Times New Roman"/>
          <w:color w:val="000000"/>
          <w:sz w:val="20"/>
          <w:szCs w:val="20"/>
        </w:rPr>
        <w:t>61</w:t>
      </w:r>
    </w:p>
    <w:p w14:paraId="33DAD7E3" w14:textId="77777777" w:rsidR="004D6A64" w:rsidRDefault="004D6A64">
      <w:pPr>
        <w:jc w:val="center"/>
      </w:pPr>
    </w:p>
    <w:p w14:paraId="33DAD7E4" w14:textId="77777777" w:rsidR="004D6A64" w:rsidRDefault="00506CD6">
      <w:r>
        <w:pict w14:anchorId="33DAFB01">
          <v:rect id="_x0000_i1085" style="width:415.3pt;height:1.5pt" o:hralign="center" o:hrstd="t" o:hr="t" fillcolor="#a0a0a0" stroked="f"/>
        </w:pict>
      </w:r>
    </w:p>
    <w:p w14:paraId="33DAD7E5" w14:textId="77777777" w:rsidR="004D6A64" w:rsidRDefault="00506CD6">
      <w:hyperlink r:id="rId184" w:anchor="if3e0e1bf9ecd4bf69551d7a85f98d64a_10" w:history="1">
        <w:r>
          <w:rPr>
            <w:rStyle w:val="a5"/>
            <w:rFonts w:ascii="Times New Roman" w:eastAsia="宋体" w:hAnsi="Times New Roman"/>
            <w:sz w:val="20"/>
            <w:szCs w:val="20"/>
          </w:rPr>
          <w:t>Table of Contents</w:t>
        </w:r>
      </w:hyperlink>
    </w:p>
    <w:p w14:paraId="33DAD7E6"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D7E7"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33DAD7E8"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D7E9" w14:textId="77777777" w:rsidR="004D6A64" w:rsidRDefault="004D6A64">
      <w:pPr>
        <w:jc w:val="center"/>
      </w:pPr>
    </w:p>
    <w:p w14:paraId="33DAD7EA" w14:textId="77777777" w:rsidR="004D6A64" w:rsidRDefault="00506CD6">
      <w:r>
        <w:rPr>
          <w:rFonts w:ascii="Times New Roman" w:eastAsia="宋体" w:hAnsi="Times New Roman"/>
          <w:b/>
          <w:bCs/>
          <w:color w:val="000000"/>
          <w:sz w:val="20"/>
          <w:szCs w:val="20"/>
        </w:rPr>
        <w:t>Trade Receivables — Allowance for Expected Credit Losses</w:t>
      </w:r>
    </w:p>
    <w:p w14:paraId="33DAD7EB" w14:textId="77777777" w:rsidR="004D6A64" w:rsidRDefault="004D6A64"/>
    <w:p w14:paraId="33DAD7EC" w14:textId="77777777" w:rsidR="004D6A64" w:rsidRDefault="00506CD6">
      <w:r>
        <w:rPr>
          <w:rFonts w:ascii="Times New Roman" w:eastAsia="宋体" w:hAnsi="Times New Roman"/>
          <w:color w:val="000000"/>
          <w:sz w:val="20"/>
          <w:szCs w:val="20"/>
        </w:rPr>
        <w:t xml:space="preserve">Allowance for expected credit losses of trade receivables as of July 31, 2020 includes the impact of adoption of the new CECL standard, which was adopted as of February 1, </w:t>
      </w:r>
      <w:r>
        <w:rPr>
          <w:rFonts w:ascii="Times New Roman" w:eastAsia="宋体" w:hAnsi="Times New Roman"/>
          <w:color w:val="000000"/>
          <w:sz w:val="20"/>
          <w:szCs w:val="20"/>
        </w:rPr>
        <w:t>2020 using the modified retrospective method, as described in Note 1 of the Notes to the Condensed Consolidated Financial Statements. The provision recognized on the Condensed Consolidated Statements of Income (Loss) during the three and six months ended J</w:t>
      </w:r>
      <w:r>
        <w:rPr>
          <w:rFonts w:ascii="Times New Roman" w:eastAsia="宋体" w:hAnsi="Times New Roman"/>
          <w:color w:val="000000"/>
          <w:sz w:val="20"/>
          <w:szCs w:val="20"/>
        </w:rPr>
        <w:t>uly 31, 2020 is based on an assessment of the impact of current and expected future conditions, inclusive of the effect of the COVID-19 pandemic on credit losses. The duration and severity of COVID-19 and continued market volatility is highly uncertain and</w:t>
      </w:r>
      <w:r>
        <w:rPr>
          <w:rFonts w:ascii="Times New Roman" w:eastAsia="宋体" w:hAnsi="Times New Roman"/>
          <w:color w:val="000000"/>
          <w:sz w:val="20"/>
          <w:szCs w:val="20"/>
        </w:rPr>
        <w:t>, as such, the impact on expected credit losses is subject to significant judgment and may cause variability in the Company’s allowance for credit losses in future periods.</w:t>
      </w:r>
    </w:p>
    <w:p w14:paraId="33DAD7ED" w14:textId="77777777" w:rsidR="004D6A64" w:rsidRDefault="004D6A64"/>
    <w:p w14:paraId="33DAD7EE" w14:textId="77777777" w:rsidR="004D6A64" w:rsidRDefault="00506CD6">
      <w:pPr>
        <w:spacing w:after="60"/>
      </w:pPr>
      <w:r>
        <w:rPr>
          <w:rFonts w:ascii="Times New Roman" w:eastAsia="宋体" w:hAnsi="Times New Roman"/>
          <w:color w:val="000000"/>
          <w:sz w:val="20"/>
          <w:szCs w:val="20"/>
        </w:rPr>
        <w:t>The following table presents the changes in the Company’s allowance for expected c</w:t>
      </w:r>
      <w:r>
        <w:rPr>
          <w:rFonts w:ascii="Times New Roman" w:eastAsia="宋体" w:hAnsi="Times New Roman"/>
          <w:color w:val="000000"/>
          <w:sz w:val="20"/>
          <w:szCs w:val="20"/>
        </w:rPr>
        <w:t>redit losses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738"/>
        <w:gridCol w:w="36"/>
        <w:gridCol w:w="136"/>
        <w:gridCol w:w="1423"/>
        <w:gridCol w:w="41"/>
        <w:gridCol w:w="36"/>
        <w:gridCol w:w="36"/>
        <w:gridCol w:w="36"/>
        <w:gridCol w:w="136"/>
        <w:gridCol w:w="1424"/>
        <w:gridCol w:w="41"/>
        <w:gridCol w:w="36"/>
        <w:gridCol w:w="36"/>
        <w:gridCol w:w="36"/>
        <w:gridCol w:w="36"/>
        <w:gridCol w:w="36"/>
        <w:gridCol w:w="36"/>
      </w:tblGrid>
      <w:tr w:rsidR="004D6A64" w14:paraId="33DAD7FB" w14:textId="77777777">
        <w:trPr>
          <w:gridAfter w:val="6"/>
        </w:trPr>
        <w:tc>
          <w:tcPr>
            <w:tcW w:w="50" w:type="pct"/>
            <w:shd w:val="clear" w:color="auto" w:fill="auto"/>
          </w:tcPr>
          <w:p w14:paraId="33DAD7EF" w14:textId="77777777" w:rsidR="004D6A64" w:rsidRDefault="004D6A64">
            <w:pPr>
              <w:rPr>
                <w:rFonts w:ascii="宋体"/>
              </w:rPr>
            </w:pPr>
          </w:p>
        </w:tc>
        <w:tc>
          <w:tcPr>
            <w:tcW w:w="2971" w:type="pct"/>
            <w:shd w:val="clear" w:color="auto" w:fill="auto"/>
          </w:tcPr>
          <w:p w14:paraId="33DAD7F0" w14:textId="77777777" w:rsidR="004D6A64" w:rsidRDefault="004D6A64">
            <w:pPr>
              <w:rPr>
                <w:rFonts w:ascii="宋体"/>
              </w:rPr>
            </w:pPr>
          </w:p>
        </w:tc>
        <w:tc>
          <w:tcPr>
            <w:tcW w:w="5" w:type="pct"/>
            <w:shd w:val="clear" w:color="auto" w:fill="auto"/>
          </w:tcPr>
          <w:p w14:paraId="33DAD7F1" w14:textId="77777777" w:rsidR="004D6A64" w:rsidRDefault="004D6A64">
            <w:pPr>
              <w:rPr>
                <w:rFonts w:ascii="宋体"/>
              </w:rPr>
            </w:pPr>
          </w:p>
        </w:tc>
        <w:tc>
          <w:tcPr>
            <w:tcW w:w="50" w:type="pct"/>
            <w:shd w:val="clear" w:color="auto" w:fill="auto"/>
          </w:tcPr>
          <w:p w14:paraId="33DAD7F2" w14:textId="77777777" w:rsidR="004D6A64" w:rsidRDefault="004D6A64">
            <w:pPr>
              <w:rPr>
                <w:rFonts w:ascii="宋体"/>
              </w:rPr>
            </w:pPr>
          </w:p>
        </w:tc>
        <w:tc>
          <w:tcPr>
            <w:tcW w:w="917" w:type="pct"/>
            <w:shd w:val="clear" w:color="auto" w:fill="auto"/>
          </w:tcPr>
          <w:p w14:paraId="33DAD7F3" w14:textId="77777777" w:rsidR="004D6A64" w:rsidRDefault="004D6A64">
            <w:pPr>
              <w:rPr>
                <w:rFonts w:ascii="宋体"/>
              </w:rPr>
            </w:pPr>
          </w:p>
        </w:tc>
        <w:tc>
          <w:tcPr>
            <w:tcW w:w="5" w:type="pct"/>
            <w:shd w:val="clear" w:color="auto" w:fill="auto"/>
          </w:tcPr>
          <w:p w14:paraId="33DAD7F4" w14:textId="77777777" w:rsidR="004D6A64" w:rsidRDefault="004D6A64">
            <w:pPr>
              <w:rPr>
                <w:rFonts w:ascii="宋体"/>
              </w:rPr>
            </w:pPr>
          </w:p>
        </w:tc>
        <w:tc>
          <w:tcPr>
            <w:tcW w:w="5" w:type="pct"/>
            <w:shd w:val="clear" w:color="auto" w:fill="auto"/>
          </w:tcPr>
          <w:p w14:paraId="33DAD7F5" w14:textId="77777777" w:rsidR="004D6A64" w:rsidRDefault="004D6A64">
            <w:pPr>
              <w:rPr>
                <w:rFonts w:ascii="宋体"/>
              </w:rPr>
            </w:pPr>
          </w:p>
        </w:tc>
        <w:tc>
          <w:tcPr>
            <w:tcW w:w="19" w:type="pct"/>
            <w:shd w:val="clear" w:color="auto" w:fill="auto"/>
          </w:tcPr>
          <w:p w14:paraId="33DAD7F6" w14:textId="77777777" w:rsidR="004D6A64" w:rsidRDefault="004D6A64">
            <w:pPr>
              <w:rPr>
                <w:rFonts w:ascii="宋体"/>
              </w:rPr>
            </w:pPr>
          </w:p>
        </w:tc>
        <w:tc>
          <w:tcPr>
            <w:tcW w:w="5" w:type="pct"/>
            <w:shd w:val="clear" w:color="auto" w:fill="auto"/>
          </w:tcPr>
          <w:p w14:paraId="33DAD7F7" w14:textId="77777777" w:rsidR="004D6A64" w:rsidRDefault="004D6A64">
            <w:pPr>
              <w:rPr>
                <w:rFonts w:ascii="宋体"/>
              </w:rPr>
            </w:pPr>
          </w:p>
        </w:tc>
        <w:tc>
          <w:tcPr>
            <w:tcW w:w="50" w:type="pct"/>
            <w:shd w:val="clear" w:color="auto" w:fill="auto"/>
          </w:tcPr>
          <w:p w14:paraId="33DAD7F8" w14:textId="77777777" w:rsidR="004D6A64" w:rsidRDefault="004D6A64">
            <w:pPr>
              <w:rPr>
                <w:rFonts w:ascii="宋体"/>
              </w:rPr>
            </w:pPr>
          </w:p>
        </w:tc>
        <w:tc>
          <w:tcPr>
            <w:tcW w:w="917" w:type="pct"/>
            <w:shd w:val="clear" w:color="auto" w:fill="auto"/>
          </w:tcPr>
          <w:p w14:paraId="33DAD7F9" w14:textId="77777777" w:rsidR="004D6A64" w:rsidRDefault="004D6A64">
            <w:pPr>
              <w:rPr>
                <w:rFonts w:ascii="宋体"/>
              </w:rPr>
            </w:pPr>
          </w:p>
        </w:tc>
        <w:tc>
          <w:tcPr>
            <w:tcW w:w="5" w:type="pct"/>
            <w:shd w:val="clear" w:color="auto" w:fill="auto"/>
          </w:tcPr>
          <w:p w14:paraId="33DAD7FA" w14:textId="77777777" w:rsidR="004D6A64" w:rsidRDefault="004D6A64">
            <w:pPr>
              <w:rPr>
                <w:rFonts w:ascii="宋体"/>
              </w:rPr>
            </w:pPr>
          </w:p>
        </w:tc>
      </w:tr>
      <w:tr w:rsidR="004D6A64" w14:paraId="33DAD800" w14:textId="77777777">
        <w:trPr>
          <w:gridAfter w:val="6"/>
        </w:trPr>
        <w:tc>
          <w:tcPr>
            <w:tcW w:w="0" w:type="auto"/>
            <w:gridSpan w:val="3"/>
            <w:shd w:val="clear" w:color="auto" w:fill="auto"/>
            <w:tcMar>
              <w:left w:w="20" w:type="dxa"/>
              <w:right w:w="20" w:type="dxa"/>
            </w:tcMar>
            <w:vAlign w:val="bottom"/>
          </w:tcPr>
          <w:p w14:paraId="33DAD7FC"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D7FD" w14:textId="77777777" w:rsidR="004D6A64" w:rsidRDefault="00506CD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left w:w="20" w:type="dxa"/>
              <w:right w:w="20" w:type="dxa"/>
            </w:tcMar>
            <w:vAlign w:val="bottom"/>
          </w:tcPr>
          <w:p w14:paraId="33DAD7FE"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D7FF" w14:textId="77777777" w:rsidR="004D6A64" w:rsidRDefault="00506CD6">
            <w:pPr>
              <w:jc w:val="center"/>
              <w:textAlignment w:val="bottom"/>
            </w:pPr>
            <w:r>
              <w:rPr>
                <w:rFonts w:ascii="Times New Roman" w:eastAsia="宋体" w:hAnsi="Times New Roman"/>
                <w:b/>
                <w:bCs/>
                <w:color w:val="000000"/>
                <w:sz w:val="20"/>
                <w:szCs w:val="20"/>
              </w:rPr>
              <w:t>Six Months Ended</w:t>
            </w:r>
          </w:p>
        </w:tc>
      </w:tr>
      <w:tr w:rsidR="004D6A64" w14:paraId="33DAD805" w14:textId="77777777">
        <w:trPr>
          <w:gridAfter w:val="6"/>
        </w:trPr>
        <w:tc>
          <w:tcPr>
            <w:tcW w:w="0" w:type="auto"/>
            <w:gridSpan w:val="3"/>
            <w:shd w:val="clear" w:color="auto" w:fill="auto"/>
            <w:tcMar>
              <w:left w:w="20" w:type="dxa"/>
              <w:right w:w="20" w:type="dxa"/>
            </w:tcMar>
            <w:vAlign w:val="bottom"/>
          </w:tcPr>
          <w:p w14:paraId="33DAD801"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D802"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shd w:val="clear" w:color="auto" w:fill="auto"/>
            <w:tcMar>
              <w:left w:w="20" w:type="dxa"/>
              <w:right w:w="20" w:type="dxa"/>
            </w:tcMar>
            <w:vAlign w:val="bottom"/>
          </w:tcPr>
          <w:p w14:paraId="33DAD803" w14:textId="77777777" w:rsidR="004D6A64" w:rsidRDefault="004D6A6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3DAD804" w14:textId="77777777" w:rsidR="004D6A64" w:rsidRDefault="00506CD6">
            <w:pPr>
              <w:jc w:val="center"/>
              <w:textAlignment w:val="bottom"/>
            </w:pPr>
            <w:r>
              <w:rPr>
                <w:rFonts w:ascii="Times New Roman" w:eastAsia="宋体" w:hAnsi="Times New Roman"/>
                <w:b/>
                <w:bCs/>
                <w:color w:val="000000"/>
                <w:sz w:val="20"/>
                <w:szCs w:val="20"/>
              </w:rPr>
              <w:t>July 31, 2020</w:t>
            </w:r>
          </w:p>
        </w:tc>
      </w:tr>
      <w:tr w:rsidR="004D6A64" w14:paraId="33DAD80A" w14:textId="77777777">
        <w:tc>
          <w:tcPr>
            <w:tcW w:w="0" w:type="auto"/>
            <w:gridSpan w:val="3"/>
            <w:shd w:val="clear" w:color="auto" w:fill="auto"/>
            <w:tcMar>
              <w:left w:w="20" w:type="dxa"/>
              <w:right w:w="20" w:type="dxa"/>
            </w:tcMar>
            <w:vAlign w:val="bottom"/>
          </w:tcPr>
          <w:p w14:paraId="33DAD806" w14:textId="77777777" w:rsidR="004D6A64" w:rsidRDefault="004D6A6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33DAD807" w14:textId="77777777" w:rsidR="004D6A64" w:rsidRDefault="00506CD6">
            <w:pPr>
              <w:jc w:val="center"/>
              <w:textAlignment w:val="center"/>
            </w:pPr>
            <w:r>
              <w:rPr>
                <w:rFonts w:ascii="Times New Roman" w:eastAsia="宋体" w:hAnsi="Times New Roman"/>
                <w:color w:val="000000"/>
                <w:sz w:val="20"/>
                <w:szCs w:val="20"/>
              </w:rPr>
              <w:t>(in millions)</w:t>
            </w:r>
          </w:p>
        </w:tc>
        <w:tc>
          <w:tcPr>
            <w:tcW w:w="0" w:type="auto"/>
            <w:gridSpan w:val="3"/>
            <w:shd w:val="clear" w:color="auto" w:fill="auto"/>
          </w:tcPr>
          <w:p w14:paraId="33DAD808" w14:textId="77777777" w:rsidR="004D6A64" w:rsidRDefault="004D6A64">
            <w:pPr>
              <w:rPr>
                <w:rFonts w:ascii="宋体"/>
                <w:vanish/>
              </w:rPr>
            </w:pPr>
          </w:p>
        </w:tc>
        <w:tc>
          <w:tcPr>
            <w:tcW w:w="0" w:type="auto"/>
            <w:gridSpan w:val="3"/>
            <w:shd w:val="clear" w:color="auto" w:fill="auto"/>
          </w:tcPr>
          <w:p w14:paraId="33DAD809" w14:textId="77777777" w:rsidR="004D6A64" w:rsidRDefault="004D6A64">
            <w:pPr>
              <w:rPr>
                <w:rFonts w:ascii="宋体"/>
                <w:vanish/>
              </w:rPr>
            </w:pPr>
          </w:p>
        </w:tc>
      </w:tr>
      <w:tr w:rsidR="004D6A64" w14:paraId="33DAD815" w14:textId="77777777">
        <w:tc>
          <w:tcPr>
            <w:tcW w:w="0" w:type="auto"/>
            <w:gridSpan w:val="3"/>
            <w:shd w:val="clear" w:color="auto" w:fill="CCEEFF"/>
            <w:tcMar>
              <w:top w:w="40" w:type="dxa"/>
              <w:left w:w="20" w:type="dxa"/>
              <w:bottom w:w="40" w:type="dxa"/>
              <w:right w:w="20" w:type="dxa"/>
            </w:tcMar>
            <w:vAlign w:val="center"/>
          </w:tcPr>
          <w:p w14:paraId="33DAD80B" w14:textId="77777777" w:rsidR="004D6A64" w:rsidRDefault="00506CD6">
            <w:pPr>
              <w:textAlignment w:val="center"/>
            </w:pPr>
            <w:r>
              <w:rPr>
                <w:rFonts w:ascii="Times New Roman" w:eastAsia="宋体" w:hAnsi="Times New Roman"/>
                <w:i/>
                <w:iCs/>
                <w:color w:val="000000"/>
                <w:sz w:val="20"/>
                <w:szCs w:val="20"/>
              </w:rPr>
              <w:t>Trade Receivables - Allowance for expected credit losses:</w:t>
            </w:r>
          </w:p>
        </w:tc>
        <w:tc>
          <w:tcPr>
            <w:tcW w:w="0" w:type="auto"/>
            <w:gridSpan w:val="3"/>
            <w:shd w:val="clear" w:color="auto" w:fill="CCEEFF"/>
            <w:tcMar>
              <w:left w:w="20" w:type="dxa"/>
              <w:right w:w="20" w:type="dxa"/>
            </w:tcMar>
            <w:vAlign w:val="center"/>
          </w:tcPr>
          <w:p w14:paraId="33DAD80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80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80E" w14:textId="77777777" w:rsidR="004D6A64" w:rsidRDefault="004D6A64">
            <w:pPr>
              <w:rPr>
                <w:rFonts w:ascii="宋体"/>
              </w:rPr>
            </w:pPr>
          </w:p>
        </w:tc>
        <w:tc>
          <w:tcPr>
            <w:tcW w:w="0" w:type="auto"/>
            <w:shd w:val="clear" w:color="auto" w:fill="auto"/>
          </w:tcPr>
          <w:p w14:paraId="33DAD80F" w14:textId="77777777" w:rsidR="004D6A64" w:rsidRDefault="004D6A64">
            <w:pPr>
              <w:rPr>
                <w:rFonts w:ascii="宋体"/>
              </w:rPr>
            </w:pPr>
          </w:p>
        </w:tc>
        <w:tc>
          <w:tcPr>
            <w:tcW w:w="0" w:type="auto"/>
            <w:shd w:val="clear" w:color="auto" w:fill="auto"/>
          </w:tcPr>
          <w:p w14:paraId="33DAD810" w14:textId="77777777" w:rsidR="004D6A64" w:rsidRDefault="004D6A64">
            <w:pPr>
              <w:rPr>
                <w:rFonts w:ascii="宋体"/>
              </w:rPr>
            </w:pPr>
          </w:p>
        </w:tc>
        <w:tc>
          <w:tcPr>
            <w:tcW w:w="0" w:type="auto"/>
            <w:shd w:val="clear" w:color="auto" w:fill="auto"/>
          </w:tcPr>
          <w:p w14:paraId="33DAD811" w14:textId="77777777" w:rsidR="004D6A64" w:rsidRDefault="004D6A64">
            <w:pPr>
              <w:rPr>
                <w:rFonts w:ascii="宋体"/>
              </w:rPr>
            </w:pPr>
          </w:p>
        </w:tc>
        <w:tc>
          <w:tcPr>
            <w:tcW w:w="0" w:type="auto"/>
            <w:shd w:val="clear" w:color="auto" w:fill="auto"/>
          </w:tcPr>
          <w:p w14:paraId="33DAD812" w14:textId="77777777" w:rsidR="004D6A64" w:rsidRDefault="004D6A64">
            <w:pPr>
              <w:rPr>
                <w:rFonts w:ascii="宋体"/>
              </w:rPr>
            </w:pPr>
          </w:p>
        </w:tc>
        <w:tc>
          <w:tcPr>
            <w:tcW w:w="0" w:type="auto"/>
            <w:shd w:val="clear" w:color="auto" w:fill="auto"/>
          </w:tcPr>
          <w:p w14:paraId="33DAD813" w14:textId="77777777" w:rsidR="004D6A64" w:rsidRDefault="004D6A64">
            <w:pPr>
              <w:rPr>
                <w:rFonts w:ascii="宋体"/>
              </w:rPr>
            </w:pPr>
          </w:p>
        </w:tc>
        <w:tc>
          <w:tcPr>
            <w:tcW w:w="0" w:type="auto"/>
            <w:shd w:val="clear" w:color="auto" w:fill="auto"/>
          </w:tcPr>
          <w:p w14:paraId="33DAD814" w14:textId="77777777" w:rsidR="004D6A64" w:rsidRDefault="004D6A64">
            <w:pPr>
              <w:rPr>
                <w:rFonts w:ascii="宋体"/>
              </w:rPr>
            </w:pPr>
          </w:p>
        </w:tc>
      </w:tr>
      <w:tr w:rsidR="004D6A64" w14:paraId="33DAD824" w14:textId="77777777">
        <w:tc>
          <w:tcPr>
            <w:tcW w:w="0" w:type="auto"/>
            <w:gridSpan w:val="3"/>
            <w:shd w:val="clear" w:color="auto" w:fill="FFFFFF"/>
            <w:tcMar>
              <w:top w:w="40" w:type="dxa"/>
              <w:left w:w="20" w:type="dxa"/>
              <w:bottom w:w="40" w:type="dxa"/>
              <w:right w:w="20" w:type="dxa"/>
            </w:tcMar>
            <w:vAlign w:val="center"/>
          </w:tcPr>
          <w:p w14:paraId="33DAD816" w14:textId="77777777" w:rsidR="004D6A64" w:rsidRDefault="00506CD6">
            <w:pPr>
              <w:textAlignment w:val="center"/>
            </w:pPr>
            <w:r>
              <w:rPr>
                <w:rFonts w:ascii="Times New Roman" w:eastAsia="宋体" w:hAnsi="Times New Roman"/>
                <w:color w:val="000000"/>
                <w:sz w:val="20"/>
                <w:szCs w:val="20"/>
              </w:rPr>
              <w:t>Balance at beginning of period</w:t>
            </w:r>
          </w:p>
        </w:tc>
        <w:tc>
          <w:tcPr>
            <w:tcW w:w="0" w:type="auto"/>
            <w:shd w:val="clear" w:color="auto" w:fill="FFFFFF"/>
            <w:tcMar>
              <w:top w:w="40" w:type="dxa"/>
              <w:left w:w="20" w:type="dxa"/>
              <w:bottom w:w="40" w:type="dxa"/>
            </w:tcMar>
            <w:vAlign w:val="center"/>
          </w:tcPr>
          <w:p w14:paraId="33DAD817"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D818" w14:textId="77777777" w:rsidR="004D6A64" w:rsidRDefault="00506CD6">
            <w:pPr>
              <w:jc w:val="right"/>
              <w:textAlignment w:val="center"/>
            </w:pPr>
            <w:r>
              <w:rPr>
                <w:rFonts w:ascii="Times New Roman" w:eastAsia="宋体" w:hAnsi="Times New Roman"/>
                <w:color w:val="000000"/>
                <w:sz w:val="20"/>
                <w:szCs w:val="20"/>
              </w:rPr>
              <w:t>144 </w:t>
            </w:r>
          </w:p>
        </w:tc>
        <w:tc>
          <w:tcPr>
            <w:tcW w:w="0" w:type="auto"/>
            <w:shd w:val="clear" w:color="auto" w:fill="FFFFFF"/>
            <w:tcMar>
              <w:top w:w="40" w:type="dxa"/>
              <w:bottom w:w="40" w:type="dxa"/>
              <w:right w:w="20" w:type="dxa"/>
            </w:tcMar>
            <w:vAlign w:val="center"/>
          </w:tcPr>
          <w:p w14:paraId="33DAD81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81A"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D81B"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D81C" w14:textId="77777777" w:rsidR="004D6A64" w:rsidRDefault="00506CD6">
            <w:pPr>
              <w:jc w:val="right"/>
              <w:textAlignment w:val="center"/>
            </w:pPr>
            <w:r>
              <w:rPr>
                <w:rFonts w:ascii="Times New Roman" w:eastAsia="宋体" w:hAnsi="Times New Roman"/>
                <w:color w:val="000000"/>
                <w:sz w:val="20"/>
                <w:szCs w:val="20"/>
              </w:rPr>
              <w:t>94 </w:t>
            </w:r>
          </w:p>
        </w:tc>
        <w:tc>
          <w:tcPr>
            <w:tcW w:w="0" w:type="auto"/>
            <w:shd w:val="clear" w:color="auto" w:fill="FFFFFF"/>
            <w:tcMar>
              <w:top w:w="40" w:type="dxa"/>
              <w:bottom w:w="40" w:type="dxa"/>
              <w:right w:w="20" w:type="dxa"/>
            </w:tcMar>
            <w:vAlign w:val="center"/>
          </w:tcPr>
          <w:p w14:paraId="33DAD81D" w14:textId="77777777" w:rsidR="004D6A64" w:rsidRDefault="004D6A64">
            <w:pPr>
              <w:jc w:val="right"/>
              <w:rPr>
                <w:rFonts w:ascii="宋体"/>
              </w:rPr>
            </w:pPr>
          </w:p>
        </w:tc>
        <w:tc>
          <w:tcPr>
            <w:tcW w:w="0" w:type="auto"/>
            <w:shd w:val="clear" w:color="auto" w:fill="auto"/>
          </w:tcPr>
          <w:p w14:paraId="33DAD81E" w14:textId="77777777" w:rsidR="004D6A64" w:rsidRDefault="004D6A64">
            <w:pPr>
              <w:rPr>
                <w:rFonts w:ascii="宋体"/>
              </w:rPr>
            </w:pPr>
          </w:p>
        </w:tc>
        <w:tc>
          <w:tcPr>
            <w:tcW w:w="0" w:type="auto"/>
            <w:shd w:val="clear" w:color="auto" w:fill="auto"/>
          </w:tcPr>
          <w:p w14:paraId="33DAD81F" w14:textId="77777777" w:rsidR="004D6A64" w:rsidRDefault="004D6A64">
            <w:pPr>
              <w:rPr>
                <w:rFonts w:ascii="宋体"/>
              </w:rPr>
            </w:pPr>
          </w:p>
        </w:tc>
        <w:tc>
          <w:tcPr>
            <w:tcW w:w="0" w:type="auto"/>
            <w:shd w:val="clear" w:color="auto" w:fill="auto"/>
          </w:tcPr>
          <w:p w14:paraId="33DAD820" w14:textId="77777777" w:rsidR="004D6A64" w:rsidRDefault="004D6A64">
            <w:pPr>
              <w:rPr>
                <w:rFonts w:ascii="宋体"/>
              </w:rPr>
            </w:pPr>
          </w:p>
        </w:tc>
        <w:tc>
          <w:tcPr>
            <w:tcW w:w="0" w:type="auto"/>
            <w:shd w:val="clear" w:color="auto" w:fill="auto"/>
          </w:tcPr>
          <w:p w14:paraId="33DAD821" w14:textId="77777777" w:rsidR="004D6A64" w:rsidRDefault="004D6A64">
            <w:pPr>
              <w:rPr>
                <w:rFonts w:ascii="宋体"/>
              </w:rPr>
            </w:pPr>
          </w:p>
        </w:tc>
        <w:tc>
          <w:tcPr>
            <w:tcW w:w="0" w:type="auto"/>
            <w:shd w:val="clear" w:color="auto" w:fill="auto"/>
          </w:tcPr>
          <w:p w14:paraId="33DAD822" w14:textId="77777777" w:rsidR="004D6A64" w:rsidRDefault="004D6A64">
            <w:pPr>
              <w:rPr>
                <w:rFonts w:ascii="宋体"/>
              </w:rPr>
            </w:pPr>
          </w:p>
        </w:tc>
        <w:tc>
          <w:tcPr>
            <w:tcW w:w="0" w:type="auto"/>
            <w:shd w:val="clear" w:color="auto" w:fill="auto"/>
          </w:tcPr>
          <w:p w14:paraId="33DAD823" w14:textId="77777777" w:rsidR="004D6A64" w:rsidRDefault="004D6A64">
            <w:pPr>
              <w:rPr>
                <w:rFonts w:ascii="宋体"/>
              </w:rPr>
            </w:pPr>
          </w:p>
        </w:tc>
      </w:tr>
      <w:tr w:rsidR="004D6A64" w14:paraId="33DAD831" w14:textId="77777777">
        <w:tc>
          <w:tcPr>
            <w:tcW w:w="0" w:type="auto"/>
            <w:gridSpan w:val="3"/>
            <w:shd w:val="clear" w:color="auto" w:fill="CCEEFF"/>
            <w:tcMar>
              <w:top w:w="40" w:type="dxa"/>
              <w:left w:w="20" w:type="dxa"/>
              <w:bottom w:w="40" w:type="dxa"/>
              <w:right w:w="20" w:type="dxa"/>
            </w:tcMar>
            <w:vAlign w:val="center"/>
          </w:tcPr>
          <w:p w14:paraId="33DAD825" w14:textId="77777777" w:rsidR="004D6A64" w:rsidRDefault="00506CD6">
            <w:pPr>
              <w:pBdr>
                <w:top w:val="none" w:sz="0" w:space="0" w:color="auto"/>
                <w:left w:val="none" w:sz="0" w:space="0" w:color="auto"/>
                <w:bottom w:val="none" w:sz="0" w:space="0" w:color="auto"/>
                <w:right w:val="none" w:sz="0" w:space="0" w:color="auto"/>
              </w:pBdr>
              <w:textAlignment w:val="center"/>
            </w:pPr>
            <w:r>
              <w:rPr>
                <w:rFonts w:ascii="Times New Roman" w:eastAsia="宋体" w:hAnsi="Times New Roman"/>
                <w:color w:val="000000"/>
                <w:sz w:val="20"/>
                <w:szCs w:val="20"/>
              </w:rPr>
              <w:t>Adjustment for adoption of the new CECL standard (Note 1)</w:t>
            </w:r>
          </w:p>
        </w:tc>
        <w:tc>
          <w:tcPr>
            <w:tcW w:w="0" w:type="auto"/>
            <w:gridSpan w:val="2"/>
            <w:shd w:val="clear" w:color="auto" w:fill="CCEEFF"/>
            <w:tcMar>
              <w:top w:w="40" w:type="dxa"/>
              <w:left w:w="20" w:type="dxa"/>
              <w:bottom w:w="40" w:type="dxa"/>
              <w:right w:w="0" w:type="dxa"/>
            </w:tcMar>
            <w:vAlign w:val="center"/>
          </w:tcPr>
          <w:p w14:paraId="33DAD826"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D82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828"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829" w14:textId="77777777" w:rsidR="004D6A64" w:rsidRDefault="00506CD6">
            <w:pPr>
              <w:jc w:val="right"/>
              <w:textAlignment w:val="center"/>
            </w:pPr>
            <w:r>
              <w:rPr>
                <w:rFonts w:ascii="Times New Roman" w:eastAsia="宋体" w:hAnsi="Times New Roman"/>
                <w:color w:val="000000"/>
                <w:sz w:val="20"/>
                <w:szCs w:val="20"/>
              </w:rPr>
              <w:t>27 </w:t>
            </w:r>
          </w:p>
        </w:tc>
        <w:tc>
          <w:tcPr>
            <w:tcW w:w="0" w:type="auto"/>
            <w:shd w:val="clear" w:color="auto" w:fill="CCEEFF"/>
            <w:tcMar>
              <w:top w:w="40" w:type="dxa"/>
              <w:bottom w:w="40" w:type="dxa"/>
              <w:right w:w="20" w:type="dxa"/>
            </w:tcMar>
            <w:vAlign w:val="center"/>
          </w:tcPr>
          <w:p w14:paraId="33DAD82A" w14:textId="77777777" w:rsidR="004D6A64" w:rsidRDefault="004D6A64">
            <w:pPr>
              <w:jc w:val="right"/>
              <w:rPr>
                <w:rFonts w:ascii="宋体"/>
              </w:rPr>
            </w:pPr>
          </w:p>
        </w:tc>
        <w:tc>
          <w:tcPr>
            <w:tcW w:w="0" w:type="auto"/>
            <w:shd w:val="clear" w:color="auto" w:fill="auto"/>
          </w:tcPr>
          <w:p w14:paraId="33DAD82B" w14:textId="77777777" w:rsidR="004D6A64" w:rsidRDefault="004D6A64">
            <w:pPr>
              <w:rPr>
                <w:rFonts w:ascii="宋体"/>
              </w:rPr>
            </w:pPr>
          </w:p>
        </w:tc>
        <w:tc>
          <w:tcPr>
            <w:tcW w:w="0" w:type="auto"/>
            <w:shd w:val="clear" w:color="auto" w:fill="auto"/>
          </w:tcPr>
          <w:p w14:paraId="33DAD82C" w14:textId="77777777" w:rsidR="004D6A64" w:rsidRDefault="004D6A64">
            <w:pPr>
              <w:rPr>
                <w:rFonts w:ascii="宋体"/>
              </w:rPr>
            </w:pPr>
          </w:p>
        </w:tc>
        <w:tc>
          <w:tcPr>
            <w:tcW w:w="0" w:type="auto"/>
            <w:shd w:val="clear" w:color="auto" w:fill="auto"/>
          </w:tcPr>
          <w:p w14:paraId="33DAD82D" w14:textId="77777777" w:rsidR="004D6A64" w:rsidRDefault="004D6A64">
            <w:pPr>
              <w:rPr>
                <w:rFonts w:ascii="宋体"/>
              </w:rPr>
            </w:pPr>
          </w:p>
        </w:tc>
        <w:tc>
          <w:tcPr>
            <w:tcW w:w="0" w:type="auto"/>
            <w:shd w:val="clear" w:color="auto" w:fill="auto"/>
          </w:tcPr>
          <w:p w14:paraId="33DAD82E" w14:textId="77777777" w:rsidR="004D6A64" w:rsidRDefault="004D6A64">
            <w:pPr>
              <w:rPr>
                <w:rFonts w:ascii="宋体"/>
              </w:rPr>
            </w:pPr>
          </w:p>
        </w:tc>
        <w:tc>
          <w:tcPr>
            <w:tcW w:w="0" w:type="auto"/>
            <w:shd w:val="clear" w:color="auto" w:fill="auto"/>
          </w:tcPr>
          <w:p w14:paraId="33DAD82F" w14:textId="77777777" w:rsidR="004D6A64" w:rsidRDefault="004D6A64">
            <w:pPr>
              <w:rPr>
                <w:rFonts w:ascii="宋体"/>
              </w:rPr>
            </w:pPr>
          </w:p>
        </w:tc>
        <w:tc>
          <w:tcPr>
            <w:tcW w:w="0" w:type="auto"/>
            <w:shd w:val="clear" w:color="auto" w:fill="auto"/>
          </w:tcPr>
          <w:p w14:paraId="33DAD830" w14:textId="77777777" w:rsidR="004D6A64" w:rsidRDefault="004D6A64">
            <w:pPr>
              <w:rPr>
                <w:rFonts w:ascii="宋体"/>
              </w:rPr>
            </w:pPr>
          </w:p>
        </w:tc>
      </w:tr>
      <w:tr w:rsidR="004D6A64" w14:paraId="33DAD83C" w14:textId="77777777">
        <w:trPr>
          <w:hidden/>
        </w:trPr>
        <w:tc>
          <w:tcPr>
            <w:tcW w:w="0" w:type="auto"/>
            <w:gridSpan w:val="3"/>
            <w:shd w:val="clear" w:color="auto" w:fill="auto"/>
          </w:tcPr>
          <w:p w14:paraId="33DAD832" w14:textId="77777777" w:rsidR="004D6A64" w:rsidRDefault="004D6A64">
            <w:pPr>
              <w:rPr>
                <w:rFonts w:ascii="宋体"/>
                <w:vanish/>
              </w:rPr>
            </w:pPr>
          </w:p>
        </w:tc>
        <w:tc>
          <w:tcPr>
            <w:tcW w:w="0" w:type="auto"/>
            <w:gridSpan w:val="3"/>
            <w:shd w:val="clear" w:color="auto" w:fill="auto"/>
          </w:tcPr>
          <w:p w14:paraId="33DAD833" w14:textId="77777777" w:rsidR="004D6A64" w:rsidRDefault="004D6A64">
            <w:pPr>
              <w:rPr>
                <w:rFonts w:ascii="宋体"/>
                <w:vanish/>
              </w:rPr>
            </w:pPr>
          </w:p>
        </w:tc>
        <w:tc>
          <w:tcPr>
            <w:tcW w:w="0" w:type="auto"/>
            <w:gridSpan w:val="3"/>
            <w:shd w:val="clear" w:color="auto" w:fill="auto"/>
          </w:tcPr>
          <w:p w14:paraId="33DAD834" w14:textId="77777777" w:rsidR="004D6A64" w:rsidRDefault="004D6A64">
            <w:pPr>
              <w:rPr>
                <w:rFonts w:ascii="宋体"/>
                <w:vanish/>
              </w:rPr>
            </w:pPr>
          </w:p>
        </w:tc>
        <w:tc>
          <w:tcPr>
            <w:tcW w:w="0" w:type="auto"/>
            <w:gridSpan w:val="3"/>
            <w:shd w:val="clear" w:color="auto" w:fill="auto"/>
          </w:tcPr>
          <w:p w14:paraId="33DAD835" w14:textId="77777777" w:rsidR="004D6A64" w:rsidRDefault="004D6A64">
            <w:pPr>
              <w:rPr>
                <w:rFonts w:ascii="宋体"/>
                <w:vanish/>
              </w:rPr>
            </w:pPr>
          </w:p>
        </w:tc>
        <w:tc>
          <w:tcPr>
            <w:tcW w:w="0" w:type="auto"/>
            <w:shd w:val="clear" w:color="auto" w:fill="auto"/>
          </w:tcPr>
          <w:p w14:paraId="33DAD836" w14:textId="77777777" w:rsidR="004D6A64" w:rsidRDefault="004D6A64">
            <w:pPr>
              <w:rPr>
                <w:rFonts w:ascii="宋体"/>
              </w:rPr>
            </w:pPr>
          </w:p>
        </w:tc>
        <w:tc>
          <w:tcPr>
            <w:tcW w:w="0" w:type="auto"/>
            <w:shd w:val="clear" w:color="auto" w:fill="auto"/>
          </w:tcPr>
          <w:p w14:paraId="33DAD837" w14:textId="77777777" w:rsidR="004D6A64" w:rsidRDefault="004D6A64">
            <w:pPr>
              <w:rPr>
                <w:rFonts w:ascii="宋体"/>
              </w:rPr>
            </w:pPr>
          </w:p>
        </w:tc>
        <w:tc>
          <w:tcPr>
            <w:tcW w:w="0" w:type="auto"/>
            <w:shd w:val="clear" w:color="auto" w:fill="auto"/>
          </w:tcPr>
          <w:p w14:paraId="33DAD838" w14:textId="77777777" w:rsidR="004D6A64" w:rsidRDefault="004D6A64">
            <w:pPr>
              <w:rPr>
                <w:rFonts w:ascii="宋体"/>
              </w:rPr>
            </w:pPr>
          </w:p>
        </w:tc>
        <w:tc>
          <w:tcPr>
            <w:tcW w:w="0" w:type="auto"/>
            <w:shd w:val="clear" w:color="auto" w:fill="auto"/>
          </w:tcPr>
          <w:p w14:paraId="33DAD839" w14:textId="77777777" w:rsidR="004D6A64" w:rsidRDefault="004D6A64">
            <w:pPr>
              <w:rPr>
                <w:rFonts w:ascii="宋体"/>
              </w:rPr>
            </w:pPr>
          </w:p>
        </w:tc>
        <w:tc>
          <w:tcPr>
            <w:tcW w:w="0" w:type="auto"/>
            <w:shd w:val="clear" w:color="auto" w:fill="auto"/>
          </w:tcPr>
          <w:p w14:paraId="33DAD83A" w14:textId="77777777" w:rsidR="004D6A64" w:rsidRDefault="004D6A64">
            <w:pPr>
              <w:rPr>
                <w:rFonts w:ascii="宋体"/>
              </w:rPr>
            </w:pPr>
          </w:p>
        </w:tc>
        <w:tc>
          <w:tcPr>
            <w:tcW w:w="0" w:type="auto"/>
            <w:shd w:val="clear" w:color="auto" w:fill="auto"/>
          </w:tcPr>
          <w:p w14:paraId="33DAD83B" w14:textId="77777777" w:rsidR="004D6A64" w:rsidRDefault="004D6A64">
            <w:pPr>
              <w:rPr>
                <w:rFonts w:ascii="宋体"/>
              </w:rPr>
            </w:pPr>
          </w:p>
        </w:tc>
      </w:tr>
      <w:tr w:rsidR="004D6A64" w14:paraId="33DAD849" w14:textId="77777777">
        <w:tc>
          <w:tcPr>
            <w:tcW w:w="0" w:type="auto"/>
            <w:gridSpan w:val="3"/>
            <w:shd w:val="clear" w:color="auto" w:fill="FFFFFF"/>
            <w:tcMar>
              <w:top w:w="40" w:type="dxa"/>
              <w:left w:w="120" w:type="dxa"/>
              <w:bottom w:w="40" w:type="dxa"/>
              <w:right w:w="20" w:type="dxa"/>
            </w:tcMar>
            <w:vAlign w:val="center"/>
          </w:tcPr>
          <w:p w14:paraId="33DAD83D" w14:textId="77777777" w:rsidR="004D6A64" w:rsidRDefault="00506CD6">
            <w:pPr>
              <w:textAlignment w:val="center"/>
            </w:pPr>
            <w:r>
              <w:rPr>
                <w:rFonts w:ascii="Times New Roman" w:eastAsia="宋体" w:hAnsi="Times New Roman"/>
                <w:color w:val="000000"/>
                <w:sz w:val="20"/>
                <w:szCs w:val="20"/>
              </w:rPr>
              <w:t>Provision charged to income statement</w:t>
            </w:r>
          </w:p>
        </w:tc>
        <w:tc>
          <w:tcPr>
            <w:tcW w:w="0" w:type="auto"/>
            <w:gridSpan w:val="2"/>
            <w:shd w:val="clear" w:color="auto" w:fill="FFFFFF"/>
            <w:tcMar>
              <w:top w:w="40" w:type="dxa"/>
              <w:left w:w="20" w:type="dxa"/>
              <w:bottom w:w="40" w:type="dxa"/>
              <w:right w:w="0" w:type="dxa"/>
            </w:tcMar>
            <w:vAlign w:val="center"/>
          </w:tcPr>
          <w:p w14:paraId="33DAD83E" w14:textId="77777777" w:rsidR="004D6A64" w:rsidRDefault="00506CD6">
            <w:pPr>
              <w:jc w:val="right"/>
              <w:textAlignment w:val="center"/>
            </w:pPr>
            <w:r>
              <w:rPr>
                <w:rFonts w:ascii="Times New Roman" w:eastAsia="宋体" w:hAnsi="Times New Roman"/>
                <w:color w:val="000000"/>
                <w:sz w:val="20"/>
                <w:szCs w:val="20"/>
              </w:rPr>
              <w:t>11 </w:t>
            </w:r>
          </w:p>
        </w:tc>
        <w:tc>
          <w:tcPr>
            <w:tcW w:w="0" w:type="auto"/>
            <w:shd w:val="clear" w:color="auto" w:fill="FFFFFF"/>
            <w:tcMar>
              <w:top w:w="40" w:type="dxa"/>
              <w:bottom w:w="40" w:type="dxa"/>
              <w:right w:w="20" w:type="dxa"/>
            </w:tcMar>
            <w:vAlign w:val="center"/>
          </w:tcPr>
          <w:p w14:paraId="33DAD83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84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841" w14:textId="77777777" w:rsidR="004D6A64" w:rsidRDefault="00506CD6">
            <w:pPr>
              <w:jc w:val="right"/>
              <w:textAlignment w:val="center"/>
            </w:pPr>
            <w:r>
              <w:rPr>
                <w:rFonts w:ascii="Times New Roman" w:eastAsia="宋体" w:hAnsi="Times New Roman"/>
                <w:color w:val="000000"/>
                <w:sz w:val="20"/>
                <w:szCs w:val="20"/>
              </w:rPr>
              <w:t>47 </w:t>
            </w:r>
          </w:p>
        </w:tc>
        <w:tc>
          <w:tcPr>
            <w:tcW w:w="0" w:type="auto"/>
            <w:shd w:val="clear" w:color="auto" w:fill="FFFFFF"/>
            <w:tcMar>
              <w:top w:w="40" w:type="dxa"/>
              <w:bottom w:w="40" w:type="dxa"/>
              <w:right w:w="20" w:type="dxa"/>
            </w:tcMar>
            <w:vAlign w:val="center"/>
          </w:tcPr>
          <w:p w14:paraId="33DAD842" w14:textId="77777777" w:rsidR="004D6A64" w:rsidRDefault="004D6A64">
            <w:pPr>
              <w:jc w:val="right"/>
              <w:rPr>
                <w:rFonts w:ascii="宋体"/>
              </w:rPr>
            </w:pPr>
          </w:p>
        </w:tc>
        <w:tc>
          <w:tcPr>
            <w:tcW w:w="0" w:type="auto"/>
            <w:shd w:val="clear" w:color="auto" w:fill="auto"/>
          </w:tcPr>
          <w:p w14:paraId="33DAD843" w14:textId="77777777" w:rsidR="004D6A64" w:rsidRDefault="004D6A64">
            <w:pPr>
              <w:rPr>
                <w:rFonts w:ascii="宋体"/>
              </w:rPr>
            </w:pPr>
          </w:p>
        </w:tc>
        <w:tc>
          <w:tcPr>
            <w:tcW w:w="0" w:type="auto"/>
            <w:shd w:val="clear" w:color="auto" w:fill="auto"/>
          </w:tcPr>
          <w:p w14:paraId="33DAD844" w14:textId="77777777" w:rsidR="004D6A64" w:rsidRDefault="004D6A64">
            <w:pPr>
              <w:rPr>
                <w:rFonts w:ascii="宋体"/>
              </w:rPr>
            </w:pPr>
          </w:p>
        </w:tc>
        <w:tc>
          <w:tcPr>
            <w:tcW w:w="0" w:type="auto"/>
            <w:shd w:val="clear" w:color="auto" w:fill="auto"/>
          </w:tcPr>
          <w:p w14:paraId="33DAD845" w14:textId="77777777" w:rsidR="004D6A64" w:rsidRDefault="004D6A64">
            <w:pPr>
              <w:rPr>
                <w:rFonts w:ascii="宋体"/>
              </w:rPr>
            </w:pPr>
          </w:p>
        </w:tc>
        <w:tc>
          <w:tcPr>
            <w:tcW w:w="0" w:type="auto"/>
            <w:shd w:val="clear" w:color="auto" w:fill="auto"/>
          </w:tcPr>
          <w:p w14:paraId="33DAD846" w14:textId="77777777" w:rsidR="004D6A64" w:rsidRDefault="004D6A64">
            <w:pPr>
              <w:rPr>
                <w:rFonts w:ascii="宋体"/>
              </w:rPr>
            </w:pPr>
          </w:p>
        </w:tc>
        <w:tc>
          <w:tcPr>
            <w:tcW w:w="0" w:type="auto"/>
            <w:shd w:val="clear" w:color="auto" w:fill="auto"/>
          </w:tcPr>
          <w:p w14:paraId="33DAD847" w14:textId="77777777" w:rsidR="004D6A64" w:rsidRDefault="004D6A64">
            <w:pPr>
              <w:rPr>
                <w:rFonts w:ascii="宋体"/>
              </w:rPr>
            </w:pPr>
          </w:p>
        </w:tc>
        <w:tc>
          <w:tcPr>
            <w:tcW w:w="0" w:type="auto"/>
            <w:shd w:val="clear" w:color="auto" w:fill="auto"/>
          </w:tcPr>
          <w:p w14:paraId="33DAD848" w14:textId="77777777" w:rsidR="004D6A64" w:rsidRDefault="004D6A64">
            <w:pPr>
              <w:rPr>
                <w:rFonts w:ascii="宋体"/>
              </w:rPr>
            </w:pPr>
          </w:p>
        </w:tc>
      </w:tr>
      <w:tr w:rsidR="004D6A64" w14:paraId="33DAD856" w14:textId="77777777">
        <w:tc>
          <w:tcPr>
            <w:tcW w:w="0" w:type="auto"/>
            <w:gridSpan w:val="3"/>
            <w:shd w:val="clear" w:color="auto" w:fill="CCEEFF"/>
            <w:tcMar>
              <w:top w:w="40" w:type="dxa"/>
              <w:left w:w="120" w:type="dxa"/>
              <w:bottom w:w="40" w:type="dxa"/>
              <w:right w:w="20" w:type="dxa"/>
            </w:tcMar>
            <w:vAlign w:val="center"/>
          </w:tcPr>
          <w:p w14:paraId="33DAD84A" w14:textId="77777777" w:rsidR="004D6A64" w:rsidRDefault="00506CD6">
            <w:pPr>
              <w:textAlignment w:val="center"/>
            </w:pPr>
            <w:r>
              <w:rPr>
                <w:rFonts w:ascii="Times New Roman" w:eastAsia="宋体" w:hAnsi="Times New Roman"/>
                <w:color w:val="000000"/>
                <w:sz w:val="20"/>
                <w:szCs w:val="20"/>
              </w:rPr>
              <w:t>Bad debt write-offs</w:t>
            </w:r>
          </w:p>
        </w:tc>
        <w:tc>
          <w:tcPr>
            <w:tcW w:w="0" w:type="auto"/>
            <w:gridSpan w:val="2"/>
            <w:shd w:val="clear" w:color="auto" w:fill="CCEEFF"/>
            <w:tcMar>
              <w:top w:w="40" w:type="dxa"/>
              <w:left w:w="20" w:type="dxa"/>
              <w:bottom w:w="40" w:type="dxa"/>
              <w:right w:w="0" w:type="dxa"/>
            </w:tcMar>
            <w:vAlign w:val="center"/>
          </w:tcPr>
          <w:p w14:paraId="33DAD84B" w14:textId="77777777" w:rsidR="004D6A64" w:rsidRDefault="00506CD6">
            <w:pPr>
              <w:jc w:val="right"/>
              <w:textAlignment w:val="center"/>
            </w:pPr>
            <w:r>
              <w:rPr>
                <w:rFonts w:ascii="Times New Roman" w:eastAsia="宋体" w:hAnsi="Times New Roman"/>
                <w:color w:val="000000"/>
                <w:sz w:val="20"/>
                <w:szCs w:val="20"/>
              </w:rPr>
              <w:t>(9)</w:t>
            </w:r>
          </w:p>
        </w:tc>
        <w:tc>
          <w:tcPr>
            <w:tcW w:w="0" w:type="auto"/>
            <w:shd w:val="clear" w:color="auto" w:fill="CCEEFF"/>
            <w:tcMar>
              <w:top w:w="40" w:type="dxa"/>
              <w:bottom w:w="40" w:type="dxa"/>
              <w:right w:w="20" w:type="dxa"/>
            </w:tcMar>
            <w:vAlign w:val="center"/>
          </w:tcPr>
          <w:p w14:paraId="33DAD84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84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84E" w14:textId="77777777" w:rsidR="004D6A64" w:rsidRDefault="00506CD6">
            <w:pPr>
              <w:jc w:val="right"/>
              <w:textAlignment w:val="center"/>
            </w:pPr>
            <w:r>
              <w:rPr>
                <w:rFonts w:ascii="Times New Roman" w:eastAsia="宋体" w:hAnsi="Times New Roman"/>
                <w:color w:val="000000"/>
                <w:sz w:val="20"/>
                <w:szCs w:val="20"/>
              </w:rPr>
              <w:t>(22)</w:t>
            </w:r>
          </w:p>
        </w:tc>
        <w:tc>
          <w:tcPr>
            <w:tcW w:w="0" w:type="auto"/>
            <w:shd w:val="clear" w:color="auto" w:fill="CCEEFF"/>
            <w:tcMar>
              <w:top w:w="40" w:type="dxa"/>
              <w:bottom w:w="40" w:type="dxa"/>
              <w:right w:w="20" w:type="dxa"/>
            </w:tcMar>
            <w:vAlign w:val="center"/>
          </w:tcPr>
          <w:p w14:paraId="33DAD84F" w14:textId="77777777" w:rsidR="004D6A64" w:rsidRDefault="004D6A64">
            <w:pPr>
              <w:jc w:val="right"/>
              <w:rPr>
                <w:rFonts w:ascii="宋体"/>
              </w:rPr>
            </w:pPr>
          </w:p>
        </w:tc>
        <w:tc>
          <w:tcPr>
            <w:tcW w:w="0" w:type="auto"/>
            <w:shd w:val="clear" w:color="auto" w:fill="auto"/>
          </w:tcPr>
          <w:p w14:paraId="33DAD850" w14:textId="77777777" w:rsidR="004D6A64" w:rsidRDefault="004D6A64">
            <w:pPr>
              <w:rPr>
                <w:rFonts w:ascii="宋体"/>
              </w:rPr>
            </w:pPr>
          </w:p>
        </w:tc>
        <w:tc>
          <w:tcPr>
            <w:tcW w:w="0" w:type="auto"/>
            <w:shd w:val="clear" w:color="auto" w:fill="auto"/>
          </w:tcPr>
          <w:p w14:paraId="33DAD851" w14:textId="77777777" w:rsidR="004D6A64" w:rsidRDefault="004D6A64">
            <w:pPr>
              <w:rPr>
                <w:rFonts w:ascii="宋体"/>
              </w:rPr>
            </w:pPr>
          </w:p>
        </w:tc>
        <w:tc>
          <w:tcPr>
            <w:tcW w:w="0" w:type="auto"/>
            <w:shd w:val="clear" w:color="auto" w:fill="auto"/>
          </w:tcPr>
          <w:p w14:paraId="33DAD852" w14:textId="77777777" w:rsidR="004D6A64" w:rsidRDefault="004D6A64">
            <w:pPr>
              <w:rPr>
                <w:rFonts w:ascii="宋体"/>
              </w:rPr>
            </w:pPr>
          </w:p>
        </w:tc>
        <w:tc>
          <w:tcPr>
            <w:tcW w:w="0" w:type="auto"/>
            <w:shd w:val="clear" w:color="auto" w:fill="auto"/>
          </w:tcPr>
          <w:p w14:paraId="33DAD853" w14:textId="77777777" w:rsidR="004D6A64" w:rsidRDefault="004D6A64">
            <w:pPr>
              <w:rPr>
                <w:rFonts w:ascii="宋体"/>
              </w:rPr>
            </w:pPr>
          </w:p>
        </w:tc>
        <w:tc>
          <w:tcPr>
            <w:tcW w:w="0" w:type="auto"/>
            <w:shd w:val="clear" w:color="auto" w:fill="auto"/>
          </w:tcPr>
          <w:p w14:paraId="33DAD854" w14:textId="77777777" w:rsidR="004D6A64" w:rsidRDefault="004D6A64">
            <w:pPr>
              <w:rPr>
                <w:rFonts w:ascii="宋体"/>
              </w:rPr>
            </w:pPr>
          </w:p>
        </w:tc>
        <w:tc>
          <w:tcPr>
            <w:tcW w:w="0" w:type="auto"/>
            <w:shd w:val="clear" w:color="auto" w:fill="auto"/>
          </w:tcPr>
          <w:p w14:paraId="33DAD855" w14:textId="77777777" w:rsidR="004D6A64" w:rsidRDefault="004D6A64">
            <w:pPr>
              <w:rPr>
                <w:rFonts w:ascii="宋体"/>
              </w:rPr>
            </w:pPr>
          </w:p>
        </w:tc>
      </w:tr>
      <w:tr w:rsidR="004D6A64" w14:paraId="33DAD865" w14:textId="77777777">
        <w:tc>
          <w:tcPr>
            <w:tcW w:w="0" w:type="auto"/>
            <w:gridSpan w:val="3"/>
            <w:shd w:val="clear" w:color="auto" w:fill="FFFFFF"/>
            <w:tcMar>
              <w:top w:w="40" w:type="dxa"/>
              <w:left w:w="20" w:type="dxa"/>
              <w:bottom w:w="40" w:type="dxa"/>
              <w:right w:w="20" w:type="dxa"/>
            </w:tcMar>
            <w:vAlign w:val="center"/>
          </w:tcPr>
          <w:p w14:paraId="33DAD857" w14:textId="77777777" w:rsidR="004D6A64" w:rsidRDefault="00506CD6">
            <w:pPr>
              <w:textAlignment w:val="center"/>
            </w:pPr>
            <w:r>
              <w:rPr>
                <w:rFonts w:ascii="Times New Roman" w:eastAsia="宋体" w:hAnsi="Times New Roman"/>
                <w:color w:val="000000"/>
                <w:sz w:val="20"/>
                <w:szCs w:val="20"/>
              </w:rPr>
              <w:t>Balance at end of period</w:t>
            </w: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D858"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D859" w14:textId="77777777" w:rsidR="004D6A64" w:rsidRDefault="00506CD6">
            <w:pPr>
              <w:jc w:val="right"/>
              <w:textAlignment w:val="center"/>
            </w:pPr>
            <w:r>
              <w:rPr>
                <w:rFonts w:ascii="Times New Roman" w:eastAsia="宋体" w:hAnsi="Times New Roman"/>
                <w:color w:val="000000"/>
                <w:sz w:val="20"/>
                <w:szCs w:val="20"/>
              </w:rPr>
              <w:t>146 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D85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85B"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D85C"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D85D" w14:textId="77777777" w:rsidR="004D6A64" w:rsidRDefault="00506CD6">
            <w:pPr>
              <w:jc w:val="right"/>
              <w:textAlignment w:val="center"/>
            </w:pPr>
            <w:r>
              <w:rPr>
                <w:rFonts w:ascii="Times New Roman" w:eastAsia="宋体" w:hAnsi="Times New Roman"/>
                <w:color w:val="000000"/>
                <w:sz w:val="20"/>
                <w:szCs w:val="20"/>
              </w:rPr>
              <w:t>146 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D85E" w14:textId="77777777" w:rsidR="004D6A64" w:rsidRDefault="004D6A64">
            <w:pPr>
              <w:jc w:val="right"/>
              <w:rPr>
                <w:rFonts w:ascii="宋体"/>
              </w:rPr>
            </w:pPr>
          </w:p>
        </w:tc>
        <w:tc>
          <w:tcPr>
            <w:tcW w:w="0" w:type="auto"/>
            <w:shd w:val="clear" w:color="auto" w:fill="auto"/>
          </w:tcPr>
          <w:p w14:paraId="33DAD85F" w14:textId="77777777" w:rsidR="004D6A64" w:rsidRDefault="004D6A64">
            <w:pPr>
              <w:rPr>
                <w:rFonts w:ascii="宋体"/>
              </w:rPr>
            </w:pPr>
          </w:p>
        </w:tc>
        <w:tc>
          <w:tcPr>
            <w:tcW w:w="0" w:type="auto"/>
            <w:shd w:val="clear" w:color="auto" w:fill="auto"/>
          </w:tcPr>
          <w:p w14:paraId="33DAD860" w14:textId="77777777" w:rsidR="004D6A64" w:rsidRDefault="004D6A64">
            <w:pPr>
              <w:rPr>
                <w:rFonts w:ascii="宋体"/>
              </w:rPr>
            </w:pPr>
          </w:p>
        </w:tc>
        <w:tc>
          <w:tcPr>
            <w:tcW w:w="0" w:type="auto"/>
            <w:shd w:val="clear" w:color="auto" w:fill="auto"/>
          </w:tcPr>
          <w:p w14:paraId="33DAD861" w14:textId="77777777" w:rsidR="004D6A64" w:rsidRDefault="004D6A64">
            <w:pPr>
              <w:rPr>
                <w:rFonts w:ascii="宋体"/>
              </w:rPr>
            </w:pPr>
          </w:p>
        </w:tc>
        <w:tc>
          <w:tcPr>
            <w:tcW w:w="0" w:type="auto"/>
            <w:shd w:val="clear" w:color="auto" w:fill="auto"/>
          </w:tcPr>
          <w:p w14:paraId="33DAD862" w14:textId="77777777" w:rsidR="004D6A64" w:rsidRDefault="004D6A64">
            <w:pPr>
              <w:rPr>
                <w:rFonts w:ascii="宋体"/>
              </w:rPr>
            </w:pPr>
          </w:p>
        </w:tc>
        <w:tc>
          <w:tcPr>
            <w:tcW w:w="0" w:type="auto"/>
            <w:shd w:val="clear" w:color="auto" w:fill="auto"/>
          </w:tcPr>
          <w:p w14:paraId="33DAD863" w14:textId="77777777" w:rsidR="004D6A64" w:rsidRDefault="004D6A64">
            <w:pPr>
              <w:rPr>
                <w:rFonts w:ascii="宋体"/>
              </w:rPr>
            </w:pPr>
          </w:p>
        </w:tc>
        <w:tc>
          <w:tcPr>
            <w:tcW w:w="0" w:type="auto"/>
            <w:shd w:val="clear" w:color="auto" w:fill="auto"/>
          </w:tcPr>
          <w:p w14:paraId="33DAD864" w14:textId="77777777" w:rsidR="004D6A64" w:rsidRDefault="004D6A64">
            <w:pPr>
              <w:rPr>
                <w:rFonts w:ascii="宋体"/>
              </w:rPr>
            </w:pPr>
          </w:p>
        </w:tc>
      </w:tr>
    </w:tbl>
    <w:p w14:paraId="33DAD866" w14:textId="77777777" w:rsidR="004D6A64" w:rsidRDefault="004D6A64">
      <w:pPr>
        <w:pBdr>
          <w:left w:val="none" w:sz="0" w:space="0" w:color="auto"/>
        </w:pBdr>
        <w:ind w:hanging="360"/>
      </w:pPr>
    </w:p>
    <w:p w14:paraId="33DAD867" w14:textId="77777777" w:rsidR="004D6A64" w:rsidRDefault="00506CD6">
      <w:r>
        <w:rPr>
          <w:rFonts w:ascii="Times New Roman" w:eastAsia="宋体" w:hAnsi="Times New Roman"/>
          <w:b/>
          <w:bCs/>
          <w:color w:val="000000"/>
          <w:sz w:val="20"/>
          <w:szCs w:val="20"/>
        </w:rPr>
        <w:t>Warranty Liability</w:t>
      </w:r>
    </w:p>
    <w:p w14:paraId="33DAD868" w14:textId="77777777" w:rsidR="004D6A64" w:rsidRDefault="004D6A64"/>
    <w:p w14:paraId="33DAD869" w14:textId="77777777" w:rsidR="004D6A64" w:rsidRDefault="00506CD6">
      <w:r>
        <w:rPr>
          <w:rFonts w:ascii="Times New Roman" w:eastAsia="宋体" w:hAnsi="Times New Roman"/>
          <w:color w:val="000000"/>
          <w:sz w:val="20"/>
          <w:szCs w:val="20"/>
        </w:rPr>
        <w:t>The following table presents changes in the Company’s liability for standard limited warranties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3131"/>
        <w:gridCol w:w="37"/>
        <w:gridCol w:w="135"/>
        <w:gridCol w:w="862"/>
        <w:gridCol w:w="41"/>
        <w:gridCol w:w="36"/>
        <w:gridCol w:w="36"/>
        <w:gridCol w:w="36"/>
        <w:gridCol w:w="136"/>
        <w:gridCol w:w="862"/>
        <w:gridCol w:w="42"/>
        <w:gridCol w:w="36"/>
        <w:gridCol w:w="36"/>
        <w:gridCol w:w="36"/>
        <w:gridCol w:w="135"/>
        <w:gridCol w:w="862"/>
        <w:gridCol w:w="41"/>
        <w:gridCol w:w="36"/>
        <w:gridCol w:w="36"/>
        <w:gridCol w:w="36"/>
        <w:gridCol w:w="136"/>
        <w:gridCol w:w="864"/>
        <w:gridCol w:w="42"/>
        <w:gridCol w:w="36"/>
        <w:gridCol w:w="36"/>
        <w:gridCol w:w="36"/>
        <w:gridCol w:w="36"/>
        <w:gridCol w:w="36"/>
        <w:gridCol w:w="36"/>
        <w:gridCol w:w="36"/>
        <w:gridCol w:w="36"/>
        <w:gridCol w:w="36"/>
        <w:gridCol w:w="36"/>
        <w:gridCol w:w="36"/>
        <w:gridCol w:w="36"/>
        <w:gridCol w:w="36"/>
        <w:gridCol w:w="36"/>
        <w:gridCol w:w="36"/>
        <w:gridCol w:w="36"/>
        <w:gridCol w:w="36"/>
        <w:gridCol w:w="36"/>
      </w:tblGrid>
      <w:tr w:rsidR="004D6A64" w14:paraId="33DAD882" w14:textId="77777777">
        <w:trPr>
          <w:gridAfter w:val="18"/>
        </w:trPr>
        <w:tc>
          <w:tcPr>
            <w:tcW w:w="50" w:type="pct"/>
            <w:shd w:val="clear" w:color="auto" w:fill="auto"/>
          </w:tcPr>
          <w:p w14:paraId="33DAD86A" w14:textId="77777777" w:rsidR="004D6A64" w:rsidRDefault="004D6A64">
            <w:pPr>
              <w:rPr>
                <w:rFonts w:ascii="宋体"/>
              </w:rPr>
            </w:pPr>
          </w:p>
        </w:tc>
        <w:tc>
          <w:tcPr>
            <w:tcW w:w="2137" w:type="pct"/>
            <w:shd w:val="clear" w:color="auto" w:fill="auto"/>
          </w:tcPr>
          <w:p w14:paraId="33DAD86B" w14:textId="77777777" w:rsidR="004D6A64" w:rsidRDefault="004D6A64">
            <w:pPr>
              <w:rPr>
                <w:rFonts w:ascii="宋体"/>
              </w:rPr>
            </w:pPr>
          </w:p>
        </w:tc>
        <w:tc>
          <w:tcPr>
            <w:tcW w:w="5" w:type="pct"/>
            <w:shd w:val="clear" w:color="auto" w:fill="auto"/>
          </w:tcPr>
          <w:p w14:paraId="33DAD86C" w14:textId="77777777" w:rsidR="004D6A64" w:rsidRDefault="004D6A64">
            <w:pPr>
              <w:rPr>
                <w:rFonts w:ascii="宋体"/>
              </w:rPr>
            </w:pPr>
          </w:p>
        </w:tc>
        <w:tc>
          <w:tcPr>
            <w:tcW w:w="50" w:type="pct"/>
            <w:shd w:val="clear" w:color="auto" w:fill="auto"/>
          </w:tcPr>
          <w:p w14:paraId="33DAD86D" w14:textId="77777777" w:rsidR="004D6A64" w:rsidRDefault="004D6A64">
            <w:pPr>
              <w:rPr>
                <w:rFonts w:ascii="宋体"/>
              </w:rPr>
            </w:pPr>
          </w:p>
        </w:tc>
        <w:tc>
          <w:tcPr>
            <w:tcW w:w="624" w:type="pct"/>
            <w:shd w:val="clear" w:color="auto" w:fill="auto"/>
          </w:tcPr>
          <w:p w14:paraId="33DAD86E" w14:textId="77777777" w:rsidR="004D6A64" w:rsidRDefault="004D6A64">
            <w:pPr>
              <w:rPr>
                <w:rFonts w:ascii="宋体"/>
              </w:rPr>
            </w:pPr>
          </w:p>
        </w:tc>
        <w:tc>
          <w:tcPr>
            <w:tcW w:w="5" w:type="pct"/>
            <w:shd w:val="clear" w:color="auto" w:fill="auto"/>
          </w:tcPr>
          <w:p w14:paraId="33DAD86F" w14:textId="77777777" w:rsidR="004D6A64" w:rsidRDefault="004D6A64">
            <w:pPr>
              <w:rPr>
                <w:rFonts w:ascii="宋体"/>
              </w:rPr>
            </w:pPr>
          </w:p>
        </w:tc>
        <w:tc>
          <w:tcPr>
            <w:tcW w:w="5" w:type="pct"/>
            <w:shd w:val="clear" w:color="auto" w:fill="auto"/>
          </w:tcPr>
          <w:p w14:paraId="33DAD870" w14:textId="77777777" w:rsidR="004D6A64" w:rsidRDefault="004D6A64">
            <w:pPr>
              <w:rPr>
                <w:rFonts w:ascii="宋体"/>
              </w:rPr>
            </w:pPr>
          </w:p>
        </w:tc>
        <w:tc>
          <w:tcPr>
            <w:tcW w:w="19" w:type="pct"/>
            <w:shd w:val="clear" w:color="auto" w:fill="auto"/>
          </w:tcPr>
          <w:p w14:paraId="33DAD871" w14:textId="77777777" w:rsidR="004D6A64" w:rsidRDefault="004D6A64">
            <w:pPr>
              <w:rPr>
                <w:rFonts w:ascii="宋体"/>
              </w:rPr>
            </w:pPr>
          </w:p>
        </w:tc>
        <w:tc>
          <w:tcPr>
            <w:tcW w:w="5" w:type="pct"/>
            <w:shd w:val="clear" w:color="auto" w:fill="auto"/>
          </w:tcPr>
          <w:p w14:paraId="33DAD872" w14:textId="77777777" w:rsidR="004D6A64" w:rsidRDefault="004D6A64">
            <w:pPr>
              <w:rPr>
                <w:rFonts w:ascii="宋体"/>
              </w:rPr>
            </w:pPr>
          </w:p>
        </w:tc>
        <w:tc>
          <w:tcPr>
            <w:tcW w:w="50" w:type="pct"/>
            <w:shd w:val="clear" w:color="auto" w:fill="auto"/>
          </w:tcPr>
          <w:p w14:paraId="33DAD873" w14:textId="77777777" w:rsidR="004D6A64" w:rsidRDefault="004D6A64">
            <w:pPr>
              <w:rPr>
                <w:rFonts w:ascii="宋体"/>
              </w:rPr>
            </w:pPr>
          </w:p>
        </w:tc>
        <w:tc>
          <w:tcPr>
            <w:tcW w:w="624" w:type="pct"/>
            <w:shd w:val="clear" w:color="auto" w:fill="auto"/>
          </w:tcPr>
          <w:p w14:paraId="33DAD874" w14:textId="77777777" w:rsidR="004D6A64" w:rsidRDefault="004D6A64">
            <w:pPr>
              <w:rPr>
                <w:rFonts w:ascii="宋体"/>
              </w:rPr>
            </w:pPr>
          </w:p>
        </w:tc>
        <w:tc>
          <w:tcPr>
            <w:tcW w:w="5" w:type="pct"/>
            <w:shd w:val="clear" w:color="auto" w:fill="auto"/>
          </w:tcPr>
          <w:p w14:paraId="33DAD875" w14:textId="77777777" w:rsidR="004D6A64" w:rsidRDefault="004D6A64">
            <w:pPr>
              <w:rPr>
                <w:rFonts w:ascii="宋体"/>
              </w:rPr>
            </w:pPr>
          </w:p>
        </w:tc>
        <w:tc>
          <w:tcPr>
            <w:tcW w:w="5" w:type="pct"/>
            <w:shd w:val="clear" w:color="auto" w:fill="auto"/>
          </w:tcPr>
          <w:p w14:paraId="33DAD876" w14:textId="77777777" w:rsidR="004D6A64" w:rsidRDefault="004D6A64">
            <w:pPr>
              <w:rPr>
                <w:rFonts w:ascii="宋体"/>
              </w:rPr>
            </w:pPr>
          </w:p>
        </w:tc>
        <w:tc>
          <w:tcPr>
            <w:tcW w:w="19" w:type="pct"/>
            <w:shd w:val="clear" w:color="auto" w:fill="auto"/>
          </w:tcPr>
          <w:p w14:paraId="33DAD877" w14:textId="77777777" w:rsidR="004D6A64" w:rsidRDefault="004D6A64">
            <w:pPr>
              <w:rPr>
                <w:rFonts w:ascii="宋体"/>
              </w:rPr>
            </w:pPr>
          </w:p>
        </w:tc>
        <w:tc>
          <w:tcPr>
            <w:tcW w:w="5" w:type="pct"/>
            <w:shd w:val="clear" w:color="auto" w:fill="auto"/>
          </w:tcPr>
          <w:p w14:paraId="33DAD878" w14:textId="77777777" w:rsidR="004D6A64" w:rsidRDefault="004D6A64">
            <w:pPr>
              <w:rPr>
                <w:rFonts w:ascii="宋体"/>
              </w:rPr>
            </w:pPr>
          </w:p>
        </w:tc>
        <w:tc>
          <w:tcPr>
            <w:tcW w:w="50" w:type="pct"/>
            <w:shd w:val="clear" w:color="auto" w:fill="auto"/>
          </w:tcPr>
          <w:p w14:paraId="33DAD879" w14:textId="77777777" w:rsidR="004D6A64" w:rsidRDefault="004D6A64">
            <w:pPr>
              <w:rPr>
                <w:rFonts w:ascii="宋体"/>
              </w:rPr>
            </w:pPr>
          </w:p>
        </w:tc>
        <w:tc>
          <w:tcPr>
            <w:tcW w:w="624" w:type="pct"/>
            <w:shd w:val="clear" w:color="auto" w:fill="auto"/>
          </w:tcPr>
          <w:p w14:paraId="33DAD87A" w14:textId="77777777" w:rsidR="004D6A64" w:rsidRDefault="004D6A64">
            <w:pPr>
              <w:rPr>
                <w:rFonts w:ascii="宋体"/>
              </w:rPr>
            </w:pPr>
          </w:p>
        </w:tc>
        <w:tc>
          <w:tcPr>
            <w:tcW w:w="5" w:type="pct"/>
            <w:shd w:val="clear" w:color="auto" w:fill="auto"/>
          </w:tcPr>
          <w:p w14:paraId="33DAD87B" w14:textId="77777777" w:rsidR="004D6A64" w:rsidRDefault="004D6A64">
            <w:pPr>
              <w:rPr>
                <w:rFonts w:ascii="宋体"/>
              </w:rPr>
            </w:pPr>
          </w:p>
        </w:tc>
        <w:tc>
          <w:tcPr>
            <w:tcW w:w="5" w:type="pct"/>
            <w:shd w:val="clear" w:color="auto" w:fill="auto"/>
          </w:tcPr>
          <w:p w14:paraId="33DAD87C" w14:textId="77777777" w:rsidR="004D6A64" w:rsidRDefault="004D6A64">
            <w:pPr>
              <w:rPr>
                <w:rFonts w:ascii="宋体"/>
              </w:rPr>
            </w:pPr>
          </w:p>
        </w:tc>
        <w:tc>
          <w:tcPr>
            <w:tcW w:w="19" w:type="pct"/>
            <w:shd w:val="clear" w:color="auto" w:fill="auto"/>
          </w:tcPr>
          <w:p w14:paraId="33DAD87D" w14:textId="77777777" w:rsidR="004D6A64" w:rsidRDefault="004D6A64">
            <w:pPr>
              <w:rPr>
                <w:rFonts w:ascii="宋体"/>
              </w:rPr>
            </w:pPr>
          </w:p>
        </w:tc>
        <w:tc>
          <w:tcPr>
            <w:tcW w:w="5" w:type="pct"/>
            <w:shd w:val="clear" w:color="auto" w:fill="auto"/>
          </w:tcPr>
          <w:p w14:paraId="33DAD87E" w14:textId="77777777" w:rsidR="004D6A64" w:rsidRDefault="004D6A64">
            <w:pPr>
              <w:rPr>
                <w:rFonts w:ascii="宋体"/>
              </w:rPr>
            </w:pPr>
          </w:p>
        </w:tc>
        <w:tc>
          <w:tcPr>
            <w:tcW w:w="50" w:type="pct"/>
            <w:shd w:val="clear" w:color="auto" w:fill="auto"/>
          </w:tcPr>
          <w:p w14:paraId="33DAD87F" w14:textId="77777777" w:rsidR="004D6A64" w:rsidRDefault="004D6A64">
            <w:pPr>
              <w:rPr>
                <w:rFonts w:ascii="宋体"/>
              </w:rPr>
            </w:pPr>
          </w:p>
        </w:tc>
        <w:tc>
          <w:tcPr>
            <w:tcW w:w="625" w:type="pct"/>
            <w:shd w:val="clear" w:color="auto" w:fill="auto"/>
          </w:tcPr>
          <w:p w14:paraId="33DAD880" w14:textId="77777777" w:rsidR="004D6A64" w:rsidRDefault="004D6A64">
            <w:pPr>
              <w:rPr>
                <w:rFonts w:ascii="宋体"/>
              </w:rPr>
            </w:pPr>
          </w:p>
        </w:tc>
        <w:tc>
          <w:tcPr>
            <w:tcW w:w="5" w:type="pct"/>
            <w:shd w:val="clear" w:color="auto" w:fill="auto"/>
          </w:tcPr>
          <w:p w14:paraId="33DAD881" w14:textId="77777777" w:rsidR="004D6A64" w:rsidRDefault="004D6A64">
            <w:pPr>
              <w:rPr>
                <w:rFonts w:ascii="宋体"/>
              </w:rPr>
            </w:pPr>
          </w:p>
        </w:tc>
      </w:tr>
      <w:tr w:rsidR="004D6A64" w14:paraId="33DAD88B" w14:textId="77777777">
        <w:trPr>
          <w:gridAfter w:val="6"/>
        </w:trPr>
        <w:tc>
          <w:tcPr>
            <w:tcW w:w="0" w:type="auto"/>
            <w:gridSpan w:val="3"/>
            <w:shd w:val="clear" w:color="auto" w:fill="auto"/>
            <w:tcMar>
              <w:left w:w="20" w:type="dxa"/>
              <w:right w:w="20" w:type="dxa"/>
            </w:tcMar>
            <w:vAlign w:val="bottom"/>
          </w:tcPr>
          <w:p w14:paraId="33DAD883" w14:textId="77777777" w:rsidR="004D6A64" w:rsidRDefault="004D6A64">
            <w:pPr>
              <w:rPr>
                <w:rFonts w:ascii="宋体"/>
              </w:rPr>
            </w:pPr>
          </w:p>
        </w:tc>
        <w:tc>
          <w:tcPr>
            <w:tcW w:w="0" w:type="auto"/>
            <w:gridSpan w:val="9"/>
            <w:shd w:val="clear" w:color="auto" w:fill="auto"/>
            <w:tcMar>
              <w:top w:w="40" w:type="dxa"/>
              <w:left w:w="20" w:type="dxa"/>
              <w:bottom w:w="40" w:type="dxa"/>
              <w:right w:w="20" w:type="dxa"/>
            </w:tcMar>
            <w:vAlign w:val="bottom"/>
          </w:tcPr>
          <w:p w14:paraId="33DAD884" w14:textId="77777777" w:rsidR="004D6A64" w:rsidRDefault="00506CD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Pr>
          <w:p w14:paraId="33DAD885" w14:textId="77777777" w:rsidR="004D6A64" w:rsidRDefault="004D6A64">
            <w:pPr>
              <w:rPr>
                <w:rFonts w:ascii="宋体"/>
                <w:vanish/>
              </w:rPr>
            </w:pPr>
          </w:p>
        </w:tc>
        <w:tc>
          <w:tcPr>
            <w:tcW w:w="0" w:type="auto"/>
            <w:gridSpan w:val="3"/>
            <w:shd w:val="clear" w:color="auto" w:fill="auto"/>
          </w:tcPr>
          <w:p w14:paraId="33DAD886"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D887" w14:textId="77777777" w:rsidR="004D6A64" w:rsidRDefault="004D6A64">
            <w:pPr>
              <w:rPr>
                <w:rFonts w:ascii="宋体"/>
              </w:rPr>
            </w:pPr>
          </w:p>
        </w:tc>
        <w:tc>
          <w:tcPr>
            <w:tcW w:w="0" w:type="auto"/>
            <w:gridSpan w:val="9"/>
            <w:shd w:val="clear" w:color="auto" w:fill="auto"/>
            <w:tcMar>
              <w:top w:w="40" w:type="dxa"/>
              <w:left w:w="20" w:type="dxa"/>
              <w:bottom w:w="40" w:type="dxa"/>
              <w:right w:w="20" w:type="dxa"/>
            </w:tcMar>
            <w:vAlign w:val="bottom"/>
          </w:tcPr>
          <w:p w14:paraId="33DAD888" w14:textId="77777777" w:rsidR="004D6A64" w:rsidRDefault="00506CD6">
            <w:pPr>
              <w:jc w:val="center"/>
              <w:textAlignment w:val="bottom"/>
            </w:pPr>
            <w:r>
              <w:rPr>
                <w:rFonts w:ascii="Times New Roman" w:eastAsia="宋体" w:hAnsi="Times New Roman"/>
                <w:b/>
                <w:bCs/>
                <w:color w:val="000000"/>
                <w:sz w:val="20"/>
                <w:szCs w:val="20"/>
              </w:rPr>
              <w:t>Six Months Ended</w:t>
            </w:r>
          </w:p>
        </w:tc>
        <w:tc>
          <w:tcPr>
            <w:tcW w:w="0" w:type="auto"/>
            <w:gridSpan w:val="3"/>
            <w:shd w:val="clear" w:color="auto" w:fill="auto"/>
          </w:tcPr>
          <w:p w14:paraId="33DAD889" w14:textId="77777777" w:rsidR="004D6A64" w:rsidRDefault="004D6A64">
            <w:pPr>
              <w:rPr>
                <w:rFonts w:ascii="宋体"/>
                <w:vanish/>
              </w:rPr>
            </w:pPr>
          </w:p>
        </w:tc>
        <w:tc>
          <w:tcPr>
            <w:tcW w:w="0" w:type="auto"/>
            <w:gridSpan w:val="3"/>
            <w:shd w:val="clear" w:color="auto" w:fill="auto"/>
          </w:tcPr>
          <w:p w14:paraId="33DAD88A" w14:textId="77777777" w:rsidR="004D6A64" w:rsidRDefault="004D6A64">
            <w:pPr>
              <w:rPr>
                <w:rFonts w:ascii="宋体"/>
                <w:vanish/>
              </w:rPr>
            </w:pPr>
          </w:p>
        </w:tc>
      </w:tr>
      <w:tr w:rsidR="004D6A64" w14:paraId="33DAD8A0" w14:textId="77777777">
        <w:trPr>
          <w:gridAfter w:val="6"/>
        </w:trPr>
        <w:tc>
          <w:tcPr>
            <w:tcW w:w="0" w:type="auto"/>
            <w:gridSpan w:val="3"/>
            <w:shd w:val="clear" w:color="auto" w:fill="auto"/>
            <w:tcMar>
              <w:left w:w="20" w:type="dxa"/>
              <w:right w:w="20" w:type="dxa"/>
            </w:tcMar>
            <w:vAlign w:val="bottom"/>
          </w:tcPr>
          <w:p w14:paraId="33DAD88C"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D88D"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D88E"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D88F"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gridSpan w:val="3"/>
            <w:shd w:val="clear" w:color="auto" w:fill="auto"/>
            <w:tcMar>
              <w:left w:w="20" w:type="dxa"/>
              <w:right w:w="20" w:type="dxa"/>
            </w:tcMar>
            <w:vAlign w:val="bottom"/>
          </w:tcPr>
          <w:p w14:paraId="33DAD890"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D891"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D892"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D893"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shd w:val="clear" w:color="auto" w:fill="auto"/>
          </w:tcPr>
          <w:p w14:paraId="33DAD894" w14:textId="77777777" w:rsidR="004D6A64" w:rsidRDefault="004D6A64">
            <w:pPr>
              <w:rPr>
                <w:rFonts w:ascii="宋体"/>
              </w:rPr>
            </w:pPr>
          </w:p>
        </w:tc>
        <w:tc>
          <w:tcPr>
            <w:tcW w:w="0" w:type="auto"/>
            <w:shd w:val="clear" w:color="auto" w:fill="auto"/>
          </w:tcPr>
          <w:p w14:paraId="33DAD895" w14:textId="77777777" w:rsidR="004D6A64" w:rsidRDefault="004D6A64">
            <w:pPr>
              <w:rPr>
                <w:rFonts w:ascii="宋体"/>
              </w:rPr>
            </w:pPr>
          </w:p>
        </w:tc>
        <w:tc>
          <w:tcPr>
            <w:tcW w:w="0" w:type="auto"/>
            <w:shd w:val="clear" w:color="auto" w:fill="auto"/>
          </w:tcPr>
          <w:p w14:paraId="33DAD896" w14:textId="77777777" w:rsidR="004D6A64" w:rsidRDefault="004D6A64">
            <w:pPr>
              <w:rPr>
                <w:rFonts w:ascii="宋体"/>
              </w:rPr>
            </w:pPr>
          </w:p>
        </w:tc>
        <w:tc>
          <w:tcPr>
            <w:tcW w:w="0" w:type="auto"/>
            <w:shd w:val="clear" w:color="auto" w:fill="auto"/>
          </w:tcPr>
          <w:p w14:paraId="33DAD897" w14:textId="77777777" w:rsidR="004D6A64" w:rsidRDefault="004D6A64">
            <w:pPr>
              <w:rPr>
                <w:rFonts w:ascii="宋体"/>
              </w:rPr>
            </w:pPr>
          </w:p>
        </w:tc>
        <w:tc>
          <w:tcPr>
            <w:tcW w:w="0" w:type="auto"/>
            <w:shd w:val="clear" w:color="auto" w:fill="auto"/>
          </w:tcPr>
          <w:p w14:paraId="33DAD898" w14:textId="77777777" w:rsidR="004D6A64" w:rsidRDefault="004D6A64">
            <w:pPr>
              <w:rPr>
                <w:rFonts w:ascii="宋体"/>
              </w:rPr>
            </w:pPr>
          </w:p>
        </w:tc>
        <w:tc>
          <w:tcPr>
            <w:tcW w:w="0" w:type="auto"/>
            <w:shd w:val="clear" w:color="auto" w:fill="auto"/>
          </w:tcPr>
          <w:p w14:paraId="33DAD899" w14:textId="77777777" w:rsidR="004D6A64" w:rsidRDefault="004D6A64">
            <w:pPr>
              <w:rPr>
                <w:rFonts w:ascii="宋体"/>
              </w:rPr>
            </w:pPr>
          </w:p>
        </w:tc>
        <w:tc>
          <w:tcPr>
            <w:tcW w:w="0" w:type="auto"/>
            <w:shd w:val="clear" w:color="auto" w:fill="auto"/>
          </w:tcPr>
          <w:p w14:paraId="33DAD89A" w14:textId="77777777" w:rsidR="004D6A64" w:rsidRDefault="004D6A64">
            <w:pPr>
              <w:rPr>
                <w:rFonts w:ascii="宋体"/>
              </w:rPr>
            </w:pPr>
          </w:p>
        </w:tc>
        <w:tc>
          <w:tcPr>
            <w:tcW w:w="0" w:type="auto"/>
            <w:shd w:val="clear" w:color="auto" w:fill="auto"/>
          </w:tcPr>
          <w:p w14:paraId="33DAD89B" w14:textId="77777777" w:rsidR="004D6A64" w:rsidRDefault="004D6A64">
            <w:pPr>
              <w:rPr>
                <w:rFonts w:ascii="宋体"/>
              </w:rPr>
            </w:pPr>
          </w:p>
        </w:tc>
        <w:tc>
          <w:tcPr>
            <w:tcW w:w="0" w:type="auto"/>
            <w:shd w:val="clear" w:color="auto" w:fill="auto"/>
          </w:tcPr>
          <w:p w14:paraId="33DAD89C" w14:textId="77777777" w:rsidR="004D6A64" w:rsidRDefault="004D6A64">
            <w:pPr>
              <w:rPr>
                <w:rFonts w:ascii="宋体"/>
              </w:rPr>
            </w:pPr>
          </w:p>
        </w:tc>
        <w:tc>
          <w:tcPr>
            <w:tcW w:w="0" w:type="auto"/>
            <w:shd w:val="clear" w:color="auto" w:fill="auto"/>
          </w:tcPr>
          <w:p w14:paraId="33DAD89D" w14:textId="77777777" w:rsidR="004D6A64" w:rsidRDefault="004D6A64">
            <w:pPr>
              <w:rPr>
                <w:rFonts w:ascii="宋体"/>
              </w:rPr>
            </w:pPr>
          </w:p>
        </w:tc>
        <w:tc>
          <w:tcPr>
            <w:tcW w:w="0" w:type="auto"/>
            <w:shd w:val="clear" w:color="auto" w:fill="auto"/>
          </w:tcPr>
          <w:p w14:paraId="33DAD89E" w14:textId="77777777" w:rsidR="004D6A64" w:rsidRDefault="004D6A64">
            <w:pPr>
              <w:rPr>
                <w:rFonts w:ascii="宋体"/>
              </w:rPr>
            </w:pPr>
          </w:p>
        </w:tc>
        <w:tc>
          <w:tcPr>
            <w:tcW w:w="0" w:type="auto"/>
            <w:shd w:val="clear" w:color="auto" w:fill="auto"/>
          </w:tcPr>
          <w:p w14:paraId="33DAD89F" w14:textId="77777777" w:rsidR="004D6A64" w:rsidRDefault="004D6A64">
            <w:pPr>
              <w:rPr>
                <w:rFonts w:ascii="宋体"/>
              </w:rPr>
            </w:pPr>
          </w:p>
        </w:tc>
      </w:tr>
      <w:tr w:rsidR="004D6A64" w14:paraId="33DAD8A9" w14:textId="77777777">
        <w:tc>
          <w:tcPr>
            <w:tcW w:w="0" w:type="auto"/>
            <w:gridSpan w:val="3"/>
            <w:shd w:val="clear" w:color="auto" w:fill="auto"/>
            <w:tcMar>
              <w:left w:w="20" w:type="dxa"/>
              <w:right w:w="20" w:type="dxa"/>
            </w:tcMar>
            <w:vAlign w:val="bottom"/>
          </w:tcPr>
          <w:p w14:paraId="33DAD8A1" w14:textId="77777777" w:rsidR="004D6A64" w:rsidRDefault="004D6A64">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33DAD8A2" w14:textId="77777777" w:rsidR="004D6A64" w:rsidRDefault="00506CD6">
            <w:pPr>
              <w:jc w:val="center"/>
              <w:textAlignment w:val="bottom"/>
            </w:pPr>
            <w:r>
              <w:rPr>
                <w:rFonts w:ascii="Times New Roman" w:eastAsia="宋体" w:hAnsi="Times New Roman"/>
                <w:color w:val="000000"/>
                <w:sz w:val="20"/>
                <w:szCs w:val="20"/>
              </w:rPr>
              <w:t>(in millions)</w:t>
            </w:r>
          </w:p>
        </w:tc>
        <w:tc>
          <w:tcPr>
            <w:tcW w:w="0" w:type="auto"/>
            <w:gridSpan w:val="3"/>
            <w:shd w:val="clear" w:color="auto" w:fill="auto"/>
          </w:tcPr>
          <w:p w14:paraId="33DAD8A3" w14:textId="77777777" w:rsidR="004D6A64" w:rsidRDefault="004D6A64">
            <w:pPr>
              <w:rPr>
                <w:rFonts w:ascii="宋体"/>
                <w:vanish/>
              </w:rPr>
            </w:pPr>
          </w:p>
        </w:tc>
        <w:tc>
          <w:tcPr>
            <w:tcW w:w="0" w:type="auto"/>
            <w:gridSpan w:val="3"/>
            <w:shd w:val="clear" w:color="auto" w:fill="auto"/>
          </w:tcPr>
          <w:p w14:paraId="33DAD8A4" w14:textId="77777777" w:rsidR="004D6A64" w:rsidRDefault="004D6A64">
            <w:pPr>
              <w:rPr>
                <w:rFonts w:ascii="宋体"/>
                <w:vanish/>
              </w:rPr>
            </w:pPr>
          </w:p>
        </w:tc>
        <w:tc>
          <w:tcPr>
            <w:tcW w:w="0" w:type="auto"/>
            <w:gridSpan w:val="3"/>
            <w:shd w:val="clear" w:color="auto" w:fill="auto"/>
          </w:tcPr>
          <w:p w14:paraId="33DAD8A5" w14:textId="77777777" w:rsidR="004D6A64" w:rsidRDefault="004D6A64">
            <w:pPr>
              <w:rPr>
                <w:rFonts w:ascii="宋体"/>
                <w:vanish/>
              </w:rPr>
            </w:pPr>
          </w:p>
        </w:tc>
        <w:tc>
          <w:tcPr>
            <w:tcW w:w="0" w:type="auto"/>
            <w:gridSpan w:val="3"/>
            <w:shd w:val="clear" w:color="auto" w:fill="auto"/>
          </w:tcPr>
          <w:p w14:paraId="33DAD8A6" w14:textId="77777777" w:rsidR="004D6A64" w:rsidRDefault="004D6A64">
            <w:pPr>
              <w:rPr>
                <w:rFonts w:ascii="宋体"/>
                <w:vanish/>
              </w:rPr>
            </w:pPr>
          </w:p>
        </w:tc>
        <w:tc>
          <w:tcPr>
            <w:tcW w:w="0" w:type="auto"/>
            <w:gridSpan w:val="3"/>
            <w:shd w:val="clear" w:color="auto" w:fill="auto"/>
          </w:tcPr>
          <w:p w14:paraId="33DAD8A7" w14:textId="77777777" w:rsidR="004D6A64" w:rsidRDefault="004D6A64">
            <w:pPr>
              <w:rPr>
                <w:rFonts w:ascii="宋体"/>
                <w:vanish/>
              </w:rPr>
            </w:pPr>
          </w:p>
        </w:tc>
        <w:tc>
          <w:tcPr>
            <w:tcW w:w="0" w:type="auto"/>
            <w:gridSpan w:val="3"/>
            <w:shd w:val="clear" w:color="auto" w:fill="auto"/>
          </w:tcPr>
          <w:p w14:paraId="33DAD8A8" w14:textId="77777777" w:rsidR="004D6A64" w:rsidRDefault="004D6A64">
            <w:pPr>
              <w:rPr>
                <w:rFonts w:ascii="宋体"/>
                <w:vanish/>
              </w:rPr>
            </w:pPr>
          </w:p>
        </w:tc>
      </w:tr>
      <w:tr w:rsidR="004D6A64" w14:paraId="33DAD8C4" w14:textId="77777777">
        <w:tc>
          <w:tcPr>
            <w:tcW w:w="0" w:type="auto"/>
            <w:gridSpan w:val="3"/>
            <w:shd w:val="clear" w:color="auto" w:fill="CCEEFF"/>
            <w:tcMar>
              <w:top w:w="40" w:type="dxa"/>
              <w:left w:w="20" w:type="dxa"/>
              <w:bottom w:w="40" w:type="dxa"/>
              <w:right w:w="20" w:type="dxa"/>
            </w:tcMar>
            <w:vAlign w:val="bottom"/>
          </w:tcPr>
          <w:p w14:paraId="33DAD8AA" w14:textId="77777777" w:rsidR="004D6A64" w:rsidRDefault="00506CD6">
            <w:pPr>
              <w:textAlignment w:val="bottom"/>
            </w:pPr>
            <w:r>
              <w:rPr>
                <w:rFonts w:ascii="Times New Roman" w:eastAsia="宋体" w:hAnsi="Times New Roman"/>
                <w:i/>
                <w:iCs/>
                <w:color w:val="000000"/>
                <w:sz w:val="20"/>
                <w:szCs w:val="20"/>
              </w:rPr>
              <w:t>Warranty liability:</w:t>
            </w:r>
          </w:p>
        </w:tc>
        <w:tc>
          <w:tcPr>
            <w:tcW w:w="0" w:type="auto"/>
            <w:gridSpan w:val="3"/>
            <w:shd w:val="clear" w:color="auto" w:fill="CCEEFF"/>
            <w:tcMar>
              <w:left w:w="20" w:type="dxa"/>
              <w:right w:w="20" w:type="dxa"/>
            </w:tcMar>
            <w:vAlign w:val="bottom"/>
          </w:tcPr>
          <w:p w14:paraId="33DAD8AB"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8A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8A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8AE"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8AF"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8B0"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8B1" w14:textId="77777777" w:rsidR="004D6A64" w:rsidRDefault="004D6A64">
            <w:pPr>
              <w:rPr>
                <w:rFonts w:ascii="宋体"/>
              </w:rPr>
            </w:pPr>
          </w:p>
        </w:tc>
        <w:tc>
          <w:tcPr>
            <w:tcW w:w="0" w:type="auto"/>
            <w:shd w:val="clear" w:color="auto" w:fill="auto"/>
          </w:tcPr>
          <w:p w14:paraId="33DAD8B2" w14:textId="77777777" w:rsidR="004D6A64" w:rsidRDefault="004D6A64">
            <w:pPr>
              <w:rPr>
                <w:rFonts w:ascii="宋体"/>
              </w:rPr>
            </w:pPr>
          </w:p>
        </w:tc>
        <w:tc>
          <w:tcPr>
            <w:tcW w:w="0" w:type="auto"/>
            <w:shd w:val="clear" w:color="auto" w:fill="auto"/>
          </w:tcPr>
          <w:p w14:paraId="33DAD8B3" w14:textId="77777777" w:rsidR="004D6A64" w:rsidRDefault="004D6A64">
            <w:pPr>
              <w:rPr>
                <w:rFonts w:ascii="宋体"/>
              </w:rPr>
            </w:pPr>
          </w:p>
        </w:tc>
        <w:tc>
          <w:tcPr>
            <w:tcW w:w="0" w:type="auto"/>
            <w:shd w:val="clear" w:color="auto" w:fill="auto"/>
          </w:tcPr>
          <w:p w14:paraId="33DAD8B4" w14:textId="77777777" w:rsidR="004D6A64" w:rsidRDefault="004D6A64">
            <w:pPr>
              <w:rPr>
                <w:rFonts w:ascii="宋体"/>
              </w:rPr>
            </w:pPr>
          </w:p>
        </w:tc>
        <w:tc>
          <w:tcPr>
            <w:tcW w:w="0" w:type="auto"/>
            <w:shd w:val="clear" w:color="auto" w:fill="auto"/>
          </w:tcPr>
          <w:p w14:paraId="33DAD8B5" w14:textId="77777777" w:rsidR="004D6A64" w:rsidRDefault="004D6A64">
            <w:pPr>
              <w:rPr>
                <w:rFonts w:ascii="宋体"/>
              </w:rPr>
            </w:pPr>
          </w:p>
        </w:tc>
        <w:tc>
          <w:tcPr>
            <w:tcW w:w="0" w:type="auto"/>
            <w:shd w:val="clear" w:color="auto" w:fill="auto"/>
          </w:tcPr>
          <w:p w14:paraId="33DAD8B6" w14:textId="77777777" w:rsidR="004D6A64" w:rsidRDefault="004D6A64">
            <w:pPr>
              <w:rPr>
                <w:rFonts w:ascii="宋体"/>
              </w:rPr>
            </w:pPr>
          </w:p>
        </w:tc>
        <w:tc>
          <w:tcPr>
            <w:tcW w:w="0" w:type="auto"/>
            <w:shd w:val="clear" w:color="auto" w:fill="auto"/>
          </w:tcPr>
          <w:p w14:paraId="33DAD8B7" w14:textId="77777777" w:rsidR="004D6A64" w:rsidRDefault="004D6A64">
            <w:pPr>
              <w:rPr>
                <w:rFonts w:ascii="宋体"/>
              </w:rPr>
            </w:pPr>
          </w:p>
        </w:tc>
        <w:tc>
          <w:tcPr>
            <w:tcW w:w="0" w:type="auto"/>
            <w:shd w:val="clear" w:color="auto" w:fill="auto"/>
          </w:tcPr>
          <w:p w14:paraId="33DAD8B8" w14:textId="77777777" w:rsidR="004D6A64" w:rsidRDefault="004D6A64">
            <w:pPr>
              <w:rPr>
                <w:rFonts w:ascii="宋体"/>
              </w:rPr>
            </w:pPr>
          </w:p>
        </w:tc>
        <w:tc>
          <w:tcPr>
            <w:tcW w:w="0" w:type="auto"/>
            <w:shd w:val="clear" w:color="auto" w:fill="auto"/>
          </w:tcPr>
          <w:p w14:paraId="33DAD8B9" w14:textId="77777777" w:rsidR="004D6A64" w:rsidRDefault="004D6A64">
            <w:pPr>
              <w:rPr>
                <w:rFonts w:ascii="宋体"/>
              </w:rPr>
            </w:pPr>
          </w:p>
        </w:tc>
        <w:tc>
          <w:tcPr>
            <w:tcW w:w="0" w:type="auto"/>
            <w:shd w:val="clear" w:color="auto" w:fill="auto"/>
          </w:tcPr>
          <w:p w14:paraId="33DAD8BA" w14:textId="77777777" w:rsidR="004D6A64" w:rsidRDefault="004D6A64">
            <w:pPr>
              <w:rPr>
                <w:rFonts w:ascii="宋体"/>
              </w:rPr>
            </w:pPr>
          </w:p>
        </w:tc>
        <w:tc>
          <w:tcPr>
            <w:tcW w:w="0" w:type="auto"/>
            <w:shd w:val="clear" w:color="auto" w:fill="auto"/>
          </w:tcPr>
          <w:p w14:paraId="33DAD8BB" w14:textId="77777777" w:rsidR="004D6A64" w:rsidRDefault="004D6A64">
            <w:pPr>
              <w:rPr>
                <w:rFonts w:ascii="宋体"/>
              </w:rPr>
            </w:pPr>
          </w:p>
        </w:tc>
        <w:tc>
          <w:tcPr>
            <w:tcW w:w="0" w:type="auto"/>
            <w:shd w:val="clear" w:color="auto" w:fill="auto"/>
          </w:tcPr>
          <w:p w14:paraId="33DAD8BC" w14:textId="77777777" w:rsidR="004D6A64" w:rsidRDefault="004D6A64">
            <w:pPr>
              <w:rPr>
                <w:rFonts w:ascii="宋体"/>
              </w:rPr>
            </w:pPr>
          </w:p>
        </w:tc>
        <w:tc>
          <w:tcPr>
            <w:tcW w:w="0" w:type="auto"/>
            <w:shd w:val="clear" w:color="auto" w:fill="auto"/>
          </w:tcPr>
          <w:p w14:paraId="33DAD8BD" w14:textId="77777777" w:rsidR="004D6A64" w:rsidRDefault="004D6A64">
            <w:pPr>
              <w:rPr>
                <w:rFonts w:ascii="宋体"/>
              </w:rPr>
            </w:pPr>
          </w:p>
        </w:tc>
        <w:tc>
          <w:tcPr>
            <w:tcW w:w="0" w:type="auto"/>
            <w:shd w:val="clear" w:color="auto" w:fill="auto"/>
          </w:tcPr>
          <w:p w14:paraId="33DAD8BE" w14:textId="77777777" w:rsidR="004D6A64" w:rsidRDefault="004D6A64">
            <w:pPr>
              <w:rPr>
                <w:rFonts w:ascii="宋体"/>
              </w:rPr>
            </w:pPr>
          </w:p>
        </w:tc>
        <w:tc>
          <w:tcPr>
            <w:tcW w:w="0" w:type="auto"/>
            <w:shd w:val="clear" w:color="auto" w:fill="auto"/>
          </w:tcPr>
          <w:p w14:paraId="33DAD8BF" w14:textId="77777777" w:rsidR="004D6A64" w:rsidRDefault="004D6A64">
            <w:pPr>
              <w:rPr>
                <w:rFonts w:ascii="宋体"/>
              </w:rPr>
            </w:pPr>
          </w:p>
        </w:tc>
        <w:tc>
          <w:tcPr>
            <w:tcW w:w="0" w:type="auto"/>
            <w:shd w:val="clear" w:color="auto" w:fill="auto"/>
          </w:tcPr>
          <w:p w14:paraId="33DAD8C0" w14:textId="77777777" w:rsidR="004D6A64" w:rsidRDefault="004D6A64">
            <w:pPr>
              <w:rPr>
                <w:rFonts w:ascii="宋体"/>
              </w:rPr>
            </w:pPr>
          </w:p>
        </w:tc>
        <w:tc>
          <w:tcPr>
            <w:tcW w:w="0" w:type="auto"/>
            <w:shd w:val="clear" w:color="auto" w:fill="auto"/>
          </w:tcPr>
          <w:p w14:paraId="33DAD8C1" w14:textId="77777777" w:rsidR="004D6A64" w:rsidRDefault="004D6A64">
            <w:pPr>
              <w:rPr>
                <w:rFonts w:ascii="宋体"/>
              </w:rPr>
            </w:pPr>
          </w:p>
        </w:tc>
        <w:tc>
          <w:tcPr>
            <w:tcW w:w="0" w:type="auto"/>
            <w:shd w:val="clear" w:color="auto" w:fill="auto"/>
          </w:tcPr>
          <w:p w14:paraId="33DAD8C2" w14:textId="77777777" w:rsidR="004D6A64" w:rsidRDefault="004D6A64">
            <w:pPr>
              <w:rPr>
                <w:rFonts w:ascii="宋体"/>
              </w:rPr>
            </w:pPr>
          </w:p>
        </w:tc>
        <w:tc>
          <w:tcPr>
            <w:tcW w:w="0" w:type="auto"/>
            <w:shd w:val="clear" w:color="auto" w:fill="auto"/>
          </w:tcPr>
          <w:p w14:paraId="33DAD8C3" w14:textId="77777777" w:rsidR="004D6A64" w:rsidRDefault="004D6A64">
            <w:pPr>
              <w:rPr>
                <w:rFonts w:ascii="宋体"/>
              </w:rPr>
            </w:pPr>
          </w:p>
        </w:tc>
      </w:tr>
      <w:tr w:rsidR="004D6A64" w14:paraId="33DAD8E7" w14:textId="77777777">
        <w:tc>
          <w:tcPr>
            <w:tcW w:w="0" w:type="auto"/>
            <w:gridSpan w:val="3"/>
            <w:shd w:val="clear" w:color="auto" w:fill="FFFFFF"/>
            <w:tcMar>
              <w:top w:w="40" w:type="dxa"/>
              <w:left w:w="20" w:type="dxa"/>
              <w:bottom w:w="40" w:type="dxa"/>
              <w:right w:w="20" w:type="dxa"/>
            </w:tcMar>
            <w:vAlign w:val="bottom"/>
          </w:tcPr>
          <w:p w14:paraId="33DAD8C5" w14:textId="77777777" w:rsidR="004D6A64" w:rsidRDefault="00506CD6">
            <w:pPr>
              <w:textAlignment w:val="bottom"/>
            </w:pPr>
            <w:r>
              <w:rPr>
                <w:rFonts w:ascii="Times New Roman" w:eastAsia="宋体" w:hAnsi="Times New Roman"/>
                <w:color w:val="000000"/>
                <w:sz w:val="20"/>
                <w:szCs w:val="20"/>
              </w:rPr>
              <w:t>Warranty liability at beginning of period</w:t>
            </w:r>
          </w:p>
        </w:tc>
        <w:tc>
          <w:tcPr>
            <w:tcW w:w="0" w:type="auto"/>
            <w:shd w:val="clear" w:color="auto" w:fill="FFFFFF"/>
            <w:tcMar>
              <w:top w:w="40" w:type="dxa"/>
              <w:left w:w="20" w:type="dxa"/>
              <w:bottom w:w="40" w:type="dxa"/>
            </w:tcMar>
            <w:vAlign w:val="bottom"/>
          </w:tcPr>
          <w:p w14:paraId="33DAD8C6"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D8C7" w14:textId="77777777" w:rsidR="004D6A64" w:rsidRDefault="00506CD6">
            <w:pPr>
              <w:jc w:val="right"/>
              <w:textAlignment w:val="bottom"/>
            </w:pPr>
            <w:r>
              <w:rPr>
                <w:rFonts w:ascii="Times New Roman" w:eastAsia="宋体" w:hAnsi="Times New Roman"/>
                <w:color w:val="000000"/>
                <w:sz w:val="20"/>
                <w:szCs w:val="20"/>
              </w:rPr>
              <w:t>476 </w:t>
            </w:r>
          </w:p>
        </w:tc>
        <w:tc>
          <w:tcPr>
            <w:tcW w:w="0" w:type="auto"/>
            <w:shd w:val="clear" w:color="auto" w:fill="FFFFFF"/>
            <w:tcMar>
              <w:top w:w="40" w:type="dxa"/>
              <w:bottom w:w="40" w:type="dxa"/>
              <w:right w:w="20" w:type="dxa"/>
            </w:tcMar>
            <w:vAlign w:val="bottom"/>
          </w:tcPr>
          <w:p w14:paraId="33DAD8C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8C9"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D8CA"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D8CB" w14:textId="77777777" w:rsidR="004D6A64" w:rsidRDefault="00506CD6">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bottom w:w="40" w:type="dxa"/>
              <w:right w:w="20" w:type="dxa"/>
            </w:tcMar>
            <w:vAlign w:val="bottom"/>
          </w:tcPr>
          <w:p w14:paraId="33DAD8C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8CD"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D8CE"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D8CF" w14:textId="77777777" w:rsidR="004D6A64" w:rsidRDefault="00506CD6">
            <w:pPr>
              <w:jc w:val="right"/>
              <w:textAlignment w:val="bottom"/>
            </w:pPr>
            <w:r>
              <w:rPr>
                <w:rFonts w:ascii="Times New Roman" w:eastAsia="宋体" w:hAnsi="Times New Roman"/>
                <w:color w:val="000000"/>
                <w:sz w:val="20"/>
                <w:szCs w:val="20"/>
              </w:rPr>
              <w:t>496 </w:t>
            </w:r>
          </w:p>
        </w:tc>
        <w:tc>
          <w:tcPr>
            <w:tcW w:w="0" w:type="auto"/>
            <w:shd w:val="clear" w:color="auto" w:fill="FFFFFF"/>
            <w:tcMar>
              <w:top w:w="40" w:type="dxa"/>
              <w:bottom w:w="40" w:type="dxa"/>
              <w:right w:w="20" w:type="dxa"/>
            </w:tcMar>
            <w:vAlign w:val="bottom"/>
          </w:tcPr>
          <w:p w14:paraId="33DAD8D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8D1"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D8D2"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D8D3" w14:textId="77777777" w:rsidR="004D6A64" w:rsidRDefault="00506CD6">
            <w:pPr>
              <w:jc w:val="right"/>
              <w:textAlignment w:val="bottom"/>
            </w:pPr>
            <w:r>
              <w:rPr>
                <w:rFonts w:ascii="Times New Roman" w:eastAsia="宋体" w:hAnsi="Times New Roman"/>
                <w:color w:val="000000"/>
                <w:sz w:val="20"/>
                <w:szCs w:val="20"/>
              </w:rPr>
              <w:t>524 </w:t>
            </w:r>
          </w:p>
        </w:tc>
        <w:tc>
          <w:tcPr>
            <w:tcW w:w="0" w:type="auto"/>
            <w:shd w:val="clear" w:color="auto" w:fill="FFFFFF"/>
            <w:tcMar>
              <w:top w:w="40" w:type="dxa"/>
              <w:bottom w:w="40" w:type="dxa"/>
              <w:right w:w="20" w:type="dxa"/>
            </w:tcMar>
            <w:vAlign w:val="bottom"/>
          </w:tcPr>
          <w:p w14:paraId="33DAD8D4" w14:textId="77777777" w:rsidR="004D6A64" w:rsidRDefault="004D6A64">
            <w:pPr>
              <w:jc w:val="right"/>
              <w:rPr>
                <w:rFonts w:ascii="宋体"/>
              </w:rPr>
            </w:pPr>
          </w:p>
        </w:tc>
        <w:tc>
          <w:tcPr>
            <w:tcW w:w="0" w:type="auto"/>
            <w:shd w:val="clear" w:color="auto" w:fill="auto"/>
          </w:tcPr>
          <w:p w14:paraId="33DAD8D5" w14:textId="77777777" w:rsidR="004D6A64" w:rsidRDefault="004D6A64">
            <w:pPr>
              <w:rPr>
                <w:rFonts w:ascii="宋体"/>
              </w:rPr>
            </w:pPr>
          </w:p>
        </w:tc>
        <w:tc>
          <w:tcPr>
            <w:tcW w:w="0" w:type="auto"/>
            <w:shd w:val="clear" w:color="auto" w:fill="auto"/>
          </w:tcPr>
          <w:p w14:paraId="33DAD8D6" w14:textId="77777777" w:rsidR="004D6A64" w:rsidRDefault="004D6A64">
            <w:pPr>
              <w:rPr>
                <w:rFonts w:ascii="宋体"/>
              </w:rPr>
            </w:pPr>
          </w:p>
        </w:tc>
        <w:tc>
          <w:tcPr>
            <w:tcW w:w="0" w:type="auto"/>
            <w:shd w:val="clear" w:color="auto" w:fill="auto"/>
          </w:tcPr>
          <w:p w14:paraId="33DAD8D7" w14:textId="77777777" w:rsidR="004D6A64" w:rsidRDefault="004D6A64">
            <w:pPr>
              <w:rPr>
                <w:rFonts w:ascii="宋体"/>
              </w:rPr>
            </w:pPr>
          </w:p>
        </w:tc>
        <w:tc>
          <w:tcPr>
            <w:tcW w:w="0" w:type="auto"/>
            <w:shd w:val="clear" w:color="auto" w:fill="auto"/>
          </w:tcPr>
          <w:p w14:paraId="33DAD8D8" w14:textId="77777777" w:rsidR="004D6A64" w:rsidRDefault="004D6A64">
            <w:pPr>
              <w:rPr>
                <w:rFonts w:ascii="宋体"/>
              </w:rPr>
            </w:pPr>
          </w:p>
        </w:tc>
        <w:tc>
          <w:tcPr>
            <w:tcW w:w="0" w:type="auto"/>
            <w:shd w:val="clear" w:color="auto" w:fill="auto"/>
          </w:tcPr>
          <w:p w14:paraId="33DAD8D9" w14:textId="77777777" w:rsidR="004D6A64" w:rsidRDefault="004D6A64">
            <w:pPr>
              <w:rPr>
                <w:rFonts w:ascii="宋体"/>
              </w:rPr>
            </w:pPr>
          </w:p>
        </w:tc>
        <w:tc>
          <w:tcPr>
            <w:tcW w:w="0" w:type="auto"/>
            <w:shd w:val="clear" w:color="auto" w:fill="auto"/>
          </w:tcPr>
          <w:p w14:paraId="33DAD8DA" w14:textId="77777777" w:rsidR="004D6A64" w:rsidRDefault="004D6A64">
            <w:pPr>
              <w:rPr>
                <w:rFonts w:ascii="宋体"/>
              </w:rPr>
            </w:pPr>
          </w:p>
        </w:tc>
        <w:tc>
          <w:tcPr>
            <w:tcW w:w="0" w:type="auto"/>
            <w:shd w:val="clear" w:color="auto" w:fill="auto"/>
          </w:tcPr>
          <w:p w14:paraId="33DAD8DB" w14:textId="77777777" w:rsidR="004D6A64" w:rsidRDefault="004D6A64">
            <w:pPr>
              <w:rPr>
                <w:rFonts w:ascii="宋体"/>
              </w:rPr>
            </w:pPr>
          </w:p>
        </w:tc>
        <w:tc>
          <w:tcPr>
            <w:tcW w:w="0" w:type="auto"/>
            <w:shd w:val="clear" w:color="auto" w:fill="auto"/>
          </w:tcPr>
          <w:p w14:paraId="33DAD8DC" w14:textId="77777777" w:rsidR="004D6A64" w:rsidRDefault="004D6A64">
            <w:pPr>
              <w:rPr>
                <w:rFonts w:ascii="宋体"/>
              </w:rPr>
            </w:pPr>
          </w:p>
        </w:tc>
        <w:tc>
          <w:tcPr>
            <w:tcW w:w="0" w:type="auto"/>
            <w:shd w:val="clear" w:color="auto" w:fill="auto"/>
          </w:tcPr>
          <w:p w14:paraId="33DAD8DD" w14:textId="77777777" w:rsidR="004D6A64" w:rsidRDefault="004D6A64">
            <w:pPr>
              <w:rPr>
                <w:rFonts w:ascii="宋体"/>
              </w:rPr>
            </w:pPr>
          </w:p>
        </w:tc>
        <w:tc>
          <w:tcPr>
            <w:tcW w:w="0" w:type="auto"/>
            <w:shd w:val="clear" w:color="auto" w:fill="auto"/>
          </w:tcPr>
          <w:p w14:paraId="33DAD8DE" w14:textId="77777777" w:rsidR="004D6A64" w:rsidRDefault="004D6A64">
            <w:pPr>
              <w:rPr>
                <w:rFonts w:ascii="宋体"/>
              </w:rPr>
            </w:pPr>
          </w:p>
        </w:tc>
        <w:tc>
          <w:tcPr>
            <w:tcW w:w="0" w:type="auto"/>
            <w:shd w:val="clear" w:color="auto" w:fill="auto"/>
          </w:tcPr>
          <w:p w14:paraId="33DAD8DF" w14:textId="77777777" w:rsidR="004D6A64" w:rsidRDefault="004D6A64">
            <w:pPr>
              <w:rPr>
                <w:rFonts w:ascii="宋体"/>
              </w:rPr>
            </w:pPr>
          </w:p>
        </w:tc>
        <w:tc>
          <w:tcPr>
            <w:tcW w:w="0" w:type="auto"/>
            <w:shd w:val="clear" w:color="auto" w:fill="auto"/>
          </w:tcPr>
          <w:p w14:paraId="33DAD8E0" w14:textId="77777777" w:rsidR="004D6A64" w:rsidRDefault="004D6A64">
            <w:pPr>
              <w:rPr>
                <w:rFonts w:ascii="宋体"/>
              </w:rPr>
            </w:pPr>
          </w:p>
        </w:tc>
        <w:tc>
          <w:tcPr>
            <w:tcW w:w="0" w:type="auto"/>
            <w:shd w:val="clear" w:color="auto" w:fill="auto"/>
          </w:tcPr>
          <w:p w14:paraId="33DAD8E1" w14:textId="77777777" w:rsidR="004D6A64" w:rsidRDefault="004D6A64">
            <w:pPr>
              <w:rPr>
                <w:rFonts w:ascii="宋体"/>
              </w:rPr>
            </w:pPr>
          </w:p>
        </w:tc>
        <w:tc>
          <w:tcPr>
            <w:tcW w:w="0" w:type="auto"/>
            <w:shd w:val="clear" w:color="auto" w:fill="auto"/>
          </w:tcPr>
          <w:p w14:paraId="33DAD8E2" w14:textId="77777777" w:rsidR="004D6A64" w:rsidRDefault="004D6A64">
            <w:pPr>
              <w:rPr>
                <w:rFonts w:ascii="宋体"/>
              </w:rPr>
            </w:pPr>
          </w:p>
        </w:tc>
        <w:tc>
          <w:tcPr>
            <w:tcW w:w="0" w:type="auto"/>
            <w:shd w:val="clear" w:color="auto" w:fill="auto"/>
          </w:tcPr>
          <w:p w14:paraId="33DAD8E3" w14:textId="77777777" w:rsidR="004D6A64" w:rsidRDefault="004D6A64">
            <w:pPr>
              <w:rPr>
                <w:rFonts w:ascii="宋体"/>
              </w:rPr>
            </w:pPr>
          </w:p>
        </w:tc>
        <w:tc>
          <w:tcPr>
            <w:tcW w:w="0" w:type="auto"/>
            <w:shd w:val="clear" w:color="auto" w:fill="auto"/>
          </w:tcPr>
          <w:p w14:paraId="33DAD8E4" w14:textId="77777777" w:rsidR="004D6A64" w:rsidRDefault="004D6A64">
            <w:pPr>
              <w:rPr>
                <w:rFonts w:ascii="宋体"/>
              </w:rPr>
            </w:pPr>
          </w:p>
        </w:tc>
        <w:tc>
          <w:tcPr>
            <w:tcW w:w="0" w:type="auto"/>
            <w:shd w:val="clear" w:color="auto" w:fill="auto"/>
          </w:tcPr>
          <w:p w14:paraId="33DAD8E5" w14:textId="77777777" w:rsidR="004D6A64" w:rsidRDefault="004D6A64">
            <w:pPr>
              <w:rPr>
                <w:rFonts w:ascii="宋体"/>
              </w:rPr>
            </w:pPr>
          </w:p>
        </w:tc>
        <w:tc>
          <w:tcPr>
            <w:tcW w:w="0" w:type="auto"/>
            <w:shd w:val="clear" w:color="auto" w:fill="auto"/>
          </w:tcPr>
          <w:p w14:paraId="33DAD8E6" w14:textId="77777777" w:rsidR="004D6A64" w:rsidRDefault="004D6A64">
            <w:pPr>
              <w:rPr>
                <w:rFonts w:ascii="宋体"/>
              </w:rPr>
            </w:pPr>
          </w:p>
        </w:tc>
      </w:tr>
      <w:tr w:rsidR="004D6A64" w14:paraId="33DAD902" w14:textId="77777777">
        <w:trPr>
          <w:hidden/>
        </w:trPr>
        <w:tc>
          <w:tcPr>
            <w:tcW w:w="0" w:type="auto"/>
            <w:gridSpan w:val="3"/>
            <w:shd w:val="clear" w:color="auto" w:fill="auto"/>
          </w:tcPr>
          <w:p w14:paraId="33DAD8E8" w14:textId="77777777" w:rsidR="004D6A64" w:rsidRDefault="004D6A64">
            <w:pPr>
              <w:rPr>
                <w:rFonts w:ascii="宋体"/>
                <w:vanish/>
              </w:rPr>
            </w:pPr>
          </w:p>
        </w:tc>
        <w:tc>
          <w:tcPr>
            <w:tcW w:w="0" w:type="auto"/>
            <w:gridSpan w:val="3"/>
            <w:shd w:val="clear" w:color="auto" w:fill="auto"/>
          </w:tcPr>
          <w:p w14:paraId="33DAD8E9" w14:textId="77777777" w:rsidR="004D6A64" w:rsidRDefault="004D6A64">
            <w:pPr>
              <w:rPr>
                <w:rFonts w:ascii="宋体"/>
                <w:vanish/>
              </w:rPr>
            </w:pPr>
          </w:p>
        </w:tc>
        <w:tc>
          <w:tcPr>
            <w:tcW w:w="0" w:type="auto"/>
            <w:gridSpan w:val="3"/>
            <w:shd w:val="clear" w:color="auto" w:fill="auto"/>
          </w:tcPr>
          <w:p w14:paraId="33DAD8EA" w14:textId="77777777" w:rsidR="004D6A64" w:rsidRDefault="004D6A64">
            <w:pPr>
              <w:rPr>
                <w:rFonts w:ascii="宋体"/>
                <w:vanish/>
              </w:rPr>
            </w:pPr>
          </w:p>
        </w:tc>
        <w:tc>
          <w:tcPr>
            <w:tcW w:w="0" w:type="auto"/>
            <w:gridSpan w:val="3"/>
            <w:shd w:val="clear" w:color="auto" w:fill="auto"/>
          </w:tcPr>
          <w:p w14:paraId="33DAD8EB" w14:textId="77777777" w:rsidR="004D6A64" w:rsidRDefault="004D6A64">
            <w:pPr>
              <w:rPr>
                <w:rFonts w:ascii="宋体"/>
                <w:vanish/>
              </w:rPr>
            </w:pPr>
          </w:p>
        </w:tc>
        <w:tc>
          <w:tcPr>
            <w:tcW w:w="0" w:type="auto"/>
            <w:gridSpan w:val="3"/>
            <w:shd w:val="clear" w:color="auto" w:fill="auto"/>
          </w:tcPr>
          <w:p w14:paraId="33DAD8EC" w14:textId="77777777" w:rsidR="004D6A64" w:rsidRDefault="004D6A64">
            <w:pPr>
              <w:rPr>
                <w:rFonts w:ascii="宋体"/>
                <w:vanish/>
              </w:rPr>
            </w:pPr>
          </w:p>
        </w:tc>
        <w:tc>
          <w:tcPr>
            <w:tcW w:w="0" w:type="auto"/>
            <w:gridSpan w:val="3"/>
            <w:shd w:val="clear" w:color="auto" w:fill="auto"/>
          </w:tcPr>
          <w:p w14:paraId="33DAD8ED" w14:textId="77777777" w:rsidR="004D6A64" w:rsidRDefault="004D6A64">
            <w:pPr>
              <w:rPr>
                <w:rFonts w:ascii="宋体"/>
                <w:vanish/>
              </w:rPr>
            </w:pPr>
          </w:p>
        </w:tc>
        <w:tc>
          <w:tcPr>
            <w:tcW w:w="0" w:type="auto"/>
            <w:gridSpan w:val="3"/>
            <w:shd w:val="clear" w:color="auto" w:fill="auto"/>
          </w:tcPr>
          <w:p w14:paraId="33DAD8EE" w14:textId="77777777" w:rsidR="004D6A64" w:rsidRDefault="004D6A64">
            <w:pPr>
              <w:rPr>
                <w:rFonts w:ascii="宋体"/>
                <w:vanish/>
              </w:rPr>
            </w:pPr>
          </w:p>
        </w:tc>
        <w:tc>
          <w:tcPr>
            <w:tcW w:w="0" w:type="auto"/>
            <w:gridSpan w:val="3"/>
            <w:shd w:val="clear" w:color="auto" w:fill="auto"/>
          </w:tcPr>
          <w:p w14:paraId="33DAD8EF" w14:textId="77777777" w:rsidR="004D6A64" w:rsidRDefault="004D6A64">
            <w:pPr>
              <w:rPr>
                <w:rFonts w:ascii="宋体"/>
                <w:vanish/>
              </w:rPr>
            </w:pPr>
          </w:p>
        </w:tc>
        <w:tc>
          <w:tcPr>
            <w:tcW w:w="0" w:type="auto"/>
            <w:shd w:val="clear" w:color="auto" w:fill="auto"/>
          </w:tcPr>
          <w:p w14:paraId="33DAD8F0" w14:textId="77777777" w:rsidR="004D6A64" w:rsidRDefault="004D6A64">
            <w:pPr>
              <w:rPr>
                <w:rFonts w:ascii="宋体"/>
              </w:rPr>
            </w:pPr>
          </w:p>
        </w:tc>
        <w:tc>
          <w:tcPr>
            <w:tcW w:w="0" w:type="auto"/>
            <w:shd w:val="clear" w:color="auto" w:fill="auto"/>
          </w:tcPr>
          <w:p w14:paraId="33DAD8F1" w14:textId="77777777" w:rsidR="004D6A64" w:rsidRDefault="004D6A64">
            <w:pPr>
              <w:rPr>
                <w:rFonts w:ascii="宋体"/>
              </w:rPr>
            </w:pPr>
          </w:p>
        </w:tc>
        <w:tc>
          <w:tcPr>
            <w:tcW w:w="0" w:type="auto"/>
            <w:shd w:val="clear" w:color="auto" w:fill="auto"/>
          </w:tcPr>
          <w:p w14:paraId="33DAD8F2" w14:textId="77777777" w:rsidR="004D6A64" w:rsidRDefault="004D6A64">
            <w:pPr>
              <w:rPr>
                <w:rFonts w:ascii="宋体"/>
              </w:rPr>
            </w:pPr>
          </w:p>
        </w:tc>
        <w:tc>
          <w:tcPr>
            <w:tcW w:w="0" w:type="auto"/>
            <w:shd w:val="clear" w:color="auto" w:fill="auto"/>
          </w:tcPr>
          <w:p w14:paraId="33DAD8F3" w14:textId="77777777" w:rsidR="004D6A64" w:rsidRDefault="004D6A64">
            <w:pPr>
              <w:rPr>
                <w:rFonts w:ascii="宋体"/>
              </w:rPr>
            </w:pPr>
          </w:p>
        </w:tc>
        <w:tc>
          <w:tcPr>
            <w:tcW w:w="0" w:type="auto"/>
            <w:shd w:val="clear" w:color="auto" w:fill="auto"/>
          </w:tcPr>
          <w:p w14:paraId="33DAD8F4" w14:textId="77777777" w:rsidR="004D6A64" w:rsidRDefault="004D6A64">
            <w:pPr>
              <w:rPr>
                <w:rFonts w:ascii="宋体"/>
              </w:rPr>
            </w:pPr>
          </w:p>
        </w:tc>
        <w:tc>
          <w:tcPr>
            <w:tcW w:w="0" w:type="auto"/>
            <w:shd w:val="clear" w:color="auto" w:fill="auto"/>
          </w:tcPr>
          <w:p w14:paraId="33DAD8F5" w14:textId="77777777" w:rsidR="004D6A64" w:rsidRDefault="004D6A64">
            <w:pPr>
              <w:rPr>
                <w:rFonts w:ascii="宋体"/>
              </w:rPr>
            </w:pPr>
          </w:p>
        </w:tc>
        <w:tc>
          <w:tcPr>
            <w:tcW w:w="0" w:type="auto"/>
            <w:shd w:val="clear" w:color="auto" w:fill="auto"/>
          </w:tcPr>
          <w:p w14:paraId="33DAD8F6" w14:textId="77777777" w:rsidR="004D6A64" w:rsidRDefault="004D6A64">
            <w:pPr>
              <w:rPr>
                <w:rFonts w:ascii="宋体"/>
              </w:rPr>
            </w:pPr>
          </w:p>
        </w:tc>
        <w:tc>
          <w:tcPr>
            <w:tcW w:w="0" w:type="auto"/>
            <w:shd w:val="clear" w:color="auto" w:fill="auto"/>
          </w:tcPr>
          <w:p w14:paraId="33DAD8F7" w14:textId="77777777" w:rsidR="004D6A64" w:rsidRDefault="004D6A64">
            <w:pPr>
              <w:rPr>
                <w:rFonts w:ascii="宋体"/>
              </w:rPr>
            </w:pPr>
          </w:p>
        </w:tc>
        <w:tc>
          <w:tcPr>
            <w:tcW w:w="0" w:type="auto"/>
            <w:shd w:val="clear" w:color="auto" w:fill="auto"/>
          </w:tcPr>
          <w:p w14:paraId="33DAD8F8" w14:textId="77777777" w:rsidR="004D6A64" w:rsidRDefault="004D6A64">
            <w:pPr>
              <w:rPr>
                <w:rFonts w:ascii="宋体"/>
              </w:rPr>
            </w:pPr>
          </w:p>
        </w:tc>
        <w:tc>
          <w:tcPr>
            <w:tcW w:w="0" w:type="auto"/>
            <w:shd w:val="clear" w:color="auto" w:fill="auto"/>
          </w:tcPr>
          <w:p w14:paraId="33DAD8F9" w14:textId="77777777" w:rsidR="004D6A64" w:rsidRDefault="004D6A64">
            <w:pPr>
              <w:rPr>
                <w:rFonts w:ascii="宋体"/>
              </w:rPr>
            </w:pPr>
          </w:p>
        </w:tc>
        <w:tc>
          <w:tcPr>
            <w:tcW w:w="0" w:type="auto"/>
            <w:shd w:val="clear" w:color="auto" w:fill="auto"/>
          </w:tcPr>
          <w:p w14:paraId="33DAD8FA" w14:textId="77777777" w:rsidR="004D6A64" w:rsidRDefault="004D6A64">
            <w:pPr>
              <w:rPr>
                <w:rFonts w:ascii="宋体"/>
              </w:rPr>
            </w:pPr>
          </w:p>
        </w:tc>
        <w:tc>
          <w:tcPr>
            <w:tcW w:w="0" w:type="auto"/>
            <w:shd w:val="clear" w:color="auto" w:fill="auto"/>
          </w:tcPr>
          <w:p w14:paraId="33DAD8FB" w14:textId="77777777" w:rsidR="004D6A64" w:rsidRDefault="004D6A64">
            <w:pPr>
              <w:rPr>
                <w:rFonts w:ascii="宋体"/>
              </w:rPr>
            </w:pPr>
          </w:p>
        </w:tc>
        <w:tc>
          <w:tcPr>
            <w:tcW w:w="0" w:type="auto"/>
            <w:shd w:val="clear" w:color="auto" w:fill="auto"/>
          </w:tcPr>
          <w:p w14:paraId="33DAD8FC" w14:textId="77777777" w:rsidR="004D6A64" w:rsidRDefault="004D6A64">
            <w:pPr>
              <w:rPr>
                <w:rFonts w:ascii="宋体"/>
              </w:rPr>
            </w:pPr>
          </w:p>
        </w:tc>
        <w:tc>
          <w:tcPr>
            <w:tcW w:w="0" w:type="auto"/>
            <w:shd w:val="clear" w:color="auto" w:fill="auto"/>
          </w:tcPr>
          <w:p w14:paraId="33DAD8FD" w14:textId="77777777" w:rsidR="004D6A64" w:rsidRDefault="004D6A64">
            <w:pPr>
              <w:rPr>
                <w:rFonts w:ascii="宋体"/>
              </w:rPr>
            </w:pPr>
          </w:p>
        </w:tc>
        <w:tc>
          <w:tcPr>
            <w:tcW w:w="0" w:type="auto"/>
            <w:shd w:val="clear" w:color="auto" w:fill="auto"/>
          </w:tcPr>
          <w:p w14:paraId="33DAD8FE" w14:textId="77777777" w:rsidR="004D6A64" w:rsidRDefault="004D6A64">
            <w:pPr>
              <w:rPr>
                <w:rFonts w:ascii="宋体"/>
              </w:rPr>
            </w:pPr>
          </w:p>
        </w:tc>
        <w:tc>
          <w:tcPr>
            <w:tcW w:w="0" w:type="auto"/>
            <w:shd w:val="clear" w:color="auto" w:fill="auto"/>
          </w:tcPr>
          <w:p w14:paraId="33DAD8FF" w14:textId="77777777" w:rsidR="004D6A64" w:rsidRDefault="004D6A64">
            <w:pPr>
              <w:rPr>
                <w:rFonts w:ascii="宋体"/>
              </w:rPr>
            </w:pPr>
          </w:p>
        </w:tc>
        <w:tc>
          <w:tcPr>
            <w:tcW w:w="0" w:type="auto"/>
            <w:shd w:val="clear" w:color="auto" w:fill="auto"/>
          </w:tcPr>
          <w:p w14:paraId="33DAD900" w14:textId="77777777" w:rsidR="004D6A64" w:rsidRDefault="004D6A64">
            <w:pPr>
              <w:rPr>
                <w:rFonts w:ascii="宋体"/>
              </w:rPr>
            </w:pPr>
          </w:p>
        </w:tc>
        <w:tc>
          <w:tcPr>
            <w:tcW w:w="0" w:type="auto"/>
            <w:shd w:val="clear" w:color="auto" w:fill="auto"/>
          </w:tcPr>
          <w:p w14:paraId="33DAD901" w14:textId="77777777" w:rsidR="004D6A64" w:rsidRDefault="004D6A64">
            <w:pPr>
              <w:rPr>
                <w:rFonts w:ascii="宋体"/>
              </w:rPr>
            </w:pPr>
          </w:p>
        </w:tc>
      </w:tr>
      <w:tr w:rsidR="004D6A64" w14:paraId="33DAD921" w14:textId="77777777">
        <w:tc>
          <w:tcPr>
            <w:tcW w:w="0" w:type="auto"/>
            <w:gridSpan w:val="3"/>
            <w:shd w:val="clear" w:color="auto" w:fill="CCEEFF"/>
            <w:tcMar>
              <w:top w:w="40" w:type="dxa"/>
              <w:left w:w="135" w:type="dxa"/>
              <w:bottom w:w="40" w:type="dxa"/>
              <w:right w:w="20" w:type="dxa"/>
            </w:tcMar>
            <w:vAlign w:val="bottom"/>
          </w:tcPr>
          <w:p w14:paraId="33DAD903" w14:textId="77777777" w:rsidR="004D6A64" w:rsidRDefault="00506CD6">
            <w:pPr>
              <w:textAlignment w:val="bottom"/>
            </w:pPr>
            <w:r>
              <w:rPr>
                <w:rFonts w:ascii="Times New Roman" w:eastAsia="宋体" w:hAnsi="Times New Roman"/>
                <w:color w:val="000000"/>
                <w:sz w:val="20"/>
                <w:szCs w:val="20"/>
              </w:rPr>
              <w:t xml:space="preserve">Costs accrued for new warranty contracts and changes in estimates for pre-existing </w:t>
            </w:r>
            <w:r>
              <w:rPr>
                <w:rFonts w:ascii="Times New Roman" w:eastAsia="宋体" w:hAnsi="Times New Roman"/>
                <w:color w:val="000000"/>
                <w:sz w:val="20"/>
                <w:szCs w:val="20"/>
              </w:rPr>
              <w:t>warranties (a) (b)</w:t>
            </w:r>
          </w:p>
        </w:tc>
        <w:tc>
          <w:tcPr>
            <w:tcW w:w="0" w:type="auto"/>
            <w:gridSpan w:val="2"/>
            <w:shd w:val="clear" w:color="auto" w:fill="CCEEFF"/>
            <w:tcMar>
              <w:top w:w="40" w:type="dxa"/>
              <w:left w:w="20" w:type="dxa"/>
              <w:bottom w:w="40" w:type="dxa"/>
              <w:right w:w="0" w:type="dxa"/>
            </w:tcMar>
            <w:vAlign w:val="bottom"/>
          </w:tcPr>
          <w:p w14:paraId="33DAD904" w14:textId="77777777" w:rsidR="004D6A64" w:rsidRDefault="00506CD6">
            <w:pPr>
              <w:jc w:val="right"/>
              <w:textAlignment w:val="bottom"/>
            </w:pPr>
            <w:r>
              <w:rPr>
                <w:rFonts w:ascii="Times New Roman" w:eastAsia="宋体" w:hAnsi="Times New Roman"/>
                <w:color w:val="000000"/>
                <w:sz w:val="20"/>
                <w:szCs w:val="20"/>
              </w:rPr>
              <w:t>206 </w:t>
            </w:r>
          </w:p>
        </w:tc>
        <w:tc>
          <w:tcPr>
            <w:tcW w:w="0" w:type="auto"/>
            <w:shd w:val="clear" w:color="auto" w:fill="CCEEFF"/>
            <w:tcMar>
              <w:top w:w="40" w:type="dxa"/>
              <w:bottom w:w="40" w:type="dxa"/>
              <w:right w:w="20" w:type="dxa"/>
            </w:tcMar>
            <w:vAlign w:val="bottom"/>
          </w:tcPr>
          <w:p w14:paraId="33DAD90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90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D907" w14:textId="77777777" w:rsidR="004D6A64" w:rsidRDefault="00506CD6">
            <w:pPr>
              <w:jc w:val="right"/>
              <w:textAlignment w:val="bottom"/>
            </w:pPr>
            <w:r>
              <w:rPr>
                <w:rFonts w:ascii="Times New Roman" w:eastAsia="宋体" w:hAnsi="Times New Roman"/>
                <w:color w:val="000000"/>
                <w:sz w:val="20"/>
                <w:szCs w:val="20"/>
              </w:rPr>
              <w:t>237 </w:t>
            </w:r>
          </w:p>
        </w:tc>
        <w:tc>
          <w:tcPr>
            <w:tcW w:w="0" w:type="auto"/>
            <w:shd w:val="clear" w:color="auto" w:fill="CCEEFF"/>
            <w:tcMar>
              <w:top w:w="40" w:type="dxa"/>
              <w:bottom w:w="40" w:type="dxa"/>
              <w:right w:w="20" w:type="dxa"/>
            </w:tcMar>
            <w:vAlign w:val="bottom"/>
          </w:tcPr>
          <w:p w14:paraId="33DAD90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90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D90A" w14:textId="77777777" w:rsidR="004D6A64" w:rsidRDefault="00506CD6">
            <w:pPr>
              <w:jc w:val="right"/>
              <w:textAlignment w:val="bottom"/>
            </w:pPr>
            <w:r>
              <w:rPr>
                <w:rFonts w:ascii="Times New Roman" w:eastAsia="宋体" w:hAnsi="Times New Roman"/>
                <w:color w:val="000000"/>
                <w:sz w:val="20"/>
                <w:szCs w:val="20"/>
              </w:rPr>
              <w:t>354 </w:t>
            </w:r>
          </w:p>
        </w:tc>
        <w:tc>
          <w:tcPr>
            <w:tcW w:w="0" w:type="auto"/>
            <w:shd w:val="clear" w:color="auto" w:fill="CCEEFF"/>
            <w:tcMar>
              <w:top w:w="40" w:type="dxa"/>
              <w:bottom w:w="40" w:type="dxa"/>
              <w:right w:w="20" w:type="dxa"/>
            </w:tcMar>
            <w:vAlign w:val="bottom"/>
          </w:tcPr>
          <w:p w14:paraId="33DAD90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90C"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D90D" w14:textId="77777777" w:rsidR="004D6A64" w:rsidRDefault="00506CD6">
            <w:pPr>
              <w:jc w:val="right"/>
              <w:textAlignment w:val="bottom"/>
            </w:pPr>
            <w:r>
              <w:rPr>
                <w:rFonts w:ascii="Times New Roman" w:eastAsia="宋体" w:hAnsi="Times New Roman"/>
                <w:color w:val="000000"/>
                <w:sz w:val="20"/>
                <w:szCs w:val="20"/>
              </w:rPr>
              <w:t>440 </w:t>
            </w:r>
          </w:p>
        </w:tc>
        <w:tc>
          <w:tcPr>
            <w:tcW w:w="0" w:type="auto"/>
            <w:shd w:val="clear" w:color="auto" w:fill="CCEEFF"/>
            <w:tcMar>
              <w:top w:w="40" w:type="dxa"/>
              <w:bottom w:w="40" w:type="dxa"/>
              <w:right w:w="20" w:type="dxa"/>
            </w:tcMar>
            <w:vAlign w:val="bottom"/>
          </w:tcPr>
          <w:p w14:paraId="33DAD90E" w14:textId="77777777" w:rsidR="004D6A64" w:rsidRDefault="004D6A64">
            <w:pPr>
              <w:jc w:val="right"/>
              <w:rPr>
                <w:rFonts w:ascii="宋体"/>
              </w:rPr>
            </w:pPr>
          </w:p>
        </w:tc>
        <w:tc>
          <w:tcPr>
            <w:tcW w:w="0" w:type="auto"/>
            <w:shd w:val="clear" w:color="auto" w:fill="auto"/>
          </w:tcPr>
          <w:p w14:paraId="33DAD90F" w14:textId="77777777" w:rsidR="004D6A64" w:rsidRDefault="004D6A64">
            <w:pPr>
              <w:rPr>
                <w:rFonts w:ascii="宋体"/>
              </w:rPr>
            </w:pPr>
          </w:p>
        </w:tc>
        <w:tc>
          <w:tcPr>
            <w:tcW w:w="0" w:type="auto"/>
            <w:shd w:val="clear" w:color="auto" w:fill="auto"/>
          </w:tcPr>
          <w:p w14:paraId="33DAD910" w14:textId="77777777" w:rsidR="004D6A64" w:rsidRDefault="004D6A64">
            <w:pPr>
              <w:rPr>
                <w:rFonts w:ascii="宋体"/>
              </w:rPr>
            </w:pPr>
          </w:p>
        </w:tc>
        <w:tc>
          <w:tcPr>
            <w:tcW w:w="0" w:type="auto"/>
            <w:shd w:val="clear" w:color="auto" w:fill="auto"/>
          </w:tcPr>
          <w:p w14:paraId="33DAD911" w14:textId="77777777" w:rsidR="004D6A64" w:rsidRDefault="004D6A64">
            <w:pPr>
              <w:rPr>
                <w:rFonts w:ascii="宋体"/>
              </w:rPr>
            </w:pPr>
          </w:p>
        </w:tc>
        <w:tc>
          <w:tcPr>
            <w:tcW w:w="0" w:type="auto"/>
            <w:shd w:val="clear" w:color="auto" w:fill="auto"/>
          </w:tcPr>
          <w:p w14:paraId="33DAD912" w14:textId="77777777" w:rsidR="004D6A64" w:rsidRDefault="004D6A64">
            <w:pPr>
              <w:rPr>
                <w:rFonts w:ascii="宋体"/>
              </w:rPr>
            </w:pPr>
          </w:p>
        </w:tc>
        <w:tc>
          <w:tcPr>
            <w:tcW w:w="0" w:type="auto"/>
            <w:shd w:val="clear" w:color="auto" w:fill="auto"/>
          </w:tcPr>
          <w:p w14:paraId="33DAD913" w14:textId="77777777" w:rsidR="004D6A64" w:rsidRDefault="004D6A64">
            <w:pPr>
              <w:rPr>
                <w:rFonts w:ascii="宋体"/>
              </w:rPr>
            </w:pPr>
          </w:p>
        </w:tc>
        <w:tc>
          <w:tcPr>
            <w:tcW w:w="0" w:type="auto"/>
            <w:shd w:val="clear" w:color="auto" w:fill="auto"/>
          </w:tcPr>
          <w:p w14:paraId="33DAD914" w14:textId="77777777" w:rsidR="004D6A64" w:rsidRDefault="004D6A64">
            <w:pPr>
              <w:rPr>
                <w:rFonts w:ascii="宋体"/>
              </w:rPr>
            </w:pPr>
          </w:p>
        </w:tc>
        <w:tc>
          <w:tcPr>
            <w:tcW w:w="0" w:type="auto"/>
            <w:shd w:val="clear" w:color="auto" w:fill="auto"/>
          </w:tcPr>
          <w:p w14:paraId="33DAD915" w14:textId="77777777" w:rsidR="004D6A64" w:rsidRDefault="004D6A64">
            <w:pPr>
              <w:rPr>
                <w:rFonts w:ascii="宋体"/>
              </w:rPr>
            </w:pPr>
          </w:p>
        </w:tc>
        <w:tc>
          <w:tcPr>
            <w:tcW w:w="0" w:type="auto"/>
            <w:shd w:val="clear" w:color="auto" w:fill="auto"/>
          </w:tcPr>
          <w:p w14:paraId="33DAD916" w14:textId="77777777" w:rsidR="004D6A64" w:rsidRDefault="004D6A64">
            <w:pPr>
              <w:rPr>
                <w:rFonts w:ascii="宋体"/>
              </w:rPr>
            </w:pPr>
          </w:p>
        </w:tc>
        <w:tc>
          <w:tcPr>
            <w:tcW w:w="0" w:type="auto"/>
            <w:shd w:val="clear" w:color="auto" w:fill="auto"/>
          </w:tcPr>
          <w:p w14:paraId="33DAD917" w14:textId="77777777" w:rsidR="004D6A64" w:rsidRDefault="004D6A64">
            <w:pPr>
              <w:rPr>
                <w:rFonts w:ascii="宋体"/>
              </w:rPr>
            </w:pPr>
          </w:p>
        </w:tc>
        <w:tc>
          <w:tcPr>
            <w:tcW w:w="0" w:type="auto"/>
            <w:shd w:val="clear" w:color="auto" w:fill="auto"/>
          </w:tcPr>
          <w:p w14:paraId="33DAD918" w14:textId="77777777" w:rsidR="004D6A64" w:rsidRDefault="004D6A64">
            <w:pPr>
              <w:rPr>
                <w:rFonts w:ascii="宋体"/>
              </w:rPr>
            </w:pPr>
          </w:p>
        </w:tc>
        <w:tc>
          <w:tcPr>
            <w:tcW w:w="0" w:type="auto"/>
            <w:shd w:val="clear" w:color="auto" w:fill="auto"/>
          </w:tcPr>
          <w:p w14:paraId="33DAD919" w14:textId="77777777" w:rsidR="004D6A64" w:rsidRDefault="004D6A64">
            <w:pPr>
              <w:rPr>
                <w:rFonts w:ascii="宋体"/>
              </w:rPr>
            </w:pPr>
          </w:p>
        </w:tc>
        <w:tc>
          <w:tcPr>
            <w:tcW w:w="0" w:type="auto"/>
            <w:shd w:val="clear" w:color="auto" w:fill="auto"/>
          </w:tcPr>
          <w:p w14:paraId="33DAD91A" w14:textId="77777777" w:rsidR="004D6A64" w:rsidRDefault="004D6A64">
            <w:pPr>
              <w:rPr>
                <w:rFonts w:ascii="宋体"/>
              </w:rPr>
            </w:pPr>
          </w:p>
        </w:tc>
        <w:tc>
          <w:tcPr>
            <w:tcW w:w="0" w:type="auto"/>
            <w:shd w:val="clear" w:color="auto" w:fill="auto"/>
          </w:tcPr>
          <w:p w14:paraId="33DAD91B" w14:textId="77777777" w:rsidR="004D6A64" w:rsidRDefault="004D6A64">
            <w:pPr>
              <w:rPr>
                <w:rFonts w:ascii="宋体"/>
              </w:rPr>
            </w:pPr>
          </w:p>
        </w:tc>
        <w:tc>
          <w:tcPr>
            <w:tcW w:w="0" w:type="auto"/>
            <w:shd w:val="clear" w:color="auto" w:fill="auto"/>
          </w:tcPr>
          <w:p w14:paraId="33DAD91C" w14:textId="77777777" w:rsidR="004D6A64" w:rsidRDefault="004D6A64">
            <w:pPr>
              <w:rPr>
                <w:rFonts w:ascii="宋体"/>
              </w:rPr>
            </w:pPr>
          </w:p>
        </w:tc>
        <w:tc>
          <w:tcPr>
            <w:tcW w:w="0" w:type="auto"/>
            <w:shd w:val="clear" w:color="auto" w:fill="auto"/>
          </w:tcPr>
          <w:p w14:paraId="33DAD91D" w14:textId="77777777" w:rsidR="004D6A64" w:rsidRDefault="004D6A64">
            <w:pPr>
              <w:rPr>
                <w:rFonts w:ascii="宋体"/>
              </w:rPr>
            </w:pPr>
          </w:p>
        </w:tc>
        <w:tc>
          <w:tcPr>
            <w:tcW w:w="0" w:type="auto"/>
            <w:shd w:val="clear" w:color="auto" w:fill="auto"/>
          </w:tcPr>
          <w:p w14:paraId="33DAD91E" w14:textId="77777777" w:rsidR="004D6A64" w:rsidRDefault="004D6A64">
            <w:pPr>
              <w:rPr>
                <w:rFonts w:ascii="宋体"/>
              </w:rPr>
            </w:pPr>
          </w:p>
        </w:tc>
        <w:tc>
          <w:tcPr>
            <w:tcW w:w="0" w:type="auto"/>
            <w:shd w:val="clear" w:color="auto" w:fill="auto"/>
          </w:tcPr>
          <w:p w14:paraId="33DAD91F" w14:textId="77777777" w:rsidR="004D6A64" w:rsidRDefault="004D6A64">
            <w:pPr>
              <w:rPr>
                <w:rFonts w:ascii="宋体"/>
              </w:rPr>
            </w:pPr>
          </w:p>
        </w:tc>
        <w:tc>
          <w:tcPr>
            <w:tcW w:w="0" w:type="auto"/>
            <w:shd w:val="clear" w:color="auto" w:fill="auto"/>
          </w:tcPr>
          <w:p w14:paraId="33DAD920" w14:textId="77777777" w:rsidR="004D6A64" w:rsidRDefault="004D6A64">
            <w:pPr>
              <w:rPr>
                <w:rFonts w:ascii="宋体"/>
              </w:rPr>
            </w:pPr>
          </w:p>
        </w:tc>
      </w:tr>
      <w:tr w:rsidR="004D6A64" w14:paraId="33DAD940" w14:textId="77777777">
        <w:tc>
          <w:tcPr>
            <w:tcW w:w="0" w:type="auto"/>
            <w:gridSpan w:val="3"/>
            <w:shd w:val="clear" w:color="auto" w:fill="FFFFFF"/>
            <w:tcMar>
              <w:top w:w="40" w:type="dxa"/>
              <w:left w:w="135" w:type="dxa"/>
              <w:bottom w:w="40" w:type="dxa"/>
              <w:right w:w="20" w:type="dxa"/>
            </w:tcMar>
            <w:vAlign w:val="bottom"/>
          </w:tcPr>
          <w:p w14:paraId="33DAD922" w14:textId="77777777" w:rsidR="004D6A64" w:rsidRDefault="00506CD6">
            <w:pPr>
              <w:textAlignment w:val="bottom"/>
            </w:pPr>
            <w:r>
              <w:rPr>
                <w:rFonts w:ascii="Times New Roman" w:eastAsia="宋体" w:hAnsi="Times New Roman"/>
                <w:color w:val="000000"/>
                <w:sz w:val="20"/>
                <w:szCs w:val="20"/>
              </w:rPr>
              <w:t>Service obligations honored</w:t>
            </w:r>
          </w:p>
        </w:tc>
        <w:tc>
          <w:tcPr>
            <w:tcW w:w="0" w:type="auto"/>
            <w:gridSpan w:val="2"/>
            <w:shd w:val="clear" w:color="auto" w:fill="FFFFFF"/>
            <w:tcMar>
              <w:top w:w="40" w:type="dxa"/>
              <w:left w:w="20" w:type="dxa"/>
              <w:bottom w:w="40" w:type="dxa"/>
              <w:right w:w="0" w:type="dxa"/>
            </w:tcMar>
            <w:vAlign w:val="bottom"/>
          </w:tcPr>
          <w:p w14:paraId="33DAD923" w14:textId="77777777" w:rsidR="004D6A64" w:rsidRDefault="00506CD6">
            <w:pPr>
              <w:jc w:val="right"/>
              <w:textAlignment w:val="bottom"/>
            </w:pPr>
            <w:r>
              <w:rPr>
                <w:rFonts w:ascii="Times New Roman" w:eastAsia="宋体" w:hAnsi="Times New Roman"/>
                <w:color w:val="000000"/>
                <w:sz w:val="20"/>
                <w:szCs w:val="20"/>
              </w:rPr>
              <w:t>(203)</w:t>
            </w:r>
          </w:p>
        </w:tc>
        <w:tc>
          <w:tcPr>
            <w:tcW w:w="0" w:type="auto"/>
            <w:shd w:val="clear" w:color="auto" w:fill="FFFFFF"/>
            <w:tcMar>
              <w:top w:w="40" w:type="dxa"/>
              <w:bottom w:w="40" w:type="dxa"/>
              <w:right w:w="20" w:type="dxa"/>
            </w:tcMar>
            <w:vAlign w:val="bottom"/>
          </w:tcPr>
          <w:p w14:paraId="33DAD92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925"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D926" w14:textId="77777777" w:rsidR="004D6A64" w:rsidRDefault="00506CD6">
            <w:pPr>
              <w:jc w:val="right"/>
              <w:textAlignment w:val="bottom"/>
            </w:pPr>
            <w:r>
              <w:rPr>
                <w:rFonts w:ascii="Times New Roman" w:eastAsia="宋体" w:hAnsi="Times New Roman"/>
                <w:color w:val="000000"/>
                <w:sz w:val="20"/>
                <w:szCs w:val="20"/>
              </w:rPr>
              <w:t>(212)</w:t>
            </w:r>
          </w:p>
        </w:tc>
        <w:tc>
          <w:tcPr>
            <w:tcW w:w="0" w:type="auto"/>
            <w:shd w:val="clear" w:color="auto" w:fill="FFFFFF"/>
            <w:tcMar>
              <w:top w:w="40" w:type="dxa"/>
              <w:bottom w:w="40" w:type="dxa"/>
              <w:right w:w="20" w:type="dxa"/>
            </w:tcMar>
            <w:vAlign w:val="bottom"/>
          </w:tcPr>
          <w:p w14:paraId="33DAD92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928"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D929" w14:textId="77777777" w:rsidR="004D6A64" w:rsidRDefault="00506CD6">
            <w:pPr>
              <w:jc w:val="right"/>
              <w:textAlignment w:val="bottom"/>
            </w:pPr>
            <w:r>
              <w:rPr>
                <w:rFonts w:ascii="Times New Roman" w:eastAsia="宋体" w:hAnsi="Times New Roman"/>
                <w:color w:val="000000"/>
                <w:sz w:val="20"/>
                <w:szCs w:val="20"/>
              </w:rPr>
              <w:t>(371)</w:t>
            </w:r>
          </w:p>
        </w:tc>
        <w:tc>
          <w:tcPr>
            <w:tcW w:w="0" w:type="auto"/>
            <w:shd w:val="clear" w:color="auto" w:fill="FFFFFF"/>
            <w:tcMar>
              <w:top w:w="40" w:type="dxa"/>
              <w:bottom w:w="40" w:type="dxa"/>
              <w:right w:w="20" w:type="dxa"/>
            </w:tcMar>
            <w:vAlign w:val="bottom"/>
          </w:tcPr>
          <w:p w14:paraId="33DAD92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92B"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D92C" w14:textId="77777777" w:rsidR="004D6A64" w:rsidRDefault="00506CD6">
            <w:pPr>
              <w:jc w:val="right"/>
              <w:textAlignment w:val="bottom"/>
            </w:pPr>
            <w:r>
              <w:rPr>
                <w:rFonts w:ascii="Times New Roman" w:eastAsia="宋体" w:hAnsi="Times New Roman"/>
                <w:color w:val="000000"/>
                <w:sz w:val="20"/>
                <w:szCs w:val="20"/>
              </w:rPr>
              <w:t>(439)</w:t>
            </w:r>
          </w:p>
        </w:tc>
        <w:tc>
          <w:tcPr>
            <w:tcW w:w="0" w:type="auto"/>
            <w:shd w:val="clear" w:color="auto" w:fill="FFFFFF"/>
            <w:tcMar>
              <w:top w:w="40" w:type="dxa"/>
              <w:bottom w:w="40" w:type="dxa"/>
              <w:right w:w="20" w:type="dxa"/>
            </w:tcMar>
            <w:vAlign w:val="bottom"/>
          </w:tcPr>
          <w:p w14:paraId="33DAD92D" w14:textId="77777777" w:rsidR="004D6A64" w:rsidRDefault="004D6A64">
            <w:pPr>
              <w:jc w:val="right"/>
              <w:rPr>
                <w:rFonts w:ascii="宋体"/>
              </w:rPr>
            </w:pPr>
          </w:p>
        </w:tc>
        <w:tc>
          <w:tcPr>
            <w:tcW w:w="0" w:type="auto"/>
            <w:shd w:val="clear" w:color="auto" w:fill="auto"/>
          </w:tcPr>
          <w:p w14:paraId="33DAD92E" w14:textId="77777777" w:rsidR="004D6A64" w:rsidRDefault="004D6A64">
            <w:pPr>
              <w:rPr>
                <w:rFonts w:ascii="宋体"/>
              </w:rPr>
            </w:pPr>
          </w:p>
        </w:tc>
        <w:tc>
          <w:tcPr>
            <w:tcW w:w="0" w:type="auto"/>
            <w:shd w:val="clear" w:color="auto" w:fill="auto"/>
          </w:tcPr>
          <w:p w14:paraId="33DAD92F" w14:textId="77777777" w:rsidR="004D6A64" w:rsidRDefault="004D6A64">
            <w:pPr>
              <w:rPr>
                <w:rFonts w:ascii="宋体"/>
              </w:rPr>
            </w:pPr>
          </w:p>
        </w:tc>
        <w:tc>
          <w:tcPr>
            <w:tcW w:w="0" w:type="auto"/>
            <w:shd w:val="clear" w:color="auto" w:fill="auto"/>
          </w:tcPr>
          <w:p w14:paraId="33DAD930" w14:textId="77777777" w:rsidR="004D6A64" w:rsidRDefault="004D6A64">
            <w:pPr>
              <w:rPr>
                <w:rFonts w:ascii="宋体"/>
              </w:rPr>
            </w:pPr>
          </w:p>
        </w:tc>
        <w:tc>
          <w:tcPr>
            <w:tcW w:w="0" w:type="auto"/>
            <w:shd w:val="clear" w:color="auto" w:fill="auto"/>
          </w:tcPr>
          <w:p w14:paraId="33DAD931" w14:textId="77777777" w:rsidR="004D6A64" w:rsidRDefault="004D6A64">
            <w:pPr>
              <w:rPr>
                <w:rFonts w:ascii="宋体"/>
              </w:rPr>
            </w:pPr>
          </w:p>
        </w:tc>
        <w:tc>
          <w:tcPr>
            <w:tcW w:w="0" w:type="auto"/>
            <w:shd w:val="clear" w:color="auto" w:fill="auto"/>
          </w:tcPr>
          <w:p w14:paraId="33DAD932" w14:textId="77777777" w:rsidR="004D6A64" w:rsidRDefault="004D6A64">
            <w:pPr>
              <w:rPr>
                <w:rFonts w:ascii="宋体"/>
              </w:rPr>
            </w:pPr>
          </w:p>
        </w:tc>
        <w:tc>
          <w:tcPr>
            <w:tcW w:w="0" w:type="auto"/>
            <w:shd w:val="clear" w:color="auto" w:fill="auto"/>
          </w:tcPr>
          <w:p w14:paraId="33DAD933" w14:textId="77777777" w:rsidR="004D6A64" w:rsidRDefault="004D6A64">
            <w:pPr>
              <w:rPr>
                <w:rFonts w:ascii="宋体"/>
              </w:rPr>
            </w:pPr>
          </w:p>
        </w:tc>
        <w:tc>
          <w:tcPr>
            <w:tcW w:w="0" w:type="auto"/>
            <w:shd w:val="clear" w:color="auto" w:fill="auto"/>
          </w:tcPr>
          <w:p w14:paraId="33DAD934" w14:textId="77777777" w:rsidR="004D6A64" w:rsidRDefault="004D6A64">
            <w:pPr>
              <w:rPr>
                <w:rFonts w:ascii="宋体"/>
              </w:rPr>
            </w:pPr>
          </w:p>
        </w:tc>
        <w:tc>
          <w:tcPr>
            <w:tcW w:w="0" w:type="auto"/>
            <w:shd w:val="clear" w:color="auto" w:fill="auto"/>
          </w:tcPr>
          <w:p w14:paraId="33DAD935" w14:textId="77777777" w:rsidR="004D6A64" w:rsidRDefault="004D6A64">
            <w:pPr>
              <w:rPr>
                <w:rFonts w:ascii="宋体"/>
              </w:rPr>
            </w:pPr>
          </w:p>
        </w:tc>
        <w:tc>
          <w:tcPr>
            <w:tcW w:w="0" w:type="auto"/>
            <w:shd w:val="clear" w:color="auto" w:fill="auto"/>
          </w:tcPr>
          <w:p w14:paraId="33DAD936" w14:textId="77777777" w:rsidR="004D6A64" w:rsidRDefault="004D6A64">
            <w:pPr>
              <w:rPr>
                <w:rFonts w:ascii="宋体"/>
              </w:rPr>
            </w:pPr>
          </w:p>
        </w:tc>
        <w:tc>
          <w:tcPr>
            <w:tcW w:w="0" w:type="auto"/>
            <w:shd w:val="clear" w:color="auto" w:fill="auto"/>
          </w:tcPr>
          <w:p w14:paraId="33DAD937" w14:textId="77777777" w:rsidR="004D6A64" w:rsidRDefault="004D6A64">
            <w:pPr>
              <w:rPr>
                <w:rFonts w:ascii="宋体"/>
              </w:rPr>
            </w:pPr>
          </w:p>
        </w:tc>
        <w:tc>
          <w:tcPr>
            <w:tcW w:w="0" w:type="auto"/>
            <w:shd w:val="clear" w:color="auto" w:fill="auto"/>
          </w:tcPr>
          <w:p w14:paraId="33DAD938" w14:textId="77777777" w:rsidR="004D6A64" w:rsidRDefault="004D6A64">
            <w:pPr>
              <w:rPr>
                <w:rFonts w:ascii="宋体"/>
              </w:rPr>
            </w:pPr>
          </w:p>
        </w:tc>
        <w:tc>
          <w:tcPr>
            <w:tcW w:w="0" w:type="auto"/>
            <w:shd w:val="clear" w:color="auto" w:fill="auto"/>
          </w:tcPr>
          <w:p w14:paraId="33DAD939" w14:textId="77777777" w:rsidR="004D6A64" w:rsidRDefault="004D6A64">
            <w:pPr>
              <w:rPr>
                <w:rFonts w:ascii="宋体"/>
              </w:rPr>
            </w:pPr>
          </w:p>
        </w:tc>
        <w:tc>
          <w:tcPr>
            <w:tcW w:w="0" w:type="auto"/>
            <w:shd w:val="clear" w:color="auto" w:fill="auto"/>
          </w:tcPr>
          <w:p w14:paraId="33DAD93A" w14:textId="77777777" w:rsidR="004D6A64" w:rsidRDefault="004D6A64">
            <w:pPr>
              <w:rPr>
                <w:rFonts w:ascii="宋体"/>
              </w:rPr>
            </w:pPr>
          </w:p>
        </w:tc>
        <w:tc>
          <w:tcPr>
            <w:tcW w:w="0" w:type="auto"/>
            <w:shd w:val="clear" w:color="auto" w:fill="auto"/>
          </w:tcPr>
          <w:p w14:paraId="33DAD93B" w14:textId="77777777" w:rsidR="004D6A64" w:rsidRDefault="004D6A64">
            <w:pPr>
              <w:rPr>
                <w:rFonts w:ascii="宋体"/>
              </w:rPr>
            </w:pPr>
          </w:p>
        </w:tc>
        <w:tc>
          <w:tcPr>
            <w:tcW w:w="0" w:type="auto"/>
            <w:shd w:val="clear" w:color="auto" w:fill="auto"/>
          </w:tcPr>
          <w:p w14:paraId="33DAD93C" w14:textId="77777777" w:rsidR="004D6A64" w:rsidRDefault="004D6A64">
            <w:pPr>
              <w:rPr>
                <w:rFonts w:ascii="宋体"/>
              </w:rPr>
            </w:pPr>
          </w:p>
        </w:tc>
        <w:tc>
          <w:tcPr>
            <w:tcW w:w="0" w:type="auto"/>
            <w:shd w:val="clear" w:color="auto" w:fill="auto"/>
          </w:tcPr>
          <w:p w14:paraId="33DAD93D" w14:textId="77777777" w:rsidR="004D6A64" w:rsidRDefault="004D6A64">
            <w:pPr>
              <w:rPr>
                <w:rFonts w:ascii="宋体"/>
              </w:rPr>
            </w:pPr>
          </w:p>
        </w:tc>
        <w:tc>
          <w:tcPr>
            <w:tcW w:w="0" w:type="auto"/>
            <w:shd w:val="clear" w:color="auto" w:fill="auto"/>
          </w:tcPr>
          <w:p w14:paraId="33DAD93E" w14:textId="77777777" w:rsidR="004D6A64" w:rsidRDefault="004D6A64">
            <w:pPr>
              <w:rPr>
                <w:rFonts w:ascii="宋体"/>
              </w:rPr>
            </w:pPr>
          </w:p>
        </w:tc>
        <w:tc>
          <w:tcPr>
            <w:tcW w:w="0" w:type="auto"/>
            <w:shd w:val="clear" w:color="auto" w:fill="auto"/>
          </w:tcPr>
          <w:p w14:paraId="33DAD93F" w14:textId="77777777" w:rsidR="004D6A64" w:rsidRDefault="004D6A64">
            <w:pPr>
              <w:rPr>
                <w:rFonts w:ascii="宋体"/>
              </w:rPr>
            </w:pPr>
          </w:p>
        </w:tc>
      </w:tr>
      <w:tr w:rsidR="004D6A64" w14:paraId="33DAD963" w14:textId="77777777">
        <w:tc>
          <w:tcPr>
            <w:tcW w:w="0" w:type="auto"/>
            <w:gridSpan w:val="3"/>
            <w:shd w:val="clear" w:color="auto" w:fill="CCEEFF"/>
            <w:tcMar>
              <w:top w:w="40" w:type="dxa"/>
              <w:left w:w="20" w:type="dxa"/>
              <w:bottom w:w="40" w:type="dxa"/>
              <w:right w:w="20" w:type="dxa"/>
            </w:tcMar>
            <w:vAlign w:val="bottom"/>
          </w:tcPr>
          <w:p w14:paraId="33DAD941" w14:textId="77777777" w:rsidR="004D6A64" w:rsidRDefault="00506CD6">
            <w:pPr>
              <w:textAlignment w:val="bottom"/>
            </w:pPr>
            <w:r>
              <w:rPr>
                <w:rFonts w:ascii="Times New Roman" w:eastAsia="宋体" w:hAnsi="Times New Roman"/>
                <w:color w:val="000000"/>
                <w:sz w:val="20"/>
                <w:szCs w:val="20"/>
              </w:rPr>
              <w:t>Warranty liability at end of period</w:t>
            </w:r>
          </w:p>
        </w:tc>
        <w:tc>
          <w:tcPr>
            <w:tcW w:w="0" w:type="auto"/>
            <w:tcBorders>
              <w:top w:val="single" w:sz="8" w:space="0" w:color="000000"/>
            </w:tcBorders>
            <w:shd w:val="clear" w:color="auto" w:fill="CCEEFF"/>
            <w:tcMar>
              <w:top w:w="40" w:type="dxa"/>
              <w:left w:w="20" w:type="dxa"/>
              <w:bottom w:w="40" w:type="dxa"/>
            </w:tcMar>
            <w:vAlign w:val="bottom"/>
          </w:tcPr>
          <w:p w14:paraId="33DAD942"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D943" w14:textId="77777777" w:rsidR="004D6A64" w:rsidRDefault="00506CD6">
            <w:pPr>
              <w:jc w:val="right"/>
              <w:textAlignment w:val="bottom"/>
            </w:pPr>
            <w:r>
              <w:rPr>
                <w:rFonts w:ascii="Times New Roman" w:eastAsia="宋体" w:hAnsi="Times New Roman"/>
                <w:color w:val="000000"/>
                <w:sz w:val="20"/>
                <w:szCs w:val="20"/>
              </w:rPr>
              <w:t>479 </w:t>
            </w:r>
          </w:p>
        </w:tc>
        <w:tc>
          <w:tcPr>
            <w:tcW w:w="0" w:type="auto"/>
            <w:tcBorders>
              <w:top w:val="single" w:sz="8" w:space="0" w:color="000000"/>
            </w:tcBorders>
            <w:shd w:val="clear" w:color="auto" w:fill="CCEEFF"/>
            <w:tcMar>
              <w:top w:w="40" w:type="dxa"/>
              <w:bottom w:w="40" w:type="dxa"/>
              <w:right w:w="20" w:type="dxa"/>
            </w:tcMar>
            <w:vAlign w:val="bottom"/>
          </w:tcPr>
          <w:p w14:paraId="33DAD94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945"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D946"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D947" w14:textId="77777777" w:rsidR="004D6A64" w:rsidRDefault="00506CD6">
            <w:pPr>
              <w:jc w:val="right"/>
              <w:textAlignment w:val="bottom"/>
            </w:pPr>
            <w:r>
              <w:rPr>
                <w:rFonts w:ascii="Times New Roman" w:eastAsia="宋体" w:hAnsi="Times New Roman"/>
                <w:color w:val="000000"/>
                <w:sz w:val="20"/>
                <w:szCs w:val="20"/>
              </w:rPr>
              <w:t>525 </w:t>
            </w:r>
          </w:p>
        </w:tc>
        <w:tc>
          <w:tcPr>
            <w:tcW w:w="0" w:type="auto"/>
            <w:tcBorders>
              <w:top w:val="single" w:sz="8" w:space="0" w:color="000000"/>
            </w:tcBorders>
            <w:shd w:val="clear" w:color="auto" w:fill="CCEEFF"/>
            <w:tcMar>
              <w:top w:w="40" w:type="dxa"/>
              <w:bottom w:w="40" w:type="dxa"/>
              <w:right w:w="20" w:type="dxa"/>
            </w:tcMar>
            <w:vAlign w:val="bottom"/>
          </w:tcPr>
          <w:p w14:paraId="33DAD94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949"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D94A"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D94B" w14:textId="77777777" w:rsidR="004D6A64" w:rsidRDefault="00506CD6">
            <w:pPr>
              <w:jc w:val="right"/>
              <w:textAlignment w:val="bottom"/>
            </w:pPr>
            <w:r>
              <w:rPr>
                <w:rFonts w:ascii="Times New Roman" w:eastAsia="宋体" w:hAnsi="Times New Roman"/>
                <w:color w:val="000000"/>
                <w:sz w:val="20"/>
                <w:szCs w:val="20"/>
              </w:rPr>
              <w:t>479 </w:t>
            </w:r>
          </w:p>
        </w:tc>
        <w:tc>
          <w:tcPr>
            <w:tcW w:w="0" w:type="auto"/>
            <w:tcBorders>
              <w:top w:val="single" w:sz="8" w:space="0" w:color="000000"/>
            </w:tcBorders>
            <w:shd w:val="clear" w:color="auto" w:fill="CCEEFF"/>
            <w:tcMar>
              <w:top w:w="40" w:type="dxa"/>
              <w:bottom w:w="40" w:type="dxa"/>
              <w:right w:w="20" w:type="dxa"/>
            </w:tcMar>
            <w:vAlign w:val="bottom"/>
          </w:tcPr>
          <w:p w14:paraId="33DAD94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94D"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bottom"/>
          </w:tcPr>
          <w:p w14:paraId="33DAD94E"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bottom"/>
          </w:tcPr>
          <w:p w14:paraId="33DAD94F" w14:textId="77777777" w:rsidR="004D6A64" w:rsidRDefault="00506CD6">
            <w:pPr>
              <w:jc w:val="right"/>
              <w:textAlignment w:val="bottom"/>
            </w:pPr>
            <w:r>
              <w:rPr>
                <w:rFonts w:ascii="Times New Roman" w:eastAsia="宋体" w:hAnsi="Times New Roman"/>
                <w:color w:val="000000"/>
                <w:sz w:val="20"/>
                <w:szCs w:val="20"/>
              </w:rPr>
              <w:t>525 </w:t>
            </w:r>
          </w:p>
        </w:tc>
        <w:tc>
          <w:tcPr>
            <w:tcW w:w="0" w:type="auto"/>
            <w:tcBorders>
              <w:top w:val="single" w:sz="8" w:space="0" w:color="000000"/>
            </w:tcBorders>
            <w:shd w:val="clear" w:color="auto" w:fill="CCEEFF"/>
            <w:tcMar>
              <w:top w:w="40" w:type="dxa"/>
              <w:bottom w:w="40" w:type="dxa"/>
              <w:right w:w="20" w:type="dxa"/>
            </w:tcMar>
            <w:vAlign w:val="bottom"/>
          </w:tcPr>
          <w:p w14:paraId="33DAD950" w14:textId="77777777" w:rsidR="004D6A64" w:rsidRDefault="004D6A64">
            <w:pPr>
              <w:jc w:val="right"/>
              <w:rPr>
                <w:rFonts w:ascii="宋体"/>
              </w:rPr>
            </w:pPr>
          </w:p>
        </w:tc>
        <w:tc>
          <w:tcPr>
            <w:tcW w:w="0" w:type="auto"/>
            <w:shd w:val="clear" w:color="auto" w:fill="auto"/>
          </w:tcPr>
          <w:p w14:paraId="33DAD951" w14:textId="77777777" w:rsidR="004D6A64" w:rsidRDefault="004D6A64">
            <w:pPr>
              <w:rPr>
                <w:rFonts w:ascii="宋体"/>
              </w:rPr>
            </w:pPr>
          </w:p>
        </w:tc>
        <w:tc>
          <w:tcPr>
            <w:tcW w:w="0" w:type="auto"/>
            <w:shd w:val="clear" w:color="auto" w:fill="auto"/>
          </w:tcPr>
          <w:p w14:paraId="33DAD952" w14:textId="77777777" w:rsidR="004D6A64" w:rsidRDefault="004D6A64">
            <w:pPr>
              <w:rPr>
                <w:rFonts w:ascii="宋体"/>
              </w:rPr>
            </w:pPr>
          </w:p>
        </w:tc>
        <w:tc>
          <w:tcPr>
            <w:tcW w:w="0" w:type="auto"/>
            <w:shd w:val="clear" w:color="auto" w:fill="auto"/>
          </w:tcPr>
          <w:p w14:paraId="33DAD953" w14:textId="77777777" w:rsidR="004D6A64" w:rsidRDefault="004D6A64">
            <w:pPr>
              <w:rPr>
                <w:rFonts w:ascii="宋体"/>
              </w:rPr>
            </w:pPr>
          </w:p>
        </w:tc>
        <w:tc>
          <w:tcPr>
            <w:tcW w:w="0" w:type="auto"/>
            <w:shd w:val="clear" w:color="auto" w:fill="auto"/>
          </w:tcPr>
          <w:p w14:paraId="33DAD954" w14:textId="77777777" w:rsidR="004D6A64" w:rsidRDefault="004D6A64">
            <w:pPr>
              <w:rPr>
                <w:rFonts w:ascii="宋体"/>
              </w:rPr>
            </w:pPr>
          </w:p>
        </w:tc>
        <w:tc>
          <w:tcPr>
            <w:tcW w:w="0" w:type="auto"/>
            <w:shd w:val="clear" w:color="auto" w:fill="auto"/>
          </w:tcPr>
          <w:p w14:paraId="33DAD955" w14:textId="77777777" w:rsidR="004D6A64" w:rsidRDefault="004D6A64">
            <w:pPr>
              <w:rPr>
                <w:rFonts w:ascii="宋体"/>
              </w:rPr>
            </w:pPr>
          </w:p>
        </w:tc>
        <w:tc>
          <w:tcPr>
            <w:tcW w:w="0" w:type="auto"/>
            <w:shd w:val="clear" w:color="auto" w:fill="auto"/>
          </w:tcPr>
          <w:p w14:paraId="33DAD956" w14:textId="77777777" w:rsidR="004D6A64" w:rsidRDefault="004D6A64">
            <w:pPr>
              <w:rPr>
                <w:rFonts w:ascii="宋体"/>
              </w:rPr>
            </w:pPr>
          </w:p>
        </w:tc>
        <w:tc>
          <w:tcPr>
            <w:tcW w:w="0" w:type="auto"/>
            <w:shd w:val="clear" w:color="auto" w:fill="auto"/>
          </w:tcPr>
          <w:p w14:paraId="33DAD957" w14:textId="77777777" w:rsidR="004D6A64" w:rsidRDefault="004D6A64">
            <w:pPr>
              <w:rPr>
                <w:rFonts w:ascii="宋体"/>
              </w:rPr>
            </w:pPr>
          </w:p>
        </w:tc>
        <w:tc>
          <w:tcPr>
            <w:tcW w:w="0" w:type="auto"/>
            <w:shd w:val="clear" w:color="auto" w:fill="auto"/>
          </w:tcPr>
          <w:p w14:paraId="33DAD958" w14:textId="77777777" w:rsidR="004D6A64" w:rsidRDefault="004D6A64">
            <w:pPr>
              <w:rPr>
                <w:rFonts w:ascii="宋体"/>
              </w:rPr>
            </w:pPr>
          </w:p>
        </w:tc>
        <w:tc>
          <w:tcPr>
            <w:tcW w:w="0" w:type="auto"/>
            <w:shd w:val="clear" w:color="auto" w:fill="auto"/>
          </w:tcPr>
          <w:p w14:paraId="33DAD959" w14:textId="77777777" w:rsidR="004D6A64" w:rsidRDefault="004D6A64">
            <w:pPr>
              <w:rPr>
                <w:rFonts w:ascii="宋体"/>
              </w:rPr>
            </w:pPr>
          </w:p>
        </w:tc>
        <w:tc>
          <w:tcPr>
            <w:tcW w:w="0" w:type="auto"/>
            <w:shd w:val="clear" w:color="auto" w:fill="auto"/>
          </w:tcPr>
          <w:p w14:paraId="33DAD95A" w14:textId="77777777" w:rsidR="004D6A64" w:rsidRDefault="004D6A64">
            <w:pPr>
              <w:rPr>
                <w:rFonts w:ascii="宋体"/>
              </w:rPr>
            </w:pPr>
          </w:p>
        </w:tc>
        <w:tc>
          <w:tcPr>
            <w:tcW w:w="0" w:type="auto"/>
            <w:shd w:val="clear" w:color="auto" w:fill="auto"/>
          </w:tcPr>
          <w:p w14:paraId="33DAD95B" w14:textId="77777777" w:rsidR="004D6A64" w:rsidRDefault="004D6A64">
            <w:pPr>
              <w:rPr>
                <w:rFonts w:ascii="宋体"/>
              </w:rPr>
            </w:pPr>
          </w:p>
        </w:tc>
        <w:tc>
          <w:tcPr>
            <w:tcW w:w="0" w:type="auto"/>
            <w:shd w:val="clear" w:color="auto" w:fill="auto"/>
          </w:tcPr>
          <w:p w14:paraId="33DAD95C" w14:textId="77777777" w:rsidR="004D6A64" w:rsidRDefault="004D6A64">
            <w:pPr>
              <w:rPr>
                <w:rFonts w:ascii="宋体"/>
              </w:rPr>
            </w:pPr>
          </w:p>
        </w:tc>
        <w:tc>
          <w:tcPr>
            <w:tcW w:w="0" w:type="auto"/>
            <w:shd w:val="clear" w:color="auto" w:fill="auto"/>
          </w:tcPr>
          <w:p w14:paraId="33DAD95D" w14:textId="77777777" w:rsidR="004D6A64" w:rsidRDefault="004D6A64">
            <w:pPr>
              <w:rPr>
                <w:rFonts w:ascii="宋体"/>
              </w:rPr>
            </w:pPr>
          </w:p>
        </w:tc>
        <w:tc>
          <w:tcPr>
            <w:tcW w:w="0" w:type="auto"/>
            <w:shd w:val="clear" w:color="auto" w:fill="auto"/>
          </w:tcPr>
          <w:p w14:paraId="33DAD95E" w14:textId="77777777" w:rsidR="004D6A64" w:rsidRDefault="004D6A64">
            <w:pPr>
              <w:rPr>
                <w:rFonts w:ascii="宋体"/>
              </w:rPr>
            </w:pPr>
          </w:p>
        </w:tc>
        <w:tc>
          <w:tcPr>
            <w:tcW w:w="0" w:type="auto"/>
            <w:shd w:val="clear" w:color="auto" w:fill="auto"/>
          </w:tcPr>
          <w:p w14:paraId="33DAD95F" w14:textId="77777777" w:rsidR="004D6A64" w:rsidRDefault="004D6A64">
            <w:pPr>
              <w:rPr>
                <w:rFonts w:ascii="宋体"/>
              </w:rPr>
            </w:pPr>
          </w:p>
        </w:tc>
        <w:tc>
          <w:tcPr>
            <w:tcW w:w="0" w:type="auto"/>
            <w:shd w:val="clear" w:color="auto" w:fill="auto"/>
          </w:tcPr>
          <w:p w14:paraId="33DAD960" w14:textId="77777777" w:rsidR="004D6A64" w:rsidRDefault="004D6A64">
            <w:pPr>
              <w:rPr>
                <w:rFonts w:ascii="宋体"/>
              </w:rPr>
            </w:pPr>
          </w:p>
        </w:tc>
        <w:tc>
          <w:tcPr>
            <w:tcW w:w="0" w:type="auto"/>
            <w:shd w:val="clear" w:color="auto" w:fill="auto"/>
          </w:tcPr>
          <w:p w14:paraId="33DAD961" w14:textId="77777777" w:rsidR="004D6A64" w:rsidRDefault="004D6A64">
            <w:pPr>
              <w:rPr>
                <w:rFonts w:ascii="宋体"/>
              </w:rPr>
            </w:pPr>
          </w:p>
        </w:tc>
        <w:tc>
          <w:tcPr>
            <w:tcW w:w="0" w:type="auto"/>
            <w:shd w:val="clear" w:color="auto" w:fill="auto"/>
          </w:tcPr>
          <w:p w14:paraId="33DAD962" w14:textId="77777777" w:rsidR="004D6A64" w:rsidRDefault="004D6A64">
            <w:pPr>
              <w:rPr>
                <w:rFonts w:ascii="宋体"/>
              </w:rPr>
            </w:pPr>
          </w:p>
        </w:tc>
      </w:tr>
      <w:tr w:rsidR="004D6A64" w14:paraId="33DAD986" w14:textId="77777777">
        <w:tc>
          <w:tcPr>
            <w:tcW w:w="0" w:type="auto"/>
            <w:gridSpan w:val="3"/>
            <w:shd w:val="clear" w:color="auto" w:fill="FFFFFF"/>
            <w:tcMar>
              <w:top w:w="40" w:type="dxa"/>
              <w:left w:w="135" w:type="dxa"/>
              <w:bottom w:w="40" w:type="dxa"/>
              <w:right w:w="20" w:type="dxa"/>
            </w:tcMar>
            <w:vAlign w:val="bottom"/>
          </w:tcPr>
          <w:p w14:paraId="33DAD964" w14:textId="77777777" w:rsidR="004D6A64" w:rsidRDefault="00506CD6">
            <w:pPr>
              <w:textAlignment w:val="bottom"/>
            </w:pPr>
            <w:r>
              <w:rPr>
                <w:rFonts w:ascii="Times New Roman" w:eastAsia="宋体" w:hAnsi="Times New Roman"/>
                <w:color w:val="000000"/>
                <w:sz w:val="20"/>
                <w:szCs w:val="20"/>
              </w:rPr>
              <w:t>Current portion</w:t>
            </w:r>
          </w:p>
        </w:tc>
        <w:tc>
          <w:tcPr>
            <w:tcW w:w="0" w:type="auto"/>
            <w:tcBorders>
              <w:top w:val="double" w:sz="6" w:space="0" w:color="000000"/>
            </w:tcBorders>
            <w:shd w:val="clear" w:color="auto" w:fill="FFFFFF"/>
            <w:tcMar>
              <w:top w:w="40" w:type="dxa"/>
              <w:left w:w="20" w:type="dxa"/>
              <w:bottom w:w="40" w:type="dxa"/>
            </w:tcMar>
            <w:vAlign w:val="bottom"/>
          </w:tcPr>
          <w:p w14:paraId="33DAD965" w14:textId="77777777" w:rsidR="004D6A64" w:rsidRDefault="00506CD6">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bottom w:w="40" w:type="dxa"/>
              <w:right w:w="0" w:type="dxa"/>
            </w:tcMar>
            <w:vAlign w:val="bottom"/>
          </w:tcPr>
          <w:p w14:paraId="33DAD966" w14:textId="77777777" w:rsidR="004D6A64" w:rsidRDefault="00506CD6">
            <w:pPr>
              <w:jc w:val="right"/>
              <w:textAlignment w:val="bottom"/>
            </w:pPr>
            <w:r>
              <w:rPr>
                <w:rFonts w:ascii="Times New Roman" w:eastAsia="宋体" w:hAnsi="Times New Roman"/>
                <w:color w:val="000000"/>
                <w:sz w:val="20"/>
                <w:szCs w:val="20"/>
              </w:rPr>
              <w:t>339 </w:t>
            </w:r>
          </w:p>
        </w:tc>
        <w:tc>
          <w:tcPr>
            <w:tcW w:w="0" w:type="auto"/>
            <w:tcBorders>
              <w:top w:val="double" w:sz="6" w:space="0" w:color="000000"/>
            </w:tcBorders>
            <w:shd w:val="clear" w:color="auto" w:fill="FFFFFF"/>
            <w:tcMar>
              <w:top w:w="40" w:type="dxa"/>
              <w:bottom w:w="40" w:type="dxa"/>
              <w:right w:w="20" w:type="dxa"/>
            </w:tcMar>
            <w:vAlign w:val="bottom"/>
          </w:tcPr>
          <w:p w14:paraId="33DAD96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968" w14:textId="77777777" w:rsidR="004D6A64" w:rsidRDefault="004D6A64">
            <w:pPr>
              <w:rPr>
                <w:rFonts w:ascii="宋体"/>
              </w:rPr>
            </w:pPr>
          </w:p>
        </w:tc>
        <w:tc>
          <w:tcPr>
            <w:tcW w:w="0" w:type="auto"/>
            <w:tcBorders>
              <w:top w:val="double" w:sz="6" w:space="0" w:color="000000"/>
            </w:tcBorders>
            <w:shd w:val="clear" w:color="auto" w:fill="FFFFFF"/>
            <w:tcMar>
              <w:top w:w="40" w:type="dxa"/>
              <w:left w:w="20" w:type="dxa"/>
              <w:bottom w:w="40" w:type="dxa"/>
            </w:tcMar>
            <w:vAlign w:val="bottom"/>
          </w:tcPr>
          <w:p w14:paraId="33DAD969" w14:textId="77777777" w:rsidR="004D6A64" w:rsidRDefault="00506CD6">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bottom w:w="40" w:type="dxa"/>
              <w:right w:w="0" w:type="dxa"/>
            </w:tcMar>
            <w:vAlign w:val="bottom"/>
          </w:tcPr>
          <w:p w14:paraId="33DAD96A" w14:textId="77777777" w:rsidR="004D6A64" w:rsidRDefault="00506CD6">
            <w:pPr>
              <w:jc w:val="right"/>
              <w:textAlignment w:val="bottom"/>
            </w:pPr>
            <w:r>
              <w:rPr>
                <w:rFonts w:ascii="Times New Roman" w:eastAsia="宋体" w:hAnsi="Times New Roman"/>
                <w:color w:val="000000"/>
                <w:sz w:val="20"/>
                <w:szCs w:val="20"/>
              </w:rPr>
              <w:t>355 </w:t>
            </w:r>
          </w:p>
        </w:tc>
        <w:tc>
          <w:tcPr>
            <w:tcW w:w="0" w:type="auto"/>
            <w:tcBorders>
              <w:top w:val="double" w:sz="6" w:space="0" w:color="000000"/>
            </w:tcBorders>
            <w:shd w:val="clear" w:color="auto" w:fill="FFFFFF"/>
            <w:tcMar>
              <w:top w:w="40" w:type="dxa"/>
              <w:bottom w:w="40" w:type="dxa"/>
              <w:right w:w="20" w:type="dxa"/>
            </w:tcMar>
            <w:vAlign w:val="bottom"/>
          </w:tcPr>
          <w:p w14:paraId="33DAD96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96C" w14:textId="77777777" w:rsidR="004D6A64" w:rsidRDefault="004D6A64">
            <w:pPr>
              <w:rPr>
                <w:rFonts w:ascii="宋体"/>
              </w:rPr>
            </w:pPr>
          </w:p>
        </w:tc>
        <w:tc>
          <w:tcPr>
            <w:tcW w:w="0" w:type="auto"/>
            <w:tcBorders>
              <w:top w:val="double" w:sz="6" w:space="0" w:color="000000"/>
            </w:tcBorders>
            <w:shd w:val="clear" w:color="auto" w:fill="FFFFFF"/>
            <w:tcMar>
              <w:top w:w="40" w:type="dxa"/>
              <w:left w:w="20" w:type="dxa"/>
              <w:bottom w:w="40" w:type="dxa"/>
            </w:tcMar>
            <w:vAlign w:val="bottom"/>
          </w:tcPr>
          <w:p w14:paraId="33DAD96D" w14:textId="77777777" w:rsidR="004D6A64" w:rsidRDefault="00506CD6">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bottom w:w="40" w:type="dxa"/>
              <w:right w:w="0" w:type="dxa"/>
            </w:tcMar>
            <w:vAlign w:val="bottom"/>
          </w:tcPr>
          <w:p w14:paraId="33DAD96E" w14:textId="77777777" w:rsidR="004D6A64" w:rsidRDefault="00506CD6">
            <w:pPr>
              <w:jc w:val="right"/>
              <w:textAlignment w:val="bottom"/>
            </w:pPr>
            <w:r>
              <w:rPr>
                <w:rFonts w:ascii="Times New Roman" w:eastAsia="宋体" w:hAnsi="Times New Roman"/>
                <w:color w:val="000000"/>
                <w:sz w:val="20"/>
                <w:szCs w:val="20"/>
              </w:rPr>
              <w:t>339 </w:t>
            </w:r>
          </w:p>
        </w:tc>
        <w:tc>
          <w:tcPr>
            <w:tcW w:w="0" w:type="auto"/>
            <w:tcBorders>
              <w:top w:val="double" w:sz="6" w:space="0" w:color="000000"/>
            </w:tcBorders>
            <w:shd w:val="clear" w:color="auto" w:fill="FFFFFF"/>
            <w:tcMar>
              <w:top w:w="40" w:type="dxa"/>
              <w:bottom w:w="40" w:type="dxa"/>
              <w:right w:w="20" w:type="dxa"/>
            </w:tcMar>
            <w:vAlign w:val="bottom"/>
          </w:tcPr>
          <w:p w14:paraId="33DAD96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970" w14:textId="77777777" w:rsidR="004D6A64" w:rsidRDefault="004D6A64">
            <w:pPr>
              <w:rPr>
                <w:rFonts w:ascii="宋体"/>
              </w:rPr>
            </w:pPr>
          </w:p>
        </w:tc>
        <w:tc>
          <w:tcPr>
            <w:tcW w:w="0" w:type="auto"/>
            <w:tcBorders>
              <w:top w:val="double" w:sz="6" w:space="0" w:color="000000"/>
            </w:tcBorders>
            <w:shd w:val="clear" w:color="auto" w:fill="FFFFFF"/>
            <w:tcMar>
              <w:top w:w="40" w:type="dxa"/>
              <w:left w:w="20" w:type="dxa"/>
              <w:bottom w:w="40" w:type="dxa"/>
            </w:tcMar>
            <w:vAlign w:val="bottom"/>
          </w:tcPr>
          <w:p w14:paraId="33DAD971" w14:textId="77777777" w:rsidR="004D6A64" w:rsidRDefault="00506CD6">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bottom w:w="40" w:type="dxa"/>
              <w:right w:w="0" w:type="dxa"/>
            </w:tcMar>
            <w:vAlign w:val="bottom"/>
          </w:tcPr>
          <w:p w14:paraId="33DAD972" w14:textId="77777777" w:rsidR="004D6A64" w:rsidRDefault="00506CD6">
            <w:pPr>
              <w:jc w:val="right"/>
              <w:textAlignment w:val="bottom"/>
            </w:pPr>
            <w:r>
              <w:rPr>
                <w:rFonts w:ascii="Times New Roman" w:eastAsia="宋体" w:hAnsi="Times New Roman"/>
                <w:color w:val="000000"/>
                <w:sz w:val="20"/>
                <w:szCs w:val="20"/>
              </w:rPr>
              <w:t>355 </w:t>
            </w:r>
          </w:p>
        </w:tc>
        <w:tc>
          <w:tcPr>
            <w:tcW w:w="0" w:type="auto"/>
            <w:tcBorders>
              <w:top w:val="double" w:sz="6" w:space="0" w:color="000000"/>
            </w:tcBorders>
            <w:shd w:val="clear" w:color="auto" w:fill="FFFFFF"/>
            <w:tcMar>
              <w:top w:w="40" w:type="dxa"/>
              <w:bottom w:w="40" w:type="dxa"/>
              <w:right w:w="20" w:type="dxa"/>
            </w:tcMar>
            <w:vAlign w:val="bottom"/>
          </w:tcPr>
          <w:p w14:paraId="33DAD973" w14:textId="77777777" w:rsidR="004D6A64" w:rsidRDefault="004D6A64">
            <w:pPr>
              <w:jc w:val="right"/>
              <w:rPr>
                <w:rFonts w:ascii="宋体"/>
              </w:rPr>
            </w:pPr>
          </w:p>
        </w:tc>
        <w:tc>
          <w:tcPr>
            <w:tcW w:w="0" w:type="auto"/>
            <w:shd w:val="clear" w:color="auto" w:fill="auto"/>
          </w:tcPr>
          <w:p w14:paraId="33DAD974" w14:textId="77777777" w:rsidR="004D6A64" w:rsidRDefault="004D6A64">
            <w:pPr>
              <w:rPr>
                <w:rFonts w:ascii="宋体"/>
              </w:rPr>
            </w:pPr>
          </w:p>
        </w:tc>
        <w:tc>
          <w:tcPr>
            <w:tcW w:w="0" w:type="auto"/>
            <w:shd w:val="clear" w:color="auto" w:fill="auto"/>
          </w:tcPr>
          <w:p w14:paraId="33DAD975" w14:textId="77777777" w:rsidR="004D6A64" w:rsidRDefault="004D6A64">
            <w:pPr>
              <w:rPr>
                <w:rFonts w:ascii="宋体"/>
              </w:rPr>
            </w:pPr>
          </w:p>
        </w:tc>
        <w:tc>
          <w:tcPr>
            <w:tcW w:w="0" w:type="auto"/>
            <w:shd w:val="clear" w:color="auto" w:fill="auto"/>
          </w:tcPr>
          <w:p w14:paraId="33DAD976" w14:textId="77777777" w:rsidR="004D6A64" w:rsidRDefault="004D6A64">
            <w:pPr>
              <w:rPr>
                <w:rFonts w:ascii="宋体"/>
              </w:rPr>
            </w:pPr>
          </w:p>
        </w:tc>
        <w:tc>
          <w:tcPr>
            <w:tcW w:w="0" w:type="auto"/>
            <w:shd w:val="clear" w:color="auto" w:fill="auto"/>
          </w:tcPr>
          <w:p w14:paraId="33DAD977" w14:textId="77777777" w:rsidR="004D6A64" w:rsidRDefault="004D6A64">
            <w:pPr>
              <w:rPr>
                <w:rFonts w:ascii="宋体"/>
              </w:rPr>
            </w:pPr>
          </w:p>
        </w:tc>
        <w:tc>
          <w:tcPr>
            <w:tcW w:w="0" w:type="auto"/>
            <w:shd w:val="clear" w:color="auto" w:fill="auto"/>
          </w:tcPr>
          <w:p w14:paraId="33DAD978" w14:textId="77777777" w:rsidR="004D6A64" w:rsidRDefault="004D6A64">
            <w:pPr>
              <w:rPr>
                <w:rFonts w:ascii="宋体"/>
              </w:rPr>
            </w:pPr>
          </w:p>
        </w:tc>
        <w:tc>
          <w:tcPr>
            <w:tcW w:w="0" w:type="auto"/>
            <w:shd w:val="clear" w:color="auto" w:fill="auto"/>
          </w:tcPr>
          <w:p w14:paraId="33DAD979" w14:textId="77777777" w:rsidR="004D6A64" w:rsidRDefault="004D6A64">
            <w:pPr>
              <w:rPr>
                <w:rFonts w:ascii="宋体"/>
              </w:rPr>
            </w:pPr>
          </w:p>
        </w:tc>
        <w:tc>
          <w:tcPr>
            <w:tcW w:w="0" w:type="auto"/>
            <w:shd w:val="clear" w:color="auto" w:fill="auto"/>
          </w:tcPr>
          <w:p w14:paraId="33DAD97A" w14:textId="77777777" w:rsidR="004D6A64" w:rsidRDefault="004D6A64">
            <w:pPr>
              <w:rPr>
                <w:rFonts w:ascii="宋体"/>
              </w:rPr>
            </w:pPr>
          </w:p>
        </w:tc>
        <w:tc>
          <w:tcPr>
            <w:tcW w:w="0" w:type="auto"/>
            <w:shd w:val="clear" w:color="auto" w:fill="auto"/>
          </w:tcPr>
          <w:p w14:paraId="33DAD97B" w14:textId="77777777" w:rsidR="004D6A64" w:rsidRDefault="004D6A64">
            <w:pPr>
              <w:rPr>
                <w:rFonts w:ascii="宋体"/>
              </w:rPr>
            </w:pPr>
          </w:p>
        </w:tc>
        <w:tc>
          <w:tcPr>
            <w:tcW w:w="0" w:type="auto"/>
            <w:shd w:val="clear" w:color="auto" w:fill="auto"/>
          </w:tcPr>
          <w:p w14:paraId="33DAD97C" w14:textId="77777777" w:rsidR="004D6A64" w:rsidRDefault="004D6A64">
            <w:pPr>
              <w:rPr>
                <w:rFonts w:ascii="宋体"/>
              </w:rPr>
            </w:pPr>
          </w:p>
        </w:tc>
        <w:tc>
          <w:tcPr>
            <w:tcW w:w="0" w:type="auto"/>
            <w:shd w:val="clear" w:color="auto" w:fill="auto"/>
          </w:tcPr>
          <w:p w14:paraId="33DAD97D" w14:textId="77777777" w:rsidR="004D6A64" w:rsidRDefault="004D6A64">
            <w:pPr>
              <w:rPr>
                <w:rFonts w:ascii="宋体"/>
              </w:rPr>
            </w:pPr>
          </w:p>
        </w:tc>
        <w:tc>
          <w:tcPr>
            <w:tcW w:w="0" w:type="auto"/>
            <w:shd w:val="clear" w:color="auto" w:fill="auto"/>
          </w:tcPr>
          <w:p w14:paraId="33DAD97E" w14:textId="77777777" w:rsidR="004D6A64" w:rsidRDefault="004D6A64">
            <w:pPr>
              <w:rPr>
                <w:rFonts w:ascii="宋体"/>
              </w:rPr>
            </w:pPr>
          </w:p>
        </w:tc>
        <w:tc>
          <w:tcPr>
            <w:tcW w:w="0" w:type="auto"/>
            <w:shd w:val="clear" w:color="auto" w:fill="auto"/>
          </w:tcPr>
          <w:p w14:paraId="33DAD97F" w14:textId="77777777" w:rsidR="004D6A64" w:rsidRDefault="004D6A64">
            <w:pPr>
              <w:rPr>
                <w:rFonts w:ascii="宋体"/>
              </w:rPr>
            </w:pPr>
          </w:p>
        </w:tc>
        <w:tc>
          <w:tcPr>
            <w:tcW w:w="0" w:type="auto"/>
            <w:shd w:val="clear" w:color="auto" w:fill="auto"/>
          </w:tcPr>
          <w:p w14:paraId="33DAD980" w14:textId="77777777" w:rsidR="004D6A64" w:rsidRDefault="004D6A64">
            <w:pPr>
              <w:rPr>
                <w:rFonts w:ascii="宋体"/>
              </w:rPr>
            </w:pPr>
          </w:p>
        </w:tc>
        <w:tc>
          <w:tcPr>
            <w:tcW w:w="0" w:type="auto"/>
            <w:shd w:val="clear" w:color="auto" w:fill="auto"/>
          </w:tcPr>
          <w:p w14:paraId="33DAD981" w14:textId="77777777" w:rsidR="004D6A64" w:rsidRDefault="004D6A64">
            <w:pPr>
              <w:rPr>
                <w:rFonts w:ascii="宋体"/>
              </w:rPr>
            </w:pPr>
          </w:p>
        </w:tc>
        <w:tc>
          <w:tcPr>
            <w:tcW w:w="0" w:type="auto"/>
            <w:shd w:val="clear" w:color="auto" w:fill="auto"/>
          </w:tcPr>
          <w:p w14:paraId="33DAD982" w14:textId="77777777" w:rsidR="004D6A64" w:rsidRDefault="004D6A64">
            <w:pPr>
              <w:rPr>
                <w:rFonts w:ascii="宋体"/>
              </w:rPr>
            </w:pPr>
          </w:p>
        </w:tc>
        <w:tc>
          <w:tcPr>
            <w:tcW w:w="0" w:type="auto"/>
            <w:shd w:val="clear" w:color="auto" w:fill="auto"/>
          </w:tcPr>
          <w:p w14:paraId="33DAD983" w14:textId="77777777" w:rsidR="004D6A64" w:rsidRDefault="004D6A64">
            <w:pPr>
              <w:rPr>
                <w:rFonts w:ascii="宋体"/>
              </w:rPr>
            </w:pPr>
          </w:p>
        </w:tc>
        <w:tc>
          <w:tcPr>
            <w:tcW w:w="0" w:type="auto"/>
            <w:shd w:val="clear" w:color="auto" w:fill="auto"/>
          </w:tcPr>
          <w:p w14:paraId="33DAD984" w14:textId="77777777" w:rsidR="004D6A64" w:rsidRDefault="004D6A64">
            <w:pPr>
              <w:rPr>
                <w:rFonts w:ascii="宋体"/>
              </w:rPr>
            </w:pPr>
          </w:p>
        </w:tc>
        <w:tc>
          <w:tcPr>
            <w:tcW w:w="0" w:type="auto"/>
            <w:shd w:val="clear" w:color="auto" w:fill="auto"/>
          </w:tcPr>
          <w:p w14:paraId="33DAD985" w14:textId="77777777" w:rsidR="004D6A64" w:rsidRDefault="004D6A64">
            <w:pPr>
              <w:rPr>
                <w:rFonts w:ascii="宋体"/>
              </w:rPr>
            </w:pPr>
          </w:p>
        </w:tc>
      </w:tr>
      <w:tr w:rsidR="004D6A64" w14:paraId="33DAD9A9" w14:textId="77777777">
        <w:tc>
          <w:tcPr>
            <w:tcW w:w="0" w:type="auto"/>
            <w:gridSpan w:val="3"/>
            <w:shd w:val="clear" w:color="auto" w:fill="CCEEFF"/>
            <w:tcMar>
              <w:top w:w="40" w:type="dxa"/>
              <w:left w:w="135" w:type="dxa"/>
              <w:bottom w:w="40" w:type="dxa"/>
              <w:right w:w="20" w:type="dxa"/>
            </w:tcMar>
            <w:vAlign w:val="bottom"/>
          </w:tcPr>
          <w:p w14:paraId="33DAD987" w14:textId="77777777" w:rsidR="004D6A64" w:rsidRDefault="00506CD6">
            <w:pPr>
              <w:textAlignment w:val="bottom"/>
            </w:pPr>
            <w:r>
              <w:rPr>
                <w:rFonts w:ascii="Times New Roman" w:eastAsia="宋体" w:hAnsi="Times New Roman"/>
                <w:color w:val="000000"/>
                <w:sz w:val="20"/>
                <w:szCs w:val="20"/>
              </w:rPr>
              <w:t>Non-current portion</w:t>
            </w:r>
          </w:p>
        </w:tc>
        <w:tc>
          <w:tcPr>
            <w:tcW w:w="0" w:type="auto"/>
            <w:shd w:val="clear" w:color="auto" w:fill="CCEEFF"/>
            <w:tcMar>
              <w:top w:w="40" w:type="dxa"/>
              <w:left w:w="20" w:type="dxa"/>
              <w:bottom w:w="40" w:type="dxa"/>
            </w:tcMar>
            <w:vAlign w:val="bottom"/>
          </w:tcPr>
          <w:p w14:paraId="33DAD988"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D989" w14:textId="77777777" w:rsidR="004D6A64" w:rsidRDefault="00506CD6">
            <w:pPr>
              <w:jc w:val="right"/>
              <w:textAlignment w:val="bottom"/>
            </w:pPr>
            <w:r>
              <w:rPr>
                <w:rFonts w:ascii="Times New Roman" w:eastAsia="宋体" w:hAnsi="Times New Roman"/>
                <w:color w:val="000000"/>
                <w:sz w:val="20"/>
                <w:szCs w:val="20"/>
              </w:rPr>
              <w:t>140 </w:t>
            </w:r>
          </w:p>
        </w:tc>
        <w:tc>
          <w:tcPr>
            <w:tcW w:w="0" w:type="auto"/>
            <w:shd w:val="clear" w:color="auto" w:fill="CCEEFF"/>
            <w:tcMar>
              <w:top w:w="40" w:type="dxa"/>
              <w:bottom w:w="40" w:type="dxa"/>
              <w:right w:w="20" w:type="dxa"/>
            </w:tcMar>
            <w:vAlign w:val="bottom"/>
          </w:tcPr>
          <w:p w14:paraId="33DAD98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98B"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D98C"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D98D" w14:textId="77777777" w:rsidR="004D6A64" w:rsidRDefault="00506CD6">
            <w:pPr>
              <w:jc w:val="right"/>
              <w:textAlignment w:val="bottom"/>
            </w:pPr>
            <w:r>
              <w:rPr>
                <w:rFonts w:ascii="Times New Roman" w:eastAsia="宋体" w:hAnsi="Times New Roman"/>
                <w:color w:val="000000"/>
                <w:sz w:val="20"/>
                <w:szCs w:val="20"/>
              </w:rPr>
              <w:t>170 </w:t>
            </w:r>
          </w:p>
        </w:tc>
        <w:tc>
          <w:tcPr>
            <w:tcW w:w="0" w:type="auto"/>
            <w:shd w:val="clear" w:color="auto" w:fill="CCEEFF"/>
            <w:tcMar>
              <w:top w:w="40" w:type="dxa"/>
              <w:bottom w:w="40" w:type="dxa"/>
              <w:right w:w="20" w:type="dxa"/>
            </w:tcMar>
            <w:vAlign w:val="bottom"/>
          </w:tcPr>
          <w:p w14:paraId="33DAD98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98F"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D990"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D991" w14:textId="77777777" w:rsidR="004D6A64" w:rsidRDefault="00506CD6">
            <w:pPr>
              <w:jc w:val="right"/>
              <w:textAlignment w:val="bottom"/>
            </w:pPr>
            <w:r>
              <w:rPr>
                <w:rFonts w:ascii="Times New Roman" w:eastAsia="宋体" w:hAnsi="Times New Roman"/>
                <w:color w:val="000000"/>
                <w:sz w:val="20"/>
                <w:szCs w:val="20"/>
              </w:rPr>
              <w:t>140 </w:t>
            </w:r>
          </w:p>
        </w:tc>
        <w:tc>
          <w:tcPr>
            <w:tcW w:w="0" w:type="auto"/>
            <w:shd w:val="clear" w:color="auto" w:fill="CCEEFF"/>
            <w:tcMar>
              <w:top w:w="40" w:type="dxa"/>
              <w:bottom w:w="40" w:type="dxa"/>
              <w:right w:w="20" w:type="dxa"/>
            </w:tcMar>
            <w:vAlign w:val="bottom"/>
          </w:tcPr>
          <w:p w14:paraId="33DAD99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993"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D994"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D995" w14:textId="77777777" w:rsidR="004D6A64" w:rsidRDefault="00506CD6">
            <w:pPr>
              <w:jc w:val="right"/>
              <w:textAlignment w:val="bottom"/>
            </w:pPr>
            <w:r>
              <w:rPr>
                <w:rFonts w:ascii="Times New Roman" w:eastAsia="宋体" w:hAnsi="Times New Roman"/>
                <w:color w:val="000000"/>
                <w:sz w:val="20"/>
                <w:szCs w:val="20"/>
              </w:rPr>
              <w:t>170 </w:t>
            </w:r>
          </w:p>
        </w:tc>
        <w:tc>
          <w:tcPr>
            <w:tcW w:w="0" w:type="auto"/>
            <w:shd w:val="clear" w:color="auto" w:fill="CCEEFF"/>
            <w:tcMar>
              <w:top w:w="40" w:type="dxa"/>
              <w:bottom w:w="40" w:type="dxa"/>
              <w:right w:w="20" w:type="dxa"/>
            </w:tcMar>
            <w:vAlign w:val="bottom"/>
          </w:tcPr>
          <w:p w14:paraId="33DAD996" w14:textId="77777777" w:rsidR="004D6A64" w:rsidRDefault="004D6A64">
            <w:pPr>
              <w:jc w:val="right"/>
              <w:rPr>
                <w:rFonts w:ascii="宋体"/>
              </w:rPr>
            </w:pPr>
          </w:p>
        </w:tc>
        <w:tc>
          <w:tcPr>
            <w:tcW w:w="0" w:type="auto"/>
            <w:shd w:val="clear" w:color="auto" w:fill="auto"/>
          </w:tcPr>
          <w:p w14:paraId="33DAD997" w14:textId="77777777" w:rsidR="004D6A64" w:rsidRDefault="004D6A64">
            <w:pPr>
              <w:rPr>
                <w:rFonts w:ascii="宋体"/>
              </w:rPr>
            </w:pPr>
          </w:p>
        </w:tc>
        <w:tc>
          <w:tcPr>
            <w:tcW w:w="0" w:type="auto"/>
            <w:shd w:val="clear" w:color="auto" w:fill="auto"/>
          </w:tcPr>
          <w:p w14:paraId="33DAD998" w14:textId="77777777" w:rsidR="004D6A64" w:rsidRDefault="004D6A64">
            <w:pPr>
              <w:rPr>
                <w:rFonts w:ascii="宋体"/>
              </w:rPr>
            </w:pPr>
          </w:p>
        </w:tc>
        <w:tc>
          <w:tcPr>
            <w:tcW w:w="0" w:type="auto"/>
            <w:shd w:val="clear" w:color="auto" w:fill="auto"/>
          </w:tcPr>
          <w:p w14:paraId="33DAD999" w14:textId="77777777" w:rsidR="004D6A64" w:rsidRDefault="004D6A64">
            <w:pPr>
              <w:rPr>
                <w:rFonts w:ascii="宋体"/>
              </w:rPr>
            </w:pPr>
          </w:p>
        </w:tc>
        <w:tc>
          <w:tcPr>
            <w:tcW w:w="0" w:type="auto"/>
            <w:shd w:val="clear" w:color="auto" w:fill="auto"/>
          </w:tcPr>
          <w:p w14:paraId="33DAD99A" w14:textId="77777777" w:rsidR="004D6A64" w:rsidRDefault="004D6A64">
            <w:pPr>
              <w:rPr>
                <w:rFonts w:ascii="宋体"/>
              </w:rPr>
            </w:pPr>
          </w:p>
        </w:tc>
        <w:tc>
          <w:tcPr>
            <w:tcW w:w="0" w:type="auto"/>
            <w:shd w:val="clear" w:color="auto" w:fill="auto"/>
          </w:tcPr>
          <w:p w14:paraId="33DAD99B" w14:textId="77777777" w:rsidR="004D6A64" w:rsidRDefault="004D6A64">
            <w:pPr>
              <w:rPr>
                <w:rFonts w:ascii="宋体"/>
              </w:rPr>
            </w:pPr>
          </w:p>
        </w:tc>
        <w:tc>
          <w:tcPr>
            <w:tcW w:w="0" w:type="auto"/>
            <w:shd w:val="clear" w:color="auto" w:fill="auto"/>
          </w:tcPr>
          <w:p w14:paraId="33DAD99C" w14:textId="77777777" w:rsidR="004D6A64" w:rsidRDefault="004D6A64">
            <w:pPr>
              <w:rPr>
                <w:rFonts w:ascii="宋体"/>
              </w:rPr>
            </w:pPr>
          </w:p>
        </w:tc>
        <w:tc>
          <w:tcPr>
            <w:tcW w:w="0" w:type="auto"/>
            <w:shd w:val="clear" w:color="auto" w:fill="auto"/>
          </w:tcPr>
          <w:p w14:paraId="33DAD99D" w14:textId="77777777" w:rsidR="004D6A64" w:rsidRDefault="004D6A64">
            <w:pPr>
              <w:rPr>
                <w:rFonts w:ascii="宋体"/>
              </w:rPr>
            </w:pPr>
          </w:p>
        </w:tc>
        <w:tc>
          <w:tcPr>
            <w:tcW w:w="0" w:type="auto"/>
            <w:shd w:val="clear" w:color="auto" w:fill="auto"/>
          </w:tcPr>
          <w:p w14:paraId="33DAD99E" w14:textId="77777777" w:rsidR="004D6A64" w:rsidRDefault="004D6A64">
            <w:pPr>
              <w:rPr>
                <w:rFonts w:ascii="宋体"/>
              </w:rPr>
            </w:pPr>
          </w:p>
        </w:tc>
        <w:tc>
          <w:tcPr>
            <w:tcW w:w="0" w:type="auto"/>
            <w:shd w:val="clear" w:color="auto" w:fill="auto"/>
          </w:tcPr>
          <w:p w14:paraId="33DAD99F" w14:textId="77777777" w:rsidR="004D6A64" w:rsidRDefault="004D6A64">
            <w:pPr>
              <w:rPr>
                <w:rFonts w:ascii="宋体"/>
              </w:rPr>
            </w:pPr>
          </w:p>
        </w:tc>
        <w:tc>
          <w:tcPr>
            <w:tcW w:w="0" w:type="auto"/>
            <w:shd w:val="clear" w:color="auto" w:fill="auto"/>
          </w:tcPr>
          <w:p w14:paraId="33DAD9A0" w14:textId="77777777" w:rsidR="004D6A64" w:rsidRDefault="004D6A64">
            <w:pPr>
              <w:rPr>
                <w:rFonts w:ascii="宋体"/>
              </w:rPr>
            </w:pPr>
          </w:p>
        </w:tc>
        <w:tc>
          <w:tcPr>
            <w:tcW w:w="0" w:type="auto"/>
            <w:shd w:val="clear" w:color="auto" w:fill="auto"/>
          </w:tcPr>
          <w:p w14:paraId="33DAD9A1" w14:textId="77777777" w:rsidR="004D6A64" w:rsidRDefault="004D6A64">
            <w:pPr>
              <w:rPr>
                <w:rFonts w:ascii="宋体"/>
              </w:rPr>
            </w:pPr>
          </w:p>
        </w:tc>
        <w:tc>
          <w:tcPr>
            <w:tcW w:w="0" w:type="auto"/>
            <w:shd w:val="clear" w:color="auto" w:fill="auto"/>
          </w:tcPr>
          <w:p w14:paraId="33DAD9A2" w14:textId="77777777" w:rsidR="004D6A64" w:rsidRDefault="004D6A64">
            <w:pPr>
              <w:rPr>
                <w:rFonts w:ascii="宋体"/>
              </w:rPr>
            </w:pPr>
          </w:p>
        </w:tc>
        <w:tc>
          <w:tcPr>
            <w:tcW w:w="0" w:type="auto"/>
            <w:shd w:val="clear" w:color="auto" w:fill="auto"/>
          </w:tcPr>
          <w:p w14:paraId="33DAD9A3" w14:textId="77777777" w:rsidR="004D6A64" w:rsidRDefault="004D6A64">
            <w:pPr>
              <w:rPr>
                <w:rFonts w:ascii="宋体"/>
              </w:rPr>
            </w:pPr>
          </w:p>
        </w:tc>
        <w:tc>
          <w:tcPr>
            <w:tcW w:w="0" w:type="auto"/>
            <w:shd w:val="clear" w:color="auto" w:fill="auto"/>
          </w:tcPr>
          <w:p w14:paraId="33DAD9A4" w14:textId="77777777" w:rsidR="004D6A64" w:rsidRDefault="004D6A64">
            <w:pPr>
              <w:rPr>
                <w:rFonts w:ascii="宋体"/>
              </w:rPr>
            </w:pPr>
          </w:p>
        </w:tc>
        <w:tc>
          <w:tcPr>
            <w:tcW w:w="0" w:type="auto"/>
            <w:shd w:val="clear" w:color="auto" w:fill="auto"/>
          </w:tcPr>
          <w:p w14:paraId="33DAD9A5" w14:textId="77777777" w:rsidR="004D6A64" w:rsidRDefault="004D6A64">
            <w:pPr>
              <w:rPr>
                <w:rFonts w:ascii="宋体"/>
              </w:rPr>
            </w:pPr>
          </w:p>
        </w:tc>
        <w:tc>
          <w:tcPr>
            <w:tcW w:w="0" w:type="auto"/>
            <w:shd w:val="clear" w:color="auto" w:fill="auto"/>
          </w:tcPr>
          <w:p w14:paraId="33DAD9A6" w14:textId="77777777" w:rsidR="004D6A64" w:rsidRDefault="004D6A64">
            <w:pPr>
              <w:rPr>
                <w:rFonts w:ascii="宋体"/>
              </w:rPr>
            </w:pPr>
          </w:p>
        </w:tc>
        <w:tc>
          <w:tcPr>
            <w:tcW w:w="0" w:type="auto"/>
            <w:shd w:val="clear" w:color="auto" w:fill="auto"/>
          </w:tcPr>
          <w:p w14:paraId="33DAD9A7" w14:textId="77777777" w:rsidR="004D6A64" w:rsidRDefault="004D6A64">
            <w:pPr>
              <w:rPr>
                <w:rFonts w:ascii="宋体"/>
              </w:rPr>
            </w:pPr>
          </w:p>
        </w:tc>
        <w:tc>
          <w:tcPr>
            <w:tcW w:w="0" w:type="auto"/>
            <w:shd w:val="clear" w:color="auto" w:fill="auto"/>
          </w:tcPr>
          <w:p w14:paraId="33DAD9A8" w14:textId="77777777" w:rsidR="004D6A64" w:rsidRDefault="004D6A64">
            <w:pPr>
              <w:rPr>
                <w:rFonts w:ascii="宋体"/>
              </w:rPr>
            </w:pPr>
          </w:p>
        </w:tc>
      </w:tr>
    </w:tbl>
    <w:p w14:paraId="33DAD9AA" w14:textId="77777777" w:rsidR="004D6A64" w:rsidRDefault="00506CD6">
      <w:pPr>
        <w:pBdr>
          <w:left w:val="none" w:sz="0" w:space="0" w:color="auto"/>
        </w:pBdr>
        <w:ind w:hanging="360"/>
      </w:pPr>
      <w:r>
        <w:rPr>
          <w:rFonts w:ascii="Times New Roman" w:eastAsia="宋体" w:hAnsi="Times New Roman"/>
          <w:color w:val="000000"/>
          <w:sz w:val="20"/>
          <w:szCs w:val="20"/>
        </w:rPr>
        <w:t>____________________</w:t>
      </w:r>
    </w:p>
    <w:p w14:paraId="33DAD9AB" w14:textId="77777777" w:rsidR="004D6A64" w:rsidRDefault="00506CD6">
      <w:pPr>
        <w:pBdr>
          <w:left w:val="none" w:sz="0" w:space="0" w:color="auto"/>
        </w:pBdr>
        <w:ind w:hanging="360"/>
      </w:pPr>
      <w:r>
        <w:rPr>
          <w:rFonts w:ascii="Times New Roman" w:eastAsia="宋体" w:hAnsi="Times New Roman"/>
          <w:color w:val="000000"/>
          <w:sz w:val="20"/>
          <w:szCs w:val="20"/>
        </w:rPr>
        <w:t>(a)Changes in cost estimates related to pre-existing warranties are aggregated with accruals for</w:t>
      </w:r>
      <w:r>
        <w:rPr>
          <w:rFonts w:ascii="Times New Roman" w:eastAsia="宋体" w:hAnsi="Times New Roman"/>
          <w:color w:val="000000"/>
          <w:sz w:val="20"/>
          <w:szCs w:val="20"/>
        </w:rPr>
        <w:t xml:space="preserve"> new standard warranty contracts. The Company’s warranty liability process does not differentiate between estimates made for pre-existing warranties and new warranty obligations.</w:t>
      </w:r>
    </w:p>
    <w:p w14:paraId="33DAD9AC" w14:textId="77777777" w:rsidR="004D6A64" w:rsidRDefault="00506CD6">
      <w:pPr>
        <w:pBdr>
          <w:left w:val="none" w:sz="0" w:space="0" w:color="auto"/>
        </w:pBdr>
        <w:ind w:hanging="360"/>
      </w:pPr>
      <w:r>
        <w:rPr>
          <w:rFonts w:ascii="Times New Roman" w:eastAsia="宋体" w:hAnsi="Times New Roman"/>
          <w:color w:val="000000"/>
          <w:sz w:val="20"/>
          <w:szCs w:val="20"/>
        </w:rPr>
        <w:t>(b)Includes the impact of foreign currency exchange rate fluctuations.</w:t>
      </w:r>
    </w:p>
    <w:p w14:paraId="33DAD9AD" w14:textId="77777777" w:rsidR="004D6A64" w:rsidRDefault="004D6A64">
      <w:pPr>
        <w:jc w:val="center"/>
      </w:pPr>
    </w:p>
    <w:p w14:paraId="33DAD9AE" w14:textId="77777777" w:rsidR="004D6A64" w:rsidRDefault="00506CD6">
      <w:pPr>
        <w:jc w:val="center"/>
      </w:pPr>
      <w:r>
        <w:rPr>
          <w:rFonts w:ascii="Times New Roman" w:eastAsia="宋体" w:hAnsi="Times New Roman"/>
          <w:color w:val="000000"/>
          <w:sz w:val="20"/>
          <w:szCs w:val="20"/>
        </w:rPr>
        <w:t>62</w:t>
      </w:r>
    </w:p>
    <w:p w14:paraId="33DAD9AF" w14:textId="77777777" w:rsidR="004D6A64" w:rsidRDefault="004D6A64">
      <w:pPr>
        <w:jc w:val="center"/>
      </w:pPr>
    </w:p>
    <w:p w14:paraId="33DAD9B0" w14:textId="77777777" w:rsidR="004D6A64" w:rsidRDefault="00506CD6">
      <w:r>
        <w:pict w14:anchorId="33DAFB02">
          <v:rect id="_x0000_i1086" style="width:415.3pt;height:1.5pt" o:hralign="center" o:hrstd="t" o:hr="t" fillcolor="#a0a0a0" stroked="f"/>
        </w:pict>
      </w:r>
    </w:p>
    <w:p w14:paraId="33DAD9B1" w14:textId="77777777" w:rsidR="004D6A64" w:rsidRDefault="00506CD6">
      <w:hyperlink r:id="rId185" w:anchor="if3e0e1bf9ecd4bf69551d7a85f98d64a_10" w:history="1">
        <w:r>
          <w:rPr>
            <w:rStyle w:val="a5"/>
            <w:rFonts w:ascii="Times New Roman" w:eastAsia="宋体" w:hAnsi="Times New Roman"/>
            <w:sz w:val="20"/>
            <w:szCs w:val="20"/>
          </w:rPr>
          <w:t>Table of Contents</w:t>
        </w:r>
      </w:hyperlink>
    </w:p>
    <w:p w14:paraId="33DAD9B2" w14:textId="77777777" w:rsidR="004D6A64" w:rsidRDefault="00506CD6">
      <w:pPr>
        <w:jc w:val="center"/>
      </w:pPr>
      <w:r>
        <w:rPr>
          <w:rFonts w:ascii="Times New Roman" w:eastAsia="宋体" w:hAnsi="Times New Roman"/>
          <w:b/>
          <w:bCs/>
          <w:color w:val="000000"/>
          <w:sz w:val="20"/>
          <w:szCs w:val="20"/>
          <w:shd w:val="clear" w:color="auto" w:fill="FFFFFF"/>
        </w:rPr>
        <w:t>DELL TECHNOLOGIES INC.</w:t>
      </w:r>
    </w:p>
    <w:p w14:paraId="33DAD9B3" w14:textId="77777777" w:rsidR="004D6A64" w:rsidRDefault="00506CD6">
      <w:pPr>
        <w:jc w:val="center"/>
      </w:pPr>
      <w:r>
        <w:rPr>
          <w:rFonts w:ascii="Times New Roman" w:eastAsia="宋体" w:hAnsi="Times New Roman"/>
          <w:b/>
          <w:bCs/>
          <w:color w:val="000000"/>
          <w:sz w:val="20"/>
          <w:szCs w:val="20"/>
          <w:shd w:val="clear" w:color="auto" w:fill="FFFFFF"/>
        </w:rPr>
        <w:t>NOTES TO THE CONDENSED CONSOLIDATED FINANCIAL STATEMENTS (Co</w:t>
      </w:r>
      <w:r>
        <w:rPr>
          <w:rFonts w:ascii="Times New Roman" w:eastAsia="宋体" w:hAnsi="Times New Roman"/>
          <w:b/>
          <w:bCs/>
          <w:color w:val="000000"/>
          <w:sz w:val="20"/>
          <w:szCs w:val="20"/>
          <w:shd w:val="clear" w:color="auto" w:fill="FFFFFF"/>
        </w:rPr>
        <w:t>ntinued)</w:t>
      </w:r>
    </w:p>
    <w:p w14:paraId="33DAD9B4" w14:textId="77777777" w:rsidR="004D6A64" w:rsidRDefault="00506CD6">
      <w:pPr>
        <w:jc w:val="center"/>
      </w:pPr>
      <w:r>
        <w:rPr>
          <w:rFonts w:ascii="Times New Roman" w:eastAsia="宋体" w:hAnsi="Times New Roman"/>
          <w:b/>
          <w:bCs/>
          <w:color w:val="000000"/>
          <w:sz w:val="20"/>
          <w:szCs w:val="20"/>
          <w:shd w:val="clear" w:color="auto" w:fill="FFFFFF"/>
        </w:rPr>
        <w:t>(unaudited)</w:t>
      </w:r>
    </w:p>
    <w:p w14:paraId="33DAD9B5" w14:textId="77777777" w:rsidR="004D6A64" w:rsidRDefault="004D6A64">
      <w:pPr>
        <w:jc w:val="center"/>
      </w:pPr>
    </w:p>
    <w:p w14:paraId="33DAD9B6" w14:textId="77777777" w:rsidR="004D6A64" w:rsidRDefault="00506CD6">
      <w:r>
        <w:rPr>
          <w:rFonts w:ascii="Times New Roman" w:eastAsia="宋体" w:hAnsi="Times New Roman"/>
          <w:b/>
          <w:bCs/>
          <w:color w:val="000000"/>
          <w:sz w:val="20"/>
          <w:szCs w:val="20"/>
        </w:rPr>
        <w:t xml:space="preserve">NOTE 19 — SUBSEQUENT EVENTS </w:t>
      </w:r>
    </w:p>
    <w:p w14:paraId="33DAD9B7" w14:textId="77777777" w:rsidR="004D6A64" w:rsidRDefault="004D6A64"/>
    <w:p w14:paraId="33DAD9B8" w14:textId="77777777" w:rsidR="004D6A64" w:rsidRDefault="00506CD6">
      <w:r>
        <w:rPr>
          <w:rFonts w:ascii="Times New Roman" w:eastAsia="宋体" w:hAnsi="Times New Roman"/>
          <w:color w:val="000000"/>
          <w:sz w:val="20"/>
          <w:szCs w:val="20"/>
        </w:rPr>
        <w:t xml:space="preserve">On September 1, 2020, the Company completed its divestiture of RSA Security to a consortium of investors in an all-cash transaction for approximately $2.082 billion. For more information about this </w:t>
      </w:r>
      <w:r>
        <w:rPr>
          <w:rFonts w:ascii="Times New Roman" w:eastAsia="宋体" w:hAnsi="Times New Roman"/>
          <w:color w:val="000000"/>
          <w:sz w:val="20"/>
          <w:szCs w:val="20"/>
        </w:rPr>
        <w:t>transaction, see Note 1 of the Notes to the Condensed Consolidated Financial Statements.</w:t>
      </w:r>
    </w:p>
    <w:p w14:paraId="33DAD9B9" w14:textId="77777777" w:rsidR="004D6A64" w:rsidRDefault="004D6A64"/>
    <w:p w14:paraId="33DAD9BA" w14:textId="77777777" w:rsidR="004D6A64" w:rsidRDefault="00506CD6">
      <w:r>
        <w:rPr>
          <w:rFonts w:ascii="Times New Roman" w:eastAsia="宋体" w:hAnsi="Times New Roman"/>
          <w:color w:val="000000"/>
          <w:sz w:val="20"/>
          <w:szCs w:val="20"/>
        </w:rPr>
        <w:t>Other than the matters identified above, there were no known events occurring after July 31, 2020 and up until the date of the issuance of this report that would mate</w:t>
      </w:r>
      <w:r>
        <w:rPr>
          <w:rFonts w:ascii="Times New Roman" w:eastAsia="宋体" w:hAnsi="Times New Roman"/>
          <w:color w:val="000000"/>
          <w:sz w:val="20"/>
          <w:szCs w:val="20"/>
        </w:rPr>
        <w:t>rially affect the information presented herein.</w:t>
      </w:r>
    </w:p>
    <w:p w14:paraId="33DAD9BB" w14:textId="77777777" w:rsidR="004D6A64" w:rsidRDefault="004D6A64">
      <w:pPr>
        <w:jc w:val="center"/>
      </w:pPr>
    </w:p>
    <w:p w14:paraId="33DAD9BC" w14:textId="77777777" w:rsidR="004D6A64" w:rsidRDefault="00506CD6">
      <w:pPr>
        <w:jc w:val="center"/>
      </w:pPr>
      <w:r>
        <w:rPr>
          <w:rFonts w:ascii="Times New Roman" w:eastAsia="宋体" w:hAnsi="Times New Roman"/>
          <w:color w:val="000000"/>
          <w:sz w:val="20"/>
          <w:szCs w:val="20"/>
        </w:rPr>
        <w:t>63</w:t>
      </w:r>
    </w:p>
    <w:p w14:paraId="33DAD9BD" w14:textId="77777777" w:rsidR="004D6A64" w:rsidRDefault="004D6A64">
      <w:pPr>
        <w:jc w:val="center"/>
      </w:pPr>
    </w:p>
    <w:p w14:paraId="33DAD9BE" w14:textId="77777777" w:rsidR="004D6A64" w:rsidRDefault="00506CD6">
      <w:r>
        <w:pict w14:anchorId="33DAFB03">
          <v:rect id="_x0000_i1087" style="width:415.3pt;height:1.5pt" o:hralign="center" o:hrstd="t" o:hr="t" fillcolor="#a0a0a0" stroked="f"/>
        </w:pict>
      </w:r>
    </w:p>
    <w:p w14:paraId="33DAD9BF" w14:textId="77777777" w:rsidR="004D6A64" w:rsidRDefault="00506CD6">
      <w:hyperlink r:id="rId186" w:anchor="if3e0e1bf9ecd4bf69551d7a85f98d64a_10" w:history="1">
        <w:r>
          <w:rPr>
            <w:rStyle w:val="a5"/>
            <w:rFonts w:ascii="Times New Roman" w:eastAsia="宋体" w:hAnsi="Times New Roman"/>
            <w:sz w:val="20"/>
            <w:szCs w:val="20"/>
          </w:rPr>
          <w:t>Table of Contents</w:t>
        </w:r>
      </w:hyperlink>
    </w:p>
    <w:p w14:paraId="33DAD9C0" w14:textId="77777777" w:rsidR="004D6A64" w:rsidRDefault="00506CD6">
      <w:r>
        <w:rPr>
          <w:rFonts w:ascii="Times New Roman" w:eastAsia="宋体" w:hAnsi="Times New Roman"/>
          <w:b/>
          <w:bCs/>
          <w:color w:val="000000"/>
          <w:sz w:val="20"/>
          <w:szCs w:val="20"/>
        </w:rPr>
        <w:t xml:space="preserve">ITEM 2 </w:t>
      </w:r>
      <w:r>
        <w:rPr>
          <w:rFonts w:ascii="Times New Roman" w:eastAsia="宋体" w:hAnsi="Times New Roman"/>
          <w:b/>
          <w:bCs/>
          <w:i/>
          <w:iCs/>
          <w:color w:val="000000"/>
          <w:sz w:val="20"/>
          <w:szCs w:val="20"/>
        </w:rPr>
        <w:t xml:space="preserve">— </w:t>
      </w:r>
      <w:r>
        <w:rPr>
          <w:rFonts w:ascii="Times New Roman" w:eastAsia="宋体" w:hAnsi="Times New Roman"/>
          <w:b/>
          <w:bCs/>
          <w:color w:val="000000"/>
          <w:sz w:val="20"/>
          <w:szCs w:val="20"/>
        </w:rPr>
        <w:t xml:space="preserve">MANAGEMENT’S DISCUSSION AND ANALYSIS OF FINANCIAL CONDITION AND RESULTS OF </w:t>
      </w:r>
      <w:r>
        <w:rPr>
          <w:rFonts w:ascii="Times New Roman" w:eastAsia="宋体" w:hAnsi="Times New Roman"/>
          <w:b/>
          <w:bCs/>
          <w:color w:val="000000"/>
          <w:sz w:val="20"/>
          <w:szCs w:val="20"/>
        </w:rPr>
        <w:t>OPERATIONS</w:t>
      </w:r>
    </w:p>
    <w:p w14:paraId="33DAD9C1" w14:textId="77777777" w:rsidR="004D6A64" w:rsidRDefault="004D6A64"/>
    <w:p w14:paraId="33DAD9C2" w14:textId="77777777" w:rsidR="004D6A64" w:rsidRDefault="00506CD6">
      <w:r>
        <w:rPr>
          <w:rFonts w:ascii="Times New Roman" w:eastAsia="宋体" w:hAnsi="Times New Roman"/>
          <w:b/>
          <w:bCs/>
          <w:i/>
          <w:iCs/>
          <w:color w:val="000000"/>
          <w:sz w:val="20"/>
          <w:szCs w:val="20"/>
        </w:rPr>
        <w:t>This management’s discussion and analysis should be read in conjunction with the audited Consolidated Financial Statements and accompanying Notes included in the Company’s annual report on Form 10-K for the fiscal year ended January 31, 2020 an</w:t>
      </w:r>
      <w:r>
        <w:rPr>
          <w:rFonts w:ascii="Times New Roman" w:eastAsia="宋体" w:hAnsi="Times New Roman"/>
          <w:b/>
          <w:bCs/>
          <w:i/>
          <w:iCs/>
          <w:color w:val="000000"/>
          <w:sz w:val="20"/>
          <w:szCs w:val="20"/>
        </w:rPr>
        <w:t xml:space="preserve">d the unaudited Condensed Consolidated Financial Statements included in this report. In addition to historical financial information, the following discussion contains forward-looking statements that reflect our plans, estimates, and beliefs, and that are </w:t>
      </w:r>
      <w:r>
        <w:rPr>
          <w:rFonts w:ascii="Times New Roman" w:eastAsia="宋体" w:hAnsi="Times New Roman"/>
          <w:b/>
          <w:bCs/>
          <w:i/>
          <w:iCs/>
          <w:color w:val="000000"/>
          <w:sz w:val="20"/>
          <w:szCs w:val="20"/>
        </w:rPr>
        <w:t>subject to numerous risks and uncertainties. Our actual results may differ materially from those expressed or implied in any forward-looking statements.</w:t>
      </w:r>
    </w:p>
    <w:p w14:paraId="33DAD9C3" w14:textId="77777777" w:rsidR="004D6A64" w:rsidRDefault="004D6A64"/>
    <w:p w14:paraId="33DAD9C4" w14:textId="77777777" w:rsidR="004D6A64" w:rsidRDefault="00506CD6">
      <w:r>
        <w:rPr>
          <w:rFonts w:ascii="Times New Roman" w:eastAsia="宋体" w:hAnsi="Times New Roman"/>
          <w:b/>
          <w:bCs/>
          <w:i/>
          <w:iCs/>
          <w:color w:val="000000"/>
          <w:sz w:val="20"/>
          <w:szCs w:val="20"/>
        </w:rPr>
        <w:t>Unless otherwise indicated, all results presented are prepared in a manner that complies, in all mater</w:t>
      </w:r>
      <w:r>
        <w:rPr>
          <w:rFonts w:ascii="Times New Roman" w:eastAsia="宋体" w:hAnsi="Times New Roman"/>
          <w:b/>
          <w:bCs/>
          <w:i/>
          <w:iCs/>
          <w:color w:val="000000"/>
          <w:sz w:val="20"/>
          <w:szCs w:val="20"/>
        </w:rPr>
        <w:t>ial respects, with accounting principles generally accepted in the United States of America (“GAAP”). Additionally, unless otherwise indicated, all changes identified for the current-period results represent comparisons to results for the prior correspondi</w:t>
      </w:r>
      <w:r>
        <w:rPr>
          <w:rFonts w:ascii="Times New Roman" w:eastAsia="宋体" w:hAnsi="Times New Roman"/>
          <w:b/>
          <w:bCs/>
          <w:i/>
          <w:iCs/>
          <w:color w:val="000000"/>
          <w:sz w:val="20"/>
          <w:szCs w:val="20"/>
        </w:rPr>
        <w:t>ng fiscal period.</w:t>
      </w:r>
    </w:p>
    <w:p w14:paraId="33DAD9C5" w14:textId="77777777" w:rsidR="004D6A64" w:rsidRDefault="004D6A64"/>
    <w:p w14:paraId="33DAD9C6" w14:textId="77777777" w:rsidR="004D6A64" w:rsidRDefault="00506CD6">
      <w:r>
        <w:rPr>
          <w:rFonts w:ascii="Times New Roman" w:eastAsia="宋体" w:hAnsi="Times New Roman"/>
          <w:b/>
          <w:bCs/>
          <w:i/>
          <w:iCs/>
          <w:color w:val="000000"/>
          <w:sz w:val="20"/>
          <w:szCs w:val="20"/>
        </w:rPr>
        <w:t>Unless the context indicates otherwise, references in this report to “we,” “us,” “our,” the “Company,” and “Dell Technologies” mean Dell Technologies Inc. and its consolidated subsidiaries, references to “Dell” mean Dell Inc. and Dell In</w:t>
      </w:r>
      <w:r>
        <w:rPr>
          <w:rFonts w:ascii="Times New Roman" w:eastAsia="宋体" w:hAnsi="Times New Roman"/>
          <w:b/>
          <w:bCs/>
          <w:i/>
          <w:iCs/>
          <w:color w:val="000000"/>
          <w:sz w:val="20"/>
          <w:szCs w:val="20"/>
        </w:rPr>
        <w:t>c.’s consolidated subsidiaries, and references to “EMC” mean EMC Corporation and EMC Corporation’s consolidated subsidiaries.</w:t>
      </w:r>
    </w:p>
    <w:p w14:paraId="33DAD9C7" w14:textId="77777777" w:rsidR="004D6A64" w:rsidRDefault="004D6A64"/>
    <w:p w14:paraId="33DAD9C8" w14:textId="77777777" w:rsidR="004D6A64" w:rsidRDefault="00506CD6">
      <w:r>
        <w:rPr>
          <w:rFonts w:ascii="Times New Roman" w:eastAsia="宋体" w:hAnsi="Times New Roman"/>
          <w:b/>
          <w:bCs/>
          <w:i/>
          <w:iCs/>
          <w:color w:val="000000"/>
          <w:sz w:val="20"/>
          <w:szCs w:val="20"/>
        </w:rPr>
        <w:t xml:space="preserve">Our fiscal year is the 52- or 53-week period ending on the Friday nearest January 31. We refer to our fiscal year ending January </w:t>
      </w:r>
      <w:r>
        <w:rPr>
          <w:rFonts w:ascii="Times New Roman" w:eastAsia="宋体" w:hAnsi="Times New Roman"/>
          <w:b/>
          <w:bCs/>
          <w:i/>
          <w:iCs/>
          <w:color w:val="000000"/>
          <w:sz w:val="20"/>
          <w:szCs w:val="20"/>
        </w:rPr>
        <w:t xml:space="preserve">29, 2021 and our fiscal year ended January 31, 2020 as “Fiscal 2021” and “Fiscal 2020,” respectively. Fiscal 2021 and Fiscal 2020 include 52 weeks. </w:t>
      </w:r>
    </w:p>
    <w:p w14:paraId="33DAD9C9" w14:textId="77777777" w:rsidR="004D6A64" w:rsidRDefault="004D6A64"/>
    <w:p w14:paraId="33DAD9CA" w14:textId="77777777" w:rsidR="004D6A64" w:rsidRDefault="00506CD6">
      <w:r>
        <w:rPr>
          <w:rFonts w:ascii="Times New Roman" w:eastAsia="宋体" w:hAnsi="Times New Roman"/>
          <w:b/>
          <w:bCs/>
          <w:color w:val="000000"/>
          <w:sz w:val="20"/>
          <w:szCs w:val="20"/>
        </w:rPr>
        <w:t>INTRODUCTION</w:t>
      </w:r>
    </w:p>
    <w:p w14:paraId="33DAD9CB" w14:textId="77777777" w:rsidR="004D6A64" w:rsidRDefault="004D6A64"/>
    <w:p w14:paraId="33DAD9CC" w14:textId="77777777" w:rsidR="004D6A64" w:rsidRDefault="00506CD6">
      <w:r>
        <w:rPr>
          <w:rFonts w:ascii="Times New Roman" w:eastAsia="宋体" w:hAnsi="Times New Roman"/>
          <w:color w:val="000000"/>
          <w:sz w:val="20"/>
          <w:szCs w:val="20"/>
        </w:rPr>
        <w:t>Dell Technologies is a leading global end-to-end technology provider, with a comprehensive p</w:t>
      </w:r>
      <w:r>
        <w:rPr>
          <w:rFonts w:ascii="Times New Roman" w:eastAsia="宋体" w:hAnsi="Times New Roman"/>
          <w:color w:val="000000"/>
          <w:sz w:val="20"/>
          <w:szCs w:val="20"/>
        </w:rPr>
        <w:t>ortfolio of IT hardware, software, and services solutions spanning both traditional infrastructure and emerging multi-cloud technologies that enable our customers to build their digital future and transform how they work and live. We operate globally acros</w:t>
      </w:r>
      <w:r>
        <w:rPr>
          <w:rFonts w:ascii="Times New Roman" w:eastAsia="宋体" w:hAnsi="Times New Roman"/>
          <w:color w:val="000000"/>
          <w:sz w:val="20"/>
          <w:szCs w:val="20"/>
        </w:rPr>
        <w:t>s key functional areas such as technology and product development, marketing, go-to-market, and global services, and are supported by Dell Financial Services. We continue to seamlessly deliver differentiated and holistic IT solutions to our customers, whic</w:t>
      </w:r>
      <w:r>
        <w:rPr>
          <w:rFonts w:ascii="Times New Roman" w:eastAsia="宋体" w:hAnsi="Times New Roman"/>
          <w:color w:val="000000"/>
          <w:sz w:val="20"/>
          <w:szCs w:val="20"/>
        </w:rPr>
        <w:t>h has driven significant revenue growth and share gains.</w:t>
      </w:r>
    </w:p>
    <w:p w14:paraId="33DAD9CD" w14:textId="77777777" w:rsidR="004D6A64" w:rsidRDefault="004D6A64"/>
    <w:p w14:paraId="33DAD9CE" w14:textId="77777777" w:rsidR="004D6A64" w:rsidRDefault="00506CD6">
      <w:r>
        <w:rPr>
          <w:rFonts w:ascii="Times New Roman" w:eastAsia="宋体" w:hAnsi="Times New Roman"/>
          <w:color w:val="000000"/>
          <w:sz w:val="20"/>
          <w:szCs w:val="20"/>
        </w:rPr>
        <w:t>Dell Technologies operates with significant scale and an unmatched breadth of complementary offerings. Digital transformation has become essential to all businesses, and we have expanded our portfol</w:t>
      </w:r>
      <w:r>
        <w:rPr>
          <w:rFonts w:ascii="Times New Roman" w:eastAsia="宋体" w:hAnsi="Times New Roman"/>
          <w:color w:val="000000"/>
          <w:sz w:val="20"/>
          <w:szCs w:val="20"/>
        </w:rPr>
        <w:t>io to include holistic solutions that enable our customers to drive their ongoing digital transformation initiatives. Dell Technologies’ integrated solutions help customers modernize their IT infrastructure, address workforce transformation, and provide cr</w:t>
      </w:r>
      <w:r>
        <w:rPr>
          <w:rFonts w:ascii="Times New Roman" w:eastAsia="宋体" w:hAnsi="Times New Roman"/>
          <w:color w:val="000000"/>
          <w:sz w:val="20"/>
          <w:szCs w:val="20"/>
        </w:rPr>
        <w:t>itical solutions to keep people and organizations connected in this current time of disruption. With our extensive portfolio and our commitment to innovation, we have the ability to offer secure, integrated solutions that extend from the edge to the core t</w:t>
      </w:r>
      <w:r>
        <w:rPr>
          <w:rFonts w:ascii="Times New Roman" w:eastAsia="宋体" w:hAnsi="Times New Roman"/>
          <w:color w:val="000000"/>
          <w:sz w:val="20"/>
          <w:szCs w:val="20"/>
        </w:rPr>
        <w:t>o the cloud, and we are at the forefront of the software-defined and cloud native infrastructure era. Our end-to-end portfolio is supported by a differentiated go-to-market engine, which includes a 43,000-person sales force, a global network of channel par</w:t>
      </w:r>
      <w:r>
        <w:rPr>
          <w:rFonts w:ascii="Times New Roman" w:eastAsia="宋体" w:hAnsi="Times New Roman"/>
          <w:color w:val="000000"/>
          <w:sz w:val="20"/>
          <w:szCs w:val="20"/>
        </w:rPr>
        <w:t>tners, and a world-class supply chain that together drive long-term growth and operating efficiencies.</w:t>
      </w:r>
    </w:p>
    <w:p w14:paraId="33DAD9CF" w14:textId="77777777" w:rsidR="004D6A64" w:rsidRDefault="004D6A64"/>
    <w:p w14:paraId="33DAD9D0" w14:textId="77777777" w:rsidR="004D6A64" w:rsidRDefault="004D6A64">
      <w:pPr>
        <w:jc w:val="center"/>
      </w:pPr>
    </w:p>
    <w:p w14:paraId="33DAD9D1" w14:textId="77777777" w:rsidR="004D6A64" w:rsidRDefault="00506CD6">
      <w:pPr>
        <w:jc w:val="center"/>
      </w:pPr>
      <w:r>
        <w:rPr>
          <w:rFonts w:ascii="Times New Roman" w:eastAsia="宋体" w:hAnsi="Times New Roman"/>
          <w:color w:val="000000"/>
          <w:sz w:val="20"/>
          <w:szCs w:val="20"/>
        </w:rPr>
        <w:t>64</w:t>
      </w:r>
    </w:p>
    <w:p w14:paraId="33DAD9D2" w14:textId="77777777" w:rsidR="004D6A64" w:rsidRDefault="004D6A64">
      <w:pPr>
        <w:jc w:val="center"/>
      </w:pPr>
    </w:p>
    <w:p w14:paraId="33DAD9D3" w14:textId="77777777" w:rsidR="004D6A64" w:rsidRDefault="00506CD6">
      <w:r>
        <w:pict w14:anchorId="33DAFB04">
          <v:rect id="_x0000_i1088" style="width:415.3pt;height:1.5pt" o:hralign="center" o:hrstd="t" o:hr="t" fillcolor="#a0a0a0" stroked="f"/>
        </w:pict>
      </w:r>
    </w:p>
    <w:p w14:paraId="33DAD9D4" w14:textId="77777777" w:rsidR="004D6A64" w:rsidRDefault="00506CD6">
      <w:hyperlink r:id="rId187" w:anchor="if3e0e1bf9ecd4bf69551d7a85f98d64a_10" w:history="1">
        <w:r>
          <w:rPr>
            <w:rStyle w:val="a5"/>
            <w:rFonts w:ascii="Times New Roman" w:eastAsia="宋体" w:hAnsi="Times New Roman"/>
            <w:sz w:val="20"/>
            <w:szCs w:val="20"/>
          </w:rPr>
          <w:t>Table of Contents</w:t>
        </w:r>
      </w:hyperlink>
    </w:p>
    <w:p w14:paraId="33DAD9D5" w14:textId="77777777" w:rsidR="004D6A64" w:rsidRDefault="00506CD6">
      <w:r>
        <w:rPr>
          <w:rFonts w:ascii="Times New Roman" w:eastAsia="宋体" w:hAnsi="Times New Roman"/>
          <w:b/>
          <w:bCs/>
          <w:color w:val="000000"/>
          <w:sz w:val="20"/>
          <w:szCs w:val="20"/>
        </w:rPr>
        <w:t>Products and Services</w:t>
      </w:r>
    </w:p>
    <w:p w14:paraId="33DAD9D6" w14:textId="77777777" w:rsidR="004D6A64" w:rsidRDefault="004D6A64"/>
    <w:p w14:paraId="33DAD9D7" w14:textId="77777777" w:rsidR="004D6A64" w:rsidRDefault="00506CD6">
      <w:r>
        <w:rPr>
          <w:rFonts w:ascii="Times New Roman" w:eastAsia="宋体" w:hAnsi="Times New Roman"/>
          <w:color w:val="000000"/>
          <w:sz w:val="20"/>
          <w:szCs w:val="20"/>
        </w:rPr>
        <w:t>We design, develop, manufacture, market, sell, and support a wide range of comprehensive and integrated solutions, products, and services. We are organized into the following business units, which are our r</w:t>
      </w:r>
      <w:r>
        <w:rPr>
          <w:rFonts w:ascii="Times New Roman" w:eastAsia="宋体" w:hAnsi="Times New Roman"/>
          <w:color w:val="000000"/>
          <w:sz w:val="20"/>
          <w:szCs w:val="20"/>
        </w:rPr>
        <w:t xml:space="preserve">eportable segments: Infrastructure Solutions Group; Client Solutions Group; and VMware. </w:t>
      </w:r>
    </w:p>
    <w:p w14:paraId="33DAD9D8" w14:textId="77777777" w:rsidR="004D6A64" w:rsidRDefault="004D6A64">
      <w:pPr>
        <w:pBdr>
          <w:left w:val="none" w:sz="0" w:space="0" w:color="auto"/>
        </w:pBdr>
        <w:ind w:hanging="360"/>
      </w:pPr>
    </w:p>
    <w:p w14:paraId="33DAD9D9" w14:textId="77777777" w:rsidR="004D6A64" w:rsidRDefault="00506CD6">
      <w:pPr>
        <w:pBdr>
          <w:left w:val="none" w:sz="0" w:space="0" w:color="auto"/>
        </w:pBd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Infrastructure Solutions Group (“ISG”)</w:t>
      </w:r>
      <w:r>
        <w:rPr>
          <w:rFonts w:ascii="Times New Roman" w:eastAsia="宋体" w:hAnsi="Times New Roman"/>
          <w:color w:val="000000"/>
          <w:sz w:val="20"/>
          <w:szCs w:val="20"/>
        </w:rPr>
        <w:t xml:space="preserve"> — ISG enables the digital transformation of our customers through our trusted multi-cloud and big data solutions, which are built upon a modern data center infrastructure. ISG works with customers in the area of hybrid cloud deployment with the goal of si</w:t>
      </w:r>
      <w:r>
        <w:rPr>
          <w:rFonts w:ascii="Times New Roman" w:eastAsia="宋体" w:hAnsi="Times New Roman"/>
          <w:color w:val="000000"/>
          <w:sz w:val="20"/>
          <w:szCs w:val="20"/>
        </w:rPr>
        <w:t>mplifying, streamlining, and automating cloud operations. ISG solutions are built for multicloud environments and are optimized to run cloud native workloads in both public and private clouds, as well as traditional on-premise workloads.</w:t>
      </w:r>
    </w:p>
    <w:p w14:paraId="33DAD9DA" w14:textId="77777777" w:rsidR="004D6A64" w:rsidRDefault="004D6A64">
      <w:pPr>
        <w:pBdr>
          <w:left w:val="none" w:sz="0" w:space="0" w:color="auto"/>
        </w:pBdr>
      </w:pPr>
    </w:p>
    <w:p w14:paraId="33DAD9DB" w14:textId="77777777" w:rsidR="004D6A64" w:rsidRDefault="00506CD6">
      <w:pPr>
        <w:pBdr>
          <w:left w:val="none" w:sz="0" w:space="0" w:color="auto"/>
        </w:pBdr>
      </w:pPr>
      <w:r>
        <w:rPr>
          <w:rFonts w:ascii="Times New Roman" w:eastAsia="宋体" w:hAnsi="Times New Roman"/>
          <w:color w:val="000000"/>
          <w:sz w:val="20"/>
          <w:szCs w:val="20"/>
        </w:rPr>
        <w:t>Our comprehensive</w:t>
      </w:r>
      <w:r>
        <w:rPr>
          <w:rFonts w:ascii="Times New Roman" w:eastAsia="宋体" w:hAnsi="Times New Roman"/>
          <w:color w:val="000000"/>
          <w:sz w:val="20"/>
          <w:szCs w:val="20"/>
        </w:rPr>
        <w:t xml:space="preserve"> portfolio of advanced storage solutions includes traditional storage solutions as well as next-generation storage solutions (such as all-flash arrays, scale-out file, object platforms, and software-defined solutions). We have simplified our storage portfo</w:t>
      </w:r>
      <w:r>
        <w:rPr>
          <w:rFonts w:ascii="Times New Roman" w:eastAsia="宋体" w:hAnsi="Times New Roman"/>
          <w:color w:val="000000"/>
          <w:sz w:val="20"/>
          <w:szCs w:val="20"/>
        </w:rPr>
        <w:t xml:space="preserve">lio to ensure that we deliver the technology needed for our customers’ digital transformation. Our server portfolio includes high-performance rack, blade, tower, and hyperscale servers, optimized for artificial intelligence and machine learning workloads. </w:t>
      </w:r>
      <w:r>
        <w:rPr>
          <w:rFonts w:ascii="Times New Roman" w:eastAsia="宋体" w:hAnsi="Times New Roman"/>
          <w:color w:val="000000"/>
          <w:sz w:val="20"/>
          <w:szCs w:val="20"/>
        </w:rPr>
        <w:t xml:space="preserve">Our networking portfolio helps our business customers transform and modernize their infrastructure, mobilize and enrich end-user experiences, and accelerate business applications and processes. Our strengths in server, storage, and virtualization software </w:t>
      </w:r>
      <w:r>
        <w:rPr>
          <w:rFonts w:ascii="Times New Roman" w:eastAsia="宋体" w:hAnsi="Times New Roman"/>
          <w:color w:val="000000"/>
          <w:sz w:val="20"/>
          <w:szCs w:val="20"/>
        </w:rPr>
        <w:t>solutions enable us to offer leading converged and hyper-converged solutions, allowing our customers to accelerate their IT transformation by acquiring scalable integrated IT solutions instead of building and assembling their own IT platforms. ISG also off</w:t>
      </w:r>
      <w:r>
        <w:rPr>
          <w:rFonts w:ascii="Times New Roman" w:eastAsia="宋体" w:hAnsi="Times New Roman"/>
          <w:color w:val="000000"/>
          <w:sz w:val="20"/>
          <w:szCs w:val="20"/>
        </w:rPr>
        <w:t>ers attached software, peripherals, and services, including support and deployment, configuration, and extended warranty services.</w:t>
      </w:r>
    </w:p>
    <w:p w14:paraId="33DAD9DC" w14:textId="77777777" w:rsidR="004D6A64" w:rsidRDefault="004D6A64"/>
    <w:p w14:paraId="33DAD9DD" w14:textId="77777777" w:rsidR="004D6A64" w:rsidRDefault="00506CD6">
      <w:pPr>
        <w:pBdr>
          <w:left w:val="none" w:sz="0" w:space="0" w:color="auto"/>
        </w:pBdr>
      </w:pPr>
      <w:r>
        <w:rPr>
          <w:rFonts w:ascii="Times New Roman" w:eastAsia="宋体" w:hAnsi="Times New Roman"/>
          <w:color w:val="000000"/>
          <w:sz w:val="20"/>
          <w:szCs w:val="20"/>
        </w:rPr>
        <w:t>Approximately half of ISG revenue is generated by sales to customers in the Americas, with the remaining portion derived fro</w:t>
      </w:r>
      <w:r>
        <w:rPr>
          <w:rFonts w:ascii="Times New Roman" w:eastAsia="宋体" w:hAnsi="Times New Roman"/>
          <w:color w:val="000000"/>
          <w:sz w:val="20"/>
          <w:szCs w:val="20"/>
        </w:rPr>
        <w:t>m sales to customers in the Europe, Middle East, and Africa region (“EMEA”) and the Asia-Pacific and Japan region (“APJ”).</w:t>
      </w:r>
    </w:p>
    <w:p w14:paraId="33DAD9DE" w14:textId="77777777" w:rsidR="004D6A64" w:rsidRDefault="004D6A64"/>
    <w:p w14:paraId="33DAD9DF" w14:textId="77777777" w:rsidR="004D6A64" w:rsidRDefault="00506CD6">
      <w:pPr>
        <w:pBdr>
          <w:left w:val="none" w:sz="0" w:space="0" w:color="auto"/>
        </w:pBd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Client Solutions Group (“CSG”)</w:t>
      </w:r>
      <w:r>
        <w:rPr>
          <w:rFonts w:ascii="Times New Roman" w:eastAsia="宋体" w:hAnsi="Times New Roman"/>
          <w:color w:val="000000"/>
          <w:sz w:val="20"/>
          <w:szCs w:val="20"/>
        </w:rPr>
        <w:t xml:space="preserve"> — CSG includes branded hardware (such as desktops, workstations, and notebooks) and branded peripher</w:t>
      </w:r>
      <w:r>
        <w:rPr>
          <w:rFonts w:ascii="Times New Roman" w:eastAsia="宋体" w:hAnsi="Times New Roman"/>
          <w:color w:val="000000"/>
          <w:sz w:val="20"/>
          <w:szCs w:val="20"/>
        </w:rPr>
        <w:t>als (such as displays and projectors), as well as third-party software and peripherals. Our computing devices are designed with our commercial and consumer customers’ needs in mind, and we seek to optimize performance, reliability, manageability, design, a</w:t>
      </w:r>
      <w:r>
        <w:rPr>
          <w:rFonts w:ascii="Times New Roman" w:eastAsia="宋体" w:hAnsi="Times New Roman"/>
          <w:color w:val="000000"/>
          <w:sz w:val="20"/>
          <w:szCs w:val="20"/>
        </w:rPr>
        <w:t xml:space="preserve">nd security. In addition to our traditional hardware business, we have a portfolio of thin client offerings that we believe will allow us to benefit from the growth trends in cloud computing. For our customers that are seeking to simplify client lifecycle </w:t>
      </w:r>
      <w:r>
        <w:rPr>
          <w:rFonts w:ascii="Times New Roman" w:eastAsia="宋体" w:hAnsi="Times New Roman"/>
          <w:color w:val="000000"/>
          <w:sz w:val="20"/>
          <w:szCs w:val="20"/>
        </w:rPr>
        <w:t>management, Dell PC as a Service offering combines hardware, software, lifecycle services, and financing into one all-encompassing solution that provides predictable pricing per seat per month through Dell Financial Services. CSG also offers attached softw</w:t>
      </w:r>
      <w:r>
        <w:rPr>
          <w:rFonts w:ascii="Times New Roman" w:eastAsia="宋体" w:hAnsi="Times New Roman"/>
          <w:color w:val="000000"/>
          <w:sz w:val="20"/>
          <w:szCs w:val="20"/>
        </w:rPr>
        <w:t>are, peripherals, and services, including support and deployment, configuration, and extended warranty services.</w:t>
      </w:r>
    </w:p>
    <w:p w14:paraId="33DAD9E0" w14:textId="77777777" w:rsidR="004D6A64" w:rsidRDefault="004D6A64"/>
    <w:p w14:paraId="33DAD9E1" w14:textId="77777777" w:rsidR="004D6A64" w:rsidRDefault="00506CD6">
      <w:pPr>
        <w:pBdr>
          <w:left w:val="none" w:sz="0" w:space="0" w:color="auto"/>
        </w:pBdr>
      </w:pPr>
      <w:r>
        <w:rPr>
          <w:rFonts w:ascii="Times New Roman" w:eastAsia="宋体" w:hAnsi="Times New Roman"/>
          <w:color w:val="000000"/>
          <w:sz w:val="20"/>
          <w:szCs w:val="20"/>
        </w:rPr>
        <w:t>Approximately half of CSG revenue is generated by sales to customers in the Americas, with the remaining portion derived from sales to custome</w:t>
      </w:r>
      <w:r>
        <w:rPr>
          <w:rFonts w:ascii="Times New Roman" w:eastAsia="宋体" w:hAnsi="Times New Roman"/>
          <w:color w:val="000000"/>
          <w:sz w:val="20"/>
          <w:szCs w:val="20"/>
        </w:rPr>
        <w:t>rs in EMEA and APJ.</w:t>
      </w:r>
    </w:p>
    <w:p w14:paraId="33DAD9E2" w14:textId="77777777" w:rsidR="004D6A64" w:rsidRDefault="004D6A64">
      <w:pPr>
        <w:pBdr>
          <w:left w:val="none" w:sz="0" w:space="0" w:color="auto"/>
        </w:pBdr>
      </w:pPr>
    </w:p>
    <w:p w14:paraId="33DAD9E3" w14:textId="77777777" w:rsidR="004D6A64" w:rsidRDefault="00506CD6">
      <w:pPr>
        <w:pBdr>
          <w:left w:val="none" w:sz="0" w:space="0" w:color="auto"/>
        </w:pBd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VMware</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The VMware reportable segment (“VMware”) reflects the operations of VMware, Inc. (NYSE: VMW) within Dell Technologies. VMware works with customers in the areas of hybrid and multi-cloud, modern applications, networking, secur</w:t>
      </w:r>
      <w:r>
        <w:rPr>
          <w:rFonts w:ascii="Times New Roman" w:eastAsia="宋体" w:hAnsi="Times New Roman"/>
          <w:color w:val="000000"/>
          <w:sz w:val="20"/>
          <w:szCs w:val="20"/>
        </w:rPr>
        <w:t>ity, and digital workspaces, helping customers manage their IT resources across private clouds and complex multi-cloud, multi-device environments. VMware’s portfolio supports and addresses the key IT priorities of customers: accelerating their cloud journe</w:t>
      </w:r>
      <w:r>
        <w:rPr>
          <w:rFonts w:ascii="Times New Roman" w:eastAsia="宋体" w:hAnsi="Times New Roman"/>
          <w:color w:val="000000"/>
          <w:sz w:val="20"/>
          <w:szCs w:val="20"/>
        </w:rPr>
        <w:t>y, modernizing their applications, empowering digital workspaces, transforming networking, and embracing intrinsic security. VMware enables its customers to digitally transform their operations as they ready their applications, infrastructure, and employee</w:t>
      </w:r>
      <w:r>
        <w:rPr>
          <w:rFonts w:ascii="Times New Roman" w:eastAsia="宋体" w:hAnsi="Times New Roman"/>
          <w:color w:val="000000"/>
          <w:sz w:val="20"/>
          <w:szCs w:val="20"/>
        </w:rPr>
        <w:t>s for constantly evolving business needs.</w:t>
      </w:r>
    </w:p>
    <w:p w14:paraId="33DAD9E4" w14:textId="77777777" w:rsidR="004D6A64" w:rsidRDefault="004D6A64">
      <w:pPr>
        <w:pBdr>
          <w:left w:val="none" w:sz="0" w:space="0" w:color="auto"/>
        </w:pBdr>
      </w:pPr>
    </w:p>
    <w:p w14:paraId="33DAD9E5" w14:textId="77777777" w:rsidR="004D6A64" w:rsidRDefault="00506CD6">
      <w:pPr>
        <w:pBdr>
          <w:left w:val="none" w:sz="0" w:space="0" w:color="auto"/>
        </w:pBdr>
      </w:pPr>
      <w:r>
        <w:rPr>
          <w:rFonts w:ascii="Times New Roman" w:eastAsia="宋体" w:hAnsi="Times New Roman"/>
          <w:color w:val="000000"/>
          <w:sz w:val="20"/>
          <w:szCs w:val="20"/>
        </w:rPr>
        <w:t>During the third quarter of Fiscal 2020, VMware, Inc. completed its acquisition of Carbon Black, Inc. (“Carbon Black”), a developer of cloud-native endpoint protection.</w:t>
      </w:r>
    </w:p>
    <w:p w14:paraId="33DAD9E6" w14:textId="77777777" w:rsidR="004D6A64" w:rsidRDefault="004D6A64">
      <w:pPr>
        <w:pBdr>
          <w:left w:val="none" w:sz="0" w:space="0" w:color="auto"/>
        </w:pBdr>
      </w:pPr>
    </w:p>
    <w:p w14:paraId="33DAD9E7" w14:textId="77777777" w:rsidR="004D6A64" w:rsidRDefault="00506CD6">
      <w:pPr>
        <w:pBdr>
          <w:left w:val="none" w:sz="0" w:space="0" w:color="auto"/>
        </w:pBdr>
      </w:pPr>
      <w:r>
        <w:rPr>
          <w:rFonts w:ascii="Times New Roman" w:eastAsia="宋体" w:hAnsi="Times New Roman"/>
          <w:color w:val="000000"/>
          <w:sz w:val="20"/>
          <w:szCs w:val="20"/>
        </w:rPr>
        <w:t>On December 30, 2019, VMware, Inc. complete</w:t>
      </w:r>
      <w:r>
        <w:rPr>
          <w:rFonts w:ascii="Times New Roman" w:eastAsia="宋体" w:hAnsi="Times New Roman"/>
          <w:color w:val="000000"/>
          <w:sz w:val="20"/>
          <w:szCs w:val="20"/>
        </w:rPr>
        <w:t xml:space="preserve">d its acquisition of Pivotal Software, Inc. (“Pivotal”). Before the transaction, Pivotal was a majority-owned subsidiary of Dell Technologies through EMC and VMware, Inc. Pivotal provides a leading cloud-native platform that makes software development and </w:t>
      </w:r>
      <w:r>
        <w:rPr>
          <w:rFonts w:ascii="Times New Roman" w:eastAsia="宋体" w:hAnsi="Times New Roman"/>
          <w:color w:val="000000"/>
          <w:sz w:val="20"/>
          <w:szCs w:val="20"/>
        </w:rPr>
        <w:t xml:space="preserve">IT operations a strategic advantage for customers. Pivotal’s cloud-native platform, Pivotal Cloud Foundry, accelerates and streamlines software development </w:t>
      </w:r>
    </w:p>
    <w:p w14:paraId="33DAD9E8" w14:textId="77777777" w:rsidR="004D6A64" w:rsidRDefault="004D6A64">
      <w:pPr>
        <w:jc w:val="center"/>
      </w:pPr>
    </w:p>
    <w:p w14:paraId="33DAD9E9" w14:textId="77777777" w:rsidR="004D6A64" w:rsidRDefault="00506CD6">
      <w:pPr>
        <w:jc w:val="center"/>
      </w:pPr>
      <w:r>
        <w:rPr>
          <w:rFonts w:ascii="Times New Roman" w:eastAsia="宋体" w:hAnsi="Times New Roman"/>
          <w:color w:val="000000"/>
          <w:sz w:val="20"/>
          <w:szCs w:val="20"/>
        </w:rPr>
        <w:t>65</w:t>
      </w:r>
    </w:p>
    <w:p w14:paraId="33DAD9EA" w14:textId="77777777" w:rsidR="004D6A64" w:rsidRDefault="004D6A64">
      <w:pPr>
        <w:jc w:val="center"/>
      </w:pPr>
    </w:p>
    <w:p w14:paraId="33DAD9EB" w14:textId="77777777" w:rsidR="004D6A64" w:rsidRDefault="00506CD6">
      <w:r>
        <w:pict w14:anchorId="33DAFB05">
          <v:rect id="_x0000_i1089" style="width:415.3pt;height:1.5pt" o:hralign="center" o:hrstd="t" o:hr="t" fillcolor="#a0a0a0" stroked="f"/>
        </w:pict>
      </w:r>
    </w:p>
    <w:p w14:paraId="33DAD9EC" w14:textId="77777777" w:rsidR="004D6A64" w:rsidRDefault="00506CD6">
      <w:hyperlink r:id="rId188" w:anchor="if3e0e1bf9ecd4bf69551d7a85f98d64a_10" w:history="1">
        <w:r>
          <w:rPr>
            <w:rStyle w:val="a5"/>
            <w:rFonts w:ascii="Times New Roman" w:eastAsia="宋体" w:hAnsi="Times New Roman"/>
            <w:sz w:val="20"/>
            <w:szCs w:val="20"/>
          </w:rPr>
          <w:t>Table of Contents</w:t>
        </w:r>
      </w:hyperlink>
    </w:p>
    <w:p w14:paraId="33DAD9ED" w14:textId="77777777" w:rsidR="004D6A64" w:rsidRDefault="00506CD6">
      <w:pPr>
        <w:pBdr>
          <w:left w:val="none" w:sz="0" w:space="0" w:color="auto"/>
        </w:pBdr>
      </w:pPr>
      <w:r>
        <w:rPr>
          <w:rFonts w:ascii="Times New Roman" w:eastAsia="宋体" w:hAnsi="Times New Roman"/>
          <w:color w:val="000000"/>
          <w:sz w:val="20"/>
          <w:szCs w:val="20"/>
        </w:rPr>
        <w:t>by reducing the complexity of building, deploying, and operating new cloud-native applications, and modernizing legacy applications. With the acquisition, which aligns key soft</w:t>
      </w:r>
      <w:r>
        <w:rPr>
          <w:rFonts w:ascii="Times New Roman" w:eastAsia="宋体" w:hAnsi="Times New Roman"/>
          <w:color w:val="000000"/>
          <w:sz w:val="20"/>
          <w:szCs w:val="20"/>
        </w:rPr>
        <w:t>ware assets, VMware, Inc. will drive and build on a comprehensive development platform with Kubernetes.</w:t>
      </w:r>
    </w:p>
    <w:p w14:paraId="33DAD9EE" w14:textId="77777777" w:rsidR="004D6A64" w:rsidRDefault="004D6A64">
      <w:pPr>
        <w:pBdr>
          <w:left w:val="none" w:sz="0" w:space="0" w:color="auto"/>
        </w:pBdr>
      </w:pPr>
    </w:p>
    <w:p w14:paraId="33DAD9EF" w14:textId="77777777" w:rsidR="004D6A64" w:rsidRDefault="00506CD6">
      <w:pPr>
        <w:pBdr>
          <w:left w:val="none" w:sz="0" w:space="0" w:color="auto"/>
        </w:pBdr>
      </w:pPr>
      <w:r>
        <w:rPr>
          <w:rFonts w:ascii="Times New Roman" w:eastAsia="宋体" w:hAnsi="Times New Roman"/>
          <w:color w:val="000000"/>
          <w:sz w:val="20"/>
          <w:szCs w:val="20"/>
        </w:rPr>
        <w:t>Dell Technologies now reports Pivotal results within the VMware reportable segment, and the historical segment results have been recast to reflect this</w:t>
      </w:r>
      <w:r>
        <w:rPr>
          <w:rFonts w:ascii="Times New Roman" w:eastAsia="宋体" w:hAnsi="Times New Roman"/>
          <w:color w:val="000000"/>
          <w:sz w:val="20"/>
          <w:szCs w:val="20"/>
        </w:rPr>
        <w:t xml:space="preserve"> change. Pivotal results were previously reported within other businesses. See Note 17 of the Notes to the Condensed Consolidated Financial Statements included in this report for the recast of segment results.</w:t>
      </w:r>
    </w:p>
    <w:p w14:paraId="33DAD9F0" w14:textId="77777777" w:rsidR="004D6A64" w:rsidRDefault="004D6A64">
      <w:pPr>
        <w:pBdr>
          <w:left w:val="none" w:sz="0" w:space="0" w:color="auto"/>
        </w:pBdr>
      </w:pPr>
    </w:p>
    <w:p w14:paraId="33DAD9F1" w14:textId="77777777" w:rsidR="004D6A64" w:rsidRDefault="00506CD6">
      <w:pPr>
        <w:pBdr>
          <w:left w:val="none" w:sz="0" w:space="0" w:color="auto"/>
        </w:pBdr>
      </w:pPr>
      <w:r>
        <w:rPr>
          <w:rFonts w:ascii="Times New Roman" w:eastAsia="宋体" w:hAnsi="Times New Roman"/>
          <w:color w:val="000000"/>
          <w:sz w:val="20"/>
          <w:szCs w:val="20"/>
        </w:rPr>
        <w:t>Approximately half of VMware revenue is gener</w:t>
      </w:r>
      <w:r>
        <w:rPr>
          <w:rFonts w:ascii="Times New Roman" w:eastAsia="宋体" w:hAnsi="Times New Roman"/>
          <w:color w:val="000000"/>
          <w:sz w:val="20"/>
          <w:szCs w:val="20"/>
        </w:rPr>
        <w:t xml:space="preserve">ated by sales to customers in the United States. </w:t>
      </w:r>
    </w:p>
    <w:p w14:paraId="33DAD9F2" w14:textId="77777777" w:rsidR="004D6A64" w:rsidRDefault="004D6A64">
      <w:pPr>
        <w:pBdr>
          <w:left w:val="none" w:sz="0" w:space="0" w:color="auto"/>
        </w:pBdr>
      </w:pPr>
    </w:p>
    <w:p w14:paraId="33DAD9F3" w14:textId="77777777" w:rsidR="004D6A64" w:rsidRDefault="00506CD6">
      <w:r>
        <w:rPr>
          <w:rFonts w:ascii="Times New Roman" w:eastAsia="宋体" w:hAnsi="Times New Roman"/>
          <w:color w:val="000000"/>
          <w:sz w:val="20"/>
          <w:szCs w:val="20"/>
        </w:rPr>
        <w:t xml:space="preserve">Our other businesses, described below, consist of product and service offerings of Secureworks, Virtustream, Boomi, and RSA Security, each of which is majority-owned by Dell Technologies. These </w:t>
      </w:r>
      <w:r>
        <w:rPr>
          <w:rFonts w:ascii="Times New Roman" w:eastAsia="宋体" w:hAnsi="Times New Roman"/>
          <w:color w:val="000000"/>
          <w:sz w:val="20"/>
          <w:szCs w:val="20"/>
        </w:rPr>
        <w:t>businesses are not classified as reportable segments, either individually or collectively, as the results of the businesses are not material to our overall results and the businesses do not meet the criteria for reportable segments.</w:t>
      </w:r>
    </w:p>
    <w:p w14:paraId="33DAD9F4" w14:textId="77777777" w:rsidR="004D6A64" w:rsidRDefault="004D6A64">
      <w:pPr>
        <w:pBdr>
          <w:left w:val="none" w:sz="0" w:space="0" w:color="auto"/>
        </w:pBdr>
      </w:pPr>
    </w:p>
    <w:p w14:paraId="33DAD9F5" w14:textId="77777777" w:rsidR="004D6A64" w:rsidRDefault="00506CD6">
      <w:pPr>
        <w:pBdr>
          <w:left w:val="none" w:sz="0" w:space="0" w:color="auto"/>
        </w:pBd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rPr>
        <w:t>Secureworks</w:t>
      </w:r>
      <w:r>
        <w:rPr>
          <w:rFonts w:ascii="Times New Roman" w:eastAsia="宋体" w:hAnsi="Times New Roman"/>
          <w:color w:val="000000"/>
          <w:sz w:val="20"/>
          <w:szCs w:val="20"/>
        </w:rPr>
        <w:t xml:space="preserve"> (NASDAQ: </w:t>
      </w:r>
      <w:r>
        <w:rPr>
          <w:rFonts w:ascii="Times New Roman" w:eastAsia="宋体" w:hAnsi="Times New Roman"/>
          <w:color w:val="000000"/>
          <w:sz w:val="20"/>
          <w:szCs w:val="20"/>
        </w:rPr>
        <w:t>SCWX) is a leading global provider of intelligence-driven information security solutions singularly focused on protecting its clients from cyber attacks. The solutions offered by Secureworks enable organizations of varying size and complexity to fortify th</w:t>
      </w:r>
      <w:r>
        <w:rPr>
          <w:rFonts w:ascii="Times New Roman" w:eastAsia="宋体" w:hAnsi="Times New Roman"/>
          <w:color w:val="000000"/>
          <w:sz w:val="20"/>
          <w:szCs w:val="20"/>
        </w:rPr>
        <w:t>eir cyber defenses to prevent security breaches, detect malicious activity in near real time, prioritize and respond rapidly to security incidents, and predict emerging threats.</w:t>
      </w:r>
    </w:p>
    <w:p w14:paraId="33DAD9F6" w14:textId="77777777" w:rsidR="004D6A64" w:rsidRDefault="004D6A64">
      <w:pPr>
        <w:pBdr>
          <w:left w:val="none" w:sz="0" w:space="0" w:color="auto"/>
        </w:pBdr>
      </w:pPr>
    </w:p>
    <w:p w14:paraId="33DAD9F7" w14:textId="77777777" w:rsidR="004D6A64" w:rsidRDefault="00506CD6">
      <w:pPr>
        <w:pBdr>
          <w:left w:val="none" w:sz="0" w:space="0" w:color="auto"/>
        </w:pBd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rPr>
        <w:t>Virtustream</w:t>
      </w:r>
      <w:r>
        <w:rPr>
          <w:rFonts w:ascii="Times New Roman" w:eastAsia="宋体" w:hAnsi="Times New Roman"/>
          <w:color w:val="000000"/>
          <w:sz w:val="20"/>
          <w:szCs w:val="20"/>
        </w:rPr>
        <w:t xml:space="preserve"> offers cloud software and infrastructure-as-a-service solutions that enable customers to migrate, run, and manage mission-critical applications in cloud-based IT environments.</w:t>
      </w:r>
    </w:p>
    <w:p w14:paraId="33DAD9F8" w14:textId="77777777" w:rsidR="004D6A64" w:rsidRDefault="004D6A64">
      <w:pPr>
        <w:pBdr>
          <w:left w:val="none" w:sz="0" w:space="0" w:color="auto"/>
        </w:pBdr>
      </w:pPr>
    </w:p>
    <w:p w14:paraId="33DAD9F9" w14:textId="77777777" w:rsidR="004D6A64" w:rsidRDefault="00506CD6">
      <w:pPr>
        <w:pBdr>
          <w:left w:val="none" w:sz="0" w:space="0" w:color="auto"/>
        </w:pBd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rPr>
        <w:t>Boomi</w:t>
      </w:r>
      <w:r>
        <w:rPr>
          <w:rFonts w:ascii="Times New Roman" w:eastAsia="宋体" w:hAnsi="Times New Roman"/>
          <w:color w:val="000000"/>
          <w:sz w:val="20"/>
          <w:szCs w:val="20"/>
        </w:rPr>
        <w:t xml:space="preserve"> specializes in cloud-based integration, connecting information between </w:t>
      </w:r>
      <w:r>
        <w:rPr>
          <w:rFonts w:ascii="Times New Roman" w:eastAsia="宋体" w:hAnsi="Times New Roman"/>
          <w:color w:val="000000"/>
          <w:sz w:val="20"/>
          <w:szCs w:val="20"/>
        </w:rPr>
        <w:t>existing on-premise and cloud-based applications to ensure that business processes are optimized, data is accurate and workflow is reliable.</w:t>
      </w:r>
    </w:p>
    <w:p w14:paraId="33DAD9FA" w14:textId="77777777" w:rsidR="004D6A64" w:rsidRDefault="004D6A64">
      <w:pPr>
        <w:pBdr>
          <w:left w:val="none" w:sz="0" w:space="0" w:color="auto"/>
        </w:pBdr>
      </w:pPr>
    </w:p>
    <w:p w14:paraId="33DAD9FB" w14:textId="77777777" w:rsidR="004D6A64" w:rsidRDefault="00506CD6">
      <w:pPr>
        <w:pBdr>
          <w:left w:val="none" w:sz="0" w:space="0" w:color="auto"/>
        </w:pBdr>
        <w:ind w:hanging="360"/>
      </w:pPr>
      <w:r>
        <w:rPr>
          <w:rFonts w:ascii="Times New Roman" w:eastAsia="宋体" w:hAnsi="Times New Roman"/>
          <w:i/>
          <w:iCs/>
          <w:color w:val="000000"/>
          <w:sz w:val="20"/>
          <w:szCs w:val="20"/>
        </w:rPr>
        <w:t>•RSA Security</w:t>
      </w:r>
      <w:r>
        <w:rPr>
          <w:rFonts w:ascii="Times New Roman" w:eastAsia="宋体" w:hAnsi="Times New Roman"/>
          <w:color w:val="000000"/>
          <w:sz w:val="20"/>
          <w:szCs w:val="20"/>
        </w:rPr>
        <w:t xml:space="preserve"> provides essential cybersecurity solutions engineered to enable organizations to detect, investigate</w:t>
      </w:r>
      <w:r>
        <w:rPr>
          <w:rFonts w:ascii="Times New Roman" w:eastAsia="宋体" w:hAnsi="Times New Roman"/>
          <w:color w:val="000000"/>
          <w:sz w:val="20"/>
          <w:szCs w:val="20"/>
        </w:rPr>
        <w:t>, and respond to advanced attacks, confirm and manage identities, and, ultimately, help reduce IP theft, fraud, and cybercrime. As of July 31, 2020, the assets and liabilities of RSA Security were classified as held for sale on our Condensed Consolidated S</w:t>
      </w:r>
      <w:r>
        <w:rPr>
          <w:rFonts w:ascii="Times New Roman" w:eastAsia="宋体" w:hAnsi="Times New Roman"/>
          <w:color w:val="000000"/>
          <w:sz w:val="20"/>
          <w:szCs w:val="20"/>
        </w:rPr>
        <w:t>tatements of Financial Position. On September 1, 2020, Dell Technologies completed its divestiture of RSA Security to a consortium of investors in an all-cash transaction for approximately $2.082 billion. The transaction is intended to further simplify our</w:t>
      </w:r>
      <w:r>
        <w:rPr>
          <w:rFonts w:ascii="Times New Roman" w:eastAsia="宋体" w:hAnsi="Times New Roman"/>
          <w:color w:val="000000"/>
          <w:sz w:val="20"/>
          <w:szCs w:val="20"/>
        </w:rPr>
        <w:t xml:space="preserve"> product portfolio and corporate structure. </w:t>
      </w:r>
    </w:p>
    <w:p w14:paraId="33DAD9FC" w14:textId="77777777" w:rsidR="004D6A64" w:rsidRDefault="004D6A64"/>
    <w:p w14:paraId="33DAD9FD" w14:textId="77777777" w:rsidR="004D6A64" w:rsidRDefault="00506CD6">
      <w:r>
        <w:rPr>
          <w:rFonts w:ascii="Times New Roman" w:eastAsia="宋体" w:hAnsi="Times New Roman"/>
          <w:color w:val="000000"/>
          <w:sz w:val="20"/>
          <w:szCs w:val="20"/>
        </w:rPr>
        <w:t xml:space="preserve">We believe the collaboration, innovation, and coordination of the operations and strategies across all segments of our business, as well as our differentiated go-to-market model, will continue to drive revenue </w:t>
      </w:r>
      <w:r>
        <w:rPr>
          <w:rFonts w:ascii="Times New Roman" w:eastAsia="宋体" w:hAnsi="Times New Roman"/>
          <w:color w:val="000000"/>
          <w:sz w:val="20"/>
          <w:szCs w:val="20"/>
        </w:rPr>
        <w:t xml:space="preserve">synergies. Through our coordinated research and development activities, we are able to jointly engineer leading innovative solutions that incorporate the distinct set of hardware, software, and services across all segments of our business. </w:t>
      </w:r>
    </w:p>
    <w:p w14:paraId="33DAD9FE" w14:textId="77777777" w:rsidR="004D6A64" w:rsidRDefault="004D6A64"/>
    <w:p w14:paraId="33DAD9FF" w14:textId="77777777" w:rsidR="004D6A64" w:rsidRDefault="00506CD6">
      <w:r>
        <w:rPr>
          <w:rFonts w:ascii="Times New Roman" w:eastAsia="宋体" w:hAnsi="Times New Roman"/>
          <w:color w:val="000000"/>
          <w:sz w:val="20"/>
          <w:szCs w:val="20"/>
        </w:rPr>
        <w:t>Our products a</w:t>
      </w:r>
      <w:r>
        <w:rPr>
          <w:rFonts w:ascii="Times New Roman" w:eastAsia="宋体" w:hAnsi="Times New Roman"/>
          <w:color w:val="000000"/>
          <w:sz w:val="20"/>
          <w:szCs w:val="20"/>
        </w:rPr>
        <w:t xml:space="preserve">nd services offerings are continually evolving in response to industry dynamics. As a result, reclassifications of certain products and services solutions in major product categories may be required. For further discussion regarding our current reportable </w:t>
      </w:r>
      <w:r>
        <w:rPr>
          <w:rFonts w:ascii="Times New Roman" w:eastAsia="宋体" w:hAnsi="Times New Roman"/>
          <w:color w:val="000000"/>
          <w:sz w:val="20"/>
          <w:szCs w:val="20"/>
        </w:rPr>
        <w:t>segments, see “Results of Operations — Business Unit Results” and Note 17 of the Notes to the Condensed Consolidated Financial Statements included in this report.</w:t>
      </w:r>
    </w:p>
    <w:p w14:paraId="33DADA00" w14:textId="77777777" w:rsidR="004D6A64" w:rsidRDefault="004D6A64"/>
    <w:p w14:paraId="33DADA01" w14:textId="77777777" w:rsidR="004D6A64" w:rsidRDefault="00506CD6">
      <w:r>
        <w:rPr>
          <w:rFonts w:ascii="Times New Roman" w:eastAsia="宋体" w:hAnsi="Times New Roman"/>
          <w:b/>
          <w:bCs/>
          <w:color w:val="000000"/>
          <w:sz w:val="20"/>
          <w:szCs w:val="20"/>
        </w:rPr>
        <w:t>Dell Financial Services</w:t>
      </w:r>
    </w:p>
    <w:p w14:paraId="33DADA02" w14:textId="77777777" w:rsidR="004D6A64" w:rsidRDefault="004D6A64">
      <w:pPr>
        <w:pBdr>
          <w:left w:val="none" w:sz="0" w:space="0" w:color="auto"/>
        </w:pBdr>
        <w:ind w:hanging="360"/>
      </w:pPr>
    </w:p>
    <w:p w14:paraId="33DADA03" w14:textId="77777777" w:rsidR="004D6A64" w:rsidRDefault="00506CD6">
      <w:r>
        <w:rPr>
          <w:rFonts w:ascii="Times New Roman" w:eastAsia="宋体" w:hAnsi="Times New Roman"/>
          <w:color w:val="000000"/>
          <w:sz w:val="20"/>
          <w:szCs w:val="20"/>
        </w:rPr>
        <w:t>Dell Financial Services and its affiliates (“DFS”) support our busi</w:t>
      </w:r>
      <w:r>
        <w:rPr>
          <w:rFonts w:ascii="Times New Roman" w:eastAsia="宋体" w:hAnsi="Times New Roman"/>
          <w:color w:val="000000"/>
          <w:sz w:val="20"/>
          <w:szCs w:val="20"/>
        </w:rPr>
        <w:t>nesses by offering and arranging various financing options and services for our customers in North America, Europe, Australia, and New Zealand. DFS originates, collects, and services customer receivables primarily related to the purchase or use of our prod</w:t>
      </w:r>
      <w:r>
        <w:rPr>
          <w:rFonts w:ascii="Times New Roman" w:eastAsia="宋体" w:hAnsi="Times New Roman"/>
          <w:color w:val="000000"/>
          <w:sz w:val="20"/>
          <w:szCs w:val="20"/>
        </w:rPr>
        <w:t>uct, software, and service solutions. We also arrange financing for some of our customers in various countries where DFS does not currently operate as a captive. DFS further strengthens our customer relationships through its flexible consumption models, wh</w:t>
      </w:r>
      <w:r>
        <w:rPr>
          <w:rFonts w:ascii="Times New Roman" w:eastAsia="宋体" w:hAnsi="Times New Roman"/>
          <w:color w:val="000000"/>
          <w:sz w:val="20"/>
          <w:szCs w:val="20"/>
        </w:rPr>
        <w:t xml:space="preserve">ich enable us to offer our customers the option to pay over time and, in certain cases, based on utilization, providing them with financial flexibility to meet their changing technological requirements. The results of these operations are allocated to our </w:t>
      </w:r>
      <w:r>
        <w:rPr>
          <w:rFonts w:ascii="Times New Roman" w:eastAsia="宋体" w:hAnsi="Times New Roman"/>
          <w:color w:val="000000"/>
          <w:sz w:val="20"/>
          <w:szCs w:val="20"/>
        </w:rPr>
        <w:t xml:space="preserve">segments based on the underlying product or service financed. In response to the coronavirus disease 2019 (“COVID-19”) pandemic, we are focused on supporting our customers and intend to provide up to $9 billion in financing support by offering low or zero </w:t>
      </w:r>
      <w:r>
        <w:rPr>
          <w:rFonts w:ascii="Times New Roman" w:eastAsia="宋体" w:hAnsi="Times New Roman"/>
          <w:color w:val="000000"/>
          <w:sz w:val="20"/>
          <w:szCs w:val="20"/>
        </w:rPr>
        <w:t xml:space="preserve">percent interest rate programs as well as payment deferral options. The financial impact to DFS and our securitization and structured financing </w:t>
      </w:r>
    </w:p>
    <w:p w14:paraId="33DADA04" w14:textId="77777777" w:rsidR="004D6A64" w:rsidRDefault="004D6A64">
      <w:pPr>
        <w:jc w:val="center"/>
      </w:pPr>
    </w:p>
    <w:p w14:paraId="33DADA05" w14:textId="77777777" w:rsidR="004D6A64" w:rsidRDefault="00506CD6">
      <w:pPr>
        <w:jc w:val="center"/>
      </w:pPr>
      <w:r>
        <w:rPr>
          <w:rFonts w:ascii="Times New Roman" w:eastAsia="宋体" w:hAnsi="Times New Roman"/>
          <w:color w:val="000000"/>
          <w:sz w:val="20"/>
          <w:szCs w:val="20"/>
        </w:rPr>
        <w:t>66</w:t>
      </w:r>
    </w:p>
    <w:p w14:paraId="33DADA06" w14:textId="77777777" w:rsidR="004D6A64" w:rsidRDefault="004D6A64">
      <w:pPr>
        <w:jc w:val="center"/>
      </w:pPr>
    </w:p>
    <w:p w14:paraId="33DADA07" w14:textId="77777777" w:rsidR="004D6A64" w:rsidRDefault="00506CD6">
      <w:r>
        <w:pict w14:anchorId="33DAFB06">
          <v:rect id="_x0000_i1090" style="width:415.3pt;height:1.5pt" o:hralign="center" o:hrstd="t" o:hr="t" fillcolor="#a0a0a0" stroked="f"/>
        </w:pict>
      </w:r>
    </w:p>
    <w:p w14:paraId="33DADA08" w14:textId="77777777" w:rsidR="004D6A64" w:rsidRDefault="00506CD6">
      <w:hyperlink r:id="rId189" w:anchor="if3e0e1bf9ecd4bf69551d7a85f98d64a_10" w:history="1">
        <w:r>
          <w:rPr>
            <w:rStyle w:val="a5"/>
            <w:rFonts w:ascii="Times New Roman" w:eastAsia="宋体" w:hAnsi="Times New Roman"/>
            <w:sz w:val="20"/>
            <w:szCs w:val="20"/>
          </w:rPr>
          <w:t>Table of Contents</w:t>
        </w:r>
      </w:hyperlink>
    </w:p>
    <w:p w14:paraId="33DADA09" w14:textId="77777777" w:rsidR="004D6A64" w:rsidRDefault="00506CD6">
      <w:r>
        <w:rPr>
          <w:rFonts w:ascii="Times New Roman" w:eastAsia="宋体" w:hAnsi="Times New Roman"/>
          <w:color w:val="000000"/>
          <w:sz w:val="20"/>
          <w:szCs w:val="20"/>
        </w:rPr>
        <w:t>programs is not expected to be material. For additional information about our financing arrangements, see Note 4 of the Notes to the Condensed Consolidated Financial Statements included in</w:t>
      </w:r>
      <w:r>
        <w:rPr>
          <w:rFonts w:ascii="Times New Roman" w:eastAsia="宋体" w:hAnsi="Times New Roman"/>
          <w:color w:val="000000"/>
          <w:sz w:val="20"/>
          <w:szCs w:val="20"/>
        </w:rPr>
        <w:t xml:space="preserve"> this report.</w:t>
      </w:r>
    </w:p>
    <w:p w14:paraId="33DADA0A" w14:textId="77777777" w:rsidR="004D6A64" w:rsidRDefault="004D6A64"/>
    <w:p w14:paraId="33DADA0B" w14:textId="77777777" w:rsidR="004D6A64" w:rsidRDefault="00506CD6">
      <w:r>
        <w:rPr>
          <w:rFonts w:ascii="Times New Roman" w:eastAsia="宋体" w:hAnsi="Times New Roman"/>
          <w:b/>
          <w:bCs/>
          <w:color w:val="000000"/>
          <w:sz w:val="20"/>
          <w:szCs w:val="20"/>
        </w:rPr>
        <w:t>Strategic Investments and Acquisitions</w:t>
      </w:r>
    </w:p>
    <w:p w14:paraId="33DADA0C" w14:textId="77777777" w:rsidR="004D6A64" w:rsidRDefault="004D6A64"/>
    <w:p w14:paraId="33DADA0D" w14:textId="77777777" w:rsidR="004D6A64" w:rsidRDefault="00506CD6">
      <w:r>
        <w:rPr>
          <w:rFonts w:ascii="Times New Roman" w:eastAsia="宋体" w:hAnsi="Times New Roman"/>
          <w:color w:val="000000"/>
          <w:sz w:val="20"/>
          <w:szCs w:val="20"/>
        </w:rPr>
        <w:t>As part of our strategy, we will continue to evaluate opportunities for strategic investments through our venture capital investment arm, Dell Technologies Capital, with a focus on emerging technology areas that are relevant to all segments of our business</w:t>
      </w:r>
      <w:r>
        <w:rPr>
          <w:rFonts w:ascii="Times New Roman" w:eastAsia="宋体" w:hAnsi="Times New Roman"/>
          <w:color w:val="000000"/>
          <w:sz w:val="20"/>
          <w:szCs w:val="20"/>
        </w:rPr>
        <w:t xml:space="preserve"> and that will complement our existing portfolio of solutions. Our investment areas include storage, software-defined networking, management and orchestration, security, machine learning and artificial intelligence, Big Data and analytics, cloud, Internet </w:t>
      </w:r>
      <w:r>
        <w:rPr>
          <w:rFonts w:ascii="Times New Roman" w:eastAsia="宋体" w:hAnsi="Times New Roman"/>
          <w:color w:val="000000"/>
          <w:sz w:val="20"/>
          <w:szCs w:val="20"/>
        </w:rPr>
        <w:t>of Things (“IoT”), and software development operations. In addition to these investments, we also may make disciplined acquisitions targeting businesses that advance our strategic objectives. As of July 31, 2020 and January 31, 2020, Dell Technologies held</w:t>
      </w:r>
      <w:r>
        <w:rPr>
          <w:rFonts w:ascii="Times New Roman" w:eastAsia="宋体" w:hAnsi="Times New Roman"/>
          <w:color w:val="000000"/>
          <w:sz w:val="20"/>
          <w:szCs w:val="20"/>
        </w:rPr>
        <w:t xml:space="preserve"> strategic investments of $1.0 billion and $0.9 billion, respectively. </w:t>
      </w:r>
    </w:p>
    <w:p w14:paraId="33DADA0E" w14:textId="77777777" w:rsidR="004D6A64" w:rsidRDefault="004D6A64"/>
    <w:p w14:paraId="33DADA0F" w14:textId="77777777" w:rsidR="004D6A64" w:rsidRDefault="00506CD6">
      <w:r>
        <w:rPr>
          <w:rFonts w:ascii="Times New Roman" w:eastAsia="宋体" w:hAnsi="Times New Roman"/>
          <w:b/>
          <w:bCs/>
          <w:color w:val="000000"/>
          <w:sz w:val="20"/>
          <w:szCs w:val="20"/>
        </w:rPr>
        <w:t>Business Trends and Challenges</w:t>
      </w:r>
    </w:p>
    <w:p w14:paraId="33DADA10" w14:textId="77777777" w:rsidR="004D6A64" w:rsidRDefault="004D6A64"/>
    <w:p w14:paraId="33DADA11" w14:textId="77777777" w:rsidR="004D6A64" w:rsidRDefault="00506CD6">
      <w:r>
        <w:rPr>
          <w:rFonts w:ascii="Times New Roman" w:eastAsia="宋体" w:hAnsi="Times New Roman"/>
          <w:i/>
          <w:iCs/>
          <w:color w:val="000000"/>
          <w:sz w:val="20"/>
          <w:szCs w:val="20"/>
          <w:u w:val="single"/>
        </w:rPr>
        <w:t>COVID-19 Pandemic and Response</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 In March 2020, the World Health Organization (“WHO”) declared the outbreak of the COVID-19 a global pandemic. This dec</w:t>
      </w:r>
      <w:r>
        <w:rPr>
          <w:rFonts w:ascii="Times New Roman" w:eastAsia="宋体" w:hAnsi="Times New Roman"/>
          <w:color w:val="000000"/>
          <w:sz w:val="20"/>
          <w:szCs w:val="20"/>
        </w:rPr>
        <w:t>laration has been followed by significant governmental measures implemented in the United States and globally, including travel bans and restrictions, shelter-in-place orders, limitations and closures of non-essential businesses, and social distancing requ</w:t>
      </w:r>
      <w:r>
        <w:rPr>
          <w:rFonts w:ascii="Times New Roman" w:eastAsia="宋体" w:hAnsi="Times New Roman"/>
          <w:color w:val="000000"/>
          <w:sz w:val="20"/>
          <w:szCs w:val="20"/>
        </w:rPr>
        <w:t xml:space="preserve">irements in efforts to slow down and control the spread of the virus. </w:t>
      </w:r>
    </w:p>
    <w:p w14:paraId="33DADA12" w14:textId="77777777" w:rsidR="004D6A64" w:rsidRDefault="004D6A64"/>
    <w:p w14:paraId="33DADA13" w14:textId="77777777" w:rsidR="004D6A64" w:rsidRDefault="00506CD6">
      <w:r>
        <w:rPr>
          <w:rFonts w:ascii="Times New Roman" w:eastAsia="宋体" w:hAnsi="Times New Roman"/>
          <w:color w:val="000000"/>
          <w:sz w:val="20"/>
          <w:szCs w:val="20"/>
        </w:rPr>
        <w:t xml:space="preserve">The health of our employees, customers, business partners, and communities remains our primary focus. We have taken numerous actions to date in response to COVID-19, including a </w:t>
      </w:r>
      <w:r>
        <w:rPr>
          <w:rFonts w:ascii="Times New Roman" w:eastAsia="宋体" w:hAnsi="Times New Roman"/>
          <w:color w:val="000000"/>
          <w:sz w:val="20"/>
          <w:szCs w:val="20"/>
        </w:rPr>
        <w:t>swift implementation of our business continuity plans. Our crisis management team is actively engaged to respond to changes in our environment quickly and effectively, and to ensure that our preparedness plans and response activities are aligned with recom</w:t>
      </w:r>
      <w:r>
        <w:rPr>
          <w:rFonts w:ascii="Times New Roman" w:eastAsia="宋体" w:hAnsi="Times New Roman"/>
          <w:color w:val="000000"/>
          <w:sz w:val="20"/>
          <w:szCs w:val="20"/>
        </w:rPr>
        <w:t>mendations of the WHO, the U.S. Centers for Disease Control and Prevention, and governmental regulations. We have implemented broad travel restrictions and moved to virtual-only events. Most of our employees were previously equipped with remote work capabi</w:t>
      </w:r>
      <w:r>
        <w:rPr>
          <w:rFonts w:ascii="Times New Roman" w:eastAsia="宋体" w:hAnsi="Times New Roman"/>
          <w:color w:val="000000"/>
          <w:sz w:val="20"/>
          <w:szCs w:val="20"/>
        </w:rPr>
        <w:t>lities over the past several years, thus enabling us to quickly establish a work-from-home posture for the majority of our employees. Further, we implemented pandemic-specific protocols for our essential employees whose jobs require them to be on-site or w</w:t>
      </w:r>
      <w:r>
        <w:rPr>
          <w:rFonts w:ascii="Times New Roman" w:eastAsia="宋体" w:hAnsi="Times New Roman"/>
          <w:color w:val="000000"/>
          <w:sz w:val="20"/>
          <w:szCs w:val="20"/>
        </w:rPr>
        <w:t>ith customers. Certain regions and municipalities within the United States and internationally are beginning to lift stay-at-home and quarantine mandates. We are actively working with governments across the world to develop return-to-site protocols to ensu</w:t>
      </w:r>
      <w:r>
        <w:rPr>
          <w:rFonts w:ascii="Times New Roman" w:eastAsia="宋体" w:hAnsi="Times New Roman"/>
          <w:color w:val="000000"/>
          <w:sz w:val="20"/>
          <w:szCs w:val="20"/>
        </w:rPr>
        <w:t>re the health and safety of our employees, customers, and business partners.</w:t>
      </w:r>
    </w:p>
    <w:p w14:paraId="33DADA14" w14:textId="77777777" w:rsidR="004D6A64" w:rsidRDefault="004D6A64"/>
    <w:p w14:paraId="33DADA15" w14:textId="77777777" w:rsidR="004D6A64" w:rsidRDefault="00506CD6">
      <w:r>
        <w:rPr>
          <w:rFonts w:ascii="Times New Roman" w:eastAsia="宋体" w:hAnsi="Times New Roman"/>
          <w:color w:val="000000"/>
          <w:sz w:val="20"/>
          <w:szCs w:val="20"/>
        </w:rPr>
        <w:t>We are working closely with our customers and business partners to support them as they expand their own remote work solutions and contingency plans, helping them access our prod</w:t>
      </w:r>
      <w:r>
        <w:rPr>
          <w:rFonts w:ascii="Times New Roman" w:eastAsia="宋体" w:hAnsi="Times New Roman"/>
          <w:color w:val="000000"/>
          <w:sz w:val="20"/>
          <w:szCs w:val="20"/>
        </w:rPr>
        <w:t>ucts and services remotely. We have benefited from our agility, our breadth, and our scale. Notable actions we have taken include the following:</w:t>
      </w:r>
    </w:p>
    <w:p w14:paraId="33DADA16" w14:textId="77777777" w:rsidR="004D6A64" w:rsidRDefault="004D6A64"/>
    <w:p w14:paraId="33DADA17" w14:textId="77777777" w:rsidR="004D6A64" w:rsidRDefault="00506CD6">
      <w:pPr>
        <w:pBdr>
          <w:left w:val="none" w:sz="0" w:space="0" w:color="auto"/>
        </w:pBdr>
        <w:ind w:hanging="360"/>
      </w:pPr>
      <w:r>
        <w:rPr>
          <w:rFonts w:ascii="Times New Roman" w:eastAsia="宋体" w:hAnsi="Times New Roman"/>
          <w:color w:val="000000"/>
          <w:sz w:val="20"/>
          <w:szCs w:val="20"/>
        </w:rPr>
        <w:t>•Our global sales teams embraced a new selling process and are successfully supporting our customers and partn</w:t>
      </w:r>
      <w:r>
        <w:rPr>
          <w:rFonts w:ascii="Times New Roman" w:eastAsia="宋体" w:hAnsi="Times New Roman"/>
          <w:color w:val="000000"/>
          <w:sz w:val="20"/>
          <w:szCs w:val="20"/>
        </w:rPr>
        <w:t>ers remotely.</w:t>
      </w:r>
    </w:p>
    <w:p w14:paraId="33DADA18" w14:textId="77777777" w:rsidR="004D6A64" w:rsidRDefault="004D6A64">
      <w:pPr>
        <w:pBdr>
          <w:left w:val="none" w:sz="0" w:space="0" w:color="auto"/>
        </w:pBdr>
      </w:pPr>
    </w:p>
    <w:p w14:paraId="33DADA19" w14:textId="77777777" w:rsidR="004D6A64" w:rsidRDefault="00506CD6">
      <w:pPr>
        <w:pBdr>
          <w:left w:val="none" w:sz="0" w:space="0" w:color="auto"/>
        </w:pBdr>
        <w:ind w:hanging="360"/>
      </w:pPr>
      <w:r>
        <w:rPr>
          <w:rFonts w:ascii="Times New Roman" w:eastAsia="宋体" w:hAnsi="Times New Roman"/>
          <w:color w:val="000000"/>
          <w:sz w:val="20"/>
          <w:szCs w:val="20"/>
        </w:rPr>
        <w:t xml:space="preserve">•We are helping to address our customers’ cash flow requirements by expanding our as-a-service and financing offerings. </w:t>
      </w:r>
    </w:p>
    <w:p w14:paraId="33DADA1A" w14:textId="77777777" w:rsidR="004D6A64" w:rsidRDefault="004D6A64">
      <w:pPr>
        <w:pBdr>
          <w:left w:val="none" w:sz="0" w:space="0" w:color="auto"/>
        </w:pBdr>
      </w:pPr>
    </w:p>
    <w:p w14:paraId="33DADA1B" w14:textId="77777777" w:rsidR="004D6A64" w:rsidRDefault="00506CD6">
      <w:pPr>
        <w:pBdr>
          <w:left w:val="none" w:sz="0" w:space="0" w:color="auto"/>
        </w:pBdr>
        <w:ind w:hanging="360"/>
      </w:pPr>
      <w:r>
        <w:rPr>
          <w:rFonts w:ascii="Times New Roman" w:eastAsia="宋体" w:hAnsi="Times New Roman"/>
          <w:color w:val="000000"/>
          <w:sz w:val="20"/>
          <w:szCs w:val="20"/>
        </w:rPr>
        <w:t>•Our close relationships and ability to connect directly with our customers through our e-commerce business have enable</w:t>
      </w:r>
      <w:r>
        <w:rPr>
          <w:rFonts w:ascii="Times New Roman" w:eastAsia="宋体" w:hAnsi="Times New Roman"/>
          <w:color w:val="000000"/>
          <w:sz w:val="20"/>
          <w:szCs w:val="20"/>
        </w:rPr>
        <w:t>d us to quickly meet the immediate demands of the new work- and learn-from-home environments.</w:t>
      </w:r>
    </w:p>
    <w:p w14:paraId="33DADA1C" w14:textId="77777777" w:rsidR="004D6A64" w:rsidRDefault="004D6A64">
      <w:pPr>
        <w:pBdr>
          <w:left w:val="none" w:sz="0" w:space="0" w:color="auto"/>
        </w:pBdr>
      </w:pPr>
    </w:p>
    <w:p w14:paraId="33DADA1D" w14:textId="77777777" w:rsidR="004D6A64" w:rsidRDefault="00506CD6">
      <w:pPr>
        <w:pBdr>
          <w:left w:val="none" w:sz="0" w:space="0" w:color="auto"/>
        </w:pBdr>
        <w:ind w:hanging="360"/>
      </w:pPr>
      <w:r>
        <w:rPr>
          <w:rFonts w:ascii="Times New Roman" w:eastAsia="宋体" w:hAnsi="Times New Roman"/>
          <w:color w:val="000000"/>
          <w:sz w:val="20"/>
          <w:szCs w:val="20"/>
        </w:rPr>
        <w:t>•The strength, scale, and resiliency of our global supply chain have afforded us flexibility to manage through this challenging time. We adapted to events unfold</w:t>
      </w:r>
      <w:r>
        <w:rPr>
          <w:rFonts w:ascii="Times New Roman" w:eastAsia="宋体" w:hAnsi="Times New Roman"/>
          <w:color w:val="000000"/>
          <w:sz w:val="20"/>
          <w:szCs w:val="20"/>
        </w:rPr>
        <w:t>ing real-time by applying predictive analytics to model a variety of outcomes to respond quickly to the changing environment.  We optimized our global supply chain footprint to maximize factory uptime, for both Dell Technologies and our suppliers, by worki</w:t>
      </w:r>
      <w:r>
        <w:rPr>
          <w:rFonts w:ascii="Times New Roman" w:eastAsia="宋体" w:hAnsi="Times New Roman"/>
          <w:color w:val="000000"/>
          <w:sz w:val="20"/>
          <w:szCs w:val="20"/>
        </w:rPr>
        <w:t>ng through various local governmental regulations and mandates. During this time, we established robust safety measures to protect the health and safety of our essential team members.</w:t>
      </w:r>
    </w:p>
    <w:p w14:paraId="33DADA1E" w14:textId="77777777" w:rsidR="004D6A64" w:rsidRDefault="004D6A64">
      <w:pPr>
        <w:pBdr>
          <w:left w:val="none" w:sz="0" w:space="0" w:color="auto"/>
        </w:pBdr>
      </w:pPr>
    </w:p>
    <w:p w14:paraId="33DADA1F" w14:textId="77777777" w:rsidR="004D6A64" w:rsidRDefault="00506CD6">
      <w:pPr>
        <w:pBdr>
          <w:left w:val="none" w:sz="0" w:space="0" w:color="auto"/>
        </w:pBdr>
        <w:ind w:hanging="360"/>
      </w:pPr>
      <w:r>
        <w:rPr>
          <w:rFonts w:ascii="Times New Roman" w:eastAsia="宋体" w:hAnsi="Times New Roman"/>
          <w:color w:val="000000"/>
          <w:sz w:val="20"/>
          <w:szCs w:val="20"/>
        </w:rPr>
        <w:t>•We continue to drive innovation and excellence in engineering with a l</w:t>
      </w:r>
      <w:r>
        <w:rPr>
          <w:rFonts w:ascii="Times New Roman" w:eastAsia="宋体" w:hAnsi="Times New Roman"/>
          <w:color w:val="000000"/>
          <w:sz w:val="20"/>
          <w:szCs w:val="20"/>
        </w:rPr>
        <w:t>argely remote workforce. Engineers and product teams recently delivered several critical solutions, including cloud updates and key client product refreshes, as well as the May 2020 launch of the PowerStore midrange storage solution.</w:t>
      </w:r>
    </w:p>
    <w:p w14:paraId="33DADA20" w14:textId="77777777" w:rsidR="004D6A64" w:rsidRDefault="004D6A64"/>
    <w:p w14:paraId="33DADA21" w14:textId="77777777" w:rsidR="004D6A64" w:rsidRDefault="004D6A64">
      <w:pPr>
        <w:jc w:val="center"/>
      </w:pPr>
    </w:p>
    <w:p w14:paraId="33DADA22" w14:textId="77777777" w:rsidR="004D6A64" w:rsidRDefault="00506CD6">
      <w:pPr>
        <w:jc w:val="center"/>
      </w:pPr>
      <w:r>
        <w:rPr>
          <w:rFonts w:ascii="Times New Roman" w:eastAsia="宋体" w:hAnsi="Times New Roman"/>
          <w:color w:val="000000"/>
          <w:sz w:val="20"/>
          <w:szCs w:val="20"/>
        </w:rPr>
        <w:t>67</w:t>
      </w:r>
    </w:p>
    <w:p w14:paraId="33DADA23" w14:textId="77777777" w:rsidR="004D6A64" w:rsidRDefault="004D6A64">
      <w:pPr>
        <w:jc w:val="center"/>
      </w:pPr>
    </w:p>
    <w:p w14:paraId="33DADA24" w14:textId="77777777" w:rsidR="004D6A64" w:rsidRDefault="00506CD6">
      <w:r>
        <w:pict w14:anchorId="33DAFB07">
          <v:rect id="_x0000_i1091" style="width:415.3pt;height:1.5pt" o:hralign="center" o:hrstd="t" o:hr="t" fillcolor="#a0a0a0" stroked="f"/>
        </w:pict>
      </w:r>
    </w:p>
    <w:p w14:paraId="33DADA25" w14:textId="77777777" w:rsidR="004D6A64" w:rsidRDefault="00506CD6">
      <w:hyperlink r:id="rId190" w:anchor="if3e0e1bf9ecd4bf69551d7a85f98d64a_10" w:history="1">
        <w:r>
          <w:rPr>
            <w:rStyle w:val="a5"/>
            <w:rFonts w:ascii="Times New Roman" w:eastAsia="宋体" w:hAnsi="Times New Roman"/>
            <w:sz w:val="20"/>
            <w:szCs w:val="20"/>
          </w:rPr>
          <w:t>Table of Contents</w:t>
        </w:r>
      </w:hyperlink>
    </w:p>
    <w:p w14:paraId="33DADA26" w14:textId="77777777" w:rsidR="004D6A64" w:rsidRDefault="00506CD6">
      <w:r>
        <w:rPr>
          <w:rFonts w:ascii="Times New Roman" w:eastAsia="宋体" w:hAnsi="Times New Roman"/>
          <w:color w:val="000000"/>
          <w:sz w:val="20"/>
          <w:szCs w:val="20"/>
        </w:rPr>
        <w:t>During the first six months of Fiscal 2021, we took certain precautionary measures to increase our cash position and preserve financial flexibility. We also made a series of prudent decisions to manage expenses and preserve liquidity including but not limi</w:t>
      </w:r>
      <w:r>
        <w:rPr>
          <w:rFonts w:ascii="Times New Roman" w:eastAsia="宋体" w:hAnsi="Times New Roman"/>
          <w:color w:val="000000"/>
          <w:sz w:val="20"/>
          <w:szCs w:val="20"/>
        </w:rPr>
        <w:t>ted to global hiring limitations, reduction in consulting and contractor costs, global travel restrictions, suspension of the Dell 401(k) match program for U.S. employees, and lower facilities-related costs. All of these actions are aligned with our strate</w:t>
      </w:r>
      <w:r>
        <w:rPr>
          <w:rFonts w:ascii="Times New Roman" w:eastAsia="宋体" w:hAnsi="Times New Roman"/>
          <w:color w:val="000000"/>
          <w:sz w:val="20"/>
          <w:szCs w:val="20"/>
        </w:rPr>
        <w:t xml:space="preserve">gy, which remains unchanged, of focusing on gaining share, integrating and innovating across the Dell Technologies portfolio, and strengthening our capital structure. </w:t>
      </w:r>
    </w:p>
    <w:p w14:paraId="33DADA27" w14:textId="77777777" w:rsidR="004D6A64" w:rsidRDefault="004D6A64"/>
    <w:p w14:paraId="33DADA28" w14:textId="77777777" w:rsidR="004D6A64" w:rsidRDefault="00506CD6">
      <w:r>
        <w:rPr>
          <w:rFonts w:ascii="Times New Roman" w:eastAsia="宋体" w:hAnsi="Times New Roman"/>
          <w:color w:val="000000"/>
          <w:sz w:val="20"/>
          <w:szCs w:val="20"/>
        </w:rPr>
        <w:t>We saw unique demand dynamics during the first six months of Fiscal 2021. For additiona</w:t>
      </w:r>
      <w:r>
        <w:rPr>
          <w:rFonts w:ascii="Times New Roman" w:eastAsia="宋体" w:hAnsi="Times New Roman"/>
          <w:color w:val="000000"/>
          <w:sz w:val="20"/>
          <w:szCs w:val="20"/>
        </w:rPr>
        <w:t>l information about impacts of COVID-19 on our operations, see “Results of Operations—Consolidated Results” and “—Business Unit Results.”</w:t>
      </w:r>
    </w:p>
    <w:p w14:paraId="33DADA29" w14:textId="77777777" w:rsidR="004D6A64" w:rsidRDefault="004D6A64"/>
    <w:p w14:paraId="33DADA2A" w14:textId="77777777" w:rsidR="004D6A64" w:rsidRDefault="00506CD6">
      <w:r>
        <w:rPr>
          <w:rFonts w:ascii="Times New Roman" w:eastAsia="宋体" w:hAnsi="Times New Roman"/>
          <w:color w:val="000000"/>
          <w:sz w:val="20"/>
          <w:szCs w:val="20"/>
        </w:rPr>
        <w:t>We are unable to accurately predict the full impact this unprecedented environment may have on our results of operati</w:t>
      </w:r>
      <w:r>
        <w:rPr>
          <w:rFonts w:ascii="Times New Roman" w:eastAsia="宋体" w:hAnsi="Times New Roman"/>
          <w:color w:val="000000"/>
          <w:sz w:val="20"/>
          <w:szCs w:val="20"/>
        </w:rPr>
        <w:t>ons, financial condition, liquidity and cash flows due to numerous uncertainties involved, including the progression of the COVID-19 pandemic, governmental responses, and the timing of recovery. We will continue to actively monitor global events and make p</w:t>
      </w:r>
      <w:r>
        <w:rPr>
          <w:rFonts w:ascii="Times New Roman" w:eastAsia="宋体" w:hAnsi="Times New Roman"/>
          <w:color w:val="000000"/>
          <w:sz w:val="20"/>
          <w:szCs w:val="20"/>
        </w:rPr>
        <w:t>rudent decisions to navigate in this uncertain and ever-changing environment. We believe we are well-positioned for long-term success, and that we will continue to lead the industry with innovative solutions and the essential technology that the world need</w:t>
      </w:r>
      <w:r>
        <w:rPr>
          <w:rFonts w:ascii="Times New Roman" w:eastAsia="宋体" w:hAnsi="Times New Roman"/>
          <w:color w:val="000000"/>
          <w:sz w:val="20"/>
          <w:szCs w:val="20"/>
        </w:rPr>
        <w:t xml:space="preserve">s now more than ever. </w:t>
      </w:r>
    </w:p>
    <w:p w14:paraId="33DADA2B" w14:textId="77777777" w:rsidR="004D6A64" w:rsidRDefault="004D6A64"/>
    <w:p w14:paraId="33DADA2C" w14:textId="77777777" w:rsidR="004D6A64" w:rsidRDefault="00506CD6">
      <w:r>
        <w:rPr>
          <w:rFonts w:ascii="Times New Roman" w:eastAsia="宋体" w:hAnsi="Times New Roman"/>
          <w:i/>
          <w:iCs/>
          <w:color w:val="000000"/>
          <w:sz w:val="20"/>
          <w:szCs w:val="20"/>
          <w:u w:val="single"/>
        </w:rPr>
        <w:t>Dell Technologies Vision and Innovation</w:t>
      </w:r>
      <w:r>
        <w:rPr>
          <w:rFonts w:ascii="Times New Roman" w:eastAsia="宋体" w:hAnsi="Times New Roman"/>
          <w:color w:val="000000"/>
          <w:sz w:val="20"/>
          <w:szCs w:val="20"/>
        </w:rPr>
        <w:t xml:space="preserve"> — Our vision is to be the essential technology company for the data era and a leader in end-user computing, software-defined data center solutions, data management, virtualization, IoT, and cl</w:t>
      </w:r>
      <w:r>
        <w:rPr>
          <w:rFonts w:ascii="Times New Roman" w:eastAsia="宋体" w:hAnsi="Times New Roman"/>
          <w:color w:val="000000"/>
          <w:sz w:val="20"/>
          <w:szCs w:val="20"/>
        </w:rPr>
        <w:t xml:space="preserve">oud software. We believe that our results will benefit from an integrated go-to-market strategy, including enhanced coordination across all segments of our business, and from our differentiated products and solutions capabilities. We intend to continue to </w:t>
      </w:r>
      <w:r>
        <w:rPr>
          <w:rFonts w:ascii="Times New Roman" w:eastAsia="宋体" w:hAnsi="Times New Roman"/>
          <w:color w:val="000000"/>
          <w:sz w:val="20"/>
          <w:szCs w:val="20"/>
        </w:rPr>
        <w:t>execute on our business model and seek to balance liquidity, profitability, and growth to position our company for long-term success.</w:t>
      </w:r>
    </w:p>
    <w:p w14:paraId="33DADA2D" w14:textId="77777777" w:rsidR="004D6A64" w:rsidRDefault="004D6A64"/>
    <w:p w14:paraId="33DADA2E" w14:textId="77777777" w:rsidR="004D6A64" w:rsidRDefault="00506CD6">
      <w:r>
        <w:rPr>
          <w:rFonts w:ascii="Times New Roman" w:eastAsia="宋体" w:hAnsi="Times New Roman"/>
          <w:color w:val="000000"/>
          <w:sz w:val="20"/>
          <w:szCs w:val="20"/>
        </w:rPr>
        <w:t>We are seeing an accelerated rate of change in the IT industry. We seek to address our customers’ evolving needs and thei</w:t>
      </w:r>
      <w:r>
        <w:rPr>
          <w:rFonts w:ascii="Times New Roman" w:eastAsia="宋体" w:hAnsi="Times New Roman"/>
          <w:color w:val="000000"/>
          <w:sz w:val="20"/>
          <w:szCs w:val="20"/>
        </w:rPr>
        <w:t>r broader digital transformation objectives as they embrace the hybrid multi-cloud environment of today. For many customers right now, a top digital priority is to build stable and resilient remote operational capabilities. We are seeing demand for simpler</w:t>
      </w:r>
      <w:r>
        <w:rPr>
          <w:rFonts w:ascii="Times New Roman" w:eastAsia="宋体" w:hAnsi="Times New Roman"/>
          <w:color w:val="000000"/>
          <w:sz w:val="20"/>
          <w:szCs w:val="20"/>
        </w:rPr>
        <w:t xml:space="preserve">, more agile IT across multiple clouds. The pandemic has accelerated the introduction and adoption of new technologies to ensure productivity and collaboration from anywhere. In light of this rapid pace of innovation, we continue to invest in research and </w:t>
      </w:r>
      <w:r>
        <w:rPr>
          <w:rFonts w:ascii="Times New Roman" w:eastAsia="宋体" w:hAnsi="Times New Roman"/>
          <w:color w:val="000000"/>
          <w:sz w:val="20"/>
          <w:szCs w:val="20"/>
        </w:rPr>
        <w:t xml:space="preserve">development, sales, and other key areas of our business to deliver superior products and solutions capabilities and to drive long-term sustainable growth. </w:t>
      </w:r>
    </w:p>
    <w:p w14:paraId="33DADA2F" w14:textId="77777777" w:rsidR="004D6A64" w:rsidRDefault="004D6A64"/>
    <w:p w14:paraId="33DADA30" w14:textId="77777777" w:rsidR="004D6A64" w:rsidRDefault="00506CD6">
      <w:r>
        <w:rPr>
          <w:rFonts w:ascii="Times New Roman" w:eastAsia="宋体" w:hAnsi="Times New Roman"/>
          <w:i/>
          <w:iCs/>
          <w:color w:val="000000"/>
          <w:sz w:val="20"/>
          <w:szCs w:val="20"/>
          <w:u w:val="single"/>
        </w:rPr>
        <w:t>ISG</w:t>
      </w:r>
      <w:r>
        <w:rPr>
          <w:rFonts w:ascii="Times New Roman" w:eastAsia="宋体" w:hAnsi="Times New Roman"/>
          <w:color w:val="000000"/>
          <w:sz w:val="20"/>
          <w:szCs w:val="20"/>
        </w:rPr>
        <w:t xml:space="preserve"> — We expect that ISG will continue to be impacted by the changing nature of the IT infrastructu</w:t>
      </w:r>
      <w:r>
        <w:rPr>
          <w:rFonts w:ascii="Times New Roman" w:eastAsia="宋体" w:hAnsi="Times New Roman"/>
          <w:color w:val="000000"/>
          <w:sz w:val="20"/>
          <w:szCs w:val="20"/>
        </w:rPr>
        <w:t>re market and competitive environment. The overall server demand environment was down for the first six months of Fiscal 2021 and remains varied among international regions. We will continue to be selective in determining whether to pursue certain large hy</w:t>
      </w:r>
      <w:r>
        <w:rPr>
          <w:rFonts w:ascii="Times New Roman" w:eastAsia="宋体" w:hAnsi="Times New Roman"/>
          <w:color w:val="000000"/>
          <w:sz w:val="20"/>
          <w:szCs w:val="20"/>
        </w:rPr>
        <w:t>perscale and other server transactions as we drive for balanced growth and profitability. With our scale and strong solutions portfolio, we believe we are well-positioned to respond to ongoing competitive dynamics. We continue to focus on customer base exp</w:t>
      </w:r>
      <w:r>
        <w:rPr>
          <w:rFonts w:ascii="Times New Roman" w:eastAsia="宋体" w:hAnsi="Times New Roman"/>
          <w:color w:val="000000"/>
          <w:sz w:val="20"/>
          <w:szCs w:val="20"/>
        </w:rPr>
        <w:t>ansion and lifetime value of customer relationships.</w:t>
      </w:r>
    </w:p>
    <w:p w14:paraId="33DADA31" w14:textId="77777777" w:rsidR="004D6A64" w:rsidRDefault="004D6A64"/>
    <w:p w14:paraId="33DADA32" w14:textId="77777777" w:rsidR="004D6A64" w:rsidRDefault="00506CD6">
      <w:r>
        <w:rPr>
          <w:rFonts w:ascii="Times New Roman" w:eastAsia="宋体" w:hAnsi="Times New Roman"/>
          <w:color w:val="000000"/>
          <w:sz w:val="20"/>
          <w:szCs w:val="20"/>
        </w:rPr>
        <w:t>Cloud-native applications are expected to continue as a primary growth driver in the infrastructure market as IT organizations increasingly adopt cloud native architectures. We believe the complementary</w:t>
      </w:r>
      <w:r>
        <w:rPr>
          <w:rFonts w:ascii="Times New Roman" w:eastAsia="宋体" w:hAnsi="Times New Roman"/>
          <w:color w:val="000000"/>
          <w:sz w:val="20"/>
          <w:szCs w:val="20"/>
        </w:rPr>
        <w:t xml:space="preserve"> cloud solutions across our business strongly position us to meet these demands for our customers, who are increasingly looking to leverage cloud native architectures, whether on-premises, private or public. </w:t>
      </w:r>
    </w:p>
    <w:p w14:paraId="33DADA33" w14:textId="77777777" w:rsidR="004D6A64" w:rsidRDefault="004D6A64"/>
    <w:p w14:paraId="33DADA34" w14:textId="77777777" w:rsidR="004D6A64" w:rsidRDefault="00506CD6">
      <w:r>
        <w:rPr>
          <w:rFonts w:ascii="Times New Roman" w:eastAsia="宋体" w:hAnsi="Times New Roman"/>
          <w:color w:val="000000"/>
          <w:sz w:val="20"/>
          <w:szCs w:val="20"/>
        </w:rPr>
        <w:t>The unprecedented data growth throughout all i</w:t>
      </w:r>
      <w:r>
        <w:rPr>
          <w:rFonts w:ascii="Times New Roman" w:eastAsia="宋体" w:hAnsi="Times New Roman"/>
          <w:color w:val="000000"/>
          <w:sz w:val="20"/>
          <w:szCs w:val="20"/>
        </w:rPr>
        <w:t>ndustries is generating continued demand for our storage solutions and services. We benefit by offering solutions that address the emerging trends of enterprises deploying software-defined storage, hyper-converged infrastructure, and modular solutions base</w:t>
      </w:r>
      <w:r>
        <w:rPr>
          <w:rFonts w:ascii="Times New Roman" w:eastAsia="宋体" w:hAnsi="Times New Roman"/>
          <w:color w:val="000000"/>
          <w:sz w:val="20"/>
          <w:szCs w:val="20"/>
        </w:rPr>
        <w:t>d on server-centric architectures. These trends are changing the way customers are consuming our traditional storage offerings. We continue to expand our offerings in external storage arrays, which incorporate flexible, cloud-based functionality. Through o</w:t>
      </w:r>
      <w:r>
        <w:rPr>
          <w:rFonts w:ascii="Times New Roman" w:eastAsia="宋体" w:hAnsi="Times New Roman"/>
          <w:color w:val="000000"/>
          <w:sz w:val="20"/>
          <w:szCs w:val="20"/>
        </w:rPr>
        <w:t>ur research and development efforts, we are developing new solutions in this rapidly changing industry that we believe will enable us to continue to provide superior solutions to our customers.</w:t>
      </w:r>
    </w:p>
    <w:p w14:paraId="33DADA35" w14:textId="77777777" w:rsidR="004D6A64" w:rsidRDefault="004D6A64"/>
    <w:p w14:paraId="33DADA36" w14:textId="77777777" w:rsidR="004D6A64" w:rsidRDefault="00506CD6">
      <w:r>
        <w:rPr>
          <w:rFonts w:ascii="Times New Roman" w:eastAsia="宋体" w:hAnsi="Times New Roman"/>
          <w:i/>
          <w:iCs/>
          <w:color w:val="000000"/>
          <w:sz w:val="20"/>
          <w:szCs w:val="20"/>
          <w:u w:val="single"/>
        </w:rPr>
        <w:t>CSG</w:t>
      </w:r>
      <w:r>
        <w:rPr>
          <w:rFonts w:ascii="Times New Roman" w:eastAsia="宋体" w:hAnsi="Times New Roman"/>
          <w:color w:val="000000"/>
          <w:sz w:val="20"/>
          <w:szCs w:val="20"/>
        </w:rPr>
        <w:t xml:space="preserve"> — Our CSG offerings are an important element of our strat</w:t>
      </w:r>
      <w:r>
        <w:rPr>
          <w:rFonts w:ascii="Times New Roman" w:eastAsia="宋体" w:hAnsi="Times New Roman"/>
          <w:color w:val="000000"/>
          <w:sz w:val="20"/>
          <w:szCs w:val="20"/>
        </w:rPr>
        <w:t>egy, generating strong cash flow and opportunities for cross-selling of complementary solutions. During the first six months of Fiscal 2021, CSG demand was strong in certain product lines, particularly for notebooks and gaming systems, while demand for com</w:t>
      </w:r>
      <w:r>
        <w:rPr>
          <w:rFonts w:ascii="Times New Roman" w:eastAsia="宋体" w:hAnsi="Times New Roman"/>
          <w:color w:val="000000"/>
          <w:sz w:val="20"/>
          <w:szCs w:val="20"/>
        </w:rPr>
        <w:t xml:space="preserve">mercial desktops decreased. These demand dynamics were driven by the imperative for remote work and remote learning solutions, as business, government, and education customers sought to maintain productivity in the midst of COVID-19. We continue to deploy </w:t>
      </w:r>
      <w:r>
        <w:rPr>
          <w:rFonts w:ascii="Times New Roman" w:eastAsia="宋体" w:hAnsi="Times New Roman"/>
          <w:color w:val="000000"/>
          <w:sz w:val="20"/>
          <w:szCs w:val="20"/>
        </w:rPr>
        <w:t xml:space="preserve">Dell PC as a Service offerings for customers who are seeking simplified solutions and lifecycle management with predictable pricing through DFS. We expect </w:t>
      </w:r>
    </w:p>
    <w:p w14:paraId="33DADA37" w14:textId="77777777" w:rsidR="004D6A64" w:rsidRDefault="004D6A64">
      <w:pPr>
        <w:jc w:val="center"/>
      </w:pPr>
    </w:p>
    <w:p w14:paraId="33DADA38" w14:textId="77777777" w:rsidR="004D6A64" w:rsidRDefault="00506CD6">
      <w:pPr>
        <w:jc w:val="center"/>
      </w:pPr>
      <w:r>
        <w:rPr>
          <w:rFonts w:ascii="Times New Roman" w:eastAsia="宋体" w:hAnsi="Times New Roman"/>
          <w:color w:val="000000"/>
          <w:sz w:val="20"/>
          <w:szCs w:val="20"/>
        </w:rPr>
        <w:t>68</w:t>
      </w:r>
    </w:p>
    <w:p w14:paraId="33DADA39" w14:textId="77777777" w:rsidR="004D6A64" w:rsidRDefault="004D6A64">
      <w:pPr>
        <w:jc w:val="center"/>
      </w:pPr>
    </w:p>
    <w:p w14:paraId="33DADA3A" w14:textId="77777777" w:rsidR="004D6A64" w:rsidRDefault="00506CD6">
      <w:r>
        <w:pict w14:anchorId="33DAFB08">
          <v:rect id="_x0000_i1092" style="width:415.3pt;height:1.5pt" o:hralign="center" o:hrstd="t" o:hr="t" fillcolor="#a0a0a0" stroked="f"/>
        </w:pict>
      </w:r>
    </w:p>
    <w:p w14:paraId="33DADA3B" w14:textId="77777777" w:rsidR="004D6A64" w:rsidRDefault="00506CD6">
      <w:hyperlink r:id="rId191" w:anchor="if3e0e1bf9ecd4bf69551d7a85f98d64a_10" w:history="1">
        <w:r>
          <w:rPr>
            <w:rStyle w:val="a5"/>
            <w:rFonts w:ascii="Times New Roman" w:eastAsia="宋体" w:hAnsi="Times New Roman"/>
            <w:sz w:val="20"/>
            <w:szCs w:val="20"/>
          </w:rPr>
          <w:t>Table of Contents</w:t>
        </w:r>
      </w:hyperlink>
    </w:p>
    <w:p w14:paraId="33DADA3C" w14:textId="77777777" w:rsidR="004D6A64" w:rsidRDefault="00506CD6">
      <w:r>
        <w:rPr>
          <w:rFonts w:ascii="Times New Roman" w:eastAsia="宋体" w:hAnsi="Times New Roman"/>
          <w:color w:val="000000"/>
          <w:sz w:val="20"/>
          <w:szCs w:val="20"/>
        </w:rPr>
        <w:t>that the CSG demand environment will to continue to be cyclical, but the near-term demand environment remains uncertain given current macro-economic dynamics, including the effe</w:t>
      </w:r>
      <w:r>
        <w:rPr>
          <w:rFonts w:ascii="Times New Roman" w:eastAsia="宋体" w:hAnsi="Times New Roman"/>
          <w:color w:val="000000"/>
          <w:sz w:val="20"/>
          <w:szCs w:val="20"/>
        </w:rPr>
        <w:t>cts of COVID-19. We expect a higher mix toward consumer solutions and entry-level notebooks in the second half of Fiscal 2021, which may put pressure on CSG operating results. We remain committed to our long-term strategy for CSG and will continue to innov</w:t>
      </w:r>
      <w:r>
        <w:rPr>
          <w:rFonts w:ascii="Times New Roman" w:eastAsia="宋体" w:hAnsi="Times New Roman"/>
          <w:color w:val="000000"/>
          <w:sz w:val="20"/>
          <w:szCs w:val="20"/>
        </w:rPr>
        <w:t xml:space="preserve">ate across the portfolio, while benefiting from consolidation trends that are occurring in the markets in which we compete. Competitive dynamics will continue to be a factor in our CSG business as we seek to balance profitability and growth. </w:t>
      </w:r>
    </w:p>
    <w:p w14:paraId="33DADA3D" w14:textId="77777777" w:rsidR="004D6A64" w:rsidRDefault="004D6A64"/>
    <w:p w14:paraId="33DADA3E" w14:textId="77777777" w:rsidR="004D6A64" w:rsidRDefault="00506CD6">
      <w:r>
        <w:rPr>
          <w:rFonts w:ascii="Times New Roman" w:eastAsia="宋体" w:hAnsi="Times New Roman"/>
          <w:i/>
          <w:iCs/>
          <w:color w:val="000000"/>
          <w:sz w:val="20"/>
          <w:szCs w:val="20"/>
          <w:u w:val="single"/>
        </w:rPr>
        <w:t>Recurring Revenue and Consumption Models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Our customers are interested in new and innovative models that address how they consume our solutions. We offer options including as-a-service, utility, leases, and immediate pay models, all designed to match cust</w:t>
      </w:r>
      <w:r>
        <w:rPr>
          <w:rFonts w:ascii="Times New Roman" w:eastAsia="宋体" w:hAnsi="Times New Roman"/>
          <w:color w:val="000000"/>
          <w:sz w:val="20"/>
          <w:szCs w:val="20"/>
        </w:rPr>
        <w:t>omers’ consumption and financing preferences. Our multi-year agreements typically result in recurring revenue streams over the term of the arrangement. We expect that our flexible consumption models will further strengthen our customer relationships and pr</w:t>
      </w:r>
      <w:r>
        <w:rPr>
          <w:rFonts w:ascii="Times New Roman" w:eastAsia="宋体" w:hAnsi="Times New Roman"/>
          <w:color w:val="000000"/>
          <w:sz w:val="20"/>
          <w:szCs w:val="20"/>
        </w:rPr>
        <w:t xml:space="preserve">ovide a foundation for growth in recurring revenue. </w:t>
      </w:r>
    </w:p>
    <w:p w14:paraId="33DADA3F" w14:textId="77777777" w:rsidR="004D6A64" w:rsidRDefault="004D6A64"/>
    <w:p w14:paraId="33DADA40" w14:textId="77777777" w:rsidR="004D6A64" w:rsidRDefault="00506CD6">
      <w:r>
        <w:rPr>
          <w:rFonts w:ascii="Times New Roman" w:eastAsia="宋体" w:hAnsi="Times New Roman"/>
          <w:i/>
          <w:iCs/>
          <w:color w:val="000000"/>
          <w:sz w:val="20"/>
          <w:szCs w:val="20"/>
          <w:u w:val="single"/>
        </w:rPr>
        <w:t xml:space="preserve">Supply Chain </w:t>
      </w:r>
      <w:r>
        <w:rPr>
          <w:rFonts w:ascii="Times New Roman" w:eastAsia="宋体" w:hAnsi="Times New Roman"/>
          <w:color w:val="000000"/>
          <w:sz w:val="20"/>
          <w:szCs w:val="20"/>
        </w:rPr>
        <w:t xml:space="preserve">— During Fiscal 2020, we recognized benefits to our ISG and CSG operating results from significant component cost declines. During the second quarter of Fiscal 2021, the ISG component cost </w:t>
      </w:r>
      <w:r>
        <w:rPr>
          <w:rFonts w:ascii="Times New Roman" w:eastAsia="宋体" w:hAnsi="Times New Roman"/>
          <w:color w:val="000000"/>
          <w:sz w:val="20"/>
          <w:szCs w:val="20"/>
        </w:rPr>
        <w:t>environment became inflationary. For CSG, component costs continued to be deflationary during the second quarter of Fiscal 2021, but at a lower rate than during the first quarter of Fiscal 2021. We currently expect the component cost environment will be in</w:t>
      </w:r>
      <w:r>
        <w:rPr>
          <w:rFonts w:ascii="Times New Roman" w:eastAsia="宋体" w:hAnsi="Times New Roman"/>
          <w:color w:val="000000"/>
          <w:sz w:val="20"/>
          <w:szCs w:val="20"/>
        </w:rPr>
        <w:t>flationary in the aggregate during the third quarter of Fiscal 2021 and then will return to a deflationary environment in the fourth quarter of Fiscal 2021. The component cost trends and forecasts are dependent on the strength or weakness of actual end-use</w:t>
      </w:r>
      <w:r>
        <w:rPr>
          <w:rFonts w:ascii="Times New Roman" w:eastAsia="宋体" w:hAnsi="Times New Roman"/>
          <w:color w:val="000000"/>
          <w:sz w:val="20"/>
          <w:szCs w:val="20"/>
        </w:rPr>
        <w:t>r demand and supply dynamics, which will continue to evolve and ultimately impact the translation of the cost environment to pricing and operating results.</w:t>
      </w:r>
    </w:p>
    <w:p w14:paraId="33DADA41" w14:textId="77777777" w:rsidR="004D6A64" w:rsidRDefault="004D6A64"/>
    <w:p w14:paraId="33DADA42" w14:textId="77777777" w:rsidR="004D6A64" w:rsidRDefault="00506CD6">
      <w:r>
        <w:rPr>
          <w:rFonts w:ascii="Times New Roman" w:eastAsia="宋体" w:hAnsi="Times New Roman"/>
          <w:color w:val="000000"/>
          <w:sz w:val="20"/>
          <w:szCs w:val="20"/>
        </w:rPr>
        <w:t xml:space="preserve">Dell Technologies maintains limited-source supplier relationships for processors, because the </w:t>
      </w:r>
      <w:r>
        <w:rPr>
          <w:rFonts w:ascii="Times New Roman" w:eastAsia="宋体" w:hAnsi="Times New Roman"/>
          <w:color w:val="000000"/>
          <w:sz w:val="20"/>
          <w:szCs w:val="20"/>
        </w:rPr>
        <w:t>relationships are advantageous in the areas of performance, quality, support, delivery, capacity, and price considerations. In recent periods, we have been impacted by processor and other supply constraints in certain product offerings, some of which resul</w:t>
      </w:r>
      <w:r>
        <w:rPr>
          <w:rFonts w:ascii="Times New Roman" w:eastAsia="宋体" w:hAnsi="Times New Roman"/>
          <w:color w:val="000000"/>
          <w:sz w:val="20"/>
          <w:szCs w:val="20"/>
        </w:rPr>
        <w:t>ted from COVID-19 driven demand patterns. Delays in the supply of limited-source components, including as a result of COVID-19, are affecting the timing of shipments of certain products in desired quantities or configurations.</w:t>
      </w:r>
    </w:p>
    <w:p w14:paraId="33DADA43" w14:textId="77777777" w:rsidR="004D6A64" w:rsidRDefault="004D6A64"/>
    <w:p w14:paraId="33DADA44" w14:textId="77777777" w:rsidR="004D6A64" w:rsidRDefault="00506CD6">
      <w:r>
        <w:rPr>
          <w:rFonts w:ascii="Times New Roman" w:eastAsia="宋体" w:hAnsi="Times New Roman"/>
          <w:i/>
          <w:iCs/>
          <w:color w:val="000000"/>
          <w:sz w:val="20"/>
          <w:szCs w:val="20"/>
          <w:u w:val="single"/>
        </w:rPr>
        <w:t>Macro-Economic Risks and Unc</w:t>
      </w:r>
      <w:r>
        <w:rPr>
          <w:rFonts w:ascii="Times New Roman" w:eastAsia="宋体" w:hAnsi="Times New Roman"/>
          <w:i/>
          <w:iCs/>
          <w:color w:val="000000"/>
          <w:sz w:val="20"/>
          <w:szCs w:val="20"/>
          <w:u w:val="single"/>
        </w:rPr>
        <w:t>ertainties</w:t>
      </w:r>
      <w:r>
        <w:rPr>
          <w:rFonts w:ascii="Times New Roman" w:eastAsia="宋体" w:hAnsi="Times New Roman"/>
          <w:color w:val="000000"/>
          <w:sz w:val="20"/>
          <w:szCs w:val="20"/>
        </w:rPr>
        <w:t xml:space="preserve"> — The impacts of trade protection measures, including increases in tariffs and trade barriers, and changes in government policies and international trade arrangements may affect our ability to conduct business in some non-U.S. markets. We monito</w:t>
      </w:r>
      <w:r>
        <w:rPr>
          <w:rFonts w:ascii="Times New Roman" w:eastAsia="宋体" w:hAnsi="Times New Roman"/>
          <w:color w:val="000000"/>
          <w:sz w:val="20"/>
          <w:szCs w:val="20"/>
        </w:rPr>
        <w:t>r and seek to mitigate these risks with adjustments to our manufacturing, supply chain, and distribution networks.</w:t>
      </w:r>
    </w:p>
    <w:p w14:paraId="33DADA45" w14:textId="77777777" w:rsidR="004D6A64" w:rsidRDefault="004D6A64"/>
    <w:p w14:paraId="33DADA46" w14:textId="77777777" w:rsidR="004D6A64" w:rsidRDefault="00506CD6">
      <w:r>
        <w:rPr>
          <w:rFonts w:ascii="Times New Roman" w:eastAsia="宋体" w:hAnsi="Times New Roman"/>
          <w:color w:val="000000"/>
          <w:sz w:val="20"/>
          <w:szCs w:val="20"/>
        </w:rPr>
        <w:t>We manage our business on a U.S. dollar basis. However, we have a large global presence, generating approximately half of our revenue by sal</w:t>
      </w:r>
      <w:r>
        <w:rPr>
          <w:rFonts w:ascii="Times New Roman" w:eastAsia="宋体" w:hAnsi="Times New Roman"/>
          <w:color w:val="000000"/>
          <w:sz w:val="20"/>
          <w:szCs w:val="20"/>
        </w:rPr>
        <w:t xml:space="preserve">es to customers outside of the United States during both the first six months of Fiscal 2021 and Fiscal 2020. As a result, our revenue can be impacted by fluctuations in foreign currency exchange rates. We utilize a comprehensive hedging strategy intended </w:t>
      </w:r>
      <w:r>
        <w:rPr>
          <w:rFonts w:ascii="Times New Roman" w:eastAsia="宋体" w:hAnsi="Times New Roman"/>
          <w:color w:val="000000"/>
          <w:sz w:val="20"/>
          <w:szCs w:val="20"/>
        </w:rPr>
        <w:t>to mitigate the impact of foreign currency volatility over time, and we adjust pricing when possible to further minimize foreign currency impacts.</w:t>
      </w:r>
    </w:p>
    <w:p w14:paraId="33DADA47" w14:textId="77777777" w:rsidR="004D6A64" w:rsidRDefault="004D6A64"/>
    <w:p w14:paraId="33DADA48" w14:textId="77777777" w:rsidR="004D6A64" w:rsidRDefault="00506CD6">
      <w:r>
        <w:rPr>
          <w:rFonts w:ascii="Times New Roman" w:eastAsia="宋体" w:hAnsi="Times New Roman"/>
          <w:b/>
          <w:bCs/>
          <w:color w:val="000000"/>
          <w:sz w:val="20"/>
          <w:szCs w:val="20"/>
          <w:shd w:val="clear" w:color="auto" w:fill="FFFFFF"/>
        </w:rPr>
        <w:t>Key Performance Metrics</w:t>
      </w:r>
    </w:p>
    <w:p w14:paraId="33DADA49" w14:textId="77777777" w:rsidR="004D6A64" w:rsidRDefault="004D6A64"/>
    <w:p w14:paraId="33DADA4A" w14:textId="77777777" w:rsidR="004D6A64" w:rsidRDefault="00506CD6">
      <w:r>
        <w:rPr>
          <w:rFonts w:ascii="Times New Roman" w:eastAsia="宋体" w:hAnsi="Times New Roman"/>
          <w:color w:val="000000"/>
          <w:sz w:val="20"/>
          <w:szCs w:val="20"/>
          <w:shd w:val="clear" w:color="auto" w:fill="FFFFFF"/>
        </w:rPr>
        <w:t>Our key performance metrics are net revenue, operating income, adjusted EBITDA, and</w:t>
      </w:r>
      <w:r>
        <w:rPr>
          <w:rFonts w:ascii="Times New Roman" w:eastAsia="宋体" w:hAnsi="Times New Roman"/>
          <w:color w:val="000000"/>
          <w:sz w:val="20"/>
          <w:szCs w:val="20"/>
          <w:shd w:val="clear" w:color="auto" w:fill="FFFFFF"/>
        </w:rPr>
        <w:t xml:space="preserve"> cash flows from operations, which are discussed elsewhere in this report.</w:t>
      </w:r>
    </w:p>
    <w:p w14:paraId="33DADA4B" w14:textId="77777777" w:rsidR="004D6A64" w:rsidRDefault="004D6A64"/>
    <w:p w14:paraId="33DADA4C" w14:textId="77777777" w:rsidR="004D6A64" w:rsidRDefault="00506CD6">
      <w:r>
        <w:rPr>
          <w:rFonts w:ascii="Times New Roman" w:eastAsia="宋体" w:hAnsi="Times New Roman"/>
          <w:b/>
          <w:bCs/>
          <w:color w:val="000000"/>
          <w:sz w:val="20"/>
          <w:szCs w:val="20"/>
        </w:rPr>
        <w:t>Class V Transaction</w:t>
      </w:r>
    </w:p>
    <w:p w14:paraId="33DADA4D" w14:textId="77777777" w:rsidR="004D6A64" w:rsidRDefault="004D6A64"/>
    <w:p w14:paraId="33DADA4E" w14:textId="77777777" w:rsidR="004D6A64" w:rsidRDefault="00506CD6">
      <w:r>
        <w:rPr>
          <w:rFonts w:ascii="Times New Roman" w:eastAsia="宋体" w:hAnsi="Times New Roman"/>
          <w:color w:val="000000"/>
          <w:sz w:val="20"/>
          <w:szCs w:val="20"/>
        </w:rPr>
        <w:t>On December 28, 2018, we completed a transaction (“Class V transaction”) in which we paid $14.0 billion in cash and issued 149,387,617 shares of our Class C Co</w:t>
      </w:r>
      <w:r>
        <w:rPr>
          <w:rFonts w:ascii="Times New Roman" w:eastAsia="宋体" w:hAnsi="Times New Roman"/>
          <w:color w:val="000000"/>
          <w:sz w:val="20"/>
          <w:szCs w:val="20"/>
        </w:rPr>
        <w:t>mmon Stock to holders of our Class V Common Stock in exchange for all outstanding shares of Class V Common Stock. The non-cash consideration portion of the Class V transaction totaled $6.9 billion. As a result of the Class V transaction, the tracking stock</w:t>
      </w:r>
      <w:r>
        <w:rPr>
          <w:rFonts w:ascii="Times New Roman" w:eastAsia="宋体" w:hAnsi="Times New Roman"/>
          <w:color w:val="000000"/>
          <w:sz w:val="20"/>
          <w:szCs w:val="20"/>
        </w:rPr>
        <w:t xml:space="preserve"> feature of Dell Technologies’ capital structure was terminated. The Class C Common Stock is traded on the New York Stock Exchange.</w:t>
      </w:r>
    </w:p>
    <w:p w14:paraId="33DADA4F" w14:textId="77777777" w:rsidR="004D6A64" w:rsidRDefault="004D6A64"/>
    <w:p w14:paraId="33DADA50" w14:textId="77777777" w:rsidR="004D6A64" w:rsidRDefault="004D6A64">
      <w:pPr>
        <w:jc w:val="center"/>
      </w:pPr>
    </w:p>
    <w:p w14:paraId="33DADA51" w14:textId="77777777" w:rsidR="004D6A64" w:rsidRDefault="00506CD6">
      <w:pPr>
        <w:jc w:val="center"/>
      </w:pPr>
      <w:r>
        <w:rPr>
          <w:rFonts w:ascii="Times New Roman" w:eastAsia="宋体" w:hAnsi="Times New Roman"/>
          <w:color w:val="000000"/>
          <w:sz w:val="20"/>
          <w:szCs w:val="20"/>
        </w:rPr>
        <w:t>69</w:t>
      </w:r>
    </w:p>
    <w:p w14:paraId="33DADA52" w14:textId="77777777" w:rsidR="004D6A64" w:rsidRDefault="004D6A64">
      <w:pPr>
        <w:jc w:val="center"/>
      </w:pPr>
    </w:p>
    <w:p w14:paraId="33DADA53" w14:textId="77777777" w:rsidR="004D6A64" w:rsidRDefault="00506CD6">
      <w:r>
        <w:pict w14:anchorId="33DAFB09">
          <v:rect id="_x0000_i1093" style="width:415.3pt;height:1.5pt" o:hralign="center" o:hrstd="t" o:hr="t" fillcolor="#a0a0a0" stroked="f"/>
        </w:pict>
      </w:r>
    </w:p>
    <w:p w14:paraId="33DADA54" w14:textId="77777777" w:rsidR="004D6A64" w:rsidRDefault="00506CD6">
      <w:hyperlink r:id="rId192" w:anchor="if3e0e1bf9ecd4bf69551d7a85f98d64a_10" w:history="1">
        <w:r>
          <w:rPr>
            <w:rStyle w:val="a5"/>
            <w:rFonts w:ascii="Times New Roman" w:eastAsia="宋体" w:hAnsi="Times New Roman"/>
            <w:sz w:val="20"/>
            <w:szCs w:val="20"/>
          </w:rPr>
          <w:t>Table of Contents</w:t>
        </w:r>
      </w:hyperlink>
    </w:p>
    <w:p w14:paraId="33DADA55" w14:textId="77777777" w:rsidR="004D6A64" w:rsidRDefault="00506CD6">
      <w:r>
        <w:rPr>
          <w:rFonts w:ascii="Times New Roman" w:eastAsia="宋体" w:hAnsi="Times New Roman"/>
          <w:b/>
          <w:bCs/>
          <w:color w:val="000000"/>
          <w:sz w:val="20"/>
          <w:szCs w:val="20"/>
          <w:shd w:val="clear" w:color="auto" w:fill="FFFFFF"/>
        </w:rPr>
        <w:t>VMware, Inc. Ownership</w:t>
      </w:r>
    </w:p>
    <w:p w14:paraId="33DADA56" w14:textId="77777777" w:rsidR="004D6A64" w:rsidRDefault="004D6A64"/>
    <w:p w14:paraId="33DADA57" w14:textId="77777777" w:rsidR="004D6A64" w:rsidRDefault="00506CD6">
      <w:r>
        <w:rPr>
          <w:rFonts w:ascii="Times New Roman" w:eastAsia="宋体" w:hAnsi="Times New Roman"/>
          <w:color w:val="000000"/>
          <w:sz w:val="20"/>
          <w:szCs w:val="20"/>
        </w:rPr>
        <w:t>On July 15, 2020, we announced that we are exploring potential alternatives with respect to our ownership in VMware, Inc., including a potential spin-off of that ownership interest to Dell Technologies’ stockholders. Although this process is currently only</w:t>
      </w:r>
      <w:r>
        <w:rPr>
          <w:rFonts w:ascii="Times New Roman" w:eastAsia="宋体" w:hAnsi="Times New Roman"/>
          <w:color w:val="000000"/>
          <w:sz w:val="20"/>
          <w:szCs w:val="20"/>
        </w:rPr>
        <w:t xml:space="preserve"> at an exploratory stage, we believe a spin-off could benefit both Dell Technologies’ and VMware, Inc.’s stockholders by simplifying capital structures and enhancing strategic flexibility, while still maintaining a mutually beneficial strategic and commerc</w:t>
      </w:r>
      <w:r>
        <w:rPr>
          <w:rFonts w:ascii="Times New Roman" w:eastAsia="宋体" w:hAnsi="Times New Roman"/>
          <w:color w:val="000000"/>
          <w:sz w:val="20"/>
          <w:szCs w:val="20"/>
        </w:rPr>
        <w:t xml:space="preserve">ial partnership. Any potential spin-off would not occur prior to September 2021. Other strategic options include maintaining the status quo with respect to our ownership interest in VMware, Inc. </w:t>
      </w:r>
    </w:p>
    <w:p w14:paraId="33DADA58" w14:textId="77777777" w:rsidR="004D6A64" w:rsidRDefault="004D6A64">
      <w:pPr>
        <w:jc w:val="center"/>
      </w:pPr>
    </w:p>
    <w:p w14:paraId="33DADA59" w14:textId="77777777" w:rsidR="004D6A64" w:rsidRDefault="00506CD6">
      <w:pPr>
        <w:jc w:val="center"/>
      </w:pPr>
      <w:r>
        <w:rPr>
          <w:rFonts w:ascii="Times New Roman" w:eastAsia="宋体" w:hAnsi="Times New Roman"/>
          <w:color w:val="000000"/>
          <w:sz w:val="20"/>
          <w:szCs w:val="20"/>
        </w:rPr>
        <w:t>70</w:t>
      </w:r>
    </w:p>
    <w:p w14:paraId="33DADA5A" w14:textId="77777777" w:rsidR="004D6A64" w:rsidRDefault="004D6A64">
      <w:pPr>
        <w:jc w:val="center"/>
      </w:pPr>
    </w:p>
    <w:p w14:paraId="33DADA5B" w14:textId="77777777" w:rsidR="004D6A64" w:rsidRDefault="00506CD6">
      <w:r>
        <w:pict w14:anchorId="33DAFB0A">
          <v:rect id="_x0000_i1094" style="width:415.3pt;height:1.5pt" o:hralign="center" o:hrstd="t" o:hr="t" fillcolor="#a0a0a0" stroked="f"/>
        </w:pict>
      </w:r>
    </w:p>
    <w:p w14:paraId="33DADA5C" w14:textId="77777777" w:rsidR="004D6A64" w:rsidRDefault="00506CD6">
      <w:hyperlink r:id="rId193" w:anchor="if3e0e1bf9ecd4bf69551d7a85f98d64a_10" w:history="1">
        <w:r>
          <w:rPr>
            <w:rStyle w:val="a5"/>
            <w:rFonts w:ascii="Times New Roman" w:eastAsia="宋体" w:hAnsi="Times New Roman"/>
            <w:sz w:val="20"/>
            <w:szCs w:val="20"/>
          </w:rPr>
          <w:t>Table of Contents</w:t>
        </w:r>
      </w:hyperlink>
    </w:p>
    <w:p w14:paraId="33DADA5D" w14:textId="77777777" w:rsidR="004D6A64" w:rsidRDefault="00506CD6">
      <w:r>
        <w:rPr>
          <w:rFonts w:ascii="Times New Roman" w:eastAsia="宋体" w:hAnsi="Times New Roman"/>
          <w:b/>
          <w:bCs/>
          <w:color w:val="000000"/>
          <w:sz w:val="20"/>
          <w:szCs w:val="20"/>
        </w:rPr>
        <w:t>NON-GAAP FINANCIAL MEASURES</w:t>
      </w:r>
    </w:p>
    <w:p w14:paraId="33DADA5E" w14:textId="77777777" w:rsidR="004D6A64" w:rsidRDefault="004D6A64"/>
    <w:p w14:paraId="33DADA5F" w14:textId="77777777" w:rsidR="004D6A64" w:rsidRDefault="00506CD6">
      <w:r>
        <w:rPr>
          <w:rFonts w:ascii="Times New Roman" w:eastAsia="宋体" w:hAnsi="Times New Roman"/>
          <w:color w:val="000000"/>
          <w:sz w:val="20"/>
          <w:szCs w:val="20"/>
        </w:rPr>
        <w:t xml:space="preserve">In this management’s discussion and analysis, we use supplemental measures of our performance which are </w:t>
      </w:r>
      <w:r>
        <w:rPr>
          <w:rFonts w:ascii="Times New Roman" w:eastAsia="宋体" w:hAnsi="Times New Roman"/>
          <w:color w:val="000000"/>
          <w:sz w:val="20"/>
          <w:szCs w:val="20"/>
        </w:rPr>
        <w:t>derived from our consolidated financial information but which are not presented in our consolidated financial statements prepared in accordance with GAAP. These non-GAAP financial measures include non-GAAP product net revenue; non-GAAP services net revenue</w:t>
      </w:r>
      <w:r>
        <w:rPr>
          <w:rFonts w:ascii="Times New Roman" w:eastAsia="宋体" w:hAnsi="Times New Roman"/>
          <w:color w:val="000000"/>
          <w:sz w:val="20"/>
          <w:szCs w:val="20"/>
        </w:rPr>
        <w:t>; non-GAAP net revenue; non-GAAP product gross margin; non-GAAP services gross margin; non-GAAP gross margin; non-GAAP operating expenses; non-GAAP operating income; non-GAAP net income; earnings before interest and other, net, taxes, depreciation, and amo</w:t>
      </w:r>
      <w:r>
        <w:rPr>
          <w:rFonts w:ascii="Times New Roman" w:eastAsia="宋体" w:hAnsi="Times New Roman"/>
          <w:color w:val="000000"/>
          <w:sz w:val="20"/>
          <w:szCs w:val="20"/>
        </w:rPr>
        <w:t>rtization (“EBITDA”); and adjusted EBITDA.</w:t>
      </w:r>
    </w:p>
    <w:p w14:paraId="33DADA60" w14:textId="77777777" w:rsidR="004D6A64" w:rsidRDefault="004D6A64"/>
    <w:p w14:paraId="33DADA61" w14:textId="77777777" w:rsidR="004D6A64" w:rsidRDefault="00506CD6">
      <w:r>
        <w:rPr>
          <w:rFonts w:ascii="Times New Roman" w:eastAsia="宋体" w:hAnsi="Times New Roman"/>
          <w:color w:val="000000"/>
          <w:sz w:val="20"/>
          <w:szCs w:val="20"/>
        </w:rPr>
        <w:t>We use non-GAAP financial measures to supplement financial information presented on a GAAP basis. Management considers these non-GAAP measures in evaluating our operating trends and performance. Moreover, we beli</w:t>
      </w:r>
      <w:r>
        <w:rPr>
          <w:rFonts w:ascii="Times New Roman" w:eastAsia="宋体" w:hAnsi="Times New Roman"/>
          <w:color w:val="000000"/>
          <w:sz w:val="20"/>
          <w:szCs w:val="20"/>
        </w:rPr>
        <w:t>eve these non-GAAP financial measures provide our stakeholders with useful and transparent information to help them evaluate our operating results by facilitating an enhanced understanding of our operating performance and enabling them to make more meaning</w:t>
      </w:r>
      <w:r>
        <w:rPr>
          <w:rFonts w:ascii="Times New Roman" w:eastAsia="宋体" w:hAnsi="Times New Roman"/>
          <w:color w:val="000000"/>
          <w:sz w:val="20"/>
          <w:szCs w:val="20"/>
        </w:rPr>
        <w:t>ful period to period comparisons. There are limitations to the use of the non-GAAP financial measures presented in this report. Our non-GAAP financial measures may not be comparable to similarly titled measures of other companies. Other companies, includin</w:t>
      </w:r>
      <w:r>
        <w:rPr>
          <w:rFonts w:ascii="Times New Roman" w:eastAsia="宋体" w:hAnsi="Times New Roman"/>
          <w:color w:val="000000"/>
          <w:sz w:val="20"/>
          <w:szCs w:val="20"/>
        </w:rPr>
        <w:t>g companies in our industry, may calculate non-GAAP financial measures differently than we do, limiting the usefulness of those measures for comparative purposes.</w:t>
      </w:r>
    </w:p>
    <w:p w14:paraId="33DADA62" w14:textId="77777777" w:rsidR="004D6A64" w:rsidRDefault="004D6A64"/>
    <w:p w14:paraId="33DADA63" w14:textId="77777777" w:rsidR="004D6A64" w:rsidRDefault="00506CD6">
      <w:r>
        <w:rPr>
          <w:rFonts w:ascii="Times New Roman" w:eastAsia="宋体" w:hAnsi="Times New Roman"/>
          <w:color w:val="000000"/>
          <w:sz w:val="20"/>
          <w:szCs w:val="20"/>
        </w:rPr>
        <w:t xml:space="preserve">Non-GAAP product net revenue, non-GAAP services net revenue, non-GAAP net revenue, non-GAAP </w:t>
      </w:r>
      <w:r>
        <w:rPr>
          <w:rFonts w:ascii="Times New Roman" w:eastAsia="宋体" w:hAnsi="Times New Roman"/>
          <w:color w:val="000000"/>
          <w:sz w:val="20"/>
          <w:szCs w:val="20"/>
        </w:rPr>
        <w:t>product gross margin, non-GAAP services gross margin, non-GAAP gross margin, non-GAAP operating expenses, non-GAAP operating income, and non-GAAP net income, as defined by us, exclude amortization of intangible assets, the impact of purchase accounting, tr</w:t>
      </w:r>
      <w:r>
        <w:rPr>
          <w:rFonts w:ascii="Times New Roman" w:eastAsia="宋体" w:hAnsi="Times New Roman"/>
          <w:color w:val="000000"/>
          <w:sz w:val="20"/>
          <w:szCs w:val="20"/>
        </w:rPr>
        <w:t xml:space="preserve">ansaction-related expenses, stock-based compensation expense, other corporate expenses and, for non-GAAP net income, fair value adjustments on equity adjustments and an aggregate adjustment for income taxes. As the excluded items have a material impact on </w:t>
      </w:r>
      <w:r>
        <w:rPr>
          <w:rFonts w:ascii="Times New Roman" w:eastAsia="宋体" w:hAnsi="Times New Roman"/>
          <w:color w:val="000000"/>
          <w:sz w:val="20"/>
          <w:szCs w:val="20"/>
        </w:rPr>
        <w:t>our financial results, our management compensates for this limitation by relying primarily on our GAAP results and using non-GAAP financial measures supplementally or for projections when comparable GAAP financial measures are not available. The non-GAAP f</w:t>
      </w:r>
      <w:r>
        <w:rPr>
          <w:rFonts w:ascii="Times New Roman" w:eastAsia="宋体" w:hAnsi="Times New Roman"/>
          <w:color w:val="000000"/>
          <w:sz w:val="20"/>
          <w:szCs w:val="20"/>
        </w:rPr>
        <w:t xml:space="preserve">inancial measures are not meant to be considered as indicators of performance in isolation from or as a substitute for net revenue, gross margin, operating expenses, operating income, or net income prepared in accordance with GAAP, and should be read only </w:t>
      </w:r>
      <w:r>
        <w:rPr>
          <w:rFonts w:ascii="Times New Roman" w:eastAsia="宋体" w:hAnsi="Times New Roman"/>
          <w:color w:val="000000"/>
          <w:sz w:val="20"/>
          <w:szCs w:val="20"/>
        </w:rPr>
        <w:t>in conjunction with financial information presented on a GAAP basis.</w:t>
      </w:r>
    </w:p>
    <w:p w14:paraId="33DADA64" w14:textId="77777777" w:rsidR="004D6A64" w:rsidRDefault="004D6A64"/>
    <w:p w14:paraId="33DADA65" w14:textId="77777777" w:rsidR="004D6A64" w:rsidRDefault="00506CD6">
      <w:r>
        <w:rPr>
          <w:rFonts w:ascii="Times New Roman" w:eastAsia="宋体" w:hAnsi="Times New Roman"/>
          <w:color w:val="000000"/>
          <w:sz w:val="20"/>
          <w:szCs w:val="20"/>
        </w:rPr>
        <w:t>Reconciliations of each non-GAAP financial measure to its most directly comparable GAAP financial measure are presented below. We encourage you to review the reconciliations in conjuncti</w:t>
      </w:r>
      <w:r>
        <w:rPr>
          <w:rFonts w:ascii="Times New Roman" w:eastAsia="宋体" w:hAnsi="Times New Roman"/>
          <w:color w:val="000000"/>
          <w:sz w:val="20"/>
          <w:szCs w:val="20"/>
        </w:rPr>
        <w:t>on with the presentation of the non-GAAP financial measures for each of the periods presented. The discussion below includes information on each of the excluded items as well as our reasons for excluding them from our non-GAAP results. In future fiscal per</w:t>
      </w:r>
      <w:r>
        <w:rPr>
          <w:rFonts w:ascii="Times New Roman" w:eastAsia="宋体" w:hAnsi="Times New Roman"/>
          <w:color w:val="000000"/>
          <w:sz w:val="20"/>
          <w:szCs w:val="20"/>
        </w:rPr>
        <w:t>iods, we may exclude such items and may incur income and expenses similar to these excluded items. Accordingly, the exclusion of these items and other similar items in our non-GAAP presentation should not be interpreted as implying that these items are non</w:t>
      </w:r>
      <w:r>
        <w:rPr>
          <w:rFonts w:ascii="Times New Roman" w:eastAsia="宋体" w:hAnsi="Times New Roman"/>
          <w:color w:val="000000"/>
          <w:sz w:val="20"/>
          <w:szCs w:val="20"/>
        </w:rPr>
        <w:t>-recurring, infrequent, or unusual.</w:t>
      </w:r>
    </w:p>
    <w:p w14:paraId="33DADA66" w14:textId="77777777" w:rsidR="004D6A64" w:rsidRDefault="004D6A64"/>
    <w:p w14:paraId="33DADA67" w14:textId="77777777" w:rsidR="004D6A64" w:rsidRDefault="00506CD6">
      <w:r>
        <w:rPr>
          <w:rFonts w:ascii="Times New Roman" w:eastAsia="宋体" w:hAnsi="Times New Roman"/>
          <w:i/>
          <w:iCs/>
          <w:color w:val="000000"/>
          <w:sz w:val="20"/>
          <w:szCs w:val="20"/>
        </w:rPr>
        <w:t xml:space="preserve">Revenue Reclassification </w:t>
      </w:r>
      <w:r>
        <w:rPr>
          <w:rFonts w:ascii="Times New Roman" w:eastAsia="宋体" w:hAnsi="Times New Roman"/>
          <w:color w:val="000000"/>
          <w:sz w:val="20"/>
          <w:szCs w:val="20"/>
        </w:rPr>
        <w:t>— During Fiscal 2020, Dell Technologies made certain reclassifications of net revenue between the products and services categories on the Consolidated Statement of Net Income (Loss), which impac</w:t>
      </w:r>
      <w:r>
        <w:rPr>
          <w:rFonts w:ascii="Times New Roman" w:eastAsia="宋体" w:hAnsi="Times New Roman"/>
          <w:color w:val="000000"/>
          <w:sz w:val="20"/>
          <w:szCs w:val="20"/>
        </w:rPr>
        <w:t>ted previously reported amounts for the second quarter and first six months of Fiscal 2020. The reclassifications were made to provide a more meaningful representation of the nature of certain service and software-as-a-service offerings of VMware, Inc. The</w:t>
      </w:r>
      <w:r>
        <w:rPr>
          <w:rFonts w:ascii="Times New Roman" w:eastAsia="宋体" w:hAnsi="Times New Roman"/>
          <w:color w:val="000000"/>
          <w:sz w:val="20"/>
          <w:szCs w:val="20"/>
        </w:rPr>
        <w:t xml:space="preserve"> reclassifications resulted in an increase to services revenue and an equal and offsetting decrease to product revenue of $195 million and $374 million for the second quarter and first six months of Fiscal 2020, respectively. Total net revenue as previousl</w:t>
      </w:r>
      <w:r>
        <w:rPr>
          <w:rFonts w:ascii="Times New Roman" w:eastAsia="宋体" w:hAnsi="Times New Roman"/>
          <w:color w:val="000000"/>
          <w:sz w:val="20"/>
          <w:szCs w:val="20"/>
        </w:rPr>
        <w:t xml:space="preserve">y reported remains unchanged. The Company did not recast cost of goods sold for the related revenue reclassifications due to immateriality. </w:t>
      </w:r>
    </w:p>
    <w:p w14:paraId="33DADA68" w14:textId="77777777" w:rsidR="004D6A64" w:rsidRDefault="004D6A64"/>
    <w:p w14:paraId="33DADA69" w14:textId="77777777" w:rsidR="004D6A64" w:rsidRDefault="004D6A64">
      <w:pPr>
        <w:jc w:val="center"/>
      </w:pPr>
    </w:p>
    <w:p w14:paraId="33DADA6A" w14:textId="77777777" w:rsidR="004D6A64" w:rsidRDefault="00506CD6">
      <w:pPr>
        <w:jc w:val="center"/>
      </w:pPr>
      <w:r>
        <w:rPr>
          <w:rFonts w:ascii="Times New Roman" w:eastAsia="宋体" w:hAnsi="Times New Roman"/>
          <w:color w:val="000000"/>
          <w:sz w:val="20"/>
          <w:szCs w:val="20"/>
        </w:rPr>
        <w:t>71</w:t>
      </w:r>
    </w:p>
    <w:p w14:paraId="33DADA6B" w14:textId="77777777" w:rsidR="004D6A64" w:rsidRDefault="004D6A64">
      <w:pPr>
        <w:jc w:val="center"/>
      </w:pPr>
    </w:p>
    <w:p w14:paraId="33DADA6C" w14:textId="77777777" w:rsidR="004D6A64" w:rsidRDefault="00506CD6">
      <w:r>
        <w:pict w14:anchorId="33DAFB0B">
          <v:rect id="_x0000_i1095" style="width:415.3pt;height:1.5pt" o:hralign="center" o:hrstd="t" o:hr="t" fillcolor="#a0a0a0" stroked="f"/>
        </w:pict>
      </w:r>
    </w:p>
    <w:p w14:paraId="33DADA6D" w14:textId="77777777" w:rsidR="004D6A64" w:rsidRDefault="00506CD6">
      <w:hyperlink r:id="rId194" w:anchor="if3e0e1bf9ecd4bf69551d7a85f98d64a_10" w:history="1">
        <w:r>
          <w:rPr>
            <w:rStyle w:val="a5"/>
            <w:rFonts w:ascii="Times New Roman" w:eastAsia="宋体" w:hAnsi="Times New Roman"/>
            <w:sz w:val="20"/>
            <w:szCs w:val="20"/>
          </w:rPr>
          <w:t>Table of Contents</w:t>
        </w:r>
      </w:hyperlink>
    </w:p>
    <w:p w14:paraId="33DADA6E" w14:textId="77777777" w:rsidR="004D6A64" w:rsidRDefault="00506CD6">
      <w:r>
        <w:rPr>
          <w:rFonts w:ascii="Times New Roman" w:eastAsia="宋体" w:hAnsi="Times New Roman"/>
          <w:color w:val="000000"/>
          <w:sz w:val="20"/>
          <w:szCs w:val="20"/>
        </w:rPr>
        <w:t>The following is a summary of the items excluded from the most comparable GAAP financial measures to calculate our non-GAAP financial measures:</w:t>
      </w:r>
    </w:p>
    <w:p w14:paraId="33DADA6F" w14:textId="77777777" w:rsidR="004D6A64" w:rsidRDefault="004D6A64">
      <w:pPr>
        <w:pBdr>
          <w:left w:val="none" w:sz="0" w:space="0" w:color="auto"/>
        </w:pBdr>
      </w:pPr>
    </w:p>
    <w:p w14:paraId="33DADA70" w14:textId="77777777" w:rsidR="004D6A64" w:rsidRDefault="00506CD6">
      <w:pPr>
        <w:pBdr>
          <w:left w:val="none" w:sz="0" w:space="0" w:color="auto"/>
        </w:pBd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u w:val="single"/>
        </w:rPr>
        <w:t>Amortization of Intangible Assets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Amortization of intangible assets primarily consists of amortization of customer relationships, developed technology, and trade names. In connection with our acquisition by merger of EMC on September 7, 2016, referred to as the EMC merger transaction, and </w:t>
      </w:r>
      <w:r>
        <w:rPr>
          <w:rFonts w:ascii="Times New Roman" w:eastAsia="宋体" w:hAnsi="Times New Roman"/>
          <w:color w:val="000000"/>
          <w:sz w:val="20"/>
          <w:szCs w:val="20"/>
        </w:rPr>
        <w:t>the acquisition of Dell Inc. by Dell Technologies Inc. on October 29, 2013, referred to as the going-private transaction, all of the tangible and intangible assets and liabilities of EMC and Dell, respectively, were accounted for and recognized at fair val</w:t>
      </w:r>
      <w:r>
        <w:rPr>
          <w:rFonts w:ascii="Times New Roman" w:eastAsia="宋体" w:hAnsi="Times New Roman"/>
          <w:color w:val="000000"/>
          <w:sz w:val="20"/>
          <w:szCs w:val="20"/>
        </w:rPr>
        <w:t>ue on the transaction dates. Accordingly, for the periods presented, amortization of intangible assets represents amortization associated with intangible assets recognized in connection with the EMC merger transaction and the going-private transaction. Amo</w:t>
      </w:r>
      <w:r>
        <w:rPr>
          <w:rFonts w:ascii="Times New Roman" w:eastAsia="宋体" w:hAnsi="Times New Roman"/>
          <w:color w:val="000000"/>
          <w:sz w:val="20"/>
          <w:szCs w:val="20"/>
        </w:rPr>
        <w:t>rtization charges for purchased intangible assets are significantly impacted by the timing and magnitude of our acquisitions, and these charges may vary in amount from period to period. We exclude these charges for purposes of calculating the non-GAAP fina</w:t>
      </w:r>
      <w:r>
        <w:rPr>
          <w:rFonts w:ascii="Times New Roman" w:eastAsia="宋体" w:hAnsi="Times New Roman"/>
          <w:color w:val="000000"/>
          <w:sz w:val="20"/>
          <w:szCs w:val="20"/>
        </w:rPr>
        <w:t>ncial measures presented below to facilitate a more meaningful evaluation of our current operating performance and comparisons to our past operating performance.</w:t>
      </w:r>
    </w:p>
    <w:p w14:paraId="33DADA71" w14:textId="77777777" w:rsidR="004D6A64" w:rsidRDefault="004D6A64">
      <w:pPr>
        <w:pBdr>
          <w:left w:val="none" w:sz="0" w:space="0" w:color="auto"/>
        </w:pBdr>
      </w:pPr>
    </w:p>
    <w:p w14:paraId="33DADA72" w14:textId="77777777" w:rsidR="004D6A64" w:rsidRDefault="00506CD6">
      <w:pPr>
        <w:pBdr>
          <w:left w:val="none" w:sz="0" w:space="0" w:color="auto"/>
        </w:pBd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Impact of Purchase Accounting</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The impact of purchase accounting includes purchase accounti</w:t>
      </w:r>
      <w:r>
        <w:rPr>
          <w:rFonts w:ascii="Times New Roman" w:eastAsia="宋体" w:hAnsi="Times New Roman"/>
          <w:color w:val="000000"/>
          <w:sz w:val="20"/>
          <w:szCs w:val="20"/>
        </w:rPr>
        <w:t xml:space="preserve">ng adjustments related to the EMC merger transaction and, to a lesser extent, the going-private transaction, recorded under the acquisition method of accounting in accordance with the accounting guidance for business combinations. This guidance prescribes </w:t>
      </w:r>
      <w:r>
        <w:rPr>
          <w:rFonts w:ascii="Times New Roman" w:eastAsia="宋体" w:hAnsi="Times New Roman"/>
          <w:color w:val="000000"/>
          <w:sz w:val="20"/>
          <w:szCs w:val="20"/>
        </w:rPr>
        <w:t>that the purchase price be allocated to assets acquired and liabilities assumed based on the estimated fair value of such assets and liabilities on the date of the transaction. Accordingly, all of the assets and liabilities acquired in the EMC merger trans</w:t>
      </w:r>
      <w:r>
        <w:rPr>
          <w:rFonts w:ascii="Times New Roman" w:eastAsia="宋体" w:hAnsi="Times New Roman"/>
          <w:color w:val="000000"/>
          <w:sz w:val="20"/>
          <w:szCs w:val="20"/>
        </w:rPr>
        <w:t>action and the going-private transaction were accounted for and recognized at fair value as of the respective transaction dates, and the fair value adjustments are being amortized over the estimated useful lives in the periods following the transactions. T</w:t>
      </w:r>
      <w:r>
        <w:rPr>
          <w:rFonts w:ascii="Times New Roman" w:eastAsia="宋体" w:hAnsi="Times New Roman"/>
          <w:color w:val="000000"/>
          <w:sz w:val="20"/>
          <w:szCs w:val="20"/>
        </w:rPr>
        <w:t>he fair value adjustments primarily relate to deferred revenue, inventory, and property, plant, and equipment. Although the purchase accounting adjustments and related amortization of those adjustments are reflected in our GAAP results, we evaluate the ope</w:t>
      </w:r>
      <w:r>
        <w:rPr>
          <w:rFonts w:ascii="Times New Roman" w:eastAsia="宋体" w:hAnsi="Times New Roman"/>
          <w:color w:val="000000"/>
          <w:sz w:val="20"/>
          <w:szCs w:val="20"/>
        </w:rPr>
        <w:t>rating results of the underlying businesses on a non-GAAP basis, after removing such adjustments. We believe that excluding the impact of purchase accounting provides results that are useful in understanding our current operating performance and provides m</w:t>
      </w:r>
      <w:r>
        <w:rPr>
          <w:rFonts w:ascii="Times New Roman" w:eastAsia="宋体" w:hAnsi="Times New Roman"/>
          <w:color w:val="000000"/>
          <w:sz w:val="20"/>
          <w:szCs w:val="20"/>
        </w:rPr>
        <w:t>ore meaningful comparisons to our past operating performance.</w:t>
      </w:r>
    </w:p>
    <w:p w14:paraId="33DADA73" w14:textId="77777777" w:rsidR="004D6A64" w:rsidRDefault="004D6A64"/>
    <w:p w14:paraId="33DADA74" w14:textId="77777777" w:rsidR="004D6A64" w:rsidRDefault="00506CD6">
      <w:pPr>
        <w:pBdr>
          <w:left w:val="none" w:sz="0" w:space="0" w:color="auto"/>
        </w:pBd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u w:val="single"/>
        </w:rPr>
        <w:t>Transaction-related Expenses</w:t>
      </w:r>
      <w:r>
        <w:rPr>
          <w:rFonts w:ascii="Times New Roman" w:eastAsia="宋体" w:hAnsi="Times New Roman"/>
          <w:i/>
          <w:iCs/>
          <w:color w:val="000000"/>
          <w:sz w:val="20"/>
          <w:szCs w:val="20"/>
        </w:rPr>
        <w:t xml:space="preserve"> — </w:t>
      </w:r>
      <w:r>
        <w:rPr>
          <w:rFonts w:ascii="Times New Roman" w:eastAsia="宋体" w:hAnsi="Times New Roman"/>
          <w:color w:val="000000"/>
          <w:sz w:val="20"/>
          <w:szCs w:val="20"/>
        </w:rPr>
        <w:t xml:space="preserve">Transaction-related expenses typically consist of acquisition, integration, and divestiture related costs and are expensed as incurred. These expenses primarily </w:t>
      </w:r>
      <w:r>
        <w:rPr>
          <w:rFonts w:ascii="Times New Roman" w:eastAsia="宋体" w:hAnsi="Times New Roman"/>
          <w:color w:val="000000"/>
          <w:sz w:val="20"/>
          <w:szCs w:val="20"/>
        </w:rPr>
        <w:t xml:space="preserve">represent costs for legal, banking, consulting, and advisory services.  From time to time, this category also may include transaction-related gains on divestitures of businesses or asset sales. During the first quarter of Fiscal 2021, we recognized a gain </w:t>
      </w:r>
      <w:r>
        <w:rPr>
          <w:rFonts w:ascii="Times New Roman" w:eastAsia="宋体" w:hAnsi="Times New Roman"/>
          <w:color w:val="000000"/>
          <w:sz w:val="20"/>
          <w:szCs w:val="20"/>
        </w:rPr>
        <w:t>of $120 million on the sale of certain intellectual property assets. We exclude these items for purposes of calculating the non-GAAP financial measures presented below to facilitate a more meaningful evaluation of our current operating performance and comp</w:t>
      </w:r>
      <w:r>
        <w:rPr>
          <w:rFonts w:ascii="Times New Roman" w:eastAsia="宋体" w:hAnsi="Times New Roman"/>
          <w:color w:val="000000"/>
          <w:sz w:val="20"/>
          <w:szCs w:val="20"/>
        </w:rPr>
        <w:t>arisons to our past operating performance. See Note 8 of the Notes to the Condensed Consolidated Financial Statements for additional information about VMware, Inc. acquisitions.</w:t>
      </w:r>
    </w:p>
    <w:p w14:paraId="33DADA75" w14:textId="77777777" w:rsidR="004D6A64" w:rsidRDefault="004D6A64"/>
    <w:p w14:paraId="33DADA76" w14:textId="77777777" w:rsidR="004D6A64" w:rsidRDefault="00506CD6">
      <w:pPr>
        <w:pBdr>
          <w:left w:val="none" w:sz="0" w:space="0" w:color="auto"/>
        </w:pBd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Stock-based Compensation Expense</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Stock-based compensation expense consists</w:t>
      </w:r>
      <w:r>
        <w:rPr>
          <w:rFonts w:ascii="Times New Roman" w:eastAsia="宋体" w:hAnsi="Times New Roman"/>
          <w:color w:val="000000"/>
          <w:sz w:val="20"/>
          <w:szCs w:val="20"/>
        </w:rPr>
        <w:t xml:space="preserve"> of equity awards granted based on the estimated fair value of those awards at grant date. We estimate the fair value of service-based stock options using the Black-Scholes valuation model. To estimate the fair value of performance-based awards containing </w:t>
      </w:r>
      <w:r>
        <w:rPr>
          <w:rFonts w:ascii="Times New Roman" w:eastAsia="宋体" w:hAnsi="Times New Roman"/>
          <w:color w:val="000000"/>
          <w:sz w:val="20"/>
          <w:szCs w:val="20"/>
        </w:rPr>
        <w:t>a market condition, we use the Monte Carlo valuation model. For all other share-based awards, the fair value is based on the closing price of the Class C Common Stock as reported on the NYSE on the date of grant. Although stock-based compensation is an imp</w:t>
      </w:r>
      <w:r>
        <w:rPr>
          <w:rFonts w:ascii="Times New Roman" w:eastAsia="宋体" w:hAnsi="Times New Roman"/>
          <w:color w:val="000000"/>
          <w:sz w:val="20"/>
          <w:szCs w:val="20"/>
        </w:rPr>
        <w:t>ortant aspect of the compensation of our employees and executives, the fair value of the stock-based awards may bear little resemblance to the actual value realized upon the vesting or future exercise of the related stock-based awards. We believe that excl</w:t>
      </w:r>
      <w:r>
        <w:rPr>
          <w:rFonts w:ascii="Times New Roman" w:eastAsia="宋体" w:hAnsi="Times New Roman"/>
          <w:color w:val="000000"/>
          <w:sz w:val="20"/>
          <w:szCs w:val="20"/>
        </w:rPr>
        <w:t xml:space="preserve">uding stock-based compensation expense for purposes of calculating the non-GAAP financial measures presented below facilitates a more meaningful evaluation of our current operating performance and comparisons to our past operating performance. </w:t>
      </w:r>
    </w:p>
    <w:p w14:paraId="33DADA77" w14:textId="77777777" w:rsidR="004D6A64" w:rsidRDefault="004D6A64"/>
    <w:p w14:paraId="33DADA78" w14:textId="77777777" w:rsidR="004D6A64" w:rsidRDefault="00506CD6">
      <w:pPr>
        <w:pBdr>
          <w:left w:val="none" w:sz="0" w:space="0" w:color="auto"/>
        </w:pBd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Other Corporate Expenses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Other corporate expenses consists primarily of severance, facility action, and other costs. Severance costs are primarily related to severance and benefits for employees terminated pursuant to cost savings initiatives. We continu</w:t>
      </w:r>
      <w:r>
        <w:rPr>
          <w:rFonts w:ascii="Times New Roman" w:eastAsia="宋体" w:hAnsi="Times New Roman"/>
          <w:color w:val="000000"/>
          <w:sz w:val="20"/>
          <w:szCs w:val="20"/>
        </w:rPr>
        <w:t>e to integrate owned and leased facilities and may incur additional costs as we seek opportunities for operational efficiencies. Other corporate expenses vary from period to period and are significantly impacted by the timing and nature of these events. Th</w:t>
      </w:r>
      <w:r>
        <w:rPr>
          <w:rFonts w:ascii="Times New Roman" w:eastAsia="宋体" w:hAnsi="Times New Roman"/>
          <w:color w:val="000000"/>
          <w:sz w:val="20"/>
          <w:szCs w:val="20"/>
        </w:rPr>
        <w:t>erefore, although we may incur these types of expenses in the future, we believe that eliminating these charges for purposes of calculating the non-GAAP financial measures presented below facilitates a more meaningful evaluation of our current operating pe</w:t>
      </w:r>
      <w:r>
        <w:rPr>
          <w:rFonts w:ascii="Times New Roman" w:eastAsia="宋体" w:hAnsi="Times New Roman"/>
          <w:color w:val="000000"/>
          <w:sz w:val="20"/>
          <w:szCs w:val="20"/>
        </w:rPr>
        <w:t xml:space="preserve">rformance and comparisons to our past operating performance. During </w:t>
      </w:r>
    </w:p>
    <w:p w14:paraId="33DADA79" w14:textId="77777777" w:rsidR="004D6A64" w:rsidRDefault="004D6A64">
      <w:pPr>
        <w:jc w:val="center"/>
      </w:pPr>
    </w:p>
    <w:p w14:paraId="33DADA7A" w14:textId="77777777" w:rsidR="004D6A64" w:rsidRDefault="00506CD6">
      <w:pPr>
        <w:jc w:val="center"/>
      </w:pPr>
      <w:r>
        <w:rPr>
          <w:rFonts w:ascii="Times New Roman" w:eastAsia="宋体" w:hAnsi="Times New Roman"/>
          <w:color w:val="000000"/>
          <w:sz w:val="20"/>
          <w:szCs w:val="20"/>
        </w:rPr>
        <w:t>72</w:t>
      </w:r>
    </w:p>
    <w:p w14:paraId="33DADA7B" w14:textId="77777777" w:rsidR="004D6A64" w:rsidRDefault="004D6A64">
      <w:pPr>
        <w:jc w:val="center"/>
      </w:pPr>
    </w:p>
    <w:p w14:paraId="33DADA7C" w14:textId="77777777" w:rsidR="004D6A64" w:rsidRDefault="00506CD6">
      <w:r>
        <w:pict w14:anchorId="33DAFB0C">
          <v:rect id="_x0000_i1096" style="width:415.3pt;height:1.5pt" o:hralign="center" o:hrstd="t" o:hr="t" fillcolor="#a0a0a0" stroked="f"/>
        </w:pict>
      </w:r>
    </w:p>
    <w:p w14:paraId="33DADA7D" w14:textId="77777777" w:rsidR="004D6A64" w:rsidRDefault="00506CD6">
      <w:hyperlink r:id="rId195" w:anchor="if3e0e1bf9ecd4bf69551d7a85f98d64a_10" w:history="1">
        <w:r>
          <w:rPr>
            <w:rStyle w:val="a5"/>
            <w:rFonts w:ascii="Times New Roman" w:eastAsia="宋体" w:hAnsi="Times New Roman"/>
            <w:sz w:val="20"/>
            <w:szCs w:val="20"/>
          </w:rPr>
          <w:t>Table of Contents</w:t>
        </w:r>
      </w:hyperlink>
    </w:p>
    <w:p w14:paraId="33DADA7E" w14:textId="77777777" w:rsidR="004D6A64" w:rsidRDefault="00506CD6">
      <w:pPr>
        <w:pBdr>
          <w:left w:val="none" w:sz="0" w:space="0" w:color="auto"/>
        </w:pBdr>
      </w:pPr>
      <w:r>
        <w:rPr>
          <w:rFonts w:ascii="Times New Roman" w:eastAsia="宋体" w:hAnsi="Times New Roman"/>
          <w:color w:val="000000"/>
          <w:sz w:val="20"/>
          <w:szCs w:val="20"/>
        </w:rPr>
        <w:t>the seco</w:t>
      </w:r>
      <w:r>
        <w:rPr>
          <w:rFonts w:ascii="Times New Roman" w:eastAsia="宋体" w:hAnsi="Times New Roman"/>
          <w:color w:val="000000"/>
          <w:sz w:val="20"/>
          <w:szCs w:val="20"/>
        </w:rPr>
        <w:t>nd quarter and first six months of Fiscal 2020, this category includes Virtustream gross impairment charges of $619 million.</w:t>
      </w:r>
    </w:p>
    <w:p w14:paraId="33DADA7F" w14:textId="77777777" w:rsidR="004D6A64" w:rsidRDefault="004D6A64">
      <w:pPr>
        <w:pBdr>
          <w:left w:val="none" w:sz="0" w:space="0" w:color="auto"/>
        </w:pBdr>
      </w:pPr>
    </w:p>
    <w:p w14:paraId="33DADA80" w14:textId="77777777" w:rsidR="004D6A64" w:rsidRDefault="00506CD6">
      <w:pPr>
        <w:pBdr>
          <w:left w:val="none" w:sz="0" w:space="0" w:color="auto"/>
        </w:pBd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u w:val="single"/>
        </w:rPr>
        <w:t>Fair Value Adjustments on Equity Investments</w:t>
      </w:r>
      <w:r>
        <w:rPr>
          <w:rFonts w:ascii="Times New Roman" w:eastAsia="宋体" w:hAnsi="Times New Roman"/>
          <w:color w:val="000000"/>
          <w:sz w:val="20"/>
          <w:szCs w:val="20"/>
        </w:rPr>
        <w:t xml:space="preserve"> — Fair value adjustments on equity investments primarily consists of the gain (loss) on strategic investments, which includes the recurring fair value adjustments of investments in publicly-traded companies, as well as those in privately-held companies, w</w:t>
      </w:r>
      <w:r>
        <w:rPr>
          <w:rFonts w:ascii="Times New Roman" w:eastAsia="宋体" w:hAnsi="Times New Roman"/>
          <w:color w:val="000000"/>
          <w:sz w:val="20"/>
          <w:szCs w:val="20"/>
        </w:rPr>
        <w:t>hich are adjusted for observable price changes and, to a lesser extent, any potential impairments. Given the volatility in the ongoing adjustments to the valuation of these strategic investments, we believe that excluding these gains and losses for purpose</w:t>
      </w:r>
      <w:r>
        <w:rPr>
          <w:rFonts w:ascii="Times New Roman" w:eastAsia="宋体" w:hAnsi="Times New Roman"/>
          <w:color w:val="000000"/>
          <w:sz w:val="20"/>
          <w:szCs w:val="20"/>
        </w:rPr>
        <w:t>s of calculating non-GAAP net income presented below facilitates a more meaningful evaluation of our current operating performance and comparisons to our past operating performance.</w:t>
      </w:r>
    </w:p>
    <w:p w14:paraId="33DADA81" w14:textId="77777777" w:rsidR="004D6A64" w:rsidRDefault="004D6A64">
      <w:pPr>
        <w:pBdr>
          <w:left w:val="none" w:sz="0" w:space="0" w:color="auto"/>
        </w:pBdr>
      </w:pPr>
    </w:p>
    <w:p w14:paraId="33DADA82" w14:textId="77777777" w:rsidR="004D6A64" w:rsidRDefault="00506CD6">
      <w:pPr>
        <w:pBdr>
          <w:left w:val="none" w:sz="0" w:space="0" w:color="auto"/>
        </w:pBd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u w:val="single"/>
        </w:rPr>
        <w:t>Aggregate Adjustment for Income Taxes</w:t>
      </w:r>
      <w:r>
        <w:rPr>
          <w:rFonts w:ascii="Times New Roman" w:eastAsia="宋体" w:hAnsi="Times New Roman"/>
          <w:color w:val="000000"/>
          <w:sz w:val="20"/>
          <w:szCs w:val="20"/>
        </w:rPr>
        <w:t xml:space="preserve"> — The aggregate adjustment for inc</w:t>
      </w:r>
      <w:r>
        <w:rPr>
          <w:rFonts w:ascii="Times New Roman" w:eastAsia="宋体" w:hAnsi="Times New Roman"/>
          <w:color w:val="000000"/>
          <w:sz w:val="20"/>
          <w:szCs w:val="20"/>
        </w:rPr>
        <w:t>ome taxes is the estimated combined income tax effect for the adjustments described above, as well as an adjustment for discrete tax items. Due to the variability in recognition of discrete tax items from period to period, we believe that excluding these b</w:t>
      </w:r>
      <w:r>
        <w:rPr>
          <w:rFonts w:ascii="Times New Roman" w:eastAsia="宋体" w:hAnsi="Times New Roman"/>
          <w:color w:val="000000"/>
          <w:sz w:val="20"/>
          <w:szCs w:val="20"/>
        </w:rPr>
        <w:t>enefits or charges for purposes of calculating non-GAAP net income facilitates a more meaningful evaluation of our current operating performance and comparisons to our past operating performance. The tax effects are determined based on the tax jurisdiction</w:t>
      </w:r>
      <w:r>
        <w:rPr>
          <w:rFonts w:ascii="Times New Roman" w:eastAsia="宋体" w:hAnsi="Times New Roman"/>
          <w:color w:val="000000"/>
          <w:sz w:val="20"/>
          <w:szCs w:val="20"/>
        </w:rPr>
        <w:t xml:space="preserve">s where the above items were incurred. This category includes discrete tax benefits of $746 million related to an audit settlement in the second quarter and first six months of Fiscal 2021, and $59 million from an intra-entity asset transfer of certain of </w:t>
      </w:r>
      <w:r>
        <w:rPr>
          <w:rFonts w:ascii="Times New Roman" w:eastAsia="宋体" w:hAnsi="Times New Roman"/>
          <w:color w:val="000000"/>
          <w:sz w:val="20"/>
          <w:szCs w:val="20"/>
        </w:rPr>
        <w:t>Pivotal’s intellectual property to an Irish subsidiary that was completed by VMware, Inc. during the first six months of Fiscal 2021. This category also includes discrete tax benefits of $4.5 billion and $4.9 billion related to similar intra-entity asset t</w:t>
      </w:r>
      <w:r>
        <w:rPr>
          <w:rFonts w:ascii="Times New Roman" w:eastAsia="宋体" w:hAnsi="Times New Roman"/>
          <w:color w:val="000000"/>
          <w:sz w:val="20"/>
          <w:szCs w:val="20"/>
        </w:rPr>
        <w:t>ransfers in the second quarter and first six months of Fiscal 2020, respectively. See Note 11 of the Notes to the Condensed Consolidated Financial Statements for additional information about our income taxes.</w:t>
      </w:r>
    </w:p>
    <w:p w14:paraId="33DADA83" w14:textId="77777777" w:rsidR="004D6A64" w:rsidRDefault="004D6A64"/>
    <w:p w14:paraId="33DADA84" w14:textId="77777777" w:rsidR="004D6A64" w:rsidRDefault="004D6A64">
      <w:pPr>
        <w:jc w:val="center"/>
      </w:pPr>
    </w:p>
    <w:p w14:paraId="33DADA85" w14:textId="77777777" w:rsidR="004D6A64" w:rsidRDefault="00506CD6">
      <w:pPr>
        <w:jc w:val="center"/>
      </w:pPr>
      <w:r>
        <w:rPr>
          <w:rFonts w:ascii="Times New Roman" w:eastAsia="宋体" w:hAnsi="Times New Roman"/>
          <w:color w:val="000000"/>
          <w:sz w:val="20"/>
          <w:szCs w:val="20"/>
        </w:rPr>
        <w:t>73</w:t>
      </w:r>
    </w:p>
    <w:p w14:paraId="33DADA86" w14:textId="77777777" w:rsidR="004D6A64" w:rsidRDefault="004D6A64">
      <w:pPr>
        <w:jc w:val="center"/>
      </w:pPr>
    </w:p>
    <w:p w14:paraId="33DADA87" w14:textId="77777777" w:rsidR="004D6A64" w:rsidRDefault="00506CD6">
      <w:r>
        <w:pict w14:anchorId="33DAFB0D">
          <v:rect id="_x0000_i1097" style="width:415.3pt;height:1.5pt" o:hralign="center" o:hrstd="t" o:hr="t" fillcolor="#a0a0a0" stroked="f"/>
        </w:pict>
      </w:r>
    </w:p>
    <w:p w14:paraId="33DADA88" w14:textId="77777777" w:rsidR="004D6A64" w:rsidRDefault="00506CD6">
      <w:hyperlink r:id="rId196" w:anchor="if3e0e1bf9ecd4bf69551d7a85f98d64a_10" w:history="1">
        <w:r>
          <w:rPr>
            <w:rStyle w:val="a5"/>
            <w:rFonts w:ascii="Times New Roman" w:eastAsia="宋体" w:hAnsi="Times New Roman"/>
            <w:sz w:val="20"/>
            <w:szCs w:val="20"/>
          </w:rPr>
          <w:t>Table of Contents</w:t>
        </w:r>
      </w:hyperlink>
    </w:p>
    <w:p w14:paraId="33DADA89" w14:textId="77777777" w:rsidR="004D6A64" w:rsidRDefault="00506CD6">
      <w:r>
        <w:rPr>
          <w:rFonts w:ascii="Times New Roman" w:eastAsia="宋体" w:hAnsi="Times New Roman"/>
          <w:color w:val="000000"/>
          <w:sz w:val="20"/>
          <w:szCs w:val="20"/>
        </w:rPr>
        <w:t>The table below presents a reconciliation of each non-GAAP financial measure to the most directly comparable GAAP measure f</w:t>
      </w:r>
      <w:r>
        <w:rPr>
          <w:rFonts w:ascii="Times New Roman" w:eastAsia="宋体" w:hAnsi="Times New Roman"/>
          <w:color w:val="000000"/>
          <w:sz w:val="20"/>
          <w:szCs w:val="20"/>
        </w:rPr>
        <w:t xml:space="preserve">or </w:t>
      </w:r>
      <w:r>
        <w:rPr>
          <w:rFonts w:ascii="Times New Roman" w:eastAsia="宋体" w:hAnsi="Times New Roman"/>
          <w:color w:val="000000"/>
          <w:sz w:val="20"/>
          <w:szCs w:val="20"/>
          <w:shd w:val="clear" w:color="auto" w:fill="FFFFFF"/>
        </w:rPr>
        <w:t xml:space="preserve">the </w:t>
      </w:r>
      <w:r>
        <w:rPr>
          <w:rFonts w:ascii="Times New Roman" w:eastAsia="宋体" w:hAnsi="Times New Roman"/>
          <w:color w:val="000000"/>
          <w:sz w:val="20"/>
          <w:szCs w:val="20"/>
        </w:rPr>
        <w:t>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3"/>
        <w:gridCol w:w="1790"/>
        <w:gridCol w:w="39"/>
        <w:gridCol w:w="135"/>
        <w:gridCol w:w="615"/>
        <w:gridCol w:w="41"/>
        <w:gridCol w:w="36"/>
        <w:gridCol w:w="36"/>
        <w:gridCol w:w="36"/>
        <w:gridCol w:w="92"/>
        <w:gridCol w:w="595"/>
        <w:gridCol w:w="202"/>
        <w:gridCol w:w="36"/>
        <w:gridCol w:w="36"/>
        <w:gridCol w:w="36"/>
        <w:gridCol w:w="135"/>
        <w:gridCol w:w="615"/>
        <w:gridCol w:w="41"/>
        <w:gridCol w:w="36"/>
        <w:gridCol w:w="36"/>
        <w:gridCol w:w="36"/>
        <w:gridCol w:w="135"/>
        <w:gridCol w:w="615"/>
        <w:gridCol w:w="41"/>
        <w:gridCol w:w="36"/>
        <w:gridCol w:w="36"/>
        <w:gridCol w:w="36"/>
        <w:gridCol w:w="92"/>
        <w:gridCol w:w="595"/>
        <w:gridCol w:w="202"/>
        <w:gridCol w:w="36"/>
        <w:gridCol w:w="36"/>
        <w:gridCol w:w="36"/>
        <w:gridCol w:w="135"/>
        <w:gridCol w:w="615"/>
        <w:gridCol w:w="4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4D6A64" w14:paraId="33DADAAE" w14:textId="77777777">
        <w:trPr>
          <w:gridAfter w:val="27"/>
          <w:jc w:val="center"/>
        </w:trPr>
        <w:tc>
          <w:tcPr>
            <w:tcW w:w="50" w:type="pct"/>
            <w:shd w:val="clear" w:color="auto" w:fill="auto"/>
          </w:tcPr>
          <w:p w14:paraId="33DADA8A" w14:textId="77777777" w:rsidR="004D6A64" w:rsidRDefault="004D6A64">
            <w:pPr>
              <w:rPr>
                <w:rFonts w:ascii="宋体"/>
              </w:rPr>
            </w:pPr>
          </w:p>
        </w:tc>
        <w:tc>
          <w:tcPr>
            <w:tcW w:w="1670" w:type="pct"/>
            <w:shd w:val="clear" w:color="auto" w:fill="auto"/>
          </w:tcPr>
          <w:p w14:paraId="33DADA8B" w14:textId="77777777" w:rsidR="004D6A64" w:rsidRDefault="004D6A64">
            <w:pPr>
              <w:rPr>
                <w:rFonts w:ascii="宋体"/>
              </w:rPr>
            </w:pPr>
          </w:p>
        </w:tc>
        <w:tc>
          <w:tcPr>
            <w:tcW w:w="5" w:type="pct"/>
            <w:shd w:val="clear" w:color="auto" w:fill="auto"/>
          </w:tcPr>
          <w:p w14:paraId="33DADA8C" w14:textId="77777777" w:rsidR="004D6A64" w:rsidRDefault="004D6A64">
            <w:pPr>
              <w:rPr>
                <w:rFonts w:ascii="宋体"/>
              </w:rPr>
            </w:pPr>
          </w:p>
        </w:tc>
        <w:tc>
          <w:tcPr>
            <w:tcW w:w="50" w:type="pct"/>
            <w:shd w:val="clear" w:color="auto" w:fill="auto"/>
          </w:tcPr>
          <w:p w14:paraId="33DADA8D" w14:textId="77777777" w:rsidR="004D6A64" w:rsidRDefault="004D6A64">
            <w:pPr>
              <w:rPr>
                <w:rFonts w:ascii="宋体"/>
              </w:rPr>
            </w:pPr>
          </w:p>
        </w:tc>
        <w:tc>
          <w:tcPr>
            <w:tcW w:w="537" w:type="pct"/>
            <w:shd w:val="clear" w:color="auto" w:fill="auto"/>
          </w:tcPr>
          <w:p w14:paraId="33DADA8E" w14:textId="77777777" w:rsidR="004D6A64" w:rsidRDefault="004D6A64">
            <w:pPr>
              <w:rPr>
                <w:rFonts w:ascii="宋体"/>
              </w:rPr>
            </w:pPr>
          </w:p>
        </w:tc>
        <w:tc>
          <w:tcPr>
            <w:tcW w:w="5" w:type="pct"/>
            <w:shd w:val="clear" w:color="auto" w:fill="auto"/>
          </w:tcPr>
          <w:p w14:paraId="33DADA8F" w14:textId="77777777" w:rsidR="004D6A64" w:rsidRDefault="004D6A64">
            <w:pPr>
              <w:rPr>
                <w:rFonts w:ascii="宋体"/>
              </w:rPr>
            </w:pPr>
          </w:p>
        </w:tc>
        <w:tc>
          <w:tcPr>
            <w:tcW w:w="5" w:type="pct"/>
            <w:shd w:val="clear" w:color="auto" w:fill="auto"/>
          </w:tcPr>
          <w:p w14:paraId="33DADA90" w14:textId="77777777" w:rsidR="004D6A64" w:rsidRDefault="004D6A64">
            <w:pPr>
              <w:rPr>
                <w:rFonts w:ascii="宋体"/>
              </w:rPr>
            </w:pPr>
          </w:p>
        </w:tc>
        <w:tc>
          <w:tcPr>
            <w:tcW w:w="19" w:type="pct"/>
            <w:shd w:val="clear" w:color="auto" w:fill="auto"/>
          </w:tcPr>
          <w:p w14:paraId="33DADA91" w14:textId="77777777" w:rsidR="004D6A64" w:rsidRDefault="004D6A64">
            <w:pPr>
              <w:rPr>
                <w:rFonts w:ascii="宋体"/>
              </w:rPr>
            </w:pPr>
          </w:p>
        </w:tc>
        <w:tc>
          <w:tcPr>
            <w:tcW w:w="5" w:type="pct"/>
            <w:shd w:val="clear" w:color="auto" w:fill="auto"/>
          </w:tcPr>
          <w:p w14:paraId="33DADA92" w14:textId="77777777" w:rsidR="004D6A64" w:rsidRDefault="004D6A64">
            <w:pPr>
              <w:rPr>
                <w:rFonts w:ascii="宋体"/>
              </w:rPr>
            </w:pPr>
          </w:p>
        </w:tc>
        <w:tc>
          <w:tcPr>
            <w:tcW w:w="50" w:type="pct"/>
            <w:shd w:val="clear" w:color="auto" w:fill="auto"/>
          </w:tcPr>
          <w:p w14:paraId="33DADA93" w14:textId="77777777" w:rsidR="004D6A64" w:rsidRDefault="004D6A64">
            <w:pPr>
              <w:rPr>
                <w:rFonts w:ascii="宋体"/>
              </w:rPr>
            </w:pPr>
          </w:p>
        </w:tc>
        <w:tc>
          <w:tcPr>
            <w:tcW w:w="325" w:type="pct"/>
            <w:shd w:val="clear" w:color="auto" w:fill="auto"/>
          </w:tcPr>
          <w:p w14:paraId="33DADA94" w14:textId="77777777" w:rsidR="004D6A64" w:rsidRDefault="004D6A64">
            <w:pPr>
              <w:rPr>
                <w:rFonts w:ascii="宋体"/>
              </w:rPr>
            </w:pPr>
          </w:p>
        </w:tc>
        <w:tc>
          <w:tcPr>
            <w:tcW w:w="5" w:type="pct"/>
            <w:shd w:val="clear" w:color="auto" w:fill="auto"/>
          </w:tcPr>
          <w:p w14:paraId="33DADA95" w14:textId="77777777" w:rsidR="004D6A64" w:rsidRDefault="004D6A64">
            <w:pPr>
              <w:rPr>
                <w:rFonts w:ascii="宋体"/>
              </w:rPr>
            </w:pPr>
          </w:p>
        </w:tc>
        <w:tc>
          <w:tcPr>
            <w:tcW w:w="5" w:type="pct"/>
            <w:shd w:val="clear" w:color="auto" w:fill="auto"/>
          </w:tcPr>
          <w:p w14:paraId="33DADA96" w14:textId="77777777" w:rsidR="004D6A64" w:rsidRDefault="004D6A64">
            <w:pPr>
              <w:rPr>
                <w:rFonts w:ascii="宋体"/>
              </w:rPr>
            </w:pPr>
          </w:p>
        </w:tc>
        <w:tc>
          <w:tcPr>
            <w:tcW w:w="19" w:type="pct"/>
            <w:shd w:val="clear" w:color="auto" w:fill="auto"/>
          </w:tcPr>
          <w:p w14:paraId="33DADA97" w14:textId="77777777" w:rsidR="004D6A64" w:rsidRDefault="004D6A64">
            <w:pPr>
              <w:rPr>
                <w:rFonts w:ascii="宋体"/>
              </w:rPr>
            </w:pPr>
          </w:p>
        </w:tc>
        <w:tc>
          <w:tcPr>
            <w:tcW w:w="5" w:type="pct"/>
            <w:shd w:val="clear" w:color="auto" w:fill="auto"/>
          </w:tcPr>
          <w:p w14:paraId="33DADA98" w14:textId="77777777" w:rsidR="004D6A64" w:rsidRDefault="004D6A64">
            <w:pPr>
              <w:rPr>
                <w:rFonts w:ascii="宋体"/>
              </w:rPr>
            </w:pPr>
          </w:p>
        </w:tc>
        <w:tc>
          <w:tcPr>
            <w:tcW w:w="50" w:type="pct"/>
            <w:shd w:val="clear" w:color="auto" w:fill="auto"/>
          </w:tcPr>
          <w:p w14:paraId="33DADA99" w14:textId="77777777" w:rsidR="004D6A64" w:rsidRDefault="004D6A64">
            <w:pPr>
              <w:rPr>
                <w:rFonts w:ascii="宋体"/>
              </w:rPr>
            </w:pPr>
          </w:p>
        </w:tc>
        <w:tc>
          <w:tcPr>
            <w:tcW w:w="537" w:type="pct"/>
            <w:shd w:val="clear" w:color="auto" w:fill="auto"/>
          </w:tcPr>
          <w:p w14:paraId="33DADA9A" w14:textId="77777777" w:rsidR="004D6A64" w:rsidRDefault="004D6A64">
            <w:pPr>
              <w:rPr>
                <w:rFonts w:ascii="宋体"/>
              </w:rPr>
            </w:pPr>
          </w:p>
        </w:tc>
        <w:tc>
          <w:tcPr>
            <w:tcW w:w="5" w:type="pct"/>
            <w:shd w:val="clear" w:color="auto" w:fill="auto"/>
          </w:tcPr>
          <w:p w14:paraId="33DADA9B" w14:textId="77777777" w:rsidR="004D6A64" w:rsidRDefault="004D6A64">
            <w:pPr>
              <w:rPr>
                <w:rFonts w:ascii="宋体"/>
              </w:rPr>
            </w:pPr>
          </w:p>
        </w:tc>
        <w:tc>
          <w:tcPr>
            <w:tcW w:w="5" w:type="pct"/>
            <w:shd w:val="clear" w:color="auto" w:fill="auto"/>
          </w:tcPr>
          <w:p w14:paraId="33DADA9C" w14:textId="77777777" w:rsidR="004D6A64" w:rsidRDefault="004D6A64">
            <w:pPr>
              <w:rPr>
                <w:rFonts w:ascii="宋体"/>
              </w:rPr>
            </w:pPr>
          </w:p>
        </w:tc>
        <w:tc>
          <w:tcPr>
            <w:tcW w:w="19" w:type="pct"/>
            <w:shd w:val="clear" w:color="auto" w:fill="auto"/>
          </w:tcPr>
          <w:p w14:paraId="33DADA9D" w14:textId="77777777" w:rsidR="004D6A64" w:rsidRDefault="004D6A64">
            <w:pPr>
              <w:rPr>
                <w:rFonts w:ascii="宋体"/>
              </w:rPr>
            </w:pPr>
          </w:p>
        </w:tc>
        <w:tc>
          <w:tcPr>
            <w:tcW w:w="5" w:type="pct"/>
            <w:shd w:val="clear" w:color="auto" w:fill="auto"/>
          </w:tcPr>
          <w:p w14:paraId="33DADA9E" w14:textId="77777777" w:rsidR="004D6A64" w:rsidRDefault="004D6A64">
            <w:pPr>
              <w:rPr>
                <w:rFonts w:ascii="宋体"/>
              </w:rPr>
            </w:pPr>
          </w:p>
        </w:tc>
        <w:tc>
          <w:tcPr>
            <w:tcW w:w="50" w:type="pct"/>
            <w:shd w:val="clear" w:color="auto" w:fill="auto"/>
          </w:tcPr>
          <w:p w14:paraId="33DADA9F" w14:textId="77777777" w:rsidR="004D6A64" w:rsidRDefault="004D6A64">
            <w:pPr>
              <w:rPr>
                <w:rFonts w:ascii="宋体"/>
              </w:rPr>
            </w:pPr>
          </w:p>
        </w:tc>
        <w:tc>
          <w:tcPr>
            <w:tcW w:w="537" w:type="pct"/>
            <w:shd w:val="clear" w:color="auto" w:fill="auto"/>
          </w:tcPr>
          <w:p w14:paraId="33DADAA0" w14:textId="77777777" w:rsidR="004D6A64" w:rsidRDefault="004D6A64">
            <w:pPr>
              <w:rPr>
                <w:rFonts w:ascii="宋体"/>
              </w:rPr>
            </w:pPr>
          </w:p>
        </w:tc>
        <w:tc>
          <w:tcPr>
            <w:tcW w:w="5" w:type="pct"/>
            <w:shd w:val="clear" w:color="auto" w:fill="auto"/>
          </w:tcPr>
          <w:p w14:paraId="33DADAA1" w14:textId="77777777" w:rsidR="004D6A64" w:rsidRDefault="004D6A64">
            <w:pPr>
              <w:rPr>
                <w:rFonts w:ascii="宋体"/>
              </w:rPr>
            </w:pPr>
          </w:p>
        </w:tc>
        <w:tc>
          <w:tcPr>
            <w:tcW w:w="5" w:type="pct"/>
            <w:shd w:val="clear" w:color="auto" w:fill="auto"/>
          </w:tcPr>
          <w:p w14:paraId="33DADAA2" w14:textId="77777777" w:rsidR="004D6A64" w:rsidRDefault="004D6A64">
            <w:pPr>
              <w:rPr>
                <w:rFonts w:ascii="宋体"/>
              </w:rPr>
            </w:pPr>
          </w:p>
        </w:tc>
        <w:tc>
          <w:tcPr>
            <w:tcW w:w="19" w:type="pct"/>
            <w:shd w:val="clear" w:color="auto" w:fill="auto"/>
          </w:tcPr>
          <w:p w14:paraId="33DADAA3" w14:textId="77777777" w:rsidR="004D6A64" w:rsidRDefault="004D6A64">
            <w:pPr>
              <w:rPr>
                <w:rFonts w:ascii="宋体"/>
              </w:rPr>
            </w:pPr>
          </w:p>
        </w:tc>
        <w:tc>
          <w:tcPr>
            <w:tcW w:w="5" w:type="pct"/>
            <w:shd w:val="clear" w:color="auto" w:fill="auto"/>
          </w:tcPr>
          <w:p w14:paraId="33DADAA4" w14:textId="77777777" w:rsidR="004D6A64" w:rsidRDefault="004D6A64">
            <w:pPr>
              <w:rPr>
                <w:rFonts w:ascii="宋体"/>
              </w:rPr>
            </w:pPr>
          </w:p>
        </w:tc>
        <w:tc>
          <w:tcPr>
            <w:tcW w:w="50" w:type="pct"/>
            <w:shd w:val="clear" w:color="auto" w:fill="auto"/>
          </w:tcPr>
          <w:p w14:paraId="33DADAA5" w14:textId="77777777" w:rsidR="004D6A64" w:rsidRDefault="004D6A64">
            <w:pPr>
              <w:rPr>
                <w:rFonts w:ascii="宋体"/>
              </w:rPr>
            </w:pPr>
          </w:p>
        </w:tc>
        <w:tc>
          <w:tcPr>
            <w:tcW w:w="325" w:type="pct"/>
            <w:shd w:val="clear" w:color="auto" w:fill="auto"/>
          </w:tcPr>
          <w:p w14:paraId="33DADAA6" w14:textId="77777777" w:rsidR="004D6A64" w:rsidRDefault="004D6A64">
            <w:pPr>
              <w:rPr>
                <w:rFonts w:ascii="宋体"/>
              </w:rPr>
            </w:pPr>
          </w:p>
        </w:tc>
        <w:tc>
          <w:tcPr>
            <w:tcW w:w="5" w:type="pct"/>
            <w:shd w:val="clear" w:color="auto" w:fill="auto"/>
          </w:tcPr>
          <w:p w14:paraId="33DADAA7" w14:textId="77777777" w:rsidR="004D6A64" w:rsidRDefault="004D6A64">
            <w:pPr>
              <w:rPr>
                <w:rFonts w:ascii="宋体"/>
              </w:rPr>
            </w:pPr>
          </w:p>
        </w:tc>
        <w:tc>
          <w:tcPr>
            <w:tcW w:w="5" w:type="pct"/>
            <w:shd w:val="clear" w:color="auto" w:fill="auto"/>
          </w:tcPr>
          <w:p w14:paraId="33DADAA8" w14:textId="77777777" w:rsidR="004D6A64" w:rsidRDefault="004D6A64">
            <w:pPr>
              <w:rPr>
                <w:rFonts w:ascii="宋体"/>
              </w:rPr>
            </w:pPr>
          </w:p>
        </w:tc>
        <w:tc>
          <w:tcPr>
            <w:tcW w:w="19" w:type="pct"/>
            <w:shd w:val="clear" w:color="auto" w:fill="auto"/>
          </w:tcPr>
          <w:p w14:paraId="33DADAA9" w14:textId="77777777" w:rsidR="004D6A64" w:rsidRDefault="004D6A64">
            <w:pPr>
              <w:rPr>
                <w:rFonts w:ascii="宋体"/>
              </w:rPr>
            </w:pPr>
          </w:p>
        </w:tc>
        <w:tc>
          <w:tcPr>
            <w:tcW w:w="5" w:type="pct"/>
            <w:shd w:val="clear" w:color="auto" w:fill="auto"/>
          </w:tcPr>
          <w:p w14:paraId="33DADAAA" w14:textId="77777777" w:rsidR="004D6A64" w:rsidRDefault="004D6A64">
            <w:pPr>
              <w:rPr>
                <w:rFonts w:ascii="宋体"/>
              </w:rPr>
            </w:pPr>
          </w:p>
        </w:tc>
        <w:tc>
          <w:tcPr>
            <w:tcW w:w="50" w:type="pct"/>
            <w:shd w:val="clear" w:color="auto" w:fill="auto"/>
          </w:tcPr>
          <w:p w14:paraId="33DADAAB" w14:textId="77777777" w:rsidR="004D6A64" w:rsidRDefault="004D6A64">
            <w:pPr>
              <w:rPr>
                <w:rFonts w:ascii="宋体"/>
              </w:rPr>
            </w:pPr>
          </w:p>
        </w:tc>
        <w:tc>
          <w:tcPr>
            <w:tcW w:w="537" w:type="pct"/>
            <w:shd w:val="clear" w:color="auto" w:fill="auto"/>
          </w:tcPr>
          <w:p w14:paraId="33DADAAC" w14:textId="77777777" w:rsidR="004D6A64" w:rsidRDefault="004D6A64">
            <w:pPr>
              <w:rPr>
                <w:rFonts w:ascii="宋体"/>
              </w:rPr>
            </w:pPr>
          </w:p>
        </w:tc>
        <w:tc>
          <w:tcPr>
            <w:tcW w:w="5" w:type="pct"/>
            <w:shd w:val="clear" w:color="auto" w:fill="auto"/>
          </w:tcPr>
          <w:p w14:paraId="33DADAAD" w14:textId="77777777" w:rsidR="004D6A64" w:rsidRDefault="004D6A64">
            <w:pPr>
              <w:rPr>
                <w:rFonts w:ascii="宋体"/>
              </w:rPr>
            </w:pPr>
          </w:p>
        </w:tc>
      </w:tr>
      <w:tr w:rsidR="004D6A64" w14:paraId="33DADABB" w14:textId="77777777">
        <w:trPr>
          <w:gridAfter w:val="3"/>
          <w:jc w:val="center"/>
        </w:trPr>
        <w:tc>
          <w:tcPr>
            <w:tcW w:w="0" w:type="auto"/>
            <w:gridSpan w:val="3"/>
            <w:shd w:val="clear" w:color="auto" w:fill="auto"/>
            <w:tcMar>
              <w:left w:w="20" w:type="dxa"/>
              <w:right w:w="20" w:type="dxa"/>
            </w:tcMar>
            <w:vAlign w:val="bottom"/>
          </w:tcPr>
          <w:p w14:paraId="33DADAAF" w14:textId="77777777" w:rsidR="004D6A64" w:rsidRDefault="004D6A64">
            <w:pPr>
              <w:rPr>
                <w:rFonts w:ascii="宋体"/>
              </w:rPr>
            </w:pPr>
          </w:p>
        </w:tc>
        <w:tc>
          <w:tcPr>
            <w:tcW w:w="0" w:type="auto"/>
            <w:gridSpan w:val="15"/>
            <w:shd w:val="clear" w:color="auto" w:fill="auto"/>
            <w:tcMar>
              <w:top w:w="40" w:type="dxa"/>
              <w:left w:w="20" w:type="dxa"/>
              <w:bottom w:w="40" w:type="dxa"/>
              <w:right w:w="20" w:type="dxa"/>
            </w:tcMar>
            <w:vAlign w:val="bottom"/>
          </w:tcPr>
          <w:p w14:paraId="33DADAB0" w14:textId="77777777" w:rsidR="004D6A64" w:rsidRDefault="00506CD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Pr>
          <w:p w14:paraId="33DADAB1" w14:textId="77777777" w:rsidR="004D6A64" w:rsidRDefault="004D6A64">
            <w:pPr>
              <w:rPr>
                <w:rFonts w:ascii="宋体"/>
                <w:vanish/>
              </w:rPr>
            </w:pPr>
          </w:p>
        </w:tc>
        <w:tc>
          <w:tcPr>
            <w:tcW w:w="0" w:type="auto"/>
            <w:gridSpan w:val="3"/>
            <w:shd w:val="clear" w:color="auto" w:fill="auto"/>
          </w:tcPr>
          <w:p w14:paraId="33DADAB2" w14:textId="77777777" w:rsidR="004D6A64" w:rsidRDefault="004D6A64">
            <w:pPr>
              <w:rPr>
                <w:rFonts w:ascii="宋体"/>
                <w:vanish/>
              </w:rPr>
            </w:pPr>
          </w:p>
        </w:tc>
        <w:tc>
          <w:tcPr>
            <w:tcW w:w="0" w:type="auto"/>
            <w:gridSpan w:val="3"/>
            <w:shd w:val="clear" w:color="auto" w:fill="auto"/>
          </w:tcPr>
          <w:p w14:paraId="33DADAB3" w14:textId="77777777" w:rsidR="004D6A64" w:rsidRDefault="004D6A64">
            <w:pPr>
              <w:rPr>
                <w:rFonts w:ascii="宋体"/>
                <w:vanish/>
              </w:rPr>
            </w:pPr>
          </w:p>
        </w:tc>
        <w:tc>
          <w:tcPr>
            <w:tcW w:w="0" w:type="auto"/>
            <w:gridSpan w:val="3"/>
            <w:shd w:val="clear" w:color="auto" w:fill="auto"/>
          </w:tcPr>
          <w:p w14:paraId="33DADAB4"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DAB5" w14:textId="77777777" w:rsidR="004D6A64" w:rsidRDefault="004D6A64">
            <w:pPr>
              <w:rPr>
                <w:rFonts w:ascii="宋体"/>
              </w:rPr>
            </w:pPr>
          </w:p>
        </w:tc>
        <w:tc>
          <w:tcPr>
            <w:tcW w:w="0" w:type="auto"/>
            <w:gridSpan w:val="15"/>
            <w:shd w:val="clear" w:color="auto" w:fill="auto"/>
            <w:tcMar>
              <w:top w:w="40" w:type="dxa"/>
              <w:left w:w="20" w:type="dxa"/>
              <w:bottom w:w="40" w:type="dxa"/>
              <w:right w:w="20" w:type="dxa"/>
            </w:tcMar>
            <w:vAlign w:val="bottom"/>
          </w:tcPr>
          <w:p w14:paraId="33DADAB6" w14:textId="77777777" w:rsidR="004D6A64" w:rsidRDefault="00506CD6">
            <w:pPr>
              <w:jc w:val="center"/>
              <w:textAlignment w:val="bottom"/>
            </w:pPr>
            <w:r>
              <w:rPr>
                <w:rFonts w:ascii="Times New Roman" w:eastAsia="宋体" w:hAnsi="Times New Roman"/>
                <w:b/>
                <w:bCs/>
                <w:color w:val="000000"/>
                <w:sz w:val="20"/>
                <w:szCs w:val="20"/>
              </w:rPr>
              <w:t>Six Months Ended</w:t>
            </w:r>
          </w:p>
        </w:tc>
        <w:tc>
          <w:tcPr>
            <w:tcW w:w="0" w:type="auto"/>
            <w:gridSpan w:val="3"/>
            <w:shd w:val="clear" w:color="auto" w:fill="auto"/>
          </w:tcPr>
          <w:p w14:paraId="33DADAB7" w14:textId="77777777" w:rsidR="004D6A64" w:rsidRDefault="004D6A64">
            <w:pPr>
              <w:rPr>
                <w:rFonts w:ascii="宋体"/>
                <w:vanish/>
              </w:rPr>
            </w:pPr>
          </w:p>
        </w:tc>
        <w:tc>
          <w:tcPr>
            <w:tcW w:w="0" w:type="auto"/>
            <w:gridSpan w:val="3"/>
            <w:shd w:val="clear" w:color="auto" w:fill="auto"/>
          </w:tcPr>
          <w:p w14:paraId="33DADAB8" w14:textId="77777777" w:rsidR="004D6A64" w:rsidRDefault="004D6A64">
            <w:pPr>
              <w:rPr>
                <w:rFonts w:ascii="宋体"/>
                <w:vanish/>
              </w:rPr>
            </w:pPr>
          </w:p>
        </w:tc>
        <w:tc>
          <w:tcPr>
            <w:tcW w:w="0" w:type="auto"/>
            <w:gridSpan w:val="3"/>
            <w:shd w:val="clear" w:color="auto" w:fill="auto"/>
          </w:tcPr>
          <w:p w14:paraId="33DADAB9" w14:textId="77777777" w:rsidR="004D6A64" w:rsidRDefault="004D6A64">
            <w:pPr>
              <w:rPr>
                <w:rFonts w:ascii="宋体"/>
                <w:vanish/>
              </w:rPr>
            </w:pPr>
          </w:p>
        </w:tc>
        <w:tc>
          <w:tcPr>
            <w:tcW w:w="0" w:type="auto"/>
            <w:gridSpan w:val="3"/>
            <w:shd w:val="clear" w:color="auto" w:fill="auto"/>
          </w:tcPr>
          <w:p w14:paraId="33DADABA" w14:textId="77777777" w:rsidR="004D6A64" w:rsidRDefault="004D6A64">
            <w:pPr>
              <w:rPr>
                <w:rFonts w:ascii="宋体"/>
                <w:vanish/>
              </w:rPr>
            </w:pPr>
          </w:p>
        </w:tc>
      </w:tr>
      <w:tr w:rsidR="004D6A64" w14:paraId="33DADAE0" w14:textId="77777777">
        <w:trPr>
          <w:gridAfter w:val="3"/>
          <w:jc w:val="center"/>
        </w:trPr>
        <w:tc>
          <w:tcPr>
            <w:tcW w:w="0" w:type="auto"/>
            <w:gridSpan w:val="3"/>
            <w:shd w:val="clear" w:color="auto" w:fill="auto"/>
            <w:tcMar>
              <w:top w:w="40" w:type="dxa"/>
              <w:left w:w="20" w:type="dxa"/>
              <w:bottom w:w="40" w:type="dxa"/>
              <w:right w:w="20" w:type="dxa"/>
            </w:tcMar>
            <w:vAlign w:val="bottom"/>
          </w:tcPr>
          <w:p w14:paraId="33DADABC" w14:textId="77777777" w:rsidR="004D6A64" w:rsidRDefault="00506CD6">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DABD"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DABE"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DABF" w14:textId="77777777" w:rsidR="004D6A64" w:rsidRDefault="00506CD6">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left w:w="20" w:type="dxa"/>
              <w:right w:w="20" w:type="dxa"/>
            </w:tcMar>
            <w:vAlign w:val="bottom"/>
          </w:tcPr>
          <w:p w14:paraId="33DADAC0"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DAC1"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gridSpan w:val="3"/>
            <w:shd w:val="clear" w:color="auto" w:fill="auto"/>
            <w:tcMar>
              <w:left w:w="20" w:type="dxa"/>
              <w:right w:w="20" w:type="dxa"/>
            </w:tcMar>
            <w:vAlign w:val="bottom"/>
          </w:tcPr>
          <w:p w14:paraId="33DADAC2"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DAC3"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DAC4"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DAC5" w14:textId="77777777" w:rsidR="004D6A64" w:rsidRDefault="00506CD6">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left w:w="20" w:type="dxa"/>
              <w:right w:w="20" w:type="dxa"/>
            </w:tcMar>
            <w:vAlign w:val="bottom"/>
          </w:tcPr>
          <w:p w14:paraId="33DADAC6"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DAC7"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shd w:val="clear" w:color="auto" w:fill="auto"/>
          </w:tcPr>
          <w:p w14:paraId="33DADAC8" w14:textId="77777777" w:rsidR="004D6A64" w:rsidRDefault="004D6A64">
            <w:pPr>
              <w:rPr>
                <w:rFonts w:ascii="宋体"/>
              </w:rPr>
            </w:pPr>
          </w:p>
        </w:tc>
        <w:tc>
          <w:tcPr>
            <w:tcW w:w="0" w:type="auto"/>
            <w:shd w:val="clear" w:color="auto" w:fill="auto"/>
          </w:tcPr>
          <w:p w14:paraId="33DADAC9" w14:textId="77777777" w:rsidR="004D6A64" w:rsidRDefault="004D6A64">
            <w:pPr>
              <w:rPr>
                <w:rFonts w:ascii="宋体"/>
              </w:rPr>
            </w:pPr>
          </w:p>
        </w:tc>
        <w:tc>
          <w:tcPr>
            <w:tcW w:w="0" w:type="auto"/>
            <w:shd w:val="clear" w:color="auto" w:fill="auto"/>
          </w:tcPr>
          <w:p w14:paraId="33DADACA" w14:textId="77777777" w:rsidR="004D6A64" w:rsidRDefault="004D6A64">
            <w:pPr>
              <w:rPr>
                <w:rFonts w:ascii="宋体"/>
              </w:rPr>
            </w:pPr>
          </w:p>
        </w:tc>
        <w:tc>
          <w:tcPr>
            <w:tcW w:w="0" w:type="auto"/>
            <w:shd w:val="clear" w:color="auto" w:fill="auto"/>
          </w:tcPr>
          <w:p w14:paraId="33DADACB" w14:textId="77777777" w:rsidR="004D6A64" w:rsidRDefault="004D6A64">
            <w:pPr>
              <w:rPr>
                <w:rFonts w:ascii="宋体"/>
              </w:rPr>
            </w:pPr>
          </w:p>
        </w:tc>
        <w:tc>
          <w:tcPr>
            <w:tcW w:w="0" w:type="auto"/>
            <w:shd w:val="clear" w:color="auto" w:fill="auto"/>
          </w:tcPr>
          <w:p w14:paraId="33DADACC" w14:textId="77777777" w:rsidR="004D6A64" w:rsidRDefault="004D6A64">
            <w:pPr>
              <w:rPr>
                <w:rFonts w:ascii="宋体"/>
              </w:rPr>
            </w:pPr>
          </w:p>
        </w:tc>
        <w:tc>
          <w:tcPr>
            <w:tcW w:w="0" w:type="auto"/>
            <w:shd w:val="clear" w:color="auto" w:fill="auto"/>
          </w:tcPr>
          <w:p w14:paraId="33DADACD" w14:textId="77777777" w:rsidR="004D6A64" w:rsidRDefault="004D6A64">
            <w:pPr>
              <w:rPr>
                <w:rFonts w:ascii="宋体"/>
              </w:rPr>
            </w:pPr>
          </w:p>
        </w:tc>
        <w:tc>
          <w:tcPr>
            <w:tcW w:w="0" w:type="auto"/>
            <w:shd w:val="clear" w:color="auto" w:fill="auto"/>
          </w:tcPr>
          <w:p w14:paraId="33DADACE" w14:textId="77777777" w:rsidR="004D6A64" w:rsidRDefault="004D6A64">
            <w:pPr>
              <w:rPr>
                <w:rFonts w:ascii="宋体"/>
              </w:rPr>
            </w:pPr>
          </w:p>
        </w:tc>
        <w:tc>
          <w:tcPr>
            <w:tcW w:w="0" w:type="auto"/>
            <w:shd w:val="clear" w:color="auto" w:fill="auto"/>
          </w:tcPr>
          <w:p w14:paraId="33DADACF" w14:textId="77777777" w:rsidR="004D6A64" w:rsidRDefault="004D6A64">
            <w:pPr>
              <w:rPr>
                <w:rFonts w:ascii="宋体"/>
              </w:rPr>
            </w:pPr>
          </w:p>
        </w:tc>
        <w:tc>
          <w:tcPr>
            <w:tcW w:w="0" w:type="auto"/>
            <w:shd w:val="clear" w:color="auto" w:fill="auto"/>
          </w:tcPr>
          <w:p w14:paraId="33DADAD0" w14:textId="77777777" w:rsidR="004D6A64" w:rsidRDefault="004D6A64">
            <w:pPr>
              <w:rPr>
                <w:rFonts w:ascii="宋体"/>
              </w:rPr>
            </w:pPr>
          </w:p>
        </w:tc>
        <w:tc>
          <w:tcPr>
            <w:tcW w:w="0" w:type="auto"/>
            <w:shd w:val="clear" w:color="auto" w:fill="auto"/>
          </w:tcPr>
          <w:p w14:paraId="33DADAD1" w14:textId="77777777" w:rsidR="004D6A64" w:rsidRDefault="004D6A64">
            <w:pPr>
              <w:rPr>
                <w:rFonts w:ascii="宋体"/>
              </w:rPr>
            </w:pPr>
          </w:p>
        </w:tc>
        <w:tc>
          <w:tcPr>
            <w:tcW w:w="0" w:type="auto"/>
            <w:shd w:val="clear" w:color="auto" w:fill="auto"/>
          </w:tcPr>
          <w:p w14:paraId="33DADAD2" w14:textId="77777777" w:rsidR="004D6A64" w:rsidRDefault="004D6A64">
            <w:pPr>
              <w:rPr>
                <w:rFonts w:ascii="宋体"/>
              </w:rPr>
            </w:pPr>
          </w:p>
        </w:tc>
        <w:tc>
          <w:tcPr>
            <w:tcW w:w="0" w:type="auto"/>
            <w:shd w:val="clear" w:color="auto" w:fill="auto"/>
          </w:tcPr>
          <w:p w14:paraId="33DADAD3" w14:textId="77777777" w:rsidR="004D6A64" w:rsidRDefault="004D6A64">
            <w:pPr>
              <w:rPr>
                <w:rFonts w:ascii="宋体"/>
              </w:rPr>
            </w:pPr>
          </w:p>
        </w:tc>
        <w:tc>
          <w:tcPr>
            <w:tcW w:w="0" w:type="auto"/>
            <w:shd w:val="clear" w:color="auto" w:fill="auto"/>
          </w:tcPr>
          <w:p w14:paraId="33DADAD4" w14:textId="77777777" w:rsidR="004D6A64" w:rsidRDefault="004D6A64">
            <w:pPr>
              <w:rPr>
                <w:rFonts w:ascii="宋体"/>
              </w:rPr>
            </w:pPr>
          </w:p>
        </w:tc>
        <w:tc>
          <w:tcPr>
            <w:tcW w:w="0" w:type="auto"/>
            <w:shd w:val="clear" w:color="auto" w:fill="auto"/>
          </w:tcPr>
          <w:p w14:paraId="33DADAD5" w14:textId="77777777" w:rsidR="004D6A64" w:rsidRDefault="004D6A64">
            <w:pPr>
              <w:rPr>
                <w:rFonts w:ascii="宋体"/>
              </w:rPr>
            </w:pPr>
          </w:p>
        </w:tc>
        <w:tc>
          <w:tcPr>
            <w:tcW w:w="0" w:type="auto"/>
            <w:shd w:val="clear" w:color="auto" w:fill="auto"/>
          </w:tcPr>
          <w:p w14:paraId="33DADAD6" w14:textId="77777777" w:rsidR="004D6A64" w:rsidRDefault="004D6A64">
            <w:pPr>
              <w:rPr>
                <w:rFonts w:ascii="宋体"/>
              </w:rPr>
            </w:pPr>
          </w:p>
        </w:tc>
        <w:tc>
          <w:tcPr>
            <w:tcW w:w="0" w:type="auto"/>
            <w:shd w:val="clear" w:color="auto" w:fill="auto"/>
          </w:tcPr>
          <w:p w14:paraId="33DADAD7" w14:textId="77777777" w:rsidR="004D6A64" w:rsidRDefault="004D6A64">
            <w:pPr>
              <w:rPr>
                <w:rFonts w:ascii="宋体"/>
              </w:rPr>
            </w:pPr>
          </w:p>
        </w:tc>
        <w:tc>
          <w:tcPr>
            <w:tcW w:w="0" w:type="auto"/>
            <w:shd w:val="clear" w:color="auto" w:fill="auto"/>
          </w:tcPr>
          <w:p w14:paraId="33DADAD8" w14:textId="77777777" w:rsidR="004D6A64" w:rsidRDefault="004D6A64">
            <w:pPr>
              <w:rPr>
                <w:rFonts w:ascii="宋体"/>
              </w:rPr>
            </w:pPr>
          </w:p>
        </w:tc>
        <w:tc>
          <w:tcPr>
            <w:tcW w:w="0" w:type="auto"/>
            <w:shd w:val="clear" w:color="auto" w:fill="auto"/>
          </w:tcPr>
          <w:p w14:paraId="33DADAD9" w14:textId="77777777" w:rsidR="004D6A64" w:rsidRDefault="004D6A64">
            <w:pPr>
              <w:rPr>
                <w:rFonts w:ascii="宋体"/>
              </w:rPr>
            </w:pPr>
          </w:p>
        </w:tc>
        <w:tc>
          <w:tcPr>
            <w:tcW w:w="0" w:type="auto"/>
            <w:shd w:val="clear" w:color="auto" w:fill="auto"/>
          </w:tcPr>
          <w:p w14:paraId="33DADADA" w14:textId="77777777" w:rsidR="004D6A64" w:rsidRDefault="004D6A64">
            <w:pPr>
              <w:rPr>
                <w:rFonts w:ascii="宋体"/>
              </w:rPr>
            </w:pPr>
          </w:p>
        </w:tc>
        <w:tc>
          <w:tcPr>
            <w:tcW w:w="0" w:type="auto"/>
            <w:shd w:val="clear" w:color="auto" w:fill="auto"/>
          </w:tcPr>
          <w:p w14:paraId="33DADADB" w14:textId="77777777" w:rsidR="004D6A64" w:rsidRDefault="004D6A64">
            <w:pPr>
              <w:rPr>
                <w:rFonts w:ascii="宋体"/>
              </w:rPr>
            </w:pPr>
          </w:p>
        </w:tc>
        <w:tc>
          <w:tcPr>
            <w:tcW w:w="0" w:type="auto"/>
            <w:shd w:val="clear" w:color="auto" w:fill="auto"/>
          </w:tcPr>
          <w:p w14:paraId="33DADADC" w14:textId="77777777" w:rsidR="004D6A64" w:rsidRDefault="004D6A64">
            <w:pPr>
              <w:rPr>
                <w:rFonts w:ascii="宋体"/>
              </w:rPr>
            </w:pPr>
          </w:p>
        </w:tc>
        <w:tc>
          <w:tcPr>
            <w:tcW w:w="0" w:type="auto"/>
            <w:shd w:val="clear" w:color="auto" w:fill="auto"/>
          </w:tcPr>
          <w:p w14:paraId="33DADADD" w14:textId="77777777" w:rsidR="004D6A64" w:rsidRDefault="004D6A64">
            <w:pPr>
              <w:rPr>
                <w:rFonts w:ascii="宋体"/>
              </w:rPr>
            </w:pPr>
          </w:p>
        </w:tc>
        <w:tc>
          <w:tcPr>
            <w:tcW w:w="0" w:type="auto"/>
            <w:shd w:val="clear" w:color="auto" w:fill="auto"/>
          </w:tcPr>
          <w:p w14:paraId="33DADADE" w14:textId="77777777" w:rsidR="004D6A64" w:rsidRDefault="004D6A64">
            <w:pPr>
              <w:rPr>
                <w:rFonts w:ascii="宋体"/>
              </w:rPr>
            </w:pPr>
          </w:p>
        </w:tc>
        <w:tc>
          <w:tcPr>
            <w:tcW w:w="0" w:type="auto"/>
            <w:shd w:val="clear" w:color="auto" w:fill="auto"/>
          </w:tcPr>
          <w:p w14:paraId="33DADADF" w14:textId="77777777" w:rsidR="004D6A64" w:rsidRDefault="004D6A64">
            <w:pPr>
              <w:rPr>
                <w:rFonts w:ascii="宋体"/>
              </w:rPr>
            </w:pPr>
          </w:p>
        </w:tc>
      </w:tr>
      <w:tr w:rsidR="004D6A64" w14:paraId="33DADAED" w14:textId="77777777">
        <w:trPr>
          <w:jc w:val="center"/>
        </w:trPr>
        <w:tc>
          <w:tcPr>
            <w:tcW w:w="0" w:type="auto"/>
            <w:gridSpan w:val="3"/>
            <w:shd w:val="clear" w:color="auto" w:fill="auto"/>
            <w:tcMar>
              <w:left w:w="20" w:type="dxa"/>
              <w:right w:w="20" w:type="dxa"/>
            </w:tcMar>
            <w:vAlign w:val="bottom"/>
          </w:tcPr>
          <w:p w14:paraId="33DADAE1" w14:textId="77777777" w:rsidR="004D6A64" w:rsidRDefault="004D6A64">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center"/>
          </w:tcPr>
          <w:p w14:paraId="33DADAE2" w14:textId="77777777" w:rsidR="004D6A64" w:rsidRDefault="00506CD6">
            <w:pPr>
              <w:jc w:val="center"/>
              <w:textAlignment w:val="center"/>
            </w:pPr>
            <w:r>
              <w:rPr>
                <w:rFonts w:ascii="Times New Roman" w:eastAsia="宋体" w:hAnsi="Times New Roman"/>
                <w:color w:val="000000"/>
                <w:sz w:val="20"/>
                <w:szCs w:val="20"/>
              </w:rPr>
              <w:t>(in millions, except percentages)</w:t>
            </w:r>
          </w:p>
        </w:tc>
        <w:tc>
          <w:tcPr>
            <w:tcW w:w="0" w:type="auto"/>
            <w:gridSpan w:val="3"/>
            <w:shd w:val="clear" w:color="auto" w:fill="auto"/>
          </w:tcPr>
          <w:p w14:paraId="33DADAE3" w14:textId="77777777" w:rsidR="004D6A64" w:rsidRDefault="004D6A64">
            <w:pPr>
              <w:rPr>
                <w:rFonts w:ascii="宋体"/>
                <w:vanish/>
              </w:rPr>
            </w:pPr>
          </w:p>
        </w:tc>
        <w:tc>
          <w:tcPr>
            <w:tcW w:w="0" w:type="auto"/>
            <w:gridSpan w:val="3"/>
            <w:shd w:val="clear" w:color="auto" w:fill="auto"/>
          </w:tcPr>
          <w:p w14:paraId="33DADAE4" w14:textId="77777777" w:rsidR="004D6A64" w:rsidRDefault="004D6A64">
            <w:pPr>
              <w:rPr>
                <w:rFonts w:ascii="宋体"/>
                <w:vanish/>
              </w:rPr>
            </w:pPr>
          </w:p>
        </w:tc>
        <w:tc>
          <w:tcPr>
            <w:tcW w:w="0" w:type="auto"/>
            <w:gridSpan w:val="3"/>
            <w:shd w:val="clear" w:color="auto" w:fill="auto"/>
          </w:tcPr>
          <w:p w14:paraId="33DADAE5" w14:textId="77777777" w:rsidR="004D6A64" w:rsidRDefault="004D6A64">
            <w:pPr>
              <w:rPr>
                <w:rFonts w:ascii="宋体"/>
                <w:vanish/>
              </w:rPr>
            </w:pPr>
          </w:p>
        </w:tc>
        <w:tc>
          <w:tcPr>
            <w:tcW w:w="0" w:type="auto"/>
            <w:gridSpan w:val="3"/>
            <w:shd w:val="clear" w:color="auto" w:fill="auto"/>
          </w:tcPr>
          <w:p w14:paraId="33DADAE6" w14:textId="77777777" w:rsidR="004D6A64" w:rsidRDefault="004D6A64">
            <w:pPr>
              <w:rPr>
                <w:rFonts w:ascii="宋体"/>
                <w:vanish/>
              </w:rPr>
            </w:pPr>
          </w:p>
        </w:tc>
        <w:tc>
          <w:tcPr>
            <w:tcW w:w="0" w:type="auto"/>
            <w:gridSpan w:val="3"/>
            <w:shd w:val="clear" w:color="auto" w:fill="auto"/>
          </w:tcPr>
          <w:p w14:paraId="33DADAE7" w14:textId="77777777" w:rsidR="004D6A64" w:rsidRDefault="004D6A64">
            <w:pPr>
              <w:rPr>
                <w:rFonts w:ascii="宋体"/>
                <w:vanish/>
              </w:rPr>
            </w:pPr>
          </w:p>
        </w:tc>
        <w:tc>
          <w:tcPr>
            <w:tcW w:w="0" w:type="auto"/>
            <w:gridSpan w:val="3"/>
            <w:shd w:val="clear" w:color="auto" w:fill="auto"/>
          </w:tcPr>
          <w:p w14:paraId="33DADAE8" w14:textId="77777777" w:rsidR="004D6A64" w:rsidRDefault="004D6A64">
            <w:pPr>
              <w:rPr>
                <w:rFonts w:ascii="宋体"/>
                <w:vanish/>
              </w:rPr>
            </w:pPr>
          </w:p>
        </w:tc>
        <w:tc>
          <w:tcPr>
            <w:tcW w:w="0" w:type="auto"/>
            <w:gridSpan w:val="3"/>
            <w:shd w:val="clear" w:color="auto" w:fill="auto"/>
          </w:tcPr>
          <w:p w14:paraId="33DADAE9" w14:textId="77777777" w:rsidR="004D6A64" w:rsidRDefault="004D6A64">
            <w:pPr>
              <w:rPr>
                <w:rFonts w:ascii="宋体"/>
                <w:vanish/>
              </w:rPr>
            </w:pPr>
          </w:p>
        </w:tc>
        <w:tc>
          <w:tcPr>
            <w:tcW w:w="0" w:type="auto"/>
            <w:gridSpan w:val="3"/>
            <w:shd w:val="clear" w:color="auto" w:fill="auto"/>
          </w:tcPr>
          <w:p w14:paraId="33DADAEA" w14:textId="77777777" w:rsidR="004D6A64" w:rsidRDefault="004D6A64">
            <w:pPr>
              <w:rPr>
                <w:rFonts w:ascii="宋体"/>
                <w:vanish/>
              </w:rPr>
            </w:pPr>
          </w:p>
        </w:tc>
        <w:tc>
          <w:tcPr>
            <w:tcW w:w="0" w:type="auto"/>
            <w:gridSpan w:val="2"/>
            <w:shd w:val="clear" w:color="auto" w:fill="auto"/>
          </w:tcPr>
          <w:p w14:paraId="33DADAEB" w14:textId="77777777" w:rsidR="004D6A64" w:rsidRDefault="004D6A64">
            <w:pPr>
              <w:rPr>
                <w:rFonts w:ascii="宋体"/>
                <w:vanish/>
              </w:rPr>
            </w:pPr>
          </w:p>
        </w:tc>
        <w:tc>
          <w:tcPr>
            <w:tcW w:w="0" w:type="auto"/>
            <w:shd w:val="clear" w:color="auto" w:fill="auto"/>
          </w:tcPr>
          <w:p w14:paraId="33DADAEC" w14:textId="77777777" w:rsidR="004D6A64" w:rsidRDefault="004D6A64">
            <w:pPr>
              <w:rPr>
                <w:rFonts w:ascii="宋体"/>
                <w:vanish/>
              </w:rPr>
            </w:pPr>
          </w:p>
        </w:tc>
      </w:tr>
      <w:tr w:rsidR="004D6A64" w14:paraId="33DADB1F" w14:textId="77777777">
        <w:trPr>
          <w:jc w:val="center"/>
        </w:trPr>
        <w:tc>
          <w:tcPr>
            <w:tcW w:w="0" w:type="auto"/>
            <w:gridSpan w:val="3"/>
            <w:shd w:val="clear" w:color="auto" w:fill="CCEEFF"/>
            <w:tcMar>
              <w:top w:w="40" w:type="dxa"/>
              <w:left w:w="20" w:type="dxa"/>
              <w:bottom w:w="40" w:type="dxa"/>
              <w:right w:w="20" w:type="dxa"/>
            </w:tcMar>
            <w:vAlign w:val="center"/>
          </w:tcPr>
          <w:p w14:paraId="33DADAEE" w14:textId="77777777" w:rsidR="004D6A64" w:rsidRDefault="00506CD6">
            <w:pPr>
              <w:textAlignment w:val="center"/>
            </w:pPr>
            <w:r>
              <w:rPr>
                <w:rFonts w:ascii="Times New Roman" w:eastAsia="宋体" w:hAnsi="Times New Roman"/>
                <w:color w:val="000000"/>
                <w:sz w:val="20"/>
                <w:szCs w:val="20"/>
              </w:rPr>
              <w:t>Product net revenue</w:t>
            </w:r>
          </w:p>
        </w:tc>
        <w:tc>
          <w:tcPr>
            <w:tcW w:w="0" w:type="auto"/>
            <w:shd w:val="clear" w:color="auto" w:fill="CCEEFF"/>
            <w:tcMar>
              <w:top w:w="40" w:type="dxa"/>
              <w:left w:w="20" w:type="dxa"/>
              <w:bottom w:w="40" w:type="dxa"/>
            </w:tcMar>
            <w:vAlign w:val="center"/>
          </w:tcPr>
          <w:p w14:paraId="33DADAEF"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DAF0" w14:textId="77777777" w:rsidR="004D6A64" w:rsidRDefault="00506CD6">
            <w:pPr>
              <w:jc w:val="right"/>
              <w:textAlignment w:val="center"/>
            </w:pPr>
            <w:r>
              <w:rPr>
                <w:rFonts w:ascii="Times New Roman" w:eastAsia="宋体" w:hAnsi="Times New Roman"/>
                <w:color w:val="000000"/>
                <w:sz w:val="20"/>
                <w:szCs w:val="20"/>
              </w:rPr>
              <w:t>16,737 </w:t>
            </w:r>
          </w:p>
        </w:tc>
        <w:tc>
          <w:tcPr>
            <w:tcW w:w="0" w:type="auto"/>
            <w:shd w:val="clear" w:color="auto" w:fill="CCEEFF"/>
            <w:tcMar>
              <w:top w:w="40" w:type="dxa"/>
              <w:bottom w:w="40" w:type="dxa"/>
              <w:right w:w="20" w:type="dxa"/>
            </w:tcMar>
            <w:vAlign w:val="center"/>
          </w:tcPr>
          <w:p w14:paraId="33DADAF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AF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AF3" w14:textId="77777777" w:rsidR="004D6A64" w:rsidRDefault="00506CD6">
            <w:pPr>
              <w:jc w:val="right"/>
              <w:textAlignment w:val="center"/>
            </w:pPr>
            <w:r>
              <w:rPr>
                <w:rFonts w:ascii="Times New Roman" w:eastAsia="宋体" w:hAnsi="Times New Roman"/>
                <w:color w:val="000000"/>
                <w:sz w:val="20"/>
                <w:szCs w:val="20"/>
              </w:rPr>
              <w:t>(7)</w:t>
            </w:r>
          </w:p>
        </w:tc>
        <w:tc>
          <w:tcPr>
            <w:tcW w:w="0" w:type="auto"/>
            <w:shd w:val="clear" w:color="auto" w:fill="CCEEFF"/>
            <w:tcMar>
              <w:top w:w="40" w:type="dxa"/>
              <w:bottom w:w="40" w:type="dxa"/>
              <w:right w:w="20" w:type="dxa"/>
            </w:tcMar>
            <w:vAlign w:val="center"/>
          </w:tcPr>
          <w:p w14:paraId="33DADAF4"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DAF5"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DAF6"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DAF7" w14:textId="77777777" w:rsidR="004D6A64" w:rsidRDefault="00506CD6">
            <w:pPr>
              <w:jc w:val="right"/>
              <w:textAlignment w:val="center"/>
            </w:pPr>
            <w:r>
              <w:rPr>
                <w:rFonts w:ascii="Times New Roman" w:eastAsia="宋体" w:hAnsi="Times New Roman"/>
                <w:color w:val="000000"/>
                <w:sz w:val="20"/>
                <w:szCs w:val="20"/>
              </w:rPr>
              <w:t>17,915 </w:t>
            </w:r>
          </w:p>
        </w:tc>
        <w:tc>
          <w:tcPr>
            <w:tcW w:w="0" w:type="auto"/>
            <w:shd w:val="clear" w:color="auto" w:fill="CCEEFF"/>
            <w:tcMar>
              <w:top w:w="40" w:type="dxa"/>
              <w:bottom w:w="40" w:type="dxa"/>
              <w:right w:w="20" w:type="dxa"/>
            </w:tcMar>
            <w:vAlign w:val="center"/>
          </w:tcPr>
          <w:p w14:paraId="33DADAF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AF9"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DAFA"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DAFB" w14:textId="77777777" w:rsidR="004D6A64" w:rsidRDefault="00506CD6">
            <w:pPr>
              <w:jc w:val="right"/>
              <w:textAlignment w:val="center"/>
            </w:pPr>
            <w:r>
              <w:rPr>
                <w:rFonts w:ascii="Times New Roman" w:eastAsia="宋体" w:hAnsi="Times New Roman"/>
                <w:color w:val="000000"/>
                <w:sz w:val="20"/>
                <w:szCs w:val="20"/>
              </w:rPr>
              <w:t>32,775 </w:t>
            </w:r>
          </w:p>
        </w:tc>
        <w:tc>
          <w:tcPr>
            <w:tcW w:w="0" w:type="auto"/>
            <w:shd w:val="clear" w:color="auto" w:fill="CCEEFF"/>
            <w:tcMar>
              <w:top w:w="40" w:type="dxa"/>
              <w:bottom w:w="40" w:type="dxa"/>
              <w:right w:w="20" w:type="dxa"/>
            </w:tcMar>
            <w:vAlign w:val="center"/>
          </w:tcPr>
          <w:p w14:paraId="33DADAF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AF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AFE" w14:textId="77777777" w:rsidR="004D6A64" w:rsidRDefault="00506CD6">
            <w:pPr>
              <w:jc w:val="right"/>
              <w:textAlignment w:val="center"/>
            </w:pPr>
            <w:r>
              <w:rPr>
                <w:rFonts w:ascii="Times New Roman" w:eastAsia="宋体" w:hAnsi="Times New Roman"/>
                <w:color w:val="000000"/>
                <w:sz w:val="20"/>
                <w:szCs w:val="20"/>
              </w:rPr>
              <w:t>(5)</w:t>
            </w:r>
          </w:p>
        </w:tc>
        <w:tc>
          <w:tcPr>
            <w:tcW w:w="0" w:type="auto"/>
            <w:shd w:val="clear" w:color="auto" w:fill="CCEEFF"/>
            <w:tcMar>
              <w:top w:w="40" w:type="dxa"/>
              <w:bottom w:w="40" w:type="dxa"/>
              <w:right w:w="20" w:type="dxa"/>
            </w:tcMar>
            <w:vAlign w:val="center"/>
          </w:tcPr>
          <w:p w14:paraId="33DADAFF"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DB00"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DB01"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DB02" w14:textId="77777777" w:rsidR="004D6A64" w:rsidRDefault="00506CD6">
            <w:pPr>
              <w:jc w:val="right"/>
              <w:textAlignment w:val="center"/>
            </w:pPr>
            <w:r>
              <w:rPr>
                <w:rFonts w:ascii="Times New Roman" w:eastAsia="宋体" w:hAnsi="Times New Roman"/>
                <w:color w:val="000000"/>
                <w:sz w:val="20"/>
                <w:szCs w:val="20"/>
              </w:rPr>
              <w:t>34,490 </w:t>
            </w:r>
          </w:p>
        </w:tc>
        <w:tc>
          <w:tcPr>
            <w:tcW w:w="0" w:type="auto"/>
            <w:shd w:val="clear" w:color="auto" w:fill="CCEEFF"/>
            <w:tcMar>
              <w:top w:w="40" w:type="dxa"/>
              <w:bottom w:w="40" w:type="dxa"/>
              <w:right w:w="20" w:type="dxa"/>
            </w:tcMar>
            <w:vAlign w:val="center"/>
          </w:tcPr>
          <w:p w14:paraId="33DADB03" w14:textId="77777777" w:rsidR="004D6A64" w:rsidRDefault="004D6A64">
            <w:pPr>
              <w:jc w:val="right"/>
              <w:rPr>
                <w:rFonts w:ascii="宋体"/>
              </w:rPr>
            </w:pPr>
          </w:p>
        </w:tc>
        <w:tc>
          <w:tcPr>
            <w:tcW w:w="0" w:type="auto"/>
            <w:shd w:val="clear" w:color="auto" w:fill="auto"/>
          </w:tcPr>
          <w:p w14:paraId="33DADB04" w14:textId="77777777" w:rsidR="004D6A64" w:rsidRDefault="004D6A64">
            <w:pPr>
              <w:rPr>
                <w:rFonts w:ascii="宋体"/>
              </w:rPr>
            </w:pPr>
          </w:p>
        </w:tc>
        <w:tc>
          <w:tcPr>
            <w:tcW w:w="0" w:type="auto"/>
            <w:shd w:val="clear" w:color="auto" w:fill="auto"/>
          </w:tcPr>
          <w:p w14:paraId="33DADB05" w14:textId="77777777" w:rsidR="004D6A64" w:rsidRDefault="004D6A64">
            <w:pPr>
              <w:rPr>
                <w:rFonts w:ascii="宋体"/>
              </w:rPr>
            </w:pPr>
          </w:p>
        </w:tc>
        <w:tc>
          <w:tcPr>
            <w:tcW w:w="0" w:type="auto"/>
            <w:shd w:val="clear" w:color="auto" w:fill="auto"/>
          </w:tcPr>
          <w:p w14:paraId="33DADB06" w14:textId="77777777" w:rsidR="004D6A64" w:rsidRDefault="004D6A64">
            <w:pPr>
              <w:rPr>
                <w:rFonts w:ascii="宋体"/>
              </w:rPr>
            </w:pPr>
          </w:p>
        </w:tc>
        <w:tc>
          <w:tcPr>
            <w:tcW w:w="0" w:type="auto"/>
            <w:shd w:val="clear" w:color="auto" w:fill="auto"/>
          </w:tcPr>
          <w:p w14:paraId="33DADB07" w14:textId="77777777" w:rsidR="004D6A64" w:rsidRDefault="004D6A64">
            <w:pPr>
              <w:rPr>
                <w:rFonts w:ascii="宋体"/>
              </w:rPr>
            </w:pPr>
          </w:p>
        </w:tc>
        <w:tc>
          <w:tcPr>
            <w:tcW w:w="0" w:type="auto"/>
            <w:shd w:val="clear" w:color="auto" w:fill="auto"/>
          </w:tcPr>
          <w:p w14:paraId="33DADB08" w14:textId="77777777" w:rsidR="004D6A64" w:rsidRDefault="004D6A64">
            <w:pPr>
              <w:rPr>
                <w:rFonts w:ascii="宋体"/>
              </w:rPr>
            </w:pPr>
          </w:p>
        </w:tc>
        <w:tc>
          <w:tcPr>
            <w:tcW w:w="0" w:type="auto"/>
            <w:shd w:val="clear" w:color="auto" w:fill="auto"/>
          </w:tcPr>
          <w:p w14:paraId="33DADB09" w14:textId="77777777" w:rsidR="004D6A64" w:rsidRDefault="004D6A64">
            <w:pPr>
              <w:rPr>
                <w:rFonts w:ascii="宋体"/>
              </w:rPr>
            </w:pPr>
          </w:p>
        </w:tc>
        <w:tc>
          <w:tcPr>
            <w:tcW w:w="0" w:type="auto"/>
            <w:shd w:val="clear" w:color="auto" w:fill="auto"/>
          </w:tcPr>
          <w:p w14:paraId="33DADB0A" w14:textId="77777777" w:rsidR="004D6A64" w:rsidRDefault="004D6A64">
            <w:pPr>
              <w:rPr>
                <w:rFonts w:ascii="宋体"/>
              </w:rPr>
            </w:pPr>
          </w:p>
        </w:tc>
        <w:tc>
          <w:tcPr>
            <w:tcW w:w="0" w:type="auto"/>
            <w:shd w:val="clear" w:color="auto" w:fill="auto"/>
          </w:tcPr>
          <w:p w14:paraId="33DADB0B" w14:textId="77777777" w:rsidR="004D6A64" w:rsidRDefault="004D6A64">
            <w:pPr>
              <w:rPr>
                <w:rFonts w:ascii="宋体"/>
              </w:rPr>
            </w:pPr>
          </w:p>
        </w:tc>
        <w:tc>
          <w:tcPr>
            <w:tcW w:w="0" w:type="auto"/>
            <w:shd w:val="clear" w:color="auto" w:fill="auto"/>
          </w:tcPr>
          <w:p w14:paraId="33DADB0C" w14:textId="77777777" w:rsidR="004D6A64" w:rsidRDefault="004D6A64">
            <w:pPr>
              <w:rPr>
                <w:rFonts w:ascii="宋体"/>
              </w:rPr>
            </w:pPr>
          </w:p>
        </w:tc>
        <w:tc>
          <w:tcPr>
            <w:tcW w:w="0" w:type="auto"/>
            <w:shd w:val="clear" w:color="auto" w:fill="auto"/>
          </w:tcPr>
          <w:p w14:paraId="33DADB0D" w14:textId="77777777" w:rsidR="004D6A64" w:rsidRDefault="004D6A64">
            <w:pPr>
              <w:rPr>
                <w:rFonts w:ascii="宋体"/>
              </w:rPr>
            </w:pPr>
          </w:p>
        </w:tc>
        <w:tc>
          <w:tcPr>
            <w:tcW w:w="0" w:type="auto"/>
            <w:shd w:val="clear" w:color="auto" w:fill="auto"/>
          </w:tcPr>
          <w:p w14:paraId="33DADB0E" w14:textId="77777777" w:rsidR="004D6A64" w:rsidRDefault="004D6A64">
            <w:pPr>
              <w:rPr>
                <w:rFonts w:ascii="宋体"/>
              </w:rPr>
            </w:pPr>
          </w:p>
        </w:tc>
        <w:tc>
          <w:tcPr>
            <w:tcW w:w="0" w:type="auto"/>
            <w:shd w:val="clear" w:color="auto" w:fill="auto"/>
          </w:tcPr>
          <w:p w14:paraId="33DADB0F" w14:textId="77777777" w:rsidR="004D6A64" w:rsidRDefault="004D6A64">
            <w:pPr>
              <w:rPr>
                <w:rFonts w:ascii="宋体"/>
              </w:rPr>
            </w:pPr>
          </w:p>
        </w:tc>
        <w:tc>
          <w:tcPr>
            <w:tcW w:w="0" w:type="auto"/>
            <w:shd w:val="clear" w:color="auto" w:fill="auto"/>
          </w:tcPr>
          <w:p w14:paraId="33DADB10" w14:textId="77777777" w:rsidR="004D6A64" w:rsidRDefault="004D6A64">
            <w:pPr>
              <w:rPr>
                <w:rFonts w:ascii="宋体"/>
              </w:rPr>
            </w:pPr>
          </w:p>
        </w:tc>
        <w:tc>
          <w:tcPr>
            <w:tcW w:w="0" w:type="auto"/>
            <w:shd w:val="clear" w:color="auto" w:fill="auto"/>
          </w:tcPr>
          <w:p w14:paraId="33DADB11" w14:textId="77777777" w:rsidR="004D6A64" w:rsidRDefault="004D6A64">
            <w:pPr>
              <w:rPr>
                <w:rFonts w:ascii="宋体"/>
              </w:rPr>
            </w:pPr>
          </w:p>
        </w:tc>
        <w:tc>
          <w:tcPr>
            <w:tcW w:w="0" w:type="auto"/>
            <w:shd w:val="clear" w:color="auto" w:fill="auto"/>
          </w:tcPr>
          <w:p w14:paraId="33DADB12" w14:textId="77777777" w:rsidR="004D6A64" w:rsidRDefault="004D6A64">
            <w:pPr>
              <w:rPr>
                <w:rFonts w:ascii="宋体"/>
              </w:rPr>
            </w:pPr>
          </w:p>
        </w:tc>
        <w:tc>
          <w:tcPr>
            <w:tcW w:w="0" w:type="auto"/>
            <w:shd w:val="clear" w:color="auto" w:fill="auto"/>
          </w:tcPr>
          <w:p w14:paraId="33DADB13" w14:textId="77777777" w:rsidR="004D6A64" w:rsidRDefault="004D6A64">
            <w:pPr>
              <w:rPr>
                <w:rFonts w:ascii="宋体"/>
              </w:rPr>
            </w:pPr>
          </w:p>
        </w:tc>
        <w:tc>
          <w:tcPr>
            <w:tcW w:w="0" w:type="auto"/>
            <w:shd w:val="clear" w:color="auto" w:fill="auto"/>
          </w:tcPr>
          <w:p w14:paraId="33DADB14" w14:textId="77777777" w:rsidR="004D6A64" w:rsidRDefault="004D6A64">
            <w:pPr>
              <w:rPr>
                <w:rFonts w:ascii="宋体"/>
              </w:rPr>
            </w:pPr>
          </w:p>
        </w:tc>
        <w:tc>
          <w:tcPr>
            <w:tcW w:w="0" w:type="auto"/>
            <w:shd w:val="clear" w:color="auto" w:fill="auto"/>
          </w:tcPr>
          <w:p w14:paraId="33DADB15" w14:textId="77777777" w:rsidR="004D6A64" w:rsidRDefault="004D6A64">
            <w:pPr>
              <w:rPr>
                <w:rFonts w:ascii="宋体"/>
              </w:rPr>
            </w:pPr>
          </w:p>
        </w:tc>
        <w:tc>
          <w:tcPr>
            <w:tcW w:w="0" w:type="auto"/>
            <w:shd w:val="clear" w:color="auto" w:fill="auto"/>
          </w:tcPr>
          <w:p w14:paraId="33DADB16" w14:textId="77777777" w:rsidR="004D6A64" w:rsidRDefault="004D6A64">
            <w:pPr>
              <w:rPr>
                <w:rFonts w:ascii="宋体"/>
              </w:rPr>
            </w:pPr>
          </w:p>
        </w:tc>
        <w:tc>
          <w:tcPr>
            <w:tcW w:w="0" w:type="auto"/>
            <w:shd w:val="clear" w:color="auto" w:fill="auto"/>
          </w:tcPr>
          <w:p w14:paraId="33DADB17" w14:textId="77777777" w:rsidR="004D6A64" w:rsidRDefault="004D6A64">
            <w:pPr>
              <w:rPr>
                <w:rFonts w:ascii="宋体"/>
              </w:rPr>
            </w:pPr>
          </w:p>
        </w:tc>
        <w:tc>
          <w:tcPr>
            <w:tcW w:w="0" w:type="auto"/>
            <w:shd w:val="clear" w:color="auto" w:fill="auto"/>
          </w:tcPr>
          <w:p w14:paraId="33DADB18" w14:textId="77777777" w:rsidR="004D6A64" w:rsidRDefault="004D6A64">
            <w:pPr>
              <w:rPr>
                <w:rFonts w:ascii="宋体"/>
              </w:rPr>
            </w:pPr>
          </w:p>
        </w:tc>
        <w:tc>
          <w:tcPr>
            <w:tcW w:w="0" w:type="auto"/>
            <w:shd w:val="clear" w:color="auto" w:fill="auto"/>
          </w:tcPr>
          <w:p w14:paraId="33DADB19" w14:textId="77777777" w:rsidR="004D6A64" w:rsidRDefault="004D6A64">
            <w:pPr>
              <w:rPr>
                <w:rFonts w:ascii="宋体"/>
              </w:rPr>
            </w:pPr>
          </w:p>
        </w:tc>
        <w:tc>
          <w:tcPr>
            <w:tcW w:w="0" w:type="auto"/>
            <w:shd w:val="clear" w:color="auto" w:fill="auto"/>
          </w:tcPr>
          <w:p w14:paraId="33DADB1A" w14:textId="77777777" w:rsidR="004D6A64" w:rsidRDefault="004D6A64">
            <w:pPr>
              <w:rPr>
                <w:rFonts w:ascii="宋体"/>
              </w:rPr>
            </w:pPr>
          </w:p>
        </w:tc>
        <w:tc>
          <w:tcPr>
            <w:tcW w:w="0" w:type="auto"/>
            <w:shd w:val="clear" w:color="auto" w:fill="auto"/>
          </w:tcPr>
          <w:p w14:paraId="33DADB1B" w14:textId="77777777" w:rsidR="004D6A64" w:rsidRDefault="004D6A64">
            <w:pPr>
              <w:rPr>
                <w:rFonts w:ascii="宋体"/>
              </w:rPr>
            </w:pPr>
          </w:p>
        </w:tc>
        <w:tc>
          <w:tcPr>
            <w:tcW w:w="0" w:type="auto"/>
            <w:shd w:val="clear" w:color="auto" w:fill="auto"/>
          </w:tcPr>
          <w:p w14:paraId="33DADB1C" w14:textId="77777777" w:rsidR="004D6A64" w:rsidRDefault="004D6A64">
            <w:pPr>
              <w:rPr>
                <w:rFonts w:ascii="宋体"/>
              </w:rPr>
            </w:pPr>
          </w:p>
        </w:tc>
        <w:tc>
          <w:tcPr>
            <w:tcW w:w="0" w:type="auto"/>
            <w:shd w:val="clear" w:color="auto" w:fill="auto"/>
          </w:tcPr>
          <w:p w14:paraId="33DADB1D" w14:textId="77777777" w:rsidR="004D6A64" w:rsidRDefault="004D6A64">
            <w:pPr>
              <w:rPr>
                <w:rFonts w:ascii="宋体"/>
              </w:rPr>
            </w:pPr>
          </w:p>
        </w:tc>
        <w:tc>
          <w:tcPr>
            <w:tcW w:w="0" w:type="auto"/>
            <w:shd w:val="clear" w:color="auto" w:fill="auto"/>
          </w:tcPr>
          <w:p w14:paraId="33DADB1E" w14:textId="77777777" w:rsidR="004D6A64" w:rsidRDefault="004D6A64">
            <w:pPr>
              <w:rPr>
                <w:rFonts w:ascii="宋体"/>
              </w:rPr>
            </w:pPr>
          </w:p>
        </w:tc>
      </w:tr>
      <w:tr w:rsidR="004D6A64" w14:paraId="33DADB47" w14:textId="77777777">
        <w:trPr>
          <w:jc w:val="center"/>
        </w:trPr>
        <w:tc>
          <w:tcPr>
            <w:tcW w:w="0" w:type="auto"/>
            <w:gridSpan w:val="3"/>
            <w:shd w:val="clear" w:color="auto" w:fill="FFFFFF"/>
            <w:tcMar>
              <w:top w:w="40" w:type="dxa"/>
              <w:left w:w="135" w:type="dxa"/>
              <w:bottom w:w="40" w:type="dxa"/>
              <w:right w:w="20" w:type="dxa"/>
            </w:tcMar>
            <w:vAlign w:val="center"/>
          </w:tcPr>
          <w:p w14:paraId="33DADB20" w14:textId="77777777" w:rsidR="004D6A64" w:rsidRDefault="00506CD6">
            <w:pPr>
              <w:textAlignment w:val="center"/>
            </w:pPr>
            <w:r>
              <w:rPr>
                <w:rFonts w:ascii="Times New Roman" w:eastAsia="宋体" w:hAnsi="Times New Roman"/>
                <w:color w:val="000000"/>
                <w:sz w:val="20"/>
                <w:szCs w:val="20"/>
              </w:rPr>
              <w:t>Non-GAAP adjustments:</w:t>
            </w:r>
          </w:p>
        </w:tc>
        <w:tc>
          <w:tcPr>
            <w:tcW w:w="0" w:type="auto"/>
            <w:gridSpan w:val="3"/>
            <w:shd w:val="clear" w:color="auto" w:fill="FFFFFF"/>
            <w:tcMar>
              <w:left w:w="20" w:type="dxa"/>
              <w:right w:w="20" w:type="dxa"/>
            </w:tcMar>
            <w:vAlign w:val="bottom"/>
          </w:tcPr>
          <w:p w14:paraId="33DADB21"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B22"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B23"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B24"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B25"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B26"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B27"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B28"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B29"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B2A"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B2B" w14:textId="77777777" w:rsidR="004D6A64" w:rsidRDefault="004D6A64">
            <w:pPr>
              <w:rPr>
                <w:rFonts w:ascii="宋体"/>
              </w:rPr>
            </w:pPr>
          </w:p>
        </w:tc>
        <w:tc>
          <w:tcPr>
            <w:tcW w:w="0" w:type="auto"/>
            <w:shd w:val="clear" w:color="auto" w:fill="auto"/>
          </w:tcPr>
          <w:p w14:paraId="33DADB2C" w14:textId="77777777" w:rsidR="004D6A64" w:rsidRDefault="004D6A64">
            <w:pPr>
              <w:rPr>
                <w:rFonts w:ascii="宋体"/>
              </w:rPr>
            </w:pPr>
          </w:p>
        </w:tc>
        <w:tc>
          <w:tcPr>
            <w:tcW w:w="0" w:type="auto"/>
            <w:shd w:val="clear" w:color="auto" w:fill="auto"/>
          </w:tcPr>
          <w:p w14:paraId="33DADB2D" w14:textId="77777777" w:rsidR="004D6A64" w:rsidRDefault="004D6A64">
            <w:pPr>
              <w:rPr>
                <w:rFonts w:ascii="宋体"/>
              </w:rPr>
            </w:pPr>
          </w:p>
        </w:tc>
        <w:tc>
          <w:tcPr>
            <w:tcW w:w="0" w:type="auto"/>
            <w:shd w:val="clear" w:color="auto" w:fill="auto"/>
          </w:tcPr>
          <w:p w14:paraId="33DADB2E" w14:textId="77777777" w:rsidR="004D6A64" w:rsidRDefault="004D6A64">
            <w:pPr>
              <w:rPr>
                <w:rFonts w:ascii="宋体"/>
              </w:rPr>
            </w:pPr>
          </w:p>
        </w:tc>
        <w:tc>
          <w:tcPr>
            <w:tcW w:w="0" w:type="auto"/>
            <w:shd w:val="clear" w:color="auto" w:fill="auto"/>
          </w:tcPr>
          <w:p w14:paraId="33DADB2F" w14:textId="77777777" w:rsidR="004D6A64" w:rsidRDefault="004D6A64">
            <w:pPr>
              <w:rPr>
                <w:rFonts w:ascii="宋体"/>
              </w:rPr>
            </w:pPr>
          </w:p>
        </w:tc>
        <w:tc>
          <w:tcPr>
            <w:tcW w:w="0" w:type="auto"/>
            <w:shd w:val="clear" w:color="auto" w:fill="auto"/>
          </w:tcPr>
          <w:p w14:paraId="33DADB30" w14:textId="77777777" w:rsidR="004D6A64" w:rsidRDefault="004D6A64">
            <w:pPr>
              <w:rPr>
                <w:rFonts w:ascii="宋体"/>
              </w:rPr>
            </w:pPr>
          </w:p>
        </w:tc>
        <w:tc>
          <w:tcPr>
            <w:tcW w:w="0" w:type="auto"/>
            <w:shd w:val="clear" w:color="auto" w:fill="auto"/>
          </w:tcPr>
          <w:p w14:paraId="33DADB31" w14:textId="77777777" w:rsidR="004D6A64" w:rsidRDefault="004D6A64">
            <w:pPr>
              <w:rPr>
                <w:rFonts w:ascii="宋体"/>
              </w:rPr>
            </w:pPr>
          </w:p>
        </w:tc>
        <w:tc>
          <w:tcPr>
            <w:tcW w:w="0" w:type="auto"/>
            <w:shd w:val="clear" w:color="auto" w:fill="auto"/>
          </w:tcPr>
          <w:p w14:paraId="33DADB32" w14:textId="77777777" w:rsidR="004D6A64" w:rsidRDefault="004D6A64">
            <w:pPr>
              <w:rPr>
                <w:rFonts w:ascii="宋体"/>
              </w:rPr>
            </w:pPr>
          </w:p>
        </w:tc>
        <w:tc>
          <w:tcPr>
            <w:tcW w:w="0" w:type="auto"/>
            <w:shd w:val="clear" w:color="auto" w:fill="auto"/>
          </w:tcPr>
          <w:p w14:paraId="33DADB33" w14:textId="77777777" w:rsidR="004D6A64" w:rsidRDefault="004D6A64">
            <w:pPr>
              <w:rPr>
                <w:rFonts w:ascii="宋体"/>
              </w:rPr>
            </w:pPr>
          </w:p>
        </w:tc>
        <w:tc>
          <w:tcPr>
            <w:tcW w:w="0" w:type="auto"/>
            <w:shd w:val="clear" w:color="auto" w:fill="auto"/>
          </w:tcPr>
          <w:p w14:paraId="33DADB34" w14:textId="77777777" w:rsidR="004D6A64" w:rsidRDefault="004D6A64">
            <w:pPr>
              <w:rPr>
                <w:rFonts w:ascii="宋体"/>
              </w:rPr>
            </w:pPr>
          </w:p>
        </w:tc>
        <w:tc>
          <w:tcPr>
            <w:tcW w:w="0" w:type="auto"/>
            <w:shd w:val="clear" w:color="auto" w:fill="auto"/>
          </w:tcPr>
          <w:p w14:paraId="33DADB35" w14:textId="77777777" w:rsidR="004D6A64" w:rsidRDefault="004D6A64">
            <w:pPr>
              <w:rPr>
                <w:rFonts w:ascii="宋体"/>
              </w:rPr>
            </w:pPr>
          </w:p>
        </w:tc>
        <w:tc>
          <w:tcPr>
            <w:tcW w:w="0" w:type="auto"/>
            <w:shd w:val="clear" w:color="auto" w:fill="auto"/>
          </w:tcPr>
          <w:p w14:paraId="33DADB36" w14:textId="77777777" w:rsidR="004D6A64" w:rsidRDefault="004D6A64">
            <w:pPr>
              <w:rPr>
                <w:rFonts w:ascii="宋体"/>
              </w:rPr>
            </w:pPr>
          </w:p>
        </w:tc>
        <w:tc>
          <w:tcPr>
            <w:tcW w:w="0" w:type="auto"/>
            <w:shd w:val="clear" w:color="auto" w:fill="auto"/>
          </w:tcPr>
          <w:p w14:paraId="33DADB37" w14:textId="77777777" w:rsidR="004D6A64" w:rsidRDefault="004D6A64">
            <w:pPr>
              <w:rPr>
                <w:rFonts w:ascii="宋体"/>
              </w:rPr>
            </w:pPr>
          </w:p>
        </w:tc>
        <w:tc>
          <w:tcPr>
            <w:tcW w:w="0" w:type="auto"/>
            <w:shd w:val="clear" w:color="auto" w:fill="auto"/>
          </w:tcPr>
          <w:p w14:paraId="33DADB38" w14:textId="77777777" w:rsidR="004D6A64" w:rsidRDefault="004D6A64">
            <w:pPr>
              <w:rPr>
                <w:rFonts w:ascii="宋体"/>
              </w:rPr>
            </w:pPr>
          </w:p>
        </w:tc>
        <w:tc>
          <w:tcPr>
            <w:tcW w:w="0" w:type="auto"/>
            <w:shd w:val="clear" w:color="auto" w:fill="auto"/>
          </w:tcPr>
          <w:p w14:paraId="33DADB39" w14:textId="77777777" w:rsidR="004D6A64" w:rsidRDefault="004D6A64">
            <w:pPr>
              <w:rPr>
                <w:rFonts w:ascii="宋体"/>
              </w:rPr>
            </w:pPr>
          </w:p>
        </w:tc>
        <w:tc>
          <w:tcPr>
            <w:tcW w:w="0" w:type="auto"/>
            <w:shd w:val="clear" w:color="auto" w:fill="auto"/>
          </w:tcPr>
          <w:p w14:paraId="33DADB3A" w14:textId="77777777" w:rsidR="004D6A64" w:rsidRDefault="004D6A64">
            <w:pPr>
              <w:rPr>
                <w:rFonts w:ascii="宋体"/>
              </w:rPr>
            </w:pPr>
          </w:p>
        </w:tc>
        <w:tc>
          <w:tcPr>
            <w:tcW w:w="0" w:type="auto"/>
            <w:shd w:val="clear" w:color="auto" w:fill="auto"/>
          </w:tcPr>
          <w:p w14:paraId="33DADB3B" w14:textId="77777777" w:rsidR="004D6A64" w:rsidRDefault="004D6A64">
            <w:pPr>
              <w:rPr>
                <w:rFonts w:ascii="宋体"/>
              </w:rPr>
            </w:pPr>
          </w:p>
        </w:tc>
        <w:tc>
          <w:tcPr>
            <w:tcW w:w="0" w:type="auto"/>
            <w:shd w:val="clear" w:color="auto" w:fill="auto"/>
          </w:tcPr>
          <w:p w14:paraId="33DADB3C" w14:textId="77777777" w:rsidR="004D6A64" w:rsidRDefault="004D6A64">
            <w:pPr>
              <w:rPr>
                <w:rFonts w:ascii="宋体"/>
              </w:rPr>
            </w:pPr>
          </w:p>
        </w:tc>
        <w:tc>
          <w:tcPr>
            <w:tcW w:w="0" w:type="auto"/>
            <w:shd w:val="clear" w:color="auto" w:fill="auto"/>
          </w:tcPr>
          <w:p w14:paraId="33DADB3D" w14:textId="77777777" w:rsidR="004D6A64" w:rsidRDefault="004D6A64">
            <w:pPr>
              <w:rPr>
                <w:rFonts w:ascii="宋体"/>
              </w:rPr>
            </w:pPr>
          </w:p>
        </w:tc>
        <w:tc>
          <w:tcPr>
            <w:tcW w:w="0" w:type="auto"/>
            <w:shd w:val="clear" w:color="auto" w:fill="auto"/>
          </w:tcPr>
          <w:p w14:paraId="33DADB3E" w14:textId="77777777" w:rsidR="004D6A64" w:rsidRDefault="004D6A64">
            <w:pPr>
              <w:rPr>
                <w:rFonts w:ascii="宋体"/>
              </w:rPr>
            </w:pPr>
          </w:p>
        </w:tc>
        <w:tc>
          <w:tcPr>
            <w:tcW w:w="0" w:type="auto"/>
            <w:shd w:val="clear" w:color="auto" w:fill="auto"/>
          </w:tcPr>
          <w:p w14:paraId="33DADB3F" w14:textId="77777777" w:rsidR="004D6A64" w:rsidRDefault="004D6A64">
            <w:pPr>
              <w:rPr>
                <w:rFonts w:ascii="宋体"/>
              </w:rPr>
            </w:pPr>
          </w:p>
        </w:tc>
        <w:tc>
          <w:tcPr>
            <w:tcW w:w="0" w:type="auto"/>
            <w:shd w:val="clear" w:color="auto" w:fill="auto"/>
          </w:tcPr>
          <w:p w14:paraId="33DADB40" w14:textId="77777777" w:rsidR="004D6A64" w:rsidRDefault="004D6A64">
            <w:pPr>
              <w:rPr>
                <w:rFonts w:ascii="宋体"/>
              </w:rPr>
            </w:pPr>
          </w:p>
        </w:tc>
        <w:tc>
          <w:tcPr>
            <w:tcW w:w="0" w:type="auto"/>
            <w:shd w:val="clear" w:color="auto" w:fill="auto"/>
          </w:tcPr>
          <w:p w14:paraId="33DADB41" w14:textId="77777777" w:rsidR="004D6A64" w:rsidRDefault="004D6A64">
            <w:pPr>
              <w:rPr>
                <w:rFonts w:ascii="宋体"/>
              </w:rPr>
            </w:pPr>
          </w:p>
        </w:tc>
        <w:tc>
          <w:tcPr>
            <w:tcW w:w="0" w:type="auto"/>
            <w:shd w:val="clear" w:color="auto" w:fill="auto"/>
          </w:tcPr>
          <w:p w14:paraId="33DADB42" w14:textId="77777777" w:rsidR="004D6A64" w:rsidRDefault="004D6A64">
            <w:pPr>
              <w:rPr>
                <w:rFonts w:ascii="宋体"/>
              </w:rPr>
            </w:pPr>
          </w:p>
        </w:tc>
        <w:tc>
          <w:tcPr>
            <w:tcW w:w="0" w:type="auto"/>
            <w:shd w:val="clear" w:color="auto" w:fill="auto"/>
          </w:tcPr>
          <w:p w14:paraId="33DADB43" w14:textId="77777777" w:rsidR="004D6A64" w:rsidRDefault="004D6A64">
            <w:pPr>
              <w:rPr>
                <w:rFonts w:ascii="宋体"/>
              </w:rPr>
            </w:pPr>
          </w:p>
        </w:tc>
        <w:tc>
          <w:tcPr>
            <w:tcW w:w="0" w:type="auto"/>
            <w:shd w:val="clear" w:color="auto" w:fill="auto"/>
          </w:tcPr>
          <w:p w14:paraId="33DADB44" w14:textId="77777777" w:rsidR="004D6A64" w:rsidRDefault="004D6A64">
            <w:pPr>
              <w:rPr>
                <w:rFonts w:ascii="宋体"/>
              </w:rPr>
            </w:pPr>
          </w:p>
        </w:tc>
        <w:tc>
          <w:tcPr>
            <w:tcW w:w="0" w:type="auto"/>
            <w:shd w:val="clear" w:color="auto" w:fill="auto"/>
          </w:tcPr>
          <w:p w14:paraId="33DADB45" w14:textId="77777777" w:rsidR="004D6A64" w:rsidRDefault="004D6A64">
            <w:pPr>
              <w:rPr>
                <w:rFonts w:ascii="宋体"/>
              </w:rPr>
            </w:pPr>
          </w:p>
        </w:tc>
        <w:tc>
          <w:tcPr>
            <w:tcW w:w="0" w:type="auto"/>
            <w:shd w:val="clear" w:color="auto" w:fill="auto"/>
          </w:tcPr>
          <w:p w14:paraId="33DADB46" w14:textId="77777777" w:rsidR="004D6A64" w:rsidRDefault="004D6A64">
            <w:pPr>
              <w:rPr>
                <w:rFonts w:ascii="宋体"/>
              </w:rPr>
            </w:pPr>
          </w:p>
        </w:tc>
      </w:tr>
      <w:tr w:rsidR="004D6A64" w14:paraId="33DADB73" w14:textId="77777777">
        <w:trPr>
          <w:jc w:val="center"/>
        </w:trPr>
        <w:tc>
          <w:tcPr>
            <w:tcW w:w="0" w:type="auto"/>
            <w:gridSpan w:val="3"/>
            <w:shd w:val="clear" w:color="auto" w:fill="CCEEFF"/>
            <w:tcMar>
              <w:top w:w="40" w:type="dxa"/>
              <w:left w:w="225" w:type="dxa"/>
              <w:bottom w:w="40" w:type="dxa"/>
              <w:right w:w="20" w:type="dxa"/>
            </w:tcMar>
            <w:vAlign w:val="center"/>
          </w:tcPr>
          <w:p w14:paraId="33DADB48" w14:textId="77777777" w:rsidR="004D6A64" w:rsidRDefault="00506CD6">
            <w:pPr>
              <w:textAlignment w:val="center"/>
            </w:pPr>
            <w:r>
              <w:rPr>
                <w:rFonts w:ascii="Times New Roman" w:eastAsia="宋体" w:hAnsi="Times New Roman"/>
                <w:color w:val="000000"/>
                <w:sz w:val="20"/>
                <w:szCs w:val="20"/>
              </w:rPr>
              <w:t>Impact of purchase accounting</w:t>
            </w:r>
          </w:p>
        </w:tc>
        <w:tc>
          <w:tcPr>
            <w:tcW w:w="0" w:type="auto"/>
            <w:gridSpan w:val="2"/>
            <w:shd w:val="clear" w:color="auto" w:fill="CCEEFF"/>
            <w:tcMar>
              <w:top w:w="40" w:type="dxa"/>
              <w:left w:w="20" w:type="dxa"/>
              <w:bottom w:w="40" w:type="dxa"/>
              <w:right w:w="0" w:type="dxa"/>
            </w:tcMar>
            <w:vAlign w:val="center"/>
          </w:tcPr>
          <w:p w14:paraId="33DADB49" w14:textId="77777777" w:rsidR="004D6A64" w:rsidRDefault="00506CD6">
            <w:pPr>
              <w:jc w:val="right"/>
              <w:textAlignment w:val="center"/>
            </w:pPr>
            <w:r>
              <w:rPr>
                <w:rFonts w:ascii="Times New Roman" w:eastAsia="宋体" w:hAnsi="Times New Roman"/>
                <w:color w:val="000000"/>
                <w:sz w:val="20"/>
                <w:szCs w:val="20"/>
              </w:rPr>
              <w:t>2 </w:t>
            </w:r>
          </w:p>
        </w:tc>
        <w:tc>
          <w:tcPr>
            <w:tcW w:w="0" w:type="auto"/>
            <w:shd w:val="clear" w:color="auto" w:fill="CCEEFF"/>
            <w:tcMar>
              <w:top w:w="40" w:type="dxa"/>
              <w:bottom w:w="40" w:type="dxa"/>
              <w:right w:w="20" w:type="dxa"/>
            </w:tcMar>
            <w:vAlign w:val="center"/>
          </w:tcPr>
          <w:p w14:paraId="33DADB4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B4B"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B4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B4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B4E" w14:textId="77777777" w:rsidR="004D6A64" w:rsidRDefault="00506CD6">
            <w:pPr>
              <w:jc w:val="right"/>
              <w:textAlignment w:val="center"/>
            </w:pPr>
            <w:r>
              <w:rPr>
                <w:rFonts w:ascii="Times New Roman" w:eastAsia="宋体" w:hAnsi="Times New Roman"/>
                <w:color w:val="000000"/>
                <w:sz w:val="20"/>
                <w:szCs w:val="20"/>
              </w:rPr>
              <w:t>6 </w:t>
            </w:r>
          </w:p>
        </w:tc>
        <w:tc>
          <w:tcPr>
            <w:tcW w:w="0" w:type="auto"/>
            <w:shd w:val="clear" w:color="auto" w:fill="CCEEFF"/>
            <w:tcMar>
              <w:top w:w="40" w:type="dxa"/>
              <w:bottom w:w="40" w:type="dxa"/>
              <w:right w:w="20" w:type="dxa"/>
            </w:tcMar>
            <w:vAlign w:val="center"/>
          </w:tcPr>
          <w:p w14:paraId="33DADB4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B50"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B51" w14:textId="77777777" w:rsidR="004D6A64" w:rsidRDefault="00506CD6">
            <w:pPr>
              <w:jc w:val="right"/>
              <w:textAlignment w:val="center"/>
            </w:pPr>
            <w:r>
              <w:rPr>
                <w:rFonts w:ascii="Times New Roman" w:eastAsia="宋体" w:hAnsi="Times New Roman"/>
                <w:color w:val="000000"/>
                <w:sz w:val="20"/>
                <w:szCs w:val="20"/>
              </w:rPr>
              <w:t>6 </w:t>
            </w:r>
          </w:p>
        </w:tc>
        <w:tc>
          <w:tcPr>
            <w:tcW w:w="0" w:type="auto"/>
            <w:shd w:val="clear" w:color="auto" w:fill="CCEEFF"/>
            <w:tcMar>
              <w:top w:w="40" w:type="dxa"/>
              <w:bottom w:w="40" w:type="dxa"/>
              <w:right w:w="20" w:type="dxa"/>
            </w:tcMar>
            <w:vAlign w:val="center"/>
          </w:tcPr>
          <w:p w14:paraId="33DADB5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B53"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B54"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B5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B56" w14:textId="77777777" w:rsidR="004D6A64" w:rsidRDefault="00506CD6">
            <w:pPr>
              <w:jc w:val="right"/>
              <w:textAlignment w:val="center"/>
            </w:pPr>
            <w:r>
              <w:rPr>
                <w:rFonts w:ascii="Times New Roman" w:eastAsia="宋体" w:hAnsi="Times New Roman"/>
                <w:color w:val="000000"/>
                <w:sz w:val="20"/>
                <w:szCs w:val="20"/>
              </w:rPr>
              <w:t>10 </w:t>
            </w:r>
          </w:p>
        </w:tc>
        <w:tc>
          <w:tcPr>
            <w:tcW w:w="0" w:type="auto"/>
            <w:shd w:val="clear" w:color="auto" w:fill="CCEEFF"/>
            <w:tcMar>
              <w:top w:w="40" w:type="dxa"/>
              <w:bottom w:w="40" w:type="dxa"/>
              <w:right w:w="20" w:type="dxa"/>
            </w:tcMar>
            <w:vAlign w:val="center"/>
          </w:tcPr>
          <w:p w14:paraId="33DADB57" w14:textId="77777777" w:rsidR="004D6A64" w:rsidRDefault="004D6A64">
            <w:pPr>
              <w:jc w:val="right"/>
              <w:rPr>
                <w:rFonts w:ascii="宋体"/>
              </w:rPr>
            </w:pPr>
          </w:p>
        </w:tc>
        <w:tc>
          <w:tcPr>
            <w:tcW w:w="0" w:type="auto"/>
            <w:shd w:val="clear" w:color="auto" w:fill="auto"/>
          </w:tcPr>
          <w:p w14:paraId="33DADB58" w14:textId="77777777" w:rsidR="004D6A64" w:rsidRDefault="004D6A64">
            <w:pPr>
              <w:rPr>
                <w:rFonts w:ascii="宋体"/>
              </w:rPr>
            </w:pPr>
          </w:p>
        </w:tc>
        <w:tc>
          <w:tcPr>
            <w:tcW w:w="0" w:type="auto"/>
            <w:shd w:val="clear" w:color="auto" w:fill="auto"/>
          </w:tcPr>
          <w:p w14:paraId="33DADB59" w14:textId="77777777" w:rsidR="004D6A64" w:rsidRDefault="004D6A64">
            <w:pPr>
              <w:rPr>
                <w:rFonts w:ascii="宋体"/>
              </w:rPr>
            </w:pPr>
          </w:p>
        </w:tc>
        <w:tc>
          <w:tcPr>
            <w:tcW w:w="0" w:type="auto"/>
            <w:shd w:val="clear" w:color="auto" w:fill="auto"/>
          </w:tcPr>
          <w:p w14:paraId="33DADB5A" w14:textId="77777777" w:rsidR="004D6A64" w:rsidRDefault="004D6A64">
            <w:pPr>
              <w:rPr>
                <w:rFonts w:ascii="宋体"/>
              </w:rPr>
            </w:pPr>
          </w:p>
        </w:tc>
        <w:tc>
          <w:tcPr>
            <w:tcW w:w="0" w:type="auto"/>
            <w:shd w:val="clear" w:color="auto" w:fill="auto"/>
          </w:tcPr>
          <w:p w14:paraId="33DADB5B" w14:textId="77777777" w:rsidR="004D6A64" w:rsidRDefault="004D6A64">
            <w:pPr>
              <w:rPr>
                <w:rFonts w:ascii="宋体"/>
              </w:rPr>
            </w:pPr>
          </w:p>
        </w:tc>
        <w:tc>
          <w:tcPr>
            <w:tcW w:w="0" w:type="auto"/>
            <w:shd w:val="clear" w:color="auto" w:fill="auto"/>
          </w:tcPr>
          <w:p w14:paraId="33DADB5C" w14:textId="77777777" w:rsidR="004D6A64" w:rsidRDefault="004D6A64">
            <w:pPr>
              <w:rPr>
                <w:rFonts w:ascii="宋体"/>
              </w:rPr>
            </w:pPr>
          </w:p>
        </w:tc>
        <w:tc>
          <w:tcPr>
            <w:tcW w:w="0" w:type="auto"/>
            <w:shd w:val="clear" w:color="auto" w:fill="auto"/>
          </w:tcPr>
          <w:p w14:paraId="33DADB5D" w14:textId="77777777" w:rsidR="004D6A64" w:rsidRDefault="004D6A64">
            <w:pPr>
              <w:rPr>
                <w:rFonts w:ascii="宋体"/>
              </w:rPr>
            </w:pPr>
          </w:p>
        </w:tc>
        <w:tc>
          <w:tcPr>
            <w:tcW w:w="0" w:type="auto"/>
            <w:shd w:val="clear" w:color="auto" w:fill="auto"/>
          </w:tcPr>
          <w:p w14:paraId="33DADB5E" w14:textId="77777777" w:rsidR="004D6A64" w:rsidRDefault="004D6A64">
            <w:pPr>
              <w:rPr>
                <w:rFonts w:ascii="宋体"/>
              </w:rPr>
            </w:pPr>
          </w:p>
        </w:tc>
        <w:tc>
          <w:tcPr>
            <w:tcW w:w="0" w:type="auto"/>
            <w:shd w:val="clear" w:color="auto" w:fill="auto"/>
          </w:tcPr>
          <w:p w14:paraId="33DADB5F" w14:textId="77777777" w:rsidR="004D6A64" w:rsidRDefault="004D6A64">
            <w:pPr>
              <w:rPr>
                <w:rFonts w:ascii="宋体"/>
              </w:rPr>
            </w:pPr>
          </w:p>
        </w:tc>
        <w:tc>
          <w:tcPr>
            <w:tcW w:w="0" w:type="auto"/>
            <w:shd w:val="clear" w:color="auto" w:fill="auto"/>
          </w:tcPr>
          <w:p w14:paraId="33DADB60" w14:textId="77777777" w:rsidR="004D6A64" w:rsidRDefault="004D6A64">
            <w:pPr>
              <w:rPr>
                <w:rFonts w:ascii="宋体"/>
              </w:rPr>
            </w:pPr>
          </w:p>
        </w:tc>
        <w:tc>
          <w:tcPr>
            <w:tcW w:w="0" w:type="auto"/>
            <w:shd w:val="clear" w:color="auto" w:fill="auto"/>
          </w:tcPr>
          <w:p w14:paraId="33DADB61" w14:textId="77777777" w:rsidR="004D6A64" w:rsidRDefault="004D6A64">
            <w:pPr>
              <w:rPr>
                <w:rFonts w:ascii="宋体"/>
              </w:rPr>
            </w:pPr>
          </w:p>
        </w:tc>
        <w:tc>
          <w:tcPr>
            <w:tcW w:w="0" w:type="auto"/>
            <w:shd w:val="clear" w:color="auto" w:fill="auto"/>
          </w:tcPr>
          <w:p w14:paraId="33DADB62" w14:textId="77777777" w:rsidR="004D6A64" w:rsidRDefault="004D6A64">
            <w:pPr>
              <w:rPr>
                <w:rFonts w:ascii="宋体"/>
              </w:rPr>
            </w:pPr>
          </w:p>
        </w:tc>
        <w:tc>
          <w:tcPr>
            <w:tcW w:w="0" w:type="auto"/>
            <w:shd w:val="clear" w:color="auto" w:fill="auto"/>
          </w:tcPr>
          <w:p w14:paraId="33DADB63" w14:textId="77777777" w:rsidR="004D6A64" w:rsidRDefault="004D6A64">
            <w:pPr>
              <w:rPr>
                <w:rFonts w:ascii="宋体"/>
              </w:rPr>
            </w:pPr>
          </w:p>
        </w:tc>
        <w:tc>
          <w:tcPr>
            <w:tcW w:w="0" w:type="auto"/>
            <w:shd w:val="clear" w:color="auto" w:fill="auto"/>
          </w:tcPr>
          <w:p w14:paraId="33DADB64" w14:textId="77777777" w:rsidR="004D6A64" w:rsidRDefault="004D6A64">
            <w:pPr>
              <w:rPr>
                <w:rFonts w:ascii="宋体"/>
              </w:rPr>
            </w:pPr>
          </w:p>
        </w:tc>
        <w:tc>
          <w:tcPr>
            <w:tcW w:w="0" w:type="auto"/>
            <w:shd w:val="clear" w:color="auto" w:fill="auto"/>
          </w:tcPr>
          <w:p w14:paraId="33DADB65" w14:textId="77777777" w:rsidR="004D6A64" w:rsidRDefault="004D6A64">
            <w:pPr>
              <w:rPr>
                <w:rFonts w:ascii="宋体"/>
              </w:rPr>
            </w:pPr>
          </w:p>
        </w:tc>
        <w:tc>
          <w:tcPr>
            <w:tcW w:w="0" w:type="auto"/>
            <w:shd w:val="clear" w:color="auto" w:fill="auto"/>
          </w:tcPr>
          <w:p w14:paraId="33DADB66" w14:textId="77777777" w:rsidR="004D6A64" w:rsidRDefault="004D6A64">
            <w:pPr>
              <w:rPr>
                <w:rFonts w:ascii="宋体"/>
              </w:rPr>
            </w:pPr>
          </w:p>
        </w:tc>
        <w:tc>
          <w:tcPr>
            <w:tcW w:w="0" w:type="auto"/>
            <w:shd w:val="clear" w:color="auto" w:fill="auto"/>
          </w:tcPr>
          <w:p w14:paraId="33DADB67" w14:textId="77777777" w:rsidR="004D6A64" w:rsidRDefault="004D6A64">
            <w:pPr>
              <w:rPr>
                <w:rFonts w:ascii="宋体"/>
              </w:rPr>
            </w:pPr>
          </w:p>
        </w:tc>
        <w:tc>
          <w:tcPr>
            <w:tcW w:w="0" w:type="auto"/>
            <w:shd w:val="clear" w:color="auto" w:fill="auto"/>
          </w:tcPr>
          <w:p w14:paraId="33DADB68" w14:textId="77777777" w:rsidR="004D6A64" w:rsidRDefault="004D6A64">
            <w:pPr>
              <w:rPr>
                <w:rFonts w:ascii="宋体"/>
              </w:rPr>
            </w:pPr>
          </w:p>
        </w:tc>
        <w:tc>
          <w:tcPr>
            <w:tcW w:w="0" w:type="auto"/>
            <w:shd w:val="clear" w:color="auto" w:fill="auto"/>
          </w:tcPr>
          <w:p w14:paraId="33DADB69" w14:textId="77777777" w:rsidR="004D6A64" w:rsidRDefault="004D6A64">
            <w:pPr>
              <w:rPr>
                <w:rFonts w:ascii="宋体"/>
              </w:rPr>
            </w:pPr>
          </w:p>
        </w:tc>
        <w:tc>
          <w:tcPr>
            <w:tcW w:w="0" w:type="auto"/>
            <w:shd w:val="clear" w:color="auto" w:fill="auto"/>
          </w:tcPr>
          <w:p w14:paraId="33DADB6A" w14:textId="77777777" w:rsidR="004D6A64" w:rsidRDefault="004D6A64">
            <w:pPr>
              <w:rPr>
                <w:rFonts w:ascii="宋体"/>
              </w:rPr>
            </w:pPr>
          </w:p>
        </w:tc>
        <w:tc>
          <w:tcPr>
            <w:tcW w:w="0" w:type="auto"/>
            <w:shd w:val="clear" w:color="auto" w:fill="auto"/>
          </w:tcPr>
          <w:p w14:paraId="33DADB6B" w14:textId="77777777" w:rsidR="004D6A64" w:rsidRDefault="004D6A64">
            <w:pPr>
              <w:rPr>
                <w:rFonts w:ascii="宋体"/>
              </w:rPr>
            </w:pPr>
          </w:p>
        </w:tc>
        <w:tc>
          <w:tcPr>
            <w:tcW w:w="0" w:type="auto"/>
            <w:shd w:val="clear" w:color="auto" w:fill="auto"/>
          </w:tcPr>
          <w:p w14:paraId="33DADB6C" w14:textId="77777777" w:rsidR="004D6A64" w:rsidRDefault="004D6A64">
            <w:pPr>
              <w:rPr>
                <w:rFonts w:ascii="宋体"/>
              </w:rPr>
            </w:pPr>
          </w:p>
        </w:tc>
        <w:tc>
          <w:tcPr>
            <w:tcW w:w="0" w:type="auto"/>
            <w:shd w:val="clear" w:color="auto" w:fill="auto"/>
          </w:tcPr>
          <w:p w14:paraId="33DADB6D" w14:textId="77777777" w:rsidR="004D6A64" w:rsidRDefault="004D6A64">
            <w:pPr>
              <w:rPr>
                <w:rFonts w:ascii="宋体"/>
              </w:rPr>
            </w:pPr>
          </w:p>
        </w:tc>
        <w:tc>
          <w:tcPr>
            <w:tcW w:w="0" w:type="auto"/>
            <w:shd w:val="clear" w:color="auto" w:fill="auto"/>
          </w:tcPr>
          <w:p w14:paraId="33DADB6E" w14:textId="77777777" w:rsidR="004D6A64" w:rsidRDefault="004D6A64">
            <w:pPr>
              <w:rPr>
                <w:rFonts w:ascii="宋体"/>
              </w:rPr>
            </w:pPr>
          </w:p>
        </w:tc>
        <w:tc>
          <w:tcPr>
            <w:tcW w:w="0" w:type="auto"/>
            <w:shd w:val="clear" w:color="auto" w:fill="auto"/>
          </w:tcPr>
          <w:p w14:paraId="33DADB6F" w14:textId="77777777" w:rsidR="004D6A64" w:rsidRDefault="004D6A64">
            <w:pPr>
              <w:rPr>
                <w:rFonts w:ascii="宋体"/>
              </w:rPr>
            </w:pPr>
          </w:p>
        </w:tc>
        <w:tc>
          <w:tcPr>
            <w:tcW w:w="0" w:type="auto"/>
            <w:shd w:val="clear" w:color="auto" w:fill="auto"/>
          </w:tcPr>
          <w:p w14:paraId="33DADB70" w14:textId="77777777" w:rsidR="004D6A64" w:rsidRDefault="004D6A64">
            <w:pPr>
              <w:rPr>
                <w:rFonts w:ascii="宋体"/>
              </w:rPr>
            </w:pPr>
          </w:p>
        </w:tc>
        <w:tc>
          <w:tcPr>
            <w:tcW w:w="0" w:type="auto"/>
            <w:shd w:val="clear" w:color="auto" w:fill="auto"/>
          </w:tcPr>
          <w:p w14:paraId="33DADB71" w14:textId="77777777" w:rsidR="004D6A64" w:rsidRDefault="004D6A64">
            <w:pPr>
              <w:rPr>
                <w:rFonts w:ascii="宋体"/>
              </w:rPr>
            </w:pPr>
          </w:p>
        </w:tc>
        <w:tc>
          <w:tcPr>
            <w:tcW w:w="0" w:type="auto"/>
            <w:shd w:val="clear" w:color="auto" w:fill="auto"/>
          </w:tcPr>
          <w:p w14:paraId="33DADB72" w14:textId="77777777" w:rsidR="004D6A64" w:rsidRDefault="004D6A64">
            <w:pPr>
              <w:rPr>
                <w:rFonts w:ascii="宋体"/>
              </w:rPr>
            </w:pPr>
          </w:p>
        </w:tc>
      </w:tr>
      <w:tr w:rsidR="004D6A64" w14:paraId="33DADBA5" w14:textId="77777777">
        <w:trPr>
          <w:jc w:val="center"/>
        </w:trPr>
        <w:tc>
          <w:tcPr>
            <w:tcW w:w="0" w:type="auto"/>
            <w:gridSpan w:val="3"/>
            <w:shd w:val="clear" w:color="auto" w:fill="FFFFFF"/>
            <w:tcMar>
              <w:top w:w="40" w:type="dxa"/>
              <w:left w:w="360" w:type="dxa"/>
              <w:bottom w:w="40" w:type="dxa"/>
              <w:right w:w="20" w:type="dxa"/>
            </w:tcMar>
            <w:vAlign w:val="center"/>
          </w:tcPr>
          <w:p w14:paraId="33DADB74" w14:textId="77777777" w:rsidR="004D6A64" w:rsidRDefault="00506CD6">
            <w:pPr>
              <w:textAlignment w:val="center"/>
            </w:pPr>
            <w:r>
              <w:rPr>
                <w:rFonts w:ascii="Times New Roman" w:eastAsia="宋体" w:hAnsi="Times New Roman"/>
                <w:color w:val="000000"/>
                <w:sz w:val="20"/>
                <w:szCs w:val="20"/>
              </w:rPr>
              <w:t>Non-GAAP product net revenue</w:t>
            </w:r>
          </w:p>
        </w:tc>
        <w:tc>
          <w:tcPr>
            <w:tcW w:w="0" w:type="auto"/>
            <w:tcBorders>
              <w:top w:val="single" w:sz="8" w:space="0" w:color="000000"/>
            </w:tcBorders>
            <w:shd w:val="clear" w:color="auto" w:fill="FFFFFF"/>
            <w:tcMar>
              <w:top w:w="40" w:type="dxa"/>
              <w:left w:w="20" w:type="dxa"/>
              <w:bottom w:w="40" w:type="dxa"/>
            </w:tcMar>
            <w:vAlign w:val="center"/>
          </w:tcPr>
          <w:p w14:paraId="33DADB75"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DB76" w14:textId="77777777" w:rsidR="004D6A64" w:rsidRDefault="00506CD6">
            <w:pPr>
              <w:jc w:val="right"/>
              <w:textAlignment w:val="center"/>
            </w:pPr>
            <w:r>
              <w:rPr>
                <w:rFonts w:ascii="Times New Roman" w:eastAsia="宋体" w:hAnsi="Times New Roman"/>
                <w:color w:val="000000"/>
                <w:sz w:val="20"/>
                <w:szCs w:val="20"/>
              </w:rPr>
              <w:t>16,739 </w:t>
            </w:r>
          </w:p>
        </w:tc>
        <w:tc>
          <w:tcPr>
            <w:tcW w:w="0" w:type="auto"/>
            <w:tcBorders>
              <w:top w:val="single" w:sz="8" w:space="0" w:color="000000"/>
            </w:tcBorders>
            <w:shd w:val="clear" w:color="auto" w:fill="FFFFFF"/>
            <w:tcMar>
              <w:top w:w="40" w:type="dxa"/>
              <w:bottom w:w="40" w:type="dxa"/>
              <w:right w:w="20" w:type="dxa"/>
            </w:tcMar>
            <w:vAlign w:val="center"/>
          </w:tcPr>
          <w:p w14:paraId="33DADB7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B78"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B79" w14:textId="77777777" w:rsidR="004D6A64" w:rsidRDefault="00506CD6">
            <w:pPr>
              <w:jc w:val="right"/>
              <w:textAlignment w:val="center"/>
            </w:pPr>
            <w:r>
              <w:rPr>
                <w:rFonts w:ascii="Times New Roman" w:eastAsia="宋体" w:hAnsi="Times New Roman"/>
                <w:color w:val="000000"/>
                <w:sz w:val="20"/>
                <w:szCs w:val="20"/>
              </w:rPr>
              <w:t>(7)</w:t>
            </w:r>
          </w:p>
        </w:tc>
        <w:tc>
          <w:tcPr>
            <w:tcW w:w="0" w:type="auto"/>
            <w:shd w:val="clear" w:color="auto" w:fill="FFFFFF"/>
            <w:tcMar>
              <w:top w:w="40" w:type="dxa"/>
              <w:bottom w:w="40" w:type="dxa"/>
              <w:right w:w="20" w:type="dxa"/>
            </w:tcMar>
            <w:vAlign w:val="center"/>
          </w:tcPr>
          <w:p w14:paraId="33DADB7A"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DB7B"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DB7C"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DB7D" w14:textId="77777777" w:rsidR="004D6A64" w:rsidRDefault="00506CD6">
            <w:pPr>
              <w:jc w:val="right"/>
              <w:textAlignment w:val="center"/>
            </w:pPr>
            <w:r>
              <w:rPr>
                <w:rFonts w:ascii="Times New Roman" w:eastAsia="宋体" w:hAnsi="Times New Roman"/>
                <w:color w:val="000000"/>
                <w:sz w:val="20"/>
                <w:szCs w:val="20"/>
              </w:rPr>
              <w:t>17,921 </w:t>
            </w:r>
          </w:p>
        </w:tc>
        <w:tc>
          <w:tcPr>
            <w:tcW w:w="0" w:type="auto"/>
            <w:tcBorders>
              <w:top w:val="single" w:sz="8" w:space="0" w:color="000000"/>
            </w:tcBorders>
            <w:shd w:val="clear" w:color="auto" w:fill="FFFFFF"/>
            <w:tcMar>
              <w:top w:w="40" w:type="dxa"/>
              <w:bottom w:w="40" w:type="dxa"/>
              <w:right w:w="20" w:type="dxa"/>
            </w:tcMar>
            <w:vAlign w:val="center"/>
          </w:tcPr>
          <w:p w14:paraId="33DADB7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B7F"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DB80"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DB81" w14:textId="77777777" w:rsidR="004D6A64" w:rsidRDefault="00506CD6">
            <w:pPr>
              <w:jc w:val="right"/>
              <w:textAlignment w:val="center"/>
            </w:pPr>
            <w:r>
              <w:rPr>
                <w:rFonts w:ascii="Times New Roman" w:eastAsia="宋体" w:hAnsi="Times New Roman"/>
                <w:color w:val="000000"/>
                <w:sz w:val="20"/>
                <w:szCs w:val="20"/>
              </w:rPr>
              <w:t>32,781 </w:t>
            </w:r>
          </w:p>
        </w:tc>
        <w:tc>
          <w:tcPr>
            <w:tcW w:w="0" w:type="auto"/>
            <w:tcBorders>
              <w:top w:val="single" w:sz="8" w:space="0" w:color="000000"/>
            </w:tcBorders>
            <w:shd w:val="clear" w:color="auto" w:fill="FFFFFF"/>
            <w:tcMar>
              <w:top w:w="40" w:type="dxa"/>
              <w:bottom w:w="40" w:type="dxa"/>
              <w:right w:w="20" w:type="dxa"/>
            </w:tcMar>
            <w:vAlign w:val="center"/>
          </w:tcPr>
          <w:p w14:paraId="33DADB8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B8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B84" w14:textId="77777777" w:rsidR="004D6A64" w:rsidRDefault="00506CD6">
            <w:pPr>
              <w:jc w:val="right"/>
              <w:textAlignment w:val="center"/>
            </w:pPr>
            <w:r>
              <w:rPr>
                <w:rFonts w:ascii="Times New Roman" w:eastAsia="宋体" w:hAnsi="Times New Roman"/>
                <w:color w:val="000000"/>
                <w:sz w:val="20"/>
                <w:szCs w:val="20"/>
              </w:rPr>
              <w:t>(5)</w:t>
            </w:r>
          </w:p>
        </w:tc>
        <w:tc>
          <w:tcPr>
            <w:tcW w:w="0" w:type="auto"/>
            <w:shd w:val="clear" w:color="auto" w:fill="FFFFFF"/>
            <w:tcMar>
              <w:top w:w="40" w:type="dxa"/>
              <w:bottom w:w="40" w:type="dxa"/>
              <w:right w:w="20" w:type="dxa"/>
            </w:tcMar>
            <w:vAlign w:val="center"/>
          </w:tcPr>
          <w:p w14:paraId="33DADB85"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DB86"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DB87"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DB88" w14:textId="77777777" w:rsidR="004D6A64" w:rsidRDefault="00506CD6">
            <w:pPr>
              <w:jc w:val="right"/>
              <w:textAlignment w:val="center"/>
            </w:pPr>
            <w:r>
              <w:rPr>
                <w:rFonts w:ascii="Times New Roman" w:eastAsia="宋体" w:hAnsi="Times New Roman"/>
                <w:color w:val="000000"/>
                <w:sz w:val="20"/>
                <w:szCs w:val="20"/>
              </w:rPr>
              <w:t>34,500 </w:t>
            </w:r>
          </w:p>
        </w:tc>
        <w:tc>
          <w:tcPr>
            <w:tcW w:w="0" w:type="auto"/>
            <w:tcBorders>
              <w:top w:val="single" w:sz="8" w:space="0" w:color="000000"/>
            </w:tcBorders>
            <w:shd w:val="clear" w:color="auto" w:fill="FFFFFF"/>
            <w:tcMar>
              <w:top w:w="40" w:type="dxa"/>
              <w:bottom w:w="40" w:type="dxa"/>
              <w:right w:w="20" w:type="dxa"/>
            </w:tcMar>
            <w:vAlign w:val="center"/>
          </w:tcPr>
          <w:p w14:paraId="33DADB89" w14:textId="77777777" w:rsidR="004D6A64" w:rsidRDefault="004D6A64">
            <w:pPr>
              <w:jc w:val="right"/>
              <w:rPr>
                <w:rFonts w:ascii="宋体"/>
              </w:rPr>
            </w:pPr>
          </w:p>
        </w:tc>
        <w:tc>
          <w:tcPr>
            <w:tcW w:w="0" w:type="auto"/>
            <w:shd w:val="clear" w:color="auto" w:fill="auto"/>
          </w:tcPr>
          <w:p w14:paraId="33DADB8A" w14:textId="77777777" w:rsidR="004D6A64" w:rsidRDefault="004D6A64">
            <w:pPr>
              <w:rPr>
                <w:rFonts w:ascii="宋体"/>
              </w:rPr>
            </w:pPr>
          </w:p>
        </w:tc>
        <w:tc>
          <w:tcPr>
            <w:tcW w:w="0" w:type="auto"/>
            <w:shd w:val="clear" w:color="auto" w:fill="auto"/>
          </w:tcPr>
          <w:p w14:paraId="33DADB8B" w14:textId="77777777" w:rsidR="004D6A64" w:rsidRDefault="004D6A64">
            <w:pPr>
              <w:rPr>
                <w:rFonts w:ascii="宋体"/>
              </w:rPr>
            </w:pPr>
          </w:p>
        </w:tc>
        <w:tc>
          <w:tcPr>
            <w:tcW w:w="0" w:type="auto"/>
            <w:shd w:val="clear" w:color="auto" w:fill="auto"/>
          </w:tcPr>
          <w:p w14:paraId="33DADB8C" w14:textId="77777777" w:rsidR="004D6A64" w:rsidRDefault="004D6A64">
            <w:pPr>
              <w:rPr>
                <w:rFonts w:ascii="宋体"/>
              </w:rPr>
            </w:pPr>
          </w:p>
        </w:tc>
        <w:tc>
          <w:tcPr>
            <w:tcW w:w="0" w:type="auto"/>
            <w:shd w:val="clear" w:color="auto" w:fill="auto"/>
          </w:tcPr>
          <w:p w14:paraId="33DADB8D" w14:textId="77777777" w:rsidR="004D6A64" w:rsidRDefault="004D6A64">
            <w:pPr>
              <w:rPr>
                <w:rFonts w:ascii="宋体"/>
              </w:rPr>
            </w:pPr>
          </w:p>
        </w:tc>
        <w:tc>
          <w:tcPr>
            <w:tcW w:w="0" w:type="auto"/>
            <w:shd w:val="clear" w:color="auto" w:fill="auto"/>
          </w:tcPr>
          <w:p w14:paraId="33DADB8E" w14:textId="77777777" w:rsidR="004D6A64" w:rsidRDefault="004D6A64">
            <w:pPr>
              <w:rPr>
                <w:rFonts w:ascii="宋体"/>
              </w:rPr>
            </w:pPr>
          </w:p>
        </w:tc>
        <w:tc>
          <w:tcPr>
            <w:tcW w:w="0" w:type="auto"/>
            <w:shd w:val="clear" w:color="auto" w:fill="auto"/>
          </w:tcPr>
          <w:p w14:paraId="33DADB8F" w14:textId="77777777" w:rsidR="004D6A64" w:rsidRDefault="004D6A64">
            <w:pPr>
              <w:rPr>
                <w:rFonts w:ascii="宋体"/>
              </w:rPr>
            </w:pPr>
          </w:p>
        </w:tc>
        <w:tc>
          <w:tcPr>
            <w:tcW w:w="0" w:type="auto"/>
            <w:shd w:val="clear" w:color="auto" w:fill="auto"/>
          </w:tcPr>
          <w:p w14:paraId="33DADB90" w14:textId="77777777" w:rsidR="004D6A64" w:rsidRDefault="004D6A64">
            <w:pPr>
              <w:rPr>
                <w:rFonts w:ascii="宋体"/>
              </w:rPr>
            </w:pPr>
          </w:p>
        </w:tc>
        <w:tc>
          <w:tcPr>
            <w:tcW w:w="0" w:type="auto"/>
            <w:shd w:val="clear" w:color="auto" w:fill="auto"/>
          </w:tcPr>
          <w:p w14:paraId="33DADB91" w14:textId="77777777" w:rsidR="004D6A64" w:rsidRDefault="004D6A64">
            <w:pPr>
              <w:rPr>
                <w:rFonts w:ascii="宋体"/>
              </w:rPr>
            </w:pPr>
          </w:p>
        </w:tc>
        <w:tc>
          <w:tcPr>
            <w:tcW w:w="0" w:type="auto"/>
            <w:shd w:val="clear" w:color="auto" w:fill="auto"/>
          </w:tcPr>
          <w:p w14:paraId="33DADB92" w14:textId="77777777" w:rsidR="004D6A64" w:rsidRDefault="004D6A64">
            <w:pPr>
              <w:rPr>
                <w:rFonts w:ascii="宋体"/>
              </w:rPr>
            </w:pPr>
          </w:p>
        </w:tc>
        <w:tc>
          <w:tcPr>
            <w:tcW w:w="0" w:type="auto"/>
            <w:shd w:val="clear" w:color="auto" w:fill="auto"/>
          </w:tcPr>
          <w:p w14:paraId="33DADB93" w14:textId="77777777" w:rsidR="004D6A64" w:rsidRDefault="004D6A64">
            <w:pPr>
              <w:rPr>
                <w:rFonts w:ascii="宋体"/>
              </w:rPr>
            </w:pPr>
          </w:p>
        </w:tc>
        <w:tc>
          <w:tcPr>
            <w:tcW w:w="0" w:type="auto"/>
            <w:shd w:val="clear" w:color="auto" w:fill="auto"/>
          </w:tcPr>
          <w:p w14:paraId="33DADB94" w14:textId="77777777" w:rsidR="004D6A64" w:rsidRDefault="004D6A64">
            <w:pPr>
              <w:rPr>
                <w:rFonts w:ascii="宋体"/>
              </w:rPr>
            </w:pPr>
          </w:p>
        </w:tc>
        <w:tc>
          <w:tcPr>
            <w:tcW w:w="0" w:type="auto"/>
            <w:shd w:val="clear" w:color="auto" w:fill="auto"/>
          </w:tcPr>
          <w:p w14:paraId="33DADB95" w14:textId="77777777" w:rsidR="004D6A64" w:rsidRDefault="004D6A64">
            <w:pPr>
              <w:rPr>
                <w:rFonts w:ascii="宋体"/>
              </w:rPr>
            </w:pPr>
          </w:p>
        </w:tc>
        <w:tc>
          <w:tcPr>
            <w:tcW w:w="0" w:type="auto"/>
            <w:shd w:val="clear" w:color="auto" w:fill="auto"/>
          </w:tcPr>
          <w:p w14:paraId="33DADB96" w14:textId="77777777" w:rsidR="004D6A64" w:rsidRDefault="004D6A64">
            <w:pPr>
              <w:rPr>
                <w:rFonts w:ascii="宋体"/>
              </w:rPr>
            </w:pPr>
          </w:p>
        </w:tc>
        <w:tc>
          <w:tcPr>
            <w:tcW w:w="0" w:type="auto"/>
            <w:shd w:val="clear" w:color="auto" w:fill="auto"/>
          </w:tcPr>
          <w:p w14:paraId="33DADB97" w14:textId="77777777" w:rsidR="004D6A64" w:rsidRDefault="004D6A64">
            <w:pPr>
              <w:rPr>
                <w:rFonts w:ascii="宋体"/>
              </w:rPr>
            </w:pPr>
          </w:p>
        </w:tc>
        <w:tc>
          <w:tcPr>
            <w:tcW w:w="0" w:type="auto"/>
            <w:shd w:val="clear" w:color="auto" w:fill="auto"/>
          </w:tcPr>
          <w:p w14:paraId="33DADB98" w14:textId="77777777" w:rsidR="004D6A64" w:rsidRDefault="004D6A64">
            <w:pPr>
              <w:rPr>
                <w:rFonts w:ascii="宋体"/>
              </w:rPr>
            </w:pPr>
          </w:p>
        </w:tc>
        <w:tc>
          <w:tcPr>
            <w:tcW w:w="0" w:type="auto"/>
            <w:shd w:val="clear" w:color="auto" w:fill="auto"/>
          </w:tcPr>
          <w:p w14:paraId="33DADB99" w14:textId="77777777" w:rsidR="004D6A64" w:rsidRDefault="004D6A64">
            <w:pPr>
              <w:rPr>
                <w:rFonts w:ascii="宋体"/>
              </w:rPr>
            </w:pPr>
          </w:p>
        </w:tc>
        <w:tc>
          <w:tcPr>
            <w:tcW w:w="0" w:type="auto"/>
            <w:shd w:val="clear" w:color="auto" w:fill="auto"/>
          </w:tcPr>
          <w:p w14:paraId="33DADB9A" w14:textId="77777777" w:rsidR="004D6A64" w:rsidRDefault="004D6A64">
            <w:pPr>
              <w:rPr>
                <w:rFonts w:ascii="宋体"/>
              </w:rPr>
            </w:pPr>
          </w:p>
        </w:tc>
        <w:tc>
          <w:tcPr>
            <w:tcW w:w="0" w:type="auto"/>
            <w:shd w:val="clear" w:color="auto" w:fill="auto"/>
          </w:tcPr>
          <w:p w14:paraId="33DADB9B" w14:textId="77777777" w:rsidR="004D6A64" w:rsidRDefault="004D6A64">
            <w:pPr>
              <w:rPr>
                <w:rFonts w:ascii="宋体"/>
              </w:rPr>
            </w:pPr>
          </w:p>
        </w:tc>
        <w:tc>
          <w:tcPr>
            <w:tcW w:w="0" w:type="auto"/>
            <w:shd w:val="clear" w:color="auto" w:fill="auto"/>
          </w:tcPr>
          <w:p w14:paraId="33DADB9C" w14:textId="77777777" w:rsidR="004D6A64" w:rsidRDefault="004D6A64">
            <w:pPr>
              <w:rPr>
                <w:rFonts w:ascii="宋体"/>
              </w:rPr>
            </w:pPr>
          </w:p>
        </w:tc>
        <w:tc>
          <w:tcPr>
            <w:tcW w:w="0" w:type="auto"/>
            <w:shd w:val="clear" w:color="auto" w:fill="auto"/>
          </w:tcPr>
          <w:p w14:paraId="33DADB9D" w14:textId="77777777" w:rsidR="004D6A64" w:rsidRDefault="004D6A64">
            <w:pPr>
              <w:rPr>
                <w:rFonts w:ascii="宋体"/>
              </w:rPr>
            </w:pPr>
          </w:p>
        </w:tc>
        <w:tc>
          <w:tcPr>
            <w:tcW w:w="0" w:type="auto"/>
            <w:shd w:val="clear" w:color="auto" w:fill="auto"/>
          </w:tcPr>
          <w:p w14:paraId="33DADB9E" w14:textId="77777777" w:rsidR="004D6A64" w:rsidRDefault="004D6A64">
            <w:pPr>
              <w:rPr>
                <w:rFonts w:ascii="宋体"/>
              </w:rPr>
            </w:pPr>
          </w:p>
        </w:tc>
        <w:tc>
          <w:tcPr>
            <w:tcW w:w="0" w:type="auto"/>
            <w:shd w:val="clear" w:color="auto" w:fill="auto"/>
          </w:tcPr>
          <w:p w14:paraId="33DADB9F" w14:textId="77777777" w:rsidR="004D6A64" w:rsidRDefault="004D6A64">
            <w:pPr>
              <w:rPr>
                <w:rFonts w:ascii="宋体"/>
              </w:rPr>
            </w:pPr>
          </w:p>
        </w:tc>
        <w:tc>
          <w:tcPr>
            <w:tcW w:w="0" w:type="auto"/>
            <w:shd w:val="clear" w:color="auto" w:fill="auto"/>
          </w:tcPr>
          <w:p w14:paraId="33DADBA0" w14:textId="77777777" w:rsidR="004D6A64" w:rsidRDefault="004D6A64">
            <w:pPr>
              <w:rPr>
                <w:rFonts w:ascii="宋体"/>
              </w:rPr>
            </w:pPr>
          </w:p>
        </w:tc>
        <w:tc>
          <w:tcPr>
            <w:tcW w:w="0" w:type="auto"/>
            <w:shd w:val="clear" w:color="auto" w:fill="auto"/>
          </w:tcPr>
          <w:p w14:paraId="33DADBA1" w14:textId="77777777" w:rsidR="004D6A64" w:rsidRDefault="004D6A64">
            <w:pPr>
              <w:rPr>
                <w:rFonts w:ascii="宋体"/>
              </w:rPr>
            </w:pPr>
          </w:p>
        </w:tc>
        <w:tc>
          <w:tcPr>
            <w:tcW w:w="0" w:type="auto"/>
            <w:shd w:val="clear" w:color="auto" w:fill="auto"/>
          </w:tcPr>
          <w:p w14:paraId="33DADBA2" w14:textId="77777777" w:rsidR="004D6A64" w:rsidRDefault="004D6A64">
            <w:pPr>
              <w:rPr>
                <w:rFonts w:ascii="宋体"/>
              </w:rPr>
            </w:pPr>
          </w:p>
        </w:tc>
        <w:tc>
          <w:tcPr>
            <w:tcW w:w="0" w:type="auto"/>
            <w:shd w:val="clear" w:color="auto" w:fill="auto"/>
          </w:tcPr>
          <w:p w14:paraId="33DADBA3" w14:textId="77777777" w:rsidR="004D6A64" w:rsidRDefault="004D6A64">
            <w:pPr>
              <w:rPr>
                <w:rFonts w:ascii="宋体"/>
              </w:rPr>
            </w:pPr>
          </w:p>
        </w:tc>
        <w:tc>
          <w:tcPr>
            <w:tcW w:w="0" w:type="auto"/>
            <w:shd w:val="clear" w:color="auto" w:fill="auto"/>
          </w:tcPr>
          <w:p w14:paraId="33DADBA4" w14:textId="77777777" w:rsidR="004D6A64" w:rsidRDefault="004D6A64">
            <w:pPr>
              <w:rPr>
                <w:rFonts w:ascii="宋体"/>
              </w:rPr>
            </w:pPr>
          </w:p>
        </w:tc>
      </w:tr>
      <w:tr w:rsidR="004D6A64" w14:paraId="33DADBCD" w14:textId="77777777">
        <w:trPr>
          <w:trHeight w:val="280"/>
          <w:jc w:val="center"/>
        </w:trPr>
        <w:tc>
          <w:tcPr>
            <w:tcW w:w="0" w:type="auto"/>
            <w:gridSpan w:val="3"/>
            <w:shd w:val="clear" w:color="auto" w:fill="CCEEFF"/>
            <w:tcMar>
              <w:left w:w="20" w:type="dxa"/>
              <w:right w:w="20" w:type="dxa"/>
            </w:tcMar>
            <w:vAlign w:val="bottom"/>
          </w:tcPr>
          <w:p w14:paraId="33DADBA6"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DBA7"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BA8"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BA9"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BAA"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DBAB"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BAC"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DBA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BAE"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BAF"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BB0"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DBB1" w14:textId="77777777" w:rsidR="004D6A64" w:rsidRDefault="004D6A64">
            <w:pPr>
              <w:rPr>
                <w:rFonts w:ascii="宋体"/>
              </w:rPr>
            </w:pPr>
          </w:p>
        </w:tc>
        <w:tc>
          <w:tcPr>
            <w:tcW w:w="0" w:type="auto"/>
            <w:shd w:val="clear" w:color="auto" w:fill="auto"/>
          </w:tcPr>
          <w:p w14:paraId="33DADBB2" w14:textId="77777777" w:rsidR="004D6A64" w:rsidRDefault="004D6A64">
            <w:pPr>
              <w:rPr>
                <w:rFonts w:ascii="宋体"/>
              </w:rPr>
            </w:pPr>
          </w:p>
        </w:tc>
        <w:tc>
          <w:tcPr>
            <w:tcW w:w="0" w:type="auto"/>
            <w:shd w:val="clear" w:color="auto" w:fill="auto"/>
          </w:tcPr>
          <w:p w14:paraId="33DADBB3" w14:textId="77777777" w:rsidR="004D6A64" w:rsidRDefault="004D6A64">
            <w:pPr>
              <w:rPr>
                <w:rFonts w:ascii="宋体"/>
              </w:rPr>
            </w:pPr>
          </w:p>
        </w:tc>
        <w:tc>
          <w:tcPr>
            <w:tcW w:w="0" w:type="auto"/>
            <w:shd w:val="clear" w:color="auto" w:fill="auto"/>
          </w:tcPr>
          <w:p w14:paraId="33DADBB4" w14:textId="77777777" w:rsidR="004D6A64" w:rsidRDefault="004D6A64">
            <w:pPr>
              <w:rPr>
                <w:rFonts w:ascii="宋体"/>
              </w:rPr>
            </w:pPr>
          </w:p>
        </w:tc>
        <w:tc>
          <w:tcPr>
            <w:tcW w:w="0" w:type="auto"/>
            <w:shd w:val="clear" w:color="auto" w:fill="auto"/>
          </w:tcPr>
          <w:p w14:paraId="33DADBB5" w14:textId="77777777" w:rsidR="004D6A64" w:rsidRDefault="004D6A64">
            <w:pPr>
              <w:rPr>
                <w:rFonts w:ascii="宋体"/>
              </w:rPr>
            </w:pPr>
          </w:p>
        </w:tc>
        <w:tc>
          <w:tcPr>
            <w:tcW w:w="0" w:type="auto"/>
            <w:shd w:val="clear" w:color="auto" w:fill="auto"/>
          </w:tcPr>
          <w:p w14:paraId="33DADBB6" w14:textId="77777777" w:rsidR="004D6A64" w:rsidRDefault="004D6A64">
            <w:pPr>
              <w:rPr>
                <w:rFonts w:ascii="宋体"/>
              </w:rPr>
            </w:pPr>
          </w:p>
        </w:tc>
        <w:tc>
          <w:tcPr>
            <w:tcW w:w="0" w:type="auto"/>
            <w:shd w:val="clear" w:color="auto" w:fill="auto"/>
          </w:tcPr>
          <w:p w14:paraId="33DADBB7" w14:textId="77777777" w:rsidR="004D6A64" w:rsidRDefault="004D6A64">
            <w:pPr>
              <w:rPr>
                <w:rFonts w:ascii="宋体"/>
              </w:rPr>
            </w:pPr>
          </w:p>
        </w:tc>
        <w:tc>
          <w:tcPr>
            <w:tcW w:w="0" w:type="auto"/>
            <w:shd w:val="clear" w:color="auto" w:fill="auto"/>
          </w:tcPr>
          <w:p w14:paraId="33DADBB8" w14:textId="77777777" w:rsidR="004D6A64" w:rsidRDefault="004D6A64">
            <w:pPr>
              <w:rPr>
                <w:rFonts w:ascii="宋体"/>
              </w:rPr>
            </w:pPr>
          </w:p>
        </w:tc>
        <w:tc>
          <w:tcPr>
            <w:tcW w:w="0" w:type="auto"/>
            <w:shd w:val="clear" w:color="auto" w:fill="auto"/>
          </w:tcPr>
          <w:p w14:paraId="33DADBB9" w14:textId="77777777" w:rsidR="004D6A64" w:rsidRDefault="004D6A64">
            <w:pPr>
              <w:rPr>
                <w:rFonts w:ascii="宋体"/>
              </w:rPr>
            </w:pPr>
          </w:p>
        </w:tc>
        <w:tc>
          <w:tcPr>
            <w:tcW w:w="0" w:type="auto"/>
            <w:shd w:val="clear" w:color="auto" w:fill="auto"/>
          </w:tcPr>
          <w:p w14:paraId="33DADBBA" w14:textId="77777777" w:rsidR="004D6A64" w:rsidRDefault="004D6A64">
            <w:pPr>
              <w:rPr>
                <w:rFonts w:ascii="宋体"/>
              </w:rPr>
            </w:pPr>
          </w:p>
        </w:tc>
        <w:tc>
          <w:tcPr>
            <w:tcW w:w="0" w:type="auto"/>
            <w:shd w:val="clear" w:color="auto" w:fill="auto"/>
          </w:tcPr>
          <w:p w14:paraId="33DADBBB" w14:textId="77777777" w:rsidR="004D6A64" w:rsidRDefault="004D6A64">
            <w:pPr>
              <w:rPr>
                <w:rFonts w:ascii="宋体"/>
              </w:rPr>
            </w:pPr>
          </w:p>
        </w:tc>
        <w:tc>
          <w:tcPr>
            <w:tcW w:w="0" w:type="auto"/>
            <w:shd w:val="clear" w:color="auto" w:fill="auto"/>
          </w:tcPr>
          <w:p w14:paraId="33DADBBC" w14:textId="77777777" w:rsidR="004D6A64" w:rsidRDefault="004D6A64">
            <w:pPr>
              <w:rPr>
                <w:rFonts w:ascii="宋体"/>
              </w:rPr>
            </w:pPr>
          </w:p>
        </w:tc>
        <w:tc>
          <w:tcPr>
            <w:tcW w:w="0" w:type="auto"/>
            <w:shd w:val="clear" w:color="auto" w:fill="auto"/>
          </w:tcPr>
          <w:p w14:paraId="33DADBBD" w14:textId="77777777" w:rsidR="004D6A64" w:rsidRDefault="004D6A64">
            <w:pPr>
              <w:rPr>
                <w:rFonts w:ascii="宋体"/>
              </w:rPr>
            </w:pPr>
          </w:p>
        </w:tc>
        <w:tc>
          <w:tcPr>
            <w:tcW w:w="0" w:type="auto"/>
            <w:shd w:val="clear" w:color="auto" w:fill="auto"/>
          </w:tcPr>
          <w:p w14:paraId="33DADBBE" w14:textId="77777777" w:rsidR="004D6A64" w:rsidRDefault="004D6A64">
            <w:pPr>
              <w:rPr>
                <w:rFonts w:ascii="宋体"/>
              </w:rPr>
            </w:pPr>
          </w:p>
        </w:tc>
        <w:tc>
          <w:tcPr>
            <w:tcW w:w="0" w:type="auto"/>
            <w:shd w:val="clear" w:color="auto" w:fill="auto"/>
          </w:tcPr>
          <w:p w14:paraId="33DADBBF" w14:textId="77777777" w:rsidR="004D6A64" w:rsidRDefault="004D6A64">
            <w:pPr>
              <w:rPr>
                <w:rFonts w:ascii="宋体"/>
              </w:rPr>
            </w:pPr>
          </w:p>
        </w:tc>
        <w:tc>
          <w:tcPr>
            <w:tcW w:w="0" w:type="auto"/>
            <w:shd w:val="clear" w:color="auto" w:fill="auto"/>
          </w:tcPr>
          <w:p w14:paraId="33DADBC0" w14:textId="77777777" w:rsidR="004D6A64" w:rsidRDefault="004D6A64">
            <w:pPr>
              <w:rPr>
                <w:rFonts w:ascii="宋体"/>
              </w:rPr>
            </w:pPr>
          </w:p>
        </w:tc>
        <w:tc>
          <w:tcPr>
            <w:tcW w:w="0" w:type="auto"/>
            <w:shd w:val="clear" w:color="auto" w:fill="auto"/>
          </w:tcPr>
          <w:p w14:paraId="33DADBC1" w14:textId="77777777" w:rsidR="004D6A64" w:rsidRDefault="004D6A64">
            <w:pPr>
              <w:rPr>
                <w:rFonts w:ascii="宋体"/>
              </w:rPr>
            </w:pPr>
          </w:p>
        </w:tc>
        <w:tc>
          <w:tcPr>
            <w:tcW w:w="0" w:type="auto"/>
            <w:shd w:val="clear" w:color="auto" w:fill="auto"/>
          </w:tcPr>
          <w:p w14:paraId="33DADBC2" w14:textId="77777777" w:rsidR="004D6A64" w:rsidRDefault="004D6A64">
            <w:pPr>
              <w:rPr>
                <w:rFonts w:ascii="宋体"/>
              </w:rPr>
            </w:pPr>
          </w:p>
        </w:tc>
        <w:tc>
          <w:tcPr>
            <w:tcW w:w="0" w:type="auto"/>
            <w:shd w:val="clear" w:color="auto" w:fill="auto"/>
          </w:tcPr>
          <w:p w14:paraId="33DADBC3" w14:textId="77777777" w:rsidR="004D6A64" w:rsidRDefault="004D6A64">
            <w:pPr>
              <w:rPr>
                <w:rFonts w:ascii="宋体"/>
              </w:rPr>
            </w:pPr>
          </w:p>
        </w:tc>
        <w:tc>
          <w:tcPr>
            <w:tcW w:w="0" w:type="auto"/>
            <w:shd w:val="clear" w:color="auto" w:fill="auto"/>
          </w:tcPr>
          <w:p w14:paraId="33DADBC4" w14:textId="77777777" w:rsidR="004D6A64" w:rsidRDefault="004D6A64">
            <w:pPr>
              <w:rPr>
                <w:rFonts w:ascii="宋体"/>
              </w:rPr>
            </w:pPr>
          </w:p>
        </w:tc>
        <w:tc>
          <w:tcPr>
            <w:tcW w:w="0" w:type="auto"/>
            <w:shd w:val="clear" w:color="auto" w:fill="auto"/>
          </w:tcPr>
          <w:p w14:paraId="33DADBC5" w14:textId="77777777" w:rsidR="004D6A64" w:rsidRDefault="004D6A64">
            <w:pPr>
              <w:rPr>
                <w:rFonts w:ascii="宋体"/>
              </w:rPr>
            </w:pPr>
          </w:p>
        </w:tc>
        <w:tc>
          <w:tcPr>
            <w:tcW w:w="0" w:type="auto"/>
            <w:shd w:val="clear" w:color="auto" w:fill="auto"/>
          </w:tcPr>
          <w:p w14:paraId="33DADBC6" w14:textId="77777777" w:rsidR="004D6A64" w:rsidRDefault="004D6A64">
            <w:pPr>
              <w:rPr>
                <w:rFonts w:ascii="宋体"/>
              </w:rPr>
            </w:pPr>
          </w:p>
        </w:tc>
        <w:tc>
          <w:tcPr>
            <w:tcW w:w="0" w:type="auto"/>
            <w:shd w:val="clear" w:color="auto" w:fill="auto"/>
          </w:tcPr>
          <w:p w14:paraId="33DADBC7" w14:textId="77777777" w:rsidR="004D6A64" w:rsidRDefault="004D6A64">
            <w:pPr>
              <w:rPr>
                <w:rFonts w:ascii="宋体"/>
              </w:rPr>
            </w:pPr>
          </w:p>
        </w:tc>
        <w:tc>
          <w:tcPr>
            <w:tcW w:w="0" w:type="auto"/>
            <w:shd w:val="clear" w:color="auto" w:fill="auto"/>
          </w:tcPr>
          <w:p w14:paraId="33DADBC8" w14:textId="77777777" w:rsidR="004D6A64" w:rsidRDefault="004D6A64">
            <w:pPr>
              <w:rPr>
                <w:rFonts w:ascii="宋体"/>
              </w:rPr>
            </w:pPr>
          </w:p>
        </w:tc>
        <w:tc>
          <w:tcPr>
            <w:tcW w:w="0" w:type="auto"/>
            <w:shd w:val="clear" w:color="auto" w:fill="auto"/>
          </w:tcPr>
          <w:p w14:paraId="33DADBC9" w14:textId="77777777" w:rsidR="004D6A64" w:rsidRDefault="004D6A64">
            <w:pPr>
              <w:rPr>
                <w:rFonts w:ascii="宋体"/>
              </w:rPr>
            </w:pPr>
          </w:p>
        </w:tc>
        <w:tc>
          <w:tcPr>
            <w:tcW w:w="0" w:type="auto"/>
            <w:shd w:val="clear" w:color="auto" w:fill="auto"/>
          </w:tcPr>
          <w:p w14:paraId="33DADBCA" w14:textId="77777777" w:rsidR="004D6A64" w:rsidRDefault="004D6A64">
            <w:pPr>
              <w:rPr>
                <w:rFonts w:ascii="宋体"/>
              </w:rPr>
            </w:pPr>
          </w:p>
        </w:tc>
        <w:tc>
          <w:tcPr>
            <w:tcW w:w="0" w:type="auto"/>
            <w:shd w:val="clear" w:color="auto" w:fill="auto"/>
          </w:tcPr>
          <w:p w14:paraId="33DADBCB" w14:textId="77777777" w:rsidR="004D6A64" w:rsidRDefault="004D6A64">
            <w:pPr>
              <w:rPr>
                <w:rFonts w:ascii="宋体"/>
              </w:rPr>
            </w:pPr>
          </w:p>
        </w:tc>
        <w:tc>
          <w:tcPr>
            <w:tcW w:w="0" w:type="auto"/>
            <w:shd w:val="clear" w:color="auto" w:fill="auto"/>
          </w:tcPr>
          <w:p w14:paraId="33DADBCC" w14:textId="77777777" w:rsidR="004D6A64" w:rsidRDefault="004D6A64">
            <w:pPr>
              <w:rPr>
                <w:rFonts w:ascii="宋体"/>
              </w:rPr>
            </w:pPr>
          </w:p>
        </w:tc>
      </w:tr>
      <w:tr w:rsidR="004D6A64" w14:paraId="33DADBFF" w14:textId="77777777">
        <w:trPr>
          <w:jc w:val="center"/>
        </w:trPr>
        <w:tc>
          <w:tcPr>
            <w:tcW w:w="0" w:type="auto"/>
            <w:gridSpan w:val="3"/>
            <w:shd w:val="clear" w:color="auto" w:fill="FFFFFF"/>
            <w:tcMar>
              <w:top w:w="40" w:type="dxa"/>
              <w:left w:w="20" w:type="dxa"/>
              <w:bottom w:w="40" w:type="dxa"/>
              <w:right w:w="20" w:type="dxa"/>
            </w:tcMar>
            <w:vAlign w:val="center"/>
          </w:tcPr>
          <w:p w14:paraId="33DADBCE" w14:textId="77777777" w:rsidR="004D6A64" w:rsidRDefault="00506CD6">
            <w:pPr>
              <w:textAlignment w:val="center"/>
            </w:pPr>
            <w:r>
              <w:rPr>
                <w:rFonts w:ascii="Times New Roman" w:eastAsia="宋体" w:hAnsi="Times New Roman"/>
                <w:color w:val="000000"/>
                <w:sz w:val="20"/>
                <w:szCs w:val="20"/>
              </w:rPr>
              <w:t>Services net revenue</w:t>
            </w:r>
          </w:p>
        </w:tc>
        <w:tc>
          <w:tcPr>
            <w:tcW w:w="0" w:type="auto"/>
            <w:shd w:val="clear" w:color="auto" w:fill="FFFFFF"/>
            <w:tcMar>
              <w:top w:w="40" w:type="dxa"/>
              <w:left w:w="20" w:type="dxa"/>
              <w:bottom w:w="40" w:type="dxa"/>
            </w:tcMar>
            <w:vAlign w:val="center"/>
          </w:tcPr>
          <w:p w14:paraId="33DADBCF"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DBD0" w14:textId="77777777" w:rsidR="004D6A64" w:rsidRDefault="00506CD6">
            <w:pPr>
              <w:jc w:val="right"/>
              <w:textAlignment w:val="center"/>
            </w:pPr>
            <w:r>
              <w:rPr>
                <w:rFonts w:ascii="Times New Roman" w:eastAsia="宋体" w:hAnsi="Times New Roman"/>
                <w:color w:val="000000"/>
                <w:sz w:val="20"/>
                <w:szCs w:val="20"/>
              </w:rPr>
              <w:t>5,996 </w:t>
            </w:r>
          </w:p>
        </w:tc>
        <w:tc>
          <w:tcPr>
            <w:tcW w:w="0" w:type="auto"/>
            <w:shd w:val="clear" w:color="auto" w:fill="FFFFFF"/>
            <w:tcMar>
              <w:top w:w="40" w:type="dxa"/>
              <w:bottom w:w="40" w:type="dxa"/>
              <w:right w:w="20" w:type="dxa"/>
            </w:tcMar>
            <w:vAlign w:val="center"/>
          </w:tcPr>
          <w:p w14:paraId="33DADBD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BD2"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BD3" w14:textId="77777777" w:rsidR="004D6A64" w:rsidRDefault="00506CD6">
            <w:pPr>
              <w:jc w:val="right"/>
              <w:textAlignment w:val="center"/>
            </w:pPr>
            <w:r>
              <w:rPr>
                <w:rFonts w:ascii="Times New Roman" w:eastAsia="宋体" w:hAnsi="Times New Roman"/>
                <w:color w:val="000000"/>
                <w:sz w:val="20"/>
                <w:szCs w:val="20"/>
              </w:rPr>
              <w:t>10 </w:t>
            </w:r>
          </w:p>
        </w:tc>
        <w:tc>
          <w:tcPr>
            <w:tcW w:w="0" w:type="auto"/>
            <w:shd w:val="clear" w:color="auto" w:fill="FFFFFF"/>
            <w:tcMar>
              <w:top w:w="40" w:type="dxa"/>
              <w:bottom w:w="40" w:type="dxa"/>
              <w:right w:w="20" w:type="dxa"/>
            </w:tcMar>
            <w:vAlign w:val="center"/>
          </w:tcPr>
          <w:p w14:paraId="33DADBD4"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DBD5"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DBD6"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DBD7" w14:textId="77777777" w:rsidR="004D6A64" w:rsidRDefault="00506CD6">
            <w:pPr>
              <w:jc w:val="right"/>
              <w:textAlignment w:val="center"/>
            </w:pPr>
            <w:r>
              <w:rPr>
                <w:rFonts w:ascii="Times New Roman" w:eastAsia="宋体" w:hAnsi="Times New Roman"/>
                <w:color w:val="000000"/>
                <w:sz w:val="20"/>
                <w:szCs w:val="20"/>
              </w:rPr>
              <w:t>5,455 </w:t>
            </w:r>
          </w:p>
        </w:tc>
        <w:tc>
          <w:tcPr>
            <w:tcW w:w="0" w:type="auto"/>
            <w:shd w:val="clear" w:color="auto" w:fill="FFFFFF"/>
            <w:tcMar>
              <w:top w:w="40" w:type="dxa"/>
              <w:bottom w:w="40" w:type="dxa"/>
              <w:right w:w="20" w:type="dxa"/>
            </w:tcMar>
            <w:vAlign w:val="center"/>
          </w:tcPr>
          <w:p w14:paraId="33DADBD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BD9"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DBDA"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DBDB" w14:textId="77777777" w:rsidR="004D6A64" w:rsidRDefault="00506CD6">
            <w:pPr>
              <w:jc w:val="right"/>
              <w:textAlignment w:val="center"/>
            </w:pPr>
            <w:r>
              <w:rPr>
                <w:rFonts w:ascii="Times New Roman" w:eastAsia="宋体" w:hAnsi="Times New Roman"/>
                <w:color w:val="000000"/>
                <w:sz w:val="20"/>
                <w:szCs w:val="20"/>
              </w:rPr>
              <w:t>11,855 </w:t>
            </w:r>
          </w:p>
        </w:tc>
        <w:tc>
          <w:tcPr>
            <w:tcW w:w="0" w:type="auto"/>
            <w:shd w:val="clear" w:color="auto" w:fill="FFFFFF"/>
            <w:tcMar>
              <w:top w:w="40" w:type="dxa"/>
              <w:bottom w:w="40" w:type="dxa"/>
              <w:right w:w="20" w:type="dxa"/>
            </w:tcMar>
            <w:vAlign w:val="center"/>
          </w:tcPr>
          <w:p w14:paraId="33DADBD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BD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BDE" w14:textId="77777777" w:rsidR="004D6A64" w:rsidRDefault="00506CD6">
            <w:pPr>
              <w:jc w:val="right"/>
              <w:textAlignment w:val="center"/>
            </w:pPr>
            <w:r>
              <w:rPr>
                <w:rFonts w:ascii="Times New Roman" w:eastAsia="宋体" w:hAnsi="Times New Roman"/>
                <w:color w:val="000000"/>
                <w:sz w:val="20"/>
                <w:szCs w:val="20"/>
              </w:rPr>
              <w:t>10 </w:t>
            </w:r>
          </w:p>
        </w:tc>
        <w:tc>
          <w:tcPr>
            <w:tcW w:w="0" w:type="auto"/>
            <w:shd w:val="clear" w:color="auto" w:fill="FFFFFF"/>
            <w:tcMar>
              <w:top w:w="40" w:type="dxa"/>
              <w:bottom w:w="40" w:type="dxa"/>
              <w:right w:w="20" w:type="dxa"/>
            </w:tcMar>
            <w:vAlign w:val="center"/>
          </w:tcPr>
          <w:p w14:paraId="33DADBDF"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DBE0"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DBE1"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DBE2" w14:textId="77777777" w:rsidR="004D6A64" w:rsidRDefault="00506CD6">
            <w:pPr>
              <w:jc w:val="right"/>
              <w:textAlignment w:val="center"/>
            </w:pPr>
            <w:r>
              <w:rPr>
                <w:rFonts w:ascii="Times New Roman" w:eastAsia="宋体" w:hAnsi="Times New Roman"/>
                <w:color w:val="000000"/>
                <w:sz w:val="20"/>
                <w:szCs w:val="20"/>
              </w:rPr>
              <w:t>10,788 </w:t>
            </w:r>
          </w:p>
        </w:tc>
        <w:tc>
          <w:tcPr>
            <w:tcW w:w="0" w:type="auto"/>
            <w:shd w:val="clear" w:color="auto" w:fill="FFFFFF"/>
            <w:tcMar>
              <w:top w:w="40" w:type="dxa"/>
              <w:bottom w:w="40" w:type="dxa"/>
              <w:right w:w="20" w:type="dxa"/>
            </w:tcMar>
            <w:vAlign w:val="center"/>
          </w:tcPr>
          <w:p w14:paraId="33DADBE3" w14:textId="77777777" w:rsidR="004D6A64" w:rsidRDefault="004D6A64">
            <w:pPr>
              <w:jc w:val="right"/>
              <w:rPr>
                <w:rFonts w:ascii="宋体"/>
              </w:rPr>
            </w:pPr>
          </w:p>
        </w:tc>
        <w:tc>
          <w:tcPr>
            <w:tcW w:w="0" w:type="auto"/>
            <w:shd w:val="clear" w:color="auto" w:fill="auto"/>
          </w:tcPr>
          <w:p w14:paraId="33DADBE4" w14:textId="77777777" w:rsidR="004D6A64" w:rsidRDefault="004D6A64">
            <w:pPr>
              <w:rPr>
                <w:rFonts w:ascii="宋体"/>
              </w:rPr>
            </w:pPr>
          </w:p>
        </w:tc>
        <w:tc>
          <w:tcPr>
            <w:tcW w:w="0" w:type="auto"/>
            <w:shd w:val="clear" w:color="auto" w:fill="auto"/>
          </w:tcPr>
          <w:p w14:paraId="33DADBE5" w14:textId="77777777" w:rsidR="004D6A64" w:rsidRDefault="004D6A64">
            <w:pPr>
              <w:rPr>
                <w:rFonts w:ascii="宋体"/>
              </w:rPr>
            </w:pPr>
          </w:p>
        </w:tc>
        <w:tc>
          <w:tcPr>
            <w:tcW w:w="0" w:type="auto"/>
            <w:shd w:val="clear" w:color="auto" w:fill="auto"/>
          </w:tcPr>
          <w:p w14:paraId="33DADBE6" w14:textId="77777777" w:rsidR="004D6A64" w:rsidRDefault="004D6A64">
            <w:pPr>
              <w:rPr>
                <w:rFonts w:ascii="宋体"/>
              </w:rPr>
            </w:pPr>
          </w:p>
        </w:tc>
        <w:tc>
          <w:tcPr>
            <w:tcW w:w="0" w:type="auto"/>
            <w:shd w:val="clear" w:color="auto" w:fill="auto"/>
          </w:tcPr>
          <w:p w14:paraId="33DADBE7" w14:textId="77777777" w:rsidR="004D6A64" w:rsidRDefault="004D6A64">
            <w:pPr>
              <w:rPr>
                <w:rFonts w:ascii="宋体"/>
              </w:rPr>
            </w:pPr>
          </w:p>
        </w:tc>
        <w:tc>
          <w:tcPr>
            <w:tcW w:w="0" w:type="auto"/>
            <w:shd w:val="clear" w:color="auto" w:fill="auto"/>
          </w:tcPr>
          <w:p w14:paraId="33DADBE8" w14:textId="77777777" w:rsidR="004D6A64" w:rsidRDefault="004D6A64">
            <w:pPr>
              <w:rPr>
                <w:rFonts w:ascii="宋体"/>
              </w:rPr>
            </w:pPr>
          </w:p>
        </w:tc>
        <w:tc>
          <w:tcPr>
            <w:tcW w:w="0" w:type="auto"/>
            <w:shd w:val="clear" w:color="auto" w:fill="auto"/>
          </w:tcPr>
          <w:p w14:paraId="33DADBE9" w14:textId="77777777" w:rsidR="004D6A64" w:rsidRDefault="004D6A64">
            <w:pPr>
              <w:rPr>
                <w:rFonts w:ascii="宋体"/>
              </w:rPr>
            </w:pPr>
          </w:p>
        </w:tc>
        <w:tc>
          <w:tcPr>
            <w:tcW w:w="0" w:type="auto"/>
            <w:shd w:val="clear" w:color="auto" w:fill="auto"/>
          </w:tcPr>
          <w:p w14:paraId="33DADBEA" w14:textId="77777777" w:rsidR="004D6A64" w:rsidRDefault="004D6A64">
            <w:pPr>
              <w:rPr>
                <w:rFonts w:ascii="宋体"/>
              </w:rPr>
            </w:pPr>
          </w:p>
        </w:tc>
        <w:tc>
          <w:tcPr>
            <w:tcW w:w="0" w:type="auto"/>
            <w:shd w:val="clear" w:color="auto" w:fill="auto"/>
          </w:tcPr>
          <w:p w14:paraId="33DADBEB" w14:textId="77777777" w:rsidR="004D6A64" w:rsidRDefault="004D6A64">
            <w:pPr>
              <w:rPr>
                <w:rFonts w:ascii="宋体"/>
              </w:rPr>
            </w:pPr>
          </w:p>
        </w:tc>
        <w:tc>
          <w:tcPr>
            <w:tcW w:w="0" w:type="auto"/>
            <w:shd w:val="clear" w:color="auto" w:fill="auto"/>
          </w:tcPr>
          <w:p w14:paraId="33DADBEC" w14:textId="77777777" w:rsidR="004D6A64" w:rsidRDefault="004D6A64">
            <w:pPr>
              <w:rPr>
                <w:rFonts w:ascii="宋体"/>
              </w:rPr>
            </w:pPr>
          </w:p>
        </w:tc>
        <w:tc>
          <w:tcPr>
            <w:tcW w:w="0" w:type="auto"/>
            <w:shd w:val="clear" w:color="auto" w:fill="auto"/>
          </w:tcPr>
          <w:p w14:paraId="33DADBED" w14:textId="77777777" w:rsidR="004D6A64" w:rsidRDefault="004D6A64">
            <w:pPr>
              <w:rPr>
                <w:rFonts w:ascii="宋体"/>
              </w:rPr>
            </w:pPr>
          </w:p>
        </w:tc>
        <w:tc>
          <w:tcPr>
            <w:tcW w:w="0" w:type="auto"/>
            <w:shd w:val="clear" w:color="auto" w:fill="auto"/>
          </w:tcPr>
          <w:p w14:paraId="33DADBEE" w14:textId="77777777" w:rsidR="004D6A64" w:rsidRDefault="004D6A64">
            <w:pPr>
              <w:rPr>
                <w:rFonts w:ascii="宋体"/>
              </w:rPr>
            </w:pPr>
          </w:p>
        </w:tc>
        <w:tc>
          <w:tcPr>
            <w:tcW w:w="0" w:type="auto"/>
            <w:shd w:val="clear" w:color="auto" w:fill="auto"/>
          </w:tcPr>
          <w:p w14:paraId="33DADBEF" w14:textId="77777777" w:rsidR="004D6A64" w:rsidRDefault="004D6A64">
            <w:pPr>
              <w:rPr>
                <w:rFonts w:ascii="宋体"/>
              </w:rPr>
            </w:pPr>
          </w:p>
        </w:tc>
        <w:tc>
          <w:tcPr>
            <w:tcW w:w="0" w:type="auto"/>
            <w:shd w:val="clear" w:color="auto" w:fill="auto"/>
          </w:tcPr>
          <w:p w14:paraId="33DADBF0" w14:textId="77777777" w:rsidR="004D6A64" w:rsidRDefault="004D6A64">
            <w:pPr>
              <w:rPr>
                <w:rFonts w:ascii="宋体"/>
              </w:rPr>
            </w:pPr>
          </w:p>
        </w:tc>
        <w:tc>
          <w:tcPr>
            <w:tcW w:w="0" w:type="auto"/>
            <w:shd w:val="clear" w:color="auto" w:fill="auto"/>
          </w:tcPr>
          <w:p w14:paraId="33DADBF1" w14:textId="77777777" w:rsidR="004D6A64" w:rsidRDefault="004D6A64">
            <w:pPr>
              <w:rPr>
                <w:rFonts w:ascii="宋体"/>
              </w:rPr>
            </w:pPr>
          </w:p>
        </w:tc>
        <w:tc>
          <w:tcPr>
            <w:tcW w:w="0" w:type="auto"/>
            <w:shd w:val="clear" w:color="auto" w:fill="auto"/>
          </w:tcPr>
          <w:p w14:paraId="33DADBF2" w14:textId="77777777" w:rsidR="004D6A64" w:rsidRDefault="004D6A64">
            <w:pPr>
              <w:rPr>
                <w:rFonts w:ascii="宋体"/>
              </w:rPr>
            </w:pPr>
          </w:p>
        </w:tc>
        <w:tc>
          <w:tcPr>
            <w:tcW w:w="0" w:type="auto"/>
            <w:shd w:val="clear" w:color="auto" w:fill="auto"/>
          </w:tcPr>
          <w:p w14:paraId="33DADBF3" w14:textId="77777777" w:rsidR="004D6A64" w:rsidRDefault="004D6A64">
            <w:pPr>
              <w:rPr>
                <w:rFonts w:ascii="宋体"/>
              </w:rPr>
            </w:pPr>
          </w:p>
        </w:tc>
        <w:tc>
          <w:tcPr>
            <w:tcW w:w="0" w:type="auto"/>
            <w:shd w:val="clear" w:color="auto" w:fill="auto"/>
          </w:tcPr>
          <w:p w14:paraId="33DADBF4" w14:textId="77777777" w:rsidR="004D6A64" w:rsidRDefault="004D6A64">
            <w:pPr>
              <w:rPr>
                <w:rFonts w:ascii="宋体"/>
              </w:rPr>
            </w:pPr>
          </w:p>
        </w:tc>
        <w:tc>
          <w:tcPr>
            <w:tcW w:w="0" w:type="auto"/>
            <w:shd w:val="clear" w:color="auto" w:fill="auto"/>
          </w:tcPr>
          <w:p w14:paraId="33DADBF5" w14:textId="77777777" w:rsidR="004D6A64" w:rsidRDefault="004D6A64">
            <w:pPr>
              <w:rPr>
                <w:rFonts w:ascii="宋体"/>
              </w:rPr>
            </w:pPr>
          </w:p>
        </w:tc>
        <w:tc>
          <w:tcPr>
            <w:tcW w:w="0" w:type="auto"/>
            <w:shd w:val="clear" w:color="auto" w:fill="auto"/>
          </w:tcPr>
          <w:p w14:paraId="33DADBF6" w14:textId="77777777" w:rsidR="004D6A64" w:rsidRDefault="004D6A64">
            <w:pPr>
              <w:rPr>
                <w:rFonts w:ascii="宋体"/>
              </w:rPr>
            </w:pPr>
          </w:p>
        </w:tc>
        <w:tc>
          <w:tcPr>
            <w:tcW w:w="0" w:type="auto"/>
            <w:shd w:val="clear" w:color="auto" w:fill="auto"/>
          </w:tcPr>
          <w:p w14:paraId="33DADBF7" w14:textId="77777777" w:rsidR="004D6A64" w:rsidRDefault="004D6A64">
            <w:pPr>
              <w:rPr>
                <w:rFonts w:ascii="宋体"/>
              </w:rPr>
            </w:pPr>
          </w:p>
        </w:tc>
        <w:tc>
          <w:tcPr>
            <w:tcW w:w="0" w:type="auto"/>
            <w:shd w:val="clear" w:color="auto" w:fill="auto"/>
          </w:tcPr>
          <w:p w14:paraId="33DADBF8" w14:textId="77777777" w:rsidR="004D6A64" w:rsidRDefault="004D6A64">
            <w:pPr>
              <w:rPr>
                <w:rFonts w:ascii="宋体"/>
              </w:rPr>
            </w:pPr>
          </w:p>
        </w:tc>
        <w:tc>
          <w:tcPr>
            <w:tcW w:w="0" w:type="auto"/>
            <w:shd w:val="clear" w:color="auto" w:fill="auto"/>
          </w:tcPr>
          <w:p w14:paraId="33DADBF9" w14:textId="77777777" w:rsidR="004D6A64" w:rsidRDefault="004D6A64">
            <w:pPr>
              <w:rPr>
                <w:rFonts w:ascii="宋体"/>
              </w:rPr>
            </w:pPr>
          </w:p>
        </w:tc>
        <w:tc>
          <w:tcPr>
            <w:tcW w:w="0" w:type="auto"/>
            <w:shd w:val="clear" w:color="auto" w:fill="auto"/>
          </w:tcPr>
          <w:p w14:paraId="33DADBFA" w14:textId="77777777" w:rsidR="004D6A64" w:rsidRDefault="004D6A64">
            <w:pPr>
              <w:rPr>
                <w:rFonts w:ascii="宋体"/>
              </w:rPr>
            </w:pPr>
          </w:p>
        </w:tc>
        <w:tc>
          <w:tcPr>
            <w:tcW w:w="0" w:type="auto"/>
            <w:shd w:val="clear" w:color="auto" w:fill="auto"/>
          </w:tcPr>
          <w:p w14:paraId="33DADBFB" w14:textId="77777777" w:rsidR="004D6A64" w:rsidRDefault="004D6A64">
            <w:pPr>
              <w:rPr>
                <w:rFonts w:ascii="宋体"/>
              </w:rPr>
            </w:pPr>
          </w:p>
        </w:tc>
        <w:tc>
          <w:tcPr>
            <w:tcW w:w="0" w:type="auto"/>
            <w:shd w:val="clear" w:color="auto" w:fill="auto"/>
          </w:tcPr>
          <w:p w14:paraId="33DADBFC" w14:textId="77777777" w:rsidR="004D6A64" w:rsidRDefault="004D6A64">
            <w:pPr>
              <w:rPr>
                <w:rFonts w:ascii="宋体"/>
              </w:rPr>
            </w:pPr>
          </w:p>
        </w:tc>
        <w:tc>
          <w:tcPr>
            <w:tcW w:w="0" w:type="auto"/>
            <w:shd w:val="clear" w:color="auto" w:fill="auto"/>
          </w:tcPr>
          <w:p w14:paraId="33DADBFD" w14:textId="77777777" w:rsidR="004D6A64" w:rsidRDefault="004D6A64">
            <w:pPr>
              <w:rPr>
                <w:rFonts w:ascii="宋体"/>
              </w:rPr>
            </w:pPr>
          </w:p>
        </w:tc>
        <w:tc>
          <w:tcPr>
            <w:tcW w:w="0" w:type="auto"/>
            <w:shd w:val="clear" w:color="auto" w:fill="auto"/>
          </w:tcPr>
          <w:p w14:paraId="33DADBFE" w14:textId="77777777" w:rsidR="004D6A64" w:rsidRDefault="004D6A64">
            <w:pPr>
              <w:rPr>
                <w:rFonts w:ascii="宋体"/>
              </w:rPr>
            </w:pPr>
          </w:p>
        </w:tc>
      </w:tr>
      <w:tr w:rsidR="004D6A64" w14:paraId="33DADC27" w14:textId="77777777">
        <w:trPr>
          <w:jc w:val="center"/>
        </w:trPr>
        <w:tc>
          <w:tcPr>
            <w:tcW w:w="0" w:type="auto"/>
            <w:gridSpan w:val="3"/>
            <w:shd w:val="clear" w:color="auto" w:fill="CCEEFF"/>
            <w:tcMar>
              <w:top w:w="40" w:type="dxa"/>
              <w:left w:w="135" w:type="dxa"/>
              <w:bottom w:w="40" w:type="dxa"/>
              <w:right w:w="20" w:type="dxa"/>
            </w:tcMar>
            <w:vAlign w:val="center"/>
          </w:tcPr>
          <w:p w14:paraId="33DADC00" w14:textId="77777777" w:rsidR="004D6A64" w:rsidRDefault="00506CD6">
            <w:pPr>
              <w:textAlignment w:val="center"/>
            </w:pPr>
            <w:r>
              <w:rPr>
                <w:rFonts w:ascii="Times New Roman" w:eastAsia="宋体" w:hAnsi="Times New Roman"/>
                <w:color w:val="000000"/>
                <w:sz w:val="20"/>
                <w:szCs w:val="20"/>
              </w:rPr>
              <w:t>Non-GAAP adjustments:</w:t>
            </w:r>
          </w:p>
        </w:tc>
        <w:tc>
          <w:tcPr>
            <w:tcW w:w="0" w:type="auto"/>
            <w:gridSpan w:val="3"/>
            <w:shd w:val="clear" w:color="auto" w:fill="CCEEFF"/>
            <w:tcMar>
              <w:left w:w="20" w:type="dxa"/>
              <w:right w:w="20" w:type="dxa"/>
            </w:tcMar>
            <w:vAlign w:val="bottom"/>
          </w:tcPr>
          <w:p w14:paraId="33DADC01"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C02"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C03"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C04"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C0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C06"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C07"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C08"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C09"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C0A"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C0B" w14:textId="77777777" w:rsidR="004D6A64" w:rsidRDefault="004D6A64">
            <w:pPr>
              <w:rPr>
                <w:rFonts w:ascii="宋体"/>
              </w:rPr>
            </w:pPr>
          </w:p>
        </w:tc>
        <w:tc>
          <w:tcPr>
            <w:tcW w:w="0" w:type="auto"/>
            <w:shd w:val="clear" w:color="auto" w:fill="auto"/>
          </w:tcPr>
          <w:p w14:paraId="33DADC0C" w14:textId="77777777" w:rsidR="004D6A64" w:rsidRDefault="004D6A64">
            <w:pPr>
              <w:rPr>
                <w:rFonts w:ascii="宋体"/>
              </w:rPr>
            </w:pPr>
          </w:p>
        </w:tc>
        <w:tc>
          <w:tcPr>
            <w:tcW w:w="0" w:type="auto"/>
            <w:shd w:val="clear" w:color="auto" w:fill="auto"/>
          </w:tcPr>
          <w:p w14:paraId="33DADC0D" w14:textId="77777777" w:rsidR="004D6A64" w:rsidRDefault="004D6A64">
            <w:pPr>
              <w:rPr>
                <w:rFonts w:ascii="宋体"/>
              </w:rPr>
            </w:pPr>
          </w:p>
        </w:tc>
        <w:tc>
          <w:tcPr>
            <w:tcW w:w="0" w:type="auto"/>
            <w:shd w:val="clear" w:color="auto" w:fill="auto"/>
          </w:tcPr>
          <w:p w14:paraId="33DADC0E" w14:textId="77777777" w:rsidR="004D6A64" w:rsidRDefault="004D6A64">
            <w:pPr>
              <w:rPr>
                <w:rFonts w:ascii="宋体"/>
              </w:rPr>
            </w:pPr>
          </w:p>
        </w:tc>
        <w:tc>
          <w:tcPr>
            <w:tcW w:w="0" w:type="auto"/>
            <w:shd w:val="clear" w:color="auto" w:fill="auto"/>
          </w:tcPr>
          <w:p w14:paraId="33DADC0F" w14:textId="77777777" w:rsidR="004D6A64" w:rsidRDefault="004D6A64">
            <w:pPr>
              <w:rPr>
                <w:rFonts w:ascii="宋体"/>
              </w:rPr>
            </w:pPr>
          </w:p>
        </w:tc>
        <w:tc>
          <w:tcPr>
            <w:tcW w:w="0" w:type="auto"/>
            <w:shd w:val="clear" w:color="auto" w:fill="auto"/>
          </w:tcPr>
          <w:p w14:paraId="33DADC10" w14:textId="77777777" w:rsidR="004D6A64" w:rsidRDefault="004D6A64">
            <w:pPr>
              <w:rPr>
                <w:rFonts w:ascii="宋体"/>
              </w:rPr>
            </w:pPr>
          </w:p>
        </w:tc>
        <w:tc>
          <w:tcPr>
            <w:tcW w:w="0" w:type="auto"/>
            <w:shd w:val="clear" w:color="auto" w:fill="auto"/>
          </w:tcPr>
          <w:p w14:paraId="33DADC11" w14:textId="77777777" w:rsidR="004D6A64" w:rsidRDefault="004D6A64">
            <w:pPr>
              <w:rPr>
                <w:rFonts w:ascii="宋体"/>
              </w:rPr>
            </w:pPr>
          </w:p>
        </w:tc>
        <w:tc>
          <w:tcPr>
            <w:tcW w:w="0" w:type="auto"/>
            <w:shd w:val="clear" w:color="auto" w:fill="auto"/>
          </w:tcPr>
          <w:p w14:paraId="33DADC12" w14:textId="77777777" w:rsidR="004D6A64" w:rsidRDefault="004D6A64">
            <w:pPr>
              <w:rPr>
                <w:rFonts w:ascii="宋体"/>
              </w:rPr>
            </w:pPr>
          </w:p>
        </w:tc>
        <w:tc>
          <w:tcPr>
            <w:tcW w:w="0" w:type="auto"/>
            <w:shd w:val="clear" w:color="auto" w:fill="auto"/>
          </w:tcPr>
          <w:p w14:paraId="33DADC13" w14:textId="77777777" w:rsidR="004D6A64" w:rsidRDefault="004D6A64">
            <w:pPr>
              <w:rPr>
                <w:rFonts w:ascii="宋体"/>
              </w:rPr>
            </w:pPr>
          </w:p>
        </w:tc>
        <w:tc>
          <w:tcPr>
            <w:tcW w:w="0" w:type="auto"/>
            <w:shd w:val="clear" w:color="auto" w:fill="auto"/>
          </w:tcPr>
          <w:p w14:paraId="33DADC14" w14:textId="77777777" w:rsidR="004D6A64" w:rsidRDefault="004D6A64">
            <w:pPr>
              <w:rPr>
                <w:rFonts w:ascii="宋体"/>
              </w:rPr>
            </w:pPr>
          </w:p>
        </w:tc>
        <w:tc>
          <w:tcPr>
            <w:tcW w:w="0" w:type="auto"/>
            <w:shd w:val="clear" w:color="auto" w:fill="auto"/>
          </w:tcPr>
          <w:p w14:paraId="33DADC15" w14:textId="77777777" w:rsidR="004D6A64" w:rsidRDefault="004D6A64">
            <w:pPr>
              <w:rPr>
                <w:rFonts w:ascii="宋体"/>
              </w:rPr>
            </w:pPr>
          </w:p>
        </w:tc>
        <w:tc>
          <w:tcPr>
            <w:tcW w:w="0" w:type="auto"/>
            <w:shd w:val="clear" w:color="auto" w:fill="auto"/>
          </w:tcPr>
          <w:p w14:paraId="33DADC16" w14:textId="77777777" w:rsidR="004D6A64" w:rsidRDefault="004D6A64">
            <w:pPr>
              <w:rPr>
                <w:rFonts w:ascii="宋体"/>
              </w:rPr>
            </w:pPr>
          </w:p>
        </w:tc>
        <w:tc>
          <w:tcPr>
            <w:tcW w:w="0" w:type="auto"/>
            <w:shd w:val="clear" w:color="auto" w:fill="auto"/>
          </w:tcPr>
          <w:p w14:paraId="33DADC17" w14:textId="77777777" w:rsidR="004D6A64" w:rsidRDefault="004D6A64">
            <w:pPr>
              <w:rPr>
                <w:rFonts w:ascii="宋体"/>
              </w:rPr>
            </w:pPr>
          </w:p>
        </w:tc>
        <w:tc>
          <w:tcPr>
            <w:tcW w:w="0" w:type="auto"/>
            <w:shd w:val="clear" w:color="auto" w:fill="auto"/>
          </w:tcPr>
          <w:p w14:paraId="33DADC18" w14:textId="77777777" w:rsidR="004D6A64" w:rsidRDefault="004D6A64">
            <w:pPr>
              <w:rPr>
                <w:rFonts w:ascii="宋体"/>
              </w:rPr>
            </w:pPr>
          </w:p>
        </w:tc>
        <w:tc>
          <w:tcPr>
            <w:tcW w:w="0" w:type="auto"/>
            <w:shd w:val="clear" w:color="auto" w:fill="auto"/>
          </w:tcPr>
          <w:p w14:paraId="33DADC19" w14:textId="77777777" w:rsidR="004D6A64" w:rsidRDefault="004D6A64">
            <w:pPr>
              <w:rPr>
                <w:rFonts w:ascii="宋体"/>
              </w:rPr>
            </w:pPr>
          </w:p>
        </w:tc>
        <w:tc>
          <w:tcPr>
            <w:tcW w:w="0" w:type="auto"/>
            <w:shd w:val="clear" w:color="auto" w:fill="auto"/>
          </w:tcPr>
          <w:p w14:paraId="33DADC1A" w14:textId="77777777" w:rsidR="004D6A64" w:rsidRDefault="004D6A64">
            <w:pPr>
              <w:rPr>
                <w:rFonts w:ascii="宋体"/>
              </w:rPr>
            </w:pPr>
          </w:p>
        </w:tc>
        <w:tc>
          <w:tcPr>
            <w:tcW w:w="0" w:type="auto"/>
            <w:shd w:val="clear" w:color="auto" w:fill="auto"/>
          </w:tcPr>
          <w:p w14:paraId="33DADC1B" w14:textId="77777777" w:rsidR="004D6A64" w:rsidRDefault="004D6A64">
            <w:pPr>
              <w:rPr>
                <w:rFonts w:ascii="宋体"/>
              </w:rPr>
            </w:pPr>
          </w:p>
        </w:tc>
        <w:tc>
          <w:tcPr>
            <w:tcW w:w="0" w:type="auto"/>
            <w:shd w:val="clear" w:color="auto" w:fill="auto"/>
          </w:tcPr>
          <w:p w14:paraId="33DADC1C" w14:textId="77777777" w:rsidR="004D6A64" w:rsidRDefault="004D6A64">
            <w:pPr>
              <w:rPr>
                <w:rFonts w:ascii="宋体"/>
              </w:rPr>
            </w:pPr>
          </w:p>
        </w:tc>
        <w:tc>
          <w:tcPr>
            <w:tcW w:w="0" w:type="auto"/>
            <w:shd w:val="clear" w:color="auto" w:fill="auto"/>
          </w:tcPr>
          <w:p w14:paraId="33DADC1D" w14:textId="77777777" w:rsidR="004D6A64" w:rsidRDefault="004D6A64">
            <w:pPr>
              <w:rPr>
                <w:rFonts w:ascii="宋体"/>
              </w:rPr>
            </w:pPr>
          </w:p>
        </w:tc>
        <w:tc>
          <w:tcPr>
            <w:tcW w:w="0" w:type="auto"/>
            <w:shd w:val="clear" w:color="auto" w:fill="auto"/>
          </w:tcPr>
          <w:p w14:paraId="33DADC1E" w14:textId="77777777" w:rsidR="004D6A64" w:rsidRDefault="004D6A64">
            <w:pPr>
              <w:rPr>
                <w:rFonts w:ascii="宋体"/>
              </w:rPr>
            </w:pPr>
          </w:p>
        </w:tc>
        <w:tc>
          <w:tcPr>
            <w:tcW w:w="0" w:type="auto"/>
            <w:shd w:val="clear" w:color="auto" w:fill="auto"/>
          </w:tcPr>
          <w:p w14:paraId="33DADC1F" w14:textId="77777777" w:rsidR="004D6A64" w:rsidRDefault="004D6A64">
            <w:pPr>
              <w:rPr>
                <w:rFonts w:ascii="宋体"/>
              </w:rPr>
            </w:pPr>
          </w:p>
        </w:tc>
        <w:tc>
          <w:tcPr>
            <w:tcW w:w="0" w:type="auto"/>
            <w:shd w:val="clear" w:color="auto" w:fill="auto"/>
          </w:tcPr>
          <w:p w14:paraId="33DADC20" w14:textId="77777777" w:rsidR="004D6A64" w:rsidRDefault="004D6A64">
            <w:pPr>
              <w:rPr>
                <w:rFonts w:ascii="宋体"/>
              </w:rPr>
            </w:pPr>
          </w:p>
        </w:tc>
        <w:tc>
          <w:tcPr>
            <w:tcW w:w="0" w:type="auto"/>
            <w:shd w:val="clear" w:color="auto" w:fill="auto"/>
          </w:tcPr>
          <w:p w14:paraId="33DADC21" w14:textId="77777777" w:rsidR="004D6A64" w:rsidRDefault="004D6A64">
            <w:pPr>
              <w:rPr>
                <w:rFonts w:ascii="宋体"/>
              </w:rPr>
            </w:pPr>
          </w:p>
        </w:tc>
        <w:tc>
          <w:tcPr>
            <w:tcW w:w="0" w:type="auto"/>
            <w:shd w:val="clear" w:color="auto" w:fill="auto"/>
          </w:tcPr>
          <w:p w14:paraId="33DADC22" w14:textId="77777777" w:rsidR="004D6A64" w:rsidRDefault="004D6A64">
            <w:pPr>
              <w:rPr>
                <w:rFonts w:ascii="宋体"/>
              </w:rPr>
            </w:pPr>
          </w:p>
        </w:tc>
        <w:tc>
          <w:tcPr>
            <w:tcW w:w="0" w:type="auto"/>
            <w:shd w:val="clear" w:color="auto" w:fill="auto"/>
          </w:tcPr>
          <w:p w14:paraId="33DADC23" w14:textId="77777777" w:rsidR="004D6A64" w:rsidRDefault="004D6A64">
            <w:pPr>
              <w:rPr>
                <w:rFonts w:ascii="宋体"/>
              </w:rPr>
            </w:pPr>
          </w:p>
        </w:tc>
        <w:tc>
          <w:tcPr>
            <w:tcW w:w="0" w:type="auto"/>
            <w:shd w:val="clear" w:color="auto" w:fill="auto"/>
          </w:tcPr>
          <w:p w14:paraId="33DADC24" w14:textId="77777777" w:rsidR="004D6A64" w:rsidRDefault="004D6A64">
            <w:pPr>
              <w:rPr>
                <w:rFonts w:ascii="宋体"/>
              </w:rPr>
            </w:pPr>
          </w:p>
        </w:tc>
        <w:tc>
          <w:tcPr>
            <w:tcW w:w="0" w:type="auto"/>
            <w:shd w:val="clear" w:color="auto" w:fill="auto"/>
          </w:tcPr>
          <w:p w14:paraId="33DADC25" w14:textId="77777777" w:rsidR="004D6A64" w:rsidRDefault="004D6A64">
            <w:pPr>
              <w:rPr>
                <w:rFonts w:ascii="宋体"/>
              </w:rPr>
            </w:pPr>
          </w:p>
        </w:tc>
        <w:tc>
          <w:tcPr>
            <w:tcW w:w="0" w:type="auto"/>
            <w:shd w:val="clear" w:color="auto" w:fill="auto"/>
          </w:tcPr>
          <w:p w14:paraId="33DADC26" w14:textId="77777777" w:rsidR="004D6A64" w:rsidRDefault="004D6A64">
            <w:pPr>
              <w:rPr>
                <w:rFonts w:ascii="宋体"/>
              </w:rPr>
            </w:pPr>
          </w:p>
        </w:tc>
      </w:tr>
      <w:tr w:rsidR="004D6A64" w14:paraId="33DADC53" w14:textId="77777777">
        <w:trPr>
          <w:jc w:val="center"/>
        </w:trPr>
        <w:tc>
          <w:tcPr>
            <w:tcW w:w="0" w:type="auto"/>
            <w:gridSpan w:val="3"/>
            <w:shd w:val="clear" w:color="auto" w:fill="FFFFFF"/>
            <w:tcMar>
              <w:top w:w="40" w:type="dxa"/>
              <w:left w:w="225" w:type="dxa"/>
              <w:bottom w:w="40" w:type="dxa"/>
              <w:right w:w="20" w:type="dxa"/>
            </w:tcMar>
            <w:vAlign w:val="center"/>
          </w:tcPr>
          <w:p w14:paraId="33DADC28" w14:textId="77777777" w:rsidR="004D6A64" w:rsidRDefault="00506CD6">
            <w:pPr>
              <w:textAlignment w:val="center"/>
            </w:pPr>
            <w:r>
              <w:rPr>
                <w:rFonts w:ascii="Times New Roman" w:eastAsia="宋体" w:hAnsi="Times New Roman"/>
                <w:color w:val="000000"/>
                <w:sz w:val="20"/>
                <w:szCs w:val="20"/>
              </w:rPr>
              <w:t>Impact of purchase accounting</w:t>
            </w:r>
          </w:p>
        </w:tc>
        <w:tc>
          <w:tcPr>
            <w:tcW w:w="0" w:type="auto"/>
            <w:gridSpan w:val="2"/>
            <w:shd w:val="clear" w:color="auto" w:fill="FFFFFF"/>
            <w:tcMar>
              <w:top w:w="40" w:type="dxa"/>
              <w:left w:w="20" w:type="dxa"/>
              <w:bottom w:w="40" w:type="dxa"/>
              <w:right w:w="0" w:type="dxa"/>
            </w:tcMar>
            <w:vAlign w:val="center"/>
          </w:tcPr>
          <w:p w14:paraId="33DADC29" w14:textId="77777777" w:rsidR="004D6A64" w:rsidRDefault="00506CD6">
            <w:pPr>
              <w:jc w:val="right"/>
              <w:textAlignment w:val="center"/>
            </w:pPr>
            <w:r>
              <w:rPr>
                <w:rFonts w:ascii="Times New Roman" w:eastAsia="宋体" w:hAnsi="Times New Roman"/>
                <w:color w:val="000000"/>
                <w:sz w:val="20"/>
                <w:szCs w:val="20"/>
              </w:rPr>
              <w:t>40 </w:t>
            </w:r>
          </w:p>
        </w:tc>
        <w:tc>
          <w:tcPr>
            <w:tcW w:w="0" w:type="auto"/>
            <w:shd w:val="clear" w:color="auto" w:fill="FFFFFF"/>
            <w:tcMar>
              <w:top w:w="40" w:type="dxa"/>
              <w:bottom w:w="40" w:type="dxa"/>
              <w:right w:w="20" w:type="dxa"/>
            </w:tcMar>
            <w:vAlign w:val="center"/>
          </w:tcPr>
          <w:p w14:paraId="33DADC2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C2B"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C2C"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C2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C2E" w14:textId="77777777" w:rsidR="004D6A64" w:rsidRDefault="00506CD6">
            <w:pPr>
              <w:jc w:val="right"/>
              <w:textAlignment w:val="center"/>
            </w:pPr>
            <w:r>
              <w:rPr>
                <w:rFonts w:ascii="Times New Roman" w:eastAsia="宋体" w:hAnsi="Times New Roman"/>
                <w:color w:val="000000"/>
                <w:sz w:val="20"/>
                <w:szCs w:val="20"/>
              </w:rPr>
              <w:t>78 </w:t>
            </w:r>
          </w:p>
        </w:tc>
        <w:tc>
          <w:tcPr>
            <w:tcW w:w="0" w:type="auto"/>
            <w:shd w:val="clear" w:color="auto" w:fill="FFFFFF"/>
            <w:tcMar>
              <w:top w:w="40" w:type="dxa"/>
              <w:bottom w:w="40" w:type="dxa"/>
              <w:right w:w="20" w:type="dxa"/>
            </w:tcMar>
            <w:vAlign w:val="center"/>
          </w:tcPr>
          <w:p w14:paraId="33DADC2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C3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C31" w14:textId="77777777" w:rsidR="004D6A64" w:rsidRDefault="00506CD6">
            <w:pPr>
              <w:jc w:val="right"/>
              <w:textAlignment w:val="center"/>
            </w:pPr>
            <w:r>
              <w:rPr>
                <w:rFonts w:ascii="Times New Roman" w:eastAsia="宋体" w:hAnsi="Times New Roman"/>
                <w:color w:val="000000"/>
                <w:sz w:val="20"/>
                <w:szCs w:val="20"/>
              </w:rPr>
              <w:t>84 </w:t>
            </w:r>
          </w:p>
        </w:tc>
        <w:tc>
          <w:tcPr>
            <w:tcW w:w="0" w:type="auto"/>
            <w:shd w:val="clear" w:color="auto" w:fill="FFFFFF"/>
            <w:tcMar>
              <w:top w:w="40" w:type="dxa"/>
              <w:bottom w:w="40" w:type="dxa"/>
              <w:right w:w="20" w:type="dxa"/>
            </w:tcMar>
            <w:vAlign w:val="center"/>
          </w:tcPr>
          <w:p w14:paraId="33DADC3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C33"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C34"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C35"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C36" w14:textId="77777777" w:rsidR="004D6A64" w:rsidRDefault="00506CD6">
            <w:pPr>
              <w:jc w:val="right"/>
              <w:textAlignment w:val="center"/>
            </w:pPr>
            <w:r>
              <w:rPr>
                <w:rFonts w:ascii="Times New Roman" w:eastAsia="宋体" w:hAnsi="Times New Roman"/>
                <w:color w:val="000000"/>
                <w:sz w:val="20"/>
                <w:szCs w:val="20"/>
              </w:rPr>
              <w:t>156 </w:t>
            </w:r>
          </w:p>
        </w:tc>
        <w:tc>
          <w:tcPr>
            <w:tcW w:w="0" w:type="auto"/>
            <w:shd w:val="clear" w:color="auto" w:fill="FFFFFF"/>
            <w:tcMar>
              <w:top w:w="40" w:type="dxa"/>
              <w:bottom w:w="40" w:type="dxa"/>
              <w:right w:w="20" w:type="dxa"/>
            </w:tcMar>
            <w:vAlign w:val="center"/>
          </w:tcPr>
          <w:p w14:paraId="33DADC37" w14:textId="77777777" w:rsidR="004D6A64" w:rsidRDefault="004D6A64">
            <w:pPr>
              <w:jc w:val="right"/>
              <w:rPr>
                <w:rFonts w:ascii="宋体"/>
              </w:rPr>
            </w:pPr>
          </w:p>
        </w:tc>
        <w:tc>
          <w:tcPr>
            <w:tcW w:w="0" w:type="auto"/>
            <w:shd w:val="clear" w:color="auto" w:fill="auto"/>
          </w:tcPr>
          <w:p w14:paraId="33DADC38" w14:textId="77777777" w:rsidR="004D6A64" w:rsidRDefault="004D6A64">
            <w:pPr>
              <w:rPr>
                <w:rFonts w:ascii="宋体"/>
              </w:rPr>
            </w:pPr>
          </w:p>
        </w:tc>
        <w:tc>
          <w:tcPr>
            <w:tcW w:w="0" w:type="auto"/>
            <w:shd w:val="clear" w:color="auto" w:fill="auto"/>
          </w:tcPr>
          <w:p w14:paraId="33DADC39" w14:textId="77777777" w:rsidR="004D6A64" w:rsidRDefault="004D6A64">
            <w:pPr>
              <w:rPr>
                <w:rFonts w:ascii="宋体"/>
              </w:rPr>
            </w:pPr>
          </w:p>
        </w:tc>
        <w:tc>
          <w:tcPr>
            <w:tcW w:w="0" w:type="auto"/>
            <w:shd w:val="clear" w:color="auto" w:fill="auto"/>
          </w:tcPr>
          <w:p w14:paraId="33DADC3A" w14:textId="77777777" w:rsidR="004D6A64" w:rsidRDefault="004D6A64">
            <w:pPr>
              <w:rPr>
                <w:rFonts w:ascii="宋体"/>
              </w:rPr>
            </w:pPr>
          </w:p>
        </w:tc>
        <w:tc>
          <w:tcPr>
            <w:tcW w:w="0" w:type="auto"/>
            <w:shd w:val="clear" w:color="auto" w:fill="auto"/>
          </w:tcPr>
          <w:p w14:paraId="33DADC3B" w14:textId="77777777" w:rsidR="004D6A64" w:rsidRDefault="004D6A64">
            <w:pPr>
              <w:rPr>
                <w:rFonts w:ascii="宋体"/>
              </w:rPr>
            </w:pPr>
          </w:p>
        </w:tc>
        <w:tc>
          <w:tcPr>
            <w:tcW w:w="0" w:type="auto"/>
            <w:shd w:val="clear" w:color="auto" w:fill="auto"/>
          </w:tcPr>
          <w:p w14:paraId="33DADC3C" w14:textId="77777777" w:rsidR="004D6A64" w:rsidRDefault="004D6A64">
            <w:pPr>
              <w:rPr>
                <w:rFonts w:ascii="宋体"/>
              </w:rPr>
            </w:pPr>
          </w:p>
        </w:tc>
        <w:tc>
          <w:tcPr>
            <w:tcW w:w="0" w:type="auto"/>
            <w:shd w:val="clear" w:color="auto" w:fill="auto"/>
          </w:tcPr>
          <w:p w14:paraId="33DADC3D" w14:textId="77777777" w:rsidR="004D6A64" w:rsidRDefault="004D6A64">
            <w:pPr>
              <w:rPr>
                <w:rFonts w:ascii="宋体"/>
              </w:rPr>
            </w:pPr>
          </w:p>
        </w:tc>
        <w:tc>
          <w:tcPr>
            <w:tcW w:w="0" w:type="auto"/>
            <w:shd w:val="clear" w:color="auto" w:fill="auto"/>
          </w:tcPr>
          <w:p w14:paraId="33DADC3E" w14:textId="77777777" w:rsidR="004D6A64" w:rsidRDefault="004D6A64">
            <w:pPr>
              <w:rPr>
                <w:rFonts w:ascii="宋体"/>
              </w:rPr>
            </w:pPr>
          </w:p>
        </w:tc>
        <w:tc>
          <w:tcPr>
            <w:tcW w:w="0" w:type="auto"/>
            <w:shd w:val="clear" w:color="auto" w:fill="auto"/>
          </w:tcPr>
          <w:p w14:paraId="33DADC3F" w14:textId="77777777" w:rsidR="004D6A64" w:rsidRDefault="004D6A64">
            <w:pPr>
              <w:rPr>
                <w:rFonts w:ascii="宋体"/>
              </w:rPr>
            </w:pPr>
          </w:p>
        </w:tc>
        <w:tc>
          <w:tcPr>
            <w:tcW w:w="0" w:type="auto"/>
            <w:shd w:val="clear" w:color="auto" w:fill="auto"/>
          </w:tcPr>
          <w:p w14:paraId="33DADC40" w14:textId="77777777" w:rsidR="004D6A64" w:rsidRDefault="004D6A64">
            <w:pPr>
              <w:rPr>
                <w:rFonts w:ascii="宋体"/>
              </w:rPr>
            </w:pPr>
          </w:p>
        </w:tc>
        <w:tc>
          <w:tcPr>
            <w:tcW w:w="0" w:type="auto"/>
            <w:shd w:val="clear" w:color="auto" w:fill="auto"/>
          </w:tcPr>
          <w:p w14:paraId="33DADC41" w14:textId="77777777" w:rsidR="004D6A64" w:rsidRDefault="004D6A64">
            <w:pPr>
              <w:rPr>
                <w:rFonts w:ascii="宋体"/>
              </w:rPr>
            </w:pPr>
          </w:p>
        </w:tc>
        <w:tc>
          <w:tcPr>
            <w:tcW w:w="0" w:type="auto"/>
            <w:shd w:val="clear" w:color="auto" w:fill="auto"/>
          </w:tcPr>
          <w:p w14:paraId="33DADC42" w14:textId="77777777" w:rsidR="004D6A64" w:rsidRDefault="004D6A64">
            <w:pPr>
              <w:rPr>
                <w:rFonts w:ascii="宋体"/>
              </w:rPr>
            </w:pPr>
          </w:p>
        </w:tc>
        <w:tc>
          <w:tcPr>
            <w:tcW w:w="0" w:type="auto"/>
            <w:shd w:val="clear" w:color="auto" w:fill="auto"/>
          </w:tcPr>
          <w:p w14:paraId="33DADC43" w14:textId="77777777" w:rsidR="004D6A64" w:rsidRDefault="004D6A64">
            <w:pPr>
              <w:rPr>
                <w:rFonts w:ascii="宋体"/>
              </w:rPr>
            </w:pPr>
          </w:p>
        </w:tc>
        <w:tc>
          <w:tcPr>
            <w:tcW w:w="0" w:type="auto"/>
            <w:shd w:val="clear" w:color="auto" w:fill="auto"/>
          </w:tcPr>
          <w:p w14:paraId="33DADC44" w14:textId="77777777" w:rsidR="004D6A64" w:rsidRDefault="004D6A64">
            <w:pPr>
              <w:rPr>
                <w:rFonts w:ascii="宋体"/>
              </w:rPr>
            </w:pPr>
          </w:p>
        </w:tc>
        <w:tc>
          <w:tcPr>
            <w:tcW w:w="0" w:type="auto"/>
            <w:shd w:val="clear" w:color="auto" w:fill="auto"/>
          </w:tcPr>
          <w:p w14:paraId="33DADC45" w14:textId="77777777" w:rsidR="004D6A64" w:rsidRDefault="004D6A64">
            <w:pPr>
              <w:rPr>
                <w:rFonts w:ascii="宋体"/>
              </w:rPr>
            </w:pPr>
          </w:p>
        </w:tc>
        <w:tc>
          <w:tcPr>
            <w:tcW w:w="0" w:type="auto"/>
            <w:shd w:val="clear" w:color="auto" w:fill="auto"/>
          </w:tcPr>
          <w:p w14:paraId="33DADC46" w14:textId="77777777" w:rsidR="004D6A64" w:rsidRDefault="004D6A64">
            <w:pPr>
              <w:rPr>
                <w:rFonts w:ascii="宋体"/>
              </w:rPr>
            </w:pPr>
          </w:p>
        </w:tc>
        <w:tc>
          <w:tcPr>
            <w:tcW w:w="0" w:type="auto"/>
            <w:shd w:val="clear" w:color="auto" w:fill="auto"/>
          </w:tcPr>
          <w:p w14:paraId="33DADC47" w14:textId="77777777" w:rsidR="004D6A64" w:rsidRDefault="004D6A64">
            <w:pPr>
              <w:rPr>
                <w:rFonts w:ascii="宋体"/>
              </w:rPr>
            </w:pPr>
          </w:p>
        </w:tc>
        <w:tc>
          <w:tcPr>
            <w:tcW w:w="0" w:type="auto"/>
            <w:shd w:val="clear" w:color="auto" w:fill="auto"/>
          </w:tcPr>
          <w:p w14:paraId="33DADC48" w14:textId="77777777" w:rsidR="004D6A64" w:rsidRDefault="004D6A64">
            <w:pPr>
              <w:rPr>
                <w:rFonts w:ascii="宋体"/>
              </w:rPr>
            </w:pPr>
          </w:p>
        </w:tc>
        <w:tc>
          <w:tcPr>
            <w:tcW w:w="0" w:type="auto"/>
            <w:shd w:val="clear" w:color="auto" w:fill="auto"/>
          </w:tcPr>
          <w:p w14:paraId="33DADC49" w14:textId="77777777" w:rsidR="004D6A64" w:rsidRDefault="004D6A64">
            <w:pPr>
              <w:rPr>
                <w:rFonts w:ascii="宋体"/>
              </w:rPr>
            </w:pPr>
          </w:p>
        </w:tc>
        <w:tc>
          <w:tcPr>
            <w:tcW w:w="0" w:type="auto"/>
            <w:shd w:val="clear" w:color="auto" w:fill="auto"/>
          </w:tcPr>
          <w:p w14:paraId="33DADC4A" w14:textId="77777777" w:rsidR="004D6A64" w:rsidRDefault="004D6A64">
            <w:pPr>
              <w:rPr>
                <w:rFonts w:ascii="宋体"/>
              </w:rPr>
            </w:pPr>
          </w:p>
        </w:tc>
        <w:tc>
          <w:tcPr>
            <w:tcW w:w="0" w:type="auto"/>
            <w:shd w:val="clear" w:color="auto" w:fill="auto"/>
          </w:tcPr>
          <w:p w14:paraId="33DADC4B" w14:textId="77777777" w:rsidR="004D6A64" w:rsidRDefault="004D6A64">
            <w:pPr>
              <w:rPr>
                <w:rFonts w:ascii="宋体"/>
              </w:rPr>
            </w:pPr>
          </w:p>
        </w:tc>
        <w:tc>
          <w:tcPr>
            <w:tcW w:w="0" w:type="auto"/>
            <w:shd w:val="clear" w:color="auto" w:fill="auto"/>
          </w:tcPr>
          <w:p w14:paraId="33DADC4C" w14:textId="77777777" w:rsidR="004D6A64" w:rsidRDefault="004D6A64">
            <w:pPr>
              <w:rPr>
                <w:rFonts w:ascii="宋体"/>
              </w:rPr>
            </w:pPr>
          </w:p>
        </w:tc>
        <w:tc>
          <w:tcPr>
            <w:tcW w:w="0" w:type="auto"/>
            <w:shd w:val="clear" w:color="auto" w:fill="auto"/>
          </w:tcPr>
          <w:p w14:paraId="33DADC4D" w14:textId="77777777" w:rsidR="004D6A64" w:rsidRDefault="004D6A64">
            <w:pPr>
              <w:rPr>
                <w:rFonts w:ascii="宋体"/>
              </w:rPr>
            </w:pPr>
          </w:p>
        </w:tc>
        <w:tc>
          <w:tcPr>
            <w:tcW w:w="0" w:type="auto"/>
            <w:shd w:val="clear" w:color="auto" w:fill="auto"/>
          </w:tcPr>
          <w:p w14:paraId="33DADC4E" w14:textId="77777777" w:rsidR="004D6A64" w:rsidRDefault="004D6A64">
            <w:pPr>
              <w:rPr>
                <w:rFonts w:ascii="宋体"/>
              </w:rPr>
            </w:pPr>
          </w:p>
        </w:tc>
        <w:tc>
          <w:tcPr>
            <w:tcW w:w="0" w:type="auto"/>
            <w:shd w:val="clear" w:color="auto" w:fill="auto"/>
          </w:tcPr>
          <w:p w14:paraId="33DADC4F" w14:textId="77777777" w:rsidR="004D6A64" w:rsidRDefault="004D6A64">
            <w:pPr>
              <w:rPr>
                <w:rFonts w:ascii="宋体"/>
              </w:rPr>
            </w:pPr>
          </w:p>
        </w:tc>
        <w:tc>
          <w:tcPr>
            <w:tcW w:w="0" w:type="auto"/>
            <w:shd w:val="clear" w:color="auto" w:fill="auto"/>
          </w:tcPr>
          <w:p w14:paraId="33DADC50" w14:textId="77777777" w:rsidR="004D6A64" w:rsidRDefault="004D6A64">
            <w:pPr>
              <w:rPr>
                <w:rFonts w:ascii="宋体"/>
              </w:rPr>
            </w:pPr>
          </w:p>
        </w:tc>
        <w:tc>
          <w:tcPr>
            <w:tcW w:w="0" w:type="auto"/>
            <w:shd w:val="clear" w:color="auto" w:fill="auto"/>
          </w:tcPr>
          <w:p w14:paraId="33DADC51" w14:textId="77777777" w:rsidR="004D6A64" w:rsidRDefault="004D6A64">
            <w:pPr>
              <w:rPr>
                <w:rFonts w:ascii="宋体"/>
              </w:rPr>
            </w:pPr>
          </w:p>
        </w:tc>
        <w:tc>
          <w:tcPr>
            <w:tcW w:w="0" w:type="auto"/>
            <w:shd w:val="clear" w:color="auto" w:fill="auto"/>
          </w:tcPr>
          <w:p w14:paraId="33DADC52" w14:textId="77777777" w:rsidR="004D6A64" w:rsidRDefault="004D6A64">
            <w:pPr>
              <w:rPr>
                <w:rFonts w:ascii="宋体"/>
              </w:rPr>
            </w:pPr>
          </w:p>
        </w:tc>
      </w:tr>
      <w:tr w:rsidR="004D6A64" w14:paraId="33DADC85" w14:textId="77777777">
        <w:trPr>
          <w:jc w:val="center"/>
        </w:trPr>
        <w:tc>
          <w:tcPr>
            <w:tcW w:w="0" w:type="auto"/>
            <w:gridSpan w:val="3"/>
            <w:shd w:val="clear" w:color="auto" w:fill="CCEEFF"/>
            <w:tcMar>
              <w:top w:w="40" w:type="dxa"/>
              <w:left w:w="360" w:type="dxa"/>
              <w:bottom w:w="40" w:type="dxa"/>
              <w:right w:w="20" w:type="dxa"/>
            </w:tcMar>
            <w:vAlign w:val="center"/>
          </w:tcPr>
          <w:p w14:paraId="33DADC54" w14:textId="77777777" w:rsidR="004D6A64" w:rsidRDefault="00506CD6">
            <w:pPr>
              <w:textAlignment w:val="center"/>
            </w:pPr>
            <w:r>
              <w:rPr>
                <w:rFonts w:ascii="Times New Roman" w:eastAsia="宋体" w:hAnsi="Times New Roman"/>
                <w:color w:val="000000"/>
                <w:sz w:val="20"/>
                <w:szCs w:val="20"/>
              </w:rPr>
              <w:t>Non-GAAP services net revenue</w:t>
            </w:r>
          </w:p>
        </w:tc>
        <w:tc>
          <w:tcPr>
            <w:tcW w:w="0" w:type="auto"/>
            <w:tcBorders>
              <w:top w:val="single" w:sz="8" w:space="0" w:color="000000"/>
            </w:tcBorders>
            <w:shd w:val="clear" w:color="auto" w:fill="CCEEFF"/>
            <w:tcMar>
              <w:top w:w="40" w:type="dxa"/>
              <w:left w:w="20" w:type="dxa"/>
              <w:bottom w:w="40" w:type="dxa"/>
            </w:tcMar>
            <w:vAlign w:val="center"/>
          </w:tcPr>
          <w:p w14:paraId="33DADC55"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DC56" w14:textId="77777777" w:rsidR="004D6A64" w:rsidRDefault="00506CD6">
            <w:pPr>
              <w:jc w:val="right"/>
              <w:textAlignment w:val="center"/>
            </w:pPr>
            <w:r>
              <w:rPr>
                <w:rFonts w:ascii="Times New Roman" w:eastAsia="宋体" w:hAnsi="Times New Roman"/>
                <w:color w:val="000000"/>
                <w:sz w:val="20"/>
                <w:szCs w:val="20"/>
              </w:rPr>
              <w:t>6,036 </w:t>
            </w:r>
          </w:p>
        </w:tc>
        <w:tc>
          <w:tcPr>
            <w:tcW w:w="0" w:type="auto"/>
            <w:tcBorders>
              <w:top w:val="single" w:sz="8" w:space="0" w:color="000000"/>
            </w:tcBorders>
            <w:shd w:val="clear" w:color="auto" w:fill="CCEEFF"/>
            <w:tcMar>
              <w:top w:w="40" w:type="dxa"/>
              <w:bottom w:w="40" w:type="dxa"/>
              <w:right w:w="20" w:type="dxa"/>
            </w:tcMar>
            <w:vAlign w:val="center"/>
          </w:tcPr>
          <w:p w14:paraId="33DADC5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C58"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C59" w14:textId="77777777" w:rsidR="004D6A64" w:rsidRDefault="00506CD6">
            <w:pPr>
              <w:jc w:val="right"/>
              <w:textAlignment w:val="center"/>
            </w:pPr>
            <w:r>
              <w:rPr>
                <w:rFonts w:ascii="Times New Roman" w:eastAsia="宋体" w:hAnsi="Times New Roman"/>
                <w:color w:val="000000"/>
                <w:sz w:val="20"/>
                <w:szCs w:val="20"/>
              </w:rPr>
              <w:t>9 </w:t>
            </w:r>
          </w:p>
        </w:tc>
        <w:tc>
          <w:tcPr>
            <w:tcW w:w="0" w:type="auto"/>
            <w:shd w:val="clear" w:color="auto" w:fill="CCEEFF"/>
            <w:tcMar>
              <w:top w:w="40" w:type="dxa"/>
              <w:bottom w:w="40" w:type="dxa"/>
              <w:right w:w="20" w:type="dxa"/>
            </w:tcMar>
            <w:vAlign w:val="center"/>
          </w:tcPr>
          <w:p w14:paraId="33DADC5A"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DC5B"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33DADC5C"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DC5D" w14:textId="77777777" w:rsidR="004D6A64" w:rsidRDefault="00506CD6">
            <w:pPr>
              <w:jc w:val="right"/>
              <w:textAlignment w:val="center"/>
            </w:pPr>
            <w:r>
              <w:rPr>
                <w:rFonts w:ascii="Times New Roman" w:eastAsia="宋体" w:hAnsi="Times New Roman"/>
                <w:color w:val="000000"/>
                <w:sz w:val="20"/>
                <w:szCs w:val="20"/>
              </w:rPr>
              <w:t>5,533 </w:t>
            </w:r>
          </w:p>
        </w:tc>
        <w:tc>
          <w:tcPr>
            <w:tcW w:w="0" w:type="auto"/>
            <w:tcBorders>
              <w:top w:val="single" w:sz="8" w:space="0" w:color="000000"/>
            </w:tcBorders>
            <w:shd w:val="clear" w:color="auto" w:fill="CCEEFF"/>
            <w:tcMar>
              <w:top w:w="40" w:type="dxa"/>
              <w:bottom w:w="40" w:type="dxa"/>
              <w:right w:w="20" w:type="dxa"/>
            </w:tcMar>
            <w:vAlign w:val="center"/>
          </w:tcPr>
          <w:p w14:paraId="33DADC5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C5F"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33DADC60"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DC61" w14:textId="77777777" w:rsidR="004D6A64" w:rsidRDefault="00506CD6">
            <w:pPr>
              <w:jc w:val="right"/>
              <w:textAlignment w:val="center"/>
            </w:pPr>
            <w:r>
              <w:rPr>
                <w:rFonts w:ascii="Times New Roman" w:eastAsia="宋体" w:hAnsi="Times New Roman"/>
                <w:color w:val="000000"/>
                <w:sz w:val="20"/>
                <w:szCs w:val="20"/>
              </w:rPr>
              <w:t>11,939 </w:t>
            </w:r>
          </w:p>
        </w:tc>
        <w:tc>
          <w:tcPr>
            <w:tcW w:w="0" w:type="auto"/>
            <w:tcBorders>
              <w:top w:val="single" w:sz="8" w:space="0" w:color="000000"/>
            </w:tcBorders>
            <w:shd w:val="clear" w:color="auto" w:fill="CCEEFF"/>
            <w:tcMar>
              <w:top w:w="40" w:type="dxa"/>
              <w:bottom w:w="40" w:type="dxa"/>
              <w:right w:w="20" w:type="dxa"/>
            </w:tcMar>
            <w:vAlign w:val="center"/>
          </w:tcPr>
          <w:p w14:paraId="33DADC6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C6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C64" w14:textId="77777777" w:rsidR="004D6A64" w:rsidRDefault="00506CD6">
            <w:pPr>
              <w:jc w:val="right"/>
              <w:textAlignment w:val="center"/>
            </w:pPr>
            <w:r>
              <w:rPr>
                <w:rFonts w:ascii="Times New Roman" w:eastAsia="宋体" w:hAnsi="Times New Roman"/>
                <w:color w:val="000000"/>
                <w:sz w:val="20"/>
                <w:szCs w:val="20"/>
              </w:rPr>
              <w:t>9 </w:t>
            </w:r>
          </w:p>
        </w:tc>
        <w:tc>
          <w:tcPr>
            <w:tcW w:w="0" w:type="auto"/>
            <w:shd w:val="clear" w:color="auto" w:fill="CCEEFF"/>
            <w:tcMar>
              <w:top w:w="40" w:type="dxa"/>
              <w:bottom w:w="40" w:type="dxa"/>
              <w:right w:w="20" w:type="dxa"/>
            </w:tcMar>
            <w:vAlign w:val="center"/>
          </w:tcPr>
          <w:p w14:paraId="33DADC65"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DC66"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33DADC67"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DC68" w14:textId="77777777" w:rsidR="004D6A64" w:rsidRDefault="00506CD6">
            <w:pPr>
              <w:jc w:val="right"/>
              <w:textAlignment w:val="center"/>
            </w:pPr>
            <w:r>
              <w:rPr>
                <w:rFonts w:ascii="Times New Roman" w:eastAsia="宋体" w:hAnsi="Times New Roman"/>
                <w:color w:val="000000"/>
                <w:sz w:val="20"/>
                <w:szCs w:val="20"/>
              </w:rPr>
              <w:t>10,944 </w:t>
            </w:r>
          </w:p>
        </w:tc>
        <w:tc>
          <w:tcPr>
            <w:tcW w:w="0" w:type="auto"/>
            <w:tcBorders>
              <w:top w:val="single" w:sz="8" w:space="0" w:color="000000"/>
            </w:tcBorders>
            <w:shd w:val="clear" w:color="auto" w:fill="CCEEFF"/>
            <w:tcMar>
              <w:top w:w="40" w:type="dxa"/>
              <w:bottom w:w="40" w:type="dxa"/>
              <w:right w:w="20" w:type="dxa"/>
            </w:tcMar>
            <w:vAlign w:val="center"/>
          </w:tcPr>
          <w:p w14:paraId="33DADC69" w14:textId="77777777" w:rsidR="004D6A64" w:rsidRDefault="004D6A64">
            <w:pPr>
              <w:jc w:val="right"/>
              <w:rPr>
                <w:rFonts w:ascii="宋体"/>
              </w:rPr>
            </w:pPr>
          </w:p>
        </w:tc>
        <w:tc>
          <w:tcPr>
            <w:tcW w:w="0" w:type="auto"/>
            <w:shd w:val="clear" w:color="auto" w:fill="auto"/>
          </w:tcPr>
          <w:p w14:paraId="33DADC6A" w14:textId="77777777" w:rsidR="004D6A64" w:rsidRDefault="004D6A64">
            <w:pPr>
              <w:rPr>
                <w:rFonts w:ascii="宋体"/>
              </w:rPr>
            </w:pPr>
          </w:p>
        </w:tc>
        <w:tc>
          <w:tcPr>
            <w:tcW w:w="0" w:type="auto"/>
            <w:shd w:val="clear" w:color="auto" w:fill="auto"/>
          </w:tcPr>
          <w:p w14:paraId="33DADC6B" w14:textId="77777777" w:rsidR="004D6A64" w:rsidRDefault="004D6A64">
            <w:pPr>
              <w:rPr>
                <w:rFonts w:ascii="宋体"/>
              </w:rPr>
            </w:pPr>
          </w:p>
        </w:tc>
        <w:tc>
          <w:tcPr>
            <w:tcW w:w="0" w:type="auto"/>
            <w:shd w:val="clear" w:color="auto" w:fill="auto"/>
          </w:tcPr>
          <w:p w14:paraId="33DADC6C" w14:textId="77777777" w:rsidR="004D6A64" w:rsidRDefault="004D6A64">
            <w:pPr>
              <w:rPr>
                <w:rFonts w:ascii="宋体"/>
              </w:rPr>
            </w:pPr>
          </w:p>
        </w:tc>
        <w:tc>
          <w:tcPr>
            <w:tcW w:w="0" w:type="auto"/>
            <w:shd w:val="clear" w:color="auto" w:fill="auto"/>
          </w:tcPr>
          <w:p w14:paraId="33DADC6D" w14:textId="77777777" w:rsidR="004D6A64" w:rsidRDefault="004D6A64">
            <w:pPr>
              <w:rPr>
                <w:rFonts w:ascii="宋体"/>
              </w:rPr>
            </w:pPr>
          </w:p>
        </w:tc>
        <w:tc>
          <w:tcPr>
            <w:tcW w:w="0" w:type="auto"/>
            <w:shd w:val="clear" w:color="auto" w:fill="auto"/>
          </w:tcPr>
          <w:p w14:paraId="33DADC6E" w14:textId="77777777" w:rsidR="004D6A64" w:rsidRDefault="004D6A64">
            <w:pPr>
              <w:rPr>
                <w:rFonts w:ascii="宋体"/>
              </w:rPr>
            </w:pPr>
          </w:p>
        </w:tc>
        <w:tc>
          <w:tcPr>
            <w:tcW w:w="0" w:type="auto"/>
            <w:shd w:val="clear" w:color="auto" w:fill="auto"/>
          </w:tcPr>
          <w:p w14:paraId="33DADC6F" w14:textId="77777777" w:rsidR="004D6A64" w:rsidRDefault="004D6A64">
            <w:pPr>
              <w:rPr>
                <w:rFonts w:ascii="宋体"/>
              </w:rPr>
            </w:pPr>
          </w:p>
        </w:tc>
        <w:tc>
          <w:tcPr>
            <w:tcW w:w="0" w:type="auto"/>
            <w:shd w:val="clear" w:color="auto" w:fill="auto"/>
          </w:tcPr>
          <w:p w14:paraId="33DADC70" w14:textId="77777777" w:rsidR="004D6A64" w:rsidRDefault="004D6A64">
            <w:pPr>
              <w:rPr>
                <w:rFonts w:ascii="宋体"/>
              </w:rPr>
            </w:pPr>
          </w:p>
        </w:tc>
        <w:tc>
          <w:tcPr>
            <w:tcW w:w="0" w:type="auto"/>
            <w:shd w:val="clear" w:color="auto" w:fill="auto"/>
          </w:tcPr>
          <w:p w14:paraId="33DADC71" w14:textId="77777777" w:rsidR="004D6A64" w:rsidRDefault="004D6A64">
            <w:pPr>
              <w:rPr>
                <w:rFonts w:ascii="宋体"/>
              </w:rPr>
            </w:pPr>
          </w:p>
        </w:tc>
        <w:tc>
          <w:tcPr>
            <w:tcW w:w="0" w:type="auto"/>
            <w:shd w:val="clear" w:color="auto" w:fill="auto"/>
          </w:tcPr>
          <w:p w14:paraId="33DADC72" w14:textId="77777777" w:rsidR="004D6A64" w:rsidRDefault="004D6A64">
            <w:pPr>
              <w:rPr>
                <w:rFonts w:ascii="宋体"/>
              </w:rPr>
            </w:pPr>
          </w:p>
        </w:tc>
        <w:tc>
          <w:tcPr>
            <w:tcW w:w="0" w:type="auto"/>
            <w:shd w:val="clear" w:color="auto" w:fill="auto"/>
          </w:tcPr>
          <w:p w14:paraId="33DADC73" w14:textId="77777777" w:rsidR="004D6A64" w:rsidRDefault="004D6A64">
            <w:pPr>
              <w:rPr>
                <w:rFonts w:ascii="宋体"/>
              </w:rPr>
            </w:pPr>
          </w:p>
        </w:tc>
        <w:tc>
          <w:tcPr>
            <w:tcW w:w="0" w:type="auto"/>
            <w:shd w:val="clear" w:color="auto" w:fill="auto"/>
          </w:tcPr>
          <w:p w14:paraId="33DADC74" w14:textId="77777777" w:rsidR="004D6A64" w:rsidRDefault="004D6A64">
            <w:pPr>
              <w:rPr>
                <w:rFonts w:ascii="宋体"/>
              </w:rPr>
            </w:pPr>
          </w:p>
        </w:tc>
        <w:tc>
          <w:tcPr>
            <w:tcW w:w="0" w:type="auto"/>
            <w:shd w:val="clear" w:color="auto" w:fill="auto"/>
          </w:tcPr>
          <w:p w14:paraId="33DADC75" w14:textId="77777777" w:rsidR="004D6A64" w:rsidRDefault="004D6A64">
            <w:pPr>
              <w:rPr>
                <w:rFonts w:ascii="宋体"/>
              </w:rPr>
            </w:pPr>
          </w:p>
        </w:tc>
        <w:tc>
          <w:tcPr>
            <w:tcW w:w="0" w:type="auto"/>
            <w:shd w:val="clear" w:color="auto" w:fill="auto"/>
          </w:tcPr>
          <w:p w14:paraId="33DADC76" w14:textId="77777777" w:rsidR="004D6A64" w:rsidRDefault="004D6A64">
            <w:pPr>
              <w:rPr>
                <w:rFonts w:ascii="宋体"/>
              </w:rPr>
            </w:pPr>
          </w:p>
        </w:tc>
        <w:tc>
          <w:tcPr>
            <w:tcW w:w="0" w:type="auto"/>
            <w:shd w:val="clear" w:color="auto" w:fill="auto"/>
          </w:tcPr>
          <w:p w14:paraId="33DADC77" w14:textId="77777777" w:rsidR="004D6A64" w:rsidRDefault="004D6A64">
            <w:pPr>
              <w:rPr>
                <w:rFonts w:ascii="宋体"/>
              </w:rPr>
            </w:pPr>
          </w:p>
        </w:tc>
        <w:tc>
          <w:tcPr>
            <w:tcW w:w="0" w:type="auto"/>
            <w:shd w:val="clear" w:color="auto" w:fill="auto"/>
          </w:tcPr>
          <w:p w14:paraId="33DADC78" w14:textId="77777777" w:rsidR="004D6A64" w:rsidRDefault="004D6A64">
            <w:pPr>
              <w:rPr>
                <w:rFonts w:ascii="宋体"/>
              </w:rPr>
            </w:pPr>
          </w:p>
        </w:tc>
        <w:tc>
          <w:tcPr>
            <w:tcW w:w="0" w:type="auto"/>
            <w:shd w:val="clear" w:color="auto" w:fill="auto"/>
          </w:tcPr>
          <w:p w14:paraId="33DADC79" w14:textId="77777777" w:rsidR="004D6A64" w:rsidRDefault="004D6A64">
            <w:pPr>
              <w:rPr>
                <w:rFonts w:ascii="宋体"/>
              </w:rPr>
            </w:pPr>
          </w:p>
        </w:tc>
        <w:tc>
          <w:tcPr>
            <w:tcW w:w="0" w:type="auto"/>
            <w:shd w:val="clear" w:color="auto" w:fill="auto"/>
          </w:tcPr>
          <w:p w14:paraId="33DADC7A" w14:textId="77777777" w:rsidR="004D6A64" w:rsidRDefault="004D6A64">
            <w:pPr>
              <w:rPr>
                <w:rFonts w:ascii="宋体"/>
              </w:rPr>
            </w:pPr>
          </w:p>
        </w:tc>
        <w:tc>
          <w:tcPr>
            <w:tcW w:w="0" w:type="auto"/>
            <w:shd w:val="clear" w:color="auto" w:fill="auto"/>
          </w:tcPr>
          <w:p w14:paraId="33DADC7B" w14:textId="77777777" w:rsidR="004D6A64" w:rsidRDefault="004D6A64">
            <w:pPr>
              <w:rPr>
                <w:rFonts w:ascii="宋体"/>
              </w:rPr>
            </w:pPr>
          </w:p>
        </w:tc>
        <w:tc>
          <w:tcPr>
            <w:tcW w:w="0" w:type="auto"/>
            <w:shd w:val="clear" w:color="auto" w:fill="auto"/>
          </w:tcPr>
          <w:p w14:paraId="33DADC7C" w14:textId="77777777" w:rsidR="004D6A64" w:rsidRDefault="004D6A64">
            <w:pPr>
              <w:rPr>
                <w:rFonts w:ascii="宋体"/>
              </w:rPr>
            </w:pPr>
          </w:p>
        </w:tc>
        <w:tc>
          <w:tcPr>
            <w:tcW w:w="0" w:type="auto"/>
            <w:shd w:val="clear" w:color="auto" w:fill="auto"/>
          </w:tcPr>
          <w:p w14:paraId="33DADC7D" w14:textId="77777777" w:rsidR="004D6A64" w:rsidRDefault="004D6A64">
            <w:pPr>
              <w:rPr>
                <w:rFonts w:ascii="宋体"/>
              </w:rPr>
            </w:pPr>
          </w:p>
        </w:tc>
        <w:tc>
          <w:tcPr>
            <w:tcW w:w="0" w:type="auto"/>
            <w:shd w:val="clear" w:color="auto" w:fill="auto"/>
          </w:tcPr>
          <w:p w14:paraId="33DADC7E" w14:textId="77777777" w:rsidR="004D6A64" w:rsidRDefault="004D6A64">
            <w:pPr>
              <w:rPr>
                <w:rFonts w:ascii="宋体"/>
              </w:rPr>
            </w:pPr>
          </w:p>
        </w:tc>
        <w:tc>
          <w:tcPr>
            <w:tcW w:w="0" w:type="auto"/>
            <w:shd w:val="clear" w:color="auto" w:fill="auto"/>
          </w:tcPr>
          <w:p w14:paraId="33DADC7F" w14:textId="77777777" w:rsidR="004D6A64" w:rsidRDefault="004D6A64">
            <w:pPr>
              <w:rPr>
                <w:rFonts w:ascii="宋体"/>
              </w:rPr>
            </w:pPr>
          </w:p>
        </w:tc>
        <w:tc>
          <w:tcPr>
            <w:tcW w:w="0" w:type="auto"/>
            <w:shd w:val="clear" w:color="auto" w:fill="auto"/>
          </w:tcPr>
          <w:p w14:paraId="33DADC80" w14:textId="77777777" w:rsidR="004D6A64" w:rsidRDefault="004D6A64">
            <w:pPr>
              <w:rPr>
                <w:rFonts w:ascii="宋体"/>
              </w:rPr>
            </w:pPr>
          </w:p>
        </w:tc>
        <w:tc>
          <w:tcPr>
            <w:tcW w:w="0" w:type="auto"/>
            <w:shd w:val="clear" w:color="auto" w:fill="auto"/>
          </w:tcPr>
          <w:p w14:paraId="33DADC81" w14:textId="77777777" w:rsidR="004D6A64" w:rsidRDefault="004D6A64">
            <w:pPr>
              <w:rPr>
                <w:rFonts w:ascii="宋体"/>
              </w:rPr>
            </w:pPr>
          </w:p>
        </w:tc>
        <w:tc>
          <w:tcPr>
            <w:tcW w:w="0" w:type="auto"/>
            <w:shd w:val="clear" w:color="auto" w:fill="auto"/>
          </w:tcPr>
          <w:p w14:paraId="33DADC82" w14:textId="77777777" w:rsidR="004D6A64" w:rsidRDefault="004D6A64">
            <w:pPr>
              <w:rPr>
                <w:rFonts w:ascii="宋体"/>
              </w:rPr>
            </w:pPr>
          </w:p>
        </w:tc>
        <w:tc>
          <w:tcPr>
            <w:tcW w:w="0" w:type="auto"/>
            <w:shd w:val="clear" w:color="auto" w:fill="auto"/>
          </w:tcPr>
          <w:p w14:paraId="33DADC83" w14:textId="77777777" w:rsidR="004D6A64" w:rsidRDefault="004D6A64">
            <w:pPr>
              <w:rPr>
                <w:rFonts w:ascii="宋体"/>
              </w:rPr>
            </w:pPr>
          </w:p>
        </w:tc>
        <w:tc>
          <w:tcPr>
            <w:tcW w:w="0" w:type="auto"/>
            <w:shd w:val="clear" w:color="auto" w:fill="auto"/>
          </w:tcPr>
          <w:p w14:paraId="33DADC84" w14:textId="77777777" w:rsidR="004D6A64" w:rsidRDefault="004D6A64">
            <w:pPr>
              <w:rPr>
                <w:rFonts w:ascii="宋体"/>
              </w:rPr>
            </w:pPr>
          </w:p>
        </w:tc>
      </w:tr>
      <w:tr w:rsidR="004D6A64" w14:paraId="33DADCAD" w14:textId="77777777">
        <w:trPr>
          <w:trHeight w:val="280"/>
          <w:jc w:val="center"/>
        </w:trPr>
        <w:tc>
          <w:tcPr>
            <w:tcW w:w="0" w:type="auto"/>
            <w:gridSpan w:val="3"/>
            <w:shd w:val="clear" w:color="auto" w:fill="FFFFFF"/>
            <w:tcMar>
              <w:left w:w="20" w:type="dxa"/>
              <w:right w:w="20" w:type="dxa"/>
            </w:tcMar>
            <w:vAlign w:val="bottom"/>
          </w:tcPr>
          <w:p w14:paraId="33DADC86" w14:textId="77777777" w:rsidR="004D6A64" w:rsidRDefault="004D6A6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3DADC87"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C88"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C89"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C8A" w14:textId="77777777" w:rsidR="004D6A64" w:rsidRDefault="004D6A6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3DADC8B"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C8C" w14:textId="77777777" w:rsidR="004D6A64" w:rsidRDefault="004D6A6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3DADC8D"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C8E"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C8F"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C90" w14:textId="77777777" w:rsidR="004D6A64" w:rsidRDefault="004D6A6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3DADC91" w14:textId="77777777" w:rsidR="004D6A64" w:rsidRDefault="004D6A64">
            <w:pPr>
              <w:rPr>
                <w:rFonts w:ascii="宋体"/>
              </w:rPr>
            </w:pPr>
          </w:p>
        </w:tc>
        <w:tc>
          <w:tcPr>
            <w:tcW w:w="0" w:type="auto"/>
            <w:shd w:val="clear" w:color="auto" w:fill="auto"/>
          </w:tcPr>
          <w:p w14:paraId="33DADC92" w14:textId="77777777" w:rsidR="004D6A64" w:rsidRDefault="004D6A64">
            <w:pPr>
              <w:rPr>
                <w:rFonts w:ascii="宋体"/>
              </w:rPr>
            </w:pPr>
          </w:p>
        </w:tc>
        <w:tc>
          <w:tcPr>
            <w:tcW w:w="0" w:type="auto"/>
            <w:shd w:val="clear" w:color="auto" w:fill="auto"/>
          </w:tcPr>
          <w:p w14:paraId="33DADC93" w14:textId="77777777" w:rsidR="004D6A64" w:rsidRDefault="004D6A64">
            <w:pPr>
              <w:rPr>
                <w:rFonts w:ascii="宋体"/>
              </w:rPr>
            </w:pPr>
          </w:p>
        </w:tc>
        <w:tc>
          <w:tcPr>
            <w:tcW w:w="0" w:type="auto"/>
            <w:shd w:val="clear" w:color="auto" w:fill="auto"/>
          </w:tcPr>
          <w:p w14:paraId="33DADC94" w14:textId="77777777" w:rsidR="004D6A64" w:rsidRDefault="004D6A64">
            <w:pPr>
              <w:rPr>
                <w:rFonts w:ascii="宋体"/>
              </w:rPr>
            </w:pPr>
          </w:p>
        </w:tc>
        <w:tc>
          <w:tcPr>
            <w:tcW w:w="0" w:type="auto"/>
            <w:shd w:val="clear" w:color="auto" w:fill="auto"/>
          </w:tcPr>
          <w:p w14:paraId="33DADC95" w14:textId="77777777" w:rsidR="004D6A64" w:rsidRDefault="004D6A64">
            <w:pPr>
              <w:rPr>
                <w:rFonts w:ascii="宋体"/>
              </w:rPr>
            </w:pPr>
          </w:p>
        </w:tc>
        <w:tc>
          <w:tcPr>
            <w:tcW w:w="0" w:type="auto"/>
            <w:shd w:val="clear" w:color="auto" w:fill="auto"/>
          </w:tcPr>
          <w:p w14:paraId="33DADC96" w14:textId="77777777" w:rsidR="004D6A64" w:rsidRDefault="004D6A64">
            <w:pPr>
              <w:rPr>
                <w:rFonts w:ascii="宋体"/>
              </w:rPr>
            </w:pPr>
          </w:p>
        </w:tc>
        <w:tc>
          <w:tcPr>
            <w:tcW w:w="0" w:type="auto"/>
            <w:shd w:val="clear" w:color="auto" w:fill="auto"/>
          </w:tcPr>
          <w:p w14:paraId="33DADC97" w14:textId="77777777" w:rsidR="004D6A64" w:rsidRDefault="004D6A64">
            <w:pPr>
              <w:rPr>
                <w:rFonts w:ascii="宋体"/>
              </w:rPr>
            </w:pPr>
          </w:p>
        </w:tc>
        <w:tc>
          <w:tcPr>
            <w:tcW w:w="0" w:type="auto"/>
            <w:shd w:val="clear" w:color="auto" w:fill="auto"/>
          </w:tcPr>
          <w:p w14:paraId="33DADC98" w14:textId="77777777" w:rsidR="004D6A64" w:rsidRDefault="004D6A64">
            <w:pPr>
              <w:rPr>
                <w:rFonts w:ascii="宋体"/>
              </w:rPr>
            </w:pPr>
          </w:p>
        </w:tc>
        <w:tc>
          <w:tcPr>
            <w:tcW w:w="0" w:type="auto"/>
            <w:shd w:val="clear" w:color="auto" w:fill="auto"/>
          </w:tcPr>
          <w:p w14:paraId="33DADC99" w14:textId="77777777" w:rsidR="004D6A64" w:rsidRDefault="004D6A64">
            <w:pPr>
              <w:rPr>
                <w:rFonts w:ascii="宋体"/>
              </w:rPr>
            </w:pPr>
          </w:p>
        </w:tc>
        <w:tc>
          <w:tcPr>
            <w:tcW w:w="0" w:type="auto"/>
            <w:shd w:val="clear" w:color="auto" w:fill="auto"/>
          </w:tcPr>
          <w:p w14:paraId="33DADC9A" w14:textId="77777777" w:rsidR="004D6A64" w:rsidRDefault="004D6A64">
            <w:pPr>
              <w:rPr>
                <w:rFonts w:ascii="宋体"/>
              </w:rPr>
            </w:pPr>
          </w:p>
        </w:tc>
        <w:tc>
          <w:tcPr>
            <w:tcW w:w="0" w:type="auto"/>
            <w:shd w:val="clear" w:color="auto" w:fill="auto"/>
          </w:tcPr>
          <w:p w14:paraId="33DADC9B" w14:textId="77777777" w:rsidR="004D6A64" w:rsidRDefault="004D6A64">
            <w:pPr>
              <w:rPr>
                <w:rFonts w:ascii="宋体"/>
              </w:rPr>
            </w:pPr>
          </w:p>
        </w:tc>
        <w:tc>
          <w:tcPr>
            <w:tcW w:w="0" w:type="auto"/>
            <w:shd w:val="clear" w:color="auto" w:fill="auto"/>
          </w:tcPr>
          <w:p w14:paraId="33DADC9C" w14:textId="77777777" w:rsidR="004D6A64" w:rsidRDefault="004D6A64">
            <w:pPr>
              <w:rPr>
                <w:rFonts w:ascii="宋体"/>
              </w:rPr>
            </w:pPr>
          </w:p>
        </w:tc>
        <w:tc>
          <w:tcPr>
            <w:tcW w:w="0" w:type="auto"/>
            <w:shd w:val="clear" w:color="auto" w:fill="auto"/>
          </w:tcPr>
          <w:p w14:paraId="33DADC9D" w14:textId="77777777" w:rsidR="004D6A64" w:rsidRDefault="004D6A64">
            <w:pPr>
              <w:rPr>
                <w:rFonts w:ascii="宋体"/>
              </w:rPr>
            </w:pPr>
          </w:p>
        </w:tc>
        <w:tc>
          <w:tcPr>
            <w:tcW w:w="0" w:type="auto"/>
            <w:shd w:val="clear" w:color="auto" w:fill="auto"/>
          </w:tcPr>
          <w:p w14:paraId="33DADC9E" w14:textId="77777777" w:rsidR="004D6A64" w:rsidRDefault="004D6A64">
            <w:pPr>
              <w:rPr>
                <w:rFonts w:ascii="宋体"/>
              </w:rPr>
            </w:pPr>
          </w:p>
        </w:tc>
        <w:tc>
          <w:tcPr>
            <w:tcW w:w="0" w:type="auto"/>
            <w:shd w:val="clear" w:color="auto" w:fill="auto"/>
          </w:tcPr>
          <w:p w14:paraId="33DADC9F" w14:textId="77777777" w:rsidR="004D6A64" w:rsidRDefault="004D6A64">
            <w:pPr>
              <w:rPr>
                <w:rFonts w:ascii="宋体"/>
              </w:rPr>
            </w:pPr>
          </w:p>
        </w:tc>
        <w:tc>
          <w:tcPr>
            <w:tcW w:w="0" w:type="auto"/>
            <w:shd w:val="clear" w:color="auto" w:fill="auto"/>
          </w:tcPr>
          <w:p w14:paraId="33DADCA0" w14:textId="77777777" w:rsidR="004D6A64" w:rsidRDefault="004D6A64">
            <w:pPr>
              <w:rPr>
                <w:rFonts w:ascii="宋体"/>
              </w:rPr>
            </w:pPr>
          </w:p>
        </w:tc>
        <w:tc>
          <w:tcPr>
            <w:tcW w:w="0" w:type="auto"/>
            <w:shd w:val="clear" w:color="auto" w:fill="auto"/>
          </w:tcPr>
          <w:p w14:paraId="33DADCA1" w14:textId="77777777" w:rsidR="004D6A64" w:rsidRDefault="004D6A64">
            <w:pPr>
              <w:rPr>
                <w:rFonts w:ascii="宋体"/>
              </w:rPr>
            </w:pPr>
          </w:p>
        </w:tc>
        <w:tc>
          <w:tcPr>
            <w:tcW w:w="0" w:type="auto"/>
            <w:shd w:val="clear" w:color="auto" w:fill="auto"/>
          </w:tcPr>
          <w:p w14:paraId="33DADCA2" w14:textId="77777777" w:rsidR="004D6A64" w:rsidRDefault="004D6A64">
            <w:pPr>
              <w:rPr>
                <w:rFonts w:ascii="宋体"/>
              </w:rPr>
            </w:pPr>
          </w:p>
        </w:tc>
        <w:tc>
          <w:tcPr>
            <w:tcW w:w="0" w:type="auto"/>
            <w:shd w:val="clear" w:color="auto" w:fill="auto"/>
          </w:tcPr>
          <w:p w14:paraId="33DADCA3" w14:textId="77777777" w:rsidR="004D6A64" w:rsidRDefault="004D6A64">
            <w:pPr>
              <w:rPr>
                <w:rFonts w:ascii="宋体"/>
              </w:rPr>
            </w:pPr>
          </w:p>
        </w:tc>
        <w:tc>
          <w:tcPr>
            <w:tcW w:w="0" w:type="auto"/>
            <w:shd w:val="clear" w:color="auto" w:fill="auto"/>
          </w:tcPr>
          <w:p w14:paraId="33DADCA4" w14:textId="77777777" w:rsidR="004D6A64" w:rsidRDefault="004D6A64">
            <w:pPr>
              <w:rPr>
                <w:rFonts w:ascii="宋体"/>
              </w:rPr>
            </w:pPr>
          </w:p>
        </w:tc>
        <w:tc>
          <w:tcPr>
            <w:tcW w:w="0" w:type="auto"/>
            <w:shd w:val="clear" w:color="auto" w:fill="auto"/>
          </w:tcPr>
          <w:p w14:paraId="33DADCA5" w14:textId="77777777" w:rsidR="004D6A64" w:rsidRDefault="004D6A64">
            <w:pPr>
              <w:rPr>
                <w:rFonts w:ascii="宋体"/>
              </w:rPr>
            </w:pPr>
          </w:p>
        </w:tc>
        <w:tc>
          <w:tcPr>
            <w:tcW w:w="0" w:type="auto"/>
            <w:shd w:val="clear" w:color="auto" w:fill="auto"/>
          </w:tcPr>
          <w:p w14:paraId="33DADCA6" w14:textId="77777777" w:rsidR="004D6A64" w:rsidRDefault="004D6A64">
            <w:pPr>
              <w:rPr>
                <w:rFonts w:ascii="宋体"/>
              </w:rPr>
            </w:pPr>
          </w:p>
        </w:tc>
        <w:tc>
          <w:tcPr>
            <w:tcW w:w="0" w:type="auto"/>
            <w:shd w:val="clear" w:color="auto" w:fill="auto"/>
          </w:tcPr>
          <w:p w14:paraId="33DADCA7" w14:textId="77777777" w:rsidR="004D6A64" w:rsidRDefault="004D6A64">
            <w:pPr>
              <w:rPr>
                <w:rFonts w:ascii="宋体"/>
              </w:rPr>
            </w:pPr>
          </w:p>
        </w:tc>
        <w:tc>
          <w:tcPr>
            <w:tcW w:w="0" w:type="auto"/>
            <w:shd w:val="clear" w:color="auto" w:fill="auto"/>
          </w:tcPr>
          <w:p w14:paraId="33DADCA8" w14:textId="77777777" w:rsidR="004D6A64" w:rsidRDefault="004D6A64">
            <w:pPr>
              <w:rPr>
                <w:rFonts w:ascii="宋体"/>
              </w:rPr>
            </w:pPr>
          </w:p>
        </w:tc>
        <w:tc>
          <w:tcPr>
            <w:tcW w:w="0" w:type="auto"/>
            <w:shd w:val="clear" w:color="auto" w:fill="auto"/>
          </w:tcPr>
          <w:p w14:paraId="33DADCA9" w14:textId="77777777" w:rsidR="004D6A64" w:rsidRDefault="004D6A64">
            <w:pPr>
              <w:rPr>
                <w:rFonts w:ascii="宋体"/>
              </w:rPr>
            </w:pPr>
          </w:p>
        </w:tc>
        <w:tc>
          <w:tcPr>
            <w:tcW w:w="0" w:type="auto"/>
            <w:shd w:val="clear" w:color="auto" w:fill="auto"/>
          </w:tcPr>
          <w:p w14:paraId="33DADCAA" w14:textId="77777777" w:rsidR="004D6A64" w:rsidRDefault="004D6A64">
            <w:pPr>
              <w:rPr>
                <w:rFonts w:ascii="宋体"/>
              </w:rPr>
            </w:pPr>
          </w:p>
        </w:tc>
        <w:tc>
          <w:tcPr>
            <w:tcW w:w="0" w:type="auto"/>
            <w:shd w:val="clear" w:color="auto" w:fill="auto"/>
          </w:tcPr>
          <w:p w14:paraId="33DADCAB" w14:textId="77777777" w:rsidR="004D6A64" w:rsidRDefault="004D6A64">
            <w:pPr>
              <w:rPr>
                <w:rFonts w:ascii="宋体"/>
              </w:rPr>
            </w:pPr>
          </w:p>
        </w:tc>
        <w:tc>
          <w:tcPr>
            <w:tcW w:w="0" w:type="auto"/>
            <w:shd w:val="clear" w:color="auto" w:fill="auto"/>
          </w:tcPr>
          <w:p w14:paraId="33DADCAC" w14:textId="77777777" w:rsidR="004D6A64" w:rsidRDefault="004D6A64">
            <w:pPr>
              <w:rPr>
                <w:rFonts w:ascii="宋体"/>
              </w:rPr>
            </w:pPr>
          </w:p>
        </w:tc>
      </w:tr>
      <w:tr w:rsidR="004D6A64" w14:paraId="33DADCDF" w14:textId="77777777">
        <w:trPr>
          <w:jc w:val="center"/>
        </w:trPr>
        <w:tc>
          <w:tcPr>
            <w:tcW w:w="0" w:type="auto"/>
            <w:gridSpan w:val="3"/>
            <w:shd w:val="clear" w:color="auto" w:fill="CCEEFF"/>
            <w:tcMar>
              <w:top w:w="40" w:type="dxa"/>
              <w:left w:w="20" w:type="dxa"/>
              <w:bottom w:w="40" w:type="dxa"/>
              <w:right w:w="20" w:type="dxa"/>
            </w:tcMar>
            <w:vAlign w:val="center"/>
          </w:tcPr>
          <w:p w14:paraId="33DADCAE" w14:textId="77777777" w:rsidR="004D6A64" w:rsidRDefault="00506CD6">
            <w:pPr>
              <w:textAlignment w:val="center"/>
            </w:pPr>
            <w:r>
              <w:rPr>
                <w:rFonts w:ascii="Times New Roman" w:eastAsia="宋体" w:hAnsi="Times New Roman"/>
                <w:color w:val="000000"/>
                <w:sz w:val="20"/>
                <w:szCs w:val="20"/>
              </w:rPr>
              <w:t>Net revenue</w:t>
            </w:r>
          </w:p>
        </w:tc>
        <w:tc>
          <w:tcPr>
            <w:tcW w:w="0" w:type="auto"/>
            <w:shd w:val="clear" w:color="auto" w:fill="CCEEFF"/>
            <w:tcMar>
              <w:top w:w="40" w:type="dxa"/>
              <w:left w:w="20" w:type="dxa"/>
              <w:bottom w:w="40" w:type="dxa"/>
            </w:tcMar>
            <w:vAlign w:val="center"/>
          </w:tcPr>
          <w:p w14:paraId="33DADCAF"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DCB0" w14:textId="77777777" w:rsidR="004D6A64" w:rsidRDefault="00506CD6">
            <w:pPr>
              <w:jc w:val="right"/>
              <w:textAlignment w:val="center"/>
            </w:pPr>
            <w:r>
              <w:rPr>
                <w:rFonts w:ascii="Times New Roman" w:eastAsia="宋体" w:hAnsi="Times New Roman"/>
                <w:color w:val="000000"/>
                <w:sz w:val="20"/>
                <w:szCs w:val="20"/>
              </w:rPr>
              <w:t>22,733 </w:t>
            </w:r>
          </w:p>
        </w:tc>
        <w:tc>
          <w:tcPr>
            <w:tcW w:w="0" w:type="auto"/>
            <w:shd w:val="clear" w:color="auto" w:fill="CCEEFF"/>
            <w:tcMar>
              <w:top w:w="40" w:type="dxa"/>
              <w:bottom w:w="40" w:type="dxa"/>
              <w:right w:w="20" w:type="dxa"/>
            </w:tcMar>
            <w:vAlign w:val="center"/>
          </w:tcPr>
          <w:p w14:paraId="33DADCB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CB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CB3" w14:textId="77777777" w:rsidR="004D6A64" w:rsidRDefault="00506CD6">
            <w:pPr>
              <w:jc w:val="right"/>
              <w:textAlignment w:val="center"/>
            </w:pPr>
            <w:r>
              <w:rPr>
                <w:rFonts w:ascii="Times New Roman" w:eastAsia="宋体" w:hAnsi="Times New Roman"/>
                <w:color w:val="000000"/>
                <w:sz w:val="20"/>
                <w:szCs w:val="20"/>
              </w:rPr>
              <w:t>(3)</w:t>
            </w:r>
          </w:p>
        </w:tc>
        <w:tc>
          <w:tcPr>
            <w:tcW w:w="0" w:type="auto"/>
            <w:shd w:val="clear" w:color="auto" w:fill="CCEEFF"/>
            <w:tcMar>
              <w:top w:w="40" w:type="dxa"/>
              <w:bottom w:w="40" w:type="dxa"/>
              <w:right w:w="20" w:type="dxa"/>
            </w:tcMar>
            <w:vAlign w:val="center"/>
          </w:tcPr>
          <w:p w14:paraId="33DADCB4"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DCB5"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DCB6"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DCB7" w14:textId="77777777" w:rsidR="004D6A64" w:rsidRDefault="00506CD6">
            <w:pPr>
              <w:jc w:val="right"/>
              <w:textAlignment w:val="center"/>
            </w:pPr>
            <w:r>
              <w:rPr>
                <w:rFonts w:ascii="Times New Roman" w:eastAsia="宋体" w:hAnsi="Times New Roman"/>
                <w:color w:val="000000"/>
                <w:sz w:val="20"/>
                <w:szCs w:val="20"/>
              </w:rPr>
              <w:t>23,370 </w:t>
            </w:r>
          </w:p>
        </w:tc>
        <w:tc>
          <w:tcPr>
            <w:tcW w:w="0" w:type="auto"/>
            <w:shd w:val="clear" w:color="auto" w:fill="CCEEFF"/>
            <w:tcMar>
              <w:top w:w="40" w:type="dxa"/>
              <w:bottom w:w="40" w:type="dxa"/>
              <w:right w:w="20" w:type="dxa"/>
            </w:tcMar>
            <w:vAlign w:val="center"/>
          </w:tcPr>
          <w:p w14:paraId="33DADCB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CB9"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DCBA"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DCBB" w14:textId="77777777" w:rsidR="004D6A64" w:rsidRDefault="00506CD6">
            <w:pPr>
              <w:jc w:val="right"/>
              <w:textAlignment w:val="center"/>
            </w:pPr>
            <w:r>
              <w:rPr>
                <w:rFonts w:ascii="Times New Roman" w:eastAsia="宋体" w:hAnsi="Times New Roman"/>
                <w:color w:val="000000"/>
                <w:sz w:val="20"/>
                <w:szCs w:val="20"/>
              </w:rPr>
              <w:t>44,630 </w:t>
            </w:r>
          </w:p>
        </w:tc>
        <w:tc>
          <w:tcPr>
            <w:tcW w:w="0" w:type="auto"/>
            <w:shd w:val="clear" w:color="auto" w:fill="CCEEFF"/>
            <w:tcMar>
              <w:top w:w="40" w:type="dxa"/>
              <w:bottom w:w="40" w:type="dxa"/>
              <w:right w:w="20" w:type="dxa"/>
            </w:tcMar>
            <w:vAlign w:val="center"/>
          </w:tcPr>
          <w:p w14:paraId="33DADCB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CB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CBE" w14:textId="77777777" w:rsidR="004D6A64" w:rsidRDefault="00506CD6">
            <w:pPr>
              <w:jc w:val="right"/>
              <w:textAlignment w:val="center"/>
            </w:pPr>
            <w:r>
              <w:rPr>
                <w:rFonts w:ascii="Times New Roman" w:eastAsia="宋体" w:hAnsi="Times New Roman"/>
                <w:color w:val="000000"/>
                <w:sz w:val="20"/>
                <w:szCs w:val="20"/>
              </w:rPr>
              <w:t>(1)</w:t>
            </w:r>
          </w:p>
        </w:tc>
        <w:tc>
          <w:tcPr>
            <w:tcW w:w="0" w:type="auto"/>
            <w:shd w:val="clear" w:color="auto" w:fill="CCEEFF"/>
            <w:tcMar>
              <w:top w:w="40" w:type="dxa"/>
              <w:bottom w:w="40" w:type="dxa"/>
              <w:right w:w="20" w:type="dxa"/>
            </w:tcMar>
            <w:vAlign w:val="center"/>
          </w:tcPr>
          <w:p w14:paraId="33DADCBF"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DCC0"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DCC1"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DCC2" w14:textId="77777777" w:rsidR="004D6A64" w:rsidRDefault="00506CD6">
            <w:pPr>
              <w:jc w:val="right"/>
              <w:textAlignment w:val="center"/>
            </w:pPr>
            <w:r>
              <w:rPr>
                <w:rFonts w:ascii="Times New Roman" w:eastAsia="宋体" w:hAnsi="Times New Roman"/>
                <w:color w:val="000000"/>
                <w:sz w:val="20"/>
                <w:szCs w:val="20"/>
              </w:rPr>
              <w:t>45,278 </w:t>
            </w:r>
          </w:p>
        </w:tc>
        <w:tc>
          <w:tcPr>
            <w:tcW w:w="0" w:type="auto"/>
            <w:shd w:val="clear" w:color="auto" w:fill="CCEEFF"/>
            <w:tcMar>
              <w:top w:w="40" w:type="dxa"/>
              <w:bottom w:w="40" w:type="dxa"/>
              <w:right w:w="20" w:type="dxa"/>
            </w:tcMar>
            <w:vAlign w:val="center"/>
          </w:tcPr>
          <w:p w14:paraId="33DADCC3" w14:textId="77777777" w:rsidR="004D6A64" w:rsidRDefault="004D6A64">
            <w:pPr>
              <w:jc w:val="right"/>
              <w:rPr>
                <w:rFonts w:ascii="宋体"/>
              </w:rPr>
            </w:pPr>
          </w:p>
        </w:tc>
        <w:tc>
          <w:tcPr>
            <w:tcW w:w="0" w:type="auto"/>
            <w:shd w:val="clear" w:color="auto" w:fill="auto"/>
          </w:tcPr>
          <w:p w14:paraId="33DADCC4" w14:textId="77777777" w:rsidR="004D6A64" w:rsidRDefault="004D6A64">
            <w:pPr>
              <w:rPr>
                <w:rFonts w:ascii="宋体"/>
              </w:rPr>
            </w:pPr>
          </w:p>
        </w:tc>
        <w:tc>
          <w:tcPr>
            <w:tcW w:w="0" w:type="auto"/>
            <w:shd w:val="clear" w:color="auto" w:fill="auto"/>
          </w:tcPr>
          <w:p w14:paraId="33DADCC5" w14:textId="77777777" w:rsidR="004D6A64" w:rsidRDefault="004D6A64">
            <w:pPr>
              <w:rPr>
                <w:rFonts w:ascii="宋体"/>
              </w:rPr>
            </w:pPr>
          </w:p>
        </w:tc>
        <w:tc>
          <w:tcPr>
            <w:tcW w:w="0" w:type="auto"/>
            <w:shd w:val="clear" w:color="auto" w:fill="auto"/>
          </w:tcPr>
          <w:p w14:paraId="33DADCC6" w14:textId="77777777" w:rsidR="004D6A64" w:rsidRDefault="004D6A64">
            <w:pPr>
              <w:rPr>
                <w:rFonts w:ascii="宋体"/>
              </w:rPr>
            </w:pPr>
          </w:p>
        </w:tc>
        <w:tc>
          <w:tcPr>
            <w:tcW w:w="0" w:type="auto"/>
            <w:shd w:val="clear" w:color="auto" w:fill="auto"/>
          </w:tcPr>
          <w:p w14:paraId="33DADCC7" w14:textId="77777777" w:rsidR="004D6A64" w:rsidRDefault="004D6A64">
            <w:pPr>
              <w:rPr>
                <w:rFonts w:ascii="宋体"/>
              </w:rPr>
            </w:pPr>
          </w:p>
        </w:tc>
        <w:tc>
          <w:tcPr>
            <w:tcW w:w="0" w:type="auto"/>
            <w:shd w:val="clear" w:color="auto" w:fill="auto"/>
          </w:tcPr>
          <w:p w14:paraId="33DADCC8" w14:textId="77777777" w:rsidR="004D6A64" w:rsidRDefault="004D6A64">
            <w:pPr>
              <w:rPr>
                <w:rFonts w:ascii="宋体"/>
              </w:rPr>
            </w:pPr>
          </w:p>
        </w:tc>
        <w:tc>
          <w:tcPr>
            <w:tcW w:w="0" w:type="auto"/>
            <w:shd w:val="clear" w:color="auto" w:fill="auto"/>
          </w:tcPr>
          <w:p w14:paraId="33DADCC9" w14:textId="77777777" w:rsidR="004D6A64" w:rsidRDefault="004D6A64">
            <w:pPr>
              <w:rPr>
                <w:rFonts w:ascii="宋体"/>
              </w:rPr>
            </w:pPr>
          </w:p>
        </w:tc>
        <w:tc>
          <w:tcPr>
            <w:tcW w:w="0" w:type="auto"/>
            <w:shd w:val="clear" w:color="auto" w:fill="auto"/>
          </w:tcPr>
          <w:p w14:paraId="33DADCCA" w14:textId="77777777" w:rsidR="004D6A64" w:rsidRDefault="004D6A64">
            <w:pPr>
              <w:rPr>
                <w:rFonts w:ascii="宋体"/>
              </w:rPr>
            </w:pPr>
          </w:p>
        </w:tc>
        <w:tc>
          <w:tcPr>
            <w:tcW w:w="0" w:type="auto"/>
            <w:shd w:val="clear" w:color="auto" w:fill="auto"/>
          </w:tcPr>
          <w:p w14:paraId="33DADCCB" w14:textId="77777777" w:rsidR="004D6A64" w:rsidRDefault="004D6A64">
            <w:pPr>
              <w:rPr>
                <w:rFonts w:ascii="宋体"/>
              </w:rPr>
            </w:pPr>
          </w:p>
        </w:tc>
        <w:tc>
          <w:tcPr>
            <w:tcW w:w="0" w:type="auto"/>
            <w:shd w:val="clear" w:color="auto" w:fill="auto"/>
          </w:tcPr>
          <w:p w14:paraId="33DADCCC" w14:textId="77777777" w:rsidR="004D6A64" w:rsidRDefault="004D6A64">
            <w:pPr>
              <w:rPr>
                <w:rFonts w:ascii="宋体"/>
              </w:rPr>
            </w:pPr>
          </w:p>
        </w:tc>
        <w:tc>
          <w:tcPr>
            <w:tcW w:w="0" w:type="auto"/>
            <w:shd w:val="clear" w:color="auto" w:fill="auto"/>
          </w:tcPr>
          <w:p w14:paraId="33DADCCD" w14:textId="77777777" w:rsidR="004D6A64" w:rsidRDefault="004D6A64">
            <w:pPr>
              <w:rPr>
                <w:rFonts w:ascii="宋体"/>
              </w:rPr>
            </w:pPr>
          </w:p>
        </w:tc>
        <w:tc>
          <w:tcPr>
            <w:tcW w:w="0" w:type="auto"/>
            <w:shd w:val="clear" w:color="auto" w:fill="auto"/>
          </w:tcPr>
          <w:p w14:paraId="33DADCCE" w14:textId="77777777" w:rsidR="004D6A64" w:rsidRDefault="004D6A64">
            <w:pPr>
              <w:rPr>
                <w:rFonts w:ascii="宋体"/>
              </w:rPr>
            </w:pPr>
          </w:p>
        </w:tc>
        <w:tc>
          <w:tcPr>
            <w:tcW w:w="0" w:type="auto"/>
            <w:shd w:val="clear" w:color="auto" w:fill="auto"/>
          </w:tcPr>
          <w:p w14:paraId="33DADCCF" w14:textId="77777777" w:rsidR="004D6A64" w:rsidRDefault="004D6A64">
            <w:pPr>
              <w:rPr>
                <w:rFonts w:ascii="宋体"/>
              </w:rPr>
            </w:pPr>
          </w:p>
        </w:tc>
        <w:tc>
          <w:tcPr>
            <w:tcW w:w="0" w:type="auto"/>
            <w:shd w:val="clear" w:color="auto" w:fill="auto"/>
          </w:tcPr>
          <w:p w14:paraId="33DADCD0" w14:textId="77777777" w:rsidR="004D6A64" w:rsidRDefault="004D6A64">
            <w:pPr>
              <w:rPr>
                <w:rFonts w:ascii="宋体"/>
              </w:rPr>
            </w:pPr>
          </w:p>
        </w:tc>
        <w:tc>
          <w:tcPr>
            <w:tcW w:w="0" w:type="auto"/>
            <w:shd w:val="clear" w:color="auto" w:fill="auto"/>
          </w:tcPr>
          <w:p w14:paraId="33DADCD1" w14:textId="77777777" w:rsidR="004D6A64" w:rsidRDefault="004D6A64">
            <w:pPr>
              <w:rPr>
                <w:rFonts w:ascii="宋体"/>
              </w:rPr>
            </w:pPr>
          </w:p>
        </w:tc>
        <w:tc>
          <w:tcPr>
            <w:tcW w:w="0" w:type="auto"/>
            <w:shd w:val="clear" w:color="auto" w:fill="auto"/>
          </w:tcPr>
          <w:p w14:paraId="33DADCD2" w14:textId="77777777" w:rsidR="004D6A64" w:rsidRDefault="004D6A64">
            <w:pPr>
              <w:rPr>
                <w:rFonts w:ascii="宋体"/>
              </w:rPr>
            </w:pPr>
          </w:p>
        </w:tc>
        <w:tc>
          <w:tcPr>
            <w:tcW w:w="0" w:type="auto"/>
            <w:shd w:val="clear" w:color="auto" w:fill="auto"/>
          </w:tcPr>
          <w:p w14:paraId="33DADCD3" w14:textId="77777777" w:rsidR="004D6A64" w:rsidRDefault="004D6A64">
            <w:pPr>
              <w:rPr>
                <w:rFonts w:ascii="宋体"/>
              </w:rPr>
            </w:pPr>
          </w:p>
        </w:tc>
        <w:tc>
          <w:tcPr>
            <w:tcW w:w="0" w:type="auto"/>
            <w:shd w:val="clear" w:color="auto" w:fill="auto"/>
          </w:tcPr>
          <w:p w14:paraId="33DADCD4" w14:textId="77777777" w:rsidR="004D6A64" w:rsidRDefault="004D6A64">
            <w:pPr>
              <w:rPr>
                <w:rFonts w:ascii="宋体"/>
              </w:rPr>
            </w:pPr>
          </w:p>
        </w:tc>
        <w:tc>
          <w:tcPr>
            <w:tcW w:w="0" w:type="auto"/>
            <w:shd w:val="clear" w:color="auto" w:fill="auto"/>
          </w:tcPr>
          <w:p w14:paraId="33DADCD5" w14:textId="77777777" w:rsidR="004D6A64" w:rsidRDefault="004D6A64">
            <w:pPr>
              <w:rPr>
                <w:rFonts w:ascii="宋体"/>
              </w:rPr>
            </w:pPr>
          </w:p>
        </w:tc>
        <w:tc>
          <w:tcPr>
            <w:tcW w:w="0" w:type="auto"/>
            <w:shd w:val="clear" w:color="auto" w:fill="auto"/>
          </w:tcPr>
          <w:p w14:paraId="33DADCD6" w14:textId="77777777" w:rsidR="004D6A64" w:rsidRDefault="004D6A64">
            <w:pPr>
              <w:rPr>
                <w:rFonts w:ascii="宋体"/>
              </w:rPr>
            </w:pPr>
          </w:p>
        </w:tc>
        <w:tc>
          <w:tcPr>
            <w:tcW w:w="0" w:type="auto"/>
            <w:shd w:val="clear" w:color="auto" w:fill="auto"/>
          </w:tcPr>
          <w:p w14:paraId="33DADCD7" w14:textId="77777777" w:rsidR="004D6A64" w:rsidRDefault="004D6A64">
            <w:pPr>
              <w:rPr>
                <w:rFonts w:ascii="宋体"/>
              </w:rPr>
            </w:pPr>
          </w:p>
        </w:tc>
        <w:tc>
          <w:tcPr>
            <w:tcW w:w="0" w:type="auto"/>
            <w:shd w:val="clear" w:color="auto" w:fill="auto"/>
          </w:tcPr>
          <w:p w14:paraId="33DADCD8" w14:textId="77777777" w:rsidR="004D6A64" w:rsidRDefault="004D6A64">
            <w:pPr>
              <w:rPr>
                <w:rFonts w:ascii="宋体"/>
              </w:rPr>
            </w:pPr>
          </w:p>
        </w:tc>
        <w:tc>
          <w:tcPr>
            <w:tcW w:w="0" w:type="auto"/>
            <w:shd w:val="clear" w:color="auto" w:fill="auto"/>
          </w:tcPr>
          <w:p w14:paraId="33DADCD9" w14:textId="77777777" w:rsidR="004D6A64" w:rsidRDefault="004D6A64">
            <w:pPr>
              <w:rPr>
                <w:rFonts w:ascii="宋体"/>
              </w:rPr>
            </w:pPr>
          </w:p>
        </w:tc>
        <w:tc>
          <w:tcPr>
            <w:tcW w:w="0" w:type="auto"/>
            <w:shd w:val="clear" w:color="auto" w:fill="auto"/>
          </w:tcPr>
          <w:p w14:paraId="33DADCDA" w14:textId="77777777" w:rsidR="004D6A64" w:rsidRDefault="004D6A64">
            <w:pPr>
              <w:rPr>
                <w:rFonts w:ascii="宋体"/>
              </w:rPr>
            </w:pPr>
          </w:p>
        </w:tc>
        <w:tc>
          <w:tcPr>
            <w:tcW w:w="0" w:type="auto"/>
            <w:shd w:val="clear" w:color="auto" w:fill="auto"/>
          </w:tcPr>
          <w:p w14:paraId="33DADCDB" w14:textId="77777777" w:rsidR="004D6A64" w:rsidRDefault="004D6A64">
            <w:pPr>
              <w:rPr>
                <w:rFonts w:ascii="宋体"/>
              </w:rPr>
            </w:pPr>
          </w:p>
        </w:tc>
        <w:tc>
          <w:tcPr>
            <w:tcW w:w="0" w:type="auto"/>
            <w:shd w:val="clear" w:color="auto" w:fill="auto"/>
          </w:tcPr>
          <w:p w14:paraId="33DADCDC" w14:textId="77777777" w:rsidR="004D6A64" w:rsidRDefault="004D6A64">
            <w:pPr>
              <w:rPr>
                <w:rFonts w:ascii="宋体"/>
              </w:rPr>
            </w:pPr>
          </w:p>
        </w:tc>
        <w:tc>
          <w:tcPr>
            <w:tcW w:w="0" w:type="auto"/>
            <w:shd w:val="clear" w:color="auto" w:fill="auto"/>
          </w:tcPr>
          <w:p w14:paraId="33DADCDD" w14:textId="77777777" w:rsidR="004D6A64" w:rsidRDefault="004D6A64">
            <w:pPr>
              <w:rPr>
                <w:rFonts w:ascii="宋体"/>
              </w:rPr>
            </w:pPr>
          </w:p>
        </w:tc>
        <w:tc>
          <w:tcPr>
            <w:tcW w:w="0" w:type="auto"/>
            <w:shd w:val="clear" w:color="auto" w:fill="auto"/>
          </w:tcPr>
          <w:p w14:paraId="33DADCDE" w14:textId="77777777" w:rsidR="004D6A64" w:rsidRDefault="004D6A64">
            <w:pPr>
              <w:rPr>
                <w:rFonts w:ascii="宋体"/>
              </w:rPr>
            </w:pPr>
          </w:p>
        </w:tc>
      </w:tr>
      <w:tr w:rsidR="004D6A64" w14:paraId="33DADD07" w14:textId="77777777">
        <w:trPr>
          <w:jc w:val="center"/>
        </w:trPr>
        <w:tc>
          <w:tcPr>
            <w:tcW w:w="0" w:type="auto"/>
            <w:gridSpan w:val="3"/>
            <w:shd w:val="clear" w:color="auto" w:fill="FFFFFF"/>
            <w:tcMar>
              <w:top w:w="40" w:type="dxa"/>
              <w:left w:w="135" w:type="dxa"/>
              <w:bottom w:w="40" w:type="dxa"/>
              <w:right w:w="20" w:type="dxa"/>
            </w:tcMar>
            <w:vAlign w:val="center"/>
          </w:tcPr>
          <w:p w14:paraId="33DADCE0" w14:textId="77777777" w:rsidR="004D6A64" w:rsidRDefault="00506CD6">
            <w:pPr>
              <w:textAlignment w:val="center"/>
            </w:pPr>
            <w:r>
              <w:rPr>
                <w:rFonts w:ascii="Times New Roman" w:eastAsia="宋体" w:hAnsi="Times New Roman"/>
                <w:color w:val="000000"/>
                <w:sz w:val="20"/>
                <w:szCs w:val="20"/>
              </w:rPr>
              <w:t>Non-GAAP adjustments:</w:t>
            </w:r>
          </w:p>
        </w:tc>
        <w:tc>
          <w:tcPr>
            <w:tcW w:w="0" w:type="auto"/>
            <w:gridSpan w:val="3"/>
            <w:shd w:val="clear" w:color="auto" w:fill="FFFFFF"/>
            <w:tcMar>
              <w:left w:w="20" w:type="dxa"/>
              <w:right w:w="20" w:type="dxa"/>
            </w:tcMar>
            <w:vAlign w:val="bottom"/>
          </w:tcPr>
          <w:p w14:paraId="33DADCE1"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CE2"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CE3"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CE4"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CE5"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CE6"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CE7"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CE8"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CE9"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CEA"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CEB" w14:textId="77777777" w:rsidR="004D6A64" w:rsidRDefault="004D6A64">
            <w:pPr>
              <w:rPr>
                <w:rFonts w:ascii="宋体"/>
              </w:rPr>
            </w:pPr>
          </w:p>
        </w:tc>
        <w:tc>
          <w:tcPr>
            <w:tcW w:w="0" w:type="auto"/>
            <w:shd w:val="clear" w:color="auto" w:fill="auto"/>
          </w:tcPr>
          <w:p w14:paraId="33DADCEC" w14:textId="77777777" w:rsidR="004D6A64" w:rsidRDefault="004D6A64">
            <w:pPr>
              <w:rPr>
                <w:rFonts w:ascii="宋体"/>
              </w:rPr>
            </w:pPr>
          </w:p>
        </w:tc>
        <w:tc>
          <w:tcPr>
            <w:tcW w:w="0" w:type="auto"/>
            <w:shd w:val="clear" w:color="auto" w:fill="auto"/>
          </w:tcPr>
          <w:p w14:paraId="33DADCED" w14:textId="77777777" w:rsidR="004D6A64" w:rsidRDefault="004D6A64">
            <w:pPr>
              <w:rPr>
                <w:rFonts w:ascii="宋体"/>
              </w:rPr>
            </w:pPr>
          </w:p>
        </w:tc>
        <w:tc>
          <w:tcPr>
            <w:tcW w:w="0" w:type="auto"/>
            <w:shd w:val="clear" w:color="auto" w:fill="auto"/>
          </w:tcPr>
          <w:p w14:paraId="33DADCEE" w14:textId="77777777" w:rsidR="004D6A64" w:rsidRDefault="004D6A64">
            <w:pPr>
              <w:rPr>
                <w:rFonts w:ascii="宋体"/>
              </w:rPr>
            </w:pPr>
          </w:p>
        </w:tc>
        <w:tc>
          <w:tcPr>
            <w:tcW w:w="0" w:type="auto"/>
            <w:shd w:val="clear" w:color="auto" w:fill="auto"/>
          </w:tcPr>
          <w:p w14:paraId="33DADCEF" w14:textId="77777777" w:rsidR="004D6A64" w:rsidRDefault="004D6A64">
            <w:pPr>
              <w:rPr>
                <w:rFonts w:ascii="宋体"/>
              </w:rPr>
            </w:pPr>
          </w:p>
        </w:tc>
        <w:tc>
          <w:tcPr>
            <w:tcW w:w="0" w:type="auto"/>
            <w:shd w:val="clear" w:color="auto" w:fill="auto"/>
          </w:tcPr>
          <w:p w14:paraId="33DADCF0" w14:textId="77777777" w:rsidR="004D6A64" w:rsidRDefault="004D6A64">
            <w:pPr>
              <w:rPr>
                <w:rFonts w:ascii="宋体"/>
              </w:rPr>
            </w:pPr>
          </w:p>
        </w:tc>
        <w:tc>
          <w:tcPr>
            <w:tcW w:w="0" w:type="auto"/>
            <w:shd w:val="clear" w:color="auto" w:fill="auto"/>
          </w:tcPr>
          <w:p w14:paraId="33DADCF1" w14:textId="77777777" w:rsidR="004D6A64" w:rsidRDefault="004D6A64">
            <w:pPr>
              <w:rPr>
                <w:rFonts w:ascii="宋体"/>
              </w:rPr>
            </w:pPr>
          </w:p>
        </w:tc>
        <w:tc>
          <w:tcPr>
            <w:tcW w:w="0" w:type="auto"/>
            <w:shd w:val="clear" w:color="auto" w:fill="auto"/>
          </w:tcPr>
          <w:p w14:paraId="33DADCF2" w14:textId="77777777" w:rsidR="004D6A64" w:rsidRDefault="004D6A64">
            <w:pPr>
              <w:rPr>
                <w:rFonts w:ascii="宋体"/>
              </w:rPr>
            </w:pPr>
          </w:p>
        </w:tc>
        <w:tc>
          <w:tcPr>
            <w:tcW w:w="0" w:type="auto"/>
            <w:shd w:val="clear" w:color="auto" w:fill="auto"/>
          </w:tcPr>
          <w:p w14:paraId="33DADCF3" w14:textId="77777777" w:rsidR="004D6A64" w:rsidRDefault="004D6A64">
            <w:pPr>
              <w:rPr>
                <w:rFonts w:ascii="宋体"/>
              </w:rPr>
            </w:pPr>
          </w:p>
        </w:tc>
        <w:tc>
          <w:tcPr>
            <w:tcW w:w="0" w:type="auto"/>
            <w:shd w:val="clear" w:color="auto" w:fill="auto"/>
          </w:tcPr>
          <w:p w14:paraId="33DADCF4" w14:textId="77777777" w:rsidR="004D6A64" w:rsidRDefault="004D6A64">
            <w:pPr>
              <w:rPr>
                <w:rFonts w:ascii="宋体"/>
              </w:rPr>
            </w:pPr>
          </w:p>
        </w:tc>
        <w:tc>
          <w:tcPr>
            <w:tcW w:w="0" w:type="auto"/>
            <w:shd w:val="clear" w:color="auto" w:fill="auto"/>
          </w:tcPr>
          <w:p w14:paraId="33DADCF5" w14:textId="77777777" w:rsidR="004D6A64" w:rsidRDefault="004D6A64">
            <w:pPr>
              <w:rPr>
                <w:rFonts w:ascii="宋体"/>
              </w:rPr>
            </w:pPr>
          </w:p>
        </w:tc>
        <w:tc>
          <w:tcPr>
            <w:tcW w:w="0" w:type="auto"/>
            <w:shd w:val="clear" w:color="auto" w:fill="auto"/>
          </w:tcPr>
          <w:p w14:paraId="33DADCF6" w14:textId="77777777" w:rsidR="004D6A64" w:rsidRDefault="004D6A64">
            <w:pPr>
              <w:rPr>
                <w:rFonts w:ascii="宋体"/>
              </w:rPr>
            </w:pPr>
          </w:p>
        </w:tc>
        <w:tc>
          <w:tcPr>
            <w:tcW w:w="0" w:type="auto"/>
            <w:shd w:val="clear" w:color="auto" w:fill="auto"/>
          </w:tcPr>
          <w:p w14:paraId="33DADCF7" w14:textId="77777777" w:rsidR="004D6A64" w:rsidRDefault="004D6A64">
            <w:pPr>
              <w:rPr>
                <w:rFonts w:ascii="宋体"/>
              </w:rPr>
            </w:pPr>
          </w:p>
        </w:tc>
        <w:tc>
          <w:tcPr>
            <w:tcW w:w="0" w:type="auto"/>
            <w:shd w:val="clear" w:color="auto" w:fill="auto"/>
          </w:tcPr>
          <w:p w14:paraId="33DADCF8" w14:textId="77777777" w:rsidR="004D6A64" w:rsidRDefault="004D6A64">
            <w:pPr>
              <w:rPr>
                <w:rFonts w:ascii="宋体"/>
              </w:rPr>
            </w:pPr>
          </w:p>
        </w:tc>
        <w:tc>
          <w:tcPr>
            <w:tcW w:w="0" w:type="auto"/>
            <w:shd w:val="clear" w:color="auto" w:fill="auto"/>
          </w:tcPr>
          <w:p w14:paraId="33DADCF9" w14:textId="77777777" w:rsidR="004D6A64" w:rsidRDefault="004D6A64">
            <w:pPr>
              <w:rPr>
                <w:rFonts w:ascii="宋体"/>
              </w:rPr>
            </w:pPr>
          </w:p>
        </w:tc>
        <w:tc>
          <w:tcPr>
            <w:tcW w:w="0" w:type="auto"/>
            <w:shd w:val="clear" w:color="auto" w:fill="auto"/>
          </w:tcPr>
          <w:p w14:paraId="33DADCFA" w14:textId="77777777" w:rsidR="004D6A64" w:rsidRDefault="004D6A64">
            <w:pPr>
              <w:rPr>
                <w:rFonts w:ascii="宋体"/>
              </w:rPr>
            </w:pPr>
          </w:p>
        </w:tc>
        <w:tc>
          <w:tcPr>
            <w:tcW w:w="0" w:type="auto"/>
            <w:shd w:val="clear" w:color="auto" w:fill="auto"/>
          </w:tcPr>
          <w:p w14:paraId="33DADCFB" w14:textId="77777777" w:rsidR="004D6A64" w:rsidRDefault="004D6A64">
            <w:pPr>
              <w:rPr>
                <w:rFonts w:ascii="宋体"/>
              </w:rPr>
            </w:pPr>
          </w:p>
        </w:tc>
        <w:tc>
          <w:tcPr>
            <w:tcW w:w="0" w:type="auto"/>
            <w:shd w:val="clear" w:color="auto" w:fill="auto"/>
          </w:tcPr>
          <w:p w14:paraId="33DADCFC" w14:textId="77777777" w:rsidR="004D6A64" w:rsidRDefault="004D6A64">
            <w:pPr>
              <w:rPr>
                <w:rFonts w:ascii="宋体"/>
              </w:rPr>
            </w:pPr>
          </w:p>
        </w:tc>
        <w:tc>
          <w:tcPr>
            <w:tcW w:w="0" w:type="auto"/>
            <w:shd w:val="clear" w:color="auto" w:fill="auto"/>
          </w:tcPr>
          <w:p w14:paraId="33DADCFD" w14:textId="77777777" w:rsidR="004D6A64" w:rsidRDefault="004D6A64">
            <w:pPr>
              <w:rPr>
                <w:rFonts w:ascii="宋体"/>
              </w:rPr>
            </w:pPr>
          </w:p>
        </w:tc>
        <w:tc>
          <w:tcPr>
            <w:tcW w:w="0" w:type="auto"/>
            <w:shd w:val="clear" w:color="auto" w:fill="auto"/>
          </w:tcPr>
          <w:p w14:paraId="33DADCFE" w14:textId="77777777" w:rsidR="004D6A64" w:rsidRDefault="004D6A64">
            <w:pPr>
              <w:rPr>
                <w:rFonts w:ascii="宋体"/>
              </w:rPr>
            </w:pPr>
          </w:p>
        </w:tc>
        <w:tc>
          <w:tcPr>
            <w:tcW w:w="0" w:type="auto"/>
            <w:shd w:val="clear" w:color="auto" w:fill="auto"/>
          </w:tcPr>
          <w:p w14:paraId="33DADCFF" w14:textId="77777777" w:rsidR="004D6A64" w:rsidRDefault="004D6A64">
            <w:pPr>
              <w:rPr>
                <w:rFonts w:ascii="宋体"/>
              </w:rPr>
            </w:pPr>
          </w:p>
        </w:tc>
        <w:tc>
          <w:tcPr>
            <w:tcW w:w="0" w:type="auto"/>
            <w:shd w:val="clear" w:color="auto" w:fill="auto"/>
          </w:tcPr>
          <w:p w14:paraId="33DADD00" w14:textId="77777777" w:rsidR="004D6A64" w:rsidRDefault="004D6A64">
            <w:pPr>
              <w:rPr>
                <w:rFonts w:ascii="宋体"/>
              </w:rPr>
            </w:pPr>
          </w:p>
        </w:tc>
        <w:tc>
          <w:tcPr>
            <w:tcW w:w="0" w:type="auto"/>
            <w:shd w:val="clear" w:color="auto" w:fill="auto"/>
          </w:tcPr>
          <w:p w14:paraId="33DADD01" w14:textId="77777777" w:rsidR="004D6A64" w:rsidRDefault="004D6A64">
            <w:pPr>
              <w:rPr>
                <w:rFonts w:ascii="宋体"/>
              </w:rPr>
            </w:pPr>
          </w:p>
        </w:tc>
        <w:tc>
          <w:tcPr>
            <w:tcW w:w="0" w:type="auto"/>
            <w:shd w:val="clear" w:color="auto" w:fill="auto"/>
          </w:tcPr>
          <w:p w14:paraId="33DADD02" w14:textId="77777777" w:rsidR="004D6A64" w:rsidRDefault="004D6A64">
            <w:pPr>
              <w:rPr>
                <w:rFonts w:ascii="宋体"/>
              </w:rPr>
            </w:pPr>
          </w:p>
        </w:tc>
        <w:tc>
          <w:tcPr>
            <w:tcW w:w="0" w:type="auto"/>
            <w:shd w:val="clear" w:color="auto" w:fill="auto"/>
          </w:tcPr>
          <w:p w14:paraId="33DADD03" w14:textId="77777777" w:rsidR="004D6A64" w:rsidRDefault="004D6A64">
            <w:pPr>
              <w:rPr>
                <w:rFonts w:ascii="宋体"/>
              </w:rPr>
            </w:pPr>
          </w:p>
        </w:tc>
        <w:tc>
          <w:tcPr>
            <w:tcW w:w="0" w:type="auto"/>
            <w:shd w:val="clear" w:color="auto" w:fill="auto"/>
          </w:tcPr>
          <w:p w14:paraId="33DADD04" w14:textId="77777777" w:rsidR="004D6A64" w:rsidRDefault="004D6A64">
            <w:pPr>
              <w:rPr>
                <w:rFonts w:ascii="宋体"/>
              </w:rPr>
            </w:pPr>
          </w:p>
        </w:tc>
        <w:tc>
          <w:tcPr>
            <w:tcW w:w="0" w:type="auto"/>
            <w:shd w:val="clear" w:color="auto" w:fill="auto"/>
          </w:tcPr>
          <w:p w14:paraId="33DADD05" w14:textId="77777777" w:rsidR="004D6A64" w:rsidRDefault="004D6A64">
            <w:pPr>
              <w:rPr>
                <w:rFonts w:ascii="宋体"/>
              </w:rPr>
            </w:pPr>
          </w:p>
        </w:tc>
        <w:tc>
          <w:tcPr>
            <w:tcW w:w="0" w:type="auto"/>
            <w:shd w:val="clear" w:color="auto" w:fill="auto"/>
          </w:tcPr>
          <w:p w14:paraId="33DADD06" w14:textId="77777777" w:rsidR="004D6A64" w:rsidRDefault="004D6A64">
            <w:pPr>
              <w:rPr>
                <w:rFonts w:ascii="宋体"/>
              </w:rPr>
            </w:pPr>
          </w:p>
        </w:tc>
      </w:tr>
      <w:tr w:rsidR="004D6A64" w14:paraId="33DADD33" w14:textId="77777777">
        <w:trPr>
          <w:jc w:val="center"/>
        </w:trPr>
        <w:tc>
          <w:tcPr>
            <w:tcW w:w="0" w:type="auto"/>
            <w:gridSpan w:val="3"/>
            <w:shd w:val="clear" w:color="auto" w:fill="CCEEFF"/>
            <w:tcMar>
              <w:top w:w="40" w:type="dxa"/>
              <w:left w:w="225" w:type="dxa"/>
              <w:bottom w:w="40" w:type="dxa"/>
              <w:right w:w="20" w:type="dxa"/>
            </w:tcMar>
            <w:vAlign w:val="center"/>
          </w:tcPr>
          <w:p w14:paraId="33DADD08" w14:textId="77777777" w:rsidR="004D6A64" w:rsidRDefault="00506CD6">
            <w:pPr>
              <w:textAlignment w:val="center"/>
            </w:pPr>
            <w:r>
              <w:rPr>
                <w:rFonts w:ascii="Times New Roman" w:eastAsia="宋体" w:hAnsi="Times New Roman"/>
                <w:color w:val="000000"/>
                <w:sz w:val="20"/>
                <w:szCs w:val="20"/>
              </w:rPr>
              <w:t>Impact of purchase accounting</w:t>
            </w:r>
          </w:p>
        </w:tc>
        <w:tc>
          <w:tcPr>
            <w:tcW w:w="0" w:type="auto"/>
            <w:gridSpan w:val="2"/>
            <w:shd w:val="clear" w:color="auto" w:fill="CCEEFF"/>
            <w:tcMar>
              <w:top w:w="40" w:type="dxa"/>
              <w:left w:w="20" w:type="dxa"/>
              <w:bottom w:w="40" w:type="dxa"/>
              <w:right w:w="0" w:type="dxa"/>
            </w:tcMar>
            <w:vAlign w:val="center"/>
          </w:tcPr>
          <w:p w14:paraId="33DADD09" w14:textId="77777777" w:rsidR="004D6A64" w:rsidRDefault="00506CD6">
            <w:pPr>
              <w:jc w:val="right"/>
              <w:textAlignment w:val="center"/>
            </w:pPr>
            <w:r>
              <w:rPr>
                <w:rFonts w:ascii="Times New Roman" w:eastAsia="宋体" w:hAnsi="Times New Roman"/>
                <w:color w:val="000000"/>
                <w:sz w:val="20"/>
                <w:szCs w:val="20"/>
              </w:rPr>
              <w:t>42 </w:t>
            </w:r>
          </w:p>
        </w:tc>
        <w:tc>
          <w:tcPr>
            <w:tcW w:w="0" w:type="auto"/>
            <w:shd w:val="clear" w:color="auto" w:fill="CCEEFF"/>
            <w:tcMar>
              <w:top w:w="40" w:type="dxa"/>
              <w:bottom w:w="40" w:type="dxa"/>
              <w:right w:w="20" w:type="dxa"/>
            </w:tcMar>
            <w:vAlign w:val="center"/>
          </w:tcPr>
          <w:p w14:paraId="33DADD0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D0B"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D0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D0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D0E" w14:textId="77777777" w:rsidR="004D6A64" w:rsidRDefault="00506CD6">
            <w:pPr>
              <w:jc w:val="right"/>
              <w:textAlignment w:val="center"/>
            </w:pPr>
            <w:r>
              <w:rPr>
                <w:rFonts w:ascii="Times New Roman" w:eastAsia="宋体" w:hAnsi="Times New Roman"/>
                <w:color w:val="000000"/>
                <w:sz w:val="20"/>
                <w:szCs w:val="20"/>
              </w:rPr>
              <w:t>84 </w:t>
            </w:r>
          </w:p>
        </w:tc>
        <w:tc>
          <w:tcPr>
            <w:tcW w:w="0" w:type="auto"/>
            <w:shd w:val="clear" w:color="auto" w:fill="CCEEFF"/>
            <w:tcMar>
              <w:top w:w="40" w:type="dxa"/>
              <w:bottom w:w="40" w:type="dxa"/>
              <w:right w:w="20" w:type="dxa"/>
            </w:tcMar>
            <w:vAlign w:val="center"/>
          </w:tcPr>
          <w:p w14:paraId="33DADD0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D10"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D11" w14:textId="77777777" w:rsidR="004D6A64" w:rsidRDefault="00506CD6">
            <w:pPr>
              <w:jc w:val="right"/>
              <w:textAlignment w:val="center"/>
            </w:pPr>
            <w:r>
              <w:rPr>
                <w:rFonts w:ascii="Times New Roman" w:eastAsia="宋体" w:hAnsi="Times New Roman"/>
                <w:color w:val="000000"/>
                <w:sz w:val="20"/>
                <w:szCs w:val="20"/>
              </w:rPr>
              <w:t>90 </w:t>
            </w:r>
          </w:p>
        </w:tc>
        <w:tc>
          <w:tcPr>
            <w:tcW w:w="0" w:type="auto"/>
            <w:shd w:val="clear" w:color="auto" w:fill="CCEEFF"/>
            <w:tcMar>
              <w:top w:w="40" w:type="dxa"/>
              <w:bottom w:w="40" w:type="dxa"/>
              <w:right w:w="20" w:type="dxa"/>
            </w:tcMar>
            <w:vAlign w:val="center"/>
          </w:tcPr>
          <w:p w14:paraId="33DADD1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D13"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D14"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D1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D16" w14:textId="77777777" w:rsidR="004D6A64" w:rsidRDefault="00506CD6">
            <w:pPr>
              <w:jc w:val="right"/>
              <w:textAlignment w:val="center"/>
            </w:pPr>
            <w:r>
              <w:rPr>
                <w:rFonts w:ascii="Times New Roman" w:eastAsia="宋体" w:hAnsi="Times New Roman"/>
                <w:color w:val="000000"/>
                <w:sz w:val="20"/>
                <w:szCs w:val="20"/>
              </w:rPr>
              <w:t>166 </w:t>
            </w:r>
          </w:p>
        </w:tc>
        <w:tc>
          <w:tcPr>
            <w:tcW w:w="0" w:type="auto"/>
            <w:shd w:val="clear" w:color="auto" w:fill="CCEEFF"/>
            <w:tcMar>
              <w:top w:w="40" w:type="dxa"/>
              <w:bottom w:w="40" w:type="dxa"/>
              <w:right w:w="20" w:type="dxa"/>
            </w:tcMar>
            <w:vAlign w:val="center"/>
          </w:tcPr>
          <w:p w14:paraId="33DADD17" w14:textId="77777777" w:rsidR="004D6A64" w:rsidRDefault="004D6A64">
            <w:pPr>
              <w:jc w:val="right"/>
              <w:rPr>
                <w:rFonts w:ascii="宋体"/>
              </w:rPr>
            </w:pPr>
          </w:p>
        </w:tc>
        <w:tc>
          <w:tcPr>
            <w:tcW w:w="0" w:type="auto"/>
            <w:shd w:val="clear" w:color="auto" w:fill="auto"/>
          </w:tcPr>
          <w:p w14:paraId="33DADD18" w14:textId="77777777" w:rsidR="004D6A64" w:rsidRDefault="004D6A64">
            <w:pPr>
              <w:rPr>
                <w:rFonts w:ascii="宋体"/>
              </w:rPr>
            </w:pPr>
          </w:p>
        </w:tc>
        <w:tc>
          <w:tcPr>
            <w:tcW w:w="0" w:type="auto"/>
            <w:shd w:val="clear" w:color="auto" w:fill="auto"/>
          </w:tcPr>
          <w:p w14:paraId="33DADD19" w14:textId="77777777" w:rsidR="004D6A64" w:rsidRDefault="004D6A64">
            <w:pPr>
              <w:rPr>
                <w:rFonts w:ascii="宋体"/>
              </w:rPr>
            </w:pPr>
          </w:p>
        </w:tc>
        <w:tc>
          <w:tcPr>
            <w:tcW w:w="0" w:type="auto"/>
            <w:shd w:val="clear" w:color="auto" w:fill="auto"/>
          </w:tcPr>
          <w:p w14:paraId="33DADD1A" w14:textId="77777777" w:rsidR="004D6A64" w:rsidRDefault="004D6A64">
            <w:pPr>
              <w:rPr>
                <w:rFonts w:ascii="宋体"/>
              </w:rPr>
            </w:pPr>
          </w:p>
        </w:tc>
        <w:tc>
          <w:tcPr>
            <w:tcW w:w="0" w:type="auto"/>
            <w:shd w:val="clear" w:color="auto" w:fill="auto"/>
          </w:tcPr>
          <w:p w14:paraId="33DADD1B" w14:textId="77777777" w:rsidR="004D6A64" w:rsidRDefault="004D6A64">
            <w:pPr>
              <w:rPr>
                <w:rFonts w:ascii="宋体"/>
              </w:rPr>
            </w:pPr>
          </w:p>
        </w:tc>
        <w:tc>
          <w:tcPr>
            <w:tcW w:w="0" w:type="auto"/>
            <w:shd w:val="clear" w:color="auto" w:fill="auto"/>
          </w:tcPr>
          <w:p w14:paraId="33DADD1C" w14:textId="77777777" w:rsidR="004D6A64" w:rsidRDefault="004D6A64">
            <w:pPr>
              <w:rPr>
                <w:rFonts w:ascii="宋体"/>
              </w:rPr>
            </w:pPr>
          </w:p>
        </w:tc>
        <w:tc>
          <w:tcPr>
            <w:tcW w:w="0" w:type="auto"/>
            <w:shd w:val="clear" w:color="auto" w:fill="auto"/>
          </w:tcPr>
          <w:p w14:paraId="33DADD1D" w14:textId="77777777" w:rsidR="004D6A64" w:rsidRDefault="004D6A64">
            <w:pPr>
              <w:rPr>
                <w:rFonts w:ascii="宋体"/>
              </w:rPr>
            </w:pPr>
          </w:p>
        </w:tc>
        <w:tc>
          <w:tcPr>
            <w:tcW w:w="0" w:type="auto"/>
            <w:shd w:val="clear" w:color="auto" w:fill="auto"/>
          </w:tcPr>
          <w:p w14:paraId="33DADD1E" w14:textId="77777777" w:rsidR="004D6A64" w:rsidRDefault="004D6A64">
            <w:pPr>
              <w:rPr>
                <w:rFonts w:ascii="宋体"/>
              </w:rPr>
            </w:pPr>
          </w:p>
        </w:tc>
        <w:tc>
          <w:tcPr>
            <w:tcW w:w="0" w:type="auto"/>
            <w:shd w:val="clear" w:color="auto" w:fill="auto"/>
          </w:tcPr>
          <w:p w14:paraId="33DADD1F" w14:textId="77777777" w:rsidR="004D6A64" w:rsidRDefault="004D6A64">
            <w:pPr>
              <w:rPr>
                <w:rFonts w:ascii="宋体"/>
              </w:rPr>
            </w:pPr>
          </w:p>
        </w:tc>
        <w:tc>
          <w:tcPr>
            <w:tcW w:w="0" w:type="auto"/>
            <w:shd w:val="clear" w:color="auto" w:fill="auto"/>
          </w:tcPr>
          <w:p w14:paraId="33DADD20" w14:textId="77777777" w:rsidR="004D6A64" w:rsidRDefault="004D6A64">
            <w:pPr>
              <w:rPr>
                <w:rFonts w:ascii="宋体"/>
              </w:rPr>
            </w:pPr>
          </w:p>
        </w:tc>
        <w:tc>
          <w:tcPr>
            <w:tcW w:w="0" w:type="auto"/>
            <w:shd w:val="clear" w:color="auto" w:fill="auto"/>
          </w:tcPr>
          <w:p w14:paraId="33DADD21" w14:textId="77777777" w:rsidR="004D6A64" w:rsidRDefault="004D6A64">
            <w:pPr>
              <w:rPr>
                <w:rFonts w:ascii="宋体"/>
              </w:rPr>
            </w:pPr>
          </w:p>
        </w:tc>
        <w:tc>
          <w:tcPr>
            <w:tcW w:w="0" w:type="auto"/>
            <w:shd w:val="clear" w:color="auto" w:fill="auto"/>
          </w:tcPr>
          <w:p w14:paraId="33DADD22" w14:textId="77777777" w:rsidR="004D6A64" w:rsidRDefault="004D6A64">
            <w:pPr>
              <w:rPr>
                <w:rFonts w:ascii="宋体"/>
              </w:rPr>
            </w:pPr>
          </w:p>
        </w:tc>
        <w:tc>
          <w:tcPr>
            <w:tcW w:w="0" w:type="auto"/>
            <w:shd w:val="clear" w:color="auto" w:fill="auto"/>
          </w:tcPr>
          <w:p w14:paraId="33DADD23" w14:textId="77777777" w:rsidR="004D6A64" w:rsidRDefault="004D6A64">
            <w:pPr>
              <w:rPr>
                <w:rFonts w:ascii="宋体"/>
              </w:rPr>
            </w:pPr>
          </w:p>
        </w:tc>
        <w:tc>
          <w:tcPr>
            <w:tcW w:w="0" w:type="auto"/>
            <w:shd w:val="clear" w:color="auto" w:fill="auto"/>
          </w:tcPr>
          <w:p w14:paraId="33DADD24" w14:textId="77777777" w:rsidR="004D6A64" w:rsidRDefault="004D6A64">
            <w:pPr>
              <w:rPr>
                <w:rFonts w:ascii="宋体"/>
              </w:rPr>
            </w:pPr>
          </w:p>
        </w:tc>
        <w:tc>
          <w:tcPr>
            <w:tcW w:w="0" w:type="auto"/>
            <w:shd w:val="clear" w:color="auto" w:fill="auto"/>
          </w:tcPr>
          <w:p w14:paraId="33DADD25" w14:textId="77777777" w:rsidR="004D6A64" w:rsidRDefault="004D6A64">
            <w:pPr>
              <w:rPr>
                <w:rFonts w:ascii="宋体"/>
              </w:rPr>
            </w:pPr>
          </w:p>
        </w:tc>
        <w:tc>
          <w:tcPr>
            <w:tcW w:w="0" w:type="auto"/>
            <w:shd w:val="clear" w:color="auto" w:fill="auto"/>
          </w:tcPr>
          <w:p w14:paraId="33DADD26" w14:textId="77777777" w:rsidR="004D6A64" w:rsidRDefault="004D6A64">
            <w:pPr>
              <w:rPr>
                <w:rFonts w:ascii="宋体"/>
              </w:rPr>
            </w:pPr>
          </w:p>
        </w:tc>
        <w:tc>
          <w:tcPr>
            <w:tcW w:w="0" w:type="auto"/>
            <w:shd w:val="clear" w:color="auto" w:fill="auto"/>
          </w:tcPr>
          <w:p w14:paraId="33DADD27" w14:textId="77777777" w:rsidR="004D6A64" w:rsidRDefault="004D6A64">
            <w:pPr>
              <w:rPr>
                <w:rFonts w:ascii="宋体"/>
              </w:rPr>
            </w:pPr>
          </w:p>
        </w:tc>
        <w:tc>
          <w:tcPr>
            <w:tcW w:w="0" w:type="auto"/>
            <w:shd w:val="clear" w:color="auto" w:fill="auto"/>
          </w:tcPr>
          <w:p w14:paraId="33DADD28" w14:textId="77777777" w:rsidR="004D6A64" w:rsidRDefault="004D6A64">
            <w:pPr>
              <w:rPr>
                <w:rFonts w:ascii="宋体"/>
              </w:rPr>
            </w:pPr>
          </w:p>
        </w:tc>
        <w:tc>
          <w:tcPr>
            <w:tcW w:w="0" w:type="auto"/>
            <w:shd w:val="clear" w:color="auto" w:fill="auto"/>
          </w:tcPr>
          <w:p w14:paraId="33DADD29" w14:textId="77777777" w:rsidR="004D6A64" w:rsidRDefault="004D6A64">
            <w:pPr>
              <w:rPr>
                <w:rFonts w:ascii="宋体"/>
              </w:rPr>
            </w:pPr>
          </w:p>
        </w:tc>
        <w:tc>
          <w:tcPr>
            <w:tcW w:w="0" w:type="auto"/>
            <w:shd w:val="clear" w:color="auto" w:fill="auto"/>
          </w:tcPr>
          <w:p w14:paraId="33DADD2A" w14:textId="77777777" w:rsidR="004D6A64" w:rsidRDefault="004D6A64">
            <w:pPr>
              <w:rPr>
                <w:rFonts w:ascii="宋体"/>
              </w:rPr>
            </w:pPr>
          </w:p>
        </w:tc>
        <w:tc>
          <w:tcPr>
            <w:tcW w:w="0" w:type="auto"/>
            <w:shd w:val="clear" w:color="auto" w:fill="auto"/>
          </w:tcPr>
          <w:p w14:paraId="33DADD2B" w14:textId="77777777" w:rsidR="004D6A64" w:rsidRDefault="004D6A64">
            <w:pPr>
              <w:rPr>
                <w:rFonts w:ascii="宋体"/>
              </w:rPr>
            </w:pPr>
          </w:p>
        </w:tc>
        <w:tc>
          <w:tcPr>
            <w:tcW w:w="0" w:type="auto"/>
            <w:shd w:val="clear" w:color="auto" w:fill="auto"/>
          </w:tcPr>
          <w:p w14:paraId="33DADD2C" w14:textId="77777777" w:rsidR="004D6A64" w:rsidRDefault="004D6A64">
            <w:pPr>
              <w:rPr>
                <w:rFonts w:ascii="宋体"/>
              </w:rPr>
            </w:pPr>
          </w:p>
        </w:tc>
        <w:tc>
          <w:tcPr>
            <w:tcW w:w="0" w:type="auto"/>
            <w:shd w:val="clear" w:color="auto" w:fill="auto"/>
          </w:tcPr>
          <w:p w14:paraId="33DADD2D" w14:textId="77777777" w:rsidR="004D6A64" w:rsidRDefault="004D6A64">
            <w:pPr>
              <w:rPr>
                <w:rFonts w:ascii="宋体"/>
              </w:rPr>
            </w:pPr>
          </w:p>
        </w:tc>
        <w:tc>
          <w:tcPr>
            <w:tcW w:w="0" w:type="auto"/>
            <w:shd w:val="clear" w:color="auto" w:fill="auto"/>
          </w:tcPr>
          <w:p w14:paraId="33DADD2E" w14:textId="77777777" w:rsidR="004D6A64" w:rsidRDefault="004D6A64">
            <w:pPr>
              <w:rPr>
                <w:rFonts w:ascii="宋体"/>
              </w:rPr>
            </w:pPr>
          </w:p>
        </w:tc>
        <w:tc>
          <w:tcPr>
            <w:tcW w:w="0" w:type="auto"/>
            <w:shd w:val="clear" w:color="auto" w:fill="auto"/>
          </w:tcPr>
          <w:p w14:paraId="33DADD2F" w14:textId="77777777" w:rsidR="004D6A64" w:rsidRDefault="004D6A64">
            <w:pPr>
              <w:rPr>
                <w:rFonts w:ascii="宋体"/>
              </w:rPr>
            </w:pPr>
          </w:p>
        </w:tc>
        <w:tc>
          <w:tcPr>
            <w:tcW w:w="0" w:type="auto"/>
            <w:shd w:val="clear" w:color="auto" w:fill="auto"/>
          </w:tcPr>
          <w:p w14:paraId="33DADD30" w14:textId="77777777" w:rsidR="004D6A64" w:rsidRDefault="004D6A64">
            <w:pPr>
              <w:rPr>
                <w:rFonts w:ascii="宋体"/>
              </w:rPr>
            </w:pPr>
          </w:p>
        </w:tc>
        <w:tc>
          <w:tcPr>
            <w:tcW w:w="0" w:type="auto"/>
            <w:shd w:val="clear" w:color="auto" w:fill="auto"/>
          </w:tcPr>
          <w:p w14:paraId="33DADD31" w14:textId="77777777" w:rsidR="004D6A64" w:rsidRDefault="004D6A64">
            <w:pPr>
              <w:rPr>
                <w:rFonts w:ascii="宋体"/>
              </w:rPr>
            </w:pPr>
          </w:p>
        </w:tc>
        <w:tc>
          <w:tcPr>
            <w:tcW w:w="0" w:type="auto"/>
            <w:shd w:val="clear" w:color="auto" w:fill="auto"/>
          </w:tcPr>
          <w:p w14:paraId="33DADD32" w14:textId="77777777" w:rsidR="004D6A64" w:rsidRDefault="004D6A64">
            <w:pPr>
              <w:rPr>
                <w:rFonts w:ascii="宋体"/>
              </w:rPr>
            </w:pPr>
          </w:p>
        </w:tc>
      </w:tr>
      <w:tr w:rsidR="004D6A64" w14:paraId="33DADD65" w14:textId="77777777">
        <w:trPr>
          <w:jc w:val="center"/>
        </w:trPr>
        <w:tc>
          <w:tcPr>
            <w:tcW w:w="0" w:type="auto"/>
            <w:gridSpan w:val="3"/>
            <w:shd w:val="clear" w:color="auto" w:fill="FFFFFF"/>
            <w:tcMar>
              <w:top w:w="40" w:type="dxa"/>
              <w:left w:w="360" w:type="dxa"/>
              <w:bottom w:w="40" w:type="dxa"/>
              <w:right w:w="20" w:type="dxa"/>
            </w:tcMar>
            <w:vAlign w:val="center"/>
          </w:tcPr>
          <w:p w14:paraId="33DADD34" w14:textId="77777777" w:rsidR="004D6A64" w:rsidRDefault="00506CD6">
            <w:pPr>
              <w:textAlignment w:val="center"/>
            </w:pPr>
            <w:r>
              <w:rPr>
                <w:rFonts w:ascii="Times New Roman" w:eastAsia="宋体" w:hAnsi="Times New Roman"/>
                <w:color w:val="000000"/>
                <w:sz w:val="20"/>
                <w:szCs w:val="20"/>
              </w:rPr>
              <w:t>Non-GAAP net revenue</w:t>
            </w:r>
          </w:p>
        </w:tc>
        <w:tc>
          <w:tcPr>
            <w:tcW w:w="0" w:type="auto"/>
            <w:tcBorders>
              <w:top w:val="single" w:sz="8" w:space="0" w:color="000000"/>
            </w:tcBorders>
            <w:shd w:val="clear" w:color="auto" w:fill="FFFFFF"/>
            <w:tcMar>
              <w:top w:w="40" w:type="dxa"/>
              <w:left w:w="20" w:type="dxa"/>
              <w:bottom w:w="40" w:type="dxa"/>
            </w:tcMar>
            <w:vAlign w:val="center"/>
          </w:tcPr>
          <w:p w14:paraId="33DADD35"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DD36" w14:textId="77777777" w:rsidR="004D6A64" w:rsidRDefault="00506CD6">
            <w:pPr>
              <w:jc w:val="right"/>
              <w:textAlignment w:val="center"/>
            </w:pPr>
            <w:r>
              <w:rPr>
                <w:rFonts w:ascii="Times New Roman" w:eastAsia="宋体" w:hAnsi="Times New Roman"/>
                <w:color w:val="000000"/>
                <w:sz w:val="20"/>
                <w:szCs w:val="20"/>
              </w:rPr>
              <w:t>22,775 </w:t>
            </w:r>
          </w:p>
        </w:tc>
        <w:tc>
          <w:tcPr>
            <w:tcW w:w="0" w:type="auto"/>
            <w:tcBorders>
              <w:top w:val="single" w:sz="8" w:space="0" w:color="000000"/>
            </w:tcBorders>
            <w:shd w:val="clear" w:color="auto" w:fill="FFFFFF"/>
            <w:tcMar>
              <w:top w:w="40" w:type="dxa"/>
              <w:bottom w:w="40" w:type="dxa"/>
              <w:right w:w="20" w:type="dxa"/>
            </w:tcMar>
            <w:vAlign w:val="center"/>
          </w:tcPr>
          <w:p w14:paraId="33DADD3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D38"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D39" w14:textId="77777777" w:rsidR="004D6A64" w:rsidRDefault="00506CD6">
            <w:pPr>
              <w:jc w:val="right"/>
              <w:textAlignment w:val="center"/>
            </w:pPr>
            <w:r>
              <w:rPr>
                <w:rFonts w:ascii="Times New Roman" w:eastAsia="宋体" w:hAnsi="Times New Roman"/>
                <w:color w:val="000000"/>
                <w:sz w:val="20"/>
                <w:szCs w:val="20"/>
              </w:rPr>
              <w:t>(3)</w:t>
            </w:r>
          </w:p>
        </w:tc>
        <w:tc>
          <w:tcPr>
            <w:tcW w:w="0" w:type="auto"/>
            <w:shd w:val="clear" w:color="auto" w:fill="FFFFFF"/>
            <w:tcMar>
              <w:top w:w="40" w:type="dxa"/>
              <w:bottom w:w="40" w:type="dxa"/>
              <w:right w:w="20" w:type="dxa"/>
            </w:tcMar>
            <w:vAlign w:val="center"/>
          </w:tcPr>
          <w:p w14:paraId="33DADD3A"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DD3B"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DD3C"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DD3D" w14:textId="77777777" w:rsidR="004D6A64" w:rsidRDefault="00506CD6">
            <w:pPr>
              <w:jc w:val="right"/>
              <w:textAlignment w:val="center"/>
            </w:pPr>
            <w:r>
              <w:rPr>
                <w:rFonts w:ascii="Times New Roman" w:eastAsia="宋体" w:hAnsi="Times New Roman"/>
                <w:color w:val="000000"/>
                <w:sz w:val="20"/>
                <w:szCs w:val="20"/>
              </w:rPr>
              <w:t>23,454 </w:t>
            </w:r>
          </w:p>
        </w:tc>
        <w:tc>
          <w:tcPr>
            <w:tcW w:w="0" w:type="auto"/>
            <w:tcBorders>
              <w:top w:val="single" w:sz="8" w:space="0" w:color="000000"/>
            </w:tcBorders>
            <w:shd w:val="clear" w:color="auto" w:fill="FFFFFF"/>
            <w:tcMar>
              <w:top w:w="40" w:type="dxa"/>
              <w:bottom w:w="40" w:type="dxa"/>
              <w:right w:w="20" w:type="dxa"/>
            </w:tcMar>
            <w:vAlign w:val="center"/>
          </w:tcPr>
          <w:p w14:paraId="33DADD3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D3F"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DD40"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DD41" w14:textId="77777777" w:rsidR="004D6A64" w:rsidRDefault="00506CD6">
            <w:pPr>
              <w:jc w:val="right"/>
              <w:textAlignment w:val="center"/>
            </w:pPr>
            <w:r>
              <w:rPr>
                <w:rFonts w:ascii="Times New Roman" w:eastAsia="宋体" w:hAnsi="Times New Roman"/>
                <w:color w:val="000000"/>
                <w:sz w:val="20"/>
                <w:szCs w:val="20"/>
              </w:rPr>
              <w:t>44,720 </w:t>
            </w:r>
          </w:p>
        </w:tc>
        <w:tc>
          <w:tcPr>
            <w:tcW w:w="0" w:type="auto"/>
            <w:tcBorders>
              <w:top w:val="single" w:sz="8" w:space="0" w:color="000000"/>
            </w:tcBorders>
            <w:shd w:val="clear" w:color="auto" w:fill="FFFFFF"/>
            <w:tcMar>
              <w:top w:w="40" w:type="dxa"/>
              <w:bottom w:w="40" w:type="dxa"/>
              <w:right w:w="20" w:type="dxa"/>
            </w:tcMar>
            <w:vAlign w:val="center"/>
          </w:tcPr>
          <w:p w14:paraId="33DADD4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D4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D44" w14:textId="77777777" w:rsidR="004D6A64" w:rsidRDefault="00506CD6">
            <w:pPr>
              <w:jc w:val="right"/>
              <w:textAlignment w:val="center"/>
            </w:pPr>
            <w:r>
              <w:rPr>
                <w:rFonts w:ascii="Times New Roman" w:eastAsia="宋体" w:hAnsi="Times New Roman"/>
                <w:color w:val="000000"/>
                <w:sz w:val="20"/>
                <w:szCs w:val="20"/>
              </w:rPr>
              <w:t>(2)</w:t>
            </w:r>
          </w:p>
        </w:tc>
        <w:tc>
          <w:tcPr>
            <w:tcW w:w="0" w:type="auto"/>
            <w:shd w:val="clear" w:color="auto" w:fill="FFFFFF"/>
            <w:tcMar>
              <w:top w:w="40" w:type="dxa"/>
              <w:bottom w:w="40" w:type="dxa"/>
              <w:right w:w="20" w:type="dxa"/>
            </w:tcMar>
            <w:vAlign w:val="center"/>
          </w:tcPr>
          <w:p w14:paraId="33DADD45"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DD46"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DD47"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DD48" w14:textId="77777777" w:rsidR="004D6A64" w:rsidRDefault="00506CD6">
            <w:pPr>
              <w:jc w:val="right"/>
              <w:textAlignment w:val="center"/>
            </w:pPr>
            <w:r>
              <w:rPr>
                <w:rFonts w:ascii="Times New Roman" w:eastAsia="宋体" w:hAnsi="Times New Roman"/>
                <w:color w:val="000000"/>
                <w:sz w:val="20"/>
                <w:szCs w:val="20"/>
              </w:rPr>
              <w:t>45,444 </w:t>
            </w:r>
          </w:p>
        </w:tc>
        <w:tc>
          <w:tcPr>
            <w:tcW w:w="0" w:type="auto"/>
            <w:tcBorders>
              <w:top w:val="single" w:sz="8" w:space="0" w:color="000000"/>
            </w:tcBorders>
            <w:shd w:val="clear" w:color="auto" w:fill="FFFFFF"/>
            <w:tcMar>
              <w:top w:w="40" w:type="dxa"/>
              <w:bottom w:w="40" w:type="dxa"/>
              <w:right w:w="20" w:type="dxa"/>
            </w:tcMar>
            <w:vAlign w:val="center"/>
          </w:tcPr>
          <w:p w14:paraId="33DADD49" w14:textId="77777777" w:rsidR="004D6A64" w:rsidRDefault="004D6A64">
            <w:pPr>
              <w:jc w:val="right"/>
              <w:rPr>
                <w:rFonts w:ascii="宋体"/>
              </w:rPr>
            </w:pPr>
          </w:p>
        </w:tc>
        <w:tc>
          <w:tcPr>
            <w:tcW w:w="0" w:type="auto"/>
            <w:shd w:val="clear" w:color="auto" w:fill="auto"/>
          </w:tcPr>
          <w:p w14:paraId="33DADD4A" w14:textId="77777777" w:rsidR="004D6A64" w:rsidRDefault="004D6A64">
            <w:pPr>
              <w:rPr>
                <w:rFonts w:ascii="宋体"/>
              </w:rPr>
            </w:pPr>
          </w:p>
        </w:tc>
        <w:tc>
          <w:tcPr>
            <w:tcW w:w="0" w:type="auto"/>
            <w:shd w:val="clear" w:color="auto" w:fill="auto"/>
          </w:tcPr>
          <w:p w14:paraId="33DADD4B" w14:textId="77777777" w:rsidR="004D6A64" w:rsidRDefault="004D6A64">
            <w:pPr>
              <w:rPr>
                <w:rFonts w:ascii="宋体"/>
              </w:rPr>
            </w:pPr>
          </w:p>
        </w:tc>
        <w:tc>
          <w:tcPr>
            <w:tcW w:w="0" w:type="auto"/>
            <w:shd w:val="clear" w:color="auto" w:fill="auto"/>
          </w:tcPr>
          <w:p w14:paraId="33DADD4C" w14:textId="77777777" w:rsidR="004D6A64" w:rsidRDefault="004D6A64">
            <w:pPr>
              <w:rPr>
                <w:rFonts w:ascii="宋体"/>
              </w:rPr>
            </w:pPr>
          </w:p>
        </w:tc>
        <w:tc>
          <w:tcPr>
            <w:tcW w:w="0" w:type="auto"/>
            <w:shd w:val="clear" w:color="auto" w:fill="auto"/>
          </w:tcPr>
          <w:p w14:paraId="33DADD4D" w14:textId="77777777" w:rsidR="004D6A64" w:rsidRDefault="004D6A64">
            <w:pPr>
              <w:rPr>
                <w:rFonts w:ascii="宋体"/>
              </w:rPr>
            </w:pPr>
          </w:p>
        </w:tc>
        <w:tc>
          <w:tcPr>
            <w:tcW w:w="0" w:type="auto"/>
            <w:shd w:val="clear" w:color="auto" w:fill="auto"/>
          </w:tcPr>
          <w:p w14:paraId="33DADD4E" w14:textId="77777777" w:rsidR="004D6A64" w:rsidRDefault="004D6A64">
            <w:pPr>
              <w:rPr>
                <w:rFonts w:ascii="宋体"/>
              </w:rPr>
            </w:pPr>
          </w:p>
        </w:tc>
        <w:tc>
          <w:tcPr>
            <w:tcW w:w="0" w:type="auto"/>
            <w:shd w:val="clear" w:color="auto" w:fill="auto"/>
          </w:tcPr>
          <w:p w14:paraId="33DADD4F" w14:textId="77777777" w:rsidR="004D6A64" w:rsidRDefault="004D6A64">
            <w:pPr>
              <w:rPr>
                <w:rFonts w:ascii="宋体"/>
              </w:rPr>
            </w:pPr>
          </w:p>
        </w:tc>
        <w:tc>
          <w:tcPr>
            <w:tcW w:w="0" w:type="auto"/>
            <w:shd w:val="clear" w:color="auto" w:fill="auto"/>
          </w:tcPr>
          <w:p w14:paraId="33DADD50" w14:textId="77777777" w:rsidR="004D6A64" w:rsidRDefault="004D6A64">
            <w:pPr>
              <w:rPr>
                <w:rFonts w:ascii="宋体"/>
              </w:rPr>
            </w:pPr>
          </w:p>
        </w:tc>
        <w:tc>
          <w:tcPr>
            <w:tcW w:w="0" w:type="auto"/>
            <w:shd w:val="clear" w:color="auto" w:fill="auto"/>
          </w:tcPr>
          <w:p w14:paraId="33DADD51" w14:textId="77777777" w:rsidR="004D6A64" w:rsidRDefault="004D6A64">
            <w:pPr>
              <w:rPr>
                <w:rFonts w:ascii="宋体"/>
              </w:rPr>
            </w:pPr>
          </w:p>
        </w:tc>
        <w:tc>
          <w:tcPr>
            <w:tcW w:w="0" w:type="auto"/>
            <w:shd w:val="clear" w:color="auto" w:fill="auto"/>
          </w:tcPr>
          <w:p w14:paraId="33DADD52" w14:textId="77777777" w:rsidR="004D6A64" w:rsidRDefault="004D6A64">
            <w:pPr>
              <w:rPr>
                <w:rFonts w:ascii="宋体"/>
              </w:rPr>
            </w:pPr>
          </w:p>
        </w:tc>
        <w:tc>
          <w:tcPr>
            <w:tcW w:w="0" w:type="auto"/>
            <w:shd w:val="clear" w:color="auto" w:fill="auto"/>
          </w:tcPr>
          <w:p w14:paraId="33DADD53" w14:textId="77777777" w:rsidR="004D6A64" w:rsidRDefault="004D6A64">
            <w:pPr>
              <w:rPr>
                <w:rFonts w:ascii="宋体"/>
              </w:rPr>
            </w:pPr>
          </w:p>
        </w:tc>
        <w:tc>
          <w:tcPr>
            <w:tcW w:w="0" w:type="auto"/>
            <w:shd w:val="clear" w:color="auto" w:fill="auto"/>
          </w:tcPr>
          <w:p w14:paraId="33DADD54" w14:textId="77777777" w:rsidR="004D6A64" w:rsidRDefault="004D6A64">
            <w:pPr>
              <w:rPr>
                <w:rFonts w:ascii="宋体"/>
              </w:rPr>
            </w:pPr>
          </w:p>
        </w:tc>
        <w:tc>
          <w:tcPr>
            <w:tcW w:w="0" w:type="auto"/>
            <w:shd w:val="clear" w:color="auto" w:fill="auto"/>
          </w:tcPr>
          <w:p w14:paraId="33DADD55" w14:textId="77777777" w:rsidR="004D6A64" w:rsidRDefault="004D6A64">
            <w:pPr>
              <w:rPr>
                <w:rFonts w:ascii="宋体"/>
              </w:rPr>
            </w:pPr>
          </w:p>
        </w:tc>
        <w:tc>
          <w:tcPr>
            <w:tcW w:w="0" w:type="auto"/>
            <w:shd w:val="clear" w:color="auto" w:fill="auto"/>
          </w:tcPr>
          <w:p w14:paraId="33DADD56" w14:textId="77777777" w:rsidR="004D6A64" w:rsidRDefault="004D6A64">
            <w:pPr>
              <w:rPr>
                <w:rFonts w:ascii="宋体"/>
              </w:rPr>
            </w:pPr>
          </w:p>
        </w:tc>
        <w:tc>
          <w:tcPr>
            <w:tcW w:w="0" w:type="auto"/>
            <w:shd w:val="clear" w:color="auto" w:fill="auto"/>
          </w:tcPr>
          <w:p w14:paraId="33DADD57" w14:textId="77777777" w:rsidR="004D6A64" w:rsidRDefault="004D6A64">
            <w:pPr>
              <w:rPr>
                <w:rFonts w:ascii="宋体"/>
              </w:rPr>
            </w:pPr>
          </w:p>
        </w:tc>
        <w:tc>
          <w:tcPr>
            <w:tcW w:w="0" w:type="auto"/>
            <w:shd w:val="clear" w:color="auto" w:fill="auto"/>
          </w:tcPr>
          <w:p w14:paraId="33DADD58" w14:textId="77777777" w:rsidR="004D6A64" w:rsidRDefault="004D6A64">
            <w:pPr>
              <w:rPr>
                <w:rFonts w:ascii="宋体"/>
              </w:rPr>
            </w:pPr>
          </w:p>
        </w:tc>
        <w:tc>
          <w:tcPr>
            <w:tcW w:w="0" w:type="auto"/>
            <w:shd w:val="clear" w:color="auto" w:fill="auto"/>
          </w:tcPr>
          <w:p w14:paraId="33DADD59" w14:textId="77777777" w:rsidR="004D6A64" w:rsidRDefault="004D6A64">
            <w:pPr>
              <w:rPr>
                <w:rFonts w:ascii="宋体"/>
              </w:rPr>
            </w:pPr>
          </w:p>
        </w:tc>
        <w:tc>
          <w:tcPr>
            <w:tcW w:w="0" w:type="auto"/>
            <w:shd w:val="clear" w:color="auto" w:fill="auto"/>
          </w:tcPr>
          <w:p w14:paraId="33DADD5A" w14:textId="77777777" w:rsidR="004D6A64" w:rsidRDefault="004D6A64">
            <w:pPr>
              <w:rPr>
                <w:rFonts w:ascii="宋体"/>
              </w:rPr>
            </w:pPr>
          </w:p>
        </w:tc>
        <w:tc>
          <w:tcPr>
            <w:tcW w:w="0" w:type="auto"/>
            <w:shd w:val="clear" w:color="auto" w:fill="auto"/>
          </w:tcPr>
          <w:p w14:paraId="33DADD5B" w14:textId="77777777" w:rsidR="004D6A64" w:rsidRDefault="004D6A64">
            <w:pPr>
              <w:rPr>
                <w:rFonts w:ascii="宋体"/>
              </w:rPr>
            </w:pPr>
          </w:p>
        </w:tc>
        <w:tc>
          <w:tcPr>
            <w:tcW w:w="0" w:type="auto"/>
            <w:shd w:val="clear" w:color="auto" w:fill="auto"/>
          </w:tcPr>
          <w:p w14:paraId="33DADD5C" w14:textId="77777777" w:rsidR="004D6A64" w:rsidRDefault="004D6A64">
            <w:pPr>
              <w:rPr>
                <w:rFonts w:ascii="宋体"/>
              </w:rPr>
            </w:pPr>
          </w:p>
        </w:tc>
        <w:tc>
          <w:tcPr>
            <w:tcW w:w="0" w:type="auto"/>
            <w:shd w:val="clear" w:color="auto" w:fill="auto"/>
          </w:tcPr>
          <w:p w14:paraId="33DADD5D" w14:textId="77777777" w:rsidR="004D6A64" w:rsidRDefault="004D6A64">
            <w:pPr>
              <w:rPr>
                <w:rFonts w:ascii="宋体"/>
              </w:rPr>
            </w:pPr>
          </w:p>
        </w:tc>
        <w:tc>
          <w:tcPr>
            <w:tcW w:w="0" w:type="auto"/>
            <w:shd w:val="clear" w:color="auto" w:fill="auto"/>
          </w:tcPr>
          <w:p w14:paraId="33DADD5E" w14:textId="77777777" w:rsidR="004D6A64" w:rsidRDefault="004D6A64">
            <w:pPr>
              <w:rPr>
                <w:rFonts w:ascii="宋体"/>
              </w:rPr>
            </w:pPr>
          </w:p>
        </w:tc>
        <w:tc>
          <w:tcPr>
            <w:tcW w:w="0" w:type="auto"/>
            <w:shd w:val="clear" w:color="auto" w:fill="auto"/>
          </w:tcPr>
          <w:p w14:paraId="33DADD5F" w14:textId="77777777" w:rsidR="004D6A64" w:rsidRDefault="004D6A64">
            <w:pPr>
              <w:rPr>
                <w:rFonts w:ascii="宋体"/>
              </w:rPr>
            </w:pPr>
          </w:p>
        </w:tc>
        <w:tc>
          <w:tcPr>
            <w:tcW w:w="0" w:type="auto"/>
            <w:shd w:val="clear" w:color="auto" w:fill="auto"/>
          </w:tcPr>
          <w:p w14:paraId="33DADD60" w14:textId="77777777" w:rsidR="004D6A64" w:rsidRDefault="004D6A64">
            <w:pPr>
              <w:rPr>
                <w:rFonts w:ascii="宋体"/>
              </w:rPr>
            </w:pPr>
          </w:p>
        </w:tc>
        <w:tc>
          <w:tcPr>
            <w:tcW w:w="0" w:type="auto"/>
            <w:shd w:val="clear" w:color="auto" w:fill="auto"/>
          </w:tcPr>
          <w:p w14:paraId="33DADD61" w14:textId="77777777" w:rsidR="004D6A64" w:rsidRDefault="004D6A64">
            <w:pPr>
              <w:rPr>
                <w:rFonts w:ascii="宋体"/>
              </w:rPr>
            </w:pPr>
          </w:p>
        </w:tc>
        <w:tc>
          <w:tcPr>
            <w:tcW w:w="0" w:type="auto"/>
            <w:shd w:val="clear" w:color="auto" w:fill="auto"/>
          </w:tcPr>
          <w:p w14:paraId="33DADD62" w14:textId="77777777" w:rsidR="004D6A64" w:rsidRDefault="004D6A64">
            <w:pPr>
              <w:rPr>
                <w:rFonts w:ascii="宋体"/>
              </w:rPr>
            </w:pPr>
          </w:p>
        </w:tc>
        <w:tc>
          <w:tcPr>
            <w:tcW w:w="0" w:type="auto"/>
            <w:shd w:val="clear" w:color="auto" w:fill="auto"/>
          </w:tcPr>
          <w:p w14:paraId="33DADD63" w14:textId="77777777" w:rsidR="004D6A64" w:rsidRDefault="004D6A64">
            <w:pPr>
              <w:rPr>
                <w:rFonts w:ascii="宋体"/>
              </w:rPr>
            </w:pPr>
          </w:p>
        </w:tc>
        <w:tc>
          <w:tcPr>
            <w:tcW w:w="0" w:type="auto"/>
            <w:shd w:val="clear" w:color="auto" w:fill="auto"/>
          </w:tcPr>
          <w:p w14:paraId="33DADD64" w14:textId="77777777" w:rsidR="004D6A64" w:rsidRDefault="004D6A64">
            <w:pPr>
              <w:rPr>
                <w:rFonts w:ascii="宋体"/>
              </w:rPr>
            </w:pPr>
          </w:p>
        </w:tc>
      </w:tr>
      <w:tr w:rsidR="004D6A64" w14:paraId="33DADD8D" w14:textId="77777777">
        <w:trPr>
          <w:trHeight w:val="280"/>
          <w:jc w:val="center"/>
        </w:trPr>
        <w:tc>
          <w:tcPr>
            <w:tcW w:w="0" w:type="auto"/>
            <w:gridSpan w:val="3"/>
            <w:shd w:val="clear" w:color="auto" w:fill="CCEEFF"/>
            <w:tcMar>
              <w:left w:w="20" w:type="dxa"/>
              <w:right w:w="20" w:type="dxa"/>
            </w:tcMar>
            <w:vAlign w:val="bottom"/>
          </w:tcPr>
          <w:p w14:paraId="33DADD66"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DD67"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D68"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D69"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D6A"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DD6B"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D6C"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DD6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D6E"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D6F"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D70"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DD71" w14:textId="77777777" w:rsidR="004D6A64" w:rsidRDefault="004D6A64">
            <w:pPr>
              <w:rPr>
                <w:rFonts w:ascii="宋体"/>
              </w:rPr>
            </w:pPr>
          </w:p>
        </w:tc>
        <w:tc>
          <w:tcPr>
            <w:tcW w:w="0" w:type="auto"/>
            <w:shd w:val="clear" w:color="auto" w:fill="auto"/>
          </w:tcPr>
          <w:p w14:paraId="33DADD72" w14:textId="77777777" w:rsidR="004D6A64" w:rsidRDefault="004D6A64">
            <w:pPr>
              <w:rPr>
                <w:rFonts w:ascii="宋体"/>
              </w:rPr>
            </w:pPr>
          </w:p>
        </w:tc>
        <w:tc>
          <w:tcPr>
            <w:tcW w:w="0" w:type="auto"/>
            <w:shd w:val="clear" w:color="auto" w:fill="auto"/>
          </w:tcPr>
          <w:p w14:paraId="33DADD73" w14:textId="77777777" w:rsidR="004D6A64" w:rsidRDefault="004D6A64">
            <w:pPr>
              <w:rPr>
                <w:rFonts w:ascii="宋体"/>
              </w:rPr>
            </w:pPr>
          </w:p>
        </w:tc>
        <w:tc>
          <w:tcPr>
            <w:tcW w:w="0" w:type="auto"/>
            <w:shd w:val="clear" w:color="auto" w:fill="auto"/>
          </w:tcPr>
          <w:p w14:paraId="33DADD74" w14:textId="77777777" w:rsidR="004D6A64" w:rsidRDefault="004D6A64">
            <w:pPr>
              <w:rPr>
                <w:rFonts w:ascii="宋体"/>
              </w:rPr>
            </w:pPr>
          </w:p>
        </w:tc>
        <w:tc>
          <w:tcPr>
            <w:tcW w:w="0" w:type="auto"/>
            <w:shd w:val="clear" w:color="auto" w:fill="auto"/>
          </w:tcPr>
          <w:p w14:paraId="33DADD75" w14:textId="77777777" w:rsidR="004D6A64" w:rsidRDefault="004D6A64">
            <w:pPr>
              <w:rPr>
                <w:rFonts w:ascii="宋体"/>
              </w:rPr>
            </w:pPr>
          </w:p>
        </w:tc>
        <w:tc>
          <w:tcPr>
            <w:tcW w:w="0" w:type="auto"/>
            <w:shd w:val="clear" w:color="auto" w:fill="auto"/>
          </w:tcPr>
          <w:p w14:paraId="33DADD76" w14:textId="77777777" w:rsidR="004D6A64" w:rsidRDefault="004D6A64">
            <w:pPr>
              <w:rPr>
                <w:rFonts w:ascii="宋体"/>
              </w:rPr>
            </w:pPr>
          </w:p>
        </w:tc>
        <w:tc>
          <w:tcPr>
            <w:tcW w:w="0" w:type="auto"/>
            <w:shd w:val="clear" w:color="auto" w:fill="auto"/>
          </w:tcPr>
          <w:p w14:paraId="33DADD77" w14:textId="77777777" w:rsidR="004D6A64" w:rsidRDefault="004D6A64">
            <w:pPr>
              <w:rPr>
                <w:rFonts w:ascii="宋体"/>
              </w:rPr>
            </w:pPr>
          </w:p>
        </w:tc>
        <w:tc>
          <w:tcPr>
            <w:tcW w:w="0" w:type="auto"/>
            <w:shd w:val="clear" w:color="auto" w:fill="auto"/>
          </w:tcPr>
          <w:p w14:paraId="33DADD78" w14:textId="77777777" w:rsidR="004D6A64" w:rsidRDefault="004D6A64">
            <w:pPr>
              <w:rPr>
                <w:rFonts w:ascii="宋体"/>
              </w:rPr>
            </w:pPr>
          </w:p>
        </w:tc>
        <w:tc>
          <w:tcPr>
            <w:tcW w:w="0" w:type="auto"/>
            <w:shd w:val="clear" w:color="auto" w:fill="auto"/>
          </w:tcPr>
          <w:p w14:paraId="33DADD79" w14:textId="77777777" w:rsidR="004D6A64" w:rsidRDefault="004D6A64">
            <w:pPr>
              <w:rPr>
                <w:rFonts w:ascii="宋体"/>
              </w:rPr>
            </w:pPr>
          </w:p>
        </w:tc>
        <w:tc>
          <w:tcPr>
            <w:tcW w:w="0" w:type="auto"/>
            <w:shd w:val="clear" w:color="auto" w:fill="auto"/>
          </w:tcPr>
          <w:p w14:paraId="33DADD7A" w14:textId="77777777" w:rsidR="004D6A64" w:rsidRDefault="004D6A64">
            <w:pPr>
              <w:rPr>
                <w:rFonts w:ascii="宋体"/>
              </w:rPr>
            </w:pPr>
          </w:p>
        </w:tc>
        <w:tc>
          <w:tcPr>
            <w:tcW w:w="0" w:type="auto"/>
            <w:shd w:val="clear" w:color="auto" w:fill="auto"/>
          </w:tcPr>
          <w:p w14:paraId="33DADD7B" w14:textId="77777777" w:rsidR="004D6A64" w:rsidRDefault="004D6A64">
            <w:pPr>
              <w:rPr>
                <w:rFonts w:ascii="宋体"/>
              </w:rPr>
            </w:pPr>
          </w:p>
        </w:tc>
        <w:tc>
          <w:tcPr>
            <w:tcW w:w="0" w:type="auto"/>
            <w:shd w:val="clear" w:color="auto" w:fill="auto"/>
          </w:tcPr>
          <w:p w14:paraId="33DADD7C" w14:textId="77777777" w:rsidR="004D6A64" w:rsidRDefault="004D6A64">
            <w:pPr>
              <w:rPr>
                <w:rFonts w:ascii="宋体"/>
              </w:rPr>
            </w:pPr>
          </w:p>
        </w:tc>
        <w:tc>
          <w:tcPr>
            <w:tcW w:w="0" w:type="auto"/>
            <w:shd w:val="clear" w:color="auto" w:fill="auto"/>
          </w:tcPr>
          <w:p w14:paraId="33DADD7D" w14:textId="77777777" w:rsidR="004D6A64" w:rsidRDefault="004D6A64">
            <w:pPr>
              <w:rPr>
                <w:rFonts w:ascii="宋体"/>
              </w:rPr>
            </w:pPr>
          </w:p>
        </w:tc>
        <w:tc>
          <w:tcPr>
            <w:tcW w:w="0" w:type="auto"/>
            <w:shd w:val="clear" w:color="auto" w:fill="auto"/>
          </w:tcPr>
          <w:p w14:paraId="33DADD7E" w14:textId="77777777" w:rsidR="004D6A64" w:rsidRDefault="004D6A64">
            <w:pPr>
              <w:rPr>
                <w:rFonts w:ascii="宋体"/>
              </w:rPr>
            </w:pPr>
          </w:p>
        </w:tc>
        <w:tc>
          <w:tcPr>
            <w:tcW w:w="0" w:type="auto"/>
            <w:shd w:val="clear" w:color="auto" w:fill="auto"/>
          </w:tcPr>
          <w:p w14:paraId="33DADD7F" w14:textId="77777777" w:rsidR="004D6A64" w:rsidRDefault="004D6A64">
            <w:pPr>
              <w:rPr>
                <w:rFonts w:ascii="宋体"/>
              </w:rPr>
            </w:pPr>
          </w:p>
        </w:tc>
        <w:tc>
          <w:tcPr>
            <w:tcW w:w="0" w:type="auto"/>
            <w:shd w:val="clear" w:color="auto" w:fill="auto"/>
          </w:tcPr>
          <w:p w14:paraId="33DADD80" w14:textId="77777777" w:rsidR="004D6A64" w:rsidRDefault="004D6A64">
            <w:pPr>
              <w:rPr>
                <w:rFonts w:ascii="宋体"/>
              </w:rPr>
            </w:pPr>
          </w:p>
        </w:tc>
        <w:tc>
          <w:tcPr>
            <w:tcW w:w="0" w:type="auto"/>
            <w:shd w:val="clear" w:color="auto" w:fill="auto"/>
          </w:tcPr>
          <w:p w14:paraId="33DADD81" w14:textId="77777777" w:rsidR="004D6A64" w:rsidRDefault="004D6A64">
            <w:pPr>
              <w:rPr>
                <w:rFonts w:ascii="宋体"/>
              </w:rPr>
            </w:pPr>
          </w:p>
        </w:tc>
        <w:tc>
          <w:tcPr>
            <w:tcW w:w="0" w:type="auto"/>
            <w:shd w:val="clear" w:color="auto" w:fill="auto"/>
          </w:tcPr>
          <w:p w14:paraId="33DADD82" w14:textId="77777777" w:rsidR="004D6A64" w:rsidRDefault="004D6A64">
            <w:pPr>
              <w:rPr>
                <w:rFonts w:ascii="宋体"/>
              </w:rPr>
            </w:pPr>
          </w:p>
        </w:tc>
        <w:tc>
          <w:tcPr>
            <w:tcW w:w="0" w:type="auto"/>
            <w:shd w:val="clear" w:color="auto" w:fill="auto"/>
          </w:tcPr>
          <w:p w14:paraId="33DADD83" w14:textId="77777777" w:rsidR="004D6A64" w:rsidRDefault="004D6A64">
            <w:pPr>
              <w:rPr>
                <w:rFonts w:ascii="宋体"/>
              </w:rPr>
            </w:pPr>
          </w:p>
        </w:tc>
        <w:tc>
          <w:tcPr>
            <w:tcW w:w="0" w:type="auto"/>
            <w:shd w:val="clear" w:color="auto" w:fill="auto"/>
          </w:tcPr>
          <w:p w14:paraId="33DADD84" w14:textId="77777777" w:rsidR="004D6A64" w:rsidRDefault="004D6A64">
            <w:pPr>
              <w:rPr>
                <w:rFonts w:ascii="宋体"/>
              </w:rPr>
            </w:pPr>
          </w:p>
        </w:tc>
        <w:tc>
          <w:tcPr>
            <w:tcW w:w="0" w:type="auto"/>
            <w:shd w:val="clear" w:color="auto" w:fill="auto"/>
          </w:tcPr>
          <w:p w14:paraId="33DADD85" w14:textId="77777777" w:rsidR="004D6A64" w:rsidRDefault="004D6A64">
            <w:pPr>
              <w:rPr>
                <w:rFonts w:ascii="宋体"/>
              </w:rPr>
            </w:pPr>
          </w:p>
        </w:tc>
        <w:tc>
          <w:tcPr>
            <w:tcW w:w="0" w:type="auto"/>
            <w:shd w:val="clear" w:color="auto" w:fill="auto"/>
          </w:tcPr>
          <w:p w14:paraId="33DADD86" w14:textId="77777777" w:rsidR="004D6A64" w:rsidRDefault="004D6A64">
            <w:pPr>
              <w:rPr>
                <w:rFonts w:ascii="宋体"/>
              </w:rPr>
            </w:pPr>
          </w:p>
        </w:tc>
        <w:tc>
          <w:tcPr>
            <w:tcW w:w="0" w:type="auto"/>
            <w:shd w:val="clear" w:color="auto" w:fill="auto"/>
          </w:tcPr>
          <w:p w14:paraId="33DADD87" w14:textId="77777777" w:rsidR="004D6A64" w:rsidRDefault="004D6A64">
            <w:pPr>
              <w:rPr>
                <w:rFonts w:ascii="宋体"/>
              </w:rPr>
            </w:pPr>
          </w:p>
        </w:tc>
        <w:tc>
          <w:tcPr>
            <w:tcW w:w="0" w:type="auto"/>
            <w:shd w:val="clear" w:color="auto" w:fill="auto"/>
          </w:tcPr>
          <w:p w14:paraId="33DADD88" w14:textId="77777777" w:rsidR="004D6A64" w:rsidRDefault="004D6A64">
            <w:pPr>
              <w:rPr>
                <w:rFonts w:ascii="宋体"/>
              </w:rPr>
            </w:pPr>
          </w:p>
        </w:tc>
        <w:tc>
          <w:tcPr>
            <w:tcW w:w="0" w:type="auto"/>
            <w:shd w:val="clear" w:color="auto" w:fill="auto"/>
          </w:tcPr>
          <w:p w14:paraId="33DADD89" w14:textId="77777777" w:rsidR="004D6A64" w:rsidRDefault="004D6A64">
            <w:pPr>
              <w:rPr>
                <w:rFonts w:ascii="宋体"/>
              </w:rPr>
            </w:pPr>
          </w:p>
        </w:tc>
        <w:tc>
          <w:tcPr>
            <w:tcW w:w="0" w:type="auto"/>
            <w:shd w:val="clear" w:color="auto" w:fill="auto"/>
          </w:tcPr>
          <w:p w14:paraId="33DADD8A" w14:textId="77777777" w:rsidR="004D6A64" w:rsidRDefault="004D6A64">
            <w:pPr>
              <w:rPr>
                <w:rFonts w:ascii="宋体"/>
              </w:rPr>
            </w:pPr>
          </w:p>
        </w:tc>
        <w:tc>
          <w:tcPr>
            <w:tcW w:w="0" w:type="auto"/>
            <w:shd w:val="clear" w:color="auto" w:fill="auto"/>
          </w:tcPr>
          <w:p w14:paraId="33DADD8B" w14:textId="77777777" w:rsidR="004D6A64" w:rsidRDefault="004D6A64">
            <w:pPr>
              <w:rPr>
                <w:rFonts w:ascii="宋体"/>
              </w:rPr>
            </w:pPr>
          </w:p>
        </w:tc>
        <w:tc>
          <w:tcPr>
            <w:tcW w:w="0" w:type="auto"/>
            <w:shd w:val="clear" w:color="auto" w:fill="auto"/>
          </w:tcPr>
          <w:p w14:paraId="33DADD8C" w14:textId="77777777" w:rsidR="004D6A64" w:rsidRDefault="004D6A64">
            <w:pPr>
              <w:rPr>
                <w:rFonts w:ascii="宋体"/>
              </w:rPr>
            </w:pPr>
          </w:p>
        </w:tc>
      </w:tr>
      <w:tr w:rsidR="004D6A64" w14:paraId="33DADDBF" w14:textId="77777777">
        <w:trPr>
          <w:jc w:val="center"/>
        </w:trPr>
        <w:tc>
          <w:tcPr>
            <w:tcW w:w="0" w:type="auto"/>
            <w:gridSpan w:val="3"/>
            <w:shd w:val="clear" w:color="auto" w:fill="FFFFFF"/>
            <w:tcMar>
              <w:top w:w="40" w:type="dxa"/>
              <w:left w:w="20" w:type="dxa"/>
              <w:bottom w:w="40" w:type="dxa"/>
              <w:right w:w="20" w:type="dxa"/>
            </w:tcMar>
            <w:vAlign w:val="center"/>
          </w:tcPr>
          <w:p w14:paraId="33DADD8E" w14:textId="77777777" w:rsidR="004D6A64" w:rsidRDefault="00506CD6">
            <w:pPr>
              <w:textAlignment w:val="center"/>
            </w:pPr>
            <w:r>
              <w:rPr>
                <w:rFonts w:ascii="Times New Roman" w:eastAsia="宋体" w:hAnsi="Times New Roman"/>
                <w:color w:val="000000"/>
                <w:sz w:val="20"/>
                <w:szCs w:val="20"/>
              </w:rPr>
              <w:t>Product gross margin</w:t>
            </w:r>
          </w:p>
        </w:tc>
        <w:tc>
          <w:tcPr>
            <w:tcW w:w="0" w:type="auto"/>
            <w:shd w:val="clear" w:color="auto" w:fill="FFFFFF"/>
            <w:tcMar>
              <w:top w:w="40" w:type="dxa"/>
              <w:left w:w="20" w:type="dxa"/>
              <w:bottom w:w="40" w:type="dxa"/>
            </w:tcMar>
            <w:vAlign w:val="center"/>
          </w:tcPr>
          <w:p w14:paraId="33DADD8F"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DD90" w14:textId="77777777" w:rsidR="004D6A64" w:rsidRDefault="00506CD6">
            <w:pPr>
              <w:jc w:val="right"/>
              <w:textAlignment w:val="center"/>
            </w:pPr>
            <w:r>
              <w:rPr>
                <w:rFonts w:ascii="Times New Roman" w:eastAsia="宋体" w:hAnsi="Times New Roman"/>
                <w:color w:val="000000"/>
                <w:sz w:val="20"/>
                <w:szCs w:val="20"/>
              </w:rPr>
              <w:t>3,407 </w:t>
            </w:r>
          </w:p>
        </w:tc>
        <w:tc>
          <w:tcPr>
            <w:tcW w:w="0" w:type="auto"/>
            <w:shd w:val="clear" w:color="auto" w:fill="FFFFFF"/>
            <w:tcMar>
              <w:top w:w="40" w:type="dxa"/>
              <w:bottom w:w="40" w:type="dxa"/>
              <w:right w:w="20" w:type="dxa"/>
            </w:tcMar>
            <w:vAlign w:val="center"/>
          </w:tcPr>
          <w:p w14:paraId="33DADD9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D92"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D93" w14:textId="77777777" w:rsidR="004D6A64" w:rsidRDefault="00506CD6">
            <w:pPr>
              <w:jc w:val="right"/>
              <w:textAlignment w:val="center"/>
            </w:pPr>
            <w:r>
              <w:rPr>
                <w:rFonts w:ascii="Times New Roman" w:eastAsia="宋体" w:hAnsi="Times New Roman"/>
                <w:color w:val="000000"/>
                <w:sz w:val="20"/>
                <w:szCs w:val="20"/>
              </w:rPr>
              <w:t>(15)</w:t>
            </w:r>
          </w:p>
        </w:tc>
        <w:tc>
          <w:tcPr>
            <w:tcW w:w="0" w:type="auto"/>
            <w:shd w:val="clear" w:color="auto" w:fill="FFFFFF"/>
            <w:tcMar>
              <w:top w:w="40" w:type="dxa"/>
              <w:bottom w:w="40" w:type="dxa"/>
              <w:right w:w="20" w:type="dxa"/>
            </w:tcMar>
            <w:vAlign w:val="center"/>
          </w:tcPr>
          <w:p w14:paraId="33DADD94"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DD95"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DD96"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DD97" w14:textId="77777777" w:rsidR="004D6A64" w:rsidRDefault="00506CD6">
            <w:pPr>
              <w:jc w:val="right"/>
              <w:textAlignment w:val="center"/>
            </w:pPr>
            <w:r>
              <w:rPr>
                <w:rFonts w:ascii="Times New Roman" w:eastAsia="宋体" w:hAnsi="Times New Roman"/>
                <w:color w:val="000000"/>
                <w:sz w:val="20"/>
                <w:szCs w:val="20"/>
              </w:rPr>
              <w:t>4,026 </w:t>
            </w:r>
          </w:p>
        </w:tc>
        <w:tc>
          <w:tcPr>
            <w:tcW w:w="0" w:type="auto"/>
            <w:shd w:val="clear" w:color="auto" w:fill="FFFFFF"/>
            <w:tcMar>
              <w:top w:w="40" w:type="dxa"/>
              <w:bottom w:w="40" w:type="dxa"/>
              <w:right w:w="20" w:type="dxa"/>
            </w:tcMar>
            <w:vAlign w:val="center"/>
          </w:tcPr>
          <w:p w14:paraId="33DADD9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D99"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DD9A"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DD9B" w14:textId="77777777" w:rsidR="004D6A64" w:rsidRDefault="00506CD6">
            <w:pPr>
              <w:jc w:val="right"/>
              <w:textAlignment w:val="center"/>
            </w:pPr>
            <w:r>
              <w:rPr>
                <w:rFonts w:ascii="Times New Roman" w:eastAsia="宋体" w:hAnsi="Times New Roman"/>
                <w:color w:val="000000"/>
                <w:sz w:val="20"/>
                <w:szCs w:val="20"/>
              </w:rPr>
              <w:t>6,641 </w:t>
            </w:r>
          </w:p>
        </w:tc>
        <w:tc>
          <w:tcPr>
            <w:tcW w:w="0" w:type="auto"/>
            <w:shd w:val="clear" w:color="auto" w:fill="FFFFFF"/>
            <w:tcMar>
              <w:top w:w="40" w:type="dxa"/>
              <w:bottom w:w="40" w:type="dxa"/>
              <w:right w:w="20" w:type="dxa"/>
            </w:tcMar>
            <w:vAlign w:val="center"/>
          </w:tcPr>
          <w:p w14:paraId="33DADD9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D9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D9E" w14:textId="77777777" w:rsidR="004D6A64" w:rsidRDefault="00506CD6">
            <w:pPr>
              <w:jc w:val="right"/>
              <w:textAlignment w:val="center"/>
            </w:pPr>
            <w:r>
              <w:rPr>
                <w:rFonts w:ascii="Times New Roman" w:eastAsia="宋体" w:hAnsi="Times New Roman"/>
                <w:color w:val="000000"/>
                <w:sz w:val="20"/>
                <w:szCs w:val="20"/>
              </w:rPr>
              <w:t>(12)</w:t>
            </w:r>
          </w:p>
        </w:tc>
        <w:tc>
          <w:tcPr>
            <w:tcW w:w="0" w:type="auto"/>
            <w:shd w:val="clear" w:color="auto" w:fill="FFFFFF"/>
            <w:tcMar>
              <w:top w:w="40" w:type="dxa"/>
              <w:bottom w:w="40" w:type="dxa"/>
              <w:right w:w="20" w:type="dxa"/>
            </w:tcMar>
            <w:vAlign w:val="center"/>
          </w:tcPr>
          <w:p w14:paraId="33DADD9F"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DDA0"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DDA1"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DDA2" w14:textId="77777777" w:rsidR="004D6A64" w:rsidRDefault="00506CD6">
            <w:pPr>
              <w:jc w:val="right"/>
              <w:textAlignment w:val="center"/>
            </w:pPr>
            <w:r>
              <w:rPr>
                <w:rFonts w:ascii="Times New Roman" w:eastAsia="宋体" w:hAnsi="Times New Roman"/>
                <w:color w:val="000000"/>
                <w:sz w:val="20"/>
                <w:szCs w:val="20"/>
              </w:rPr>
              <w:t>7,522 </w:t>
            </w:r>
          </w:p>
        </w:tc>
        <w:tc>
          <w:tcPr>
            <w:tcW w:w="0" w:type="auto"/>
            <w:shd w:val="clear" w:color="auto" w:fill="FFFFFF"/>
            <w:tcMar>
              <w:top w:w="40" w:type="dxa"/>
              <w:bottom w:w="40" w:type="dxa"/>
              <w:right w:w="20" w:type="dxa"/>
            </w:tcMar>
            <w:vAlign w:val="center"/>
          </w:tcPr>
          <w:p w14:paraId="33DADDA3" w14:textId="77777777" w:rsidR="004D6A64" w:rsidRDefault="004D6A64">
            <w:pPr>
              <w:jc w:val="right"/>
              <w:rPr>
                <w:rFonts w:ascii="宋体"/>
              </w:rPr>
            </w:pPr>
          </w:p>
        </w:tc>
        <w:tc>
          <w:tcPr>
            <w:tcW w:w="0" w:type="auto"/>
            <w:shd w:val="clear" w:color="auto" w:fill="auto"/>
          </w:tcPr>
          <w:p w14:paraId="33DADDA4" w14:textId="77777777" w:rsidR="004D6A64" w:rsidRDefault="004D6A64">
            <w:pPr>
              <w:rPr>
                <w:rFonts w:ascii="宋体"/>
              </w:rPr>
            </w:pPr>
          </w:p>
        </w:tc>
        <w:tc>
          <w:tcPr>
            <w:tcW w:w="0" w:type="auto"/>
            <w:shd w:val="clear" w:color="auto" w:fill="auto"/>
          </w:tcPr>
          <w:p w14:paraId="33DADDA5" w14:textId="77777777" w:rsidR="004D6A64" w:rsidRDefault="004D6A64">
            <w:pPr>
              <w:rPr>
                <w:rFonts w:ascii="宋体"/>
              </w:rPr>
            </w:pPr>
          </w:p>
        </w:tc>
        <w:tc>
          <w:tcPr>
            <w:tcW w:w="0" w:type="auto"/>
            <w:shd w:val="clear" w:color="auto" w:fill="auto"/>
          </w:tcPr>
          <w:p w14:paraId="33DADDA6" w14:textId="77777777" w:rsidR="004D6A64" w:rsidRDefault="004D6A64">
            <w:pPr>
              <w:rPr>
                <w:rFonts w:ascii="宋体"/>
              </w:rPr>
            </w:pPr>
          </w:p>
        </w:tc>
        <w:tc>
          <w:tcPr>
            <w:tcW w:w="0" w:type="auto"/>
            <w:shd w:val="clear" w:color="auto" w:fill="auto"/>
          </w:tcPr>
          <w:p w14:paraId="33DADDA7" w14:textId="77777777" w:rsidR="004D6A64" w:rsidRDefault="004D6A64">
            <w:pPr>
              <w:rPr>
                <w:rFonts w:ascii="宋体"/>
              </w:rPr>
            </w:pPr>
          </w:p>
        </w:tc>
        <w:tc>
          <w:tcPr>
            <w:tcW w:w="0" w:type="auto"/>
            <w:shd w:val="clear" w:color="auto" w:fill="auto"/>
          </w:tcPr>
          <w:p w14:paraId="33DADDA8" w14:textId="77777777" w:rsidR="004D6A64" w:rsidRDefault="004D6A64">
            <w:pPr>
              <w:rPr>
                <w:rFonts w:ascii="宋体"/>
              </w:rPr>
            </w:pPr>
          </w:p>
        </w:tc>
        <w:tc>
          <w:tcPr>
            <w:tcW w:w="0" w:type="auto"/>
            <w:shd w:val="clear" w:color="auto" w:fill="auto"/>
          </w:tcPr>
          <w:p w14:paraId="33DADDA9" w14:textId="77777777" w:rsidR="004D6A64" w:rsidRDefault="004D6A64">
            <w:pPr>
              <w:rPr>
                <w:rFonts w:ascii="宋体"/>
              </w:rPr>
            </w:pPr>
          </w:p>
        </w:tc>
        <w:tc>
          <w:tcPr>
            <w:tcW w:w="0" w:type="auto"/>
            <w:shd w:val="clear" w:color="auto" w:fill="auto"/>
          </w:tcPr>
          <w:p w14:paraId="33DADDAA" w14:textId="77777777" w:rsidR="004D6A64" w:rsidRDefault="004D6A64">
            <w:pPr>
              <w:rPr>
                <w:rFonts w:ascii="宋体"/>
              </w:rPr>
            </w:pPr>
          </w:p>
        </w:tc>
        <w:tc>
          <w:tcPr>
            <w:tcW w:w="0" w:type="auto"/>
            <w:shd w:val="clear" w:color="auto" w:fill="auto"/>
          </w:tcPr>
          <w:p w14:paraId="33DADDAB" w14:textId="77777777" w:rsidR="004D6A64" w:rsidRDefault="004D6A64">
            <w:pPr>
              <w:rPr>
                <w:rFonts w:ascii="宋体"/>
              </w:rPr>
            </w:pPr>
          </w:p>
        </w:tc>
        <w:tc>
          <w:tcPr>
            <w:tcW w:w="0" w:type="auto"/>
            <w:shd w:val="clear" w:color="auto" w:fill="auto"/>
          </w:tcPr>
          <w:p w14:paraId="33DADDAC" w14:textId="77777777" w:rsidR="004D6A64" w:rsidRDefault="004D6A64">
            <w:pPr>
              <w:rPr>
                <w:rFonts w:ascii="宋体"/>
              </w:rPr>
            </w:pPr>
          </w:p>
        </w:tc>
        <w:tc>
          <w:tcPr>
            <w:tcW w:w="0" w:type="auto"/>
            <w:shd w:val="clear" w:color="auto" w:fill="auto"/>
          </w:tcPr>
          <w:p w14:paraId="33DADDAD" w14:textId="77777777" w:rsidR="004D6A64" w:rsidRDefault="004D6A64">
            <w:pPr>
              <w:rPr>
                <w:rFonts w:ascii="宋体"/>
              </w:rPr>
            </w:pPr>
          </w:p>
        </w:tc>
        <w:tc>
          <w:tcPr>
            <w:tcW w:w="0" w:type="auto"/>
            <w:shd w:val="clear" w:color="auto" w:fill="auto"/>
          </w:tcPr>
          <w:p w14:paraId="33DADDAE" w14:textId="77777777" w:rsidR="004D6A64" w:rsidRDefault="004D6A64">
            <w:pPr>
              <w:rPr>
                <w:rFonts w:ascii="宋体"/>
              </w:rPr>
            </w:pPr>
          </w:p>
        </w:tc>
        <w:tc>
          <w:tcPr>
            <w:tcW w:w="0" w:type="auto"/>
            <w:shd w:val="clear" w:color="auto" w:fill="auto"/>
          </w:tcPr>
          <w:p w14:paraId="33DADDAF" w14:textId="77777777" w:rsidR="004D6A64" w:rsidRDefault="004D6A64">
            <w:pPr>
              <w:rPr>
                <w:rFonts w:ascii="宋体"/>
              </w:rPr>
            </w:pPr>
          </w:p>
        </w:tc>
        <w:tc>
          <w:tcPr>
            <w:tcW w:w="0" w:type="auto"/>
            <w:shd w:val="clear" w:color="auto" w:fill="auto"/>
          </w:tcPr>
          <w:p w14:paraId="33DADDB0" w14:textId="77777777" w:rsidR="004D6A64" w:rsidRDefault="004D6A64">
            <w:pPr>
              <w:rPr>
                <w:rFonts w:ascii="宋体"/>
              </w:rPr>
            </w:pPr>
          </w:p>
        </w:tc>
        <w:tc>
          <w:tcPr>
            <w:tcW w:w="0" w:type="auto"/>
            <w:shd w:val="clear" w:color="auto" w:fill="auto"/>
          </w:tcPr>
          <w:p w14:paraId="33DADDB1" w14:textId="77777777" w:rsidR="004D6A64" w:rsidRDefault="004D6A64">
            <w:pPr>
              <w:rPr>
                <w:rFonts w:ascii="宋体"/>
              </w:rPr>
            </w:pPr>
          </w:p>
        </w:tc>
        <w:tc>
          <w:tcPr>
            <w:tcW w:w="0" w:type="auto"/>
            <w:shd w:val="clear" w:color="auto" w:fill="auto"/>
          </w:tcPr>
          <w:p w14:paraId="33DADDB2" w14:textId="77777777" w:rsidR="004D6A64" w:rsidRDefault="004D6A64">
            <w:pPr>
              <w:rPr>
                <w:rFonts w:ascii="宋体"/>
              </w:rPr>
            </w:pPr>
          </w:p>
        </w:tc>
        <w:tc>
          <w:tcPr>
            <w:tcW w:w="0" w:type="auto"/>
            <w:shd w:val="clear" w:color="auto" w:fill="auto"/>
          </w:tcPr>
          <w:p w14:paraId="33DADDB3" w14:textId="77777777" w:rsidR="004D6A64" w:rsidRDefault="004D6A64">
            <w:pPr>
              <w:rPr>
                <w:rFonts w:ascii="宋体"/>
              </w:rPr>
            </w:pPr>
          </w:p>
        </w:tc>
        <w:tc>
          <w:tcPr>
            <w:tcW w:w="0" w:type="auto"/>
            <w:shd w:val="clear" w:color="auto" w:fill="auto"/>
          </w:tcPr>
          <w:p w14:paraId="33DADDB4" w14:textId="77777777" w:rsidR="004D6A64" w:rsidRDefault="004D6A64">
            <w:pPr>
              <w:rPr>
                <w:rFonts w:ascii="宋体"/>
              </w:rPr>
            </w:pPr>
          </w:p>
        </w:tc>
        <w:tc>
          <w:tcPr>
            <w:tcW w:w="0" w:type="auto"/>
            <w:shd w:val="clear" w:color="auto" w:fill="auto"/>
          </w:tcPr>
          <w:p w14:paraId="33DADDB5" w14:textId="77777777" w:rsidR="004D6A64" w:rsidRDefault="004D6A64">
            <w:pPr>
              <w:rPr>
                <w:rFonts w:ascii="宋体"/>
              </w:rPr>
            </w:pPr>
          </w:p>
        </w:tc>
        <w:tc>
          <w:tcPr>
            <w:tcW w:w="0" w:type="auto"/>
            <w:shd w:val="clear" w:color="auto" w:fill="auto"/>
          </w:tcPr>
          <w:p w14:paraId="33DADDB6" w14:textId="77777777" w:rsidR="004D6A64" w:rsidRDefault="004D6A64">
            <w:pPr>
              <w:rPr>
                <w:rFonts w:ascii="宋体"/>
              </w:rPr>
            </w:pPr>
          </w:p>
        </w:tc>
        <w:tc>
          <w:tcPr>
            <w:tcW w:w="0" w:type="auto"/>
            <w:shd w:val="clear" w:color="auto" w:fill="auto"/>
          </w:tcPr>
          <w:p w14:paraId="33DADDB7" w14:textId="77777777" w:rsidR="004D6A64" w:rsidRDefault="004D6A64">
            <w:pPr>
              <w:rPr>
                <w:rFonts w:ascii="宋体"/>
              </w:rPr>
            </w:pPr>
          </w:p>
        </w:tc>
        <w:tc>
          <w:tcPr>
            <w:tcW w:w="0" w:type="auto"/>
            <w:shd w:val="clear" w:color="auto" w:fill="auto"/>
          </w:tcPr>
          <w:p w14:paraId="33DADDB8" w14:textId="77777777" w:rsidR="004D6A64" w:rsidRDefault="004D6A64">
            <w:pPr>
              <w:rPr>
                <w:rFonts w:ascii="宋体"/>
              </w:rPr>
            </w:pPr>
          </w:p>
        </w:tc>
        <w:tc>
          <w:tcPr>
            <w:tcW w:w="0" w:type="auto"/>
            <w:shd w:val="clear" w:color="auto" w:fill="auto"/>
          </w:tcPr>
          <w:p w14:paraId="33DADDB9" w14:textId="77777777" w:rsidR="004D6A64" w:rsidRDefault="004D6A64">
            <w:pPr>
              <w:rPr>
                <w:rFonts w:ascii="宋体"/>
              </w:rPr>
            </w:pPr>
          </w:p>
        </w:tc>
        <w:tc>
          <w:tcPr>
            <w:tcW w:w="0" w:type="auto"/>
            <w:shd w:val="clear" w:color="auto" w:fill="auto"/>
          </w:tcPr>
          <w:p w14:paraId="33DADDBA" w14:textId="77777777" w:rsidR="004D6A64" w:rsidRDefault="004D6A64">
            <w:pPr>
              <w:rPr>
                <w:rFonts w:ascii="宋体"/>
              </w:rPr>
            </w:pPr>
          </w:p>
        </w:tc>
        <w:tc>
          <w:tcPr>
            <w:tcW w:w="0" w:type="auto"/>
            <w:shd w:val="clear" w:color="auto" w:fill="auto"/>
          </w:tcPr>
          <w:p w14:paraId="33DADDBB" w14:textId="77777777" w:rsidR="004D6A64" w:rsidRDefault="004D6A64">
            <w:pPr>
              <w:rPr>
                <w:rFonts w:ascii="宋体"/>
              </w:rPr>
            </w:pPr>
          </w:p>
        </w:tc>
        <w:tc>
          <w:tcPr>
            <w:tcW w:w="0" w:type="auto"/>
            <w:shd w:val="clear" w:color="auto" w:fill="auto"/>
          </w:tcPr>
          <w:p w14:paraId="33DADDBC" w14:textId="77777777" w:rsidR="004D6A64" w:rsidRDefault="004D6A64">
            <w:pPr>
              <w:rPr>
                <w:rFonts w:ascii="宋体"/>
              </w:rPr>
            </w:pPr>
          </w:p>
        </w:tc>
        <w:tc>
          <w:tcPr>
            <w:tcW w:w="0" w:type="auto"/>
            <w:shd w:val="clear" w:color="auto" w:fill="auto"/>
          </w:tcPr>
          <w:p w14:paraId="33DADDBD" w14:textId="77777777" w:rsidR="004D6A64" w:rsidRDefault="004D6A64">
            <w:pPr>
              <w:rPr>
                <w:rFonts w:ascii="宋体"/>
              </w:rPr>
            </w:pPr>
          </w:p>
        </w:tc>
        <w:tc>
          <w:tcPr>
            <w:tcW w:w="0" w:type="auto"/>
            <w:shd w:val="clear" w:color="auto" w:fill="auto"/>
          </w:tcPr>
          <w:p w14:paraId="33DADDBE" w14:textId="77777777" w:rsidR="004D6A64" w:rsidRDefault="004D6A64">
            <w:pPr>
              <w:rPr>
                <w:rFonts w:ascii="宋体"/>
              </w:rPr>
            </w:pPr>
          </w:p>
        </w:tc>
      </w:tr>
      <w:tr w:rsidR="004D6A64" w14:paraId="33DADDE7" w14:textId="77777777">
        <w:trPr>
          <w:jc w:val="center"/>
        </w:trPr>
        <w:tc>
          <w:tcPr>
            <w:tcW w:w="0" w:type="auto"/>
            <w:gridSpan w:val="3"/>
            <w:shd w:val="clear" w:color="auto" w:fill="CCEEFF"/>
            <w:tcMar>
              <w:top w:w="40" w:type="dxa"/>
              <w:left w:w="135" w:type="dxa"/>
              <w:bottom w:w="40" w:type="dxa"/>
              <w:right w:w="20" w:type="dxa"/>
            </w:tcMar>
            <w:vAlign w:val="center"/>
          </w:tcPr>
          <w:p w14:paraId="33DADDC0" w14:textId="77777777" w:rsidR="004D6A64" w:rsidRDefault="00506CD6">
            <w:pPr>
              <w:textAlignment w:val="center"/>
            </w:pPr>
            <w:r>
              <w:rPr>
                <w:rFonts w:ascii="Times New Roman" w:eastAsia="宋体" w:hAnsi="Times New Roman"/>
                <w:color w:val="000000"/>
                <w:sz w:val="20"/>
                <w:szCs w:val="20"/>
              </w:rPr>
              <w:t>Non-GAAP adjustments:</w:t>
            </w:r>
          </w:p>
        </w:tc>
        <w:tc>
          <w:tcPr>
            <w:tcW w:w="0" w:type="auto"/>
            <w:gridSpan w:val="3"/>
            <w:shd w:val="clear" w:color="auto" w:fill="CCEEFF"/>
            <w:tcMar>
              <w:left w:w="20" w:type="dxa"/>
              <w:right w:w="20" w:type="dxa"/>
            </w:tcMar>
            <w:vAlign w:val="bottom"/>
          </w:tcPr>
          <w:p w14:paraId="33DADDC1"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DC2"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DC3"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DC4"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DC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DC6"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DC7"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DC8"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DC9"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DCA"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DCB" w14:textId="77777777" w:rsidR="004D6A64" w:rsidRDefault="004D6A64">
            <w:pPr>
              <w:rPr>
                <w:rFonts w:ascii="宋体"/>
              </w:rPr>
            </w:pPr>
          </w:p>
        </w:tc>
        <w:tc>
          <w:tcPr>
            <w:tcW w:w="0" w:type="auto"/>
            <w:shd w:val="clear" w:color="auto" w:fill="auto"/>
          </w:tcPr>
          <w:p w14:paraId="33DADDCC" w14:textId="77777777" w:rsidR="004D6A64" w:rsidRDefault="004D6A64">
            <w:pPr>
              <w:rPr>
                <w:rFonts w:ascii="宋体"/>
              </w:rPr>
            </w:pPr>
          </w:p>
        </w:tc>
        <w:tc>
          <w:tcPr>
            <w:tcW w:w="0" w:type="auto"/>
            <w:shd w:val="clear" w:color="auto" w:fill="auto"/>
          </w:tcPr>
          <w:p w14:paraId="33DADDCD" w14:textId="77777777" w:rsidR="004D6A64" w:rsidRDefault="004D6A64">
            <w:pPr>
              <w:rPr>
                <w:rFonts w:ascii="宋体"/>
              </w:rPr>
            </w:pPr>
          </w:p>
        </w:tc>
        <w:tc>
          <w:tcPr>
            <w:tcW w:w="0" w:type="auto"/>
            <w:shd w:val="clear" w:color="auto" w:fill="auto"/>
          </w:tcPr>
          <w:p w14:paraId="33DADDCE" w14:textId="77777777" w:rsidR="004D6A64" w:rsidRDefault="004D6A64">
            <w:pPr>
              <w:rPr>
                <w:rFonts w:ascii="宋体"/>
              </w:rPr>
            </w:pPr>
          </w:p>
        </w:tc>
        <w:tc>
          <w:tcPr>
            <w:tcW w:w="0" w:type="auto"/>
            <w:shd w:val="clear" w:color="auto" w:fill="auto"/>
          </w:tcPr>
          <w:p w14:paraId="33DADDCF" w14:textId="77777777" w:rsidR="004D6A64" w:rsidRDefault="004D6A64">
            <w:pPr>
              <w:rPr>
                <w:rFonts w:ascii="宋体"/>
              </w:rPr>
            </w:pPr>
          </w:p>
        </w:tc>
        <w:tc>
          <w:tcPr>
            <w:tcW w:w="0" w:type="auto"/>
            <w:shd w:val="clear" w:color="auto" w:fill="auto"/>
          </w:tcPr>
          <w:p w14:paraId="33DADDD0" w14:textId="77777777" w:rsidR="004D6A64" w:rsidRDefault="004D6A64">
            <w:pPr>
              <w:rPr>
                <w:rFonts w:ascii="宋体"/>
              </w:rPr>
            </w:pPr>
          </w:p>
        </w:tc>
        <w:tc>
          <w:tcPr>
            <w:tcW w:w="0" w:type="auto"/>
            <w:shd w:val="clear" w:color="auto" w:fill="auto"/>
          </w:tcPr>
          <w:p w14:paraId="33DADDD1" w14:textId="77777777" w:rsidR="004D6A64" w:rsidRDefault="004D6A64">
            <w:pPr>
              <w:rPr>
                <w:rFonts w:ascii="宋体"/>
              </w:rPr>
            </w:pPr>
          </w:p>
        </w:tc>
        <w:tc>
          <w:tcPr>
            <w:tcW w:w="0" w:type="auto"/>
            <w:shd w:val="clear" w:color="auto" w:fill="auto"/>
          </w:tcPr>
          <w:p w14:paraId="33DADDD2" w14:textId="77777777" w:rsidR="004D6A64" w:rsidRDefault="004D6A64">
            <w:pPr>
              <w:rPr>
                <w:rFonts w:ascii="宋体"/>
              </w:rPr>
            </w:pPr>
          </w:p>
        </w:tc>
        <w:tc>
          <w:tcPr>
            <w:tcW w:w="0" w:type="auto"/>
            <w:shd w:val="clear" w:color="auto" w:fill="auto"/>
          </w:tcPr>
          <w:p w14:paraId="33DADDD3" w14:textId="77777777" w:rsidR="004D6A64" w:rsidRDefault="004D6A64">
            <w:pPr>
              <w:rPr>
                <w:rFonts w:ascii="宋体"/>
              </w:rPr>
            </w:pPr>
          </w:p>
        </w:tc>
        <w:tc>
          <w:tcPr>
            <w:tcW w:w="0" w:type="auto"/>
            <w:shd w:val="clear" w:color="auto" w:fill="auto"/>
          </w:tcPr>
          <w:p w14:paraId="33DADDD4" w14:textId="77777777" w:rsidR="004D6A64" w:rsidRDefault="004D6A64">
            <w:pPr>
              <w:rPr>
                <w:rFonts w:ascii="宋体"/>
              </w:rPr>
            </w:pPr>
          </w:p>
        </w:tc>
        <w:tc>
          <w:tcPr>
            <w:tcW w:w="0" w:type="auto"/>
            <w:shd w:val="clear" w:color="auto" w:fill="auto"/>
          </w:tcPr>
          <w:p w14:paraId="33DADDD5" w14:textId="77777777" w:rsidR="004D6A64" w:rsidRDefault="004D6A64">
            <w:pPr>
              <w:rPr>
                <w:rFonts w:ascii="宋体"/>
              </w:rPr>
            </w:pPr>
          </w:p>
        </w:tc>
        <w:tc>
          <w:tcPr>
            <w:tcW w:w="0" w:type="auto"/>
            <w:shd w:val="clear" w:color="auto" w:fill="auto"/>
          </w:tcPr>
          <w:p w14:paraId="33DADDD6" w14:textId="77777777" w:rsidR="004D6A64" w:rsidRDefault="004D6A64">
            <w:pPr>
              <w:rPr>
                <w:rFonts w:ascii="宋体"/>
              </w:rPr>
            </w:pPr>
          </w:p>
        </w:tc>
        <w:tc>
          <w:tcPr>
            <w:tcW w:w="0" w:type="auto"/>
            <w:shd w:val="clear" w:color="auto" w:fill="auto"/>
          </w:tcPr>
          <w:p w14:paraId="33DADDD7" w14:textId="77777777" w:rsidR="004D6A64" w:rsidRDefault="004D6A64">
            <w:pPr>
              <w:rPr>
                <w:rFonts w:ascii="宋体"/>
              </w:rPr>
            </w:pPr>
          </w:p>
        </w:tc>
        <w:tc>
          <w:tcPr>
            <w:tcW w:w="0" w:type="auto"/>
            <w:shd w:val="clear" w:color="auto" w:fill="auto"/>
          </w:tcPr>
          <w:p w14:paraId="33DADDD8" w14:textId="77777777" w:rsidR="004D6A64" w:rsidRDefault="004D6A64">
            <w:pPr>
              <w:rPr>
                <w:rFonts w:ascii="宋体"/>
              </w:rPr>
            </w:pPr>
          </w:p>
        </w:tc>
        <w:tc>
          <w:tcPr>
            <w:tcW w:w="0" w:type="auto"/>
            <w:shd w:val="clear" w:color="auto" w:fill="auto"/>
          </w:tcPr>
          <w:p w14:paraId="33DADDD9" w14:textId="77777777" w:rsidR="004D6A64" w:rsidRDefault="004D6A64">
            <w:pPr>
              <w:rPr>
                <w:rFonts w:ascii="宋体"/>
              </w:rPr>
            </w:pPr>
          </w:p>
        </w:tc>
        <w:tc>
          <w:tcPr>
            <w:tcW w:w="0" w:type="auto"/>
            <w:shd w:val="clear" w:color="auto" w:fill="auto"/>
          </w:tcPr>
          <w:p w14:paraId="33DADDDA" w14:textId="77777777" w:rsidR="004D6A64" w:rsidRDefault="004D6A64">
            <w:pPr>
              <w:rPr>
                <w:rFonts w:ascii="宋体"/>
              </w:rPr>
            </w:pPr>
          </w:p>
        </w:tc>
        <w:tc>
          <w:tcPr>
            <w:tcW w:w="0" w:type="auto"/>
            <w:shd w:val="clear" w:color="auto" w:fill="auto"/>
          </w:tcPr>
          <w:p w14:paraId="33DADDDB" w14:textId="77777777" w:rsidR="004D6A64" w:rsidRDefault="004D6A64">
            <w:pPr>
              <w:rPr>
                <w:rFonts w:ascii="宋体"/>
              </w:rPr>
            </w:pPr>
          </w:p>
        </w:tc>
        <w:tc>
          <w:tcPr>
            <w:tcW w:w="0" w:type="auto"/>
            <w:shd w:val="clear" w:color="auto" w:fill="auto"/>
          </w:tcPr>
          <w:p w14:paraId="33DADDDC" w14:textId="77777777" w:rsidR="004D6A64" w:rsidRDefault="004D6A64">
            <w:pPr>
              <w:rPr>
                <w:rFonts w:ascii="宋体"/>
              </w:rPr>
            </w:pPr>
          </w:p>
        </w:tc>
        <w:tc>
          <w:tcPr>
            <w:tcW w:w="0" w:type="auto"/>
            <w:shd w:val="clear" w:color="auto" w:fill="auto"/>
          </w:tcPr>
          <w:p w14:paraId="33DADDDD" w14:textId="77777777" w:rsidR="004D6A64" w:rsidRDefault="004D6A64">
            <w:pPr>
              <w:rPr>
                <w:rFonts w:ascii="宋体"/>
              </w:rPr>
            </w:pPr>
          </w:p>
        </w:tc>
        <w:tc>
          <w:tcPr>
            <w:tcW w:w="0" w:type="auto"/>
            <w:shd w:val="clear" w:color="auto" w:fill="auto"/>
          </w:tcPr>
          <w:p w14:paraId="33DADDDE" w14:textId="77777777" w:rsidR="004D6A64" w:rsidRDefault="004D6A64">
            <w:pPr>
              <w:rPr>
                <w:rFonts w:ascii="宋体"/>
              </w:rPr>
            </w:pPr>
          </w:p>
        </w:tc>
        <w:tc>
          <w:tcPr>
            <w:tcW w:w="0" w:type="auto"/>
            <w:shd w:val="clear" w:color="auto" w:fill="auto"/>
          </w:tcPr>
          <w:p w14:paraId="33DADDDF" w14:textId="77777777" w:rsidR="004D6A64" w:rsidRDefault="004D6A64">
            <w:pPr>
              <w:rPr>
                <w:rFonts w:ascii="宋体"/>
              </w:rPr>
            </w:pPr>
          </w:p>
        </w:tc>
        <w:tc>
          <w:tcPr>
            <w:tcW w:w="0" w:type="auto"/>
            <w:shd w:val="clear" w:color="auto" w:fill="auto"/>
          </w:tcPr>
          <w:p w14:paraId="33DADDE0" w14:textId="77777777" w:rsidR="004D6A64" w:rsidRDefault="004D6A64">
            <w:pPr>
              <w:rPr>
                <w:rFonts w:ascii="宋体"/>
              </w:rPr>
            </w:pPr>
          </w:p>
        </w:tc>
        <w:tc>
          <w:tcPr>
            <w:tcW w:w="0" w:type="auto"/>
            <w:shd w:val="clear" w:color="auto" w:fill="auto"/>
          </w:tcPr>
          <w:p w14:paraId="33DADDE1" w14:textId="77777777" w:rsidR="004D6A64" w:rsidRDefault="004D6A64">
            <w:pPr>
              <w:rPr>
                <w:rFonts w:ascii="宋体"/>
              </w:rPr>
            </w:pPr>
          </w:p>
        </w:tc>
        <w:tc>
          <w:tcPr>
            <w:tcW w:w="0" w:type="auto"/>
            <w:shd w:val="clear" w:color="auto" w:fill="auto"/>
          </w:tcPr>
          <w:p w14:paraId="33DADDE2" w14:textId="77777777" w:rsidR="004D6A64" w:rsidRDefault="004D6A64">
            <w:pPr>
              <w:rPr>
                <w:rFonts w:ascii="宋体"/>
              </w:rPr>
            </w:pPr>
          </w:p>
        </w:tc>
        <w:tc>
          <w:tcPr>
            <w:tcW w:w="0" w:type="auto"/>
            <w:shd w:val="clear" w:color="auto" w:fill="auto"/>
          </w:tcPr>
          <w:p w14:paraId="33DADDE3" w14:textId="77777777" w:rsidR="004D6A64" w:rsidRDefault="004D6A64">
            <w:pPr>
              <w:rPr>
                <w:rFonts w:ascii="宋体"/>
              </w:rPr>
            </w:pPr>
          </w:p>
        </w:tc>
        <w:tc>
          <w:tcPr>
            <w:tcW w:w="0" w:type="auto"/>
            <w:shd w:val="clear" w:color="auto" w:fill="auto"/>
          </w:tcPr>
          <w:p w14:paraId="33DADDE4" w14:textId="77777777" w:rsidR="004D6A64" w:rsidRDefault="004D6A64">
            <w:pPr>
              <w:rPr>
                <w:rFonts w:ascii="宋体"/>
              </w:rPr>
            </w:pPr>
          </w:p>
        </w:tc>
        <w:tc>
          <w:tcPr>
            <w:tcW w:w="0" w:type="auto"/>
            <w:shd w:val="clear" w:color="auto" w:fill="auto"/>
          </w:tcPr>
          <w:p w14:paraId="33DADDE5" w14:textId="77777777" w:rsidR="004D6A64" w:rsidRDefault="004D6A64">
            <w:pPr>
              <w:rPr>
                <w:rFonts w:ascii="宋体"/>
              </w:rPr>
            </w:pPr>
          </w:p>
        </w:tc>
        <w:tc>
          <w:tcPr>
            <w:tcW w:w="0" w:type="auto"/>
            <w:shd w:val="clear" w:color="auto" w:fill="auto"/>
          </w:tcPr>
          <w:p w14:paraId="33DADDE6" w14:textId="77777777" w:rsidR="004D6A64" w:rsidRDefault="004D6A64">
            <w:pPr>
              <w:rPr>
                <w:rFonts w:ascii="宋体"/>
              </w:rPr>
            </w:pPr>
          </w:p>
        </w:tc>
      </w:tr>
      <w:tr w:rsidR="004D6A64" w14:paraId="33DADE13" w14:textId="77777777">
        <w:trPr>
          <w:jc w:val="center"/>
        </w:trPr>
        <w:tc>
          <w:tcPr>
            <w:tcW w:w="0" w:type="auto"/>
            <w:gridSpan w:val="3"/>
            <w:shd w:val="clear" w:color="auto" w:fill="FFFFFF"/>
            <w:tcMar>
              <w:top w:w="40" w:type="dxa"/>
              <w:left w:w="225" w:type="dxa"/>
              <w:bottom w:w="40" w:type="dxa"/>
              <w:right w:w="20" w:type="dxa"/>
            </w:tcMar>
            <w:vAlign w:val="center"/>
          </w:tcPr>
          <w:p w14:paraId="33DADDE8" w14:textId="77777777" w:rsidR="004D6A64" w:rsidRDefault="00506CD6">
            <w:pPr>
              <w:textAlignment w:val="center"/>
            </w:pPr>
            <w:r>
              <w:rPr>
                <w:rFonts w:ascii="Times New Roman" w:eastAsia="宋体" w:hAnsi="Times New Roman"/>
                <w:color w:val="000000"/>
                <w:sz w:val="20"/>
                <w:szCs w:val="20"/>
              </w:rPr>
              <w:t>Amortization of intangibles</w:t>
            </w:r>
          </w:p>
        </w:tc>
        <w:tc>
          <w:tcPr>
            <w:tcW w:w="0" w:type="auto"/>
            <w:gridSpan w:val="2"/>
            <w:shd w:val="clear" w:color="auto" w:fill="FFFFFF"/>
            <w:tcMar>
              <w:top w:w="40" w:type="dxa"/>
              <w:left w:w="20" w:type="dxa"/>
              <w:bottom w:w="40" w:type="dxa"/>
              <w:right w:w="0" w:type="dxa"/>
            </w:tcMar>
            <w:vAlign w:val="center"/>
          </w:tcPr>
          <w:p w14:paraId="33DADDE9" w14:textId="77777777" w:rsidR="004D6A64" w:rsidRDefault="00506CD6">
            <w:pPr>
              <w:jc w:val="right"/>
              <w:textAlignment w:val="center"/>
            </w:pPr>
            <w:r>
              <w:rPr>
                <w:rFonts w:ascii="Times New Roman" w:eastAsia="宋体" w:hAnsi="Times New Roman"/>
                <w:color w:val="000000"/>
                <w:sz w:val="20"/>
                <w:szCs w:val="20"/>
              </w:rPr>
              <w:t>374 </w:t>
            </w:r>
          </w:p>
        </w:tc>
        <w:tc>
          <w:tcPr>
            <w:tcW w:w="0" w:type="auto"/>
            <w:shd w:val="clear" w:color="auto" w:fill="FFFFFF"/>
            <w:tcMar>
              <w:top w:w="40" w:type="dxa"/>
              <w:bottom w:w="40" w:type="dxa"/>
              <w:right w:w="20" w:type="dxa"/>
            </w:tcMar>
            <w:vAlign w:val="center"/>
          </w:tcPr>
          <w:p w14:paraId="33DADDE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DEB"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DEC"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DE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DEE" w14:textId="77777777" w:rsidR="004D6A64" w:rsidRDefault="00506CD6">
            <w:pPr>
              <w:jc w:val="right"/>
              <w:textAlignment w:val="center"/>
            </w:pPr>
            <w:r>
              <w:rPr>
                <w:rFonts w:ascii="Times New Roman" w:eastAsia="宋体" w:hAnsi="Times New Roman"/>
                <w:color w:val="000000"/>
                <w:sz w:val="20"/>
                <w:szCs w:val="20"/>
              </w:rPr>
              <w:t>519 </w:t>
            </w:r>
          </w:p>
        </w:tc>
        <w:tc>
          <w:tcPr>
            <w:tcW w:w="0" w:type="auto"/>
            <w:shd w:val="clear" w:color="auto" w:fill="FFFFFF"/>
            <w:tcMar>
              <w:top w:w="40" w:type="dxa"/>
              <w:bottom w:w="40" w:type="dxa"/>
              <w:right w:w="20" w:type="dxa"/>
            </w:tcMar>
            <w:vAlign w:val="center"/>
          </w:tcPr>
          <w:p w14:paraId="33DADDE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DF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DF1" w14:textId="77777777" w:rsidR="004D6A64" w:rsidRDefault="00506CD6">
            <w:pPr>
              <w:jc w:val="right"/>
              <w:textAlignment w:val="center"/>
            </w:pPr>
            <w:r>
              <w:rPr>
                <w:rFonts w:ascii="Times New Roman" w:eastAsia="宋体" w:hAnsi="Times New Roman"/>
                <w:color w:val="000000"/>
                <w:sz w:val="20"/>
                <w:szCs w:val="20"/>
              </w:rPr>
              <w:t>746 </w:t>
            </w:r>
          </w:p>
        </w:tc>
        <w:tc>
          <w:tcPr>
            <w:tcW w:w="0" w:type="auto"/>
            <w:shd w:val="clear" w:color="auto" w:fill="FFFFFF"/>
            <w:tcMar>
              <w:top w:w="40" w:type="dxa"/>
              <w:bottom w:w="40" w:type="dxa"/>
              <w:right w:w="20" w:type="dxa"/>
            </w:tcMar>
            <w:vAlign w:val="center"/>
          </w:tcPr>
          <w:p w14:paraId="33DADDF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DF3"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DF4"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DF5"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DF6" w14:textId="77777777" w:rsidR="004D6A64" w:rsidRDefault="00506CD6">
            <w:pPr>
              <w:jc w:val="right"/>
              <w:textAlignment w:val="center"/>
            </w:pPr>
            <w:r>
              <w:rPr>
                <w:rFonts w:ascii="Times New Roman" w:eastAsia="宋体" w:hAnsi="Times New Roman"/>
                <w:color w:val="000000"/>
                <w:sz w:val="20"/>
                <w:szCs w:val="20"/>
              </w:rPr>
              <w:t>1,038 </w:t>
            </w:r>
          </w:p>
        </w:tc>
        <w:tc>
          <w:tcPr>
            <w:tcW w:w="0" w:type="auto"/>
            <w:shd w:val="clear" w:color="auto" w:fill="FFFFFF"/>
            <w:tcMar>
              <w:top w:w="40" w:type="dxa"/>
              <w:bottom w:w="40" w:type="dxa"/>
              <w:right w:w="20" w:type="dxa"/>
            </w:tcMar>
            <w:vAlign w:val="center"/>
          </w:tcPr>
          <w:p w14:paraId="33DADDF7" w14:textId="77777777" w:rsidR="004D6A64" w:rsidRDefault="004D6A64">
            <w:pPr>
              <w:jc w:val="right"/>
              <w:rPr>
                <w:rFonts w:ascii="宋体"/>
              </w:rPr>
            </w:pPr>
          </w:p>
        </w:tc>
        <w:tc>
          <w:tcPr>
            <w:tcW w:w="0" w:type="auto"/>
            <w:shd w:val="clear" w:color="auto" w:fill="auto"/>
          </w:tcPr>
          <w:p w14:paraId="33DADDF8" w14:textId="77777777" w:rsidR="004D6A64" w:rsidRDefault="004D6A64">
            <w:pPr>
              <w:rPr>
                <w:rFonts w:ascii="宋体"/>
              </w:rPr>
            </w:pPr>
          </w:p>
        </w:tc>
        <w:tc>
          <w:tcPr>
            <w:tcW w:w="0" w:type="auto"/>
            <w:shd w:val="clear" w:color="auto" w:fill="auto"/>
          </w:tcPr>
          <w:p w14:paraId="33DADDF9" w14:textId="77777777" w:rsidR="004D6A64" w:rsidRDefault="004D6A64">
            <w:pPr>
              <w:rPr>
                <w:rFonts w:ascii="宋体"/>
              </w:rPr>
            </w:pPr>
          </w:p>
        </w:tc>
        <w:tc>
          <w:tcPr>
            <w:tcW w:w="0" w:type="auto"/>
            <w:shd w:val="clear" w:color="auto" w:fill="auto"/>
          </w:tcPr>
          <w:p w14:paraId="33DADDFA" w14:textId="77777777" w:rsidR="004D6A64" w:rsidRDefault="004D6A64">
            <w:pPr>
              <w:rPr>
                <w:rFonts w:ascii="宋体"/>
              </w:rPr>
            </w:pPr>
          </w:p>
        </w:tc>
        <w:tc>
          <w:tcPr>
            <w:tcW w:w="0" w:type="auto"/>
            <w:shd w:val="clear" w:color="auto" w:fill="auto"/>
          </w:tcPr>
          <w:p w14:paraId="33DADDFB" w14:textId="77777777" w:rsidR="004D6A64" w:rsidRDefault="004D6A64">
            <w:pPr>
              <w:rPr>
                <w:rFonts w:ascii="宋体"/>
              </w:rPr>
            </w:pPr>
          </w:p>
        </w:tc>
        <w:tc>
          <w:tcPr>
            <w:tcW w:w="0" w:type="auto"/>
            <w:shd w:val="clear" w:color="auto" w:fill="auto"/>
          </w:tcPr>
          <w:p w14:paraId="33DADDFC" w14:textId="77777777" w:rsidR="004D6A64" w:rsidRDefault="004D6A64">
            <w:pPr>
              <w:rPr>
                <w:rFonts w:ascii="宋体"/>
              </w:rPr>
            </w:pPr>
          </w:p>
        </w:tc>
        <w:tc>
          <w:tcPr>
            <w:tcW w:w="0" w:type="auto"/>
            <w:shd w:val="clear" w:color="auto" w:fill="auto"/>
          </w:tcPr>
          <w:p w14:paraId="33DADDFD" w14:textId="77777777" w:rsidR="004D6A64" w:rsidRDefault="004D6A64">
            <w:pPr>
              <w:rPr>
                <w:rFonts w:ascii="宋体"/>
              </w:rPr>
            </w:pPr>
          </w:p>
        </w:tc>
        <w:tc>
          <w:tcPr>
            <w:tcW w:w="0" w:type="auto"/>
            <w:shd w:val="clear" w:color="auto" w:fill="auto"/>
          </w:tcPr>
          <w:p w14:paraId="33DADDFE" w14:textId="77777777" w:rsidR="004D6A64" w:rsidRDefault="004D6A64">
            <w:pPr>
              <w:rPr>
                <w:rFonts w:ascii="宋体"/>
              </w:rPr>
            </w:pPr>
          </w:p>
        </w:tc>
        <w:tc>
          <w:tcPr>
            <w:tcW w:w="0" w:type="auto"/>
            <w:shd w:val="clear" w:color="auto" w:fill="auto"/>
          </w:tcPr>
          <w:p w14:paraId="33DADDFF" w14:textId="77777777" w:rsidR="004D6A64" w:rsidRDefault="004D6A64">
            <w:pPr>
              <w:rPr>
                <w:rFonts w:ascii="宋体"/>
              </w:rPr>
            </w:pPr>
          </w:p>
        </w:tc>
        <w:tc>
          <w:tcPr>
            <w:tcW w:w="0" w:type="auto"/>
            <w:shd w:val="clear" w:color="auto" w:fill="auto"/>
          </w:tcPr>
          <w:p w14:paraId="33DADE00" w14:textId="77777777" w:rsidR="004D6A64" w:rsidRDefault="004D6A64">
            <w:pPr>
              <w:rPr>
                <w:rFonts w:ascii="宋体"/>
              </w:rPr>
            </w:pPr>
          </w:p>
        </w:tc>
        <w:tc>
          <w:tcPr>
            <w:tcW w:w="0" w:type="auto"/>
            <w:shd w:val="clear" w:color="auto" w:fill="auto"/>
          </w:tcPr>
          <w:p w14:paraId="33DADE01" w14:textId="77777777" w:rsidR="004D6A64" w:rsidRDefault="004D6A64">
            <w:pPr>
              <w:rPr>
                <w:rFonts w:ascii="宋体"/>
              </w:rPr>
            </w:pPr>
          </w:p>
        </w:tc>
        <w:tc>
          <w:tcPr>
            <w:tcW w:w="0" w:type="auto"/>
            <w:shd w:val="clear" w:color="auto" w:fill="auto"/>
          </w:tcPr>
          <w:p w14:paraId="33DADE02" w14:textId="77777777" w:rsidR="004D6A64" w:rsidRDefault="004D6A64">
            <w:pPr>
              <w:rPr>
                <w:rFonts w:ascii="宋体"/>
              </w:rPr>
            </w:pPr>
          </w:p>
        </w:tc>
        <w:tc>
          <w:tcPr>
            <w:tcW w:w="0" w:type="auto"/>
            <w:shd w:val="clear" w:color="auto" w:fill="auto"/>
          </w:tcPr>
          <w:p w14:paraId="33DADE03" w14:textId="77777777" w:rsidR="004D6A64" w:rsidRDefault="004D6A64">
            <w:pPr>
              <w:rPr>
                <w:rFonts w:ascii="宋体"/>
              </w:rPr>
            </w:pPr>
          </w:p>
        </w:tc>
        <w:tc>
          <w:tcPr>
            <w:tcW w:w="0" w:type="auto"/>
            <w:shd w:val="clear" w:color="auto" w:fill="auto"/>
          </w:tcPr>
          <w:p w14:paraId="33DADE04" w14:textId="77777777" w:rsidR="004D6A64" w:rsidRDefault="004D6A64">
            <w:pPr>
              <w:rPr>
                <w:rFonts w:ascii="宋体"/>
              </w:rPr>
            </w:pPr>
          </w:p>
        </w:tc>
        <w:tc>
          <w:tcPr>
            <w:tcW w:w="0" w:type="auto"/>
            <w:shd w:val="clear" w:color="auto" w:fill="auto"/>
          </w:tcPr>
          <w:p w14:paraId="33DADE05" w14:textId="77777777" w:rsidR="004D6A64" w:rsidRDefault="004D6A64">
            <w:pPr>
              <w:rPr>
                <w:rFonts w:ascii="宋体"/>
              </w:rPr>
            </w:pPr>
          </w:p>
        </w:tc>
        <w:tc>
          <w:tcPr>
            <w:tcW w:w="0" w:type="auto"/>
            <w:shd w:val="clear" w:color="auto" w:fill="auto"/>
          </w:tcPr>
          <w:p w14:paraId="33DADE06" w14:textId="77777777" w:rsidR="004D6A64" w:rsidRDefault="004D6A64">
            <w:pPr>
              <w:rPr>
                <w:rFonts w:ascii="宋体"/>
              </w:rPr>
            </w:pPr>
          </w:p>
        </w:tc>
        <w:tc>
          <w:tcPr>
            <w:tcW w:w="0" w:type="auto"/>
            <w:shd w:val="clear" w:color="auto" w:fill="auto"/>
          </w:tcPr>
          <w:p w14:paraId="33DADE07" w14:textId="77777777" w:rsidR="004D6A64" w:rsidRDefault="004D6A64">
            <w:pPr>
              <w:rPr>
                <w:rFonts w:ascii="宋体"/>
              </w:rPr>
            </w:pPr>
          </w:p>
        </w:tc>
        <w:tc>
          <w:tcPr>
            <w:tcW w:w="0" w:type="auto"/>
            <w:shd w:val="clear" w:color="auto" w:fill="auto"/>
          </w:tcPr>
          <w:p w14:paraId="33DADE08" w14:textId="77777777" w:rsidR="004D6A64" w:rsidRDefault="004D6A64">
            <w:pPr>
              <w:rPr>
                <w:rFonts w:ascii="宋体"/>
              </w:rPr>
            </w:pPr>
          </w:p>
        </w:tc>
        <w:tc>
          <w:tcPr>
            <w:tcW w:w="0" w:type="auto"/>
            <w:shd w:val="clear" w:color="auto" w:fill="auto"/>
          </w:tcPr>
          <w:p w14:paraId="33DADE09" w14:textId="77777777" w:rsidR="004D6A64" w:rsidRDefault="004D6A64">
            <w:pPr>
              <w:rPr>
                <w:rFonts w:ascii="宋体"/>
              </w:rPr>
            </w:pPr>
          </w:p>
        </w:tc>
        <w:tc>
          <w:tcPr>
            <w:tcW w:w="0" w:type="auto"/>
            <w:shd w:val="clear" w:color="auto" w:fill="auto"/>
          </w:tcPr>
          <w:p w14:paraId="33DADE0A" w14:textId="77777777" w:rsidR="004D6A64" w:rsidRDefault="004D6A64">
            <w:pPr>
              <w:rPr>
                <w:rFonts w:ascii="宋体"/>
              </w:rPr>
            </w:pPr>
          </w:p>
        </w:tc>
        <w:tc>
          <w:tcPr>
            <w:tcW w:w="0" w:type="auto"/>
            <w:shd w:val="clear" w:color="auto" w:fill="auto"/>
          </w:tcPr>
          <w:p w14:paraId="33DADE0B" w14:textId="77777777" w:rsidR="004D6A64" w:rsidRDefault="004D6A64">
            <w:pPr>
              <w:rPr>
                <w:rFonts w:ascii="宋体"/>
              </w:rPr>
            </w:pPr>
          </w:p>
        </w:tc>
        <w:tc>
          <w:tcPr>
            <w:tcW w:w="0" w:type="auto"/>
            <w:shd w:val="clear" w:color="auto" w:fill="auto"/>
          </w:tcPr>
          <w:p w14:paraId="33DADE0C" w14:textId="77777777" w:rsidR="004D6A64" w:rsidRDefault="004D6A64">
            <w:pPr>
              <w:rPr>
                <w:rFonts w:ascii="宋体"/>
              </w:rPr>
            </w:pPr>
          </w:p>
        </w:tc>
        <w:tc>
          <w:tcPr>
            <w:tcW w:w="0" w:type="auto"/>
            <w:shd w:val="clear" w:color="auto" w:fill="auto"/>
          </w:tcPr>
          <w:p w14:paraId="33DADE0D" w14:textId="77777777" w:rsidR="004D6A64" w:rsidRDefault="004D6A64">
            <w:pPr>
              <w:rPr>
                <w:rFonts w:ascii="宋体"/>
              </w:rPr>
            </w:pPr>
          </w:p>
        </w:tc>
        <w:tc>
          <w:tcPr>
            <w:tcW w:w="0" w:type="auto"/>
            <w:shd w:val="clear" w:color="auto" w:fill="auto"/>
          </w:tcPr>
          <w:p w14:paraId="33DADE0E" w14:textId="77777777" w:rsidR="004D6A64" w:rsidRDefault="004D6A64">
            <w:pPr>
              <w:rPr>
                <w:rFonts w:ascii="宋体"/>
              </w:rPr>
            </w:pPr>
          </w:p>
        </w:tc>
        <w:tc>
          <w:tcPr>
            <w:tcW w:w="0" w:type="auto"/>
            <w:shd w:val="clear" w:color="auto" w:fill="auto"/>
          </w:tcPr>
          <w:p w14:paraId="33DADE0F" w14:textId="77777777" w:rsidR="004D6A64" w:rsidRDefault="004D6A64">
            <w:pPr>
              <w:rPr>
                <w:rFonts w:ascii="宋体"/>
              </w:rPr>
            </w:pPr>
          </w:p>
        </w:tc>
        <w:tc>
          <w:tcPr>
            <w:tcW w:w="0" w:type="auto"/>
            <w:shd w:val="clear" w:color="auto" w:fill="auto"/>
          </w:tcPr>
          <w:p w14:paraId="33DADE10" w14:textId="77777777" w:rsidR="004D6A64" w:rsidRDefault="004D6A64">
            <w:pPr>
              <w:rPr>
                <w:rFonts w:ascii="宋体"/>
              </w:rPr>
            </w:pPr>
          </w:p>
        </w:tc>
        <w:tc>
          <w:tcPr>
            <w:tcW w:w="0" w:type="auto"/>
            <w:shd w:val="clear" w:color="auto" w:fill="auto"/>
          </w:tcPr>
          <w:p w14:paraId="33DADE11" w14:textId="77777777" w:rsidR="004D6A64" w:rsidRDefault="004D6A64">
            <w:pPr>
              <w:rPr>
                <w:rFonts w:ascii="宋体"/>
              </w:rPr>
            </w:pPr>
          </w:p>
        </w:tc>
        <w:tc>
          <w:tcPr>
            <w:tcW w:w="0" w:type="auto"/>
            <w:shd w:val="clear" w:color="auto" w:fill="auto"/>
          </w:tcPr>
          <w:p w14:paraId="33DADE12" w14:textId="77777777" w:rsidR="004D6A64" w:rsidRDefault="004D6A64">
            <w:pPr>
              <w:rPr>
                <w:rFonts w:ascii="宋体"/>
              </w:rPr>
            </w:pPr>
          </w:p>
        </w:tc>
      </w:tr>
      <w:tr w:rsidR="004D6A64" w14:paraId="33DADE3F" w14:textId="77777777">
        <w:trPr>
          <w:jc w:val="center"/>
        </w:trPr>
        <w:tc>
          <w:tcPr>
            <w:tcW w:w="0" w:type="auto"/>
            <w:gridSpan w:val="3"/>
            <w:shd w:val="clear" w:color="auto" w:fill="CCEEFF"/>
            <w:tcMar>
              <w:top w:w="40" w:type="dxa"/>
              <w:left w:w="225" w:type="dxa"/>
              <w:bottom w:w="40" w:type="dxa"/>
              <w:right w:w="20" w:type="dxa"/>
            </w:tcMar>
            <w:vAlign w:val="center"/>
          </w:tcPr>
          <w:p w14:paraId="33DADE14" w14:textId="77777777" w:rsidR="004D6A64" w:rsidRDefault="00506CD6">
            <w:pPr>
              <w:textAlignment w:val="center"/>
            </w:pPr>
            <w:r>
              <w:rPr>
                <w:rFonts w:ascii="Times New Roman" w:eastAsia="宋体" w:hAnsi="Times New Roman"/>
                <w:color w:val="000000"/>
                <w:sz w:val="20"/>
                <w:szCs w:val="20"/>
              </w:rPr>
              <w:t>Impact of purchase accounting</w:t>
            </w:r>
          </w:p>
        </w:tc>
        <w:tc>
          <w:tcPr>
            <w:tcW w:w="0" w:type="auto"/>
            <w:gridSpan w:val="2"/>
            <w:shd w:val="clear" w:color="auto" w:fill="CCEEFF"/>
            <w:tcMar>
              <w:top w:w="40" w:type="dxa"/>
              <w:left w:w="20" w:type="dxa"/>
              <w:bottom w:w="40" w:type="dxa"/>
              <w:right w:w="0" w:type="dxa"/>
            </w:tcMar>
            <w:vAlign w:val="center"/>
          </w:tcPr>
          <w:p w14:paraId="33DADE15" w14:textId="77777777" w:rsidR="004D6A64" w:rsidRDefault="00506CD6">
            <w:pPr>
              <w:jc w:val="right"/>
              <w:textAlignment w:val="center"/>
            </w:pPr>
            <w:r>
              <w:rPr>
                <w:rFonts w:ascii="Times New Roman" w:eastAsia="宋体" w:hAnsi="Times New Roman"/>
                <w:color w:val="000000"/>
                <w:sz w:val="20"/>
                <w:szCs w:val="20"/>
              </w:rPr>
              <w:t>3 </w:t>
            </w:r>
          </w:p>
        </w:tc>
        <w:tc>
          <w:tcPr>
            <w:tcW w:w="0" w:type="auto"/>
            <w:shd w:val="clear" w:color="auto" w:fill="CCEEFF"/>
            <w:tcMar>
              <w:top w:w="40" w:type="dxa"/>
              <w:bottom w:w="40" w:type="dxa"/>
              <w:right w:w="20" w:type="dxa"/>
            </w:tcMar>
            <w:vAlign w:val="center"/>
          </w:tcPr>
          <w:p w14:paraId="33DADE1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E17"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E18"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E1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E1A" w14:textId="77777777" w:rsidR="004D6A64" w:rsidRDefault="00506CD6">
            <w:pPr>
              <w:jc w:val="right"/>
              <w:textAlignment w:val="center"/>
            </w:pPr>
            <w:r>
              <w:rPr>
                <w:rFonts w:ascii="Times New Roman" w:eastAsia="宋体" w:hAnsi="Times New Roman"/>
                <w:color w:val="000000"/>
                <w:sz w:val="20"/>
                <w:szCs w:val="20"/>
              </w:rPr>
              <w:t>7 </w:t>
            </w:r>
          </w:p>
        </w:tc>
        <w:tc>
          <w:tcPr>
            <w:tcW w:w="0" w:type="auto"/>
            <w:shd w:val="clear" w:color="auto" w:fill="CCEEFF"/>
            <w:tcMar>
              <w:top w:w="40" w:type="dxa"/>
              <w:bottom w:w="40" w:type="dxa"/>
              <w:right w:w="20" w:type="dxa"/>
            </w:tcMar>
            <w:vAlign w:val="center"/>
          </w:tcPr>
          <w:p w14:paraId="33DADE1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E1C"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E1D" w14:textId="77777777" w:rsidR="004D6A64" w:rsidRDefault="00506CD6">
            <w:pPr>
              <w:jc w:val="right"/>
              <w:textAlignment w:val="center"/>
            </w:pPr>
            <w:r>
              <w:rPr>
                <w:rFonts w:ascii="Times New Roman" w:eastAsia="宋体" w:hAnsi="Times New Roman"/>
                <w:color w:val="000000"/>
                <w:sz w:val="20"/>
                <w:szCs w:val="20"/>
              </w:rPr>
              <w:t>10 </w:t>
            </w:r>
          </w:p>
        </w:tc>
        <w:tc>
          <w:tcPr>
            <w:tcW w:w="0" w:type="auto"/>
            <w:shd w:val="clear" w:color="auto" w:fill="CCEEFF"/>
            <w:tcMar>
              <w:top w:w="40" w:type="dxa"/>
              <w:bottom w:w="40" w:type="dxa"/>
              <w:right w:w="20" w:type="dxa"/>
            </w:tcMar>
            <w:vAlign w:val="center"/>
          </w:tcPr>
          <w:p w14:paraId="33DADE1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E1F"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E20"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E21"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E22" w14:textId="77777777" w:rsidR="004D6A64" w:rsidRDefault="00506CD6">
            <w:pPr>
              <w:jc w:val="right"/>
              <w:textAlignment w:val="center"/>
            </w:pPr>
            <w:r>
              <w:rPr>
                <w:rFonts w:ascii="Times New Roman" w:eastAsia="宋体" w:hAnsi="Times New Roman"/>
                <w:color w:val="000000"/>
                <w:sz w:val="20"/>
                <w:szCs w:val="20"/>
              </w:rPr>
              <w:t>13 </w:t>
            </w:r>
          </w:p>
        </w:tc>
        <w:tc>
          <w:tcPr>
            <w:tcW w:w="0" w:type="auto"/>
            <w:shd w:val="clear" w:color="auto" w:fill="CCEEFF"/>
            <w:tcMar>
              <w:top w:w="40" w:type="dxa"/>
              <w:bottom w:w="40" w:type="dxa"/>
              <w:right w:w="20" w:type="dxa"/>
            </w:tcMar>
            <w:vAlign w:val="center"/>
          </w:tcPr>
          <w:p w14:paraId="33DADE23" w14:textId="77777777" w:rsidR="004D6A64" w:rsidRDefault="004D6A64">
            <w:pPr>
              <w:jc w:val="right"/>
              <w:rPr>
                <w:rFonts w:ascii="宋体"/>
              </w:rPr>
            </w:pPr>
          </w:p>
        </w:tc>
        <w:tc>
          <w:tcPr>
            <w:tcW w:w="0" w:type="auto"/>
            <w:shd w:val="clear" w:color="auto" w:fill="auto"/>
          </w:tcPr>
          <w:p w14:paraId="33DADE24" w14:textId="77777777" w:rsidR="004D6A64" w:rsidRDefault="004D6A64">
            <w:pPr>
              <w:rPr>
                <w:rFonts w:ascii="宋体"/>
              </w:rPr>
            </w:pPr>
          </w:p>
        </w:tc>
        <w:tc>
          <w:tcPr>
            <w:tcW w:w="0" w:type="auto"/>
            <w:shd w:val="clear" w:color="auto" w:fill="auto"/>
          </w:tcPr>
          <w:p w14:paraId="33DADE25" w14:textId="77777777" w:rsidR="004D6A64" w:rsidRDefault="004D6A64">
            <w:pPr>
              <w:rPr>
                <w:rFonts w:ascii="宋体"/>
              </w:rPr>
            </w:pPr>
          </w:p>
        </w:tc>
        <w:tc>
          <w:tcPr>
            <w:tcW w:w="0" w:type="auto"/>
            <w:shd w:val="clear" w:color="auto" w:fill="auto"/>
          </w:tcPr>
          <w:p w14:paraId="33DADE26" w14:textId="77777777" w:rsidR="004D6A64" w:rsidRDefault="004D6A64">
            <w:pPr>
              <w:rPr>
                <w:rFonts w:ascii="宋体"/>
              </w:rPr>
            </w:pPr>
          </w:p>
        </w:tc>
        <w:tc>
          <w:tcPr>
            <w:tcW w:w="0" w:type="auto"/>
            <w:shd w:val="clear" w:color="auto" w:fill="auto"/>
          </w:tcPr>
          <w:p w14:paraId="33DADE27" w14:textId="77777777" w:rsidR="004D6A64" w:rsidRDefault="004D6A64">
            <w:pPr>
              <w:rPr>
                <w:rFonts w:ascii="宋体"/>
              </w:rPr>
            </w:pPr>
          </w:p>
        </w:tc>
        <w:tc>
          <w:tcPr>
            <w:tcW w:w="0" w:type="auto"/>
            <w:shd w:val="clear" w:color="auto" w:fill="auto"/>
          </w:tcPr>
          <w:p w14:paraId="33DADE28" w14:textId="77777777" w:rsidR="004D6A64" w:rsidRDefault="004D6A64">
            <w:pPr>
              <w:rPr>
                <w:rFonts w:ascii="宋体"/>
              </w:rPr>
            </w:pPr>
          </w:p>
        </w:tc>
        <w:tc>
          <w:tcPr>
            <w:tcW w:w="0" w:type="auto"/>
            <w:shd w:val="clear" w:color="auto" w:fill="auto"/>
          </w:tcPr>
          <w:p w14:paraId="33DADE29" w14:textId="77777777" w:rsidR="004D6A64" w:rsidRDefault="004D6A64">
            <w:pPr>
              <w:rPr>
                <w:rFonts w:ascii="宋体"/>
              </w:rPr>
            </w:pPr>
          </w:p>
        </w:tc>
        <w:tc>
          <w:tcPr>
            <w:tcW w:w="0" w:type="auto"/>
            <w:shd w:val="clear" w:color="auto" w:fill="auto"/>
          </w:tcPr>
          <w:p w14:paraId="33DADE2A" w14:textId="77777777" w:rsidR="004D6A64" w:rsidRDefault="004D6A64">
            <w:pPr>
              <w:rPr>
                <w:rFonts w:ascii="宋体"/>
              </w:rPr>
            </w:pPr>
          </w:p>
        </w:tc>
        <w:tc>
          <w:tcPr>
            <w:tcW w:w="0" w:type="auto"/>
            <w:shd w:val="clear" w:color="auto" w:fill="auto"/>
          </w:tcPr>
          <w:p w14:paraId="33DADE2B" w14:textId="77777777" w:rsidR="004D6A64" w:rsidRDefault="004D6A64">
            <w:pPr>
              <w:rPr>
                <w:rFonts w:ascii="宋体"/>
              </w:rPr>
            </w:pPr>
          </w:p>
        </w:tc>
        <w:tc>
          <w:tcPr>
            <w:tcW w:w="0" w:type="auto"/>
            <w:shd w:val="clear" w:color="auto" w:fill="auto"/>
          </w:tcPr>
          <w:p w14:paraId="33DADE2C" w14:textId="77777777" w:rsidR="004D6A64" w:rsidRDefault="004D6A64">
            <w:pPr>
              <w:rPr>
                <w:rFonts w:ascii="宋体"/>
              </w:rPr>
            </w:pPr>
          </w:p>
        </w:tc>
        <w:tc>
          <w:tcPr>
            <w:tcW w:w="0" w:type="auto"/>
            <w:shd w:val="clear" w:color="auto" w:fill="auto"/>
          </w:tcPr>
          <w:p w14:paraId="33DADE2D" w14:textId="77777777" w:rsidR="004D6A64" w:rsidRDefault="004D6A64">
            <w:pPr>
              <w:rPr>
                <w:rFonts w:ascii="宋体"/>
              </w:rPr>
            </w:pPr>
          </w:p>
        </w:tc>
        <w:tc>
          <w:tcPr>
            <w:tcW w:w="0" w:type="auto"/>
            <w:shd w:val="clear" w:color="auto" w:fill="auto"/>
          </w:tcPr>
          <w:p w14:paraId="33DADE2E" w14:textId="77777777" w:rsidR="004D6A64" w:rsidRDefault="004D6A64">
            <w:pPr>
              <w:rPr>
                <w:rFonts w:ascii="宋体"/>
              </w:rPr>
            </w:pPr>
          </w:p>
        </w:tc>
        <w:tc>
          <w:tcPr>
            <w:tcW w:w="0" w:type="auto"/>
            <w:shd w:val="clear" w:color="auto" w:fill="auto"/>
          </w:tcPr>
          <w:p w14:paraId="33DADE2F" w14:textId="77777777" w:rsidR="004D6A64" w:rsidRDefault="004D6A64">
            <w:pPr>
              <w:rPr>
                <w:rFonts w:ascii="宋体"/>
              </w:rPr>
            </w:pPr>
          </w:p>
        </w:tc>
        <w:tc>
          <w:tcPr>
            <w:tcW w:w="0" w:type="auto"/>
            <w:shd w:val="clear" w:color="auto" w:fill="auto"/>
          </w:tcPr>
          <w:p w14:paraId="33DADE30" w14:textId="77777777" w:rsidR="004D6A64" w:rsidRDefault="004D6A64">
            <w:pPr>
              <w:rPr>
                <w:rFonts w:ascii="宋体"/>
              </w:rPr>
            </w:pPr>
          </w:p>
        </w:tc>
        <w:tc>
          <w:tcPr>
            <w:tcW w:w="0" w:type="auto"/>
            <w:shd w:val="clear" w:color="auto" w:fill="auto"/>
          </w:tcPr>
          <w:p w14:paraId="33DADE31" w14:textId="77777777" w:rsidR="004D6A64" w:rsidRDefault="004D6A64">
            <w:pPr>
              <w:rPr>
                <w:rFonts w:ascii="宋体"/>
              </w:rPr>
            </w:pPr>
          </w:p>
        </w:tc>
        <w:tc>
          <w:tcPr>
            <w:tcW w:w="0" w:type="auto"/>
            <w:shd w:val="clear" w:color="auto" w:fill="auto"/>
          </w:tcPr>
          <w:p w14:paraId="33DADE32" w14:textId="77777777" w:rsidR="004D6A64" w:rsidRDefault="004D6A64">
            <w:pPr>
              <w:rPr>
                <w:rFonts w:ascii="宋体"/>
              </w:rPr>
            </w:pPr>
          </w:p>
        </w:tc>
        <w:tc>
          <w:tcPr>
            <w:tcW w:w="0" w:type="auto"/>
            <w:shd w:val="clear" w:color="auto" w:fill="auto"/>
          </w:tcPr>
          <w:p w14:paraId="33DADE33" w14:textId="77777777" w:rsidR="004D6A64" w:rsidRDefault="004D6A64">
            <w:pPr>
              <w:rPr>
                <w:rFonts w:ascii="宋体"/>
              </w:rPr>
            </w:pPr>
          </w:p>
        </w:tc>
        <w:tc>
          <w:tcPr>
            <w:tcW w:w="0" w:type="auto"/>
            <w:shd w:val="clear" w:color="auto" w:fill="auto"/>
          </w:tcPr>
          <w:p w14:paraId="33DADE34" w14:textId="77777777" w:rsidR="004D6A64" w:rsidRDefault="004D6A64">
            <w:pPr>
              <w:rPr>
                <w:rFonts w:ascii="宋体"/>
              </w:rPr>
            </w:pPr>
          </w:p>
        </w:tc>
        <w:tc>
          <w:tcPr>
            <w:tcW w:w="0" w:type="auto"/>
            <w:shd w:val="clear" w:color="auto" w:fill="auto"/>
          </w:tcPr>
          <w:p w14:paraId="33DADE35" w14:textId="77777777" w:rsidR="004D6A64" w:rsidRDefault="004D6A64">
            <w:pPr>
              <w:rPr>
                <w:rFonts w:ascii="宋体"/>
              </w:rPr>
            </w:pPr>
          </w:p>
        </w:tc>
        <w:tc>
          <w:tcPr>
            <w:tcW w:w="0" w:type="auto"/>
            <w:shd w:val="clear" w:color="auto" w:fill="auto"/>
          </w:tcPr>
          <w:p w14:paraId="33DADE36" w14:textId="77777777" w:rsidR="004D6A64" w:rsidRDefault="004D6A64">
            <w:pPr>
              <w:rPr>
                <w:rFonts w:ascii="宋体"/>
              </w:rPr>
            </w:pPr>
          </w:p>
        </w:tc>
        <w:tc>
          <w:tcPr>
            <w:tcW w:w="0" w:type="auto"/>
            <w:shd w:val="clear" w:color="auto" w:fill="auto"/>
          </w:tcPr>
          <w:p w14:paraId="33DADE37" w14:textId="77777777" w:rsidR="004D6A64" w:rsidRDefault="004D6A64">
            <w:pPr>
              <w:rPr>
                <w:rFonts w:ascii="宋体"/>
              </w:rPr>
            </w:pPr>
          </w:p>
        </w:tc>
        <w:tc>
          <w:tcPr>
            <w:tcW w:w="0" w:type="auto"/>
            <w:shd w:val="clear" w:color="auto" w:fill="auto"/>
          </w:tcPr>
          <w:p w14:paraId="33DADE38" w14:textId="77777777" w:rsidR="004D6A64" w:rsidRDefault="004D6A64">
            <w:pPr>
              <w:rPr>
                <w:rFonts w:ascii="宋体"/>
              </w:rPr>
            </w:pPr>
          </w:p>
        </w:tc>
        <w:tc>
          <w:tcPr>
            <w:tcW w:w="0" w:type="auto"/>
            <w:shd w:val="clear" w:color="auto" w:fill="auto"/>
          </w:tcPr>
          <w:p w14:paraId="33DADE39" w14:textId="77777777" w:rsidR="004D6A64" w:rsidRDefault="004D6A64">
            <w:pPr>
              <w:rPr>
                <w:rFonts w:ascii="宋体"/>
              </w:rPr>
            </w:pPr>
          </w:p>
        </w:tc>
        <w:tc>
          <w:tcPr>
            <w:tcW w:w="0" w:type="auto"/>
            <w:shd w:val="clear" w:color="auto" w:fill="auto"/>
          </w:tcPr>
          <w:p w14:paraId="33DADE3A" w14:textId="77777777" w:rsidR="004D6A64" w:rsidRDefault="004D6A64">
            <w:pPr>
              <w:rPr>
                <w:rFonts w:ascii="宋体"/>
              </w:rPr>
            </w:pPr>
          </w:p>
        </w:tc>
        <w:tc>
          <w:tcPr>
            <w:tcW w:w="0" w:type="auto"/>
            <w:shd w:val="clear" w:color="auto" w:fill="auto"/>
          </w:tcPr>
          <w:p w14:paraId="33DADE3B" w14:textId="77777777" w:rsidR="004D6A64" w:rsidRDefault="004D6A64">
            <w:pPr>
              <w:rPr>
                <w:rFonts w:ascii="宋体"/>
              </w:rPr>
            </w:pPr>
          </w:p>
        </w:tc>
        <w:tc>
          <w:tcPr>
            <w:tcW w:w="0" w:type="auto"/>
            <w:shd w:val="clear" w:color="auto" w:fill="auto"/>
          </w:tcPr>
          <w:p w14:paraId="33DADE3C" w14:textId="77777777" w:rsidR="004D6A64" w:rsidRDefault="004D6A64">
            <w:pPr>
              <w:rPr>
                <w:rFonts w:ascii="宋体"/>
              </w:rPr>
            </w:pPr>
          </w:p>
        </w:tc>
        <w:tc>
          <w:tcPr>
            <w:tcW w:w="0" w:type="auto"/>
            <w:shd w:val="clear" w:color="auto" w:fill="auto"/>
          </w:tcPr>
          <w:p w14:paraId="33DADE3D" w14:textId="77777777" w:rsidR="004D6A64" w:rsidRDefault="004D6A64">
            <w:pPr>
              <w:rPr>
                <w:rFonts w:ascii="宋体"/>
              </w:rPr>
            </w:pPr>
          </w:p>
        </w:tc>
        <w:tc>
          <w:tcPr>
            <w:tcW w:w="0" w:type="auto"/>
            <w:shd w:val="clear" w:color="auto" w:fill="auto"/>
          </w:tcPr>
          <w:p w14:paraId="33DADE3E" w14:textId="77777777" w:rsidR="004D6A64" w:rsidRDefault="004D6A64">
            <w:pPr>
              <w:rPr>
                <w:rFonts w:ascii="宋体"/>
              </w:rPr>
            </w:pPr>
          </w:p>
        </w:tc>
      </w:tr>
      <w:tr w:rsidR="004D6A64" w14:paraId="33DADE6B" w14:textId="77777777">
        <w:trPr>
          <w:jc w:val="center"/>
        </w:trPr>
        <w:tc>
          <w:tcPr>
            <w:tcW w:w="0" w:type="auto"/>
            <w:gridSpan w:val="3"/>
            <w:shd w:val="clear" w:color="auto" w:fill="FFFFFF"/>
            <w:tcMar>
              <w:top w:w="40" w:type="dxa"/>
              <w:left w:w="225" w:type="dxa"/>
              <w:bottom w:w="40" w:type="dxa"/>
              <w:right w:w="20" w:type="dxa"/>
            </w:tcMar>
            <w:vAlign w:val="center"/>
          </w:tcPr>
          <w:p w14:paraId="33DADE40" w14:textId="77777777" w:rsidR="004D6A64" w:rsidRDefault="00506CD6">
            <w:pPr>
              <w:textAlignment w:val="center"/>
            </w:pPr>
            <w:r>
              <w:rPr>
                <w:rFonts w:ascii="Times New Roman" w:eastAsia="宋体" w:hAnsi="Times New Roman"/>
                <w:color w:val="000000"/>
                <w:sz w:val="20"/>
                <w:szCs w:val="20"/>
              </w:rPr>
              <w:t>Transaction-related expenses</w:t>
            </w:r>
          </w:p>
        </w:tc>
        <w:tc>
          <w:tcPr>
            <w:tcW w:w="0" w:type="auto"/>
            <w:gridSpan w:val="2"/>
            <w:shd w:val="clear" w:color="auto" w:fill="FFFFFF"/>
            <w:tcMar>
              <w:top w:w="40" w:type="dxa"/>
              <w:left w:w="20" w:type="dxa"/>
              <w:bottom w:w="40" w:type="dxa"/>
              <w:right w:w="0" w:type="dxa"/>
            </w:tcMar>
            <w:vAlign w:val="center"/>
          </w:tcPr>
          <w:p w14:paraId="33DADE41"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DE4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E43"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E44"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E45"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E46" w14:textId="77777777" w:rsidR="004D6A64" w:rsidRDefault="00506CD6">
            <w:pPr>
              <w:jc w:val="right"/>
              <w:textAlignment w:val="center"/>
            </w:pPr>
            <w:r>
              <w:rPr>
                <w:rFonts w:ascii="Times New Roman" w:eastAsia="宋体" w:hAnsi="Times New Roman"/>
                <w:color w:val="000000"/>
                <w:sz w:val="20"/>
                <w:szCs w:val="20"/>
              </w:rPr>
              <w:t>(3)</w:t>
            </w:r>
          </w:p>
        </w:tc>
        <w:tc>
          <w:tcPr>
            <w:tcW w:w="0" w:type="auto"/>
            <w:shd w:val="clear" w:color="auto" w:fill="FFFFFF"/>
            <w:tcMar>
              <w:top w:w="40" w:type="dxa"/>
              <w:bottom w:w="40" w:type="dxa"/>
              <w:right w:w="20" w:type="dxa"/>
            </w:tcMar>
            <w:vAlign w:val="center"/>
          </w:tcPr>
          <w:p w14:paraId="33DADE4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E48"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E49"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DE4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E4B"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E4C"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E4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E4E" w14:textId="77777777" w:rsidR="004D6A64" w:rsidRDefault="00506CD6">
            <w:pPr>
              <w:jc w:val="right"/>
              <w:textAlignment w:val="center"/>
            </w:pPr>
            <w:r>
              <w:rPr>
                <w:rFonts w:ascii="Times New Roman" w:eastAsia="宋体" w:hAnsi="Times New Roman"/>
                <w:color w:val="000000"/>
                <w:sz w:val="20"/>
                <w:szCs w:val="20"/>
              </w:rPr>
              <w:t>(5)</w:t>
            </w:r>
          </w:p>
        </w:tc>
        <w:tc>
          <w:tcPr>
            <w:tcW w:w="0" w:type="auto"/>
            <w:shd w:val="clear" w:color="auto" w:fill="FFFFFF"/>
            <w:tcMar>
              <w:top w:w="40" w:type="dxa"/>
              <w:bottom w:w="40" w:type="dxa"/>
              <w:right w:w="20" w:type="dxa"/>
            </w:tcMar>
            <w:vAlign w:val="center"/>
          </w:tcPr>
          <w:p w14:paraId="33DADE4F" w14:textId="77777777" w:rsidR="004D6A64" w:rsidRDefault="004D6A64">
            <w:pPr>
              <w:jc w:val="right"/>
              <w:rPr>
                <w:rFonts w:ascii="宋体"/>
              </w:rPr>
            </w:pPr>
          </w:p>
        </w:tc>
        <w:tc>
          <w:tcPr>
            <w:tcW w:w="0" w:type="auto"/>
            <w:shd w:val="clear" w:color="auto" w:fill="auto"/>
          </w:tcPr>
          <w:p w14:paraId="33DADE50" w14:textId="77777777" w:rsidR="004D6A64" w:rsidRDefault="004D6A64">
            <w:pPr>
              <w:rPr>
                <w:rFonts w:ascii="宋体"/>
              </w:rPr>
            </w:pPr>
          </w:p>
        </w:tc>
        <w:tc>
          <w:tcPr>
            <w:tcW w:w="0" w:type="auto"/>
            <w:shd w:val="clear" w:color="auto" w:fill="auto"/>
          </w:tcPr>
          <w:p w14:paraId="33DADE51" w14:textId="77777777" w:rsidR="004D6A64" w:rsidRDefault="004D6A64">
            <w:pPr>
              <w:rPr>
                <w:rFonts w:ascii="宋体"/>
              </w:rPr>
            </w:pPr>
          </w:p>
        </w:tc>
        <w:tc>
          <w:tcPr>
            <w:tcW w:w="0" w:type="auto"/>
            <w:shd w:val="clear" w:color="auto" w:fill="auto"/>
          </w:tcPr>
          <w:p w14:paraId="33DADE52" w14:textId="77777777" w:rsidR="004D6A64" w:rsidRDefault="004D6A64">
            <w:pPr>
              <w:rPr>
                <w:rFonts w:ascii="宋体"/>
              </w:rPr>
            </w:pPr>
          </w:p>
        </w:tc>
        <w:tc>
          <w:tcPr>
            <w:tcW w:w="0" w:type="auto"/>
            <w:shd w:val="clear" w:color="auto" w:fill="auto"/>
          </w:tcPr>
          <w:p w14:paraId="33DADE53" w14:textId="77777777" w:rsidR="004D6A64" w:rsidRDefault="004D6A64">
            <w:pPr>
              <w:rPr>
                <w:rFonts w:ascii="宋体"/>
              </w:rPr>
            </w:pPr>
          </w:p>
        </w:tc>
        <w:tc>
          <w:tcPr>
            <w:tcW w:w="0" w:type="auto"/>
            <w:shd w:val="clear" w:color="auto" w:fill="auto"/>
          </w:tcPr>
          <w:p w14:paraId="33DADE54" w14:textId="77777777" w:rsidR="004D6A64" w:rsidRDefault="004D6A64">
            <w:pPr>
              <w:rPr>
                <w:rFonts w:ascii="宋体"/>
              </w:rPr>
            </w:pPr>
          </w:p>
        </w:tc>
        <w:tc>
          <w:tcPr>
            <w:tcW w:w="0" w:type="auto"/>
            <w:shd w:val="clear" w:color="auto" w:fill="auto"/>
          </w:tcPr>
          <w:p w14:paraId="33DADE55" w14:textId="77777777" w:rsidR="004D6A64" w:rsidRDefault="004D6A64">
            <w:pPr>
              <w:rPr>
                <w:rFonts w:ascii="宋体"/>
              </w:rPr>
            </w:pPr>
          </w:p>
        </w:tc>
        <w:tc>
          <w:tcPr>
            <w:tcW w:w="0" w:type="auto"/>
            <w:shd w:val="clear" w:color="auto" w:fill="auto"/>
          </w:tcPr>
          <w:p w14:paraId="33DADE56" w14:textId="77777777" w:rsidR="004D6A64" w:rsidRDefault="004D6A64">
            <w:pPr>
              <w:rPr>
                <w:rFonts w:ascii="宋体"/>
              </w:rPr>
            </w:pPr>
          </w:p>
        </w:tc>
        <w:tc>
          <w:tcPr>
            <w:tcW w:w="0" w:type="auto"/>
            <w:shd w:val="clear" w:color="auto" w:fill="auto"/>
          </w:tcPr>
          <w:p w14:paraId="33DADE57" w14:textId="77777777" w:rsidR="004D6A64" w:rsidRDefault="004D6A64">
            <w:pPr>
              <w:rPr>
                <w:rFonts w:ascii="宋体"/>
              </w:rPr>
            </w:pPr>
          </w:p>
        </w:tc>
        <w:tc>
          <w:tcPr>
            <w:tcW w:w="0" w:type="auto"/>
            <w:shd w:val="clear" w:color="auto" w:fill="auto"/>
          </w:tcPr>
          <w:p w14:paraId="33DADE58" w14:textId="77777777" w:rsidR="004D6A64" w:rsidRDefault="004D6A64">
            <w:pPr>
              <w:rPr>
                <w:rFonts w:ascii="宋体"/>
              </w:rPr>
            </w:pPr>
          </w:p>
        </w:tc>
        <w:tc>
          <w:tcPr>
            <w:tcW w:w="0" w:type="auto"/>
            <w:shd w:val="clear" w:color="auto" w:fill="auto"/>
          </w:tcPr>
          <w:p w14:paraId="33DADE59" w14:textId="77777777" w:rsidR="004D6A64" w:rsidRDefault="004D6A64">
            <w:pPr>
              <w:rPr>
                <w:rFonts w:ascii="宋体"/>
              </w:rPr>
            </w:pPr>
          </w:p>
        </w:tc>
        <w:tc>
          <w:tcPr>
            <w:tcW w:w="0" w:type="auto"/>
            <w:shd w:val="clear" w:color="auto" w:fill="auto"/>
          </w:tcPr>
          <w:p w14:paraId="33DADE5A" w14:textId="77777777" w:rsidR="004D6A64" w:rsidRDefault="004D6A64">
            <w:pPr>
              <w:rPr>
                <w:rFonts w:ascii="宋体"/>
              </w:rPr>
            </w:pPr>
          </w:p>
        </w:tc>
        <w:tc>
          <w:tcPr>
            <w:tcW w:w="0" w:type="auto"/>
            <w:shd w:val="clear" w:color="auto" w:fill="auto"/>
          </w:tcPr>
          <w:p w14:paraId="33DADE5B" w14:textId="77777777" w:rsidR="004D6A64" w:rsidRDefault="004D6A64">
            <w:pPr>
              <w:rPr>
                <w:rFonts w:ascii="宋体"/>
              </w:rPr>
            </w:pPr>
          </w:p>
        </w:tc>
        <w:tc>
          <w:tcPr>
            <w:tcW w:w="0" w:type="auto"/>
            <w:shd w:val="clear" w:color="auto" w:fill="auto"/>
          </w:tcPr>
          <w:p w14:paraId="33DADE5C" w14:textId="77777777" w:rsidR="004D6A64" w:rsidRDefault="004D6A64">
            <w:pPr>
              <w:rPr>
                <w:rFonts w:ascii="宋体"/>
              </w:rPr>
            </w:pPr>
          </w:p>
        </w:tc>
        <w:tc>
          <w:tcPr>
            <w:tcW w:w="0" w:type="auto"/>
            <w:shd w:val="clear" w:color="auto" w:fill="auto"/>
          </w:tcPr>
          <w:p w14:paraId="33DADE5D" w14:textId="77777777" w:rsidR="004D6A64" w:rsidRDefault="004D6A64">
            <w:pPr>
              <w:rPr>
                <w:rFonts w:ascii="宋体"/>
              </w:rPr>
            </w:pPr>
          </w:p>
        </w:tc>
        <w:tc>
          <w:tcPr>
            <w:tcW w:w="0" w:type="auto"/>
            <w:shd w:val="clear" w:color="auto" w:fill="auto"/>
          </w:tcPr>
          <w:p w14:paraId="33DADE5E" w14:textId="77777777" w:rsidR="004D6A64" w:rsidRDefault="004D6A64">
            <w:pPr>
              <w:rPr>
                <w:rFonts w:ascii="宋体"/>
              </w:rPr>
            </w:pPr>
          </w:p>
        </w:tc>
        <w:tc>
          <w:tcPr>
            <w:tcW w:w="0" w:type="auto"/>
            <w:shd w:val="clear" w:color="auto" w:fill="auto"/>
          </w:tcPr>
          <w:p w14:paraId="33DADE5F" w14:textId="77777777" w:rsidR="004D6A64" w:rsidRDefault="004D6A64">
            <w:pPr>
              <w:rPr>
                <w:rFonts w:ascii="宋体"/>
              </w:rPr>
            </w:pPr>
          </w:p>
        </w:tc>
        <w:tc>
          <w:tcPr>
            <w:tcW w:w="0" w:type="auto"/>
            <w:shd w:val="clear" w:color="auto" w:fill="auto"/>
          </w:tcPr>
          <w:p w14:paraId="33DADE60" w14:textId="77777777" w:rsidR="004D6A64" w:rsidRDefault="004D6A64">
            <w:pPr>
              <w:rPr>
                <w:rFonts w:ascii="宋体"/>
              </w:rPr>
            </w:pPr>
          </w:p>
        </w:tc>
        <w:tc>
          <w:tcPr>
            <w:tcW w:w="0" w:type="auto"/>
            <w:shd w:val="clear" w:color="auto" w:fill="auto"/>
          </w:tcPr>
          <w:p w14:paraId="33DADE61" w14:textId="77777777" w:rsidR="004D6A64" w:rsidRDefault="004D6A64">
            <w:pPr>
              <w:rPr>
                <w:rFonts w:ascii="宋体"/>
              </w:rPr>
            </w:pPr>
          </w:p>
        </w:tc>
        <w:tc>
          <w:tcPr>
            <w:tcW w:w="0" w:type="auto"/>
            <w:shd w:val="clear" w:color="auto" w:fill="auto"/>
          </w:tcPr>
          <w:p w14:paraId="33DADE62" w14:textId="77777777" w:rsidR="004D6A64" w:rsidRDefault="004D6A64">
            <w:pPr>
              <w:rPr>
                <w:rFonts w:ascii="宋体"/>
              </w:rPr>
            </w:pPr>
          </w:p>
        </w:tc>
        <w:tc>
          <w:tcPr>
            <w:tcW w:w="0" w:type="auto"/>
            <w:shd w:val="clear" w:color="auto" w:fill="auto"/>
          </w:tcPr>
          <w:p w14:paraId="33DADE63" w14:textId="77777777" w:rsidR="004D6A64" w:rsidRDefault="004D6A64">
            <w:pPr>
              <w:rPr>
                <w:rFonts w:ascii="宋体"/>
              </w:rPr>
            </w:pPr>
          </w:p>
        </w:tc>
        <w:tc>
          <w:tcPr>
            <w:tcW w:w="0" w:type="auto"/>
            <w:shd w:val="clear" w:color="auto" w:fill="auto"/>
          </w:tcPr>
          <w:p w14:paraId="33DADE64" w14:textId="77777777" w:rsidR="004D6A64" w:rsidRDefault="004D6A64">
            <w:pPr>
              <w:rPr>
                <w:rFonts w:ascii="宋体"/>
              </w:rPr>
            </w:pPr>
          </w:p>
        </w:tc>
        <w:tc>
          <w:tcPr>
            <w:tcW w:w="0" w:type="auto"/>
            <w:shd w:val="clear" w:color="auto" w:fill="auto"/>
          </w:tcPr>
          <w:p w14:paraId="33DADE65" w14:textId="77777777" w:rsidR="004D6A64" w:rsidRDefault="004D6A64">
            <w:pPr>
              <w:rPr>
                <w:rFonts w:ascii="宋体"/>
              </w:rPr>
            </w:pPr>
          </w:p>
        </w:tc>
        <w:tc>
          <w:tcPr>
            <w:tcW w:w="0" w:type="auto"/>
            <w:shd w:val="clear" w:color="auto" w:fill="auto"/>
          </w:tcPr>
          <w:p w14:paraId="33DADE66" w14:textId="77777777" w:rsidR="004D6A64" w:rsidRDefault="004D6A64">
            <w:pPr>
              <w:rPr>
                <w:rFonts w:ascii="宋体"/>
              </w:rPr>
            </w:pPr>
          </w:p>
        </w:tc>
        <w:tc>
          <w:tcPr>
            <w:tcW w:w="0" w:type="auto"/>
            <w:shd w:val="clear" w:color="auto" w:fill="auto"/>
          </w:tcPr>
          <w:p w14:paraId="33DADE67" w14:textId="77777777" w:rsidR="004D6A64" w:rsidRDefault="004D6A64">
            <w:pPr>
              <w:rPr>
                <w:rFonts w:ascii="宋体"/>
              </w:rPr>
            </w:pPr>
          </w:p>
        </w:tc>
        <w:tc>
          <w:tcPr>
            <w:tcW w:w="0" w:type="auto"/>
            <w:shd w:val="clear" w:color="auto" w:fill="auto"/>
          </w:tcPr>
          <w:p w14:paraId="33DADE68" w14:textId="77777777" w:rsidR="004D6A64" w:rsidRDefault="004D6A64">
            <w:pPr>
              <w:rPr>
                <w:rFonts w:ascii="宋体"/>
              </w:rPr>
            </w:pPr>
          </w:p>
        </w:tc>
        <w:tc>
          <w:tcPr>
            <w:tcW w:w="0" w:type="auto"/>
            <w:shd w:val="clear" w:color="auto" w:fill="auto"/>
          </w:tcPr>
          <w:p w14:paraId="33DADE69" w14:textId="77777777" w:rsidR="004D6A64" w:rsidRDefault="004D6A64">
            <w:pPr>
              <w:rPr>
                <w:rFonts w:ascii="宋体"/>
              </w:rPr>
            </w:pPr>
          </w:p>
        </w:tc>
        <w:tc>
          <w:tcPr>
            <w:tcW w:w="0" w:type="auto"/>
            <w:shd w:val="clear" w:color="auto" w:fill="auto"/>
          </w:tcPr>
          <w:p w14:paraId="33DADE6A" w14:textId="77777777" w:rsidR="004D6A64" w:rsidRDefault="004D6A64">
            <w:pPr>
              <w:rPr>
                <w:rFonts w:ascii="宋体"/>
              </w:rPr>
            </w:pPr>
          </w:p>
        </w:tc>
      </w:tr>
      <w:tr w:rsidR="004D6A64" w14:paraId="33DADE97" w14:textId="77777777">
        <w:trPr>
          <w:jc w:val="center"/>
        </w:trPr>
        <w:tc>
          <w:tcPr>
            <w:tcW w:w="0" w:type="auto"/>
            <w:gridSpan w:val="3"/>
            <w:shd w:val="clear" w:color="auto" w:fill="CCEEFF"/>
            <w:tcMar>
              <w:top w:w="40" w:type="dxa"/>
              <w:left w:w="225" w:type="dxa"/>
              <w:bottom w:w="40" w:type="dxa"/>
              <w:right w:w="20" w:type="dxa"/>
            </w:tcMar>
            <w:vAlign w:val="center"/>
          </w:tcPr>
          <w:p w14:paraId="33DADE6C" w14:textId="77777777" w:rsidR="004D6A64" w:rsidRDefault="00506CD6">
            <w:pPr>
              <w:textAlignment w:val="center"/>
            </w:pPr>
            <w:r>
              <w:rPr>
                <w:rFonts w:ascii="Times New Roman" w:eastAsia="宋体" w:hAnsi="Times New Roman"/>
                <w:color w:val="000000"/>
                <w:sz w:val="20"/>
                <w:szCs w:val="20"/>
              </w:rPr>
              <w:t>Stock-based compensation expense</w:t>
            </w:r>
          </w:p>
        </w:tc>
        <w:tc>
          <w:tcPr>
            <w:tcW w:w="0" w:type="auto"/>
            <w:gridSpan w:val="2"/>
            <w:shd w:val="clear" w:color="auto" w:fill="CCEEFF"/>
            <w:tcMar>
              <w:top w:w="40" w:type="dxa"/>
              <w:left w:w="20" w:type="dxa"/>
              <w:bottom w:w="40" w:type="dxa"/>
              <w:right w:w="0" w:type="dxa"/>
            </w:tcMar>
            <w:vAlign w:val="center"/>
          </w:tcPr>
          <w:p w14:paraId="33DADE6D" w14:textId="77777777" w:rsidR="004D6A64" w:rsidRDefault="00506CD6">
            <w:pPr>
              <w:jc w:val="right"/>
              <w:textAlignment w:val="center"/>
            </w:pPr>
            <w:r>
              <w:rPr>
                <w:rFonts w:ascii="Times New Roman" w:eastAsia="宋体" w:hAnsi="Times New Roman"/>
                <w:color w:val="000000"/>
                <w:sz w:val="20"/>
                <w:szCs w:val="20"/>
              </w:rPr>
              <w:t>6 </w:t>
            </w:r>
          </w:p>
        </w:tc>
        <w:tc>
          <w:tcPr>
            <w:tcW w:w="0" w:type="auto"/>
            <w:shd w:val="clear" w:color="auto" w:fill="CCEEFF"/>
            <w:tcMar>
              <w:top w:w="40" w:type="dxa"/>
              <w:bottom w:w="40" w:type="dxa"/>
              <w:right w:w="20" w:type="dxa"/>
            </w:tcMar>
            <w:vAlign w:val="center"/>
          </w:tcPr>
          <w:p w14:paraId="33DADE6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E6F"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E70"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E71"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E72" w14:textId="77777777" w:rsidR="004D6A64" w:rsidRDefault="00506CD6">
            <w:pPr>
              <w:jc w:val="right"/>
              <w:textAlignment w:val="center"/>
            </w:pPr>
            <w:r>
              <w:rPr>
                <w:rFonts w:ascii="Times New Roman" w:eastAsia="宋体" w:hAnsi="Times New Roman"/>
                <w:color w:val="000000"/>
                <w:sz w:val="20"/>
                <w:szCs w:val="20"/>
              </w:rPr>
              <w:t>4 </w:t>
            </w:r>
          </w:p>
        </w:tc>
        <w:tc>
          <w:tcPr>
            <w:tcW w:w="0" w:type="auto"/>
            <w:shd w:val="clear" w:color="auto" w:fill="CCEEFF"/>
            <w:tcMar>
              <w:top w:w="40" w:type="dxa"/>
              <w:bottom w:w="40" w:type="dxa"/>
              <w:right w:w="20" w:type="dxa"/>
            </w:tcMar>
            <w:vAlign w:val="center"/>
          </w:tcPr>
          <w:p w14:paraId="33DADE7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E74"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E75" w14:textId="77777777" w:rsidR="004D6A64" w:rsidRDefault="00506CD6">
            <w:pPr>
              <w:jc w:val="right"/>
              <w:textAlignment w:val="center"/>
            </w:pPr>
            <w:r>
              <w:rPr>
                <w:rFonts w:ascii="Times New Roman" w:eastAsia="宋体" w:hAnsi="Times New Roman"/>
                <w:color w:val="000000"/>
                <w:sz w:val="20"/>
                <w:szCs w:val="20"/>
              </w:rPr>
              <w:t>10 </w:t>
            </w:r>
          </w:p>
        </w:tc>
        <w:tc>
          <w:tcPr>
            <w:tcW w:w="0" w:type="auto"/>
            <w:shd w:val="clear" w:color="auto" w:fill="CCEEFF"/>
            <w:tcMar>
              <w:top w:w="40" w:type="dxa"/>
              <w:bottom w:w="40" w:type="dxa"/>
              <w:right w:w="20" w:type="dxa"/>
            </w:tcMar>
            <w:vAlign w:val="center"/>
          </w:tcPr>
          <w:p w14:paraId="33DADE7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E77"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E78"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E7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E7A" w14:textId="77777777" w:rsidR="004D6A64" w:rsidRDefault="00506CD6">
            <w:pPr>
              <w:jc w:val="right"/>
              <w:textAlignment w:val="center"/>
            </w:pPr>
            <w:r>
              <w:rPr>
                <w:rFonts w:ascii="Times New Roman" w:eastAsia="宋体" w:hAnsi="Times New Roman"/>
                <w:color w:val="000000"/>
                <w:sz w:val="20"/>
                <w:szCs w:val="20"/>
              </w:rPr>
              <w:t>6 </w:t>
            </w:r>
          </w:p>
        </w:tc>
        <w:tc>
          <w:tcPr>
            <w:tcW w:w="0" w:type="auto"/>
            <w:shd w:val="clear" w:color="auto" w:fill="CCEEFF"/>
            <w:tcMar>
              <w:top w:w="40" w:type="dxa"/>
              <w:bottom w:w="40" w:type="dxa"/>
              <w:right w:w="20" w:type="dxa"/>
            </w:tcMar>
            <w:vAlign w:val="center"/>
          </w:tcPr>
          <w:p w14:paraId="33DADE7B" w14:textId="77777777" w:rsidR="004D6A64" w:rsidRDefault="004D6A64">
            <w:pPr>
              <w:jc w:val="right"/>
              <w:rPr>
                <w:rFonts w:ascii="宋体"/>
              </w:rPr>
            </w:pPr>
          </w:p>
        </w:tc>
        <w:tc>
          <w:tcPr>
            <w:tcW w:w="0" w:type="auto"/>
            <w:shd w:val="clear" w:color="auto" w:fill="auto"/>
          </w:tcPr>
          <w:p w14:paraId="33DADE7C" w14:textId="77777777" w:rsidR="004D6A64" w:rsidRDefault="004D6A64">
            <w:pPr>
              <w:rPr>
                <w:rFonts w:ascii="宋体"/>
              </w:rPr>
            </w:pPr>
          </w:p>
        </w:tc>
        <w:tc>
          <w:tcPr>
            <w:tcW w:w="0" w:type="auto"/>
            <w:shd w:val="clear" w:color="auto" w:fill="auto"/>
          </w:tcPr>
          <w:p w14:paraId="33DADE7D" w14:textId="77777777" w:rsidR="004D6A64" w:rsidRDefault="004D6A64">
            <w:pPr>
              <w:rPr>
                <w:rFonts w:ascii="宋体"/>
              </w:rPr>
            </w:pPr>
          </w:p>
        </w:tc>
        <w:tc>
          <w:tcPr>
            <w:tcW w:w="0" w:type="auto"/>
            <w:shd w:val="clear" w:color="auto" w:fill="auto"/>
          </w:tcPr>
          <w:p w14:paraId="33DADE7E" w14:textId="77777777" w:rsidR="004D6A64" w:rsidRDefault="004D6A64">
            <w:pPr>
              <w:rPr>
                <w:rFonts w:ascii="宋体"/>
              </w:rPr>
            </w:pPr>
          </w:p>
        </w:tc>
        <w:tc>
          <w:tcPr>
            <w:tcW w:w="0" w:type="auto"/>
            <w:shd w:val="clear" w:color="auto" w:fill="auto"/>
          </w:tcPr>
          <w:p w14:paraId="33DADE7F" w14:textId="77777777" w:rsidR="004D6A64" w:rsidRDefault="004D6A64">
            <w:pPr>
              <w:rPr>
                <w:rFonts w:ascii="宋体"/>
              </w:rPr>
            </w:pPr>
          </w:p>
        </w:tc>
        <w:tc>
          <w:tcPr>
            <w:tcW w:w="0" w:type="auto"/>
            <w:shd w:val="clear" w:color="auto" w:fill="auto"/>
          </w:tcPr>
          <w:p w14:paraId="33DADE80" w14:textId="77777777" w:rsidR="004D6A64" w:rsidRDefault="004D6A64">
            <w:pPr>
              <w:rPr>
                <w:rFonts w:ascii="宋体"/>
              </w:rPr>
            </w:pPr>
          </w:p>
        </w:tc>
        <w:tc>
          <w:tcPr>
            <w:tcW w:w="0" w:type="auto"/>
            <w:shd w:val="clear" w:color="auto" w:fill="auto"/>
          </w:tcPr>
          <w:p w14:paraId="33DADE81" w14:textId="77777777" w:rsidR="004D6A64" w:rsidRDefault="004D6A64">
            <w:pPr>
              <w:rPr>
                <w:rFonts w:ascii="宋体"/>
              </w:rPr>
            </w:pPr>
          </w:p>
        </w:tc>
        <w:tc>
          <w:tcPr>
            <w:tcW w:w="0" w:type="auto"/>
            <w:shd w:val="clear" w:color="auto" w:fill="auto"/>
          </w:tcPr>
          <w:p w14:paraId="33DADE82" w14:textId="77777777" w:rsidR="004D6A64" w:rsidRDefault="004D6A64">
            <w:pPr>
              <w:rPr>
                <w:rFonts w:ascii="宋体"/>
              </w:rPr>
            </w:pPr>
          </w:p>
        </w:tc>
        <w:tc>
          <w:tcPr>
            <w:tcW w:w="0" w:type="auto"/>
            <w:shd w:val="clear" w:color="auto" w:fill="auto"/>
          </w:tcPr>
          <w:p w14:paraId="33DADE83" w14:textId="77777777" w:rsidR="004D6A64" w:rsidRDefault="004D6A64">
            <w:pPr>
              <w:rPr>
                <w:rFonts w:ascii="宋体"/>
              </w:rPr>
            </w:pPr>
          </w:p>
        </w:tc>
        <w:tc>
          <w:tcPr>
            <w:tcW w:w="0" w:type="auto"/>
            <w:shd w:val="clear" w:color="auto" w:fill="auto"/>
          </w:tcPr>
          <w:p w14:paraId="33DADE84" w14:textId="77777777" w:rsidR="004D6A64" w:rsidRDefault="004D6A64">
            <w:pPr>
              <w:rPr>
                <w:rFonts w:ascii="宋体"/>
              </w:rPr>
            </w:pPr>
          </w:p>
        </w:tc>
        <w:tc>
          <w:tcPr>
            <w:tcW w:w="0" w:type="auto"/>
            <w:shd w:val="clear" w:color="auto" w:fill="auto"/>
          </w:tcPr>
          <w:p w14:paraId="33DADE85" w14:textId="77777777" w:rsidR="004D6A64" w:rsidRDefault="004D6A64">
            <w:pPr>
              <w:rPr>
                <w:rFonts w:ascii="宋体"/>
              </w:rPr>
            </w:pPr>
          </w:p>
        </w:tc>
        <w:tc>
          <w:tcPr>
            <w:tcW w:w="0" w:type="auto"/>
            <w:shd w:val="clear" w:color="auto" w:fill="auto"/>
          </w:tcPr>
          <w:p w14:paraId="33DADE86" w14:textId="77777777" w:rsidR="004D6A64" w:rsidRDefault="004D6A64">
            <w:pPr>
              <w:rPr>
                <w:rFonts w:ascii="宋体"/>
              </w:rPr>
            </w:pPr>
          </w:p>
        </w:tc>
        <w:tc>
          <w:tcPr>
            <w:tcW w:w="0" w:type="auto"/>
            <w:shd w:val="clear" w:color="auto" w:fill="auto"/>
          </w:tcPr>
          <w:p w14:paraId="33DADE87" w14:textId="77777777" w:rsidR="004D6A64" w:rsidRDefault="004D6A64">
            <w:pPr>
              <w:rPr>
                <w:rFonts w:ascii="宋体"/>
              </w:rPr>
            </w:pPr>
          </w:p>
        </w:tc>
        <w:tc>
          <w:tcPr>
            <w:tcW w:w="0" w:type="auto"/>
            <w:shd w:val="clear" w:color="auto" w:fill="auto"/>
          </w:tcPr>
          <w:p w14:paraId="33DADE88" w14:textId="77777777" w:rsidR="004D6A64" w:rsidRDefault="004D6A64">
            <w:pPr>
              <w:rPr>
                <w:rFonts w:ascii="宋体"/>
              </w:rPr>
            </w:pPr>
          </w:p>
        </w:tc>
        <w:tc>
          <w:tcPr>
            <w:tcW w:w="0" w:type="auto"/>
            <w:shd w:val="clear" w:color="auto" w:fill="auto"/>
          </w:tcPr>
          <w:p w14:paraId="33DADE89" w14:textId="77777777" w:rsidR="004D6A64" w:rsidRDefault="004D6A64">
            <w:pPr>
              <w:rPr>
                <w:rFonts w:ascii="宋体"/>
              </w:rPr>
            </w:pPr>
          </w:p>
        </w:tc>
        <w:tc>
          <w:tcPr>
            <w:tcW w:w="0" w:type="auto"/>
            <w:shd w:val="clear" w:color="auto" w:fill="auto"/>
          </w:tcPr>
          <w:p w14:paraId="33DADE8A" w14:textId="77777777" w:rsidR="004D6A64" w:rsidRDefault="004D6A64">
            <w:pPr>
              <w:rPr>
                <w:rFonts w:ascii="宋体"/>
              </w:rPr>
            </w:pPr>
          </w:p>
        </w:tc>
        <w:tc>
          <w:tcPr>
            <w:tcW w:w="0" w:type="auto"/>
            <w:shd w:val="clear" w:color="auto" w:fill="auto"/>
          </w:tcPr>
          <w:p w14:paraId="33DADE8B" w14:textId="77777777" w:rsidR="004D6A64" w:rsidRDefault="004D6A64">
            <w:pPr>
              <w:rPr>
                <w:rFonts w:ascii="宋体"/>
              </w:rPr>
            </w:pPr>
          </w:p>
        </w:tc>
        <w:tc>
          <w:tcPr>
            <w:tcW w:w="0" w:type="auto"/>
            <w:shd w:val="clear" w:color="auto" w:fill="auto"/>
          </w:tcPr>
          <w:p w14:paraId="33DADE8C" w14:textId="77777777" w:rsidR="004D6A64" w:rsidRDefault="004D6A64">
            <w:pPr>
              <w:rPr>
                <w:rFonts w:ascii="宋体"/>
              </w:rPr>
            </w:pPr>
          </w:p>
        </w:tc>
        <w:tc>
          <w:tcPr>
            <w:tcW w:w="0" w:type="auto"/>
            <w:shd w:val="clear" w:color="auto" w:fill="auto"/>
          </w:tcPr>
          <w:p w14:paraId="33DADE8D" w14:textId="77777777" w:rsidR="004D6A64" w:rsidRDefault="004D6A64">
            <w:pPr>
              <w:rPr>
                <w:rFonts w:ascii="宋体"/>
              </w:rPr>
            </w:pPr>
          </w:p>
        </w:tc>
        <w:tc>
          <w:tcPr>
            <w:tcW w:w="0" w:type="auto"/>
            <w:shd w:val="clear" w:color="auto" w:fill="auto"/>
          </w:tcPr>
          <w:p w14:paraId="33DADE8E" w14:textId="77777777" w:rsidR="004D6A64" w:rsidRDefault="004D6A64">
            <w:pPr>
              <w:rPr>
                <w:rFonts w:ascii="宋体"/>
              </w:rPr>
            </w:pPr>
          </w:p>
        </w:tc>
        <w:tc>
          <w:tcPr>
            <w:tcW w:w="0" w:type="auto"/>
            <w:shd w:val="clear" w:color="auto" w:fill="auto"/>
          </w:tcPr>
          <w:p w14:paraId="33DADE8F" w14:textId="77777777" w:rsidR="004D6A64" w:rsidRDefault="004D6A64">
            <w:pPr>
              <w:rPr>
                <w:rFonts w:ascii="宋体"/>
              </w:rPr>
            </w:pPr>
          </w:p>
        </w:tc>
        <w:tc>
          <w:tcPr>
            <w:tcW w:w="0" w:type="auto"/>
            <w:shd w:val="clear" w:color="auto" w:fill="auto"/>
          </w:tcPr>
          <w:p w14:paraId="33DADE90" w14:textId="77777777" w:rsidR="004D6A64" w:rsidRDefault="004D6A64">
            <w:pPr>
              <w:rPr>
                <w:rFonts w:ascii="宋体"/>
              </w:rPr>
            </w:pPr>
          </w:p>
        </w:tc>
        <w:tc>
          <w:tcPr>
            <w:tcW w:w="0" w:type="auto"/>
            <w:shd w:val="clear" w:color="auto" w:fill="auto"/>
          </w:tcPr>
          <w:p w14:paraId="33DADE91" w14:textId="77777777" w:rsidR="004D6A64" w:rsidRDefault="004D6A64">
            <w:pPr>
              <w:rPr>
                <w:rFonts w:ascii="宋体"/>
              </w:rPr>
            </w:pPr>
          </w:p>
        </w:tc>
        <w:tc>
          <w:tcPr>
            <w:tcW w:w="0" w:type="auto"/>
            <w:shd w:val="clear" w:color="auto" w:fill="auto"/>
          </w:tcPr>
          <w:p w14:paraId="33DADE92" w14:textId="77777777" w:rsidR="004D6A64" w:rsidRDefault="004D6A64">
            <w:pPr>
              <w:rPr>
                <w:rFonts w:ascii="宋体"/>
              </w:rPr>
            </w:pPr>
          </w:p>
        </w:tc>
        <w:tc>
          <w:tcPr>
            <w:tcW w:w="0" w:type="auto"/>
            <w:shd w:val="clear" w:color="auto" w:fill="auto"/>
          </w:tcPr>
          <w:p w14:paraId="33DADE93" w14:textId="77777777" w:rsidR="004D6A64" w:rsidRDefault="004D6A64">
            <w:pPr>
              <w:rPr>
                <w:rFonts w:ascii="宋体"/>
              </w:rPr>
            </w:pPr>
          </w:p>
        </w:tc>
        <w:tc>
          <w:tcPr>
            <w:tcW w:w="0" w:type="auto"/>
            <w:shd w:val="clear" w:color="auto" w:fill="auto"/>
          </w:tcPr>
          <w:p w14:paraId="33DADE94" w14:textId="77777777" w:rsidR="004D6A64" w:rsidRDefault="004D6A64">
            <w:pPr>
              <w:rPr>
                <w:rFonts w:ascii="宋体"/>
              </w:rPr>
            </w:pPr>
          </w:p>
        </w:tc>
        <w:tc>
          <w:tcPr>
            <w:tcW w:w="0" w:type="auto"/>
            <w:shd w:val="clear" w:color="auto" w:fill="auto"/>
          </w:tcPr>
          <w:p w14:paraId="33DADE95" w14:textId="77777777" w:rsidR="004D6A64" w:rsidRDefault="004D6A64">
            <w:pPr>
              <w:rPr>
                <w:rFonts w:ascii="宋体"/>
              </w:rPr>
            </w:pPr>
          </w:p>
        </w:tc>
        <w:tc>
          <w:tcPr>
            <w:tcW w:w="0" w:type="auto"/>
            <w:shd w:val="clear" w:color="auto" w:fill="auto"/>
          </w:tcPr>
          <w:p w14:paraId="33DADE96" w14:textId="77777777" w:rsidR="004D6A64" w:rsidRDefault="004D6A64">
            <w:pPr>
              <w:rPr>
                <w:rFonts w:ascii="宋体"/>
              </w:rPr>
            </w:pPr>
          </w:p>
        </w:tc>
      </w:tr>
      <w:tr w:rsidR="004D6A64" w14:paraId="33DADEC3" w14:textId="77777777">
        <w:trPr>
          <w:jc w:val="center"/>
        </w:trPr>
        <w:tc>
          <w:tcPr>
            <w:tcW w:w="0" w:type="auto"/>
            <w:gridSpan w:val="3"/>
            <w:shd w:val="clear" w:color="auto" w:fill="FFFFFF"/>
            <w:tcMar>
              <w:top w:w="40" w:type="dxa"/>
              <w:left w:w="225" w:type="dxa"/>
              <w:bottom w:w="40" w:type="dxa"/>
              <w:right w:w="20" w:type="dxa"/>
            </w:tcMar>
            <w:vAlign w:val="center"/>
          </w:tcPr>
          <w:p w14:paraId="33DADE98" w14:textId="77777777" w:rsidR="004D6A64" w:rsidRDefault="00506CD6">
            <w:pPr>
              <w:textAlignment w:val="center"/>
            </w:pPr>
            <w:r>
              <w:rPr>
                <w:rFonts w:ascii="Times New Roman" w:eastAsia="宋体" w:hAnsi="Times New Roman"/>
                <w:color w:val="000000"/>
                <w:sz w:val="20"/>
                <w:szCs w:val="20"/>
              </w:rPr>
              <w:t>Other corporate expenses</w:t>
            </w:r>
          </w:p>
        </w:tc>
        <w:tc>
          <w:tcPr>
            <w:tcW w:w="0" w:type="auto"/>
            <w:gridSpan w:val="2"/>
            <w:shd w:val="clear" w:color="auto" w:fill="FFFFFF"/>
            <w:tcMar>
              <w:top w:w="40" w:type="dxa"/>
              <w:left w:w="20" w:type="dxa"/>
              <w:bottom w:w="40" w:type="dxa"/>
              <w:right w:w="0" w:type="dxa"/>
            </w:tcMar>
            <w:vAlign w:val="center"/>
          </w:tcPr>
          <w:p w14:paraId="33DADE99" w14:textId="77777777" w:rsidR="004D6A64" w:rsidRDefault="00506CD6">
            <w:pPr>
              <w:jc w:val="right"/>
              <w:textAlignment w:val="center"/>
            </w:pPr>
            <w:r>
              <w:rPr>
                <w:rFonts w:ascii="Times New Roman" w:eastAsia="宋体" w:hAnsi="Times New Roman"/>
                <w:color w:val="000000"/>
                <w:sz w:val="20"/>
                <w:szCs w:val="20"/>
              </w:rPr>
              <w:t>1 </w:t>
            </w:r>
          </w:p>
        </w:tc>
        <w:tc>
          <w:tcPr>
            <w:tcW w:w="0" w:type="auto"/>
            <w:shd w:val="clear" w:color="auto" w:fill="FFFFFF"/>
            <w:tcMar>
              <w:top w:w="40" w:type="dxa"/>
              <w:bottom w:w="40" w:type="dxa"/>
              <w:right w:w="20" w:type="dxa"/>
            </w:tcMar>
            <w:vAlign w:val="center"/>
          </w:tcPr>
          <w:p w14:paraId="33DADE9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E9B"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E9C"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E9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E9E" w14:textId="77777777" w:rsidR="004D6A64" w:rsidRDefault="00506CD6">
            <w:pPr>
              <w:jc w:val="right"/>
              <w:textAlignment w:val="center"/>
            </w:pPr>
            <w:r>
              <w:rPr>
                <w:rFonts w:ascii="Times New Roman" w:eastAsia="宋体" w:hAnsi="Times New Roman"/>
                <w:color w:val="000000"/>
                <w:sz w:val="20"/>
                <w:szCs w:val="20"/>
              </w:rPr>
              <w:t>5 </w:t>
            </w:r>
          </w:p>
        </w:tc>
        <w:tc>
          <w:tcPr>
            <w:tcW w:w="0" w:type="auto"/>
            <w:shd w:val="clear" w:color="auto" w:fill="FFFFFF"/>
            <w:tcMar>
              <w:top w:w="40" w:type="dxa"/>
              <w:bottom w:w="40" w:type="dxa"/>
              <w:right w:w="20" w:type="dxa"/>
            </w:tcMar>
            <w:vAlign w:val="center"/>
          </w:tcPr>
          <w:p w14:paraId="33DADE9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EA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EA1" w14:textId="77777777" w:rsidR="004D6A64" w:rsidRDefault="00506CD6">
            <w:pPr>
              <w:jc w:val="right"/>
              <w:textAlignment w:val="center"/>
            </w:pPr>
            <w:r>
              <w:rPr>
                <w:rFonts w:ascii="Times New Roman" w:eastAsia="宋体" w:hAnsi="Times New Roman"/>
                <w:color w:val="000000"/>
                <w:sz w:val="20"/>
                <w:szCs w:val="20"/>
              </w:rPr>
              <w:t>3 </w:t>
            </w:r>
          </w:p>
        </w:tc>
        <w:tc>
          <w:tcPr>
            <w:tcW w:w="0" w:type="auto"/>
            <w:shd w:val="clear" w:color="auto" w:fill="FFFFFF"/>
            <w:tcMar>
              <w:top w:w="40" w:type="dxa"/>
              <w:bottom w:w="40" w:type="dxa"/>
              <w:right w:w="20" w:type="dxa"/>
            </w:tcMar>
            <w:vAlign w:val="center"/>
          </w:tcPr>
          <w:p w14:paraId="33DADEA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EA3"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EA4"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EA5"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EA6" w14:textId="77777777" w:rsidR="004D6A64" w:rsidRDefault="00506CD6">
            <w:pPr>
              <w:jc w:val="right"/>
              <w:textAlignment w:val="center"/>
            </w:pPr>
            <w:r>
              <w:rPr>
                <w:rFonts w:ascii="Times New Roman" w:eastAsia="宋体" w:hAnsi="Times New Roman"/>
                <w:color w:val="000000"/>
                <w:sz w:val="20"/>
                <w:szCs w:val="20"/>
              </w:rPr>
              <w:t>9 </w:t>
            </w:r>
          </w:p>
        </w:tc>
        <w:tc>
          <w:tcPr>
            <w:tcW w:w="0" w:type="auto"/>
            <w:shd w:val="clear" w:color="auto" w:fill="FFFFFF"/>
            <w:tcMar>
              <w:top w:w="40" w:type="dxa"/>
              <w:bottom w:w="40" w:type="dxa"/>
              <w:right w:w="20" w:type="dxa"/>
            </w:tcMar>
            <w:vAlign w:val="center"/>
          </w:tcPr>
          <w:p w14:paraId="33DADEA7" w14:textId="77777777" w:rsidR="004D6A64" w:rsidRDefault="004D6A64">
            <w:pPr>
              <w:jc w:val="right"/>
              <w:rPr>
                <w:rFonts w:ascii="宋体"/>
              </w:rPr>
            </w:pPr>
          </w:p>
        </w:tc>
        <w:tc>
          <w:tcPr>
            <w:tcW w:w="0" w:type="auto"/>
            <w:shd w:val="clear" w:color="auto" w:fill="auto"/>
          </w:tcPr>
          <w:p w14:paraId="33DADEA8" w14:textId="77777777" w:rsidR="004D6A64" w:rsidRDefault="004D6A64">
            <w:pPr>
              <w:rPr>
                <w:rFonts w:ascii="宋体"/>
              </w:rPr>
            </w:pPr>
          </w:p>
        </w:tc>
        <w:tc>
          <w:tcPr>
            <w:tcW w:w="0" w:type="auto"/>
            <w:shd w:val="clear" w:color="auto" w:fill="auto"/>
          </w:tcPr>
          <w:p w14:paraId="33DADEA9" w14:textId="77777777" w:rsidR="004D6A64" w:rsidRDefault="004D6A64">
            <w:pPr>
              <w:rPr>
                <w:rFonts w:ascii="宋体"/>
              </w:rPr>
            </w:pPr>
          </w:p>
        </w:tc>
        <w:tc>
          <w:tcPr>
            <w:tcW w:w="0" w:type="auto"/>
            <w:shd w:val="clear" w:color="auto" w:fill="auto"/>
          </w:tcPr>
          <w:p w14:paraId="33DADEAA" w14:textId="77777777" w:rsidR="004D6A64" w:rsidRDefault="004D6A64">
            <w:pPr>
              <w:rPr>
                <w:rFonts w:ascii="宋体"/>
              </w:rPr>
            </w:pPr>
          </w:p>
        </w:tc>
        <w:tc>
          <w:tcPr>
            <w:tcW w:w="0" w:type="auto"/>
            <w:shd w:val="clear" w:color="auto" w:fill="auto"/>
          </w:tcPr>
          <w:p w14:paraId="33DADEAB" w14:textId="77777777" w:rsidR="004D6A64" w:rsidRDefault="004D6A64">
            <w:pPr>
              <w:rPr>
                <w:rFonts w:ascii="宋体"/>
              </w:rPr>
            </w:pPr>
          </w:p>
        </w:tc>
        <w:tc>
          <w:tcPr>
            <w:tcW w:w="0" w:type="auto"/>
            <w:shd w:val="clear" w:color="auto" w:fill="auto"/>
          </w:tcPr>
          <w:p w14:paraId="33DADEAC" w14:textId="77777777" w:rsidR="004D6A64" w:rsidRDefault="004D6A64">
            <w:pPr>
              <w:rPr>
                <w:rFonts w:ascii="宋体"/>
              </w:rPr>
            </w:pPr>
          </w:p>
        </w:tc>
        <w:tc>
          <w:tcPr>
            <w:tcW w:w="0" w:type="auto"/>
            <w:shd w:val="clear" w:color="auto" w:fill="auto"/>
          </w:tcPr>
          <w:p w14:paraId="33DADEAD" w14:textId="77777777" w:rsidR="004D6A64" w:rsidRDefault="004D6A64">
            <w:pPr>
              <w:rPr>
                <w:rFonts w:ascii="宋体"/>
              </w:rPr>
            </w:pPr>
          </w:p>
        </w:tc>
        <w:tc>
          <w:tcPr>
            <w:tcW w:w="0" w:type="auto"/>
            <w:shd w:val="clear" w:color="auto" w:fill="auto"/>
          </w:tcPr>
          <w:p w14:paraId="33DADEAE" w14:textId="77777777" w:rsidR="004D6A64" w:rsidRDefault="004D6A64">
            <w:pPr>
              <w:rPr>
                <w:rFonts w:ascii="宋体"/>
              </w:rPr>
            </w:pPr>
          </w:p>
        </w:tc>
        <w:tc>
          <w:tcPr>
            <w:tcW w:w="0" w:type="auto"/>
            <w:shd w:val="clear" w:color="auto" w:fill="auto"/>
          </w:tcPr>
          <w:p w14:paraId="33DADEAF" w14:textId="77777777" w:rsidR="004D6A64" w:rsidRDefault="004D6A64">
            <w:pPr>
              <w:rPr>
                <w:rFonts w:ascii="宋体"/>
              </w:rPr>
            </w:pPr>
          </w:p>
        </w:tc>
        <w:tc>
          <w:tcPr>
            <w:tcW w:w="0" w:type="auto"/>
            <w:shd w:val="clear" w:color="auto" w:fill="auto"/>
          </w:tcPr>
          <w:p w14:paraId="33DADEB0" w14:textId="77777777" w:rsidR="004D6A64" w:rsidRDefault="004D6A64">
            <w:pPr>
              <w:rPr>
                <w:rFonts w:ascii="宋体"/>
              </w:rPr>
            </w:pPr>
          </w:p>
        </w:tc>
        <w:tc>
          <w:tcPr>
            <w:tcW w:w="0" w:type="auto"/>
            <w:shd w:val="clear" w:color="auto" w:fill="auto"/>
          </w:tcPr>
          <w:p w14:paraId="33DADEB1" w14:textId="77777777" w:rsidR="004D6A64" w:rsidRDefault="004D6A64">
            <w:pPr>
              <w:rPr>
                <w:rFonts w:ascii="宋体"/>
              </w:rPr>
            </w:pPr>
          </w:p>
        </w:tc>
        <w:tc>
          <w:tcPr>
            <w:tcW w:w="0" w:type="auto"/>
            <w:shd w:val="clear" w:color="auto" w:fill="auto"/>
          </w:tcPr>
          <w:p w14:paraId="33DADEB2" w14:textId="77777777" w:rsidR="004D6A64" w:rsidRDefault="004D6A64">
            <w:pPr>
              <w:rPr>
                <w:rFonts w:ascii="宋体"/>
              </w:rPr>
            </w:pPr>
          </w:p>
        </w:tc>
        <w:tc>
          <w:tcPr>
            <w:tcW w:w="0" w:type="auto"/>
            <w:shd w:val="clear" w:color="auto" w:fill="auto"/>
          </w:tcPr>
          <w:p w14:paraId="33DADEB3" w14:textId="77777777" w:rsidR="004D6A64" w:rsidRDefault="004D6A64">
            <w:pPr>
              <w:rPr>
                <w:rFonts w:ascii="宋体"/>
              </w:rPr>
            </w:pPr>
          </w:p>
        </w:tc>
        <w:tc>
          <w:tcPr>
            <w:tcW w:w="0" w:type="auto"/>
            <w:shd w:val="clear" w:color="auto" w:fill="auto"/>
          </w:tcPr>
          <w:p w14:paraId="33DADEB4" w14:textId="77777777" w:rsidR="004D6A64" w:rsidRDefault="004D6A64">
            <w:pPr>
              <w:rPr>
                <w:rFonts w:ascii="宋体"/>
              </w:rPr>
            </w:pPr>
          </w:p>
        </w:tc>
        <w:tc>
          <w:tcPr>
            <w:tcW w:w="0" w:type="auto"/>
            <w:shd w:val="clear" w:color="auto" w:fill="auto"/>
          </w:tcPr>
          <w:p w14:paraId="33DADEB5" w14:textId="77777777" w:rsidR="004D6A64" w:rsidRDefault="004D6A64">
            <w:pPr>
              <w:rPr>
                <w:rFonts w:ascii="宋体"/>
              </w:rPr>
            </w:pPr>
          </w:p>
        </w:tc>
        <w:tc>
          <w:tcPr>
            <w:tcW w:w="0" w:type="auto"/>
            <w:shd w:val="clear" w:color="auto" w:fill="auto"/>
          </w:tcPr>
          <w:p w14:paraId="33DADEB6" w14:textId="77777777" w:rsidR="004D6A64" w:rsidRDefault="004D6A64">
            <w:pPr>
              <w:rPr>
                <w:rFonts w:ascii="宋体"/>
              </w:rPr>
            </w:pPr>
          </w:p>
        </w:tc>
        <w:tc>
          <w:tcPr>
            <w:tcW w:w="0" w:type="auto"/>
            <w:shd w:val="clear" w:color="auto" w:fill="auto"/>
          </w:tcPr>
          <w:p w14:paraId="33DADEB7" w14:textId="77777777" w:rsidR="004D6A64" w:rsidRDefault="004D6A64">
            <w:pPr>
              <w:rPr>
                <w:rFonts w:ascii="宋体"/>
              </w:rPr>
            </w:pPr>
          </w:p>
        </w:tc>
        <w:tc>
          <w:tcPr>
            <w:tcW w:w="0" w:type="auto"/>
            <w:shd w:val="clear" w:color="auto" w:fill="auto"/>
          </w:tcPr>
          <w:p w14:paraId="33DADEB8" w14:textId="77777777" w:rsidR="004D6A64" w:rsidRDefault="004D6A64">
            <w:pPr>
              <w:rPr>
                <w:rFonts w:ascii="宋体"/>
              </w:rPr>
            </w:pPr>
          </w:p>
        </w:tc>
        <w:tc>
          <w:tcPr>
            <w:tcW w:w="0" w:type="auto"/>
            <w:shd w:val="clear" w:color="auto" w:fill="auto"/>
          </w:tcPr>
          <w:p w14:paraId="33DADEB9" w14:textId="77777777" w:rsidR="004D6A64" w:rsidRDefault="004D6A64">
            <w:pPr>
              <w:rPr>
                <w:rFonts w:ascii="宋体"/>
              </w:rPr>
            </w:pPr>
          </w:p>
        </w:tc>
        <w:tc>
          <w:tcPr>
            <w:tcW w:w="0" w:type="auto"/>
            <w:shd w:val="clear" w:color="auto" w:fill="auto"/>
          </w:tcPr>
          <w:p w14:paraId="33DADEBA" w14:textId="77777777" w:rsidR="004D6A64" w:rsidRDefault="004D6A64">
            <w:pPr>
              <w:rPr>
                <w:rFonts w:ascii="宋体"/>
              </w:rPr>
            </w:pPr>
          </w:p>
        </w:tc>
        <w:tc>
          <w:tcPr>
            <w:tcW w:w="0" w:type="auto"/>
            <w:shd w:val="clear" w:color="auto" w:fill="auto"/>
          </w:tcPr>
          <w:p w14:paraId="33DADEBB" w14:textId="77777777" w:rsidR="004D6A64" w:rsidRDefault="004D6A64">
            <w:pPr>
              <w:rPr>
                <w:rFonts w:ascii="宋体"/>
              </w:rPr>
            </w:pPr>
          </w:p>
        </w:tc>
        <w:tc>
          <w:tcPr>
            <w:tcW w:w="0" w:type="auto"/>
            <w:shd w:val="clear" w:color="auto" w:fill="auto"/>
          </w:tcPr>
          <w:p w14:paraId="33DADEBC" w14:textId="77777777" w:rsidR="004D6A64" w:rsidRDefault="004D6A64">
            <w:pPr>
              <w:rPr>
                <w:rFonts w:ascii="宋体"/>
              </w:rPr>
            </w:pPr>
          </w:p>
        </w:tc>
        <w:tc>
          <w:tcPr>
            <w:tcW w:w="0" w:type="auto"/>
            <w:shd w:val="clear" w:color="auto" w:fill="auto"/>
          </w:tcPr>
          <w:p w14:paraId="33DADEBD" w14:textId="77777777" w:rsidR="004D6A64" w:rsidRDefault="004D6A64">
            <w:pPr>
              <w:rPr>
                <w:rFonts w:ascii="宋体"/>
              </w:rPr>
            </w:pPr>
          </w:p>
        </w:tc>
        <w:tc>
          <w:tcPr>
            <w:tcW w:w="0" w:type="auto"/>
            <w:shd w:val="clear" w:color="auto" w:fill="auto"/>
          </w:tcPr>
          <w:p w14:paraId="33DADEBE" w14:textId="77777777" w:rsidR="004D6A64" w:rsidRDefault="004D6A64">
            <w:pPr>
              <w:rPr>
                <w:rFonts w:ascii="宋体"/>
              </w:rPr>
            </w:pPr>
          </w:p>
        </w:tc>
        <w:tc>
          <w:tcPr>
            <w:tcW w:w="0" w:type="auto"/>
            <w:shd w:val="clear" w:color="auto" w:fill="auto"/>
          </w:tcPr>
          <w:p w14:paraId="33DADEBF" w14:textId="77777777" w:rsidR="004D6A64" w:rsidRDefault="004D6A64">
            <w:pPr>
              <w:rPr>
                <w:rFonts w:ascii="宋体"/>
              </w:rPr>
            </w:pPr>
          </w:p>
        </w:tc>
        <w:tc>
          <w:tcPr>
            <w:tcW w:w="0" w:type="auto"/>
            <w:shd w:val="clear" w:color="auto" w:fill="auto"/>
          </w:tcPr>
          <w:p w14:paraId="33DADEC0" w14:textId="77777777" w:rsidR="004D6A64" w:rsidRDefault="004D6A64">
            <w:pPr>
              <w:rPr>
                <w:rFonts w:ascii="宋体"/>
              </w:rPr>
            </w:pPr>
          </w:p>
        </w:tc>
        <w:tc>
          <w:tcPr>
            <w:tcW w:w="0" w:type="auto"/>
            <w:shd w:val="clear" w:color="auto" w:fill="auto"/>
          </w:tcPr>
          <w:p w14:paraId="33DADEC1" w14:textId="77777777" w:rsidR="004D6A64" w:rsidRDefault="004D6A64">
            <w:pPr>
              <w:rPr>
                <w:rFonts w:ascii="宋体"/>
              </w:rPr>
            </w:pPr>
          </w:p>
        </w:tc>
        <w:tc>
          <w:tcPr>
            <w:tcW w:w="0" w:type="auto"/>
            <w:shd w:val="clear" w:color="auto" w:fill="auto"/>
          </w:tcPr>
          <w:p w14:paraId="33DADEC2" w14:textId="77777777" w:rsidR="004D6A64" w:rsidRDefault="004D6A64">
            <w:pPr>
              <w:rPr>
                <w:rFonts w:ascii="宋体"/>
              </w:rPr>
            </w:pPr>
          </w:p>
        </w:tc>
      </w:tr>
      <w:tr w:rsidR="004D6A64" w14:paraId="33DADEF5" w14:textId="77777777">
        <w:trPr>
          <w:jc w:val="center"/>
        </w:trPr>
        <w:tc>
          <w:tcPr>
            <w:tcW w:w="0" w:type="auto"/>
            <w:gridSpan w:val="3"/>
            <w:shd w:val="clear" w:color="auto" w:fill="CCEEFF"/>
            <w:tcMar>
              <w:top w:w="40" w:type="dxa"/>
              <w:left w:w="495" w:type="dxa"/>
              <w:bottom w:w="40" w:type="dxa"/>
              <w:right w:w="20" w:type="dxa"/>
            </w:tcMar>
            <w:vAlign w:val="center"/>
          </w:tcPr>
          <w:p w14:paraId="33DADEC4" w14:textId="77777777" w:rsidR="004D6A64" w:rsidRDefault="00506CD6">
            <w:pPr>
              <w:textAlignment w:val="center"/>
            </w:pPr>
            <w:r>
              <w:rPr>
                <w:rFonts w:ascii="Times New Roman" w:eastAsia="宋体" w:hAnsi="Times New Roman"/>
                <w:color w:val="000000"/>
                <w:sz w:val="20"/>
                <w:szCs w:val="20"/>
              </w:rPr>
              <w:t xml:space="preserve">Non-GAAP product gross margin </w:t>
            </w:r>
          </w:p>
        </w:tc>
        <w:tc>
          <w:tcPr>
            <w:tcW w:w="0" w:type="auto"/>
            <w:tcBorders>
              <w:top w:val="single" w:sz="8" w:space="0" w:color="000000"/>
            </w:tcBorders>
            <w:shd w:val="clear" w:color="auto" w:fill="CCEEFF"/>
            <w:tcMar>
              <w:top w:w="40" w:type="dxa"/>
              <w:left w:w="20" w:type="dxa"/>
              <w:bottom w:w="40" w:type="dxa"/>
            </w:tcMar>
            <w:vAlign w:val="center"/>
          </w:tcPr>
          <w:p w14:paraId="33DADEC5"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DEC6" w14:textId="77777777" w:rsidR="004D6A64" w:rsidRDefault="00506CD6">
            <w:pPr>
              <w:jc w:val="right"/>
              <w:textAlignment w:val="center"/>
            </w:pPr>
            <w:r>
              <w:rPr>
                <w:rFonts w:ascii="Times New Roman" w:eastAsia="宋体" w:hAnsi="Times New Roman"/>
                <w:color w:val="000000"/>
                <w:sz w:val="20"/>
                <w:szCs w:val="20"/>
              </w:rPr>
              <w:t>3,791 </w:t>
            </w:r>
          </w:p>
        </w:tc>
        <w:tc>
          <w:tcPr>
            <w:tcW w:w="0" w:type="auto"/>
            <w:tcBorders>
              <w:top w:val="single" w:sz="8" w:space="0" w:color="000000"/>
            </w:tcBorders>
            <w:shd w:val="clear" w:color="auto" w:fill="CCEEFF"/>
            <w:tcMar>
              <w:top w:w="40" w:type="dxa"/>
              <w:bottom w:w="40" w:type="dxa"/>
              <w:right w:w="20" w:type="dxa"/>
            </w:tcMar>
            <w:vAlign w:val="center"/>
          </w:tcPr>
          <w:p w14:paraId="33DADEC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EC8"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EC9" w14:textId="77777777" w:rsidR="004D6A64" w:rsidRDefault="00506CD6">
            <w:pPr>
              <w:jc w:val="right"/>
              <w:textAlignment w:val="center"/>
            </w:pPr>
            <w:r>
              <w:rPr>
                <w:rFonts w:ascii="Times New Roman" w:eastAsia="宋体" w:hAnsi="Times New Roman"/>
                <w:color w:val="000000"/>
                <w:sz w:val="20"/>
                <w:szCs w:val="20"/>
              </w:rPr>
              <w:t>(17)</w:t>
            </w:r>
          </w:p>
        </w:tc>
        <w:tc>
          <w:tcPr>
            <w:tcW w:w="0" w:type="auto"/>
            <w:shd w:val="clear" w:color="auto" w:fill="CCEEFF"/>
            <w:tcMar>
              <w:top w:w="40" w:type="dxa"/>
              <w:bottom w:w="40" w:type="dxa"/>
              <w:right w:w="20" w:type="dxa"/>
            </w:tcMar>
            <w:vAlign w:val="center"/>
          </w:tcPr>
          <w:p w14:paraId="33DADECA"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DECB"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33DADECC"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DECD" w14:textId="77777777" w:rsidR="004D6A64" w:rsidRDefault="00506CD6">
            <w:pPr>
              <w:jc w:val="right"/>
              <w:textAlignment w:val="center"/>
            </w:pPr>
            <w:r>
              <w:rPr>
                <w:rFonts w:ascii="Times New Roman" w:eastAsia="宋体" w:hAnsi="Times New Roman"/>
                <w:color w:val="000000"/>
                <w:sz w:val="20"/>
                <w:szCs w:val="20"/>
              </w:rPr>
              <w:t>4,558 </w:t>
            </w:r>
          </w:p>
        </w:tc>
        <w:tc>
          <w:tcPr>
            <w:tcW w:w="0" w:type="auto"/>
            <w:tcBorders>
              <w:top w:val="single" w:sz="8" w:space="0" w:color="000000"/>
            </w:tcBorders>
            <w:shd w:val="clear" w:color="auto" w:fill="CCEEFF"/>
            <w:tcMar>
              <w:top w:w="40" w:type="dxa"/>
              <w:bottom w:w="40" w:type="dxa"/>
              <w:right w:w="20" w:type="dxa"/>
            </w:tcMar>
            <w:vAlign w:val="center"/>
          </w:tcPr>
          <w:p w14:paraId="33DADEC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ECF"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33DADED0"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DED1" w14:textId="77777777" w:rsidR="004D6A64" w:rsidRDefault="00506CD6">
            <w:pPr>
              <w:jc w:val="right"/>
              <w:textAlignment w:val="center"/>
            </w:pPr>
            <w:r>
              <w:rPr>
                <w:rFonts w:ascii="Times New Roman" w:eastAsia="宋体" w:hAnsi="Times New Roman"/>
                <w:color w:val="000000"/>
                <w:sz w:val="20"/>
                <w:szCs w:val="20"/>
              </w:rPr>
              <w:t>7,410 </w:t>
            </w:r>
          </w:p>
        </w:tc>
        <w:tc>
          <w:tcPr>
            <w:tcW w:w="0" w:type="auto"/>
            <w:tcBorders>
              <w:top w:val="single" w:sz="8" w:space="0" w:color="000000"/>
            </w:tcBorders>
            <w:shd w:val="clear" w:color="auto" w:fill="CCEEFF"/>
            <w:tcMar>
              <w:top w:w="40" w:type="dxa"/>
              <w:bottom w:w="40" w:type="dxa"/>
              <w:right w:w="20" w:type="dxa"/>
            </w:tcMar>
            <w:vAlign w:val="center"/>
          </w:tcPr>
          <w:p w14:paraId="33DADED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ED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ED4" w14:textId="77777777" w:rsidR="004D6A64" w:rsidRDefault="00506CD6">
            <w:pPr>
              <w:jc w:val="right"/>
              <w:textAlignment w:val="center"/>
            </w:pPr>
            <w:r>
              <w:rPr>
                <w:rFonts w:ascii="Times New Roman" w:eastAsia="宋体" w:hAnsi="Times New Roman"/>
                <w:color w:val="000000"/>
                <w:sz w:val="20"/>
                <w:szCs w:val="20"/>
              </w:rPr>
              <w:t>(14)</w:t>
            </w:r>
          </w:p>
        </w:tc>
        <w:tc>
          <w:tcPr>
            <w:tcW w:w="0" w:type="auto"/>
            <w:shd w:val="clear" w:color="auto" w:fill="CCEEFF"/>
            <w:tcMar>
              <w:top w:w="40" w:type="dxa"/>
              <w:bottom w:w="40" w:type="dxa"/>
              <w:right w:w="20" w:type="dxa"/>
            </w:tcMar>
            <w:vAlign w:val="center"/>
          </w:tcPr>
          <w:p w14:paraId="33DADED5"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DED6"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33DADED7"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DED8" w14:textId="77777777" w:rsidR="004D6A64" w:rsidRDefault="00506CD6">
            <w:pPr>
              <w:jc w:val="right"/>
              <w:textAlignment w:val="center"/>
            </w:pPr>
            <w:r>
              <w:rPr>
                <w:rFonts w:ascii="Times New Roman" w:eastAsia="宋体" w:hAnsi="Times New Roman"/>
                <w:color w:val="000000"/>
                <w:sz w:val="20"/>
                <w:szCs w:val="20"/>
              </w:rPr>
              <w:t>8,583 </w:t>
            </w:r>
          </w:p>
        </w:tc>
        <w:tc>
          <w:tcPr>
            <w:tcW w:w="0" w:type="auto"/>
            <w:tcBorders>
              <w:top w:val="single" w:sz="8" w:space="0" w:color="000000"/>
            </w:tcBorders>
            <w:shd w:val="clear" w:color="auto" w:fill="CCEEFF"/>
            <w:tcMar>
              <w:top w:w="40" w:type="dxa"/>
              <w:bottom w:w="40" w:type="dxa"/>
              <w:right w:w="20" w:type="dxa"/>
            </w:tcMar>
            <w:vAlign w:val="center"/>
          </w:tcPr>
          <w:p w14:paraId="33DADED9" w14:textId="77777777" w:rsidR="004D6A64" w:rsidRDefault="004D6A64">
            <w:pPr>
              <w:jc w:val="right"/>
              <w:rPr>
                <w:rFonts w:ascii="宋体"/>
              </w:rPr>
            </w:pPr>
          </w:p>
        </w:tc>
        <w:tc>
          <w:tcPr>
            <w:tcW w:w="0" w:type="auto"/>
            <w:shd w:val="clear" w:color="auto" w:fill="auto"/>
          </w:tcPr>
          <w:p w14:paraId="33DADEDA" w14:textId="77777777" w:rsidR="004D6A64" w:rsidRDefault="004D6A64">
            <w:pPr>
              <w:rPr>
                <w:rFonts w:ascii="宋体"/>
              </w:rPr>
            </w:pPr>
          </w:p>
        </w:tc>
        <w:tc>
          <w:tcPr>
            <w:tcW w:w="0" w:type="auto"/>
            <w:shd w:val="clear" w:color="auto" w:fill="auto"/>
          </w:tcPr>
          <w:p w14:paraId="33DADEDB" w14:textId="77777777" w:rsidR="004D6A64" w:rsidRDefault="004D6A64">
            <w:pPr>
              <w:rPr>
                <w:rFonts w:ascii="宋体"/>
              </w:rPr>
            </w:pPr>
          </w:p>
        </w:tc>
        <w:tc>
          <w:tcPr>
            <w:tcW w:w="0" w:type="auto"/>
            <w:shd w:val="clear" w:color="auto" w:fill="auto"/>
          </w:tcPr>
          <w:p w14:paraId="33DADEDC" w14:textId="77777777" w:rsidR="004D6A64" w:rsidRDefault="004D6A64">
            <w:pPr>
              <w:rPr>
                <w:rFonts w:ascii="宋体"/>
              </w:rPr>
            </w:pPr>
          </w:p>
        </w:tc>
        <w:tc>
          <w:tcPr>
            <w:tcW w:w="0" w:type="auto"/>
            <w:shd w:val="clear" w:color="auto" w:fill="auto"/>
          </w:tcPr>
          <w:p w14:paraId="33DADEDD" w14:textId="77777777" w:rsidR="004D6A64" w:rsidRDefault="004D6A64">
            <w:pPr>
              <w:rPr>
                <w:rFonts w:ascii="宋体"/>
              </w:rPr>
            </w:pPr>
          </w:p>
        </w:tc>
        <w:tc>
          <w:tcPr>
            <w:tcW w:w="0" w:type="auto"/>
            <w:shd w:val="clear" w:color="auto" w:fill="auto"/>
          </w:tcPr>
          <w:p w14:paraId="33DADEDE" w14:textId="77777777" w:rsidR="004D6A64" w:rsidRDefault="004D6A64">
            <w:pPr>
              <w:rPr>
                <w:rFonts w:ascii="宋体"/>
              </w:rPr>
            </w:pPr>
          </w:p>
        </w:tc>
        <w:tc>
          <w:tcPr>
            <w:tcW w:w="0" w:type="auto"/>
            <w:shd w:val="clear" w:color="auto" w:fill="auto"/>
          </w:tcPr>
          <w:p w14:paraId="33DADEDF" w14:textId="77777777" w:rsidR="004D6A64" w:rsidRDefault="004D6A64">
            <w:pPr>
              <w:rPr>
                <w:rFonts w:ascii="宋体"/>
              </w:rPr>
            </w:pPr>
          </w:p>
        </w:tc>
        <w:tc>
          <w:tcPr>
            <w:tcW w:w="0" w:type="auto"/>
            <w:shd w:val="clear" w:color="auto" w:fill="auto"/>
          </w:tcPr>
          <w:p w14:paraId="33DADEE0" w14:textId="77777777" w:rsidR="004D6A64" w:rsidRDefault="004D6A64">
            <w:pPr>
              <w:rPr>
                <w:rFonts w:ascii="宋体"/>
              </w:rPr>
            </w:pPr>
          </w:p>
        </w:tc>
        <w:tc>
          <w:tcPr>
            <w:tcW w:w="0" w:type="auto"/>
            <w:shd w:val="clear" w:color="auto" w:fill="auto"/>
          </w:tcPr>
          <w:p w14:paraId="33DADEE1" w14:textId="77777777" w:rsidR="004D6A64" w:rsidRDefault="004D6A64">
            <w:pPr>
              <w:rPr>
                <w:rFonts w:ascii="宋体"/>
              </w:rPr>
            </w:pPr>
          </w:p>
        </w:tc>
        <w:tc>
          <w:tcPr>
            <w:tcW w:w="0" w:type="auto"/>
            <w:shd w:val="clear" w:color="auto" w:fill="auto"/>
          </w:tcPr>
          <w:p w14:paraId="33DADEE2" w14:textId="77777777" w:rsidR="004D6A64" w:rsidRDefault="004D6A64">
            <w:pPr>
              <w:rPr>
                <w:rFonts w:ascii="宋体"/>
              </w:rPr>
            </w:pPr>
          </w:p>
        </w:tc>
        <w:tc>
          <w:tcPr>
            <w:tcW w:w="0" w:type="auto"/>
            <w:shd w:val="clear" w:color="auto" w:fill="auto"/>
          </w:tcPr>
          <w:p w14:paraId="33DADEE3" w14:textId="77777777" w:rsidR="004D6A64" w:rsidRDefault="004D6A64">
            <w:pPr>
              <w:rPr>
                <w:rFonts w:ascii="宋体"/>
              </w:rPr>
            </w:pPr>
          </w:p>
        </w:tc>
        <w:tc>
          <w:tcPr>
            <w:tcW w:w="0" w:type="auto"/>
            <w:shd w:val="clear" w:color="auto" w:fill="auto"/>
          </w:tcPr>
          <w:p w14:paraId="33DADEE4" w14:textId="77777777" w:rsidR="004D6A64" w:rsidRDefault="004D6A64">
            <w:pPr>
              <w:rPr>
                <w:rFonts w:ascii="宋体"/>
              </w:rPr>
            </w:pPr>
          </w:p>
        </w:tc>
        <w:tc>
          <w:tcPr>
            <w:tcW w:w="0" w:type="auto"/>
            <w:shd w:val="clear" w:color="auto" w:fill="auto"/>
          </w:tcPr>
          <w:p w14:paraId="33DADEE5" w14:textId="77777777" w:rsidR="004D6A64" w:rsidRDefault="004D6A64">
            <w:pPr>
              <w:rPr>
                <w:rFonts w:ascii="宋体"/>
              </w:rPr>
            </w:pPr>
          </w:p>
        </w:tc>
        <w:tc>
          <w:tcPr>
            <w:tcW w:w="0" w:type="auto"/>
            <w:shd w:val="clear" w:color="auto" w:fill="auto"/>
          </w:tcPr>
          <w:p w14:paraId="33DADEE6" w14:textId="77777777" w:rsidR="004D6A64" w:rsidRDefault="004D6A64">
            <w:pPr>
              <w:rPr>
                <w:rFonts w:ascii="宋体"/>
              </w:rPr>
            </w:pPr>
          </w:p>
        </w:tc>
        <w:tc>
          <w:tcPr>
            <w:tcW w:w="0" w:type="auto"/>
            <w:shd w:val="clear" w:color="auto" w:fill="auto"/>
          </w:tcPr>
          <w:p w14:paraId="33DADEE7" w14:textId="77777777" w:rsidR="004D6A64" w:rsidRDefault="004D6A64">
            <w:pPr>
              <w:rPr>
                <w:rFonts w:ascii="宋体"/>
              </w:rPr>
            </w:pPr>
          </w:p>
        </w:tc>
        <w:tc>
          <w:tcPr>
            <w:tcW w:w="0" w:type="auto"/>
            <w:shd w:val="clear" w:color="auto" w:fill="auto"/>
          </w:tcPr>
          <w:p w14:paraId="33DADEE8" w14:textId="77777777" w:rsidR="004D6A64" w:rsidRDefault="004D6A64">
            <w:pPr>
              <w:rPr>
                <w:rFonts w:ascii="宋体"/>
              </w:rPr>
            </w:pPr>
          </w:p>
        </w:tc>
        <w:tc>
          <w:tcPr>
            <w:tcW w:w="0" w:type="auto"/>
            <w:shd w:val="clear" w:color="auto" w:fill="auto"/>
          </w:tcPr>
          <w:p w14:paraId="33DADEE9" w14:textId="77777777" w:rsidR="004D6A64" w:rsidRDefault="004D6A64">
            <w:pPr>
              <w:rPr>
                <w:rFonts w:ascii="宋体"/>
              </w:rPr>
            </w:pPr>
          </w:p>
        </w:tc>
        <w:tc>
          <w:tcPr>
            <w:tcW w:w="0" w:type="auto"/>
            <w:shd w:val="clear" w:color="auto" w:fill="auto"/>
          </w:tcPr>
          <w:p w14:paraId="33DADEEA" w14:textId="77777777" w:rsidR="004D6A64" w:rsidRDefault="004D6A64">
            <w:pPr>
              <w:rPr>
                <w:rFonts w:ascii="宋体"/>
              </w:rPr>
            </w:pPr>
          </w:p>
        </w:tc>
        <w:tc>
          <w:tcPr>
            <w:tcW w:w="0" w:type="auto"/>
            <w:shd w:val="clear" w:color="auto" w:fill="auto"/>
          </w:tcPr>
          <w:p w14:paraId="33DADEEB" w14:textId="77777777" w:rsidR="004D6A64" w:rsidRDefault="004D6A64">
            <w:pPr>
              <w:rPr>
                <w:rFonts w:ascii="宋体"/>
              </w:rPr>
            </w:pPr>
          </w:p>
        </w:tc>
        <w:tc>
          <w:tcPr>
            <w:tcW w:w="0" w:type="auto"/>
            <w:shd w:val="clear" w:color="auto" w:fill="auto"/>
          </w:tcPr>
          <w:p w14:paraId="33DADEEC" w14:textId="77777777" w:rsidR="004D6A64" w:rsidRDefault="004D6A64">
            <w:pPr>
              <w:rPr>
                <w:rFonts w:ascii="宋体"/>
              </w:rPr>
            </w:pPr>
          </w:p>
        </w:tc>
        <w:tc>
          <w:tcPr>
            <w:tcW w:w="0" w:type="auto"/>
            <w:shd w:val="clear" w:color="auto" w:fill="auto"/>
          </w:tcPr>
          <w:p w14:paraId="33DADEED" w14:textId="77777777" w:rsidR="004D6A64" w:rsidRDefault="004D6A64">
            <w:pPr>
              <w:rPr>
                <w:rFonts w:ascii="宋体"/>
              </w:rPr>
            </w:pPr>
          </w:p>
        </w:tc>
        <w:tc>
          <w:tcPr>
            <w:tcW w:w="0" w:type="auto"/>
            <w:shd w:val="clear" w:color="auto" w:fill="auto"/>
          </w:tcPr>
          <w:p w14:paraId="33DADEEE" w14:textId="77777777" w:rsidR="004D6A64" w:rsidRDefault="004D6A64">
            <w:pPr>
              <w:rPr>
                <w:rFonts w:ascii="宋体"/>
              </w:rPr>
            </w:pPr>
          </w:p>
        </w:tc>
        <w:tc>
          <w:tcPr>
            <w:tcW w:w="0" w:type="auto"/>
            <w:shd w:val="clear" w:color="auto" w:fill="auto"/>
          </w:tcPr>
          <w:p w14:paraId="33DADEEF" w14:textId="77777777" w:rsidR="004D6A64" w:rsidRDefault="004D6A64">
            <w:pPr>
              <w:rPr>
                <w:rFonts w:ascii="宋体"/>
              </w:rPr>
            </w:pPr>
          </w:p>
        </w:tc>
        <w:tc>
          <w:tcPr>
            <w:tcW w:w="0" w:type="auto"/>
            <w:shd w:val="clear" w:color="auto" w:fill="auto"/>
          </w:tcPr>
          <w:p w14:paraId="33DADEF0" w14:textId="77777777" w:rsidR="004D6A64" w:rsidRDefault="004D6A64">
            <w:pPr>
              <w:rPr>
                <w:rFonts w:ascii="宋体"/>
              </w:rPr>
            </w:pPr>
          </w:p>
        </w:tc>
        <w:tc>
          <w:tcPr>
            <w:tcW w:w="0" w:type="auto"/>
            <w:shd w:val="clear" w:color="auto" w:fill="auto"/>
          </w:tcPr>
          <w:p w14:paraId="33DADEF1" w14:textId="77777777" w:rsidR="004D6A64" w:rsidRDefault="004D6A64">
            <w:pPr>
              <w:rPr>
                <w:rFonts w:ascii="宋体"/>
              </w:rPr>
            </w:pPr>
          </w:p>
        </w:tc>
        <w:tc>
          <w:tcPr>
            <w:tcW w:w="0" w:type="auto"/>
            <w:shd w:val="clear" w:color="auto" w:fill="auto"/>
          </w:tcPr>
          <w:p w14:paraId="33DADEF2" w14:textId="77777777" w:rsidR="004D6A64" w:rsidRDefault="004D6A64">
            <w:pPr>
              <w:rPr>
                <w:rFonts w:ascii="宋体"/>
              </w:rPr>
            </w:pPr>
          </w:p>
        </w:tc>
        <w:tc>
          <w:tcPr>
            <w:tcW w:w="0" w:type="auto"/>
            <w:shd w:val="clear" w:color="auto" w:fill="auto"/>
          </w:tcPr>
          <w:p w14:paraId="33DADEF3" w14:textId="77777777" w:rsidR="004D6A64" w:rsidRDefault="004D6A64">
            <w:pPr>
              <w:rPr>
                <w:rFonts w:ascii="宋体"/>
              </w:rPr>
            </w:pPr>
          </w:p>
        </w:tc>
        <w:tc>
          <w:tcPr>
            <w:tcW w:w="0" w:type="auto"/>
            <w:shd w:val="clear" w:color="auto" w:fill="auto"/>
          </w:tcPr>
          <w:p w14:paraId="33DADEF4" w14:textId="77777777" w:rsidR="004D6A64" w:rsidRDefault="004D6A64">
            <w:pPr>
              <w:rPr>
                <w:rFonts w:ascii="宋体"/>
              </w:rPr>
            </w:pPr>
          </w:p>
        </w:tc>
      </w:tr>
      <w:tr w:rsidR="004D6A64" w14:paraId="33DADF1D" w14:textId="77777777">
        <w:trPr>
          <w:trHeight w:val="280"/>
          <w:jc w:val="center"/>
        </w:trPr>
        <w:tc>
          <w:tcPr>
            <w:tcW w:w="0" w:type="auto"/>
            <w:gridSpan w:val="3"/>
            <w:shd w:val="clear" w:color="auto" w:fill="FFFFFF"/>
            <w:tcMar>
              <w:left w:w="20" w:type="dxa"/>
              <w:right w:w="20" w:type="dxa"/>
            </w:tcMar>
            <w:vAlign w:val="bottom"/>
          </w:tcPr>
          <w:p w14:paraId="33DADEF6" w14:textId="77777777" w:rsidR="004D6A64" w:rsidRDefault="004D6A6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3DADEF7"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EF8"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EF9"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EFA" w14:textId="77777777" w:rsidR="004D6A64" w:rsidRDefault="004D6A6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3DADEFB"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EFC" w14:textId="77777777" w:rsidR="004D6A64" w:rsidRDefault="004D6A6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3DADEFD"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EFE"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EFF"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F00" w14:textId="77777777" w:rsidR="004D6A64" w:rsidRDefault="004D6A6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3DADF01" w14:textId="77777777" w:rsidR="004D6A64" w:rsidRDefault="004D6A64">
            <w:pPr>
              <w:rPr>
                <w:rFonts w:ascii="宋体"/>
              </w:rPr>
            </w:pPr>
          </w:p>
        </w:tc>
        <w:tc>
          <w:tcPr>
            <w:tcW w:w="0" w:type="auto"/>
            <w:shd w:val="clear" w:color="auto" w:fill="auto"/>
          </w:tcPr>
          <w:p w14:paraId="33DADF02" w14:textId="77777777" w:rsidR="004D6A64" w:rsidRDefault="004D6A64">
            <w:pPr>
              <w:rPr>
                <w:rFonts w:ascii="宋体"/>
              </w:rPr>
            </w:pPr>
          </w:p>
        </w:tc>
        <w:tc>
          <w:tcPr>
            <w:tcW w:w="0" w:type="auto"/>
            <w:shd w:val="clear" w:color="auto" w:fill="auto"/>
          </w:tcPr>
          <w:p w14:paraId="33DADF03" w14:textId="77777777" w:rsidR="004D6A64" w:rsidRDefault="004D6A64">
            <w:pPr>
              <w:rPr>
                <w:rFonts w:ascii="宋体"/>
              </w:rPr>
            </w:pPr>
          </w:p>
        </w:tc>
        <w:tc>
          <w:tcPr>
            <w:tcW w:w="0" w:type="auto"/>
            <w:shd w:val="clear" w:color="auto" w:fill="auto"/>
          </w:tcPr>
          <w:p w14:paraId="33DADF04" w14:textId="77777777" w:rsidR="004D6A64" w:rsidRDefault="004D6A64">
            <w:pPr>
              <w:rPr>
                <w:rFonts w:ascii="宋体"/>
              </w:rPr>
            </w:pPr>
          </w:p>
        </w:tc>
        <w:tc>
          <w:tcPr>
            <w:tcW w:w="0" w:type="auto"/>
            <w:shd w:val="clear" w:color="auto" w:fill="auto"/>
          </w:tcPr>
          <w:p w14:paraId="33DADF05" w14:textId="77777777" w:rsidR="004D6A64" w:rsidRDefault="004D6A64">
            <w:pPr>
              <w:rPr>
                <w:rFonts w:ascii="宋体"/>
              </w:rPr>
            </w:pPr>
          </w:p>
        </w:tc>
        <w:tc>
          <w:tcPr>
            <w:tcW w:w="0" w:type="auto"/>
            <w:shd w:val="clear" w:color="auto" w:fill="auto"/>
          </w:tcPr>
          <w:p w14:paraId="33DADF06" w14:textId="77777777" w:rsidR="004D6A64" w:rsidRDefault="004D6A64">
            <w:pPr>
              <w:rPr>
                <w:rFonts w:ascii="宋体"/>
              </w:rPr>
            </w:pPr>
          </w:p>
        </w:tc>
        <w:tc>
          <w:tcPr>
            <w:tcW w:w="0" w:type="auto"/>
            <w:shd w:val="clear" w:color="auto" w:fill="auto"/>
          </w:tcPr>
          <w:p w14:paraId="33DADF07" w14:textId="77777777" w:rsidR="004D6A64" w:rsidRDefault="004D6A64">
            <w:pPr>
              <w:rPr>
                <w:rFonts w:ascii="宋体"/>
              </w:rPr>
            </w:pPr>
          </w:p>
        </w:tc>
        <w:tc>
          <w:tcPr>
            <w:tcW w:w="0" w:type="auto"/>
            <w:shd w:val="clear" w:color="auto" w:fill="auto"/>
          </w:tcPr>
          <w:p w14:paraId="33DADF08" w14:textId="77777777" w:rsidR="004D6A64" w:rsidRDefault="004D6A64">
            <w:pPr>
              <w:rPr>
                <w:rFonts w:ascii="宋体"/>
              </w:rPr>
            </w:pPr>
          </w:p>
        </w:tc>
        <w:tc>
          <w:tcPr>
            <w:tcW w:w="0" w:type="auto"/>
            <w:shd w:val="clear" w:color="auto" w:fill="auto"/>
          </w:tcPr>
          <w:p w14:paraId="33DADF09" w14:textId="77777777" w:rsidR="004D6A64" w:rsidRDefault="004D6A64">
            <w:pPr>
              <w:rPr>
                <w:rFonts w:ascii="宋体"/>
              </w:rPr>
            </w:pPr>
          </w:p>
        </w:tc>
        <w:tc>
          <w:tcPr>
            <w:tcW w:w="0" w:type="auto"/>
            <w:shd w:val="clear" w:color="auto" w:fill="auto"/>
          </w:tcPr>
          <w:p w14:paraId="33DADF0A" w14:textId="77777777" w:rsidR="004D6A64" w:rsidRDefault="004D6A64">
            <w:pPr>
              <w:rPr>
                <w:rFonts w:ascii="宋体"/>
              </w:rPr>
            </w:pPr>
          </w:p>
        </w:tc>
        <w:tc>
          <w:tcPr>
            <w:tcW w:w="0" w:type="auto"/>
            <w:shd w:val="clear" w:color="auto" w:fill="auto"/>
          </w:tcPr>
          <w:p w14:paraId="33DADF0B" w14:textId="77777777" w:rsidR="004D6A64" w:rsidRDefault="004D6A64">
            <w:pPr>
              <w:rPr>
                <w:rFonts w:ascii="宋体"/>
              </w:rPr>
            </w:pPr>
          </w:p>
        </w:tc>
        <w:tc>
          <w:tcPr>
            <w:tcW w:w="0" w:type="auto"/>
            <w:shd w:val="clear" w:color="auto" w:fill="auto"/>
          </w:tcPr>
          <w:p w14:paraId="33DADF0C" w14:textId="77777777" w:rsidR="004D6A64" w:rsidRDefault="004D6A64">
            <w:pPr>
              <w:rPr>
                <w:rFonts w:ascii="宋体"/>
              </w:rPr>
            </w:pPr>
          </w:p>
        </w:tc>
        <w:tc>
          <w:tcPr>
            <w:tcW w:w="0" w:type="auto"/>
            <w:shd w:val="clear" w:color="auto" w:fill="auto"/>
          </w:tcPr>
          <w:p w14:paraId="33DADF0D" w14:textId="77777777" w:rsidR="004D6A64" w:rsidRDefault="004D6A64">
            <w:pPr>
              <w:rPr>
                <w:rFonts w:ascii="宋体"/>
              </w:rPr>
            </w:pPr>
          </w:p>
        </w:tc>
        <w:tc>
          <w:tcPr>
            <w:tcW w:w="0" w:type="auto"/>
            <w:shd w:val="clear" w:color="auto" w:fill="auto"/>
          </w:tcPr>
          <w:p w14:paraId="33DADF0E" w14:textId="77777777" w:rsidR="004D6A64" w:rsidRDefault="004D6A64">
            <w:pPr>
              <w:rPr>
                <w:rFonts w:ascii="宋体"/>
              </w:rPr>
            </w:pPr>
          </w:p>
        </w:tc>
        <w:tc>
          <w:tcPr>
            <w:tcW w:w="0" w:type="auto"/>
            <w:shd w:val="clear" w:color="auto" w:fill="auto"/>
          </w:tcPr>
          <w:p w14:paraId="33DADF0F" w14:textId="77777777" w:rsidR="004D6A64" w:rsidRDefault="004D6A64">
            <w:pPr>
              <w:rPr>
                <w:rFonts w:ascii="宋体"/>
              </w:rPr>
            </w:pPr>
          </w:p>
        </w:tc>
        <w:tc>
          <w:tcPr>
            <w:tcW w:w="0" w:type="auto"/>
            <w:shd w:val="clear" w:color="auto" w:fill="auto"/>
          </w:tcPr>
          <w:p w14:paraId="33DADF10" w14:textId="77777777" w:rsidR="004D6A64" w:rsidRDefault="004D6A64">
            <w:pPr>
              <w:rPr>
                <w:rFonts w:ascii="宋体"/>
              </w:rPr>
            </w:pPr>
          </w:p>
        </w:tc>
        <w:tc>
          <w:tcPr>
            <w:tcW w:w="0" w:type="auto"/>
            <w:shd w:val="clear" w:color="auto" w:fill="auto"/>
          </w:tcPr>
          <w:p w14:paraId="33DADF11" w14:textId="77777777" w:rsidR="004D6A64" w:rsidRDefault="004D6A64">
            <w:pPr>
              <w:rPr>
                <w:rFonts w:ascii="宋体"/>
              </w:rPr>
            </w:pPr>
          </w:p>
        </w:tc>
        <w:tc>
          <w:tcPr>
            <w:tcW w:w="0" w:type="auto"/>
            <w:shd w:val="clear" w:color="auto" w:fill="auto"/>
          </w:tcPr>
          <w:p w14:paraId="33DADF12" w14:textId="77777777" w:rsidR="004D6A64" w:rsidRDefault="004D6A64">
            <w:pPr>
              <w:rPr>
                <w:rFonts w:ascii="宋体"/>
              </w:rPr>
            </w:pPr>
          </w:p>
        </w:tc>
        <w:tc>
          <w:tcPr>
            <w:tcW w:w="0" w:type="auto"/>
            <w:shd w:val="clear" w:color="auto" w:fill="auto"/>
          </w:tcPr>
          <w:p w14:paraId="33DADF13" w14:textId="77777777" w:rsidR="004D6A64" w:rsidRDefault="004D6A64">
            <w:pPr>
              <w:rPr>
                <w:rFonts w:ascii="宋体"/>
              </w:rPr>
            </w:pPr>
          </w:p>
        </w:tc>
        <w:tc>
          <w:tcPr>
            <w:tcW w:w="0" w:type="auto"/>
            <w:shd w:val="clear" w:color="auto" w:fill="auto"/>
          </w:tcPr>
          <w:p w14:paraId="33DADF14" w14:textId="77777777" w:rsidR="004D6A64" w:rsidRDefault="004D6A64">
            <w:pPr>
              <w:rPr>
                <w:rFonts w:ascii="宋体"/>
              </w:rPr>
            </w:pPr>
          </w:p>
        </w:tc>
        <w:tc>
          <w:tcPr>
            <w:tcW w:w="0" w:type="auto"/>
            <w:shd w:val="clear" w:color="auto" w:fill="auto"/>
          </w:tcPr>
          <w:p w14:paraId="33DADF15" w14:textId="77777777" w:rsidR="004D6A64" w:rsidRDefault="004D6A64">
            <w:pPr>
              <w:rPr>
                <w:rFonts w:ascii="宋体"/>
              </w:rPr>
            </w:pPr>
          </w:p>
        </w:tc>
        <w:tc>
          <w:tcPr>
            <w:tcW w:w="0" w:type="auto"/>
            <w:shd w:val="clear" w:color="auto" w:fill="auto"/>
          </w:tcPr>
          <w:p w14:paraId="33DADF16" w14:textId="77777777" w:rsidR="004D6A64" w:rsidRDefault="004D6A64">
            <w:pPr>
              <w:rPr>
                <w:rFonts w:ascii="宋体"/>
              </w:rPr>
            </w:pPr>
          </w:p>
        </w:tc>
        <w:tc>
          <w:tcPr>
            <w:tcW w:w="0" w:type="auto"/>
            <w:shd w:val="clear" w:color="auto" w:fill="auto"/>
          </w:tcPr>
          <w:p w14:paraId="33DADF17" w14:textId="77777777" w:rsidR="004D6A64" w:rsidRDefault="004D6A64">
            <w:pPr>
              <w:rPr>
                <w:rFonts w:ascii="宋体"/>
              </w:rPr>
            </w:pPr>
          </w:p>
        </w:tc>
        <w:tc>
          <w:tcPr>
            <w:tcW w:w="0" w:type="auto"/>
            <w:shd w:val="clear" w:color="auto" w:fill="auto"/>
          </w:tcPr>
          <w:p w14:paraId="33DADF18" w14:textId="77777777" w:rsidR="004D6A64" w:rsidRDefault="004D6A64">
            <w:pPr>
              <w:rPr>
                <w:rFonts w:ascii="宋体"/>
              </w:rPr>
            </w:pPr>
          </w:p>
        </w:tc>
        <w:tc>
          <w:tcPr>
            <w:tcW w:w="0" w:type="auto"/>
            <w:shd w:val="clear" w:color="auto" w:fill="auto"/>
          </w:tcPr>
          <w:p w14:paraId="33DADF19" w14:textId="77777777" w:rsidR="004D6A64" w:rsidRDefault="004D6A64">
            <w:pPr>
              <w:rPr>
                <w:rFonts w:ascii="宋体"/>
              </w:rPr>
            </w:pPr>
          </w:p>
        </w:tc>
        <w:tc>
          <w:tcPr>
            <w:tcW w:w="0" w:type="auto"/>
            <w:shd w:val="clear" w:color="auto" w:fill="auto"/>
          </w:tcPr>
          <w:p w14:paraId="33DADF1A" w14:textId="77777777" w:rsidR="004D6A64" w:rsidRDefault="004D6A64">
            <w:pPr>
              <w:rPr>
                <w:rFonts w:ascii="宋体"/>
              </w:rPr>
            </w:pPr>
          </w:p>
        </w:tc>
        <w:tc>
          <w:tcPr>
            <w:tcW w:w="0" w:type="auto"/>
            <w:shd w:val="clear" w:color="auto" w:fill="auto"/>
          </w:tcPr>
          <w:p w14:paraId="33DADF1B" w14:textId="77777777" w:rsidR="004D6A64" w:rsidRDefault="004D6A64">
            <w:pPr>
              <w:rPr>
                <w:rFonts w:ascii="宋体"/>
              </w:rPr>
            </w:pPr>
          </w:p>
        </w:tc>
        <w:tc>
          <w:tcPr>
            <w:tcW w:w="0" w:type="auto"/>
            <w:shd w:val="clear" w:color="auto" w:fill="auto"/>
          </w:tcPr>
          <w:p w14:paraId="33DADF1C" w14:textId="77777777" w:rsidR="004D6A64" w:rsidRDefault="004D6A64">
            <w:pPr>
              <w:rPr>
                <w:rFonts w:ascii="宋体"/>
              </w:rPr>
            </w:pPr>
          </w:p>
        </w:tc>
      </w:tr>
      <w:tr w:rsidR="004D6A64" w14:paraId="33DADF4F" w14:textId="77777777">
        <w:trPr>
          <w:jc w:val="center"/>
        </w:trPr>
        <w:tc>
          <w:tcPr>
            <w:tcW w:w="0" w:type="auto"/>
            <w:gridSpan w:val="3"/>
            <w:shd w:val="clear" w:color="auto" w:fill="CCEEFF"/>
            <w:tcMar>
              <w:top w:w="40" w:type="dxa"/>
              <w:left w:w="20" w:type="dxa"/>
              <w:bottom w:w="40" w:type="dxa"/>
              <w:right w:w="20" w:type="dxa"/>
            </w:tcMar>
            <w:vAlign w:val="center"/>
          </w:tcPr>
          <w:p w14:paraId="33DADF1E" w14:textId="77777777" w:rsidR="004D6A64" w:rsidRDefault="00506CD6">
            <w:pPr>
              <w:textAlignment w:val="center"/>
            </w:pPr>
            <w:r>
              <w:rPr>
                <w:rFonts w:ascii="Times New Roman" w:eastAsia="宋体" w:hAnsi="Times New Roman"/>
                <w:color w:val="000000"/>
                <w:sz w:val="20"/>
                <w:szCs w:val="20"/>
              </w:rPr>
              <w:t xml:space="preserve">Services gross margin </w:t>
            </w:r>
          </w:p>
        </w:tc>
        <w:tc>
          <w:tcPr>
            <w:tcW w:w="0" w:type="auto"/>
            <w:shd w:val="clear" w:color="auto" w:fill="CCEEFF"/>
            <w:tcMar>
              <w:top w:w="40" w:type="dxa"/>
              <w:left w:w="20" w:type="dxa"/>
              <w:bottom w:w="40" w:type="dxa"/>
            </w:tcMar>
            <w:vAlign w:val="center"/>
          </w:tcPr>
          <w:p w14:paraId="33DADF1F"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DF20" w14:textId="77777777" w:rsidR="004D6A64" w:rsidRDefault="00506CD6">
            <w:pPr>
              <w:jc w:val="right"/>
              <w:textAlignment w:val="center"/>
            </w:pPr>
            <w:r>
              <w:rPr>
                <w:rFonts w:ascii="Times New Roman" w:eastAsia="宋体" w:hAnsi="Times New Roman"/>
                <w:color w:val="000000"/>
                <w:sz w:val="20"/>
                <w:szCs w:val="20"/>
              </w:rPr>
              <w:t>3,749 </w:t>
            </w:r>
          </w:p>
        </w:tc>
        <w:tc>
          <w:tcPr>
            <w:tcW w:w="0" w:type="auto"/>
            <w:shd w:val="clear" w:color="auto" w:fill="CCEEFF"/>
            <w:tcMar>
              <w:top w:w="40" w:type="dxa"/>
              <w:bottom w:w="40" w:type="dxa"/>
              <w:right w:w="20" w:type="dxa"/>
            </w:tcMar>
            <w:vAlign w:val="center"/>
          </w:tcPr>
          <w:p w14:paraId="33DADF2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F2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F23" w14:textId="77777777" w:rsidR="004D6A64" w:rsidRDefault="00506CD6">
            <w:pPr>
              <w:jc w:val="right"/>
              <w:textAlignment w:val="center"/>
            </w:pPr>
            <w:r>
              <w:rPr>
                <w:rFonts w:ascii="Times New Roman" w:eastAsia="宋体" w:hAnsi="Times New Roman"/>
                <w:color w:val="000000"/>
                <w:sz w:val="20"/>
                <w:szCs w:val="20"/>
              </w:rPr>
              <w:t>14 </w:t>
            </w:r>
          </w:p>
        </w:tc>
        <w:tc>
          <w:tcPr>
            <w:tcW w:w="0" w:type="auto"/>
            <w:shd w:val="clear" w:color="auto" w:fill="CCEEFF"/>
            <w:tcMar>
              <w:top w:w="40" w:type="dxa"/>
              <w:bottom w:w="40" w:type="dxa"/>
              <w:right w:w="20" w:type="dxa"/>
            </w:tcMar>
            <w:vAlign w:val="center"/>
          </w:tcPr>
          <w:p w14:paraId="33DADF24"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DF25"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DF26"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DF27" w14:textId="77777777" w:rsidR="004D6A64" w:rsidRDefault="00506CD6">
            <w:pPr>
              <w:jc w:val="right"/>
              <w:textAlignment w:val="center"/>
            </w:pPr>
            <w:r>
              <w:rPr>
                <w:rFonts w:ascii="Times New Roman" w:eastAsia="宋体" w:hAnsi="Times New Roman"/>
                <w:color w:val="000000"/>
                <w:sz w:val="20"/>
                <w:szCs w:val="20"/>
              </w:rPr>
              <w:t>3,300 </w:t>
            </w:r>
          </w:p>
        </w:tc>
        <w:tc>
          <w:tcPr>
            <w:tcW w:w="0" w:type="auto"/>
            <w:shd w:val="clear" w:color="auto" w:fill="CCEEFF"/>
            <w:tcMar>
              <w:top w:w="40" w:type="dxa"/>
              <w:bottom w:w="40" w:type="dxa"/>
              <w:right w:w="20" w:type="dxa"/>
            </w:tcMar>
            <w:vAlign w:val="center"/>
          </w:tcPr>
          <w:p w14:paraId="33DADF2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F29"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DF2A"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DF2B" w14:textId="77777777" w:rsidR="004D6A64" w:rsidRDefault="00506CD6">
            <w:pPr>
              <w:jc w:val="right"/>
              <w:textAlignment w:val="center"/>
            </w:pPr>
            <w:r>
              <w:rPr>
                <w:rFonts w:ascii="Times New Roman" w:eastAsia="宋体" w:hAnsi="Times New Roman"/>
                <w:color w:val="000000"/>
                <w:sz w:val="20"/>
                <w:szCs w:val="20"/>
              </w:rPr>
              <w:t>7,368 </w:t>
            </w:r>
          </w:p>
        </w:tc>
        <w:tc>
          <w:tcPr>
            <w:tcW w:w="0" w:type="auto"/>
            <w:shd w:val="clear" w:color="auto" w:fill="CCEEFF"/>
            <w:tcMar>
              <w:top w:w="40" w:type="dxa"/>
              <w:bottom w:w="40" w:type="dxa"/>
              <w:right w:w="20" w:type="dxa"/>
            </w:tcMar>
            <w:vAlign w:val="center"/>
          </w:tcPr>
          <w:p w14:paraId="33DADF2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F2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F2E" w14:textId="77777777" w:rsidR="004D6A64" w:rsidRDefault="00506CD6">
            <w:pPr>
              <w:jc w:val="right"/>
              <w:textAlignment w:val="center"/>
            </w:pPr>
            <w:r>
              <w:rPr>
                <w:rFonts w:ascii="Times New Roman" w:eastAsia="宋体" w:hAnsi="Times New Roman"/>
                <w:color w:val="000000"/>
                <w:sz w:val="20"/>
                <w:szCs w:val="20"/>
              </w:rPr>
              <w:t>12 </w:t>
            </w:r>
          </w:p>
        </w:tc>
        <w:tc>
          <w:tcPr>
            <w:tcW w:w="0" w:type="auto"/>
            <w:shd w:val="clear" w:color="auto" w:fill="CCEEFF"/>
            <w:tcMar>
              <w:top w:w="40" w:type="dxa"/>
              <w:bottom w:w="40" w:type="dxa"/>
              <w:right w:w="20" w:type="dxa"/>
            </w:tcMar>
            <w:vAlign w:val="center"/>
          </w:tcPr>
          <w:p w14:paraId="33DADF2F"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DF30"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DF31"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DF32" w14:textId="77777777" w:rsidR="004D6A64" w:rsidRDefault="00506CD6">
            <w:pPr>
              <w:jc w:val="right"/>
              <w:textAlignment w:val="center"/>
            </w:pPr>
            <w:r>
              <w:rPr>
                <w:rFonts w:ascii="Times New Roman" w:eastAsia="宋体" w:hAnsi="Times New Roman"/>
                <w:color w:val="000000"/>
                <w:sz w:val="20"/>
                <w:szCs w:val="20"/>
              </w:rPr>
              <w:t>6,601 </w:t>
            </w:r>
          </w:p>
        </w:tc>
        <w:tc>
          <w:tcPr>
            <w:tcW w:w="0" w:type="auto"/>
            <w:shd w:val="clear" w:color="auto" w:fill="CCEEFF"/>
            <w:tcMar>
              <w:top w:w="40" w:type="dxa"/>
              <w:bottom w:w="40" w:type="dxa"/>
              <w:right w:w="20" w:type="dxa"/>
            </w:tcMar>
            <w:vAlign w:val="center"/>
          </w:tcPr>
          <w:p w14:paraId="33DADF33" w14:textId="77777777" w:rsidR="004D6A64" w:rsidRDefault="004D6A64">
            <w:pPr>
              <w:jc w:val="right"/>
              <w:rPr>
                <w:rFonts w:ascii="宋体"/>
              </w:rPr>
            </w:pPr>
          </w:p>
        </w:tc>
        <w:tc>
          <w:tcPr>
            <w:tcW w:w="0" w:type="auto"/>
            <w:shd w:val="clear" w:color="auto" w:fill="auto"/>
          </w:tcPr>
          <w:p w14:paraId="33DADF34" w14:textId="77777777" w:rsidR="004D6A64" w:rsidRDefault="004D6A64">
            <w:pPr>
              <w:rPr>
                <w:rFonts w:ascii="宋体"/>
              </w:rPr>
            </w:pPr>
          </w:p>
        </w:tc>
        <w:tc>
          <w:tcPr>
            <w:tcW w:w="0" w:type="auto"/>
            <w:shd w:val="clear" w:color="auto" w:fill="auto"/>
          </w:tcPr>
          <w:p w14:paraId="33DADF35" w14:textId="77777777" w:rsidR="004D6A64" w:rsidRDefault="004D6A64">
            <w:pPr>
              <w:rPr>
                <w:rFonts w:ascii="宋体"/>
              </w:rPr>
            </w:pPr>
          </w:p>
        </w:tc>
        <w:tc>
          <w:tcPr>
            <w:tcW w:w="0" w:type="auto"/>
            <w:shd w:val="clear" w:color="auto" w:fill="auto"/>
          </w:tcPr>
          <w:p w14:paraId="33DADF36" w14:textId="77777777" w:rsidR="004D6A64" w:rsidRDefault="004D6A64">
            <w:pPr>
              <w:rPr>
                <w:rFonts w:ascii="宋体"/>
              </w:rPr>
            </w:pPr>
          </w:p>
        </w:tc>
        <w:tc>
          <w:tcPr>
            <w:tcW w:w="0" w:type="auto"/>
            <w:shd w:val="clear" w:color="auto" w:fill="auto"/>
          </w:tcPr>
          <w:p w14:paraId="33DADF37" w14:textId="77777777" w:rsidR="004D6A64" w:rsidRDefault="004D6A64">
            <w:pPr>
              <w:rPr>
                <w:rFonts w:ascii="宋体"/>
              </w:rPr>
            </w:pPr>
          </w:p>
        </w:tc>
        <w:tc>
          <w:tcPr>
            <w:tcW w:w="0" w:type="auto"/>
            <w:shd w:val="clear" w:color="auto" w:fill="auto"/>
          </w:tcPr>
          <w:p w14:paraId="33DADF38" w14:textId="77777777" w:rsidR="004D6A64" w:rsidRDefault="004D6A64">
            <w:pPr>
              <w:rPr>
                <w:rFonts w:ascii="宋体"/>
              </w:rPr>
            </w:pPr>
          </w:p>
        </w:tc>
        <w:tc>
          <w:tcPr>
            <w:tcW w:w="0" w:type="auto"/>
            <w:shd w:val="clear" w:color="auto" w:fill="auto"/>
          </w:tcPr>
          <w:p w14:paraId="33DADF39" w14:textId="77777777" w:rsidR="004D6A64" w:rsidRDefault="004D6A64">
            <w:pPr>
              <w:rPr>
                <w:rFonts w:ascii="宋体"/>
              </w:rPr>
            </w:pPr>
          </w:p>
        </w:tc>
        <w:tc>
          <w:tcPr>
            <w:tcW w:w="0" w:type="auto"/>
            <w:shd w:val="clear" w:color="auto" w:fill="auto"/>
          </w:tcPr>
          <w:p w14:paraId="33DADF3A" w14:textId="77777777" w:rsidR="004D6A64" w:rsidRDefault="004D6A64">
            <w:pPr>
              <w:rPr>
                <w:rFonts w:ascii="宋体"/>
              </w:rPr>
            </w:pPr>
          </w:p>
        </w:tc>
        <w:tc>
          <w:tcPr>
            <w:tcW w:w="0" w:type="auto"/>
            <w:shd w:val="clear" w:color="auto" w:fill="auto"/>
          </w:tcPr>
          <w:p w14:paraId="33DADF3B" w14:textId="77777777" w:rsidR="004D6A64" w:rsidRDefault="004D6A64">
            <w:pPr>
              <w:rPr>
                <w:rFonts w:ascii="宋体"/>
              </w:rPr>
            </w:pPr>
          </w:p>
        </w:tc>
        <w:tc>
          <w:tcPr>
            <w:tcW w:w="0" w:type="auto"/>
            <w:shd w:val="clear" w:color="auto" w:fill="auto"/>
          </w:tcPr>
          <w:p w14:paraId="33DADF3C" w14:textId="77777777" w:rsidR="004D6A64" w:rsidRDefault="004D6A64">
            <w:pPr>
              <w:rPr>
                <w:rFonts w:ascii="宋体"/>
              </w:rPr>
            </w:pPr>
          </w:p>
        </w:tc>
        <w:tc>
          <w:tcPr>
            <w:tcW w:w="0" w:type="auto"/>
            <w:shd w:val="clear" w:color="auto" w:fill="auto"/>
          </w:tcPr>
          <w:p w14:paraId="33DADF3D" w14:textId="77777777" w:rsidR="004D6A64" w:rsidRDefault="004D6A64">
            <w:pPr>
              <w:rPr>
                <w:rFonts w:ascii="宋体"/>
              </w:rPr>
            </w:pPr>
          </w:p>
        </w:tc>
        <w:tc>
          <w:tcPr>
            <w:tcW w:w="0" w:type="auto"/>
            <w:shd w:val="clear" w:color="auto" w:fill="auto"/>
          </w:tcPr>
          <w:p w14:paraId="33DADF3E" w14:textId="77777777" w:rsidR="004D6A64" w:rsidRDefault="004D6A64">
            <w:pPr>
              <w:rPr>
                <w:rFonts w:ascii="宋体"/>
              </w:rPr>
            </w:pPr>
          </w:p>
        </w:tc>
        <w:tc>
          <w:tcPr>
            <w:tcW w:w="0" w:type="auto"/>
            <w:shd w:val="clear" w:color="auto" w:fill="auto"/>
          </w:tcPr>
          <w:p w14:paraId="33DADF3F" w14:textId="77777777" w:rsidR="004D6A64" w:rsidRDefault="004D6A64">
            <w:pPr>
              <w:rPr>
                <w:rFonts w:ascii="宋体"/>
              </w:rPr>
            </w:pPr>
          </w:p>
        </w:tc>
        <w:tc>
          <w:tcPr>
            <w:tcW w:w="0" w:type="auto"/>
            <w:shd w:val="clear" w:color="auto" w:fill="auto"/>
          </w:tcPr>
          <w:p w14:paraId="33DADF40" w14:textId="77777777" w:rsidR="004D6A64" w:rsidRDefault="004D6A64">
            <w:pPr>
              <w:rPr>
                <w:rFonts w:ascii="宋体"/>
              </w:rPr>
            </w:pPr>
          </w:p>
        </w:tc>
        <w:tc>
          <w:tcPr>
            <w:tcW w:w="0" w:type="auto"/>
            <w:shd w:val="clear" w:color="auto" w:fill="auto"/>
          </w:tcPr>
          <w:p w14:paraId="33DADF41" w14:textId="77777777" w:rsidR="004D6A64" w:rsidRDefault="004D6A64">
            <w:pPr>
              <w:rPr>
                <w:rFonts w:ascii="宋体"/>
              </w:rPr>
            </w:pPr>
          </w:p>
        </w:tc>
        <w:tc>
          <w:tcPr>
            <w:tcW w:w="0" w:type="auto"/>
            <w:shd w:val="clear" w:color="auto" w:fill="auto"/>
          </w:tcPr>
          <w:p w14:paraId="33DADF42" w14:textId="77777777" w:rsidR="004D6A64" w:rsidRDefault="004D6A64">
            <w:pPr>
              <w:rPr>
                <w:rFonts w:ascii="宋体"/>
              </w:rPr>
            </w:pPr>
          </w:p>
        </w:tc>
        <w:tc>
          <w:tcPr>
            <w:tcW w:w="0" w:type="auto"/>
            <w:shd w:val="clear" w:color="auto" w:fill="auto"/>
          </w:tcPr>
          <w:p w14:paraId="33DADF43" w14:textId="77777777" w:rsidR="004D6A64" w:rsidRDefault="004D6A64">
            <w:pPr>
              <w:rPr>
                <w:rFonts w:ascii="宋体"/>
              </w:rPr>
            </w:pPr>
          </w:p>
        </w:tc>
        <w:tc>
          <w:tcPr>
            <w:tcW w:w="0" w:type="auto"/>
            <w:shd w:val="clear" w:color="auto" w:fill="auto"/>
          </w:tcPr>
          <w:p w14:paraId="33DADF44" w14:textId="77777777" w:rsidR="004D6A64" w:rsidRDefault="004D6A64">
            <w:pPr>
              <w:rPr>
                <w:rFonts w:ascii="宋体"/>
              </w:rPr>
            </w:pPr>
          </w:p>
        </w:tc>
        <w:tc>
          <w:tcPr>
            <w:tcW w:w="0" w:type="auto"/>
            <w:shd w:val="clear" w:color="auto" w:fill="auto"/>
          </w:tcPr>
          <w:p w14:paraId="33DADF45" w14:textId="77777777" w:rsidR="004D6A64" w:rsidRDefault="004D6A64">
            <w:pPr>
              <w:rPr>
                <w:rFonts w:ascii="宋体"/>
              </w:rPr>
            </w:pPr>
          </w:p>
        </w:tc>
        <w:tc>
          <w:tcPr>
            <w:tcW w:w="0" w:type="auto"/>
            <w:shd w:val="clear" w:color="auto" w:fill="auto"/>
          </w:tcPr>
          <w:p w14:paraId="33DADF46" w14:textId="77777777" w:rsidR="004D6A64" w:rsidRDefault="004D6A64">
            <w:pPr>
              <w:rPr>
                <w:rFonts w:ascii="宋体"/>
              </w:rPr>
            </w:pPr>
          </w:p>
        </w:tc>
        <w:tc>
          <w:tcPr>
            <w:tcW w:w="0" w:type="auto"/>
            <w:shd w:val="clear" w:color="auto" w:fill="auto"/>
          </w:tcPr>
          <w:p w14:paraId="33DADF47" w14:textId="77777777" w:rsidR="004D6A64" w:rsidRDefault="004D6A64">
            <w:pPr>
              <w:rPr>
                <w:rFonts w:ascii="宋体"/>
              </w:rPr>
            </w:pPr>
          </w:p>
        </w:tc>
        <w:tc>
          <w:tcPr>
            <w:tcW w:w="0" w:type="auto"/>
            <w:shd w:val="clear" w:color="auto" w:fill="auto"/>
          </w:tcPr>
          <w:p w14:paraId="33DADF48" w14:textId="77777777" w:rsidR="004D6A64" w:rsidRDefault="004D6A64">
            <w:pPr>
              <w:rPr>
                <w:rFonts w:ascii="宋体"/>
              </w:rPr>
            </w:pPr>
          </w:p>
        </w:tc>
        <w:tc>
          <w:tcPr>
            <w:tcW w:w="0" w:type="auto"/>
            <w:shd w:val="clear" w:color="auto" w:fill="auto"/>
          </w:tcPr>
          <w:p w14:paraId="33DADF49" w14:textId="77777777" w:rsidR="004D6A64" w:rsidRDefault="004D6A64">
            <w:pPr>
              <w:rPr>
                <w:rFonts w:ascii="宋体"/>
              </w:rPr>
            </w:pPr>
          </w:p>
        </w:tc>
        <w:tc>
          <w:tcPr>
            <w:tcW w:w="0" w:type="auto"/>
            <w:shd w:val="clear" w:color="auto" w:fill="auto"/>
          </w:tcPr>
          <w:p w14:paraId="33DADF4A" w14:textId="77777777" w:rsidR="004D6A64" w:rsidRDefault="004D6A64">
            <w:pPr>
              <w:rPr>
                <w:rFonts w:ascii="宋体"/>
              </w:rPr>
            </w:pPr>
          </w:p>
        </w:tc>
        <w:tc>
          <w:tcPr>
            <w:tcW w:w="0" w:type="auto"/>
            <w:shd w:val="clear" w:color="auto" w:fill="auto"/>
          </w:tcPr>
          <w:p w14:paraId="33DADF4B" w14:textId="77777777" w:rsidR="004D6A64" w:rsidRDefault="004D6A64">
            <w:pPr>
              <w:rPr>
                <w:rFonts w:ascii="宋体"/>
              </w:rPr>
            </w:pPr>
          </w:p>
        </w:tc>
        <w:tc>
          <w:tcPr>
            <w:tcW w:w="0" w:type="auto"/>
            <w:shd w:val="clear" w:color="auto" w:fill="auto"/>
          </w:tcPr>
          <w:p w14:paraId="33DADF4C" w14:textId="77777777" w:rsidR="004D6A64" w:rsidRDefault="004D6A64">
            <w:pPr>
              <w:rPr>
                <w:rFonts w:ascii="宋体"/>
              </w:rPr>
            </w:pPr>
          </w:p>
        </w:tc>
        <w:tc>
          <w:tcPr>
            <w:tcW w:w="0" w:type="auto"/>
            <w:shd w:val="clear" w:color="auto" w:fill="auto"/>
          </w:tcPr>
          <w:p w14:paraId="33DADF4D" w14:textId="77777777" w:rsidR="004D6A64" w:rsidRDefault="004D6A64">
            <w:pPr>
              <w:rPr>
                <w:rFonts w:ascii="宋体"/>
              </w:rPr>
            </w:pPr>
          </w:p>
        </w:tc>
        <w:tc>
          <w:tcPr>
            <w:tcW w:w="0" w:type="auto"/>
            <w:shd w:val="clear" w:color="auto" w:fill="auto"/>
          </w:tcPr>
          <w:p w14:paraId="33DADF4E" w14:textId="77777777" w:rsidR="004D6A64" w:rsidRDefault="004D6A64">
            <w:pPr>
              <w:rPr>
                <w:rFonts w:ascii="宋体"/>
              </w:rPr>
            </w:pPr>
          </w:p>
        </w:tc>
      </w:tr>
      <w:tr w:rsidR="004D6A64" w14:paraId="33DADF77" w14:textId="77777777">
        <w:trPr>
          <w:jc w:val="center"/>
        </w:trPr>
        <w:tc>
          <w:tcPr>
            <w:tcW w:w="0" w:type="auto"/>
            <w:gridSpan w:val="3"/>
            <w:shd w:val="clear" w:color="auto" w:fill="FFFFFF"/>
            <w:tcMar>
              <w:top w:w="40" w:type="dxa"/>
              <w:left w:w="135" w:type="dxa"/>
              <w:bottom w:w="40" w:type="dxa"/>
              <w:right w:w="20" w:type="dxa"/>
            </w:tcMar>
            <w:vAlign w:val="center"/>
          </w:tcPr>
          <w:p w14:paraId="33DADF50" w14:textId="77777777" w:rsidR="004D6A64" w:rsidRDefault="00506CD6">
            <w:pPr>
              <w:textAlignment w:val="center"/>
            </w:pPr>
            <w:r>
              <w:rPr>
                <w:rFonts w:ascii="Times New Roman" w:eastAsia="宋体" w:hAnsi="Times New Roman"/>
                <w:color w:val="000000"/>
                <w:sz w:val="20"/>
                <w:szCs w:val="20"/>
              </w:rPr>
              <w:t>Non-GAAP adjustments:</w:t>
            </w:r>
          </w:p>
        </w:tc>
        <w:tc>
          <w:tcPr>
            <w:tcW w:w="0" w:type="auto"/>
            <w:gridSpan w:val="3"/>
            <w:shd w:val="clear" w:color="auto" w:fill="FFFFFF"/>
            <w:tcMar>
              <w:left w:w="20" w:type="dxa"/>
              <w:right w:w="20" w:type="dxa"/>
            </w:tcMar>
            <w:vAlign w:val="bottom"/>
          </w:tcPr>
          <w:p w14:paraId="33DADF51"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F52"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F53"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F54"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F55"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F56"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F57"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F58"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F59"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F5A"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F5B" w14:textId="77777777" w:rsidR="004D6A64" w:rsidRDefault="004D6A64">
            <w:pPr>
              <w:rPr>
                <w:rFonts w:ascii="宋体"/>
              </w:rPr>
            </w:pPr>
          </w:p>
        </w:tc>
        <w:tc>
          <w:tcPr>
            <w:tcW w:w="0" w:type="auto"/>
            <w:shd w:val="clear" w:color="auto" w:fill="auto"/>
          </w:tcPr>
          <w:p w14:paraId="33DADF5C" w14:textId="77777777" w:rsidR="004D6A64" w:rsidRDefault="004D6A64">
            <w:pPr>
              <w:rPr>
                <w:rFonts w:ascii="宋体"/>
              </w:rPr>
            </w:pPr>
          </w:p>
        </w:tc>
        <w:tc>
          <w:tcPr>
            <w:tcW w:w="0" w:type="auto"/>
            <w:shd w:val="clear" w:color="auto" w:fill="auto"/>
          </w:tcPr>
          <w:p w14:paraId="33DADF5D" w14:textId="77777777" w:rsidR="004D6A64" w:rsidRDefault="004D6A64">
            <w:pPr>
              <w:rPr>
                <w:rFonts w:ascii="宋体"/>
              </w:rPr>
            </w:pPr>
          </w:p>
        </w:tc>
        <w:tc>
          <w:tcPr>
            <w:tcW w:w="0" w:type="auto"/>
            <w:shd w:val="clear" w:color="auto" w:fill="auto"/>
          </w:tcPr>
          <w:p w14:paraId="33DADF5E" w14:textId="77777777" w:rsidR="004D6A64" w:rsidRDefault="004D6A64">
            <w:pPr>
              <w:rPr>
                <w:rFonts w:ascii="宋体"/>
              </w:rPr>
            </w:pPr>
          </w:p>
        </w:tc>
        <w:tc>
          <w:tcPr>
            <w:tcW w:w="0" w:type="auto"/>
            <w:shd w:val="clear" w:color="auto" w:fill="auto"/>
          </w:tcPr>
          <w:p w14:paraId="33DADF5F" w14:textId="77777777" w:rsidR="004D6A64" w:rsidRDefault="004D6A64">
            <w:pPr>
              <w:rPr>
                <w:rFonts w:ascii="宋体"/>
              </w:rPr>
            </w:pPr>
          </w:p>
        </w:tc>
        <w:tc>
          <w:tcPr>
            <w:tcW w:w="0" w:type="auto"/>
            <w:shd w:val="clear" w:color="auto" w:fill="auto"/>
          </w:tcPr>
          <w:p w14:paraId="33DADF60" w14:textId="77777777" w:rsidR="004D6A64" w:rsidRDefault="004D6A64">
            <w:pPr>
              <w:rPr>
                <w:rFonts w:ascii="宋体"/>
              </w:rPr>
            </w:pPr>
          </w:p>
        </w:tc>
        <w:tc>
          <w:tcPr>
            <w:tcW w:w="0" w:type="auto"/>
            <w:shd w:val="clear" w:color="auto" w:fill="auto"/>
          </w:tcPr>
          <w:p w14:paraId="33DADF61" w14:textId="77777777" w:rsidR="004D6A64" w:rsidRDefault="004D6A64">
            <w:pPr>
              <w:rPr>
                <w:rFonts w:ascii="宋体"/>
              </w:rPr>
            </w:pPr>
          </w:p>
        </w:tc>
        <w:tc>
          <w:tcPr>
            <w:tcW w:w="0" w:type="auto"/>
            <w:shd w:val="clear" w:color="auto" w:fill="auto"/>
          </w:tcPr>
          <w:p w14:paraId="33DADF62" w14:textId="77777777" w:rsidR="004D6A64" w:rsidRDefault="004D6A64">
            <w:pPr>
              <w:rPr>
                <w:rFonts w:ascii="宋体"/>
              </w:rPr>
            </w:pPr>
          </w:p>
        </w:tc>
        <w:tc>
          <w:tcPr>
            <w:tcW w:w="0" w:type="auto"/>
            <w:shd w:val="clear" w:color="auto" w:fill="auto"/>
          </w:tcPr>
          <w:p w14:paraId="33DADF63" w14:textId="77777777" w:rsidR="004D6A64" w:rsidRDefault="004D6A64">
            <w:pPr>
              <w:rPr>
                <w:rFonts w:ascii="宋体"/>
              </w:rPr>
            </w:pPr>
          </w:p>
        </w:tc>
        <w:tc>
          <w:tcPr>
            <w:tcW w:w="0" w:type="auto"/>
            <w:shd w:val="clear" w:color="auto" w:fill="auto"/>
          </w:tcPr>
          <w:p w14:paraId="33DADF64" w14:textId="77777777" w:rsidR="004D6A64" w:rsidRDefault="004D6A64">
            <w:pPr>
              <w:rPr>
                <w:rFonts w:ascii="宋体"/>
              </w:rPr>
            </w:pPr>
          </w:p>
        </w:tc>
        <w:tc>
          <w:tcPr>
            <w:tcW w:w="0" w:type="auto"/>
            <w:shd w:val="clear" w:color="auto" w:fill="auto"/>
          </w:tcPr>
          <w:p w14:paraId="33DADF65" w14:textId="77777777" w:rsidR="004D6A64" w:rsidRDefault="004D6A64">
            <w:pPr>
              <w:rPr>
                <w:rFonts w:ascii="宋体"/>
              </w:rPr>
            </w:pPr>
          </w:p>
        </w:tc>
        <w:tc>
          <w:tcPr>
            <w:tcW w:w="0" w:type="auto"/>
            <w:shd w:val="clear" w:color="auto" w:fill="auto"/>
          </w:tcPr>
          <w:p w14:paraId="33DADF66" w14:textId="77777777" w:rsidR="004D6A64" w:rsidRDefault="004D6A64">
            <w:pPr>
              <w:rPr>
                <w:rFonts w:ascii="宋体"/>
              </w:rPr>
            </w:pPr>
          </w:p>
        </w:tc>
        <w:tc>
          <w:tcPr>
            <w:tcW w:w="0" w:type="auto"/>
            <w:shd w:val="clear" w:color="auto" w:fill="auto"/>
          </w:tcPr>
          <w:p w14:paraId="33DADF67" w14:textId="77777777" w:rsidR="004D6A64" w:rsidRDefault="004D6A64">
            <w:pPr>
              <w:rPr>
                <w:rFonts w:ascii="宋体"/>
              </w:rPr>
            </w:pPr>
          </w:p>
        </w:tc>
        <w:tc>
          <w:tcPr>
            <w:tcW w:w="0" w:type="auto"/>
            <w:shd w:val="clear" w:color="auto" w:fill="auto"/>
          </w:tcPr>
          <w:p w14:paraId="33DADF68" w14:textId="77777777" w:rsidR="004D6A64" w:rsidRDefault="004D6A64">
            <w:pPr>
              <w:rPr>
                <w:rFonts w:ascii="宋体"/>
              </w:rPr>
            </w:pPr>
          </w:p>
        </w:tc>
        <w:tc>
          <w:tcPr>
            <w:tcW w:w="0" w:type="auto"/>
            <w:shd w:val="clear" w:color="auto" w:fill="auto"/>
          </w:tcPr>
          <w:p w14:paraId="33DADF69" w14:textId="77777777" w:rsidR="004D6A64" w:rsidRDefault="004D6A64">
            <w:pPr>
              <w:rPr>
                <w:rFonts w:ascii="宋体"/>
              </w:rPr>
            </w:pPr>
          </w:p>
        </w:tc>
        <w:tc>
          <w:tcPr>
            <w:tcW w:w="0" w:type="auto"/>
            <w:shd w:val="clear" w:color="auto" w:fill="auto"/>
          </w:tcPr>
          <w:p w14:paraId="33DADF6A" w14:textId="77777777" w:rsidR="004D6A64" w:rsidRDefault="004D6A64">
            <w:pPr>
              <w:rPr>
                <w:rFonts w:ascii="宋体"/>
              </w:rPr>
            </w:pPr>
          </w:p>
        </w:tc>
        <w:tc>
          <w:tcPr>
            <w:tcW w:w="0" w:type="auto"/>
            <w:shd w:val="clear" w:color="auto" w:fill="auto"/>
          </w:tcPr>
          <w:p w14:paraId="33DADF6B" w14:textId="77777777" w:rsidR="004D6A64" w:rsidRDefault="004D6A64">
            <w:pPr>
              <w:rPr>
                <w:rFonts w:ascii="宋体"/>
              </w:rPr>
            </w:pPr>
          </w:p>
        </w:tc>
        <w:tc>
          <w:tcPr>
            <w:tcW w:w="0" w:type="auto"/>
            <w:shd w:val="clear" w:color="auto" w:fill="auto"/>
          </w:tcPr>
          <w:p w14:paraId="33DADF6C" w14:textId="77777777" w:rsidR="004D6A64" w:rsidRDefault="004D6A64">
            <w:pPr>
              <w:rPr>
                <w:rFonts w:ascii="宋体"/>
              </w:rPr>
            </w:pPr>
          </w:p>
        </w:tc>
        <w:tc>
          <w:tcPr>
            <w:tcW w:w="0" w:type="auto"/>
            <w:shd w:val="clear" w:color="auto" w:fill="auto"/>
          </w:tcPr>
          <w:p w14:paraId="33DADF6D" w14:textId="77777777" w:rsidR="004D6A64" w:rsidRDefault="004D6A64">
            <w:pPr>
              <w:rPr>
                <w:rFonts w:ascii="宋体"/>
              </w:rPr>
            </w:pPr>
          </w:p>
        </w:tc>
        <w:tc>
          <w:tcPr>
            <w:tcW w:w="0" w:type="auto"/>
            <w:shd w:val="clear" w:color="auto" w:fill="auto"/>
          </w:tcPr>
          <w:p w14:paraId="33DADF6E" w14:textId="77777777" w:rsidR="004D6A64" w:rsidRDefault="004D6A64">
            <w:pPr>
              <w:rPr>
                <w:rFonts w:ascii="宋体"/>
              </w:rPr>
            </w:pPr>
          </w:p>
        </w:tc>
        <w:tc>
          <w:tcPr>
            <w:tcW w:w="0" w:type="auto"/>
            <w:shd w:val="clear" w:color="auto" w:fill="auto"/>
          </w:tcPr>
          <w:p w14:paraId="33DADF6F" w14:textId="77777777" w:rsidR="004D6A64" w:rsidRDefault="004D6A64">
            <w:pPr>
              <w:rPr>
                <w:rFonts w:ascii="宋体"/>
              </w:rPr>
            </w:pPr>
          </w:p>
        </w:tc>
        <w:tc>
          <w:tcPr>
            <w:tcW w:w="0" w:type="auto"/>
            <w:shd w:val="clear" w:color="auto" w:fill="auto"/>
          </w:tcPr>
          <w:p w14:paraId="33DADF70" w14:textId="77777777" w:rsidR="004D6A64" w:rsidRDefault="004D6A64">
            <w:pPr>
              <w:rPr>
                <w:rFonts w:ascii="宋体"/>
              </w:rPr>
            </w:pPr>
          </w:p>
        </w:tc>
        <w:tc>
          <w:tcPr>
            <w:tcW w:w="0" w:type="auto"/>
            <w:shd w:val="clear" w:color="auto" w:fill="auto"/>
          </w:tcPr>
          <w:p w14:paraId="33DADF71" w14:textId="77777777" w:rsidR="004D6A64" w:rsidRDefault="004D6A64">
            <w:pPr>
              <w:rPr>
                <w:rFonts w:ascii="宋体"/>
              </w:rPr>
            </w:pPr>
          </w:p>
        </w:tc>
        <w:tc>
          <w:tcPr>
            <w:tcW w:w="0" w:type="auto"/>
            <w:shd w:val="clear" w:color="auto" w:fill="auto"/>
          </w:tcPr>
          <w:p w14:paraId="33DADF72" w14:textId="77777777" w:rsidR="004D6A64" w:rsidRDefault="004D6A64">
            <w:pPr>
              <w:rPr>
                <w:rFonts w:ascii="宋体"/>
              </w:rPr>
            </w:pPr>
          </w:p>
        </w:tc>
        <w:tc>
          <w:tcPr>
            <w:tcW w:w="0" w:type="auto"/>
            <w:shd w:val="clear" w:color="auto" w:fill="auto"/>
          </w:tcPr>
          <w:p w14:paraId="33DADF73" w14:textId="77777777" w:rsidR="004D6A64" w:rsidRDefault="004D6A64">
            <w:pPr>
              <w:rPr>
                <w:rFonts w:ascii="宋体"/>
              </w:rPr>
            </w:pPr>
          </w:p>
        </w:tc>
        <w:tc>
          <w:tcPr>
            <w:tcW w:w="0" w:type="auto"/>
            <w:shd w:val="clear" w:color="auto" w:fill="auto"/>
          </w:tcPr>
          <w:p w14:paraId="33DADF74" w14:textId="77777777" w:rsidR="004D6A64" w:rsidRDefault="004D6A64">
            <w:pPr>
              <w:rPr>
                <w:rFonts w:ascii="宋体"/>
              </w:rPr>
            </w:pPr>
          </w:p>
        </w:tc>
        <w:tc>
          <w:tcPr>
            <w:tcW w:w="0" w:type="auto"/>
            <w:shd w:val="clear" w:color="auto" w:fill="auto"/>
          </w:tcPr>
          <w:p w14:paraId="33DADF75" w14:textId="77777777" w:rsidR="004D6A64" w:rsidRDefault="004D6A64">
            <w:pPr>
              <w:rPr>
                <w:rFonts w:ascii="宋体"/>
              </w:rPr>
            </w:pPr>
          </w:p>
        </w:tc>
        <w:tc>
          <w:tcPr>
            <w:tcW w:w="0" w:type="auto"/>
            <w:shd w:val="clear" w:color="auto" w:fill="auto"/>
          </w:tcPr>
          <w:p w14:paraId="33DADF76" w14:textId="77777777" w:rsidR="004D6A64" w:rsidRDefault="004D6A64">
            <w:pPr>
              <w:rPr>
                <w:rFonts w:ascii="宋体"/>
              </w:rPr>
            </w:pPr>
          </w:p>
        </w:tc>
      </w:tr>
      <w:tr w:rsidR="004D6A64" w14:paraId="33DADFA3" w14:textId="77777777">
        <w:trPr>
          <w:jc w:val="center"/>
        </w:trPr>
        <w:tc>
          <w:tcPr>
            <w:tcW w:w="0" w:type="auto"/>
            <w:gridSpan w:val="3"/>
            <w:shd w:val="clear" w:color="auto" w:fill="CCEEFF"/>
            <w:tcMar>
              <w:top w:w="40" w:type="dxa"/>
              <w:left w:w="225" w:type="dxa"/>
              <w:bottom w:w="40" w:type="dxa"/>
              <w:right w:w="20" w:type="dxa"/>
            </w:tcMar>
            <w:vAlign w:val="center"/>
          </w:tcPr>
          <w:p w14:paraId="33DADF78" w14:textId="77777777" w:rsidR="004D6A64" w:rsidRDefault="00506CD6">
            <w:pPr>
              <w:textAlignment w:val="center"/>
            </w:pPr>
            <w:r>
              <w:rPr>
                <w:rFonts w:ascii="Times New Roman" w:eastAsia="宋体" w:hAnsi="Times New Roman"/>
                <w:color w:val="000000"/>
                <w:sz w:val="20"/>
                <w:szCs w:val="20"/>
              </w:rPr>
              <w:t>Amortization of intangibles</w:t>
            </w:r>
          </w:p>
        </w:tc>
        <w:tc>
          <w:tcPr>
            <w:tcW w:w="0" w:type="auto"/>
            <w:gridSpan w:val="2"/>
            <w:shd w:val="clear" w:color="auto" w:fill="CCEEFF"/>
            <w:tcMar>
              <w:top w:w="40" w:type="dxa"/>
              <w:left w:w="20" w:type="dxa"/>
              <w:bottom w:w="40" w:type="dxa"/>
              <w:right w:w="0" w:type="dxa"/>
            </w:tcMar>
            <w:vAlign w:val="center"/>
          </w:tcPr>
          <w:p w14:paraId="33DADF79" w14:textId="77777777" w:rsidR="004D6A64" w:rsidRDefault="00506CD6">
            <w:pPr>
              <w:jc w:val="right"/>
              <w:textAlignment w:val="center"/>
            </w:pPr>
            <w:r>
              <w:rPr>
                <w:rFonts w:ascii="Times New Roman" w:eastAsia="宋体" w:hAnsi="Times New Roman"/>
                <w:color w:val="000000"/>
                <w:sz w:val="20"/>
                <w:szCs w:val="20"/>
              </w:rPr>
              <w:t>1 </w:t>
            </w:r>
          </w:p>
        </w:tc>
        <w:tc>
          <w:tcPr>
            <w:tcW w:w="0" w:type="auto"/>
            <w:shd w:val="clear" w:color="auto" w:fill="CCEEFF"/>
            <w:tcMar>
              <w:top w:w="40" w:type="dxa"/>
              <w:bottom w:w="40" w:type="dxa"/>
              <w:right w:w="20" w:type="dxa"/>
            </w:tcMar>
            <w:vAlign w:val="center"/>
          </w:tcPr>
          <w:p w14:paraId="33DADF7A" w14:textId="77777777" w:rsidR="004D6A64" w:rsidRDefault="004D6A64">
            <w:pPr>
              <w:jc w:val="right"/>
              <w:rPr>
                <w:rFonts w:ascii="宋体"/>
              </w:rPr>
            </w:pPr>
          </w:p>
        </w:tc>
        <w:tc>
          <w:tcPr>
            <w:tcW w:w="0" w:type="auto"/>
            <w:gridSpan w:val="3"/>
            <w:shd w:val="clear" w:color="auto" w:fill="CCEEFF"/>
            <w:tcMar>
              <w:left w:w="20" w:type="dxa"/>
              <w:right w:w="20" w:type="dxa"/>
            </w:tcMar>
            <w:vAlign w:val="center"/>
          </w:tcPr>
          <w:p w14:paraId="33DADF7B" w14:textId="77777777" w:rsidR="004D6A64" w:rsidRDefault="004D6A64">
            <w:pPr>
              <w:rPr>
                <w:rFonts w:ascii="宋体"/>
              </w:rPr>
            </w:pPr>
          </w:p>
        </w:tc>
        <w:tc>
          <w:tcPr>
            <w:tcW w:w="0" w:type="auto"/>
            <w:gridSpan w:val="3"/>
            <w:shd w:val="clear" w:color="auto" w:fill="CCEEFF"/>
            <w:tcMar>
              <w:left w:w="20" w:type="dxa"/>
              <w:right w:w="20" w:type="dxa"/>
            </w:tcMar>
            <w:vAlign w:val="center"/>
          </w:tcPr>
          <w:p w14:paraId="33DADF7C" w14:textId="77777777" w:rsidR="004D6A64" w:rsidRDefault="004D6A64">
            <w:pPr>
              <w:rPr>
                <w:rFonts w:ascii="宋体"/>
              </w:rPr>
            </w:pPr>
          </w:p>
        </w:tc>
        <w:tc>
          <w:tcPr>
            <w:tcW w:w="0" w:type="auto"/>
            <w:gridSpan w:val="3"/>
            <w:shd w:val="clear" w:color="auto" w:fill="CCEEFF"/>
            <w:tcMar>
              <w:left w:w="20" w:type="dxa"/>
              <w:right w:w="20" w:type="dxa"/>
            </w:tcMar>
            <w:vAlign w:val="center"/>
          </w:tcPr>
          <w:p w14:paraId="33DADF7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F7E"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DF7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F80"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F81" w14:textId="77777777" w:rsidR="004D6A64" w:rsidRDefault="00506CD6">
            <w:pPr>
              <w:jc w:val="right"/>
              <w:textAlignment w:val="center"/>
            </w:pPr>
            <w:r>
              <w:rPr>
                <w:rFonts w:ascii="Times New Roman" w:eastAsia="宋体" w:hAnsi="Times New Roman"/>
                <w:color w:val="000000"/>
                <w:sz w:val="20"/>
                <w:szCs w:val="20"/>
              </w:rPr>
              <w:t>1 </w:t>
            </w:r>
          </w:p>
        </w:tc>
        <w:tc>
          <w:tcPr>
            <w:tcW w:w="0" w:type="auto"/>
            <w:shd w:val="clear" w:color="auto" w:fill="CCEEFF"/>
            <w:tcMar>
              <w:top w:w="40" w:type="dxa"/>
              <w:bottom w:w="40" w:type="dxa"/>
              <w:right w:w="20" w:type="dxa"/>
            </w:tcMar>
            <w:vAlign w:val="center"/>
          </w:tcPr>
          <w:p w14:paraId="33DADF8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F83"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F84"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F8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F86"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DF87" w14:textId="77777777" w:rsidR="004D6A64" w:rsidRDefault="004D6A64">
            <w:pPr>
              <w:jc w:val="right"/>
              <w:rPr>
                <w:rFonts w:ascii="宋体"/>
              </w:rPr>
            </w:pPr>
          </w:p>
        </w:tc>
        <w:tc>
          <w:tcPr>
            <w:tcW w:w="0" w:type="auto"/>
            <w:shd w:val="clear" w:color="auto" w:fill="auto"/>
          </w:tcPr>
          <w:p w14:paraId="33DADF88" w14:textId="77777777" w:rsidR="004D6A64" w:rsidRDefault="004D6A64">
            <w:pPr>
              <w:rPr>
                <w:rFonts w:ascii="宋体"/>
              </w:rPr>
            </w:pPr>
          </w:p>
        </w:tc>
        <w:tc>
          <w:tcPr>
            <w:tcW w:w="0" w:type="auto"/>
            <w:shd w:val="clear" w:color="auto" w:fill="auto"/>
          </w:tcPr>
          <w:p w14:paraId="33DADF89" w14:textId="77777777" w:rsidR="004D6A64" w:rsidRDefault="004D6A64">
            <w:pPr>
              <w:rPr>
                <w:rFonts w:ascii="宋体"/>
              </w:rPr>
            </w:pPr>
          </w:p>
        </w:tc>
        <w:tc>
          <w:tcPr>
            <w:tcW w:w="0" w:type="auto"/>
            <w:shd w:val="clear" w:color="auto" w:fill="auto"/>
          </w:tcPr>
          <w:p w14:paraId="33DADF8A" w14:textId="77777777" w:rsidR="004D6A64" w:rsidRDefault="004D6A64">
            <w:pPr>
              <w:rPr>
                <w:rFonts w:ascii="宋体"/>
              </w:rPr>
            </w:pPr>
          </w:p>
        </w:tc>
        <w:tc>
          <w:tcPr>
            <w:tcW w:w="0" w:type="auto"/>
            <w:shd w:val="clear" w:color="auto" w:fill="auto"/>
          </w:tcPr>
          <w:p w14:paraId="33DADF8B" w14:textId="77777777" w:rsidR="004D6A64" w:rsidRDefault="004D6A64">
            <w:pPr>
              <w:rPr>
                <w:rFonts w:ascii="宋体"/>
              </w:rPr>
            </w:pPr>
          </w:p>
        </w:tc>
        <w:tc>
          <w:tcPr>
            <w:tcW w:w="0" w:type="auto"/>
            <w:shd w:val="clear" w:color="auto" w:fill="auto"/>
          </w:tcPr>
          <w:p w14:paraId="33DADF8C" w14:textId="77777777" w:rsidR="004D6A64" w:rsidRDefault="004D6A64">
            <w:pPr>
              <w:rPr>
                <w:rFonts w:ascii="宋体"/>
              </w:rPr>
            </w:pPr>
          </w:p>
        </w:tc>
        <w:tc>
          <w:tcPr>
            <w:tcW w:w="0" w:type="auto"/>
            <w:shd w:val="clear" w:color="auto" w:fill="auto"/>
          </w:tcPr>
          <w:p w14:paraId="33DADF8D" w14:textId="77777777" w:rsidR="004D6A64" w:rsidRDefault="004D6A64">
            <w:pPr>
              <w:rPr>
                <w:rFonts w:ascii="宋体"/>
              </w:rPr>
            </w:pPr>
          </w:p>
        </w:tc>
        <w:tc>
          <w:tcPr>
            <w:tcW w:w="0" w:type="auto"/>
            <w:shd w:val="clear" w:color="auto" w:fill="auto"/>
          </w:tcPr>
          <w:p w14:paraId="33DADF8E" w14:textId="77777777" w:rsidR="004D6A64" w:rsidRDefault="004D6A64">
            <w:pPr>
              <w:rPr>
                <w:rFonts w:ascii="宋体"/>
              </w:rPr>
            </w:pPr>
          </w:p>
        </w:tc>
        <w:tc>
          <w:tcPr>
            <w:tcW w:w="0" w:type="auto"/>
            <w:shd w:val="clear" w:color="auto" w:fill="auto"/>
          </w:tcPr>
          <w:p w14:paraId="33DADF8F" w14:textId="77777777" w:rsidR="004D6A64" w:rsidRDefault="004D6A64">
            <w:pPr>
              <w:rPr>
                <w:rFonts w:ascii="宋体"/>
              </w:rPr>
            </w:pPr>
          </w:p>
        </w:tc>
        <w:tc>
          <w:tcPr>
            <w:tcW w:w="0" w:type="auto"/>
            <w:shd w:val="clear" w:color="auto" w:fill="auto"/>
          </w:tcPr>
          <w:p w14:paraId="33DADF90" w14:textId="77777777" w:rsidR="004D6A64" w:rsidRDefault="004D6A64">
            <w:pPr>
              <w:rPr>
                <w:rFonts w:ascii="宋体"/>
              </w:rPr>
            </w:pPr>
          </w:p>
        </w:tc>
        <w:tc>
          <w:tcPr>
            <w:tcW w:w="0" w:type="auto"/>
            <w:shd w:val="clear" w:color="auto" w:fill="auto"/>
          </w:tcPr>
          <w:p w14:paraId="33DADF91" w14:textId="77777777" w:rsidR="004D6A64" w:rsidRDefault="004D6A64">
            <w:pPr>
              <w:rPr>
                <w:rFonts w:ascii="宋体"/>
              </w:rPr>
            </w:pPr>
          </w:p>
        </w:tc>
        <w:tc>
          <w:tcPr>
            <w:tcW w:w="0" w:type="auto"/>
            <w:shd w:val="clear" w:color="auto" w:fill="auto"/>
          </w:tcPr>
          <w:p w14:paraId="33DADF92" w14:textId="77777777" w:rsidR="004D6A64" w:rsidRDefault="004D6A64">
            <w:pPr>
              <w:rPr>
                <w:rFonts w:ascii="宋体"/>
              </w:rPr>
            </w:pPr>
          </w:p>
        </w:tc>
        <w:tc>
          <w:tcPr>
            <w:tcW w:w="0" w:type="auto"/>
            <w:shd w:val="clear" w:color="auto" w:fill="auto"/>
          </w:tcPr>
          <w:p w14:paraId="33DADF93" w14:textId="77777777" w:rsidR="004D6A64" w:rsidRDefault="004D6A64">
            <w:pPr>
              <w:rPr>
                <w:rFonts w:ascii="宋体"/>
              </w:rPr>
            </w:pPr>
          </w:p>
        </w:tc>
        <w:tc>
          <w:tcPr>
            <w:tcW w:w="0" w:type="auto"/>
            <w:shd w:val="clear" w:color="auto" w:fill="auto"/>
          </w:tcPr>
          <w:p w14:paraId="33DADF94" w14:textId="77777777" w:rsidR="004D6A64" w:rsidRDefault="004D6A64">
            <w:pPr>
              <w:rPr>
                <w:rFonts w:ascii="宋体"/>
              </w:rPr>
            </w:pPr>
          </w:p>
        </w:tc>
        <w:tc>
          <w:tcPr>
            <w:tcW w:w="0" w:type="auto"/>
            <w:shd w:val="clear" w:color="auto" w:fill="auto"/>
          </w:tcPr>
          <w:p w14:paraId="33DADF95" w14:textId="77777777" w:rsidR="004D6A64" w:rsidRDefault="004D6A64">
            <w:pPr>
              <w:rPr>
                <w:rFonts w:ascii="宋体"/>
              </w:rPr>
            </w:pPr>
          </w:p>
        </w:tc>
        <w:tc>
          <w:tcPr>
            <w:tcW w:w="0" w:type="auto"/>
            <w:shd w:val="clear" w:color="auto" w:fill="auto"/>
          </w:tcPr>
          <w:p w14:paraId="33DADF96" w14:textId="77777777" w:rsidR="004D6A64" w:rsidRDefault="004D6A64">
            <w:pPr>
              <w:rPr>
                <w:rFonts w:ascii="宋体"/>
              </w:rPr>
            </w:pPr>
          </w:p>
        </w:tc>
        <w:tc>
          <w:tcPr>
            <w:tcW w:w="0" w:type="auto"/>
            <w:shd w:val="clear" w:color="auto" w:fill="auto"/>
          </w:tcPr>
          <w:p w14:paraId="33DADF97" w14:textId="77777777" w:rsidR="004D6A64" w:rsidRDefault="004D6A64">
            <w:pPr>
              <w:rPr>
                <w:rFonts w:ascii="宋体"/>
              </w:rPr>
            </w:pPr>
          </w:p>
        </w:tc>
        <w:tc>
          <w:tcPr>
            <w:tcW w:w="0" w:type="auto"/>
            <w:shd w:val="clear" w:color="auto" w:fill="auto"/>
          </w:tcPr>
          <w:p w14:paraId="33DADF98" w14:textId="77777777" w:rsidR="004D6A64" w:rsidRDefault="004D6A64">
            <w:pPr>
              <w:rPr>
                <w:rFonts w:ascii="宋体"/>
              </w:rPr>
            </w:pPr>
          </w:p>
        </w:tc>
        <w:tc>
          <w:tcPr>
            <w:tcW w:w="0" w:type="auto"/>
            <w:shd w:val="clear" w:color="auto" w:fill="auto"/>
          </w:tcPr>
          <w:p w14:paraId="33DADF99" w14:textId="77777777" w:rsidR="004D6A64" w:rsidRDefault="004D6A64">
            <w:pPr>
              <w:rPr>
                <w:rFonts w:ascii="宋体"/>
              </w:rPr>
            </w:pPr>
          </w:p>
        </w:tc>
        <w:tc>
          <w:tcPr>
            <w:tcW w:w="0" w:type="auto"/>
            <w:shd w:val="clear" w:color="auto" w:fill="auto"/>
          </w:tcPr>
          <w:p w14:paraId="33DADF9A" w14:textId="77777777" w:rsidR="004D6A64" w:rsidRDefault="004D6A64">
            <w:pPr>
              <w:rPr>
                <w:rFonts w:ascii="宋体"/>
              </w:rPr>
            </w:pPr>
          </w:p>
        </w:tc>
        <w:tc>
          <w:tcPr>
            <w:tcW w:w="0" w:type="auto"/>
            <w:shd w:val="clear" w:color="auto" w:fill="auto"/>
          </w:tcPr>
          <w:p w14:paraId="33DADF9B" w14:textId="77777777" w:rsidR="004D6A64" w:rsidRDefault="004D6A64">
            <w:pPr>
              <w:rPr>
                <w:rFonts w:ascii="宋体"/>
              </w:rPr>
            </w:pPr>
          </w:p>
        </w:tc>
        <w:tc>
          <w:tcPr>
            <w:tcW w:w="0" w:type="auto"/>
            <w:shd w:val="clear" w:color="auto" w:fill="auto"/>
          </w:tcPr>
          <w:p w14:paraId="33DADF9C" w14:textId="77777777" w:rsidR="004D6A64" w:rsidRDefault="004D6A64">
            <w:pPr>
              <w:rPr>
                <w:rFonts w:ascii="宋体"/>
              </w:rPr>
            </w:pPr>
          </w:p>
        </w:tc>
        <w:tc>
          <w:tcPr>
            <w:tcW w:w="0" w:type="auto"/>
            <w:shd w:val="clear" w:color="auto" w:fill="auto"/>
          </w:tcPr>
          <w:p w14:paraId="33DADF9D" w14:textId="77777777" w:rsidR="004D6A64" w:rsidRDefault="004D6A64">
            <w:pPr>
              <w:rPr>
                <w:rFonts w:ascii="宋体"/>
              </w:rPr>
            </w:pPr>
          </w:p>
        </w:tc>
        <w:tc>
          <w:tcPr>
            <w:tcW w:w="0" w:type="auto"/>
            <w:shd w:val="clear" w:color="auto" w:fill="auto"/>
          </w:tcPr>
          <w:p w14:paraId="33DADF9E" w14:textId="77777777" w:rsidR="004D6A64" w:rsidRDefault="004D6A64">
            <w:pPr>
              <w:rPr>
                <w:rFonts w:ascii="宋体"/>
              </w:rPr>
            </w:pPr>
          </w:p>
        </w:tc>
        <w:tc>
          <w:tcPr>
            <w:tcW w:w="0" w:type="auto"/>
            <w:shd w:val="clear" w:color="auto" w:fill="auto"/>
          </w:tcPr>
          <w:p w14:paraId="33DADF9F" w14:textId="77777777" w:rsidR="004D6A64" w:rsidRDefault="004D6A64">
            <w:pPr>
              <w:rPr>
                <w:rFonts w:ascii="宋体"/>
              </w:rPr>
            </w:pPr>
          </w:p>
        </w:tc>
        <w:tc>
          <w:tcPr>
            <w:tcW w:w="0" w:type="auto"/>
            <w:shd w:val="clear" w:color="auto" w:fill="auto"/>
          </w:tcPr>
          <w:p w14:paraId="33DADFA0" w14:textId="77777777" w:rsidR="004D6A64" w:rsidRDefault="004D6A64">
            <w:pPr>
              <w:rPr>
                <w:rFonts w:ascii="宋体"/>
              </w:rPr>
            </w:pPr>
          </w:p>
        </w:tc>
        <w:tc>
          <w:tcPr>
            <w:tcW w:w="0" w:type="auto"/>
            <w:shd w:val="clear" w:color="auto" w:fill="auto"/>
          </w:tcPr>
          <w:p w14:paraId="33DADFA1" w14:textId="77777777" w:rsidR="004D6A64" w:rsidRDefault="004D6A64">
            <w:pPr>
              <w:rPr>
                <w:rFonts w:ascii="宋体"/>
              </w:rPr>
            </w:pPr>
          </w:p>
        </w:tc>
        <w:tc>
          <w:tcPr>
            <w:tcW w:w="0" w:type="auto"/>
            <w:shd w:val="clear" w:color="auto" w:fill="auto"/>
          </w:tcPr>
          <w:p w14:paraId="33DADFA2" w14:textId="77777777" w:rsidR="004D6A64" w:rsidRDefault="004D6A64">
            <w:pPr>
              <w:rPr>
                <w:rFonts w:ascii="宋体"/>
              </w:rPr>
            </w:pPr>
          </w:p>
        </w:tc>
      </w:tr>
      <w:tr w:rsidR="004D6A64" w14:paraId="33DADFCF" w14:textId="77777777">
        <w:trPr>
          <w:jc w:val="center"/>
        </w:trPr>
        <w:tc>
          <w:tcPr>
            <w:tcW w:w="0" w:type="auto"/>
            <w:gridSpan w:val="3"/>
            <w:shd w:val="clear" w:color="auto" w:fill="FFFFFF"/>
            <w:tcMar>
              <w:top w:w="40" w:type="dxa"/>
              <w:left w:w="225" w:type="dxa"/>
              <w:bottom w:w="40" w:type="dxa"/>
              <w:right w:w="20" w:type="dxa"/>
            </w:tcMar>
            <w:vAlign w:val="center"/>
          </w:tcPr>
          <w:p w14:paraId="33DADFA4" w14:textId="77777777" w:rsidR="004D6A64" w:rsidRDefault="00506CD6">
            <w:pPr>
              <w:textAlignment w:val="center"/>
            </w:pPr>
            <w:r>
              <w:rPr>
                <w:rFonts w:ascii="Times New Roman" w:eastAsia="宋体" w:hAnsi="Times New Roman"/>
                <w:color w:val="000000"/>
                <w:sz w:val="20"/>
                <w:szCs w:val="20"/>
              </w:rPr>
              <w:t>Impact of purchase accounting</w:t>
            </w:r>
          </w:p>
        </w:tc>
        <w:tc>
          <w:tcPr>
            <w:tcW w:w="0" w:type="auto"/>
            <w:gridSpan w:val="2"/>
            <w:shd w:val="clear" w:color="auto" w:fill="FFFFFF"/>
            <w:tcMar>
              <w:top w:w="40" w:type="dxa"/>
              <w:left w:w="20" w:type="dxa"/>
              <w:bottom w:w="40" w:type="dxa"/>
              <w:right w:w="0" w:type="dxa"/>
            </w:tcMar>
            <w:vAlign w:val="center"/>
          </w:tcPr>
          <w:p w14:paraId="33DADFA5" w14:textId="77777777" w:rsidR="004D6A64" w:rsidRDefault="00506CD6">
            <w:pPr>
              <w:jc w:val="right"/>
              <w:textAlignment w:val="center"/>
            </w:pPr>
            <w:r>
              <w:rPr>
                <w:rFonts w:ascii="Times New Roman" w:eastAsia="宋体" w:hAnsi="Times New Roman"/>
                <w:color w:val="000000"/>
                <w:sz w:val="20"/>
                <w:szCs w:val="20"/>
              </w:rPr>
              <w:t>40 </w:t>
            </w:r>
          </w:p>
        </w:tc>
        <w:tc>
          <w:tcPr>
            <w:tcW w:w="0" w:type="auto"/>
            <w:shd w:val="clear" w:color="auto" w:fill="FFFFFF"/>
            <w:tcMar>
              <w:top w:w="40" w:type="dxa"/>
              <w:bottom w:w="40" w:type="dxa"/>
              <w:right w:w="20" w:type="dxa"/>
            </w:tcMar>
            <w:vAlign w:val="center"/>
          </w:tcPr>
          <w:p w14:paraId="33DADFA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FA7"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FA8"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FA9"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FAA" w14:textId="77777777" w:rsidR="004D6A64" w:rsidRDefault="00506CD6">
            <w:pPr>
              <w:jc w:val="right"/>
              <w:textAlignment w:val="center"/>
            </w:pPr>
            <w:r>
              <w:rPr>
                <w:rFonts w:ascii="Times New Roman" w:eastAsia="宋体" w:hAnsi="Times New Roman"/>
                <w:color w:val="000000"/>
                <w:sz w:val="20"/>
                <w:szCs w:val="20"/>
              </w:rPr>
              <w:t>78 </w:t>
            </w:r>
          </w:p>
        </w:tc>
        <w:tc>
          <w:tcPr>
            <w:tcW w:w="0" w:type="auto"/>
            <w:shd w:val="clear" w:color="auto" w:fill="FFFFFF"/>
            <w:tcMar>
              <w:top w:w="40" w:type="dxa"/>
              <w:bottom w:w="40" w:type="dxa"/>
              <w:right w:w="20" w:type="dxa"/>
            </w:tcMar>
            <w:vAlign w:val="center"/>
          </w:tcPr>
          <w:p w14:paraId="33DADFA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FAC"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FAD" w14:textId="77777777" w:rsidR="004D6A64" w:rsidRDefault="00506CD6">
            <w:pPr>
              <w:jc w:val="right"/>
              <w:textAlignment w:val="center"/>
            </w:pPr>
            <w:r>
              <w:rPr>
                <w:rFonts w:ascii="Times New Roman" w:eastAsia="宋体" w:hAnsi="Times New Roman"/>
                <w:color w:val="000000"/>
                <w:sz w:val="20"/>
                <w:szCs w:val="20"/>
              </w:rPr>
              <w:t>84 </w:t>
            </w:r>
          </w:p>
        </w:tc>
        <w:tc>
          <w:tcPr>
            <w:tcW w:w="0" w:type="auto"/>
            <w:shd w:val="clear" w:color="auto" w:fill="FFFFFF"/>
            <w:tcMar>
              <w:top w:w="40" w:type="dxa"/>
              <w:bottom w:w="40" w:type="dxa"/>
              <w:right w:w="20" w:type="dxa"/>
            </w:tcMar>
            <w:vAlign w:val="center"/>
          </w:tcPr>
          <w:p w14:paraId="33DADFA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FAF"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FB0"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DFB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DFB2" w14:textId="77777777" w:rsidR="004D6A64" w:rsidRDefault="00506CD6">
            <w:pPr>
              <w:jc w:val="right"/>
              <w:textAlignment w:val="center"/>
            </w:pPr>
            <w:r>
              <w:rPr>
                <w:rFonts w:ascii="Times New Roman" w:eastAsia="宋体" w:hAnsi="Times New Roman"/>
                <w:color w:val="000000"/>
                <w:sz w:val="20"/>
                <w:szCs w:val="20"/>
              </w:rPr>
              <w:t>156 </w:t>
            </w:r>
          </w:p>
        </w:tc>
        <w:tc>
          <w:tcPr>
            <w:tcW w:w="0" w:type="auto"/>
            <w:shd w:val="clear" w:color="auto" w:fill="FFFFFF"/>
            <w:tcMar>
              <w:top w:w="40" w:type="dxa"/>
              <w:bottom w:w="40" w:type="dxa"/>
              <w:right w:w="20" w:type="dxa"/>
            </w:tcMar>
            <w:vAlign w:val="center"/>
          </w:tcPr>
          <w:p w14:paraId="33DADFB3" w14:textId="77777777" w:rsidR="004D6A64" w:rsidRDefault="004D6A64">
            <w:pPr>
              <w:jc w:val="right"/>
              <w:rPr>
                <w:rFonts w:ascii="宋体"/>
              </w:rPr>
            </w:pPr>
          </w:p>
        </w:tc>
        <w:tc>
          <w:tcPr>
            <w:tcW w:w="0" w:type="auto"/>
            <w:shd w:val="clear" w:color="auto" w:fill="auto"/>
          </w:tcPr>
          <w:p w14:paraId="33DADFB4" w14:textId="77777777" w:rsidR="004D6A64" w:rsidRDefault="004D6A64">
            <w:pPr>
              <w:rPr>
                <w:rFonts w:ascii="宋体"/>
              </w:rPr>
            </w:pPr>
          </w:p>
        </w:tc>
        <w:tc>
          <w:tcPr>
            <w:tcW w:w="0" w:type="auto"/>
            <w:shd w:val="clear" w:color="auto" w:fill="auto"/>
          </w:tcPr>
          <w:p w14:paraId="33DADFB5" w14:textId="77777777" w:rsidR="004D6A64" w:rsidRDefault="004D6A64">
            <w:pPr>
              <w:rPr>
                <w:rFonts w:ascii="宋体"/>
              </w:rPr>
            </w:pPr>
          </w:p>
        </w:tc>
        <w:tc>
          <w:tcPr>
            <w:tcW w:w="0" w:type="auto"/>
            <w:shd w:val="clear" w:color="auto" w:fill="auto"/>
          </w:tcPr>
          <w:p w14:paraId="33DADFB6" w14:textId="77777777" w:rsidR="004D6A64" w:rsidRDefault="004D6A64">
            <w:pPr>
              <w:rPr>
                <w:rFonts w:ascii="宋体"/>
              </w:rPr>
            </w:pPr>
          </w:p>
        </w:tc>
        <w:tc>
          <w:tcPr>
            <w:tcW w:w="0" w:type="auto"/>
            <w:shd w:val="clear" w:color="auto" w:fill="auto"/>
          </w:tcPr>
          <w:p w14:paraId="33DADFB7" w14:textId="77777777" w:rsidR="004D6A64" w:rsidRDefault="004D6A64">
            <w:pPr>
              <w:rPr>
                <w:rFonts w:ascii="宋体"/>
              </w:rPr>
            </w:pPr>
          </w:p>
        </w:tc>
        <w:tc>
          <w:tcPr>
            <w:tcW w:w="0" w:type="auto"/>
            <w:shd w:val="clear" w:color="auto" w:fill="auto"/>
          </w:tcPr>
          <w:p w14:paraId="33DADFB8" w14:textId="77777777" w:rsidR="004D6A64" w:rsidRDefault="004D6A64">
            <w:pPr>
              <w:rPr>
                <w:rFonts w:ascii="宋体"/>
              </w:rPr>
            </w:pPr>
          </w:p>
        </w:tc>
        <w:tc>
          <w:tcPr>
            <w:tcW w:w="0" w:type="auto"/>
            <w:shd w:val="clear" w:color="auto" w:fill="auto"/>
          </w:tcPr>
          <w:p w14:paraId="33DADFB9" w14:textId="77777777" w:rsidR="004D6A64" w:rsidRDefault="004D6A64">
            <w:pPr>
              <w:rPr>
                <w:rFonts w:ascii="宋体"/>
              </w:rPr>
            </w:pPr>
          </w:p>
        </w:tc>
        <w:tc>
          <w:tcPr>
            <w:tcW w:w="0" w:type="auto"/>
            <w:shd w:val="clear" w:color="auto" w:fill="auto"/>
          </w:tcPr>
          <w:p w14:paraId="33DADFBA" w14:textId="77777777" w:rsidR="004D6A64" w:rsidRDefault="004D6A64">
            <w:pPr>
              <w:rPr>
                <w:rFonts w:ascii="宋体"/>
              </w:rPr>
            </w:pPr>
          </w:p>
        </w:tc>
        <w:tc>
          <w:tcPr>
            <w:tcW w:w="0" w:type="auto"/>
            <w:shd w:val="clear" w:color="auto" w:fill="auto"/>
          </w:tcPr>
          <w:p w14:paraId="33DADFBB" w14:textId="77777777" w:rsidR="004D6A64" w:rsidRDefault="004D6A64">
            <w:pPr>
              <w:rPr>
                <w:rFonts w:ascii="宋体"/>
              </w:rPr>
            </w:pPr>
          </w:p>
        </w:tc>
        <w:tc>
          <w:tcPr>
            <w:tcW w:w="0" w:type="auto"/>
            <w:shd w:val="clear" w:color="auto" w:fill="auto"/>
          </w:tcPr>
          <w:p w14:paraId="33DADFBC" w14:textId="77777777" w:rsidR="004D6A64" w:rsidRDefault="004D6A64">
            <w:pPr>
              <w:rPr>
                <w:rFonts w:ascii="宋体"/>
              </w:rPr>
            </w:pPr>
          </w:p>
        </w:tc>
        <w:tc>
          <w:tcPr>
            <w:tcW w:w="0" w:type="auto"/>
            <w:shd w:val="clear" w:color="auto" w:fill="auto"/>
          </w:tcPr>
          <w:p w14:paraId="33DADFBD" w14:textId="77777777" w:rsidR="004D6A64" w:rsidRDefault="004D6A64">
            <w:pPr>
              <w:rPr>
                <w:rFonts w:ascii="宋体"/>
              </w:rPr>
            </w:pPr>
          </w:p>
        </w:tc>
        <w:tc>
          <w:tcPr>
            <w:tcW w:w="0" w:type="auto"/>
            <w:shd w:val="clear" w:color="auto" w:fill="auto"/>
          </w:tcPr>
          <w:p w14:paraId="33DADFBE" w14:textId="77777777" w:rsidR="004D6A64" w:rsidRDefault="004D6A64">
            <w:pPr>
              <w:rPr>
                <w:rFonts w:ascii="宋体"/>
              </w:rPr>
            </w:pPr>
          </w:p>
        </w:tc>
        <w:tc>
          <w:tcPr>
            <w:tcW w:w="0" w:type="auto"/>
            <w:shd w:val="clear" w:color="auto" w:fill="auto"/>
          </w:tcPr>
          <w:p w14:paraId="33DADFBF" w14:textId="77777777" w:rsidR="004D6A64" w:rsidRDefault="004D6A64">
            <w:pPr>
              <w:rPr>
                <w:rFonts w:ascii="宋体"/>
              </w:rPr>
            </w:pPr>
          </w:p>
        </w:tc>
        <w:tc>
          <w:tcPr>
            <w:tcW w:w="0" w:type="auto"/>
            <w:shd w:val="clear" w:color="auto" w:fill="auto"/>
          </w:tcPr>
          <w:p w14:paraId="33DADFC0" w14:textId="77777777" w:rsidR="004D6A64" w:rsidRDefault="004D6A64">
            <w:pPr>
              <w:rPr>
                <w:rFonts w:ascii="宋体"/>
              </w:rPr>
            </w:pPr>
          </w:p>
        </w:tc>
        <w:tc>
          <w:tcPr>
            <w:tcW w:w="0" w:type="auto"/>
            <w:shd w:val="clear" w:color="auto" w:fill="auto"/>
          </w:tcPr>
          <w:p w14:paraId="33DADFC1" w14:textId="77777777" w:rsidR="004D6A64" w:rsidRDefault="004D6A64">
            <w:pPr>
              <w:rPr>
                <w:rFonts w:ascii="宋体"/>
              </w:rPr>
            </w:pPr>
          </w:p>
        </w:tc>
        <w:tc>
          <w:tcPr>
            <w:tcW w:w="0" w:type="auto"/>
            <w:shd w:val="clear" w:color="auto" w:fill="auto"/>
          </w:tcPr>
          <w:p w14:paraId="33DADFC2" w14:textId="77777777" w:rsidR="004D6A64" w:rsidRDefault="004D6A64">
            <w:pPr>
              <w:rPr>
                <w:rFonts w:ascii="宋体"/>
              </w:rPr>
            </w:pPr>
          </w:p>
        </w:tc>
        <w:tc>
          <w:tcPr>
            <w:tcW w:w="0" w:type="auto"/>
            <w:shd w:val="clear" w:color="auto" w:fill="auto"/>
          </w:tcPr>
          <w:p w14:paraId="33DADFC3" w14:textId="77777777" w:rsidR="004D6A64" w:rsidRDefault="004D6A64">
            <w:pPr>
              <w:rPr>
                <w:rFonts w:ascii="宋体"/>
              </w:rPr>
            </w:pPr>
          </w:p>
        </w:tc>
        <w:tc>
          <w:tcPr>
            <w:tcW w:w="0" w:type="auto"/>
            <w:shd w:val="clear" w:color="auto" w:fill="auto"/>
          </w:tcPr>
          <w:p w14:paraId="33DADFC4" w14:textId="77777777" w:rsidR="004D6A64" w:rsidRDefault="004D6A64">
            <w:pPr>
              <w:rPr>
                <w:rFonts w:ascii="宋体"/>
              </w:rPr>
            </w:pPr>
          </w:p>
        </w:tc>
        <w:tc>
          <w:tcPr>
            <w:tcW w:w="0" w:type="auto"/>
            <w:shd w:val="clear" w:color="auto" w:fill="auto"/>
          </w:tcPr>
          <w:p w14:paraId="33DADFC5" w14:textId="77777777" w:rsidR="004D6A64" w:rsidRDefault="004D6A64">
            <w:pPr>
              <w:rPr>
                <w:rFonts w:ascii="宋体"/>
              </w:rPr>
            </w:pPr>
          </w:p>
        </w:tc>
        <w:tc>
          <w:tcPr>
            <w:tcW w:w="0" w:type="auto"/>
            <w:shd w:val="clear" w:color="auto" w:fill="auto"/>
          </w:tcPr>
          <w:p w14:paraId="33DADFC6" w14:textId="77777777" w:rsidR="004D6A64" w:rsidRDefault="004D6A64">
            <w:pPr>
              <w:rPr>
                <w:rFonts w:ascii="宋体"/>
              </w:rPr>
            </w:pPr>
          </w:p>
        </w:tc>
        <w:tc>
          <w:tcPr>
            <w:tcW w:w="0" w:type="auto"/>
            <w:shd w:val="clear" w:color="auto" w:fill="auto"/>
          </w:tcPr>
          <w:p w14:paraId="33DADFC7" w14:textId="77777777" w:rsidR="004D6A64" w:rsidRDefault="004D6A64">
            <w:pPr>
              <w:rPr>
                <w:rFonts w:ascii="宋体"/>
              </w:rPr>
            </w:pPr>
          </w:p>
        </w:tc>
        <w:tc>
          <w:tcPr>
            <w:tcW w:w="0" w:type="auto"/>
            <w:shd w:val="clear" w:color="auto" w:fill="auto"/>
          </w:tcPr>
          <w:p w14:paraId="33DADFC8" w14:textId="77777777" w:rsidR="004D6A64" w:rsidRDefault="004D6A64">
            <w:pPr>
              <w:rPr>
                <w:rFonts w:ascii="宋体"/>
              </w:rPr>
            </w:pPr>
          </w:p>
        </w:tc>
        <w:tc>
          <w:tcPr>
            <w:tcW w:w="0" w:type="auto"/>
            <w:shd w:val="clear" w:color="auto" w:fill="auto"/>
          </w:tcPr>
          <w:p w14:paraId="33DADFC9" w14:textId="77777777" w:rsidR="004D6A64" w:rsidRDefault="004D6A64">
            <w:pPr>
              <w:rPr>
                <w:rFonts w:ascii="宋体"/>
              </w:rPr>
            </w:pPr>
          </w:p>
        </w:tc>
        <w:tc>
          <w:tcPr>
            <w:tcW w:w="0" w:type="auto"/>
            <w:shd w:val="clear" w:color="auto" w:fill="auto"/>
          </w:tcPr>
          <w:p w14:paraId="33DADFCA" w14:textId="77777777" w:rsidR="004D6A64" w:rsidRDefault="004D6A64">
            <w:pPr>
              <w:rPr>
                <w:rFonts w:ascii="宋体"/>
              </w:rPr>
            </w:pPr>
          </w:p>
        </w:tc>
        <w:tc>
          <w:tcPr>
            <w:tcW w:w="0" w:type="auto"/>
            <w:shd w:val="clear" w:color="auto" w:fill="auto"/>
          </w:tcPr>
          <w:p w14:paraId="33DADFCB" w14:textId="77777777" w:rsidR="004D6A64" w:rsidRDefault="004D6A64">
            <w:pPr>
              <w:rPr>
                <w:rFonts w:ascii="宋体"/>
              </w:rPr>
            </w:pPr>
          </w:p>
        </w:tc>
        <w:tc>
          <w:tcPr>
            <w:tcW w:w="0" w:type="auto"/>
            <w:shd w:val="clear" w:color="auto" w:fill="auto"/>
          </w:tcPr>
          <w:p w14:paraId="33DADFCC" w14:textId="77777777" w:rsidR="004D6A64" w:rsidRDefault="004D6A64">
            <w:pPr>
              <w:rPr>
                <w:rFonts w:ascii="宋体"/>
              </w:rPr>
            </w:pPr>
          </w:p>
        </w:tc>
        <w:tc>
          <w:tcPr>
            <w:tcW w:w="0" w:type="auto"/>
            <w:shd w:val="clear" w:color="auto" w:fill="auto"/>
          </w:tcPr>
          <w:p w14:paraId="33DADFCD" w14:textId="77777777" w:rsidR="004D6A64" w:rsidRDefault="004D6A64">
            <w:pPr>
              <w:rPr>
                <w:rFonts w:ascii="宋体"/>
              </w:rPr>
            </w:pPr>
          </w:p>
        </w:tc>
        <w:tc>
          <w:tcPr>
            <w:tcW w:w="0" w:type="auto"/>
            <w:shd w:val="clear" w:color="auto" w:fill="auto"/>
          </w:tcPr>
          <w:p w14:paraId="33DADFCE" w14:textId="77777777" w:rsidR="004D6A64" w:rsidRDefault="004D6A64">
            <w:pPr>
              <w:rPr>
                <w:rFonts w:ascii="宋体"/>
              </w:rPr>
            </w:pPr>
          </w:p>
        </w:tc>
      </w:tr>
      <w:tr w:rsidR="004D6A64" w14:paraId="33DADFFB" w14:textId="77777777">
        <w:trPr>
          <w:jc w:val="center"/>
        </w:trPr>
        <w:tc>
          <w:tcPr>
            <w:tcW w:w="0" w:type="auto"/>
            <w:gridSpan w:val="3"/>
            <w:shd w:val="clear" w:color="auto" w:fill="CCEEFF"/>
            <w:tcMar>
              <w:top w:w="40" w:type="dxa"/>
              <w:left w:w="225" w:type="dxa"/>
              <w:bottom w:w="40" w:type="dxa"/>
              <w:right w:w="20" w:type="dxa"/>
            </w:tcMar>
            <w:vAlign w:val="center"/>
          </w:tcPr>
          <w:p w14:paraId="33DADFD0" w14:textId="77777777" w:rsidR="004D6A64" w:rsidRDefault="00506CD6">
            <w:pPr>
              <w:textAlignment w:val="center"/>
            </w:pPr>
            <w:r>
              <w:rPr>
                <w:rFonts w:ascii="Times New Roman" w:eastAsia="宋体" w:hAnsi="Times New Roman"/>
                <w:color w:val="000000"/>
                <w:sz w:val="20"/>
                <w:szCs w:val="20"/>
              </w:rPr>
              <w:t>Transaction-related expenses</w:t>
            </w:r>
          </w:p>
        </w:tc>
        <w:tc>
          <w:tcPr>
            <w:tcW w:w="0" w:type="auto"/>
            <w:gridSpan w:val="2"/>
            <w:shd w:val="clear" w:color="auto" w:fill="CCEEFF"/>
            <w:tcMar>
              <w:top w:w="40" w:type="dxa"/>
              <w:left w:w="20" w:type="dxa"/>
              <w:bottom w:w="40" w:type="dxa"/>
              <w:right w:w="0" w:type="dxa"/>
            </w:tcMar>
            <w:vAlign w:val="center"/>
          </w:tcPr>
          <w:p w14:paraId="33DADFD1"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DFD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FD3"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FD4"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FD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FD6" w14:textId="77777777" w:rsidR="004D6A64" w:rsidRDefault="00506CD6">
            <w:pPr>
              <w:jc w:val="right"/>
              <w:textAlignment w:val="center"/>
            </w:pPr>
            <w:r>
              <w:rPr>
                <w:rFonts w:ascii="Times New Roman" w:eastAsia="宋体" w:hAnsi="Times New Roman"/>
                <w:color w:val="000000"/>
                <w:sz w:val="20"/>
                <w:szCs w:val="20"/>
              </w:rPr>
              <w:t>3 </w:t>
            </w:r>
          </w:p>
        </w:tc>
        <w:tc>
          <w:tcPr>
            <w:tcW w:w="0" w:type="auto"/>
            <w:shd w:val="clear" w:color="auto" w:fill="CCEEFF"/>
            <w:tcMar>
              <w:top w:w="40" w:type="dxa"/>
              <w:bottom w:w="40" w:type="dxa"/>
              <w:right w:w="20" w:type="dxa"/>
            </w:tcMar>
            <w:vAlign w:val="center"/>
          </w:tcPr>
          <w:p w14:paraId="33DADFD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FD8"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FD9"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DFD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DFDB"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FD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DFD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DFDE"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DFDF" w14:textId="77777777" w:rsidR="004D6A64" w:rsidRDefault="004D6A64">
            <w:pPr>
              <w:jc w:val="right"/>
              <w:rPr>
                <w:rFonts w:ascii="宋体"/>
              </w:rPr>
            </w:pPr>
          </w:p>
        </w:tc>
        <w:tc>
          <w:tcPr>
            <w:tcW w:w="0" w:type="auto"/>
            <w:shd w:val="clear" w:color="auto" w:fill="auto"/>
          </w:tcPr>
          <w:p w14:paraId="33DADFE0" w14:textId="77777777" w:rsidR="004D6A64" w:rsidRDefault="004D6A64">
            <w:pPr>
              <w:rPr>
                <w:rFonts w:ascii="宋体"/>
              </w:rPr>
            </w:pPr>
          </w:p>
        </w:tc>
        <w:tc>
          <w:tcPr>
            <w:tcW w:w="0" w:type="auto"/>
            <w:shd w:val="clear" w:color="auto" w:fill="auto"/>
          </w:tcPr>
          <w:p w14:paraId="33DADFE1" w14:textId="77777777" w:rsidR="004D6A64" w:rsidRDefault="004D6A64">
            <w:pPr>
              <w:rPr>
                <w:rFonts w:ascii="宋体"/>
              </w:rPr>
            </w:pPr>
          </w:p>
        </w:tc>
        <w:tc>
          <w:tcPr>
            <w:tcW w:w="0" w:type="auto"/>
            <w:shd w:val="clear" w:color="auto" w:fill="auto"/>
          </w:tcPr>
          <w:p w14:paraId="33DADFE2" w14:textId="77777777" w:rsidR="004D6A64" w:rsidRDefault="004D6A64">
            <w:pPr>
              <w:rPr>
                <w:rFonts w:ascii="宋体"/>
              </w:rPr>
            </w:pPr>
          </w:p>
        </w:tc>
        <w:tc>
          <w:tcPr>
            <w:tcW w:w="0" w:type="auto"/>
            <w:shd w:val="clear" w:color="auto" w:fill="auto"/>
          </w:tcPr>
          <w:p w14:paraId="33DADFE3" w14:textId="77777777" w:rsidR="004D6A64" w:rsidRDefault="004D6A64">
            <w:pPr>
              <w:rPr>
                <w:rFonts w:ascii="宋体"/>
              </w:rPr>
            </w:pPr>
          </w:p>
        </w:tc>
        <w:tc>
          <w:tcPr>
            <w:tcW w:w="0" w:type="auto"/>
            <w:shd w:val="clear" w:color="auto" w:fill="auto"/>
          </w:tcPr>
          <w:p w14:paraId="33DADFE4" w14:textId="77777777" w:rsidR="004D6A64" w:rsidRDefault="004D6A64">
            <w:pPr>
              <w:rPr>
                <w:rFonts w:ascii="宋体"/>
              </w:rPr>
            </w:pPr>
          </w:p>
        </w:tc>
        <w:tc>
          <w:tcPr>
            <w:tcW w:w="0" w:type="auto"/>
            <w:shd w:val="clear" w:color="auto" w:fill="auto"/>
          </w:tcPr>
          <w:p w14:paraId="33DADFE5" w14:textId="77777777" w:rsidR="004D6A64" w:rsidRDefault="004D6A64">
            <w:pPr>
              <w:rPr>
                <w:rFonts w:ascii="宋体"/>
              </w:rPr>
            </w:pPr>
          </w:p>
        </w:tc>
        <w:tc>
          <w:tcPr>
            <w:tcW w:w="0" w:type="auto"/>
            <w:shd w:val="clear" w:color="auto" w:fill="auto"/>
          </w:tcPr>
          <w:p w14:paraId="33DADFE6" w14:textId="77777777" w:rsidR="004D6A64" w:rsidRDefault="004D6A64">
            <w:pPr>
              <w:rPr>
                <w:rFonts w:ascii="宋体"/>
              </w:rPr>
            </w:pPr>
          </w:p>
        </w:tc>
        <w:tc>
          <w:tcPr>
            <w:tcW w:w="0" w:type="auto"/>
            <w:shd w:val="clear" w:color="auto" w:fill="auto"/>
          </w:tcPr>
          <w:p w14:paraId="33DADFE7" w14:textId="77777777" w:rsidR="004D6A64" w:rsidRDefault="004D6A64">
            <w:pPr>
              <w:rPr>
                <w:rFonts w:ascii="宋体"/>
              </w:rPr>
            </w:pPr>
          </w:p>
        </w:tc>
        <w:tc>
          <w:tcPr>
            <w:tcW w:w="0" w:type="auto"/>
            <w:shd w:val="clear" w:color="auto" w:fill="auto"/>
          </w:tcPr>
          <w:p w14:paraId="33DADFE8" w14:textId="77777777" w:rsidR="004D6A64" w:rsidRDefault="004D6A64">
            <w:pPr>
              <w:rPr>
                <w:rFonts w:ascii="宋体"/>
              </w:rPr>
            </w:pPr>
          </w:p>
        </w:tc>
        <w:tc>
          <w:tcPr>
            <w:tcW w:w="0" w:type="auto"/>
            <w:shd w:val="clear" w:color="auto" w:fill="auto"/>
          </w:tcPr>
          <w:p w14:paraId="33DADFE9" w14:textId="77777777" w:rsidR="004D6A64" w:rsidRDefault="004D6A64">
            <w:pPr>
              <w:rPr>
                <w:rFonts w:ascii="宋体"/>
              </w:rPr>
            </w:pPr>
          </w:p>
        </w:tc>
        <w:tc>
          <w:tcPr>
            <w:tcW w:w="0" w:type="auto"/>
            <w:shd w:val="clear" w:color="auto" w:fill="auto"/>
          </w:tcPr>
          <w:p w14:paraId="33DADFEA" w14:textId="77777777" w:rsidR="004D6A64" w:rsidRDefault="004D6A64">
            <w:pPr>
              <w:rPr>
                <w:rFonts w:ascii="宋体"/>
              </w:rPr>
            </w:pPr>
          </w:p>
        </w:tc>
        <w:tc>
          <w:tcPr>
            <w:tcW w:w="0" w:type="auto"/>
            <w:shd w:val="clear" w:color="auto" w:fill="auto"/>
          </w:tcPr>
          <w:p w14:paraId="33DADFEB" w14:textId="77777777" w:rsidR="004D6A64" w:rsidRDefault="004D6A64">
            <w:pPr>
              <w:rPr>
                <w:rFonts w:ascii="宋体"/>
              </w:rPr>
            </w:pPr>
          </w:p>
        </w:tc>
        <w:tc>
          <w:tcPr>
            <w:tcW w:w="0" w:type="auto"/>
            <w:shd w:val="clear" w:color="auto" w:fill="auto"/>
          </w:tcPr>
          <w:p w14:paraId="33DADFEC" w14:textId="77777777" w:rsidR="004D6A64" w:rsidRDefault="004D6A64">
            <w:pPr>
              <w:rPr>
                <w:rFonts w:ascii="宋体"/>
              </w:rPr>
            </w:pPr>
          </w:p>
        </w:tc>
        <w:tc>
          <w:tcPr>
            <w:tcW w:w="0" w:type="auto"/>
            <w:shd w:val="clear" w:color="auto" w:fill="auto"/>
          </w:tcPr>
          <w:p w14:paraId="33DADFED" w14:textId="77777777" w:rsidR="004D6A64" w:rsidRDefault="004D6A64">
            <w:pPr>
              <w:rPr>
                <w:rFonts w:ascii="宋体"/>
              </w:rPr>
            </w:pPr>
          </w:p>
        </w:tc>
        <w:tc>
          <w:tcPr>
            <w:tcW w:w="0" w:type="auto"/>
            <w:shd w:val="clear" w:color="auto" w:fill="auto"/>
          </w:tcPr>
          <w:p w14:paraId="33DADFEE" w14:textId="77777777" w:rsidR="004D6A64" w:rsidRDefault="004D6A64">
            <w:pPr>
              <w:rPr>
                <w:rFonts w:ascii="宋体"/>
              </w:rPr>
            </w:pPr>
          </w:p>
        </w:tc>
        <w:tc>
          <w:tcPr>
            <w:tcW w:w="0" w:type="auto"/>
            <w:shd w:val="clear" w:color="auto" w:fill="auto"/>
          </w:tcPr>
          <w:p w14:paraId="33DADFEF" w14:textId="77777777" w:rsidR="004D6A64" w:rsidRDefault="004D6A64">
            <w:pPr>
              <w:rPr>
                <w:rFonts w:ascii="宋体"/>
              </w:rPr>
            </w:pPr>
          </w:p>
        </w:tc>
        <w:tc>
          <w:tcPr>
            <w:tcW w:w="0" w:type="auto"/>
            <w:shd w:val="clear" w:color="auto" w:fill="auto"/>
          </w:tcPr>
          <w:p w14:paraId="33DADFF0" w14:textId="77777777" w:rsidR="004D6A64" w:rsidRDefault="004D6A64">
            <w:pPr>
              <w:rPr>
                <w:rFonts w:ascii="宋体"/>
              </w:rPr>
            </w:pPr>
          </w:p>
        </w:tc>
        <w:tc>
          <w:tcPr>
            <w:tcW w:w="0" w:type="auto"/>
            <w:shd w:val="clear" w:color="auto" w:fill="auto"/>
          </w:tcPr>
          <w:p w14:paraId="33DADFF1" w14:textId="77777777" w:rsidR="004D6A64" w:rsidRDefault="004D6A64">
            <w:pPr>
              <w:rPr>
                <w:rFonts w:ascii="宋体"/>
              </w:rPr>
            </w:pPr>
          </w:p>
        </w:tc>
        <w:tc>
          <w:tcPr>
            <w:tcW w:w="0" w:type="auto"/>
            <w:shd w:val="clear" w:color="auto" w:fill="auto"/>
          </w:tcPr>
          <w:p w14:paraId="33DADFF2" w14:textId="77777777" w:rsidR="004D6A64" w:rsidRDefault="004D6A64">
            <w:pPr>
              <w:rPr>
                <w:rFonts w:ascii="宋体"/>
              </w:rPr>
            </w:pPr>
          </w:p>
        </w:tc>
        <w:tc>
          <w:tcPr>
            <w:tcW w:w="0" w:type="auto"/>
            <w:shd w:val="clear" w:color="auto" w:fill="auto"/>
          </w:tcPr>
          <w:p w14:paraId="33DADFF3" w14:textId="77777777" w:rsidR="004D6A64" w:rsidRDefault="004D6A64">
            <w:pPr>
              <w:rPr>
                <w:rFonts w:ascii="宋体"/>
              </w:rPr>
            </w:pPr>
          </w:p>
        </w:tc>
        <w:tc>
          <w:tcPr>
            <w:tcW w:w="0" w:type="auto"/>
            <w:shd w:val="clear" w:color="auto" w:fill="auto"/>
          </w:tcPr>
          <w:p w14:paraId="33DADFF4" w14:textId="77777777" w:rsidR="004D6A64" w:rsidRDefault="004D6A64">
            <w:pPr>
              <w:rPr>
                <w:rFonts w:ascii="宋体"/>
              </w:rPr>
            </w:pPr>
          </w:p>
        </w:tc>
        <w:tc>
          <w:tcPr>
            <w:tcW w:w="0" w:type="auto"/>
            <w:shd w:val="clear" w:color="auto" w:fill="auto"/>
          </w:tcPr>
          <w:p w14:paraId="33DADFF5" w14:textId="77777777" w:rsidR="004D6A64" w:rsidRDefault="004D6A64">
            <w:pPr>
              <w:rPr>
                <w:rFonts w:ascii="宋体"/>
              </w:rPr>
            </w:pPr>
          </w:p>
        </w:tc>
        <w:tc>
          <w:tcPr>
            <w:tcW w:w="0" w:type="auto"/>
            <w:shd w:val="clear" w:color="auto" w:fill="auto"/>
          </w:tcPr>
          <w:p w14:paraId="33DADFF6" w14:textId="77777777" w:rsidR="004D6A64" w:rsidRDefault="004D6A64">
            <w:pPr>
              <w:rPr>
                <w:rFonts w:ascii="宋体"/>
              </w:rPr>
            </w:pPr>
          </w:p>
        </w:tc>
        <w:tc>
          <w:tcPr>
            <w:tcW w:w="0" w:type="auto"/>
            <w:shd w:val="clear" w:color="auto" w:fill="auto"/>
          </w:tcPr>
          <w:p w14:paraId="33DADFF7" w14:textId="77777777" w:rsidR="004D6A64" w:rsidRDefault="004D6A64">
            <w:pPr>
              <w:rPr>
                <w:rFonts w:ascii="宋体"/>
              </w:rPr>
            </w:pPr>
          </w:p>
        </w:tc>
        <w:tc>
          <w:tcPr>
            <w:tcW w:w="0" w:type="auto"/>
            <w:shd w:val="clear" w:color="auto" w:fill="auto"/>
          </w:tcPr>
          <w:p w14:paraId="33DADFF8" w14:textId="77777777" w:rsidR="004D6A64" w:rsidRDefault="004D6A64">
            <w:pPr>
              <w:rPr>
                <w:rFonts w:ascii="宋体"/>
              </w:rPr>
            </w:pPr>
          </w:p>
        </w:tc>
        <w:tc>
          <w:tcPr>
            <w:tcW w:w="0" w:type="auto"/>
            <w:shd w:val="clear" w:color="auto" w:fill="auto"/>
          </w:tcPr>
          <w:p w14:paraId="33DADFF9" w14:textId="77777777" w:rsidR="004D6A64" w:rsidRDefault="004D6A64">
            <w:pPr>
              <w:rPr>
                <w:rFonts w:ascii="宋体"/>
              </w:rPr>
            </w:pPr>
          </w:p>
        </w:tc>
        <w:tc>
          <w:tcPr>
            <w:tcW w:w="0" w:type="auto"/>
            <w:shd w:val="clear" w:color="auto" w:fill="auto"/>
          </w:tcPr>
          <w:p w14:paraId="33DADFFA" w14:textId="77777777" w:rsidR="004D6A64" w:rsidRDefault="004D6A64">
            <w:pPr>
              <w:rPr>
                <w:rFonts w:ascii="宋体"/>
              </w:rPr>
            </w:pPr>
          </w:p>
        </w:tc>
      </w:tr>
      <w:tr w:rsidR="004D6A64" w14:paraId="33DAE027" w14:textId="77777777">
        <w:trPr>
          <w:jc w:val="center"/>
        </w:trPr>
        <w:tc>
          <w:tcPr>
            <w:tcW w:w="0" w:type="auto"/>
            <w:gridSpan w:val="3"/>
            <w:shd w:val="clear" w:color="auto" w:fill="FFFFFF"/>
            <w:tcMar>
              <w:top w:w="40" w:type="dxa"/>
              <w:left w:w="225" w:type="dxa"/>
              <w:bottom w:w="40" w:type="dxa"/>
              <w:right w:w="20" w:type="dxa"/>
            </w:tcMar>
            <w:vAlign w:val="center"/>
          </w:tcPr>
          <w:p w14:paraId="33DADFFC" w14:textId="77777777" w:rsidR="004D6A64" w:rsidRDefault="00506CD6">
            <w:pPr>
              <w:textAlignment w:val="center"/>
            </w:pPr>
            <w:r>
              <w:rPr>
                <w:rFonts w:ascii="Times New Roman" w:eastAsia="宋体" w:hAnsi="Times New Roman"/>
                <w:color w:val="000000"/>
                <w:sz w:val="20"/>
                <w:szCs w:val="20"/>
              </w:rPr>
              <w:t>Stock-based compensation expense</w:t>
            </w:r>
          </w:p>
        </w:tc>
        <w:tc>
          <w:tcPr>
            <w:tcW w:w="0" w:type="auto"/>
            <w:gridSpan w:val="2"/>
            <w:shd w:val="clear" w:color="auto" w:fill="FFFFFF"/>
            <w:tcMar>
              <w:top w:w="40" w:type="dxa"/>
              <w:left w:w="20" w:type="dxa"/>
              <w:bottom w:w="40" w:type="dxa"/>
              <w:right w:w="0" w:type="dxa"/>
            </w:tcMar>
            <w:vAlign w:val="center"/>
          </w:tcPr>
          <w:p w14:paraId="33DADFFD" w14:textId="77777777" w:rsidR="004D6A64" w:rsidRDefault="00506CD6">
            <w:pPr>
              <w:jc w:val="right"/>
              <w:textAlignment w:val="center"/>
            </w:pPr>
            <w:r>
              <w:rPr>
                <w:rFonts w:ascii="Times New Roman" w:eastAsia="宋体" w:hAnsi="Times New Roman"/>
                <w:color w:val="000000"/>
                <w:sz w:val="20"/>
                <w:szCs w:val="20"/>
              </w:rPr>
              <w:t>44 </w:t>
            </w:r>
          </w:p>
        </w:tc>
        <w:tc>
          <w:tcPr>
            <w:tcW w:w="0" w:type="auto"/>
            <w:shd w:val="clear" w:color="auto" w:fill="FFFFFF"/>
            <w:tcMar>
              <w:top w:w="40" w:type="dxa"/>
              <w:bottom w:w="40" w:type="dxa"/>
              <w:right w:w="20" w:type="dxa"/>
            </w:tcMar>
            <w:vAlign w:val="center"/>
          </w:tcPr>
          <w:p w14:paraId="33DADFF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DFFF"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000"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00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002" w14:textId="77777777" w:rsidR="004D6A64" w:rsidRDefault="00506CD6">
            <w:pPr>
              <w:jc w:val="right"/>
              <w:textAlignment w:val="center"/>
            </w:pPr>
            <w:r>
              <w:rPr>
                <w:rFonts w:ascii="Times New Roman" w:eastAsia="宋体" w:hAnsi="Times New Roman"/>
                <w:color w:val="000000"/>
                <w:sz w:val="20"/>
                <w:szCs w:val="20"/>
              </w:rPr>
              <w:t>28 </w:t>
            </w:r>
          </w:p>
        </w:tc>
        <w:tc>
          <w:tcPr>
            <w:tcW w:w="0" w:type="auto"/>
            <w:shd w:val="clear" w:color="auto" w:fill="FFFFFF"/>
            <w:tcMar>
              <w:top w:w="40" w:type="dxa"/>
              <w:bottom w:w="40" w:type="dxa"/>
              <w:right w:w="20" w:type="dxa"/>
            </w:tcMar>
            <w:vAlign w:val="center"/>
          </w:tcPr>
          <w:p w14:paraId="33DAE00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004"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005" w14:textId="77777777" w:rsidR="004D6A64" w:rsidRDefault="00506CD6">
            <w:pPr>
              <w:jc w:val="right"/>
              <w:textAlignment w:val="center"/>
            </w:pPr>
            <w:r>
              <w:rPr>
                <w:rFonts w:ascii="Times New Roman" w:eastAsia="宋体" w:hAnsi="Times New Roman"/>
                <w:color w:val="000000"/>
                <w:sz w:val="20"/>
                <w:szCs w:val="20"/>
              </w:rPr>
              <w:t>80 </w:t>
            </w:r>
          </w:p>
        </w:tc>
        <w:tc>
          <w:tcPr>
            <w:tcW w:w="0" w:type="auto"/>
            <w:shd w:val="clear" w:color="auto" w:fill="FFFFFF"/>
            <w:tcMar>
              <w:top w:w="40" w:type="dxa"/>
              <w:bottom w:w="40" w:type="dxa"/>
              <w:right w:w="20" w:type="dxa"/>
            </w:tcMar>
            <w:vAlign w:val="center"/>
          </w:tcPr>
          <w:p w14:paraId="33DAE00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007"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008"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009"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00A" w14:textId="77777777" w:rsidR="004D6A64" w:rsidRDefault="00506CD6">
            <w:pPr>
              <w:jc w:val="right"/>
              <w:textAlignment w:val="center"/>
            </w:pPr>
            <w:r>
              <w:rPr>
                <w:rFonts w:ascii="Times New Roman" w:eastAsia="宋体" w:hAnsi="Times New Roman"/>
                <w:color w:val="000000"/>
                <w:sz w:val="20"/>
                <w:szCs w:val="20"/>
              </w:rPr>
              <w:t>52 </w:t>
            </w:r>
          </w:p>
        </w:tc>
        <w:tc>
          <w:tcPr>
            <w:tcW w:w="0" w:type="auto"/>
            <w:shd w:val="clear" w:color="auto" w:fill="FFFFFF"/>
            <w:tcMar>
              <w:top w:w="40" w:type="dxa"/>
              <w:bottom w:w="40" w:type="dxa"/>
              <w:right w:w="20" w:type="dxa"/>
            </w:tcMar>
            <w:vAlign w:val="center"/>
          </w:tcPr>
          <w:p w14:paraId="33DAE00B" w14:textId="77777777" w:rsidR="004D6A64" w:rsidRDefault="004D6A64">
            <w:pPr>
              <w:jc w:val="right"/>
              <w:rPr>
                <w:rFonts w:ascii="宋体"/>
              </w:rPr>
            </w:pPr>
          </w:p>
        </w:tc>
        <w:tc>
          <w:tcPr>
            <w:tcW w:w="0" w:type="auto"/>
            <w:shd w:val="clear" w:color="auto" w:fill="auto"/>
          </w:tcPr>
          <w:p w14:paraId="33DAE00C" w14:textId="77777777" w:rsidR="004D6A64" w:rsidRDefault="004D6A64">
            <w:pPr>
              <w:rPr>
                <w:rFonts w:ascii="宋体"/>
              </w:rPr>
            </w:pPr>
          </w:p>
        </w:tc>
        <w:tc>
          <w:tcPr>
            <w:tcW w:w="0" w:type="auto"/>
            <w:shd w:val="clear" w:color="auto" w:fill="auto"/>
          </w:tcPr>
          <w:p w14:paraId="33DAE00D" w14:textId="77777777" w:rsidR="004D6A64" w:rsidRDefault="004D6A64">
            <w:pPr>
              <w:rPr>
                <w:rFonts w:ascii="宋体"/>
              </w:rPr>
            </w:pPr>
          </w:p>
        </w:tc>
        <w:tc>
          <w:tcPr>
            <w:tcW w:w="0" w:type="auto"/>
            <w:shd w:val="clear" w:color="auto" w:fill="auto"/>
          </w:tcPr>
          <w:p w14:paraId="33DAE00E" w14:textId="77777777" w:rsidR="004D6A64" w:rsidRDefault="004D6A64">
            <w:pPr>
              <w:rPr>
                <w:rFonts w:ascii="宋体"/>
              </w:rPr>
            </w:pPr>
          </w:p>
        </w:tc>
        <w:tc>
          <w:tcPr>
            <w:tcW w:w="0" w:type="auto"/>
            <w:shd w:val="clear" w:color="auto" w:fill="auto"/>
          </w:tcPr>
          <w:p w14:paraId="33DAE00F" w14:textId="77777777" w:rsidR="004D6A64" w:rsidRDefault="004D6A64">
            <w:pPr>
              <w:rPr>
                <w:rFonts w:ascii="宋体"/>
              </w:rPr>
            </w:pPr>
          </w:p>
        </w:tc>
        <w:tc>
          <w:tcPr>
            <w:tcW w:w="0" w:type="auto"/>
            <w:shd w:val="clear" w:color="auto" w:fill="auto"/>
          </w:tcPr>
          <w:p w14:paraId="33DAE010" w14:textId="77777777" w:rsidR="004D6A64" w:rsidRDefault="004D6A64">
            <w:pPr>
              <w:rPr>
                <w:rFonts w:ascii="宋体"/>
              </w:rPr>
            </w:pPr>
          </w:p>
        </w:tc>
        <w:tc>
          <w:tcPr>
            <w:tcW w:w="0" w:type="auto"/>
            <w:shd w:val="clear" w:color="auto" w:fill="auto"/>
          </w:tcPr>
          <w:p w14:paraId="33DAE011" w14:textId="77777777" w:rsidR="004D6A64" w:rsidRDefault="004D6A64">
            <w:pPr>
              <w:rPr>
                <w:rFonts w:ascii="宋体"/>
              </w:rPr>
            </w:pPr>
          </w:p>
        </w:tc>
        <w:tc>
          <w:tcPr>
            <w:tcW w:w="0" w:type="auto"/>
            <w:shd w:val="clear" w:color="auto" w:fill="auto"/>
          </w:tcPr>
          <w:p w14:paraId="33DAE012" w14:textId="77777777" w:rsidR="004D6A64" w:rsidRDefault="004D6A64">
            <w:pPr>
              <w:rPr>
                <w:rFonts w:ascii="宋体"/>
              </w:rPr>
            </w:pPr>
          </w:p>
        </w:tc>
        <w:tc>
          <w:tcPr>
            <w:tcW w:w="0" w:type="auto"/>
            <w:shd w:val="clear" w:color="auto" w:fill="auto"/>
          </w:tcPr>
          <w:p w14:paraId="33DAE013" w14:textId="77777777" w:rsidR="004D6A64" w:rsidRDefault="004D6A64">
            <w:pPr>
              <w:rPr>
                <w:rFonts w:ascii="宋体"/>
              </w:rPr>
            </w:pPr>
          </w:p>
        </w:tc>
        <w:tc>
          <w:tcPr>
            <w:tcW w:w="0" w:type="auto"/>
            <w:shd w:val="clear" w:color="auto" w:fill="auto"/>
          </w:tcPr>
          <w:p w14:paraId="33DAE014" w14:textId="77777777" w:rsidR="004D6A64" w:rsidRDefault="004D6A64">
            <w:pPr>
              <w:rPr>
                <w:rFonts w:ascii="宋体"/>
              </w:rPr>
            </w:pPr>
          </w:p>
        </w:tc>
        <w:tc>
          <w:tcPr>
            <w:tcW w:w="0" w:type="auto"/>
            <w:shd w:val="clear" w:color="auto" w:fill="auto"/>
          </w:tcPr>
          <w:p w14:paraId="33DAE015" w14:textId="77777777" w:rsidR="004D6A64" w:rsidRDefault="004D6A64">
            <w:pPr>
              <w:rPr>
                <w:rFonts w:ascii="宋体"/>
              </w:rPr>
            </w:pPr>
          </w:p>
        </w:tc>
        <w:tc>
          <w:tcPr>
            <w:tcW w:w="0" w:type="auto"/>
            <w:shd w:val="clear" w:color="auto" w:fill="auto"/>
          </w:tcPr>
          <w:p w14:paraId="33DAE016" w14:textId="77777777" w:rsidR="004D6A64" w:rsidRDefault="004D6A64">
            <w:pPr>
              <w:rPr>
                <w:rFonts w:ascii="宋体"/>
              </w:rPr>
            </w:pPr>
          </w:p>
        </w:tc>
        <w:tc>
          <w:tcPr>
            <w:tcW w:w="0" w:type="auto"/>
            <w:shd w:val="clear" w:color="auto" w:fill="auto"/>
          </w:tcPr>
          <w:p w14:paraId="33DAE017" w14:textId="77777777" w:rsidR="004D6A64" w:rsidRDefault="004D6A64">
            <w:pPr>
              <w:rPr>
                <w:rFonts w:ascii="宋体"/>
              </w:rPr>
            </w:pPr>
          </w:p>
        </w:tc>
        <w:tc>
          <w:tcPr>
            <w:tcW w:w="0" w:type="auto"/>
            <w:shd w:val="clear" w:color="auto" w:fill="auto"/>
          </w:tcPr>
          <w:p w14:paraId="33DAE018" w14:textId="77777777" w:rsidR="004D6A64" w:rsidRDefault="004D6A64">
            <w:pPr>
              <w:rPr>
                <w:rFonts w:ascii="宋体"/>
              </w:rPr>
            </w:pPr>
          </w:p>
        </w:tc>
        <w:tc>
          <w:tcPr>
            <w:tcW w:w="0" w:type="auto"/>
            <w:shd w:val="clear" w:color="auto" w:fill="auto"/>
          </w:tcPr>
          <w:p w14:paraId="33DAE019" w14:textId="77777777" w:rsidR="004D6A64" w:rsidRDefault="004D6A64">
            <w:pPr>
              <w:rPr>
                <w:rFonts w:ascii="宋体"/>
              </w:rPr>
            </w:pPr>
          </w:p>
        </w:tc>
        <w:tc>
          <w:tcPr>
            <w:tcW w:w="0" w:type="auto"/>
            <w:shd w:val="clear" w:color="auto" w:fill="auto"/>
          </w:tcPr>
          <w:p w14:paraId="33DAE01A" w14:textId="77777777" w:rsidR="004D6A64" w:rsidRDefault="004D6A64">
            <w:pPr>
              <w:rPr>
                <w:rFonts w:ascii="宋体"/>
              </w:rPr>
            </w:pPr>
          </w:p>
        </w:tc>
        <w:tc>
          <w:tcPr>
            <w:tcW w:w="0" w:type="auto"/>
            <w:shd w:val="clear" w:color="auto" w:fill="auto"/>
          </w:tcPr>
          <w:p w14:paraId="33DAE01B" w14:textId="77777777" w:rsidR="004D6A64" w:rsidRDefault="004D6A64">
            <w:pPr>
              <w:rPr>
                <w:rFonts w:ascii="宋体"/>
              </w:rPr>
            </w:pPr>
          </w:p>
        </w:tc>
        <w:tc>
          <w:tcPr>
            <w:tcW w:w="0" w:type="auto"/>
            <w:shd w:val="clear" w:color="auto" w:fill="auto"/>
          </w:tcPr>
          <w:p w14:paraId="33DAE01C" w14:textId="77777777" w:rsidR="004D6A64" w:rsidRDefault="004D6A64">
            <w:pPr>
              <w:rPr>
                <w:rFonts w:ascii="宋体"/>
              </w:rPr>
            </w:pPr>
          </w:p>
        </w:tc>
        <w:tc>
          <w:tcPr>
            <w:tcW w:w="0" w:type="auto"/>
            <w:shd w:val="clear" w:color="auto" w:fill="auto"/>
          </w:tcPr>
          <w:p w14:paraId="33DAE01D" w14:textId="77777777" w:rsidR="004D6A64" w:rsidRDefault="004D6A64">
            <w:pPr>
              <w:rPr>
                <w:rFonts w:ascii="宋体"/>
              </w:rPr>
            </w:pPr>
          </w:p>
        </w:tc>
        <w:tc>
          <w:tcPr>
            <w:tcW w:w="0" w:type="auto"/>
            <w:shd w:val="clear" w:color="auto" w:fill="auto"/>
          </w:tcPr>
          <w:p w14:paraId="33DAE01E" w14:textId="77777777" w:rsidR="004D6A64" w:rsidRDefault="004D6A64">
            <w:pPr>
              <w:rPr>
                <w:rFonts w:ascii="宋体"/>
              </w:rPr>
            </w:pPr>
          </w:p>
        </w:tc>
        <w:tc>
          <w:tcPr>
            <w:tcW w:w="0" w:type="auto"/>
            <w:shd w:val="clear" w:color="auto" w:fill="auto"/>
          </w:tcPr>
          <w:p w14:paraId="33DAE01F" w14:textId="77777777" w:rsidR="004D6A64" w:rsidRDefault="004D6A64">
            <w:pPr>
              <w:rPr>
                <w:rFonts w:ascii="宋体"/>
              </w:rPr>
            </w:pPr>
          </w:p>
        </w:tc>
        <w:tc>
          <w:tcPr>
            <w:tcW w:w="0" w:type="auto"/>
            <w:shd w:val="clear" w:color="auto" w:fill="auto"/>
          </w:tcPr>
          <w:p w14:paraId="33DAE020" w14:textId="77777777" w:rsidR="004D6A64" w:rsidRDefault="004D6A64">
            <w:pPr>
              <w:rPr>
                <w:rFonts w:ascii="宋体"/>
              </w:rPr>
            </w:pPr>
          </w:p>
        </w:tc>
        <w:tc>
          <w:tcPr>
            <w:tcW w:w="0" w:type="auto"/>
            <w:shd w:val="clear" w:color="auto" w:fill="auto"/>
          </w:tcPr>
          <w:p w14:paraId="33DAE021" w14:textId="77777777" w:rsidR="004D6A64" w:rsidRDefault="004D6A64">
            <w:pPr>
              <w:rPr>
                <w:rFonts w:ascii="宋体"/>
              </w:rPr>
            </w:pPr>
          </w:p>
        </w:tc>
        <w:tc>
          <w:tcPr>
            <w:tcW w:w="0" w:type="auto"/>
            <w:shd w:val="clear" w:color="auto" w:fill="auto"/>
          </w:tcPr>
          <w:p w14:paraId="33DAE022" w14:textId="77777777" w:rsidR="004D6A64" w:rsidRDefault="004D6A64">
            <w:pPr>
              <w:rPr>
                <w:rFonts w:ascii="宋体"/>
              </w:rPr>
            </w:pPr>
          </w:p>
        </w:tc>
        <w:tc>
          <w:tcPr>
            <w:tcW w:w="0" w:type="auto"/>
            <w:shd w:val="clear" w:color="auto" w:fill="auto"/>
          </w:tcPr>
          <w:p w14:paraId="33DAE023" w14:textId="77777777" w:rsidR="004D6A64" w:rsidRDefault="004D6A64">
            <w:pPr>
              <w:rPr>
                <w:rFonts w:ascii="宋体"/>
              </w:rPr>
            </w:pPr>
          </w:p>
        </w:tc>
        <w:tc>
          <w:tcPr>
            <w:tcW w:w="0" w:type="auto"/>
            <w:shd w:val="clear" w:color="auto" w:fill="auto"/>
          </w:tcPr>
          <w:p w14:paraId="33DAE024" w14:textId="77777777" w:rsidR="004D6A64" w:rsidRDefault="004D6A64">
            <w:pPr>
              <w:rPr>
                <w:rFonts w:ascii="宋体"/>
              </w:rPr>
            </w:pPr>
          </w:p>
        </w:tc>
        <w:tc>
          <w:tcPr>
            <w:tcW w:w="0" w:type="auto"/>
            <w:shd w:val="clear" w:color="auto" w:fill="auto"/>
          </w:tcPr>
          <w:p w14:paraId="33DAE025" w14:textId="77777777" w:rsidR="004D6A64" w:rsidRDefault="004D6A64">
            <w:pPr>
              <w:rPr>
                <w:rFonts w:ascii="宋体"/>
              </w:rPr>
            </w:pPr>
          </w:p>
        </w:tc>
        <w:tc>
          <w:tcPr>
            <w:tcW w:w="0" w:type="auto"/>
            <w:shd w:val="clear" w:color="auto" w:fill="auto"/>
          </w:tcPr>
          <w:p w14:paraId="33DAE026" w14:textId="77777777" w:rsidR="004D6A64" w:rsidRDefault="004D6A64">
            <w:pPr>
              <w:rPr>
                <w:rFonts w:ascii="宋体"/>
              </w:rPr>
            </w:pPr>
          </w:p>
        </w:tc>
      </w:tr>
      <w:tr w:rsidR="004D6A64" w14:paraId="33DAE053" w14:textId="77777777">
        <w:trPr>
          <w:jc w:val="center"/>
        </w:trPr>
        <w:tc>
          <w:tcPr>
            <w:tcW w:w="0" w:type="auto"/>
            <w:gridSpan w:val="3"/>
            <w:shd w:val="clear" w:color="auto" w:fill="CCEEFF"/>
            <w:tcMar>
              <w:top w:w="40" w:type="dxa"/>
              <w:left w:w="225" w:type="dxa"/>
              <w:bottom w:w="40" w:type="dxa"/>
              <w:right w:w="20" w:type="dxa"/>
            </w:tcMar>
            <w:vAlign w:val="center"/>
          </w:tcPr>
          <w:p w14:paraId="33DAE028" w14:textId="77777777" w:rsidR="004D6A64" w:rsidRDefault="00506CD6">
            <w:pPr>
              <w:textAlignment w:val="center"/>
            </w:pPr>
            <w:r>
              <w:rPr>
                <w:rFonts w:ascii="Times New Roman" w:eastAsia="宋体" w:hAnsi="Times New Roman"/>
                <w:color w:val="000000"/>
                <w:sz w:val="20"/>
                <w:szCs w:val="20"/>
              </w:rPr>
              <w:t>Other corporate expenses</w:t>
            </w:r>
          </w:p>
        </w:tc>
        <w:tc>
          <w:tcPr>
            <w:tcW w:w="0" w:type="auto"/>
            <w:gridSpan w:val="2"/>
            <w:shd w:val="clear" w:color="auto" w:fill="CCEEFF"/>
            <w:tcMar>
              <w:top w:w="40" w:type="dxa"/>
              <w:left w:w="20" w:type="dxa"/>
              <w:bottom w:w="40" w:type="dxa"/>
              <w:right w:w="0" w:type="dxa"/>
            </w:tcMar>
            <w:vAlign w:val="center"/>
          </w:tcPr>
          <w:p w14:paraId="33DAE029" w14:textId="77777777" w:rsidR="004D6A64" w:rsidRDefault="00506CD6">
            <w:pPr>
              <w:jc w:val="right"/>
              <w:textAlignment w:val="center"/>
            </w:pPr>
            <w:r>
              <w:rPr>
                <w:rFonts w:ascii="Times New Roman" w:eastAsia="宋体" w:hAnsi="Times New Roman"/>
                <w:color w:val="000000"/>
                <w:sz w:val="20"/>
                <w:szCs w:val="20"/>
              </w:rPr>
              <w:t>1 </w:t>
            </w:r>
          </w:p>
        </w:tc>
        <w:tc>
          <w:tcPr>
            <w:tcW w:w="0" w:type="auto"/>
            <w:shd w:val="clear" w:color="auto" w:fill="CCEEFF"/>
            <w:tcMar>
              <w:top w:w="40" w:type="dxa"/>
              <w:bottom w:w="40" w:type="dxa"/>
              <w:right w:w="20" w:type="dxa"/>
            </w:tcMar>
            <w:vAlign w:val="center"/>
          </w:tcPr>
          <w:p w14:paraId="33DAE02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02B"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02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02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02E" w14:textId="77777777" w:rsidR="004D6A64" w:rsidRDefault="00506CD6">
            <w:pPr>
              <w:jc w:val="right"/>
              <w:textAlignment w:val="center"/>
            </w:pPr>
            <w:r>
              <w:rPr>
                <w:rFonts w:ascii="Times New Roman" w:eastAsia="宋体" w:hAnsi="Times New Roman"/>
                <w:color w:val="000000"/>
                <w:sz w:val="20"/>
                <w:szCs w:val="20"/>
              </w:rPr>
              <w:t>19 </w:t>
            </w:r>
          </w:p>
        </w:tc>
        <w:tc>
          <w:tcPr>
            <w:tcW w:w="0" w:type="auto"/>
            <w:shd w:val="clear" w:color="auto" w:fill="CCEEFF"/>
            <w:tcMar>
              <w:top w:w="40" w:type="dxa"/>
              <w:bottom w:w="40" w:type="dxa"/>
              <w:right w:w="20" w:type="dxa"/>
            </w:tcMar>
            <w:vAlign w:val="center"/>
          </w:tcPr>
          <w:p w14:paraId="33DAE02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030"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031" w14:textId="77777777" w:rsidR="004D6A64" w:rsidRDefault="00506CD6">
            <w:pPr>
              <w:jc w:val="right"/>
              <w:textAlignment w:val="center"/>
            </w:pPr>
            <w:r>
              <w:rPr>
                <w:rFonts w:ascii="Times New Roman" w:eastAsia="宋体" w:hAnsi="Times New Roman"/>
                <w:color w:val="000000"/>
                <w:sz w:val="20"/>
                <w:szCs w:val="20"/>
              </w:rPr>
              <w:t>8 </w:t>
            </w:r>
          </w:p>
        </w:tc>
        <w:tc>
          <w:tcPr>
            <w:tcW w:w="0" w:type="auto"/>
            <w:shd w:val="clear" w:color="auto" w:fill="CCEEFF"/>
            <w:tcMar>
              <w:top w:w="40" w:type="dxa"/>
              <w:bottom w:w="40" w:type="dxa"/>
              <w:right w:w="20" w:type="dxa"/>
            </w:tcMar>
            <w:vAlign w:val="center"/>
          </w:tcPr>
          <w:p w14:paraId="33DAE03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033"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034"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03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036" w14:textId="77777777" w:rsidR="004D6A64" w:rsidRDefault="00506CD6">
            <w:pPr>
              <w:jc w:val="right"/>
              <w:textAlignment w:val="center"/>
            </w:pPr>
            <w:r>
              <w:rPr>
                <w:rFonts w:ascii="Times New Roman" w:eastAsia="宋体" w:hAnsi="Times New Roman"/>
                <w:color w:val="000000"/>
                <w:sz w:val="20"/>
                <w:szCs w:val="20"/>
              </w:rPr>
              <w:t>28 </w:t>
            </w:r>
          </w:p>
        </w:tc>
        <w:tc>
          <w:tcPr>
            <w:tcW w:w="0" w:type="auto"/>
            <w:shd w:val="clear" w:color="auto" w:fill="CCEEFF"/>
            <w:tcMar>
              <w:top w:w="40" w:type="dxa"/>
              <w:bottom w:w="40" w:type="dxa"/>
              <w:right w:w="20" w:type="dxa"/>
            </w:tcMar>
            <w:vAlign w:val="center"/>
          </w:tcPr>
          <w:p w14:paraId="33DAE037" w14:textId="77777777" w:rsidR="004D6A64" w:rsidRDefault="004D6A64">
            <w:pPr>
              <w:jc w:val="right"/>
              <w:rPr>
                <w:rFonts w:ascii="宋体"/>
              </w:rPr>
            </w:pPr>
          </w:p>
        </w:tc>
        <w:tc>
          <w:tcPr>
            <w:tcW w:w="0" w:type="auto"/>
            <w:shd w:val="clear" w:color="auto" w:fill="auto"/>
          </w:tcPr>
          <w:p w14:paraId="33DAE038" w14:textId="77777777" w:rsidR="004D6A64" w:rsidRDefault="004D6A64">
            <w:pPr>
              <w:rPr>
                <w:rFonts w:ascii="宋体"/>
              </w:rPr>
            </w:pPr>
          </w:p>
        </w:tc>
        <w:tc>
          <w:tcPr>
            <w:tcW w:w="0" w:type="auto"/>
            <w:shd w:val="clear" w:color="auto" w:fill="auto"/>
          </w:tcPr>
          <w:p w14:paraId="33DAE039" w14:textId="77777777" w:rsidR="004D6A64" w:rsidRDefault="004D6A64">
            <w:pPr>
              <w:rPr>
                <w:rFonts w:ascii="宋体"/>
              </w:rPr>
            </w:pPr>
          </w:p>
        </w:tc>
        <w:tc>
          <w:tcPr>
            <w:tcW w:w="0" w:type="auto"/>
            <w:shd w:val="clear" w:color="auto" w:fill="auto"/>
          </w:tcPr>
          <w:p w14:paraId="33DAE03A" w14:textId="77777777" w:rsidR="004D6A64" w:rsidRDefault="004D6A64">
            <w:pPr>
              <w:rPr>
                <w:rFonts w:ascii="宋体"/>
              </w:rPr>
            </w:pPr>
          </w:p>
        </w:tc>
        <w:tc>
          <w:tcPr>
            <w:tcW w:w="0" w:type="auto"/>
            <w:shd w:val="clear" w:color="auto" w:fill="auto"/>
          </w:tcPr>
          <w:p w14:paraId="33DAE03B" w14:textId="77777777" w:rsidR="004D6A64" w:rsidRDefault="004D6A64">
            <w:pPr>
              <w:rPr>
                <w:rFonts w:ascii="宋体"/>
              </w:rPr>
            </w:pPr>
          </w:p>
        </w:tc>
        <w:tc>
          <w:tcPr>
            <w:tcW w:w="0" w:type="auto"/>
            <w:shd w:val="clear" w:color="auto" w:fill="auto"/>
          </w:tcPr>
          <w:p w14:paraId="33DAE03C" w14:textId="77777777" w:rsidR="004D6A64" w:rsidRDefault="004D6A64">
            <w:pPr>
              <w:rPr>
                <w:rFonts w:ascii="宋体"/>
              </w:rPr>
            </w:pPr>
          </w:p>
        </w:tc>
        <w:tc>
          <w:tcPr>
            <w:tcW w:w="0" w:type="auto"/>
            <w:shd w:val="clear" w:color="auto" w:fill="auto"/>
          </w:tcPr>
          <w:p w14:paraId="33DAE03D" w14:textId="77777777" w:rsidR="004D6A64" w:rsidRDefault="004D6A64">
            <w:pPr>
              <w:rPr>
                <w:rFonts w:ascii="宋体"/>
              </w:rPr>
            </w:pPr>
          </w:p>
        </w:tc>
        <w:tc>
          <w:tcPr>
            <w:tcW w:w="0" w:type="auto"/>
            <w:shd w:val="clear" w:color="auto" w:fill="auto"/>
          </w:tcPr>
          <w:p w14:paraId="33DAE03E" w14:textId="77777777" w:rsidR="004D6A64" w:rsidRDefault="004D6A64">
            <w:pPr>
              <w:rPr>
                <w:rFonts w:ascii="宋体"/>
              </w:rPr>
            </w:pPr>
          </w:p>
        </w:tc>
        <w:tc>
          <w:tcPr>
            <w:tcW w:w="0" w:type="auto"/>
            <w:shd w:val="clear" w:color="auto" w:fill="auto"/>
          </w:tcPr>
          <w:p w14:paraId="33DAE03F" w14:textId="77777777" w:rsidR="004D6A64" w:rsidRDefault="004D6A64">
            <w:pPr>
              <w:rPr>
                <w:rFonts w:ascii="宋体"/>
              </w:rPr>
            </w:pPr>
          </w:p>
        </w:tc>
        <w:tc>
          <w:tcPr>
            <w:tcW w:w="0" w:type="auto"/>
            <w:shd w:val="clear" w:color="auto" w:fill="auto"/>
          </w:tcPr>
          <w:p w14:paraId="33DAE040" w14:textId="77777777" w:rsidR="004D6A64" w:rsidRDefault="004D6A64">
            <w:pPr>
              <w:rPr>
                <w:rFonts w:ascii="宋体"/>
              </w:rPr>
            </w:pPr>
          </w:p>
        </w:tc>
        <w:tc>
          <w:tcPr>
            <w:tcW w:w="0" w:type="auto"/>
            <w:shd w:val="clear" w:color="auto" w:fill="auto"/>
          </w:tcPr>
          <w:p w14:paraId="33DAE041" w14:textId="77777777" w:rsidR="004D6A64" w:rsidRDefault="004D6A64">
            <w:pPr>
              <w:rPr>
                <w:rFonts w:ascii="宋体"/>
              </w:rPr>
            </w:pPr>
          </w:p>
        </w:tc>
        <w:tc>
          <w:tcPr>
            <w:tcW w:w="0" w:type="auto"/>
            <w:shd w:val="clear" w:color="auto" w:fill="auto"/>
          </w:tcPr>
          <w:p w14:paraId="33DAE042" w14:textId="77777777" w:rsidR="004D6A64" w:rsidRDefault="004D6A64">
            <w:pPr>
              <w:rPr>
                <w:rFonts w:ascii="宋体"/>
              </w:rPr>
            </w:pPr>
          </w:p>
        </w:tc>
        <w:tc>
          <w:tcPr>
            <w:tcW w:w="0" w:type="auto"/>
            <w:shd w:val="clear" w:color="auto" w:fill="auto"/>
          </w:tcPr>
          <w:p w14:paraId="33DAE043" w14:textId="77777777" w:rsidR="004D6A64" w:rsidRDefault="004D6A64">
            <w:pPr>
              <w:rPr>
                <w:rFonts w:ascii="宋体"/>
              </w:rPr>
            </w:pPr>
          </w:p>
        </w:tc>
        <w:tc>
          <w:tcPr>
            <w:tcW w:w="0" w:type="auto"/>
            <w:shd w:val="clear" w:color="auto" w:fill="auto"/>
          </w:tcPr>
          <w:p w14:paraId="33DAE044" w14:textId="77777777" w:rsidR="004D6A64" w:rsidRDefault="004D6A64">
            <w:pPr>
              <w:rPr>
                <w:rFonts w:ascii="宋体"/>
              </w:rPr>
            </w:pPr>
          </w:p>
        </w:tc>
        <w:tc>
          <w:tcPr>
            <w:tcW w:w="0" w:type="auto"/>
            <w:shd w:val="clear" w:color="auto" w:fill="auto"/>
          </w:tcPr>
          <w:p w14:paraId="33DAE045" w14:textId="77777777" w:rsidR="004D6A64" w:rsidRDefault="004D6A64">
            <w:pPr>
              <w:rPr>
                <w:rFonts w:ascii="宋体"/>
              </w:rPr>
            </w:pPr>
          </w:p>
        </w:tc>
        <w:tc>
          <w:tcPr>
            <w:tcW w:w="0" w:type="auto"/>
            <w:shd w:val="clear" w:color="auto" w:fill="auto"/>
          </w:tcPr>
          <w:p w14:paraId="33DAE046" w14:textId="77777777" w:rsidR="004D6A64" w:rsidRDefault="004D6A64">
            <w:pPr>
              <w:rPr>
                <w:rFonts w:ascii="宋体"/>
              </w:rPr>
            </w:pPr>
          </w:p>
        </w:tc>
        <w:tc>
          <w:tcPr>
            <w:tcW w:w="0" w:type="auto"/>
            <w:shd w:val="clear" w:color="auto" w:fill="auto"/>
          </w:tcPr>
          <w:p w14:paraId="33DAE047" w14:textId="77777777" w:rsidR="004D6A64" w:rsidRDefault="004D6A64">
            <w:pPr>
              <w:rPr>
                <w:rFonts w:ascii="宋体"/>
              </w:rPr>
            </w:pPr>
          </w:p>
        </w:tc>
        <w:tc>
          <w:tcPr>
            <w:tcW w:w="0" w:type="auto"/>
            <w:shd w:val="clear" w:color="auto" w:fill="auto"/>
          </w:tcPr>
          <w:p w14:paraId="33DAE048" w14:textId="77777777" w:rsidR="004D6A64" w:rsidRDefault="004D6A64">
            <w:pPr>
              <w:rPr>
                <w:rFonts w:ascii="宋体"/>
              </w:rPr>
            </w:pPr>
          </w:p>
        </w:tc>
        <w:tc>
          <w:tcPr>
            <w:tcW w:w="0" w:type="auto"/>
            <w:shd w:val="clear" w:color="auto" w:fill="auto"/>
          </w:tcPr>
          <w:p w14:paraId="33DAE049" w14:textId="77777777" w:rsidR="004D6A64" w:rsidRDefault="004D6A64">
            <w:pPr>
              <w:rPr>
                <w:rFonts w:ascii="宋体"/>
              </w:rPr>
            </w:pPr>
          </w:p>
        </w:tc>
        <w:tc>
          <w:tcPr>
            <w:tcW w:w="0" w:type="auto"/>
            <w:shd w:val="clear" w:color="auto" w:fill="auto"/>
          </w:tcPr>
          <w:p w14:paraId="33DAE04A" w14:textId="77777777" w:rsidR="004D6A64" w:rsidRDefault="004D6A64">
            <w:pPr>
              <w:rPr>
                <w:rFonts w:ascii="宋体"/>
              </w:rPr>
            </w:pPr>
          </w:p>
        </w:tc>
        <w:tc>
          <w:tcPr>
            <w:tcW w:w="0" w:type="auto"/>
            <w:shd w:val="clear" w:color="auto" w:fill="auto"/>
          </w:tcPr>
          <w:p w14:paraId="33DAE04B" w14:textId="77777777" w:rsidR="004D6A64" w:rsidRDefault="004D6A64">
            <w:pPr>
              <w:rPr>
                <w:rFonts w:ascii="宋体"/>
              </w:rPr>
            </w:pPr>
          </w:p>
        </w:tc>
        <w:tc>
          <w:tcPr>
            <w:tcW w:w="0" w:type="auto"/>
            <w:shd w:val="clear" w:color="auto" w:fill="auto"/>
          </w:tcPr>
          <w:p w14:paraId="33DAE04C" w14:textId="77777777" w:rsidR="004D6A64" w:rsidRDefault="004D6A64">
            <w:pPr>
              <w:rPr>
                <w:rFonts w:ascii="宋体"/>
              </w:rPr>
            </w:pPr>
          </w:p>
        </w:tc>
        <w:tc>
          <w:tcPr>
            <w:tcW w:w="0" w:type="auto"/>
            <w:shd w:val="clear" w:color="auto" w:fill="auto"/>
          </w:tcPr>
          <w:p w14:paraId="33DAE04D" w14:textId="77777777" w:rsidR="004D6A64" w:rsidRDefault="004D6A64">
            <w:pPr>
              <w:rPr>
                <w:rFonts w:ascii="宋体"/>
              </w:rPr>
            </w:pPr>
          </w:p>
        </w:tc>
        <w:tc>
          <w:tcPr>
            <w:tcW w:w="0" w:type="auto"/>
            <w:shd w:val="clear" w:color="auto" w:fill="auto"/>
          </w:tcPr>
          <w:p w14:paraId="33DAE04E" w14:textId="77777777" w:rsidR="004D6A64" w:rsidRDefault="004D6A64">
            <w:pPr>
              <w:rPr>
                <w:rFonts w:ascii="宋体"/>
              </w:rPr>
            </w:pPr>
          </w:p>
        </w:tc>
        <w:tc>
          <w:tcPr>
            <w:tcW w:w="0" w:type="auto"/>
            <w:shd w:val="clear" w:color="auto" w:fill="auto"/>
          </w:tcPr>
          <w:p w14:paraId="33DAE04F" w14:textId="77777777" w:rsidR="004D6A64" w:rsidRDefault="004D6A64">
            <w:pPr>
              <w:rPr>
                <w:rFonts w:ascii="宋体"/>
              </w:rPr>
            </w:pPr>
          </w:p>
        </w:tc>
        <w:tc>
          <w:tcPr>
            <w:tcW w:w="0" w:type="auto"/>
            <w:shd w:val="clear" w:color="auto" w:fill="auto"/>
          </w:tcPr>
          <w:p w14:paraId="33DAE050" w14:textId="77777777" w:rsidR="004D6A64" w:rsidRDefault="004D6A64">
            <w:pPr>
              <w:rPr>
                <w:rFonts w:ascii="宋体"/>
              </w:rPr>
            </w:pPr>
          </w:p>
        </w:tc>
        <w:tc>
          <w:tcPr>
            <w:tcW w:w="0" w:type="auto"/>
            <w:shd w:val="clear" w:color="auto" w:fill="auto"/>
          </w:tcPr>
          <w:p w14:paraId="33DAE051" w14:textId="77777777" w:rsidR="004D6A64" w:rsidRDefault="004D6A64">
            <w:pPr>
              <w:rPr>
                <w:rFonts w:ascii="宋体"/>
              </w:rPr>
            </w:pPr>
          </w:p>
        </w:tc>
        <w:tc>
          <w:tcPr>
            <w:tcW w:w="0" w:type="auto"/>
            <w:shd w:val="clear" w:color="auto" w:fill="auto"/>
          </w:tcPr>
          <w:p w14:paraId="33DAE052" w14:textId="77777777" w:rsidR="004D6A64" w:rsidRDefault="004D6A64">
            <w:pPr>
              <w:rPr>
                <w:rFonts w:ascii="宋体"/>
              </w:rPr>
            </w:pPr>
          </w:p>
        </w:tc>
      </w:tr>
      <w:tr w:rsidR="004D6A64" w14:paraId="33DAE085" w14:textId="77777777">
        <w:trPr>
          <w:jc w:val="center"/>
        </w:trPr>
        <w:tc>
          <w:tcPr>
            <w:tcW w:w="0" w:type="auto"/>
            <w:gridSpan w:val="3"/>
            <w:shd w:val="clear" w:color="auto" w:fill="FFFFFF"/>
            <w:tcMar>
              <w:top w:w="40" w:type="dxa"/>
              <w:left w:w="495" w:type="dxa"/>
              <w:bottom w:w="40" w:type="dxa"/>
              <w:right w:w="20" w:type="dxa"/>
            </w:tcMar>
            <w:vAlign w:val="center"/>
          </w:tcPr>
          <w:p w14:paraId="33DAE054" w14:textId="77777777" w:rsidR="004D6A64" w:rsidRDefault="00506CD6">
            <w:pPr>
              <w:textAlignment w:val="center"/>
            </w:pPr>
            <w:r>
              <w:rPr>
                <w:rFonts w:ascii="Times New Roman" w:eastAsia="宋体" w:hAnsi="Times New Roman"/>
                <w:color w:val="000000"/>
                <w:sz w:val="20"/>
                <w:szCs w:val="20"/>
              </w:rPr>
              <w:t>Non-GAAP services gross margin</w:t>
            </w: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E055"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E056" w14:textId="77777777" w:rsidR="004D6A64" w:rsidRDefault="00506CD6">
            <w:pPr>
              <w:jc w:val="right"/>
              <w:textAlignment w:val="center"/>
            </w:pPr>
            <w:r>
              <w:rPr>
                <w:rFonts w:ascii="Times New Roman" w:eastAsia="宋体" w:hAnsi="Times New Roman"/>
                <w:color w:val="000000"/>
                <w:sz w:val="20"/>
                <w:szCs w:val="20"/>
              </w:rPr>
              <w:t>3,835 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E05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058"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059" w14:textId="77777777" w:rsidR="004D6A64" w:rsidRDefault="00506CD6">
            <w:pPr>
              <w:jc w:val="right"/>
              <w:textAlignment w:val="center"/>
            </w:pPr>
            <w:r>
              <w:rPr>
                <w:rFonts w:ascii="Times New Roman" w:eastAsia="宋体" w:hAnsi="Times New Roman"/>
                <w:color w:val="000000"/>
                <w:sz w:val="20"/>
                <w:szCs w:val="20"/>
              </w:rPr>
              <w:t>12 </w:t>
            </w:r>
          </w:p>
        </w:tc>
        <w:tc>
          <w:tcPr>
            <w:tcW w:w="0" w:type="auto"/>
            <w:shd w:val="clear" w:color="auto" w:fill="FFFFFF"/>
            <w:tcMar>
              <w:top w:w="40" w:type="dxa"/>
              <w:bottom w:w="40" w:type="dxa"/>
              <w:right w:w="20" w:type="dxa"/>
            </w:tcMar>
            <w:vAlign w:val="center"/>
          </w:tcPr>
          <w:p w14:paraId="33DAE05A"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05B"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E05C"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E05D" w14:textId="77777777" w:rsidR="004D6A64" w:rsidRDefault="00506CD6">
            <w:pPr>
              <w:jc w:val="right"/>
              <w:textAlignment w:val="center"/>
            </w:pPr>
            <w:r>
              <w:rPr>
                <w:rFonts w:ascii="Times New Roman" w:eastAsia="宋体" w:hAnsi="Times New Roman"/>
                <w:color w:val="000000"/>
                <w:sz w:val="20"/>
                <w:szCs w:val="20"/>
              </w:rPr>
              <w:t>3,428 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E05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05F"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E060"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E061" w14:textId="77777777" w:rsidR="004D6A64" w:rsidRDefault="00506CD6">
            <w:pPr>
              <w:jc w:val="right"/>
              <w:textAlignment w:val="center"/>
            </w:pPr>
            <w:r>
              <w:rPr>
                <w:rFonts w:ascii="Times New Roman" w:eastAsia="宋体" w:hAnsi="Times New Roman"/>
                <w:color w:val="000000"/>
                <w:sz w:val="20"/>
                <w:szCs w:val="20"/>
              </w:rPr>
              <w:t>7,541 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E06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06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064" w14:textId="77777777" w:rsidR="004D6A64" w:rsidRDefault="00506CD6">
            <w:pPr>
              <w:jc w:val="right"/>
              <w:textAlignment w:val="center"/>
            </w:pPr>
            <w:r>
              <w:rPr>
                <w:rFonts w:ascii="Times New Roman" w:eastAsia="宋体" w:hAnsi="Times New Roman"/>
                <w:color w:val="000000"/>
                <w:sz w:val="20"/>
                <w:szCs w:val="20"/>
              </w:rPr>
              <w:t>10 </w:t>
            </w:r>
          </w:p>
        </w:tc>
        <w:tc>
          <w:tcPr>
            <w:tcW w:w="0" w:type="auto"/>
            <w:shd w:val="clear" w:color="auto" w:fill="FFFFFF"/>
            <w:tcMar>
              <w:top w:w="40" w:type="dxa"/>
              <w:bottom w:w="40" w:type="dxa"/>
              <w:right w:w="20" w:type="dxa"/>
            </w:tcMar>
            <w:vAlign w:val="center"/>
          </w:tcPr>
          <w:p w14:paraId="33DAE065"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066"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E067"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E068" w14:textId="77777777" w:rsidR="004D6A64" w:rsidRDefault="00506CD6">
            <w:pPr>
              <w:jc w:val="right"/>
              <w:textAlignment w:val="center"/>
            </w:pPr>
            <w:r>
              <w:rPr>
                <w:rFonts w:ascii="Times New Roman" w:eastAsia="宋体" w:hAnsi="Times New Roman"/>
                <w:color w:val="000000"/>
                <w:sz w:val="20"/>
                <w:szCs w:val="20"/>
              </w:rPr>
              <w:t>6,837 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E069" w14:textId="77777777" w:rsidR="004D6A64" w:rsidRDefault="004D6A64">
            <w:pPr>
              <w:jc w:val="right"/>
              <w:rPr>
                <w:rFonts w:ascii="宋体"/>
              </w:rPr>
            </w:pPr>
          </w:p>
        </w:tc>
        <w:tc>
          <w:tcPr>
            <w:tcW w:w="0" w:type="auto"/>
            <w:shd w:val="clear" w:color="auto" w:fill="auto"/>
          </w:tcPr>
          <w:p w14:paraId="33DAE06A" w14:textId="77777777" w:rsidR="004D6A64" w:rsidRDefault="004D6A64">
            <w:pPr>
              <w:rPr>
                <w:rFonts w:ascii="宋体"/>
              </w:rPr>
            </w:pPr>
          </w:p>
        </w:tc>
        <w:tc>
          <w:tcPr>
            <w:tcW w:w="0" w:type="auto"/>
            <w:shd w:val="clear" w:color="auto" w:fill="auto"/>
          </w:tcPr>
          <w:p w14:paraId="33DAE06B" w14:textId="77777777" w:rsidR="004D6A64" w:rsidRDefault="004D6A64">
            <w:pPr>
              <w:rPr>
                <w:rFonts w:ascii="宋体"/>
              </w:rPr>
            </w:pPr>
          </w:p>
        </w:tc>
        <w:tc>
          <w:tcPr>
            <w:tcW w:w="0" w:type="auto"/>
            <w:shd w:val="clear" w:color="auto" w:fill="auto"/>
          </w:tcPr>
          <w:p w14:paraId="33DAE06C" w14:textId="77777777" w:rsidR="004D6A64" w:rsidRDefault="004D6A64">
            <w:pPr>
              <w:rPr>
                <w:rFonts w:ascii="宋体"/>
              </w:rPr>
            </w:pPr>
          </w:p>
        </w:tc>
        <w:tc>
          <w:tcPr>
            <w:tcW w:w="0" w:type="auto"/>
            <w:shd w:val="clear" w:color="auto" w:fill="auto"/>
          </w:tcPr>
          <w:p w14:paraId="33DAE06D" w14:textId="77777777" w:rsidR="004D6A64" w:rsidRDefault="004D6A64">
            <w:pPr>
              <w:rPr>
                <w:rFonts w:ascii="宋体"/>
              </w:rPr>
            </w:pPr>
          </w:p>
        </w:tc>
        <w:tc>
          <w:tcPr>
            <w:tcW w:w="0" w:type="auto"/>
            <w:shd w:val="clear" w:color="auto" w:fill="auto"/>
          </w:tcPr>
          <w:p w14:paraId="33DAE06E" w14:textId="77777777" w:rsidR="004D6A64" w:rsidRDefault="004D6A64">
            <w:pPr>
              <w:rPr>
                <w:rFonts w:ascii="宋体"/>
              </w:rPr>
            </w:pPr>
          </w:p>
        </w:tc>
        <w:tc>
          <w:tcPr>
            <w:tcW w:w="0" w:type="auto"/>
            <w:shd w:val="clear" w:color="auto" w:fill="auto"/>
          </w:tcPr>
          <w:p w14:paraId="33DAE06F" w14:textId="77777777" w:rsidR="004D6A64" w:rsidRDefault="004D6A64">
            <w:pPr>
              <w:rPr>
                <w:rFonts w:ascii="宋体"/>
              </w:rPr>
            </w:pPr>
          </w:p>
        </w:tc>
        <w:tc>
          <w:tcPr>
            <w:tcW w:w="0" w:type="auto"/>
            <w:shd w:val="clear" w:color="auto" w:fill="auto"/>
          </w:tcPr>
          <w:p w14:paraId="33DAE070" w14:textId="77777777" w:rsidR="004D6A64" w:rsidRDefault="004D6A64">
            <w:pPr>
              <w:rPr>
                <w:rFonts w:ascii="宋体"/>
              </w:rPr>
            </w:pPr>
          </w:p>
        </w:tc>
        <w:tc>
          <w:tcPr>
            <w:tcW w:w="0" w:type="auto"/>
            <w:shd w:val="clear" w:color="auto" w:fill="auto"/>
          </w:tcPr>
          <w:p w14:paraId="33DAE071" w14:textId="77777777" w:rsidR="004D6A64" w:rsidRDefault="004D6A64">
            <w:pPr>
              <w:rPr>
                <w:rFonts w:ascii="宋体"/>
              </w:rPr>
            </w:pPr>
          </w:p>
        </w:tc>
        <w:tc>
          <w:tcPr>
            <w:tcW w:w="0" w:type="auto"/>
            <w:shd w:val="clear" w:color="auto" w:fill="auto"/>
          </w:tcPr>
          <w:p w14:paraId="33DAE072" w14:textId="77777777" w:rsidR="004D6A64" w:rsidRDefault="004D6A64">
            <w:pPr>
              <w:rPr>
                <w:rFonts w:ascii="宋体"/>
              </w:rPr>
            </w:pPr>
          </w:p>
        </w:tc>
        <w:tc>
          <w:tcPr>
            <w:tcW w:w="0" w:type="auto"/>
            <w:shd w:val="clear" w:color="auto" w:fill="auto"/>
          </w:tcPr>
          <w:p w14:paraId="33DAE073" w14:textId="77777777" w:rsidR="004D6A64" w:rsidRDefault="004D6A64">
            <w:pPr>
              <w:rPr>
                <w:rFonts w:ascii="宋体"/>
              </w:rPr>
            </w:pPr>
          </w:p>
        </w:tc>
        <w:tc>
          <w:tcPr>
            <w:tcW w:w="0" w:type="auto"/>
            <w:shd w:val="clear" w:color="auto" w:fill="auto"/>
          </w:tcPr>
          <w:p w14:paraId="33DAE074" w14:textId="77777777" w:rsidR="004D6A64" w:rsidRDefault="004D6A64">
            <w:pPr>
              <w:rPr>
                <w:rFonts w:ascii="宋体"/>
              </w:rPr>
            </w:pPr>
          </w:p>
        </w:tc>
        <w:tc>
          <w:tcPr>
            <w:tcW w:w="0" w:type="auto"/>
            <w:shd w:val="clear" w:color="auto" w:fill="auto"/>
          </w:tcPr>
          <w:p w14:paraId="33DAE075" w14:textId="77777777" w:rsidR="004D6A64" w:rsidRDefault="004D6A64">
            <w:pPr>
              <w:rPr>
                <w:rFonts w:ascii="宋体"/>
              </w:rPr>
            </w:pPr>
          </w:p>
        </w:tc>
        <w:tc>
          <w:tcPr>
            <w:tcW w:w="0" w:type="auto"/>
            <w:shd w:val="clear" w:color="auto" w:fill="auto"/>
          </w:tcPr>
          <w:p w14:paraId="33DAE076" w14:textId="77777777" w:rsidR="004D6A64" w:rsidRDefault="004D6A64">
            <w:pPr>
              <w:rPr>
                <w:rFonts w:ascii="宋体"/>
              </w:rPr>
            </w:pPr>
          </w:p>
        </w:tc>
        <w:tc>
          <w:tcPr>
            <w:tcW w:w="0" w:type="auto"/>
            <w:shd w:val="clear" w:color="auto" w:fill="auto"/>
          </w:tcPr>
          <w:p w14:paraId="33DAE077" w14:textId="77777777" w:rsidR="004D6A64" w:rsidRDefault="004D6A64">
            <w:pPr>
              <w:rPr>
                <w:rFonts w:ascii="宋体"/>
              </w:rPr>
            </w:pPr>
          </w:p>
        </w:tc>
        <w:tc>
          <w:tcPr>
            <w:tcW w:w="0" w:type="auto"/>
            <w:shd w:val="clear" w:color="auto" w:fill="auto"/>
          </w:tcPr>
          <w:p w14:paraId="33DAE078" w14:textId="77777777" w:rsidR="004D6A64" w:rsidRDefault="004D6A64">
            <w:pPr>
              <w:rPr>
                <w:rFonts w:ascii="宋体"/>
              </w:rPr>
            </w:pPr>
          </w:p>
        </w:tc>
        <w:tc>
          <w:tcPr>
            <w:tcW w:w="0" w:type="auto"/>
            <w:shd w:val="clear" w:color="auto" w:fill="auto"/>
          </w:tcPr>
          <w:p w14:paraId="33DAE079" w14:textId="77777777" w:rsidR="004D6A64" w:rsidRDefault="004D6A64">
            <w:pPr>
              <w:rPr>
                <w:rFonts w:ascii="宋体"/>
              </w:rPr>
            </w:pPr>
          </w:p>
        </w:tc>
        <w:tc>
          <w:tcPr>
            <w:tcW w:w="0" w:type="auto"/>
            <w:shd w:val="clear" w:color="auto" w:fill="auto"/>
          </w:tcPr>
          <w:p w14:paraId="33DAE07A" w14:textId="77777777" w:rsidR="004D6A64" w:rsidRDefault="004D6A64">
            <w:pPr>
              <w:rPr>
                <w:rFonts w:ascii="宋体"/>
              </w:rPr>
            </w:pPr>
          </w:p>
        </w:tc>
        <w:tc>
          <w:tcPr>
            <w:tcW w:w="0" w:type="auto"/>
            <w:shd w:val="clear" w:color="auto" w:fill="auto"/>
          </w:tcPr>
          <w:p w14:paraId="33DAE07B" w14:textId="77777777" w:rsidR="004D6A64" w:rsidRDefault="004D6A64">
            <w:pPr>
              <w:rPr>
                <w:rFonts w:ascii="宋体"/>
              </w:rPr>
            </w:pPr>
          </w:p>
        </w:tc>
        <w:tc>
          <w:tcPr>
            <w:tcW w:w="0" w:type="auto"/>
            <w:shd w:val="clear" w:color="auto" w:fill="auto"/>
          </w:tcPr>
          <w:p w14:paraId="33DAE07C" w14:textId="77777777" w:rsidR="004D6A64" w:rsidRDefault="004D6A64">
            <w:pPr>
              <w:rPr>
                <w:rFonts w:ascii="宋体"/>
              </w:rPr>
            </w:pPr>
          </w:p>
        </w:tc>
        <w:tc>
          <w:tcPr>
            <w:tcW w:w="0" w:type="auto"/>
            <w:shd w:val="clear" w:color="auto" w:fill="auto"/>
          </w:tcPr>
          <w:p w14:paraId="33DAE07D" w14:textId="77777777" w:rsidR="004D6A64" w:rsidRDefault="004D6A64">
            <w:pPr>
              <w:rPr>
                <w:rFonts w:ascii="宋体"/>
              </w:rPr>
            </w:pPr>
          </w:p>
        </w:tc>
        <w:tc>
          <w:tcPr>
            <w:tcW w:w="0" w:type="auto"/>
            <w:shd w:val="clear" w:color="auto" w:fill="auto"/>
          </w:tcPr>
          <w:p w14:paraId="33DAE07E" w14:textId="77777777" w:rsidR="004D6A64" w:rsidRDefault="004D6A64">
            <w:pPr>
              <w:rPr>
                <w:rFonts w:ascii="宋体"/>
              </w:rPr>
            </w:pPr>
          </w:p>
        </w:tc>
        <w:tc>
          <w:tcPr>
            <w:tcW w:w="0" w:type="auto"/>
            <w:shd w:val="clear" w:color="auto" w:fill="auto"/>
          </w:tcPr>
          <w:p w14:paraId="33DAE07F" w14:textId="77777777" w:rsidR="004D6A64" w:rsidRDefault="004D6A64">
            <w:pPr>
              <w:rPr>
                <w:rFonts w:ascii="宋体"/>
              </w:rPr>
            </w:pPr>
          </w:p>
        </w:tc>
        <w:tc>
          <w:tcPr>
            <w:tcW w:w="0" w:type="auto"/>
            <w:shd w:val="clear" w:color="auto" w:fill="auto"/>
          </w:tcPr>
          <w:p w14:paraId="33DAE080" w14:textId="77777777" w:rsidR="004D6A64" w:rsidRDefault="004D6A64">
            <w:pPr>
              <w:rPr>
                <w:rFonts w:ascii="宋体"/>
              </w:rPr>
            </w:pPr>
          </w:p>
        </w:tc>
        <w:tc>
          <w:tcPr>
            <w:tcW w:w="0" w:type="auto"/>
            <w:shd w:val="clear" w:color="auto" w:fill="auto"/>
          </w:tcPr>
          <w:p w14:paraId="33DAE081" w14:textId="77777777" w:rsidR="004D6A64" w:rsidRDefault="004D6A64">
            <w:pPr>
              <w:rPr>
                <w:rFonts w:ascii="宋体"/>
              </w:rPr>
            </w:pPr>
          </w:p>
        </w:tc>
        <w:tc>
          <w:tcPr>
            <w:tcW w:w="0" w:type="auto"/>
            <w:shd w:val="clear" w:color="auto" w:fill="auto"/>
          </w:tcPr>
          <w:p w14:paraId="33DAE082" w14:textId="77777777" w:rsidR="004D6A64" w:rsidRDefault="004D6A64">
            <w:pPr>
              <w:rPr>
                <w:rFonts w:ascii="宋体"/>
              </w:rPr>
            </w:pPr>
          </w:p>
        </w:tc>
        <w:tc>
          <w:tcPr>
            <w:tcW w:w="0" w:type="auto"/>
            <w:shd w:val="clear" w:color="auto" w:fill="auto"/>
          </w:tcPr>
          <w:p w14:paraId="33DAE083" w14:textId="77777777" w:rsidR="004D6A64" w:rsidRDefault="004D6A64">
            <w:pPr>
              <w:rPr>
                <w:rFonts w:ascii="宋体"/>
              </w:rPr>
            </w:pPr>
          </w:p>
        </w:tc>
        <w:tc>
          <w:tcPr>
            <w:tcW w:w="0" w:type="auto"/>
            <w:shd w:val="clear" w:color="auto" w:fill="auto"/>
          </w:tcPr>
          <w:p w14:paraId="33DAE084" w14:textId="77777777" w:rsidR="004D6A64" w:rsidRDefault="004D6A64">
            <w:pPr>
              <w:rPr>
                <w:rFonts w:ascii="宋体"/>
              </w:rPr>
            </w:pPr>
          </w:p>
        </w:tc>
      </w:tr>
    </w:tbl>
    <w:p w14:paraId="33DAE086" w14:textId="77777777" w:rsidR="004D6A64" w:rsidRDefault="004D6A64"/>
    <w:p w14:paraId="33DAE087" w14:textId="77777777" w:rsidR="004D6A64" w:rsidRDefault="004D6A64">
      <w:pPr>
        <w:jc w:val="center"/>
      </w:pPr>
    </w:p>
    <w:p w14:paraId="33DAE088" w14:textId="77777777" w:rsidR="004D6A64" w:rsidRDefault="00506CD6">
      <w:pPr>
        <w:jc w:val="center"/>
      </w:pPr>
      <w:r>
        <w:rPr>
          <w:rFonts w:ascii="Times New Roman" w:eastAsia="宋体" w:hAnsi="Times New Roman"/>
          <w:color w:val="000000"/>
          <w:sz w:val="20"/>
          <w:szCs w:val="20"/>
        </w:rPr>
        <w:t>74</w:t>
      </w:r>
    </w:p>
    <w:p w14:paraId="33DAE089" w14:textId="77777777" w:rsidR="004D6A64" w:rsidRDefault="004D6A64">
      <w:pPr>
        <w:jc w:val="center"/>
      </w:pPr>
    </w:p>
    <w:p w14:paraId="33DAE08A" w14:textId="77777777" w:rsidR="004D6A64" w:rsidRDefault="00506CD6">
      <w:r>
        <w:pict w14:anchorId="33DAFB0E">
          <v:rect id="_x0000_i1098" style="width:415.3pt;height:1.5pt" o:hralign="center" o:hrstd="t" o:hr="t" fillcolor="#a0a0a0" stroked="f"/>
        </w:pict>
      </w:r>
    </w:p>
    <w:p w14:paraId="33DAE08B" w14:textId="77777777" w:rsidR="004D6A64" w:rsidRDefault="00506CD6">
      <w:hyperlink r:id="rId197" w:anchor="if3e0e1bf9ecd4bf69551d7a85f98d64a_10" w:history="1">
        <w:r>
          <w:rPr>
            <w:rStyle w:val="a5"/>
            <w:rFonts w:ascii="Times New Roman" w:eastAsia="宋体" w:hAnsi="Times New Roman"/>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53"/>
        <w:gridCol w:w="1977"/>
        <w:gridCol w:w="38"/>
        <w:gridCol w:w="135"/>
        <w:gridCol w:w="522"/>
        <w:gridCol w:w="41"/>
        <w:gridCol w:w="36"/>
        <w:gridCol w:w="36"/>
        <w:gridCol w:w="36"/>
        <w:gridCol w:w="92"/>
        <w:gridCol w:w="595"/>
        <w:gridCol w:w="202"/>
        <w:gridCol w:w="36"/>
        <w:gridCol w:w="36"/>
        <w:gridCol w:w="36"/>
        <w:gridCol w:w="135"/>
        <w:gridCol w:w="522"/>
        <w:gridCol w:w="41"/>
        <w:gridCol w:w="36"/>
        <w:gridCol w:w="36"/>
        <w:gridCol w:w="36"/>
        <w:gridCol w:w="135"/>
        <w:gridCol w:w="615"/>
        <w:gridCol w:w="41"/>
        <w:gridCol w:w="36"/>
        <w:gridCol w:w="36"/>
        <w:gridCol w:w="36"/>
        <w:gridCol w:w="92"/>
        <w:gridCol w:w="595"/>
        <w:gridCol w:w="202"/>
        <w:gridCol w:w="36"/>
        <w:gridCol w:w="36"/>
        <w:gridCol w:w="36"/>
        <w:gridCol w:w="135"/>
        <w:gridCol w:w="615"/>
        <w:gridCol w:w="4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4D6A64" w14:paraId="33DAE0B0" w14:textId="77777777">
        <w:trPr>
          <w:gridAfter w:val="27"/>
          <w:jc w:val="center"/>
        </w:trPr>
        <w:tc>
          <w:tcPr>
            <w:tcW w:w="50" w:type="pct"/>
            <w:shd w:val="clear" w:color="auto" w:fill="auto"/>
          </w:tcPr>
          <w:p w14:paraId="33DAE08C" w14:textId="77777777" w:rsidR="004D6A64" w:rsidRDefault="004D6A64">
            <w:pPr>
              <w:rPr>
                <w:rFonts w:ascii="宋体"/>
              </w:rPr>
            </w:pPr>
          </w:p>
        </w:tc>
        <w:tc>
          <w:tcPr>
            <w:tcW w:w="1670" w:type="pct"/>
            <w:shd w:val="clear" w:color="auto" w:fill="auto"/>
          </w:tcPr>
          <w:p w14:paraId="33DAE08D" w14:textId="77777777" w:rsidR="004D6A64" w:rsidRDefault="004D6A64">
            <w:pPr>
              <w:rPr>
                <w:rFonts w:ascii="宋体"/>
              </w:rPr>
            </w:pPr>
          </w:p>
        </w:tc>
        <w:tc>
          <w:tcPr>
            <w:tcW w:w="5" w:type="pct"/>
            <w:shd w:val="clear" w:color="auto" w:fill="auto"/>
          </w:tcPr>
          <w:p w14:paraId="33DAE08E" w14:textId="77777777" w:rsidR="004D6A64" w:rsidRDefault="004D6A64">
            <w:pPr>
              <w:rPr>
                <w:rFonts w:ascii="宋体"/>
              </w:rPr>
            </w:pPr>
          </w:p>
        </w:tc>
        <w:tc>
          <w:tcPr>
            <w:tcW w:w="50" w:type="pct"/>
            <w:shd w:val="clear" w:color="auto" w:fill="auto"/>
          </w:tcPr>
          <w:p w14:paraId="33DAE08F" w14:textId="77777777" w:rsidR="004D6A64" w:rsidRDefault="004D6A64">
            <w:pPr>
              <w:rPr>
                <w:rFonts w:ascii="宋体"/>
              </w:rPr>
            </w:pPr>
          </w:p>
        </w:tc>
        <w:tc>
          <w:tcPr>
            <w:tcW w:w="537" w:type="pct"/>
            <w:shd w:val="clear" w:color="auto" w:fill="auto"/>
          </w:tcPr>
          <w:p w14:paraId="33DAE090" w14:textId="77777777" w:rsidR="004D6A64" w:rsidRDefault="004D6A64">
            <w:pPr>
              <w:rPr>
                <w:rFonts w:ascii="宋体"/>
              </w:rPr>
            </w:pPr>
          </w:p>
        </w:tc>
        <w:tc>
          <w:tcPr>
            <w:tcW w:w="5" w:type="pct"/>
            <w:shd w:val="clear" w:color="auto" w:fill="auto"/>
          </w:tcPr>
          <w:p w14:paraId="33DAE091" w14:textId="77777777" w:rsidR="004D6A64" w:rsidRDefault="004D6A64">
            <w:pPr>
              <w:rPr>
                <w:rFonts w:ascii="宋体"/>
              </w:rPr>
            </w:pPr>
          </w:p>
        </w:tc>
        <w:tc>
          <w:tcPr>
            <w:tcW w:w="5" w:type="pct"/>
            <w:shd w:val="clear" w:color="auto" w:fill="auto"/>
          </w:tcPr>
          <w:p w14:paraId="33DAE092" w14:textId="77777777" w:rsidR="004D6A64" w:rsidRDefault="004D6A64">
            <w:pPr>
              <w:rPr>
                <w:rFonts w:ascii="宋体"/>
              </w:rPr>
            </w:pPr>
          </w:p>
        </w:tc>
        <w:tc>
          <w:tcPr>
            <w:tcW w:w="19" w:type="pct"/>
            <w:shd w:val="clear" w:color="auto" w:fill="auto"/>
          </w:tcPr>
          <w:p w14:paraId="33DAE093" w14:textId="77777777" w:rsidR="004D6A64" w:rsidRDefault="004D6A64">
            <w:pPr>
              <w:rPr>
                <w:rFonts w:ascii="宋体"/>
              </w:rPr>
            </w:pPr>
          </w:p>
        </w:tc>
        <w:tc>
          <w:tcPr>
            <w:tcW w:w="5" w:type="pct"/>
            <w:shd w:val="clear" w:color="auto" w:fill="auto"/>
          </w:tcPr>
          <w:p w14:paraId="33DAE094" w14:textId="77777777" w:rsidR="004D6A64" w:rsidRDefault="004D6A64">
            <w:pPr>
              <w:rPr>
                <w:rFonts w:ascii="宋体"/>
              </w:rPr>
            </w:pPr>
          </w:p>
        </w:tc>
        <w:tc>
          <w:tcPr>
            <w:tcW w:w="50" w:type="pct"/>
            <w:shd w:val="clear" w:color="auto" w:fill="auto"/>
          </w:tcPr>
          <w:p w14:paraId="33DAE095" w14:textId="77777777" w:rsidR="004D6A64" w:rsidRDefault="004D6A64">
            <w:pPr>
              <w:rPr>
                <w:rFonts w:ascii="宋体"/>
              </w:rPr>
            </w:pPr>
          </w:p>
        </w:tc>
        <w:tc>
          <w:tcPr>
            <w:tcW w:w="325" w:type="pct"/>
            <w:shd w:val="clear" w:color="auto" w:fill="auto"/>
          </w:tcPr>
          <w:p w14:paraId="33DAE096" w14:textId="77777777" w:rsidR="004D6A64" w:rsidRDefault="004D6A64">
            <w:pPr>
              <w:rPr>
                <w:rFonts w:ascii="宋体"/>
              </w:rPr>
            </w:pPr>
          </w:p>
        </w:tc>
        <w:tc>
          <w:tcPr>
            <w:tcW w:w="5" w:type="pct"/>
            <w:shd w:val="clear" w:color="auto" w:fill="auto"/>
          </w:tcPr>
          <w:p w14:paraId="33DAE097" w14:textId="77777777" w:rsidR="004D6A64" w:rsidRDefault="004D6A64">
            <w:pPr>
              <w:rPr>
                <w:rFonts w:ascii="宋体"/>
              </w:rPr>
            </w:pPr>
          </w:p>
        </w:tc>
        <w:tc>
          <w:tcPr>
            <w:tcW w:w="5" w:type="pct"/>
            <w:shd w:val="clear" w:color="auto" w:fill="auto"/>
          </w:tcPr>
          <w:p w14:paraId="33DAE098" w14:textId="77777777" w:rsidR="004D6A64" w:rsidRDefault="004D6A64">
            <w:pPr>
              <w:rPr>
                <w:rFonts w:ascii="宋体"/>
              </w:rPr>
            </w:pPr>
          </w:p>
        </w:tc>
        <w:tc>
          <w:tcPr>
            <w:tcW w:w="19" w:type="pct"/>
            <w:shd w:val="clear" w:color="auto" w:fill="auto"/>
          </w:tcPr>
          <w:p w14:paraId="33DAE099" w14:textId="77777777" w:rsidR="004D6A64" w:rsidRDefault="004D6A64">
            <w:pPr>
              <w:rPr>
                <w:rFonts w:ascii="宋体"/>
              </w:rPr>
            </w:pPr>
          </w:p>
        </w:tc>
        <w:tc>
          <w:tcPr>
            <w:tcW w:w="5" w:type="pct"/>
            <w:shd w:val="clear" w:color="auto" w:fill="auto"/>
          </w:tcPr>
          <w:p w14:paraId="33DAE09A" w14:textId="77777777" w:rsidR="004D6A64" w:rsidRDefault="004D6A64">
            <w:pPr>
              <w:rPr>
                <w:rFonts w:ascii="宋体"/>
              </w:rPr>
            </w:pPr>
          </w:p>
        </w:tc>
        <w:tc>
          <w:tcPr>
            <w:tcW w:w="50" w:type="pct"/>
            <w:shd w:val="clear" w:color="auto" w:fill="auto"/>
          </w:tcPr>
          <w:p w14:paraId="33DAE09B" w14:textId="77777777" w:rsidR="004D6A64" w:rsidRDefault="004D6A64">
            <w:pPr>
              <w:rPr>
                <w:rFonts w:ascii="宋体"/>
              </w:rPr>
            </w:pPr>
          </w:p>
        </w:tc>
        <w:tc>
          <w:tcPr>
            <w:tcW w:w="537" w:type="pct"/>
            <w:shd w:val="clear" w:color="auto" w:fill="auto"/>
          </w:tcPr>
          <w:p w14:paraId="33DAE09C" w14:textId="77777777" w:rsidR="004D6A64" w:rsidRDefault="004D6A64">
            <w:pPr>
              <w:rPr>
                <w:rFonts w:ascii="宋体"/>
              </w:rPr>
            </w:pPr>
          </w:p>
        </w:tc>
        <w:tc>
          <w:tcPr>
            <w:tcW w:w="5" w:type="pct"/>
            <w:shd w:val="clear" w:color="auto" w:fill="auto"/>
          </w:tcPr>
          <w:p w14:paraId="33DAE09D" w14:textId="77777777" w:rsidR="004D6A64" w:rsidRDefault="004D6A64">
            <w:pPr>
              <w:rPr>
                <w:rFonts w:ascii="宋体"/>
              </w:rPr>
            </w:pPr>
          </w:p>
        </w:tc>
        <w:tc>
          <w:tcPr>
            <w:tcW w:w="5" w:type="pct"/>
            <w:shd w:val="clear" w:color="auto" w:fill="auto"/>
          </w:tcPr>
          <w:p w14:paraId="33DAE09E" w14:textId="77777777" w:rsidR="004D6A64" w:rsidRDefault="004D6A64">
            <w:pPr>
              <w:rPr>
                <w:rFonts w:ascii="宋体"/>
              </w:rPr>
            </w:pPr>
          </w:p>
        </w:tc>
        <w:tc>
          <w:tcPr>
            <w:tcW w:w="19" w:type="pct"/>
            <w:shd w:val="clear" w:color="auto" w:fill="auto"/>
          </w:tcPr>
          <w:p w14:paraId="33DAE09F" w14:textId="77777777" w:rsidR="004D6A64" w:rsidRDefault="004D6A64">
            <w:pPr>
              <w:rPr>
                <w:rFonts w:ascii="宋体"/>
              </w:rPr>
            </w:pPr>
          </w:p>
        </w:tc>
        <w:tc>
          <w:tcPr>
            <w:tcW w:w="5" w:type="pct"/>
            <w:shd w:val="clear" w:color="auto" w:fill="auto"/>
          </w:tcPr>
          <w:p w14:paraId="33DAE0A0" w14:textId="77777777" w:rsidR="004D6A64" w:rsidRDefault="004D6A64">
            <w:pPr>
              <w:rPr>
                <w:rFonts w:ascii="宋体"/>
              </w:rPr>
            </w:pPr>
          </w:p>
        </w:tc>
        <w:tc>
          <w:tcPr>
            <w:tcW w:w="50" w:type="pct"/>
            <w:shd w:val="clear" w:color="auto" w:fill="auto"/>
          </w:tcPr>
          <w:p w14:paraId="33DAE0A1" w14:textId="77777777" w:rsidR="004D6A64" w:rsidRDefault="004D6A64">
            <w:pPr>
              <w:rPr>
                <w:rFonts w:ascii="宋体"/>
              </w:rPr>
            </w:pPr>
          </w:p>
        </w:tc>
        <w:tc>
          <w:tcPr>
            <w:tcW w:w="537" w:type="pct"/>
            <w:shd w:val="clear" w:color="auto" w:fill="auto"/>
          </w:tcPr>
          <w:p w14:paraId="33DAE0A2" w14:textId="77777777" w:rsidR="004D6A64" w:rsidRDefault="004D6A64">
            <w:pPr>
              <w:rPr>
                <w:rFonts w:ascii="宋体"/>
              </w:rPr>
            </w:pPr>
          </w:p>
        </w:tc>
        <w:tc>
          <w:tcPr>
            <w:tcW w:w="5" w:type="pct"/>
            <w:shd w:val="clear" w:color="auto" w:fill="auto"/>
          </w:tcPr>
          <w:p w14:paraId="33DAE0A3" w14:textId="77777777" w:rsidR="004D6A64" w:rsidRDefault="004D6A64">
            <w:pPr>
              <w:rPr>
                <w:rFonts w:ascii="宋体"/>
              </w:rPr>
            </w:pPr>
          </w:p>
        </w:tc>
        <w:tc>
          <w:tcPr>
            <w:tcW w:w="5" w:type="pct"/>
            <w:shd w:val="clear" w:color="auto" w:fill="auto"/>
          </w:tcPr>
          <w:p w14:paraId="33DAE0A4" w14:textId="77777777" w:rsidR="004D6A64" w:rsidRDefault="004D6A64">
            <w:pPr>
              <w:rPr>
                <w:rFonts w:ascii="宋体"/>
              </w:rPr>
            </w:pPr>
          </w:p>
        </w:tc>
        <w:tc>
          <w:tcPr>
            <w:tcW w:w="19" w:type="pct"/>
            <w:shd w:val="clear" w:color="auto" w:fill="auto"/>
          </w:tcPr>
          <w:p w14:paraId="33DAE0A5" w14:textId="77777777" w:rsidR="004D6A64" w:rsidRDefault="004D6A64">
            <w:pPr>
              <w:rPr>
                <w:rFonts w:ascii="宋体"/>
              </w:rPr>
            </w:pPr>
          </w:p>
        </w:tc>
        <w:tc>
          <w:tcPr>
            <w:tcW w:w="5" w:type="pct"/>
            <w:shd w:val="clear" w:color="auto" w:fill="auto"/>
          </w:tcPr>
          <w:p w14:paraId="33DAE0A6" w14:textId="77777777" w:rsidR="004D6A64" w:rsidRDefault="004D6A64">
            <w:pPr>
              <w:rPr>
                <w:rFonts w:ascii="宋体"/>
              </w:rPr>
            </w:pPr>
          </w:p>
        </w:tc>
        <w:tc>
          <w:tcPr>
            <w:tcW w:w="50" w:type="pct"/>
            <w:shd w:val="clear" w:color="auto" w:fill="auto"/>
          </w:tcPr>
          <w:p w14:paraId="33DAE0A7" w14:textId="77777777" w:rsidR="004D6A64" w:rsidRDefault="004D6A64">
            <w:pPr>
              <w:rPr>
                <w:rFonts w:ascii="宋体"/>
              </w:rPr>
            </w:pPr>
          </w:p>
        </w:tc>
        <w:tc>
          <w:tcPr>
            <w:tcW w:w="325" w:type="pct"/>
            <w:shd w:val="clear" w:color="auto" w:fill="auto"/>
          </w:tcPr>
          <w:p w14:paraId="33DAE0A8" w14:textId="77777777" w:rsidR="004D6A64" w:rsidRDefault="004D6A64">
            <w:pPr>
              <w:rPr>
                <w:rFonts w:ascii="宋体"/>
              </w:rPr>
            </w:pPr>
          </w:p>
        </w:tc>
        <w:tc>
          <w:tcPr>
            <w:tcW w:w="5" w:type="pct"/>
            <w:shd w:val="clear" w:color="auto" w:fill="auto"/>
          </w:tcPr>
          <w:p w14:paraId="33DAE0A9" w14:textId="77777777" w:rsidR="004D6A64" w:rsidRDefault="004D6A64">
            <w:pPr>
              <w:rPr>
                <w:rFonts w:ascii="宋体"/>
              </w:rPr>
            </w:pPr>
          </w:p>
        </w:tc>
        <w:tc>
          <w:tcPr>
            <w:tcW w:w="5" w:type="pct"/>
            <w:shd w:val="clear" w:color="auto" w:fill="auto"/>
          </w:tcPr>
          <w:p w14:paraId="33DAE0AA" w14:textId="77777777" w:rsidR="004D6A64" w:rsidRDefault="004D6A64">
            <w:pPr>
              <w:rPr>
                <w:rFonts w:ascii="宋体"/>
              </w:rPr>
            </w:pPr>
          </w:p>
        </w:tc>
        <w:tc>
          <w:tcPr>
            <w:tcW w:w="19" w:type="pct"/>
            <w:shd w:val="clear" w:color="auto" w:fill="auto"/>
          </w:tcPr>
          <w:p w14:paraId="33DAE0AB" w14:textId="77777777" w:rsidR="004D6A64" w:rsidRDefault="004D6A64">
            <w:pPr>
              <w:rPr>
                <w:rFonts w:ascii="宋体"/>
              </w:rPr>
            </w:pPr>
          </w:p>
        </w:tc>
        <w:tc>
          <w:tcPr>
            <w:tcW w:w="5" w:type="pct"/>
            <w:shd w:val="clear" w:color="auto" w:fill="auto"/>
          </w:tcPr>
          <w:p w14:paraId="33DAE0AC" w14:textId="77777777" w:rsidR="004D6A64" w:rsidRDefault="004D6A64">
            <w:pPr>
              <w:rPr>
                <w:rFonts w:ascii="宋体"/>
              </w:rPr>
            </w:pPr>
          </w:p>
        </w:tc>
        <w:tc>
          <w:tcPr>
            <w:tcW w:w="50" w:type="pct"/>
            <w:shd w:val="clear" w:color="auto" w:fill="auto"/>
          </w:tcPr>
          <w:p w14:paraId="33DAE0AD" w14:textId="77777777" w:rsidR="004D6A64" w:rsidRDefault="004D6A64">
            <w:pPr>
              <w:rPr>
                <w:rFonts w:ascii="宋体"/>
              </w:rPr>
            </w:pPr>
          </w:p>
        </w:tc>
        <w:tc>
          <w:tcPr>
            <w:tcW w:w="537" w:type="pct"/>
            <w:shd w:val="clear" w:color="auto" w:fill="auto"/>
          </w:tcPr>
          <w:p w14:paraId="33DAE0AE" w14:textId="77777777" w:rsidR="004D6A64" w:rsidRDefault="004D6A64">
            <w:pPr>
              <w:rPr>
                <w:rFonts w:ascii="宋体"/>
              </w:rPr>
            </w:pPr>
          </w:p>
        </w:tc>
        <w:tc>
          <w:tcPr>
            <w:tcW w:w="5" w:type="pct"/>
            <w:shd w:val="clear" w:color="auto" w:fill="auto"/>
          </w:tcPr>
          <w:p w14:paraId="33DAE0AF" w14:textId="77777777" w:rsidR="004D6A64" w:rsidRDefault="004D6A64">
            <w:pPr>
              <w:rPr>
                <w:rFonts w:ascii="宋体"/>
              </w:rPr>
            </w:pPr>
          </w:p>
        </w:tc>
      </w:tr>
      <w:tr w:rsidR="004D6A64" w14:paraId="33DAE0BD" w14:textId="77777777">
        <w:trPr>
          <w:gridAfter w:val="3"/>
          <w:jc w:val="center"/>
        </w:trPr>
        <w:tc>
          <w:tcPr>
            <w:tcW w:w="0" w:type="auto"/>
            <w:gridSpan w:val="3"/>
            <w:shd w:val="clear" w:color="auto" w:fill="auto"/>
            <w:tcMar>
              <w:left w:w="20" w:type="dxa"/>
              <w:right w:w="20" w:type="dxa"/>
            </w:tcMar>
            <w:vAlign w:val="bottom"/>
          </w:tcPr>
          <w:p w14:paraId="33DAE0B1" w14:textId="77777777" w:rsidR="004D6A64" w:rsidRDefault="004D6A64">
            <w:pPr>
              <w:rPr>
                <w:rFonts w:ascii="宋体"/>
              </w:rPr>
            </w:pPr>
          </w:p>
        </w:tc>
        <w:tc>
          <w:tcPr>
            <w:tcW w:w="0" w:type="auto"/>
            <w:gridSpan w:val="15"/>
            <w:shd w:val="clear" w:color="auto" w:fill="auto"/>
            <w:tcMar>
              <w:top w:w="40" w:type="dxa"/>
              <w:left w:w="20" w:type="dxa"/>
              <w:bottom w:w="40" w:type="dxa"/>
              <w:right w:w="20" w:type="dxa"/>
            </w:tcMar>
            <w:vAlign w:val="bottom"/>
          </w:tcPr>
          <w:p w14:paraId="33DAE0B2" w14:textId="77777777" w:rsidR="004D6A64" w:rsidRDefault="00506CD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Pr>
          <w:p w14:paraId="33DAE0B3" w14:textId="77777777" w:rsidR="004D6A64" w:rsidRDefault="004D6A64">
            <w:pPr>
              <w:rPr>
                <w:rFonts w:ascii="宋体"/>
                <w:vanish/>
              </w:rPr>
            </w:pPr>
          </w:p>
        </w:tc>
        <w:tc>
          <w:tcPr>
            <w:tcW w:w="0" w:type="auto"/>
            <w:gridSpan w:val="3"/>
            <w:shd w:val="clear" w:color="auto" w:fill="auto"/>
          </w:tcPr>
          <w:p w14:paraId="33DAE0B4" w14:textId="77777777" w:rsidR="004D6A64" w:rsidRDefault="004D6A64">
            <w:pPr>
              <w:rPr>
                <w:rFonts w:ascii="宋体"/>
                <w:vanish/>
              </w:rPr>
            </w:pPr>
          </w:p>
        </w:tc>
        <w:tc>
          <w:tcPr>
            <w:tcW w:w="0" w:type="auto"/>
            <w:gridSpan w:val="3"/>
            <w:shd w:val="clear" w:color="auto" w:fill="auto"/>
          </w:tcPr>
          <w:p w14:paraId="33DAE0B5" w14:textId="77777777" w:rsidR="004D6A64" w:rsidRDefault="004D6A64">
            <w:pPr>
              <w:rPr>
                <w:rFonts w:ascii="宋体"/>
                <w:vanish/>
              </w:rPr>
            </w:pPr>
          </w:p>
        </w:tc>
        <w:tc>
          <w:tcPr>
            <w:tcW w:w="0" w:type="auto"/>
            <w:gridSpan w:val="3"/>
            <w:shd w:val="clear" w:color="auto" w:fill="auto"/>
          </w:tcPr>
          <w:p w14:paraId="33DAE0B6"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E0B7" w14:textId="77777777" w:rsidR="004D6A64" w:rsidRDefault="004D6A64">
            <w:pPr>
              <w:rPr>
                <w:rFonts w:ascii="宋体"/>
              </w:rPr>
            </w:pPr>
          </w:p>
        </w:tc>
        <w:tc>
          <w:tcPr>
            <w:tcW w:w="0" w:type="auto"/>
            <w:gridSpan w:val="15"/>
            <w:shd w:val="clear" w:color="auto" w:fill="auto"/>
            <w:tcMar>
              <w:top w:w="40" w:type="dxa"/>
              <w:left w:w="20" w:type="dxa"/>
              <w:bottom w:w="40" w:type="dxa"/>
              <w:right w:w="20" w:type="dxa"/>
            </w:tcMar>
            <w:vAlign w:val="bottom"/>
          </w:tcPr>
          <w:p w14:paraId="33DAE0B8" w14:textId="77777777" w:rsidR="004D6A64" w:rsidRDefault="00506CD6">
            <w:pPr>
              <w:jc w:val="center"/>
              <w:textAlignment w:val="bottom"/>
            </w:pPr>
            <w:r>
              <w:rPr>
                <w:rFonts w:ascii="Times New Roman" w:eastAsia="宋体" w:hAnsi="Times New Roman"/>
                <w:b/>
                <w:bCs/>
                <w:color w:val="000000"/>
                <w:sz w:val="20"/>
                <w:szCs w:val="20"/>
              </w:rPr>
              <w:t>Six Months Ended</w:t>
            </w:r>
          </w:p>
        </w:tc>
        <w:tc>
          <w:tcPr>
            <w:tcW w:w="0" w:type="auto"/>
            <w:gridSpan w:val="3"/>
            <w:shd w:val="clear" w:color="auto" w:fill="auto"/>
          </w:tcPr>
          <w:p w14:paraId="33DAE0B9" w14:textId="77777777" w:rsidR="004D6A64" w:rsidRDefault="004D6A64">
            <w:pPr>
              <w:rPr>
                <w:rFonts w:ascii="宋体"/>
                <w:vanish/>
              </w:rPr>
            </w:pPr>
          </w:p>
        </w:tc>
        <w:tc>
          <w:tcPr>
            <w:tcW w:w="0" w:type="auto"/>
            <w:gridSpan w:val="3"/>
            <w:shd w:val="clear" w:color="auto" w:fill="auto"/>
          </w:tcPr>
          <w:p w14:paraId="33DAE0BA" w14:textId="77777777" w:rsidR="004D6A64" w:rsidRDefault="004D6A64">
            <w:pPr>
              <w:rPr>
                <w:rFonts w:ascii="宋体"/>
                <w:vanish/>
              </w:rPr>
            </w:pPr>
          </w:p>
        </w:tc>
        <w:tc>
          <w:tcPr>
            <w:tcW w:w="0" w:type="auto"/>
            <w:gridSpan w:val="3"/>
            <w:shd w:val="clear" w:color="auto" w:fill="auto"/>
          </w:tcPr>
          <w:p w14:paraId="33DAE0BB" w14:textId="77777777" w:rsidR="004D6A64" w:rsidRDefault="004D6A64">
            <w:pPr>
              <w:rPr>
                <w:rFonts w:ascii="宋体"/>
                <w:vanish/>
              </w:rPr>
            </w:pPr>
          </w:p>
        </w:tc>
        <w:tc>
          <w:tcPr>
            <w:tcW w:w="0" w:type="auto"/>
            <w:gridSpan w:val="3"/>
            <w:shd w:val="clear" w:color="auto" w:fill="auto"/>
          </w:tcPr>
          <w:p w14:paraId="33DAE0BC" w14:textId="77777777" w:rsidR="004D6A64" w:rsidRDefault="004D6A64">
            <w:pPr>
              <w:rPr>
                <w:rFonts w:ascii="宋体"/>
                <w:vanish/>
              </w:rPr>
            </w:pPr>
          </w:p>
        </w:tc>
      </w:tr>
      <w:tr w:rsidR="004D6A64" w14:paraId="33DAE0E2" w14:textId="77777777">
        <w:trPr>
          <w:gridAfter w:val="3"/>
          <w:jc w:val="center"/>
        </w:trPr>
        <w:tc>
          <w:tcPr>
            <w:tcW w:w="0" w:type="auto"/>
            <w:gridSpan w:val="3"/>
            <w:shd w:val="clear" w:color="auto" w:fill="auto"/>
            <w:tcMar>
              <w:top w:w="40" w:type="dxa"/>
              <w:left w:w="20" w:type="dxa"/>
              <w:bottom w:w="40" w:type="dxa"/>
              <w:right w:w="20" w:type="dxa"/>
            </w:tcMar>
            <w:vAlign w:val="bottom"/>
          </w:tcPr>
          <w:p w14:paraId="33DAE0BE" w14:textId="77777777" w:rsidR="004D6A64" w:rsidRDefault="00506CD6">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E0BF"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E0C0"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E0C1" w14:textId="77777777" w:rsidR="004D6A64" w:rsidRDefault="00506CD6">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left w:w="20" w:type="dxa"/>
              <w:right w:w="20" w:type="dxa"/>
            </w:tcMar>
            <w:vAlign w:val="bottom"/>
          </w:tcPr>
          <w:p w14:paraId="33DAE0C2"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E0C3"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gridSpan w:val="3"/>
            <w:shd w:val="clear" w:color="auto" w:fill="auto"/>
            <w:tcMar>
              <w:left w:w="20" w:type="dxa"/>
              <w:right w:w="20" w:type="dxa"/>
            </w:tcMar>
            <w:vAlign w:val="bottom"/>
          </w:tcPr>
          <w:p w14:paraId="33DAE0C4"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E0C5"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E0C6"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E0C7" w14:textId="77777777" w:rsidR="004D6A64" w:rsidRDefault="00506CD6">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left w:w="20" w:type="dxa"/>
              <w:right w:w="20" w:type="dxa"/>
            </w:tcMar>
            <w:vAlign w:val="bottom"/>
          </w:tcPr>
          <w:p w14:paraId="33DAE0C8"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E0C9"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shd w:val="clear" w:color="auto" w:fill="auto"/>
          </w:tcPr>
          <w:p w14:paraId="33DAE0CA" w14:textId="77777777" w:rsidR="004D6A64" w:rsidRDefault="004D6A64">
            <w:pPr>
              <w:rPr>
                <w:rFonts w:ascii="宋体"/>
              </w:rPr>
            </w:pPr>
          </w:p>
        </w:tc>
        <w:tc>
          <w:tcPr>
            <w:tcW w:w="0" w:type="auto"/>
            <w:shd w:val="clear" w:color="auto" w:fill="auto"/>
          </w:tcPr>
          <w:p w14:paraId="33DAE0CB" w14:textId="77777777" w:rsidR="004D6A64" w:rsidRDefault="004D6A64">
            <w:pPr>
              <w:rPr>
                <w:rFonts w:ascii="宋体"/>
              </w:rPr>
            </w:pPr>
          </w:p>
        </w:tc>
        <w:tc>
          <w:tcPr>
            <w:tcW w:w="0" w:type="auto"/>
            <w:shd w:val="clear" w:color="auto" w:fill="auto"/>
          </w:tcPr>
          <w:p w14:paraId="33DAE0CC" w14:textId="77777777" w:rsidR="004D6A64" w:rsidRDefault="004D6A64">
            <w:pPr>
              <w:rPr>
                <w:rFonts w:ascii="宋体"/>
              </w:rPr>
            </w:pPr>
          </w:p>
        </w:tc>
        <w:tc>
          <w:tcPr>
            <w:tcW w:w="0" w:type="auto"/>
            <w:shd w:val="clear" w:color="auto" w:fill="auto"/>
          </w:tcPr>
          <w:p w14:paraId="33DAE0CD" w14:textId="77777777" w:rsidR="004D6A64" w:rsidRDefault="004D6A64">
            <w:pPr>
              <w:rPr>
                <w:rFonts w:ascii="宋体"/>
              </w:rPr>
            </w:pPr>
          </w:p>
        </w:tc>
        <w:tc>
          <w:tcPr>
            <w:tcW w:w="0" w:type="auto"/>
            <w:shd w:val="clear" w:color="auto" w:fill="auto"/>
          </w:tcPr>
          <w:p w14:paraId="33DAE0CE" w14:textId="77777777" w:rsidR="004D6A64" w:rsidRDefault="004D6A64">
            <w:pPr>
              <w:rPr>
                <w:rFonts w:ascii="宋体"/>
              </w:rPr>
            </w:pPr>
          </w:p>
        </w:tc>
        <w:tc>
          <w:tcPr>
            <w:tcW w:w="0" w:type="auto"/>
            <w:shd w:val="clear" w:color="auto" w:fill="auto"/>
          </w:tcPr>
          <w:p w14:paraId="33DAE0CF" w14:textId="77777777" w:rsidR="004D6A64" w:rsidRDefault="004D6A64">
            <w:pPr>
              <w:rPr>
                <w:rFonts w:ascii="宋体"/>
              </w:rPr>
            </w:pPr>
          </w:p>
        </w:tc>
        <w:tc>
          <w:tcPr>
            <w:tcW w:w="0" w:type="auto"/>
            <w:shd w:val="clear" w:color="auto" w:fill="auto"/>
          </w:tcPr>
          <w:p w14:paraId="33DAE0D0" w14:textId="77777777" w:rsidR="004D6A64" w:rsidRDefault="004D6A64">
            <w:pPr>
              <w:rPr>
                <w:rFonts w:ascii="宋体"/>
              </w:rPr>
            </w:pPr>
          </w:p>
        </w:tc>
        <w:tc>
          <w:tcPr>
            <w:tcW w:w="0" w:type="auto"/>
            <w:shd w:val="clear" w:color="auto" w:fill="auto"/>
          </w:tcPr>
          <w:p w14:paraId="33DAE0D1" w14:textId="77777777" w:rsidR="004D6A64" w:rsidRDefault="004D6A64">
            <w:pPr>
              <w:rPr>
                <w:rFonts w:ascii="宋体"/>
              </w:rPr>
            </w:pPr>
          </w:p>
        </w:tc>
        <w:tc>
          <w:tcPr>
            <w:tcW w:w="0" w:type="auto"/>
            <w:shd w:val="clear" w:color="auto" w:fill="auto"/>
          </w:tcPr>
          <w:p w14:paraId="33DAE0D2" w14:textId="77777777" w:rsidR="004D6A64" w:rsidRDefault="004D6A64">
            <w:pPr>
              <w:rPr>
                <w:rFonts w:ascii="宋体"/>
              </w:rPr>
            </w:pPr>
          </w:p>
        </w:tc>
        <w:tc>
          <w:tcPr>
            <w:tcW w:w="0" w:type="auto"/>
            <w:shd w:val="clear" w:color="auto" w:fill="auto"/>
          </w:tcPr>
          <w:p w14:paraId="33DAE0D3" w14:textId="77777777" w:rsidR="004D6A64" w:rsidRDefault="004D6A64">
            <w:pPr>
              <w:rPr>
                <w:rFonts w:ascii="宋体"/>
              </w:rPr>
            </w:pPr>
          </w:p>
        </w:tc>
        <w:tc>
          <w:tcPr>
            <w:tcW w:w="0" w:type="auto"/>
            <w:shd w:val="clear" w:color="auto" w:fill="auto"/>
          </w:tcPr>
          <w:p w14:paraId="33DAE0D4" w14:textId="77777777" w:rsidR="004D6A64" w:rsidRDefault="004D6A64">
            <w:pPr>
              <w:rPr>
                <w:rFonts w:ascii="宋体"/>
              </w:rPr>
            </w:pPr>
          </w:p>
        </w:tc>
        <w:tc>
          <w:tcPr>
            <w:tcW w:w="0" w:type="auto"/>
            <w:shd w:val="clear" w:color="auto" w:fill="auto"/>
          </w:tcPr>
          <w:p w14:paraId="33DAE0D5" w14:textId="77777777" w:rsidR="004D6A64" w:rsidRDefault="004D6A64">
            <w:pPr>
              <w:rPr>
                <w:rFonts w:ascii="宋体"/>
              </w:rPr>
            </w:pPr>
          </w:p>
        </w:tc>
        <w:tc>
          <w:tcPr>
            <w:tcW w:w="0" w:type="auto"/>
            <w:shd w:val="clear" w:color="auto" w:fill="auto"/>
          </w:tcPr>
          <w:p w14:paraId="33DAE0D6" w14:textId="77777777" w:rsidR="004D6A64" w:rsidRDefault="004D6A64">
            <w:pPr>
              <w:rPr>
                <w:rFonts w:ascii="宋体"/>
              </w:rPr>
            </w:pPr>
          </w:p>
        </w:tc>
        <w:tc>
          <w:tcPr>
            <w:tcW w:w="0" w:type="auto"/>
            <w:shd w:val="clear" w:color="auto" w:fill="auto"/>
          </w:tcPr>
          <w:p w14:paraId="33DAE0D7" w14:textId="77777777" w:rsidR="004D6A64" w:rsidRDefault="004D6A64">
            <w:pPr>
              <w:rPr>
                <w:rFonts w:ascii="宋体"/>
              </w:rPr>
            </w:pPr>
          </w:p>
        </w:tc>
        <w:tc>
          <w:tcPr>
            <w:tcW w:w="0" w:type="auto"/>
            <w:shd w:val="clear" w:color="auto" w:fill="auto"/>
          </w:tcPr>
          <w:p w14:paraId="33DAE0D8" w14:textId="77777777" w:rsidR="004D6A64" w:rsidRDefault="004D6A64">
            <w:pPr>
              <w:rPr>
                <w:rFonts w:ascii="宋体"/>
              </w:rPr>
            </w:pPr>
          </w:p>
        </w:tc>
        <w:tc>
          <w:tcPr>
            <w:tcW w:w="0" w:type="auto"/>
            <w:shd w:val="clear" w:color="auto" w:fill="auto"/>
          </w:tcPr>
          <w:p w14:paraId="33DAE0D9" w14:textId="77777777" w:rsidR="004D6A64" w:rsidRDefault="004D6A64">
            <w:pPr>
              <w:rPr>
                <w:rFonts w:ascii="宋体"/>
              </w:rPr>
            </w:pPr>
          </w:p>
        </w:tc>
        <w:tc>
          <w:tcPr>
            <w:tcW w:w="0" w:type="auto"/>
            <w:shd w:val="clear" w:color="auto" w:fill="auto"/>
          </w:tcPr>
          <w:p w14:paraId="33DAE0DA" w14:textId="77777777" w:rsidR="004D6A64" w:rsidRDefault="004D6A64">
            <w:pPr>
              <w:rPr>
                <w:rFonts w:ascii="宋体"/>
              </w:rPr>
            </w:pPr>
          </w:p>
        </w:tc>
        <w:tc>
          <w:tcPr>
            <w:tcW w:w="0" w:type="auto"/>
            <w:shd w:val="clear" w:color="auto" w:fill="auto"/>
          </w:tcPr>
          <w:p w14:paraId="33DAE0DB" w14:textId="77777777" w:rsidR="004D6A64" w:rsidRDefault="004D6A64">
            <w:pPr>
              <w:rPr>
                <w:rFonts w:ascii="宋体"/>
              </w:rPr>
            </w:pPr>
          </w:p>
        </w:tc>
        <w:tc>
          <w:tcPr>
            <w:tcW w:w="0" w:type="auto"/>
            <w:shd w:val="clear" w:color="auto" w:fill="auto"/>
          </w:tcPr>
          <w:p w14:paraId="33DAE0DC" w14:textId="77777777" w:rsidR="004D6A64" w:rsidRDefault="004D6A64">
            <w:pPr>
              <w:rPr>
                <w:rFonts w:ascii="宋体"/>
              </w:rPr>
            </w:pPr>
          </w:p>
        </w:tc>
        <w:tc>
          <w:tcPr>
            <w:tcW w:w="0" w:type="auto"/>
            <w:shd w:val="clear" w:color="auto" w:fill="auto"/>
          </w:tcPr>
          <w:p w14:paraId="33DAE0DD" w14:textId="77777777" w:rsidR="004D6A64" w:rsidRDefault="004D6A64">
            <w:pPr>
              <w:rPr>
                <w:rFonts w:ascii="宋体"/>
              </w:rPr>
            </w:pPr>
          </w:p>
        </w:tc>
        <w:tc>
          <w:tcPr>
            <w:tcW w:w="0" w:type="auto"/>
            <w:shd w:val="clear" w:color="auto" w:fill="auto"/>
          </w:tcPr>
          <w:p w14:paraId="33DAE0DE" w14:textId="77777777" w:rsidR="004D6A64" w:rsidRDefault="004D6A64">
            <w:pPr>
              <w:rPr>
                <w:rFonts w:ascii="宋体"/>
              </w:rPr>
            </w:pPr>
          </w:p>
        </w:tc>
        <w:tc>
          <w:tcPr>
            <w:tcW w:w="0" w:type="auto"/>
            <w:shd w:val="clear" w:color="auto" w:fill="auto"/>
          </w:tcPr>
          <w:p w14:paraId="33DAE0DF" w14:textId="77777777" w:rsidR="004D6A64" w:rsidRDefault="004D6A64">
            <w:pPr>
              <w:rPr>
                <w:rFonts w:ascii="宋体"/>
              </w:rPr>
            </w:pPr>
          </w:p>
        </w:tc>
        <w:tc>
          <w:tcPr>
            <w:tcW w:w="0" w:type="auto"/>
            <w:shd w:val="clear" w:color="auto" w:fill="auto"/>
          </w:tcPr>
          <w:p w14:paraId="33DAE0E0" w14:textId="77777777" w:rsidR="004D6A64" w:rsidRDefault="004D6A64">
            <w:pPr>
              <w:rPr>
                <w:rFonts w:ascii="宋体"/>
              </w:rPr>
            </w:pPr>
          </w:p>
        </w:tc>
        <w:tc>
          <w:tcPr>
            <w:tcW w:w="0" w:type="auto"/>
            <w:shd w:val="clear" w:color="auto" w:fill="auto"/>
          </w:tcPr>
          <w:p w14:paraId="33DAE0E1" w14:textId="77777777" w:rsidR="004D6A64" w:rsidRDefault="004D6A64">
            <w:pPr>
              <w:rPr>
                <w:rFonts w:ascii="宋体"/>
              </w:rPr>
            </w:pPr>
          </w:p>
        </w:tc>
      </w:tr>
      <w:tr w:rsidR="004D6A64" w14:paraId="33DAE0EF" w14:textId="77777777">
        <w:trPr>
          <w:jc w:val="center"/>
        </w:trPr>
        <w:tc>
          <w:tcPr>
            <w:tcW w:w="0" w:type="auto"/>
            <w:gridSpan w:val="3"/>
            <w:shd w:val="clear" w:color="auto" w:fill="auto"/>
            <w:tcMar>
              <w:left w:w="20" w:type="dxa"/>
              <w:right w:w="20" w:type="dxa"/>
            </w:tcMar>
            <w:vAlign w:val="bottom"/>
          </w:tcPr>
          <w:p w14:paraId="33DAE0E3" w14:textId="77777777" w:rsidR="004D6A64" w:rsidRDefault="004D6A64">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center"/>
          </w:tcPr>
          <w:p w14:paraId="33DAE0E4" w14:textId="77777777" w:rsidR="004D6A64" w:rsidRDefault="00506CD6">
            <w:pPr>
              <w:jc w:val="center"/>
              <w:textAlignment w:val="center"/>
            </w:pPr>
            <w:r>
              <w:rPr>
                <w:rFonts w:ascii="Times New Roman" w:eastAsia="宋体" w:hAnsi="Times New Roman"/>
                <w:color w:val="000000"/>
                <w:sz w:val="20"/>
                <w:szCs w:val="20"/>
              </w:rPr>
              <w:t>(in millions, except percentages)</w:t>
            </w:r>
          </w:p>
        </w:tc>
        <w:tc>
          <w:tcPr>
            <w:tcW w:w="0" w:type="auto"/>
            <w:gridSpan w:val="3"/>
            <w:shd w:val="clear" w:color="auto" w:fill="auto"/>
          </w:tcPr>
          <w:p w14:paraId="33DAE0E5" w14:textId="77777777" w:rsidR="004D6A64" w:rsidRDefault="004D6A64">
            <w:pPr>
              <w:rPr>
                <w:rFonts w:ascii="宋体"/>
                <w:vanish/>
              </w:rPr>
            </w:pPr>
          </w:p>
        </w:tc>
        <w:tc>
          <w:tcPr>
            <w:tcW w:w="0" w:type="auto"/>
            <w:gridSpan w:val="3"/>
            <w:shd w:val="clear" w:color="auto" w:fill="auto"/>
          </w:tcPr>
          <w:p w14:paraId="33DAE0E6" w14:textId="77777777" w:rsidR="004D6A64" w:rsidRDefault="004D6A64">
            <w:pPr>
              <w:rPr>
                <w:rFonts w:ascii="宋体"/>
                <w:vanish/>
              </w:rPr>
            </w:pPr>
          </w:p>
        </w:tc>
        <w:tc>
          <w:tcPr>
            <w:tcW w:w="0" w:type="auto"/>
            <w:gridSpan w:val="3"/>
            <w:shd w:val="clear" w:color="auto" w:fill="auto"/>
          </w:tcPr>
          <w:p w14:paraId="33DAE0E7" w14:textId="77777777" w:rsidR="004D6A64" w:rsidRDefault="004D6A64">
            <w:pPr>
              <w:rPr>
                <w:rFonts w:ascii="宋体"/>
                <w:vanish/>
              </w:rPr>
            </w:pPr>
          </w:p>
        </w:tc>
        <w:tc>
          <w:tcPr>
            <w:tcW w:w="0" w:type="auto"/>
            <w:gridSpan w:val="3"/>
            <w:shd w:val="clear" w:color="auto" w:fill="auto"/>
          </w:tcPr>
          <w:p w14:paraId="33DAE0E8" w14:textId="77777777" w:rsidR="004D6A64" w:rsidRDefault="004D6A64">
            <w:pPr>
              <w:rPr>
                <w:rFonts w:ascii="宋体"/>
                <w:vanish/>
              </w:rPr>
            </w:pPr>
          </w:p>
        </w:tc>
        <w:tc>
          <w:tcPr>
            <w:tcW w:w="0" w:type="auto"/>
            <w:gridSpan w:val="3"/>
            <w:shd w:val="clear" w:color="auto" w:fill="auto"/>
          </w:tcPr>
          <w:p w14:paraId="33DAE0E9" w14:textId="77777777" w:rsidR="004D6A64" w:rsidRDefault="004D6A64">
            <w:pPr>
              <w:rPr>
                <w:rFonts w:ascii="宋体"/>
                <w:vanish/>
              </w:rPr>
            </w:pPr>
          </w:p>
        </w:tc>
        <w:tc>
          <w:tcPr>
            <w:tcW w:w="0" w:type="auto"/>
            <w:gridSpan w:val="3"/>
            <w:shd w:val="clear" w:color="auto" w:fill="auto"/>
          </w:tcPr>
          <w:p w14:paraId="33DAE0EA" w14:textId="77777777" w:rsidR="004D6A64" w:rsidRDefault="004D6A64">
            <w:pPr>
              <w:rPr>
                <w:rFonts w:ascii="宋体"/>
                <w:vanish/>
              </w:rPr>
            </w:pPr>
          </w:p>
        </w:tc>
        <w:tc>
          <w:tcPr>
            <w:tcW w:w="0" w:type="auto"/>
            <w:gridSpan w:val="3"/>
            <w:shd w:val="clear" w:color="auto" w:fill="auto"/>
          </w:tcPr>
          <w:p w14:paraId="33DAE0EB" w14:textId="77777777" w:rsidR="004D6A64" w:rsidRDefault="004D6A64">
            <w:pPr>
              <w:rPr>
                <w:rFonts w:ascii="宋体"/>
                <w:vanish/>
              </w:rPr>
            </w:pPr>
          </w:p>
        </w:tc>
        <w:tc>
          <w:tcPr>
            <w:tcW w:w="0" w:type="auto"/>
            <w:gridSpan w:val="3"/>
            <w:shd w:val="clear" w:color="auto" w:fill="auto"/>
          </w:tcPr>
          <w:p w14:paraId="33DAE0EC" w14:textId="77777777" w:rsidR="004D6A64" w:rsidRDefault="004D6A64">
            <w:pPr>
              <w:rPr>
                <w:rFonts w:ascii="宋体"/>
                <w:vanish/>
              </w:rPr>
            </w:pPr>
          </w:p>
        </w:tc>
        <w:tc>
          <w:tcPr>
            <w:tcW w:w="0" w:type="auto"/>
            <w:gridSpan w:val="2"/>
            <w:shd w:val="clear" w:color="auto" w:fill="auto"/>
          </w:tcPr>
          <w:p w14:paraId="33DAE0ED" w14:textId="77777777" w:rsidR="004D6A64" w:rsidRDefault="004D6A64">
            <w:pPr>
              <w:rPr>
                <w:rFonts w:ascii="宋体"/>
                <w:vanish/>
              </w:rPr>
            </w:pPr>
          </w:p>
        </w:tc>
        <w:tc>
          <w:tcPr>
            <w:tcW w:w="0" w:type="auto"/>
            <w:shd w:val="clear" w:color="auto" w:fill="auto"/>
          </w:tcPr>
          <w:p w14:paraId="33DAE0EE" w14:textId="77777777" w:rsidR="004D6A64" w:rsidRDefault="004D6A64">
            <w:pPr>
              <w:rPr>
                <w:rFonts w:ascii="宋体"/>
                <w:vanish/>
              </w:rPr>
            </w:pPr>
          </w:p>
        </w:tc>
      </w:tr>
      <w:tr w:rsidR="004D6A64" w14:paraId="33DAE121" w14:textId="77777777">
        <w:trPr>
          <w:jc w:val="center"/>
        </w:trPr>
        <w:tc>
          <w:tcPr>
            <w:tcW w:w="0" w:type="auto"/>
            <w:gridSpan w:val="3"/>
            <w:shd w:val="clear" w:color="auto" w:fill="CCEEFF"/>
            <w:tcMar>
              <w:top w:w="40" w:type="dxa"/>
              <w:left w:w="20" w:type="dxa"/>
              <w:bottom w:w="40" w:type="dxa"/>
              <w:right w:w="20" w:type="dxa"/>
            </w:tcMar>
            <w:vAlign w:val="center"/>
          </w:tcPr>
          <w:p w14:paraId="33DAE0F0" w14:textId="77777777" w:rsidR="004D6A64" w:rsidRDefault="00506CD6">
            <w:pPr>
              <w:textAlignment w:val="center"/>
            </w:pPr>
            <w:r>
              <w:rPr>
                <w:rFonts w:ascii="Times New Roman" w:eastAsia="宋体" w:hAnsi="Times New Roman"/>
                <w:color w:val="000000"/>
                <w:sz w:val="20"/>
                <w:szCs w:val="20"/>
              </w:rPr>
              <w:t>Gross margin</w:t>
            </w:r>
          </w:p>
        </w:tc>
        <w:tc>
          <w:tcPr>
            <w:tcW w:w="0" w:type="auto"/>
            <w:shd w:val="clear" w:color="auto" w:fill="CCEEFF"/>
            <w:tcMar>
              <w:top w:w="40" w:type="dxa"/>
              <w:left w:w="20" w:type="dxa"/>
              <w:bottom w:w="40" w:type="dxa"/>
            </w:tcMar>
            <w:vAlign w:val="center"/>
          </w:tcPr>
          <w:p w14:paraId="33DAE0F1"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E0F2" w14:textId="77777777" w:rsidR="004D6A64" w:rsidRDefault="00506CD6">
            <w:pPr>
              <w:jc w:val="right"/>
              <w:textAlignment w:val="center"/>
            </w:pPr>
            <w:r>
              <w:rPr>
                <w:rFonts w:ascii="Times New Roman" w:eastAsia="宋体" w:hAnsi="Times New Roman"/>
                <w:color w:val="000000"/>
                <w:sz w:val="20"/>
                <w:szCs w:val="20"/>
              </w:rPr>
              <w:t>7,156 </w:t>
            </w:r>
          </w:p>
        </w:tc>
        <w:tc>
          <w:tcPr>
            <w:tcW w:w="0" w:type="auto"/>
            <w:shd w:val="clear" w:color="auto" w:fill="CCEEFF"/>
            <w:tcMar>
              <w:top w:w="40" w:type="dxa"/>
              <w:bottom w:w="40" w:type="dxa"/>
              <w:right w:w="20" w:type="dxa"/>
            </w:tcMar>
            <w:vAlign w:val="center"/>
          </w:tcPr>
          <w:p w14:paraId="33DAE0F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0F4"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0F5" w14:textId="77777777" w:rsidR="004D6A64" w:rsidRDefault="00506CD6">
            <w:pPr>
              <w:jc w:val="right"/>
              <w:textAlignment w:val="center"/>
            </w:pPr>
            <w:r>
              <w:rPr>
                <w:rFonts w:ascii="Times New Roman" w:eastAsia="宋体" w:hAnsi="Times New Roman"/>
                <w:color w:val="000000"/>
                <w:sz w:val="20"/>
                <w:szCs w:val="20"/>
              </w:rPr>
              <w:t>(2)</w:t>
            </w:r>
          </w:p>
        </w:tc>
        <w:tc>
          <w:tcPr>
            <w:tcW w:w="0" w:type="auto"/>
            <w:shd w:val="clear" w:color="auto" w:fill="CCEEFF"/>
            <w:tcMar>
              <w:top w:w="40" w:type="dxa"/>
              <w:bottom w:w="40" w:type="dxa"/>
              <w:right w:w="20" w:type="dxa"/>
            </w:tcMar>
            <w:vAlign w:val="center"/>
          </w:tcPr>
          <w:p w14:paraId="33DAE0F6"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0F7"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E0F8"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E0F9" w14:textId="77777777" w:rsidR="004D6A64" w:rsidRDefault="00506CD6">
            <w:pPr>
              <w:jc w:val="right"/>
              <w:textAlignment w:val="center"/>
            </w:pPr>
            <w:r>
              <w:rPr>
                <w:rFonts w:ascii="Times New Roman" w:eastAsia="宋体" w:hAnsi="Times New Roman"/>
                <w:color w:val="000000"/>
                <w:sz w:val="20"/>
                <w:szCs w:val="20"/>
              </w:rPr>
              <w:t>7,326 </w:t>
            </w:r>
          </w:p>
        </w:tc>
        <w:tc>
          <w:tcPr>
            <w:tcW w:w="0" w:type="auto"/>
            <w:shd w:val="clear" w:color="auto" w:fill="CCEEFF"/>
            <w:tcMar>
              <w:top w:w="40" w:type="dxa"/>
              <w:bottom w:w="40" w:type="dxa"/>
              <w:right w:w="20" w:type="dxa"/>
            </w:tcMar>
            <w:vAlign w:val="center"/>
          </w:tcPr>
          <w:p w14:paraId="33DAE0F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0FB"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E0FC"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E0FD" w14:textId="77777777" w:rsidR="004D6A64" w:rsidRDefault="00506CD6">
            <w:pPr>
              <w:jc w:val="right"/>
              <w:textAlignment w:val="center"/>
            </w:pPr>
            <w:r>
              <w:rPr>
                <w:rFonts w:ascii="Times New Roman" w:eastAsia="宋体" w:hAnsi="Times New Roman"/>
                <w:color w:val="000000"/>
                <w:sz w:val="20"/>
                <w:szCs w:val="20"/>
              </w:rPr>
              <w:t>14,009 </w:t>
            </w:r>
          </w:p>
        </w:tc>
        <w:tc>
          <w:tcPr>
            <w:tcW w:w="0" w:type="auto"/>
            <w:shd w:val="clear" w:color="auto" w:fill="CCEEFF"/>
            <w:tcMar>
              <w:top w:w="40" w:type="dxa"/>
              <w:bottom w:w="40" w:type="dxa"/>
              <w:right w:w="20" w:type="dxa"/>
            </w:tcMar>
            <w:vAlign w:val="center"/>
          </w:tcPr>
          <w:p w14:paraId="33DAE0F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0F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100" w14:textId="77777777" w:rsidR="004D6A64" w:rsidRDefault="00506CD6">
            <w:pPr>
              <w:jc w:val="right"/>
              <w:textAlignment w:val="center"/>
            </w:pPr>
            <w:r>
              <w:rPr>
                <w:rFonts w:ascii="Times New Roman" w:eastAsia="宋体" w:hAnsi="Times New Roman"/>
                <w:color w:val="000000"/>
                <w:sz w:val="20"/>
                <w:szCs w:val="20"/>
              </w:rPr>
              <w:t>(1)</w:t>
            </w:r>
          </w:p>
        </w:tc>
        <w:tc>
          <w:tcPr>
            <w:tcW w:w="0" w:type="auto"/>
            <w:shd w:val="clear" w:color="auto" w:fill="CCEEFF"/>
            <w:tcMar>
              <w:top w:w="40" w:type="dxa"/>
              <w:bottom w:w="40" w:type="dxa"/>
              <w:right w:w="20" w:type="dxa"/>
            </w:tcMar>
            <w:vAlign w:val="center"/>
          </w:tcPr>
          <w:p w14:paraId="33DAE101"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102"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E103"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E104" w14:textId="77777777" w:rsidR="004D6A64" w:rsidRDefault="00506CD6">
            <w:pPr>
              <w:jc w:val="right"/>
              <w:textAlignment w:val="center"/>
            </w:pPr>
            <w:r>
              <w:rPr>
                <w:rFonts w:ascii="Times New Roman" w:eastAsia="宋体" w:hAnsi="Times New Roman"/>
                <w:color w:val="000000"/>
                <w:sz w:val="20"/>
                <w:szCs w:val="20"/>
              </w:rPr>
              <w:t>14,123 </w:t>
            </w:r>
          </w:p>
        </w:tc>
        <w:tc>
          <w:tcPr>
            <w:tcW w:w="0" w:type="auto"/>
            <w:shd w:val="clear" w:color="auto" w:fill="CCEEFF"/>
            <w:tcMar>
              <w:top w:w="40" w:type="dxa"/>
              <w:bottom w:w="40" w:type="dxa"/>
              <w:right w:w="20" w:type="dxa"/>
            </w:tcMar>
            <w:vAlign w:val="center"/>
          </w:tcPr>
          <w:p w14:paraId="33DAE105" w14:textId="77777777" w:rsidR="004D6A64" w:rsidRDefault="004D6A64">
            <w:pPr>
              <w:jc w:val="right"/>
              <w:rPr>
                <w:rFonts w:ascii="宋体"/>
              </w:rPr>
            </w:pPr>
          </w:p>
        </w:tc>
        <w:tc>
          <w:tcPr>
            <w:tcW w:w="0" w:type="auto"/>
            <w:shd w:val="clear" w:color="auto" w:fill="auto"/>
          </w:tcPr>
          <w:p w14:paraId="33DAE106" w14:textId="77777777" w:rsidR="004D6A64" w:rsidRDefault="004D6A64">
            <w:pPr>
              <w:rPr>
                <w:rFonts w:ascii="宋体"/>
              </w:rPr>
            </w:pPr>
          </w:p>
        </w:tc>
        <w:tc>
          <w:tcPr>
            <w:tcW w:w="0" w:type="auto"/>
            <w:shd w:val="clear" w:color="auto" w:fill="auto"/>
          </w:tcPr>
          <w:p w14:paraId="33DAE107" w14:textId="77777777" w:rsidR="004D6A64" w:rsidRDefault="004D6A64">
            <w:pPr>
              <w:rPr>
                <w:rFonts w:ascii="宋体"/>
              </w:rPr>
            </w:pPr>
          </w:p>
        </w:tc>
        <w:tc>
          <w:tcPr>
            <w:tcW w:w="0" w:type="auto"/>
            <w:shd w:val="clear" w:color="auto" w:fill="auto"/>
          </w:tcPr>
          <w:p w14:paraId="33DAE108" w14:textId="77777777" w:rsidR="004D6A64" w:rsidRDefault="004D6A64">
            <w:pPr>
              <w:rPr>
                <w:rFonts w:ascii="宋体"/>
              </w:rPr>
            </w:pPr>
          </w:p>
        </w:tc>
        <w:tc>
          <w:tcPr>
            <w:tcW w:w="0" w:type="auto"/>
            <w:shd w:val="clear" w:color="auto" w:fill="auto"/>
          </w:tcPr>
          <w:p w14:paraId="33DAE109" w14:textId="77777777" w:rsidR="004D6A64" w:rsidRDefault="004D6A64">
            <w:pPr>
              <w:rPr>
                <w:rFonts w:ascii="宋体"/>
              </w:rPr>
            </w:pPr>
          </w:p>
        </w:tc>
        <w:tc>
          <w:tcPr>
            <w:tcW w:w="0" w:type="auto"/>
            <w:shd w:val="clear" w:color="auto" w:fill="auto"/>
          </w:tcPr>
          <w:p w14:paraId="33DAE10A" w14:textId="77777777" w:rsidR="004D6A64" w:rsidRDefault="004D6A64">
            <w:pPr>
              <w:rPr>
                <w:rFonts w:ascii="宋体"/>
              </w:rPr>
            </w:pPr>
          </w:p>
        </w:tc>
        <w:tc>
          <w:tcPr>
            <w:tcW w:w="0" w:type="auto"/>
            <w:shd w:val="clear" w:color="auto" w:fill="auto"/>
          </w:tcPr>
          <w:p w14:paraId="33DAE10B" w14:textId="77777777" w:rsidR="004D6A64" w:rsidRDefault="004D6A64">
            <w:pPr>
              <w:rPr>
                <w:rFonts w:ascii="宋体"/>
              </w:rPr>
            </w:pPr>
          </w:p>
        </w:tc>
        <w:tc>
          <w:tcPr>
            <w:tcW w:w="0" w:type="auto"/>
            <w:shd w:val="clear" w:color="auto" w:fill="auto"/>
          </w:tcPr>
          <w:p w14:paraId="33DAE10C" w14:textId="77777777" w:rsidR="004D6A64" w:rsidRDefault="004D6A64">
            <w:pPr>
              <w:rPr>
                <w:rFonts w:ascii="宋体"/>
              </w:rPr>
            </w:pPr>
          </w:p>
        </w:tc>
        <w:tc>
          <w:tcPr>
            <w:tcW w:w="0" w:type="auto"/>
            <w:shd w:val="clear" w:color="auto" w:fill="auto"/>
          </w:tcPr>
          <w:p w14:paraId="33DAE10D" w14:textId="77777777" w:rsidR="004D6A64" w:rsidRDefault="004D6A64">
            <w:pPr>
              <w:rPr>
                <w:rFonts w:ascii="宋体"/>
              </w:rPr>
            </w:pPr>
          </w:p>
        </w:tc>
        <w:tc>
          <w:tcPr>
            <w:tcW w:w="0" w:type="auto"/>
            <w:shd w:val="clear" w:color="auto" w:fill="auto"/>
          </w:tcPr>
          <w:p w14:paraId="33DAE10E" w14:textId="77777777" w:rsidR="004D6A64" w:rsidRDefault="004D6A64">
            <w:pPr>
              <w:rPr>
                <w:rFonts w:ascii="宋体"/>
              </w:rPr>
            </w:pPr>
          </w:p>
        </w:tc>
        <w:tc>
          <w:tcPr>
            <w:tcW w:w="0" w:type="auto"/>
            <w:shd w:val="clear" w:color="auto" w:fill="auto"/>
          </w:tcPr>
          <w:p w14:paraId="33DAE10F" w14:textId="77777777" w:rsidR="004D6A64" w:rsidRDefault="004D6A64">
            <w:pPr>
              <w:rPr>
                <w:rFonts w:ascii="宋体"/>
              </w:rPr>
            </w:pPr>
          </w:p>
        </w:tc>
        <w:tc>
          <w:tcPr>
            <w:tcW w:w="0" w:type="auto"/>
            <w:shd w:val="clear" w:color="auto" w:fill="auto"/>
          </w:tcPr>
          <w:p w14:paraId="33DAE110" w14:textId="77777777" w:rsidR="004D6A64" w:rsidRDefault="004D6A64">
            <w:pPr>
              <w:rPr>
                <w:rFonts w:ascii="宋体"/>
              </w:rPr>
            </w:pPr>
          </w:p>
        </w:tc>
        <w:tc>
          <w:tcPr>
            <w:tcW w:w="0" w:type="auto"/>
            <w:shd w:val="clear" w:color="auto" w:fill="auto"/>
          </w:tcPr>
          <w:p w14:paraId="33DAE111" w14:textId="77777777" w:rsidR="004D6A64" w:rsidRDefault="004D6A64">
            <w:pPr>
              <w:rPr>
                <w:rFonts w:ascii="宋体"/>
              </w:rPr>
            </w:pPr>
          </w:p>
        </w:tc>
        <w:tc>
          <w:tcPr>
            <w:tcW w:w="0" w:type="auto"/>
            <w:shd w:val="clear" w:color="auto" w:fill="auto"/>
          </w:tcPr>
          <w:p w14:paraId="33DAE112" w14:textId="77777777" w:rsidR="004D6A64" w:rsidRDefault="004D6A64">
            <w:pPr>
              <w:rPr>
                <w:rFonts w:ascii="宋体"/>
              </w:rPr>
            </w:pPr>
          </w:p>
        </w:tc>
        <w:tc>
          <w:tcPr>
            <w:tcW w:w="0" w:type="auto"/>
            <w:shd w:val="clear" w:color="auto" w:fill="auto"/>
          </w:tcPr>
          <w:p w14:paraId="33DAE113" w14:textId="77777777" w:rsidR="004D6A64" w:rsidRDefault="004D6A64">
            <w:pPr>
              <w:rPr>
                <w:rFonts w:ascii="宋体"/>
              </w:rPr>
            </w:pPr>
          </w:p>
        </w:tc>
        <w:tc>
          <w:tcPr>
            <w:tcW w:w="0" w:type="auto"/>
            <w:shd w:val="clear" w:color="auto" w:fill="auto"/>
          </w:tcPr>
          <w:p w14:paraId="33DAE114" w14:textId="77777777" w:rsidR="004D6A64" w:rsidRDefault="004D6A64">
            <w:pPr>
              <w:rPr>
                <w:rFonts w:ascii="宋体"/>
              </w:rPr>
            </w:pPr>
          </w:p>
        </w:tc>
        <w:tc>
          <w:tcPr>
            <w:tcW w:w="0" w:type="auto"/>
            <w:shd w:val="clear" w:color="auto" w:fill="auto"/>
          </w:tcPr>
          <w:p w14:paraId="33DAE115" w14:textId="77777777" w:rsidR="004D6A64" w:rsidRDefault="004D6A64">
            <w:pPr>
              <w:rPr>
                <w:rFonts w:ascii="宋体"/>
              </w:rPr>
            </w:pPr>
          </w:p>
        </w:tc>
        <w:tc>
          <w:tcPr>
            <w:tcW w:w="0" w:type="auto"/>
            <w:shd w:val="clear" w:color="auto" w:fill="auto"/>
          </w:tcPr>
          <w:p w14:paraId="33DAE116" w14:textId="77777777" w:rsidR="004D6A64" w:rsidRDefault="004D6A64">
            <w:pPr>
              <w:rPr>
                <w:rFonts w:ascii="宋体"/>
              </w:rPr>
            </w:pPr>
          </w:p>
        </w:tc>
        <w:tc>
          <w:tcPr>
            <w:tcW w:w="0" w:type="auto"/>
            <w:shd w:val="clear" w:color="auto" w:fill="auto"/>
          </w:tcPr>
          <w:p w14:paraId="33DAE117" w14:textId="77777777" w:rsidR="004D6A64" w:rsidRDefault="004D6A64">
            <w:pPr>
              <w:rPr>
                <w:rFonts w:ascii="宋体"/>
              </w:rPr>
            </w:pPr>
          </w:p>
        </w:tc>
        <w:tc>
          <w:tcPr>
            <w:tcW w:w="0" w:type="auto"/>
            <w:shd w:val="clear" w:color="auto" w:fill="auto"/>
          </w:tcPr>
          <w:p w14:paraId="33DAE118" w14:textId="77777777" w:rsidR="004D6A64" w:rsidRDefault="004D6A64">
            <w:pPr>
              <w:rPr>
                <w:rFonts w:ascii="宋体"/>
              </w:rPr>
            </w:pPr>
          </w:p>
        </w:tc>
        <w:tc>
          <w:tcPr>
            <w:tcW w:w="0" w:type="auto"/>
            <w:shd w:val="clear" w:color="auto" w:fill="auto"/>
          </w:tcPr>
          <w:p w14:paraId="33DAE119" w14:textId="77777777" w:rsidR="004D6A64" w:rsidRDefault="004D6A64">
            <w:pPr>
              <w:rPr>
                <w:rFonts w:ascii="宋体"/>
              </w:rPr>
            </w:pPr>
          </w:p>
        </w:tc>
        <w:tc>
          <w:tcPr>
            <w:tcW w:w="0" w:type="auto"/>
            <w:shd w:val="clear" w:color="auto" w:fill="auto"/>
          </w:tcPr>
          <w:p w14:paraId="33DAE11A" w14:textId="77777777" w:rsidR="004D6A64" w:rsidRDefault="004D6A64">
            <w:pPr>
              <w:rPr>
                <w:rFonts w:ascii="宋体"/>
              </w:rPr>
            </w:pPr>
          </w:p>
        </w:tc>
        <w:tc>
          <w:tcPr>
            <w:tcW w:w="0" w:type="auto"/>
            <w:shd w:val="clear" w:color="auto" w:fill="auto"/>
          </w:tcPr>
          <w:p w14:paraId="33DAE11B" w14:textId="77777777" w:rsidR="004D6A64" w:rsidRDefault="004D6A64">
            <w:pPr>
              <w:rPr>
                <w:rFonts w:ascii="宋体"/>
              </w:rPr>
            </w:pPr>
          </w:p>
        </w:tc>
        <w:tc>
          <w:tcPr>
            <w:tcW w:w="0" w:type="auto"/>
            <w:shd w:val="clear" w:color="auto" w:fill="auto"/>
          </w:tcPr>
          <w:p w14:paraId="33DAE11C" w14:textId="77777777" w:rsidR="004D6A64" w:rsidRDefault="004D6A64">
            <w:pPr>
              <w:rPr>
                <w:rFonts w:ascii="宋体"/>
              </w:rPr>
            </w:pPr>
          </w:p>
        </w:tc>
        <w:tc>
          <w:tcPr>
            <w:tcW w:w="0" w:type="auto"/>
            <w:shd w:val="clear" w:color="auto" w:fill="auto"/>
          </w:tcPr>
          <w:p w14:paraId="33DAE11D" w14:textId="77777777" w:rsidR="004D6A64" w:rsidRDefault="004D6A64">
            <w:pPr>
              <w:rPr>
                <w:rFonts w:ascii="宋体"/>
              </w:rPr>
            </w:pPr>
          </w:p>
        </w:tc>
        <w:tc>
          <w:tcPr>
            <w:tcW w:w="0" w:type="auto"/>
            <w:shd w:val="clear" w:color="auto" w:fill="auto"/>
          </w:tcPr>
          <w:p w14:paraId="33DAE11E" w14:textId="77777777" w:rsidR="004D6A64" w:rsidRDefault="004D6A64">
            <w:pPr>
              <w:rPr>
                <w:rFonts w:ascii="宋体"/>
              </w:rPr>
            </w:pPr>
          </w:p>
        </w:tc>
        <w:tc>
          <w:tcPr>
            <w:tcW w:w="0" w:type="auto"/>
            <w:shd w:val="clear" w:color="auto" w:fill="auto"/>
          </w:tcPr>
          <w:p w14:paraId="33DAE11F" w14:textId="77777777" w:rsidR="004D6A64" w:rsidRDefault="004D6A64">
            <w:pPr>
              <w:rPr>
                <w:rFonts w:ascii="宋体"/>
              </w:rPr>
            </w:pPr>
          </w:p>
        </w:tc>
        <w:tc>
          <w:tcPr>
            <w:tcW w:w="0" w:type="auto"/>
            <w:shd w:val="clear" w:color="auto" w:fill="auto"/>
          </w:tcPr>
          <w:p w14:paraId="33DAE120" w14:textId="77777777" w:rsidR="004D6A64" w:rsidRDefault="004D6A64">
            <w:pPr>
              <w:rPr>
                <w:rFonts w:ascii="宋体"/>
              </w:rPr>
            </w:pPr>
          </w:p>
        </w:tc>
      </w:tr>
      <w:tr w:rsidR="004D6A64" w14:paraId="33DAE149" w14:textId="77777777">
        <w:trPr>
          <w:jc w:val="center"/>
        </w:trPr>
        <w:tc>
          <w:tcPr>
            <w:tcW w:w="0" w:type="auto"/>
            <w:gridSpan w:val="3"/>
            <w:shd w:val="clear" w:color="auto" w:fill="FFFFFF"/>
            <w:tcMar>
              <w:top w:w="40" w:type="dxa"/>
              <w:left w:w="135" w:type="dxa"/>
              <w:bottom w:w="40" w:type="dxa"/>
              <w:right w:w="20" w:type="dxa"/>
            </w:tcMar>
            <w:vAlign w:val="center"/>
          </w:tcPr>
          <w:p w14:paraId="33DAE122" w14:textId="77777777" w:rsidR="004D6A64" w:rsidRDefault="00506CD6">
            <w:pPr>
              <w:textAlignment w:val="center"/>
            </w:pPr>
            <w:r>
              <w:rPr>
                <w:rFonts w:ascii="Times New Roman" w:eastAsia="宋体" w:hAnsi="Times New Roman"/>
                <w:color w:val="000000"/>
                <w:sz w:val="20"/>
                <w:szCs w:val="20"/>
              </w:rPr>
              <w:t>Non-GAAP adjustments:</w:t>
            </w:r>
          </w:p>
        </w:tc>
        <w:tc>
          <w:tcPr>
            <w:tcW w:w="0" w:type="auto"/>
            <w:gridSpan w:val="3"/>
            <w:shd w:val="clear" w:color="auto" w:fill="FFFFFF"/>
            <w:tcMar>
              <w:left w:w="20" w:type="dxa"/>
              <w:right w:w="20" w:type="dxa"/>
            </w:tcMar>
            <w:vAlign w:val="bottom"/>
          </w:tcPr>
          <w:p w14:paraId="33DAE123"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124"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125"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126"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127"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128"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129"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12A"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12B"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12C"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12D" w14:textId="77777777" w:rsidR="004D6A64" w:rsidRDefault="004D6A64">
            <w:pPr>
              <w:rPr>
                <w:rFonts w:ascii="宋体"/>
              </w:rPr>
            </w:pPr>
          </w:p>
        </w:tc>
        <w:tc>
          <w:tcPr>
            <w:tcW w:w="0" w:type="auto"/>
            <w:shd w:val="clear" w:color="auto" w:fill="auto"/>
          </w:tcPr>
          <w:p w14:paraId="33DAE12E" w14:textId="77777777" w:rsidR="004D6A64" w:rsidRDefault="004D6A64">
            <w:pPr>
              <w:rPr>
                <w:rFonts w:ascii="宋体"/>
              </w:rPr>
            </w:pPr>
          </w:p>
        </w:tc>
        <w:tc>
          <w:tcPr>
            <w:tcW w:w="0" w:type="auto"/>
            <w:shd w:val="clear" w:color="auto" w:fill="auto"/>
          </w:tcPr>
          <w:p w14:paraId="33DAE12F" w14:textId="77777777" w:rsidR="004D6A64" w:rsidRDefault="004D6A64">
            <w:pPr>
              <w:rPr>
                <w:rFonts w:ascii="宋体"/>
              </w:rPr>
            </w:pPr>
          </w:p>
        </w:tc>
        <w:tc>
          <w:tcPr>
            <w:tcW w:w="0" w:type="auto"/>
            <w:shd w:val="clear" w:color="auto" w:fill="auto"/>
          </w:tcPr>
          <w:p w14:paraId="33DAE130" w14:textId="77777777" w:rsidR="004D6A64" w:rsidRDefault="004D6A64">
            <w:pPr>
              <w:rPr>
                <w:rFonts w:ascii="宋体"/>
              </w:rPr>
            </w:pPr>
          </w:p>
        </w:tc>
        <w:tc>
          <w:tcPr>
            <w:tcW w:w="0" w:type="auto"/>
            <w:shd w:val="clear" w:color="auto" w:fill="auto"/>
          </w:tcPr>
          <w:p w14:paraId="33DAE131" w14:textId="77777777" w:rsidR="004D6A64" w:rsidRDefault="004D6A64">
            <w:pPr>
              <w:rPr>
                <w:rFonts w:ascii="宋体"/>
              </w:rPr>
            </w:pPr>
          </w:p>
        </w:tc>
        <w:tc>
          <w:tcPr>
            <w:tcW w:w="0" w:type="auto"/>
            <w:shd w:val="clear" w:color="auto" w:fill="auto"/>
          </w:tcPr>
          <w:p w14:paraId="33DAE132" w14:textId="77777777" w:rsidR="004D6A64" w:rsidRDefault="004D6A64">
            <w:pPr>
              <w:rPr>
                <w:rFonts w:ascii="宋体"/>
              </w:rPr>
            </w:pPr>
          </w:p>
        </w:tc>
        <w:tc>
          <w:tcPr>
            <w:tcW w:w="0" w:type="auto"/>
            <w:shd w:val="clear" w:color="auto" w:fill="auto"/>
          </w:tcPr>
          <w:p w14:paraId="33DAE133" w14:textId="77777777" w:rsidR="004D6A64" w:rsidRDefault="004D6A64">
            <w:pPr>
              <w:rPr>
                <w:rFonts w:ascii="宋体"/>
              </w:rPr>
            </w:pPr>
          </w:p>
        </w:tc>
        <w:tc>
          <w:tcPr>
            <w:tcW w:w="0" w:type="auto"/>
            <w:shd w:val="clear" w:color="auto" w:fill="auto"/>
          </w:tcPr>
          <w:p w14:paraId="33DAE134" w14:textId="77777777" w:rsidR="004D6A64" w:rsidRDefault="004D6A64">
            <w:pPr>
              <w:rPr>
                <w:rFonts w:ascii="宋体"/>
              </w:rPr>
            </w:pPr>
          </w:p>
        </w:tc>
        <w:tc>
          <w:tcPr>
            <w:tcW w:w="0" w:type="auto"/>
            <w:shd w:val="clear" w:color="auto" w:fill="auto"/>
          </w:tcPr>
          <w:p w14:paraId="33DAE135" w14:textId="77777777" w:rsidR="004D6A64" w:rsidRDefault="004D6A64">
            <w:pPr>
              <w:rPr>
                <w:rFonts w:ascii="宋体"/>
              </w:rPr>
            </w:pPr>
          </w:p>
        </w:tc>
        <w:tc>
          <w:tcPr>
            <w:tcW w:w="0" w:type="auto"/>
            <w:shd w:val="clear" w:color="auto" w:fill="auto"/>
          </w:tcPr>
          <w:p w14:paraId="33DAE136" w14:textId="77777777" w:rsidR="004D6A64" w:rsidRDefault="004D6A64">
            <w:pPr>
              <w:rPr>
                <w:rFonts w:ascii="宋体"/>
              </w:rPr>
            </w:pPr>
          </w:p>
        </w:tc>
        <w:tc>
          <w:tcPr>
            <w:tcW w:w="0" w:type="auto"/>
            <w:shd w:val="clear" w:color="auto" w:fill="auto"/>
          </w:tcPr>
          <w:p w14:paraId="33DAE137" w14:textId="77777777" w:rsidR="004D6A64" w:rsidRDefault="004D6A64">
            <w:pPr>
              <w:rPr>
                <w:rFonts w:ascii="宋体"/>
              </w:rPr>
            </w:pPr>
          </w:p>
        </w:tc>
        <w:tc>
          <w:tcPr>
            <w:tcW w:w="0" w:type="auto"/>
            <w:shd w:val="clear" w:color="auto" w:fill="auto"/>
          </w:tcPr>
          <w:p w14:paraId="33DAE138" w14:textId="77777777" w:rsidR="004D6A64" w:rsidRDefault="004D6A64">
            <w:pPr>
              <w:rPr>
                <w:rFonts w:ascii="宋体"/>
              </w:rPr>
            </w:pPr>
          </w:p>
        </w:tc>
        <w:tc>
          <w:tcPr>
            <w:tcW w:w="0" w:type="auto"/>
            <w:shd w:val="clear" w:color="auto" w:fill="auto"/>
          </w:tcPr>
          <w:p w14:paraId="33DAE139" w14:textId="77777777" w:rsidR="004D6A64" w:rsidRDefault="004D6A64">
            <w:pPr>
              <w:rPr>
                <w:rFonts w:ascii="宋体"/>
              </w:rPr>
            </w:pPr>
          </w:p>
        </w:tc>
        <w:tc>
          <w:tcPr>
            <w:tcW w:w="0" w:type="auto"/>
            <w:shd w:val="clear" w:color="auto" w:fill="auto"/>
          </w:tcPr>
          <w:p w14:paraId="33DAE13A" w14:textId="77777777" w:rsidR="004D6A64" w:rsidRDefault="004D6A64">
            <w:pPr>
              <w:rPr>
                <w:rFonts w:ascii="宋体"/>
              </w:rPr>
            </w:pPr>
          </w:p>
        </w:tc>
        <w:tc>
          <w:tcPr>
            <w:tcW w:w="0" w:type="auto"/>
            <w:shd w:val="clear" w:color="auto" w:fill="auto"/>
          </w:tcPr>
          <w:p w14:paraId="33DAE13B" w14:textId="77777777" w:rsidR="004D6A64" w:rsidRDefault="004D6A64">
            <w:pPr>
              <w:rPr>
                <w:rFonts w:ascii="宋体"/>
              </w:rPr>
            </w:pPr>
          </w:p>
        </w:tc>
        <w:tc>
          <w:tcPr>
            <w:tcW w:w="0" w:type="auto"/>
            <w:shd w:val="clear" w:color="auto" w:fill="auto"/>
          </w:tcPr>
          <w:p w14:paraId="33DAE13C" w14:textId="77777777" w:rsidR="004D6A64" w:rsidRDefault="004D6A64">
            <w:pPr>
              <w:rPr>
                <w:rFonts w:ascii="宋体"/>
              </w:rPr>
            </w:pPr>
          </w:p>
        </w:tc>
        <w:tc>
          <w:tcPr>
            <w:tcW w:w="0" w:type="auto"/>
            <w:shd w:val="clear" w:color="auto" w:fill="auto"/>
          </w:tcPr>
          <w:p w14:paraId="33DAE13D" w14:textId="77777777" w:rsidR="004D6A64" w:rsidRDefault="004D6A64">
            <w:pPr>
              <w:rPr>
                <w:rFonts w:ascii="宋体"/>
              </w:rPr>
            </w:pPr>
          </w:p>
        </w:tc>
        <w:tc>
          <w:tcPr>
            <w:tcW w:w="0" w:type="auto"/>
            <w:shd w:val="clear" w:color="auto" w:fill="auto"/>
          </w:tcPr>
          <w:p w14:paraId="33DAE13E" w14:textId="77777777" w:rsidR="004D6A64" w:rsidRDefault="004D6A64">
            <w:pPr>
              <w:rPr>
                <w:rFonts w:ascii="宋体"/>
              </w:rPr>
            </w:pPr>
          </w:p>
        </w:tc>
        <w:tc>
          <w:tcPr>
            <w:tcW w:w="0" w:type="auto"/>
            <w:shd w:val="clear" w:color="auto" w:fill="auto"/>
          </w:tcPr>
          <w:p w14:paraId="33DAE13F" w14:textId="77777777" w:rsidR="004D6A64" w:rsidRDefault="004D6A64">
            <w:pPr>
              <w:rPr>
                <w:rFonts w:ascii="宋体"/>
              </w:rPr>
            </w:pPr>
          </w:p>
        </w:tc>
        <w:tc>
          <w:tcPr>
            <w:tcW w:w="0" w:type="auto"/>
            <w:shd w:val="clear" w:color="auto" w:fill="auto"/>
          </w:tcPr>
          <w:p w14:paraId="33DAE140" w14:textId="77777777" w:rsidR="004D6A64" w:rsidRDefault="004D6A64">
            <w:pPr>
              <w:rPr>
                <w:rFonts w:ascii="宋体"/>
              </w:rPr>
            </w:pPr>
          </w:p>
        </w:tc>
        <w:tc>
          <w:tcPr>
            <w:tcW w:w="0" w:type="auto"/>
            <w:shd w:val="clear" w:color="auto" w:fill="auto"/>
          </w:tcPr>
          <w:p w14:paraId="33DAE141" w14:textId="77777777" w:rsidR="004D6A64" w:rsidRDefault="004D6A64">
            <w:pPr>
              <w:rPr>
                <w:rFonts w:ascii="宋体"/>
              </w:rPr>
            </w:pPr>
          </w:p>
        </w:tc>
        <w:tc>
          <w:tcPr>
            <w:tcW w:w="0" w:type="auto"/>
            <w:shd w:val="clear" w:color="auto" w:fill="auto"/>
          </w:tcPr>
          <w:p w14:paraId="33DAE142" w14:textId="77777777" w:rsidR="004D6A64" w:rsidRDefault="004D6A64">
            <w:pPr>
              <w:rPr>
                <w:rFonts w:ascii="宋体"/>
              </w:rPr>
            </w:pPr>
          </w:p>
        </w:tc>
        <w:tc>
          <w:tcPr>
            <w:tcW w:w="0" w:type="auto"/>
            <w:shd w:val="clear" w:color="auto" w:fill="auto"/>
          </w:tcPr>
          <w:p w14:paraId="33DAE143" w14:textId="77777777" w:rsidR="004D6A64" w:rsidRDefault="004D6A64">
            <w:pPr>
              <w:rPr>
                <w:rFonts w:ascii="宋体"/>
              </w:rPr>
            </w:pPr>
          </w:p>
        </w:tc>
        <w:tc>
          <w:tcPr>
            <w:tcW w:w="0" w:type="auto"/>
            <w:shd w:val="clear" w:color="auto" w:fill="auto"/>
          </w:tcPr>
          <w:p w14:paraId="33DAE144" w14:textId="77777777" w:rsidR="004D6A64" w:rsidRDefault="004D6A64">
            <w:pPr>
              <w:rPr>
                <w:rFonts w:ascii="宋体"/>
              </w:rPr>
            </w:pPr>
          </w:p>
        </w:tc>
        <w:tc>
          <w:tcPr>
            <w:tcW w:w="0" w:type="auto"/>
            <w:shd w:val="clear" w:color="auto" w:fill="auto"/>
          </w:tcPr>
          <w:p w14:paraId="33DAE145" w14:textId="77777777" w:rsidR="004D6A64" w:rsidRDefault="004D6A64">
            <w:pPr>
              <w:rPr>
                <w:rFonts w:ascii="宋体"/>
              </w:rPr>
            </w:pPr>
          </w:p>
        </w:tc>
        <w:tc>
          <w:tcPr>
            <w:tcW w:w="0" w:type="auto"/>
            <w:shd w:val="clear" w:color="auto" w:fill="auto"/>
          </w:tcPr>
          <w:p w14:paraId="33DAE146" w14:textId="77777777" w:rsidR="004D6A64" w:rsidRDefault="004D6A64">
            <w:pPr>
              <w:rPr>
                <w:rFonts w:ascii="宋体"/>
              </w:rPr>
            </w:pPr>
          </w:p>
        </w:tc>
        <w:tc>
          <w:tcPr>
            <w:tcW w:w="0" w:type="auto"/>
            <w:shd w:val="clear" w:color="auto" w:fill="auto"/>
          </w:tcPr>
          <w:p w14:paraId="33DAE147" w14:textId="77777777" w:rsidR="004D6A64" w:rsidRDefault="004D6A64">
            <w:pPr>
              <w:rPr>
                <w:rFonts w:ascii="宋体"/>
              </w:rPr>
            </w:pPr>
          </w:p>
        </w:tc>
        <w:tc>
          <w:tcPr>
            <w:tcW w:w="0" w:type="auto"/>
            <w:shd w:val="clear" w:color="auto" w:fill="auto"/>
          </w:tcPr>
          <w:p w14:paraId="33DAE148" w14:textId="77777777" w:rsidR="004D6A64" w:rsidRDefault="004D6A64">
            <w:pPr>
              <w:rPr>
                <w:rFonts w:ascii="宋体"/>
              </w:rPr>
            </w:pPr>
          </w:p>
        </w:tc>
      </w:tr>
      <w:tr w:rsidR="004D6A64" w14:paraId="33DAE175" w14:textId="77777777">
        <w:trPr>
          <w:jc w:val="center"/>
        </w:trPr>
        <w:tc>
          <w:tcPr>
            <w:tcW w:w="0" w:type="auto"/>
            <w:gridSpan w:val="3"/>
            <w:shd w:val="clear" w:color="auto" w:fill="CCEEFF"/>
            <w:tcMar>
              <w:top w:w="40" w:type="dxa"/>
              <w:left w:w="225" w:type="dxa"/>
              <w:bottom w:w="40" w:type="dxa"/>
              <w:right w:w="20" w:type="dxa"/>
            </w:tcMar>
            <w:vAlign w:val="center"/>
          </w:tcPr>
          <w:p w14:paraId="33DAE14A" w14:textId="77777777" w:rsidR="004D6A64" w:rsidRDefault="00506CD6">
            <w:pPr>
              <w:textAlignment w:val="center"/>
            </w:pPr>
            <w:r>
              <w:rPr>
                <w:rFonts w:ascii="Times New Roman" w:eastAsia="宋体" w:hAnsi="Times New Roman"/>
                <w:color w:val="000000"/>
                <w:sz w:val="20"/>
                <w:szCs w:val="20"/>
              </w:rPr>
              <w:t>Amortization of intangibles</w:t>
            </w:r>
          </w:p>
        </w:tc>
        <w:tc>
          <w:tcPr>
            <w:tcW w:w="0" w:type="auto"/>
            <w:gridSpan w:val="2"/>
            <w:shd w:val="clear" w:color="auto" w:fill="CCEEFF"/>
            <w:tcMar>
              <w:top w:w="40" w:type="dxa"/>
              <w:left w:w="20" w:type="dxa"/>
              <w:bottom w:w="40" w:type="dxa"/>
              <w:right w:w="0" w:type="dxa"/>
            </w:tcMar>
            <w:vAlign w:val="center"/>
          </w:tcPr>
          <w:p w14:paraId="33DAE14B" w14:textId="77777777" w:rsidR="004D6A64" w:rsidRDefault="00506CD6">
            <w:pPr>
              <w:jc w:val="right"/>
              <w:textAlignment w:val="center"/>
            </w:pPr>
            <w:r>
              <w:rPr>
                <w:rFonts w:ascii="Times New Roman" w:eastAsia="宋体" w:hAnsi="Times New Roman"/>
                <w:color w:val="000000"/>
                <w:sz w:val="20"/>
                <w:szCs w:val="20"/>
              </w:rPr>
              <w:t>375 </w:t>
            </w:r>
          </w:p>
        </w:tc>
        <w:tc>
          <w:tcPr>
            <w:tcW w:w="0" w:type="auto"/>
            <w:shd w:val="clear" w:color="auto" w:fill="CCEEFF"/>
            <w:tcMar>
              <w:top w:w="40" w:type="dxa"/>
              <w:bottom w:w="40" w:type="dxa"/>
              <w:right w:w="20" w:type="dxa"/>
            </w:tcMar>
            <w:vAlign w:val="center"/>
          </w:tcPr>
          <w:p w14:paraId="33DAE14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14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14E"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14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150" w14:textId="77777777" w:rsidR="004D6A64" w:rsidRDefault="00506CD6">
            <w:pPr>
              <w:jc w:val="right"/>
              <w:textAlignment w:val="center"/>
            </w:pPr>
            <w:r>
              <w:rPr>
                <w:rFonts w:ascii="Times New Roman" w:eastAsia="宋体" w:hAnsi="Times New Roman"/>
                <w:color w:val="000000"/>
                <w:sz w:val="20"/>
                <w:szCs w:val="20"/>
              </w:rPr>
              <w:t>519 </w:t>
            </w:r>
          </w:p>
        </w:tc>
        <w:tc>
          <w:tcPr>
            <w:tcW w:w="0" w:type="auto"/>
            <w:shd w:val="clear" w:color="auto" w:fill="CCEEFF"/>
            <w:tcMar>
              <w:top w:w="40" w:type="dxa"/>
              <w:bottom w:w="40" w:type="dxa"/>
              <w:right w:w="20" w:type="dxa"/>
            </w:tcMar>
            <w:vAlign w:val="center"/>
          </w:tcPr>
          <w:p w14:paraId="33DAE15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15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153" w14:textId="77777777" w:rsidR="004D6A64" w:rsidRDefault="00506CD6">
            <w:pPr>
              <w:jc w:val="right"/>
              <w:textAlignment w:val="center"/>
            </w:pPr>
            <w:r>
              <w:rPr>
                <w:rFonts w:ascii="Times New Roman" w:eastAsia="宋体" w:hAnsi="Times New Roman"/>
                <w:color w:val="000000"/>
                <w:sz w:val="20"/>
                <w:szCs w:val="20"/>
              </w:rPr>
              <w:t>747 </w:t>
            </w:r>
          </w:p>
        </w:tc>
        <w:tc>
          <w:tcPr>
            <w:tcW w:w="0" w:type="auto"/>
            <w:shd w:val="clear" w:color="auto" w:fill="CCEEFF"/>
            <w:tcMar>
              <w:top w:w="40" w:type="dxa"/>
              <w:bottom w:w="40" w:type="dxa"/>
              <w:right w:w="20" w:type="dxa"/>
            </w:tcMar>
            <w:vAlign w:val="center"/>
          </w:tcPr>
          <w:p w14:paraId="33DAE15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15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156"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157"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158" w14:textId="77777777" w:rsidR="004D6A64" w:rsidRDefault="00506CD6">
            <w:pPr>
              <w:jc w:val="right"/>
              <w:textAlignment w:val="center"/>
            </w:pPr>
            <w:r>
              <w:rPr>
                <w:rFonts w:ascii="Times New Roman" w:eastAsia="宋体" w:hAnsi="Times New Roman"/>
                <w:color w:val="000000"/>
                <w:sz w:val="20"/>
                <w:szCs w:val="20"/>
              </w:rPr>
              <w:t>1,038 </w:t>
            </w:r>
          </w:p>
        </w:tc>
        <w:tc>
          <w:tcPr>
            <w:tcW w:w="0" w:type="auto"/>
            <w:shd w:val="clear" w:color="auto" w:fill="CCEEFF"/>
            <w:tcMar>
              <w:top w:w="40" w:type="dxa"/>
              <w:bottom w:w="40" w:type="dxa"/>
              <w:right w:w="20" w:type="dxa"/>
            </w:tcMar>
            <w:vAlign w:val="center"/>
          </w:tcPr>
          <w:p w14:paraId="33DAE159" w14:textId="77777777" w:rsidR="004D6A64" w:rsidRDefault="004D6A64">
            <w:pPr>
              <w:jc w:val="right"/>
              <w:rPr>
                <w:rFonts w:ascii="宋体"/>
              </w:rPr>
            </w:pPr>
          </w:p>
        </w:tc>
        <w:tc>
          <w:tcPr>
            <w:tcW w:w="0" w:type="auto"/>
            <w:shd w:val="clear" w:color="auto" w:fill="auto"/>
          </w:tcPr>
          <w:p w14:paraId="33DAE15A" w14:textId="77777777" w:rsidR="004D6A64" w:rsidRDefault="004D6A64">
            <w:pPr>
              <w:rPr>
                <w:rFonts w:ascii="宋体"/>
              </w:rPr>
            </w:pPr>
          </w:p>
        </w:tc>
        <w:tc>
          <w:tcPr>
            <w:tcW w:w="0" w:type="auto"/>
            <w:shd w:val="clear" w:color="auto" w:fill="auto"/>
          </w:tcPr>
          <w:p w14:paraId="33DAE15B" w14:textId="77777777" w:rsidR="004D6A64" w:rsidRDefault="004D6A64">
            <w:pPr>
              <w:rPr>
                <w:rFonts w:ascii="宋体"/>
              </w:rPr>
            </w:pPr>
          </w:p>
        </w:tc>
        <w:tc>
          <w:tcPr>
            <w:tcW w:w="0" w:type="auto"/>
            <w:shd w:val="clear" w:color="auto" w:fill="auto"/>
          </w:tcPr>
          <w:p w14:paraId="33DAE15C" w14:textId="77777777" w:rsidR="004D6A64" w:rsidRDefault="004D6A64">
            <w:pPr>
              <w:rPr>
                <w:rFonts w:ascii="宋体"/>
              </w:rPr>
            </w:pPr>
          </w:p>
        </w:tc>
        <w:tc>
          <w:tcPr>
            <w:tcW w:w="0" w:type="auto"/>
            <w:shd w:val="clear" w:color="auto" w:fill="auto"/>
          </w:tcPr>
          <w:p w14:paraId="33DAE15D" w14:textId="77777777" w:rsidR="004D6A64" w:rsidRDefault="004D6A64">
            <w:pPr>
              <w:rPr>
                <w:rFonts w:ascii="宋体"/>
              </w:rPr>
            </w:pPr>
          </w:p>
        </w:tc>
        <w:tc>
          <w:tcPr>
            <w:tcW w:w="0" w:type="auto"/>
            <w:shd w:val="clear" w:color="auto" w:fill="auto"/>
          </w:tcPr>
          <w:p w14:paraId="33DAE15E" w14:textId="77777777" w:rsidR="004D6A64" w:rsidRDefault="004D6A64">
            <w:pPr>
              <w:rPr>
                <w:rFonts w:ascii="宋体"/>
              </w:rPr>
            </w:pPr>
          </w:p>
        </w:tc>
        <w:tc>
          <w:tcPr>
            <w:tcW w:w="0" w:type="auto"/>
            <w:shd w:val="clear" w:color="auto" w:fill="auto"/>
          </w:tcPr>
          <w:p w14:paraId="33DAE15F" w14:textId="77777777" w:rsidR="004D6A64" w:rsidRDefault="004D6A64">
            <w:pPr>
              <w:rPr>
                <w:rFonts w:ascii="宋体"/>
              </w:rPr>
            </w:pPr>
          </w:p>
        </w:tc>
        <w:tc>
          <w:tcPr>
            <w:tcW w:w="0" w:type="auto"/>
            <w:shd w:val="clear" w:color="auto" w:fill="auto"/>
          </w:tcPr>
          <w:p w14:paraId="33DAE160" w14:textId="77777777" w:rsidR="004D6A64" w:rsidRDefault="004D6A64">
            <w:pPr>
              <w:rPr>
                <w:rFonts w:ascii="宋体"/>
              </w:rPr>
            </w:pPr>
          </w:p>
        </w:tc>
        <w:tc>
          <w:tcPr>
            <w:tcW w:w="0" w:type="auto"/>
            <w:shd w:val="clear" w:color="auto" w:fill="auto"/>
          </w:tcPr>
          <w:p w14:paraId="33DAE161" w14:textId="77777777" w:rsidR="004D6A64" w:rsidRDefault="004D6A64">
            <w:pPr>
              <w:rPr>
                <w:rFonts w:ascii="宋体"/>
              </w:rPr>
            </w:pPr>
          </w:p>
        </w:tc>
        <w:tc>
          <w:tcPr>
            <w:tcW w:w="0" w:type="auto"/>
            <w:shd w:val="clear" w:color="auto" w:fill="auto"/>
          </w:tcPr>
          <w:p w14:paraId="33DAE162" w14:textId="77777777" w:rsidR="004D6A64" w:rsidRDefault="004D6A64">
            <w:pPr>
              <w:rPr>
                <w:rFonts w:ascii="宋体"/>
              </w:rPr>
            </w:pPr>
          </w:p>
        </w:tc>
        <w:tc>
          <w:tcPr>
            <w:tcW w:w="0" w:type="auto"/>
            <w:shd w:val="clear" w:color="auto" w:fill="auto"/>
          </w:tcPr>
          <w:p w14:paraId="33DAE163" w14:textId="77777777" w:rsidR="004D6A64" w:rsidRDefault="004D6A64">
            <w:pPr>
              <w:rPr>
                <w:rFonts w:ascii="宋体"/>
              </w:rPr>
            </w:pPr>
          </w:p>
        </w:tc>
        <w:tc>
          <w:tcPr>
            <w:tcW w:w="0" w:type="auto"/>
            <w:shd w:val="clear" w:color="auto" w:fill="auto"/>
          </w:tcPr>
          <w:p w14:paraId="33DAE164" w14:textId="77777777" w:rsidR="004D6A64" w:rsidRDefault="004D6A64">
            <w:pPr>
              <w:rPr>
                <w:rFonts w:ascii="宋体"/>
              </w:rPr>
            </w:pPr>
          </w:p>
        </w:tc>
        <w:tc>
          <w:tcPr>
            <w:tcW w:w="0" w:type="auto"/>
            <w:shd w:val="clear" w:color="auto" w:fill="auto"/>
          </w:tcPr>
          <w:p w14:paraId="33DAE165" w14:textId="77777777" w:rsidR="004D6A64" w:rsidRDefault="004D6A64">
            <w:pPr>
              <w:rPr>
                <w:rFonts w:ascii="宋体"/>
              </w:rPr>
            </w:pPr>
          </w:p>
        </w:tc>
        <w:tc>
          <w:tcPr>
            <w:tcW w:w="0" w:type="auto"/>
            <w:shd w:val="clear" w:color="auto" w:fill="auto"/>
          </w:tcPr>
          <w:p w14:paraId="33DAE166" w14:textId="77777777" w:rsidR="004D6A64" w:rsidRDefault="004D6A64">
            <w:pPr>
              <w:rPr>
                <w:rFonts w:ascii="宋体"/>
              </w:rPr>
            </w:pPr>
          </w:p>
        </w:tc>
        <w:tc>
          <w:tcPr>
            <w:tcW w:w="0" w:type="auto"/>
            <w:shd w:val="clear" w:color="auto" w:fill="auto"/>
          </w:tcPr>
          <w:p w14:paraId="33DAE167" w14:textId="77777777" w:rsidR="004D6A64" w:rsidRDefault="004D6A64">
            <w:pPr>
              <w:rPr>
                <w:rFonts w:ascii="宋体"/>
              </w:rPr>
            </w:pPr>
          </w:p>
        </w:tc>
        <w:tc>
          <w:tcPr>
            <w:tcW w:w="0" w:type="auto"/>
            <w:shd w:val="clear" w:color="auto" w:fill="auto"/>
          </w:tcPr>
          <w:p w14:paraId="33DAE168" w14:textId="77777777" w:rsidR="004D6A64" w:rsidRDefault="004D6A64">
            <w:pPr>
              <w:rPr>
                <w:rFonts w:ascii="宋体"/>
              </w:rPr>
            </w:pPr>
          </w:p>
        </w:tc>
        <w:tc>
          <w:tcPr>
            <w:tcW w:w="0" w:type="auto"/>
            <w:shd w:val="clear" w:color="auto" w:fill="auto"/>
          </w:tcPr>
          <w:p w14:paraId="33DAE169" w14:textId="77777777" w:rsidR="004D6A64" w:rsidRDefault="004D6A64">
            <w:pPr>
              <w:rPr>
                <w:rFonts w:ascii="宋体"/>
              </w:rPr>
            </w:pPr>
          </w:p>
        </w:tc>
        <w:tc>
          <w:tcPr>
            <w:tcW w:w="0" w:type="auto"/>
            <w:shd w:val="clear" w:color="auto" w:fill="auto"/>
          </w:tcPr>
          <w:p w14:paraId="33DAE16A" w14:textId="77777777" w:rsidR="004D6A64" w:rsidRDefault="004D6A64">
            <w:pPr>
              <w:rPr>
                <w:rFonts w:ascii="宋体"/>
              </w:rPr>
            </w:pPr>
          </w:p>
        </w:tc>
        <w:tc>
          <w:tcPr>
            <w:tcW w:w="0" w:type="auto"/>
            <w:shd w:val="clear" w:color="auto" w:fill="auto"/>
          </w:tcPr>
          <w:p w14:paraId="33DAE16B" w14:textId="77777777" w:rsidR="004D6A64" w:rsidRDefault="004D6A64">
            <w:pPr>
              <w:rPr>
                <w:rFonts w:ascii="宋体"/>
              </w:rPr>
            </w:pPr>
          </w:p>
        </w:tc>
        <w:tc>
          <w:tcPr>
            <w:tcW w:w="0" w:type="auto"/>
            <w:shd w:val="clear" w:color="auto" w:fill="auto"/>
          </w:tcPr>
          <w:p w14:paraId="33DAE16C" w14:textId="77777777" w:rsidR="004D6A64" w:rsidRDefault="004D6A64">
            <w:pPr>
              <w:rPr>
                <w:rFonts w:ascii="宋体"/>
              </w:rPr>
            </w:pPr>
          </w:p>
        </w:tc>
        <w:tc>
          <w:tcPr>
            <w:tcW w:w="0" w:type="auto"/>
            <w:shd w:val="clear" w:color="auto" w:fill="auto"/>
          </w:tcPr>
          <w:p w14:paraId="33DAE16D" w14:textId="77777777" w:rsidR="004D6A64" w:rsidRDefault="004D6A64">
            <w:pPr>
              <w:rPr>
                <w:rFonts w:ascii="宋体"/>
              </w:rPr>
            </w:pPr>
          </w:p>
        </w:tc>
        <w:tc>
          <w:tcPr>
            <w:tcW w:w="0" w:type="auto"/>
            <w:shd w:val="clear" w:color="auto" w:fill="auto"/>
          </w:tcPr>
          <w:p w14:paraId="33DAE16E" w14:textId="77777777" w:rsidR="004D6A64" w:rsidRDefault="004D6A64">
            <w:pPr>
              <w:rPr>
                <w:rFonts w:ascii="宋体"/>
              </w:rPr>
            </w:pPr>
          </w:p>
        </w:tc>
        <w:tc>
          <w:tcPr>
            <w:tcW w:w="0" w:type="auto"/>
            <w:shd w:val="clear" w:color="auto" w:fill="auto"/>
          </w:tcPr>
          <w:p w14:paraId="33DAE16F" w14:textId="77777777" w:rsidR="004D6A64" w:rsidRDefault="004D6A64">
            <w:pPr>
              <w:rPr>
                <w:rFonts w:ascii="宋体"/>
              </w:rPr>
            </w:pPr>
          </w:p>
        </w:tc>
        <w:tc>
          <w:tcPr>
            <w:tcW w:w="0" w:type="auto"/>
            <w:shd w:val="clear" w:color="auto" w:fill="auto"/>
          </w:tcPr>
          <w:p w14:paraId="33DAE170" w14:textId="77777777" w:rsidR="004D6A64" w:rsidRDefault="004D6A64">
            <w:pPr>
              <w:rPr>
                <w:rFonts w:ascii="宋体"/>
              </w:rPr>
            </w:pPr>
          </w:p>
        </w:tc>
        <w:tc>
          <w:tcPr>
            <w:tcW w:w="0" w:type="auto"/>
            <w:shd w:val="clear" w:color="auto" w:fill="auto"/>
          </w:tcPr>
          <w:p w14:paraId="33DAE171" w14:textId="77777777" w:rsidR="004D6A64" w:rsidRDefault="004D6A64">
            <w:pPr>
              <w:rPr>
                <w:rFonts w:ascii="宋体"/>
              </w:rPr>
            </w:pPr>
          </w:p>
        </w:tc>
        <w:tc>
          <w:tcPr>
            <w:tcW w:w="0" w:type="auto"/>
            <w:shd w:val="clear" w:color="auto" w:fill="auto"/>
          </w:tcPr>
          <w:p w14:paraId="33DAE172" w14:textId="77777777" w:rsidR="004D6A64" w:rsidRDefault="004D6A64">
            <w:pPr>
              <w:rPr>
                <w:rFonts w:ascii="宋体"/>
              </w:rPr>
            </w:pPr>
          </w:p>
        </w:tc>
        <w:tc>
          <w:tcPr>
            <w:tcW w:w="0" w:type="auto"/>
            <w:shd w:val="clear" w:color="auto" w:fill="auto"/>
          </w:tcPr>
          <w:p w14:paraId="33DAE173" w14:textId="77777777" w:rsidR="004D6A64" w:rsidRDefault="004D6A64">
            <w:pPr>
              <w:rPr>
                <w:rFonts w:ascii="宋体"/>
              </w:rPr>
            </w:pPr>
          </w:p>
        </w:tc>
        <w:tc>
          <w:tcPr>
            <w:tcW w:w="0" w:type="auto"/>
            <w:shd w:val="clear" w:color="auto" w:fill="auto"/>
          </w:tcPr>
          <w:p w14:paraId="33DAE174" w14:textId="77777777" w:rsidR="004D6A64" w:rsidRDefault="004D6A64">
            <w:pPr>
              <w:rPr>
                <w:rFonts w:ascii="宋体"/>
              </w:rPr>
            </w:pPr>
          </w:p>
        </w:tc>
      </w:tr>
      <w:tr w:rsidR="004D6A64" w14:paraId="33DAE1A1" w14:textId="77777777">
        <w:trPr>
          <w:jc w:val="center"/>
        </w:trPr>
        <w:tc>
          <w:tcPr>
            <w:tcW w:w="0" w:type="auto"/>
            <w:gridSpan w:val="3"/>
            <w:shd w:val="clear" w:color="auto" w:fill="FFFFFF"/>
            <w:tcMar>
              <w:top w:w="40" w:type="dxa"/>
              <w:left w:w="225" w:type="dxa"/>
              <w:bottom w:w="40" w:type="dxa"/>
              <w:right w:w="20" w:type="dxa"/>
            </w:tcMar>
            <w:vAlign w:val="center"/>
          </w:tcPr>
          <w:p w14:paraId="33DAE176" w14:textId="77777777" w:rsidR="004D6A64" w:rsidRDefault="00506CD6">
            <w:pPr>
              <w:textAlignment w:val="center"/>
            </w:pPr>
            <w:r>
              <w:rPr>
                <w:rFonts w:ascii="Times New Roman" w:eastAsia="宋体" w:hAnsi="Times New Roman"/>
                <w:color w:val="000000"/>
                <w:sz w:val="20"/>
                <w:szCs w:val="20"/>
              </w:rPr>
              <w:t>Impact of purchase accounting</w:t>
            </w:r>
          </w:p>
        </w:tc>
        <w:tc>
          <w:tcPr>
            <w:tcW w:w="0" w:type="auto"/>
            <w:gridSpan w:val="2"/>
            <w:shd w:val="clear" w:color="auto" w:fill="FFFFFF"/>
            <w:tcMar>
              <w:top w:w="40" w:type="dxa"/>
              <w:left w:w="20" w:type="dxa"/>
              <w:bottom w:w="40" w:type="dxa"/>
              <w:right w:w="0" w:type="dxa"/>
            </w:tcMar>
            <w:vAlign w:val="center"/>
          </w:tcPr>
          <w:p w14:paraId="33DAE177" w14:textId="77777777" w:rsidR="004D6A64" w:rsidRDefault="00506CD6">
            <w:pPr>
              <w:jc w:val="right"/>
              <w:textAlignment w:val="center"/>
            </w:pPr>
            <w:r>
              <w:rPr>
                <w:rFonts w:ascii="Times New Roman" w:eastAsia="宋体" w:hAnsi="Times New Roman"/>
                <w:color w:val="000000"/>
                <w:sz w:val="20"/>
                <w:szCs w:val="20"/>
              </w:rPr>
              <w:t>43 </w:t>
            </w:r>
          </w:p>
        </w:tc>
        <w:tc>
          <w:tcPr>
            <w:tcW w:w="0" w:type="auto"/>
            <w:shd w:val="clear" w:color="auto" w:fill="FFFFFF"/>
            <w:tcMar>
              <w:top w:w="40" w:type="dxa"/>
              <w:bottom w:w="40" w:type="dxa"/>
              <w:right w:w="20" w:type="dxa"/>
            </w:tcMar>
            <w:vAlign w:val="center"/>
          </w:tcPr>
          <w:p w14:paraId="33DAE17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179"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17A"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17B"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17C" w14:textId="77777777" w:rsidR="004D6A64" w:rsidRDefault="00506CD6">
            <w:pPr>
              <w:jc w:val="right"/>
              <w:textAlignment w:val="center"/>
            </w:pPr>
            <w:r>
              <w:rPr>
                <w:rFonts w:ascii="Times New Roman" w:eastAsia="宋体" w:hAnsi="Times New Roman"/>
                <w:color w:val="000000"/>
                <w:sz w:val="20"/>
                <w:szCs w:val="20"/>
              </w:rPr>
              <w:t>85 </w:t>
            </w:r>
          </w:p>
        </w:tc>
        <w:tc>
          <w:tcPr>
            <w:tcW w:w="0" w:type="auto"/>
            <w:shd w:val="clear" w:color="auto" w:fill="FFFFFF"/>
            <w:tcMar>
              <w:top w:w="40" w:type="dxa"/>
              <w:bottom w:w="40" w:type="dxa"/>
              <w:right w:w="20" w:type="dxa"/>
            </w:tcMar>
            <w:vAlign w:val="center"/>
          </w:tcPr>
          <w:p w14:paraId="33DAE17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17E"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17F" w14:textId="77777777" w:rsidR="004D6A64" w:rsidRDefault="00506CD6">
            <w:pPr>
              <w:jc w:val="right"/>
              <w:textAlignment w:val="center"/>
            </w:pPr>
            <w:r>
              <w:rPr>
                <w:rFonts w:ascii="Times New Roman" w:eastAsia="宋体" w:hAnsi="Times New Roman"/>
                <w:color w:val="000000"/>
                <w:sz w:val="20"/>
                <w:szCs w:val="20"/>
              </w:rPr>
              <w:t>94 </w:t>
            </w:r>
          </w:p>
        </w:tc>
        <w:tc>
          <w:tcPr>
            <w:tcW w:w="0" w:type="auto"/>
            <w:shd w:val="clear" w:color="auto" w:fill="FFFFFF"/>
            <w:tcMar>
              <w:top w:w="40" w:type="dxa"/>
              <w:bottom w:w="40" w:type="dxa"/>
              <w:right w:w="20" w:type="dxa"/>
            </w:tcMar>
            <w:vAlign w:val="center"/>
          </w:tcPr>
          <w:p w14:paraId="33DAE18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181"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182"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18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184" w14:textId="77777777" w:rsidR="004D6A64" w:rsidRDefault="00506CD6">
            <w:pPr>
              <w:jc w:val="right"/>
              <w:textAlignment w:val="center"/>
            </w:pPr>
            <w:r>
              <w:rPr>
                <w:rFonts w:ascii="Times New Roman" w:eastAsia="宋体" w:hAnsi="Times New Roman"/>
                <w:color w:val="000000"/>
                <w:sz w:val="20"/>
                <w:szCs w:val="20"/>
              </w:rPr>
              <w:t>169 </w:t>
            </w:r>
          </w:p>
        </w:tc>
        <w:tc>
          <w:tcPr>
            <w:tcW w:w="0" w:type="auto"/>
            <w:shd w:val="clear" w:color="auto" w:fill="FFFFFF"/>
            <w:tcMar>
              <w:top w:w="40" w:type="dxa"/>
              <w:bottom w:w="40" w:type="dxa"/>
              <w:right w:w="20" w:type="dxa"/>
            </w:tcMar>
            <w:vAlign w:val="center"/>
          </w:tcPr>
          <w:p w14:paraId="33DAE185" w14:textId="77777777" w:rsidR="004D6A64" w:rsidRDefault="004D6A64">
            <w:pPr>
              <w:jc w:val="right"/>
              <w:rPr>
                <w:rFonts w:ascii="宋体"/>
              </w:rPr>
            </w:pPr>
          </w:p>
        </w:tc>
        <w:tc>
          <w:tcPr>
            <w:tcW w:w="0" w:type="auto"/>
            <w:shd w:val="clear" w:color="auto" w:fill="auto"/>
          </w:tcPr>
          <w:p w14:paraId="33DAE186" w14:textId="77777777" w:rsidR="004D6A64" w:rsidRDefault="004D6A64">
            <w:pPr>
              <w:rPr>
                <w:rFonts w:ascii="宋体"/>
              </w:rPr>
            </w:pPr>
          </w:p>
        </w:tc>
        <w:tc>
          <w:tcPr>
            <w:tcW w:w="0" w:type="auto"/>
            <w:shd w:val="clear" w:color="auto" w:fill="auto"/>
          </w:tcPr>
          <w:p w14:paraId="33DAE187" w14:textId="77777777" w:rsidR="004D6A64" w:rsidRDefault="004D6A64">
            <w:pPr>
              <w:rPr>
                <w:rFonts w:ascii="宋体"/>
              </w:rPr>
            </w:pPr>
          </w:p>
        </w:tc>
        <w:tc>
          <w:tcPr>
            <w:tcW w:w="0" w:type="auto"/>
            <w:shd w:val="clear" w:color="auto" w:fill="auto"/>
          </w:tcPr>
          <w:p w14:paraId="33DAE188" w14:textId="77777777" w:rsidR="004D6A64" w:rsidRDefault="004D6A64">
            <w:pPr>
              <w:rPr>
                <w:rFonts w:ascii="宋体"/>
              </w:rPr>
            </w:pPr>
          </w:p>
        </w:tc>
        <w:tc>
          <w:tcPr>
            <w:tcW w:w="0" w:type="auto"/>
            <w:shd w:val="clear" w:color="auto" w:fill="auto"/>
          </w:tcPr>
          <w:p w14:paraId="33DAE189" w14:textId="77777777" w:rsidR="004D6A64" w:rsidRDefault="004D6A64">
            <w:pPr>
              <w:rPr>
                <w:rFonts w:ascii="宋体"/>
              </w:rPr>
            </w:pPr>
          </w:p>
        </w:tc>
        <w:tc>
          <w:tcPr>
            <w:tcW w:w="0" w:type="auto"/>
            <w:shd w:val="clear" w:color="auto" w:fill="auto"/>
          </w:tcPr>
          <w:p w14:paraId="33DAE18A" w14:textId="77777777" w:rsidR="004D6A64" w:rsidRDefault="004D6A64">
            <w:pPr>
              <w:rPr>
                <w:rFonts w:ascii="宋体"/>
              </w:rPr>
            </w:pPr>
          </w:p>
        </w:tc>
        <w:tc>
          <w:tcPr>
            <w:tcW w:w="0" w:type="auto"/>
            <w:shd w:val="clear" w:color="auto" w:fill="auto"/>
          </w:tcPr>
          <w:p w14:paraId="33DAE18B" w14:textId="77777777" w:rsidR="004D6A64" w:rsidRDefault="004D6A64">
            <w:pPr>
              <w:rPr>
                <w:rFonts w:ascii="宋体"/>
              </w:rPr>
            </w:pPr>
          </w:p>
        </w:tc>
        <w:tc>
          <w:tcPr>
            <w:tcW w:w="0" w:type="auto"/>
            <w:shd w:val="clear" w:color="auto" w:fill="auto"/>
          </w:tcPr>
          <w:p w14:paraId="33DAE18C" w14:textId="77777777" w:rsidR="004D6A64" w:rsidRDefault="004D6A64">
            <w:pPr>
              <w:rPr>
                <w:rFonts w:ascii="宋体"/>
              </w:rPr>
            </w:pPr>
          </w:p>
        </w:tc>
        <w:tc>
          <w:tcPr>
            <w:tcW w:w="0" w:type="auto"/>
            <w:shd w:val="clear" w:color="auto" w:fill="auto"/>
          </w:tcPr>
          <w:p w14:paraId="33DAE18D" w14:textId="77777777" w:rsidR="004D6A64" w:rsidRDefault="004D6A64">
            <w:pPr>
              <w:rPr>
                <w:rFonts w:ascii="宋体"/>
              </w:rPr>
            </w:pPr>
          </w:p>
        </w:tc>
        <w:tc>
          <w:tcPr>
            <w:tcW w:w="0" w:type="auto"/>
            <w:shd w:val="clear" w:color="auto" w:fill="auto"/>
          </w:tcPr>
          <w:p w14:paraId="33DAE18E" w14:textId="77777777" w:rsidR="004D6A64" w:rsidRDefault="004D6A64">
            <w:pPr>
              <w:rPr>
                <w:rFonts w:ascii="宋体"/>
              </w:rPr>
            </w:pPr>
          </w:p>
        </w:tc>
        <w:tc>
          <w:tcPr>
            <w:tcW w:w="0" w:type="auto"/>
            <w:shd w:val="clear" w:color="auto" w:fill="auto"/>
          </w:tcPr>
          <w:p w14:paraId="33DAE18F" w14:textId="77777777" w:rsidR="004D6A64" w:rsidRDefault="004D6A64">
            <w:pPr>
              <w:rPr>
                <w:rFonts w:ascii="宋体"/>
              </w:rPr>
            </w:pPr>
          </w:p>
        </w:tc>
        <w:tc>
          <w:tcPr>
            <w:tcW w:w="0" w:type="auto"/>
            <w:shd w:val="clear" w:color="auto" w:fill="auto"/>
          </w:tcPr>
          <w:p w14:paraId="33DAE190" w14:textId="77777777" w:rsidR="004D6A64" w:rsidRDefault="004D6A64">
            <w:pPr>
              <w:rPr>
                <w:rFonts w:ascii="宋体"/>
              </w:rPr>
            </w:pPr>
          </w:p>
        </w:tc>
        <w:tc>
          <w:tcPr>
            <w:tcW w:w="0" w:type="auto"/>
            <w:shd w:val="clear" w:color="auto" w:fill="auto"/>
          </w:tcPr>
          <w:p w14:paraId="33DAE191" w14:textId="77777777" w:rsidR="004D6A64" w:rsidRDefault="004D6A64">
            <w:pPr>
              <w:rPr>
                <w:rFonts w:ascii="宋体"/>
              </w:rPr>
            </w:pPr>
          </w:p>
        </w:tc>
        <w:tc>
          <w:tcPr>
            <w:tcW w:w="0" w:type="auto"/>
            <w:shd w:val="clear" w:color="auto" w:fill="auto"/>
          </w:tcPr>
          <w:p w14:paraId="33DAE192" w14:textId="77777777" w:rsidR="004D6A64" w:rsidRDefault="004D6A64">
            <w:pPr>
              <w:rPr>
                <w:rFonts w:ascii="宋体"/>
              </w:rPr>
            </w:pPr>
          </w:p>
        </w:tc>
        <w:tc>
          <w:tcPr>
            <w:tcW w:w="0" w:type="auto"/>
            <w:shd w:val="clear" w:color="auto" w:fill="auto"/>
          </w:tcPr>
          <w:p w14:paraId="33DAE193" w14:textId="77777777" w:rsidR="004D6A64" w:rsidRDefault="004D6A64">
            <w:pPr>
              <w:rPr>
                <w:rFonts w:ascii="宋体"/>
              </w:rPr>
            </w:pPr>
          </w:p>
        </w:tc>
        <w:tc>
          <w:tcPr>
            <w:tcW w:w="0" w:type="auto"/>
            <w:shd w:val="clear" w:color="auto" w:fill="auto"/>
          </w:tcPr>
          <w:p w14:paraId="33DAE194" w14:textId="77777777" w:rsidR="004D6A64" w:rsidRDefault="004D6A64">
            <w:pPr>
              <w:rPr>
                <w:rFonts w:ascii="宋体"/>
              </w:rPr>
            </w:pPr>
          </w:p>
        </w:tc>
        <w:tc>
          <w:tcPr>
            <w:tcW w:w="0" w:type="auto"/>
            <w:shd w:val="clear" w:color="auto" w:fill="auto"/>
          </w:tcPr>
          <w:p w14:paraId="33DAE195" w14:textId="77777777" w:rsidR="004D6A64" w:rsidRDefault="004D6A64">
            <w:pPr>
              <w:rPr>
                <w:rFonts w:ascii="宋体"/>
              </w:rPr>
            </w:pPr>
          </w:p>
        </w:tc>
        <w:tc>
          <w:tcPr>
            <w:tcW w:w="0" w:type="auto"/>
            <w:shd w:val="clear" w:color="auto" w:fill="auto"/>
          </w:tcPr>
          <w:p w14:paraId="33DAE196" w14:textId="77777777" w:rsidR="004D6A64" w:rsidRDefault="004D6A64">
            <w:pPr>
              <w:rPr>
                <w:rFonts w:ascii="宋体"/>
              </w:rPr>
            </w:pPr>
          </w:p>
        </w:tc>
        <w:tc>
          <w:tcPr>
            <w:tcW w:w="0" w:type="auto"/>
            <w:shd w:val="clear" w:color="auto" w:fill="auto"/>
          </w:tcPr>
          <w:p w14:paraId="33DAE197" w14:textId="77777777" w:rsidR="004D6A64" w:rsidRDefault="004D6A64">
            <w:pPr>
              <w:rPr>
                <w:rFonts w:ascii="宋体"/>
              </w:rPr>
            </w:pPr>
          </w:p>
        </w:tc>
        <w:tc>
          <w:tcPr>
            <w:tcW w:w="0" w:type="auto"/>
            <w:shd w:val="clear" w:color="auto" w:fill="auto"/>
          </w:tcPr>
          <w:p w14:paraId="33DAE198" w14:textId="77777777" w:rsidR="004D6A64" w:rsidRDefault="004D6A64">
            <w:pPr>
              <w:rPr>
                <w:rFonts w:ascii="宋体"/>
              </w:rPr>
            </w:pPr>
          </w:p>
        </w:tc>
        <w:tc>
          <w:tcPr>
            <w:tcW w:w="0" w:type="auto"/>
            <w:shd w:val="clear" w:color="auto" w:fill="auto"/>
          </w:tcPr>
          <w:p w14:paraId="33DAE199" w14:textId="77777777" w:rsidR="004D6A64" w:rsidRDefault="004D6A64">
            <w:pPr>
              <w:rPr>
                <w:rFonts w:ascii="宋体"/>
              </w:rPr>
            </w:pPr>
          </w:p>
        </w:tc>
        <w:tc>
          <w:tcPr>
            <w:tcW w:w="0" w:type="auto"/>
            <w:shd w:val="clear" w:color="auto" w:fill="auto"/>
          </w:tcPr>
          <w:p w14:paraId="33DAE19A" w14:textId="77777777" w:rsidR="004D6A64" w:rsidRDefault="004D6A64">
            <w:pPr>
              <w:rPr>
                <w:rFonts w:ascii="宋体"/>
              </w:rPr>
            </w:pPr>
          </w:p>
        </w:tc>
        <w:tc>
          <w:tcPr>
            <w:tcW w:w="0" w:type="auto"/>
            <w:shd w:val="clear" w:color="auto" w:fill="auto"/>
          </w:tcPr>
          <w:p w14:paraId="33DAE19B" w14:textId="77777777" w:rsidR="004D6A64" w:rsidRDefault="004D6A64">
            <w:pPr>
              <w:rPr>
                <w:rFonts w:ascii="宋体"/>
              </w:rPr>
            </w:pPr>
          </w:p>
        </w:tc>
        <w:tc>
          <w:tcPr>
            <w:tcW w:w="0" w:type="auto"/>
            <w:shd w:val="clear" w:color="auto" w:fill="auto"/>
          </w:tcPr>
          <w:p w14:paraId="33DAE19C" w14:textId="77777777" w:rsidR="004D6A64" w:rsidRDefault="004D6A64">
            <w:pPr>
              <w:rPr>
                <w:rFonts w:ascii="宋体"/>
              </w:rPr>
            </w:pPr>
          </w:p>
        </w:tc>
        <w:tc>
          <w:tcPr>
            <w:tcW w:w="0" w:type="auto"/>
            <w:shd w:val="clear" w:color="auto" w:fill="auto"/>
          </w:tcPr>
          <w:p w14:paraId="33DAE19D" w14:textId="77777777" w:rsidR="004D6A64" w:rsidRDefault="004D6A64">
            <w:pPr>
              <w:rPr>
                <w:rFonts w:ascii="宋体"/>
              </w:rPr>
            </w:pPr>
          </w:p>
        </w:tc>
        <w:tc>
          <w:tcPr>
            <w:tcW w:w="0" w:type="auto"/>
            <w:shd w:val="clear" w:color="auto" w:fill="auto"/>
          </w:tcPr>
          <w:p w14:paraId="33DAE19E" w14:textId="77777777" w:rsidR="004D6A64" w:rsidRDefault="004D6A64">
            <w:pPr>
              <w:rPr>
                <w:rFonts w:ascii="宋体"/>
              </w:rPr>
            </w:pPr>
          </w:p>
        </w:tc>
        <w:tc>
          <w:tcPr>
            <w:tcW w:w="0" w:type="auto"/>
            <w:shd w:val="clear" w:color="auto" w:fill="auto"/>
          </w:tcPr>
          <w:p w14:paraId="33DAE19F" w14:textId="77777777" w:rsidR="004D6A64" w:rsidRDefault="004D6A64">
            <w:pPr>
              <w:rPr>
                <w:rFonts w:ascii="宋体"/>
              </w:rPr>
            </w:pPr>
          </w:p>
        </w:tc>
        <w:tc>
          <w:tcPr>
            <w:tcW w:w="0" w:type="auto"/>
            <w:shd w:val="clear" w:color="auto" w:fill="auto"/>
          </w:tcPr>
          <w:p w14:paraId="33DAE1A0" w14:textId="77777777" w:rsidR="004D6A64" w:rsidRDefault="004D6A64">
            <w:pPr>
              <w:rPr>
                <w:rFonts w:ascii="宋体"/>
              </w:rPr>
            </w:pPr>
          </w:p>
        </w:tc>
      </w:tr>
      <w:tr w:rsidR="004D6A64" w14:paraId="33DAE1CD" w14:textId="77777777">
        <w:trPr>
          <w:jc w:val="center"/>
        </w:trPr>
        <w:tc>
          <w:tcPr>
            <w:tcW w:w="0" w:type="auto"/>
            <w:gridSpan w:val="3"/>
            <w:shd w:val="clear" w:color="auto" w:fill="CCEEFF"/>
            <w:tcMar>
              <w:top w:w="40" w:type="dxa"/>
              <w:left w:w="225" w:type="dxa"/>
              <w:bottom w:w="40" w:type="dxa"/>
              <w:right w:w="20" w:type="dxa"/>
            </w:tcMar>
            <w:vAlign w:val="center"/>
          </w:tcPr>
          <w:p w14:paraId="33DAE1A2" w14:textId="77777777" w:rsidR="004D6A64" w:rsidRDefault="00506CD6">
            <w:pPr>
              <w:textAlignment w:val="center"/>
            </w:pPr>
            <w:r>
              <w:rPr>
                <w:rFonts w:ascii="Times New Roman" w:eastAsia="宋体" w:hAnsi="Times New Roman"/>
                <w:color w:val="000000"/>
                <w:sz w:val="20"/>
                <w:szCs w:val="20"/>
              </w:rPr>
              <w:t>Transaction-related expenses</w:t>
            </w:r>
          </w:p>
        </w:tc>
        <w:tc>
          <w:tcPr>
            <w:tcW w:w="0" w:type="auto"/>
            <w:gridSpan w:val="2"/>
            <w:shd w:val="clear" w:color="auto" w:fill="CCEEFF"/>
            <w:tcMar>
              <w:top w:w="40" w:type="dxa"/>
              <w:left w:w="20" w:type="dxa"/>
              <w:bottom w:w="40" w:type="dxa"/>
              <w:right w:w="0" w:type="dxa"/>
            </w:tcMar>
            <w:vAlign w:val="center"/>
          </w:tcPr>
          <w:p w14:paraId="33DAE1A3"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E1A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1A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1A6"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1A7"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1A8"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E1A9"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1AA"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1AB"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E1A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1A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1AE"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1A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1B0" w14:textId="77777777" w:rsidR="004D6A64" w:rsidRDefault="00506CD6">
            <w:pPr>
              <w:jc w:val="right"/>
              <w:textAlignment w:val="center"/>
            </w:pPr>
            <w:r>
              <w:rPr>
                <w:rFonts w:ascii="Times New Roman" w:eastAsia="宋体" w:hAnsi="Times New Roman"/>
                <w:color w:val="000000"/>
                <w:sz w:val="20"/>
                <w:szCs w:val="20"/>
              </w:rPr>
              <w:t>(5)</w:t>
            </w:r>
          </w:p>
        </w:tc>
        <w:tc>
          <w:tcPr>
            <w:tcW w:w="0" w:type="auto"/>
            <w:shd w:val="clear" w:color="auto" w:fill="CCEEFF"/>
            <w:tcMar>
              <w:top w:w="40" w:type="dxa"/>
              <w:bottom w:w="40" w:type="dxa"/>
              <w:right w:w="20" w:type="dxa"/>
            </w:tcMar>
            <w:vAlign w:val="center"/>
          </w:tcPr>
          <w:p w14:paraId="33DAE1B1" w14:textId="77777777" w:rsidR="004D6A64" w:rsidRDefault="004D6A64">
            <w:pPr>
              <w:jc w:val="right"/>
              <w:rPr>
                <w:rFonts w:ascii="宋体"/>
              </w:rPr>
            </w:pPr>
          </w:p>
        </w:tc>
        <w:tc>
          <w:tcPr>
            <w:tcW w:w="0" w:type="auto"/>
            <w:shd w:val="clear" w:color="auto" w:fill="auto"/>
          </w:tcPr>
          <w:p w14:paraId="33DAE1B2" w14:textId="77777777" w:rsidR="004D6A64" w:rsidRDefault="004D6A64">
            <w:pPr>
              <w:rPr>
                <w:rFonts w:ascii="宋体"/>
              </w:rPr>
            </w:pPr>
          </w:p>
        </w:tc>
        <w:tc>
          <w:tcPr>
            <w:tcW w:w="0" w:type="auto"/>
            <w:shd w:val="clear" w:color="auto" w:fill="auto"/>
          </w:tcPr>
          <w:p w14:paraId="33DAE1B3" w14:textId="77777777" w:rsidR="004D6A64" w:rsidRDefault="004D6A64">
            <w:pPr>
              <w:rPr>
                <w:rFonts w:ascii="宋体"/>
              </w:rPr>
            </w:pPr>
          </w:p>
        </w:tc>
        <w:tc>
          <w:tcPr>
            <w:tcW w:w="0" w:type="auto"/>
            <w:shd w:val="clear" w:color="auto" w:fill="auto"/>
          </w:tcPr>
          <w:p w14:paraId="33DAE1B4" w14:textId="77777777" w:rsidR="004D6A64" w:rsidRDefault="004D6A64">
            <w:pPr>
              <w:rPr>
                <w:rFonts w:ascii="宋体"/>
              </w:rPr>
            </w:pPr>
          </w:p>
        </w:tc>
        <w:tc>
          <w:tcPr>
            <w:tcW w:w="0" w:type="auto"/>
            <w:shd w:val="clear" w:color="auto" w:fill="auto"/>
          </w:tcPr>
          <w:p w14:paraId="33DAE1B5" w14:textId="77777777" w:rsidR="004D6A64" w:rsidRDefault="004D6A64">
            <w:pPr>
              <w:rPr>
                <w:rFonts w:ascii="宋体"/>
              </w:rPr>
            </w:pPr>
          </w:p>
        </w:tc>
        <w:tc>
          <w:tcPr>
            <w:tcW w:w="0" w:type="auto"/>
            <w:shd w:val="clear" w:color="auto" w:fill="auto"/>
          </w:tcPr>
          <w:p w14:paraId="33DAE1B6" w14:textId="77777777" w:rsidR="004D6A64" w:rsidRDefault="004D6A64">
            <w:pPr>
              <w:rPr>
                <w:rFonts w:ascii="宋体"/>
              </w:rPr>
            </w:pPr>
          </w:p>
        </w:tc>
        <w:tc>
          <w:tcPr>
            <w:tcW w:w="0" w:type="auto"/>
            <w:shd w:val="clear" w:color="auto" w:fill="auto"/>
          </w:tcPr>
          <w:p w14:paraId="33DAE1B7" w14:textId="77777777" w:rsidR="004D6A64" w:rsidRDefault="004D6A64">
            <w:pPr>
              <w:rPr>
                <w:rFonts w:ascii="宋体"/>
              </w:rPr>
            </w:pPr>
          </w:p>
        </w:tc>
        <w:tc>
          <w:tcPr>
            <w:tcW w:w="0" w:type="auto"/>
            <w:shd w:val="clear" w:color="auto" w:fill="auto"/>
          </w:tcPr>
          <w:p w14:paraId="33DAE1B8" w14:textId="77777777" w:rsidR="004D6A64" w:rsidRDefault="004D6A64">
            <w:pPr>
              <w:rPr>
                <w:rFonts w:ascii="宋体"/>
              </w:rPr>
            </w:pPr>
          </w:p>
        </w:tc>
        <w:tc>
          <w:tcPr>
            <w:tcW w:w="0" w:type="auto"/>
            <w:shd w:val="clear" w:color="auto" w:fill="auto"/>
          </w:tcPr>
          <w:p w14:paraId="33DAE1B9" w14:textId="77777777" w:rsidR="004D6A64" w:rsidRDefault="004D6A64">
            <w:pPr>
              <w:rPr>
                <w:rFonts w:ascii="宋体"/>
              </w:rPr>
            </w:pPr>
          </w:p>
        </w:tc>
        <w:tc>
          <w:tcPr>
            <w:tcW w:w="0" w:type="auto"/>
            <w:shd w:val="clear" w:color="auto" w:fill="auto"/>
          </w:tcPr>
          <w:p w14:paraId="33DAE1BA" w14:textId="77777777" w:rsidR="004D6A64" w:rsidRDefault="004D6A64">
            <w:pPr>
              <w:rPr>
                <w:rFonts w:ascii="宋体"/>
              </w:rPr>
            </w:pPr>
          </w:p>
        </w:tc>
        <w:tc>
          <w:tcPr>
            <w:tcW w:w="0" w:type="auto"/>
            <w:shd w:val="clear" w:color="auto" w:fill="auto"/>
          </w:tcPr>
          <w:p w14:paraId="33DAE1BB" w14:textId="77777777" w:rsidR="004D6A64" w:rsidRDefault="004D6A64">
            <w:pPr>
              <w:rPr>
                <w:rFonts w:ascii="宋体"/>
              </w:rPr>
            </w:pPr>
          </w:p>
        </w:tc>
        <w:tc>
          <w:tcPr>
            <w:tcW w:w="0" w:type="auto"/>
            <w:shd w:val="clear" w:color="auto" w:fill="auto"/>
          </w:tcPr>
          <w:p w14:paraId="33DAE1BC" w14:textId="77777777" w:rsidR="004D6A64" w:rsidRDefault="004D6A64">
            <w:pPr>
              <w:rPr>
                <w:rFonts w:ascii="宋体"/>
              </w:rPr>
            </w:pPr>
          </w:p>
        </w:tc>
        <w:tc>
          <w:tcPr>
            <w:tcW w:w="0" w:type="auto"/>
            <w:shd w:val="clear" w:color="auto" w:fill="auto"/>
          </w:tcPr>
          <w:p w14:paraId="33DAE1BD" w14:textId="77777777" w:rsidR="004D6A64" w:rsidRDefault="004D6A64">
            <w:pPr>
              <w:rPr>
                <w:rFonts w:ascii="宋体"/>
              </w:rPr>
            </w:pPr>
          </w:p>
        </w:tc>
        <w:tc>
          <w:tcPr>
            <w:tcW w:w="0" w:type="auto"/>
            <w:shd w:val="clear" w:color="auto" w:fill="auto"/>
          </w:tcPr>
          <w:p w14:paraId="33DAE1BE" w14:textId="77777777" w:rsidR="004D6A64" w:rsidRDefault="004D6A64">
            <w:pPr>
              <w:rPr>
                <w:rFonts w:ascii="宋体"/>
              </w:rPr>
            </w:pPr>
          </w:p>
        </w:tc>
        <w:tc>
          <w:tcPr>
            <w:tcW w:w="0" w:type="auto"/>
            <w:shd w:val="clear" w:color="auto" w:fill="auto"/>
          </w:tcPr>
          <w:p w14:paraId="33DAE1BF" w14:textId="77777777" w:rsidR="004D6A64" w:rsidRDefault="004D6A64">
            <w:pPr>
              <w:rPr>
                <w:rFonts w:ascii="宋体"/>
              </w:rPr>
            </w:pPr>
          </w:p>
        </w:tc>
        <w:tc>
          <w:tcPr>
            <w:tcW w:w="0" w:type="auto"/>
            <w:shd w:val="clear" w:color="auto" w:fill="auto"/>
          </w:tcPr>
          <w:p w14:paraId="33DAE1C0" w14:textId="77777777" w:rsidR="004D6A64" w:rsidRDefault="004D6A64">
            <w:pPr>
              <w:rPr>
                <w:rFonts w:ascii="宋体"/>
              </w:rPr>
            </w:pPr>
          </w:p>
        </w:tc>
        <w:tc>
          <w:tcPr>
            <w:tcW w:w="0" w:type="auto"/>
            <w:shd w:val="clear" w:color="auto" w:fill="auto"/>
          </w:tcPr>
          <w:p w14:paraId="33DAE1C1" w14:textId="77777777" w:rsidR="004D6A64" w:rsidRDefault="004D6A64">
            <w:pPr>
              <w:rPr>
                <w:rFonts w:ascii="宋体"/>
              </w:rPr>
            </w:pPr>
          </w:p>
        </w:tc>
        <w:tc>
          <w:tcPr>
            <w:tcW w:w="0" w:type="auto"/>
            <w:shd w:val="clear" w:color="auto" w:fill="auto"/>
          </w:tcPr>
          <w:p w14:paraId="33DAE1C2" w14:textId="77777777" w:rsidR="004D6A64" w:rsidRDefault="004D6A64">
            <w:pPr>
              <w:rPr>
                <w:rFonts w:ascii="宋体"/>
              </w:rPr>
            </w:pPr>
          </w:p>
        </w:tc>
        <w:tc>
          <w:tcPr>
            <w:tcW w:w="0" w:type="auto"/>
            <w:shd w:val="clear" w:color="auto" w:fill="auto"/>
          </w:tcPr>
          <w:p w14:paraId="33DAE1C3" w14:textId="77777777" w:rsidR="004D6A64" w:rsidRDefault="004D6A64">
            <w:pPr>
              <w:rPr>
                <w:rFonts w:ascii="宋体"/>
              </w:rPr>
            </w:pPr>
          </w:p>
        </w:tc>
        <w:tc>
          <w:tcPr>
            <w:tcW w:w="0" w:type="auto"/>
            <w:shd w:val="clear" w:color="auto" w:fill="auto"/>
          </w:tcPr>
          <w:p w14:paraId="33DAE1C4" w14:textId="77777777" w:rsidR="004D6A64" w:rsidRDefault="004D6A64">
            <w:pPr>
              <w:rPr>
                <w:rFonts w:ascii="宋体"/>
              </w:rPr>
            </w:pPr>
          </w:p>
        </w:tc>
        <w:tc>
          <w:tcPr>
            <w:tcW w:w="0" w:type="auto"/>
            <w:shd w:val="clear" w:color="auto" w:fill="auto"/>
          </w:tcPr>
          <w:p w14:paraId="33DAE1C5" w14:textId="77777777" w:rsidR="004D6A64" w:rsidRDefault="004D6A64">
            <w:pPr>
              <w:rPr>
                <w:rFonts w:ascii="宋体"/>
              </w:rPr>
            </w:pPr>
          </w:p>
        </w:tc>
        <w:tc>
          <w:tcPr>
            <w:tcW w:w="0" w:type="auto"/>
            <w:shd w:val="clear" w:color="auto" w:fill="auto"/>
          </w:tcPr>
          <w:p w14:paraId="33DAE1C6" w14:textId="77777777" w:rsidR="004D6A64" w:rsidRDefault="004D6A64">
            <w:pPr>
              <w:rPr>
                <w:rFonts w:ascii="宋体"/>
              </w:rPr>
            </w:pPr>
          </w:p>
        </w:tc>
        <w:tc>
          <w:tcPr>
            <w:tcW w:w="0" w:type="auto"/>
            <w:shd w:val="clear" w:color="auto" w:fill="auto"/>
          </w:tcPr>
          <w:p w14:paraId="33DAE1C7" w14:textId="77777777" w:rsidR="004D6A64" w:rsidRDefault="004D6A64">
            <w:pPr>
              <w:rPr>
                <w:rFonts w:ascii="宋体"/>
              </w:rPr>
            </w:pPr>
          </w:p>
        </w:tc>
        <w:tc>
          <w:tcPr>
            <w:tcW w:w="0" w:type="auto"/>
            <w:shd w:val="clear" w:color="auto" w:fill="auto"/>
          </w:tcPr>
          <w:p w14:paraId="33DAE1C8" w14:textId="77777777" w:rsidR="004D6A64" w:rsidRDefault="004D6A64">
            <w:pPr>
              <w:rPr>
                <w:rFonts w:ascii="宋体"/>
              </w:rPr>
            </w:pPr>
          </w:p>
        </w:tc>
        <w:tc>
          <w:tcPr>
            <w:tcW w:w="0" w:type="auto"/>
            <w:shd w:val="clear" w:color="auto" w:fill="auto"/>
          </w:tcPr>
          <w:p w14:paraId="33DAE1C9" w14:textId="77777777" w:rsidR="004D6A64" w:rsidRDefault="004D6A64">
            <w:pPr>
              <w:rPr>
                <w:rFonts w:ascii="宋体"/>
              </w:rPr>
            </w:pPr>
          </w:p>
        </w:tc>
        <w:tc>
          <w:tcPr>
            <w:tcW w:w="0" w:type="auto"/>
            <w:shd w:val="clear" w:color="auto" w:fill="auto"/>
          </w:tcPr>
          <w:p w14:paraId="33DAE1CA" w14:textId="77777777" w:rsidR="004D6A64" w:rsidRDefault="004D6A64">
            <w:pPr>
              <w:rPr>
                <w:rFonts w:ascii="宋体"/>
              </w:rPr>
            </w:pPr>
          </w:p>
        </w:tc>
        <w:tc>
          <w:tcPr>
            <w:tcW w:w="0" w:type="auto"/>
            <w:shd w:val="clear" w:color="auto" w:fill="auto"/>
          </w:tcPr>
          <w:p w14:paraId="33DAE1CB" w14:textId="77777777" w:rsidR="004D6A64" w:rsidRDefault="004D6A64">
            <w:pPr>
              <w:rPr>
                <w:rFonts w:ascii="宋体"/>
              </w:rPr>
            </w:pPr>
          </w:p>
        </w:tc>
        <w:tc>
          <w:tcPr>
            <w:tcW w:w="0" w:type="auto"/>
            <w:shd w:val="clear" w:color="auto" w:fill="auto"/>
          </w:tcPr>
          <w:p w14:paraId="33DAE1CC" w14:textId="77777777" w:rsidR="004D6A64" w:rsidRDefault="004D6A64">
            <w:pPr>
              <w:rPr>
                <w:rFonts w:ascii="宋体"/>
              </w:rPr>
            </w:pPr>
          </w:p>
        </w:tc>
      </w:tr>
      <w:tr w:rsidR="004D6A64" w14:paraId="33DAE1F9" w14:textId="77777777">
        <w:trPr>
          <w:jc w:val="center"/>
        </w:trPr>
        <w:tc>
          <w:tcPr>
            <w:tcW w:w="0" w:type="auto"/>
            <w:gridSpan w:val="3"/>
            <w:shd w:val="clear" w:color="auto" w:fill="FFFFFF"/>
            <w:tcMar>
              <w:top w:w="40" w:type="dxa"/>
              <w:left w:w="225" w:type="dxa"/>
              <w:bottom w:w="40" w:type="dxa"/>
              <w:right w:w="20" w:type="dxa"/>
            </w:tcMar>
            <w:vAlign w:val="center"/>
          </w:tcPr>
          <w:p w14:paraId="33DAE1CE" w14:textId="77777777" w:rsidR="004D6A64" w:rsidRDefault="00506CD6">
            <w:pPr>
              <w:textAlignment w:val="center"/>
            </w:pPr>
            <w:r>
              <w:rPr>
                <w:rFonts w:ascii="Times New Roman" w:eastAsia="宋体" w:hAnsi="Times New Roman"/>
                <w:color w:val="000000"/>
                <w:sz w:val="20"/>
                <w:szCs w:val="20"/>
              </w:rPr>
              <w:t>Stock-based compensation expense</w:t>
            </w:r>
          </w:p>
        </w:tc>
        <w:tc>
          <w:tcPr>
            <w:tcW w:w="0" w:type="auto"/>
            <w:gridSpan w:val="2"/>
            <w:shd w:val="clear" w:color="auto" w:fill="FFFFFF"/>
            <w:tcMar>
              <w:top w:w="40" w:type="dxa"/>
              <w:left w:w="20" w:type="dxa"/>
              <w:bottom w:w="40" w:type="dxa"/>
              <w:right w:w="0" w:type="dxa"/>
            </w:tcMar>
            <w:vAlign w:val="center"/>
          </w:tcPr>
          <w:p w14:paraId="33DAE1CF" w14:textId="77777777" w:rsidR="004D6A64" w:rsidRDefault="00506CD6">
            <w:pPr>
              <w:jc w:val="right"/>
              <w:textAlignment w:val="center"/>
            </w:pPr>
            <w:r>
              <w:rPr>
                <w:rFonts w:ascii="Times New Roman" w:eastAsia="宋体" w:hAnsi="Times New Roman"/>
                <w:color w:val="000000"/>
                <w:sz w:val="20"/>
                <w:szCs w:val="20"/>
              </w:rPr>
              <w:t>50 </w:t>
            </w:r>
          </w:p>
        </w:tc>
        <w:tc>
          <w:tcPr>
            <w:tcW w:w="0" w:type="auto"/>
            <w:shd w:val="clear" w:color="auto" w:fill="FFFFFF"/>
            <w:tcMar>
              <w:top w:w="40" w:type="dxa"/>
              <w:bottom w:w="40" w:type="dxa"/>
              <w:right w:w="20" w:type="dxa"/>
            </w:tcMar>
            <w:vAlign w:val="center"/>
          </w:tcPr>
          <w:p w14:paraId="33DAE1D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1D1"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1D2"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1D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1D4" w14:textId="77777777" w:rsidR="004D6A64" w:rsidRDefault="00506CD6">
            <w:pPr>
              <w:jc w:val="right"/>
              <w:textAlignment w:val="center"/>
            </w:pPr>
            <w:r>
              <w:rPr>
                <w:rFonts w:ascii="Times New Roman" w:eastAsia="宋体" w:hAnsi="Times New Roman"/>
                <w:color w:val="000000"/>
                <w:sz w:val="20"/>
                <w:szCs w:val="20"/>
              </w:rPr>
              <w:t>32 </w:t>
            </w:r>
          </w:p>
        </w:tc>
        <w:tc>
          <w:tcPr>
            <w:tcW w:w="0" w:type="auto"/>
            <w:shd w:val="clear" w:color="auto" w:fill="FFFFFF"/>
            <w:tcMar>
              <w:top w:w="40" w:type="dxa"/>
              <w:bottom w:w="40" w:type="dxa"/>
              <w:right w:w="20" w:type="dxa"/>
            </w:tcMar>
            <w:vAlign w:val="center"/>
          </w:tcPr>
          <w:p w14:paraId="33DAE1D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1D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1D7" w14:textId="77777777" w:rsidR="004D6A64" w:rsidRDefault="00506CD6">
            <w:pPr>
              <w:jc w:val="right"/>
              <w:textAlignment w:val="center"/>
            </w:pPr>
            <w:r>
              <w:rPr>
                <w:rFonts w:ascii="Times New Roman" w:eastAsia="宋体" w:hAnsi="Times New Roman"/>
                <w:color w:val="000000"/>
                <w:sz w:val="20"/>
                <w:szCs w:val="20"/>
              </w:rPr>
              <w:t>90 </w:t>
            </w:r>
          </w:p>
        </w:tc>
        <w:tc>
          <w:tcPr>
            <w:tcW w:w="0" w:type="auto"/>
            <w:shd w:val="clear" w:color="auto" w:fill="FFFFFF"/>
            <w:tcMar>
              <w:top w:w="40" w:type="dxa"/>
              <w:bottom w:w="40" w:type="dxa"/>
              <w:right w:w="20" w:type="dxa"/>
            </w:tcMar>
            <w:vAlign w:val="center"/>
          </w:tcPr>
          <w:p w14:paraId="33DAE1D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1D9"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1DA"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1DB"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1DC" w14:textId="77777777" w:rsidR="004D6A64" w:rsidRDefault="00506CD6">
            <w:pPr>
              <w:jc w:val="right"/>
              <w:textAlignment w:val="center"/>
            </w:pPr>
            <w:r>
              <w:rPr>
                <w:rFonts w:ascii="Times New Roman" w:eastAsia="宋体" w:hAnsi="Times New Roman"/>
                <w:color w:val="000000"/>
                <w:sz w:val="20"/>
                <w:szCs w:val="20"/>
              </w:rPr>
              <w:t>58 </w:t>
            </w:r>
          </w:p>
        </w:tc>
        <w:tc>
          <w:tcPr>
            <w:tcW w:w="0" w:type="auto"/>
            <w:shd w:val="clear" w:color="auto" w:fill="FFFFFF"/>
            <w:tcMar>
              <w:top w:w="40" w:type="dxa"/>
              <w:bottom w:w="40" w:type="dxa"/>
              <w:right w:w="20" w:type="dxa"/>
            </w:tcMar>
            <w:vAlign w:val="center"/>
          </w:tcPr>
          <w:p w14:paraId="33DAE1DD" w14:textId="77777777" w:rsidR="004D6A64" w:rsidRDefault="004D6A64">
            <w:pPr>
              <w:jc w:val="right"/>
              <w:rPr>
                <w:rFonts w:ascii="宋体"/>
              </w:rPr>
            </w:pPr>
          </w:p>
        </w:tc>
        <w:tc>
          <w:tcPr>
            <w:tcW w:w="0" w:type="auto"/>
            <w:shd w:val="clear" w:color="auto" w:fill="auto"/>
          </w:tcPr>
          <w:p w14:paraId="33DAE1DE" w14:textId="77777777" w:rsidR="004D6A64" w:rsidRDefault="004D6A64">
            <w:pPr>
              <w:rPr>
                <w:rFonts w:ascii="宋体"/>
              </w:rPr>
            </w:pPr>
          </w:p>
        </w:tc>
        <w:tc>
          <w:tcPr>
            <w:tcW w:w="0" w:type="auto"/>
            <w:shd w:val="clear" w:color="auto" w:fill="auto"/>
          </w:tcPr>
          <w:p w14:paraId="33DAE1DF" w14:textId="77777777" w:rsidR="004D6A64" w:rsidRDefault="004D6A64">
            <w:pPr>
              <w:rPr>
                <w:rFonts w:ascii="宋体"/>
              </w:rPr>
            </w:pPr>
          </w:p>
        </w:tc>
        <w:tc>
          <w:tcPr>
            <w:tcW w:w="0" w:type="auto"/>
            <w:shd w:val="clear" w:color="auto" w:fill="auto"/>
          </w:tcPr>
          <w:p w14:paraId="33DAE1E0" w14:textId="77777777" w:rsidR="004D6A64" w:rsidRDefault="004D6A64">
            <w:pPr>
              <w:rPr>
                <w:rFonts w:ascii="宋体"/>
              </w:rPr>
            </w:pPr>
          </w:p>
        </w:tc>
        <w:tc>
          <w:tcPr>
            <w:tcW w:w="0" w:type="auto"/>
            <w:shd w:val="clear" w:color="auto" w:fill="auto"/>
          </w:tcPr>
          <w:p w14:paraId="33DAE1E1" w14:textId="77777777" w:rsidR="004D6A64" w:rsidRDefault="004D6A64">
            <w:pPr>
              <w:rPr>
                <w:rFonts w:ascii="宋体"/>
              </w:rPr>
            </w:pPr>
          </w:p>
        </w:tc>
        <w:tc>
          <w:tcPr>
            <w:tcW w:w="0" w:type="auto"/>
            <w:shd w:val="clear" w:color="auto" w:fill="auto"/>
          </w:tcPr>
          <w:p w14:paraId="33DAE1E2" w14:textId="77777777" w:rsidR="004D6A64" w:rsidRDefault="004D6A64">
            <w:pPr>
              <w:rPr>
                <w:rFonts w:ascii="宋体"/>
              </w:rPr>
            </w:pPr>
          </w:p>
        </w:tc>
        <w:tc>
          <w:tcPr>
            <w:tcW w:w="0" w:type="auto"/>
            <w:shd w:val="clear" w:color="auto" w:fill="auto"/>
          </w:tcPr>
          <w:p w14:paraId="33DAE1E3" w14:textId="77777777" w:rsidR="004D6A64" w:rsidRDefault="004D6A64">
            <w:pPr>
              <w:rPr>
                <w:rFonts w:ascii="宋体"/>
              </w:rPr>
            </w:pPr>
          </w:p>
        </w:tc>
        <w:tc>
          <w:tcPr>
            <w:tcW w:w="0" w:type="auto"/>
            <w:shd w:val="clear" w:color="auto" w:fill="auto"/>
          </w:tcPr>
          <w:p w14:paraId="33DAE1E4" w14:textId="77777777" w:rsidR="004D6A64" w:rsidRDefault="004D6A64">
            <w:pPr>
              <w:rPr>
                <w:rFonts w:ascii="宋体"/>
              </w:rPr>
            </w:pPr>
          </w:p>
        </w:tc>
        <w:tc>
          <w:tcPr>
            <w:tcW w:w="0" w:type="auto"/>
            <w:shd w:val="clear" w:color="auto" w:fill="auto"/>
          </w:tcPr>
          <w:p w14:paraId="33DAE1E5" w14:textId="77777777" w:rsidR="004D6A64" w:rsidRDefault="004D6A64">
            <w:pPr>
              <w:rPr>
                <w:rFonts w:ascii="宋体"/>
              </w:rPr>
            </w:pPr>
          </w:p>
        </w:tc>
        <w:tc>
          <w:tcPr>
            <w:tcW w:w="0" w:type="auto"/>
            <w:shd w:val="clear" w:color="auto" w:fill="auto"/>
          </w:tcPr>
          <w:p w14:paraId="33DAE1E6" w14:textId="77777777" w:rsidR="004D6A64" w:rsidRDefault="004D6A64">
            <w:pPr>
              <w:rPr>
                <w:rFonts w:ascii="宋体"/>
              </w:rPr>
            </w:pPr>
          </w:p>
        </w:tc>
        <w:tc>
          <w:tcPr>
            <w:tcW w:w="0" w:type="auto"/>
            <w:shd w:val="clear" w:color="auto" w:fill="auto"/>
          </w:tcPr>
          <w:p w14:paraId="33DAE1E7" w14:textId="77777777" w:rsidR="004D6A64" w:rsidRDefault="004D6A64">
            <w:pPr>
              <w:rPr>
                <w:rFonts w:ascii="宋体"/>
              </w:rPr>
            </w:pPr>
          </w:p>
        </w:tc>
        <w:tc>
          <w:tcPr>
            <w:tcW w:w="0" w:type="auto"/>
            <w:shd w:val="clear" w:color="auto" w:fill="auto"/>
          </w:tcPr>
          <w:p w14:paraId="33DAE1E8" w14:textId="77777777" w:rsidR="004D6A64" w:rsidRDefault="004D6A64">
            <w:pPr>
              <w:rPr>
                <w:rFonts w:ascii="宋体"/>
              </w:rPr>
            </w:pPr>
          </w:p>
        </w:tc>
        <w:tc>
          <w:tcPr>
            <w:tcW w:w="0" w:type="auto"/>
            <w:shd w:val="clear" w:color="auto" w:fill="auto"/>
          </w:tcPr>
          <w:p w14:paraId="33DAE1E9" w14:textId="77777777" w:rsidR="004D6A64" w:rsidRDefault="004D6A64">
            <w:pPr>
              <w:rPr>
                <w:rFonts w:ascii="宋体"/>
              </w:rPr>
            </w:pPr>
          </w:p>
        </w:tc>
        <w:tc>
          <w:tcPr>
            <w:tcW w:w="0" w:type="auto"/>
            <w:shd w:val="clear" w:color="auto" w:fill="auto"/>
          </w:tcPr>
          <w:p w14:paraId="33DAE1EA" w14:textId="77777777" w:rsidR="004D6A64" w:rsidRDefault="004D6A64">
            <w:pPr>
              <w:rPr>
                <w:rFonts w:ascii="宋体"/>
              </w:rPr>
            </w:pPr>
          </w:p>
        </w:tc>
        <w:tc>
          <w:tcPr>
            <w:tcW w:w="0" w:type="auto"/>
            <w:shd w:val="clear" w:color="auto" w:fill="auto"/>
          </w:tcPr>
          <w:p w14:paraId="33DAE1EB" w14:textId="77777777" w:rsidR="004D6A64" w:rsidRDefault="004D6A64">
            <w:pPr>
              <w:rPr>
                <w:rFonts w:ascii="宋体"/>
              </w:rPr>
            </w:pPr>
          </w:p>
        </w:tc>
        <w:tc>
          <w:tcPr>
            <w:tcW w:w="0" w:type="auto"/>
            <w:shd w:val="clear" w:color="auto" w:fill="auto"/>
          </w:tcPr>
          <w:p w14:paraId="33DAE1EC" w14:textId="77777777" w:rsidR="004D6A64" w:rsidRDefault="004D6A64">
            <w:pPr>
              <w:rPr>
                <w:rFonts w:ascii="宋体"/>
              </w:rPr>
            </w:pPr>
          </w:p>
        </w:tc>
        <w:tc>
          <w:tcPr>
            <w:tcW w:w="0" w:type="auto"/>
            <w:shd w:val="clear" w:color="auto" w:fill="auto"/>
          </w:tcPr>
          <w:p w14:paraId="33DAE1ED" w14:textId="77777777" w:rsidR="004D6A64" w:rsidRDefault="004D6A64">
            <w:pPr>
              <w:rPr>
                <w:rFonts w:ascii="宋体"/>
              </w:rPr>
            </w:pPr>
          </w:p>
        </w:tc>
        <w:tc>
          <w:tcPr>
            <w:tcW w:w="0" w:type="auto"/>
            <w:shd w:val="clear" w:color="auto" w:fill="auto"/>
          </w:tcPr>
          <w:p w14:paraId="33DAE1EE" w14:textId="77777777" w:rsidR="004D6A64" w:rsidRDefault="004D6A64">
            <w:pPr>
              <w:rPr>
                <w:rFonts w:ascii="宋体"/>
              </w:rPr>
            </w:pPr>
          </w:p>
        </w:tc>
        <w:tc>
          <w:tcPr>
            <w:tcW w:w="0" w:type="auto"/>
            <w:shd w:val="clear" w:color="auto" w:fill="auto"/>
          </w:tcPr>
          <w:p w14:paraId="33DAE1EF" w14:textId="77777777" w:rsidR="004D6A64" w:rsidRDefault="004D6A64">
            <w:pPr>
              <w:rPr>
                <w:rFonts w:ascii="宋体"/>
              </w:rPr>
            </w:pPr>
          </w:p>
        </w:tc>
        <w:tc>
          <w:tcPr>
            <w:tcW w:w="0" w:type="auto"/>
            <w:shd w:val="clear" w:color="auto" w:fill="auto"/>
          </w:tcPr>
          <w:p w14:paraId="33DAE1F0" w14:textId="77777777" w:rsidR="004D6A64" w:rsidRDefault="004D6A64">
            <w:pPr>
              <w:rPr>
                <w:rFonts w:ascii="宋体"/>
              </w:rPr>
            </w:pPr>
          </w:p>
        </w:tc>
        <w:tc>
          <w:tcPr>
            <w:tcW w:w="0" w:type="auto"/>
            <w:shd w:val="clear" w:color="auto" w:fill="auto"/>
          </w:tcPr>
          <w:p w14:paraId="33DAE1F1" w14:textId="77777777" w:rsidR="004D6A64" w:rsidRDefault="004D6A64">
            <w:pPr>
              <w:rPr>
                <w:rFonts w:ascii="宋体"/>
              </w:rPr>
            </w:pPr>
          </w:p>
        </w:tc>
        <w:tc>
          <w:tcPr>
            <w:tcW w:w="0" w:type="auto"/>
            <w:shd w:val="clear" w:color="auto" w:fill="auto"/>
          </w:tcPr>
          <w:p w14:paraId="33DAE1F2" w14:textId="77777777" w:rsidR="004D6A64" w:rsidRDefault="004D6A64">
            <w:pPr>
              <w:rPr>
                <w:rFonts w:ascii="宋体"/>
              </w:rPr>
            </w:pPr>
          </w:p>
        </w:tc>
        <w:tc>
          <w:tcPr>
            <w:tcW w:w="0" w:type="auto"/>
            <w:shd w:val="clear" w:color="auto" w:fill="auto"/>
          </w:tcPr>
          <w:p w14:paraId="33DAE1F3" w14:textId="77777777" w:rsidR="004D6A64" w:rsidRDefault="004D6A64">
            <w:pPr>
              <w:rPr>
                <w:rFonts w:ascii="宋体"/>
              </w:rPr>
            </w:pPr>
          </w:p>
        </w:tc>
        <w:tc>
          <w:tcPr>
            <w:tcW w:w="0" w:type="auto"/>
            <w:shd w:val="clear" w:color="auto" w:fill="auto"/>
          </w:tcPr>
          <w:p w14:paraId="33DAE1F4" w14:textId="77777777" w:rsidR="004D6A64" w:rsidRDefault="004D6A64">
            <w:pPr>
              <w:rPr>
                <w:rFonts w:ascii="宋体"/>
              </w:rPr>
            </w:pPr>
          </w:p>
        </w:tc>
        <w:tc>
          <w:tcPr>
            <w:tcW w:w="0" w:type="auto"/>
            <w:shd w:val="clear" w:color="auto" w:fill="auto"/>
          </w:tcPr>
          <w:p w14:paraId="33DAE1F5" w14:textId="77777777" w:rsidR="004D6A64" w:rsidRDefault="004D6A64">
            <w:pPr>
              <w:rPr>
                <w:rFonts w:ascii="宋体"/>
              </w:rPr>
            </w:pPr>
          </w:p>
        </w:tc>
        <w:tc>
          <w:tcPr>
            <w:tcW w:w="0" w:type="auto"/>
            <w:shd w:val="clear" w:color="auto" w:fill="auto"/>
          </w:tcPr>
          <w:p w14:paraId="33DAE1F6" w14:textId="77777777" w:rsidR="004D6A64" w:rsidRDefault="004D6A64">
            <w:pPr>
              <w:rPr>
                <w:rFonts w:ascii="宋体"/>
              </w:rPr>
            </w:pPr>
          </w:p>
        </w:tc>
        <w:tc>
          <w:tcPr>
            <w:tcW w:w="0" w:type="auto"/>
            <w:shd w:val="clear" w:color="auto" w:fill="auto"/>
          </w:tcPr>
          <w:p w14:paraId="33DAE1F7" w14:textId="77777777" w:rsidR="004D6A64" w:rsidRDefault="004D6A64">
            <w:pPr>
              <w:rPr>
                <w:rFonts w:ascii="宋体"/>
              </w:rPr>
            </w:pPr>
          </w:p>
        </w:tc>
        <w:tc>
          <w:tcPr>
            <w:tcW w:w="0" w:type="auto"/>
            <w:shd w:val="clear" w:color="auto" w:fill="auto"/>
          </w:tcPr>
          <w:p w14:paraId="33DAE1F8" w14:textId="77777777" w:rsidR="004D6A64" w:rsidRDefault="004D6A64">
            <w:pPr>
              <w:rPr>
                <w:rFonts w:ascii="宋体"/>
              </w:rPr>
            </w:pPr>
          </w:p>
        </w:tc>
      </w:tr>
      <w:tr w:rsidR="004D6A64" w14:paraId="33DAE225" w14:textId="77777777">
        <w:trPr>
          <w:jc w:val="center"/>
        </w:trPr>
        <w:tc>
          <w:tcPr>
            <w:tcW w:w="0" w:type="auto"/>
            <w:gridSpan w:val="3"/>
            <w:shd w:val="clear" w:color="auto" w:fill="CCEEFF"/>
            <w:tcMar>
              <w:top w:w="40" w:type="dxa"/>
              <w:left w:w="225" w:type="dxa"/>
              <w:bottom w:w="40" w:type="dxa"/>
              <w:right w:w="20" w:type="dxa"/>
            </w:tcMar>
            <w:vAlign w:val="center"/>
          </w:tcPr>
          <w:p w14:paraId="33DAE1FA" w14:textId="77777777" w:rsidR="004D6A64" w:rsidRDefault="00506CD6">
            <w:pPr>
              <w:textAlignment w:val="center"/>
            </w:pPr>
            <w:r>
              <w:rPr>
                <w:rFonts w:ascii="Times New Roman" w:eastAsia="宋体" w:hAnsi="Times New Roman"/>
                <w:color w:val="000000"/>
                <w:sz w:val="20"/>
                <w:szCs w:val="20"/>
              </w:rPr>
              <w:t>Other corporate expenses</w:t>
            </w:r>
          </w:p>
        </w:tc>
        <w:tc>
          <w:tcPr>
            <w:tcW w:w="0" w:type="auto"/>
            <w:gridSpan w:val="2"/>
            <w:shd w:val="clear" w:color="auto" w:fill="CCEEFF"/>
            <w:tcMar>
              <w:top w:w="40" w:type="dxa"/>
              <w:left w:w="20" w:type="dxa"/>
              <w:bottom w:w="40" w:type="dxa"/>
              <w:right w:w="0" w:type="dxa"/>
            </w:tcMar>
            <w:vAlign w:val="center"/>
          </w:tcPr>
          <w:p w14:paraId="33DAE1FB" w14:textId="77777777" w:rsidR="004D6A64" w:rsidRDefault="00506CD6">
            <w:pPr>
              <w:jc w:val="right"/>
              <w:textAlignment w:val="center"/>
            </w:pPr>
            <w:r>
              <w:rPr>
                <w:rFonts w:ascii="Times New Roman" w:eastAsia="宋体" w:hAnsi="Times New Roman"/>
                <w:color w:val="000000"/>
                <w:sz w:val="20"/>
                <w:szCs w:val="20"/>
              </w:rPr>
              <w:t>2 </w:t>
            </w:r>
          </w:p>
        </w:tc>
        <w:tc>
          <w:tcPr>
            <w:tcW w:w="0" w:type="auto"/>
            <w:shd w:val="clear" w:color="auto" w:fill="CCEEFF"/>
            <w:tcMar>
              <w:top w:w="40" w:type="dxa"/>
              <w:bottom w:w="40" w:type="dxa"/>
              <w:right w:w="20" w:type="dxa"/>
            </w:tcMar>
            <w:vAlign w:val="center"/>
          </w:tcPr>
          <w:p w14:paraId="33DAE1F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1F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1FE"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1F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200" w14:textId="77777777" w:rsidR="004D6A64" w:rsidRDefault="00506CD6">
            <w:pPr>
              <w:jc w:val="right"/>
              <w:textAlignment w:val="center"/>
            </w:pPr>
            <w:r>
              <w:rPr>
                <w:rFonts w:ascii="Times New Roman" w:eastAsia="宋体" w:hAnsi="Times New Roman"/>
                <w:color w:val="000000"/>
                <w:sz w:val="20"/>
                <w:szCs w:val="20"/>
              </w:rPr>
              <w:t>24 </w:t>
            </w:r>
          </w:p>
        </w:tc>
        <w:tc>
          <w:tcPr>
            <w:tcW w:w="0" w:type="auto"/>
            <w:shd w:val="clear" w:color="auto" w:fill="CCEEFF"/>
            <w:tcMar>
              <w:top w:w="40" w:type="dxa"/>
              <w:bottom w:w="40" w:type="dxa"/>
              <w:right w:w="20" w:type="dxa"/>
            </w:tcMar>
            <w:vAlign w:val="center"/>
          </w:tcPr>
          <w:p w14:paraId="33DAE20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20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203" w14:textId="77777777" w:rsidR="004D6A64" w:rsidRDefault="00506CD6">
            <w:pPr>
              <w:jc w:val="right"/>
              <w:textAlignment w:val="center"/>
            </w:pPr>
            <w:r>
              <w:rPr>
                <w:rFonts w:ascii="Times New Roman" w:eastAsia="宋体" w:hAnsi="Times New Roman"/>
                <w:color w:val="000000"/>
                <w:sz w:val="20"/>
                <w:szCs w:val="20"/>
              </w:rPr>
              <w:t>11 </w:t>
            </w:r>
          </w:p>
        </w:tc>
        <w:tc>
          <w:tcPr>
            <w:tcW w:w="0" w:type="auto"/>
            <w:shd w:val="clear" w:color="auto" w:fill="CCEEFF"/>
            <w:tcMar>
              <w:top w:w="40" w:type="dxa"/>
              <w:bottom w:w="40" w:type="dxa"/>
              <w:right w:w="20" w:type="dxa"/>
            </w:tcMar>
            <w:vAlign w:val="center"/>
          </w:tcPr>
          <w:p w14:paraId="33DAE20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20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206"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207"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208" w14:textId="77777777" w:rsidR="004D6A64" w:rsidRDefault="00506CD6">
            <w:pPr>
              <w:jc w:val="right"/>
              <w:textAlignment w:val="center"/>
            </w:pPr>
            <w:r>
              <w:rPr>
                <w:rFonts w:ascii="Times New Roman" w:eastAsia="宋体" w:hAnsi="Times New Roman"/>
                <w:color w:val="000000"/>
                <w:sz w:val="20"/>
                <w:szCs w:val="20"/>
              </w:rPr>
              <w:t>37 </w:t>
            </w:r>
          </w:p>
        </w:tc>
        <w:tc>
          <w:tcPr>
            <w:tcW w:w="0" w:type="auto"/>
            <w:shd w:val="clear" w:color="auto" w:fill="CCEEFF"/>
            <w:tcMar>
              <w:top w:w="40" w:type="dxa"/>
              <w:bottom w:w="40" w:type="dxa"/>
              <w:right w:w="20" w:type="dxa"/>
            </w:tcMar>
            <w:vAlign w:val="center"/>
          </w:tcPr>
          <w:p w14:paraId="33DAE209" w14:textId="77777777" w:rsidR="004D6A64" w:rsidRDefault="004D6A64">
            <w:pPr>
              <w:jc w:val="right"/>
              <w:rPr>
                <w:rFonts w:ascii="宋体"/>
              </w:rPr>
            </w:pPr>
          </w:p>
        </w:tc>
        <w:tc>
          <w:tcPr>
            <w:tcW w:w="0" w:type="auto"/>
            <w:shd w:val="clear" w:color="auto" w:fill="auto"/>
          </w:tcPr>
          <w:p w14:paraId="33DAE20A" w14:textId="77777777" w:rsidR="004D6A64" w:rsidRDefault="004D6A64">
            <w:pPr>
              <w:rPr>
                <w:rFonts w:ascii="宋体"/>
              </w:rPr>
            </w:pPr>
          </w:p>
        </w:tc>
        <w:tc>
          <w:tcPr>
            <w:tcW w:w="0" w:type="auto"/>
            <w:shd w:val="clear" w:color="auto" w:fill="auto"/>
          </w:tcPr>
          <w:p w14:paraId="33DAE20B" w14:textId="77777777" w:rsidR="004D6A64" w:rsidRDefault="004D6A64">
            <w:pPr>
              <w:rPr>
                <w:rFonts w:ascii="宋体"/>
              </w:rPr>
            </w:pPr>
          </w:p>
        </w:tc>
        <w:tc>
          <w:tcPr>
            <w:tcW w:w="0" w:type="auto"/>
            <w:shd w:val="clear" w:color="auto" w:fill="auto"/>
          </w:tcPr>
          <w:p w14:paraId="33DAE20C" w14:textId="77777777" w:rsidR="004D6A64" w:rsidRDefault="004D6A64">
            <w:pPr>
              <w:rPr>
                <w:rFonts w:ascii="宋体"/>
              </w:rPr>
            </w:pPr>
          </w:p>
        </w:tc>
        <w:tc>
          <w:tcPr>
            <w:tcW w:w="0" w:type="auto"/>
            <w:shd w:val="clear" w:color="auto" w:fill="auto"/>
          </w:tcPr>
          <w:p w14:paraId="33DAE20D" w14:textId="77777777" w:rsidR="004D6A64" w:rsidRDefault="004D6A64">
            <w:pPr>
              <w:rPr>
                <w:rFonts w:ascii="宋体"/>
              </w:rPr>
            </w:pPr>
          </w:p>
        </w:tc>
        <w:tc>
          <w:tcPr>
            <w:tcW w:w="0" w:type="auto"/>
            <w:shd w:val="clear" w:color="auto" w:fill="auto"/>
          </w:tcPr>
          <w:p w14:paraId="33DAE20E" w14:textId="77777777" w:rsidR="004D6A64" w:rsidRDefault="004D6A64">
            <w:pPr>
              <w:rPr>
                <w:rFonts w:ascii="宋体"/>
              </w:rPr>
            </w:pPr>
          </w:p>
        </w:tc>
        <w:tc>
          <w:tcPr>
            <w:tcW w:w="0" w:type="auto"/>
            <w:shd w:val="clear" w:color="auto" w:fill="auto"/>
          </w:tcPr>
          <w:p w14:paraId="33DAE20F" w14:textId="77777777" w:rsidR="004D6A64" w:rsidRDefault="004D6A64">
            <w:pPr>
              <w:rPr>
                <w:rFonts w:ascii="宋体"/>
              </w:rPr>
            </w:pPr>
          </w:p>
        </w:tc>
        <w:tc>
          <w:tcPr>
            <w:tcW w:w="0" w:type="auto"/>
            <w:shd w:val="clear" w:color="auto" w:fill="auto"/>
          </w:tcPr>
          <w:p w14:paraId="33DAE210" w14:textId="77777777" w:rsidR="004D6A64" w:rsidRDefault="004D6A64">
            <w:pPr>
              <w:rPr>
                <w:rFonts w:ascii="宋体"/>
              </w:rPr>
            </w:pPr>
          </w:p>
        </w:tc>
        <w:tc>
          <w:tcPr>
            <w:tcW w:w="0" w:type="auto"/>
            <w:shd w:val="clear" w:color="auto" w:fill="auto"/>
          </w:tcPr>
          <w:p w14:paraId="33DAE211" w14:textId="77777777" w:rsidR="004D6A64" w:rsidRDefault="004D6A64">
            <w:pPr>
              <w:rPr>
                <w:rFonts w:ascii="宋体"/>
              </w:rPr>
            </w:pPr>
          </w:p>
        </w:tc>
        <w:tc>
          <w:tcPr>
            <w:tcW w:w="0" w:type="auto"/>
            <w:shd w:val="clear" w:color="auto" w:fill="auto"/>
          </w:tcPr>
          <w:p w14:paraId="33DAE212" w14:textId="77777777" w:rsidR="004D6A64" w:rsidRDefault="004D6A64">
            <w:pPr>
              <w:rPr>
                <w:rFonts w:ascii="宋体"/>
              </w:rPr>
            </w:pPr>
          </w:p>
        </w:tc>
        <w:tc>
          <w:tcPr>
            <w:tcW w:w="0" w:type="auto"/>
            <w:shd w:val="clear" w:color="auto" w:fill="auto"/>
          </w:tcPr>
          <w:p w14:paraId="33DAE213" w14:textId="77777777" w:rsidR="004D6A64" w:rsidRDefault="004D6A64">
            <w:pPr>
              <w:rPr>
                <w:rFonts w:ascii="宋体"/>
              </w:rPr>
            </w:pPr>
          </w:p>
        </w:tc>
        <w:tc>
          <w:tcPr>
            <w:tcW w:w="0" w:type="auto"/>
            <w:shd w:val="clear" w:color="auto" w:fill="auto"/>
          </w:tcPr>
          <w:p w14:paraId="33DAE214" w14:textId="77777777" w:rsidR="004D6A64" w:rsidRDefault="004D6A64">
            <w:pPr>
              <w:rPr>
                <w:rFonts w:ascii="宋体"/>
              </w:rPr>
            </w:pPr>
          </w:p>
        </w:tc>
        <w:tc>
          <w:tcPr>
            <w:tcW w:w="0" w:type="auto"/>
            <w:shd w:val="clear" w:color="auto" w:fill="auto"/>
          </w:tcPr>
          <w:p w14:paraId="33DAE215" w14:textId="77777777" w:rsidR="004D6A64" w:rsidRDefault="004D6A64">
            <w:pPr>
              <w:rPr>
                <w:rFonts w:ascii="宋体"/>
              </w:rPr>
            </w:pPr>
          </w:p>
        </w:tc>
        <w:tc>
          <w:tcPr>
            <w:tcW w:w="0" w:type="auto"/>
            <w:shd w:val="clear" w:color="auto" w:fill="auto"/>
          </w:tcPr>
          <w:p w14:paraId="33DAE216" w14:textId="77777777" w:rsidR="004D6A64" w:rsidRDefault="004D6A64">
            <w:pPr>
              <w:rPr>
                <w:rFonts w:ascii="宋体"/>
              </w:rPr>
            </w:pPr>
          </w:p>
        </w:tc>
        <w:tc>
          <w:tcPr>
            <w:tcW w:w="0" w:type="auto"/>
            <w:shd w:val="clear" w:color="auto" w:fill="auto"/>
          </w:tcPr>
          <w:p w14:paraId="33DAE217" w14:textId="77777777" w:rsidR="004D6A64" w:rsidRDefault="004D6A64">
            <w:pPr>
              <w:rPr>
                <w:rFonts w:ascii="宋体"/>
              </w:rPr>
            </w:pPr>
          </w:p>
        </w:tc>
        <w:tc>
          <w:tcPr>
            <w:tcW w:w="0" w:type="auto"/>
            <w:shd w:val="clear" w:color="auto" w:fill="auto"/>
          </w:tcPr>
          <w:p w14:paraId="33DAE218" w14:textId="77777777" w:rsidR="004D6A64" w:rsidRDefault="004D6A64">
            <w:pPr>
              <w:rPr>
                <w:rFonts w:ascii="宋体"/>
              </w:rPr>
            </w:pPr>
          </w:p>
        </w:tc>
        <w:tc>
          <w:tcPr>
            <w:tcW w:w="0" w:type="auto"/>
            <w:shd w:val="clear" w:color="auto" w:fill="auto"/>
          </w:tcPr>
          <w:p w14:paraId="33DAE219" w14:textId="77777777" w:rsidR="004D6A64" w:rsidRDefault="004D6A64">
            <w:pPr>
              <w:rPr>
                <w:rFonts w:ascii="宋体"/>
              </w:rPr>
            </w:pPr>
          </w:p>
        </w:tc>
        <w:tc>
          <w:tcPr>
            <w:tcW w:w="0" w:type="auto"/>
            <w:shd w:val="clear" w:color="auto" w:fill="auto"/>
          </w:tcPr>
          <w:p w14:paraId="33DAE21A" w14:textId="77777777" w:rsidR="004D6A64" w:rsidRDefault="004D6A64">
            <w:pPr>
              <w:rPr>
                <w:rFonts w:ascii="宋体"/>
              </w:rPr>
            </w:pPr>
          </w:p>
        </w:tc>
        <w:tc>
          <w:tcPr>
            <w:tcW w:w="0" w:type="auto"/>
            <w:shd w:val="clear" w:color="auto" w:fill="auto"/>
          </w:tcPr>
          <w:p w14:paraId="33DAE21B" w14:textId="77777777" w:rsidR="004D6A64" w:rsidRDefault="004D6A64">
            <w:pPr>
              <w:rPr>
                <w:rFonts w:ascii="宋体"/>
              </w:rPr>
            </w:pPr>
          </w:p>
        </w:tc>
        <w:tc>
          <w:tcPr>
            <w:tcW w:w="0" w:type="auto"/>
            <w:shd w:val="clear" w:color="auto" w:fill="auto"/>
          </w:tcPr>
          <w:p w14:paraId="33DAE21C" w14:textId="77777777" w:rsidR="004D6A64" w:rsidRDefault="004D6A64">
            <w:pPr>
              <w:rPr>
                <w:rFonts w:ascii="宋体"/>
              </w:rPr>
            </w:pPr>
          </w:p>
        </w:tc>
        <w:tc>
          <w:tcPr>
            <w:tcW w:w="0" w:type="auto"/>
            <w:shd w:val="clear" w:color="auto" w:fill="auto"/>
          </w:tcPr>
          <w:p w14:paraId="33DAE21D" w14:textId="77777777" w:rsidR="004D6A64" w:rsidRDefault="004D6A64">
            <w:pPr>
              <w:rPr>
                <w:rFonts w:ascii="宋体"/>
              </w:rPr>
            </w:pPr>
          </w:p>
        </w:tc>
        <w:tc>
          <w:tcPr>
            <w:tcW w:w="0" w:type="auto"/>
            <w:shd w:val="clear" w:color="auto" w:fill="auto"/>
          </w:tcPr>
          <w:p w14:paraId="33DAE21E" w14:textId="77777777" w:rsidR="004D6A64" w:rsidRDefault="004D6A64">
            <w:pPr>
              <w:rPr>
                <w:rFonts w:ascii="宋体"/>
              </w:rPr>
            </w:pPr>
          </w:p>
        </w:tc>
        <w:tc>
          <w:tcPr>
            <w:tcW w:w="0" w:type="auto"/>
            <w:shd w:val="clear" w:color="auto" w:fill="auto"/>
          </w:tcPr>
          <w:p w14:paraId="33DAE21F" w14:textId="77777777" w:rsidR="004D6A64" w:rsidRDefault="004D6A64">
            <w:pPr>
              <w:rPr>
                <w:rFonts w:ascii="宋体"/>
              </w:rPr>
            </w:pPr>
          </w:p>
        </w:tc>
        <w:tc>
          <w:tcPr>
            <w:tcW w:w="0" w:type="auto"/>
            <w:shd w:val="clear" w:color="auto" w:fill="auto"/>
          </w:tcPr>
          <w:p w14:paraId="33DAE220" w14:textId="77777777" w:rsidR="004D6A64" w:rsidRDefault="004D6A64">
            <w:pPr>
              <w:rPr>
                <w:rFonts w:ascii="宋体"/>
              </w:rPr>
            </w:pPr>
          </w:p>
        </w:tc>
        <w:tc>
          <w:tcPr>
            <w:tcW w:w="0" w:type="auto"/>
            <w:shd w:val="clear" w:color="auto" w:fill="auto"/>
          </w:tcPr>
          <w:p w14:paraId="33DAE221" w14:textId="77777777" w:rsidR="004D6A64" w:rsidRDefault="004D6A64">
            <w:pPr>
              <w:rPr>
                <w:rFonts w:ascii="宋体"/>
              </w:rPr>
            </w:pPr>
          </w:p>
        </w:tc>
        <w:tc>
          <w:tcPr>
            <w:tcW w:w="0" w:type="auto"/>
            <w:shd w:val="clear" w:color="auto" w:fill="auto"/>
          </w:tcPr>
          <w:p w14:paraId="33DAE222" w14:textId="77777777" w:rsidR="004D6A64" w:rsidRDefault="004D6A64">
            <w:pPr>
              <w:rPr>
                <w:rFonts w:ascii="宋体"/>
              </w:rPr>
            </w:pPr>
          </w:p>
        </w:tc>
        <w:tc>
          <w:tcPr>
            <w:tcW w:w="0" w:type="auto"/>
            <w:shd w:val="clear" w:color="auto" w:fill="auto"/>
          </w:tcPr>
          <w:p w14:paraId="33DAE223" w14:textId="77777777" w:rsidR="004D6A64" w:rsidRDefault="004D6A64">
            <w:pPr>
              <w:rPr>
                <w:rFonts w:ascii="宋体"/>
              </w:rPr>
            </w:pPr>
          </w:p>
        </w:tc>
        <w:tc>
          <w:tcPr>
            <w:tcW w:w="0" w:type="auto"/>
            <w:shd w:val="clear" w:color="auto" w:fill="auto"/>
          </w:tcPr>
          <w:p w14:paraId="33DAE224" w14:textId="77777777" w:rsidR="004D6A64" w:rsidRDefault="004D6A64">
            <w:pPr>
              <w:rPr>
                <w:rFonts w:ascii="宋体"/>
              </w:rPr>
            </w:pPr>
          </w:p>
        </w:tc>
      </w:tr>
      <w:tr w:rsidR="004D6A64" w14:paraId="33DAE257" w14:textId="77777777">
        <w:trPr>
          <w:jc w:val="center"/>
        </w:trPr>
        <w:tc>
          <w:tcPr>
            <w:tcW w:w="0" w:type="auto"/>
            <w:gridSpan w:val="3"/>
            <w:shd w:val="clear" w:color="auto" w:fill="FFFFFF"/>
            <w:tcMar>
              <w:top w:w="40" w:type="dxa"/>
              <w:left w:w="495" w:type="dxa"/>
              <w:bottom w:w="40" w:type="dxa"/>
              <w:right w:w="20" w:type="dxa"/>
            </w:tcMar>
            <w:vAlign w:val="center"/>
          </w:tcPr>
          <w:p w14:paraId="33DAE226" w14:textId="77777777" w:rsidR="004D6A64" w:rsidRDefault="00506CD6">
            <w:pPr>
              <w:textAlignment w:val="center"/>
            </w:pPr>
            <w:r>
              <w:rPr>
                <w:rFonts w:ascii="Times New Roman" w:eastAsia="宋体" w:hAnsi="Times New Roman"/>
                <w:color w:val="000000"/>
                <w:sz w:val="20"/>
                <w:szCs w:val="20"/>
              </w:rPr>
              <w:t>Non-GAAP gross margin</w:t>
            </w:r>
          </w:p>
        </w:tc>
        <w:tc>
          <w:tcPr>
            <w:tcW w:w="0" w:type="auto"/>
            <w:tcBorders>
              <w:top w:val="single" w:sz="8" w:space="0" w:color="000000"/>
            </w:tcBorders>
            <w:shd w:val="clear" w:color="auto" w:fill="FFFFFF"/>
            <w:tcMar>
              <w:top w:w="40" w:type="dxa"/>
              <w:left w:w="20" w:type="dxa"/>
              <w:bottom w:w="40" w:type="dxa"/>
            </w:tcMar>
            <w:vAlign w:val="center"/>
          </w:tcPr>
          <w:p w14:paraId="33DAE227"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E228" w14:textId="77777777" w:rsidR="004D6A64" w:rsidRDefault="00506CD6">
            <w:pPr>
              <w:jc w:val="right"/>
              <w:textAlignment w:val="center"/>
            </w:pPr>
            <w:r>
              <w:rPr>
                <w:rFonts w:ascii="Times New Roman" w:eastAsia="宋体" w:hAnsi="Times New Roman"/>
                <w:color w:val="000000"/>
                <w:sz w:val="20"/>
                <w:szCs w:val="20"/>
              </w:rPr>
              <w:t>7,626 </w:t>
            </w:r>
          </w:p>
        </w:tc>
        <w:tc>
          <w:tcPr>
            <w:tcW w:w="0" w:type="auto"/>
            <w:tcBorders>
              <w:top w:val="single" w:sz="8" w:space="0" w:color="000000"/>
            </w:tcBorders>
            <w:shd w:val="clear" w:color="auto" w:fill="FFFFFF"/>
            <w:tcMar>
              <w:top w:w="40" w:type="dxa"/>
              <w:bottom w:w="40" w:type="dxa"/>
              <w:right w:w="20" w:type="dxa"/>
            </w:tcMar>
            <w:vAlign w:val="center"/>
          </w:tcPr>
          <w:p w14:paraId="33DAE22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22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22B" w14:textId="77777777" w:rsidR="004D6A64" w:rsidRDefault="00506CD6">
            <w:pPr>
              <w:jc w:val="right"/>
              <w:textAlignment w:val="center"/>
            </w:pPr>
            <w:r>
              <w:rPr>
                <w:rFonts w:ascii="Times New Roman" w:eastAsia="宋体" w:hAnsi="Times New Roman"/>
                <w:color w:val="000000"/>
                <w:sz w:val="20"/>
                <w:szCs w:val="20"/>
              </w:rPr>
              <w:t>(5)</w:t>
            </w:r>
          </w:p>
        </w:tc>
        <w:tc>
          <w:tcPr>
            <w:tcW w:w="0" w:type="auto"/>
            <w:shd w:val="clear" w:color="auto" w:fill="FFFFFF"/>
            <w:tcMar>
              <w:top w:w="40" w:type="dxa"/>
              <w:bottom w:w="40" w:type="dxa"/>
              <w:right w:w="20" w:type="dxa"/>
            </w:tcMar>
            <w:vAlign w:val="center"/>
          </w:tcPr>
          <w:p w14:paraId="33DAE22C"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22D"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E22E"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E22F" w14:textId="77777777" w:rsidR="004D6A64" w:rsidRDefault="00506CD6">
            <w:pPr>
              <w:jc w:val="right"/>
              <w:textAlignment w:val="center"/>
            </w:pPr>
            <w:r>
              <w:rPr>
                <w:rFonts w:ascii="Times New Roman" w:eastAsia="宋体" w:hAnsi="Times New Roman"/>
                <w:color w:val="000000"/>
                <w:sz w:val="20"/>
                <w:szCs w:val="20"/>
              </w:rPr>
              <w:t>7,986 </w:t>
            </w:r>
          </w:p>
        </w:tc>
        <w:tc>
          <w:tcPr>
            <w:tcW w:w="0" w:type="auto"/>
            <w:tcBorders>
              <w:top w:val="single" w:sz="8" w:space="0" w:color="000000"/>
            </w:tcBorders>
            <w:shd w:val="clear" w:color="auto" w:fill="FFFFFF"/>
            <w:tcMar>
              <w:top w:w="40" w:type="dxa"/>
              <w:bottom w:w="40" w:type="dxa"/>
              <w:right w:w="20" w:type="dxa"/>
            </w:tcMar>
            <w:vAlign w:val="center"/>
          </w:tcPr>
          <w:p w14:paraId="33DAE23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231"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E232"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E233" w14:textId="77777777" w:rsidR="004D6A64" w:rsidRDefault="00506CD6">
            <w:pPr>
              <w:jc w:val="right"/>
              <w:textAlignment w:val="center"/>
            </w:pPr>
            <w:r>
              <w:rPr>
                <w:rFonts w:ascii="Times New Roman" w:eastAsia="宋体" w:hAnsi="Times New Roman"/>
                <w:color w:val="000000"/>
                <w:sz w:val="20"/>
                <w:szCs w:val="20"/>
              </w:rPr>
              <w:t>14,951 </w:t>
            </w:r>
          </w:p>
        </w:tc>
        <w:tc>
          <w:tcPr>
            <w:tcW w:w="0" w:type="auto"/>
            <w:tcBorders>
              <w:top w:val="single" w:sz="8" w:space="0" w:color="000000"/>
            </w:tcBorders>
            <w:shd w:val="clear" w:color="auto" w:fill="FFFFFF"/>
            <w:tcMar>
              <w:top w:w="40" w:type="dxa"/>
              <w:bottom w:w="40" w:type="dxa"/>
              <w:right w:w="20" w:type="dxa"/>
            </w:tcMar>
            <w:vAlign w:val="center"/>
          </w:tcPr>
          <w:p w14:paraId="33DAE23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235"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236" w14:textId="77777777" w:rsidR="004D6A64" w:rsidRDefault="00506CD6">
            <w:pPr>
              <w:jc w:val="right"/>
              <w:textAlignment w:val="center"/>
            </w:pPr>
            <w:r>
              <w:rPr>
                <w:rFonts w:ascii="Times New Roman" w:eastAsia="宋体" w:hAnsi="Times New Roman"/>
                <w:color w:val="000000"/>
                <w:sz w:val="20"/>
                <w:szCs w:val="20"/>
              </w:rPr>
              <w:t>(3)</w:t>
            </w:r>
          </w:p>
        </w:tc>
        <w:tc>
          <w:tcPr>
            <w:tcW w:w="0" w:type="auto"/>
            <w:shd w:val="clear" w:color="auto" w:fill="FFFFFF"/>
            <w:tcMar>
              <w:top w:w="40" w:type="dxa"/>
              <w:bottom w:w="40" w:type="dxa"/>
              <w:right w:w="20" w:type="dxa"/>
            </w:tcMar>
            <w:vAlign w:val="center"/>
          </w:tcPr>
          <w:p w14:paraId="33DAE237"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238"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E239"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E23A" w14:textId="77777777" w:rsidR="004D6A64" w:rsidRDefault="00506CD6">
            <w:pPr>
              <w:jc w:val="right"/>
              <w:textAlignment w:val="center"/>
            </w:pPr>
            <w:r>
              <w:rPr>
                <w:rFonts w:ascii="Times New Roman" w:eastAsia="宋体" w:hAnsi="Times New Roman"/>
                <w:color w:val="000000"/>
                <w:sz w:val="20"/>
                <w:szCs w:val="20"/>
              </w:rPr>
              <w:t>15,420 </w:t>
            </w:r>
          </w:p>
        </w:tc>
        <w:tc>
          <w:tcPr>
            <w:tcW w:w="0" w:type="auto"/>
            <w:tcBorders>
              <w:top w:val="single" w:sz="8" w:space="0" w:color="000000"/>
            </w:tcBorders>
            <w:shd w:val="clear" w:color="auto" w:fill="FFFFFF"/>
            <w:tcMar>
              <w:top w:w="40" w:type="dxa"/>
              <w:bottom w:w="40" w:type="dxa"/>
              <w:right w:w="20" w:type="dxa"/>
            </w:tcMar>
            <w:vAlign w:val="center"/>
          </w:tcPr>
          <w:p w14:paraId="33DAE23B" w14:textId="77777777" w:rsidR="004D6A64" w:rsidRDefault="004D6A64">
            <w:pPr>
              <w:jc w:val="right"/>
              <w:rPr>
                <w:rFonts w:ascii="宋体"/>
              </w:rPr>
            </w:pPr>
          </w:p>
        </w:tc>
        <w:tc>
          <w:tcPr>
            <w:tcW w:w="0" w:type="auto"/>
            <w:shd w:val="clear" w:color="auto" w:fill="auto"/>
          </w:tcPr>
          <w:p w14:paraId="33DAE23C" w14:textId="77777777" w:rsidR="004D6A64" w:rsidRDefault="004D6A64">
            <w:pPr>
              <w:rPr>
                <w:rFonts w:ascii="宋体"/>
              </w:rPr>
            </w:pPr>
          </w:p>
        </w:tc>
        <w:tc>
          <w:tcPr>
            <w:tcW w:w="0" w:type="auto"/>
            <w:shd w:val="clear" w:color="auto" w:fill="auto"/>
          </w:tcPr>
          <w:p w14:paraId="33DAE23D" w14:textId="77777777" w:rsidR="004D6A64" w:rsidRDefault="004D6A64">
            <w:pPr>
              <w:rPr>
                <w:rFonts w:ascii="宋体"/>
              </w:rPr>
            </w:pPr>
          </w:p>
        </w:tc>
        <w:tc>
          <w:tcPr>
            <w:tcW w:w="0" w:type="auto"/>
            <w:shd w:val="clear" w:color="auto" w:fill="auto"/>
          </w:tcPr>
          <w:p w14:paraId="33DAE23E" w14:textId="77777777" w:rsidR="004D6A64" w:rsidRDefault="004D6A64">
            <w:pPr>
              <w:rPr>
                <w:rFonts w:ascii="宋体"/>
              </w:rPr>
            </w:pPr>
          </w:p>
        </w:tc>
        <w:tc>
          <w:tcPr>
            <w:tcW w:w="0" w:type="auto"/>
            <w:shd w:val="clear" w:color="auto" w:fill="auto"/>
          </w:tcPr>
          <w:p w14:paraId="33DAE23F" w14:textId="77777777" w:rsidR="004D6A64" w:rsidRDefault="004D6A64">
            <w:pPr>
              <w:rPr>
                <w:rFonts w:ascii="宋体"/>
              </w:rPr>
            </w:pPr>
          </w:p>
        </w:tc>
        <w:tc>
          <w:tcPr>
            <w:tcW w:w="0" w:type="auto"/>
            <w:shd w:val="clear" w:color="auto" w:fill="auto"/>
          </w:tcPr>
          <w:p w14:paraId="33DAE240" w14:textId="77777777" w:rsidR="004D6A64" w:rsidRDefault="004D6A64">
            <w:pPr>
              <w:rPr>
                <w:rFonts w:ascii="宋体"/>
              </w:rPr>
            </w:pPr>
          </w:p>
        </w:tc>
        <w:tc>
          <w:tcPr>
            <w:tcW w:w="0" w:type="auto"/>
            <w:shd w:val="clear" w:color="auto" w:fill="auto"/>
          </w:tcPr>
          <w:p w14:paraId="33DAE241" w14:textId="77777777" w:rsidR="004D6A64" w:rsidRDefault="004D6A64">
            <w:pPr>
              <w:rPr>
                <w:rFonts w:ascii="宋体"/>
              </w:rPr>
            </w:pPr>
          </w:p>
        </w:tc>
        <w:tc>
          <w:tcPr>
            <w:tcW w:w="0" w:type="auto"/>
            <w:shd w:val="clear" w:color="auto" w:fill="auto"/>
          </w:tcPr>
          <w:p w14:paraId="33DAE242" w14:textId="77777777" w:rsidR="004D6A64" w:rsidRDefault="004D6A64">
            <w:pPr>
              <w:rPr>
                <w:rFonts w:ascii="宋体"/>
              </w:rPr>
            </w:pPr>
          </w:p>
        </w:tc>
        <w:tc>
          <w:tcPr>
            <w:tcW w:w="0" w:type="auto"/>
            <w:shd w:val="clear" w:color="auto" w:fill="auto"/>
          </w:tcPr>
          <w:p w14:paraId="33DAE243" w14:textId="77777777" w:rsidR="004D6A64" w:rsidRDefault="004D6A64">
            <w:pPr>
              <w:rPr>
                <w:rFonts w:ascii="宋体"/>
              </w:rPr>
            </w:pPr>
          </w:p>
        </w:tc>
        <w:tc>
          <w:tcPr>
            <w:tcW w:w="0" w:type="auto"/>
            <w:shd w:val="clear" w:color="auto" w:fill="auto"/>
          </w:tcPr>
          <w:p w14:paraId="33DAE244" w14:textId="77777777" w:rsidR="004D6A64" w:rsidRDefault="004D6A64">
            <w:pPr>
              <w:rPr>
                <w:rFonts w:ascii="宋体"/>
              </w:rPr>
            </w:pPr>
          </w:p>
        </w:tc>
        <w:tc>
          <w:tcPr>
            <w:tcW w:w="0" w:type="auto"/>
            <w:shd w:val="clear" w:color="auto" w:fill="auto"/>
          </w:tcPr>
          <w:p w14:paraId="33DAE245" w14:textId="77777777" w:rsidR="004D6A64" w:rsidRDefault="004D6A64">
            <w:pPr>
              <w:rPr>
                <w:rFonts w:ascii="宋体"/>
              </w:rPr>
            </w:pPr>
          </w:p>
        </w:tc>
        <w:tc>
          <w:tcPr>
            <w:tcW w:w="0" w:type="auto"/>
            <w:shd w:val="clear" w:color="auto" w:fill="auto"/>
          </w:tcPr>
          <w:p w14:paraId="33DAE246" w14:textId="77777777" w:rsidR="004D6A64" w:rsidRDefault="004D6A64">
            <w:pPr>
              <w:rPr>
                <w:rFonts w:ascii="宋体"/>
              </w:rPr>
            </w:pPr>
          </w:p>
        </w:tc>
        <w:tc>
          <w:tcPr>
            <w:tcW w:w="0" w:type="auto"/>
            <w:shd w:val="clear" w:color="auto" w:fill="auto"/>
          </w:tcPr>
          <w:p w14:paraId="33DAE247" w14:textId="77777777" w:rsidR="004D6A64" w:rsidRDefault="004D6A64">
            <w:pPr>
              <w:rPr>
                <w:rFonts w:ascii="宋体"/>
              </w:rPr>
            </w:pPr>
          </w:p>
        </w:tc>
        <w:tc>
          <w:tcPr>
            <w:tcW w:w="0" w:type="auto"/>
            <w:shd w:val="clear" w:color="auto" w:fill="auto"/>
          </w:tcPr>
          <w:p w14:paraId="33DAE248" w14:textId="77777777" w:rsidR="004D6A64" w:rsidRDefault="004D6A64">
            <w:pPr>
              <w:rPr>
                <w:rFonts w:ascii="宋体"/>
              </w:rPr>
            </w:pPr>
          </w:p>
        </w:tc>
        <w:tc>
          <w:tcPr>
            <w:tcW w:w="0" w:type="auto"/>
            <w:shd w:val="clear" w:color="auto" w:fill="auto"/>
          </w:tcPr>
          <w:p w14:paraId="33DAE249" w14:textId="77777777" w:rsidR="004D6A64" w:rsidRDefault="004D6A64">
            <w:pPr>
              <w:rPr>
                <w:rFonts w:ascii="宋体"/>
              </w:rPr>
            </w:pPr>
          </w:p>
        </w:tc>
        <w:tc>
          <w:tcPr>
            <w:tcW w:w="0" w:type="auto"/>
            <w:shd w:val="clear" w:color="auto" w:fill="auto"/>
          </w:tcPr>
          <w:p w14:paraId="33DAE24A" w14:textId="77777777" w:rsidR="004D6A64" w:rsidRDefault="004D6A64">
            <w:pPr>
              <w:rPr>
                <w:rFonts w:ascii="宋体"/>
              </w:rPr>
            </w:pPr>
          </w:p>
        </w:tc>
        <w:tc>
          <w:tcPr>
            <w:tcW w:w="0" w:type="auto"/>
            <w:shd w:val="clear" w:color="auto" w:fill="auto"/>
          </w:tcPr>
          <w:p w14:paraId="33DAE24B" w14:textId="77777777" w:rsidR="004D6A64" w:rsidRDefault="004D6A64">
            <w:pPr>
              <w:rPr>
                <w:rFonts w:ascii="宋体"/>
              </w:rPr>
            </w:pPr>
          </w:p>
        </w:tc>
        <w:tc>
          <w:tcPr>
            <w:tcW w:w="0" w:type="auto"/>
            <w:shd w:val="clear" w:color="auto" w:fill="auto"/>
          </w:tcPr>
          <w:p w14:paraId="33DAE24C" w14:textId="77777777" w:rsidR="004D6A64" w:rsidRDefault="004D6A64">
            <w:pPr>
              <w:rPr>
                <w:rFonts w:ascii="宋体"/>
              </w:rPr>
            </w:pPr>
          </w:p>
        </w:tc>
        <w:tc>
          <w:tcPr>
            <w:tcW w:w="0" w:type="auto"/>
            <w:shd w:val="clear" w:color="auto" w:fill="auto"/>
          </w:tcPr>
          <w:p w14:paraId="33DAE24D" w14:textId="77777777" w:rsidR="004D6A64" w:rsidRDefault="004D6A64">
            <w:pPr>
              <w:rPr>
                <w:rFonts w:ascii="宋体"/>
              </w:rPr>
            </w:pPr>
          </w:p>
        </w:tc>
        <w:tc>
          <w:tcPr>
            <w:tcW w:w="0" w:type="auto"/>
            <w:shd w:val="clear" w:color="auto" w:fill="auto"/>
          </w:tcPr>
          <w:p w14:paraId="33DAE24E" w14:textId="77777777" w:rsidR="004D6A64" w:rsidRDefault="004D6A64">
            <w:pPr>
              <w:rPr>
                <w:rFonts w:ascii="宋体"/>
              </w:rPr>
            </w:pPr>
          </w:p>
        </w:tc>
        <w:tc>
          <w:tcPr>
            <w:tcW w:w="0" w:type="auto"/>
            <w:shd w:val="clear" w:color="auto" w:fill="auto"/>
          </w:tcPr>
          <w:p w14:paraId="33DAE24F" w14:textId="77777777" w:rsidR="004D6A64" w:rsidRDefault="004D6A64">
            <w:pPr>
              <w:rPr>
                <w:rFonts w:ascii="宋体"/>
              </w:rPr>
            </w:pPr>
          </w:p>
        </w:tc>
        <w:tc>
          <w:tcPr>
            <w:tcW w:w="0" w:type="auto"/>
            <w:shd w:val="clear" w:color="auto" w:fill="auto"/>
          </w:tcPr>
          <w:p w14:paraId="33DAE250" w14:textId="77777777" w:rsidR="004D6A64" w:rsidRDefault="004D6A64">
            <w:pPr>
              <w:rPr>
                <w:rFonts w:ascii="宋体"/>
              </w:rPr>
            </w:pPr>
          </w:p>
        </w:tc>
        <w:tc>
          <w:tcPr>
            <w:tcW w:w="0" w:type="auto"/>
            <w:shd w:val="clear" w:color="auto" w:fill="auto"/>
          </w:tcPr>
          <w:p w14:paraId="33DAE251" w14:textId="77777777" w:rsidR="004D6A64" w:rsidRDefault="004D6A64">
            <w:pPr>
              <w:rPr>
                <w:rFonts w:ascii="宋体"/>
              </w:rPr>
            </w:pPr>
          </w:p>
        </w:tc>
        <w:tc>
          <w:tcPr>
            <w:tcW w:w="0" w:type="auto"/>
            <w:shd w:val="clear" w:color="auto" w:fill="auto"/>
          </w:tcPr>
          <w:p w14:paraId="33DAE252" w14:textId="77777777" w:rsidR="004D6A64" w:rsidRDefault="004D6A64">
            <w:pPr>
              <w:rPr>
                <w:rFonts w:ascii="宋体"/>
              </w:rPr>
            </w:pPr>
          </w:p>
        </w:tc>
        <w:tc>
          <w:tcPr>
            <w:tcW w:w="0" w:type="auto"/>
            <w:shd w:val="clear" w:color="auto" w:fill="auto"/>
          </w:tcPr>
          <w:p w14:paraId="33DAE253" w14:textId="77777777" w:rsidR="004D6A64" w:rsidRDefault="004D6A64">
            <w:pPr>
              <w:rPr>
                <w:rFonts w:ascii="宋体"/>
              </w:rPr>
            </w:pPr>
          </w:p>
        </w:tc>
        <w:tc>
          <w:tcPr>
            <w:tcW w:w="0" w:type="auto"/>
            <w:shd w:val="clear" w:color="auto" w:fill="auto"/>
          </w:tcPr>
          <w:p w14:paraId="33DAE254" w14:textId="77777777" w:rsidR="004D6A64" w:rsidRDefault="004D6A64">
            <w:pPr>
              <w:rPr>
                <w:rFonts w:ascii="宋体"/>
              </w:rPr>
            </w:pPr>
          </w:p>
        </w:tc>
        <w:tc>
          <w:tcPr>
            <w:tcW w:w="0" w:type="auto"/>
            <w:shd w:val="clear" w:color="auto" w:fill="auto"/>
          </w:tcPr>
          <w:p w14:paraId="33DAE255" w14:textId="77777777" w:rsidR="004D6A64" w:rsidRDefault="004D6A64">
            <w:pPr>
              <w:rPr>
                <w:rFonts w:ascii="宋体"/>
              </w:rPr>
            </w:pPr>
          </w:p>
        </w:tc>
        <w:tc>
          <w:tcPr>
            <w:tcW w:w="0" w:type="auto"/>
            <w:shd w:val="clear" w:color="auto" w:fill="auto"/>
          </w:tcPr>
          <w:p w14:paraId="33DAE256" w14:textId="77777777" w:rsidR="004D6A64" w:rsidRDefault="004D6A64">
            <w:pPr>
              <w:rPr>
                <w:rFonts w:ascii="宋体"/>
              </w:rPr>
            </w:pPr>
          </w:p>
        </w:tc>
      </w:tr>
      <w:tr w:rsidR="004D6A64" w14:paraId="33DAE27F" w14:textId="77777777">
        <w:trPr>
          <w:trHeight w:val="300"/>
          <w:jc w:val="center"/>
        </w:trPr>
        <w:tc>
          <w:tcPr>
            <w:tcW w:w="0" w:type="auto"/>
            <w:gridSpan w:val="3"/>
            <w:shd w:val="clear" w:color="auto" w:fill="CCEEFF"/>
            <w:tcMar>
              <w:left w:w="20" w:type="dxa"/>
              <w:right w:w="20" w:type="dxa"/>
            </w:tcMar>
            <w:vAlign w:val="bottom"/>
          </w:tcPr>
          <w:p w14:paraId="33DAE258"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E259"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25A"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25B"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25C"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E25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25E"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E25F"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260"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261"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262"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E263" w14:textId="77777777" w:rsidR="004D6A64" w:rsidRDefault="004D6A64">
            <w:pPr>
              <w:rPr>
                <w:rFonts w:ascii="宋体"/>
              </w:rPr>
            </w:pPr>
          </w:p>
        </w:tc>
        <w:tc>
          <w:tcPr>
            <w:tcW w:w="0" w:type="auto"/>
            <w:shd w:val="clear" w:color="auto" w:fill="auto"/>
          </w:tcPr>
          <w:p w14:paraId="33DAE264" w14:textId="77777777" w:rsidR="004D6A64" w:rsidRDefault="004D6A64">
            <w:pPr>
              <w:rPr>
                <w:rFonts w:ascii="宋体"/>
              </w:rPr>
            </w:pPr>
          </w:p>
        </w:tc>
        <w:tc>
          <w:tcPr>
            <w:tcW w:w="0" w:type="auto"/>
            <w:shd w:val="clear" w:color="auto" w:fill="auto"/>
          </w:tcPr>
          <w:p w14:paraId="33DAE265" w14:textId="77777777" w:rsidR="004D6A64" w:rsidRDefault="004D6A64">
            <w:pPr>
              <w:rPr>
                <w:rFonts w:ascii="宋体"/>
              </w:rPr>
            </w:pPr>
          </w:p>
        </w:tc>
        <w:tc>
          <w:tcPr>
            <w:tcW w:w="0" w:type="auto"/>
            <w:shd w:val="clear" w:color="auto" w:fill="auto"/>
          </w:tcPr>
          <w:p w14:paraId="33DAE266" w14:textId="77777777" w:rsidR="004D6A64" w:rsidRDefault="004D6A64">
            <w:pPr>
              <w:rPr>
                <w:rFonts w:ascii="宋体"/>
              </w:rPr>
            </w:pPr>
          </w:p>
        </w:tc>
        <w:tc>
          <w:tcPr>
            <w:tcW w:w="0" w:type="auto"/>
            <w:shd w:val="clear" w:color="auto" w:fill="auto"/>
          </w:tcPr>
          <w:p w14:paraId="33DAE267" w14:textId="77777777" w:rsidR="004D6A64" w:rsidRDefault="004D6A64">
            <w:pPr>
              <w:rPr>
                <w:rFonts w:ascii="宋体"/>
              </w:rPr>
            </w:pPr>
          </w:p>
        </w:tc>
        <w:tc>
          <w:tcPr>
            <w:tcW w:w="0" w:type="auto"/>
            <w:shd w:val="clear" w:color="auto" w:fill="auto"/>
          </w:tcPr>
          <w:p w14:paraId="33DAE268" w14:textId="77777777" w:rsidR="004D6A64" w:rsidRDefault="004D6A64">
            <w:pPr>
              <w:rPr>
                <w:rFonts w:ascii="宋体"/>
              </w:rPr>
            </w:pPr>
          </w:p>
        </w:tc>
        <w:tc>
          <w:tcPr>
            <w:tcW w:w="0" w:type="auto"/>
            <w:shd w:val="clear" w:color="auto" w:fill="auto"/>
          </w:tcPr>
          <w:p w14:paraId="33DAE269" w14:textId="77777777" w:rsidR="004D6A64" w:rsidRDefault="004D6A64">
            <w:pPr>
              <w:rPr>
                <w:rFonts w:ascii="宋体"/>
              </w:rPr>
            </w:pPr>
          </w:p>
        </w:tc>
        <w:tc>
          <w:tcPr>
            <w:tcW w:w="0" w:type="auto"/>
            <w:shd w:val="clear" w:color="auto" w:fill="auto"/>
          </w:tcPr>
          <w:p w14:paraId="33DAE26A" w14:textId="77777777" w:rsidR="004D6A64" w:rsidRDefault="004D6A64">
            <w:pPr>
              <w:rPr>
                <w:rFonts w:ascii="宋体"/>
              </w:rPr>
            </w:pPr>
          </w:p>
        </w:tc>
        <w:tc>
          <w:tcPr>
            <w:tcW w:w="0" w:type="auto"/>
            <w:shd w:val="clear" w:color="auto" w:fill="auto"/>
          </w:tcPr>
          <w:p w14:paraId="33DAE26B" w14:textId="77777777" w:rsidR="004D6A64" w:rsidRDefault="004D6A64">
            <w:pPr>
              <w:rPr>
                <w:rFonts w:ascii="宋体"/>
              </w:rPr>
            </w:pPr>
          </w:p>
        </w:tc>
        <w:tc>
          <w:tcPr>
            <w:tcW w:w="0" w:type="auto"/>
            <w:shd w:val="clear" w:color="auto" w:fill="auto"/>
          </w:tcPr>
          <w:p w14:paraId="33DAE26C" w14:textId="77777777" w:rsidR="004D6A64" w:rsidRDefault="004D6A64">
            <w:pPr>
              <w:rPr>
                <w:rFonts w:ascii="宋体"/>
              </w:rPr>
            </w:pPr>
          </w:p>
        </w:tc>
        <w:tc>
          <w:tcPr>
            <w:tcW w:w="0" w:type="auto"/>
            <w:shd w:val="clear" w:color="auto" w:fill="auto"/>
          </w:tcPr>
          <w:p w14:paraId="33DAE26D" w14:textId="77777777" w:rsidR="004D6A64" w:rsidRDefault="004D6A64">
            <w:pPr>
              <w:rPr>
                <w:rFonts w:ascii="宋体"/>
              </w:rPr>
            </w:pPr>
          </w:p>
        </w:tc>
        <w:tc>
          <w:tcPr>
            <w:tcW w:w="0" w:type="auto"/>
            <w:shd w:val="clear" w:color="auto" w:fill="auto"/>
          </w:tcPr>
          <w:p w14:paraId="33DAE26E" w14:textId="77777777" w:rsidR="004D6A64" w:rsidRDefault="004D6A64">
            <w:pPr>
              <w:rPr>
                <w:rFonts w:ascii="宋体"/>
              </w:rPr>
            </w:pPr>
          </w:p>
        </w:tc>
        <w:tc>
          <w:tcPr>
            <w:tcW w:w="0" w:type="auto"/>
            <w:shd w:val="clear" w:color="auto" w:fill="auto"/>
          </w:tcPr>
          <w:p w14:paraId="33DAE26F" w14:textId="77777777" w:rsidR="004D6A64" w:rsidRDefault="004D6A64">
            <w:pPr>
              <w:rPr>
                <w:rFonts w:ascii="宋体"/>
              </w:rPr>
            </w:pPr>
          </w:p>
        </w:tc>
        <w:tc>
          <w:tcPr>
            <w:tcW w:w="0" w:type="auto"/>
            <w:shd w:val="clear" w:color="auto" w:fill="auto"/>
          </w:tcPr>
          <w:p w14:paraId="33DAE270" w14:textId="77777777" w:rsidR="004D6A64" w:rsidRDefault="004D6A64">
            <w:pPr>
              <w:rPr>
                <w:rFonts w:ascii="宋体"/>
              </w:rPr>
            </w:pPr>
          </w:p>
        </w:tc>
        <w:tc>
          <w:tcPr>
            <w:tcW w:w="0" w:type="auto"/>
            <w:shd w:val="clear" w:color="auto" w:fill="auto"/>
          </w:tcPr>
          <w:p w14:paraId="33DAE271" w14:textId="77777777" w:rsidR="004D6A64" w:rsidRDefault="004D6A64">
            <w:pPr>
              <w:rPr>
                <w:rFonts w:ascii="宋体"/>
              </w:rPr>
            </w:pPr>
          </w:p>
        </w:tc>
        <w:tc>
          <w:tcPr>
            <w:tcW w:w="0" w:type="auto"/>
            <w:shd w:val="clear" w:color="auto" w:fill="auto"/>
          </w:tcPr>
          <w:p w14:paraId="33DAE272" w14:textId="77777777" w:rsidR="004D6A64" w:rsidRDefault="004D6A64">
            <w:pPr>
              <w:rPr>
                <w:rFonts w:ascii="宋体"/>
              </w:rPr>
            </w:pPr>
          </w:p>
        </w:tc>
        <w:tc>
          <w:tcPr>
            <w:tcW w:w="0" w:type="auto"/>
            <w:shd w:val="clear" w:color="auto" w:fill="auto"/>
          </w:tcPr>
          <w:p w14:paraId="33DAE273" w14:textId="77777777" w:rsidR="004D6A64" w:rsidRDefault="004D6A64">
            <w:pPr>
              <w:rPr>
                <w:rFonts w:ascii="宋体"/>
              </w:rPr>
            </w:pPr>
          </w:p>
        </w:tc>
        <w:tc>
          <w:tcPr>
            <w:tcW w:w="0" w:type="auto"/>
            <w:shd w:val="clear" w:color="auto" w:fill="auto"/>
          </w:tcPr>
          <w:p w14:paraId="33DAE274" w14:textId="77777777" w:rsidR="004D6A64" w:rsidRDefault="004D6A64">
            <w:pPr>
              <w:rPr>
                <w:rFonts w:ascii="宋体"/>
              </w:rPr>
            </w:pPr>
          </w:p>
        </w:tc>
        <w:tc>
          <w:tcPr>
            <w:tcW w:w="0" w:type="auto"/>
            <w:shd w:val="clear" w:color="auto" w:fill="auto"/>
          </w:tcPr>
          <w:p w14:paraId="33DAE275" w14:textId="77777777" w:rsidR="004D6A64" w:rsidRDefault="004D6A64">
            <w:pPr>
              <w:rPr>
                <w:rFonts w:ascii="宋体"/>
              </w:rPr>
            </w:pPr>
          </w:p>
        </w:tc>
        <w:tc>
          <w:tcPr>
            <w:tcW w:w="0" w:type="auto"/>
            <w:shd w:val="clear" w:color="auto" w:fill="auto"/>
          </w:tcPr>
          <w:p w14:paraId="33DAE276" w14:textId="77777777" w:rsidR="004D6A64" w:rsidRDefault="004D6A64">
            <w:pPr>
              <w:rPr>
                <w:rFonts w:ascii="宋体"/>
              </w:rPr>
            </w:pPr>
          </w:p>
        </w:tc>
        <w:tc>
          <w:tcPr>
            <w:tcW w:w="0" w:type="auto"/>
            <w:shd w:val="clear" w:color="auto" w:fill="auto"/>
          </w:tcPr>
          <w:p w14:paraId="33DAE277" w14:textId="77777777" w:rsidR="004D6A64" w:rsidRDefault="004D6A64">
            <w:pPr>
              <w:rPr>
                <w:rFonts w:ascii="宋体"/>
              </w:rPr>
            </w:pPr>
          </w:p>
        </w:tc>
        <w:tc>
          <w:tcPr>
            <w:tcW w:w="0" w:type="auto"/>
            <w:shd w:val="clear" w:color="auto" w:fill="auto"/>
          </w:tcPr>
          <w:p w14:paraId="33DAE278" w14:textId="77777777" w:rsidR="004D6A64" w:rsidRDefault="004D6A64">
            <w:pPr>
              <w:rPr>
                <w:rFonts w:ascii="宋体"/>
              </w:rPr>
            </w:pPr>
          </w:p>
        </w:tc>
        <w:tc>
          <w:tcPr>
            <w:tcW w:w="0" w:type="auto"/>
            <w:shd w:val="clear" w:color="auto" w:fill="auto"/>
          </w:tcPr>
          <w:p w14:paraId="33DAE279" w14:textId="77777777" w:rsidR="004D6A64" w:rsidRDefault="004D6A64">
            <w:pPr>
              <w:rPr>
                <w:rFonts w:ascii="宋体"/>
              </w:rPr>
            </w:pPr>
          </w:p>
        </w:tc>
        <w:tc>
          <w:tcPr>
            <w:tcW w:w="0" w:type="auto"/>
            <w:shd w:val="clear" w:color="auto" w:fill="auto"/>
          </w:tcPr>
          <w:p w14:paraId="33DAE27A" w14:textId="77777777" w:rsidR="004D6A64" w:rsidRDefault="004D6A64">
            <w:pPr>
              <w:rPr>
                <w:rFonts w:ascii="宋体"/>
              </w:rPr>
            </w:pPr>
          </w:p>
        </w:tc>
        <w:tc>
          <w:tcPr>
            <w:tcW w:w="0" w:type="auto"/>
            <w:shd w:val="clear" w:color="auto" w:fill="auto"/>
          </w:tcPr>
          <w:p w14:paraId="33DAE27B" w14:textId="77777777" w:rsidR="004D6A64" w:rsidRDefault="004D6A64">
            <w:pPr>
              <w:rPr>
                <w:rFonts w:ascii="宋体"/>
              </w:rPr>
            </w:pPr>
          </w:p>
        </w:tc>
        <w:tc>
          <w:tcPr>
            <w:tcW w:w="0" w:type="auto"/>
            <w:shd w:val="clear" w:color="auto" w:fill="auto"/>
          </w:tcPr>
          <w:p w14:paraId="33DAE27C" w14:textId="77777777" w:rsidR="004D6A64" w:rsidRDefault="004D6A64">
            <w:pPr>
              <w:rPr>
                <w:rFonts w:ascii="宋体"/>
              </w:rPr>
            </w:pPr>
          </w:p>
        </w:tc>
        <w:tc>
          <w:tcPr>
            <w:tcW w:w="0" w:type="auto"/>
            <w:shd w:val="clear" w:color="auto" w:fill="auto"/>
          </w:tcPr>
          <w:p w14:paraId="33DAE27D" w14:textId="77777777" w:rsidR="004D6A64" w:rsidRDefault="004D6A64">
            <w:pPr>
              <w:rPr>
                <w:rFonts w:ascii="宋体"/>
              </w:rPr>
            </w:pPr>
          </w:p>
        </w:tc>
        <w:tc>
          <w:tcPr>
            <w:tcW w:w="0" w:type="auto"/>
            <w:shd w:val="clear" w:color="auto" w:fill="auto"/>
          </w:tcPr>
          <w:p w14:paraId="33DAE27E" w14:textId="77777777" w:rsidR="004D6A64" w:rsidRDefault="004D6A64">
            <w:pPr>
              <w:rPr>
                <w:rFonts w:ascii="宋体"/>
              </w:rPr>
            </w:pPr>
          </w:p>
        </w:tc>
      </w:tr>
      <w:tr w:rsidR="004D6A64" w14:paraId="33DAE2B1" w14:textId="77777777">
        <w:trPr>
          <w:jc w:val="center"/>
        </w:trPr>
        <w:tc>
          <w:tcPr>
            <w:tcW w:w="0" w:type="auto"/>
            <w:gridSpan w:val="3"/>
            <w:shd w:val="clear" w:color="auto" w:fill="FFFFFF"/>
            <w:tcMar>
              <w:top w:w="40" w:type="dxa"/>
              <w:left w:w="20" w:type="dxa"/>
              <w:bottom w:w="40" w:type="dxa"/>
              <w:right w:w="20" w:type="dxa"/>
            </w:tcMar>
            <w:vAlign w:val="center"/>
          </w:tcPr>
          <w:p w14:paraId="33DAE280" w14:textId="77777777" w:rsidR="004D6A64" w:rsidRDefault="00506CD6">
            <w:pPr>
              <w:textAlignment w:val="center"/>
            </w:pPr>
            <w:r>
              <w:rPr>
                <w:rFonts w:ascii="Times New Roman" w:eastAsia="宋体" w:hAnsi="Times New Roman"/>
                <w:color w:val="000000"/>
                <w:sz w:val="20"/>
                <w:szCs w:val="20"/>
              </w:rPr>
              <w:t>Operating expenses</w:t>
            </w:r>
          </w:p>
        </w:tc>
        <w:tc>
          <w:tcPr>
            <w:tcW w:w="0" w:type="auto"/>
            <w:shd w:val="clear" w:color="auto" w:fill="FFFFFF"/>
            <w:tcMar>
              <w:top w:w="40" w:type="dxa"/>
              <w:left w:w="20" w:type="dxa"/>
              <w:bottom w:w="40" w:type="dxa"/>
            </w:tcMar>
            <w:vAlign w:val="center"/>
          </w:tcPr>
          <w:p w14:paraId="33DAE281"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E282" w14:textId="77777777" w:rsidR="004D6A64" w:rsidRDefault="00506CD6">
            <w:pPr>
              <w:jc w:val="right"/>
              <w:textAlignment w:val="center"/>
            </w:pPr>
            <w:r>
              <w:rPr>
                <w:rFonts w:ascii="Times New Roman" w:eastAsia="宋体" w:hAnsi="Times New Roman"/>
                <w:color w:val="000000"/>
                <w:sz w:val="20"/>
                <w:szCs w:val="20"/>
              </w:rPr>
              <w:t>6,020 </w:t>
            </w:r>
          </w:p>
        </w:tc>
        <w:tc>
          <w:tcPr>
            <w:tcW w:w="0" w:type="auto"/>
            <w:shd w:val="clear" w:color="auto" w:fill="FFFFFF"/>
            <w:tcMar>
              <w:top w:w="40" w:type="dxa"/>
              <w:bottom w:w="40" w:type="dxa"/>
              <w:right w:w="20" w:type="dxa"/>
            </w:tcMar>
            <w:vAlign w:val="center"/>
          </w:tcPr>
          <w:p w14:paraId="33DAE28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284"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285" w14:textId="77777777" w:rsidR="004D6A64" w:rsidRDefault="00506CD6">
            <w:pPr>
              <w:jc w:val="right"/>
              <w:textAlignment w:val="center"/>
            </w:pPr>
            <w:r>
              <w:rPr>
                <w:rFonts w:ascii="Times New Roman" w:eastAsia="宋体" w:hAnsi="Times New Roman"/>
                <w:color w:val="000000"/>
                <w:sz w:val="20"/>
                <w:szCs w:val="20"/>
              </w:rPr>
              <w:t>(12)</w:t>
            </w:r>
          </w:p>
        </w:tc>
        <w:tc>
          <w:tcPr>
            <w:tcW w:w="0" w:type="auto"/>
            <w:shd w:val="clear" w:color="auto" w:fill="FFFFFF"/>
            <w:tcMar>
              <w:top w:w="40" w:type="dxa"/>
              <w:bottom w:w="40" w:type="dxa"/>
              <w:right w:w="20" w:type="dxa"/>
            </w:tcMar>
            <w:vAlign w:val="center"/>
          </w:tcPr>
          <w:p w14:paraId="33DAE286"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287"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E288"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E289" w14:textId="77777777" w:rsidR="004D6A64" w:rsidRDefault="00506CD6">
            <w:pPr>
              <w:jc w:val="right"/>
              <w:textAlignment w:val="center"/>
            </w:pPr>
            <w:r>
              <w:rPr>
                <w:rFonts w:ascii="Times New Roman" w:eastAsia="宋体" w:hAnsi="Times New Roman"/>
                <w:color w:val="000000"/>
                <w:sz w:val="20"/>
                <w:szCs w:val="20"/>
              </w:rPr>
              <w:t>6,807 </w:t>
            </w:r>
          </w:p>
        </w:tc>
        <w:tc>
          <w:tcPr>
            <w:tcW w:w="0" w:type="auto"/>
            <w:shd w:val="clear" w:color="auto" w:fill="FFFFFF"/>
            <w:tcMar>
              <w:top w:w="40" w:type="dxa"/>
              <w:bottom w:w="40" w:type="dxa"/>
              <w:right w:w="20" w:type="dxa"/>
            </w:tcMar>
            <w:vAlign w:val="center"/>
          </w:tcPr>
          <w:p w14:paraId="33DAE28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28B"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E28C"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E28D" w14:textId="77777777" w:rsidR="004D6A64" w:rsidRDefault="00506CD6">
            <w:pPr>
              <w:jc w:val="right"/>
              <w:textAlignment w:val="center"/>
            </w:pPr>
            <w:r>
              <w:rPr>
                <w:rFonts w:ascii="Times New Roman" w:eastAsia="宋体" w:hAnsi="Times New Roman"/>
                <w:color w:val="000000"/>
                <w:sz w:val="20"/>
                <w:szCs w:val="20"/>
              </w:rPr>
              <w:t>12,171 </w:t>
            </w:r>
          </w:p>
        </w:tc>
        <w:tc>
          <w:tcPr>
            <w:tcW w:w="0" w:type="auto"/>
            <w:shd w:val="clear" w:color="auto" w:fill="FFFFFF"/>
            <w:tcMar>
              <w:top w:w="40" w:type="dxa"/>
              <w:bottom w:w="40" w:type="dxa"/>
              <w:right w:w="20" w:type="dxa"/>
            </w:tcMar>
            <w:vAlign w:val="center"/>
          </w:tcPr>
          <w:p w14:paraId="33DAE28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28F"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290" w14:textId="77777777" w:rsidR="004D6A64" w:rsidRDefault="00506CD6">
            <w:pPr>
              <w:jc w:val="right"/>
              <w:textAlignment w:val="center"/>
            </w:pPr>
            <w:r>
              <w:rPr>
                <w:rFonts w:ascii="Times New Roman" w:eastAsia="宋体" w:hAnsi="Times New Roman"/>
                <w:color w:val="000000"/>
                <w:sz w:val="20"/>
                <w:szCs w:val="20"/>
              </w:rPr>
              <w:t>(7)</w:t>
            </w:r>
          </w:p>
        </w:tc>
        <w:tc>
          <w:tcPr>
            <w:tcW w:w="0" w:type="auto"/>
            <w:shd w:val="clear" w:color="auto" w:fill="FFFFFF"/>
            <w:tcMar>
              <w:top w:w="40" w:type="dxa"/>
              <w:bottom w:w="40" w:type="dxa"/>
              <w:right w:w="20" w:type="dxa"/>
            </w:tcMar>
            <w:vAlign w:val="center"/>
          </w:tcPr>
          <w:p w14:paraId="33DAE291"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292"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E293"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E294" w14:textId="77777777" w:rsidR="004D6A64" w:rsidRDefault="00506CD6">
            <w:pPr>
              <w:jc w:val="right"/>
              <w:textAlignment w:val="center"/>
            </w:pPr>
            <w:r>
              <w:rPr>
                <w:rFonts w:ascii="Times New Roman" w:eastAsia="宋体" w:hAnsi="Times New Roman"/>
                <w:color w:val="000000"/>
                <w:sz w:val="20"/>
                <w:szCs w:val="20"/>
              </w:rPr>
              <w:t>13,054 </w:t>
            </w:r>
          </w:p>
        </w:tc>
        <w:tc>
          <w:tcPr>
            <w:tcW w:w="0" w:type="auto"/>
            <w:shd w:val="clear" w:color="auto" w:fill="FFFFFF"/>
            <w:tcMar>
              <w:top w:w="40" w:type="dxa"/>
              <w:bottom w:w="40" w:type="dxa"/>
              <w:right w:w="20" w:type="dxa"/>
            </w:tcMar>
            <w:vAlign w:val="center"/>
          </w:tcPr>
          <w:p w14:paraId="33DAE295" w14:textId="77777777" w:rsidR="004D6A64" w:rsidRDefault="004D6A64">
            <w:pPr>
              <w:jc w:val="right"/>
              <w:rPr>
                <w:rFonts w:ascii="宋体"/>
              </w:rPr>
            </w:pPr>
          </w:p>
        </w:tc>
        <w:tc>
          <w:tcPr>
            <w:tcW w:w="0" w:type="auto"/>
            <w:shd w:val="clear" w:color="auto" w:fill="auto"/>
          </w:tcPr>
          <w:p w14:paraId="33DAE296" w14:textId="77777777" w:rsidR="004D6A64" w:rsidRDefault="004D6A64">
            <w:pPr>
              <w:rPr>
                <w:rFonts w:ascii="宋体"/>
              </w:rPr>
            </w:pPr>
          </w:p>
        </w:tc>
        <w:tc>
          <w:tcPr>
            <w:tcW w:w="0" w:type="auto"/>
            <w:shd w:val="clear" w:color="auto" w:fill="auto"/>
          </w:tcPr>
          <w:p w14:paraId="33DAE297" w14:textId="77777777" w:rsidR="004D6A64" w:rsidRDefault="004D6A64">
            <w:pPr>
              <w:rPr>
                <w:rFonts w:ascii="宋体"/>
              </w:rPr>
            </w:pPr>
          </w:p>
        </w:tc>
        <w:tc>
          <w:tcPr>
            <w:tcW w:w="0" w:type="auto"/>
            <w:shd w:val="clear" w:color="auto" w:fill="auto"/>
          </w:tcPr>
          <w:p w14:paraId="33DAE298" w14:textId="77777777" w:rsidR="004D6A64" w:rsidRDefault="004D6A64">
            <w:pPr>
              <w:rPr>
                <w:rFonts w:ascii="宋体"/>
              </w:rPr>
            </w:pPr>
          </w:p>
        </w:tc>
        <w:tc>
          <w:tcPr>
            <w:tcW w:w="0" w:type="auto"/>
            <w:shd w:val="clear" w:color="auto" w:fill="auto"/>
          </w:tcPr>
          <w:p w14:paraId="33DAE299" w14:textId="77777777" w:rsidR="004D6A64" w:rsidRDefault="004D6A64">
            <w:pPr>
              <w:rPr>
                <w:rFonts w:ascii="宋体"/>
              </w:rPr>
            </w:pPr>
          </w:p>
        </w:tc>
        <w:tc>
          <w:tcPr>
            <w:tcW w:w="0" w:type="auto"/>
            <w:shd w:val="clear" w:color="auto" w:fill="auto"/>
          </w:tcPr>
          <w:p w14:paraId="33DAE29A" w14:textId="77777777" w:rsidR="004D6A64" w:rsidRDefault="004D6A64">
            <w:pPr>
              <w:rPr>
                <w:rFonts w:ascii="宋体"/>
              </w:rPr>
            </w:pPr>
          </w:p>
        </w:tc>
        <w:tc>
          <w:tcPr>
            <w:tcW w:w="0" w:type="auto"/>
            <w:shd w:val="clear" w:color="auto" w:fill="auto"/>
          </w:tcPr>
          <w:p w14:paraId="33DAE29B" w14:textId="77777777" w:rsidR="004D6A64" w:rsidRDefault="004D6A64">
            <w:pPr>
              <w:rPr>
                <w:rFonts w:ascii="宋体"/>
              </w:rPr>
            </w:pPr>
          </w:p>
        </w:tc>
        <w:tc>
          <w:tcPr>
            <w:tcW w:w="0" w:type="auto"/>
            <w:shd w:val="clear" w:color="auto" w:fill="auto"/>
          </w:tcPr>
          <w:p w14:paraId="33DAE29C" w14:textId="77777777" w:rsidR="004D6A64" w:rsidRDefault="004D6A64">
            <w:pPr>
              <w:rPr>
                <w:rFonts w:ascii="宋体"/>
              </w:rPr>
            </w:pPr>
          </w:p>
        </w:tc>
        <w:tc>
          <w:tcPr>
            <w:tcW w:w="0" w:type="auto"/>
            <w:shd w:val="clear" w:color="auto" w:fill="auto"/>
          </w:tcPr>
          <w:p w14:paraId="33DAE29D" w14:textId="77777777" w:rsidR="004D6A64" w:rsidRDefault="004D6A64">
            <w:pPr>
              <w:rPr>
                <w:rFonts w:ascii="宋体"/>
              </w:rPr>
            </w:pPr>
          </w:p>
        </w:tc>
        <w:tc>
          <w:tcPr>
            <w:tcW w:w="0" w:type="auto"/>
            <w:shd w:val="clear" w:color="auto" w:fill="auto"/>
          </w:tcPr>
          <w:p w14:paraId="33DAE29E" w14:textId="77777777" w:rsidR="004D6A64" w:rsidRDefault="004D6A64">
            <w:pPr>
              <w:rPr>
                <w:rFonts w:ascii="宋体"/>
              </w:rPr>
            </w:pPr>
          </w:p>
        </w:tc>
        <w:tc>
          <w:tcPr>
            <w:tcW w:w="0" w:type="auto"/>
            <w:shd w:val="clear" w:color="auto" w:fill="auto"/>
          </w:tcPr>
          <w:p w14:paraId="33DAE29F" w14:textId="77777777" w:rsidR="004D6A64" w:rsidRDefault="004D6A64">
            <w:pPr>
              <w:rPr>
                <w:rFonts w:ascii="宋体"/>
              </w:rPr>
            </w:pPr>
          </w:p>
        </w:tc>
        <w:tc>
          <w:tcPr>
            <w:tcW w:w="0" w:type="auto"/>
            <w:shd w:val="clear" w:color="auto" w:fill="auto"/>
          </w:tcPr>
          <w:p w14:paraId="33DAE2A0" w14:textId="77777777" w:rsidR="004D6A64" w:rsidRDefault="004D6A64">
            <w:pPr>
              <w:rPr>
                <w:rFonts w:ascii="宋体"/>
              </w:rPr>
            </w:pPr>
          </w:p>
        </w:tc>
        <w:tc>
          <w:tcPr>
            <w:tcW w:w="0" w:type="auto"/>
            <w:shd w:val="clear" w:color="auto" w:fill="auto"/>
          </w:tcPr>
          <w:p w14:paraId="33DAE2A1" w14:textId="77777777" w:rsidR="004D6A64" w:rsidRDefault="004D6A64">
            <w:pPr>
              <w:rPr>
                <w:rFonts w:ascii="宋体"/>
              </w:rPr>
            </w:pPr>
          </w:p>
        </w:tc>
        <w:tc>
          <w:tcPr>
            <w:tcW w:w="0" w:type="auto"/>
            <w:shd w:val="clear" w:color="auto" w:fill="auto"/>
          </w:tcPr>
          <w:p w14:paraId="33DAE2A2" w14:textId="77777777" w:rsidR="004D6A64" w:rsidRDefault="004D6A64">
            <w:pPr>
              <w:rPr>
                <w:rFonts w:ascii="宋体"/>
              </w:rPr>
            </w:pPr>
          </w:p>
        </w:tc>
        <w:tc>
          <w:tcPr>
            <w:tcW w:w="0" w:type="auto"/>
            <w:shd w:val="clear" w:color="auto" w:fill="auto"/>
          </w:tcPr>
          <w:p w14:paraId="33DAE2A3" w14:textId="77777777" w:rsidR="004D6A64" w:rsidRDefault="004D6A64">
            <w:pPr>
              <w:rPr>
                <w:rFonts w:ascii="宋体"/>
              </w:rPr>
            </w:pPr>
          </w:p>
        </w:tc>
        <w:tc>
          <w:tcPr>
            <w:tcW w:w="0" w:type="auto"/>
            <w:shd w:val="clear" w:color="auto" w:fill="auto"/>
          </w:tcPr>
          <w:p w14:paraId="33DAE2A4" w14:textId="77777777" w:rsidR="004D6A64" w:rsidRDefault="004D6A64">
            <w:pPr>
              <w:rPr>
                <w:rFonts w:ascii="宋体"/>
              </w:rPr>
            </w:pPr>
          </w:p>
        </w:tc>
        <w:tc>
          <w:tcPr>
            <w:tcW w:w="0" w:type="auto"/>
            <w:shd w:val="clear" w:color="auto" w:fill="auto"/>
          </w:tcPr>
          <w:p w14:paraId="33DAE2A5" w14:textId="77777777" w:rsidR="004D6A64" w:rsidRDefault="004D6A64">
            <w:pPr>
              <w:rPr>
                <w:rFonts w:ascii="宋体"/>
              </w:rPr>
            </w:pPr>
          </w:p>
        </w:tc>
        <w:tc>
          <w:tcPr>
            <w:tcW w:w="0" w:type="auto"/>
            <w:shd w:val="clear" w:color="auto" w:fill="auto"/>
          </w:tcPr>
          <w:p w14:paraId="33DAE2A6" w14:textId="77777777" w:rsidR="004D6A64" w:rsidRDefault="004D6A64">
            <w:pPr>
              <w:rPr>
                <w:rFonts w:ascii="宋体"/>
              </w:rPr>
            </w:pPr>
          </w:p>
        </w:tc>
        <w:tc>
          <w:tcPr>
            <w:tcW w:w="0" w:type="auto"/>
            <w:shd w:val="clear" w:color="auto" w:fill="auto"/>
          </w:tcPr>
          <w:p w14:paraId="33DAE2A7" w14:textId="77777777" w:rsidR="004D6A64" w:rsidRDefault="004D6A64">
            <w:pPr>
              <w:rPr>
                <w:rFonts w:ascii="宋体"/>
              </w:rPr>
            </w:pPr>
          </w:p>
        </w:tc>
        <w:tc>
          <w:tcPr>
            <w:tcW w:w="0" w:type="auto"/>
            <w:shd w:val="clear" w:color="auto" w:fill="auto"/>
          </w:tcPr>
          <w:p w14:paraId="33DAE2A8" w14:textId="77777777" w:rsidR="004D6A64" w:rsidRDefault="004D6A64">
            <w:pPr>
              <w:rPr>
                <w:rFonts w:ascii="宋体"/>
              </w:rPr>
            </w:pPr>
          </w:p>
        </w:tc>
        <w:tc>
          <w:tcPr>
            <w:tcW w:w="0" w:type="auto"/>
            <w:shd w:val="clear" w:color="auto" w:fill="auto"/>
          </w:tcPr>
          <w:p w14:paraId="33DAE2A9" w14:textId="77777777" w:rsidR="004D6A64" w:rsidRDefault="004D6A64">
            <w:pPr>
              <w:rPr>
                <w:rFonts w:ascii="宋体"/>
              </w:rPr>
            </w:pPr>
          </w:p>
        </w:tc>
        <w:tc>
          <w:tcPr>
            <w:tcW w:w="0" w:type="auto"/>
            <w:shd w:val="clear" w:color="auto" w:fill="auto"/>
          </w:tcPr>
          <w:p w14:paraId="33DAE2AA" w14:textId="77777777" w:rsidR="004D6A64" w:rsidRDefault="004D6A64">
            <w:pPr>
              <w:rPr>
                <w:rFonts w:ascii="宋体"/>
              </w:rPr>
            </w:pPr>
          </w:p>
        </w:tc>
        <w:tc>
          <w:tcPr>
            <w:tcW w:w="0" w:type="auto"/>
            <w:shd w:val="clear" w:color="auto" w:fill="auto"/>
          </w:tcPr>
          <w:p w14:paraId="33DAE2AB" w14:textId="77777777" w:rsidR="004D6A64" w:rsidRDefault="004D6A64">
            <w:pPr>
              <w:rPr>
                <w:rFonts w:ascii="宋体"/>
              </w:rPr>
            </w:pPr>
          </w:p>
        </w:tc>
        <w:tc>
          <w:tcPr>
            <w:tcW w:w="0" w:type="auto"/>
            <w:shd w:val="clear" w:color="auto" w:fill="auto"/>
          </w:tcPr>
          <w:p w14:paraId="33DAE2AC" w14:textId="77777777" w:rsidR="004D6A64" w:rsidRDefault="004D6A64">
            <w:pPr>
              <w:rPr>
                <w:rFonts w:ascii="宋体"/>
              </w:rPr>
            </w:pPr>
          </w:p>
        </w:tc>
        <w:tc>
          <w:tcPr>
            <w:tcW w:w="0" w:type="auto"/>
            <w:shd w:val="clear" w:color="auto" w:fill="auto"/>
          </w:tcPr>
          <w:p w14:paraId="33DAE2AD" w14:textId="77777777" w:rsidR="004D6A64" w:rsidRDefault="004D6A64">
            <w:pPr>
              <w:rPr>
                <w:rFonts w:ascii="宋体"/>
              </w:rPr>
            </w:pPr>
          </w:p>
        </w:tc>
        <w:tc>
          <w:tcPr>
            <w:tcW w:w="0" w:type="auto"/>
            <w:shd w:val="clear" w:color="auto" w:fill="auto"/>
          </w:tcPr>
          <w:p w14:paraId="33DAE2AE" w14:textId="77777777" w:rsidR="004D6A64" w:rsidRDefault="004D6A64">
            <w:pPr>
              <w:rPr>
                <w:rFonts w:ascii="宋体"/>
              </w:rPr>
            </w:pPr>
          </w:p>
        </w:tc>
        <w:tc>
          <w:tcPr>
            <w:tcW w:w="0" w:type="auto"/>
            <w:shd w:val="clear" w:color="auto" w:fill="auto"/>
          </w:tcPr>
          <w:p w14:paraId="33DAE2AF" w14:textId="77777777" w:rsidR="004D6A64" w:rsidRDefault="004D6A64">
            <w:pPr>
              <w:rPr>
                <w:rFonts w:ascii="宋体"/>
              </w:rPr>
            </w:pPr>
          </w:p>
        </w:tc>
        <w:tc>
          <w:tcPr>
            <w:tcW w:w="0" w:type="auto"/>
            <w:shd w:val="clear" w:color="auto" w:fill="auto"/>
          </w:tcPr>
          <w:p w14:paraId="33DAE2B0" w14:textId="77777777" w:rsidR="004D6A64" w:rsidRDefault="004D6A64">
            <w:pPr>
              <w:rPr>
                <w:rFonts w:ascii="宋体"/>
              </w:rPr>
            </w:pPr>
          </w:p>
        </w:tc>
      </w:tr>
      <w:tr w:rsidR="004D6A64" w14:paraId="33DAE2D9" w14:textId="77777777">
        <w:trPr>
          <w:jc w:val="center"/>
        </w:trPr>
        <w:tc>
          <w:tcPr>
            <w:tcW w:w="0" w:type="auto"/>
            <w:gridSpan w:val="3"/>
            <w:shd w:val="clear" w:color="auto" w:fill="CCEEFF"/>
            <w:tcMar>
              <w:top w:w="40" w:type="dxa"/>
              <w:left w:w="135" w:type="dxa"/>
              <w:bottom w:w="40" w:type="dxa"/>
              <w:right w:w="20" w:type="dxa"/>
            </w:tcMar>
            <w:vAlign w:val="center"/>
          </w:tcPr>
          <w:p w14:paraId="33DAE2B2" w14:textId="77777777" w:rsidR="004D6A64" w:rsidRDefault="00506CD6">
            <w:pPr>
              <w:textAlignment w:val="center"/>
            </w:pPr>
            <w:r>
              <w:rPr>
                <w:rFonts w:ascii="Times New Roman" w:eastAsia="宋体" w:hAnsi="Times New Roman"/>
                <w:color w:val="000000"/>
                <w:sz w:val="20"/>
                <w:szCs w:val="20"/>
              </w:rPr>
              <w:t>Non-GAAP adjustments:</w:t>
            </w:r>
          </w:p>
        </w:tc>
        <w:tc>
          <w:tcPr>
            <w:tcW w:w="0" w:type="auto"/>
            <w:gridSpan w:val="3"/>
            <w:shd w:val="clear" w:color="auto" w:fill="CCEEFF"/>
            <w:tcMar>
              <w:left w:w="20" w:type="dxa"/>
              <w:right w:w="20" w:type="dxa"/>
            </w:tcMar>
            <w:vAlign w:val="bottom"/>
          </w:tcPr>
          <w:p w14:paraId="33DAE2B3"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2B4"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2B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2B6"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2B7"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2B8"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2B9"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2BA"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2BB"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2B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2BD" w14:textId="77777777" w:rsidR="004D6A64" w:rsidRDefault="004D6A64">
            <w:pPr>
              <w:rPr>
                <w:rFonts w:ascii="宋体"/>
              </w:rPr>
            </w:pPr>
          </w:p>
        </w:tc>
        <w:tc>
          <w:tcPr>
            <w:tcW w:w="0" w:type="auto"/>
            <w:shd w:val="clear" w:color="auto" w:fill="auto"/>
          </w:tcPr>
          <w:p w14:paraId="33DAE2BE" w14:textId="77777777" w:rsidR="004D6A64" w:rsidRDefault="004D6A64">
            <w:pPr>
              <w:rPr>
                <w:rFonts w:ascii="宋体"/>
              </w:rPr>
            </w:pPr>
          </w:p>
        </w:tc>
        <w:tc>
          <w:tcPr>
            <w:tcW w:w="0" w:type="auto"/>
            <w:shd w:val="clear" w:color="auto" w:fill="auto"/>
          </w:tcPr>
          <w:p w14:paraId="33DAE2BF" w14:textId="77777777" w:rsidR="004D6A64" w:rsidRDefault="004D6A64">
            <w:pPr>
              <w:rPr>
                <w:rFonts w:ascii="宋体"/>
              </w:rPr>
            </w:pPr>
          </w:p>
        </w:tc>
        <w:tc>
          <w:tcPr>
            <w:tcW w:w="0" w:type="auto"/>
            <w:shd w:val="clear" w:color="auto" w:fill="auto"/>
          </w:tcPr>
          <w:p w14:paraId="33DAE2C0" w14:textId="77777777" w:rsidR="004D6A64" w:rsidRDefault="004D6A64">
            <w:pPr>
              <w:rPr>
                <w:rFonts w:ascii="宋体"/>
              </w:rPr>
            </w:pPr>
          </w:p>
        </w:tc>
        <w:tc>
          <w:tcPr>
            <w:tcW w:w="0" w:type="auto"/>
            <w:shd w:val="clear" w:color="auto" w:fill="auto"/>
          </w:tcPr>
          <w:p w14:paraId="33DAE2C1" w14:textId="77777777" w:rsidR="004D6A64" w:rsidRDefault="004D6A64">
            <w:pPr>
              <w:rPr>
                <w:rFonts w:ascii="宋体"/>
              </w:rPr>
            </w:pPr>
          </w:p>
        </w:tc>
        <w:tc>
          <w:tcPr>
            <w:tcW w:w="0" w:type="auto"/>
            <w:shd w:val="clear" w:color="auto" w:fill="auto"/>
          </w:tcPr>
          <w:p w14:paraId="33DAE2C2" w14:textId="77777777" w:rsidR="004D6A64" w:rsidRDefault="004D6A64">
            <w:pPr>
              <w:rPr>
                <w:rFonts w:ascii="宋体"/>
              </w:rPr>
            </w:pPr>
          </w:p>
        </w:tc>
        <w:tc>
          <w:tcPr>
            <w:tcW w:w="0" w:type="auto"/>
            <w:shd w:val="clear" w:color="auto" w:fill="auto"/>
          </w:tcPr>
          <w:p w14:paraId="33DAE2C3" w14:textId="77777777" w:rsidR="004D6A64" w:rsidRDefault="004D6A64">
            <w:pPr>
              <w:rPr>
                <w:rFonts w:ascii="宋体"/>
              </w:rPr>
            </w:pPr>
          </w:p>
        </w:tc>
        <w:tc>
          <w:tcPr>
            <w:tcW w:w="0" w:type="auto"/>
            <w:shd w:val="clear" w:color="auto" w:fill="auto"/>
          </w:tcPr>
          <w:p w14:paraId="33DAE2C4" w14:textId="77777777" w:rsidR="004D6A64" w:rsidRDefault="004D6A64">
            <w:pPr>
              <w:rPr>
                <w:rFonts w:ascii="宋体"/>
              </w:rPr>
            </w:pPr>
          </w:p>
        </w:tc>
        <w:tc>
          <w:tcPr>
            <w:tcW w:w="0" w:type="auto"/>
            <w:shd w:val="clear" w:color="auto" w:fill="auto"/>
          </w:tcPr>
          <w:p w14:paraId="33DAE2C5" w14:textId="77777777" w:rsidR="004D6A64" w:rsidRDefault="004D6A64">
            <w:pPr>
              <w:rPr>
                <w:rFonts w:ascii="宋体"/>
              </w:rPr>
            </w:pPr>
          </w:p>
        </w:tc>
        <w:tc>
          <w:tcPr>
            <w:tcW w:w="0" w:type="auto"/>
            <w:shd w:val="clear" w:color="auto" w:fill="auto"/>
          </w:tcPr>
          <w:p w14:paraId="33DAE2C6" w14:textId="77777777" w:rsidR="004D6A64" w:rsidRDefault="004D6A64">
            <w:pPr>
              <w:rPr>
                <w:rFonts w:ascii="宋体"/>
              </w:rPr>
            </w:pPr>
          </w:p>
        </w:tc>
        <w:tc>
          <w:tcPr>
            <w:tcW w:w="0" w:type="auto"/>
            <w:shd w:val="clear" w:color="auto" w:fill="auto"/>
          </w:tcPr>
          <w:p w14:paraId="33DAE2C7" w14:textId="77777777" w:rsidR="004D6A64" w:rsidRDefault="004D6A64">
            <w:pPr>
              <w:rPr>
                <w:rFonts w:ascii="宋体"/>
              </w:rPr>
            </w:pPr>
          </w:p>
        </w:tc>
        <w:tc>
          <w:tcPr>
            <w:tcW w:w="0" w:type="auto"/>
            <w:shd w:val="clear" w:color="auto" w:fill="auto"/>
          </w:tcPr>
          <w:p w14:paraId="33DAE2C8" w14:textId="77777777" w:rsidR="004D6A64" w:rsidRDefault="004D6A64">
            <w:pPr>
              <w:rPr>
                <w:rFonts w:ascii="宋体"/>
              </w:rPr>
            </w:pPr>
          </w:p>
        </w:tc>
        <w:tc>
          <w:tcPr>
            <w:tcW w:w="0" w:type="auto"/>
            <w:shd w:val="clear" w:color="auto" w:fill="auto"/>
          </w:tcPr>
          <w:p w14:paraId="33DAE2C9" w14:textId="77777777" w:rsidR="004D6A64" w:rsidRDefault="004D6A64">
            <w:pPr>
              <w:rPr>
                <w:rFonts w:ascii="宋体"/>
              </w:rPr>
            </w:pPr>
          </w:p>
        </w:tc>
        <w:tc>
          <w:tcPr>
            <w:tcW w:w="0" w:type="auto"/>
            <w:shd w:val="clear" w:color="auto" w:fill="auto"/>
          </w:tcPr>
          <w:p w14:paraId="33DAE2CA" w14:textId="77777777" w:rsidR="004D6A64" w:rsidRDefault="004D6A64">
            <w:pPr>
              <w:rPr>
                <w:rFonts w:ascii="宋体"/>
              </w:rPr>
            </w:pPr>
          </w:p>
        </w:tc>
        <w:tc>
          <w:tcPr>
            <w:tcW w:w="0" w:type="auto"/>
            <w:shd w:val="clear" w:color="auto" w:fill="auto"/>
          </w:tcPr>
          <w:p w14:paraId="33DAE2CB" w14:textId="77777777" w:rsidR="004D6A64" w:rsidRDefault="004D6A64">
            <w:pPr>
              <w:rPr>
                <w:rFonts w:ascii="宋体"/>
              </w:rPr>
            </w:pPr>
          </w:p>
        </w:tc>
        <w:tc>
          <w:tcPr>
            <w:tcW w:w="0" w:type="auto"/>
            <w:shd w:val="clear" w:color="auto" w:fill="auto"/>
          </w:tcPr>
          <w:p w14:paraId="33DAE2CC" w14:textId="77777777" w:rsidR="004D6A64" w:rsidRDefault="004D6A64">
            <w:pPr>
              <w:rPr>
                <w:rFonts w:ascii="宋体"/>
              </w:rPr>
            </w:pPr>
          </w:p>
        </w:tc>
        <w:tc>
          <w:tcPr>
            <w:tcW w:w="0" w:type="auto"/>
            <w:shd w:val="clear" w:color="auto" w:fill="auto"/>
          </w:tcPr>
          <w:p w14:paraId="33DAE2CD" w14:textId="77777777" w:rsidR="004D6A64" w:rsidRDefault="004D6A64">
            <w:pPr>
              <w:rPr>
                <w:rFonts w:ascii="宋体"/>
              </w:rPr>
            </w:pPr>
          </w:p>
        </w:tc>
        <w:tc>
          <w:tcPr>
            <w:tcW w:w="0" w:type="auto"/>
            <w:shd w:val="clear" w:color="auto" w:fill="auto"/>
          </w:tcPr>
          <w:p w14:paraId="33DAE2CE" w14:textId="77777777" w:rsidR="004D6A64" w:rsidRDefault="004D6A64">
            <w:pPr>
              <w:rPr>
                <w:rFonts w:ascii="宋体"/>
              </w:rPr>
            </w:pPr>
          </w:p>
        </w:tc>
        <w:tc>
          <w:tcPr>
            <w:tcW w:w="0" w:type="auto"/>
            <w:shd w:val="clear" w:color="auto" w:fill="auto"/>
          </w:tcPr>
          <w:p w14:paraId="33DAE2CF" w14:textId="77777777" w:rsidR="004D6A64" w:rsidRDefault="004D6A64">
            <w:pPr>
              <w:rPr>
                <w:rFonts w:ascii="宋体"/>
              </w:rPr>
            </w:pPr>
          </w:p>
        </w:tc>
        <w:tc>
          <w:tcPr>
            <w:tcW w:w="0" w:type="auto"/>
            <w:shd w:val="clear" w:color="auto" w:fill="auto"/>
          </w:tcPr>
          <w:p w14:paraId="33DAE2D0" w14:textId="77777777" w:rsidR="004D6A64" w:rsidRDefault="004D6A64">
            <w:pPr>
              <w:rPr>
                <w:rFonts w:ascii="宋体"/>
              </w:rPr>
            </w:pPr>
          </w:p>
        </w:tc>
        <w:tc>
          <w:tcPr>
            <w:tcW w:w="0" w:type="auto"/>
            <w:shd w:val="clear" w:color="auto" w:fill="auto"/>
          </w:tcPr>
          <w:p w14:paraId="33DAE2D1" w14:textId="77777777" w:rsidR="004D6A64" w:rsidRDefault="004D6A64">
            <w:pPr>
              <w:rPr>
                <w:rFonts w:ascii="宋体"/>
              </w:rPr>
            </w:pPr>
          </w:p>
        </w:tc>
        <w:tc>
          <w:tcPr>
            <w:tcW w:w="0" w:type="auto"/>
            <w:shd w:val="clear" w:color="auto" w:fill="auto"/>
          </w:tcPr>
          <w:p w14:paraId="33DAE2D2" w14:textId="77777777" w:rsidR="004D6A64" w:rsidRDefault="004D6A64">
            <w:pPr>
              <w:rPr>
                <w:rFonts w:ascii="宋体"/>
              </w:rPr>
            </w:pPr>
          </w:p>
        </w:tc>
        <w:tc>
          <w:tcPr>
            <w:tcW w:w="0" w:type="auto"/>
            <w:shd w:val="clear" w:color="auto" w:fill="auto"/>
          </w:tcPr>
          <w:p w14:paraId="33DAE2D3" w14:textId="77777777" w:rsidR="004D6A64" w:rsidRDefault="004D6A64">
            <w:pPr>
              <w:rPr>
                <w:rFonts w:ascii="宋体"/>
              </w:rPr>
            </w:pPr>
          </w:p>
        </w:tc>
        <w:tc>
          <w:tcPr>
            <w:tcW w:w="0" w:type="auto"/>
            <w:shd w:val="clear" w:color="auto" w:fill="auto"/>
          </w:tcPr>
          <w:p w14:paraId="33DAE2D4" w14:textId="77777777" w:rsidR="004D6A64" w:rsidRDefault="004D6A64">
            <w:pPr>
              <w:rPr>
                <w:rFonts w:ascii="宋体"/>
              </w:rPr>
            </w:pPr>
          </w:p>
        </w:tc>
        <w:tc>
          <w:tcPr>
            <w:tcW w:w="0" w:type="auto"/>
            <w:shd w:val="clear" w:color="auto" w:fill="auto"/>
          </w:tcPr>
          <w:p w14:paraId="33DAE2D5" w14:textId="77777777" w:rsidR="004D6A64" w:rsidRDefault="004D6A64">
            <w:pPr>
              <w:rPr>
                <w:rFonts w:ascii="宋体"/>
              </w:rPr>
            </w:pPr>
          </w:p>
        </w:tc>
        <w:tc>
          <w:tcPr>
            <w:tcW w:w="0" w:type="auto"/>
            <w:shd w:val="clear" w:color="auto" w:fill="auto"/>
          </w:tcPr>
          <w:p w14:paraId="33DAE2D6" w14:textId="77777777" w:rsidR="004D6A64" w:rsidRDefault="004D6A64">
            <w:pPr>
              <w:rPr>
                <w:rFonts w:ascii="宋体"/>
              </w:rPr>
            </w:pPr>
          </w:p>
        </w:tc>
        <w:tc>
          <w:tcPr>
            <w:tcW w:w="0" w:type="auto"/>
            <w:shd w:val="clear" w:color="auto" w:fill="auto"/>
          </w:tcPr>
          <w:p w14:paraId="33DAE2D7" w14:textId="77777777" w:rsidR="004D6A64" w:rsidRDefault="004D6A64">
            <w:pPr>
              <w:rPr>
                <w:rFonts w:ascii="宋体"/>
              </w:rPr>
            </w:pPr>
          </w:p>
        </w:tc>
        <w:tc>
          <w:tcPr>
            <w:tcW w:w="0" w:type="auto"/>
            <w:shd w:val="clear" w:color="auto" w:fill="auto"/>
          </w:tcPr>
          <w:p w14:paraId="33DAE2D8" w14:textId="77777777" w:rsidR="004D6A64" w:rsidRDefault="004D6A64">
            <w:pPr>
              <w:rPr>
                <w:rFonts w:ascii="宋体"/>
              </w:rPr>
            </w:pPr>
          </w:p>
        </w:tc>
      </w:tr>
      <w:tr w:rsidR="004D6A64" w14:paraId="33DAE305" w14:textId="77777777">
        <w:trPr>
          <w:jc w:val="center"/>
        </w:trPr>
        <w:tc>
          <w:tcPr>
            <w:tcW w:w="0" w:type="auto"/>
            <w:gridSpan w:val="3"/>
            <w:shd w:val="clear" w:color="auto" w:fill="FFFFFF"/>
            <w:tcMar>
              <w:top w:w="40" w:type="dxa"/>
              <w:left w:w="225" w:type="dxa"/>
              <w:bottom w:w="40" w:type="dxa"/>
              <w:right w:w="20" w:type="dxa"/>
            </w:tcMar>
            <w:vAlign w:val="center"/>
          </w:tcPr>
          <w:p w14:paraId="33DAE2DA" w14:textId="77777777" w:rsidR="004D6A64" w:rsidRDefault="00506CD6">
            <w:pPr>
              <w:textAlignment w:val="center"/>
            </w:pPr>
            <w:r>
              <w:rPr>
                <w:rFonts w:ascii="Times New Roman" w:eastAsia="宋体" w:hAnsi="Times New Roman"/>
                <w:color w:val="000000"/>
                <w:sz w:val="20"/>
                <w:szCs w:val="20"/>
              </w:rPr>
              <w:t>Amortization of intangibles</w:t>
            </w:r>
          </w:p>
        </w:tc>
        <w:tc>
          <w:tcPr>
            <w:tcW w:w="0" w:type="auto"/>
            <w:gridSpan w:val="2"/>
            <w:shd w:val="clear" w:color="auto" w:fill="FFFFFF"/>
            <w:tcMar>
              <w:top w:w="40" w:type="dxa"/>
              <w:left w:w="20" w:type="dxa"/>
              <w:bottom w:w="40" w:type="dxa"/>
              <w:right w:w="0" w:type="dxa"/>
            </w:tcMar>
            <w:vAlign w:val="center"/>
          </w:tcPr>
          <w:p w14:paraId="33DAE2DB" w14:textId="77777777" w:rsidR="004D6A64" w:rsidRDefault="00506CD6">
            <w:pPr>
              <w:jc w:val="right"/>
              <w:textAlignment w:val="center"/>
            </w:pPr>
            <w:r>
              <w:rPr>
                <w:rFonts w:ascii="Times New Roman" w:eastAsia="宋体" w:hAnsi="Times New Roman"/>
                <w:color w:val="000000"/>
                <w:sz w:val="20"/>
                <w:szCs w:val="20"/>
              </w:rPr>
              <w:t>(472)</w:t>
            </w:r>
          </w:p>
        </w:tc>
        <w:tc>
          <w:tcPr>
            <w:tcW w:w="0" w:type="auto"/>
            <w:shd w:val="clear" w:color="auto" w:fill="FFFFFF"/>
            <w:tcMar>
              <w:top w:w="40" w:type="dxa"/>
              <w:bottom w:w="40" w:type="dxa"/>
              <w:right w:w="20" w:type="dxa"/>
            </w:tcMar>
            <w:vAlign w:val="center"/>
          </w:tcPr>
          <w:p w14:paraId="33DAE2D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2DD"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2DE"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2DF"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2E0" w14:textId="77777777" w:rsidR="004D6A64" w:rsidRDefault="00506CD6">
            <w:pPr>
              <w:jc w:val="right"/>
              <w:textAlignment w:val="center"/>
            </w:pPr>
            <w:r>
              <w:rPr>
                <w:rFonts w:ascii="Times New Roman" w:eastAsia="宋体" w:hAnsi="Times New Roman"/>
                <w:color w:val="000000"/>
                <w:sz w:val="20"/>
                <w:szCs w:val="20"/>
              </w:rPr>
              <w:t>(541)</w:t>
            </w:r>
          </w:p>
        </w:tc>
        <w:tc>
          <w:tcPr>
            <w:tcW w:w="0" w:type="auto"/>
            <w:shd w:val="clear" w:color="auto" w:fill="FFFFFF"/>
            <w:tcMar>
              <w:top w:w="40" w:type="dxa"/>
              <w:bottom w:w="40" w:type="dxa"/>
              <w:right w:w="20" w:type="dxa"/>
            </w:tcMar>
            <w:vAlign w:val="center"/>
          </w:tcPr>
          <w:p w14:paraId="33DAE2E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2E2"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2E3" w14:textId="77777777" w:rsidR="004D6A64" w:rsidRDefault="00506CD6">
            <w:pPr>
              <w:jc w:val="right"/>
              <w:textAlignment w:val="center"/>
            </w:pPr>
            <w:r>
              <w:rPr>
                <w:rFonts w:ascii="Times New Roman" w:eastAsia="宋体" w:hAnsi="Times New Roman"/>
                <w:color w:val="000000"/>
                <w:sz w:val="20"/>
                <w:szCs w:val="20"/>
              </w:rPr>
              <w:t>(955)</w:t>
            </w:r>
          </w:p>
        </w:tc>
        <w:tc>
          <w:tcPr>
            <w:tcW w:w="0" w:type="auto"/>
            <w:shd w:val="clear" w:color="auto" w:fill="FFFFFF"/>
            <w:tcMar>
              <w:top w:w="40" w:type="dxa"/>
              <w:bottom w:w="40" w:type="dxa"/>
              <w:right w:w="20" w:type="dxa"/>
            </w:tcMar>
            <w:vAlign w:val="center"/>
          </w:tcPr>
          <w:p w14:paraId="33DAE2E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2E5"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2E6"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2E7"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2E8" w14:textId="77777777" w:rsidR="004D6A64" w:rsidRDefault="00506CD6">
            <w:pPr>
              <w:jc w:val="right"/>
              <w:textAlignment w:val="center"/>
            </w:pPr>
            <w:r>
              <w:rPr>
                <w:rFonts w:ascii="Times New Roman" w:eastAsia="宋体" w:hAnsi="Times New Roman"/>
                <w:color w:val="000000"/>
                <w:sz w:val="20"/>
                <w:szCs w:val="20"/>
              </w:rPr>
              <w:t>(1,239)</w:t>
            </w:r>
          </w:p>
        </w:tc>
        <w:tc>
          <w:tcPr>
            <w:tcW w:w="0" w:type="auto"/>
            <w:shd w:val="clear" w:color="auto" w:fill="FFFFFF"/>
            <w:tcMar>
              <w:top w:w="40" w:type="dxa"/>
              <w:bottom w:w="40" w:type="dxa"/>
              <w:right w:w="20" w:type="dxa"/>
            </w:tcMar>
            <w:vAlign w:val="center"/>
          </w:tcPr>
          <w:p w14:paraId="33DAE2E9" w14:textId="77777777" w:rsidR="004D6A64" w:rsidRDefault="004D6A64">
            <w:pPr>
              <w:jc w:val="right"/>
              <w:rPr>
                <w:rFonts w:ascii="宋体"/>
              </w:rPr>
            </w:pPr>
          </w:p>
        </w:tc>
        <w:tc>
          <w:tcPr>
            <w:tcW w:w="0" w:type="auto"/>
            <w:shd w:val="clear" w:color="auto" w:fill="auto"/>
          </w:tcPr>
          <w:p w14:paraId="33DAE2EA" w14:textId="77777777" w:rsidR="004D6A64" w:rsidRDefault="004D6A64">
            <w:pPr>
              <w:rPr>
                <w:rFonts w:ascii="宋体"/>
              </w:rPr>
            </w:pPr>
          </w:p>
        </w:tc>
        <w:tc>
          <w:tcPr>
            <w:tcW w:w="0" w:type="auto"/>
            <w:shd w:val="clear" w:color="auto" w:fill="auto"/>
          </w:tcPr>
          <w:p w14:paraId="33DAE2EB" w14:textId="77777777" w:rsidR="004D6A64" w:rsidRDefault="004D6A64">
            <w:pPr>
              <w:rPr>
                <w:rFonts w:ascii="宋体"/>
              </w:rPr>
            </w:pPr>
          </w:p>
        </w:tc>
        <w:tc>
          <w:tcPr>
            <w:tcW w:w="0" w:type="auto"/>
            <w:shd w:val="clear" w:color="auto" w:fill="auto"/>
          </w:tcPr>
          <w:p w14:paraId="33DAE2EC" w14:textId="77777777" w:rsidR="004D6A64" w:rsidRDefault="004D6A64">
            <w:pPr>
              <w:rPr>
                <w:rFonts w:ascii="宋体"/>
              </w:rPr>
            </w:pPr>
          </w:p>
        </w:tc>
        <w:tc>
          <w:tcPr>
            <w:tcW w:w="0" w:type="auto"/>
            <w:shd w:val="clear" w:color="auto" w:fill="auto"/>
          </w:tcPr>
          <w:p w14:paraId="33DAE2ED" w14:textId="77777777" w:rsidR="004D6A64" w:rsidRDefault="004D6A64">
            <w:pPr>
              <w:rPr>
                <w:rFonts w:ascii="宋体"/>
              </w:rPr>
            </w:pPr>
          </w:p>
        </w:tc>
        <w:tc>
          <w:tcPr>
            <w:tcW w:w="0" w:type="auto"/>
            <w:shd w:val="clear" w:color="auto" w:fill="auto"/>
          </w:tcPr>
          <w:p w14:paraId="33DAE2EE" w14:textId="77777777" w:rsidR="004D6A64" w:rsidRDefault="004D6A64">
            <w:pPr>
              <w:rPr>
                <w:rFonts w:ascii="宋体"/>
              </w:rPr>
            </w:pPr>
          </w:p>
        </w:tc>
        <w:tc>
          <w:tcPr>
            <w:tcW w:w="0" w:type="auto"/>
            <w:shd w:val="clear" w:color="auto" w:fill="auto"/>
          </w:tcPr>
          <w:p w14:paraId="33DAE2EF" w14:textId="77777777" w:rsidR="004D6A64" w:rsidRDefault="004D6A64">
            <w:pPr>
              <w:rPr>
                <w:rFonts w:ascii="宋体"/>
              </w:rPr>
            </w:pPr>
          </w:p>
        </w:tc>
        <w:tc>
          <w:tcPr>
            <w:tcW w:w="0" w:type="auto"/>
            <w:shd w:val="clear" w:color="auto" w:fill="auto"/>
          </w:tcPr>
          <w:p w14:paraId="33DAE2F0" w14:textId="77777777" w:rsidR="004D6A64" w:rsidRDefault="004D6A64">
            <w:pPr>
              <w:rPr>
                <w:rFonts w:ascii="宋体"/>
              </w:rPr>
            </w:pPr>
          </w:p>
        </w:tc>
        <w:tc>
          <w:tcPr>
            <w:tcW w:w="0" w:type="auto"/>
            <w:shd w:val="clear" w:color="auto" w:fill="auto"/>
          </w:tcPr>
          <w:p w14:paraId="33DAE2F1" w14:textId="77777777" w:rsidR="004D6A64" w:rsidRDefault="004D6A64">
            <w:pPr>
              <w:rPr>
                <w:rFonts w:ascii="宋体"/>
              </w:rPr>
            </w:pPr>
          </w:p>
        </w:tc>
        <w:tc>
          <w:tcPr>
            <w:tcW w:w="0" w:type="auto"/>
            <w:shd w:val="clear" w:color="auto" w:fill="auto"/>
          </w:tcPr>
          <w:p w14:paraId="33DAE2F2" w14:textId="77777777" w:rsidR="004D6A64" w:rsidRDefault="004D6A64">
            <w:pPr>
              <w:rPr>
                <w:rFonts w:ascii="宋体"/>
              </w:rPr>
            </w:pPr>
          </w:p>
        </w:tc>
        <w:tc>
          <w:tcPr>
            <w:tcW w:w="0" w:type="auto"/>
            <w:shd w:val="clear" w:color="auto" w:fill="auto"/>
          </w:tcPr>
          <w:p w14:paraId="33DAE2F3" w14:textId="77777777" w:rsidR="004D6A64" w:rsidRDefault="004D6A64">
            <w:pPr>
              <w:rPr>
                <w:rFonts w:ascii="宋体"/>
              </w:rPr>
            </w:pPr>
          </w:p>
        </w:tc>
        <w:tc>
          <w:tcPr>
            <w:tcW w:w="0" w:type="auto"/>
            <w:shd w:val="clear" w:color="auto" w:fill="auto"/>
          </w:tcPr>
          <w:p w14:paraId="33DAE2F4" w14:textId="77777777" w:rsidR="004D6A64" w:rsidRDefault="004D6A64">
            <w:pPr>
              <w:rPr>
                <w:rFonts w:ascii="宋体"/>
              </w:rPr>
            </w:pPr>
          </w:p>
        </w:tc>
        <w:tc>
          <w:tcPr>
            <w:tcW w:w="0" w:type="auto"/>
            <w:shd w:val="clear" w:color="auto" w:fill="auto"/>
          </w:tcPr>
          <w:p w14:paraId="33DAE2F5" w14:textId="77777777" w:rsidR="004D6A64" w:rsidRDefault="004D6A64">
            <w:pPr>
              <w:rPr>
                <w:rFonts w:ascii="宋体"/>
              </w:rPr>
            </w:pPr>
          </w:p>
        </w:tc>
        <w:tc>
          <w:tcPr>
            <w:tcW w:w="0" w:type="auto"/>
            <w:shd w:val="clear" w:color="auto" w:fill="auto"/>
          </w:tcPr>
          <w:p w14:paraId="33DAE2F6" w14:textId="77777777" w:rsidR="004D6A64" w:rsidRDefault="004D6A64">
            <w:pPr>
              <w:rPr>
                <w:rFonts w:ascii="宋体"/>
              </w:rPr>
            </w:pPr>
          </w:p>
        </w:tc>
        <w:tc>
          <w:tcPr>
            <w:tcW w:w="0" w:type="auto"/>
            <w:shd w:val="clear" w:color="auto" w:fill="auto"/>
          </w:tcPr>
          <w:p w14:paraId="33DAE2F7" w14:textId="77777777" w:rsidR="004D6A64" w:rsidRDefault="004D6A64">
            <w:pPr>
              <w:rPr>
                <w:rFonts w:ascii="宋体"/>
              </w:rPr>
            </w:pPr>
          </w:p>
        </w:tc>
        <w:tc>
          <w:tcPr>
            <w:tcW w:w="0" w:type="auto"/>
            <w:shd w:val="clear" w:color="auto" w:fill="auto"/>
          </w:tcPr>
          <w:p w14:paraId="33DAE2F8" w14:textId="77777777" w:rsidR="004D6A64" w:rsidRDefault="004D6A64">
            <w:pPr>
              <w:rPr>
                <w:rFonts w:ascii="宋体"/>
              </w:rPr>
            </w:pPr>
          </w:p>
        </w:tc>
        <w:tc>
          <w:tcPr>
            <w:tcW w:w="0" w:type="auto"/>
            <w:shd w:val="clear" w:color="auto" w:fill="auto"/>
          </w:tcPr>
          <w:p w14:paraId="33DAE2F9" w14:textId="77777777" w:rsidR="004D6A64" w:rsidRDefault="004D6A64">
            <w:pPr>
              <w:rPr>
                <w:rFonts w:ascii="宋体"/>
              </w:rPr>
            </w:pPr>
          </w:p>
        </w:tc>
        <w:tc>
          <w:tcPr>
            <w:tcW w:w="0" w:type="auto"/>
            <w:shd w:val="clear" w:color="auto" w:fill="auto"/>
          </w:tcPr>
          <w:p w14:paraId="33DAE2FA" w14:textId="77777777" w:rsidR="004D6A64" w:rsidRDefault="004D6A64">
            <w:pPr>
              <w:rPr>
                <w:rFonts w:ascii="宋体"/>
              </w:rPr>
            </w:pPr>
          </w:p>
        </w:tc>
        <w:tc>
          <w:tcPr>
            <w:tcW w:w="0" w:type="auto"/>
            <w:shd w:val="clear" w:color="auto" w:fill="auto"/>
          </w:tcPr>
          <w:p w14:paraId="33DAE2FB" w14:textId="77777777" w:rsidR="004D6A64" w:rsidRDefault="004D6A64">
            <w:pPr>
              <w:rPr>
                <w:rFonts w:ascii="宋体"/>
              </w:rPr>
            </w:pPr>
          </w:p>
        </w:tc>
        <w:tc>
          <w:tcPr>
            <w:tcW w:w="0" w:type="auto"/>
            <w:shd w:val="clear" w:color="auto" w:fill="auto"/>
          </w:tcPr>
          <w:p w14:paraId="33DAE2FC" w14:textId="77777777" w:rsidR="004D6A64" w:rsidRDefault="004D6A64">
            <w:pPr>
              <w:rPr>
                <w:rFonts w:ascii="宋体"/>
              </w:rPr>
            </w:pPr>
          </w:p>
        </w:tc>
        <w:tc>
          <w:tcPr>
            <w:tcW w:w="0" w:type="auto"/>
            <w:shd w:val="clear" w:color="auto" w:fill="auto"/>
          </w:tcPr>
          <w:p w14:paraId="33DAE2FD" w14:textId="77777777" w:rsidR="004D6A64" w:rsidRDefault="004D6A64">
            <w:pPr>
              <w:rPr>
                <w:rFonts w:ascii="宋体"/>
              </w:rPr>
            </w:pPr>
          </w:p>
        </w:tc>
        <w:tc>
          <w:tcPr>
            <w:tcW w:w="0" w:type="auto"/>
            <w:shd w:val="clear" w:color="auto" w:fill="auto"/>
          </w:tcPr>
          <w:p w14:paraId="33DAE2FE" w14:textId="77777777" w:rsidR="004D6A64" w:rsidRDefault="004D6A64">
            <w:pPr>
              <w:rPr>
                <w:rFonts w:ascii="宋体"/>
              </w:rPr>
            </w:pPr>
          </w:p>
        </w:tc>
        <w:tc>
          <w:tcPr>
            <w:tcW w:w="0" w:type="auto"/>
            <w:shd w:val="clear" w:color="auto" w:fill="auto"/>
          </w:tcPr>
          <w:p w14:paraId="33DAE2FF" w14:textId="77777777" w:rsidR="004D6A64" w:rsidRDefault="004D6A64">
            <w:pPr>
              <w:rPr>
                <w:rFonts w:ascii="宋体"/>
              </w:rPr>
            </w:pPr>
          </w:p>
        </w:tc>
        <w:tc>
          <w:tcPr>
            <w:tcW w:w="0" w:type="auto"/>
            <w:shd w:val="clear" w:color="auto" w:fill="auto"/>
          </w:tcPr>
          <w:p w14:paraId="33DAE300" w14:textId="77777777" w:rsidR="004D6A64" w:rsidRDefault="004D6A64">
            <w:pPr>
              <w:rPr>
                <w:rFonts w:ascii="宋体"/>
              </w:rPr>
            </w:pPr>
          </w:p>
        </w:tc>
        <w:tc>
          <w:tcPr>
            <w:tcW w:w="0" w:type="auto"/>
            <w:shd w:val="clear" w:color="auto" w:fill="auto"/>
          </w:tcPr>
          <w:p w14:paraId="33DAE301" w14:textId="77777777" w:rsidR="004D6A64" w:rsidRDefault="004D6A64">
            <w:pPr>
              <w:rPr>
                <w:rFonts w:ascii="宋体"/>
              </w:rPr>
            </w:pPr>
          </w:p>
        </w:tc>
        <w:tc>
          <w:tcPr>
            <w:tcW w:w="0" w:type="auto"/>
            <w:shd w:val="clear" w:color="auto" w:fill="auto"/>
          </w:tcPr>
          <w:p w14:paraId="33DAE302" w14:textId="77777777" w:rsidR="004D6A64" w:rsidRDefault="004D6A64">
            <w:pPr>
              <w:rPr>
                <w:rFonts w:ascii="宋体"/>
              </w:rPr>
            </w:pPr>
          </w:p>
        </w:tc>
        <w:tc>
          <w:tcPr>
            <w:tcW w:w="0" w:type="auto"/>
            <w:shd w:val="clear" w:color="auto" w:fill="auto"/>
          </w:tcPr>
          <w:p w14:paraId="33DAE303" w14:textId="77777777" w:rsidR="004D6A64" w:rsidRDefault="004D6A64">
            <w:pPr>
              <w:rPr>
                <w:rFonts w:ascii="宋体"/>
              </w:rPr>
            </w:pPr>
          </w:p>
        </w:tc>
        <w:tc>
          <w:tcPr>
            <w:tcW w:w="0" w:type="auto"/>
            <w:shd w:val="clear" w:color="auto" w:fill="auto"/>
          </w:tcPr>
          <w:p w14:paraId="33DAE304" w14:textId="77777777" w:rsidR="004D6A64" w:rsidRDefault="004D6A64">
            <w:pPr>
              <w:rPr>
                <w:rFonts w:ascii="宋体"/>
              </w:rPr>
            </w:pPr>
          </w:p>
        </w:tc>
      </w:tr>
      <w:tr w:rsidR="004D6A64" w14:paraId="33DAE331" w14:textId="77777777">
        <w:trPr>
          <w:jc w:val="center"/>
        </w:trPr>
        <w:tc>
          <w:tcPr>
            <w:tcW w:w="0" w:type="auto"/>
            <w:gridSpan w:val="3"/>
            <w:shd w:val="clear" w:color="auto" w:fill="CCEEFF"/>
            <w:tcMar>
              <w:top w:w="40" w:type="dxa"/>
              <w:left w:w="225" w:type="dxa"/>
              <w:bottom w:w="40" w:type="dxa"/>
              <w:right w:w="20" w:type="dxa"/>
            </w:tcMar>
            <w:vAlign w:val="center"/>
          </w:tcPr>
          <w:p w14:paraId="33DAE306" w14:textId="77777777" w:rsidR="004D6A64" w:rsidRDefault="00506CD6">
            <w:pPr>
              <w:textAlignment w:val="center"/>
            </w:pPr>
            <w:r>
              <w:rPr>
                <w:rFonts w:ascii="Times New Roman" w:eastAsia="宋体" w:hAnsi="Times New Roman"/>
                <w:color w:val="000000"/>
                <w:sz w:val="20"/>
                <w:szCs w:val="20"/>
              </w:rPr>
              <w:t>Impact of purchase accounting</w:t>
            </w:r>
          </w:p>
        </w:tc>
        <w:tc>
          <w:tcPr>
            <w:tcW w:w="0" w:type="auto"/>
            <w:gridSpan w:val="2"/>
            <w:shd w:val="clear" w:color="auto" w:fill="CCEEFF"/>
            <w:tcMar>
              <w:top w:w="40" w:type="dxa"/>
              <w:left w:w="20" w:type="dxa"/>
              <w:bottom w:w="40" w:type="dxa"/>
              <w:right w:w="0" w:type="dxa"/>
            </w:tcMar>
            <w:vAlign w:val="center"/>
          </w:tcPr>
          <w:p w14:paraId="33DAE307" w14:textId="77777777" w:rsidR="004D6A64" w:rsidRDefault="00506CD6">
            <w:pPr>
              <w:jc w:val="right"/>
              <w:textAlignment w:val="center"/>
            </w:pPr>
            <w:r>
              <w:rPr>
                <w:rFonts w:ascii="Times New Roman" w:eastAsia="宋体" w:hAnsi="Times New Roman"/>
                <w:color w:val="000000"/>
                <w:sz w:val="20"/>
                <w:szCs w:val="20"/>
              </w:rPr>
              <w:t>(10)</w:t>
            </w:r>
          </w:p>
        </w:tc>
        <w:tc>
          <w:tcPr>
            <w:tcW w:w="0" w:type="auto"/>
            <w:shd w:val="clear" w:color="auto" w:fill="CCEEFF"/>
            <w:tcMar>
              <w:top w:w="40" w:type="dxa"/>
              <w:bottom w:w="40" w:type="dxa"/>
              <w:right w:w="20" w:type="dxa"/>
            </w:tcMar>
            <w:vAlign w:val="center"/>
          </w:tcPr>
          <w:p w14:paraId="33DAE30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309"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30A"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30B"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30C" w14:textId="77777777" w:rsidR="004D6A64" w:rsidRDefault="00506CD6">
            <w:pPr>
              <w:jc w:val="right"/>
              <w:textAlignment w:val="center"/>
            </w:pPr>
            <w:r>
              <w:rPr>
                <w:rFonts w:ascii="Times New Roman" w:eastAsia="宋体" w:hAnsi="Times New Roman"/>
                <w:color w:val="000000"/>
                <w:sz w:val="20"/>
                <w:szCs w:val="20"/>
              </w:rPr>
              <w:t>(17)</w:t>
            </w:r>
          </w:p>
        </w:tc>
        <w:tc>
          <w:tcPr>
            <w:tcW w:w="0" w:type="auto"/>
            <w:shd w:val="clear" w:color="auto" w:fill="CCEEFF"/>
            <w:tcMar>
              <w:top w:w="40" w:type="dxa"/>
              <w:bottom w:w="40" w:type="dxa"/>
              <w:right w:w="20" w:type="dxa"/>
            </w:tcMar>
            <w:vAlign w:val="center"/>
          </w:tcPr>
          <w:p w14:paraId="33DAE30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30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30F" w14:textId="77777777" w:rsidR="004D6A64" w:rsidRDefault="00506CD6">
            <w:pPr>
              <w:jc w:val="right"/>
              <w:textAlignment w:val="center"/>
            </w:pPr>
            <w:r>
              <w:rPr>
                <w:rFonts w:ascii="Times New Roman" w:eastAsia="宋体" w:hAnsi="Times New Roman"/>
                <w:color w:val="000000"/>
                <w:sz w:val="20"/>
                <w:szCs w:val="20"/>
              </w:rPr>
              <w:t>(22)</w:t>
            </w:r>
          </w:p>
        </w:tc>
        <w:tc>
          <w:tcPr>
            <w:tcW w:w="0" w:type="auto"/>
            <w:shd w:val="clear" w:color="auto" w:fill="CCEEFF"/>
            <w:tcMar>
              <w:top w:w="40" w:type="dxa"/>
              <w:bottom w:w="40" w:type="dxa"/>
              <w:right w:w="20" w:type="dxa"/>
            </w:tcMar>
            <w:vAlign w:val="center"/>
          </w:tcPr>
          <w:p w14:paraId="33DAE31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311"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312"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31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314" w14:textId="77777777" w:rsidR="004D6A64" w:rsidRDefault="00506CD6">
            <w:pPr>
              <w:jc w:val="right"/>
              <w:textAlignment w:val="center"/>
            </w:pPr>
            <w:r>
              <w:rPr>
                <w:rFonts w:ascii="Times New Roman" w:eastAsia="宋体" w:hAnsi="Times New Roman"/>
                <w:color w:val="000000"/>
                <w:sz w:val="20"/>
                <w:szCs w:val="20"/>
              </w:rPr>
              <w:t>(34)</w:t>
            </w:r>
          </w:p>
        </w:tc>
        <w:tc>
          <w:tcPr>
            <w:tcW w:w="0" w:type="auto"/>
            <w:shd w:val="clear" w:color="auto" w:fill="CCEEFF"/>
            <w:tcMar>
              <w:top w:w="40" w:type="dxa"/>
              <w:bottom w:w="40" w:type="dxa"/>
              <w:right w:w="20" w:type="dxa"/>
            </w:tcMar>
            <w:vAlign w:val="center"/>
          </w:tcPr>
          <w:p w14:paraId="33DAE315" w14:textId="77777777" w:rsidR="004D6A64" w:rsidRDefault="004D6A64">
            <w:pPr>
              <w:jc w:val="right"/>
              <w:rPr>
                <w:rFonts w:ascii="宋体"/>
              </w:rPr>
            </w:pPr>
          </w:p>
        </w:tc>
        <w:tc>
          <w:tcPr>
            <w:tcW w:w="0" w:type="auto"/>
            <w:shd w:val="clear" w:color="auto" w:fill="auto"/>
          </w:tcPr>
          <w:p w14:paraId="33DAE316" w14:textId="77777777" w:rsidR="004D6A64" w:rsidRDefault="004D6A64">
            <w:pPr>
              <w:rPr>
                <w:rFonts w:ascii="宋体"/>
              </w:rPr>
            </w:pPr>
          </w:p>
        </w:tc>
        <w:tc>
          <w:tcPr>
            <w:tcW w:w="0" w:type="auto"/>
            <w:shd w:val="clear" w:color="auto" w:fill="auto"/>
          </w:tcPr>
          <w:p w14:paraId="33DAE317" w14:textId="77777777" w:rsidR="004D6A64" w:rsidRDefault="004D6A64">
            <w:pPr>
              <w:rPr>
                <w:rFonts w:ascii="宋体"/>
              </w:rPr>
            </w:pPr>
          </w:p>
        </w:tc>
        <w:tc>
          <w:tcPr>
            <w:tcW w:w="0" w:type="auto"/>
            <w:shd w:val="clear" w:color="auto" w:fill="auto"/>
          </w:tcPr>
          <w:p w14:paraId="33DAE318" w14:textId="77777777" w:rsidR="004D6A64" w:rsidRDefault="004D6A64">
            <w:pPr>
              <w:rPr>
                <w:rFonts w:ascii="宋体"/>
              </w:rPr>
            </w:pPr>
          </w:p>
        </w:tc>
        <w:tc>
          <w:tcPr>
            <w:tcW w:w="0" w:type="auto"/>
            <w:shd w:val="clear" w:color="auto" w:fill="auto"/>
          </w:tcPr>
          <w:p w14:paraId="33DAE319" w14:textId="77777777" w:rsidR="004D6A64" w:rsidRDefault="004D6A64">
            <w:pPr>
              <w:rPr>
                <w:rFonts w:ascii="宋体"/>
              </w:rPr>
            </w:pPr>
          </w:p>
        </w:tc>
        <w:tc>
          <w:tcPr>
            <w:tcW w:w="0" w:type="auto"/>
            <w:shd w:val="clear" w:color="auto" w:fill="auto"/>
          </w:tcPr>
          <w:p w14:paraId="33DAE31A" w14:textId="77777777" w:rsidR="004D6A64" w:rsidRDefault="004D6A64">
            <w:pPr>
              <w:rPr>
                <w:rFonts w:ascii="宋体"/>
              </w:rPr>
            </w:pPr>
          </w:p>
        </w:tc>
        <w:tc>
          <w:tcPr>
            <w:tcW w:w="0" w:type="auto"/>
            <w:shd w:val="clear" w:color="auto" w:fill="auto"/>
          </w:tcPr>
          <w:p w14:paraId="33DAE31B" w14:textId="77777777" w:rsidR="004D6A64" w:rsidRDefault="004D6A64">
            <w:pPr>
              <w:rPr>
                <w:rFonts w:ascii="宋体"/>
              </w:rPr>
            </w:pPr>
          </w:p>
        </w:tc>
        <w:tc>
          <w:tcPr>
            <w:tcW w:w="0" w:type="auto"/>
            <w:shd w:val="clear" w:color="auto" w:fill="auto"/>
          </w:tcPr>
          <w:p w14:paraId="33DAE31C" w14:textId="77777777" w:rsidR="004D6A64" w:rsidRDefault="004D6A64">
            <w:pPr>
              <w:rPr>
                <w:rFonts w:ascii="宋体"/>
              </w:rPr>
            </w:pPr>
          </w:p>
        </w:tc>
        <w:tc>
          <w:tcPr>
            <w:tcW w:w="0" w:type="auto"/>
            <w:shd w:val="clear" w:color="auto" w:fill="auto"/>
          </w:tcPr>
          <w:p w14:paraId="33DAE31D" w14:textId="77777777" w:rsidR="004D6A64" w:rsidRDefault="004D6A64">
            <w:pPr>
              <w:rPr>
                <w:rFonts w:ascii="宋体"/>
              </w:rPr>
            </w:pPr>
          </w:p>
        </w:tc>
        <w:tc>
          <w:tcPr>
            <w:tcW w:w="0" w:type="auto"/>
            <w:shd w:val="clear" w:color="auto" w:fill="auto"/>
          </w:tcPr>
          <w:p w14:paraId="33DAE31E" w14:textId="77777777" w:rsidR="004D6A64" w:rsidRDefault="004D6A64">
            <w:pPr>
              <w:rPr>
                <w:rFonts w:ascii="宋体"/>
              </w:rPr>
            </w:pPr>
          </w:p>
        </w:tc>
        <w:tc>
          <w:tcPr>
            <w:tcW w:w="0" w:type="auto"/>
            <w:shd w:val="clear" w:color="auto" w:fill="auto"/>
          </w:tcPr>
          <w:p w14:paraId="33DAE31F" w14:textId="77777777" w:rsidR="004D6A64" w:rsidRDefault="004D6A64">
            <w:pPr>
              <w:rPr>
                <w:rFonts w:ascii="宋体"/>
              </w:rPr>
            </w:pPr>
          </w:p>
        </w:tc>
        <w:tc>
          <w:tcPr>
            <w:tcW w:w="0" w:type="auto"/>
            <w:shd w:val="clear" w:color="auto" w:fill="auto"/>
          </w:tcPr>
          <w:p w14:paraId="33DAE320" w14:textId="77777777" w:rsidR="004D6A64" w:rsidRDefault="004D6A64">
            <w:pPr>
              <w:rPr>
                <w:rFonts w:ascii="宋体"/>
              </w:rPr>
            </w:pPr>
          </w:p>
        </w:tc>
        <w:tc>
          <w:tcPr>
            <w:tcW w:w="0" w:type="auto"/>
            <w:shd w:val="clear" w:color="auto" w:fill="auto"/>
          </w:tcPr>
          <w:p w14:paraId="33DAE321" w14:textId="77777777" w:rsidR="004D6A64" w:rsidRDefault="004D6A64">
            <w:pPr>
              <w:rPr>
                <w:rFonts w:ascii="宋体"/>
              </w:rPr>
            </w:pPr>
          </w:p>
        </w:tc>
        <w:tc>
          <w:tcPr>
            <w:tcW w:w="0" w:type="auto"/>
            <w:shd w:val="clear" w:color="auto" w:fill="auto"/>
          </w:tcPr>
          <w:p w14:paraId="33DAE322" w14:textId="77777777" w:rsidR="004D6A64" w:rsidRDefault="004D6A64">
            <w:pPr>
              <w:rPr>
                <w:rFonts w:ascii="宋体"/>
              </w:rPr>
            </w:pPr>
          </w:p>
        </w:tc>
        <w:tc>
          <w:tcPr>
            <w:tcW w:w="0" w:type="auto"/>
            <w:shd w:val="clear" w:color="auto" w:fill="auto"/>
          </w:tcPr>
          <w:p w14:paraId="33DAE323" w14:textId="77777777" w:rsidR="004D6A64" w:rsidRDefault="004D6A64">
            <w:pPr>
              <w:rPr>
                <w:rFonts w:ascii="宋体"/>
              </w:rPr>
            </w:pPr>
          </w:p>
        </w:tc>
        <w:tc>
          <w:tcPr>
            <w:tcW w:w="0" w:type="auto"/>
            <w:shd w:val="clear" w:color="auto" w:fill="auto"/>
          </w:tcPr>
          <w:p w14:paraId="33DAE324" w14:textId="77777777" w:rsidR="004D6A64" w:rsidRDefault="004D6A64">
            <w:pPr>
              <w:rPr>
                <w:rFonts w:ascii="宋体"/>
              </w:rPr>
            </w:pPr>
          </w:p>
        </w:tc>
        <w:tc>
          <w:tcPr>
            <w:tcW w:w="0" w:type="auto"/>
            <w:shd w:val="clear" w:color="auto" w:fill="auto"/>
          </w:tcPr>
          <w:p w14:paraId="33DAE325" w14:textId="77777777" w:rsidR="004D6A64" w:rsidRDefault="004D6A64">
            <w:pPr>
              <w:rPr>
                <w:rFonts w:ascii="宋体"/>
              </w:rPr>
            </w:pPr>
          </w:p>
        </w:tc>
        <w:tc>
          <w:tcPr>
            <w:tcW w:w="0" w:type="auto"/>
            <w:shd w:val="clear" w:color="auto" w:fill="auto"/>
          </w:tcPr>
          <w:p w14:paraId="33DAE326" w14:textId="77777777" w:rsidR="004D6A64" w:rsidRDefault="004D6A64">
            <w:pPr>
              <w:rPr>
                <w:rFonts w:ascii="宋体"/>
              </w:rPr>
            </w:pPr>
          </w:p>
        </w:tc>
        <w:tc>
          <w:tcPr>
            <w:tcW w:w="0" w:type="auto"/>
            <w:shd w:val="clear" w:color="auto" w:fill="auto"/>
          </w:tcPr>
          <w:p w14:paraId="33DAE327" w14:textId="77777777" w:rsidR="004D6A64" w:rsidRDefault="004D6A64">
            <w:pPr>
              <w:rPr>
                <w:rFonts w:ascii="宋体"/>
              </w:rPr>
            </w:pPr>
          </w:p>
        </w:tc>
        <w:tc>
          <w:tcPr>
            <w:tcW w:w="0" w:type="auto"/>
            <w:shd w:val="clear" w:color="auto" w:fill="auto"/>
          </w:tcPr>
          <w:p w14:paraId="33DAE328" w14:textId="77777777" w:rsidR="004D6A64" w:rsidRDefault="004D6A64">
            <w:pPr>
              <w:rPr>
                <w:rFonts w:ascii="宋体"/>
              </w:rPr>
            </w:pPr>
          </w:p>
        </w:tc>
        <w:tc>
          <w:tcPr>
            <w:tcW w:w="0" w:type="auto"/>
            <w:shd w:val="clear" w:color="auto" w:fill="auto"/>
          </w:tcPr>
          <w:p w14:paraId="33DAE329" w14:textId="77777777" w:rsidR="004D6A64" w:rsidRDefault="004D6A64">
            <w:pPr>
              <w:rPr>
                <w:rFonts w:ascii="宋体"/>
              </w:rPr>
            </w:pPr>
          </w:p>
        </w:tc>
        <w:tc>
          <w:tcPr>
            <w:tcW w:w="0" w:type="auto"/>
            <w:shd w:val="clear" w:color="auto" w:fill="auto"/>
          </w:tcPr>
          <w:p w14:paraId="33DAE32A" w14:textId="77777777" w:rsidR="004D6A64" w:rsidRDefault="004D6A64">
            <w:pPr>
              <w:rPr>
                <w:rFonts w:ascii="宋体"/>
              </w:rPr>
            </w:pPr>
          </w:p>
        </w:tc>
        <w:tc>
          <w:tcPr>
            <w:tcW w:w="0" w:type="auto"/>
            <w:shd w:val="clear" w:color="auto" w:fill="auto"/>
          </w:tcPr>
          <w:p w14:paraId="33DAE32B" w14:textId="77777777" w:rsidR="004D6A64" w:rsidRDefault="004D6A64">
            <w:pPr>
              <w:rPr>
                <w:rFonts w:ascii="宋体"/>
              </w:rPr>
            </w:pPr>
          </w:p>
        </w:tc>
        <w:tc>
          <w:tcPr>
            <w:tcW w:w="0" w:type="auto"/>
            <w:shd w:val="clear" w:color="auto" w:fill="auto"/>
          </w:tcPr>
          <w:p w14:paraId="33DAE32C" w14:textId="77777777" w:rsidR="004D6A64" w:rsidRDefault="004D6A64">
            <w:pPr>
              <w:rPr>
                <w:rFonts w:ascii="宋体"/>
              </w:rPr>
            </w:pPr>
          </w:p>
        </w:tc>
        <w:tc>
          <w:tcPr>
            <w:tcW w:w="0" w:type="auto"/>
            <w:shd w:val="clear" w:color="auto" w:fill="auto"/>
          </w:tcPr>
          <w:p w14:paraId="33DAE32D" w14:textId="77777777" w:rsidR="004D6A64" w:rsidRDefault="004D6A64">
            <w:pPr>
              <w:rPr>
                <w:rFonts w:ascii="宋体"/>
              </w:rPr>
            </w:pPr>
          </w:p>
        </w:tc>
        <w:tc>
          <w:tcPr>
            <w:tcW w:w="0" w:type="auto"/>
            <w:shd w:val="clear" w:color="auto" w:fill="auto"/>
          </w:tcPr>
          <w:p w14:paraId="33DAE32E" w14:textId="77777777" w:rsidR="004D6A64" w:rsidRDefault="004D6A64">
            <w:pPr>
              <w:rPr>
                <w:rFonts w:ascii="宋体"/>
              </w:rPr>
            </w:pPr>
          </w:p>
        </w:tc>
        <w:tc>
          <w:tcPr>
            <w:tcW w:w="0" w:type="auto"/>
            <w:shd w:val="clear" w:color="auto" w:fill="auto"/>
          </w:tcPr>
          <w:p w14:paraId="33DAE32F" w14:textId="77777777" w:rsidR="004D6A64" w:rsidRDefault="004D6A64">
            <w:pPr>
              <w:rPr>
                <w:rFonts w:ascii="宋体"/>
              </w:rPr>
            </w:pPr>
          </w:p>
        </w:tc>
        <w:tc>
          <w:tcPr>
            <w:tcW w:w="0" w:type="auto"/>
            <w:shd w:val="clear" w:color="auto" w:fill="auto"/>
          </w:tcPr>
          <w:p w14:paraId="33DAE330" w14:textId="77777777" w:rsidR="004D6A64" w:rsidRDefault="004D6A64">
            <w:pPr>
              <w:rPr>
                <w:rFonts w:ascii="宋体"/>
              </w:rPr>
            </w:pPr>
          </w:p>
        </w:tc>
      </w:tr>
      <w:tr w:rsidR="004D6A64" w14:paraId="33DAE35D" w14:textId="77777777">
        <w:trPr>
          <w:jc w:val="center"/>
        </w:trPr>
        <w:tc>
          <w:tcPr>
            <w:tcW w:w="0" w:type="auto"/>
            <w:gridSpan w:val="3"/>
            <w:shd w:val="clear" w:color="auto" w:fill="FFFFFF"/>
            <w:tcMar>
              <w:top w:w="40" w:type="dxa"/>
              <w:left w:w="225" w:type="dxa"/>
              <w:bottom w:w="40" w:type="dxa"/>
              <w:right w:w="20" w:type="dxa"/>
            </w:tcMar>
            <w:vAlign w:val="center"/>
          </w:tcPr>
          <w:p w14:paraId="33DAE332" w14:textId="77777777" w:rsidR="004D6A64" w:rsidRDefault="00506CD6">
            <w:pPr>
              <w:textAlignment w:val="center"/>
            </w:pPr>
            <w:r>
              <w:rPr>
                <w:rFonts w:ascii="Times New Roman" w:eastAsia="宋体" w:hAnsi="Times New Roman"/>
                <w:color w:val="000000"/>
                <w:sz w:val="20"/>
                <w:szCs w:val="20"/>
              </w:rPr>
              <w:t>Transaction-related expenses</w:t>
            </w:r>
          </w:p>
        </w:tc>
        <w:tc>
          <w:tcPr>
            <w:tcW w:w="0" w:type="auto"/>
            <w:gridSpan w:val="2"/>
            <w:shd w:val="clear" w:color="auto" w:fill="FFFFFF"/>
            <w:tcMar>
              <w:top w:w="40" w:type="dxa"/>
              <w:left w:w="20" w:type="dxa"/>
              <w:bottom w:w="40" w:type="dxa"/>
              <w:right w:w="0" w:type="dxa"/>
            </w:tcMar>
            <w:vAlign w:val="center"/>
          </w:tcPr>
          <w:p w14:paraId="33DAE333" w14:textId="77777777" w:rsidR="004D6A64" w:rsidRDefault="00506CD6">
            <w:pPr>
              <w:jc w:val="right"/>
              <w:textAlignment w:val="center"/>
            </w:pPr>
            <w:r>
              <w:rPr>
                <w:rFonts w:ascii="Times New Roman" w:eastAsia="宋体" w:hAnsi="Times New Roman"/>
                <w:color w:val="000000"/>
                <w:sz w:val="20"/>
                <w:szCs w:val="20"/>
              </w:rPr>
              <w:t>(83)</w:t>
            </w:r>
          </w:p>
        </w:tc>
        <w:tc>
          <w:tcPr>
            <w:tcW w:w="0" w:type="auto"/>
            <w:shd w:val="clear" w:color="auto" w:fill="FFFFFF"/>
            <w:tcMar>
              <w:top w:w="40" w:type="dxa"/>
              <w:bottom w:w="40" w:type="dxa"/>
              <w:right w:w="20" w:type="dxa"/>
            </w:tcMar>
            <w:vAlign w:val="center"/>
          </w:tcPr>
          <w:p w14:paraId="33DAE33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335"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336"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337"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338" w14:textId="77777777" w:rsidR="004D6A64" w:rsidRDefault="00506CD6">
            <w:pPr>
              <w:jc w:val="right"/>
              <w:textAlignment w:val="center"/>
            </w:pPr>
            <w:r>
              <w:rPr>
                <w:rFonts w:ascii="Times New Roman" w:eastAsia="宋体" w:hAnsi="Times New Roman"/>
                <w:color w:val="000000"/>
                <w:sz w:val="20"/>
                <w:szCs w:val="20"/>
              </w:rPr>
              <w:t>(47)</w:t>
            </w:r>
          </w:p>
        </w:tc>
        <w:tc>
          <w:tcPr>
            <w:tcW w:w="0" w:type="auto"/>
            <w:shd w:val="clear" w:color="auto" w:fill="FFFFFF"/>
            <w:tcMar>
              <w:top w:w="40" w:type="dxa"/>
              <w:bottom w:w="40" w:type="dxa"/>
              <w:right w:w="20" w:type="dxa"/>
            </w:tcMar>
            <w:vAlign w:val="center"/>
          </w:tcPr>
          <w:p w14:paraId="33DAE33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33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33B" w14:textId="77777777" w:rsidR="004D6A64" w:rsidRDefault="00506CD6">
            <w:pPr>
              <w:jc w:val="right"/>
              <w:textAlignment w:val="center"/>
            </w:pPr>
            <w:r>
              <w:rPr>
                <w:rFonts w:ascii="Times New Roman" w:eastAsia="宋体" w:hAnsi="Times New Roman"/>
                <w:color w:val="000000"/>
                <w:sz w:val="20"/>
                <w:szCs w:val="20"/>
              </w:rPr>
              <w:t>(159)</w:t>
            </w:r>
          </w:p>
        </w:tc>
        <w:tc>
          <w:tcPr>
            <w:tcW w:w="0" w:type="auto"/>
            <w:shd w:val="clear" w:color="auto" w:fill="FFFFFF"/>
            <w:tcMar>
              <w:top w:w="40" w:type="dxa"/>
              <w:bottom w:w="40" w:type="dxa"/>
              <w:right w:w="20" w:type="dxa"/>
            </w:tcMar>
            <w:vAlign w:val="center"/>
          </w:tcPr>
          <w:p w14:paraId="33DAE33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33D"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33E"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33F"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340" w14:textId="77777777" w:rsidR="004D6A64" w:rsidRDefault="00506CD6">
            <w:pPr>
              <w:jc w:val="right"/>
              <w:textAlignment w:val="center"/>
            </w:pPr>
            <w:r>
              <w:rPr>
                <w:rFonts w:ascii="Times New Roman" w:eastAsia="宋体" w:hAnsi="Times New Roman"/>
                <w:color w:val="000000"/>
                <w:sz w:val="20"/>
                <w:szCs w:val="20"/>
              </w:rPr>
              <w:t>(94)</w:t>
            </w:r>
          </w:p>
        </w:tc>
        <w:tc>
          <w:tcPr>
            <w:tcW w:w="0" w:type="auto"/>
            <w:shd w:val="clear" w:color="auto" w:fill="FFFFFF"/>
            <w:tcMar>
              <w:top w:w="40" w:type="dxa"/>
              <w:bottom w:w="40" w:type="dxa"/>
              <w:right w:w="20" w:type="dxa"/>
            </w:tcMar>
            <w:vAlign w:val="center"/>
          </w:tcPr>
          <w:p w14:paraId="33DAE341" w14:textId="77777777" w:rsidR="004D6A64" w:rsidRDefault="004D6A64">
            <w:pPr>
              <w:jc w:val="right"/>
              <w:rPr>
                <w:rFonts w:ascii="宋体"/>
              </w:rPr>
            </w:pPr>
          </w:p>
        </w:tc>
        <w:tc>
          <w:tcPr>
            <w:tcW w:w="0" w:type="auto"/>
            <w:shd w:val="clear" w:color="auto" w:fill="auto"/>
          </w:tcPr>
          <w:p w14:paraId="33DAE342" w14:textId="77777777" w:rsidR="004D6A64" w:rsidRDefault="004D6A64">
            <w:pPr>
              <w:rPr>
                <w:rFonts w:ascii="宋体"/>
              </w:rPr>
            </w:pPr>
          </w:p>
        </w:tc>
        <w:tc>
          <w:tcPr>
            <w:tcW w:w="0" w:type="auto"/>
            <w:shd w:val="clear" w:color="auto" w:fill="auto"/>
          </w:tcPr>
          <w:p w14:paraId="33DAE343" w14:textId="77777777" w:rsidR="004D6A64" w:rsidRDefault="004D6A64">
            <w:pPr>
              <w:rPr>
                <w:rFonts w:ascii="宋体"/>
              </w:rPr>
            </w:pPr>
          </w:p>
        </w:tc>
        <w:tc>
          <w:tcPr>
            <w:tcW w:w="0" w:type="auto"/>
            <w:shd w:val="clear" w:color="auto" w:fill="auto"/>
          </w:tcPr>
          <w:p w14:paraId="33DAE344" w14:textId="77777777" w:rsidR="004D6A64" w:rsidRDefault="004D6A64">
            <w:pPr>
              <w:rPr>
                <w:rFonts w:ascii="宋体"/>
              </w:rPr>
            </w:pPr>
          </w:p>
        </w:tc>
        <w:tc>
          <w:tcPr>
            <w:tcW w:w="0" w:type="auto"/>
            <w:shd w:val="clear" w:color="auto" w:fill="auto"/>
          </w:tcPr>
          <w:p w14:paraId="33DAE345" w14:textId="77777777" w:rsidR="004D6A64" w:rsidRDefault="004D6A64">
            <w:pPr>
              <w:rPr>
                <w:rFonts w:ascii="宋体"/>
              </w:rPr>
            </w:pPr>
          </w:p>
        </w:tc>
        <w:tc>
          <w:tcPr>
            <w:tcW w:w="0" w:type="auto"/>
            <w:shd w:val="clear" w:color="auto" w:fill="auto"/>
          </w:tcPr>
          <w:p w14:paraId="33DAE346" w14:textId="77777777" w:rsidR="004D6A64" w:rsidRDefault="004D6A64">
            <w:pPr>
              <w:rPr>
                <w:rFonts w:ascii="宋体"/>
              </w:rPr>
            </w:pPr>
          </w:p>
        </w:tc>
        <w:tc>
          <w:tcPr>
            <w:tcW w:w="0" w:type="auto"/>
            <w:shd w:val="clear" w:color="auto" w:fill="auto"/>
          </w:tcPr>
          <w:p w14:paraId="33DAE347" w14:textId="77777777" w:rsidR="004D6A64" w:rsidRDefault="004D6A64">
            <w:pPr>
              <w:rPr>
                <w:rFonts w:ascii="宋体"/>
              </w:rPr>
            </w:pPr>
          </w:p>
        </w:tc>
        <w:tc>
          <w:tcPr>
            <w:tcW w:w="0" w:type="auto"/>
            <w:shd w:val="clear" w:color="auto" w:fill="auto"/>
          </w:tcPr>
          <w:p w14:paraId="33DAE348" w14:textId="77777777" w:rsidR="004D6A64" w:rsidRDefault="004D6A64">
            <w:pPr>
              <w:rPr>
                <w:rFonts w:ascii="宋体"/>
              </w:rPr>
            </w:pPr>
          </w:p>
        </w:tc>
        <w:tc>
          <w:tcPr>
            <w:tcW w:w="0" w:type="auto"/>
            <w:shd w:val="clear" w:color="auto" w:fill="auto"/>
          </w:tcPr>
          <w:p w14:paraId="33DAE349" w14:textId="77777777" w:rsidR="004D6A64" w:rsidRDefault="004D6A64">
            <w:pPr>
              <w:rPr>
                <w:rFonts w:ascii="宋体"/>
              </w:rPr>
            </w:pPr>
          </w:p>
        </w:tc>
        <w:tc>
          <w:tcPr>
            <w:tcW w:w="0" w:type="auto"/>
            <w:shd w:val="clear" w:color="auto" w:fill="auto"/>
          </w:tcPr>
          <w:p w14:paraId="33DAE34A" w14:textId="77777777" w:rsidR="004D6A64" w:rsidRDefault="004D6A64">
            <w:pPr>
              <w:rPr>
                <w:rFonts w:ascii="宋体"/>
              </w:rPr>
            </w:pPr>
          </w:p>
        </w:tc>
        <w:tc>
          <w:tcPr>
            <w:tcW w:w="0" w:type="auto"/>
            <w:shd w:val="clear" w:color="auto" w:fill="auto"/>
          </w:tcPr>
          <w:p w14:paraId="33DAE34B" w14:textId="77777777" w:rsidR="004D6A64" w:rsidRDefault="004D6A64">
            <w:pPr>
              <w:rPr>
                <w:rFonts w:ascii="宋体"/>
              </w:rPr>
            </w:pPr>
          </w:p>
        </w:tc>
        <w:tc>
          <w:tcPr>
            <w:tcW w:w="0" w:type="auto"/>
            <w:shd w:val="clear" w:color="auto" w:fill="auto"/>
          </w:tcPr>
          <w:p w14:paraId="33DAE34C" w14:textId="77777777" w:rsidR="004D6A64" w:rsidRDefault="004D6A64">
            <w:pPr>
              <w:rPr>
                <w:rFonts w:ascii="宋体"/>
              </w:rPr>
            </w:pPr>
          </w:p>
        </w:tc>
        <w:tc>
          <w:tcPr>
            <w:tcW w:w="0" w:type="auto"/>
            <w:shd w:val="clear" w:color="auto" w:fill="auto"/>
          </w:tcPr>
          <w:p w14:paraId="33DAE34D" w14:textId="77777777" w:rsidR="004D6A64" w:rsidRDefault="004D6A64">
            <w:pPr>
              <w:rPr>
                <w:rFonts w:ascii="宋体"/>
              </w:rPr>
            </w:pPr>
          </w:p>
        </w:tc>
        <w:tc>
          <w:tcPr>
            <w:tcW w:w="0" w:type="auto"/>
            <w:shd w:val="clear" w:color="auto" w:fill="auto"/>
          </w:tcPr>
          <w:p w14:paraId="33DAE34E" w14:textId="77777777" w:rsidR="004D6A64" w:rsidRDefault="004D6A64">
            <w:pPr>
              <w:rPr>
                <w:rFonts w:ascii="宋体"/>
              </w:rPr>
            </w:pPr>
          </w:p>
        </w:tc>
        <w:tc>
          <w:tcPr>
            <w:tcW w:w="0" w:type="auto"/>
            <w:shd w:val="clear" w:color="auto" w:fill="auto"/>
          </w:tcPr>
          <w:p w14:paraId="33DAE34F" w14:textId="77777777" w:rsidR="004D6A64" w:rsidRDefault="004D6A64">
            <w:pPr>
              <w:rPr>
                <w:rFonts w:ascii="宋体"/>
              </w:rPr>
            </w:pPr>
          </w:p>
        </w:tc>
        <w:tc>
          <w:tcPr>
            <w:tcW w:w="0" w:type="auto"/>
            <w:shd w:val="clear" w:color="auto" w:fill="auto"/>
          </w:tcPr>
          <w:p w14:paraId="33DAE350" w14:textId="77777777" w:rsidR="004D6A64" w:rsidRDefault="004D6A64">
            <w:pPr>
              <w:rPr>
                <w:rFonts w:ascii="宋体"/>
              </w:rPr>
            </w:pPr>
          </w:p>
        </w:tc>
        <w:tc>
          <w:tcPr>
            <w:tcW w:w="0" w:type="auto"/>
            <w:shd w:val="clear" w:color="auto" w:fill="auto"/>
          </w:tcPr>
          <w:p w14:paraId="33DAE351" w14:textId="77777777" w:rsidR="004D6A64" w:rsidRDefault="004D6A64">
            <w:pPr>
              <w:rPr>
                <w:rFonts w:ascii="宋体"/>
              </w:rPr>
            </w:pPr>
          </w:p>
        </w:tc>
        <w:tc>
          <w:tcPr>
            <w:tcW w:w="0" w:type="auto"/>
            <w:shd w:val="clear" w:color="auto" w:fill="auto"/>
          </w:tcPr>
          <w:p w14:paraId="33DAE352" w14:textId="77777777" w:rsidR="004D6A64" w:rsidRDefault="004D6A64">
            <w:pPr>
              <w:rPr>
                <w:rFonts w:ascii="宋体"/>
              </w:rPr>
            </w:pPr>
          </w:p>
        </w:tc>
        <w:tc>
          <w:tcPr>
            <w:tcW w:w="0" w:type="auto"/>
            <w:shd w:val="clear" w:color="auto" w:fill="auto"/>
          </w:tcPr>
          <w:p w14:paraId="33DAE353" w14:textId="77777777" w:rsidR="004D6A64" w:rsidRDefault="004D6A64">
            <w:pPr>
              <w:rPr>
                <w:rFonts w:ascii="宋体"/>
              </w:rPr>
            </w:pPr>
          </w:p>
        </w:tc>
        <w:tc>
          <w:tcPr>
            <w:tcW w:w="0" w:type="auto"/>
            <w:shd w:val="clear" w:color="auto" w:fill="auto"/>
          </w:tcPr>
          <w:p w14:paraId="33DAE354" w14:textId="77777777" w:rsidR="004D6A64" w:rsidRDefault="004D6A64">
            <w:pPr>
              <w:rPr>
                <w:rFonts w:ascii="宋体"/>
              </w:rPr>
            </w:pPr>
          </w:p>
        </w:tc>
        <w:tc>
          <w:tcPr>
            <w:tcW w:w="0" w:type="auto"/>
            <w:shd w:val="clear" w:color="auto" w:fill="auto"/>
          </w:tcPr>
          <w:p w14:paraId="33DAE355" w14:textId="77777777" w:rsidR="004D6A64" w:rsidRDefault="004D6A64">
            <w:pPr>
              <w:rPr>
                <w:rFonts w:ascii="宋体"/>
              </w:rPr>
            </w:pPr>
          </w:p>
        </w:tc>
        <w:tc>
          <w:tcPr>
            <w:tcW w:w="0" w:type="auto"/>
            <w:shd w:val="clear" w:color="auto" w:fill="auto"/>
          </w:tcPr>
          <w:p w14:paraId="33DAE356" w14:textId="77777777" w:rsidR="004D6A64" w:rsidRDefault="004D6A64">
            <w:pPr>
              <w:rPr>
                <w:rFonts w:ascii="宋体"/>
              </w:rPr>
            </w:pPr>
          </w:p>
        </w:tc>
        <w:tc>
          <w:tcPr>
            <w:tcW w:w="0" w:type="auto"/>
            <w:shd w:val="clear" w:color="auto" w:fill="auto"/>
          </w:tcPr>
          <w:p w14:paraId="33DAE357" w14:textId="77777777" w:rsidR="004D6A64" w:rsidRDefault="004D6A64">
            <w:pPr>
              <w:rPr>
                <w:rFonts w:ascii="宋体"/>
              </w:rPr>
            </w:pPr>
          </w:p>
        </w:tc>
        <w:tc>
          <w:tcPr>
            <w:tcW w:w="0" w:type="auto"/>
            <w:shd w:val="clear" w:color="auto" w:fill="auto"/>
          </w:tcPr>
          <w:p w14:paraId="33DAE358" w14:textId="77777777" w:rsidR="004D6A64" w:rsidRDefault="004D6A64">
            <w:pPr>
              <w:rPr>
                <w:rFonts w:ascii="宋体"/>
              </w:rPr>
            </w:pPr>
          </w:p>
        </w:tc>
        <w:tc>
          <w:tcPr>
            <w:tcW w:w="0" w:type="auto"/>
            <w:shd w:val="clear" w:color="auto" w:fill="auto"/>
          </w:tcPr>
          <w:p w14:paraId="33DAE359" w14:textId="77777777" w:rsidR="004D6A64" w:rsidRDefault="004D6A64">
            <w:pPr>
              <w:rPr>
                <w:rFonts w:ascii="宋体"/>
              </w:rPr>
            </w:pPr>
          </w:p>
        </w:tc>
        <w:tc>
          <w:tcPr>
            <w:tcW w:w="0" w:type="auto"/>
            <w:shd w:val="clear" w:color="auto" w:fill="auto"/>
          </w:tcPr>
          <w:p w14:paraId="33DAE35A" w14:textId="77777777" w:rsidR="004D6A64" w:rsidRDefault="004D6A64">
            <w:pPr>
              <w:rPr>
                <w:rFonts w:ascii="宋体"/>
              </w:rPr>
            </w:pPr>
          </w:p>
        </w:tc>
        <w:tc>
          <w:tcPr>
            <w:tcW w:w="0" w:type="auto"/>
            <w:shd w:val="clear" w:color="auto" w:fill="auto"/>
          </w:tcPr>
          <w:p w14:paraId="33DAE35B" w14:textId="77777777" w:rsidR="004D6A64" w:rsidRDefault="004D6A64">
            <w:pPr>
              <w:rPr>
                <w:rFonts w:ascii="宋体"/>
              </w:rPr>
            </w:pPr>
          </w:p>
        </w:tc>
        <w:tc>
          <w:tcPr>
            <w:tcW w:w="0" w:type="auto"/>
            <w:shd w:val="clear" w:color="auto" w:fill="auto"/>
          </w:tcPr>
          <w:p w14:paraId="33DAE35C" w14:textId="77777777" w:rsidR="004D6A64" w:rsidRDefault="004D6A64">
            <w:pPr>
              <w:rPr>
                <w:rFonts w:ascii="宋体"/>
              </w:rPr>
            </w:pPr>
          </w:p>
        </w:tc>
      </w:tr>
      <w:tr w:rsidR="004D6A64" w14:paraId="33DAE389" w14:textId="77777777">
        <w:trPr>
          <w:jc w:val="center"/>
        </w:trPr>
        <w:tc>
          <w:tcPr>
            <w:tcW w:w="0" w:type="auto"/>
            <w:gridSpan w:val="3"/>
            <w:shd w:val="clear" w:color="auto" w:fill="CCEEFF"/>
            <w:tcMar>
              <w:top w:w="40" w:type="dxa"/>
              <w:left w:w="225" w:type="dxa"/>
              <w:bottom w:w="40" w:type="dxa"/>
              <w:right w:w="20" w:type="dxa"/>
            </w:tcMar>
            <w:vAlign w:val="center"/>
          </w:tcPr>
          <w:p w14:paraId="33DAE35E" w14:textId="77777777" w:rsidR="004D6A64" w:rsidRDefault="00506CD6">
            <w:pPr>
              <w:textAlignment w:val="center"/>
            </w:pPr>
            <w:r>
              <w:rPr>
                <w:rFonts w:ascii="Times New Roman" w:eastAsia="宋体" w:hAnsi="Times New Roman"/>
                <w:color w:val="000000"/>
                <w:sz w:val="20"/>
                <w:szCs w:val="20"/>
              </w:rPr>
              <w:t>Stock-based compensation expense</w:t>
            </w:r>
          </w:p>
        </w:tc>
        <w:tc>
          <w:tcPr>
            <w:tcW w:w="0" w:type="auto"/>
            <w:gridSpan w:val="2"/>
            <w:shd w:val="clear" w:color="auto" w:fill="CCEEFF"/>
            <w:tcMar>
              <w:top w:w="40" w:type="dxa"/>
              <w:left w:w="20" w:type="dxa"/>
              <w:bottom w:w="40" w:type="dxa"/>
              <w:right w:w="0" w:type="dxa"/>
            </w:tcMar>
            <w:vAlign w:val="center"/>
          </w:tcPr>
          <w:p w14:paraId="33DAE35F" w14:textId="77777777" w:rsidR="004D6A64" w:rsidRDefault="00506CD6">
            <w:pPr>
              <w:jc w:val="right"/>
              <w:textAlignment w:val="center"/>
            </w:pPr>
            <w:r>
              <w:rPr>
                <w:rFonts w:ascii="Times New Roman" w:eastAsia="宋体" w:hAnsi="Times New Roman"/>
                <w:color w:val="000000"/>
                <w:sz w:val="20"/>
                <w:szCs w:val="20"/>
              </w:rPr>
              <w:t>(363)</w:t>
            </w:r>
          </w:p>
        </w:tc>
        <w:tc>
          <w:tcPr>
            <w:tcW w:w="0" w:type="auto"/>
            <w:shd w:val="clear" w:color="auto" w:fill="CCEEFF"/>
            <w:tcMar>
              <w:top w:w="40" w:type="dxa"/>
              <w:bottom w:w="40" w:type="dxa"/>
              <w:right w:w="20" w:type="dxa"/>
            </w:tcMar>
            <w:vAlign w:val="center"/>
          </w:tcPr>
          <w:p w14:paraId="33DAE36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361"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362"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36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364" w14:textId="77777777" w:rsidR="004D6A64" w:rsidRDefault="00506CD6">
            <w:pPr>
              <w:jc w:val="right"/>
              <w:textAlignment w:val="center"/>
            </w:pPr>
            <w:r>
              <w:rPr>
                <w:rFonts w:ascii="Times New Roman" w:eastAsia="宋体" w:hAnsi="Times New Roman"/>
                <w:color w:val="000000"/>
                <w:sz w:val="20"/>
                <w:szCs w:val="20"/>
              </w:rPr>
              <w:t>(269)</w:t>
            </w:r>
          </w:p>
        </w:tc>
        <w:tc>
          <w:tcPr>
            <w:tcW w:w="0" w:type="auto"/>
            <w:shd w:val="clear" w:color="auto" w:fill="CCEEFF"/>
            <w:tcMar>
              <w:top w:w="40" w:type="dxa"/>
              <w:bottom w:w="40" w:type="dxa"/>
              <w:right w:w="20" w:type="dxa"/>
            </w:tcMar>
            <w:vAlign w:val="center"/>
          </w:tcPr>
          <w:p w14:paraId="33DAE36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36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367" w14:textId="77777777" w:rsidR="004D6A64" w:rsidRDefault="00506CD6">
            <w:pPr>
              <w:jc w:val="right"/>
              <w:textAlignment w:val="center"/>
            </w:pPr>
            <w:r>
              <w:rPr>
                <w:rFonts w:ascii="Times New Roman" w:eastAsia="宋体" w:hAnsi="Times New Roman"/>
                <w:color w:val="000000"/>
                <w:sz w:val="20"/>
                <w:szCs w:val="20"/>
              </w:rPr>
              <w:t>(693)</w:t>
            </w:r>
          </w:p>
        </w:tc>
        <w:tc>
          <w:tcPr>
            <w:tcW w:w="0" w:type="auto"/>
            <w:shd w:val="clear" w:color="auto" w:fill="CCEEFF"/>
            <w:tcMar>
              <w:top w:w="40" w:type="dxa"/>
              <w:bottom w:w="40" w:type="dxa"/>
              <w:right w:w="20" w:type="dxa"/>
            </w:tcMar>
            <w:vAlign w:val="center"/>
          </w:tcPr>
          <w:p w14:paraId="33DAE36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369"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36A"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36B"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36C" w14:textId="77777777" w:rsidR="004D6A64" w:rsidRDefault="00506CD6">
            <w:pPr>
              <w:jc w:val="right"/>
              <w:textAlignment w:val="center"/>
            </w:pPr>
            <w:r>
              <w:rPr>
                <w:rFonts w:ascii="Times New Roman" w:eastAsia="宋体" w:hAnsi="Times New Roman"/>
                <w:color w:val="000000"/>
                <w:sz w:val="20"/>
                <w:szCs w:val="20"/>
              </w:rPr>
              <w:t>(506)</w:t>
            </w:r>
          </w:p>
        </w:tc>
        <w:tc>
          <w:tcPr>
            <w:tcW w:w="0" w:type="auto"/>
            <w:shd w:val="clear" w:color="auto" w:fill="CCEEFF"/>
            <w:tcMar>
              <w:top w:w="40" w:type="dxa"/>
              <w:bottom w:w="40" w:type="dxa"/>
              <w:right w:w="20" w:type="dxa"/>
            </w:tcMar>
            <w:vAlign w:val="center"/>
          </w:tcPr>
          <w:p w14:paraId="33DAE36D" w14:textId="77777777" w:rsidR="004D6A64" w:rsidRDefault="004D6A64">
            <w:pPr>
              <w:jc w:val="right"/>
              <w:rPr>
                <w:rFonts w:ascii="宋体"/>
              </w:rPr>
            </w:pPr>
          </w:p>
        </w:tc>
        <w:tc>
          <w:tcPr>
            <w:tcW w:w="0" w:type="auto"/>
            <w:shd w:val="clear" w:color="auto" w:fill="auto"/>
          </w:tcPr>
          <w:p w14:paraId="33DAE36E" w14:textId="77777777" w:rsidR="004D6A64" w:rsidRDefault="004D6A64">
            <w:pPr>
              <w:rPr>
                <w:rFonts w:ascii="宋体"/>
              </w:rPr>
            </w:pPr>
          </w:p>
        </w:tc>
        <w:tc>
          <w:tcPr>
            <w:tcW w:w="0" w:type="auto"/>
            <w:shd w:val="clear" w:color="auto" w:fill="auto"/>
          </w:tcPr>
          <w:p w14:paraId="33DAE36F" w14:textId="77777777" w:rsidR="004D6A64" w:rsidRDefault="004D6A64">
            <w:pPr>
              <w:rPr>
                <w:rFonts w:ascii="宋体"/>
              </w:rPr>
            </w:pPr>
          </w:p>
        </w:tc>
        <w:tc>
          <w:tcPr>
            <w:tcW w:w="0" w:type="auto"/>
            <w:shd w:val="clear" w:color="auto" w:fill="auto"/>
          </w:tcPr>
          <w:p w14:paraId="33DAE370" w14:textId="77777777" w:rsidR="004D6A64" w:rsidRDefault="004D6A64">
            <w:pPr>
              <w:rPr>
                <w:rFonts w:ascii="宋体"/>
              </w:rPr>
            </w:pPr>
          </w:p>
        </w:tc>
        <w:tc>
          <w:tcPr>
            <w:tcW w:w="0" w:type="auto"/>
            <w:shd w:val="clear" w:color="auto" w:fill="auto"/>
          </w:tcPr>
          <w:p w14:paraId="33DAE371" w14:textId="77777777" w:rsidR="004D6A64" w:rsidRDefault="004D6A64">
            <w:pPr>
              <w:rPr>
                <w:rFonts w:ascii="宋体"/>
              </w:rPr>
            </w:pPr>
          </w:p>
        </w:tc>
        <w:tc>
          <w:tcPr>
            <w:tcW w:w="0" w:type="auto"/>
            <w:shd w:val="clear" w:color="auto" w:fill="auto"/>
          </w:tcPr>
          <w:p w14:paraId="33DAE372" w14:textId="77777777" w:rsidR="004D6A64" w:rsidRDefault="004D6A64">
            <w:pPr>
              <w:rPr>
                <w:rFonts w:ascii="宋体"/>
              </w:rPr>
            </w:pPr>
          </w:p>
        </w:tc>
        <w:tc>
          <w:tcPr>
            <w:tcW w:w="0" w:type="auto"/>
            <w:shd w:val="clear" w:color="auto" w:fill="auto"/>
          </w:tcPr>
          <w:p w14:paraId="33DAE373" w14:textId="77777777" w:rsidR="004D6A64" w:rsidRDefault="004D6A64">
            <w:pPr>
              <w:rPr>
                <w:rFonts w:ascii="宋体"/>
              </w:rPr>
            </w:pPr>
          </w:p>
        </w:tc>
        <w:tc>
          <w:tcPr>
            <w:tcW w:w="0" w:type="auto"/>
            <w:shd w:val="clear" w:color="auto" w:fill="auto"/>
          </w:tcPr>
          <w:p w14:paraId="33DAE374" w14:textId="77777777" w:rsidR="004D6A64" w:rsidRDefault="004D6A64">
            <w:pPr>
              <w:rPr>
                <w:rFonts w:ascii="宋体"/>
              </w:rPr>
            </w:pPr>
          </w:p>
        </w:tc>
        <w:tc>
          <w:tcPr>
            <w:tcW w:w="0" w:type="auto"/>
            <w:shd w:val="clear" w:color="auto" w:fill="auto"/>
          </w:tcPr>
          <w:p w14:paraId="33DAE375" w14:textId="77777777" w:rsidR="004D6A64" w:rsidRDefault="004D6A64">
            <w:pPr>
              <w:rPr>
                <w:rFonts w:ascii="宋体"/>
              </w:rPr>
            </w:pPr>
          </w:p>
        </w:tc>
        <w:tc>
          <w:tcPr>
            <w:tcW w:w="0" w:type="auto"/>
            <w:shd w:val="clear" w:color="auto" w:fill="auto"/>
          </w:tcPr>
          <w:p w14:paraId="33DAE376" w14:textId="77777777" w:rsidR="004D6A64" w:rsidRDefault="004D6A64">
            <w:pPr>
              <w:rPr>
                <w:rFonts w:ascii="宋体"/>
              </w:rPr>
            </w:pPr>
          </w:p>
        </w:tc>
        <w:tc>
          <w:tcPr>
            <w:tcW w:w="0" w:type="auto"/>
            <w:shd w:val="clear" w:color="auto" w:fill="auto"/>
          </w:tcPr>
          <w:p w14:paraId="33DAE377" w14:textId="77777777" w:rsidR="004D6A64" w:rsidRDefault="004D6A64">
            <w:pPr>
              <w:rPr>
                <w:rFonts w:ascii="宋体"/>
              </w:rPr>
            </w:pPr>
          </w:p>
        </w:tc>
        <w:tc>
          <w:tcPr>
            <w:tcW w:w="0" w:type="auto"/>
            <w:shd w:val="clear" w:color="auto" w:fill="auto"/>
          </w:tcPr>
          <w:p w14:paraId="33DAE378" w14:textId="77777777" w:rsidR="004D6A64" w:rsidRDefault="004D6A64">
            <w:pPr>
              <w:rPr>
                <w:rFonts w:ascii="宋体"/>
              </w:rPr>
            </w:pPr>
          </w:p>
        </w:tc>
        <w:tc>
          <w:tcPr>
            <w:tcW w:w="0" w:type="auto"/>
            <w:shd w:val="clear" w:color="auto" w:fill="auto"/>
          </w:tcPr>
          <w:p w14:paraId="33DAE379" w14:textId="77777777" w:rsidR="004D6A64" w:rsidRDefault="004D6A64">
            <w:pPr>
              <w:rPr>
                <w:rFonts w:ascii="宋体"/>
              </w:rPr>
            </w:pPr>
          </w:p>
        </w:tc>
        <w:tc>
          <w:tcPr>
            <w:tcW w:w="0" w:type="auto"/>
            <w:shd w:val="clear" w:color="auto" w:fill="auto"/>
          </w:tcPr>
          <w:p w14:paraId="33DAE37A" w14:textId="77777777" w:rsidR="004D6A64" w:rsidRDefault="004D6A64">
            <w:pPr>
              <w:rPr>
                <w:rFonts w:ascii="宋体"/>
              </w:rPr>
            </w:pPr>
          </w:p>
        </w:tc>
        <w:tc>
          <w:tcPr>
            <w:tcW w:w="0" w:type="auto"/>
            <w:shd w:val="clear" w:color="auto" w:fill="auto"/>
          </w:tcPr>
          <w:p w14:paraId="33DAE37B" w14:textId="77777777" w:rsidR="004D6A64" w:rsidRDefault="004D6A64">
            <w:pPr>
              <w:rPr>
                <w:rFonts w:ascii="宋体"/>
              </w:rPr>
            </w:pPr>
          </w:p>
        </w:tc>
        <w:tc>
          <w:tcPr>
            <w:tcW w:w="0" w:type="auto"/>
            <w:shd w:val="clear" w:color="auto" w:fill="auto"/>
          </w:tcPr>
          <w:p w14:paraId="33DAE37C" w14:textId="77777777" w:rsidR="004D6A64" w:rsidRDefault="004D6A64">
            <w:pPr>
              <w:rPr>
                <w:rFonts w:ascii="宋体"/>
              </w:rPr>
            </w:pPr>
          </w:p>
        </w:tc>
        <w:tc>
          <w:tcPr>
            <w:tcW w:w="0" w:type="auto"/>
            <w:shd w:val="clear" w:color="auto" w:fill="auto"/>
          </w:tcPr>
          <w:p w14:paraId="33DAE37D" w14:textId="77777777" w:rsidR="004D6A64" w:rsidRDefault="004D6A64">
            <w:pPr>
              <w:rPr>
                <w:rFonts w:ascii="宋体"/>
              </w:rPr>
            </w:pPr>
          </w:p>
        </w:tc>
        <w:tc>
          <w:tcPr>
            <w:tcW w:w="0" w:type="auto"/>
            <w:shd w:val="clear" w:color="auto" w:fill="auto"/>
          </w:tcPr>
          <w:p w14:paraId="33DAE37E" w14:textId="77777777" w:rsidR="004D6A64" w:rsidRDefault="004D6A64">
            <w:pPr>
              <w:rPr>
                <w:rFonts w:ascii="宋体"/>
              </w:rPr>
            </w:pPr>
          </w:p>
        </w:tc>
        <w:tc>
          <w:tcPr>
            <w:tcW w:w="0" w:type="auto"/>
            <w:shd w:val="clear" w:color="auto" w:fill="auto"/>
          </w:tcPr>
          <w:p w14:paraId="33DAE37F" w14:textId="77777777" w:rsidR="004D6A64" w:rsidRDefault="004D6A64">
            <w:pPr>
              <w:rPr>
                <w:rFonts w:ascii="宋体"/>
              </w:rPr>
            </w:pPr>
          </w:p>
        </w:tc>
        <w:tc>
          <w:tcPr>
            <w:tcW w:w="0" w:type="auto"/>
            <w:shd w:val="clear" w:color="auto" w:fill="auto"/>
          </w:tcPr>
          <w:p w14:paraId="33DAE380" w14:textId="77777777" w:rsidR="004D6A64" w:rsidRDefault="004D6A64">
            <w:pPr>
              <w:rPr>
                <w:rFonts w:ascii="宋体"/>
              </w:rPr>
            </w:pPr>
          </w:p>
        </w:tc>
        <w:tc>
          <w:tcPr>
            <w:tcW w:w="0" w:type="auto"/>
            <w:shd w:val="clear" w:color="auto" w:fill="auto"/>
          </w:tcPr>
          <w:p w14:paraId="33DAE381" w14:textId="77777777" w:rsidR="004D6A64" w:rsidRDefault="004D6A64">
            <w:pPr>
              <w:rPr>
                <w:rFonts w:ascii="宋体"/>
              </w:rPr>
            </w:pPr>
          </w:p>
        </w:tc>
        <w:tc>
          <w:tcPr>
            <w:tcW w:w="0" w:type="auto"/>
            <w:shd w:val="clear" w:color="auto" w:fill="auto"/>
          </w:tcPr>
          <w:p w14:paraId="33DAE382" w14:textId="77777777" w:rsidR="004D6A64" w:rsidRDefault="004D6A64">
            <w:pPr>
              <w:rPr>
                <w:rFonts w:ascii="宋体"/>
              </w:rPr>
            </w:pPr>
          </w:p>
        </w:tc>
        <w:tc>
          <w:tcPr>
            <w:tcW w:w="0" w:type="auto"/>
            <w:shd w:val="clear" w:color="auto" w:fill="auto"/>
          </w:tcPr>
          <w:p w14:paraId="33DAE383" w14:textId="77777777" w:rsidR="004D6A64" w:rsidRDefault="004D6A64">
            <w:pPr>
              <w:rPr>
                <w:rFonts w:ascii="宋体"/>
              </w:rPr>
            </w:pPr>
          </w:p>
        </w:tc>
        <w:tc>
          <w:tcPr>
            <w:tcW w:w="0" w:type="auto"/>
            <w:shd w:val="clear" w:color="auto" w:fill="auto"/>
          </w:tcPr>
          <w:p w14:paraId="33DAE384" w14:textId="77777777" w:rsidR="004D6A64" w:rsidRDefault="004D6A64">
            <w:pPr>
              <w:rPr>
                <w:rFonts w:ascii="宋体"/>
              </w:rPr>
            </w:pPr>
          </w:p>
        </w:tc>
        <w:tc>
          <w:tcPr>
            <w:tcW w:w="0" w:type="auto"/>
            <w:shd w:val="clear" w:color="auto" w:fill="auto"/>
          </w:tcPr>
          <w:p w14:paraId="33DAE385" w14:textId="77777777" w:rsidR="004D6A64" w:rsidRDefault="004D6A64">
            <w:pPr>
              <w:rPr>
                <w:rFonts w:ascii="宋体"/>
              </w:rPr>
            </w:pPr>
          </w:p>
        </w:tc>
        <w:tc>
          <w:tcPr>
            <w:tcW w:w="0" w:type="auto"/>
            <w:shd w:val="clear" w:color="auto" w:fill="auto"/>
          </w:tcPr>
          <w:p w14:paraId="33DAE386" w14:textId="77777777" w:rsidR="004D6A64" w:rsidRDefault="004D6A64">
            <w:pPr>
              <w:rPr>
                <w:rFonts w:ascii="宋体"/>
              </w:rPr>
            </w:pPr>
          </w:p>
        </w:tc>
        <w:tc>
          <w:tcPr>
            <w:tcW w:w="0" w:type="auto"/>
            <w:shd w:val="clear" w:color="auto" w:fill="auto"/>
          </w:tcPr>
          <w:p w14:paraId="33DAE387" w14:textId="77777777" w:rsidR="004D6A64" w:rsidRDefault="004D6A64">
            <w:pPr>
              <w:rPr>
                <w:rFonts w:ascii="宋体"/>
              </w:rPr>
            </w:pPr>
          </w:p>
        </w:tc>
        <w:tc>
          <w:tcPr>
            <w:tcW w:w="0" w:type="auto"/>
            <w:shd w:val="clear" w:color="auto" w:fill="auto"/>
          </w:tcPr>
          <w:p w14:paraId="33DAE388" w14:textId="77777777" w:rsidR="004D6A64" w:rsidRDefault="004D6A64">
            <w:pPr>
              <w:rPr>
                <w:rFonts w:ascii="宋体"/>
              </w:rPr>
            </w:pPr>
          </w:p>
        </w:tc>
      </w:tr>
      <w:tr w:rsidR="004D6A64" w14:paraId="33DAE3B5" w14:textId="77777777">
        <w:trPr>
          <w:jc w:val="center"/>
        </w:trPr>
        <w:tc>
          <w:tcPr>
            <w:tcW w:w="0" w:type="auto"/>
            <w:gridSpan w:val="3"/>
            <w:shd w:val="clear" w:color="auto" w:fill="FFFFFF"/>
            <w:tcMar>
              <w:top w:w="40" w:type="dxa"/>
              <w:left w:w="225" w:type="dxa"/>
              <w:bottom w:w="40" w:type="dxa"/>
              <w:right w:w="20" w:type="dxa"/>
            </w:tcMar>
            <w:vAlign w:val="center"/>
          </w:tcPr>
          <w:p w14:paraId="33DAE38A" w14:textId="77777777" w:rsidR="004D6A64" w:rsidRDefault="00506CD6">
            <w:pPr>
              <w:textAlignment w:val="center"/>
            </w:pPr>
            <w:r>
              <w:rPr>
                <w:rFonts w:ascii="Times New Roman" w:eastAsia="宋体" w:hAnsi="Times New Roman"/>
                <w:color w:val="000000"/>
                <w:sz w:val="20"/>
                <w:szCs w:val="20"/>
              </w:rPr>
              <w:t>Other corporate expenses</w:t>
            </w:r>
          </w:p>
        </w:tc>
        <w:tc>
          <w:tcPr>
            <w:tcW w:w="0" w:type="auto"/>
            <w:gridSpan w:val="2"/>
            <w:shd w:val="clear" w:color="auto" w:fill="FFFFFF"/>
            <w:tcMar>
              <w:top w:w="40" w:type="dxa"/>
              <w:left w:w="20" w:type="dxa"/>
              <w:bottom w:w="40" w:type="dxa"/>
              <w:right w:w="0" w:type="dxa"/>
            </w:tcMar>
            <w:vAlign w:val="center"/>
          </w:tcPr>
          <w:p w14:paraId="33DAE38B" w14:textId="77777777" w:rsidR="004D6A64" w:rsidRDefault="00506CD6">
            <w:pPr>
              <w:jc w:val="right"/>
              <w:textAlignment w:val="center"/>
            </w:pPr>
            <w:r>
              <w:rPr>
                <w:rFonts w:ascii="Times New Roman" w:eastAsia="宋体" w:hAnsi="Times New Roman"/>
                <w:color w:val="000000"/>
                <w:sz w:val="20"/>
                <w:szCs w:val="20"/>
              </w:rPr>
              <w:t>(84)</w:t>
            </w:r>
          </w:p>
        </w:tc>
        <w:tc>
          <w:tcPr>
            <w:tcW w:w="0" w:type="auto"/>
            <w:shd w:val="clear" w:color="auto" w:fill="FFFFFF"/>
            <w:tcMar>
              <w:top w:w="40" w:type="dxa"/>
              <w:bottom w:w="40" w:type="dxa"/>
              <w:right w:w="20" w:type="dxa"/>
            </w:tcMar>
            <w:vAlign w:val="center"/>
          </w:tcPr>
          <w:p w14:paraId="33DAE38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38D"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38E"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38F"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390" w14:textId="77777777" w:rsidR="004D6A64" w:rsidRDefault="00506CD6">
            <w:pPr>
              <w:jc w:val="right"/>
              <w:textAlignment w:val="center"/>
            </w:pPr>
            <w:r>
              <w:rPr>
                <w:rFonts w:ascii="Times New Roman" w:eastAsia="宋体" w:hAnsi="Times New Roman"/>
                <w:color w:val="000000"/>
                <w:sz w:val="20"/>
                <w:szCs w:val="20"/>
              </w:rPr>
              <w:t>(690)</w:t>
            </w:r>
          </w:p>
        </w:tc>
        <w:tc>
          <w:tcPr>
            <w:tcW w:w="0" w:type="auto"/>
            <w:shd w:val="clear" w:color="auto" w:fill="FFFFFF"/>
            <w:tcMar>
              <w:top w:w="40" w:type="dxa"/>
              <w:bottom w:w="40" w:type="dxa"/>
              <w:right w:w="20" w:type="dxa"/>
            </w:tcMar>
            <w:vAlign w:val="center"/>
          </w:tcPr>
          <w:p w14:paraId="33DAE39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392"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393" w14:textId="77777777" w:rsidR="004D6A64" w:rsidRDefault="00506CD6">
            <w:pPr>
              <w:jc w:val="right"/>
              <w:textAlignment w:val="center"/>
            </w:pPr>
            <w:r>
              <w:rPr>
                <w:rFonts w:ascii="Times New Roman" w:eastAsia="宋体" w:hAnsi="Times New Roman"/>
                <w:color w:val="000000"/>
                <w:sz w:val="20"/>
                <w:szCs w:val="20"/>
              </w:rPr>
              <w:t>(170)</w:t>
            </w:r>
          </w:p>
        </w:tc>
        <w:tc>
          <w:tcPr>
            <w:tcW w:w="0" w:type="auto"/>
            <w:shd w:val="clear" w:color="auto" w:fill="FFFFFF"/>
            <w:tcMar>
              <w:top w:w="40" w:type="dxa"/>
              <w:bottom w:w="40" w:type="dxa"/>
              <w:right w:w="20" w:type="dxa"/>
            </w:tcMar>
            <w:vAlign w:val="center"/>
          </w:tcPr>
          <w:p w14:paraId="33DAE39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395"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396"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397"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398" w14:textId="77777777" w:rsidR="004D6A64" w:rsidRDefault="00506CD6">
            <w:pPr>
              <w:jc w:val="right"/>
              <w:textAlignment w:val="center"/>
            </w:pPr>
            <w:r>
              <w:rPr>
                <w:rFonts w:ascii="Times New Roman" w:eastAsia="宋体" w:hAnsi="Times New Roman"/>
                <w:color w:val="000000"/>
                <w:sz w:val="20"/>
                <w:szCs w:val="20"/>
              </w:rPr>
              <w:t>(700)</w:t>
            </w:r>
          </w:p>
        </w:tc>
        <w:tc>
          <w:tcPr>
            <w:tcW w:w="0" w:type="auto"/>
            <w:shd w:val="clear" w:color="auto" w:fill="FFFFFF"/>
            <w:tcMar>
              <w:top w:w="40" w:type="dxa"/>
              <w:bottom w:w="40" w:type="dxa"/>
              <w:right w:w="20" w:type="dxa"/>
            </w:tcMar>
            <w:vAlign w:val="center"/>
          </w:tcPr>
          <w:p w14:paraId="33DAE399" w14:textId="77777777" w:rsidR="004D6A64" w:rsidRDefault="004D6A64">
            <w:pPr>
              <w:jc w:val="right"/>
              <w:rPr>
                <w:rFonts w:ascii="宋体"/>
              </w:rPr>
            </w:pPr>
          </w:p>
        </w:tc>
        <w:tc>
          <w:tcPr>
            <w:tcW w:w="0" w:type="auto"/>
            <w:shd w:val="clear" w:color="auto" w:fill="auto"/>
          </w:tcPr>
          <w:p w14:paraId="33DAE39A" w14:textId="77777777" w:rsidR="004D6A64" w:rsidRDefault="004D6A64">
            <w:pPr>
              <w:rPr>
                <w:rFonts w:ascii="宋体"/>
              </w:rPr>
            </w:pPr>
          </w:p>
        </w:tc>
        <w:tc>
          <w:tcPr>
            <w:tcW w:w="0" w:type="auto"/>
            <w:shd w:val="clear" w:color="auto" w:fill="auto"/>
          </w:tcPr>
          <w:p w14:paraId="33DAE39B" w14:textId="77777777" w:rsidR="004D6A64" w:rsidRDefault="004D6A64">
            <w:pPr>
              <w:rPr>
                <w:rFonts w:ascii="宋体"/>
              </w:rPr>
            </w:pPr>
          </w:p>
        </w:tc>
        <w:tc>
          <w:tcPr>
            <w:tcW w:w="0" w:type="auto"/>
            <w:shd w:val="clear" w:color="auto" w:fill="auto"/>
          </w:tcPr>
          <w:p w14:paraId="33DAE39C" w14:textId="77777777" w:rsidR="004D6A64" w:rsidRDefault="004D6A64">
            <w:pPr>
              <w:rPr>
                <w:rFonts w:ascii="宋体"/>
              </w:rPr>
            </w:pPr>
          </w:p>
        </w:tc>
        <w:tc>
          <w:tcPr>
            <w:tcW w:w="0" w:type="auto"/>
            <w:shd w:val="clear" w:color="auto" w:fill="auto"/>
          </w:tcPr>
          <w:p w14:paraId="33DAE39D" w14:textId="77777777" w:rsidR="004D6A64" w:rsidRDefault="004D6A64">
            <w:pPr>
              <w:rPr>
                <w:rFonts w:ascii="宋体"/>
              </w:rPr>
            </w:pPr>
          </w:p>
        </w:tc>
        <w:tc>
          <w:tcPr>
            <w:tcW w:w="0" w:type="auto"/>
            <w:shd w:val="clear" w:color="auto" w:fill="auto"/>
          </w:tcPr>
          <w:p w14:paraId="33DAE39E" w14:textId="77777777" w:rsidR="004D6A64" w:rsidRDefault="004D6A64">
            <w:pPr>
              <w:rPr>
                <w:rFonts w:ascii="宋体"/>
              </w:rPr>
            </w:pPr>
          </w:p>
        </w:tc>
        <w:tc>
          <w:tcPr>
            <w:tcW w:w="0" w:type="auto"/>
            <w:shd w:val="clear" w:color="auto" w:fill="auto"/>
          </w:tcPr>
          <w:p w14:paraId="33DAE39F" w14:textId="77777777" w:rsidR="004D6A64" w:rsidRDefault="004D6A64">
            <w:pPr>
              <w:rPr>
                <w:rFonts w:ascii="宋体"/>
              </w:rPr>
            </w:pPr>
          </w:p>
        </w:tc>
        <w:tc>
          <w:tcPr>
            <w:tcW w:w="0" w:type="auto"/>
            <w:shd w:val="clear" w:color="auto" w:fill="auto"/>
          </w:tcPr>
          <w:p w14:paraId="33DAE3A0" w14:textId="77777777" w:rsidR="004D6A64" w:rsidRDefault="004D6A64">
            <w:pPr>
              <w:rPr>
                <w:rFonts w:ascii="宋体"/>
              </w:rPr>
            </w:pPr>
          </w:p>
        </w:tc>
        <w:tc>
          <w:tcPr>
            <w:tcW w:w="0" w:type="auto"/>
            <w:shd w:val="clear" w:color="auto" w:fill="auto"/>
          </w:tcPr>
          <w:p w14:paraId="33DAE3A1" w14:textId="77777777" w:rsidR="004D6A64" w:rsidRDefault="004D6A64">
            <w:pPr>
              <w:rPr>
                <w:rFonts w:ascii="宋体"/>
              </w:rPr>
            </w:pPr>
          </w:p>
        </w:tc>
        <w:tc>
          <w:tcPr>
            <w:tcW w:w="0" w:type="auto"/>
            <w:shd w:val="clear" w:color="auto" w:fill="auto"/>
          </w:tcPr>
          <w:p w14:paraId="33DAE3A2" w14:textId="77777777" w:rsidR="004D6A64" w:rsidRDefault="004D6A64">
            <w:pPr>
              <w:rPr>
                <w:rFonts w:ascii="宋体"/>
              </w:rPr>
            </w:pPr>
          </w:p>
        </w:tc>
        <w:tc>
          <w:tcPr>
            <w:tcW w:w="0" w:type="auto"/>
            <w:shd w:val="clear" w:color="auto" w:fill="auto"/>
          </w:tcPr>
          <w:p w14:paraId="33DAE3A3" w14:textId="77777777" w:rsidR="004D6A64" w:rsidRDefault="004D6A64">
            <w:pPr>
              <w:rPr>
                <w:rFonts w:ascii="宋体"/>
              </w:rPr>
            </w:pPr>
          </w:p>
        </w:tc>
        <w:tc>
          <w:tcPr>
            <w:tcW w:w="0" w:type="auto"/>
            <w:shd w:val="clear" w:color="auto" w:fill="auto"/>
          </w:tcPr>
          <w:p w14:paraId="33DAE3A4" w14:textId="77777777" w:rsidR="004D6A64" w:rsidRDefault="004D6A64">
            <w:pPr>
              <w:rPr>
                <w:rFonts w:ascii="宋体"/>
              </w:rPr>
            </w:pPr>
          </w:p>
        </w:tc>
        <w:tc>
          <w:tcPr>
            <w:tcW w:w="0" w:type="auto"/>
            <w:shd w:val="clear" w:color="auto" w:fill="auto"/>
          </w:tcPr>
          <w:p w14:paraId="33DAE3A5" w14:textId="77777777" w:rsidR="004D6A64" w:rsidRDefault="004D6A64">
            <w:pPr>
              <w:rPr>
                <w:rFonts w:ascii="宋体"/>
              </w:rPr>
            </w:pPr>
          </w:p>
        </w:tc>
        <w:tc>
          <w:tcPr>
            <w:tcW w:w="0" w:type="auto"/>
            <w:shd w:val="clear" w:color="auto" w:fill="auto"/>
          </w:tcPr>
          <w:p w14:paraId="33DAE3A6" w14:textId="77777777" w:rsidR="004D6A64" w:rsidRDefault="004D6A64">
            <w:pPr>
              <w:rPr>
                <w:rFonts w:ascii="宋体"/>
              </w:rPr>
            </w:pPr>
          </w:p>
        </w:tc>
        <w:tc>
          <w:tcPr>
            <w:tcW w:w="0" w:type="auto"/>
            <w:shd w:val="clear" w:color="auto" w:fill="auto"/>
          </w:tcPr>
          <w:p w14:paraId="33DAE3A7" w14:textId="77777777" w:rsidR="004D6A64" w:rsidRDefault="004D6A64">
            <w:pPr>
              <w:rPr>
                <w:rFonts w:ascii="宋体"/>
              </w:rPr>
            </w:pPr>
          </w:p>
        </w:tc>
        <w:tc>
          <w:tcPr>
            <w:tcW w:w="0" w:type="auto"/>
            <w:shd w:val="clear" w:color="auto" w:fill="auto"/>
          </w:tcPr>
          <w:p w14:paraId="33DAE3A8" w14:textId="77777777" w:rsidR="004D6A64" w:rsidRDefault="004D6A64">
            <w:pPr>
              <w:rPr>
                <w:rFonts w:ascii="宋体"/>
              </w:rPr>
            </w:pPr>
          </w:p>
        </w:tc>
        <w:tc>
          <w:tcPr>
            <w:tcW w:w="0" w:type="auto"/>
            <w:shd w:val="clear" w:color="auto" w:fill="auto"/>
          </w:tcPr>
          <w:p w14:paraId="33DAE3A9" w14:textId="77777777" w:rsidR="004D6A64" w:rsidRDefault="004D6A64">
            <w:pPr>
              <w:rPr>
                <w:rFonts w:ascii="宋体"/>
              </w:rPr>
            </w:pPr>
          </w:p>
        </w:tc>
        <w:tc>
          <w:tcPr>
            <w:tcW w:w="0" w:type="auto"/>
            <w:shd w:val="clear" w:color="auto" w:fill="auto"/>
          </w:tcPr>
          <w:p w14:paraId="33DAE3AA" w14:textId="77777777" w:rsidR="004D6A64" w:rsidRDefault="004D6A64">
            <w:pPr>
              <w:rPr>
                <w:rFonts w:ascii="宋体"/>
              </w:rPr>
            </w:pPr>
          </w:p>
        </w:tc>
        <w:tc>
          <w:tcPr>
            <w:tcW w:w="0" w:type="auto"/>
            <w:shd w:val="clear" w:color="auto" w:fill="auto"/>
          </w:tcPr>
          <w:p w14:paraId="33DAE3AB" w14:textId="77777777" w:rsidR="004D6A64" w:rsidRDefault="004D6A64">
            <w:pPr>
              <w:rPr>
                <w:rFonts w:ascii="宋体"/>
              </w:rPr>
            </w:pPr>
          </w:p>
        </w:tc>
        <w:tc>
          <w:tcPr>
            <w:tcW w:w="0" w:type="auto"/>
            <w:shd w:val="clear" w:color="auto" w:fill="auto"/>
          </w:tcPr>
          <w:p w14:paraId="33DAE3AC" w14:textId="77777777" w:rsidR="004D6A64" w:rsidRDefault="004D6A64">
            <w:pPr>
              <w:rPr>
                <w:rFonts w:ascii="宋体"/>
              </w:rPr>
            </w:pPr>
          </w:p>
        </w:tc>
        <w:tc>
          <w:tcPr>
            <w:tcW w:w="0" w:type="auto"/>
            <w:shd w:val="clear" w:color="auto" w:fill="auto"/>
          </w:tcPr>
          <w:p w14:paraId="33DAE3AD" w14:textId="77777777" w:rsidR="004D6A64" w:rsidRDefault="004D6A64">
            <w:pPr>
              <w:rPr>
                <w:rFonts w:ascii="宋体"/>
              </w:rPr>
            </w:pPr>
          </w:p>
        </w:tc>
        <w:tc>
          <w:tcPr>
            <w:tcW w:w="0" w:type="auto"/>
            <w:shd w:val="clear" w:color="auto" w:fill="auto"/>
          </w:tcPr>
          <w:p w14:paraId="33DAE3AE" w14:textId="77777777" w:rsidR="004D6A64" w:rsidRDefault="004D6A64">
            <w:pPr>
              <w:rPr>
                <w:rFonts w:ascii="宋体"/>
              </w:rPr>
            </w:pPr>
          </w:p>
        </w:tc>
        <w:tc>
          <w:tcPr>
            <w:tcW w:w="0" w:type="auto"/>
            <w:shd w:val="clear" w:color="auto" w:fill="auto"/>
          </w:tcPr>
          <w:p w14:paraId="33DAE3AF" w14:textId="77777777" w:rsidR="004D6A64" w:rsidRDefault="004D6A64">
            <w:pPr>
              <w:rPr>
                <w:rFonts w:ascii="宋体"/>
              </w:rPr>
            </w:pPr>
          </w:p>
        </w:tc>
        <w:tc>
          <w:tcPr>
            <w:tcW w:w="0" w:type="auto"/>
            <w:shd w:val="clear" w:color="auto" w:fill="auto"/>
          </w:tcPr>
          <w:p w14:paraId="33DAE3B0" w14:textId="77777777" w:rsidR="004D6A64" w:rsidRDefault="004D6A64">
            <w:pPr>
              <w:rPr>
                <w:rFonts w:ascii="宋体"/>
              </w:rPr>
            </w:pPr>
          </w:p>
        </w:tc>
        <w:tc>
          <w:tcPr>
            <w:tcW w:w="0" w:type="auto"/>
            <w:shd w:val="clear" w:color="auto" w:fill="auto"/>
          </w:tcPr>
          <w:p w14:paraId="33DAE3B1" w14:textId="77777777" w:rsidR="004D6A64" w:rsidRDefault="004D6A64">
            <w:pPr>
              <w:rPr>
                <w:rFonts w:ascii="宋体"/>
              </w:rPr>
            </w:pPr>
          </w:p>
        </w:tc>
        <w:tc>
          <w:tcPr>
            <w:tcW w:w="0" w:type="auto"/>
            <w:shd w:val="clear" w:color="auto" w:fill="auto"/>
          </w:tcPr>
          <w:p w14:paraId="33DAE3B2" w14:textId="77777777" w:rsidR="004D6A64" w:rsidRDefault="004D6A64">
            <w:pPr>
              <w:rPr>
                <w:rFonts w:ascii="宋体"/>
              </w:rPr>
            </w:pPr>
          </w:p>
        </w:tc>
        <w:tc>
          <w:tcPr>
            <w:tcW w:w="0" w:type="auto"/>
            <w:shd w:val="clear" w:color="auto" w:fill="auto"/>
          </w:tcPr>
          <w:p w14:paraId="33DAE3B3" w14:textId="77777777" w:rsidR="004D6A64" w:rsidRDefault="004D6A64">
            <w:pPr>
              <w:rPr>
                <w:rFonts w:ascii="宋体"/>
              </w:rPr>
            </w:pPr>
          </w:p>
        </w:tc>
        <w:tc>
          <w:tcPr>
            <w:tcW w:w="0" w:type="auto"/>
            <w:shd w:val="clear" w:color="auto" w:fill="auto"/>
          </w:tcPr>
          <w:p w14:paraId="33DAE3B4" w14:textId="77777777" w:rsidR="004D6A64" w:rsidRDefault="004D6A64">
            <w:pPr>
              <w:rPr>
                <w:rFonts w:ascii="宋体"/>
              </w:rPr>
            </w:pPr>
          </w:p>
        </w:tc>
      </w:tr>
      <w:tr w:rsidR="004D6A64" w14:paraId="33DAE3E7" w14:textId="77777777">
        <w:trPr>
          <w:jc w:val="center"/>
        </w:trPr>
        <w:tc>
          <w:tcPr>
            <w:tcW w:w="0" w:type="auto"/>
            <w:gridSpan w:val="3"/>
            <w:shd w:val="clear" w:color="auto" w:fill="CCEEFF"/>
            <w:tcMar>
              <w:top w:w="40" w:type="dxa"/>
              <w:left w:w="495" w:type="dxa"/>
              <w:bottom w:w="40" w:type="dxa"/>
              <w:right w:w="20" w:type="dxa"/>
            </w:tcMar>
            <w:vAlign w:val="center"/>
          </w:tcPr>
          <w:p w14:paraId="33DAE3B6" w14:textId="77777777" w:rsidR="004D6A64" w:rsidRDefault="00506CD6">
            <w:pPr>
              <w:textAlignment w:val="center"/>
            </w:pPr>
            <w:r>
              <w:rPr>
                <w:rFonts w:ascii="Times New Roman" w:eastAsia="宋体" w:hAnsi="Times New Roman"/>
                <w:color w:val="000000"/>
                <w:sz w:val="20"/>
                <w:szCs w:val="20"/>
              </w:rPr>
              <w:t>Non-GAAP operating expenses</w:t>
            </w:r>
          </w:p>
        </w:tc>
        <w:tc>
          <w:tcPr>
            <w:tcW w:w="0" w:type="auto"/>
            <w:tcBorders>
              <w:top w:val="single" w:sz="8" w:space="0" w:color="000000"/>
            </w:tcBorders>
            <w:shd w:val="clear" w:color="auto" w:fill="CCEEFF"/>
            <w:tcMar>
              <w:top w:w="40" w:type="dxa"/>
              <w:left w:w="20" w:type="dxa"/>
              <w:bottom w:w="40" w:type="dxa"/>
            </w:tcMar>
            <w:vAlign w:val="center"/>
          </w:tcPr>
          <w:p w14:paraId="33DAE3B7"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E3B8" w14:textId="77777777" w:rsidR="004D6A64" w:rsidRDefault="00506CD6">
            <w:pPr>
              <w:jc w:val="right"/>
              <w:textAlignment w:val="center"/>
            </w:pPr>
            <w:r>
              <w:rPr>
                <w:rFonts w:ascii="Times New Roman" w:eastAsia="宋体" w:hAnsi="Times New Roman"/>
                <w:color w:val="000000"/>
                <w:sz w:val="20"/>
                <w:szCs w:val="20"/>
              </w:rPr>
              <w:t>5,008 </w:t>
            </w:r>
          </w:p>
        </w:tc>
        <w:tc>
          <w:tcPr>
            <w:tcW w:w="0" w:type="auto"/>
            <w:tcBorders>
              <w:top w:val="single" w:sz="8" w:space="0" w:color="000000"/>
            </w:tcBorders>
            <w:shd w:val="clear" w:color="auto" w:fill="CCEEFF"/>
            <w:tcMar>
              <w:top w:w="40" w:type="dxa"/>
              <w:bottom w:w="40" w:type="dxa"/>
              <w:right w:w="20" w:type="dxa"/>
            </w:tcMar>
            <w:vAlign w:val="center"/>
          </w:tcPr>
          <w:p w14:paraId="33DAE3B9"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3BA"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3BB" w14:textId="77777777" w:rsidR="004D6A64" w:rsidRDefault="00506CD6">
            <w:pPr>
              <w:jc w:val="right"/>
              <w:textAlignment w:val="center"/>
            </w:pPr>
            <w:r>
              <w:rPr>
                <w:rFonts w:ascii="Times New Roman" w:eastAsia="宋体" w:hAnsi="Times New Roman"/>
                <w:color w:val="000000"/>
                <w:sz w:val="20"/>
                <w:szCs w:val="20"/>
              </w:rPr>
              <w:t>(4)</w:t>
            </w:r>
          </w:p>
        </w:tc>
        <w:tc>
          <w:tcPr>
            <w:tcW w:w="0" w:type="auto"/>
            <w:shd w:val="clear" w:color="auto" w:fill="CCEEFF"/>
            <w:tcMar>
              <w:top w:w="40" w:type="dxa"/>
              <w:bottom w:w="40" w:type="dxa"/>
              <w:right w:w="20" w:type="dxa"/>
            </w:tcMar>
            <w:vAlign w:val="center"/>
          </w:tcPr>
          <w:p w14:paraId="33DAE3BC"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3BD"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33DAE3BE"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E3BF" w14:textId="77777777" w:rsidR="004D6A64" w:rsidRDefault="00506CD6">
            <w:pPr>
              <w:jc w:val="right"/>
              <w:textAlignment w:val="center"/>
            </w:pPr>
            <w:r>
              <w:rPr>
                <w:rFonts w:ascii="Times New Roman" w:eastAsia="宋体" w:hAnsi="Times New Roman"/>
                <w:color w:val="000000"/>
                <w:sz w:val="20"/>
                <w:szCs w:val="20"/>
              </w:rPr>
              <w:t>5,243 </w:t>
            </w:r>
          </w:p>
        </w:tc>
        <w:tc>
          <w:tcPr>
            <w:tcW w:w="0" w:type="auto"/>
            <w:tcBorders>
              <w:top w:val="single" w:sz="8" w:space="0" w:color="000000"/>
            </w:tcBorders>
            <w:shd w:val="clear" w:color="auto" w:fill="CCEEFF"/>
            <w:tcMar>
              <w:top w:w="40" w:type="dxa"/>
              <w:bottom w:w="40" w:type="dxa"/>
              <w:right w:w="20" w:type="dxa"/>
            </w:tcMar>
            <w:vAlign w:val="center"/>
          </w:tcPr>
          <w:p w14:paraId="33DAE3C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3C1"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33DAE3C2"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E3C3" w14:textId="77777777" w:rsidR="004D6A64" w:rsidRDefault="00506CD6">
            <w:pPr>
              <w:jc w:val="right"/>
              <w:textAlignment w:val="center"/>
            </w:pPr>
            <w:r>
              <w:rPr>
                <w:rFonts w:ascii="Times New Roman" w:eastAsia="宋体" w:hAnsi="Times New Roman"/>
                <w:color w:val="000000"/>
                <w:sz w:val="20"/>
                <w:szCs w:val="20"/>
              </w:rPr>
              <w:t>10,172 </w:t>
            </w:r>
          </w:p>
        </w:tc>
        <w:tc>
          <w:tcPr>
            <w:tcW w:w="0" w:type="auto"/>
            <w:tcBorders>
              <w:top w:val="single" w:sz="8" w:space="0" w:color="000000"/>
            </w:tcBorders>
            <w:shd w:val="clear" w:color="auto" w:fill="CCEEFF"/>
            <w:tcMar>
              <w:top w:w="40" w:type="dxa"/>
              <w:bottom w:w="40" w:type="dxa"/>
              <w:right w:w="20" w:type="dxa"/>
            </w:tcMar>
            <w:vAlign w:val="center"/>
          </w:tcPr>
          <w:p w14:paraId="33DAE3C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3C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3C6" w14:textId="77777777" w:rsidR="004D6A64" w:rsidRDefault="00506CD6">
            <w:pPr>
              <w:jc w:val="right"/>
              <w:textAlignment w:val="center"/>
            </w:pPr>
            <w:r>
              <w:rPr>
                <w:rFonts w:ascii="Times New Roman" w:eastAsia="宋体" w:hAnsi="Times New Roman"/>
                <w:color w:val="000000"/>
                <w:sz w:val="20"/>
                <w:szCs w:val="20"/>
              </w:rPr>
              <w:t>(3)</w:t>
            </w:r>
          </w:p>
        </w:tc>
        <w:tc>
          <w:tcPr>
            <w:tcW w:w="0" w:type="auto"/>
            <w:shd w:val="clear" w:color="auto" w:fill="CCEEFF"/>
            <w:tcMar>
              <w:top w:w="40" w:type="dxa"/>
              <w:bottom w:w="40" w:type="dxa"/>
              <w:right w:w="20" w:type="dxa"/>
            </w:tcMar>
            <w:vAlign w:val="center"/>
          </w:tcPr>
          <w:p w14:paraId="33DAE3C7"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3C8"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33DAE3C9"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E3CA" w14:textId="77777777" w:rsidR="004D6A64" w:rsidRDefault="00506CD6">
            <w:pPr>
              <w:jc w:val="right"/>
              <w:textAlignment w:val="center"/>
            </w:pPr>
            <w:r>
              <w:rPr>
                <w:rFonts w:ascii="Times New Roman" w:eastAsia="宋体" w:hAnsi="Times New Roman"/>
                <w:color w:val="000000"/>
                <w:sz w:val="20"/>
                <w:szCs w:val="20"/>
              </w:rPr>
              <w:t>10,481 </w:t>
            </w:r>
          </w:p>
        </w:tc>
        <w:tc>
          <w:tcPr>
            <w:tcW w:w="0" w:type="auto"/>
            <w:tcBorders>
              <w:top w:val="single" w:sz="8" w:space="0" w:color="000000"/>
            </w:tcBorders>
            <w:shd w:val="clear" w:color="auto" w:fill="CCEEFF"/>
            <w:tcMar>
              <w:top w:w="40" w:type="dxa"/>
              <w:bottom w:w="40" w:type="dxa"/>
              <w:right w:w="20" w:type="dxa"/>
            </w:tcMar>
            <w:vAlign w:val="center"/>
          </w:tcPr>
          <w:p w14:paraId="33DAE3CB" w14:textId="77777777" w:rsidR="004D6A64" w:rsidRDefault="004D6A64">
            <w:pPr>
              <w:jc w:val="right"/>
              <w:rPr>
                <w:rFonts w:ascii="宋体"/>
              </w:rPr>
            </w:pPr>
          </w:p>
        </w:tc>
        <w:tc>
          <w:tcPr>
            <w:tcW w:w="0" w:type="auto"/>
            <w:shd w:val="clear" w:color="auto" w:fill="auto"/>
          </w:tcPr>
          <w:p w14:paraId="33DAE3CC" w14:textId="77777777" w:rsidR="004D6A64" w:rsidRDefault="004D6A64">
            <w:pPr>
              <w:rPr>
                <w:rFonts w:ascii="宋体"/>
              </w:rPr>
            </w:pPr>
          </w:p>
        </w:tc>
        <w:tc>
          <w:tcPr>
            <w:tcW w:w="0" w:type="auto"/>
            <w:shd w:val="clear" w:color="auto" w:fill="auto"/>
          </w:tcPr>
          <w:p w14:paraId="33DAE3CD" w14:textId="77777777" w:rsidR="004D6A64" w:rsidRDefault="004D6A64">
            <w:pPr>
              <w:rPr>
                <w:rFonts w:ascii="宋体"/>
              </w:rPr>
            </w:pPr>
          </w:p>
        </w:tc>
        <w:tc>
          <w:tcPr>
            <w:tcW w:w="0" w:type="auto"/>
            <w:shd w:val="clear" w:color="auto" w:fill="auto"/>
          </w:tcPr>
          <w:p w14:paraId="33DAE3CE" w14:textId="77777777" w:rsidR="004D6A64" w:rsidRDefault="004D6A64">
            <w:pPr>
              <w:rPr>
                <w:rFonts w:ascii="宋体"/>
              </w:rPr>
            </w:pPr>
          </w:p>
        </w:tc>
        <w:tc>
          <w:tcPr>
            <w:tcW w:w="0" w:type="auto"/>
            <w:shd w:val="clear" w:color="auto" w:fill="auto"/>
          </w:tcPr>
          <w:p w14:paraId="33DAE3CF" w14:textId="77777777" w:rsidR="004D6A64" w:rsidRDefault="004D6A64">
            <w:pPr>
              <w:rPr>
                <w:rFonts w:ascii="宋体"/>
              </w:rPr>
            </w:pPr>
          </w:p>
        </w:tc>
        <w:tc>
          <w:tcPr>
            <w:tcW w:w="0" w:type="auto"/>
            <w:shd w:val="clear" w:color="auto" w:fill="auto"/>
          </w:tcPr>
          <w:p w14:paraId="33DAE3D0" w14:textId="77777777" w:rsidR="004D6A64" w:rsidRDefault="004D6A64">
            <w:pPr>
              <w:rPr>
                <w:rFonts w:ascii="宋体"/>
              </w:rPr>
            </w:pPr>
          </w:p>
        </w:tc>
        <w:tc>
          <w:tcPr>
            <w:tcW w:w="0" w:type="auto"/>
            <w:shd w:val="clear" w:color="auto" w:fill="auto"/>
          </w:tcPr>
          <w:p w14:paraId="33DAE3D1" w14:textId="77777777" w:rsidR="004D6A64" w:rsidRDefault="004D6A64">
            <w:pPr>
              <w:rPr>
                <w:rFonts w:ascii="宋体"/>
              </w:rPr>
            </w:pPr>
          </w:p>
        </w:tc>
        <w:tc>
          <w:tcPr>
            <w:tcW w:w="0" w:type="auto"/>
            <w:shd w:val="clear" w:color="auto" w:fill="auto"/>
          </w:tcPr>
          <w:p w14:paraId="33DAE3D2" w14:textId="77777777" w:rsidR="004D6A64" w:rsidRDefault="004D6A64">
            <w:pPr>
              <w:rPr>
                <w:rFonts w:ascii="宋体"/>
              </w:rPr>
            </w:pPr>
          </w:p>
        </w:tc>
        <w:tc>
          <w:tcPr>
            <w:tcW w:w="0" w:type="auto"/>
            <w:shd w:val="clear" w:color="auto" w:fill="auto"/>
          </w:tcPr>
          <w:p w14:paraId="33DAE3D3" w14:textId="77777777" w:rsidR="004D6A64" w:rsidRDefault="004D6A64">
            <w:pPr>
              <w:rPr>
                <w:rFonts w:ascii="宋体"/>
              </w:rPr>
            </w:pPr>
          </w:p>
        </w:tc>
        <w:tc>
          <w:tcPr>
            <w:tcW w:w="0" w:type="auto"/>
            <w:shd w:val="clear" w:color="auto" w:fill="auto"/>
          </w:tcPr>
          <w:p w14:paraId="33DAE3D4" w14:textId="77777777" w:rsidR="004D6A64" w:rsidRDefault="004D6A64">
            <w:pPr>
              <w:rPr>
                <w:rFonts w:ascii="宋体"/>
              </w:rPr>
            </w:pPr>
          </w:p>
        </w:tc>
        <w:tc>
          <w:tcPr>
            <w:tcW w:w="0" w:type="auto"/>
            <w:shd w:val="clear" w:color="auto" w:fill="auto"/>
          </w:tcPr>
          <w:p w14:paraId="33DAE3D5" w14:textId="77777777" w:rsidR="004D6A64" w:rsidRDefault="004D6A64">
            <w:pPr>
              <w:rPr>
                <w:rFonts w:ascii="宋体"/>
              </w:rPr>
            </w:pPr>
          </w:p>
        </w:tc>
        <w:tc>
          <w:tcPr>
            <w:tcW w:w="0" w:type="auto"/>
            <w:shd w:val="clear" w:color="auto" w:fill="auto"/>
          </w:tcPr>
          <w:p w14:paraId="33DAE3D6" w14:textId="77777777" w:rsidR="004D6A64" w:rsidRDefault="004D6A64">
            <w:pPr>
              <w:rPr>
                <w:rFonts w:ascii="宋体"/>
              </w:rPr>
            </w:pPr>
          </w:p>
        </w:tc>
        <w:tc>
          <w:tcPr>
            <w:tcW w:w="0" w:type="auto"/>
            <w:shd w:val="clear" w:color="auto" w:fill="auto"/>
          </w:tcPr>
          <w:p w14:paraId="33DAE3D7" w14:textId="77777777" w:rsidR="004D6A64" w:rsidRDefault="004D6A64">
            <w:pPr>
              <w:rPr>
                <w:rFonts w:ascii="宋体"/>
              </w:rPr>
            </w:pPr>
          </w:p>
        </w:tc>
        <w:tc>
          <w:tcPr>
            <w:tcW w:w="0" w:type="auto"/>
            <w:shd w:val="clear" w:color="auto" w:fill="auto"/>
          </w:tcPr>
          <w:p w14:paraId="33DAE3D8" w14:textId="77777777" w:rsidR="004D6A64" w:rsidRDefault="004D6A64">
            <w:pPr>
              <w:rPr>
                <w:rFonts w:ascii="宋体"/>
              </w:rPr>
            </w:pPr>
          </w:p>
        </w:tc>
        <w:tc>
          <w:tcPr>
            <w:tcW w:w="0" w:type="auto"/>
            <w:shd w:val="clear" w:color="auto" w:fill="auto"/>
          </w:tcPr>
          <w:p w14:paraId="33DAE3D9" w14:textId="77777777" w:rsidR="004D6A64" w:rsidRDefault="004D6A64">
            <w:pPr>
              <w:rPr>
                <w:rFonts w:ascii="宋体"/>
              </w:rPr>
            </w:pPr>
          </w:p>
        </w:tc>
        <w:tc>
          <w:tcPr>
            <w:tcW w:w="0" w:type="auto"/>
            <w:shd w:val="clear" w:color="auto" w:fill="auto"/>
          </w:tcPr>
          <w:p w14:paraId="33DAE3DA" w14:textId="77777777" w:rsidR="004D6A64" w:rsidRDefault="004D6A64">
            <w:pPr>
              <w:rPr>
                <w:rFonts w:ascii="宋体"/>
              </w:rPr>
            </w:pPr>
          </w:p>
        </w:tc>
        <w:tc>
          <w:tcPr>
            <w:tcW w:w="0" w:type="auto"/>
            <w:shd w:val="clear" w:color="auto" w:fill="auto"/>
          </w:tcPr>
          <w:p w14:paraId="33DAE3DB" w14:textId="77777777" w:rsidR="004D6A64" w:rsidRDefault="004D6A64">
            <w:pPr>
              <w:rPr>
                <w:rFonts w:ascii="宋体"/>
              </w:rPr>
            </w:pPr>
          </w:p>
        </w:tc>
        <w:tc>
          <w:tcPr>
            <w:tcW w:w="0" w:type="auto"/>
            <w:shd w:val="clear" w:color="auto" w:fill="auto"/>
          </w:tcPr>
          <w:p w14:paraId="33DAE3DC" w14:textId="77777777" w:rsidR="004D6A64" w:rsidRDefault="004D6A64">
            <w:pPr>
              <w:rPr>
                <w:rFonts w:ascii="宋体"/>
              </w:rPr>
            </w:pPr>
          </w:p>
        </w:tc>
        <w:tc>
          <w:tcPr>
            <w:tcW w:w="0" w:type="auto"/>
            <w:shd w:val="clear" w:color="auto" w:fill="auto"/>
          </w:tcPr>
          <w:p w14:paraId="33DAE3DD" w14:textId="77777777" w:rsidR="004D6A64" w:rsidRDefault="004D6A64">
            <w:pPr>
              <w:rPr>
                <w:rFonts w:ascii="宋体"/>
              </w:rPr>
            </w:pPr>
          </w:p>
        </w:tc>
        <w:tc>
          <w:tcPr>
            <w:tcW w:w="0" w:type="auto"/>
            <w:shd w:val="clear" w:color="auto" w:fill="auto"/>
          </w:tcPr>
          <w:p w14:paraId="33DAE3DE" w14:textId="77777777" w:rsidR="004D6A64" w:rsidRDefault="004D6A64">
            <w:pPr>
              <w:rPr>
                <w:rFonts w:ascii="宋体"/>
              </w:rPr>
            </w:pPr>
          </w:p>
        </w:tc>
        <w:tc>
          <w:tcPr>
            <w:tcW w:w="0" w:type="auto"/>
            <w:shd w:val="clear" w:color="auto" w:fill="auto"/>
          </w:tcPr>
          <w:p w14:paraId="33DAE3DF" w14:textId="77777777" w:rsidR="004D6A64" w:rsidRDefault="004D6A64">
            <w:pPr>
              <w:rPr>
                <w:rFonts w:ascii="宋体"/>
              </w:rPr>
            </w:pPr>
          </w:p>
        </w:tc>
        <w:tc>
          <w:tcPr>
            <w:tcW w:w="0" w:type="auto"/>
            <w:shd w:val="clear" w:color="auto" w:fill="auto"/>
          </w:tcPr>
          <w:p w14:paraId="33DAE3E0" w14:textId="77777777" w:rsidR="004D6A64" w:rsidRDefault="004D6A64">
            <w:pPr>
              <w:rPr>
                <w:rFonts w:ascii="宋体"/>
              </w:rPr>
            </w:pPr>
          </w:p>
        </w:tc>
        <w:tc>
          <w:tcPr>
            <w:tcW w:w="0" w:type="auto"/>
            <w:shd w:val="clear" w:color="auto" w:fill="auto"/>
          </w:tcPr>
          <w:p w14:paraId="33DAE3E1" w14:textId="77777777" w:rsidR="004D6A64" w:rsidRDefault="004D6A64">
            <w:pPr>
              <w:rPr>
                <w:rFonts w:ascii="宋体"/>
              </w:rPr>
            </w:pPr>
          </w:p>
        </w:tc>
        <w:tc>
          <w:tcPr>
            <w:tcW w:w="0" w:type="auto"/>
            <w:shd w:val="clear" w:color="auto" w:fill="auto"/>
          </w:tcPr>
          <w:p w14:paraId="33DAE3E2" w14:textId="77777777" w:rsidR="004D6A64" w:rsidRDefault="004D6A64">
            <w:pPr>
              <w:rPr>
                <w:rFonts w:ascii="宋体"/>
              </w:rPr>
            </w:pPr>
          </w:p>
        </w:tc>
        <w:tc>
          <w:tcPr>
            <w:tcW w:w="0" w:type="auto"/>
            <w:shd w:val="clear" w:color="auto" w:fill="auto"/>
          </w:tcPr>
          <w:p w14:paraId="33DAE3E3" w14:textId="77777777" w:rsidR="004D6A64" w:rsidRDefault="004D6A64">
            <w:pPr>
              <w:rPr>
                <w:rFonts w:ascii="宋体"/>
              </w:rPr>
            </w:pPr>
          </w:p>
        </w:tc>
        <w:tc>
          <w:tcPr>
            <w:tcW w:w="0" w:type="auto"/>
            <w:shd w:val="clear" w:color="auto" w:fill="auto"/>
          </w:tcPr>
          <w:p w14:paraId="33DAE3E4" w14:textId="77777777" w:rsidR="004D6A64" w:rsidRDefault="004D6A64">
            <w:pPr>
              <w:rPr>
                <w:rFonts w:ascii="宋体"/>
              </w:rPr>
            </w:pPr>
          </w:p>
        </w:tc>
        <w:tc>
          <w:tcPr>
            <w:tcW w:w="0" w:type="auto"/>
            <w:shd w:val="clear" w:color="auto" w:fill="auto"/>
          </w:tcPr>
          <w:p w14:paraId="33DAE3E5" w14:textId="77777777" w:rsidR="004D6A64" w:rsidRDefault="004D6A64">
            <w:pPr>
              <w:rPr>
                <w:rFonts w:ascii="宋体"/>
              </w:rPr>
            </w:pPr>
          </w:p>
        </w:tc>
        <w:tc>
          <w:tcPr>
            <w:tcW w:w="0" w:type="auto"/>
            <w:shd w:val="clear" w:color="auto" w:fill="auto"/>
          </w:tcPr>
          <w:p w14:paraId="33DAE3E6" w14:textId="77777777" w:rsidR="004D6A64" w:rsidRDefault="004D6A64">
            <w:pPr>
              <w:rPr>
                <w:rFonts w:ascii="宋体"/>
              </w:rPr>
            </w:pPr>
          </w:p>
        </w:tc>
      </w:tr>
      <w:tr w:rsidR="004D6A64" w14:paraId="33DAE40F" w14:textId="77777777">
        <w:trPr>
          <w:trHeight w:val="300"/>
          <w:jc w:val="center"/>
        </w:trPr>
        <w:tc>
          <w:tcPr>
            <w:tcW w:w="0" w:type="auto"/>
            <w:gridSpan w:val="3"/>
            <w:shd w:val="clear" w:color="auto" w:fill="FFFFFF"/>
            <w:tcMar>
              <w:left w:w="20" w:type="dxa"/>
              <w:right w:w="20" w:type="dxa"/>
            </w:tcMar>
            <w:vAlign w:val="bottom"/>
          </w:tcPr>
          <w:p w14:paraId="33DAE3E8" w14:textId="77777777" w:rsidR="004D6A64" w:rsidRDefault="004D6A6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3DAE3E9"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3EA"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3EB"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3EC" w14:textId="77777777" w:rsidR="004D6A64" w:rsidRDefault="004D6A6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3DAE3ED"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3EE" w14:textId="77777777" w:rsidR="004D6A64" w:rsidRDefault="004D6A6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3DAE3EF"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3F0"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3F1"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3F2" w14:textId="77777777" w:rsidR="004D6A64" w:rsidRDefault="004D6A64">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3DAE3F3" w14:textId="77777777" w:rsidR="004D6A64" w:rsidRDefault="004D6A64">
            <w:pPr>
              <w:rPr>
                <w:rFonts w:ascii="宋体"/>
              </w:rPr>
            </w:pPr>
          </w:p>
        </w:tc>
        <w:tc>
          <w:tcPr>
            <w:tcW w:w="0" w:type="auto"/>
            <w:shd w:val="clear" w:color="auto" w:fill="auto"/>
          </w:tcPr>
          <w:p w14:paraId="33DAE3F4" w14:textId="77777777" w:rsidR="004D6A64" w:rsidRDefault="004D6A64">
            <w:pPr>
              <w:rPr>
                <w:rFonts w:ascii="宋体"/>
              </w:rPr>
            </w:pPr>
          </w:p>
        </w:tc>
        <w:tc>
          <w:tcPr>
            <w:tcW w:w="0" w:type="auto"/>
            <w:shd w:val="clear" w:color="auto" w:fill="auto"/>
          </w:tcPr>
          <w:p w14:paraId="33DAE3F5" w14:textId="77777777" w:rsidR="004D6A64" w:rsidRDefault="004D6A64">
            <w:pPr>
              <w:rPr>
                <w:rFonts w:ascii="宋体"/>
              </w:rPr>
            </w:pPr>
          </w:p>
        </w:tc>
        <w:tc>
          <w:tcPr>
            <w:tcW w:w="0" w:type="auto"/>
            <w:shd w:val="clear" w:color="auto" w:fill="auto"/>
          </w:tcPr>
          <w:p w14:paraId="33DAE3F6" w14:textId="77777777" w:rsidR="004D6A64" w:rsidRDefault="004D6A64">
            <w:pPr>
              <w:rPr>
                <w:rFonts w:ascii="宋体"/>
              </w:rPr>
            </w:pPr>
          </w:p>
        </w:tc>
        <w:tc>
          <w:tcPr>
            <w:tcW w:w="0" w:type="auto"/>
            <w:shd w:val="clear" w:color="auto" w:fill="auto"/>
          </w:tcPr>
          <w:p w14:paraId="33DAE3F7" w14:textId="77777777" w:rsidR="004D6A64" w:rsidRDefault="004D6A64">
            <w:pPr>
              <w:rPr>
                <w:rFonts w:ascii="宋体"/>
              </w:rPr>
            </w:pPr>
          </w:p>
        </w:tc>
        <w:tc>
          <w:tcPr>
            <w:tcW w:w="0" w:type="auto"/>
            <w:shd w:val="clear" w:color="auto" w:fill="auto"/>
          </w:tcPr>
          <w:p w14:paraId="33DAE3F8" w14:textId="77777777" w:rsidR="004D6A64" w:rsidRDefault="004D6A64">
            <w:pPr>
              <w:rPr>
                <w:rFonts w:ascii="宋体"/>
              </w:rPr>
            </w:pPr>
          </w:p>
        </w:tc>
        <w:tc>
          <w:tcPr>
            <w:tcW w:w="0" w:type="auto"/>
            <w:shd w:val="clear" w:color="auto" w:fill="auto"/>
          </w:tcPr>
          <w:p w14:paraId="33DAE3F9" w14:textId="77777777" w:rsidR="004D6A64" w:rsidRDefault="004D6A64">
            <w:pPr>
              <w:rPr>
                <w:rFonts w:ascii="宋体"/>
              </w:rPr>
            </w:pPr>
          </w:p>
        </w:tc>
        <w:tc>
          <w:tcPr>
            <w:tcW w:w="0" w:type="auto"/>
            <w:shd w:val="clear" w:color="auto" w:fill="auto"/>
          </w:tcPr>
          <w:p w14:paraId="33DAE3FA" w14:textId="77777777" w:rsidR="004D6A64" w:rsidRDefault="004D6A64">
            <w:pPr>
              <w:rPr>
                <w:rFonts w:ascii="宋体"/>
              </w:rPr>
            </w:pPr>
          </w:p>
        </w:tc>
        <w:tc>
          <w:tcPr>
            <w:tcW w:w="0" w:type="auto"/>
            <w:shd w:val="clear" w:color="auto" w:fill="auto"/>
          </w:tcPr>
          <w:p w14:paraId="33DAE3FB" w14:textId="77777777" w:rsidR="004D6A64" w:rsidRDefault="004D6A64">
            <w:pPr>
              <w:rPr>
                <w:rFonts w:ascii="宋体"/>
              </w:rPr>
            </w:pPr>
          </w:p>
        </w:tc>
        <w:tc>
          <w:tcPr>
            <w:tcW w:w="0" w:type="auto"/>
            <w:shd w:val="clear" w:color="auto" w:fill="auto"/>
          </w:tcPr>
          <w:p w14:paraId="33DAE3FC" w14:textId="77777777" w:rsidR="004D6A64" w:rsidRDefault="004D6A64">
            <w:pPr>
              <w:rPr>
                <w:rFonts w:ascii="宋体"/>
              </w:rPr>
            </w:pPr>
          </w:p>
        </w:tc>
        <w:tc>
          <w:tcPr>
            <w:tcW w:w="0" w:type="auto"/>
            <w:shd w:val="clear" w:color="auto" w:fill="auto"/>
          </w:tcPr>
          <w:p w14:paraId="33DAE3FD" w14:textId="77777777" w:rsidR="004D6A64" w:rsidRDefault="004D6A64">
            <w:pPr>
              <w:rPr>
                <w:rFonts w:ascii="宋体"/>
              </w:rPr>
            </w:pPr>
          </w:p>
        </w:tc>
        <w:tc>
          <w:tcPr>
            <w:tcW w:w="0" w:type="auto"/>
            <w:shd w:val="clear" w:color="auto" w:fill="auto"/>
          </w:tcPr>
          <w:p w14:paraId="33DAE3FE" w14:textId="77777777" w:rsidR="004D6A64" w:rsidRDefault="004D6A64">
            <w:pPr>
              <w:rPr>
                <w:rFonts w:ascii="宋体"/>
              </w:rPr>
            </w:pPr>
          </w:p>
        </w:tc>
        <w:tc>
          <w:tcPr>
            <w:tcW w:w="0" w:type="auto"/>
            <w:shd w:val="clear" w:color="auto" w:fill="auto"/>
          </w:tcPr>
          <w:p w14:paraId="33DAE3FF" w14:textId="77777777" w:rsidR="004D6A64" w:rsidRDefault="004D6A64">
            <w:pPr>
              <w:rPr>
                <w:rFonts w:ascii="宋体"/>
              </w:rPr>
            </w:pPr>
          </w:p>
        </w:tc>
        <w:tc>
          <w:tcPr>
            <w:tcW w:w="0" w:type="auto"/>
            <w:shd w:val="clear" w:color="auto" w:fill="auto"/>
          </w:tcPr>
          <w:p w14:paraId="33DAE400" w14:textId="77777777" w:rsidR="004D6A64" w:rsidRDefault="004D6A64">
            <w:pPr>
              <w:rPr>
                <w:rFonts w:ascii="宋体"/>
              </w:rPr>
            </w:pPr>
          </w:p>
        </w:tc>
        <w:tc>
          <w:tcPr>
            <w:tcW w:w="0" w:type="auto"/>
            <w:shd w:val="clear" w:color="auto" w:fill="auto"/>
          </w:tcPr>
          <w:p w14:paraId="33DAE401" w14:textId="77777777" w:rsidR="004D6A64" w:rsidRDefault="004D6A64">
            <w:pPr>
              <w:rPr>
                <w:rFonts w:ascii="宋体"/>
              </w:rPr>
            </w:pPr>
          </w:p>
        </w:tc>
        <w:tc>
          <w:tcPr>
            <w:tcW w:w="0" w:type="auto"/>
            <w:shd w:val="clear" w:color="auto" w:fill="auto"/>
          </w:tcPr>
          <w:p w14:paraId="33DAE402" w14:textId="77777777" w:rsidR="004D6A64" w:rsidRDefault="004D6A64">
            <w:pPr>
              <w:rPr>
                <w:rFonts w:ascii="宋体"/>
              </w:rPr>
            </w:pPr>
          </w:p>
        </w:tc>
        <w:tc>
          <w:tcPr>
            <w:tcW w:w="0" w:type="auto"/>
            <w:shd w:val="clear" w:color="auto" w:fill="auto"/>
          </w:tcPr>
          <w:p w14:paraId="33DAE403" w14:textId="77777777" w:rsidR="004D6A64" w:rsidRDefault="004D6A64">
            <w:pPr>
              <w:rPr>
                <w:rFonts w:ascii="宋体"/>
              </w:rPr>
            </w:pPr>
          </w:p>
        </w:tc>
        <w:tc>
          <w:tcPr>
            <w:tcW w:w="0" w:type="auto"/>
            <w:shd w:val="clear" w:color="auto" w:fill="auto"/>
          </w:tcPr>
          <w:p w14:paraId="33DAE404" w14:textId="77777777" w:rsidR="004D6A64" w:rsidRDefault="004D6A64">
            <w:pPr>
              <w:rPr>
                <w:rFonts w:ascii="宋体"/>
              </w:rPr>
            </w:pPr>
          </w:p>
        </w:tc>
        <w:tc>
          <w:tcPr>
            <w:tcW w:w="0" w:type="auto"/>
            <w:shd w:val="clear" w:color="auto" w:fill="auto"/>
          </w:tcPr>
          <w:p w14:paraId="33DAE405" w14:textId="77777777" w:rsidR="004D6A64" w:rsidRDefault="004D6A64">
            <w:pPr>
              <w:rPr>
                <w:rFonts w:ascii="宋体"/>
              </w:rPr>
            </w:pPr>
          </w:p>
        </w:tc>
        <w:tc>
          <w:tcPr>
            <w:tcW w:w="0" w:type="auto"/>
            <w:shd w:val="clear" w:color="auto" w:fill="auto"/>
          </w:tcPr>
          <w:p w14:paraId="33DAE406" w14:textId="77777777" w:rsidR="004D6A64" w:rsidRDefault="004D6A64">
            <w:pPr>
              <w:rPr>
                <w:rFonts w:ascii="宋体"/>
              </w:rPr>
            </w:pPr>
          </w:p>
        </w:tc>
        <w:tc>
          <w:tcPr>
            <w:tcW w:w="0" w:type="auto"/>
            <w:shd w:val="clear" w:color="auto" w:fill="auto"/>
          </w:tcPr>
          <w:p w14:paraId="33DAE407" w14:textId="77777777" w:rsidR="004D6A64" w:rsidRDefault="004D6A64">
            <w:pPr>
              <w:rPr>
                <w:rFonts w:ascii="宋体"/>
              </w:rPr>
            </w:pPr>
          </w:p>
        </w:tc>
        <w:tc>
          <w:tcPr>
            <w:tcW w:w="0" w:type="auto"/>
            <w:shd w:val="clear" w:color="auto" w:fill="auto"/>
          </w:tcPr>
          <w:p w14:paraId="33DAE408" w14:textId="77777777" w:rsidR="004D6A64" w:rsidRDefault="004D6A64">
            <w:pPr>
              <w:rPr>
                <w:rFonts w:ascii="宋体"/>
              </w:rPr>
            </w:pPr>
          </w:p>
        </w:tc>
        <w:tc>
          <w:tcPr>
            <w:tcW w:w="0" w:type="auto"/>
            <w:shd w:val="clear" w:color="auto" w:fill="auto"/>
          </w:tcPr>
          <w:p w14:paraId="33DAE409" w14:textId="77777777" w:rsidR="004D6A64" w:rsidRDefault="004D6A64">
            <w:pPr>
              <w:rPr>
                <w:rFonts w:ascii="宋体"/>
              </w:rPr>
            </w:pPr>
          </w:p>
        </w:tc>
        <w:tc>
          <w:tcPr>
            <w:tcW w:w="0" w:type="auto"/>
            <w:shd w:val="clear" w:color="auto" w:fill="auto"/>
          </w:tcPr>
          <w:p w14:paraId="33DAE40A" w14:textId="77777777" w:rsidR="004D6A64" w:rsidRDefault="004D6A64">
            <w:pPr>
              <w:rPr>
                <w:rFonts w:ascii="宋体"/>
              </w:rPr>
            </w:pPr>
          </w:p>
        </w:tc>
        <w:tc>
          <w:tcPr>
            <w:tcW w:w="0" w:type="auto"/>
            <w:shd w:val="clear" w:color="auto" w:fill="auto"/>
          </w:tcPr>
          <w:p w14:paraId="33DAE40B" w14:textId="77777777" w:rsidR="004D6A64" w:rsidRDefault="004D6A64">
            <w:pPr>
              <w:rPr>
                <w:rFonts w:ascii="宋体"/>
              </w:rPr>
            </w:pPr>
          </w:p>
        </w:tc>
        <w:tc>
          <w:tcPr>
            <w:tcW w:w="0" w:type="auto"/>
            <w:shd w:val="clear" w:color="auto" w:fill="auto"/>
          </w:tcPr>
          <w:p w14:paraId="33DAE40C" w14:textId="77777777" w:rsidR="004D6A64" w:rsidRDefault="004D6A64">
            <w:pPr>
              <w:rPr>
                <w:rFonts w:ascii="宋体"/>
              </w:rPr>
            </w:pPr>
          </w:p>
        </w:tc>
        <w:tc>
          <w:tcPr>
            <w:tcW w:w="0" w:type="auto"/>
            <w:shd w:val="clear" w:color="auto" w:fill="auto"/>
          </w:tcPr>
          <w:p w14:paraId="33DAE40D" w14:textId="77777777" w:rsidR="004D6A64" w:rsidRDefault="004D6A64">
            <w:pPr>
              <w:rPr>
                <w:rFonts w:ascii="宋体"/>
              </w:rPr>
            </w:pPr>
          </w:p>
        </w:tc>
        <w:tc>
          <w:tcPr>
            <w:tcW w:w="0" w:type="auto"/>
            <w:shd w:val="clear" w:color="auto" w:fill="auto"/>
          </w:tcPr>
          <w:p w14:paraId="33DAE40E" w14:textId="77777777" w:rsidR="004D6A64" w:rsidRDefault="004D6A64">
            <w:pPr>
              <w:rPr>
                <w:rFonts w:ascii="宋体"/>
              </w:rPr>
            </w:pPr>
          </w:p>
        </w:tc>
      </w:tr>
      <w:tr w:rsidR="004D6A64" w14:paraId="33DAE441" w14:textId="77777777">
        <w:trPr>
          <w:jc w:val="center"/>
        </w:trPr>
        <w:tc>
          <w:tcPr>
            <w:tcW w:w="0" w:type="auto"/>
            <w:gridSpan w:val="3"/>
            <w:shd w:val="clear" w:color="auto" w:fill="CCEEFF"/>
            <w:tcMar>
              <w:top w:w="40" w:type="dxa"/>
              <w:left w:w="20" w:type="dxa"/>
              <w:bottom w:w="40" w:type="dxa"/>
              <w:right w:w="20" w:type="dxa"/>
            </w:tcMar>
            <w:vAlign w:val="center"/>
          </w:tcPr>
          <w:p w14:paraId="33DAE410" w14:textId="77777777" w:rsidR="004D6A64" w:rsidRDefault="00506CD6">
            <w:pPr>
              <w:textAlignment w:val="center"/>
            </w:pPr>
            <w:r>
              <w:rPr>
                <w:rFonts w:ascii="Times New Roman" w:eastAsia="宋体" w:hAnsi="Times New Roman"/>
                <w:color w:val="000000"/>
                <w:sz w:val="20"/>
                <w:szCs w:val="20"/>
              </w:rPr>
              <w:t>Operating income</w:t>
            </w:r>
          </w:p>
        </w:tc>
        <w:tc>
          <w:tcPr>
            <w:tcW w:w="0" w:type="auto"/>
            <w:shd w:val="clear" w:color="auto" w:fill="CCEEFF"/>
            <w:tcMar>
              <w:top w:w="40" w:type="dxa"/>
              <w:left w:w="20" w:type="dxa"/>
              <w:bottom w:w="40" w:type="dxa"/>
            </w:tcMar>
            <w:vAlign w:val="center"/>
          </w:tcPr>
          <w:p w14:paraId="33DAE411"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E412" w14:textId="77777777" w:rsidR="004D6A64" w:rsidRDefault="00506CD6">
            <w:pPr>
              <w:jc w:val="right"/>
              <w:textAlignment w:val="center"/>
            </w:pPr>
            <w:r>
              <w:rPr>
                <w:rFonts w:ascii="Times New Roman" w:eastAsia="宋体" w:hAnsi="Times New Roman"/>
                <w:color w:val="000000"/>
                <w:sz w:val="20"/>
                <w:szCs w:val="20"/>
              </w:rPr>
              <w:t>1,136 </w:t>
            </w:r>
          </w:p>
        </w:tc>
        <w:tc>
          <w:tcPr>
            <w:tcW w:w="0" w:type="auto"/>
            <w:shd w:val="clear" w:color="auto" w:fill="CCEEFF"/>
            <w:tcMar>
              <w:top w:w="40" w:type="dxa"/>
              <w:bottom w:w="40" w:type="dxa"/>
              <w:right w:w="20" w:type="dxa"/>
            </w:tcMar>
            <w:vAlign w:val="center"/>
          </w:tcPr>
          <w:p w14:paraId="33DAE41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414"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415" w14:textId="77777777" w:rsidR="004D6A64" w:rsidRDefault="00506CD6">
            <w:pPr>
              <w:jc w:val="right"/>
              <w:textAlignment w:val="center"/>
            </w:pPr>
            <w:r>
              <w:rPr>
                <w:rFonts w:ascii="Times New Roman" w:eastAsia="宋体" w:hAnsi="Times New Roman"/>
                <w:color w:val="000000"/>
                <w:sz w:val="20"/>
                <w:szCs w:val="20"/>
              </w:rPr>
              <w:t>119 </w:t>
            </w:r>
          </w:p>
        </w:tc>
        <w:tc>
          <w:tcPr>
            <w:tcW w:w="0" w:type="auto"/>
            <w:shd w:val="clear" w:color="auto" w:fill="CCEEFF"/>
            <w:tcMar>
              <w:top w:w="40" w:type="dxa"/>
              <w:bottom w:w="40" w:type="dxa"/>
              <w:right w:w="20" w:type="dxa"/>
            </w:tcMar>
            <w:vAlign w:val="center"/>
          </w:tcPr>
          <w:p w14:paraId="33DAE416"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417"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E418"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E419" w14:textId="77777777" w:rsidR="004D6A64" w:rsidRDefault="00506CD6">
            <w:pPr>
              <w:jc w:val="right"/>
              <w:textAlignment w:val="center"/>
            </w:pPr>
            <w:r>
              <w:rPr>
                <w:rFonts w:ascii="Times New Roman" w:eastAsia="宋体" w:hAnsi="Times New Roman"/>
                <w:color w:val="000000"/>
                <w:sz w:val="20"/>
                <w:szCs w:val="20"/>
              </w:rPr>
              <w:t>519 </w:t>
            </w:r>
          </w:p>
        </w:tc>
        <w:tc>
          <w:tcPr>
            <w:tcW w:w="0" w:type="auto"/>
            <w:shd w:val="clear" w:color="auto" w:fill="CCEEFF"/>
            <w:tcMar>
              <w:top w:w="40" w:type="dxa"/>
              <w:bottom w:w="40" w:type="dxa"/>
              <w:right w:w="20" w:type="dxa"/>
            </w:tcMar>
            <w:vAlign w:val="center"/>
          </w:tcPr>
          <w:p w14:paraId="33DAE41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41B"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E41C"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E41D" w14:textId="77777777" w:rsidR="004D6A64" w:rsidRDefault="00506CD6">
            <w:pPr>
              <w:jc w:val="right"/>
              <w:textAlignment w:val="center"/>
            </w:pPr>
            <w:r>
              <w:rPr>
                <w:rFonts w:ascii="Times New Roman" w:eastAsia="宋体" w:hAnsi="Times New Roman"/>
                <w:color w:val="000000"/>
                <w:sz w:val="20"/>
                <w:szCs w:val="20"/>
              </w:rPr>
              <w:t>1,838 </w:t>
            </w:r>
          </w:p>
        </w:tc>
        <w:tc>
          <w:tcPr>
            <w:tcW w:w="0" w:type="auto"/>
            <w:shd w:val="clear" w:color="auto" w:fill="CCEEFF"/>
            <w:tcMar>
              <w:top w:w="40" w:type="dxa"/>
              <w:bottom w:w="40" w:type="dxa"/>
              <w:right w:w="20" w:type="dxa"/>
            </w:tcMar>
            <w:vAlign w:val="center"/>
          </w:tcPr>
          <w:p w14:paraId="33DAE41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41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420" w14:textId="77777777" w:rsidR="004D6A64" w:rsidRDefault="00506CD6">
            <w:pPr>
              <w:jc w:val="right"/>
              <w:textAlignment w:val="center"/>
            </w:pPr>
            <w:r>
              <w:rPr>
                <w:rFonts w:ascii="Times New Roman" w:eastAsia="宋体" w:hAnsi="Times New Roman"/>
                <w:color w:val="000000"/>
                <w:sz w:val="20"/>
                <w:szCs w:val="20"/>
              </w:rPr>
              <w:t>72 </w:t>
            </w:r>
          </w:p>
        </w:tc>
        <w:tc>
          <w:tcPr>
            <w:tcW w:w="0" w:type="auto"/>
            <w:shd w:val="clear" w:color="auto" w:fill="CCEEFF"/>
            <w:tcMar>
              <w:top w:w="40" w:type="dxa"/>
              <w:bottom w:w="40" w:type="dxa"/>
              <w:right w:w="20" w:type="dxa"/>
            </w:tcMar>
            <w:vAlign w:val="center"/>
          </w:tcPr>
          <w:p w14:paraId="33DAE421"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422" w14:textId="77777777" w:rsidR="004D6A64" w:rsidRDefault="004D6A64">
            <w:pPr>
              <w:rPr>
                <w:rFonts w:ascii="宋体"/>
              </w:rPr>
            </w:pPr>
          </w:p>
        </w:tc>
        <w:tc>
          <w:tcPr>
            <w:tcW w:w="0" w:type="auto"/>
            <w:shd w:val="clear" w:color="auto" w:fill="CCEEFF"/>
            <w:tcMar>
              <w:top w:w="40" w:type="dxa"/>
              <w:left w:w="20" w:type="dxa"/>
              <w:bottom w:w="40" w:type="dxa"/>
            </w:tcMar>
            <w:vAlign w:val="center"/>
          </w:tcPr>
          <w:p w14:paraId="33DAE423"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center"/>
          </w:tcPr>
          <w:p w14:paraId="33DAE424" w14:textId="77777777" w:rsidR="004D6A64" w:rsidRDefault="00506CD6">
            <w:pPr>
              <w:jc w:val="right"/>
              <w:textAlignment w:val="center"/>
            </w:pPr>
            <w:r>
              <w:rPr>
                <w:rFonts w:ascii="Times New Roman" w:eastAsia="宋体" w:hAnsi="Times New Roman"/>
                <w:color w:val="000000"/>
                <w:sz w:val="20"/>
                <w:szCs w:val="20"/>
              </w:rPr>
              <w:t>1,069 </w:t>
            </w:r>
          </w:p>
        </w:tc>
        <w:tc>
          <w:tcPr>
            <w:tcW w:w="0" w:type="auto"/>
            <w:shd w:val="clear" w:color="auto" w:fill="CCEEFF"/>
            <w:tcMar>
              <w:top w:w="40" w:type="dxa"/>
              <w:bottom w:w="40" w:type="dxa"/>
              <w:right w:w="20" w:type="dxa"/>
            </w:tcMar>
            <w:vAlign w:val="center"/>
          </w:tcPr>
          <w:p w14:paraId="33DAE425" w14:textId="77777777" w:rsidR="004D6A64" w:rsidRDefault="004D6A64">
            <w:pPr>
              <w:jc w:val="right"/>
              <w:rPr>
                <w:rFonts w:ascii="宋体"/>
              </w:rPr>
            </w:pPr>
          </w:p>
        </w:tc>
        <w:tc>
          <w:tcPr>
            <w:tcW w:w="0" w:type="auto"/>
            <w:shd w:val="clear" w:color="auto" w:fill="auto"/>
          </w:tcPr>
          <w:p w14:paraId="33DAE426" w14:textId="77777777" w:rsidR="004D6A64" w:rsidRDefault="004D6A64">
            <w:pPr>
              <w:rPr>
                <w:rFonts w:ascii="宋体"/>
              </w:rPr>
            </w:pPr>
          </w:p>
        </w:tc>
        <w:tc>
          <w:tcPr>
            <w:tcW w:w="0" w:type="auto"/>
            <w:shd w:val="clear" w:color="auto" w:fill="auto"/>
          </w:tcPr>
          <w:p w14:paraId="33DAE427" w14:textId="77777777" w:rsidR="004D6A64" w:rsidRDefault="004D6A64">
            <w:pPr>
              <w:rPr>
                <w:rFonts w:ascii="宋体"/>
              </w:rPr>
            </w:pPr>
          </w:p>
        </w:tc>
        <w:tc>
          <w:tcPr>
            <w:tcW w:w="0" w:type="auto"/>
            <w:shd w:val="clear" w:color="auto" w:fill="auto"/>
          </w:tcPr>
          <w:p w14:paraId="33DAE428" w14:textId="77777777" w:rsidR="004D6A64" w:rsidRDefault="004D6A64">
            <w:pPr>
              <w:rPr>
                <w:rFonts w:ascii="宋体"/>
              </w:rPr>
            </w:pPr>
          </w:p>
        </w:tc>
        <w:tc>
          <w:tcPr>
            <w:tcW w:w="0" w:type="auto"/>
            <w:shd w:val="clear" w:color="auto" w:fill="auto"/>
          </w:tcPr>
          <w:p w14:paraId="33DAE429" w14:textId="77777777" w:rsidR="004D6A64" w:rsidRDefault="004D6A64">
            <w:pPr>
              <w:rPr>
                <w:rFonts w:ascii="宋体"/>
              </w:rPr>
            </w:pPr>
          </w:p>
        </w:tc>
        <w:tc>
          <w:tcPr>
            <w:tcW w:w="0" w:type="auto"/>
            <w:shd w:val="clear" w:color="auto" w:fill="auto"/>
          </w:tcPr>
          <w:p w14:paraId="33DAE42A" w14:textId="77777777" w:rsidR="004D6A64" w:rsidRDefault="004D6A64">
            <w:pPr>
              <w:rPr>
                <w:rFonts w:ascii="宋体"/>
              </w:rPr>
            </w:pPr>
          </w:p>
        </w:tc>
        <w:tc>
          <w:tcPr>
            <w:tcW w:w="0" w:type="auto"/>
            <w:shd w:val="clear" w:color="auto" w:fill="auto"/>
          </w:tcPr>
          <w:p w14:paraId="33DAE42B" w14:textId="77777777" w:rsidR="004D6A64" w:rsidRDefault="004D6A64">
            <w:pPr>
              <w:rPr>
                <w:rFonts w:ascii="宋体"/>
              </w:rPr>
            </w:pPr>
          </w:p>
        </w:tc>
        <w:tc>
          <w:tcPr>
            <w:tcW w:w="0" w:type="auto"/>
            <w:shd w:val="clear" w:color="auto" w:fill="auto"/>
          </w:tcPr>
          <w:p w14:paraId="33DAE42C" w14:textId="77777777" w:rsidR="004D6A64" w:rsidRDefault="004D6A64">
            <w:pPr>
              <w:rPr>
                <w:rFonts w:ascii="宋体"/>
              </w:rPr>
            </w:pPr>
          </w:p>
        </w:tc>
        <w:tc>
          <w:tcPr>
            <w:tcW w:w="0" w:type="auto"/>
            <w:shd w:val="clear" w:color="auto" w:fill="auto"/>
          </w:tcPr>
          <w:p w14:paraId="33DAE42D" w14:textId="77777777" w:rsidR="004D6A64" w:rsidRDefault="004D6A64">
            <w:pPr>
              <w:rPr>
                <w:rFonts w:ascii="宋体"/>
              </w:rPr>
            </w:pPr>
          </w:p>
        </w:tc>
        <w:tc>
          <w:tcPr>
            <w:tcW w:w="0" w:type="auto"/>
            <w:shd w:val="clear" w:color="auto" w:fill="auto"/>
          </w:tcPr>
          <w:p w14:paraId="33DAE42E" w14:textId="77777777" w:rsidR="004D6A64" w:rsidRDefault="004D6A64">
            <w:pPr>
              <w:rPr>
                <w:rFonts w:ascii="宋体"/>
              </w:rPr>
            </w:pPr>
          </w:p>
        </w:tc>
        <w:tc>
          <w:tcPr>
            <w:tcW w:w="0" w:type="auto"/>
            <w:shd w:val="clear" w:color="auto" w:fill="auto"/>
          </w:tcPr>
          <w:p w14:paraId="33DAE42F" w14:textId="77777777" w:rsidR="004D6A64" w:rsidRDefault="004D6A64">
            <w:pPr>
              <w:rPr>
                <w:rFonts w:ascii="宋体"/>
              </w:rPr>
            </w:pPr>
          </w:p>
        </w:tc>
        <w:tc>
          <w:tcPr>
            <w:tcW w:w="0" w:type="auto"/>
            <w:shd w:val="clear" w:color="auto" w:fill="auto"/>
          </w:tcPr>
          <w:p w14:paraId="33DAE430" w14:textId="77777777" w:rsidR="004D6A64" w:rsidRDefault="004D6A64">
            <w:pPr>
              <w:rPr>
                <w:rFonts w:ascii="宋体"/>
              </w:rPr>
            </w:pPr>
          </w:p>
        </w:tc>
        <w:tc>
          <w:tcPr>
            <w:tcW w:w="0" w:type="auto"/>
            <w:shd w:val="clear" w:color="auto" w:fill="auto"/>
          </w:tcPr>
          <w:p w14:paraId="33DAE431" w14:textId="77777777" w:rsidR="004D6A64" w:rsidRDefault="004D6A64">
            <w:pPr>
              <w:rPr>
                <w:rFonts w:ascii="宋体"/>
              </w:rPr>
            </w:pPr>
          </w:p>
        </w:tc>
        <w:tc>
          <w:tcPr>
            <w:tcW w:w="0" w:type="auto"/>
            <w:shd w:val="clear" w:color="auto" w:fill="auto"/>
          </w:tcPr>
          <w:p w14:paraId="33DAE432" w14:textId="77777777" w:rsidR="004D6A64" w:rsidRDefault="004D6A64">
            <w:pPr>
              <w:rPr>
                <w:rFonts w:ascii="宋体"/>
              </w:rPr>
            </w:pPr>
          </w:p>
        </w:tc>
        <w:tc>
          <w:tcPr>
            <w:tcW w:w="0" w:type="auto"/>
            <w:shd w:val="clear" w:color="auto" w:fill="auto"/>
          </w:tcPr>
          <w:p w14:paraId="33DAE433" w14:textId="77777777" w:rsidR="004D6A64" w:rsidRDefault="004D6A64">
            <w:pPr>
              <w:rPr>
                <w:rFonts w:ascii="宋体"/>
              </w:rPr>
            </w:pPr>
          </w:p>
        </w:tc>
        <w:tc>
          <w:tcPr>
            <w:tcW w:w="0" w:type="auto"/>
            <w:shd w:val="clear" w:color="auto" w:fill="auto"/>
          </w:tcPr>
          <w:p w14:paraId="33DAE434" w14:textId="77777777" w:rsidR="004D6A64" w:rsidRDefault="004D6A64">
            <w:pPr>
              <w:rPr>
                <w:rFonts w:ascii="宋体"/>
              </w:rPr>
            </w:pPr>
          </w:p>
        </w:tc>
        <w:tc>
          <w:tcPr>
            <w:tcW w:w="0" w:type="auto"/>
            <w:shd w:val="clear" w:color="auto" w:fill="auto"/>
          </w:tcPr>
          <w:p w14:paraId="33DAE435" w14:textId="77777777" w:rsidR="004D6A64" w:rsidRDefault="004D6A64">
            <w:pPr>
              <w:rPr>
                <w:rFonts w:ascii="宋体"/>
              </w:rPr>
            </w:pPr>
          </w:p>
        </w:tc>
        <w:tc>
          <w:tcPr>
            <w:tcW w:w="0" w:type="auto"/>
            <w:shd w:val="clear" w:color="auto" w:fill="auto"/>
          </w:tcPr>
          <w:p w14:paraId="33DAE436" w14:textId="77777777" w:rsidR="004D6A64" w:rsidRDefault="004D6A64">
            <w:pPr>
              <w:rPr>
                <w:rFonts w:ascii="宋体"/>
              </w:rPr>
            </w:pPr>
          </w:p>
        </w:tc>
        <w:tc>
          <w:tcPr>
            <w:tcW w:w="0" w:type="auto"/>
            <w:shd w:val="clear" w:color="auto" w:fill="auto"/>
          </w:tcPr>
          <w:p w14:paraId="33DAE437" w14:textId="77777777" w:rsidR="004D6A64" w:rsidRDefault="004D6A64">
            <w:pPr>
              <w:rPr>
                <w:rFonts w:ascii="宋体"/>
              </w:rPr>
            </w:pPr>
          </w:p>
        </w:tc>
        <w:tc>
          <w:tcPr>
            <w:tcW w:w="0" w:type="auto"/>
            <w:shd w:val="clear" w:color="auto" w:fill="auto"/>
          </w:tcPr>
          <w:p w14:paraId="33DAE438" w14:textId="77777777" w:rsidR="004D6A64" w:rsidRDefault="004D6A64">
            <w:pPr>
              <w:rPr>
                <w:rFonts w:ascii="宋体"/>
              </w:rPr>
            </w:pPr>
          </w:p>
        </w:tc>
        <w:tc>
          <w:tcPr>
            <w:tcW w:w="0" w:type="auto"/>
            <w:shd w:val="clear" w:color="auto" w:fill="auto"/>
          </w:tcPr>
          <w:p w14:paraId="33DAE439" w14:textId="77777777" w:rsidR="004D6A64" w:rsidRDefault="004D6A64">
            <w:pPr>
              <w:rPr>
                <w:rFonts w:ascii="宋体"/>
              </w:rPr>
            </w:pPr>
          </w:p>
        </w:tc>
        <w:tc>
          <w:tcPr>
            <w:tcW w:w="0" w:type="auto"/>
            <w:shd w:val="clear" w:color="auto" w:fill="auto"/>
          </w:tcPr>
          <w:p w14:paraId="33DAE43A" w14:textId="77777777" w:rsidR="004D6A64" w:rsidRDefault="004D6A64">
            <w:pPr>
              <w:rPr>
                <w:rFonts w:ascii="宋体"/>
              </w:rPr>
            </w:pPr>
          </w:p>
        </w:tc>
        <w:tc>
          <w:tcPr>
            <w:tcW w:w="0" w:type="auto"/>
            <w:shd w:val="clear" w:color="auto" w:fill="auto"/>
          </w:tcPr>
          <w:p w14:paraId="33DAE43B" w14:textId="77777777" w:rsidR="004D6A64" w:rsidRDefault="004D6A64">
            <w:pPr>
              <w:rPr>
                <w:rFonts w:ascii="宋体"/>
              </w:rPr>
            </w:pPr>
          </w:p>
        </w:tc>
        <w:tc>
          <w:tcPr>
            <w:tcW w:w="0" w:type="auto"/>
            <w:shd w:val="clear" w:color="auto" w:fill="auto"/>
          </w:tcPr>
          <w:p w14:paraId="33DAE43C" w14:textId="77777777" w:rsidR="004D6A64" w:rsidRDefault="004D6A64">
            <w:pPr>
              <w:rPr>
                <w:rFonts w:ascii="宋体"/>
              </w:rPr>
            </w:pPr>
          </w:p>
        </w:tc>
        <w:tc>
          <w:tcPr>
            <w:tcW w:w="0" w:type="auto"/>
            <w:shd w:val="clear" w:color="auto" w:fill="auto"/>
          </w:tcPr>
          <w:p w14:paraId="33DAE43D" w14:textId="77777777" w:rsidR="004D6A64" w:rsidRDefault="004D6A64">
            <w:pPr>
              <w:rPr>
                <w:rFonts w:ascii="宋体"/>
              </w:rPr>
            </w:pPr>
          </w:p>
        </w:tc>
        <w:tc>
          <w:tcPr>
            <w:tcW w:w="0" w:type="auto"/>
            <w:shd w:val="clear" w:color="auto" w:fill="auto"/>
          </w:tcPr>
          <w:p w14:paraId="33DAE43E" w14:textId="77777777" w:rsidR="004D6A64" w:rsidRDefault="004D6A64">
            <w:pPr>
              <w:rPr>
                <w:rFonts w:ascii="宋体"/>
              </w:rPr>
            </w:pPr>
          </w:p>
        </w:tc>
        <w:tc>
          <w:tcPr>
            <w:tcW w:w="0" w:type="auto"/>
            <w:shd w:val="clear" w:color="auto" w:fill="auto"/>
          </w:tcPr>
          <w:p w14:paraId="33DAE43F" w14:textId="77777777" w:rsidR="004D6A64" w:rsidRDefault="004D6A64">
            <w:pPr>
              <w:rPr>
                <w:rFonts w:ascii="宋体"/>
              </w:rPr>
            </w:pPr>
          </w:p>
        </w:tc>
        <w:tc>
          <w:tcPr>
            <w:tcW w:w="0" w:type="auto"/>
            <w:shd w:val="clear" w:color="auto" w:fill="auto"/>
          </w:tcPr>
          <w:p w14:paraId="33DAE440" w14:textId="77777777" w:rsidR="004D6A64" w:rsidRDefault="004D6A64">
            <w:pPr>
              <w:rPr>
                <w:rFonts w:ascii="宋体"/>
              </w:rPr>
            </w:pPr>
          </w:p>
        </w:tc>
      </w:tr>
      <w:tr w:rsidR="004D6A64" w14:paraId="33DAE469" w14:textId="77777777">
        <w:trPr>
          <w:jc w:val="center"/>
        </w:trPr>
        <w:tc>
          <w:tcPr>
            <w:tcW w:w="0" w:type="auto"/>
            <w:gridSpan w:val="3"/>
            <w:shd w:val="clear" w:color="auto" w:fill="FFFFFF"/>
            <w:tcMar>
              <w:top w:w="40" w:type="dxa"/>
              <w:left w:w="135" w:type="dxa"/>
              <w:bottom w:w="40" w:type="dxa"/>
              <w:right w:w="20" w:type="dxa"/>
            </w:tcMar>
            <w:vAlign w:val="center"/>
          </w:tcPr>
          <w:p w14:paraId="33DAE442" w14:textId="77777777" w:rsidR="004D6A64" w:rsidRDefault="00506CD6">
            <w:pPr>
              <w:textAlignment w:val="center"/>
            </w:pPr>
            <w:r>
              <w:rPr>
                <w:rFonts w:ascii="Times New Roman" w:eastAsia="宋体" w:hAnsi="Times New Roman"/>
                <w:color w:val="000000"/>
                <w:sz w:val="20"/>
                <w:szCs w:val="20"/>
              </w:rPr>
              <w:t>Non-GAAP adjustments:</w:t>
            </w:r>
          </w:p>
        </w:tc>
        <w:tc>
          <w:tcPr>
            <w:tcW w:w="0" w:type="auto"/>
            <w:gridSpan w:val="3"/>
            <w:shd w:val="clear" w:color="auto" w:fill="FFFFFF"/>
            <w:tcMar>
              <w:left w:w="20" w:type="dxa"/>
              <w:right w:w="20" w:type="dxa"/>
            </w:tcMar>
            <w:vAlign w:val="bottom"/>
          </w:tcPr>
          <w:p w14:paraId="33DAE443"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444"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445"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446"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447"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448"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449"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44A"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44B"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44C"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44D" w14:textId="77777777" w:rsidR="004D6A64" w:rsidRDefault="004D6A64">
            <w:pPr>
              <w:rPr>
                <w:rFonts w:ascii="宋体"/>
              </w:rPr>
            </w:pPr>
          </w:p>
        </w:tc>
        <w:tc>
          <w:tcPr>
            <w:tcW w:w="0" w:type="auto"/>
            <w:shd w:val="clear" w:color="auto" w:fill="auto"/>
          </w:tcPr>
          <w:p w14:paraId="33DAE44E" w14:textId="77777777" w:rsidR="004D6A64" w:rsidRDefault="004D6A64">
            <w:pPr>
              <w:rPr>
                <w:rFonts w:ascii="宋体"/>
              </w:rPr>
            </w:pPr>
          </w:p>
        </w:tc>
        <w:tc>
          <w:tcPr>
            <w:tcW w:w="0" w:type="auto"/>
            <w:shd w:val="clear" w:color="auto" w:fill="auto"/>
          </w:tcPr>
          <w:p w14:paraId="33DAE44F" w14:textId="77777777" w:rsidR="004D6A64" w:rsidRDefault="004D6A64">
            <w:pPr>
              <w:rPr>
                <w:rFonts w:ascii="宋体"/>
              </w:rPr>
            </w:pPr>
          </w:p>
        </w:tc>
        <w:tc>
          <w:tcPr>
            <w:tcW w:w="0" w:type="auto"/>
            <w:shd w:val="clear" w:color="auto" w:fill="auto"/>
          </w:tcPr>
          <w:p w14:paraId="33DAE450" w14:textId="77777777" w:rsidR="004D6A64" w:rsidRDefault="004D6A64">
            <w:pPr>
              <w:rPr>
                <w:rFonts w:ascii="宋体"/>
              </w:rPr>
            </w:pPr>
          </w:p>
        </w:tc>
        <w:tc>
          <w:tcPr>
            <w:tcW w:w="0" w:type="auto"/>
            <w:shd w:val="clear" w:color="auto" w:fill="auto"/>
          </w:tcPr>
          <w:p w14:paraId="33DAE451" w14:textId="77777777" w:rsidR="004D6A64" w:rsidRDefault="004D6A64">
            <w:pPr>
              <w:rPr>
                <w:rFonts w:ascii="宋体"/>
              </w:rPr>
            </w:pPr>
          </w:p>
        </w:tc>
        <w:tc>
          <w:tcPr>
            <w:tcW w:w="0" w:type="auto"/>
            <w:shd w:val="clear" w:color="auto" w:fill="auto"/>
          </w:tcPr>
          <w:p w14:paraId="33DAE452" w14:textId="77777777" w:rsidR="004D6A64" w:rsidRDefault="004D6A64">
            <w:pPr>
              <w:rPr>
                <w:rFonts w:ascii="宋体"/>
              </w:rPr>
            </w:pPr>
          </w:p>
        </w:tc>
        <w:tc>
          <w:tcPr>
            <w:tcW w:w="0" w:type="auto"/>
            <w:shd w:val="clear" w:color="auto" w:fill="auto"/>
          </w:tcPr>
          <w:p w14:paraId="33DAE453" w14:textId="77777777" w:rsidR="004D6A64" w:rsidRDefault="004D6A64">
            <w:pPr>
              <w:rPr>
                <w:rFonts w:ascii="宋体"/>
              </w:rPr>
            </w:pPr>
          </w:p>
        </w:tc>
        <w:tc>
          <w:tcPr>
            <w:tcW w:w="0" w:type="auto"/>
            <w:shd w:val="clear" w:color="auto" w:fill="auto"/>
          </w:tcPr>
          <w:p w14:paraId="33DAE454" w14:textId="77777777" w:rsidR="004D6A64" w:rsidRDefault="004D6A64">
            <w:pPr>
              <w:rPr>
                <w:rFonts w:ascii="宋体"/>
              </w:rPr>
            </w:pPr>
          </w:p>
        </w:tc>
        <w:tc>
          <w:tcPr>
            <w:tcW w:w="0" w:type="auto"/>
            <w:shd w:val="clear" w:color="auto" w:fill="auto"/>
          </w:tcPr>
          <w:p w14:paraId="33DAE455" w14:textId="77777777" w:rsidR="004D6A64" w:rsidRDefault="004D6A64">
            <w:pPr>
              <w:rPr>
                <w:rFonts w:ascii="宋体"/>
              </w:rPr>
            </w:pPr>
          </w:p>
        </w:tc>
        <w:tc>
          <w:tcPr>
            <w:tcW w:w="0" w:type="auto"/>
            <w:shd w:val="clear" w:color="auto" w:fill="auto"/>
          </w:tcPr>
          <w:p w14:paraId="33DAE456" w14:textId="77777777" w:rsidR="004D6A64" w:rsidRDefault="004D6A64">
            <w:pPr>
              <w:rPr>
                <w:rFonts w:ascii="宋体"/>
              </w:rPr>
            </w:pPr>
          </w:p>
        </w:tc>
        <w:tc>
          <w:tcPr>
            <w:tcW w:w="0" w:type="auto"/>
            <w:shd w:val="clear" w:color="auto" w:fill="auto"/>
          </w:tcPr>
          <w:p w14:paraId="33DAE457" w14:textId="77777777" w:rsidR="004D6A64" w:rsidRDefault="004D6A64">
            <w:pPr>
              <w:rPr>
                <w:rFonts w:ascii="宋体"/>
              </w:rPr>
            </w:pPr>
          </w:p>
        </w:tc>
        <w:tc>
          <w:tcPr>
            <w:tcW w:w="0" w:type="auto"/>
            <w:shd w:val="clear" w:color="auto" w:fill="auto"/>
          </w:tcPr>
          <w:p w14:paraId="33DAE458" w14:textId="77777777" w:rsidR="004D6A64" w:rsidRDefault="004D6A64">
            <w:pPr>
              <w:rPr>
                <w:rFonts w:ascii="宋体"/>
              </w:rPr>
            </w:pPr>
          </w:p>
        </w:tc>
        <w:tc>
          <w:tcPr>
            <w:tcW w:w="0" w:type="auto"/>
            <w:shd w:val="clear" w:color="auto" w:fill="auto"/>
          </w:tcPr>
          <w:p w14:paraId="33DAE459" w14:textId="77777777" w:rsidR="004D6A64" w:rsidRDefault="004D6A64">
            <w:pPr>
              <w:rPr>
                <w:rFonts w:ascii="宋体"/>
              </w:rPr>
            </w:pPr>
          </w:p>
        </w:tc>
        <w:tc>
          <w:tcPr>
            <w:tcW w:w="0" w:type="auto"/>
            <w:shd w:val="clear" w:color="auto" w:fill="auto"/>
          </w:tcPr>
          <w:p w14:paraId="33DAE45A" w14:textId="77777777" w:rsidR="004D6A64" w:rsidRDefault="004D6A64">
            <w:pPr>
              <w:rPr>
                <w:rFonts w:ascii="宋体"/>
              </w:rPr>
            </w:pPr>
          </w:p>
        </w:tc>
        <w:tc>
          <w:tcPr>
            <w:tcW w:w="0" w:type="auto"/>
            <w:shd w:val="clear" w:color="auto" w:fill="auto"/>
          </w:tcPr>
          <w:p w14:paraId="33DAE45B" w14:textId="77777777" w:rsidR="004D6A64" w:rsidRDefault="004D6A64">
            <w:pPr>
              <w:rPr>
                <w:rFonts w:ascii="宋体"/>
              </w:rPr>
            </w:pPr>
          </w:p>
        </w:tc>
        <w:tc>
          <w:tcPr>
            <w:tcW w:w="0" w:type="auto"/>
            <w:shd w:val="clear" w:color="auto" w:fill="auto"/>
          </w:tcPr>
          <w:p w14:paraId="33DAE45C" w14:textId="77777777" w:rsidR="004D6A64" w:rsidRDefault="004D6A64">
            <w:pPr>
              <w:rPr>
                <w:rFonts w:ascii="宋体"/>
              </w:rPr>
            </w:pPr>
          </w:p>
        </w:tc>
        <w:tc>
          <w:tcPr>
            <w:tcW w:w="0" w:type="auto"/>
            <w:shd w:val="clear" w:color="auto" w:fill="auto"/>
          </w:tcPr>
          <w:p w14:paraId="33DAE45D" w14:textId="77777777" w:rsidR="004D6A64" w:rsidRDefault="004D6A64">
            <w:pPr>
              <w:rPr>
                <w:rFonts w:ascii="宋体"/>
              </w:rPr>
            </w:pPr>
          </w:p>
        </w:tc>
        <w:tc>
          <w:tcPr>
            <w:tcW w:w="0" w:type="auto"/>
            <w:shd w:val="clear" w:color="auto" w:fill="auto"/>
          </w:tcPr>
          <w:p w14:paraId="33DAE45E" w14:textId="77777777" w:rsidR="004D6A64" w:rsidRDefault="004D6A64">
            <w:pPr>
              <w:rPr>
                <w:rFonts w:ascii="宋体"/>
              </w:rPr>
            </w:pPr>
          </w:p>
        </w:tc>
        <w:tc>
          <w:tcPr>
            <w:tcW w:w="0" w:type="auto"/>
            <w:shd w:val="clear" w:color="auto" w:fill="auto"/>
          </w:tcPr>
          <w:p w14:paraId="33DAE45F" w14:textId="77777777" w:rsidR="004D6A64" w:rsidRDefault="004D6A64">
            <w:pPr>
              <w:rPr>
                <w:rFonts w:ascii="宋体"/>
              </w:rPr>
            </w:pPr>
          </w:p>
        </w:tc>
        <w:tc>
          <w:tcPr>
            <w:tcW w:w="0" w:type="auto"/>
            <w:shd w:val="clear" w:color="auto" w:fill="auto"/>
          </w:tcPr>
          <w:p w14:paraId="33DAE460" w14:textId="77777777" w:rsidR="004D6A64" w:rsidRDefault="004D6A64">
            <w:pPr>
              <w:rPr>
                <w:rFonts w:ascii="宋体"/>
              </w:rPr>
            </w:pPr>
          </w:p>
        </w:tc>
        <w:tc>
          <w:tcPr>
            <w:tcW w:w="0" w:type="auto"/>
            <w:shd w:val="clear" w:color="auto" w:fill="auto"/>
          </w:tcPr>
          <w:p w14:paraId="33DAE461" w14:textId="77777777" w:rsidR="004D6A64" w:rsidRDefault="004D6A64">
            <w:pPr>
              <w:rPr>
                <w:rFonts w:ascii="宋体"/>
              </w:rPr>
            </w:pPr>
          </w:p>
        </w:tc>
        <w:tc>
          <w:tcPr>
            <w:tcW w:w="0" w:type="auto"/>
            <w:shd w:val="clear" w:color="auto" w:fill="auto"/>
          </w:tcPr>
          <w:p w14:paraId="33DAE462" w14:textId="77777777" w:rsidR="004D6A64" w:rsidRDefault="004D6A64">
            <w:pPr>
              <w:rPr>
                <w:rFonts w:ascii="宋体"/>
              </w:rPr>
            </w:pPr>
          </w:p>
        </w:tc>
        <w:tc>
          <w:tcPr>
            <w:tcW w:w="0" w:type="auto"/>
            <w:shd w:val="clear" w:color="auto" w:fill="auto"/>
          </w:tcPr>
          <w:p w14:paraId="33DAE463" w14:textId="77777777" w:rsidR="004D6A64" w:rsidRDefault="004D6A64">
            <w:pPr>
              <w:rPr>
                <w:rFonts w:ascii="宋体"/>
              </w:rPr>
            </w:pPr>
          </w:p>
        </w:tc>
        <w:tc>
          <w:tcPr>
            <w:tcW w:w="0" w:type="auto"/>
            <w:shd w:val="clear" w:color="auto" w:fill="auto"/>
          </w:tcPr>
          <w:p w14:paraId="33DAE464" w14:textId="77777777" w:rsidR="004D6A64" w:rsidRDefault="004D6A64">
            <w:pPr>
              <w:rPr>
                <w:rFonts w:ascii="宋体"/>
              </w:rPr>
            </w:pPr>
          </w:p>
        </w:tc>
        <w:tc>
          <w:tcPr>
            <w:tcW w:w="0" w:type="auto"/>
            <w:shd w:val="clear" w:color="auto" w:fill="auto"/>
          </w:tcPr>
          <w:p w14:paraId="33DAE465" w14:textId="77777777" w:rsidR="004D6A64" w:rsidRDefault="004D6A64">
            <w:pPr>
              <w:rPr>
                <w:rFonts w:ascii="宋体"/>
              </w:rPr>
            </w:pPr>
          </w:p>
        </w:tc>
        <w:tc>
          <w:tcPr>
            <w:tcW w:w="0" w:type="auto"/>
            <w:shd w:val="clear" w:color="auto" w:fill="auto"/>
          </w:tcPr>
          <w:p w14:paraId="33DAE466" w14:textId="77777777" w:rsidR="004D6A64" w:rsidRDefault="004D6A64">
            <w:pPr>
              <w:rPr>
                <w:rFonts w:ascii="宋体"/>
              </w:rPr>
            </w:pPr>
          </w:p>
        </w:tc>
        <w:tc>
          <w:tcPr>
            <w:tcW w:w="0" w:type="auto"/>
            <w:shd w:val="clear" w:color="auto" w:fill="auto"/>
          </w:tcPr>
          <w:p w14:paraId="33DAE467" w14:textId="77777777" w:rsidR="004D6A64" w:rsidRDefault="004D6A64">
            <w:pPr>
              <w:rPr>
                <w:rFonts w:ascii="宋体"/>
              </w:rPr>
            </w:pPr>
          </w:p>
        </w:tc>
        <w:tc>
          <w:tcPr>
            <w:tcW w:w="0" w:type="auto"/>
            <w:shd w:val="clear" w:color="auto" w:fill="auto"/>
          </w:tcPr>
          <w:p w14:paraId="33DAE468" w14:textId="77777777" w:rsidR="004D6A64" w:rsidRDefault="004D6A64">
            <w:pPr>
              <w:rPr>
                <w:rFonts w:ascii="宋体"/>
              </w:rPr>
            </w:pPr>
          </w:p>
        </w:tc>
      </w:tr>
      <w:tr w:rsidR="004D6A64" w14:paraId="33DAE495" w14:textId="77777777">
        <w:trPr>
          <w:jc w:val="center"/>
        </w:trPr>
        <w:tc>
          <w:tcPr>
            <w:tcW w:w="0" w:type="auto"/>
            <w:gridSpan w:val="3"/>
            <w:shd w:val="clear" w:color="auto" w:fill="CCEEFF"/>
            <w:tcMar>
              <w:top w:w="40" w:type="dxa"/>
              <w:left w:w="225" w:type="dxa"/>
              <w:bottom w:w="40" w:type="dxa"/>
              <w:right w:w="20" w:type="dxa"/>
            </w:tcMar>
            <w:vAlign w:val="center"/>
          </w:tcPr>
          <w:p w14:paraId="33DAE46A" w14:textId="77777777" w:rsidR="004D6A64" w:rsidRDefault="00506CD6">
            <w:pPr>
              <w:textAlignment w:val="center"/>
            </w:pPr>
            <w:r>
              <w:rPr>
                <w:rFonts w:ascii="Times New Roman" w:eastAsia="宋体" w:hAnsi="Times New Roman"/>
                <w:color w:val="000000"/>
                <w:sz w:val="20"/>
                <w:szCs w:val="20"/>
              </w:rPr>
              <w:t>Amortization of intangibles</w:t>
            </w:r>
          </w:p>
        </w:tc>
        <w:tc>
          <w:tcPr>
            <w:tcW w:w="0" w:type="auto"/>
            <w:gridSpan w:val="2"/>
            <w:shd w:val="clear" w:color="auto" w:fill="CCEEFF"/>
            <w:tcMar>
              <w:top w:w="40" w:type="dxa"/>
              <w:left w:w="20" w:type="dxa"/>
              <w:bottom w:w="40" w:type="dxa"/>
              <w:right w:w="0" w:type="dxa"/>
            </w:tcMar>
            <w:vAlign w:val="center"/>
          </w:tcPr>
          <w:p w14:paraId="33DAE46B" w14:textId="77777777" w:rsidR="004D6A64" w:rsidRDefault="00506CD6">
            <w:pPr>
              <w:jc w:val="right"/>
              <w:textAlignment w:val="center"/>
            </w:pPr>
            <w:r>
              <w:rPr>
                <w:rFonts w:ascii="Times New Roman" w:eastAsia="宋体" w:hAnsi="Times New Roman"/>
                <w:color w:val="000000"/>
                <w:sz w:val="20"/>
                <w:szCs w:val="20"/>
              </w:rPr>
              <w:t>847 </w:t>
            </w:r>
          </w:p>
        </w:tc>
        <w:tc>
          <w:tcPr>
            <w:tcW w:w="0" w:type="auto"/>
            <w:shd w:val="clear" w:color="auto" w:fill="CCEEFF"/>
            <w:tcMar>
              <w:top w:w="40" w:type="dxa"/>
              <w:bottom w:w="40" w:type="dxa"/>
              <w:right w:w="20" w:type="dxa"/>
            </w:tcMar>
            <w:vAlign w:val="center"/>
          </w:tcPr>
          <w:p w14:paraId="33DAE46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46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46E"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46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470" w14:textId="77777777" w:rsidR="004D6A64" w:rsidRDefault="00506CD6">
            <w:pPr>
              <w:jc w:val="right"/>
              <w:textAlignment w:val="center"/>
            </w:pPr>
            <w:r>
              <w:rPr>
                <w:rFonts w:ascii="Times New Roman" w:eastAsia="宋体" w:hAnsi="Times New Roman"/>
                <w:color w:val="000000"/>
                <w:sz w:val="20"/>
                <w:szCs w:val="20"/>
              </w:rPr>
              <w:t>1,060 </w:t>
            </w:r>
          </w:p>
        </w:tc>
        <w:tc>
          <w:tcPr>
            <w:tcW w:w="0" w:type="auto"/>
            <w:shd w:val="clear" w:color="auto" w:fill="CCEEFF"/>
            <w:tcMar>
              <w:top w:w="40" w:type="dxa"/>
              <w:bottom w:w="40" w:type="dxa"/>
              <w:right w:w="20" w:type="dxa"/>
            </w:tcMar>
            <w:vAlign w:val="center"/>
          </w:tcPr>
          <w:p w14:paraId="33DAE47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47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473" w14:textId="77777777" w:rsidR="004D6A64" w:rsidRDefault="00506CD6">
            <w:pPr>
              <w:jc w:val="right"/>
              <w:textAlignment w:val="center"/>
            </w:pPr>
            <w:r>
              <w:rPr>
                <w:rFonts w:ascii="Times New Roman" w:eastAsia="宋体" w:hAnsi="Times New Roman"/>
                <w:color w:val="000000"/>
                <w:sz w:val="20"/>
                <w:szCs w:val="20"/>
              </w:rPr>
              <w:t>1,702 </w:t>
            </w:r>
          </w:p>
        </w:tc>
        <w:tc>
          <w:tcPr>
            <w:tcW w:w="0" w:type="auto"/>
            <w:shd w:val="clear" w:color="auto" w:fill="CCEEFF"/>
            <w:tcMar>
              <w:top w:w="40" w:type="dxa"/>
              <w:bottom w:w="40" w:type="dxa"/>
              <w:right w:w="20" w:type="dxa"/>
            </w:tcMar>
            <w:vAlign w:val="center"/>
          </w:tcPr>
          <w:p w14:paraId="33DAE47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47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476"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477"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478" w14:textId="77777777" w:rsidR="004D6A64" w:rsidRDefault="00506CD6">
            <w:pPr>
              <w:jc w:val="right"/>
              <w:textAlignment w:val="center"/>
            </w:pPr>
            <w:r>
              <w:rPr>
                <w:rFonts w:ascii="Times New Roman" w:eastAsia="宋体" w:hAnsi="Times New Roman"/>
                <w:color w:val="000000"/>
                <w:sz w:val="20"/>
                <w:szCs w:val="20"/>
              </w:rPr>
              <w:t>2,277 </w:t>
            </w:r>
          </w:p>
        </w:tc>
        <w:tc>
          <w:tcPr>
            <w:tcW w:w="0" w:type="auto"/>
            <w:shd w:val="clear" w:color="auto" w:fill="CCEEFF"/>
            <w:tcMar>
              <w:top w:w="40" w:type="dxa"/>
              <w:bottom w:w="40" w:type="dxa"/>
              <w:right w:w="20" w:type="dxa"/>
            </w:tcMar>
            <w:vAlign w:val="center"/>
          </w:tcPr>
          <w:p w14:paraId="33DAE479" w14:textId="77777777" w:rsidR="004D6A64" w:rsidRDefault="004D6A64">
            <w:pPr>
              <w:jc w:val="right"/>
              <w:rPr>
                <w:rFonts w:ascii="宋体"/>
              </w:rPr>
            </w:pPr>
          </w:p>
        </w:tc>
        <w:tc>
          <w:tcPr>
            <w:tcW w:w="0" w:type="auto"/>
            <w:shd w:val="clear" w:color="auto" w:fill="auto"/>
          </w:tcPr>
          <w:p w14:paraId="33DAE47A" w14:textId="77777777" w:rsidR="004D6A64" w:rsidRDefault="004D6A64">
            <w:pPr>
              <w:rPr>
                <w:rFonts w:ascii="宋体"/>
              </w:rPr>
            </w:pPr>
          </w:p>
        </w:tc>
        <w:tc>
          <w:tcPr>
            <w:tcW w:w="0" w:type="auto"/>
            <w:shd w:val="clear" w:color="auto" w:fill="auto"/>
          </w:tcPr>
          <w:p w14:paraId="33DAE47B" w14:textId="77777777" w:rsidR="004D6A64" w:rsidRDefault="004D6A64">
            <w:pPr>
              <w:rPr>
                <w:rFonts w:ascii="宋体"/>
              </w:rPr>
            </w:pPr>
          </w:p>
        </w:tc>
        <w:tc>
          <w:tcPr>
            <w:tcW w:w="0" w:type="auto"/>
            <w:shd w:val="clear" w:color="auto" w:fill="auto"/>
          </w:tcPr>
          <w:p w14:paraId="33DAE47C" w14:textId="77777777" w:rsidR="004D6A64" w:rsidRDefault="004D6A64">
            <w:pPr>
              <w:rPr>
                <w:rFonts w:ascii="宋体"/>
              </w:rPr>
            </w:pPr>
          </w:p>
        </w:tc>
        <w:tc>
          <w:tcPr>
            <w:tcW w:w="0" w:type="auto"/>
            <w:shd w:val="clear" w:color="auto" w:fill="auto"/>
          </w:tcPr>
          <w:p w14:paraId="33DAE47D" w14:textId="77777777" w:rsidR="004D6A64" w:rsidRDefault="004D6A64">
            <w:pPr>
              <w:rPr>
                <w:rFonts w:ascii="宋体"/>
              </w:rPr>
            </w:pPr>
          </w:p>
        </w:tc>
        <w:tc>
          <w:tcPr>
            <w:tcW w:w="0" w:type="auto"/>
            <w:shd w:val="clear" w:color="auto" w:fill="auto"/>
          </w:tcPr>
          <w:p w14:paraId="33DAE47E" w14:textId="77777777" w:rsidR="004D6A64" w:rsidRDefault="004D6A64">
            <w:pPr>
              <w:rPr>
                <w:rFonts w:ascii="宋体"/>
              </w:rPr>
            </w:pPr>
          </w:p>
        </w:tc>
        <w:tc>
          <w:tcPr>
            <w:tcW w:w="0" w:type="auto"/>
            <w:shd w:val="clear" w:color="auto" w:fill="auto"/>
          </w:tcPr>
          <w:p w14:paraId="33DAE47F" w14:textId="77777777" w:rsidR="004D6A64" w:rsidRDefault="004D6A64">
            <w:pPr>
              <w:rPr>
                <w:rFonts w:ascii="宋体"/>
              </w:rPr>
            </w:pPr>
          </w:p>
        </w:tc>
        <w:tc>
          <w:tcPr>
            <w:tcW w:w="0" w:type="auto"/>
            <w:shd w:val="clear" w:color="auto" w:fill="auto"/>
          </w:tcPr>
          <w:p w14:paraId="33DAE480" w14:textId="77777777" w:rsidR="004D6A64" w:rsidRDefault="004D6A64">
            <w:pPr>
              <w:rPr>
                <w:rFonts w:ascii="宋体"/>
              </w:rPr>
            </w:pPr>
          </w:p>
        </w:tc>
        <w:tc>
          <w:tcPr>
            <w:tcW w:w="0" w:type="auto"/>
            <w:shd w:val="clear" w:color="auto" w:fill="auto"/>
          </w:tcPr>
          <w:p w14:paraId="33DAE481" w14:textId="77777777" w:rsidR="004D6A64" w:rsidRDefault="004D6A64">
            <w:pPr>
              <w:rPr>
                <w:rFonts w:ascii="宋体"/>
              </w:rPr>
            </w:pPr>
          </w:p>
        </w:tc>
        <w:tc>
          <w:tcPr>
            <w:tcW w:w="0" w:type="auto"/>
            <w:shd w:val="clear" w:color="auto" w:fill="auto"/>
          </w:tcPr>
          <w:p w14:paraId="33DAE482" w14:textId="77777777" w:rsidR="004D6A64" w:rsidRDefault="004D6A64">
            <w:pPr>
              <w:rPr>
                <w:rFonts w:ascii="宋体"/>
              </w:rPr>
            </w:pPr>
          </w:p>
        </w:tc>
        <w:tc>
          <w:tcPr>
            <w:tcW w:w="0" w:type="auto"/>
            <w:shd w:val="clear" w:color="auto" w:fill="auto"/>
          </w:tcPr>
          <w:p w14:paraId="33DAE483" w14:textId="77777777" w:rsidR="004D6A64" w:rsidRDefault="004D6A64">
            <w:pPr>
              <w:rPr>
                <w:rFonts w:ascii="宋体"/>
              </w:rPr>
            </w:pPr>
          </w:p>
        </w:tc>
        <w:tc>
          <w:tcPr>
            <w:tcW w:w="0" w:type="auto"/>
            <w:shd w:val="clear" w:color="auto" w:fill="auto"/>
          </w:tcPr>
          <w:p w14:paraId="33DAE484" w14:textId="77777777" w:rsidR="004D6A64" w:rsidRDefault="004D6A64">
            <w:pPr>
              <w:rPr>
                <w:rFonts w:ascii="宋体"/>
              </w:rPr>
            </w:pPr>
          </w:p>
        </w:tc>
        <w:tc>
          <w:tcPr>
            <w:tcW w:w="0" w:type="auto"/>
            <w:shd w:val="clear" w:color="auto" w:fill="auto"/>
          </w:tcPr>
          <w:p w14:paraId="33DAE485" w14:textId="77777777" w:rsidR="004D6A64" w:rsidRDefault="004D6A64">
            <w:pPr>
              <w:rPr>
                <w:rFonts w:ascii="宋体"/>
              </w:rPr>
            </w:pPr>
          </w:p>
        </w:tc>
        <w:tc>
          <w:tcPr>
            <w:tcW w:w="0" w:type="auto"/>
            <w:shd w:val="clear" w:color="auto" w:fill="auto"/>
          </w:tcPr>
          <w:p w14:paraId="33DAE486" w14:textId="77777777" w:rsidR="004D6A64" w:rsidRDefault="004D6A64">
            <w:pPr>
              <w:rPr>
                <w:rFonts w:ascii="宋体"/>
              </w:rPr>
            </w:pPr>
          </w:p>
        </w:tc>
        <w:tc>
          <w:tcPr>
            <w:tcW w:w="0" w:type="auto"/>
            <w:shd w:val="clear" w:color="auto" w:fill="auto"/>
          </w:tcPr>
          <w:p w14:paraId="33DAE487" w14:textId="77777777" w:rsidR="004D6A64" w:rsidRDefault="004D6A64">
            <w:pPr>
              <w:rPr>
                <w:rFonts w:ascii="宋体"/>
              </w:rPr>
            </w:pPr>
          </w:p>
        </w:tc>
        <w:tc>
          <w:tcPr>
            <w:tcW w:w="0" w:type="auto"/>
            <w:shd w:val="clear" w:color="auto" w:fill="auto"/>
          </w:tcPr>
          <w:p w14:paraId="33DAE488" w14:textId="77777777" w:rsidR="004D6A64" w:rsidRDefault="004D6A64">
            <w:pPr>
              <w:rPr>
                <w:rFonts w:ascii="宋体"/>
              </w:rPr>
            </w:pPr>
          </w:p>
        </w:tc>
        <w:tc>
          <w:tcPr>
            <w:tcW w:w="0" w:type="auto"/>
            <w:shd w:val="clear" w:color="auto" w:fill="auto"/>
          </w:tcPr>
          <w:p w14:paraId="33DAE489" w14:textId="77777777" w:rsidR="004D6A64" w:rsidRDefault="004D6A64">
            <w:pPr>
              <w:rPr>
                <w:rFonts w:ascii="宋体"/>
              </w:rPr>
            </w:pPr>
          </w:p>
        </w:tc>
        <w:tc>
          <w:tcPr>
            <w:tcW w:w="0" w:type="auto"/>
            <w:shd w:val="clear" w:color="auto" w:fill="auto"/>
          </w:tcPr>
          <w:p w14:paraId="33DAE48A" w14:textId="77777777" w:rsidR="004D6A64" w:rsidRDefault="004D6A64">
            <w:pPr>
              <w:rPr>
                <w:rFonts w:ascii="宋体"/>
              </w:rPr>
            </w:pPr>
          </w:p>
        </w:tc>
        <w:tc>
          <w:tcPr>
            <w:tcW w:w="0" w:type="auto"/>
            <w:shd w:val="clear" w:color="auto" w:fill="auto"/>
          </w:tcPr>
          <w:p w14:paraId="33DAE48B" w14:textId="77777777" w:rsidR="004D6A64" w:rsidRDefault="004D6A64">
            <w:pPr>
              <w:rPr>
                <w:rFonts w:ascii="宋体"/>
              </w:rPr>
            </w:pPr>
          </w:p>
        </w:tc>
        <w:tc>
          <w:tcPr>
            <w:tcW w:w="0" w:type="auto"/>
            <w:shd w:val="clear" w:color="auto" w:fill="auto"/>
          </w:tcPr>
          <w:p w14:paraId="33DAE48C" w14:textId="77777777" w:rsidR="004D6A64" w:rsidRDefault="004D6A64">
            <w:pPr>
              <w:rPr>
                <w:rFonts w:ascii="宋体"/>
              </w:rPr>
            </w:pPr>
          </w:p>
        </w:tc>
        <w:tc>
          <w:tcPr>
            <w:tcW w:w="0" w:type="auto"/>
            <w:shd w:val="clear" w:color="auto" w:fill="auto"/>
          </w:tcPr>
          <w:p w14:paraId="33DAE48D" w14:textId="77777777" w:rsidR="004D6A64" w:rsidRDefault="004D6A64">
            <w:pPr>
              <w:rPr>
                <w:rFonts w:ascii="宋体"/>
              </w:rPr>
            </w:pPr>
          </w:p>
        </w:tc>
        <w:tc>
          <w:tcPr>
            <w:tcW w:w="0" w:type="auto"/>
            <w:shd w:val="clear" w:color="auto" w:fill="auto"/>
          </w:tcPr>
          <w:p w14:paraId="33DAE48E" w14:textId="77777777" w:rsidR="004D6A64" w:rsidRDefault="004D6A64">
            <w:pPr>
              <w:rPr>
                <w:rFonts w:ascii="宋体"/>
              </w:rPr>
            </w:pPr>
          </w:p>
        </w:tc>
        <w:tc>
          <w:tcPr>
            <w:tcW w:w="0" w:type="auto"/>
            <w:shd w:val="clear" w:color="auto" w:fill="auto"/>
          </w:tcPr>
          <w:p w14:paraId="33DAE48F" w14:textId="77777777" w:rsidR="004D6A64" w:rsidRDefault="004D6A64">
            <w:pPr>
              <w:rPr>
                <w:rFonts w:ascii="宋体"/>
              </w:rPr>
            </w:pPr>
          </w:p>
        </w:tc>
        <w:tc>
          <w:tcPr>
            <w:tcW w:w="0" w:type="auto"/>
            <w:shd w:val="clear" w:color="auto" w:fill="auto"/>
          </w:tcPr>
          <w:p w14:paraId="33DAE490" w14:textId="77777777" w:rsidR="004D6A64" w:rsidRDefault="004D6A64">
            <w:pPr>
              <w:rPr>
                <w:rFonts w:ascii="宋体"/>
              </w:rPr>
            </w:pPr>
          </w:p>
        </w:tc>
        <w:tc>
          <w:tcPr>
            <w:tcW w:w="0" w:type="auto"/>
            <w:shd w:val="clear" w:color="auto" w:fill="auto"/>
          </w:tcPr>
          <w:p w14:paraId="33DAE491" w14:textId="77777777" w:rsidR="004D6A64" w:rsidRDefault="004D6A64">
            <w:pPr>
              <w:rPr>
                <w:rFonts w:ascii="宋体"/>
              </w:rPr>
            </w:pPr>
          </w:p>
        </w:tc>
        <w:tc>
          <w:tcPr>
            <w:tcW w:w="0" w:type="auto"/>
            <w:shd w:val="clear" w:color="auto" w:fill="auto"/>
          </w:tcPr>
          <w:p w14:paraId="33DAE492" w14:textId="77777777" w:rsidR="004D6A64" w:rsidRDefault="004D6A64">
            <w:pPr>
              <w:rPr>
                <w:rFonts w:ascii="宋体"/>
              </w:rPr>
            </w:pPr>
          </w:p>
        </w:tc>
        <w:tc>
          <w:tcPr>
            <w:tcW w:w="0" w:type="auto"/>
            <w:shd w:val="clear" w:color="auto" w:fill="auto"/>
          </w:tcPr>
          <w:p w14:paraId="33DAE493" w14:textId="77777777" w:rsidR="004D6A64" w:rsidRDefault="004D6A64">
            <w:pPr>
              <w:rPr>
                <w:rFonts w:ascii="宋体"/>
              </w:rPr>
            </w:pPr>
          </w:p>
        </w:tc>
        <w:tc>
          <w:tcPr>
            <w:tcW w:w="0" w:type="auto"/>
            <w:shd w:val="clear" w:color="auto" w:fill="auto"/>
          </w:tcPr>
          <w:p w14:paraId="33DAE494" w14:textId="77777777" w:rsidR="004D6A64" w:rsidRDefault="004D6A64">
            <w:pPr>
              <w:rPr>
                <w:rFonts w:ascii="宋体"/>
              </w:rPr>
            </w:pPr>
          </w:p>
        </w:tc>
      </w:tr>
      <w:tr w:rsidR="004D6A64" w14:paraId="33DAE4C1" w14:textId="77777777">
        <w:trPr>
          <w:jc w:val="center"/>
        </w:trPr>
        <w:tc>
          <w:tcPr>
            <w:tcW w:w="0" w:type="auto"/>
            <w:gridSpan w:val="3"/>
            <w:shd w:val="clear" w:color="auto" w:fill="FFFFFF"/>
            <w:tcMar>
              <w:top w:w="40" w:type="dxa"/>
              <w:left w:w="225" w:type="dxa"/>
              <w:bottom w:w="40" w:type="dxa"/>
              <w:right w:w="20" w:type="dxa"/>
            </w:tcMar>
            <w:vAlign w:val="center"/>
          </w:tcPr>
          <w:p w14:paraId="33DAE496" w14:textId="77777777" w:rsidR="004D6A64" w:rsidRDefault="00506CD6">
            <w:pPr>
              <w:textAlignment w:val="center"/>
            </w:pPr>
            <w:r>
              <w:rPr>
                <w:rFonts w:ascii="Times New Roman" w:eastAsia="宋体" w:hAnsi="Times New Roman"/>
                <w:color w:val="000000"/>
                <w:sz w:val="20"/>
                <w:szCs w:val="20"/>
              </w:rPr>
              <w:t>Impact of purchase accounting</w:t>
            </w:r>
          </w:p>
        </w:tc>
        <w:tc>
          <w:tcPr>
            <w:tcW w:w="0" w:type="auto"/>
            <w:gridSpan w:val="2"/>
            <w:shd w:val="clear" w:color="auto" w:fill="FFFFFF"/>
            <w:tcMar>
              <w:top w:w="40" w:type="dxa"/>
              <w:left w:w="20" w:type="dxa"/>
              <w:bottom w:w="40" w:type="dxa"/>
              <w:right w:w="0" w:type="dxa"/>
            </w:tcMar>
            <w:vAlign w:val="center"/>
          </w:tcPr>
          <w:p w14:paraId="33DAE497" w14:textId="77777777" w:rsidR="004D6A64" w:rsidRDefault="00506CD6">
            <w:pPr>
              <w:jc w:val="right"/>
              <w:textAlignment w:val="center"/>
            </w:pPr>
            <w:r>
              <w:rPr>
                <w:rFonts w:ascii="Times New Roman" w:eastAsia="宋体" w:hAnsi="Times New Roman"/>
                <w:color w:val="000000"/>
                <w:sz w:val="20"/>
                <w:szCs w:val="20"/>
              </w:rPr>
              <w:t>53 </w:t>
            </w:r>
          </w:p>
        </w:tc>
        <w:tc>
          <w:tcPr>
            <w:tcW w:w="0" w:type="auto"/>
            <w:shd w:val="clear" w:color="auto" w:fill="FFFFFF"/>
            <w:tcMar>
              <w:top w:w="40" w:type="dxa"/>
              <w:bottom w:w="40" w:type="dxa"/>
              <w:right w:w="20" w:type="dxa"/>
            </w:tcMar>
            <w:vAlign w:val="center"/>
          </w:tcPr>
          <w:p w14:paraId="33DAE49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499"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49A"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49B"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49C" w14:textId="77777777" w:rsidR="004D6A64" w:rsidRDefault="00506CD6">
            <w:pPr>
              <w:jc w:val="right"/>
              <w:textAlignment w:val="center"/>
            </w:pPr>
            <w:r>
              <w:rPr>
                <w:rFonts w:ascii="Times New Roman" w:eastAsia="宋体" w:hAnsi="Times New Roman"/>
                <w:color w:val="000000"/>
                <w:sz w:val="20"/>
                <w:szCs w:val="20"/>
              </w:rPr>
              <w:t>102 </w:t>
            </w:r>
          </w:p>
        </w:tc>
        <w:tc>
          <w:tcPr>
            <w:tcW w:w="0" w:type="auto"/>
            <w:shd w:val="clear" w:color="auto" w:fill="FFFFFF"/>
            <w:tcMar>
              <w:top w:w="40" w:type="dxa"/>
              <w:bottom w:w="40" w:type="dxa"/>
              <w:right w:w="20" w:type="dxa"/>
            </w:tcMar>
            <w:vAlign w:val="center"/>
          </w:tcPr>
          <w:p w14:paraId="33DAE49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49E"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49F" w14:textId="77777777" w:rsidR="004D6A64" w:rsidRDefault="00506CD6">
            <w:pPr>
              <w:jc w:val="right"/>
              <w:textAlignment w:val="center"/>
            </w:pPr>
            <w:r>
              <w:rPr>
                <w:rFonts w:ascii="Times New Roman" w:eastAsia="宋体" w:hAnsi="Times New Roman"/>
                <w:color w:val="000000"/>
                <w:sz w:val="20"/>
                <w:szCs w:val="20"/>
              </w:rPr>
              <w:t>116 </w:t>
            </w:r>
          </w:p>
        </w:tc>
        <w:tc>
          <w:tcPr>
            <w:tcW w:w="0" w:type="auto"/>
            <w:shd w:val="clear" w:color="auto" w:fill="FFFFFF"/>
            <w:tcMar>
              <w:top w:w="40" w:type="dxa"/>
              <w:bottom w:w="40" w:type="dxa"/>
              <w:right w:w="20" w:type="dxa"/>
            </w:tcMar>
            <w:vAlign w:val="center"/>
          </w:tcPr>
          <w:p w14:paraId="33DAE4A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4A1"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4A2"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4A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4A4" w14:textId="77777777" w:rsidR="004D6A64" w:rsidRDefault="00506CD6">
            <w:pPr>
              <w:jc w:val="right"/>
              <w:textAlignment w:val="center"/>
            </w:pPr>
            <w:r>
              <w:rPr>
                <w:rFonts w:ascii="Times New Roman" w:eastAsia="宋体" w:hAnsi="Times New Roman"/>
                <w:color w:val="000000"/>
                <w:sz w:val="20"/>
                <w:szCs w:val="20"/>
              </w:rPr>
              <w:t>203 </w:t>
            </w:r>
          </w:p>
        </w:tc>
        <w:tc>
          <w:tcPr>
            <w:tcW w:w="0" w:type="auto"/>
            <w:shd w:val="clear" w:color="auto" w:fill="FFFFFF"/>
            <w:tcMar>
              <w:top w:w="40" w:type="dxa"/>
              <w:bottom w:w="40" w:type="dxa"/>
              <w:right w:w="20" w:type="dxa"/>
            </w:tcMar>
            <w:vAlign w:val="center"/>
          </w:tcPr>
          <w:p w14:paraId="33DAE4A5" w14:textId="77777777" w:rsidR="004D6A64" w:rsidRDefault="004D6A64">
            <w:pPr>
              <w:jc w:val="right"/>
              <w:rPr>
                <w:rFonts w:ascii="宋体"/>
              </w:rPr>
            </w:pPr>
          </w:p>
        </w:tc>
        <w:tc>
          <w:tcPr>
            <w:tcW w:w="0" w:type="auto"/>
            <w:shd w:val="clear" w:color="auto" w:fill="auto"/>
          </w:tcPr>
          <w:p w14:paraId="33DAE4A6" w14:textId="77777777" w:rsidR="004D6A64" w:rsidRDefault="004D6A64">
            <w:pPr>
              <w:rPr>
                <w:rFonts w:ascii="宋体"/>
              </w:rPr>
            </w:pPr>
          </w:p>
        </w:tc>
        <w:tc>
          <w:tcPr>
            <w:tcW w:w="0" w:type="auto"/>
            <w:shd w:val="clear" w:color="auto" w:fill="auto"/>
          </w:tcPr>
          <w:p w14:paraId="33DAE4A7" w14:textId="77777777" w:rsidR="004D6A64" w:rsidRDefault="004D6A64">
            <w:pPr>
              <w:rPr>
                <w:rFonts w:ascii="宋体"/>
              </w:rPr>
            </w:pPr>
          </w:p>
        </w:tc>
        <w:tc>
          <w:tcPr>
            <w:tcW w:w="0" w:type="auto"/>
            <w:shd w:val="clear" w:color="auto" w:fill="auto"/>
          </w:tcPr>
          <w:p w14:paraId="33DAE4A8" w14:textId="77777777" w:rsidR="004D6A64" w:rsidRDefault="004D6A64">
            <w:pPr>
              <w:rPr>
                <w:rFonts w:ascii="宋体"/>
              </w:rPr>
            </w:pPr>
          </w:p>
        </w:tc>
        <w:tc>
          <w:tcPr>
            <w:tcW w:w="0" w:type="auto"/>
            <w:shd w:val="clear" w:color="auto" w:fill="auto"/>
          </w:tcPr>
          <w:p w14:paraId="33DAE4A9" w14:textId="77777777" w:rsidR="004D6A64" w:rsidRDefault="004D6A64">
            <w:pPr>
              <w:rPr>
                <w:rFonts w:ascii="宋体"/>
              </w:rPr>
            </w:pPr>
          </w:p>
        </w:tc>
        <w:tc>
          <w:tcPr>
            <w:tcW w:w="0" w:type="auto"/>
            <w:shd w:val="clear" w:color="auto" w:fill="auto"/>
          </w:tcPr>
          <w:p w14:paraId="33DAE4AA" w14:textId="77777777" w:rsidR="004D6A64" w:rsidRDefault="004D6A64">
            <w:pPr>
              <w:rPr>
                <w:rFonts w:ascii="宋体"/>
              </w:rPr>
            </w:pPr>
          </w:p>
        </w:tc>
        <w:tc>
          <w:tcPr>
            <w:tcW w:w="0" w:type="auto"/>
            <w:shd w:val="clear" w:color="auto" w:fill="auto"/>
          </w:tcPr>
          <w:p w14:paraId="33DAE4AB" w14:textId="77777777" w:rsidR="004D6A64" w:rsidRDefault="004D6A64">
            <w:pPr>
              <w:rPr>
                <w:rFonts w:ascii="宋体"/>
              </w:rPr>
            </w:pPr>
          </w:p>
        </w:tc>
        <w:tc>
          <w:tcPr>
            <w:tcW w:w="0" w:type="auto"/>
            <w:shd w:val="clear" w:color="auto" w:fill="auto"/>
          </w:tcPr>
          <w:p w14:paraId="33DAE4AC" w14:textId="77777777" w:rsidR="004D6A64" w:rsidRDefault="004D6A64">
            <w:pPr>
              <w:rPr>
                <w:rFonts w:ascii="宋体"/>
              </w:rPr>
            </w:pPr>
          </w:p>
        </w:tc>
        <w:tc>
          <w:tcPr>
            <w:tcW w:w="0" w:type="auto"/>
            <w:shd w:val="clear" w:color="auto" w:fill="auto"/>
          </w:tcPr>
          <w:p w14:paraId="33DAE4AD" w14:textId="77777777" w:rsidR="004D6A64" w:rsidRDefault="004D6A64">
            <w:pPr>
              <w:rPr>
                <w:rFonts w:ascii="宋体"/>
              </w:rPr>
            </w:pPr>
          </w:p>
        </w:tc>
        <w:tc>
          <w:tcPr>
            <w:tcW w:w="0" w:type="auto"/>
            <w:shd w:val="clear" w:color="auto" w:fill="auto"/>
          </w:tcPr>
          <w:p w14:paraId="33DAE4AE" w14:textId="77777777" w:rsidR="004D6A64" w:rsidRDefault="004D6A64">
            <w:pPr>
              <w:rPr>
                <w:rFonts w:ascii="宋体"/>
              </w:rPr>
            </w:pPr>
          </w:p>
        </w:tc>
        <w:tc>
          <w:tcPr>
            <w:tcW w:w="0" w:type="auto"/>
            <w:shd w:val="clear" w:color="auto" w:fill="auto"/>
          </w:tcPr>
          <w:p w14:paraId="33DAE4AF" w14:textId="77777777" w:rsidR="004D6A64" w:rsidRDefault="004D6A64">
            <w:pPr>
              <w:rPr>
                <w:rFonts w:ascii="宋体"/>
              </w:rPr>
            </w:pPr>
          </w:p>
        </w:tc>
        <w:tc>
          <w:tcPr>
            <w:tcW w:w="0" w:type="auto"/>
            <w:shd w:val="clear" w:color="auto" w:fill="auto"/>
          </w:tcPr>
          <w:p w14:paraId="33DAE4B0" w14:textId="77777777" w:rsidR="004D6A64" w:rsidRDefault="004D6A64">
            <w:pPr>
              <w:rPr>
                <w:rFonts w:ascii="宋体"/>
              </w:rPr>
            </w:pPr>
          </w:p>
        </w:tc>
        <w:tc>
          <w:tcPr>
            <w:tcW w:w="0" w:type="auto"/>
            <w:shd w:val="clear" w:color="auto" w:fill="auto"/>
          </w:tcPr>
          <w:p w14:paraId="33DAE4B1" w14:textId="77777777" w:rsidR="004D6A64" w:rsidRDefault="004D6A64">
            <w:pPr>
              <w:rPr>
                <w:rFonts w:ascii="宋体"/>
              </w:rPr>
            </w:pPr>
          </w:p>
        </w:tc>
        <w:tc>
          <w:tcPr>
            <w:tcW w:w="0" w:type="auto"/>
            <w:shd w:val="clear" w:color="auto" w:fill="auto"/>
          </w:tcPr>
          <w:p w14:paraId="33DAE4B2" w14:textId="77777777" w:rsidR="004D6A64" w:rsidRDefault="004D6A64">
            <w:pPr>
              <w:rPr>
                <w:rFonts w:ascii="宋体"/>
              </w:rPr>
            </w:pPr>
          </w:p>
        </w:tc>
        <w:tc>
          <w:tcPr>
            <w:tcW w:w="0" w:type="auto"/>
            <w:shd w:val="clear" w:color="auto" w:fill="auto"/>
          </w:tcPr>
          <w:p w14:paraId="33DAE4B3" w14:textId="77777777" w:rsidR="004D6A64" w:rsidRDefault="004D6A64">
            <w:pPr>
              <w:rPr>
                <w:rFonts w:ascii="宋体"/>
              </w:rPr>
            </w:pPr>
          </w:p>
        </w:tc>
        <w:tc>
          <w:tcPr>
            <w:tcW w:w="0" w:type="auto"/>
            <w:shd w:val="clear" w:color="auto" w:fill="auto"/>
          </w:tcPr>
          <w:p w14:paraId="33DAE4B4" w14:textId="77777777" w:rsidR="004D6A64" w:rsidRDefault="004D6A64">
            <w:pPr>
              <w:rPr>
                <w:rFonts w:ascii="宋体"/>
              </w:rPr>
            </w:pPr>
          </w:p>
        </w:tc>
        <w:tc>
          <w:tcPr>
            <w:tcW w:w="0" w:type="auto"/>
            <w:shd w:val="clear" w:color="auto" w:fill="auto"/>
          </w:tcPr>
          <w:p w14:paraId="33DAE4B5" w14:textId="77777777" w:rsidR="004D6A64" w:rsidRDefault="004D6A64">
            <w:pPr>
              <w:rPr>
                <w:rFonts w:ascii="宋体"/>
              </w:rPr>
            </w:pPr>
          </w:p>
        </w:tc>
        <w:tc>
          <w:tcPr>
            <w:tcW w:w="0" w:type="auto"/>
            <w:shd w:val="clear" w:color="auto" w:fill="auto"/>
          </w:tcPr>
          <w:p w14:paraId="33DAE4B6" w14:textId="77777777" w:rsidR="004D6A64" w:rsidRDefault="004D6A64">
            <w:pPr>
              <w:rPr>
                <w:rFonts w:ascii="宋体"/>
              </w:rPr>
            </w:pPr>
          </w:p>
        </w:tc>
        <w:tc>
          <w:tcPr>
            <w:tcW w:w="0" w:type="auto"/>
            <w:shd w:val="clear" w:color="auto" w:fill="auto"/>
          </w:tcPr>
          <w:p w14:paraId="33DAE4B7" w14:textId="77777777" w:rsidR="004D6A64" w:rsidRDefault="004D6A64">
            <w:pPr>
              <w:rPr>
                <w:rFonts w:ascii="宋体"/>
              </w:rPr>
            </w:pPr>
          </w:p>
        </w:tc>
        <w:tc>
          <w:tcPr>
            <w:tcW w:w="0" w:type="auto"/>
            <w:shd w:val="clear" w:color="auto" w:fill="auto"/>
          </w:tcPr>
          <w:p w14:paraId="33DAE4B8" w14:textId="77777777" w:rsidR="004D6A64" w:rsidRDefault="004D6A64">
            <w:pPr>
              <w:rPr>
                <w:rFonts w:ascii="宋体"/>
              </w:rPr>
            </w:pPr>
          </w:p>
        </w:tc>
        <w:tc>
          <w:tcPr>
            <w:tcW w:w="0" w:type="auto"/>
            <w:shd w:val="clear" w:color="auto" w:fill="auto"/>
          </w:tcPr>
          <w:p w14:paraId="33DAE4B9" w14:textId="77777777" w:rsidR="004D6A64" w:rsidRDefault="004D6A64">
            <w:pPr>
              <w:rPr>
                <w:rFonts w:ascii="宋体"/>
              </w:rPr>
            </w:pPr>
          </w:p>
        </w:tc>
        <w:tc>
          <w:tcPr>
            <w:tcW w:w="0" w:type="auto"/>
            <w:shd w:val="clear" w:color="auto" w:fill="auto"/>
          </w:tcPr>
          <w:p w14:paraId="33DAE4BA" w14:textId="77777777" w:rsidR="004D6A64" w:rsidRDefault="004D6A64">
            <w:pPr>
              <w:rPr>
                <w:rFonts w:ascii="宋体"/>
              </w:rPr>
            </w:pPr>
          </w:p>
        </w:tc>
        <w:tc>
          <w:tcPr>
            <w:tcW w:w="0" w:type="auto"/>
            <w:shd w:val="clear" w:color="auto" w:fill="auto"/>
          </w:tcPr>
          <w:p w14:paraId="33DAE4BB" w14:textId="77777777" w:rsidR="004D6A64" w:rsidRDefault="004D6A64">
            <w:pPr>
              <w:rPr>
                <w:rFonts w:ascii="宋体"/>
              </w:rPr>
            </w:pPr>
          </w:p>
        </w:tc>
        <w:tc>
          <w:tcPr>
            <w:tcW w:w="0" w:type="auto"/>
            <w:shd w:val="clear" w:color="auto" w:fill="auto"/>
          </w:tcPr>
          <w:p w14:paraId="33DAE4BC" w14:textId="77777777" w:rsidR="004D6A64" w:rsidRDefault="004D6A64">
            <w:pPr>
              <w:rPr>
                <w:rFonts w:ascii="宋体"/>
              </w:rPr>
            </w:pPr>
          </w:p>
        </w:tc>
        <w:tc>
          <w:tcPr>
            <w:tcW w:w="0" w:type="auto"/>
            <w:shd w:val="clear" w:color="auto" w:fill="auto"/>
          </w:tcPr>
          <w:p w14:paraId="33DAE4BD" w14:textId="77777777" w:rsidR="004D6A64" w:rsidRDefault="004D6A64">
            <w:pPr>
              <w:rPr>
                <w:rFonts w:ascii="宋体"/>
              </w:rPr>
            </w:pPr>
          </w:p>
        </w:tc>
        <w:tc>
          <w:tcPr>
            <w:tcW w:w="0" w:type="auto"/>
            <w:shd w:val="clear" w:color="auto" w:fill="auto"/>
          </w:tcPr>
          <w:p w14:paraId="33DAE4BE" w14:textId="77777777" w:rsidR="004D6A64" w:rsidRDefault="004D6A64">
            <w:pPr>
              <w:rPr>
                <w:rFonts w:ascii="宋体"/>
              </w:rPr>
            </w:pPr>
          </w:p>
        </w:tc>
        <w:tc>
          <w:tcPr>
            <w:tcW w:w="0" w:type="auto"/>
            <w:shd w:val="clear" w:color="auto" w:fill="auto"/>
          </w:tcPr>
          <w:p w14:paraId="33DAE4BF" w14:textId="77777777" w:rsidR="004D6A64" w:rsidRDefault="004D6A64">
            <w:pPr>
              <w:rPr>
                <w:rFonts w:ascii="宋体"/>
              </w:rPr>
            </w:pPr>
          </w:p>
        </w:tc>
        <w:tc>
          <w:tcPr>
            <w:tcW w:w="0" w:type="auto"/>
            <w:shd w:val="clear" w:color="auto" w:fill="auto"/>
          </w:tcPr>
          <w:p w14:paraId="33DAE4C0" w14:textId="77777777" w:rsidR="004D6A64" w:rsidRDefault="004D6A64">
            <w:pPr>
              <w:rPr>
                <w:rFonts w:ascii="宋体"/>
              </w:rPr>
            </w:pPr>
          </w:p>
        </w:tc>
      </w:tr>
      <w:tr w:rsidR="004D6A64" w14:paraId="33DAE4ED" w14:textId="77777777">
        <w:trPr>
          <w:jc w:val="center"/>
        </w:trPr>
        <w:tc>
          <w:tcPr>
            <w:tcW w:w="0" w:type="auto"/>
            <w:gridSpan w:val="3"/>
            <w:shd w:val="clear" w:color="auto" w:fill="CCEEFF"/>
            <w:tcMar>
              <w:top w:w="40" w:type="dxa"/>
              <w:left w:w="225" w:type="dxa"/>
              <w:bottom w:w="40" w:type="dxa"/>
              <w:right w:w="20" w:type="dxa"/>
            </w:tcMar>
            <w:vAlign w:val="center"/>
          </w:tcPr>
          <w:p w14:paraId="33DAE4C2" w14:textId="77777777" w:rsidR="004D6A64" w:rsidRDefault="00506CD6">
            <w:pPr>
              <w:textAlignment w:val="center"/>
            </w:pPr>
            <w:r>
              <w:rPr>
                <w:rFonts w:ascii="Times New Roman" w:eastAsia="宋体" w:hAnsi="Times New Roman"/>
                <w:color w:val="000000"/>
                <w:sz w:val="20"/>
                <w:szCs w:val="20"/>
              </w:rPr>
              <w:t>Transaction-related expenses</w:t>
            </w:r>
          </w:p>
        </w:tc>
        <w:tc>
          <w:tcPr>
            <w:tcW w:w="0" w:type="auto"/>
            <w:gridSpan w:val="2"/>
            <w:shd w:val="clear" w:color="auto" w:fill="CCEEFF"/>
            <w:tcMar>
              <w:top w:w="40" w:type="dxa"/>
              <w:left w:w="20" w:type="dxa"/>
              <w:bottom w:w="40" w:type="dxa"/>
              <w:right w:w="0" w:type="dxa"/>
            </w:tcMar>
            <w:vAlign w:val="center"/>
          </w:tcPr>
          <w:p w14:paraId="33DAE4C3" w14:textId="77777777" w:rsidR="004D6A64" w:rsidRDefault="00506CD6">
            <w:pPr>
              <w:jc w:val="right"/>
              <w:textAlignment w:val="center"/>
            </w:pPr>
            <w:r>
              <w:rPr>
                <w:rFonts w:ascii="Times New Roman" w:eastAsia="宋体" w:hAnsi="Times New Roman"/>
                <w:color w:val="000000"/>
                <w:sz w:val="20"/>
                <w:szCs w:val="20"/>
              </w:rPr>
              <w:t>83 </w:t>
            </w:r>
          </w:p>
        </w:tc>
        <w:tc>
          <w:tcPr>
            <w:tcW w:w="0" w:type="auto"/>
            <w:shd w:val="clear" w:color="auto" w:fill="CCEEFF"/>
            <w:tcMar>
              <w:top w:w="40" w:type="dxa"/>
              <w:bottom w:w="40" w:type="dxa"/>
              <w:right w:w="20" w:type="dxa"/>
            </w:tcMar>
            <w:vAlign w:val="center"/>
          </w:tcPr>
          <w:p w14:paraId="33DAE4C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4C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4C6"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4C7"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4C8" w14:textId="77777777" w:rsidR="004D6A64" w:rsidRDefault="00506CD6">
            <w:pPr>
              <w:jc w:val="right"/>
              <w:textAlignment w:val="center"/>
            </w:pPr>
            <w:r>
              <w:rPr>
                <w:rFonts w:ascii="Times New Roman" w:eastAsia="宋体" w:hAnsi="Times New Roman"/>
                <w:color w:val="000000"/>
                <w:sz w:val="20"/>
                <w:szCs w:val="20"/>
              </w:rPr>
              <w:t>47 </w:t>
            </w:r>
          </w:p>
        </w:tc>
        <w:tc>
          <w:tcPr>
            <w:tcW w:w="0" w:type="auto"/>
            <w:shd w:val="clear" w:color="auto" w:fill="CCEEFF"/>
            <w:tcMar>
              <w:top w:w="40" w:type="dxa"/>
              <w:bottom w:w="40" w:type="dxa"/>
              <w:right w:w="20" w:type="dxa"/>
            </w:tcMar>
            <w:vAlign w:val="center"/>
          </w:tcPr>
          <w:p w14:paraId="33DAE4C9"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4CA"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4CB" w14:textId="77777777" w:rsidR="004D6A64" w:rsidRDefault="00506CD6">
            <w:pPr>
              <w:jc w:val="right"/>
              <w:textAlignment w:val="center"/>
            </w:pPr>
            <w:r>
              <w:rPr>
                <w:rFonts w:ascii="Times New Roman" w:eastAsia="宋体" w:hAnsi="Times New Roman"/>
                <w:color w:val="000000"/>
                <w:sz w:val="20"/>
                <w:szCs w:val="20"/>
              </w:rPr>
              <w:t>159 </w:t>
            </w:r>
          </w:p>
        </w:tc>
        <w:tc>
          <w:tcPr>
            <w:tcW w:w="0" w:type="auto"/>
            <w:shd w:val="clear" w:color="auto" w:fill="CCEEFF"/>
            <w:tcMar>
              <w:top w:w="40" w:type="dxa"/>
              <w:bottom w:w="40" w:type="dxa"/>
              <w:right w:w="20" w:type="dxa"/>
            </w:tcMar>
            <w:vAlign w:val="center"/>
          </w:tcPr>
          <w:p w14:paraId="33DAE4C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4C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4CE"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4C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4D0" w14:textId="77777777" w:rsidR="004D6A64" w:rsidRDefault="00506CD6">
            <w:pPr>
              <w:jc w:val="right"/>
              <w:textAlignment w:val="center"/>
            </w:pPr>
            <w:r>
              <w:rPr>
                <w:rFonts w:ascii="Times New Roman" w:eastAsia="宋体" w:hAnsi="Times New Roman"/>
                <w:color w:val="000000"/>
                <w:sz w:val="20"/>
                <w:szCs w:val="20"/>
              </w:rPr>
              <w:t>89 </w:t>
            </w:r>
          </w:p>
        </w:tc>
        <w:tc>
          <w:tcPr>
            <w:tcW w:w="0" w:type="auto"/>
            <w:shd w:val="clear" w:color="auto" w:fill="CCEEFF"/>
            <w:tcMar>
              <w:top w:w="40" w:type="dxa"/>
              <w:bottom w:w="40" w:type="dxa"/>
              <w:right w:w="20" w:type="dxa"/>
            </w:tcMar>
            <w:vAlign w:val="center"/>
          </w:tcPr>
          <w:p w14:paraId="33DAE4D1" w14:textId="77777777" w:rsidR="004D6A64" w:rsidRDefault="004D6A64">
            <w:pPr>
              <w:jc w:val="right"/>
              <w:rPr>
                <w:rFonts w:ascii="宋体"/>
              </w:rPr>
            </w:pPr>
          </w:p>
        </w:tc>
        <w:tc>
          <w:tcPr>
            <w:tcW w:w="0" w:type="auto"/>
            <w:shd w:val="clear" w:color="auto" w:fill="auto"/>
          </w:tcPr>
          <w:p w14:paraId="33DAE4D2" w14:textId="77777777" w:rsidR="004D6A64" w:rsidRDefault="004D6A64">
            <w:pPr>
              <w:rPr>
                <w:rFonts w:ascii="宋体"/>
              </w:rPr>
            </w:pPr>
          </w:p>
        </w:tc>
        <w:tc>
          <w:tcPr>
            <w:tcW w:w="0" w:type="auto"/>
            <w:shd w:val="clear" w:color="auto" w:fill="auto"/>
          </w:tcPr>
          <w:p w14:paraId="33DAE4D3" w14:textId="77777777" w:rsidR="004D6A64" w:rsidRDefault="004D6A64">
            <w:pPr>
              <w:rPr>
                <w:rFonts w:ascii="宋体"/>
              </w:rPr>
            </w:pPr>
          </w:p>
        </w:tc>
        <w:tc>
          <w:tcPr>
            <w:tcW w:w="0" w:type="auto"/>
            <w:shd w:val="clear" w:color="auto" w:fill="auto"/>
          </w:tcPr>
          <w:p w14:paraId="33DAE4D4" w14:textId="77777777" w:rsidR="004D6A64" w:rsidRDefault="004D6A64">
            <w:pPr>
              <w:rPr>
                <w:rFonts w:ascii="宋体"/>
              </w:rPr>
            </w:pPr>
          </w:p>
        </w:tc>
        <w:tc>
          <w:tcPr>
            <w:tcW w:w="0" w:type="auto"/>
            <w:shd w:val="clear" w:color="auto" w:fill="auto"/>
          </w:tcPr>
          <w:p w14:paraId="33DAE4D5" w14:textId="77777777" w:rsidR="004D6A64" w:rsidRDefault="004D6A64">
            <w:pPr>
              <w:rPr>
                <w:rFonts w:ascii="宋体"/>
              </w:rPr>
            </w:pPr>
          </w:p>
        </w:tc>
        <w:tc>
          <w:tcPr>
            <w:tcW w:w="0" w:type="auto"/>
            <w:shd w:val="clear" w:color="auto" w:fill="auto"/>
          </w:tcPr>
          <w:p w14:paraId="33DAE4D6" w14:textId="77777777" w:rsidR="004D6A64" w:rsidRDefault="004D6A64">
            <w:pPr>
              <w:rPr>
                <w:rFonts w:ascii="宋体"/>
              </w:rPr>
            </w:pPr>
          </w:p>
        </w:tc>
        <w:tc>
          <w:tcPr>
            <w:tcW w:w="0" w:type="auto"/>
            <w:shd w:val="clear" w:color="auto" w:fill="auto"/>
          </w:tcPr>
          <w:p w14:paraId="33DAE4D7" w14:textId="77777777" w:rsidR="004D6A64" w:rsidRDefault="004D6A64">
            <w:pPr>
              <w:rPr>
                <w:rFonts w:ascii="宋体"/>
              </w:rPr>
            </w:pPr>
          </w:p>
        </w:tc>
        <w:tc>
          <w:tcPr>
            <w:tcW w:w="0" w:type="auto"/>
            <w:shd w:val="clear" w:color="auto" w:fill="auto"/>
          </w:tcPr>
          <w:p w14:paraId="33DAE4D8" w14:textId="77777777" w:rsidR="004D6A64" w:rsidRDefault="004D6A64">
            <w:pPr>
              <w:rPr>
                <w:rFonts w:ascii="宋体"/>
              </w:rPr>
            </w:pPr>
          </w:p>
        </w:tc>
        <w:tc>
          <w:tcPr>
            <w:tcW w:w="0" w:type="auto"/>
            <w:shd w:val="clear" w:color="auto" w:fill="auto"/>
          </w:tcPr>
          <w:p w14:paraId="33DAE4D9" w14:textId="77777777" w:rsidR="004D6A64" w:rsidRDefault="004D6A64">
            <w:pPr>
              <w:rPr>
                <w:rFonts w:ascii="宋体"/>
              </w:rPr>
            </w:pPr>
          </w:p>
        </w:tc>
        <w:tc>
          <w:tcPr>
            <w:tcW w:w="0" w:type="auto"/>
            <w:shd w:val="clear" w:color="auto" w:fill="auto"/>
          </w:tcPr>
          <w:p w14:paraId="33DAE4DA" w14:textId="77777777" w:rsidR="004D6A64" w:rsidRDefault="004D6A64">
            <w:pPr>
              <w:rPr>
                <w:rFonts w:ascii="宋体"/>
              </w:rPr>
            </w:pPr>
          </w:p>
        </w:tc>
        <w:tc>
          <w:tcPr>
            <w:tcW w:w="0" w:type="auto"/>
            <w:shd w:val="clear" w:color="auto" w:fill="auto"/>
          </w:tcPr>
          <w:p w14:paraId="33DAE4DB" w14:textId="77777777" w:rsidR="004D6A64" w:rsidRDefault="004D6A64">
            <w:pPr>
              <w:rPr>
                <w:rFonts w:ascii="宋体"/>
              </w:rPr>
            </w:pPr>
          </w:p>
        </w:tc>
        <w:tc>
          <w:tcPr>
            <w:tcW w:w="0" w:type="auto"/>
            <w:shd w:val="clear" w:color="auto" w:fill="auto"/>
          </w:tcPr>
          <w:p w14:paraId="33DAE4DC" w14:textId="77777777" w:rsidR="004D6A64" w:rsidRDefault="004D6A64">
            <w:pPr>
              <w:rPr>
                <w:rFonts w:ascii="宋体"/>
              </w:rPr>
            </w:pPr>
          </w:p>
        </w:tc>
        <w:tc>
          <w:tcPr>
            <w:tcW w:w="0" w:type="auto"/>
            <w:shd w:val="clear" w:color="auto" w:fill="auto"/>
          </w:tcPr>
          <w:p w14:paraId="33DAE4DD" w14:textId="77777777" w:rsidR="004D6A64" w:rsidRDefault="004D6A64">
            <w:pPr>
              <w:rPr>
                <w:rFonts w:ascii="宋体"/>
              </w:rPr>
            </w:pPr>
          </w:p>
        </w:tc>
        <w:tc>
          <w:tcPr>
            <w:tcW w:w="0" w:type="auto"/>
            <w:shd w:val="clear" w:color="auto" w:fill="auto"/>
          </w:tcPr>
          <w:p w14:paraId="33DAE4DE" w14:textId="77777777" w:rsidR="004D6A64" w:rsidRDefault="004D6A64">
            <w:pPr>
              <w:rPr>
                <w:rFonts w:ascii="宋体"/>
              </w:rPr>
            </w:pPr>
          </w:p>
        </w:tc>
        <w:tc>
          <w:tcPr>
            <w:tcW w:w="0" w:type="auto"/>
            <w:shd w:val="clear" w:color="auto" w:fill="auto"/>
          </w:tcPr>
          <w:p w14:paraId="33DAE4DF" w14:textId="77777777" w:rsidR="004D6A64" w:rsidRDefault="004D6A64">
            <w:pPr>
              <w:rPr>
                <w:rFonts w:ascii="宋体"/>
              </w:rPr>
            </w:pPr>
          </w:p>
        </w:tc>
        <w:tc>
          <w:tcPr>
            <w:tcW w:w="0" w:type="auto"/>
            <w:shd w:val="clear" w:color="auto" w:fill="auto"/>
          </w:tcPr>
          <w:p w14:paraId="33DAE4E0" w14:textId="77777777" w:rsidR="004D6A64" w:rsidRDefault="004D6A64">
            <w:pPr>
              <w:rPr>
                <w:rFonts w:ascii="宋体"/>
              </w:rPr>
            </w:pPr>
          </w:p>
        </w:tc>
        <w:tc>
          <w:tcPr>
            <w:tcW w:w="0" w:type="auto"/>
            <w:shd w:val="clear" w:color="auto" w:fill="auto"/>
          </w:tcPr>
          <w:p w14:paraId="33DAE4E1" w14:textId="77777777" w:rsidR="004D6A64" w:rsidRDefault="004D6A64">
            <w:pPr>
              <w:rPr>
                <w:rFonts w:ascii="宋体"/>
              </w:rPr>
            </w:pPr>
          </w:p>
        </w:tc>
        <w:tc>
          <w:tcPr>
            <w:tcW w:w="0" w:type="auto"/>
            <w:shd w:val="clear" w:color="auto" w:fill="auto"/>
          </w:tcPr>
          <w:p w14:paraId="33DAE4E2" w14:textId="77777777" w:rsidR="004D6A64" w:rsidRDefault="004D6A64">
            <w:pPr>
              <w:rPr>
                <w:rFonts w:ascii="宋体"/>
              </w:rPr>
            </w:pPr>
          </w:p>
        </w:tc>
        <w:tc>
          <w:tcPr>
            <w:tcW w:w="0" w:type="auto"/>
            <w:shd w:val="clear" w:color="auto" w:fill="auto"/>
          </w:tcPr>
          <w:p w14:paraId="33DAE4E3" w14:textId="77777777" w:rsidR="004D6A64" w:rsidRDefault="004D6A64">
            <w:pPr>
              <w:rPr>
                <w:rFonts w:ascii="宋体"/>
              </w:rPr>
            </w:pPr>
          </w:p>
        </w:tc>
        <w:tc>
          <w:tcPr>
            <w:tcW w:w="0" w:type="auto"/>
            <w:shd w:val="clear" w:color="auto" w:fill="auto"/>
          </w:tcPr>
          <w:p w14:paraId="33DAE4E4" w14:textId="77777777" w:rsidR="004D6A64" w:rsidRDefault="004D6A64">
            <w:pPr>
              <w:rPr>
                <w:rFonts w:ascii="宋体"/>
              </w:rPr>
            </w:pPr>
          </w:p>
        </w:tc>
        <w:tc>
          <w:tcPr>
            <w:tcW w:w="0" w:type="auto"/>
            <w:shd w:val="clear" w:color="auto" w:fill="auto"/>
          </w:tcPr>
          <w:p w14:paraId="33DAE4E5" w14:textId="77777777" w:rsidR="004D6A64" w:rsidRDefault="004D6A64">
            <w:pPr>
              <w:rPr>
                <w:rFonts w:ascii="宋体"/>
              </w:rPr>
            </w:pPr>
          </w:p>
        </w:tc>
        <w:tc>
          <w:tcPr>
            <w:tcW w:w="0" w:type="auto"/>
            <w:shd w:val="clear" w:color="auto" w:fill="auto"/>
          </w:tcPr>
          <w:p w14:paraId="33DAE4E6" w14:textId="77777777" w:rsidR="004D6A64" w:rsidRDefault="004D6A64">
            <w:pPr>
              <w:rPr>
                <w:rFonts w:ascii="宋体"/>
              </w:rPr>
            </w:pPr>
          </w:p>
        </w:tc>
        <w:tc>
          <w:tcPr>
            <w:tcW w:w="0" w:type="auto"/>
            <w:shd w:val="clear" w:color="auto" w:fill="auto"/>
          </w:tcPr>
          <w:p w14:paraId="33DAE4E7" w14:textId="77777777" w:rsidR="004D6A64" w:rsidRDefault="004D6A64">
            <w:pPr>
              <w:rPr>
                <w:rFonts w:ascii="宋体"/>
              </w:rPr>
            </w:pPr>
          </w:p>
        </w:tc>
        <w:tc>
          <w:tcPr>
            <w:tcW w:w="0" w:type="auto"/>
            <w:shd w:val="clear" w:color="auto" w:fill="auto"/>
          </w:tcPr>
          <w:p w14:paraId="33DAE4E8" w14:textId="77777777" w:rsidR="004D6A64" w:rsidRDefault="004D6A64">
            <w:pPr>
              <w:rPr>
                <w:rFonts w:ascii="宋体"/>
              </w:rPr>
            </w:pPr>
          </w:p>
        </w:tc>
        <w:tc>
          <w:tcPr>
            <w:tcW w:w="0" w:type="auto"/>
            <w:shd w:val="clear" w:color="auto" w:fill="auto"/>
          </w:tcPr>
          <w:p w14:paraId="33DAE4E9" w14:textId="77777777" w:rsidR="004D6A64" w:rsidRDefault="004D6A64">
            <w:pPr>
              <w:rPr>
                <w:rFonts w:ascii="宋体"/>
              </w:rPr>
            </w:pPr>
          </w:p>
        </w:tc>
        <w:tc>
          <w:tcPr>
            <w:tcW w:w="0" w:type="auto"/>
            <w:shd w:val="clear" w:color="auto" w:fill="auto"/>
          </w:tcPr>
          <w:p w14:paraId="33DAE4EA" w14:textId="77777777" w:rsidR="004D6A64" w:rsidRDefault="004D6A64">
            <w:pPr>
              <w:rPr>
                <w:rFonts w:ascii="宋体"/>
              </w:rPr>
            </w:pPr>
          </w:p>
        </w:tc>
        <w:tc>
          <w:tcPr>
            <w:tcW w:w="0" w:type="auto"/>
            <w:shd w:val="clear" w:color="auto" w:fill="auto"/>
          </w:tcPr>
          <w:p w14:paraId="33DAE4EB" w14:textId="77777777" w:rsidR="004D6A64" w:rsidRDefault="004D6A64">
            <w:pPr>
              <w:rPr>
                <w:rFonts w:ascii="宋体"/>
              </w:rPr>
            </w:pPr>
          </w:p>
        </w:tc>
        <w:tc>
          <w:tcPr>
            <w:tcW w:w="0" w:type="auto"/>
            <w:shd w:val="clear" w:color="auto" w:fill="auto"/>
          </w:tcPr>
          <w:p w14:paraId="33DAE4EC" w14:textId="77777777" w:rsidR="004D6A64" w:rsidRDefault="004D6A64">
            <w:pPr>
              <w:rPr>
                <w:rFonts w:ascii="宋体"/>
              </w:rPr>
            </w:pPr>
          </w:p>
        </w:tc>
      </w:tr>
      <w:tr w:rsidR="004D6A64" w14:paraId="33DAE519" w14:textId="77777777">
        <w:trPr>
          <w:jc w:val="center"/>
        </w:trPr>
        <w:tc>
          <w:tcPr>
            <w:tcW w:w="0" w:type="auto"/>
            <w:gridSpan w:val="3"/>
            <w:shd w:val="clear" w:color="auto" w:fill="FFFFFF"/>
            <w:tcMar>
              <w:top w:w="40" w:type="dxa"/>
              <w:left w:w="225" w:type="dxa"/>
              <w:bottom w:w="40" w:type="dxa"/>
              <w:right w:w="20" w:type="dxa"/>
            </w:tcMar>
            <w:vAlign w:val="center"/>
          </w:tcPr>
          <w:p w14:paraId="33DAE4EE" w14:textId="77777777" w:rsidR="004D6A64" w:rsidRDefault="00506CD6">
            <w:pPr>
              <w:textAlignment w:val="center"/>
            </w:pPr>
            <w:r>
              <w:rPr>
                <w:rFonts w:ascii="Times New Roman" w:eastAsia="宋体" w:hAnsi="Times New Roman"/>
                <w:color w:val="000000"/>
                <w:sz w:val="20"/>
                <w:szCs w:val="20"/>
              </w:rPr>
              <w:t>Stock-based compensation expense</w:t>
            </w:r>
          </w:p>
        </w:tc>
        <w:tc>
          <w:tcPr>
            <w:tcW w:w="0" w:type="auto"/>
            <w:gridSpan w:val="2"/>
            <w:shd w:val="clear" w:color="auto" w:fill="FFFFFF"/>
            <w:tcMar>
              <w:top w:w="40" w:type="dxa"/>
              <w:left w:w="20" w:type="dxa"/>
              <w:bottom w:w="40" w:type="dxa"/>
              <w:right w:w="0" w:type="dxa"/>
            </w:tcMar>
            <w:vAlign w:val="center"/>
          </w:tcPr>
          <w:p w14:paraId="33DAE4EF" w14:textId="77777777" w:rsidR="004D6A64" w:rsidRDefault="00506CD6">
            <w:pPr>
              <w:jc w:val="right"/>
              <w:textAlignment w:val="center"/>
            </w:pPr>
            <w:r>
              <w:rPr>
                <w:rFonts w:ascii="Times New Roman" w:eastAsia="宋体" w:hAnsi="Times New Roman"/>
                <w:color w:val="000000"/>
                <w:sz w:val="20"/>
                <w:szCs w:val="20"/>
              </w:rPr>
              <w:t>413 </w:t>
            </w:r>
          </w:p>
        </w:tc>
        <w:tc>
          <w:tcPr>
            <w:tcW w:w="0" w:type="auto"/>
            <w:shd w:val="clear" w:color="auto" w:fill="FFFFFF"/>
            <w:tcMar>
              <w:top w:w="40" w:type="dxa"/>
              <w:bottom w:w="40" w:type="dxa"/>
              <w:right w:w="20" w:type="dxa"/>
            </w:tcMar>
            <w:vAlign w:val="center"/>
          </w:tcPr>
          <w:p w14:paraId="33DAE4F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4F1"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4F2"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4F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4F4" w14:textId="77777777" w:rsidR="004D6A64" w:rsidRDefault="00506CD6">
            <w:pPr>
              <w:jc w:val="right"/>
              <w:textAlignment w:val="center"/>
            </w:pPr>
            <w:r>
              <w:rPr>
                <w:rFonts w:ascii="Times New Roman" w:eastAsia="宋体" w:hAnsi="Times New Roman"/>
                <w:color w:val="000000"/>
                <w:sz w:val="20"/>
                <w:szCs w:val="20"/>
              </w:rPr>
              <w:t>301 </w:t>
            </w:r>
          </w:p>
        </w:tc>
        <w:tc>
          <w:tcPr>
            <w:tcW w:w="0" w:type="auto"/>
            <w:shd w:val="clear" w:color="auto" w:fill="FFFFFF"/>
            <w:tcMar>
              <w:top w:w="40" w:type="dxa"/>
              <w:bottom w:w="40" w:type="dxa"/>
              <w:right w:w="20" w:type="dxa"/>
            </w:tcMar>
            <w:vAlign w:val="center"/>
          </w:tcPr>
          <w:p w14:paraId="33DAE4F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4F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4F7" w14:textId="77777777" w:rsidR="004D6A64" w:rsidRDefault="00506CD6">
            <w:pPr>
              <w:jc w:val="right"/>
              <w:textAlignment w:val="center"/>
            </w:pPr>
            <w:r>
              <w:rPr>
                <w:rFonts w:ascii="Times New Roman" w:eastAsia="宋体" w:hAnsi="Times New Roman"/>
                <w:color w:val="000000"/>
                <w:sz w:val="20"/>
                <w:szCs w:val="20"/>
              </w:rPr>
              <w:t>783 </w:t>
            </w:r>
          </w:p>
        </w:tc>
        <w:tc>
          <w:tcPr>
            <w:tcW w:w="0" w:type="auto"/>
            <w:shd w:val="clear" w:color="auto" w:fill="FFFFFF"/>
            <w:tcMar>
              <w:top w:w="40" w:type="dxa"/>
              <w:bottom w:w="40" w:type="dxa"/>
              <w:right w:w="20" w:type="dxa"/>
            </w:tcMar>
            <w:vAlign w:val="center"/>
          </w:tcPr>
          <w:p w14:paraId="33DAE4F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4F9"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4FA"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4FB"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4FC" w14:textId="77777777" w:rsidR="004D6A64" w:rsidRDefault="00506CD6">
            <w:pPr>
              <w:jc w:val="right"/>
              <w:textAlignment w:val="center"/>
            </w:pPr>
            <w:r>
              <w:rPr>
                <w:rFonts w:ascii="Times New Roman" w:eastAsia="宋体" w:hAnsi="Times New Roman"/>
                <w:color w:val="000000"/>
                <w:sz w:val="20"/>
                <w:szCs w:val="20"/>
              </w:rPr>
              <w:t>564 </w:t>
            </w:r>
          </w:p>
        </w:tc>
        <w:tc>
          <w:tcPr>
            <w:tcW w:w="0" w:type="auto"/>
            <w:shd w:val="clear" w:color="auto" w:fill="FFFFFF"/>
            <w:tcMar>
              <w:top w:w="40" w:type="dxa"/>
              <w:bottom w:w="40" w:type="dxa"/>
              <w:right w:w="20" w:type="dxa"/>
            </w:tcMar>
            <w:vAlign w:val="center"/>
          </w:tcPr>
          <w:p w14:paraId="33DAE4FD" w14:textId="77777777" w:rsidR="004D6A64" w:rsidRDefault="004D6A64">
            <w:pPr>
              <w:jc w:val="right"/>
              <w:rPr>
                <w:rFonts w:ascii="宋体"/>
              </w:rPr>
            </w:pPr>
          </w:p>
        </w:tc>
        <w:tc>
          <w:tcPr>
            <w:tcW w:w="0" w:type="auto"/>
            <w:shd w:val="clear" w:color="auto" w:fill="auto"/>
          </w:tcPr>
          <w:p w14:paraId="33DAE4FE" w14:textId="77777777" w:rsidR="004D6A64" w:rsidRDefault="004D6A64">
            <w:pPr>
              <w:rPr>
                <w:rFonts w:ascii="宋体"/>
              </w:rPr>
            </w:pPr>
          </w:p>
        </w:tc>
        <w:tc>
          <w:tcPr>
            <w:tcW w:w="0" w:type="auto"/>
            <w:shd w:val="clear" w:color="auto" w:fill="auto"/>
          </w:tcPr>
          <w:p w14:paraId="33DAE4FF" w14:textId="77777777" w:rsidR="004D6A64" w:rsidRDefault="004D6A64">
            <w:pPr>
              <w:rPr>
                <w:rFonts w:ascii="宋体"/>
              </w:rPr>
            </w:pPr>
          </w:p>
        </w:tc>
        <w:tc>
          <w:tcPr>
            <w:tcW w:w="0" w:type="auto"/>
            <w:shd w:val="clear" w:color="auto" w:fill="auto"/>
          </w:tcPr>
          <w:p w14:paraId="33DAE500" w14:textId="77777777" w:rsidR="004D6A64" w:rsidRDefault="004D6A64">
            <w:pPr>
              <w:rPr>
                <w:rFonts w:ascii="宋体"/>
              </w:rPr>
            </w:pPr>
          </w:p>
        </w:tc>
        <w:tc>
          <w:tcPr>
            <w:tcW w:w="0" w:type="auto"/>
            <w:shd w:val="clear" w:color="auto" w:fill="auto"/>
          </w:tcPr>
          <w:p w14:paraId="33DAE501" w14:textId="77777777" w:rsidR="004D6A64" w:rsidRDefault="004D6A64">
            <w:pPr>
              <w:rPr>
                <w:rFonts w:ascii="宋体"/>
              </w:rPr>
            </w:pPr>
          </w:p>
        </w:tc>
        <w:tc>
          <w:tcPr>
            <w:tcW w:w="0" w:type="auto"/>
            <w:shd w:val="clear" w:color="auto" w:fill="auto"/>
          </w:tcPr>
          <w:p w14:paraId="33DAE502" w14:textId="77777777" w:rsidR="004D6A64" w:rsidRDefault="004D6A64">
            <w:pPr>
              <w:rPr>
                <w:rFonts w:ascii="宋体"/>
              </w:rPr>
            </w:pPr>
          </w:p>
        </w:tc>
        <w:tc>
          <w:tcPr>
            <w:tcW w:w="0" w:type="auto"/>
            <w:shd w:val="clear" w:color="auto" w:fill="auto"/>
          </w:tcPr>
          <w:p w14:paraId="33DAE503" w14:textId="77777777" w:rsidR="004D6A64" w:rsidRDefault="004D6A64">
            <w:pPr>
              <w:rPr>
                <w:rFonts w:ascii="宋体"/>
              </w:rPr>
            </w:pPr>
          </w:p>
        </w:tc>
        <w:tc>
          <w:tcPr>
            <w:tcW w:w="0" w:type="auto"/>
            <w:shd w:val="clear" w:color="auto" w:fill="auto"/>
          </w:tcPr>
          <w:p w14:paraId="33DAE504" w14:textId="77777777" w:rsidR="004D6A64" w:rsidRDefault="004D6A64">
            <w:pPr>
              <w:rPr>
                <w:rFonts w:ascii="宋体"/>
              </w:rPr>
            </w:pPr>
          </w:p>
        </w:tc>
        <w:tc>
          <w:tcPr>
            <w:tcW w:w="0" w:type="auto"/>
            <w:shd w:val="clear" w:color="auto" w:fill="auto"/>
          </w:tcPr>
          <w:p w14:paraId="33DAE505" w14:textId="77777777" w:rsidR="004D6A64" w:rsidRDefault="004D6A64">
            <w:pPr>
              <w:rPr>
                <w:rFonts w:ascii="宋体"/>
              </w:rPr>
            </w:pPr>
          </w:p>
        </w:tc>
        <w:tc>
          <w:tcPr>
            <w:tcW w:w="0" w:type="auto"/>
            <w:shd w:val="clear" w:color="auto" w:fill="auto"/>
          </w:tcPr>
          <w:p w14:paraId="33DAE506" w14:textId="77777777" w:rsidR="004D6A64" w:rsidRDefault="004D6A64">
            <w:pPr>
              <w:rPr>
                <w:rFonts w:ascii="宋体"/>
              </w:rPr>
            </w:pPr>
          </w:p>
        </w:tc>
        <w:tc>
          <w:tcPr>
            <w:tcW w:w="0" w:type="auto"/>
            <w:shd w:val="clear" w:color="auto" w:fill="auto"/>
          </w:tcPr>
          <w:p w14:paraId="33DAE507" w14:textId="77777777" w:rsidR="004D6A64" w:rsidRDefault="004D6A64">
            <w:pPr>
              <w:rPr>
                <w:rFonts w:ascii="宋体"/>
              </w:rPr>
            </w:pPr>
          </w:p>
        </w:tc>
        <w:tc>
          <w:tcPr>
            <w:tcW w:w="0" w:type="auto"/>
            <w:shd w:val="clear" w:color="auto" w:fill="auto"/>
          </w:tcPr>
          <w:p w14:paraId="33DAE508" w14:textId="77777777" w:rsidR="004D6A64" w:rsidRDefault="004D6A64">
            <w:pPr>
              <w:rPr>
                <w:rFonts w:ascii="宋体"/>
              </w:rPr>
            </w:pPr>
          </w:p>
        </w:tc>
        <w:tc>
          <w:tcPr>
            <w:tcW w:w="0" w:type="auto"/>
            <w:shd w:val="clear" w:color="auto" w:fill="auto"/>
          </w:tcPr>
          <w:p w14:paraId="33DAE509" w14:textId="77777777" w:rsidR="004D6A64" w:rsidRDefault="004D6A64">
            <w:pPr>
              <w:rPr>
                <w:rFonts w:ascii="宋体"/>
              </w:rPr>
            </w:pPr>
          </w:p>
        </w:tc>
        <w:tc>
          <w:tcPr>
            <w:tcW w:w="0" w:type="auto"/>
            <w:shd w:val="clear" w:color="auto" w:fill="auto"/>
          </w:tcPr>
          <w:p w14:paraId="33DAE50A" w14:textId="77777777" w:rsidR="004D6A64" w:rsidRDefault="004D6A64">
            <w:pPr>
              <w:rPr>
                <w:rFonts w:ascii="宋体"/>
              </w:rPr>
            </w:pPr>
          </w:p>
        </w:tc>
        <w:tc>
          <w:tcPr>
            <w:tcW w:w="0" w:type="auto"/>
            <w:shd w:val="clear" w:color="auto" w:fill="auto"/>
          </w:tcPr>
          <w:p w14:paraId="33DAE50B" w14:textId="77777777" w:rsidR="004D6A64" w:rsidRDefault="004D6A64">
            <w:pPr>
              <w:rPr>
                <w:rFonts w:ascii="宋体"/>
              </w:rPr>
            </w:pPr>
          </w:p>
        </w:tc>
        <w:tc>
          <w:tcPr>
            <w:tcW w:w="0" w:type="auto"/>
            <w:shd w:val="clear" w:color="auto" w:fill="auto"/>
          </w:tcPr>
          <w:p w14:paraId="33DAE50C" w14:textId="77777777" w:rsidR="004D6A64" w:rsidRDefault="004D6A64">
            <w:pPr>
              <w:rPr>
                <w:rFonts w:ascii="宋体"/>
              </w:rPr>
            </w:pPr>
          </w:p>
        </w:tc>
        <w:tc>
          <w:tcPr>
            <w:tcW w:w="0" w:type="auto"/>
            <w:shd w:val="clear" w:color="auto" w:fill="auto"/>
          </w:tcPr>
          <w:p w14:paraId="33DAE50D" w14:textId="77777777" w:rsidR="004D6A64" w:rsidRDefault="004D6A64">
            <w:pPr>
              <w:rPr>
                <w:rFonts w:ascii="宋体"/>
              </w:rPr>
            </w:pPr>
          </w:p>
        </w:tc>
        <w:tc>
          <w:tcPr>
            <w:tcW w:w="0" w:type="auto"/>
            <w:shd w:val="clear" w:color="auto" w:fill="auto"/>
          </w:tcPr>
          <w:p w14:paraId="33DAE50E" w14:textId="77777777" w:rsidR="004D6A64" w:rsidRDefault="004D6A64">
            <w:pPr>
              <w:rPr>
                <w:rFonts w:ascii="宋体"/>
              </w:rPr>
            </w:pPr>
          </w:p>
        </w:tc>
        <w:tc>
          <w:tcPr>
            <w:tcW w:w="0" w:type="auto"/>
            <w:shd w:val="clear" w:color="auto" w:fill="auto"/>
          </w:tcPr>
          <w:p w14:paraId="33DAE50F" w14:textId="77777777" w:rsidR="004D6A64" w:rsidRDefault="004D6A64">
            <w:pPr>
              <w:rPr>
                <w:rFonts w:ascii="宋体"/>
              </w:rPr>
            </w:pPr>
          </w:p>
        </w:tc>
        <w:tc>
          <w:tcPr>
            <w:tcW w:w="0" w:type="auto"/>
            <w:shd w:val="clear" w:color="auto" w:fill="auto"/>
          </w:tcPr>
          <w:p w14:paraId="33DAE510" w14:textId="77777777" w:rsidR="004D6A64" w:rsidRDefault="004D6A64">
            <w:pPr>
              <w:rPr>
                <w:rFonts w:ascii="宋体"/>
              </w:rPr>
            </w:pPr>
          </w:p>
        </w:tc>
        <w:tc>
          <w:tcPr>
            <w:tcW w:w="0" w:type="auto"/>
            <w:shd w:val="clear" w:color="auto" w:fill="auto"/>
          </w:tcPr>
          <w:p w14:paraId="33DAE511" w14:textId="77777777" w:rsidR="004D6A64" w:rsidRDefault="004D6A64">
            <w:pPr>
              <w:rPr>
                <w:rFonts w:ascii="宋体"/>
              </w:rPr>
            </w:pPr>
          </w:p>
        </w:tc>
        <w:tc>
          <w:tcPr>
            <w:tcW w:w="0" w:type="auto"/>
            <w:shd w:val="clear" w:color="auto" w:fill="auto"/>
          </w:tcPr>
          <w:p w14:paraId="33DAE512" w14:textId="77777777" w:rsidR="004D6A64" w:rsidRDefault="004D6A64">
            <w:pPr>
              <w:rPr>
                <w:rFonts w:ascii="宋体"/>
              </w:rPr>
            </w:pPr>
          </w:p>
        </w:tc>
        <w:tc>
          <w:tcPr>
            <w:tcW w:w="0" w:type="auto"/>
            <w:shd w:val="clear" w:color="auto" w:fill="auto"/>
          </w:tcPr>
          <w:p w14:paraId="33DAE513" w14:textId="77777777" w:rsidR="004D6A64" w:rsidRDefault="004D6A64">
            <w:pPr>
              <w:rPr>
                <w:rFonts w:ascii="宋体"/>
              </w:rPr>
            </w:pPr>
          </w:p>
        </w:tc>
        <w:tc>
          <w:tcPr>
            <w:tcW w:w="0" w:type="auto"/>
            <w:shd w:val="clear" w:color="auto" w:fill="auto"/>
          </w:tcPr>
          <w:p w14:paraId="33DAE514" w14:textId="77777777" w:rsidR="004D6A64" w:rsidRDefault="004D6A64">
            <w:pPr>
              <w:rPr>
                <w:rFonts w:ascii="宋体"/>
              </w:rPr>
            </w:pPr>
          </w:p>
        </w:tc>
        <w:tc>
          <w:tcPr>
            <w:tcW w:w="0" w:type="auto"/>
            <w:shd w:val="clear" w:color="auto" w:fill="auto"/>
          </w:tcPr>
          <w:p w14:paraId="33DAE515" w14:textId="77777777" w:rsidR="004D6A64" w:rsidRDefault="004D6A64">
            <w:pPr>
              <w:rPr>
                <w:rFonts w:ascii="宋体"/>
              </w:rPr>
            </w:pPr>
          </w:p>
        </w:tc>
        <w:tc>
          <w:tcPr>
            <w:tcW w:w="0" w:type="auto"/>
            <w:shd w:val="clear" w:color="auto" w:fill="auto"/>
          </w:tcPr>
          <w:p w14:paraId="33DAE516" w14:textId="77777777" w:rsidR="004D6A64" w:rsidRDefault="004D6A64">
            <w:pPr>
              <w:rPr>
                <w:rFonts w:ascii="宋体"/>
              </w:rPr>
            </w:pPr>
          </w:p>
        </w:tc>
        <w:tc>
          <w:tcPr>
            <w:tcW w:w="0" w:type="auto"/>
            <w:shd w:val="clear" w:color="auto" w:fill="auto"/>
          </w:tcPr>
          <w:p w14:paraId="33DAE517" w14:textId="77777777" w:rsidR="004D6A64" w:rsidRDefault="004D6A64">
            <w:pPr>
              <w:rPr>
                <w:rFonts w:ascii="宋体"/>
              </w:rPr>
            </w:pPr>
          </w:p>
        </w:tc>
        <w:tc>
          <w:tcPr>
            <w:tcW w:w="0" w:type="auto"/>
            <w:shd w:val="clear" w:color="auto" w:fill="auto"/>
          </w:tcPr>
          <w:p w14:paraId="33DAE518" w14:textId="77777777" w:rsidR="004D6A64" w:rsidRDefault="004D6A64">
            <w:pPr>
              <w:rPr>
                <w:rFonts w:ascii="宋体"/>
              </w:rPr>
            </w:pPr>
          </w:p>
        </w:tc>
      </w:tr>
      <w:tr w:rsidR="004D6A64" w14:paraId="33DAE545" w14:textId="77777777">
        <w:trPr>
          <w:jc w:val="center"/>
        </w:trPr>
        <w:tc>
          <w:tcPr>
            <w:tcW w:w="0" w:type="auto"/>
            <w:gridSpan w:val="3"/>
            <w:shd w:val="clear" w:color="auto" w:fill="CCEEFF"/>
            <w:tcMar>
              <w:top w:w="40" w:type="dxa"/>
              <w:left w:w="225" w:type="dxa"/>
              <w:bottom w:w="40" w:type="dxa"/>
              <w:right w:w="20" w:type="dxa"/>
            </w:tcMar>
            <w:vAlign w:val="center"/>
          </w:tcPr>
          <w:p w14:paraId="33DAE51A" w14:textId="77777777" w:rsidR="004D6A64" w:rsidRDefault="00506CD6">
            <w:pPr>
              <w:textAlignment w:val="center"/>
            </w:pPr>
            <w:r>
              <w:rPr>
                <w:rFonts w:ascii="Times New Roman" w:eastAsia="宋体" w:hAnsi="Times New Roman"/>
                <w:color w:val="000000"/>
                <w:sz w:val="20"/>
                <w:szCs w:val="20"/>
              </w:rPr>
              <w:t>Other corporate expenses</w:t>
            </w:r>
          </w:p>
        </w:tc>
        <w:tc>
          <w:tcPr>
            <w:tcW w:w="0" w:type="auto"/>
            <w:gridSpan w:val="2"/>
            <w:shd w:val="clear" w:color="auto" w:fill="CCEEFF"/>
            <w:tcMar>
              <w:top w:w="40" w:type="dxa"/>
              <w:left w:w="20" w:type="dxa"/>
              <w:bottom w:w="40" w:type="dxa"/>
              <w:right w:w="0" w:type="dxa"/>
            </w:tcMar>
            <w:vAlign w:val="center"/>
          </w:tcPr>
          <w:p w14:paraId="33DAE51B" w14:textId="77777777" w:rsidR="004D6A64" w:rsidRDefault="00506CD6">
            <w:pPr>
              <w:jc w:val="right"/>
              <w:textAlignment w:val="center"/>
            </w:pPr>
            <w:r>
              <w:rPr>
                <w:rFonts w:ascii="Times New Roman" w:eastAsia="宋体" w:hAnsi="Times New Roman"/>
                <w:color w:val="000000"/>
                <w:sz w:val="20"/>
                <w:szCs w:val="20"/>
              </w:rPr>
              <w:t>86 </w:t>
            </w:r>
          </w:p>
        </w:tc>
        <w:tc>
          <w:tcPr>
            <w:tcW w:w="0" w:type="auto"/>
            <w:shd w:val="clear" w:color="auto" w:fill="CCEEFF"/>
            <w:tcMar>
              <w:top w:w="40" w:type="dxa"/>
              <w:bottom w:w="40" w:type="dxa"/>
              <w:right w:w="20" w:type="dxa"/>
            </w:tcMar>
            <w:vAlign w:val="center"/>
          </w:tcPr>
          <w:p w14:paraId="33DAE51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51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51E"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51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520" w14:textId="77777777" w:rsidR="004D6A64" w:rsidRDefault="00506CD6">
            <w:pPr>
              <w:jc w:val="right"/>
              <w:textAlignment w:val="center"/>
            </w:pPr>
            <w:r>
              <w:rPr>
                <w:rFonts w:ascii="Times New Roman" w:eastAsia="宋体" w:hAnsi="Times New Roman"/>
                <w:color w:val="000000"/>
                <w:sz w:val="20"/>
                <w:szCs w:val="20"/>
              </w:rPr>
              <w:t>714 </w:t>
            </w:r>
          </w:p>
        </w:tc>
        <w:tc>
          <w:tcPr>
            <w:tcW w:w="0" w:type="auto"/>
            <w:shd w:val="clear" w:color="auto" w:fill="CCEEFF"/>
            <w:tcMar>
              <w:top w:w="40" w:type="dxa"/>
              <w:bottom w:w="40" w:type="dxa"/>
              <w:right w:w="20" w:type="dxa"/>
            </w:tcMar>
            <w:vAlign w:val="center"/>
          </w:tcPr>
          <w:p w14:paraId="33DAE52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52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523" w14:textId="77777777" w:rsidR="004D6A64" w:rsidRDefault="00506CD6">
            <w:pPr>
              <w:jc w:val="right"/>
              <w:textAlignment w:val="center"/>
            </w:pPr>
            <w:r>
              <w:rPr>
                <w:rFonts w:ascii="Times New Roman" w:eastAsia="宋体" w:hAnsi="Times New Roman"/>
                <w:color w:val="000000"/>
                <w:sz w:val="20"/>
                <w:szCs w:val="20"/>
              </w:rPr>
              <w:t>181 </w:t>
            </w:r>
          </w:p>
        </w:tc>
        <w:tc>
          <w:tcPr>
            <w:tcW w:w="0" w:type="auto"/>
            <w:shd w:val="clear" w:color="auto" w:fill="CCEEFF"/>
            <w:tcMar>
              <w:top w:w="40" w:type="dxa"/>
              <w:bottom w:w="40" w:type="dxa"/>
              <w:right w:w="20" w:type="dxa"/>
            </w:tcMar>
            <w:vAlign w:val="center"/>
          </w:tcPr>
          <w:p w14:paraId="33DAE52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52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526"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527"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528" w14:textId="77777777" w:rsidR="004D6A64" w:rsidRDefault="00506CD6">
            <w:pPr>
              <w:jc w:val="right"/>
              <w:textAlignment w:val="center"/>
            </w:pPr>
            <w:r>
              <w:rPr>
                <w:rFonts w:ascii="Times New Roman" w:eastAsia="宋体" w:hAnsi="Times New Roman"/>
                <w:color w:val="000000"/>
                <w:sz w:val="20"/>
                <w:szCs w:val="20"/>
              </w:rPr>
              <w:t>737 </w:t>
            </w:r>
          </w:p>
        </w:tc>
        <w:tc>
          <w:tcPr>
            <w:tcW w:w="0" w:type="auto"/>
            <w:shd w:val="clear" w:color="auto" w:fill="CCEEFF"/>
            <w:tcMar>
              <w:top w:w="40" w:type="dxa"/>
              <w:bottom w:w="40" w:type="dxa"/>
              <w:right w:w="20" w:type="dxa"/>
            </w:tcMar>
            <w:vAlign w:val="center"/>
          </w:tcPr>
          <w:p w14:paraId="33DAE529" w14:textId="77777777" w:rsidR="004D6A64" w:rsidRDefault="004D6A64">
            <w:pPr>
              <w:jc w:val="right"/>
              <w:rPr>
                <w:rFonts w:ascii="宋体"/>
              </w:rPr>
            </w:pPr>
          </w:p>
        </w:tc>
        <w:tc>
          <w:tcPr>
            <w:tcW w:w="0" w:type="auto"/>
            <w:shd w:val="clear" w:color="auto" w:fill="auto"/>
          </w:tcPr>
          <w:p w14:paraId="33DAE52A" w14:textId="77777777" w:rsidR="004D6A64" w:rsidRDefault="004D6A64">
            <w:pPr>
              <w:rPr>
                <w:rFonts w:ascii="宋体"/>
              </w:rPr>
            </w:pPr>
          </w:p>
        </w:tc>
        <w:tc>
          <w:tcPr>
            <w:tcW w:w="0" w:type="auto"/>
            <w:shd w:val="clear" w:color="auto" w:fill="auto"/>
          </w:tcPr>
          <w:p w14:paraId="33DAE52B" w14:textId="77777777" w:rsidR="004D6A64" w:rsidRDefault="004D6A64">
            <w:pPr>
              <w:rPr>
                <w:rFonts w:ascii="宋体"/>
              </w:rPr>
            </w:pPr>
          </w:p>
        </w:tc>
        <w:tc>
          <w:tcPr>
            <w:tcW w:w="0" w:type="auto"/>
            <w:shd w:val="clear" w:color="auto" w:fill="auto"/>
          </w:tcPr>
          <w:p w14:paraId="33DAE52C" w14:textId="77777777" w:rsidR="004D6A64" w:rsidRDefault="004D6A64">
            <w:pPr>
              <w:rPr>
                <w:rFonts w:ascii="宋体"/>
              </w:rPr>
            </w:pPr>
          </w:p>
        </w:tc>
        <w:tc>
          <w:tcPr>
            <w:tcW w:w="0" w:type="auto"/>
            <w:shd w:val="clear" w:color="auto" w:fill="auto"/>
          </w:tcPr>
          <w:p w14:paraId="33DAE52D" w14:textId="77777777" w:rsidR="004D6A64" w:rsidRDefault="004D6A64">
            <w:pPr>
              <w:rPr>
                <w:rFonts w:ascii="宋体"/>
              </w:rPr>
            </w:pPr>
          </w:p>
        </w:tc>
        <w:tc>
          <w:tcPr>
            <w:tcW w:w="0" w:type="auto"/>
            <w:shd w:val="clear" w:color="auto" w:fill="auto"/>
          </w:tcPr>
          <w:p w14:paraId="33DAE52E" w14:textId="77777777" w:rsidR="004D6A64" w:rsidRDefault="004D6A64">
            <w:pPr>
              <w:rPr>
                <w:rFonts w:ascii="宋体"/>
              </w:rPr>
            </w:pPr>
          </w:p>
        </w:tc>
        <w:tc>
          <w:tcPr>
            <w:tcW w:w="0" w:type="auto"/>
            <w:shd w:val="clear" w:color="auto" w:fill="auto"/>
          </w:tcPr>
          <w:p w14:paraId="33DAE52F" w14:textId="77777777" w:rsidR="004D6A64" w:rsidRDefault="004D6A64">
            <w:pPr>
              <w:rPr>
                <w:rFonts w:ascii="宋体"/>
              </w:rPr>
            </w:pPr>
          </w:p>
        </w:tc>
        <w:tc>
          <w:tcPr>
            <w:tcW w:w="0" w:type="auto"/>
            <w:shd w:val="clear" w:color="auto" w:fill="auto"/>
          </w:tcPr>
          <w:p w14:paraId="33DAE530" w14:textId="77777777" w:rsidR="004D6A64" w:rsidRDefault="004D6A64">
            <w:pPr>
              <w:rPr>
                <w:rFonts w:ascii="宋体"/>
              </w:rPr>
            </w:pPr>
          </w:p>
        </w:tc>
        <w:tc>
          <w:tcPr>
            <w:tcW w:w="0" w:type="auto"/>
            <w:shd w:val="clear" w:color="auto" w:fill="auto"/>
          </w:tcPr>
          <w:p w14:paraId="33DAE531" w14:textId="77777777" w:rsidR="004D6A64" w:rsidRDefault="004D6A64">
            <w:pPr>
              <w:rPr>
                <w:rFonts w:ascii="宋体"/>
              </w:rPr>
            </w:pPr>
          </w:p>
        </w:tc>
        <w:tc>
          <w:tcPr>
            <w:tcW w:w="0" w:type="auto"/>
            <w:shd w:val="clear" w:color="auto" w:fill="auto"/>
          </w:tcPr>
          <w:p w14:paraId="33DAE532" w14:textId="77777777" w:rsidR="004D6A64" w:rsidRDefault="004D6A64">
            <w:pPr>
              <w:rPr>
                <w:rFonts w:ascii="宋体"/>
              </w:rPr>
            </w:pPr>
          </w:p>
        </w:tc>
        <w:tc>
          <w:tcPr>
            <w:tcW w:w="0" w:type="auto"/>
            <w:shd w:val="clear" w:color="auto" w:fill="auto"/>
          </w:tcPr>
          <w:p w14:paraId="33DAE533" w14:textId="77777777" w:rsidR="004D6A64" w:rsidRDefault="004D6A64">
            <w:pPr>
              <w:rPr>
                <w:rFonts w:ascii="宋体"/>
              </w:rPr>
            </w:pPr>
          </w:p>
        </w:tc>
        <w:tc>
          <w:tcPr>
            <w:tcW w:w="0" w:type="auto"/>
            <w:shd w:val="clear" w:color="auto" w:fill="auto"/>
          </w:tcPr>
          <w:p w14:paraId="33DAE534" w14:textId="77777777" w:rsidR="004D6A64" w:rsidRDefault="004D6A64">
            <w:pPr>
              <w:rPr>
                <w:rFonts w:ascii="宋体"/>
              </w:rPr>
            </w:pPr>
          </w:p>
        </w:tc>
        <w:tc>
          <w:tcPr>
            <w:tcW w:w="0" w:type="auto"/>
            <w:shd w:val="clear" w:color="auto" w:fill="auto"/>
          </w:tcPr>
          <w:p w14:paraId="33DAE535" w14:textId="77777777" w:rsidR="004D6A64" w:rsidRDefault="004D6A64">
            <w:pPr>
              <w:rPr>
                <w:rFonts w:ascii="宋体"/>
              </w:rPr>
            </w:pPr>
          </w:p>
        </w:tc>
        <w:tc>
          <w:tcPr>
            <w:tcW w:w="0" w:type="auto"/>
            <w:shd w:val="clear" w:color="auto" w:fill="auto"/>
          </w:tcPr>
          <w:p w14:paraId="33DAE536" w14:textId="77777777" w:rsidR="004D6A64" w:rsidRDefault="004D6A64">
            <w:pPr>
              <w:rPr>
                <w:rFonts w:ascii="宋体"/>
              </w:rPr>
            </w:pPr>
          </w:p>
        </w:tc>
        <w:tc>
          <w:tcPr>
            <w:tcW w:w="0" w:type="auto"/>
            <w:shd w:val="clear" w:color="auto" w:fill="auto"/>
          </w:tcPr>
          <w:p w14:paraId="33DAE537" w14:textId="77777777" w:rsidR="004D6A64" w:rsidRDefault="004D6A64">
            <w:pPr>
              <w:rPr>
                <w:rFonts w:ascii="宋体"/>
              </w:rPr>
            </w:pPr>
          </w:p>
        </w:tc>
        <w:tc>
          <w:tcPr>
            <w:tcW w:w="0" w:type="auto"/>
            <w:shd w:val="clear" w:color="auto" w:fill="auto"/>
          </w:tcPr>
          <w:p w14:paraId="33DAE538" w14:textId="77777777" w:rsidR="004D6A64" w:rsidRDefault="004D6A64">
            <w:pPr>
              <w:rPr>
                <w:rFonts w:ascii="宋体"/>
              </w:rPr>
            </w:pPr>
          </w:p>
        </w:tc>
        <w:tc>
          <w:tcPr>
            <w:tcW w:w="0" w:type="auto"/>
            <w:shd w:val="clear" w:color="auto" w:fill="auto"/>
          </w:tcPr>
          <w:p w14:paraId="33DAE539" w14:textId="77777777" w:rsidR="004D6A64" w:rsidRDefault="004D6A64">
            <w:pPr>
              <w:rPr>
                <w:rFonts w:ascii="宋体"/>
              </w:rPr>
            </w:pPr>
          </w:p>
        </w:tc>
        <w:tc>
          <w:tcPr>
            <w:tcW w:w="0" w:type="auto"/>
            <w:shd w:val="clear" w:color="auto" w:fill="auto"/>
          </w:tcPr>
          <w:p w14:paraId="33DAE53A" w14:textId="77777777" w:rsidR="004D6A64" w:rsidRDefault="004D6A64">
            <w:pPr>
              <w:rPr>
                <w:rFonts w:ascii="宋体"/>
              </w:rPr>
            </w:pPr>
          </w:p>
        </w:tc>
        <w:tc>
          <w:tcPr>
            <w:tcW w:w="0" w:type="auto"/>
            <w:shd w:val="clear" w:color="auto" w:fill="auto"/>
          </w:tcPr>
          <w:p w14:paraId="33DAE53B" w14:textId="77777777" w:rsidR="004D6A64" w:rsidRDefault="004D6A64">
            <w:pPr>
              <w:rPr>
                <w:rFonts w:ascii="宋体"/>
              </w:rPr>
            </w:pPr>
          </w:p>
        </w:tc>
        <w:tc>
          <w:tcPr>
            <w:tcW w:w="0" w:type="auto"/>
            <w:shd w:val="clear" w:color="auto" w:fill="auto"/>
          </w:tcPr>
          <w:p w14:paraId="33DAE53C" w14:textId="77777777" w:rsidR="004D6A64" w:rsidRDefault="004D6A64">
            <w:pPr>
              <w:rPr>
                <w:rFonts w:ascii="宋体"/>
              </w:rPr>
            </w:pPr>
          </w:p>
        </w:tc>
        <w:tc>
          <w:tcPr>
            <w:tcW w:w="0" w:type="auto"/>
            <w:shd w:val="clear" w:color="auto" w:fill="auto"/>
          </w:tcPr>
          <w:p w14:paraId="33DAE53D" w14:textId="77777777" w:rsidR="004D6A64" w:rsidRDefault="004D6A64">
            <w:pPr>
              <w:rPr>
                <w:rFonts w:ascii="宋体"/>
              </w:rPr>
            </w:pPr>
          </w:p>
        </w:tc>
        <w:tc>
          <w:tcPr>
            <w:tcW w:w="0" w:type="auto"/>
            <w:shd w:val="clear" w:color="auto" w:fill="auto"/>
          </w:tcPr>
          <w:p w14:paraId="33DAE53E" w14:textId="77777777" w:rsidR="004D6A64" w:rsidRDefault="004D6A64">
            <w:pPr>
              <w:rPr>
                <w:rFonts w:ascii="宋体"/>
              </w:rPr>
            </w:pPr>
          </w:p>
        </w:tc>
        <w:tc>
          <w:tcPr>
            <w:tcW w:w="0" w:type="auto"/>
            <w:shd w:val="clear" w:color="auto" w:fill="auto"/>
          </w:tcPr>
          <w:p w14:paraId="33DAE53F" w14:textId="77777777" w:rsidR="004D6A64" w:rsidRDefault="004D6A64">
            <w:pPr>
              <w:rPr>
                <w:rFonts w:ascii="宋体"/>
              </w:rPr>
            </w:pPr>
          </w:p>
        </w:tc>
        <w:tc>
          <w:tcPr>
            <w:tcW w:w="0" w:type="auto"/>
            <w:shd w:val="clear" w:color="auto" w:fill="auto"/>
          </w:tcPr>
          <w:p w14:paraId="33DAE540" w14:textId="77777777" w:rsidR="004D6A64" w:rsidRDefault="004D6A64">
            <w:pPr>
              <w:rPr>
                <w:rFonts w:ascii="宋体"/>
              </w:rPr>
            </w:pPr>
          </w:p>
        </w:tc>
        <w:tc>
          <w:tcPr>
            <w:tcW w:w="0" w:type="auto"/>
            <w:shd w:val="clear" w:color="auto" w:fill="auto"/>
          </w:tcPr>
          <w:p w14:paraId="33DAE541" w14:textId="77777777" w:rsidR="004D6A64" w:rsidRDefault="004D6A64">
            <w:pPr>
              <w:rPr>
                <w:rFonts w:ascii="宋体"/>
              </w:rPr>
            </w:pPr>
          </w:p>
        </w:tc>
        <w:tc>
          <w:tcPr>
            <w:tcW w:w="0" w:type="auto"/>
            <w:shd w:val="clear" w:color="auto" w:fill="auto"/>
          </w:tcPr>
          <w:p w14:paraId="33DAE542" w14:textId="77777777" w:rsidR="004D6A64" w:rsidRDefault="004D6A64">
            <w:pPr>
              <w:rPr>
                <w:rFonts w:ascii="宋体"/>
              </w:rPr>
            </w:pPr>
          </w:p>
        </w:tc>
        <w:tc>
          <w:tcPr>
            <w:tcW w:w="0" w:type="auto"/>
            <w:shd w:val="clear" w:color="auto" w:fill="auto"/>
          </w:tcPr>
          <w:p w14:paraId="33DAE543" w14:textId="77777777" w:rsidR="004D6A64" w:rsidRDefault="004D6A64">
            <w:pPr>
              <w:rPr>
                <w:rFonts w:ascii="宋体"/>
              </w:rPr>
            </w:pPr>
          </w:p>
        </w:tc>
        <w:tc>
          <w:tcPr>
            <w:tcW w:w="0" w:type="auto"/>
            <w:shd w:val="clear" w:color="auto" w:fill="auto"/>
          </w:tcPr>
          <w:p w14:paraId="33DAE544" w14:textId="77777777" w:rsidR="004D6A64" w:rsidRDefault="004D6A64">
            <w:pPr>
              <w:rPr>
                <w:rFonts w:ascii="宋体"/>
              </w:rPr>
            </w:pPr>
          </w:p>
        </w:tc>
      </w:tr>
      <w:tr w:rsidR="004D6A64" w14:paraId="33DAE577" w14:textId="77777777">
        <w:trPr>
          <w:jc w:val="center"/>
        </w:trPr>
        <w:tc>
          <w:tcPr>
            <w:tcW w:w="0" w:type="auto"/>
            <w:gridSpan w:val="3"/>
            <w:shd w:val="clear" w:color="auto" w:fill="FFFFFF"/>
            <w:tcMar>
              <w:top w:w="40" w:type="dxa"/>
              <w:left w:w="495" w:type="dxa"/>
              <w:bottom w:w="40" w:type="dxa"/>
              <w:right w:w="20" w:type="dxa"/>
            </w:tcMar>
            <w:vAlign w:val="center"/>
          </w:tcPr>
          <w:p w14:paraId="33DAE546" w14:textId="77777777" w:rsidR="004D6A64" w:rsidRDefault="00506CD6">
            <w:pPr>
              <w:textAlignment w:val="center"/>
            </w:pPr>
            <w:r>
              <w:rPr>
                <w:rFonts w:ascii="Times New Roman" w:eastAsia="宋体" w:hAnsi="Times New Roman"/>
                <w:color w:val="000000"/>
                <w:sz w:val="20"/>
                <w:szCs w:val="20"/>
              </w:rPr>
              <w:t>Non-GAAP operating income</w:t>
            </w:r>
          </w:p>
        </w:tc>
        <w:tc>
          <w:tcPr>
            <w:tcW w:w="0" w:type="auto"/>
            <w:tcBorders>
              <w:top w:val="single" w:sz="8" w:space="0" w:color="000000"/>
            </w:tcBorders>
            <w:shd w:val="clear" w:color="auto" w:fill="FFFFFF"/>
            <w:tcMar>
              <w:top w:w="40" w:type="dxa"/>
              <w:left w:w="20" w:type="dxa"/>
              <w:bottom w:w="40" w:type="dxa"/>
            </w:tcMar>
            <w:vAlign w:val="center"/>
          </w:tcPr>
          <w:p w14:paraId="33DAE547"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E548" w14:textId="77777777" w:rsidR="004D6A64" w:rsidRDefault="00506CD6">
            <w:pPr>
              <w:jc w:val="right"/>
              <w:textAlignment w:val="center"/>
            </w:pPr>
            <w:r>
              <w:rPr>
                <w:rFonts w:ascii="Times New Roman" w:eastAsia="宋体" w:hAnsi="Times New Roman"/>
                <w:color w:val="000000"/>
                <w:sz w:val="20"/>
                <w:szCs w:val="20"/>
              </w:rPr>
              <w:t>2,618 </w:t>
            </w:r>
          </w:p>
        </w:tc>
        <w:tc>
          <w:tcPr>
            <w:tcW w:w="0" w:type="auto"/>
            <w:tcBorders>
              <w:top w:val="single" w:sz="8" w:space="0" w:color="000000"/>
            </w:tcBorders>
            <w:shd w:val="clear" w:color="auto" w:fill="FFFFFF"/>
            <w:tcMar>
              <w:top w:w="40" w:type="dxa"/>
              <w:bottom w:w="40" w:type="dxa"/>
              <w:right w:w="20" w:type="dxa"/>
            </w:tcMar>
            <w:vAlign w:val="center"/>
          </w:tcPr>
          <w:p w14:paraId="33DAE54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54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54B" w14:textId="77777777" w:rsidR="004D6A64" w:rsidRDefault="00506CD6">
            <w:pPr>
              <w:jc w:val="right"/>
              <w:textAlignment w:val="center"/>
            </w:pPr>
            <w:r>
              <w:rPr>
                <w:rFonts w:ascii="Times New Roman" w:eastAsia="宋体" w:hAnsi="Times New Roman"/>
                <w:color w:val="000000"/>
                <w:sz w:val="20"/>
                <w:szCs w:val="20"/>
              </w:rPr>
              <w:t>(5)</w:t>
            </w:r>
          </w:p>
        </w:tc>
        <w:tc>
          <w:tcPr>
            <w:tcW w:w="0" w:type="auto"/>
            <w:shd w:val="clear" w:color="auto" w:fill="FFFFFF"/>
            <w:tcMar>
              <w:top w:w="40" w:type="dxa"/>
              <w:bottom w:w="40" w:type="dxa"/>
              <w:right w:w="20" w:type="dxa"/>
            </w:tcMar>
            <w:vAlign w:val="center"/>
          </w:tcPr>
          <w:p w14:paraId="33DAE54C"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54D"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E54E"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E54F" w14:textId="77777777" w:rsidR="004D6A64" w:rsidRDefault="00506CD6">
            <w:pPr>
              <w:jc w:val="right"/>
              <w:textAlignment w:val="center"/>
            </w:pPr>
            <w:r>
              <w:rPr>
                <w:rFonts w:ascii="Times New Roman" w:eastAsia="宋体" w:hAnsi="Times New Roman"/>
                <w:color w:val="000000"/>
                <w:sz w:val="20"/>
                <w:szCs w:val="20"/>
              </w:rPr>
              <w:t>2,743 </w:t>
            </w:r>
          </w:p>
        </w:tc>
        <w:tc>
          <w:tcPr>
            <w:tcW w:w="0" w:type="auto"/>
            <w:tcBorders>
              <w:top w:val="single" w:sz="8" w:space="0" w:color="000000"/>
            </w:tcBorders>
            <w:shd w:val="clear" w:color="auto" w:fill="FFFFFF"/>
            <w:tcMar>
              <w:top w:w="40" w:type="dxa"/>
              <w:bottom w:w="40" w:type="dxa"/>
              <w:right w:w="20" w:type="dxa"/>
            </w:tcMar>
            <w:vAlign w:val="center"/>
          </w:tcPr>
          <w:p w14:paraId="33DAE55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551"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E552"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E553" w14:textId="77777777" w:rsidR="004D6A64" w:rsidRDefault="00506CD6">
            <w:pPr>
              <w:jc w:val="right"/>
              <w:textAlignment w:val="center"/>
            </w:pPr>
            <w:r>
              <w:rPr>
                <w:rFonts w:ascii="Times New Roman" w:eastAsia="宋体" w:hAnsi="Times New Roman"/>
                <w:color w:val="000000"/>
                <w:sz w:val="20"/>
                <w:szCs w:val="20"/>
              </w:rPr>
              <w:t>4,779 </w:t>
            </w:r>
          </w:p>
        </w:tc>
        <w:tc>
          <w:tcPr>
            <w:tcW w:w="0" w:type="auto"/>
            <w:tcBorders>
              <w:top w:val="single" w:sz="8" w:space="0" w:color="000000"/>
            </w:tcBorders>
            <w:shd w:val="clear" w:color="auto" w:fill="FFFFFF"/>
            <w:tcMar>
              <w:top w:w="40" w:type="dxa"/>
              <w:bottom w:w="40" w:type="dxa"/>
              <w:right w:w="20" w:type="dxa"/>
            </w:tcMar>
            <w:vAlign w:val="center"/>
          </w:tcPr>
          <w:p w14:paraId="33DAE55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555"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556" w14:textId="77777777" w:rsidR="004D6A64" w:rsidRDefault="00506CD6">
            <w:pPr>
              <w:jc w:val="right"/>
              <w:textAlignment w:val="center"/>
            </w:pPr>
            <w:r>
              <w:rPr>
                <w:rFonts w:ascii="Times New Roman" w:eastAsia="宋体" w:hAnsi="Times New Roman"/>
                <w:color w:val="000000"/>
                <w:sz w:val="20"/>
                <w:szCs w:val="20"/>
              </w:rPr>
              <w:t>(3)</w:t>
            </w:r>
          </w:p>
        </w:tc>
        <w:tc>
          <w:tcPr>
            <w:tcW w:w="0" w:type="auto"/>
            <w:shd w:val="clear" w:color="auto" w:fill="FFFFFF"/>
            <w:tcMar>
              <w:top w:w="40" w:type="dxa"/>
              <w:bottom w:w="40" w:type="dxa"/>
              <w:right w:w="20" w:type="dxa"/>
            </w:tcMar>
            <w:vAlign w:val="center"/>
          </w:tcPr>
          <w:p w14:paraId="33DAE557"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558"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E559"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E55A" w14:textId="77777777" w:rsidR="004D6A64" w:rsidRDefault="00506CD6">
            <w:pPr>
              <w:jc w:val="right"/>
              <w:textAlignment w:val="center"/>
            </w:pPr>
            <w:r>
              <w:rPr>
                <w:rFonts w:ascii="Times New Roman" w:eastAsia="宋体" w:hAnsi="Times New Roman"/>
                <w:color w:val="000000"/>
                <w:sz w:val="20"/>
                <w:szCs w:val="20"/>
              </w:rPr>
              <w:t>4,939 </w:t>
            </w:r>
          </w:p>
        </w:tc>
        <w:tc>
          <w:tcPr>
            <w:tcW w:w="0" w:type="auto"/>
            <w:tcBorders>
              <w:top w:val="single" w:sz="8" w:space="0" w:color="000000"/>
            </w:tcBorders>
            <w:shd w:val="clear" w:color="auto" w:fill="FFFFFF"/>
            <w:tcMar>
              <w:top w:w="40" w:type="dxa"/>
              <w:bottom w:w="40" w:type="dxa"/>
              <w:right w:w="20" w:type="dxa"/>
            </w:tcMar>
            <w:vAlign w:val="center"/>
          </w:tcPr>
          <w:p w14:paraId="33DAE55B" w14:textId="77777777" w:rsidR="004D6A64" w:rsidRDefault="004D6A64">
            <w:pPr>
              <w:jc w:val="right"/>
              <w:rPr>
                <w:rFonts w:ascii="宋体"/>
              </w:rPr>
            </w:pPr>
          </w:p>
        </w:tc>
        <w:tc>
          <w:tcPr>
            <w:tcW w:w="0" w:type="auto"/>
            <w:shd w:val="clear" w:color="auto" w:fill="auto"/>
          </w:tcPr>
          <w:p w14:paraId="33DAE55C" w14:textId="77777777" w:rsidR="004D6A64" w:rsidRDefault="004D6A64">
            <w:pPr>
              <w:rPr>
                <w:rFonts w:ascii="宋体"/>
              </w:rPr>
            </w:pPr>
          </w:p>
        </w:tc>
        <w:tc>
          <w:tcPr>
            <w:tcW w:w="0" w:type="auto"/>
            <w:shd w:val="clear" w:color="auto" w:fill="auto"/>
          </w:tcPr>
          <w:p w14:paraId="33DAE55D" w14:textId="77777777" w:rsidR="004D6A64" w:rsidRDefault="004D6A64">
            <w:pPr>
              <w:rPr>
                <w:rFonts w:ascii="宋体"/>
              </w:rPr>
            </w:pPr>
          </w:p>
        </w:tc>
        <w:tc>
          <w:tcPr>
            <w:tcW w:w="0" w:type="auto"/>
            <w:shd w:val="clear" w:color="auto" w:fill="auto"/>
          </w:tcPr>
          <w:p w14:paraId="33DAE55E" w14:textId="77777777" w:rsidR="004D6A64" w:rsidRDefault="004D6A64">
            <w:pPr>
              <w:rPr>
                <w:rFonts w:ascii="宋体"/>
              </w:rPr>
            </w:pPr>
          </w:p>
        </w:tc>
        <w:tc>
          <w:tcPr>
            <w:tcW w:w="0" w:type="auto"/>
            <w:shd w:val="clear" w:color="auto" w:fill="auto"/>
          </w:tcPr>
          <w:p w14:paraId="33DAE55F" w14:textId="77777777" w:rsidR="004D6A64" w:rsidRDefault="004D6A64">
            <w:pPr>
              <w:rPr>
                <w:rFonts w:ascii="宋体"/>
              </w:rPr>
            </w:pPr>
          </w:p>
        </w:tc>
        <w:tc>
          <w:tcPr>
            <w:tcW w:w="0" w:type="auto"/>
            <w:shd w:val="clear" w:color="auto" w:fill="auto"/>
          </w:tcPr>
          <w:p w14:paraId="33DAE560" w14:textId="77777777" w:rsidR="004D6A64" w:rsidRDefault="004D6A64">
            <w:pPr>
              <w:rPr>
                <w:rFonts w:ascii="宋体"/>
              </w:rPr>
            </w:pPr>
          </w:p>
        </w:tc>
        <w:tc>
          <w:tcPr>
            <w:tcW w:w="0" w:type="auto"/>
            <w:shd w:val="clear" w:color="auto" w:fill="auto"/>
          </w:tcPr>
          <w:p w14:paraId="33DAE561" w14:textId="77777777" w:rsidR="004D6A64" w:rsidRDefault="004D6A64">
            <w:pPr>
              <w:rPr>
                <w:rFonts w:ascii="宋体"/>
              </w:rPr>
            </w:pPr>
          </w:p>
        </w:tc>
        <w:tc>
          <w:tcPr>
            <w:tcW w:w="0" w:type="auto"/>
            <w:shd w:val="clear" w:color="auto" w:fill="auto"/>
          </w:tcPr>
          <w:p w14:paraId="33DAE562" w14:textId="77777777" w:rsidR="004D6A64" w:rsidRDefault="004D6A64">
            <w:pPr>
              <w:rPr>
                <w:rFonts w:ascii="宋体"/>
              </w:rPr>
            </w:pPr>
          </w:p>
        </w:tc>
        <w:tc>
          <w:tcPr>
            <w:tcW w:w="0" w:type="auto"/>
            <w:shd w:val="clear" w:color="auto" w:fill="auto"/>
          </w:tcPr>
          <w:p w14:paraId="33DAE563" w14:textId="77777777" w:rsidR="004D6A64" w:rsidRDefault="004D6A64">
            <w:pPr>
              <w:rPr>
                <w:rFonts w:ascii="宋体"/>
              </w:rPr>
            </w:pPr>
          </w:p>
        </w:tc>
        <w:tc>
          <w:tcPr>
            <w:tcW w:w="0" w:type="auto"/>
            <w:shd w:val="clear" w:color="auto" w:fill="auto"/>
          </w:tcPr>
          <w:p w14:paraId="33DAE564" w14:textId="77777777" w:rsidR="004D6A64" w:rsidRDefault="004D6A64">
            <w:pPr>
              <w:rPr>
                <w:rFonts w:ascii="宋体"/>
              </w:rPr>
            </w:pPr>
          </w:p>
        </w:tc>
        <w:tc>
          <w:tcPr>
            <w:tcW w:w="0" w:type="auto"/>
            <w:shd w:val="clear" w:color="auto" w:fill="auto"/>
          </w:tcPr>
          <w:p w14:paraId="33DAE565" w14:textId="77777777" w:rsidR="004D6A64" w:rsidRDefault="004D6A64">
            <w:pPr>
              <w:rPr>
                <w:rFonts w:ascii="宋体"/>
              </w:rPr>
            </w:pPr>
          </w:p>
        </w:tc>
        <w:tc>
          <w:tcPr>
            <w:tcW w:w="0" w:type="auto"/>
            <w:shd w:val="clear" w:color="auto" w:fill="auto"/>
          </w:tcPr>
          <w:p w14:paraId="33DAE566" w14:textId="77777777" w:rsidR="004D6A64" w:rsidRDefault="004D6A64">
            <w:pPr>
              <w:rPr>
                <w:rFonts w:ascii="宋体"/>
              </w:rPr>
            </w:pPr>
          </w:p>
        </w:tc>
        <w:tc>
          <w:tcPr>
            <w:tcW w:w="0" w:type="auto"/>
            <w:shd w:val="clear" w:color="auto" w:fill="auto"/>
          </w:tcPr>
          <w:p w14:paraId="33DAE567" w14:textId="77777777" w:rsidR="004D6A64" w:rsidRDefault="004D6A64">
            <w:pPr>
              <w:rPr>
                <w:rFonts w:ascii="宋体"/>
              </w:rPr>
            </w:pPr>
          </w:p>
        </w:tc>
        <w:tc>
          <w:tcPr>
            <w:tcW w:w="0" w:type="auto"/>
            <w:shd w:val="clear" w:color="auto" w:fill="auto"/>
          </w:tcPr>
          <w:p w14:paraId="33DAE568" w14:textId="77777777" w:rsidR="004D6A64" w:rsidRDefault="004D6A64">
            <w:pPr>
              <w:rPr>
                <w:rFonts w:ascii="宋体"/>
              </w:rPr>
            </w:pPr>
          </w:p>
        </w:tc>
        <w:tc>
          <w:tcPr>
            <w:tcW w:w="0" w:type="auto"/>
            <w:shd w:val="clear" w:color="auto" w:fill="auto"/>
          </w:tcPr>
          <w:p w14:paraId="33DAE569" w14:textId="77777777" w:rsidR="004D6A64" w:rsidRDefault="004D6A64">
            <w:pPr>
              <w:rPr>
                <w:rFonts w:ascii="宋体"/>
              </w:rPr>
            </w:pPr>
          </w:p>
        </w:tc>
        <w:tc>
          <w:tcPr>
            <w:tcW w:w="0" w:type="auto"/>
            <w:shd w:val="clear" w:color="auto" w:fill="auto"/>
          </w:tcPr>
          <w:p w14:paraId="33DAE56A" w14:textId="77777777" w:rsidR="004D6A64" w:rsidRDefault="004D6A64">
            <w:pPr>
              <w:rPr>
                <w:rFonts w:ascii="宋体"/>
              </w:rPr>
            </w:pPr>
          </w:p>
        </w:tc>
        <w:tc>
          <w:tcPr>
            <w:tcW w:w="0" w:type="auto"/>
            <w:shd w:val="clear" w:color="auto" w:fill="auto"/>
          </w:tcPr>
          <w:p w14:paraId="33DAE56B" w14:textId="77777777" w:rsidR="004D6A64" w:rsidRDefault="004D6A64">
            <w:pPr>
              <w:rPr>
                <w:rFonts w:ascii="宋体"/>
              </w:rPr>
            </w:pPr>
          </w:p>
        </w:tc>
        <w:tc>
          <w:tcPr>
            <w:tcW w:w="0" w:type="auto"/>
            <w:shd w:val="clear" w:color="auto" w:fill="auto"/>
          </w:tcPr>
          <w:p w14:paraId="33DAE56C" w14:textId="77777777" w:rsidR="004D6A64" w:rsidRDefault="004D6A64">
            <w:pPr>
              <w:rPr>
                <w:rFonts w:ascii="宋体"/>
              </w:rPr>
            </w:pPr>
          </w:p>
        </w:tc>
        <w:tc>
          <w:tcPr>
            <w:tcW w:w="0" w:type="auto"/>
            <w:shd w:val="clear" w:color="auto" w:fill="auto"/>
          </w:tcPr>
          <w:p w14:paraId="33DAE56D" w14:textId="77777777" w:rsidR="004D6A64" w:rsidRDefault="004D6A64">
            <w:pPr>
              <w:rPr>
                <w:rFonts w:ascii="宋体"/>
              </w:rPr>
            </w:pPr>
          </w:p>
        </w:tc>
        <w:tc>
          <w:tcPr>
            <w:tcW w:w="0" w:type="auto"/>
            <w:shd w:val="clear" w:color="auto" w:fill="auto"/>
          </w:tcPr>
          <w:p w14:paraId="33DAE56E" w14:textId="77777777" w:rsidR="004D6A64" w:rsidRDefault="004D6A64">
            <w:pPr>
              <w:rPr>
                <w:rFonts w:ascii="宋体"/>
              </w:rPr>
            </w:pPr>
          </w:p>
        </w:tc>
        <w:tc>
          <w:tcPr>
            <w:tcW w:w="0" w:type="auto"/>
            <w:shd w:val="clear" w:color="auto" w:fill="auto"/>
          </w:tcPr>
          <w:p w14:paraId="33DAE56F" w14:textId="77777777" w:rsidR="004D6A64" w:rsidRDefault="004D6A64">
            <w:pPr>
              <w:rPr>
                <w:rFonts w:ascii="宋体"/>
              </w:rPr>
            </w:pPr>
          </w:p>
        </w:tc>
        <w:tc>
          <w:tcPr>
            <w:tcW w:w="0" w:type="auto"/>
            <w:shd w:val="clear" w:color="auto" w:fill="auto"/>
          </w:tcPr>
          <w:p w14:paraId="33DAE570" w14:textId="77777777" w:rsidR="004D6A64" w:rsidRDefault="004D6A64">
            <w:pPr>
              <w:rPr>
                <w:rFonts w:ascii="宋体"/>
              </w:rPr>
            </w:pPr>
          </w:p>
        </w:tc>
        <w:tc>
          <w:tcPr>
            <w:tcW w:w="0" w:type="auto"/>
            <w:shd w:val="clear" w:color="auto" w:fill="auto"/>
          </w:tcPr>
          <w:p w14:paraId="33DAE571" w14:textId="77777777" w:rsidR="004D6A64" w:rsidRDefault="004D6A64">
            <w:pPr>
              <w:rPr>
                <w:rFonts w:ascii="宋体"/>
              </w:rPr>
            </w:pPr>
          </w:p>
        </w:tc>
        <w:tc>
          <w:tcPr>
            <w:tcW w:w="0" w:type="auto"/>
            <w:shd w:val="clear" w:color="auto" w:fill="auto"/>
          </w:tcPr>
          <w:p w14:paraId="33DAE572" w14:textId="77777777" w:rsidR="004D6A64" w:rsidRDefault="004D6A64">
            <w:pPr>
              <w:rPr>
                <w:rFonts w:ascii="宋体"/>
              </w:rPr>
            </w:pPr>
          </w:p>
        </w:tc>
        <w:tc>
          <w:tcPr>
            <w:tcW w:w="0" w:type="auto"/>
            <w:shd w:val="clear" w:color="auto" w:fill="auto"/>
          </w:tcPr>
          <w:p w14:paraId="33DAE573" w14:textId="77777777" w:rsidR="004D6A64" w:rsidRDefault="004D6A64">
            <w:pPr>
              <w:rPr>
                <w:rFonts w:ascii="宋体"/>
              </w:rPr>
            </w:pPr>
          </w:p>
        </w:tc>
        <w:tc>
          <w:tcPr>
            <w:tcW w:w="0" w:type="auto"/>
            <w:shd w:val="clear" w:color="auto" w:fill="auto"/>
          </w:tcPr>
          <w:p w14:paraId="33DAE574" w14:textId="77777777" w:rsidR="004D6A64" w:rsidRDefault="004D6A64">
            <w:pPr>
              <w:rPr>
                <w:rFonts w:ascii="宋体"/>
              </w:rPr>
            </w:pPr>
          </w:p>
        </w:tc>
        <w:tc>
          <w:tcPr>
            <w:tcW w:w="0" w:type="auto"/>
            <w:shd w:val="clear" w:color="auto" w:fill="auto"/>
          </w:tcPr>
          <w:p w14:paraId="33DAE575" w14:textId="77777777" w:rsidR="004D6A64" w:rsidRDefault="004D6A64">
            <w:pPr>
              <w:rPr>
                <w:rFonts w:ascii="宋体"/>
              </w:rPr>
            </w:pPr>
          </w:p>
        </w:tc>
        <w:tc>
          <w:tcPr>
            <w:tcW w:w="0" w:type="auto"/>
            <w:shd w:val="clear" w:color="auto" w:fill="auto"/>
          </w:tcPr>
          <w:p w14:paraId="33DAE576" w14:textId="77777777" w:rsidR="004D6A64" w:rsidRDefault="004D6A64">
            <w:pPr>
              <w:rPr>
                <w:rFonts w:ascii="宋体"/>
              </w:rPr>
            </w:pPr>
          </w:p>
        </w:tc>
      </w:tr>
      <w:tr w:rsidR="004D6A64" w14:paraId="33DAE59F" w14:textId="77777777">
        <w:trPr>
          <w:trHeight w:val="300"/>
          <w:jc w:val="center"/>
        </w:trPr>
        <w:tc>
          <w:tcPr>
            <w:tcW w:w="0" w:type="auto"/>
            <w:gridSpan w:val="3"/>
            <w:shd w:val="clear" w:color="auto" w:fill="CCEEFF"/>
            <w:tcMar>
              <w:left w:w="20" w:type="dxa"/>
              <w:right w:w="20" w:type="dxa"/>
            </w:tcMar>
            <w:vAlign w:val="bottom"/>
          </w:tcPr>
          <w:p w14:paraId="33DAE578"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E579"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57A"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57B"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57C"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E57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57E"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E57F"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580"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581"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582"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E583" w14:textId="77777777" w:rsidR="004D6A64" w:rsidRDefault="004D6A64">
            <w:pPr>
              <w:rPr>
                <w:rFonts w:ascii="宋体"/>
              </w:rPr>
            </w:pPr>
          </w:p>
        </w:tc>
        <w:tc>
          <w:tcPr>
            <w:tcW w:w="0" w:type="auto"/>
            <w:shd w:val="clear" w:color="auto" w:fill="auto"/>
          </w:tcPr>
          <w:p w14:paraId="33DAE584" w14:textId="77777777" w:rsidR="004D6A64" w:rsidRDefault="004D6A64">
            <w:pPr>
              <w:rPr>
                <w:rFonts w:ascii="宋体"/>
              </w:rPr>
            </w:pPr>
          </w:p>
        </w:tc>
        <w:tc>
          <w:tcPr>
            <w:tcW w:w="0" w:type="auto"/>
            <w:shd w:val="clear" w:color="auto" w:fill="auto"/>
          </w:tcPr>
          <w:p w14:paraId="33DAE585" w14:textId="77777777" w:rsidR="004D6A64" w:rsidRDefault="004D6A64">
            <w:pPr>
              <w:rPr>
                <w:rFonts w:ascii="宋体"/>
              </w:rPr>
            </w:pPr>
          </w:p>
        </w:tc>
        <w:tc>
          <w:tcPr>
            <w:tcW w:w="0" w:type="auto"/>
            <w:shd w:val="clear" w:color="auto" w:fill="auto"/>
          </w:tcPr>
          <w:p w14:paraId="33DAE586" w14:textId="77777777" w:rsidR="004D6A64" w:rsidRDefault="004D6A64">
            <w:pPr>
              <w:rPr>
                <w:rFonts w:ascii="宋体"/>
              </w:rPr>
            </w:pPr>
          </w:p>
        </w:tc>
        <w:tc>
          <w:tcPr>
            <w:tcW w:w="0" w:type="auto"/>
            <w:shd w:val="clear" w:color="auto" w:fill="auto"/>
          </w:tcPr>
          <w:p w14:paraId="33DAE587" w14:textId="77777777" w:rsidR="004D6A64" w:rsidRDefault="004D6A64">
            <w:pPr>
              <w:rPr>
                <w:rFonts w:ascii="宋体"/>
              </w:rPr>
            </w:pPr>
          </w:p>
        </w:tc>
        <w:tc>
          <w:tcPr>
            <w:tcW w:w="0" w:type="auto"/>
            <w:shd w:val="clear" w:color="auto" w:fill="auto"/>
          </w:tcPr>
          <w:p w14:paraId="33DAE588" w14:textId="77777777" w:rsidR="004D6A64" w:rsidRDefault="004D6A64">
            <w:pPr>
              <w:rPr>
                <w:rFonts w:ascii="宋体"/>
              </w:rPr>
            </w:pPr>
          </w:p>
        </w:tc>
        <w:tc>
          <w:tcPr>
            <w:tcW w:w="0" w:type="auto"/>
            <w:shd w:val="clear" w:color="auto" w:fill="auto"/>
          </w:tcPr>
          <w:p w14:paraId="33DAE589" w14:textId="77777777" w:rsidR="004D6A64" w:rsidRDefault="004D6A64">
            <w:pPr>
              <w:rPr>
                <w:rFonts w:ascii="宋体"/>
              </w:rPr>
            </w:pPr>
          </w:p>
        </w:tc>
        <w:tc>
          <w:tcPr>
            <w:tcW w:w="0" w:type="auto"/>
            <w:shd w:val="clear" w:color="auto" w:fill="auto"/>
          </w:tcPr>
          <w:p w14:paraId="33DAE58A" w14:textId="77777777" w:rsidR="004D6A64" w:rsidRDefault="004D6A64">
            <w:pPr>
              <w:rPr>
                <w:rFonts w:ascii="宋体"/>
              </w:rPr>
            </w:pPr>
          </w:p>
        </w:tc>
        <w:tc>
          <w:tcPr>
            <w:tcW w:w="0" w:type="auto"/>
            <w:shd w:val="clear" w:color="auto" w:fill="auto"/>
          </w:tcPr>
          <w:p w14:paraId="33DAE58B" w14:textId="77777777" w:rsidR="004D6A64" w:rsidRDefault="004D6A64">
            <w:pPr>
              <w:rPr>
                <w:rFonts w:ascii="宋体"/>
              </w:rPr>
            </w:pPr>
          </w:p>
        </w:tc>
        <w:tc>
          <w:tcPr>
            <w:tcW w:w="0" w:type="auto"/>
            <w:shd w:val="clear" w:color="auto" w:fill="auto"/>
          </w:tcPr>
          <w:p w14:paraId="33DAE58C" w14:textId="77777777" w:rsidR="004D6A64" w:rsidRDefault="004D6A64">
            <w:pPr>
              <w:rPr>
                <w:rFonts w:ascii="宋体"/>
              </w:rPr>
            </w:pPr>
          </w:p>
        </w:tc>
        <w:tc>
          <w:tcPr>
            <w:tcW w:w="0" w:type="auto"/>
            <w:shd w:val="clear" w:color="auto" w:fill="auto"/>
          </w:tcPr>
          <w:p w14:paraId="33DAE58D" w14:textId="77777777" w:rsidR="004D6A64" w:rsidRDefault="004D6A64">
            <w:pPr>
              <w:rPr>
                <w:rFonts w:ascii="宋体"/>
              </w:rPr>
            </w:pPr>
          </w:p>
        </w:tc>
        <w:tc>
          <w:tcPr>
            <w:tcW w:w="0" w:type="auto"/>
            <w:shd w:val="clear" w:color="auto" w:fill="auto"/>
          </w:tcPr>
          <w:p w14:paraId="33DAE58E" w14:textId="77777777" w:rsidR="004D6A64" w:rsidRDefault="004D6A64">
            <w:pPr>
              <w:rPr>
                <w:rFonts w:ascii="宋体"/>
              </w:rPr>
            </w:pPr>
          </w:p>
        </w:tc>
        <w:tc>
          <w:tcPr>
            <w:tcW w:w="0" w:type="auto"/>
            <w:shd w:val="clear" w:color="auto" w:fill="auto"/>
          </w:tcPr>
          <w:p w14:paraId="33DAE58F" w14:textId="77777777" w:rsidR="004D6A64" w:rsidRDefault="004D6A64">
            <w:pPr>
              <w:rPr>
                <w:rFonts w:ascii="宋体"/>
              </w:rPr>
            </w:pPr>
          </w:p>
        </w:tc>
        <w:tc>
          <w:tcPr>
            <w:tcW w:w="0" w:type="auto"/>
            <w:shd w:val="clear" w:color="auto" w:fill="auto"/>
          </w:tcPr>
          <w:p w14:paraId="33DAE590" w14:textId="77777777" w:rsidR="004D6A64" w:rsidRDefault="004D6A64">
            <w:pPr>
              <w:rPr>
                <w:rFonts w:ascii="宋体"/>
              </w:rPr>
            </w:pPr>
          </w:p>
        </w:tc>
        <w:tc>
          <w:tcPr>
            <w:tcW w:w="0" w:type="auto"/>
            <w:shd w:val="clear" w:color="auto" w:fill="auto"/>
          </w:tcPr>
          <w:p w14:paraId="33DAE591" w14:textId="77777777" w:rsidR="004D6A64" w:rsidRDefault="004D6A64">
            <w:pPr>
              <w:rPr>
                <w:rFonts w:ascii="宋体"/>
              </w:rPr>
            </w:pPr>
          </w:p>
        </w:tc>
        <w:tc>
          <w:tcPr>
            <w:tcW w:w="0" w:type="auto"/>
            <w:shd w:val="clear" w:color="auto" w:fill="auto"/>
          </w:tcPr>
          <w:p w14:paraId="33DAE592" w14:textId="77777777" w:rsidR="004D6A64" w:rsidRDefault="004D6A64">
            <w:pPr>
              <w:rPr>
                <w:rFonts w:ascii="宋体"/>
              </w:rPr>
            </w:pPr>
          </w:p>
        </w:tc>
        <w:tc>
          <w:tcPr>
            <w:tcW w:w="0" w:type="auto"/>
            <w:shd w:val="clear" w:color="auto" w:fill="auto"/>
          </w:tcPr>
          <w:p w14:paraId="33DAE593" w14:textId="77777777" w:rsidR="004D6A64" w:rsidRDefault="004D6A64">
            <w:pPr>
              <w:rPr>
                <w:rFonts w:ascii="宋体"/>
              </w:rPr>
            </w:pPr>
          </w:p>
        </w:tc>
        <w:tc>
          <w:tcPr>
            <w:tcW w:w="0" w:type="auto"/>
            <w:shd w:val="clear" w:color="auto" w:fill="auto"/>
          </w:tcPr>
          <w:p w14:paraId="33DAE594" w14:textId="77777777" w:rsidR="004D6A64" w:rsidRDefault="004D6A64">
            <w:pPr>
              <w:rPr>
                <w:rFonts w:ascii="宋体"/>
              </w:rPr>
            </w:pPr>
          </w:p>
        </w:tc>
        <w:tc>
          <w:tcPr>
            <w:tcW w:w="0" w:type="auto"/>
            <w:shd w:val="clear" w:color="auto" w:fill="auto"/>
          </w:tcPr>
          <w:p w14:paraId="33DAE595" w14:textId="77777777" w:rsidR="004D6A64" w:rsidRDefault="004D6A64">
            <w:pPr>
              <w:rPr>
                <w:rFonts w:ascii="宋体"/>
              </w:rPr>
            </w:pPr>
          </w:p>
        </w:tc>
        <w:tc>
          <w:tcPr>
            <w:tcW w:w="0" w:type="auto"/>
            <w:shd w:val="clear" w:color="auto" w:fill="auto"/>
          </w:tcPr>
          <w:p w14:paraId="33DAE596" w14:textId="77777777" w:rsidR="004D6A64" w:rsidRDefault="004D6A64">
            <w:pPr>
              <w:rPr>
                <w:rFonts w:ascii="宋体"/>
              </w:rPr>
            </w:pPr>
          </w:p>
        </w:tc>
        <w:tc>
          <w:tcPr>
            <w:tcW w:w="0" w:type="auto"/>
            <w:shd w:val="clear" w:color="auto" w:fill="auto"/>
          </w:tcPr>
          <w:p w14:paraId="33DAE597" w14:textId="77777777" w:rsidR="004D6A64" w:rsidRDefault="004D6A64">
            <w:pPr>
              <w:rPr>
                <w:rFonts w:ascii="宋体"/>
              </w:rPr>
            </w:pPr>
          </w:p>
        </w:tc>
        <w:tc>
          <w:tcPr>
            <w:tcW w:w="0" w:type="auto"/>
            <w:shd w:val="clear" w:color="auto" w:fill="auto"/>
          </w:tcPr>
          <w:p w14:paraId="33DAE598" w14:textId="77777777" w:rsidR="004D6A64" w:rsidRDefault="004D6A64">
            <w:pPr>
              <w:rPr>
                <w:rFonts w:ascii="宋体"/>
              </w:rPr>
            </w:pPr>
          </w:p>
        </w:tc>
        <w:tc>
          <w:tcPr>
            <w:tcW w:w="0" w:type="auto"/>
            <w:shd w:val="clear" w:color="auto" w:fill="auto"/>
          </w:tcPr>
          <w:p w14:paraId="33DAE599" w14:textId="77777777" w:rsidR="004D6A64" w:rsidRDefault="004D6A64">
            <w:pPr>
              <w:rPr>
                <w:rFonts w:ascii="宋体"/>
              </w:rPr>
            </w:pPr>
          </w:p>
        </w:tc>
        <w:tc>
          <w:tcPr>
            <w:tcW w:w="0" w:type="auto"/>
            <w:shd w:val="clear" w:color="auto" w:fill="auto"/>
          </w:tcPr>
          <w:p w14:paraId="33DAE59A" w14:textId="77777777" w:rsidR="004D6A64" w:rsidRDefault="004D6A64">
            <w:pPr>
              <w:rPr>
                <w:rFonts w:ascii="宋体"/>
              </w:rPr>
            </w:pPr>
          </w:p>
        </w:tc>
        <w:tc>
          <w:tcPr>
            <w:tcW w:w="0" w:type="auto"/>
            <w:shd w:val="clear" w:color="auto" w:fill="auto"/>
          </w:tcPr>
          <w:p w14:paraId="33DAE59B" w14:textId="77777777" w:rsidR="004D6A64" w:rsidRDefault="004D6A64">
            <w:pPr>
              <w:rPr>
                <w:rFonts w:ascii="宋体"/>
              </w:rPr>
            </w:pPr>
          </w:p>
        </w:tc>
        <w:tc>
          <w:tcPr>
            <w:tcW w:w="0" w:type="auto"/>
            <w:shd w:val="clear" w:color="auto" w:fill="auto"/>
          </w:tcPr>
          <w:p w14:paraId="33DAE59C" w14:textId="77777777" w:rsidR="004D6A64" w:rsidRDefault="004D6A64">
            <w:pPr>
              <w:rPr>
                <w:rFonts w:ascii="宋体"/>
              </w:rPr>
            </w:pPr>
          </w:p>
        </w:tc>
        <w:tc>
          <w:tcPr>
            <w:tcW w:w="0" w:type="auto"/>
            <w:shd w:val="clear" w:color="auto" w:fill="auto"/>
          </w:tcPr>
          <w:p w14:paraId="33DAE59D" w14:textId="77777777" w:rsidR="004D6A64" w:rsidRDefault="004D6A64">
            <w:pPr>
              <w:rPr>
                <w:rFonts w:ascii="宋体"/>
              </w:rPr>
            </w:pPr>
          </w:p>
        </w:tc>
        <w:tc>
          <w:tcPr>
            <w:tcW w:w="0" w:type="auto"/>
            <w:shd w:val="clear" w:color="auto" w:fill="auto"/>
          </w:tcPr>
          <w:p w14:paraId="33DAE59E" w14:textId="77777777" w:rsidR="004D6A64" w:rsidRDefault="004D6A64">
            <w:pPr>
              <w:rPr>
                <w:rFonts w:ascii="宋体"/>
              </w:rPr>
            </w:pPr>
          </w:p>
        </w:tc>
      </w:tr>
      <w:tr w:rsidR="004D6A64" w14:paraId="33DAE5D1" w14:textId="77777777">
        <w:trPr>
          <w:jc w:val="center"/>
        </w:trPr>
        <w:tc>
          <w:tcPr>
            <w:tcW w:w="0" w:type="auto"/>
            <w:gridSpan w:val="3"/>
            <w:shd w:val="clear" w:color="auto" w:fill="FFFFFF"/>
            <w:tcMar>
              <w:top w:w="40" w:type="dxa"/>
              <w:left w:w="20" w:type="dxa"/>
              <w:bottom w:w="40" w:type="dxa"/>
              <w:right w:w="20" w:type="dxa"/>
            </w:tcMar>
            <w:vAlign w:val="center"/>
          </w:tcPr>
          <w:p w14:paraId="33DAE5A0" w14:textId="77777777" w:rsidR="004D6A64" w:rsidRDefault="00506CD6">
            <w:pPr>
              <w:textAlignment w:val="center"/>
            </w:pPr>
            <w:r>
              <w:rPr>
                <w:rFonts w:ascii="Times New Roman" w:eastAsia="宋体" w:hAnsi="Times New Roman"/>
                <w:color w:val="000000"/>
                <w:sz w:val="20"/>
                <w:szCs w:val="20"/>
              </w:rPr>
              <w:t>Net income</w:t>
            </w:r>
          </w:p>
        </w:tc>
        <w:tc>
          <w:tcPr>
            <w:tcW w:w="0" w:type="auto"/>
            <w:shd w:val="clear" w:color="auto" w:fill="FFFFFF"/>
            <w:tcMar>
              <w:top w:w="40" w:type="dxa"/>
              <w:left w:w="20" w:type="dxa"/>
              <w:bottom w:w="40" w:type="dxa"/>
            </w:tcMar>
            <w:vAlign w:val="center"/>
          </w:tcPr>
          <w:p w14:paraId="33DAE5A1"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E5A2" w14:textId="77777777" w:rsidR="004D6A64" w:rsidRDefault="00506CD6">
            <w:pPr>
              <w:jc w:val="right"/>
              <w:textAlignment w:val="center"/>
            </w:pPr>
            <w:r>
              <w:rPr>
                <w:rFonts w:ascii="Times New Roman" w:eastAsia="宋体" w:hAnsi="Times New Roman"/>
                <w:color w:val="000000"/>
                <w:sz w:val="20"/>
                <w:szCs w:val="20"/>
              </w:rPr>
              <w:t>1,099 </w:t>
            </w:r>
          </w:p>
        </w:tc>
        <w:tc>
          <w:tcPr>
            <w:tcW w:w="0" w:type="auto"/>
            <w:shd w:val="clear" w:color="auto" w:fill="FFFFFF"/>
            <w:tcMar>
              <w:top w:w="40" w:type="dxa"/>
              <w:bottom w:w="40" w:type="dxa"/>
              <w:right w:w="20" w:type="dxa"/>
            </w:tcMar>
            <w:vAlign w:val="center"/>
          </w:tcPr>
          <w:p w14:paraId="33DAE5A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5A4"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5A5" w14:textId="77777777" w:rsidR="004D6A64" w:rsidRDefault="00506CD6">
            <w:pPr>
              <w:jc w:val="right"/>
              <w:textAlignment w:val="center"/>
            </w:pPr>
            <w:r>
              <w:rPr>
                <w:rFonts w:ascii="Times New Roman" w:eastAsia="宋体" w:hAnsi="Times New Roman"/>
                <w:color w:val="000000"/>
                <w:sz w:val="20"/>
                <w:szCs w:val="20"/>
              </w:rPr>
              <w:t>(74)</w:t>
            </w:r>
          </w:p>
        </w:tc>
        <w:tc>
          <w:tcPr>
            <w:tcW w:w="0" w:type="auto"/>
            <w:shd w:val="clear" w:color="auto" w:fill="FFFFFF"/>
            <w:tcMar>
              <w:top w:w="40" w:type="dxa"/>
              <w:bottom w:w="40" w:type="dxa"/>
              <w:right w:w="20" w:type="dxa"/>
            </w:tcMar>
            <w:vAlign w:val="center"/>
          </w:tcPr>
          <w:p w14:paraId="33DAE5A6"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5A7"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E5A8"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E5A9" w14:textId="77777777" w:rsidR="004D6A64" w:rsidRDefault="00506CD6">
            <w:pPr>
              <w:jc w:val="right"/>
              <w:textAlignment w:val="center"/>
            </w:pPr>
            <w:r>
              <w:rPr>
                <w:rFonts w:ascii="Times New Roman" w:eastAsia="宋体" w:hAnsi="Times New Roman"/>
                <w:color w:val="000000"/>
                <w:sz w:val="20"/>
                <w:szCs w:val="20"/>
              </w:rPr>
              <w:t>4,232 </w:t>
            </w:r>
          </w:p>
        </w:tc>
        <w:tc>
          <w:tcPr>
            <w:tcW w:w="0" w:type="auto"/>
            <w:shd w:val="clear" w:color="auto" w:fill="FFFFFF"/>
            <w:tcMar>
              <w:top w:w="40" w:type="dxa"/>
              <w:bottom w:w="40" w:type="dxa"/>
              <w:right w:w="20" w:type="dxa"/>
            </w:tcMar>
            <w:vAlign w:val="center"/>
          </w:tcPr>
          <w:p w14:paraId="33DAE5A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5AB"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E5AC"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E5AD" w14:textId="77777777" w:rsidR="004D6A64" w:rsidRDefault="00506CD6">
            <w:pPr>
              <w:jc w:val="right"/>
              <w:textAlignment w:val="center"/>
            </w:pPr>
            <w:r>
              <w:rPr>
                <w:rFonts w:ascii="Times New Roman" w:eastAsia="宋体" w:hAnsi="Times New Roman"/>
                <w:color w:val="000000"/>
                <w:sz w:val="20"/>
                <w:szCs w:val="20"/>
              </w:rPr>
              <w:t>1,281 </w:t>
            </w:r>
          </w:p>
        </w:tc>
        <w:tc>
          <w:tcPr>
            <w:tcW w:w="0" w:type="auto"/>
            <w:shd w:val="clear" w:color="auto" w:fill="FFFFFF"/>
            <w:tcMar>
              <w:top w:w="40" w:type="dxa"/>
              <w:bottom w:w="40" w:type="dxa"/>
              <w:right w:w="20" w:type="dxa"/>
            </w:tcMar>
            <w:vAlign w:val="center"/>
          </w:tcPr>
          <w:p w14:paraId="33DAE5A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5AF"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5B0" w14:textId="77777777" w:rsidR="004D6A64" w:rsidRDefault="00506CD6">
            <w:pPr>
              <w:jc w:val="right"/>
              <w:textAlignment w:val="center"/>
            </w:pPr>
            <w:r>
              <w:rPr>
                <w:rFonts w:ascii="Times New Roman" w:eastAsia="宋体" w:hAnsi="Times New Roman"/>
                <w:color w:val="000000"/>
                <w:sz w:val="20"/>
                <w:szCs w:val="20"/>
              </w:rPr>
              <w:t>(72)</w:t>
            </w:r>
          </w:p>
        </w:tc>
        <w:tc>
          <w:tcPr>
            <w:tcW w:w="0" w:type="auto"/>
            <w:shd w:val="clear" w:color="auto" w:fill="FFFFFF"/>
            <w:tcMar>
              <w:top w:w="40" w:type="dxa"/>
              <w:bottom w:w="40" w:type="dxa"/>
              <w:right w:w="20" w:type="dxa"/>
            </w:tcMar>
            <w:vAlign w:val="center"/>
          </w:tcPr>
          <w:p w14:paraId="33DAE5B1"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5B2"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E5B3"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E5B4" w14:textId="77777777" w:rsidR="004D6A64" w:rsidRDefault="00506CD6">
            <w:pPr>
              <w:jc w:val="right"/>
              <w:textAlignment w:val="center"/>
            </w:pPr>
            <w:r>
              <w:rPr>
                <w:rFonts w:ascii="Times New Roman" w:eastAsia="宋体" w:hAnsi="Times New Roman"/>
                <w:color w:val="000000"/>
                <w:sz w:val="20"/>
                <w:szCs w:val="20"/>
              </w:rPr>
              <w:t>4,561 </w:t>
            </w:r>
          </w:p>
        </w:tc>
        <w:tc>
          <w:tcPr>
            <w:tcW w:w="0" w:type="auto"/>
            <w:shd w:val="clear" w:color="auto" w:fill="FFFFFF"/>
            <w:tcMar>
              <w:top w:w="40" w:type="dxa"/>
              <w:bottom w:w="40" w:type="dxa"/>
              <w:right w:w="20" w:type="dxa"/>
            </w:tcMar>
            <w:vAlign w:val="center"/>
          </w:tcPr>
          <w:p w14:paraId="33DAE5B5" w14:textId="77777777" w:rsidR="004D6A64" w:rsidRDefault="004D6A64">
            <w:pPr>
              <w:jc w:val="right"/>
              <w:rPr>
                <w:rFonts w:ascii="宋体"/>
              </w:rPr>
            </w:pPr>
          </w:p>
        </w:tc>
        <w:tc>
          <w:tcPr>
            <w:tcW w:w="0" w:type="auto"/>
            <w:shd w:val="clear" w:color="auto" w:fill="auto"/>
          </w:tcPr>
          <w:p w14:paraId="33DAE5B6" w14:textId="77777777" w:rsidR="004D6A64" w:rsidRDefault="004D6A64">
            <w:pPr>
              <w:rPr>
                <w:rFonts w:ascii="宋体"/>
              </w:rPr>
            </w:pPr>
          </w:p>
        </w:tc>
        <w:tc>
          <w:tcPr>
            <w:tcW w:w="0" w:type="auto"/>
            <w:shd w:val="clear" w:color="auto" w:fill="auto"/>
          </w:tcPr>
          <w:p w14:paraId="33DAE5B7" w14:textId="77777777" w:rsidR="004D6A64" w:rsidRDefault="004D6A64">
            <w:pPr>
              <w:rPr>
                <w:rFonts w:ascii="宋体"/>
              </w:rPr>
            </w:pPr>
          </w:p>
        </w:tc>
        <w:tc>
          <w:tcPr>
            <w:tcW w:w="0" w:type="auto"/>
            <w:shd w:val="clear" w:color="auto" w:fill="auto"/>
          </w:tcPr>
          <w:p w14:paraId="33DAE5B8" w14:textId="77777777" w:rsidR="004D6A64" w:rsidRDefault="004D6A64">
            <w:pPr>
              <w:rPr>
                <w:rFonts w:ascii="宋体"/>
              </w:rPr>
            </w:pPr>
          </w:p>
        </w:tc>
        <w:tc>
          <w:tcPr>
            <w:tcW w:w="0" w:type="auto"/>
            <w:shd w:val="clear" w:color="auto" w:fill="auto"/>
          </w:tcPr>
          <w:p w14:paraId="33DAE5B9" w14:textId="77777777" w:rsidR="004D6A64" w:rsidRDefault="004D6A64">
            <w:pPr>
              <w:rPr>
                <w:rFonts w:ascii="宋体"/>
              </w:rPr>
            </w:pPr>
          </w:p>
        </w:tc>
        <w:tc>
          <w:tcPr>
            <w:tcW w:w="0" w:type="auto"/>
            <w:shd w:val="clear" w:color="auto" w:fill="auto"/>
          </w:tcPr>
          <w:p w14:paraId="33DAE5BA" w14:textId="77777777" w:rsidR="004D6A64" w:rsidRDefault="004D6A64">
            <w:pPr>
              <w:rPr>
                <w:rFonts w:ascii="宋体"/>
              </w:rPr>
            </w:pPr>
          </w:p>
        </w:tc>
        <w:tc>
          <w:tcPr>
            <w:tcW w:w="0" w:type="auto"/>
            <w:shd w:val="clear" w:color="auto" w:fill="auto"/>
          </w:tcPr>
          <w:p w14:paraId="33DAE5BB" w14:textId="77777777" w:rsidR="004D6A64" w:rsidRDefault="004D6A64">
            <w:pPr>
              <w:rPr>
                <w:rFonts w:ascii="宋体"/>
              </w:rPr>
            </w:pPr>
          </w:p>
        </w:tc>
        <w:tc>
          <w:tcPr>
            <w:tcW w:w="0" w:type="auto"/>
            <w:shd w:val="clear" w:color="auto" w:fill="auto"/>
          </w:tcPr>
          <w:p w14:paraId="33DAE5BC" w14:textId="77777777" w:rsidR="004D6A64" w:rsidRDefault="004D6A64">
            <w:pPr>
              <w:rPr>
                <w:rFonts w:ascii="宋体"/>
              </w:rPr>
            </w:pPr>
          </w:p>
        </w:tc>
        <w:tc>
          <w:tcPr>
            <w:tcW w:w="0" w:type="auto"/>
            <w:shd w:val="clear" w:color="auto" w:fill="auto"/>
          </w:tcPr>
          <w:p w14:paraId="33DAE5BD" w14:textId="77777777" w:rsidR="004D6A64" w:rsidRDefault="004D6A64">
            <w:pPr>
              <w:rPr>
                <w:rFonts w:ascii="宋体"/>
              </w:rPr>
            </w:pPr>
          </w:p>
        </w:tc>
        <w:tc>
          <w:tcPr>
            <w:tcW w:w="0" w:type="auto"/>
            <w:shd w:val="clear" w:color="auto" w:fill="auto"/>
          </w:tcPr>
          <w:p w14:paraId="33DAE5BE" w14:textId="77777777" w:rsidR="004D6A64" w:rsidRDefault="004D6A64">
            <w:pPr>
              <w:rPr>
                <w:rFonts w:ascii="宋体"/>
              </w:rPr>
            </w:pPr>
          </w:p>
        </w:tc>
        <w:tc>
          <w:tcPr>
            <w:tcW w:w="0" w:type="auto"/>
            <w:shd w:val="clear" w:color="auto" w:fill="auto"/>
          </w:tcPr>
          <w:p w14:paraId="33DAE5BF" w14:textId="77777777" w:rsidR="004D6A64" w:rsidRDefault="004D6A64">
            <w:pPr>
              <w:rPr>
                <w:rFonts w:ascii="宋体"/>
              </w:rPr>
            </w:pPr>
          </w:p>
        </w:tc>
        <w:tc>
          <w:tcPr>
            <w:tcW w:w="0" w:type="auto"/>
            <w:shd w:val="clear" w:color="auto" w:fill="auto"/>
          </w:tcPr>
          <w:p w14:paraId="33DAE5C0" w14:textId="77777777" w:rsidR="004D6A64" w:rsidRDefault="004D6A64">
            <w:pPr>
              <w:rPr>
                <w:rFonts w:ascii="宋体"/>
              </w:rPr>
            </w:pPr>
          </w:p>
        </w:tc>
        <w:tc>
          <w:tcPr>
            <w:tcW w:w="0" w:type="auto"/>
            <w:shd w:val="clear" w:color="auto" w:fill="auto"/>
          </w:tcPr>
          <w:p w14:paraId="33DAE5C1" w14:textId="77777777" w:rsidR="004D6A64" w:rsidRDefault="004D6A64">
            <w:pPr>
              <w:rPr>
                <w:rFonts w:ascii="宋体"/>
              </w:rPr>
            </w:pPr>
          </w:p>
        </w:tc>
        <w:tc>
          <w:tcPr>
            <w:tcW w:w="0" w:type="auto"/>
            <w:shd w:val="clear" w:color="auto" w:fill="auto"/>
          </w:tcPr>
          <w:p w14:paraId="33DAE5C2" w14:textId="77777777" w:rsidR="004D6A64" w:rsidRDefault="004D6A64">
            <w:pPr>
              <w:rPr>
                <w:rFonts w:ascii="宋体"/>
              </w:rPr>
            </w:pPr>
          </w:p>
        </w:tc>
        <w:tc>
          <w:tcPr>
            <w:tcW w:w="0" w:type="auto"/>
            <w:shd w:val="clear" w:color="auto" w:fill="auto"/>
          </w:tcPr>
          <w:p w14:paraId="33DAE5C3" w14:textId="77777777" w:rsidR="004D6A64" w:rsidRDefault="004D6A64">
            <w:pPr>
              <w:rPr>
                <w:rFonts w:ascii="宋体"/>
              </w:rPr>
            </w:pPr>
          </w:p>
        </w:tc>
        <w:tc>
          <w:tcPr>
            <w:tcW w:w="0" w:type="auto"/>
            <w:shd w:val="clear" w:color="auto" w:fill="auto"/>
          </w:tcPr>
          <w:p w14:paraId="33DAE5C4" w14:textId="77777777" w:rsidR="004D6A64" w:rsidRDefault="004D6A64">
            <w:pPr>
              <w:rPr>
                <w:rFonts w:ascii="宋体"/>
              </w:rPr>
            </w:pPr>
          </w:p>
        </w:tc>
        <w:tc>
          <w:tcPr>
            <w:tcW w:w="0" w:type="auto"/>
            <w:shd w:val="clear" w:color="auto" w:fill="auto"/>
          </w:tcPr>
          <w:p w14:paraId="33DAE5C5" w14:textId="77777777" w:rsidR="004D6A64" w:rsidRDefault="004D6A64">
            <w:pPr>
              <w:rPr>
                <w:rFonts w:ascii="宋体"/>
              </w:rPr>
            </w:pPr>
          </w:p>
        </w:tc>
        <w:tc>
          <w:tcPr>
            <w:tcW w:w="0" w:type="auto"/>
            <w:shd w:val="clear" w:color="auto" w:fill="auto"/>
          </w:tcPr>
          <w:p w14:paraId="33DAE5C6" w14:textId="77777777" w:rsidR="004D6A64" w:rsidRDefault="004D6A64">
            <w:pPr>
              <w:rPr>
                <w:rFonts w:ascii="宋体"/>
              </w:rPr>
            </w:pPr>
          </w:p>
        </w:tc>
        <w:tc>
          <w:tcPr>
            <w:tcW w:w="0" w:type="auto"/>
            <w:shd w:val="clear" w:color="auto" w:fill="auto"/>
          </w:tcPr>
          <w:p w14:paraId="33DAE5C7" w14:textId="77777777" w:rsidR="004D6A64" w:rsidRDefault="004D6A64">
            <w:pPr>
              <w:rPr>
                <w:rFonts w:ascii="宋体"/>
              </w:rPr>
            </w:pPr>
          </w:p>
        </w:tc>
        <w:tc>
          <w:tcPr>
            <w:tcW w:w="0" w:type="auto"/>
            <w:shd w:val="clear" w:color="auto" w:fill="auto"/>
          </w:tcPr>
          <w:p w14:paraId="33DAE5C8" w14:textId="77777777" w:rsidR="004D6A64" w:rsidRDefault="004D6A64">
            <w:pPr>
              <w:rPr>
                <w:rFonts w:ascii="宋体"/>
              </w:rPr>
            </w:pPr>
          </w:p>
        </w:tc>
        <w:tc>
          <w:tcPr>
            <w:tcW w:w="0" w:type="auto"/>
            <w:shd w:val="clear" w:color="auto" w:fill="auto"/>
          </w:tcPr>
          <w:p w14:paraId="33DAE5C9" w14:textId="77777777" w:rsidR="004D6A64" w:rsidRDefault="004D6A64">
            <w:pPr>
              <w:rPr>
                <w:rFonts w:ascii="宋体"/>
              </w:rPr>
            </w:pPr>
          </w:p>
        </w:tc>
        <w:tc>
          <w:tcPr>
            <w:tcW w:w="0" w:type="auto"/>
            <w:shd w:val="clear" w:color="auto" w:fill="auto"/>
          </w:tcPr>
          <w:p w14:paraId="33DAE5CA" w14:textId="77777777" w:rsidR="004D6A64" w:rsidRDefault="004D6A64">
            <w:pPr>
              <w:rPr>
                <w:rFonts w:ascii="宋体"/>
              </w:rPr>
            </w:pPr>
          </w:p>
        </w:tc>
        <w:tc>
          <w:tcPr>
            <w:tcW w:w="0" w:type="auto"/>
            <w:shd w:val="clear" w:color="auto" w:fill="auto"/>
          </w:tcPr>
          <w:p w14:paraId="33DAE5CB" w14:textId="77777777" w:rsidR="004D6A64" w:rsidRDefault="004D6A64">
            <w:pPr>
              <w:rPr>
                <w:rFonts w:ascii="宋体"/>
              </w:rPr>
            </w:pPr>
          </w:p>
        </w:tc>
        <w:tc>
          <w:tcPr>
            <w:tcW w:w="0" w:type="auto"/>
            <w:shd w:val="clear" w:color="auto" w:fill="auto"/>
          </w:tcPr>
          <w:p w14:paraId="33DAE5CC" w14:textId="77777777" w:rsidR="004D6A64" w:rsidRDefault="004D6A64">
            <w:pPr>
              <w:rPr>
                <w:rFonts w:ascii="宋体"/>
              </w:rPr>
            </w:pPr>
          </w:p>
        </w:tc>
        <w:tc>
          <w:tcPr>
            <w:tcW w:w="0" w:type="auto"/>
            <w:shd w:val="clear" w:color="auto" w:fill="auto"/>
          </w:tcPr>
          <w:p w14:paraId="33DAE5CD" w14:textId="77777777" w:rsidR="004D6A64" w:rsidRDefault="004D6A64">
            <w:pPr>
              <w:rPr>
                <w:rFonts w:ascii="宋体"/>
              </w:rPr>
            </w:pPr>
          </w:p>
        </w:tc>
        <w:tc>
          <w:tcPr>
            <w:tcW w:w="0" w:type="auto"/>
            <w:shd w:val="clear" w:color="auto" w:fill="auto"/>
          </w:tcPr>
          <w:p w14:paraId="33DAE5CE" w14:textId="77777777" w:rsidR="004D6A64" w:rsidRDefault="004D6A64">
            <w:pPr>
              <w:rPr>
                <w:rFonts w:ascii="宋体"/>
              </w:rPr>
            </w:pPr>
          </w:p>
        </w:tc>
        <w:tc>
          <w:tcPr>
            <w:tcW w:w="0" w:type="auto"/>
            <w:shd w:val="clear" w:color="auto" w:fill="auto"/>
          </w:tcPr>
          <w:p w14:paraId="33DAE5CF" w14:textId="77777777" w:rsidR="004D6A64" w:rsidRDefault="004D6A64">
            <w:pPr>
              <w:rPr>
                <w:rFonts w:ascii="宋体"/>
              </w:rPr>
            </w:pPr>
          </w:p>
        </w:tc>
        <w:tc>
          <w:tcPr>
            <w:tcW w:w="0" w:type="auto"/>
            <w:shd w:val="clear" w:color="auto" w:fill="auto"/>
          </w:tcPr>
          <w:p w14:paraId="33DAE5D0" w14:textId="77777777" w:rsidR="004D6A64" w:rsidRDefault="004D6A64">
            <w:pPr>
              <w:rPr>
                <w:rFonts w:ascii="宋体"/>
              </w:rPr>
            </w:pPr>
          </w:p>
        </w:tc>
      </w:tr>
      <w:tr w:rsidR="004D6A64" w14:paraId="33DAE5F9" w14:textId="77777777">
        <w:trPr>
          <w:jc w:val="center"/>
        </w:trPr>
        <w:tc>
          <w:tcPr>
            <w:tcW w:w="0" w:type="auto"/>
            <w:gridSpan w:val="3"/>
            <w:shd w:val="clear" w:color="auto" w:fill="CCEEFF"/>
            <w:tcMar>
              <w:top w:w="40" w:type="dxa"/>
              <w:left w:w="135" w:type="dxa"/>
              <w:bottom w:w="40" w:type="dxa"/>
              <w:right w:w="20" w:type="dxa"/>
            </w:tcMar>
            <w:vAlign w:val="center"/>
          </w:tcPr>
          <w:p w14:paraId="33DAE5D2" w14:textId="77777777" w:rsidR="004D6A64" w:rsidRDefault="00506CD6">
            <w:pPr>
              <w:textAlignment w:val="center"/>
            </w:pPr>
            <w:r>
              <w:rPr>
                <w:rFonts w:ascii="Times New Roman" w:eastAsia="宋体" w:hAnsi="Times New Roman"/>
                <w:color w:val="000000"/>
                <w:sz w:val="20"/>
                <w:szCs w:val="20"/>
              </w:rPr>
              <w:t>Non-GAAP adjustments:</w:t>
            </w:r>
          </w:p>
        </w:tc>
        <w:tc>
          <w:tcPr>
            <w:tcW w:w="0" w:type="auto"/>
            <w:gridSpan w:val="3"/>
            <w:shd w:val="clear" w:color="auto" w:fill="CCEEFF"/>
            <w:tcMar>
              <w:left w:w="20" w:type="dxa"/>
              <w:right w:w="20" w:type="dxa"/>
            </w:tcMar>
            <w:vAlign w:val="bottom"/>
          </w:tcPr>
          <w:p w14:paraId="33DAE5D3"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5D4"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5D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5D6"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5D7"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5D8"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5D9"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5DA"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5DB"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5D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5DD" w14:textId="77777777" w:rsidR="004D6A64" w:rsidRDefault="004D6A64">
            <w:pPr>
              <w:rPr>
                <w:rFonts w:ascii="宋体"/>
              </w:rPr>
            </w:pPr>
          </w:p>
        </w:tc>
        <w:tc>
          <w:tcPr>
            <w:tcW w:w="0" w:type="auto"/>
            <w:shd w:val="clear" w:color="auto" w:fill="auto"/>
          </w:tcPr>
          <w:p w14:paraId="33DAE5DE" w14:textId="77777777" w:rsidR="004D6A64" w:rsidRDefault="004D6A64">
            <w:pPr>
              <w:rPr>
                <w:rFonts w:ascii="宋体"/>
              </w:rPr>
            </w:pPr>
          </w:p>
        </w:tc>
        <w:tc>
          <w:tcPr>
            <w:tcW w:w="0" w:type="auto"/>
            <w:shd w:val="clear" w:color="auto" w:fill="auto"/>
          </w:tcPr>
          <w:p w14:paraId="33DAE5DF" w14:textId="77777777" w:rsidR="004D6A64" w:rsidRDefault="004D6A64">
            <w:pPr>
              <w:rPr>
                <w:rFonts w:ascii="宋体"/>
              </w:rPr>
            </w:pPr>
          </w:p>
        </w:tc>
        <w:tc>
          <w:tcPr>
            <w:tcW w:w="0" w:type="auto"/>
            <w:shd w:val="clear" w:color="auto" w:fill="auto"/>
          </w:tcPr>
          <w:p w14:paraId="33DAE5E0" w14:textId="77777777" w:rsidR="004D6A64" w:rsidRDefault="004D6A64">
            <w:pPr>
              <w:rPr>
                <w:rFonts w:ascii="宋体"/>
              </w:rPr>
            </w:pPr>
          </w:p>
        </w:tc>
        <w:tc>
          <w:tcPr>
            <w:tcW w:w="0" w:type="auto"/>
            <w:shd w:val="clear" w:color="auto" w:fill="auto"/>
          </w:tcPr>
          <w:p w14:paraId="33DAE5E1" w14:textId="77777777" w:rsidR="004D6A64" w:rsidRDefault="004D6A64">
            <w:pPr>
              <w:rPr>
                <w:rFonts w:ascii="宋体"/>
              </w:rPr>
            </w:pPr>
          </w:p>
        </w:tc>
        <w:tc>
          <w:tcPr>
            <w:tcW w:w="0" w:type="auto"/>
            <w:shd w:val="clear" w:color="auto" w:fill="auto"/>
          </w:tcPr>
          <w:p w14:paraId="33DAE5E2" w14:textId="77777777" w:rsidR="004D6A64" w:rsidRDefault="004D6A64">
            <w:pPr>
              <w:rPr>
                <w:rFonts w:ascii="宋体"/>
              </w:rPr>
            </w:pPr>
          </w:p>
        </w:tc>
        <w:tc>
          <w:tcPr>
            <w:tcW w:w="0" w:type="auto"/>
            <w:shd w:val="clear" w:color="auto" w:fill="auto"/>
          </w:tcPr>
          <w:p w14:paraId="33DAE5E3" w14:textId="77777777" w:rsidR="004D6A64" w:rsidRDefault="004D6A64">
            <w:pPr>
              <w:rPr>
                <w:rFonts w:ascii="宋体"/>
              </w:rPr>
            </w:pPr>
          </w:p>
        </w:tc>
        <w:tc>
          <w:tcPr>
            <w:tcW w:w="0" w:type="auto"/>
            <w:shd w:val="clear" w:color="auto" w:fill="auto"/>
          </w:tcPr>
          <w:p w14:paraId="33DAE5E4" w14:textId="77777777" w:rsidR="004D6A64" w:rsidRDefault="004D6A64">
            <w:pPr>
              <w:rPr>
                <w:rFonts w:ascii="宋体"/>
              </w:rPr>
            </w:pPr>
          </w:p>
        </w:tc>
        <w:tc>
          <w:tcPr>
            <w:tcW w:w="0" w:type="auto"/>
            <w:shd w:val="clear" w:color="auto" w:fill="auto"/>
          </w:tcPr>
          <w:p w14:paraId="33DAE5E5" w14:textId="77777777" w:rsidR="004D6A64" w:rsidRDefault="004D6A64">
            <w:pPr>
              <w:rPr>
                <w:rFonts w:ascii="宋体"/>
              </w:rPr>
            </w:pPr>
          </w:p>
        </w:tc>
        <w:tc>
          <w:tcPr>
            <w:tcW w:w="0" w:type="auto"/>
            <w:shd w:val="clear" w:color="auto" w:fill="auto"/>
          </w:tcPr>
          <w:p w14:paraId="33DAE5E6" w14:textId="77777777" w:rsidR="004D6A64" w:rsidRDefault="004D6A64">
            <w:pPr>
              <w:rPr>
                <w:rFonts w:ascii="宋体"/>
              </w:rPr>
            </w:pPr>
          </w:p>
        </w:tc>
        <w:tc>
          <w:tcPr>
            <w:tcW w:w="0" w:type="auto"/>
            <w:shd w:val="clear" w:color="auto" w:fill="auto"/>
          </w:tcPr>
          <w:p w14:paraId="33DAE5E7" w14:textId="77777777" w:rsidR="004D6A64" w:rsidRDefault="004D6A64">
            <w:pPr>
              <w:rPr>
                <w:rFonts w:ascii="宋体"/>
              </w:rPr>
            </w:pPr>
          </w:p>
        </w:tc>
        <w:tc>
          <w:tcPr>
            <w:tcW w:w="0" w:type="auto"/>
            <w:shd w:val="clear" w:color="auto" w:fill="auto"/>
          </w:tcPr>
          <w:p w14:paraId="33DAE5E8" w14:textId="77777777" w:rsidR="004D6A64" w:rsidRDefault="004D6A64">
            <w:pPr>
              <w:rPr>
                <w:rFonts w:ascii="宋体"/>
              </w:rPr>
            </w:pPr>
          </w:p>
        </w:tc>
        <w:tc>
          <w:tcPr>
            <w:tcW w:w="0" w:type="auto"/>
            <w:shd w:val="clear" w:color="auto" w:fill="auto"/>
          </w:tcPr>
          <w:p w14:paraId="33DAE5E9" w14:textId="77777777" w:rsidR="004D6A64" w:rsidRDefault="004D6A64">
            <w:pPr>
              <w:rPr>
                <w:rFonts w:ascii="宋体"/>
              </w:rPr>
            </w:pPr>
          </w:p>
        </w:tc>
        <w:tc>
          <w:tcPr>
            <w:tcW w:w="0" w:type="auto"/>
            <w:shd w:val="clear" w:color="auto" w:fill="auto"/>
          </w:tcPr>
          <w:p w14:paraId="33DAE5EA" w14:textId="77777777" w:rsidR="004D6A64" w:rsidRDefault="004D6A64">
            <w:pPr>
              <w:rPr>
                <w:rFonts w:ascii="宋体"/>
              </w:rPr>
            </w:pPr>
          </w:p>
        </w:tc>
        <w:tc>
          <w:tcPr>
            <w:tcW w:w="0" w:type="auto"/>
            <w:shd w:val="clear" w:color="auto" w:fill="auto"/>
          </w:tcPr>
          <w:p w14:paraId="33DAE5EB" w14:textId="77777777" w:rsidR="004D6A64" w:rsidRDefault="004D6A64">
            <w:pPr>
              <w:rPr>
                <w:rFonts w:ascii="宋体"/>
              </w:rPr>
            </w:pPr>
          </w:p>
        </w:tc>
        <w:tc>
          <w:tcPr>
            <w:tcW w:w="0" w:type="auto"/>
            <w:shd w:val="clear" w:color="auto" w:fill="auto"/>
          </w:tcPr>
          <w:p w14:paraId="33DAE5EC" w14:textId="77777777" w:rsidR="004D6A64" w:rsidRDefault="004D6A64">
            <w:pPr>
              <w:rPr>
                <w:rFonts w:ascii="宋体"/>
              </w:rPr>
            </w:pPr>
          </w:p>
        </w:tc>
        <w:tc>
          <w:tcPr>
            <w:tcW w:w="0" w:type="auto"/>
            <w:shd w:val="clear" w:color="auto" w:fill="auto"/>
          </w:tcPr>
          <w:p w14:paraId="33DAE5ED" w14:textId="77777777" w:rsidR="004D6A64" w:rsidRDefault="004D6A64">
            <w:pPr>
              <w:rPr>
                <w:rFonts w:ascii="宋体"/>
              </w:rPr>
            </w:pPr>
          </w:p>
        </w:tc>
        <w:tc>
          <w:tcPr>
            <w:tcW w:w="0" w:type="auto"/>
            <w:shd w:val="clear" w:color="auto" w:fill="auto"/>
          </w:tcPr>
          <w:p w14:paraId="33DAE5EE" w14:textId="77777777" w:rsidR="004D6A64" w:rsidRDefault="004D6A64">
            <w:pPr>
              <w:rPr>
                <w:rFonts w:ascii="宋体"/>
              </w:rPr>
            </w:pPr>
          </w:p>
        </w:tc>
        <w:tc>
          <w:tcPr>
            <w:tcW w:w="0" w:type="auto"/>
            <w:shd w:val="clear" w:color="auto" w:fill="auto"/>
          </w:tcPr>
          <w:p w14:paraId="33DAE5EF" w14:textId="77777777" w:rsidR="004D6A64" w:rsidRDefault="004D6A64">
            <w:pPr>
              <w:rPr>
                <w:rFonts w:ascii="宋体"/>
              </w:rPr>
            </w:pPr>
          </w:p>
        </w:tc>
        <w:tc>
          <w:tcPr>
            <w:tcW w:w="0" w:type="auto"/>
            <w:shd w:val="clear" w:color="auto" w:fill="auto"/>
          </w:tcPr>
          <w:p w14:paraId="33DAE5F0" w14:textId="77777777" w:rsidR="004D6A64" w:rsidRDefault="004D6A64">
            <w:pPr>
              <w:rPr>
                <w:rFonts w:ascii="宋体"/>
              </w:rPr>
            </w:pPr>
          </w:p>
        </w:tc>
        <w:tc>
          <w:tcPr>
            <w:tcW w:w="0" w:type="auto"/>
            <w:shd w:val="clear" w:color="auto" w:fill="auto"/>
          </w:tcPr>
          <w:p w14:paraId="33DAE5F1" w14:textId="77777777" w:rsidR="004D6A64" w:rsidRDefault="004D6A64">
            <w:pPr>
              <w:rPr>
                <w:rFonts w:ascii="宋体"/>
              </w:rPr>
            </w:pPr>
          </w:p>
        </w:tc>
        <w:tc>
          <w:tcPr>
            <w:tcW w:w="0" w:type="auto"/>
            <w:shd w:val="clear" w:color="auto" w:fill="auto"/>
          </w:tcPr>
          <w:p w14:paraId="33DAE5F2" w14:textId="77777777" w:rsidR="004D6A64" w:rsidRDefault="004D6A64">
            <w:pPr>
              <w:rPr>
                <w:rFonts w:ascii="宋体"/>
              </w:rPr>
            </w:pPr>
          </w:p>
        </w:tc>
        <w:tc>
          <w:tcPr>
            <w:tcW w:w="0" w:type="auto"/>
            <w:shd w:val="clear" w:color="auto" w:fill="auto"/>
          </w:tcPr>
          <w:p w14:paraId="33DAE5F3" w14:textId="77777777" w:rsidR="004D6A64" w:rsidRDefault="004D6A64">
            <w:pPr>
              <w:rPr>
                <w:rFonts w:ascii="宋体"/>
              </w:rPr>
            </w:pPr>
          </w:p>
        </w:tc>
        <w:tc>
          <w:tcPr>
            <w:tcW w:w="0" w:type="auto"/>
            <w:shd w:val="clear" w:color="auto" w:fill="auto"/>
          </w:tcPr>
          <w:p w14:paraId="33DAE5F4" w14:textId="77777777" w:rsidR="004D6A64" w:rsidRDefault="004D6A64">
            <w:pPr>
              <w:rPr>
                <w:rFonts w:ascii="宋体"/>
              </w:rPr>
            </w:pPr>
          </w:p>
        </w:tc>
        <w:tc>
          <w:tcPr>
            <w:tcW w:w="0" w:type="auto"/>
            <w:shd w:val="clear" w:color="auto" w:fill="auto"/>
          </w:tcPr>
          <w:p w14:paraId="33DAE5F5" w14:textId="77777777" w:rsidR="004D6A64" w:rsidRDefault="004D6A64">
            <w:pPr>
              <w:rPr>
                <w:rFonts w:ascii="宋体"/>
              </w:rPr>
            </w:pPr>
          </w:p>
        </w:tc>
        <w:tc>
          <w:tcPr>
            <w:tcW w:w="0" w:type="auto"/>
            <w:shd w:val="clear" w:color="auto" w:fill="auto"/>
          </w:tcPr>
          <w:p w14:paraId="33DAE5F6" w14:textId="77777777" w:rsidR="004D6A64" w:rsidRDefault="004D6A64">
            <w:pPr>
              <w:rPr>
                <w:rFonts w:ascii="宋体"/>
              </w:rPr>
            </w:pPr>
          </w:p>
        </w:tc>
        <w:tc>
          <w:tcPr>
            <w:tcW w:w="0" w:type="auto"/>
            <w:shd w:val="clear" w:color="auto" w:fill="auto"/>
          </w:tcPr>
          <w:p w14:paraId="33DAE5F7" w14:textId="77777777" w:rsidR="004D6A64" w:rsidRDefault="004D6A64">
            <w:pPr>
              <w:rPr>
                <w:rFonts w:ascii="宋体"/>
              </w:rPr>
            </w:pPr>
          </w:p>
        </w:tc>
        <w:tc>
          <w:tcPr>
            <w:tcW w:w="0" w:type="auto"/>
            <w:shd w:val="clear" w:color="auto" w:fill="auto"/>
          </w:tcPr>
          <w:p w14:paraId="33DAE5F8" w14:textId="77777777" w:rsidR="004D6A64" w:rsidRDefault="004D6A64">
            <w:pPr>
              <w:rPr>
                <w:rFonts w:ascii="宋体"/>
              </w:rPr>
            </w:pPr>
          </w:p>
        </w:tc>
      </w:tr>
      <w:tr w:rsidR="004D6A64" w14:paraId="33DAE625" w14:textId="77777777">
        <w:trPr>
          <w:jc w:val="center"/>
        </w:trPr>
        <w:tc>
          <w:tcPr>
            <w:tcW w:w="0" w:type="auto"/>
            <w:gridSpan w:val="3"/>
            <w:shd w:val="clear" w:color="auto" w:fill="FFFFFF"/>
            <w:tcMar>
              <w:top w:w="40" w:type="dxa"/>
              <w:left w:w="225" w:type="dxa"/>
              <w:bottom w:w="40" w:type="dxa"/>
              <w:right w:w="20" w:type="dxa"/>
            </w:tcMar>
            <w:vAlign w:val="center"/>
          </w:tcPr>
          <w:p w14:paraId="33DAE5FA" w14:textId="77777777" w:rsidR="004D6A64" w:rsidRDefault="00506CD6">
            <w:pPr>
              <w:textAlignment w:val="center"/>
            </w:pPr>
            <w:r>
              <w:rPr>
                <w:rFonts w:ascii="Times New Roman" w:eastAsia="宋体" w:hAnsi="Times New Roman"/>
                <w:color w:val="000000"/>
                <w:sz w:val="20"/>
                <w:szCs w:val="20"/>
              </w:rPr>
              <w:t>Amortization of intangibles</w:t>
            </w:r>
          </w:p>
        </w:tc>
        <w:tc>
          <w:tcPr>
            <w:tcW w:w="0" w:type="auto"/>
            <w:gridSpan w:val="2"/>
            <w:shd w:val="clear" w:color="auto" w:fill="FFFFFF"/>
            <w:tcMar>
              <w:top w:w="40" w:type="dxa"/>
              <w:left w:w="20" w:type="dxa"/>
              <w:bottom w:w="40" w:type="dxa"/>
              <w:right w:w="0" w:type="dxa"/>
            </w:tcMar>
            <w:vAlign w:val="center"/>
          </w:tcPr>
          <w:p w14:paraId="33DAE5FB" w14:textId="77777777" w:rsidR="004D6A64" w:rsidRDefault="00506CD6">
            <w:pPr>
              <w:jc w:val="right"/>
              <w:textAlignment w:val="center"/>
            </w:pPr>
            <w:r>
              <w:rPr>
                <w:rFonts w:ascii="Times New Roman" w:eastAsia="宋体" w:hAnsi="Times New Roman"/>
                <w:color w:val="000000"/>
                <w:sz w:val="20"/>
                <w:szCs w:val="20"/>
              </w:rPr>
              <w:t>847 </w:t>
            </w:r>
          </w:p>
        </w:tc>
        <w:tc>
          <w:tcPr>
            <w:tcW w:w="0" w:type="auto"/>
            <w:shd w:val="clear" w:color="auto" w:fill="FFFFFF"/>
            <w:tcMar>
              <w:top w:w="40" w:type="dxa"/>
              <w:bottom w:w="40" w:type="dxa"/>
              <w:right w:w="20" w:type="dxa"/>
            </w:tcMar>
            <w:vAlign w:val="center"/>
          </w:tcPr>
          <w:p w14:paraId="33DAE5F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5FD"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5FE"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5FF"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600" w14:textId="77777777" w:rsidR="004D6A64" w:rsidRDefault="00506CD6">
            <w:pPr>
              <w:jc w:val="right"/>
              <w:textAlignment w:val="center"/>
            </w:pPr>
            <w:r>
              <w:rPr>
                <w:rFonts w:ascii="Times New Roman" w:eastAsia="宋体" w:hAnsi="Times New Roman"/>
                <w:color w:val="000000"/>
                <w:sz w:val="20"/>
                <w:szCs w:val="20"/>
              </w:rPr>
              <w:t>1,060 </w:t>
            </w:r>
          </w:p>
        </w:tc>
        <w:tc>
          <w:tcPr>
            <w:tcW w:w="0" w:type="auto"/>
            <w:shd w:val="clear" w:color="auto" w:fill="FFFFFF"/>
            <w:tcMar>
              <w:top w:w="40" w:type="dxa"/>
              <w:bottom w:w="40" w:type="dxa"/>
              <w:right w:w="20" w:type="dxa"/>
            </w:tcMar>
            <w:vAlign w:val="center"/>
          </w:tcPr>
          <w:p w14:paraId="33DAE60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602"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603" w14:textId="77777777" w:rsidR="004D6A64" w:rsidRDefault="00506CD6">
            <w:pPr>
              <w:jc w:val="right"/>
              <w:textAlignment w:val="center"/>
            </w:pPr>
            <w:r>
              <w:rPr>
                <w:rFonts w:ascii="Times New Roman" w:eastAsia="宋体" w:hAnsi="Times New Roman"/>
                <w:color w:val="000000"/>
                <w:sz w:val="20"/>
                <w:szCs w:val="20"/>
              </w:rPr>
              <w:t>1,702 </w:t>
            </w:r>
          </w:p>
        </w:tc>
        <w:tc>
          <w:tcPr>
            <w:tcW w:w="0" w:type="auto"/>
            <w:shd w:val="clear" w:color="auto" w:fill="FFFFFF"/>
            <w:tcMar>
              <w:top w:w="40" w:type="dxa"/>
              <w:bottom w:w="40" w:type="dxa"/>
              <w:right w:w="20" w:type="dxa"/>
            </w:tcMar>
            <w:vAlign w:val="center"/>
          </w:tcPr>
          <w:p w14:paraId="33DAE60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605"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606"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607"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608" w14:textId="77777777" w:rsidR="004D6A64" w:rsidRDefault="00506CD6">
            <w:pPr>
              <w:jc w:val="right"/>
              <w:textAlignment w:val="center"/>
            </w:pPr>
            <w:r>
              <w:rPr>
                <w:rFonts w:ascii="Times New Roman" w:eastAsia="宋体" w:hAnsi="Times New Roman"/>
                <w:color w:val="000000"/>
                <w:sz w:val="20"/>
                <w:szCs w:val="20"/>
              </w:rPr>
              <w:t>2,277 </w:t>
            </w:r>
          </w:p>
        </w:tc>
        <w:tc>
          <w:tcPr>
            <w:tcW w:w="0" w:type="auto"/>
            <w:shd w:val="clear" w:color="auto" w:fill="FFFFFF"/>
            <w:tcMar>
              <w:top w:w="40" w:type="dxa"/>
              <w:bottom w:w="40" w:type="dxa"/>
              <w:right w:w="20" w:type="dxa"/>
            </w:tcMar>
            <w:vAlign w:val="center"/>
          </w:tcPr>
          <w:p w14:paraId="33DAE609" w14:textId="77777777" w:rsidR="004D6A64" w:rsidRDefault="004D6A64">
            <w:pPr>
              <w:jc w:val="right"/>
              <w:rPr>
                <w:rFonts w:ascii="宋体"/>
              </w:rPr>
            </w:pPr>
          </w:p>
        </w:tc>
        <w:tc>
          <w:tcPr>
            <w:tcW w:w="0" w:type="auto"/>
            <w:shd w:val="clear" w:color="auto" w:fill="auto"/>
          </w:tcPr>
          <w:p w14:paraId="33DAE60A" w14:textId="77777777" w:rsidR="004D6A64" w:rsidRDefault="004D6A64">
            <w:pPr>
              <w:rPr>
                <w:rFonts w:ascii="宋体"/>
              </w:rPr>
            </w:pPr>
          </w:p>
        </w:tc>
        <w:tc>
          <w:tcPr>
            <w:tcW w:w="0" w:type="auto"/>
            <w:shd w:val="clear" w:color="auto" w:fill="auto"/>
          </w:tcPr>
          <w:p w14:paraId="33DAE60B" w14:textId="77777777" w:rsidR="004D6A64" w:rsidRDefault="004D6A64">
            <w:pPr>
              <w:rPr>
                <w:rFonts w:ascii="宋体"/>
              </w:rPr>
            </w:pPr>
          </w:p>
        </w:tc>
        <w:tc>
          <w:tcPr>
            <w:tcW w:w="0" w:type="auto"/>
            <w:shd w:val="clear" w:color="auto" w:fill="auto"/>
          </w:tcPr>
          <w:p w14:paraId="33DAE60C" w14:textId="77777777" w:rsidR="004D6A64" w:rsidRDefault="004D6A64">
            <w:pPr>
              <w:rPr>
                <w:rFonts w:ascii="宋体"/>
              </w:rPr>
            </w:pPr>
          </w:p>
        </w:tc>
        <w:tc>
          <w:tcPr>
            <w:tcW w:w="0" w:type="auto"/>
            <w:shd w:val="clear" w:color="auto" w:fill="auto"/>
          </w:tcPr>
          <w:p w14:paraId="33DAE60D" w14:textId="77777777" w:rsidR="004D6A64" w:rsidRDefault="004D6A64">
            <w:pPr>
              <w:rPr>
                <w:rFonts w:ascii="宋体"/>
              </w:rPr>
            </w:pPr>
          </w:p>
        </w:tc>
        <w:tc>
          <w:tcPr>
            <w:tcW w:w="0" w:type="auto"/>
            <w:shd w:val="clear" w:color="auto" w:fill="auto"/>
          </w:tcPr>
          <w:p w14:paraId="33DAE60E" w14:textId="77777777" w:rsidR="004D6A64" w:rsidRDefault="004D6A64">
            <w:pPr>
              <w:rPr>
                <w:rFonts w:ascii="宋体"/>
              </w:rPr>
            </w:pPr>
          </w:p>
        </w:tc>
        <w:tc>
          <w:tcPr>
            <w:tcW w:w="0" w:type="auto"/>
            <w:shd w:val="clear" w:color="auto" w:fill="auto"/>
          </w:tcPr>
          <w:p w14:paraId="33DAE60F" w14:textId="77777777" w:rsidR="004D6A64" w:rsidRDefault="004D6A64">
            <w:pPr>
              <w:rPr>
                <w:rFonts w:ascii="宋体"/>
              </w:rPr>
            </w:pPr>
          </w:p>
        </w:tc>
        <w:tc>
          <w:tcPr>
            <w:tcW w:w="0" w:type="auto"/>
            <w:shd w:val="clear" w:color="auto" w:fill="auto"/>
          </w:tcPr>
          <w:p w14:paraId="33DAE610" w14:textId="77777777" w:rsidR="004D6A64" w:rsidRDefault="004D6A64">
            <w:pPr>
              <w:rPr>
                <w:rFonts w:ascii="宋体"/>
              </w:rPr>
            </w:pPr>
          </w:p>
        </w:tc>
        <w:tc>
          <w:tcPr>
            <w:tcW w:w="0" w:type="auto"/>
            <w:shd w:val="clear" w:color="auto" w:fill="auto"/>
          </w:tcPr>
          <w:p w14:paraId="33DAE611" w14:textId="77777777" w:rsidR="004D6A64" w:rsidRDefault="004D6A64">
            <w:pPr>
              <w:rPr>
                <w:rFonts w:ascii="宋体"/>
              </w:rPr>
            </w:pPr>
          </w:p>
        </w:tc>
        <w:tc>
          <w:tcPr>
            <w:tcW w:w="0" w:type="auto"/>
            <w:shd w:val="clear" w:color="auto" w:fill="auto"/>
          </w:tcPr>
          <w:p w14:paraId="33DAE612" w14:textId="77777777" w:rsidR="004D6A64" w:rsidRDefault="004D6A64">
            <w:pPr>
              <w:rPr>
                <w:rFonts w:ascii="宋体"/>
              </w:rPr>
            </w:pPr>
          </w:p>
        </w:tc>
        <w:tc>
          <w:tcPr>
            <w:tcW w:w="0" w:type="auto"/>
            <w:shd w:val="clear" w:color="auto" w:fill="auto"/>
          </w:tcPr>
          <w:p w14:paraId="33DAE613" w14:textId="77777777" w:rsidR="004D6A64" w:rsidRDefault="004D6A64">
            <w:pPr>
              <w:rPr>
                <w:rFonts w:ascii="宋体"/>
              </w:rPr>
            </w:pPr>
          </w:p>
        </w:tc>
        <w:tc>
          <w:tcPr>
            <w:tcW w:w="0" w:type="auto"/>
            <w:shd w:val="clear" w:color="auto" w:fill="auto"/>
          </w:tcPr>
          <w:p w14:paraId="33DAE614" w14:textId="77777777" w:rsidR="004D6A64" w:rsidRDefault="004D6A64">
            <w:pPr>
              <w:rPr>
                <w:rFonts w:ascii="宋体"/>
              </w:rPr>
            </w:pPr>
          </w:p>
        </w:tc>
        <w:tc>
          <w:tcPr>
            <w:tcW w:w="0" w:type="auto"/>
            <w:shd w:val="clear" w:color="auto" w:fill="auto"/>
          </w:tcPr>
          <w:p w14:paraId="33DAE615" w14:textId="77777777" w:rsidR="004D6A64" w:rsidRDefault="004D6A64">
            <w:pPr>
              <w:rPr>
                <w:rFonts w:ascii="宋体"/>
              </w:rPr>
            </w:pPr>
          </w:p>
        </w:tc>
        <w:tc>
          <w:tcPr>
            <w:tcW w:w="0" w:type="auto"/>
            <w:shd w:val="clear" w:color="auto" w:fill="auto"/>
          </w:tcPr>
          <w:p w14:paraId="33DAE616" w14:textId="77777777" w:rsidR="004D6A64" w:rsidRDefault="004D6A64">
            <w:pPr>
              <w:rPr>
                <w:rFonts w:ascii="宋体"/>
              </w:rPr>
            </w:pPr>
          </w:p>
        </w:tc>
        <w:tc>
          <w:tcPr>
            <w:tcW w:w="0" w:type="auto"/>
            <w:shd w:val="clear" w:color="auto" w:fill="auto"/>
          </w:tcPr>
          <w:p w14:paraId="33DAE617" w14:textId="77777777" w:rsidR="004D6A64" w:rsidRDefault="004D6A64">
            <w:pPr>
              <w:rPr>
                <w:rFonts w:ascii="宋体"/>
              </w:rPr>
            </w:pPr>
          </w:p>
        </w:tc>
        <w:tc>
          <w:tcPr>
            <w:tcW w:w="0" w:type="auto"/>
            <w:shd w:val="clear" w:color="auto" w:fill="auto"/>
          </w:tcPr>
          <w:p w14:paraId="33DAE618" w14:textId="77777777" w:rsidR="004D6A64" w:rsidRDefault="004D6A64">
            <w:pPr>
              <w:rPr>
                <w:rFonts w:ascii="宋体"/>
              </w:rPr>
            </w:pPr>
          </w:p>
        </w:tc>
        <w:tc>
          <w:tcPr>
            <w:tcW w:w="0" w:type="auto"/>
            <w:shd w:val="clear" w:color="auto" w:fill="auto"/>
          </w:tcPr>
          <w:p w14:paraId="33DAE619" w14:textId="77777777" w:rsidR="004D6A64" w:rsidRDefault="004D6A64">
            <w:pPr>
              <w:rPr>
                <w:rFonts w:ascii="宋体"/>
              </w:rPr>
            </w:pPr>
          </w:p>
        </w:tc>
        <w:tc>
          <w:tcPr>
            <w:tcW w:w="0" w:type="auto"/>
            <w:shd w:val="clear" w:color="auto" w:fill="auto"/>
          </w:tcPr>
          <w:p w14:paraId="33DAE61A" w14:textId="77777777" w:rsidR="004D6A64" w:rsidRDefault="004D6A64">
            <w:pPr>
              <w:rPr>
                <w:rFonts w:ascii="宋体"/>
              </w:rPr>
            </w:pPr>
          </w:p>
        </w:tc>
        <w:tc>
          <w:tcPr>
            <w:tcW w:w="0" w:type="auto"/>
            <w:shd w:val="clear" w:color="auto" w:fill="auto"/>
          </w:tcPr>
          <w:p w14:paraId="33DAE61B" w14:textId="77777777" w:rsidR="004D6A64" w:rsidRDefault="004D6A64">
            <w:pPr>
              <w:rPr>
                <w:rFonts w:ascii="宋体"/>
              </w:rPr>
            </w:pPr>
          </w:p>
        </w:tc>
        <w:tc>
          <w:tcPr>
            <w:tcW w:w="0" w:type="auto"/>
            <w:shd w:val="clear" w:color="auto" w:fill="auto"/>
          </w:tcPr>
          <w:p w14:paraId="33DAE61C" w14:textId="77777777" w:rsidR="004D6A64" w:rsidRDefault="004D6A64">
            <w:pPr>
              <w:rPr>
                <w:rFonts w:ascii="宋体"/>
              </w:rPr>
            </w:pPr>
          </w:p>
        </w:tc>
        <w:tc>
          <w:tcPr>
            <w:tcW w:w="0" w:type="auto"/>
            <w:shd w:val="clear" w:color="auto" w:fill="auto"/>
          </w:tcPr>
          <w:p w14:paraId="33DAE61D" w14:textId="77777777" w:rsidR="004D6A64" w:rsidRDefault="004D6A64">
            <w:pPr>
              <w:rPr>
                <w:rFonts w:ascii="宋体"/>
              </w:rPr>
            </w:pPr>
          </w:p>
        </w:tc>
        <w:tc>
          <w:tcPr>
            <w:tcW w:w="0" w:type="auto"/>
            <w:shd w:val="clear" w:color="auto" w:fill="auto"/>
          </w:tcPr>
          <w:p w14:paraId="33DAE61E" w14:textId="77777777" w:rsidR="004D6A64" w:rsidRDefault="004D6A64">
            <w:pPr>
              <w:rPr>
                <w:rFonts w:ascii="宋体"/>
              </w:rPr>
            </w:pPr>
          </w:p>
        </w:tc>
        <w:tc>
          <w:tcPr>
            <w:tcW w:w="0" w:type="auto"/>
            <w:shd w:val="clear" w:color="auto" w:fill="auto"/>
          </w:tcPr>
          <w:p w14:paraId="33DAE61F" w14:textId="77777777" w:rsidR="004D6A64" w:rsidRDefault="004D6A64">
            <w:pPr>
              <w:rPr>
                <w:rFonts w:ascii="宋体"/>
              </w:rPr>
            </w:pPr>
          </w:p>
        </w:tc>
        <w:tc>
          <w:tcPr>
            <w:tcW w:w="0" w:type="auto"/>
            <w:shd w:val="clear" w:color="auto" w:fill="auto"/>
          </w:tcPr>
          <w:p w14:paraId="33DAE620" w14:textId="77777777" w:rsidR="004D6A64" w:rsidRDefault="004D6A64">
            <w:pPr>
              <w:rPr>
                <w:rFonts w:ascii="宋体"/>
              </w:rPr>
            </w:pPr>
          </w:p>
        </w:tc>
        <w:tc>
          <w:tcPr>
            <w:tcW w:w="0" w:type="auto"/>
            <w:shd w:val="clear" w:color="auto" w:fill="auto"/>
          </w:tcPr>
          <w:p w14:paraId="33DAE621" w14:textId="77777777" w:rsidR="004D6A64" w:rsidRDefault="004D6A64">
            <w:pPr>
              <w:rPr>
                <w:rFonts w:ascii="宋体"/>
              </w:rPr>
            </w:pPr>
          </w:p>
        </w:tc>
        <w:tc>
          <w:tcPr>
            <w:tcW w:w="0" w:type="auto"/>
            <w:shd w:val="clear" w:color="auto" w:fill="auto"/>
          </w:tcPr>
          <w:p w14:paraId="33DAE622" w14:textId="77777777" w:rsidR="004D6A64" w:rsidRDefault="004D6A64">
            <w:pPr>
              <w:rPr>
                <w:rFonts w:ascii="宋体"/>
              </w:rPr>
            </w:pPr>
          </w:p>
        </w:tc>
        <w:tc>
          <w:tcPr>
            <w:tcW w:w="0" w:type="auto"/>
            <w:shd w:val="clear" w:color="auto" w:fill="auto"/>
          </w:tcPr>
          <w:p w14:paraId="33DAE623" w14:textId="77777777" w:rsidR="004D6A64" w:rsidRDefault="004D6A64">
            <w:pPr>
              <w:rPr>
                <w:rFonts w:ascii="宋体"/>
              </w:rPr>
            </w:pPr>
          </w:p>
        </w:tc>
        <w:tc>
          <w:tcPr>
            <w:tcW w:w="0" w:type="auto"/>
            <w:shd w:val="clear" w:color="auto" w:fill="auto"/>
          </w:tcPr>
          <w:p w14:paraId="33DAE624" w14:textId="77777777" w:rsidR="004D6A64" w:rsidRDefault="004D6A64">
            <w:pPr>
              <w:rPr>
                <w:rFonts w:ascii="宋体"/>
              </w:rPr>
            </w:pPr>
          </w:p>
        </w:tc>
      </w:tr>
      <w:tr w:rsidR="004D6A64" w14:paraId="33DAE651" w14:textId="77777777">
        <w:trPr>
          <w:jc w:val="center"/>
        </w:trPr>
        <w:tc>
          <w:tcPr>
            <w:tcW w:w="0" w:type="auto"/>
            <w:gridSpan w:val="3"/>
            <w:shd w:val="clear" w:color="auto" w:fill="CCEEFF"/>
            <w:tcMar>
              <w:top w:w="40" w:type="dxa"/>
              <w:left w:w="225" w:type="dxa"/>
              <w:bottom w:w="40" w:type="dxa"/>
              <w:right w:w="20" w:type="dxa"/>
            </w:tcMar>
            <w:vAlign w:val="center"/>
          </w:tcPr>
          <w:p w14:paraId="33DAE626" w14:textId="77777777" w:rsidR="004D6A64" w:rsidRDefault="00506CD6">
            <w:pPr>
              <w:textAlignment w:val="center"/>
            </w:pPr>
            <w:r>
              <w:rPr>
                <w:rFonts w:ascii="Times New Roman" w:eastAsia="宋体" w:hAnsi="Times New Roman"/>
                <w:color w:val="000000"/>
                <w:sz w:val="20"/>
                <w:szCs w:val="20"/>
              </w:rPr>
              <w:t>Impact of purchase accounting</w:t>
            </w:r>
          </w:p>
        </w:tc>
        <w:tc>
          <w:tcPr>
            <w:tcW w:w="0" w:type="auto"/>
            <w:gridSpan w:val="2"/>
            <w:shd w:val="clear" w:color="auto" w:fill="CCEEFF"/>
            <w:tcMar>
              <w:top w:w="40" w:type="dxa"/>
              <w:left w:w="20" w:type="dxa"/>
              <w:bottom w:w="40" w:type="dxa"/>
              <w:right w:w="0" w:type="dxa"/>
            </w:tcMar>
            <w:vAlign w:val="center"/>
          </w:tcPr>
          <w:p w14:paraId="33DAE627" w14:textId="77777777" w:rsidR="004D6A64" w:rsidRDefault="00506CD6">
            <w:pPr>
              <w:jc w:val="right"/>
              <w:textAlignment w:val="center"/>
            </w:pPr>
            <w:r>
              <w:rPr>
                <w:rFonts w:ascii="Times New Roman" w:eastAsia="宋体" w:hAnsi="Times New Roman"/>
                <w:color w:val="000000"/>
                <w:sz w:val="20"/>
                <w:szCs w:val="20"/>
              </w:rPr>
              <w:t>53 </w:t>
            </w:r>
          </w:p>
        </w:tc>
        <w:tc>
          <w:tcPr>
            <w:tcW w:w="0" w:type="auto"/>
            <w:shd w:val="clear" w:color="auto" w:fill="CCEEFF"/>
            <w:tcMar>
              <w:top w:w="40" w:type="dxa"/>
              <w:bottom w:w="40" w:type="dxa"/>
              <w:right w:w="20" w:type="dxa"/>
            </w:tcMar>
            <w:vAlign w:val="center"/>
          </w:tcPr>
          <w:p w14:paraId="33DAE62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629"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62A"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62B"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62C" w14:textId="77777777" w:rsidR="004D6A64" w:rsidRDefault="00506CD6">
            <w:pPr>
              <w:jc w:val="right"/>
              <w:textAlignment w:val="center"/>
            </w:pPr>
            <w:r>
              <w:rPr>
                <w:rFonts w:ascii="Times New Roman" w:eastAsia="宋体" w:hAnsi="Times New Roman"/>
                <w:color w:val="000000"/>
                <w:sz w:val="20"/>
                <w:szCs w:val="20"/>
              </w:rPr>
              <w:t>102 </w:t>
            </w:r>
          </w:p>
        </w:tc>
        <w:tc>
          <w:tcPr>
            <w:tcW w:w="0" w:type="auto"/>
            <w:shd w:val="clear" w:color="auto" w:fill="CCEEFF"/>
            <w:tcMar>
              <w:top w:w="40" w:type="dxa"/>
              <w:bottom w:w="40" w:type="dxa"/>
              <w:right w:w="20" w:type="dxa"/>
            </w:tcMar>
            <w:vAlign w:val="center"/>
          </w:tcPr>
          <w:p w14:paraId="33DAE62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62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62F" w14:textId="77777777" w:rsidR="004D6A64" w:rsidRDefault="00506CD6">
            <w:pPr>
              <w:jc w:val="right"/>
              <w:textAlignment w:val="center"/>
            </w:pPr>
            <w:r>
              <w:rPr>
                <w:rFonts w:ascii="Times New Roman" w:eastAsia="宋体" w:hAnsi="Times New Roman"/>
                <w:color w:val="000000"/>
                <w:sz w:val="20"/>
                <w:szCs w:val="20"/>
              </w:rPr>
              <w:t>116 </w:t>
            </w:r>
          </w:p>
        </w:tc>
        <w:tc>
          <w:tcPr>
            <w:tcW w:w="0" w:type="auto"/>
            <w:shd w:val="clear" w:color="auto" w:fill="CCEEFF"/>
            <w:tcMar>
              <w:top w:w="40" w:type="dxa"/>
              <w:bottom w:w="40" w:type="dxa"/>
              <w:right w:w="20" w:type="dxa"/>
            </w:tcMar>
            <w:vAlign w:val="center"/>
          </w:tcPr>
          <w:p w14:paraId="33DAE63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631"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632"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63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634" w14:textId="77777777" w:rsidR="004D6A64" w:rsidRDefault="00506CD6">
            <w:pPr>
              <w:jc w:val="right"/>
              <w:textAlignment w:val="center"/>
            </w:pPr>
            <w:r>
              <w:rPr>
                <w:rFonts w:ascii="Times New Roman" w:eastAsia="宋体" w:hAnsi="Times New Roman"/>
                <w:color w:val="000000"/>
                <w:sz w:val="20"/>
                <w:szCs w:val="20"/>
              </w:rPr>
              <w:t>203 </w:t>
            </w:r>
          </w:p>
        </w:tc>
        <w:tc>
          <w:tcPr>
            <w:tcW w:w="0" w:type="auto"/>
            <w:shd w:val="clear" w:color="auto" w:fill="CCEEFF"/>
            <w:tcMar>
              <w:top w:w="40" w:type="dxa"/>
              <w:bottom w:w="40" w:type="dxa"/>
              <w:right w:w="20" w:type="dxa"/>
            </w:tcMar>
            <w:vAlign w:val="center"/>
          </w:tcPr>
          <w:p w14:paraId="33DAE635" w14:textId="77777777" w:rsidR="004D6A64" w:rsidRDefault="004D6A64">
            <w:pPr>
              <w:jc w:val="right"/>
              <w:rPr>
                <w:rFonts w:ascii="宋体"/>
              </w:rPr>
            </w:pPr>
          </w:p>
        </w:tc>
        <w:tc>
          <w:tcPr>
            <w:tcW w:w="0" w:type="auto"/>
            <w:shd w:val="clear" w:color="auto" w:fill="auto"/>
          </w:tcPr>
          <w:p w14:paraId="33DAE636" w14:textId="77777777" w:rsidR="004D6A64" w:rsidRDefault="004D6A64">
            <w:pPr>
              <w:rPr>
                <w:rFonts w:ascii="宋体"/>
              </w:rPr>
            </w:pPr>
          </w:p>
        </w:tc>
        <w:tc>
          <w:tcPr>
            <w:tcW w:w="0" w:type="auto"/>
            <w:shd w:val="clear" w:color="auto" w:fill="auto"/>
          </w:tcPr>
          <w:p w14:paraId="33DAE637" w14:textId="77777777" w:rsidR="004D6A64" w:rsidRDefault="004D6A64">
            <w:pPr>
              <w:rPr>
                <w:rFonts w:ascii="宋体"/>
              </w:rPr>
            </w:pPr>
          </w:p>
        </w:tc>
        <w:tc>
          <w:tcPr>
            <w:tcW w:w="0" w:type="auto"/>
            <w:shd w:val="clear" w:color="auto" w:fill="auto"/>
          </w:tcPr>
          <w:p w14:paraId="33DAE638" w14:textId="77777777" w:rsidR="004D6A64" w:rsidRDefault="004D6A64">
            <w:pPr>
              <w:rPr>
                <w:rFonts w:ascii="宋体"/>
              </w:rPr>
            </w:pPr>
          </w:p>
        </w:tc>
        <w:tc>
          <w:tcPr>
            <w:tcW w:w="0" w:type="auto"/>
            <w:shd w:val="clear" w:color="auto" w:fill="auto"/>
          </w:tcPr>
          <w:p w14:paraId="33DAE639" w14:textId="77777777" w:rsidR="004D6A64" w:rsidRDefault="004D6A64">
            <w:pPr>
              <w:rPr>
                <w:rFonts w:ascii="宋体"/>
              </w:rPr>
            </w:pPr>
          </w:p>
        </w:tc>
        <w:tc>
          <w:tcPr>
            <w:tcW w:w="0" w:type="auto"/>
            <w:shd w:val="clear" w:color="auto" w:fill="auto"/>
          </w:tcPr>
          <w:p w14:paraId="33DAE63A" w14:textId="77777777" w:rsidR="004D6A64" w:rsidRDefault="004D6A64">
            <w:pPr>
              <w:rPr>
                <w:rFonts w:ascii="宋体"/>
              </w:rPr>
            </w:pPr>
          </w:p>
        </w:tc>
        <w:tc>
          <w:tcPr>
            <w:tcW w:w="0" w:type="auto"/>
            <w:shd w:val="clear" w:color="auto" w:fill="auto"/>
          </w:tcPr>
          <w:p w14:paraId="33DAE63B" w14:textId="77777777" w:rsidR="004D6A64" w:rsidRDefault="004D6A64">
            <w:pPr>
              <w:rPr>
                <w:rFonts w:ascii="宋体"/>
              </w:rPr>
            </w:pPr>
          </w:p>
        </w:tc>
        <w:tc>
          <w:tcPr>
            <w:tcW w:w="0" w:type="auto"/>
            <w:shd w:val="clear" w:color="auto" w:fill="auto"/>
          </w:tcPr>
          <w:p w14:paraId="33DAE63C" w14:textId="77777777" w:rsidR="004D6A64" w:rsidRDefault="004D6A64">
            <w:pPr>
              <w:rPr>
                <w:rFonts w:ascii="宋体"/>
              </w:rPr>
            </w:pPr>
          </w:p>
        </w:tc>
        <w:tc>
          <w:tcPr>
            <w:tcW w:w="0" w:type="auto"/>
            <w:shd w:val="clear" w:color="auto" w:fill="auto"/>
          </w:tcPr>
          <w:p w14:paraId="33DAE63D" w14:textId="77777777" w:rsidR="004D6A64" w:rsidRDefault="004D6A64">
            <w:pPr>
              <w:rPr>
                <w:rFonts w:ascii="宋体"/>
              </w:rPr>
            </w:pPr>
          </w:p>
        </w:tc>
        <w:tc>
          <w:tcPr>
            <w:tcW w:w="0" w:type="auto"/>
            <w:shd w:val="clear" w:color="auto" w:fill="auto"/>
          </w:tcPr>
          <w:p w14:paraId="33DAE63E" w14:textId="77777777" w:rsidR="004D6A64" w:rsidRDefault="004D6A64">
            <w:pPr>
              <w:rPr>
                <w:rFonts w:ascii="宋体"/>
              </w:rPr>
            </w:pPr>
          </w:p>
        </w:tc>
        <w:tc>
          <w:tcPr>
            <w:tcW w:w="0" w:type="auto"/>
            <w:shd w:val="clear" w:color="auto" w:fill="auto"/>
          </w:tcPr>
          <w:p w14:paraId="33DAE63F" w14:textId="77777777" w:rsidR="004D6A64" w:rsidRDefault="004D6A64">
            <w:pPr>
              <w:rPr>
                <w:rFonts w:ascii="宋体"/>
              </w:rPr>
            </w:pPr>
          </w:p>
        </w:tc>
        <w:tc>
          <w:tcPr>
            <w:tcW w:w="0" w:type="auto"/>
            <w:shd w:val="clear" w:color="auto" w:fill="auto"/>
          </w:tcPr>
          <w:p w14:paraId="33DAE640" w14:textId="77777777" w:rsidR="004D6A64" w:rsidRDefault="004D6A64">
            <w:pPr>
              <w:rPr>
                <w:rFonts w:ascii="宋体"/>
              </w:rPr>
            </w:pPr>
          </w:p>
        </w:tc>
        <w:tc>
          <w:tcPr>
            <w:tcW w:w="0" w:type="auto"/>
            <w:shd w:val="clear" w:color="auto" w:fill="auto"/>
          </w:tcPr>
          <w:p w14:paraId="33DAE641" w14:textId="77777777" w:rsidR="004D6A64" w:rsidRDefault="004D6A64">
            <w:pPr>
              <w:rPr>
                <w:rFonts w:ascii="宋体"/>
              </w:rPr>
            </w:pPr>
          </w:p>
        </w:tc>
        <w:tc>
          <w:tcPr>
            <w:tcW w:w="0" w:type="auto"/>
            <w:shd w:val="clear" w:color="auto" w:fill="auto"/>
          </w:tcPr>
          <w:p w14:paraId="33DAE642" w14:textId="77777777" w:rsidR="004D6A64" w:rsidRDefault="004D6A64">
            <w:pPr>
              <w:rPr>
                <w:rFonts w:ascii="宋体"/>
              </w:rPr>
            </w:pPr>
          </w:p>
        </w:tc>
        <w:tc>
          <w:tcPr>
            <w:tcW w:w="0" w:type="auto"/>
            <w:shd w:val="clear" w:color="auto" w:fill="auto"/>
          </w:tcPr>
          <w:p w14:paraId="33DAE643" w14:textId="77777777" w:rsidR="004D6A64" w:rsidRDefault="004D6A64">
            <w:pPr>
              <w:rPr>
                <w:rFonts w:ascii="宋体"/>
              </w:rPr>
            </w:pPr>
          </w:p>
        </w:tc>
        <w:tc>
          <w:tcPr>
            <w:tcW w:w="0" w:type="auto"/>
            <w:shd w:val="clear" w:color="auto" w:fill="auto"/>
          </w:tcPr>
          <w:p w14:paraId="33DAE644" w14:textId="77777777" w:rsidR="004D6A64" w:rsidRDefault="004D6A64">
            <w:pPr>
              <w:rPr>
                <w:rFonts w:ascii="宋体"/>
              </w:rPr>
            </w:pPr>
          </w:p>
        </w:tc>
        <w:tc>
          <w:tcPr>
            <w:tcW w:w="0" w:type="auto"/>
            <w:shd w:val="clear" w:color="auto" w:fill="auto"/>
          </w:tcPr>
          <w:p w14:paraId="33DAE645" w14:textId="77777777" w:rsidR="004D6A64" w:rsidRDefault="004D6A64">
            <w:pPr>
              <w:rPr>
                <w:rFonts w:ascii="宋体"/>
              </w:rPr>
            </w:pPr>
          </w:p>
        </w:tc>
        <w:tc>
          <w:tcPr>
            <w:tcW w:w="0" w:type="auto"/>
            <w:shd w:val="clear" w:color="auto" w:fill="auto"/>
          </w:tcPr>
          <w:p w14:paraId="33DAE646" w14:textId="77777777" w:rsidR="004D6A64" w:rsidRDefault="004D6A64">
            <w:pPr>
              <w:rPr>
                <w:rFonts w:ascii="宋体"/>
              </w:rPr>
            </w:pPr>
          </w:p>
        </w:tc>
        <w:tc>
          <w:tcPr>
            <w:tcW w:w="0" w:type="auto"/>
            <w:shd w:val="clear" w:color="auto" w:fill="auto"/>
          </w:tcPr>
          <w:p w14:paraId="33DAE647" w14:textId="77777777" w:rsidR="004D6A64" w:rsidRDefault="004D6A64">
            <w:pPr>
              <w:rPr>
                <w:rFonts w:ascii="宋体"/>
              </w:rPr>
            </w:pPr>
          </w:p>
        </w:tc>
        <w:tc>
          <w:tcPr>
            <w:tcW w:w="0" w:type="auto"/>
            <w:shd w:val="clear" w:color="auto" w:fill="auto"/>
          </w:tcPr>
          <w:p w14:paraId="33DAE648" w14:textId="77777777" w:rsidR="004D6A64" w:rsidRDefault="004D6A64">
            <w:pPr>
              <w:rPr>
                <w:rFonts w:ascii="宋体"/>
              </w:rPr>
            </w:pPr>
          </w:p>
        </w:tc>
        <w:tc>
          <w:tcPr>
            <w:tcW w:w="0" w:type="auto"/>
            <w:shd w:val="clear" w:color="auto" w:fill="auto"/>
          </w:tcPr>
          <w:p w14:paraId="33DAE649" w14:textId="77777777" w:rsidR="004D6A64" w:rsidRDefault="004D6A64">
            <w:pPr>
              <w:rPr>
                <w:rFonts w:ascii="宋体"/>
              </w:rPr>
            </w:pPr>
          </w:p>
        </w:tc>
        <w:tc>
          <w:tcPr>
            <w:tcW w:w="0" w:type="auto"/>
            <w:shd w:val="clear" w:color="auto" w:fill="auto"/>
          </w:tcPr>
          <w:p w14:paraId="33DAE64A" w14:textId="77777777" w:rsidR="004D6A64" w:rsidRDefault="004D6A64">
            <w:pPr>
              <w:rPr>
                <w:rFonts w:ascii="宋体"/>
              </w:rPr>
            </w:pPr>
          </w:p>
        </w:tc>
        <w:tc>
          <w:tcPr>
            <w:tcW w:w="0" w:type="auto"/>
            <w:shd w:val="clear" w:color="auto" w:fill="auto"/>
          </w:tcPr>
          <w:p w14:paraId="33DAE64B" w14:textId="77777777" w:rsidR="004D6A64" w:rsidRDefault="004D6A64">
            <w:pPr>
              <w:rPr>
                <w:rFonts w:ascii="宋体"/>
              </w:rPr>
            </w:pPr>
          </w:p>
        </w:tc>
        <w:tc>
          <w:tcPr>
            <w:tcW w:w="0" w:type="auto"/>
            <w:shd w:val="clear" w:color="auto" w:fill="auto"/>
          </w:tcPr>
          <w:p w14:paraId="33DAE64C" w14:textId="77777777" w:rsidR="004D6A64" w:rsidRDefault="004D6A64">
            <w:pPr>
              <w:rPr>
                <w:rFonts w:ascii="宋体"/>
              </w:rPr>
            </w:pPr>
          </w:p>
        </w:tc>
        <w:tc>
          <w:tcPr>
            <w:tcW w:w="0" w:type="auto"/>
            <w:shd w:val="clear" w:color="auto" w:fill="auto"/>
          </w:tcPr>
          <w:p w14:paraId="33DAE64D" w14:textId="77777777" w:rsidR="004D6A64" w:rsidRDefault="004D6A64">
            <w:pPr>
              <w:rPr>
                <w:rFonts w:ascii="宋体"/>
              </w:rPr>
            </w:pPr>
          </w:p>
        </w:tc>
        <w:tc>
          <w:tcPr>
            <w:tcW w:w="0" w:type="auto"/>
            <w:shd w:val="clear" w:color="auto" w:fill="auto"/>
          </w:tcPr>
          <w:p w14:paraId="33DAE64E" w14:textId="77777777" w:rsidR="004D6A64" w:rsidRDefault="004D6A64">
            <w:pPr>
              <w:rPr>
                <w:rFonts w:ascii="宋体"/>
              </w:rPr>
            </w:pPr>
          </w:p>
        </w:tc>
        <w:tc>
          <w:tcPr>
            <w:tcW w:w="0" w:type="auto"/>
            <w:shd w:val="clear" w:color="auto" w:fill="auto"/>
          </w:tcPr>
          <w:p w14:paraId="33DAE64F" w14:textId="77777777" w:rsidR="004D6A64" w:rsidRDefault="004D6A64">
            <w:pPr>
              <w:rPr>
                <w:rFonts w:ascii="宋体"/>
              </w:rPr>
            </w:pPr>
          </w:p>
        </w:tc>
        <w:tc>
          <w:tcPr>
            <w:tcW w:w="0" w:type="auto"/>
            <w:shd w:val="clear" w:color="auto" w:fill="auto"/>
          </w:tcPr>
          <w:p w14:paraId="33DAE650" w14:textId="77777777" w:rsidR="004D6A64" w:rsidRDefault="004D6A64">
            <w:pPr>
              <w:rPr>
                <w:rFonts w:ascii="宋体"/>
              </w:rPr>
            </w:pPr>
          </w:p>
        </w:tc>
      </w:tr>
      <w:tr w:rsidR="004D6A64" w14:paraId="33DAE67D" w14:textId="77777777">
        <w:trPr>
          <w:jc w:val="center"/>
        </w:trPr>
        <w:tc>
          <w:tcPr>
            <w:tcW w:w="0" w:type="auto"/>
            <w:gridSpan w:val="3"/>
            <w:shd w:val="clear" w:color="auto" w:fill="FFFFFF"/>
            <w:tcMar>
              <w:top w:w="40" w:type="dxa"/>
              <w:left w:w="225" w:type="dxa"/>
              <w:bottom w:w="40" w:type="dxa"/>
              <w:right w:w="20" w:type="dxa"/>
            </w:tcMar>
            <w:vAlign w:val="center"/>
          </w:tcPr>
          <w:p w14:paraId="33DAE652" w14:textId="77777777" w:rsidR="004D6A64" w:rsidRDefault="00506CD6">
            <w:pPr>
              <w:textAlignment w:val="center"/>
            </w:pPr>
            <w:r>
              <w:rPr>
                <w:rFonts w:ascii="Times New Roman" w:eastAsia="宋体" w:hAnsi="Times New Roman"/>
                <w:color w:val="000000"/>
                <w:sz w:val="20"/>
                <w:szCs w:val="20"/>
              </w:rPr>
              <w:t>Transaction-related (income) expenses</w:t>
            </w:r>
          </w:p>
        </w:tc>
        <w:tc>
          <w:tcPr>
            <w:tcW w:w="0" w:type="auto"/>
            <w:gridSpan w:val="2"/>
            <w:shd w:val="clear" w:color="auto" w:fill="FFFFFF"/>
            <w:tcMar>
              <w:top w:w="40" w:type="dxa"/>
              <w:left w:w="20" w:type="dxa"/>
              <w:bottom w:w="40" w:type="dxa"/>
              <w:right w:w="0" w:type="dxa"/>
            </w:tcMar>
            <w:vAlign w:val="center"/>
          </w:tcPr>
          <w:p w14:paraId="33DAE653" w14:textId="77777777" w:rsidR="004D6A64" w:rsidRDefault="00506CD6">
            <w:pPr>
              <w:jc w:val="right"/>
              <w:textAlignment w:val="center"/>
            </w:pPr>
            <w:r>
              <w:rPr>
                <w:rFonts w:ascii="Times New Roman" w:eastAsia="宋体" w:hAnsi="Times New Roman"/>
                <w:color w:val="000000"/>
                <w:sz w:val="20"/>
                <w:szCs w:val="20"/>
              </w:rPr>
              <w:t>83 </w:t>
            </w:r>
          </w:p>
        </w:tc>
        <w:tc>
          <w:tcPr>
            <w:tcW w:w="0" w:type="auto"/>
            <w:shd w:val="clear" w:color="auto" w:fill="FFFFFF"/>
            <w:tcMar>
              <w:top w:w="40" w:type="dxa"/>
              <w:bottom w:w="40" w:type="dxa"/>
              <w:right w:w="20" w:type="dxa"/>
            </w:tcMar>
            <w:vAlign w:val="center"/>
          </w:tcPr>
          <w:p w14:paraId="33DAE65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655"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656"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657"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658" w14:textId="77777777" w:rsidR="004D6A64" w:rsidRDefault="00506CD6">
            <w:pPr>
              <w:jc w:val="right"/>
              <w:textAlignment w:val="center"/>
            </w:pPr>
            <w:r>
              <w:rPr>
                <w:rFonts w:ascii="Times New Roman" w:eastAsia="宋体" w:hAnsi="Times New Roman"/>
                <w:color w:val="000000"/>
                <w:sz w:val="20"/>
                <w:szCs w:val="20"/>
              </w:rPr>
              <w:t>47 </w:t>
            </w:r>
          </w:p>
        </w:tc>
        <w:tc>
          <w:tcPr>
            <w:tcW w:w="0" w:type="auto"/>
            <w:shd w:val="clear" w:color="auto" w:fill="FFFFFF"/>
            <w:tcMar>
              <w:top w:w="40" w:type="dxa"/>
              <w:bottom w:w="40" w:type="dxa"/>
              <w:right w:w="20" w:type="dxa"/>
            </w:tcMar>
            <w:vAlign w:val="center"/>
          </w:tcPr>
          <w:p w14:paraId="33DAE65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65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65B" w14:textId="77777777" w:rsidR="004D6A64" w:rsidRDefault="00506CD6">
            <w:pPr>
              <w:jc w:val="right"/>
              <w:textAlignment w:val="center"/>
            </w:pPr>
            <w:r>
              <w:rPr>
                <w:rFonts w:ascii="Times New Roman" w:eastAsia="宋体" w:hAnsi="Times New Roman"/>
                <w:color w:val="000000"/>
                <w:sz w:val="20"/>
                <w:szCs w:val="20"/>
              </w:rPr>
              <w:t>39 </w:t>
            </w:r>
          </w:p>
        </w:tc>
        <w:tc>
          <w:tcPr>
            <w:tcW w:w="0" w:type="auto"/>
            <w:shd w:val="clear" w:color="auto" w:fill="FFFFFF"/>
            <w:tcMar>
              <w:top w:w="40" w:type="dxa"/>
              <w:bottom w:w="40" w:type="dxa"/>
              <w:right w:w="20" w:type="dxa"/>
            </w:tcMar>
            <w:vAlign w:val="center"/>
          </w:tcPr>
          <w:p w14:paraId="33DAE65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65D"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65E"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65F"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660" w14:textId="77777777" w:rsidR="004D6A64" w:rsidRDefault="00506CD6">
            <w:pPr>
              <w:jc w:val="right"/>
              <w:textAlignment w:val="center"/>
            </w:pPr>
            <w:r>
              <w:rPr>
                <w:rFonts w:ascii="Times New Roman" w:eastAsia="宋体" w:hAnsi="Times New Roman"/>
                <w:color w:val="000000"/>
                <w:sz w:val="20"/>
                <w:szCs w:val="20"/>
              </w:rPr>
              <w:t>89 </w:t>
            </w:r>
          </w:p>
        </w:tc>
        <w:tc>
          <w:tcPr>
            <w:tcW w:w="0" w:type="auto"/>
            <w:shd w:val="clear" w:color="auto" w:fill="FFFFFF"/>
            <w:tcMar>
              <w:top w:w="40" w:type="dxa"/>
              <w:bottom w:w="40" w:type="dxa"/>
              <w:right w:w="20" w:type="dxa"/>
            </w:tcMar>
            <w:vAlign w:val="center"/>
          </w:tcPr>
          <w:p w14:paraId="33DAE661" w14:textId="77777777" w:rsidR="004D6A64" w:rsidRDefault="004D6A64">
            <w:pPr>
              <w:jc w:val="right"/>
              <w:rPr>
                <w:rFonts w:ascii="宋体"/>
              </w:rPr>
            </w:pPr>
          </w:p>
        </w:tc>
        <w:tc>
          <w:tcPr>
            <w:tcW w:w="0" w:type="auto"/>
            <w:shd w:val="clear" w:color="auto" w:fill="auto"/>
          </w:tcPr>
          <w:p w14:paraId="33DAE662" w14:textId="77777777" w:rsidR="004D6A64" w:rsidRDefault="004D6A64">
            <w:pPr>
              <w:rPr>
                <w:rFonts w:ascii="宋体"/>
              </w:rPr>
            </w:pPr>
          </w:p>
        </w:tc>
        <w:tc>
          <w:tcPr>
            <w:tcW w:w="0" w:type="auto"/>
            <w:shd w:val="clear" w:color="auto" w:fill="auto"/>
          </w:tcPr>
          <w:p w14:paraId="33DAE663" w14:textId="77777777" w:rsidR="004D6A64" w:rsidRDefault="004D6A64">
            <w:pPr>
              <w:rPr>
                <w:rFonts w:ascii="宋体"/>
              </w:rPr>
            </w:pPr>
          </w:p>
        </w:tc>
        <w:tc>
          <w:tcPr>
            <w:tcW w:w="0" w:type="auto"/>
            <w:shd w:val="clear" w:color="auto" w:fill="auto"/>
          </w:tcPr>
          <w:p w14:paraId="33DAE664" w14:textId="77777777" w:rsidR="004D6A64" w:rsidRDefault="004D6A64">
            <w:pPr>
              <w:rPr>
                <w:rFonts w:ascii="宋体"/>
              </w:rPr>
            </w:pPr>
          </w:p>
        </w:tc>
        <w:tc>
          <w:tcPr>
            <w:tcW w:w="0" w:type="auto"/>
            <w:shd w:val="clear" w:color="auto" w:fill="auto"/>
          </w:tcPr>
          <w:p w14:paraId="33DAE665" w14:textId="77777777" w:rsidR="004D6A64" w:rsidRDefault="004D6A64">
            <w:pPr>
              <w:rPr>
                <w:rFonts w:ascii="宋体"/>
              </w:rPr>
            </w:pPr>
          </w:p>
        </w:tc>
        <w:tc>
          <w:tcPr>
            <w:tcW w:w="0" w:type="auto"/>
            <w:shd w:val="clear" w:color="auto" w:fill="auto"/>
          </w:tcPr>
          <w:p w14:paraId="33DAE666" w14:textId="77777777" w:rsidR="004D6A64" w:rsidRDefault="004D6A64">
            <w:pPr>
              <w:rPr>
                <w:rFonts w:ascii="宋体"/>
              </w:rPr>
            </w:pPr>
          </w:p>
        </w:tc>
        <w:tc>
          <w:tcPr>
            <w:tcW w:w="0" w:type="auto"/>
            <w:shd w:val="clear" w:color="auto" w:fill="auto"/>
          </w:tcPr>
          <w:p w14:paraId="33DAE667" w14:textId="77777777" w:rsidR="004D6A64" w:rsidRDefault="004D6A64">
            <w:pPr>
              <w:rPr>
                <w:rFonts w:ascii="宋体"/>
              </w:rPr>
            </w:pPr>
          </w:p>
        </w:tc>
        <w:tc>
          <w:tcPr>
            <w:tcW w:w="0" w:type="auto"/>
            <w:shd w:val="clear" w:color="auto" w:fill="auto"/>
          </w:tcPr>
          <w:p w14:paraId="33DAE668" w14:textId="77777777" w:rsidR="004D6A64" w:rsidRDefault="004D6A64">
            <w:pPr>
              <w:rPr>
                <w:rFonts w:ascii="宋体"/>
              </w:rPr>
            </w:pPr>
          </w:p>
        </w:tc>
        <w:tc>
          <w:tcPr>
            <w:tcW w:w="0" w:type="auto"/>
            <w:shd w:val="clear" w:color="auto" w:fill="auto"/>
          </w:tcPr>
          <w:p w14:paraId="33DAE669" w14:textId="77777777" w:rsidR="004D6A64" w:rsidRDefault="004D6A64">
            <w:pPr>
              <w:rPr>
                <w:rFonts w:ascii="宋体"/>
              </w:rPr>
            </w:pPr>
          </w:p>
        </w:tc>
        <w:tc>
          <w:tcPr>
            <w:tcW w:w="0" w:type="auto"/>
            <w:shd w:val="clear" w:color="auto" w:fill="auto"/>
          </w:tcPr>
          <w:p w14:paraId="33DAE66A" w14:textId="77777777" w:rsidR="004D6A64" w:rsidRDefault="004D6A64">
            <w:pPr>
              <w:rPr>
                <w:rFonts w:ascii="宋体"/>
              </w:rPr>
            </w:pPr>
          </w:p>
        </w:tc>
        <w:tc>
          <w:tcPr>
            <w:tcW w:w="0" w:type="auto"/>
            <w:shd w:val="clear" w:color="auto" w:fill="auto"/>
          </w:tcPr>
          <w:p w14:paraId="33DAE66B" w14:textId="77777777" w:rsidR="004D6A64" w:rsidRDefault="004D6A64">
            <w:pPr>
              <w:rPr>
                <w:rFonts w:ascii="宋体"/>
              </w:rPr>
            </w:pPr>
          </w:p>
        </w:tc>
        <w:tc>
          <w:tcPr>
            <w:tcW w:w="0" w:type="auto"/>
            <w:shd w:val="clear" w:color="auto" w:fill="auto"/>
          </w:tcPr>
          <w:p w14:paraId="33DAE66C" w14:textId="77777777" w:rsidR="004D6A64" w:rsidRDefault="004D6A64">
            <w:pPr>
              <w:rPr>
                <w:rFonts w:ascii="宋体"/>
              </w:rPr>
            </w:pPr>
          </w:p>
        </w:tc>
        <w:tc>
          <w:tcPr>
            <w:tcW w:w="0" w:type="auto"/>
            <w:shd w:val="clear" w:color="auto" w:fill="auto"/>
          </w:tcPr>
          <w:p w14:paraId="33DAE66D" w14:textId="77777777" w:rsidR="004D6A64" w:rsidRDefault="004D6A64">
            <w:pPr>
              <w:rPr>
                <w:rFonts w:ascii="宋体"/>
              </w:rPr>
            </w:pPr>
          </w:p>
        </w:tc>
        <w:tc>
          <w:tcPr>
            <w:tcW w:w="0" w:type="auto"/>
            <w:shd w:val="clear" w:color="auto" w:fill="auto"/>
          </w:tcPr>
          <w:p w14:paraId="33DAE66E" w14:textId="77777777" w:rsidR="004D6A64" w:rsidRDefault="004D6A64">
            <w:pPr>
              <w:rPr>
                <w:rFonts w:ascii="宋体"/>
              </w:rPr>
            </w:pPr>
          </w:p>
        </w:tc>
        <w:tc>
          <w:tcPr>
            <w:tcW w:w="0" w:type="auto"/>
            <w:shd w:val="clear" w:color="auto" w:fill="auto"/>
          </w:tcPr>
          <w:p w14:paraId="33DAE66F" w14:textId="77777777" w:rsidR="004D6A64" w:rsidRDefault="004D6A64">
            <w:pPr>
              <w:rPr>
                <w:rFonts w:ascii="宋体"/>
              </w:rPr>
            </w:pPr>
          </w:p>
        </w:tc>
        <w:tc>
          <w:tcPr>
            <w:tcW w:w="0" w:type="auto"/>
            <w:shd w:val="clear" w:color="auto" w:fill="auto"/>
          </w:tcPr>
          <w:p w14:paraId="33DAE670" w14:textId="77777777" w:rsidR="004D6A64" w:rsidRDefault="004D6A64">
            <w:pPr>
              <w:rPr>
                <w:rFonts w:ascii="宋体"/>
              </w:rPr>
            </w:pPr>
          </w:p>
        </w:tc>
        <w:tc>
          <w:tcPr>
            <w:tcW w:w="0" w:type="auto"/>
            <w:shd w:val="clear" w:color="auto" w:fill="auto"/>
          </w:tcPr>
          <w:p w14:paraId="33DAE671" w14:textId="77777777" w:rsidR="004D6A64" w:rsidRDefault="004D6A64">
            <w:pPr>
              <w:rPr>
                <w:rFonts w:ascii="宋体"/>
              </w:rPr>
            </w:pPr>
          </w:p>
        </w:tc>
        <w:tc>
          <w:tcPr>
            <w:tcW w:w="0" w:type="auto"/>
            <w:shd w:val="clear" w:color="auto" w:fill="auto"/>
          </w:tcPr>
          <w:p w14:paraId="33DAE672" w14:textId="77777777" w:rsidR="004D6A64" w:rsidRDefault="004D6A64">
            <w:pPr>
              <w:rPr>
                <w:rFonts w:ascii="宋体"/>
              </w:rPr>
            </w:pPr>
          </w:p>
        </w:tc>
        <w:tc>
          <w:tcPr>
            <w:tcW w:w="0" w:type="auto"/>
            <w:shd w:val="clear" w:color="auto" w:fill="auto"/>
          </w:tcPr>
          <w:p w14:paraId="33DAE673" w14:textId="77777777" w:rsidR="004D6A64" w:rsidRDefault="004D6A64">
            <w:pPr>
              <w:rPr>
                <w:rFonts w:ascii="宋体"/>
              </w:rPr>
            </w:pPr>
          </w:p>
        </w:tc>
        <w:tc>
          <w:tcPr>
            <w:tcW w:w="0" w:type="auto"/>
            <w:shd w:val="clear" w:color="auto" w:fill="auto"/>
          </w:tcPr>
          <w:p w14:paraId="33DAE674" w14:textId="77777777" w:rsidR="004D6A64" w:rsidRDefault="004D6A64">
            <w:pPr>
              <w:rPr>
                <w:rFonts w:ascii="宋体"/>
              </w:rPr>
            </w:pPr>
          </w:p>
        </w:tc>
        <w:tc>
          <w:tcPr>
            <w:tcW w:w="0" w:type="auto"/>
            <w:shd w:val="clear" w:color="auto" w:fill="auto"/>
          </w:tcPr>
          <w:p w14:paraId="33DAE675" w14:textId="77777777" w:rsidR="004D6A64" w:rsidRDefault="004D6A64">
            <w:pPr>
              <w:rPr>
                <w:rFonts w:ascii="宋体"/>
              </w:rPr>
            </w:pPr>
          </w:p>
        </w:tc>
        <w:tc>
          <w:tcPr>
            <w:tcW w:w="0" w:type="auto"/>
            <w:shd w:val="clear" w:color="auto" w:fill="auto"/>
          </w:tcPr>
          <w:p w14:paraId="33DAE676" w14:textId="77777777" w:rsidR="004D6A64" w:rsidRDefault="004D6A64">
            <w:pPr>
              <w:rPr>
                <w:rFonts w:ascii="宋体"/>
              </w:rPr>
            </w:pPr>
          </w:p>
        </w:tc>
        <w:tc>
          <w:tcPr>
            <w:tcW w:w="0" w:type="auto"/>
            <w:shd w:val="clear" w:color="auto" w:fill="auto"/>
          </w:tcPr>
          <w:p w14:paraId="33DAE677" w14:textId="77777777" w:rsidR="004D6A64" w:rsidRDefault="004D6A64">
            <w:pPr>
              <w:rPr>
                <w:rFonts w:ascii="宋体"/>
              </w:rPr>
            </w:pPr>
          </w:p>
        </w:tc>
        <w:tc>
          <w:tcPr>
            <w:tcW w:w="0" w:type="auto"/>
            <w:shd w:val="clear" w:color="auto" w:fill="auto"/>
          </w:tcPr>
          <w:p w14:paraId="33DAE678" w14:textId="77777777" w:rsidR="004D6A64" w:rsidRDefault="004D6A64">
            <w:pPr>
              <w:rPr>
                <w:rFonts w:ascii="宋体"/>
              </w:rPr>
            </w:pPr>
          </w:p>
        </w:tc>
        <w:tc>
          <w:tcPr>
            <w:tcW w:w="0" w:type="auto"/>
            <w:shd w:val="clear" w:color="auto" w:fill="auto"/>
          </w:tcPr>
          <w:p w14:paraId="33DAE679" w14:textId="77777777" w:rsidR="004D6A64" w:rsidRDefault="004D6A64">
            <w:pPr>
              <w:rPr>
                <w:rFonts w:ascii="宋体"/>
              </w:rPr>
            </w:pPr>
          </w:p>
        </w:tc>
        <w:tc>
          <w:tcPr>
            <w:tcW w:w="0" w:type="auto"/>
            <w:shd w:val="clear" w:color="auto" w:fill="auto"/>
          </w:tcPr>
          <w:p w14:paraId="33DAE67A" w14:textId="77777777" w:rsidR="004D6A64" w:rsidRDefault="004D6A64">
            <w:pPr>
              <w:rPr>
                <w:rFonts w:ascii="宋体"/>
              </w:rPr>
            </w:pPr>
          </w:p>
        </w:tc>
        <w:tc>
          <w:tcPr>
            <w:tcW w:w="0" w:type="auto"/>
            <w:shd w:val="clear" w:color="auto" w:fill="auto"/>
          </w:tcPr>
          <w:p w14:paraId="33DAE67B" w14:textId="77777777" w:rsidR="004D6A64" w:rsidRDefault="004D6A64">
            <w:pPr>
              <w:rPr>
                <w:rFonts w:ascii="宋体"/>
              </w:rPr>
            </w:pPr>
          </w:p>
        </w:tc>
        <w:tc>
          <w:tcPr>
            <w:tcW w:w="0" w:type="auto"/>
            <w:shd w:val="clear" w:color="auto" w:fill="auto"/>
          </w:tcPr>
          <w:p w14:paraId="33DAE67C" w14:textId="77777777" w:rsidR="004D6A64" w:rsidRDefault="004D6A64">
            <w:pPr>
              <w:rPr>
                <w:rFonts w:ascii="宋体"/>
              </w:rPr>
            </w:pPr>
          </w:p>
        </w:tc>
      </w:tr>
      <w:tr w:rsidR="004D6A64" w14:paraId="33DAE6A9" w14:textId="77777777">
        <w:trPr>
          <w:jc w:val="center"/>
        </w:trPr>
        <w:tc>
          <w:tcPr>
            <w:tcW w:w="0" w:type="auto"/>
            <w:gridSpan w:val="3"/>
            <w:shd w:val="clear" w:color="auto" w:fill="CCEEFF"/>
            <w:tcMar>
              <w:top w:w="40" w:type="dxa"/>
              <w:left w:w="225" w:type="dxa"/>
              <w:bottom w:w="40" w:type="dxa"/>
              <w:right w:w="20" w:type="dxa"/>
            </w:tcMar>
            <w:vAlign w:val="center"/>
          </w:tcPr>
          <w:p w14:paraId="33DAE67E" w14:textId="77777777" w:rsidR="004D6A64" w:rsidRDefault="00506CD6">
            <w:pPr>
              <w:textAlignment w:val="center"/>
            </w:pPr>
            <w:r>
              <w:rPr>
                <w:rFonts w:ascii="Times New Roman" w:eastAsia="宋体" w:hAnsi="Times New Roman"/>
                <w:color w:val="000000"/>
                <w:sz w:val="20"/>
                <w:szCs w:val="20"/>
              </w:rPr>
              <w:t>Stock-based compensation expense</w:t>
            </w:r>
          </w:p>
        </w:tc>
        <w:tc>
          <w:tcPr>
            <w:tcW w:w="0" w:type="auto"/>
            <w:gridSpan w:val="2"/>
            <w:shd w:val="clear" w:color="auto" w:fill="CCEEFF"/>
            <w:tcMar>
              <w:top w:w="40" w:type="dxa"/>
              <w:left w:w="20" w:type="dxa"/>
              <w:bottom w:w="40" w:type="dxa"/>
              <w:right w:w="0" w:type="dxa"/>
            </w:tcMar>
            <w:vAlign w:val="center"/>
          </w:tcPr>
          <w:p w14:paraId="33DAE67F" w14:textId="77777777" w:rsidR="004D6A64" w:rsidRDefault="00506CD6">
            <w:pPr>
              <w:jc w:val="right"/>
              <w:textAlignment w:val="center"/>
            </w:pPr>
            <w:r>
              <w:rPr>
                <w:rFonts w:ascii="Times New Roman" w:eastAsia="宋体" w:hAnsi="Times New Roman"/>
                <w:color w:val="000000"/>
                <w:sz w:val="20"/>
                <w:szCs w:val="20"/>
              </w:rPr>
              <w:t>413 </w:t>
            </w:r>
          </w:p>
        </w:tc>
        <w:tc>
          <w:tcPr>
            <w:tcW w:w="0" w:type="auto"/>
            <w:shd w:val="clear" w:color="auto" w:fill="CCEEFF"/>
            <w:tcMar>
              <w:top w:w="40" w:type="dxa"/>
              <w:bottom w:w="40" w:type="dxa"/>
              <w:right w:w="20" w:type="dxa"/>
            </w:tcMar>
            <w:vAlign w:val="center"/>
          </w:tcPr>
          <w:p w14:paraId="33DAE68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681"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682"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68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684" w14:textId="77777777" w:rsidR="004D6A64" w:rsidRDefault="00506CD6">
            <w:pPr>
              <w:jc w:val="right"/>
              <w:textAlignment w:val="center"/>
            </w:pPr>
            <w:r>
              <w:rPr>
                <w:rFonts w:ascii="Times New Roman" w:eastAsia="宋体" w:hAnsi="Times New Roman"/>
                <w:color w:val="000000"/>
                <w:sz w:val="20"/>
                <w:szCs w:val="20"/>
              </w:rPr>
              <w:t>301 </w:t>
            </w:r>
          </w:p>
        </w:tc>
        <w:tc>
          <w:tcPr>
            <w:tcW w:w="0" w:type="auto"/>
            <w:shd w:val="clear" w:color="auto" w:fill="CCEEFF"/>
            <w:tcMar>
              <w:top w:w="40" w:type="dxa"/>
              <w:bottom w:w="40" w:type="dxa"/>
              <w:right w:w="20" w:type="dxa"/>
            </w:tcMar>
            <w:vAlign w:val="center"/>
          </w:tcPr>
          <w:p w14:paraId="33DAE68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68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687" w14:textId="77777777" w:rsidR="004D6A64" w:rsidRDefault="00506CD6">
            <w:pPr>
              <w:jc w:val="right"/>
              <w:textAlignment w:val="center"/>
            </w:pPr>
            <w:r>
              <w:rPr>
                <w:rFonts w:ascii="Times New Roman" w:eastAsia="宋体" w:hAnsi="Times New Roman"/>
                <w:color w:val="000000"/>
                <w:sz w:val="20"/>
                <w:szCs w:val="20"/>
              </w:rPr>
              <w:t>783 </w:t>
            </w:r>
          </w:p>
        </w:tc>
        <w:tc>
          <w:tcPr>
            <w:tcW w:w="0" w:type="auto"/>
            <w:shd w:val="clear" w:color="auto" w:fill="CCEEFF"/>
            <w:tcMar>
              <w:top w:w="40" w:type="dxa"/>
              <w:bottom w:w="40" w:type="dxa"/>
              <w:right w:w="20" w:type="dxa"/>
            </w:tcMar>
            <w:vAlign w:val="center"/>
          </w:tcPr>
          <w:p w14:paraId="33DAE68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689"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68A"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68B"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68C" w14:textId="77777777" w:rsidR="004D6A64" w:rsidRDefault="00506CD6">
            <w:pPr>
              <w:jc w:val="right"/>
              <w:textAlignment w:val="center"/>
            </w:pPr>
            <w:r>
              <w:rPr>
                <w:rFonts w:ascii="Times New Roman" w:eastAsia="宋体" w:hAnsi="Times New Roman"/>
                <w:color w:val="000000"/>
                <w:sz w:val="20"/>
                <w:szCs w:val="20"/>
              </w:rPr>
              <w:t>564 </w:t>
            </w:r>
          </w:p>
        </w:tc>
        <w:tc>
          <w:tcPr>
            <w:tcW w:w="0" w:type="auto"/>
            <w:shd w:val="clear" w:color="auto" w:fill="CCEEFF"/>
            <w:tcMar>
              <w:top w:w="40" w:type="dxa"/>
              <w:bottom w:w="40" w:type="dxa"/>
              <w:right w:w="20" w:type="dxa"/>
            </w:tcMar>
            <w:vAlign w:val="center"/>
          </w:tcPr>
          <w:p w14:paraId="33DAE68D" w14:textId="77777777" w:rsidR="004D6A64" w:rsidRDefault="004D6A64">
            <w:pPr>
              <w:jc w:val="right"/>
              <w:rPr>
                <w:rFonts w:ascii="宋体"/>
              </w:rPr>
            </w:pPr>
          </w:p>
        </w:tc>
        <w:tc>
          <w:tcPr>
            <w:tcW w:w="0" w:type="auto"/>
            <w:shd w:val="clear" w:color="auto" w:fill="auto"/>
          </w:tcPr>
          <w:p w14:paraId="33DAE68E" w14:textId="77777777" w:rsidR="004D6A64" w:rsidRDefault="004D6A64">
            <w:pPr>
              <w:rPr>
                <w:rFonts w:ascii="宋体"/>
              </w:rPr>
            </w:pPr>
          </w:p>
        </w:tc>
        <w:tc>
          <w:tcPr>
            <w:tcW w:w="0" w:type="auto"/>
            <w:shd w:val="clear" w:color="auto" w:fill="auto"/>
          </w:tcPr>
          <w:p w14:paraId="33DAE68F" w14:textId="77777777" w:rsidR="004D6A64" w:rsidRDefault="004D6A64">
            <w:pPr>
              <w:rPr>
                <w:rFonts w:ascii="宋体"/>
              </w:rPr>
            </w:pPr>
          </w:p>
        </w:tc>
        <w:tc>
          <w:tcPr>
            <w:tcW w:w="0" w:type="auto"/>
            <w:shd w:val="clear" w:color="auto" w:fill="auto"/>
          </w:tcPr>
          <w:p w14:paraId="33DAE690" w14:textId="77777777" w:rsidR="004D6A64" w:rsidRDefault="004D6A64">
            <w:pPr>
              <w:rPr>
                <w:rFonts w:ascii="宋体"/>
              </w:rPr>
            </w:pPr>
          </w:p>
        </w:tc>
        <w:tc>
          <w:tcPr>
            <w:tcW w:w="0" w:type="auto"/>
            <w:shd w:val="clear" w:color="auto" w:fill="auto"/>
          </w:tcPr>
          <w:p w14:paraId="33DAE691" w14:textId="77777777" w:rsidR="004D6A64" w:rsidRDefault="004D6A64">
            <w:pPr>
              <w:rPr>
                <w:rFonts w:ascii="宋体"/>
              </w:rPr>
            </w:pPr>
          </w:p>
        </w:tc>
        <w:tc>
          <w:tcPr>
            <w:tcW w:w="0" w:type="auto"/>
            <w:shd w:val="clear" w:color="auto" w:fill="auto"/>
          </w:tcPr>
          <w:p w14:paraId="33DAE692" w14:textId="77777777" w:rsidR="004D6A64" w:rsidRDefault="004D6A64">
            <w:pPr>
              <w:rPr>
                <w:rFonts w:ascii="宋体"/>
              </w:rPr>
            </w:pPr>
          </w:p>
        </w:tc>
        <w:tc>
          <w:tcPr>
            <w:tcW w:w="0" w:type="auto"/>
            <w:shd w:val="clear" w:color="auto" w:fill="auto"/>
          </w:tcPr>
          <w:p w14:paraId="33DAE693" w14:textId="77777777" w:rsidR="004D6A64" w:rsidRDefault="004D6A64">
            <w:pPr>
              <w:rPr>
                <w:rFonts w:ascii="宋体"/>
              </w:rPr>
            </w:pPr>
          </w:p>
        </w:tc>
        <w:tc>
          <w:tcPr>
            <w:tcW w:w="0" w:type="auto"/>
            <w:shd w:val="clear" w:color="auto" w:fill="auto"/>
          </w:tcPr>
          <w:p w14:paraId="33DAE694" w14:textId="77777777" w:rsidR="004D6A64" w:rsidRDefault="004D6A64">
            <w:pPr>
              <w:rPr>
                <w:rFonts w:ascii="宋体"/>
              </w:rPr>
            </w:pPr>
          </w:p>
        </w:tc>
        <w:tc>
          <w:tcPr>
            <w:tcW w:w="0" w:type="auto"/>
            <w:shd w:val="clear" w:color="auto" w:fill="auto"/>
          </w:tcPr>
          <w:p w14:paraId="33DAE695" w14:textId="77777777" w:rsidR="004D6A64" w:rsidRDefault="004D6A64">
            <w:pPr>
              <w:rPr>
                <w:rFonts w:ascii="宋体"/>
              </w:rPr>
            </w:pPr>
          </w:p>
        </w:tc>
        <w:tc>
          <w:tcPr>
            <w:tcW w:w="0" w:type="auto"/>
            <w:shd w:val="clear" w:color="auto" w:fill="auto"/>
          </w:tcPr>
          <w:p w14:paraId="33DAE696" w14:textId="77777777" w:rsidR="004D6A64" w:rsidRDefault="004D6A64">
            <w:pPr>
              <w:rPr>
                <w:rFonts w:ascii="宋体"/>
              </w:rPr>
            </w:pPr>
          </w:p>
        </w:tc>
        <w:tc>
          <w:tcPr>
            <w:tcW w:w="0" w:type="auto"/>
            <w:shd w:val="clear" w:color="auto" w:fill="auto"/>
          </w:tcPr>
          <w:p w14:paraId="33DAE697" w14:textId="77777777" w:rsidR="004D6A64" w:rsidRDefault="004D6A64">
            <w:pPr>
              <w:rPr>
                <w:rFonts w:ascii="宋体"/>
              </w:rPr>
            </w:pPr>
          </w:p>
        </w:tc>
        <w:tc>
          <w:tcPr>
            <w:tcW w:w="0" w:type="auto"/>
            <w:shd w:val="clear" w:color="auto" w:fill="auto"/>
          </w:tcPr>
          <w:p w14:paraId="33DAE698" w14:textId="77777777" w:rsidR="004D6A64" w:rsidRDefault="004D6A64">
            <w:pPr>
              <w:rPr>
                <w:rFonts w:ascii="宋体"/>
              </w:rPr>
            </w:pPr>
          </w:p>
        </w:tc>
        <w:tc>
          <w:tcPr>
            <w:tcW w:w="0" w:type="auto"/>
            <w:shd w:val="clear" w:color="auto" w:fill="auto"/>
          </w:tcPr>
          <w:p w14:paraId="33DAE699" w14:textId="77777777" w:rsidR="004D6A64" w:rsidRDefault="004D6A64">
            <w:pPr>
              <w:rPr>
                <w:rFonts w:ascii="宋体"/>
              </w:rPr>
            </w:pPr>
          </w:p>
        </w:tc>
        <w:tc>
          <w:tcPr>
            <w:tcW w:w="0" w:type="auto"/>
            <w:shd w:val="clear" w:color="auto" w:fill="auto"/>
          </w:tcPr>
          <w:p w14:paraId="33DAE69A" w14:textId="77777777" w:rsidR="004D6A64" w:rsidRDefault="004D6A64">
            <w:pPr>
              <w:rPr>
                <w:rFonts w:ascii="宋体"/>
              </w:rPr>
            </w:pPr>
          </w:p>
        </w:tc>
        <w:tc>
          <w:tcPr>
            <w:tcW w:w="0" w:type="auto"/>
            <w:shd w:val="clear" w:color="auto" w:fill="auto"/>
          </w:tcPr>
          <w:p w14:paraId="33DAE69B" w14:textId="77777777" w:rsidR="004D6A64" w:rsidRDefault="004D6A64">
            <w:pPr>
              <w:rPr>
                <w:rFonts w:ascii="宋体"/>
              </w:rPr>
            </w:pPr>
          </w:p>
        </w:tc>
        <w:tc>
          <w:tcPr>
            <w:tcW w:w="0" w:type="auto"/>
            <w:shd w:val="clear" w:color="auto" w:fill="auto"/>
          </w:tcPr>
          <w:p w14:paraId="33DAE69C" w14:textId="77777777" w:rsidR="004D6A64" w:rsidRDefault="004D6A64">
            <w:pPr>
              <w:rPr>
                <w:rFonts w:ascii="宋体"/>
              </w:rPr>
            </w:pPr>
          </w:p>
        </w:tc>
        <w:tc>
          <w:tcPr>
            <w:tcW w:w="0" w:type="auto"/>
            <w:shd w:val="clear" w:color="auto" w:fill="auto"/>
          </w:tcPr>
          <w:p w14:paraId="33DAE69D" w14:textId="77777777" w:rsidR="004D6A64" w:rsidRDefault="004D6A64">
            <w:pPr>
              <w:rPr>
                <w:rFonts w:ascii="宋体"/>
              </w:rPr>
            </w:pPr>
          </w:p>
        </w:tc>
        <w:tc>
          <w:tcPr>
            <w:tcW w:w="0" w:type="auto"/>
            <w:shd w:val="clear" w:color="auto" w:fill="auto"/>
          </w:tcPr>
          <w:p w14:paraId="33DAE69E" w14:textId="77777777" w:rsidR="004D6A64" w:rsidRDefault="004D6A64">
            <w:pPr>
              <w:rPr>
                <w:rFonts w:ascii="宋体"/>
              </w:rPr>
            </w:pPr>
          </w:p>
        </w:tc>
        <w:tc>
          <w:tcPr>
            <w:tcW w:w="0" w:type="auto"/>
            <w:shd w:val="clear" w:color="auto" w:fill="auto"/>
          </w:tcPr>
          <w:p w14:paraId="33DAE69F" w14:textId="77777777" w:rsidR="004D6A64" w:rsidRDefault="004D6A64">
            <w:pPr>
              <w:rPr>
                <w:rFonts w:ascii="宋体"/>
              </w:rPr>
            </w:pPr>
          </w:p>
        </w:tc>
        <w:tc>
          <w:tcPr>
            <w:tcW w:w="0" w:type="auto"/>
            <w:shd w:val="clear" w:color="auto" w:fill="auto"/>
          </w:tcPr>
          <w:p w14:paraId="33DAE6A0" w14:textId="77777777" w:rsidR="004D6A64" w:rsidRDefault="004D6A64">
            <w:pPr>
              <w:rPr>
                <w:rFonts w:ascii="宋体"/>
              </w:rPr>
            </w:pPr>
          </w:p>
        </w:tc>
        <w:tc>
          <w:tcPr>
            <w:tcW w:w="0" w:type="auto"/>
            <w:shd w:val="clear" w:color="auto" w:fill="auto"/>
          </w:tcPr>
          <w:p w14:paraId="33DAE6A1" w14:textId="77777777" w:rsidR="004D6A64" w:rsidRDefault="004D6A64">
            <w:pPr>
              <w:rPr>
                <w:rFonts w:ascii="宋体"/>
              </w:rPr>
            </w:pPr>
          </w:p>
        </w:tc>
        <w:tc>
          <w:tcPr>
            <w:tcW w:w="0" w:type="auto"/>
            <w:shd w:val="clear" w:color="auto" w:fill="auto"/>
          </w:tcPr>
          <w:p w14:paraId="33DAE6A2" w14:textId="77777777" w:rsidR="004D6A64" w:rsidRDefault="004D6A64">
            <w:pPr>
              <w:rPr>
                <w:rFonts w:ascii="宋体"/>
              </w:rPr>
            </w:pPr>
          </w:p>
        </w:tc>
        <w:tc>
          <w:tcPr>
            <w:tcW w:w="0" w:type="auto"/>
            <w:shd w:val="clear" w:color="auto" w:fill="auto"/>
          </w:tcPr>
          <w:p w14:paraId="33DAE6A3" w14:textId="77777777" w:rsidR="004D6A64" w:rsidRDefault="004D6A64">
            <w:pPr>
              <w:rPr>
                <w:rFonts w:ascii="宋体"/>
              </w:rPr>
            </w:pPr>
          </w:p>
        </w:tc>
        <w:tc>
          <w:tcPr>
            <w:tcW w:w="0" w:type="auto"/>
            <w:shd w:val="clear" w:color="auto" w:fill="auto"/>
          </w:tcPr>
          <w:p w14:paraId="33DAE6A4" w14:textId="77777777" w:rsidR="004D6A64" w:rsidRDefault="004D6A64">
            <w:pPr>
              <w:rPr>
                <w:rFonts w:ascii="宋体"/>
              </w:rPr>
            </w:pPr>
          </w:p>
        </w:tc>
        <w:tc>
          <w:tcPr>
            <w:tcW w:w="0" w:type="auto"/>
            <w:shd w:val="clear" w:color="auto" w:fill="auto"/>
          </w:tcPr>
          <w:p w14:paraId="33DAE6A5" w14:textId="77777777" w:rsidR="004D6A64" w:rsidRDefault="004D6A64">
            <w:pPr>
              <w:rPr>
                <w:rFonts w:ascii="宋体"/>
              </w:rPr>
            </w:pPr>
          </w:p>
        </w:tc>
        <w:tc>
          <w:tcPr>
            <w:tcW w:w="0" w:type="auto"/>
            <w:shd w:val="clear" w:color="auto" w:fill="auto"/>
          </w:tcPr>
          <w:p w14:paraId="33DAE6A6" w14:textId="77777777" w:rsidR="004D6A64" w:rsidRDefault="004D6A64">
            <w:pPr>
              <w:rPr>
                <w:rFonts w:ascii="宋体"/>
              </w:rPr>
            </w:pPr>
          </w:p>
        </w:tc>
        <w:tc>
          <w:tcPr>
            <w:tcW w:w="0" w:type="auto"/>
            <w:shd w:val="clear" w:color="auto" w:fill="auto"/>
          </w:tcPr>
          <w:p w14:paraId="33DAE6A7" w14:textId="77777777" w:rsidR="004D6A64" w:rsidRDefault="004D6A64">
            <w:pPr>
              <w:rPr>
                <w:rFonts w:ascii="宋体"/>
              </w:rPr>
            </w:pPr>
          </w:p>
        </w:tc>
        <w:tc>
          <w:tcPr>
            <w:tcW w:w="0" w:type="auto"/>
            <w:shd w:val="clear" w:color="auto" w:fill="auto"/>
          </w:tcPr>
          <w:p w14:paraId="33DAE6A8" w14:textId="77777777" w:rsidR="004D6A64" w:rsidRDefault="004D6A64">
            <w:pPr>
              <w:rPr>
                <w:rFonts w:ascii="宋体"/>
              </w:rPr>
            </w:pPr>
          </w:p>
        </w:tc>
      </w:tr>
      <w:tr w:rsidR="004D6A64" w14:paraId="33DAE6D5" w14:textId="77777777">
        <w:trPr>
          <w:jc w:val="center"/>
        </w:trPr>
        <w:tc>
          <w:tcPr>
            <w:tcW w:w="0" w:type="auto"/>
            <w:gridSpan w:val="3"/>
            <w:shd w:val="clear" w:color="auto" w:fill="FFFFFF"/>
            <w:tcMar>
              <w:top w:w="40" w:type="dxa"/>
              <w:left w:w="225" w:type="dxa"/>
              <w:bottom w:w="40" w:type="dxa"/>
              <w:right w:w="20" w:type="dxa"/>
            </w:tcMar>
            <w:vAlign w:val="center"/>
          </w:tcPr>
          <w:p w14:paraId="33DAE6AA" w14:textId="77777777" w:rsidR="004D6A64" w:rsidRDefault="00506CD6">
            <w:pPr>
              <w:textAlignment w:val="center"/>
            </w:pPr>
            <w:r>
              <w:rPr>
                <w:rFonts w:ascii="Times New Roman" w:eastAsia="宋体" w:hAnsi="Times New Roman"/>
                <w:color w:val="000000"/>
                <w:sz w:val="20"/>
                <w:szCs w:val="20"/>
              </w:rPr>
              <w:t>Other corporate expenses</w:t>
            </w:r>
          </w:p>
        </w:tc>
        <w:tc>
          <w:tcPr>
            <w:tcW w:w="0" w:type="auto"/>
            <w:gridSpan w:val="2"/>
            <w:shd w:val="clear" w:color="auto" w:fill="FFFFFF"/>
            <w:tcMar>
              <w:top w:w="40" w:type="dxa"/>
              <w:left w:w="20" w:type="dxa"/>
              <w:bottom w:w="40" w:type="dxa"/>
              <w:right w:w="0" w:type="dxa"/>
            </w:tcMar>
            <w:vAlign w:val="center"/>
          </w:tcPr>
          <w:p w14:paraId="33DAE6AB" w14:textId="77777777" w:rsidR="004D6A64" w:rsidRDefault="00506CD6">
            <w:pPr>
              <w:jc w:val="right"/>
              <w:textAlignment w:val="center"/>
            </w:pPr>
            <w:r>
              <w:rPr>
                <w:rFonts w:ascii="Times New Roman" w:eastAsia="宋体" w:hAnsi="Times New Roman"/>
                <w:color w:val="000000"/>
                <w:sz w:val="20"/>
                <w:szCs w:val="20"/>
              </w:rPr>
              <w:t>86 </w:t>
            </w:r>
          </w:p>
        </w:tc>
        <w:tc>
          <w:tcPr>
            <w:tcW w:w="0" w:type="auto"/>
            <w:shd w:val="clear" w:color="auto" w:fill="FFFFFF"/>
            <w:tcMar>
              <w:top w:w="40" w:type="dxa"/>
              <w:bottom w:w="40" w:type="dxa"/>
              <w:right w:w="20" w:type="dxa"/>
            </w:tcMar>
            <w:vAlign w:val="center"/>
          </w:tcPr>
          <w:p w14:paraId="33DAE6A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6AD"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6AE"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6AF"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6B0" w14:textId="77777777" w:rsidR="004D6A64" w:rsidRDefault="00506CD6">
            <w:pPr>
              <w:jc w:val="right"/>
              <w:textAlignment w:val="center"/>
            </w:pPr>
            <w:r>
              <w:rPr>
                <w:rFonts w:ascii="Times New Roman" w:eastAsia="宋体" w:hAnsi="Times New Roman"/>
                <w:color w:val="000000"/>
                <w:sz w:val="20"/>
                <w:szCs w:val="20"/>
              </w:rPr>
              <w:t>714 </w:t>
            </w:r>
          </w:p>
        </w:tc>
        <w:tc>
          <w:tcPr>
            <w:tcW w:w="0" w:type="auto"/>
            <w:shd w:val="clear" w:color="auto" w:fill="FFFFFF"/>
            <w:tcMar>
              <w:top w:w="40" w:type="dxa"/>
              <w:bottom w:w="40" w:type="dxa"/>
              <w:right w:w="20" w:type="dxa"/>
            </w:tcMar>
            <w:vAlign w:val="center"/>
          </w:tcPr>
          <w:p w14:paraId="33DAE6B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6B2"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6B3" w14:textId="77777777" w:rsidR="004D6A64" w:rsidRDefault="00506CD6">
            <w:pPr>
              <w:jc w:val="right"/>
              <w:textAlignment w:val="center"/>
            </w:pPr>
            <w:r>
              <w:rPr>
                <w:rFonts w:ascii="Times New Roman" w:eastAsia="宋体" w:hAnsi="Times New Roman"/>
                <w:color w:val="000000"/>
                <w:sz w:val="20"/>
                <w:szCs w:val="20"/>
              </w:rPr>
              <w:t>181 </w:t>
            </w:r>
          </w:p>
        </w:tc>
        <w:tc>
          <w:tcPr>
            <w:tcW w:w="0" w:type="auto"/>
            <w:shd w:val="clear" w:color="auto" w:fill="FFFFFF"/>
            <w:tcMar>
              <w:top w:w="40" w:type="dxa"/>
              <w:bottom w:w="40" w:type="dxa"/>
              <w:right w:w="20" w:type="dxa"/>
            </w:tcMar>
            <w:vAlign w:val="center"/>
          </w:tcPr>
          <w:p w14:paraId="33DAE6B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6B5"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6B6"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6B7"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6B8" w14:textId="77777777" w:rsidR="004D6A64" w:rsidRDefault="00506CD6">
            <w:pPr>
              <w:jc w:val="right"/>
              <w:textAlignment w:val="center"/>
            </w:pPr>
            <w:r>
              <w:rPr>
                <w:rFonts w:ascii="Times New Roman" w:eastAsia="宋体" w:hAnsi="Times New Roman"/>
                <w:color w:val="000000"/>
                <w:sz w:val="20"/>
                <w:szCs w:val="20"/>
              </w:rPr>
              <w:t>737 </w:t>
            </w:r>
          </w:p>
        </w:tc>
        <w:tc>
          <w:tcPr>
            <w:tcW w:w="0" w:type="auto"/>
            <w:shd w:val="clear" w:color="auto" w:fill="FFFFFF"/>
            <w:tcMar>
              <w:top w:w="40" w:type="dxa"/>
              <w:bottom w:w="40" w:type="dxa"/>
              <w:right w:w="20" w:type="dxa"/>
            </w:tcMar>
            <w:vAlign w:val="center"/>
          </w:tcPr>
          <w:p w14:paraId="33DAE6B9" w14:textId="77777777" w:rsidR="004D6A64" w:rsidRDefault="004D6A64">
            <w:pPr>
              <w:jc w:val="right"/>
              <w:rPr>
                <w:rFonts w:ascii="宋体"/>
              </w:rPr>
            </w:pPr>
          </w:p>
        </w:tc>
        <w:tc>
          <w:tcPr>
            <w:tcW w:w="0" w:type="auto"/>
            <w:shd w:val="clear" w:color="auto" w:fill="auto"/>
          </w:tcPr>
          <w:p w14:paraId="33DAE6BA" w14:textId="77777777" w:rsidR="004D6A64" w:rsidRDefault="004D6A64">
            <w:pPr>
              <w:rPr>
                <w:rFonts w:ascii="宋体"/>
              </w:rPr>
            </w:pPr>
          </w:p>
        </w:tc>
        <w:tc>
          <w:tcPr>
            <w:tcW w:w="0" w:type="auto"/>
            <w:shd w:val="clear" w:color="auto" w:fill="auto"/>
          </w:tcPr>
          <w:p w14:paraId="33DAE6BB" w14:textId="77777777" w:rsidR="004D6A64" w:rsidRDefault="004D6A64">
            <w:pPr>
              <w:rPr>
                <w:rFonts w:ascii="宋体"/>
              </w:rPr>
            </w:pPr>
          </w:p>
        </w:tc>
        <w:tc>
          <w:tcPr>
            <w:tcW w:w="0" w:type="auto"/>
            <w:shd w:val="clear" w:color="auto" w:fill="auto"/>
          </w:tcPr>
          <w:p w14:paraId="33DAE6BC" w14:textId="77777777" w:rsidR="004D6A64" w:rsidRDefault="004D6A64">
            <w:pPr>
              <w:rPr>
                <w:rFonts w:ascii="宋体"/>
              </w:rPr>
            </w:pPr>
          </w:p>
        </w:tc>
        <w:tc>
          <w:tcPr>
            <w:tcW w:w="0" w:type="auto"/>
            <w:shd w:val="clear" w:color="auto" w:fill="auto"/>
          </w:tcPr>
          <w:p w14:paraId="33DAE6BD" w14:textId="77777777" w:rsidR="004D6A64" w:rsidRDefault="004D6A64">
            <w:pPr>
              <w:rPr>
                <w:rFonts w:ascii="宋体"/>
              </w:rPr>
            </w:pPr>
          </w:p>
        </w:tc>
        <w:tc>
          <w:tcPr>
            <w:tcW w:w="0" w:type="auto"/>
            <w:shd w:val="clear" w:color="auto" w:fill="auto"/>
          </w:tcPr>
          <w:p w14:paraId="33DAE6BE" w14:textId="77777777" w:rsidR="004D6A64" w:rsidRDefault="004D6A64">
            <w:pPr>
              <w:rPr>
                <w:rFonts w:ascii="宋体"/>
              </w:rPr>
            </w:pPr>
          </w:p>
        </w:tc>
        <w:tc>
          <w:tcPr>
            <w:tcW w:w="0" w:type="auto"/>
            <w:shd w:val="clear" w:color="auto" w:fill="auto"/>
          </w:tcPr>
          <w:p w14:paraId="33DAE6BF" w14:textId="77777777" w:rsidR="004D6A64" w:rsidRDefault="004D6A64">
            <w:pPr>
              <w:rPr>
                <w:rFonts w:ascii="宋体"/>
              </w:rPr>
            </w:pPr>
          </w:p>
        </w:tc>
        <w:tc>
          <w:tcPr>
            <w:tcW w:w="0" w:type="auto"/>
            <w:shd w:val="clear" w:color="auto" w:fill="auto"/>
          </w:tcPr>
          <w:p w14:paraId="33DAE6C0" w14:textId="77777777" w:rsidR="004D6A64" w:rsidRDefault="004D6A64">
            <w:pPr>
              <w:rPr>
                <w:rFonts w:ascii="宋体"/>
              </w:rPr>
            </w:pPr>
          </w:p>
        </w:tc>
        <w:tc>
          <w:tcPr>
            <w:tcW w:w="0" w:type="auto"/>
            <w:shd w:val="clear" w:color="auto" w:fill="auto"/>
          </w:tcPr>
          <w:p w14:paraId="33DAE6C1" w14:textId="77777777" w:rsidR="004D6A64" w:rsidRDefault="004D6A64">
            <w:pPr>
              <w:rPr>
                <w:rFonts w:ascii="宋体"/>
              </w:rPr>
            </w:pPr>
          </w:p>
        </w:tc>
        <w:tc>
          <w:tcPr>
            <w:tcW w:w="0" w:type="auto"/>
            <w:shd w:val="clear" w:color="auto" w:fill="auto"/>
          </w:tcPr>
          <w:p w14:paraId="33DAE6C2" w14:textId="77777777" w:rsidR="004D6A64" w:rsidRDefault="004D6A64">
            <w:pPr>
              <w:rPr>
                <w:rFonts w:ascii="宋体"/>
              </w:rPr>
            </w:pPr>
          </w:p>
        </w:tc>
        <w:tc>
          <w:tcPr>
            <w:tcW w:w="0" w:type="auto"/>
            <w:shd w:val="clear" w:color="auto" w:fill="auto"/>
          </w:tcPr>
          <w:p w14:paraId="33DAE6C3" w14:textId="77777777" w:rsidR="004D6A64" w:rsidRDefault="004D6A64">
            <w:pPr>
              <w:rPr>
                <w:rFonts w:ascii="宋体"/>
              </w:rPr>
            </w:pPr>
          </w:p>
        </w:tc>
        <w:tc>
          <w:tcPr>
            <w:tcW w:w="0" w:type="auto"/>
            <w:shd w:val="clear" w:color="auto" w:fill="auto"/>
          </w:tcPr>
          <w:p w14:paraId="33DAE6C4" w14:textId="77777777" w:rsidR="004D6A64" w:rsidRDefault="004D6A64">
            <w:pPr>
              <w:rPr>
                <w:rFonts w:ascii="宋体"/>
              </w:rPr>
            </w:pPr>
          </w:p>
        </w:tc>
        <w:tc>
          <w:tcPr>
            <w:tcW w:w="0" w:type="auto"/>
            <w:shd w:val="clear" w:color="auto" w:fill="auto"/>
          </w:tcPr>
          <w:p w14:paraId="33DAE6C5" w14:textId="77777777" w:rsidR="004D6A64" w:rsidRDefault="004D6A64">
            <w:pPr>
              <w:rPr>
                <w:rFonts w:ascii="宋体"/>
              </w:rPr>
            </w:pPr>
          </w:p>
        </w:tc>
        <w:tc>
          <w:tcPr>
            <w:tcW w:w="0" w:type="auto"/>
            <w:shd w:val="clear" w:color="auto" w:fill="auto"/>
          </w:tcPr>
          <w:p w14:paraId="33DAE6C6" w14:textId="77777777" w:rsidR="004D6A64" w:rsidRDefault="004D6A64">
            <w:pPr>
              <w:rPr>
                <w:rFonts w:ascii="宋体"/>
              </w:rPr>
            </w:pPr>
          </w:p>
        </w:tc>
        <w:tc>
          <w:tcPr>
            <w:tcW w:w="0" w:type="auto"/>
            <w:shd w:val="clear" w:color="auto" w:fill="auto"/>
          </w:tcPr>
          <w:p w14:paraId="33DAE6C7" w14:textId="77777777" w:rsidR="004D6A64" w:rsidRDefault="004D6A64">
            <w:pPr>
              <w:rPr>
                <w:rFonts w:ascii="宋体"/>
              </w:rPr>
            </w:pPr>
          </w:p>
        </w:tc>
        <w:tc>
          <w:tcPr>
            <w:tcW w:w="0" w:type="auto"/>
            <w:shd w:val="clear" w:color="auto" w:fill="auto"/>
          </w:tcPr>
          <w:p w14:paraId="33DAE6C8" w14:textId="77777777" w:rsidR="004D6A64" w:rsidRDefault="004D6A64">
            <w:pPr>
              <w:rPr>
                <w:rFonts w:ascii="宋体"/>
              </w:rPr>
            </w:pPr>
          </w:p>
        </w:tc>
        <w:tc>
          <w:tcPr>
            <w:tcW w:w="0" w:type="auto"/>
            <w:shd w:val="clear" w:color="auto" w:fill="auto"/>
          </w:tcPr>
          <w:p w14:paraId="33DAE6C9" w14:textId="77777777" w:rsidR="004D6A64" w:rsidRDefault="004D6A64">
            <w:pPr>
              <w:rPr>
                <w:rFonts w:ascii="宋体"/>
              </w:rPr>
            </w:pPr>
          </w:p>
        </w:tc>
        <w:tc>
          <w:tcPr>
            <w:tcW w:w="0" w:type="auto"/>
            <w:shd w:val="clear" w:color="auto" w:fill="auto"/>
          </w:tcPr>
          <w:p w14:paraId="33DAE6CA" w14:textId="77777777" w:rsidR="004D6A64" w:rsidRDefault="004D6A64">
            <w:pPr>
              <w:rPr>
                <w:rFonts w:ascii="宋体"/>
              </w:rPr>
            </w:pPr>
          </w:p>
        </w:tc>
        <w:tc>
          <w:tcPr>
            <w:tcW w:w="0" w:type="auto"/>
            <w:shd w:val="clear" w:color="auto" w:fill="auto"/>
          </w:tcPr>
          <w:p w14:paraId="33DAE6CB" w14:textId="77777777" w:rsidR="004D6A64" w:rsidRDefault="004D6A64">
            <w:pPr>
              <w:rPr>
                <w:rFonts w:ascii="宋体"/>
              </w:rPr>
            </w:pPr>
          </w:p>
        </w:tc>
        <w:tc>
          <w:tcPr>
            <w:tcW w:w="0" w:type="auto"/>
            <w:shd w:val="clear" w:color="auto" w:fill="auto"/>
          </w:tcPr>
          <w:p w14:paraId="33DAE6CC" w14:textId="77777777" w:rsidR="004D6A64" w:rsidRDefault="004D6A64">
            <w:pPr>
              <w:rPr>
                <w:rFonts w:ascii="宋体"/>
              </w:rPr>
            </w:pPr>
          </w:p>
        </w:tc>
        <w:tc>
          <w:tcPr>
            <w:tcW w:w="0" w:type="auto"/>
            <w:shd w:val="clear" w:color="auto" w:fill="auto"/>
          </w:tcPr>
          <w:p w14:paraId="33DAE6CD" w14:textId="77777777" w:rsidR="004D6A64" w:rsidRDefault="004D6A64">
            <w:pPr>
              <w:rPr>
                <w:rFonts w:ascii="宋体"/>
              </w:rPr>
            </w:pPr>
          </w:p>
        </w:tc>
        <w:tc>
          <w:tcPr>
            <w:tcW w:w="0" w:type="auto"/>
            <w:shd w:val="clear" w:color="auto" w:fill="auto"/>
          </w:tcPr>
          <w:p w14:paraId="33DAE6CE" w14:textId="77777777" w:rsidR="004D6A64" w:rsidRDefault="004D6A64">
            <w:pPr>
              <w:rPr>
                <w:rFonts w:ascii="宋体"/>
              </w:rPr>
            </w:pPr>
          </w:p>
        </w:tc>
        <w:tc>
          <w:tcPr>
            <w:tcW w:w="0" w:type="auto"/>
            <w:shd w:val="clear" w:color="auto" w:fill="auto"/>
          </w:tcPr>
          <w:p w14:paraId="33DAE6CF" w14:textId="77777777" w:rsidR="004D6A64" w:rsidRDefault="004D6A64">
            <w:pPr>
              <w:rPr>
                <w:rFonts w:ascii="宋体"/>
              </w:rPr>
            </w:pPr>
          </w:p>
        </w:tc>
        <w:tc>
          <w:tcPr>
            <w:tcW w:w="0" w:type="auto"/>
            <w:shd w:val="clear" w:color="auto" w:fill="auto"/>
          </w:tcPr>
          <w:p w14:paraId="33DAE6D0" w14:textId="77777777" w:rsidR="004D6A64" w:rsidRDefault="004D6A64">
            <w:pPr>
              <w:rPr>
                <w:rFonts w:ascii="宋体"/>
              </w:rPr>
            </w:pPr>
          </w:p>
        </w:tc>
        <w:tc>
          <w:tcPr>
            <w:tcW w:w="0" w:type="auto"/>
            <w:shd w:val="clear" w:color="auto" w:fill="auto"/>
          </w:tcPr>
          <w:p w14:paraId="33DAE6D1" w14:textId="77777777" w:rsidR="004D6A64" w:rsidRDefault="004D6A64">
            <w:pPr>
              <w:rPr>
                <w:rFonts w:ascii="宋体"/>
              </w:rPr>
            </w:pPr>
          </w:p>
        </w:tc>
        <w:tc>
          <w:tcPr>
            <w:tcW w:w="0" w:type="auto"/>
            <w:shd w:val="clear" w:color="auto" w:fill="auto"/>
          </w:tcPr>
          <w:p w14:paraId="33DAE6D2" w14:textId="77777777" w:rsidR="004D6A64" w:rsidRDefault="004D6A64">
            <w:pPr>
              <w:rPr>
                <w:rFonts w:ascii="宋体"/>
              </w:rPr>
            </w:pPr>
          </w:p>
        </w:tc>
        <w:tc>
          <w:tcPr>
            <w:tcW w:w="0" w:type="auto"/>
            <w:shd w:val="clear" w:color="auto" w:fill="auto"/>
          </w:tcPr>
          <w:p w14:paraId="33DAE6D3" w14:textId="77777777" w:rsidR="004D6A64" w:rsidRDefault="004D6A64">
            <w:pPr>
              <w:rPr>
                <w:rFonts w:ascii="宋体"/>
              </w:rPr>
            </w:pPr>
          </w:p>
        </w:tc>
        <w:tc>
          <w:tcPr>
            <w:tcW w:w="0" w:type="auto"/>
            <w:shd w:val="clear" w:color="auto" w:fill="auto"/>
          </w:tcPr>
          <w:p w14:paraId="33DAE6D4" w14:textId="77777777" w:rsidR="004D6A64" w:rsidRDefault="004D6A64">
            <w:pPr>
              <w:rPr>
                <w:rFonts w:ascii="宋体"/>
              </w:rPr>
            </w:pPr>
          </w:p>
        </w:tc>
      </w:tr>
      <w:tr w:rsidR="004D6A64" w14:paraId="33DAE701" w14:textId="77777777">
        <w:trPr>
          <w:jc w:val="center"/>
        </w:trPr>
        <w:tc>
          <w:tcPr>
            <w:tcW w:w="0" w:type="auto"/>
            <w:gridSpan w:val="3"/>
            <w:shd w:val="clear" w:color="auto" w:fill="CCEEFF"/>
            <w:tcMar>
              <w:top w:w="40" w:type="dxa"/>
              <w:left w:w="225" w:type="dxa"/>
              <w:bottom w:w="40" w:type="dxa"/>
              <w:right w:w="20" w:type="dxa"/>
            </w:tcMar>
            <w:vAlign w:val="center"/>
          </w:tcPr>
          <w:p w14:paraId="33DAE6D6" w14:textId="77777777" w:rsidR="004D6A64" w:rsidRDefault="00506CD6">
            <w:pPr>
              <w:textAlignment w:val="center"/>
            </w:pPr>
            <w:r>
              <w:rPr>
                <w:rFonts w:ascii="Times New Roman" w:eastAsia="宋体" w:hAnsi="Times New Roman"/>
                <w:color w:val="000000"/>
                <w:sz w:val="20"/>
                <w:szCs w:val="20"/>
              </w:rPr>
              <w:t>Fair value adjustments on equity investments</w:t>
            </w:r>
          </w:p>
        </w:tc>
        <w:tc>
          <w:tcPr>
            <w:tcW w:w="0" w:type="auto"/>
            <w:gridSpan w:val="2"/>
            <w:shd w:val="clear" w:color="auto" w:fill="CCEEFF"/>
            <w:tcMar>
              <w:top w:w="40" w:type="dxa"/>
              <w:left w:w="20" w:type="dxa"/>
              <w:bottom w:w="40" w:type="dxa"/>
              <w:right w:w="0" w:type="dxa"/>
            </w:tcMar>
            <w:vAlign w:val="center"/>
          </w:tcPr>
          <w:p w14:paraId="33DAE6D7" w14:textId="77777777" w:rsidR="004D6A64" w:rsidRDefault="00506CD6">
            <w:pPr>
              <w:jc w:val="right"/>
              <w:textAlignment w:val="center"/>
            </w:pPr>
            <w:r>
              <w:rPr>
                <w:rFonts w:ascii="Times New Roman" w:eastAsia="宋体" w:hAnsi="Times New Roman"/>
                <w:color w:val="000000"/>
                <w:sz w:val="20"/>
                <w:szCs w:val="20"/>
              </w:rPr>
              <w:t>(8)</w:t>
            </w:r>
          </w:p>
        </w:tc>
        <w:tc>
          <w:tcPr>
            <w:tcW w:w="0" w:type="auto"/>
            <w:shd w:val="clear" w:color="auto" w:fill="CCEEFF"/>
            <w:tcMar>
              <w:top w:w="40" w:type="dxa"/>
              <w:bottom w:w="40" w:type="dxa"/>
              <w:right w:w="20" w:type="dxa"/>
            </w:tcMar>
            <w:vAlign w:val="center"/>
          </w:tcPr>
          <w:p w14:paraId="33DAE6D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6D9"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6DA"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6DB"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6DC" w14:textId="77777777" w:rsidR="004D6A64" w:rsidRDefault="00506CD6">
            <w:pPr>
              <w:jc w:val="right"/>
              <w:textAlignment w:val="center"/>
            </w:pPr>
            <w:r>
              <w:rPr>
                <w:rFonts w:ascii="Times New Roman" w:eastAsia="宋体" w:hAnsi="Times New Roman"/>
                <w:color w:val="000000"/>
                <w:sz w:val="20"/>
                <w:szCs w:val="20"/>
              </w:rPr>
              <w:t>(80)</w:t>
            </w:r>
          </w:p>
        </w:tc>
        <w:tc>
          <w:tcPr>
            <w:tcW w:w="0" w:type="auto"/>
            <w:shd w:val="clear" w:color="auto" w:fill="CCEEFF"/>
            <w:tcMar>
              <w:top w:w="40" w:type="dxa"/>
              <w:bottom w:w="40" w:type="dxa"/>
              <w:right w:w="20" w:type="dxa"/>
            </w:tcMar>
            <w:vAlign w:val="center"/>
          </w:tcPr>
          <w:p w14:paraId="33DAE6D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6D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6DF" w14:textId="77777777" w:rsidR="004D6A64" w:rsidRDefault="00506CD6">
            <w:pPr>
              <w:jc w:val="right"/>
              <w:textAlignment w:val="center"/>
            </w:pPr>
            <w:r>
              <w:rPr>
                <w:rFonts w:ascii="Times New Roman" w:eastAsia="宋体" w:hAnsi="Times New Roman"/>
                <w:color w:val="000000"/>
                <w:sz w:val="20"/>
                <w:szCs w:val="20"/>
              </w:rPr>
              <w:t>(102)</w:t>
            </w:r>
          </w:p>
        </w:tc>
        <w:tc>
          <w:tcPr>
            <w:tcW w:w="0" w:type="auto"/>
            <w:shd w:val="clear" w:color="auto" w:fill="CCEEFF"/>
            <w:tcMar>
              <w:top w:w="40" w:type="dxa"/>
              <w:bottom w:w="40" w:type="dxa"/>
              <w:right w:w="20" w:type="dxa"/>
            </w:tcMar>
            <w:vAlign w:val="center"/>
          </w:tcPr>
          <w:p w14:paraId="33DAE6E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6E1"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6E2"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6E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6E4" w14:textId="77777777" w:rsidR="004D6A64" w:rsidRDefault="00506CD6">
            <w:pPr>
              <w:jc w:val="right"/>
              <w:textAlignment w:val="center"/>
            </w:pPr>
            <w:r>
              <w:rPr>
                <w:rFonts w:ascii="Times New Roman" w:eastAsia="宋体" w:hAnsi="Times New Roman"/>
                <w:color w:val="000000"/>
                <w:sz w:val="20"/>
                <w:szCs w:val="20"/>
              </w:rPr>
              <w:t>(142)</w:t>
            </w:r>
          </w:p>
        </w:tc>
        <w:tc>
          <w:tcPr>
            <w:tcW w:w="0" w:type="auto"/>
            <w:shd w:val="clear" w:color="auto" w:fill="CCEEFF"/>
            <w:tcMar>
              <w:top w:w="40" w:type="dxa"/>
              <w:bottom w:w="40" w:type="dxa"/>
              <w:right w:w="20" w:type="dxa"/>
            </w:tcMar>
            <w:vAlign w:val="center"/>
          </w:tcPr>
          <w:p w14:paraId="33DAE6E5" w14:textId="77777777" w:rsidR="004D6A64" w:rsidRDefault="004D6A64">
            <w:pPr>
              <w:jc w:val="right"/>
              <w:rPr>
                <w:rFonts w:ascii="宋体"/>
              </w:rPr>
            </w:pPr>
          </w:p>
        </w:tc>
        <w:tc>
          <w:tcPr>
            <w:tcW w:w="0" w:type="auto"/>
            <w:shd w:val="clear" w:color="auto" w:fill="auto"/>
          </w:tcPr>
          <w:p w14:paraId="33DAE6E6" w14:textId="77777777" w:rsidR="004D6A64" w:rsidRDefault="004D6A64">
            <w:pPr>
              <w:rPr>
                <w:rFonts w:ascii="宋体"/>
              </w:rPr>
            </w:pPr>
          </w:p>
        </w:tc>
        <w:tc>
          <w:tcPr>
            <w:tcW w:w="0" w:type="auto"/>
            <w:shd w:val="clear" w:color="auto" w:fill="auto"/>
          </w:tcPr>
          <w:p w14:paraId="33DAE6E7" w14:textId="77777777" w:rsidR="004D6A64" w:rsidRDefault="004D6A64">
            <w:pPr>
              <w:rPr>
                <w:rFonts w:ascii="宋体"/>
              </w:rPr>
            </w:pPr>
          </w:p>
        </w:tc>
        <w:tc>
          <w:tcPr>
            <w:tcW w:w="0" w:type="auto"/>
            <w:shd w:val="clear" w:color="auto" w:fill="auto"/>
          </w:tcPr>
          <w:p w14:paraId="33DAE6E8" w14:textId="77777777" w:rsidR="004D6A64" w:rsidRDefault="004D6A64">
            <w:pPr>
              <w:rPr>
                <w:rFonts w:ascii="宋体"/>
              </w:rPr>
            </w:pPr>
          </w:p>
        </w:tc>
        <w:tc>
          <w:tcPr>
            <w:tcW w:w="0" w:type="auto"/>
            <w:shd w:val="clear" w:color="auto" w:fill="auto"/>
          </w:tcPr>
          <w:p w14:paraId="33DAE6E9" w14:textId="77777777" w:rsidR="004D6A64" w:rsidRDefault="004D6A64">
            <w:pPr>
              <w:rPr>
                <w:rFonts w:ascii="宋体"/>
              </w:rPr>
            </w:pPr>
          </w:p>
        </w:tc>
        <w:tc>
          <w:tcPr>
            <w:tcW w:w="0" w:type="auto"/>
            <w:shd w:val="clear" w:color="auto" w:fill="auto"/>
          </w:tcPr>
          <w:p w14:paraId="33DAE6EA" w14:textId="77777777" w:rsidR="004D6A64" w:rsidRDefault="004D6A64">
            <w:pPr>
              <w:rPr>
                <w:rFonts w:ascii="宋体"/>
              </w:rPr>
            </w:pPr>
          </w:p>
        </w:tc>
        <w:tc>
          <w:tcPr>
            <w:tcW w:w="0" w:type="auto"/>
            <w:shd w:val="clear" w:color="auto" w:fill="auto"/>
          </w:tcPr>
          <w:p w14:paraId="33DAE6EB" w14:textId="77777777" w:rsidR="004D6A64" w:rsidRDefault="004D6A64">
            <w:pPr>
              <w:rPr>
                <w:rFonts w:ascii="宋体"/>
              </w:rPr>
            </w:pPr>
          </w:p>
        </w:tc>
        <w:tc>
          <w:tcPr>
            <w:tcW w:w="0" w:type="auto"/>
            <w:shd w:val="clear" w:color="auto" w:fill="auto"/>
          </w:tcPr>
          <w:p w14:paraId="33DAE6EC" w14:textId="77777777" w:rsidR="004D6A64" w:rsidRDefault="004D6A64">
            <w:pPr>
              <w:rPr>
                <w:rFonts w:ascii="宋体"/>
              </w:rPr>
            </w:pPr>
          </w:p>
        </w:tc>
        <w:tc>
          <w:tcPr>
            <w:tcW w:w="0" w:type="auto"/>
            <w:shd w:val="clear" w:color="auto" w:fill="auto"/>
          </w:tcPr>
          <w:p w14:paraId="33DAE6ED" w14:textId="77777777" w:rsidR="004D6A64" w:rsidRDefault="004D6A64">
            <w:pPr>
              <w:rPr>
                <w:rFonts w:ascii="宋体"/>
              </w:rPr>
            </w:pPr>
          </w:p>
        </w:tc>
        <w:tc>
          <w:tcPr>
            <w:tcW w:w="0" w:type="auto"/>
            <w:shd w:val="clear" w:color="auto" w:fill="auto"/>
          </w:tcPr>
          <w:p w14:paraId="33DAE6EE" w14:textId="77777777" w:rsidR="004D6A64" w:rsidRDefault="004D6A64">
            <w:pPr>
              <w:rPr>
                <w:rFonts w:ascii="宋体"/>
              </w:rPr>
            </w:pPr>
          </w:p>
        </w:tc>
        <w:tc>
          <w:tcPr>
            <w:tcW w:w="0" w:type="auto"/>
            <w:shd w:val="clear" w:color="auto" w:fill="auto"/>
          </w:tcPr>
          <w:p w14:paraId="33DAE6EF" w14:textId="77777777" w:rsidR="004D6A64" w:rsidRDefault="004D6A64">
            <w:pPr>
              <w:rPr>
                <w:rFonts w:ascii="宋体"/>
              </w:rPr>
            </w:pPr>
          </w:p>
        </w:tc>
        <w:tc>
          <w:tcPr>
            <w:tcW w:w="0" w:type="auto"/>
            <w:shd w:val="clear" w:color="auto" w:fill="auto"/>
          </w:tcPr>
          <w:p w14:paraId="33DAE6F0" w14:textId="77777777" w:rsidR="004D6A64" w:rsidRDefault="004D6A64">
            <w:pPr>
              <w:rPr>
                <w:rFonts w:ascii="宋体"/>
              </w:rPr>
            </w:pPr>
          </w:p>
        </w:tc>
        <w:tc>
          <w:tcPr>
            <w:tcW w:w="0" w:type="auto"/>
            <w:shd w:val="clear" w:color="auto" w:fill="auto"/>
          </w:tcPr>
          <w:p w14:paraId="33DAE6F1" w14:textId="77777777" w:rsidR="004D6A64" w:rsidRDefault="004D6A64">
            <w:pPr>
              <w:rPr>
                <w:rFonts w:ascii="宋体"/>
              </w:rPr>
            </w:pPr>
          </w:p>
        </w:tc>
        <w:tc>
          <w:tcPr>
            <w:tcW w:w="0" w:type="auto"/>
            <w:shd w:val="clear" w:color="auto" w:fill="auto"/>
          </w:tcPr>
          <w:p w14:paraId="33DAE6F2" w14:textId="77777777" w:rsidR="004D6A64" w:rsidRDefault="004D6A64">
            <w:pPr>
              <w:rPr>
                <w:rFonts w:ascii="宋体"/>
              </w:rPr>
            </w:pPr>
          </w:p>
        </w:tc>
        <w:tc>
          <w:tcPr>
            <w:tcW w:w="0" w:type="auto"/>
            <w:shd w:val="clear" w:color="auto" w:fill="auto"/>
          </w:tcPr>
          <w:p w14:paraId="33DAE6F3" w14:textId="77777777" w:rsidR="004D6A64" w:rsidRDefault="004D6A64">
            <w:pPr>
              <w:rPr>
                <w:rFonts w:ascii="宋体"/>
              </w:rPr>
            </w:pPr>
          </w:p>
        </w:tc>
        <w:tc>
          <w:tcPr>
            <w:tcW w:w="0" w:type="auto"/>
            <w:shd w:val="clear" w:color="auto" w:fill="auto"/>
          </w:tcPr>
          <w:p w14:paraId="33DAE6F4" w14:textId="77777777" w:rsidR="004D6A64" w:rsidRDefault="004D6A64">
            <w:pPr>
              <w:rPr>
                <w:rFonts w:ascii="宋体"/>
              </w:rPr>
            </w:pPr>
          </w:p>
        </w:tc>
        <w:tc>
          <w:tcPr>
            <w:tcW w:w="0" w:type="auto"/>
            <w:shd w:val="clear" w:color="auto" w:fill="auto"/>
          </w:tcPr>
          <w:p w14:paraId="33DAE6F5" w14:textId="77777777" w:rsidR="004D6A64" w:rsidRDefault="004D6A64">
            <w:pPr>
              <w:rPr>
                <w:rFonts w:ascii="宋体"/>
              </w:rPr>
            </w:pPr>
          </w:p>
        </w:tc>
        <w:tc>
          <w:tcPr>
            <w:tcW w:w="0" w:type="auto"/>
            <w:shd w:val="clear" w:color="auto" w:fill="auto"/>
          </w:tcPr>
          <w:p w14:paraId="33DAE6F6" w14:textId="77777777" w:rsidR="004D6A64" w:rsidRDefault="004D6A64">
            <w:pPr>
              <w:rPr>
                <w:rFonts w:ascii="宋体"/>
              </w:rPr>
            </w:pPr>
          </w:p>
        </w:tc>
        <w:tc>
          <w:tcPr>
            <w:tcW w:w="0" w:type="auto"/>
            <w:shd w:val="clear" w:color="auto" w:fill="auto"/>
          </w:tcPr>
          <w:p w14:paraId="33DAE6F7" w14:textId="77777777" w:rsidR="004D6A64" w:rsidRDefault="004D6A64">
            <w:pPr>
              <w:rPr>
                <w:rFonts w:ascii="宋体"/>
              </w:rPr>
            </w:pPr>
          </w:p>
        </w:tc>
        <w:tc>
          <w:tcPr>
            <w:tcW w:w="0" w:type="auto"/>
            <w:shd w:val="clear" w:color="auto" w:fill="auto"/>
          </w:tcPr>
          <w:p w14:paraId="33DAE6F8" w14:textId="77777777" w:rsidR="004D6A64" w:rsidRDefault="004D6A64">
            <w:pPr>
              <w:rPr>
                <w:rFonts w:ascii="宋体"/>
              </w:rPr>
            </w:pPr>
          </w:p>
        </w:tc>
        <w:tc>
          <w:tcPr>
            <w:tcW w:w="0" w:type="auto"/>
            <w:shd w:val="clear" w:color="auto" w:fill="auto"/>
          </w:tcPr>
          <w:p w14:paraId="33DAE6F9" w14:textId="77777777" w:rsidR="004D6A64" w:rsidRDefault="004D6A64">
            <w:pPr>
              <w:rPr>
                <w:rFonts w:ascii="宋体"/>
              </w:rPr>
            </w:pPr>
          </w:p>
        </w:tc>
        <w:tc>
          <w:tcPr>
            <w:tcW w:w="0" w:type="auto"/>
            <w:shd w:val="clear" w:color="auto" w:fill="auto"/>
          </w:tcPr>
          <w:p w14:paraId="33DAE6FA" w14:textId="77777777" w:rsidR="004D6A64" w:rsidRDefault="004D6A64">
            <w:pPr>
              <w:rPr>
                <w:rFonts w:ascii="宋体"/>
              </w:rPr>
            </w:pPr>
          </w:p>
        </w:tc>
        <w:tc>
          <w:tcPr>
            <w:tcW w:w="0" w:type="auto"/>
            <w:shd w:val="clear" w:color="auto" w:fill="auto"/>
          </w:tcPr>
          <w:p w14:paraId="33DAE6FB" w14:textId="77777777" w:rsidR="004D6A64" w:rsidRDefault="004D6A64">
            <w:pPr>
              <w:rPr>
                <w:rFonts w:ascii="宋体"/>
              </w:rPr>
            </w:pPr>
          </w:p>
        </w:tc>
        <w:tc>
          <w:tcPr>
            <w:tcW w:w="0" w:type="auto"/>
            <w:shd w:val="clear" w:color="auto" w:fill="auto"/>
          </w:tcPr>
          <w:p w14:paraId="33DAE6FC" w14:textId="77777777" w:rsidR="004D6A64" w:rsidRDefault="004D6A64">
            <w:pPr>
              <w:rPr>
                <w:rFonts w:ascii="宋体"/>
              </w:rPr>
            </w:pPr>
          </w:p>
        </w:tc>
        <w:tc>
          <w:tcPr>
            <w:tcW w:w="0" w:type="auto"/>
            <w:shd w:val="clear" w:color="auto" w:fill="auto"/>
          </w:tcPr>
          <w:p w14:paraId="33DAE6FD" w14:textId="77777777" w:rsidR="004D6A64" w:rsidRDefault="004D6A64">
            <w:pPr>
              <w:rPr>
                <w:rFonts w:ascii="宋体"/>
              </w:rPr>
            </w:pPr>
          </w:p>
        </w:tc>
        <w:tc>
          <w:tcPr>
            <w:tcW w:w="0" w:type="auto"/>
            <w:shd w:val="clear" w:color="auto" w:fill="auto"/>
          </w:tcPr>
          <w:p w14:paraId="33DAE6FE" w14:textId="77777777" w:rsidR="004D6A64" w:rsidRDefault="004D6A64">
            <w:pPr>
              <w:rPr>
                <w:rFonts w:ascii="宋体"/>
              </w:rPr>
            </w:pPr>
          </w:p>
        </w:tc>
        <w:tc>
          <w:tcPr>
            <w:tcW w:w="0" w:type="auto"/>
            <w:shd w:val="clear" w:color="auto" w:fill="auto"/>
          </w:tcPr>
          <w:p w14:paraId="33DAE6FF" w14:textId="77777777" w:rsidR="004D6A64" w:rsidRDefault="004D6A64">
            <w:pPr>
              <w:rPr>
                <w:rFonts w:ascii="宋体"/>
              </w:rPr>
            </w:pPr>
          </w:p>
        </w:tc>
        <w:tc>
          <w:tcPr>
            <w:tcW w:w="0" w:type="auto"/>
            <w:shd w:val="clear" w:color="auto" w:fill="auto"/>
          </w:tcPr>
          <w:p w14:paraId="33DAE700" w14:textId="77777777" w:rsidR="004D6A64" w:rsidRDefault="004D6A64">
            <w:pPr>
              <w:rPr>
                <w:rFonts w:ascii="宋体"/>
              </w:rPr>
            </w:pPr>
          </w:p>
        </w:tc>
      </w:tr>
      <w:tr w:rsidR="004D6A64" w14:paraId="33DAE72D" w14:textId="77777777">
        <w:trPr>
          <w:jc w:val="center"/>
        </w:trPr>
        <w:tc>
          <w:tcPr>
            <w:tcW w:w="0" w:type="auto"/>
            <w:gridSpan w:val="3"/>
            <w:shd w:val="clear" w:color="auto" w:fill="FFFFFF"/>
            <w:tcMar>
              <w:top w:w="40" w:type="dxa"/>
              <w:left w:w="225" w:type="dxa"/>
              <w:bottom w:w="40" w:type="dxa"/>
              <w:right w:w="20" w:type="dxa"/>
            </w:tcMar>
            <w:vAlign w:val="center"/>
          </w:tcPr>
          <w:p w14:paraId="33DAE702" w14:textId="77777777" w:rsidR="004D6A64" w:rsidRDefault="00506CD6">
            <w:pPr>
              <w:textAlignment w:val="center"/>
            </w:pPr>
            <w:r>
              <w:rPr>
                <w:rFonts w:ascii="Times New Roman" w:eastAsia="宋体" w:hAnsi="Times New Roman"/>
                <w:color w:val="000000"/>
                <w:sz w:val="20"/>
                <w:szCs w:val="20"/>
              </w:rPr>
              <w:t>Aggregate adjustment for income taxes</w:t>
            </w:r>
          </w:p>
        </w:tc>
        <w:tc>
          <w:tcPr>
            <w:tcW w:w="0" w:type="auto"/>
            <w:gridSpan w:val="2"/>
            <w:shd w:val="clear" w:color="auto" w:fill="FFFFFF"/>
            <w:tcMar>
              <w:top w:w="40" w:type="dxa"/>
              <w:left w:w="20" w:type="dxa"/>
              <w:bottom w:w="40" w:type="dxa"/>
              <w:right w:w="0" w:type="dxa"/>
            </w:tcMar>
            <w:vAlign w:val="center"/>
          </w:tcPr>
          <w:p w14:paraId="33DAE703" w14:textId="77777777" w:rsidR="004D6A64" w:rsidRDefault="00506CD6">
            <w:pPr>
              <w:jc w:val="right"/>
              <w:textAlignment w:val="center"/>
            </w:pPr>
            <w:r>
              <w:rPr>
                <w:rFonts w:ascii="Times New Roman" w:eastAsia="宋体" w:hAnsi="Times New Roman"/>
                <w:color w:val="000000"/>
                <w:sz w:val="20"/>
                <w:szCs w:val="20"/>
              </w:rPr>
              <w:t>(952)</w:t>
            </w:r>
          </w:p>
        </w:tc>
        <w:tc>
          <w:tcPr>
            <w:tcW w:w="0" w:type="auto"/>
            <w:shd w:val="clear" w:color="auto" w:fill="FFFFFF"/>
            <w:tcMar>
              <w:top w:w="40" w:type="dxa"/>
              <w:bottom w:w="40" w:type="dxa"/>
              <w:right w:w="20" w:type="dxa"/>
            </w:tcMar>
            <w:vAlign w:val="center"/>
          </w:tcPr>
          <w:p w14:paraId="33DAE70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705"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706"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707"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708" w14:textId="77777777" w:rsidR="004D6A64" w:rsidRDefault="00506CD6">
            <w:pPr>
              <w:jc w:val="right"/>
              <w:textAlignment w:val="center"/>
            </w:pPr>
            <w:r>
              <w:rPr>
                <w:rFonts w:ascii="Times New Roman" w:eastAsia="宋体" w:hAnsi="Times New Roman"/>
                <w:color w:val="000000"/>
                <w:sz w:val="20"/>
                <w:szCs w:val="20"/>
              </w:rPr>
              <w:t>(4,625)</w:t>
            </w:r>
          </w:p>
        </w:tc>
        <w:tc>
          <w:tcPr>
            <w:tcW w:w="0" w:type="auto"/>
            <w:shd w:val="clear" w:color="auto" w:fill="FFFFFF"/>
            <w:tcMar>
              <w:top w:w="40" w:type="dxa"/>
              <w:bottom w:w="40" w:type="dxa"/>
              <w:right w:w="20" w:type="dxa"/>
            </w:tcMar>
            <w:vAlign w:val="center"/>
          </w:tcPr>
          <w:p w14:paraId="33DAE70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70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70B" w14:textId="77777777" w:rsidR="004D6A64" w:rsidRDefault="00506CD6">
            <w:pPr>
              <w:jc w:val="right"/>
              <w:textAlignment w:val="center"/>
            </w:pPr>
            <w:r>
              <w:rPr>
                <w:rFonts w:ascii="Times New Roman" w:eastAsia="宋体" w:hAnsi="Times New Roman"/>
                <w:color w:val="000000"/>
                <w:sz w:val="20"/>
                <w:szCs w:val="20"/>
              </w:rPr>
              <w:t>(1,236)</w:t>
            </w:r>
          </w:p>
        </w:tc>
        <w:tc>
          <w:tcPr>
            <w:tcW w:w="0" w:type="auto"/>
            <w:shd w:val="clear" w:color="auto" w:fill="FFFFFF"/>
            <w:tcMar>
              <w:top w:w="40" w:type="dxa"/>
              <w:bottom w:w="40" w:type="dxa"/>
              <w:right w:w="20" w:type="dxa"/>
            </w:tcMar>
            <w:vAlign w:val="center"/>
          </w:tcPr>
          <w:p w14:paraId="33DAE70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70D"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70E"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70F"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E710" w14:textId="77777777" w:rsidR="004D6A64" w:rsidRDefault="00506CD6">
            <w:pPr>
              <w:jc w:val="right"/>
              <w:textAlignment w:val="center"/>
            </w:pPr>
            <w:r>
              <w:rPr>
                <w:rFonts w:ascii="Times New Roman" w:eastAsia="宋体" w:hAnsi="Times New Roman"/>
                <w:color w:val="000000"/>
                <w:sz w:val="20"/>
                <w:szCs w:val="20"/>
              </w:rPr>
              <w:t>(5,329)</w:t>
            </w:r>
          </w:p>
        </w:tc>
        <w:tc>
          <w:tcPr>
            <w:tcW w:w="0" w:type="auto"/>
            <w:shd w:val="clear" w:color="auto" w:fill="FFFFFF"/>
            <w:tcMar>
              <w:top w:w="40" w:type="dxa"/>
              <w:bottom w:w="40" w:type="dxa"/>
              <w:right w:w="20" w:type="dxa"/>
            </w:tcMar>
            <w:vAlign w:val="center"/>
          </w:tcPr>
          <w:p w14:paraId="33DAE711" w14:textId="77777777" w:rsidR="004D6A64" w:rsidRDefault="004D6A64">
            <w:pPr>
              <w:jc w:val="right"/>
              <w:rPr>
                <w:rFonts w:ascii="宋体"/>
              </w:rPr>
            </w:pPr>
          </w:p>
        </w:tc>
        <w:tc>
          <w:tcPr>
            <w:tcW w:w="0" w:type="auto"/>
            <w:shd w:val="clear" w:color="auto" w:fill="auto"/>
          </w:tcPr>
          <w:p w14:paraId="33DAE712" w14:textId="77777777" w:rsidR="004D6A64" w:rsidRDefault="004D6A64">
            <w:pPr>
              <w:rPr>
                <w:rFonts w:ascii="宋体"/>
              </w:rPr>
            </w:pPr>
          </w:p>
        </w:tc>
        <w:tc>
          <w:tcPr>
            <w:tcW w:w="0" w:type="auto"/>
            <w:shd w:val="clear" w:color="auto" w:fill="auto"/>
          </w:tcPr>
          <w:p w14:paraId="33DAE713" w14:textId="77777777" w:rsidR="004D6A64" w:rsidRDefault="004D6A64">
            <w:pPr>
              <w:rPr>
                <w:rFonts w:ascii="宋体"/>
              </w:rPr>
            </w:pPr>
          </w:p>
        </w:tc>
        <w:tc>
          <w:tcPr>
            <w:tcW w:w="0" w:type="auto"/>
            <w:shd w:val="clear" w:color="auto" w:fill="auto"/>
          </w:tcPr>
          <w:p w14:paraId="33DAE714" w14:textId="77777777" w:rsidR="004D6A64" w:rsidRDefault="004D6A64">
            <w:pPr>
              <w:rPr>
                <w:rFonts w:ascii="宋体"/>
              </w:rPr>
            </w:pPr>
          </w:p>
        </w:tc>
        <w:tc>
          <w:tcPr>
            <w:tcW w:w="0" w:type="auto"/>
            <w:shd w:val="clear" w:color="auto" w:fill="auto"/>
          </w:tcPr>
          <w:p w14:paraId="33DAE715" w14:textId="77777777" w:rsidR="004D6A64" w:rsidRDefault="004D6A64">
            <w:pPr>
              <w:rPr>
                <w:rFonts w:ascii="宋体"/>
              </w:rPr>
            </w:pPr>
          </w:p>
        </w:tc>
        <w:tc>
          <w:tcPr>
            <w:tcW w:w="0" w:type="auto"/>
            <w:shd w:val="clear" w:color="auto" w:fill="auto"/>
          </w:tcPr>
          <w:p w14:paraId="33DAE716" w14:textId="77777777" w:rsidR="004D6A64" w:rsidRDefault="004D6A64">
            <w:pPr>
              <w:rPr>
                <w:rFonts w:ascii="宋体"/>
              </w:rPr>
            </w:pPr>
          </w:p>
        </w:tc>
        <w:tc>
          <w:tcPr>
            <w:tcW w:w="0" w:type="auto"/>
            <w:shd w:val="clear" w:color="auto" w:fill="auto"/>
          </w:tcPr>
          <w:p w14:paraId="33DAE717" w14:textId="77777777" w:rsidR="004D6A64" w:rsidRDefault="004D6A64">
            <w:pPr>
              <w:rPr>
                <w:rFonts w:ascii="宋体"/>
              </w:rPr>
            </w:pPr>
          </w:p>
        </w:tc>
        <w:tc>
          <w:tcPr>
            <w:tcW w:w="0" w:type="auto"/>
            <w:shd w:val="clear" w:color="auto" w:fill="auto"/>
          </w:tcPr>
          <w:p w14:paraId="33DAE718" w14:textId="77777777" w:rsidR="004D6A64" w:rsidRDefault="004D6A64">
            <w:pPr>
              <w:rPr>
                <w:rFonts w:ascii="宋体"/>
              </w:rPr>
            </w:pPr>
          </w:p>
        </w:tc>
        <w:tc>
          <w:tcPr>
            <w:tcW w:w="0" w:type="auto"/>
            <w:shd w:val="clear" w:color="auto" w:fill="auto"/>
          </w:tcPr>
          <w:p w14:paraId="33DAE719" w14:textId="77777777" w:rsidR="004D6A64" w:rsidRDefault="004D6A64">
            <w:pPr>
              <w:rPr>
                <w:rFonts w:ascii="宋体"/>
              </w:rPr>
            </w:pPr>
          </w:p>
        </w:tc>
        <w:tc>
          <w:tcPr>
            <w:tcW w:w="0" w:type="auto"/>
            <w:shd w:val="clear" w:color="auto" w:fill="auto"/>
          </w:tcPr>
          <w:p w14:paraId="33DAE71A" w14:textId="77777777" w:rsidR="004D6A64" w:rsidRDefault="004D6A64">
            <w:pPr>
              <w:rPr>
                <w:rFonts w:ascii="宋体"/>
              </w:rPr>
            </w:pPr>
          </w:p>
        </w:tc>
        <w:tc>
          <w:tcPr>
            <w:tcW w:w="0" w:type="auto"/>
            <w:shd w:val="clear" w:color="auto" w:fill="auto"/>
          </w:tcPr>
          <w:p w14:paraId="33DAE71B" w14:textId="77777777" w:rsidR="004D6A64" w:rsidRDefault="004D6A64">
            <w:pPr>
              <w:rPr>
                <w:rFonts w:ascii="宋体"/>
              </w:rPr>
            </w:pPr>
          </w:p>
        </w:tc>
        <w:tc>
          <w:tcPr>
            <w:tcW w:w="0" w:type="auto"/>
            <w:shd w:val="clear" w:color="auto" w:fill="auto"/>
          </w:tcPr>
          <w:p w14:paraId="33DAE71C" w14:textId="77777777" w:rsidR="004D6A64" w:rsidRDefault="004D6A64">
            <w:pPr>
              <w:rPr>
                <w:rFonts w:ascii="宋体"/>
              </w:rPr>
            </w:pPr>
          </w:p>
        </w:tc>
        <w:tc>
          <w:tcPr>
            <w:tcW w:w="0" w:type="auto"/>
            <w:shd w:val="clear" w:color="auto" w:fill="auto"/>
          </w:tcPr>
          <w:p w14:paraId="33DAE71D" w14:textId="77777777" w:rsidR="004D6A64" w:rsidRDefault="004D6A64">
            <w:pPr>
              <w:rPr>
                <w:rFonts w:ascii="宋体"/>
              </w:rPr>
            </w:pPr>
          </w:p>
        </w:tc>
        <w:tc>
          <w:tcPr>
            <w:tcW w:w="0" w:type="auto"/>
            <w:shd w:val="clear" w:color="auto" w:fill="auto"/>
          </w:tcPr>
          <w:p w14:paraId="33DAE71E" w14:textId="77777777" w:rsidR="004D6A64" w:rsidRDefault="004D6A64">
            <w:pPr>
              <w:rPr>
                <w:rFonts w:ascii="宋体"/>
              </w:rPr>
            </w:pPr>
          </w:p>
        </w:tc>
        <w:tc>
          <w:tcPr>
            <w:tcW w:w="0" w:type="auto"/>
            <w:shd w:val="clear" w:color="auto" w:fill="auto"/>
          </w:tcPr>
          <w:p w14:paraId="33DAE71F" w14:textId="77777777" w:rsidR="004D6A64" w:rsidRDefault="004D6A64">
            <w:pPr>
              <w:rPr>
                <w:rFonts w:ascii="宋体"/>
              </w:rPr>
            </w:pPr>
          </w:p>
        </w:tc>
        <w:tc>
          <w:tcPr>
            <w:tcW w:w="0" w:type="auto"/>
            <w:shd w:val="clear" w:color="auto" w:fill="auto"/>
          </w:tcPr>
          <w:p w14:paraId="33DAE720" w14:textId="77777777" w:rsidR="004D6A64" w:rsidRDefault="004D6A64">
            <w:pPr>
              <w:rPr>
                <w:rFonts w:ascii="宋体"/>
              </w:rPr>
            </w:pPr>
          </w:p>
        </w:tc>
        <w:tc>
          <w:tcPr>
            <w:tcW w:w="0" w:type="auto"/>
            <w:shd w:val="clear" w:color="auto" w:fill="auto"/>
          </w:tcPr>
          <w:p w14:paraId="33DAE721" w14:textId="77777777" w:rsidR="004D6A64" w:rsidRDefault="004D6A64">
            <w:pPr>
              <w:rPr>
                <w:rFonts w:ascii="宋体"/>
              </w:rPr>
            </w:pPr>
          </w:p>
        </w:tc>
        <w:tc>
          <w:tcPr>
            <w:tcW w:w="0" w:type="auto"/>
            <w:shd w:val="clear" w:color="auto" w:fill="auto"/>
          </w:tcPr>
          <w:p w14:paraId="33DAE722" w14:textId="77777777" w:rsidR="004D6A64" w:rsidRDefault="004D6A64">
            <w:pPr>
              <w:rPr>
                <w:rFonts w:ascii="宋体"/>
              </w:rPr>
            </w:pPr>
          </w:p>
        </w:tc>
        <w:tc>
          <w:tcPr>
            <w:tcW w:w="0" w:type="auto"/>
            <w:shd w:val="clear" w:color="auto" w:fill="auto"/>
          </w:tcPr>
          <w:p w14:paraId="33DAE723" w14:textId="77777777" w:rsidR="004D6A64" w:rsidRDefault="004D6A64">
            <w:pPr>
              <w:rPr>
                <w:rFonts w:ascii="宋体"/>
              </w:rPr>
            </w:pPr>
          </w:p>
        </w:tc>
        <w:tc>
          <w:tcPr>
            <w:tcW w:w="0" w:type="auto"/>
            <w:shd w:val="clear" w:color="auto" w:fill="auto"/>
          </w:tcPr>
          <w:p w14:paraId="33DAE724" w14:textId="77777777" w:rsidR="004D6A64" w:rsidRDefault="004D6A64">
            <w:pPr>
              <w:rPr>
                <w:rFonts w:ascii="宋体"/>
              </w:rPr>
            </w:pPr>
          </w:p>
        </w:tc>
        <w:tc>
          <w:tcPr>
            <w:tcW w:w="0" w:type="auto"/>
            <w:shd w:val="clear" w:color="auto" w:fill="auto"/>
          </w:tcPr>
          <w:p w14:paraId="33DAE725" w14:textId="77777777" w:rsidR="004D6A64" w:rsidRDefault="004D6A64">
            <w:pPr>
              <w:rPr>
                <w:rFonts w:ascii="宋体"/>
              </w:rPr>
            </w:pPr>
          </w:p>
        </w:tc>
        <w:tc>
          <w:tcPr>
            <w:tcW w:w="0" w:type="auto"/>
            <w:shd w:val="clear" w:color="auto" w:fill="auto"/>
          </w:tcPr>
          <w:p w14:paraId="33DAE726" w14:textId="77777777" w:rsidR="004D6A64" w:rsidRDefault="004D6A64">
            <w:pPr>
              <w:rPr>
                <w:rFonts w:ascii="宋体"/>
              </w:rPr>
            </w:pPr>
          </w:p>
        </w:tc>
        <w:tc>
          <w:tcPr>
            <w:tcW w:w="0" w:type="auto"/>
            <w:shd w:val="clear" w:color="auto" w:fill="auto"/>
          </w:tcPr>
          <w:p w14:paraId="33DAE727" w14:textId="77777777" w:rsidR="004D6A64" w:rsidRDefault="004D6A64">
            <w:pPr>
              <w:rPr>
                <w:rFonts w:ascii="宋体"/>
              </w:rPr>
            </w:pPr>
          </w:p>
        </w:tc>
        <w:tc>
          <w:tcPr>
            <w:tcW w:w="0" w:type="auto"/>
            <w:shd w:val="clear" w:color="auto" w:fill="auto"/>
          </w:tcPr>
          <w:p w14:paraId="33DAE728" w14:textId="77777777" w:rsidR="004D6A64" w:rsidRDefault="004D6A64">
            <w:pPr>
              <w:rPr>
                <w:rFonts w:ascii="宋体"/>
              </w:rPr>
            </w:pPr>
          </w:p>
        </w:tc>
        <w:tc>
          <w:tcPr>
            <w:tcW w:w="0" w:type="auto"/>
            <w:shd w:val="clear" w:color="auto" w:fill="auto"/>
          </w:tcPr>
          <w:p w14:paraId="33DAE729" w14:textId="77777777" w:rsidR="004D6A64" w:rsidRDefault="004D6A64">
            <w:pPr>
              <w:rPr>
                <w:rFonts w:ascii="宋体"/>
              </w:rPr>
            </w:pPr>
          </w:p>
        </w:tc>
        <w:tc>
          <w:tcPr>
            <w:tcW w:w="0" w:type="auto"/>
            <w:shd w:val="clear" w:color="auto" w:fill="auto"/>
          </w:tcPr>
          <w:p w14:paraId="33DAE72A" w14:textId="77777777" w:rsidR="004D6A64" w:rsidRDefault="004D6A64">
            <w:pPr>
              <w:rPr>
                <w:rFonts w:ascii="宋体"/>
              </w:rPr>
            </w:pPr>
          </w:p>
        </w:tc>
        <w:tc>
          <w:tcPr>
            <w:tcW w:w="0" w:type="auto"/>
            <w:shd w:val="clear" w:color="auto" w:fill="auto"/>
          </w:tcPr>
          <w:p w14:paraId="33DAE72B" w14:textId="77777777" w:rsidR="004D6A64" w:rsidRDefault="004D6A64">
            <w:pPr>
              <w:rPr>
                <w:rFonts w:ascii="宋体"/>
              </w:rPr>
            </w:pPr>
          </w:p>
        </w:tc>
        <w:tc>
          <w:tcPr>
            <w:tcW w:w="0" w:type="auto"/>
            <w:shd w:val="clear" w:color="auto" w:fill="auto"/>
          </w:tcPr>
          <w:p w14:paraId="33DAE72C" w14:textId="77777777" w:rsidR="004D6A64" w:rsidRDefault="004D6A64">
            <w:pPr>
              <w:rPr>
                <w:rFonts w:ascii="宋体"/>
              </w:rPr>
            </w:pPr>
          </w:p>
        </w:tc>
      </w:tr>
      <w:tr w:rsidR="004D6A64" w14:paraId="33DAE75F" w14:textId="77777777">
        <w:trPr>
          <w:jc w:val="center"/>
        </w:trPr>
        <w:tc>
          <w:tcPr>
            <w:tcW w:w="0" w:type="auto"/>
            <w:gridSpan w:val="3"/>
            <w:shd w:val="clear" w:color="auto" w:fill="CCEEFF"/>
            <w:tcMar>
              <w:top w:w="40" w:type="dxa"/>
              <w:left w:w="465" w:type="dxa"/>
              <w:bottom w:w="40" w:type="dxa"/>
              <w:right w:w="20" w:type="dxa"/>
            </w:tcMar>
            <w:vAlign w:val="center"/>
          </w:tcPr>
          <w:p w14:paraId="33DAE72E" w14:textId="77777777" w:rsidR="004D6A64" w:rsidRDefault="00506CD6">
            <w:pPr>
              <w:textAlignment w:val="center"/>
            </w:pPr>
            <w:r>
              <w:rPr>
                <w:rFonts w:ascii="Times New Roman" w:eastAsia="宋体" w:hAnsi="Times New Roman"/>
                <w:color w:val="000000"/>
                <w:sz w:val="20"/>
                <w:szCs w:val="20"/>
              </w:rPr>
              <w:t>Non-GAAP net income</w:t>
            </w: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E72F"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E730" w14:textId="77777777" w:rsidR="004D6A64" w:rsidRDefault="00506CD6">
            <w:pPr>
              <w:jc w:val="right"/>
              <w:textAlignment w:val="center"/>
            </w:pPr>
            <w:r>
              <w:rPr>
                <w:rFonts w:ascii="Times New Roman" w:eastAsia="宋体" w:hAnsi="Times New Roman"/>
                <w:color w:val="000000"/>
                <w:sz w:val="20"/>
                <w:szCs w:val="20"/>
              </w:rPr>
              <w:t>1,621 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E73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73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733" w14:textId="77777777" w:rsidR="004D6A64" w:rsidRDefault="00506CD6">
            <w:pPr>
              <w:jc w:val="right"/>
              <w:textAlignment w:val="center"/>
            </w:pPr>
            <w:r>
              <w:rPr>
                <w:rFonts w:ascii="Times New Roman" w:eastAsia="宋体" w:hAnsi="Times New Roman"/>
                <w:color w:val="000000"/>
                <w:sz w:val="20"/>
                <w:szCs w:val="20"/>
              </w:rPr>
              <w:t>(7)</w:t>
            </w:r>
          </w:p>
        </w:tc>
        <w:tc>
          <w:tcPr>
            <w:tcW w:w="0" w:type="auto"/>
            <w:shd w:val="clear" w:color="auto" w:fill="CCEEFF"/>
            <w:tcMar>
              <w:top w:w="40" w:type="dxa"/>
              <w:bottom w:w="40" w:type="dxa"/>
              <w:right w:w="20" w:type="dxa"/>
            </w:tcMar>
            <w:vAlign w:val="center"/>
          </w:tcPr>
          <w:p w14:paraId="33DAE734"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735"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E736"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E737" w14:textId="77777777" w:rsidR="004D6A64" w:rsidRDefault="00506CD6">
            <w:pPr>
              <w:jc w:val="right"/>
              <w:textAlignment w:val="center"/>
            </w:pPr>
            <w:r>
              <w:rPr>
                <w:rFonts w:ascii="Times New Roman" w:eastAsia="宋体" w:hAnsi="Times New Roman"/>
                <w:color w:val="000000"/>
                <w:sz w:val="20"/>
                <w:szCs w:val="20"/>
              </w:rPr>
              <w:t>1,751 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E73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739"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E73A"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E73B" w14:textId="77777777" w:rsidR="004D6A64" w:rsidRDefault="00506CD6">
            <w:pPr>
              <w:jc w:val="right"/>
              <w:textAlignment w:val="center"/>
            </w:pPr>
            <w:r>
              <w:rPr>
                <w:rFonts w:ascii="Times New Roman" w:eastAsia="宋体" w:hAnsi="Times New Roman"/>
                <w:color w:val="000000"/>
                <w:sz w:val="20"/>
                <w:szCs w:val="20"/>
              </w:rPr>
              <w:t>2,764 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E73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73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E73E" w14:textId="77777777" w:rsidR="004D6A64" w:rsidRDefault="00506CD6">
            <w:pPr>
              <w:jc w:val="right"/>
              <w:textAlignment w:val="center"/>
            </w:pPr>
            <w:r>
              <w:rPr>
                <w:rFonts w:ascii="Times New Roman" w:eastAsia="宋体" w:hAnsi="Times New Roman"/>
                <w:color w:val="000000"/>
                <w:sz w:val="20"/>
                <w:szCs w:val="20"/>
              </w:rPr>
              <w:t>(7)</w:t>
            </w:r>
          </w:p>
        </w:tc>
        <w:tc>
          <w:tcPr>
            <w:tcW w:w="0" w:type="auto"/>
            <w:shd w:val="clear" w:color="auto" w:fill="CCEEFF"/>
            <w:tcMar>
              <w:top w:w="40" w:type="dxa"/>
              <w:bottom w:w="40" w:type="dxa"/>
              <w:right w:w="20" w:type="dxa"/>
            </w:tcMar>
            <w:vAlign w:val="center"/>
          </w:tcPr>
          <w:p w14:paraId="33DAE73F"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740"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E741"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E742" w14:textId="77777777" w:rsidR="004D6A64" w:rsidRDefault="00506CD6">
            <w:pPr>
              <w:jc w:val="right"/>
              <w:textAlignment w:val="center"/>
            </w:pPr>
            <w:r>
              <w:rPr>
                <w:rFonts w:ascii="Times New Roman" w:eastAsia="宋体" w:hAnsi="Times New Roman"/>
                <w:color w:val="000000"/>
                <w:sz w:val="20"/>
                <w:szCs w:val="20"/>
              </w:rPr>
              <w:t>2,960 </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E743" w14:textId="77777777" w:rsidR="004D6A64" w:rsidRDefault="004D6A64">
            <w:pPr>
              <w:jc w:val="right"/>
              <w:rPr>
                <w:rFonts w:ascii="宋体"/>
              </w:rPr>
            </w:pPr>
          </w:p>
        </w:tc>
        <w:tc>
          <w:tcPr>
            <w:tcW w:w="0" w:type="auto"/>
            <w:shd w:val="clear" w:color="auto" w:fill="auto"/>
          </w:tcPr>
          <w:p w14:paraId="33DAE744" w14:textId="77777777" w:rsidR="004D6A64" w:rsidRDefault="004D6A64">
            <w:pPr>
              <w:rPr>
                <w:rFonts w:ascii="宋体"/>
              </w:rPr>
            </w:pPr>
          </w:p>
        </w:tc>
        <w:tc>
          <w:tcPr>
            <w:tcW w:w="0" w:type="auto"/>
            <w:shd w:val="clear" w:color="auto" w:fill="auto"/>
          </w:tcPr>
          <w:p w14:paraId="33DAE745" w14:textId="77777777" w:rsidR="004D6A64" w:rsidRDefault="004D6A64">
            <w:pPr>
              <w:rPr>
                <w:rFonts w:ascii="宋体"/>
              </w:rPr>
            </w:pPr>
          </w:p>
        </w:tc>
        <w:tc>
          <w:tcPr>
            <w:tcW w:w="0" w:type="auto"/>
            <w:shd w:val="clear" w:color="auto" w:fill="auto"/>
          </w:tcPr>
          <w:p w14:paraId="33DAE746" w14:textId="77777777" w:rsidR="004D6A64" w:rsidRDefault="004D6A64">
            <w:pPr>
              <w:rPr>
                <w:rFonts w:ascii="宋体"/>
              </w:rPr>
            </w:pPr>
          </w:p>
        </w:tc>
        <w:tc>
          <w:tcPr>
            <w:tcW w:w="0" w:type="auto"/>
            <w:shd w:val="clear" w:color="auto" w:fill="auto"/>
          </w:tcPr>
          <w:p w14:paraId="33DAE747" w14:textId="77777777" w:rsidR="004D6A64" w:rsidRDefault="004D6A64">
            <w:pPr>
              <w:rPr>
                <w:rFonts w:ascii="宋体"/>
              </w:rPr>
            </w:pPr>
          </w:p>
        </w:tc>
        <w:tc>
          <w:tcPr>
            <w:tcW w:w="0" w:type="auto"/>
            <w:shd w:val="clear" w:color="auto" w:fill="auto"/>
          </w:tcPr>
          <w:p w14:paraId="33DAE748" w14:textId="77777777" w:rsidR="004D6A64" w:rsidRDefault="004D6A64">
            <w:pPr>
              <w:rPr>
                <w:rFonts w:ascii="宋体"/>
              </w:rPr>
            </w:pPr>
          </w:p>
        </w:tc>
        <w:tc>
          <w:tcPr>
            <w:tcW w:w="0" w:type="auto"/>
            <w:shd w:val="clear" w:color="auto" w:fill="auto"/>
          </w:tcPr>
          <w:p w14:paraId="33DAE749" w14:textId="77777777" w:rsidR="004D6A64" w:rsidRDefault="004D6A64">
            <w:pPr>
              <w:rPr>
                <w:rFonts w:ascii="宋体"/>
              </w:rPr>
            </w:pPr>
          </w:p>
        </w:tc>
        <w:tc>
          <w:tcPr>
            <w:tcW w:w="0" w:type="auto"/>
            <w:shd w:val="clear" w:color="auto" w:fill="auto"/>
          </w:tcPr>
          <w:p w14:paraId="33DAE74A" w14:textId="77777777" w:rsidR="004D6A64" w:rsidRDefault="004D6A64">
            <w:pPr>
              <w:rPr>
                <w:rFonts w:ascii="宋体"/>
              </w:rPr>
            </w:pPr>
          </w:p>
        </w:tc>
        <w:tc>
          <w:tcPr>
            <w:tcW w:w="0" w:type="auto"/>
            <w:shd w:val="clear" w:color="auto" w:fill="auto"/>
          </w:tcPr>
          <w:p w14:paraId="33DAE74B" w14:textId="77777777" w:rsidR="004D6A64" w:rsidRDefault="004D6A64">
            <w:pPr>
              <w:rPr>
                <w:rFonts w:ascii="宋体"/>
              </w:rPr>
            </w:pPr>
          </w:p>
        </w:tc>
        <w:tc>
          <w:tcPr>
            <w:tcW w:w="0" w:type="auto"/>
            <w:shd w:val="clear" w:color="auto" w:fill="auto"/>
          </w:tcPr>
          <w:p w14:paraId="33DAE74C" w14:textId="77777777" w:rsidR="004D6A64" w:rsidRDefault="004D6A64">
            <w:pPr>
              <w:rPr>
                <w:rFonts w:ascii="宋体"/>
              </w:rPr>
            </w:pPr>
          </w:p>
        </w:tc>
        <w:tc>
          <w:tcPr>
            <w:tcW w:w="0" w:type="auto"/>
            <w:shd w:val="clear" w:color="auto" w:fill="auto"/>
          </w:tcPr>
          <w:p w14:paraId="33DAE74D" w14:textId="77777777" w:rsidR="004D6A64" w:rsidRDefault="004D6A64">
            <w:pPr>
              <w:rPr>
                <w:rFonts w:ascii="宋体"/>
              </w:rPr>
            </w:pPr>
          </w:p>
        </w:tc>
        <w:tc>
          <w:tcPr>
            <w:tcW w:w="0" w:type="auto"/>
            <w:shd w:val="clear" w:color="auto" w:fill="auto"/>
          </w:tcPr>
          <w:p w14:paraId="33DAE74E" w14:textId="77777777" w:rsidR="004D6A64" w:rsidRDefault="004D6A64">
            <w:pPr>
              <w:rPr>
                <w:rFonts w:ascii="宋体"/>
              </w:rPr>
            </w:pPr>
          </w:p>
        </w:tc>
        <w:tc>
          <w:tcPr>
            <w:tcW w:w="0" w:type="auto"/>
            <w:shd w:val="clear" w:color="auto" w:fill="auto"/>
          </w:tcPr>
          <w:p w14:paraId="33DAE74F" w14:textId="77777777" w:rsidR="004D6A64" w:rsidRDefault="004D6A64">
            <w:pPr>
              <w:rPr>
                <w:rFonts w:ascii="宋体"/>
              </w:rPr>
            </w:pPr>
          </w:p>
        </w:tc>
        <w:tc>
          <w:tcPr>
            <w:tcW w:w="0" w:type="auto"/>
            <w:shd w:val="clear" w:color="auto" w:fill="auto"/>
          </w:tcPr>
          <w:p w14:paraId="33DAE750" w14:textId="77777777" w:rsidR="004D6A64" w:rsidRDefault="004D6A64">
            <w:pPr>
              <w:rPr>
                <w:rFonts w:ascii="宋体"/>
              </w:rPr>
            </w:pPr>
          </w:p>
        </w:tc>
        <w:tc>
          <w:tcPr>
            <w:tcW w:w="0" w:type="auto"/>
            <w:shd w:val="clear" w:color="auto" w:fill="auto"/>
          </w:tcPr>
          <w:p w14:paraId="33DAE751" w14:textId="77777777" w:rsidR="004D6A64" w:rsidRDefault="004D6A64">
            <w:pPr>
              <w:rPr>
                <w:rFonts w:ascii="宋体"/>
              </w:rPr>
            </w:pPr>
          </w:p>
        </w:tc>
        <w:tc>
          <w:tcPr>
            <w:tcW w:w="0" w:type="auto"/>
            <w:shd w:val="clear" w:color="auto" w:fill="auto"/>
          </w:tcPr>
          <w:p w14:paraId="33DAE752" w14:textId="77777777" w:rsidR="004D6A64" w:rsidRDefault="004D6A64">
            <w:pPr>
              <w:rPr>
                <w:rFonts w:ascii="宋体"/>
              </w:rPr>
            </w:pPr>
          </w:p>
        </w:tc>
        <w:tc>
          <w:tcPr>
            <w:tcW w:w="0" w:type="auto"/>
            <w:shd w:val="clear" w:color="auto" w:fill="auto"/>
          </w:tcPr>
          <w:p w14:paraId="33DAE753" w14:textId="77777777" w:rsidR="004D6A64" w:rsidRDefault="004D6A64">
            <w:pPr>
              <w:rPr>
                <w:rFonts w:ascii="宋体"/>
              </w:rPr>
            </w:pPr>
          </w:p>
        </w:tc>
        <w:tc>
          <w:tcPr>
            <w:tcW w:w="0" w:type="auto"/>
            <w:shd w:val="clear" w:color="auto" w:fill="auto"/>
          </w:tcPr>
          <w:p w14:paraId="33DAE754" w14:textId="77777777" w:rsidR="004D6A64" w:rsidRDefault="004D6A64">
            <w:pPr>
              <w:rPr>
                <w:rFonts w:ascii="宋体"/>
              </w:rPr>
            </w:pPr>
          </w:p>
        </w:tc>
        <w:tc>
          <w:tcPr>
            <w:tcW w:w="0" w:type="auto"/>
            <w:shd w:val="clear" w:color="auto" w:fill="auto"/>
          </w:tcPr>
          <w:p w14:paraId="33DAE755" w14:textId="77777777" w:rsidR="004D6A64" w:rsidRDefault="004D6A64">
            <w:pPr>
              <w:rPr>
                <w:rFonts w:ascii="宋体"/>
              </w:rPr>
            </w:pPr>
          </w:p>
        </w:tc>
        <w:tc>
          <w:tcPr>
            <w:tcW w:w="0" w:type="auto"/>
            <w:shd w:val="clear" w:color="auto" w:fill="auto"/>
          </w:tcPr>
          <w:p w14:paraId="33DAE756" w14:textId="77777777" w:rsidR="004D6A64" w:rsidRDefault="004D6A64">
            <w:pPr>
              <w:rPr>
                <w:rFonts w:ascii="宋体"/>
              </w:rPr>
            </w:pPr>
          </w:p>
        </w:tc>
        <w:tc>
          <w:tcPr>
            <w:tcW w:w="0" w:type="auto"/>
            <w:shd w:val="clear" w:color="auto" w:fill="auto"/>
          </w:tcPr>
          <w:p w14:paraId="33DAE757" w14:textId="77777777" w:rsidR="004D6A64" w:rsidRDefault="004D6A64">
            <w:pPr>
              <w:rPr>
                <w:rFonts w:ascii="宋体"/>
              </w:rPr>
            </w:pPr>
          </w:p>
        </w:tc>
        <w:tc>
          <w:tcPr>
            <w:tcW w:w="0" w:type="auto"/>
            <w:shd w:val="clear" w:color="auto" w:fill="auto"/>
          </w:tcPr>
          <w:p w14:paraId="33DAE758" w14:textId="77777777" w:rsidR="004D6A64" w:rsidRDefault="004D6A64">
            <w:pPr>
              <w:rPr>
                <w:rFonts w:ascii="宋体"/>
              </w:rPr>
            </w:pPr>
          </w:p>
        </w:tc>
        <w:tc>
          <w:tcPr>
            <w:tcW w:w="0" w:type="auto"/>
            <w:shd w:val="clear" w:color="auto" w:fill="auto"/>
          </w:tcPr>
          <w:p w14:paraId="33DAE759" w14:textId="77777777" w:rsidR="004D6A64" w:rsidRDefault="004D6A64">
            <w:pPr>
              <w:rPr>
                <w:rFonts w:ascii="宋体"/>
              </w:rPr>
            </w:pPr>
          </w:p>
        </w:tc>
        <w:tc>
          <w:tcPr>
            <w:tcW w:w="0" w:type="auto"/>
            <w:shd w:val="clear" w:color="auto" w:fill="auto"/>
          </w:tcPr>
          <w:p w14:paraId="33DAE75A" w14:textId="77777777" w:rsidR="004D6A64" w:rsidRDefault="004D6A64">
            <w:pPr>
              <w:rPr>
                <w:rFonts w:ascii="宋体"/>
              </w:rPr>
            </w:pPr>
          </w:p>
        </w:tc>
        <w:tc>
          <w:tcPr>
            <w:tcW w:w="0" w:type="auto"/>
            <w:shd w:val="clear" w:color="auto" w:fill="auto"/>
          </w:tcPr>
          <w:p w14:paraId="33DAE75B" w14:textId="77777777" w:rsidR="004D6A64" w:rsidRDefault="004D6A64">
            <w:pPr>
              <w:rPr>
                <w:rFonts w:ascii="宋体"/>
              </w:rPr>
            </w:pPr>
          </w:p>
        </w:tc>
        <w:tc>
          <w:tcPr>
            <w:tcW w:w="0" w:type="auto"/>
            <w:shd w:val="clear" w:color="auto" w:fill="auto"/>
          </w:tcPr>
          <w:p w14:paraId="33DAE75C" w14:textId="77777777" w:rsidR="004D6A64" w:rsidRDefault="004D6A64">
            <w:pPr>
              <w:rPr>
                <w:rFonts w:ascii="宋体"/>
              </w:rPr>
            </w:pPr>
          </w:p>
        </w:tc>
        <w:tc>
          <w:tcPr>
            <w:tcW w:w="0" w:type="auto"/>
            <w:shd w:val="clear" w:color="auto" w:fill="auto"/>
          </w:tcPr>
          <w:p w14:paraId="33DAE75D" w14:textId="77777777" w:rsidR="004D6A64" w:rsidRDefault="004D6A64">
            <w:pPr>
              <w:rPr>
                <w:rFonts w:ascii="宋体"/>
              </w:rPr>
            </w:pPr>
          </w:p>
        </w:tc>
        <w:tc>
          <w:tcPr>
            <w:tcW w:w="0" w:type="auto"/>
            <w:shd w:val="clear" w:color="auto" w:fill="auto"/>
          </w:tcPr>
          <w:p w14:paraId="33DAE75E" w14:textId="77777777" w:rsidR="004D6A64" w:rsidRDefault="004D6A64">
            <w:pPr>
              <w:rPr>
                <w:rFonts w:ascii="宋体"/>
              </w:rPr>
            </w:pPr>
          </w:p>
        </w:tc>
      </w:tr>
    </w:tbl>
    <w:p w14:paraId="33DAE760" w14:textId="77777777" w:rsidR="004D6A64" w:rsidRDefault="004D6A64">
      <w:pPr>
        <w:pBdr>
          <w:left w:val="none" w:sz="0" w:space="0" w:color="auto"/>
        </w:pBdr>
        <w:ind w:hanging="360"/>
      </w:pPr>
    </w:p>
    <w:p w14:paraId="33DAE761" w14:textId="77777777" w:rsidR="004D6A64" w:rsidRDefault="004D6A64">
      <w:pPr>
        <w:jc w:val="center"/>
      </w:pPr>
    </w:p>
    <w:p w14:paraId="33DAE762" w14:textId="77777777" w:rsidR="004D6A64" w:rsidRDefault="00506CD6">
      <w:pPr>
        <w:jc w:val="center"/>
      </w:pPr>
      <w:r>
        <w:rPr>
          <w:rFonts w:ascii="Times New Roman" w:eastAsia="宋体" w:hAnsi="Times New Roman"/>
          <w:color w:val="000000"/>
          <w:sz w:val="20"/>
          <w:szCs w:val="20"/>
        </w:rPr>
        <w:t>75</w:t>
      </w:r>
    </w:p>
    <w:p w14:paraId="33DAE763" w14:textId="77777777" w:rsidR="004D6A64" w:rsidRDefault="004D6A64">
      <w:pPr>
        <w:jc w:val="center"/>
      </w:pPr>
    </w:p>
    <w:p w14:paraId="33DAE764" w14:textId="77777777" w:rsidR="004D6A64" w:rsidRDefault="00506CD6">
      <w:r>
        <w:pict w14:anchorId="33DAFB0F">
          <v:rect id="_x0000_i1099" style="width:415.3pt;height:1.5pt" o:hralign="center" o:hrstd="t" o:hr="t" fillcolor="#a0a0a0" stroked="f"/>
        </w:pict>
      </w:r>
    </w:p>
    <w:p w14:paraId="33DAE765" w14:textId="77777777" w:rsidR="004D6A64" w:rsidRDefault="00506CD6">
      <w:hyperlink r:id="rId198" w:anchor="if3e0e1bf9ecd4bf69551d7a85f98d64a_10" w:history="1">
        <w:r>
          <w:rPr>
            <w:rStyle w:val="a5"/>
            <w:rFonts w:ascii="Times New Roman" w:eastAsia="宋体" w:hAnsi="Times New Roman"/>
            <w:sz w:val="20"/>
            <w:szCs w:val="20"/>
          </w:rPr>
          <w:t>Table of Contents</w:t>
        </w:r>
      </w:hyperlink>
    </w:p>
    <w:p w14:paraId="33DAE766" w14:textId="77777777" w:rsidR="004D6A64" w:rsidRDefault="00506CD6">
      <w:r>
        <w:rPr>
          <w:rFonts w:ascii="Times New Roman" w:eastAsia="宋体" w:hAnsi="Times New Roman"/>
          <w:color w:val="000000"/>
          <w:sz w:val="20"/>
          <w:szCs w:val="20"/>
        </w:rPr>
        <w:t xml:space="preserve">In addition to the above measures, we also use EBITDA and adjusted EBITDA to </w:t>
      </w:r>
      <w:r>
        <w:rPr>
          <w:rFonts w:ascii="Times New Roman" w:eastAsia="宋体" w:hAnsi="Times New Roman"/>
          <w:color w:val="000000"/>
          <w:sz w:val="20"/>
          <w:szCs w:val="20"/>
        </w:rPr>
        <w:t xml:space="preserve">provide additional information for evaluation of our operating performance. Adjusted EBITDA excludes purchase accounting adjustments related to the EMC merger transaction and the going-private transaction, acquisition, integration, and divestiture related </w:t>
      </w:r>
      <w:r>
        <w:rPr>
          <w:rFonts w:ascii="Times New Roman" w:eastAsia="宋体" w:hAnsi="Times New Roman"/>
          <w:color w:val="000000"/>
          <w:sz w:val="20"/>
          <w:szCs w:val="20"/>
        </w:rPr>
        <w:t>costs, severance, facility action, and other costs, and stock-based compensation expense. We believe that, due to the non-operational nature of the purchase accounting entries, it is appropriate to exclude these adjustments.</w:t>
      </w:r>
    </w:p>
    <w:p w14:paraId="33DAE767" w14:textId="77777777" w:rsidR="004D6A64" w:rsidRDefault="004D6A64"/>
    <w:p w14:paraId="33DAE768" w14:textId="77777777" w:rsidR="004D6A64" w:rsidRDefault="00506CD6">
      <w:r>
        <w:rPr>
          <w:rFonts w:ascii="Times New Roman" w:eastAsia="宋体" w:hAnsi="Times New Roman"/>
          <w:color w:val="000000"/>
          <w:sz w:val="20"/>
          <w:szCs w:val="20"/>
        </w:rPr>
        <w:t>As is the case with the non-GA</w:t>
      </w:r>
      <w:r>
        <w:rPr>
          <w:rFonts w:ascii="Times New Roman" w:eastAsia="宋体" w:hAnsi="Times New Roman"/>
          <w:color w:val="000000"/>
          <w:sz w:val="20"/>
          <w:szCs w:val="20"/>
        </w:rPr>
        <w:t>AP measures presented above, users should consider the limitations of using EBITDA and adjusted EBITDA, including the fact that those measures do not provide a complete measure of our operating performance. EBITDA and adjusted EBITDA do not purport to be a</w:t>
      </w:r>
      <w:r>
        <w:rPr>
          <w:rFonts w:ascii="Times New Roman" w:eastAsia="宋体" w:hAnsi="Times New Roman"/>
          <w:color w:val="000000"/>
          <w:sz w:val="20"/>
          <w:szCs w:val="20"/>
        </w:rPr>
        <w:t>lternatives to net income (loss) as measures of operating performance or to cash flows from operating activities as a measure of liquidity. In particular, EBITDA and adjusted EBITDA are not intended to be a measure of free cash flow available for managemen</w:t>
      </w:r>
      <w:r>
        <w:rPr>
          <w:rFonts w:ascii="Times New Roman" w:eastAsia="宋体" w:hAnsi="Times New Roman"/>
          <w:color w:val="000000"/>
          <w:sz w:val="20"/>
          <w:szCs w:val="20"/>
        </w:rPr>
        <w:t>t’s discretionary use, as these measures do not consider certain cash requirements, such as working capital needs, capital expenditures, contractual commitments, interest payments, tax payments, and other debt service requirements.</w:t>
      </w:r>
    </w:p>
    <w:p w14:paraId="33DAE769" w14:textId="77777777" w:rsidR="004D6A64" w:rsidRDefault="004D6A64"/>
    <w:p w14:paraId="33DAE76A" w14:textId="77777777" w:rsidR="004D6A64" w:rsidRDefault="00506CD6">
      <w:r>
        <w:rPr>
          <w:rFonts w:ascii="Times New Roman" w:eastAsia="宋体" w:hAnsi="Times New Roman"/>
          <w:color w:val="000000"/>
          <w:sz w:val="20"/>
          <w:szCs w:val="20"/>
        </w:rPr>
        <w:t>The table below present</w:t>
      </w:r>
      <w:r>
        <w:rPr>
          <w:rFonts w:ascii="Times New Roman" w:eastAsia="宋体" w:hAnsi="Times New Roman"/>
          <w:color w:val="000000"/>
          <w:sz w:val="20"/>
          <w:szCs w:val="20"/>
        </w:rPr>
        <w:t>s a reconciliation of EBITDA and adjusted EBITDA to net income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3"/>
        <w:gridCol w:w="2014"/>
        <w:gridCol w:w="39"/>
        <w:gridCol w:w="135"/>
        <w:gridCol w:w="559"/>
        <w:gridCol w:w="41"/>
        <w:gridCol w:w="36"/>
        <w:gridCol w:w="36"/>
        <w:gridCol w:w="36"/>
        <w:gridCol w:w="92"/>
        <w:gridCol w:w="595"/>
        <w:gridCol w:w="202"/>
        <w:gridCol w:w="36"/>
        <w:gridCol w:w="36"/>
        <w:gridCol w:w="36"/>
        <w:gridCol w:w="135"/>
        <w:gridCol w:w="559"/>
        <w:gridCol w:w="41"/>
        <w:gridCol w:w="36"/>
        <w:gridCol w:w="36"/>
        <w:gridCol w:w="36"/>
        <w:gridCol w:w="135"/>
        <w:gridCol w:w="559"/>
        <w:gridCol w:w="41"/>
        <w:gridCol w:w="36"/>
        <w:gridCol w:w="36"/>
        <w:gridCol w:w="36"/>
        <w:gridCol w:w="92"/>
        <w:gridCol w:w="595"/>
        <w:gridCol w:w="202"/>
        <w:gridCol w:w="36"/>
        <w:gridCol w:w="36"/>
        <w:gridCol w:w="36"/>
        <w:gridCol w:w="135"/>
        <w:gridCol w:w="559"/>
        <w:gridCol w:w="4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4D6A64" w14:paraId="33DAE78F" w14:textId="77777777">
        <w:trPr>
          <w:gridAfter w:val="27"/>
          <w:jc w:val="center"/>
        </w:trPr>
        <w:tc>
          <w:tcPr>
            <w:tcW w:w="50" w:type="pct"/>
            <w:shd w:val="clear" w:color="auto" w:fill="auto"/>
          </w:tcPr>
          <w:p w14:paraId="33DAE76B" w14:textId="77777777" w:rsidR="004D6A64" w:rsidRDefault="004D6A64">
            <w:pPr>
              <w:rPr>
                <w:rFonts w:ascii="宋体"/>
              </w:rPr>
            </w:pPr>
          </w:p>
        </w:tc>
        <w:tc>
          <w:tcPr>
            <w:tcW w:w="1670" w:type="pct"/>
            <w:shd w:val="clear" w:color="auto" w:fill="auto"/>
          </w:tcPr>
          <w:p w14:paraId="33DAE76C" w14:textId="77777777" w:rsidR="004D6A64" w:rsidRDefault="004D6A64">
            <w:pPr>
              <w:rPr>
                <w:rFonts w:ascii="宋体"/>
              </w:rPr>
            </w:pPr>
          </w:p>
        </w:tc>
        <w:tc>
          <w:tcPr>
            <w:tcW w:w="5" w:type="pct"/>
            <w:shd w:val="clear" w:color="auto" w:fill="auto"/>
          </w:tcPr>
          <w:p w14:paraId="33DAE76D" w14:textId="77777777" w:rsidR="004D6A64" w:rsidRDefault="004D6A64">
            <w:pPr>
              <w:rPr>
                <w:rFonts w:ascii="宋体"/>
              </w:rPr>
            </w:pPr>
          </w:p>
        </w:tc>
        <w:tc>
          <w:tcPr>
            <w:tcW w:w="50" w:type="pct"/>
            <w:shd w:val="clear" w:color="auto" w:fill="auto"/>
          </w:tcPr>
          <w:p w14:paraId="33DAE76E" w14:textId="77777777" w:rsidR="004D6A64" w:rsidRDefault="004D6A64">
            <w:pPr>
              <w:rPr>
                <w:rFonts w:ascii="宋体"/>
              </w:rPr>
            </w:pPr>
          </w:p>
        </w:tc>
        <w:tc>
          <w:tcPr>
            <w:tcW w:w="537" w:type="pct"/>
            <w:shd w:val="clear" w:color="auto" w:fill="auto"/>
          </w:tcPr>
          <w:p w14:paraId="33DAE76F" w14:textId="77777777" w:rsidR="004D6A64" w:rsidRDefault="004D6A64">
            <w:pPr>
              <w:rPr>
                <w:rFonts w:ascii="宋体"/>
              </w:rPr>
            </w:pPr>
          </w:p>
        </w:tc>
        <w:tc>
          <w:tcPr>
            <w:tcW w:w="5" w:type="pct"/>
            <w:shd w:val="clear" w:color="auto" w:fill="auto"/>
          </w:tcPr>
          <w:p w14:paraId="33DAE770" w14:textId="77777777" w:rsidR="004D6A64" w:rsidRDefault="004D6A64">
            <w:pPr>
              <w:rPr>
                <w:rFonts w:ascii="宋体"/>
              </w:rPr>
            </w:pPr>
          </w:p>
        </w:tc>
        <w:tc>
          <w:tcPr>
            <w:tcW w:w="5" w:type="pct"/>
            <w:shd w:val="clear" w:color="auto" w:fill="auto"/>
          </w:tcPr>
          <w:p w14:paraId="33DAE771" w14:textId="77777777" w:rsidR="004D6A64" w:rsidRDefault="004D6A64">
            <w:pPr>
              <w:rPr>
                <w:rFonts w:ascii="宋体"/>
              </w:rPr>
            </w:pPr>
          </w:p>
        </w:tc>
        <w:tc>
          <w:tcPr>
            <w:tcW w:w="19" w:type="pct"/>
            <w:shd w:val="clear" w:color="auto" w:fill="auto"/>
          </w:tcPr>
          <w:p w14:paraId="33DAE772" w14:textId="77777777" w:rsidR="004D6A64" w:rsidRDefault="004D6A64">
            <w:pPr>
              <w:rPr>
                <w:rFonts w:ascii="宋体"/>
              </w:rPr>
            </w:pPr>
          </w:p>
        </w:tc>
        <w:tc>
          <w:tcPr>
            <w:tcW w:w="5" w:type="pct"/>
            <w:shd w:val="clear" w:color="auto" w:fill="auto"/>
          </w:tcPr>
          <w:p w14:paraId="33DAE773" w14:textId="77777777" w:rsidR="004D6A64" w:rsidRDefault="004D6A64">
            <w:pPr>
              <w:rPr>
                <w:rFonts w:ascii="宋体"/>
              </w:rPr>
            </w:pPr>
          </w:p>
        </w:tc>
        <w:tc>
          <w:tcPr>
            <w:tcW w:w="50" w:type="pct"/>
            <w:shd w:val="clear" w:color="auto" w:fill="auto"/>
          </w:tcPr>
          <w:p w14:paraId="33DAE774" w14:textId="77777777" w:rsidR="004D6A64" w:rsidRDefault="004D6A64">
            <w:pPr>
              <w:rPr>
                <w:rFonts w:ascii="宋体"/>
              </w:rPr>
            </w:pPr>
          </w:p>
        </w:tc>
        <w:tc>
          <w:tcPr>
            <w:tcW w:w="325" w:type="pct"/>
            <w:shd w:val="clear" w:color="auto" w:fill="auto"/>
          </w:tcPr>
          <w:p w14:paraId="33DAE775" w14:textId="77777777" w:rsidR="004D6A64" w:rsidRDefault="004D6A64">
            <w:pPr>
              <w:rPr>
                <w:rFonts w:ascii="宋体"/>
              </w:rPr>
            </w:pPr>
          </w:p>
        </w:tc>
        <w:tc>
          <w:tcPr>
            <w:tcW w:w="5" w:type="pct"/>
            <w:shd w:val="clear" w:color="auto" w:fill="auto"/>
          </w:tcPr>
          <w:p w14:paraId="33DAE776" w14:textId="77777777" w:rsidR="004D6A64" w:rsidRDefault="004D6A64">
            <w:pPr>
              <w:rPr>
                <w:rFonts w:ascii="宋体"/>
              </w:rPr>
            </w:pPr>
          </w:p>
        </w:tc>
        <w:tc>
          <w:tcPr>
            <w:tcW w:w="5" w:type="pct"/>
            <w:shd w:val="clear" w:color="auto" w:fill="auto"/>
          </w:tcPr>
          <w:p w14:paraId="33DAE777" w14:textId="77777777" w:rsidR="004D6A64" w:rsidRDefault="004D6A64">
            <w:pPr>
              <w:rPr>
                <w:rFonts w:ascii="宋体"/>
              </w:rPr>
            </w:pPr>
          </w:p>
        </w:tc>
        <w:tc>
          <w:tcPr>
            <w:tcW w:w="19" w:type="pct"/>
            <w:shd w:val="clear" w:color="auto" w:fill="auto"/>
          </w:tcPr>
          <w:p w14:paraId="33DAE778" w14:textId="77777777" w:rsidR="004D6A64" w:rsidRDefault="004D6A64">
            <w:pPr>
              <w:rPr>
                <w:rFonts w:ascii="宋体"/>
              </w:rPr>
            </w:pPr>
          </w:p>
        </w:tc>
        <w:tc>
          <w:tcPr>
            <w:tcW w:w="5" w:type="pct"/>
            <w:shd w:val="clear" w:color="auto" w:fill="auto"/>
          </w:tcPr>
          <w:p w14:paraId="33DAE779" w14:textId="77777777" w:rsidR="004D6A64" w:rsidRDefault="004D6A64">
            <w:pPr>
              <w:rPr>
                <w:rFonts w:ascii="宋体"/>
              </w:rPr>
            </w:pPr>
          </w:p>
        </w:tc>
        <w:tc>
          <w:tcPr>
            <w:tcW w:w="50" w:type="pct"/>
            <w:shd w:val="clear" w:color="auto" w:fill="auto"/>
          </w:tcPr>
          <w:p w14:paraId="33DAE77A" w14:textId="77777777" w:rsidR="004D6A64" w:rsidRDefault="004D6A64">
            <w:pPr>
              <w:rPr>
                <w:rFonts w:ascii="宋体"/>
              </w:rPr>
            </w:pPr>
          </w:p>
        </w:tc>
        <w:tc>
          <w:tcPr>
            <w:tcW w:w="537" w:type="pct"/>
            <w:shd w:val="clear" w:color="auto" w:fill="auto"/>
          </w:tcPr>
          <w:p w14:paraId="33DAE77B" w14:textId="77777777" w:rsidR="004D6A64" w:rsidRDefault="004D6A64">
            <w:pPr>
              <w:rPr>
                <w:rFonts w:ascii="宋体"/>
              </w:rPr>
            </w:pPr>
          </w:p>
        </w:tc>
        <w:tc>
          <w:tcPr>
            <w:tcW w:w="5" w:type="pct"/>
            <w:shd w:val="clear" w:color="auto" w:fill="auto"/>
          </w:tcPr>
          <w:p w14:paraId="33DAE77C" w14:textId="77777777" w:rsidR="004D6A64" w:rsidRDefault="004D6A64">
            <w:pPr>
              <w:rPr>
                <w:rFonts w:ascii="宋体"/>
              </w:rPr>
            </w:pPr>
          </w:p>
        </w:tc>
        <w:tc>
          <w:tcPr>
            <w:tcW w:w="5" w:type="pct"/>
            <w:shd w:val="clear" w:color="auto" w:fill="auto"/>
          </w:tcPr>
          <w:p w14:paraId="33DAE77D" w14:textId="77777777" w:rsidR="004D6A64" w:rsidRDefault="004D6A64">
            <w:pPr>
              <w:rPr>
                <w:rFonts w:ascii="宋体"/>
              </w:rPr>
            </w:pPr>
          </w:p>
        </w:tc>
        <w:tc>
          <w:tcPr>
            <w:tcW w:w="19" w:type="pct"/>
            <w:shd w:val="clear" w:color="auto" w:fill="auto"/>
          </w:tcPr>
          <w:p w14:paraId="33DAE77E" w14:textId="77777777" w:rsidR="004D6A64" w:rsidRDefault="004D6A64">
            <w:pPr>
              <w:rPr>
                <w:rFonts w:ascii="宋体"/>
              </w:rPr>
            </w:pPr>
          </w:p>
        </w:tc>
        <w:tc>
          <w:tcPr>
            <w:tcW w:w="5" w:type="pct"/>
            <w:shd w:val="clear" w:color="auto" w:fill="auto"/>
          </w:tcPr>
          <w:p w14:paraId="33DAE77F" w14:textId="77777777" w:rsidR="004D6A64" w:rsidRDefault="004D6A64">
            <w:pPr>
              <w:rPr>
                <w:rFonts w:ascii="宋体"/>
              </w:rPr>
            </w:pPr>
          </w:p>
        </w:tc>
        <w:tc>
          <w:tcPr>
            <w:tcW w:w="50" w:type="pct"/>
            <w:shd w:val="clear" w:color="auto" w:fill="auto"/>
          </w:tcPr>
          <w:p w14:paraId="33DAE780" w14:textId="77777777" w:rsidR="004D6A64" w:rsidRDefault="004D6A64">
            <w:pPr>
              <w:rPr>
                <w:rFonts w:ascii="宋体"/>
              </w:rPr>
            </w:pPr>
          </w:p>
        </w:tc>
        <w:tc>
          <w:tcPr>
            <w:tcW w:w="537" w:type="pct"/>
            <w:shd w:val="clear" w:color="auto" w:fill="auto"/>
          </w:tcPr>
          <w:p w14:paraId="33DAE781" w14:textId="77777777" w:rsidR="004D6A64" w:rsidRDefault="004D6A64">
            <w:pPr>
              <w:rPr>
                <w:rFonts w:ascii="宋体"/>
              </w:rPr>
            </w:pPr>
          </w:p>
        </w:tc>
        <w:tc>
          <w:tcPr>
            <w:tcW w:w="5" w:type="pct"/>
            <w:shd w:val="clear" w:color="auto" w:fill="auto"/>
          </w:tcPr>
          <w:p w14:paraId="33DAE782" w14:textId="77777777" w:rsidR="004D6A64" w:rsidRDefault="004D6A64">
            <w:pPr>
              <w:rPr>
                <w:rFonts w:ascii="宋体"/>
              </w:rPr>
            </w:pPr>
          </w:p>
        </w:tc>
        <w:tc>
          <w:tcPr>
            <w:tcW w:w="5" w:type="pct"/>
            <w:shd w:val="clear" w:color="auto" w:fill="auto"/>
          </w:tcPr>
          <w:p w14:paraId="33DAE783" w14:textId="77777777" w:rsidR="004D6A64" w:rsidRDefault="004D6A64">
            <w:pPr>
              <w:rPr>
                <w:rFonts w:ascii="宋体"/>
              </w:rPr>
            </w:pPr>
          </w:p>
        </w:tc>
        <w:tc>
          <w:tcPr>
            <w:tcW w:w="19" w:type="pct"/>
            <w:shd w:val="clear" w:color="auto" w:fill="auto"/>
          </w:tcPr>
          <w:p w14:paraId="33DAE784" w14:textId="77777777" w:rsidR="004D6A64" w:rsidRDefault="004D6A64">
            <w:pPr>
              <w:rPr>
                <w:rFonts w:ascii="宋体"/>
              </w:rPr>
            </w:pPr>
          </w:p>
        </w:tc>
        <w:tc>
          <w:tcPr>
            <w:tcW w:w="5" w:type="pct"/>
            <w:shd w:val="clear" w:color="auto" w:fill="auto"/>
          </w:tcPr>
          <w:p w14:paraId="33DAE785" w14:textId="77777777" w:rsidR="004D6A64" w:rsidRDefault="004D6A64">
            <w:pPr>
              <w:rPr>
                <w:rFonts w:ascii="宋体"/>
              </w:rPr>
            </w:pPr>
          </w:p>
        </w:tc>
        <w:tc>
          <w:tcPr>
            <w:tcW w:w="50" w:type="pct"/>
            <w:shd w:val="clear" w:color="auto" w:fill="auto"/>
          </w:tcPr>
          <w:p w14:paraId="33DAE786" w14:textId="77777777" w:rsidR="004D6A64" w:rsidRDefault="004D6A64">
            <w:pPr>
              <w:rPr>
                <w:rFonts w:ascii="宋体"/>
              </w:rPr>
            </w:pPr>
          </w:p>
        </w:tc>
        <w:tc>
          <w:tcPr>
            <w:tcW w:w="325" w:type="pct"/>
            <w:shd w:val="clear" w:color="auto" w:fill="auto"/>
          </w:tcPr>
          <w:p w14:paraId="33DAE787" w14:textId="77777777" w:rsidR="004D6A64" w:rsidRDefault="004D6A64">
            <w:pPr>
              <w:rPr>
                <w:rFonts w:ascii="宋体"/>
              </w:rPr>
            </w:pPr>
          </w:p>
        </w:tc>
        <w:tc>
          <w:tcPr>
            <w:tcW w:w="5" w:type="pct"/>
            <w:shd w:val="clear" w:color="auto" w:fill="auto"/>
          </w:tcPr>
          <w:p w14:paraId="33DAE788" w14:textId="77777777" w:rsidR="004D6A64" w:rsidRDefault="004D6A64">
            <w:pPr>
              <w:rPr>
                <w:rFonts w:ascii="宋体"/>
              </w:rPr>
            </w:pPr>
          </w:p>
        </w:tc>
        <w:tc>
          <w:tcPr>
            <w:tcW w:w="5" w:type="pct"/>
            <w:shd w:val="clear" w:color="auto" w:fill="auto"/>
          </w:tcPr>
          <w:p w14:paraId="33DAE789" w14:textId="77777777" w:rsidR="004D6A64" w:rsidRDefault="004D6A64">
            <w:pPr>
              <w:rPr>
                <w:rFonts w:ascii="宋体"/>
              </w:rPr>
            </w:pPr>
          </w:p>
        </w:tc>
        <w:tc>
          <w:tcPr>
            <w:tcW w:w="19" w:type="pct"/>
            <w:shd w:val="clear" w:color="auto" w:fill="auto"/>
          </w:tcPr>
          <w:p w14:paraId="33DAE78A" w14:textId="77777777" w:rsidR="004D6A64" w:rsidRDefault="004D6A64">
            <w:pPr>
              <w:rPr>
                <w:rFonts w:ascii="宋体"/>
              </w:rPr>
            </w:pPr>
          </w:p>
        </w:tc>
        <w:tc>
          <w:tcPr>
            <w:tcW w:w="5" w:type="pct"/>
            <w:shd w:val="clear" w:color="auto" w:fill="auto"/>
          </w:tcPr>
          <w:p w14:paraId="33DAE78B" w14:textId="77777777" w:rsidR="004D6A64" w:rsidRDefault="004D6A64">
            <w:pPr>
              <w:rPr>
                <w:rFonts w:ascii="宋体"/>
              </w:rPr>
            </w:pPr>
          </w:p>
        </w:tc>
        <w:tc>
          <w:tcPr>
            <w:tcW w:w="50" w:type="pct"/>
            <w:shd w:val="clear" w:color="auto" w:fill="auto"/>
          </w:tcPr>
          <w:p w14:paraId="33DAE78C" w14:textId="77777777" w:rsidR="004D6A64" w:rsidRDefault="004D6A64">
            <w:pPr>
              <w:rPr>
                <w:rFonts w:ascii="宋体"/>
              </w:rPr>
            </w:pPr>
          </w:p>
        </w:tc>
        <w:tc>
          <w:tcPr>
            <w:tcW w:w="537" w:type="pct"/>
            <w:shd w:val="clear" w:color="auto" w:fill="auto"/>
          </w:tcPr>
          <w:p w14:paraId="33DAE78D" w14:textId="77777777" w:rsidR="004D6A64" w:rsidRDefault="004D6A64">
            <w:pPr>
              <w:rPr>
                <w:rFonts w:ascii="宋体"/>
              </w:rPr>
            </w:pPr>
          </w:p>
        </w:tc>
        <w:tc>
          <w:tcPr>
            <w:tcW w:w="5" w:type="pct"/>
            <w:shd w:val="clear" w:color="auto" w:fill="auto"/>
          </w:tcPr>
          <w:p w14:paraId="33DAE78E" w14:textId="77777777" w:rsidR="004D6A64" w:rsidRDefault="004D6A64">
            <w:pPr>
              <w:rPr>
                <w:rFonts w:ascii="宋体"/>
              </w:rPr>
            </w:pPr>
          </w:p>
        </w:tc>
      </w:tr>
      <w:tr w:rsidR="004D6A64" w14:paraId="33DAE79C" w14:textId="77777777">
        <w:trPr>
          <w:gridAfter w:val="3"/>
          <w:jc w:val="center"/>
        </w:trPr>
        <w:tc>
          <w:tcPr>
            <w:tcW w:w="0" w:type="auto"/>
            <w:gridSpan w:val="3"/>
            <w:shd w:val="clear" w:color="auto" w:fill="auto"/>
            <w:tcMar>
              <w:left w:w="20" w:type="dxa"/>
              <w:right w:w="20" w:type="dxa"/>
            </w:tcMar>
            <w:vAlign w:val="bottom"/>
          </w:tcPr>
          <w:p w14:paraId="33DAE790" w14:textId="77777777" w:rsidR="004D6A64" w:rsidRDefault="004D6A64">
            <w:pPr>
              <w:rPr>
                <w:rFonts w:ascii="宋体"/>
              </w:rPr>
            </w:pPr>
          </w:p>
        </w:tc>
        <w:tc>
          <w:tcPr>
            <w:tcW w:w="0" w:type="auto"/>
            <w:gridSpan w:val="15"/>
            <w:shd w:val="clear" w:color="auto" w:fill="auto"/>
            <w:tcMar>
              <w:top w:w="40" w:type="dxa"/>
              <w:left w:w="20" w:type="dxa"/>
              <w:bottom w:w="40" w:type="dxa"/>
              <w:right w:w="20" w:type="dxa"/>
            </w:tcMar>
            <w:vAlign w:val="bottom"/>
          </w:tcPr>
          <w:p w14:paraId="33DAE791" w14:textId="77777777" w:rsidR="004D6A64" w:rsidRDefault="00506CD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Pr>
          <w:p w14:paraId="33DAE792" w14:textId="77777777" w:rsidR="004D6A64" w:rsidRDefault="004D6A64">
            <w:pPr>
              <w:rPr>
                <w:rFonts w:ascii="宋体"/>
                <w:vanish/>
              </w:rPr>
            </w:pPr>
          </w:p>
        </w:tc>
        <w:tc>
          <w:tcPr>
            <w:tcW w:w="0" w:type="auto"/>
            <w:gridSpan w:val="3"/>
            <w:shd w:val="clear" w:color="auto" w:fill="auto"/>
          </w:tcPr>
          <w:p w14:paraId="33DAE793" w14:textId="77777777" w:rsidR="004D6A64" w:rsidRDefault="004D6A64">
            <w:pPr>
              <w:rPr>
                <w:rFonts w:ascii="宋体"/>
                <w:vanish/>
              </w:rPr>
            </w:pPr>
          </w:p>
        </w:tc>
        <w:tc>
          <w:tcPr>
            <w:tcW w:w="0" w:type="auto"/>
            <w:gridSpan w:val="3"/>
            <w:shd w:val="clear" w:color="auto" w:fill="auto"/>
          </w:tcPr>
          <w:p w14:paraId="33DAE794" w14:textId="77777777" w:rsidR="004D6A64" w:rsidRDefault="004D6A64">
            <w:pPr>
              <w:rPr>
                <w:rFonts w:ascii="宋体"/>
                <w:vanish/>
              </w:rPr>
            </w:pPr>
          </w:p>
        </w:tc>
        <w:tc>
          <w:tcPr>
            <w:tcW w:w="0" w:type="auto"/>
            <w:gridSpan w:val="3"/>
            <w:shd w:val="clear" w:color="auto" w:fill="auto"/>
          </w:tcPr>
          <w:p w14:paraId="33DAE795"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E796" w14:textId="77777777" w:rsidR="004D6A64" w:rsidRDefault="004D6A64">
            <w:pPr>
              <w:rPr>
                <w:rFonts w:ascii="宋体"/>
              </w:rPr>
            </w:pPr>
          </w:p>
        </w:tc>
        <w:tc>
          <w:tcPr>
            <w:tcW w:w="0" w:type="auto"/>
            <w:gridSpan w:val="15"/>
            <w:shd w:val="clear" w:color="auto" w:fill="auto"/>
            <w:tcMar>
              <w:top w:w="40" w:type="dxa"/>
              <w:left w:w="20" w:type="dxa"/>
              <w:bottom w:w="40" w:type="dxa"/>
              <w:right w:w="20" w:type="dxa"/>
            </w:tcMar>
            <w:vAlign w:val="bottom"/>
          </w:tcPr>
          <w:p w14:paraId="33DAE797" w14:textId="77777777" w:rsidR="004D6A64" w:rsidRDefault="00506CD6">
            <w:pPr>
              <w:jc w:val="center"/>
              <w:textAlignment w:val="bottom"/>
            </w:pPr>
            <w:r>
              <w:rPr>
                <w:rFonts w:ascii="Times New Roman" w:eastAsia="宋体" w:hAnsi="Times New Roman"/>
                <w:b/>
                <w:bCs/>
                <w:color w:val="000000"/>
                <w:sz w:val="20"/>
                <w:szCs w:val="20"/>
              </w:rPr>
              <w:t>Six Months Ended</w:t>
            </w:r>
          </w:p>
        </w:tc>
        <w:tc>
          <w:tcPr>
            <w:tcW w:w="0" w:type="auto"/>
            <w:gridSpan w:val="3"/>
            <w:shd w:val="clear" w:color="auto" w:fill="auto"/>
          </w:tcPr>
          <w:p w14:paraId="33DAE798" w14:textId="77777777" w:rsidR="004D6A64" w:rsidRDefault="004D6A64">
            <w:pPr>
              <w:rPr>
                <w:rFonts w:ascii="宋体"/>
                <w:vanish/>
              </w:rPr>
            </w:pPr>
          </w:p>
        </w:tc>
        <w:tc>
          <w:tcPr>
            <w:tcW w:w="0" w:type="auto"/>
            <w:gridSpan w:val="3"/>
            <w:shd w:val="clear" w:color="auto" w:fill="auto"/>
          </w:tcPr>
          <w:p w14:paraId="33DAE799" w14:textId="77777777" w:rsidR="004D6A64" w:rsidRDefault="004D6A64">
            <w:pPr>
              <w:rPr>
                <w:rFonts w:ascii="宋体"/>
                <w:vanish/>
              </w:rPr>
            </w:pPr>
          </w:p>
        </w:tc>
        <w:tc>
          <w:tcPr>
            <w:tcW w:w="0" w:type="auto"/>
            <w:gridSpan w:val="3"/>
            <w:shd w:val="clear" w:color="auto" w:fill="auto"/>
          </w:tcPr>
          <w:p w14:paraId="33DAE79A" w14:textId="77777777" w:rsidR="004D6A64" w:rsidRDefault="004D6A64">
            <w:pPr>
              <w:rPr>
                <w:rFonts w:ascii="宋体"/>
                <w:vanish/>
              </w:rPr>
            </w:pPr>
          </w:p>
        </w:tc>
        <w:tc>
          <w:tcPr>
            <w:tcW w:w="0" w:type="auto"/>
            <w:gridSpan w:val="3"/>
            <w:shd w:val="clear" w:color="auto" w:fill="auto"/>
          </w:tcPr>
          <w:p w14:paraId="33DAE79B" w14:textId="77777777" w:rsidR="004D6A64" w:rsidRDefault="004D6A64">
            <w:pPr>
              <w:rPr>
                <w:rFonts w:ascii="宋体"/>
                <w:vanish/>
              </w:rPr>
            </w:pPr>
          </w:p>
        </w:tc>
      </w:tr>
      <w:tr w:rsidR="004D6A64" w14:paraId="33DAE7C1" w14:textId="77777777">
        <w:trPr>
          <w:gridAfter w:val="3"/>
          <w:jc w:val="center"/>
        </w:trPr>
        <w:tc>
          <w:tcPr>
            <w:tcW w:w="0" w:type="auto"/>
            <w:gridSpan w:val="3"/>
            <w:shd w:val="clear" w:color="auto" w:fill="auto"/>
            <w:tcMar>
              <w:left w:w="20" w:type="dxa"/>
              <w:right w:w="20" w:type="dxa"/>
            </w:tcMar>
            <w:vAlign w:val="bottom"/>
          </w:tcPr>
          <w:p w14:paraId="33DAE79D"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E79E"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E79F"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E7A0" w14:textId="77777777" w:rsidR="004D6A64" w:rsidRDefault="00506CD6">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left w:w="20" w:type="dxa"/>
              <w:right w:w="20" w:type="dxa"/>
            </w:tcMar>
            <w:vAlign w:val="bottom"/>
          </w:tcPr>
          <w:p w14:paraId="33DAE7A1"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E7A2"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gridSpan w:val="3"/>
            <w:shd w:val="clear" w:color="auto" w:fill="auto"/>
            <w:tcMar>
              <w:left w:w="20" w:type="dxa"/>
              <w:right w:w="20" w:type="dxa"/>
            </w:tcMar>
            <w:vAlign w:val="bottom"/>
          </w:tcPr>
          <w:p w14:paraId="33DAE7A3"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E7A4"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E7A5"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E7A6" w14:textId="77777777" w:rsidR="004D6A64" w:rsidRDefault="00506CD6">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left w:w="20" w:type="dxa"/>
              <w:right w:w="20" w:type="dxa"/>
            </w:tcMar>
            <w:vAlign w:val="bottom"/>
          </w:tcPr>
          <w:p w14:paraId="33DAE7A7"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E7A8"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shd w:val="clear" w:color="auto" w:fill="auto"/>
          </w:tcPr>
          <w:p w14:paraId="33DAE7A9" w14:textId="77777777" w:rsidR="004D6A64" w:rsidRDefault="004D6A64">
            <w:pPr>
              <w:rPr>
                <w:rFonts w:ascii="宋体"/>
              </w:rPr>
            </w:pPr>
          </w:p>
        </w:tc>
        <w:tc>
          <w:tcPr>
            <w:tcW w:w="0" w:type="auto"/>
            <w:shd w:val="clear" w:color="auto" w:fill="auto"/>
          </w:tcPr>
          <w:p w14:paraId="33DAE7AA" w14:textId="77777777" w:rsidR="004D6A64" w:rsidRDefault="004D6A64">
            <w:pPr>
              <w:rPr>
                <w:rFonts w:ascii="宋体"/>
              </w:rPr>
            </w:pPr>
          </w:p>
        </w:tc>
        <w:tc>
          <w:tcPr>
            <w:tcW w:w="0" w:type="auto"/>
            <w:shd w:val="clear" w:color="auto" w:fill="auto"/>
          </w:tcPr>
          <w:p w14:paraId="33DAE7AB" w14:textId="77777777" w:rsidR="004D6A64" w:rsidRDefault="004D6A64">
            <w:pPr>
              <w:rPr>
                <w:rFonts w:ascii="宋体"/>
              </w:rPr>
            </w:pPr>
          </w:p>
        </w:tc>
        <w:tc>
          <w:tcPr>
            <w:tcW w:w="0" w:type="auto"/>
            <w:shd w:val="clear" w:color="auto" w:fill="auto"/>
          </w:tcPr>
          <w:p w14:paraId="33DAE7AC" w14:textId="77777777" w:rsidR="004D6A64" w:rsidRDefault="004D6A64">
            <w:pPr>
              <w:rPr>
                <w:rFonts w:ascii="宋体"/>
              </w:rPr>
            </w:pPr>
          </w:p>
        </w:tc>
        <w:tc>
          <w:tcPr>
            <w:tcW w:w="0" w:type="auto"/>
            <w:shd w:val="clear" w:color="auto" w:fill="auto"/>
          </w:tcPr>
          <w:p w14:paraId="33DAE7AD" w14:textId="77777777" w:rsidR="004D6A64" w:rsidRDefault="004D6A64">
            <w:pPr>
              <w:rPr>
                <w:rFonts w:ascii="宋体"/>
              </w:rPr>
            </w:pPr>
          </w:p>
        </w:tc>
        <w:tc>
          <w:tcPr>
            <w:tcW w:w="0" w:type="auto"/>
            <w:shd w:val="clear" w:color="auto" w:fill="auto"/>
          </w:tcPr>
          <w:p w14:paraId="33DAE7AE" w14:textId="77777777" w:rsidR="004D6A64" w:rsidRDefault="004D6A64">
            <w:pPr>
              <w:rPr>
                <w:rFonts w:ascii="宋体"/>
              </w:rPr>
            </w:pPr>
          </w:p>
        </w:tc>
        <w:tc>
          <w:tcPr>
            <w:tcW w:w="0" w:type="auto"/>
            <w:shd w:val="clear" w:color="auto" w:fill="auto"/>
          </w:tcPr>
          <w:p w14:paraId="33DAE7AF" w14:textId="77777777" w:rsidR="004D6A64" w:rsidRDefault="004D6A64">
            <w:pPr>
              <w:rPr>
                <w:rFonts w:ascii="宋体"/>
              </w:rPr>
            </w:pPr>
          </w:p>
        </w:tc>
        <w:tc>
          <w:tcPr>
            <w:tcW w:w="0" w:type="auto"/>
            <w:shd w:val="clear" w:color="auto" w:fill="auto"/>
          </w:tcPr>
          <w:p w14:paraId="33DAE7B0" w14:textId="77777777" w:rsidR="004D6A64" w:rsidRDefault="004D6A64">
            <w:pPr>
              <w:rPr>
                <w:rFonts w:ascii="宋体"/>
              </w:rPr>
            </w:pPr>
          </w:p>
        </w:tc>
        <w:tc>
          <w:tcPr>
            <w:tcW w:w="0" w:type="auto"/>
            <w:shd w:val="clear" w:color="auto" w:fill="auto"/>
          </w:tcPr>
          <w:p w14:paraId="33DAE7B1" w14:textId="77777777" w:rsidR="004D6A64" w:rsidRDefault="004D6A64">
            <w:pPr>
              <w:rPr>
                <w:rFonts w:ascii="宋体"/>
              </w:rPr>
            </w:pPr>
          </w:p>
        </w:tc>
        <w:tc>
          <w:tcPr>
            <w:tcW w:w="0" w:type="auto"/>
            <w:shd w:val="clear" w:color="auto" w:fill="auto"/>
          </w:tcPr>
          <w:p w14:paraId="33DAE7B2" w14:textId="77777777" w:rsidR="004D6A64" w:rsidRDefault="004D6A64">
            <w:pPr>
              <w:rPr>
                <w:rFonts w:ascii="宋体"/>
              </w:rPr>
            </w:pPr>
          </w:p>
        </w:tc>
        <w:tc>
          <w:tcPr>
            <w:tcW w:w="0" w:type="auto"/>
            <w:shd w:val="clear" w:color="auto" w:fill="auto"/>
          </w:tcPr>
          <w:p w14:paraId="33DAE7B3" w14:textId="77777777" w:rsidR="004D6A64" w:rsidRDefault="004D6A64">
            <w:pPr>
              <w:rPr>
                <w:rFonts w:ascii="宋体"/>
              </w:rPr>
            </w:pPr>
          </w:p>
        </w:tc>
        <w:tc>
          <w:tcPr>
            <w:tcW w:w="0" w:type="auto"/>
            <w:shd w:val="clear" w:color="auto" w:fill="auto"/>
          </w:tcPr>
          <w:p w14:paraId="33DAE7B4" w14:textId="77777777" w:rsidR="004D6A64" w:rsidRDefault="004D6A64">
            <w:pPr>
              <w:rPr>
                <w:rFonts w:ascii="宋体"/>
              </w:rPr>
            </w:pPr>
          </w:p>
        </w:tc>
        <w:tc>
          <w:tcPr>
            <w:tcW w:w="0" w:type="auto"/>
            <w:shd w:val="clear" w:color="auto" w:fill="auto"/>
          </w:tcPr>
          <w:p w14:paraId="33DAE7B5" w14:textId="77777777" w:rsidR="004D6A64" w:rsidRDefault="004D6A64">
            <w:pPr>
              <w:rPr>
                <w:rFonts w:ascii="宋体"/>
              </w:rPr>
            </w:pPr>
          </w:p>
        </w:tc>
        <w:tc>
          <w:tcPr>
            <w:tcW w:w="0" w:type="auto"/>
            <w:shd w:val="clear" w:color="auto" w:fill="auto"/>
          </w:tcPr>
          <w:p w14:paraId="33DAE7B6" w14:textId="77777777" w:rsidR="004D6A64" w:rsidRDefault="004D6A64">
            <w:pPr>
              <w:rPr>
                <w:rFonts w:ascii="宋体"/>
              </w:rPr>
            </w:pPr>
          </w:p>
        </w:tc>
        <w:tc>
          <w:tcPr>
            <w:tcW w:w="0" w:type="auto"/>
            <w:shd w:val="clear" w:color="auto" w:fill="auto"/>
          </w:tcPr>
          <w:p w14:paraId="33DAE7B7" w14:textId="77777777" w:rsidR="004D6A64" w:rsidRDefault="004D6A64">
            <w:pPr>
              <w:rPr>
                <w:rFonts w:ascii="宋体"/>
              </w:rPr>
            </w:pPr>
          </w:p>
        </w:tc>
        <w:tc>
          <w:tcPr>
            <w:tcW w:w="0" w:type="auto"/>
            <w:shd w:val="clear" w:color="auto" w:fill="auto"/>
          </w:tcPr>
          <w:p w14:paraId="33DAE7B8" w14:textId="77777777" w:rsidR="004D6A64" w:rsidRDefault="004D6A64">
            <w:pPr>
              <w:rPr>
                <w:rFonts w:ascii="宋体"/>
              </w:rPr>
            </w:pPr>
          </w:p>
        </w:tc>
        <w:tc>
          <w:tcPr>
            <w:tcW w:w="0" w:type="auto"/>
            <w:shd w:val="clear" w:color="auto" w:fill="auto"/>
          </w:tcPr>
          <w:p w14:paraId="33DAE7B9" w14:textId="77777777" w:rsidR="004D6A64" w:rsidRDefault="004D6A64">
            <w:pPr>
              <w:rPr>
                <w:rFonts w:ascii="宋体"/>
              </w:rPr>
            </w:pPr>
          </w:p>
        </w:tc>
        <w:tc>
          <w:tcPr>
            <w:tcW w:w="0" w:type="auto"/>
            <w:shd w:val="clear" w:color="auto" w:fill="auto"/>
          </w:tcPr>
          <w:p w14:paraId="33DAE7BA" w14:textId="77777777" w:rsidR="004D6A64" w:rsidRDefault="004D6A64">
            <w:pPr>
              <w:rPr>
                <w:rFonts w:ascii="宋体"/>
              </w:rPr>
            </w:pPr>
          </w:p>
        </w:tc>
        <w:tc>
          <w:tcPr>
            <w:tcW w:w="0" w:type="auto"/>
            <w:shd w:val="clear" w:color="auto" w:fill="auto"/>
          </w:tcPr>
          <w:p w14:paraId="33DAE7BB" w14:textId="77777777" w:rsidR="004D6A64" w:rsidRDefault="004D6A64">
            <w:pPr>
              <w:rPr>
                <w:rFonts w:ascii="宋体"/>
              </w:rPr>
            </w:pPr>
          </w:p>
        </w:tc>
        <w:tc>
          <w:tcPr>
            <w:tcW w:w="0" w:type="auto"/>
            <w:shd w:val="clear" w:color="auto" w:fill="auto"/>
          </w:tcPr>
          <w:p w14:paraId="33DAE7BC" w14:textId="77777777" w:rsidR="004D6A64" w:rsidRDefault="004D6A64">
            <w:pPr>
              <w:rPr>
                <w:rFonts w:ascii="宋体"/>
              </w:rPr>
            </w:pPr>
          </w:p>
        </w:tc>
        <w:tc>
          <w:tcPr>
            <w:tcW w:w="0" w:type="auto"/>
            <w:shd w:val="clear" w:color="auto" w:fill="auto"/>
          </w:tcPr>
          <w:p w14:paraId="33DAE7BD" w14:textId="77777777" w:rsidR="004D6A64" w:rsidRDefault="004D6A64">
            <w:pPr>
              <w:rPr>
                <w:rFonts w:ascii="宋体"/>
              </w:rPr>
            </w:pPr>
          </w:p>
        </w:tc>
        <w:tc>
          <w:tcPr>
            <w:tcW w:w="0" w:type="auto"/>
            <w:shd w:val="clear" w:color="auto" w:fill="auto"/>
          </w:tcPr>
          <w:p w14:paraId="33DAE7BE" w14:textId="77777777" w:rsidR="004D6A64" w:rsidRDefault="004D6A64">
            <w:pPr>
              <w:rPr>
                <w:rFonts w:ascii="宋体"/>
              </w:rPr>
            </w:pPr>
          </w:p>
        </w:tc>
        <w:tc>
          <w:tcPr>
            <w:tcW w:w="0" w:type="auto"/>
            <w:shd w:val="clear" w:color="auto" w:fill="auto"/>
          </w:tcPr>
          <w:p w14:paraId="33DAE7BF" w14:textId="77777777" w:rsidR="004D6A64" w:rsidRDefault="004D6A64">
            <w:pPr>
              <w:rPr>
                <w:rFonts w:ascii="宋体"/>
              </w:rPr>
            </w:pPr>
          </w:p>
        </w:tc>
        <w:tc>
          <w:tcPr>
            <w:tcW w:w="0" w:type="auto"/>
            <w:shd w:val="clear" w:color="auto" w:fill="auto"/>
          </w:tcPr>
          <w:p w14:paraId="33DAE7C0" w14:textId="77777777" w:rsidR="004D6A64" w:rsidRDefault="004D6A64">
            <w:pPr>
              <w:rPr>
                <w:rFonts w:ascii="宋体"/>
              </w:rPr>
            </w:pPr>
          </w:p>
        </w:tc>
      </w:tr>
      <w:tr w:rsidR="004D6A64" w14:paraId="33DAE7CE" w14:textId="77777777">
        <w:trPr>
          <w:jc w:val="center"/>
        </w:trPr>
        <w:tc>
          <w:tcPr>
            <w:tcW w:w="0" w:type="auto"/>
            <w:gridSpan w:val="3"/>
            <w:shd w:val="clear" w:color="auto" w:fill="auto"/>
            <w:tcMar>
              <w:top w:w="40" w:type="dxa"/>
              <w:left w:w="20" w:type="dxa"/>
              <w:bottom w:w="40" w:type="dxa"/>
              <w:right w:w="20" w:type="dxa"/>
            </w:tcMar>
            <w:vAlign w:val="bottom"/>
          </w:tcPr>
          <w:p w14:paraId="33DAE7C2" w14:textId="77777777" w:rsidR="004D6A64" w:rsidRDefault="00506CD6">
            <w:pPr>
              <w:jc w:val="center"/>
              <w:textAlignment w:val="bottom"/>
            </w:pPr>
            <w:r>
              <w:rPr>
                <w:rFonts w:ascii="Times New Roman" w:eastAsia="宋体" w:hAnsi="Times New Roman"/>
                <w:color w:val="000000"/>
                <w:sz w:val="20"/>
                <w:szCs w:val="20"/>
              </w:rPr>
              <w:t> </w:t>
            </w: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33DAE7C3" w14:textId="77777777" w:rsidR="004D6A64" w:rsidRDefault="00506CD6">
            <w:pPr>
              <w:jc w:val="center"/>
              <w:textAlignment w:val="bottom"/>
            </w:pPr>
            <w:r>
              <w:rPr>
                <w:rFonts w:ascii="Times New Roman" w:eastAsia="宋体" w:hAnsi="Times New Roman"/>
                <w:color w:val="000000"/>
                <w:sz w:val="20"/>
                <w:szCs w:val="20"/>
              </w:rPr>
              <w:t>(in millions, except percentages)</w:t>
            </w:r>
          </w:p>
        </w:tc>
        <w:tc>
          <w:tcPr>
            <w:tcW w:w="0" w:type="auto"/>
            <w:gridSpan w:val="3"/>
            <w:shd w:val="clear" w:color="auto" w:fill="auto"/>
          </w:tcPr>
          <w:p w14:paraId="33DAE7C4" w14:textId="77777777" w:rsidR="004D6A64" w:rsidRDefault="004D6A64">
            <w:pPr>
              <w:rPr>
                <w:rFonts w:ascii="宋体"/>
                <w:vanish/>
              </w:rPr>
            </w:pPr>
          </w:p>
        </w:tc>
        <w:tc>
          <w:tcPr>
            <w:tcW w:w="0" w:type="auto"/>
            <w:gridSpan w:val="3"/>
            <w:shd w:val="clear" w:color="auto" w:fill="auto"/>
          </w:tcPr>
          <w:p w14:paraId="33DAE7C5" w14:textId="77777777" w:rsidR="004D6A64" w:rsidRDefault="004D6A64">
            <w:pPr>
              <w:rPr>
                <w:rFonts w:ascii="宋体"/>
                <w:vanish/>
              </w:rPr>
            </w:pPr>
          </w:p>
        </w:tc>
        <w:tc>
          <w:tcPr>
            <w:tcW w:w="0" w:type="auto"/>
            <w:gridSpan w:val="3"/>
            <w:shd w:val="clear" w:color="auto" w:fill="auto"/>
          </w:tcPr>
          <w:p w14:paraId="33DAE7C6" w14:textId="77777777" w:rsidR="004D6A64" w:rsidRDefault="004D6A64">
            <w:pPr>
              <w:rPr>
                <w:rFonts w:ascii="宋体"/>
                <w:vanish/>
              </w:rPr>
            </w:pPr>
          </w:p>
        </w:tc>
        <w:tc>
          <w:tcPr>
            <w:tcW w:w="0" w:type="auto"/>
            <w:gridSpan w:val="3"/>
            <w:shd w:val="clear" w:color="auto" w:fill="auto"/>
          </w:tcPr>
          <w:p w14:paraId="33DAE7C7" w14:textId="77777777" w:rsidR="004D6A64" w:rsidRDefault="004D6A64">
            <w:pPr>
              <w:rPr>
                <w:rFonts w:ascii="宋体"/>
                <w:vanish/>
              </w:rPr>
            </w:pPr>
          </w:p>
        </w:tc>
        <w:tc>
          <w:tcPr>
            <w:tcW w:w="0" w:type="auto"/>
            <w:gridSpan w:val="3"/>
            <w:shd w:val="clear" w:color="auto" w:fill="auto"/>
          </w:tcPr>
          <w:p w14:paraId="33DAE7C8" w14:textId="77777777" w:rsidR="004D6A64" w:rsidRDefault="004D6A64">
            <w:pPr>
              <w:rPr>
                <w:rFonts w:ascii="宋体"/>
                <w:vanish/>
              </w:rPr>
            </w:pPr>
          </w:p>
        </w:tc>
        <w:tc>
          <w:tcPr>
            <w:tcW w:w="0" w:type="auto"/>
            <w:gridSpan w:val="3"/>
            <w:shd w:val="clear" w:color="auto" w:fill="auto"/>
          </w:tcPr>
          <w:p w14:paraId="33DAE7C9" w14:textId="77777777" w:rsidR="004D6A64" w:rsidRDefault="004D6A64">
            <w:pPr>
              <w:rPr>
                <w:rFonts w:ascii="宋体"/>
                <w:vanish/>
              </w:rPr>
            </w:pPr>
          </w:p>
        </w:tc>
        <w:tc>
          <w:tcPr>
            <w:tcW w:w="0" w:type="auto"/>
            <w:gridSpan w:val="3"/>
            <w:shd w:val="clear" w:color="auto" w:fill="auto"/>
          </w:tcPr>
          <w:p w14:paraId="33DAE7CA" w14:textId="77777777" w:rsidR="004D6A64" w:rsidRDefault="004D6A64">
            <w:pPr>
              <w:rPr>
                <w:rFonts w:ascii="宋体"/>
                <w:vanish/>
              </w:rPr>
            </w:pPr>
          </w:p>
        </w:tc>
        <w:tc>
          <w:tcPr>
            <w:tcW w:w="0" w:type="auto"/>
            <w:gridSpan w:val="3"/>
            <w:shd w:val="clear" w:color="auto" w:fill="auto"/>
          </w:tcPr>
          <w:p w14:paraId="33DAE7CB" w14:textId="77777777" w:rsidR="004D6A64" w:rsidRDefault="004D6A64">
            <w:pPr>
              <w:rPr>
                <w:rFonts w:ascii="宋体"/>
                <w:vanish/>
              </w:rPr>
            </w:pPr>
          </w:p>
        </w:tc>
        <w:tc>
          <w:tcPr>
            <w:tcW w:w="0" w:type="auto"/>
            <w:gridSpan w:val="2"/>
            <w:shd w:val="clear" w:color="auto" w:fill="auto"/>
          </w:tcPr>
          <w:p w14:paraId="33DAE7CC" w14:textId="77777777" w:rsidR="004D6A64" w:rsidRDefault="004D6A64">
            <w:pPr>
              <w:rPr>
                <w:rFonts w:ascii="宋体"/>
                <w:vanish/>
              </w:rPr>
            </w:pPr>
          </w:p>
        </w:tc>
        <w:tc>
          <w:tcPr>
            <w:tcW w:w="0" w:type="auto"/>
            <w:shd w:val="clear" w:color="auto" w:fill="auto"/>
          </w:tcPr>
          <w:p w14:paraId="33DAE7CD" w14:textId="77777777" w:rsidR="004D6A64" w:rsidRDefault="004D6A64">
            <w:pPr>
              <w:rPr>
                <w:rFonts w:ascii="宋体"/>
                <w:vanish/>
              </w:rPr>
            </w:pPr>
          </w:p>
        </w:tc>
      </w:tr>
      <w:tr w:rsidR="004D6A64" w14:paraId="33DAE800" w14:textId="77777777">
        <w:trPr>
          <w:jc w:val="center"/>
        </w:trPr>
        <w:tc>
          <w:tcPr>
            <w:tcW w:w="0" w:type="auto"/>
            <w:gridSpan w:val="3"/>
            <w:shd w:val="clear" w:color="auto" w:fill="CCEEFF"/>
            <w:tcMar>
              <w:top w:w="40" w:type="dxa"/>
              <w:left w:w="20" w:type="dxa"/>
              <w:bottom w:w="40" w:type="dxa"/>
              <w:right w:w="20" w:type="dxa"/>
            </w:tcMar>
            <w:vAlign w:val="bottom"/>
          </w:tcPr>
          <w:p w14:paraId="33DAE7CF" w14:textId="77777777" w:rsidR="004D6A64" w:rsidRDefault="00506CD6">
            <w:pPr>
              <w:textAlignment w:val="bottom"/>
            </w:pPr>
            <w:r>
              <w:rPr>
                <w:rFonts w:ascii="Times New Roman" w:eastAsia="宋体" w:hAnsi="Times New Roman"/>
                <w:color w:val="000000"/>
                <w:sz w:val="20"/>
                <w:szCs w:val="20"/>
              </w:rPr>
              <w:t>Net income</w:t>
            </w:r>
          </w:p>
        </w:tc>
        <w:tc>
          <w:tcPr>
            <w:tcW w:w="0" w:type="auto"/>
            <w:shd w:val="clear" w:color="auto" w:fill="CCEEFF"/>
            <w:tcMar>
              <w:top w:w="40" w:type="dxa"/>
              <w:left w:w="20" w:type="dxa"/>
              <w:bottom w:w="40" w:type="dxa"/>
            </w:tcMar>
            <w:vAlign w:val="bottom"/>
          </w:tcPr>
          <w:p w14:paraId="33DAE7D0"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E7D1" w14:textId="77777777" w:rsidR="004D6A64" w:rsidRDefault="00506CD6">
            <w:pPr>
              <w:jc w:val="right"/>
              <w:textAlignment w:val="bottom"/>
            </w:pPr>
            <w:r>
              <w:rPr>
                <w:rFonts w:ascii="Times New Roman" w:eastAsia="宋体" w:hAnsi="Times New Roman"/>
                <w:color w:val="000000"/>
                <w:sz w:val="20"/>
                <w:szCs w:val="20"/>
              </w:rPr>
              <w:t>1,099 </w:t>
            </w:r>
          </w:p>
        </w:tc>
        <w:tc>
          <w:tcPr>
            <w:tcW w:w="0" w:type="auto"/>
            <w:shd w:val="clear" w:color="auto" w:fill="CCEEFF"/>
            <w:tcMar>
              <w:top w:w="40" w:type="dxa"/>
              <w:bottom w:w="40" w:type="dxa"/>
              <w:right w:w="20" w:type="dxa"/>
            </w:tcMar>
            <w:vAlign w:val="bottom"/>
          </w:tcPr>
          <w:p w14:paraId="33DAE7D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7D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7D4" w14:textId="77777777" w:rsidR="004D6A64" w:rsidRDefault="00506CD6">
            <w:pPr>
              <w:jc w:val="right"/>
              <w:textAlignment w:val="bottom"/>
            </w:pPr>
            <w:r>
              <w:rPr>
                <w:rFonts w:ascii="Times New Roman" w:eastAsia="宋体" w:hAnsi="Times New Roman"/>
                <w:color w:val="000000"/>
                <w:sz w:val="20"/>
                <w:szCs w:val="20"/>
              </w:rPr>
              <w:t>(74)</w:t>
            </w:r>
          </w:p>
        </w:tc>
        <w:tc>
          <w:tcPr>
            <w:tcW w:w="0" w:type="auto"/>
            <w:shd w:val="clear" w:color="auto" w:fill="CCEEFF"/>
            <w:tcMar>
              <w:top w:w="40" w:type="dxa"/>
              <w:bottom w:w="40" w:type="dxa"/>
              <w:right w:w="20" w:type="dxa"/>
            </w:tcMar>
            <w:vAlign w:val="bottom"/>
          </w:tcPr>
          <w:p w14:paraId="33DAE7D5"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7D6"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E7D7"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E7D8" w14:textId="77777777" w:rsidR="004D6A64" w:rsidRDefault="00506CD6">
            <w:pPr>
              <w:jc w:val="right"/>
              <w:textAlignment w:val="bottom"/>
            </w:pPr>
            <w:r>
              <w:rPr>
                <w:rFonts w:ascii="Times New Roman" w:eastAsia="宋体" w:hAnsi="Times New Roman"/>
                <w:color w:val="000000"/>
                <w:sz w:val="20"/>
                <w:szCs w:val="20"/>
              </w:rPr>
              <w:t>4,232 </w:t>
            </w:r>
          </w:p>
        </w:tc>
        <w:tc>
          <w:tcPr>
            <w:tcW w:w="0" w:type="auto"/>
            <w:shd w:val="clear" w:color="auto" w:fill="CCEEFF"/>
            <w:tcMar>
              <w:top w:w="40" w:type="dxa"/>
              <w:bottom w:w="40" w:type="dxa"/>
              <w:right w:w="20" w:type="dxa"/>
            </w:tcMar>
            <w:vAlign w:val="bottom"/>
          </w:tcPr>
          <w:p w14:paraId="33DAE7D9"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7DA"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E7DB"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E7DC" w14:textId="77777777" w:rsidR="004D6A64" w:rsidRDefault="00506CD6">
            <w:pPr>
              <w:jc w:val="right"/>
              <w:textAlignment w:val="bottom"/>
            </w:pPr>
            <w:r>
              <w:rPr>
                <w:rFonts w:ascii="Times New Roman" w:eastAsia="宋体" w:hAnsi="Times New Roman"/>
                <w:color w:val="000000"/>
                <w:sz w:val="20"/>
                <w:szCs w:val="20"/>
              </w:rPr>
              <w:t>1,281 </w:t>
            </w:r>
          </w:p>
        </w:tc>
        <w:tc>
          <w:tcPr>
            <w:tcW w:w="0" w:type="auto"/>
            <w:shd w:val="clear" w:color="auto" w:fill="CCEEFF"/>
            <w:tcMar>
              <w:top w:w="40" w:type="dxa"/>
              <w:bottom w:w="40" w:type="dxa"/>
              <w:right w:w="20" w:type="dxa"/>
            </w:tcMar>
            <w:vAlign w:val="bottom"/>
          </w:tcPr>
          <w:p w14:paraId="33DAE7D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7D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7DF" w14:textId="77777777" w:rsidR="004D6A64" w:rsidRDefault="00506CD6">
            <w:pPr>
              <w:jc w:val="right"/>
              <w:textAlignment w:val="bottom"/>
            </w:pPr>
            <w:r>
              <w:rPr>
                <w:rFonts w:ascii="Times New Roman" w:eastAsia="宋体" w:hAnsi="Times New Roman"/>
                <w:color w:val="000000"/>
                <w:sz w:val="20"/>
                <w:szCs w:val="20"/>
              </w:rPr>
              <w:t>(72)</w:t>
            </w:r>
          </w:p>
        </w:tc>
        <w:tc>
          <w:tcPr>
            <w:tcW w:w="0" w:type="auto"/>
            <w:shd w:val="clear" w:color="auto" w:fill="CCEEFF"/>
            <w:tcMar>
              <w:top w:w="40" w:type="dxa"/>
              <w:bottom w:w="40" w:type="dxa"/>
              <w:right w:w="20" w:type="dxa"/>
            </w:tcMar>
            <w:vAlign w:val="bottom"/>
          </w:tcPr>
          <w:p w14:paraId="33DAE7E0"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7E1"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E7E2"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E7E3" w14:textId="77777777" w:rsidR="004D6A64" w:rsidRDefault="00506CD6">
            <w:pPr>
              <w:jc w:val="right"/>
              <w:textAlignment w:val="bottom"/>
            </w:pPr>
            <w:r>
              <w:rPr>
                <w:rFonts w:ascii="Times New Roman" w:eastAsia="宋体" w:hAnsi="Times New Roman"/>
                <w:color w:val="000000"/>
                <w:sz w:val="20"/>
                <w:szCs w:val="20"/>
              </w:rPr>
              <w:t>4,561 </w:t>
            </w:r>
          </w:p>
        </w:tc>
        <w:tc>
          <w:tcPr>
            <w:tcW w:w="0" w:type="auto"/>
            <w:shd w:val="clear" w:color="auto" w:fill="CCEEFF"/>
            <w:tcMar>
              <w:top w:w="40" w:type="dxa"/>
              <w:bottom w:w="40" w:type="dxa"/>
              <w:right w:w="20" w:type="dxa"/>
            </w:tcMar>
            <w:vAlign w:val="bottom"/>
          </w:tcPr>
          <w:p w14:paraId="33DAE7E4" w14:textId="77777777" w:rsidR="004D6A64" w:rsidRDefault="004D6A64">
            <w:pPr>
              <w:jc w:val="right"/>
              <w:rPr>
                <w:rFonts w:ascii="宋体"/>
              </w:rPr>
            </w:pPr>
          </w:p>
        </w:tc>
        <w:tc>
          <w:tcPr>
            <w:tcW w:w="0" w:type="auto"/>
            <w:shd w:val="clear" w:color="auto" w:fill="auto"/>
          </w:tcPr>
          <w:p w14:paraId="33DAE7E5" w14:textId="77777777" w:rsidR="004D6A64" w:rsidRDefault="004D6A64">
            <w:pPr>
              <w:rPr>
                <w:rFonts w:ascii="宋体"/>
              </w:rPr>
            </w:pPr>
          </w:p>
        </w:tc>
        <w:tc>
          <w:tcPr>
            <w:tcW w:w="0" w:type="auto"/>
            <w:shd w:val="clear" w:color="auto" w:fill="auto"/>
          </w:tcPr>
          <w:p w14:paraId="33DAE7E6" w14:textId="77777777" w:rsidR="004D6A64" w:rsidRDefault="004D6A64">
            <w:pPr>
              <w:rPr>
                <w:rFonts w:ascii="宋体"/>
              </w:rPr>
            </w:pPr>
          </w:p>
        </w:tc>
        <w:tc>
          <w:tcPr>
            <w:tcW w:w="0" w:type="auto"/>
            <w:shd w:val="clear" w:color="auto" w:fill="auto"/>
          </w:tcPr>
          <w:p w14:paraId="33DAE7E7" w14:textId="77777777" w:rsidR="004D6A64" w:rsidRDefault="004D6A64">
            <w:pPr>
              <w:rPr>
                <w:rFonts w:ascii="宋体"/>
              </w:rPr>
            </w:pPr>
          </w:p>
        </w:tc>
        <w:tc>
          <w:tcPr>
            <w:tcW w:w="0" w:type="auto"/>
            <w:shd w:val="clear" w:color="auto" w:fill="auto"/>
          </w:tcPr>
          <w:p w14:paraId="33DAE7E8" w14:textId="77777777" w:rsidR="004D6A64" w:rsidRDefault="004D6A64">
            <w:pPr>
              <w:rPr>
                <w:rFonts w:ascii="宋体"/>
              </w:rPr>
            </w:pPr>
          </w:p>
        </w:tc>
        <w:tc>
          <w:tcPr>
            <w:tcW w:w="0" w:type="auto"/>
            <w:shd w:val="clear" w:color="auto" w:fill="auto"/>
          </w:tcPr>
          <w:p w14:paraId="33DAE7E9" w14:textId="77777777" w:rsidR="004D6A64" w:rsidRDefault="004D6A64">
            <w:pPr>
              <w:rPr>
                <w:rFonts w:ascii="宋体"/>
              </w:rPr>
            </w:pPr>
          </w:p>
        </w:tc>
        <w:tc>
          <w:tcPr>
            <w:tcW w:w="0" w:type="auto"/>
            <w:shd w:val="clear" w:color="auto" w:fill="auto"/>
          </w:tcPr>
          <w:p w14:paraId="33DAE7EA" w14:textId="77777777" w:rsidR="004D6A64" w:rsidRDefault="004D6A64">
            <w:pPr>
              <w:rPr>
                <w:rFonts w:ascii="宋体"/>
              </w:rPr>
            </w:pPr>
          </w:p>
        </w:tc>
        <w:tc>
          <w:tcPr>
            <w:tcW w:w="0" w:type="auto"/>
            <w:shd w:val="clear" w:color="auto" w:fill="auto"/>
          </w:tcPr>
          <w:p w14:paraId="33DAE7EB" w14:textId="77777777" w:rsidR="004D6A64" w:rsidRDefault="004D6A64">
            <w:pPr>
              <w:rPr>
                <w:rFonts w:ascii="宋体"/>
              </w:rPr>
            </w:pPr>
          </w:p>
        </w:tc>
        <w:tc>
          <w:tcPr>
            <w:tcW w:w="0" w:type="auto"/>
            <w:shd w:val="clear" w:color="auto" w:fill="auto"/>
          </w:tcPr>
          <w:p w14:paraId="33DAE7EC" w14:textId="77777777" w:rsidR="004D6A64" w:rsidRDefault="004D6A64">
            <w:pPr>
              <w:rPr>
                <w:rFonts w:ascii="宋体"/>
              </w:rPr>
            </w:pPr>
          </w:p>
        </w:tc>
        <w:tc>
          <w:tcPr>
            <w:tcW w:w="0" w:type="auto"/>
            <w:shd w:val="clear" w:color="auto" w:fill="auto"/>
          </w:tcPr>
          <w:p w14:paraId="33DAE7ED" w14:textId="77777777" w:rsidR="004D6A64" w:rsidRDefault="004D6A64">
            <w:pPr>
              <w:rPr>
                <w:rFonts w:ascii="宋体"/>
              </w:rPr>
            </w:pPr>
          </w:p>
        </w:tc>
        <w:tc>
          <w:tcPr>
            <w:tcW w:w="0" w:type="auto"/>
            <w:shd w:val="clear" w:color="auto" w:fill="auto"/>
          </w:tcPr>
          <w:p w14:paraId="33DAE7EE" w14:textId="77777777" w:rsidR="004D6A64" w:rsidRDefault="004D6A64">
            <w:pPr>
              <w:rPr>
                <w:rFonts w:ascii="宋体"/>
              </w:rPr>
            </w:pPr>
          </w:p>
        </w:tc>
        <w:tc>
          <w:tcPr>
            <w:tcW w:w="0" w:type="auto"/>
            <w:shd w:val="clear" w:color="auto" w:fill="auto"/>
          </w:tcPr>
          <w:p w14:paraId="33DAE7EF" w14:textId="77777777" w:rsidR="004D6A64" w:rsidRDefault="004D6A64">
            <w:pPr>
              <w:rPr>
                <w:rFonts w:ascii="宋体"/>
              </w:rPr>
            </w:pPr>
          </w:p>
        </w:tc>
        <w:tc>
          <w:tcPr>
            <w:tcW w:w="0" w:type="auto"/>
            <w:shd w:val="clear" w:color="auto" w:fill="auto"/>
          </w:tcPr>
          <w:p w14:paraId="33DAE7F0" w14:textId="77777777" w:rsidR="004D6A64" w:rsidRDefault="004D6A64">
            <w:pPr>
              <w:rPr>
                <w:rFonts w:ascii="宋体"/>
              </w:rPr>
            </w:pPr>
          </w:p>
        </w:tc>
        <w:tc>
          <w:tcPr>
            <w:tcW w:w="0" w:type="auto"/>
            <w:shd w:val="clear" w:color="auto" w:fill="auto"/>
          </w:tcPr>
          <w:p w14:paraId="33DAE7F1" w14:textId="77777777" w:rsidR="004D6A64" w:rsidRDefault="004D6A64">
            <w:pPr>
              <w:rPr>
                <w:rFonts w:ascii="宋体"/>
              </w:rPr>
            </w:pPr>
          </w:p>
        </w:tc>
        <w:tc>
          <w:tcPr>
            <w:tcW w:w="0" w:type="auto"/>
            <w:shd w:val="clear" w:color="auto" w:fill="auto"/>
          </w:tcPr>
          <w:p w14:paraId="33DAE7F2" w14:textId="77777777" w:rsidR="004D6A64" w:rsidRDefault="004D6A64">
            <w:pPr>
              <w:rPr>
                <w:rFonts w:ascii="宋体"/>
              </w:rPr>
            </w:pPr>
          </w:p>
        </w:tc>
        <w:tc>
          <w:tcPr>
            <w:tcW w:w="0" w:type="auto"/>
            <w:shd w:val="clear" w:color="auto" w:fill="auto"/>
          </w:tcPr>
          <w:p w14:paraId="33DAE7F3" w14:textId="77777777" w:rsidR="004D6A64" w:rsidRDefault="004D6A64">
            <w:pPr>
              <w:rPr>
                <w:rFonts w:ascii="宋体"/>
              </w:rPr>
            </w:pPr>
          </w:p>
        </w:tc>
        <w:tc>
          <w:tcPr>
            <w:tcW w:w="0" w:type="auto"/>
            <w:shd w:val="clear" w:color="auto" w:fill="auto"/>
          </w:tcPr>
          <w:p w14:paraId="33DAE7F4" w14:textId="77777777" w:rsidR="004D6A64" w:rsidRDefault="004D6A64">
            <w:pPr>
              <w:rPr>
                <w:rFonts w:ascii="宋体"/>
              </w:rPr>
            </w:pPr>
          </w:p>
        </w:tc>
        <w:tc>
          <w:tcPr>
            <w:tcW w:w="0" w:type="auto"/>
            <w:shd w:val="clear" w:color="auto" w:fill="auto"/>
          </w:tcPr>
          <w:p w14:paraId="33DAE7F5" w14:textId="77777777" w:rsidR="004D6A64" w:rsidRDefault="004D6A64">
            <w:pPr>
              <w:rPr>
                <w:rFonts w:ascii="宋体"/>
              </w:rPr>
            </w:pPr>
          </w:p>
        </w:tc>
        <w:tc>
          <w:tcPr>
            <w:tcW w:w="0" w:type="auto"/>
            <w:shd w:val="clear" w:color="auto" w:fill="auto"/>
          </w:tcPr>
          <w:p w14:paraId="33DAE7F6" w14:textId="77777777" w:rsidR="004D6A64" w:rsidRDefault="004D6A64">
            <w:pPr>
              <w:rPr>
                <w:rFonts w:ascii="宋体"/>
              </w:rPr>
            </w:pPr>
          </w:p>
        </w:tc>
        <w:tc>
          <w:tcPr>
            <w:tcW w:w="0" w:type="auto"/>
            <w:shd w:val="clear" w:color="auto" w:fill="auto"/>
          </w:tcPr>
          <w:p w14:paraId="33DAE7F7" w14:textId="77777777" w:rsidR="004D6A64" w:rsidRDefault="004D6A64">
            <w:pPr>
              <w:rPr>
                <w:rFonts w:ascii="宋体"/>
              </w:rPr>
            </w:pPr>
          </w:p>
        </w:tc>
        <w:tc>
          <w:tcPr>
            <w:tcW w:w="0" w:type="auto"/>
            <w:shd w:val="clear" w:color="auto" w:fill="auto"/>
          </w:tcPr>
          <w:p w14:paraId="33DAE7F8" w14:textId="77777777" w:rsidR="004D6A64" w:rsidRDefault="004D6A64">
            <w:pPr>
              <w:rPr>
                <w:rFonts w:ascii="宋体"/>
              </w:rPr>
            </w:pPr>
          </w:p>
        </w:tc>
        <w:tc>
          <w:tcPr>
            <w:tcW w:w="0" w:type="auto"/>
            <w:shd w:val="clear" w:color="auto" w:fill="auto"/>
          </w:tcPr>
          <w:p w14:paraId="33DAE7F9" w14:textId="77777777" w:rsidR="004D6A64" w:rsidRDefault="004D6A64">
            <w:pPr>
              <w:rPr>
                <w:rFonts w:ascii="宋体"/>
              </w:rPr>
            </w:pPr>
          </w:p>
        </w:tc>
        <w:tc>
          <w:tcPr>
            <w:tcW w:w="0" w:type="auto"/>
            <w:shd w:val="clear" w:color="auto" w:fill="auto"/>
          </w:tcPr>
          <w:p w14:paraId="33DAE7FA" w14:textId="77777777" w:rsidR="004D6A64" w:rsidRDefault="004D6A64">
            <w:pPr>
              <w:rPr>
                <w:rFonts w:ascii="宋体"/>
              </w:rPr>
            </w:pPr>
          </w:p>
        </w:tc>
        <w:tc>
          <w:tcPr>
            <w:tcW w:w="0" w:type="auto"/>
            <w:shd w:val="clear" w:color="auto" w:fill="auto"/>
          </w:tcPr>
          <w:p w14:paraId="33DAE7FB" w14:textId="77777777" w:rsidR="004D6A64" w:rsidRDefault="004D6A64">
            <w:pPr>
              <w:rPr>
                <w:rFonts w:ascii="宋体"/>
              </w:rPr>
            </w:pPr>
          </w:p>
        </w:tc>
        <w:tc>
          <w:tcPr>
            <w:tcW w:w="0" w:type="auto"/>
            <w:shd w:val="clear" w:color="auto" w:fill="auto"/>
          </w:tcPr>
          <w:p w14:paraId="33DAE7FC" w14:textId="77777777" w:rsidR="004D6A64" w:rsidRDefault="004D6A64">
            <w:pPr>
              <w:rPr>
                <w:rFonts w:ascii="宋体"/>
              </w:rPr>
            </w:pPr>
          </w:p>
        </w:tc>
        <w:tc>
          <w:tcPr>
            <w:tcW w:w="0" w:type="auto"/>
            <w:shd w:val="clear" w:color="auto" w:fill="auto"/>
          </w:tcPr>
          <w:p w14:paraId="33DAE7FD" w14:textId="77777777" w:rsidR="004D6A64" w:rsidRDefault="004D6A64">
            <w:pPr>
              <w:rPr>
                <w:rFonts w:ascii="宋体"/>
              </w:rPr>
            </w:pPr>
          </w:p>
        </w:tc>
        <w:tc>
          <w:tcPr>
            <w:tcW w:w="0" w:type="auto"/>
            <w:shd w:val="clear" w:color="auto" w:fill="auto"/>
          </w:tcPr>
          <w:p w14:paraId="33DAE7FE" w14:textId="77777777" w:rsidR="004D6A64" w:rsidRDefault="004D6A64">
            <w:pPr>
              <w:rPr>
                <w:rFonts w:ascii="宋体"/>
              </w:rPr>
            </w:pPr>
          </w:p>
        </w:tc>
        <w:tc>
          <w:tcPr>
            <w:tcW w:w="0" w:type="auto"/>
            <w:shd w:val="clear" w:color="auto" w:fill="auto"/>
          </w:tcPr>
          <w:p w14:paraId="33DAE7FF" w14:textId="77777777" w:rsidR="004D6A64" w:rsidRDefault="004D6A64">
            <w:pPr>
              <w:rPr>
                <w:rFonts w:ascii="宋体"/>
              </w:rPr>
            </w:pPr>
          </w:p>
        </w:tc>
      </w:tr>
      <w:tr w:rsidR="004D6A64" w14:paraId="33DAE828" w14:textId="77777777">
        <w:trPr>
          <w:jc w:val="center"/>
        </w:trPr>
        <w:tc>
          <w:tcPr>
            <w:tcW w:w="0" w:type="auto"/>
            <w:gridSpan w:val="3"/>
            <w:shd w:val="clear" w:color="auto" w:fill="FFFFFF"/>
            <w:tcMar>
              <w:top w:w="40" w:type="dxa"/>
              <w:left w:w="135" w:type="dxa"/>
              <w:bottom w:w="40" w:type="dxa"/>
              <w:right w:w="20" w:type="dxa"/>
            </w:tcMar>
            <w:vAlign w:val="bottom"/>
          </w:tcPr>
          <w:p w14:paraId="33DAE801" w14:textId="77777777" w:rsidR="004D6A64" w:rsidRDefault="00506CD6">
            <w:pPr>
              <w:textAlignment w:val="bottom"/>
            </w:pPr>
            <w:r>
              <w:rPr>
                <w:rFonts w:ascii="Times New Roman" w:eastAsia="宋体" w:hAnsi="Times New Roman"/>
                <w:color w:val="000000"/>
                <w:sz w:val="20"/>
                <w:szCs w:val="20"/>
              </w:rPr>
              <w:t>Adjustments:</w:t>
            </w:r>
          </w:p>
        </w:tc>
        <w:tc>
          <w:tcPr>
            <w:tcW w:w="0" w:type="auto"/>
            <w:gridSpan w:val="3"/>
            <w:shd w:val="clear" w:color="auto" w:fill="FFFFFF"/>
            <w:tcMar>
              <w:left w:w="20" w:type="dxa"/>
              <w:right w:w="20" w:type="dxa"/>
            </w:tcMar>
            <w:vAlign w:val="bottom"/>
          </w:tcPr>
          <w:p w14:paraId="33DAE802"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803"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804"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805"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806"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807"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808"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809"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80A"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80B"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80C" w14:textId="77777777" w:rsidR="004D6A64" w:rsidRDefault="004D6A64">
            <w:pPr>
              <w:rPr>
                <w:rFonts w:ascii="宋体"/>
              </w:rPr>
            </w:pPr>
          </w:p>
        </w:tc>
        <w:tc>
          <w:tcPr>
            <w:tcW w:w="0" w:type="auto"/>
            <w:shd w:val="clear" w:color="auto" w:fill="auto"/>
          </w:tcPr>
          <w:p w14:paraId="33DAE80D" w14:textId="77777777" w:rsidR="004D6A64" w:rsidRDefault="004D6A64">
            <w:pPr>
              <w:rPr>
                <w:rFonts w:ascii="宋体"/>
              </w:rPr>
            </w:pPr>
          </w:p>
        </w:tc>
        <w:tc>
          <w:tcPr>
            <w:tcW w:w="0" w:type="auto"/>
            <w:shd w:val="clear" w:color="auto" w:fill="auto"/>
          </w:tcPr>
          <w:p w14:paraId="33DAE80E" w14:textId="77777777" w:rsidR="004D6A64" w:rsidRDefault="004D6A64">
            <w:pPr>
              <w:rPr>
                <w:rFonts w:ascii="宋体"/>
              </w:rPr>
            </w:pPr>
          </w:p>
        </w:tc>
        <w:tc>
          <w:tcPr>
            <w:tcW w:w="0" w:type="auto"/>
            <w:shd w:val="clear" w:color="auto" w:fill="auto"/>
          </w:tcPr>
          <w:p w14:paraId="33DAE80F" w14:textId="77777777" w:rsidR="004D6A64" w:rsidRDefault="004D6A64">
            <w:pPr>
              <w:rPr>
                <w:rFonts w:ascii="宋体"/>
              </w:rPr>
            </w:pPr>
          </w:p>
        </w:tc>
        <w:tc>
          <w:tcPr>
            <w:tcW w:w="0" w:type="auto"/>
            <w:shd w:val="clear" w:color="auto" w:fill="auto"/>
          </w:tcPr>
          <w:p w14:paraId="33DAE810" w14:textId="77777777" w:rsidR="004D6A64" w:rsidRDefault="004D6A64">
            <w:pPr>
              <w:rPr>
                <w:rFonts w:ascii="宋体"/>
              </w:rPr>
            </w:pPr>
          </w:p>
        </w:tc>
        <w:tc>
          <w:tcPr>
            <w:tcW w:w="0" w:type="auto"/>
            <w:shd w:val="clear" w:color="auto" w:fill="auto"/>
          </w:tcPr>
          <w:p w14:paraId="33DAE811" w14:textId="77777777" w:rsidR="004D6A64" w:rsidRDefault="004D6A64">
            <w:pPr>
              <w:rPr>
                <w:rFonts w:ascii="宋体"/>
              </w:rPr>
            </w:pPr>
          </w:p>
        </w:tc>
        <w:tc>
          <w:tcPr>
            <w:tcW w:w="0" w:type="auto"/>
            <w:shd w:val="clear" w:color="auto" w:fill="auto"/>
          </w:tcPr>
          <w:p w14:paraId="33DAE812" w14:textId="77777777" w:rsidR="004D6A64" w:rsidRDefault="004D6A64">
            <w:pPr>
              <w:rPr>
                <w:rFonts w:ascii="宋体"/>
              </w:rPr>
            </w:pPr>
          </w:p>
        </w:tc>
        <w:tc>
          <w:tcPr>
            <w:tcW w:w="0" w:type="auto"/>
            <w:shd w:val="clear" w:color="auto" w:fill="auto"/>
          </w:tcPr>
          <w:p w14:paraId="33DAE813" w14:textId="77777777" w:rsidR="004D6A64" w:rsidRDefault="004D6A64">
            <w:pPr>
              <w:rPr>
                <w:rFonts w:ascii="宋体"/>
              </w:rPr>
            </w:pPr>
          </w:p>
        </w:tc>
        <w:tc>
          <w:tcPr>
            <w:tcW w:w="0" w:type="auto"/>
            <w:shd w:val="clear" w:color="auto" w:fill="auto"/>
          </w:tcPr>
          <w:p w14:paraId="33DAE814" w14:textId="77777777" w:rsidR="004D6A64" w:rsidRDefault="004D6A64">
            <w:pPr>
              <w:rPr>
                <w:rFonts w:ascii="宋体"/>
              </w:rPr>
            </w:pPr>
          </w:p>
        </w:tc>
        <w:tc>
          <w:tcPr>
            <w:tcW w:w="0" w:type="auto"/>
            <w:shd w:val="clear" w:color="auto" w:fill="auto"/>
          </w:tcPr>
          <w:p w14:paraId="33DAE815" w14:textId="77777777" w:rsidR="004D6A64" w:rsidRDefault="004D6A64">
            <w:pPr>
              <w:rPr>
                <w:rFonts w:ascii="宋体"/>
              </w:rPr>
            </w:pPr>
          </w:p>
        </w:tc>
        <w:tc>
          <w:tcPr>
            <w:tcW w:w="0" w:type="auto"/>
            <w:shd w:val="clear" w:color="auto" w:fill="auto"/>
          </w:tcPr>
          <w:p w14:paraId="33DAE816" w14:textId="77777777" w:rsidR="004D6A64" w:rsidRDefault="004D6A64">
            <w:pPr>
              <w:rPr>
                <w:rFonts w:ascii="宋体"/>
              </w:rPr>
            </w:pPr>
          </w:p>
        </w:tc>
        <w:tc>
          <w:tcPr>
            <w:tcW w:w="0" w:type="auto"/>
            <w:shd w:val="clear" w:color="auto" w:fill="auto"/>
          </w:tcPr>
          <w:p w14:paraId="33DAE817" w14:textId="77777777" w:rsidR="004D6A64" w:rsidRDefault="004D6A64">
            <w:pPr>
              <w:rPr>
                <w:rFonts w:ascii="宋体"/>
              </w:rPr>
            </w:pPr>
          </w:p>
        </w:tc>
        <w:tc>
          <w:tcPr>
            <w:tcW w:w="0" w:type="auto"/>
            <w:shd w:val="clear" w:color="auto" w:fill="auto"/>
          </w:tcPr>
          <w:p w14:paraId="33DAE818" w14:textId="77777777" w:rsidR="004D6A64" w:rsidRDefault="004D6A64">
            <w:pPr>
              <w:rPr>
                <w:rFonts w:ascii="宋体"/>
              </w:rPr>
            </w:pPr>
          </w:p>
        </w:tc>
        <w:tc>
          <w:tcPr>
            <w:tcW w:w="0" w:type="auto"/>
            <w:shd w:val="clear" w:color="auto" w:fill="auto"/>
          </w:tcPr>
          <w:p w14:paraId="33DAE819" w14:textId="77777777" w:rsidR="004D6A64" w:rsidRDefault="004D6A64">
            <w:pPr>
              <w:rPr>
                <w:rFonts w:ascii="宋体"/>
              </w:rPr>
            </w:pPr>
          </w:p>
        </w:tc>
        <w:tc>
          <w:tcPr>
            <w:tcW w:w="0" w:type="auto"/>
            <w:shd w:val="clear" w:color="auto" w:fill="auto"/>
          </w:tcPr>
          <w:p w14:paraId="33DAE81A" w14:textId="77777777" w:rsidR="004D6A64" w:rsidRDefault="004D6A64">
            <w:pPr>
              <w:rPr>
                <w:rFonts w:ascii="宋体"/>
              </w:rPr>
            </w:pPr>
          </w:p>
        </w:tc>
        <w:tc>
          <w:tcPr>
            <w:tcW w:w="0" w:type="auto"/>
            <w:shd w:val="clear" w:color="auto" w:fill="auto"/>
          </w:tcPr>
          <w:p w14:paraId="33DAE81B" w14:textId="77777777" w:rsidR="004D6A64" w:rsidRDefault="004D6A64">
            <w:pPr>
              <w:rPr>
                <w:rFonts w:ascii="宋体"/>
              </w:rPr>
            </w:pPr>
          </w:p>
        </w:tc>
        <w:tc>
          <w:tcPr>
            <w:tcW w:w="0" w:type="auto"/>
            <w:shd w:val="clear" w:color="auto" w:fill="auto"/>
          </w:tcPr>
          <w:p w14:paraId="33DAE81C" w14:textId="77777777" w:rsidR="004D6A64" w:rsidRDefault="004D6A64">
            <w:pPr>
              <w:rPr>
                <w:rFonts w:ascii="宋体"/>
              </w:rPr>
            </w:pPr>
          </w:p>
        </w:tc>
        <w:tc>
          <w:tcPr>
            <w:tcW w:w="0" w:type="auto"/>
            <w:shd w:val="clear" w:color="auto" w:fill="auto"/>
          </w:tcPr>
          <w:p w14:paraId="33DAE81D" w14:textId="77777777" w:rsidR="004D6A64" w:rsidRDefault="004D6A64">
            <w:pPr>
              <w:rPr>
                <w:rFonts w:ascii="宋体"/>
              </w:rPr>
            </w:pPr>
          </w:p>
        </w:tc>
        <w:tc>
          <w:tcPr>
            <w:tcW w:w="0" w:type="auto"/>
            <w:shd w:val="clear" w:color="auto" w:fill="auto"/>
          </w:tcPr>
          <w:p w14:paraId="33DAE81E" w14:textId="77777777" w:rsidR="004D6A64" w:rsidRDefault="004D6A64">
            <w:pPr>
              <w:rPr>
                <w:rFonts w:ascii="宋体"/>
              </w:rPr>
            </w:pPr>
          </w:p>
        </w:tc>
        <w:tc>
          <w:tcPr>
            <w:tcW w:w="0" w:type="auto"/>
            <w:shd w:val="clear" w:color="auto" w:fill="auto"/>
          </w:tcPr>
          <w:p w14:paraId="33DAE81F" w14:textId="77777777" w:rsidR="004D6A64" w:rsidRDefault="004D6A64">
            <w:pPr>
              <w:rPr>
                <w:rFonts w:ascii="宋体"/>
              </w:rPr>
            </w:pPr>
          </w:p>
        </w:tc>
        <w:tc>
          <w:tcPr>
            <w:tcW w:w="0" w:type="auto"/>
            <w:shd w:val="clear" w:color="auto" w:fill="auto"/>
          </w:tcPr>
          <w:p w14:paraId="33DAE820" w14:textId="77777777" w:rsidR="004D6A64" w:rsidRDefault="004D6A64">
            <w:pPr>
              <w:rPr>
                <w:rFonts w:ascii="宋体"/>
              </w:rPr>
            </w:pPr>
          </w:p>
        </w:tc>
        <w:tc>
          <w:tcPr>
            <w:tcW w:w="0" w:type="auto"/>
            <w:shd w:val="clear" w:color="auto" w:fill="auto"/>
          </w:tcPr>
          <w:p w14:paraId="33DAE821" w14:textId="77777777" w:rsidR="004D6A64" w:rsidRDefault="004D6A64">
            <w:pPr>
              <w:rPr>
                <w:rFonts w:ascii="宋体"/>
              </w:rPr>
            </w:pPr>
          </w:p>
        </w:tc>
        <w:tc>
          <w:tcPr>
            <w:tcW w:w="0" w:type="auto"/>
            <w:shd w:val="clear" w:color="auto" w:fill="auto"/>
          </w:tcPr>
          <w:p w14:paraId="33DAE822" w14:textId="77777777" w:rsidR="004D6A64" w:rsidRDefault="004D6A64">
            <w:pPr>
              <w:rPr>
                <w:rFonts w:ascii="宋体"/>
              </w:rPr>
            </w:pPr>
          </w:p>
        </w:tc>
        <w:tc>
          <w:tcPr>
            <w:tcW w:w="0" w:type="auto"/>
            <w:shd w:val="clear" w:color="auto" w:fill="auto"/>
          </w:tcPr>
          <w:p w14:paraId="33DAE823" w14:textId="77777777" w:rsidR="004D6A64" w:rsidRDefault="004D6A64">
            <w:pPr>
              <w:rPr>
                <w:rFonts w:ascii="宋体"/>
              </w:rPr>
            </w:pPr>
          </w:p>
        </w:tc>
        <w:tc>
          <w:tcPr>
            <w:tcW w:w="0" w:type="auto"/>
            <w:shd w:val="clear" w:color="auto" w:fill="auto"/>
          </w:tcPr>
          <w:p w14:paraId="33DAE824" w14:textId="77777777" w:rsidR="004D6A64" w:rsidRDefault="004D6A64">
            <w:pPr>
              <w:rPr>
                <w:rFonts w:ascii="宋体"/>
              </w:rPr>
            </w:pPr>
          </w:p>
        </w:tc>
        <w:tc>
          <w:tcPr>
            <w:tcW w:w="0" w:type="auto"/>
            <w:shd w:val="clear" w:color="auto" w:fill="auto"/>
          </w:tcPr>
          <w:p w14:paraId="33DAE825" w14:textId="77777777" w:rsidR="004D6A64" w:rsidRDefault="004D6A64">
            <w:pPr>
              <w:rPr>
                <w:rFonts w:ascii="宋体"/>
              </w:rPr>
            </w:pPr>
          </w:p>
        </w:tc>
        <w:tc>
          <w:tcPr>
            <w:tcW w:w="0" w:type="auto"/>
            <w:shd w:val="clear" w:color="auto" w:fill="auto"/>
          </w:tcPr>
          <w:p w14:paraId="33DAE826" w14:textId="77777777" w:rsidR="004D6A64" w:rsidRDefault="004D6A64">
            <w:pPr>
              <w:rPr>
                <w:rFonts w:ascii="宋体"/>
              </w:rPr>
            </w:pPr>
          </w:p>
        </w:tc>
        <w:tc>
          <w:tcPr>
            <w:tcW w:w="0" w:type="auto"/>
            <w:shd w:val="clear" w:color="auto" w:fill="auto"/>
          </w:tcPr>
          <w:p w14:paraId="33DAE827" w14:textId="77777777" w:rsidR="004D6A64" w:rsidRDefault="004D6A64">
            <w:pPr>
              <w:rPr>
                <w:rFonts w:ascii="宋体"/>
              </w:rPr>
            </w:pPr>
          </w:p>
        </w:tc>
      </w:tr>
      <w:tr w:rsidR="004D6A64" w14:paraId="33DAE854" w14:textId="77777777">
        <w:trPr>
          <w:jc w:val="center"/>
        </w:trPr>
        <w:tc>
          <w:tcPr>
            <w:tcW w:w="0" w:type="auto"/>
            <w:gridSpan w:val="3"/>
            <w:shd w:val="clear" w:color="auto" w:fill="CCEEFF"/>
            <w:tcMar>
              <w:top w:w="40" w:type="dxa"/>
              <w:left w:w="225" w:type="dxa"/>
              <w:bottom w:w="40" w:type="dxa"/>
              <w:right w:w="20" w:type="dxa"/>
            </w:tcMar>
            <w:vAlign w:val="bottom"/>
          </w:tcPr>
          <w:p w14:paraId="33DAE829" w14:textId="77777777" w:rsidR="004D6A64" w:rsidRDefault="00506CD6">
            <w:pPr>
              <w:textAlignment w:val="bottom"/>
            </w:pPr>
            <w:r>
              <w:rPr>
                <w:rFonts w:ascii="Times New Roman" w:eastAsia="宋体" w:hAnsi="Times New Roman"/>
                <w:color w:val="000000"/>
                <w:sz w:val="20"/>
                <w:szCs w:val="20"/>
              </w:rPr>
              <w:t>Interest and other, net (a)</w:t>
            </w:r>
          </w:p>
        </w:tc>
        <w:tc>
          <w:tcPr>
            <w:tcW w:w="0" w:type="auto"/>
            <w:gridSpan w:val="2"/>
            <w:shd w:val="clear" w:color="auto" w:fill="CCEEFF"/>
            <w:tcMar>
              <w:top w:w="40" w:type="dxa"/>
              <w:left w:w="20" w:type="dxa"/>
              <w:bottom w:w="40" w:type="dxa"/>
              <w:right w:w="0" w:type="dxa"/>
            </w:tcMar>
            <w:vAlign w:val="bottom"/>
          </w:tcPr>
          <w:p w14:paraId="33DAE82A" w14:textId="77777777" w:rsidR="004D6A64" w:rsidRDefault="00506CD6">
            <w:pPr>
              <w:jc w:val="right"/>
              <w:textAlignment w:val="bottom"/>
            </w:pPr>
            <w:r>
              <w:rPr>
                <w:rFonts w:ascii="Times New Roman" w:eastAsia="宋体" w:hAnsi="Times New Roman"/>
                <w:color w:val="000000"/>
                <w:sz w:val="20"/>
                <w:szCs w:val="20"/>
              </w:rPr>
              <w:t>636 </w:t>
            </w:r>
          </w:p>
        </w:tc>
        <w:tc>
          <w:tcPr>
            <w:tcW w:w="0" w:type="auto"/>
            <w:shd w:val="clear" w:color="auto" w:fill="CCEEFF"/>
            <w:tcMar>
              <w:top w:w="40" w:type="dxa"/>
              <w:bottom w:w="40" w:type="dxa"/>
              <w:right w:w="20" w:type="dxa"/>
            </w:tcMar>
            <w:vAlign w:val="bottom"/>
          </w:tcPr>
          <w:p w14:paraId="33DAE82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82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82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82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82F" w14:textId="77777777" w:rsidR="004D6A64" w:rsidRDefault="00506CD6">
            <w:pPr>
              <w:jc w:val="right"/>
              <w:textAlignment w:val="bottom"/>
            </w:pPr>
            <w:r>
              <w:rPr>
                <w:rFonts w:ascii="Times New Roman" w:eastAsia="宋体" w:hAnsi="Times New Roman"/>
                <w:color w:val="000000"/>
                <w:sz w:val="20"/>
                <w:szCs w:val="20"/>
              </w:rPr>
              <w:t>630 </w:t>
            </w:r>
          </w:p>
        </w:tc>
        <w:tc>
          <w:tcPr>
            <w:tcW w:w="0" w:type="auto"/>
            <w:shd w:val="clear" w:color="auto" w:fill="CCEEFF"/>
            <w:tcMar>
              <w:top w:w="40" w:type="dxa"/>
              <w:bottom w:w="40" w:type="dxa"/>
              <w:right w:w="20" w:type="dxa"/>
            </w:tcMar>
            <w:vAlign w:val="bottom"/>
          </w:tcPr>
          <w:p w14:paraId="33DAE83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831"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832" w14:textId="77777777" w:rsidR="004D6A64" w:rsidRDefault="00506CD6">
            <w:pPr>
              <w:jc w:val="right"/>
              <w:textAlignment w:val="bottom"/>
            </w:pPr>
            <w:r>
              <w:rPr>
                <w:rFonts w:ascii="Times New Roman" w:eastAsia="宋体" w:hAnsi="Times New Roman"/>
                <w:color w:val="000000"/>
                <w:sz w:val="20"/>
                <w:szCs w:val="20"/>
              </w:rPr>
              <w:t>1,202 </w:t>
            </w:r>
          </w:p>
        </w:tc>
        <w:tc>
          <w:tcPr>
            <w:tcW w:w="0" w:type="auto"/>
            <w:shd w:val="clear" w:color="auto" w:fill="CCEEFF"/>
            <w:tcMar>
              <w:top w:w="40" w:type="dxa"/>
              <w:bottom w:w="40" w:type="dxa"/>
              <w:right w:w="20" w:type="dxa"/>
            </w:tcMar>
            <w:vAlign w:val="bottom"/>
          </w:tcPr>
          <w:p w14:paraId="33DAE83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834"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83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83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837" w14:textId="77777777" w:rsidR="004D6A64" w:rsidRDefault="00506CD6">
            <w:pPr>
              <w:jc w:val="right"/>
              <w:textAlignment w:val="bottom"/>
            </w:pPr>
            <w:r>
              <w:rPr>
                <w:rFonts w:ascii="Times New Roman" w:eastAsia="宋体" w:hAnsi="Times New Roman"/>
                <w:color w:val="000000"/>
                <w:sz w:val="20"/>
                <w:szCs w:val="20"/>
              </w:rPr>
              <w:t>1,323 </w:t>
            </w:r>
          </w:p>
        </w:tc>
        <w:tc>
          <w:tcPr>
            <w:tcW w:w="0" w:type="auto"/>
            <w:shd w:val="clear" w:color="auto" w:fill="CCEEFF"/>
            <w:tcMar>
              <w:top w:w="40" w:type="dxa"/>
              <w:bottom w:w="40" w:type="dxa"/>
              <w:right w:w="20" w:type="dxa"/>
            </w:tcMar>
            <w:vAlign w:val="bottom"/>
          </w:tcPr>
          <w:p w14:paraId="33DAE838" w14:textId="77777777" w:rsidR="004D6A64" w:rsidRDefault="004D6A64">
            <w:pPr>
              <w:jc w:val="right"/>
              <w:rPr>
                <w:rFonts w:ascii="宋体"/>
              </w:rPr>
            </w:pPr>
          </w:p>
        </w:tc>
        <w:tc>
          <w:tcPr>
            <w:tcW w:w="0" w:type="auto"/>
            <w:shd w:val="clear" w:color="auto" w:fill="auto"/>
          </w:tcPr>
          <w:p w14:paraId="33DAE839" w14:textId="77777777" w:rsidR="004D6A64" w:rsidRDefault="004D6A64">
            <w:pPr>
              <w:rPr>
                <w:rFonts w:ascii="宋体"/>
              </w:rPr>
            </w:pPr>
          </w:p>
        </w:tc>
        <w:tc>
          <w:tcPr>
            <w:tcW w:w="0" w:type="auto"/>
            <w:shd w:val="clear" w:color="auto" w:fill="auto"/>
          </w:tcPr>
          <w:p w14:paraId="33DAE83A" w14:textId="77777777" w:rsidR="004D6A64" w:rsidRDefault="004D6A64">
            <w:pPr>
              <w:rPr>
                <w:rFonts w:ascii="宋体"/>
              </w:rPr>
            </w:pPr>
          </w:p>
        </w:tc>
        <w:tc>
          <w:tcPr>
            <w:tcW w:w="0" w:type="auto"/>
            <w:shd w:val="clear" w:color="auto" w:fill="auto"/>
          </w:tcPr>
          <w:p w14:paraId="33DAE83B" w14:textId="77777777" w:rsidR="004D6A64" w:rsidRDefault="004D6A64">
            <w:pPr>
              <w:rPr>
                <w:rFonts w:ascii="宋体"/>
              </w:rPr>
            </w:pPr>
          </w:p>
        </w:tc>
        <w:tc>
          <w:tcPr>
            <w:tcW w:w="0" w:type="auto"/>
            <w:shd w:val="clear" w:color="auto" w:fill="auto"/>
          </w:tcPr>
          <w:p w14:paraId="33DAE83C" w14:textId="77777777" w:rsidR="004D6A64" w:rsidRDefault="004D6A64">
            <w:pPr>
              <w:rPr>
                <w:rFonts w:ascii="宋体"/>
              </w:rPr>
            </w:pPr>
          </w:p>
        </w:tc>
        <w:tc>
          <w:tcPr>
            <w:tcW w:w="0" w:type="auto"/>
            <w:shd w:val="clear" w:color="auto" w:fill="auto"/>
          </w:tcPr>
          <w:p w14:paraId="33DAE83D" w14:textId="77777777" w:rsidR="004D6A64" w:rsidRDefault="004D6A64">
            <w:pPr>
              <w:rPr>
                <w:rFonts w:ascii="宋体"/>
              </w:rPr>
            </w:pPr>
          </w:p>
        </w:tc>
        <w:tc>
          <w:tcPr>
            <w:tcW w:w="0" w:type="auto"/>
            <w:shd w:val="clear" w:color="auto" w:fill="auto"/>
          </w:tcPr>
          <w:p w14:paraId="33DAE83E" w14:textId="77777777" w:rsidR="004D6A64" w:rsidRDefault="004D6A64">
            <w:pPr>
              <w:rPr>
                <w:rFonts w:ascii="宋体"/>
              </w:rPr>
            </w:pPr>
          </w:p>
        </w:tc>
        <w:tc>
          <w:tcPr>
            <w:tcW w:w="0" w:type="auto"/>
            <w:shd w:val="clear" w:color="auto" w:fill="auto"/>
          </w:tcPr>
          <w:p w14:paraId="33DAE83F" w14:textId="77777777" w:rsidR="004D6A64" w:rsidRDefault="004D6A64">
            <w:pPr>
              <w:rPr>
                <w:rFonts w:ascii="宋体"/>
              </w:rPr>
            </w:pPr>
          </w:p>
        </w:tc>
        <w:tc>
          <w:tcPr>
            <w:tcW w:w="0" w:type="auto"/>
            <w:shd w:val="clear" w:color="auto" w:fill="auto"/>
          </w:tcPr>
          <w:p w14:paraId="33DAE840" w14:textId="77777777" w:rsidR="004D6A64" w:rsidRDefault="004D6A64">
            <w:pPr>
              <w:rPr>
                <w:rFonts w:ascii="宋体"/>
              </w:rPr>
            </w:pPr>
          </w:p>
        </w:tc>
        <w:tc>
          <w:tcPr>
            <w:tcW w:w="0" w:type="auto"/>
            <w:shd w:val="clear" w:color="auto" w:fill="auto"/>
          </w:tcPr>
          <w:p w14:paraId="33DAE841" w14:textId="77777777" w:rsidR="004D6A64" w:rsidRDefault="004D6A64">
            <w:pPr>
              <w:rPr>
                <w:rFonts w:ascii="宋体"/>
              </w:rPr>
            </w:pPr>
          </w:p>
        </w:tc>
        <w:tc>
          <w:tcPr>
            <w:tcW w:w="0" w:type="auto"/>
            <w:shd w:val="clear" w:color="auto" w:fill="auto"/>
          </w:tcPr>
          <w:p w14:paraId="33DAE842" w14:textId="77777777" w:rsidR="004D6A64" w:rsidRDefault="004D6A64">
            <w:pPr>
              <w:rPr>
                <w:rFonts w:ascii="宋体"/>
              </w:rPr>
            </w:pPr>
          </w:p>
        </w:tc>
        <w:tc>
          <w:tcPr>
            <w:tcW w:w="0" w:type="auto"/>
            <w:shd w:val="clear" w:color="auto" w:fill="auto"/>
          </w:tcPr>
          <w:p w14:paraId="33DAE843" w14:textId="77777777" w:rsidR="004D6A64" w:rsidRDefault="004D6A64">
            <w:pPr>
              <w:rPr>
                <w:rFonts w:ascii="宋体"/>
              </w:rPr>
            </w:pPr>
          </w:p>
        </w:tc>
        <w:tc>
          <w:tcPr>
            <w:tcW w:w="0" w:type="auto"/>
            <w:shd w:val="clear" w:color="auto" w:fill="auto"/>
          </w:tcPr>
          <w:p w14:paraId="33DAE844" w14:textId="77777777" w:rsidR="004D6A64" w:rsidRDefault="004D6A64">
            <w:pPr>
              <w:rPr>
                <w:rFonts w:ascii="宋体"/>
              </w:rPr>
            </w:pPr>
          </w:p>
        </w:tc>
        <w:tc>
          <w:tcPr>
            <w:tcW w:w="0" w:type="auto"/>
            <w:shd w:val="clear" w:color="auto" w:fill="auto"/>
          </w:tcPr>
          <w:p w14:paraId="33DAE845" w14:textId="77777777" w:rsidR="004D6A64" w:rsidRDefault="004D6A64">
            <w:pPr>
              <w:rPr>
                <w:rFonts w:ascii="宋体"/>
              </w:rPr>
            </w:pPr>
          </w:p>
        </w:tc>
        <w:tc>
          <w:tcPr>
            <w:tcW w:w="0" w:type="auto"/>
            <w:shd w:val="clear" w:color="auto" w:fill="auto"/>
          </w:tcPr>
          <w:p w14:paraId="33DAE846" w14:textId="77777777" w:rsidR="004D6A64" w:rsidRDefault="004D6A64">
            <w:pPr>
              <w:rPr>
                <w:rFonts w:ascii="宋体"/>
              </w:rPr>
            </w:pPr>
          </w:p>
        </w:tc>
        <w:tc>
          <w:tcPr>
            <w:tcW w:w="0" w:type="auto"/>
            <w:shd w:val="clear" w:color="auto" w:fill="auto"/>
          </w:tcPr>
          <w:p w14:paraId="33DAE847" w14:textId="77777777" w:rsidR="004D6A64" w:rsidRDefault="004D6A64">
            <w:pPr>
              <w:rPr>
                <w:rFonts w:ascii="宋体"/>
              </w:rPr>
            </w:pPr>
          </w:p>
        </w:tc>
        <w:tc>
          <w:tcPr>
            <w:tcW w:w="0" w:type="auto"/>
            <w:shd w:val="clear" w:color="auto" w:fill="auto"/>
          </w:tcPr>
          <w:p w14:paraId="33DAE848" w14:textId="77777777" w:rsidR="004D6A64" w:rsidRDefault="004D6A64">
            <w:pPr>
              <w:rPr>
                <w:rFonts w:ascii="宋体"/>
              </w:rPr>
            </w:pPr>
          </w:p>
        </w:tc>
        <w:tc>
          <w:tcPr>
            <w:tcW w:w="0" w:type="auto"/>
            <w:shd w:val="clear" w:color="auto" w:fill="auto"/>
          </w:tcPr>
          <w:p w14:paraId="33DAE849" w14:textId="77777777" w:rsidR="004D6A64" w:rsidRDefault="004D6A64">
            <w:pPr>
              <w:rPr>
                <w:rFonts w:ascii="宋体"/>
              </w:rPr>
            </w:pPr>
          </w:p>
        </w:tc>
        <w:tc>
          <w:tcPr>
            <w:tcW w:w="0" w:type="auto"/>
            <w:shd w:val="clear" w:color="auto" w:fill="auto"/>
          </w:tcPr>
          <w:p w14:paraId="33DAE84A" w14:textId="77777777" w:rsidR="004D6A64" w:rsidRDefault="004D6A64">
            <w:pPr>
              <w:rPr>
                <w:rFonts w:ascii="宋体"/>
              </w:rPr>
            </w:pPr>
          </w:p>
        </w:tc>
        <w:tc>
          <w:tcPr>
            <w:tcW w:w="0" w:type="auto"/>
            <w:shd w:val="clear" w:color="auto" w:fill="auto"/>
          </w:tcPr>
          <w:p w14:paraId="33DAE84B" w14:textId="77777777" w:rsidR="004D6A64" w:rsidRDefault="004D6A64">
            <w:pPr>
              <w:rPr>
                <w:rFonts w:ascii="宋体"/>
              </w:rPr>
            </w:pPr>
          </w:p>
        </w:tc>
        <w:tc>
          <w:tcPr>
            <w:tcW w:w="0" w:type="auto"/>
            <w:shd w:val="clear" w:color="auto" w:fill="auto"/>
          </w:tcPr>
          <w:p w14:paraId="33DAE84C" w14:textId="77777777" w:rsidR="004D6A64" w:rsidRDefault="004D6A64">
            <w:pPr>
              <w:rPr>
                <w:rFonts w:ascii="宋体"/>
              </w:rPr>
            </w:pPr>
          </w:p>
        </w:tc>
        <w:tc>
          <w:tcPr>
            <w:tcW w:w="0" w:type="auto"/>
            <w:shd w:val="clear" w:color="auto" w:fill="auto"/>
          </w:tcPr>
          <w:p w14:paraId="33DAE84D" w14:textId="77777777" w:rsidR="004D6A64" w:rsidRDefault="004D6A64">
            <w:pPr>
              <w:rPr>
                <w:rFonts w:ascii="宋体"/>
              </w:rPr>
            </w:pPr>
          </w:p>
        </w:tc>
        <w:tc>
          <w:tcPr>
            <w:tcW w:w="0" w:type="auto"/>
            <w:shd w:val="clear" w:color="auto" w:fill="auto"/>
          </w:tcPr>
          <w:p w14:paraId="33DAE84E" w14:textId="77777777" w:rsidR="004D6A64" w:rsidRDefault="004D6A64">
            <w:pPr>
              <w:rPr>
                <w:rFonts w:ascii="宋体"/>
              </w:rPr>
            </w:pPr>
          </w:p>
        </w:tc>
        <w:tc>
          <w:tcPr>
            <w:tcW w:w="0" w:type="auto"/>
            <w:shd w:val="clear" w:color="auto" w:fill="auto"/>
          </w:tcPr>
          <w:p w14:paraId="33DAE84F" w14:textId="77777777" w:rsidR="004D6A64" w:rsidRDefault="004D6A64">
            <w:pPr>
              <w:rPr>
                <w:rFonts w:ascii="宋体"/>
              </w:rPr>
            </w:pPr>
          </w:p>
        </w:tc>
        <w:tc>
          <w:tcPr>
            <w:tcW w:w="0" w:type="auto"/>
            <w:shd w:val="clear" w:color="auto" w:fill="auto"/>
          </w:tcPr>
          <w:p w14:paraId="33DAE850" w14:textId="77777777" w:rsidR="004D6A64" w:rsidRDefault="004D6A64">
            <w:pPr>
              <w:rPr>
                <w:rFonts w:ascii="宋体"/>
              </w:rPr>
            </w:pPr>
          </w:p>
        </w:tc>
        <w:tc>
          <w:tcPr>
            <w:tcW w:w="0" w:type="auto"/>
            <w:shd w:val="clear" w:color="auto" w:fill="auto"/>
          </w:tcPr>
          <w:p w14:paraId="33DAE851" w14:textId="77777777" w:rsidR="004D6A64" w:rsidRDefault="004D6A64">
            <w:pPr>
              <w:rPr>
                <w:rFonts w:ascii="宋体"/>
              </w:rPr>
            </w:pPr>
          </w:p>
        </w:tc>
        <w:tc>
          <w:tcPr>
            <w:tcW w:w="0" w:type="auto"/>
            <w:shd w:val="clear" w:color="auto" w:fill="auto"/>
          </w:tcPr>
          <w:p w14:paraId="33DAE852" w14:textId="77777777" w:rsidR="004D6A64" w:rsidRDefault="004D6A64">
            <w:pPr>
              <w:rPr>
                <w:rFonts w:ascii="宋体"/>
              </w:rPr>
            </w:pPr>
          </w:p>
        </w:tc>
        <w:tc>
          <w:tcPr>
            <w:tcW w:w="0" w:type="auto"/>
            <w:shd w:val="clear" w:color="auto" w:fill="auto"/>
          </w:tcPr>
          <w:p w14:paraId="33DAE853" w14:textId="77777777" w:rsidR="004D6A64" w:rsidRDefault="004D6A64">
            <w:pPr>
              <w:rPr>
                <w:rFonts w:ascii="宋体"/>
              </w:rPr>
            </w:pPr>
          </w:p>
        </w:tc>
      </w:tr>
      <w:tr w:rsidR="004D6A64" w14:paraId="33DAE880" w14:textId="77777777">
        <w:trPr>
          <w:jc w:val="center"/>
        </w:trPr>
        <w:tc>
          <w:tcPr>
            <w:tcW w:w="0" w:type="auto"/>
            <w:gridSpan w:val="3"/>
            <w:shd w:val="clear" w:color="auto" w:fill="FFFFFF"/>
            <w:tcMar>
              <w:top w:w="40" w:type="dxa"/>
              <w:left w:w="225" w:type="dxa"/>
              <w:bottom w:w="40" w:type="dxa"/>
              <w:right w:w="20" w:type="dxa"/>
            </w:tcMar>
            <w:vAlign w:val="bottom"/>
          </w:tcPr>
          <w:p w14:paraId="33DAE855" w14:textId="77777777" w:rsidR="004D6A64" w:rsidRDefault="00506CD6">
            <w:pPr>
              <w:textAlignment w:val="bottom"/>
            </w:pPr>
            <w:r>
              <w:rPr>
                <w:rFonts w:ascii="Times New Roman" w:eastAsia="宋体" w:hAnsi="Times New Roman"/>
                <w:color w:val="000000"/>
                <w:sz w:val="20"/>
                <w:szCs w:val="20"/>
              </w:rPr>
              <w:t>Income tax benefit (b)</w:t>
            </w:r>
          </w:p>
        </w:tc>
        <w:tc>
          <w:tcPr>
            <w:tcW w:w="0" w:type="auto"/>
            <w:gridSpan w:val="2"/>
            <w:shd w:val="clear" w:color="auto" w:fill="FFFFFF"/>
            <w:tcMar>
              <w:top w:w="40" w:type="dxa"/>
              <w:left w:w="20" w:type="dxa"/>
              <w:bottom w:w="40" w:type="dxa"/>
              <w:right w:w="0" w:type="dxa"/>
            </w:tcMar>
            <w:vAlign w:val="bottom"/>
          </w:tcPr>
          <w:p w14:paraId="33DAE856" w14:textId="77777777" w:rsidR="004D6A64" w:rsidRDefault="00506CD6">
            <w:pPr>
              <w:jc w:val="right"/>
              <w:textAlignment w:val="bottom"/>
            </w:pPr>
            <w:r>
              <w:rPr>
                <w:rFonts w:ascii="Times New Roman" w:eastAsia="宋体" w:hAnsi="Times New Roman"/>
                <w:color w:val="000000"/>
                <w:sz w:val="20"/>
                <w:szCs w:val="20"/>
              </w:rPr>
              <w:t>(599)</w:t>
            </w:r>
          </w:p>
        </w:tc>
        <w:tc>
          <w:tcPr>
            <w:tcW w:w="0" w:type="auto"/>
            <w:shd w:val="clear" w:color="auto" w:fill="FFFFFF"/>
            <w:tcMar>
              <w:top w:w="40" w:type="dxa"/>
              <w:bottom w:w="40" w:type="dxa"/>
              <w:right w:w="20" w:type="dxa"/>
            </w:tcMar>
            <w:vAlign w:val="bottom"/>
          </w:tcPr>
          <w:p w14:paraId="33DAE85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858"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859"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85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85B" w14:textId="77777777" w:rsidR="004D6A64" w:rsidRDefault="00506CD6">
            <w:pPr>
              <w:jc w:val="right"/>
              <w:textAlignment w:val="bottom"/>
            </w:pPr>
            <w:r>
              <w:rPr>
                <w:rFonts w:ascii="Times New Roman" w:eastAsia="宋体" w:hAnsi="Times New Roman"/>
                <w:color w:val="000000"/>
                <w:sz w:val="20"/>
                <w:szCs w:val="20"/>
              </w:rPr>
              <w:t>(4,343)</w:t>
            </w:r>
          </w:p>
        </w:tc>
        <w:tc>
          <w:tcPr>
            <w:tcW w:w="0" w:type="auto"/>
            <w:shd w:val="clear" w:color="auto" w:fill="FFFFFF"/>
            <w:tcMar>
              <w:top w:w="40" w:type="dxa"/>
              <w:bottom w:w="40" w:type="dxa"/>
              <w:right w:w="20" w:type="dxa"/>
            </w:tcMar>
            <w:vAlign w:val="bottom"/>
          </w:tcPr>
          <w:p w14:paraId="33DAE85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85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85E" w14:textId="77777777" w:rsidR="004D6A64" w:rsidRDefault="00506CD6">
            <w:pPr>
              <w:jc w:val="right"/>
              <w:textAlignment w:val="bottom"/>
            </w:pPr>
            <w:r>
              <w:rPr>
                <w:rFonts w:ascii="Times New Roman" w:eastAsia="宋体" w:hAnsi="Times New Roman"/>
                <w:color w:val="000000"/>
                <w:sz w:val="20"/>
                <w:szCs w:val="20"/>
              </w:rPr>
              <w:t>(645)</w:t>
            </w:r>
          </w:p>
        </w:tc>
        <w:tc>
          <w:tcPr>
            <w:tcW w:w="0" w:type="auto"/>
            <w:shd w:val="clear" w:color="auto" w:fill="FFFFFF"/>
            <w:tcMar>
              <w:top w:w="40" w:type="dxa"/>
              <w:bottom w:w="40" w:type="dxa"/>
              <w:right w:w="20" w:type="dxa"/>
            </w:tcMar>
            <w:vAlign w:val="bottom"/>
          </w:tcPr>
          <w:p w14:paraId="33DAE85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860"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861"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862"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863" w14:textId="77777777" w:rsidR="004D6A64" w:rsidRDefault="00506CD6">
            <w:pPr>
              <w:jc w:val="right"/>
              <w:textAlignment w:val="bottom"/>
            </w:pPr>
            <w:r>
              <w:rPr>
                <w:rFonts w:ascii="Times New Roman" w:eastAsia="宋体" w:hAnsi="Times New Roman"/>
                <w:color w:val="000000"/>
                <w:sz w:val="20"/>
                <w:szCs w:val="20"/>
              </w:rPr>
              <w:t>(4,815)</w:t>
            </w:r>
          </w:p>
        </w:tc>
        <w:tc>
          <w:tcPr>
            <w:tcW w:w="0" w:type="auto"/>
            <w:shd w:val="clear" w:color="auto" w:fill="FFFFFF"/>
            <w:tcMar>
              <w:top w:w="40" w:type="dxa"/>
              <w:bottom w:w="40" w:type="dxa"/>
              <w:right w:w="20" w:type="dxa"/>
            </w:tcMar>
            <w:vAlign w:val="bottom"/>
          </w:tcPr>
          <w:p w14:paraId="33DAE864" w14:textId="77777777" w:rsidR="004D6A64" w:rsidRDefault="004D6A64">
            <w:pPr>
              <w:jc w:val="right"/>
              <w:rPr>
                <w:rFonts w:ascii="宋体"/>
              </w:rPr>
            </w:pPr>
          </w:p>
        </w:tc>
        <w:tc>
          <w:tcPr>
            <w:tcW w:w="0" w:type="auto"/>
            <w:shd w:val="clear" w:color="auto" w:fill="auto"/>
          </w:tcPr>
          <w:p w14:paraId="33DAE865" w14:textId="77777777" w:rsidR="004D6A64" w:rsidRDefault="004D6A64">
            <w:pPr>
              <w:rPr>
                <w:rFonts w:ascii="宋体"/>
              </w:rPr>
            </w:pPr>
          </w:p>
        </w:tc>
        <w:tc>
          <w:tcPr>
            <w:tcW w:w="0" w:type="auto"/>
            <w:shd w:val="clear" w:color="auto" w:fill="auto"/>
          </w:tcPr>
          <w:p w14:paraId="33DAE866" w14:textId="77777777" w:rsidR="004D6A64" w:rsidRDefault="004D6A64">
            <w:pPr>
              <w:rPr>
                <w:rFonts w:ascii="宋体"/>
              </w:rPr>
            </w:pPr>
          </w:p>
        </w:tc>
        <w:tc>
          <w:tcPr>
            <w:tcW w:w="0" w:type="auto"/>
            <w:shd w:val="clear" w:color="auto" w:fill="auto"/>
          </w:tcPr>
          <w:p w14:paraId="33DAE867" w14:textId="77777777" w:rsidR="004D6A64" w:rsidRDefault="004D6A64">
            <w:pPr>
              <w:rPr>
                <w:rFonts w:ascii="宋体"/>
              </w:rPr>
            </w:pPr>
          </w:p>
        </w:tc>
        <w:tc>
          <w:tcPr>
            <w:tcW w:w="0" w:type="auto"/>
            <w:shd w:val="clear" w:color="auto" w:fill="auto"/>
          </w:tcPr>
          <w:p w14:paraId="33DAE868" w14:textId="77777777" w:rsidR="004D6A64" w:rsidRDefault="004D6A64">
            <w:pPr>
              <w:rPr>
                <w:rFonts w:ascii="宋体"/>
              </w:rPr>
            </w:pPr>
          </w:p>
        </w:tc>
        <w:tc>
          <w:tcPr>
            <w:tcW w:w="0" w:type="auto"/>
            <w:shd w:val="clear" w:color="auto" w:fill="auto"/>
          </w:tcPr>
          <w:p w14:paraId="33DAE869" w14:textId="77777777" w:rsidR="004D6A64" w:rsidRDefault="004D6A64">
            <w:pPr>
              <w:rPr>
                <w:rFonts w:ascii="宋体"/>
              </w:rPr>
            </w:pPr>
          </w:p>
        </w:tc>
        <w:tc>
          <w:tcPr>
            <w:tcW w:w="0" w:type="auto"/>
            <w:shd w:val="clear" w:color="auto" w:fill="auto"/>
          </w:tcPr>
          <w:p w14:paraId="33DAE86A" w14:textId="77777777" w:rsidR="004D6A64" w:rsidRDefault="004D6A64">
            <w:pPr>
              <w:rPr>
                <w:rFonts w:ascii="宋体"/>
              </w:rPr>
            </w:pPr>
          </w:p>
        </w:tc>
        <w:tc>
          <w:tcPr>
            <w:tcW w:w="0" w:type="auto"/>
            <w:shd w:val="clear" w:color="auto" w:fill="auto"/>
          </w:tcPr>
          <w:p w14:paraId="33DAE86B" w14:textId="77777777" w:rsidR="004D6A64" w:rsidRDefault="004D6A64">
            <w:pPr>
              <w:rPr>
                <w:rFonts w:ascii="宋体"/>
              </w:rPr>
            </w:pPr>
          </w:p>
        </w:tc>
        <w:tc>
          <w:tcPr>
            <w:tcW w:w="0" w:type="auto"/>
            <w:shd w:val="clear" w:color="auto" w:fill="auto"/>
          </w:tcPr>
          <w:p w14:paraId="33DAE86C" w14:textId="77777777" w:rsidR="004D6A64" w:rsidRDefault="004D6A64">
            <w:pPr>
              <w:rPr>
                <w:rFonts w:ascii="宋体"/>
              </w:rPr>
            </w:pPr>
          </w:p>
        </w:tc>
        <w:tc>
          <w:tcPr>
            <w:tcW w:w="0" w:type="auto"/>
            <w:shd w:val="clear" w:color="auto" w:fill="auto"/>
          </w:tcPr>
          <w:p w14:paraId="33DAE86D" w14:textId="77777777" w:rsidR="004D6A64" w:rsidRDefault="004D6A64">
            <w:pPr>
              <w:rPr>
                <w:rFonts w:ascii="宋体"/>
              </w:rPr>
            </w:pPr>
          </w:p>
        </w:tc>
        <w:tc>
          <w:tcPr>
            <w:tcW w:w="0" w:type="auto"/>
            <w:shd w:val="clear" w:color="auto" w:fill="auto"/>
          </w:tcPr>
          <w:p w14:paraId="33DAE86E" w14:textId="77777777" w:rsidR="004D6A64" w:rsidRDefault="004D6A64">
            <w:pPr>
              <w:rPr>
                <w:rFonts w:ascii="宋体"/>
              </w:rPr>
            </w:pPr>
          </w:p>
        </w:tc>
        <w:tc>
          <w:tcPr>
            <w:tcW w:w="0" w:type="auto"/>
            <w:shd w:val="clear" w:color="auto" w:fill="auto"/>
          </w:tcPr>
          <w:p w14:paraId="33DAE86F" w14:textId="77777777" w:rsidR="004D6A64" w:rsidRDefault="004D6A64">
            <w:pPr>
              <w:rPr>
                <w:rFonts w:ascii="宋体"/>
              </w:rPr>
            </w:pPr>
          </w:p>
        </w:tc>
        <w:tc>
          <w:tcPr>
            <w:tcW w:w="0" w:type="auto"/>
            <w:shd w:val="clear" w:color="auto" w:fill="auto"/>
          </w:tcPr>
          <w:p w14:paraId="33DAE870" w14:textId="77777777" w:rsidR="004D6A64" w:rsidRDefault="004D6A64">
            <w:pPr>
              <w:rPr>
                <w:rFonts w:ascii="宋体"/>
              </w:rPr>
            </w:pPr>
          </w:p>
        </w:tc>
        <w:tc>
          <w:tcPr>
            <w:tcW w:w="0" w:type="auto"/>
            <w:shd w:val="clear" w:color="auto" w:fill="auto"/>
          </w:tcPr>
          <w:p w14:paraId="33DAE871" w14:textId="77777777" w:rsidR="004D6A64" w:rsidRDefault="004D6A64">
            <w:pPr>
              <w:rPr>
                <w:rFonts w:ascii="宋体"/>
              </w:rPr>
            </w:pPr>
          </w:p>
        </w:tc>
        <w:tc>
          <w:tcPr>
            <w:tcW w:w="0" w:type="auto"/>
            <w:shd w:val="clear" w:color="auto" w:fill="auto"/>
          </w:tcPr>
          <w:p w14:paraId="33DAE872" w14:textId="77777777" w:rsidR="004D6A64" w:rsidRDefault="004D6A64">
            <w:pPr>
              <w:rPr>
                <w:rFonts w:ascii="宋体"/>
              </w:rPr>
            </w:pPr>
          </w:p>
        </w:tc>
        <w:tc>
          <w:tcPr>
            <w:tcW w:w="0" w:type="auto"/>
            <w:shd w:val="clear" w:color="auto" w:fill="auto"/>
          </w:tcPr>
          <w:p w14:paraId="33DAE873" w14:textId="77777777" w:rsidR="004D6A64" w:rsidRDefault="004D6A64">
            <w:pPr>
              <w:rPr>
                <w:rFonts w:ascii="宋体"/>
              </w:rPr>
            </w:pPr>
          </w:p>
        </w:tc>
        <w:tc>
          <w:tcPr>
            <w:tcW w:w="0" w:type="auto"/>
            <w:shd w:val="clear" w:color="auto" w:fill="auto"/>
          </w:tcPr>
          <w:p w14:paraId="33DAE874" w14:textId="77777777" w:rsidR="004D6A64" w:rsidRDefault="004D6A64">
            <w:pPr>
              <w:rPr>
                <w:rFonts w:ascii="宋体"/>
              </w:rPr>
            </w:pPr>
          </w:p>
        </w:tc>
        <w:tc>
          <w:tcPr>
            <w:tcW w:w="0" w:type="auto"/>
            <w:shd w:val="clear" w:color="auto" w:fill="auto"/>
          </w:tcPr>
          <w:p w14:paraId="33DAE875" w14:textId="77777777" w:rsidR="004D6A64" w:rsidRDefault="004D6A64">
            <w:pPr>
              <w:rPr>
                <w:rFonts w:ascii="宋体"/>
              </w:rPr>
            </w:pPr>
          </w:p>
        </w:tc>
        <w:tc>
          <w:tcPr>
            <w:tcW w:w="0" w:type="auto"/>
            <w:shd w:val="clear" w:color="auto" w:fill="auto"/>
          </w:tcPr>
          <w:p w14:paraId="33DAE876" w14:textId="77777777" w:rsidR="004D6A64" w:rsidRDefault="004D6A64">
            <w:pPr>
              <w:rPr>
                <w:rFonts w:ascii="宋体"/>
              </w:rPr>
            </w:pPr>
          </w:p>
        </w:tc>
        <w:tc>
          <w:tcPr>
            <w:tcW w:w="0" w:type="auto"/>
            <w:shd w:val="clear" w:color="auto" w:fill="auto"/>
          </w:tcPr>
          <w:p w14:paraId="33DAE877" w14:textId="77777777" w:rsidR="004D6A64" w:rsidRDefault="004D6A64">
            <w:pPr>
              <w:rPr>
                <w:rFonts w:ascii="宋体"/>
              </w:rPr>
            </w:pPr>
          </w:p>
        </w:tc>
        <w:tc>
          <w:tcPr>
            <w:tcW w:w="0" w:type="auto"/>
            <w:shd w:val="clear" w:color="auto" w:fill="auto"/>
          </w:tcPr>
          <w:p w14:paraId="33DAE878" w14:textId="77777777" w:rsidR="004D6A64" w:rsidRDefault="004D6A64">
            <w:pPr>
              <w:rPr>
                <w:rFonts w:ascii="宋体"/>
              </w:rPr>
            </w:pPr>
          </w:p>
        </w:tc>
        <w:tc>
          <w:tcPr>
            <w:tcW w:w="0" w:type="auto"/>
            <w:shd w:val="clear" w:color="auto" w:fill="auto"/>
          </w:tcPr>
          <w:p w14:paraId="33DAE879" w14:textId="77777777" w:rsidR="004D6A64" w:rsidRDefault="004D6A64">
            <w:pPr>
              <w:rPr>
                <w:rFonts w:ascii="宋体"/>
              </w:rPr>
            </w:pPr>
          </w:p>
        </w:tc>
        <w:tc>
          <w:tcPr>
            <w:tcW w:w="0" w:type="auto"/>
            <w:shd w:val="clear" w:color="auto" w:fill="auto"/>
          </w:tcPr>
          <w:p w14:paraId="33DAE87A" w14:textId="77777777" w:rsidR="004D6A64" w:rsidRDefault="004D6A64">
            <w:pPr>
              <w:rPr>
                <w:rFonts w:ascii="宋体"/>
              </w:rPr>
            </w:pPr>
          </w:p>
        </w:tc>
        <w:tc>
          <w:tcPr>
            <w:tcW w:w="0" w:type="auto"/>
            <w:shd w:val="clear" w:color="auto" w:fill="auto"/>
          </w:tcPr>
          <w:p w14:paraId="33DAE87B" w14:textId="77777777" w:rsidR="004D6A64" w:rsidRDefault="004D6A64">
            <w:pPr>
              <w:rPr>
                <w:rFonts w:ascii="宋体"/>
              </w:rPr>
            </w:pPr>
          </w:p>
        </w:tc>
        <w:tc>
          <w:tcPr>
            <w:tcW w:w="0" w:type="auto"/>
            <w:shd w:val="clear" w:color="auto" w:fill="auto"/>
          </w:tcPr>
          <w:p w14:paraId="33DAE87C" w14:textId="77777777" w:rsidR="004D6A64" w:rsidRDefault="004D6A64">
            <w:pPr>
              <w:rPr>
                <w:rFonts w:ascii="宋体"/>
              </w:rPr>
            </w:pPr>
          </w:p>
        </w:tc>
        <w:tc>
          <w:tcPr>
            <w:tcW w:w="0" w:type="auto"/>
            <w:shd w:val="clear" w:color="auto" w:fill="auto"/>
          </w:tcPr>
          <w:p w14:paraId="33DAE87D" w14:textId="77777777" w:rsidR="004D6A64" w:rsidRDefault="004D6A64">
            <w:pPr>
              <w:rPr>
                <w:rFonts w:ascii="宋体"/>
              </w:rPr>
            </w:pPr>
          </w:p>
        </w:tc>
        <w:tc>
          <w:tcPr>
            <w:tcW w:w="0" w:type="auto"/>
            <w:shd w:val="clear" w:color="auto" w:fill="auto"/>
          </w:tcPr>
          <w:p w14:paraId="33DAE87E" w14:textId="77777777" w:rsidR="004D6A64" w:rsidRDefault="004D6A64">
            <w:pPr>
              <w:rPr>
                <w:rFonts w:ascii="宋体"/>
              </w:rPr>
            </w:pPr>
          </w:p>
        </w:tc>
        <w:tc>
          <w:tcPr>
            <w:tcW w:w="0" w:type="auto"/>
            <w:shd w:val="clear" w:color="auto" w:fill="auto"/>
          </w:tcPr>
          <w:p w14:paraId="33DAE87F" w14:textId="77777777" w:rsidR="004D6A64" w:rsidRDefault="004D6A64">
            <w:pPr>
              <w:rPr>
                <w:rFonts w:ascii="宋体"/>
              </w:rPr>
            </w:pPr>
          </w:p>
        </w:tc>
      </w:tr>
      <w:tr w:rsidR="004D6A64" w14:paraId="33DAE8AC" w14:textId="77777777">
        <w:trPr>
          <w:jc w:val="center"/>
        </w:trPr>
        <w:tc>
          <w:tcPr>
            <w:tcW w:w="0" w:type="auto"/>
            <w:gridSpan w:val="3"/>
            <w:shd w:val="clear" w:color="auto" w:fill="CCEEFF"/>
            <w:tcMar>
              <w:top w:w="40" w:type="dxa"/>
              <w:left w:w="225" w:type="dxa"/>
              <w:bottom w:w="40" w:type="dxa"/>
              <w:right w:w="20" w:type="dxa"/>
            </w:tcMar>
            <w:vAlign w:val="bottom"/>
          </w:tcPr>
          <w:p w14:paraId="33DAE881" w14:textId="77777777" w:rsidR="004D6A64" w:rsidRDefault="00506CD6">
            <w:pPr>
              <w:textAlignment w:val="bottom"/>
            </w:pPr>
            <w:r>
              <w:rPr>
                <w:rFonts w:ascii="Times New Roman" w:eastAsia="宋体" w:hAnsi="Times New Roman"/>
                <w:color w:val="000000"/>
                <w:sz w:val="20"/>
                <w:szCs w:val="20"/>
              </w:rPr>
              <w:t>Depreciation and amortization</w:t>
            </w:r>
          </w:p>
        </w:tc>
        <w:tc>
          <w:tcPr>
            <w:tcW w:w="0" w:type="auto"/>
            <w:gridSpan w:val="2"/>
            <w:shd w:val="clear" w:color="auto" w:fill="CCEEFF"/>
            <w:tcMar>
              <w:top w:w="40" w:type="dxa"/>
              <w:left w:w="20" w:type="dxa"/>
              <w:bottom w:w="40" w:type="dxa"/>
              <w:right w:w="0" w:type="dxa"/>
            </w:tcMar>
            <w:vAlign w:val="bottom"/>
          </w:tcPr>
          <w:p w14:paraId="33DAE882" w14:textId="77777777" w:rsidR="004D6A64" w:rsidRDefault="00506CD6">
            <w:pPr>
              <w:jc w:val="right"/>
              <w:textAlignment w:val="bottom"/>
            </w:pPr>
            <w:r>
              <w:rPr>
                <w:rFonts w:ascii="Times New Roman" w:eastAsia="宋体" w:hAnsi="Times New Roman"/>
                <w:color w:val="000000"/>
                <w:sz w:val="20"/>
                <w:szCs w:val="20"/>
              </w:rPr>
              <w:t>1,340 </w:t>
            </w:r>
          </w:p>
        </w:tc>
        <w:tc>
          <w:tcPr>
            <w:tcW w:w="0" w:type="auto"/>
            <w:shd w:val="clear" w:color="auto" w:fill="CCEEFF"/>
            <w:tcMar>
              <w:top w:w="40" w:type="dxa"/>
              <w:bottom w:w="40" w:type="dxa"/>
              <w:right w:w="20" w:type="dxa"/>
            </w:tcMar>
            <w:vAlign w:val="bottom"/>
          </w:tcPr>
          <w:p w14:paraId="33DAE88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884"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88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88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887" w14:textId="77777777" w:rsidR="004D6A64" w:rsidRDefault="00506CD6">
            <w:pPr>
              <w:jc w:val="right"/>
              <w:textAlignment w:val="bottom"/>
            </w:pPr>
            <w:r>
              <w:rPr>
                <w:rFonts w:ascii="Times New Roman" w:eastAsia="宋体" w:hAnsi="Times New Roman"/>
                <w:color w:val="000000"/>
                <w:sz w:val="20"/>
                <w:szCs w:val="20"/>
              </w:rPr>
              <w:t>1,498 </w:t>
            </w:r>
          </w:p>
        </w:tc>
        <w:tc>
          <w:tcPr>
            <w:tcW w:w="0" w:type="auto"/>
            <w:shd w:val="clear" w:color="auto" w:fill="CCEEFF"/>
            <w:tcMar>
              <w:top w:w="40" w:type="dxa"/>
              <w:bottom w:w="40" w:type="dxa"/>
              <w:right w:w="20" w:type="dxa"/>
            </w:tcMar>
            <w:vAlign w:val="bottom"/>
          </w:tcPr>
          <w:p w14:paraId="33DAE88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88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88A" w14:textId="77777777" w:rsidR="004D6A64" w:rsidRDefault="00506CD6">
            <w:pPr>
              <w:jc w:val="right"/>
              <w:textAlignment w:val="bottom"/>
            </w:pPr>
            <w:r>
              <w:rPr>
                <w:rFonts w:ascii="Times New Roman" w:eastAsia="宋体" w:hAnsi="Times New Roman"/>
                <w:color w:val="000000"/>
                <w:sz w:val="20"/>
                <w:szCs w:val="20"/>
              </w:rPr>
              <w:t>2,656 </w:t>
            </w:r>
          </w:p>
        </w:tc>
        <w:tc>
          <w:tcPr>
            <w:tcW w:w="0" w:type="auto"/>
            <w:shd w:val="clear" w:color="auto" w:fill="CCEEFF"/>
            <w:tcMar>
              <w:top w:w="40" w:type="dxa"/>
              <w:bottom w:w="40" w:type="dxa"/>
              <w:right w:w="20" w:type="dxa"/>
            </w:tcMar>
            <w:vAlign w:val="bottom"/>
          </w:tcPr>
          <w:p w14:paraId="33DAE88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88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88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88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88F" w14:textId="77777777" w:rsidR="004D6A64" w:rsidRDefault="00506CD6">
            <w:pPr>
              <w:jc w:val="right"/>
              <w:textAlignment w:val="bottom"/>
            </w:pPr>
            <w:r>
              <w:rPr>
                <w:rFonts w:ascii="Times New Roman" w:eastAsia="宋体" w:hAnsi="Times New Roman"/>
                <w:color w:val="000000"/>
                <w:sz w:val="20"/>
                <w:szCs w:val="20"/>
              </w:rPr>
              <w:t>3,114 </w:t>
            </w:r>
          </w:p>
        </w:tc>
        <w:tc>
          <w:tcPr>
            <w:tcW w:w="0" w:type="auto"/>
            <w:shd w:val="clear" w:color="auto" w:fill="CCEEFF"/>
            <w:tcMar>
              <w:top w:w="40" w:type="dxa"/>
              <w:bottom w:w="40" w:type="dxa"/>
              <w:right w:w="20" w:type="dxa"/>
            </w:tcMar>
            <w:vAlign w:val="bottom"/>
          </w:tcPr>
          <w:p w14:paraId="33DAE890" w14:textId="77777777" w:rsidR="004D6A64" w:rsidRDefault="004D6A64">
            <w:pPr>
              <w:jc w:val="right"/>
              <w:rPr>
                <w:rFonts w:ascii="宋体"/>
              </w:rPr>
            </w:pPr>
          </w:p>
        </w:tc>
        <w:tc>
          <w:tcPr>
            <w:tcW w:w="0" w:type="auto"/>
            <w:shd w:val="clear" w:color="auto" w:fill="auto"/>
          </w:tcPr>
          <w:p w14:paraId="33DAE891" w14:textId="77777777" w:rsidR="004D6A64" w:rsidRDefault="004D6A64">
            <w:pPr>
              <w:rPr>
                <w:rFonts w:ascii="宋体"/>
              </w:rPr>
            </w:pPr>
          </w:p>
        </w:tc>
        <w:tc>
          <w:tcPr>
            <w:tcW w:w="0" w:type="auto"/>
            <w:shd w:val="clear" w:color="auto" w:fill="auto"/>
          </w:tcPr>
          <w:p w14:paraId="33DAE892" w14:textId="77777777" w:rsidR="004D6A64" w:rsidRDefault="004D6A64">
            <w:pPr>
              <w:rPr>
                <w:rFonts w:ascii="宋体"/>
              </w:rPr>
            </w:pPr>
          </w:p>
        </w:tc>
        <w:tc>
          <w:tcPr>
            <w:tcW w:w="0" w:type="auto"/>
            <w:shd w:val="clear" w:color="auto" w:fill="auto"/>
          </w:tcPr>
          <w:p w14:paraId="33DAE893" w14:textId="77777777" w:rsidR="004D6A64" w:rsidRDefault="004D6A64">
            <w:pPr>
              <w:rPr>
                <w:rFonts w:ascii="宋体"/>
              </w:rPr>
            </w:pPr>
          </w:p>
        </w:tc>
        <w:tc>
          <w:tcPr>
            <w:tcW w:w="0" w:type="auto"/>
            <w:shd w:val="clear" w:color="auto" w:fill="auto"/>
          </w:tcPr>
          <w:p w14:paraId="33DAE894" w14:textId="77777777" w:rsidR="004D6A64" w:rsidRDefault="004D6A64">
            <w:pPr>
              <w:rPr>
                <w:rFonts w:ascii="宋体"/>
              </w:rPr>
            </w:pPr>
          </w:p>
        </w:tc>
        <w:tc>
          <w:tcPr>
            <w:tcW w:w="0" w:type="auto"/>
            <w:shd w:val="clear" w:color="auto" w:fill="auto"/>
          </w:tcPr>
          <w:p w14:paraId="33DAE895" w14:textId="77777777" w:rsidR="004D6A64" w:rsidRDefault="004D6A64">
            <w:pPr>
              <w:rPr>
                <w:rFonts w:ascii="宋体"/>
              </w:rPr>
            </w:pPr>
          </w:p>
        </w:tc>
        <w:tc>
          <w:tcPr>
            <w:tcW w:w="0" w:type="auto"/>
            <w:shd w:val="clear" w:color="auto" w:fill="auto"/>
          </w:tcPr>
          <w:p w14:paraId="33DAE896" w14:textId="77777777" w:rsidR="004D6A64" w:rsidRDefault="004D6A64">
            <w:pPr>
              <w:rPr>
                <w:rFonts w:ascii="宋体"/>
              </w:rPr>
            </w:pPr>
          </w:p>
        </w:tc>
        <w:tc>
          <w:tcPr>
            <w:tcW w:w="0" w:type="auto"/>
            <w:shd w:val="clear" w:color="auto" w:fill="auto"/>
          </w:tcPr>
          <w:p w14:paraId="33DAE897" w14:textId="77777777" w:rsidR="004D6A64" w:rsidRDefault="004D6A64">
            <w:pPr>
              <w:rPr>
                <w:rFonts w:ascii="宋体"/>
              </w:rPr>
            </w:pPr>
          </w:p>
        </w:tc>
        <w:tc>
          <w:tcPr>
            <w:tcW w:w="0" w:type="auto"/>
            <w:shd w:val="clear" w:color="auto" w:fill="auto"/>
          </w:tcPr>
          <w:p w14:paraId="33DAE898" w14:textId="77777777" w:rsidR="004D6A64" w:rsidRDefault="004D6A64">
            <w:pPr>
              <w:rPr>
                <w:rFonts w:ascii="宋体"/>
              </w:rPr>
            </w:pPr>
          </w:p>
        </w:tc>
        <w:tc>
          <w:tcPr>
            <w:tcW w:w="0" w:type="auto"/>
            <w:shd w:val="clear" w:color="auto" w:fill="auto"/>
          </w:tcPr>
          <w:p w14:paraId="33DAE899" w14:textId="77777777" w:rsidR="004D6A64" w:rsidRDefault="004D6A64">
            <w:pPr>
              <w:rPr>
                <w:rFonts w:ascii="宋体"/>
              </w:rPr>
            </w:pPr>
          </w:p>
        </w:tc>
        <w:tc>
          <w:tcPr>
            <w:tcW w:w="0" w:type="auto"/>
            <w:shd w:val="clear" w:color="auto" w:fill="auto"/>
          </w:tcPr>
          <w:p w14:paraId="33DAE89A" w14:textId="77777777" w:rsidR="004D6A64" w:rsidRDefault="004D6A64">
            <w:pPr>
              <w:rPr>
                <w:rFonts w:ascii="宋体"/>
              </w:rPr>
            </w:pPr>
          </w:p>
        </w:tc>
        <w:tc>
          <w:tcPr>
            <w:tcW w:w="0" w:type="auto"/>
            <w:shd w:val="clear" w:color="auto" w:fill="auto"/>
          </w:tcPr>
          <w:p w14:paraId="33DAE89B" w14:textId="77777777" w:rsidR="004D6A64" w:rsidRDefault="004D6A64">
            <w:pPr>
              <w:rPr>
                <w:rFonts w:ascii="宋体"/>
              </w:rPr>
            </w:pPr>
          </w:p>
        </w:tc>
        <w:tc>
          <w:tcPr>
            <w:tcW w:w="0" w:type="auto"/>
            <w:shd w:val="clear" w:color="auto" w:fill="auto"/>
          </w:tcPr>
          <w:p w14:paraId="33DAE89C" w14:textId="77777777" w:rsidR="004D6A64" w:rsidRDefault="004D6A64">
            <w:pPr>
              <w:rPr>
                <w:rFonts w:ascii="宋体"/>
              </w:rPr>
            </w:pPr>
          </w:p>
        </w:tc>
        <w:tc>
          <w:tcPr>
            <w:tcW w:w="0" w:type="auto"/>
            <w:shd w:val="clear" w:color="auto" w:fill="auto"/>
          </w:tcPr>
          <w:p w14:paraId="33DAE89D" w14:textId="77777777" w:rsidR="004D6A64" w:rsidRDefault="004D6A64">
            <w:pPr>
              <w:rPr>
                <w:rFonts w:ascii="宋体"/>
              </w:rPr>
            </w:pPr>
          </w:p>
        </w:tc>
        <w:tc>
          <w:tcPr>
            <w:tcW w:w="0" w:type="auto"/>
            <w:shd w:val="clear" w:color="auto" w:fill="auto"/>
          </w:tcPr>
          <w:p w14:paraId="33DAE89E" w14:textId="77777777" w:rsidR="004D6A64" w:rsidRDefault="004D6A64">
            <w:pPr>
              <w:rPr>
                <w:rFonts w:ascii="宋体"/>
              </w:rPr>
            </w:pPr>
          </w:p>
        </w:tc>
        <w:tc>
          <w:tcPr>
            <w:tcW w:w="0" w:type="auto"/>
            <w:shd w:val="clear" w:color="auto" w:fill="auto"/>
          </w:tcPr>
          <w:p w14:paraId="33DAE89F" w14:textId="77777777" w:rsidR="004D6A64" w:rsidRDefault="004D6A64">
            <w:pPr>
              <w:rPr>
                <w:rFonts w:ascii="宋体"/>
              </w:rPr>
            </w:pPr>
          </w:p>
        </w:tc>
        <w:tc>
          <w:tcPr>
            <w:tcW w:w="0" w:type="auto"/>
            <w:shd w:val="clear" w:color="auto" w:fill="auto"/>
          </w:tcPr>
          <w:p w14:paraId="33DAE8A0" w14:textId="77777777" w:rsidR="004D6A64" w:rsidRDefault="004D6A64">
            <w:pPr>
              <w:rPr>
                <w:rFonts w:ascii="宋体"/>
              </w:rPr>
            </w:pPr>
          </w:p>
        </w:tc>
        <w:tc>
          <w:tcPr>
            <w:tcW w:w="0" w:type="auto"/>
            <w:shd w:val="clear" w:color="auto" w:fill="auto"/>
          </w:tcPr>
          <w:p w14:paraId="33DAE8A1" w14:textId="77777777" w:rsidR="004D6A64" w:rsidRDefault="004D6A64">
            <w:pPr>
              <w:rPr>
                <w:rFonts w:ascii="宋体"/>
              </w:rPr>
            </w:pPr>
          </w:p>
        </w:tc>
        <w:tc>
          <w:tcPr>
            <w:tcW w:w="0" w:type="auto"/>
            <w:shd w:val="clear" w:color="auto" w:fill="auto"/>
          </w:tcPr>
          <w:p w14:paraId="33DAE8A2" w14:textId="77777777" w:rsidR="004D6A64" w:rsidRDefault="004D6A64">
            <w:pPr>
              <w:rPr>
                <w:rFonts w:ascii="宋体"/>
              </w:rPr>
            </w:pPr>
          </w:p>
        </w:tc>
        <w:tc>
          <w:tcPr>
            <w:tcW w:w="0" w:type="auto"/>
            <w:shd w:val="clear" w:color="auto" w:fill="auto"/>
          </w:tcPr>
          <w:p w14:paraId="33DAE8A3" w14:textId="77777777" w:rsidR="004D6A64" w:rsidRDefault="004D6A64">
            <w:pPr>
              <w:rPr>
                <w:rFonts w:ascii="宋体"/>
              </w:rPr>
            </w:pPr>
          </w:p>
        </w:tc>
        <w:tc>
          <w:tcPr>
            <w:tcW w:w="0" w:type="auto"/>
            <w:shd w:val="clear" w:color="auto" w:fill="auto"/>
          </w:tcPr>
          <w:p w14:paraId="33DAE8A4" w14:textId="77777777" w:rsidR="004D6A64" w:rsidRDefault="004D6A64">
            <w:pPr>
              <w:rPr>
                <w:rFonts w:ascii="宋体"/>
              </w:rPr>
            </w:pPr>
          </w:p>
        </w:tc>
        <w:tc>
          <w:tcPr>
            <w:tcW w:w="0" w:type="auto"/>
            <w:shd w:val="clear" w:color="auto" w:fill="auto"/>
          </w:tcPr>
          <w:p w14:paraId="33DAE8A5" w14:textId="77777777" w:rsidR="004D6A64" w:rsidRDefault="004D6A64">
            <w:pPr>
              <w:rPr>
                <w:rFonts w:ascii="宋体"/>
              </w:rPr>
            </w:pPr>
          </w:p>
        </w:tc>
        <w:tc>
          <w:tcPr>
            <w:tcW w:w="0" w:type="auto"/>
            <w:shd w:val="clear" w:color="auto" w:fill="auto"/>
          </w:tcPr>
          <w:p w14:paraId="33DAE8A6" w14:textId="77777777" w:rsidR="004D6A64" w:rsidRDefault="004D6A64">
            <w:pPr>
              <w:rPr>
                <w:rFonts w:ascii="宋体"/>
              </w:rPr>
            </w:pPr>
          </w:p>
        </w:tc>
        <w:tc>
          <w:tcPr>
            <w:tcW w:w="0" w:type="auto"/>
            <w:shd w:val="clear" w:color="auto" w:fill="auto"/>
          </w:tcPr>
          <w:p w14:paraId="33DAE8A7" w14:textId="77777777" w:rsidR="004D6A64" w:rsidRDefault="004D6A64">
            <w:pPr>
              <w:rPr>
                <w:rFonts w:ascii="宋体"/>
              </w:rPr>
            </w:pPr>
          </w:p>
        </w:tc>
        <w:tc>
          <w:tcPr>
            <w:tcW w:w="0" w:type="auto"/>
            <w:shd w:val="clear" w:color="auto" w:fill="auto"/>
          </w:tcPr>
          <w:p w14:paraId="33DAE8A8" w14:textId="77777777" w:rsidR="004D6A64" w:rsidRDefault="004D6A64">
            <w:pPr>
              <w:rPr>
                <w:rFonts w:ascii="宋体"/>
              </w:rPr>
            </w:pPr>
          </w:p>
        </w:tc>
        <w:tc>
          <w:tcPr>
            <w:tcW w:w="0" w:type="auto"/>
            <w:shd w:val="clear" w:color="auto" w:fill="auto"/>
          </w:tcPr>
          <w:p w14:paraId="33DAE8A9" w14:textId="77777777" w:rsidR="004D6A64" w:rsidRDefault="004D6A64">
            <w:pPr>
              <w:rPr>
                <w:rFonts w:ascii="宋体"/>
              </w:rPr>
            </w:pPr>
          </w:p>
        </w:tc>
        <w:tc>
          <w:tcPr>
            <w:tcW w:w="0" w:type="auto"/>
            <w:shd w:val="clear" w:color="auto" w:fill="auto"/>
          </w:tcPr>
          <w:p w14:paraId="33DAE8AA" w14:textId="77777777" w:rsidR="004D6A64" w:rsidRDefault="004D6A64">
            <w:pPr>
              <w:rPr>
                <w:rFonts w:ascii="宋体"/>
              </w:rPr>
            </w:pPr>
          </w:p>
        </w:tc>
        <w:tc>
          <w:tcPr>
            <w:tcW w:w="0" w:type="auto"/>
            <w:shd w:val="clear" w:color="auto" w:fill="auto"/>
          </w:tcPr>
          <w:p w14:paraId="33DAE8AB" w14:textId="77777777" w:rsidR="004D6A64" w:rsidRDefault="004D6A64">
            <w:pPr>
              <w:rPr>
                <w:rFonts w:ascii="宋体"/>
              </w:rPr>
            </w:pPr>
          </w:p>
        </w:tc>
      </w:tr>
      <w:tr w:rsidR="004D6A64" w14:paraId="33DAE8DE" w14:textId="77777777">
        <w:trPr>
          <w:jc w:val="center"/>
        </w:trPr>
        <w:tc>
          <w:tcPr>
            <w:tcW w:w="0" w:type="auto"/>
            <w:gridSpan w:val="3"/>
            <w:shd w:val="clear" w:color="auto" w:fill="FFFFFF"/>
            <w:tcMar>
              <w:top w:w="40" w:type="dxa"/>
              <w:left w:w="360" w:type="dxa"/>
              <w:bottom w:w="40" w:type="dxa"/>
              <w:right w:w="20" w:type="dxa"/>
            </w:tcMar>
            <w:vAlign w:val="bottom"/>
          </w:tcPr>
          <w:p w14:paraId="33DAE8AD" w14:textId="77777777" w:rsidR="004D6A64" w:rsidRDefault="00506CD6">
            <w:pPr>
              <w:textAlignment w:val="bottom"/>
            </w:pPr>
            <w:r>
              <w:rPr>
                <w:rFonts w:ascii="Times New Roman" w:eastAsia="宋体" w:hAnsi="Times New Roman"/>
                <w:color w:val="000000"/>
                <w:sz w:val="20"/>
                <w:szCs w:val="20"/>
              </w:rPr>
              <w:t>EBITDA</w:t>
            </w:r>
          </w:p>
        </w:tc>
        <w:tc>
          <w:tcPr>
            <w:tcW w:w="0" w:type="auto"/>
            <w:tcBorders>
              <w:top w:val="single" w:sz="8" w:space="0" w:color="000000"/>
            </w:tcBorders>
            <w:shd w:val="clear" w:color="auto" w:fill="FFFFFF"/>
            <w:tcMar>
              <w:top w:w="40" w:type="dxa"/>
              <w:left w:w="20" w:type="dxa"/>
              <w:bottom w:w="40" w:type="dxa"/>
            </w:tcMar>
            <w:vAlign w:val="bottom"/>
          </w:tcPr>
          <w:p w14:paraId="33DAE8AE"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E8AF" w14:textId="77777777" w:rsidR="004D6A64" w:rsidRDefault="00506CD6">
            <w:pPr>
              <w:jc w:val="right"/>
              <w:textAlignment w:val="bottom"/>
            </w:pPr>
            <w:r>
              <w:rPr>
                <w:rFonts w:ascii="Times New Roman" w:eastAsia="宋体" w:hAnsi="Times New Roman"/>
                <w:color w:val="000000"/>
                <w:sz w:val="20"/>
                <w:szCs w:val="20"/>
              </w:rPr>
              <w:t>2,476 </w:t>
            </w:r>
          </w:p>
        </w:tc>
        <w:tc>
          <w:tcPr>
            <w:tcW w:w="0" w:type="auto"/>
            <w:tcBorders>
              <w:top w:val="single" w:sz="8" w:space="0" w:color="000000"/>
            </w:tcBorders>
            <w:shd w:val="clear" w:color="auto" w:fill="FFFFFF"/>
            <w:tcMar>
              <w:top w:w="40" w:type="dxa"/>
              <w:bottom w:w="40" w:type="dxa"/>
              <w:right w:w="20" w:type="dxa"/>
            </w:tcMar>
            <w:vAlign w:val="bottom"/>
          </w:tcPr>
          <w:p w14:paraId="33DAE8B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8B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8B2" w14:textId="77777777" w:rsidR="004D6A64" w:rsidRDefault="00506CD6">
            <w:pPr>
              <w:jc w:val="right"/>
              <w:textAlignment w:val="bottom"/>
            </w:pPr>
            <w:r>
              <w:rPr>
                <w:rFonts w:ascii="Times New Roman" w:eastAsia="宋体" w:hAnsi="Times New Roman"/>
                <w:color w:val="000000"/>
                <w:sz w:val="20"/>
                <w:szCs w:val="20"/>
              </w:rPr>
              <w:t>23 </w:t>
            </w:r>
          </w:p>
        </w:tc>
        <w:tc>
          <w:tcPr>
            <w:tcW w:w="0" w:type="auto"/>
            <w:shd w:val="clear" w:color="auto" w:fill="FFFFFF"/>
            <w:tcMar>
              <w:top w:w="40" w:type="dxa"/>
              <w:bottom w:w="40" w:type="dxa"/>
              <w:right w:w="20" w:type="dxa"/>
            </w:tcMar>
            <w:vAlign w:val="bottom"/>
          </w:tcPr>
          <w:p w14:paraId="33DAE8B3"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8B4"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3DAE8B5"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E8B6" w14:textId="77777777" w:rsidR="004D6A64" w:rsidRDefault="00506CD6">
            <w:pPr>
              <w:jc w:val="right"/>
              <w:textAlignment w:val="bottom"/>
            </w:pPr>
            <w:r>
              <w:rPr>
                <w:rFonts w:ascii="Times New Roman" w:eastAsia="宋体" w:hAnsi="Times New Roman"/>
                <w:color w:val="000000"/>
                <w:sz w:val="20"/>
                <w:szCs w:val="20"/>
              </w:rPr>
              <w:t>2,017 </w:t>
            </w:r>
          </w:p>
        </w:tc>
        <w:tc>
          <w:tcPr>
            <w:tcW w:w="0" w:type="auto"/>
            <w:tcBorders>
              <w:top w:val="single" w:sz="8" w:space="0" w:color="000000"/>
            </w:tcBorders>
            <w:shd w:val="clear" w:color="auto" w:fill="FFFFFF"/>
            <w:tcMar>
              <w:top w:w="40" w:type="dxa"/>
              <w:bottom w:w="40" w:type="dxa"/>
              <w:right w:w="20" w:type="dxa"/>
            </w:tcMar>
            <w:vAlign w:val="bottom"/>
          </w:tcPr>
          <w:p w14:paraId="33DAE8B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8B8"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3DAE8B9"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E8BA" w14:textId="77777777" w:rsidR="004D6A64" w:rsidRDefault="00506CD6">
            <w:pPr>
              <w:jc w:val="right"/>
              <w:textAlignment w:val="bottom"/>
            </w:pPr>
            <w:r>
              <w:rPr>
                <w:rFonts w:ascii="Times New Roman" w:eastAsia="宋体" w:hAnsi="Times New Roman"/>
                <w:color w:val="000000"/>
                <w:sz w:val="20"/>
                <w:szCs w:val="20"/>
              </w:rPr>
              <w:t>4,494 </w:t>
            </w:r>
          </w:p>
        </w:tc>
        <w:tc>
          <w:tcPr>
            <w:tcW w:w="0" w:type="auto"/>
            <w:tcBorders>
              <w:top w:val="single" w:sz="8" w:space="0" w:color="000000"/>
            </w:tcBorders>
            <w:shd w:val="clear" w:color="auto" w:fill="FFFFFF"/>
            <w:tcMar>
              <w:top w:w="40" w:type="dxa"/>
              <w:bottom w:w="40" w:type="dxa"/>
              <w:right w:w="20" w:type="dxa"/>
            </w:tcMar>
            <w:vAlign w:val="bottom"/>
          </w:tcPr>
          <w:p w14:paraId="33DAE8B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8BC"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8BD" w14:textId="77777777" w:rsidR="004D6A64" w:rsidRDefault="00506CD6">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bottom w:w="40" w:type="dxa"/>
              <w:right w:w="20" w:type="dxa"/>
            </w:tcMar>
            <w:vAlign w:val="bottom"/>
          </w:tcPr>
          <w:p w14:paraId="33DAE8BE"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8BF"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3DAE8C0"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E8C1" w14:textId="77777777" w:rsidR="004D6A64" w:rsidRDefault="00506CD6">
            <w:pPr>
              <w:jc w:val="right"/>
              <w:textAlignment w:val="bottom"/>
            </w:pPr>
            <w:r>
              <w:rPr>
                <w:rFonts w:ascii="Times New Roman" w:eastAsia="宋体" w:hAnsi="Times New Roman"/>
                <w:color w:val="000000"/>
                <w:sz w:val="20"/>
                <w:szCs w:val="20"/>
              </w:rPr>
              <w:t>4,183 </w:t>
            </w:r>
          </w:p>
        </w:tc>
        <w:tc>
          <w:tcPr>
            <w:tcW w:w="0" w:type="auto"/>
            <w:tcBorders>
              <w:top w:val="single" w:sz="8" w:space="0" w:color="000000"/>
            </w:tcBorders>
            <w:shd w:val="clear" w:color="auto" w:fill="FFFFFF"/>
            <w:tcMar>
              <w:top w:w="40" w:type="dxa"/>
              <w:bottom w:w="40" w:type="dxa"/>
              <w:right w:w="20" w:type="dxa"/>
            </w:tcMar>
            <w:vAlign w:val="bottom"/>
          </w:tcPr>
          <w:p w14:paraId="33DAE8C2" w14:textId="77777777" w:rsidR="004D6A64" w:rsidRDefault="004D6A64">
            <w:pPr>
              <w:jc w:val="right"/>
              <w:rPr>
                <w:rFonts w:ascii="宋体"/>
              </w:rPr>
            </w:pPr>
          </w:p>
        </w:tc>
        <w:tc>
          <w:tcPr>
            <w:tcW w:w="0" w:type="auto"/>
            <w:shd w:val="clear" w:color="auto" w:fill="auto"/>
          </w:tcPr>
          <w:p w14:paraId="33DAE8C3" w14:textId="77777777" w:rsidR="004D6A64" w:rsidRDefault="004D6A64">
            <w:pPr>
              <w:rPr>
                <w:rFonts w:ascii="宋体"/>
              </w:rPr>
            </w:pPr>
          </w:p>
        </w:tc>
        <w:tc>
          <w:tcPr>
            <w:tcW w:w="0" w:type="auto"/>
            <w:shd w:val="clear" w:color="auto" w:fill="auto"/>
          </w:tcPr>
          <w:p w14:paraId="33DAE8C4" w14:textId="77777777" w:rsidR="004D6A64" w:rsidRDefault="004D6A64">
            <w:pPr>
              <w:rPr>
                <w:rFonts w:ascii="宋体"/>
              </w:rPr>
            </w:pPr>
          </w:p>
        </w:tc>
        <w:tc>
          <w:tcPr>
            <w:tcW w:w="0" w:type="auto"/>
            <w:shd w:val="clear" w:color="auto" w:fill="auto"/>
          </w:tcPr>
          <w:p w14:paraId="33DAE8C5" w14:textId="77777777" w:rsidR="004D6A64" w:rsidRDefault="004D6A64">
            <w:pPr>
              <w:rPr>
                <w:rFonts w:ascii="宋体"/>
              </w:rPr>
            </w:pPr>
          </w:p>
        </w:tc>
        <w:tc>
          <w:tcPr>
            <w:tcW w:w="0" w:type="auto"/>
            <w:shd w:val="clear" w:color="auto" w:fill="auto"/>
          </w:tcPr>
          <w:p w14:paraId="33DAE8C6" w14:textId="77777777" w:rsidR="004D6A64" w:rsidRDefault="004D6A64">
            <w:pPr>
              <w:rPr>
                <w:rFonts w:ascii="宋体"/>
              </w:rPr>
            </w:pPr>
          </w:p>
        </w:tc>
        <w:tc>
          <w:tcPr>
            <w:tcW w:w="0" w:type="auto"/>
            <w:shd w:val="clear" w:color="auto" w:fill="auto"/>
          </w:tcPr>
          <w:p w14:paraId="33DAE8C7" w14:textId="77777777" w:rsidR="004D6A64" w:rsidRDefault="004D6A64">
            <w:pPr>
              <w:rPr>
                <w:rFonts w:ascii="宋体"/>
              </w:rPr>
            </w:pPr>
          </w:p>
        </w:tc>
        <w:tc>
          <w:tcPr>
            <w:tcW w:w="0" w:type="auto"/>
            <w:shd w:val="clear" w:color="auto" w:fill="auto"/>
          </w:tcPr>
          <w:p w14:paraId="33DAE8C8" w14:textId="77777777" w:rsidR="004D6A64" w:rsidRDefault="004D6A64">
            <w:pPr>
              <w:rPr>
                <w:rFonts w:ascii="宋体"/>
              </w:rPr>
            </w:pPr>
          </w:p>
        </w:tc>
        <w:tc>
          <w:tcPr>
            <w:tcW w:w="0" w:type="auto"/>
            <w:shd w:val="clear" w:color="auto" w:fill="auto"/>
          </w:tcPr>
          <w:p w14:paraId="33DAE8C9" w14:textId="77777777" w:rsidR="004D6A64" w:rsidRDefault="004D6A64">
            <w:pPr>
              <w:rPr>
                <w:rFonts w:ascii="宋体"/>
              </w:rPr>
            </w:pPr>
          </w:p>
        </w:tc>
        <w:tc>
          <w:tcPr>
            <w:tcW w:w="0" w:type="auto"/>
            <w:shd w:val="clear" w:color="auto" w:fill="auto"/>
          </w:tcPr>
          <w:p w14:paraId="33DAE8CA" w14:textId="77777777" w:rsidR="004D6A64" w:rsidRDefault="004D6A64">
            <w:pPr>
              <w:rPr>
                <w:rFonts w:ascii="宋体"/>
              </w:rPr>
            </w:pPr>
          </w:p>
        </w:tc>
        <w:tc>
          <w:tcPr>
            <w:tcW w:w="0" w:type="auto"/>
            <w:shd w:val="clear" w:color="auto" w:fill="auto"/>
          </w:tcPr>
          <w:p w14:paraId="33DAE8CB" w14:textId="77777777" w:rsidR="004D6A64" w:rsidRDefault="004D6A64">
            <w:pPr>
              <w:rPr>
                <w:rFonts w:ascii="宋体"/>
              </w:rPr>
            </w:pPr>
          </w:p>
        </w:tc>
        <w:tc>
          <w:tcPr>
            <w:tcW w:w="0" w:type="auto"/>
            <w:shd w:val="clear" w:color="auto" w:fill="auto"/>
          </w:tcPr>
          <w:p w14:paraId="33DAE8CC" w14:textId="77777777" w:rsidR="004D6A64" w:rsidRDefault="004D6A64">
            <w:pPr>
              <w:rPr>
                <w:rFonts w:ascii="宋体"/>
              </w:rPr>
            </w:pPr>
          </w:p>
        </w:tc>
        <w:tc>
          <w:tcPr>
            <w:tcW w:w="0" w:type="auto"/>
            <w:shd w:val="clear" w:color="auto" w:fill="auto"/>
          </w:tcPr>
          <w:p w14:paraId="33DAE8CD" w14:textId="77777777" w:rsidR="004D6A64" w:rsidRDefault="004D6A64">
            <w:pPr>
              <w:rPr>
                <w:rFonts w:ascii="宋体"/>
              </w:rPr>
            </w:pPr>
          </w:p>
        </w:tc>
        <w:tc>
          <w:tcPr>
            <w:tcW w:w="0" w:type="auto"/>
            <w:shd w:val="clear" w:color="auto" w:fill="auto"/>
          </w:tcPr>
          <w:p w14:paraId="33DAE8CE" w14:textId="77777777" w:rsidR="004D6A64" w:rsidRDefault="004D6A64">
            <w:pPr>
              <w:rPr>
                <w:rFonts w:ascii="宋体"/>
              </w:rPr>
            </w:pPr>
          </w:p>
        </w:tc>
        <w:tc>
          <w:tcPr>
            <w:tcW w:w="0" w:type="auto"/>
            <w:shd w:val="clear" w:color="auto" w:fill="auto"/>
          </w:tcPr>
          <w:p w14:paraId="33DAE8CF" w14:textId="77777777" w:rsidR="004D6A64" w:rsidRDefault="004D6A64">
            <w:pPr>
              <w:rPr>
                <w:rFonts w:ascii="宋体"/>
              </w:rPr>
            </w:pPr>
          </w:p>
        </w:tc>
        <w:tc>
          <w:tcPr>
            <w:tcW w:w="0" w:type="auto"/>
            <w:shd w:val="clear" w:color="auto" w:fill="auto"/>
          </w:tcPr>
          <w:p w14:paraId="33DAE8D0" w14:textId="77777777" w:rsidR="004D6A64" w:rsidRDefault="004D6A64">
            <w:pPr>
              <w:rPr>
                <w:rFonts w:ascii="宋体"/>
              </w:rPr>
            </w:pPr>
          </w:p>
        </w:tc>
        <w:tc>
          <w:tcPr>
            <w:tcW w:w="0" w:type="auto"/>
            <w:shd w:val="clear" w:color="auto" w:fill="auto"/>
          </w:tcPr>
          <w:p w14:paraId="33DAE8D1" w14:textId="77777777" w:rsidR="004D6A64" w:rsidRDefault="004D6A64">
            <w:pPr>
              <w:rPr>
                <w:rFonts w:ascii="宋体"/>
              </w:rPr>
            </w:pPr>
          </w:p>
        </w:tc>
        <w:tc>
          <w:tcPr>
            <w:tcW w:w="0" w:type="auto"/>
            <w:shd w:val="clear" w:color="auto" w:fill="auto"/>
          </w:tcPr>
          <w:p w14:paraId="33DAE8D2" w14:textId="77777777" w:rsidR="004D6A64" w:rsidRDefault="004D6A64">
            <w:pPr>
              <w:rPr>
                <w:rFonts w:ascii="宋体"/>
              </w:rPr>
            </w:pPr>
          </w:p>
        </w:tc>
        <w:tc>
          <w:tcPr>
            <w:tcW w:w="0" w:type="auto"/>
            <w:shd w:val="clear" w:color="auto" w:fill="auto"/>
          </w:tcPr>
          <w:p w14:paraId="33DAE8D3" w14:textId="77777777" w:rsidR="004D6A64" w:rsidRDefault="004D6A64">
            <w:pPr>
              <w:rPr>
                <w:rFonts w:ascii="宋体"/>
              </w:rPr>
            </w:pPr>
          </w:p>
        </w:tc>
        <w:tc>
          <w:tcPr>
            <w:tcW w:w="0" w:type="auto"/>
            <w:shd w:val="clear" w:color="auto" w:fill="auto"/>
          </w:tcPr>
          <w:p w14:paraId="33DAE8D4" w14:textId="77777777" w:rsidR="004D6A64" w:rsidRDefault="004D6A64">
            <w:pPr>
              <w:rPr>
                <w:rFonts w:ascii="宋体"/>
              </w:rPr>
            </w:pPr>
          </w:p>
        </w:tc>
        <w:tc>
          <w:tcPr>
            <w:tcW w:w="0" w:type="auto"/>
            <w:shd w:val="clear" w:color="auto" w:fill="auto"/>
          </w:tcPr>
          <w:p w14:paraId="33DAE8D5" w14:textId="77777777" w:rsidR="004D6A64" w:rsidRDefault="004D6A64">
            <w:pPr>
              <w:rPr>
                <w:rFonts w:ascii="宋体"/>
              </w:rPr>
            </w:pPr>
          </w:p>
        </w:tc>
        <w:tc>
          <w:tcPr>
            <w:tcW w:w="0" w:type="auto"/>
            <w:shd w:val="clear" w:color="auto" w:fill="auto"/>
          </w:tcPr>
          <w:p w14:paraId="33DAE8D6" w14:textId="77777777" w:rsidR="004D6A64" w:rsidRDefault="004D6A64">
            <w:pPr>
              <w:rPr>
                <w:rFonts w:ascii="宋体"/>
              </w:rPr>
            </w:pPr>
          </w:p>
        </w:tc>
        <w:tc>
          <w:tcPr>
            <w:tcW w:w="0" w:type="auto"/>
            <w:shd w:val="clear" w:color="auto" w:fill="auto"/>
          </w:tcPr>
          <w:p w14:paraId="33DAE8D7" w14:textId="77777777" w:rsidR="004D6A64" w:rsidRDefault="004D6A64">
            <w:pPr>
              <w:rPr>
                <w:rFonts w:ascii="宋体"/>
              </w:rPr>
            </w:pPr>
          </w:p>
        </w:tc>
        <w:tc>
          <w:tcPr>
            <w:tcW w:w="0" w:type="auto"/>
            <w:shd w:val="clear" w:color="auto" w:fill="auto"/>
          </w:tcPr>
          <w:p w14:paraId="33DAE8D8" w14:textId="77777777" w:rsidR="004D6A64" w:rsidRDefault="004D6A64">
            <w:pPr>
              <w:rPr>
                <w:rFonts w:ascii="宋体"/>
              </w:rPr>
            </w:pPr>
          </w:p>
        </w:tc>
        <w:tc>
          <w:tcPr>
            <w:tcW w:w="0" w:type="auto"/>
            <w:shd w:val="clear" w:color="auto" w:fill="auto"/>
          </w:tcPr>
          <w:p w14:paraId="33DAE8D9" w14:textId="77777777" w:rsidR="004D6A64" w:rsidRDefault="004D6A64">
            <w:pPr>
              <w:rPr>
                <w:rFonts w:ascii="宋体"/>
              </w:rPr>
            </w:pPr>
          </w:p>
        </w:tc>
        <w:tc>
          <w:tcPr>
            <w:tcW w:w="0" w:type="auto"/>
            <w:shd w:val="clear" w:color="auto" w:fill="auto"/>
          </w:tcPr>
          <w:p w14:paraId="33DAE8DA" w14:textId="77777777" w:rsidR="004D6A64" w:rsidRDefault="004D6A64">
            <w:pPr>
              <w:rPr>
                <w:rFonts w:ascii="宋体"/>
              </w:rPr>
            </w:pPr>
          </w:p>
        </w:tc>
        <w:tc>
          <w:tcPr>
            <w:tcW w:w="0" w:type="auto"/>
            <w:shd w:val="clear" w:color="auto" w:fill="auto"/>
          </w:tcPr>
          <w:p w14:paraId="33DAE8DB" w14:textId="77777777" w:rsidR="004D6A64" w:rsidRDefault="004D6A64">
            <w:pPr>
              <w:rPr>
                <w:rFonts w:ascii="宋体"/>
              </w:rPr>
            </w:pPr>
          </w:p>
        </w:tc>
        <w:tc>
          <w:tcPr>
            <w:tcW w:w="0" w:type="auto"/>
            <w:shd w:val="clear" w:color="auto" w:fill="auto"/>
          </w:tcPr>
          <w:p w14:paraId="33DAE8DC" w14:textId="77777777" w:rsidR="004D6A64" w:rsidRDefault="004D6A64">
            <w:pPr>
              <w:rPr>
                <w:rFonts w:ascii="宋体"/>
              </w:rPr>
            </w:pPr>
          </w:p>
        </w:tc>
        <w:tc>
          <w:tcPr>
            <w:tcW w:w="0" w:type="auto"/>
            <w:shd w:val="clear" w:color="auto" w:fill="auto"/>
          </w:tcPr>
          <w:p w14:paraId="33DAE8DD" w14:textId="77777777" w:rsidR="004D6A64" w:rsidRDefault="004D6A64">
            <w:pPr>
              <w:rPr>
                <w:rFonts w:ascii="宋体"/>
              </w:rPr>
            </w:pPr>
          </w:p>
        </w:tc>
      </w:tr>
      <w:tr w:rsidR="004D6A64" w14:paraId="33DAE906" w14:textId="77777777">
        <w:trPr>
          <w:trHeight w:val="300"/>
          <w:jc w:val="center"/>
        </w:trPr>
        <w:tc>
          <w:tcPr>
            <w:tcW w:w="0" w:type="auto"/>
            <w:gridSpan w:val="3"/>
            <w:shd w:val="clear" w:color="auto" w:fill="CCEEFF"/>
            <w:tcMar>
              <w:left w:w="20" w:type="dxa"/>
              <w:right w:w="20" w:type="dxa"/>
            </w:tcMar>
            <w:vAlign w:val="bottom"/>
          </w:tcPr>
          <w:p w14:paraId="33DAE8DF"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E8E0"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8E1"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8E2"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8E3"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E8E4"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8E5"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E8E6"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8E7"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8E8"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8E9"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E8EA" w14:textId="77777777" w:rsidR="004D6A64" w:rsidRDefault="004D6A64">
            <w:pPr>
              <w:rPr>
                <w:rFonts w:ascii="宋体"/>
              </w:rPr>
            </w:pPr>
          </w:p>
        </w:tc>
        <w:tc>
          <w:tcPr>
            <w:tcW w:w="0" w:type="auto"/>
            <w:shd w:val="clear" w:color="auto" w:fill="auto"/>
          </w:tcPr>
          <w:p w14:paraId="33DAE8EB" w14:textId="77777777" w:rsidR="004D6A64" w:rsidRDefault="004D6A64">
            <w:pPr>
              <w:rPr>
                <w:rFonts w:ascii="宋体"/>
              </w:rPr>
            </w:pPr>
          </w:p>
        </w:tc>
        <w:tc>
          <w:tcPr>
            <w:tcW w:w="0" w:type="auto"/>
            <w:shd w:val="clear" w:color="auto" w:fill="auto"/>
          </w:tcPr>
          <w:p w14:paraId="33DAE8EC" w14:textId="77777777" w:rsidR="004D6A64" w:rsidRDefault="004D6A64">
            <w:pPr>
              <w:rPr>
                <w:rFonts w:ascii="宋体"/>
              </w:rPr>
            </w:pPr>
          </w:p>
        </w:tc>
        <w:tc>
          <w:tcPr>
            <w:tcW w:w="0" w:type="auto"/>
            <w:shd w:val="clear" w:color="auto" w:fill="auto"/>
          </w:tcPr>
          <w:p w14:paraId="33DAE8ED" w14:textId="77777777" w:rsidR="004D6A64" w:rsidRDefault="004D6A64">
            <w:pPr>
              <w:rPr>
                <w:rFonts w:ascii="宋体"/>
              </w:rPr>
            </w:pPr>
          </w:p>
        </w:tc>
        <w:tc>
          <w:tcPr>
            <w:tcW w:w="0" w:type="auto"/>
            <w:shd w:val="clear" w:color="auto" w:fill="auto"/>
          </w:tcPr>
          <w:p w14:paraId="33DAE8EE" w14:textId="77777777" w:rsidR="004D6A64" w:rsidRDefault="004D6A64">
            <w:pPr>
              <w:rPr>
                <w:rFonts w:ascii="宋体"/>
              </w:rPr>
            </w:pPr>
          </w:p>
        </w:tc>
        <w:tc>
          <w:tcPr>
            <w:tcW w:w="0" w:type="auto"/>
            <w:shd w:val="clear" w:color="auto" w:fill="auto"/>
          </w:tcPr>
          <w:p w14:paraId="33DAE8EF" w14:textId="77777777" w:rsidR="004D6A64" w:rsidRDefault="004D6A64">
            <w:pPr>
              <w:rPr>
                <w:rFonts w:ascii="宋体"/>
              </w:rPr>
            </w:pPr>
          </w:p>
        </w:tc>
        <w:tc>
          <w:tcPr>
            <w:tcW w:w="0" w:type="auto"/>
            <w:shd w:val="clear" w:color="auto" w:fill="auto"/>
          </w:tcPr>
          <w:p w14:paraId="33DAE8F0" w14:textId="77777777" w:rsidR="004D6A64" w:rsidRDefault="004D6A64">
            <w:pPr>
              <w:rPr>
                <w:rFonts w:ascii="宋体"/>
              </w:rPr>
            </w:pPr>
          </w:p>
        </w:tc>
        <w:tc>
          <w:tcPr>
            <w:tcW w:w="0" w:type="auto"/>
            <w:shd w:val="clear" w:color="auto" w:fill="auto"/>
          </w:tcPr>
          <w:p w14:paraId="33DAE8F1" w14:textId="77777777" w:rsidR="004D6A64" w:rsidRDefault="004D6A64">
            <w:pPr>
              <w:rPr>
                <w:rFonts w:ascii="宋体"/>
              </w:rPr>
            </w:pPr>
          </w:p>
        </w:tc>
        <w:tc>
          <w:tcPr>
            <w:tcW w:w="0" w:type="auto"/>
            <w:shd w:val="clear" w:color="auto" w:fill="auto"/>
          </w:tcPr>
          <w:p w14:paraId="33DAE8F2" w14:textId="77777777" w:rsidR="004D6A64" w:rsidRDefault="004D6A64">
            <w:pPr>
              <w:rPr>
                <w:rFonts w:ascii="宋体"/>
              </w:rPr>
            </w:pPr>
          </w:p>
        </w:tc>
        <w:tc>
          <w:tcPr>
            <w:tcW w:w="0" w:type="auto"/>
            <w:shd w:val="clear" w:color="auto" w:fill="auto"/>
          </w:tcPr>
          <w:p w14:paraId="33DAE8F3" w14:textId="77777777" w:rsidR="004D6A64" w:rsidRDefault="004D6A64">
            <w:pPr>
              <w:rPr>
                <w:rFonts w:ascii="宋体"/>
              </w:rPr>
            </w:pPr>
          </w:p>
        </w:tc>
        <w:tc>
          <w:tcPr>
            <w:tcW w:w="0" w:type="auto"/>
            <w:shd w:val="clear" w:color="auto" w:fill="auto"/>
          </w:tcPr>
          <w:p w14:paraId="33DAE8F4" w14:textId="77777777" w:rsidR="004D6A64" w:rsidRDefault="004D6A64">
            <w:pPr>
              <w:rPr>
                <w:rFonts w:ascii="宋体"/>
              </w:rPr>
            </w:pPr>
          </w:p>
        </w:tc>
        <w:tc>
          <w:tcPr>
            <w:tcW w:w="0" w:type="auto"/>
            <w:shd w:val="clear" w:color="auto" w:fill="auto"/>
          </w:tcPr>
          <w:p w14:paraId="33DAE8F5" w14:textId="77777777" w:rsidR="004D6A64" w:rsidRDefault="004D6A64">
            <w:pPr>
              <w:rPr>
                <w:rFonts w:ascii="宋体"/>
              </w:rPr>
            </w:pPr>
          </w:p>
        </w:tc>
        <w:tc>
          <w:tcPr>
            <w:tcW w:w="0" w:type="auto"/>
            <w:shd w:val="clear" w:color="auto" w:fill="auto"/>
          </w:tcPr>
          <w:p w14:paraId="33DAE8F6" w14:textId="77777777" w:rsidR="004D6A64" w:rsidRDefault="004D6A64">
            <w:pPr>
              <w:rPr>
                <w:rFonts w:ascii="宋体"/>
              </w:rPr>
            </w:pPr>
          </w:p>
        </w:tc>
        <w:tc>
          <w:tcPr>
            <w:tcW w:w="0" w:type="auto"/>
            <w:shd w:val="clear" w:color="auto" w:fill="auto"/>
          </w:tcPr>
          <w:p w14:paraId="33DAE8F7" w14:textId="77777777" w:rsidR="004D6A64" w:rsidRDefault="004D6A64">
            <w:pPr>
              <w:rPr>
                <w:rFonts w:ascii="宋体"/>
              </w:rPr>
            </w:pPr>
          </w:p>
        </w:tc>
        <w:tc>
          <w:tcPr>
            <w:tcW w:w="0" w:type="auto"/>
            <w:shd w:val="clear" w:color="auto" w:fill="auto"/>
          </w:tcPr>
          <w:p w14:paraId="33DAE8F8" w14:textId="77777777" w:rsidR="004D6A64" w:rsidRDefault="004D6A64">
            <w:pPr>
              <w:rPr>
                <w:rFonts w:ascii="宋体"/>
              </w:rPr>
            </w:pPr>
          </w:p>
        </w:tc>
        <w:tc>
          <w:tcPr>
            <w:tcW w:w="0" w:type="auto"/>
            <w:shd w:val="clear" w:color="auto" w:fill="auto"/>
          </w:tcPr>
          <w:p w14:paraId="33DAE8F9" w14:textId="77777777" w:rsidR="004D6A64" w:rsidRDefault="004D6A64">
            <w:pPr>
              <w:rPr>
                <w:rFonts w:ascii="宋体"/>
              </w:rPr>
            </w:pPr>
          </w:p>
        </w:tc>
        <w:tc>
          <w:tcPr>
            <w:tcW w:w="0" w:type="auto"/>
            <w:shd w:val="clear" w:color="auto" w:fill="auto"/>
          </w:tcPr>
          <w:p w14:paraId="33DAE8FA" w14:textId="77777777" w:rsidR="004D6A64" w:rsidRDefault="004D6A64">
            <w:pPr>
              <w:rPr>
                <w:rFonts w:ascii="宋体"/>
              </w:rPr>
            </w:pPr>
          </w:p>
        </w:tc>
        <w:tc>
          <w:tcPr>
            <w:tcW w:w="0" w:type="auto"/>
            <w:shd w:val="clear" w:color="auto" w:fill="auto"/>
          </w:tcPr>
          <w:p w14:paraId="33DAE8FB" w14:textId="77777777" w:rsidR="004D6A64" w:rsidRDefault="004D6A64">
            <w:pPr>
              <w:rPr>
                <w:rFonts w:ascii="宋体"/>
              </w:rPr>
            </w:pPr>
          </w:p>
        </w:tc>
        <w:tc>
          <w:tcPr>
            <w:tcW w:w="0" w:type="auto"/>
            <w:shd w:val="clear" w:color="auto" w:fill="auto"/>
          </w:tcPr>
          <w:p w14:paraId="33DAE8FC" w14:textId="77777777" w:rsidR="004D6A64" w:rsidRDefault="004D6A64">
            <w:pPr>
              <w:rPr>
                <w:rFonts w:ascii="宋体"/>
              </w:rPr>
            </w:pPr>
          </w:p>
        </w:tc>
        <w:tc>
          <w:tcPr>
            <w:tcW w:w="0" w:type="auto"/>
            <w:shd w:val="clear" w:color="auto" w:fill="auto"/>
          </w:tcPr>
          <w:p w14:paraId="33DAE8FD" w14:textId="77777777" w:rsidR="004D6A64" w:rsidRDefault="004D6A64">
            <w:pPr>
              <w:rPr>
                <w:rFonts w:ascii="宋体"/>
              </w:rPr>
            </w:pPr>
          </w:p>
        </w:tc>
        <w:tc>
          <w:tcPr>
            <w:tcW w:w="0" w:type="auto"/>
            <w:shd w:val="clear" w:color="auto" w:fill="auto"/>
          </w:tcPr>
          <w:p w14:paraId="33DAE8FE" w14:textId="77777777" w:rsidR="004D6A64" w:rsidRDefault="004D6A64">
            <w:pPr>
              <w:rPr>
                <w:rFonts w:ascii="宋体"/>
              </w:rPr>
            </w:pPr>
          </w:p>
        </w:tc>
        <w:tc>
          <w:tcPr>
            <w:tcW w:w="0" w:type="auto"/>
            <w:shd w:val="clear" w:color="auto" w:fill="auto"/>
          </w:tcPr>
          <w:p w14:paraId="33DAE8FF" w14:textId="77777777" w:rsidR="004D6A64" w:rsidRDefault="004D6A64">
            <w:pPr>
              <w:rPr>
                <w:rFonts w:ascii="宋体"/>
              </w:rPr>
            </w:pPr>
          </w:p>
        </w:tc>
        <w:tc>
          <w:tcPr>
            <w:tcW w:w="0" w:type="auto"/>
            <w:shd w:val="clear" w:color="auto" w:fill="auto"/>
          </w:tcPr>
          <w:p w14:paraId="33DAE900" w14:textId="77777777" w:rsidR="004D6A64" w:rsidRDefault="004D6A64">
            <w:pPr>
              <w:rPr>
                <w:rFonts w:ascii="宋体"/>
              </w:rPr>
            </w:pPr>
          </w:p>
        </w:tc>
        <w:tc>
          <w:tcPr>
            <w:tcW w:w="0" w:type="auto"/>
            <w:shd w:val="clear" w:color="auto" w:fill="auto"/>
          </w:tcPr>
          <w:p w14:paraId="33DAE901" w14:textId="77777777" w:rsidR="004D6A64" w:rsidRDefault="004D6A64">
            <w:pPr>
              <w:rPr>
                <w:rFonts w:ascii="宋体"/>
              </w:rPr>
            </w:pPr>
          </w:p>
        </w:tc>
        <w:tc>
          <w:tcPr>
            <w:tcW w:w="0" w:type="auto"/>
            <w:shd w:val="clear" w:color="auto" w:fill="auto"/>
          </w:tcPr>
          <w:p w14:paraId="33DAE902" w14:textId="77777777" w:rsidR="004D6A64" w:rsidRDefault="004D6A64">
            <w:pPr>
              <w:rPr>
                <w:rFonts w:ascii="宋体"/>
              </w:rPr>
            </w:pPr>
          </w:p>
        </w:tc>
        <w:tc>
          <w:tcPr>
            <w:tcW w:w="0" w:type="auto"/>
            <w:shd w:val="clear" w:color="auto" w:fill="auto"/>
          </w:tcPr>
          <w:p w14:paraId="33DAE903" w14:textId="77777777" w:rsidR="004D6A64" w:rsidRDefault="004D6A64">
            <w:pPr>
              <w:rPr>
                <w:rFonts w:ascii="宋体"/>
              </w:rPr>
            </w:pPr>
          </w:p>
        </w:tc>
        <w:tc>
          <w:tcPr>
            <w:tcW w:w="0" w:type="auto"/>
            <w:shd w:val="clear" w:color="auto" w:fill="auto"/>
          </w:tcPr>
          <w:p w14:paraId="33DAE904" w14:textId="77777777" w:rsidR="004D6A64" w:rsidRDefault="004D6A64">
            <w:pPr>
              <w:rPr>
                <w:rFonts w:ascii="宋体"/>
              </w:rPr>
            </w:pPr>
          </w:p>
        </w:tc>
        <w:tc>
          <w:tcPr>
            <w:tcW w:w="0" w:type="auto"/>
            <w:shd w:val="clear" w:color="auto" w:fill="auto"/>
          </w:tcPr>
          <w:p w14:paraId="33DAE905" w14:textId="77777777" w:rsidR="004D6A64" w:rsidRDefault="004D6A64">
            <w:pPr>
              <w:rPr>
                <w:rFonts w:ascii="宋体"/>
              </w:rPr>
            </w:pPr>
          </w:p>
        </w:tc>
      </w:tr>
      <w:tr w:rsidR="004D6A64" w14:paraId="33DAE938" w14:textId="77777777">
        <w:trPr>
          <w:jc w:val="center"/>
        </w:trPr>
        <w:tc>
          <w:tcPr>
            <w:tcW w:w="0" w:type="auto"/>
            <w:gridSpan w:val="3"/>
            <w:shd w:val="clear" w:color="auto" w:fill="FFFFFF"/>
            <w:tcMar>
              <w:top w:w="40" w:type="dxa"/>
              <w:left w:w="20" w:type="dxa"/>
              <w:bottom w:w="40" w:type="dxa"/>
              <w:right w:w="20" w:type="dxa"/>
            </w:tcMar>
            <w:vAlign w:val="bottom"/>
          </w:tcPr>
          <w:p w14:paraId="33DAE907" w14:textId="77777777" w:rsidR="004D6A64" w:rsidRDefault="00506CD6">
            <w:pPr>
              <w:textAlignment w:val="bottom"/>
            </w:pPr>
            <w:r>
              <w:rPr>
                <w:rFonts w:ascii="Times New Roman" w:eastAsia="宋体" w:hAnsi="Times New Roman"/>
                <w:color w:val="000000"/>
                <w:sz w:val="20"/>
                <w:szCs w:val="20"/>
              </w:rPr>
              <w:t>EBITDA</w:t>
            </w:r>
          </w:p>
        </w:tc>
        <w:tc>
          <w:tcPr>
            <w:tcW w:w="0" w:type="auto"/>
            <w:shd w:val="clear" w:color="auto" w:fill="FFFFFF"/>
            <w:tcMar>
              <w:top w:w="40" w:type="dxa"/>
              <w:left w:w="20" w:type="dxa"/>
              <w:bottom w:w="40" w:type="dxa"/>
            </w:tcMar>
            <w:vAlign w:val="bottom"/>
          </w:tcPr>
          <w:p w14:paraId="33DAE908"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909" w14:textId="77777777" w:rsidR="004D6A64" w:rsidRDefault="00506CD6">
            <w:pPr>
              <w:jc w:val="right"/>
              <w:textAlignment w:val="bottom"/>
            </w:pPr>
            <w:r>
              <w:rPr>
                <w:rFonts w:ascii="Times New Roman" w:eastAsia="宋体" w:hAnsi="Times New Roman"/>
                <w:color w:val="000000"/>
                <w:sz w:val="20"/>
                <w:szCs w:val="20"/>
              </w:rPr>
              <w:t>2,476 </w:t>
            </w:r>
          </w:p>
        </w:tc>
        <w:tc>
          <w:tcPr>
            <w:tcW w:w="0" w:type="auto"/>
            <w:shd w:val="clear" w:color="auto" w:fill="FFFFFF"/>
            <w:tcMar>
              <w:top w:w="40" w:type="dxa"/>
              <w:bottom w:w="40" w:type="dxa"/>
              <w:right w:w="20" w:type="dxa"/>
            </w:tcMar>
            <w:vAlign w:val="bottom"/>
          </w:tcPr>
          <w:p w14:paraId="33DAE90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90B"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90C" w14:textId="77777777" w:rsidR="004D6A64" w:rsidRDefault="00506CD6">
            <w:pPr>
              <w:jc w:val="right"/>
              <w:textAlignment w:val="bottom"/>
            </w:pPr>
            <w:r>
              <w:rPr>
                <w:rFonts w:ascii="Times New Roman" w:eastAsia="宋体" w:hAnsi="Times New Roman"/>
                <w:color w:val="000000"/>
                <w:sz w:val="20"/>
                <w:szCs w:val="20"/>
              </w:rPr>
              <w:t>23 </w:t>
            </w:r>
          </w:p>
        </w:tc>
        <w:tc>
          <w:tcPr>
            <w:tcW w:w="0" w:type="auto"/>
            <w:shd w:val="clear" w:color="auto" w:fill="FFFFFF"/>
            <w:tcMar>
              <w:top w:w="40" w:type="dxa"/>
              <w:bottom w:w="40" w:type="dxa"/>
              <w:right w:w="20" w:type="dxa"/>
            </w:tcMar>
            <w:vAlign w:val="bottom"/>
          </w:tcPr>
          <w:p w14:paraId="33DAE90D"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90E"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E90F"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910" w14:textId="77777777" w:rsidR="004D6A64" w:rsidRDefault="00506CD6">
            <w:pPr>
              <w:jc w:val="right"/>
              <w:textAlignment w:val="bottom"/>
            </w:pPr>
            <w:r>
              <w:rPr>
                <w:rFonts w:ascii="Times New Roman" w:eastAsia="宋体" w:hAnsi="Times New Roman"/>
                <w:color w:val="000000"/>
                <w:sz w:val="20"/>
                <w:szCs w:val="20"/>
              </w:rPr>
              <w:t>2,017 </w:t>
            </w:r>
          </w:p>
        </w:tc>
        <w:tc>
          <w:tcPr>
            <w:tcW w:w="0" w:type="auto"/>
            <w:shd w:val="clear" w:color="auto" w:fill="FFFFFF"/>
            <w:tcMar>
              <w:top w:w="40" w:type="dxa"/>
              <w:bottom w:w="40" w:type="dxa"/>
              <w:right w:w="20" w:type="dxa"/>
            </w:tcMar>
            <w:vAlign w:val="bottom"/>
          </w:tcPr>
          <w:p w14:paraId="33DAE91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912"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E913"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914" w14:textId="77777777" w:rsidR="004D6A64" w:rsidRDefault="00506CD6">
            <w:pPr>
              <w:jc w:val="right"/>
              <w:textAlignment w:val="bottom"/>
            </w:pPr>
            <w:r>
              <w:rPr>
                <w:rFonts w:ascii="Times New Roman" w:eastAsia="宋体" w:hAnsi="Times New Roman"/>
                <w:color w:val="000000"/>
                <w:sz w:val="20"/>
                <w:szCs w:val="20"/>
              </w:rPr>
              <w:t>4,494 </w:t>
            </w:r>
          </w:p>
        </w:tc>
        <w:tc>
          <w:tcPr>
            <w:tcW w:w="0" w:type="auto"/>
            <w:shd w:val="clear" w:color="auto" w:fill="FFFFFF"/>
            <w:tcMar>
              <w:top w:w="40" w:type="dxa"/>
              <w:bottom w:w="40" w:type="dxa"/>
              <w:right w:w="20" w:type="dxa"/>
            </w:tcMar>
            <w:vAlign w:val="bottom"/>
          </w:tcPr>
          <w:p w14:paraId="33DAE91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91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917" w14:textId="77777777" w:rsidR="004D6A64" w:rsidRDefault="00506CD6">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bottom w:w="40" w:type="dxa"/>
              <w:right w:w="20" w:type="dxa"/>
            </w:tcMar>
            <w:vAlign w:val="bottom"/>
          </w:tcPr>
          <w:p w14:paraId="33DAE918"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919"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E91A"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91B" w14:textId="77777777" w:rsidR="004D6A64" w:rsidRDefault="00506CD6">
            <w:pPr>
              <w:jc w:val="right"/>
              <w:textAlignment w:val="bottom"/>
            </w:pPr>
            <w:r>
              <w:rPr>
                <w:rFonts w:ascii="Times New Roman" w:eastAsia="宋体" w:hAnsi="Times New Roman"/>
                <w:color w:val="000000"/>
                <w:sz w:val="20"/>
                <w:szCs w:val="20"/>
              </w:rPr>
              <w:t>4,183 </w:t>
            </w:r>
          </w:p>
        </w:tc>
        <w:tc>
          <w:tcPr>
            <w:tcW w:w="0" w:type="auto"/>
            <w:shd w:val="clear" w:color="auto" w:fill="FFFFFF"/>
            <w:tcMar>
              <w:top w:w="40" w:type="dxa"/>
              <w:bottom w:w="40" w:type="dxa"/>
              <w:right w:w="20" w:type="dxa"/>
            </w:tcMar>
            <w:vAlign w:val="bottom"/>
          </w:tcPr>
          <w:p w14:paraId="33DAE91C" w14:textId="77777777" w:rsidR="004D6A64" w:rsidRDefault="004D6A64">
            <w:pPr>
              <w:jc w:val="right"/>
              <w:rPr>
                <w:rFonts w:ascii="宋体"/>
              </w:rPr>
            </w:pPr>
          </w:p>
        </w:tc>
        <w:tc>
          <w:tcPr>
            <w:tcW w:w="0" w:type="auto"/>
            <w:shd w:val="clear" w:color="auto" w:fill="auto"/>
          </w:tcPr>
          <w:p w14:paraId="33DAE91D" w14:textId="77777777" w:rsidR="004D6A64" w:rsidRDefault="004D6A64">
            <w:pPr>
              <w:rPr>
                <w:rFonts w:ascii="宋体"/>
              </w:rPr>
            </w:pPr>
          </w:p>
        </w:tc>
        <w:tc>
          <w:tcPr>
            <w:tcW w:w="0" w:type="auto"/>
            <w:shd w:val="clear" w:color="auto" w:fill="auto"/>
          </w:tcPr>
          <w:p w14:paraId="33DAE91E" w14:textId="77777777" w:rsidR="004D6A64" w:rsidRDefault="004D6A64">
            <w:pPr>
              <w:rPr>
                <w:rFonts w:ascii="宋体"/>
              </w:rPr>
            </w:pPr>
          </w:p>
        </w:tc>
        <w:tc>
          <w:tcPr>
            <w:tcW w:w="0" w:type="auto"/>
            <w:shd w:val="clear" w:color="auto" w:fill="auto"/>
          </w:tcPr>
          <w:p w14:paraId="33DAE91F" w14:textId="77777777" w:rsidR="004D6A64" w:rsidRDefault="004D6A64">
            <w:pPr>
              <w:rPr>
                <w:rFonts w:ascii="宋体"/>
              </w:rPr>
            </w:pPr>
          </w:p>
        </w:tc>
        <w:tc>
          <w:tcPr>
            <w:tcW w:w="0" w:type="auto"/>
            <w:shd w:val="clear" w:color="auto" w:fill="auto"/>
          </w:tcPr>
          <w:p w14:paraId="33DAE920" w14:textId="77777777" w:rsidR="004D6A64" w:rsidRDefault="004D6A64">
            <w:pPr>
              <w:rPr>
                <w:rFonts w:ascii="宋体"/>
              </w:rPr>
            </w:pPr>
          </w:p>
        </w:tc>
        <w:tc>
          <w:tcPr>
            <w:tcW w:w="0" w:type="auto"/>
            <w:shd w:val="clear" w:color="auto" w:fill="auto"/>
          </w:tcPr>
          <w:p w14:paraId="33DAE921" w14:textId="77777777" w:rsidR="004D6A64" w:rsidRDefault="004D6A64">
            <w:pPr>
              <w:rPr>
                <w:rFonts w:ascii="宋体"/>
              </w:rPr>
            </w:pPr>
          </w:p>
        </w:tc>
        <w:tc>
          <w:tcPr>
            <w:tcW w:w="0" w:type="auto"/>
            <w:shd w:val="clear" w:color="auto" w:fill="auto"/>
          </w:tcPr>
          <w:p w14:paraId="33DAE922" w14:textId="77777777" w:rsidR="004D6A64" w:rsidRDefault="004D6A64">
            <w:pPr>
              <w:rPr>
                <w:rFonts w:ascii="宋体"/>
              </w:rPr>
            </w:pPr>
          </w:p>
        </w:tc>
        <w:tc>
          <w:tcPr>
            <w:tcW w:w="0" w:type="auto"/>
            <w:shd w:val="clear" w:color="auto" w:fill="auto"/>
          </w:tcPr>
          <w:p w14:paraId="33DAE923" w14:textId="77777777" w:rsidR="004D6A64" w:rsidRDefault="004D6A64">
            <w:pPr>
              <w:rPr>
                <w:rFonts w:ascii="宋体"/>
              </w:rPr>
            </w:pPr>
          </w:p>
        </w:tc>
        <w:tc>
          <w:tcPr>
            <w:tcW w:w="0" w:type="auto"/>
            <w:shd w:val="clear" w:color="auto" w:fill="auto"/>
          </w:tcPr>
          <w:p w14:paraId="33DAE924" w14:textId="77777777" w:rsidR="004D6A64" w:rsidRDefault="004D6A64">
            <w:pPr>
              <w:rPr>
                <w:rFonts w:ascii="宋体"/>
              </w:rPr>
            </w:pPr>
          </w:p>
        </w:tc>
        <w:tc>
          <w:tcPr>
            <w:tcW w:w="0" w:type="auto"/>
            <w:shd w:val="clear" w:color="auto" w:fill="auto"/>
          </w:tcPr>
          <w:p w14:paraId="33DAE925" w14:textId="77777777" w:rsidR="004D6A64" w:rsidRDefault="004D6A64">
            <w:pPr>
              <w:rPr>
                <w:rFonts w:ascii="宋体"/>
              </w:rPr>
            </w:pPr>
          </w:p>
        </w:tc>
        <w:tc>
          <w:tcPr>
            <w:tcW w:w="0" w:type="auto"/>
            <w:shd w:val="clear" w:color="auto" w:fill="auto"/>
          </w:tcPr>
          <w:p w14:paraId="33DAE926" w14:textId="77777777" w:rsidR="004D6A64" w:rsidRDefault="004D6A64">
            <w:pPr>
              <w:rPr>
                <w:rFonts w:ascii="宋体"/>
              </w:rPr>
            </w:pPr>
          </w:p>
        </w:tc>
        <w:tc>
          <w:tcPr>
            <w:tcW w:w="0" w:type="auto"/>
            <w:shd w:val="clear" w:color="auto" w:fill="auto"/>
          </w:tcPr>
          <w:p w14:paraId="33DAE927" w14:textId="77777777" w:rsidR="004D6A64" w:rsidRDefault="004D6A64">
            <w:pPr>
              <w:rPr>
                <w:rFonts w:ascii="宋体"/>
              </w:rPr>
            </w:pPr>
          </w:p>
        </w:tc>
        <w:tc>
          <w:tcPr>
            <w:tcW w:w="0" w:type="auto"/>
            <w:shd w:val="clear" w:color="auto" w:fill="auto"/>
          </w:tcPr>
          <w:p w14:paraId="33DAE928" w14:textId="77777777" w:rsidR="004D6A64" w:rsidRDefault="004D6A64">
            <w:pPr>
              <w:rPr>
                <w:rFonts w:ascii="宋体"/>
              </w:rPr>
            </w:pPr>
          </w:p>
        </w:tc>
        <w:tc>
          <w:tcPr>
            <w:tcW w:w="0" w:type="auto"/>
            <w:shd w:val="clear" w:color="auto" w:fill="auto"/>
          </w:tcPr>
          <w:p w14:paraId="33DAE929" w14:textId="77777777" w:rsidR="004D6A64" w:rsidRDefault="004D6A64">
            <w:pPr>
              <w:rPr>
                <w:rFonts w:ascii="宋体"/>
              </w:rPr>
            </w:pPr>
          </w:p>
        </w:tc>
        <w:tc>
          <w:tcPr>
            <w:tcW w:w="0" w:type="auto"/>
            <w:shd w:val="clear" w:color="auto" w:fill="auto"/>
          </w:tcPr>
          <w:p w14:paraId="33DAE92A" w14:textId="77777777" w:rsidR="004D6A64" w:rsidRDefault="004D6A64">
            <w:pPr>
              <w:rPr>
                <w:rFonts w:ascii="宋体"/>
              </w:rPr>
            </w:pPr>
          </w:p>
        </w:tc>
        <w:tc>
          <w:tcPr>
            <w:tcW w:w="0" w:type="auto"/>
            <w:shd w:val="clear" w:color="auto" w:fill="auto"/>
          </w:tcPr>
          <w:p w14:paraId="33DAE92B" w14:textId="77777777" w:rsidR="004D6A64" w:rsidRDefault="004D6A64">
            <w:pPr>
              <w:rPr>
                <w:rFonts w:ascii="宋体"/>
              </w:rPr>
            </w:pPr>
          </w:p>
        </w:tc>
        <w:tc>
          <w:tcPr>
            <w:tcW w:w="0" w:type="auto"/>
            <w:shd w:val="clear" w:color="auto" w:fill="auto"/>
          </w:tcPr>
          <w:p w14:paraId="33DAE92C" w14:textId="77777777" w:rsidR="004D6A64" w:rsidRDefault="004D6A64">
            <w:pPr>
              <w:rPr>
                <w:rFonts w:ascii="宋体"/>
              </w:rPr>
            </w:pPr>
          </w:p>
        </w:tc>
        <w:tc>
          <w:tcPr>
            <w:tcW w:w="0" w:type="auto"/>
            <w:shd w:val="clear" w:color="auto" w:fill="auto"/>
          </w:tcPr>
          <w:p w14:paraId="33DAE92D" w14:textId="77777777" w:rsidR="004D6A64" w:rsidRDefault="004D6A64">
            <w:pPr>
              <w:rPr>
                <w:rFonts w:ascii="宋体"/>
              </w:rPr>
            </w:pPr>
          </w:p>
        </w:tc>
        <w:tc>
          <w:tcPr>
            <w:tcW w:w="0" w:type="auto"/>
            <w:shd w:val="clear" w:color="auto" w:fill="auto"/>
          </w:tcPr>
          <w:p w14:paraId="33DAE92E" w14:textId="77777777" w:rsidR="004D6A64" w:rsidRDefault="004D6A64">
            <w:pPr>
              <w:rPr>
                <w:rFonts w:ascii="宋体"/>
              </w:rPr>
            </w:pPr>
          </w:p>
        </w:tc>
        <w:tc>
          <w:tcPr>
            <w:tcW w:w="0" w:type="auto"/>
            <w:shd w:val="clear" w:color="auto" w:fill="auto"/>
          </w:tcPr>
          <w:p w14:paraId="33DAE92F" w14:textId="77777777" w:rsidR="004D6A64" w:rsidRDefault="004D6A64">
            <w:pPr>
              <w:rPr>
                <w:rFonts w:ascii="宋体"/>
              </w:rPr>
            </w:pPr>
          </w:p>
        </w:tc>
        <w:tc>
          <w:tcPr>
            <w:tcW w:w="0" w:type="auto"/>
            <w:shd w:val="clear" w:color="auto" w:fill="auto"/>
          </w:tcPr>
          <w:p w14:paraId="33DAE930" w14:textId="77777777" w:rsidR="004D6A64" w:rsidRDefault="004D6A64">
            <w:pPr>
              <w:rPr>
                <w:rFonts w:ascii="宋体"/>
              </w:rPr>
            </w:pPr>
          </w:p>
        </w:tc>
        <w:tc>
          <w:tcPr>
            <w:tcW w:w="0" w:type="auto"/>
            <w:shd w:val="clear" w:color="auto" w:fill="auto"/>
          </w:tcPr>
          <w:p w14:paraId="33DAE931" w14:textId="77777777" w:rsidR="004D6A64" w:rsidRDefault="004D6A64">
            <w:pPr>
              <w:rPr>
                <w:rFonts w:ascii="宋体"/>
              </w:rPr>
            </w:pPr>
          </w:p>
        </w:tc>
        <w:tc>
          <w:tcPr>
            <w:tcW w:w="0" w:type="auto"/>
            <w:shd w:val="clear" w:color="auto" w:fill="auto"/>
          </w:tcPr>
          <w:p w14:paraId="33DAE932" w14:textId="77777777" w:rsidR="004D6A64" w:rsidRDefault="004D6A64">
            <w:pPr>
              <w:rPr>
                <w:rFonts w:ascii="宋体"/>
              </w:rPr>
            </w:pPr>
          </w:p>
        </w:tc>
        <w:tc>
          <w:tcPr>
            <w:tcW w:w="0" w:type="auto"/>
            <w:shd w:val="clear" w:color="auto" w:fill="auto"/>
          </w:tcPr>
          <w:p w14:paraId="33DAE933" w14:textId="77777777" w:rsidR="004D6A64" w:rsidRDefault="004D6A64">
            <w:pPr>
              <w:rPr>
                <w:rFonts w:ascii="宋体"/>
              </w:rPr>
            </w:pPr>
          </w:p>
        </w:tc>
        <w:tc>
          <w:tcPr>
            <w:tcW w:w="0" w:type="auto"/>
            <w:shd w:val="clear" w:color="auto" w:fill="auto"/>
          </w:tcPr>
          <w:p w14:paraId="33DAE934" w14:textId="77777777" w:rsidR="004D6A64" w:rsidRDefault="004D6A64">
            <w:pPr>
              <w:rPr>
                <w:rFonts w:ascii="宋体"/>
              </w:rPr>
            </w:pPr>
          </w:p>
        </w:tc>
        <w:tc>
          <w:tcPr>
            <w:tcW w:w="0" w:type="auto"/>
            <w:shd w:val="clear" w:color="auto" w:fill="auto"/>
          </w:tcPr>
          <w:p w14:paraId="33DAE935" w14:textId="77777777" w:rsidR="004D6A64" w:rsidRDefault="004D6A64">
            <w:pPr>
              <w:rPr>
                <w:rFonts w:ascii="宋体"/>
              </w:rPr>
            </w:pPr>
          </w:p>
        </w:tc>
        <w:tc>
          <w:tcPr>
            <w:tcW w:w="0" w:type="auto"/>
            <w:shd w:val="clear" w:color="auto" w:fill="auto"/>
          </w:tcPr>
          <w:p w14:paraId="33DAE936" w14:textId="77777777" w:rsidR="004D6A64" w:rsidRDefault="004D6A64">
            <w:pPr>
              <w:rPr>
                <w:rFonts w:ascii="宋体"/>
              </w:rPr>
            </w:pPr>
          </w:p>
        </w:tc>
        <w:tc>
          <w:tcPr>
            <w:tcW w:w="0" w:type="auto"/>
            <w:shd w:val="clear" w:color="auto" w:fill="auto"/>
          </w:tcPr>
          <w:p w14:paraId="33DAE937" w14:textId="77777777" w:rsidR="004D6A64" w:rsidRDefault="004D6A64">
            <w:pPr>
              <w:rPr>
                <w:rFonts w:ascii="宋体"/>
              </w:rPr>
            </w:pPr>
          </w:p>
        </w:tc>
      </w:tr>
      <w:tr w:rsidR="004D6A64" w14:paraId="33DAE960" w14:textId="77777777">
        <w:trPr>
          <w:jc w:val="center"/>
        </w:trPr>
        <w:tc>
          <w:tcPr>
            <w:tcW w:w="0" w:type="auto"/>
            <w:gridSpan w:val="3"/>
            <w:shd w:val="clear" w:color="auto" w:fill="CCEEFF"/>
            <w:tcMar>
              <w:top w:w="40" w:type="dxa"/>
              <w:left w:w="135" w:type="dxa"/>
              <w:bottom w:w="40" w:type="dxa"/>
              <w:right w:w="20" w:type="dxa"/>
            </w:tcMar>
            <w:vAlign w:val="bottom"/>
          </w:tcPr>
          <w:p w14:paraId="33DAE939" w14:textId="77777777" w:rsidR="004D6A64" w:rsidRDefault="00506CD6">
            <w:pPr>
              <w:textAlignment w:val="bottom"/>
            </w:pPr>
            <w:r>
              <w:rPr>
                <w:rFonts w:ascii="Times New Roman" w:eastAsia="宋体" w:hAnsi="Times New Roman"/>
                <w:color w:val="000000"/>
                <w:sz w:val="20"/>
                <w:szCs w:val="20"/>
              </w:rPr>
              <w:t>Adjustments:</w:t>
            </w:r>
          </w:p>
        </w:tc>
        <w:tc>
          <w:tcPr>
            <w:tcW w:w="0" w:type="auto"/>
            <w:gridSpan w:val="3"/>
            <w:shd w:val="clear" w:color="auto" w:fill="CCEEFF"/>
            <w:tcMar>
              <w:left w:w="20" w:type="dxa"/>
              <w:right w:w="20" w:type="dxa"/>
            </w:tcMar>
            <w:vAlign w:val="bottom"/>
          </w:tcPr>
          <w:p w14:paraId="33DAE93A"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93B"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93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93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93E"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93F"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940"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941"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942"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943"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944" w14:textId="77777777" w:rsidR="004D6A64" w:rsidRDefault="004D6A64">
            <w:pPr>
              <w:rPr>
                <w:rFonts w:ascii="宋体"/>
              </w:rPr>
            </w:pPr>
          </w:p>
        </w:tc>
        <w:tc>
          <w:tcPr>
            <w:tcW w:w="0" w:type="auto"/>
            <w:shd w:val="clear" w:color="auto" w:fill="auto"/>
          </w:tcPr>
          <w:p w14:paraId="33DAE945" w14:textId="77777777" w:rsidR="004D6A64" w:rsidRDefault="004D6A64">
            <w:pPr>
              <w:rPr>
                <w:rFonts w:ascii="宋体"/>
              </w:rPr>
            </w:pPr>
          </w:p>
        </w:tc>
        <w:tc>
          <w:tcPr>
            <w:tcW w:w="0" w:type="auto"/>
            <w:shd w:val="clear" w:color="auto" w:fill="auto"/>
          </w:tcPr>
          <w:p w14:paraId="33DAE946" w14:textId="77777777" w:rsidR="004D6A64" w:rsidRDefault="004D6A64">
            <w:pPr>
              <w:rPr>
                <w:rFonts w:ascii="宋体"/>
              </w:rPr>
            </w:pPr>
          </w:p>
        </w:tc>
        <w:tc>
          <w:tcPr>
            <w:tcW w:w="0" w:type="auto"/>
            <w:shd w:val="clear" w:color="auto" w:fill="auto"/>
          </w:tcPr>
          <w:p w14:paraId="33DAE947" w14:textId="77777777" w:rsidR="004D6A64" w:rsidRDefault="004D6A64">
            <w:pPr>
              <w:rPr>
                <w:rFonts w:ascii="宋体"/>
              </w:rPr>
            </w:pPr>
          </w:p>
        </w:tc>
        <w:tc>
          <w:tcPr>
            <w:tcW w:w="0" w:type="auto"/>
            <w:shd w:val="clear" w:color="auto" w:fill="auto"/>
          </w:tcPr>
          <w:p w14:paraId="33DAE948" w14:textId="77777777" w:rsidR="004D6A64" w:rsidRDefault="004D6A64">
            <w:pPr>
              <w:rPr>
                <w:rFonts w:ascii="宋体"/>
              </w:rPr>
            </w:pPr>
          </w:p>
        </w:tc>
        <w:tc>
          <w:tcPr>
            <w:tcW w:w="0" w:type="auto"/>
            <w:shd w:val="clear" w:color="auto" w:fill="auto"/>
          </w:tcPr>
          <w:p w14:paraId="33DAE949" w14:textId="77777777" w:rsidR="004D6A64" w:rsidRDefault="004D6A64">
            <w:pPr>
              <w:rPr>
                <w:rFonts w:ascii="宋体"/>
              </w:rPr>
            </w:pPr>
          </w:p>
        </w:tc>
        <w:tc>
          <w:tcPr>
            <w:tcW w:w="0" w:type="auto"/>
            <w:shd w:val="clear" w:color="auto" w:fill="auto"/>
          </w:tcPr>
          <w:p w14:paraId="33DAE94A" w14:textId="77777777" w:rsidR="004D6A64" w:rsidRDefault="004D6A64">
            <w:pPr>
              <w:rPr>
                <w:rFonts w:ascii="宋体"/>
              </w:rPr>
            </w:pPr>
          </w:p>
        </w:tc>
        <w:tc>
          <w:tcPr>
            <w:tcW w:w="0" w:type="auto"/>
            <w:shd w:val="clear" w:color="auto" w:fill="auto"/>
          </w:tcPr>
          <w:p w14:paraId="33DAE94B" w14:textId="77777777" w:rsidR="004D6A64" w:rsidRDefault="004D6A64">
            <w:pPr>
              <w:rPr>
                <w:rFonts w:ascii="宋体"/>
              </w:rPr>
            </w:pPr>
          </w:p>
        </w:tc>
        <w:tc>
          <w:tcPr>
            <w:tcW w:w="0" w:type="auto"/>
            <w:shd w:val="clear" w:color="auto" w:fill="auto"/>
          </w:tcPr>
          <w:p w14:paraId="33DAE94C" w14:textId="77777777" w:rsidR="004D6A64" w:rsidRDefault="004D6A64">
            <w:pPr>
              <w:rPr>
                <w:rFonts w:ascii="宋体"/>
              </w:rPr>
            </w:pPr>
          </w:p>
        </w:tc>
        <w:tc>
          <w:tcPr>
            <w:tcW w:w="0" w:type="auto"/>
            <w:shd w:val="clear" w:color="auto" w:fill="auto"/>
          </w:tcPr>
          <w:p w14:paraId="33DAE94D" w14:textId="77777777" w:rsidR="004D6A64" w:rsidRDefault="004D6A64">
            <w:pPr>
              <w:rPr>
                <w:rFonts w:ascii="宋体"/>
              </w:rPr>
            </w:pPr>
          </w:p>
        </w:tc>
        <w:tc>
          <w:tcPr>
            <w:tcW w:w="0" w:type="auto"/>
            <w:shd w:val="clear" w:color="auto" w:fill="auto"/>
          </w:tcPr>
          <w:p w14:paraId="33DAE94E" w14:textId="77777777" w:rsidR="004D6A64" w:rsidRDefault="004D6A64">
            <w:pPr>
              <w:rPr>
                <w:rFonts w:ascii="宋体"/>
              </w:rPr>
            </w:pPr>
          </w:p>
        </w:tc>
        <w:tc>
          <w:tcPr>
            <w:tcW w:w="0" w:type="auto"/>
            <w:shd w:val="clear" w:color="auto" w:fill="auto"/>
          </w:tcPr>
          <w:p w14:paraId="33DAE94F" w14:textId="77777777" w:rsidR="004D6A64" w:rsidRDefault="004D6A64">
            <w:pPr>
              <w:rPr>
                <w:rFonts w:ascii="宋体"/>
              </w:rPr>
            </w:pPr>
          </w:p>
        </w:tc>
        <w:tc>
          <w:tcPr>
            <w:tcW w:w="0" w:type="auto"/>
            <w:shd w:val="clear" w:color="auto" w:fill="auto"/>
          </w:tcPr>
          <w:p w14:paraId="33DAE950" w14:textId="77777777" w:rsidR="004D6A64" w:rsidRDefault="004D6A64">
            <w:pPr>
              <w:rPr>
                <w:rFonts w:ascii="宋体"/>
              </w:rPr>
            </w:pPr>
          </w:p>
        </w:tc>
        <w:tc>
          <w:tcPr>
            <w:tcW w:w="0" w:type="auto"/>
            <w:shd w:val="clear" w:color="auto" w:fill="auto"/>
          </w:tcPr>
          <w:p w14:paraId="33DAE951" w14:textId="77777777" w:rsidR="004D6A64" w:rsidRDefault="004D6A64">
            <w:pPr>
              <w:rPr>
                <w:rFonts w:ascii="宋体"/>
              </w:rPr>
            </w:pPr>
          </w:p>
        </w:tc>
        <w:tc>
          <w:tcPr>
            <w:tcW w:w="0" w:type="auto"/>
            <w:shd w:val="clear" w:color="auto" w:fill="auto"/>
          </w:tcPr>
          <w:p w14:paraId="33DAE952" w14:textId="77777777" w:rsidR="004D6A64" w:rsidRDefault="004D6A64">
            <w:pPr>
              <w:rPr>
                <w:rFonts w:ascii="宋体"/>
              </w:rPr>
            </w:pPr>
          </w:p>
        </w:tc>
        <w:tc>
          <w:tcPr>
            <w:tcW w:w="0" w:type="auto"/>
            <w:shd w:val="clear" w:color="auto" w:fill="auto"/>
          </w:tcPr>
          <w:p w14:paraId="33DAE953" w14:textId="77777777" w:rsidR="004D6A64" w:rsidRDefault="004D6A64">
            <w:pPr>
              <w:rPr>
                <w:rFonts w:ascii="宋体"/>
              </w:rPr>
            </w:pPr>
          </w:p>
        </w:tc>
        <w:tc>
          <w:tcPr>
            <w:tcW w:w="0" w:type="auto"/>
            <w:shd w:val="clear" w:color="auto" w:fill="auto"/>
          </w:tcPr>
          <w:p w14:paraId="33DAE954" w14:textId="77777777" w:rsidR="004D6A64" w:rsidRDefault="004D6A64">
            <w:pPr>
              <w:rPr>
                <w:rFonts w:ascii="宋体"/>
              </w:rPr>
            </w:pPr>
          </w:p>
        </w:tc>
        <w:tc>
          <w:tcPr>
            <w:tcW w:w="0" w:type="auto"/>
            <w:shd w:val="clear" w:color="auto" w:fill="auto"/>
          </w:tcPr>
          <w:p w14:paraId="33DAE955" w14:textId="77777777" w:rsidR="004D6A64" w:rsidRDefault="004D6A64">
            <w:pPr>
              <w:rPr>
                <w:rFonts w:ascii="宋体"/>
              </w:rPr>
            </w:pPr>
          </w:p>
        </w:tc>
        <w:tc>
          <w:tcPr>
            <w:tcW w:w="0" w:type="auto"/>
            <w:shd w:val="clear" w:color="auto" w:fill="auto"/>
          </w:tcPr>
          <w:p w14:paraId="33DAE956" w14:textId="77777777" w:rsidR="004D6A64" w:rsidRDefault="004D6A64">
            <w:pPr>
              <w:rPr>
                <w:rFonts w:ascii="宋体"/>
              </w:rPr>
            </w:pPr>
          </w:p>
        </w:tc>
        <w:tc>
          <w:tcPr>
            <w:tcW w:w="0" w:type="auto"/>
            <w:shd w:val="clear" w:color="auto" w:fill="auto"/>
          </w:tcPr>
          <w:p w14:paraId="33DAE957" w14:textId="77777777" w:rsidR="004D6A64" w:rsidRDefault="004D6A64">
            <w:pPr>
              <w:rPr>
                <w:rFonts w:ascii="宋体"/>
              </w:rPr>
            </w:pPr>
          </w:p>
        </w:tc>
        <w:tc>
          <w:tcPr>
            <w:tcW w:w="0" w:type="auto"/>
            <w:shd w:val="clear" w:color="auto" w:fill="auto"/>
          </w:tcPr>
          <w:p w14:paraId="33DAE958" w14:textId="77777777" w:rsidR="004D6A64" w:rsidRDefault="004D6A64">
            <w:pPr>
              <w:rPr>
                <w:rFonts w:ascii="宋体"/>
              </w:rPr>
            </w:pPr>
          </w:p>
        </w:tc>
        <w:tc>
          <w:tcPr>
            <w:tcW w:w="0" w:type="auto"/>
            <w:shd w:val="clear" w:color="auto" w:fill="auto"/>
          </w:tcPr>
          <w:p w14:paraId="33DAE959" w14:textId="77777777" w:rsidR="004D6A64" w:rsidRDefault="004D6A64">
            <w:pPr>
              <w:rPr>
                <w:rFonts w:ascii="宋体"/>
              </w:rPr>
            </w:pPr>
          </w:p>
        </w:tc>
        <w:tc>
          <w:tcPr>
            <w:tcW w:w="0" w:type="auto"/>
            <w:shd w:val="clear" w:color="auto" w:fill="auto"/>
          </w:tcPr>
          <w:p w14:paraId="33DAE95A" w14:textId="77777777" w:rsidR="004D6A64" w:rsidRDefault="004D6A64">
            <w:pPr>
              <w:rPr>
                <w:rFonts w:ascii="宋体"/>
              </w:rPr>
            </w:pPr>
          </w:p>
        </w:tc>
        <w:tc>
          <w:tcPr>
            <w:tcW w:w="0" w:type="auto"/>
            <w:shd w:val="clear" w:color="auto" w:fill="auto"/>
          </w:tcPr>
          <w:p w14:paraId="33DAE95B" w14:textId="77777777" w:rsidR="004D6A64" w:rsidRDefault="004D6A64">
            <w:pPr>
              <w:rPr>
                <w:rFonts w:ascii="宋体"/>
              </w:rPr>
            </w:pPr>
          </w:p>
        </w:tc>
        <w:tc>
          <w:tcPr>
            <w:tcW w:w="0" w:type="auto"/>
            <w:shd w:val="clear" w:color="auto" w:fill="auto"/>
          </w:tcPr>
          <w:p w14:paraId="33DAE95C" w14:textId="77777777" w:rsidR="004D6A64" w:rsidRDefault="004D6A64">
            <w:pPr>
              <w:rPr>
                <w:rFonts w:ascii="宋体"/>
              </w:rPr>
            </w:pPr>
          </w:p>
        </w:tc>
        <w:tc>
          <w:tcPr>
            <w:tcW w:w="0" w:type="auto"/>
            <w:shd w:val="clear" w:color="auto" w:fill="auto"/>
          </w:tcPr>
          <w:p w14:paraId="33DAE95D" w14:textId="77777777" w:rsidR="004D6A64" w:rsidRDefault="004D6A64">
            <w:pPr>
              <w:rPr>
                <w:rFonts w:ascii="宋体"/>
              </w:rPr>
            </w:pPr>
          </w:p>
        </w:tc>
        <w:tc>
          <w:tcPr>
            <w:tcW w:w="0" w:type="auto"/>
            <w:shd w:val="clear" w:color="auto" w:fill="auto"/>
          </w:tcPr>
          <w:p w14:paraId="33DAE95E" w14:textId="77777777" w:rsidR="004D6A64" w:rsidRDefault="004D6A64">
            <w:pPr>
              <w:rPr>
                <w:rFonts w:ascii="宋体"/>
              </w:rPr>
            </w:pPr>
          </w:p>
        </w:tc>
        <w:tc>
          <w:tcPr>
            <w:tcW w:w="0" w:type="auto"/>
            <w:shd w:val="clear" w:color="auto" w:fill="auto"/>
          </w:tcPr>
          <w:p w14:paraId="33DAE95F" w14:textId="77777777" w:rsidR="004D6A64" w:rsidRDefault="004D6A64">
            <w:pPr>
              <w:rPr>
                <w:rFonts w:ascii="宋体"/>
              </w:rPr>
            </w:pPr>
          </w:p>
        </w:tc>
      </w:tr>
      <w:tr w:rsidR="004D6A64" w14:paraId="33DAE98C" w14:textId="77777777">
        <w:trPr>
          <w:jc w:val="center"/>
        </w:trPr>
        <w:tc>
          <w:tcPr>
            <w:tcW w:w="0" w:type="auto"/>
            <w:gridSpan w:val="3"/>
            <w:shd w:val="clear" w:color="auto" w:fill="FFFFFF"/>
            <w:tcMar>
              <w:top w:w="40" w:type="dxa"/>
              <w:left w:w="225" w:type="dxa"/>
              <w:bottom w:w="40" w:type="dxa"/>
              <w:right w:w="20" w:type="dxa"/>
            </w:tcMar>
            <w:vAlign w:val="bottom"/>
          </w:tcPr>
          <w:p w14:paraId="33DAE961" w14:textId="77777777" w:rsidR="004D6A64" w:rsidRDefault="00506CD6">
            <w:pPr>
              <w:textAlignment w:val="bottom"/>
            </w:pPr>
            <w:r>
              <w:rPr>
                <w:rFonts w:ascii="Times New Roman" w:eastAsia="宋体" w:hAnsi="Times New Roman"/>
                <w:color w:val="000000"/>
                <w:sz w:val="20"/>
                <w:szCs w:val="20"/>
              </w:rPr>
              <w:t>Stock-based compensation expense</w:t>
            </w:r>
          </w:p>
        </w:tc>
        <w:tc>
          <w:tcPr>
            <w:tcW w:w="0" w:type="auto"/>
            <w:gridSpan w:val="2"/>
            <w:shd w:val="clear" w:color="auto" w:fill="FFFFFF"/>
            <w:tcMar>
              <w:top w:w="40" w:type="dxa"/>
              <w:left w:w="20" w:type="dxa"/>
              <w:bottom w:w="40" w:type="dxa"/>
              <w:right w:w="0" w:type="dxa"/>
            </w:tcMar>
            <w:vAlign w:val="bottom"/>
          </w:tcPr>
          <w:p w14:paraId="33DAE962" w14:textId="77777777" w:rsidR="004D6A64" w:rsidRDefault="00506CD6">
            <w:pPr>
              <w:jc w:val="right"/>
              <w:textAlignment w:val="bottom"/>
            </w:pPr>
            <w:r>
              <w:rPr>
                <w:rFonts w:ascii="Times New Roman" w:eastAsia="宋体" w:hAnsi="Times New Roman"/>
                <w:color w:val="000000"/>
                <w:sz w:val="20"/>
                <w:szCs w:val="20"/>
              </w:rPr>
              <w:t>413 </w:t>
            </w:r>
          </w:p>
        </w:tc>
        <w:tc>
          <w:tcPr>
            <w:tcW w:w="0" w:type="auto"/>
            <w:shd w:val="clear" w:color="auto" w:fill="FFFFFF"/>
            <w:tcMar>
              <w:top w:w="40" w:type="dxa"/>
              <w:bottom w:w="40" w:type="dxa"/>
              <w:right w:w="20" w:type="dxa"/>
            </w:tcMar>
            <w:vAlign w:val="bottom"/>
          </w:tcPr>
          <w:p w14:paraId="33DAE96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964"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965"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96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967" w14:textId="77777777" w:rsidR="004D6A64" w:rsidRDefault="00506CD6">
            <w:pPr>
              <w:jc w:val="right"/>
              <w:textAlignment w:val="bottom"/>
            </w:pPr>
            <w:r>
              <w:rPr>
                <w:rFonts w:ascii="Times New Roman" w:eastAsia="宋体" w:hAnsi="Times New Roman"/>
                <w:color w:val="000000"/>
                <w:sz w:val="20"/>
                <w:szCs w:val="20"/>
              </w:rPr>
              <w:t>301 </w:t>
            </w:r>
          </w:p>
        </w:tc>
        <w:tc>
          <w:tcPr>
            <w:tcW w:w="0" w:type="auto"/>
            <w:shd w:val="clear" w:color="auto" w:fill="FFFFFF"/>
            <w:tcMar>
              <w:top w:w="40" w:type="dxa"/>
              <w:bottom w:w="40" w:type="dxa"/>
              <w:right w:w="20" w:type="dxa"/>
            </w:tcMar>
            <w:vAlign w:val="bottom"/>
          </w:tcPr>
          <w:p w14:paraId="33DAE96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969"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96A" w14:textId="77777777" w:rsidR="004D6A64" w:rsidRDefault="00506CD6">
            <w:pPr>
              <w:jc w:val="right"/>
              <w:textAlignment w:val="bottom"/>
            </w:pPr>
            <w:r>
              <w:rPr>
                <w:rFonts w:ascii="Times New Roman" w:eastAsia="宋体" w:hAnsi="Times New Roman"/>
                <w:color w:val="000000"/>
                <w:sz w:val="20"/>
                <w:szCs w:val="20"/>
              </w:rPr>
              <w:t>783 </w:t>
            </w:r>
          </w:p>
        </w:tc>
        <w:tc>
          <w:tcPr>
            <w:tcW w:w="0" w:type="auto"/>
            <w:shd w:val="clear" w:color="auto" w:fill="FFFFFF"/>
            <w:tcMar>
              <w:top w:w="40" w:type="dxa"/>
              <w:bottom w:w="40" w:type="dxa"/>
              <w:right w:w="20" w:type="dxa"/>
            </w:tcMar>
            <w:vAlign w:val="bottom"/>
          </w:tcPr>
          <w:p w14:paraId="33DAE96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96C"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96D"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96E"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96F" w14:textId="77777777" w:rsidR="004D6A64" w:rsidRDefault="00506CD6">
            <w:pPr>
              <w:jc w:val="right"/>
              <w:textAlignment w:val="bottom"/>
            </w:pPr>
            <w:r>
              <w:rPr>
                <w:rFonts w:ascii="Times New Roman" w:eastAsia="宋体" w:hAnsi="Times New Roman"/>
                <w:color w:val="000000"/>
                <w:sz w:val="20"/>
                <w:szCs w:val="20"/>
              </w:rPr>
              <w:t>564 </w:t>
            </w:r>
          </w:p>
        </w:tc>
        <w:tc>
          <w:tcPr>
            <w:tcW w:w="0" w:type="auto"/>
            <w:shd w:val="clear" w:color="auto" w:fill="FFFFFF"/>
            <w:tcMar>
              <w:top w:w="40" w:type="dxa"/>
              <w:bottom w:w="40" w:type="dxa"/>
              <w:right w:w="20" w:type="dxa"/>
            </w:tcMar>
            <w:vAlign w:val="bottom"/>
          </w:tcPr>
          <w:p w14:paraId="33DAE970" w14:textId="77777777" w:rsidR="004D6A64" w:rsidRDefault="004D6A64">
            <w:pPr>
              <w:jc w:val="right"/>
              <w:rPr>
                <w:rFonts w:ascii="宋体"/>
              </w:rPr>
            </w:pPr>
          </w:p>
        </w:tc>
        <w:tc>
          <w:tcPr>
            <w:tcW w:w="0" w:type="auto"/>
            <w:shd w:val="clear" w:color="auto" w:fill="auto"/>
          </w:tcPr>
          <w:p w14:paraId="33DAE971" w14:textId="77777777" w:rsidR="004D6A64" w:rsidRDefault="004D6A64">
            <w:pPr>
              <w:rPr>
                <w:rFonts w:ascii="宋体"/>
              </w:rPr>
            </w:pPr>
          </w:p>
        </w:tc>
        <w:tc>
          <w:tcPr>
            <w:tcW w:w="0" w:type="auto"/>
            <w:shd w:val="clear" w:color="auto" w:fill="auto"/>
          </w:tcPr>
          <w:p w14:paraId="33DAE972" w14:textId="77777777" w:rsidR="004D6A64" w:rsidRDefault="004D6A64">
            <w:pPr>
              <w:rPr>
                <w:rFonts w:ascii="宋体"/>
              </w:rPr>
            </w:pPr>
          </w:p>
        </w:tc>
        <w:tc>
          <w:tcPr>
            <w:tcW w:w="0" w:type="auto"/>
            <w:shd w:val="clear" w:color="auto" w:fill="auto"/>
          </w:tcPr>
          <w:p w14:paraId="33DAE973" w14:textId="77777777" w:rsidR="004D6A64" w:rsidRDefault="004D6A64">
            <w:pPr>
              <w:rPr>
                <w:rFonts w:ascii="宋体"/>
              </w:rPr>
            </w:pPr>
          </w:p>
        </w:tc>
        <w:tc>
          <w:tcPr>
            <w:tcW w:w="0" w:type="auto"/>
            <w:shd w:val="clear" w:color="auto" w:fill="auto"/>
          </w:tcPr>
          <w:p w14:paraId="33DAE974" w14:textId="77777777" w:rsidR="004D6A64" w:rsidRDefault="004D6A64">
            <w:pPr>
              <w:rPr>
                <w:rFonts w:ascii="宋体"/>
              </w:rPr>
            </w:pPr>
          </w:p>
        </w:tc>
        <w:tc>
          <w:tcPr>
            <w:tcW w:w="0" w:type="auto"/>
            <w:shd w:val="clear" w:color="auto" w:fill="auto"/>
          </w:tcPr>
          <w:p w14:paraId="33DAE975" w14:textId="77777777" w:rsidR="004D6A64" w:rsidRDefault="004D6A64">
            <w:pPr>
              <w:rPr>
                <w:rFonts w:ascii="宋体"/>
              </w:rPr>
            </w:pPr>
          </w:p>
        </w:tc>
        <w:tc>
          <w:tcPr>
            <w:tcW w:w="0" w:type="auto"/>
            <w:shd w:val="clear" w:color="auto" w:fill="auto"/>
          </w:tcPr>
          <w:p w14:paraId="33DAE976" w14:textId="77777777" w:rsidR="004D6A64" w:rsidRDefault="004D6A64">
            <w:pPr>
              <w:rPr>
                <w:rFonts w:ascii="宋体"/>
              </w:rPr>
            </w:pPr>
          </w:p>
        </w:tc>
        <w:tc>
          <w:tcPr>
            <w:tcW w:w="0" w:type="auto"/>
            <w:shd w:val="clear" w:color="auto" w:fill="auto"/>
          </w:tcPr>
          <w:p w14:paraId="33DAE977" w14:textId="77777777" w:rsidR="004D6A64" w:rsidRDefault="004D6A64">
            <w:pPr>
              <w:rPr>
                <w:rFonts w:ascii="宋体"/>
              </w:rPr>
            </w:pPr>
          </w:p>
        </w:tc>
        <w:tc>
          <w:tcPr>
            <w:tcW w:w="0" w:type="auto"/>
            <w:shd w:val="clear" w:color="auto" w:fill="auto"/>
          </w:tcPr>
          <w:p w14:paraId="33DAE978" w14:textId="77777777" w:rsidR="004D6A64" w:rsidRDefault="004D6A64">
            <w:pPr>
              <w:rPr>
                <w:rFonts w:ascii="宋体"/>
              </w:rPr>
            </w:pPr>
          </w:p>
        </w:tc>
        <w:tc>
          <w:tcPr>
            <w:tcW w:w="0" w:type="auto"/>
            <w:shd w:val="clear" w:color="auto" w:fill="auto"/>
          </w:tcPr>
          <w:p w14:paraId="33DAE979" w14:textId="77777777" w:rsidR="004D6A64" w:rsidRDefault="004D6A64">
            <w:pPr>
              <w:rPr>
                <w:rFonts w:ascii="宋体"/>
              </w:rPr>
            </w:pPr>
          </w:p>
        </w:tc>
        <w:tc>
          <w:tcPr>
            <w:tcW w:w="0" w:type="auto"/>
            <w:shd w:val="clear" w:color="auto" w:fill="auto"/>
          </w:tcPr>
          <w:p w14:paraId="33DAE97A" w14:textId="77777777" w:rsidR="004D6A64" w:rsidRDefault="004D6A64">
            <w:pPr>
              <w:rPr>
                <w:rFonts w:ascii="宋体"/>
              </w:rPr>
            </w:pPr>
          </w:p>
        </w:tc>
        <w:tc>
          <w:tcPr>
            <w:tcW w:w="0" w:type="auto"/>
            <w:shd w:val="clear" w:color="auto" w:fill="auto"/>
          </w:tcPr>
          <w:p w14:paraId="33DAE97B" w14:textId="77777777" w:rsidR="004D6A64" w:rsidRDefault="004D6A64">
            <w:pPr>
              <w:rPr>
                <w:rFonts w:ascii="宋体"/>
              </w:rPr>
            </w:pPr>
          </w:p>
        </w:tc>
        <w:tc>
          <w:tcPr>
            <w:tcW w:w="0" w:type="auto"/>
            <w:shd w:val="clear" w:color="auto" w:fill="auto"/>
          </w:tcPr>
          <w:p w14:paraId="33DAE97C" w14:textId="77777777" w:rsidR="004D6A64" w:rsidRDefault="004D6A64">
            <w:pPr>
              <w:rPr>
                <w:rFonts w:ascii="宋体"/>
              </w:rPr>
            </w:pPr>
          </w:p>
        </w:tc>
        <w:tc>
          <w:tcPr>
            <w:tcW w:w="0" w:type="auto"/>
            <w:shd w:val="clear" w:color="auto" w:fill="auto"/>
          </w:tcPr>
          <w:p w14:paraId="33DAE97D" w14:textId="77777777" w:rsidR="004D6A64" w:rsidRDefault="004D6A64">
            <w:pPr>
              <w:rPr>
                <w:rFonts w:ascii="宋体"/>
              </w:rPr>
            </w:pPr>
          </w:p>
        </w:tc>
        <w:tc>
          <w:tcPr>
            <w:tcW w:w="0" w:type="auto"/>
            <w:shd w:val="clear" w:color="auto" w:fill="auto"/>
          </w:tcPr>
          <w:p w14:paraId="33DAE97E" w14:textId="77777777" w:rsidR="004D6A64" w:rsidRDefault="004D6A64">
            <w:pPr>
              <w:rPr>
                <w:rFonts w:ascii="宋体"/>
              </w:rPr>
            </w:pPr>
          </w:p>
        </w:tc>
        <w:tc>
          <w:tcPr>
            <w:tcW w:w="0" w:type="auto"/>
            <w:shd w:val="clear" w:color="auto" w:fill="auto"/>
          </w:tcPr>
          <w:p w14:paraId="33DAE97F" w14:textId="77777777" w:rsidR="004D6A64" w:rsidRDefault="004D6A64">
            <w:pPr>
              <w:rPr>
                <w:rFonts w:ascii="宋体"/>
              </w:rPr>
            </w:pPr>
          </w:p>
        </w:tc>
        <w:tc>
          <w:tcPr>
            <w:tcW w:w="0" w:type="auto"/>
            <w:shd w:val="clear" w:color="auto" w:fill="auto"/>
          </w:tcPr>
          <w:p w14:paraId="33DAE980" w14:textId="77777777" w:rsidR="004D6A64" w:rsidRDefault="004D6A64">
            <w:pPr>
              <w:rPr>
                <w:rFonts w:ascii="宋体"/>
              </w:rPr>
            </w:pPr>
          </w:p>
        </w:tc>
        <w:tc>
          <w:tcPr>
            <w:tcW w:w="0" w:type="auto"/>
            <w:shd w:val="clear" w:color="auto" w:fill="auto"/>
          </w:tcPr>
          <w:p w14:paraId="33DAE981" w14:textId="77777777" w:rsidR="004D6A64" w:rsidRDefault="004D6A64">
            <w:pPr>
              <w:rPr>
                <w:rFonts w:ascii="宋体"/>
              </w:rPr>
            </w:pPr>
          </w:p>
        </w:tc>
        <w:tc>
          <w:tcPr>
            <w:tcW w:w="0" w:type="auto"/>
            <w:shd w:val="clear" w:color="auto" w:fill="auto"/>
          </w:tcPr>
          <w:p w14:paraId="33DAE982" w14:textId="77777777" w:rsidR="004D6A64" w:rsidRDefault="004D6A64">
            <w:pPr>
              <w:rPr>
                <w:rFonts w:ascii="宋体"/>
              </w:rPr>
            </w:pPr>
          </w:p>
        </w:tc>
        <w:tc>
          <w:tcPr>
            <w:tcW w:w="0" w:type="auto"/>
            <w:shd w:val="clear" w:color="auto" w:fill="auto"/>
          </w:tcPr>
          <w:p w14:paraId="33DAE983" w14:textId="77777777" w:rsidR="004D6A64" w:rsidRDefault="004D6A64">
            <w:pPr>
              <w:rPr>
                <w:rFonts w:ascii="宋体"/>
              </w:rPr>
            </w:pPr>
          </w:p>
        </w:tc>
        <w:tc>
          <w:tcPr>
            <w:tcW w:w="0" w:type="auto"/>
            <w:shd w:val="clear" w:color="auto" w:fill="auto"/>
          </w:tcPr>
          <w:p w14:paraId="33DAE984" w14:textId="77777777" w:rsidR="004D6A64" w:rsidRDefault="004D6A64">
            <w:pPr>
              <w:rPr>
                <w:rFonts w:ascii="宋体"/>
              </w:rPr>
            </w:pPr>
          </w:p>
        </w:tc>
        <w:tc>
          <w:tcPr>
            <w:tcW w:w="0" w:type="auto"/>
            <w:shd w:val="clear" w:color="auto" w:fill="auto"/>
          </w:tcPr>
          <w:p w14:paraId="33DAE985" w14:textId="77777777" w:rsidR="004D6A64" w:rsidRDefault="004D6A64">
            <w:pPr>
              <w:rPr>
                <w:rFonts w:ascii="宋体"/>
              </w:rPr>
            </w:pPr>
          </w:p>
        </w:tc>
        <w:tc>
          <w:tcPr>
            <w:tcW w:w="0" w:type="auto"/>
            <w:shd w:val="clear" w:color="auto" w:fill="auto"/>
          </w:tcPr>
          <w:p w14:paraId="33DAE986" w14:textId="77777777" w:rsidR="004D6A64" w:rsidRDefault="004D6A64">
            <w:pPr>
              <w:rPr>
                <w:rFonts w:ascii="宋体"/>
              </w:rPr>
            </w:pPr>
          </w:p>
        </w:tc>
        <w:tc>
          <w:tcPr>
            <w:tcW w:w="0" w:type="auto"/>
            <w:shd w:val="clear" w:color="auto" w:fill="auto"/>
          </w:tcPr>
          <w:p w14:paraId="33DAE987" w14:textId="77777777" w:rsidR="004D6A64" w:rsidRDefault="004D6A64">
            <w:pPr>
              <w:rPr>
                <w:rFonts w:ascii="宋体"/>
              </w:rPr>
            </w:pPr>
          </w:p>
        </w:tc>
        <w:tc>
          <w:tcPr>
            <w:tcW w:w="0" w:type="auto"/>
            <w:shd w:val="clear" w:color="auto" w:fill="auto"/>
          </w:tcPr>
          <w:p w14:paraId="33DAE988" w14:textId="77777777" w:rsidR="004D6A64" w:rsidRDefault="004D6A64">
            <w:pPr>
              <w:rPr>
                <w:rFonts w:ascii="宋体"/>
              </w:rPr>
            </w:pPr>
          </w:p>
        </w:tc>
        <w:tc>
          <w:tcPr>
            <w:tcW w:w="0" w:type="auto"/>
            <w:shd w:val="clear" w:color="auto" w:fill="auto"/>
          </w:tcPr>
          <w:p w14:paraId="33DAE989" w14:textId="77777777" w:rsidR="004D6A64" w:rsidRDefault="004D6A64">
            <w:pPr>
              <w:rPr>
                <w:rFonts w:ascii="宋体"/>
              </w:rPr>
            </w:pPr>
          </w:p>
        </w:tc>
        <w:tc>
          <w:tcPr>
            <w:tcW w:w="0" w:type="auto"/>
            <w:shd w:val="clear" w:color="auto" w:fill="auto"/>
          </w:tcPr>
          <w:p w14:paraId="33DAE98A" w14:textId="77777777" w:rsidR="004D6A64" w:rsidRDefault="004D6A64">
            <w:pPr>
              <w:rPr>
                <w:rFonts w:ascii="宋体"/>
              </w:rPr>
            </w:pPr>
          </w:p>
        </w:tc>
        <w:tc>
          <w:tcPr>
            <w:tcW w:w="0" w:type="auto"/>
            <w:shd w:val="clear" w:color="auto" w:fill="auto"/>
          </w:tcPr>
          <w:p w14:paraId="33DAE98B" w14:textId="77777777" w:rsidR="004D6A64" w:rsidRDefault="004D6A64">
            <w:pPr>
              <w:rPr>
                <w:rFonts w:ascii="宋体"/>
              </w:rPr>
            </w:pPr>
          </w:p>
        </w:tc>
      </w:tr>
      <w:tr w:rsidR="004D6A64" w14:paraId="33DAE9B8" w14:textId="77777777">
        <w:trPr>
          <w:jc w:val="center"/>
        </w:trPr>
        <w:tc>
          <w:tcPr>
            <w:tcW w:w="0" w:type="auto"/>
            <w:gridSpan w:val="3"/>
            <w:shd w:val="clear" w:color="auto" w:fill="CCEEFF"/>
            <w:tcMar>
              <w:top w:w="40" w:type="dxa"/>
              <w:left w:w="225" w:type="dxa"/>
              <w:bottom w:w="40" w:type="dxa"/>
              <w:right w:w="20" w:type="dxa"/>
            </w:tcMar>
            <w:vAlign w:val="bottom"/>
          </w:tcPr>
          <w:p w14:paraId="33DAE98D" w14:textId="77777777" w:rsidR="004D6A64" w:rsidRDefault="00506CD6">
            <w:pPr>
              <w:textAlignment w:val="bottom"/>
            </w:pPr>
            <w:r>
              <w:rPr>
                <w:rFonts w:ascii="Times New Roman" w:eastAsia="宋体" w:hAnsi="Times New Roman"/>
                <w:color w:val="000000"/>
                <w:sz w:val="20"/>
                <w:szCs w:val="20"/>
              </w:rPr>
              <w:t>Impact of purchase accounting (c)</w:t>
            </w:r>
          </w:p>
        </w:tc>
        <w:tc>
          <w:tcPr>
            <w:tcW w:w="0" w:type="auto"/>
            <w:gridSpan w:val="2"/>
            <w:shd w:val="clear" w:color="auto" w:fill="CCEEFF"/>
            <w:tcMar>
              <w:top w:w="40" w:type="dxa"/>
              <w:left w:w="20" w:type="dxa"/>
              <w:bottom w:w="40" w:type="dxa"/>
              <w:right w:w="0" w:type="dxa"/>
            </w:tcMar>
            <w:vAlign w:val="bottom"/>
          </w:tcPr>
          <w:p w14:paraId="33DAE98E" w14:textId="77777777" w:rsidR="004D6A64" w:rsidRDefault="00506CD6">
            <w:pPr>
              <w:jc w:val="right"/>
              <w:textAlignment w:val="bottom"/>
            </w:pPr>
            <w:r>
              <w:rPr>
                <w:rFonts w:ascii="Times New Roman" w:eastAsia="宋体" w:hAnsi="Times New Roman"/>
                <w:color w:val="000000"/>
                <w:sz w:val="20"/>
                <w:szCs w:val="20"/>
              </w:rPr>
              <w:t>42 </w:t>
            </w:r>
          </w:p>
        </w:tc>
        <w:tc>
          <w:tcPr>
            <w:tcW w:w="0" w:type="auto"/>
            <w:shd w:val="clear" w:color="auto" w:fill="CCEEFF"/>
            <w:tcMar>
              <w:top w:w="40" w:type="dxa"/>
              <w:bottom w:w="40" w:type="dxa"/>
              <w:right w:w="20" w:type="dxa"/>
            </w:tcMar>
            <w:vAlign w:val="bottom"/>
          </w:tcPr>
          <w:p w14:paraId="33DAE98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990"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991"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99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993" w14:textId="77777777" w:rsidR="004D6A64" w:rsidRDefault="00506CD6">
            <w:pPr>
              <w:jc w:val="right"/>
              <w:textAlignment w:val="bottom"/>
            </w:pPr>
            <w:r>
              <w:rPr>
                <w:rFonts w:ascii="Times New Roman" w:eastAsia="宋体" w:hAnsi="Times New Roman"/>
                <w:color w:val="000000"/>
                <w:sz w:val="20"/>
                <w:szCs w:val="20"/>
              </w:rPr>
              <w:t>84 </w:t>
            </w:r>
          </w:p>
        </w:tc>
        <w:tc>
          <w:tcPr>
            <w:tcW w:w="0" w:type="auto"/>
            <w:shd w:val="clear" w:color="auto" w:fill="CCEEFF"/>
            <w:tcMar>
              <w:top w:w="40" w:type="dxa"/>
              <w:bottom w:w="40" w:type="dxa"/>
              <w:right w:w="20" w:type="dxa"/>
            </w:tcMar>
            <w:vAlign w:val="bottom"/>
          </w:tcPr>
          <w:p w14:paraId="33DAE99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99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996" w14:textId="77777777" w:rsidR="004D6A64" w:rsidRDefault="00506CD6">
            <w:pPr>
              <w:jc w:val="right"/>
              <w:textAlignment w:val="bottom"/>
            </w:pPr>
            <w:r>
              <w:rPr>
                <w:rFonts w:ascii="Times New Roman" w:eastAsia="宋体" w:hAnsi="Times New Roman"/>
                <w:color w:val="000000"/>
                <w:sz w:val="20"/>
                <w:szCs w:val="20"/>
              </w:rPr>
              <w:t>90 </w:t>
            </w:r>
          </w:p>
        </w:tc>
        <w:tc>
          <w:tcPr>
            <w:tcW w:w="0" w:type="auto"/>
            <w:shd w:val="clear" w:color="auto" w:fill="CCEEFF"/>
            <w:tcMar>
              <w:top w:w="40" w:type="dxa"/>
              <w:bottom w:w="40" w:type="dxa"/>
              <w:right w:w="20" w:type="dxa"/>
            </w:tcMar>
            <w:vAlign w:val="bottom"/>
          </w:tcPr>
          <w:p w14:paraId="33DAE99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998"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999"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99A"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99B" w14:textId="77777777" w:rsidR="004D6A64" w:rsidRDefault="00506CD6">
            <w:pPr>
              <w:jc w:val="right"/>
              <w:textAlignment w:val="bottom"/>
            </w:pPr>
            <w:r>
              <w:rPr>
                <w:rFonts w:ascii="Times New Roman" w:eastAsia="宋体" w:hAnsi="Times New Roman"/>
                <w:color w:val="000000"/>
                <w:sz w:val="20"/>
                <w:szCs w:val="20"/>
              </w:rPr>
              <w:t>167 </w:t>
            </w:r>
          </w:p>
        </w:tc>
        <w:tc>
          <w:tcPr>
            <w:tcW w:w="0" w:type="auto"/>
            <w:shd w:val="clear" w:color="auto" w:fill="CCEEFF"/>
            <w:tcMar>
              <w:top w:w="40" w:type="dxa"/>
              <w:bottom w:w="40" w:type="dxa"/>
              <w:right w:w="20" w:type="dxa"/>
            </w:tcMar>
            <w:vAlign w:val="bottom"/>
          </w:tcPr>
          <w:p w14:paraId="33DAE99C" w14:textId="77777777" w:rsidR="004D6A64" w:rsidRDefault="004D6A64">
            <w:pPr>
              <w:jc w:val="right"/>
              <w:rPr>
                <w:rFonts w:ascii="宋体"/>
              </w:rPr>
            </w:pPr>
          </w:p>
        </w:tc>
        <w:tc>
          <w:tcPr>
            <w:tcW w:w="0" w:type="auto"/>
            <w:shd w:val="clear" w:color="auto" w:fill="auto"/>
          </w:tcPr>
          <w:p w14:paraId="33DAE99D" w14:textId="77777777" w:rsidR="004D6A64" w:rsidRDefault="004D6A64">
            <w:pPr>
              <w:rPr>
                <w:rFonts w:ascii="宋体"/>
              </w:rPr>
            </w:pPr>
          </w:p>
        </w:tc>
        <w:tc>
          <w:tcPr>
            <w:tcW w:w="0" w:type="auto"/>
            <w:shd w:val="clear" w:color="auto" w:fill="auto"/>
          </w:tcPr>
          <w:p w14:paraId="33DAE99E" w14:textId="77777777" w:rsidR="004D6A64" w:rsidRDefault="004D6A64">
            <w:pPr>
              <w:rPr>
                <w:rFonts w:ascii="宋体"/>
              </w:rPr>
            </w:pPr>
          </w:p>
        </w:tc>
        <w:tc>
          <w:tcPr>
            <w:tcW w:w="0" w:type="auto"/>
            <w:shd w:val="clear" w:color="auto" w:fill="auto"/>
          </w:tcPr>
          <w:p w14:paraId="33DAE99F" w14:textId="77777777" w:rsidR="004D6A64" w:rsidRDefault="004D6A64">
            <w:pPr>
              <w:rPr>
                <w:rFonts w:ascii="宋体"/>
              </w:rPr>
            </w:pPr>
          </w:p>
        </w:tc>
        <w:tc>
          <w:tcPr>
            <w:tcW w:w="0" w:type="auto"/>
            <w:shd w:val="clear" w:color="auto" w:fill="auto"/>
          </w:tcPr>
          <w:p w14:paraId="33DAE9A0" w14:textId="77777777" w:rsidR="004D6A64" w:rsidRDefault="004D6A64">
            <w:pPr>
              <w:rPr>
                <w:rFonts w:ascii="宋体"/>
              </w:rPr>
            </w:pPr>
          </w:p>
        </w:tc>
        <w:tc>
          <w:tcPr>
            <w:tcW w:w="0" w:type="auto"/>
            <w:shd w:val="clear" w:color="auto" w:fill="auto"/>
          </w:tcPr>
          <w:p w14:paraId="33DAE9A1" w14:textId="77777777" w:rsidR="004D6A64" w:rsidRDefault="004D6A64">
            <w:pPr>
              <w:rPr>
                <w:rFonts w:ascii="宋体"/>
              </w:rPr>
            </w:pPr>
          </w:p>
        </w:tc>
        <w:tc>
          <w:tcPr>
            <w:tcW w:w="0" w:type="auto"/>
            <w:shd w:val="clear" w:color="auto" w:fill="auto"/>
          </w:tcPr>
          <w:p w14:paraId="33DAE9A2" w14:textId="77777777" w:rsidR="004D6A64" w:rsidRDefault="004D6A64">
            <w:pPr>
              <w:rPr>
                <w:rFonts w:ascii="宋体"/>
              </w:rPr>
            </w:pPr>
          </w:p>
        </w:tc>
        <w:tc>
          <w:tcPr>
            <w:tcW w:w="0" w:type="auto"/>
            <w:shd w:val="clear" w:color="auto" w:fill="auto"/>
          </w:tcPr>
          <w:p w14:paraId="33DAE9A3" w14:textId="77777777" w:rsidR="004D6A64" w:rsidRDefault="004D6A64">
            <w:pPr>
              <w:rPr>
                <w:rFonts w:ascii="宋体"/>
              </w:rPr>
            </w:pPr>
          </w:p>
        </w:tc>
        <w:tc>
          <w:tcPr>
            <w:tcW w:w="0" w:type="auto"/>
            <w:shd w:val="clear" w:color="auto" w:fill="auto"/>
          </w:tcPr>
          <w:p w14:paraId="33DAE9A4" w14:textId="77777777" w:rsidR="004D6A64" w:rsidRDefault="004D6A64">
            <w:pPr>
              <w:rPr>
                <w:rFonts w:ascii="宋体"/>
              </w:rPr>
            </w:pPr>
          </w:p>
        </w:tc>
        <w:tc>
          <w:tcPr>
            <w:tcW w:w="0" w:type="auto"/>
            <w:shd w:val="clear" w:color="auto" w:fill="auto"/>
          </w:tcPr>
          <w:p w14:paraId="33DAE9A5" w14:textId="77777777" w:rsidR="004D6A64" w:rsidRDefault="004D6A64">
            <w:pPr>
              <w:rPr>
                <w:rFonts w:ascii="宋体"/>
              </w:rPr>
            </w:pPr>
          </w:p>
        </w:tc>
        <w:tc>
          <w:tcPr>
            <w:tcW w:w="0" w:type="auto"/>
            <w:shd w:val="clear" w:color="auto" w:fill="auto"/>
          </w:tcPr>
          <w:p w14:paraId="33DAE9A6" w14:textId="77777777" w:rsidR="004D6A64" w:rsidRDefault="004D6A64">
            <w:pPr>
              <w:rPr>
                <w:rFonts w:ascii="宋体"/>
              </w:rPr>
            </w:pPr>
          </w:p>
        </w:tc>
        <w:tc>
          <w:tcPr>
            <w:tcW w:w="0" w:type="auto"/>
            <w:shd w:val="clear" w:color="auto" w:fill="auto"/>
          </w:tcPr>
          <w:p w14:paraId="33DAE9A7" w14:textId="77777777" w:rsidR="004D6A64" w:rsidRDefault="004D6A64">
            <w:pPr>
              <w:rPr>
                <w:rFonts w:ascii="宋体"/>
              </w:rPr>
            </w:pPr>
          </w:p>
        </w:tc>
        <w:tc>
          <w:tcPr>
            <w:tcW w:w="0" w:type="auto"/>
            <w:shd w:val="clear" w:color="auto" w:fill="auto"/>
          </w:tcPr>
          <w:p w14:paraId="33DAE9A8" w14:textId="77777777" w:rsidR="004D6A64" w:rsidRDefault="004D6A64">
            <w:pPr>
              <w:rPr>
                <w:rFonts w:ascii="宋体"/>
              </w:rPr>
            </w:pPr>
          </w:p>
        </w:tc>
        <w:tc>
          <w:tcPr>
            <w:tcW w:w="0" w:type="auto"/>
            <w:shd w:val="clear" w:color="auto" w:fill="auto"/>
          </w:tcPr>
          <w:p w14:paraId="33DAE9A9" w14:textId="77777777" w:rsidR="004D6A64" w:rsidRDefault="004D6A64">
            <w:pPr>
              <w:rPr>
                <w:rFonts w:ascii="宋体"/>
              </w:rPr>
            </w:pPr>
          </w:p>
        </w:tc>
        <w:tc>
          <w:tcPr>
            <w:tcW w:w="0" w:type="auto"/>
            <w:shd w:val="clear" w:color="auto" w:fill="auto"/>
          </w:tcPr>
          <w:p w14:paraId="33DAE9AA" w14:textId="77777777" w:rsidR="004D6A64" w:rsidRDefault="004D6A64">
            <w:pPr>
              <w:rPr>
                <w:rFonts w:ascii="宋体"/>
              </w:rPr>
            </w:pPr>
          </w:p>
        </w:tc>
        <w:tc>
          <w:tcPr>
            <w:tcW w:w="0" w:type="auto"/>
            <w:shd w:val="clear" w:color="auto" w:fill="auto"/>
          </w:tcPr>
          <w:p w14:paraId="33DAE9AB" w14:textId="77777777" w:rsidR="004D6A64" w:rsidRDefault="004D6A64">
            <w:pPr>
              <w:rPr>
                <w:rFonts w:ascii="宋体"/>
              </w:rPr>
            </w:pPr>
          </w:p>
        </w:tc>
        <w:tc>
          <w:tcPr>
            <w:tcW w:w="0" w:type="auto"/>
            <w:shd w:val="clear" w:color="auto" w:fill="auto"/>
          </w:tcPr>
          <w:p w14:paraId="33DAE9AC" w14:textId="77777777" w:rsidR="004D6A64" w:rsidRDefault="004D6A64">
            <w:pPr>
              <w:rPr>
                <w:rFonts w:ascii="宋体"/>
              </w:rPr>
            </w:pPr>
          </w:p>
        </w:tc>
        <w:tc>
          <w:tcPr>
            <w:tcW w:w="0" w:type="auto"/>
            <w:shd w:val="clear" w:color="auto" w:fill="auto"/>
          </w:tcPr>
          <w:p w14:paraId="33DAE9AD" w14:textId="77777777" w:rsidR="004D6A64" w:rsidRDefault="004D6A64">
            <w:pPr>
              <w:rPr>
                <w:rFonts w:ascii="宋体"/>
              </w:rPr>
            </w:pPr>
          </w:p>
        </w:tc>
        <w:tc>
          <w:tcPr>
            <w:tcW w:w="0" w:type="auto"/>
            <w:shd w:val="clear" w:color="auto" w:fill="auto"/>
          </w:tcPr>
          <w:p w14:paraId="33DAE9AE" w14:textId="77777777" w:rsidR="004D6A64" w:rsidRDefault="004D6A64">
            <w:pPr>
              <w:rPr>
                <w:rFonts w:ascii="宋体"/>
              </w:rPr>
            </w:pPr>
          </w:p>
        </w:tc>
        <w:tc>
          <w:tcPr>
            <w:tcW w:w="0" w:type="auto"/>
            <w:shd w:val="clear" w:color="auto" w:fill="auto"/>
          </w:tcPr>
          <w:p w14:paraId="33DAE9AF" w14:textId="77777777" w:rsidR="004D6A64" w:rsidRDefault="004D6A64">
            <w:pPr>
              <w:rPr>
                <w:rFonts w:ascii="宋体"/>
              </w:rPr>
            </w:pPr>
          </w:p>
        </w:tc>
        <w:tc>
          <w:tcPr>
            <w:tcW w:w="0" w:type="auto"/>
            <w:shd w:val="clear" w:color="auto" w:fill="auto"/>
          </w:tcPr>
          <w:p w14:paraId="33DAE9B0" w14:textId="77777777" w:rsidR="004D6A64" w:rsidRDefault="004D6A64">
            <w:pPr>
              <w:rPr>
                <w:rFonts w:ascii="宋体"/>
              </w:rPr>
            </w:pPr>
          </w:p>
        </w:tc>
        <w:tc>
          <w:tcPr>
            <w:tcW w:w="0" w:type="auto"/>
            <w:shd w:val="clear" w:color="auto" w:fill="auto"/>
          </w:tcPr>
          <w:p w14:paraId="33DAE9B1" w14:textId="77777777" w:rsidR="004D6A64" w:rsidRDefault="004D6A64">
            <w:pPr>
              <w:rPr>
                <w:rFonts w:ascii="宋体"/>
              </w:rPr>
            </w:pPr>
          </w:p>
        </w:tc>
        <w:tc>
          <w:tcPr>
            <w:tcW w:w="0" w:type="auto"/>
            <w:shd w:val="clear" w:color="auto" w:fill="auto"/>
          </w:tcPr>
          <w:p w14:paraId="33DAE9B2" w14:textId="77777777" w:rsidR="004D6A64" w:rsidRDefault="004D6A64">
            <w:pPr>
              <w:rPr>
                <w:rFonts w:ascii="宋体"/>
              </w:rPr>
            </w:pPr>
          </w:p>
        </w:tc>
        <w:tc>
          <w:tcPr>
            <w:tcW w:w="0" w:type="auto"/>
            <w:shd w:val="clear" w:color="auto" w:fill="auto"/>
          </w:tcPr>
          <w:p w14:paraId="33DAE9B3" w14:textId="77777777" w:rsidR="004D6A64" w:rsidRDefault="004D6A64">
            <w:pPr>
              <w:rPr>
                <w:rFonts w:ascii="宋体"/>
              </w:rPr>
            </w:pPr>
          </w:p>
        </w:tc>
        <w:tc>
          <w:tcPr>
            <w:tcW w:w="0" w:type="auto"/>
            <w:shd w:val="clear" w:color="auto" w:fill="auto"/>
          </w:tcPr>
          <w:p w14:paraId="33DAE9B4" w14:textId="77777777" w:rsidR="004D6A64" w:rsidRDefault="004D6A64">
            <w:pPr>
              <w:rPr>
                <w:rFonts w:ascii="宋体"/>
              </w:rPr>
            </w:pPr>
          </w:p>
        </w:tc>
        <w:tc>
          <w:tcPr>
            <w:tcW w:w="0" w:type="auto"/>
            <w:shd w:val="clear" w:color="auto" w:fill="auto"/>
          </w:tcPr>
          <w:p w14:paraId="33DAE9B5" w14:textId="77777777" w:rsidR="004D6A64" w:rsidRDefault="004D6A64">
            <w:pPr>
              <w:rPr>
                <w:rFonts w:ascii="宋体"/>
              </w:rPr>
            </w:pPr>
          </w:p>
        </w:tc>
        <w:tc>
          <w:tcPr>
            <w:tcW w:w="0" w:type="auto"/>
            <w:shd w:val="clear" w:color="auto" w:fill="auto"/>
          </w:tcPr>
          <w:p w14:paraId="33DAE9B6" w14:textId="77777777" w:rsidR="004D6A64" w:rsidRDefault="004D6A64">
            <w:pPr>
              <w:rPr>
                <w:rFonts w:ascii="宋体"/>
              </w:rPr>
            </w:pPr>
          </w:p>
        </w:tc>
        <w:tc>
          <w:tcPr>
            <w:tcW w:w="0" w:type="auto"/>
            <w:shd w:val="clear" w:color="auto" w:fill="auto"/>
          </w:tcPr>
          <w:p w14:paraId="33DAE9B7" w14:textId="77777777" w:rsidR="004D6A64" w:rsidRDefault="004D6A64">
            <w:pPr>
              <w:rPr>
                <w:rFonts w:ascii="宋体"/>
              </w:rPr>
            </w:pPr>
          </w:p>
        </w:tc>
      </w:tr>
      <w:tr w:rsidR="004D6A64" w14:paraId="33DAE9E4" w14:textId="77777777">
        <w:trPr>
          <w:jc w:val="center"/>
        </w:trPr>
        <w:tc>
          <w:tcPr>
            <w:tcW w:w="0" w:type="auto"/>
            <w:gridSpan w:val="3"/>
            <w:shd w:val="clear" w:color="auto" w:fill="FFFFFF"/>
            <w:tcMar>
              <w:top w:w="40" w:type="dxa"/>
              <w:left w:w="225" w:type="dxa"/>
              <w:bottom w:w="40" w:type="dxa"/>
              <w:right w:w="20" w:type="dxa"/>
            </w:tcMar>
            <w:vAlign w:val="bottom"/>
          </w:tcPr>
          <w:p w14:paraId="33DAE9B9" w14:textId="77777777" w:rsidR="004D6A64" w:rsidRDefault="00506CD6">
            <w:pPr>
              <w:textAlignment w:val="bottom"/>
            </w:pPr>
            <w:r>
              <w:rPr>
                <w:rFonts w:ascii="Times New Roman" w:eastAsia="宋体" w:hAnsi="Times New Roman"/>
                <w:color w:val="000000"/>
                <w:sz w:val="20"/>
                <w:szCs w:val="20"/>
              </w:rPr>
              <w:t>Transaction-related expenses (d)</w:t>
            </w:r>
          </w:p>
        </w:tc>
        <w:tc>
          <w:tcPr>
            <w:tcW w:w="0" w:type="auto"/>
            <w:gridSpan w:val="2"/>
            <w:shd w:val="clear" w:color="auto" w:fill="FFFFFF"/>
            <w:tcMar>
              <w:top w:w="40" w:type="dxa"/>
              <w:left w:w="20" w:type="dxa"/>
              <w:bottom w:w="40" w:type="dxa"/>
              <w:right w:w="0" w:type="dxa"/>
            </w:tcMar>
            <w:vAlign w:val="bottom"/>
          </w:tcPr>
          <w:p w14:paraId="33DAE9BA" w14:textId="77777777" w:rsidR="004D6A64" w:rsidRDefault="00506CD6">
            <w:pPr>
              <w:jc w:val="right"/>
              <w:textAlignment w:val="bottom"/>
            </w:pPr>
            <w:r>
              <w:rPr>
                <w:rFonts w:ascii="Times New Roman" w:eastAsia="宋体" w:hAnsi="Times New Roman"/>
                <w:color w:val="000000"/>
                <w:sz w:val="20"/>
                <w:szCs w:val="20"/>
              </w:rPr>
              <w:t>83 </w:t>
            </w:r>
          </w:p>
        </w:tc>
        <w:tc>
          <w:tcPr>
            <w:tcW w:w="0" w:type="auto"/>
            <w:shd w:val="clear" w:color="auto" w:fill="FFFFFF"/>
            <w:tcMar>
              <w:top w:w="40" w:type="dxa"/>
              <w:bottom w:w="40" w:type="dxa"/>
              <w:right w:w="20" w:type="dxa"/>
            </w:tcMar>
            <w:vAlign w:val="bottom"/>
          </w:tcPr>
          <w:p w14:paraId="33DAE9B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9BC"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9BD"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9BE"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9BF" w14:textId="77777777" w:rsidR="004D6A64" w:rsidRDefault="00506CD6">
            <w:pPr>
              <w:jc w:val="right"/>
              <w:textAlignment w:val="bottom"/>
            </w:pPr>
            <w:r>
              <w:rPr>
                <w:rFonts w:ascii="Times New Roman" w:eastAsia="宋体" w:hAnsi="Times New Roman"/>
                <w:color w:val="000000"/>
                <w:sz w:val="20"/>
                <w:szCs w:val="20"/>
              </w:rPr>
              <w:t>47 </w:t>
            </w:r>
          </w:p>
        </w:tc>
        <w:tc>
          <w:tcPr>
            <w:tcW w:w="0" w:type="auto"/>
            <w:shd w:val="clear" w:color="auto" w:fill="FFFFFF"/>
            <w:tcMar>
              <w:top w:w="40" w:type="dxa"/>
              <w:bottom w:w="40" w:type="dxa"/>
              <w:right w:w="20" w:type="dxa"/>
            </w:tcMar>
            <w:vAlign w:val="bottom"/>
          </w:tcPr>
          <w:p w14:paraId="33DAE9C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9C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9C2" w14:textId="77777777" w:rsidR="004D6A64" w:rsidRDefault="00506CD6">
            <w:pPr>
              <w:jc w:val="right"/>
              <w:textAlignment w:val="bottom"/>
            </w:pPr>
            <w:r>
              <w:rPr>
                <w:rFonts w:ascii="Times New Roman" w:eastAsia="宋体" w:hAnsi="Times New Roman"/>
                <w:color w:val="000000"/>
                <w:sz w:val="20"/>
                <w:szCs w:val="20"/>
              </w:rPr>
              <w:t>159 </w:t>
            </w:r>
          </w:p>
        </w:tc>
        <w:tc>
          <w:tcPr>
            <w:tcW w:w="0" w:type="auto"/>
            <w:shd w:val="clear" w:color="auto" w:fill="FFFFFF"/>
            <w:tcMar>
              <w:top w:w="40" w:type="dxa"/>
              <w:bottom w:w="40" w:type="dxa"/>
              <w:right w:w="20" w:type="dxa"/>
            </w:tcMar>
            <w:vAlign w:val="bottom"/>
          </w:tcPr>
          <w:p w14:paraId="33DAE9C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9C4"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9C5"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9C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9C7" w14:textId="77777777" w:rsidR="004D6A64" w:rsidRDefault="00506CD6">
            <w:pPr>
              <w:jc w:val="right"/>
              <w:textAlignment w:val="bottom"/>
            </w:pPr>
            <w:r>
              <w:rPr>
                <w:rFonts w:ascii="Times New Roman" w:eastAsia="宋体" w:hAnsi="Times New Roman"/>
                <w:color w:val="000000"/>
                <w:sz w:val="20"/>
                <w:szCs w:val="20"/>
              </w:rPr>
              <w:t>89 </w:t>
            </w:r>
          </w:p>
        </w:tc>
        <w:tc>
          <w:tcPr>
            <w:tcW w:w="0" w:type="auto"/>
            <w:shd w:val="clear" w:color="auto" w:fill="FFFFFF"/>
            <w:tcMar>
              <w:top w:w="40" w:type="dxa"/>
              <w:bottom w:w="40" w:type="dxa"/>
              <w:right w:w="20" w:type="dxa"/>
            </w:tcMar>
            <w:vAlign w:val="bottom"/>
          </w:tcPr>
          <w:p w14:paraId="33DAE9C8" w14:textId="77777777" w:rsidR="004D6A64" w:rsidRDefault="004D6A64">
            <w:pPr>
              <w:jc w:val="right"/>
              <w:rPr>
                <w:rFonts w:ascii="宋体"/>
              </w:rPr>
            </w:pPr>
          </w:p>
        </w:tc>
        <w:tc>
          <w:tcPr>
            <w:tcW w:w="0" w:type="auto"/>
            <w:shd w:val="clear" w:color="auto" w:fill="auto"/>
          </w:tcPr>
          <w:p w14:paraId="33DAE9C9" w14:textId="77777777" w:rsidR="004D6A64" w:rsidRDefault="004D6A64">
            <w:pPr>
              <w:rPr>
                <w:rFonts w:ascii="宋体"/>
              </w:rPr>
            </w:pPr>
          </w:p>
        </w:tc>
        <w:tc>
          <w:tcPr>
            <w:tcW w:w="0" w:type="auto"/>
            <w:shd w:val="clear" w:color="auto" w:fill="auto"/>
          </w:tcPr>
          <w:p w14:paraId="33DAE9CA" w14:textId="77777777" w:rsidR="004D6A64" w:rsidRDefault="004D6A64">
            <w:pPr>
              <w:rPr>
                <w:rFonts w:ascii="宋体"/>
              </w:rPr>
            </w:pPr>
          </w:p>
        </w:tc>
        <w:tc>
          <w:tcPr>
            <w:tcW w:w="0" w:type="auto"/>
            <w:shd w:val="clear" w:color="auto" w:fill="auto"/>
          </w:tcPr>
          <w:p w14:paraId="33DAE9CB" w14:textId="77777777" w:rsidR="004D6A64" w:rsidRDefault="004D6A64">
            <w:pPr>
              <w:rPr>
                <w:rFonts w:ascii="宋体"/>
              </w:rPr>
            </w:pPr>
          </w:p>
        </w:tc>
        <w:tc>
          <w:tcPr>
            <w:tcW w:w="0" w:type="auto"/>
            <w:shd w:val="clear" w:color="auto" w:fill="auto"/>
          </w:tcPr>
          <w:p w14:paraId="33DAE9CC" w14:textId="77777777" w:rsidR="004D6A64" w:rsidRDefault="004D6A64">
            <w:pPr>
              <w:rPr>
                <w:rFonts w:ascii="宋体"/>
              </w:rPr>
            </w:pPr>
          </w:p>
        </w:tc>
        <w:tc>
          <w:tcPr>
            <w:tcW w:w="0" w:type="auto"/>
            <w:shd w:val="clear" w:color="auto" w:fill="auto"/>
          </w:tcPr>
          <w:p w14:paraId="33DAE9CD" w14:textId="77777777" w:rsidR="004D6A64" w:rsidRDefault="004D6A64">
            <w:pPr>
              <w:rPr>
                <w:rFonts w:ascii="宋体"/>
              </w:rPr>
            </w:pPr>
          </w:p>
        </w:tc>
        <w:tc>
          <w:tcPr>
            <w:tcW w:w="0" w:type="auto"/>
            <w:shd w:val="clear" w:color="auto" w:fill="auto"/>
          </w:tcPr>
          <w:p w14:paraId="33DAE9CE" w14:textId="77777777" w:rsidR="004D6A64" w:rsidRDefault="004D6A64">
            <w:pPr>
              <w:rPr>
                <w:rFonts w:ascii="宋体"/>
              </w:rPr>
            </w:pPr>
          </w:p>
        </w:tc>
        <w:tc>
          <w:tcPr>
            <w:tcW w:w="0" w:type="auto"/>
            <w:shd w:val="clear" w:color="auto" w:fill="auto"/>
          </w:tcPr>
          <w:p w14:paraId="33DAE9CF" w14:textId="77777777" w:rsidR="004D6A64" w:rsidRDefault="004D6A64">
            <w:pPr>
              <w:rPr>
                <w:rFonts w:ascii="宋体"/>
              </w:rPr>
            </w:pPr>
          </w:p>
        </w:tc>
        <w:tc>
          <w:tcPr>
            <w:tcW w:w="0" w:type="auto"/>
            <w:shd w:val="clear" w:color="auto" w:fill="auto"/>
          </w:tcPr>
          <w:p w14:paraId="33DAE9D0" w14:textId="77777777" w:rsidR="004D6A64" w:rsidRDefault="004D6A64">
            <w:pPr>
              <w:rPr>
                <w:rFonts w:ascii="宋体"/>
              </w:rPr>
            </w:pPr>
          </w:p>
        </w:tc>
        <w:tc>
          <w:tcPr>
            <w:tcW w:w="0" w:type="auto"/>
            <w:shd w:val="clear" w:color="auto" w:fill="auto"/>
          </w:tcPr>
          <w:p w14:paraId="33DAE9D1" w14:textId="77777777" w:rsidR="004D6A64" w:rsidRDefault="004D6A64">
            <w:pPr>
              <w:rPr>
                <w:rFonts w:ascii="宋体"/>
              </w:rPr>
            </w:pPr>
          </w:p>
        </w:tc>
        <w:tc>
          <w:tcPr>
            <w:tcW w:w="0" w:type="auto"/>
            <w:shd w:val="clear" w:color="auto" w:fill="auto"/>
          </w:tcPr>
          <w:p w14:paraId="33DAE9D2" w14:textId="77777777" w:rsidR="004D6A64" w:rsidRDefault="004D6A64">
            <w:pPr>
              <w:rPr>
                <w:rFonts w:ascii="宋体"/>
              </w:rPr>
            </w:pPr>
          </w:p>
        </w:tc>
        <w:tc>
          <w:tcPr>
            <w:tcW w:w="0" w:type="auto"/>
            <w:shd w:val="clear" w:color="auto" w:fill="auto"/>
          </w:tcPr>
          <w:p w14:paraId="33DAE9D3" w14:textId="77777777" w:rsidR="004D6A64" w:rsidRDefault="004D6A64">
            <w:pPr>
              <w:rPr>
                <w:rFonts w:ascii="宋体"/>
              </w:rPr>
            </w:pPr>
          </w:p>
        </w:tc>
        <w:tc>
          <w:tcPr>
            <w:tcW w:w="0" w:type="auto"/>
            <w:shd w:val="clear" w:color="auto" w:fill="auto"/>
          </w:tcPr>
          <w:p w14:paraId="33DAE9D4" w14:textId="77777777" w:rsidR="004D6A64" w:rsidRDefault="004D6A64">
            <w:pPr>
              <w:rPr>
                <w:rFonts w:ascii="宋体"/>
              </w:rPr>
            </w:pPr>
          </w:p>
        </w:tc>
        <w:tc>
          <w:tcPr>
            <w:tcW w:w="0" w:type="auto"/>
            <w:shd w:val="clear" w:color="auto" w:fill="auto"/>
          </w:tcPr>
          <w:p w14:paraId="33DAE9D5" w14:textId="77777777" w:rsidR="004D6A64" w:rsidRDefault="004D6A64">
            <w:pPr>
              <w:rPr>
                <w:rFonts w:ascii="宋体"/>
              </w:rPr>
            </w:pPr>
          </w:p>
        </w:tc>
        <w:tc>
          <w:tcPr>
            <w:tcW w:w="0" w:type="auto"/>
            <w:shd w:val="clear" w:color="auto" w:fill="auto"/>
          </w:tcPr>
          <w:p w14:paraId="33DAE9D6" w14:textId="77777777" w:rsidR="004D6A64" w:rsidRDefault="004D6A64">
            <w:pPr>
              <w:rPr>
                <w:rFonts w:ascii="宋体"/>
              </w:rPr>
            </w:pPr>
          </w:p>
        </w:tc>
        <w:tc>
          <w:tcPr>
            <w:tcW w:w="0" w:type="auto"/>
            <w:shd w:val="clear" w:color="auto" w:fill="auto"/>
          </w:tcPr>
          <w:p w14:paraId="33DAE9D7" w14:textId="77777777" w:rsidR="004D6A64" w:rsidRDefault="004D6A64">
            <w:pPr>
              <w:rPr>
                <w:rFonts w:ascii="宋体"/>
              </w:rPr>
            </w:pPr>
          </w:p>
        </w:tc>
        <w:tc>
          <w:tcPr>
            <w:tcW w:w="0" w:type="auto"/>
            <w:shd w:val="clear" w:color="auto" w:fill="auto"/>
          </w:tcPr>
          <w:p w14:paraId="33DAE9D8" w14:textId="77777777" w:rsidR="004D6A64" w:rsidRDefault="004D6A64">
            <w:pPr>
              <w:rPr>
                <w:rFonts w:ascii="宋体"/>
              </w:rPr>
            </w:pPr>
          </w:p>
        </w:tc>
        <w:tc>
          <w:tcPr>
            <w:tcW w:w="0" w:type="auto"/>
            <w:shd w:val="clear" w:color="auto" w:fill="auto"/>
          </w:tcPr>
          <w:p w14:paraId="33DAE9D9" w14:textId="77777777" w:rsidR="004D6A64" w:rsidRDefault="004D6A64">
            <w:pPr>
              <w:rPr>
                <w:rFonts w:ascii="宋体"/>
              </w:rPr>
            </w:pPr>
          </w:p>
        </w:tc>
        <w:tc>
          <w:tcPr>
            <w:tcW w:w="0" w:type="auto"/>
            <w:shd w:val="clear" w:color="auto" w:fill="auto"/>
          </w:tcPr>
          <w:p w14:paraId="33DAE9DA" w14:textId="77777777" w:rsidR="004D6A64" w:rsidRDefault="004D6A64">
            <w:pPr>
              <w:rPr>
                <w:rFonts w:ascii="宋体"/>
              </w:rPr>
            </w:pPr>
          </w:p>
        </w:tc>
        <w:tc>
          <w:tcPr>
            <w:tcW w:w="0" w:type="auto"/>
            <w:shd w:val="clear" w:color="auto" w:fill="auto"/>
          </w:tcPr>
          <w:p w14:paraId="33DAE9DB" w14:textId="77777777" w:rsidR="004D6A64" w:rsidRDefault="004D6A64">
            <w:pPr>
              <w:rPr>
                <w:rFonts w:ascii="宋体"/>
              </w:rPr>
            </w:pPr>
          </w:p>
        </w:tc>
        <w:tc>
          <w:tcPr>
            <w:tcW w:w="0" w:type="auto"/>
            <w:shd w:val="clear" w:color="auto" w:fill="auto"/>
          </w:tcPr>
          <w:p w14:paraId="33DAE9DC" w14:textId="77777777" w:rsidR="004D6A64" w:rsidRDefault="004D6A64">
            <w:pPr>
              <w:rPr>
                <w:rFonts w:ascii="宋体"/>
              </w:rPr>
            </w:pPr>
          </w:p>
        </w:tc>
        <w:tc>
          <w:tcPr>
            <w:tcW w:w="0" w:type="auto"/>
            <w:shd w:val="clear" w:color="auto" w:fill="auto"/>
          </w:tcPr>
          <w:p w14:paraId="33DAE9DD" w14:textId="77777777" w:rsidR="004D6A64" w:rsidRDefault="004D6A64">
            <w:pPr>
              <w:rPr>
                <w:rFonts w:ascii="宋体"/>
              </w:rPr>
            </w:pPr>
          </w:p>
        </w:tc>
        <w:tc>
          <w:tcPr>
            <w:tcW w:w="0" w:type="auto"/>
            <w:shd w:val="clear" w:color="auto" w:fill="auto"/>
          </w:tcPr>
          <w:p w14:paraId="33DAE9DE" w14:textId="77777777" w:rsidR="004D6A64" w:rsidRDefault="004D6A64">
            <w:pPr>
              <w:rPr>
                <w:rFonts w:ascii="宋体"/>
              </w:rPr>
            </w:pPr>
          </w:p>
        </w:tc>
        <w:tc>
          <w:tcPr>
            <w:tcW w:w="0" w:type="auto"/>
            <w:shd w:val="clear" w:color="auto" w:fill="auto"/>
          </w:tcPr>
          <w:p w14:paraId="33DAE9DF" w14:textId="77777777" w:rsidR="004D6A64" w:rsidRDefault="004D6A64">
            <w:pPr>
              <w:rPr>
                <w:rFonts w:ascii="宋体"/>
              </w:rPr>
            </w:pPr>
          </w:p>
        </w:tc>
        <w:tc>
          <w:tcPr>
            <w:tcW w:w="0" w:type="auto"/>
            <w:shd w:val="clear" w:color="auto" w:fill="auto"/>
          </w:tcPr>
          <w:p w14:paraId="33DAE9E0" w14:textId="77777777" w:rsidR="004D6A64" w:rsidRDefault="004D6A64">
            <w:pPr>
              <w:rPr>
                <w:rFonts w:ascii="宋体"/>
              </w:rPr>
            </w:pPr>
          </w:p>
        </w:tc>
        <w:tc>
          <w:tcPr>
            <w:tcW w:w="0" w:type="auto"/>
            <w:shd w:val="clear" w:color="auto" w:fill="auto"/>
          </w:tcPr>
          <w:p w14:paraId="33DAE9E1" w14:textId="77777777" w:rsidR="004D6A64" w:rsidRDefault="004D6A64">
            <w:pPr>
              <w:rPr>
                <w:rFonts w:ascii="宋体"/>
              </w:rPr>
            </w:pPr>
          </w:p>
        </w:tc>
        <w:tc>
          <w:tcPr>
            <w:tcW w:w="0" w:type="auto"/>
            <w:shd w:val="clear" w:color="auto" w:fill="auto"/>
          </w:tcPr>
          <w:p w14:paraId="33DAE9E2" w14:textId="77777777" w:rsidR="004D6A64" w:rsidRDefault="004D6A64">
            <w:pPr>
              <w:rPr>
                <w:rFonts w:ascii="宋体"/>
              </w:rPr>
            </w:pPr>
          </w:p>
        </w:tc>
        <w:tc>
          <w:tcPr>
            <w:tcW w:w="0" w:type="auto"/>
            <w:shd w:val="clear" w:color="auto" w:fill="auto"/>
          </w:tcPr>
          <w:p w14:paraId="33DAE9E3" w14:textId="77777777" w:rsidR="004D6A64" w:rsidRDefault="004D6A64">
            <w:pPr>
              <w:rPr>
                <w:rFonts w:ascii="宋体"/>
              </w:rPr>
            </w:pPr>
          </w:p>
        </w:tc>
      </w:tr>
      <w:tr w:rsidR="004D6A64" w14:paraId="33DAEA10" w14:textId="77777777">
        <w:trPr>
          <w:jc w:val="center"/>
        </w:trPr>
        <w:tc>
          <w:tcPr>
            <w:tcW w:w="0" w:type="auto"/>
            <w:gridSpan w:val="3"/>
            <w:shd w:val="clear" w:color="auto" w:fill="CCEEFF"/>
            <w:tcMar>
              <w:top w:w="40" w:type="dxa"/>
              <w:left w:w="225" w:type="dxa"/>
              <w:bottom w:w="40" w:type="dxa"/>
              <w:right w:w="20" w:type="dxa"/>
            </w:tcMar>
            <w:vAlign w:val="bottom"/>
          </w:tcPr>
          <w:p w14:paraId="33DAE9E5" w14:textId="77777777" w:rsidR="004D6A64" w:rsidRDefault="00506CD6">
            <w:pPr>
              <w:textAlignment w:val="bottom"/>
            </w:pPr>
            <w:r>
              <w:rPr>
                <w:rFonts w:ascii="Times New Roman" w:eastAsia="宋体" w:hAnsi="Times New Roman"/>
                <w:color w:val="000000"/>
                <w:sz w:val="20"/>
                <w:szCs w:val="20"/>
              </w:rPr>
              <w:t>Other corporate expenses (e)</w:t>
            </w:r>
          </w:p>
        </w:tc>
        <w:tc>
          <w:tcPr>
            <w:tcW w:w="0" w:type="auto"/>
            <w:gridSpan w:val="2"/>
            <w:shd w:val="clear" w:color="auto" w:fill="CCEEFF"/>
            <w:tcMar>
              <w:top w:w="40" w:type="dxa"/>
              <w:left w:w="20" w:type="dxa"/>
              <w:bottom w:w="40" w:type="dxa"/>
              <w:right w:w="0" w:type="dxa"/>
            </w:tcMar>
            <w:vAlign w:val="bottom"/>
          </w:tcPr>
          <w:p w14:paraId="33DAE9E6" w14:textId="77777777" w:rsidR="004D6A64" w:rsidRDefault="00506CD6">
            <w:pPr>
              <w:jc w:val="right"/>
              <w:textAlignment w:val="bottom"/>
            </w:pPr>
            <w:r>
              <w:rPr>
                <w:rFonts w:ascii="Times New Roman" w:eastAsia="宋体" w:hAnsi="Times New Roman"/>
                <w:color w:val="000000"/>
                <w:sz w:val="20"/>
                <w:szCs w:val="20"/>
              </w:rPr>
              <w:t>86 </w:t>
            </w:r>
          </w:p>
        </w:tc>
        <w:tc>
          <w:tcPr>
            <w:tcW w:w="0" w:type="auto"/>
            <w:shd w:val="clear" w:color="auto" w:fill="CCEEFF"/>
            <w:tcMar>
              <w:top w:w="40" w:type="dxa"/>
              <w:bottom w:w="40" w:type="dxa"/>
              <w:right w:w="20" w:type="dxa"/>
            </w:tcMar>
            <w:vAlign w:val="bottom"/>
          </w:tcPr>
          <w:p w14:paraId="33DAE9E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9E8"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9E9"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9EA"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9EB" w14:textId="77777777" w:rsidR="004D6A64" w:rsidRDefault="00506CD6">
            <w:pPr>
              <w:jc w:val="right"/>
              <w:textAlignment w:val="bottom"/>
            </w:pPr>
            <w:r>
              <w:rPr>
                <w:rFonts w:ascii="Times New Roman" w:eastAsia="宋体" w:hAnsi="Times New Roman"/>
                <w:color w:val="000000"/>
                <w:sz w:val="20"/>
                <w:szCs w:val="20"/>
              </w:rPr>
              <w:t>707 </w:t>
            </w:r>
          </w:p>
        </w:tc>
        <w:tc>
          <w:tcPr>
            <w:tcW w:w="0" w:type="auto"/>
            <w:shd w:val="clear" w:color="auto" w:fill="CCEEFF"/>
            <w:tcMar>
              <w:top w:w="40" w:type="dxa"/>
              <w:bottom w:w="40" w:type="dxa"/>
              <w:right w:w="20" w:type="dxa"/>
            </w:tcMar>
            <w:vAlign w:val="bottom"/>
          </w:tcPr>
          <w:p w14:paraId="33DAE9E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9E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9EE" w14:textId="77777777" w:rsidR="004D6A64" w:rsidRDefault="00506CD6">
            <w:pPr>
              <w:jc w:val="right"/>
              <w:textAlignment w:val="bottom"/>
            </w:pPr>
            <w:r>
              <w:rPr>
                <w:rFonts w:ascii="Times New Roman" w:eastAsia="宋体" w:hAnsi="Times New Roman"/>
                <w:color w:val="000000"/>
                <w:sz w:val="20"/>
                <w:szCs w:val="20"/>
              </w:rPr>
              <w:t>181 </w:t>
            </w:r>
          </w:p>
        </w:tc>
        <w:tc>
          <w:tcPr>
            <w:tcW w:w="0" w:type="auto"/>
            <w:shd w:val="clear" w:color="auto" w:fill="CCEEFF"/>
            <w:tcMar>
              <w:top w:w="40" w:type="dxa"/>
              <w:bottom w:w="40" w:type="dxa"/>
              <w:right w:w="20" w:type="dxa"/>
            </w:tcMar>
            <w:vAlign w:val="bottom"/>
          </w:tcPr>
          <w:p w14:paraId="33DAE9E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9F0"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9F1"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9F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9F3" w14:textId="77777777" w:rsidR="004D6A64" w:rsidRDefault="00506CD6">
            <w:pPr>
              <w:jc w:val="right"/>
              <w:textAlignment w:val="bottom"/>
            </w:pPr>
            <w:r>
              <w:rPr>
                <w:rFonts w:ascii="Times New Roman" w:eastAsia="宋体" w:hAnsi="Times New Roman"/>
                <w:color w:val="000000"/>
                <w:sz w:val="20"/>
                <w:szCs w:val="20"/>
              </w:rPr>
              <w:t>726 </w:t>
            </w:r>
          </w:p>
        </w:tc>
        <w:tc>
          <w:tcPr>
            <w:tcW w:w="0" w:type="auto"/>
            <w:shd w:val="clear" w:color="auto" w:fill="CCEEFF"/>
            <w:tcMar>
              <w:top w:w="40" w:type="dxa"/>
              <w:bottom w:w="40" w:type="dxa"/>
              <w:right w:w="20" w:type="dxa"/>
            </w:tcMar>
            <w:vAlign w:val="bottom"/>
          </w:tcPr>
          <w:p w14:paraId="33DAE9F4" w14:textId="77777777" w:rsidR="004D6A64" w:rsidRDefault="004D6A64">
            <w:pPr>
              <w:jc w:val="right"/>
              <w:rPr>
                <w:rFonts w:ascii="宋体"/>
              </w:rPr>
            </w:pPr>
          </w:p>
        </w:tc>
        <w:tc>
          <w:tcPr>
            <w:tcW w:w="0" w:type="auto"/>
            <w:shd w:val="clear" w:color="auto" w:fill="auto"/>
          </w:tcPr>
          <w:p w14:paraId="33DAE9F5" w14:textId="77777777" w:rsidR="004D6A64" w:rsidRDefault="004D6A64">
            <w:pPr>
              <w:rPr>
                <w:rFonts w:ascii="宋体"/>
              </w:rPr>
            </w:pPr>
          </w:p>
        </w:tc>
        <w:tc>
          <w:tcPr>
            <w:tcW w:w="0" w:type="auto"/>
            <w:shd w:val="clear" w:color="auto" w:fill="auto"/>
          </w:tcPr>
          <w:p w14:paraId="33DAE9F6" w14:textId="77777777" w:rsidR="004D6A64" w:rsidRDefault="004D6A64">
            <w:pPr>
              <w:rPr>
                <w:rFonts w:ascii="宋体"/>
              </w:rPr>
            </w:pPr>
          </w:p>
        </w:tc>
        <w:tc>
          <w:tcPr>
            <w:tcW w:w="0" w:type="auto"/>
            <w:shd w:val="clear" w:color="auto" w:fill="auto"/>
          </w:tcPr>
          <w:p w14:paraId="33DAE9F7" w14:textId="77777777" w:rsidR="004D6A64" w:rsidRDefault="004D6A64">
            <w:pPr>
              <w:rPr>
                <w:rFonts w:ascii="宋体"/>
              </w:rPr>
            </w:pPr>
          </w:p>
        </w:tc>
        <w:tc>
          <w:tcPr>
            <w:tcW w:w="0" w:type="auto"/>
            <w:shd w:val="clear" w:color="auto" w:fill="auto"/>
          </w:tcPr>
          <w:p w14:paraId="33DAE9F8" w14:textId="77777777" w:rsidR="004D6A64" w:rsidRDefault="004D6A64">
            <w:pPr>
              <w:rPr>
                <w:rFonts w:ascii="宋体"/>
              </w:rPr>
            </w:pPr>
          </w:p>
        </w:tc>
        <w:tc>
          <w:tcPr>
            <w:tcW w:w="0" w:type="auto"/>
            <w:shd w:val="clear" w:color="auto" w:fill="auto"/>
          </w:tcPr>
          <w:p w14:paraId="33DAE9F9" w14:textId="77777777" w:rsidR="004D6A64" w:rsidRDefault="004D6A64">
            <w:pPr>
              <w:rPr>
                <w:rFonts w:ascii="宋体"/>
              </w:rPr>
            </w:pPr>
          </w:p>
        </w:tc>
        <w:tc>
          <w:tcPr>
            <w:tcW w:w="0" w:type="auto"/>
            <w:shd w:val="clear" w:color="auto" w:fill="auto"/>
          </w:tcPr>
          <w:p w14:paraId="33DAE9FA" w14:textId="77777777" w:rsidR="004D6A64" w:rsidRDefault="004D6A64">
            <w:pPr>
              <w:rPr>
                <w:rFonts w:ascii="宋体"/>
              </w:rPr>
            </w:pPr>
          </w:p>
        </w:tc>
        <w:tc>
          <w:tcPr>
            <w:tcW w:w="0" w:type="auto"/>
            <w:shd w:val="clear" w:color="auto" w:fill="auto"/>
          </w:tcPr>
          <w:p w14:paraId="33DAE9FB" w14:textId="77777777" w:rsidR="004D6A64" w:rsidRDefault="004D6A64">
            <w:pPr>
              <w:rPr>
                <w:rFonts w:ascii="宋体"/>
              </w:rPr>
            </w:pPr>
          </w:p>
        </w:tc>
        <w:tc>
          <w:tcPr>
            <w:tcW w:w="0" w:type="auto"/>
            <w:shd w:val="clear" w:color="auto" w:fill="auto"/>
          </w:tcPr>
          <w:p w14:paraId="33DAE9FC" w14:textId="77777777" w:rsidR="004D6A64" w:rsidRDefault="004D6A64">
            <w:pPr>
              <w:rPr>
                <w:rFonts w:ascii="宋体"/>
              </w:rPr>
            </w:pPr>
          </w:p>
        </w:tc>
        <w:tc>
          <w:tcPr>
            <w:tcW w:w="0" w:type="auto"/>
            <w:shd w:val="clear" w:color="auto" w:fill="auto"/>
          </w:tcPr>
          <w:p w14:paraId="33DAE9FD" w14:textId="77777777" w:rsidR="004D6A64" w:rsidRDefault="004D6A64">
            <w:pPr>
              <w:rPr>
                <w:rFonts w:ascii="宋体"/>
              </w:rPr>
            </w:pPr>
          </w:p>
        </w:tc>
        <w:tc>
          <w:tcPr>
            <w:tcW w:w="0" w:type="auto"/>
            <w:shd w:val="clear" w:color="auto" w:fill="auto"/>
          </w:tcPr>
          <w:p w14:paraId="33DAE9FE" w14:textId="77777777" w:rsidR="004D6A64" w:rsidRDefault="004D6A64">
            <w:pPr>
              <w:rPr>
                <w:rFonts w:ascii="宋体"/>
              </w:rPr>
            </w:pPr>
          </w:p>
        </w:tc>
        <w:tc>
          <w:tcPr>
            <w:tcW w:w="0" w:type="auto"/>
            <w:shd w:val="clear" w:color="auto" w:fill="auto"/>
          </w:tcPr>
          <w:p w14:paraId="33DAE9FF" w14:textId="77777777" w:rsidR="004D6A64" w:rsidRDefault="004D6A64">
            <w:pPr>
              <w:rPr>
                <w:rFonts w:ascii="宋体"/>
              </w:rPr>
            </w:pPr>
          </w:p>
        </w:tc>
        <w:tc>
          <w:tcPr>
            <w:tcW w:w="0" w:type="auto"/>
            <w:shd w:val="clear" w:color="auto" w:fill="auto"/>
          </w:tcPr>
          <w:p w14:paraId="33DAEA00" w14:textId="77777777" w:rsidR="004D6A64" w:rsidRDefault="004D6A64">
            <w:pPr>
              <w:rPr>
                <w:rFonts w:ascii="宋体"/>
              </w:rPr>
            </w:pPr>
          </w:p>
        </w:tc>
        <w:tc>
          <w:tcPr>
            <w:tcW w:w="0" w:type="auto"/>
            <w:shd w:val="clear" w:color="auto" w:fill="auto"/>
          </w:tcPr>
          <w:p w14:paraId="33DAEA01" w14:textId="77777777" w:rsidR="004D6A64" w:rsidRDefault="004D6A64">
            <w:pPr>
              <w:rPr>
                <w:rFonts w:ascii="宋体"/>
              </w:rPr>
            </w:pPr>
          </w:p>
        </w:tc>
        <w:tc>
          <w:tcPr>
            <w:tcW w:w="0" w:type="auto"/>
            <w:shd w:val="clear" w:color="auto" w:fill="auto"/>
          </w:tcPr>
          <w:p w14:paraId="33DAEA02" w14:textId="77777777" w:rsidR="004D6A64" w:rsidRDefault="004D6A64">
            <w:pPr>
              <w:rPr>
                <w:rFonts w:ascii="宋体"/>
              </w:rPr>
            </w:pPr>
          </w:p>
        </w:tc>
        <w:tc>
          <w:tcPr>
            <w:tcW w:w="0" w:type="auto"/>
            <w:shd w:val="clear" w:color="auto" w:fill="auto"/>
          </w:tcPr>
          <w:p w14:paraId="33DAEA03" w14:textId="77777777" w:rsidR="004D6A64" w:rsidRDefault="004D6A64">
            <w:pPr>
              <w:rPr>
                <w:rFonts w:ascii="宋体"/>
              </w:rPr>
            </w:pPr>
          </w:p>
        </w:tc>
        <w:tc>
          <w:tcPr>
            <w:tcW w:w="0" w:type="auto"/>
            <w:shd w:val="clear" w:color="auto" w:fill="auto"/>
          </w:tcPr>
          <w:p w14:paraId="33DAEA04" w14:textId="77777777" w:rsidR="004D6A64" w:rsidRDefault="004D6A64">
            <w:pPr>
              <w:rPr>
                <w:rFonts w:ascii="宋体"/>
              </w:rPr>
            </w:pPr>
          </w:p>
        </w:tc>
        <w:tc>
          <w:tcPr>
            <w:tcW w:w="0" w:type="auto"/>
            <w:shd w:val="clear" w:color="auto" w:fill="auto"/>
          </w:tcPr>
          <w:p w14:paraId="33DAEA05" w14:textId="77777777" w:rsidR="004D6A64" w:rsidRDefault="004D6A64">
            <w:pPr>
              <w:rPr>
                <w:rFonts w:ascii="宋体"/>
              </w:rPr>
            </w:pPr>
          </w:p>
        </w:tc>
        <w:tc>
          <w:tcPr>
            <w:tcW w:w="0" w:type="auto"/>
            <w:shd w:val="clear" w:color="auto" w:fill="auto"/>
          </w:tcPr>
          <w:p w14:paraId="33DAEA06" w14:textId="77777777" w:rsidR="004D6A64" w:rsidRDefault="004D6A64">
            <w:pPr>
              <w:rPr>
                <w:rFonts w:ascii="宋体"/>
              </w:rPr>
            </w:pPr>
          </w:p>
        </w:tc>
        <w:tc>
          <w:tcPr>
            <w:tcW w:w="0" w:type="auto"/>
            <w:shd w:val="clear" w:color="auto" w:fill="auto"/>
          </w:tcPr>
          <w:p w14:paraId="33DAEA07" w14:textId="77777777" w:rsidR="004D6A64" w:rsidRDefault="004D6A64">
            <w:pPr>
              <w:rPr>
                <w:rFonts w:ascii="宋体"/>
              </w:rPr>
            </w:pPr>
          </w:p>
        </w:tc>
        <w:tc>
          <w:tcPr>
            <w:tcW w:w="0" w:type="auto"/>
            <w:shd w:val="clear" w:color="auto" w:fill="auto"/>
          </w:tcPr>
          <w:p w14:paraId="33DAEA08" w14:textId="77777777" w:rsidR="004D6A64" w:rsidRDefault="004D6A64">
            <w:pPr>
              <w:rPr>
                <w:rFonts w:ascii="宋体"/>
              </w:rPr>
            </w:pPr>
          </w:p>
        </w:tc>
        <w:tc>
          <w:tcPr>
            <w:tcW w:w="0" w:type="auto"/>
            <w:shd w:val="clear" w:color="auto" w:fill="auto"/>
          </w:tcPr>
          <w:p w14:paraId="33DAEA09" w14:textId="77777777" w:rsidR="004D6A64" w:rsidRDefault="004D6A64">
            <w:pPr>
              <w:rPr>
                <w:rFonts w:ascii="宋体"/>
              </w:rPr>
            </w:pPr>
          </w:p>
        </w:tc>
        <w:tc>
          <w:tcPr>
            <w:tcW w:w="0" w:type="auto"/>
            <w:shd w:val="clear" w:color="auto" w:fill="auto"/>
          </w:tcPr>
          <w:p w14:paraId="33DAEA0A" w14:textId="77777777" w:rsidR="004D6A64" w:rsidRDefault="004D6A64">
            <w:pPr>
              <w:rPr>
                <w:rFonts w:ascii="宋体"/>
              </w:rPr>
            </w:pPr>
          </w:p>
        </w:tc>
        <w:tc>
          <w:tcPr>
            <w:tcW w:w="0" w:type="auto"/>
            <w:shd w:val="clear" w:color="auto" w:fill="auto"/>
          </w:tcPr>
          <w:p w14:paraId="33DAEA0B" w14:textId="77777777" w:rsidR="004D6A64" w:rsidRDefault="004D6A64">
            <w:pPr>
              <w:rPr>
                <w:rFonts w:ascii="宋体"/>
              </w:rPr>
            </w:pPr>
          </w:p>
        </w:tc>
        <w:tc>
          <w:tcPr>
            <w:tcW w:w="0" w:type="auto"/>
            <w:shd w:val="clear" w:color="auto" w:fill="auto"/>
          </w:tcPr>
          <w:p w14:paraId="33DAEA0C" w14:textId="77777777" w:rsidR="004D6A64" w:rsidRDefault="004D6A64">
            <w:pPr>
              <w:rPr>
                <w:rFonts w:ascii="宋体"/>
              </w:rPr>
            </w:pPr>
          </w:p>
        </w:tc>
        <w:tc>
          <w:tcPr>
            <w:tcW w:w="0" w:type="auto"/>
            <w:shd w:val="clear" w:color="auto" w:fill="auto"/>
          </w:tcPr>
          <w:p w14:paraId="33DAEA0D" w14:textId="77777777" w:rsidR="004D6A64" w:rsidRDefault="004D6A64">
            <w:pPr>
              <w:rPr>
                <w:rFonts w:ascii="宋体"/>
              </w:rPr>
            </w:pPr>
          </w:p>
        </w:tc>
        <w:tc>
          <w:tcPr>
            <w:tcW w:w="0" w:type="auto"/>
            <w:shd w:val="clear" w:color="auto" w:fill="auto"/>
          </w:tcPr>
          <w:p w14:paraId="33DAEA0E" w14:textId="77777777" w:rsidR="004D6A64" w:rsidRDefault="004D6A64">
            <w:pPr>
              <w:rPr>
                <w:rFonts w:ascii="宋体"/>
              </w:rPr>
            </w:pPr>
          </w:p>
        </w:tc>
        <w:tc>
          <w:tcPr>
            <w:tcW w:w="0" w:type="auto"/>
            <w:shd w:val="clear" w:color="auto" w:fill="auto"/>
          </w:tcPr>
          <w:p w14:paraId="33DAEA0F" w14:textId="77777777" w:rsidR="004D6A64" w:rsidRDefault="004D6A64">
            <w:pPr>
              <w:rPr>
                <w:rFonts w:ascii="宋体"/>
              </w:rPr>
            </w:pPr>
          </w:p>
        </w:tc>
      </w:tr>
      <w:tr w:rsidR="004D6A64" w14:paraId="33DAEA42" w14:textId="77777777">
        <w:trPr>
          <w:jc w:val="center"/>
        </w:trPr>
        <w:tc>
          <w:tcPr>
            <w:tcW w:w="0" w:type="auto"/>
            <w:gridSpan w:val="3"/>
            <w:shd w:val="clear" w:color="auto" w:fill="FFFFFF"/>
            <w:tcMar>
              <w:top w:w="40" w:type="dxa"/>
              <w:left w:w="360" w:type="dxa"/>
              <w:bottom w:w="40" w:type="dxa"/>
              <w:right w:w="20" w:type="dxa"/>
            </w:tcMar>
            <w:vAlign w:val="bottom"/>
          </w:tcPr>
          <w:p w14:paraId="33DAEA11" w14:textId="77777777" w:rsidR="004D6A64" w:rsidRDefault="00506CD6">
            <w:pPr>
              <w:textAlignment w:val="bottom"/>
            </w:pPr>
            <w:r>
              <w:rPr>
                <w:rFonts w:ascii="Times New Roman" w:eastAsia="宋体" w:hAnsi="Times New Roman"/>
                <w:color w:val="000000"/>
                <w:sz w:val="20"/>
                <w:szCs w:val="20"/>
              </w:rPr>
              <w:t>Adjusted EBITDA</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EA12"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EA13" w14:textId="77777777" w:rsidR="004D6A64" w:rsidRDefault="00506CD6">
            <w:pPr>
              <w:jc w:val="right"/>
              <w:textAlignment w:val="bottom"/>
            </w:pPr>
            <w:r>
              <w:rPr>
                <w:rFonts w:ascii="Times New Roman" w:eastAsia="宋体" w:hAnsi="Times New Roman"/>
                <w:color w:val="000000"/>
                <w:sz w:val="20"/>
                <w:szCs w:val="20"/>
              </w:rPr>
              <w:t>3,100 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EA1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A15"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A16" w14:textId="77777777" w:rsidR="004D6A64" w:rsidRDefault="00506CD6">
            <w:pPr>
              <w:jc w:val="right"/>
              <w:textAlignment w:val="bottom"/>
            </w:pPr>
            <w:r>
              <w:rPr>
                <w:rFonts w:ascii="Times New Roman" w:eastAsia="宋体" w:hAnsi="Times New Roman"/>
                <w:color w:val="000000"/>
                <w:sz w:val="20"/>
                <w:szCs w:val="20"/>
              </w:rPr>
              <w:t>(2)</w:t>
            </w:r>
          </w:p>
        </w:tc>
        <w:tc>
          <w:tcPr>
            <w:tcW w:w="0" w:type="auto"/>
            <w:shd w:val="clear" w:color="auto" w:fill="FFFFFF"/>
            <w:tcMar>
              <w:top w:w="40" w:type="dxa"/>
              <w:bottom w:w="40" w:type="dxa"/>
              <w:right w:w="20" w:type="dxa"/>
            </w:tcMar>
            <w:vAlign w:val="bottom"/>
          </w:tcPr>
          <w:p w14:paraId="33DAEA17"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A18"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EA19"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EA1A" w14:textId="77777777" w:rsidR="004D6A64" w:rsidRDefault="00506CD6">
            <w:pPr>
              <w:jc w:val="right"/>
              <w:textAlignment w:val="bottom"/>
            </w:pPr>
            <w:r>
              <w:rPr>
                <w:rFonts w:ascii="Times New Roman" w:eastAsia="宋体" w:hAnsi="Times New Roman"/>
                <w:color w:val="000000"/>
                <w:sz w:val="20"/>
                <w:szCs w:val="20"/>
              </w:rPr>
              <w:t>3,156 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EA1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A1C"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EA1D"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EA1E" w14:textId="77777777" w:rsidR="004D6A64" w:rsidRDefault="00506CD6">
            <w:pPr>
              <w:jc w:val="right"/>
              <w:textAlignment w:val="bottom"/>
            </w:pPr>
            <w:r>
              <w:rPr>
                <w:rFonts w:ascii="Times New Roman" w:eastAsia="宋体" w:hAnsi="Times New Roman"/>
                <w:color w:val="000000"/>
                <w:sz w:val="20"/>
                <w:szCs w:val="20"/>
              </w:rPr>
              <w:t>5,707 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EA1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A2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A21"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3DAEA22"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A23"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3DAEA24"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3DAEA25" w14:textId="77777777" w:rsidR="004D6A64" w:rsidRDefault="00506CD6">
            <w:pPr>
              <w:jc w:val="right"/>
              <w:textAlignment w:val="bottom"/>
            </w:pPr>
            <w:r>
              <w:rPr>
                <w:rFonts w:ascii="Times New Roman" w:eastAsia="宋体" w:hAnsi="Times New Roman"/>
                <w:color w:val="000000"/>
                <w:sz w:val="20"/>
                <w:szCs w:val="20"/>
              </w:rPr>
              <w:t>5,729 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3DAEA26" w14:textId="77777777" w:rsidR="004D6A64" w:rsidRDefault="004D6A64">
            <w:pPr>
              <w:jc w:val="right"/>
              <w:rPr>
                <w:rFonts w:ascii="宋体"/>
              </w:rPr>
            </w:pPr>
          </w:p>
        </w:tc>
        <w:tc>
          <w:tcPr>
            <w:tcW w:w="0" w:type="auto"/>
            <w:shd w:val="clear" w:color="auto" w:fill="auto"/>
          </w:tcPr>
          <w:p w14:paraId="33DAEA27" w14:textId="77777777" w:rsidR="004D6A64" w:rsidRDefault="004D6A64">
            <w:pPr>
              <w:rPr>
                <w:rFonts w:ascii="宋体"/>
              </w:rPr>
            </w:pPr>
          </w:p>
        </w:tc>
        <w:tc>
          <w:tcPr>
            <w:tcW w:w="0" w:type="auto"/>
            <w:shd w:val="clear" w:color="auto" w:fill="auto"/>
          </w:tcPr>
          <w:p w14:paraId="33DAEA28" w14:textId="77777777" w:rsidR="004D6A64" w:rsidRDefault="004D6A64">
            <w:pPr>
              <w:rPr>
                <w:rFonts w:ascii="宋体"/>
              </w:rPr>
            </w:pPr>
          </w:p>
        </w:tc>
        <w:tc>
          <w:tcPr>
            <w:tcW w:w="0" w:type="auto"/>
            <w:shd w:val="clear" w:color="auto" w:fill="auto"/>
          </w:tcPr>
          <w:p w14:paraId="33DAEA29" w14:textId="77777777" w:rsidR="004D6A64" w:rsidRDefault="004D6A64">
            <w:pPr>
              <w:rPr>
                <w:rFonts w:ascii="宋体"/>
              </w:rPr>
            </w:pPr>
          </w:p>
        </w:tc>
        <w:tc>
          <w:tcPr>
            <w:tcW w:w="0" w:type="auto"/>
            <w:shd w:val="clear" w:color="auto" w:fill="auto"/>
          </w:tcPr>
          <w:p w14:paraId="33DAEA2A" w14:textId="77777777" w:rsidR="004D6A64" w:rsidRDefault="004D6A64">
            <w:pPr>
              <w:rPr>
                <w:rFonts w:ascii="宋体"/>
              </w:rPr>
            </w:pPr>
          </w:p>
        </w:tc>
        <w:tc>
          <w:tcPr>
            <w:tcW w:w="0" w:type="auto"/>
            <w:shd w:val="clear" w:color="auto" w:fill="auto"/>
          </w:tcPr>
          <w:p w14:paraId="33DAEA2B" w14:textId="77777777" w:rsidR="004D6A64" w:rsidRDefault="004D6A64">
            <w:pPr>
              <w:rPr>
                <w:rFonts w:ascii="宋体"/>
              </w:rPr>
            </w:pPr>
          </w:p>
        </w:tc>
        <w:tc>
          <w:tcPr>
            <w:tcW w:w="0" w:type="auto"/>
            <w:shd w:val="clear" w:color="auto" w:fill="auto"/>
          </w:tcPr>
          <w:p w14:paraId="33DAEA2C" w14:textId="77777777" w:rsidR="004D6A64" w:rsidRDefault="004D6A64">
            <w:pPr>
              <w:rPr>
                <w:rFonts w:ascii="宋体"/>
              </w:rPr>
            </w:pPr>
          </w:p>
        </w:tc>
        <w:tc>
          <w:tcPr>
            <w:tcW w:w="0" w:type="auto"/>
            <w:shd w:val="clear" w:color="auto" w:fill="auto"/>
          </w:tcPr>
          <w:p w14:paraId="33DAEA2D" w14:textId="77777777" w:rsidR="004D6A64" w:rsidRDefault="004D6A64">
            <w:pPr>
              <w:rPr>
                <w:rFonts w:ascii="宋体"/>
              </w:rPr>
            </w:pPr>
          </w:p>
        </w:tc>
        <w:tc>
          <w:tcPr>
            <w:tcW w:w="0" w:type="auto"/>
            <w:shd w:val="clear" w:color="auto" w:fill="auto"/>
          </w:tcPr>
          <w:p w14:paraId="33DAEA2E" w14:textId="77777777" w:rsidR="004D6A64" w:rsidRDefault="004D6A64">
            <w:pPr>
              <w:rPr>
                <w:rFonts w:ascii="宋体"/>
              </w:rPr>
            </w:pPr>
          </w:p>
        </w:tc>
        <w:tc>
          <w:tcPr>
            <w:tcW w:w="0" w:type="auto"/>
            <w:shd w:val="clear" w:color="auto" w:fill="auto"/>
          </w:tcPr>
          <w:p w14:paraId="33DAEA2F" w14:textId="77777777" w:rsidR="004D6A64" w:rsidRDefault="004D6A64">
            <w:pPr>
              <w:rPr>
                <w:rFonts w:ascii="宋体"/>
              </w:rPr>
            </w:pPr>
          </w:p>
        </w:tc>
        <w:tc>
          <w:tcPr>
            <w:tcW w:w="0" w:type="auto"/>
            <w:shd w:val="clear" w:color="auto" w:fill="auto"/>
          </w:tcPr>
          <w:p w14:paraId="33DAEA30" w14:textId="77777777" w:rsidR="004D6A64" w:rsidRDefault="004D6A64">
            <w:pPr>
              <w:rPr>
                <w:rFonts w:ascii="宋体"/>
              </w:rPr>
            </w:pPr>
          </w:p>
        </w:tc>
        <w:tc>
          <w:tcPr>
            <w:tcW w:w="0" w:type="auto"/>
            <w:shd w:val="clear" w:color="auto" w:fill="auto"/>
          </w:tcPr>
          <w:p w14:paraId="33DAEA31" w14:textId="77777777" w:rsidR="004D6A64" w:rsidRDefault="004D6A64">
            <w:pPr>
              <w:rPr>
                <w:rFonts w:ascii="宋体"/>
              </w:rPr>
            </w:pPr>
          </w:p>
        </w:tc>
        <w:tc>
          <w:tcPr>
            <w:tcW w:w="0" w:type="auto"/>
            <w:shd w:val="clear" w:color="auto" w:fill="auto"/>
          </w:tcPr>
          <w:p w14:paraId="33DAEA32" w14:textId="77777777" w:rsidR="004D6A64" w:rsidRDefault="004D6A64">
            <w:pPr>
              <w:rPr>
                <w:rFonts w:ascii="宋体"/>
              </w:rPr>
            </w:pPr>
          </w:p>
        </w:tc>
        <w:tc>
          <w:tcPr>
            <w:tcW w:w="0" w:type="auto"/>
            <w:shd w:val="clear" w:color="auto" w:fill="auto"/>
          </w:tcPr>
          <w:p w14:paraId="33DAEA33" w14:textId="77777777" w:rsidR="004D6A64" w:rsidRDefault="004D6A64">
            <w:pPr>
              <w:rPr>
                <w:rFonts w:ascii="宋体"/>
              </w:rPr>
            </w:pPr>
          </w:p>
        </w:tc>
        <w:tc>
          <w:tcPr>
            <w:tcW w:w="0" w:type="auto"/>
            <w:shd w:val="clear" w:color="auto" w:fill="auto"/>
          </w:tcPr>
          <w:p w14:paraId="33DAEA34" w14:textId="77777777" w:rsidR="004D6A64" w:rsidRDefault="004D6A64">
            <w:pPr>
              <w:rPr>
                <w:rFonts w:ascii="宋体"/>
              </w:rPr>
            </w:pPr>
          </w:p>
        </w:tc>
        <w:tc>
          <w:tcPr>
            <w:tcW w:w="0" w:type="auto"/>
            <w:shd w:val="clear" w:color="auto" w:fill="auto"/>
          </w:tcPr>
          <w:p w14:paraId="33DAEA35" w14:textId="77777777" w:rsidR="004D6A64" w:rsidRDefault="004D6A64">
            <w:pPr>
              <w:rPr>
                <w:rFonts w:ascii="宋体"/>
              </w:rPr>
            </w:pPr>
          </w:p>
        </w:tc>
        <w:tc>
          <w:tcPr>
            <w:tcW w:w="0" w:type="auto"/>
            <w:shd w:val="clear" w:color="auto" w:fill="auto"/>
          </w:tcPr>
          <w:p w14:paraId="33DAEA36" w14:textId="77777777" w:rsidR="004D6A64" w:rsidRDefault="004D6A64">
            <w:pPr>
              <w:rPr>
                <w:rFonts w:ascii="宋体"/>
              </w:rPr>
            </w:pPr>
          </w:p>
        </w:tc>
        <w:tc>
          <w:tcPr>
            <w:tcW w:w="0" w:type="auto"/>
            <w:shd w:val="clear" w:color="auto" w:fill="auto"/>
          </w:tcPr>
          <w:p w14:paraId="33DAEA37" w14:textId="77777777" w:rsidR="004D6A64" w:rsidRDefault="004D6A64">
            <w:pPr>
              <w:rPr>
                <w:rFonts w:ascii="宋体"/>
              </w:rPr>
            </w:pPr>
          </w:p>
        </w:tc>
        <w:tc>
          <w:tcPr>
            <w:tcW w:w="0" w:type="auto"/>
            <w:shd w:val="clear" w:color="auto" w:fill="auto"/>
          </w:tcPr>
          <w:p w14:paraId="33DAEA38" w14:textId="77777777" w:rsidR="004D6A64" w:rsidRDefault="004D6A64">
            <w:pPr>
              <w:rPr>
                <w:rFonts w:ascii="宋体"/>
              </w:rPr>
            </w:pPr>
          </w:p>
        </w:tc>
        <w:tc>
          <w:tcPr>
            <w:tcW w:w="0" w:type="auto"/>
            <w:shd w:val="clear" w:color="auto" w:fill="auto"/>
          </w:tcPr>
          <w:p w14:paraId="33DAEA39" w14:textId="77777777" w:rsidR="004D6A64" w:rsidRDefault="004D6A64">
            <w:pPr>
              <w:rPr>
                <w:rFonts w:ascii="宋体"/>
              </w:rPr>
            </w:pPr>
          </w:p>
        </w:tc>
        <w:tc>
          <w:tcPr>
            <w:tcW w:w="0" w:type="auto"/>
            <w:shd w:val="clear" w:color="auto" w:fill="auto"/>
          </w:tcPr>
          <w:p w14:paraId="33DAEA3A" w14:textId="77777777" w:rsidR="004D6A64" w:rsidRDefault="004D6A64">
            <w:pPr>
              <w:rPr>
                <w:rFonts w:ascii="宋体"/>
              </w:rPr>
            </w:pPr>
          </w:p>
        </w:tc>
        <w:tc>
          <w:tcPr>
            <w:tcW w:w="0" w:type="auto"/>
            <w:shd w:val="clear" w:color="auto" w:fill="auto"/>
          </w:tcPr>
          <w:p w14:paraId="33DAEA3B" w14:textId="77777777" w:rsidR="004D6A64" w:rsidRDefault="004D6A64">
            <w:pPr>
              <w:rPr>
                <w:rFonts w:ascii="宋体"/>
              </w:rPr>
            </w:pPr>
          </w:p>
        </w:tc>
        <w:tc>
          <w:tcPr>
            <w:tcW w:w="0" w:type="auto"/>
            <w:shd w:val="clear" w:color="auto" w:fill="auto"/>
          </w:tcPr>
          <w:p w14:paraId="33DAEA3C" w14:textId="77777777" w:rsidR="004D6A64" w:rsidRDefault="004D6A64">
            <w:pPr>
              <w:rPr>
                <w:rFonts w:ascii="宋体"/>
              </w:rPr>
            </w:pPr>
          </w:p>
        </w:tc>
        <w:tc>
          <w:tcPr>
            <w:tcW w:w="0" w:type="auto"/>
            <w:shd w:val="clear" w:color="auto" w:fill="auto"/>
          </w:tcPr>
          <w:p w14:paraId="33DAEA3D" w14:textId="77777777" w:rsidR="004D6A64" w:rsidRDefault="004D6A64">
            <w:pPr>
              <w:rPr>
                <w:rFonts w:ascii="宋体"/>
              </w:rPr>
            </w:pPr>
          </w:p>
        </w:tc>
        <w:tc>
          <w:tcPr>
            <w:tcW w:w="0" w:type="auto"/>
            <w:shd w:val="clear" w:color="auto" w:fill="auto"/>
          </w:tcPr>
          <w:p w14:paraId="33DAEA3E" w14:textId="77777777" w:rsidR="004D6A64" w:rsidRDefault="004D6A64">
            <w:pPr>
              <w:rPr>
                <w:rFonts w:ascii="宋体"/>
              </w:rPr>
            </w:pPr>
          </w:p>
        </w:tc>
        <w:tc>
          <w:tcPr>
            <w:tcW w:w="0" w:type="auto"/>
            <w:shd w:val="clear" w:color="auto" w:fill="auto"/>
          </w:tcPr>
          <w:p w14:paraId="33DAEA3F" w14:textId="77777777" w:rsidR="004D6A64" w:rsidRDefault="004D6A64">
            <w:pPr>
              <w:rPr>
                <w:rFonts w:ascii="宋体"/>
              </w:rPr>
            </w:pPr>
          </w:p>
        </w:tc>
        <w:tc>
          <w:tcPr>
            <w:tcW w:w="0" w:type="auto"/>
            <w:shd w:val="clear" w:color="auto" w:fill="auto"/>
          </w:tcPr>
          <w:p w14:paraId="33DAEA40" w14:textId="77777777" w:rsidR="004D6A64" w:rsidRDefault="004D6A64">
            <w:pPr>
              <w:rPr>
                <w:rFonts w:ascii="宋体"/>
              </w:rPr>
            </w:pPr>
          </w:p>
        </w:tc>
        <w:tc>
          <w:tcPr>
            <w:tcW w:w="0" w:type="auto"/>
            <w:shd w:val="clear" w:color="auto" w:fill="auto"/>
          </w:tcPr>
          <w:p w14:paraId="33DAEA41" w14:textId="77777777" w:rsidR="004D6A64" w:rsidRDefault="004D6A64">
            <w:pPr>
              <w:rPr>
                <w:rFonts w:ascii="宋体"/>
              </w:rPr>
            </w:pPr>
          </w:p>
        </w:tc>
      </w:tr>
    </w:tbl>
    <w:p w14:paraId="33DAEA43" w14:textId="77777777" w:rsidR="004D6A64" w:rsidRDefault="00506CD6">
      <w:r>
        <w:rPr>
          <w:rFonts w:ascii="Times New Roman" w:eastAsia="宋体" w:hAnsi="Times New Roman"/>
          <w:color w:val="000000"/>
          <w:sz w:val="20"/>
          <w:szCs w:val="20"/>
        </w:rPr>
        <w:t>____________________</w:t>
      </w:r>
    </w:p>
    <w:p w14:paraId="33DAEA44" w14:textId="77777777" w:rsidR="004D6A64" w:rsidRDefault="00506CD6">
      <w:pPr>
        <w:pBdr>
          <w:left w:val="none" w:sz="0" w:space="0" w:color="auto"/>
        </w:pBdr>
        <w:ind w:hanging="360"/>
      </w:pPr>
      <w:r>
        <w:rPr>
          <w:rFonts w:ascii="Times New Roman" w:eastAsia="宋体" w:hAnsi="Times New Roman"/>
          <w:color w:val="000000"/>
          <w:sz w:val="20"/>
          <w:szCs w:val="20"/>
        </w:rPr>
        <w:t>(a)See “Results of Operations — Interest and Other, Net” for more information on the components of interest and other, net.</w:t>
      </w:r>
    </w:p>
    <w:p w14:paraId="33DAEA45" w14:textId="77777777" w:rsidR="004D6A64" w:rsidRDefault="00506CD6">
      <w:pPr>
        <w:pBdr>
          <w:left w:val="none" w:sz="0" w:space="0" w:color="auto"/>
        </w:pBdr>
        <w:ind w:hanging="360"/>
      </w:pPr>
      <w:r>
        <w:rPr>
          <w:rFonts w:ascii="Times New Roman" w:eastAsia="宋体" w:hAnsi="Times New Roman"/>
          <w:color w:val="000000"/>
          <w:sz w:val="20"/>
          <w:szCs w:val="20"/>
        </w:rPr>
        <w:t>(b)See Note 11 of t</w:t>
      </w:r>
      <w:r>
        <w:rPr>
          <w:rFonts w:ascii="Times New Roman" w:eastAsia="宋体" w:hAnsi="Times New Roman"/>
          <w:color w:val="000000"/>
          <w:sz w:val="20"/>
          <w:szCs w:val="20"/>
        </w:rPr>
        <w:t>he Notes to the Condensed Consolidated Financial Statements included in this report for additional information on discrete tax items recorded during the second quarter and first six months of Fiscal 2021 and Fiscal 2020.</w:t>
      </w:r>
    </w:p>
    <w:p w14:paraId="33DAEA46" w14:textId="77777777" w:rsidR="004D6A64" w:rsidRDefault="00506CD6">
      <w:pPr>
        <w:pBdr>
          <w:left w:val="none" w:sz="0" w:space="0" w:color="auto"/>
        </w:pBdr>
        <w:ind w:hanging="360"/>
      </w:pPr>
      <w:r>
        <w:rPr>
          <w:rFonts w:ascii="Times New Roman" w:eastAsia="宋体" w:hAnsi="Times New Roman"/>
          <w:color w:val="000000"/>
          <w:sz w:val="20"/>
          <w:szCs w:val="20"/>
        </w:rPr>
        <w:t>(c)This amount includes the non-cas</w:t>
      </w:r>
      <w:r>
        <w:rPr>
          <w:rFonts w:ascii="Times New Roman" w:eastAsia="宋体" w:hAnsi="Times New Roman"/>
          <w:color w:val="000000"/>
          <w:sz w:val="20"/>
          <w:szCs w:val="20"/>
        </w:rPr>
        <w:t>h purchase accounting adjustments related to the EMC merger transaction and the going-private transaction.</w:t>
      </w:r>
    </w:p>
    <w:p w14:paraId="33DAEA47" w14:textId="77777777" w:rsidR="004D6A64" w:rsidRDefault="00506CD6">
      <w:pPr>
        <w:pBdr>
          <w:left w:val="none" w:sz="0" w:space="0" w:color="auto"/>
        </w:pBdr>
        <w:ind w:hanging="360"/>
      </w:pPr>
      <w:r>
        <w:rPr>
          <w:rFonts w:ascii="Times New Roman" w:eastAsia="宋体" w:hAnsi="Times New Roman"/>
          <w:color w:val="000000"/>
          <w:sz w:val="20"/>
          <w:szCs w:val="20"/>
        </w:rPr>
        <w:t>(d)Transaction-related expenses consist of acquisition, integration, and divestiture related costs.</w:t>
      </w:r>
    </w:p>
    <w:p w14:paraId="33DAEA48" w14:textId="77777777" w:rsidR="004D6A64" w:rsidRDefault="00506CD6">
      <w:pPr>
        <w:pBdr>
          <w:left w:val="none" w:sz="0" w:space="0" w:color="auto"/>
        </w:pBdr>
        <w:ind w:hanging="360"/>
      </w:pPr>
      <w:r>
        <w:rPr>
          <w:rFonts w:ascii="Times New Roman" w:eastAsia="宋体" w:hAnsi="Times New Roman"/>
          <w:color w:val="000000"/>
          <w:sz w:val="20"/>
          <w:szCs w:val="20"/>
        </w:rPr>
        <w:t>(e)Other corporate expenses includes impairment c</w:t>
      </w:r>
      <w:r>
        <w:rPr>
          <w:rFonts w:ascii="Times New Roman" w:eastAsia="宋体" w:hAnsi="Times New Roman"/>
          <w:color w:val="000000"/>
          <w:sz w:val="20"/>
          <w:szCs w:val="20"/>
        </w:rPr>
        <w:t>harges, severance, facility action, and other costs.</w:t>
      </w:r>
    </w:p>
    <w:p w14:paraId="33DAEA49" w14:textId="77777777" w:rsidR="004D6A64" w:rsidRDefault="004D6A64">
      <w:pPr>
        <w:pBdr>
          <w:left w:val="none" w:sz="0" w:space="0" w:color="auto"/>
        </w:pBdr>
      </w:pPr>
    </w:p>
    <w:p w14:paraId="33DAEA4A" w14:textId="77777777" w:rsidR="004D6A64" w:rsidRDefault="004D6A64">
      <w:pPr>
        <w:jc w:val="center"/>
      </w:pPr>
    </w:p>
    <w:p w14:paraId="33DAEA4B" w14:textId="77777777" w:rsidR="004D6A64" w:rsidRDefault="00506CD6">
      <w:pPr>
        <w:jc w:val="center"/>
      </w:pPr>
      <w:r>
        <w:rPr>
          <w:rFonts w:ascii="Times New Roman" w:eastAsia="宋体" w:hAnsi="Times New Roman"/>
          <w:color w:val="000000"/>
          <w:sz w:val="20"/>
          <w:szCs w:val="20"/>
        </w:rPr>
        <w:t>76</w:t>
      </w:r>
    </w:p>
    <w:p w14:paraId="33DAEA4C" w14:textId="77777777" w:rsidR="004D6A64" w:rsidRDefault="004D6A64">
      <w:pPr>
        <w:jc w:val="center"/>
      </w:pPr>
    </w:p>
    <w:p w14:paraId="33DAEA4D" w14:textId="77777777" w:rsidR="004D6A64" w:rsidRDefault="00506CD6">
      <w:r>
        <w:pict w14:anchorId="33DAFB10">
          <v:rect id="_x0000_i1100" style="width:415.3pt;height:1.5pt" o:hralign="center" o:hrstd="t" o:hr="t" fillcolor="#a0a0a0" stroked="f"/>
        </w:pict>
      </w:r>
    </w:p>
    <w:p w14:paraId="33DAEA4E" w14:textId="77777777" w:rsidR="004D6A64" w:rsidRDefault="00506CD6">
      <w:hyperlink r:id="rId199" w:anchor="if3e0e1bf9ecd4bf69551d7a85f98d64a_10" w:history="1">
        <w:r>
          <w:rPr>
            <w:rStyle w:val="a5"/>
            <w:rFonts w:ascii="Times New Roman" w:eastAsia="宋体" w:hAnsi="Times New Roman"/>
            <w:sz w:val="20"/>
            <w:szCs w:val="20"/>
          </w:rPr>
          <w:t>Table of Contents</w:t>
        </w:r>
      </w:hyperlink>
    </w:p>
    <w:p w14:paraId="33DAEA4F" w14:textId="77777777" w:rsidR="004D6A64" w:rsidRDefault="00506CD6">
      <w:r>
        <w:rPr>
          <w:rFonts w:ascii="Times New Roman" w:eastAsia="宋体" w:hAnsi="Times New Roman"/>
          <w:b/>
          <w:bCs/>
          <w:color w:val="000000"/>
          <w:sz w:val="20"/>
          <w:szCs w:val="20"/>
        </w:rPr>
        <w:t>RESULTS OF OPERATIONS</w:t>
      </w:r>
    </w:p>
    <w:p w14:paraId="33DAEA50" w14:textId="77777777" w:rsidR="004D6A64" w:rsidRDefault="004D6A64"/>
    <w:p w14:paraId="33DAEA51" w14:textId="77777777" w:rsidR="004D6A64" w:rsidRDefault="00506CD6">
      <w:r>
        <w:rPr>
          <w:rFonts w:ascii="Times New Roman" w:eastAsia="宋体" w:hAnsi="Times New Roman"/>
          <w:b/>
          <w:bCs/>
          <w:color w:val="000000"/>
          <w:sz w:val="20"/>
          <w:szCs w:val="20"/>
        </w:rPr>
        <w:t>Consolidated Results</w:t>
      </w:r>
    </w:p>
    <w:p w14:paraId="33DAEA52" w14:textId="77777777" w:rsidR="004D6A64" w:rsidRDefault="004D6A64"/>
    <w:p w14:paraId="33DAEA53" w14:textId="77777777" w:rsidR="004D6A64" w:rsidRDefault="00506CD6">
      <w:r>
        <w:rPr>
          <w:rFonts w:ascii="Times New Roman" w:eastAsia="宋体" w:hAnsi="Times New Roman"/>
          <w:color w:val="000000"/>
          <w:sz w:val="20"/>
          <w:szCs w:val="20"/>
        </w:rPr>
        <w:t xml:space="preserve">The following table </w:t>
      </w:r>
      <w:r>
        <w:rPr>
          <w:rFonts w:ascii="Times New Roman" w:eastAsia="宋体" w:hAnsi="Times New Roman"/>
          <w:color w:val="000000"/>
          <w:sz w:val="20"/>
          <w:szCs w:val="20"/>
        </w:rPr>
        <w:t>summarizes our consolidated results for each of the periods presented. Unless otherwise indicated, all changes identified for the current period results represent comparisons to results for the prior corresponding fiscal period.</w:t>
      </w:r>
    </w:p>
    <w:tbl>
      <w:tblPr>
        <w:tblW w:w="5000" w:type="pct"/>
        <w:tblCellMar>
          <w:top w:w="15" w:type="dxa"/>
          <w:left w:w="15" w:type="dxa"/>
          <w:bottom w:w="15" w:type="dxa"/>
          <w:right w:w="15" w:type="dxa"/>
        </w:tblCellMar>
        <w:tblLook w:val="04A0" w:firstRow="1" w:lastRow="0" w:firstColumn="1" w:lastColumn="0" w:noHBand="0" w:noVBand="1"/>
      </w:tblPr>
      <w:tblGrid>
        <w:gridCol w:w="155"/>
        <w:gridCol w:w="623"/>
        <w:gridCol w:w="36"/>
        <w:gridCol w:w="100"/>
        <w:gridCol w:w="402"/>
        <w:gridCol w:w="39"/>
        <w:gridCol w:w="40"/>
        <w:gridCol w:w="31"/>
        <w:gridCol w:w="34"/>
        <w:gridCol w:w="75"/>
        <w:gridCol w:w="390"/>
        <w:gridCol w:w="141"/>
        <w:gridCol w:w="40"/>
        <w:gridCol w:w="31"/>
        <w:gridCol w:w="34"/>
        <w:gridCol w:w="73"/>
        <w:gridCol w:w="348"/>
        <w:gridCol w:w="141"/>
        <w:gridCol w:w="40"/>
        <w:gridCol w:w="31"/>
        <w:gridCol w:w="34"/>
        <w:gridCol w:w="100"/>
        <w:gridCol w:w="402"/>
        <w:gridCol w:w="39"/>
        <w:gridCol w:w="40"/>
        <w:gridCol w:w="31"/>
        <w:gridCol w:w="34"/>
        <w:gridCol w:w="75"/>
        <w:gridCol w:w="390"/>
        <w:gridCol w:w="141"/>
        <w:gridCol w:w="40"/>
        <w:gridCol w:w="31"/>
        <w:gridCol w:w="34"/>
        <w:gridCol w:w="100"/>
        <w:gridCol w:w="402"/>
        <w:gridCol w:w="39"/>
        <w:gridCol w:w="40"/>
        <w:gridCol w:w="31"/>
        <w:gridCol w:w="34"/>
        <w:gridCol w:w="75"/>
        <w:gridCol w:w="390"/>
        <w:gridCol w:w="141"/>
        <w:gridCol w:w="40"/>
        <w:gridCol w:w="31"/>
        <w:gridCol w:w="34"/>
        <w:gridCol w:w="73"/>
        <w:gridCol w:w="348"/>
        <w:gridCol w:w="141"/>
        <w:gridCol w:w="40"/>
        <w:gridCol w:w="31"/>
        <w:gridCol w:w="34"/>
        <w:gridCol w:w="100"/>
        <w:gridCol w:w="402"/>
        <w:gridCol w:w="39"/>
        <w:gridCol w:w="40"/>
        <w:gridCol w:w="31"/>
        <w:gridCol w:w="34"/>
        <w:gridCol w:w="74"/>
        <w:gridCol w:w="391"/>
        <w:gridCol w:w="141"/>
        <w:gridCol w:w="220"/>
        <w:gridCol w:w="216"/>
        <w:gridCol w:w="429"/>
      </w:tblGrid>
      <w:tr w:rsidR="004D6A64" w14:paraId="33DAEA90" w14:textId="77777777">
        <w:trPr>
          <w:gridAfter w:val="3"/>
        </w:trPr>
        <w:tc>
          <w:tcPr>
            <w:tcW w:w="50" w:type="pct"/>
            <w:shd w:val="clear" w:color="auto" w:fill="auto"/>
          </w:tcPr>
          <w:p w14:paraId="33DAEA54" w14:textId="77777777" w:rsidR="004D6A64" w:rsidRDefault="004D6A64">
            <w:pPr>
              <w:rPr>
                <w:rFonts w:ascii="宋体"/>
              </w:rPr>
            </w:pPr>
          </w:p>
        </w:tc>
        <w:tc>
          <w:tcPr>
            <w:tcW w:w="1099" w:type="pct"/>
            <w:shd w:val="clear" w:color="auto" w:fill="auto"/>
          </w:tcPr>
          <w:p w14:paraId="33DAEA55" w14:textId="77777777" w:rsidR="004D6A64" w:rsidRDefault="004D6A64">
            <w:pPr>
              <w:rPr>
                <w:rFonts w:ascii="宋体"/>
              </w:rPr>
            </w:pPr>
          </w:p>
        </w:tc>
        <w:tc>
          <w:tcPr>
            <w:tcW w:w="5" w:type="pct"/>
            <w:shd w:val="clear" w:color="auto" w:fill="auto"/>
          </w:tcPr>
          <w:p w14:paraId="33DAEA56" w14:textId="77777777" w:rsidR="004D6A64" w:rsidRDefault="004D6A64">
            <w:pPr>
              <w:rPr>
                <w:rFonts w:ascii="宋体"/>
              </w:rPr>
            </w:pPr>
          </w:p>
        </w:tc>
        <w:tc>
          <w:tcPr>
            <w:tcW w:w="50" w:type="pct"/>
            <w:shd w:val="clear" w:color="auto" w:fill="auto"/>
          </w:tcPr>
          <w:p w14:paraId="33DAEA57" w14:textId="77777777" w:rsidR="004D6A64" w:rsidRDefault="004D6A64">
            <w:pPr>
              <w:rPr>
                <w:rFonts w:ascii="宋体"/>
              </w:rPr>
            </w:pPr>
          </w:p>
        </w:tc>
        <w:tc>
          <w:tcPr>
            <w:tcW w:w="295" w:type="pct"/>
            <w:shd w:val="clear" w:color="auto" w:fill="auto"/>
          </w:tcPr>
          <w:p w14:paraId="33DAEA58" w14:textId="77777777" w:rsidR="004D6A64" w:rsidRDefault="004D6A64">
            <w:pPr>
              <w:rPr>
                <w:rFonts w:ascii="宋体"/>
              </w:rPr>
            </w:pPr>
          </w:p>
        </w:tc>
        <w:tc>
          <w:tcPr>
            <w:tcW w:w="5" w:type="pct"/>
            <w:shd w:val="clear" w:color="auto" w:fill="auto"/>
          </w:tcPr>
          <w:p w14:paraId="33DAEA59" w14:textId="77777777" w:rsidR="004D6A64" w:rsidRDefault="004D6A64">
            <w:pPr>
              <w:rPr>
                <w:rFonts w:ascii="宋体"/>
              </w:rPr>
            </w:pPr>
          </w:p>
        </w:tc>
        <w:tc>
          <w:tcPr>
            <w:tcW w:w="5" w:type="pct"/>
            <w:shd w:val="clear" w:color="auto" w:fill="auto"/>
          </w:tcPr>
          <w:p w14:paraId="33DAEA5A" w14:textId="77777777" w:rsidR="004D6A64" w:rsidRDefault="004D6A64">
            <w:pPr>
              <w:rPr>
                <w:rFonts w:ascii="宋体"/>
              </w:rPr>
            </w:pPr>
          </w:p>
        </w:tc>
        <w:tc>
          <w:tcPr>
            <w:tcW w:w="19" w:type="pct"/>
            <w:shd w:val="clear" w:color="auto" w:fill="auto"/>
          </w:tcPr>
          <w:p w14:paraId="33DAEA5B" w14:textId="77777777" w:rsidR="004D6A64" w:rsidRDefault="004D6A64">
            <w:pPr>
              <w:rPr>
                <w:rFonts w:ascii="宋体"/>
              </w:rPr>
            </w:pPr>
          </w:p>
        </w:tc>
        <w:tc>
          <w:tcPr>
            <w:tcW w:w="5" w:type="pct"/>
            <w:shd w:val="clear" w:color="auto" w:fill="auto"/>
          </w:tcPr>
          <w:p w14:paraId="33DAEA5C" w14:textId="77777777" w:rsidR="004D6A64" w:rsidRDefault="004D6A64">
            <w:pPr>
              <w:rPr>
                <w:rFonts w:ascii="宋体"/>
              </w:rPr>
            </w:pPr>
          </w:p>
        </w:tc>
        <w:tc>
          <w:tcPr>
            <w:tcW w:w="50" w:type="pct"/>
            <w:shd w:val="clear" w:color="auto" w:fill="auto"/>
          </w:tcPr>
          <w:p w14:paraId="33DAEA5D" w14:textId="77777777" w:rsidR="004D6A64" w:rsidRDefault="004D6A64">
            <w:pPr>
              <w:rPr>
                <w:rFonts w:ascii="宋体"/>
              </w:rPr>
            </w:pPr>
          </w:p>
        </w:tc>
        <w:tc>
          <w:tcPr>
            <w:tcW w:w="317" w:type="pct"/>
            <w:shd w:val="clear" w:color="auto" w:fill="auto"/>
          </w:tcPr>
          <w:p w14:paraId="33DAEA5E" w14:textId="77777777" w:rsidR="004D6A64" w:rsidRDefault="004D6A64">
            <w:pPr>
              <w:rPr>
                <w:rFonts w:ascii="宋体"/>
              </w:rPr>
            </w:pPr>
          </w:p>
        </w:tc>
        <w:tc>
          <w:tcPr>
            <w:tcW w:w="5" w:type="pct"/>
            <w:shd w:val="clear" w:color="auto" w:fill="auto"/>
          </w:tcPr>
          <w:p w14:paraId="33DAEA5F" w14:textId="77777777" w:rsidR="004D6A64" w:rsidRDefault="004D6A64">
            <w:pPr>
              <w:rPr>
                <w:rFonts w:ascii="宋体"/>
              </w:rPr>
            </w:pPr>
          </w:p>
        </w:tc>
        <w:tc>
          <w:tcPr>
            <w:tcW w:w="5" w:type="pct"/>
            <w:shd w:val="clear" w:color="auto" w:fill="auto"/>
          </w:tcPr>
          <w:p w14:paraId="33DAEA60" w14:textId="77777777" w:rsidR="004D6A64" w:rsidRDefault="004D6A64">
            <w:pPr>
              <w:rPr>
                <w:rFonts w:ascii="宋体"/>
              </w:rPr>
            </w:pPr>
          </w:p>
        </w:tc>
        <w:tc>
          <w:tcPr>
            <w:tcW w:w="19" w:type="pct"/>
            <w:shd w:val="clear" w:color="auto" w:fill="auto"/>
          </w:tcPr>
          <w:p w14:paraId="33DAEA61" w14:textId="77777777" w:rsidR="004D6A64" w:rsidRDefault="004D6A64">
            <w:pPr>
              <w:rPr>
                <w:rFonts w:ascii="宋体"/>
              </w:rPr>
            </w:pPr>
          </w:p>
        </w:tc>
        <w:tc>
          <w:tcPr>
            <w:tcW w:w="5" w:type="pct"/>
            <w:shd w:val="clear" w:color="auto" w:fill="auto"/>
          </w:tcPr>
          <w:p w14:paraId="33DAEA62" w14:textId="77777777" w:rsidR="004D6A64" w:rsidRDefault="004D6A64">
            <w:pPr>
              <w:rPr>
                <w:rFonts w:ascii="宋体"/>
              </w:rPr>
            </w:pPr>
          </w:p>
        </w:tc>
        <w:tc>
          <w:tcPr>
            <w:tcW w:w="50" w:type="pct"/>
            <w:shd w:val="clear" w:color="auto" w:fill="auto"/>
          </w:tcPr>
          <w:p w14:paraId="33DAEA63" w14:textId="77777777" w:rsidR="004D6A64" w:rsidRDefault="004D6A64">
            <w:pPr>
              <w:rPr>
                <w:rFonts w:ascii="宋体"/>
              </w:rPr>
            </w:pPr>
          </w:p>
        </w:tc>
        <w:tc>
          <w:tcPr>
            <w:tcW w:w="288" w:type="pct"/>
            <w:shd w:val="clear" w:color="auto" w:fill="auto"/>
          </w:tcPr>
          <w:p w14:paraId="33DAEA64" w14:textId="77777777" w:rsidR="004D6A64" w:rsidRDefault="004D6A64">
            <w:pPr>
              <w:rPr>
                <w:rFonts w:ascii="宋体"/>
              </w:rPr>
            </w:pPr>
          </w:p>
        </w:tc>
        <w:tc>
          <w:tcPr>
            <w:tcW w:w="5" w:type="pct"/>
            <w:shd w:val="clear" w:color="auto" w:fill="auto"/>
          </w:tcPr>
          <w:p w14:paraId="33DAEA65" w14:textId="77777777" w:rsidR="004D6A64" w:rsidRDefault="004D6A64">
            <w:pPr>
              <w:rPr>
                <w:rFonts w:ascii="宋体"/>
              </w:rPr>
            </w:pPr>
          </w:p>
        </w:tc>
        <w:tc>
          <w:tcPr>
            <w:tcW w:w="5" w:type="pct"/>
            <w:shd w:val="clear" w:color="auto" w:fill="auto"/>
          </w:tcPr>
          <w:p w14:paraId="33DAEA66" w14:textId="77777777" w:rsidR="004D6A64" w:rsidRDefault="004D6A64">
            <w:pPr>
              <w:rPr>
                <w:rFonts w:ascii="宋体"/>
              </w:rPr>
            </w:pPr>
          </w:p>
        </w:tc>
        <w:tc>
          <w:tcPr>
            <w:tcW w:w="19" w:type="pct"/>
            <w:shd w:val="clear" w:color="auto" w:fill="auto"/>
          </w:tcPr>
          <w:p w14:paraId="33DAEA67" w14:textId="77777777" w:rsidR="004D6A64" w:rsidRDefault="004D6A64">
            <w:pPr>
              <w:rPr>
                <w:rFonts w:ascii="宋体"/>
              </w:rPr>
            </w:pPr>
          </w:p>
        </w:tc>
        <w:tc>
          <w:tcPr>
            <w:tcW w:w="5" w:type="pct"/>
            <w:shd w:val="clear" w:color="auto" w:fill="auto"/>
          </w:tcPr>
          <w:p w14:paraId="33DAEA68" w14:textId="77777777" w:rsidR="004D6A64" w:rsidRDefault="004D6A64">
            <w:pPr>
              <w:rPr>
                <w:rFonts w:ascii="宋体"/>
              </w:rPr>
            </w:pPr>
          </w:p>
        </w:tc>
        <w:tc>
          <w:tcPr>
            <w:tcW w:w="50" w:type="pct"/>
            <w:shd w:val="clear" w:color="auto" w:fill="auto"/>
          </w:tcPr>
          <w:p w14:paraId="33DAEA69" w14:textId="77777777" w:rsidR="004D6A64" w:rsidRDefault="004D6A64">
            <w:pPr>
              <w:rPr>
                <w:rFonts w:ascii="宋体"/>
              </w:rPr>
            </w:pPr>
          </w:p>
        </w:tc>
        <w:tc>
          <w:tcPr>
            <w:tcW w:w="295" w:type="pct"/>
            <w:shd w:val="clear" w:color="auto" w:fill="auto"/>
          </w:tcPr>
          <w:p w14:paraId="33DAEA6A" w14:textId="77777777" w:rsidR="004D6A64" w:rsidRDefault="004D6A64">
            <w:pPr>
              <w:rPr>
                <w:rFonts w:ascii="宋体"/>
              </w:rPr>
            </w:pPr>
          </w:p>
        </w:tc>
        <w:tc>
          <w:tcPr>
            <w:tcW w:w="5" w:type="pct"/>
            <w:shd w:val="clear" w:color="auto" w:fill="auto"/>
          </w:tcPr>
          <w:p w14:paraId="33DAEA6B" w14:textId="77777777" w:rsidR="004D6A64" w:rsidRDefault="004D6A64">
            <w:pPr>
              <w:rPr>
                <w:rFonts w:ascii="宋体"/>
              </w:rPr>
            </w:pPr>
          </w:p>
        </w:tc>
        <w:tc>
          <w:tcPr>
            <w:tcW w:w="5" w:type="pct"/>
            <w:shd w:val="clear" w:color="auto" w:fill="auto"/>
          </w:tcPr>
          <w:p w14:paraId="33DAEA6C" w14:textId="77777777" w:rsidR="004D6A64" w:rsidRDefault="004D6A64">
            <w:pPr>
              <w:rPr>
                <w:rFonts w:ascii="宋体"/>
              </w:rPr>
            </w:pPr>
          </w:p>
        </w:tc>
        <w:tc>
          <w:tcPr>
            <w:tcW w:w="19" w:type="pct"/>
            <w:shd w:val="clear" w:color="auto" w:fill="auto"/>
          </w:tcPr>
          <w:p w14:paraId="33DAEA6D" w14:textId="77777777" w:rsidR="004D6A64" w:rsidRDefault="004D6A64">
            <w:pPr>
              <w:rPr>
                <w:rFonts w:ascii="宋体"/>
              </w:rPr>
            </w:pPr>
          </w:p>
        </w:tc>
        <w:tc>
          <w:tcPr>
            <w:tcW w:w="5" w:type="pct"/>
            <w:shd w:val="clear" w:color="auto" w:fill="auto"/>
          </w:tcPr>
          <w:p w14:paraId="33DAEA6E" w14:textId="77777777" w:rsidR="004D6A64" w:rsidRDefault="004D6A64">
            <w:pPr>
              <w:rPr>
                <w:rFonts w:ascii="宋体"/>
              </w:rPr>
            </w:pPr>
          </w:p>
        </w:tc>
        <w:tc>
          <w:tcPr>
            <w:tcW w:w="50" w:type="pct"/>
            <w:shd w:val="clear" w:color="auto" w:fill="auto"/>
          </w:tcPr>
          <w:p w14:paraId="33DAEA6F" w14:textId="77777777" w:rsidR="004D6A64" w:rsidRDefault="004D6A64">
            <w:pPr>
              <w:rPr>
                <w:rFonts w:ascii="宋体"/>
              </w:rPr>
            </w:pPr>
          </w:p>
        </w:tc>
        <w:tc>
          <w:tcPr>
            <w:tcW w:w="317" w:type="pct"/>
            <w:shd w:val="clear" w:color="auto" w:fill="auto"/>
          </w:tcPr>
          <w:p w14:paraId="33DAEA70" w14:textId="77777777" w:rsidR="004D6A64" w:rsidRDefault="004D6A64">
            <w:pPr>
              <w:rPr>
                <w:rFonts w:ascii="宋体"/>
              </w:rPr>
            </w:pPr>
          </w:p>
        </w:tc>
        <w:tc>
          <w:tcPr>
            <w:tcW w:w="5" w:type="pct"/>
            <w:shd w:val="clear" w:color="auto" w:fill="auto"/>
          </w:tcPr>
          <w:p w14:paraId="33DAEA71" w14:textId="77777777" w:rsidR="004D6A64" w:rsidRDefault="004D6A64">
            <w:pPr>
              <w:rPr>
                <w:rFonts w:ascii="宋体"/>
              </w:rPr>
            </w:pPr>
          </w:p>
        </w:tc>
        <w:tc>
          <w:tcPr>
            <w:tcW w:w="5" w:type="pct"/>
            <w:shd w:val="clear" w:color="auto" w:fill="auto"/>
          </w:tcPr>
          <w:p w14:paraId="33DAEA72" w14:textId="77777777" w:rsidR="004D6A64" w:rsidRDefault="004D6A64">
            <w:pPr>
              <w:rPr>
                <w:rFonts w:ascii="宋体"/>
              </w:rPr>
            </w:pPr>
          </w:p>
        </w:tc>
        <w:tc>
          <w:tcPr>
            <w:tcW w:w="19" w:type="pct"/>
            <w:shd w:val="clear" w:color="auto" w:fill="auto"/>
          </w:tcPr>
          <w:p w14:paraId="33DAEA73" w14:textId="77777777" w:rsidR="004D6A64" w:rsidRDefault="004D6A64">
            <w:pPr>
              <w:rPr>
                <w:rFonts w:ascii="宋体"/>
              </w:rPr>
            </w:pPr>
          </w:p>
        </w:tc>
        <w:tc>
          <w:tcPr>
            <w:tcW w:w="5" w:type="pct"/>
            <w:shd w:val="clear" w:color="auto" w:fill="auto"/>
          </w:tcPr>
          <w:p w14:paraId="33DAEA74" w14:textId="77777777" w:rsidR="004D6A64" w:rsidRDefault="004D6A64">
            <w:pPr>
              <w:rPr>
                <w:rFonts w:ascii="宋体"/>
              </w:rPr>
            </w:pPr>
          </w:p>
        </w:tc>
        <w:tc>
          <w:tcPr>
            <w:tcW w:w="50" w:type="pct"/>
            <w:shd w:val="clear" w:color="auto" w:fill="auto"/>
          </w:tcPr>
          <w:p w14:paraId="33DAEA75" w14:textId="77777777" w:rsidR="004D6A64" w:rsidRDefault="004D6A64">
            <w:pPr>
              <w:rPr>
                <w:rFonts w:ascii="宋体"/>
              </w:rPr>
            </w:pPr>
          </w:p>
        </w:tc>
        <w:tc>
          <w:tcPr>
            <w:tcW w:w="295" w:type="pct"/>
            <w:shd w:val="clear" w:color="auto" w:fill="auto"/>
          </w:tcPr>
          <w:p w14:paraId="33DAEA76" w14:textId="77777777" w:rsidR="004D6A64" w:rsidRDefault="004D6A64">
            <w:pPr>
              <w:rPr>
                <w:rFonts w:ascii="宋体"/>
              </w:rPr>
            </w:pPr>
          </w:p>
        </w:tc>
        <w:tc>
          <w:tcPr>
            <w:tcW w:w="5" w:type="pct"/>
            <w:shd w:val="clear" w:color="auto" w:fill="auto"/>
          </w:tcPr>
          <w:p w14:paraId="33DAEA77" w14:textId="77777777" w:rsidR="004D6A64" w:rsidRDefault="004D6A64">
            <w:pPr>
              <w:rPr>
                <w:rFonts w:ascii="宋体"/>
              </w:rPr>
            </w:pPr>
          </w:p>
        </w:tc>
        <w:tc>
          <w:tcPr>
            <w:tcW w:w="5" w:type="pct"/>
            <w:shd w:val="clear" w:color="auto" w:fill="auto"/>
          </w:tcPr>
          <w:p w14:paraId="33DAEA78" w14:textId="77777777" w:rsidR="004D6A64" w:rsidRDefault="004D6A64">
            <w:pPr>
              <w:rPr>
                <w:rFonts w:ascii="宋体"/>
              </w:rPr>
            </w:pPr>
          </w:p>
        </w:tc>
        <w:tc>
          <w:tcPr>
            <w:tcW w:w="19" w:type="pct"/>
            <w:shd w:val="clear" w:color="auto" w:fill="auto"/>
          </w:tcPr>
          <w:p w14:paraId="33DAEA79" w14:textId="77777777" w:rsidR="004D6A64" w:rsidRDefault="004D6A64">
            <w:pPr>
              <w:rPr>
                <w:rFonts w:ascii="宋体"/>
              </w:rPr>
            </w:pPr>
          </w:p>
        </w:tc>
        <w:tc>
          <w:tcPr>
            <w:tcW w:w="5" w:type="pct"/>
            <w:shd w:val="clear" w:color="auto" w:fill="auto"/>
          </w:tcPr>
          <w:p w14:paraId="33DAEA7A" w14:textId="77777777" w:rsidR="004D6A64" w:rsidRDefault="004D6A64">
            <w:pPr>
              <w:rPr>
                <w:rFonts w:ascii="宋体"/>
              </w:rPr>
            </w:pPr>
          </w:p>
        </w:tc>
        <w:tc>
          <w:tcPr>
            <w:tcW w:w="50" w:type="pct"/>
            <w:shd w:val="clear" w:color="auto" w:fill="auto"/>
          </w:tcPr>
          <w:p w14:paraId="33DAEA7B" w14:textId="77777777" w:rsidR="004D6A64" w:rsidRDefault="004D6A64">
            <w:pPr>
              <w:rPr>
                <w:rFonts w:ascii="宋体"/>
              </w:rPr>
            </w:pPr>
          </w:p>
        </w:tc>
        <w:tc>
          <w:tcPr>
            <w:tcW w:w="317" w:type="pct"/>
            <w:shd w:val="clear" w:color="auto" w:fill="auto"/>
          </w:tcPr>
          <w:p w14:paraId="33DAEA7C" w14:textId="77777777" w:rsidR="004D6A64" w:rsidRDefault="004D6A64">
            <w:pPr>
              <w:rPr>
                <w:rFonts w:ascii="宋体"/>
              </w:rPr>
            </w:pPr>
          </w:p>
        </w:tc>
        <w:tc>
          <w:tcPr>
            <w:tcW w:w="5" w:type="pct"/>
            <w:shd w:val="clear" w:color="auto" w:fill="auto"/>
          </w:tcPr>
          <w:p w14:paraId="33DAEA7D" w14:textId="77777777" w:rsidR="004D6A64" w:rsidRDefault="004D6A64">
            <w:pPr>
              <w:rPr>
                <w:rFonts w:ascii="宋体"/>
              </w:rPr>
            </w:pPr>
          </w:p>
        </w:tc>
        <w:tc>
          <w:tcPr>
            <w:tcW w:w="5" w:type="pct"/>
            <w:shd w:val="clear" w:color="auto" w:fill="auto"/>
          </w:tcPr>
          <w:p w14:paraId="33DAEA7E" w14:textId="77777777" w:rsidR="004D6A64" w:rsidRDefault="004D6A64">
            <w:pPr>
              <w:rPr>
                <w:rFonts w:ascii="宋体"/>
              </w:rPr>
            </w:pPr>
          </w:p>
        </w:tc>
        <w:tc>
          <w:tcPr>
            <w:tcW w:w="19" w:type="pct"/>
            <w:shd w:val="clear" w:color="auto" w:fill="auto"/>
          </w:tcPr>
          <w:p w14:paraId="33DAEA7F" w14:textId="77777777" w:rsidR="004D6A64" w:rsidRDefault="004D6A64">
            <w:pPr>
              <w:rPr>
                <w:rFonts w:ascii="宋体"/>
              </w:rPr>
            </w:pPr>
          </w:p>
        </w:tc>
        <w:tc>
          <w:tcPr>
            <w:tcW w:w="5" w:type="pct"/>
            <w:shd w:val="clear" w:color="auto" w:fill="auto"/>
          </w:tcPr>
          <w:p w14:paraId="33DAEA80" w14:textId="77777777" w:rsidR="004D6A64" w:rsidRDefault="004D6A64">
            <w:pPr>
              <w:rPr>
                <w:rFonts w:ascii="宋体"/>
              </w:rPr>
            </w:pPr>
          </w:p>
        </w:tc>
        <w:tc>
          <w:tcPr>
            <w:tcW w:w="50" w:type="pct"/>
            <w:shd w:val="clear" w:color="auto" w:fill="auto"/>
          </w:tcPr>
          <w:p w14:paraId="33DAEA81" w14:textId="77777777" w:rsidR="004D6A64" w:rsidRDefault="004D6A64">
            <w:pPr>
              <w:rPr>
                <w:rFonts w:ascii="宋体"/>
              </w:rPr>
            </w:pPr>
          </w:p>
        </w:tc>
        <w:tc>
          <w:tcPr>
            <w:tcW w:w="288" w:type="pct"/>
            <w:shd w:val="clear" w:color="auto" w:fill="auto"/>
          </w:tcPr>
          <w:p w14:paraId="33DAEA82" w14:textId="77777777" w:rsidR="004D6A64" w:rsidRDefault="004D6A64">
            <w:pPr>
              <w:rPr>
                <w:rFonts w:ascii="宋体"/>
              </w:rPr>
            </w:pPr>
          </w:p>
        </w:tc>
        <w:tc>
          <w:tcPr>
            <w:tcW w:w="5" w:type="pct"/>
            <w:shd w:val="clear" w:color="auto" w:fill="auto"/>
          </w:tcPr>
          <w:p w14:paraId="33DAEA83" w14:textId="77777777" w:rsidR="004D6A64" w:rsidRDefault="004D6A64">
            <w:pPr>
              <w:rPr>
                <w:rFonts w:ascii="宋体"/>
              </w:rPr>
            </w:pPr>
          </w:p>
        </w:tc>
        <w:tc>
          <w:tcPr>
            <w:tcW w:w="5" w:type="pct"/>
            <w:shd w:val="clear" w:color="auto" w:fill="auto"/>
          </w:tcPr>
          <w:p w14:paraId="33DAEA84" w14:textId="77777777" w:rsidR="004D6A64" w:rsidRDefault="004D6A64">
            <w:pPr>
              <w:rPr>
                <w:rFonts w:ascii="宋体"/>
              </w:rPr>
            </w:pPr>
          </w:p>
        </w:tc>
        <w:tc>
          <w:tcPr>
            <w:tcW w:w="19" w:type="pct"/>
            <w:shd w:val="clear" w:color="auto" w:fill="auto"/>
          </w:tcPr>
          <w:p w14:paraId="33DAEA85" w14:textId="77777777" w:rsidR="004D6A64" w:rsidRDefault="004D6A64">
            <w:pPr>
              <w:rPr>
                <w:rFonts w:ascii="宋体"/>
              </w:rPr>
            </w:pPr>
          </w:p>
        </w:tc>
        <w:tc>
          <w:tcPr>
            <w:tcW w:w="5" w:type="pct"/>
            <w:shd w:val="clear" w:color="auto" w:fill="auto"/>
          </w:tcPr>
          <w:p w14:paraId="33DAEA86" w14:textId="77777777" w:rsidR="004D6A64" w:rsidRDefault="004D6A64">
            <w:pPr>
              <w:rPr>
                <w:rFonts w:ascii="宋体"/>
              </w:rPr>
            </w:pPr>
          </w:p>
        </w:tc>
        <w:tc>
          <w:tcPr>
            <w:tcW w:w="50" w:type="pct"/>
            <w:shd w:val="clear" w:color="auto" w:fill="auto"/>
          </w:tcPr>
          <w:p w14:paraId="33DAEA87" w14:textId="77777777" w:rsidR="004D6A64" w:rsidRDefault="004D6A64">
            <w:pPr>
              <w:rPr>
                <w:rFonts w:ascii="宋体"/>
              </w:rPr>
            </w:pPr>
          </w:p>
        </w:tc>
        <w:tc>
          <w:tcPr>
            <w:tcW w:w="295" w:type="pct"/>
            <w:shd w:val="clear" w:color="auto" w:fill="auto"/>
          </w:tcPr>
          <w:p w14:paraId="33DAEA88" w14:textId="77777777" w:rsidR="004D6A64" w:rsidRDefault="004D6A64">
            <w:pPr>
              <w:rPr>
                <w:rFonts w:ascii="宋体"/>
              </w:rPr>
            </w:pPr>
          </w:p>
        </w:tc>
        <w:tc>
          <w:tcPr>
            <w:tcW w:w="5" w:type="pct"/>
            <w:shd w:val="clear" w:color="auto" w:fill="auto"/>
          </w:tcPr>
          <w:p w14:paraId="33DAEA89" w14:textId="77777777" w:rsidR="004D6A64" w:rsidRDefault="004D6A64">
            <w:pPr>
              <w:rPr>
                <w:rFonts w:ascii="宋体"/>
              </w:rPr>
            </w:pPr>
          </w:p>
        </w:tc>
        <w:tc>
          <w:tcPr>
            <w:tcW w:w="5" w:type="pct"/>
            <w:shd w:val="clear" w:color="auto" w:fill="auto"/>
          </w:tcPr>
          <w:p w14:paraId="33DAEA8A" w14:textId="77777777" w:rsidR="004D6A64" w:rsidRDefault="004D6A64">
            <w:pPr>
              <w:rPr>
                <w:rFonts w:ascii="宋体"/>
              </w:rPr>
            </w:pPr>
          </w:p>
        </w:tc>
        <w:tc>
          <w:tcPr>
            <w:tcW w:w="19" w:type="pct"/>
            <w:shd w:val="clear" w:color="auto" w:fill="auto"/>
          </w:tcPr>
          <w:p w14:paraId="33DAEA8B" w14:textId="77777777" w:rsidR="004D6A64" w:rsidRDefault="004D6A64">
            <w:pPr>
              <w:rPr>
                <w:rFonts w:ascii="宋体"/>
              </w:rPr>
            </w:pPr>
          </w:p>
        </w:tc>
        <w:tc>
          <w:tcPr>
            <w:tcW w:w="5" w:type="pct"/>
            <w:shd w:val="clear" w:color="auto" w:fill="auto"/>
          </w:tcPr>
          <w:p w14:paraId="33DAEA8C" w14:textId="77777777" w:rsidR="004D6A64" w:rsidRDefault="004D6A64">
            <w:pPr>
              <w:rPr>
                <w:rFonts w:ascii="宋体"/>
              </w:rPr>
            </w:pPr>
          </w:p>
        </w:tc>
        <w:tc>
          <w:tcPr>
            <w:tcW w:w="50" w:type="pct"/>
            <w:shd w:val="clear" w:color="auto" w:fill="auto"/>
          </w:tcPr>
          <w:p w14:paraId="33DAEA8D" w14:textId="77777777" w:rsidR="004D6A64" w:rsidRDefault="004D6A64">
            <w:pPr>
              <w:rPr>
                <w:rFonts w:ascii="宋体"/>
              </w:rPr>
            </w:pPr>
          </w:p>
        </w:tc>
        <w:tc>
          <w:tcPr>
            <w:tcW w:w="318" w:type="pct"/>
            <w:shd w:val="clear" w:color="auto" w:fill="auto"/>
          </w:tcPr>
          <w:p w14:paraId="33DAEA8E" w14:textId="77777777" w:rsidR="004D6A64" w:rsidRDefault="004D6A64">
            <w:pPr>
              <w:rPr>
                <w:rFonts w:ascii="宋体"/>
              </w:rPr>
            </w:pPr>
          </w:p>
        </w:tc>
        <w:tc>
          <w:tcPr>
            <w:tcW w:w="5" w:type="pct"/>
            <w:shd w:val="clear" w:color="auto" w:fill="auto"/>
          </w:tcPr>
          <w:p w14:paraId="33DAEA8F" w14:textId="77777777" w:rsidR="004D6A64" w:rsidRDefault="004D6A64">
            <w:pPr>
              <w:rPr>
                <w:rFonts w:ascii="宋体"/>
              </w:rPr>
            </w:pPr>
          </w:p>
        </w:tc>
      </w:tr>
      <w:tr w:rsidR="004D6A64" w14:paraId="33DAEA9E" w14:textId="77777777">
        <w:tc>
          <w:tcPr>
            <w:tcW w:w="0" w:type="auto"/>
            <w:gridSpan w:val="3"/>
            <w:shd w:val="clear" w:color="auto" w:fill="auto"/>
            <w:tcMar>
              <w:left w:w="20" w:type="dxa"/>
              <w:right w:w="20" w:type="dxa"/>
            </w:tcMar>
            <w:vAlign w:val="bottom"/>
          </w:tcPr>
          <w:p w14:paraId="33DAEA91" w14:textId="77777777" w:rsidR="004D6A64" w:rsidRDefault="004D6A64">
            <w:pPr>
              <w:rPr>
                <w:rFonts w:ascii="宋体"/>
              </w:rPr>
            </w:pP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33DAEA92" w14:textId="77777777" w:rsidR="004D6A64" w:rsidRDefault="00506CD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Pr>
          <w:p w14:paraId="33DAEA93" w14:textId="77777777" w:rsidR="004D6A64" w:rsidRDefault="004D6A64">
            <w:pPr>
              <w:rPr>
                <w:rFonts w:ascii="宋体"/>
                <w:vanish/>
              </w:rPr>
            </w:pPr>
          </w:p>
        </w:tc>
        <w:tc>
          <w:tcPr>
            <w:tcW w:w="0" w:type="auto"/>
            <w:gridSpan w:val="3"/>
            <w:shd w:val="clear" w:color="auto" w:fill="auto"/>
          </w:tcPr>
          <w:p w14:paraId="33DAEA94" w14:textId="77777777" w:rsidR="004D6A64" w:rsidRDefault="004D6A64">
            <w:pPr>
              <w:rPr>
                <w:rFonts w:ascii="宋体"/>
                <w:vanish/>
              </w:rPr>
            </w:pPr>
          </w:p>
        </w:tc>
        <w:tc>
          <w:tcPr>
            <w:tcW w:w="0" w:type="auto"/>
            <w:gridSpan w:val="3"/>
            <w:shd w:val="clear" w:color="auto" w:fill="auto"/>
          </w:tcPr>
          <w:p w14:paraId="33DAEA95" w14:textId="77777777" w:rsidR="004D6A64" w:rsidRDefault="004D6A64">
            <w:pPr>
              <w:rPr>
                <w:rFonts w:ascii="宋体"/>
                <w:vanish/>
              </w:rPr>
            </w:pPr>
          </w:p>
        </w:tc>
        <w:tc>
          <w:tcPr>
            <w:tcW w:w="0" w:type="auto"/>
            <w:gridSpan w:val="3"/>
            <w:shd w:val="clear" w:color="auto" w:fill="auto"/>
          </w:tcPr>
          <w:p w14:paraId="33DAEA96" w14:textId="77777777" w:rsidR="004D6A64" w:rsidRDefault="004D6A64">
            <w:pPr>
              <w:rPr>
                <w:rFonts w:ascii="宋体"/>
                <w:vanish/>
              </w:rPr>
            </w:pPr>
          </w:p>
        </w:tc>
        <w:tc>
          <w:tcPr>
            <w:tcW w:w="0" w:type="auto"/>
            <w:gridSpan w:val="3"/>
            <w:shd w:val="clear" w:color="auto" w:fill="auto"/>
          </w:tcPr>
          <w:p w14:paraId="33DAEA97" w14:textId="77777777" w:rsidR="004D6A64" w:rsidRDefault="004D6A64">
            <w:pPr>
              <w:rPr>
                <w:rFonts w:ascii="宋体"/>
                <w:vanish/>
              </w:rPr>
            </w:pPr>
          </w:p>
        </w:tc>
        <w:tc>
          <w:tcPr>
            <w:tcW w:w="0" w:type="auto"/>
            <w:gridSpan w:val="3"/>
            <w:shd w:val="clear" w:color="auto" w:fill="auto"/>
          </w:tcPr>
          <w:p w14:paraId="33DAEA98" w14:textId="77777777" w:rsidR="004D6A64" w:rsidRDefault="004D6A64">
            <w:pPr>
              <w:rPr>
                <w:rFonts w:ascii="宋体"/>
                <w:vanish/>
              </w:rPr>
            </w:pPr>
          </w:p>
        </w:tc>
        <w:tc>
          <w:tcPr>
            <w:tcW w:w="0" w:type="auto"/>
            <w:gridSpan w:val="3"/>
            <w:shd w:val="clear" w:color="auto" w:fill="auto"/>
          </w:tcPr>
          <w:p w14:paraId="33DAEA99" w14:textId="77777777" w:rsidR="004D6A64" w:rsidRDefault="004D6A64">
            <w:pPr>
              <w:rPr>
                <w:rFonts w:ascii="宋体"/>
                <w:vanish/>
              </w:rPr>
            </w:pPr>
          </w:p>
        </w:tc>
        <w:tc>
          <w:tcPr>
            <w:tcW w:w="0" w:type="auto"/>
            <w:gridSpan w:val="3"/>
            <w:shd w:val="clear" w:color="auto" w:fill="auto"/>
          </w:tcPr>
          <w:p w14:paraId="33DAEA9A"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EA9B" w14:textId="77777777" w:rsidR="004D6A64" w:rsidRDefault="004D6A64">
            <w:pPr>
              <w:rPr>
                <w:rFonts w:ascii="宋体"/>
              </w:rPr>
            </w:pPr>
          </w:p>
        </w:tc>
        <w:tc>
          <w:tcPr>
            <w:tcW w:w="0" w:type="auto"/>
            <w:gridSpan w:val="5"/>
            <w:tcBorders>
              <w:bottom w:val="single" w:sz="8" w:space="0" w:color="000000"/>
            </w:tcBorders>
            <w:shd w:val="clear" w:color="auto" w:fill="auto"/>
            <w:tcMar>
              <w:top w:w="40" w:type="dxa"/>
              <w:left w:w="20" w:type="dxa"/>
              <w:bottom w:w="40" w:type="dxa"/>
              <w:right w:w="20" w:type="dxa"/>
            </w:tcMar>
            <w:vAlign w:val="bottom"/>
          </w:tcPr>
          <w:p w14:paraId="33DAEA9C" w14:textId="77777777" w:rsidR="004D6A64" w:rsidRDefault="00506CD6">
            <w:pPr>
              <w:jc w:val="center"/>
              <w:textAlignment w:val="bottom"/>
            </w:pPr>
            <w:r>
              <w:rPr>
                <w:rFonts w:ascii="Times New Roman" w:eastAsia="宋体" w:hAnsi="Times New Roman"/>
                <w:b/>
                <w:bCs/>
                <w:color w:val="000000"/>
                <w:sz w:val="20"/>
                <w:szCs w:val="20"/>
              </w:rPr>
              <w:t>Six Months Ended</w:t>
            </w:r>
          </w:p>
        </w:tc>
        <w:tc>
          <w:tcPr>
            <w:tcW w:w="0" w:type="auto"/>
            <w:shd w:val="clear" w:color="auto" w:fill="auto"/>
          </w:tcPr>
          <w:p w14:paraId="33DAEA9D" w14:textId="77777777" w:rsidR="004D6A64" w:rsidRDefault="004D6A64">
            <w:pPr>
              <w:rPr>
                <w:rFonts w:ascii="宋体"/>
                <w:vanish/>
              </w:rPr>
            </w:pPr>
          </w:p>
        </w:tc>
      </w:tr>
      <w:tr w:rsidR="004D6A64" w14:paraId="33DAEAAF" w14:textId="77777777">
        <w:tc>
          <w:tcPr>
            <w:tcW w:w="0" w:type="auto"/>
            <w:gridSpan w:val="3"/>
            <w:shd w:val="clear" w:color="auto" w:fill="auto"/>
            <w:tcMar>
              <w:top w:w="40" w:type="dxa"/>
              <w:left w:w="20" w:type="dxa"/>
              <w:bottom w:w="40" w:type="dxa"/>
              <w:right w:w="20" w:type="dxa"/>
            </w:tcMar>
            <w:vAlign w:val="bottom"/>
          </w:tcPr>
          <w:p w14:paraId="33DAEA9F" w14:textId="77777777" w:rsidR="004D6A64" w:rsidRDefault="00506CD6">
            <w:pPr>
              <w:textAlignment w:val="bottom"/>
            </w:pPr>
            <w:r>
              <w:rPr>
                <w:rFonts w:ascii="Times New Roman" w:eastAsia="宋体" w:hAnsi="Times New Roman"/>
                <w:i/>
                <w:iCs/>
                <w:color w:val="000000"/>
                <w:sz w:val="17"/>
                <w:szCs w:val="17"/>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3DAEAA0"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shd w:val="clear" w:color="auto" w:fill="auto"/>
          </w:tcPr>
          <w:p w14:paraId="33DAEAA1" w14:textId="77777777" w:rsidR="004D6A64" w:rsidRDefault="004D6A64">
            <w:pPr>
              <w:rPr>
                <w:rFonts w:ascii="宋体"/>
                <w:vanish/>
              </w:rPr>
            </w:pPr>
          </w:p>
        </w:tc>
        <w:tc>
          <w:tcPr>
            <w:tcW w:w="0" w:type="auto"/>
            <w:gridSpan w:val="3"/>
            <w:shd w:val="clear" w:color="auto" w:fill="auto"/>
          </w:tcPr>
          <w:p w14:paraId="33DAEAA2" w14:textId="77777777" w:rsidR="004D6A64" w:rsidRDefault="004D6A64">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33DAEAA3" w14:textId="77777777" w:rsidR="004D6A64" w:rsidRDefault="004D6A64">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3DAEAA4" w14:textId="77777777" w:rsidR="004D6A64" w:rsidRDefault="004D6A64">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3DAEAA5" w14:textId="77777777" w:rsidR="004D6A64" w:rsidRDefault="004D6A6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3DAEAA6"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gridSpan w:val="3"/>
            <w:shd w:val="clear" w:color="auto" w:fill="auto"/>
          </w:tcPr>
          <w:p w14:paraId="33DAEAA7" w14:textId="77777777" w:rsidR="004D6A64" w:rsidRDefault="004D6A64">
            <w:pPr>
              <w:rPr>
                <w:rFonts w:ascii="宋体"/>
                <w:vanish/>
              </w:rPr>
            </w:pPr>
          </w:p>
        </w:tc>
        <w:tc>
          <w:tcPr>
            <w:tcW w:w="0" w:type="auto"/>
            <w:gridSpan w:val="3"/>
            <w:shd w:val="clear" w:color="auto" w:fill="auto"/>
          </w:tcPr>
          <w:p w14:paraId="33DAEAA8"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EAA9" w14:textId="77777777" w:rsidR="004D6A64" w:rsidRDefault="004D6A6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3DAEAAA" w14:textId="77777777" w:rsidR="004D6A64" w:rsidRDefault="00506CD6">
            <w:pPr>
              <w:jc w:val="center"/>
              <w:textAlignment w:val="bottom"/>
            </w:pPr>
            <w:r>
              <w:rPr>
                <w:rFonts w:ascii="Times New Roman" w:eastAsia="宋体" w:hAnsi="Times New Roman"/>
                <w:b/>
                <w:bCs/>
                <w:color w:val="000000"/>
                <w:sz w:val="20"/>
                <w:szCs w:val="20"/>
              </w:rPr>
              <w:t xml:space="preserve">July 31, </w:t>
            </w:r>
            <w:r>
              <w:rPr>
                <w:rFonts w:ascii="Times New Roman" w:eastAsia="宋体" w:hAnsi="Times New Roman"/>
                <w:b/>
                <w:bCs/>
                <w:color w:val="000000"/>
                <w:sz w:val="20"/>
                <w:szCs w:val="20"/>
              </w:rPr>
              <w:t>2020</w:t>
            </w:r>
          </w:p>
        </w:tc>
        <w:tc>
          <w:tcPr>
            <w:tcW w:w="0" w:type="auto"/>
            <w:gridSpan w:val="3"/>
            <w:shd w:val="clear" w:color="auto" w:fill="auto"/>
          </w:tcPr>
          <w:p w14:paraId="33DAEAAB" w14:textId="77777777" w:rsidR="004D6A64" w:rsidRDefault="004D6A64">
            <w:pPr>
              <w:rPr>
                <w:rFonts w:ascii="宋体"/>
                <w:vanish/>
              </w:rPr>
            </w:pPr>
          </w:p>
        </w:tc>
        <w:tc>
          <w:tcPr>
            <w:tcW w:w="0" w:type="auto"/>
            <w:gridSpan w:val="3"/>
            <w:shd w:val="clear" w:color="auto" w:fill="auto"/>
          </w:tcPr>
          <w:p w14:paraId="33DAEAAC" w14:textId="77777777" w:rsidR="004D6A64" w:rsidRDefault="004D6A64">
            <w:pPr>
              <w:rPr>
                <w:rFonts w:ascii="宋体"/>
                <w:vanish/>
              </w:rPr>
            </w:pPr>
          </w:p>
        </w:tc>
        <w:tc>
          <w:tcPr>
            <w:tcW w:w="0" w:type="auto"/>
            <w:gridSpan w:val="2"/>
            <w:tcBorders>
              <w:top w:val="single" w:sz="8" w:space="0" w:color="000000"/>
            </w:tcBorders>
            <w:shd w:val="clear" w:color="auto" w:fill="auto"/>
            <w:tcMar>
              <w:left w:w="20" w:type="dxa"/>
              <w:right w:w="20" w:type="dxa"/>
            </w:tcMar>
            <w:vAlign w:val="bottom"/>
          </w:tcPr>
          <w:p w14:paraId="33DAEAAD" w14:textId="77777777" w:rsidR="004D6A64" w:rsidRDefault="004D6A64">
            <w:pPr>
              <w:rPr>
                <w:rFonts w:ascii="宋体"/>
              </w:rPr>
            </w:pPr>
          </w:p>
        </w:tc>
        <w:tc>
          <w:tcPr>
            <w:tcW w:w="0" w:type="auto"/>
            <w:tcBorders>
              <w:top w:val="single" w:sz="8" w:space="0" w:color="000000"/>
            </w:tcBorders>
            <w:shd w:val="clear" w:color="auto" w:fill="auto"/>
            <w:tcMar>
              <w:left w:w="20" w:type="dxa"/>
              <w:right w:w="20" w:type="dxa"/>
            </w:tcMar>
            <w:vAlign w:val="bottom"/>
          </w:tcPr>
          <w:p w14:paraId="33DAEAAE" w14:textId="77777777" w:rsidR="004D6A64" w:rsidRDefault="00506CD6">
            <w:pPr>
              <w:jc w:val="center"/>
              <w:textAlignment w:val="bottom"/>
            </w:pPr>
            <w:r>
              <w:rPr>
                <w:rFonts w:ascii="Times New Roman" w:eastAsia="宋体" w:hAnsi="Times New Roman"/>
                <w:b/>
                <w:bCs/>
                <w:color w:val="000000"/>
                <w:sz w:val="20"/>
                <w:szCs w:val="20"/>
              </w:rPr>
              <w:t>August 2, 2019</w:t>
            </w:r>
          </w:p>
        </w:tc>
      </w:tr>
      <w:tr w:rsidR="004D6A64" w14:paraId="33DAEAC7" w14:textId="77777777">
        <w:tc>
          <w:tcPr>
            <w:tcW w:w="0" w:type="auto"/>
            <w:gridSpan w:val="3"/>
            <w:shd w:val="clear" w:color="auto" w:fill="auto"/>
            <w:tcMar>
              <w:top w:w="40" w:type="dxa"/>
              <w:left w:w="20" w:type="dxa"/>
              <w:bottom w:w="40" w:type="dxa"/>
              <w:right w:w="20" w:type="dxa"/>
            </w:tcMar>
            <w:vAlign w:val="bottom"/>
          </w:tcPr>
          <w:p w14:paraId="33DAEAB0" w14:textId="77777777" w:rsidR="004D6A64" w:rsidRDefault="00506CD6">
            <w:pPr>
              <w:jc w:val="center"/>
              <w:textAlignment w:val="bottom"/>
            </w:pPr>
            <w:r>
              <w:rPr>
                <w:rFonts w:ascii="Times New Roman" w:eastAsia="宋体" w:hAnsi="Times New Roman"/>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EAB1" w14:textId="77777777" w:rsidR="004D6A64" w:rsidRDefault="00506CD6">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left w:w="20" w:type="dxa"/>
              <w:right w:w="20" w:type="dxa"/>
            </w:tcMar>
            <w:vAlign w:val="bottom"/>
          </w:tcPr>
          <w:p w14:paraId="33DAEAB2"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EAB3" w14:textId="77777777" w:rsidR="004D6A64" w:rsidRDefault="00506CD6">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c>
          <w:tcPr>
            <w:tcW w:w="0" w:type="auto"/>
            <w:gridSpan w:val="3"/>
            <w:shd w:val="clear" w:color="auto" w:fill="auto"/>
            <w:tcMar>
              <w:left w:w="20" w:type="dxa"/>
              <w:right w:w="20" w:type="dxa"/>
            </w:tcMar>
            <w:vAlign w:val="bottom"/>
          </w:tcPr>
          <w:p w14:paraId="33DAEAB4" w14:textId="77777777" w:rsidR="004D6A64" w:rsidRDefault="004D6A6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3DAEAB5" w14:textId="77777777" w:rsidR="004D6A64" w:rsidRDefault="00506CD6">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gridSpan w:val="3"/>
            <w:shd w:val="clear" w:color="auto" w:fill="auto"/>
            <w:tcMar>
              <w:left w:w="20" w:type="dxa"/>
              <w:right w:w="20" w:type="dxa"/>
            </w:tcMar>
            <w:vAlign w:val="bottom"/>
          </w:tcPr>
          <w:p w14:paraId="33DAEAB6"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EAB7" w14:textId="77777777" w:rsidR="004D6A64" w:rsidRDefault="00506CD6">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left w:w="20" w:type="dxa"/>
              <w:right w:w="20" w:type="dxa"/>
            </w:tcMar>
            <w:vAlign w:val="bottom"/>
          </w:tcPr>
          <w:p w14:paraId="33DAEAB8"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EAB9" w14:textId="77777777" w:rsidR="004D6A64" w:rsidRDefault="00506CD6">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c>
          <w:tcPr>
            <w:tcW w:w="0" w:type="auto"/>
            <w:gridSpan w:val="3"/>
            <w:shd w:val="clear" w:color="auto" w:fill="auto"/>
            <w:tcMar>
              <w:left w:w="20" w:type="dxa"/>
              <w:right w:w="20" w:type="dxa"/>
            </w:tcMar>
            <w:vAlign w:val="bottom"/>
          </w:tcPr>
          <w:p w14:paraId="33DAEABA"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EABB" w14:textId="77777777" w:rsidR="004D6A64" w:rsidRDefault="00506CD6">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left w:w="20" w:type="dxa"/>
              <w:right w:w="20" w:type="dxa"/>
            </w:tcMar>
            <w:vAlign w:val="bottom"/>
          </w:tcPr>
          <w:p w14:paraId="33DAEABC"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EABD" w14:textId="77777777" w:rsidR="004D6A64" w:rsidRDefault="00506CD6">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c>
          <w:tcPr>
            <w:tcW w:w="0" w:type="auto"/>
            <w:gridSpan w:val="3"/>
            <w:shd w:val="clear" w:color="auto" w:fill="auto"/>
            <w:tcMar>
              <w:left w:w="20" w:type="dxa"/>
              <w:right w:w="20" w:type="dxa"/>
            </w:tcMar>
            <w:vAlign w:val="bottom"/>
          </w:tcPr>
          <w:p w14:paraId="33DAEABE" w14:textId="77777777" w:rsidR="004D6A64" w:rsidRDefault="004D6A6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3DAEABF" w14:textId="77777777" w:rsidR="004D6A64" w:rsidRDefault="00506CD6">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gridSpan w:val="3"/>
            <w:shd w:val="clear" w:color="auto" w:fill="auto"/>
            <w:tcMar>
              <w:left w:w="20" w:type="dxa"/>
              <w:right w:w="20" w:type="dxa"/>
            </w:tcMar>
            <w:vAlign w:val="bottom"/>
          </w:tcPr>
          <w:p w14:paraId="33DAEAC0"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EAC1" w14:textId="77777777" w:rsidR="004D6A64" w:rsidRDefault="00506CD6">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left w:w="20" w:type="dxa"/>
              <w:right w:w="20" w:type="dxa"/>
            </w:tcMar>
            <w:vAlign w:val="bottom"/>
          </w:tcPr>
          <w:p w14:paraId="33DAEAC2"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EAC3" w14:textId="77777777" w:rsidR="004D6A64" w:rsidRDefault="00506CD6">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c>
          <w:tcPr>
            <w:tcW w:w="0" w:type="auto"/>
            <w:shd w:val="clear" w:color="auto" w:fill="auto"/>
          </w:tcPr>
          <w:p w14:paraId="33DAEAC4" w14:textId="77777777" w:rsidR="004D6A64" w:rsidRDefault="004D6A64">
            <w:pPr>
              <w:rPr>
                <w:rFonts w:ascii="宋体"/>
              </w:rPr>
            </w:pPr>
          </w:p>
        </w:tc>
        <w:tc>
          <w:tcPr>
            <w:tcW w:w="0" w:type="auto"/>
            <w:shd w:val="clear" w:color="auto" w:fill="auto"/>
          </w:tcPr>
          <w:p w14:paraId="33DAEAC5" w14:textId="77777777" w:rsidR="004D6A64" w:rsidRDefault="004D6A64">
            <w:pPr>
              <w:rPr>
                <w:rFonts w:ascii="宋体"/>
              </w:rPr>
            </w:pPr>
          </w:p>
        </w:tc>
        <w:tc>
          <w:tcPr>
            <w:tcW w:w="0" w:type="auto"/>
            <w:shd w:val="clear" w:color="auto" w:fill="auto"/>
          </w:tcPr>
          <w:p w14:paraId="33DAEAC6" w14:textId="77777777" w:rsidR="004D6A64" w:rsidRDefault="004D6A64">
            <w:pPr>
              <w:rPr>
                <w:rFonts w:ascii="宋体"/>
              </w:rPr>
            </w:pPr>
          </w:p>
        </w:tc>
      </w:tr>
      <w:tr w:rsidR="004D6A64" w14:paraId="33DAEACC" w14:textId="77777777">
        <w:tc>
          <w:tcPr>
            <w:tcW w:w="0" w:type="auto"/>
            <w:gridSpan w:val="3"/>
            <w:shd w:val="clear" w:color="auto" w:fill="auto"/>
            <w:tcMar>
              <w:left w:w="20" w:type="dxa"/>
              <w:right w:w="20" w:type="dxa"/>
            </w:tcMar>
            <w:vAlign w:val="bottom"/>
          </w:tcPr>
          <w:p w14:paraId="33DAEAC8" w14:textId="77777777" w:rsidR="004D6A64" w:rsidRDefault="004D6A64">
            <w:pPr>
              <w:rPr>
                <w:rFonts w:ascii="宋体"/>
              </w:rPr>
            </w:pPr>
          </w:p>
        </w:tc>
        <w:tc>
          <w:tcPr>
            <w:tcW w:w="0" w:type="auto"/>
            <w:gridSpan w:val="57"/>
            <w:tcBorders>
              <w:top w:val="single" w:sz="8" w:space="0" w:color="000000"/>
            </w:tcBorders>
            <w:shd w:val="clear" w:color="auto" w:fill="auto"/>
            <w:tcMar>
              <w:top w:w="40" w:type="dxa"/>
              <w:left w:w="20" w:type="dxa"/>
              <w:bottom w:w="40" w:type="dxa"/>
              <w:right w:w="20" w:type="dxa"/>
            </w:tcMar>
            <w:vAlign w:val="bottom"/>
          </w:tcPr>
          <w:p w14:paraId="33DAEAC9" w14:textId="77777777" w:rsidR="004D6A64" w:rsidRDefault="00506CD6">
            <w:pPr>
              <w:jc w:val="center"/>
              <w:textAlignment w:val="bottom"/>
            </w:pPr>
            <w:r>
              <w:rPr>
                <w:rFonts w:ascii="Times New Roman" w:eastAsia="宋体" w:hAnsi="Times New Roman"/>
                <w:color w:val="000000"/>
                <w:sz w:val="20"/>
                <w:szCs w:val="20"/>
              </w:rPr>
              <w:t>(in millions, except percentages)</w:t>
            </w:r>
          </w:p>
        </w:tc>
        <w:tc>
          <w:tcPr>
            <w:tcW w:w="0" w:type="auto"/>
            <w:gridSpan w:val="2"/>
            <w:shd w:val="clear" w:color="auto" w:fill="auto"/>
          </w:tcPr>
          <w:p w14:paraId="33DAEACA" w14:textId="77777777" w:rsidR="004D6A64" w:rsidRDefault="004D6A64">
            <w:pPr>
              <w:rPr>
                <w:rFonts w:ascii="宋体"/>
                <w:vanish/>
              </w:rPr>
            </w:pPr>
          </w:p>
        </w:tc>
        <w:tc>
          <w:tcPr>
            <w:tcW w:w="0" w:type="auto"/>
            <w:shd w:val="clear" w:color="auto" w:fill="auto"/>
          </w:tcPr>
          <w:p w14:paraId="33DAEACB" w14:textId="77777777" w:rsidR="004D6A64" w:rsidRDefault="004D6A64">
            <w:pPr>
              <w:rPr>
                <w:rFonts w:ascii="宋体"/>
                <w:vanish/>
              </w:rPr>
            </w:pPr>
          </w:p>
        </w:tc>
      </w:tr>
      <w:tr w:rsidR="004D6A64" w14:paraId="33DAEAE4" w14:textId="77777777">
        <w:tc>
          <w:tcPr>
            <w:tcW w:w="0" w:type="auto"/>
            <w:gridSpan w:val="3"/>
            <w:shd w:val="clear" w:color="auto" w:fill="CCEEFF"/>
            <w:tcMar>
              <w:top w:w="40" w:type="dxa"/>
              <w:left w:w="20" w:type="dxa"/>
              <w:bottom w:w="40" w:type="dxa"/>
              <w:right w:w="20" w:type="dxa"/>
            </w:tcMar>
            <w:vAlign w:val="bottom"/>
          </w:tcPr>
          <w:p w14:paraId="33DAEACD" w14:textId="77777777" w:rsidR="004D6A64" w:rsidRDefault="00506CD6">
            <w:pPr>
              <w:textAlignment w:val="bottom"/>
            </w:pPr>
            <w:r>
              <w:rPr>
                <w:rFonts w:ascii="Times New Roman" w:eastAsia="宋体" w:hAnsi="Times New Roman"/>
                <w:i/>
                <w:iCs/>
                <w:color w:val="000000"/>
                <w:sz w:val="20"/>
                <w:szCs w:val="20"/>
              </w:rPr>
              <w:t>Net revenue:</w:t>
            </w:r>
          </w:p>
        </w:tc>
        <w:tc>
          <w:tcPr>
            <w:tcW w:w="0" w:type="auto"/>
            <w:gridSpan w:val="3"/>
            <w:shd w:val="clear" w:color="auto" w:fill="CCEEFF"/>
            <w:tcMar>
              <w:left w:w="20" w:type="dxa"/>
              <w:right w:w="20" w:type="dxa"/>
            </w:tcMar>
            <w:vAlign w:val="bottom"/>
          </w:tcPr>
          <w:p w14:paraId="33DAEACE"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ACF"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AD0"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AD1"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AD2"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AD3"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AD4"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AD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AD6"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AD7"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AD8"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AD9"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ADA"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ADB"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AD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AD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ADE"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ADF"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AE0" w14:textId="77777777" w:rsidR="004D6A64" w:rsidRDefault="004D6A64">
            <w:pPr>
              <w:rPr>
                <w:rFonts w:ascii="宋体"/>
              </w:rPr>
            </w:pPr>
          </w:p>
        </w:tc>
        <w:tc>
          <w:tcPr>
            <w:tcW w:w="0" w:type="auto"/>
            <w:shd w:val="clear" w:color="auto" w:fill="auto"/>
          </w:tcPr>
          <w:p w14:paraId="33DAEAE1" w14:textId="77777777" w:rsidR="004D6A64" w:rsidRDefault="004D6A64">
            <w:pPr>
              <w:rPr>
                <w:rFonts w:ascii="宋体"/>
              </w:rPr>
            </w:pPr>
          </w:p>
        </w:tc>
        <w:tc>
          <w:tcPr>
            <w:tcW w:w="0" w:type="auto"/>
            <w:shd w:val="clear" w:color="auto" w:fill="auto"/>
          </w:tcPr>
          <w:p w14:paraId="33DAEAE2" w14:textId="77777777" w:rsidR="004D6A64" w:rsidRDefault="004D6A64">
            <w:pPr>
              <w:rPr>
                <w:rFonts w:ascii="宋体"/>
              </w:rPr>
            </w:pPr>
          </w:p>
        </w:tc>
        <w:tc>
          <w:tcPr>
            <w:tcW w:w="0" w:type="auto"/>
            <w:shd w:val="clear" w:color="auto" w:fill="auto"/>
          </w:tcPr>
          <w:p w14:paraId="33DAEAE3" w14:textId="77777777" w:rsidR="004D6A64" w:rsidRDefault="004D6A64">
            <w:pPr>
              <w:rPr>
                <w:rFonts w:ascii="宋体"/>
              </w:rPr>
            </w:pPr>
          </w:p>
        </w:tc>
      </w:tr>
      <w:tr w:rsidR="00506CD6" w14:paraId="33DAEB0A" w14:textId="77777777">
        <w:tc>
          <w:tcPr>
            <w:tcW w:w="0" w:type="auto"/>
            <w:gridSpan w:val="3"/>
            <w:shd w:val="clear" w:color="auto" w:fill="FFFFFF"/>
            <w:tcMar>
              <w:top w:w="40" w:type="dxa"/>
              <w:left w:w="20" w:type="dxa"/>
              <w:bottom w:w="40" w:type="dxa"/>
              <w:right w:w="20" w:type="dxa"/>
            </w:tcMar>
            <w:vAlign w:val="bottom"/>
          </w:tcPr>
          <w:p w14:paraId="33DAEAE5" w14:textId="77777777" w:rsidR="004D6A64" w:rsidRDefault="00506CD6">
            <w:pPr>
              <w:textAlignment w:val="bottom"/>
            </w:pPr>
            <w:r>
              <w:rPr>
                <w:rFonts w:ascii="Times New Roman" w:eastAsia="宋体" w:hAnsi="Times New Roman"/>
                <w:color w:val="000000"/>
                <w:sz w:val="20"/>
                <w:szCs w:val="20"/>
              </w:rPr>
              <w:t>Products (a)</w:t>
            </w:r>
          </w:p>
        </w:tc>
        <w:tc>
          <w:tcPr>
            <w:tcW w:w="0" w:type="auto"/>
            <w:shd w:val="clear" w:color="auto" w:fill="FFFFFF"/>
            <w:tcMar>
              <w:top w:w="40" w:type="dxa"/>
              <w:left w:w="20" w:type="dxa"/>
              <w:bottom w:w="40" w:type="dxa"/>
            </w:tcMar>
            <w:vAlign w:val="bottom"/>
          </w:tcPr>
          <w:p w14:paraId="33DAEAE6"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AE7" w14:textId="77777777" w:rsidR="004D6A64" w:rsidRDefault="00506CD6">
            <w:pPr>
              <w:jc w:val="right"/>
              <w:textAlignment w:val="bottom"/>
            </w:pPr>
            <w:r>
              <w:rPr>
                <w:rFonts w:ascii="Times New Roman" w:eastAsia="宋体" w:hAnsi="Times New Roman"/>
                <w:color w:val="000000"/>
                <w:sz w:val="20"/>
                <w:szCs w:val="20"/>
              </w:rPr>
              <w:t>16,737 </w:t>
            </w:r>
          </w:p>
        </w:tc>
        <w:tc>
          <w:tcPr>
            <w:tcW w:w="0" w:type="auto"/>
            <w:shd w:val="clear" w:color="auto" w:fill="FFFFFF"/>
            <w:tcMar>
              <w:top w:w="40" w:type="dxa"/>
              <w:bottom w:w="40" w:type="dxa"/>
              <w:right w:w="20" w:type="dxa"/>
            </w:tcMar>
            <w:vAlign w:val="bottom"/>
          </w:tcPr>
          <w:p w14:paraId="33DAEAE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AE9"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AEA" w14:textId="77777777" w:rsidR="004D6A64" w:rsidRDefault="00506CD6">
            <w:pPr>
              <w:jc w:val="right"/>
              <w:textAlignment w:val="bottom"/>
            </w:pPr>
            <w:r>
              <w:rPr>
                <w:rFonts w:ascii="Times New Roman" w:eastAsia="宋体" w:hAnsi="Times New Roman"/>
                <w:color w:val="000000"/>
                <w:sz w:val="20"/>
                <w:szCs w:val="20"/>
              </w:rPr>
              <w:t>73.6 </w:t>
            </w:r>
          </w:p>
        </w:tc>
        <w:tc>
          <w:tcPr>
            <w:tcW w:w="0" w:type="auto"/>
            <w:shd w:val="clear" w:color="auto" w:fill="FFFFFF"/>
            <w:tcMar>
              <w:top w:w="40" w:type="dxa"/>
              <w:bottom w:w="40" w:type="dxa"/>
              <w:right w:w="20" w:type="dxa"/>
            </w:tcMar>
            <w:vAlign w:val="bottom"/>
          </w:tcPr>
          <w:p w14:paraId="33DAEAEB"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AEC"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AED" w14:textId="77777777" w:rsidR="004D6A64" w:rsidRDefault="00506CD6">
            <w:pPr>
              <w:jc w:val="right"/>
              <w:textAlignment w:val="bottom"/>
            </w:pPr>
            <w:r>
              <w:rPr>
                <w:rFonts w:ascii="Times New Roman" w:eastAsia="宋体" w:hAnsi="Times New Roman"/>
                <w:color w:val="000000"/>
                <w:sz w:val="20"/>
                <w:szCs w:val="20"/>
              </w:rPr>
              <w:t>(7)</w:t>
            </w:r>
          </w:p>
        </w:tc>
        <w:tc>
          <w:tcPr>
            <w:tcW w:w="0" w:type="auto"/>
            <w:shd w:val="clear" w:color="auto" w:fill="FFFFFF"/>
            <w:tcMar>
              <w:top w:w="40" w:type="dxa"/>
              <w:bottom w:w="40" w:type="dxa"/>
              <w:right w:w="20" w:type="dxa"/>
            </w:tcMar>
            <w:vAlign w:val="bottom"/>
          </w:tcPr>
          <w:p w14:paraId="33DAEAEE"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AEF"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EAF0"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AF1" w14:textId="77777777" w:rsidR="004D6A64" w:rsidRDefault="00506CD6">
            <w:pPr>
              <w:jc w:val="right"/>
              <w:textAlignment w:val="bottom"/>
            </w:pPr>
            <w:r>
              <w:rPr>
                <w:rFonts w:ascii="Times New Roman" w:eastAsia="宋体" w:hAnsi="Times New Roman"/>
                <w:color w:val="000000"/>
                <w:sz w:val="20"/>
                <w:szCs w:val="20"/>
              </w:rPr>
              <w:t>17,915 </w:t>
            </w:r>
          </w:p>
        </w:tc>
        <w:tc>
          <w:tcPr>
            <w:tcW w:w="0" w:type="auto"/>
            <w:shd w:val="clear" w:color="auto" w:fill="FFFFFF"/>
            <w:tcMar>
              <w:top w:w="40" w:type="dxa"/>
              <w:bottom w:w="40" w:type="dxa"/>
              <w:right w:w="20" w:type="dxa"/>
            </w:tcMar>
            <w:vAlign w:val="bottom"/>
          </w:tcPr>
          <w:p w14:paraId="33DAEAF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AF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AF4" w14:textId="77777777" w:rsidR="004D6A64" w:rsidRDefault="00506CD6">
            <w:pPr>
              <w:jc w:val="right"/>
              <w:textAlignment w:val="bottom"/>
            </w:pPr>
            <w:r>
              <w:rPr>
                <w:rFonts w:ascii="Times New Roman" w:eastAsia="宋体" w:hAnsi="Times New Roman"/>
                <w:color w:val="000000"/>
                <w:sz w:val="20"/>
                <w:szCs w:val="20"/>
              </w:rPr>
              <w:t>76.7 </w:t>
            </w:r>
          </w:p>
        </w:tc>
        <w:tc>
          <w:tcPr>
            <w:tcW w:w="0" w:type="auto"/>
            <w:shd w:val="clear" w:color="auto" w:fill="FFFFFF"/>
            <w:tcMar>
              <w:top w:w="40" w:type="dxa"/>
              <w:bottom w:w="40" w:type="dxa"/>
              <w:right w:w="20" w:type="dxa"/>
            </w:tcMar>
            <w:vAlign w:val="bottom"/>
          </w:tcPr>
          <w:p w14:paraId="33DAEAF5"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AF6"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EAF7"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AF8" w14:textId="77777777" w:rsidR="004D6A64" w:rsidRDefault="00506CD6">
            <w:pPr>
              <w:jc w:val="right"/>
              <w:textAlignment w:val="bottom"/>
            </w:pPr>
            <w:r>
              <w:rPr>
                <w:rFonts w:ascii="Times New Roman" w:eastAsia="宋体" w:hAnsi="Times New Roman"/>
                <w:color w:val="000000"/>
                <w:sz w:val="20"/>
                <w:szCs w:val="20"/>
              </w:rPr>
              <w:t>32,775 </w:t>
            </w:r>
          </w:p>
        </w:tc>
        <w:tc>
          <w:tcPr>
            <w:tcW w:w="0" w:type="auto"/>
            <w:shd w:val="clear" w:color="auto" w:fill="FFFFFF"/>
            <w:tcMar>
              <w:top w:w="40" w:type="dxa"/>
              <w:bottom w:w="40" w:type="dxa"/>
              <w:right w:w="20" w:type="dxa"/>
            </w:tcMar>
            <w:vAlign w:val="bottom"/>
          </w:tcPr>
          <w:p w14:paraId="33DAEAF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AF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AFB" w14:textId="77777777" w:rsidR="004D6A64" w:rsidRDefault="00506CD6">
            <w:pPr>
              <w:jc w:val="right"/>
              <w:textAlignment w:val="bottom"/>
            </w:pPr>
            <w:r>
              <w:rPr>
                <w:rFonts w:ascii="Times New Roman" w:eastAsia="宋体" w:hAnsi="Times New Roman"/>
                <w:color w:val="000000"/>
                <w:sz w:val="20"/>
                <w:szCs w:val="20"/>
              </w:rPr>
              <w:t>73.4 </w:t>
            </w:r>
          </w:p>
        </w:tc>
        <w:tc>
          <w:tcPr>
            <w:tcW w:w="0" w:type="auto"/>
            <w:shd w:val="clear" w:color="auto" w:fill="FFFFFF"/>
            <w:tcMar>
              <w:top w:w="40" w:type="dxa"/>
              <w:bottom w:w="40" w:type="dxa"/>
              <w:right w:w="20" w:type="dxa"/>
            </w:tcMar>
            <w:vAlign w:val="bottom"/>
          </w:tcPr>
          <w:p w14:paraId="33DAEAFC"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AF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AFE" w14:textId="77777777" w:rsidR="004D6A64" w:rsidRDefault="00506CD6">
            <w:pPr>
              <w:jc w:val="right"/>
              <w:textAlignment w:val="bottom"/>
            </w:pPr>
            <w:r>
              <w:rPr>
                <w:rFonts w:ascii="Times New Roman" w:eastAsia="宋体" w:hAnsi="Times New Roman"/>
                <w:color w:val="000000"/>
                <w:sz w:val="20"/>
                <w:szCs w:val="20"/>
              </w:rPr>
              <w:t>(5)</w:t>
            </w:r>
          </w:p>
        </w:tc>
        <w:tc>
          <w:tcPr>
            <w:tcW w:w="0" w:type="auto"/>
            <w:shd w:val="clear" w:color="auto" w:fill="FFFFFF"/>
            <w:tcMar>
              <w:top w:w="40" w:type="dxa"/>
              <w:bottom w:w="40" w:type="dxa"/>
              <w:right w:w="20" w:type="dxa"/>
            </w:tcMar>
            <w:vAlign w:val="bottom"/>
          </w:tcPr>
          <w:p w14:paraId="33DAEAFF"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B00"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EB01"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B02" w14:textId="77777777" w:rsidR="004D6A64" w:rsidRDefault="00506CD6">
            <w:pPr>
              <w:jc w:val="right"/>
              <w:textAlignment w:val="bottom"/>
            </w:pPr>
            <w:r>
              <w:rPr>
                <w:rFonts w:ascii="Times New Roman" w:eastAsia="宋体" w:hAnsi="Times New Roman"/>
                <w:color w:val="000000"/>
                <w:sz w:val="20"/>
                <w:szCs w:val="20"/>
              </w:rPr>
              <w:t>34,490 </w:t>
            </w:r>
          </w:p>
        </w:tc>
        <w:tc>
          <w:tcPr>
            <w:tcW w:w="0" w:type="auto"/>
            <w:shd w:val="clear" w:color="auto" w:fill="FFFFFF"/>
            <w:tcMar>
              <w:top w:w="40" w:type="dxa"/>
              <w:bottom w:w="40" w:type="dxa"/>
              <w:right w:w="20" w:type="dxa"/>
            </w:tcMar>
            <w:vAlign w:val="bottom"/>
          </w:tcPr>
          <w:p w14:paraId="33DAEB0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B04"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B05" w14:textId="77777777" w:rsidR="004D6A64" w:rsidRDefault="00506CD6">
            <w:pPr>
              <w:jc w:val="right"/>
              <w:textAlignment w:val="bottom"/>
            </w:pPr>
            <w:r>
              <w:rPr>
                <w:rFonts w:ascii="Times New Roman" w:eastAsia="宋体" w:hAnsi="Times New Roman"/>
                <w:color w:val="000000"/>
                <w:sz w:val="20"/>
                <w:szCs w:val="20"/>
              </w:rPr>
              <w:t>76.2 </w:t>
            </w:r>
          </w:p>
        </w:tc>
        <w:tc>
          <w:tcPr>
            <w:tcW w:w="0" w:type="auto"/>
            <w:shd w:val="clear" w:color="auto" w:fill="FFFFFF"/>
            <w:tcMar>
              <w:top w:w="40" w:type="dxa"/>
              <w:bottom w:w="40" w:type="dxa"/>
              <w:right w:w="20" w:type="dxa"/>
            </w:tcMar>
            <w:vAlign w:val="bottom"/>
          </w:tcPr>
          <w:p w14:paraId="33DAEB06" w14:textId="77777777" w:rsidR="004D6A64" w:rsidRDefault="00506CD6">
            <w:pPr>
              <w:jc w:val="right"/>
              <w:textAlignment w:val="bottom"/>
            </w:pPr>
            <w:r>
              <w:rPr>
                <w:rFonts w:ascii="Times New Roman" w:eastAsia="宋体" w:hAnsi="Times New Roman"/>
                <w:color w:val="000000"/>
                <w:sz w:val="20"/>
                <w:szCs w:val="20"/>
              </w:rPr>
              <w:t>%</w:t>
            </w:r>
          </w:p>
        </w:tc>
        <w:tc>
          <w:tcPr>
            <w:tcW w:w="0" w:type="auto"/>
            <w:shd w:val="clear" w:color="auto" w:fill="auto"/>
          </w:tcPr>
          <w:p w14:paraId="33DAEB07" w14:textId="77777777" w:rsidR="004D6A64" w:rsidRDefault="004D6A64">
            <w:pPr>
              <w:rPr>
                <w:rFonts w:ascii="宋体"/>
              </w:rPr>
            </w:pPr>
          </w:p>
        </w:tc>
        <w:tc>
          <w:tcPr>
            <w:tcW w:w="0" w:type="auto"/>
            <w:shd w:val="clear" w:color="auto" w:fill="auto"/>
          </w:tcPr>
          <w:p w14:paraId="33DAEB08" w14:textId="77777777" w:rsidR="004D6A64" w:rsidRDefault="004D6A64">
            <w:pPr>
              <w:rPr>
                <w:rFonts w:ascii="宋体"/>
              </w:rPr>
            </w:pPr>
          </w:p>
        </w:tc>
        <w:tc>
          <w:tcPr>
            <w:tcW w:w="0" w:type="auto"/>
            <w:shd w:val="clear" w:color="auto" w:fill="auto"/>
          </w:tcPr>
          <w:p w14:paraId="33DAEB09" w14:textId="77777777" w:rsidR="004D6A64" w:rsidRDefault="004D6A64">
            <w:pPr>
              <w:rPr>
                <w:rFonts w:ascii="宋体"/>
              </w:rPr>
            </w:pPr>
          </w:p>
        </w:tc>
      </w:tr>
      <w:tr w:rsidR="00506CD6" w14:paraId="33DAEB2C" w14:textId="77777777">
        <w:tc>
          <w:tcPr>
            <w:tcW w:w="0" w:type="auto"/>
            <w:gridSpan w:val="3"/>
            <w:shd w:val="clear" w:color="auto" w:fill="CCEEFF"/>
            <w:tcMar>
              <w:top w:w="40" w:type="dxa"/>
              <w:left w:w="20" w:type="dxa"/>
              <w:bottom w:w="40" w:type="dxa"/>
              <w:right w:w="20" w:type="dxa"/>
            </w:tcMar>
            <w:vAlign w:val="bottom"/>
          </w:tcPr>
          <w:p w14:paraId="33DAEB0B" w14:textId="77777777" w:rsidR="004D6A64" w:rsidRDefault="00506CD6">
            <w:pPr>
              <w:textAlignment w:val="bottom"/>
            </w:pPr>
            <w:r>
              <w:rPr>
                <w:rFonts w:ascii="Times New Roman" w:eastAsia="宋体" w:hAnsi="Times New Roman"/>
                <w:color w:val="000000"/>
                <w:sz w:val="20"/>
                <w:szCs w:val="20"/>
              </w:rPr>
              <w:t>Services (a)</w:t>
            </w:r>
          </w:p>
        </w:tc>
        <w:tc>
          <w:tcPr>
            <w:tcW w:w="0" w:type="auto"/>
            <w:gridSpan w:val="2"/>
            <w:shd w:val="clear" w:color="auto" w:fill="CCEEFF"/>
            <w:tcMar>
              <w:top w:w="40" w:type="dxa"/>
              <w:left w:w="20" w:type="dxa"/>
              <w:bottom w:w="40" w:type="dxa"/>
              <w:right w:w="0" w:type="dxa"/>
            </w:tcMar>
            <w:vAlign w:val="bottom"/>
          </w:tcPr>
          <w:p w14:paraId="33DAEB0C" w14:textId="77777777" w:rsidR="004D6A64" w:rsidRDefault="00506CD6">
            <w:pPr>
              <w:jc w:val="right"/>
              <w:textAlignment w:val="bottom"/>
            </w:pPr>
            <w:r>
              <w:rPr>
                <w:rFonts w:ascii="Times New Roman" w:eastAsia="宋体" w:hAnsi="Times New Roman"/>
                <w:color w:val="000000"/>
                <w:sz w:val="20"/>
                <w:szCs w:val="20"/>
              </w:rPr>
              <w:t>5,996 </w:t>
            </w:r>
          </w:p>
        </w:tc>
        <w:tc>
          <w:tcPr>
            <w:tcW w:w="0" w:type="auto"/>
            <w:shd w:val="clear" w:color="auto" w:fill="CCEEFF"/>
            <w:tcMar>
              <w:top w:w="40" w:type="dxa"/>
              <w:bottom w:w="40" w:type="dxa"/>
              <w:right w:w="20" w:type="dxa"/>
            </w:tcMar>
            <w:vAlign w:val="bottom"/>
          </w:tcPr>
          <w:p w14:paraId="33DAEB0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B0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B0F" w14:textId="77777777" w:rsidR="004D6A64" w:rsidRDefault="00506CD6">
            <w:pPr>
              <w:jc w:val="right"/>
              <w:textAlignment w:val="bottom"/>
            </w:pPr>
            <w:r>
              <w:rPr>
                <w:rFonts w:ascii="Times New Roman" w:eastAsia="宋体" w:hAnsi="Times New Roman"/>
                <w:color w:val="000000"/>
                <w:sz w:val="20"/>
                <w:szCs w:val="20"/>
              </w:rPr>
              <w:t>26.4 </w:t>
            </w:r>
          </w:p>
        </w:tc>
        <w:tc>
          <w:tcPr>
            <w:tcW w:w="0" w:type="auto"/>
            <w:shd w:val="clear" w:color="auto" w:fill="CCEEFF"/>
            <w:tcMar>
              <w:top w:w="40" w:type="dxa"/>
              <w:bottom w:w="40" w:type="dxa"/>
              <w:right w:w="20" w:type="dxa"/>
            </w:tcMar>
            <w:vAlign w:val="bottom"/>
          </w:tcPr>
          <w:p w14:paraId="33DAEB10"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B11"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B12" w14:textId="77777777" w:rsidR="004D6A64" w:rsidRDefault="00506CD6">
            <w:pPr>
              <w:jc w:val="right"/>
              <w:textAlignment w:val="bottom"/>
            </w:pPr>
            <w:r>
              <w:rPr>
                <w:rFonts w:ascii="Times New Roman" w:eastAsia="宋体" w:hAnsi="Times New Roman"/>
                <w:color w:val="000000"/>
                <w:sz w:val="20"/>
                <w:szCs w:val="20"/>
              </w:rPr>
              <w:t>10 </w:t>
            </w:r>
          </w:p>
        </w:tc>
        <w:tc>
          <w:tcPr>
            <w:tcW w:w="0" w:type="auto"/>
            <w:shd w:val="clear" w:color="auto" w:fill="CCEEFF"/>
            <w:tcMar>
              <w:top w:w="40" w:type="dxa"/>
              <w:bottom w:w="40" w:type="dxa"/>
              <w:right w:w="20" w:type="dxa"/>
            </w:tcMar>
            <w:vAlign w:val="bottom"/>
          </w:tcPr>
          <w:p w14:paraId="33DAEB13"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B14"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B15" w14:textId="77777777" w:rsidR="004D6A64" w:rsidRDefault="00506CD6">
            <w:pPr>
              <w:jc w:val="right"/>
              <w:textAlignment w:val="bottom"/>
            </w:pPr>
            <w:r>
              <w:rPr>
                <w:rFonts w:ascii="Times New Roman" w:eastAsia="宋体" w:hAnsi="Times New Roman"/>
                <w:color w:val="000000"/>
                <w:sz w:val="20"/>
                <w:szCs w:val="20"/>
              </w:rPr>
              <w:t>5,455 </w:t>
            </w:r>
          </w:p>
        </w:tc>
        <w:tc>
          <w:tcPr>
            <w:tcW w:w="0" w:type="auto"/>
            <w:shd w:val="clear" w:color="auto" w:fill="CCEEFF"/>
            <w:tcMar>
              <w:top w:w="40" w:type="dxa"/>
              <w:bottom w:w="40" w:type="dxa"/>
              <w:right w:w="20" w:type="dxa"/>
            </w:tcMar>
            <w:vAlign w:val="bottom"/>
          </w:tcPr>
          <w:p w14:paraId="33DAEB1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B17"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B18" w14:textId="77777777" w:rsidR="004D6A64" w:rsidRDefault="00506CD6">
            <w:pPr>
              <w:jc w:val="right"/>
              <w:textAlignment w:val="bottom"/>
            </w:pPr>
            <w:r>
              <w:rPr>
                <w:rFonts w:ascii="Times New Roman" w:eastAsia="宋体" w:hAnsi="Times New Roman"/>
                <w:color w:val="000000"/>
                <w:sz w:val="20"/>
                <w:szCs w:val="20"/>
              </w:rPr>
              <w:t>23.3 </w:t>
            </w:r>
          </w:p>
        </w:tc>
        <w:tc>
          <w:tcPr>
            <w:tcW w:w="0" w:type="auto"/>
            <w:shd w:val="clear" w:color="auto" w:fill="CCEEFF"/>
            <w:tcMar>
              <w:top w:w="40" w:type="dxa"/>
              <w:bottom w:w="40" w:type="dxa"/>
              <w:right w:w="20" w:type="dxa"/>
            </w:tcMar>
            <w:vAlign w:val="bottom"/>
          </w:tcPr>
          <w:p w14:paraId="33DAEB19"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B1A"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B1B" w14:textId="77777777" w:rsidR="004D6A64" w:rsidRDefault="00506CD6">
            <w:pPr>
              <w:jc w:val="right"/>
              <w:textAlignment w:val="bottom"/>
            </w:pPr>
            <w:r>
              <w:rPr>
                <w:rFonts w:ascii="Times New Roman" w:eastAsia="宋体" w:hAnsi="Times New Roman"/>
                <w:color w:val="000000"/>
                <w:sz w:val="20"/>
                <w:szCs w:val="20"/>
              </w:rPr>
              <w:t>11,855 </w:t>
            </w:r>
          </w:p>
        </w:tc>
        <w:tc>
          <w:tcPr>
            <w:tcW w:w="0" w:type="auto"/>
            <w:shd w:val="clear" w:color="auto" w:fill="CCEEFF"/>
            <w:tcMar>
              <w:top w:w="40" w:type="dxa"/>
              <w:bottom w:w="40" w:type="dxa"/>
              <w:right w:w="20" w:type="dxa"/>
            </w:tcMar>
            <w:vAlign w:val="bottom"/>
          </w:tcPr>
          <w:p w14:paraId="33DAEB1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B1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B1E" w14:textId="77777777" w:rsidR="004D6A64" w:rsidRDefault="00506CD6">
            <w:pPr>
              <w:jc w:val="right"/>
              <w:textAlignment w:val="bottom"/>
            </w:pPr>
            <w:r>
              <w:rPr>
                <w:rFonts w:ascii="Times New Roman" w:eastAsia="宋体" w:hAnsi="Times New Roman"/>
                <w:color w:val="000000"/>
                <w:sz w:val="20"/>
                <w:szCs w:val="20"/>
              </w:rPr>
              <w:t>26.6 </w:t>
            </w:r>
          </w:p>
        </w:tc>
        <w:tc>
          <w:tcPr>
            <w:tcW w:w="0" w:type="auto"/>
            <w:shd w:val="clear" w:color="auto" w:fill="CCEEFF"/>
            <w:tcMar>
              <w:top w:w="40" w:type="dxa"/>
              <w:bottom w:w="40" w:type="dxa"/>
              <w:right w:w="20" w:type="dxa"/>
            </w:tcMar>
            <w:vAlign w:val="bottom"/>
          </w:tcPr>
          <w:p w14:paraId="33DAEB1F"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B20"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B21" w14:textId="77777777" w:rsidR="004D6A64" w:rsidRDefault="00506CD6">
            <w:pPr>
              <w:jc w:val="right"/>
              <w:textAlignment w:val="bottom"/>
            </w:pPr>
            <w:r>
              <w:rPr>
                <w:rFonts w:ascii="Times New Roman" w:eastAsia="宋体" w:hAnsi="Times New Roman"/>
                <w:color w:val="000000"/>
                <w:sz w:val="20"/>
                <w:szCs w:val="20"/>
              </w:rPr>
              <w:t>10 </w:t>
            </w:r>
          </w:p>
        </w:tc>
        <w:tc>
          <w:tcPr>
            <w:tcW w:w="0" w:type="auto"/>
            <w:shd w:val="clear" w:color="auto" w:fill="CCEEFF"/>
            <w:tcMar>
              <w:top w:w="40" w:type="dxa"/>
              <w:bottom w:w="40" w:type="dxa"/>
              <w:right w:w="20" w:type="dxa"/>
            </w:tcMar>
            <w:vAlign w:val="bottom"/>
          </w:tcPr>
          <w:p w14:paraId="33DAEB22"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B2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B24" w14:textId="77777777" w:rsidR="004D6A64" w:rsidRDefault="00506CD6">
            <w:pPr>
              <w:jc w:val="right"/>
              <w:textAlignment w:val="bottom"/>
            </w:pPr>
            <w:r>
              <w:rPr>
                <w:rFonts w:ascii="Times New Roman" w:eastAsia="宋体" w:hAnsi="Times New Roman"/>
                <w:color w:val="000000"/>
                <w:sz w:val="20"/>
                <w:szCs w:val="20"/>
              </w:rPr>
              <w:t>10,788 </w:t>
            </w:r>
          </w:p>
        </w:tc>
        <w:tc>
          <w:tcPr>
            <w:tcW w:w="0" w:type="auto"/>
            <w:shd w:val="clear" w:color="auto" w:fill="CCEEFF"/>
            <w:tcMar>
              <w:top w:w="40" w:type="dxa"/>
              <w:bottom w:w="40" w:type="dxa"/>
              <w:right w:w="20" w:type="dxa"/>
            </w:tcMar>
            <w:vAlign w:val="bottom"/>
          </w:tcPr>
          <w:p w14:paraId="33DAEB2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B2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B27" w14:textId="77777777" w:rsidR="004D6A64" w:rsidRDefault="00506CD6">
            <w:pPr>
              <w:jc w:val="right"/>
              <w:textAlignment w:val="bottom"/>
            </w:pPr>
            <w:r>
              <w:rPr>
                <w:rFonts w:ascii="Times New Roman" w:eastAsia="宋体" w:hAnsi="Times New Roman"/>
                <w:color w:val="000000"/>
                <w:sz w:val="20"/>
                <w:szCs w:val="20"/>
              </w:rPr>
              <w:t>23.8 </w:t>
            </w:r>
          </w:p>
        </w:tc>
        <w:tc>
          <w:tcPr>
            <w:tcW w:w="0" w:type="auto"/>
            <w:shd w:val="clear" w:color="auto" w:fill="CCEEFF"/>
            <w:tcMar>
              <w:top w:w="40" w:type="dxa"/>
              <w:bottom w:w="40" w:type="dxa"/>
              <w:right w:w="20" w:type="dxa"/>
            </w:tcMar>
            <w:vAlign w:val="bottom"/>
          </w:tcPr>
          <w:p w14:paraId="33DAEB28" w14:textId="77777777" w:rsidR="004D6A64" w:rsidRDefault="00506CD6">
            <w:pPr>
              <w:jc w:val="right"/>
              <w:textAlignment w:val="bottom"/>
            </w:pPr>
            <w:r>
              <w:rPr>
                <w:rFonts w:ascii="Times New Roman" w:eastAsia="宋体" w:hAnsi="Times New Roman"/>
                <w:color w:val="000000"/>
                <w:sz w:val="20"/>
                <w:szCs w:val="20"/>
              </w:rPr>
              <w:t>%</w:t>
            </w:r>
          </w:p>
        </w:tc>
        <w:tc>
          <w:tcPr>
            <w:tcW w:w="0" w:type="auto"/>
            <w:shd w:val="clear" w:color="auto" w:fill="auto"/>
          </w:tcPr>
          <w:p w14:paraId="33DAEB29" w14:textId="77777777" w:rsidR="004D6A64" w:rsidRDefault="004D6A64">
            <w:pPr>
              <w:rPr>
                <w:rFonts w:ascii="宋体"/>
              </w:rPr>
            </w:pPr>
          </w:p>
        </w:tc>
        <w:tc>
          <w:tcPr>
            <w:tcW w:w="0" w:type="auto"/>
            <w:shd w:val="clear" w:color="auto" w:fill="auto"/>
          </w:tcPr>
          <w:p w14:paraId="33DAEB2A" w14:textId="77777777" w:rsidR="004D6A64" w:rsidRDefault="004D6A64">
            <w:pPr>
              <w:rPr>
                <w:rFonts w:ascii="宋体"/>
              </w:rPr>
            </w:pPr>
          </w:p>
        </w:tc>
        <w:tc>
          <w:tcPr>
            <w:tcW w:w="0" w:type="auto"/>
            <w:shd w:val="clear" w:color="auto" w:fill="auto"/>
          </w:tcPr>
          <w:p w14:paraId="33DAEB2B" w14:textId="77777777" w:rsidR="004D6A64" w:rsidRDefault="004D6A64">
            <w:pPr>
              <w:rPr>
                <w:rFonts w:ascii="宋体"/>
              </w:rPr>
            </w:pPr>
          </w:p>
        </w:tc>
      </w:tr>
      <w:tr w:rsidR="00506CD6" w14:paraId="33DAEB52" w14:textId="77777777">
        <w:tc>
          <w:tcPr>
            <w:tcW w:w="0" w:type="auto"/>
            <w:gridSpan w:val="3"/>
            <w:shd w:val="clear" w:color="auto" w:fill="FFFFFF"/>
            <w:tcMar>
              <w:top w:w="40" w:type="dxa"/>
              <w:left w:w="135" w:type="dxa"/>
              <w:bottom w:w="40" w:type="dxa"/>
              <w:right w:w="20" w:type="dxa"/>
            </w:tcMar>
            <w:vAlign w:val="bottom"/>
          </w:tcPr>
          <w:p w14:paraId="33DAEB2D" w14:textId="77777777" w:rsidR="004D6A64" w:rsidRDefault="00506CD6">
            <w:pPr>
              <w:textAlignment w:val="bottom"/>
            </w:pPr>
            <w:r>
              <w:rPr>
                <w:rFonts w:ascii="Times New Roman" w:eastAsia="宋体" w:hAnsi="Times New Roman"/>
                <w:color w:val="000000"/>
                <w:sz w:val="20"/>
                <w:szCs w:val="20"/>
              </w:rPr>
              <w:t>Total net revenue</w:t>
            </w:r>
          </w:p>
        </w:tc>
        <w:tc>
          <w:tcPr>
            <w:tcW w:w="0" w:type="auto"/>
            <w:tcBorders>
              <w:top w:val="single" w:sz="8" w:space="0" w:color="000000"/>
            </w:tcBorders>
            <w:shd w:val="clear" w:color="auto" w:fill="FFFFFF"/>
            <w:tcMar>
              <w:top w:w="40" w:type="dxa"/>
              <w:left w:w="20" w:type="dxa"/>
              <w:bottom w:w="40" w:type="dxa"/>
            </w:tcMar>
            <w:vAlign w:val="bottom"/>
          </w:tcPr>
          <w:p w14:paraId="33DAEB2E"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EB2F" w14:textId="77777777" w:rsidR="004D6A64" w:rsidRDefault="00506CD6">
            <w:pPr>
              <w:jc w:val="right"/>
              <w:textAlignment w:val="bottom"/>
            </w:pPr>
            <w:r>
              <w:rPr>
                <w:rFonts w:ascii="Times New Roman" w:eastAsia="宋体" w:hAnsi="Times New Roman"/>
                <w:color w:val="000000"/>
                <w:sz w:val="20"/>
                <w:szCs w:val="20"/>
              </w:rPr>
              <w:t>22,733 </w:t>
            </w:r>
          </w:p>
        </w:tc>
        <w:tc>
          <w:tcPr>
            <w:tcW w:w="0" w:type="auto"/>
            <w:tcBorders>
              <w:top w:val="single" w:sz="8" w:space="0" w:color="000000"/>
            </w:tcBorders>
            <w:shd w:val="clear" w:color="auto" w:fill="FFFFFF"/>
            <w:tcMar>
              <w:top w:w="40" w:type="dxa"/>
              <w:bottom w:w="40" w:type="dxa"/>
              <w:right w:w="20" w:type="dxa"/>
            </w:tcMar>
            <w:vAlign w:val="bottom"/>
          </w:tcPr>
          <w:p w14:paraId="33DAEB3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B31"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3DAEB32" w14:textId="77777777" w:rsidR="004D6A64" w:rsidRDefault="00506CD6">
            <w:pPr>
              <w:jc w:val="right"/>
              <w:textAlignment w:val="bottom"/>
            </w:pPr>
            <w:r>
              <w:rPr>
                <w:rFonts w:ascii="Times New Roman" w:eastAsia="宋体" w:hAnsi="Times New Roman"/>
                <w:color w:val="000000"/>
                <w:sz w:val="20"/>
                <w:szCs w:val="20"/>
              </w:rPr>
              <w:t>100.0 </w:t>
            </w:r>
          </w:p>
        </w:tc>
        <w:tc>
          <w:tcPr>
            <w:tcW w:w="0" w:type="auto"/>
            <w:tcBorders>
              <w:top w:val="single" w:sz="8" w:space="0" w:color="000000"/>
            </w:tcBorders>
            <w:shd w:val="clear" w:color="auto" w:fill="FFFFFF"/>
            <w:tcMar>
              <w:top w:w="40" w:type="dxa"/>
              <w:bottom w:w="40" w:type="dxa"/>
              <w:right w:w="20" w:type="dxa"/>
            </w:tcMar>
            <w:vAlign w:val="bottom"/>
          </w:tcPr>
          <w:p w14:paraId="33DAEB33"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B34"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B35" w14:textId="77777777" w:rsidR="004D6A64" w:rsidRDefault="00506CD6">
            <w:pPr>
              <w:jc w:val="right"/>
              <w:textAlignment w:val="bottom"/>
            </w:pPr>
            <w:r>
              <w:rPr>
                <w:rFonts w:ascii="Times New Roman" w:eastAsia="宋体" w:hAnsi="Times New Roman"/>
                <w:color w:val="000000"/>
                <w:sz w:val="20"/>
                <w:szCs w:val="20"/>
              </w:rPr>
              <w:t>(3)</w:t>
            </w:r>
          </w:p>
        </w:tc>
        <w:tc>
          <w:tcPr>
            <w:tcW w:w="0" w:type="auto"/>
            <w:shd w:val="clear" w:color="auto" w:fill="FFFFFF"/>
            <w:tcMar>
              <w:top w:w="40" w:type="dxa"/>
              <w:bottom w:w="40" w:type="dxa"/>
              <w:right w:w="20" w:type="dxa"/>
            </w:tcMar>
            <w:vAlign w:val="bottom"/>
          </w:tcPr>
          <w:p w14:paraId="33DAEB36"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B37"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3DAEB38"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EB39" w14:textId="77777777" w:rsidR="004D6A64" w:rsidRDefault="00506CD6">
            <w:pPr>
              <w:jc w:val="right"/>
              <w:textAlignment w:val="bottom"/>
            </w:pPr>
            <w:r>
              <w:rPr>
                <w:rFonts w:ascii="Times New Roman" w:eastAsia="宋体" w:hAnsi="Times New Roman"/>
                <w:color w:val="000000"/>
                <w:sz w:val="20"/>
                <w:szCs w:val="20"/>
              </w:rPr>
              <w:t>23,370 </w:t>
            </w:r>
          </w:p>
        </w:tc>
        <w:tc>
          <w:tcPr>
            <w:tcW w:w="0" w:type="auto"/>
            <w:tcBorders>
              <w:top w:val="single" w:sz="8" w:space="0" w:color="000000"/>
            </w:tcBorders>
            <w:shd w:val="clear" w:color="auto" w:fill="FFFFFF"/>
            <w:tcMar>
              <w:top w:w="40" w:type="dxa"/>
              <w:bottom w:w="40" w:type="dxa"/>
              <w:right w:w="20" w:type="dxa"/>
            </w:tcMar>
            <w:vAlign w:val="bottom"/>
          </w:tcPr>
          <w:p w14:paraId="33DAEB3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B3B"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3DAEB3C" w14:textId="77777777" w:rsidR="004D6A64" w:rsidRDefault="00506CD6">
            <w:pPr>
              <w:jc w:val="right"/>
              <w:textAlignment w:val="bottom"/>
            </w:pPr>
            <w:r>
              <w:rPr>
                <w:rFonts w:ascii="Times New Roman" w:eastAsia="宋体" w:hAnsi="Times New Roman"/>
                <w:color w:val="000000"/>
                <w:sz w:val="20"/>
                <w:szCs w:val="20"/>
              </w:rPr>
              <w:t>100.0 </w:t>
            </w:r>
          </w:p>
        </w:tc>
        <w:tc>
          <w:tcPr>
            <w:tcW w:w="0" w:type="auto"/>
            <w:tcBorders>
              <w:top w:val="single" w:sz="8" w:space="0" w:color="000000"/>
            </w:tcBorders>
            <w:shd w:val="clear" w:color="auto" w:fill="FFFFFF"/>
            <w:tcMar>
              <w:top w:w="40" w:type="dxa"/>
              <w:bottom w:w="40" w:type="dxa"/>
              <w:right w:w="20" w:type="dxa"/>
            </w:tcMar>
            <w:vAlign w:val="bottom"/>
          </w:tcPr>
          <w:p w14:paraId="33DAEB3D"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B3E"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3DAEB3F"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EB40" w14:textId="77777777" w:rsidR="004D6A64" w:rsidRDefault="00506CD6">
            <w:pPr>
              <w:jc w:val="right"/>
              <w:textAlignment w:val="bottom"/>
            </w:pPr>
            <w:r>
              <w:rPr>
                <w:rFonts w:ascii="Times New Roman" w:eastAsia="宋体" w:hAnsi="Times New Roman"/>
                <w:color w:val="000000"/>
                <w:sz w:val="20"/>
                <w:szCs w:val="20"/>
              </w:rPr>
              <w:t>44,630 </w:t>
            </w:r>
          </w:p>
        </w:tc>
        <w:tc>
          <w:tcPr>
            <w:tcW w:w="0" w:type="auto"/>
            <w:tcBorders>
              <w:top w:val="single" w:sz="8" w:space="0" w:color="000000"/>
            </w:tcBorders>
            <w:shd w:val="clear" w:color="auto" w:fill="FFFFFF"/>
            <w:tcMar>
              <w:top w:w="40" w:type="dxa"/>
              <w:bottom w:w="40" w:type="dxa"/>
              <w:right w:w="20" w:type="dxa"/>
            </w:tcMar>
            <w:vAlign w:val="bottom"/>
          </w:tcPr>
          <w:p w14:paraId="33DAEB4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B42"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3DAEB43" w14:textId="77777777" w:rsidR="004D6A64" w:rsidRDefault="00506CD6">
            <w:pPr>
              <w:jc w:val="right"/>
              <w:textAlignment w:val="bottom"/>
            </w:pPr>
            <w:r>
              <w:rPr>
                <w:rFonts w:ascii="Times New Roman" w:eastAsia="宋体" w:hAnsi="Times New Roman"/>
                <w:color w:val="000000"/>
                <w:sz w:val="20"/>
                <w:szCs w:val="20"/>
              </w:rPr>
              <w:t>100.0 </w:t>
            </w:r>
          </w:p>
        </w:tc>
        <w:tc>
          <w:tcPr>
            <w:tcW w:w="0" w:type="auto"/>
            <w:tcBorders>
              <w:top w:val="single" w:sz="8" w:space="0" w:color="000000"/>
            </w:tcBorders>
            <w:shd w:val="clear" w:color="auto" w:fill="FFFFFF"/>
            <w:tcMar>
              <w:top w:w="40" w:type="dxa"/>
              <w:bottom w:w="40" w:type="dxa"/>
              <w:right w:w="20" w:type="dxa"/>
            </w:tcMar>
            <w:vAlign w:val="bottom"/>
          </w:tcPr>
          <w:p w14:paraId="33DAEB44"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B45"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B46" w14:textId="77777777" w:rsidR="004D6A64" w:rsidRDefault="00506CD6">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bottom w:w="40" w:type="dxa"/>
              <w:right w:w="20" w:type="dxa"/>
            </w:tcMar>
            <w:vAlign w:val="bottom"/>
          </w:tcPr>
          <w:p w14:paraId="33DAEB47"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B48"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3DAEB49"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EB4A" w14:textId="77777777" w:rsidR="004D6A64" w:rsidRDefault="00506CD6">
            <w:pPr>
              <w:jc w:val="right"/>
              <w:textAlignment w:val="bottom"/>
            </w:pPr>
            <w:r>
              <w:rPr>
                <w:rFonts w:ascii="Times New Roman" w:eastAsia="宋体" w:hAnsi="Times New Roman"/>
                <w:color w:val="000000"/>
                <w:sz w:val="20"/>
                <w:szCs w:val="20"/>
              </w:rPr>
              <w:t>45,278 </w:t>
            </w:r>
          </w:p>
        </w:tc>
        <w:tc>
          <w:tcPr>
            <w:tcW w:w="0" w:type="auto"/>
            <w:tcBorders>
              <w:top w:val="single" w:sz="8" w:space="0" w:color="000000"/>
            </w:tcBorders>
            <w:shd w:val="clear" w:color="auto" w:fill="FFFFFF"/>
            <w:tcMar>
              <w:top w:w="40" w:type="dxa"/>
              <w:bottom w:w="40" w:type="dxa"/>
              <w:right w:w="20" w:type="dxa"/>
            </w:tcMar>
            <w:vAlign w:val="bottom"/>
          </w:tcPr>
          <w:p w14:paraId="33DAEB4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B4C"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3DAEB4D" w14:textId="77777777" w:rsidR="004D6A64" w:rsidRDefault="00506CD6">
            <w:pPr>
              <w:jc w:val="right"/>
              <w:textAlignment w:val="bottom"/>
            </w:pPr>
            <w:r>
              <w:rPr>
                <w:rFonts w:ascii="Times New Roman" w:eastAsia="宋体" w:hAnsi="Times New Roman"/>
                <w:color w:val="000000"/>
                <w:sz w:val="20"/>
                <w:szCs w:val="20"/>
              </w:rPr>
              <w:t>100.0 </w:t>
            </w:r>
          </w:p>
        </w:tc>
        <w:tc>
          <w:tcPr>
            <w:tcW w:w="0" w:type="auto"/>
            <w:tcBorders>
              <w:top w:val="single" w:sz="8" w:space="0" w:color="000000"/>
            </w:tcBorders>
            <w:shd w:val="clear" w:color="auto" w:fill="FFFFFF"/>
            <w:tcMar>
              <w:top w:w="40" w:type="dxa"/>
              <w:bottom w:w="40" w:type="dxa"/>
              <w:right w:w="20" w:type="dxa"/>
            </w:tcMar>
            <w:vAlign w:val="bottom"/>
          </w:tcPr>
          <w:p w14:paraId="33DAEB4E" w14:textId="77777777" w:rsidR="004D6A64" w:rsidRDefault="00506CD6">
            <w:pPr>
              <w:jc w:val="right"/>
              <w:textAlignment w:val="bottom"/>
            </w:pPr>
            <w:r>
              <w:rPr>
                <w:rFonts w:ascii="Times New Roman" w:eastAsia="宋体" w:hAnsi="Times New Roman"/>
                <w:color w:val="000000"/>
                <w:sz w:val="20"/>
                <w:szCs w:val="20"/>
              </w:rPr>
              <w:t>%</w:t>
            </w:r>
          </w:p>
        </w:tc>
        <w:tc>
          <w:tcPr>
            <w:tcW w:w="0" w:type="auto"/>
            <w:shd w:val="clear" w:color="auto" w:fill="auto"/>
          </w:tcPr>
          <w:p w14:paraId="33DAEB4F" w14:textId="77777777" w:rsidR="004D6A64" w:rsidRDefault="004D6A64">
            <w:pPr>
              <w:rPr>
                <w:rFonts w:ascii="宋体"/>
              </w:rPr>
            </w:pPr>
          </w:p>
        </w:tc>
        <w:tc>
          <w:tcPr>
            <w:tcW w:w="0" w:type="auto"/>
            <w:shd w:val="clear" w:color="auto" w:fill="auto"/>
          </w:tcPr>
          <w:p w14:paraId="33DAEB50" w14:textId="77777777" w:rsidR="004D6A64" w:rsidRDefault="004D6A64">
            <w:pPr>
              <w:rPr>
                <w:rFonts w:ascii="宋体"/>
              </w:rPr>
            </w:pPr>
          </w:p>
        </w:tc>
        <w:tc>
          <w:tcPr>
            <w:tcW w:w="0" w:type="auto"/>
            <w:shd w:val="clear" w:color="auto" w:fill="auto"/>
          </w:tcPr>
          <w:p w14:paraId="33DAEB51" w14:textId="77777777" w:rsidR="004D6A64" w:rsidRDefault="004D6A64">
            <w:pPr>
              <w:rPr>
                <w:rFonts w:ascii="宋体"/>
              </w:rPr>
            </w:pPr>
          </w:p>
        </w:tc>
      </w:tr>
      <w:tr w:rsidR="004D6A64" w14:paraId="33DAEB6A" w14:textId="77777777">
        <w:tc>
          <w:tcPr>
            <w:tcW w:w="0" w:type="auto"/>
            <w:gridSpan w:val="3"/>
            <w:shd w:val="clear" w:color="auto" w:fill="CCEEFF"/>
            <w:tcMar>
              <w:top w:w="40" w:type="dxa"/>
              <w:left w:w="20" w:type="dxa"/>
              <w:bottom w:w="40" w:type="dxa"/>
              <w:right w:w="20" w:type="dxa"/>
            </w:tcMar>
            <w:vAlign w:val="bottom"/>
          </w:tcPr>
          <w:p w14:paraId="33DAEB53" w14:textId="77777777" w:rsidR="004D6A64" w:rsidRDefault="00506CD6">
            <w:pPr>
              <w:textAlignment w:val="bottom"/>
            </w:pPr>
            <w:r>
              <w:rPr>
                <w:rFonts w:ascii="Times New Roman" w:eastAsia="宋体" w:hAnsi="Times New Roman"/>
                <w:i/>
                <w:iCs/>
                <w:color w:val="000000"/>
                <w:sz w:val="20"/>
                <w:szCs w:val="20"/>
              </w:rPr>
              <w:t>Gross margin:</w:t>
            </w:r>
          </w:p>
        </w:tc>
        <w:tc>
          <w:tcPr>
            <w:tcW w:w="0" w:type="auto"/>
            <w:gridSpan w:val="3"/>
            <w:shd w:val="clear" w:color="auto" w:fill="CCEEFF"/>
            <w:tcMar>
              <w:left w:w="20" w:type="dxa"/>
              <w:right w:w="20" w:type="dxa"/>
            </w:tcMar>
            <w:vAlign w:val="bottom"/>
          </w:tcPr>
          <w:p w14:paraId="33DAEB54"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B5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B56"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B57"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B58"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B59"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B5A"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B5B"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B5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B5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B5E"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B5F"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B60"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B61"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B62"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B63"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B64"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B6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B66" w14:textId="77777777" w:rsidR="004D6A64" w:rsidRDefault="004D6A64">
            <w:pPr>
              <w:rPr>
                <w:rFonts w:ascii="宋体"/>
              </w:rPr>
            </w:pPr>
          </w:p>
        </w:tc>
        <w:tc>
          <w:tcPr>
            <w:tcW w:w="0" w:type="auto"/>
            <w:shd w:val="clear" w:color="auto" w:fill="auto"/>
          </w:tcPr>
          <w:p w14:paraId="33DAEB67" w14:textId="77777777" w:rsidR="004D6A64" w:rsidRDefault="004D6A64">
            <w:pPr>
              <w:rPr>
                <w:rFonts w:ascii="宋体"/>
              </w:rPr>
            </w:pPr>
          </w:p>
        </w:tc>
        <w:tc>
          <w:tcPr>
            <w:tcW w:w="0" w:type="auto"/>
            <w:shd w:val="clear" w:color="auto" w:fill="auto"/>
          </w:tcPr>
          <w:p w14:paraId="33DAEB68" w14:textId="77777777" w:rsidR="004D6A64" w:rsidRDefault="004D6A64">
            <w:pPr>
              <w:rPr>
                <w:rFonts w:ascii="宋体"/>
              </w:rPr>
            </w:pPr>
          </w:p>
        </w:tc>
        <w:tc>
          <w:tcPr>
            <w:tcW w:w="0" w:type="auto"/>
            <w:shd w:val="clear" w:color="auto" w:fill="auto"/>
          </w:tcPr>
          <w:p w14:paraId="33DAEB69" w14:textId="77777777" w:rsidR="004D6A64" w:rsidRDefault="004D6A64">
            <w:pPr>
              <w:rPr>
                <w:rFonts w:ascii="宋体"/>
              </w:rPr>
            </w:pPr>
          </w:p>
        </w:tc>
      </w:tr>
      <w:tr w:rsidR="00506CD6" w14:paraId="33DAEB90" w14:textId="77777777">
        <w:tc>
          <w:tcPr>
            <w:tcW w:w="0" w:type="auto"/>
            <w:gridSpan w:val="3"/>
            <w:shd w:val="clear" w:color="auto" w:fill="FFFFFF"/>
            <w:tcMar>
              <w:top w:w="40" w:type="dxa"/>
              <w:left w:w="20" w:type="dxa"/>
              <w:bottom w:w="40" w:type="dxa"/>
              <w:right w:w="20" w:type="dxa"/>
            </w:tcMar>
            <w:vAlign w:val="bottom"/>
          </w:tcPr>
          <w:p w14:paraId="33DAEB6B" w14:textId="77777777" w:rsidR="004D6A64" w:rsidRDefault="00506CD6">
            <w:pPr>
              <w:textAlignment w:val="bottom"/>
            </w:pPr>
            <w:r>
              <w:rPr>
                <w:rFonts w:ascii="Times New Roman" w:eastAsia="宋体" w:hAnsi="Times New Roman"/>
                <w:color w:val="000000"/>
                <w:sz w:val="20"/>
                <w:szCs w:val="20"/>
              </w:rPr>
              <w:t>Products (b)</w:t>
            </w:r>
          </w:p>
        </w:tc>
        <w:tc>
          <w:tcPr>
            <w:tcW w:w="0" w:type="auto"/>
            <w:shd w:val="clear" w:color="auto" w:fill="FFFFFF"/>
            <w:tcMar>
              <w:top w:w="40" w:type="dxa"/>
              <w:left w:w="20" w:type="dxa"/>
              <w:bottom w:w="40" w:type="dxa"/>
            </w:tcMar>
            <w:vAlign w:val="bottom"/>
          </w:tcPr>
          <w:p w14:paraId="33DAEB6C"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B6D" w14:textId="77777777" w:rsidR="004D6A64" w:rsidRDefault="00506CD6">
            <w:pPr>
              <w:jc w:val="right"/>
              <w:textAlignment w:val="bottom"/>
            </w:pPr>
            <w:r>
              <w:rPr>
                <w:rFonts w:ascii="Times New Roman" w:eastAsia="宋体" w:hAnsi="Times New Roman"/>
                <w:color w:val="000000"/>
                <w:sz w:val="20"/>
                <w:szCs w:val="20"/>
              </w:rPr>
              <w:t>3,407 </w:t>
            </w:r>
          </w:p>
        </w:tc>
        <w:tc>
          <w:tcPr>
            <w:tcW w:w="0" w:type="auto"/>
            <w:shd w:val="clear" w:color="auto" w:fill="FFFFFF"/>
            <w:tcMar>
              <w:top w:w="40" w:type="dxa"/>
              <w:bottom w:w="40" w:type="dxa"/>
              <w:right w:w="20" w:type="dxa"/>
            </w:tcMar>
            <w:vAlign w:val="bottom"/>
          </w:tcPr>
          <w:p w14:paraId="33DAEB6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B6F"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B70" w14:textId="77777777" w:rsidR="004D6A64" w:rsidRDefault="00506CD6">
            <w:pPr>
              <w:jc w:val="right"/>
              <w:textAlignment w:val="bottom"/>
            </w:pPr>
            <w:r>
              <w:rPr>
                <w:rFonts w:ascii="Times New Roman" w:eastAsia="宋体" w:hAnsi="Times New Roman"/>
                <w:color w:val="000000"/>
                <w:sz w:val="20"/>
                <w:szCs w:val="20"/>
              </w:rPr>
              <w:t>20.4 </w:t>
            </w:r>
          </w:p>
        </w:tc>
        <w:tc>
          <w:tcPr>
            <w:tcW w:w="0" w:type="auto"/>
            <w:shd w:val="clear" w:color="auto" w:fill="FFFFFF"/>
            <w:tcMar>
              <w:top w:w="40" w:type="dxa"/>
              <w:bottom w:w="40" w:type="dxa"/>
              <w:right w:w="20" w:type="dxa"/>
            </w:tcMar>
            <w:vAlign w:val="bottom"/>
          </w:tcPr>
          <w:p w14:paraId="33DAEB71"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B72"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B73" w14:textId="77777777" w:rsidR="004D6A64" w:rsidRDefault="00506CD6">
            <w:pPr>
              <w:jc w:val="right"/>
              <w:textAlignment w:val="bottom"/>
            </w:pPr>
            <w:r>
              <w:rPr>
                <w:rFonts w:ascii="Times New Roman" w:eastAsia="宋体" w:hAnsi="Times New Roman"/>
                <w:color w:val="000000"/>
                <w:sz w:val="20"/>
                <w:szCs w:val="20"/>
              </w:rPr>
              <w:t>(15)</w:t>
            </w:r>
          </w:p>
        </w:tc>
        <w:tc>
          <w:tcPr>
            <w:tcW w:w="0" w:type="auto"/>
            <w:shd w:val="clear" w:color="auto" w:fill="FFFFFF"/>
            <w:tcMar>
              <w:top w:w="40" w:type="dxa"/>
              <w:bottom w:w="40" w:type="dxa"/>
              <w:right w:w="20" w:type="dxa"/>
            </w:tcMar>
            <w:vAlign w:val="bottom"/>
          </w:tcPr>
          <w:p w14:paraId="33DAEB74"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B75"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EB76"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B77" w14:textId="77777777" w:rsidR="004D6A64" w:rsidRDefault="00506CD6">
            <w:pPr>
              <w:jc w:val="right"/>
              <w:textAlignment w:val="bottom"/>
            </w:pPr>
            <w:r>
              <w:rPr>
                <w:rFonts w:ascii="Times New Roman" w:eastAsia="宋体" w:hAnsi="Times New Roman"/>
                <w:color w:val="000000"/>
                <w:sz w:val="20"/>
                <w:szCs w:val="20"/>
              </w:rPr>
              <w:t>4,026 </w:t>
            </w:r>
          </w:p>
        </w:tc>
        <w:tc>
          <w:tcPr>
            <w:tcW w:w="0" w:type="auto"/>
            <w:shd w:val="clear" w:color="auto" w:fill="FFFFFF"/>
            <w:tcMar>
              <w:top w:w="40" w:type="dxa"/>
              <w:bottom w:w="40" w:type="dxa"/>
              <w:right w:w="20" w:type="dxa"/>
            </w:tcMar>
            <w:vAlign w:val="bottom"/>
          </w:tcPr>
          <w:p w14:paraId="33DAEB7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B79"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B7A" w14:textId="77777777" w:rsidR="004D6A64" w:rsidRDefault="00506CD6">
            <w:pPr>
              <w:jc w:val="right"/>
              <w:textAlignment w:val="bottom"/>
            </w:pPr>
            <w:r>
              <w:rPr>
                <w:rFonts w:ascii="Times New Roman" w:eastAsia="宋体" w:hAnsi="Times New Roman"/>
                <w:color w:val="000000"/>
                <w:sz w:val="20"/>
                <w:szCs w:val="20"/>
              </w:rPr>
              <w:t>22.5 </w:t>
            </w:r>
          </w:p>
        </w:tc>
        <w:tc>
          <w:tcPr>
            <w:tcW w:w="0" w:type="auto"/>
            <w:shd w:val="clear" w:color="auto" w:fill="FFFFFF"/>
            <w:tcMar>
              <w:top w:w="40" w:type="dxa"/>
              <w:bottom w:w="40" w:type="dxa"/>
              <w:right w:w="20" w:type="dxa"/>
            </w:tcMar>
            <w:vAlign w:val="bottom"/>
          </w:tcPr>
          <w:p w14:paraId="33DAEB7B"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B7C"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EB7D"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B7E" w14:textId="77777777" w:rsidR="004D6A64" w:rsidRDefault="00506CD6">
            <w:pPr>
              <w:jc w:val="right"/>
              <w:textAlignment w:val="bottom"/>
            </w:pPr>
            <w:r>
              <w:rPr>
                <w:rFonts w:ascii="Times New Roman" w:eastAsia="宋体" w:hAnsi="Times New Roman"/>
                <w:color w:val="000000"/>
                <w:sz w:val="20"/>
                <w:szCs w:val="20"/>
              </w:rPr>
              <w:t>6,641 </w:t>
            </w:r>
          </w:p>
        </w:tc>
        <w:tc>
          <w:tcPr>
            <w:tcW w:w="0" w:type="auto"/>
            <w:shd w:val="clear" w:color="auto" w:fill="FFFFFF"/>
            <w:tcMar>
              <w:top w:w="40" w:type="dxa"/>
              <w:bottom w:w="40" w:type="dxa"/>
              <w:right w:w="20" w:type="dxa"/>
            </w:tcMar>
            <w:vAlign w:val="bottom"/>
          </w:tcPr>
          <w:p w14:paraId="33DAEB7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B8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B81" w14:textId="77777777" w:rsidR="004D6A64" w:rsidRDefault="00506CD6">
            <w:pPr>
              <w:jc w:val="right"/>
              <w:textAlignment w:val="bottom"/>
            </w:pPr>
            <w:r>
              <w:rPr>
                <w:rFonts w:ascii="Times New Roman" w:eastAsia="宋体" w:hAnsi="Times New Roman"/>
                <w:color w:val="000000"/>
                <w:sz w:val="20"/>
                <w:szCs w:val="20"/>
              </w:rPr>
              <w:t>20.3 </w:t>
            </w:r>
          </w:p>
        </w:tc>
        <w:tc>
          <w:tcPr>
            <w:tcW w:w="0" w:type="auto"/>
            <w:shd w:val="clear" w:color="auto" w:fill="FFFFFF"/>
            <w:tcMar>
              <w:top w:w="40" w:type="dxa"/>
              <w:bottom w:w="40" w:type="dxa"/>
              <w:right w:w="20" w:type="dxa"/>
            </w:tcMar>
            <w:vAlign w:val="bottom"/>
          </w:tcPr>
          <w:p w14:paraId="33DAEB82"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B8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B84" w14:textId="77777777" w:rsidR="004D6A64" w:rsidRDefault="00506CD6">
            <w:pPr>
              <w:jc w:val="right"/>
              <w:textAlignment w:val="bottom"/>
            </w:pPr>
            <w:r>
              <w:rPr>
                <w:rFonts w:ascii="Times New Roman" w:eastAsia="宋体" w:hAnsi="Times New Roman"/>
                <w:color w:val="000000"/>
                <w:sz w:val="20"/>
                <w:szCs w:val="20"/>
              </w:rPr>
              <w:t>(12)</w:t>
            </w:r>
          </w:p>
        </w:tc>
        <w:tc>
          <w:tcPr>
            <w:tcW w:w="0" w:type="auto"/>
            <w:shd w:val="clear" w:color="auto" w:fill="FFFFFF"/>
            <w:tcMar>
              <w:top w:w="40" w:type="dxa"/>
              <w:bottom w:w="40" w:type="dxa"/>
              <w:right w:w="20" w:type="dxa"/>
            </w:tcMar>
            <w:vAlign w:val="bottom"/>
          </w:tcPr>
          <w:p w14:paraId="33DAEB85"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B86"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EB87"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B88" w14:textId="77777777" w:rsidR="004D6A64" w:rsidRDefault="00506CD6">
            <w:pPr>
              <w:jc w:val="right"/>
              <w:textAlignment w:val="bottom"/>
            </w:pPr>
            <w:r>
              <w:rPr>
                <w:rFonts w:ascii="Times New Roman" w:eastAsia="宋体" w:hAnsi="Times New Roman"/>
                <w:color w:val="000000"/>
                <w:sz w:val="20"/>
                <w:szCs w:val="20"/>
              </w:rPr>
              <w:t>7,522 </w:t>
            </w:r>
          </w:p>
        </w:tc>
        <w:tc>
          <w:tcPr>
            <w:tcW w:w="0" w:type="auto"/>
            <w:shd w:val="clear" w:color="auto" w:fill="FFFFFF"/>
            <w:tcMar>
              <w:top w:w="40" w:type="dxa"/>
              <w:bottom w:w="40" w:type="dxa"/>
              <w:right w:w="20" w:type="dxa"/>
            </w:tcMar>
            <w:vAlign w:val="bottom"/>
          </w:tcPr>
          <w:p w14:paraId="33DAEB8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B8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B8B" w14:textId="77777777" w:rsidR="004D6A64" w:rsidRDefault="00506CD6">
            <w:pPr>
              <w:jc w:val="right"/>
              <w:textAlignment w:val="bottom"/>
            </w:pPr>
            <w:r>
              <w:rPr>
                <w:rFonts w:ascii="Times New Roman" w:eastAsia="宋体" w:hAnsi="Times New Roman"/>
                <w:color w:val="000000"/>
                <w:sz w:val="20"/>
                <w:szCs w:val="20"/>
              </w:rPr>
              <w:t>21.8 </w:t>
            </w:r>
          </w:p>
        </w:tc>
        <w:tc>
          <w:tcPr>
            <w:tcW w:w="0" w:type="auto"/>
            <w:shd w:val="clear" w:color="auto" w:fill="FFFFFF"/>
            <w:tcMar>
              <w:top w:w="40" w:type="dxa"/>
              <w:bottom w:w="40" w:type="dxa"/>
              <w:right w:w="20" w:type="dxa"/>
            </w:tcMar>
            <w:vAlign w:val="bottom"/>
          </w:tcPr>
          <w:p w14:paraId="33DAEB8C" w14:textId="77777777" w:rsidR="004D6A64" w:rsidRDefault="00506CD6">
            <w:pPr>
              <w:jc w:val="right"/>
              <w:textAlignment w:val="bottom"/>
            </w:pPr>
            <w:r>
              <w:rPr>
                <w:rFonts w:ascii="Times New Roman" w:eastAsia="宋体" w:hAnsi="Times New Roman"/>
                <w:color w:val="000000"/>
                <w:sz w:val="20"/>
                <w:szCs w:val="20"/>
              </w:rPr>
              <w:t>%</w:t>
            </w:r>
          </w:p>
        </w:tc>
        <w:tc>
          <w:tcPr>
            <w:tcW w:w="0" w:type="auto"/>
            <w:shd w:val="clear" w:color="auto" w:fill="auto"/>
          </w:tcPr>
          <w:p w14:paraId="33DAEB8D" w14:textId="77777777" w:rsidR="004D6A64" w:rsidRDefault="004D6A64">
            <w:pPr>
              <w:rPr>
                <w:rFonts w:ascii="宋体"/>
              </w:rPr>
            </w:pPr>
          </w:p>
        </w:tc>
        <w:tc>
          <w:tcPr>
            <w:tcW w:w="0" w:type="auto"/>
            <w:shd w:val="clear" w:color="auto" w:fill="auto"/>
          </w:tcPr>
          <w:p w14:paraId="33DAEB8E" w14:textId="77777777" w:rsidR="004D6A64" w:rsidRDefault="004D6A64">
            <w:pPr>
              <w:rPr>
                <w:rFonts w:ascii="宋体"/>
              </w:rPr>
            </w:pPr>
          </w:p>
        </w:tc>
        <w:tc>
          <w:tcPr>
            <w:tcW w:w="0" w:type="auto"/>
            <w:shd w:val="clear" w:color="auto" w:fill="auto"/>
          </w:tcPr>
          <w:p w14:paraId="33DAEB8F" w14:textId="77777777" w:rsidR="004D6A64" w:rsidRDefault="004D6A64">
            <w:pPr>
              <w:rPr>
                <w:rFonts w:ascii="宋体"/>
              </w:rPr>
            </w:pPr>
          </w:p>
        </w:tc>
      </w:tr>
      <w:tr w:rsidR="00506CD6" w14:paraId="33DAEBB2" w14:textId="77777777">
        <w:tc>
          <w:tcPr>
            <w:tcW w:w="0" w:type="auto"/>
            <w:gridSpan w:val="3"/>
            <w:shd w:val="clear" w:color="auto" w:fill="CCEEFF"/>
            <w:tcMar>
              <w:top w:w="40" w:type="dxa"/>
              <w:left w:w="20" w:type="dxa"/>
              <w:bottom w:w="40" w:type="dxa"/>
              <w:right w:w="20" w:type="dxa"/>
            </w:tcMar>
            <w:vAlign w:val="bottom"/>
          </w:tcPr>
          <w:p w14:paraId="33DAEB91" w14:textId="77777777" w:rsidR="004D6A64" w:rsidRDefault="00506CD6">
            <w:pPr>
              <w:textAlignment w:val="bottom"/>
            </w:pPr>
            <w:r>
              <w:rPr>
                <w:rFonts w:ascii="Times New Roman" w:eastAsia="宋体" w:hAnsi="Times New Roman"/>
                <w:color w:val="000000"/>
                <w:sz w:val="20"/>
                <w:szCs w:val="20"/>
              </w:rPr>
              <w:t>Services (c)</w:t>
            </w:r>
          </w:p>
        </w:tc>
        <w:tc>
          <w:tcPr>
            <w:tcW w:w="0" w:type="auto"/>
            <w:gridSpan w:val="2"/>
            <w:shd w:val="clear" w:color="auto" w:fill="CCEEFF"/>
            <w:tcMar>
              <w:top w:w="40" w:type="dxa"/>
              <w:left w:w="20" w:type="dxa"/>
              <w:bottom w:w="40" w:type="dxa"/>
              <w:right w:w="0" w:type="dxa"/>
            </w:tcMar>
            <w:vAlign w:val="bottom"/>
          </w:tcPr>
          <w:p w14:paraId="33DAEB92" w14:textId="77777777" w:rsidR="004D6A64" w:rsidRDefault="00506CD6">
            <w:pPr>
              <w:jc w:val="right"/>
              <w:textAlignment w:val="bottom"/>
            </w:pPr>
            <w:r>
              <w:rPr>
                <w:rFonts w:ascii="Times New Roman" w:eastAsia="宋体" w:hAnsi="Times New Roman"/>
                <w:color w:val="000000"/>
                <w:sz w:val="20"/>
                <w:szCs w:val="20"/>
              </w:rPr>
              <w:t>3,749 </w:t>
            </w:r>
          </w:p>
        </w:tc>
        <w:tc>
          <w:tcPr>
            <w:tcW w:w="0" w:type="auto"/>
            <w:shd w:val="clear" w:color="auto" w:fill="CCEEFF"/>
            <w:tcMar>
              <w:top w:w="40" w:type="dxa"/>
              <w:bottom w:w="40" w:type="dxa"/>
              <w:right w:w="20" w:type="dxa"/>
            </w:tcMar>
            <w:vAlign w:val="bottom"/>
          </w:tcPr>
          <w:p w14:paraId="33DAEB9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B94"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B95" w14:textId="77777777" w:rsidR="004D6A64" w:rsidRDefault="00506CD6">
            <w:pPr>
              <w:jc w:val="right"/>
              <w:textAlignment w:val="bottom"/>
            </w:pPr>
            <w:r>
              <w:rPr>
                <w:rFonts w:ascii="Times New Roman" w:eastAsia="宋体" w:hAnsi="Times New Roman"/>
                <w:color w:val="000000"/>
                <w:sz w:val="20"/>
                <w:szCs w:val="20"/>
              </w:rPr>
              <w:t>62.5 </w:t>
            </w:r>
          </w:p>
        </w:tc>
        <w:tc>
          <w:tcPr>
            <w:tcW w:w="0" w:type="auto"/>
            <w:shd w:val="clear" w:color="auto" w:fill="CCEEFF"/>
            <w:tcMar>
              <w:top w:w="40" w:type="dxa"/>
              <w:bottom w:w="40" w:type="dxa"/>
              <w:right w:w="20" w:type="dxa"/>
            </w:tcMar>
            <w:vAlign w:val="bottom"/>
          </w:tcPr>
          <w:p w14:paraId="33DAEB96"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B97"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B98" w14:textId="77777777" w:rsidR="004D6A64" w:rsidRDefault="00506CD6">
            <w:pPr>
              <w:jc w:val="right"/>
              <w:textAlignment w:val="bottom"/>
            </w:pPr>
            <w:r>
              <w:rPr>
                <w:rFonts w:ascii="Times New Roman" w:eastAsia="宋体" w:hAnsi="Times New Roman"/>
                <w:color w:val="000000"/>
                <w:sz w:val="20"/>
                <w:szCs w:val="20"/>
              </w:rPr>
              <w:t>14 </w:t>
            </w:r>
          </w:p>
        </w:tc>
        <w:tc>
          <w:tcPr>
            <w:tcW w:w="0" w:type="auto"/>
            <w:shd w:val="clear" w:color="auto" w:fill="CCEEFF"/>
            <w:tcMar>
              <w:top w:w="40" w:type="dxa"/>
              <w:bottom w:w="40" w:type="dxa"/>
              <w:right w:w="20" w:type="dxa"/>
            </w:tcMar>
            <w:vAlign w:val="bottom"/>
          </w:tcPr>
          <w:p w14:paraId="33DAEB99"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B9A"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B9B" w14:textId="77777777" w:rsidR="004D6A64" w:rsidRDefault="00506CD6">
            <w:pPr>
              <w:jc w:val="right"/>
              <w:textAlignment w:val="bottom"/>
            </w:pPr>
            <w:r>
              <w:rPr>
                <w:rFonts w:ascii="Times New Roman" w:eastAsia="宋体" w:hAnsi="Times New Roman"/>
                <w:color w:val="000000"/>
                <w:sz w:val="20"/>
                <w:szCs w:val="20"/>
              </w:rPr>
              <w:t>3,300 </w:t>
            </w:r>
          </w:p>
        </w:tc>
        <w:tc>
          <w:tcPr>
            <w:tcW w:w="0" w:type="auto"/>
            <w:shd w:val="clear" w:color="auto" w:fill="CCEEFF"/>
            <w:tcMar>
              <w:top w:w="40" w:type="dxa"/>
              <w:bottom w:w="40" w:type="dxa"/>
              <w:right w:w="20" w:type="dxa"/>
            </w:tcMar>
            <w:vAlign w:val="bottom"/>
          </w:tcPr>
          <w:p w14:paraId="33DAEB9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B9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B9E" w14:textId="77777777" w:rsidR="004D6A64" w:rsidRDefault="00506CD6">
            <w:pPr>
              <w:jc w:val="right"/>
              <w:textAlignment w:val="bottom"/>
            </w:pPr>
            <w:r>
              <w:rPr>
                <w:rFonts w:ascii="Times New Roman" w:eastAsia="宋体" w:hAnsi="Times New Roman"/>
                <w:color w:val="000000"/>
                <w:sz w:val="20"/>
                <w:szCs w:val="20"/>
              </w:rPr>
              <w:t>60.5 </w:t>
            </w:r>
          </w:p>
        </w:tc>
        <w:tc>
          <w:tcPr>
            <w:tcW w:w="0" w:type="auto"/>
            <w:shd w:val="clear" w:color="auto" w:fill="CCEEFF"/>
            <w:tcMar>
              <w:top w:w="40" w:type="dxa"/>
              <w:bottom w:w="40" w:type="dxa"/>
              <w:right w:w="20" w:type="dxa"/>
            </w:tcMar>
            <w:vAlign w:val="bottom"/>
          </w:tcPr>
          <w:p w14:paraId="33DAEB9F"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BA0"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BA1" w14:textId="77777777" w:rsidR="004D6A64" w:rsidRDefault="00506CD6">
            <w:pPr>
              <w:jc w:val="right"/>
              <w:textAlignment w:val="bottom"/>
            </w:pPr>
            <w:r>
              <w:rPr>
                <w:rFonts w:ascii="Times New Roman" w:eastAsia="宋体" w:hAnsi="Times New Roman"/>
                <w:color w:val="000000"/>
                <w:sz w:val="20"/>
                <w:szCs w:val="20"/>
              </w:rPr>
              <w:t>7,368 </w:t>
            </w:r>
          </w:p>
        </w:tc>
        <w:tc>
          <w:tcPr>
            <w:tcW w:w="0" w:type="auto"/>
            <w:shd w:val="clear" w:color="auto" w:fill="CCEEFF"/>
            <w:tcMar>
              <w:top w:w="40" w:type="dxa"/>
              <w:bottom w:w="40" w:type="dxa"/>
              <w:right w:w="20" w:type="dxa"/>
            </w:tcMar>
            <w:vAlign w:val="bottom"/>
          </w:tcPr>
          <w:p w14:paraId="33DAEBA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BA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BA4" w14:textId="77777777" w:rsidR="004D6A64" w:rsidRDefault="00506CD6">
            <w:pPr>
              <w:jc w:val="right"/>
              <w:textAlignment w:val="bottom"/>
            </w:pPr>
            <w:r>
              <w:rPr>
                <w:rFonts w:ascii="Times New Roman" w:eastAsia="宋体" w:hAnsi="Times New Roman"/>
                <w:color w:val="000000"/>
                <w:sz w:val="20"/>
                <w:szCs w:val="20"/>
              </w:rPr>
              <w:t>62.2 </w:t>
            </w:r>
          </w:p>
        </w:tc>
        <w:tc>
          <w:tcPr>
            <w:tcW w:w="0" w:type="auto"/>
            <w:shd w:val="clear" w:color="auto" w:fill="CCEEFF"/>
            <w:tcMar>
              <w:top w:w="40" w:type="dxa"/>
              <w:bottom w:w="40" w:type="dxa"/>
              <w:right w:w="20" w:type="dxa"/>
            </w:tcMar>
            <w:vAlign w:val="bottom"/>
          </w:tcPr>
          <w:p w14:paraId="33DAEBA5"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BA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BA7" w14:textId="77777777" w:rsidR="004D6A64" w:rsidRDefault="00506CD6">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bottom w:w="40" w:type="dxa"/>
              <w:right w:w="20" w:type="dxa"/>
            </w:tcMar>
            <w:vAlign w:val="bottom"/>
          </w:tcPr>
          <w:p w14:paraId="33DAEBA8"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BA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BAA" w14:textId="77777777" w:rsidR="004D6A64" w:rsidRDefault="00506CD6">
            <w:pPr>
              <w:jc w:val="right"/>
              <w:textAlignment w:val="bottom"/>
            </w:pPr>
            <w:r>
              <w:rPr>
                <w:rFonts w:ascii="Times New Roman" w:eastAsia="宋体" w:hAnsi="Times New Roman"/>
                <w:color w:val="000000"/>
                <w:sz w:val="20"/>
                <w:szCs w:val="20"/>
              </w:rPr>
              <w:t>6,601 </w:t>
            </w:r>
          </w:p>
        </w:tc>
        <w:tc>
          <w:tcPr>
            <w:tcW w:w="0" w:type="auto"/>
            <w:shd w:val="clear" w:color="auto" w:fill="CCEEFF"/>
            <w:tcMar>
              <w:top w:w="40" w:type="dxa"/>
              <w:bottom w:w="40" w:type="dxa"/>
              <w:right w:w="20" w:type="dxa"/>
            </w:tcMar>
            <w:vAlign w:val="bottom"/>
          </w:tcPr>
          <w:p w14:paraId="33DAEBA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BAC"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BAD" w14:textId="77777777" w:rsidR="004D6A64" w:rsidRDefault="00506CD6">
            <w:pPr>
              <w:jc w:val="right"/>
              <w:textAlignment w:val="bottom"/>
            </w:pPr>
            <w:r>
              <w:rPr>
                <w:rFonts w:ascii="Times New Roman" w:eastAsia="宋体" w:hAnsi="Times New Roman"/>
                <w:color w:val="000000"/>
                <w:sz w:val="20"/>
                <w:szCs w:val="20"/>
              </w:rPr>
              <w:t>61.2 </w:t>
            </w:r>
          </w:p>
        </w:tc>
        <w:tc>
          <w:tcPr>
            <w:tcW w:w="0" w:type="auto"/>
            <w:shd w:val="clear" w:color="auto" w:fill="CCEEFF"/>
            <w:tcMar>
              <w:top w:w="40" w:type="dxa"/>
              <w:bottom w:w="40" w:type="dxa"/>
              <w:right w:w="20" w:type="dxa"/>
            </w:tcMar>
            <w:vAlign w:val="bottom"/>
          </w:tcPr>
          <w:p w14:paraId="33DAEBAE" w14:textId="77777777" w:rsidR="004D6A64" w:rsidRDefault="00506CD6">
            <w:pPr>
              <w:jc w:val="right"/>
              <w:textAlignment w:val="bottom"/>
            </w:pPr>
            <w:r>
              <w:rPr>
                <w:rFonts w:ascii="Times New Roman" w:eastAsia="宋体" w:hAnsi="Times New Roman"/>
                <w:color w:val="000000"/>
                <w:sz w:val="20"/>
                <w:szCs w:val="20"/>
              </w:rPr>
              <w:t>%</w:t>
            </w:r>
          </w:p>
        </w:tc>
        <w:tc>
          <w:tcPr>
            <w:tcW w:w="0" w:type="auto"/>
            <w:shd w:val="clear" w:color="auto" w:fill="auto"/>
          </w:tcPr>
          <w:p w14:paraId="33DAEBAF" w14:textId="77777777" w:rsidR="004D6A64" w:rsidRDefault="004D6A64">
            <w:pPr>
              <w:rPr>
                <w:rFonts w:ascii="宋体"/>
              </w:rPr>
            </w:pPr>
          </w:p>
        </w:tc>
        <w:tc>
          <w:tcPr>
            <w:tcW w:w="0" w:type="auto"/>
            <w:shd w:val="clear" w:color="auto" w:fill="auto"/>
          </w:tcPr>
          <w:p w14:paraId="33DAEBB0" w14:textId="77777777" w:rsidR="004D6A64" w:rsidRDefault="004D6A64">
            <w:pPr>
              <w:rPr>
                <w:rFonts w:ascii="宋体"/>
              </w:rPr>
            </w:pPr>
          </w:p>
        </w:tc>
        <w:tc>
          <w:tcPr>
            <w:tcW w:w="0" w:type="auto"/>
            <w:shd w:val="clear" w:color="auto" w:fill="auto"/>
          </w:tcPr>
          <w:p w14:paraId="33DAEBB1" w14:textId="77777777" w:rsidR="004D6A64" w:rsidRDefault="004D6A64">
            <w:pPr>
              <w:rPr>
                <w:rFonts w:ascii="宋体"/>
              </w:rPr>
            </w:pPr>
          </w:p>
        </w:tc>
      </w:tr>
      <w:tr w:rsidR="00506CD6" w14:paraId="33DAEBD8" w14:textId="77777777">
        <w:tc>
          <w:tcPr>
            <w:tcW w:w="0" w:type="auto"/>
            <w:gridSpan w:val="3"/>
            <w:shd w:val="clear" w:color="auto" w:fill="FFFFFF"/>
            <w:tcMar>
              <w:top w:w="40" w:type="dxa"/>
              <w:left w:w="135" w:type="dxa"/>
              <w:bottom w:w="40" w:type="dxa"/>
              <w:right w:w="20" w:type="dxa"/>
            </w:tcMar>
            <w:vAlign w:val="bottom"/>
          </w:tcPr>
          <w:p w14:paraId="33DAEBB3" w14:textId="77777777" w:rsidR="004D6A64" w:rsidRDefault="00506CD6">
            <w:pPr>
              <w:textAlignment w:val="bottom"/>
            </w:pPr>
            <w:r>
              <w:rPr>
                <w:rFonts w:ascii="Times New Roman" w:eastAsia="宋体" w:hAnsi="Times New Roman"/>
                <w:color w:val="000000"/>
                <w:sz w:val="20"/>
                <w:szCs w:val="20"/>
              </w:rPr>
              <w:t>Total gross margin</w:t>
            </w:r>
          </w:p>
        </w:tc>
        <w:tc>
          <w:tcPr>
            <w:tcW w:w="0" w:type="auto"/>
            <w:tcBorders>
              <w:top w:val="single" w:sz="8" w:space="0" w:color="000000"/>
            </w:tcBorders>
            <w:shd w:val="clear" w:color="auto" w:fill="FFFFFF"/>
            <w:tcMar>
              <w:top w:w="40" w:type="dxa"/>
              <w:left w:w="20" w:type="dxa"/>
              <w:bottom w:w="40" w:type="dxa"/>
            </w:tcMar>
            <w:vAlign w:val="bottom"/>
          </w:tcPr>
          <w:p w14:paraId="33DAEBB4"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EBB5" w14:textId="77777777" w:rsidR="004D6A64" w:rsidRDefault="00506CD6">
            <w:pPr>
              <w:jc w:val="right"/>
              <w:textAlignment w:val="bottom"/>
            </w:pPr>
            <w:r>
              <w:rPr>
                <w:rFonts w:ascii="Times New Roman" w:eastAsia="宋体" w:hAnsi="Times New Roman"/>
                <w:color w:val="000000"/>
                <w:sz w:val="20"/>
                <w:szCs w:val="20"/>
              </w:rPr>
              <w:t>7,156 </w:t>
            </w:r>
          </w:p>
        </w:tc>
        <w:tc>
          <w:tcPr>
            <w:tcW w:w="0" w:type="auto"/>
            <w:tcBorders>
              <w:top w:val="single" w:sz="8" w:space="0" w:color="000000"/>
            </w:tcBorders>
            <w:shd w:val="clear" w:color="auto" w:fill="FFFFFF"/>
            <w:tcMar>
              <w:top w:w="40" w:type="dxa"/>
              <w:bottom w:w="40" w:type="dxa"/>
              <w:right w:w="20" w:type="dxa"/>
            </w:tcMar>
            <w:vAlign w:val="bottom"/>
          </w:tcPr>
          <w:p w14:paraId="33DAEBB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BB7"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BB8" w14:textId="77777777" w:rsidR="004D6A64" w:rsidRDefault="00506CD6">
            <w:pPr>
              <w:jc w:val="right"/>
              <w:textAlignment w:val="bottom"/>
            </w:pPr>
            <w:r>
              <w:rPr>
                <w:rFonts w:ascii="Times New Roman" w:eastAsia="宋体" w:hAnsi="Times New Roman"/>
                <w:color w:val="000000"/>
                <w:sz w:val="20"/>
                <w:szCs w:val="20"/>
              </w:rPr>
              <w:t>31.5 </w:t>
            </w:r>
          </w:p>
        </w:tc>
        <w:tc>
          <w:tcPr>
            <w:tcW w:w="0" w:type="auto"/>
            <w:shd w:val="clear" w:color="auto" w:fill="FFFFFF"/>
            <w:tcMar>
              <w:top w:w="40" w:type="dxa"/>
              <w:bottom w:w="40" w:type="dxa"/>
              <w:right w:w="20" w:type="dxa"/>
            </w:tcMar>
            <w:vAlign w:val="bottom"/>
          </w:tcPr>
          <w:p w14:paraId="33DAEBB9"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BB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BBB" w14:textId="77777777" w:rsidR="004D6A64" w:rsidRDefault="00506CD6">
            <w:pPr>
              <w:jc w:val="right"/>
              <w:textAlignment w:val="bottom"/>
            </w:pPr>
            <w:r>
              <w:rPr>
                <w:rFonts w:ascii="Times New Roman" w:eastAsia="宋体" w:hAnsi="Times New Roman"/>
                <w:color w:val="000000"/>
                <w:sz w:val="20"/>
                <w:szCs w:val="20"/>
              </w:rPr>
              <w:t>(2)</w:t>
            </w:r>
          </w:p>
        </w:tc>
        <w:tc>
          <w:tcPr>
            <w:tcW w:w="0" w:type="auto"/>
            <w:shd w:val="clear" w:color="auto" w:fill="FFFFFF"/>
            <w:tcMar>
              <w:top w:w="40" w:type="dxa"/>
              <w:bottom w:w="40" w:type="dxa"/>
              <w:right w:w="20" w:type="dxa"/>
            </w:tcMar>
            <w:vAlign w:val="bottom"/>
          </w:tcPr>
          <w:p w14:paraId="33DAEBBC"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BBD"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3DAEBBE"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EBBF" w14:textId="77777777" w:rsidR="004D6A64" w:rsidRDefault="00506CD6">
            <w:pPr>
              <w:jc w:val="right"/>
              <w:textAlignment w:val="bottom"/>
            </w:pPr>
            <w:r>
              <w:rPr>
                <w:rFonts w:ascii="Times New Roman" w:eastAsia="宋体" w:hAnsi="Times New Roman"/>
                <w:color w:val="000000"/>
                <w:sz w:val="20"/>
                <w:szCs w:val="20"/>
              </w:rPr>
              <w:t>7,326 </w:t>
            </w:r>
          </w:p>
        </w:tc>
        <w:tc>
          <w:tcPr>
            <w:tcW w:w="0" w:type="auto"/>
            <w:tcBorders>
              <w:top w:val="single" w:sz="8" w:space="0" w:color="000000"/>
            </w:tcBorders>
            <w:shd w:val="clear" w:color="auto" w:fill="FFFFFF"/>
            <w:tcMar>
              <w:top w:w="40" w:type="dxa"/>
              <w:bottom w:w="40" w:type="dxa"/>
              <w:right w:w="20" w:type="dxa"/>
            </w:tcMar>
            <w:vAlign w:val="bottom"/>
          </w:tcPr>
          <w:p w14:paraId="33DAEBC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BC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BC2" w14:textId="77777777" w:rsidR="004D6A64" w:rsidRDefault="00506CD6">
            <w:pPr>
              <w:jc w:val="right"/>
              <w:textAlignment w:val="bottom"/>
            </w:pPr>
            <w:r>
              <w:rPr>
                <w:rFonts w:ascii="Times New Roman" w:eastAsia="宋体" w:hAnsi="Times New Roman"/>
                <w:color w:val="000000"/>
                <w:sz w:val="20"/>
                <w:szCs w:val="20"/>
              </w:rPr>
              <w:t>31.3 </w:t>
            </w:r>
          </w:p>
        </w:tc>
        <w:tc>
          <w:tcPr>
            <w:tcW w:w="0" w:type="auto"/>
            <w:shd w:val="clear" w:color="auto" w:fill="FFFFFF"/>
            <w:tcMar>
              <w:top w:w="40" w:type="dxa"/>
              <w:bottom w:w="40" w:type="dxa"/>
              <w:right w:w="20" w:type="dxa"/>
            </w:tcMar>
            <w:vAlign w:val="bottom"/>
          </w:tcPr>
          <w:p w14:paraId="33DAEBC3"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BC4"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3DAEBC5"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EBC6" w14:textId="77777777" w:rsidR="004D6A64" w:rsidRDefault="00506CD6">
            <w:pPr>
              <w:jc w:val="right"/>
              <w:textAlignment w:val="bottom"/>
            </w:pPr>
            <w:r>
              <w:rPr>
                <w:rFonts w:ascii="Times New Roman" w:eastAsia="宋体" w:hAnsi="Times New Roman"/>
                <w:color w:val="000000"/>
                <w:sz w:val="20"/>
                <w:szCs w:val="20"/>
              </w:rPr>
              <w:t>14,009 </w:t>
            </w:r>
          </w:p>
        </w:tc>
        <w:tc>
          <w:tcPr>
            <w:tcW w:w="0" w:type="auto"/>
            <w:tcBorders>
              <w:top w:val="single" w:sz="8" w:space="0" w:color="000000"/>
            </w:tcBorders>
            <w:shd w:val="clear" w:color="auto" w:fill="FFFFFF"/>
            <w:tcMar>
              <w:top w:w="40" w:type="dxa"/>
              <w:bottom w:w="40" w:type="dxa"/>
              <w:right w:w="20" w:type="dxa"/>
            </w:tcMar>
            <w:vAlign w:val="bottom"/>
          </w:tcPr>
          <w:p w14:paraId="33DAEBC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BC8"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BC9" w14:textId="77777777" w:rsidR="004D6A64" w:rsidRDefault="00506CD6">
            <w:pPr>
              <w:jc w:val="right"/>
              <w:textAlignment w:val="bottom"/>
            </w:pPr>
            <w:r>
              <w:rPr>
                <w:rFonts w:ascii="Times New Roman" w:eastAsia="宋体" w:hAnsi="Times New Roman"/>
                <w:color w:val="000000"/>
                <w:sz w:val="20"/>
                <w:szCs w:val="20"/>
              </w:rPr>
              <w:t>31.4 </w:t>
            </w:r>
          </w:p>
        </w:tc>
        <w:tc>
          <w:tcPr>
            <w:tcW w:w="0" w:type="auto"/>
            <w:shd w:val="clear" w:color="auto" w:fill="FFFFFF"/>
            <w:tcMar>
              <w:top w:w="40" w:type="dxa"/>
              <w:bottom w:w="40" w:type="dxa"/>
              <w:right w:w="20" w:type="dxa"/>
            </w:tcMar>
            <w:vAlign w:val="bottom"/>
          </w:tcPr>
          <w:p w14:paraId="33DAEBCA"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BCB"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BCC" w14:textId="77777777" w:rsidR="004D6A64" w:rsidRDefault="00506CD6">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bottom w:w="40" w:type="dxa"/>
              <w:right w:w="20" w:type="dxa"/>
            </w:tcMar>
            <w:vAlign w:val="bottom"/>
          </w:tcPr>
          <w:p w14:paraId="33DAEBCD"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BCE"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3DAEBCF"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EBD0" w14:textId="77777777" w:rsidR="004D6A64" w:rsidRDefault="00506CD6">
            <w:pPr>
              <w:jc w:val="right"/>
              <w:textAlignment w:val="bottom"/>
            </w:pPr>
            <w:r>
              <w:rPr>
                <w:rFonts w:ascii="Times New Roman" w:eastAsia="宋体" w:hAnsi="Times New Roman"/>
                <w:color w:val="000000"/>
                <w:sz w:val="20"/>
                <w:szCs w:val="20"/>
              </w:rPr>
              <w:t>14,123 </w:t>
            </w:r>
          </w:p>
        </w:tc>
        <w:tc>
          <w:tcPr>
            <w:tcW w:w="0" w:type="auto"/>
            <w:tcBorders>
              <w:top w:val="single" w:sz="8" w:space="0" w:color="000000"/>
            </w:tcBorders>
            <w:shd w:val="clear" w:color="auto" w:fill="FFFFFF"/>
            <w:tcMar>
              <w:top w:w="40" w:type="dxa"/>
              <w:bottom w:w="40" w:type="dxa"/>
              <w:right w:w="20" w:type="dxa"/>
            </w:tcMar>
            <w:vAlign w:val="bottom"/>
          </w:tcPr>
          <w:p w14:paraId="33DAEBD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BD2"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BD3" w14:textId="77777777" w:rsidR="004D6A64" w:rsidRDefault="00506CD6">
            <w:pPr>
              <w:jc w:val="right"/>
              <w:textAlignment w:val="bottom"/>
            </w:pPr>
            <w:r>
              <w:rPr>
                <w:rFonts w:ascii="Times New Roman" w:eastAsia="宋体" w:hAnsi="Times New Roman"/>
                <w:color w:val="000000"/>
                <w:sz w:val="20"/>
                <w:szCs w:val="20"/>
              </w:rPr>
              <w:t>31.2 </w:t>
            </w:r>
          </w:p>
        </w:tc>
        <w:tc>
          <w:tcPr>
            <w:tcW w:w="0" w:type="auto"/>
            <w:shd w:val="clear" w:color="auto" w:fill="FFFFFF"/>
            <w:tcMar>
              <w:top w:w="40" w:type="dxa"/>
              <w:bottom w:w="40" w:type="dxa"/>
              <w:right w:w="20" w:type="dxa"/>
            </w:tcMar>
            <w:vAlign w:val="bottom"/>
          </w:tcPr>
          <w:p w14:paraId="33DAEBD4" w14:textId="77777777" w:rsidR="004D6A64" w:rsidRDefault="00506CD6">
            <w:pPr>
              <w:jc w:val="right"/>
              <w:textAlignment w:val="bottom"/>
            </w:pPr>
            <w:r>
              <w:rPr>
                <w:rFonts w:ascii="Times New Roman" w:eastAsia="宋体" w:hAnsi="Times New Roman"/>
                <w:color w:val="000000"/>
                <w:sz w:val="20"/>
                <w:szCs w:val="20"/>
              </w:rPr>
              <w:t>%</w:t>
            </w:r>
          </w:p>
        </w:tc>
        <w:tc>
          <w:tcPr>
            <w:tcW w:w="0" w:type="auto"/>
            <w:shd w:val="clear" w:color="auto" w:fill="auto"/>
          </w:tcPr>
          <w:p w14:paraId="33DAEBD5" w14:textId="77777777" w:rsidR="004D6A64" w:rsidRDefault="004D6A64">
            <w:pPr>
              <w:rPr>
                <w:rFonts w:ascii="宋体"/>
              </w:rPr>
            </w:pPr>
          </w:p>
        </w:tc>
        <w:tc>
          <w:tcPr>
            <w:tcW w:w="0" w:type="auto"/>
            <w:shd w:val="clear" w:color="auto" w:fill="auto"/>
          </w:tcPr>
          <w:p w14:paraId="33DAEBD6" w14:textId="77777777" w:rsidR="004D6A64" w:rsidRDefault="004D6A64">
            <w:pPr>
              <w:rPr>
                <w:rFonts w:ascii="宋体"/>
              </w:rPr>
            </w:pPr>
          </w:p>
        </w:tc>
        <w:tc>
          <w:tcPr>
            <w:tcW w:w="0" w:type="auto"/>
            <w:shd w:val="clear" w:color="auto" w:fill="auto"/>
          </w:tcPr>
          <w:p w14:paraId="33DAEBD7" w14:textId="77777777" w:rsidR="004D6A64" w:rsidRDefault="004D6A64">
            <w:pPr>
              <w:rPr>
                <w:rFonts w:ascii="宋体"/>
              </w:rPr>
            </w:pPr>
          </w:p>
        </w:tc>
      </w:tr>
      <w:tr w:rsidR="00506CD6" w14:paraId="33DAEBFE" w14:textId="77777777">
        <w:tc>
          <w:tcPr>
            <w:tcW w:w="0" w:type="auto"/>
            <w:gridSpan w:val="3"/>
            <w:shd w:val="clear" w:color="auto" w:fill="CCEEFF"/>
            <w:tcMar>
              <w:top w:w="40" w:type="dxa"/>
              <w:left w:w="20" w:type="dxa"/>
              <w:bottom w:w="40" w:type="dxa"/>
              <w:right w:w="20" w:type="dxa"/>
            </w:tcMar>
            <w:vAlign w:val="bottom"/>
          </w:tcPr>
          <w:p w14:paraId="33DAEBD9" w14:textId="77777777" w:rsidR="004D6A64" w:rsidRDefault="00506CD6">
            <w:pPr>
              <w:textAlignment w:val="bottom"/>
            </w:pPr>
            <w:r>
              <w:rPr>
                <w:rFonts w:ascii="Times New Roman" w:eastAsia="宋体" w:hAnsi="Times New Roman"/>
                <w:color w:val="000000"/>
                <w:sz w:val="20"/>
                <w:szCs w:val="20"/>
              </w:rPr>
              <w:t>Operating expenses</w:t>
            </w:r>
          </w:p>
        </w:tc>
        <w:tc>
          <w:tcPr>
            <w:tcW w:w="0" w:type="auto"/>
            <w:shd w:val="clear" w:color="auto" w:fill="CCEEFF"/>
            <w:tcMar>
              <w:top w:w="40" w:type="dxa"/>
              <w:left w:w="20" w:type="dxa"/>
              <w:bottom w:w="40" w:type="dxa"/>
            </w:tcMar>
            <w:vAlign w:val="bottom"/>
          </w:tcPr>
          <w:p w14:paraId="33DAEBDA"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EBDB" w14:textId="77777777" w:rsidR="004D6A64" w:rsidRDefault="00506CD6">
            <w:pPr>
              <w:jc w:val="right"/>
              <w:textAlignment w:val="bottom"/>
            </w:pPr>
            <w:r>
              <w:rPr>
                <w:rFonts w:ascii="Times New Roman" w:eastAsia="宋体" w:hAnsi="Times New Roman"/>
                <w:color w:val="000000"/>
                <w:sz w:val="20"/>
                <w:szCs w:val="20"/>
              </w:rPr>
              <w:t>6,020 </w:t>
            </w:r>
          </w:p>
        </w:tc>
        <w:tc>
          <w:tcPr>
            <w:tcW w:w="0" w:type="auto"/>
            <w:shd w:val="clear" w:color="auto" w:fill="CCEEFF"/>
            <w:tcMar>
              <w:top w:w="40" w:type="dxa"/>
              <w:bottom w:w="40" w:type="dxa"/>
              <w:right w:w="20" w:type="dxa"/>
            </w:tcMar>
            <w:vAlign w:val="bottom"/>
          </w:tcPr>
          <w:p w14:paraId="33DAEBD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BD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BDE" w14:textId="77777777" w:rsidR="004D6A64" w:rsidRDefault="00506CD6">
            <w:pPr>
              <w:jc w:val="right"/>
              <w:textAlignment w:val="bottom"/>
            </w:pPr>
            <w:r>
              <w:rPr>
                <w:rFonts w:ascii="Times New Roman" w:eastAsia="宋体" w:hAnsi="Times New Roman"/>
                <w:color w:val="000000"/>
                <w:sz w:val="20"/>
                <w:szCs w:val="20"/>
              </w:rPr>
              <w:t>26.5 </w:t>
            </w:r>
          </w:p>
        </w:tc>
        <w:tc>
          <w:tcPr>
            <w:tcW w:w="0" w:type="auto"/>
            <w:shd w:val="clear" w:color="auto" w:fill="CCEEFF"/>
            <w:tcMar>
              <w:top w:w="40" w:type="dxa"/>
              <w:bottom w:w="40" w:type="dxa"/>
              <w:right w:w="20" w:type="dxa"/>
            </w:tcMar>
            <w:vAlign w:val="bottom"/>
          </w:tcPr>
          <w:p w14:paraId="33DAEBDF"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BE0"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BE1" w14:textId="77777777" w:rsidR="004D6A64" w:rsidRDefault="00506CD6">
            <w:pPr>
              <w:jc w:val="right"/>
              <w:textAlignment w:val="bottom"/>
            </w:pPr>
            <w:r>
              <w:rPr>
                <w:rFonts w:ascii="Times New Roman" w:eastAsia="宋体" w:hAnsi="Times New Roman"/>
                <w:color w:val="000000"/>
                <w:sz w:val="20"/>
                <w:szCs w:val="20"/>
              </w:rPr>
              <w:t>(12)</w:t>
            </w:r>
          </w:p>
        </w:tc>
        <w:tc>
          <w:tcPr>
            <w:tcW w:w="0" w:type="auto"/>
            <w:shd w:val="clear" w:color="auto" w:fill="CCEEFF"/>
            <w:tcMar>
              <w:top w:w="40" w:type="dxa"/>
              <w:bottom w:w="40" w:type="dxa"/>
              <w:right w:w="20" w:type="dxa"/>
            </w:tcMar>
            <w:vAlign w:val="bottom"/>
          </w:tcPr>
          <w:p w14:paraId="33DAEBE2"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BE3"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EBE4"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EBE5" w14:textId="77777777" w:rsidR="004D6A64" w:rsidRDefault="00506CD6">
            <w:pPr>
              <w:jc w:val="right"/>
              <w:textAlignment w:val="bottom"/>
            </w:pPr>
            <w:r>
              <w:rPr>
                <w:rFonts w:ascii="Times New Roman" w:eastAsia="宋体" w:hAnsi="Times New Roman"/>
                <w:color w:val="000000"/>
                <w:sz w:val="20"/>
                <w:szCs w:val="20"/>
              </w:rPr>
              <w:t>6,807 </w:t>
            </w:r>
          </w:p>
        </w:tc>
        <w:tc>
          <w:tcPr>
            <w:tcW w:w="0" w:type="auto"/>
            <w:shd w:val="clear" w:color="auto" w:fill="CCEEFF"/>
            <w:tcMar>
              <w:top w:w="40" w:type="dxa"/>
              <w:bottom w:w="40" w:type="dxa"/>
              <w:right w:w="20" w:type="dxa"/>
            </w:tcMar>
            <w:vAlign w:val="bottom"/>
          </w:tcPr>
          <w:p w14:paraId="33DAEBE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BE7"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BE8" w14:textId="77777777" w:rsidR="004D6A64" w:rsidRDefault="00506CD6">
            <w:pPr>
              <w:jc w:val="right"/>
              <w:textAlignment w:val="bottom"/>
            </w:pPr>
            <w:r>
              <w:rPr>
                <w:rFonts w:ascii="Times New Roman" w:eastAsia="宋体" w:hAnsi="Times New Roman"/>
                <w:color w:val="000000"/>
                <w:sz w:val="20"/>
                <w:szCs w:val="20"/>
              </w:rPr>
              <w:t>29.1 </w:t>
            </w:r>
          </w:p>
        </w:tc>
        <w:tc>
          <w:tcPr>
            <w:tcW w:w="0" w:type="auto"/>
            <w:shd w:val="clear" w:color="auto" w:fill="CCEEFF"/>
            <w:tcMar>
              <w:top w:w="40" w:type="dxa"/>
              <w:bottom w:w="40" w:type="dxa"/>
              <w:right w:w="20" w:type="dxa"/>
            </w:tcMar>
            <w:vAlign w:val="bottom"/>
          </w:tcPr>
          <w:p w14:paraId="33DAEBE9"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BEA"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EBEB"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EBEC" w14:textId="77777777" w:rsidR="004D6A64" w:rsidRDefault="00506CD6">
            <w:pPr>
              <w:jc w:val="right"/>
              <w:textAlignment w:val="bottom"/>
            </w:pPr>
            <w:r>
              <w:rPr>
                <w:rFonts w:ascii="Times New Roman" w:eastAsia="宋体" w:hAnsi="Times New Roman"/>
                <w:color w:val="000000"/>
                <w:sz w:val="20"/>
                <w:szCs w:val="20"/>
              </w:rPr>
              <w:t>12,171 </w:t>
            </w:r>
          </w:p>
        </w:tc>
        <w:tc>
          <w:tcPr>
            <w:tcW w:w="0" w:type="auto"/>
            <w:shd w:val="clear" w:color="auto" w:fill="CCEEFF"/>
            <w:tcMar>
              <w:top w:w="40" w:type="dxa"/>
              <w:bottom w:w="40" w:type="dxa"/>
              <w:right w:w="20" w:type="dxa"/>
            </w:tcMar>
            <w:vAlign w:val="bottom"/>
          </w:tcPr>
          <w:p w14:paraId="33DAEBE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BE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BEF" w14:textId="77777777" w:rsidR="004D6A64" w:rsidRDefault="00506CD6">
            <w:pPr>
              <w:jc w:val="right"/>
              <w:textAlignment w:val="bottom"/>
            </w:pPr>
            <w:r>
              <w:rPr>
                <w:rFonts w:ascii="Times New Roman" w:eastAsia="宋体" w:hAnsi="Times New Roman"/>
                <w:color w:val="000000"/>
                <w:sz w:val="20"/>
                <w:szCs w:val="20"/>
              </w:rPr>
              <w:t>27.3 </w:t>
            </w:r>
          </w:p>
        </w:tc>
        <w:tc>
          <w:tcPr>
            <w:tcW w:w="0" w:type="auto"/>
            <w:shd w:val="clear" w:color="auto" w:fill="CCEEFF"/>
            <w:tcMar>
              <w:top w:w="40" w:type="dxa"/>
              <w:bottom w:w="40" w:type="dxa"/>
              <w:right w:w="20" w:type="dxa"/>
            </w:tcMar>
            <w:vAlign w:val="bottom"/>
          </w:tcPr>
          <w:p w14:paraId="33DAEBF0"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BF1"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BF2" w14:textId="77777777" w:rsidR="004D6A64" w:rsidRDefault="00506CD6">
            <w:pPr>
              <w:jc w:val="right"/>
              <w:textAlignment w:val="bottom"/>
            </w:pPr>
            <w:r>
              <w:rPr>
                <w:rFonts w:ascii="Times New Roman" w:eastAsia="宋体" w:hAnsi="Times New Roman"/>
                <w:color w:val="000000"/>
                <w:sz w:val="20"/>
                <w:szCs w:val="20"/>
              </w:rPr>
              <w:t>(7)</w:t>
            </w:r>
          </w:p>
        </w:tc>
        <w:tc>
          <w:tcPr>
            <w:tcW w:w="0" w:type="auto"/>
            <w:shd w:val="clear" w:color="auto" w:fill="CCEEFF"/>
            <w:tcMar>
              <w:top w:w="40" w:type="dxa"/>
              <w:bottom w:w="40" w:type="dxa"/>
              <w:right w:w="20" w:type="dxa"/>
            </w:tcMar>
            <w:vAlign w:val="bottom"/>
          </w:tcPr>
          <w:p w14:paraId="33DAEBF3"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BF4"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EBF5"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EBF6" w14:textId="77777777" w:rsidR="004D6A64" w:rsidRDefault="00506CD6">
            <w:pPr>
              <w:jc w:val="right"/>
              <w:textAlignment w:val="bottom"/>
            </w:pPr>
            <w:r>
              <w:rPr>
                <w:rFonts w:ascii="Times New Roman" w:eastAsia="宋体" w:hAnsi="Times New Roman"/>
                <w:color w:val="000000"/>
                <w:sz w:val="20"/>
                <w:szCs w:val="20"/>
              </w:rPr>
              <w:t>13,054 </w:t>
            </w:r>
          </w:p>
        </w:tc>
        <w:tc>
          <w:tcPr>
            <w:tcW w:w="0" w:type="auto"/>
            <w:shd w:val="clear" w:color="auto" w:fill="CCEEFF"/>
            <w:tcMar>
              <w:top w:w="40" w:type="dxa"/>
              <w:bottom w:w="40" w:type="dxa"/>
              <w:right w:w="20" w:type="dxa"/>
            </w:tcMar>
            <w:vAlign w:val="bottom"/>
          </w:tcPr>
          <w:p w14:paraId="33DAEBF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BF8"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BF9" w14:textId="77777777" w:rsidR="004D6A64" w:rsidRDefault="00506CD6">
            <w:pPr>
              <w:jc w:val="right"/>
              <w:textAlignment w:val="bottom"/>
            </w:pPr>
            <w:r>
              <w:rPr>
                <w:rFonts w:ascii="Times New Roman" w:eastAsia="宋体" w:hAnsi="Times New Roman"/>
                <w:color w:val="000000"/>
                <w:sz w:val="20"/>
                <w:szCs w:val="20"/>
              </w:rPr>
              <w:t>28.8 </w:t>
            </w:r>
          </w:p>
        </w:tc>
        <w:tc>
          <w:tcPr>
            <w:tcW w:w="0" w:type="auto"/>
            <w:shd w:val="clear" w:color="auto" w:fill="CCEEFF"/>
            <w:tcMar>
              <w:top w:w="40" w:type="dxa"/>
              <w:bottom w:w="40" w:type="dxa"/>
              <w:right w:w="20" w:type="dxa"/>
            </w:tcMar>
            <w:vAlign w:val="bottom"/>
          </w:tcPr>
          <w:p w14:paraId="33DAEBFA" w14:textId="77777777" w:rsidR="004D6A64" w:rsidRDefault="00506CD6">
            <w:pPr>
              <w:jc w:val="right"/>
              <w:textAlignment w:val="bottom"/>
            </w:pPr>
            <w:r>
              <w:rPr>
                <w:rFonts w:ascii="Times New Roman" w:eastAsia="宋体" w:hAnsi="Times New Roman"/>
                <w:color w:val="000000"/>
                <w:sz w:val="20"/>
                <w:szCs w:val="20"/>
              </w:rPr>
              <w:t>%</w:t>
            </w:r>
          </w:p>
        </w:tc>
        <w:tc>
          <w:tcPr>
            <w:tcW w:w="0" w:type="auto"/>
            <w:shd w:val="clear" w:color="auto" w:fill="auto"/>
          </w:tcPr>
          <w:p w14:paraId="33DAEBFB" w14:textId="77777777" w:rsidR="004D6A64" w:rsidRDefault="004D6A64">
            <w:pPr>
              <w:rPr>
                <w:rFonts w:ascii="宋体"/>
              </w:rPr>
            </w:pPr>
          </w:p>
        </w:tc>
        <w:tc>
          <w:tcPr>
            <w:tcW w:w="0" w:type="auto"/>
            <w:shd w:val="clear" w:color="auto" w:fill="auto"/>
          </w:tcPr>
          <w:p w14:paraId="33DAEBFC" w14:textId="77777777" w:rsidR="004D6A64" w:rsidRDefault="004D6A64">
            <w:pPr>
              <w:rPr>
                <w:rFonts w:ascii="宋体"/>
              </w:rPr>
            </w:pPr>
          </w:p>
        </w:tc>
        <w:tc>
          <w:tcPr>
            <w:tcW w:w="0" w:type="auto"/>
            <w:shd w:val="clear" w:color="auto" w:fill="auto"/>
          </w:tcPr>
          <w:p w14:paraId="33DAEBFD" w14:textId="77777777" w:rsidR="004D6A64" w:rsidRDefault="004D6A64">
            <w:pPr>
              <w:rPr>
                <w:rFonts w:ascii="宋体"/>
              </w:rPr>
            </w:pPr>
          </w:p>
        </w:tc>
      </w:tr>
      <w:tr w:rsidR="00506CD6" w14:paraId="33DAEC24" w14:textId="77777777">
        <w:tc>
          <w:tcPr>
            <w:tcW w:w="0" w:type="auto"/>
            <w:gridSpan w:val="3"/>
            <w:shd w:val="clear" w:color="auto" w:fill="FFFFFF"/>
            <w:tcMar>
              <w:top w:w="40" w:type="dxa"/>
              <w:left w:w="20" w:type="dxa"/>
              <w:bottom w:w="40" w:type="dxa"/>
              <w:right w:w="20" w:type="dxa"/>
            </w:tcMar>
            <w:vAlign w:val="bottom"/>
          </w:tcPr>
          <w:p w14:paraId="33DAEBFF" w14:textId="77777777" w:rsidR="004D6A64" w:rsidRDefault="00506CD6">
            <w:pPr>
              <w:textAlignment w:val="bottom"/>
            </w:pPr>
            <w:r>
              <w:rPr>
                <w:rFonts w:ascii="Times New Roman" w:eastAsia="宋体" w:hAnsi="Times New Roman"/>
                <w:color w:val="000000"/>
                <w:sz w:val="20"/>
                <w:szCs w:val="20"/>
              </w:rPr>
              <w:t>Operating income</w:t>
            </w:r>
          </w:p>
        </w:tc>
        <w:tc>
          <w:tcPr>
            <w:tcW w:w="0" w:type="auto"/>
            <w:shd w:val="clear" w:color="auto" w:fill="FFFFFF"/>
            <w:tcMar>
              <w:top w:w="40" w:type="dxa"/>
              <w:left w:w="20" w:type="dxa"/>
              <w:bottom w:w="40" w:type="dxa"/>
            </w:tcMar>
            <w:vAlign w:val="bottom"/>
          </w:tcPr>
          <w:p w14:paraId="33DAEC00"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C01" w14:textId="77777777" w:rsidR="004D6A64" w:rsidRDefault="00506CD6">
            <w:pPr>
              <w:jc w:val="right"/>
              <w:textAlignment w:val="bottom"/>
            </w:pPr>
            <w:r>
              <w:rPr>
                <w:rFonts w:ascii="Times New Roman" w:eastAsia="宋体" w:hAnsi="Times New Roman"/>
                <w:color w:val="000000"/>
                <w:sz w:val="20"/>
                <w:szCs w:val="20"/>
              </w:rPr>
              <w:t>1,136 </w:t>
            </w:r>
          </w:p>
        </w:tc>
        <w:tc>
          <w:tcPr>
            <w:tcW w:w="0" w:type="auto"/>
            <w:shd w:val="clear" w:color="auto" w:fill="FFFFFF"/>
            <w:tcMar>
              <w:top w:w="40" w:type="dxa"/>
              <w:bottom w:w="40" w:type="dxa"/>
              <w:right w:w="20" w:type="dxa"/>
            </w:tcMar>
            <w:vAlign w:val="bottom"/>
          </w:tcPr>
          <w:p w14:paraId="33DAEC0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C0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C04" w14:textId="77777777" w:rsidR="004D6A64" w:rsidRDefault="00506CD6">
            <w:pPr>
              <w:jc w:val="right"/>
              <w:textAlignment w:val="bottom"/>
            </w:pPr>
            <w:r>
              <w:rPr>
                <w:rFonts w:ascii="Times New Roman" w:eastAsia="宋体" w:hAnsi="Times New Roman"/>
                <w:color w:val="000000"/>
                <w:sz w:val="20"/>
                <w:szCs w:val="20"/>
              </w:rPr>
              <w:t>5.0 </w:t>
            </w:r>
          </w:p>
        </w:tc>
        <w:tc>
          <w:tcPr>
            <w:tcW w:w="0" w:type="auto"/>
            <w:shd w:val="clear" w:color="auto" w:fill="FFFFFF"/>
            <w:tcMar>
              <w:top w:w="40" w:type="dxa"/>
              <w:bottom w:w="40" w:type="dxa"/>
              <w:right w:w="20" w:type="dxa"/>
            </w:tcMar>
            <w:vAlign w:val="bottom"/>
          </w:tcPr>
          <w:p w14:paraId="33DAEC05"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C0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C07" w14:textId="77777777" w:rsidR="004D6A64" w:rsidRDefault="00506CD6">
            <w:pPr>
              <w:jc w:val="right"/>
              <w:textAlignment w:val="bottom"/>
            </w:pPr>
            <w:r>
              <w:rPr>
                <w:rFonts w:ascii="Times New Roman" w:eastAsia="宋体" w:hAnsi="Times New Roman"/>
                <w:color w:val="000000"/>
                <w:sz w:val="20"/>
                <w:szCs w:val="20"/>
              </w:rPr>
              <w:t>119 </w:t>
            </w:r>
          </w:p>
        </w:tc>
        <w:tc>
          <w:tcPr>
            <w:tcW w:w="0" w:type="auto"/>
            <w:shd w:val="clear" w:color="auto" w:fill="FFFFFF"/>
            <w:tcMar>
              <w:top w:w="40" w:type="dxa"/>
              <w:bottom w:w="40" w:type="dxa"/>
              <w:right w:w="20" w:type="dxa"/>
            </w:tcMar>
            <w:vAlign w:val="bottom"/>
          </w:tcPr>
          <w:p w14:paraId="33DAEC08"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C09"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EC0A"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C0B" w14:textId="77777777" w:rsidR="004D6A64" w:rsidRDefault="00506CD6">
            <w:pPr>
              <w:jc w:val="right"/>
              <w:textAlignment w:val="bottom"/>
            </w:pPr>
            <w:r>
              <w:rPr>
                <w:rFonts w:ascii="Times New Roman" w:eastAsia="宋体" w:hAnsi="Times New Roman"/>
                <w:color w:val="000000"/>
                <w:sz w:val="20"/>
                <w:szCs w:val="20"/>
              </w:rPr>
              <w:t>519 </w:t>
            </w:r>
          </w:p>
        </w:tc>
        <w:tc>
          <w:tcPr>
            <w:tcW w:w="0" w:type="auto"/>
            <w:shd w:val="clear" w:color="auto" w:fill="FFFFFF"/>
            <w:tcMar>
              <w:top w:w="40" w:type="dxa"/>
              <w:bottom w:w="40" w:type="dxa"/>
              <w:right w:w="20" w:type="dxa"/>
            </w:tcMar>
            <w:vAlign w:val="bottom"/>
          </w:tcPr>
          <w:p w14:paraId="33DAEC0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C0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C0E" w14:textId="77777777" w:rsidR="004D6A64" w:rsidRDefault="00506CD6">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bottom w:w="40" w:type="dxa"/>
              <w:right w:w="20" w:type="dxa"/>
            </w:tcMar>
            <w:vAlign w:val="bottom"/>
          </w:tcPr>
          <w:p w14:paraId="33DAEC0F"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C10"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EC11"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C12" w14:textId="77777777" w:rsidR="004D6A64" w:rsidRDefault="00506CD6">
            <w:pPr>
              <w:jc w:val="right"/>
              <w:textAlignment w:val="bottom"/>
            </w:pPr>
            <w:r>
              <w:rPr>
                <w:rFonts w:ascii="Times New Roman" w:eastAsia="宋体" w:hAnsi="Times New Roman"/>
                <w:color w:val="000000"/>
                <w:sz w:val="20"/>
                <w:szCs w:val="20"/>
              </w:rPr>
              <w:t>1,838 </w:t>
            </w:r>
          </w:p>
        </w:tc>
        <w:tc>
          <w:tcPr>
            <w:tcW w:w="0" w:type="auto"/>
            <w:shd w:val="clear" w:color="auto" w:fill="FFFFFF"/>
            <w:tcMar>
              <w:top w:w="40" w:type="dxa"/>
              <w:bottom w:w="40" w:type="dxa"/>
              <w:right w:w="20" w:type="dxa"/>
            </w:tcMar>
            <w:vAlign w:val="bottom"/>
          </w:tcPr>
          <w:p w14:paraId="33DAEC1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C14"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C15" w14:textId="77777777" w:rsidR="004D6A64" w:rsidRDefault="00506CD6">
            <w:pPr>
              <w:jc w:val="right"/>
              <w:textAlignment w:val="bottom"/>
            </w:pPr>
            <w:r>
              <w:rPr>
                <w:rFonts w:ascii="Times New Roman" w:eastAsia="宋体" w:hAnsi="Times New Roman"/>
                <w:color w:val="000000"/>
                <w:sz w:val="20"/>
                <w:szCs w:val="20"/>
              </w:rPr>
              <w:t>4.1 </w:t>
            </w:r>
          </w:p>
        </w:tc>
        <w:tc>
          <w:tcPr>
            <w:tcW w:w="0" w:type="auto"/>
            <w:shd w:val="clear" w:color="auto" w:fill="FFFFFF"/>
            <w:tcMar>
              <w:top w:w="40" w:type="dxa"/>
              <w:bottom w:w="40" w:type="dxa"/>
              <w:right w:w="20" w:type="dxa"/>
            </w:tcMar>
            <w:vAlign w:val="bottom"/>
          </w:tcPr>
          <w:p w14:paraId="33DAEC16"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C17"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C18" w14:textId="77777777" w:rsidR="004D6A64" w:rsidRDefault="00506CD6">
            <w:pPr>
              <w:jc w:val="right"/>
              <w:textAlignment w:val="bottom"/>
            </w:pPr>
            <w:r>
              <w:rPr>
                <w:rFonts w:ascii="Times New Roman" w:eastAsia="宋体" w:hAnsi="Times New Roman"/>
                <w:color w:val="000000"/>
                <w:sz w:val="20"/>
                <w:szCs w:val="20"/>
              </w:rPr>
              <w:t>72 </w:t>
            </w:r>
          </w:p>
        </w:tc>
        <w:tc>
          <w:tcPr>
            <w:tcW w:w="0" w:type="auto"/>
            <w:shd w:val="clear" w:color="auto" w:fill="FFFFFF"/>
            <w:tcMar>
              <w:top w:w="40" w:type="dxa"/>
              <w:bottom w:w="40" w:type="dxa"/>
              <w:right w:w="20" w:type="dxa"/>
            </w:tcMar>
            <w:vAlign w:val="bottom"/>
          </w:tcPr>
          <w:p w14:paraId="33DAEC19"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C1A"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EC1B"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C1C" w14:textId="77777777" w:rsidR="004D6A64" w:rsidRDefault="00506CD6">
            <w:pPr>
              <w:jc w:val="right"/>
              <w:textAlignment w:val="bottom"/>
            </w:pPr>
            <w:r>
              <w:rPr>
                <w:rFonts w:ascii="Times New Roman" w:eastAsia="宋体" w:hAnsi="Times New Roman"/>
                <w:color w:val="000000"/>
                <w:sz w:val="20"/>
                <w:szCs w:val="20"/>
              </w:rPr>
              <w:t>1,069 </w:t>
            </w:r>
          </w:p>
        </w:tc>
        <w:tc>
          <w:tcPr>
            <w:tcW w:w="0" w:type="auto"/>
            <w:shd w:val="clear" w:color="auto" w:fill="FFFFFF"/>
            <w:tcMar>
              <w:top w:w="40" w:type="dxa"/>
              <w:bottom w:w="40" w:type="dxa"/>
              <w:right w:w="20" w:type="dxa"/>
            </w:tcMar>
            <w:vAlign w:val="bottom"/>
          </w:tcPr>
          <w:p w14:paraId="33DAEC1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C1E"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C1F" w14:textId="77777777" w:rsidR="004D6A64" w:rsidRDefault="00506CD6">
            <w:pPr>
              <w:jc w:val="right"/>
              <w:textAlignment w:val="bottom"/>
            </w:pPr>
            <w:r>
              <w:rPr>
                <w:rFonts w:ascii="Times New Roman" w:eastAsia="宋体" w:hAnsi="Times New Roman"/>
                <w:color w:val="000000"/>
                <w:sz w:val="20"/>
                <w:szCs w:val="20"/>
              </w:rPr>
              <w:t>2.4 </w:t>
            </w:r>
          </w:p>
        </w:tc>
        <w:tc>
          <w:tcPr>
            <w:tcW w:w="0" w:type="auto"/>
            <w:shd w:val="clear" w:color="auto" w:fill="FFFFFF"/>
            <w:tcMar>
              <w:top w:w="40" w:type="dxa"/>
              <w:bottom w:w="40" w:type="dxa"/>
              <w:right w:w="20" w:type="dxa"/>
            </w:tcMar>
            <w:vAlign w:val="bottom"/>
          </w:tcPr>
          <w:p w14:paraId="33DAEC20" w14:textId="77777777" w:rsidR="004D6A64" w:rsidRDefault="00506CD6">
            <w:pPr>
              <w:jc w:val="right"/>
              <w:textAlignment w:val="bottom"/>
            </w:pPr>
            <w:r>
              <w:rPr>
                <w:rFonts w:ascii="Times New Roman" w:eastAsia="宋体" w:hAnsi="Times New Roman"/>
                <w:color w:val="000000"/>
                <w:sz w:val="20"/>
                <w:szCs w:val="20"/>
              </w:rPr>
              <w:t>%</w:t>
            </w:r>
          </w:p>
        </w:tc>
        <w:tc>
          <w:tcPr>
            <w:tcW w:w="0" w:type="auto"/>
            <w:shd w:val="clear" w:color="auto" w:fill="auto"/>
          </w:tcPr>
          <w:p w14:paraId="33DAEC21" w14:textId="77777777" w:rsidR="004D6A64" w:rsidRDefault="004D6A64">
            <w:pPr>
              <w:rPr>
                <w:rFonts w:ascii="宋体"/>
              </w:rPr>
            </w:pPr>
          </w:p>
        </w:tc>
        <w:tc>
          <w:tcPr>
            <w:tcW w:w="0" w:type="auto"/>
            <w:shd w:val="clear" w:color="auto" w:fill="auto"/>
          </w:tcPr>
          <w:p w14:paraId="33DAEC22" w14:textId="77777777" w:rsidR="004D6A64" w:rsidRDefault="004D6A64">
            <w:pPr>
              <w:rPr>
                <w:rFonts w:ascii="宋体"/>
              </w:rPr>
            </w:pPr>
          </w:p>
        </w:tc>
        <w:tc>
          <w:tcPr>
            <w:tcW w:w="0" w:type="auto"/>
            <w:shd w:val="clear" w:color="auto" w:fill="auto"/>
          </w:tcPr>
          <w:p w14:paraId="33DAEC23" w14:textId="77777777" w:rsidR="004D6A64" w:rsidRDefault="004D6A64">
            <w:pPr>
              <w:rPr>
                <w:rFonts w:ascii="宋体"/>
              </w:rPr>
            </w:pPr>
          </w:p>
        </w:tc>
      </w:tr>
      <w:tr w:rsidR="00506CD6" w14:paraId="33DAEC4A" w14:textId="77777777">
        <w:tc>
          <w:tcPr>
            <w:tcW w:w="0" w:type="auto"/>
            <w:gridSpan w:val="3"/>
            <w:shd w:val="clear" w:color="auto" w:fill="CCEEFF"/>
            <w:tcMar>
              <w:top w:w="40" w:type="dxa"/>
              <w:left w:w="20" w:type="dxa"/>
              <w:bottom w:w="40" w:type="dxa"/>
              <w:right w:w="20" w:type="dxa"/>
            </w:tcMar>
            <w:vAlign w:val="bottom"/>
          </w:tcPr>
          <w:p w14:paraId="33DAEC25" w14:textId="77777777" w:rsidR="004D6A64" w:rsidRDefault="00506CD6">
            <w:pPr>
              <w:textAlignment w:val="bottom"/>
            </w:pPr>
            <w:r>
              <w:rPr>
                <w:rFonts w:ascii="Times New Roman" w:eastAsia="宋体" w:hAnsi="Times New Roman"/>
                <w:color w:val="000000"/>
                <w:sz w:val="20"/>
                <w:szCs w:val="20"/>
              </w:rPr>
              <w:t>Net income</w:t>
            </w:r>
          </w:p>
        </w:tc>
        <w:tc>
          <w:tcPr>
            <w:tcW w:w="0" w:type="auto"/>
            <w:shd w:val="clear" w:color="auto" w:fill="CCEEFF"/>
            <w:tcMar>
              <w:top w:w="40" w:type="dxa"/>
              <w:left w:w="20" w:type="dxa"/>
              <w:bottom w:w="40" w:type="dxa"/>
            </w:tcMar>
            <w:vAlign w:val="bottom"/>
          </w:tcPr>
          <w:p w14:paraId="33DAEC26"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EC27" w14:textId="77777777" w:rsidR="004D6A64" w:rsidRDefault="00506CD6">
            <w:pPr>
              <w:jc w:val="right"/>
              <w:textAlignment w:val="bottom"/>
            </w:pPr>
            <w:r>
              <w:rPr>
                <w:rFonts w:ascii="Times New Roman" w:eastAsia="宋体" w:hAnsi="Times New Roman"/>
                <w:color w:val="000000"/>
                <w:sz w:val="20"/>
                <w:szCs w:val="20"/>
              </w:rPr>
              <w:t>1,099 </w:t>
            </w:r>
          </w:p>
        </w:tc>
        <w:tc>
          <w:tcPr>
            <w:tcW w:w="0" w:type="auto"/>
            <w:shd w:val="clear" w:color="auto" w:fill="CCEEFF"/>
            <w:tcMar>
              <w:top w:w="40" w:type="dxa"/>
              <w:bottom w:w="40" w:type="dxa"/>
              <w:right w:w="20" w:type="dxa"/>
            </w:tcMar>
            <w:vAlign w:val="bottom"/>
          </w:tcPr>
          <w:p w14:paraId="33DAEC2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C2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C2A" w14:textId="77777777" w:rsidR="004D6A64" w:rsidRDefault="00506CD6">
            <w:pPr>
              <w:jc w:val="right"/>
              <w:textAlignment w:val="bottom"/>
            </w:pPr>
            <w:r>
              <w:rPr>
                <w:rFonts w:ascii="Times New Roman" w:eastAsia="宋体" w:hAnsi="Times New Roman"/>
                <w:color w:val="000000"/>
                <w:sz w:val="20"/>
                <w:szCs w:val="20"/>
              </w:rPr>
              <w:t>4.8 </w:t>
            </w:r>
          </w:p>
        </w:tc>
        <w:tc>
          <w:tcPr>
            <w:tcW w:w="0" w:type="auto"/>
            <w:shd w:val="clear" w:color="auto" w:fill="CCEEFF"/>
            <w:tcMar>
              <w:top w:w="40" w:type="dxa"/>
              <w:bottom w:w="40" w:type="dxa"/>
              <w:right w:w="20" w:type="dxa"/>
            </w:tcMar>
            <w:vAlign w:val="bottom"/>
          </w:tcPr>
          <w:p w14:paraId="33DAEC2B"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C2C"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C2D" w14:textId="77777777" w:rsidR="004D6A64" w:rsidRDefault="00506CD6">
            <w:pPr>
              <w:jc w:val="right"/>
              <w:textAlignment w:val="bottom"/>
            </w:pPr>
            <w:r>
              <w:rPr>
                <w:rFonts w:ascii="Times New Roman" w:eastAsia="宋体" w:hAnsi="Times New Roman"/>
                <w:color w:val="000000"/>
                <w:sz w:val="20"/>
                <w:szCs w:val="20"/>
              </w:rPr>
              <w:t>(74)</w:t>
            </w:r>
          </w:p>
        </w:tc>
        <w:tc>
          <w:tcPr>
            <w:tcW w:w="0" w:type="auto"/>
            <w:shd w:val="clear" w:color="auto" w:fill="CCEEFF"/>
            <w:tcMar>
              <w:top w:w="40" w:type="dxa"/>
              <w:bottom w:w="40" w:type="dxa"/>
              <w:right w:w="20" w:type="dxa"/>
            </w:tcMar>
            <w:vAlign w:val="bottom"/>
          </w:tcPr>
          <w:p w14:paraId="33DAEC2E"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C2F"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EC30"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EC31" w14:textId="77777777" w:rsidR="004D6A64" w:rsidRDefault="00506CD6">
            <w:pPr>
              <w:jc w:val="right"/>
              <w:textAlignment w:val="bottom"/>
            </w:pPr>
            <w:r>
              <w:rPr>
                <w:rFonts w:ascii="Times New Roman" w:eastAsia="宋体" w:hAnsi="Times New Roman"/>
                <w:color w:val="000000"/>
                <w:sz w:val="20"/>
                <w:szCs w:val="20"/>
              </w:rPr>
              <w:t>4,232 </w:t>
            </w:r>
          </w:p>
        </w:tc>
        <w:tc>
          <w:tcPr>
            <w:tcW w:w="0" w:type="auto"/>
            <w:shd w:val="clear" w:color="auto" w:fill="CCEEFF"/>
            <w:tcMar>
              <w:top w:w="40" w:type="dxa"/>
              <w:bottom w:w="40" w:type="dxa"/>
              <w:right w:w="20" w:type="dxa"/>
            </w:tcMar>
            <w:vAlign w:val="bottom"/>
          </w:tcPr>
          <w:p w14:paraId="33DAEC3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C3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C34" w14:textId="77777777" w:rsidR="004D6A64" w:rsidRDefault="00506CD6">
            <w:pPr>
              <w:jc w:val="right"/>
              <w:textAlignment w:val="bottom"/>
            </w:pPr>
            <w:r>
              <w:rPr>
                <w:rFonts w:ascii="Times New Roman" w:eastAsia="宋体" w:hAnsi="Times New Roman"/>
                <w:color w:val="000000"/>
                <w:sz w:val="20"/>
                <w:szCs w:val="20"/>
              </w:rPr>
              <w:t>18.1 </w:t>
            </w:r>
          </w:p>
        </w:tc>
        <w:tc>
          <w:tcPr>
            <w:tcW w:w="0" w:type="auto"/>
            <w:shd w:val="clear" w:color="auto" w:fill="CCEEFF"/>
            <w:tcMar>
              <w:top w:w="40" w:type="dxa"/>
              <w:bottom w:w="40" w:type="dxa"/>
              <w:right w:w="20" w:type="dxa"/>
            </w:tcMar>
            <w:vAlign w:val="bottom"/>
          </w:tcPr>
          <w:p w14:paraId="33DAEC35"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C36"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EC37"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EC38" w14:textId="77777777" w:rsidR="004D6A64" w:rsidRDefault="00506CD6">
            <w:pPr>
              <w:jc w:val="right"/>
              <w:textAlignment w:val="bottom"/>
            </w:pPr>
            <w:r>
              <w:rPr>
                <w:rFonts w:ascii="Times New Roman" w:eastAsia="宋体" w:hAnsi="Times New Roman"/>
                <w:color w:val="000000"/>
                <w:sz w:val="20"/>
                <w:szCs w:val="20"/>
              </w:rPr>
              <w:t>1,281 </w:t>
            </w:r>
          </w:p>
        </w:tc>
        <w:tc>
          <w:tcPr>
            <w:tcW w:w="0" w:type="auto"/>
            <w:shd w:val="clear" w:color="auto" w:fill="CCEEFF"/>
            <w:tcMar>
              <w:top w:w="40" w:type="dxa"/>
              <w:bottom w:w="40" w:type="dxa"/>
              <w:right w:w="20" w:type="dxa"/>
            </w:tcMar>
            <w:vAlign w:val="bottom"/>
          </w:tcPr>
          <w:p w14:paraId="33DAEC39"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C3A"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C3B" w14:textId="77777777" w:rsidR="004D6A64" w:rsidRDefault="00506CD6">
            <w:pPr>
              <w:jc w:val="right"/>
              <w:textAlignment w:val="bottom"/>
            </w:pPr>
            <w:r>
              <w:rPr>
                <w:rFonts w:ascii="Times New Roman" w:eastAsia="宋体" w:hAnsi="Times New Roman"/>
                <w:color w:val="000000"/>
                <w:sz w:val="20"/>
                <w:szCs w:val="20"/>
              </w:rPr>
              <w:t>2.9 </w:t>
            </w:r>
          </w:p>
        </w:tc>
        <w:tc>
          <w:tcPr>
            <w:tcW w:w="0" w:type="auto"/>
            <w:shd w:val="clear" w:color="auto" w:fill="CCEEFF"/>
            <w:tcMar>
              <w:top w:w="40" w:type="dxa"/>
              <w:bottom w:w="40" w:type="dxa"/>
              <w:right w:w="20" w:type="dxa"/>
            </w:tcMar>
            <w:vAlign w:val="bottom"/>
          </w:tcPr>
          <w:p w14:paraId="33DAEC3C"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C3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C3E" w14:textId="77777777" w:rsidR="004D6A64" w:rsidRDefault="00506CD6">
            <w:pPr>
              <w:jc w:val="right"/>
              <w:textAlignment w:val="bottom"/>
            </w:pPr>
            <w:r>
              <w:rPr>
                <w:rFonts w:ascii="Times New Roman" w:eastAsia="宋体" w:hAnsi="Times New Roman"/>
                <w:color w:val="000000"/>
                <w:sz w:val="20"/>
                <w:szCs w:val="20"/>
              </w:rPr>
              <w:t>(72)</w:t>
            </w:r>
          </w:p>
        </w:tc>
        <w:tc>
          <w:tcPr>
            <w:tcW w:w="0" w:type="auto"/>
            <w:shd w:val="clear" w:color="auto" w:fill="CCEEFF"/>
            <w:tcMar>
              <w:top w:w="40" w:type="dxa"/>
              <w:bottom w:w="40" w:type="dxa"/>
              <w:right w:w="20" w:type="dxa"/>
            </w:tcMar>
            <w:vAlign w:val="bottom"/>
          </w:tcPr>
          <w:p w14:paraId="33DAEC3F"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C40"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EC41"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EC42" w14:textId="77777777" w:rsidR="004D6A64" w:rsidRDefault="00506CD6">
            <w:pPr>
              <w:jc w:val="right"/>
              <w:textAlignment w:val="bottom"/>
            </w:pPr>
            <w:r>
              <w:rPr>
                <w:rFonts w:ascii="Times New Roman" w:eastAsia="宋体" w:hAnsi="Times New Roman"/>
                <w:color w:val="000000"/>
                <w:sz w:val="20"/>
                <w:szCs w:val="20"/>
              </w:rPr>
              <w:t>4,561 </w:t>
            </w:r>
          </w:p>
        </w:tc>
        <w:tc>
          <w:tcPr>
            <w:tcW w:w="0" w:type="auto"/>
            <w:shd w:val="clear" w:color="auto" w:fill="CCEEFF"/>
            <w:tcMar>
              <w:top w:w="40" w:type="dxa"/>
              <w:bottom w:w="40" w:type="dxa"/>
              <w:right w:w="20" w:type="dxa"/>
            </w:tcMar>
            <w:vAlign w:val="bottom"/>
          </w:tcPr>
          <w:p w14:paraId="33DAEC4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C44"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C45" w14:textId="77777777" w:rsidR="004D6A64" w:rsidRDefault="00506CD6">
            <w:pPr>
              <w:jc w:val="right"/>
              <w:textAlignment w:val="bottom"/>
            </w:pPr>
            <w:r>
              <w:rPr>
                <w:rFonts w:ascii="Times New Roman" w:eastAsia="宋体" w:hAnsi="Times New Roman"/>
                <w:color w:val="000000"/>
                <w:sz w:val="20"/>
                <w:szCs w:val="20"/>
              </w:rPr>
              <w:t>10.1 </w:t>
            </w:r>
          </w:p>
        </w:tc>
        <w:tc>
          <w:tcPr>
            <w:tcW w:w="0" w:type="auto"/>
            <w:shd w:val="clear" w:color="auto" w:fill="CCEEFF"/>
            <w:tcMar>
              <w:top w:w="40" w:type="dxa"/>
              <w:bottom w:w="40" w:type="dxa"/>
              <w:right w:w="20" w:type="dxa"/>
            </w:tcMar>
            <w:vAlign w:val="bottom"/>
          </w:tcPr>
          <w:p w14:paraId="33DAEC46" w14:textId="77777777" w:rsidR="004D6A64" w:rsidRDefault="00506CD6">
            <w:pPr>
              <w:jc w:val="right"/>
              <w:textAlignment w:val="bottom"/>
            </w:pPr>
            <w:r>
              <w:rPr>
                <w:rFonts w:ascii="Times New Roman" w:eastAsia="宋体" w:hAnsi="Times New Roman"/>
                <w:color w:val="000000"/>
                <w:sz w:val="20"/>
                <w:szCs w:val="20"/>
              </w:rPr>
              <w:t>%</w:t>
            </w:r>
          </w:p>
        </w:tc>
        <w:tc>
          <w:tcPr>
            <w:tcW w:w="0" w:type="auto"/>
            <w:shd w:val="clear" w:color="auto" w:fill="auto"/>
          </w:tcPr>
          <w:p w14:paraId="33DAEC47" w14:textId="77777777" w:rsidR="004D6A64" w:rsidRDefault="004D6A64">
            <w:pPr>
              <w:rPr>
                <w:rFonts w:ascii="宋体"/>
              </w:rPr>
            </w:pPr>
          </w:p>
        </w:tc>
        <w:tc>
          <w:tcPr>
            <w:tcW w:w="0" w:type="auto"/>
            <w:shd w:val="clear" w:color="auto" w:fill="auto"/>
          </w:tcPr>
          <w:p w14:paraId="33DAEC48" w14:textId="77777777" w:rsidR="004D6A64" w:rsidRDefault="004D6A64">
            <w:pPr>
              <w:rPr>
                <w:rFonts w:ascii="宋体"/>
              </w:rPr>
            </w:pPr>
          </w:p>
        </w:tc>
        <w:tc>
          <w:tcPr>
            <w:tcW w:w="0" w:type="auto"/>
            <w:shd w:val="clear" w:color="auto" w:fill="auto"/>
          </w:tcPr>
          <w:p w14:paraId="33DAEC49" w14:textId="77777777" w:rsidR="004D6A64" w:rsidRDefault="004D6A64">
            <w:pPr>
              <w:rPr>
                <w:rFonts w:ascii="宋体"/>
              </w:rPr>
            </w:pPr>
          </w:p>
        </w:tc>
      </w:tr>
      <w:tr w:rsidR="00506CD6" w14:paraId="33DAEC70" w14:textId="77777777">
        <w:tc>
          <w:tcPr>
            <w:tcW w:w="0" w:type="auto"/>
            <w:gridSpan w:val="3"/>
            <w:shd w:val="clear" w:color="auto" w:fill="FFFFFF"/>
            <w:tcMar>
              <w:top w:w="40" w:type="dxa"/>
              <w:left w:w="20" w:type="dxa"/>
              <w:bottom w:w="40" w:type="dxa"/>
              <w:right w:w="20" w:type="dxa"/>
            </w:tcMar>
            <w:vAlign w:val="bottom"/>
          </w:tcPr>
          <w:p w14:paraId="33DAEC4B" w14:textId="77777777" w:rsidR="004D6A64" w:rsidRDefault="00506CD6">
            <w:pPr>
              <w:textAlignment w:val="bottom"/>
            </w:pPr>
            <w:r>
              <w:rPr>
                <w:rFonts w:ascii="Times New Roman" w:eastAsia="宋体" w:hAnsi="Times New Roman"/>
                <w:color w:val="000000"/>
                <w:sz w:val="20"/>
                <w:szCs w:val="20"/>
              </w:rPr>
              <w:t>Net income attributable to Dell Technologies Inc.</w:t>
            </w:r>
          </w:p>
        </w:tc>
        <w:tc>
          <w:tcPr>
            <w:tcW w:w="0" w:type="auto"/>
            <w:shd w:val="clear" w:color="auto" w:fill="FFFFFF"/>
            <w:tcMar>
              <w:top w:w="40" w:type="dxa"/>
              <w:left w:w="20" w:type="dxa"/>
              <w:bottom w:w="40" w:type="dxa"/>
            </w:tcMar>
            <w:vAlign w:val="bottom"/>
          </w:tcPr>
          <w:p w14:paraId="33DAEC4C"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C4D" w14:textId="77777777" w:rsidR="004D6A64" w:rsidRDefault="00506CD6">
            <w:pPr>
              <w:jc w:val="right"/>
              <w:textAlignment w:val="bottom"/>
            </w:pPr>
            <w:r>
              <w:rPr>
                <w:rFonts w:ascii="Times New Roman" w:eastAsia="宋体" w:hAnsi="Times New Roman"/>
                <w:color w:val="000000"/>
                <w:sz w:val="20"/>
                <w:szCs w:val="20"/>
              </w:rPr>
              <w:t>1,048 </w:t>
            </w:r>
          </w:p>
        </w:tc>
        <w:tc>
          <w:tcPr>
            <w:tcW w:w="0" w:type="auto"/>
            <w:shd w:val="clear" w:color="auto" w:fill="FFFFFF"/>
            <w:tcMar>
              <w:top w:w="40" w:type="dxa"/>
              <w:bottom w:w="40" w:type="dxa"/>
              <w:right w:w="20" w:type="dxa"/>
            </w:tcMar>
            <w:vAlign w:val="bottom"/>
          </w:tcPr>
          <w:p w14:paraId="33DAEC4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C4F"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C50" w14:textId="77777777" w:rsidR="004D6A64" w:rsidRDefault="00506CD6">
            <w:pPr>
              <w:jc w:val="right"/>
              <w:textAlignment w:val="bottom"/>
            </w:pPr>
            <w:r>
              <w:rPr>
                <w:rFonts w:ascii="Times New Roman" w:eastAsia="宋体" w:hAnsi="Times New Roman"/>
                <w:color w:val="000000"/>
                <w:sz w:val="20"/>
                <w:szCs w:val="20"/>
              </w:rPr>
              <w:t>4.6 </w:t>
            </w:r>
          </w:p>
        </w:tc>
        <w:tc>
          <w:tcPr>
            <w:tcW w:w="0" w:type="auto"/>
            <w:shd w:val="clear" w:color="auto" w:fill="FFFFFF"/>
            <w:tcMar>
              <w:top w:w="40" w:type="dxa"/>
              <w:bottom w:w="40" w:type="dxa"/>
              <w:right w:w="20" w:type="dxa"/>
            </w:tcMar>
            <w:vAlign w:val="bottom"/>
          </w:tcPr>
          <w:p w14:paraId="33DAEC51"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C52"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C53" w14:textId="77777777" w:rsidR="004D6A64" w:rsidRDefault="00506CD6">
            <w:pPr>
              <w:jc w:val="right"/>
              <w:textAlignment w:val="bottom"/>
            </w:pPr>
            <w:r>
              <w:rPr>
                <w:rFonts w:ascii="Times New Roman" w:eastAsia="宋体" w:hAnsi="Times New Roman"/>
                <w:color w:val="000000"/>
                <w:sz w:val="20"/>
                <w:szCs w:val="20"/>
              </w:rPr>
              <w:t>(69)</w:t>
            </w:r>
          </w:p>
        </w:tc>
        <w:tc>
          <w:tcPr>
            <w:tcW w:w="0" w:type="auto"/>
            <w:shd w:val="clear" w:color="auto" w:fill="FFFFFF"/>
            <w:tcMar>
              <w:top w:w="40" w:type="dxa"/>
              <w:bottom w:w="40" w:type="dxa"/>
              <w:right w:w="20" w:type="dxa"/>
            </w:tcMar>
            <w:vAlign w:val="bottom"/>
          </w:tcPr>
          <w:p w14:paraId="33DAEC54"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C55"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EC56"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C57" w14:textId="77777777" w:rsidR="004D6A64" w:rsidRDefault="00506CD6">
            <w:pPr>
              <w:jc w:val="right"/>
              <w:textAlignment w:val="bottom"/>
            </w:pPr>
            <w:r>
              <w:rPr>
                <w:rFonts w:ascii="Times New Roman" w:eastAsia="宋体" w:hAnsi="Times New Roman"/>
                <w:color w:val="000000"/>
                <w:sz w:val="20"/>
                <w:szCs w:val="20"/>
              </w:rPr>
              <w:t>3,416 </w:t>
            </w:r>
          </w:p>
        </w:tc>
        <w:tc>
          <w:tcPr>
            <w:tcW w:w="0" w:type="auto"/>
            <w:shd w:val="clear" w:color="auto" w:fill="FFFFFF"/>
            <w:tcMar>
              <w:top w:w="40" w:type="dxa"/>
              <w:bottom w:w="40" w:type="dxa"/>
              <w:right w:w="20" w:type="dxa"/>
            </w:tcMar>
            <w:vAlign w:val="bottom"/>
          </w:tcPr>
          <w:p w14:paraId="33DAEC5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C59"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C5A" w14:textId="77777777" w:rsidR="004D6A64" w:rsidRDefault="00506CD6">
            <w:pPr>
              <w:jc w:val="right"/>
              <w:textAlignment w:val="bottom"/>
            </w:pPr>
            <w:r>
              <w:rPr>
                <w:rFonts w:ascii="Times New Roman" w:eastAsia="宋体" w:hAnsi="Times New Roman"/>
                <w:color w:val="000000"/>
                <w:sz w:val="20"/>
                <w:szCs w:val="20"/>
              </w:rPr>
              <w:t>14.6 </w:t>
            </w:r>
          </w:p>
        </w:tc>
        <w:tc>
          <w:tcPr>
            <w:tcW w:w="0" w:type="auto"/>
            <w:shd w:val="clear" w:color="auto" w:fill="FFFFFF"/>
            <w:tcMar>
              <w:top w:w="40" w:type="dxa"/>
              <w:bottom w:w="40" w:type="dxa"/>
              <w:right w:w="20" w:type="dxa"/>
            </w:tcMar>
            <w:vAlign w:val="bottom"/>
          </w:tcPr>
          <w:p w14:paraId="33DAEC5B"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C5C"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EC5D"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C5E" w14:textId="77777777" w:rsidR="004D6A64" w:rsidRDefault="00506CD6">
            <w:pPr>
              <w:jc w:val="right"/>
              <w:textAlignment w:val="bottom"/>
            </w:pPr>
            <w:r>
              <w:rPr>
                <w:rFonts w:ascii="Times New Roman" w:eastAsia="宋体" w:hAnsi="Times New Roman"/>
                <w:color w:val="000000"/>
                <w:sz w:val="20"/>
                <w:szCs w:val="20"/>
              </w:rPr>
              <w:t>1,191 </w:t>
            </w:r>
          </w:p>
        </w:tc>
        <w:tc>
          <w:tcPr>
            <w:tcW w:w="0" w:type="auto"/>
            <w:shd w:val="clear" w:color="auto" w:fill="FFFFFF"/>
            <w:tcMar>
              <w:top w:w="40" w:type="dxa"/>
              <w:bottom w:w="40" w:type="dxa"/>
              <w:right w:w="20" w:type="dxa"/>
            </w:tcMar>
            <w:vAlign w:val="bottom"/>
          </w:tcPr>
          <w:p w14:paraId="33DAEC5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C6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C61" w14:textId="77777777" w:rsidR="004D6A64" w:rsidRDefault="00506CD6">
            <w:pPr>
              <w:jc w:val="right"/>
              <w:textAlignment w:val="bottom"/>
            </w:pPr>
            <w:r>
              <w:rPr>
                <w:rFonts w:ascii="Times New Roman" w:eastAsia="宋体" w:hAnsi="Times New Roman"/>
                <w:color w:val="000000"/>
                <w:sz w:val="20"/>
                <w:szCs w:val="20"/>
              </w:rPr>
              <w:t>2.7 </w:t>
            </w:r>
          </w:p>
        </w:tc>
        <w:tc>
          <w:tcPr>
            <w:tcW w:w="0" w:type="auto"/>
            <w:shd w:val="clear" w:color="auto" w:fill="FFFFFF"/>
            <w:tcMar>
              <w:top w:w="40" w:type="dxa"/>
              <w:bottom w:w="40" w:type="dxa"/>
              <w:right w:w="20" w:type="dxa"/>
            </w:tcMar>
            <w:vAlign w:val="bottom"/>
          </w:tcPr>
          <w:p w14:paraId="33DAEC62"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C6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C64" w14:textId="77777777" w:rsidR="004D6A64" w:rsidRDefault="00506CD6">
            <w:pPr>
              <w:jc w:val="right"/>
              <w:textAlignment w:val="bottom"/>
            </w:pPr>
            <w:r>
              <w:rPr>
                <w:rFonts w:ascii="Times New Roman" w:eastAsia="宋体" w:hAnsi="Times New Roman"/>
                <w:color w:val="000000"/>
                <w:sz w:val="20"/>
                <w:szCs w:val="20"/>
              </w:rPr>
              <w:t>(68)</w:t>
            </w:r>
          </w:p>
        </w:tc>
        <w:tc>
          <w:tcPr>
            <w:tcW w:w="0" w:type="auto"/>
            <w:shd w:val="clear" w:color="auto" w:fill="FFFFFF"/>
            <w:tcMar>
              <w:top w:w="40" w:type="dxa"/>
              <w:bottom w:w="40" w:type="dxa"/>
              <w:right w:w="20" w:type="dxa"/>
            </w:tcMar>
            <w:vAlign w:val="bottom"/>
          </w:tcPr>
          <w:p w14:paraId="33DAEC65"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C66"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EC67"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C68" w14:textId="77777777" w:rsidR="004D6A64" w:rsidRDefault="00506CD6">
            <w:pPr>
              <w:jc w:val="right"/>
              <w:textAlignment w:val="bottom"/>
            </w:pPr>
            <w:r>
              <w:rPr>
                <w:rFonts w:ascii="Times New Roman" w:eastAsia="宋体" w:hAnsi="Times New Roman"/>
                <w:color w:val="000000"/>
                <w:sz w:val="20"/>
                <w:szCs w:val="20"/>
              </w:rPr>
              <w:t>3,709 </w:t>
            </w:r>
          </w:p>
        </w:tc>
        <w:tc>
          <w:tcPr>
            <w:tcW w:w="0" w:type="auto"/>
            <w:shd w:val="clear" w:color="auto" w:fill="FFFFFF"/>
            <w:tcMar>
              <w:top w:w="40" w:type="dxa"/>
              <w:bottom w:w="40" w:type="dxa"/>
              <w:right w:w="20" w:type="dxa"/>
            </w:tcMar>
            <w:vAlign w:val="bottom"/>
          </w:tcPr>
          <w:p w14:paraId="33DAEC6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C6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C6B" w14:textId="77777777" w:rsidR="004D6A64" w:rsidRDefault="00506CD6">
            <w:pPr>
              <w:jc w:val="right"/>
              <w:textAlignment w:val="bottom"/>
            </w:pPr>
            <w:r>
              <w:rPr>
                <w:rFonts w:ascii="Times New Roman" w:eastAsia="宋体" w:hAnsi="Times New Roman"/>
                <w:color w:val="000000"/>
                <w:sz w:val="20"/>
                <w:szCs w:val="20"/>
              </w:rPr>
              <w:t>8.2 </w:t>
            </w:r>
          </w:p>
        </w:tc>
        <w:tc>
          <w:tcPr>
            <w:tcW w:w="0" w:type="auto"/>
            <w:shd w:val="clear" w:color="auto" w:fill="FFFFFF"/>
            <w:tcMar>
              <w:top w:w="40" w:type="dxa"/>
              <w:bottom w:w="40" w:type="dxa"/>
              <w:right w:w="20" w:type="dxa"/>
            </w:tcMar>
            <w:vAlign w:val="bottom"/>
          </w:tcPr>
          <w:p w14:paraId="33DAEC6C" w14:textId="77777777" w:rsidR="004D6A64" w:rsidRDefault="00506CD6">
            <w:pPr>
              <w:jc w:val="right"/>
              <w:textAlignment w:val="bottom"/>
            </w:pPr>
            <w:r>
              <w:rPr>
                <w:rFonts w:ascii="Times New Roman" w:eastAsia="宋体" w:hAnsi="Times New Roman"/>
                <w:color w:val="000000"/>
                <w:sz w:val="20"/>
                <w:szCs w:val="20"/>
              </w:rPr>
              <w:t>%</w:t>
            </w:r>
          </w:p>
        </w:tc>
        <w:tc>
          <w:tcPr>
            <w:tcW w:w="0" w:type="auto"/>
            <w:shd w:val="clear" w:color="auto" w:fill="auto"/>
          </w:tcPr>
          <w:p w14:paraId="33DAEC6D" w14:textId="77777777" w:rsidR="004D6A64" w:rsidRDefault="004D6A64">
            <w:pPr>
              <w:rPr>
                <w:rFonts w:ascii="宋体"/>
              </w:rPr>
            </w:pPr>
          </w:p>
        </w:tc>
        <w:tc>
          <w:tcPr>
            <w:tcW w:w="0" w:type="auto"/>
            <w:shd w:val="clear" w:color="auto" w:fill="auto"/>
          </w:tcPr>
          <w:p w14:paraId="33DAEC6E" w14:textId="77777777" w:rsidR="004D6A64" w:rsidRDefault="004D6A64">
            <w:pPr>
              <w:rPr>
                <w:rFonts w:ascii="宋体"/>
              </w:rPr>
            </w:pPr>
          </w:p>
        </w:tc>
        <w:tc>
          <w:tcPr>
            <w:tcW w:w="0" w:type="auto"/>
            <w:shd w:val="clear" w:color="auto" w:fill="auto"/>
          </w:tcPr>
          <w:p w14:paraId="33DAEC6F" w14:textId="77777777" w:rsidR="004D6A64" w:rsidRDefault="004D6A64">
            <w:pPr>
              <w:rPr>
                <w:rFonts w:ascii="宋体"/>
              </w:rPr>
            </w:pPr>
          </w:p>
        </w:tc>
      </w:tr>
      <w:tr w:rsidR="004D6A64" w14:paraId="33DAEC88" w14:textId="77777777">
        <w:trPr>
          <w:trHeight w:val="240"/>
        </w:trPr>
        <w:tc>
          <w:tcPr>
            <w:tcW w:w="0" w:type="auto"/>
            <w:gridSpan w:val="3"/>
            <w:shd w:val="clear" w:color="auto" w:fill="CCEEFF"/>
            <w:tcMar>
              <w:left w:w="20" w:type="dxa"/>
              <w:right w:w="20" w:type="dxa"/>
            </w:tcMar>
            <w:vAlign w:val="bottom"/>
          </w:tcPr>
          <w:p w14:paraId="33DAEC71"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72"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73"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74"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7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76"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77"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78"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79"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7A"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7B"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7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7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7E"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7F"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80"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81"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82"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83"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84" w14:textId="77777777" w:rsidR="004D6A64" w:rsidRDefault="004D6A64">
            <w:pPr>
              <w:rPr>
                <w:rFonts w:ascii="宋体"/>
              </w:rPr>
            </w:pPr>
          </w:p>
        </w:tc>
        <w:tc>
          <w:tcPr>
            <w:tcW w:w="0" w:type="auto"/>
            <w:shd w:val="clear" w:color="auto" w:fill="auto"/>
          </w:tcPr>
          <w:p w14:paraId="33DAEC85" w14:textId="77777777" w:rsidR="004D6A64" w:rsidRDefault="004D6A64">
            <w:pPr>
              <w:rPr>
                <w:rFonts w:ascii="宋体"/>
              </w:rPr>
            </w:pPr>
          </w:p>
        </w:tc>
        <w:tc>
          <w:tcPr>
            <w:tcW w:w="0" w:type="auto"/>
            <w:shd w:val="clear" w:color="auto" w:fill="auto"/>
          </w:tcPr>
          <w:p w14:paraId="33DAEC86" w14:textId="77777777" w:rsidR="004D6A64" w:rsidRDefault="004D6A64">
            <w:pPr>
              <w:rPr>
                <w:rFonts w:ascii="宋体"/>
              </w:rPr>
            </w:pPr>
          </w:p>
        </w:tc>
        <w:tc>
          <w:tcPr>
            <w:tcW w:w="0" w:type="auto"/>
            <w:shd w:val="clear" w:color="auto" w:fill="auto"/>
          </w:tcPr>
          <w:p w14:paraId="33DAEC87" w14:textId="77777777" w:rsidR="004D6A64" w:rsidRDefault="004D6A64">
            <w:pPr>
              <w:rPr>
                <w:rFonts w:ascii="宋体"/>
              </w:rPr>
            </w:pPr>
          </w:p>
        </w:tc>
      </w:tr>
      <w:tr w:rsidR="004D6A64" w14:paraId="33DAEC9D" w14:textId="77777777">
        <w:tc>
          <w:tcPr>
            <w:tcW w:w="0" w:type="auto"/>
            <w:gridSpan w:val="6"/>
            <w:shd w:val="clear" w:color="auto" w:fill="FFFFFF"/>
            <w:tcMar>
              <w:top w:w="40" w:type="dxa"/>
              <w:left w:w="20" w:type="dxa"/>
              <w:bottom w:w="40" w:type="dxa"/>
              <w:right w:w="20" w:type="dxa"/>
            </w:tcMar>
            <w:vAlign w:val="bottom"/>
          </w:tcPr>
          <w:p w14:paraId="33DAEC89" w14:textId="77777777" w:rsidR="004D6A64" w:rsidRDefault="00506CD6">
            <w:pPr>
              <w:textAlignment w:val="bottom"/>
            </w:pPr>
            <w:r>
              <w:rPr>
                <w:rFonts w:ascii="Times New Roman" w:eastAsia="宋体" w:hAnsi="Times New Roman"/>
                <w:b/>
                <w:bCs/>
                <w:i/>
                <w:iCs/>
                <w:color w:val="000000"/>
                <w:sz w:val="20"/>
                <w:szCs w:val="20"/>
              </w:rPr>
              <w:t>Non-GAAP Financial Information</w:t>
            </w:r>
          </w:p>
        </w:tc>
        <w:tc>
          <w:tcPr>
            <w:tcW w:w="0" w:type="auto"/>
            <w:gridSpan w:val="3"/>
            <w:shd w:val="clear" w:color="auto" w:fill="auto"/>
          </w:tcPr>
          <w:p w14:paraId="33DAEC8A" w14:textId="77777777" w:rsidR="004D6A64" w:rsidRDefault="004D6A64">
            <w:pPr>
              <w:rPr>
                <w:rFonts w:ascii="宋体"/>
                <w:vanish/>
              </w:rPr>
            </w:pPr>
          </w:p>
        </w:tc>
        <w:tc>
          <w:tcPr>
            <w:tcW w:w="0" w:type="auto"/>
            <w:gridSpan w:val="3"/>
            <w:shd w:val="clear" w:color="auto" w:fill="FFFFFF"/>
            <w:tcMar>
              <w:left w:w="20" w:type="dxa"/>
              <w:right w:w="20" w:type="dxa"/>
            </w:tcMar>
            <w:vAlign w:val="bottom"/>
          </w:tcPr>
          <w:p w14:paraId="33DAEC8B"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C8C"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C8D"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C8E"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C8F"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C90"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C91"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C92"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C93"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C94"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C95"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C96"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C97"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C98"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C99"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C9A"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C9B"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C9C" w14:textId="77777777" w:rsidR="004D6A64" w:rsidRDefault="004D6A64">
            <w:pPr>
              <w:rPr>
                <w:rFonts w:ascii="宋体"/>
              </w:rPr>
            </w:pPr>
          </w:p>
        </w:tc>
      </w:tr>
      <w:tr w:rsidR="004D6A64" w14:paraId="33DAECB5" w14:textId="77777777">
        <w:tc>
          <w:tcPr>
            <w:tcW w:w="0" w:type="auto"/>
            <w:gridSpan w:val="3"/>
            <w:shd w:val="clear" w:color="auto" w:fill="CCEEFF"/>
            <w:tcMar>
              <w:top w:w="40" w:type="dxa"/>
              <w:left w:w="20" w:type="dxa"/>
              <w:bottom w:w="40" w:type="dxa"/>
              <w:right w:w="20" w:type="dxa"/>
            </w:tcMar>
            <w:vAlign w:val="bottom"/>
          </w:tcPr>
          <w:p w14:paraId="33DAEC9E" w14:textId="77777777" w:rsidR="004D6A64" w:rsidRDefault="00506CD6">
            <w:pPr>
              <w:textAlignment w:val="bottom"/>
            </w:pPr>
            <w:r>
              <w:rPr>
                <w:rFonts w:ascii="Times New Roman" w:eastAsia="宋体" w:hAnsi="Times New Roman"/>
                <w:i/>
                <w:iCs/>
                <w:color w:val="000000"/>
                <w:sz w:val="20"/>
                <w:szCs w:val="20"/>
              </w:rPr>
              <w:t>Non-GAAP net revenue:</w:t>
            </w:r>
          </w:p>
        </w:tc>
        <w:tc>
          <w:tcPr>
            <w:tcW w:w="0" w:type="auto"/>
            <w:gridSpan w:val="3"/>
            <w:shd w:val="clear" w:color="auto" w:fill="CCEEFF"/>
            <w:tcMar>
              <w:left w:w="20" w:type="dxa"/>
              <w:right w:w="20" w:type="dxa"/>
            </w:tcMar>
            <w:vAlign w:val="bottom"/>
          </w:tcPr>
          <w:p w14:paraId="33DAEC9F"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A0"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A1"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A2"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A3"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A4"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A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A6"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A7"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A8"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A9"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AA"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AB"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A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A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AE"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AF"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B0"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CB1" w14:textId="77777777" w:rsidR="004D6A64" w:rsidRDefault="004D6A64">
            <w:pPr>
              <w:rPr>
                <w:rFonts w:ascii="宋体"/>
              </w:rPr>
            </w:pPr>
          </w:p>
        </w:tc>
        <w:tc>
          <w:tcPr>
            <w:tcW w:w="0" w:type="auto"/>
            <w:shd w:val="clear" w:color="auto" w:fill="auto"/>
          </w:tcPr>
          <w:p w14:paraId="33DAECB2" w14:textId="77777777" w:rsidR="004D6A64" w:rsidRDefault="004D6A64">
            <w:pPr>
              <w:rPr>
                <w:rFonts w:ascii="宋体"/>
              </w:rPr>
            </w:pPr>
          </w:p>
        </w:tc>
        <w:tc>
          <w:tcPr>
            <w:tcW w:w="0" w:type="auto"/>
            <w:shd w:val="clear" w:color="auto" w:fill="auto"/>
          </w:tcPr>
          <w:p w14:paraId="33DAECB3" w14:textId="77777777" w:rsidR="004D6A64" w:rsidRDefault="004D6A64">
            <w:pPr>
              <w:rPr>
                <w:rFonts w:ascii="宋体"/>
              </w:rPr>
            </w:pPr>
          </w:p>
        </w:tc>
        <w:tc>
          <w:tcPr>
            <w:tcW w:w="0" w:type="auto"/>
            <w:shd w:val="clear" w:color="auto" w:fill="auto"/>
          </w:tcPr>
          <w:p w14:paraId="33DAECB4" w14:textId="77777777" w:rsidR="004D6A64" w:rsidRDefault="004D6A64">
            <w:pPr>
              <w:rPr>
                <w:rFonts w:ascii="宋体"/>
              </w:rPr>
            </w:pPr>
          </w:p>
        </w:tc>
      </w:tr>
      <w:tr w:rsidR="00506CD6" w14:paraId="33DAECDB" w14:textId="77777777">
        <w:tc>
          <w:tcPr>
            <w:tcW w:w="0" w:type="auto"/>
            <w:gridSpan w:val="3"/>
            <w:shd w:val="clear" w:color="auto" w:fill="FFFFFF"/>
            <w:tcMar>
              <w:top w:w="40" w:type="dxa"/>
              <w:bottom w:w="40" w:type="dxa"/>
              <w:right w:w="20" w:type="dxa"/>
            </w:tcMar>
            <w:vAlign w:val="bottom"/>
          </w:tcPr>
          <w:p w14:paraId="33DAECB6" w14:textId="77777777" w:rsidR="004D6A64" w:rsidRDefault="00506CD6">
            <w:pPr>
              <w:textAlignment w:val="bottom"/>
            </w:pPr>
            <w:r>
              <w:rPr>
                <w:rFonts w:ascii="Times New Roman" w:eastAsia="宋体" w:hAnsi="Times New Roman"/>
                <w:color w:val="000000"/>
                <w:sz w:val="20"/>
                <w:szCs w:val="20"/>
              </w:rPr>
              <w:t>Products (a)</w:t>
            </w:r>
          </w:p>
        </w:tc>
        <w:tc>
          <w:tcPr>
            <w:tcW w:w="0" w:type="auto"/>
            <w:shd w:val="clear" w:color="auto" w:fill="FFFFFF"/>
            <w:tcMar>
              <w:top w:w="40" w:type="dxa"/>
              <w:left w:w="20" w:type="dxa"/>
              <w:bottom w:w="40" w:type="dxa"/>
            </w:tcMar>
            <w:vAlign w:val="bottom"/>
          </w:tcPr>
          <w:p w14:paraId="33DAECB7"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CB8" w14:textId="77777777" w:rsidR="004D6A64" w:rsidRDefault="00506CD6">
            <w:pPr>
              <w:jc w:val="right"/>
              <w:textAlignment w:val="bottom"/>
            </w:pPr>
            <w:r>
              <w:rPr>
                <w:rFonts w:ascii="Times New Roman" w:eastAsia="宋体" w:hAnsi="Times New Roman"/>
                <w:color w:val="000000"/>
                <w:sz w:val="20"/>
                <w:szCs w:val="20"/>
              </w:rPr>
              <w:t>16,739 </w:t>
            </w:r>
          </w:p>
        </w:tc>
        <w:tc>
          <w:tcPr>
            <w:tcW w:w="0" w:type="auto"/>
            <w:shd w:val="clear" w:color="auto" w:fill="FFFFFF"/>
            <w:tcMar>
              <w:top w:w="40" w:type="dxa"/>
              <w:bottom w:w="40" w:type="dxa"/>
              <w:right w:w="20" w:type="dxa"/>
            </w:tcMar>
            <w:vAlign w:val="bottom"/>
          </w:tcPr>
          <w:p w14:paraId="33DAECB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CB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CBB" w14:textId="77777777" w:rsidR="004D6A64" w:rsidRDefault="00506CD6">
            <w:pPr>
              <w:jc w:val="right"/>
              <w:textAlignment w:val="bottom"/>
            </w:pPr>
            <w:r>
              <w:rPr>
                <w:rFonts w:ascii="Times New Roman" w:eastAsia="宋体" w:hAnsi="Times New Roman"/>
                <w:color w:val="000000"/>
                <w:sz w:val="20"/>
                <w:szCs w:val="20"/>
              </w:rPr>
              <w:t>73.5 </w:t>
            </w:r>
          </w:p>
        </w:tc>
        <w:tc>
          <w:tcPr>
            <w:tcW w:w="0" w:type="auto"/>
            <w:shd w:val="clear" w:color="auto" w:fill="FFFFFF"/>
            <w:tcMar>
              <w:top w:w="40" w:type="dxa"/>
              <w:bottom w:w="40" w:type="dxa"/>
              <w:right w:w="20" w:type="dxa"/>
            </w:tcMar>
            <w:vAlign w:val="bottom"/>
          </w:tcPr>
          <w:p w14:paraId="33DAECBC"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CB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CBE" w14:textId="77777777" w:rsidR="004D6A64" w:rsidRDefault="00506CD6">
            <w:pPr>
              <w:jc w:val="right"/>
              <w:textAlignment w:val="bottom"/>
            </w:pPr>
            <w:r>
              <w:rPr>
                <w:rFonts w:ascii="Times New Roman" w:eastAsia="宋体" w:hAnsi="Times New Roman"/>
                <w:color w:val="000000"/>
                <w:sz w:val="20"/>
                <w:szCs w:val="20"/>
              </w:rPr>
              <w:t>(7)</w:t>
            </w:r>
          </w:p>
        </w:tc>
        <w:tc>
          <w:tcPr>
            <w:tcW w:w="0" w:type="auto"/>
            <w:shd w:val="clear" w:color="auto" w:fill="FFFFFF"/>
            <w:tcMar>
              <w:top w:w="40" w:type="dxa"/>
              <w:bottom w:w="40" w:type="dxa"/>
              <w:right w:w="20" w:type="dxa"/>
            </w:tcMar>
            <w:vAlign w:val="bottom"/>
          </w:tcPr>
          <w:p w14:paraId="33DAECBF"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CC0"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ECC1"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CC2" w14:textId="77777777" w:rsidR="004D6A64" w:rsidRDefault="00506CD6">
            <w:pPr>
              <w:jc w:val="right"/>
              <w:textAlignment w:val="bottom"/>
            </w:pPr>
            <w:r>
              <w:rPr>
                <w:rFonts w:ascii="Times New Roman" w:eastAsia="宋体" w:hAnsi="Times New Roman"/>
                <w:color w:val="000000"/>
                <w:sz w:val="20"/>
                <w:szCs w:val="20"/>
              </w:rPr>
              <w:t>17,921 </w:t>
            </w:r>
          </w:p>
        </w:tc>
        <w:tc>
          <w:tcPr>
            <w:tcW w:w="0" w:type="auto"/>
            <w:shd w:val="clear" w:color="auto" w:fill="FFFFFF"/>
            <w:tcMar>
              <w:top w:w="40" w:type="dxa"/>
              <w:bottom w:w="40" w:type="dxa"/>
              <w:right w:w="20" w:type="dxa"/>
            </w:tcMar>
            <w:vAlign w:val="bottom"/>
          </w:tcPr>
          <w:p w14:paraId="33DAECC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CC4"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CC5" w14:textId="77777777" w:rsidR="004D6A64" w:rsidRDefault="00506CD6">
            <w:pPr>
              <w:jc w:val="right"/>
              <w:textAlignment w:val="bottom"/>
            </w:pPr>
            <w:r>
              <w:rPr>
                <w:rFonts w:ascii="Times New Roman" w:eastAsia="宋体" w:hAnsi="Times New Roman"/>
                <w:color w:val="000000"/>
                <w:sz w:val="20"/>
                <w:szCs w:val="20"/>
              </w:rPr>
              <w:t>76.4 </w:t>
            </w:r>
          </w:p>
        </w:tc>
        <w:tc>
          <w:tcPr>
            <w:tcW w:w="0" w:type="auto"/>
            <w:shd w:val="clear" w:color="auto" w:fill="FFFFFF"/>
            <w:tcMar>
              <w:top w:w="40" w:type="dxa"/>
              <w:bottom w:w="40" w:type="dxa"/>
              <w:right w:w="20" w:type="dxa"/>
            </w:tcMar>
            <w:vAlign w:val="bottom"/>
          </w:tcPr>
          <w:p w14:paraId="33DAECC6"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CC7"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ECC8"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CC9" w14:textId="77777777" w:rsidR="004D6A64" w:rsidRDefault="00506CD6">
            <w:pPr>
              <w:jc w:val="right"/>
              <w:textAlignment w:val="bottom"/>
            </w:pPr>
            <w:r>
              <w:rPr>
                <w:rFonts w:ascii="Times New Roman" w:eastAsia="宋体" w:hAnsi="Times New Roman"/>
                <w:color w:val="000000"/>
                <w:sz w:val="20"/>
                <w:szCs w:val="20"/>
              </w:rPr>
              <w:t>32,781 </w:t>
            </w:r>
          </w:p>
        </w:tc>
        <w:tc>
          <w:tcPr>
            <w:tcW w:w="0" w:type="auto"/>
            <w:shd w:val="clear" w:color="auto" w:fill="FFFFFF"/>
            <w:tcMar>
              <w:top w:w="40" w:type="dxa"/>
              <w:bottom w:w="40" w:type="dxa"/>
              <w:right w:w="20" w:type="dxa"/>
            </w:tcMar>
            <w:vAlign w:val="bottom"/>
          </w:tcPr>
          <w:p w14:paraId="33DAECC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CCB"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CCC" w14:textId="77777777" w:rsidR="004D6A64" w:rsidRDefault="00506CD6">
            <w:pPr>
              <w:jc w:val="right"/>
              <w:textAlignment w:val="bottom"/>
            </w:pPr>
            <w:r>
              <w:rPr>
                <w:rFonts w:ascii="Times New Roman" w:eastAsia="宋体" w:hAnsi="Times New Roman"/>
                <w:color w:val="000000"/>
                <w:sz w:val="20"/>
                <w:szCs w:val="20"/>
              </w:rPr>
              <w:t>73.3 </w:t>
            </w:r>
          </w:p>
        </w:tc>
        <w:tc>
          <w:tcPr>
            <w:tcW w:w="0" w:type="auto"/>
            <w:shd w:val="clear" w:color="auto" w:fill="FFFFFF"/>
            <w:tcMar>
              <w:top w:w="40" w:type="dxa"/>
              <w:bottom w:w="40" w:type="dxa"/>
              <w:right w:w="20" w:type="dxa"/>
            </w:tcMar>
            <w:vAlign w:val="bottom"/>
          </w:tcPr>
          <w:p w14:paraId="33DAECCD"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CCE"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CCF" w14:textId="77777777" w:rsidR="004D6A64" w:rsidRDefault="00506CD6">
            <w:pPr>
              <w:jc w:val="right"/>
              <w:textAlignment w:val="bottom"/>
            </w:pPr>
            <w:r>
              <w:rPr>
                <w:rFonts w:ascii="Times New Roman" w:eastAsia="宋体" w:hAnsi="Times New Roman"/>
                <w:color w:val="000000"/>
                <w:sz w:val="20"/>
                <w:szCs w:val="20"/>
              </w:rPr>
              <w:t>(5)</w:t>
            </w:r>
          </w:p>
        </w:tc>
        <w:tc>
          <w:tcPr>
            <w:tcW w:w="0" w:type="auto"/>
            <w:shd w:val="clear" w:color="auto" w:fill="FFFFFF"/>
            <w:tcMar>
              <w:top w:w="40" w:type="dxa"/>
              <w:bottom w:w="40" w:type="dxa"/>
              <w:right w:w="20" w:type="dxa"/>
            </w:tcMar>
            <w:vAlign w:val="bottom"/>
          </w:tcPr>
          <w:p w14:paraId="33DAECD0"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CD1"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ECD2"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CD3" w14:textId="77777777" w:rsidR="004D6A64" w:rsidRDefault="00506CD6">
            <w:pPr>
              <w:jc w:val="right"/>
              <w:textAlignment w:val="bottom"/>
            </w:pPr>
            <w:r>
              <w:rPr>
                <w:rFonts w:ascii="Times New Roman" w:eastAsia="宋体" w:hAnsi="Times New Roman"/>
                <w:color w:val="000000"/>
                <w:sz w:val="20"/>
                <w:szCs w:val="20"/>
              </w:rPr>
              <w:t>34,500 </w:t>
            </w:r>
          </w:p>
        </w:tc>
        <w:tc>
          <w:tcPr>
            <w:tcW w:w="0" w:type="auto"/>
            <w:shd w:val="clear" w:color="auto" w:fill="FFFFFF"/>
            <w:tcMar>
              <w:top w:w="40" w:type="dxa"/>
              <w:bottom w:w="40" w:type="dxa"/>
              <w:right w:w="20" w:type="dxa"/>
            </w:tcMar>
            <w:vAlign w:val="bottom"/>
          </w:tcPr>
          <w:p w14:paraId="33DAECD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CD5"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CD6" w14:textId="77777777" w:rsidR="004D6A64" w:rsidRDefault="00506CD6">
            <w:pPr>
              <w:jc w:val="right"/>
              <w:textAlignment w:val="bottom"/>
            </w:pPr>
            <w:r>
              <w:rPr>
                <w:rFonts w:ascii="Times New Roman" w:eastAsia="宋体" w:hAnsi="Times New Roman"/>
                <w:color w:val="000000"/>
                <w:sz w:val="20"/>
                <w:szCs w:val="20"/>
              </w:rPr>
              <w:t>75.9 </w:t>
            </w:r>
          </w:p>
        </w:tc>
        <w:tc>
          <w:tcPr>
            <w:tcW w:w="0" w:type="auto"/>
            <w:shd w:val="clear" w:color="auto" w:fill="FFFFFF"/>
            <w:tcMar>
              <w:top w:w="40" w:type="dxa"/>
              <w:bottom w:w="40" w:type="dxa"/>
              <w:right w:w="20" w:type="dxa"/>
            </w:tcMar>
            <w:vAlign w:val="bottom"/>
          </w:tcPr>
          <w:p w14:paraId="33DAECD7" w14:textId="77777777" w:rsidR="004D6A64" w:rsidRDefault="00506CD6">
            <w:pPr>
              <w:jc w:val="right"/>
              <w:textAlignment w:val="bottom"/>
            </w:pPr>
            <w:r>
              <w:rPr>
                <w:rFonts w:ascii="Times New Roman" w:eastAsia="宋体" w:hAnsi="Times New Roman"/>
                <w:color w:val="000000"/>
                <w:sz w:val="20"/>
                <w:szCs w:val="20"/>
              </w:rPr>
              <w:t>%</w:t>
            </w:r>
          </w:p>
        </w:tc>
        <w:tc>
          <w:tcPr>
            <w:tcW w:w="0" w:type="auto"/>
            <w:shd w:val="clear" w:color="auto" w:fill="auto"/>
          </w:tcPr>
          <w:p w14:paraId="33DAECD8" w14:textId="77777777" w:rsidR="004D6A64" w:rsidRDefault="004D6A64">
            <w:pPr>
              <w:rPr>
                <w:rFonts w:ascii="宋体"/>
              </w:rPr>
            </w:pPr>
          </w:p>
        </w:tc>
        <w:tc>
          <w:tcPr>
            <w:tcW w:w="0" w:type="auto"/>
            <w:shd w:val="clear" w:color="auto" w:fill="auto"/>
          </w:tcPr>
          <w:p w14:paraId="33DAECD9" w14:textId="77777777" w:rsidR="004D6A64" w:rsidRDefault="004D6A64">
            <w:pPr>
              <w:rPr>
                <w:rFonts w:ascii="宋体"/>
              </w:rPr>
            </w:pPr>
          </w:p>
        </w:tc>
        <w:tc>
          <w:tcPr>
            <w:tcW w:w="0" w:type="auto"/>
            <w:shd w:val="clear" w:color="auto" w:fill="auto"/>
          </w:tcPr>
          <w:p w14:paraId="33DAECDA" w14:textId="77777777" w:rsidR="004D6A64" w:rsidRDefault="004D6A64">
            <w:pPr>
              <w:rPr>
                <w:rFonts w:ascii="宋体"/>
              </w:rPr>
            </w:pPr>
          </w:p>
        </w:tc>
      </w:tr>
      <w:tr w:rsidR="00506CD6" w14:paraId="33DAECFD" w14:textId="77777777">
        <w:tc>
          <w:tcPr>
            <w:tcW w:w="0" w:type="auto"/>
            <w:gridSpan w:val="3"/>
            <w:shd w:val="clear" w:color="auto" w:fill="CCEEFF"/>
            <w:tcMar>
              <w:top w:w="40" w:type="dxa"/>
              <w:bottom w:w="40" w:type="dxa"/>
              <w:right w:w="20" w:type="dxa"/>
            </w:tcMar>
            <w:vAlign w:val="bottom"/>
          </w:tcPr>
          <w:p w14:paraId="33DAECDC" w14:textId="77777777" w:rsidR="004D6A64" w:rsidRDefault="00506CD6">
            <w:pPr>
              <w:textAlignment w:val="bottom"/>
            </w:pPr>
            <w:r>
              <w:rPr>
                <w:rFonts w:ascii="Times New Roman" w:eastAsia="宋体" w:hAnsi="Times New Roman"/>
                <w:color w:val="000000"/>
                <w:sz w:val="20"/>
                <w:szCs w:val="20"/>
              </w:rPr>
              <w:t>Services (a)</w:t>
            </w:r>
          </w:p>
        </w:tc>
        <w:tc>
          <w:tcPr>
            <w:tcW w:w="0" w:type="auto"/>
            <w:gridSpan w:val="2"/>
            <w:shd w:val="clear" w:color="auto" w:fill="CCEEFF"/>
            <w:tcMar>
              <w:top w:w="40" w:type="dxa"/>
              <w:left w:w="20" w:type="dxa"/>
              <w:bottom w:w="40" w:type="dxa"/>
              <w:right w:w="0" w:type="dxa"/>
            </w:tcMar>
            <w:vAlign w:val="bottom"/>
          </w:tcPr>
          <w:p w14:paraId="33DAECDD" w14:textId="77777777" w:rsidR="004D6A64" w:rsidRDefault="00506CD6">
            <w:pPr>
              <w:jc w:val="right"/>
              <w:textAlignment w:val="bottom"/>
            </w:pPr>
            <w:r>
              <w:rPr>
                <w:rFonts w:ascii="Times New Roman" w:eastAsia="宋体" w:hAnsi="Times New Roman"/>
                <w:color w:val="000000"/>
                <w:sz w:val="20"/>
                <w:szCs w:val="20"/>
              </w:rPr>
              <w:t>6,036 </w:t>
            </w:r>
          </w:p>
        </w:tc>
        <w:tc>
          <w:tcPr>
            <w:tcW w:w="0" w:type="auto"/>
            <w:shd w:val="clear" w:color="auto" w:fill="CCEEFF"/>
            <w:tcMar>
              <w:top w:w="40" w:type="dxa"/>
              <w:bottom w:w="40" w:type="dxa"/>
              <w:right w:w="20" w:type="dxa"/>
            </w:tcMar>
            <w:vAlign w:val="bottom"/>
          </w:tcPr>
          <w:p w14:paraId="33DAECD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CD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CE0" w14:textId="77777777" w:rsidR="004D6A64" w:rsidRDefault="00506CD6">
            <w:pPr>
              <w:jc w:val="right"/>
              <w:textAlignment w:val="bottom"/>
            </w:pPr>
            <w:r>
              <w:rPr>
                <w:rFonts w:ascii="Times New Roman" w:eastAsia="宋体" w:hAnsi="Times New Roman"/>
                <w:color w:val="000000"/>
                <w:sz w:val="20"/>
                <w:szCs w:val="20"/>
              </w:rPr>
              <w:t>26.5 </w:t>
            </w:r>
          </w:p>
        </w:tc>
        <w:tc>
          <w:tcPr>
            <w:tcW w:w="0" w:type="auto"/>
            <w:shd w:val="clear" w:color="auto" w:fill="CCEEFF"/>
            <w:tcMar>
              <w:top w:w="40" w:type="dxa"/>
              <w:bottom w:w="40" w:type="dxa"/>
              <w:right w:w="20" w:type="dxa"/>
            </w:tcMar>
            <w:vAlign w:val="bottom"/>
          </w:tcPr>
          <w:p w14:paraId="33DAECE1"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CE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CE3" w14:textId="77777777" w:rsidR="004D6A64" w:rsidRDefault="00506CD6">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bottom w:w="40" w:type="dxa"/>
              <w:right w:w="20" w:type="dxa"/>
            </w:tcMar>
            <w:vAlign w:val="bottom"/>
          </w:tcPr>
          <w:p w14:paraId="33DAECE4"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CE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CE6" w14:textId="77777777" w:rsidR="004D6A64" w:rsidRDefault="00506CD6">
            <w:pPr>
              <w:jc w:val="right"/>
              <w:textAlignment w:val="bottom"/>
            </w:pPr>
            <w:r>
              <w:rPr>
                <w:rFonts w:ascii="Times New Roman" w:eastAsia="宋体" w:hAnsi="Times New Roman"/>
                <w:color w:val="000000"/>
                <w:sz w:val="20"/>
                <w:szCs w:val="20"/>
              </w:rPr>
              <w:t>5,533 </w:t>
            </w:r>
          </w:p>
        </w:tc>
        <w:tc>
          <w:tcPr>
            <w:tcW w:w="0" w:type="auto"/>
            <w:shd w:val="clear" w:color="auto" w:fill="CCEEFF"/>
            <w:tcMar>
              <w:top w:w="40" w:type="dxa"/>
              <w:bottom w:w="40" w:type="dxa"/>
              <w:right w:w="20" w:type="dxa"/>
            </w:tcMar>
            <w:vAlign w:val="bottom"/>
          </w:tcPr>
          <w:p w14:paraId="33DAECE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CE8"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CE9" w14:textId="77777777" w:rsidR="004D6A64" w:rsidRDefault="00506CD6">
            <w:pPr>
              <w:jc w:val="right"/>
              <w:textAlignment w:val="bottom"/>
            </w:pPr>
            <w:r>
              <w:rPr>
                <w:rFonts w:ascii="Times New Roman" w:eastAsia="宋体" w:hAnsi="Times New Roman"/>
                <w:color w:val="000000"/>
                <w:sz w:val="20"/>
                <w:szCs w:val="20"/>
              </w:rPr>
              <w:t>23.6 </w:t>
            </w:r>
          </w:p>
        </w:tc>
        <w:tc>
          <w:tcPr>
            <w:tcW w:w="0" w:type="auto"/>
            <w:shd w:val="clear" w:color="auto" w:fill="CCEEFF"/>
            <w:tcMar>
              <w:top w:w="40" w:type="dxa"/>
              <w:bottom w:w="40" w:type="dxa"/>
              <w:right w:w="20" w:type="dxa"/>
            </w:tcMar>
            <w:vAlign w:val="bottom"/>
          </w:tcPr>
          <w:p w14:paraId="33DAECEA"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CEB"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CEC" w14:textId="77777777" w:rsidR="004D6A64" w:rsidRDefault="00506CD6">
            <w:pPr>
              <w:jc w:val="right"/>
              <w:textAlignment w:val="bottom"/>
            </w:pPr>
            <w:r>
              <w:rPr>
                <w:rFonts w:ascii="Times New Roman" w:eastAsia="宋体" w:hAnsi="Times New Roman"/>
                <w:color w:val="000000"/>
                <w:sz w:val="20"/>
                <w:szCs w:val="20"/>
              </w:rPr>
              <w:t>11,939 </w:t>
            </w:r>
          </w:p>
        </w:tc>
        <w:tc>
          <w:tcPr>
            <w:tcW w:w="0" w:type="auto"/>
            <w:shd w:val="clear" w:color="auto" w:fill="CCEEFF"/>
            <w:tcMar>
              <w:top w:w="40" w:type="dxa"/>
              <w:bottom w:w="40" w:type="dxa"/>
              <w:right w:w="20" w:type="dxa"/>
            </w:tcMar>
            <w:vAlign w:val="bottom"/>
          </w:tcPr>
          <w:p w14:paraId="33DAECE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CE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CEF" w14:textId="77777777" w:rsidR="004D6A64" w:rsidRDefault="00506CD6">
            <w:pPr>
              <w:jc w:val="right"/>
              <w:textAlignment w:val="bottom"/>
            </w:pPr>
            <w:r>
              <w:rPr>
                <w:rFonts w:ascii="Times New Roman" w:eastAsia="宋体" w:hAnsi="Times New Roman"/>
                <w:color w:val="000000"/>
                <w:sz w:val="20"/>
                <w:szCs w:val="20"/>
              </w:rPr>
              <w:t>26.7 </w:t>
            </w:r>
          </w:p>
        </w:tc>
        <w:tc>
          <w:tcPr>
            <w:tcW w:w="0" w:type="auto"/>
            <w:shd w:val="clear" w:color="auto" w:fill="CCEEFF"/>
            <w:tcMar>
              <w:top w:w="40" w:type="dxa"/>
              <w:bottom w:w="40" w:type="dxa"/>
              <w:right w:w="20" w:type="dxa"/>
            </w:tcMar>
            <w:vAlign w:val="bottom"/>
          </w:tcPr>
          <w:p w14:paraId="33DAECF0"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CF1"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CF2" w14:textId="77777777" w:rsidR="004D6A64" w:rsidRDefault="00506CD6">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bottom w:w="40" w:type="dxa"/>
              <w:right w:w="20" w:type="dxa"/>
            </w:tcMar>
            <w:vAlign w:val="bottom"/>
          </w:tcPr>
          <w:p w14:paraId="33DAECF3"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CF4"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CF5" w14:textId="77777777" w:rsidR="004D6A64" w:rsidRDefault="00506CD6">
            <w:pPr>
              <w:jc w:val="right"/>
              <w:textAlignment w:val="bottom"/>
            </w:pPr>
            <w:r>
              <w:rPr>
                <w:rFonts w:ascii="Times New Roman" w:eastAsia="宋体" w:hAnsi="Times New Roman"/>
                <w:color w:val="000000"/>
                <w:sz w:val="20"/>
                <w:szCs w:val="20"/>
              </w:rPr>
              <w:t>10,944 </w:t>
            </w:r>
          </w:p>
        </w:tc>
        <w:tc>
          <w:tcPr>
            <w:tcW w:w="0" w:type="auto"/>
            <w:shd w:val="clear" w:color="auto" w:fill="CCEEFF"/>
            <w:tcMar>
              <w:top w:w="40" w:type="dxa"/>
              <w:bottom w:w="40" w:type="dxa"/>
              <w:right w:w="20" w:type="dxa"/>
            </w:tcMar>
            <w:vAlign w:val="bottom"/>
          </w:tcPr>
          <w:p w14:paraId="33DAECF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CF7"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CF8" w14:textId="77777777" w:rsidR="004D6A64" w:rsidRDefault="00506CD6">
            <w:pPr>
              <w:jc w:val="right"/>
              <w:textAlignment w:val="bottom"/>
            </w:pPr>
            <w:r>
              <w:rPr>
                <w:rFonts w:ascii="Times New Roman" w:eastAsia="宋体" w:hAnsi="Times New Roman"/>
                <w:color w:val="000000"/>
                <w:sz w:val="20"/>
                <w:szCs w:val="20"/>
              </w:rPr>
              <w:t>24.1 </w:t>
            </w:r>
          </w:p>
        </w:tc>
        <w:tc>
          <w:tcPr>
            <w:tcW w:w="0" w:type="auto"/>
            <w:shd w:val="clear" w:color="auto" w:fill="CCEEFF"/>
            <w:tcMar>
              <w:top w:w="40" w:type="dxa"/>
              <w:bottom w:w="40" w:type="dxa"/>
              <w:right w:w="20" w:type="dxa"/>
            </w:tcMar>
            <w:vAlign w:val="bottom"/>
          </w:tcPr>
          <w:p w14:paraId="33DAECF9" w14:textId="77777777" w:rsidR="004D6A64" w:rsidRDefault="00506CD6">
            <w:pPr>
              <w:jc w:val="right"/>
              <w:textAlignment w:val="bottom"/>
            </w:pPr>
            <w:r>
              <w:rPr>
                <w:rFonts w:ascii="Times New Roman" w:eastAsia="宋体" w:hAnsi="Times New Roman"/>
                <w:color w:val="000000"/>
                <w:sz w:val="20"/>
                <w:szCs w:val="20"/>
              </w:rPr>
              <w:t>%</w:t>
            </w:r>
          </w:p>
        </w:tc>
        <w:tc>
          <w:tcPr>
            <w:tcW w:w="0" w:type="auto"/>
            <w:shd w:val="clear" w:color="auto" w:fill="auto"/>
          </w:tcPr>
          <w:p w14:paraId="33DAECFA" w14:textId="77777777" w:rsidR="004D6A64" w:rsidRDefault="004D6A64">
            <w:pPr>
              <w:rPr>
                <w:rFonts w:ascii="宋体"/>
              </w:rPr>
            </w:pPr>
          </w:p>
        </w:tc>
        <w:tc>
          <w:tcPr>
            <w:tcW w:w="0" w:type="auto"/>
            <w:shd w:val="clear" w:color="auto" w:fill="auto"/>
          </w:tcPr>
          <w:p w14:paraId="33DAECFB" w14:textId="77777777" w:rsidR="004D6A64" w:rsidRDefault="004D6A64">
            <w:pPr>
              <w:rPr>
                <w:rFonts w:ascii="宋体"/>
              </w:rPr>
            </w:pPr>
          </w:p>
        </w:tc>
        <w:tc>
          <w:tcPr>
            <w:tcW w:w="0" w:type="auto"/>
            <w:shd w:val="clear" w:color="auto" w:fill="auto"/>
          </w:tcPr>
          <w:p w14:paraId="33DAECFC" w14:textId="77777777" w:rsidR="004D6A64" w:rsidRDefault="004D6A64">
            <w:pPr>
              <w:rPr>
                <w:rFonts w:ascii="宋体"/>
              </w:rPr>
            </w:pPr>
          </w:p>
        </w:tc>
      </w:tr>
      <w:tr w:rsidR="00506CD6" w14:paraId="33DAED23" w14:textId="77777777">
        <w:tc>
          <w:tcPr>
            <w:tcW w:w="0" w:type="auto"/>
            <w:gridSpan w:val="3"/>
            <w:shd w:val="clear" w:color="auto" w:fill="FFFFFF"/>
            <w:tcMar>
              <w:top w:w="40" w:type="dxa"/>
              <w:left w:w="135" w:type="dxa"/>
              <w:bottom w:w="40" w:type="dxa"/>
              <w:right w:w="20" w:type="dxa"/>
            </w:tcMar>
            <w:vAlign w:val="bottom"/>
          </w:tcPr>
          <w:p w14:paraId="33DAECFE" w14:textId="77777777" w:rsidR="004D6A64" w:rsidRDefault="00506CD6">
            <w:pPr>
              <w:textAlignment w:val="bottom"/>
            </w:pPr>
            <w:r>
              <w:rPr>
                <w:rFonts w:ascii="Times New Roman" w:eastAsia="宋体" w:hAnsi="Times New Roman"/>
                <w:color w:val="000000"/>
                <w:sz w:val="20"/>
                <w:szCs w:val="20"/>
              </w:rPr>
              <w:t>Total non-GAAP net revenue</w:t>
            </w:r>
          </w:p>
        </w:tc>
        <w:tc>
          <w:tcPr>
            <w:tcW w:w="0" w:type="auto"/>
            <w:tcBorders>
              <w:top w:val="single" w:sz="8" w:space="0" w:color="000000"/>
            </w:tcBorders>
            <w:shd w:val="clear" w:color="auto" w:fill="FFFFFF"/>
            <w:tcMar>
              <w:top w:w="40" w:type="dxa"/>
              <w:left w:w="20" w:type="dxa"/>
              <w:bottom w:w="40" w:type="dxa"/>
            </w:tcMar>
            <w:vAlign w:val="bottom"/>
          </w:tcPr>
          <w:p w14:paraId="33DAECFF"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ED00" w14:textId="77777777" w:rsidR="004D6A64" w:rsidRDefault="00506CD6">
            <w:pPr>
              <w:jc w:val="right"/>
              <w:textAlignment w:val="bottom"/>
            </w:pPr>
            <w:r>
              <w:rPr>
                <w:rFonts w:ascii="Times New Roman" w:eastAsia="宋体" w:hAnsi="Times New Roman"/>
                <w:color w:val="000000"/>
                <w:sz w:val="20"/>
                <w:szCs w:val="20"/>
              </w:rPr>
              <w:t>22,775 </w:t>
            </w:r>
          </w:p>
        </w:tc>
        <w:tc>
          <w:tcPr>
            <w:tcW w:w="0" w:type="auto"/>
            <w:tcBorders>
              <w:top w:val="single" w:sz="8" w:space="0" w:color="000000"/>
            </w:tcBorders>
            <w:shd w:val="clear" w:color="auto" w:fill="FFFFFF"/>
            <w:tcMar>
              <w:top w:w="40" w:type="dxa"/>
              <w:bottom w:w="40" w:type="dxa"/>
              <w:right w:w="20" w:type="dxa"/>
            </w:tcMar>
            <w:vAlign w:val="bottom"/>
          </w:tcPr>
          <w:p w14:paraId="33DAED0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D02"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3DAED03" w14:textId="77777777" w:rsidR="004D6A64" w:rsidRDefault="00506CD6">
            <w:pPr>
              <w:jc w:val="right"/>
              <w:textAlignment w:val="bottom"/>
            </w:pPr>
            <w:r>
              <w:rPr>
                <w:rFonts w:ascii="Times New Roman" w:eastAsia="宋体" w:hAnsi="Times New Roman"/>
                <w:color w:val="000000"/>
                <w:sz w:val="20"/>
                <w:szCs w:val="20"/>
              </w:rPr>
              <w:t>100.0 </w:t>
            </w:r>
          </w:p>
        </w:tc>
        <w:tc>
          <w:tcPr>
            <w:tcW w:w="0" w:type="auto"/>
            <w:tcBorders>
              <w:top w:val="single" w:sz="8" w:space="0" w:color="000000"/>
            </w:tcBorders>
            <w:shd w:val="clear" w:color="auto" w:fill="FFFFFF"/>
            <w:tcMar>
              <w:top w:w="40" w:type="dxa"/>
              <w:bottom w:w="40" w:type="dxa"/>
              <w:right w:w="20" w:type="dxa"/>
            </w:tcMar>
            <w:vAlign w:val="bottom"/>
          </w:tcPr>
          <w:p w14:paraId="33DAED04"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D05"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D06" w14:textId="77777777" w:rsidR="004D6A64" w:rsidRDefault="00506CD6">
            <w:pPr>
              <w:jc w:val="right"/>
              <w:textAlignment w:val="bottom"/>
            </w:pPr>
            <w:r>
              <w:rPr>
                <w:rFonts w:ascii="Times New Roman" w:eastAsia="宋体" w:hAnsi="Times New Roman"/>
                <w:color w:val="000000"/>
                <w:sz w:val="20"/>
                <w:szCs w:val="20"/>
              </w:rPr>
              <w:t>(3)</w:t>
            </w:r>
          </w:p>
        </w:tc>
        <w:tc>
          <w:tcPr>
            <w:tcW w:w="0" w:type="auto"/>
            <w:shd w:val="clear" w:color="auto" w:fill="FFFFFF"/>
            <w:tcMar>
              <w:top w:w="40" w:type="dxa"/>
              <w:bottom w:w="40" w:type="dxa"/>
              <w:right w:w="20" w:type="dxa"/>
            </w:tcMar>
            <w:vAlign w:val="bottom"/>
          </w:tcPr>
          <w:p w14:paraId="33DAED07"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D08"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3DAED09"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ED0A" w14:textId="77777777" w:rsidR="004D6A64" w:rsidRDefault="00506CD6">
            <w:pPr>
              <w:jc w:val="right"/>
              <w:textAlignment w:val="bottom"/>
            </w:pPr>
            <w:r>
              <w:rPr>
                <w:rFonts w:ascii="Times New Roman" w:eastAsia="宋体" w:hAnsi="Times New Roman"/>
                <w:color w:val="000000"/>
                <w:sz w:val="20"/>
                <w:szCs w:val="20"/>
              </w:rPr>
              <w:t>23,454 </w:t>
            </w:r>
          </w:p>
        </w:tc>
        <w:tc>
          <w:tcPr>
            <w:tcW w:w="0" w:type="auto"/>
            <w:tcBorders>
              <w:top w:val="single" w:sz="8" w:space="0" w:color="000000"/>
            </w:tcBorders>
            <w:shd w:val="clear" w:color="auto" w:fill="FFFFFF"/>
            <w:tcMar>
              <w:top w:w="40" w:type="dxa"/>
              <w:bottom w:w="40" w:type="dxa"/>
              <w:right w:w="20" w:type="dxa"/>
            </w:tcMar>
            <w:vAlign w:val="bottom"/>
          </w:tcPr>
          <w:p w14:paraId="33DAED0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D0C"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3DAED0D" w14:textId="77777777" w:rsidR="004D6A64" w:rsidRDefault="00506CD6">
            <w:pPr>
              <w:jc w:val="right"/>
              <w:textAlignment w:val="bottom"/>
            </w:pPr>
            <w:r>
              <w:rPr>
                <w:rFonts w:ascii="Times New Roman" w:eastAsia="宋体" w:hAnsi="Times New Roman"/>
                <w:color w:val="000000"/>
                <w:sz w:val="20"/>
                <w:szCs w:val="20"/>
              </w:rPr>
              <w:t>100.0 </w:t>
            </w:r>
          </w:p>
        </w:tc>
        <w:tc>
          <w:tcPr>
            <w:tcW w:w="0" w:type="auto"/>
            <w:tcBorders>
              <w:top w:val="single" w:sz="8" w:space="0" w:color="000000"/>
            </w:tcBorders>
            <w:shd w:val="clear" w:color="auto" w:fill="FFFFFF"/>
            <w:tcMar>
              <w:top w:w="40" w:type="dxa"/>
              <w:bottom w:w="40" w:type="dxa"/>
              <w:right w:w="20" w:type="dxa"/>
            </w:tcMar>
            <w:vAlign w:val="bottom"/>
          </w:tcPr>
          <w:p w14:paraId="33DAED0E"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D0F"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3DAED10"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ED11" w14:textId="77777777" w:rsidR="004D6A64" w:rsidRDefault="00506CD6">
            <w:pPr>
              <w:jc w:val="right"/>
              <w:textAlignment w:val="bottom"/>
            </w:pPr>
            <w:r>
              <w:rPr>
                <w:rFonts w:ascii="Times New Roman" w:eastAsia="宋体" w:hAnsi="Times New Roman"/>
                <w:color w:val="000000"/>
                <w:sz w:val="20"/>
                <w:szCs w:val="20"/>
              </w:rPr>
              <w:t>44,720 </w:t>
            </w:r>
          </w:p>
        </w:tc>
        <w:tc>
          <w:tcPr>
            <w:tcW w:w="0" w:type="auto"/>
            <w:tcBorders>
              <w:top w:val="single" w:sz="8" w:space="0" w:color="000000"/>
            </w:tcBorders>
            <w:shd w:val="clear" w:color="auto" w:fill="FFFFFF"/>
            <w:tcMar>
              <w:top w:w="40" w:type="dxa"/>
              <w:bottom w:w="40" w:type="dxa"/>
              <w:right w:w="20" w:type="dxa"/>
            </w:tcMar>
            <w:vAlign w:val="bottom"/>
          </w:tcPr>
          <w:p w14:paraId="33DAED1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D13"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3DAED14" w14:textId="77777777" w:rsidR="004D6A64" w:rsidRDefault="00506CD6">
            <w:pPr>
              <w:jc w:val="right"/>
              <w:textAlignment w:val="bottom"/>
            </w:pPr>
            <w:r>
              <w:rPr>
                <w:rFonts w:ascii="Times New Roman" w:eastAsia="宋体" w:hAnsi="Times New Roman"/>
                <w:color w:val="000000"/>
                <w:sz w:val="20"/>
                <w:szCs w:val="20"/>
              </w:rPr>
              <w:t>100.0 </w:t>
            </w:r>
          </w:p>
        </w:tc>
        <w:tc>
          <w:tcPr>
            <w:tcW w:w="0" w:type="auto"/>
            <w:tcBorders>
              <w:top w:val="single" w:sz="8" w:space="0" w:color="000000"/>
            </w:tcBorders>
            <w:shd w:val="clear" w:color="auto" w:fill="FFFFFF"/>
            <w:tcMar>
              <w:top w:w="40" w:type="dxa"/>
              <w:bottom w:w="40" w:type="dxa"/>
              <w:right w:w="20" w:type="dxa"/>
            </w:tcMar>
            <w:vAlign w:val="bottom"/>
          </w:tcPr>
          <w:p w14:paraId="33DAED15"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D1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D17" w14:textId="77777777" w:rsidR="004D6A64" w:rsidRDefault="00506CD6">
            <w:pPr>
              <w:jc w:val="right"/>
              <w:textAlignment w:val="bottom"/>
            </w:pPr>
            <w:r>
              <w:rPr>
                <w:rFonts w:ascii="Times New Roman" w:eastAsia="宋体" w:hAnsi="Times New Roman"/>
                <w:color w:val="000000"/>
                <w:sz w:val="20"/>
                <w:szCs w:val="20"/>
              </w:rPr>
              <w:t>(2)</w:t>
            </w:r>
          </w:p>
        </w:tc>
        <w:tc>
          <w:tcPr>
            <w:tcW w:w="0" w:type="auto"/>
            <w:shd w:val="clear" w:color="auto" w:fill="FFFFFF"/>
            <w:tcMar>
              <w:top w:w="40" w:type="dxa"/>
              <w:bottom w:w="40" w:type="dxa"/>
              <w:right w:w="20" w:type="dxa"/>
            </w:tcMar>
            <w:vAlign w:val="bottom"/>
          </w:tcPr>
          <w:p w14:paraId="33DAED18"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D19"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3DAED1A"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ED1B" w14:textId="77777777" w:rsidR="004D6A64" w:rsidRDefault="00506CD6">
            <w:pPr>
              <w:jc w:val="right"/>
              <w:textAlignment w:val="bottom"/>
            </w:pPr>
            <w:r>
              <w:rPr>
                <w:rFonts w:ascii="Times New Roman" w:eastAsia="宋体" w:hAnsi="Times New Roman"/>
                <w:color w:val="000000"/>
                <w:sz w:val="20"/>
                <w:szCs w:val="20"/>
              </w:rPr>
              <w:t>45,444 </w:t>
            </w:r>
          </w:p>
        </w:tc>
        <w:tc>
          <w:tcPr>
            <w:tcW w:w="0" w:type="auto"/>
            <w:tcBorders>
              <w:top w:val="single" w:sz="8" w:space="0" w:color="000000"/>
            </w:tcBorders>
            <w:shd w:val="clear" w:color="auto" w:fill="FFFFFF"/>
            <w:tcMar>
              <w:top w:w="40" w:type="dxa"/>
              <w:bottom w:w="40" w:type="dxa"/>
              <w:right w:w="20" w:type="dxa"/>
            </w:tcMar>
            <w:vAlign w:val="bottom"/>
          </w:tcPr>
          <w:p w14:paraId="33DAED1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D1D"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3DAED1E" w14:textId="77777777" w:rsidR="004D6A64" w:rsidRDefault="00506CD6">
            <w:pPr>
              <w:jc w:val="right"/>
              <w:textAlignment w:val="bottom"/>
            </w:pPr>
            <w:r>
              <w:rPr>
                <w:rFonts w:ascii="Times New Roman" w:eastAsia="宋体" w:hAnsi="Times New Roman"/>
                <w:color w:val="000000"/>
                <w:sz w:val="20"/>
                <w:szCs w:val="20"/>
              </w:rPr>
              <w:t>100.0 </w:t>
            </w:r>
          </w:p>
        </w:tc>
        <w:tc>
          <w:tcPr>
            <w:tcW w:w="0" w:type="auto"/>
            <w:tcBorders>
              <w:top w:val="single" w:sz="8" w:space="0" w:color="000000"/>
            </w:tcBorders>
            <w:shd w:val="clear" w:color="auto" w:fill="FFFFFF"/>
            <w:tcMar>
              <w:top w:w="40" w:type="dxa"/>
              <w:bottom w:w="40" w:type="dxa"/>
              <w:right w:w="20" w:type="dxa"/>
            </w:tcMar>
            <w:vAlign w:val="bottom"/>
          </w:tcPr>
          <w:p w14:paraId="33DAED1F" w14:textId="77777777" w:rsidR="004D6A64" w:rsidRDefault="00506CD6">
            <w:pPr>
              <w:jc w:val="right"/>
              <w:textAlignment w:val="bottom"/>
            </w:pPr>
            <w:r>
              <w:rPr>
                <w:rFonts w:ascii="Times New Roman" w:eastAsia="宋体" w:hAnsi="Times New Roman"/>
                <w:color w:val="000000"/>
                <w:sz w:val="20"/>
                <w:szCs w:val="20"/>
              </w:rPr>
              <w:t>%</w:t>
            </w:r>
          </w:p>
        </w:tc>
        <w:tc>
          <w:tcPr>
            <w:tcW w:w="0" w:type="auto"/>
            <w:shd w:val="clear" w:color="auto" w:fill="auto"/>
          </w:tcPr>
          <w:p w14:paraId="33DAED20" w14:textId="77777777" w:rsidR="004D6A64" w:rsidRDefault="004D6A64">
            <w:pPr>
              <w:rPr>
                <w:rFonts w:ascii="宋体"/>
              </w:rPr>
            </w:pPr>
          </w:p>
        </w:tc>
        <w:tc>
          <w:tcPr>
            <w:tcW w:w="0" w:type="auto"/>
            <w:shd w:val="clear" w:color="auto" w:fill="auto"/>
          </w:tcPr>
          <w:p w14:paraId="33DAED21" w14:textId="77777777" w:rsidR="004D6A64" w:rsidRDefault="004D6A64">
            <w:pPr>
              <w:rPr>
                <w:rFonts w:ascii="宋体"/>
              </w:rPr>
            </w:pPr>
          </w:p>
        </w:tc>
        <w:tc>
          <w:tcPr>
            <w:tcW w:w="0" w:type="auto"/>
            <w:shd w:val="clear" w:color="auto" w:fill="auto"/>
          </w:tcPr>
          <w:p w14:paraId="33DAED22" w14:textId="77777777" w:rsidR="004D6A64" w:rsidRDefault="004D6A64">
            <w:pPr>
              <w:rPr>
                <w:rFonts w:ascii="宋体"/>
              </w:rPr>
            </w:pPr>
          </w:p>
        </w:tc>
      </w:tr>
      <w:tr w:rsidR="004D6A64" w14:paraId="33DAED3B" w14:textId="77777777">
        <w:tc>
          <w:tcPr>
            <w:tcW w:w="0" w:type="auto"/>
            <w:gridSpan w:val="3"/>
            <w:shd w:val="clear" w:color="auto" w:fill="CCEEFF"/>
            <w:tcMar>
              <w:top w:w="40" w:type="dxa"/>
              <w:left w:w="20" w:type="dxa"/>
              <w:bottom w:w="40" w:type="dxa"/>
              <w:right w:w="20" w:type="dxa"/>
            </w:tcMar>
            <w:vAlign w:val="bottom"/>
          </w:tcPr>
          <w:p w14:paraId="33DAED24" w14:textId="77777777" w:rsidR="004D6A64" w:rsidRDefault="00506CD6">
            <w:pPr>
              <w:textAlignment w:val="bottom"/>
            </w:pPr>
            <w:r>
              <w:rPr>
                <w:rFonts w:ascii="Times New Roman" w:eastAsia="宋体" w:hAnsi="Times New Roman"/>
                <w:i/>
                <w:iCs/>
                <w:color w:val="000000"/>
                <w:sz w:val="20"/>
                <w:szCs w:val="20"/>
              </w:rPr>
              <w:t>Non-GAAP gross margin:</w:t>
            </w:r>
          </w:p>
        </w:tc>
        <w:tc>
          <w:tcPr>
            <w:tcW w:w="0" w:type="auto"/>
            <w:gridSpan w:val="3"/>
            <w:shd w:val="clear" w:color="auto" w:fill="CCEEFF"/>
            <w:tcMar>
              <w:left w:w="20" w:type="dxa"/>
              <w:right w:w="20" w:type="dxa"/>
            </w:tcMar>
            <w:vAlign w:val="bottom"/>
          </w:tcPr>
          <w:p w14:paraId="33DAED2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D26"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D27"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D28"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D29"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D2A"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D2B"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D2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D2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D2E"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D2F"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D30"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D31"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D32"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D33"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D34"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D3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D36"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D37" w14:textId="77777777" w:rsidR="004D6A64" w:rsidRDefault="004D6A64">
            <w:pPr>
              <w:rPr>
                <w:rFonts w:ascii="宋体"/>
              </w:rPr>
            </w:pPr>
          </w:p>
        </w:tc>
        <w:tc>
          <w:tcPr>
            <w:tcW w:w="0" w:type="auto"/>
            <w:shd w:val="clear" w:color="auto" w:fill="auto"/>
          </w:tcPr>
          <w:p w14:paraId="33DAED38" w14:textId="77777777" w:rsidR="004D6A64" w:rsidRDefault="004D6A64">
            <w:pPr>
              <w:rPr>
                <w:rFonts w:ascii="宋体"/>
              </w:rPr>
            </w:pPr>
          </w:p>
        </w:tc>
        <w:tc>
          <w:tcPr>
            <w:tcW w:w="0" w:type="auto"/>
            <w:shd w:val="clear" w:color="auto" w:fill="auto"/>
          </w:tcPr>
          <w:p w14:paraId="33DAED39" w14:textId="77777777" w:rsidR="004D6A64" w:rsidRDefault="004D6A64">
            <w:pPr>
              <w:rPr>
                <w:rFonts w:ascii="宋体"/>
              </w:rPr>
            </w:pPr>
          </w:p>
        </w:tc>
        <w:tc>
          <w:tcPr>
            <w:tcW w:w="0" w:type="auto"/>
            <w:shd w:val="clear" w:color="auto" w:fill="auto"/>
          </w:tcPr>
          <w:p w14:paraId="33DAED3A" w14:textId="77777777" w:rsidR="004D6A64" w:rsidRDefault="004D6A64">
            <w:pPr>
              <w:rPr>
                <w:rFonts w:ascii="宋体"/>
              </w:rPr>
            </w:pPr>
          </w:p>
        </w:tc>
      </w:tr>
      <w:tr w:rsidR="00506CD6" w14:paraId="33DAED61" w14:textId="77777777">
        <w:tc>
          <w:tcPr>
            <w:tcW w:w="0" w:type="auto"/>
            <w:gridSpan w:val="3"/>
            <w:shd w:val="clear" w:color="auto" w:fill="FFFFFF"/>
            <w:tcMar>
              <w:top w:w="40" w:type="dxa"/>
              <w:bottom w:w="40" w:type="dxa"/>
              <w:right w:w="20" w:type="dxa"/>
            </w:tcMar>
            <w:vAlign w:val="bottom"/>
          </w:tcPr>
          <w:p w14:paraId="33DAED3C" w14:textId="77777777" w:rsidR="004D6A64" w:rsidRDefault="00506CD6">
            <w:pPr>
              <w:textAlignment w:val="bottom"/>
            </w:pPr>
            <w:r>
              <w:rPr>
                <w:rFonts w:ascii="Times New Roman" w:eastAsia="宋体" w:hAnsi="Times New Roman"/>
                <w:color w:val="000000"/>
                <w:sz w:val="20"/>
                <w:szCs w:val="20"/>
              </w:rPr>
              <w:t>Products (b)</w:t>
            </w:r>
          </w:p>
        </w:tc>
        <w:tc>
          <w:tcPr>
            <w:tcW w:w="0" w:type="auto"/>
            <w:shd w:val="clear" w:color="auto" w:fill="FFFFFF"/>
            <w:tcMar>
              <w:top w:w="40" w:type="dxa"/>
              <w:left w:w="20" w:type="dxa"/>
              <w:bottom w:w="40" w:type="dxa"/>
            </w:tcMar>
            <w:vAlign w:val="bottom"/>
          </w:tcPr>
          <w:p w14:paraId="33DAED3D"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D3E" w14:textId="77777777" w:rsidR="004D6A64" w:rsidRDefault="00506CD6">
            <w:pPr>
              <w:jc w:val="right"/>
              <w:textAlignment w:val="bottom"/>
            </w:pPr>
            <w:r>
              <w:rPr>
                <w:rFonts w:ascii="Times New Roman" w:eastAsia="宋体" w:hAnsi="Times New Roman"/>
                <w:color w:val="000000"/>
                <w:sz w:val="20"/>
                <w:szCs w:val="20"/>
              </w:rPr>
              <w:t>3,791 </w:t>
            </w:r>
          </w:p>
        </w:tc>
        <w:tc>
          <w:tcPr>
            <w:tcW w:w="0" w:type="auto"/>
            <w:shd w:val="clear" w:color="auto" w:fill="FFFFFF"/>
            <w:tcMar>
              <w:top w:w="40" w:type="dxa"/>
              <w:bottom w:w="40" w:type="dxa"/>
              <w:right w:w="20" w:type="dxa"/>
            </w:tcMar>
            <w:vAlign w:val="bottom"/>
          </w:tcPr>
          <w:p w14:paraId="33DAED3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D4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D41" w14:textId="77777777" w:rsidR="004D6A64" w:rsidRDefault="00506CD6">
            <w:pPr>
              <w:jc w:val="right"/>
              <w:textAlignment w:val="bottom"/>
            </w:pPr>
            <w:r>
              <w:rPr>
                <w:rFonts w:ascii="Times New Roman" w:eastAsia="宋体" w:hAnsi="Times New Roman"/>
                <w:color w:val="000000"/>
                <w:sz w:val="20"/>
                <w:szCs w:val="20"/>
              </w:rPr>
              <w:t>22.6 </w:t>
            </w:r>
          </w:p>
        </w:tc>
        <w:tc>
          <w:tcPr>
            <w:tcW w:w="0" w:type="auto"/>
            <w:shd w:val="clear" w:color="auto" w:fill="FFFFFF"/>
            <w:tcMar>
              <w:top w:w="40" w:type="dxa"/>
              <w:bottom w:w="40" w:type="dxa"/>
              <w:right w:w="20" w:type="dxa"/>
            </w:tcMar>
            <w:vAlign w:val="bottom"/>
          </w:tcPr>
          <w:p w14:paraId="33DAED42"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D4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D44" w14:textId="77777777" w:rsidR="004D6A64" w:rsidRDefault="00506CD6">
            <w:pPr>
              <w:jc w:val="right"/>
              <w:textAlignment w:val="bottom"/>
            </w:pPr>
            <w:r>
              <w:rPr>
                <w:rFonts w:ascii="Times New Roman" w:eastAsia="宋体" w:hAnsi="Times New Roman"/>
                <w:color w:val="000000"/>
                <w:sz w:val="20"/>
                <w:szCs w:val="20"/>
              </w:rPr>
              <w:t>(17)</w:t>
            </w:r>
          </w:p>
        </w:tc>
        <w:tc>
          <w:tcPr>
            <w:tcW w:w="0" w:type="auto"/>
            <w:shd w:val="clear" w:color="auto" w:fill="FFFFFF"/>
            <w:tcMar>
              <w:top w:w="40" w:type="dxa"/>
              <w:bottom w:w="40" w:type="dxa"/>
              <w:right w:w="20" w:type="dxa"/>
            </w:tcMar>
            <w:vAlign w:val="bottom"/>
          </w:tcPr>
          <w:p w14:paraId="33DAED45"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D46"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ED47"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D48" w14:textId="77777777" w:rsidR="004D6A64" w:rsidRDefault="00506CD6">
            <w:pPr>
              <w:jc w:val="right"/>
              <w:textAlignment w:val="bottom"/>
            </w:pPr>
            <w:r>
              <w:rPr>
                <w:rFonts w:ascii="Times New Roman" w:eastAsia="宋体" w:hAnsi="Times New Roman"/>
                <w:color w:val="000000"/>
                <w:sz w:val="20"/>
                <w:szCs w:val="20"/>
              </w:rPr>
              <w:t>4,558 </w:t>
            </w:r>
          </w:p>
        </w:tc>
        <w:tc>
          <w:tcPr>
            <w:tcW w:w="0" w:type="auto"/>
            <w:shd w:val="clear" w:color="auto" w:fill="FFFFFF"/>
            <w:tcMar>
              <w:top w:w="40" w:type="dxa"/>
              <w:bottom w:w="40" w:type="dxa"/>
              <w:right w:w="20" w:type="dxa"/>
            </w:tcMar>
            <w:vAlign w:val="bottom"/>
          </w:tcPr>
          <w:p w14:paraId="33DAED4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D4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D4B" w14:textId="77777777" w:rsidR="004D6A64" w:rsidRDefault="00506CD6">
            <w:pPr>
              <w:jc w:val="right"/>
              <w:textAlignment w:val="bottom"/>
            </w:pPr>
            <w:r>
              <w:rPr>
                <w:rFonts w:ascii="Times New Roman" w:eastAsia="宋体" w:hAnsi="Times New Roman"/>
                <w:color w:val="000000"/>
                <w:sz w:val="20"/>
                <w:szCs w:val="20"/>
              </w:rPr>
              <w:t>25.4 </w:t>
            </w:r>
          </w:p>
        </w:tc>
        <w:tc>
          <w:tcPr>
            <w:tcW w:w="0" w:type="auto"/>
            <w:shd w:val="clear" w:color="auto" w:fill="FFFFFF"/>
            <w:tcMar>
              <w:top w:w="40" w:type="dxa"/>
              <w:bottom w:w="40" w:type="dxa"/>
              <w:right w:w="20" w:type="dxa"/>
            </w:tcMar>
            <w:vAlign w:val="bottom"/>
          </w:tcPr>
          <w:p w14:paraId="33DAED4C"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D4D"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ED4E"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D4F" w14:textId="77777777" w:rsidR="004D6A64" w:rsidRDefault="00506CD6">
            <w:pPr>
              <w:jc w:val="right"/>
              <w:textAlignment w:val="bottom"/>
            </w:pPr>
            <w:r>
              <w:rPr>
                <w:rFonts w:ascii="Times New Roman" w:eastAsia="宋体" w:hAnsi="Times New Roman"/>
                <w:color w:val="000000"/>
                <w:sz w:val="20"/>
                <w:szCs w:val="20"/>
              </w:rPr>
              <w:t>7,410 </w:t>
            </w:r>
          </w:p>
        </w:tc>
        <w:tc>
          <w:tcPr>
            <w:tcW w:w="0" w:type="auto"/>
            <w:shd w:val="clear" w:color="auto" w:fill="FFFFFF"/>
            <w:tcMar>
              <w:top w:w="40" w:type="dxa"/>
              <w:bottom w:w="40" w:type="dxa"/>
              <w:right w:w="20" w:type="dxa"/>
            </w:tcMar>
            <w:vAlign w:val="bottom"/>
          </w:tcPr>
          <w:p w14:paraId="33DAED5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D5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D52" w14:textId="77777777" w:rsidR="004D6A64" w:rsidRDefault="00506CD6">
            <w:pPr>
              <w:jc w:val="right"/>
              <w:textAlignment w:val="bottom"/>
            </w:pPr>
            <w:r>
              <w:rPr>
                <w:rFonts w:ascii="Times New Roman" w:eastAsia="宋体" w:hAnsi="Times New Roman"/>
                <w:color w:val="000000"/>
                <w:sz w:val="20"/>
                <w:szCs w:val="20"/>
              </w:rPr>
              <w:t>22.6 </w:t>
            </w:r>
          </w:p>
        </w:tc>
        <w:tc>
          <w:tcPr>
            <w:tcW w:w="0" w:type="auto"/>
            <w:shd w:val="clear" w:color="auto" w:fill="FFFFFF"/>
            <w:tcMar>
              <w:top w:w="40" w:type="dxa"/>
              <w:bottom w:w="40" w:type="dxa"/>
              <w:right w:w="20" w:type="dxa"/>
            </w:tcMar>
            <w:vAlign w:val="bottom"/>
          </w:tcPr>
          <w:p w14:paraId="33DAED53"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D54"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D55" w14:textId="77777777" w:rsidR="004D6A64" w:rsidRDefault="00506CD6">
            <w:pPr>
              <w:jc w:val="right"/>
              <w:textAlignment w:val="bottom"/>
            </w:pPr>
            <w:r>
              <w:rPr>
                <w:rFonts w:ascii="Times New Roman" w:eastAsia="宋体" w:hAnsi="Times New Roman"/>
                <w:color w:val="000000"/>
                <w:sz w:val="20"/>
                <w:szCs w:val="20"/>
              </w:rPr>
              <w:t>(14)</w:t>
            </w:r>
          </w:p>
        </w:tc>
        <w:tc>
          <w:tcPr>
            <w:tcW w:w="0" w:type="auto"/>
            <w:shd w:val="clear" w:color="auto" w:fill="FFFFFF"/>
            <w:tcMar>
              <w:top w:w="40" w:type="dxa"/>
              <w:bottom w:w="40" w:type="dxa"/>
              <w:right w:w="20" w:type="dxa"/>
            </w:tcMar>
            <w:vAlign w:val="bottom"/>
          </w:tcPr>
          <w:p w14:paraId="33DAED56"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D57"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ED58"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D59" w14:textId="77777777" w:rsidR="004D6A64" w:rsidRDefault="00506CD6">
            <w:pPr>
              <w:jc w:val="right"/>
              <w:textAlignment w:val="bottom"/>
            </w:pPr>
            <w:r>
              <w:rPr>
                <w:rFonts w:ascii="Times New Roman" w:eastAsia="宋体" w:hAnsi="Times New Roman"/>
                <w:color w:val="000000"/>
                <w:sz w:val="20"/>
                <w:szCs w:val="20"/>
              </w:rPr>
              <w:t>8,583 </w:t>
            </w:r>
          </w:p>
        </w:tc>
        <w:tc>
          <w:tcPr>
            <w:tcW w:w="0" w:type="auto"/>
            <w:shd w:val="clear" w:color="auto" w:fill="FFFFFF"/>
            <w:tcMar>
              <w:top w:w="40" w:type="dxa"/>
              <w:bottom w:w="40" w:type="dxa"/>
              <w:right w:w="20" w:type="dxa"/>
            </w:tcMar>
            <w:vAlign w:val="bottom"/>
          </w:tcPr>
          <w:p w14:paraId="33DAED5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D5B"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D5C" w14:textId="77777777" w:rsidR="004D6A64" w:rsidRDefault="00506CD6">
            <w:pPr>
              <w:jc w:val="right"/>
              <w:textAlignment w:val="bottom"/>
            </w:pPr>
            <w:r>
              <w:rPr>
                <w:rFonts w:ascii="Times New Roman" w:eastAsia="宋体" w:hAnsi="Times New Roman"/>
                <w:color w:val="000000"/>
                <w:sz w:val="20"/>
                <w:szCs w:val="20"/>
              </w:rPr>
              <w:t>24.9 </w:t>
            </w:r>
          </w:p>
        </w:tc>
        <w:tc>
          <w:tcPr>
            <w:tcW w:w="0" w:type="auto"/>
            <w:shd w:val="clear" w:color="auto" w:fill="FFFFFF"/>
            <w:tcMar>
              <w:top w:w="40" w:type="dxa"/>
              <w:bottom w:w="40" w:type="dxa"/>
              <w:right w:w="20" w:type="dxa"/>
            </w:tcMar>
            <w:vAlign w:val="bottom"/>
          </w:tcPr>
          <w:p w14:paraId="33DAED5D" w14:textId="77777777" w:rsidR="004D6A64" w:rsidRDefault="00506CD6">
            <w:pPr>
              <w:jc w:val="right"/>
              <w:textAlignment w:val="bottom"/>
            </w:pPr>
            <w:r>
              <w:rPr>
                <w:rFonts w:ascii="Times New Roman" w:eastAsia="宋体" w:hAnsi="Times New Roman"/>
                <w:color w:val="000000"/>
                <w:sz w:val="20"/>
                <w:szCs w:val="20"/>
              </w:rPr>
              <w:t>%</w:t>
            </w:r>
          </w:p>
        </w:tc>
        <w:tc>
          <w:tcPr>
            <w:tcW w:w="0" w:type="auto"/>
            <w:shd w:val="clear" w:color="auto" w:fill="auto"/>
          </w:tcPr>
          <w:p w14:paraId="33DAED5E" w14:textId="77777777" w:rsidR="004D6A64" w:rsidRDefault="004D6A64">
            <w:pPr>
              <w:rPr>
                <w:rFonts w:ascii="宋体"/>
              </w:rPr>
            </w:pPr>
          </w:p>
        </w:tc>
        <w:tc>
          <w:tcPr>
            <w:tcW w:w="0" w:type="auto"/>
            <w:shd w:val="clear" w:color="auto" w:fill="auto"/>
          </w:tcPr>
          <w:p w14:paraId="33DAED5F" w14:textId="77777777" w:rsidR="004D6A64" w:rsidRDefault="004D6A64">
            <w:pPr>
              <w:rPr>
                <w:rFonts w:ascii="宋体"/>
              </w:rPr>
            </w:pPr>
          </w:p>
        </w:tc>
        <w:tc>
          <w:tcPr>
            <w:tcW w:w="0" w:type="auto"/>
            <w:shd w:val="clear" w:color="auto" w:fill="auto"/>
          </w:tcPr>
          <w:p w14:paraId="33DAED60" w14:textId="77777777" w:rsidR="004D6A64" w:rsidRDefault="004D6A64">
            <w:pPr>
              <w:rPr>
                <w:rFonts w:ascii="宋体"/>
              </w:rPr>
            </w:pPr>
          </w:p>
        </w:tc>
      </w:tr>
      <w:tr w:rsidR="00506CD6" w14:paraId="33DAED83" w14:textId="77777777">
        <w:tc>
          <w:tcPr>
            <w:tcW w:w="0" w:type="auto"/>
            <w:gridSpan w:val="3"/>
            <w:shd w:val="clear" w:color="auto" w:fill="CCEEFF"/>
            <w:tcMar>
              <w:top w:w="40" w:type="dxa"/>
              <w:bottom w:w="40" w:type="dxa"/>
              <w:right w:w="20" w:type="dxa"/>
            </w:tcMar>
            <w:vAlign w:val="bottom"/>
          </w:tcPr>
          <w:p w14:paraId="33DAED62" w14:textId="77777777" w:rsidR="004D6A64" w:rsidRDefault="00506CD6">
            <w:pPr>
              <w:textAlignment w:val="bottom"/>
            </w:pPr>
            <w:r>
              <w:rPr>
                <w:rFonts w:ascii="Times New Roman" w:eastAsia="宋体" w:hAnsi="Times New Roman"/>
                <w:color w:val="000000"/>
                <w:sz w:val="20"/>
                <w:szCs w:val="20"/>
              </w:rPr>
              <w:t>Services (c)</w:t>
            </w:r>
          </w:p>
        </w:tc>
        <w:tc>
          <w:tcPr>
            <w:tcW w:w="0" w:type="auto"/>
            <w:gridSpan w:val="2"/>
            <w:shd w:val="clear" w:color="auto" w:fill="CCEEFF"/>
            <w:tcMar>
              <w:top w:w="40" w:type="dxa"/>
              <w:left w:w="20" w:type="dxa"/>
              <w:bottom w:w="40" w:type="dxa"/>
              <w:right w:w="0" w:type="dxa"/>
            </w:tcMar>
            <w:vAlign w:val="bottom"/>
          </w:tcPr>
          <w:p w14:paraId="33DAED63" w14:textId="77777777" w:rsidR="004D6A64" w:rsidRDefault="00506CD6">
            <w:pPr>
              <w:jc w:val="right"/>
              <w:textAlignment w:val="bottom"/>
            </w:pPr>
            <w:r>
              <w:rPr>
                <w:rFonts w:ascii="Times New Roman" w:eastAsia="宋体" w:hAnsi="Times New Roman"/>
                <w:color w:val="000000"/>
                <w:sz w:val="20"/>
                <w:szCs w:val="20"/>
              </w:rPr>
              <w:t>3,835 </w:t>
            </w:r>
          </w:p>
        </w:tc>
        <w:tc>
          <w:tcPr>
            <w:tcW w:w="0" w:type="auto"/>
            <w:shd w:val="clear" w:color="auto" w:fill="CCEEFF"/>
            <w:tcMar>
              <w:top w:w="40" w:type="dxa"/>
              <w:bottom w:w="40" w:type="dxa"/>
              <w:right w:w="20" w:type="dxa"/>
            </w:tcMar>
            <w:vAlign w:val="bottom"/>
          </w:tcPr>
          <w:p w14:paraId="33DAED6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D6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D66" w14:textId="77777777" w:rsidR="004D6A64" w:rsidRDefault="00506CD6">
            <w:pPr>
              <w:jc w:val="right"/>
              <w:textAlignment w:val="bottom"/>
            </w:pPr>
            <w:r>
              <w:rPr>
                <w:rFonts w:ascii="Times New Roman" w:eastAsia="宋体" w:hAnsi="Times New Roman"/>
                <w:color w:val="000000"/>
                <w:sz w:val="20"/>
                <w:szCs w:val="20"/>
              </w:rPr>
              <w:t>63.5 </w:t>
            </w:r>
          </w:p>
        </w:tc>
        <w:tc>
          <w:tcPr>
            <w:tcW w:w="0" w:type="auto"/>
            <w:shd w:val="clear" w:color="auto" w:fill="CCEEFF"/>
            <w:tcMar>
              <w:top w:w="40" w:type="dxa"/>
              <w:bottom w:w="40" w:type="dxa"/>
              <w:right w:w="20" w:type="dxa"/>
            </w:tcMar>
            <w:vAlign w:val="bottom"/>
          </w:tcPr>
          <w:p w14:paraId="33DAED67"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D68"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D69" w14:textId="77777777" w:rsidR="004D6A64" w:rsidRDefault="00506CD6">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bottom w:w="40" w:type="dxa"/>
              <w:right w:w="20" w:type="dxa"/>
            </w:tcMar>
            <w:vAlign w:val="bottom"/>
          </w:tcPr>
          <w:p w14:paraId="33DAED6A"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D6B"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D6C" w14:textId="77777777" w:rsidR="004D6A64" w:rsidRDefault="00506CD6">
            <w:pPr>
              <w:jc w:val="right"/>
              <w:textAlignment w:val="bottom"/>
            </w:pPr>
            <w:r>
              <w:rPr>
                <w:rFonts w:ascii="Times New Roman" w:eastAsia="宋体" w:hAnsi="Times New Roman"/>
                <w:color w:val="000000"/>
                <w:sz w:val="20"/>
                <w:szCs w:val="20"/>
              </w:rPr>
              <w:t>3,428 </w:t>
            </w:r>
          </w:p>
        </w:tc>
        <w:tc>
          <w:tcPr>
            <w:tcW w:w="0" w:type="auto"/>
            <w:shd w:val="clear" w:color="auto" w:fill="CCEEFF"/>
            <w:tcMar>
              <w:top w:w="40" w:type="dxa"/>
              <w:bottom w:w="40" w:type="dxa"/>
              <w:right w:w="20" w:type="dxa"/>
            </w:tcMar>
            <w:vAlign w:val="bottom"/>
          </w:tcPr>
          <w:p w14:paraId="33DAED6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D6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D6F" w14:textId="77777777" w:rsidR="004D6A64" w:rsidRDefault="00506CD6">
            <w:pPr>
              <w:jc w:val="right"/>
              <w:textAlignment w:val="bottom"/>
            </w:pPr>
            <w:r>
              <w:rPr>
                <w:rFonts w:ascii="Times New Roman" w:eastAsia="宋体" w:hAnsi="Times New Roman"/>
                <w:color w:val="000000"/>
                <w:sz w:val="20"/>
                <w:szCs w:val="20"/>
              </w:rPr>
              <w:t>62.0 </w:t>
            </w:r>
          </w:p>
        </w:tc>
        <w:tc>
          <w:tcPr>
            <w:tcW w:w="0" w:type="auto"/>
            <w:shd w:val="clear" w:color="auto" w:fill="CCEEFF"/>
            <w:tcMar>
              <w:top w:w="40" w:type="dxa"/>
              <w:bottom w:w="40" w:type="dxa"/>
              <w:right w:w="20" w:type="dxa"/>
            </w:tcMar>
            <w:vAlign w:val="bottom"/>
          </w:tcPr>
          <w:p w14:paraId="33DAED70"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D71"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D72" w14:textId="77777777" w:rsidR="004D6A64" w:rsidRDefault="00506CD6">
            <w:pPr>
              <w:jc w:val="right"/>
              <w:textAlignment w:val="bottom"/>
            </w:pPr>
            <w:r>
              <w:rPr>
                <w:rFonts w:ascii="Times New Roman" w:eastAsia="宋体" w:hAnsi="Times New Roman"/>
                <w:color w:val="000000"/>
                <w:sz w:val="20"/>
                <w:szCs w:val="20"/>
              </w:rPr>
              <w:t>7,541 </w:t>
            </w:r>
          </w:p>
        </w:tc>
        <w:tc>
          <w:tcPr>
            <w:tcW w:w="0" w:type="auto"/>
            <w:shd w:val="clear" w:color="auto" w:fill="CCEEFF"/>
            <w:tcMar>
              <w:top w:w="40" w:type="dxa"/>
              <w:bottom w:w="40" w:type="dxa"/>
              <w:right w:w="20" w:type="dxa"/>
            </w:tcMar>
            <w:vAlign w:val="bottom"/>
          </w:tcPr>
          <w:p w14:paraId="33DAED7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D74"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D75" w14:textId="77777777" w:rsidR="004D6A64" w:rsidRDefault="00506CD6">
            <w:pPr>
              <w:jc w:val="right"/>
              <w:textAlignment w:val="bottom"/>
            </w:pPr>
            <w:r>
              <w:rPr>
                <w:rFonts w:ascii="Times New Roman" w:eastAsia="宋体" w:hAnsi="Times New Roman"/>
                <w:color w:val="000000"/>
                <w:sz w:val="20"/>
                <w:szCs w:val="20"/>
              </w:rPr>
              <w:t>63.2 </w:t>
            </w:r>
          </w:p>
        </w:tc>
        <w:tc>
          <w:tcPr>
            <w:tcW w:w="0" w:type="auto"/>
            <w:shd w:val="clear" w:color="auto" w:fill="CCEEFF"/>
            <w:tcMar>
              <w:top w:w="40" w:type="dxa"/>
              <w:bottom w:w="40" w:type="dxa"/>
              <w:right w:w="20" w:type="dxa"/>
            </w:tcMar>
            <w:vAlign w:val="bottom"/>
          </w:tcPr>
          <w:p w14:paraId="33DAED76"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D77"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D78" w14:textId="77777777" w:rsidR="004D6A64" w:rsidRDefault="00506CD6">
            <w:pPr>
              <w:jc w:val="right"/>
              <w:textAlignment w:val="bottom"/>
            </w:pPr>
            <w:r>
              <w:rPr>
                <w:rFonts w:ascii="Times New Roman" w:eastAsia="宋体" w:hAnsi="Times New Roman"/>
                <w:color w:val="000000"/>
                <w:sz w:val="20"/>
                <w:szCs w:val="20"/>
              </w:rPr>
              <w:t>10 </w:t>
            </w:r>
          </w:p>
        </w:tc>
        <w:tc>
          <w:tcPr>
            <w:tcW w:w="0" w:type="auto"/>
            <w:shd w:val="clear" w:color="auto" w:fill="CCEEFF"/>
            <w:tcMar>
              <w:top w:w="40" w:type="dxa"/>
              <w:bottom w:w="40" w:type="dxa"/>
              <w:right w:w="20" w:type="dxa"/>
            </w:tcMar>
            <w:vAlign w:val="bottom"/>
          </w:tcPr>
          <w:p w14:paraId="33DAED79"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D7A"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D7B" w14:textId="77777777" w:rsidR="004D6A64" w:rsidRDefault="00506CD6">
            <w:pPr>
              <w:jc w:val="right"/>
              <w:textAlignment w:val="bottom"/>
            </w:pPr>
            <w:r>
              <w:rPr>
                <w:rFonts w:ascii="Times New Roman" w:eastAsia="宋体" w:hAnsi="Times New Roman"/>
                <w:color w:val="000000"/>
                <w:sz w:val="20"/>
                <w:szCs w:val="20"/>
              </w:rPr>
              <w:t>6,837 </w:t>
            </w:r>
          </w:p>
        </w:tc>
        <w:tc>
          <w:tcPr>
            <w:tcW w:w="0" w:type="auto"/>
            <w:shd w:val="clear" w:color="auto" w:fill="CCEEFF"/>
            <w:tcMar>
              <w:top w:w="40" w:type="dxa"/>
              <w:bottom w:w="40" w:type="dxa"/>
              <w:right w:w="20" w:type="dxa"/>
            </w:tcMar>
            <w:vAlign w:val="bottom"/>
          </w:tcPr>
          <w:p w14:paraId="33DAED7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D7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D7E" w14:textId="77777777" w:rsidR="004D6A64" w:rsidRDefault="00506CD6">
            <w:pPr>
              <w:jc w:val="right"/>
              <w:textAlignment w:val="bottom"/>
            </w:pPr>
            <w:r>
              <w:rPr>
                <w:rFonts w:ascii="Times New Roman" w:eastAsia="宋体" w:hAnsi="Times New Roman"/>
                <w:color w:val="000000"/>
                <w:sz w:val="20"/>
                <w:szCs w:val="20"/>
              </w:rPr>
              <w:t>62.5 </w:t>
            </w:r>
          </w:p>
        </w:tc>
        <w:tc>
          <w:tcPr>
            <w:tcW w:w="0" w:type="auto"/>
            <w:shd w:val="clear" w:color="auto" w:fill="CCEEFF"/>
            <w:tcMar>
              <w:top w:w="40" w:type="dxa"/>
              <w:bottom w:w="40" w:type="dxa"/>
              <w:right w:w="20" w:type="dxa"/>
            </w:tcMar>
            <w:vAlign w:val="bottom"/>
          </w:tcPr>
          <w:p w14:paraId="33DAED7F" w14:textId="77777777" w:rsidR="004D6A64" w:rsidRDefault="00506CD6">
            <w:pPr>
              <w:jc w:val="right"/>
              <w:textAlignment w:val="bottom"/>
            </w:pPr>
            <w:r>
              <w:rPr>
                <w:rFonts w:ascii="Times New Roman" w:eastAsia="宋体" w:hAnsi="Times New Roman"/>
                <w:color w:val="000000"/>
                <w:sz w:val="20"/>
                <w:szCs w:val="20"/>
              </w:rPr>
              <w:t>%</w:t>
            </w:r>
          </w:p>
        </w:tc>
        <w:tc>
          <w:tcPr>
            <w:tcW w:w="0" w:type="auto"/>
            <w:shd w:val="clear" w:color="auto" w:fill="auto"/>
          </w:tcPr>
          <w:p w14:paraId="33DAED80" w14:textId="77777777" w:rsidR="004D6A64" w:rsidRDefault="004D6A64">
            <w:pPr>
              <w:rPr>
                <w:rFonts w:ascii="宋体"/>
              </w:rPr>
            </w:pPr>
          </w:p>
        </w:tc>
        <w:tc>
          <w:tcPr>
            <w:tcW w:w="0" w:type="auto"/>
            <w:shd w:val="clear" w:color="auto" w:fill="auto"/>
          </w:tcPr>
          <w:p w14:paraId="33DAED81" w14:textId="77777777" w:rsidR="004D6A64" w:rsidRDefault="004D6A64">
            <w:pPr>
              <w:rPr>
                <w:rFonts w:ascii="宋体"/>
              </w:rPr>
            </w:pPr>
          </w:p>
        </w:tc>
        <w:tc>
          <w:tcPr>
            <w:tcW w:w="0" w:type="auto"/>
            <w:shd w:val="clear" w:color="auto" w:fill="auto"/>
          </w:tcPr>
          <w:p w14:paraId="33DAED82" w14:textId="77777777" w:rsidR="004D6A64" w:rsidRDefault="004D6A64">
            <w:pPr>
              <w:rPr>
                <w:rFonts w:ascii="宋体"/>
              </w:rPr>
            </w:pPr>
          </w:p>
        </w:tc>
      </w:tr>
      <w:tr w:rsidR="00506CD6" w14:paraId="33DAEDA9" w14:textId="77777777">
        <w:tc>
          <w:tcPr>
            <w:tcW w:w="0" w:type="auto"/>
            <w:gridSpan w:val="3"/>
            <w:shd w:val="clear" w:color="auto" w:fill="FFFFFF"/>
            <w:tcMar>
              <w:top w:w="40" w:type="dxa"/>
              <w:left w:w="135" w:type="dxa"/>
              <w:bottom w:w="40" w:type="dxa"/>
              <w:right w:w="20" w:type="dxa"/>
            </w:tcMar>
            <w:vAlign w:val="bottom"/>
          </w:tcPr>
          <w:p w14:paraId="33DAED84" w14:textId="77777777" w:rsidR="004D6A64" w:rsidRDefault="00506CD6">
            <w:pPr>
              <w:textAlignment w:val="bottom"/>
            </w:pPr>
            <w:r>
              <w:rPr>
                <w:rFonts w:ascii="Times New Roman" w:eastAsia="宋体" w:hAnsi="Times New Roman"/>
                <w:color w:val="000000"/>
                <w:sz w:val="20"/>
                <w:szCs w:val="20"/>
              </w:rPr>
              <w:t>Total non-GAAP gross margin</w:t>
            </w:r>
          </w:p>
        </w:tc>
        <w:tc>
          <w:tcPr>
            <w:tcW w:w="0" w:type="auto"/>
            <w:tcBorders>
              <w:top w:val="single" w:sz="8" w:space="0" w:color="000000"/>
            </w:tcBorders>
            <w:shd w:val="clear" w:color="auto" w:fill="FFFFFF"/>
            <w:tcMar>
              <w:top w:w="40" w:type="dxa"/>
              <w:left w:w="20" w:type="dxa"/>
              <w:bottom w:w="40" w:type="dxa"/>
            </w:tcMar>
            <w:vAlign w:val="bottom"/>
          </w:tcPr>
          <w:p w14:paraId="33DAED85"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ED86" w14:textId="77777777" w:rsidR="004D6A64" w:rsidRDefault="00506CD6">
            <w:pPr>
              <w:jc w:val="right"/>
              <w:textAlignment w:val="bottom"/>
            </w:pPr>
            <w:r>
              <w:rPr>
                <w:rFonts w:ascii="Times New Roman" w:eastAsia="宋体" w:hAnsi="Times New Roman"/>
                <w:color w:val="000000"/>
                <w:sz w:val="20"/>
                <w:szCs w:val="20"/>
              </w:rPr>
              <w:t>7,626 </w:t>
            </w:r>
          </w:p>
        </w:tc>
        <w:tc>
          <w:tcPr>
            <w:tcW w:w="0" w:type="auto"/>
            <w:tcBorders>
              <w:top w:val="single" w:sz="8" w:space="0" w:color="000000"/>
            </w:tcBorders>
            <w:shd w:val="clear" w:color="auto" w:fill="FFFFFF"/>
            <w:tcMar>
              <w:top w:w="40" w:type="dxa"/>
              <w:bottom w:w="40" w:type="dxa"/>
              <w:right w:w="20" w:type="dxa"/>
            </w:tcMar>
            <w:vAlign w:val="bottom"/>
          </w:tcPr>
          <w:p w14:paraId="33DAED8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D88"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D89" w14:textId="77777777" w:rsidR="004D6A64" w:rsidRDefault="00506CD6">
            <w:pPr>
              <w:jc w:val="right"/>
              <w:textAlignment w:val="bottom"/>
            </w:pPr>
            <w:r>
              <w:rPr>
                <w:rFonts w:ascii="Times New Roman" w:eastAsia="宋体" w:hAnsi="Times New Roman"/>
                <w:color w:val="000000"/>
                <w:sz w:val="20"/>
                <w:szCs w:val="20"/>
              </w:rPr>
              <w:t>33.5 </w:t>
            </w:r>
          </w:p>
        </w:tc>
        <w:tc>
          <w:tcPr>
            <w:tcW w:w="0" w:type="auto"/>
            <w:shd w:val="clear" w:color="auto" w:fill="FFFFFF"/>
            <w:tcMar>
              <w:top w:w="40" w:type="dxa"/>
              <w:bottom w:w="40" w:type="dxa"/>
              <w:right w:w="20" w:type="dxa"/>
            </w:tcMar>
            <w:vAlign w:val="bottom"/>
          </w:tcPr>
          <w:p w14:paraId="33DAED8A"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D8B"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D8C" w14:textId="77777777" w:rsidR="004D6A64" w:rsidRDefault="00506CD6">
            <w:pPr>
              <w:jc w:val="right"/>
              <w:textAlignment w:val="bottom"/>
            </w:pPr>
            <w:r>
              <w:rPr>
                <w:rFonts w:ascii="Times New Roman" w:eastAsia="宋体" w:hAnsi="Times New Roman"/>
                <w:color w:val="000000"/>
                <w:sz w:val="20"/>
                <w:szCs w:val="20"/>
              </w:rPr>
              <w:t>(5)</w:t>
            </w:r>
          </w:p>
        </w:tc>
        <w:tc>
          <w:tcPr>
            <w:tcW w:w="0" w:type="auto"/>
            <w:shd w:val="clear" w:color="auto" w:fill="FFFFFF"/>
            <w:tcMar>
              <w:top w:w="40" w:type="dxa"/>
              <w:bottom w:w="40" w:type="dxa"/>
              <w:right w:w="20" w:type="dxa"/>
            </w:tcMar>
            <w:vAlign w:val="bottom"/>
          </w:tcPr>
          <w:p w14:paraId="33DAED8D"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D8E"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3DAED8F"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ED90" w14:textId="77777777" w:rsidR="004D6A64" w:rsidRDefault="00506CD6">
            <w:pPr>
              <w:jc w:val="right"/>
              <w:textAlignment w:val="bottom"/>
            </w:pPr>
            <w:r>
              <w:rPr>
                <w:rFonts w:ascii="Times New Roman" w:eastAsia="宋体" w:hAnsi="Times New Roman"/>
                <w:color w:val="000000"/>
                <w:sz w:val="20"/>
                <w:szCs w:val="20"/>
              </w:rPr>
              <w:t>7,986 </w:t>
            </w:r>
          </w:p>
        </w:tc>
        <w:tc>
          <w:tcPr>
            <w:tcW w:w="0" w:type="auto"/>
            <w:tcBorders>
              <w:top w:val="single" w:sz="8" w:space="0" w:color="000000"/>
            </w:tcBorders>
            <w:shd w:val="clear" w:color="auto" w:fill="FFFFFF"/>
            <w:tcMar>
              <w:top w:w="40" w:type="dxa"/>
              <w:bottom w:w="40" w:type="dxa"/>
              <w:right w:w="20" w:type="dxa"/>
            </w:tcMar>
            <w:vAlign w:val="bottom"/>
          </w:tcPr>
          <w:p w14:paraId="33DAED9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D92"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D93" w14:textId="77777777" w:rsidR="004D6A64" w:rsidRDefault="00506CD6">
            <w:pPr>
              <w:jc w:val="right"/>
              <w:textAlignment w:val="bottom"/>
            </w:pPr>
            <w:r>
              <w:rPr>
                <w:rFonts w:ascii="Times New Roman" w:eastAsia="宋体" w:hAnsi="Times New Roman"/>
                <w:color w:val="000000"/>
                <w:sz w:val="20"/>
                <w:szCs w:val="20"/>
              </w:rPr>
              <w:t>34.0 </w:t>
            </w:r>
          </w:p>
        </w:tc>
        <w:tc>
          <w:tcPr>
            <w:tcW w:w="0" w:type="auto"/>
            <w:shd w:val="clear" w:color="auto" w:fill="FFFFFF"/>
            <w:tcMar>
              <w:top w:w="40" w:type="dxa"/>
              <w:bottom w:w="40" w:type="dxa"/>
              <w:right w:w="20" w:type="dxa"/>
            </w:tcMar>
            <w:vAlign w:val="bottom"/>
          </w:tcPr>
          <w:p w14:paraId="33DAED94"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D95"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3DAED96"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ED97" w14:textId="77777777" w:rsidR="004D6A64" w:rsidRDefault="00506CD6">
            <w:pPr>
              <w:jc w:val="right"/>
              <w:textAlignment w:val="bottom"/>
            </w:pPr>
            <w:r>
              <w:rPr>
                <w:rFonts w:ascii="Times New Roman" w:eastAsia="宋体" w:hAnsi="Times New Roman"/>
                <w:color w:val="000000"/>
                <w:sz w:val="20"/>
                <w:szCs w:val="20"/>
              </w:rPr>
              <w:t>14,951 </w:t>
            </w:r>
          </w:p>
        </w:tc>
        <w:tc>
          <w:tcPr>
            <w:tcW w:w="0" w:type="auto"/>
            <w:tcBorders>
              <w:top w:val="single" w:sz="8" w:space="0" w:color="000000"/>
            </w:tcBorders>
            <w:shd w:val="clear" w:color="auto" w:fill="FFFFFF"/>
            <w:tcMar>
              <w:top w:w="40" w:type="dxa"/>
              <w:bottom w:w="40" w:type="dxa"/>
              <w:right w:w="20" w:type="dxa"/>
            </w:tcMar>
            <w:vAlign w:val="bottom"/>
          </w:tcPr>
          <w:p w14:paraId="33DAED9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D99"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D9A" w14:textId="77777777" w:rsidR="004D6A64" w:rsidRDefault="00506CD6">
            <w:pPr>
              <w:jc w:val="right"/>
              <w:textAlignment w:val="bottom"/>
            </w:pPr>
            <w:r>
              <w:rPr>
                <w:rFonts w:ascii="Times New Roman" w:eastAsia="宋体" w:hAnsi="Times New Roman"/>
                <w:color w:val="000000"/>
                <w:sz w:val="20"/>
                <w:szCs w:val="20"/>
              </w:rPr>
              <w:t>33.4 </w:t>
            </w:r>
          </w:p>
        </w:tc>
        <w:tc>
          <w:tcPr>
            <w:tcW w:w="0" w:type="auto"/>
            <w:shd w:val="clear" w:color="auto" w:fill="FFFFFF"/>
            <w:tcMar>
              <w:top w:w="40" w:type="dxa"/>
              <w:bottom w:w="40" w:type="dxa"/>
              <w:right w:w="20" w:type="dxa"/>
            </w:tcMar>
            <w:vAlign w:val="bottom"/>
          </w:tcPr>
          <w:p w14:paraId="33DAED9B"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D9C"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D9D" w14:textId="77777777" w:rsidR="004D6A64" w:rsidRDefault="00506CD6">
            <w:pPr>
              <w:jc w:val="right"/>
              <w:textAlignment w:val="bottom"/>
            </w:pPr>
            <w:r>
              <w:rPr>
                <w:rFonts w:ascii="Times New Roman" w:eastAsia="宋体" w:hAnsi="Times New Roman"/>
                <w:color w:val="000000"/>
                <w:sz w:val="20"/>
                <w:szCs w:val="20"/>
              </w:rPr>
              <w:t>(3)</w:t>
            </w:r>
          </w:p>
        </w:tc>
        <w:tc>
          <w:tcPr>
            <w:tcW w:w="0" w:type="auto"/>
            <w:shd w:val="clear" w:color="auto" w:fill="FFFFFF"/>
            <w:tcMar>
              <w:top w:w="40" w:type="dxa"/>
              <w:bottom w:w="40" w:type="dxa"/>
              <w:right w:w="20" w:type="dxa"/>
            </w:tcMar>
            <w:vAlign w:val="bottom"/>
          </w:tcPr>
          <w:p w14:paraId="33DAED9E"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D9F"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3DAEDA0"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EDA1" w14:textId="77777777" w:rsidR="004D6A64" w:rsidRDefault="00506CD6">
            <w:pPr>
              <w:jc w:val="right"/>
              <w:textAlignment w:val="bottom"/>
            </w:pPr>
            <w:r>
              <w:rPr>
                <w:rFonts w:ascii="Times New Roman" w:eastAsia="宋体" w:hAnsi="Times New Roman"/>
                <w:color w:val="000000"/>
                <w:sz w:val="20"/>
                <w:szCs w:val="20"/>
              </w:rPr>
              <w:t>15,420 </w:t>
            </w:r>
          </w:p>
        </w:tc>
        <w:tc>
          <w:tcPr>
            <w:tcW w:w="0" w:type="auto"/>
            <w:tcBorders>
              <w:top w:val="single" w:sz="8" w:space="0" w:color="000000"/>
            </w:tcBorders>
            <w:shd w:val="clear" w:color="auto" w:fill="FFFFFF"/>
            <w:tcMar>
              <w:top w:w="40" w:type="dxa"/>
              <w:bottom w:w="40" w:type="dxa"/>
              <w:right w:w="20" w:type="dxa"/>
            </w:tcMar>
            <w:vAlign w:val="bottom"/>
          </w:tcPr>
          <w:p w14:paraId="33DAEDA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DA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DA4" w14:textId="77777777" w:rsidR="004D6A64" w:rsidRDefault="00506CD6">
            <w:pPr>
              <w:jc w:val="right"/>
              <w:textAlignment w:val="bottom"/>
            </w:pPr>
            <w:r>
              <w:rPr>
                <w:rFonts w:ascii="Times New Roman" w:eastAsia="宋体" w:hAnsi="Times New Roman"/>
                <w:color w:val="000000"/>
                <w:sz w:val="20"/>
                <w:szCs w:val="20"/>
              </w:rPr>
              <w:t>33.9 </w:t>
            </w:r>
          </w:p>
        </w:tc>
        <w:tc>
          <w:tcPr>
            <w:tcW w:w="0" w:type="auto"/>
            <w:shd w:val="clear" w:color="auto" w:fill="FFFFFF"/>
            <w:tcMar>
              <w:top w:w="40" w:type="dxa"/>
              <w:bottom w:w="40" w:type="dxa"/>
              <w:right w:w="20" w:type="dxa"/>
            </w:tcMar>
            <w:vAlign w:val="bottom"/>
          </w:tcPr>
          <w:p w14:paraId="33DAEDA5" w14:textId="77777777" w:rsidR="004D6A64" w:rsidRDefault="00506CD6">
            <w:pPr>
              <w:jc w:val="right"/>
              <w:textAlignment w:val="bottom"/>
            </w:pPr>
            <w:r>
              <w:rPr>
                <w:rFonts w:ascii="Times New Roman" w:eastAsia="宋体" w:hAnsi="Times New Roman"/>
                <w:color w:val="000000"/>
                <w:sz w:val="20"/>
                <w:szCs w:val="20"/>
              </w:rPr>
              <w:t>%</w:t>
            </w:r>
          </w:p>
        </w:tc>
        <w:tc>
          <w:tcPr>
            <w:tcW w:w="0" w:type="auto"/>
            <w:shd w:val="clear" w:color="auto" w:fill="auto"/>
          </w:tcPr>
          <w:p w14:paraId="33DAEDA6" w14:textId="77777777" w:rsidR="004D6A64" w:rsidRDefault="004D6A64">
            <w:pPr>
              <w:rPr>
                <w:rFonts w:ascii="宋体"/>
              </w:rPr>
            </w:pPr>
          </w:p>
        </w:tc>
        <w:tc>
          <w:tcPr>
            <w:tcW w:w="0" w:type="auto"/>
            <w:shd w:val="clear" w:color="auto" w:fill="auto"/>
          </w:tcPr>
          <w:p w14:paraId="33DAEDA7" w14:textId="77777777" w:rsidR="004D6A64" w:rsidRDefault="004D6A64">
            <w:pPr>
              <w:rPr>
                <w:rFonts w:ascii="宋体"/>
              </w:rPr>
            </w:pPr>
          </w:p>
        </w:tc>
        <w:tc>
          <w:tcPr>
            <w:tcW w:w="0" w:type="auto"/>
            <w:shd w:val="clear" w:color="auto" w:fill="auto"/>
          </w:tcPr>
          <w:p w14:paraId="33DAEDA8" w14:textId="77777777" w:rsidR="004D6A64" w:rsidRDefault="004D6A64">
            <w:pPr>
              <w:rPr>
                <w:rFonts w:ascii="宋体"/>
              </w:rPr>
            </w:pPr>
          </w:p>
        </w:tc>
      </w:tr>
      <w:tr w:rsidR="00506CD6" w14:paraId="33DAEDCF" w14:textId="77777777">
        <w:tc>
          <w:tcPr>
            <w:tcW w:w="0" w:type="auto"/>
            <w:gridSpan w:val="3"/>
            <w:shd w:val="clear" w:color="auto" w:fill="CCEEFF"/>
            <w:tcMar>
              <w:top w:w="40" w:type="dxa"/>
              <w:left w:w="20" w:type="dxa"/>
              <w:bottom w:w="40" w:type="dxa"/>
              <w:right w:w="20" w:type="dxa"/>
            </w:tcMar>
            <w:vAlign w:val="bottom"/>
          </w:tcPr>
          <w:p w14:paraId="33DAEDAA" w14:textId="77777777" w:rsidR="004D6A64" w:rsidRDefault="00506CD6">
            <w:pPr>
              <w:textAlignment w:val="bottom"/>
            </w:pPr>
            <w:r>
              <w:rPr>
                <w:rFonts w:ascii="Times New Roman" w:eastAsia="宋体" w:hAnsi="Times New Roman"/>
                <w:color w:val="000000"/>
                <w:sz w:val="20"/>
                <w:szCs w:val="20"/>
              </w:rPr>
              <w:t>Non-GAAP operating expenses</w:t>
            </w:r>
          </w:p>
        </w:tc>
        <w:tc>
          <w:tcPr>
            <w:tcW w:w="0" w:type="auto"/>
            <w:shd w:val="clear" w:color="auto" w:fill="CCEEFF"/>
            <w:tcMar>
              <w:top w:w="40" w:type="dxa"/>
              <w:left w:w="20" w:type="dxa"/>
              <w:bottom w:w="40" w:type="dxa"/>
            </w:tcMar>
            <w:vAlign w:val="bottom"/>
          </w:tcPr>
          <w:p w14:paraId="33DAEDAB"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EDAC" w14:textId="77777777" w:rsidR="004D6A64" w:rsidRDefault="00506CD6">
            <w:pPr>
              <w:jc w:val="right"/>
              <w:textAlignment w:val="bottom"/>
            </w:pPr>
            <w:r>
              <w:rPr>
                <w:rFonts w:ascii="Times New Roman" w:eastAsia="宋体" w:hAnsi="Times New Roman"/>
                <w:color w:val="000000"/>
                <w:sz w:val="20"/>
                <w:szCs w:val="20"/>
              </w:rPr>
              <w:t>5,008 </w:t>
            </w:r>
          </w:p>
        </w:tc>
        <w:tc>
          <w:tcPr>
            <w:tcW w:w="0" w:type="auto"/>
            <w:shd w:val="clear" w:color="auto" w:fill="CCEEFF"/>
            <w:tcMar>
              <w:top w:w="40" w:type="dxa"/>
              <w:bottom w:w="40" w:type="dxa"/>
              <w:right w:w="20" w:type="dxa"/>
            </w:tcMar>
            <w:vAlign w:val="bottom"/>
          </w:tcPr>
          <w:p w14:paraId="33DAEDA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DA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DAF" w14:textId="77777777" w:rsidR="004D6A64" w:rsidRDefault="00506CD6">
            <w:pPr>
              <w:jc w:val="right"/>
              <w:textAlignment w:val="bottom"/>
            </w:pPr>
            <w:r>
              <w:rPr>
                <w:rFonts w:ascii="Times New Roman" w:eastAsia="宋体" w:hAnsi="Times New Roman"/>
                <w:color w:val="000000"/>
                <w:sz w:val="20"/>
                <w:szCs w:val="20"/>
              </w:rPr>
              <w:t>22.0 </w:t>
            </w:r>
          </w:p>
        </w:tc>
        <w:tc>
          <w:tcPr>
            <w:tcW w:w="0" w:type="auto"/>
            <w:shd w:val="clear" w:color="auto" w:fill="CCEEFF"/>
            <w:tcMar>
              <w:top w:w="40" w:type="dxa"/>
              <w:bottom w:w="40" w:type="dxa"/>
              <w:right w:w="20" w:type="dxa"/>
            </w:tcMar>
            <w:vAlign w:val="bottom"/>
          </w:tcPr>
          <w:p w14:paraId="33DAEDB0"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DB1"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DB2" w14:textId="77777777" w:rsidR="004D6A64" w:rsidRDefault="00506CD6">
            <w:pPr>
              <w:jc w:val="right"/>
              <w:textAlignment w:val="bottom"/>
            </w:pPr>
            <w:r>
              <w:rPr>
                <w:rFonts w:ascii="Times New Roman" w:eastAsia="宋体" w:hAnsi="Times New Roman"/>
                <w:color w:val="000000"/>
                <w:sz w:val="20"/>
                <w:szCs w:val="20"/>
              </w:rPr>
              <w:t>(4)</w:t>
            </w:r>
          </w:p>
        </w:tc>
        <w:tc>
          <w:tcPr>
            <w:tcW w:w="0" w:type="auto"/>
            <w:shd w:val="clear" w:color="auto" w:fill="CCEEFF"/>
            <w:tcMar>
              <w:top w:w="40" w:type="dxa"/>
              <w:bottom w:w="40" w:type="dxa"/>
              <w:right w:w="20" w:type="dxa"/>
            </w:tcMar>
            <w:vAlign w:val="bottom"/>
          </w:tcPr>
          <w:p w14:paraId="33DAEDB3"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DB4"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EDB5"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EDB6" w14:textId="77777777" w:rsidR="004D6A64" w:rsidRDefault="00506CD6">
            <w:pPr>
              <w:jc w:val="right"/>
              <w:textAlignment w:val="bottom"/>
            </w:pPr>
            <w:r>
              <w:rPr>
                <w:rFonts w:ascii="Times New Roman" w:eastAsia="宋体" w:hAnsi="Times New Roman"/>
                <w:color w:val="000000"/>
                <w:sz w:val="20"/>
                <w:szCs w:val="20"/>
              </w:rPr>
              <w:t>5,243 </w:t>
            </w:r>
          </w:p>
        </w:tc>
        <w:tc>
          <w:tcPr>
            <w:tcW w:w="0" w:type="auto"/>
            <w:shd w:val="clear" w:color="auto" w:fill="CCEEFF"/>
            <w:tcMar>
              <w:top w:w="40" w:type="dxa"/>
              <w:bottom w:w="40" w:type="dxa"/>
              <w:right w:w="20" w:type="dxa"/>
            </w:tcMar>
            <w:vAlign w:val="bottom"/>
          </w:tcPr>
          <w:p w14:paraId="33DAEDB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DB8"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DB9" w14:textId="77777777" w:rsidR="004D6A64" w:rsidRDefault="00506CD6">
            <w:pPr>
              <w:jc w:val="right"/>
              <w:textAlignment w:val="bottom"/>
            </w:pPr>
            <w:r>
              <w:rPr>
                <w:rFonts w:ascii="Times New Roman" w:eastAsia="宋体" w:hAnsi="Times New Roman"/>
                <w:color w:val="000000"/>
                <w:sz w:val="20"/>
                <w:szCs w:val="20"/>
              </w:rPr>
              <w:t>22.4 </w:t>
            </w:r>
          </w:p>
        </w:tc>
        <w:tc>
          <w:tcPr>
            <w:tcW w:w="0" w:type="auto"/>
            <w:shd w:val="clear" w:color="auto" w:fill="CCEEFF"/>
            <w:tcMar>
              <w:top w:w="40" w:type="dxa"/>
              <w:bottom w:w="40" w:type="dxa"/>
              <w:right w:w="20" w:type="dxa"/>
            </w:tcMar>
            <w:vAlign w:val="bottom"/>
          </w:tcPr>
          <w:p w14:paraId="33DAEDBA"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DBB"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EDBC"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EDBD" w14:textId="77777777" w:rsidR="004D6A64" w:rsidRDefault="00506CD6">
            <w:pPr>
              <w:jc w:val="right"/>
              <w:textAlignment w:val="bottom"/>
            </w:pPr>
            <w:r>
              <w:rPr>
                <w:rFonts w:ascii="Times New Roman" w:eastAsia="宋体" w:hAnsi="Times New Roman"/>
                <w:color w:val="000000"/>
                <w:sz w:val="20"/>
                <w:szCs w:val="20"/>
              </w:rPr>
              <w:t>10,172 </w:t>
            </w:r>
          </w:p>
        </w:tc>
        <w:tc>
          <w:tcPr>
            <w:tcW w:w="0" w:type="auto"/>
            <w:shd w:val="clear" w:color="auto" w:fill="CCEEFF"/>
            <w:tcMar>
              <w:top w:w="40" w:type="dxa"/>
              <w:bottom w:w="40" w:type="dxa"/>
              <w:right w:w="20" w:type="dxa"/>
            </w:tcMar>
            <w:vAlign w:val="bottom"/>
          </w:tcPr>
          <w:p w14:paraId="33DAEDB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DB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DC0" w14:textId="77777777" w:rsidR="004D6A64" w:rsidRDefault="00506CD6">
            <w:pPr>
              <w:jc w:val="right"/>
              <w:textAlignment w:val="bottom"/>
            </w:pPr>
            <w:r>
              <w:rPr>
                <w:rFonts w:ascii="Times New Roman" w:eastAsia="宋体" w:hAnsi="Times New Roman"/>
                <w:color w:val="000000"/>
                <w:sz w:val="20"/>
                <w:szCs w:val="20"/>
              </w:rPr>
              <w:t>22.7 </w:t>
            </w:r>
          </w:p>
        </w:tc>
        <w:tc>
          <w:tcPr>
            <w:tcW w:w="0" w:type="auto"/>
            <w:shd w:val="clear" w:color="auto" w:fill="CCEEFF"/>
            <w:tcMar>
              <w:top w:w="40" w:type="dxa"/>
              <w:bottom w:w="40" w:type="dxa"/>
              <w:right w:w="20" w:type="dxa"/>
            </w:tcMar>
            <w:vAlign w:val="bottom"/>
          </w:tcPr>
          <w:p w14:paraId="33DAEDC1"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DC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DC3" w14:textId="77777777" w:rsidR="004D6A64" w:rsidRDefault="00506CD6">
            <w:pPr>
              <w:jc w:val="right"/>
              <w:textAlignment w:val="bottom"/>
            </w:pPr>
            <w:r>
              <w:rPr>
                <w:rFonts w:ascii="Times New Roman" w:eastAsia="宋体" w:hAnsi="Times New Roman"/>
                <w:color w:val="000000"/>
                <w:sz w:val="20"/>
                <w:szCs w:val="20"/>
              </w:rPr>
              <w:t>(3)</w:t>
            </w:r>
          </w:p>
        </w:tc>
        <w:tc>
          <w:tcPr>
            <w:tcW w:w="0" w:type="auto"/>
            <w:shd w:val="clear" w:color="auto" w:fill="CCEEFF"/>
            <w:tcMar>
              <w:top w:w="40" w:type="dxa"/>
              <w:bottom w:w="40" w:type="dxa"/>
              <w:right w:w="20" w:type="dxa"/>
            </w:tcMar>
            <w:vAlign w:val="bottom"/>
          </w:tcPr>
          <w:p w14:paraId="33DAEDC4"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DC5"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EDC6"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EDC7" w14:textId="77777777" w:rsidR="004D6A64" w:rsidRDefault="00506CD6">
            <w:pPr>
              <w:jc w:val="right"/>
              <w:textAlignment w:val="bottom"/>
            </w:pPr>
            <w:r>
              <w:rPr>
                <w:rFonts w:ascii="Times New Roman" w:eastAsia="宋体" w:hAnsi="Times New Roman"/>
                <w:color w:val="000000"/>
                <w:sz w:val="20"/>
                <w:szCs w:val="20"/>
              </w:rPr>
              <w:t>10,481 </w:t>
            </w:r>
          </w:p>
        </w:tc>
        <w:tc>
          <w:tcPr>
            <w:tcW w:w="0" w:type="auto"/>
            <w:shd w:val="clear" w:color="auto" w:fill="CCEEFF"/>
            <w:tcMar>
              <w:top w:w="40" w:type="dxa"/>
              <w:bottom w:w="40" w:type="dxa"/>
              <w:right w:w="20" w:type="dxa"/>
            </w:tcMar>
            <w:vAlign w:val="bottom"/>
          </w:tcPr>
          <w:p w14:paraId="33DAEDC8"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DC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DCA" w14:textId="77777777" w:rsidR="004D6A64" w:rsidRDefault="00506CD6">
            <w:pPr>
              <w:jc w:val="right"/>
              <w:textAlignment w:val="bottom"/>
            </w:pPr>
            <w:r>
              <w:rPr>
                <w:rFonts w:ascii="Times New Roman" w:eastAsia="宋体" w:hAnsi="Times New Roman"/>
                <w:color w:val="000000"/>
                <w:sz w:val="20"/>
                <w:szCs w:val="20"/>
              </w:rPr>
              <w:t>23.1 </w:t>
            </w:r>
          </w:p>
        </w:tc>
        <w:tc>
          <w:tcPr>
            <w:tcW w:w="0" w:type="auto"/>
            <w:shd w:val="clear" w:color="auto" w:fill="CCEEFF"/>
            <w:tcMar>
              <w:top w:w="40" w:type="dxa"/>
              <w:bottom w:w="40" w:type="dxa"/>
              <w:right w:w="20" w:type="dxa"/>
            </w:tcMar>
            <w:vAlign w:val="bottom"/>
          </w:tcPr>
          <w:p w14:paraId="33DAEDCB" w14:textId="77777777" w:rsidR="004D6A64" w:rsidRDefault="00506CD6">
            <w:pPr>
              <w:jc w:val="right"/>
              <w:textAlignment w:val="bottom"/>
            </w:pPr>
            <w:r>
              <w:rPr>
                <w:rFonts w:ascii="Times New Roman" w:eastAsia="宋体" w:hAnsi="Times New Roman"/>
                <w:color w:val="000000"/>
                <w:sz w:val="20"/>
                <w:szCs w:val="20"/>
              </w:rPr>
              <w:t>%</w:t>
            </w:r>
          </w:p>
        </w:tc>
        <w:tc>
          <w:tcPr>
            <w:tcW w:w="0" w:type="auto"/>
            <w:shd w:val="clear" w:color="auto" w:fill="auto"/>
          </w:tcPr>
          <w:p w14:paraId="33DAEDCC" w14:textId="77777777" w:rsidR="004D6A64" w:rsidRDefault="004D6A64">
            <w:pPr>
              <w:rPr>
                <w:rFonts w:ascii="宋体"/>
              </w:rPr>
            </w:pPr>
          </w:p>
        </w:tc>
        <w:tc>
          <w:tcPr>
            <w:tcW w:w="0" w:type="auto"/>
            <w:shd w:val="clear" w:color="auto" w:fill="auto"/>
          </w:tcPr>
          <w:p w14:paraId="33DAEDCD" w14:textId="77777777" w:rsidR="004D6A64" w:rsidRDefault="004D6A64">
            <w:pPr>
              <w:rPr>
                <w:rFonts w:ascii="宋体"/>
              </w:rPr>
            </w:pPr>
          </w:p>
        </w:tc>
        <w:tc>
          <w:tcPr>
            <w:tcW w:w="0" w:type="auto"/>
            <w:shd w:val="clear" w:color="auto" w:fill="auto"/>
          </w:tcPr>
          <w:p w14:paraId="33DAEDCE" w14:textId="77777777" w:rsidR="004D6A64" w:rsidRDefault="004D6A64">
            <w:pPr>
              <w:rPr>
                <w:rFonts w:ascii="宋体"/>
              </w:rPr>
            </w:pPr>
          </w:p>
        </w:tc>
      </w:tr>
      <w:tr w:rsidR="00506CD6" w14:paraId="33DAEDF5" w14:textId="77777777">
        <w:tc>
          <w:tcPr>
            <w:tcW w:w="0" w:type="auto"/>
            <w:gridSpan w:val="3"/>
            <w:shd w:val="clear" w:color="auto" w:fill="FFFFFF"/>
            <w:tcMar>
              <w:top w:w="40" w:type="dxa"/>
              <w:left w:w="20" w:type="dxa"/>
              <w:bottom w:w="40" w:type="dxa"/>
              <w:right w:w="20" w:type="dxa"/>
            </w:tcMar>
            <w:vAlign w:val="bottom"/>
          </w:tcPr>
          <w:p w14:paraId="33DAEDD0" w14:textId="77777777" w:rsidR="004D6A64" w:rsidRDefault="00506CD6">
            <w:pPr>
              <w:textAlignment w:val="bottom"/>
            </w:pPr>
            <w:r>
              <w:rPr>
                <w:rFonts w:ascii="Times New Roman" w:eastAsia="宋体" w:hAnsi="Times New Roman"/>
                <w:color w:val="000000"/>
                <w:sz w:val="20"/>
                <w:szCs w:val="20"/>
              </w:rPr>
              <w:t>Non-GAAP operating income</w:t>
            </w:r>
          </w:p>
        </w:tc>
        <w:tc>
          <w:tcPr>
            <w:tcW w:w="0" w:type="auto"/>
            <w:shd w:val="clear" w:color="auto" w:fill="FFFFFF"/>
            <w:tcMar>
              <w:top w:w="40" w:type="dxa"/>
              <w:left w:w="20" w:type="dxa"/>
              <w:bottom w:w="40" w:type="dxa"/>
            </w:tcMar>
            <w:vAlign w:val="bottom"/>
          </w:tcPr>
          <w:p w14:paraId="33DAEDD1"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DD2" w14:textId="77777777" w:rsidR="004D6A64" w:rsidRDefault="00506CD6">
            <w:pPr>
              <w:jc w:val="right"/>
              <w:textAlignment w:val="bottom"/>
            </w:pPr>
            <w:r>
              <w:rPr>
                <w:rFonts w:ascii="Times New Roman" w:eastAsia="宋体" w:hAnsi="Times New Roman"/>
                <w:color w:val="000000"/>
                <w:sz w:val="20"/>
                <w:szCs w:val="20"/>
              </w:rPr>
              <w:t>2,618 </w:t>
            </w:r>
          </w:p>
        </w:tc>
        <w:tc>
          <w:tcPr>
            <w:tcW w:w="0" w:type="auto"/>
            <w:shd w:val="clear" w:color="auto" w:fill="FFFFFF"/>
            <w:tcMar>
              <w:top w:w="40" w:type="dxa"/>
              <w:bottom w:w="40" w:type="dxa"/>
              <w:right w:w="20" w:type="dxa"/>
            </w:tcMar>
            <w:vAlign w:val="bottom"/>
          </w:tcPr>
          <w:p w14:paraId="33DAEDD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DD4"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DD5" w14:textId="77777777" w:rsidR="004D6A64" w:rsidRDefault="00506CD6">
            <w:pPr>
              <w:jc w:val="right"/>
              <w:textAlignment w:val="bottom"/>
            </w:pPr>
            <w:r>
              <w:rPr>
                <w:rFonts w:ascii="Times New Roman" w:eastAsia="宋体" w:hAnsi="Times New Roman"/>
                <w:color w:val="000000"/>
                <w:sz w:val="20"/>
                <w:szCs w:val="20"/>
              </w:rPr>
              <w:t>11.5 </w:t>
            </w:r>
          </w:p>
        </w:tc>
        <w:tc>
          <w:tcPr>
            <w:tcW w:w="0" w:type="auto"/>
            <w:shd w:val="clear" w:color="auto" w:fill="FFFFFF"/>
            <w:tcMar>
              <w:top w:w="40" w:type="dxa"/>
              <w:bottom w:w="40" w:type="dxa"/>
              <w:right w:w="20" w:type="dxa"/>
            </w:tcMar>
            <w:vAlign w:val="bottom"/>
          </w:tcPr>
          <w:p w14:paraId="33DAEDD6"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DD7"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DD8" w14:textId="77777777" w:rsidR="004D6A64" w:rsidRDefault="00506CD6">
            <w:pPr>
              <w:jc w:val="right"/>
              <w:textAlignment w:val="bottom"/>
            </w:pPr>
            <w:r>
              <w:rPr>
                <w:rFonts w:ascii="Times New Roman" w:eastAsia="宋体" w:hAnsi="Times New Roman"/>
                <w:color w:val="000000"/>
                <w:sz w:val="20"/>
                <w:szCs w:val="20"/>
              </w:rPr>
              <w:t>(5)</w:t>
            </w:r>
          </w:p>
        </w:tc>
        <w:tc>
          <w:tcPr>
            <w:tcW w:w="0" w:type="auto"/>
            <w:shd w:val="clear" w:color="auto" w:fill="FFFFFF"/>
            <w:tcMar>
              <w:top w:w="40" w:type="dxa"/>
              <w:bottom w:w="40" w:type="dxa"/>
              <w:right w:w="20" w:type="dxa"/>
            </w:tcMar>
            <w:vAlign w:val="bottom"/>
          </w:tcPr>
          <w:p w14:paraId="33DAEDD9"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DDA"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EDDB"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DDC" w14:textId="77777777" w:rsidR="004D6A64" w:rsidRDefault="00506CD6">
            <w:pPr>
              <w:jc w:val="right"/>
              <w:textAlignment w:val="bottom"/>
            </w:pPr>
            <w:r>
              <w:rPr>
                <w:rFonts w:ascii="Times New Roman" w:eastAsia="宋体" w:hAnsi="Times New Roman"/>
                <w:color w:val="000000"/>
                <w:sz w:val="20"/>
                <w:szCs w:val="20"/>
              </w:rPr>
              <w:t>2,743 </w:t>
            </w:r>
          </w:p>
        </w:tc>
        <w:tc>
          <w:tcPr>
            <w:tcW w:w="0" w:type="auto"/>
            <w:shd w:val="clear" w:color="auto" w:fill="FFFFFF"/>
            <w:tcMar>
              <w:top w:w="40" w:type="dxa"/>
              <w:bottom w:w="40" w:type="dxa"/>
              <w:right w:w="20" w:type="dxa"/>
            </w:tcMar>
            <w:vAlign w:val="bottom"/>
          </w:tcPr>
          <w:p w14:paraId="33DAEDD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DDE"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DDF" w14:textId="77777777" w:rsidR="004D6A64" w:rsidRDefault="00506CD6">
            <w:pPr>
              <w:jc w:val="right"/>
              <w:textAlignment w:val="bottom"/>
            </w:pPr>
            <w:r>
              <w:rPr>
                <w:rFonts w:ascii="Times New Roman" w:eastAsia="宋体" w:hAnsi="Times New Roman"/>
                <w:color w:val="000000"/>
                <w:sz w:val="20"/>
                <w:szCs w:val="20"/>
              </w:rPr>
              <w:t>11.7 </w:t>
            </w:r>
          </w:p>
        </w:tc>
        <w:tc>
          <w:tcPr>
            <w:tcW w:w="0" w:type="auto"/>
            <w:shd w:val="clear" w:color="auto" w:fill="FFFFFF"/>
            <w:tcMar>
              <w:top w:w="40" w:type="dxa"/>
              <w:bottom w:w="40" w:type="dxa"/>
              <w:right w:w="20" w:type="dxa"/>
            </w:tcMar>
            <w:vAlign w:val="bottom"/>
          </w:tcPr>
          <w:p w14:paraId="33DAEDE0"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DE1"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EDE2"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DE3" w14:textId="77777777" w:rsidR="004D6A64" w:rsidRDefault="00506CD6">
            <w:pPr>
              <w:jc w:val="right"/>
              <w:textAlignment w:val="bottom"/>
            </w:pPr>
            <w:r>
              <w:rPr>
                <w:rFonts w:ascii="Times New Roman" w:eastAsia="宋体" w:hAnsi="Times New Roman"/>
                <w:color w:val="000000"/>
                <w:sz w:val="20"/>
                <w:szCs w:val="20"/>
              </w:rPr>
              <w:t>4,779 </w:t>
            </w:r>
          </w:p>
        </w:tc>
        <w:tc>
          <w:tcPr>
            <w:tcW w:w="0" w:type="auto"/>
            <w:shd w:val="clear" w:color="auto" w:fill="FFFFFF"/>
            <w:tcMar>
              <w:top w:w="40" w:type="dxa"/>
              <w:bottom w:w="40" w:type="dxa"/>
              <w:right w:w="20" w:type="dxa"/>
            </w:tcMar>
            <w:vAlign w:val="bottom"/>
          </w:tcPr>
          <w:p w14:paraId="33DAEDE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DE5"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DE6" w14:textId="77777777" w:rsidR="004D6A64" w:rsidRDefault="00506CD6">
            <w:pPr>
              <w:jc w:val="right"/>
              <w:textAlignment w:val="bottom"/>
            </w:pPr>
            <w:r>
              <w:rPr>
                <w:rFonts w:ascii="Times New Roman" w:eastAsia="宋体" w:hAnsi="Times New Roman"/>
                <w:color w:val="000000"/>
                <w:sz w:val="20"/>
                <w:szCs w:val="20"/>
              </w:rPr>
              <w:t>10.7 </w:t>
            </w:r>
          </w:p>
        </w:tc>
        <w:tc>
          <w:tcPr>
            <w:tcW w:w="0" w:type="auto"/>
            <w:shd w:val="clear" w:color="auto" w:fill="FFFFFF"/>
            <w:tcMar>
              <w:top w:w="40" w:type="dxa"/>
              <w:bottom w:w="40" w:type="dxa"/>
              <w:right w:w="20" w:type="dxa"/>
            </w:tcMar>
            <w:vAlign w:val="bottom"/>
          </w:tcPr>
          <w:p w14:paraId="33DAEDE7"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DE8"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DE9" w14:textId="77777777" w:rsidR="004D6A64" w:rsidRDefault="00506CD6">
            <w:pPr>
              <w:jc w:val="right"/>
              <w:textAlignment w:val="bottom"/>
            </w:pPr>
            <w:r>
              <w:rPr>
                <w:rFonts w:ascii="Times New Roman" w:eastAsia="宋体" w:hAnsi="Times New Roman"/>
                <w:color w:val="000000"/>
                <w:sz w:val="20"/>
                <w:szCs w:val="20"/>
              </w:rPr>
              <w:t>(3)</w:t>
            </w:r>
          </w:p>
        </w:tc>
        <w:tc>
          <w:tcPr>
            <w:tcW w:w="0" w:type="auto"/>
            <w:shd w:val="clear" w:color="auto" w:fill="FFFFFF"/>
            <w:tcMar>
              <w:top w:w="40" w:type="dxa"/>
              <w:bottom w:w="40" w:type="dxa"/>
              <w:right w:w="20" w:type="dxa"/>
            </w:tcMar>
            <w:vAlign w:val="bottom"/>
          </w:tcPr>
          <w:p w14:paraId="33DAEDEA"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DEB"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EDEC"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DED" w14:textId="77777777" w:rsidR="004D6A64" w:rsidRDefault="00506CD6">
            <w:pPr>
              <w:jc w:val="right"/>
              <w:textAlignment w:val="bottom"/>
            </w:pPr>
            <w:r>
              <w:rPr>
                <w:rFonts w:ascii="Times New Roman" w:eastAsia="宋体" w:hAnsi="Times New Roman"/>
                <w:color w:val="000000"/>
                <w:sz w:val="20"/>
                <w:szCs w:val="20"/>
              </w:rPr>
              <w:t>4,939 </w:t>
            </w:r>
          </w:p>
        </w:tc>
        <w:tc>
          <w:tcPr>
            <w:tcW w:w="0" w:type="auto"/>
            <w:shd w:val="clear" w:color="auto" w:fill="FFFFFF"/>
            <w:tcMar>
              <w:top w:w="40" w:type="dxa"/>
              <w:bottom w:w="40" w:type="dxa"/>
              <w:right w:w="20" w:type="dxa"/>
            </w:tcMar>
            <w:vAlign w:val="bottom"/>
          </w:tcPr>
          <w:p w14:paraId="33DAEDE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DEF"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DF0" w14:textId="77777777" w:rsidR="004D6A64" w:rsidRDefault="00506CD6">
            <w:pPr>
              <w:jc w:val="right"/>
              <w:textAlignment w:val="bottom"/>
            </w:pPr>
            <w:r>
              <w:rPr>
                <w:rFonts w:ascii="Times New Roman" w:eastAsia="宋体" w:hAnsi="Times New Roman"/>
                <w:color w:val="000000"/>
                <w:sz w:val="20"/>
                <w:szCs w:val="20"/>
              </w:rPr>
              <w:t>10.9 </w:t>
            </w:r>
          </w:p>
        </w:tc>
        <w:tc>
          <w:tcPr>
            <w:tcW w:w="0" w:type="auto"/>
            <w:shd w:val="clear" w:color="auto" w:fill="FFFFFF"/>
            <w:tcMar>
              <w:top w:w="40" w:type="dxa"/>
              <w:bottom w:w="40" w:type="dxa"/>
              <w:right w:w="20" w:type="dxa"/>
            </w:tcMar>
            <w:vAlign w:val="bottom"/>
          </w:tcPr>
          <w:p w14:paraId="33DAEDF1" w14:textId="77777777" w:rsidR="004D6A64" w:rsidRDefault="00506CD6">
            <w:pPr>
              <w:jc w:val="right"/>
              <w:textAlignment w:val="bottom"/>
            </w:pPr>
            <w:r>
              <w:rPr>
                <w:rFonts w:ascii="Times New Roman" w:eastAsia="宋体" w:hAnsi="Times New Roman"/>
                <w:color w:val="000000"/>
                <w:sz w:val="20"/>
                <w:szCs w:val="20"/>
              </w:rPr>
              <w:t>%</w:t>
            </w:r>
          </w:p>
        </w:tc>
        <w:tc>
          <w:tcPr>
            <w:tcW w:w="0" w:type="auto"/>
            <w:shd w:val="clear" w:color="auto" w:fill="auto"/>
          </w:tcPr>
          <w:p w14:paraId="33DAEDF2" w14:textId="77777777" w:rsidR="004D6A64" w:rsidRDefault="004D6A64">
            <w:pPr>
              <w:rPr>
                <w:rFonts w:ascii="宋体"/>
              </w:rPr>
            </w:pPr>
          </w:p>
        </w:tc>
        <w:tc>
          <w:tcPr>
            <w:tcW w:w="0" w:type="auto"/>
            <w:shd w:val="clear" w:color="auto" w:fill="auto"/>
          </w:tcPr>
          <w:p w14:paraId="33DAEDF3" w14:textId="77777777" w:rsidR="004D6A64" w:rsidRDefault="004D6A64">
            <w:pPr>
              <w:rPr>
                <w:rFonts w:ascii="宋体"/>
              </w:rPr>
            </w:pPr>
          </w:p>
        </w:tc>
        <w:tc>
          <w:tcPr>
            <w:tcW w:w="0" w:type="auto"/>
            <w:shd w:val="clear" w:color="auto" w:fill="auto"/>
          </w:tcPr>
          <w:p w14:paraId="33DAEDF4" w14:textId="77777777" w:rsidR="004D6A64" w:rsidRDefault="004D6A64">
            <w:pPr>
              <w:rPr>
                <w:rFonts w:ascii="宋体"/>
              </w:rPr>
            </w:pPr>
          </w:p>
        </w:tc>
      </w:tr>
      <w:tr w:rsidR="00506CD6" w14:paraId="33DAEE1B" w14:textId="77777777">
        <w:tc>
          <w:tcPr>
            <w:tcW w:w="0" w:type="auto"/>
            <w:gridSpan w:val="3"/>
            <w:shd w:val="clear" w:color="auto" w:fill="CCEEFF"/>
            <w:tcMar>
              <w:top w:w="40" w:type="dxa"/>
              <w:left w:w="20" w:type="dxa"/>
              <w:bottom w:w="40" w:type="dxa"/>
              <w:right w:w="20" w:type="dxa"/>
            </w:tcMar>
            <w:vAlign w:val="bottom"/>
          </w:tcPr>
          <w:p w14:paraId="33DAEDF6" w14:textId="77777777" w:rsidR="004D6A64" w:rsidRDefault="00506CD6">
            <w:pPr>
              <w:textAlignment w:val="bottom"/>
            </w:pPr>
            <w:r>
              <w:rPr>
                <w:rFonts w:ascii="Times New Roman" w:eastAsia="宋体" w:hAnsi="Times New Roman"/>
                <w:color w:val="000000"/>
                <w:sz w:val="20"/>
                <w:szCs w:val="20"/>
              </w:rPr>
              <w:t>Non-GAAP net income</w:t>
            </w:r>
          </w:p>
        </w:tc>
        <w:tc>
          <w:tcPr>
            <w:tcW w:w="0" w:type="auto"/>
            <w:shd w:val="clear" w:color="auto" w:fill="CCEEFF"/>
            <w:tcMar>
              <w:top w:w="40" w:type="dxa"/>
              <w:left w:w="20" w:type="dxa"/>
              <w:bottom w:w="40" w:type="dxa"/>
            </w:tcMar>
            <w:vAlign w:val="bottom"/>
          </w:tcPr>
          <w:p w14:paraId="33DAEDF7"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EDF8" w14:textId="77777777" w:rsidR="004D6A64" w:rsidRDefault="00506CD6">
            <w:pPr>
              <w:jc w:val="right"/>
              <w:textAlignment w:val="bottom"/>
            </w:pPr>
            <w:r>
              <w:rPr>
                <w:rFonts w:ascii="Times New Roman" w:eastAsia="宋体" w:hAnsi="Times New Roman"/>
                <w:color w:val="000000"/>
                <w:sz w:val="20"/>
                <w:szCs w:val="20"/>
              </w:rPr>
              <w:t>1,621 </w:t>
            </w:r>
          </w:p>
        </w:tc>
        <w:tc>
          <w:tcPr>
            <w:tcW w:w="0" w:type="auto"/>
            <w:shd w:val="clear" w:color="auto" w:fill="CCEEFF"/>
            <w:tcMar>
              <w:top w:w="40" w:type="dxa"/>
              <w:bottom w:w="40" w:type="dxa"/>
              <w:right w:w="20" w:type="dxa"/>
            </w:tcMar>
            <w:vAlign w:val="bottom"/>
          </w:tcPr>
          <w:p w14:paraId="33DAEDF9"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DFA"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DFB" w14:textId="77777777" w:rsidR="004D6A64" w:rsidRDefault="00506CD6">
            <w:pPr>
              <w:jc w:val="right"/>
              <w:textAlignment w:val="bottom"/>
            </w:pPr>
            <w:r>
              <w:rPr>
                <w:rFonts w:ascii="Times New Roman" w:eastAsia="宋体" w:hAnsi="Times New Roman"/>
                <w:color w:val="000000"/>
                <w:sz w:val="20"/>
                <w:szCs w:val="20"/>
              </w:rPr>
              <w:t>7.1 </w:t>
            </w:r>
          </w:p>
        </w:tc>
        <w:tc>
          <w:tcPr>
            <w:tcW w:w="0" w:type="auto"/>
            <w:shd w:val="clear" w:color="auto" w:fill="CCEEFF"/>
            <w:tcMar>
              <w:top w:w="40" w:type="dxa"/>
              <w:bottom w:w="40" w:type="dxa"/>
              <w:right w:w="20" w:type="dxa"/>
            </w:tcMar>
            <w:vAlign w:val="bottom"/>
          </w:tcPr>
          <w:p w14:paraId="33DAEDFC"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DF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DFE" w14:textId="77777777" w:rsidR="004D6A64" w:rsidRDefault="00506CD6">
            <w:pPr>
              <w:jc w:val="right"/>
              <w:textAlignment w:val="bottom"/>
            </w:pPr>
            <w:r>
              <w:rPr>
                <w:rFonts w:ascii="Times New Roman" w:eastAsia="宋体" w:hAnsi="Times New Roman"/>
                <w:color w:val="000000"/>
                <w:sz w:val="20"/>
                <w:szCs w:val="20"/>
              </w:rPr>
              <w:t>(7)</w:t>
            </w:r>
          </w:p>
        </w:tc>
        <w:tc>
          <w:tcPr>
            <w:tcW w:w="0" w:type="auto"/>
            <w:shd w:val="clear" w:color="auto" w:fill="CCEEFF"/>
            <w:tcMar>
              <w:top w:w="40" w:type="dxa"/>
              <w:bottom w:w="40" w:type="dxa"/>
              <w:right w:w="20" w:type="dxa"/>
            </w:tcMar>
            <w:vAlign w:val="bottom"/>
          </w:tcPr>
          <w:p w14:paraId="33DAEDFF"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E00"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EE01"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EE02" w14:textId="77777777" w:rsidR="004D6A64" w:rsidRDefault="00506CD6">
            <w:pPr>
              <w:jc w:val="right"/>
              <w:textAlignment w:val="bottom"/>
            </w:pPr>
            <w:r>
              <w:rPr>
                <w:rFonts w:ascii="Times New Roman" w:eastAsia="宋体" w:hAnsi="Times New Roman"/>
                <w:color w:val="000000"/>
                <w:sz w:val="20"/>
                <w:szCs w:val="20"/>
              </w:rPr>
              <w:t>1,751 </w:t>
            </w:r>
          </w:p>
        </w:tc>
        <w:tc>
          <w:tcPr>
            <w:tcW w:w="0" w:type="auto"/>
            <w:shd w:val="clear" w:color="auto" w:fill="CCEEFF"/>
            <w:tcMar>
              <w:top w:w="40" w:type="dxa"/>
              <w:bottom w:w="40" w:type="dxa"/>
              <w:right w:w="20" w:type="dxa"/>
            </w:tcMar>
            <w:vAlign w:val="bottom"/>
          </w:tcPr>
          <w:p w14:paraId="33DAEE0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E04"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E05" w14:textId="77777777" w:rsidR="004D6A64" w:rsidRDefault="00506CD6">
            <w:pPr>
              <w:jc w:val="right"/>
              <w:textAlignment w:val="bottom"/>
            </w:pPr>
            <w:r>
              <w:rPr>
                <w:rFonts w:ascii="Times New Roman" w:eastAsia="宋体" w:hAnsi="Times New Roman"/>
                <w:color w:val="000000"/>
                <w:sz w:val="20"/>
                <w:szCs w:val="20"/>
              </w:rPr>
              <w:t>7.5 </w:t>
            </w:r>
          </w:p>
        </w:tc>
        <w:tc>
          <w:tcPr>
            <w:tcW w:w="0" w:type="auto"/>
            <w:shd w:val="clear" w:color="auto" w:fill="CCEEFF"/>
            <w:tcMar>
              <w:top w:w="40" w:type="dxa"/>
              <w:bottom w:w="40" w:type="dxa"/>
              <w:right w:w="20" w:type="dxa"/>
            </w:tcMar>
            <w:vAlign w:val="bottom"/>
          </w:tcPr>
          <w:p w14:paraId="33DAEE06"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E07"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EE08"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EE09" w14:textId="77777777" w:rsidR="004D6A64" w:rsidRDefault="00506CD6">
            <w:pPr>
              <w:jc w:val="right"/>
              <w:textAlignment w:val="bottom"/>
            </w:pPr>
            <w:r>
              <w:rPr>
                <w:rFonts w:ascii="Times New Roman" w:eastAsia="宋体" w:hAnsi="Times New Roman"/>
                <w:color w:val="000000"/>
                <w:sz w:val="20"/>
                <w:szCs w:val="20"/>
              </w:rPr>
              <w:t>2,764 </w:t>
            </w:r>
          </w:p>
        </w:tc>
        <w:tc>
          <w:tcPr>
            <w:tcW w:w="0" w:type="auto"/>
            <w:shd w:val="clear" w:color="auto" w:fill="CCEEFF"/>
            <w:tcMar>
              <w:top w:w="40" w:type="dxa"/>
              <w:bottom w:w="40" w:type="dxa"/>
              <w:right w:w="20" w:type="dxa"/>
            </w:tcMar>
            <w:vAlign w:val="bottom"/>
          </w:tcPr>
          <w:p w14:paraId="33DAEE0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E0B"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E0C" w14:textId="77777777" w:rsidR="004D6A64" w:rsidRDefault="00506CD6">
            <w:pPr>
              <w:jc w:val="right"/>
              <w:textAlignment w:val="bottom"/>
            </w:pPr>
            <w:r>
              <w:rPr>
                <w:rFonts w:ascii="Times New Roman" w:eastAsia="宋体" w:hAnsi="Times New Roman"/>
                <w:color w:val="000000"/>
                <w:sz w:val="20"/>
                <w:szCs w:val="20"/>
              </w:rPr>
              <w:t>6.2 </w:t>
            </w:r>
          </w:p>
        </w:tc>
        <w:tc>
          <w:tcPr>
            <w:tcW w:w="0" w:type="auto"/>
            <w:shd w:val="clear" w:color="auto" w:fill="CCEEFF"/>
            <w:tcMar>
              <w:top w:w="40" w:type="dxa"/>
              <w:bottom w:w="40" w:type="dxa"/>
              <w:right w:w="20" w:type="dxa"/>
            </w:tcMar>
            <w:vAlign w:val="bottom"/>
          </w:tcPr>
          <w:p w14:paraId="33DAEE0D"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E0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E0F" w14:textId="77777777" w:rsidR="004D6A64" w:rsidRDefault="00506CD6">
            <w:pPr>
              <w:jc w:val="right"/>
              <w:textAlignment w:val="bottom"/>
            </w:pPr>
            <w:r>
              <w:rPr>
                <w:rFonts w:ascii="Times New Roman" w:eastAsia="宋体" w:hAnsi="Times New Roman"/>
                <w:color w:val="000000"/>
                <w:sz w:val="20"/>
                <w:szCs w:val="20"/>
              </w:rPr>
              <w:t>(7)</w:t>
            </w:r>
          </w:p>
        </w:tc>
        <w:tc>
          <w:tcPr>
            <w:tcW w:w="0" w:type="auto"/>
            <w:shd w:val="clear" w:color="auto" w:fill="CCEEFF"/>
            <w:tcMar>
              <w:top w:w="40" w:type="dxa"/>
              <w:bottom w:w="40" w:type="dxa"/>
              <w:right w:w="20" w:type="dxa"/>
            </w:tcMar>
            <w:vAlign w:val="bottom"/>
          </w:tcPr>
          <w:p w14:paraId="33DAEE10"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E11"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EE12"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EE13" w14:textId="77777777" w:rsidR="004D6A64" w:rsidRDefault="00506CD6">
            <w:pPr>
              <w:jc w:val="right"/>
              <w:textAlignment w:val="bottom"/>
            </w:pPr>
            <w:r>
              <w:rPr>
                <w:rFonts w:ascii="Times New Roman" w:eastAsia="宋体" w:hAnsi="Times New Roman"/>
                <w:color w:val="000000"/>
                <w:sz w:val="20"/>
                <w:szCs w:val="20"/>
              </w:rPr>
              <w:t>2,960 </w:t>
            </w:r>
          </w:p>
        </w:tc>
        <w:tc>
          <w:tcPr>
            <w:tcW w:w="0" w:type="auto"/>
            <w:shd w:val="clear" w:color="auto" w:fill="CCEEFF"/>
            <w:tcMar>
              <w:top w:w="40" w:type="dxa"/>
              <w:bottom w:w="40" w:type="dxa"/>
              <w:right w:w="20" w:type="dxa"/>
            </w:tcMar>
            <w:vAlign w:val="bottom"/>
          </w:tcPr>
          <w:p w14:paraId="33DAEE1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E1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E16" w14:textId="77777777" w:rsidR="004D6A64" w:rsidRDefault="00506CD6">
            <w:pPr>
              <w:jc w:val="right"/>
              <w:textAlignment w:val="bottom"/>
            </w:pPr>
            <w:r>
              <w:rPr>
                <w:rFonts w:ascii="Times New Roman" w:eastAsia="宋体" w:hAnsi="Times New Roman"/>
                <w:color w:val="000000"/>
                <w:sz w:val="20"/>
                <w:szCs w:val="20"/>
              </w:rPr>
              <w:t>6.5 </w:t>
            </w:r>
          </w:p>
        </w:tc>
        <w:tc>
          <w:tcPr>
            <w:tcW w:w="0" w:type="auto"/>
            <w:shd w:val="clear" w:color="auto" w:fill="CCEEFF"/>
            <w:tcMar>
              <w:top w:w="40" w:type="dxa"/>
              <w:bottom w:w="40" w:type="dxa"/>
              <w:right w:w="20" w:type="dxa"/>
            </w:tcMar>
            <w:vAlign w:val="bottom"/>
          </w:tcPr>
          <w:p w14:paraId="33DAEE17" w14:textId="77777777" w:rsidR="004D6A64" w:rsidRDefault="00506CD6">
            <w:pPr>
              <w:jc w:val="right"/>
              <w:textAlignment w:val="bottom"/>
            </w:pPr>
            <w:r>
              <w:rPr>
                <w:rFonts w:ascii="Times New Roman" w:eastAsia="宋体" w:hAnsi="Times New Roman"/>
                <w:color w:val="000000"/>
                <w:sz w:val="20"/>
                <w:szCs w:val="20"/>
              </w:rPr>
              <w:t>%</w:t>
            </w:r>
          </w:p>
        </w:tc>
        <w:tc>
          <w:tcPr>
            <w:tcW w:w="0" w:type="auto"/>
            <w:shd w:val="clear" w:color="auto" w:fill="auto"/>
          </w:tcPr>
          <w:p w14:paraId="33DAEE18" w14:textId="77777777" w:rsidR="004D6A64" w:rsidRDefault="004D6A64">
            <w:pPr>
              <w:rPr>
                <w:rFonts w:ascii="宋体"/>
              </w:rPr>
            </w:pPr>
          </w:p>
        </w:tc>
        <w:tc>
          <w:tcPr>
            <w:tcW w:w="0" w:type="auto"/>
            <w:shd w:val="clear" w:color="auto" w:fill="auto"/>
          </w:tcPr>
          <w:p w14:paraId="33DAEE19" w14:textId="77777777" w:rsidR="004D6A64" w:rsidRDefault="004D6A64">
            <w:pPr>
              <w:rPr>
                <w:rFonts w:ascii="宋体"/>
              </w:rPr>
            </w:pPr>
          </w:p>
        </w:tc>
        <w:tc>
          <w:tcPr>
            <w:tcW w:w="0" w:type="auto"/>
            <w:shd w:val="clear" w:color="auto" w:fill="auto"/>
          </w:tcPr>
          <w:p w14:paraId="33DAEE1A" w14:textId="77777777" w:rsidR="004D6A64" w:rsidRDefault="004D6A64">
            <w:pPr>
              <w:rPr>
                <w:rFonts w:ascii="宋体"/>
              </w:rPr>
            </w:pPr>
          </w:p>
        </w:tc>
      </w:tr>
      <w:tr w:rsidR="00506CD6" w14:paraId="33DAEE41" w14:textId="77777777">
        <w:tc>
          <w:tcPr>
            <w:tcW w:w="0" w:type="auto"/>
            <w:gridSpan w:val="3"/>
            <w:shd w:val="clear" w:color="auto" w:fill="FFFFFF"/>
            <w:tcMar>
              <w:top w:w="40" w:type="dxa"/>
              <w:left w:w="20" w:type="dxa"/>
              <w:bottom w:w="40" w:type="dxa"/>
              <w:right w:w="20" w:type="dxa"/>
            </w:tcMar>
            <w:vAlign w:val="bottom"/>
          </w:tcPr>
          <w:p w14:paraId="33DAEE1C" w14:textId="77777777" w:rsidR="004D6A64" w:rsidRDefault="00506CD6">
            <w:pPr>
              <w:textAlignment w:val="bottom"/>
            </w:pPr>
            <w:r>
              <w:rPr>
                <w:rFonts w:ascii="Times New Roman" w:eastAsia="宋体" w:hAnsi="Times New Roman"/>
                <w:color w:val="000000"/>
                <w:sz w:val="20"/>
                <w:szCs w:val="20"/>
              </w:rPr>
              <w:t>EBITDA</w:t>
            </w:r>
          </w:p>
        </w:tc>
        <w:tc>
          <w:tcPr>
            <w:tcW w:w="0" w:type="auto"/>
            <w:shd w:val="clear" w:color="auto" w:fill="FFFFFF"/>
            <w:tcMar>
              <w:top w:w="40" w:type="dxa"/>
              <w:left w:w="20" w:type="dxa"/>
              <w:bottom w:w="40" w:type="dxa"/>
            </w:tcMar>
            <w:vAlign w:val="bottom"/>
          </w:tcPr>
          <w:p w14:paraId="33DAEE1D"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E1E" w14:textId="77777777" w:rsidR="004D6A64" w:rsidRDefault="00506CD6">
            <w:pPr>
              <w:jc w:val="right"/>
              <w:textAlignment w:val="bottom"/>
            </w:pPr>
            <w:r>
              <w:rPr>
                <w:rFonts w:ascii="Times New Roman" w:eastAsia="宋体" w:hAnsi="Times New Roman"/>
                <w:color w:val="000000"/>
                <w:sz w:val="20"/>
                <w:szCs w:val="20"/>
              </w:rPr>
              <w:t>2,476 </w:t>
            </w:r>
          </w:p>
        </w:tc>
        <w:tc>
          <w:tcPr>
            <w:tcW w:w="0" w:type="auto"/>
            <w:shd w:val="clear" w:color="auto" w:fill="FFFFFF"/>
            <w:tcMar>
              <w:top w:w="40" w:type="dxa"/>
              <w:bottom w:w="40" w:type="dxa"/>
              <w:right w:w="20" w:type="dxa"/>
            </w:tcMar>
            <w:vAlign w:val="bottom"/>
          </w:tcPr>
          <w:p w14:paraId="33DAEE1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E2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E21" w14:textId="77777777" w:rsidR="004D6A64" w:rsidRDefault="00506CD6">
            <w:pPr>
              <w:jc w:val="right"/>
              <w:textAlignment w:val="bottom"/>
            </w:pPr>
            <w:r>
              <w:rPr>
                <w:rFonts w:ascii="Times New Roman" w:eastAsia="宋体" w:hAnsi="Times New Roman"/>
                <w:color w:val="000000"/>
                <w:sz w:val="20"/>
                <w:szCs w:val="20"/>
              </w:rPr>
              <w:t>10.9 </w:t>
            </w:r>
          </w:p>
        </w:tc>
        <w:tc>
          <w:tcPr>
            <w:tcW w:w="0" w:type="auto"/>
            <w:shd w:val="clear" w:color="auto" w:fill="FFFFFF"/>
            <w:tcMar>
              <w:top w:w="40" w:type="dxa"/>
              <w:bottom w:w="40" w:type="dxa"/>
              <w:right w:w="20" w:type="dxa"/>
            </w:tcMar>
            <w:vAlign w:val="bottom"/>
          </w:tcPr>
          <w:p w14:paraId="33DAEE22"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E2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E24" w14:textId="77777777" w:rsidR="004D6A64" w:rsidRDefault="00506CD6">
            <w:pPr>
              <w:jc w:val="right"/>
              <w:textAlignment w:val="bottom"/>
            </w:pPr>
            <w:r>
              <w:rPr>
                <w:rFonts w:ascii="Times New Roman" w:eastAsia="宋体" w:hAnsi="Times New Roman"/>
                <w:color w:val="000000"/>
                <w:sz w:val="20"/>
                <w:szCs w:val="20"/>
              </w:rPr>
              <w:t>23 </w:t>
            </w:r>
          </w:p>
        </w:tc>
        <w:tc>
          <w:tcPr>
            <w:tcW w:w="0" w:type="auto"/>
            <w:shd w:val="clear" w:color="auto" w:fill="FFFFFF"/>
            <w:tcMar>
              <w:top w:w="40" w:type="dxa"/>
              <w:bottom w:w="40" w:type="dxa"/>
              <w:right w:w="20" w:type="dxa"/>
            </w:tcMar>
            <w:vAlign w:val="bottom"/>
          </w:tcPr>
          <w:p w14:paraId="33DAEE25"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E26"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EE27"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E28" w14:textId="77777777" w:rsidR="004D6A64" w:rsidRDefault="00506CD6">
            <w:pPr>
              <w:jc w:val="right"/>
              <w:textAlignment w:val="bottom"/>
            </w:pPr>
            <w:r>
              <w:rPr>
                <w:rFonts w:ascii="Times New Roman" w:eastAsia="宋体" w:hAnsi="Times New Roman"/>
                <w:color w:val="000000"/>
                <w:sz w:val="20"/>
                <w:szCs w:val="20"/>
              </w:rPr>
              <w:t>2,017 </w:t>
            </w:r>
          </w:p>
        </w:tc>
        <w:tc>
          <w:tcPr>
            <w:tcW w:w="0" w:type="auto"/>
            <w:shd w:val="clear" w:color="auto" w:fill="FFFFFF"/>
            <w:tcMar>
              <w:top w:w="40" w:type="dxa"/>
              <w:bottom w:w="40" w:type="dxa"/>
              <w:right w:w="20" w:type="dxa"/>
            </w:tcMar>
            <w:vAlign w:val="bottom"/>
          </w:tcPr>
          <w:p w14:paraId="33DAEE2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E2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E2B" w14:textId="77777777" w:rsidR="004D6A64" w:rsidRDefault="00506CD6">
            <w:pPr>
              <w:jc w:val="right"/>
              <w:textAlignment w:val="bottom"/>
            </w:pPr>
            <w:r>
              <w:rPr>
                <w:rFonts w:ascii="Times New Roman" w:eastAsia="宋体" w:hAnsi="Times New Roman"/>
                <w:color w:val="000000"/>
                <w:sz w:val="20"/>
                <w:szCs w:val="20"/>
              </w:rPr>
              <w:t>8.6 </w:t>
            </w:r>
          </w:p>
        </w:tc>
        <w:tc>
          <w:tcPr>
            <w:tcW w:w="0" w:type="auto"/>
            <w:shd w:val="clear" w:color="auto" w:fill="FFFFFF"/>
            <w:tcMar>
              <w:top w:w="40" w:type="dxa"/>
              <w:bottom w:w="40" w:type="dxa"/>
              <w:right w:w="20" w:type="dxa"/>
            </w:tcMar>
            <w:vAlign w:val="bottom"/>
          </w:tcPr>
          <w:p w14:paraId="33DAEE2C"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E2D"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EE2E"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E2F" w14:textId="77777777" w:rsidR="004D6A64" w:rsidRDefault="00506CD6">
            <w:pPr>
              <w:jc w:val="right"/>
              <w:textAlignment w:val="bottom"/>
            </w:pPr>
            <w:r>
              <w:rPr>
                <w:rFonts w:ascii="Times New Roman" w:eastAsia="宋体" w:hAnsi="Times New Roman"/>
                <w:color w:val="000000"/>
                <w:sz w:val="20"/>
                <w:szCs w:val="20"/>
              </w:rPr>
              <w:t>4,494 </w:t>
            </w:r>
          </w:p>
        </w:tc>
        <w:tc>
          <w:tcPr>
            <w:tcW w:w="0" w:type="auto"/>
            <w:shd w:val="clear" w:color="auto" w:fill="FFFFFF"/>
            <w:tcMar>
              <w:top w:w="40" w:type="dxa"/>
              <w:bottom w:w="40" w:type="dxa"/>
              <w:right w:w="20" w:type="dxa"/>
            </w:tcMar>
            <w:vAlign w:val="bottom"/>
          </w:tcPr>
          <w:p w14:paraId="33DAEE3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E3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E32" w14:textId="77777777" w:rsidR="004D6A64" w:rsidRDefault="00506CD6">
            <w:pPr>
              <w:jc w:val="right"/>
              <w:textAlignment w:val="bottom"/>
            </w:pPr>
            <w:r>
              <w:rPr>
                <w:rFonts w:ascii="Times New Roman" w:eastAsia="宋体" w:hAnsi="Times New Roman"/>
                <w:color w:val="000000"/>
                <w:sz w:val="20"/>
                <w:szCs w:val="20"/>
              </w:rPr>
              <w:t>10.0 </w:t>
            </w:r>
          </w:p>
        </w:tc>
        <w:tc>
          <w:tcPr>
            <w:tcW w:w="0" w:type="auto"/>
            <w:shd w:val="clear" w:color="auto" w:fill="FFFFFF"/>
            <w:tcMar>
              <w:top w:w="40" w:type="dxa"/>
              <w:bottom w:w="40" w:type="dxa"/>
              <w:right w:w="20" w:type="dxa"/>
            </w:tcMar>
            <w:vAlign w:val="bottom"/>
          </w:tcPr>
          <w:p w14:paraId="33DAEE33"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E34"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E35" w14:textId="77777777" w:rsidR="004D6A64" w:rsidRDefault="00506CD6">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bottom w:w="40" w:type="dxa"/>
              <w:right w:w="20" w:type="dxa"/>
            </w:tcMar>
            <w:vAlign w:val="bottom"/>
          </w:tcPr>
          <w:p w14:paraId="33DAEE36"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E37"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EE38"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E39" w14:textId="77777777" w:rsidR="004D6A64" w:rsidRDefault="00506CD6">
            <w:pPr>
              <w:jc w:val="right"/>
              <w:textAlignment w:val="bottom"/>
            </w:pPr>
            <w:r>
              <w:rPr>
                <w:rFonts w:ascii="Times New Roman" w:eastAsia="宋体" w:hAnsi="Times New Roman"/>
                <w:color w:val="000000"/>
                <w:sz w:val="20"/>
                <w:szCs w:val="20"/>
              </w:rPr>
              <w:t>4,183 </w:t>
            </w:r>
          </w:p>
        </w:tc>
        <w:tc>
          <w:tcPr>
            <w:tcW w:w="0" w:type="auto"/>
            <w:shd w:val="clear" w:color="auto" w:fill="FFFFFF"/>
            <w:tcMar>
              <w:top w:w="40" w:type="dxa"/>
              <w:bottom w:w="40" w:type="dxa"/>
              <w:right w:w="20" w:type="dxa"/>
            </w:tcMar>
            <w:vAlign w:val="bottom"/>
          </w:tcPr>
          <w:p w14:paraId="33DAEE3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E3B"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E3C" w14:textId="77777777" w:rsidR="004D6A64" w:rsidRDefault="00506CD6">
            <w:pPr>
              <w:jc w:val="right"/>
              <w:textAlignment w:val="bottom"/>
            </w:pPr>
            <w:r>
              <w:rPr>
                <w:rFonts w:ascii="Times New Roman" w:eastAsia="宋体" w:hAnsi="Times New Roman"/>
                <w:color w:val="000000"/>
                <w:sz w:val="20"/>
                <w:szCs w:val="20"/>
              </w:rPr>
              <w:t>9.2 </w:t>
            </w:r>
          </w:p>
        </w:tc>
        <w:tc>
          <w:tcPr>
            <w:tcW w:w="0" w:type="auto"/>
            <w:shd w:val="clear" w:color="auto" w:fill="FFFFFF"/>
            <w:tcMar>
              <w:top w:w="40" w:type="dxa"/>
              <w:bottom w:w="40" w:type="dxa"/>
              <w:right w:w="20" w:type="dxa"/>
            </w:tcMar>
            <w:vAlign w:val="bottom"/>
          </w:tcPr>
          <w:p w14:paraId="33DAEE3D" w14:textId="77777777" w:rsidR="004D6A64" w:rsidRDefault="00506CD6">
            <w:pPr>
              <w:jc w:val="right"/>
              <w:textAlignment w:val="bottom"/>
            </w:pPr>
            <w:r>
              <w:rPr>
                <w:rFonts w:ascii="Times New Roman" w:eastAsia="宋体" w:hAnsi="Times New Roman"/>
                <w:color w:val="000000"/>
                <w:sz w:val="20"/>
                <w:szCs w:val="20"/>
              </w:rPr>
              <w:t>%</w:t>
            </w:r>
          </w:p>
        </w:tc>
        <w:tc>
          <w:tcPr>
            <w:tcW w:w="0" w:type="auto"/>
            <w:shd w:val="clear" w:color="auto" w:fill="auto"/>
          </w:tcPr>
          <w:p w14:paraId="33DAEE3E" w14:textId="77777777" w:rsidR="004D6A64" w:rsidRDefault="004D6A64">
            <w:pPr>
              <w:rPr>
                <w:rFonts w:ascii="宋体"/>
              </w:rPr>
            </w:pPr>
          </w:p>
        </w:tc>
        <w:tc>
          <w:tcPr>
            <w:tcW w:w="0" w:type="auto"/>
            <w:shd w:val="clear" w:color="auto" w:fill="auto"/>
          </w:tcPr>
          <w:p w14:paraId="33DAEE3F" w14:textId="77777777" w:rsidR="004D6A64" w:rsidRDefault="004D6A64">
            <w:pPr>
              <w:rPr>
                <w:rFonts w:ascii="宋体"/>
              </w:rPr>
            </w:pPr>
          </w:p>
        </w:tc>
        <w:tc>
          <w:tcPr>
            <w:tcW w:w="0" w:type="auto"/>
            <w:shd w:val="clear" w:color="auto" w:fill="auto"/>
          </w:tcPr>
          <w:p w14:paraId="33DAEE40" w14:textId="77777777" w:rsidR="004D6A64" w:rsidRDefault="004D6A64">
            <w:pPr>
              <w:rPr>
                <w:rFonts w:ascii="宋体"/>
              </w:rPr>
            </w:pPr>
          </w:p>
        </w:tc>
      </w:tr>
      <w:tr w:rsidR="00506CD6" w14:paraId="33DAEE67" w14:textId="77777777">
        <w:tc>
          <w:tcPr>
            <w:tcW w:w="0" w:type="auto"/>
            <w:gridSpan w:val="3"/>
            <w:shd w:val="clear" w:color="auto" w:fill="CCEEFF"/>
            <w:tcMar>
              <w:top w:w="40" w:type="dxa"/>
              <w:left w:w="20" w:type="dxa"/>
              <w:bottom w:w="40" w:type="dxa"/>
              <w:right w:w="20" w:type="dxa"/>
            </w:tcMar>
            <w:vAlign w:val="bottom"/>
          </w:tcPr>
          <w:p w14:paraId="33DAEE42" w14:textId="77777777" w:rsidR="004D6A64" w:rsidRDefault="00506CD6">
            <w:pPr>
              <w:textAlignment w:val="bottom"/>
            </w:pPr>
            <w:r>
              <w:rPr>
                <w:rFonts w:ascii="Times New Roman" w:eastAsia="宋体" w:hAnsi="Times New Roman"/>
                <w:color w:val="000000"/>
                <w:sz w:val="20"/>
                <w:szCs w:val="20"/>
              </w:rPr>
              <w:t>Adjusted EBITDA</w:t>
            </w:r>
          </w:p>
        </w:tc>
        <w:tc>
          <w:tcPr>
            <w:tcW w:w="0" w:type="auto"/>
            <w:shd w:val="clear" w:color="auto" w:fill="CCEEFF"/>
            <w:tcMar>
              <w:top w:w="40" w:type="dxa"/>
              <w:left w:w="20" w:type="dxa"/>
              <w:bottom w:w="40" w:type="dxa"/>
            </w:tcMar>
            <w:vAlign w:val="bottom"/>
          </w:tcPr>
          <w:p w14:paraId="33DAEE43"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EE44" w14:textId="77777777" w:rsidR="004D6A64" w:rsidRDefault="00506CD6">
            <w:pPr>
              <w:jc w:val="right"/>
              <w:textAlignment w:val="bottom"/>
            </w:pPr>
            <w:r>
              <w:rPr>
                <w:rFonts w:ascii="Times New Roman" w:eastAsia="宋体" w:hAnsi="Times New Roman"/>
                <w:color w:val="000000"/>
                <w:sz w:val="20"/>
                <w:szCs w:val="20"/>
              </w:rPr>
              <w:t>3,100 </w:t>
            </w:r>
          </w:p>
        </w:tc>
        <w:tc>
          <w:tcPr>
            <w:tcW w:w="0" w:type="auto"/>
            <w:shd w:val="clear" w:color="auto" w:fill="CCEEFF"/>
            <w:tcMar>
              <w:top w:w="40" w:type="dxa"/>
              <w:bottom w:w="40" w:type="dxa"/>
              <w:right w:w="20" w:type="dxa"/>
            </w:tcMar>
            <w:vAlign w:val="bottom"/>
          </w:tcPr>
          <w:p w14:paraId="33DAEE4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E4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E47" w14:textId="77777777" w:rsidR="004D6A64" w:rsidRDefault="00506CD6">
            <w:pPr>
              <w:jc w:val="right"/>
              <w:textAlignment w:val="bottom"/>
            </w:pPr>
            <w:r>
              <w:rPr>
                <w:rFonts w:ascii="Times New Roman" w:eastAsia="宋体" w:hAnsi="Times New Roman"/>
                <w:color w:val="000000"/>
                <w:sz w:val="20"/>
                <w:szCs w:val="20"/>
              </w:rPr>
              <w:t>13.6 </w:t>
            </w:r>
          </w:p>
        </w:tc>
        <w:tc>
          <w:tcPr>
            <w:tcW w:w="0" w:type="auto"/>
            <w:shd w:val="clear" w:color="auto" w:fill="CCEEFF"/>
            <w:tcMar>
              <w:top w:w="40" w:type="dxa"/>
              <w:bottom w:w="40" w:type="dxa"/>
              <w:right w:w="20" w:type="dxa"/>
            </w:tcMar>
            <w:vAlign w:val="bottom"/>
          </w:tcPr>
          <w:p w14:paraId="33DAEE48"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E4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E4A" w14:textId="77777777" w:rsidR="004D6A64" w:rsidRDefault="00506CD6">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bottom w:w="40" w:type="dxa"/>
              <w:right w:w="20" w:type="dxa"/>
            </w:tcMar>
            <w:vAlign w:val="bottom"/>
          </w:tcPr>
          <w:p w14:paraId="33DAEE4B"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E4C"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EE4D"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EE4E" w14:textId="77777777" w:rsidR="004D6A64" w:rsidRDefault="00506CD6">
            <w:pPr>
              <w:jc w:val="right"/>
              <w:textAlignment w:val="bottom"/>
            </w:pPr>
            <w:r>
              <w:rPr>
                <w:rFonts w:ascii="Times New Roman" w:eastAsia="宋体" w:hAnsi="Times New Roman"/>
                <w:color w:val="000000"/>
                <w:sz w:val="20"/>
                <w:szCs w:val="20"/>
              </w:rPr>
              <w:t>3,156 </w:t>
            </w:r>
          </w:p>
        </w:tc>
        <w:tc>
          <w:tcPr>
            <w:tcW w:w="0" w:type="auto"/>
            <w:shd w:val="clear" w:color="auto" w:fill="CCEEFF"/>
            <w:tcMar>
              <w:top w:w="40" w:type="dxa"/>
              <w:bottom w:w="40" w:type="dxa"/>
              <w:right w:w="20" w:type="dxa"/>
            </w:tcMar>
            <w:vAlign w:val="bottom"/>
          </w:tcPr>
          <w:p w14:paraId="33DAEE4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E50"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E51" w14:textId="77777777" w:rsidR="004D6A64" w:rsidRDefault="00506CD6">
            <w:pPr>
              <w:jc w:val="right"/>
              <w:textAlignment w:val="bottom"/>
            </w:pPr>
            <w:r>
              <w:rPr>
                <w:rFonts w:ascii="Times New Roman" w:eastAsia="宋体" w:hAnsi="Times New Roman"/>
                <w:color w:val="000000"/>
                <w:sz w:val="20"/>
                <w:szCs w:val="20"/>
              </w:rPr>
              <w:t>13.5 </w:t>
            </w:r>
          </w:p>
        </w:tc>
        <w:tc>
          <w:tcPr>
            <w:tcW w:w="0" w:type="auto"/>
            <w:shd w:val="clear" w:color="auto" w:fill="CCEEFF"/>
            <w:tcMar>
              <w:top w:w="40" w:type="dxa"/>
              <w:bottom w:w="40" w:type="dxa"/>
              <w:right w:w="20" w:type="dxa"/>
            </w:tcMar>
            <w:vAlign w:val="bottom"/>
          </w:tcPr>
          <w:p w14:paraId="33DAEE52"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E53"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EE54"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EE55" w14:textId="77777777" w:rsidR="004D6A64" w:rsidRDefault="00506CD6">
            <w:pPr>
              <w:jc w:val="right"/>
              <w:textAlignment w:val="bottom"/>
            </w:pPr>
            <w:r>
              <w:rPr>
                <w:rFonts w:ascii="Times New Roman" w:eastAsia="宋体" w:hAnsi="Times New Roman"/>
                <w:color w:val="000000"/>
                <w:sz w:val="20"/>
                <w:szCs w:val="20"/>
              </w:rPr>
              <w:t>5,707 </w:t>
            </w:r>
          </w:p>
        </w:tc>
        <w:tc>
          <w:tcPr>
            <w:tcW w:w="0" w:type="auto"/>
            <w:shd w:val="clear" w:color="auto" w:fill="CCEEFF"/>
            <w:tcMar>
              <w:top w:w="40" w:type="dxa"/>
              <w:bottom w:w="40" w:type="dxa"/>
              <w:right w:w="20" w:type="dxa"/>
            </w:tcMar>
            <w:vAlign w:val="bottom"/>
          </w:tcPr>
          <w:p w14:paraId="33DAEE5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E57"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E58" w14:textId="77777777" w:rsidR="004D6A64" w:rsidRDefault="00506CD6">
            <w:pPr>
              <w:jc w:val="right"/>
              <w:textAlignment w:val="bottom"/>
            </w:pPr>
            <w:r>
              <w:rPr>
                <w:rFonts w:ascii="Times New Roman" w:eastAsia="宋体" w:hAnsi="Times New Roman"/>
                <w:color w:val="000000"/>
                <w:sz w:val="20"/>
                <w:szCs w:val="20"/>
              </w:rPr>
              <w:t>12.8 </w:t>
            </w:r>
          </w:p>
        </w:tc>
        <w:tc>
          <w:tcPr>
            <w:tcW w:w="0" w:type="auto"/>
            <w:shd w:val="clear" w:color="auto" w:fill="CCEEFF"/>
            <w:tcMar>
              <w:top w:w="40" w:type="dxa"/>
              <w:bottom w:w="40" w:type="dxa"/>
              <w:right w:w="20" w:type="dxa"/>
            </w:tcMar>
            <w:vAlign w:val="bottom"/>
          </w:tcPr>
          <w:p w14:paraId="33DAEE59"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E5A"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E5B" w14:textId="77777777" w:rsidR="004D6A64" w:rsidRDefault="00506CD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bottom"/>
          </w:tcPr>
          <w:p w14:paraId="33DAEE5C"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E5D"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EE5E"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EE5F" w14:textId="77777777" w:rsidR="004D6A64" w:rsidRDefault="00506CD6">
            <w:pPr>
              <w:jc w:val="right"/>
              <w:textAlignment w:val="bottom"/>
            </w:pPr>
            <w:r>
              <w:rPr>
                <w:rFonts w:ascii="Times New Roman" w:eastAsia="宋体" w:hAnsi="Times New Roman"/>
                <w:color w:val="000000"/>
                <w:sz w:val="20"/>
                <w:szCs w:val="20"/>
              </w:rPr>
              <w:t>5,729 </w:t>
            </w:r>
          </w:p>
        </w:tc>
        <w:tc>
          <w:tcPr>
            <w:tcW w:w="0" w:type="auto"/>
            <w:shd w:val="clear" w:color="auto" w:fill="CCEEFF"/>
            <w:tcMar>
              <w:top w:w="40" w:type="dxa"/>
              <w:bottom w:w="40" w:type="dxa"/>
              <w:right w:w="20" w:type="dxa"/>
            </w:tcMar>
            <w:vAlign w:val="bottom"/>
          </w:tcPr>
          <w:p w14:paraId="33DAEE6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E61"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E62" w14:textId="77777777" w:rsidR="004D6A64" w:rsidRDefault="00506CD6">
            <w:pPr>
              <w:jc w:val="right"/>
              <w:textAlignment w:val="bottom"/>
            </w:pPr>
            <w:r>
              <w:rPr>
                <w:rFonts w:ascii="Times New Roman" w:eastAsia="宋体" w:hAnsi="Times New Roman"/>
                <w:color w:val="000000"/>
                <w:sz w:val="20"/>
                <w:szCs w:val="20"/>
              </w:rPr>
              <w:t>12.6 </w:t>
            </w:r>
          </w:p>
        </w:tc>
        <w:tc>
          <w:tcPr>
            <w:tcW w:w="0" w:type="auto"/>
            <w:shd w:val="clear" w:color="auto" w:fill="CCEEFF"/>
            <w:tcMar>
              <w:top w:w="40" w:type="dxa"/>
              <w:bottom w:w="40" w:type="dxa"/>
              <w:right w:w="20" w:type="dxa"/>
            </w:tcMar>
            <w:vAlign w:val="bottom"/>
          </w:tcPr>
          <w:p w14:paraId="33DAEE63" w14:textId="77777777" w:rsidR="004D6A64" w:rsidRDefault="00506CD6">
            <w:pPr>
              <w:jc w:val="right"/>
              <w:textAlignment w:val="bottom"/>
            </w:pPr>
            <w:r>
              <w:rPr>
                <w:rFonts w:ascii="Times New Roman" w:eastAsia="宋体" w:hAnsi="Times New Roman"/>
                <w:color w:val="000000"/>
                <w:sz w:val="20"/>
                <w:szCs w:val="20"/>
              </w:rPr>
              <w:t>%</w:t>
            </w:r>
          </w:p>
        </w:tc>
        <w:tc>
          <w:tcPr>
            <w:tcW w:w="0" w:type="auto"/>
            <w:shd w:val="clear" w:color="auto" w:fill="auto"/>
          </w:tcPr>
          <w:p w14:paraId="33DAEE64" w14:textId="77777777" w:rsidR="004D6A64" w:rsidRDefault="004D6A64">
            <w:pPr>
              <w:rPr>
                <w:rFonts w:ascii="宋体"/>
              </w:rPr>
            </w:pPr>
          </w:p>
        </w:tc>
        <w:tc>
          <w:tcPr>
            <w:tcW w:w="0" w:type="auto"/>
            <w:shd w:val="clear" w:color="auto" w:fill="auto"/>
          </w:tcPr>
          <w:p w14:paraId="33DAEE65" w14:textId="77777777" w:rsidR="004D6A64" w:rsidRDefault="004D6A64">
            <w:pPr>
              <w:rPr>
                <w:rFonts w:ascii="宋体"/>
              </w:rPr>
            </w:pPr>
          </w:p>
        </w:tc>
        <w:tc>
          <w:tcPr>
            <w:tcW w:w="0" w:type="auto"/>
            <w:shd w:val="clear" w:color="auto" w:fill="auto"/>
          </w:tcPr>
          <w:p w14:paraId="33DAEE66" w14:textId="77777777" w:rsidR="004D6A64" w:rsidRDefault="004D6A64">
            <w:pPr>
              <w:rPr>
                <w:rFonts w:ascii="宋体"/>
              </w:rPr>
            </w:pPr>
          </w:p>
        </w:tc>
      </w:tr>
    </w:tbl>
    <w:p w14:paraId="33DAEE68" w14:textId="77777777" w:rsidR="004D6A64" w:rsidRDefault="00506CD6">
      <w:r>
        <w:rPr>
          <w:rFonts w:ascii="Times New Roman" w:eastAsia="宋体" w:hAnsi="Times New Roman"/>
          <w:color w:val="000000"/>
          <w:sz w:val="20"/>
          <w:szCs w:val="20"/>
        </w:rPr>
        <w:t>____________________</w:t>
      </w:r>
    </w:p>
    <w:p w14:paraId="33DAEE69" w14:textId="77777777" w:rsidR="004D6A64" w:rsidRDefault="00506CD6">
      <w:pPr>
        <w:pBdr>
          <w:left w:val="none" w:sz="0" w:space="0" w:color="auto"/>
        </w:pBdr>
        <w:ind w:hanging="360"/>
      </w:pPr>
      <w:r>
        <w:rPr>
          <w:rFonts w:ascii="Times New Roman" w:eastAsia="宋体" w:hAnsi="Times New Roman"/>
          <w:color w:val="000000"/>
          <w:sz w:val="20"/>
          <w:szCs w:val="20"/>
        </w:rPr>
        <w:t>(a) During Fiscal 2020, Dell Technologies made certain reclassifications of net revenue between the products and services c</w:t>
      </w:r>
      <w:r>
        <w:rPr>
          <w:rFonts w:ascii="Times New Roman" w:eastAsia="宋体" w:hAnsi="Times New Roman"/>
          <w:color w:val="000000"/>
          <w:sz w:val="20"/>
          <w:szCs w:val="20"/>
        </w:rPr>
        <w:t>ategories on the Consolidated Statement of Net Income (Loss), which impacted previously reported amounts for the second quarter and first six months of Fiscal 2020. The Company did not recast cost of goods sold for the related revenue reclassifications due</w:t>
      </w:r>
      <w:r>
        <w:rPr>
          <w:rFonts w:ascii="Times New Roman" w:eastAsia="宋体" w:hAnsi="Times New Roman"/>
          <w:color w:val="000000"/>
          <w:sz w:val="20"/>
          <w:szCs w:val="20"/>
        </w:rPr>
        <w:t xml:space="preserve"> to immateriality. The reclassifications resulted in an increase to services revenue and an equal and offsetting decrease to product revenue of $195 million and $374 million for the second quarter and first six months of Fiscal 2020, respectively. Total ne</w:t>
      </w:r>
      <w:r>
        <w:rPr>
          <w:rFonts w:ascii="Times New Roman" w:eastAsia="宋体" w:hAnsi="Times New Roman"/>
          <w:color w:val="000000"/>
          <w:sz w:val="20"/>
          <w:szCs w:val="20"/>
        </w:rPr>
        <w:t xml:space="preserve">t revenue as previously reported remains unchanged. </w:t>
      </w:r>
    </w:p>
    <w:p w14:paraId="33DAEE6A" w14:textId="77777777" w:rsidR="004D6A64" w:rsidRDefault="004D6A64">
      <w:pPr>
        <w:pBdr>
          <w:left w:val="none" w:sz="0" w:space="0" w:color="auto"/>
        </w:pBdr>
        <w:ind w:hanging="360"/>
      </w:pPr>
    </w:p>
    <w:p w14:paraId="33DAEE6B" w14:textId="77777777" w:rsidR="004D6A64" w:rsidRDefault="004D6A64">
      <w:pPr>
        <w:jc w:val="center"/>
      </w:pPr>
    </w:p>
    <w:p w14:paraId="33DAEE6C" w14:textId="77777777" w:rsidR="004D6A64" w:rsidRDefault="00506CD6">
      <w:pPr>
        <w:jc w:val="center"/>
      </w:pPr>
      <w:r>
        <w:rPr>
          <w:rFonts w:ascii="Times New Roman" w:eastAsia="宋体" w:hAnsi="Times New Roman"/>
          <w:color w:val="000000"/>
          <w:sz w:val="20"/>
          <w:szCs w:val="20"/>
        </w:rPr>
        <w:t>77</w:t>
      </w:r>
    </w:p>
    <w:p w14:paraId="33DAEE6D" w14:textId="77777777" w:rsidR="004D6A64" w:rsidRDefault="004D6A64">
      <w:pPr>
        <w:jc w:val="center"/>
      </w:pPr>
    </w:p>
    <w:p w14:paraId="33DAEE6E" w14:textId="77777777" w:rsidR="004D6A64" w:rsidRDefault="00506CD6">
      <w:r>
        <w:pict w14:anchorId="33DAFB11">
          <v:rect id="_x0000_i1101" style="width:415.3pt;height:1.5pt" o:hralign="center" o:hrstd="t" o:hr="t" fillcolor="#a0a0a0" stroked="f"/>
        </w:pict>
      </w:r>
    </w:p>
    <w:p w14:paraId="33DAEE6F" w14:textId="77777777" w:rsidR="004D6A64" w:rsidRDefault="00506CD6">
      <w:hyperlink r:id="rId200" w:anchor="if3e0e1bf9ecd4bf69551d7a85f98d64a_10" w:history="1">
        <w:r>
          <w:rPr>
            <w:rStyle w:val="a5"/>
            <w:rFonts w:ascii="Times New Roman" w:eastAsia="宋体" w:hAnsi="Times New Roman"/>
            <w:sz w:val="20"/>
            <w:szCs w:val="20"/>
          </w:rPr>
          <w:t>Table of Contents</w:t>
        </w:r>
      </w:hyperlink>
    </w:p>
    <w:p w14:paraId="33DAEE70" w14:textId="77777777" w:rsidR="004D6A64" w:rsidRDefault="00506CD6">
      <w:pPr>
        <w:pBdr>
          <w:left w:val="none" w:sz="0" w:space="0" w:color="auto"/>
        </w:pBdr>
        <w:ind w:hanging="360"/>
      </w:pPr>
      <w:r>
        <w:rPr>
          <w:rFonts w:ascii="Times New Roman" w:eastAsia="宋体" w:hAnsi="Times New Roman"/>
          <w:color w:val="000000"/>
          <w:sz w:val="20"/>
          <w:szCs w:val="20"/>
        </w:rPr>
        <w:t xml:space="preserve">(b) Product gross </w:t>
      </w:r>
      <w:r>
        <w:rPr>
          <w:rFonts w:ascii="Times New Roman" w:eastAsia="宋体" w:hAnsi="Times New Roman"/>
          <w:color w:val="000000"/>
          <w:sz w:val="20"/>
          <w:szCs w:val="20"/>
        </w:rPr>
        <w:t>margin percentages represent product gross margin as a percentage of product net revenue, and non-GAAP product gross margin percentages represent non-GAAP product gross margin as a percentage of non-GAAP product net revenue.</w:t>
      </w:r>
    </w:p>
    <w:p w14:paraId="33DAEE71" w14:textId="77777777" w:rsidR="004D6A64" w:rsidRDefault="00506CD6">
      <w:pPr>
        <w:pBdr>
          <w:left w:val="none" w:sz="0" w:space="0" w:color="auto"/>
        </w:pBdr>
        <w:ind w:hanging="360"/>
      </w:pPr>
      <w:r>
        <w:rPr>
          <w:rFonts w:ascii="Times New Roman" w:eastAsia="宋体" w:hAnsi="Times New Roman"/>
          <w:color w:val="000000"/>
          <w:sz w:val="20"/>
          <w:szCs w:val="20"/>
        </w:rPr>
        <w:t>(c) Services gross margin perce</w:t>
      </w:r>
      <w:r>
        <w:rPr>
          <w:rFonts w:ascii="Times New Roman" w:eastAsia="宋体" w:hAnsi="Times New Roman"/>
          <w:color w:val="000000"/>
          <w:sz w:val="20"/>
          <w:szCs w:val="20"/>
        </w:rPr>
        <w:t>ntages represent services gross margin as a percentage of services net revenue, and non-GAAP services gross margin percentages represent non-GAAP services gross margin as a percentage of non-GAAP services net revenue.</w:t>
      </w:r>
    </w:p>
    <w:p w14:paraId="33DAEE72" w14:textId="77777777" w:rsidR="004D6A64" w:rsidRDefault="004D6A64"/>
    <w:p w14:paraId="33DAEE73" w14:textId="77777777" w:rsidR="004D6A64" w:rsidRDefault="00506CD6">
      <w:r>
        <w:rPr>
          <w:rFonts w:ascii="Times New Roman" w:eastAsia="宋体" w:hAnsi="Times New Roman"/>
          <w:color w:val="000000"/>
          <w:sz w:val="20"/>
          <w:szCs w:val="20"/>
        </w:rPr>
        <w:t>Non-GAAP product net revenue, non-GAA</w:t>
      </w:r>
      <w:r>
        <w:rPr>
          <w:rFonts w:ascii="Times New Roman" w:eastAsia="宋体" w:hAnsi="Times New Roman"/>
          <w:color w:val="000000"/>
          <w:sz w:val="20"/>
          <w:szCs w:val="20"/>
        </w:rPr>
        <w:t>P services net revenue, non-GAAP net revenue, non-GAAP product gross margin, non-GAAP services gross margin, non-GAAP gross margin, non-GAAP operating expenses, non-GAAP operating income, non-GAAP net income, EBITDA, and adjusted EBITDA are not measurement</w:t>
      </w:r>
      <w:r>
        <w:rPr>
          <w:rFonts w:ascii="Times New Roman" w:eastAsia="宋体" w:hAnsi="Times New Roman"/>
          <w:color w:val="000000"/>
          <w:sz w:val="20"/>
          <w:szCs w:val="20"/>
        </w:rPr>
        <w:t xml:space="preserve">s of financial performance prepared in accordance with GAAP. Non-GAAP financial measures as a percentage of net revenue are calculated based on non-GAAP net revenue. See </w:t>
      </w:r>
      <w:r>
        <w:rPr>
          <w:rFonts w:ascii="Times New Roman" w:eastAsia="宋体" w:hAnsi="Times New Roman"/>
          <w:color w:val="000000"/>
          <w:sz w:val="18"/>
          <w:szCs w:val="18"/>
        </w:rPr>
        <w:t>“</w:t>
      </w:r>
      <w:r>
        <w:rPr>
          <w:rFonts w:ascii="Times New Roman" w:eastAsia="宋体" w:hAnsi="Times New Roman"/>
          <w:color w:val="000000"/>
          <w:sz w:val="20"/>
          <w:szCs w:val="20"/>
        </w:rPr>
        <w:t>Non-GAAP Financial Measures</w:t>
      </w:r>
      <w:r>
        <w:rPr>
          <w:rFonts w:ascii="Times New Roman" w:eastAsia="宋体" w:hAnsi="Times New Roman"/>
          <w:color w:val="000000"/>
          <w:sz w:val="18"/>
          <w:szCs w:val="18"/>
        </w:rPr>
        <w:t>”</w:t>
      </w:r>
      <w:r>
        <w:rPr>
          <w:rFonts w:ascii="Times New Roman" w:eastAsia="宋体" w:hAnsi="Times New Roman"/>
          <w:color w:val="000000"/>
          <w:sz w:val="20"/>
          <w:szCs w:val="20"/>
        </w:rPr>
        <w:t xml:space="preserve"> for additional information about these non-GAAP financia</w:t>
      </w:r>
      <w:r>
        <w:rPr>
          <w:rFonts w:ascii="Times New Roman" w:eastAsia="宋体" w:hAnsi="Times New Roman"/>
          <w:color w:val="000000"/>
          <w:sz w:val="20"/>
          <w:szCs w:val="20"/>
        </w:rPr>
        <w:t>l measures, including our reasons for including these measures, material limitations with respect to the usefulness of the measures, and a reconciliation of each non-GAAP financial measure to the most directly comparable GAAP financial measure.</w:t>
      </w:r>
    </w:p>
    <w:p w14:paraId="33DAEE74" w14:textId="77777777" w:rsidR="004D6A64" w:rsidRDefault="004D6A64"/>
    <w:p w14:paraId="33DAEE75" w14:textId="77777777" w:rsidR="004D6A64" w:rsidRDefault="00506CD6">
      <w:r>
        <w:rPr>
          <w:rFonts w:ascii="Times New Roman" w:eastAsia="宋体" w:hAnsi="Times New Roman"/>
          <w:b/>
          <w:bCs/>
          <w:color w:val="000000"/>
          <w:sz w:val="20"/>
          <w:szCs w:val="20"/>
        </w:rPr>
        <w:t>Overview</w:t>
      </w:r>
    </w:p>
    <w:p w14:paraId="33DAEE76" w14:textId="77777777" w:rsidR="004D6A64" w:rsidRDefault="004D6A64"/>
    <w:p w14:paraId="33DAEE77" w14:textId="77777777" w:rsidR="004D6A64" w:rsidRDefault="00506CD6">
      <w:r>
        <w:rPr>
          <w:rFonts w:ascii="Times New Roman" w:eastAsia="宋体" w:hAnsi="Times New Roman"/>
          <w:color w:val="000000"/>
          <w:sz w:val="20"/>
          <w:szCs w:val="20"/>
        </w:rPr>
        <w:t>During the second quarter and first six months of Fiscal 2021, our net revenue decreased 3% and 1%, respectively, as we benefited from the strength of our broad technology solutions portfolio, which helped us navigate market volatility and competitive pres</w:t>
      </w:r>
      <w:r>
        <w:rPr>
          <w:rFonts w:ascii="Times New Roman" w:eastAsia="宋体" w:hAnsi="Times New Roman"/>
          <w:color w:val="000000"/>
          <w:sz w:val="20"/>
          <w:szCs w:val="20"/>
        </w:rPr>
        <w:t>sures, particularly due to the COVID-19 environment. During the second quarter and first six months of Fiscal 2021, our non-GAAP net revenue decreased 3% and 2%, respectively. Declines in ISG and CSG net revenue were partially offset by an increase in VMwa</w:t>
      </w:r>
      <w:r>
        <w:rPr>
          <w:rFonts w:ascii="Times New Roman" w:eastAsia="宋体" w:hAnsi="Times New Roman"/>
          <w:color w:val="000000"/>
          <w:sz w:val="20"/>
          <w:szCs w:val="20"/>
        </w:rPr>
        <w:t>re net revenue for both the second quarter and first six months of Fiscal 2021. VMware net revenue increased as a result of broad-based strength across the portfolio, primarily due to growth in sales of subscriptions and software-as-a-service offerings. IS</w:t>
      </w:r>
      <w:r>
        <w:rPr>
          <w:rFonts w:ascii="Times New Roman" w:eastAsia="宋体" w:hAnsi="Times New Roman"/>
          <w:color w:val="000000"/>
          <w:sz w:val="20"/>
          <w:szCs w:val="20"/>
        </w:rPr>
        <w:t>G net revenue decreased primarily due to a weaker demand environment as customers continued to direct their investments towards remote work and business continuity solutions. The decrease in CSG net revenue was primarily driven by lower demand for commerci</w:t>
      </w:r>
      <w:r>
        <w:rPr>
          <w:rFonts w:ascii="Times New Roman" w:eastAsia="宋体" w:hAnsi="Times New Roman"/>
          <w:color w:val="000000"/>
          <w:sz w:val="20"/>
          <w:szCs w:val="20"/>
        </w:rPr>
        <w:t>al desktops, partially offset by growth in consumer solutions and continued demand for commercial notebooks. Although we are in the midst of unprecedented uncertainty as a result of the ongoing COVID-19 pandemic, we believe we are well-positioned for long-</w:t>
      </w:r>
      <w:r>
        <w:rPr>
          <w:rFonts w:ascii="Times New Roman" w:eastAsia="宋体" w:hAnsi="Times New Roman"/>
          <w:color w:val="000000"/>
          <w:sz w:val="20"/>
          <w:szCs w:val="20"/>
        </w:rPr>
        <w:t>term profitable growth while also maintaining the ability to adjust as needed to changing market conditions with complementary solutions across all segments of our business, an agile workforce, and the strength of our global supply chain.</w:t>
      </w:r>
    </w:p>
    <w:p w14:paraId="33DAEE78" w14:textId="77777777" w:rsidR="004D6A64" w:rsidRDefault="004D6A64"/>
    <w:p w14:paraId="33DAEE79" w14:textId="77777777" w:rsidR="004D6A64" w:rsidRDefault="00506CD6">
      <w:r>
        <w:rPr>
          <w:rFonts w:ascii="Times New Roman" w:eastAsia="宋体" w:hAnsi="Times New Roman"/>
          <w:color w:val="000000"/>
          <w:sz w:val="20"/>
          <w:szCs w:val="20"/>
        </w:rPr>
        <w:t xml:space="preserve">During the </w:t>
      </w:r>
      <w:r>
        <w:rPr>
          <w:rFonts w:ascii="Times New Roman" w:eastAsia="宋体" w:hAnsi="Times New Roman"/>
          <w:color w:val="000000"/>
          <w:sz w:val="20"/>
          <w:szCs w:val="20"/>
        </w:rPr>
        <w:t>second quarter and first six months of Fiscal 2021, our operating income increased 119% and 72%, respectively, primarily due to the absence of Virtustream impairment charges of $619 million recognized in the second quarter and first six months of Fiscal 20</w:t>
      </w:r>
      <w:r>
        <w:rPr>
          <w:rFonts w:ascii="Times New Roman" w:eastAsia="宋体" w:hAnsi="Times New Roman"/>
          <w:color w:val="000000"/>
          <w:sz w:val="20"/>
          <w:szCs w:val="20"/>
        </w:rPr>
        <w:t xml:space="preserve">20. Operating income also benefited from increases in operating income for VMware and other businesses, and decreases in amortization of intangible assets. These benefits were partially offset by decreases in operating income for CSG and ISG and increases </w:t>
      </w:r>
      <w:r>
        <w:rPr>
          <w:rFonts w:ascii="Times New Roman" w:eastAsia="宋体" w:hAnsi="Times New Roman"/>
          <w:color w:val="000000"/>
          <w:sz w:val="20"/>
          <w:szCs w:val="20"/>
        </w:rPr>
        <w:t>in stock-based compensation expense.</w:t>
      </w:r>
    </w:p>
    <w:p w14:paraId="33DAEE7A" w14:textId="77777777" w:rsidR="004D6A64" w:rsidRDefault="004D6A64"/>
    <w:p w14:paraId="33DAEE7B" w14:textId="77777777" w:rsidR="004D6A64" w:rsidRDefault="00506CD6">
      <w:r>
        <w:rPr>
          <w:rFonts w:ascii="Times New Roman" w:eastAsia="宋体" w:hAnsi="Times New Roman"/>
          <w:color w:val="000000"/>
          <w:sz w:val="20"/>
          <w:szCs w:val="20"/>
        </w:rPr>
        <w:t>Amortization of intangible assets, stock-based compensation expense, and other corporate expenses that impacted our operating income totaled $1.3 billion and $2.1 billion for the second quarter of Fiscal 2021 and Fisca</w:t>
      </w:r>
      <w:r>
        <w:rPr>
          <w:rFonts w:ascii="Times New Roman" w:eastAsia="宋体" w:hAnsi="Times New Roman"/>
          <w:color w:val="000000"/>
          <w:sz w:val="20"/>
          <w:szCs w:val="20"/>
        </w:rPr>
        <w:t>l 2020, respectively, and $2.7 billion and $3.6 billion for the first six months of Fiscal 2021 and Fiscal 2020, respectively. Excluding these costs, and the impact of purchase accounting and transaction-related expenses, our non-GAAP operating income decr</w:t>
      </w:r>
      <w:r>
        <w:rPr>
          <w:rFonts w:ascii="Times New Roman" w:eastAsia="宋体" w:hAnsi="Times New Roman"/>
          <w:color w:val="000000"/>
          <w:sz w:val="20"/>
          <w:szCs w:val="20"/>
        </w:rPr>
        <w:t>eased 5% and 3% during the second quarter and first six months of Fiscal 2021, respectively, due to decreases in operating income for ISG and CSG, which were partially offset by increases in operating income for VMware and other businesses.</w:t>
      </w:r>
    </w:p>
    <w:p w14:paraId="33DAEE7C" w14:textId="77777777" w:rsidR="004D6A64" w:rsidRDefault="004D6A64"/>
    <w:p w14:paraId="33DAEE7D" w14:textId="77777777" w:rsidR="004D6A64" w:rsidRDefault="00506CD6">
      <w:r>
        <w:rPr>
          <w:rFonts w:ascii="Times New Roman" w:eastAsia="宋体" w:hAnsi="Times New Roman"/>
          <w:color w:val="000000"/>
          <w:sz w:val="20"/>
          <w:szCs w:val="20"/>
        </w:rPr>
        <w:t xml:space="preserve">Cash provided </w:t>
      </w:r>
      <w:r>
        <w:rPr>
          <w:rFonts w:ascii="Times New Roman" w:eastAsia="宋体" w:hAnsi="Times New Roman"/>
          <w:color w:val="000000"/>
          <w:sz w:val="20"/>
          <w:szCs w:val="20"/>
        </w:rPr>
        <w:t>by operating activities was $2.5 billion for the first six months of Fiscal 2021 compared to $4.0 billion for the first six months of Fiscal 2020. The decrease in operating cash flows during the first six months of Fiscal 2021 was primarily attributable to</w:t>
      </w:r>
      <w:r>
        <w:rPr>
          <w:rFonts w:ascii="Times New Roman" w:eastAsia="宋体" w:hAnsi="Times New Roman"/>
          <w:color w:val="000000"/>
          <w:sz w:val="20"/>
          <w:szCs w:val="20"/>
        </w:rPr>
        <w:t xml:space="preserve"> unfavorable working capital impacts of an increase in inventory related to the COVID-19 pandemic and timing of purchases and payments to vendors. See “Market Conditions, Liquidity, and Capital Commitments” for further information on our cash flow metrics.</w:t>
      </w:r>
    </w:p>
    <w:p w14:paraId="33DAEE7E" w14:textId="77777777" w:rsidR="004D6A64" w:rsidRDefault="004D6A64"/>
    <w:p w14:paraId="33DAEE7F" w14:textId="77777777" w:rsidR="004D6A64" w:rsidRDefault="00506CD6">
      <w:r>
        <w:rPr>
          <w:rFonts w:ascii="Times New Roman" w:eastAsia="宋体" w:hAnsi="Times New Roman"/>
          <w:b/>
          <w:bCs/>
          <w:color w:val="000000"/>
          <w:sz w:val="20"/>
          <w:szCs w:val="20"/>
        </w:rPr>
        <w:t>Net Revenue</w:t>
      </w:r>
    </w:p>
    <w:p w14:paraId="33DAEE80" w14:textId="77777777" w:rsidR="004D6A64" w:rsidRDefault="004D6A64"/>
    <w:p w14:paraId="33DAEE81" w14:textId="77777777" w:rsidR="004D6A64" w:rsidRDefault="00506CD6">
      <w:r>
        <w:rPr>
          <w:rFonts w:ascii="Times New Roman" w:eastAsia="宋体" w:hAnsi="Times New Roman"/>
          <w:color w:val="000000"/>
          <w:sz w:val="20"/>
          <w:szCs w:val="20"/>
        </w:rPr>
        <w:t xml:space="preserve">During the second quarter and first six months of Fiscal 2021, our net revenue decreased 3% and 1%, respectively. During the second quarter and first six months of Fiscal 2021, our non-GAAP net revenue decreased 3% and 2%, respectively. The </w:t>
      </w:r>
      <w:r>
        <w:rPr>
          <w:rFonts w:ascii="Times New Roman" w:eastAsia="宋体" w:hAnsi="Times New Roman"/>
          <w:color w:val="000000"/>
          <w:sz w:val="20"/>
          <w:szCs w:val="20"/>
        </w:rPr>
        <w:t xml:space="preserve">decreases in net revenue and non-GAAP net revenue were primarily attributable to declines in net revenue in CSG and ISG, which were partially offset by increases in VMware net revenue. See “Business Unit Results” for further information. </w:t>
      </w:r>
    </w:p>
    <w:p w14:paraId="33DAEE82" w14:textId="77777777" w:rsidR="004D6A64" w:rsidRDefault="004D6A64"/>
    <w:p w14:paraId="33DAEE83" w14:textId="77777777" w:rsidR="004D6A64" w:rsidRDefault="004D6A64">
      <w:pPr>
        <w:jc w:val="center"/>
      </w:pPr>
    </w:p>
    <w:p w14:paraId="33DAEE84" w14:textId="77777777" w:rsidR="004D6A64" w:rsidRDefault="00506CD6">
      <w:pPr>
        <w:jc w:val="center"/>
      </w:pPr>
      <w:r>
        <w:rPr>
          <w:rFonts w:ascii="Times New Roman" w:eastAsia="宋体" w:hAnsi="Times New Roman"/>
          <w:color w:val="000000"/>
          <w:sz w:val="20"/>
          <w:szCs w:val="20"/>
        </w:rPr>
        <w:t>78</w:t>
      </w:r>
    </w:p>
    <w:p w14:paraId="33DAEE85" w14:textId="77777777" w:rsidR="004D6A64" w:rsidRDefault="004D6A64">
      <w:pPr>
        <w:jc w:val="center"/>
      </w:pPr>
    </w:p>
    <w:p w14:paraId="33DAEE86" w14:textId="77777777" w:rsidR="004D6A64" w:rsidRDefault="00506CD6">
      <w:r>
        <w:pict w14:anchorId="33DAFB12">
          <v:rect id="_x0000_i1102" style="width:415.3pt;height:1.5pt" o:hralign="center" o:hrstd="t" o:hr="t" fillcolor="#a0a0a0" stroked="f"/>
        </w:pict>
      </w:r>
    </w:p>
    <w:p w14:paraId="33DAEE87" w14:textId="77777777" w:rsidR="004D6A64" w:rsidRDefault="00506CD6">
      <w:hyperlink r:id="rId201" w:anchor="if3e0e1bf9ecd4bf69551d7a85f98d64a_10" w:history="1">
        <w:r>
          <w:rPr>
            <w:rStyle w:val="a5"/>
            <w:rFonts w:ascii="Times New Roman" w:eastAsia="宋体" w:hAnsi="Times New Roman"/>
            <w:sz w:val="20"/>
            <w:szCs w:val="20"/>
          </w:rPr>
          <w:t>Table of Contents</w:t>
        </w:r>
      </w:hyperlink>
    </w:p>
    <w:p w14:paraId="33DAEE88" w14:textId="77777777" w:rsidR="004D6A64" w:rsidRDefault="00506CD6">
      <w:pPr>
        <w:pBdr>
          <w:left w:val="none" w:sz="0" w:space="0" w:color="auto"/>
        </w:pBd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u w:val="single"/>
        </w:rPr>
        <w:t>Product Net Revenue</w:t>
      </w:r>
      <w:r>
        <w:rPr>
          <w:rFonts w:ascii="Times New Roman" w:eastAsia="宋体" w:hAnsi="Times New Roman"/>
          <w:color w:val="000000"/>
          <w:sz w:val="20"/>
          <w:szCs w:val="20"/>
        </w:rPr>
        <w:t xml:space="preserve"> — Product net revenue includes revenue from the sale of hardware products and software licenses. During the second quarter and first six months of Fiscal 2021, product net revenue decreased 7% and 5%, respectively. During the second quarter and first six </w:t>
      </w:r>
      <w:r>
        <w:rPr>
          <w:rFonts w:ascii="Times New Roman" w:eastAsia="宋体" w:hAnsi="Times New Roman"/>
          <w:color w:val="000000"/>
          <w:sz w:val="20"/>
          <w:szCs w:val="20"/>
        </w:rPr>
        <w:t xml:space="preserve">months of Fiscal 2021, non-GAAP product net revenue also decreased 7% and 5%, respectively. The decreases in product net revenue and non-GAAP product net revenue were due to decreases in product net revenue for ISG and CSG. The decrease in CSG product net </w:t>
      </w:r>
      <w:r>
        <w:rPr>
          <w:rFonts w:ascii="Times New Roman" w:eastAsia="宋体" w:hAnsi="Times New Roman"/>
          <w:color w:val="000000"/>
          <w:sz w:val="20"/>
          <w:szCs w:val="20"/>
        </w:rPr>
        <w:t>revenue was driven by a decline in sales of commercial desktops during the second quarter and first six months of Fiscal 2021.</w:t>
      </w:r>
    </w:p>
    <w:p w14:paraId="33DAEE89" w14:textId="77777777" w:rsidR="004D6A64" w:rsidRDefault="004D6A64">
      <w:pPr>
        <w:pBdr>
          <w:left w:val="none" w:sz="0" w:space="0" w:color="auto"/>
        </w:pBdr>
      </w:pPr>
    </w:p>
    <w:p w14:paraId="33DAEE8A" w14:textId="77777777" w:rsidR="004D6A64" w:rsidRDefault="00506CD6">
      <w:pPr>
        <w:pBdr>
          <w:left w:val="none" w:sz="0" w:space="0" w:color="auto"/>
        </w:pBd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u w:val="single"/>
        </w:rPr>
        <w:t>Services Net Revenue</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Services net revenue includes revenue from our services offerings and support services related to hardwa</w:t>
      </w:r>
      <w:r>
        <w:rPr>
          <w:rFonts w:ascii="Times New Roman" w:eastAsia="宋体" w:hAnsi="Times New Roman"/>
          <w:color w:val="000000"/>
          <w:sz w:val="20"/>
          <w:szCs w:val="20"/>
        </w:rPr>
        <w:t>re products and software licenses. Services net revenue increased 10% during both the second quarter and first six months of Fiscal 2021. Non-GAAP services net revenue increased 9% during both the second quarter and first six months of Fiscal 2021. The inc</w:t>
      </w:r>
      <w:r>
        <w:rPr>
          <w:rFonts w:ascii="Times New Roman" w:eastAsia="宋体" w:hAnsi="Times New Roman"/>
          <w:color w:val="000000"/>
          <w:sz w:val="20"/>
          <w:szCs w:val="20"/>
        </w:rPr>
        <w:t>reases in services net revenue and non-GAAP services net revenue were primarily attributable to increases in services net revenue for CSG third-party software and maintenance and VMware software. A substantial portion of services net revenue is derived fro</w:t>
      </w:r>
      <w:r>
        <w:rPr>
          <w:rFonts w:ascii="Times New Roman" w:eastAsia="宋体" w:hAnsi="Times New Roman"/>
          <w:color w:val="000000"/>
          <w:sz w:val="20"/>
          <w:szCs w:val="20"/>
        </w:rPr>
        <w:t>m offerings that have been deferred over a period of time, and, as a result, reported services net revenue growth rates will be different than reported product net revenue growth rates.</w:t>
      </w:r>
    </w:p>
    <w:p w14:paraId="33DAEE8B" w14:textId="77777777" w:rsidR="004D6A64" w:rsidRDefault="004D6A64"/>
    <w:p w14:paraId="33DAEE8C" w14:textId="77777777" w:rsidR="004D6A64" w:rsidRDefault="00506CD6">
      <w:r>
        <w:rPr>
          <w:rFonts w:ascii="Times New Roman" w:eastAsia="宋体" w:hAnsi="Times New Roman"/>
          <w:color w:val="000000"/>
          <w:sz w:val="20"/>
          <w:szCs w:val="20"/>
        </w:rPr>
        <w:t>From a geographical perspective, net revenue generated by sales to cu</w:t>
      </w:r>
      <w:r>
        <w:rPr>
          <w:rFonts w:ascii="Times New Roman" w:eastAsia="宋体" w:hAnsi="Times New Roman"/>
          <w:color w:val="000000"/>
          <w:sz w:val="20"/>
          <w:szCs w:val="20"/>
        </w:rPr>
        <w:t>stomers in the all regions decreased during the second quarter of Fiscal 2021 due to a weaker demand environment for ISG and CSG stemming from continuing macro-economic challenges.</w:t>
      </w:r>
    </w:p>
    <w:p w14:paraId="33DAEE8D" w14:textId="77777777" w:rsidR="004D6A64" w:rsidRDefault="004D6A64"/>
    <w:p w14:paraId="33DAEE8E" w14:textId="77777777" w:rsidR="004D6A64" w:rsidRDefault="00506CD6">
      <w:r>
        <w:rPr>
          <w:rFonts w:ascii="Times New Roman" w:eastAsia="宋体" w:hAnsi="Times New Roman"/>
          <w:color w:val="000000"/>
          <w:sz w:val="20"/>
          <w:szCs w:val="20"/>
        </w:rPr>
        <w:t>During the first six months of Fiscal 2021, net revenue generated by sales</w:t>
      </w:r>
      <w:r>
        <w:rPr>
          <w:rFonts w:ascii="Times New Roman" w:eastAsia="宋体" w:hAnsi="Times New Roman"/>
          <w:color w:val="000000"/>
          <w:sz w:val="20"/>
          <w:szCs w:val="20"/>
        </w:rPr>
        <w:t xml:space="preserve"> to customers in the Americas increased primarily as a result of strong performance in CSG during the first quarter of Fiscal 2021. In EMEA, net revenue from sales to customers decreased due to a weaker demand environment for ISG. In APJ, a weaker demand e</w:t>
      </w:r>
      <w:r>
        <w:rPr>
          <w:rFonts w:ascii="Times New Roman" w:eastAsia="宋体" w:hAnsi="Times New Roman"/>
          <w:color w:val="000000"/>
          <w:sz w:val="20"/>
          <w:szCs w:val="20"/>
        </w:rPr>
        <w:t>nvironment for ISG and CSG drove the decrease in net revenue from sales to customers.</w:t>
      </w:r>
    </w:p>
    <w:p w14:paraId="33DAEE8F" w14:textId="77777777" w:rsidR="004D6A64" w:rsidRDefault="004D6A64"/>
    <w:p w14:paraId="33DAEE90" w14:textId="77777777" w:rsidR="004D6A64" w:rsidRDefault="00506CD6">
      <w:r>
        <w:rPr>
          <w:rFonts w:ascii="Times New Roman" w:eastAsia="宋体" w:hAnsi="Times New Roman"/>
          <w:b/>
          <w:bCs/>
          <w:color w:val="000000"/>
          <w:sz w:val="20"/>
          <w:szCs w:val="20"/>
        </w:rPr>
        <w:t>Gross Margin</w:t>
      </w:r>
    </w:p>
    <w:p w14:paraId="33DAEE91" w14:textId="77777777" w:rsidR="004D6A64" w:rsidRDefault="004D6A64"/>
    <w:p w14:paraId="33DAEE92" w14:textId="77777777" w:rsidR="004D6A64" w:rsidRDefault="00506CD6">
      <w:r>
        <w:rPr>
          <w:rFonts w:ascii="Times New Roman" w:eastAsia="宋体" w:hAnsi="Times New Roman"/>
          <w:color w:val="000000"/>
          <w:sz w:val="20"/>
          <w:szCs w:val="20"/>
        </w:rPr>
        <w:t xml:space="preserve">During the second quarter and first six months of Fiscal 2021, our gross margin decreased 2% to $7.2 billion and 1% to $14.0 billion, respectively. The decreases in our gross margin during the second quarter and first six months of Fiscal 2021 were driven </w:t>
      </w:r>
      <w:r>
        <w:rPr>
          <w:rFonts w:ascii="Times New Roman" w:eastAsia="宋体" w:hAnsi="Times New Roman"/>
          <w:color w:val="000000"/>
          <w:sz w:val="20"/>
          <w:szCs w:val="20"/>
        </w:rPr>
        <w:t>by gross margin decreases for ISG and CSG, partially offset by favorable impacts of gross margin increases in VMware and decreases in amortization of intangible assets. During the second quarter and first six months of Fiscal 2021, our gross margin percent</w:t>
      </w:r>
      <w:r>
        <w:rPr>
          <w:rFonts w:ascii="Times New Roman" w:eastAsia="宋体" w:hAnsi="Times New Roman"/>
          <w:color w:val="000000"/>
          <w:sz w:val="20"/>
          <w:szCs w:val="20"/>
        </w:rPr>
        <w:t>age increased 20 basis points to 31.5% and 20 basis points to 31.4%, respectively. The increases in our gross margin percentage during the second quarter and first six months of Fiscal 2021 were primarily driven by favorable impacts of gross margin percent</w:t>
      </w:r>
      <w:r>
        <w:rPr>
          <w:rFonts w:ascii="Times New Roman" w:eastAsia="宋体" w:hAnsi="Times New Roman"/>
          <w:color w:val="000000"/>
          <w:sz w:val="20"/>
          <w:szCs w:val="20"/>
        </w:rPr>
        <w:t xml:space="preserve">age increases for VMware and other businesses, and decreases in amortization of intangible assets and purchase accounting adjustments. These impacts were largely offset by the decreases in gross margin percentages for ISG and CSG. </w:t>
      </w:r>
    </w:p>
    <w:p w14:paraId="33DAEE93" w14:textId="77777777" w:rsidR="004D6A64" w:rsidRDefault="004D6A64"/>
    <w:p w14:paraId="33DAEE94" w14:textId="77777777" w:rsidR="004D6A64" w:rsidRDefault="00506CD6">
      <w:r>
        <w:rPr>
          <w:rFonts w:ascii="Times New Roman" w:eastAsia="宋体" w:hAnsi="Times New Roman"/>
          <w:color w:val="000000"/>
          <w:sz w:val="20"/>
          <w:szCs w:val="20"/>
        </w:rPr>
        <w:t>Our gross margin includ</w:t>
      </w:r>
      <w:r>
        <w:rPr>
          <w:rFonts w:ascii="Times New Roman" w:eastAsia="宋体" w:hAnsi="Times New Roman"/>
          <w:color w:val="000000"/>
          <w:sz w:val="20"/>
          <w:szCs w:val="20"/>
        </w:rPr>
        <w:t>ed the impact of amortization of intangibles and purchase accounting adjustments of $0.4 billion and $0.6 billion for the second quarter of Fiscal 2021 and Fiscal 2020, respectively, and $0.8 billion and $1.2 billion during the first six months of Fiscal 2</w:t>
      </w:r>
      <w:r>
        <w:rPr>
          <w:rFonts w:ascii="Times New Roman" w:eastAsia="宋体" w:hAnsi="Times New Roman"/>
          <w:color w:val="000000"/>
          <w:sz w:val="20"/>
          <w:szCs w:val="20"/>
        </w:rPr>
        <w:t>021 and Fiscal 2020, respectively. Excluding these costs, transaction-related expenses, stock-based compensation expense, and other corporate expenses, non-GAAP gross margin during the second quarter and first six months of Fiscal 2021 decreased 5% to $7.6</w:t>
      </w:r>
      <w:r>
        <w:rPr>
          <w:rFonts w:ascii="Times New Roman" w:eastAsia="宋体" w:hAnsi="Times New Roman"/>
          <w:color w:val="000000"/>
          <w:sz w:val="20"/>
          <w:szCs w:val="20"/>
        </w:rPr>
        <w:t xml:space="preserve"> billion and 3% to $15.0 billion, respectively. Non-GAAP gross margin percentage decreased 50 basis points to 33.5% and 50 basis points to 33.4% during the second quarter and first six months of Fiscal 2021, respectively. </w:t>
      </w:r>
    </w:p>
    <w:p w14:paraId="33DAEE95" w14:textId="77777777" w:rsidR="004D6A64" w:rsidRDefault="004D6A64"/>
    <w:p w14:paraId="33DAEE96" w14:textId="77777777" w:rsidR="004D6A64" w:rsidRDefault="00506CD6">
      <w:r>
        <w:rPr>
          <w:rFonts w:ascii="Times New Roman" w:eastAsia="宋体" w:hAnsi="Times New Roman"/>
          <w:color w:val="000000"/>
          <w:sz w:val="20"/>
          <w:szCs w:val="20"/>
        </w:rPr>
        <w:t>During the second quarter and fi</w:t>
      </w:r>
      <w:r>
        <w:rPr>
          <w:rFonts w:ascii="Times New Roman" w:eastAsia="宋体" w:hAnsi="Times New Roman"/>
          <w:color w:val="000000"/>
          <w:sz w:val="20"/>
          <w:szCs w:val="20"/>
        </w:rPr>
        <w:t xml:space="preserve">rst six months of Fiscal 2021, the decreases in our non-GAAP gross margin and non-GAAP gross margin percentage were attributable to higher product costs for CSG and ISG and a shift in product mix within CSG. These negative impacts were partially offset by </w:t>
      </w:r>
      <w:r>
        <w:rPr>
          <w:rFonts w:ascii="Times New Roman" w:eastAsia="宋体" w:hAnsi="Times New Roman"/>
          <w:color w:val="000000"/>
          <w:sz w:val="20"/>
          <w:szCs w:val="20"/>
        </w:rPr>
        <w:t>increases in gross margin and gross margin percentage for VMware and other businesses.</w:t>
      </w:r>
    </w:p>
    <w:p w14:paraId="33DAEE97" w14:textId="77777777" w:rsidR="004D6A64" w:rsidRDefault="004D6A64"/>
    <w:p w14:paraId="33DAEE98" w14:textId="77777777" w:rsidR="004D6A64" w:rsidRDefault="00506CD6">
      <w:pPr>
        <w:pBdr>
          <w:left w:val="none" w:sz="0" w:space="0" w:color="auto"/>
        </w:pBd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u w:val="single"/>
        </w:rPr>
        <w:t>Products</w:t>
      </w:r>
      <w:r>
        <w:rPr>
          <w:rFonts w:ascii="Times New Roman" w:eastAsia="宋体" w:hAnsi="Times New Roman"/>
          <w:color w:val="000000"/>
          <w:sz w:val="20"/>
          <w:szCs w:val="20"/>
        </w:rPr>
        <w:t> — During the second quarter of Fiscal 2021, product gross margin decreased 15% to $3.4 billion, and product gross margin percentage decreased 210 basis points</w:t>
      </w:r>
      <w:r>
        <w:rPr>
          <w:rFonts w:ascii="Times New Roman" w:eastAsia="宋体" w:hAnsi="Times New Roman"/>
          <w:color w:val="000000"/>
          <w:sz w:val="20"/>
          <w:szCs w:val="20"/>
        </w:rPr>
        <w:t xml:space="preserve"> to 20.4%. The decreases in product gross margin and product gross margin percentage were primarily driven by higher product costs for CSG and ISG and a shift in product mix within CSG. These unfavorable impacts were partially offset by a decrease in amort</w:t>
      </w:r>
      <w:r>
        <w:rPr>
          <w:rFonts w:ascii="Times New Roman" w:eastAsia="宋体" w:hAnsi="Times New Roman"/>
          <w:color w:val="000000"/>
          <w:sz w:val="20"/>
          <w:szCs w:val="20"/>
        </w:rPr>
        <w:t>ization of intangibles. During the second quarter of Fiscal 2021, non-GAAP product gross margin decreased 17% to $3.8 billion, and non-GAAP product gross margin percentage decreased 280 basis points to 22.6% due to the same CSG and ISG dynamics discussed a</w:t>
      </w:r>
      <w:r>
        <w:rPr>
          <w:rFonts w:ascii="Times New Roman" w:eastAsia="宋体" w:hAnsi="Times New Roman"/>
          <w:color w:val="000000"/>
          <w:sz w:val="20"/>
          <w:szCs w:val="20"/>
        </w:rPr>
        <w:t xml:space="preserve">bove. </w:t>
      </w:r>
    </w:p>
    <w:p w14:paraId="33DAEE99" w14:textId="77777777" w:rsidR="004D6A64" w:rsidRDefault="004D6A64">
      <w:pPr>
        <w:pBdr>
          <w:left w:val="none" w:sz="0" w:space="0" w:color="auto"/>
        </w:pBdr>
      </w:pPr>
    </w:p>
    <w:p w14:paraId="33DAEE9A" w14:textId="77777777" w:rsidR="004D6A64" w:rsidRDefault="004D6A64">
      <w:pPr>
        <w:jc w:val="center"/>
      </w:pPr>
    </w:p>
    <w:p w14:paraId="33DAEE9B" w14:textId="77777777" w:rsidR="004D6A64" w:rsidRDefault="00506CD6">
      <w:pPr>
        <w:jc w:val="center"/>
      </w:pPr>
      <w:r>
        <w:rPr>
          <w:rFonts w:ascii="Times New Roman" w:eastAsia="宋体" w:hAnsi="Times New Roman"/>
          <w:color w:val="000000"/>
          <w:sz w:val="20"/>
          <w:szCs w:val="20"/>
        </w:rPr>
        <w:t>79</w:t>
      </w:r>
    </w:p>
    <w:p w14:paraId="33DAEE9C" w14:textId="77777777" w:rsidR="004D6A64" w:rsidRDefault="004D6A64">
      <w:pPr>
        <w:jc w:val="center"/>
      </w:pPr>
    </w:p>
    <w:p w14:paraId="33DAEE9D" w14:textId="77777777" w:rsidR="004D6A64" w:rsidRDefault="00506CD6">
      <w:r>
        <w:pict w14:anchorId="33DAFB13">
          <v:rect id="_x0000_i1103" style="width:415.3pt;height:1.5pt" o:hralign="center" o:hrstd="t" o:hr="t" fillcolor="#a0a0a0" stroked="f"/>
        </w:pict>
      </w:r>
    </w:p>
    <w:p w14:paraId="33DAEE9E" w14:textId="77777777" w:rsidR="004D6A64" w:rsidRDefault="00506CD6">
      <w:hyperlink r:id="rId202" w:anchor="if3e0e1bf9ecd4bf69551d7a85f98d64a_10" w:history="1">
        <w:r>
          <w:rPr>
            <w:rStyle w:val="a5"/>
            <w:rFonts w:ascii="Times New Roman" w:eastAsia="宋体" w:hAnsi="Times New Roman"/>
            <w:sz w:val="20"/>
            <w:szCs w:val="20"/>
          </w:rPr>
          <w:t>Table of Contents</w:t>
        </w:r>
      </w:hyperlink>
    </w:p>
    <w:p w14:paraId="33DAEE9F" w14:textId="77777777" w:rsidR="004D6A64" w:rsidRDefault="00506CD6">
      <w:pPr>
        <w:pBdr>
          <w:left w:val="none" w:sz="0" w:space="0" w:color="auto"/>
        </w:pBdr>
      </w:pPr>
      <w:r>
        <w:rPr>
          <w:rFonts w:ascii="Times New Roman" w:eastAsia="宋体" w:hAnsi="Times New Roman"/>
          <w:color w:val="000000"/>
          <w:sz w:val="20"/>
          <w:szCs w:val="20"/>
        </w:rPr>
        <w:t>During the first six months of Fiscal 2021, product gross margin decr</w:t>
      </w:r>
      <w:r>
        <w:rPr>
          <w:rFonts w:ascii="Times New Roman" w:eastAsia="宋体" w:hAnsi="Times New Roman"/>
          <w:color w:val="000000"/>
          <w:sz w:val="20"/>
          <w:szCs w:val="20"/>
        </w:rPr>
        <w:t>eased 12% to $6.6 billion, and product gross margin percentage decreased 150 basis points to 20.3%. The decreases in product gross margin and product gross margin percentage were primarily driven by higher product costs for CSG and ISG and a shift in produ</w:t>
      </w:r>
      <w:r>
        <w:rPr>
          <w:rFonts w:ascii="Times New Roman" w:eastAsia="宋体" w:hAnsi="Times New Roman"/>
          <w:color w:val="000000"/>
          <w:sz w:val="20"/>
          <w:szCs w:val="20"/>
        </w:rPr>
        <w:t>ct mix within CSG. These unfavorable impacts were partially offset by a decrease in amortization of intangibles. During the first six months of Fiscal 2021, non-GAAP product gross margin decreased 14% to $7.4 billion, and non-GAAP product gross margin perc</w:t>
      </w:r>
      <w:r>
        <w:rPr>
          <w:rFonts w:ascii="Times New Roman" w:eastAsia="宋体" w:hAnsi="Times New Roman"/>
          <w:color w:val="000000"/>
          <w:sz w:val="20"/>
          <w:szCs w:val="20"/>
        </w:rPr>
        <w:t>entage decreased 230 basis points to 22.6% due to the same CSG and ISG dynamics discussed above.</w:t>
      </w:r>
    </w:p>
    <w:p w14:paraId="33DAEEA0" w14:textId="77777777" w:rsidR="004D6A64" w:rsidRDefault="004D6A64">
      <w:pPr>
        <w:pBdr>
          <w:left w:val="none" w:sz="0" w:space="0" w:color="auto"/>
        </w:pBdr>
      </w:pPr>
    </w:p>
    <w:p w14:paraId="33DAEEA1" w14:textId="77777777" w:rsidR="004D6A64" w:rsidRDefault="00506CD6">
      <w:pPr>
        <w:pBdr>
          <w:left w:val="none" w:sz="0" w:space="0" w:color="auto"/>
        </w:pBd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Services</w:t>
      </w:r>
      <w:r>
        <w:rPr>
          <w:rFonts w:ascii="Times New Roman" w:eastAsia="宋体" w:hAnsi="Times New Roman"/>
          <w:color w:val="000000"/>
          <w:sz w:val="20"/>
          <w:szCs w:val="20"/>
        </w:rPr>
        <w:t> — During the second quarter of Fiscal 2021, services gross margin increased 14% to $3.7 billion, and services gross margin percentage increased 200 basis points to 62.5%. Services gross margin increased due to growth in VMware software maintenance and CSG</w:t>
      </w:r>
      <w:r>
        <w:rPr>
          <w:rFonts w:ascii="Times New Roman" w:eastAsia="宋体" w:hAnsi="Times New Roman"/>
          <w:color w:val="000000"/>
          <w:sz w:val="20"/>
          <w:szCs w:val="20"/>
        </w:rPr>
        <w:t xml:space="preserve"> third-party software and maintenance, and a decrease in purchase accounting adjustments. Excluding purchase accounting adjustments, transaction-related expenses, stock-based compensation expense, and other corporate expenses, non-GAAP services gross margi</w:t>
      </w:r>
      <w:r>
        <w:rPr>
          <w:rFonts w:ascii="Times New Roman" w:eastAsia="宋体" w:hAnsi="Times New Roman"/>
          <w:color w:val="000000"/>
          <w:sz w:val="20"/>
          <w:szCs w:val="20"/>
        </w:rPr>
        <w:t xml:space="preserve">n increased 12% to $3.8 billion during the second quarter of Fiscal 2021 primarily due to growth in VMware software maintenance and CSG third-party software and maintenance. Non-GAAP services gross margin percentage increased 150 basis points to 63.5% due </w:t>
      </w:r>
      <w:r>
        <w:rPr>
          <w:rFonts w:ascii="Times New Roman" w:eastAsia="宋体" w:hAnsi="Times New Roman"/>
          <w:color w:val="000000"/>
          <w:sz w:val="20"/>
          <w:szCs w:val="20"/>
        </w:rPr>
        <w:t xml:space="preserve">to increases in services gross margin percentages across all segments. </w:t>
      </w:r>
    </w:p>
    <w:p w14:paraId="33DAEEA2" w14:textId="77777777" w:rsidR="004D6A64" w:rsidRDefault="004D6A64">
      <w:pPr>
        <w:pBdr>
          <w:left w:val="none" w:sz="0" w:space="0" w:color="auto"/>
        </w:pBdr>
      </w:pPr>
    </w:p>
    <w:p w14:paraId="33DAEEA3" w14:textId="77777777" w:rsidR="004D6A64" w:rsidRDefault="00506CD6">
      <w:pPr>
        <w:pBdr>
          <w:left w:val="none" w:sz="0" w:space="0" w:color="auto"/>
        </w:pBdr>
      </w:pPr>
      <w:r>
        <w:rPr>
          <w:rFonts w:ascii="Times New Roman" w:eastAsia="宋体" w:hAnsi="Times New Roman"/>
          <w:color w:val="000000"/>
          <w:sz w:val="20"/>
          <w:szCs w:val="20"/>
        </w:rPr>
        <w:t>During the first six months of Fiscal 2021, services gross margin increased 12% to $7.4 billion, and services gross margin percentage increased 100 basis points to 62.2%. Services gro</w:t>
      </w:r>
      <w:r>
        <w:rPr>
          <w:rFonts w:ascii="Times New Roman" w:eastAsia="宋体" w:hAnsi="Times New Roman"/>
          <w:color w:val="000000"/>
          <w:sz w:val="20"/>
          <w:szCs w:val="20"/>
        </w:rPr>
        <w:t>ss margin increased due to growth in VMware software maintenance and CSG third-party software and maintenance, and a decrease in purchase accounting adjustments. Excluding purchase accounting adjustments, transaction-related expenses, stock-based compensat</w:t>
      </w:r>
      <w:r>
        <w:rPr>
          <w:rFonts w:ascii="Times New Roman" w:eastAsia="宋体" w:hAnsi="Times New Roman"/>
          <w:color w:val="000000"/>
          <w:sz w:val="20"/>
          <w:szCs w:val="20"/>
        </w:rPr>
        <w:t>ion expense, and other corporate expenses, non-GAAP services gross margin increased 10% to $7.5 billion during the first six months of Fiscal 2021 primarily due to growth in VMware software maintenance and CSG third-party software and maintenance. Non-GAAP</w:t>
      </w:r>
      <w:r>
        <w:rPr>
          <w:rFonts w:ascii="Times New Roman" w:eastAsia="宋体" w:hAnsi="Times New Roman"/>
          <w:color w:val="000000"/>
          <w:sz w:val="20"/>
          <w:szCs w:val="20"/>
        </w:rPr>
        <w:t xml:space="preserve"> services gross margin percentage increased 70 basis points to 63.2% primarily due to an increase in VMware services gross margin percentage.</w:t>
      </w:r>
    </w:p>
    <w:p w14:paraId="33DAEEA4" w14:textId="77777777" w:rsidR="004D6A64" w:rsidRDefault="004D6A64">
      <w:pPr>
        <w:pBdr>
          <w:left w:val="none" w:sz="0" w:space="0" w:color="auto"/>
        </w:pBdr>
      </w:pPr>
    </w:p>
    <w:p w14:paraId="33DAEEA5" w14:textId="77777777" w:rsidR="004D6A64" w:rsidRDefault="00506CD6">
      <w:r>
        <w:rPr>
          <w:rFonts w:ascii="Times New Roman" w:eastAsia="宋体" w:hAnsi="Times New Roman"/>
          <w:i/>
          <w:iCs/>
          <w:color w:val="000000"/>
          <w:sz w:val="20"/>
          <w:szCs w:val="20"/>
          <w:u w:val="single"/>
        </w:rPr>
        <w:t>Vendor Programs and Settlements</w:t>
      </w:r>
    </w:p>
    <w:p w14:paraId="33DAEEA6" w14:textId="77777777" w:rsidR="004D6A64" w:rsidRDefault="004D6A64"/>
    <w:p w14:paraId="33DAEEA7" w14:textId="77777777" w:rsidR="004D6A64" w:rsidRDefault="00506CD6">
      <w:r>
        <w:rPr>
          <w:rFonts w:ascii="Times New Roman" w:eastAsia="宋体" w:hAnsi="Times New Roman"/>
          <w:color w:val="000000"/>
          <w:sz w:val="20"/>
          <w:szCs w:val="20"/>
        </w:rPr>
        <w:t xml:space="preserve">Our gross margin is affected by our ability to achieve competitive pricing with </w:t>
      </w:r>
      <w:r>
        <w:rPr>
          <w:rFonts w:ascii="Times New Roman" w:eastAsia="宋体" w:hAnsi="Times New Roman"/>
          <w:color w:val="000000"/>
          <w:sz w:val="20"/>
          <w:szCs w:val="20"/>
        </w:rPr>
        <w:t>our vendors and contract manufacturers, including through our negotiation of a variety of vendor rebate programs to achieve lower net costs for the various components we include in our products. Under these programs, vendors provide us with rebates or othe</w:t>
      </w:r>
      <w:r>
        <w:rPr>
          <w:rFonts w:ascii="Times New Roman" w:eastAsia="宋体" w:hAnsi="Times New Roman"/>
          <w:color w:val="000000"/>
          <w:sz w:val="20"/>
          <w:szCs w:val="20"/>
        </w:rPr>
        <w:t>r discounts from the list prices for the components, which are generally elements of their pricing strategy. We account for vendor rebates and other discounts as a reduction in cost of net revenue. We manage our costs on a total net cost basis, which inclu</w:t>
      </w:r>
      <w:r>
        <w:rPr>
          <w:rFonts w:ascii="Times New Roman" w:eastAsia="宋体" w:hAnsi="Times New Roman"/>
          <w:color w:val="000000"/>
          <w:sz w:val="20"/>
          <w:szCs w:val="20"/>
        </w:rPr>
        <w:t>des supplier list prices reduced by vendor rebates and other discounts.</w:t>
      </w:r>
    </w:p>
    <w:p w14:paraId="33DAEEA8" w14:textId="77777777" w:rsidR="004D6A64" w:rsidRDefault="004D6A64"/>
    <w:p w14:paraId="33DAEEA9" w14:textId="77777777" w:rsidR="004D6A64" w:rsidRDefault="00506CD6">
      <w:r>
        <w:rPr>
          <w:rFonts w:ascii="Times New Roman" w:eastAsia="宋体" w:hAnsi="Times New Roman"/>
          <w:color w:val="000000"/>
          <w:sz w:val="20"/>
          <w:szCs w:val="20"/>
        </w:rPr>
        <w:t>The terms and conditions of our vendor rebate programs are largely based on product volumes and are generally negotiated either at the beginning of the annual or quarterly period, dep</w:t>
      </w:r>
      <w:r>
        <w:rPr>
          <w:rFonts w:ascii="Times New Roman" w:eastAsia="宋体" w:hAnsi="Times New Roman"/>
          <w:color w:val="000000"/>
          <w:sz w:val="20"/>
          <w:szCs w:val="20"/>
        </w:rPr>
        <w:t>ending on the program. The timing and amount of vendor rebates and other discounts we receive under the programs may vary from period to period, reflecting changes in the competitive environment. We monitor our component costs and seek to address the effec</w:t>
      </w:r>
      <w:r>
        <w:rPr>
          <w:rFonts w:ascii="Times New Roman" w:eastAsia="宋体" w:hAnsi="Times New Roman"/>
          <w:color w:val="000000"/>
          <w:sz w:val="20"/>
          <w:szCs w:val="20"/>
        </w:rPr>
        <w:t>ts of any changes to terms that might arise under our vendor rebate programs. Our gross margins for the second quarter and first six months of Fiscal 2021 and Fiscal 2020 were not materially affected by any changes to the terms of our vendor rebate program</w:t>
      </w:r>
      <w:r>
        <w:rPr>
          <w:rFonts w:ascii="Times New Roman" w:eastAsia="宋体" w:hAnsi="Times New Roman"/>
          <w:color w:val="000000"/>
          <w:sz w:val="20"/>
          <w:szCs w:val="20"/>
        </w:rPr>
        <w:t>s, as the amounts we received under these programs were generally stable relative to our total net cost. We are not aware of any significant changes to vendor pricing or rebate programs that may impact our results in the near term.</w:t>
      </w:r>
    </w:p>
    <w:p w14:paraId="33DAEEAA" w14:textId="77777777" w:rsidR="004D6A64" w:rsidRDefault="004D6A64"/>
    <w:p w14:paraId="33DAEEAB" w14:textId="77777777" w:rsidR="004D6A64" w:rsidRDefault="004D6A64">
      <w:pPr>
        <w:jc w:val="center"/>
      </w:pPr>
    </w:p>
    <w:p w14:paraId="33DAEEAC" w14:textId="77777777" w:rsidR="004D6A64" w:rsidRDefault="00506CD6">
      <w:pPr>
        <w:jc w:val="center"/>
      </w:pPr>
      <w:r>
        <w:rPr>
          <w:rFonts w:ascii="Times New Roman" w:eastAsia="宋体" w:hAnsi="Times New Roman"/>
          <w:color w:val="000000"/>
          <w:sz w:val="20"/>
          <w:szCs w:val="20"/>
        </w:rPr>
        <w:t>80</w:t>
      </w:r>
    </w:p>
    <w:p w14:paraId="33DAEEAD" w14:textId="77777777" w:rsidR="004D6A64" w:rsidRDefault="004D6A64">
      <w:pPr>
        <w:jc w:val="center"/>
      </w:pPr>
    </w:p>
    <w:p w14:paraId="33DAEEAE" w14:textId="77777777" w:rsidR="004D6A64" w:rsidRDefault="00506CD6">
      <w:r>
        <w:pict w14:anchorId="33DAFB14">
          <v:rect id="_x0000_i1104" style="width:415.3pt;height:1.5pt" o:hralign="center" o:hrstd="t" o:hr="t" fillcolor="#a0a0a0" stroked="f"/>
        </w:pict>
      </w:r>
    </w:p>
    <w:p w14:paraId="33DAEEAF" w14:textId="77777777" w:rsidR="004D6A64" w:rsidRDefault="00506CD6">
      <w:hyperlink r:id="rId203" w:anchor="if3e0e1bf9ecd4bf69551d7a85f98d64a_10" w:history="1">
        <w:r>
          <w:rPr>
            <w:rStyle w:val="a5"/>
            <w:rFonts w:ascii="Times New Roman" w:eastAsia="宋体" w:hAnsi="Times New Roman"/>
            <w:sz w:val="20"/>
            <w:szCs w:val="20"/>
          </w:rPr>
          <w:t>Table of Contents</w:t>
        </w:r>
      </w:hyperlink>
    </w:p>
    <w:p w14:paraId="33DAEEB0" w14:textId="77777777" w:rsidR="004D6A64" w:rsidRDefault="00506CD6">
      <w:r>
        <w:rPr>
          <w:rFonts w:ascii="Times New Roman" w:eastAsia="宋体" w:hAnsi="Times New Roman"/>
          <w:b/>
          <w:bCs/>
          <w:color w:val="000000"/>
          <w:sz w:val="20"/>
          <w:szCs w:val="20"/>
        </w:rPr>
        <w:t>Operating Expenses</w:t>
      </w:r>
    </w:p>
    <w:p w14:paraId="33DAEEB1" w14:textId="77777777" w:rsidR="004D6A64" w:rsidRDefault="004D6A64"/>
    <w:p w14:paraId="33DAEEB2" w14:textId="77777777" w:rsidR="004D6A64" w:rsidRDefault="00506CD6">
      <w:r>
        <w:rPr>
          <w:rFonts w:ascii="Times New Roman" w:eastAsia="宋体" w:hAnsi="Times New Roman"/>
          <w:color w:val="000000"/>
          <w:sz w:val="20"/>
          <w:szCs w:val="20"/>
          <w:shd w:val="clear" w:color="auto" w:fill="FFFFFF"/>
        </w:rPr>
        <w:t>The following table presents information regarding our operating</w:t>
      </w:r>
      <w:r>
        <w:rPr>
          <w:rFonts w:ascii="Times New Roman" w:eastAsia="宋体" w:hAnsi="Times New Roman"/>
          <w:color w:val="000000"/>
          <w:sz w:val="20"/>
          <w:szCs w:val="20"/>
          <w:shd w:val="clear" w:color="auto" w:fill="FFFFFF"/>
        </w:rPr>
        <w:t xml:space="preserve"> expenses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79"/>
        <w:gridCol w:w="735"/>
        <w:gridCol w:w="35"/>
        <w:gridCol w:w="101"/>
        <w:gridCol w:w="344"/>
        <w:gridCol w:w="39"/>
        <w:gridCol w:w="37"/>
        <w:gridCol w:w="34"/>
        <w:gridCol w:w="34"/>
        <w:gridCol w:w="76"/>
        <w:gridCol w:w="396"/>
        <w:gridCol w:w="143"/>
        <w:gridCol w:w="37"/>
        <w:gridCol w:w="34"/>
        <w:gridCol w:w="34"/>
        <w:gridCol w:w="74"/>
        <w:gridCol w:w="353"/>
        <w:gridCol w:w="143"/>
        <w:gridCol w:w="37"/>
        <w:gridCol w:w="34"/>
        <w:gridCol w:w="34"/>
        <w:gridCol w:w="101"/>
        <w:gridCol w:w="344"/>
        <w:gridCol w:w="39"/>
        <w:gridCol w:w="37"/>
        <w:gridCol w:w="34"/>
        <w:gridCol w:w="34"/>
        <w:gridCol w:w="76"/>
        <w:gridCol w:w="396"/>
        <w:gridCol w:w="143"/>
        <w:gridCol w:w="37"/>
        <w:gridCol w:w="34"/>
        <w:gridCol w:w="34"/>
        <w:gridCol w:w="101"/>
        <w:gridCol w:w="408"/>
        <w:gridCol w:w="39"/>
        <w:gridCol w:w="37"/>
        <w:gridCol w:w="34"/>
        <w:gridCol w:w="34"/>
        <w:gridCol w:w="76"/>
        <w:gridCol w:w="396"/>
        <w:gridCol w:w="143"/>
        <w:gridCol w:w="37"/>
        <w:gridCol w:w="34"/>
        <w:gridCol w:w="34"/>
        <w:gridCol w:w="74"/>
        <w:gridCol w:w="353"/>
        <w:gridCol w:w="143"/>
        <w:gridCol w:w="37"/>
        <w:gridCol w:w="34"/>
        <w:gridCol w:w="34"/>
        <w:gridCol w:w="101"/>
        <w:gridCol w:w="408"/>
        <w:gridCol w:w="39"/>
        <w:gridCol w:w="37"/>
        <w:gridCol w:w="34"/>
        <w:gridCol w:w="34"/>
        <w:gridCol w:w="75"/>
        <w:gridCol w:w="397"/>
        <w:gridCol w:w="143"/>
        <w:gridCol w:w="223"/>
        <w:gridCol w:w="219"/>
        <w:gridCol w:w="436"/>
      </w:tblGrid>
      <w:tr w:rsidR="004D6A64" w14:paraId="33DAEEEF" w14:textId="77777777">
        <w:trPr>
          <w:gridAfter w:val="3"/>
        </w:trPr>
        <w:tc>
          <w:tcPr>
            <w:tcW w:w="50" w:type="pct"/>
            <w:shd w:val="clear" w:color="auto" w:fill="auto"/>
          </w:tcPr>
          <w:p w14:paraId="33DAEEB3" w14:textId="77777777" w:rsidR="004D6A64" w:rsidRDefault="004D6A64">
            <w:pPr>
              <w:rPr>
                <w:rFonts w:ascii="宋体"/>
              </w:rPr>
            </w:pPr>
          </w:p>
        </w:tc>
        <w:tc>
          <w:tcPr>
            <w:tcW w:w="1041" w:type="pct"/>
            <w:shd w:val="clear" w:color="auto" w:fill="auto"/>
          </w:tcPr>
          <w:p w14:paraId="33DAEEB4" w14:textId="77777777" w:rsidR="004D6A64" w:rsidRDefault="004D6A64">
            <w:pPr>
              <w:rPr>
                <w:rFonts w:ascii="宋体"/>
              </w:rPr>
            </w:pPr>
          </w:p>
        </w:tc>
        <w:tc>
          <w:tcPr>
            <w:tcW w:w="5" w:type="pct"/>
            <w:shd w:val="clear" w:color="auto" w:fill="auto"/>
          </w:tcPr>
          <w:p w14:paraId="33DAEEB5" w14:textId="77777777" w:rsidR="004D6A64" w:rsidRDefault="004D6A64">
            <w:pPr>
              <w:rPr>
                <w:rFonts w:ascii="宋体"/>
              </w:rPr>
            </w:pPr>
          </w:p>
        </w:tc>
        <w:tc>
          <w:tcPr>
            <w:tcW w:w="50" w:type="pct"/>
            <w:shd w:val="clear" w:color="auto" w:fill="auto"/>
          </w:tcPr>
          <w:p w14:paraId="33DAEEB6" w14:textId="77777777" w:rsidR="004D6A64" w:rsidRDefault="004D6A64">
            <w:pPr>
              <w:rPr>
                <w:rFonts w:ascii="宋体"/>
              </w:rPr>
            </w:pPr>
          </w:p>
        </w:tc>
        <w:tc>
          <w:tcPr>
            <w:tcW w:w="310" w:type="pct"/>
            <w:shd w:val="clear" w:color="auto" w:fill="auto"/>
          </w:tcPr>
          <w:p w14:paraId="33DAEEB7" w14:textId="77777777" w:rsidR="004D6A64" w:rsidRDefault="004D6A64">
            <w:pPr>
              <w:rPr>
                <w:rFonts w:ascii="宋体"/>
              </w:rPr>
            </w:pPr>
          </w:p>
        </w:tc>
        <w:tc>
          <w:tcPr>
            <w:tcW w:w="5" w:type="pct"/>
            <w:shd w:val="clear" w:color="auto" w:fill="auto"/>
          </w:tcPr>
          <w:p w14:paraId="33DAEEB8" w14:textId="77777777" w:rsidR="004D6A64" w:rsidRDefault="004D6A64">
            <w:pPr>
              <w:rPr>
                <w:rFonts w:ascii="宋体"/>
              </w:rPr>
            </w:pPr>
          </w:p>
        </w:tc>
        <w:tc>
          <w:tcPr>
            <w:tcW w:w="5" w:type="pct"/>
            <w:shd w:val="clear" w:color="auto" w:fill="auto"/>
          </w:tcPr>
          <w:p w14:paraId="33DAEEB9" w14:textId="77777777" w:rsidR="004D6A64" w:rsidRDefault="004D6A64">
            <w:pPr>
              <w:rPr>
                <w:rFonts w:ascii="宋体"/>
              </w:rPr>
            </w:pPr>
          </w:p>
        </w:tc>
        <w:tc>
          <w:tcPr>
            <w:tcW w:w="19" w:type="pct"/>
            <w:shd w:val="clear" w:color="auto" w:fill="auto"/>
          </w:tcPr>
          <w:p w14:paraId="33DAEEBA" w14:textId="77777777" w:rsidR="004D6A64" w:rsidRDefault="004D6A64">
            <w:pPr>
              <w:rPr>
                <w:rFonts w:ascii="宋体"/>
              </w:rPr>
            </w:pPr>
          </w:p>
        </w:tc>
        <w:tc>
          <w:tcPr>
            <w:tcW w:w="5" w:type="pct"/>
            <w:shd w:val="clear" w:color="auto" w:fill="auto"/>
          </w:tcPr>
          <w:p w14:paraId="33DAEEBB" w14:textId="77777777" w:rsidR="004D6A64" w:rsidRDefault="004D6A64">
            <w:pPr>
              <w:rPr>
                <w:rFonts w:ascii="宋体"/>
              </w:rPr>
            </w:pPr>
          </w:p>
        </w:tc>
        <w:tc>
          <w:tcPr>
            <w:tcW w:w="50" w:type="pct"/>
            <w:shd w:val="clear" w:color="auto" w:fill="auto"/>
          </w:tcPr>
          <w:p w14:paraId="33DAEEBC" w14:textId="77777777" w:rsidR="004D6A64" w:rsidRDefault="004D6A64">
            <w:pPr>
              <w:rPr>
                <w:rFonts w:ascii="宋体"/>
              </w:rPr>
            </w:pPr>
          </w:p>
        </w:tc>
        <w:tc>
          <w:tcPr>
            <w:tcW w:w="317" w:type="pct"/>
            <w:shd w:val="clear" w:color="auto" w:fill="auto"/>
          </w:tcPr>
          <w:p w14:paraId="33DAEEBD" w14:textId="77777777" w:rsidR="004D6A64" w:rsidRDefault="004D6A64">
            <w:pPr>
              <w:rPr>
                <w:rFonts w:ascii="宋体"/>
              </w:rPr>
            </w:pPr>
          </w:p>
        </w:tc>
        <w:tc>
          <w:tcPr>
            <w:tcW w:w="5" w:type="pct"/>
            <w:shd w:val="clear" w:color="auto" w:fill="auto"/>
          </w:tcPr>
          <w:p w14:paraId="33DAEEBE" w14:textId="77777777" w:rsidR="004D6A64" w:rsidRDefault="004D6A64">
            <w:pPr>
              <w:rPr>
                <w:rFonts w:ascii="宋体"/>
              </w:rPr>
            </w:pPr>
          </w:p>
        </w:tc>
        <w:tc>
          <w:tcPr>
            <w:tcW w:w="5" w:type="pct"/>
            <w:shd w:val="clear" w:color="auto" w:fill="auto"/>
          </w:tcPr>
          <w:p w14:paraId="33DAEEBF" w14:textId="77777777" w:rsidR="004D6A64" w:rsidRDefault="004D6A64">
            <w:pPr>
              <w:rPr>
                <w:rFonts w:ascii="宋体"/>
              </w:rPr>
            </w:pPr>
          </w:p>
        </w:tc>
        <w:tc>
          <w:tcPr>
            <w:tcW w:w="19" w:type="pct"/>
            <w:shd w:val="clear" w:color="auto" w:fill="auto"/>
          </w:tcPr>
          <w:p w14:paraId="33DAEEC0" w14:textId="77777777" w:rsidR="004D6A64" w:rsidRDefault="004D6A64">
            <w:pPr>
              <w:rPr>
                <w:rFonts w:ascii="宋体"/>
              </w:rPr>
            </w:pPr>
          </w:p>
        </w:tc>
        <w:tc>
          <w:tcPr>
            <w:tcW w:w="5" w:type="pct"/>
            <w:shd w:val="clear" w:color="auto" w:fill="auto"/>
          </w:tcPr>
          <w:p w14:paraId="33DAEEC1" w14:textId="77777777" w:rsidR="004D6A64" w:rsidRDefault="004D6A64">
            <w:pPr>
              <w:rPr>
                <w:rFonts w:ascii="宋体"/>
              </w:rPr>
            </w:pPr>
          </w:p>
        </w:tc>
        <w:tc>
          <w:tcPr>
            <w:tcW w:w="50" w:type="pct"/>
            <w:shd w:val="clear" w:color="auto" w:fill="auto"/>
          </w:tcPr>
          <w:p w14:paraId="33DAEEC2" w14:textId="77777777" w:rsidR="004D6A64" w:rsidRDefault="004D6A64">
            <w:pPr>
              <w:rPr>
                <w:rFonts w:ascii="宋体"/>
              </w:rPr>
            </w:pPr>
          </w:p>
        </w:tc>
        <w:tc>
          <w:tcPr>
            <w:tcW w:w="288" w:type="pct"/>
            <w:shd w:val="clear" w:color="auto" w:fill="auto"/>
          </w:tcPr>
          <w:p w14:paraId="33DAEEC3" w14:textId="77777777" w:rsidR="004D6A64" w:rsidRDefault="004D6A64">
            <w:pPr>
              <w:rPr>
                <w:rFonts w:ascii="宋体"/>
              </w:rPr>
            </w:pPr>
          </w:p>
        </w:tc>
        <w:tc>
          <w:tcPr>
            <w:tcW w:w="5" w:type="pct"/>
            <w:shd w:val="clear" w:color="auto" w:fill="auto"/>
          </w:tcPr>
          <w:p w14:paraId="33DAEEC4" w14:textId="77777777" w:rsidR="004D6A64" w:rsidRDefault="004D6A64">
            <w:pPr>
              <w:rPr>
                <w:rFonts w:ascii="宋体"/>
              </w:rPr>
            </w:pPr>
          </w:p>
        </w:tc>
        <w:tc>
          <w:tcPr>
            <w:tcW w:w="5" w:type="pct"/>
            <w:shd w:val="clear" w:color="auto" w:fill="auto"/>
          </w:tcPr>
          <w:p w14:paraId="33DAEEC5" w14:textId="77777777" w:rsidR="004D6A64" w:rsidRDefault="004D6A64">
            <w:pPr>
              <w:rPr>
                <w:rFonts w:ascii="宋体"/>
              </w:rPr>
            </w:pPr>
          </w:p>
        </w:tc>
        <w:tc>
          <w:tcPr>
            <w:tcW w:w="19" w:type="pct"/>
            <w:shd w:val="clear" w:color="auto" w:fill="auto"/>
          </w:tcPr>
          <w:p w14:paraId="33DAEEC6" w14:textId="77777777" w:rsidR="004D6A64" w:rsidRDefault="004D6A64">
            <w:pPr>
              <w:rPr>
                <w:rFonts w:ascii="宋体"/>
              </w:rPr>
            </w:pPr>
          </w:p>
        </w:tc>
        <w:tc>
          <w:tcPr>
            <w:tcW w:w="5" w:type="pct"/>
            <w:shd w:val="clear" w:color="auto" w:fill="auto"/>
          </w:tcPr>
          <w:p w14:paraId="33DAEEC7" w14:textId="77777777" w:rsidR="004D6A64" w:rsidRDefault="004D6A64">
            <w:pPr>
              <w:rPr>
                <w:rFonts w:ascii="宋体"/>
              </w:rPr>
            </w:pPr>
          </w:p>
        </w:tc>
        <w:tc>
          <w:tcPr>
            <w:tcW w:w="50" w:type="pct"/>
            <w:shd w:val="clear" w:color="auto" w:fill="auto"/>
          </w:tcPr>
          <w:p w14:paraId="33DAEEC8" w14:textId="77777777" w:rsidR="004D6A64" w:rsidRDefault="004D6A64">
            <w:pPr>
              <w:rPr>
                <w:rFonts w:ascii="宋体"/>
              </w:rPr>
            </w:pPr>
          </w:p>
        </w:tc>
        <w:tc>
          <w:tcPr>
            <w:tcW w:w="310" w:type="pct"/>
            <w:shd w:val="clear" w:color="auto" w:fill="auto"/>
          </w:tcPr>
          <w:p w14:paraId="33DAEEC9" w14:textId="77777777" w:rsidR="004D6A64" w:rsidRDefault="004D6A64">
            <w:pPr>
              <w:rPr>
                <w:rFonts w:ascii="宋体"/>
              </w:rPr>
            </w:pPr>
          </w:p>
        </w:tc>
        <w:tc>
          <w:tcPr>
            <w:tcW w:w="5" w:type="pct"/>
            <w:shd w:val="clear" w:color="auto" w:fill="auto"/>
          </w:tcPr>
          <w:p w14:paraId="33DAEECA" w14:textId="77777777" w:rsidR="004D6A64" w:rsidRDefault="004D6A64">
            <w:pPr>
              <w:rPr>
                <w:rFonts w:ascii="宋体"/>
              </w:rPr>
            </w:pPr>
          </w:p>
        </w:tc>
        <w:tc>
          <w:tcPr>
            <w:tcW w:w="5" w:type="pct"/>
            <w:shd w:val="clear" w:color="auto" w:fill="auto"/>
          </w:tcPr>
          <w:p w14:paraId="33DAEECB" w14:textId="77777777" w:rsidR="004D6A64" w:rsidRDefault="004D6A64">
            <w:pPr>
              <w:rPr>
                <w:rFonts w:ascii="宋体"/>
              </w:rPr>
            </w:pPr>
          </w:p>
        </w:tc>
        <w:tc>
          <w:tcPr>
            <w:tcW w:w="19" w:type="pct"/>
            <w:shd w:val="clear" w:color="auto" w:fill="auto"/>
          </w:tcPr>
          <w:p w14:paraId="33DAEECC" w14:textId="77777777" w:rsidR="004D6A64" w:rsidRDefault="004D6A64">
            <w:pPr>
              <w:rPr>
                <w:rFonts w:ascii="宋体"/>
              </w:rPr>
            </w:pPr>
          </w:p>
        </w:tc>
        <w:tc>
          <w:tcPr>
            <w:tcW w:w="5" w:type="pct"/>
            <w:shd w:val="clear" w:color="auto" w:fill="auto"/>
          </w:tcPr>
          <w:p w14:paraId="33DAEECD" w14:textId="77777777" w:rsidR="004D6A64" w:rsidRDefault="004D6A64">
            <w:pPr>
              <w:rPr>
                <w:rFonts w:ascii="宋体"/>
              </w:rPr>
            </w:pPr>
          </w:p>
        </w:tc>
        <w:tc>
          <w:tcPr>
            <w:tcW w:w="50" w:type="pct"/>
            <w:shd w:val="clear" w:color="auto" w:fill="auto"/>
          </w:tcPr>
          <w:p w14:paraId="33DAEECE" w14:textId="77777777" w:rsidR="004D6A64" w:rsidRDefault="004D6A64">
            <w:pPr>
              <w:rPr>
                <w:rFonts w:ascii="宋体"/>
              </w:rPr>
            </w:pPr>
          </w:p>
        </w:tc>
        <w:tc>
          <w:tcPr>
            <w:tcW w:w="317" w:type="pct"/>
            <w:shd w:val="clear" w:color="auto" w:fill="auto"/>
          </w:tcPr>
          <w:p w14:paraId="33DAEECF" w14:textId="77777777" w:rsidR="004D6A64" w:rsidRDefault="004D6A64">
            <w:pPr>
              <w:rPr>
                <w:rFonts w:ascii="宋体"/>
              </w:rPr>
            </w:pPr>
          </w:p>
        </w:tc>
        <w:tc>
          <w:tcPr>
            <w:tcW w:w="5" w:type="pct"/>
            <w:shd w:val="clear" w:color="auto" w:fill="auto"/>
          </w:tcPr>
          <w:p w14:paraId="33DAEED0" w14:textId="77777777" w:rsidR="004D6A64" w:rsidRDefault="004D6A64">
            <w:pPr>
              <w:rPr>
                <w:rFonts w:ascii="宋体"/>
              </w:rPr>
            </w:pPr>
          </w:p>
        </w:tc>
        <w:tc>
          <w:tcPr>
            <w:tcW w:w="5" w:type="pct"/>
            <w:shd w:val="clear" w:color="auto" w:fill="auto"/>
          </w:tcPr>
          <w:p w14:paraId="33DAEED1" w14:textId="77777777" w:rsidR="004D6A64" w:rsidRDefault="004D6A64">
            <w:pPr>
              <w:rPr>
                <w:rFonts w:ascii="宋体"/>
              </w:rPr>
            </w:pPr>
          </w:p>
        </w:tc>
        <w:tc>
          <w:tcPr>
            <w:tcW w:w="19" w:type="pct"/>
            <w:shd w:val="clear" w:color="auto" w:fill="auto"/>
          </w:tcPr>
          <w:p w14:paraId="33DAEED2" w14:textId="77777777" w:rsidR="004D6A64" w:rsidRDefault="004D6A64">
            <w:pPr>
              <w:rPr>
                <w:rFonts w:ascii="宋体"/>
              </w:rPr>
            </w:pPr>
          </w:p>
        </w:tc>
        <w:tc>
          <w:tcPr>
            <w:tcW w:w="5" w:type="pct"/>
            <w:shd w:val="clear" w:color="auto" w:fill="auto"/>
          </w:tcPr>
          <w:p w14:paraId="33DAEED3" w14:textId="77777777" w:rsidR="004D6A64" w:rsidRDefault="004D6A64">
            <w:pPr>
              <w:rPr>
                <w:rFonts w:ascii="宋体"/>
              </w:rPr>
            </w:pPr>
          </w:p>
        </w:tc>
        <w:tc>
          <w:tcPr>
            <w:tcW w:w="50" w:type="pct"/>
            <w:shd w:val="clear" w:color="auto" w:fill="auto"/>
          </w:tcPr>
          <w:p w14:paraId="33DAEED4" w14:textId="77777777" w:rsidR="004D6A64" w:rsidRDefault="004D6A64">
            <w:pPr>
              <w:rPr>
                <w:rFonts w:ascii="宋体"/>
              </w:rPr>
            </w:pPr>
          </w:p>
        </w:tc>
        <w:tc>
          <w:tcPr>
            <w:tcW w:w="310" w:type="pct"/>
            <w:shd w:val="clear" w:color="auto" w:fill="auto"/>
          </w:tcPr>
          <w:p w14:paraId="33DAEED5" w14:textId="77777777" w:rsidR="004D6A64" w:rsidRDefault="004D6A64">
            <w:pPr>
              <w:rPr>
                <w:rFonts w:ascii="宋体"/>
              </w:rPr>
            </w:pPr>
          </w:p>
        </w:tc>
        <w:tc>
          <w:tcPr>
            <w:tcW w:w="5" w:type="pct"/>
            <w:shd w:val="clear" w:color="auto" w:fill="auto"/>
          </w:tcPr>
          <w:p w14:paraId="33DAEED6" w14:textId="77777777" w:rsidR="004D6A64" w:rsidRDefault="004D6A64">
            <w:pPr>
              <w:rPr>
                <w:rFonts w:ascii="宋体"/>
              </w:rPr>
            </w:pPr>
          </w:p>
        </w:tc>
        <w:tc>
          <w:tcPr>
            <w:tcW w:w="5" w:type="pct"/>
            <w:shd w:val="clear" w:color="auto" w:fill="auto"/>
          </w:tcPr>
          <w:p w14:paraId="33DAEED7" w14:textId="77777777" w:rsidR="004D6A64" w:rsidRDefault="004D6A64">
            <w:pPr>
              <w:rPr>
                <w:rFonts w:ascii="宋体"/>
              </w:rPr>
            </w:pPr>
          </w:p>
        </w:tc>
        <w:tc>
          <w:tcPr>
            <w:tcW w:w="19" w:type="pct"/>
            <w:shd w:val="clear" w:color="auto" w:fill="auto"/>
          </w:tcPr>
          <w:p w14:paraId="33DAEED8" w14:textId="77777777" w:rsidR="004D6A64" w:rsidRDefault="004D6A64">
            <w:pPr>
              <w:rPr>
                <w:rFonts w:ascii="宋体"/>
              </w:rPr>
            </w:pPr>
          </w:p>
        </w:tc>
        <w:tc>
          <w:tcPr>
            <w:tcW w:w="5" w:type="pct"/>
            <w:shd w:val="clear" w:color="auto" w:fill="auto"/>
          </w:tcPr>
          <w:p w14:paraId="33DAEED9" w14:textId="77777777" w:rsidR="004D6A64" w:rsidRDefault="004D6A64">
            <w:pPr>
              <w:rPr>
                <w:rFonts w:ascii="宋体"/>
              </w:rPr>
            </w:pPr>
          </w:p>
        </w:tc>
        <w:tc>
          <w:tcPr>
            <w:tcW w:w="50" w:type="pct"/>
            <w:shd w:val="clear" w:color="auto" w:fill="auto"/>
          </w:tcPr>
          <w:p w14:paraId="33DAEEDA" w14:textId="77777777" w:rsidR="004D6A64" w:rsidRDefault="004D6A64">
            <w:pPr>
              <w:rPr>
                <w:rFonts w:ascii="宋体"/>
              </w:rPr>
            </w:pPr>
          </w:p>
        </w:tc>
        <w:tc>
          <w:tcPr>
            <w:tcW w:w="317" w:type="pct"/>
            <w:shd w:val="clear" w:color="auto" w:fill="auto"/>
          </w:tcPr>
          <w:p w14:paraId="33DAEEDB" w14:textId="77777777" w:rsidR="004D6A64" w:rsidRDefault="004D6A64">
            <w:pPr>
              <w:rPr>
                <w:rFonts w:ascii="宋体"/>
              </w:rPr>
            </w:pPr>
          </w:p>
        </w:tc>
        <w:tc>
          <w:tcPr>
            <w:tcW w:w="5" w:type="pct"/>
            <w:shd w:val="clear" w:color="auto" w:fill="auto"/>
          </w:tcPr>
          <w:p w14:paraId="33DAEEDC" w14:textId="77777777" w:rsidR="004D6A64" w:rsidRDefault="004D6A64">
            <w:pPr>
              <w:rPr>
                <w:rFonts w:ascii="宋体"/>
              </w:rPr>
            </w:pPr>
          </w:p>
        </w:tc>
        <w:tc>
          <w:tcPr>
            <w:tcW w:w="5" w:type="pct"/>
            <w:shd w:val="clear" w:color="auto" w:fill="auto"/>
          </w:tcPr>
          <w:p w14:paraId="33DAEEDD" w14:textId="77777777" w:rsidR="004D6A64" w:rsidRDefault="004D6A64">
            <w:pPr>
              <w:rPr>
                <w:rFonts w:ascii="宋体"/>
              </w:rPr>
            </w:pPr>
          </w:p>
        </w:tc>
        <w:tc>
          <w:tcPr>
            <w:tcW w:w="19" w:type="pct"/>
            <w:shd w:val="clear" w:color="auto" w:fill="auto"/>
          </w:tcPr>
          <w:p w14:paraId="33DAEEDE" w14:textId="77777777" w:rsidR="004D6A64" w:rsidRDefault="004D6A64">
            <w:pPr>
              <w:rPr>
                <w:rFonts w:ascii="宋体"/>
              </w:rPr>
            </w:pPr>
          </w:p>
        </w:tc>
        <w:tc>
          <w:tcPr>
            <w:tcW w:w="5" w:type="pct"/>
            <w:shd w:val="clear" w:color="auto" w:fill="auto"/>
          </w:tcPr>
          <w:p w14:paraId="33DAEEDF" w14:textId="77777777" w:rsidR="004D6A64" w:rsidRDefault="004D6A64">
            <w:pPr>
              <w:rPr>
                <w:rFonts w:ascii="宋体"/>
              </w:rPr>
            </w:pPr>
          </w:p>
        </w:tc>
        <w:tc>
          <w:tcPr>
            <w:tcW w:w="50" w:type="pct"/>
            <w:shd w:val="clear" w:color="auto" w:fill="auto"/>
          </w:tcPr>
          <w:p w14:paraId="33DAEEE0" w14:textId="77777777" w:rsidR="004D6A64" w:rsidRDefault="004D6A64">
            <w:pPr>
              <w:rPr>
                <w:rFonts w:ascii="宋体"/>
              </w:rPr>
            </w:pPr>
          </w:p>
        </w:tc>
        <w:tc>
          <w:tcPr>
            <w:tcW w:w="288" w:type="pct"/>
            <w:shd w:val="clear" w:color="auto" w:fill="auto"/>
          </w:tcPr>
          <w:p w14:paraId="33DAEEE1" w14:textId="77777777" w:rsidR="004D6A64" w:rsidRDefault="004D6A64">
            <w:pPr>
              <w:rPr>
                <w:rFonts w:ascii="宋体"/>
              </w:rPr>
            </w:pPr>
          </w:p>
        </w:tc>
        <w:tc>
          <w:tcPr>
            <w:tcW w:w="5" w:type="pct"/>
            <w:shd w:val="clear" w:color="auto" w:fill="auto"/>
          </w:tcPr>
          <w:p w14:paraId="33DAEEE2" w14:textId="77777777" w:rsidR="004D6A64" w:rsidRDefault="004D6A64">
            <w:pPr>
              <w:rPr>
                <w:rFonts w:ascii="宋体"/>
              </w:rPr>
            </w:pPr>
          </w:p>
        </w:tc>
        <w:tc>
          <w:tcPr>
            <w:tcW w:w="5" w:type="pct"/>
            <w:shd w:val="clear" w:color="auto" w:fill="auto"/>
          </w:tcPr>
          <w:p w14:paraId="33DAEEE3" w14:textId="77777777" w:rsidR="004D6A64" w:rsidRDefault="004D6A64">
            <w:pPr>
              <w:rPr>
                <w:rFonts w:ascii="宋体"/>
              </w:rPr>
            </w:pPr>
          </w:p>
        </w:tc>
        <w:tc>
          <w:tcPr>
            <w:tcW w:w="19" w:type="pct"/>
            <w:shd w:val="clear" w:color="auto" w:fill="auto"/>
          </w:tcPr>
          <w:p w14:paraId="33DAEEE4" w14:textId="77777777" w:rsidR="004D6A64" w:rsidRDefault="004D6A64">
            <w:pPr>
              <w:rPr>
                <w:rFonts w:ascii="宋体"/>
              </w:rPr>
            </w:pPr>
          </w:p>
        </w:tc>
        <w:tc>
          <w:tcPr>
            <w:tcW w:w="5" w:type="pct"/>
            <w:shd w:val="clear" w:color="auto" w:fill="auto"/>
          </w:tcPr>
          <w:p w14:paraId="33DAEEE5" w14:textId="77777777" w:rsidR="004D6A64" w:rsidRDefault="004D6A64">
            <w:pPr>
              <w:rPr>
                <w:rFonts w:ascii="宋体"/>
              </w:rPr>
            </w:pPr>
          </w:p>
        </w:tc>
        <w:tc>
          <w:tcPr>
            <w:tcW w:w="50" w:type="pct"/>
            <w:shd w:val="clear" w:color="auto" w:fill="auto"/>
          </w:tcPr>
          <w:p w14:paraId="33DAEEE6" w14:textId="77777777" w:rsidR="004D6A64" w:rsidRDefault="004D6A64">
            <w:pPr>
              <w:rPr>
                <w:rFonts w:ascii="宋体"/>
              </w:rPr>
            </w:pPr>
          </w:p>
        </w:tc>
        <w:tc>
          <w:tcPr>
            <w:tcW w:w="310" w:type="pct"/>
            <w:shd w:val="clear" w:color="auto" w:fill="auto"/>
          </w:tcPr>
          <w:p w14:paraId="33DAEEE7" w14:textId="77777777" w:rsidR="004D6A64" w:rsidRDefault="004D6A64">
            <w:pPr>
              <w:rPr>
                <w:rFonts w:ascii="宋体"/>
              </w:rPr>
            </w:pPr>
          </w:p>
        </w:tc>
        <w:tc>
          <w:tcPr>
            <w:tcW w:w="5" w:type="pct"/>
            <w:shd w:val="clear" w:color="auto" w:fill="auto"/>
          </w:tcPr>
          <w:p w14:paraId="33DAEEE8" w14:textId="77777777" w:rsidR="004D6A64" w:rsidRDefault="004D6A64">
            <w:pPr>
              <w:rPr>
                <w:rFonts w:ascii="宋体"/>
              </w:rPr>
            </w:pPr>
          </w:p>
        </w:tc>
        <w:tc>
          <w:tcPr>
            <w:tcW w:w="5" w:type="pct"/>
            <w:shd w:val="clear" w:color="auto" w:fill="auto"/>
          </w:tcPr>
          <w:p w14:paraId="33DAEEE9" w14:textId="77777777" w:rsidR="004D6A64" w:rsidRDefault="004D6A64">
            <w:pPr>
              <w:rPr>
                <w:rFonts w:ascii="宋体"/>
              </w:rPr>
            </w:pPr>
          </w:p>
        </w:tc>
        <w:tc>
          <w:tcPr>
            <w:tcW w:w="19" w:type="pct"/>
            <w:shd w:val="clear" w:color="auto" w:fill="auto"/>
          </w:tcPr>
          <w:p w14:paraId="33DAEEEA" w14:textId="77777777" w:rsidR="004D6A64" w:rsidRDefault="004D6A64">
            <w:pPr>
              <w:rPr>
                <w:rFonts w:ascii="宋体"/>
              </w:rPr>
            </w:pPr>
          </w:p>
        </w:tc>
        <w:tc>
          <w:tcPr>
            <w:tcW w:w="5" w:type="pct"/>
            <w:shd w:val="clear" w:color="auto" w:fill="auto"/>
          </w:tcPr>
          <w:p w14:paraId="33DAEEEB" w14:textId="77777777" w:rsidR="004D6A64" w:rsidRDefault="004D6A64">
            <w:pPr>
              <w:rPr>
                <w:rFonts w:ascii="宋体"/>
              </w:rPr>
            </w:pPr>
          </w:p>
        </w:tc>
        <w:tc>
          <w:tcPr>
            <w:tcW w:w="50" w:type="pct"/>
            <w:shd w:val="clear" w:color="auto" w:fill="auto"/>
          </w:tcPr>
          <w:p w14:paraId="33DAEEEC" w14:textId="77777777" w:rsidR="004D6A64" w:rsidRDefault="004D6A64">
            <w:pPr>
              <w:rPr>
                <w:rFonts w:ascii="宋体"/>
              </w:rPr>
            </w:pPr>
          </w:p>
        </w:tc>
        <w:tc>
          <w:tcPr>
            <w:tcW w:w="318" w:type="pct"/>
            <w:shd w:val="clear" w:color="auto" w:fill="auto"/>
          </w:tcPr>
          <w:p w14:paraId="33DAEEED" w14:textId="77777777" w:rsidR="004D6A64" w:rsidRDefault="004D6A64">
            <w:pPr>
              <w:rPr>
                <w:rFonts w:ascii="宋体"/>
              </w:rPr>
            </w:pPr>
          </w:p>
        </w:tc>
        <w:tc>
          <w:tcPr>
            <w:tcW w:w="5" w:type="pct"/>
            <w:shd w:val="clear" w:color="auto" w:fill="auto"/>
          </w:tcPr>
          <w:p w14:paraId="33DAEEEE" w14:textId="77777777" w:rsidR="004D6A64" w:rsidRDefault="004D6A64">
            <w:pPr>
              <w:rPr>
                <w:rFonts w:ascii="宋体"/>
              </w:rPr>
            </w:pPr>
          </w:p>
        </w:tc>
      </w:tr>
      <w:tr w:rsidR="004D6A64" w14:paraId="33DAEEFD" w14:textId="77777777">
        <w:tc>
          <w:tcPr>
            <w:tcW w:w="0" w:type="auto"/>
            <w:gridSpan w:val="3"/>
            <w:shd w:val="clear" w:color="auto" w:fill="auto"/>
            <w:tcMar>
              <w:left w:w="20" w:type="dxa"/>
              <w:right w:w="20" w:type="dxa"/>
            </w:tcMar>
            <w:vAlign w:val="bottom"/>
          </w:tcPr>
          <w:p w14:paraId="33DAEEF0" w14:textId="77777777" w:rsidR="004D6A64" w:rsidRDefault="004D6A64">
            <w:pPr>
              <w:rPr>
                <w:rFonts w:ascii="宋体"/>
              </w:rPr>
            </w:pP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33DAEEF1" w14:textId="77777777" w:rsidR="004D6A64" w:rsidRDefault="00506CD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Pr>
          <w:p w14:paraId="33DAEEF2" w14:textId="77777777" w:rsidR="004D6A64" w:rsidRDefault="004D6A64">
            <w:pPr>
              <w:rPr>
                <w:rFonts w:ascii="宋体"/>
                <w:vanish/>
              </w:rPr>
            </w:pPr>
          </w:p>
        </w:tc>
        <w:tc>
          <w:tcPr>
            <w:tcW w:w="0" w:type="auto"/>
            <w:gridSpan w:val="3"/>
            <w:shd w:val="clear" w:color="auto" w:fill="auto"/>
          </w:tcPr>
          <w:p w14:paraId="33DAEEF3" w14:textId="77777777" w:rsidR="004D6A64" w:rsidRDefault="004D6A64">
            <w:pPr>
              <w:rPr>
                <w:rFonts w:ascii="宋体"/>
                <w:vanish/>
              </w:rPr>
            </w:pPr>
          </w:p>
        </w:tc>
        <w:tc>
          <w:tcPr>
            <w:tcW w:w="0" w:type="auto"/>
            <w:gridSpan w:val="3"/>
            <w:shd w:val="clear" w:color="auto" w:fill="auto"/>
          </w:tcPr>
          <w:p w14:paraId="33DAEEF4" w14:textId="77777777" w:rsidR="004D6A64" w:rsidRDefault="004D6A64">
            <w:pPr>
              <w:rPr>
                <w:rFonts w:ascii="宋体"/>
                <w:vanish/>
              </w:rPr>
            </w:pPr>
          </w:p>
        </w:tc>
        <w:tc>
          <w:tcPr>
            <w:tcW w:w="0" w:type="auto"/>
            <w:gridSpan w:val="3"/>
            <w:shd w:val="clear" w:color="auto" w:fill="auto"/>
          </w:tcPr>
          <w:p w14:paraId="33DAEEF5" w14:textId="77777777" w:rsidR="004D6A64" w:rsidRDefault="004D6A64">
            <w:pPr>
              <w:rPr>
                <w:rFonts w:ascii="宋体"/>
                <w:vanish/>
              </w:rPr>
            </w:pPr>
          </w:p>
        </w:tc>
        <w:tc>
          <w:tcPr>
            <w:tcW w:w="0" w:type="auto"/>
            <w:gridSpan w:val="3"/>
            <w:shd w:val="clear" w:color="auto" w:fill="auto"/>
          </w:tcPr>
          <w:p w14:paraId="33DAEEF6" w14:textId="77777777" w:rsidR="004D6A64" w:rsidRDefault="004D6A64">
            <w:pPr>
              <w:rPr>
                <w:rFonts w:ascii="宋体"/>
                <w:vanish/>
              </w:rPr>
            </w:pPr>
          </w:p>
        </w:tc>
        <w:tc>
          <w:tcPr>
            <w:tcW w:w="0" w:type="auto"/>
            <w:gridSpan w:val="3"/>
            <w:shd w:val="clear" w:color="auto" w:fill="auto"/>
          </w:tcPr>
          <w:p w14:paraId="33DAEEF7" w14:textId="77777777" w:rsidR="004D6A64" w:rsidRDefault="004D6A64">
            <w:pPr>
              <w:rPr>
                <w:rFonts w:ascii="宋体"/>
                <w:vanish/>
              </w:rPr>
            </w:pPr>
          </w:p>
        </w:tc>
        <w:tc>
          <w:tcPr>
            <w:tcW w:w="0" w:type="auto"/>
            <w:gridSpan w:val="3"/>
            <w:shd w:val="clear" w:color="auto" w:fill="auto"/>
          </w:tcPr>
          <w:p w14:paraId="33DAEEF8" w14:textId="77777777" w:rsidR="004D6A64" w:rsidRDefault="004D6A64">
            <w:pPr>
              <w:rPr>
                <w:rFonts w:ascii="宋体"/>
                <w:vanish/>
              </w:rPr>
            </w:pPr>
          </w:p>
        </w:tc>
        <w:tc>
          <w:tcPr>
            <w:tcW w:w="0" w:type="auto"/>
            <w:gridSpan w:val="3"/>
            <w:shd w:val="clear" w:color="auto" w:fill="auto"/>
          </w:tcPr>
          <w:p w14:paraId="33DAEEF9"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EEFA" w14:textId="77777777" w:rsidR="004D6A64" w:rsidRDefault="004D6A64">
            <w:pPr>
              <w:rPr>
                <w:rFonts w:ascii="宋体"/>
              </w:rPr>
            </w:pPr>
          </w:p>
        </w:tc>
        <w:tc>
          <w:tcPr>
            <w:tcW w:w="0" w:type="auto"/>
            <w:gridSpan w:val="5"/>
            <w:tcBorders>
              <w:bottom w:val="single" w:sz="8" w:space="0" w:color="000000"/>
            </w:tcBorders>
            <w:shd w:val="clear" w:color="auto" w:fill="auto"/>
            <w:tcMar>
              <w:top w:w="40" w:type="dxa"/>
              <w:left w:w="20" w:type="dxa"/>
              <w:bottom w:w="40" w:type="dxa"/>
              <w:right w:w="20" w:type="dxa"/>
            </w:tcMar>
            <w:vAlign w:val="bottom"/>
          </w:tcPr>
          <w:p w14:paraId="33DAEEFB" w14:textId="77777777" w:rsidR="004D6A64" w:rsidRDefault="00506CD6">
            <w:pPr>
              <w:jc w:val="center"/>
              <w:textAlignment w:val="bottom"/>
            </w:pPr>
            <w:r>
              <w:rPr>
                <w:rFonts w:ascii="Times New Roman" w:eastAsia="宋体" w:hAnsi="Times New Roman"/>
                <w:b/>
                <w:bCs/>
                <w:color w:val="000000"/>
                <w:sz w:val="20"/>
                <w:szCs w:val="20"/>
              </w:rPr>
              <w:t>Six Months Ended</w:t>
            </w:r>
          </w:p>
        </w:tc>
        <w:tc>
          <w:tcPr>
            <w:tcW w:w="0" w:type="auto"/>
            <w:shd w:val="clear" w:color="auto" w:fill="auto"/>
          </w:tcPr>
          <w:p w14:paraId="33DAEEFC" w14:textId="77777777" w:rsidR="004D6A64" w:rsidRDefault="004D6A64">
            <w:pPr>
              <w:rPr>
                <w:rFonts w:ascii="宋体"/>
                <w:vanish/>
              </w:rPr>
            </w:pPr>
          </w:p>
        </w:tc>
      </w:tr>
      <w:tr w:rsidR="004D6A64" w14:paraId="33DAEF0E" w14:textId="77777777">
        <w:tc>
          <w:tcPr>
            <w:tcW w:w="0" w:type="auto"/>
            <w:gridSpan w:val="3"/>
            <w:shd w:val="clear" w:color="auto" w:fill="auto"/>
            <w:tcMar>
              <w:left w:w="20" w:type="dxa"/>
              <w:right w:w="20" w:type="dxa"/>
            </w:tcMar>
            <w:vAlign w:val="bottom"/>
          </w:tcPr>
          <w:p w14:paraId="33DAEEFE" w14:textId="77777777" w:rsidR="004D6A64" w:rsidRDefault="004D6A6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3DAEEFF"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shd w:val="clear" w:color="auto" w:fill="auto"/>
          </w:tcPr>
          <w:p w14:paraId="33DAEF00" w14:textId="77777777" w:rsidR="004D6A64" w:rsidRDefault="004D6A64">
            <w:pPr>
              <w:rPr>
                <w:rFonts w:ascii="宋体"/>
                <w:vanish/>
              </w:rPr>
            </w:pPr>
          </w:p>
        </w:tc>
        <w:tc>
          <w:tcPr>
            <w:tcW w:w="0" w:type="auto"/>
            <w:gridSpan w:val="3"/>
            <w:shd w:val="clear" w:color="auto" w:fill="auto"/>
          </w:tcPr>
          <w:p w14:paraId="33DAEF01" w14:textId="77777777" w:rsidR="004D6A64" w:rsidRDefault="004D6A64">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33DAEF02" w14:textId="77777777" w:rsidR="004D6A64" w:rsidRDefault="004D6A64">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3DAEF03" w14:textId="77777777" w:rsidR="004D6A64" w:rsidRDefault="004D6A64">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3DAEF04" w14:textId="77777777" w:rsidR="004D6A64" w:rsidRDefault="004D6A6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3DAEF05"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gridSpan w:val="3"/>
            <w:shd w:val="clear" w:color="auto" w:fill="auto"/>
          </w:tcPr>
          <w:p w14:paraId="33DAEF06" w14:textId="77777777" w:rsidR="004D6A64" w:rsidRDefault="004D6A64">
            <w:pPr>
              <w:rPr>
                <w:rFonts w:ascii="宋体"/>
                <w:vanish/>
              </w:rPr>
            </w:pPr>
          </w:p>
        </w:tc>
        <w:tc>
          <w:tcPr>
            <w:tcW w:w="0" w:type="auto"/>
            <w:gridSpan w:val="3"/>
            <w:shd w:val="clear" w:color="auto" w:fill="auto"/>
          </w:tcPr>
          <w:p w14:paraId="33DAEF07"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EF08" w14:textId="77777777" w:rsidR="004D6A64" w:rsidRDefault="004D6A6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3DAEF09" w14:textId="77777777" w:rsidR="004D6A64" w:rsidRDefault="00506CD6">
            <w:pPr>
              <w:jc w:val="center"/>
              <w:textAlignment w:val="bottom"/>
            </w:pPr>
            <w:r>
              <w:rPr>
                <w:rFonts w:ascii="Times New Roman" w:eastAsia="宋体" w:hAnsi="Times New Roman"/>
                <w:b/>
                <w:bCs/>
                <w:color w:val="000000"/>
                <w:sz w:val="20"/>
                <w:szCs w:val="20"/>
              </w:rPr>
              <w:t xml:space="preserve">July 31, </w:t>
            </w:r>
            <w:r>
              <w:rPr>
                <w:rFonts w:ascii="Times New Roman" w:eastAsia="宋体" w:hAnsi="Times New Roman"/>
                <w:b/>
                <w:bCs/>
                <w:color w:val="000000"/>
                <w:sz w:val="20"/>
                <w:szCs w:val="20"/>
              </w:rPr>
              <w:t>2020</w:t>
            </w:r>
          </w:p>
        </w:tc>
        <w:tc>
          <w:tcPr>
            <w:tcW w:w="0" w:type="auto"/>
            <w:gridSpan w:val="3"/>
            <w:shd w:val="clear" w:color="auto" w:fill="auto"/>
          </w:tcPr>
          <w:p w14:paraId="33DAEF0A" w14:textId="77777777" w:rsidR="004D6A64" w:rsidRDefault="004D6A64">
            <w:pPr>
              <w:rPr>
                <w:rFonts w:ascii="宋体"/>
                <w:vanish/>
              </w:rPr>
            </w:pPr>
          </w:p>
        </w:tc>
        <w:tc>
          <w:tcPr>
            <w:tcW w:w="0" w:type="auto"/>
            <w:gridSpan w:val="3"/>
            <w:shd w:val="clear" w:color="auto" w:fill="auto"/>
          </w:tcPr>
          <w:p w14:paraId="33DAEF0B" w14:textId="77777777" w:rsidR="004D6A64" w:rsidRDefault="004D6A64">
            <w:pPr>
              <w:rPr>
                <w:rFonts w:ascii="宋体"/>
                <w:vanish/>
              </w:rPr>
            </w:pPr>
          </w:p>
        </w:tc>
        <w:tc>
          <w:tcPr>
            <w:tcW w:w="0" w:type="auto"/>
            <w:gridSpan w:val="2"/>
            <w:tcBorders>
              <w:top w:val="single" w:sz="8" w:space="0" w:color="000000"/>
            </w:tcBorders>
            <w:shd w:val="clear" w:color="auto" w:fill="auto"/>
            <w:tcMar>
              <w:left w:w="20" w:type="dxa"/>
              <w:right w:w="20" w:type="dxa"/>
            </w:tcMar>
            <w:vAlign w:val="bottom"/>
          </w:tcPr>
          <w:p w14:paraId="33DAEF0C" w14:textId="77777777" w:rsidR="004D6A64" w:rsidRDefault="004D6A64">
            <w:pPr>
              <w:rPr>
                <w:rFonts w:ascii="宋体"/>
              </w:rPr>
            </w:pPr>
          </w:p>
        </w:tc>
        <w:tc>
          <w:tcPr>
            <w:tcW w:w="0" w:type="auto"/>
            <w:tcBorders>
              <w:top w:val="single" w:sz="8" w:space="0" w:color="000000"/>
            </w:tcBorders>
            <w:shd w:val="clear" w:color="auto" w:fill="auto"/>
            <w:tcMar>
              <w:left w:w="20" w:type="dxa"/>
              <w:right w:w="20" w:type="dxa"/>
            </w:tcMar>
            <w:vAlign w:val="bottom"/>
          </w:tcPr>
          <w:p w14:paraId="33DAEF0D" w14:textId="77777777" w:rsidR="004D6A64" w:rsidRDefault="00506CD6">
            <w:pPr>
              <w:jc w:val="center"/>
              <w:textAlignment w:val="bottom"/>
            </w:pPr>
            <w:r>
              <w:rPr>
                <w:rFonts w:ascii="Times New Roman" w:eastAsia="宋体" w:hAnsi="Times New Roman"/>
                <w:b/>
                <w:bCs/>
                <w:color w:val="000000"/>
                <w:sz w:val="20"/>
                <w:szCs w:val="20"/>
              </w:rPr>
              <w:t>August 2, 2019</w:t>
            </w:r>
          </w:p>
        </w:tc>
      </w:tr>
      <w:tr w:rsidR="004D6A64" w14:paraId="33DAEF26" w14:textId="77777777">
        <w:tc>
          <w:tcPr>
            <w:tcW w:w="0" w:type="auto"/>
            <w:gridSpan w:val="3"/>
            <w:shd w:val="clear" w:color="auto" w:fill="auto"/>
            <w:tcMar>
              <w:left w:w="20" w:type="dxa"/>
              <w:right w:w="20" w:type="dxa"/>
            </w:tcMar>
            <w:vAlign w:val="bottom"/>
          </w:tcPr>
          <w:p w14:paraId="33DAEF0F"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EF10" w14:textId="77777777" w:rsidR="004D6A64" w:rsidRDefault="00506CD6">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left w:w="20" w:type="dxa"/>
              <w:right w:w="20" w:type="dxa"/>
            </w:tcMar>
            <w:vAlign w:val="bottom"/>
          </w:tcPr>
          <w:p w14:paraId="33DAEF11"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EF12" w14:textId="77777777" w:rsidR="004D6A64" w:rsidRDefault="00506CD6">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c>
          <w:tcPr>
            <w:tcW w:w="0" w:type="auto"/>
            <w:gridSpan w:val="3"/>
            <w:shd w:val="clear" w:color="auto" w:fill="auto"/>
            <w:tcMar>
              <w:left w:w="20" w:type="dxa"/>
              <w:right w:w="20" w:type="dxa"/>
            </w:tcMar>
            <w:vAlign w:val="bottom"/>
          </w:tcPr>
          <w:p w14:paraId="33DAEF13" w14:textId="77777777" w:rsidR="004D6A64" w:rsidRDefault="004D6A6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3DAEF14" w14:textId="77777777" w:rsidR="004D6A64" w:rsidRDefault="00506CD6">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gridSpan w:val="3"/>
            <w:shd w:val="clear" w:color="auto" w:fill="auto"/>
            <w:tcMar>
              <w:left w:w="20" w:type="dxa"/>
              <w:right w:w="20" w:type="dxa"/>
            </w:tcMar>
            <w:vAlign w:val="bottom"/>
          </w:tcPr>
          <w:p w14:paraId="33DAEF15"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EF16" w14:textId="77777777" w:rsidR="004D6A64" w:rsidRDefault="00506CD6">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left w:w="20" w:type="dxa"/>
              <w:right w:w="20" w:type="dxa"/>
            </w:tcMar>
            <w:vAlign w:val="bottom"/>
          </w:tcPr>
          <w:p w14:paraId="33DAEF17"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EF18" w14:textId="77777777" w:rsidR="004D6A64" w:rsidRDefault="00506CD6">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c>
          <w:tcPr>
            <w:tcW w:w="0" w:type="auto"/>
            <w:gridSpan w:val="3"/>
            <w:shd w:val="clear" w:color="auto" w:fill="auto"/>
            <w:tcMar>
              <w:left w:w="20" w:type="dxa"/>
              <w:right w:w="20" w:type="dxa"/>
            </w:tcMar>
            <w:vAlign w:val="bottom"/>
          </w:tcPr>
          <w:p w14:paraId="33DAEF19"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EF1A" w14:textId="77777777" w:rsidR="004D6A64" w:rsidRDefault="00506CD6">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left w:w="20" w:type="dxa"/>
              <w:right w:w="20" w:type="dxa"/>
            </w:tcMar>
            <w:vAlign w:val="bottom"/>
          </w:tcPr>
          <w:p w14:paraId="33DAEF1B"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EF1C" w14:textId="77777777" w:rsidR="004D6A64" w:rsidRDefault="00506CD6">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c>
          <w:tcPr>
            <w:tcW w:w="0" w:type="auto"/>
            <w:gridSpan w:val="3"/>
            <w:shd w:val="clear" w:color="auto" w:fill="auto"/>
            <w:tcMar>
              <w:left w:w="20" w:type="dxa"/>
              <w:right w:w="20" w:type="dxa"/>
            </w:tcMar>
            <w:vAlign w:val="bottom"/>
          </w:tcPr>
          <w:p w14:paraId="33DAEF1D" w14:textId="77777777" w:rsidR="004D6A64" w:rsidRDefault="004D6A6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3DAEF1E" w14:textId="77777777" w:rsidR="004D6A64" w:rsidRDefault="00506CD6">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gridSpan w:val="3"/>
            <w:shd w:val="clear" w:color="auto" w:fill="auto"/>
            <w:tcMar>
              <w:left w:w="20" w:type="dxa"/>
              <w:right w:w="20" w:type="dxa"/>
            </w:tcMar>
            <w:vAlign w:val="bottom"/>
          </w:tcPr>
          <w:p w14:paraId="33DAEF1F"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EF20" w14:textId="77777777" w:rsidR="004D6A64" w:rsidRDefault="00506CD6">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left w:w="20" w:type="dxa"/>
              <w:right w:w="20" w:type="dxa"/>
            </w:tcMar>
            <w:vAlign w:val="bottom"/>
          </w:tcPr>
          <w:p w14:paraId="33DAEF21"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EF22" w14:textId="77777777" w:rsidR="004D6A64" w:rsidRDefault="00506CD6">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c>
          <w:tcPr>
            <w:tcW w:w="0" w:type="auto"/>
            <w:shd w:val="clear" w:color="auto" w:fill="auto"/>
          </w:tcPr>
          <w:p w14:paraId="33DAEF23" w14:textId="77777777" w:rsidR="004D6A64" w:rsidRDefault="004D6A64">
            <w:pPr>
              <w:rPr>
                <w:rFonts w:ascii="宋体"/>
              </w:rPr>
            </w:pPr>
          </w:p>
        </w:tc>
        <w:tc>
          <w:tcPr>
            <w:tcW w:w="0" w:type="auto"/>
            <w:shd w:val="clear" w:color="auto" w:fill="auto"/>
          </w:tcPr>
          <w:p w14:paraId="33DAEF24" w14:textId="77777777" w:rsidR="004D6A64" w:rsidRDefault="004D6A64">
            <w:pPr>
              <w:rPr>
                <w:rFonts w:ascii="宋体"/>
              </w:rPr>
            </w:pPr>
          </w:p>
        </w:tc>
        <w:tc>
          <w:tcPr>
            <w:tcW w:w="0" w:type="auto"/>
            <w:shd w:val="clear" w:color="auto" w:fill="auto"/>
          </w:tcPr>
          <w:p w14:paraId="33DAEF25" w14:textId="77777777" w:rsidR="004D6A64" w:rsidRDefault="004D6A64">
            <w:pPr>
              <w:rPr>
                <w:rFonts w:ascii="宋体"/>
              </w:rPr>
            </w:pPr>
          </w:p>
        </w:tc>
      </w:tr>
      <w:tr w:rsidR="004D6A64" w14:paraId="33DAEF2B" w14:textId="77777777">
        <w:tc>
          <w:tcPr>
            <w:tcW w:w="0" w:type="auto"/>
            <w:gridSpan w:val="3"/>
            <w:shd w:val="clear" w:color="auto" w:fill="auto"/>
            <w:tcMar>
              <w:left w:w="20" w:type="dxa"/>
              <w:right w:w="20" w:type="dxa"/>
            </w:tcMar>
            <w:vAlign w:val="bottom"/>
          </w:tcPr>
          <w:p w14:paraId="33DAEF27" w14:textId="77777777" w:rsidR="004D6A64" w:rsidRDefault="004D6A64">
            <w:pPr>
              <w:rPr>
                <w:rFonts w:ascii="宋体"/>
              </w:rPr>
            </w:pPr>
          </w:p>
        </w:tc>
        <w:tc>
          <w:tcPr>
            <w:tcW w:w="0" w:type="auto"/>
            <w:gridSpan w:val="57"/>
            <w:tcBorders>
              <w:top w:val="single" w:sz="8" w:space="0" w:color="000000"/>
            </w:tcBorders>
            <w:shd w:val="clear" w:color="auto" w:fill="auto"/>
            <w:tcMar>
              <w:top w:w="40" w:type="dxa"/>
              <w:left w:w="20" w:type="dxa"/>
              <w:bottom w:w="40" w:type="dxa"/>
              <w:right w:w="20" w:type="dxa"/>
            </w:tcMar>
            <w:vAlign w:val="bottom"/>
          </w:tcPr>
          <w:p w14:paraId="33DAEF28" w14:textId="77777777" w:rsidR="004D6A64" w:rsidRDefault="00506CD6">
            <w:pPr>
              <w:jc w:val="center"/>
              <w:textAlignment w:val="bottom"/>
            </w:pPr>
            <w:r>
              <w:rPr>
                <w:rFonts w:ascii="Times New Roman" w:eastAsia="宋体" w:hAnsi="Times New Roman"/>
                <w:color w:val="000000"/>
                <w:sz w:val="20"/>
                <w:szCs w:val="20"/>
              </w:rPr>
              <w:t>(in millions, except percentages)</w:t>
            </w:r>
          </w:p>
        </w:tc>
        <w:tc>
          <w:tcPr>
            <w:tcW w:w="0" w:type="auto"/>
            <w:gridSpan w:val="2"/>
            <w:shd w:val="clear" w:color="auto" w:fill="auto"/>
          </w:tcPr>
          <w:p w14:paraId="33DAEF29" w14:textId="77777777" w:rsidR="004D6A64" w:rsidRDefault="004D6A64">
            <w:pPr>
              <w:rPr>
                <w:rFonts w:ascii="宋体"/>
                <w:vanish/>
              </w:rPr>
            </w:pPr>
          </w:p>
        </w:tc>
        <w:tc>
          <w:tcPr>
            <w:tcW w:w="0" w:type="auto"/>
            <w:shd w:val="clear" w:color="auto" w:fill="auto"/>
          </w:tcPr>
          <w:p w14:paraId="33DAEF2A" w14:textId="77777777" w:rsidR="004D6A64" w:rsidRDefault="004D6A64">
            <w:pPr>
              <w:rPr>
                <w:rFonts w:ascii="宋体"/>
                <w:vanish/>
              </w:rPr>
            </w:pPr>
          </w:p>
        </w:tc>
      </w:tr>
      <w:tr w:rsidR="004D6A64" w14:paraId="33DAEF43" w14:textId="77777777">
        <w:tc>
          <w:tcPr>
            <w:tcW w:w="0" w:type="auto"/>
            <w:gridSpan w:val="3"/>
            <w:shd w:val="clear" w:color="auto" w:fill="CCEEFF"/>
            <w:tcMar>
              <w:top w:w="40" w:type="dxa"/>
              <w:left w:w="20" w:type="dxa"/>
              <w:bottom w:w="40" w:type="dxa"/>
              <w:right w:w="20" w:type="dxa"/>
            </w:tcMar>
            <w:vAlign w:val="bottom"/>
          </w:tcPr>
          <w:p w14:paraId="33DAEF2C" w14:textId="77777777" w:rsidR="004D6A64" w:rsidRDefault="00506CD6">
            <w:pPr>
              <w:textAlignment w:val="bottom"/>
            </w:pPr>
            <w:r>
              <w:rPr>
                <w:rFonts w:ascii="Times New Roman" w:eastAsia="宋体" w:hAnsi="Times New Roman"/>
                <w:i/>
                <w:iCs/>
                <w:color w:val="000000"/>
                <w:sz w:val="20"/>
                <w:szCs w:val="20"/>
              </w:rPr>
              <w:t>Operating expenses:</w:t>
            </w:r>
          </w:p>
        </w:tc>
        <w:tc>
          <w:tcPr>
            <w:tcW w:w="0" w:type="auto"/>
            <w:gridSpan w:val="3"/>
            <w:shd w:val="clear" w:color="auto" w:fill="CCEEFF"/>
            <w:tcMar>
              <w:left w:w="20" w:type="dxa"/>
              <w:right w:w="20" w:type="dxa"/>
            </w:tcMar>
            <w:vAlign w:val="bottom"/>
          </w:tcPr>
          <w:p w14:paraId="33DAEF2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F2E"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F2F"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F30"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F31"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F32"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F33"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F34"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F3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F36"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F37"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F38"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F39"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F3A"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F3B"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F3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F3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F3E"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F3F" w14:textId="77777777" w:rsidR="004D6A64" w:rsidRDefault="004D6A64">
            <w:pPr>
              <w:rPr>
                <w:rFonts w:ascii="宋体"/>
              </w:rPr>
            </w:pPr>
          </w:p>
        </w:tc>
        <w:tc>
          <w:tcPr>
            <w:tcW w:w="0" w:type="auto"/>
            <w:shd w:val="clear" w:color="auto" w:fill="auto"/>
          </w:tcPr>
          <w:p w14:paraId="33DAEF40" w14:textId="77777777" w:rsidR="004D6A64" w:rsidRDefault="004D6A64">
            <w:pPr>
              <w:rPr>
                <w:rFonts w:ascii="宋体"/>
              </w:rPr>
            </w:pPr>
          </w:p>
        </w:tc>
        <w:tc>
          <w:tcPr>
            <w:tcW w:w="0" w:type="auto"/>
            <w:shd w:val="clear" w:color="auto" w:fill="auto"/>
          </w:tcPr>
          <w:p w14:paraId="33DAEF41" w14:textId="77777777" w:rsidR="004D6A64" w:rsidRDefault="004D6A64">
            <w:pPr>
              <w:rPr>
                <w:rFonts w:ascii="宋体"/>
              </w:rPr>
            </w:pPr>
          </w:p>
        </w:tc>
        <w:tc>
          <w:tcPr>
            <w:tcW w:w="0" w:type="auto"/>
            <w:shd w:val="clear" w:color="auto" w:fill="auto"/>
          </w:tcPr>
          <w:p w14:paraId="33DAEF42" w14:textId="77777777" w:rsidR="004D6A64" w:rsidRDefault="004D6A64">
            <w:pPr>
              <w:rPr>
                <w:rFonts w:ascii="宋体"/>
              </w:rPr>
            </w:pPr>
          </w:p>
        </w:tc>
      </w:tr>
      <w:tr w:rsidR="00506CD6" w14:paraId="33DAEF69" w14:textId="77777777">
        <w:tc>
          <w:tcPr>
            <w:tcW w:w="0" w:type="auto"/>
            <w:gridSpan w:val="3"/>
            <w:shd w:val="clear" w:color="auto" w:fill="FFFFFF"/>
            <w:tcMar>
              <w:top w:w="40" w:type="dxa"/>
              <w:bottom w:w="40" w:type="dxa"/>
              <w:right w:w="20" w:type="dxa"/>
            </w:tcMar>
            <w:vAlign w:val="bottom"/>
          </w:tcPr>
          <w:p w14:paraId="33DAEF44" w14:textId="77777777" w:rsidR="004D6A64" w:rsidRDefault="00506CD6">
            <w:pPr>
              <w:textAlignment w:val="bottom"/>
            </w:pPr>
            <w:r>
              <w:rPr>
                <w:rFonts w:ascii="Times New Roman" w:eastAsia="宋体" w:hAnsi="Times New Roman"/>
                <w:color w:val="000000"/>
                <w:sz w:val="20"/>
                <w:szCs w:val="20"/>
              </w:rPr>
              <w:t>Selling, general, and administrative</w:t>
            </w:r>
          </w:p>
        </w:tc>
        <w:tc>
          <w:tcPr>
            <w:tcW w:w="0" w:type="auto"/>
            <w:shd w:val="clear" w:color="auto" w:fill="FFFFFF"/>
            <w:tcMar>
              <w:top w:w="40" w:type="dxa"/>
              <w:left w:w="20" w:type="dxa"/>
              <w:bottom w:w="40" w:type="dxa"/>
            </w:tcMar>
            <w:vAlign w:val="bottom"/>
          </w:tcPr>
          <w:p w14:paraId="33DAEF45"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F46" w14:textId="77777777" w:rsidR="004D6A64" w:rsidRDefault="00506CD6">
            <w:pPr>
              <w:jc w:val="right"/>
              <w:textAlignment w:val="bottom"/>
            </w:pPr>
            <w:r>
              <w:rPr>
                <w:rFonts w:ascii="Times New Roman" w:eastAsia="宋体" w:hAnsi="Times New Roman"/>
                <w:color w:val="000000"/>
                <w:sz w:val="20"/>
                <w:szCs w:val="20"/>
              </w:rPr>
              <w:t>4,761 </w:t>
            </w:r>
          </w:p>
        </w:tc>
        <w:tc>
          <w:tcPr>
            <w:tcW w:w="0" w:type="auto"/>
            <w:shd w:val="clear" w:color="auto" w:fill="FFFFFF"/>
            <w:tcMar>
              <w:top w:w="40" w:type="dxa"/>
              <w:bottom w:w="40" w:type="dxa"/>
              <w:right w:w="20" w:type="dxa"/>
            </w:tcMar>
            <w:vAlign w:val="bottom"/>
          </w:tcPr>
          <w:p w14:paraId="33DAEF4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F48"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F49" w14:textId="77777777" w:rsidR="004D6A64" w:rsidRDefault="00506CD6">
            <w:pPr>
              <w:jc w:val="right"/>
              <w:textAlignment w:val="bottom"/>
            </w:pPr>
            <w:r>
              <w:rPr>
                <w:rFonts w:ascii="Times New Roman" w:eastAsia="宋体" w:hAnsi="Times New Roman"/>
                <w:color w:val="000000"/>
                <w:sz w:val="20"/>
                <w:szCs w:val="20"/>
              </w:rPr>
              <w:t>21.0 </w:t>
            </w:r>
          </w:p>
        </w:tc>
        <w:tc>
          <w:tcPr>
            <w:tcW w:w="0" w:type="auto"/>
            <w:shd w:val="clear" w:color="auto" w:fill="FFFFFF"/>
            <w:tcMar>
              <w:top w:w="40" w:type="dxa"/>
              <w:bottom w:w="40" w:type="dxa"/>
              <w:right w:w="20" w:type="dxa"/>
            </w:tcMar>
            <w:vAlign w:val="bottom"/>
          </w:tcPr>
          <w:p w14:paraId="33DAEF4A"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F4B"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F4C" w14:textId="77777777" w:rsidR="004D6A64" w:rsidRDefault="00506CD6">
            <w:pPr>
              <w:jc w:val="right"/>
              <w:textAlignment w:val="bottom"/>
            </w:pPr>
            <w:r>
              <w:rPr>
                <w:rFonts w:ascii="Times New Roman" w:eastAsia="宋体" w:hAnsi="Times New Roman"/>
                <w:color w:val="000000"/>
                <w:sz w:val="20"/>
                <w:szCs w:val="20"/>
              </w:rPr>
              <w:t>(15)</w:t>
            </w:r>
          </w:p>
        </w:tc>
        <w:tc>
          <w:tcPr>
            <w:tcW w:w="0" w:type="auto"/>
            <w:shd w:val="clear" w:color="auto" w:fill="FFFFFF"/>
            <w:tcMar>
              <w:top w:w="40" w:type="dxa"/>
              <w:bottom w:w="40" w:type="dxa"/>
              <w:right w:w="20" w:type="dxa"/>
            </w:tcMar>
            <w:vAlign w:val="bottom"/>
          </w:tcPr>
          <w:p w14:paraId="33DAEF4D"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F4E"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EF4F"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F50" w14:textId="77777777" w:rsidR="004D6A64" w:rsidRDefault="00506CD6">
            <w:pPr>
              <w:jc w:val="right"/>
              <w:textAlignment w:val="bottom"/>
            </w:pPr>
            <w:r>
              <w:rPr>
                <w:rFonts w:ascii="Times New Roman" w:eastAsia="宋体" w:hAnsi="Times New Roman"/>
                <w:color w:val="000000"/>
                <w:sz w:val="20"/>
                <w:szCs w:val="20"/>
              </w:rPr>
              <w:t>5,578 </w:t>
            </w:r>
          </w:p>
        </w:tc>
        <w:tc>
          <w:tcPr>
            <w:tcW w:w="0" w:type="auto"/>
            <w:shd w:val="clear" w:color="auto" w:fill="FFFFFF"/>
            <w:tcMar>
              <w:top w:w="40" w:type="dxa"/>
              <w:bottom w:w="40" w:type="dxa"/>
              <w:right w:w="20" w:type="dxa"/>
            </w:tcMar>
            <w:vAlign w:val="bottom"/>
          </w:tcPr>
          <w:p w14:paraId="33DAEF5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F52"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F53" w14:textId="77777777" w:rsidR="004D6A64" w:rsidRDefault="00506CD6">
            <w:pPr>
              <w:jc w:val="right"/>
              <w:textAlignment w:val="bottom"/>
            </w:pPr>
            <w:r>
              <w:rPr>
                <w:rFonts w:ascii="Times New Roman" w:eastAsia="宋体" w:hAnsi="Times New Roman"/>
                <w:color w:val="000000"/>
                <w:sz w:val="20"/>
                <w:szCs w:val="20"/>
              </w:rPr>
              <w:t>23.8 </w:t>
            </w:r>
          </w:p>
        </w:tc>
        <w:tc>
          <w:tcPr>
            <w:tcW w:w="0" w:type="auto"/>
            <w:shd w:val="clear" w:color="auto" w:fill="FFFFFF"/>
            <w:tcMar>
              <w:top w:w="40" w:type="dxa"/>
              <w:bottom w:w="40" w:type="dxa"/>
              <w:right w:w="20" w:type="dxa"/>
            </w:tcMar>
            <w:vAlign w:val="bottom"/>
          </w:tcPr>
          <w:p w14:paraId="33DAEF54"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F55"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EF56"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F57" w14:textId="77777777" w:rsidR="004D6A64" w:rsidRDefault="00506CD6">
            <w:pPr>
              <w:jc w:val="right"/>
              <w:textAlignment w:val="bottom"/>
            </w:pPr>
            <w:r>
              <w:rPr>
                <w:rFonts w:ascii="Times New Roman" w:eastAsia="宋体" w:hAnsi="Times New Roman"/>
                <w:color w:val="000000"/>
                <w:sz w:val="20"/>
                <w:szCs w:val="20"/>
              </w:rPr>
              <w:t>9,647 </w:t>
            </w:r>
          </w:p>
        </w:tc>
        <w:tc>
          <w:tcPr>
            <w:tcW w:w="0" w:type="auto"/>
            <w:shd w:val="clear" w:color="auto" w:fill="FFFFFF"/>
            <w:tcMar>
              <w:top w:w="40" w:type="dxa"/>
              <w:bottom w:w="40" w:type="dxa"/>
              <w:right w:w="20" w:type="dxa"/>
            </w:tcMar>
            <w:vAlign w:val="bottom"/>
          </w:tcPr>
          <w:p w14:paraId="33DAEF5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F59"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F5A" w14:textId="77777777" w:rsidR="004D6A64" w:rsidRDefault="00506CD6">
            <w:pPr>
              <w:jc w:val="right"/>
              <w:textAlignment w:val="bottom"/>
            </w:pPr>
            <w:r>
              <w:rPr>
                <w:rFonts w:ascii="Times New Roman" w:eastAsia="宋体" w:hAnsi="Times New Roman"/>
                <w:color w:val="000000"/>
                <w:sz w:val="20"/>
                <w:szCs w:val="20"/>
              </w:rPr>
              <w:t>21.6 </w:t>
            </w:r>
          </w:p>
        </w:tc>
        <w:tc>
          <w:tcPr>
            <w:tcW w:w="0" w:type="auto"/>
            <w:shd w:val="clear" w:color="auto" w:fill="FFFFFF"/>
            <w:tcMar>
              <w:top w:w="40" w:type="dxa"/>
              <w:bottom w:w="40" w:type="dxa"/>
              <w:right w:w="20" w:type="dxa"/>
            </w:tcMar>
            <w:vAlign w:val="bottom"/>
          </w:tcPr>
          <w:p w14:paraId="33DAEF5B"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F5C"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F5D" w14:textId="77777777" w:rsidR="004D6A64" w:rsidRDefault="00506CD6">
            <w:pPr>
              <w:jc w:val="right"/>
              <w:textAlignment w:val="bottom"/>
            </w:pPr>
            <w:r>
              <w:rPr>
                <w:rFonts w:ascii="Times New Roman" w:eastAsia="宋体" w:hAnsi="Times New Roman"/>
                <w:color w:val="000000"/>
                <w:sz w:val="20"/>
                <w:szCs w:val="20"/>
              </w:rPr>
              <w:t>(9)</w:t>
            </w:r>
          </w:p>
        </w:tc>
        <w:tc>
          <w:tcPr>
            <w:tcW w:w="0" w:type="auto"/>
            <w:shd w:val="clear" w:color="auto" w:fill="FFFFFF"/>
            <w:tcMar>
              <w:top w:w="40" w:type="dxa"/>
              <w:bottom w:w="40" w:type="dxa"/>
              <w:right w:w="20" w:type="dxa"/>
            </w:tcMar>
            <w:vAlign w:val="bottom"/>
          </w:tcPr>
          <w:p w14:paraId="33DAEF5E"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F5F" w14:textId="77777777" w:rsidR="004D6A64" w:rsidRDefault="004D6A64">
            <w:pPr>
              <w:rPr>
                <w:rFonts w:ascii="宋体"/>
              </w:rPr>
            </w:pPr>
          </w:p>
        </w:tc>
        <w:tc>
          <w:tcPr>
            <w:tcW w:w="0" w:type="auto"/>
            <w:shd w:val="clear" w:color="auto" w:fill="FFFFFF"/>
            <w:tcMar>
              <w:top w:w="40" w:type="dxa"/>
              <w:left w:w="20" w:type="dxa"/>
              <w:bottom w:w="40" w:type="dxa"/>
            </w:tcMar>
            <w:vAlign w:val="bottom"/>
          </w:tcPr>
          <w:p w14:paraId="33DAEF60"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3DAEF61" w14:textId="77777777" w:rsidR="004D6A64" w:rsidRDefault="00506CD6">
            <w:pPr>
              <w:jc w:val="right"/>
              <w:textAlignment w:val="bottom"/>
            </w:pPr>
            <w:r>
              <w:rPr>
                <w:rFonts w:ascii="Times New Roman" w:eastAsia="宋体" w:hAnsi="Times New Roman"/>
                <w:color w:val="000000"/>
                <w:sz w:val="20"/>
                <w:szCs w:val="20"/>
              </w:rPr>
              <w:t>10,649 </w:t>
            </w:r>
          </w:p>
        </w:tc>
        <w:tc>
          <w:tcPr>
            <w:tcW w:w="0" w:type="auto"/>
            <w:shd w:val="clear" w:color="auto" w:fill="FFFFFF"/>
            <w:tcMar>
              <w:top w:w="40" w:type="dxa"/>
              <w:bottom w:w="40" w:type="dxa"/>
              <w:right w:w="20" w:type="dxa"/>
            </w:tcMar>
            <w:vAlign w:val="bottom"/>
          </w:tcPr>
          <w:p w14:paraId="33DAEF6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F6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F64" w14:textId="77777777" w:rsidR="004D6A64" w:rsidRDefault="00506CD6">
            <w:pPr>
              <w:jc w:val="right"/>
              <w:textAlignment w:val="bottom"/>
            </w:pPr>
            <w:r>
              <w:rPr>
                <w:rFonts w:ascii="Times New Roman" w:eastAsia="宋体" w:hAnsi="Times New Roman"/>
                <w:color w:val="000000"/>
                <w:sz w:val="20"/>
                <w:szCs w:val="20"/>
              </w:rPr>
              <w:t>23.5 </w:t>
            </w:r>
          </w:p>
        </w:tc>
        <w:tc>
          <w:tcPr>
            <w:tcW w:w="0" w:type="auto"/>
            <w:shd w:val="clear" w:color="auto" w:fill="FFFFFF"/>
            <w:tcMar>
              <w:top w:w="40" w:type="dxa"/>
              <w:bottom w:w="40" w:type="dxa"/>
              <w:right w:w="20" w:type="dxa"/>
            </w:tcMar>
            <w:vAlign w:val="bottom"/>
          </w:tcPr>
          <w:p w14:paraId="33DAEF65" w14:textId="77777777" w:rsidR="004D6A64" w:rsidRDefault="00506CD6">
            <w:pPr>
              <w:jc w:val="right"/>
              <w:textAlignment w:val="bottom"/>
            </w:pPr>
            <w:r>
              <w:rPr>
                <w:rFonts w:ascii="Times New Roman" w:eastAsia="宋体" w:hAnsi="Times New Roman"/>
                <w:color w:val="000000"/>
                <w:sz w:val="20"/>
                <w:szCs w:val="20"/>
              </w:rPr>
              <w:t>%</w:t>
            </w:r>
          </w:p>
        </w:tc>
        <w:tc>
          <w:tcPr>
            <w:tcW w:w="0" w:type="auto"/>
            <w:shd w:val="clear" w:color="auto" w:fill="auto"/>
          </w:tcPr>
          <w:p w14:paraId="33DAEF66" w14:textId="77777777" w:rsidR="004D6A64" w:rsidRDefault="004D6A64">
            <w:pPr>
              <w:rPr>
                <w:rFonts w:ascii="宋体"/>
              </w:rPr>
            </w:pPr>
          </w:p>
        </w:tc>
        <w:tc>
          <w:tcPr>
            <w:tcW w:w="0" w:type="auto"/>
            <w:shd w:val="clear" w:color="auto" w:fill="auto"/>
          </w:tcPr>
          <w:p w14:paraId="33DAEF67" w14:textId="77777777" w:rsidR="004D6A64" w:rsidRDefault="004D6A64">
            <w:pPr>
              <w:rPr>
                <w:rFonts w:ascii="宋体"/>
              </w:rPr>
            </w:pPr>
          </w:p>
        </w:tc>
        <w:tc>
          <w:tcPr>
            <w:tcW w:w="0" w:type="auto"/>
            <w:shd w:val="clear" w:color="auto" w:fill="auto"/>
          </w:tcPr>
          <w:p w14:paraId="33DAEF68" w14:textId="77777777" w:rsidR="004D6A64" w:rsidRDefault="004D6A64">
            <w:pPr>
              <w:rPr>
                <w:rFonts w:ascii="宋体"/>
              </w:rPr>
            </w:pPr>
          </w:p>
        </w:tc>
      </w:tr>
      <w:tr w:rsidR="00506CD6" w14:paraId="33DAEF8B" w14:textId="77777777">
        <w:tc>
          <w:tcPr>
            <w:tcW w:w="0" w:type="auto"/>
            <w:gridSpan w:val="3"/>
            <w:shd w:val="clear" w:color="auto" w:fill="CCEEFF"/>
            <w:tcMar>
              <w:top w:w="40" w:type="dxa"/>
              <w:bottom w:w="40" w:type="dxa"/>
              <w:right w:w="20" w:type="dxa"/>
            </w:tcMar>
            <w:vAlign w:val="bottom"/>
          </w:tcPr>
          <w:p w14:paraId="33DAEF6A" w14:textId="77777777" w:rsidR="004D6A64" w:rsidRDefault="00506CD6">
            <w:pPr>
              <w:textAlignment w:val="bottom"/>
            </w:pPr>
            <w:r>
              <w:rPr>
                <w:rFonts w:ascii="Times New Roman" w:eastAsia="宋体" w:hAnsi="Times New Roman"/>
                <w:color w:val="000000"/>
                <w:sz w:val="20"/>
                <w:szCs w:val="20"/>
              </w:rPr>
              <w:t>Research and development</w:t>
            </w:r>
          </w:p>
        </w:tc>
        <w:tc>
          <w:tcPr>
            <w:tcW w:w="0" w:type="auto"/>
            <w:gridSpan w:val="2"/>
            <w:shd w:val="clear" w:color="auto" w:fill="CCEEFF"/>
            <w:tcMar>
              <w:top w:w="40" w:type="dxa"/>
              <w:left w:w="20" w:type="dxa"/>
              <w:bottom w:w="40" w:type="dxa"/>
              <w:right w:w="0" w:type="dxa"/>
            </w:tcMar>
            <w:vAlign w:val="bottom"/>
          </w:tcPr>
          <w:p w14:paraId="33DAEF6B" w14:textId="77777777" w:rsidR="004D6A64" w:rsidRDefault="00506CD6">
            <w:pPr>
              <w:jc w:val="right"/>
              <w:textAlignment w:val="bottom"/>
            </w:pPr>
            <w:r>
              <w:rPr>
                <w:rFonts w:ascii="Times New Roman" w:eastAsia="宋体" w:hAnsi="Times New Roman"/>
                <w:color w:val="000000"/>
                <w:sz w:val="20"/>
                <w:szCs w:val="20"/>
              </w:rPr>
              <w:t>1,259 </w:t>
            </w:r>
          </w:p>
        </w:tc>
        <w:tc>
          <w:tcPr>
            <w:tcW w:w="0" w:type="auto"/>
            <w:shd w:val="clear" w:color="auto" w:fill="CCEEFF"/>
            <w:tcMar>
              <w:top w:w="40" w:type="dxa"/>
              <w:bottom w:w="40" w:type="dxa"/>
              <w:right w:w="20" w:type="dxa"/>
            </w:tcMar>
            <w:vAlign w:val="bottom"/>
          </w:tcPr>
          <w:p w14:paraId="33DAEF6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F6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F6E" w14:textId="77777777" w:rsidR="004D6A64" w:rsidRDefault="00506CD6">
            <w:pPr>
              <w:jc w:val="right"/>
              <w:textAlignment w:val="bottom"/>
            </w:pPr>
            <w:r>
              <w:rPr>
                <w:rFonts w:ascii="Times New Roman" w:eastAsia="宋体" w:hAnsi="Times New Roman"/>
                <w:color w:val="000000"/>
                <w:sz w:val="20"/>
                <w:szCs w:val="20"/>
              </w:rPr>
              <w:t>5.5 </w:t>
            </w:r>
          </w:p>
        </w:tc>
        <w:tc>
          <w:tcPr>
            <w:tcW w:w="0" w:type="auto"/>
            <w:shd w:val="clear" w:color="auto" w:fill="CCEEFF"/>
            <w:tcMar>
              <w:top w:w="40" w:type="dxa"/>
              <w:bottom w:w="40" w:type="dxa"/>
              <w:right w:w="20" w:type="dxa"/>
            </w:tcMar>
            <w:vAlign w:val="bottom"/>
          </w:tcPr>
          <w:p w14:paraId="33DAEF6F"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F70"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F71" w14:textId="77777777" w:rsidR="004D6A64" w:rsidRDefault="00506CD6">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bottom w:w="40" w:type="dxa"/>
              <w:right w:w="20" w:type="dxa"/>
            </w:tcMar>
            <w:vAlign w:val="bottom"/>
          </w:tcPr>
          <w:p w14:paraId="33DAEF72"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F7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F74" w14:textId="77777777" w:rsidR="004D6A64" w:rsidRDefault="00506CD6">
            <w:pPr>
              <w:jc w:val="right"/>
              <w:textAlignment w:val="bottom"/>
            </w:pPr>
            <w:r>
              <w:rPr>
                <w:rFonts w:ascii="Times New Roman" w:eastAsia="宋体" w:hAnsi="Times New Roman"/>
                <w:color w:val="000000"/>
                <w:sz w:val="20"/>
                <w:szCs w:val="20"/>
              </w:rPr>
              <w:t>1,229 </w:t>
            </w:r>
          </w:p>
        </w:tc>
        <w:tc>
          <w:tcPr>
            <w:tcW w:w="0" w:type="auto"/>
            <w:shd w:val="clear" w:color="auto" w:fill="CCEEFF"/>
            <w:tcMar>
              <w:top w:w="40" w:type="dxa"/>
              <w:bottom w:w="40" w:type="dxa"/>
              <w:right w:w="20" w:type="dxa"/>
            </w:tcMar>
            <w:vAlign w:val="bottom"/>
          </w:tcPr>
          <w:p w14:paraId="33DAEF7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F7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F77" w14:textId="77777777" w:rsidR="004D6A64" w:rsidRDefault="00506CD6">
            <w:pPr>
              <w:jc w:val="right"/>
              <w:textAlignment w:val="bottom"/>
            </w:pPr>
            <w:r>
              <w:rPr>
                <w:rFonts w:ascii="Times New Roman" w:eastAsia="宋体" w:hAnsi="Times New Roman"/>
                <w:color w:val="000000"/>
                <w:sz w:val="20"/>
                <w:szCs w:val="20"/>
              </w:rPr>
              <w:t>5.3 </w:t>
            </w:r>
          </w:p>
        </w:tc>
        <w:tc>
          <w:tcPr>
            <w:tcW w:w="0" w:type="auto"/>
            <w:shd w:val="clear" w:color="auto" w:fill="CCEEFF"/>
            <w:tcMar>
              <w:top w:w="40" w:type="dxa"/>
              <w:bottom w:w="40" w:type="dxa"/>
              <w:right w:w="20" w:type="dxa"/>
            </w:tcMar>
            <w:vAlign w:val="bottom"/>
          </w:tcPr>
          <w:p w14:paraId="33DAEF78"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F7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F7A" w14:textId="77777777" w:rsidR="004D6A64" w:rsidRDefault="00506CD6">
            <w:pPr>
              <w:jc w:val="right"/>
              <w:textAlignment w:val="bottom"/>
            </w:pPr>
            <w:r>
              <w:rPr>
                <w:rFonts w:ascii="Times New Roman" w:eastAsia="宋体" w:hAnsi="Times New Roman"/>
                <w:color w:val="000000"/>
                <w:sz w:val="20"/>
                <w:szCs w:val="20"/>
              </w:rPr>
              <w:t>2,524 </w:t>
            </w:r>
          </w:p>
        </w:tc>
        <w:tc>
          <w:tcPr>
            <w:tcW w:w="0" w:type="auto"/>
            <w:shd w:val="clear" w:color="auto" w:fill="CCEEFF"/>
            <w:tcMar>
              <w:top w:w="40" w:type="dxa"/>
              <w:bottom w:w="40" w:type="dxa"/>
              <w:right w:w="20" w:type="dxa"/>
            </w:tcMar>
            <w:vAlign w:val="bottom"/>
          </w:tcPr>
          <w:p w14:paraId="33DAEF7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F7C"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F7D" w14:textId="77777777" w:rsidR="004D6A64" w:rsidRDefault="00506CD6">
            <w:pPr>
              <w:jc w:val="right"/>
              <w:textAlignment w:val="bottom"/>
            </w:pPr>
            <w:r>
              <w:rPr>
                <w:rFonts w:ascii="Times New Roman" w:eastAsia="宋体" w:hAnsi="Times New Roman"/>
                <w:color w:val="000000"/>
                <w:sz w:val="20"/>
                <w:szCs w:val="20"/>
              </w:rPr>
              <w:t>5.7 </w:t>
            </w:r>
          </w:p>
        </w:tc>
        <w:tc>
          <w:tcPr>
            <w:tcW w:w="0" w:type="auto"/>
            <w:shd w:val="clear" w:color="auto" w:fill="CCEEFF"/>
            <w:tcMar>
              <w:top w:w="40" w:type="dxa"/>
              <w:bottom w:w="40" w:type="dxa"/>
              <w:right w:w="20" w:type="dxa"/>
            </w:tcMar>
            <w:vAlign w:val="bottom"/>
          </w:tcPr>
          <w:p w14:paraId="33DAEF7E"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F7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F80" w14:textId="77777777" w:rsidR="004D6A64" w:rsidRDefault="00506CD6">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bottom w:w="40" w:type="dxa"/>
              <w:right w:w="20" w:type="dxa"/>
            </w:tcMar>
            <w:vAlign w:val="bottom"/>
          </w:tcPr>
          <w:p w14:paraId="33DAEF81"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F8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F83" w14:textId="77777777" w:rsidR="004D6A64" w:rsidRDefault="00506CD6">
            <w:pPr>
              <w:jc w:val="right"/>
              <w:textAlignment w:val="bottom"/>
            </w:pPr>
            <w:r>
              <w:rPr>
                <w:rFonts w:ascii="Times New Roman" w:eastAsia="宋体" w:hAnsi="Times New Roman"/>
                <w:color w:val="000000"/>
                <w:sz w:val="20"/>
                <w:szCs w:val="20"/>
              </w:rPr>
              <w:t>2,405 </w:t>
            </w:r>
          </w:p>
        </w:tc>
        <w:tc>
          <w:tcPr>
            <w:tcW w:w="0" w:type="auto"/>
            <w:shd w:val="clear" w:color="auto" w:fill="CCEEFF"/>
            <w:tcMar>
              <w:top w:w="40" w:type="dxa"/>
              <w:bottom w:w="40" w:type="dxa"/>
              <w:right w:w="20" w:type="dxa"/>
            </w:tcMar>
            <w:vAlign w:val="bottom"/>
          </w:tcPr>
          <w:p w14:paraId="33DAEF8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F8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F86" w14:textId="77777777" w:rsidR="004D6A64" w:rsidRDefault="00506CD6">
            <w:pPr>
              <w:jc w:val="right"/>
              <w:textAlignment w:val="bottom"/>
            </w:pPr>
            <w:r>
              <w:rPr>
                <w:rFonts w:ascii="Times New Roman" w:eastAsia="宋体" w:hAnsi="Times New Roman"/>
                <w:color w:val="000000"/>
                <w:sz w:val="20"/>
                <w:szCs w:val="20"/>
              </w:rPr>
              <w:t>5.3 </w:t>
            </w:r>
          </w:p>
        </w:tc>
        <w:tc>
          <w:tcPr>
            <w:tcW w:w="0" w:type="auto"/>
            <w:shd w:val="clear" w:color="auto" w:fill="CCEEFF"/>
            <w:tcMar>
              <w:top w:w="40" w:type="dxa"/>
              <w:bottom w:w="40" w:type="dxa"/>
              <w:right w:w="20" w:type="dxa"/>
            </w:tcMar>
            <w:vAlign w:val="bottom"/>
          </w:tcPr>
          <w:p w14:paraId="33DAEF87" w14:textId="77777777" w:rsidR="004D6A64" w:rsidRDefault="00506CD6">
            <w:pPr>
              <w:jc w:val="right"/>
              <w:textAlignment w:val="bottom"/>
            </w:pPr>
            <w:r>
              <w:rPr>
                <w:rFonts w:ascii="Times New Roman" w:eastAsia="宋体" w:hAnsi="Times New Roman"/>
                <w:color w:val="000000"/>
                <w:sz w:val="20"/>
                <w:szCs w:val="20"/>
              </w:rPr>
              <w:t>%</w:t>
            </w:r>
          </w:p>
        </w:tc>
        <w:tc>
          <w:tcPr>
            <w:tcW w:w="0" w:type="auto"/>
            <w:shd w:val="clear" w:color="auto" w:fill="auto"/>
          </w:tcPr>
          <w:p w14:paraId="33DAEF88" w14:textId="77777777" w:rsidR="004D6A64" w:rsidRDefault="004D6A64">
            <w:pPr>
              <w:rPr>
                <w:rFonts w:ascii="宋体"/>
              </w:rPr>
            </w:pPr>
          </w:p>
        </w:tc>
        <w:tc>
          <w:tcPr>
            <w:tcW w:w="0" w:type="auto"/>
            <w:shd w:val="clear" w:color="auto" w:fill="auto"/>
          </w:tcPr>
          <w:p w14:paraId="33DAEF89" w14:textId="77777777" w:rsidR="004D6A64" w:rsidRDefault="004D6A64">
            <w:pPr>
              <w:rPr>
                <w:rFonts w:ascii="宋体"/>
              </w:rPr>
            </w:pPr>
          </w:p>
        </w:tc>
        <w:tc>
          <w:tcPr>
            <w:tcW w:w="0" w:type="auto"/>
            <w:shd w:val="clear" w:color="auto" w:fill="auto"/>
          </w:tcPr>
          <w:p w14:paraId="33DAEF8A" w14:textId="77777777" w:rsidR="004D6A64" w:rsidRDefault="004D6A64">
            <w:pPr>
              <w:rPr>
                <w:rFonts w:ascii="宋体"/>
              </w:rPr>
            </w:pPr>
          </w:p>
        </w:tc>
      </w:tr>
      <w:tr w:rsidR="00506CD6" w14:paraId="33DAEFB1" w14:textId="77777777">
        <w:tc>
          <w:tcPr>
            <w:tcW w:w="0" w:type="auto"/>
            <w:gridSpan w:val="3"/>
            <w:shd w:val="clear" w:color="auto" w:fill="FFFFFF"/>
            <w:tcMar>
              <w:top w:w="40" w:type="dxa"/>
              <w:left w:w="105" w:type="dxa"/>
              <w:bottom w:w="40" w:type="dxa"/>
              <w:right w:w="20" w:type="dxa"/>
            </w:tcMar>
            <w:vAlign w:val="bottom"/>
          </w:tcPr>
          <w:p w14:paraId="33DAEF8C" w14:textId="77777777" w:rsidR="004D6A64" w:rsidRDefault="00506CD6">
            <w:pPr>
              <w:textAlignment w:val="bottom"/>
            </w:pPr>
            <w:r>
              <w:rPr>
                <w:rFonts w:ascii="Times New Roman" w:eastAsia="宋体" w:hAnsi="Times New Roman"/>
                <w:color w:val="000000"/>
                <w:sz w:val="20"/>
                <w:szCs w:val="20"/>
              </w:rPr>
              <w:t>Total operating expenses</w:t>
            </w:r>
          </w:p>
        </w:tc>
        <w:tc>
          <w:tcPr>
            <w:tcW w:w="0" w:type="auto"/>
            <w:tcBorders>
              <w:top w:val="single" w:sz="8" w:space="0" w:color="000000"/>
            </w:tcBorders>
            <w:shd w:val="clear" w:color="auto" w:fill="FFFFFF"/>
            <w:tcMar>
              <w:top w:w="40" w:type="dxa"/>
              <w:left w:w="20" w:type="dxa"/>
              <w:bottom w:w="40" w:type="dxa"/>
            </w:tcMar>
            <w:vAlign w:val="bottom"/>
          </w:tcPr>
          <w:p w14:paraId="33DAEF8D"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EF8E" w14:textId="77777777" w:rsidR="004D6A64" w:rsidRDefault="00506CD6">
            <w:pPr>
              <w:jc w:val="right"/>
              <w:textAlignment w:val="bottom"/>
            </w:pPr>
            <w:r>
              <w:rPr>
                <w:rFonts w:ascii="Times New Roman" w:eastAsia="宋体" w:hAnsi="Times New Roman"/>
                <w:color w:val="000000"/>
                <w:sz w:val="20"/>
                <w:szCs w:val="20"/>
              </w:rPr>
              <w:t>6,020 </w:t>
            </w:r>
          </w:p>
        </w:tc>
        <w:tc>
          <w:tcPr>
            <w:tcW w:w="0" w:type="auto"/>
            <w:tcBorders>
              <w:top w:val="single" w:sz="8" w:space="0" w:color="000000"/>
            </w:tcBorders>
            <w:shd w:val="clear" w:color="auto" w:fill="FFFFFF"/>
            <w:tcMar>
              <w:top w:w="40" w:type="dxa"/>
              <w:bottom w:w="40" w:type="dxa"/>
              <w:right w:w="20" w:type="dxa"/>
            </w:tcMar>
            <w:vAlign w:val="bottom"/>
          </w:tcPr>
          <w:p w14:paraId="33DAEF8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F9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F91" w14:textId="77777777" w:rsidR="004D6A64" w:rsidRDefault="00506CD6">
            <w:pPr>
              <w:jc w:val="right"/>
              <w:textAlignment w:val="bottom"/>
            </w:pPr>
            <w:r>
              <w:rPr>
                <w:rFonts w:ascii="Times New Roman" w:eastAsia="宋体" w:hAnsi="Times New Roman"/>
                <w:color w:val="000000"/>
                <w:sz w:val="20"/>
                <w:szCs w:val="20"/>
              </w:rPr>
              <w:t>26.5 </w:t>
            </w:r>
          </w:p>
        </w:tc>
        <w:tc>
          <w:tcPr>
            <w:tcW w:w="0" w:type="auto"/>
            <w:shd w:val="clear" w:color="auto" w:fill="FFFFFF"/>
            <w:tcMar>
              <w:top w:w="40" w:type="dxa"/>
              <w:bottom w:w="40" w:type="dxa"/>
              <w:right w:w="20" w:type="dxa"/>
            </w:tcMar>
            <w:vAlign w:val="bottom"/>
          </w:tcPr>
          <w:p w14:paraId="33DAEF92"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F9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F94" w14:textId="77777777" w:rsidR="004D6A64" w:rsidRDefault="00506CD6">
            <w:pPr>
              <w:jc w:val="right"/>
              <w:textAlignment w:val="bottom"/>
            </w:pPr>
            <w:r>
              <w:rPr>
                <w:rFonts w:ascii="Times New Roman" w:eastAsia="宋体" w:hAnsi="Times New Roman"/>
                <w:color w:val="000000"/>
                <w:sz w:val="20"/>
                <w:szCs w:val="20"/>
              </w:rPr>
              <w:t>(12)</w:t>
            </w:r>
          </w:p>
        </w:tc>
        <w:tc>
          <w:tcPr>
            <w:tcW w:w="0" w:type="auto"/>
            <w:shd w:val="clear" w:color="auto" w:fill="FFFFFF"/>
            <w:tcMar>
              <w:top w:w="40" w:type="dxa"/>
              <w:bottom w:w="40" w:type="dxa"/>
              <w:right w:w="20" w:type="dxa"/>
            </w:tcMar>
            <w:vAlign w:val="bottom"/>
          </w:tcPr>
          <w:p w14:paraId="33DAEF95"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F96"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3DAEF97"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EF98" w14:textId="77777777" w:rsidR="004D6A64" w:rsidRDefault="00506CD6">
            <w:pPr>
              <w:jc w:val="right"/>
              <w:textAlignment w:val="bottom"/>
            </w:pPr>
            <w:r>
              <w:rPr>
                <w:rFonts w:ascii="Times New Roman" w:eastAsia="宋体" w:hAnsi="Times New Roman"/>
                <w:color w:val="000000"/>
                <w:sz w:val="20"/>
                <w:szCs w:val="20"/>
              </w:rPr>
              <w:t>6,807 </w:t>
            </w:r>
          </w:p>
        </w:tc>
        <w:tc>
          <w:tcPr>
            <w:tcW w:w="0" w:type="auto"/>
            <w:tcBorders>
              <w:top w:val="single" w:sz="8" w:space="0" w:color="000000"/>
            </w:tcBorders>
            <w:shd w:val="clear" w:color="auto" w:fill="FFFFFF"/>
            <w:tcMar>
              <w:top w:w="40" w:type="dxa"/>
              <w:bottom w:w="40" w:type="dxa"/>
              <w:right w:w="20" w:type="dxa"/>
            </w:tcMar>
            <w:vAlign w:val="bottom"/>
          </w:tcPr>
          <w:p w14:paraId="33DAEF9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F9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F9B" w14:textId="77777777" w:rsidR="004D6A64" w:rsidRDefault="00506CD6">
            <w:pPr>
              <w:jc w:val="right"/>
              <w:textAlignment w:val="bottom"/>
            </w:pPr>
            <w:r>
              <w:rPr>
                <w:rFonts w:ascii="Times New Roman" w:eastAsia="宋体" w:hAnsi="Times New Roman"/>
                <w:color w:val="000000"/>
                <w:sz w:val="20"/>
                <w:szCs w:val="20"/>
              </w:rPr>
              <w:t>29.1 </w:t>
            </w:r>
          </w:p>
        </w:tc>
        <w:tc>
          <w:tcPr>
            <w:tcW w:w="0" w:type="auto"/>
            <w:shd w:val="clear" w:color="auto" w:fill="FFFFFF"/>
            <w:tcMar>
              <w:top w:w="40" w:type="dxa"/>
              <w:bottom w:w="40" w:type="dxa"/>
              <w:right w:w="20" w:type="dxa"/>
            </w:tcMar>
            <w:vAlign w:val="bottom"/>
          </w:tcPr>
          <w:p w14:paraId="33DAEF9C"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F9D"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3DAEF9E"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EF9F" w14:textId="77777777" w:rsidR="004D6A64" w:rsidRDefault="00506CD6">
            <w:pPr>
              <w:jc w:val="right"/>
              <w:textAlignment w:val="bottom"/>
            </w:pPr>
            <w:r>
              <w:rPr>
                <w:rFonts w:ascii="Times New Roman" w:eastAsia="宋体" w:hAnsi="Times New Roman"/>
                <w:color w:val="000000"/>
                <w:sz w:val="20"/>
                <w:szCs w:val="20"/>
              </w:rPr>
              <w:t>12,171 </w:t>
            </w:r>
          </w:p>
        </w:tc>
        <w:tc>
          <w:tcPr>
            <w:tcW w:w="0" w:type="auto"/>
            <w:tcBorders>
              <w:top w:val="single" w:sz="8" w:space="0" w:color="000000"/>
            </w:tcBorders>
            <w:shd w:val="clear" w:color="auto" w:fill="FFFFFF"/>
            <w:tcMar>
              <w:top w:w="40" w:type="dxa"/>
              <w:bottom w:w="40" w:type="dxa"/>
              <w:right w:w="20" w:type="dxa"/>
            </w:tcMar>
            <w:vAlign w:val="bottom"/>
          </w:tcPr>
          <w:p w14:paraId="33DAEFA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FA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FA2" w14:textId="77777777" w:rsidR="004D6A64" w:rsidRDefault="00506CD6">
            <w:pPr>
              <w:jc w:val="right"/>
              <w:textAlignment w:val="bottom"/>
            </w:pPr>
            <w:r>
              <w:rPr>
                <w:rFonts w:ascii="Times New Roman" w:eastAsia="宋体" w:hAnsi="Times New Roman"/>
                <w:color w:val="000000"/>
                <w:sz w:val="20"/>
                <w:szCs w:val="20"/>
              </w:rPr>
              <w:t>27.3 </w:t>
            </w:r>
          </w:p>
        </w:tc>
        <w:tc>
          <w:tcPr>
            <w:tcW w:w="0" w:type="auto"/>
            <w:shd w:val="clear" w:color="auto" w:fill="FFFFFF"/>
            <w:tcMar>
              <w:top w:w="40" w:type="dxa"/>
              <w:bottom w:w="40" w:type="dxa"/>
              <w:right w:w="20" w:type="dxa"/>
            </w:tcMar>
            <w:vAlign w:val="bottom"/>
          </w:tcPr>
          <w:p w14:paraId="33DAEFA3"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FA4"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FA5" w14:textId="77777777" w:rsidR="004D6A64" w:rsidRDefault="00506CD6">
            <w:pPr>
              <w:jc w:val="right"/>
              <w:textAlignment w:val="bottom"/>
            </w:pPr>
            <w:r>
              <w:rPr>
                <w:rFonts w:ascii="Times New Roman" w:eastAsia="宋体" w:hAnsi="Times New Roman"/>
                <w:color w:val="000000"/>
                <w:sz w:val="20"/>
                <w:szCs w:val="20"/>
              </w:rPr>
              <w:t>(7)</w:t>
            </w:r>
          </w:p>
        </w:tc>
        <w:tc>
          <w:tcPr>
            <w:tcW w:w="0" w:type="auto"/>
            <w:shd w:val="clear" w:color="auto" w:fill="FFFFFF"/>
            <w:tcMar>
              <w:top w:w="40" w:type="dxa"/>
              <w:bottom w:w="40" w:type="dxa"/>
              <w:right w:w="20" w:type="dxa"/>
            </w:tcMar>
            <w:vAlign w:val="bottom"/>
          </w:tcPr>
          <w:p w14:paraId="33DAEFA6"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EFA7"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3DAEFA8" w14:textId="77777777" w:rsidR="004D6A64" w:rsidRDefault="00506CD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3DAEFA9" w14:textId="77777777" w:rsidR="004D6A64" w:rsidRDefault="00506CD6">
            <w:pPr>
              <w:jc w:val="right"/>
              <w:textAlignment w:val="bottom"/>
            </w:pPr>
            <w:r>
              <w:rPr>
                <w:rFonts w:ascii="Times New Roman" w:eastAsia="宋体" w:hAnsi="Times New Roman"/>
                <w:color w:val="000000"/>
                <w:sz w:val="20"/>
                <w:szCs w:val="20"/>
              </w:rPr>
              <w:t>13,054 </w:t>
            </w:r>
          </w:p>
        </w:tc>
        <w:tc>
          <w:tcPr>
            <w:tcW w:w="0" w:type="auto"/>
            <w:tcBorders>
              <w:top w:val="single" w:sz="8" w:space="0" w:color="000000"/>
            </w:tcBorders>
            <w:shd w:val="clear" w:color="auto" w:fill="FFFFFF"/>
            <w:tcMar>
              <w:top w:w="40" w:type="dxa"/>
              <w:bottom w:w="40" w:type="dxa"/>
              <w:right w:w="20" w:type="dxa"/>
            </w:tcMar>
            <w:vAlign w:val="bottom"/>
          </w:tcPr>
          <w:p w14:paraId="33DAEFA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EFAB"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bottom"/>
          </w:tcPr>
          <w:p w14:paraId="33DAEFAC" w14:textId="77777777" w:rsidR="004D6A64" w:rsidRDefault="00506CD6">
            <w:pPr>
              <w:jc w:val="right"/>
              <w:textAlignment w:val="bottom"/>
            </w:pPr>
            <w:r>
              <w:rPr>
                <w:rFonts w:ascii="Times New Roman" w:eastAsia="宋体" w:hAnsi="Times New Roman"/>
                <w:color w:val="000000"/>
                <w:sz w:val="20"/>
                <w:szCs w:val="20"/>
              </w:rPr>
              <w:t>28.8 </w:t>
            </w:r>
          </w:p>
        </w:tc>
        <w:tc>
          <w:tcPr>
            <w:tcW w:w="0" w:type="auto"/>
            <w:shd w:val="clear" w:color="auto" w:fill="FFFFFF"/>
            <w:tcMar>
              <w:top w:w="40" w:type="dxa"/>
              <w:bottom w:w="40" w:type="dxa"/>
              <w:right w:w="20" w:type="dxa"/>
            </w:tcMar>
            <w:vAlign w:val="bottom"/>
          </w:tcPr>
          <w:p w14:paraId="33DAEFAD" w14:textId="77777777" w:rsidR="004D6A64" w:rsidRDefault="00506CD6">
            <w:pPr>
              <w:jc w:val="right"/>
              <w:textAlignment w:val="bottom"/>
            </w:pPr>
            <w:r>
              <w:rPr>
                <w:rFonts w:ascii="Times New Roman" w:eastAsia="宋体" w:hAnsi="Times New Roman"/>
                <w:color w:val="000000"/>
                <w:sz w:val="20"/>
                <w:szCs w:val="20"/>
              </w:rPr>
              <w:t>%</w:t>
            </w:r>
          </w:p>
        </w:tc>
        <w:tc>
          <w:tcPr>
            <w:tcW w:w="0" w:type="auto"/>
            <w:shd w:val="clear" w:color="auto" w:fill="auto"/>
          </w:tcPr>
          <w:p w14:paraId="33DAEFAE" w14:textId="77777777" w:rsidR="004D6A64" w:rsidRDefault="004D6A64">
            <w:pPr>
              <w:rPr>
                <w:rFonts w:ascii="宋体"/>
              </w:rPr>
            </w:pPr>
          </w:p>
        </w:tc>
        <w:tc>
          <w:tcPr>
            <w:tcW w:w="0" w:type="auto"/>
            <w:shd w:val="clear" w:color="auto" w:fill="auto"/>
          </w:tcPr>
          <w:p w14:paraId="33DAEFAF" w14:textId="77777777" w:rsidR="004D6A64" w:rsidRDefault="004D6A64">
            <w:pPr>
              <w:rPr>
                <w:rFonts w:ascii="宋体"/>
              </w:rPr>
            </w:pPr>
          </w:p>
        </w:tc>
        <w:tc>
          <w:tcPr>
            <w:tcW w:w="0" w:type="auto"/>
            <w:shd w:val="clear" w:color="auto" w:fill="auto"/>
          </w:tcPr>
          <w:p w14:paraId="33DAEFB0" w14:textId="77777777" w:rsidR="004D6A64" w:rsidRDefault="004D6A64">
            <w:pPr>
              <w:rPr>
                <w:rFonts w:ascii="宋体"/>
              </w:rPr>
            </w:pPr>
          </w:p>
        </w:tc>
      </w:tr>
      <w:tr w:rsidR="004D6A64" w14:paraId="33DAEFC9" w14:textId="77777777">
        <w:trPr>
          <w:trHeight w:val="280"/>
        </w:trPr>
        <w:tc>
          <w:tcPr>
            <w:tcW w:w="0" w:type="auto"/>
            <w:gridSpan w:val="3"/>
            <w:shd w:val="clear" w:color="auto" w:fill="CCEEFF"/>
            <w:tcMar>
              <w:left w:w="20" w:type="dxa"/>
              <w:right w:w="20" w:type="dxa"/>
            </w:tcMar>
            <w:vAlign w:val="bottom"/>
          </w:tcPr>
          <w:p w14:paraId="33DAEFB2"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EFB3"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FB4"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FB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FB6"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FB7"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FB8"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EFB9"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FBA"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FBB"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FBC"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EFB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FBE"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FBF"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FC0"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FC1"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FC2" w14:textId="77777777" w:rsidR="004D6A64" w:rsidRDefault="004D6A64">
            <w:pPr>
              <w:rPr>
                <w:rFonts w:ascii="宋体"/>
              </w:rPr>
            </w:pPr>
          </w:p>
        </w:tc>
        <w:tc>
          <w:tcPr>
            <w:tcW w:w="0" w:type="auto"/>
            <w:gridSpan w:val="3"/>
            <w:tcBorders>
              <w:top w:val="double" w:sz="6" w:space="0" w:color="000000"/>
            </w:tcBorders>
            <w:shd w:val="clear" w:color="auto" w:fill="CCEEFF"/>
            <w:tcMar>
              <w:left w:w="20" w:type="dxa"/>
              <w:right w:w="20" w:type="dxa"/>
            </w:tcMar>
            <w:vAlign w:val="bottom"/>
          </w:tcPr>
          <w:p w14:paraId="33DAEFC3"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FC4"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EFC5" w14:textId="77777777" w:rsidR="004D6A64" w:rsidRDefault="004D6A64">
            <w:pPr>
              <w:rPr>
                <w:rFonts w:ascii="宋体"/>
              </w:rPr>
            </w:pPr>
          </w:p>
        </w:tc>
        <w:tc>
          <w:tcPr>
            <w:tcW w:w="0" w:type="auto"/>
            <w:shd w:val="clear" w:color="auto" w:fill="auto"/>
          </w:tcPr>
          <w:p w14:paraId="33DAEFC6" w14:textId="77777777" w:rsidR="004D6A64" w:rsidRDefault="004D6A64">
            <w:pPr>
              <w:rPr>
                <w:rFonts w:ascii="宋体"/>
              </w:rPr>
            </w:pPr>
          </w:p>
        </w:tc>
        <w:tc>
          <w:tcPr>
            <w:tcW w:w="0" w:type="auto"/>
            <w:shd w:val="clear" w:color="auto" w:fill="auto"/>
          </w:tcPr>
          <w:p w14:paraId="33DAEFC7" w14:textId="77777777" w:rsidR="004D6A64" w:rsidRDefault="004D6A64">
            <w:pPr>
              <w:rPr>
                <w:rFonts w:ascii="宋体"/>
              </w:rPr>
            </w:pPr>
          </w:p>
        </w:tc>
        <w:tc>
          <w:tcPr>
            <w:tcW w:w="0" w:type="auto"/>
            <w:shd w:val="clear" w:color="auto" w:fill="auto"/>
          </w:tcPr>
          <w:p w14:paraId="33DAEFC8" w14:textId="77777777" w:rsidR="004D6A64" w:rsidRDefault="004D6A64">
            <w:pPr>
              <w:rPr>
                <w:rFonts w:ascii="宋体"/>
              </w:rPr>
            </w:pPr>
          </w:p>
        </w:tc>
      </w:tr>
      <w:tr w:rsidR="004D6A64" w14:paraId="33DAEFDE" w14:textId="77777777">
        <w:tc>
          <w:tcPr>
            <w:tcW w:w="0" w:type="auto"/>
            <w:gridSpan w:val="6"/>
            <w:shd w:val="clear" w:color="auto" w:fill="FFFFFF"/>
            <w:tcMar>
              <w:top w:w="40" w:type="dxa"/>
              <w:left w:w="20" w:type="dxa"/>
              <w:bottom w:w="40" w:type="dxa"/>
              <w:right w:w="20" w:type="dxa"/>
            </w:tcMar>
            <w:vAlign w:val="bottom"/>
          </w:tcPr>
          <w:p w14:paraId="33DAEFCA" w14:textId="77777777" w:rsidR="004D6A64" w:rsidRDefault="00506CD6">
            <w:pPr>
              <w:textAlignment w:val="bottom"/>
            </w:pPr>
            <w:r>
              <w:rPr>
                <w:rFonts w:ascii="Times New Roman" w:eastAsia="宋体" w:hAnsi="Times New Roman"/>
                <w:b/>
                <w:bCs/>
                <w:i/>
                <w:iCs/>
                <w:color w:val="000000"/>
                <w:sz w:val="20"/>
                <w:szCs w:val="20"/>
              </w:rPr>
              <w:t>Ot</w:t>
            </w:r>
            <w:r>
              <w:rPr>
                <w:rFonts w:ascii="Times New Roman" w:eastAsia="宋体" w:hAnsi="Times New Roman"/>
                <w:b/>
                <w:bCs/>
                <w:i/>
                <w:iCs/>
                <w:color w:val="000000"/>
                <w:sz w:val="20"/>
                <w:szCs w:val="20"/>
              </w:rPr>
              <w:t>her Financial Information</w:t>
            </w:r>
          </w:p>
        </w:tc>
        <w:tc>
          <w:tcPr>
            <w:tcW w:w="0" w:type="auto"/>
            <w:gridSpan w:val="3"/>
            <w:shd w:val="clear" w:color="auto" w:fill="auto"/>
          </w:tcPr>
          <w:p w14:paraId="33DAEFCB" w14:textId="77777777" w:rsidR="004D6A64" w:rsidRDefault="004D6A64">
            <w:pPr>
              <w:rPr>
                <w:rFonts w:ascii="宋体"/>
                <w:vanish/>
              </w:rPr>
            </w:pPr>
          </w:p>
        </w:tc>
        <w:tc>
          <w:tcPr>
            <w:tcW w:w="0" w:type="auto"/>
            <w:gridSpan w:val="3"/>
            <w:shd w:val="clear" w:color="auto" w:fill="FFFFFF"/>
            <w:tcMar>
              <w:left w:w="20" w:type="dxa"/>
              <w:right w:w="20" w:type="dxa"/>
            </w:tcMar>
            <w:vAlign w:val="bottom"/>
          </w:tcPr>
          <w:p w14:paraId="33DAEFCC"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FCD"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FCE"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FCF"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FD0"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FD1"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FD2"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FD3"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FD4"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FD5"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FD6"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FD7"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FD8"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FD9"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FDA"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FDB"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FDC"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EFDD" w14:textId="77777777" w:rsidR="004D6A64" w:rsidRDefault="004D6A64">
            <w:pPr>
              <w:rPr>
                <w:rFonts w:ascii="宋体"/>
              </w:rPr>
            </w:pPr>
          </w:p>
        </w:tc>
      </w:tr>
      <w:tr w:rsidR="00506CD6" w14:paraId="33DAF004" w14:textId="77777777">
        <w:tc>
          <w:tcPr>
            <w:tcW w:w="0" w:type="auto"/>
            <w:gridSpan w:val="3"/>
            <w:shd w:val="clear" w:color="auto" w:fill="CCEEFF"/>
            <w:tcMar>
              <w:top w:w="40" w:type="dxa"/>
              <w:left w:w="20" w:type="dxa"/>
              <w:bottom w:w="40" w:type="dxa"/>
              <w:right w:w="20" w:type="dxa"/>
            </w:tcMar>
            <w:vAlign w:val="bottom"/>
          </w:tcPr>
          <w:p w14:paraId="33DAEFDF" w14:textId="77777777" w:rsidR="004D6A64" w:rsidRDefault="00506CD6">
            <w:pPr>
              <w:textAlignment w:val="bottom"/>
            </w:pPr>
            <w:r>
              <w:rPr>
                <w:rFonts w:ascii="Times New Roman" w:eastAsia="宋体" w:hAnsi="Times New Roman"/>
                <w:color w:val="000000"/>
                <w:sz w:val="20"/>
                <w:szCs w:val="20"/>
              </w:rPr>
              <w:t>Non-GAAP operating expenses</w:t>
            </w:r>
          </w:p>
        </w:tc>
        <w:tc>
          <w:tcPr>
            <w:tcW w:w="0" w:type="auto"/>
            <w:shd w:val="clear" w:color="auto" w:fill="CCEEFF"/>
            <w:tcMar>
              <w:top w:w="40" w:type="dxa"/>
              <w:left w:w="20" w:type="dxa"/>
              <w:bottom w:w="40" w:type="dxa"/>
            </w:tcMar>
            <w:vAlign w:val="bottom"/>
          </w:tcPr>
          <w:p w14:paraId="33DAEFE0"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EFE1" w14:textId="77777777" w:rsidR="004D6A64" w:rsidRDefault="00506CD6">
            <w:pPr>
              <w:jc w:val="right"/>
              <w:textAlignment w:val="bottom"/>
            </w:pPr>
            <w:r>
              <w:rPr>
                <w:rFonts w:ascii="Times New Roman" w:eastAsia="宋体" w:hAnsi="Times New Roman"/>
                <w:color w:val="000000"/>
                <w:sz w:val="20"/>
                <w:szCs w:val="20"/>
              </w:rPr>
              <w:t>5,008 </w:t>
            </w:r>
          </w:p>
        </w:tc>
        <w:tc>
          <w:tcPr>
            <w:tcW w:w="0" w:type="auto"/>
            <w:shd w:val="clear" w:color="auto" w:fill="CCEEFF"/>
            <w:tcMar>
              <w:top w:w="40" w:type="dxa"/>
              <w:bottom w:w="40" w:type="dxa"/>
              <w:right w:w="20" w:type="dxa"/>
            </w:tcMar>
            <w:vAlign w:val="bottom"/>
          </w:tcPr>
          <w:p w14:paraId="33DAEFE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FE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FE4" w14:textId="77777777" w:rsidR="004D6A64" w:rsidRDefault="00506CD6">
            <w:pPr>
              <w:jc w:val="right"/>
              <w:textAlignment w:val="bottom"/>
            </w:pPr>
            <w:r>
              <w:rPr>
                <w:rFonts w:ascii="Times New Roman" w:eastAsia="宋体" w:hAnsi="Times New Roman"/>
                <w:color w:val="000000"/>
                <w:sz w:val="20"/>
                <w:szCs w:val="20"/>
              </w:rPr>
              <w:t>22.0 </w:t>
            </w:r>
          </w:p>
        </w:tc>
        <w:tc>
          <w:tcPr>
            <w:tcW w:w="0" w:type="auto"/>
            <w:shd w:val="clear" w:color="auto" w:fill="CCEEFF"/>
            <w:tcMar>
              <w:top w:w="40" w:type="dxa"/>
              <w:bottom w:w="40" w:type="dxa"/>
              <w:right w:w="20" w:type="dxa"/>
            </w:tcMar>
            <w:vAlign w:val="bottom"/>
          </w:tcPr>
          <w:p w14:paraId="33DAEFE5"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FE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FE7" w14:textId="77777777" w:rsidR="004D6A64" w:rsidRDefault="00506CD6">
            <w:pPr>
              <w:jc w:val="right"/>
              <w:textAlignment w:val="bottom"/>
            </w:pPr>
            <w:r>
              <w:rPr>
                <w:rFonts w:ascii="Times New Roman" w:eastAsia="宋体" w:hAnsi="Times New Roman"/>
                <w:color w:val="000000"/>
                <w:sz w:val="20"/>
                <w:szCs w:val="20"/>
              </w:rPr>
              <w:t>(4)</w:t>
            </w:r>
          </w:p>
        </w:tc>
        <w:tc>
          <w:tcPr>
            <w:tcW w:w="0" w:type="auto"/>
            <w:shd w:val="clear" w:color="auto" w:fill="CCEEFF"/>
            <w:tcMar>
              <w:top w:w="40" w:type="dxa"/>
              <w:bottom w:w="40" w:type="dxa"/>
              <w:right w:w="20" w:type="dxa"/>
            </w:tcMar>
            <w:vAlign w:val="bottom"/>
          </w:tcPr>
          <w:p w14:paraId="33DAEFE8"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FE9"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EFEA"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EFEB" w14:textId="77777777" w:rsidR="004D6A64" w:rsidRDefault="00506CD6">
            <w:pPr>
              <w:jc w:val="right"/>
              <w:textAlignment w:val="bottom"/>
            </w:pPr>
            <w:r>
              <w:rPr>
                <w:rFonts w:ascii="Times New Roman" w:eastAsia="宋体" w:hAnsi="Times New Roman"/>
                <w:color w:val="000000"/>
                <w:sz w:val="20"/>
                <w:szCs w:val="20"/>
              </w:rPr>
              <w:t>5,243 </w:t>
            </w:r>
          </w:p>
        </w:tc>
        <w:tc>
          <w:tcPr>
            <w:tcW w:w="0" w:type="auto"/>
            <w:shd w:val="clear" w:color="auto" w:fill="CCEEFF"/>
            <w:tcMar>
              <w:top w:w="40" w:type="dxa"/>
              <w:bottom w:w="40" w:type="dxa"/>
              <w:right w:w="20" w:type="dxa"/>
            </w:tcMar>
            <w:vAlign w:val="bottom"/>
          </w:tcPr>
          <w:p w14:paraId="33DAEFE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FE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FEE" w14:textId="77777777" w:rsidR="004D6A64" w:rsidRDefault="00506CD6">
            <w:pPr>
              <w:jc w:val="right"/>
              <w:textAlignment w:val="bottom"/>
            </w:pPr>
            <w:r>
              <w:rPr>
                <w:rFonts w:ascii="Times New Roman" w:eastAsia="宋体" w:hAnsi="Times New Roman"/>
                <w:color w:val="000000"/>
                <w:sz w:val="20"/>
                <w:szCs w:val="20"/>
              </w:rPr>
              <w:t>22.4 </w:t>
            </w:r>
          </w:p>
        </w:tc>
        <w:tc>
          <w:tcPr>
            <w:tcW w:w="0" w:type="auto"/>
            <w:shd w:val="clear" w:color="auto" w:fill="CCEEFF"/>
            <w:tcMar>
              <w:top w:w="40" w:type="dxa"/>
              <w:bottom w:w="40" w:type="dxa"/>
              <w:right w:w="20" w:type="dxa"/>
            </w:tcMar>
            <w:vAlign w:val="bottom"/>
          </w:tcPr>
          <w:p w14:paraId="33DAEFEF"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FF0"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EFF1"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EFF2" w14:textId="77777777" w:rsidR="004D6A64" w:rsidRDefault="00506CD6">
            <w:pPr>
              <w:jc w:val="right"/>
              <w:textAlignment w:val="bottom"/>
            </w:pPr>
            <w:r>
              <w:rPr>
                <w:rFonts w:ascii="Times New Roman" w:eastAsia="宋体" w:hAnsi="Times New Roman"/>
                <w:color w:val="000000"/>
                <w:sz w:val="20"/>
                <w:szCs w:val="20"/>
              </w:rPr>
              <w:t>10,172 </w:t>
            </w:r>
          </w:p>
        </w:tc>
        <w:tc>
          <w:tcPr>
            <w:tcW w:w="0" w:type="auto"/>
            <w:shd w:val="clear" w:color="auto" w:fill="CCEEFF"/>
            <w:tcMar>
              <w:top w:w="40" w:type="dxa"/>
              <w:bottom w:w="40" w:type="dxa"/>
              <w:right w:w="20" w:type="dxa"/>
            </w:tcMar>
            <w:vAlign w:val="bottom"/>
          </w:tcPr>
          <w:p w14:paraId="33DAEFF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FF4"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FF5" w14:textId="77777777" w:rsidR="004D6A64" w:rsidRDefault="00506CD6">
            <w:pPr>
              <w:jc w:val="right"/>
              <w:textAlignment w:val="bottom"/>
            </w:pPr>
            <w:r>
              <w:rPr>
                <w:rFonts w:ascii="Times New Roman" w:eastAsia="宋体" w:hAnsi="Times New Roman"/>
                <w:color w:val="000000"/>
                <w:sz w:val="20"/>
                <w:szCs w:val="20"/>
              </w:rPr>
              <w:t>22.7 </w:t>
            </w:r>
          </w:p>
        </w:tc>
        <w:tc>
          <w:tcPr>
            <w:tcW w:w="0" w:type="auto"/>
            <w:shd w:val="clear" w:color="auto" w:fill="CCEEFF"/>
            <w:tcMar>
              <w:top w:w="40" w:type="dxa"/>
              <w:bottom w:w="40" w:type="dxa"/>
              <w:right w:w="20" w:type="dxa"/>
            </w:tcMar>
            <w:vAlign w:val="bottom"/>
          </w:tcPr>
          <w:p w14:paraId="33DAEFF6"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FF7"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FF8" w14:textId="77777777" w:rsidR="004D6A64" w:rsidRDefault="00506CD6">
            <w:pPr>
              <w:jc w:val="right"/>
              <w:textAlignment w:val="bottom"/>
            </w:pPr>
            <w:r>
              <w:rPr>
                <w:rFonts w:ascii="Times New Roman" w:eastAsia="宋体" w:hAnsi="Times New Roman"/>
                <w:color w:val="000000"/>
                <w:sz w:val="20"/>
                <w:szCs w:val="20"/>
              </w:rPr>
              <w:t>(3)</w:t>
            </w:r>
          </w:p>
        </w:tc>
        <w:tc>
          <w:tcPr>
            <w:tcW w:w="0" w:type="auto"/>
            <w:shd w:val="clear" w:color="auto" w:fill="CCEEFF"/>
            <w:tcMar>
              <w:top w:w="40" w:type="dxa"/>
              <w:bottom w:w="40" w:type="dxa"/>
              <w:right w:w="20" w:type="dxa"/>
            </w:tcMar>
            <w:vAlign w:val="bottom"/>
          </w:tcPr>
          <w:p w14:paraId="33DAEFF9" w14:textId="77777777" w:rsidR="004D6A64" w:rsidRDefault="00506CD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EFFA" w14:textId="77777777" w:rsidR="004D6A64" w:rsidRDefault="004D6A64">
            <w:pPr>
              <w:rPr>
                <w:rFonts w:ascii="宋体"/>
              </w:rPr>
            </w:pPr>
          </w:p>
        </w:tc>
        <w:tc>
          <w:tcPr>
            <w:tcW w:w="0" w:type="auto"/>
            <w:shd w:val="clear" w:color="auto" w:fill="CCEEFF"/>
            <w:tcMar>
              <w:top w:w="40" w:type="dxa"/>
              <w:left w:w="20" w:type="dxa"/>
              <w:bottom w:w="40" w:type="dxa"/>
            </w:tcMar>
            <w:vAlign w:val="bottom"/>
          </w:tcPr>
          <w:p w14:paraId="33DAEFFB" w14:textId="77777777" w:rsidR="004D6A64" w:rsidRDefault="00506CD6">
            <w:pPr>
              <w:textAlignment w:val="bottom"/>
            </w:pPr>
            <w:r>
              <w:rPr>
                <w:rFonts w:ascii="Times New Roman" w:eastAsia="宋体" w:hAnsi="Times New Roman"/>
                <w:color w:val="000000"/>
                <w:sz w:val="20"/>
                <w:szCs w:val="20"/>
              </w:rPr>
              <w:t>$</w:t>
            </w:r>
          </w:p>
        </w:tc>
        <w:tc>
          <w:tcPr>
            <w:tcW w:w="0" w:type="auto"/>
            <w:shd w:val="clear" w:color="auto" w:fill="CCEEFF"/>
            <w:tcMar>
              <w:top w:w="40" w:type="dxa"/>
              <w:bottom w:w="40" w:type="dxa"/>
              <w:right w:w="0" w:type="dxa"/>
            </w:tcMar>
            <w:vAlign w:val="bottom"/>
          </w:tcPr>
          <w:p w14:paraId="33DAEFFC" w14:textId="77777777" w:rsidR="004D6A64" w:rsidRDefault="00506CD6">
            <w:pPr>
              <w:jc w:val="right"/>
              <w:textAlignment w:val="bottom"/>
            </w:pPr>
            <w:r>
              <w:rPr>
                <w:rFonts w:ascii="Times New Roman" w:eastAsia="宋体" w:hAnsi="Times New Roman"/>
                <w:color w:val="000000"/>
                <w:sz w:val="20"/>
                <w:szCs w:val="20"/>
              </w:rPr>
              <w:t>10,481 </w:t>
            </w:r>
          </w:p>
        </w:tc>
        <w:tc>
          <w:tcPr>
            <w:tcW w:w="0" w:type="auto"/>
            <w:shd w:val="clear" w:color="auto" w:fill="CCEEFF"/>
            <w:tcMar>
              <w:top w:w="40" w:type="dxa"/>
              <w:bottom w:w="40" w:type="dxa"/>
              <w:right w:w="20" w:type="dxa"/>
            </w:tcMar>
            <w:vAlign w:val="bottom"/>
          </w:tcPr>
          <w:p w14:paraId="33DAEFF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EFF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bottom"/>
          </w:tcPr>
          <w:p w14:paraId="33DAEFFF" w14:textId="77777777" w:rsidR="004D6A64" w:rsidRDefault="00506CD6">
            <w:pPr>
              <w:jc w:val="right"/>
              <w:textAlignment w:val="bottom"/>
            </w:pPr>
            <w:r>
              <w:rPr>
                <w:rFonts w:ascii="Times New Roman" w:eastAsia="宋体" w:hAnsi="Times New Roman"/>
                <w:color w:val="000000"/>
                <w:sz w:val="20"/>
                <w:szCs w:val="20"/>
              </w:rPr>
              <w:t>23.1 </w:t>
            </w:r>
          </w:p>
        </w:tc>
        <w:tc>
          <w:tcPr>
            <w:tcW w:w="0" w:type="auto"/>
            <w:shd w:val="clear" w:color="auto" w:fill="CCEEFF"/>
            <w:tcMar>
              <w:top w:w="40" w:type="dxa"/>
              <w:bottom w:w="40" w:type="dxa"/>
              <w:right w:w="20" w:type="dxa"/>
            </w:tcMar>
            <w:vAlign w:val="bottom"/>
          </w:tcPr>
          <w:p w14:paraId="33DAF000" w14:textId="77777777" w:rsidR="004D6A64" w:rsidRDefault="00506CD6">
            <w:pPr>
              <w:jc w:val="right"/>
              <w:textAlignment w:val="bottom"/>
            </w:pPr>
            <w:r>
              <w:rPr>
                <w:rFonts w:ascii="Times New Roman" w:eastAsia="宋体" w:hAnsi="Times New Roman"/>
                <w:color w:val="000000"/>
                <w:sz w:val="20"/>
                <w:szCs w:val="20"/>
              </w:rPr>
              <w:t>%</w:t>
            </w:r>
          </w:p>
        </w:tc>
        <w:tc>
          <w:tcPr>
            <w:tcW w:w="0" w:type="auto"/>
            <w:shd w:val="clear" w:color="auto" w:fill="auto"/>
          </w:tcPr>
          <w:p w14:paraId="33DAF001" w14:textId="77777777" w:rsidR="004D6A64" w:rsidRDefault="004D6A64">
            <w:pPr>
              <w:rPr>
                <w:rFonts w:ascii="宋体"/>
              </w:rPr>
            </w:pPr>
          </w:p>
        </w:tc>
        <w:tc>
          <w:tcPr>
            <w:tcW w:w="0" w:type="auto"/>
            <w:shd w:val="clear" w:color="auto" w:fill="auto"/>
          </w:tcPr>
          <w:p w14:paraId="33DAF002" w14:textId="77777777" w:rsidR="004D6A64" w:rsidRDefault="004D6A64">
            <w:pPr>
              <w:rPr>
                <w:rFonts w:ascii="宋体"/>
              </w:rPr>
            </w:pPr>
          </w:p>
        </w:tc>
        <w:tc>
          <w:tcPr>
            <w:tcW w:w="0" w:type="auto"/>
            <w:shd w:val="clear" w:color="auto" w:fill="auto"/>
          </w:tcPr>
          <w:p w14:paraId="33DAF003" w14:textId="77777777" w:rsidR="004D6A64" w:rsidRDefault="004D6A64">
            <w:pPr>
              <w:rPr>
                <w:rFonts w:ascii="宋体"/>
              </w:rPr>
            </w:pPr>
          </w:p>
        </w:tc>
      </w:tr>
    </w:tbl>
    <w:p w14:paraId="33DAF005" w14:textId="77777777" w:rsidR="004D6A64" w:rsidRDefault="004D6A64"/>
    <w:p w14:paraId="33DAF006" w14:textId="77777777" w:rsidR="004D6A64" w:rsidRDefault="00506CD6">
      <w:r>
        <w:rPr>
          <w:rFonts w:ascii="Times New Roman" w:eastAsia="宋体" w:hAnsi="Times New Roman"/>
          <w:color w:val="000000"/>
          <w:sz w:val="20"/>
          <w:szCs w:val="20"/>
        </w:rPr>
        <w:t xml:space="preserve">During the second quarter and first six months of Fiscal 2021, total operating expenses decreased 12% and 7%, respectively, primarily due to a </w:t>
      </w:r>
      <w:r>
        <w:rPr>
          <w:rFonts w:ascii="Times New Roman" w:eastAsia="宋体" w:hAnsi="Times New Roman"/>
          <w:color w:val="000000"/>
          <w:sz w:val="20"/>
          <w:szCs w:val="20"/>
        </w:rPr>
        <w:t>decrease in selling, general and administrative expenses, offset partially by an increase in research and development expenses. Our operating expenses include amortization of intangible assets, the impact of purchase accounting, transaction-related expense</w:t>
      </w:r>
      <w:r>
        <w:rPr>
          <w:rFonts w:ascii="Times New Roman" w:eastAsia="宋体" w:hAnsi="Times New Roman"/>
          <w:color w:val="000000"/>
          <w:sz w:val="20"/>
          <w:szCs w:val="20"/>
        </w:rPr>
        <w:t>s, stock-based compensation expense, and other corporate expenses. In aggregate, these items totaled $1.0 billion and $1.6 billion for the second quarter of Fiscal 2021 and Fiscal 2020, respectively, and $2.0 billion and $2.6 billion for the first six mont</w:t>
      </w:r>
      <w:r>
        <w:rPr>
          <w:rFonts w:ascii="Times New Roman" w:eastAsia="宋体" w:hAnsi="Times New Roman"/>
          <w:color w:val="000000"/>
          <w:sz w:val="20"/>
          <w:szCs w:val="20"/>
        </w:rPr>
        <w:t xml:space="preserve">hs of Fiscal 2021 and Fiscal 2020, respectively. Excluding these costs, total non-GAAP operating expenses decreased 4% and 3% for the second quarter and first six months of Fiscal 2021, respectively. </w:t>
      </w:r>
    </w:p>
    <w:p w14:paraId="33DAF007" w14:textId="77777777" w:rsidR="004D6A64" w:rsidRDefault="004D6A64"/>
    <w:p w14:paraId="33DAF008" w14:textId="77777777" w:rsidR="004D6A64" w:rsidRDefault="00506CD6">
      <w:pPr>
        <w:pBdr>
          <w:left w:val="none" w:sz="0" w:space="0" w:color="auto"/>
        </w:pBd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Selling, General, and Administrative</w:t>
      </w:r>
      <w:r>
        <w:rPr>
          <w:rFonts w:ascii="Times New Roman" w:eastAsia="宋体" w:hAnsi="Times New Roman"/>
          <w:color w:val="000000"/>
          <w:sz w:val="20"/>
          <w:szCs w:val="20"/>
        </w:rPr>
        <w:t> — Selling, gener</w:t>
      </w:r>
      <w:r>
        <w:rPr>
          <w:rFonts w:ascii="Times New Roman" w:eastAsia="宋体" w:hAnsi="Times New Roman"/>
          <w:color w:val="000000"/>
          <w:sz w:val="20"/>
          <w:szCs w:val="20"/>
        </w:rPr>
        <w:t>al, and administrative (“SG&amp;A”) expenses decreased 15% and 9%, respectively, during the second quarter and first six months of Fiscal 2021. The decreases in SG&amp;A expenses were primarily due to the absence of Virtustream impairment charges of $619 million r</w:t>
      </w:r>
      <w:r>
        <w:rPr>
          <w:rFonts w:ascii="Times New Roman" w:eastAsia="宋体" w:hAnsi="Times New Roman"/>
          <w:color w:val="000000"/>
          <w:sz w:val="20"/>
          <w:szCs w:val="20"/>
        </w:rPr>
        <w:t>ecognized in the second quarter and first six months of Fiscal 2020. SG&amp;A expenses also decreased due to measures taken as a result of the COVID-19 pandemic, which included global hiring limitations, reduction in consulting and contractor costs, global tra</w:t>
      </w:r>
      <w:r>
        <w:rPr>
          <w:rFonts w:ascii="Times New Roman" w:eastAsia="宋体" w:hAnsi="Times New Roman"/>
          <w:color w:val="000000"/>
          <w:sz w:val="20"/>
          <w:szCs w:val="20"/>
        </w:rPr>
        <w:t>vel restrictions, suspension of the Dell 401(k) match program for U.S. employees, and lower facilities-related costs, as well as a decrease in amortization of intangible assets. With respect to our cost reduction initiatives, we expect that some of the ben</w:t>
      </w:r>
      <w:r>
        <w:rPr>
          <w:rFonts w:ascii="Times New Roman" w:eastAsia="宋体" w:hAnsi="Times New Roman"/>
          <w:color w:val="000000"/>
          <w:sz w:val="20"/>
          <w:szCs w:val="20"/>
        </w:rPr>
        <w:t xml:space="preserve">efits which we recognized during the second quarter and first six months of Fiscal 2021 will phase out over time. </w:t>
      </w:r>
    </w:p>
    <w:p w14:paraId="33DAF009" w14:textId="77777777" w:rsidR="004D6A64" w:rsidRDefault="004D6A64"/>
    <w:p w14:paraId="33DAF00A" w14:textId="77777777" w:rsidR="004D6A64" w:rsidRDefault="00506CD6">
      <w:pPr>
        <w:pBdr>
          <w:left w:val="none" w:sz="0" w:space="0" w:color="auto"/>
        </w:pBd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Research and Development</w:t>
      </w:r>
      <w:r>
        <w:rPr>
          <w:rFonts w:ascii="Times New Roman" w:eastAsia="宋体" w:hAnsi="Times New Roman"/>
          <w:i/>
          <w:iCs/>
          <w:color w:val="000000"/>
          <w:sz w:val="20"/>
          <w:szCs w:val="20"/>
        </w:rPr>
        <w:t xml:space="preserve"> — </w:t>
      </w:r>
      <w:r>
        <w:rPr>
          <w:rFonts w:ascii="Times New Roman" w:eastAsia="宋体" w:hAnsi="Times New Roman"/>
          <w:color w:val="000000"/>
          <w:sz w:val="20"/>
          <w:szCs w:val="20"/>
        </w:rPr>
        <w:t>Research and development (“R&amp;D”) expenses are primarily composed of personnel-related expenses related to produc</w:t>
      </w:r>
      <w:r>
        <w:rPr>
          <w:rFonts w:ascii="Times New Roman" w:eastAsia="宋体" w:hAnsi="Times New Roman"/>
          <w:color w:val="000000"/>
          <w:sz w:val="20"/>
          <w:szCs w:val="20"/>
        </w:rPr>
        <w:t>t development. R&amp;D expenses as a percentage of net revenue were approximately 5.5% and 5.3% for the second quarter of Fiscal 2021 and Fiscal 2020, respectively, and 5.7% and 5.3% for the first six months of Fiscal 2021 and Fiscal 2020, respectively. R&amp;D ex</w:t>
      </w:r>
      <w:r>
        <w:rPr>
          <w:rFonts w:ascii="Times New Roman" w:eastAsia="宋体" w:hAnsi="Times New Roman"/>
          <w:color w:val="000000"/>
          <w:sz w:val="20"/>
          <w:szCs w:val="20"/>
        </w:rPr>
        <w:t>penses as a percentage of net revenue increased during the second quarter and first six months of Fiscal 2021 primarily due to an increase in compensation-related expense, including stock-based compensation expense, driven by VMware. As our industry contin</w:t>
      </w:r>
      <w:r>
        <w:rPr>
          <w:rFonts w:ascii="Times New Roman" w:eastAsia="宋体" w:hAnsi="Times New Roman"/>
          <w:color w:val="000000"/>
          <w:sz w:val="20"/>
          <w:szCs w:val="20"/>
        </w:rPr>
        <w:t>ues to change and as the needs of our customers evolve, we intend to support R&amp;D initiatives to innovate and introduce new and enhanced solutions into the market.</w:t>
      </w:r>
    </w:p>
    <w:p w14:paraId="33DAF00B" w14:textId="77777777" w:rsidR="004D6A64" w:rsidRDefault="004D6A64">
      <w:pPr>
        <w:pBdr>
          <w:left w:val="none" w:sz="0" w:space="0" w:color="auto"/>
        </w:pBdr>
      </w:pPr>
    </w:p>
    <w:p w14:paraId="33DAF00C" w14:textId="77777777" w:rsidR="004D6A64" w:rsidRDefault="00506CD6">
      <w:r>
        <w:rPr>
          <w:rFonts w:ascii="Times New Roman" w:eastAsia="宋体" w:hAnsi="Times New Roman"/>
          <w:color w:val="000000"/>
          <w:sz w:val="20"/>
          <w:szCs w:val="20"/>
        </w:rPr>
        <w:t xml:space="preserve">We continue to make selective investments designed to enable growth, marketing, and R&amp;D, </w:t>
      </w:r>
      <w:r>
        <w:rPr>
          <w:rFonts w:ascii="Times New Roman" w:eastAsia="宋体" w:hAnsi="Times New Roman"/>
          <w:color w:val="000000"/>
          <w:sz w:val="20"/>
          <w:szCs w:val="20"/>
        </w:rPr>
        <w:t>while balancing our efforts to drive cost efficiencies in the business. We also expect to continue to make investments in support of our own digital transformation to modernize and streamline our IT operations.</w:t>
      </w:r>
    </w:p>
    <w:p w14:paraId="33DAF00D" w14:textId="77777777" w:rsidR="004D6A64" w:rsidRDefault="004D6A64"/>
    <w:p w14:paraId="33DAF00E" w14:textId="77777777" w:rsidR="004D6A64" w:rsidRDefault="00506CD6">
      <w:r>
        <w:rPr>
          <w:rFonts w:ascii="Times New Roman" w:eastAsia="宋体" w:hAnsi="Times New Roman"/>
          <w:b/>
          <w:bCs/>
          <w:color w:val="000000"/>
          <w:sz w:val="20"/>
          <w:szCs w:val="20"/>
        </w:rPr>
        <w:t>Operating Income</w:t>
      </w:r>
    </w:p>
    <w:p w14:paraId="33DAF00F" w14:textId="77777777" w:rsidR="004D6A64" w:rsidRDefault="004D6A64"/>
    <w:p w14:paraId="33DAF010" w14:textId="77777777" w:rsidR="004D6A64" w:rsidRDefault="00506CD6">
      <w:r>
        <w:rPr>
          <w:rFonts w:ascii="Times New Roman" w:eastAsia="宋体" w:hAnsi="Times New Roman"/>
          <w:color w:val="000000"/>
          <w:sz w:val="20"/>
          <w:szCs w:val="20"/>
        </w:rPr>
        <w:t xml:space="preserve">During the second quarter </w:t>
      </w:r>
      <w:r>
        <w:rPr>
          <w:rFonts w:ascii="Times New Roman" w:eastAsia="宋体" w:hAnsi="Times New Roman"/>
          <w:color w:val="000000"/>
          <w:sz w:val="20"/>
          <w:szCs w:val="20"/>
        </w:rPr>
        <w:t>and first six months of Fiscal 2021, our operating income increased 119% and 72%, respectively. The increases in our operating income for the second quarter and first six months of Fiscal 2021 were primarily attributable to the absence of Virtustream impai</w:t>
      </w:r>
      <w:r>
        <w:rPr>
          <w:rFonts w:ascii="Times New Roman" w:eastAsia="宋体" w:hAnsi="Times New Roman"/>
          <w:color w:val="000000"/>
          <w:sz w:val="20"/>
          <w:szCs w:val="20"/>
        </w:rPr>
        <w:t xml:space="preserve">rment charges of $619 million recognized in the second quarter and first six months of Fiscal 2020. Operating income also benefited from increases in operating income for VMware and decreases in amortization of </w:t>
      </w:r>
    </w:p>
    <w:p w14:paraId="33DAF011" w14:textId="77777777" w:rsidR="004D6A64" w:rsidRDefault="004D6A64">
      <w:pPr>
        <w:jc w:val="center"/>
      </w:pPr>
    </w:p>
    <w:p w14:paraId="33DAF012" w14:textId="77777777" w:rsidR="004D6A64" w:rsidRDefault="00506CD6">
      <w:pPr>
        <w:jc w:val="center"/>
      </w:pPr>
      <w:r>
        <w:rPr>
          <w:rFonts w:ascii="Times New Roman" w:eastAsia="宋体" w:hAnsi="Times New Roman"/>
          <w:color w:val="000000"/>
          <w:sz w:val="20"/>
          <w:szCs w:val="20"/>
        </w:rPr>
        <w:t>81</w:t>
      </w:r>
    </w:p>
    <w:p w14:paraId="33DAF013" w14:textId="77777777" w:rsidR="004D6A64" w:rsidRDefault="004D6A64">
      <w:pPr>
        <w:jc w:val="center"/>
      </w:pPr>
    </w:p>
    <w:p w14:paraId="33DAF014" w14:textId="77777777" w:rsidR="004D6A64" w:rsidRDefault="00506CD6">
      <w:r>
        <w:pict w14:anchorId="33DAFB15">
          <v:rect id="_x0000_i1105" style="width:415.3pt;height:1.5pt" o:hralign="center" o:hrstd="t" o:hr="t" fillcolor="#a0a0a0" stroked="f"/>
        </w:pict>
      </w:r>
    </w:p>
    <w:p w14:paraId="33DAF015" w14:textId="77777777" w:rsidR="004D6A64" w:rsidRDefault="00506CD6">
      <w:hyperlink r:id="rId204" w:anchor="if3e0e1bf9ecd4bf69551d7a85f98d64a_10" w:history="1">
        <w:r>
          <w:rPr>
            <w:rStyle w:val="a5"/>
            <w:rFonts w:ascii="Times New Roman" w:eastAsia="宋体" w:hAnsi="Times New Roman"/>
            <w:sz w:val="20"/>
            <w:szCs w:val="20"/>
          </w:rPr>
          <w:t>Table of Contents</w:t>
        </w:r>
      </w:hyperlink>
    </w:p>
    <w:p w14:paraId="33DAF016" w14:textId="77777777" w:rsidR="004D6A64" w:rsidRDefault="00506CD6">
      <w:r>
        <w:rPr>
          <w:rFonts w:ascii="Times New Roman" w:eastAsia="宋体" w:hAnsi="Times New Roman"/>
          <w:color w:val="000000"/>
          <w:sz w:val="20"/>
          <w:szCs w:val="20"/>
        </w:rPr>
        <w:t>intangible assets. These benefits were partially offset by decreases in operating in</w:t>
      </w:r>
      <w:r>
        <w:rPr>
          <w:rFonts w:ascii="Times New Roman" w:eastAsia="宋体" w:hAnsi="Times New Roman"/>
          <w:color w:val="000000"/>
          <w:sz w:val="20"/>
          <w:szCs w:val="20"/>
        </w:rPr>
        <w:t>come for CSG and ISG and increases in stock-based compensation expense.</w:t>
      </w:r>
    </w:p>
    <w:p w14:paraId="33DAF017" w14:textId="77777777" w:rsidR="004D6A64" w:rsidRDefault="004D6A64"/>
    <w:p w14:paraId="33DAF018" w14:textId="77777777" w:rsidR="004D6A64" w:rsidRDefault="00506CD6">
      <w:r>
        <w:rPr>
          <w:rFonts w:ascii="Times New Roman" w:eastAsia="宋体" w:hAnsi="Times New Roman"/>
          <w:color w:val="000000"/>
          <w:sz w:val="20"/>
          <w:szCs w:val="20"/>
        </w:rPr>
        <w:t>Amortization of intangible assets, stock-based compensation expense, and other corporate expenses that impacted our operating income totaled $1.3 billion and $2.1 billion for the seco</w:t>
      </w:r>
      <w:r>
        <w:rPr>
          <w:rFonts w:ascii="Times New Roman" w:eastAsia="宋体" w:hAnsi="Times New Roman"/>
          <w:color w:val="000000"/>
          <w:sz w:val="20"/>
          <w:szCs w:val="20"/>
        </w:rPr>
        <w:t>nd quarter of Fiscal 2021 and Fiscal 2020, respectively, and $2.7 billion and $3.6 billion for the first six months of Fiscal 2021 and Fiscal 2020, respectively. Excluding these costs, and the impact of purchase accounting and transaction-related expenses,</w:t>
      </w:r>
      <w:r>
        <w:rPr>
          <w:rFonts w:ascii="Times New Roman" w:eastAsia="宋体" w:hAnsi="Times New Roman"/>
          <w:color w:val="000000"/>
          <w:sz w:val="20"/>
          <w:szCs w:val="20"/>
        </w:rPr>
        <w:t xml:space="preserve"> our non-GAAP operating income decreased 5% to $2.6 billion and 3% to $4.8 billion during the second quarter and first six months of Fiscal 2021, respectively. The decreases in our non-GAAP operating income for the second quarter and first six months of Fi</w:t>
      </w:r>
      <w:r>
        <w:rPr>
          <w:rFonts w:ascii="Times New Roman" w:eastAsia="宋体" w:hAnsi="Times New Roman"/>
          <w:color w:val="000000"/>
          <w:sz w:val="20"/>
          <w:szCs w:val="20"/>
        </w:rPr>
        <w:t>scal 2021 were primarily due to decreases in operating income for ISG and CSG, which were partially offset by increases in operating income for VMware and other businesses.</w:t>
      </w:r>
    </w:p>
    <w:p w14:paraId="33DAF019" w14:textId="77777777" w:rsidR="004D6A64" w:rsidRDefault="004D6A64"/>
    <w:p w14:paraId="33DAF01A" w14:textId="77777777" w:rsidR="004D6A64" w:rsidRDefault="00506CD6">
      <w:r>
        <w:rPr>
          <w:rFonts w:ascii="Times New Roman" w:eastAsia="宋体" w:hAnsi="Times New Roman"/>
          <w:b/>
          <w:bCs/>
          <w:color w:val="000000"/>
          <w:sz w:val="20"/>
          <w:szCs w:val="20"/>
          <w:shd w:val="clear" w:color="auto" w:fill="FFFFFF"/>
        </w:rPr>
        <w:t>Interest and Other, Net</w:t>
      </w:r>
    </w:p>
    <w:p w14:paraId="33DAF01B" w14:textId="77777777" w:rsidR="004D6A64" w:rsidRDefault="004D6A64"/>
    <w:p w14:paraId="33DAF01C" w14:textId="77777777" w:rsidR="004D6A64" w:rsidRDefault="00506CD6">
      <w:r>
        <w:rPr>
          <w:rFonts w:ascii="Times New Roman" w:eastAsia="宋体" w:hAnsi="Times New Roman"/>
          <w:color w:val="000000"/>
          <w:sz w:val="20"/>
          <w:szCs w:val="20"/>
          <w:shd w:val="clear" w:color="auto" w:fill="FFFFFF"/>
        </w:rPr>
        <w:t xml:space="preserve">The following table provides </w:t>
      </w:r>
      <w:r>
        <w:rPr>
          <w:rFonts w:ascii="Times New Roman" w:eastAsia="宋体" w:hAnsi="Times New Roman"/>
          <w:color w:val="000000"/>
          <w:sz w:val="20"/>
          <w:szCs w:val="20"/>
        </w:rPr>
        <w:t>information regarding</w:t>
      </w:r>
      <w:r>
        <w:rPr>
          <w:rFonts w:ascii="Times New Roman" w:eastAsia="宋体" w:hAnsi="Times New Roman"/>
          <w:color w:val="000000"/>
          <w:sz w:val="20"/>
          <w:szCs w:val="20"/>
          <w:shd w:val="clear" w:color="auto" w:fill="FFFFFF"/>
        </w:rPr>
        <w:t xml:space="preserve"> intere</w:t>
      </w:r>
      <w:r>
        <w:rPr>
          <w:rFonts w:ascii="Times New Roman" w:eastAsia="宋体" w:hAnsi="Times New Roman"/>
          <w:color w:val="000000"/>
          <w:sz w:val="20"/>
          <w:szCs w:val="20"/>
          <w:shd w:val="clear" w:color="auto" w:fill="FFFFFF"/>
        </w:rPr>
        <w:t xml:space="preserve">st and other, net for the periods indicated: </w:t>
      </w:r>
    </w:p>
    <w:tbl>
      <w:tblPr>
        <w:tblW w:w="5000" w:type="pct"/>
        <w:tblCellMar>
          <w:top w:w="15" w:type="dxa"/>
          <w:left w:w="15" w:type="dxa"/>
          <w:bottom w:w="15" w:type="dxa"/>
          <w:right w:w="15" w:type="dxa"/>
        </w:tblCellMar>
        <w:tblLook w:val="04A0" w:firstRow="1" w:lastRow="0" w:firstColumn="1" w:lastColumn="0" w:noHBand="0" w:noVBand="1"/>
      </w:tblPr>
      <w:tblGrid>
        <w:gridCol w:w="39"/>
        <w:gridCol w:w="2635"/>
        <w:gridCol w:w="38"/>
        <w:gridCol w:w="135"/>
        <w:gridCol w:w="986"/>
        <w:gridCol w:w="41"/>
        <w:gridCol w:w="36"/>
        <w:gridCol w:w="36"/>
        <w:gridCol w:w="36"/>
        <w:gridCol w:w="136"/>
        <w:gridCol w:w="986"/>
        <w:gridCol w:w="42"/>
        <w:gridCol w:w="36"/>
        <w:gridCol w:w="36"/>
        <w:gridCol w:w="36"/>
        <w:gridCol w:w="135"/>
        <w:gridCol w:w="987"/>
        <w:gridCol w:w="41"/>
        <w:gridCol w:w="36"/>
        <w:gridCol w:w="36"/>
        <w:gridCol w:w="36"/>
        <w:gridCol w:w="135"/>
        <w:gridCol w:w="987"/>
        <w:gridCol w:w="41"/>
        <w:gridCol w:w="36"/>
        <w:gridCol w:w="36"/>
        <w:gridCol w:w="36"/>
        <w:gridCol w:w="36"/>
        <w:gridCol w:w="36"/>
        <w:gridCol w:w="36"/>
        <w:gridCol w:w="36"/>
        <w:gridCol w:w="36"/>
        <w:gridCol w:w="36"/>
        <w:gridCol w:w="36"/>
        <w:gridCol w:w="36"/>
        <w:gridCol w:w="36"/>
        <w:gridCol w:w="36"/>
        <w:gridCol w:w="36"/>
        <w:gridCol w:w="36"/>
        <w:gridCol w:w="36"/>
        <w:gridCol w:w="36"/>
        <w:gridCol w:w="36"/>
      </w:tblGrid>
      <w:tr w:rsidR="004D6A64" w14:paraId="33DAF035" w14:textId="77777777">
        <w:trPr>
          <w:gridAfter w:val="18"/>
        </w:trPr>
        <w:tc>
          <w:tcPr>
            <w:tcW w:w="50" w:type="pct"/>
            <w:shd w:val="clear" w:color="auto" w:fill="auto"/>
          </w:tcPr>
          <w:p w14:paraId="33DAF01D" w14:textId="77777777" w:rsidR="004D6A64" w:rsidRDefault="004D6A64">
            <w:pPr>
              <w:rPr>
                <w:rFonts w:ascii="宋体"/>
              </w:rPr>
            </w:pPr>
          </w:p>
        </w:tc>
        <w:tc>
          <w:tcPr>
            <w:tcW w:w="1816" w:type="pct"/>
            <w:shd w:val="clear" w:color="auto" w:fill="auto"/>
          </w:tcPr>
          <w:p w14:paraId="33DAF01E" w14:textId="77777777" w:rsidR="004D6A64" w:rsidRDefault="004D6A64">
            <w:pPr>
              <w:rPr>
                <w:rFonts w:ascii="宋体"/>
              </w:rPr>
            </w:pPr>
          </w:p>
        </w:tc>
        <w:tc>
          <w:tcPr>
            <w:tcW w:w="5" w:type="pct"/>
            <w:shd w:val="clear" w:color="auto" w:fill="auto"/>
          </w:tcPr>
          <w:p w14:paraId="33DAF01F" w14:textId="77777777" w:rsidR="004D6A64" w:rsidRDefault="004D6A64">
            <w:pPr>
              <w:rPr>
                <w:rFonts w:ascii="宋体"/>
              </w:rPr>
            </w:pPr>
          </w:p>
        </w:tc>
        <w:tc>
          <w:tcPr>
            <w:tcW w:w="50" w:type="pct"/>
            <w:shd w:val="clear" w:color="auto" w:fill="auto"/>
          </w:tcPr>
          <w:p w14:paraId="33DAF020" w14:textId="77777777" w:rsidR="004D6A64" w:rsidRDefault="004D6A64">
            <w:pPr>
              <w:rPr>
                <w:rFonts w:ascii="宋体"/>
              </w:rPr>
            </w:pPr>
          </w:p>
        </w:tc>
        <w:tc>
          <w:tcPr>
            <w:tcW w:w="705" w:type="pct"/>
            <w:shd w:val="clear" w:color="auto" w:fill="auto"/>
          </w:tcPr>
          <w:p w14:paraId="33DAF021" w14:textId="77777777" w:rsidR="004D6A64" w:rsidRDefault="004D6A64">
            <w:pPr>
              <w:rPr>
                <w:rFonts w:ascii="宋体"/>
              </w:rPr>
            </w:pPr>
          </w:p>
        </w:tc>
        <w:tc>
          <w:tcPr>
            <w:tcW w:w="5" w:type="pct"/>
            <w:shd w:val="clear" w:color="auto" w:fill="auto"/>
          </w:tcPr>
          <w:p w14:paraId="33DAF022" w14:textId="77777777" w:rsidR="004D6A64" w:rsidRDefault="004D6A64">
            <w:pPr>
              <w:rPr>
                <w:rFonts w:ascii="宋体"/>
              </w:rPr>
            </w:pPr>
          </w:p>
        </w:tc>
        <w:tc>
          <w:tcPr>
            <w:tcW w:w="5" w:type="pct"/>
            <w:shd w:val="clear" w:color="auto" w:fill="auto"/>
          </w:tcPr>
          <w:p w14:paraId="33DAF023" w14:textId="77777777" w:rsidR="004D6A64" w:rsidRDefault="004D6A64">
            <w:pPr>
              <w:rPr>
                <w:rFonts w:ascii="宋体"/>
              </w:rPr>
            </w:pPr>
          </w:p>
        </w:tc>
        <w:tc>
          <w:tcPr>
            <w:tcW w:w="19" w:type="pct"/>
            <w:shd w:val="clear" w:color="auto" w:fill="auto"/>
          </w:tcPr>
          <w:p w14:paraId="33DAF024" w14:textId="77777777" w:rsidR="004D6A64" w:rsidRDefault="004D6A64">
            <w:pPr>
              <w:rPr>
                <w:rFonts w:ascii="宋体"/>
              </w:rPr>
            </w:pPr>
          </w:p>
        </w:tc>
        <w:tc>
          <w:tcPr>
            <w:tcW w:w="5" w:type="pct"/>
            <w:shd w:val="clear" w:color="auto" w:fill="auto"/>
          </w:tcPr>
          <w:p w14:paraId="33DAF025" w14:textId="77777777" w:rsidR="004D6A64" w:rsidRDefault="004D6A64">
            <w:pPr>
              <w:rPr>
                <w:rFonts w:ascii="宋体"/>
              </w:rPr>
            </w:pPr>
          </w:p>
        </w:tc>
        <w:tc>
          <w:tcPr>
            <w:tcW w:w="50" w:type="pct"/>
            <w:shd w:val="clear" w:color="auto" w:fill="auto"/>
          </w:tcPr>
          <w:p w14:paraId="33DAF026" w14:textId="77777777" w:rsidR="004D6A64" w:rsidRDefault="004D6A64">
            <w:pPr>
              <w:rPr>
                <w:rFonts w:ascii="宋体"/>
              </w:rPr>
            </w:pPr>
          </w:p>
        </w:tc>
        <w:tc>
          <w:tcPr>
            <w:tcW w:w="705" w:type="pct"/>
            <w:shd w:val="clear" w:color="auto" w:fill="auto"/>
          </w:tcPr>
          <w:p w14:paraId="33DAF027" w14:textId="77777777" w:rsidR="004D6A64" w:rsidRDefault="004D6A64">
            <w:pPr>
              <w:rPr>
                <w:rFonts w:ascii="宋体"/>
              </w:rPr>
            </w:pPr>
          </w:p>
        </w:tc>
        <w:tc>
          <w:tcPr>
            <w:tcW w:w="5" w:type="pct"/>
            <w:shd w:val="clear" w:color="auto" w:fill="auto"/>
          </w:tcPr>
          <w:p w14:paraId="33DAF028" w14:textId="77777777" w:rsidR="004D6A64" w:rsidRDefault="004D6A64">
            <w:pPr>
              <w:rPr>
                <w:rFonts w:ascii="宋体"/>
              </w:rPr>
            </w:pPr>
          </w:p>
        </w:tc>
        <w:tc>
          <w:tcPr>
            <w:tcW w:w="5" w:type="pct"/>
            <w:shd w:val="clear" w:color="auto" w:fill="auto"/>
          </w:tcPr>
          <w:p w14:paraId="33DAF029" w14:textId="77777777" w:rsidR="004D6A64" w:rsidRDefault="004D6A64">
            <w:pPr>
              <w:rPr>
                <w:rFonts w:ascii="宋体"/>
              </w:rPr>
            </w:pPr>
          </w:p>
        </w:tc>
        <w:tc>
          <w:tcPr>
            <w:tcW w:w="19" w:type="pct"/>
            <w:shd w:val="clear" w:color="auto" w:fill="auto"/>
          </w:tcPr>
          <w:p w14:paraId="33DAF02A" w14:textId="77777777" w:rsidR="004D6A64" w:rsidRDefault="004D6A64">
            <w:pPr>
              <w:rPr>
                <w:rFonts w:ascii="宋体"/>
              </w:rPr>
            </w:pPr>
          </w:p>
        </w:tc>
        <w:tc>
          <w:tcPr>
            <w:tcW w:w="5" w:type="pct"/>
            <w:shd w:val="clear" w:color="auto" w:fill="auto"/>
          </w:tcPr>
          <w:p w14:paraId="33DAF02B" w14:textId="77777777" w:rsidR="004D6A64" w:rsidRDefault="004D6A64">
            <w:pPr>
              <w:rPr>
                <w:rFonts w:ascii="宋体"/>
              </w:rPr>
            </w:pPr>
          </w:p>
        </w:tc>
        <w:tc>
          <w:tcPr>
            <w:tcW w:w="50" w:type="pct"/>
            <w:shd w:val="clear" w:color="auto" w:fill="auto"/>
          </w:tcPr>
          <w:p w14:paraId="33DAF02C" w14:textId="77777777" w:rsidR="004D6A64" w:rsidRDefault="004D6A64">
            <w:pPr>
              <w:rPr>
                <w:rFonts w:ascii="宋体"/>
              </w:rPr>
            </w:pPr>
          </w:p>
        </w:tc>
        <w:tc>
          <w:tcPr>
            <w:tcW w:w="705" w:type="pct"/>
            <w:shd w:val="clear" w:color="auto" w:fill="auto"/>
          </w:tcPr>
          <w:p w14:paraId="33DAF02D" w14:textId="77777777" w:rsidR="004D6A64" w:rsidRDefault="004D6A64">
            <w:pPr>
              <w:rPr>
                <w:rFonts w:ascii="宋体"/>
              </w:rPr>
            </w:pPr>
          </w:p>
        </w:tc>
        <w:tc>
          <w:tcPr>
            <w:tcW w:w="5" w:type="pct"/>
            <w:shd w:val="clear" w:color="auto" w:fill="auto"/>
          </w:tcPr>
          <w:p w14:paraId="33DAF02E" w14:textId="77777777" w:rsidR="004D6A64" w:rsidRDefault="004D6A64">
            <w:pPr>
              <w:rPr>
                <w:rFonts w:ascii="宋体"/>
              </w:rPr>
            </w:pPr>
          </w:p>
        </w:tc>
        <w:tc>
          <w:tcPr>
            <w:tcW w:w="5" w:type="pct"/>
            <w:shd w:val="clear" w:color="auto" w:fill="auto"/>
          </w:tcPr>
          <w:p w14:paraId="33DAF02F" w14:textId="77777777" w:rsidR="004D6A64" w:rsidRDefault="004D6A64">
            <w:pPr>
              <w:rPr>
                <w:rFonts w:ascii="宋体"/>
              </w:rPr>
            </w:pPr>
          </w:p>
        </w:tc>
        <w:tc>
          <w:tcPr>
            <w:tcW w:w="19" w:type="pct"/>
            <w:shd w:val="clear" w:color="auto" w:fill="auto"/>
          </w:tcPr>
          <w:p w14:paraId="33DAF030" w14:textId="77777777" w:rsidR="004D6A64" w:rsidRDefault="004D6A64">
            <w:pPr>
              <w:rPr>
                <w:rFonts w:ascii="宋体"/>
              </w:rPr>
            </w:pPr>
          </w:p>
        </w:tc>
        <w:tc>
          <w:tcPr>
            <w:tcW w:w="5" w:type="pct"/>
            <w:shd w:val="clear" w:color="auto" w:fill="auto"/>
          </w:tcPr>
          <w:p w14:paraId="33DAF031" w14:textId="77777777" w:rsidR="004D6A64" w:rsidRDefault="004D6A64">
            <w:pPr>
              <w:rPr>
                <w:rFonts w:ascii="宋体"/>
              </w:rPr>
            </w:pPr>
          </w:p>
        </w:tc>
        <w:tc>
          <w:tcPr>
            <w:tcW w:w="50" w:type="pct"/>
            <w:shd w:val="clear" w:color="auto" w:fill="auto"/>
          </w:tcPr>
          <w:p w14:paraId="33DAF032" w14:textId="77777777" w:rsidR="004D6A64" w:rsidRDefault="004D6A64">
            <w:pPr>
              <w:rPr>
                <w:rFonts w:ascii="宋体"/>
              </w:rPr>
            </w:pPr>
          </w:p>
        </w:tc>
        <w:tc>
          <w:tcPr>
            <w:tcW w:w="705" w:type="pct"/>
            <w:shd w:val="clear" w:color="auto" w:fill="auto"/>
          </w:tcPr>
          <w:p w14:paraId="33DAF033" w14:textId="77777777" w:rsidR="004D6A64" w:rsidRDefault="004D6A64">
            <w:pPr>
              <w:rPr>
                <w:rFonts w:ascii="宋体"/>
              </w:rPr>
            </w:pPr>
          </w:p>
        </w:tc>
        <w:tc>
          <w:tcPr>
            <w:tcW w:w="5" w:type="pct"/>
            <w:shd w:val="clear" w:color="auto" w:fill="auto"/>
          </w:tcPr>
          <w:p w14:paraId="33DAF034" w14:textId="77777777" w:rsidR="004D6A64" w:rsidRDefault="004D6A64">
            <w:pPr>
              <w:rPr>
                <w:rFonts w:ascii="宋体"/>
              </w:rPr>
            </w:pPr>
          </w:p>
        </w:tc>
      </w:tr>
      <w:tr w:rsidR="004D6A64" w14:paraId="33DAF03E" w14:textId="77777777">
        <w:trPr>
          <w:gridAfter w:val="6"/>
        </w:trPr>
        <w:tc>
          <w:tcPr>
            <w:tcW w:w="0" w:type="auto"/>
            <w:gridSpan w:val="3"/>
            <w:shd w:val="clear" w:color="auto" w:fill="auto"/>
            <w:tcMar>
              <w:left w:w="20" w:type="dxa"/>
              <w:right w:w="20" w:type="dxa"/>
            </w:tcMar>
            <w:vAlign w:val="bottom"/>
          </w:tcPr>
          <w:p w14:paraId="33DAF036" w14:textId="77777777" w:rsidR="004D6A64" w:rsidRDefault="004D6A64">
            <w:pPr>
              <w:rPr>
                <w:rFonts w:ascii="宋体"/>
              </w:rPr>
            </w:pPr>
          </w:p>
        </w:tc>
        <w:tc>
          <w:tcPr>
            <w:tcW w:w="0" w:type="auto"/>
            <w:gridSpan w:val="9"/>
            <w:shd w:val="clear" w:color="auto" w:fill="auto"/>
            <w:tcMar>
              <w:top w:w="40" w:type="dxa"/>
              <w:left w:w="20" w:type="dxa"/>
              <w:bottom w:w="40" w:type="dxa"/>
              <w:right w:w="20" w:type="dxa"/>
            </w:tcMar>
            <w:vAlign w:val="bottom"/>
          </w:tcPr>
          <w:p w14:paraId="33DAF037" w14:textId="77777777" w:rsidR="004D6A64" w:rsidRDefault="00506CD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Pr>
          <w:p w14:paraId="33DAF038" w14:textId="77777777" w:rsidR="004D6A64" w:rsidRDefault="004D6A64">
            <w:pPr>
              <w:rPr>
                <w:rFonts w:ascii="宋体"/>
                <w:vanish/>
              </w:rPr>
            </w:pPr>
          </w:p>
        </w:tc>
        <w:tc>
          <w:tcPr>
            <w:tcW w:w="0" w:type="auto"/>
            <w:gridSpan w:val="3"/>
            <w:shd w:val="clear" w:color="auto" w:fill="auto"/>
          </w:tcPr>
          <w:p w14:paraId="33DAF039"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F03A" w14:textId="77777777" w:rsidR="004D6A64" w:rsidRDefault="004D6A64">
            <w:pPr>
              <w:rPr>
                <w:rFonts w:ascii="宋体"/>
              </w:rPr>
            </w:pPr>
          </w:p>
        </w:tc>
        <w:tc>
          <w:tcPr>
            <w:tcW w:w="0" w:type="auto"/>
            <w:gridSpan w:val="9"/>
            <w:shd w:val="clear" w:color="auto" w:fill="auto"/>
            <w:tcMar>
              <w:top w:w="40" w:type="dxa"/>
              <w:left w:w="20" w:type="dxa"/>
              <w:bottom w:w="40" w:type="dxa"/>
              <w:right w:w="20" w:type="dxa"/>
            </w:tcMar>
            <w:vAlign w:val="bottom"/>
          </w:tcPr>
          <w:p w14:paraId="33DAF03B" w14:textId="77777777" w:rsidR="004D6A64" w:rsidRDefault="00506CD6">
            <w:pPr>
              <w:jc w:val="center"/>
              <w:textAlignment w:val="bottom"/>
            </w:pPr>
            <w:r>
              <w:rPr>
                <w:rFonts w:ascii="Times New Roman" w:eastAsia="宋体" w:hAnsi="Times New Roman"/>
                <w:b/>
                <w:bCs/>
                <w:color w:val="000000"/>
                <w:sz w:val="20"/>
                <w:szCs w:val="20"/>
              </w:rPr>
              <w:t>Six Months Ended</w:t>
            </w:r>
          </w:p>
        </w:tc>
        <w:tc>
          <w:tcPr>
            <w:tcW w:w="0" w:type="auto"/>
            <w:gridSpan w:val="3"/>
            <w:shd w:val="clear" w:color="auto" w:fill="auto"/>
          </w:tcPr>
          <w:p w14:paraId="33DAF03C" w14:textId="77777777" w:rsidR="004D6A64" w:rsidRDefault="004D6A64">
            <w:pPr>
              <w:rPr>
                <w:rFonts w:ascii="宋体"/>
                <w:vanish/>
              </w:rPr>
            </w:pPr>
          </w:p>
        </w:tc>
        <w:tc>
          <w:tcPr>
            <w:tcW w:w="0" w:type="auto"/>
            <w:gridSpan w:val="3"/>
            <w:shd w:val="clear" w:color="auto" w:fill="auto"/>
          </w:tcPr>
          <w:p w14:paraId="33DAF03D" w14:textId="77777777" w:rsidR="004D6A64" w:rsidRDefault="004D6A64">
            <w:pPr>
              <w:rPr>
                <w:rFonts w:ascii="宋体"/>
                <w:vanish/>
              </w:rPr>
            </w:pPr>
          </w:p>
        </w:tc>
      </w:tr>
      <w:tr w:rsidR="004D6A64" w14:paraId="33DAF053" w14:textId="77777777">
        <w:trPr>
          <w:gridAfter w:val="6"/>
        </w:trPr>
        <w:tc>
          <w:tcPr>
            <w:tcW w:w="0" w:type="auto"/>
            <w:gridSpan w:val="3"/>
            <w:shd w:val="clear" w:color="auto" w:fill="auto"/>
            <w:tcMar>
              <w:top w:w="40" w:type="dxa"/>
              <w:left w:w="20" w:type="dxa"/>
              <w:bottom w:w="40" w:type="dxa"/>
              <w:right w:w="20" w:type="dxa"/>
            </w:tcMar>
            <w:vAlign w:val="bottom"/>
          </w:tcPr>
          <w:p w14:paraId="33DAF03F" w14:textId="77777777" w:rsidR="004D6A64" w:rsidRDefault="00506CD6">
            <w:pPr>
              <w:jc w:val="cente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F040"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F041"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F042"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gridSpan w:val="3"/>
            <w:shd w:val="clear" w:color="auto" w:fill="auto"/>
            <w:tcMar>
              <w:left w:w="20" w:type="dxa"/>
              <w:right w:w="20" w:type="dxa"/>
            </w:tcMar>
            <w:vAlign w:val="bottom"/>
          </w:tcPr>
          <w:p w14:paraId="33DAF043"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F044"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F045"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F046"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shd w:val="clear" w:color="auto" w:fill="auto"/>
          </w:tcPr>
          <w:p w14:paraId="33DAF047" w14:textId="77777777" w:rsidR="004D6A64" w:rsidRDefault="004D6A64">
            <w:pPr>
              <w:rPr>
                <w:rFonts w:ascii="宋体"/>
              </w:rPr>
            </w:pPr>
          </w:p>
        </w:tc>
        <w:tc>
          <w:tcPr>
            <w:tcW w:w="0" w:type="auto"/>
            <w:shd w:val="clear" w:color="auto" w:fill="auto"/>
          </w:tcPr>
          <w:p w14:paraId="33DAF048" w14:textId="77777777" w:rsidR="004D6A64" w:rsidRDefault="004D6A64">
            <w:pPr>
              <w:rPr>
                <w:rFonts w:ascii="宋体"/>
              </w:rPr>
            </w:pPr>
          </w:p>
        </w:tc>
        <w:tc>
          <w:tcPr>
            <w:tcW w:w="0" w:type="auto"/>
            <w:shd w:val="clear" w:color="auto" w:fill="auto"/>
          </w:tcPr>
          <w:p w14:paraId="33DAF049" w14:textId="77777777" w:rsidR="004D6A64" w:rsidRDefault="004D6A64">
            <w:pPr>
              <w:rPr>
                <w:rFonts w:ascii="宋体"/>
              </w:rPr>
            </w:pPr>
          </w:p>
        </w:tc>
        <w:tc>
          <w:tcPr>
            <w:tcW w:w="0" w:type="auto"/>
            <w:shd w:val="clear" w:color="auto" w:fill="auto"/>
          </w:tcPr>
          <w:p w14:paraId="33DAF04A" w14:textId="77777777" w:rsidR="004D6A64" w:rsidRDefault="004D6A64">
            <w:pPr>
              <w:rPr>
                <w:rFonts w:ascii="宋体"/>
              </w:rPr>
            </w:pPr>
          </w:p>
        </w:tc>
        <w:tc>
          <w:tcPr>
            <w:tcW w:w="0" w:type="auto"/>
            <w:shd w:val="clear" w:color="auto" w:fill="auto"/>
          </w:tcPr>
          <w:p w14:paraId="33DAF04B" w14:textId="77777777" w:rsidR="004D6A64" w:rsidRDefault="004D6A64">
            <w:pPr>
              <w:rPr>
                <w:rFonts w:ascii="宋体"/>
              </w:rPr>
            </w:pPr>
          </w:p>
        </w:tc>
        <w:tc>
          <w:tcPr>
            <w:tcW w:w="0" w:type="auto"/>
            <w:shd w:val="clear" w:color="auto" w:fill="auto"/>
          </w:tcPr>
          <w:p w14:paraId="33DAF04C" w14:textId="77777777" w:rsidR="004D6A64" w:rsidRDefault="004D6A64">
            <w:pPr>
              <w:rPr>
                <w:rFonts w:ascii="宋体"/>
              </w:rPr>
            </w:pPr>
          </w:p>
        </w:tc>
        <w:tc>
          <w:tcPr>
            <w:tcW w:w="0" w:type="auto"/>
            <w:shd w:val="clear" w:color="auto" w:fill="auto"/>
          </w:tcPr>
          <w:p w14:paraId="33DAF04D" w14:textId="77777777" w:rsidR="004D6A64" w:rsidRDefault="004D6A64">
            <w:pPr>
              <w:rPr>
                <w:rFonts w:ascii="宋体"/>
              </w:rPr>
            </w:pPr>
          </w:p>
        </w:tc>
        <w:tc>
          <w:tcPr>
            <w:tcW w:w="0" w:type="auto"/>
            <w:shd w:val="clear" w:color="auto" w:fill="auto"/>
          </w:tcPr>
          <w:p w14:paraId="33DAF04E" w14:textId="77777777" w:rsidR="004D6A64" w:rsidRDefault="004D6A64">
            <w:pPr>
              <w:rPr>
                <w:rFonts w:ascii="宋体"/>
              </w:rPr>
            </w:pPr>
          </w:p>
        </w:tc>
        <w:tc>
          <w:tcPr>
            <w:tcW w:w="0" w:type="auto"/>
            <w:shd w:val="clear" w:color="auto" w:fill="auto"/>
          </w:tcPr>
          <w:p w14:paraId="33DAF04F" w14:textId="77777777" w:rsidR="004D6A64" w:rsidRDefault="004D6A64">
            <w:pPr>
              <w:rPr>
                <w:rFonts w:ascii="宋体"/>
              </w:rPr>
            </w:pPr>
          </w:p>
        </w:tc>
        <w:tc>
          <w:tcPr>
            <w:tcW w:w="0" w:type="auto"/>
            <w:shd w:val="clear" w:color="auto" w:fill="auto"/>
          </w:tcPr>
          <w:p w14:paraId="33DAF050" w14:textId="77777777" w:rsidR="004D6A64" w:rsidRDefault="004D6A64">
            <w:pPr>
              <w:rPr>
                <w:rFonts w:ascii="宋体"/>
              </w:rPr>
            </w:pPr>
          </w:p>
        </w:tc>
        <w:tc>
          <w:tcPr>
            <w:tcW w:w="0" w:type="auto"/>
            <w:shd w:val="clear" w:color="auto" w:fill="auto"/>
          </w:tcPr>
          <w:p w14:paraId="33DAF051" w14:textId="77777777" w:rsidR="004D6A64" w:rsidRDefault="004D6A64">
            <w:pPr>
              <w:rPr>
                <w:rFonts w:ascii="宋体"/>
              </w:rPr>
            </w:pPr>
          </w:p>
        </w:tc>
        <w:tc>
          <w:tcPr>
            <w:tcW w:w="0" w:type="auto"/>
            <w:shd w:val="clear" w:color="auto" w:fill="auto"/>
          </w:tcPr>
          <w:p w14:paraId="33DAF052" w14:textId="77777777" w:rsidR="004D6A64" w:rsidRDefault="004D6A64">
            <w:pPr>
              <w:rPr>
                <w:rFonts w:ascii="宋体"/>
              </w:rPr>
            </w:pPr>
          </w:p>
        </w:tc>
      </w:tr>
      <w:tr w:rsidR="004D6A64" w14:paraId="33DAF05C" w14:textId="77777777">
        <w:tc>
          <w:tcPr>
            <w:tcW w:w="0" w:type="auto"/>
            <w:gridSpan w:val="3"/>
            <w:shd w:val="clear" w:color="auto" w:fill="auto"/>
            <w:tcMar>
              <w:top w:w="40" w:type="dxa"/>
              <w:left w:w="20" w:type="dxa"/>
              <w:bottom w:w="40" w:type="dxa"/>
              <w:right w:w="20" w:type="dxa"/>
            </w:tcMar>
            <w:vAlign w:val="center"/>
          </w:tcPr>
          <w:p w14:paraId="33DAF054" w14:textId="77777777" w:rsidR="004D6A64" w:rsidRDefault="00506CD6">
            <w:pPr>
              <w:jc w:val="center"/>
              <w:textAlignment w:val="center"/>
            </w:pPr>
            <w:r>
              <w:rPr>
                <w:rFonts w:ascii="Times New Roman" w:eastAsia="宋体" w:hAnsi="Times New Roman"/>
                <w:color w:val="000000"/>
                <w:sz w:val="20"/>
                <w:szCs w:val="20"/>
              </w:rPr>
              <w:t> </w:t>
            </w: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33DAF055" w14:textId="77777777" w:rsidR="004D6A64" w:rsidRDefault="00506CD6">
            <w:pPr>
              <w:jc w:val="center"/>
              <w:textAlignment w:val="center"/>
            </w:pPr>
            <w:r>
              <w:rPr>
                <w:rFonts w:ascii="Times New Roman" w:eastAsia="宋体" w:hAnsi="Times New Roman"/>
                <w:color w:val="000000"/>
                <w:sz w:val="20"/>
                <w:szCs w:val="20"/>
              </w:rPr>
              <w:t>(in</w:t>
            </w:r>
            <w:r>
              <w:rPr>
                <w:rFonts w:ascii="Times New Roman" w:eastAsia="宋体" w:hAnsi="Times New Roman"/>
                <w:color w:val="000000"/>
                <w:sz w:val="20"/>
                <w:szCs w:val="20"/>
              </w:rPr>
              <w:t xml:space="preserve"> millions)</w:t>
            </w:r>
          </w:p>
        </w:tc>
        <w:tc>
          <w:tcPr>
            <w:tcW w:w="0" w:type="auto"/>
            <w:gridSpan w:val="3"/>
            <w:shd w:val="clear" w:color="auto" w:fill="auto"/>
          </w:tcPr>
          <w:p w14:paraId="33DAF056" w14:textId="77777777" w:rsidR="004D6A64" w:rsidRDefault="004D6A64">
            <w:pPr>
              <w:rPr>
                <w:rFonts w:ascii="宋体"/>
                <w:vanish/>
              </w:rPr>
            </w:pPr>
          </w:p>
        </w:tc>
        <w:tc>
          <w:tcPr>
            <w:tcW w:w="0" w:type="auto"/>
            <w:gridSpan w:val="3"/>
            <w:shd w:val="clear" w:color="auto" w:fill="auto"/>
          </w:tcPr>
          <w:p w14:paraId="33DAF057" w14:textId="77777777" w:rsidR="004D6A64" w:rsidRDefault="004D6A64">
            <w:pPr>
              <w:rPr>
                <w:rFonts w:ascii="宋体"/>
                <w:vanish/>
              </w:rPr>
            </w:pPr>
          </w:p>
        </w:tc>
        <w:tc>
          <w:tcPr>
            <w:tcW w:w="0" w:type="auto"/>
            <w:gridSpan w:val="3"/>
            <w:shd w:val="clear" w:color="auto" w:fill="auto"/>
          </w:tcPr>
          <w:p w14:paraId="33DAF058" w14:textId="77777777" w:rsidR="004D6A64" w:rsidRDefault="004D6A64">
            <w:pPr>
              <w:rPr>
                <w:rFonts w:ascii="宋体"/>
                <w:vanish/>
              </w:rPr>
            </w:pPr>
          </w:p>
        </w:tc>
        <w:tc>
          <w:tcPr>
            <w:tcW w:w="0" w:type="auto"/>
            <w:gridSpan w:val="3"/>
            <w:shd w:val="clear" w:color="auto" w:fill="auto"/>
          </w:tcPr>
          <w:p w14:paraId="33DAF059" w14:textId="77777777" w:rsidR="004D6A64" w:rsidRDefault="004D6A64">
            <w:pPr>
              <w:rPr>
                <w:rFonts w:ascii="宋体"/>
                <w:vanish/>
              </w:rPr>
            </w:pPr>
          </w:p>
        </w:tc>
        <w:tc>
          <w:tcPr>
            <w:tcW w:w="0" w:type="auto"/>
            <w:gridSpan w:val="3"/>
            <w:shd w:val="clear" w:color="auto" w:fill="auto"/>
          </w:tcPr>
          <w:p w14:paraId="33DAF05A" w14:textId="77777777" w:rsidR="004D6A64" w:rsidRDefault="004D6A64">
            <w:pPr>
              <w:rPr>
                <w:rFonts w:ascii="宋体"/>
                <w:vanish/>
              </w:rPr>
            </w:pPr>
          </w:p>
        </w:tc>
        <w:tc>
          <w:tcPr>
            <w:tcW w:w="0" w:type="auto"/>
            <w:gridSpan w:val="3"/>
            <w:shd w:val="clear" w:color="auto" w:fill="auto"/>
          </w:tcPr>
          <w:p w14:paraId="33DAF05B" w14:textId="77777777" w:rsidR="004D6A64" w:rsidRDefault="004D6A64">
            <w:pPr>
              <w:rPr>
                <w:rFonts w:ascii="宋体"/>
                <w:vanish/>
              </w:rPr>
            </w:pPr>
          </w:p>
        </w:tc>
      </w:tr>
      <w:tr w:rsidR="004D6A64" w14:paraId="33DAF077" w14:textId="77777777">
        <w:tc>
          <w:tcPr>
            <w:tcW w:w="0" w:type="auto"/>
            <w:gridSpan w:val="3"/>
            <w:shd w:val="clear" w:color="auto" w:fill="CCEEFF"/>
            <w:tcMar>
              <w:top w:w="40" w:type="dxa"/>
              <w:left w:w="20" w:type="dxa"/>
              <w:bottom w:w="40" w:type="dxa"/>
              <w:right w:w="20" w:type="dxa"/>
            </w:tcMar>
            <w:vAlign w:val="center"/>
          </w:tcPr>
          <w:p w14:paraId="33DAF05D" w14:textId="77777777" w:rsidR="004D6A64" w:rsidRDefault="00506CD6">
            <w:pPr>
              <w:textAlignment w:val="center"/>
            </w:pPr>
            <w:r>
              <w:rPr>
                <w:rFonts w:ascii="Times New Roman" w:eastAsia="宋体" w:hAnsi="Times New Roman"/>
                <w:i/>
                <w:iCs/>
                <w:color w:val="000000"/>
                <w:sz w:val="20"/>
                <w:szCs w:val="20"/>
              </w:rPr>
              <w:t>Interest and other, net:</w:t>
            </w:r>
          </w:p>
        </w:tc>
        <w:tc>
          <w:tcPr>
            <w:tcW w:w="0" w:type="auto"/>
            <w:gridSpan w:val="3"/>
            <w:shd w:val="clear" w:color="auto" w:fill="CCEEFF"/>
            <w:tcMar>
              <w:top w:w="40" w:type="dxa"/>
              <w:left w:w="20" w:type="dxa"/>
              <w:bottom w:w="40" w:type="dxa"/>
              <w:right w:w="20" w:type="dxa"/>
            </w:tcMar>
            <w:vAlign w:val="center"/>
          </w:tcPr>
          <w:p w14:paraId="33DAF05E" w14:textId="77777777" w:rsidR="004D6A64" w:rsidRDefault="00506CD6">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left w:w="20" w:type="dxa"/>
              <w:right w:w="20" w:type="dxa"/>
            </w:tcMar>
            <w:vAlign w:val="bottom"/>
          </w:tcPr>
          <w:p w14:paraId="33DAF05F" w14:textId="77777777" w:rsidR="004D6A64" w:rsidRDefault="004D6A64">
            <w:pPr>
              <w:rPr>
                <w:rFonts w:ascii="宋体"/>
              </w:rPr>
            </w:pPr>
          </w:p>
        </w:tc>
        <w:tc>
          <w:tcPr>
            <w:tcW w:w="0" w:type="auto"/>
            <w:gridSpan w:val="3"/>
            <w:shd w:val="clear" w:color="auto" w:fill="CCEEFF"/>
            <w:tcMar>
              <w:top w:w="40" w:type="dxa"/>
              <w:left w:w="20" w:type="dxa"/>
              <w:bottom w:w="40" w:type="dxa"/>
              <w:right w:w="20" w:type="dxa"/>
            </w:tcMar>
            <w:vAlign w:val="center"/>
          </w:tcPr>
          <w:p w14:paraId="33DAF060" w14:textId="77777777" w:rsidR="004D6A64" w:rsidRDefault="00506CD6">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left w:w="20" w:type="dxa"/>
              <w:right w:w="20" w:type="dxa"/>
            </w:tcMar>
            <w:vAlign w:val="bottom"/>
          </w:tcPr>
          <w:p w14:paraId="33DAF061" w14:textId="77777777" w:rsidR="004D6A64" w:rsidRDefault="004D6A64">
            <w:pPr>
              <w:rPr>
                <w:rFonts w:ascii="宋体"/>
              </w:rPr>
            </w:pPr>
          </w:p>
        </w:tc>
        <w:tc>
          <w:tcPr>
            <w:tcW w:w="0" w:type="auto"/>
            <w:gridSpan w:val="3"/>
            <w:shd w:val="clear" w:color="auto" w:fill="CCEEFF"/>
            <w:tcMar>
              <w:top w:w="40" w:type="dxa"/>
              <w:left w:w="20" w:type="dxa"/>
              <w:bottom w:w="40" w:type="dxa"/>
              <w:right w:w="20" w:type="dxa"/>
            </w:tcMar>
            <w:vAlign w:val="center"/>
          </w:tcPr>
          <w:p w14:paraId="33DAF062" w14:textId="77777777" w:rsidR="004D6A64" w:rsidRDefault="00506CD6">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left w:w="20" w:type="dxa"/>
              <w:right w:w="20" w:type="dxa"/>
            </w:tcMar>
            <w:vAlign w:val="bottom"/>
          </w:tcPr>
          <w:p w14:paraId="33DAF063" w14:textId="77777777" w:rsidR="004D6A64" w:rsidRDefault="004D6A64">
            <w:pPr>
              <w:rPr>
                <w:rFonts w:ascii="宋体"/>
              </w:rPr>
            </w:pPr>
          </w:p>
        </w:tc>
        <w:tc>
          <w:tcPr>
            <w:tcW w:w="0" w:type="auto"/>
            <w:gridSpan w:val="3"/>
            <w:shd w:val="clear" w:color="auto" w:fill="CCEEFF"/>
            <w:tcMar>
              <w:top w:w="40" w:type="dxa"/>
              <w:left w:w="20" w:type="dxa"/>
              <w:bottom w:w="40" w:type="dxa"/>
              <w:right w:w="20" w:type="dxa"/>
            </w:tcMar>
            <w:vAlign w:val="center"/>
          </w:tcPr>
          <w:p w14:paraId="33DAF064"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auto"/>
          </w:tcPr>
          <w:p w14:paraId="33DAF065" w14:textId="77777777" w:rsidR="004D6A64" w:rsidRDefault="004D6A64">
            <w:pPr>
              <w:rPr>
                <w:rFonts w:ascii="宋体"/>
              </w:rPr>
            </w:pPr>
          </w:p>
        </w:tc>
        <w:tc>
          <w:tcPr>
            <w:tcW w:w="0" w:type="auto"/>
            <w:shd w:val="clear" w:color="auto" w:fill="auto"/>
          </w:tcPr>
          <w:p w14:paraId="33DAF066" w14:textId="77777777" w:rsidR="004D6A64" w:rsidRDefault="004D6A64">
            <w:pPr>
              <w:rPr>
                <w:rFonts w:ascii="宋体"/>
              </w:rPr>
            </w:pPr>
          </w:p>
        </w:tc>
        <w:tc>
          <w:tcPr>
            <w:tcW w:w="0" w:type="auto"/>
            <w:shd w:val="clear" w:color="auto" w:fill="auto"/>
          </w:tcPr>
          <w:p w14:paraId="33DAF067" w14:textId="77777777" w:rsidR="004D6A64" w:rsidRDefault="004D6A64">
            <w:pPr>
              <w:rPr>
                <w:rFonts w:ascii="宋体"/>
              </w:rPr>
            </w:pPr>
          </w:p>
        </w:tc>
        <w:tc>
          <w:tcPr>
            <w:tcW w:w="0" w:type="auto"/>
            <w:shd w:val="clear" w:color="auto" w:fill="auto"/>
          </w:tcPr>
          <w:p w14:paraId="33DAF068" w14:textId="77777777" w:rsidR="004D6A64" w:rsidRDefault="004D6A64">
            <w:pPr>
              <w:rPr>
                <w:rFonts w:ascii="宋体"/>
              </w:rPr>
            </w:pPr>
          </w:p>
        </w:tc>
        <w:tc>
          <w:tcPr>
            <w:tcW w:w="0" w:type="auto"/>
            <w:shd w:val="clear" w:color="auto" w:fill="auto"/>
          </w:tcPr>
          <w:p w14:paraId="33DAF069" w14:textId="77777777" w:rsidR="004D6A64" w:rsidRDefault="004D6A64">
            <w:pPr>
              <w:rPr>
                <w:rFonts w:ascii="宋体"/>
              </w:rPr>
            </w:pPr>
          </w:p>
        </w:tc>
        <w:tc>
          <w:tcPr>
            <w:tcW w:w="0" w:type="auto"/>
            <w:shd w:val="clear" w:color="auto" w:fill="auto"/>
          </w:tcPr>
          <w:p w14:paraId="33DAF06A" w14:textId="77777777" w:rsidR="004D6A64" w:rsidRDefault="004D6A64">
            <w:pPr>
              <w:rPr>
                <w:rFonts w:ascii="宋体"/>
              </w:rPr>
            </w:pPr>
          </w:p>
        </w:tc>
        <w:tc>
          <w:tcPr>
            <w:tcW w:w="0" w:type="auto"/>
            <w:shd w:val="clear" w:color="auto" w:fill="auto"/>
          </w:tcPr>
          <w:p w14:paraId="33DAF06B" w14:textId="77777777" w:rsidR="004D6A64" w:rsidRDefault="004D6A64">
            <w:pPr>
              <w:rPr>
                <w:rFonts w:ascii="宋体"/>
              </w:rPr>
            </w:pPr>
          </w:p>
        </w:tc>
        <w:tc>
          <w:tcPr>
            <w:tcW w:w="0" w:type="auto"/>
            <w:shd w:val="clear" w:color="auto" w:fill="auto"/>
          </w:tcPr>
          <w:p w14:paraId="33DAF06C" w14:textId="77777777" w:rsidR="004D6A64" w:rsidRDefault="004D6A64">
            <w:pPr>
              <w:rPr>
                <w:rFonts w:ascii="宋体"/>
              </w:rPr>
            </w:pPr>
          </w:p>
        </w:tc>
        <w:tc>
          <w:tcPr>
            <w:tcW w:w="0" w:type="auto"/>
            <w:shd w:val="clear" w:color="auto" w:fill="auto"/>
          </w:tcPr>
          <w:p w14:paraId="33DAF06D" w14:textId="77777777" w:rsidR="004D6A64" w:rsidRDefault="004D6A64">
            <w:pPr>
              <w:rPr>
                <w:rFonts w:ascii="宋体"/>
              </w:rPr>
            </w:pPr>
          </w:p>
        </w:tc>
        <w:tc>
          <w:tcPr>
            <w:tcW w:w="0" w:type="auto"/>
            <w:shd w:val="clear" w:color="auto" w:fill="auto"/>
          </w:tcPr>
          <w:p w14:paraId="33DAF06E" w14:textId="77777777" w:rsidR="004D6A64" w:rsidRDefault="004D6A64">
            <w:pPr>
              <w:rPr>
                <w:rFonts w:ascii="宋体"/>
              </w:rPr>
            </w:pPr>
          </w:p>
        </w:tc>
        <w:tc>
          <w:tcPr>
            <w:tcW w:w="0" w:type="auto"/>
            <w:shd w:val="clear" w:color="auto" w:fill="auto"/>
          </w:tcPr>
          <w:p w14:paraId="33DAF06F" w14:textId="77777777" w:rsidR="004D6A64" w:rsidRDefault="004D6A64">
            <w:pPr>
              <w:rPr>
                <w:rFonts w:ascii="宋体"/>
              </w:rPr>
            </w:pPr>
          </w:p>
        </w:tc>
        <w:tc>
          <w:tcPr>
            <w:tcW w:w="0" w:type="auto"/>
            <w:shd w:val="clear" w:color="auto" w:fill="auto"/>
          </w:tcPr>
          <w:p w14:paraId="33DAF070" w14:textId="77777777" w:rsidR="004D6A64" w:rsidRDefault="004D6A64">
            <w:pPr>
              <w:rPr>
                <w:rFonts w:ascii="宋体"/>
              </w:rPr>
            </w:pPr>
          </w:p>
        </w:tc>
        <w:tc>
          <w:tcPr>
            <w:tcW w:w="0" w:type="auto"/>
            <w:shd w:val="clear" w:color="auto" w:fill="auto"/>
          </w:tcPr>
          <w:p w14:paraId="33DAF071" w14:textId="77777777" w:rsidR="004D6A64" w:rsidRDefault="004D6A64">
            <w:pPr>
              <w:rPr>
                <w:rFonts w:ascii="宋体"/>
              </w:rPr>
            </w:pPr>
          </w:p>
        </w:tc>
        <w:tc>
          <w:tcPr>
            <w:tcW w:w="0" w:type="auto"/>
            <w:shd w:val="clear" w:color="auto" w:fill="auto"/>
          </w:tcPr>
          <w:p w14:paraId="33DAF072" w14:textId="77777777" w:rsidR="004D6A64" w:rsidRDefault="004D6A64">
            <w:pPr>
              <w:rPr>
                <w:rFonts w:ascii="宋体"/>
              </w:rPr>
            </w:pPr>
          </w:p>
        </w:tc>
        <w:tc>
          <w:tcPr>
            <w:tcW w:w="0" w:type="auto"/>
            <w:shd w:val="clear" w:color="auto" w:fill="auto"/>
          </w:tcPr>
          <w:p w14:paraId="33DAF073" w14:textId="77777777" w:rsidR="004D6A64" w:rsidRDefault="004D6A64">
            <w:pPr>
              <w:rPr>
                <w:rFonts w:ascii="宋体"/>
              </w:rPr>
            </w:pPr>
          </w:p>
        </w:tc>
        <w:tc>
          <w:tcPr>
            <w:tcW w:w="0" w:type="auto"/>
            <w:shd w:val="clear" w:color="auto" w:fill="auto"/>
          </w:tcPr>
          <w:p w14:paraId="33DAF074" w14:textId="77777777" w:rsidR="004D6A64" w:rsidRDefault="004D6A64">
            <w:pPr>
              <w:rPr>
                <w:rFonts w:ascii="宋体"/>
              </w:rPr>
            </w:pPr>
          </w:p>
        </w:tc>
        <w:tc>
          <w:tcPr>
            <w:tcW w:w="0" w:type="auto"/>
            <w:shd w:val="clear" w:color="auto" w:fill="auto"/>
          </w:tcPr>
          <w:p w14:paraId="33DAF075" w14:textId="77777777" w:rsidR="004D6A64" w:rsidRDefault="004D6A64">
            <w:pPr>
              <w:rPr>
                <w:rFonts w:ascii="宋体"/>
              </w:rPr>
            </w:pPr>
          </w:p>
        </w:tc>
        <w:tc>
          <w:tcPr>
            <w:tcW w:w="0" w:type="auto"/>
            <w:shd w:val="clear" w:color="auto" w:fill="auto"/>
          </w:tcPr>
          <w:p w14:paraId="33DAF076" w14:textId="77777777" w:rsidR="004D6A64" w:rsidRDefault="004D6A64">
            <w:pPr>
              <w:rPr>
                <w:rFonts w:ascii="宋体"/>
              </w:rPr>
            </w:pPr>
          </w:p>
        </w:tc>
      </w:tr>
      <w:tr w:rsidR="004D6A64" w14:paraId="33DAF09A" w14:textId="77777777">
        <w:tc>
          <w:tcPr>
            <w:tcW w:w="0" w:type="auto"/>
            <w:gridSpan w:val="3"/>
            <w:shd w:val="clear" w:color="auto" w:fill="FFFFFF"/>
            <w:tcMar>
              <w:top w:w="40" w:type="dxa"/>
              <w:left w:w="225" w:type="dxa"/>
              <w:bottom w:w="40" w:type="dxa"/>
              <w:right w:w="20" w:type="dxa"/>
            </w:tcMar>
            <w:vAlign w:val="center"/>
          </w:tcPr>
          <w:p w14:paraId="33DAF078" w14:textId="77777777" w:rsidR="004D6A64" w:rsidRDefault="00506CD6">
            <w:pPr>
              <w:textAlignment w:val="center"/>
            </w:pPr>
            <w:r>
              <w:rPr>
                <w:rFonts w:ascii="Times New Roman" w:eastAsia="宋体" w:hAnsi="Times New Roman"/>
                <w:color w:val="000000"/>
                <w:sz w:val="20"/>
                <w:szCs w:val="20"/>
              </w:rPr>
              <w:t>Investment income, primarily interest</w:t>
            </w:r>
          </w:p>
        </w:tc>
        <w:tc>
          <w:tcPr>
            <w:tcW w:w="0" w:type="auto"/>
            <w:shd w:val="clear" w:color="auto" w:fill="FFFFFF"/>
            <w:tcMar>
              <w:top w:w="40" w:type="dxa"/>
              <w:left w:w="20" w:type="dxa"/>
              <w:bottom w:w="40" w:type="dxa"/>
            </w:tcMar>
            <w:vAlign w:val="center"/>
          </w:tcPr>
          <w:p w14:paraId="33DAF079"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F07A" w14:textId="77777777" w:rsidR="004D6A64" w:rsidRDefault="00506CD6">
            <w:pPr>
              <w:jc w:val="right"/>
              <w:textAlignment w:val="center"/>
            </w:pPr>
            <w:r>
              <w:rPr>
                <w:rFonts w:ascii="Times New Roman" w:eastAsia="宋体" w:hAnsi="Times New Roman"/>
                <w:color w:val="000000"/>
                <w:sz w:val="20"/>
                <w:szCs w:val="20"/>
              </w:rPr>
              <w:t>12 </w:t>
            </w:r>
          </w:p>
        </w:tc>
        <w:tc>
          <w:tcPr>
            <w:tcW w:w="0" w:type="auto"/>
            <w:shd w:val="clear" w:color="auto" w:fill="FFFFFF"/>
            <w:tcMar>
              <w:top w:w="40" w:type="dxa"/>
              <w:bottom w:w="40" w:type="dxa"/>
              <w:right w:w="20" w:type="dxa"/>
            </w:tcMar>
            <w:vAlign w:val="center"/>
          </w:tcPr>
          <w:p w14:paraId="33DAF07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07C"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F07D"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F07E" w14:textId="77777777" w:rsidR="004D6A64" w:rsidRDefault="00506CD6">
            <w:pPr>
              <w:jc w:val="right"/>
              <w:textAlignment w:val="center"/>
            </w:pPr>
            <w:r>
              <w:rPr>
                <w:rFonts w:ascii="Times New Roman" w:eastAsia="宋体" w:hAnsi="Times New Roman"/>
                <w:color w:val="000000"/>
                <w:sz w:val="20"/>
                <w:szCs w:val="20"/>
              </w:rPr>
              <w:t>42 </w:t>
            </w:r>
          </w:p>
        </w:tc>
        <w:tc>
          <w:tcPr>
            <w:tcW w:w="0" w:type="auto"/>
            <w:shd w:val="clear" w:color="auto" w:fill="FFFFFF"/>
            <w:tcMar>
              <w:top w:w="40" w:type="dxa"/>
              <w:bottom w:w="40" w:type="dxa"/>
              <w:right w:w="20" w:type="dxa"/>
            </w:tcMar>
            <w:vAlign w:val="center"/>
          </w:tcPr>
          <w:p w14:paraId="33DAF07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080"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F081"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F082" w14:textId="77777777" w:rsidR="004D6A64" w:rsidRDefault="00506CD6">
            <w:pPr>
              <w:jc w:val="right"/>
              <w:textAlignment w:val="center"/>
            </w:pPr>
            <w:r>
              <w:rPr>
                <w:rFonts w:ascii="Times New Roman" w:eastAsia="宋体" w:hAnsi="Times New Roman"/>
                <w:color w:val="000000"/>
                <w:sz w:val="20"/>
                <w:szCs w:val="20"/>
              </w:rPr>
              <w:t>36 </w:t>
            </w:r>
          </w:p>
        </w:tc>
        <w:tc>
          <w:tcPr>
            <w:tcW w:w="0" w:type="auto"/>
            <w:shd w:val="clear" w:color="auto" w:fill="FFFFFF"/>
            <w:tcMar>
              <w:top w:w="40" w:type="dxa"/>
              <w:bottom w:w="40" w:type="dxa"/>
              <w:right w:w="20" w:type="dxa"/>
            </w:tcMar>
            <w:vAlign w:val="center"/>
          </w:tcPr>
          <w:p w14:paraId="33DAF08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084"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F085"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F086" w14:textId="77777777" w:rsidR="004D6A64" w:rsidRDefault="00506CD6">
            <w:pPr>
              <w:jc w:val="right"/>
              <w:textAlignment w:val="center"/>
            </w:pPr>
            <w:r>
              <w:rPr>
                <w:rFonts w:ascii="Times New Roman" w:eastAsia="宋体" w:hAnsi="Times New Roman"/>
                <w:color w:val="000000"/>
                <w:sz w:val="20"/>
                <w:szCs w:val="20"/>
              </w:rPr>
              <w:t>86 </w:t>
            </w:r>
          </w:p>
        </w:tc>
        <w:tc>
          <w:tcPr>
            <w:tcW w:w="0" w:type="auto"/>
            <w:shd w:val="clear" w:color="auto" w:fill="FFFFFF"/>
            <w:tcMar>
              <w:top w:w="40" w:type="dxa"/>
              <w:bottom w:w="40" w:type="dxa"/>
              <w:right w:w="20" w:type="dxa"/>
            </w:tcMar>
            <w:vAlign w:val="center"/>
          </w:tcPr>
          <w:p w14:paraId="33DAF087" w14:textId="77777777" w:rsidR="004D6A64" w:rsidRDefault="004D6A64">
            <w:pPr>
              <w:jc w:val="right"/>
              <w:rPr>
                <w:rFonts w:ascii="宋体"/>
              </w:rPr>
            </w:pPr>
          </w:p>
        </w:tc>
        <w:tc>
          <w:tcPr>
            <w:tcW w:w="0" w:type="auto"/>
            <w:shd w:val="clear" w:color="auto" w:fill="auto"/>
          </w:tcPr>
          <w:p w14:paraId="33DAF088" w14:textId="77777777" w:rsidR="004D6A64" w:rsidRDefault="004D6A64">
            <w:pPr>
              <w:rPr>
                <w:rFonts w:ascii="宋体"/>
              </w:rPr>
            </w:pPr>
          </w:p>
        </w:tc>
        <w:tc>
          <w:tcPr>
            <w:tcW w:w="0" w:type="auto"/>
            <w:shd w:val="clear" w:color="auto" w:fill="auto"/>
          </w:tcPr>
          <w:p w14:paraId="33DAF089" w14:textId="77777777" w:rsidR="004D6A64" w:rsidRDefault="004D6A64">
            <w:pPr>
              <w:rPr>
                <w:rFonts w:ascii="宋体"/>
              </w:rPr>
            </w:pPr>
          </w:p>
        </w:tc>
        <w:tc>
          <w:tcPr>
            <w:tcW w:w="0" w:type="auto"/>
            <w:shd w:val="clear" w:color="auto" w:fill="auto"/>
          </w:tcPr>
          <w:p w14:paraId="33DAF08A" w14:textId="77777777" w:rsidR="004D6A64" w:rsidRDefault="004D6A64">
            <w:pPr>
              <w:rPr>
                <w:rFonts w:ascii="宋体"/>
              </w:rPr>
            </w:pPr>
          </w:p>
        </w:tc>
        <w:tc>
          <w:tcPr>
            <w:tcW w:w="0" w:type="auto"/>
            <w:shd w:val="clear" w:color="auto" w:fill="auto"/>
          </w:tcPr>
          <w:p w14:paraId="33DAF08B" w14:textId="77777777" w:rsidR="004D6A64" w:rsidRDefault="004D6A64">
            <w:pPr>
              <w:rPr>
                <w:rFonts w:ascii="宋体"/>
              </w:rPr>
            </w:pPr>
          </w:p>
        </w:tc>
        <w:tc>
          <w:tcPr>
            <w:tcW w:w="0" w:type="auto"/>
            <w:shd w:val="clear" w:color="auto" w:fill="auto"/>
          </w:tcPr>
          <w:p w14:paraId="33DAF08C" w14:textId="77777777" w:rsidR="004D6A64" w:rsidRDefault="004D6A64">
            <w:pPr>
              <w:rPr>
                <w:rFonts w:ascii="宋体"/>
              </w:rPr>
            </w:pPr>
          </w:p>
        </w:tc>
        <w:tc>
          <w:tcPr>
            <w:tcW w:w="0" w:type="auto"/>
            <w:shd w:val="clear" w:color="auto" w:fill="auto"/>
          </w:tcPr>
          <w:p w14:paraId="33DAF08D" w14:textId="77777777" w:rsidR="004D6A64" w:rsidRDefault="004D6A64">
            <w:pPr>
              <w:rPr>
                <w:rFonts w:ascii="宋体"/>
              </w:rPr>
            </w:pPr>
          </w:p>
        </w:tc>
        <w:tc>
          <w:tcPr>
            <w:tcW w:w="0" w:type="auto"/>
            <w:shd w:val="clear" w:color="auto" w:fill="auto"/>
          </w:tcPr>
          <w:p w14:paraId="33DAF08E" w14:textId="77777777" w:rsidR="004D6A64" w:rsidRDefault="004D6A64">
            <w:pPr>
              <w:rPr>
                <w:rFonts w:ascii="宋体"/>
              </w:rPr>
            </w:pPr>
          </w:p>
        </w:tc>
        <w:tc>
          <w:tcPr>
            <w:tcW w:w="0" w:type="auto"/>
            <w:shd w:val="clear" w:color="auto" w:fill="auto"/>
          </w:tcPr>
          <w:p w14:paraId="33DAF08F" w14:textId="77777777" w:rsidR="004D6A64" w:rsidRDefault="004D6A64">
            <w:pPr>
              <w:rPr>
                <w:rFonts w:ascii="宋体"/>
              </w:rPr>
            </w:pPr>
          </w:p>
        </w:tc>
        <w:tc>
          <w:tcPr>
            <w:tcW w:w="0" w:type="auto"/>
            <w:shd w:val="clear" w:color="auto" w:fill="auto"/>
          </w:tcPr>
          <w:p w14:paraId="33DAF090" w14:textId="77777777" w:rsidR="004D6A64" w:rsidRDefault="004D6A64">
            <w:pPr>
              <w:rPr>
                <w:rFonts w:ascii="宋体"/>
              </w:rPr>
            </w:pPr>
          </w:p>
        </w:tc>
        <w:tc>
          <w:tcPr>
            <w:tcW w:w="0" w:type="auto"/>
            <w:shd w:val="clear" w:color="auto" w:fill="auto"/>
          </w:tcPr>
          <w:p w14:paraId="33DAF091" w14:textId="77777777" w:rsidR="004D6A64" w:rsidRDefault="004D6A64">
            <w:pPr>
              <w:rPr>
                <w:rFonts w:ascii="宋体"/>
              </w:rPr>
            </w:pPr>
          </w:p>
        </w:tc>
        <w:tc>
          <w:tcPr>
            <w:tcW w:w="0" w:type="auto"/>
            <w:shd w:val="clear" w:color="auto" w:fill="auto"/>
          </w:tcPr>
          <w:p w14:paraId="33DAF092" w14:textId="77777777" w:rsidR="004D6A64" w:rsidRDefault="004D6A64">
            <w:pPr>
              <w:rPr>
                <w:rFonts w:ascii="宋体"/>
              </w:rPr>
            </w:pPr>
          </w:p>
        </w:tc>
        <w:tc>
          <w:tcPr>
            <w:tcW w:w="0" w:type="auto"/>
            <w:shd w:val="clear" w:color="auto" w:fill="auto"/>
          </w:tcPr>
          <w:p w14:paraId="33DAF093" w14:textId="77777777" w:rsidR="004D6A64" w:rsidRDefault="004D6A64">
            <w:pPr>
              <w:rPr>
                <w:rFonts w:ascii="宋体"/>
              </w:rPr>
            </w:pPr>
          </w:p>
        </w:tc>
        <w:tc>
          <w:tcPr>
            <w:tcW w:w="0" w:type="auto"/>
            <w:shd w:val="clear" w:color="auto" w:fill="auto"/>
          </w:tcPr>
          <w:p w14:paraId="33DAF094" w14:textId="77777777" w:rsidR="004D6A64" w:rsidRDefault="004D6A64">
            <w:pPr>
              <w:rPr>
                <w:rFonts w:ascii="宋体"/>
              </w:rPr>
            </w:pPr>
          </w:p>
        </w:tc>
        <w:tc>
          <w:tcPr>
            <w:tcW w:w="0" w:type="auto"/>
            <w:shd w:val="clear" w:color="auto" w:fill="auto"/>
          </w:tcPr>
          <w:p w14:paraId="33DAF095" w14:textId="77777777" w:rsidR="004D6A64" w:rsidRDefault="004D6A64">
            <w:pPr>
              <w:rPr>
                <w:rFonts w:ascii="宋体"/>
              </w:rPr>
            </w:pPr>
          </w:p>
        </w:tc>
        <w:tc>
          <w:tcPr>
            <w:tcW w:w="0" w:type="auto"/>
            <w:shd w:val="clear" w:color="auto" w:fill="auto"/>
          </w:tcPr>
          <w:p w14:paraId="33DAF096" w14:textId="77777777" w:rsidR="004D6A64" w:rsidRDefault="004D6A64">
            <w:pPr>
              <w:rPr>
                <w:rFonts w:ascii="宋体"/>
              </w:rPr>
            </w:pPr>
          </w:p>
        </w:tc>
        <w:tc>
          <w:tcPr>
            <w:tcW w:w="0" w:type="auto"/>
            <w:shd w:val="clear" w:color="auto" w:fill="auto"/>
          </w:tcPr>
          <w:p w14:paraId="33DAF097" w14:textId="77777777" w:rsidR="004D6A64" w:rsidRDefault="004D6A64">
            <w:pPr>
              <w:rPr>
                <w:rFonts w:ascii="宋体"/>
              </w:rPr>
            </w:pPr>
          </w:p>
        </w:tc>
        <w:tc>
          <w:tcPr>
            <w:tcW w:w="0" w:type="auto"/>
            <w:shd w:val="clear" w:color="auto" w:fill="auto"/>
          </w:tcPr>
          <w:p w14:paraId="33DAF098" w14:textId="77777777" w:rsidR="004D6A64" w:rsidRDefault="004D6A64">
            <w:pPr>
              <w:rPr>
                <w:rFonts w:ascii="宋体"/>
              </w:rPr>
            </w:pPr>
          </w:p>
        </w:tc>
        <w:tc>
          <w:tcPr>
            <w:tcW w:w="0" w:type="auto"/>
            <w:shd w:val="clear" w:color="auto" w:fill="auto"/>
          </w:tcPr>
          <w:p w14:paraId="33DAF099" w14:textId="77777777" w:rsidR="004D6A64" w:rsidRDefault="004D6A64">
            <w:pPr>
              <w:rPr>
                <w:rFonts w:ascii="宋体"/>
              </w:rPr>
            </w:pPr>
          </w:p>
        </w:tc>
      </w:tr>
      <w:tr w:rsidR="004D6A64" w14:paraId="33DAF0B9" w14:textId="77777777">
        <w:tc>
          <w:tcPr>
            <w:tcW w:w="0" w:type="auto"/>
            <w:gridSpan w:val="3"/>
            <w:shd w:val="clear" w:color="auto" w:fill="CCEEFF"/>
            <w:tcMar>
              <w:top w:w="40" w:type="dxa"/>
              <w:left w:w="225" w:type="dxa"/>
              <w:bottom w:w="40" w:type="dxa"/>
              <w:right w:w="20" w:type="dxa"/>
            </w:tcMar>
            <w:vAlign w:val="center"/>
          </w:tcPr>
          <w:p w14:paraId="33DAF09B" w14:textId="77777777" w:rsidR="004D6A64" w:rsidRDefault="00506CD6">
            <w:pPr>
              <w:textAlignment w:val="center"/>
            </w:pPr>
            <w:r>
              <w:rPr>
                <w:rFonts w:ascii="Times New Roman" w:eastAsia="宋体" w:hAnsi="Times New Roman"/>
                <w:color w:val="000000"/>
                <w:sz w:val="20"/>
                <w:szCs w:val="20"/>
              </w:rPr>
              <w:t>Gain on investments, net</w:t>
            </w:r>
          </w:p>
        </w:tc>
        <w:tc>
          <w:tcPr>
            <w:tcW w:w="0" w:type="auto"/>
            <w:gridSpan w:val="2"/>
            <w:shd w:val="clear" w:color="auto" w:fill="CCEEFF"/>
            <w:tcMar>
              <w:top w:w="40" w:type="dxa"/>
              <w:left w:w="20" w:type="dxa"/>
              <w:bottom w:w="40" w:type="dxa"/>
              <w:right w:w="0" w:type="dxa"/>
            </w:tcMar>
            <w:vAlign w:val="center"/>
          </w:tcPr>
          <w:p w14:paraId="33DAF09C" w14:textId="77777777" w:rsidR="004D6A64" w:rsidRDefault="00506CD6">
            <w:pPr>
              <w:jc w:val="right"/>
              <w:textAlignment w:val="center"/>
            </w:pPr>
            <w:r>
              <w:rPr>
                <w:rFonts w:ascii="Times New Roman" w:eastAsia="宋体" w:hAnsi="Times New Roman"/>
                <w:color w:val="000000"/>
                <w:sz w:val="20"/>
                <w:szCs w:val="20"/>
              </w:rPr>
              <w:t>8 </w:t>
            </w:r>
          </w:p>
        </w:tc>
        <w:tc>
          <w:tcPr>
            <w:tcW w:w="0" w:type="auto"/>
            <w:shd w:val="clear" w:color="auto" w:fill="CCEEFF"/>
            <w:tcMar>
              <w:top w:w="40" w:type="dxa"/>
              <w:bottom w:w="40" w:type="dxa"/>
              <w:right w:w="20" w:type="dxa"/>
            </w:tcMar>
            <w:vAlign w:val="center"/>
          </w:tcPr>
          <w:p w14:paraId="33DAF09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09E"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09F" w14:textId="77777777" w:rsidR="004D6A64" w:rsidRDefault="00506CD6">
            <w:pPr>
              <w:jc w:val="right"/>
              <w:textAlignment w:val="center"/>
            </w:pPr>
            <w:r>
              <w:rPr>
                <w:rFonts w:ascii="Times New Roman" w:eastAsia="宋体" w:hAnsi="Times New Roman"/>
                <w:color w:val="000000"/>
                <w:sz w:val="20"/>
                <w:szCs w:val="20"/>
              </w:rPr>
              <w:t>80 </w:t>
            </w:r>
          </w:p>
        </w:tc>
        <w:tc>
          <w:tcPr>
            <w:tcW w:w="0" w:type="auto"/>
            <w:shd w:val="clear" w:color="auto" w:fill="CCEEFF"/>
            <w:tcMar>
              <w:top w:w="40" w:type="dxa"/>
              <w:bottom w:w="40" w:type="dxa"/>
              <w:right w:w="20" w:type="dxa"/>
            </w:tcMar>
            <w:vAlign w:val="center"/>
          </w:tcPr>
          <w:p w14:paraId="33DAF0A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0A1"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0A2" w14:textId="77777777" w:rsidR="004D6A64" w:rsidRDefault="00506CD6">
            <w:pPr>
              <w:jc w:val="right"/>
              <w:textAlignment w:val="center"/>
            </w:pPr>
            <w:r>
              <w:rPr>
                <w:rFonts w:ascii="Times New Roman" w:eastAsia="宋体" w:hAnsi="Times New Roman"/>
                <w:color w:val="000000"/>
                <w:sz w:val="20"/>
                <w:szCs w:val="20"/>
              </w:rPr>
              <w:t>102 </w:t>
            </w:r>
          </w:p>
        </w:tc>
        <w:tc>
          <w:tcPr>
            <w:tcW w:w="0" w:type="auto"/>
            <w:shd w:val="clear" w:color="auto" w:fill="CCEEFF"/>
            <w:tcMar>
              <w:top w:w="40" w:type="dxa"/>
              <w:bottom w:w="40" w:type="dxa"/>
              <w:right w:w="20" w:type="dxa"/>
            </w:tcMar>
            <w:vAlign w:val="center"/>
          </w:tcPr>
          <w:p w14:paraId="33DAF0A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0A4"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0A5" w14:textId="77777777" w:rsidR="004D6A64" w:rsidRDefault="00506CD6">
            <w:pPr>
              <w:jc w:val="right"/>
              <w:textAlignment w:val="center"/>
            </w:pPr>
            <w:r>
              <w:rPr>
                <w:rFonts w:ascii="Times New Roman" w:eastAsia="宋体" w:hAnsi="Times New Roman"/>
                <w:color w:val="000000"/>
                <w:sz w:val="20"/>
                <w:szCs w:val="20"/>
              </w:rPr>
              <w:t>142 </w:t>
            </w:r>
          </w:p>
        </w:tc>
        <w:tc>
          <w:tcPr>
            <w:tcW w:w="0" w:type="auto"/>
            <w:shd w:val="clear" w:color="auto" w:fill="CCEEFF"/>
            <w:tcMar>
              <w:top w:w="40" w:type="dxa"/>
              <w:bottom w:w="40" w:type="dxa"/>
              <w:right w:w="20" w:type="dxa"/>
            </w:tcMar>
            <w:vAlign w:val="center"/>
          </w:tcPr>
          <w:p w14:paraId="33DAF0A6" w14:textId="77777777" w:rsidR="004D6A64" w:rsidRDefault="004D6A64">
            <w:pPr>
              <w:jc w:val="right"/>
              <w:rPr>
                <w:rFonts w:ascii="宋体"/>
              </w:rPr>
            </w:pPr>
          </w:p>
        </w:tc>
        <w:tc>
          <w:tcPr>
            <w:tcW w:w="0" w:type="auto"/>
            <w:shd w:val="clear" w:color="auto" w:fill="auto"/>
          </w:tcPr>
          <w:p w14:paraId="33DAF0A7" w14:textId="77777777" w:rsidR="004D6A64" w:rsidRDefault="004D6A64">
            <w:pPr>
              <w:rPr>
                <w:rFonts w:ascii="宋体"/>
              </w:rPr>
            </w:pPr>
          </w:p>
        </w:tc>
        <w:tc>
          <w:tcPr>
            <w:tcW w:w="0" w:type="auto"/>
            <w:shd w:val="clear" w:color="auto" w:fill="auto"/>
          </w:tcPr>
          <w:p w14:paraId="33DAF0A8" w14:textId="77777777" w:rsidR="004D6A64" w:rsidRDefault="004D6A64">
            <w:pPr>
              <w:rPr>
                <w:rFonts w:ascii="宋体"/>
              </w:rPr>
            </w:pPr>
          </w:p>
        </w:tc>
        <w:tc>
          <w:tcPr>
            <w:tcW w:w="0" w:type="auto"/>
            <w:shd w:val="clear" w:color="auto" w:fill="auto"/>
          </w:tcPr>
          <w:p w14:paraId="33DAF0A9" w14:textId="77777777" w:rsidR="004D6A64" w:rsidRDefault="004D6A64">
            <w:pPr>
              <w:rPr>
                <w:rFonts w:ascii="宋体"/>
              </w:rPr>
            </w:pPr>
          </w:p>
        </w:tc>
        <w:tc>
          <w:tcPr>
            <w:tcW w:w="0" w:type="auto"/>
            <w:shd w:val="clear" w:color="auto" w:fill="auto"/>
          </w:tcPr>
          <w:p w14:paraId="33DAF0AA" w14:textId="77777777" w:rsidR="004D6A64" w:rsidRDefault="004D6A64">
            <w:pPr>
              <w:rPr>
                <w:rFonts w:ascii="宋体"/>
              </w:rPr>
            </w:pPr>
          </w:p>
        </w:tc>
        <w:tc>
          <w:tcPr>
            <w:tcW w:w="0" w:type="auto"/>
            <w:shd w:val="clear" w:color="auto" w:fill="auto"/>
          </w:tcPr>
          <w:p w14:paraId="33DAF0AB" w14:textId="77777777" w:rsidR="004D6A64" w:rsidRDefault="004D6A64">
            <w:pPr>
              <w:rPr>
                <w:rFonts w:ascii="宋体"/>
              </w:rPr>
            </w:pPr>
          </w:p>
        </w:tc>
        <w:tc>
          <w:tcPr>
            <w:tcW w:w="0" w:type="auto"/>
            <w:shd w:val="clear" w:color="auto" w:fill="auto"/>
          </w:tcPr>
          <w:p w14:paraId="33DAF0AC" w14:textId="77777777" w:rsidR="004D6A64" w:rsidRDefault="004D6A64">
            <w:pPr>
              <w:rPr>
                <w:rFonts w:ascii="宋体"/>
              </w:rPr>
            </w:pPr>
          </w:p>
        </w:tc>
        <w:tc>
          <w:tcPr>
            <w:tcW w:w="0" w:type="auto"/>
            <w:shd w:val="clear" w:color="auto" w:fill="auto"/>
          </w:tcPr>
          <w:p w14:paraId="33DAF0AD" w14:textId="77777777" w:rsidR="004D6A64" w:rsidRDefault="004D6A64">
            <w:pPr>
              <w:rPr>
                <w:rFonts w:ascii="宋体"/>
              </w:rPr>
            </w:pPr>
          </w:p>
        </w:tc>
        <w:tc>
          <w:tcPr>
            <w:tcW w:w="0" w:type="auto"/>
            <w:shd w:val="clear" w:color="auto" w:fill="auto"/>
          </w:tcPr>
          <w:p w14:paraId="33DAF0AE" w14:textId="77777777" w:rsidR="004D6A64" w:rsidRDefault="004D6A64">
            <w:pPr>
              <w:rPr>
                <w:rFonts w:ascii="宋体"/>
              </w:rPr>
            </w:pPr>
          </w:p>
        </w:tc>
        <w:tc>
          <w:tcPr>
            <w:tcW w:w="0" w:type="auto"/>
            <w:shd w:val="clear" w:color="auto" w:fill="auto"/>
          </w:tcPr>
          <w:p w14:paraId="33DAF0AF" w14:textId="77777777" w:rsidR="004D6A64" w:rsidRDefault="004D6A64">
            <w:pPr>
              <w:rPr>
                <w:rFonts w:ascii="宋体"/>
              </w:rPr>
            </w:pPr>
          </w:p>
        </w:tc>
        <w:tc>
          <w:tcPr>
            <w:tcW w:w="0" w:type="auto"/>
            <w:shd w:val="clear" w:color="auto" w:fill="auto"/>
          </w:tcPr>
          <w:p w14:paraId="33DAF0B0" w14:textId="77777777" w:rsidR="004D6A64" w:rsidRDefault="004D6A64">
            <w:pPr>
              <w:rPr>
                <w:rFonts w:ascii="宋体"/>
              </w:rPr>
            </w:pPr>
          </w:p>
        </w:tc>
        <w:tc>
          <w:tcPr>
            <w:tcW w:w="0" w:type="auto"/>
            <w:shd w:val="clear" w:color="auto" w:fill="auto"/>
          </w:tcPr>
          <w:p w14:paraId="33DAF0B1" w14:textId="77777777" w:rsidR="004D6A64" w:rsidRDefault="004D6A64">
            <w:pPr>
              <w:rPr>
                <w:rFonts w:ascii="宋体"/>
              </w:rPr>
            </w:pPr>
          </w:p>
        </w:tc>
        <w:tc>
          <w:tcPr>
            <w:tcW w:w="0" w:type="auto"/>
            <w:shd w:val="clear" w:color="auto" w:fill="auto"/>
          </w:tcPr>
          <w:p w14:paraId="33DAF0B2" w14:textId="77777777" w:rsidR="004D6A64" w:rsidRDefault="004D6A64">
            <w:pPr>
              <w:rPr>
                <w:rFonts w:ascii="宋体"/>
              </w:rPr>
            </w:pPr>
          </w:p>
        </w:tc>
        <w:tc>
          <w:tcPr>
            <w:tcW w:w="0" w:type="auto"/>
            <w:shd w:val="clear" w:color="auto" w:fill="auto"/>
          </w:tcPr>
          <w:p w14:paraId="33DAF0B3" w14:textId="77777777" w:rsidR="004D6A64" w:rsidRDefault="004D6A64">
            <w:pPr>
              <w:rPr>
                <w:rFonts w:ascii="宋体"/>
              </w:rPr>
            </w:pPr>
          </w:p>
        </w:tc>
        <w:tc>
          <w:tcPr>
            <w:tcW w:w="0" w:type="auto"/>
            <w:shd w:val="clear" w:color="auto" w:fill="auto"/>
          </w:tcPr>
          <w:p w14:paraId="33DAF0B4" w14:textId="77777777" w:rsidR="004D6A64" w:rsidRDefault="004D6A64">
            <w:pPr>
              <w:rPr>
                <w:rFonts w:ascii="宋体"/>
              </w:rPr>
            </w:pPr>
          </w:p>
        </w:tc>
        <w:tc>
          <w:tcPr>
            <w:tcW w:w="0" w:type="auto"/>
            <w:shd w:val="clear" w:color="auto" w:fill="auto"/>
          </w:tcPr>
          <w:p w14:paraId="33DAF0B5" w14:textId="77777777" w:rsidR="004D6A64" w:rsidRDefault="004D6A64">
            <w:pPr>
              <w:rPr>
                <w:rFonts w:ascii="宋体"/>
              </w:rPr>
            </w:pPr>
          </w:p>
        </w:tc>
        <w:tc>
          <w:tcPr>
            <w:tcW w:w="0" w:type="auto"/>
            <w:shd w:val="clear" w:color="auto" w:fill="auto"/>
          </w:tcPr>
          <w:p w14:paraId="33DAF0B6" w14:textId="77777777" w:rsidR="004D6A64" w:rsidRDefault="004D6A64">
            <w:pPr>
              <w:rPr>
                <w:rFonts w:ascii="宋体"/>
              </w:rPr>
            </w:pPr>
          </w:p>
        </w:tc>
        <w:tc>
          <w:tcPr>
            <w:tcW w:w="0" w:type="auto"/>
            <w:shd w:val="clear" w:color="auto" w:fill="auto"/>
          </w:tcPr>
          <w:p w14:paraId="33DAF0B7" w14:textId="77777777" w:rsidR="004D6A64" w:rsidRDefault="004D6A64">
            <w:pPr>
              <w:rPr>
                <w:rFonts w:ascii="宋体"/>
              </w:rPr>
            </w:pPr>
          </w:p>
        </w:tc>
        <w:tc>
          <w:tcPr>
            <w:tcW w:w="0" w:type="auto"/>
            <w:shd w:val="clear" w:color="auto" w:fill="auto"/>
          </w:tcPr>
          <w:p w14:paraId="33DAF0B8" w14:textId="77777777" w:rsidR="004D6A64" w:rsidRDefault="004D6A64">
            <w:pPr>
              <w:rPr>
                <w:rFonts w:ascii="宋体"/>
              </w:rPr>
            </w:pPr>
          </w:p>
        </w:tc>
      </w:tr>
      <w:tr w:rsidR="004D6A64" w14:paraId="33DAF0D8" w14:textId="77777777">
        <w:tc>
          <w:tcPr>
            <w:tcW w:w="0" w:type="auto"/>
            <w:gridSpan w:val="3"/>
            <w:shd w:val="clear" w:color="auto" w:fill="FFFFFF"/>
            <w:tcMar>
              <w:top w:w="40" w:type="dxa"/>
              <w:left w:w="225" w:type="dxa"/>
              <w:bottom w:w="40" w:type="dxa"/>
              <w:right w:w="20" w:type="dxa"/>
            </w:tcMar>
            <w:vAlign w:val="center"/>
          </w:tcPr>
          <w:p w14:paraId="33DAF0BA" w14:textId="77777777" w:rsidR="004D6A64" w:rsidRDefault="00506CD6">
            <w:pPr>
              <w:textAlignment w:val="center"/>
            </w:pPr>
            <w:r>
              <w:rPr>
                <w:rFonts w:ascii="Times New Roman" w:eastAsia="宋体" w:hAnsi="Times New Roman"/>
                <w:color w:val="000000"/>
                <w:sz w:val="20"/>
                <w:szCs w:val="20"/>
              </w:rPr>
              <w:t>Interest expense</w:t>
            </w:r>
          </w:p>
        </w:tc>
        <w:tc>
          <w:tcPr>
            <w:tcW w:w="0" w:type="auto"/>
            <w:gridSpan w:val="2"/>
            <w:shd w:val="clear" w:color="auto" w:fill="FFFFFF"/>
            <w:tcMar>
              <w:top w:w="40" w:type="dxa"/>
              <w:left w:w="20" w:type="dxa"/>
              <w:bottom w:w="40" w:type="dxa"/>
              <w:right w:w="0" w:type="dxa"/>
            </w:tcMar>
            <w:vAlign w:val="center"/>
          </w:tcPr>
          <w:p w14:paraId="33DAF0BB" w14:textId="77777777" w:rsidR="004D6A64" w:rsidRDefault="00506CD6">
            <w:pPr>
              <w:jc w:val="right"/>
              <w:textAlignment w:val="center"/>
            </w:pPr>
            <w:r>
              <w:rPr>
                <w:rFonts w:ascii="Times New Roman" w:eastAsia="宋体" w:hAnsi="Times New Roman"/>
                <w:color w:val="000000"/>
                <w:sz w:val="20"/>
                <w:szCs w:val="20"/>
              </w:rPr>
              <w:t>(617)</w:t>
            </w:r>
          </w:p>
        </w:tc>
        <w:tc>
          <w:tcPr>
            <w:tcW w:w="0" w:type="auto"/>
            <w:shd w:val="clear" w:color="auto" w:fill="FFFFFF"/>
            <w:tcMar>
              <w:top w:w="40" w:type="dxa"/>
              <w:bottom w:w="40" w:type="dxa"/>
              <w:right w:w="20" w:type="dxa"/>
            </w:tcMar>
            <w:vAlign w:val="center"/>
          </w:tcPr>
          <w:p w14:paraId="33DAF0B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0B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F0BE" w14:textId="77777777" w:rsidR="004D6A64" w:rsidRDefault="00506CD6">
            <w:pPr>
              <w:jc w:val="right"/>
              <w:textAlignment w:val="center"/>
            </w:pPr>
            <w:r>
              <w:rPr>
                <w:rFonts w:ascii="Times New Roman" w:eastAsia="宋体" w:hAnsi="Times New Roman"/>
                <w:color w:val="000000"/>
                <w:sz w:val="20"/>
                <w:szCs w:val="20"/>
              </w:rPr>
              <w:t>(692)</w:t>
            </w:r>
          </w:p>
        </w:tc>
        <w:tc>
          <w:tcPr>
            <w:tcW w:w="0" w:type="auto"/>
            <w:shd w:val="clear" w:color="auto" w:fill="FFFFFF"/>
            <w:tcMar>
              <w:top w:w="40" w:type="dxa"/>
              <w:bottom w:w="40" w:type="dxa"/>
              <w:right w:w="20" w:type="dxa"/>
            </w:tcMar>
            <w:vAlign w:val="center"/>
          </w:tcPr>
          <w:p w14:paraId="33DAF0B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0C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F0C1" w14:textId="77777777" w:rsidR="004D6A64" w:rsidRDefault="00506CD6">
            <w:pPr>
              <w:jc w:val="right"/>
              <w:textAlignment w:val="center"/>
            </w:pPr>
            <w:r>
              <w:rPr>
                <w:rFonts w:ascii="Times New Roman" w:eastAsia="宋体" w:hAnsi="Times New Roman"/>
                <w:color w:val="000000"/>
                <w:sz w:val="20"/>
                <w:szCs w:val="20"/>
              </w:rPr>
              <w:t>(1,289)</w:t>
            </w:r>
          </w:p>
        </w:tc>
        <w:tc>
          <w:tcPr>
            <w:tcW w:w="0" w:type="auto"/>
            <w:shd w:val="clear" w:color="auto" w:fill="FFFFFF"/>
            <w:tcMar>
              <w:top w:w="40" w:type="dxa"/>
              <w:bottom w:w="40" w:type="dxa"/>
              <w:right w:w="20" w:type="dxa"/>
            </w:tcMar>
            <w:vAlign w:val="center"/>
          </w:tcPr>
          <w:p w14:paraId="33DAF0C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0C3"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F0C4" w14:textId="77777777" w:rsidR="004D6A64" w:rsidRDefault="00506CD6">
            <w:pPr>
              <w:jc w:val="right"/>
              <w:textAlignment w:val="center"/>
            </w:pPr>
            <w:r>
              <w:rPr>
                <w:rFonts w:ascii="Times New Roman" w:eastAsia="宋体" w:hAnsi="Times New Roman"/>
                <w:color w:val="000000"/>
                <w:sz w:val="20"/>
                <w:szCs w:val="20"/>
              </w:rPr>
              <w:t>(1,391)</w:t>
            </w:r>
          </w:p>
        </w:tc>
        <w:tc>
          <w:tcPr>
            <w:tcW w:w="0" w:type="auto"/>
            <w:shd w:val="clear" w:color="auto" w:fill="FFFFFF"/>
            <w:tcMar>
              <w:top w:w="40" w:type="dxa"/>
              <w:bottom w:w="40" w:type="dxa"/>
              <w:right w:w="20" w:type="dxa"/>
            </w:tcMar>
            <w:vAlign w:val="center"/>
          </w:tcPr>
          <w:p w14:paraId="33DAF0C5" w14:textId="77777777" w:rsidR="004D6A64" w:rsidRDefault="004D6A64">
            <w:pPr>
              <w:jc w:val="right"/>
              <w:rPr>
                <w:rFonts w:ascii="宋体"/>
              </w:rPr>
            </w:pPr>
          </w:p>
        </w:tc>
        <w:tc>
          <w:tcPr>
            <w:tcW w:w="0" w:type="auto"/>
            <w:shd w:val="clear" w:color="auto" w:fill="auto"/>
          </w:tcPr>
          <w:p w14:paraId="33DAF0C6" w14:textId="77777777" w:rsidR="004D6A64" w:rsidRDefault="004D6A64">
            <w:pPr>
              <w:rPr>
                <w:rFonts w:ascii="宋体"/>
              </w:rPr>
            </w:pPr>
          </w:p>
        </w:tc>
        <w:tc>
          <w:tcPr>
            <w:tcW w:w="0" w:type="auto"/>
            <w:shd w:val="clear" w:color="auto" w:fill="auto"/>
          </w:tcPr>
          <w:p w14:paraId="33DAF0C7" w14:textId="77777777" w:rsidR="004D6A64" w:rsidRDefault="004D6A64">
            <w:pPr>
              <w:rPr>
                <w:rFonts w:ascii="宋体"/>
              </w:rPr>
            </w:pPr>
          </w:p>
        </w:tc>
        <w:tc>
          <w:tcPr>
            <w:tcW w:w="0" w:type="auto"/>
            <w:shd w:val="clear" w:color="auto" w:fill="auto"/>
          </w:tcPr>
          <w:p w14:paraId="33DAF0C8" w14:textId="77777777" w:rsidR="004D6A64" w:rsidRDefault="004D6A64">
            <w:pPr>
              <w:rPr>
                <w:rFonts w:ascii="宋体"/>
              </w:rPr>
            </w:pPr>
          </w:p>
        </w:tc>
        <w:tc>
          <w:tcPr>
            <w:tcW w:w="0" w:type="auto"/>
            <w:shd w:val="clear" w:color="auto" w:fill="auto"/>
          </w:tcPr>
          <w:p w14:paraId="33DAF0C9" w14:textId="77777777" w:rsidR="004D6A64" w:rsidRDefault="004D6A64">
            <w:pPr>
              <w:rPr>
                <w:rFonts w:ascii="宋体"/>
              </w:rPr>
            </w:pPr>
          </w:p>
        </w:tc>
        <w:tc>
          <w:tcPr>
            <w:tcW w:w="0" w:type="auto"/>
            <w:shd w:val="clear" w:color="auto" w:fill="auto"/>
          </w:tcPr>
          <w:p w14:paraId="33DAF0CA" w14:textId="77777777" w:rsidR="004D6A64" w:rsidRDefault="004D6A64">
            <w:pPr>
              <w:rPr>
                <w:rFonts w:ascii="宋体"/>
              </w:rPr>
            </w:pPr>
          </w:p>
        </w:tc>
        <w:tc>
          <w:tcPr>
            <w:tcW w:w="0" w:type="auto"/>
            <w:shd w:val="clear" w:color="auto" w:fill="auto"/>
          </w:tcPr>
          <w:p w14:paraId="33DAF0CB" w14:textId="77777777" w:rsidR="004D6A64" w:rsidRDefault="004D6A64">
            <w:pPr>
              <w:rPr>
                <w:rFonts w:ascii="宋体"/>
              </w:rPr>
            </w:pPr>
          </w:p>
        </w:tc>
        <w:tc>
          <w:tcPr>
            <w:tcW w:w="0" w:type="auto"/>
            <w:shd w:val="clear" w:color="auto" w:fill="auto"/>
          </w:tcPr>
          <w:p w14:paraId="33DAF0CC" w14:textId="77777777" w:rsidR="004D6A64" w:rsidRDefault="004D6A64">
            <w:pPr>
              <w:rPr>
                <w:rFonts w:ascii="宋体"/>
              </w:rPr>
            </w:pPr>
          </w:p>
        </w:tc>
        <w:tc>
          <w:tcPr>
            <w:tcW w:w="0" w:type="auto"/>
            <w:shd w:val="clear" w:color="auto" w:fill="auto"/>
          </w:tcPr>
          <w:p w14:paraId="33DAF0CD" w14:textId="77777777" w:rsidR="004D6A64" w:rsidRDefault="004D6A64">
            <w:pPr>
              <w:rPr>
                <w:rFonts w:ascii="宋体"/>
              </w:rPr>
            </w:pPr>
          </w:p>
        </w:tc>
        <w:tc>
          <w:tcPr>
            <w:tcW w:w="0" w:type="auto"/>
            <w:shd w:val="clear" w:color="auto" w:fill="auto"/>
          </w:tcPr>
          <w:p w14:paraId="33DAF0CE" w14:textId="77777777" w:rsidR="004D6A64" w:rsidRDefault="004D6A64">
            <w:pPr>
              <w:rPr>
                <w:rFonts w:ascii="宋体"/>
              </w:rPr>
            </w:pPr>
          </w:p>
        </w:tc>
        <w:tc>
          <w:tcPr>
            <w:tcW w:w="0" w:type="auto"/>
            <w:shd w:val="clear" w:color="auto" w:fill="auto"/>
          </w:tcPr>
          <w:p w14:paraId="33DAF0CF" w14:textId="77777777" w:rsidR="004D6A64" w:rsidRDefault="004D6A64">
            <w:pPr>
              <w:rPr>
                <w:rFonts w:ascii="宋体"/>
              </w:rPr>
            </w:pPr>
          </w:p>
        </w:tc>
        <w:tc>
          <w:tcPr>
            <w:tcW w:w="0" w:type="auto"/>
            <w:shd w:val="clear" w:color="auto" w:fill="auto"/>
          </w:tcPr>
          <w:p w14:paraId="33DAF0D0" w14:textId="77777777" w:rsidR="004D6A64" w:rsidRDefault="004D6A64">
            <w:pPr>
              <w:rPr>
                <w:rFonts w:ascii="宋体"/>
              </w:rPr>
            </w:pPr>
          </w:p>
        </w:tc>
        <w:tc>
          <w:tcPr>
            <w:tcW w:w="0" w:type="auto"/>
            <w:shd w:val="clear" w:color="auto" w:fill="auto"/>
          </w:tcPr>
          <w:p w14:paraId="33DAF0D1" w14:textId="77777777" w:rsidR="004D6A64" w:rsidRDefault="004D6A64">
            <w:pPr>
              <w:rPr>
                <w:rFonts w:ascii="宋体"/>
              </w:rPr>
            </w:pPr>
          </w:p>
        </w:tc>
        <w:tc>
          <w:tcPr>
            <w:tcW w:w="0" w:type="auto"/>
            <w:shd w:val="clear" w:color="auto" w:fill="auto"/>
          </w:tcPr>
          <w:p w14:paraId="33DAF0D2" w14:textId="77777777" w:rsidR="004D6A64" w:rsidRDefault="004D6A64">
            <w:pPr>
              <w:rPr>
                <w:rFonts w:ascii="宋体"/>
              </w:rPr>
            </w:pPr>
          </w:p>
        </w:tc>
        <w:tc>
          <w:tcPr>
            <w:tcW w:w="0" w:type="auto"/>
            <w:shd w:val="clear" w:color="auto" w:fill="auto"/>
          </w:tcPr>
          <w:p w14:paraId="33DAF0D3" w14:textId="77777777" w:rsidR="004D6A64" w:rsidRDefault="004D6A64">
            <w:pPr>
              <w:rPr>
                <w:rFonts w:ascii="宋体"/>
              </w:rPr>
            </w:pPr>
          </w:p>
        </w:tc>
        <w:tc>
          <w:tcPr>
            <w:tcW w:w="0" w:type="auto"/>
            <w:shd w:val="clear" w:color="auto" w:fill="auto"/>
          </w:tcPr>
          <w:p w14:paraId="33DAF0D4" w14:textId="77777777" w:rsidR="004D6A64" w:rsidRDefault="004D6A64">
            <w:pPr>
              <w:rPr>
                <w:rFonts w:ascii="宋体"/>
              </w:rPr>
            </w:pPr>
          </w:p>
        </w:tc>
        <w:tc>
          <w:tcPr>
            <w:tcW w:w="0" w:type="auto"/>
            <w:shd w:val="clear" w:color="auto" w:fill="auto"/>
          </w:tcPr>
          <w:p w14:paraId="33DAF0D5" w14:textId="77777777" w:rsidR="004D6A64" w:rsidRDefault="004D6A64">
            <w:pPr>
              <w:rPr>
                <w:rFonts w:ascii="宋体"/>
              </w:rPr>
            </w:pPr>
          </w:p>
        </w:tc>
        <w:tc>
          <w:tcPr>
            <w:tcW w:w="0" w:type="auto"/>
            <w:shd w:val="clear" w:color="auto" w:fill="auto"/>
          </w:tcPr>
          <w:p w14:paraId="33DAF0D6" w14:textId="77777777" w:rsidR="004D6A64" w:rsidRDefault="004D6A64">
            <w:pPr>
              <w:rPr>
                <w:rFonts w:ascii="宋体"/>
              </w:rPr>
            </w:pPr>
          </w:p>
        </w:tc>
        <w:tc>
          <w:tcPr>
            <w:tcW w:w="0" w:type="auto"/>
            <w:shd w:val="clear" w:color="auto" w:fill="auto"/>
          </w:tcPr>
          <w:p w14:paraId="33DAF0D7" w14:textId="77777777" w:rsidR="004D6A64" w:rsidRDefault="004D6A64">
            <w:pPr>
              <w:rPr>
                <w:rFonts w:ascii="宋体"/>
              </w:rPr>
            </w:pPr>
          </w:p>
        </w:tc>
      </w:tr>
      <w:tr w:rsidR="004D6A64" w14:paraId="33DAF0F7" w14:textId="77777777">
        <w:tc>
          <w:tcPr>
            <w:tcW w:w="0" w:type="auto"/>
            <w:gridSpan w:val="3"/>
            <w:shd w:val="clear" w:color="auto" w:fill="CCEEFF"/>
            <w:tcMar>
              <w:top w:w="40" w:type="dxa"/>
              <w:left w:w="225" w:type="dxa"/>
              <w:bottom w:w="40" w:type="dxa"/>
              <w:right w:w="20" w:type="dxa"/>
            </w:tcMar>
            <w:vAlign w:val="center"/>
          </w:tcPr>
          <w:p w14:paraId="33DAF0D9" w14:textId="77777777" w:rsidR="004D6A64" w:rsidRDefault="00506CD6">
            <w:pPr>
              <w:textAlignment w:val="center"/>
            </w:pPr>
            <w:r>
              <w:rPr>
                <w:rFonts w:ascii="Times New Roman" w:eastAsia="宋体" w:hAnsi="Times New Roman"/>
                <w:color w:val="000000"/>
                <w:sz w:val="20"/>
                <w:szCs w:val="20"/>
              </w:rPr>
              <w:t>Foreign exchange</w:t>
            </w:r>
          </w:p>
        </w:tc>
        <w:tc>
          <w:tcPr>
            <w:tcW w:w="0" w:type="auto"/>
            <w:gridSpan w:val="2"/>
            <w:shd w:val="clear" w:color="auto" w:fill="CCEEFF"/>
            <w:tcMar>
              <w:top w:w="40" w:type="dxa"/>
              <w:left w:w="20" w:type="dxa"/>
              <w:bottom w:w="40" w:type="dxa"/>
              <w:right w:w="0" w:type="dxa"/>
            </w:tcMar>
            <w:vAlign w:val="center"/>
          </w:tcPr>
          <w:p w14:paraId="33DAF0DA"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F0D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0DC"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0DD" w14:textId="77777777" w:rsidR="004D6A64" w:rsidRDefault="00506CD6">
            <w:pPr>
              <w:jc w:val="right"/>
              <w:textAlignment w:val="center"/>
            </w:pPr>
            <w:r>
              <w:rPr>
                <w:rFonts w:ascii="Times New Roman" w:eastAsia="宋体" w:hAnsi="Times New Roman"/>
                <w:color w:val="000000"/>
                <w:sz w:val="20"/>
                <w:szCs w:val="20"/>
              </w:rPr>
              <w:t>(35)</w:t>
            </w:r>
          </w:p>
        </w:tc>
        <w:tc>
          <w:tcPr>
            <w:tcW w:w="0" w:type="auto"/>
            <w:shd w:val="clear" w:color="auto" w:fill="CCEEFF"/>
            <w:tcMar>
              <w:top w:w="40" w:type="dxa"/>
              <w:bottom w:w="40" w:type="dxa"/>
              <w:right w:w="20" w:type="dxa"/>
            </w:tcMar>
            <w:vAlign w:val="center"/>
          </w:tcPr>
          <w:p w14:paraId="33DAF0D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0D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0E0" w14:textId="77777777" w:rsidR="004D6A64" w:rsidRDefault="00506CD6">
            <w:pPr>
              <w:jc w:val="right"/>
              <w:textAlignment w:val="center"/>
            </w:pPr>
            <w:r>
              <w:rPr>
                <w:rFonts w:ascii="Times New Roman" w:eastAsia="宋体" w:hAnsi="Times New Roman"/>
                <w:color w:val="000000"/>
                <w:sz w:val="20"/>
                <w:szCs w:val="20"/>
              </w:rPr>
              <w:t>(99)</w:t>
            </w:r>
          </w:p>
        </w:tc>
        <w:tc>
          <w:tcPr>
            <w:tcW w:w="0" w:type="auto"/>
            <w:shd w:val="clear" w:color="auto" w:fill="CCEEFF"/>
            <w:tcMar>
              <w:top w:w="40" w:type="dxa"/>
              <w:bottom w:w="40" w:type="dxa"/>
              <w:right w:w="20" w:type="dxa"/>
            </w:tcMar>
            <w:vAlign w:val="center"/>
          </w:tcPr>
          <w:p w14:paraId="33DAF0E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0E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0E3" w14:textId="77777777" w:rsidR="004D6A64" w:rsidRDefault="00506CD6">
            <w:pPr>
              <w:jc w:val="right"/>
              <w:textAlignment w:val="center"/>
            </w:pPr>
            <w:r>
              <w:rPr>
                <w:rFonts w:ascii="Times New Roman" w:eastAsia="宋体" w:hAnsi="Times New Roman"/>
                <w:color w:val="000000"/>
                <w:sz w:val="20"/>
                <w:szCs w:val="20"/>
              </w:rPr>
              <w:t>(80)</w:t>
            </w:r>
          </w:p>
        </w:tc>
        <w:tc>
          <w:tcPr>
            <w:tcW w:w="0" w:type="auto"/>
            <w:shd w:val="clear" w:color="auto" w:fill="CCEEFF"/>
            <w:tcMar>
              <w:top w:w="40" w:type="dxa"/>
              <w:bottom w:w="40" w:type="dxa"/>
              <w:right w:w="20" w:type="dxa"/>
            </w:tcMar>
            <w:vAlign w:val="center"/>
          </w:tcPr>
          <w:p w14:paraId="33DAF0E4" w14:textId="77777777" w:rsidR="004D6A64" w:rsidRDefault="004D6A64">
            <w:pPr>
              <w:jc w:val="right"/>
              <w:rPr>
                <w:rFonts w:ascii="宋体"/>
              </w:rPr>
            </w:pPr>
          </w:p>
        </w:tc>
        <w:tc>
          <w:tcPr>
            <w:tcW w:w="0" w:type="auto"/>
            <w:shd w:val="clear" w:color="auto" w:fill="auto"/>
          </w:tcPr>
          <w:p w14:paraId="33DAF0E5" w14:textId="77777777" w:rsidR="004D6A64" w:rsidRDefault="004D6A64">
            <w:pPr>
              <w:rPr>
                <w:rFonts w:ascii="宋体"/>
              </w:rPr>
            </w:pPr>
          </w:p>
        </w:tc>
        <w:tc>
          <w:tcPr>
            <w:tcW w:w="0" w:type="auto"/>
            <w:shd w:val="clear" w:color="auto" w:fill="auto"/>
          </w:tcPr>
          <w:p w14:paraId="33DAF0E6" w14:textId="77777777" w:rsidR="004D6A64" w:rsidRDefault="004D6A64">
            <w:pPr>
              <w:rPr>
                <w:rFonts w:ascii="宋体"/>
              </w:rPr>
            </w:pPr>
          </w:p>
        </w:tc>
        <w:tc>
          <w:tcPr>
            <w:tcW w:w="0" w:type="auto"/>
            <w:shd w:val="clear" w:color="auto" w:fill="auto"/>
          </w:tcPr>
          <w:p w14:paraId="33DAF0E7" w14:textId="77777777" w:rsidR="004D6A64" w:rsidRDefault="004D6A64">
            <w:pPr>
              <w:rPr>
                <w:rFonts w:ascii="宋体"/>
              </w:rPr>
            </w:pPr>
          </w:p>
        </w:tc>
        <w:tc>
          <w:tcPr>
            <w:tcW w:w="0" w:type="auto"/>
            <w:shd w:val="clear" w:color="auto" w:fill="auto"/>
          </w:tcPr>
          <w:p w14:paraId="33DAF0E8" w14:textId="77777777" w:rsidR="004D6A64" w:rsidRDefault="004D6A64">
            <w:pPr>
              <w:rPr>
                <w:rFonts w:ascii="宋体"/>
              </w:rPr>
            </w:pPr>
          </w:p>
        </w:tc>
        <w:tc>
          <w:tcPr>
            <w:tcW w:w="0" w:type="auto"/>
            <w:shd w:val="clear" w:color="auto" w:fill="auto"/>
          </w:tcPr>
          <w:p w14:paraId="33DAF0E9" w14:textId="77777777" w:rsidR="004D6A64" w:rsidRDefault="004D6A64">
            <w:pPr>
              <w:rPr>
                <w:rFonts w:ascii="宋体"/>
              </w:rPr>
            </w:pPr>
          </w:p>
        </w:tc>
        <w:tc>
          <w:tcPr>
            <w:tcW w:w="0" w:type="auto"/>
            <w:shd w:val="clear" w:color="auto" w:fill="auto"/>
          </w:tcPr>
          <w:p w14:paraId="33DAF0EA" w14:textId="77777777" w:rsidR="004D6A64" w:rsidRDefault="004D6A64">
            <w:pPr>
              <w:rPr>
                <w:rFonts w:ascii="宋体"/>
              </w:rPr>
            </w:pPr>
          </w:p>
        </w:tc>
        <w:tc>
          <w:tcPr>
            <w:tcW w:w="0" w:type="auto"/>
            <w:shd w:val="clear" w:color="auto" w:fill="auto"/>
          </w:tcPr>
          <w:p w14:paraId="33DAF0EB" w14:textId="77777777" w:rsidR="004D6A64" w:rsidRDefault="004D6A64">
            <w:pPr>
              <w:rPr>
                <w:rFonts w:ascii="宋体"/>
              </w:rPr>
            </w:pPr>
          </w:p>
        </w:tc>
        <w:tc>
          <w:tcPr>
            <w:tcW w:w="0" w:type="auto"/>
            <w:shd w:val="clear" w:color="auto" w:fill="auto"/>
          </w:tcPr>
          <w:p w14:paraId="33DAF0EC" w14:textId="77777777" w:rsidR="004D6A64" w:rsidRDefault="004D6A64">
            <w:pPr>
              <w:rPr>
                <w:rFonts w:ascii="宋体"/>
              </w:rPr>
            </w:pPr>
          </w:p>
        </w:tc>
        <w:tc>
          <w:tcPr>
            <w:tcW w:w="0" w:type="auto"/>
            <w:shd w:val="clear" w:color="auto" w:fill="auto"/>
          </w:tcPr>
          <w:p w14:paraId="33DAF0ED" w14:textId="77777777" w:rsidR="004D6A64" w:rsidRDefault="004D6A64">
            <w:pPr>
              <w:rPr>
                <w:rFonts w:ascii="宋体"/>
              </w:rPr>
            </w:pPr>
          </w:p>
        </w:tc>
        <w:tc>
          <w:tcPr>
            <w:tcW w:w="0" w:type="auto"/>
            <w:shd w:val="clear" w:color="auto" w:fill="auto"/>
          </w:tcPr>
          <w:p w14:paraId="33DAF0EE" w14:textId="77777777" w:rsidR="004D6A64" w:rsidRDefault="004D6A64">
            <w:pPr>
              <w:rPr>
                <w:rFonts w:ascii="宋体"/>
              </w:rPr>
            </w:pPr>
          </w:p>
        </w:tc>
        <w:tc>
          <w:tcPr>
            <w:tcW w:w="0" w:type="auto"/>
            <w:shd w:val="clear" w:color="auto" w:fill="auto"/>
          </w:tcPr>
          <w:p w14:paraId="33DAF0EF" w14:textId="77777777" w:rsidR="004D6A64" w:rsidRDefault="004D6A64">
            <w:pPr>
              <w:rPr>
                <w:rFonts w:ascii="宋体"/>
              </w:rPr>
            </w:pPr>
          </w:p>
        </w:tc>
        <w:tc>
          <w:tcPr>
            <w:tcW w:w="0" w:type="auto"/>
            <w:shd w:val="clear" w:color="auto" w:fill="auto"/>
          </w:tcPr>
          <w:p w14:paraId="33DAF0F0" w14:textId="77777777" w:rsidR="004D6A64" w:rsidRDefault="004D6A64">
            <w:pPr>
              <w:rPr>
                <w:rFonts w:ascii="宋体"/>
              </w:rPr>
            </w:pPr>
          </w:p>
        </w:tc>
        <w:tc>
          <w:tcPr>
            <w:tcW w:w="0" w:type="auto"/>
            <w:shd w:val="clear" w:color="auto" w:fill="auto"/>
          </w:tcPr>
          <w:p w14:paraId="33DAF0F1" w14:textId="77777777" w:rsidR="004D6A64" w:rsidRDefault="004D6A64">
            <w:pPr>
              <w:rPr>
                <w:rFonts w:ascii="宋体"/>
              </w:rPr>
            </w:pPr>
          </w:p>
        </w:tc>
        <w:tc>
          <w:tcPr>
            <w:tcW w:w="0" w:type="auto"/>
            <w:shd w:val="clear" w:color="auto" w:fill="auto"/>
          </w:tcPr>
          <w:p w14:paraId="33DAF0F2" w14:textId="77777777" w:rsidR="004D6A64" w:rsidRDefault="004D6A64">
            <w:pPr>
              <w:rPr>
                <w:rFonts w:ascii="宋体"/>
              </w:rPr>
            </w:pPr>
          </w:p>
        </w:tc>
        <w:tc>
          <w:tcPr>
            <w:tcW w:w="0" w:type="auto"/>
            <w:shd w:val="clear" w:color="auto" w:fill="auto"/>
          </w:tcPr>
          <w:p w14:paraId="33DAF0F3" w14:textId="77777777" w:rsidR="004D6A64" w:rsidRDefault="004D6A64">
            <w:pPr>
              <w:rPr>
                <w:rFonts w:ascii="宋体"/>
              </w:rPr>
            </w:pPr>
          </w:p>
        </w:tc>
        <w:tc>
          <w:tcPr>
            <w:tcW w:w="0" w:type="auto"/>
            <w:shd w:val="clear" w:color="auto" w:fill="auto"/>
          </w:tcPr>
          <w:p w14:paraId="33DAF0F4" w14:textId="77777777" w:rsidR="004D6A64" w:rsidRDefault="004D6A64">
            <w:pPr>
              <w:rPr>
                <w:rFonts w:ascii="宋体"/>
              </w:rPr>
            </w:pPr>
          </w:p>
        </w:tc>
        <w:tc>
          <w:tcPr>
            <w:tcW w:w="0" w:type="auto"/>
            <w:shd w:val="clear" w:color="auto" w:fill="auto"/>
          </w:tcPr>
          <w:p w14:paraId="33DAF0F5" w14:textId="77777777" w:rsidR="004D6A64" w:rsidRDefault="004D6A64">
            <w:pPr>
              <w:rPr>
                <w:rFonts w:ascii="宋体"/>
              </w:rPr>
            </w:pPr>
          </w:p>
        </w:tc>
        <w:tc>
          <w:tcPr>
            <w:tcW w:w="0" w:type="auto"/>
            <w:shd w:val="clear" w:color="auto" w:fill="auto"/>
          </w:tcPr>
          <w:p w14:paraId="33DAF0F6" w14:textId="77777777" w:rsidR="004D6A64" w:rsidRDefault="004D6A64">
            <w:pPr>
              <w:rPr>
                <w:rFonts w:ascii="宋体"/>
              </w:rPr>
            </w:pPr>
          </w:p>
        </w:tc>
      </w:tr>
      <w:tr w:rsidR="004D6A64" w14:paraId="33DAF116" w14:textId="77777777">
        <w:tc>
          <w:tcPr>
            <w:tcW w:w="0" w:type="auto"/>
            <w:gridSpan w:val="3"/>
            <w:shd w:val="clear" w:color="auto" w:fill="FFFFFF"/>
            <w:tcMar>
              <w:top w:w="40" w:type="dxa"/>
              <w:left w:w="225" w:type="dxa"/>
              <w:bottom w:w="40" w:type="dxa"/>
              <w:right w:w="20" w:type="dxa"/>
            </w:tcMar>
            <w:vAlign w:val="center"/>
          </w:tcPr>
          <w:p w14:paraId="33DAF0F8" w14:textId="77777777" w:rsidR="004D6A64" w:rsidRDefault="00506CD6">
            <w:pPr>
              <w:textAlignment w:val="center"/>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center"/>
          </w:tcPr>
          <w:p w14:paraId="33DAF0F9" w14:textId="77777777" w:rsidR="004D6A64" w:rsidRDefault="00506CD6">
            <w:pPr>
              <w:jc w:val="right"/>
              <w:textAlignment w:val="center"/>
            </w:pPr>
            <w:r>
              <w:rPr>
                <w:rFonts w:ascii="Times New Roman" w:eastAsia="宋体" w:hAnsi="Times New Roman"/>
                <w:color w:val="000000"/>
                <w:sz w:val="20"/>
                <w:szCs w:val="20"/>
              </w:rPr>
              <w:t>(39)</w:t>
            </w:r>
          </w:p>
        </w:tc>
        <w:tc>
          <w:tcPr>
            <w:tcW w:w="0" w:type="auto"/>
            <w:shd w:val="clear" w:color="auto" w:fill="FFFFFF"/>
            <w:tcMar>
              <w:top w:w="40" w:type="dxa"/>
              <w:bottom w:w="40" w:type="dxa"/>
              <w:right w:w="20" w:type="dxa"/>
            </w:tcMar>
            <w:vAlign w:val="center"/>
          </w:tcPr>
          <w:p w14:paraId="33DAF0F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0FB"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F0FC" w14:textId="77777777" w:rsidR="004D6A64" w:rsidRDefault="00506CD6">
            <w:pPr>
              <w:jc w:val="right"/>
              <w:textAlignment w:val="center"/>
            </w:pPr>
            <w:r>
              <w:rPr>
                <w:rFonts w:ascii="Times New Roman" w:eastAsia="宋体" w:hAnsi="Times New Roman"/>
                <w:color w:val="000000"/>
                <w:sz w:val="20"/>
                <w:szCs w:val="20"/>
              </w:rPr>
              <w:t>(25)</w:t>
            </w:r>
          </w:p>
        </w:tc>
        <w:tc>
          <w:tcPr>
            <w:tcW w:w="0" w:type="auto"/>
            <w:shd w:val="clear" w:color="auto" w:fill="FFFFFF"/>
            <w:tcMar>
              <w:top w:w="40" w:type="dxa"/>
              <w:bottom w:w="40" w:type="dxa"/>
              <w:right w:w="20" w:type="dxa"/>
            </w:tcMar>
            <w:vAlign w:val="center"/>
          </w:tcPr>
          <w:p w14:paraId="33DAF0F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0FE"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F0FF" w14:textId="77777777" w:rsidR="004D6A64" w:rsidRDefault="00506CD6">
            <w:pPr>
              <w:jc w:val="right"/>
              <w:textAlignment w:val="center"/>
            </w:pPr>
            <w:r>
              <w:rPr>
                <w:rFonts w:ascii="Times New Roman" w:eastAsia="宋体" w:hAnsi="Times New Roman"/>
                <w:color w:val="000000"/>
                <w:sz w:val="20"/>
                <w:szCs w:val="20"/>
              </w:rPr>
              <w:t>48 </w:t>
            </w:r>
          </w:p>
        </w:tc>
        <w:tc>
          <w:tcPr>
            <w:tcW w:w="0" w:type="auto"/>
            <w:shd w:val="clear" w:color="auto" w:fill="FFFFFF"/>
            <w:tcMar>
              <w:top w:w="40" w:type="dxa"/>
              <w:bottom w:w="40" w:type="dxa"/>
              <w:right w:w="20" w:type="dxa"/>
            </w:tcMar>
            <w:vAlign w:val="center"/>
          </w:tcPr>
          <w:p w14:paraId="33DAF10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10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F102" w14:textId="77777777" w:rsidR="004D6A64" w:rsidRDefault="00506CD6">
            <w:pPr>
              <w:jc w:val="right"/>
              <w:textAlignment w:val="center"/>
            </w:pPr>
            <w:r>
              <w:rPr>
                <w:rFonts w:ascii="Times New Roman" w:eastAsia="宋体" w:hAnsi="Times New Roman"/>
                <w:color w:val="000000"/>
                <w:sz w:val="20"/>
                <w:szCs w:val="20"/>
              </w:rPr>
              <w:t>(80)</w:t>
            </w:r>
          </w:p>
        </w:tc>
        <w:tc>
          <w:tcPr>
            <w:tcW w:w="0" w:type="auto"/>
            <w:shd w:val="clear" w:color="auto" w:fill="FFFFFF"/>
            <w:tcMar>
              <w:top w:w="40" w:type="dxa"/>
              <w:bottom w:w="40" w:type="dxa"/>
              <w:right w:w="20" w:type="dxa"/>
            </w:tcMar>
            <w:vAlign w:val="center"/>
          </w:tcPr>
          <w:p w14:paraId="33DAF103" w14:textId="77777777" w:rsidR="004D6A64" w:rsidRDefault="004D6A64">
            <w:pPr>
              <w:jc w:val="right"/>
              <w:rPr>
                <w:rFonts w:ascii="宋体"/>
              </w:rPr>
            </w:pPr>
          </w:p>
        </w:tc>
        <w:tc>
          <w:tcPr>
            <w:tcW w:w="0" w:type="auto"/>
            <w:shd w:val="clear" w:color="auto" w:fill="auto"/>
          </w:tcPr>
          <w:p w14:paraId="33DAF104" w14:textId="77777777" w:rsidR="004D6A64" w:rsidRDefault="004D6A64">
            <w:pPr>
              <w:rPr>
                <w:rFonts w:ascii="宋体"/>
              </w:rPr>
            </w:pPr>
          </w:p>
        </w:tc>
        <w:tc>
          <w:tcPr>
            <w:tcW w:w="0" w:type="auto"/>
            <w:shd w:val="clear" w:color="auto" w:fill="auto"/>
          </w:tcPr>
          <w:p w14:paraId="33DAF105" w14:textId="77777777" w:rsidR="004D6A64" w:rsidRDefault="004D6A64">
            <w:pPr>
              <w:rPr>
                <w:rFonts w:ascii="宋体"/>
              </w:rPr>
            </w:pPr>
          </w:p>
        </w:tc>
        <w:tc>
          <w:tcPr>
            <w:tcW w:w="0" w:type="auto"/>
            <w:shd w:val="clear" w:color="auto" w:fill="auto"/>
          </w:tcPr>
          <w:p w14:paraId="33DAF106" w14:textId="77777777" w:rsidR="004D6A64" w:rsidRDefault="004D6A64">
            <w:pPr>
              <w:rPr>
                <w:rFonts w:ascii="宋体"/>
              </w:rPr>
            </w:pPr>
          </w:p>
        </w:tc>
        <w:tc>
          <w:tcPr>
            <w:tcW w:w="0" w:type="auto"/>
            <w:shd w:val="clear" w:color="auto" w:fill="auto"/>
          </w:tcPr>
          <w:p w14:paraId="33DAF107" w14:textId="77777777" w:rsidR="004D6A64" w:rsidRDefault="004D6A64">
            <w:pPr>
              <w:rPr>
                <w:rFonts w:ascii="宋体"/>
              </w:rPr>
            </w:pPr>
          </w:p>
        </w:tc>
        <w:tc>
          <w:tcPr>
            <w:tcW w:w="0" w:type="auto"/>
            <w:shd w:val="clear" w:color="auto" w:fill="auto"/>
          </w:tcPr>
          <w:p w14:paraId="33DAF108" w14:textId="77777777" w:rsidR="004D6A64" w:rsidRDefault="004D6A64">
            <w:pPr>
              <w:rPr>
                <w:rFonts w:ascii="宋体"/>
              </w:rPr>
            </w:pPr>
          </w:p>
        </w:tc>
        <w:tc>
          <w:tcPr>
            <w:tcW w:w="0" w:type="auto"/>
            <w:shd w:val="clear" w:color="auto" w:fill="auto"/>
          </w:tcPr>
          <w:p w14:paraId="33DAF109" w14:textId="77777777" w:rsidR="004D6A64" w:rsidRDefault="004D6A64">
            <w:pPr>
              <w:rPr>
                <w:rFonts w:ascii="宋体"/>
              </w:rPr>
            </w:pPr>
          </w:p>
        </w:tc>
        <w:tc>
          <w:tcPr>
            <w:tcW w:w="0" w:type="auto"/>
            <w:shd w:val="clear" w:color="auto" w:fill="auto"/>
          </w:tcPr>
          <w:p w14:paraId="33DAF10A" w14:textId="77777777" w:rsidR="004D6A64" w:rsidRDefault="004D6A64">
            <w:pPr>
              <w:rPr>
                <w:rFonts w:ascii="宋体"/>
              </w:rPr>
            </w:pPr>
          </w:p>
        </w:tc>
        <w:tc>
          <w:tcPr>
            <w:tcW w:w="0" w:type="auto"/>
            <w:shd w:val="clear" w:color="auto" w:fill="auto"/>
          </w:tcPr>
          <w:p w14:paraId="33DAF10B" w14:textId="77777777" w:rsidR="004D6A64" w:rsidRDefault="004D6A64">
            <w:pPr>
              <w:rPr>
                <w:rFonts w:ascii="宋体"/>
              </w:rPr>
            </w:pPr>
          </w:p>
        </w:tc>
        <w:tc>
          <w:tcPr>
            <w:tcW w:w="0" w:type="auto"/>
            <w:shd w:val="clear" w:color="auto" w:fill="auto"/>
          </w:tcPr>
          <w:p w14:paraId="33DAF10C" w14:textId="77777777" w:rsidR="004D6A64" w:rsidRDefault="004D6A64">
            <w:pPr>
              <w:rPr>
                <w:rFonts w:ascii="宋体"/>
              </w:rPr>
            </w:pPr>
          </w:p>
        </w:tc>
        <w:tc>
          <w:tcPr>
            <w:tcW w:w="0" w:type="auto"/>
            <w:shd w:val="clear" w:color="auto" w:fill="auto"/>
          </w:tcPr>
          <w:p w14:paraId="33DAF10D" w14:textId="77777777" w:rsidR="004D6A64" w:rsidRDefault="004D6A64">
            <w:pPr>
              <w:rPr>
                <w:rFonts w:ascii="宋体"/>
              </w:rPr>
            </w:pPr>
          </w:p>
        </w:tc>
        <w:tc>
          <w:tcPr>
            <w:tcW w:w="0" w:type="auto"/>
            <w:shd w:val="clear" w:color="auto" w:fill="auto"/>
          </w:tcPr>
          <w:p w14:paraId="33DAF10E" w14:textId="77777777" w:rsidR="004D6A64" w:rsidRDefault="004D6A64">
            <w:pPr>
              <w:rPr>
                <w:rFonts w:ascii="宋体"/>
              </w:rPr>
            </w:pPr>
          </w:p>
        </w:tc>
        <w:tc>
          <w:tcPr>
            <w:tcW w:w="0" w:type="auto"/>
            <w:shd w:val="clear" w:color="auto" w:fill="auto"/>
          </w:tcPr>
          <w:p w14:paraId="33DAF10F" w14:textId="77777777" w:rsidR="004D6A64" w:rsidRDefault="004D6A64">
            <w:pPr>
              <w:rPr>
                <w:rFonts w:ascii="宋体"/>
              </w:rPr>
            </w:pPr>
          </w:p>
        </w:tc>
        <w:tc>
          <w:tcPr>
            <w:tcW w:w="0" w:type="auto"/>
            <w:shd w:val="clear" w:color="auto" w:fill="auto"/>
          </w:tcPr>
          <w:p w14:paraId="33DAF110" w14:textId="77777777" w:rsidR="004D6A64" w:rsidRDefault="004D6A64">
            <w:pPr>
              <w:rPr>
                <w:rFonts w:ascii="宋体"/>
              </w:rPr>
            </w:pPr>
          </w:p>
        </w:tc>
        <w:tc>
          <w:tcPr>
            <w:tcW w:w="0" w:type="auto"/>
            <w:shd w:val="clear" w:color="auto" w:fill="auto"/>
          </w:tcPr>
          <w:p w14:paraId="33DAF111" w14:textId="77777777" w:rsidR="004D6A64" w:rsidRDefault="004D6A64">
            <w:pPr>
              <w:rPr>
                <w:rFonts w:ascii="宋体"/>
              </w:rPr>
            </w:pPr>
          </w:p>
        </w:tc>
        <w:tc>
          <w:tcPr>
            <w:tcW w:w="0" w:type="auto"/>
            <w:shd w:val="clear" w:color="auto" w:fill="auto"/>
          </w:tcPr>
          <w:p w14:paraId="33DAF112" w14:textId="77777777" w:rsidR="004D6A64" w:rsidRDefault="004D6A64">
            <w:pPr>
              <w:rPr>
                <w:rFonts w:ascii="宋体"/>
              </w:rPr>
            </w:pPr>
          </w:p>
        </w:tc>
        <w:tc>
          <w:tcPr>
            <w:tcW w:w="0" w:type="auto"/>
            <w:shd w:val="clear" w:color="auto" w:fill="auto"/>
          </w:tcPr>
          <w:p w14:paraId="33DAF113" w14:textId="77777777" w:rsidR="004D6A64" w:rsidRDefault="004D6A64">
            <w:pPr>
              <w:rPr>
                <w:rFonts w:ascii="宋体"/>
              </w:rPr>
            </w:pPr>
          </w:p>
        </w:tc>
        <w:tc>
          <w:tcPr>
            <w:tcW w:w="0" w:type="auto"/>
            <w:shd w:val="clear" w:color="auto" w:fill="auto"/>
          </w:tcPr>
          <w:p w14:paraId="33DAF114" w14:textId="77777777" w:rsidR="004D6A64" w:rsidRDefault="004D6A64">
            <w:pPr>
              <w:rPr>
                <w:rFonts w:ascii="宋体"/>
              </w:rPr>
            </w:pPr>
          </w:p>
        </w:tc>
        <w:tc>
          <w:tcPr>
            <w:tcW w:w="0" w:type="auto"/>
            <w:shd w:val="clear" w:color="auto" w:fill="auto"/>
          </w:tcPr>
          <w:p w14:paraId="33DAF115" w14:textId="77777777" w:rsidR="004D6A64" w:rsidRDefault="004D6A64">
            <w:pPr>
              <w:rPr>
                <w:rFonts w:ascii="宋体"/>
              </w:rPr>
            </w:pPr>
          </w:p>
        </w:tc>
      </w:tr>
      <w:tr w:rsidR="004D6A64" w14:paraId="33DAF139" w14:textId="77777777">
        <w:tc>
          <w:tcPr>
            <w:tcW w:w="0" w:type="auto"/>
            <w:gridSpan w:val="3"/>
            <w:shd w:val="clear" w:color="auto" w:fill="CCEEFF"/>
            <w:tcMar>
              <w:top w:w="40" w:type="dxa"/>
              <w:left w:w="495" w:type="dxa"/>
              <w:bottom w:w="40" w:type="dxa"/>
              <w:right w:w="20" w:type="dxa"/>
            </w:tcMar>
            <w:vAlign w:val="center"/>
          </w:tcPr>
          <w:p w14:paraId="33DAF117" w14:textId="77777777" w:rsidR="004D6A64" w:rsidRDefault="00506CD6">
            <w:pPr>
              <w:textAlignment w:val="center"/>
            </w:pPr>
            <w:r>
              <w:rPr>
                <w:rFonts w:ascii="Times New Roman" w:eastAsia="宋体" w:hAnsi="Times New Roman"/>
                <w:color w:val="000000"/>
                <w:sz w:val="20"/>
                <w:szCs w:val="20"/>
              </w:rPr>
              <w:t>Total interest and other, net</w:t>
            </w: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F118"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F119" w14:textId="77777777" w:rsidR="004D6A64" w:rsidRDefault="00506CD6">
            <w:pPr>
              <w:jc w:val="right"/>
              <w:textAlignment w:val="center"/>
            </w:pPr>
            <w:r>
              <w:rPr>
                <w:rFonts w:ascii="Times New Roman" w:eastAsia="宋体" w:hAnsi="Times New Roman"/>
                <w:color w:val="000000"/>
                <w:sz w:val="20"/>
                <w:szCs w:val="20"/>
              </w:rPr>
              <w:t>(636)</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F11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11B"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F11C"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F11D" w14:textId="77777777" w:rsidR="004D6A64" w:rsidRDefault="00506CD6">
            <w:pPr>
              <w:jc w:val="right"/>
              <w:textAlignment w:val="center"/>
            </w:pPr>
            <w:r>
              <w:rPr>
                <w:rFonts w:ascii="Times New Roman" w:eastAsia="宋体" w:hAnsi="Times New Roman"/>
                <w:color w:val="000000"/>
                <w:sz w:val="20"/>
                <w:szCs w:val="20"/>
              </w:rPr>
              <w:t>(630)</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F11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11F"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F120"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F121" w14:textId="77777777" w:rsidR="004D6A64" w:rsidRDefault="00506CD6">
            <w:pPr>
              <w:jc w:val="right"/>
              <w:textAlignment w:val="center"/>
            </w:pPr>
            <w:r>
              <w:rPr>
                <w:rFonts w:ascii="Times New Roman" w:eastAsia="宋体" w:hAnsi="Times New Roman"/>
                <w:color w:val="000000"/>
                <w:sz w:val="20"/>
                <w:szCs w:val="20"/>
              </w:rPr>
              <w:t>(1,202)</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F12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123" w14:textId="77777777" w:rsidR="004D6A64" w:rsidRDefault="004D6A6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tcMar>
            <w:vAlign w:val="center"/>
          </w:tcPr>
          <w:p w14:paraId="33DAF124"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bottom w:w="40" w:type="dxa"/>
              <w:right w:w="0" w:type="dxa"/>
            </w:tcMar>
            <w:vAlign w:val="center"/>
          </w:tcPr>
          <w:p w14:paraId="33DAF125" w14:textId="77777777" w:rsidR="004D6A64" w:rsidRDefault="00506CD6">
            <w:pPr>
              <w:jc w:val="right"/>
              <w:textAlignment w:val="center"/>
            </w:pPr>
            <w:r>
              <w:rPr>
                <w:rFonts w:ascii="Times New Roman" w:eastAsia="宋体" w:hAnsi="Times New Roman"/>
                <w:color w:val="000000"/>
                <w:sz w:val="20"/>
                <w:szCs w:val="20"/>
              </w:rPr>
              <w:t>(1,323)</w:t>
            </w:r>
          </w:p>
        </w:tc>
        <w:tc>
          <w:tcPr>
            <w:tcW w:w="0" w:type="auto"/>
            <w:tcBorders>
              <w:top w:val="single" w:sz="8" w:space="0" w:color="000000"/>
              <w:bottom w:val="double" w:sz="6" w:space="0" w:color="000000"/>
            </w:tcBorders>
            <w:shd w:val="clear" w:color="auto" w:fill="CCEEFF"/>
            <w:tcMar>
              <w:top w:w="40" w:type="dxa"/>
              <w:bottom w:w="40" w:type="dxa"/>
              <w:right w:w="20" w:type="dxa"/>
            </w:tcMar>
            <w:vAlign w:val="center"/>
          </w:tcPr>
          <w:p w14:paraId="33DAF126" w14:textId="77777777" w:rsidR="004D6A64" w:rsidRDefault="004D6A64">
            <w:pPr>
              <w:jc w:val="right"/>
              <w:rPr>
                <w:rFonts w:ascii="宋体"/>
              </w:rPr>
            </w:pPr>
          </w:p>
        </w:tc>
        <w:tc>
          <w:tcPr>
            <w:tcW w:w="0" w:type="auto"/>
            <w:shd w:val="clear" w:color="auto" w:fill="auto"/>
          </w:tcPr>
          <w:p w14:paraId="33DAF127" w14:textId="77777777" w:rsidR="004D6A64" w:rsidRDefault="004D6A64">
            <w:pPr>
              <w:rPr>
                <w:rFonts w:ascii="宋体"/>
              </w:rPr>
            </w:pPr>
          </w:p>
        </w:tc>
        <w:tc>
          <w:tcPr>
            <w:tcW w:w="0" w:type="auto"/>
            <w:shd w:val="clear" w:color="auto" w:fill="auto"/>
          </w:tcPr>
          <w:p w14:paraId="33DAF128" w14:textId="77777777" w:rsidR="004D6A64" w:rsidRDefault="004D6A64">
            <w:pPr>
              <w:rPr>
                <w:rFonts w:ascii="宋体"/>
              </w:rPr>
            </w:pPr>
          </w:p>
        </w:tc>
        <w:tc>
          <w:tcPr>
            <w:tcW w:w="0" w:type="auto"/>
            <w:shd w:val="clear" w:color="auto" w:fill="auto"/>
          </w:tcPr>
          <w:p w14:paraId="33DAF129" w14:textId="77777777" w:rsidR="004D6A64" w:rsidRDefault="004D6A64">
            <w:pPr>
              <w:rPr>
                <w:rFonts w:ascii="宋体"/>
              </w:rPr>
            </w:pPr>
          </w:p>
        </w:tc>
        <w:tc>
          <w:tcPr>
            <w:tcW w:w="0" w:type="auto"/>
            <w:shd w:val="clear" w:color="auto" w:fill="auto"/>
          </w:tcPr>
          <w:p w14:paraId="33DAF12A" w14:textId="77777777" w:rsidR="004D6A64" w:rsidRDefault="004D6A64">
            <w:pPr>
              <w:rPr>
                <w:rFonts w:ascii="宋体"/>
              </w:rPr>
            </w:pPr>
          </w:p>
        </w:tc>
        <w:tc>
          <w:tcPr>
            <w:tcW w:w="0" w:type="auto"/>
            <w:shd w:val="clear" w:color="auto" w:fill="auto"/>
          </w:tcPr>
          <w:p w14:paraId="33DAF12B" w14:textId="77777777" w:rsidR="004D6A64" w:rsidRDefault="004D6A64">
            <w:pPr>
              <w:rPr>
                <w:rFonts w:ascii="宋体"/>
              </w:rPr>
            </w:pPr>
          </w:p>
        </w:tc>
        <w:tc>
          <w:tcPr>
            <w:tcW w:w="0" w:type="auto"/>
            <w:shd w:val="clear" w:color="auto" w:fill="auto"/>
          </w:tcPr>
          <w:p w14:paraId="33DAF12C" w14:textId="77777777" w:rsidR="004D6A64" w:rsidRDefault="004D6A64">
            <w:pPr>
              <w:rPr>
                <w:rFonts w:ascii="宋体"/>
              </w:rPr>
            </w:pPr>
          </w:p>
        </w:tc>
        <w:tc>
          <w:tcPr>
            <w:tcW w:w="0" w:type="auto"/>
            <w:shd w:val="clear" w:color="auto" w:fill="auto"/>
          </w:tcPr>
          <w:p w14:paraId="33DAF12D" w14:textId="77777777" w:rsidR="004D6A64" w:rsidRDefault="004D6A64">
            <w:pPr>
              <w:rPr>
                <w:rFonts w:ascii="宋体"/>
              </w:rPr>
            </w:pPr>
          </w:p>
        </w:tc>
        <w:tc>
          <w:tcPr>
            <w:tcW w:w="0" w:type="auto"/>
            <w:shd w:val="clear" w:color="auto" w:fill="auto"/>
          </w:tcPr>
          <w:p w14:paraId="33DAF12E" w14:textId="77777777" w:rsidR="004D6A64" w:rsidRDefault="004D6A64">
            <w:pPr>
              <w:rPr>
                <w:rFonts w:ascii="宋体"/>
              </w:rPr>
            </w:pPr>
          </w:p>
        </w:tc>
        <w:tc>
          <w:tcPr>
            <w:tcW w:w="0" w:type="auto"/>
            <w:shd w:val="clear" w:color="auto" w:fill="auto"/>
          </w:tcPr>
          <w:p w14:paraId="33DAF12F" w14:textId="77777777" w:rsidR="004D6A64" w:rsidRDefault="004D6A64">
            <w:pPr>
              <w:rPr>
                <w:rFonts w:ascii="宋体"/>
              </w:rPr>
            </w:pPr>
          </w:p>
        </w:tc>
        <w:tc>
          <w:tcPr>
            <w:tcW w:w="0" w:type="auto"/>
            <w:shd w:val="clear" w:color="auto" w:fill="auto"/>
          </w:tcPr>
          <w:p w14:paraId="33DAF130" w14:textId="77777777" w:rsidR="004D6A64" w:rsidRDefault="004D6A64">
            <w:pPr>
              <w:rPr>
                <w:rFonts w:ascii="宋体"/>
              </w:rPr>
            </w:pPr>
          </w:p>
        </w:tc>
        <w:tc>
          <w:tcPr>
            <w:tcW w:w="0" w:type="auto"/>
            <w:shd w:val="clear" w:color="auto" w:fill="auto"/>
          </w:tcPr>
          <w:p w14:paraId="33DAF131" w14:textId="77777777" w:rsidR="004D6A64" w:rsidRDefault="004D6A64">
            <w:pPr>
              <w:rPr>
                <w:rFonts w:ascii="宋体"/>
              </w:rPr>
            </w:pPr>
          </w:p>
        </w:tc>
        <w:tc>
          <w:tcPr>
            <w:tcW w:w="0" w:type="auto"/>
            <w:shd w:val="clear" w:color="auto" w:fill="auto"/>
          </w:tcPr>
          <w:p w14:paraId="33DAF132" w14:textId="77777777" w:rsidR="004D6A64" w:rsidRDefault="004D6A64">
            <w:pPr>
              <w:rPr>
                <w:rFonts w:ascii="宋体"/>
              </w:rPr>
            </w:pPr>
          </w:p>
        </w:tc>
        <w:tc>
          <w:tcPr>
            <w:tcW w:w="0" w:type="auto"/>
            <w:shd w:val="clear" w:color="auto" w:fill="auto"/>
          </w:tcPr>
          <w:p w14:paraId="33DAF133" w14:textId="77777777" w:rsidR="004D6A64" w:rsidRDefault="004D6A64">
            <w:pPr>
              <w:rPr>
                <w:rFonts w:ascii="宋体"/>
              </w:rPr>
            </w:pPr>
          </w:p>
        </w:tc>
        <w:tc>
          <w:tcPr>
            <w:tcW w:w="0" w:type="auto"/>
            <w:shd w:val="clear" w:color="auto" w:fill="auto"/>
          </w:tcPr>
          <w:p w14:paraId="33DAF134" w14:textId="77777777" w:rsidR="004D6A64" w:rsidRDefault="004D6A64">
            <w:pPr>
              <w:rPr>
                <w:rFonts w:ascii="宋体"/>
              </w:rPr>
            </w:pPr>
          </w:p>
        </w:tc>
        <w:tc>
          <w:tcPr>
            <w:tcW w:w="0" w:type="auto"/>
            <w:shd w:val="clear" w:color="auto" w:fill="auto"/>
          </w:tcPr>
          <w:p w14:paraId="33DAF135" w14:textId="77777777" w:rsidR="004D6A64" w:rsidRDefault="004D6A64">
            <w:pPr>
              <w:rPr>
                <w:rFonts w:ascii="宋体"/>
              </w:rPr>
            </w:pPr>
          </w:p>
        </w:tc>
        <w:tc>
          <w:tcPr>
            <w:tcW w:w="0" w:type="auto"/>
            <w:shd w:val="clear" w:color="auto" w:fill="auto"/>
          </w:tcPr>
          <w:p w14:paraId="33DAF136" w14:textId="77777777" w:rsidR="004D6A64" w:rsidRDefault="004D6A64">
            <w:pPr>
              <w:rPr>
                <w:rFonts w:ascii="宋体"/>
              </w:rPr>
            </w:pPr>
          </w:p>
        </w:tc>
        <w:tc>
          <w:tcPr>
            <w:tcW w:w="0" w:type="auto"/>
            <w:shd w:val="clear" w:color="auto" w:fill="auto"/>
          </w:tcPr>
          <w:p w14:paraId="33DAF137" w14:textId="77777777" w:rsidR="004D6A64" w:rsidRDefault="004D6A64">
            <w:pPr>
              <w:rPr>
                <w:rFonts w:ascii="宋体"/>
              </w:rPr>
            </w:pPr>
          </w:p>
        </w:tc>
        <w:tc>
          <w:tcPr>
            <w:tcW w:w="0" w:type="auto"/>
            <w:shd w:val="clear" w:color="auto" w:fill="auto"/>
          </w:tcPr>
          <w:p w14:paraId="33DAF138" w14:textId="77777777" w:rsidR="004D6A64" w:rsidRDefault="004D6A64">
            <w:pPr>
              <w:rPr>
                <w:rFonts w:ascii="宋体"/>
              </w:rPr>
            </w:pPr>
          </w:p>
        </w:tc>
      </w:tr>
    </w:tbl>
    <w:p w14:paraId="33DAF13A" w14:textId="77777777" w:rsidR="004D6A64" w:rsidRDefault="004D6A64"/>
    <w:p w14:paraId="33DAF13B" w14:textId="77777777" w:rsidR="004D6A64" w:rsidRDefault="00506CD6">
      <w:r>
        <w:rPr>
          <w:rFonts w:ascii="Times New Roman" w:eastAsia="宋体" w:hAnsi="Times New Roman"/>
          <w:color w:val="000000"/>
          <w:sz w:val="20"/>
          <w:szCs w:val="20"/>
        </w:rPr>
        <w:t xml:space="preserve">During the second quarter of Fiscal 2021, </w:t>
      </w:r>
      <w:r>
        <w:rPr>
          <w:rFonts w:ascii="Times New Roman" w:eastAsia="宋体" w:hAnsi="Times New Roman"/>
          <w:color w:val="000000"/>
          <w:sz w:val="20"/>
          <w:szCs w:val="20"/>
        </w:rPr>
        <w:t>interest and other, net was relatively unchanged, as debt extinguishment costs and lower gains on the sale of strategic investments were offset by a decrease in interest expense. During the first six months of Fiscal 2021, the change in interest and other,</w:t>
      </w:r>
      <w:r>
        <w:rPr>
          <w:rFonts w:ascii="Times New Roman" w:eastAsia="宋体" w:hAnsi="Times New Roman"/>
          <w:color w:val="000000"/>
          <w:sz w:val="20"/>
          <w:szCs w:val="20"/>
        </w:rPr>
        <w:t xml:space="preserve"> net was favorable by $121 million primarily due to a gain of $120 million recognized from the sale of certain intellectual property assets during the first quarter of Fiscal 2021.</w:t>
      </w:r>
    </w:p>
    <w:p w14:paraId="33DAF13C" w14:textId="77777777" w:rsidR="004D6A64" w:rsidRDefault="004D6A64"/>
    <w:p w14:paraId="33DAF13D" w14:textId="77777777" w:rsidR="004D6A64" w:rsidRDefault="00506CD6">
      <w:r>
        <w:rPr>
          <w:rFonts w:ascii="Times New Roman" w:eastAsia="宋体" w:hAnsi="Times New Roman"/>
          <w:b/>
          <w:bCs/>
          <w:color w:val="000000"/>
          <w:sz w:val="20"/>
          <w:szCs w:val="20"/>
        </w:rPr>
        <w:t>Income and Other Taxes</w:t>
      </w:r>
    </w:p>
    <w:p w14:paraId="33DAF13E" w14:textId="77777777" w:rsidR="004D6A64" w:rsidRDefault="004D6A64"/>
    <w:p w14:paraId="33DAF13F" w14:textId="77777777" w:rsidR="004D6A64" w:rsidRDefault="00506CD6">
      <w:r>
        <w:rPr>
          <w:rFonts w:ascii="Times New Roman" w:eastAsia="宋体" w:hAnsi="Times New Roman"/>
          <w:color w:val="000000"/>
          <w:sz w:val="20"/>
          <w:szCs w:val="20"/>
        </w:rPr>
        <w:t>For the second quarter of Fiscal 2021 and Fiscal 2</w:t>
      </w:r>
      <w:r>
        <w:rPr>
          <w:rFonts w:ascii="Times New Roman" w:eastAsia="宋体" w:hAnsi="Times New Roman"/>
          <w:color w:val="000000"/>
          <w:sz w:val="20"/>
          <w:szCs w:val="20"/>
        </w:rPr>
        <w:t xml:space="preserve">020, our effective income tax rates were -119.8% on pre-tax income of $500 million and 3912.6% on pre-tax losses of $111 million, respectively. For the first six months of Fiscal 2021 and Fiscal 2020, our effective income tax rates were -101.4% on pre-tax </w:t>
      </w:r>
      <w:r>
        <w:rPr>
          <w:rFonts w:ascii="Times New Roman" w:eastAsia="宋体" w:hAnsi="Times New Roman"/>
          <w:color w:val="000000"/>
          <w:sz w:val="20"/>
          <w:szCs w:val="20"/>
        </w:rPr>
        <w:t>income of $636 million and 1895.7% on pre-tax losses of $254 million, respectively. The changes in our effective tax rates were primarily driven by discrete tax items and changes in our jurisdictional mix of income. For the second quarter and first six mon</w:t>
      </w:r>
      <w:r>
        <w:rPr>
          <w:rFonts w:ascii="Times New Roman" w:eastAsia="宋体" w:hAnsi="Times New Roman"/>
          <w:color w:val="000000"/>
          <w:sz w:val="20"/>
          <w:szCs w:val="20"/>
        </w:rPr>
        <w:t xml:space="preserve">ths of Fiscal 2021, our effective income tax rate benefit includes $746 million of discrete tax benefits related to an audit settlement. For the first six months of Fiscal 2021, our effective income tax rate benefit also includes a discrete tax benefit of </w:t>
      </w:r>
      <w:r>
        <w:rPr>
          <w:rFonts w:ascii="Times New Roman" w:eastAsia="宋体" w:hAnsi="Times New Roman"/>
          <w:color w:val="000000"/>
          <w:sz w:val="20"/>
          <w:szCs w:val="20"/>
        </w:rPr>
        <w:t>$59 million from an intra-entity asset transfer of certain of Pivotal’s intellectual property to an Irish subsidiary that was completed by VMware, Inc. during the period. For the second quarter and first six months of Fiscal 2020, our effective tax rates i</w:t>
      </w:r>
      <w:r>
        <w:rPr>
          <w:rFonts w:ascii="Times New Roman" w:eastAsia="宋体" w:hAnsi="Times New Roman"/>
          <w:color w:val="000000"/>
          <w:sz w:val="20"/>
          <w:szCs w:val="20"/>
        </w:rPr>
        <w:t>nclude discrete tax benefits of $4.5 billion and $4.9 billion, respectively, related to similar intra-entity asset transfers. The tax benefit for each intra-entity asset transfer was recorded as a deferred tax asset in the period of transaction and represe</w:t>
      </w:r>
      <w:r>
        <w:rPr>
          <w:rFonts w:ascii="Times New Roman" w:eastAsia="宋体" w:hAnsi="Times New Roman"/>
          <w:color w:val="000000"/>
          <w:sz w:val="20"/>
          <w:szCs w:val="20"/>
        </w:rPr>
        <w:t xml:space="preserve">nts the book and tax basis difference on the transferred assets measured based on the applicable Irish statutory tax rate. We expect to be able to realize the deferred tax assets resulting from these intra-entity asset transfers. </w:t>
      </w:r>
    </w:p>
    <w:p w14:paraId="33DAF140" w14:textId="77777777" w:rsidR="004D6A64" w:rsidRDefault="004D6A64"/>
    <w:p w14:paraId="33DAF141" w14:textId="77777777" w:rsidR="004D6A64" w:rsidRDefault="00506CD6">
      <w:r>
        <w:rPr>
          <w:rFonts w:ascii="Times New Roman" w:eastAsia="宋体" w:hAnsi="Times New Roman"/>
          <w:color w:val="000000"/>
          <w:sz w:val="20"/>
          <w:szCs w:val="20"/>
        </w:rPr>
        <w:t>Our effective income tax</w:t>
      </w:r>
      <w:r>
        <w:rPr>
          <w:rFonts w:ascii="Times New Roman" w:eastAsia="宋体" w:hAnsi="Times New Roman"/>
          <w:color w:val="000000"/>
          <w:sz w:val="20"/>
          <w:szCs w:val="20"/>
        </w:rPr>
        <w:t xml:space="preserve"> rate can fluctuate depending on the geographic distribution of our worldwide earnings, as our foreign earnings are generally taxed at lower rates than in the United States. The differences between our effective income tax rate and the U.S. federal statuto</w:t>
      </w:r>
      <w:r>
        <w:rPr>
          <w:rFonts w:ascii="Times New Roman" w:eastAsia="宋体" w:hAnsi="Times New Roman"/>
          <w:color w:val="000000"/>
          <w:sz w:val="20"/>
          <w:szCs w:val="20"/>
        </w:rPr>
        <w:t>ry rate of 21% principally result from the geographical distribution of income, differences between the book and tax treatment of certain items, and the discrete tax items discussed above. In certain jurisdictions, our tax rate is significantly less than t</w:t>
      </w:r>
      <w:r>
        <w:rPr>
          <w:rFonts w:ascii="Times New Roman" w:eastAsia="宋体" w:hAnsi="Times New Roman"/>
          <w:color w:val="000000"/>
          <w:sz w:val="20"/>
          <w:szCs w:val="20"/>
        </w:rPr>
        <w:t>he applicable statutory rate as a result of tax holidays. The majority of our foreign income that is subject to these tax holidays and lower tax rates is attributable to Singapore, China, and Malaysia. A significant portion of these income tax benefits rel</w:t>
      </w:r>
      <w:r>
        <w:rPr>
          <w:rFonts w:ascii="Times New Roman" w:eastAsia="宋体" w:hAnsi="Times New Roman"/>
          <w:color w:val="000000"/>
          <w:sz w:val="20"/>
          <w:szCs w:val="20"/>
        </w:rPr>
        <w:t xml:space="preserve">ates to a tax holiday that will be effective until January 31, 2029.  Our other tax holidays will expire in whole or in part during Fiscal 2022 through Fiscal 2030. Many of these tax holidays and reduced tax rates may be extended </w:t>
      </w:r>
    </w:p>
    <w:p w14:paraId="33DAF142" w14:textId="77777777" w:rsidR="004D6A64" w:rsidRDefault="004D6A64">
      <w:pPr>
        <w:jc w:val="center"/>
      </w:pPr>
    </w:p>
    <w:p w14:paraId="33DAF143" w14:textId="77777777" w:rsidR="004D6A64" w:rsidRDefault="00506CD6">
      <w:pPr>
        <w:jc w:val="center"/>
      </w:pPr>
      <w:r>
        <w:rPr>
          <w:rFonts w:ascii="Times New Roman" w:eastAsia="宋体" w:hAnsi="Times New Roman"/>
          <w:color w:val="000000"/>
          <w:sz w:val="20"/>
          <w:szCs w:val="20"/>
        </w:rPr>
        <w:t>82</w:t>
      </w:r>
    </w:p>
    <w:p w14:paraId="33DAF144" w14:textId="77777777" w:rsidR="004D6A64" w:rsidRDefault="004D6A64">
      <w:pPr>
        <w:jc w:val="center"/>
      </w:pPr>
    </w:p>
    <w:p w14:paraId="33DAF145" w14:textId="77777777" w:rsidR="004D6A64" w:rsidRDefault="00506CD6">
      <w:r>
        <w:pict w14:anchorId="33DAFB16">
          <v:rect id="_x0000_i1106" style="width:415.3pt;height:1.5pt" o:hralign="center" o:hrstd="t" o:hr="t" fillcolor="#a0a0a0" stroked="f"/>
        </w:pict>
      </w:r>
    </w:p>
    <w:p w14:paraId="33DAF146" w14:textId="77777777" w:rsidR="004D6A64" w:rsidRDefault="00506CD6">
      <w:hyperlink r:id="rId205" w:anchor="if3e0e1bf9ecd4bf69551d7a85f98d64a_10" w:history="1">
        <w:r>
          <w:rPr>
            <w:rStyle w:val="a5"/>
            <w:rFonts w:ascii="Times New Roman" w:eastAsia="宋体" w:hAnsi="Times New Roman"/>
            <w:sz w:val="20"/>
            <w:szCs w:val="20"/>
          </w:rPr>
          <w:t>Table of Contents</w:t>
        </w:r>
      </w:hyperlink>
    </w:p>
    <w:p w14:paraId="33DAF147" w14:textId="77777777" w:rsidR="004D6A64" w:rsidRDefault="00506CD6">
      <w:r>
        <w:rPr>
          <w:rFonts w:ascii="Times New Roman" w:eastAsia="宋体" w:hAnsi="Times New Roman"/>
          <w:color w:val="000000"/>
          <w:sz w:val="20"/>
          <w:szCs w:val="20"/>
        </w:rPr>
        <w:t>when certain conditions are met or may be terminated early if certain conditions are</w:t>
      </w:r>
      <w:r>
        <w:rPr>
          <w:rFonts w:ascii="Times New Roman" w:eastAsia="宋体" w:hAnsi="Times New Roman"/>
          <w:color w:val="000000"/>
          <w:sz w:val="20"/>
          <w:szCs w:val="20"/>
        </w:rPr>
        <w:t xml:space="preserve"> not met. As of July 31, 2020, we were not aware of any matters of non-compliance related to these tax holidays. The effective income tax rate for future quarters of Fiscal 2021 may be impacted by the actual mix of jurisdictions in which income is generate</w:t>
      </w:r>
      <w:r>
        <w:rPr>
          <w:rFonts w:ascii="Times New Roman" w:eastAsia="宋体" w:hAnsi="Times New Roman"/>
          <w:color w:val="000000"/>
          <w:sz w:val="20"/>
          <w:szCs w:val="20"/>
        </w:rPr>
        <w:t>d.</w:t>
      </w:r>
    </w:p>
    <w:p w14:paraId="33DAF148" w14:textId="77777777" w:rsidR="004D6A64" w:rsidRDefault="004D6A64"/>
    <w:p w14:paraId="33DAF149" w14:textId="77777777" w:rsidR="004D6A64" w:rsidRDefault="00506CD6">
      <w:r>
        <w:rPr>
          <w:rFonts w:ascii="Times New Roman" w:eastAsia="宋体" w:hAnsi="Times New Roman"/>
          <w:color w:val="000000"/>
          <w:sz w:val="20"/>
          <w:szCs w:val="20"/>
        </w:rPr>
        <w:t xml:space="preserve">For further discussion regarding tax matters, including the status of income tax audits, see Note 11 of the Notes to the Condensed Consolidated Financial Statements included in this report. </w:t>
      </w:r>
    </w:p>
    <w:p w14:paraId="33DAF14A" w14:textId="77777777" w:rsidR="004D6A64" w:rsidRDefault="00506CD6">
      <w:pPr>
        <w:spacing w:before="180"/>
      </w:pPr>
      <w:r>
        <w:rPr>
          <w:rFonts w:ascii="Times New Roman" w:eastAsia="宋体" w:hAnsi="Times New Roman"/>
          <w:b/>
          <w:bCs/>
          <w:color w:val="000000"/>
          <w:sz w:val="20"/>
          <w:szCs w:val="20"/>
        </w:rPr>
        <w:t>Net Income</w:t>
      </w:r>
    </w:p>
    <w:p w14:paraId="33DAF14B" w14:textId="77777777" w:rsidR="004D6A64" w:rsidRDefault="004D6A64"/>
    <w:p w14:paraId="33DAF14C" w14:textId="77777777" w:rsidR="004D6A64" w:rsidRDefault="00506CD6">
      <w:r>
        <w:rPr>
          <w:rFonts w:ascii="Times New Roman" w:eastAsia="宋体" w:hAnsi="Times New Roman"/>
          <w:color w:val="000000"/>
          <w:sz w:val="20"/>
          <w:szCs w:val="20"/>
        </w:rPr>
        <w:t>During the second quarter and first six months of</w:t>
      </w:r>
      <w:r>
        <w:rPr>
          <w:rFonts w:ascii="Times New Roman" w:eastAsia="宋体" w:hAnsi="Times New Roman"/>
          <w:color w:val="000000"/>
          <w:sz w:val="20"/>
          <w:szCs w:val="20"/>
        </w:rPr>
        <w:t xml:space="preserve"> Fiscal 2021, net income decreased 74% to $1.1 billion and 72% to $1.3 billion, respectively. The decreases in net income during the second quarter and first six months of Fiscal 2021 were primarily due to lower discrete tax benefits, which were partially </w:t>
      </w:r>
      <w:r>
        <w:rPr>
          <w:rFonts w:ascii="Times New Roman" w:eastAsia="宋体" w:hAnsi="Times New Roman"/>
          <w:color w:val="000000"/>
          <w:sz w:val="20"/>
          <w:szCs w:val="20"/>
        </w:rPr>
        <w:t xml:space="preserve">offset by increases in operating income. </w:t>
      </w:r>
    </w:p>
    <w:p w14:paraId="33DAF14D" w14:textId="77777777" w:rsidR="004D6A64" w:rsidRDefault="004D6A64"/>
    <w:p w14:paraId="33DAF14E" w14:textId="77777777" w:rsidR="004D6A64" w:rsidRDefault="00506CD6">
      <w:r>
        <w:rPr>
          <w:rFonts w:ascii="Times New Roman" w:eastAsia="宋体" w:hAnsi="Times New Roman"/>
          <w:color w:val="000000"/>
          <w:sz w:val="20"/>
          <w:szCs w:val="20"/>
        </w:rPr>
        <w:t xml:space="preserve">Net income for the second quarter and first six months of Fiscal 2021 and Fiscal 2020 included amortization of intangible assets, the impact of purchase accounting, transaction-related expenses, </w:t>
      </w:r>
      <w:r>
        <w:rPr>
          <w:rFonts w:ascii="Times New Roman" w:eastAsia="宋体" w:hAnsi="Times New Roman"/>
          <w:color w:val="000000"/>
          <w:sz w:val="20"/>
          <w:szCs w:val="20"/>
        </w:rPr>
        <w:t>stock-based compensation expense, other corporate expenses, fair value adjustments on equity investments, and discrete tax items. Excluding these costs and the related tax impacts, non-GAAP net income decreased 7% to $1.6 billion and 7% to $2.8 billion, re</w:t>
      </w:r>
      <w:r>
        <w:rPr>
          <w:rFonts w:ascii="Times New Roman" w:eastAsia="宋体" w:hAnsi="Times New Roman"/>
          <w:color w:val="000000"/>
          <w:sz w:val="20"/>
          <w:szCs w:val="20"/>
        </w:rPr>
        <w:t>spectively. The decreases in non-GAAP net income during the second quarter and first six months of Fiscal 2021 were primarily attributable to decreases in non-GAAP operating income and increases in non-GAAP income taxes.</w:t>
      </w:r>
    </w:p>
    <w:p w14:paraId="33DAF14F" w14:textId="77777777" w:rsidR="004D6A64" w:rsidRDefault="004D6A64"/>
    <w:p w14:paraId="33DAF150" w14:textId="77777777" w:rsidR="004D6A64" w:rsidRDefault="00506CD6">
      <w:r>
        <w:rPr>
          <w:rFonts w:ascii="Times New Roman" w:eastAsia="宋体" w:hAnsi="Times New Roman"/>
          <w:b/>
          <w:bCs/>
          <w:color w:val="000000"/>
          <w:sz w:val="20"/>
          <w:szCs w:val="20"/>
        </w:rPr>
        <w:t>Non-controlling Interests</w:t>
      </w:r>
    </w:p>
    <w:p w14:paraId="33DAF151" w14:textId="77777777" w:rsidR="004D6A64" w:rsidRDefault="004D6A64"/>
    <w:p w14:paraId="33DAF152" w14:textId="77777777" w:rsidR="004D6A64" w:rsidRDefault="00506CD6">
      <w:r>
        <w:rPr>
          <w:rFonts w:ascii="Times New Roman" w:eastAsia="宋体" w:hAnsi="Times New Roman"/>
          <w:color w:val="000000"/>
          <w:sz w:val="20"/>
          <w:szCs w:val="20"/>
        </w:rPr>
        <w:t xml:space="preserve">During </w:t>
      </w:r>
      <w:r>
        <w:rPr>
          <w:rFonts w:ascii="Times New Roman" w:eastAsia="宋体" w:hAnsi="Times New Roman"/>
          <w:color w:val="000000"/>
          <w:sz w:val="20"/>
          <w:szCs w:val="20"/>
        </w:rPr>
        <w:t>the second quarter and first six months of Fiscal 2021, net income attributable to non-controlling interests was $51 million and $90 million, respectively, and consisted of net income or loss attributable to our non-controlling interests in VMware, Inc. an</w:t>
      </w:r>
      <w:r>
        <w:rPr>
          <w:rFonts w:ascii="Times New Roman" w:eastAsia="宋体" w:hAnsi="Times New Roman"/>
          <w:color w:val="000000"/>
          <w:sz w:val="20"/>
          <w:szCs w:val="20"/>
        </w:rPr>
        <w:t>d Secureworks. During the second quarter and first six months of Fiscal 2020, net income attributable to non-controlling interests was $816 million and $852 million, respectively, and consisted of net income or loss attributable to our non-controlling inte</w:t>
      </w:r>
      <w:r>
        <w:rPr>
          <w:rFonts w:ascii="Times New Roman" w:eastAsia="宋体" w:hAnsi="Times New Roman"/>
          <w:color w:val="000000"/>
          <w:sz w:val="20"/>
          <w:szCs w:val="20"/>
        </w:rPr>
        <w:t>rests in VMware, Inc., Secureworks, and Pivotal. Pivotal was acquired by VMware, Inc. on December 30, 2019 and, as a result, we no longer have a separate non-controlling interest in Pivotal. The decreases in net income attributable to non-controlling inter</w:t>
      </w:r>
      <w:r>
        <w:rPr>
          <w:rFonts w:ascii="Times New Roman" w:eastAsia="宋体" w:hAnsi="Times New Roman"/>
          <w:color w:val="000000"/>
          <w:sz w:val="20"/>
          <w:szCs w:val="20"/>
        </w:rPr>
        <w:t xml:space="preserve">ests during the second quarter and first six months of Fiscal 2021 were attributable to decreases in net income attributable to our non-controlling interest in VMware, Inc. For more information about our non-controlling interests, see Note 13 of the Notes </w:t>
      </w:r>
      <w:r>
        <w:rPr>
          <w:rFonts w:ascii="Times New Roman" w:eastAsia="宋体" w:hAnsi="Times New Roman"/>
          <w:color w:val="000000"/>
          <w:sz w:val="20"/>
          <w:szCs w:val="20"/>
        </w:rPr>
        <w:t>to the Condensed Consolidated Financial Statements included in this report.</w:t>
      </w:r>
    </w:p>
    <w:p w14:paraId="33DAF153" w14:textId="77777777" w:rsidR="004D6A64" w:rsidRDefault="004D6A64"/>
    <w:p w14:paraId="33DAF154" w14:textId="77777777" w:rsidR="004D6A64" w:rsidRDefault="00506CD6">
      <w:r>
        <w:rPr>
          <w:rFonts w:ascii="Times New Roman" w:eastAsia="宋体" w:hAnsi="Times New Roman"/>
          <w:b/>
          <w:bCs/>
          <w:color w:val="000000"/>
          <w:sz w:val="20"/>
          <w:szCs w:val="20"/>
        </w:rPr>
        <w:t>Net Income Attributable to Dell Technologies Inc.</w:t>
      </w:r>
    </w:p>
    <w:p w14:paraId="33DAF155" w14:textId="77777777" w:rsidR="004D6A64" w:rsidRDefault="004D6A64"/>
    <w:p w14:paraId="33DAF156" w14:textId="77777777" w:rsidR="004D6A64" w:rsidRDefault="00506CD6">
      <w:r>
        <w:rPr>
          <w:rFonts w:ascii="Times New Roman" w:eastAsia="宋体" w:hAnsi="Times New Roman"/>
          <w:color w:val="000000"/>
          <w:sz w:val="20"/>
          <w:szCs w:val="20"/>
        </w:rPr>
        <w:t xml:space="preserve">Net income attributable to Dell Technologies Inc. represents net income and an adjustment for non-controlling interests. During </w:t>
      </w:r>
      <w:r>
        <w:rPr>
          <w:rFonts w:ascii="Times New Roman" w:eastAsia="宋体" w:hAnsi="Times New Roman"/>
          <w:color w:val="000000"/>
          <w:sz w:val="20"/>
          <w:szCs w:val="20"/>
        </w:rPr>
        <w:t>the second quarter and first six months of Fiscal 2021, net income attributable to Dell Technologies Inc. was $1.0 billion and $1.2 billion, respectively. During the second quarter and first six months of Fiscal 2020, net income attributable to Dell Techno</w:t>
      </w:r>
      <w:r>
        <w:rPr>
          <w:rFonts w:ascii="Times New Roman" w:eastAsia="宋体" w:hAnsi="Times New Roman"/>
          <w:color w:val="000000"/>
          <w:sz w:val="20"/>
          <w:szCs w:val="20"/>
        </w:rPr>
        <w:t>logies Inc. was $3.4 billion and $3.7 billion, respectively. The decreases in net income attributable to Dell Technologies Inc. during the second quarter and first six months of Fiscal 2021 were primarily attributable to decreases in net income for the per</w:t>
      </w:r>
      <w:r>
        <w:rPr>
          <w:rFonts w:ascii="Times New Roman" w:eastAsia="宋体" w:hAnsi="Times New Roman"/>
          <w:color w:val="000000"/>
          <w:sz w:val="20"/>
          <w:szCs w:val="20"/>
        </w:rPr>
        <w:t xml:space="preserve">iods. </w:t>
      </w:r>
    </w:p>
    <w:p w14:paraId="33DAF157" w14:textId="77777777" w:rsidR="004D6A64" w:rsidRDefault="004D6A64"/>
    <w:p w14:paraId="33DAF158" w14:textId="77777777" w:rsidR="004D6A64" w:rsidRDefault="004D6A64"/>
    <w:p w14:paraId="33DAF159" w14:textId="77777777" w:rsidR="004D6A64" w:rsidRDefault="004D6A64">
      <w:pPr>
        <w:jc w:val="center"/>
      </w:pPr>
    </w:p>
    <w:p w14:paraId="33DAF15A" w14:textId="77777777" w:rsidR="004D6A64" w:rsidRDefault="00506CD6">
      <w:pPr>
        <w:jc w:val="center"/>
      </w:pPr>
      <w:r>
        <w:rPr>
          <w:rFonts w:ascii="Times New Roman" w:eastAsia="宋体" w:hAnsi="Times New Roman"/>
          <w:color w:val="000000"/>
          <w:sz w:val="20"/>
          <w:szCs w:val="20"/>
        </w:rPr>
        <w:t>83</w:t>
      </w:r>
    </w:p>
    <w:p w14:paraId="33DAF15B" w14:textId="77777777" w:rsidR="004D6A64" w:rsidRDefault="004D6A64">
      <w:pPr>
        <w:jc w:val="center"/>
      </w:pPr>
    </w:p>
    <w:p w14:paraId="33DAF15C" w14:textId="77777777" w:rsidR="004D6A64" w:rsidRDefault="00506CD6">
      <w:r>
        <w:pict w14:anchorId="33DAFB17">
          <v:rect id="_x0000_i1107" style="width:415.3pt;height:1.5pt" o:hralign="center" o:hrstd="t" o:hr="t" fillcolor="#a0a0a0" stroked="f"/>
        </w:pict>
      </w:r>
    </w:p>
    <w:p w14:paraId="33DAF15D" w14:textId="77777777" w:rsidR="004D6A64" w:rsidRDefault="00506CD6">
      <w:hyperlink r:id="rId206" w:anchor="if3e0e1bf9ecd4bf69551d7a85f98d64a_10" w:history="1">
        <w:r>
          <w:rPr>
            <w:rStyle w:val="a5"/>
            <w:rFonts w:ascii="Times New Roman" w:eastAsia="宋体" w:hAnsi="Times New Roman"/>
            <w:sz w:val="20"/>
            <w:szCs w:val="20"/>
          </w:rPr>
          <w:t>Table of Contents</w:t>
        </w:r>
      </w:hyperlink>
    </w:p>
    <w:p w14:paraId="33DAF15E" w14:textId="77777777" w:rsidR="004D6A64" w:rsidRDefault="00506CD6">
      <w:r>
        <w:rPr>
          <w:rFonts w:ascii="Times New Roman" w:eastAsia="宋体" w:hAnsi="Times New Roman"/>
          <w:b/>
          <w:bCs/>
          <w:color w:val="000000"/>
          <w:sz w:val="20"/>
          <w:szCs w:val="20"/>
        </w:rPr>
        <w:t>Business Unit Results</w:t>
      </w:r>
    </w:p>
    <w:p w14:paraId="33DAF15F" w14:textId="77777777" w:rsidR="004D6A64" w:rsidRDefault="004D6A64"/>
    <w:p w14:paraId="33DAF160" w14:textId="77777777" w:rsidR="004D6A64" w:rsidRDefault="00506CD6">
      <w:r>
        <w:rPr>
          <w:rFonts w:ascii="Times New Roman" w:eastAsia="宋体" w:hAnsi="Times New Roman"/>
          <w:color w:val="000000"/>
          <w:sz w:val="20"/>
          <w:szCs w:val="20"/>
        </w:rPr>
        <w:t>Our reportable segments are based on the foll</w:t>
      </w:r>
      <w:r>
        <w:rPr>
          <w:rFonts w:ascii="Times New Roman" w:eastAsia="宋体" w:hAnsi="Times New Roman"/>
          <w:color w:val="000000"/>
          <w:sz w:val="20"/>
          <w:szCs w:val="20"/>
        </w:rPr>
        <w:t xml:space="preserve">owing business units: ISG, CSG, and VMware. A description of our three business units is provided under “Introduction.” See Note 17 of the Notes to the Condensed Consolidated Financial Statements included in this report for a reconciliation of net revenue </w:t>
      </w:r>
      <w:r>
        <w:rPr>
          <w:rFonts w:ascii="Times New Roman" w:eastAsia="宋体" w:hAnsi="Times New Roman"/>
          <w:color w:val="000000"/>
          <w:sz w:val="20"/>
          <w:szCs w:val="20"/>
        </w:rPr>
        <w:t>and operating income by reportable segment to consolidated net revenue and consolidated operating income, respectively.</w:t>
      </w:r>
    </w:p>
    <w:p w14:paraId="33DAF161" w14:textId="77777777" w:rsidR="004D6A64" w:rsidRDefault="004D6A64"/>
    <w:p w14:paraId="33DAF162" w14:textId="77777777" w:rsidR="004D6A64" w:rsidRDefault="00506CD6">
      <w:r>
        <w:rPr>
          <w:rFonts w:ascii="Times New Roman" w:eastAsia="宋体" w:hAnsi="Times New Roman"/>
          <w:b/>
          <w:bCs/>
          <w:color w:val="000000"/>
          <w:sz w:val="20"/>
          <w:szCs w:val="20"/>
          <w:shd w:val="clear" w:color="auto" w:fill="FFFFFF"/>
        </w:rPr>
        <w:t>Infrastructure Solutions Group</w:t>
      </w:r>
    </w:p>
    <w:p w14:paraId="33DAF163" w14:textId="77777777" w:rsidR="004D6A64" w:rsidRDefault="004D6A64"/>
    <w:p w14:paraId="33DAF164" w14:textId="77777777" w:rsidR="004D6A64" w:rsidRDefault="00506CD6">
      <w:r>
        <w:rPr>
          <w:rFonts w:ascii="Times New Roman" w:eastAsia="宋体" w:hAnsi="Times New Roman"/>
          <w:color w:val="000000"/>
          <w:sz w:val="20"/>
          <w:szCs w:val="20"/>
          <w:shd w:val="clear" w:color="auto" w:fill="FFFFFF"/>
        </w:rPr>
        <w:t>The following table presents net revenue and operating income attributable to ISG for the periods indic</w:t>
      </w:r>
      <w:r>
        <w:rPr>
          <w:rFonts w:ascii="Times New Roman" w:eastAsia="宋体" w:hAnsi="Times New Roman"/>
          <w:color w:val="000000"/>
          <w:sz w:val="20"/>
          <w:szCs w:val="20"/>
          <w:shd w:val="clear" w:color="auto" w:fill="FFFFFF"/>
        </w:rPr>
        <w:t>ated:</w:t>
      </w:r>
    </w:p>
    <w:tbl>
      <w:tblPr>
        <w:tblW w:w="5000" w:type="pct"/>
        <w:tblCellMar>
          <w:top w:w="15" w:type="dxa"/>
          <w:left w:w="15" w:type="dxa"/>
          <w:bottom w:w="15" w:type="dxa"/>
          <w:right w:w="15" w:type="dxa"/>
        </w:tblCellMar>
        <w:tblLook w:val="04A0" w:firstRow="1" w:lastRow="0" w:firstColumn="1" w:lastColumn="0" w:noHBand="0" w:noVBand="1"/>
      </w:tblPr>
      <w:tblGrid>
        <w:gridCol w:w="41"/>
        <w:gridCol w:w="1213"/>
        <w:gridCol w:w="37"/>
        <w:gridCol w:w="135"/>
        <w:gridCol w:w="587"/>
        <w:gridCol w:w="202"/>
        <w:gridCol w:w="36"/>
        <w:gridCol w:w="36"/>
        <w:gridCol w:w="36"/>
        <w:gridCol w:w="84"/>
        <w:gridCol w:w="604"/>
        <w:gridCol w:w="202"/>
        <w:gridCol w:w="36"/>
        <w:gridCol w:w="36"/>
        <w:gridCol w:w="36"/>
        <w:gridCol w:w="135"/>
        <w:gridCol w:w="588"/>
        <w:gridCol w:w="202"/>
        <w:gridCol w:w="36"/>
        <w:gridCol w:w="36"/>
        <w:gridCol w:w="36"/>
        <w:gridCol w:w="135"/>
        <w:gridCol w:w="615"/>
        <w:gridCol w:w="202"/>
        <w:gridCol w:w="36"/>
        <w:gridCol w:w="36"/>
        <w:gridCol w:w="36"/>
        <w:gridCol w:w="84"/>
        <w:gridCol w:w="604"/>
        <w:gridCol w:w="202"/>
        <w:gridCol w:w="36"/>
        <w:gridCol w:w="36"/>
        <w:gridCol w:w="36"/>
        <w:gridCol w:w="135"/>
        <w:gridCol w:w="615"/>
        <w:gridCol w:w="202"/>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4D6A64" w14:paraId="33DAF189" w14:textId="77777777">
        <w:trPr>
          <w:gridAfter w:val="27"/>
        </w:trPr>
        <w:tc>
          <w:tcPr>
            <w:tcW w:w="50" w:type="pct"/>
            <w:shd w:val="clear" w:color="auto" w:fill="auto"/>
          </w:tcPr>
          <w:p w14:paraId="33DAF165" w14:textId="77777777" w:rsidR="004D6A64" w:rsidRDefault="004D6A64">
            <w:pPr>
              <w:rPr>
                <w:rFonts w:ascii="宋体"/>
              </w:rPr>
            </w:pPr>
          </w:p>
        </w:tc>
        <w:tc>
          <w:tcPr>
            <w:tcW w:w="1246" w:type="pct"/>
            <w:shd w:val="clear" w:color="auto" w:fill="auto"/>
          </w:tcPr>
          <w:p w14:paraId="33DAF166" w14:textId="77777777" w:rsidR="004D6A64" w:rsidRDefault="004D6A64">
            <w:pPr>
              <w:rPr>
                <w:rFonts w:ascii="宋体"/>
              </w:rPr>
            </w:pPr>
          </w:p>
        </w:tc>
        <w:tc>
          <w:tcPr>
            <w:tcW w:w="5" w:type="pct"/>
            <w:shd w:val="clear" w:color="auto" w:fill="auto"/>
          </w:tcPr>
          <w:p w14:paraId="33DAF167" w14:textId="77777777" w:rsidR="004D6A64" w:rsidRDefault="004D6A64">
            <w:pPr>
              <w:rPr>
                <w:rFonts w:ascii="宋体"/>
              </w:rPr>
            </w:pPr>
          </w:p>
        </w:tc>
        <w:tc>
          <w:tcPr>
            <w:tcW w:w="50" w:type="pct"/>
            <w:shd w:val="clear" w:color="auto" w:fill="auto"/>
          </w:tcPr>
          <w:p w14:paraId="33DAF168" w14:textId="77777777" w:rsidR="004D6A64" w:rsidRDefault="004D6A64">
            <w:pPr>
              <w:rPr>
                <w:rFonts w:ascii="宋体"/>
              </w:rPr>
            </w:pPr>
          </w:p>
        </w:tc>
        <w:tc>
          <w:tcPr>
            <w:tcW w:w="624" w:type="pct"/>
            <w:shd w:val="clear" w:color="auto" w:fill="auto"/>
          </w:tcPr>
          <w:p w14:paraId="33DAF169" w14:textId="77777777" w:rsidR="004D6A64" w:rsidRDefault="004D6A64">
            <w:pPr>
              <w:rPr>
                <w:rFonts w:ascii="宋体"/>
              </w:rPr>
            </w:pPr>
          </w:p>
        </w:tc>
        <w:tc>
          <w:tcPr>
            <w:tcW w:w="5" w:type="pct"/>
            <w:shd w:val="clear" w:color="auto" w:fill="auto"/>
          </w:tcPr>
          <w:p w14:paraId="33DAF16A" w14:textId="77777777" w:rsidR="004D6A64" w:rsidRDefault="004D6A64">
            <w:pPr>
              <w:rPr>
                <w:rFonts w:ascii="宋体"/>
              </w:rPr>
            </w:pPr>
          </w:p>
        </w:tc>
        <w:tc>
          <w:tcPr>
            <w:tcW w:w="5" w:type="pct"/>
            <w:shd w:val="clear" w:color="auto" w:fill="auto"/>
          </w:tcPr>
          <w:p w14:paraId="33DAF16B" w14:textId="77777777" w:rsidR="004D6A64" w:rsidRDefault="004D6A64">
            <w:pPr>
              <w:rPr>
                <w:rFonts w:ascii="宋体"/>
              </w:rPr>
            </w:pPr>
          </w:p>
        </w:tc>
        <w:tc>
          <w:tcPr>
            <w:tcW w:w="19" w:type="pct"/>
            <w:shd w:val="clear" w:color="auto" w:fill="auto"/>
          </w:tcPr>
          <w:p w14:paraId="33DAF16C" w14:textId="77777777" w:rsidR="004D6A64" w:rsidRDefault="004D6A64">
            <w:pPr>
              <w:rPr>
                <w:rFonts w:ascii="宋体"/>
              </w:rPr>
            </w:pPr>
          </w:p>
        </w:tc>
        <w:tc>
          <w:tcPr>
            <w:tcW w:w="5" w:type="pct"/>
            <w:shd w:val="clear" w:color="auto" w:fill="auto"/>
          </w:tcPr>
          <w:p w14:paraId="33DAF16D" w14:textId="77777777" w:rsidR="004D6A64" w:rsidRDefault="004D6A64">
            <w:pPr>
              <w:rPr>
                <w:rFonts w:ascii="宋体"/>
              </w:rPr>
            </w:pPr>
          </w:p>
        </w:tc>
        <w:tc>
          <w:tcPr>
            <w:tcW w:w="50" w:type="pct"/>
            <w:shd w:val="clear" w:color="auto" w:fill="auto"/>
          </w:tcPr>
          <w:p w14:paraId="33DAF16E" w14:textId="77777777" w:rsidR="004D6A64" w:rsidRDefault="004D6A64">
            <w:pPr>
              <w:rPr>
                <w:rFonts w:ascii="宋体"/>
              </w:rPr>
            </w:pPr>
          </w:p>
        </w:tc>
        <w:tc>
          <w:tcPr>
            <w:tcW w:w="361" w:type="pct"/>
            <w:shd w:val="clear" w:color="auto" w:fill="auto"/>
          </w:tcPr>
          <w:p w14:paraId="33DAF16F" w14:textId="77777777" w:rsidR="004D6A64" w:rsidRDefault="004D6A64">
            <w:pPr>
              <w:rPr>
                <w:rFonts w:ascii="宋体"/>
              </w:rPr>
            </w:pPr>
          </w:p>
        </w:tc>
        <w:tc>
          <w:tcPr>
            <w:tcW w:w="5" w:type="pct"/>
            <w:shd w:val="clear" w:color="auto" w:fill="auto"/>
          </w:tcPr>
          <w:p w14:paraId="33DAF170" w14:textId="77777777" w:rsidR="004D6A64" w:rsidRDefault="004D6A64">
            <w:pPr>
              <w:rPr>
                <w:rFonts w:ascii="宋体"/>
              </w:rPr>
            </w:pPr>
          </w:p>
        </w:tc>
        <w:tc>
          <w:tcPr>
            <w:tcW w:w="5" w:type="pct"/>
            <w:shd w:val="clear" w:color="auto" w:fill="auto"/>
          </w:tcPr>
          <w:p w14:paraId="33DAF171" w14:textId="77777777" w:rsidR="004D6A64" w:rsidRDefault="004D6A64">
            <w:pPr>
              <w:rPr>
                <w:rFonts w:ascii="宋体"/>
              </w:rPr>
            </w:pPr>
          </w:p>
        </w:tc>
        <w:tc>
          <w:tcPr>
            <w:tcW w:w="19" w:type="pct"/>
            <w:shd w:val="clear" w:color="auto" w:fill="auto"/>
          </w:tcPr>
          <w:p w14:paraId="33DAF172" w14:textId="77777777" w:rsidR="004D6A64" w:rsidRDefault="004D6A64">
            <w:pPr>
              <w:rPr>
                <w:rFonts w:ascii="宋体"/>
              </w:rPr>
            </w:pPr>
          </w:p>
        </w:tc>
        <w:tc>
          <w:tcPr>
            <w:tcW w:w="5" w:type="pct"/>
            <w:shd w:val="clear" w:color="auto" w:fill="auto"/>
          </w:tcPr>
          <w:p w14:paraId="33DAF173" w14:textId="77777777" w:rsidR="004D6A64" w:rsidRDefault="004D6A64">
            <w:pPr>
              <w:rPr>
                <w:rFonts w:ascii="宋体"/>
              </w:rPr>
            </w:pPr>
          </w:p>
        </w:tc>
        <w:tc>
          <w:tcPr>
            <w:tcW w:w="50" w:type="pct"/>
            <w:shd w:val="clear" w:color="auto" w:fill="auto"/>
          </w:tcPr>
          <w:p w14:paraId="33DAF174" w14:textId="77777777" w:rsidR="004D6A64" w:rsidRDefault="004D6A64">
            <w:pPr>
              <w:rPr>
                <w:rFonts w:ascii="宋体"/>
              </w:rPr>
            </w:pPr>
          </w:p>
        </w:tc>
        <w:tc>
          <w:tcPr>
            <w:tcW w:w="624" w:type="pct"/>
            <w:shd w:val="clear" w:color="auto" w:fill="auto"/>
          </w:tcPr>
          <w:p w14:paraId="33DAF175" w14:textId="77777777" w:rsidR="004D6A64" w:rsidRDefault="004D6A64">
            <w:pPr>
              <w:rPr>
                <w:rFonts w:ascii="宋体"/>
              </w:rPr>
            </w:pPr>
          </w:p>
        </w:tc>
        <w:tc>
          <w:tcPr>
            <w:tcW w:w="5" w:type="pct"/>
            <w:shd w:val="clear" w:color="auto" w:fill="auto"/>
          </w:tcPr>
          <w:p w14:paraId="33DAF176" w14:textId="77777777" w:rsidR="004D6A64" w:rsidRDefault="004D6A64">
            <w:pPr>
              <w:rPr>
                <w:rFonts w:ascii="宋体"/>
              </w:rPr>
            </w:pPr>
          </w:p>
        </w:tc>
        <w:tc>
          <w:tcPr>
            <w:tcW w:w="5" w:type="pct"/>
            <w:shd w:val="clear" w:color="auto" w:fill="auto"/>
          </w:tcPr>
          <w:p w14:paraId="33DAF177" w14:textId="77777777" w:rsidR="004D6A64" w:rsidRDefault="004D6A64">
            <w:pPr>
              <w:rPr>
                <w:rFonts w:ascii="宋体"/>
              </w:rPr>
            </w:pPr>
          </w:p>
        </w:tc>
        <w:tc>
          <w:tcPr>
            <w:tcW w:w="19" w:type="pct"/>
            <w:shd w:val="clear" w:color="auto" w:fill="auto"/>
          </w:tcPr>
          <w:p w14:paraId="33DAF178" w14:textId="77777777" w:rsidR="004D6A64" w:rsidRDefault="004D6A64">
            <w:pPr>
              <w:rPr>
                <w:rFonts w:ascii="宋体"/>
              </w:rPr>
            </w:pPr>
          </w:p>
        </w:tc>
        <w:tc>
          <w:tcPr>
            <w:tcW w:w="5" w:type="pct"/>
            <w:shd w:val="clear" w:color="auto" w:fill="auto"/>
          </w:tcPr>
          <w:p w14:paraId="33DAF179" w14:textId="77777777" w:rsidR="004D6A64" w:rsidRDefault="004D6A64">
            <w:pPr>
              <w:rPr>
                <w:rFonts w:ascii="宋体"/>
              </w:rPr>
            </w:pPr>
          </w:p>
        </w:tc>
        <w:tc>
          <w:tcPr>
            <w:tcW w:w="50" w:type="pct"/>
            <w:shd w:val="clear" w:color="auto" w:fill="auto"/>
          </w:tcPr>
          <w:p w14:paraId="33DAF17A" w14:textId="77777777" w:rsidR="004D6A64" w:rsidRDefault="004D6A64">
            <w:pPr>
              <w:rPr>
                <w:rFonts w:ascii="宋体"/>
              </w:rPr>
            </w:pPr>
          </w:p>
        </w:tc>
        <w:tc>
          <w:tcPr>
            <w:tcW w:w="624" w:type="pct"/>
            <w:shd w:val="clear" w:color="auto" w:fill="auto"/>
          </w:tcPr>
          <w:p w14:paraId="33DAF17B" w14:textId="77777777" w:rsidR="004D6A64" w:rsidRDefault="004D6A64">
            <w:pPr>
              <w:rPr>
                <w:rFonts w:ascii="宋体"/>
              </w:rPr>
            </w:pPr>
          </w:p>
        </w:tc>
        <w:tc>
          <w:tcPr>
            <w:tcW w:w="5" w:type="pct"/>
            <w:shd w:val="clear" w:color="auto" w:fill="auto"/>
          </w:tcPr>
          <w:p w14:paraId="33DAF17C" w14:textId="77777777" w:rsidR="004D6A64" w:rsidRDefault="004D6A64">
            <w:pPr>
              <w:rPr>
                <w:rFonts w:ascii="宋体"/>
              </w:rPr>
            </w:pPr>
          </w:p>
        </w:tc>
        <w:tc>
          <w:tcPr>
            <w:tcW w:w="5" w:type="pct"/>
            <w:shd w:val="clear" w:color="auto" w:fill="auto"/>
          </w:tcPr>
          <w:p w14:paraId="33DAF17D" w14:textId="77777777" w:rsidR="004D6A64" w:rsidRDefault="004D6A64">
            <w:pPr>
              <w:rPr>
                <w:rFonts w:ascii="宋体"/>
              </w:rPr>
            </w:pPr>
          </w:p>
        </w:tc>
        <w:tc>
          <w:tcPr>
            <w:tcW w:w="19" w:type="pct"/>
            <w:shd w:val="clear" w:color="auto" w:fill="auto"/>
          </w:tcPr>
          <w:p w14:paraId="33DAF17E" w14:textId="77777777" w:rsidR="004D6A64" w:rsidRDefault="004D6A64">
            <w:pPr>
              <w:rPr>
                <w:rFonts w:ascii="宋体"/>
              </w:rPr>
            </w:pPr>
          </w:p>
        </w:tc>
        <w:tc>
          <w:tcPr>
            <w:tcW w:w="5" w:type="pct"/>
            <w:shd w:val="clear" w:color="auto" w:fill="auto"/>
          </w:tcPr>
          <w:p w14:paraId="33DAF17F" w14:textId="77777777" w:rsidR="004D6A64" w:rsidRDefault="004D6A64">
            <w:pPr>
              <w:rPr>
                <w:rFonts w:ascii="宋体"/>
              </w:rPr>
            </w:pPr>
          </w:p>
        </w:tc>
        <w:tc>
          <w:tcPr>
            <w:tcW w:w="50" w:type="pct"/>
            <w:shd w:val="clear" w:color="auto" w:fill="auto"/>
          </w:tcPr>
          <w:p w14:paraId="33DAF180" w14:textId="77777777" w:rsidR="004D6A64" w:rsidRDefault="004D6A64">
            <w:pPr>
              <w:rPr>
                <w:rFonts w:ascii="宋体"/>
              </w:rPr>
            </w:pPr>
          </w:p>
        </w:tc>
        <w:tc>
          <w:tcPr>
            <w:tcW w:w="361" w:type="pct"/>
            <w:shd w:val="clear" w:color="auto" w:fill="auto"/>
          </w:tcPr>
          <w:p w14:paraId="33DAF181" w14:textId="77777777" w:rsidR="004D6A64" w:rsidRDefault="004D6A64">
            <w:pPr>
              <w:rPr>
                <w:rFonts w:ascii="宋体"/>
              </w:rPr>
            </w:pPr>
          </w:p>
        </w:tc>
        <w:tc>
          <w:tcPr>
            <w:tcW w:w="5" w:type="pct"/>
            <w:shd w:val="clear" w:color="auto" w:fill="auto"/>
          </w:tcPr>
          <w:p w14:paraId="33DAF182" w14:textId="77777777" w:rsidR="004D6A64" w:rsidRDefault="004D6A64">
            <w:pPr>
              <w:rPr>
                <w:rFonts w:ascii="宋体"/>
              </w:rPr>
            </w:pPr>
          </w:p>
        </w:tc>
        <w:tc>
          <w:tcPr>
            <w:tcW w:w="5" w:type="pct"/>
            <w:shd w:val="clear" w:color="auto" w:fill="auto"/>
          </w:tcPr>
          <w:p w14:paraId="33DAF183" w14:textId="77777777" w:rsidR="004D6A64" w:rsidRDefault="004D6A64">
            <w:pPr>
              <w:rPr>
                <w:rFonts w:ascii="宋体"/>
              </w:rPr>
            </w:pPr>
          </w:p>
        </w:tc>
        <w:tc>
          <w:tcPr>
            <w:tcW w:w="19" w:type="pct"/>
            <w:shd w:val="clear" w:color="auto" w:fill="auto"/>
          </w:tcPr>
          <w:p w14:paraId="33DAF184" w14:textId="77777777" w:rsidR="004D6A64" w:rsidRDefault="004D6A64">
            <w:pPr>
              <w:rPr>
                <w:rFonts w:ascii="宋体"/>
              </w:rPr>
            </w:pPr>
          </w:p>
        </w:tc>
        <w:tc>
          <w:tcPr>
            <w:tcW w:w="5" w:type="pct"/>
            <w:shd w:val="clear" w:color="auto" w:fill="auto"/>
          </w:tcPr>
          <w:p w14:paraId="33DAF185" w14:textId="77777777" w:rsidR="004D6A64" w:rsidRDefault="004D6A64">
            <w:pPr>
              <w:rPr>
                <w:rFonts w:ascii="宋体"/>
              </w:rPr>
            </w:pPr>
          </w:p>
        </w:tc>
        <w:tc>
          <w:tcPr>
            <w:tcW w:w="50" w:type="pct"/>
            <w:shd w:val="clear" w:color="auto" w:fill="auto"/>
          </w:tcPr>
          <w:p w14:paraId="33DAF186" w14:textId="77777777" w:rsidR="004D6A64" w:rsidRDefault="004D6A64">
            <w:pPr>
              <w:rPr>
                <w:rFonts w:ascii="宋体"/>
              </w:rPr>
            </w:pPr>
          </w:p>
        </w:tc>
        <w:tc>
          <w:tcPr>
            <w:tcW w:w="625" w:type="pct"/>
            <w:shd w:val="clear" w:color="auto" w:fill="auto"/>
          </w:tcPr>
          <w:p w14:paraId="33DAF187" w14:textId="77777777" w:rsidR="004D6A64" w:rsidRDefault="004D6A64">
            <w:pPr>
              <w:rPr>
                <w:rFonts w:ascii="宋体"/>
              </w:rPr>
            </w:pPr>
          </w:p>
        </w:tc>
        <w:tc>
          <w:tcPr>
            <w:tcW w:w="5" w:type="pct"/>
            <w:shd w:val="clear" w:color="auto" w:fill="auto"/>
          </w:tcPr>
          <w:p w14:paraId="33DAF188" w14:textId="77777777" w:rsidR="004D6A64" w:rsidRDefault="004D6A64">
            <w:pPr>
              <w:rPr>
                <w:rFonts w:ascii="宋体"/>
              </w:rPr>
            </w:pPr>
          </w:p>
        </w:tc>
      </w:tr>
      <w:tr w:rsidR="004D6A64" w14:paraId="33DAF196" w14:textId="77777777">
        <w:trPr>
          <w:gridAfter w:val="3"/>
        </w:trPr>
        <w:tc>
          <w:tcPr>
            <w:tcW w:w="0" w:type="auto"/>
            <w:gridSpan w:val="3"/>
            <w:shd w:val="clear" w:color="auto" w:fill="auto"/>
            <w:tcMar>
              <w:left w:w="20" w:type="dxa"/>
              <w:right w:w="20" w:type="dxa"/>
            </w:tcMar>
            <w:vAlign w:val="bottom"/>
          </w:tcPr>
          <w:p w14:paraId="33DAF18A" w14:textId="77777777" w:rsidR="004D6A64" w:rsidRDefault="004D6A64">
            <w:pPr>
              <w:rPr>
                <w:rFonts w:ascii="宋体"/>
              </w:rPr>
            </w:pPr>
          </w:p>
        </w:tc>
        <w:tc>
          <w:tcPr>
            <w:tcW w:w="0" w:type="auto"/>
            <w:gridSpan w:val="15"/>
            <w:shd w:val="clear" w:color="auto" w:fill="auto"/>
            <w:tcMar>
              <w:top w:w="40" w:type="dxa"/>
              <w:left w:w="20" w:type="dxa"/>
              <w:bottom w:w="40" w:type="dxa"/>
              <w:right w:w="20" w:type="dxa"/>
            </w:tcMar>
            <w:vAlign w:val="bottom"/>
          </w:tcPr>
          <w:p w14:paraId="33DAF18B" w14:textId="77777777" w:rsidR="004D6A64" w:rsidRDefault="00506CD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Pr>
          <w:p w14:paraId="33DAF18C" w14:textId="77777777" w:rsidR="004D6A64" w:rsidRDefault="004D6A64">
            <w:pPr>
              <w:rPr>
                <w:rFonts w:ascii="宋体"/>
                <w:vanish/>
              </w:rPr>
            </w:pPr>
          </w:p>
        </w:tc>
        <w:tc>
          <w:tcPr>
            <w:tcW w:w="0" w:type="auto"/>
            <w:gridSpan w:val="3"/>
            <w:shd w:val="clear" w:color="auto" w:fill="auto"/>
          </w:tcPr>
          <w:p w14:paraId="33DAF18D" w14:textId="77777777" w:rsidR="004D6A64" w:rsidRDefault="004D6A64">
            <w:pPr>
              <w:rPr>
                <w:rFonts w:ascii="宋体"/>
                <w:vanish/>
              </w:rPr>
            </w:pPr>
          </w:p>
        </w:tc>
        <w:tc>
          <w:tcPr>
            <w:tcW w:w="0" w:type="auto"/>
            <w:gridSpan w:val="3"/>
            <w:shd w:val="clear" w:color="auto" w:fill="auto"/>
          </w:tcPr>
          <w:p w14:paraId="33DAF18E" w14:textId="77777777" w:rsidR="004D6A64" w:rsidRDefault="004D6A64">
            <w:pPr>
              <w:rPr>
                <w:rFonts w:ascii="宋体"/>
                <w:vanish/>
              </w:rPr>
            </w:pPr>
          </w:p>
        </w:tc>
        <w:tc>
          <w:tcPr>
            <w:tcW w:w="0" w:type="auto"/>
            <w:gridSpan w:val="3"/>
            <w:shd w:val="clear" w:color="auto" w:fill="auto"/>
          </w:tcPr>
          <w:p w14:paraId="33DAF18F"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F190" w14:textId="77777777" w:rsidR="004D6A64" w:rsidRDefault="004D6A64">
            <w:pPr>
              <w:rPr>
                <w:rFonts w:ascii="宋体"/>
              </w:rPr>
            </w:pPr>
          </w:p>
        </w:tc>
        <w:tc>
          <w:tcPr>
            <w:tcW w:w="0" w:type="auto"/>
            <w:gridSpan w:val="15"/>
            <w:shd w:val="clear" w:color="auto" w:fill="auto"/>
            <w:tcMar>
              <w:top w:w="40" w:type="dxa"/>
              <w:left w:w="20" w:type="dxa"/>
              <w:bottom w:w="40" w:type="dxa"/>
              <w:right w:w="20" w:type="dxa"/>
            </w:tcMar>
            <w:vAlign w:val="bottom"/>
          </w:tcPr>
          <w:p w14:paraId="33DAF191" w14:textId="77777777" w:rsidR="004D6A64" w:rsidRDefault="00506CD6">
            <w:pPr>
              <w:jc w:val="center"/>
              <w:textAlignment w:val="bottom"/>
            </w:pPr>
            <w:r>
              <w:rPr>
                <w:rFonts w:ascii="Times New Roman" w:eastAsia="宋体" w:hAnsi="Times New Roman"/>
                <w:b/>
                <w:bCs/>
                <w:color w:val="000000"/>
                <w:sz w:val="20"/>
                <w:szCs w:val="20"/>
              </w:rPr>
              <w:t>Six Months Ended</w:t>
            </w:r>
          </w:p>
        </w:tc>
        <w:tc>
          <w:tcPr>
            <w:tcW w:w="0" w:type="auto"/>
            <w:gridSpan w:val="3"/>
            <w:shd w:val="clear" w:color="auto" w:fill="auto"/>
          </w:tcPr>
          <w:p w14:paraId="33DAF192" w14:textId="77777777" w:rsidR="004D6A64" w:rsidRDefault="004D6A64">
            <w:pPr>
              <w:rPr>
                <w:rFonts w:ascii="宋体"/>
                <w:vanish/>
              </w:rPr>
            </w:pPr>
          </w:p>
        </w:tc>
        <w:tc>
          <w:tcPr>
            <w:tcW w:w="0" w:type="auto"/>
            <w:gridSpan w:val="3"/>
            <w:shd w:val="clear" w:color="auto" w:fill="auto"/>
          </w:tcPr>
          <w:p w14:paraId="33DAF193" w14:textId="77777777" w:rsidR="004D6A64" w:rsidRDefault="004D6A64">
            <w:pPr>
              <w:rPr>
                <w:rFonts w:ascii="宋体"/>
                <w:vanish/>
              </w:rPr>
            </w:pPr>
          </w:p>
        </w:tc>
        <w:tc>
          <w:tcPr>
            <w:tcW w:w="0" w:type="auto"/>
            <w:gridSpan w:val="3"/>
            <w:shd w:val="clear" w:color="auto" w:fill="auto"/>
          </w:tcPr>
          <w:p w14:paraId="33DAF194" w14:textId="77777777" w:rsidR="004D6A64" w:rsidRDefault="004D6A64">
            <w:pPr>
              <w:rPr>
                <w:rFonts w:ascii="宋体"/>
                <w:vanish/>
              </w:rPr>
            </w:pPr>
          </w:p>
        </w:tc>
        <w:tc>
          <w:tcPr>
            <w:tcW w:w="0" w:type="auto"/>
            <w:gridSpan w:val="3"/>
            <w:shd w:val="clear" w:color="auto" w:fill="auto"/>
          </w:tcPr>
          <w:p w14:paraId="33DAF195" w14:textId="77777777" w:rsidR="004D6A64" w:rsidRDefault="004D6A64">
            <w:pPr>
              <w:rPr>
                <w:rFonts w:ascii="宋体"/>
                <w:vanish/>
              </w:rPr>
            </w:pPr>
          </w:p>
        </w:tc>
      </w:tr>
      <w:tr w:rsidR="004D6A64" w14:paraId="33DAF1BB" w14:textId="77777777">
        <w:trPr>
          <w:gridAfter w:val="3"/>
        </w:trPr>
        <w:tc>
          <w:tcPr>
            <w:tcW w:w="0" w:type="auto"/>
            <w:gridSpan w:val="3"/>
            <w:shd w:val="clear" w:color="auto" w:fill="auto"/>
            <w:tcMar>
              <w:top w:w="40" w:type="dxa"/>
              <w:left w:w="20" w:type="dxa"/>
              <w:bottom w:w="40" w:type="dxa"/>
              <w:right w:w="20" w:type="dxa"/>
            </w:tcMar>
            <w:vAlign w:val="bottom"/>
          </w:tcPr>
          <w:p w14:paraId="33DAF197" w14:textId="77777777" w:rsidR="004D6A64" w:rsidRDefault="00506CD6">
            <w:pP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F198"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F199"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F19A" w14:textId="77777777" w:rsidR="004D6A64" w:rsidRDefault="00506CD6">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left w:w="20" w:type="dxa"/>
              <w:right w:w="20" w:type="dxa"/>
            </w:tcMar>
            <w:vAlign w:val="bottom"/>
          </w:tcPr>
          <w:p w14:paraId="33DAF19B"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F19C"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gridSpan w:val="3"/>
            <w:shd w:val="clear" w:color="auto" w:fill="auto"/>
            <w:tcMar>
              <w:left w:w="20" w:type="dxa"/>
              <w:right w:w="20" w:type="dxa"/>
            </w:tcMar>
            <w:vAlign w:val="bottom"/>
          </w:tcPr>
          <w:p w14:paraId="33DAF19D"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F19E"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F19F"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F1A0" w14:textId="77777777" w:rsidR="004D6A64" w:rsidRDefault="00506CD6">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left w:w="20" w:type="dxa"/>
              <w:right w:w="20" w:type="dxa"/>
            </w:tcMar>
            <w:vAlign w:val="bottom"/>
          </w:tcPr>
          <w:p w14:paraId="33DAF1A1"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F1A2"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shd w:val="clear" w:color="auto" w:fill="auto"/>
          </w:tcPr>
          <w:p w14:paraId="33DAF1A3" w14:textId="77777777" w:rsidR="004D6A64" w:rsidRDefault="004D6A64">
            <w:pPr>
              <w:rPr>
                <w:rFonts w:ascii="宋体"/>
              </w:rPr>
            </w:pPr>
          </w:p>
        </w:tc>
        <w:tc>
          <w:tcPr>
            <w:tcW w:w="0" w:type="auto"/>
            <w:shd w:val="clear" w:color="auto" w:fill="auto"/>
          </w:tcPr>
          <w:p w14:paraId="33DAF1A4" w14:textId="77777777" w:rsidR="004D6A64" w:rsidRDefault="004D6A64">
            <w:pPr>
              <w:rPr>
                <w:rFonts w:ascii="宋体"/>
              </w:rPr>
            </w:pPr>
          </w:p>
        </w:tc>
        <w:tc>
          <w:tcPr>
            <w:tcW w:w="0" w:type="auto"/>
            <w:shd w:val="clear" w:color="auto" w:fill="auto"/>
          </w:tcPr>
          <w:p w14:paraId="33DAF1A5" w14:textId="77777777" w:rsidR="004D6A64" w:rsidRDefault="004D6A64">
            <w:pPr>
              <w:rPr>
                <w:rFonts w:ascii="宋体"/>
              </w:rPr>
            </w:pPr>
          </w:p>
        </w:tc>
        <w:tc>
          <w:tcPr>
            <w:tcW w:w="0" w:type="auto"/>
            <w:shd w:val="clear" w:color="auto" w:fill="auto"/>
          </w:tcPr>
          <w:p w14:paraId="33DAF1A6" w14:textId="77777777" w:rsidR="004D6A64" w:rsidRDefault="004D6A64">
            <w:pPr>
              <w:rPr>
                <w:rFonts w:ascii="宋体"/>
              </w:rPr>
            </w:pPr>
          </w:p>
        </w:tc>
        <w:tc>
          <w:tcPr>
            <w:tcW w:w="0" w:type="auto"/>
            <w:shd w:val="clear" w:color="auto" w:fill="auto"/>
          </w:tcPr>
          <w:p w14:paraId="33DAF1A7" w14:textId="77777777" w:rsidR="004D6A64" w:rsidRDefault="004D6A64">
            <w:pPr>
              <w:rPr>
                <w:rFonts w:ascii="宋体"/>
              </w:rPr>
            </w:pPr>
          </w:p>
        </w:tc>
        <w:tc>
          <w:tcPr>
            <w:tcW w:w="0" w:type="auto"/>
            <w:shd w:val="clear" w:color="auto" w:fill="auto"/>
          </w:tcPr>
          <w:p w14:paraId="33DAF1A8" w14:textId="77777777" w:rsidR="004D6A64" w:rsidRDefault="004D6A64">
            <w:pPr>
              <w:rPr>
                <w:rFonts w:ascii="宋体"/>
              </w:rPr>
            </w:pPr>
          </w:p>
        </w:tc>
        <w:tc>
          <w:tcPr>
            <w:tcW w:w="0" w:type="auto"/>
            <w:shd w:val="clear" w:color="auto" w:fill="auto"/>
          </w:tcPr>
          <w:p w14:paraId="33DAF1A9" w14:textId="77777777" w:rsidR="004D6A64" w:rsidRDefault="004D6A64">
            <w:pPr>
              <w:rPr>
                <w:rFonts w:ascii="宋体"/>
              </w:rPr>
            </w:pPr>
          </w:p>
        </w:tc>
        <w:tc>
          <w:tcPr>
            <w:tcW w:w="0" w:type="auto"/>
            <w:shd w:val="clear" w:color="auto" w:fill="auto"/>
          </w:tcPr>
          <w:p w14:paraId="33DAF1AA" w14:textId="77777777" w:rsidR="004D6A64" w:rsidRDefault="004D6A64">
            <w:pPr>
              <w:rPr>
                <w:rFonts w:ascii="宋体"/>
              </w:rPr>
            </w:pPr>
          </w:p>
        </w:tc>
        <w:tc>
          <w:tcPr>
            <w:tcW w:w="0" w:type="auto"/>
            <w:shd w:val="clear" w:color="auto" w:fill="auto"/>
          </w:tcPr>
          <w:p w14:paraId="33DAF1AB" w14:textId="77777777" w:rsidR="004D6A64" w:rsidRDefault="004D6A64">
            <w:pPr>
              <w:rPr>
                <w:rFonts w:ascii="宋体"/>
              </w:rPr>
            </w:pPr>
          </w:p>
        </w:tc>
        <w:tc>
          <w:tcPr>
            <w:tcW w:w="0" w:type="auto"/>
            <w:shd w:val="clear" w:color="auto" w:fill="auto"/>
          </w:tcPr>
          <w:p w14:paraId="33DAF1AC" w14:textId="77777777" w:rsidR="004D6A64" w:rsidRDefault="004D6A64">
            <w:pPr>
              <w:rPr>
                <w:rFonts w:ascii="宋体"/>
              </w:rPr>
            </w:pPr>
          </w:p>
        </w:tc>
        <w:tc>
          <w:tcPr>
            <w:tcW w:w="0" w:type="auto"/>
            <w:shd w:val="clear" w:color="auto" w:fill="auto"/>
          </w:tcPr>
          <w:p w14:paraId="33DAF1AD" w14:textId="77777777" w:rsidR="004D6A64" w:rsidRDefault="004D6A64">
            <w:pPr>
              <w:rPr>
                <w:rFonts w:ascii="宋体"/>
              </w:rPr>
            </w:pPr>
          </w:p>
        </w:tc>
        <w:tc>
          <w:tcPr>
            <w:tcW w:w="0" w:type="auto"/>
            <w:shd w:val="clear" w:color="auto" w:fill="auto"/>
          </w:tcPr>
          <w:p w14:paraId="33DAF1AE" w14:textId="77777777" w:rsidR="004D6A64" w:rsidRDefault="004D6A64">
            <w:pPr>
              <w:rPr>
                <w:rFonts w:ascii="宋体"/>
              </w:rPr>
            </w:pPr>
          </w:p>
        </w:tc>
        <w:tc>
          <w:tcPr>
            <w:tcW w:w="0" w:type="auto"/>
            <w:shd w:val="clear" w:color="auto" w:fill="auto"/>
          </w:tcPr>
          <w:p w14:paraId="33DAF1AF" w14:textId="77777777" w:rsidR="004D6A64" w:rsidRDefault="004D6A64">
            <w:pPr>
              <w:rPr>
                <w:rFonts w:ascii="宋体"/>
              </w:rPr>
            </w:pPr>
          </w:p>
        </w:tc>
        <w:tc>
          <w:tcPr>
            <w:tcW w:w="0" w:type="auto"/>
            <w:shd w:val="clear" w:color="auto" w:fill="auto"/>
          </w:tcPr>
          <w:p w14:paraId="33DAF1B0" w14:textId="77777777" w:rsidR="004D6A64" w:rsidRDefault="004D6A64">
            <w:pPr>
              <w:rPr>
                <w:rFonts w:ascii="宋体"/>
              </w:rPr>
            </w:pPr>
          </w:p>
        </w:tc>
        <w:tc>
          <w:tcPr>
            <w:tcW w:w="0" w:type="auto"/>
            <w:shd w:val="clear" w:color="auto" w:fill="auto"/>
          </w:tcPr>
          <w:p w14:paraId="33DAF1B1" w14:textId="77777777" w:rsidR="004D6A64" w:rsidRDefault="004D6A64">
            <w:pPr>
              <w:rPr>
                <w:rFonts w:ascii="宋体"/>
              </w:rPr>
            </w:pPr>
          </w:p>
        </w:tc>
        <w:tc>
          <w:tcPr>
            <w:tcW w:w="0" w:type="auto"/>
            <w:shd w:val="clear" w:color="auto" w:fill="auto"/>
          </w:tcPr>
          <w:p w14:paraId="33DAF1B2" w14:textId="77777777" w:rsidR="004D6A64" w:rsidRDefault="004D6A64">
            <w:pPr>
              <w:rPr>
                <w:rFonts w:ascii="宋体"/>
              </w:rPr>
            </w:pPr>
          </w:p>
        </w:tc>
        <w:tc>
          <w:tcPr>
            <w:tcW w:w="0" w:type="auto"/>
            <w:shd w:val="clear" w:color="auto" w:fill="auto"/>
          </w:tcPr>
          <w:p w14:paraId="33DAF1B3" w14:textId="77777777" w:rsidR="004D6A64" w:rsidRDefault="004D6A64">
            <w:pPr>
              <w:rPr>
                <w:rFonts w:ascii="宋体"/>
              </w:rPr>
            </w:pPr>
          </w:p>
        </w:tc>
        <w:tc>
          <w:tcPr>
            <w:tcW w:w="0" w:type="auto"/>
            <w:shd w:val="clear" w:color="auto" w:fill="auto"/>
          </w:tcPr>
          <w:p w14:paraId="33DAF1B4" w14:textId="77777777" w:rsidR="004D6A64" w:rsidRDefault="004D6A64">
            <w:pPr>
              <w:rPr>
                <w:rFonts w:ascii="宋体"/>
              </w:rPr>
            </w:pPr>
          </w:p>
        </w:tc>
        <w:tc>
          <w:tcPr>
            <w:tcW w:w="0" w:type="auto"/>
            <w:shd w:val="clear" w:color="auto" w:fill="auto"/>
          </w:tcPr>
          <w:p w14:paraId="33DAF1B5" w14:textId="77777777" w:rsidR="004D6A64" w:rsidRDefault="004D6A64">
            <w:pPr>
              <w:rPr>
                <w:rFonts w:ascii="宋体"/>
              </w:rPr>
            </w:pPr>
          </w:p>
        </w:tc>
        <w:tc>
          <w:tcPr>
            <w:tcW w:w="0" w:type="auto"/>
            <w:shd w:val="clear" w:color="auto" w:fill="auto"/>
          </w:tcPr>
          <w:p w14:paraId="33DAF1B6" w14:textId="77777777" w:rsidR="004D6A64" w:rsidRDefault="004D6A64">
            <w:pPr>
              <w:rPr>
                <w:rFonts w:ascii="宋体"/>
              </w:rPr>
            </w:pPr>
          </w:p>
        </w:tc>
        <w:tc>
          <w:tcPr>
            <w:tcW w:w="0" w:type="auto"/>
            <w:shd w:val="clear" w:color="auto" w:fill="auto"/>
          </w:tcPr>
          <w:p w14:paraId="33DAF1B7" w14:textId="77777777" w:rsidR="004D6A64" w:rsidRDefault="004D6A64">
            <w:pPr>
              <w:rPr>
                <w:rFonts w:ascii="宋体"/>
              </w:rPr>
            </w:pPr>
          </w:p>
        </w:tc>
        <w:tc>
          <w:tcPr>
            <w:tcW w:w="0" w:type="auto"/>
            <w:shd w:val="clear" w:color="auto" w:fill="auto"/>
          </w:tcPr>
          <w:p w14:paraId="33DAF1B8" w14:textId="77777777" w:rsidR="004D6A64" w:rsidRDefault="004D6A64">
            <w:pPr>
              <w:rPr>
                <w:rFonts w:ascii="宋体"/>
              </w:rPr>
            </w:pPr>
          </w:p>
        </w:tc>
        <w:tc>
          <w:tcPr>
            <w:tcW w:w="0" w:type="auto"/>
            <w:shd w:val="clear" w:color="auto" w:fill="auto"/>
          </w:tcPr>
          <w:p w14:paraId="33DAF1B9" w14:textId="77777777" w:rsidR="004D6A64" w:rsidRDefault="004D6A64">
            <w:pPr>
              <w:rPr>
                <w:rFonts w:ascii="宋体"/>
              </w:rPr>
            </w:pPr>
          </w:p>
        </w:tc>
        <w:tc>
          <w:tcPr>
            <w:tcW w:w="0" w:type="auto"/>
            <w:shd w:val="clear" w:color="auto" w:fill="auto"/>
          </w:tcPr>
          <w:p w14:paraId="33DAF1BA" w14:textId="77777777" w:rsidR="004D6A64" w:rsidRDefault="004D6A64">
            <w:pPr>
              <w:rPr>
                <w:rFonts w:ascii="宋体"/>
              </w:rPr>
            </w:pPr>
          </w:p>
        </w:tc>
      </w:tr>
      <w:tr w:rsidR="004D6A64" w14:paraId="33DAF1C8" w14:textId="77777777">
        <w:tc>
          <w:tcPr>
            <w:tcW w:w="0" w:type="auto"/>
            <w:gridSpan w:val="3"/>
            <w:shd w:val="clear" w:color="auto" w:fill="auto"/>
            <w:tcMar>
              <w:left w:w="20" w:type="dxa"/>
              <w:right w:w="20" w:type="dxa"/>
            </w:tcMar>
            <w:vAlign w:val="bottom"/>
          </w:tcPr>
          <w:p w14:paraId="33DAF1BC" w14:textId="77777777" w:rsidR="004D6A64" w:rsidRDefault="004D6A64">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33DAF1BD" w14:textId="77777777" w:rsidR="004D6A64" w:rsidRDefault="00506CD6">
            <w:pPr>
              <w:jc w:val="center"/>
              <w:textAlignment w:val="bottom"/>
            </w:pPr>
            <w:r>
              <w:rPr>
                <w:rFonts w:ascii="Times New Roman" w:eastAsia="宋体" w:hAnsi="Times New Roman"/>
                <w:color w:val="000000"/>
                <w:sz w:val="20"/>
                <w:szCs w:val="20"/>
              </w:rPr>
              <w:t>(in millions, except percentages)</w:t>
            </w:r>
          </w:p>
        </w:tc>
        <w:tc>
          <w:tcPr>
            <w:tcW w:w="0" w:type="auto"/>
            <w:gridSpan w:val="3"/>
            <w:shd w:val="clear" w:color="auto" w:fill="auto"/>
          </w:tcPr>
          <w:p w14:paraId="33DAF1BE" w14:textId="77777777" w:rsidR="004D6A64" w:rsidRDefault="004D6A64">
            <w:pPr>
              <w:rPr>
                <w:rFonts w:ascii="宋体"/>
                <w:vanish/>
              </w:rPr>
            </w:pPr>
          </w:p>
        </w:tc>
        <w:tc>
          <w:tcPr>
            <w:tcW w:w="0" w:type="auto"/>
            <w:gridSpan w:val="3"/>
            <w:shd w:val="clear" w:color="auto" w:fill="auto"/>
          </w:tcPr>
          <w:p w14:paraId="33DAF1BF" w14:textId="77777777" w:rsidR="004D6A64" w:rsidRDefault="004D6A64">
            <w:pPr>
              <w:rPr>
                <w:rFonts w:ascii="宋体"/>
                <w:vanish/>
              </w:rPr>
            </w:pPr>
          </w:p>
        </w:tc>
        <w:tc>
          <w:tcPr>
            <w:tcW w:w="0" w:type="auto"/>
            <w:gridSpan w:val="3"/>
            <w:shd w:val="clear" w:color="auto" w:fill="auto"/>
          </w:tcPr>
          <w:p w14:paraId="33DAF1C0" w14:textId="77777777" w:rsidR="004D6A64" w:rsidRDefault="004D6A64">
            <w:pPr>
              <w:rPr>
                <w:rFonts w:ascii="宋体"/>
                <w:vanish/>
              </w:rPr>
            </w:pPr>
          </w:p>
        </w:tc>
        <w:tc>
          <w:tcPr>
            <w:tcW w:w="0" w:type="auto"/>
            <w:gridSpan w:val="3"/>
            <w:shd w:val="clear" w:color="auto" w:fill="auto"/>
          </w:tcPr>
          <w:p w14:paraId="33DAF1C1" w14:textId="77777777" w:rsidR="004D6A64" w:rsidRDefault="004D6A64">
            <w:pPr>
              <w:rPr>
                <w:rFonts w:ascii="宋体"/>
                <w:vanish/>
              </w:rPr>
            </w:pPr>
          </w:p>
        </w:tc>
        <w:tc>
          <w:tcPr>
            <w:tcW w:w="0" w:type="auto"/>
            <w:gridSpan w:val="3"/>
            <w:shd w:val="clear" w:color="auto" w:fill="auto"/>
          </w:tcPr>
          <w:p w14:paraId="33DAF1C2" w14:textId="77777777" w:rsidR="004D6A64" w:rsidRDefault="004D6A64">
            <w:pPr>
              <w:rPr>
                <w:rFonts w:ascii="宋体"/>
                <w:vanish/>
              </w:rPr>
            </w:pPr>
          </w:p>
        </w:tc>
        <w:tc>
          <w:tcPr>
            <w:tcW w:w="0" w:type="auto"/>
            <w:gridSpan w:val="3"/>
            <w:shd w:val="clear" w:color="auto" w:fill="auto"/>
          </w:tcPr>
          <w:p w14:paraId="33DAF1C3" w14:textId="77777777" w:rsidR="004D6A64" w:rsidRDefault="004D6A64">
            <w:pPr>
              <w:rPr>
                <w:rFonts w:ascii="宋体"/>
                <w:vanish/>
              </w:rPr>
            </w:pPr>
          </w:p>
        </w:tc>
        <w:tc>
          <w:tcPr>
            <w:tcW w:w="0" w:type="auto"/>
            <w:gridSpan w:val="3"/>
            <w:shd w:val="clear" w:color="auto" w:fill="auto"/>
          </w:tcPr>
          <w:p w14:paraId="33DAF1C4" w14:textId="77777777" w:rsidR="004D6A64" w:rsidRDefault="004D6A64">
            <w:pPr>
              <w:rPr>
                <w:rFonts w:ascii="宋体"/>
                <w:vanish/>
              </w:rPr>
            </w:pPr>
          </w:p>
        </w:tc>
        <w:tc>
          <w:tcPr>
            <w:tcW w:w="0" w:type="auto"/>
            <w:gridSpan w:val="3"/>
            <w:shd w:val="clear" w:color="auto" w:fill="auto"/>
          </w:tcPr>
          <w:p w14:paraId="33DAF1C5" w14:textId="77777777" w:rsidR="004D6A64" w:rsidRDefault="004D6A64">
            <w:pPr>
              <w:rPr>
                <w:rFonts w:ascii="宋体"/>
                <w:vanish/>
              </w:rPr>
            </w:pPr>
          </w:p>
        </w:tc>
        <w:tc>
          <w:tcPr>
            <w:tcW w:w="0" w:type="auto"/>
            <w:gridSpan w:val="2"/>
            <w:shd w:val="clear" w:color="auto" w:fill="auto"/>
          </w:tcPr>
          <w:p w14:paraId="33DAF1C6" w14:textId="77777777" w:rsidR="004D6A64" w:rsidRDefault="004D6A64">
            <w:pPr>
              <w:rPr>
                <w:rFonts w:ascii="宋体"/>
                <w:vanish/>
              </w:rPr>
            </w:pPr>
          </w:p>
        </w:tc>
        <w:tc>
          <w:tcPr>
            <w:tcW w:w="0" w:type="auto"/>
            <w:shd w:val="clear" w:color="auto" w:fill="auto"/>
          </w:tcPr>
          <w:p w14:paraId="33DAF1C7" w14:textId="77777777" w:rsidR="004D6A64" w:rsidRDefault="004D6A64">
            <w:pPr>
              <w:rPr>
                <w:rFonts w:ascii="宋体"/>
                <w:vanish/>
              </w:rPr>
            </w:pPr>
          </w:p>
        </w:tc>
      </w:tr>
      <w:tr w:rsidR="004D6A64" w14:paraId="33DAF1F0" w14:textId="77777777">
        <w:tc>
          <w:tcPr>
            <w:tcW w:w="0" w:type="auto"/>
            <w:gridSpan w:val="3"/>
            <w:shd w:val="clear" w:color="auto" w:fill="CCEEFF"/>
            <w:tcMar>
              <w:top w:w="40" w:type="dxa"/>
              <w:left w:w="20" w:type="dxa"/>
              <w:bottom w:w="40" w:type="dxa"/>
              <w:right w:w="20" w:type="dxa"/>
            </w:tcMar>
            <w:vAlign w:val="center"/>
          </w:tcPr>
          <w:p w14:paraId="33DAF1C9" w14:textId="77777777" w:rsidR="004D6A64" w:rsidRDefault="00506CD6">
            <w:pPr>
              <w:textAlignment w:val="center"/>
            </w:pPr>
            <w:r>
              <w:rPr>
                <w:rFonts w:ascii="Times New Roman" w:eastAsia="宋体" w:hAnsi="Times New Roman"/>
                <w:i/>
                <w:iCs/>
                <w:color w:val="000000"/>
                <w:sz w:val="20"/>
                <w:szCs w:val="20"/>
              </w:rPr>
              <w:t>Net revenue:</w:t>
            </w:r>
          </w:p>
        </w:tc>
        <w:tc>
          <w:tcPr>
            <w:tcW w:w="0" w:type="auto"/>
            <w:gridSpan w:val="3"/>
            <w:shd w:val="clear" w:color="auto" w:fill="CCEEFF"/>
            <w:tcMar>
              <w:left w:w="20" w:type="dxa"/>
              <w:right w:w="20" w:type="dxa"/>
            </w:tcMar>
            <w:vAlign w:val="bottom"/>
          </w:tcPr>
          <w:p w14:paraId="33DAF1CA"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1CB"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1C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1C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1CE"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1CF"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1D0"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1D1"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1D2"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1D3"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1D4" w14:textId="77777777" w:rsidR="004D6A64" w:rsidRDefault="004D6A64">
            <w:pPr>
              <w:rPr>
                <w:rFonts w:ascii="宋体"/>
              </w:rPr>
            </w:pPr>
          </w:p>
        </w:tc>
        <w:tc>
          <w:tcPr>
            <w:tcW w:w="0" w:type="auto"/>
            <w:shd w:val="clear" w:color="auto" w:fill="auto"/>
          </w:tcPr>
          <w:p w14:paraId="33DAF1D5" w14:textId="77777777" w:rsidR="004D6A64" w:rsidRDefault="004D6A64">
            <w:pPr>
              <w:rPr>
                <w:rFonts w:ascii="宋体"/>
              </w:rPr>
            </w:pPr>
          </w:p>
        </w:tc>
        <w:tc>
          <w:tcPr>
            <w:tcW w:w="0" w:type="auto"/>
            <w:shd w:val="clear" w:color="auto" w:fill="auto"/>
          </w:tcPr>
          <w:p w14:paraId="33DAF1D6" w14:textId="77777777" w:rsidR="004D6A64" w:rsidRDefault="004D6A64">
            <w:pPr>
              <w:rPr>
                <w:rFonts w:ascii="宋体"/>
              </w:rPr>
            </w:pPr>
          </w:p>
        </w:tc>
        <w:tc>
          <w:tcPr>
            <w:tcW w:w="0" w:type="auto"/>
            <w:shd w:val="clear" w:color="auto" w:fill="auto"/>
          </w:tcPr>
          <w:p w14:paraId="33DAF1D7" w14:textId="77777777" w:rsidR="004D6A64" w:rsidRDefault="004D6A64">
            <w:pPr>
              <w:rPr>
                <w:rFonts w:ascii="宋体"/>
              </w:rPr>
            </w:pPr>
          </w:p>
        </w:tc>
        <w:tc>
          <w:tcPr>
            <w:tcW w:w="0" w:type="auto"/>
            <w:shd w:val="clear" w:color="auto" w:fill="auto"/>
          </w:tcPr>
          <w:p w14:paraId="33DAF1D8" w14:textId="77777777" w:rsidR="004D6A64" w:rsidRDefault="004D6A64">
            <w:pPr>
              <w:rPr>
                <w:rFonts w:ascii="宋体"/>
              </w:rPr>
            </w:pPr>
          </w:p>
        </w:tc>
        <w:tc>
          <w:tcPr>
            <w:tcW w:w="0" w:type="auto"/>
            <w:shd w:val="clear" w:color="auto" w:fill="auto"/>
          </w:tcPr>
          <w:p w14:paraId="33DAF1D9" w14:textId="77777777" w:rsidR="004D6A64" w:rsidRDefault="004D6A64">
            <w:pPr>
              <w:rPr>
                <w:rFonts w:ascii="宋体"/>
              </w:rPr>
            </w:pPr>
          </w:p>
        </w:tc>
        <w:tc>
          <w:tcPr>
            <w:tcW w:w="0" w:type="auto"/>
            <w:shd w:val="clear" w:color="auto" w:fill="auto"/>
          </w:tcPr>
          <w:p w14:paraId="33DAF1DA" w14:textId="77777777" w:rsidR="004D6A64" w:rsidRDefault="004D6A64">
            <w:pPr>
              <w:rPr>
                <w:rFonts w:ascii="宋体"/>
              </w:rPr>
            </w:pPr>
          </w:p>
        </w:tc>
        <w:tc>
          <w:tcPr>
            <w:tcW w:w="0" w:type="auto"/>
            <w:shd w:val="clear" w:color="auto" w:fill="auto"/>
          </w:tcPr>
          <w:p w14:paraId="33DAF1DB" w14:textId="77777777" w:rsidR="004D6A64" w:rsidRDefault="004D6A64">
            <w:pPr>
              <w:rPr>
                <w:rFonts w:ascii="宋体"/>
              </w:rPr>
            </w:pPr>
          </w:p>
        </w:tc>
        <w:tc>
          <w:tcPr>
            <w:tcW w:w="0" w:type="auto"/>
            <w:shd w:val="clear" w:color="auto" w:fill="auto"/>
          </w:tcPr>
          <w:p w14:paraId="33DAF1DC" w14:textId="77777777" w:rsidR="004D6A64" w:rsidRDefault="004D6A64">
            <w:pPr>
              <w:rPr>
                <w:rFonts w:ascii="宋体"/>
              </w:rPr>
            </w:pPr>
          </w:p>
        </w:tc>
        <w:tc>
          <w:tcPr>
            <w:tcW w:w="0" w:type="auto"/>
            <w:shd w:val="clear" w:color="auto" w:fill="auto"/>
          </w:tcPr>
          <w:p w14:paraId="33DAF1DD" w14:textId="77777777" w:rsidR="004D6A64" w:rsidRDefault="004D6A64">
            <w:pPr>
              <w:rPr>
                <w:rFonts w:ascii="宋体"/>
              </w:rPr>
            </w:pPr>
          </w:p>
        </w:tc>
        <w:tc>
          <w:tcPr>
            <w:tcW w:w="0" w:type="auto"/>
            <w:shd w:val="clear" w:color="auto" w:fill="auto"/>
          </w:tcPr>
          <w:p w14:paraId="33DAF1DE" w14:textId="77777777" w:rsidR="004D6A64" w:rsidRDefault="004D6A64">
            <w:pPr>
              <w:rPr>
                <w:rFonts w:ascii="宋体"/>
              </w:rPr>
            </w:pPr>
          </w:p>
        </w:tc>
        <w:tc>
          <w:tcPr>
            <w:tcW w:w="0" w:type="auto"/>
            <w:shd w:val="clear" w:color="auto" w:fill="auto"/>
          </w:tcPr>
          <w:p w14:paraId="33DAF1DF" w14:textId="77777777" w:rsidR="004D6A64" w:rsidRDefault="004D6A64">
            <w:pPr>
              <w:rPr>
                <w:rFonts w:ascii="宋体"/>
              </w:rPr>
            </w:pPr>
          </w:p>
        </w:tc>
        <w:tc>
          <w:tcPr>
            <w:tcW w:w="0" w:type="auto"/>
            <w:shd w:val="clear" w:color="auto" w:fill="auto"/>
          </w:tcPr>
          <w:p w14:paraId="33DAF1E0" w14:textId="77777777" w:rsidR="004D6A64" w:rsidRDefault="004D6A64">
            <w:pPr>
              <w:rPr>
                <w:rFonts w:ascii="宋体"/>
              </w:rPr>
            </w:pPr>
          </w:p>
        </w:tc>
        <w:tc>
          <w:tcPr>
            <w:tcW w:w="0" w:type="auto"/>
            <w:shd w:val="clear" w:color="auto" w:fill="auto"/>
          </w:tcPr>
          <w:p w14:paraId="33DAF1E1" w14:textId="77777777" w:rsidR="004D6A64" w:rsidRDefault="004D6A64">
            <w:pPr>
              <w:rPr>
                <w:rFonts w:ascii="宋体"/>
              </w:rPr>
            </w:pPr>
          </w:p>
        </w:tc>
        <w:tc>
          <w:tcPr>
            <w:tcW w:w="0" w:type="auto"/>
            <w:shd w:val="clear" w:color="auto" w:fill="auto"/>
          </w:tcPr>
          <w:p w14:paraId="33DAF1E2" w14:textId="77777777" w:rsidR="004D6A64" w:rsidRDefault="004D6A64">
            <w:pPr>
              <w:rPr>
                <w:rFonts w:ascii="宋体"/>
              </w:rPr>
            </w:pPr>
          </w:p>
        </w:tc>
        <w:tc>
          <w:tcPr>
            <w:tcW w:w="0" w:type="auto"/>
            <w:shd w:val="clear" w:color="auto" w:fill="auto"/>
          </w:tcPr>
          <w:p w14:paraId="33DAF1E3" w14:textId="77777777" w:rsidR="004D6A64" w:rsidRDefault="004D6A64">
            <w:pPr>
              <w:rPr>
                <w:rFonts w:ascii="宋体"/>
              </w:rPr>
            </w:pPr>
          </w:p>
        </w:tc>
        <w:tc>
          <w:tcPr>
            <w:tcW w:w="0" w:type="auto"/>
            <w:shd w:val="clear" w:color="auto" w:fill="auto"/>
          </w:tcPr>
          <w:p w14:paraId="33DAF1E4" w14:textId="77777777" w:rsidR="004D6A64" w:rsidRDefault="004D6A64">
            <w:pPr>
              <w:rPr>
                <w:rFonts w:ascii="宋体"/>
              </w:rPr>
            </w:pPr>
          </w:p>
        </w:tc>
        <w:tc>
          <w:tcPr>
            <w:tcW w:w="0" w:type="auto"/>
            <w:shd w:val="clear" w:color="auto" w:fill="auto"/>
          </w:tcPr>
          <w:p w14:paraId="33DAF1E5" w14:textId="77777777" w:rsidR="004D6A64" w:rsidRDefault="004D6A64">
            <w:pPr>
              <w:rPr>
                <w:rFonts w:ascii="宋体"/>
              </w:rPr>
            </w:pPr>
          </w:p>
        </w:tc>
        <w:tc>
          <w:tcPr>
            <w:tcW w:w="0" w:type="auto"/>
            <w:shd w:val="clear" w:color="auto" w:fill="auto"/>
          </w:tcPr>
          <w:p w14:paraId="33DAF1E6" w14:textId="77777777" w:rsidR="004D6A64" w:rsidRDefault="004D6A64">
            <w:pPr>
              <w:rPr>
                <w:rFonts w:ascii="宋体"/>
              </w:rPr>
            </w:pPr>
          </w:p>
        </w:tc>
        <w:tc>
          <w:tcPr>
            <w:tcW w:w="0" w:type="auto"/>
            <w:shd w:val="clear" w:color="auto" w:fill="auto"/>
          </w:tcPr>
          <w:p w14:paraId="33DAF1E7" w14:textId="77777777" w:rsidR="004D6A64" w:rsidRDefault="004D6A64">
            <w:pPr>
              <w:rPr>
                <w:rFonts w:ascii="宋体"/>
              </w:rPr>
            </w:pPr>
          </w:p>
        </w:tc>
        <w:tc>
          <w:tcPr>
            <w:tcW w:w="0" w:type="auto"/>
            <w:shd w:val="clear" w:color="auto" w:fill="auto"/>
          </w:tcPr>
          <w:p w14:paraId="33DAF1E8" w14:textId="77777777" w:rsidR="004D6A64" w:rsidRDefault="004D6A64">
            <w:pPr>
              <w:rPr>
                <w:rFonts w:ascii="宋体"/>
              </w:rPr>
            </w:pPr>
          </w:p>
        </w:tc>
        <w:tc>
          <w:tcPr>
            <w:tcW w:w="0" w:type="auto"/>
            <w:shd w:val="clear" w:color="auto" w:fill="auto"/>
          </w:tcPr>
          <w:p w14:paraId="33DAF1E9" w14:textId="77777777" w:rsidR="004D6A64" w:rsidRDefault="004D6A64">
            <w:pPr>
              <w:rPr>
                <w:rFonts w:ascii="宋体"/>
              </w:rPr>
            </w:pPr>
          </w:p>
        </w:tc>
        <w:tc>
          <w:tcPr>
            <w:tcW w:w="0" w:type="auto"/>
            <w:shd w:val="clear" w:color="auto" w:fill="auto"/>
          </w:tcPr>
          <w:p w14:paraId="33DAF1EA" w14:textId="77777777" w:rsidR="004D6A64" w:rsidRDefault="004D6A64">
            <w:pPr>
              <w:rPr>
                <w:rFonts w:ascii="宋体"/>
              </w:rPr>
            </w:pPr>
          </w:p>
        </w:tc>
        <w:tc>
          <w:tcPr>
            <w:tcW w:w="0" w:type="auto"/>
            <w:shd w:val="clear" w:color="auto" w:fill="auto"/>
          </w:tcPr>
          <w:p w14:paraId="33DAF1EB" w14:textId="77777777" w:rsidR="004D6A64" w:rsidRDefault="004D6A64">
            <w:pPr>
              <w:rPr>
                <w:rFonts w:ascii="宋体"/>
              </w:rPr>
            </w:pPr>
          </w:p>
        </w:tc>
        <w:tc>
          <w:tcPr>
            <w:tcW w:w="0" w:type="auto"/>
            <w:shd w:val="clear" w:color="auto" w:fill="auto"/>
          </w:tcPr>
          <w:p w14:paraId="33DAF1EC" w14:textId="77777777" w:rsidR="004D6A64" w:rsidRDefault="004D6A64">
            <w:pPr>
              <w:rPr>
                <w:rFonts w:ascii="宋体"/>
              </w:rPr>
            </w:pPr>
          </w:p>
        </w:tc>
        <w:tc>
          <w:tcPr>
            <w:tcW w:w="0" w:type="auto"/>
            <w:shd w:val="clear" w:color="auto" w:fill="auto"/>
          </w:tcPr>
          <w:p w14:paraId="33DAF1ED" w14:textId="77777777" w:rsidR="004D6A64" w:rsidRDefault="004D6A64">
            <w:pPr>
              <w:rPr>
                <w:rFonts w:ascii="宋体"/>
              </w:rPr>
            </w:pPr>
          </w:p>
        </w:tc>
        <w:tc>
          <w:tcPr>
            <w:tcW w:w="0" w:type="auto"/>
            <w:shd w:val="clear" w:color="auto" w:fill="auto"/>
          </w:tcPr>
          <w:p w14:paraId="33DAF1EE" w14:textId="77777777" w:rsidR="004D6A64" w:rsidRDefault="004D6A64">
            <w:pPr>
              <w:rPr>
                <w:rFonts w:ascii="宋体"/>
              </w:rPr>
            </w:pPr>
          </w:p>
        </w:tc>
        <w:tc>
          <w:tcPr>
            <w:tcW w:w="0" w:type="auto"/>
            <w:shd w:val="clear" w:color="auto" w:fill="auto"/>
          </w:tcPr>
          <w:p w14:paraId="33DAF1EF" w14:textId="77777777" w:rsidR="004D6A64" w:rsidRDefault="004D6A64">
            <w:pPr>
              <w:rPr>
                <w:rFonts w:ascii="宋体"/>
              </w:rPr>
            </w:pPr>
          </w:p>
        </w:tc>
      </w:tr>
      <w:tr w:rsidR="004D6A64" w14:paraId="33DAF222" w14:textId="77777777">
        <w:tc>
          <w:tcPr>
            <w:tcW w:w="0" w:type="auto"/>
            <w:gridSpan w:val="3"/>
            <w:shd w:val="clear" w:color="auto" w:fill="FFFFFF"/>
            <w:tcMar>
              <w:top w:w="40" w:type="dxa"/>
              <w:left w:w="135" w:type="dxa"/>
              <w:bottom w:w="40" w:type="dxa"/>
              <w:right w:w="20" w:type="dxa"/>
            </w:tcMar>
            <w:vAlign w:val="center"/>
          </w:tcPr>
          <w:p w14:paraId="33DAF1F1" w14:textId="77777777" w:rsidR="004D6A64" w:rsidRDefault="00506CD6">
            <w:pPr>
              <w:textAlignment w:val="center"/>
            </w:pPr>
            <w:r>
              <w:rPr>
                <w:rFonts w:ascii="Times New Roman" w:eastAsia="宋体" w:hAnsi="Times New Roman"/>
                <w:color w:val="000000"/>
                <w:sz w:val="20"/>
                <w:szCs w:val="20"/>
              </w:rPr>
              <w:t>Servers and networking</w:t>
            </w:r>
          </w:p>
        </w:tc>
        <w:tc>
          <w:tcPr>
            <w:tcW w:w="0" w:type="auto"/>
            <w:shd w:val="clear" w:color="auto" w:fill="FFFFFF"/>
            <w:tcMar>
              <w:top w:w="40" w:type="dxa"/>
              <w:left w:w="20" w:type="dxa"/>
              <w:bottom w:w="40" w:type="dxa"/>
            </w:tcMar>
            <w:vAlign w:val="center"/>
          </w:tcPr>
          <w:p w14:paraId="33DAF1F2"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F1F3" w14:textId="77777777" w:rsidR="004D6A64" w:rsidRDefault="00506CD6">
            <w:pPr>
              <w:jc w:val="right"/>
              <w:textAlignment w:val="center"/>
            </w:pPr>
            <w:r>
              <w:rPr>
                <w:rFonts w:ascii="Times New Roman" w:eastAsia="宋体" w:hAnsi="Times New Roman"/>
                <w:color w:val="000000"/>
                <w:sz w:val="20"/>
                <w:szCs w:val="20"/>
              </w:rPr>
              <w:t>4,196 </w:t>
            </w:r>
          </w:p>
        </w:tc>
        <w:tc>
          <w:tcPr>
            <w:tcW w:w="0" w:type="auto"/>
            <w:shd w:val="clear" w:color="auto" w:fill="FFFFFF"/>
            <w:tcMar>
              <w:top w:w="40" w:type="dxa"/>
              <w:bottom w:w="40" w:type="dxa"/>
              <w:right w:w="20" w:type="dxa"/>
            </w:tcMar>
            <w:vAlign w:val="center"/>
          </w:tcPr>
          <w:p w14:paraId="33DAF1F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1F5"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F1F6" w14:textId="77777777" w:rsidR="004D6A64" w:rsidRDefault="00506CD6">
            <w:pPr>
              <w:jc w:val="right"/>
              <w:textAlignment w:val="center"/>
            </w:pPr>
            <w:r>
              <w:rPr>
                <w:rFonts w:ascii="Times New Roman" w:eastAsia="宋体" w:hAnsi="Times New Roman"/>
                <w:color w:val="000000"/>
                <w:sz w:val="20"/>
                <w:szCs w:val="20"/>
              </w:rPr>
              <w:t>(5)</w:t>
            </w:r>
          </w:p>
        </w:tc>
        <w:tc>
          <w:tcPr>
            <w:tcW w:w="0" w:type="auto"/>
            <w:shd w:val="clear" w:color="auto" w:fill="FFFFFF"/>
            <w:tcMar>
              <w:top w:w="40" w:type="dxa"/>
              <w:bottom w:w="40" w:type="dxa"/>
              <w:right w:w="20" w:type="dxa"/>
            </w:tcMar>
            <w:vAlign w:val="center"/>
          </w:tcPr>
          <w:p w14:paraId="33DAF1F7"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F1F8"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F1F9"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F1FA" w14:textId="77777777" w:rsidR="004D6A64" w:rsidRDefault="00506CD6">
            <w:pPr>
              <w:jc w:val="right"/>
              <w:textAlignment w:val="center"/>
            </w:pPr>
            <w:r>
              <w:rPr>
                <w:rFonts w:ascii="Times New Roman" w:eastAsia="宋体" w:hAnsi="Times New Roman"/>
                <w:color w:val="000000"/>
                <w:sz w:val="20"/>
                <w:szCs w:val="20"/>
              </w:rPr>
              <w:t>4,437 </w:t>
            </w:r>
          </w:p>
        </w:tc>
        <w:tc>
          <w:tcPr>
            <w:tcW w:w="0" w:type="auto"/>
            <w:shd w:val="clear" w:color="auto" w:fill="FFFFFF"/>
            <w:tcMar>
              <w:top w:w="40" w:type="dxa"/>
              <w:bottom w:w="40" w:type="dxa"/>
              <w:right w:w="120" w:type="dxa"/>
            </w:tcMar>
            <w:vAlign w:val="center"/>
          </w:tcPr>
          <w:p w14:paraId="33DAF1F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1FC"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F1FD"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F1FE" w14:textId="77777777" w:rsidR="004D6A64" w:rsidRDefault="00506CD6">
            <w:pPr>
              <w:jc w:val="right"/>
              <w:textAlignment w:val="center"/>
            </w:pPr>
            <w:r>
              <w:rPr>
                <w:rFonts w:ascii="Times New Roman" w:eastAsia="宋体" w:hAnsi="Times New Roman"/>
                <w:color w:val="000000"/>
                <w:sz w:val="20"/>
                <w:szCs w:val="20"/>
              </w:rPr>
              <w:t>7,954 </w:t>
            </w:r>
          </w:p>
        </w:tc>
        <w:tc>
          <w:tcPr>
            <w:tcW w:w="0" w:type="auto"/>
            <w:shd w:val="clear" w:color="auto" w:fill="FFFFFF"/>
            <w:tcMar>
              <w:top w:w="40" w:type="dxa"/>
              <w:bottom w:w="40" w:type="dxa"/>
              <w:right w:w="120" w:type="dxa"/>
            </w:tcMar>
            <w:vAlign w:val="center"/>
          </w:tcPr>
          <w:p w14:paraId="33DAF1F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20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F201" w14:textId="77777777" w:rsidR="004D6A64" w:rsidRDefault="00506CD6">
            <w:pPr>
              <w:jc w:val="right"/>
              <w:textAlignment w:val="center"/>
            </w:pPr>
            <w:r>
              <w:rPr>
                <w:rFonts w:ascii="Times New Roman" w:eastAsia="宋体" w:hAnsi="Times New Roman"/>
                <w:color w:val="000000"/>
                <w:sz w:val="20"/>
                <w:szCs w:val="20"/>
              </w:rPr>
              <w:t>(8)</w:t>
            </w:r>
          </w:p>
        </w:tc>
        <w:tc>
          <w:tcPr>
            <w:tcW w:w="0" w:type="auto"/>
            <w:shd w:val="clear" w:color="auto" w:fill="FFFFFF"/>
            <w:tcMar>
              <w:top w:w="40" w:type="dxa"/>
              <w:bottom w:w="40" w:type="dxa"/>
              <w:right w:w="20" w:type="dxa"/>
            </w:tcMar>
            <w:vAlign w:val="center"/>
          </w:tcPr>
          <w:p w14:paraId="33DAF202"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F203"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F204"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F205" w14:textId="77777777" w:rsidR="004D6A64" w:rsidRDefault="00506CD6">
            <w:pPr>
              <w:jc w:val="right"/>
              <w:textAlignment w:val="center"/>
            </w:pPr>
            <w:r>
              <w:rPr>
                <w:rFonts w:ascii="Times New Roman" w:eastAsia="宋体" w:hAnsi="Times New Roman"/>
                <w:color w:val="000000"/>
                <w:sz w:val="20"/>
                <w:szCs w:val="20"/>
              </w:rPr>
              <w:t>8,617 </w:t>
            </w:r>
          </w:p>
        </w:tc>
        <w:tc>
          <w:tcPr>
            <w:tcW w:w="0" w:type="auto"/>
            <w:shd w:val="clear" w:color="auto" w:fill="FFFFFF"/>
            <w:tcMar>
              <w:top w:w="40" w:type="dxa"/>
              <w:bottom w:w="40" w:type="dxa"/>
              <w:right w:w="120" w:type="dxa"/>
            </w:tcMar>
            <w:vAlign w:val="center"/>
          </w:tcPr>
          <w:p w14:paraId="33DAF206" w14:textId="77777777" w:rsidR="004D6A64" w:rsidRDefault="004D6A64">
            <w:pPr>
              <w:jc w:val="right"/>
              <w:rPr>
                <w:rFonts w:ascii="宋体"/>
              </w:rPr>
            </w:pPr>
          </w:p>
        </w:tc>
        <w:tc>
          <w:tcPr>
            <w:tcW w:w="0" w:type="auto"/>
            <w:shd w:val="clear" w:color="auto" w:fill="auto"/>
          </w:tcPr>
          <w:p w14:paraId="33DAF207" w14:textId="77777777" w:rsidR="004D6A64" w:rsidRDefault="004D6A64">
            <w:pPr>
              <w:rPr>
                <w:rFonts w:ascii="宋体"/>
              </w:rPr>
            </w:pPr>
          </w:p>
        </w:tc>
        <w:tc>
          <w:tcPr>
            <w:tcW w:w="0" w:type="auto"/>
            <w:shd w:val="clear" w:color="auto" w:fill="auto"/>
          </w:tcPr>
          <w:p w14:paraId="33DAF208" w14:textId="77777777" w:rsidR="004D6A64" w:rsidRDefault="004D6A64">
            <w:pPr>
              <w:rPr>
                <w:rFonts w:ascii="宋体"/>
              </w:rPr>
            </w:pPr>
          </w:p>
        </w:tc>
        <w:tc>
          <w:tcPr>
            <w:tcW w:w="0" w:type="auto"/>
            <w:shd w:val="clear" w:color="auto" w:fill="auto"/>
          </w:tcPr>
          <w:p w14:paraId="33DAF209" w14:textId="77777777" w:rsidR="004D6A64" w:rsidRDefault="004D6A64">
            <w:pPr>
              <w:rPr>
                <w:rFonts w:ascii="宋体"/>
              </w:rPr>
            </w:pPr>
          </w:p>
        </w:tc>
        <w:tc>
          <w:tcPr>
            <w:tcW w:w="0" w:type="auto"/>
            <w:shd w:val="clear" w:color="auto" w:fill="auto"/>
          </w:tcPr>
          <w:p w14:paraId="33DAF20A" w14:textId="77777777" w:rsidR="004D6A64" w:rsidRDefault="004D6A64">
            <w:pPr>
              <w:rPr>
                <w:rFonts w:ascii="宋体"/>
              </w:rPr>
            </w:pPr>
          </w:p>
        </w:tc>
        <w:tc>
          <w:tcPr>
            <w:tcW w:w="0" w:type="auto"/>
            <w:shd w:val="clear" w:color="auto" w:fill="auto"/>
          </w:tcPr>
          <w:p w14:paraId="33DAF20B" w14:textId="77777777" w:rsidR="004D6A64" w:rsidRDefault="004D6A64">
            <w:pPr>
              <w:rPr>
                <w:rFonts w:ascii="宋体"/>
              </w:rPr>
            </w:pPr>
          </w:p>
        </w:tc>
        <w:tc>
          <w:tcPr>
            <w:tcW w:w="0" w:type="auto"/>
            <w:shd w:val="clear" w:color="auto" w:fill="auto"/>
          </w:tcPr>
          <w:p w14:paraId="33DAF20C" w14:textId="77777777" w:rsidR="004D6A64" w:rsidRDefault="004D6A64">
            <w:pPr>
              <w:rPr>
                <w:rFonts w:ascii="宋体"/>
              </w:rPr>
            </w:pPr>
          </w:p>
        </w:tc>
        <w:tc>
          <w:tcPr>
            <w:tcW w:w="0" w:type="auto"/>
            <w:shd w:val="clear" w:color="auto" w:fill="auto"/>
          </w:tcPr>
          <w:p w14:paraId="33DAF20D" w14:textId="77777777" w:rsidR="004D6A64" w:rsidRDefault="004D6A64">
            <w:pPr>
              <w:rPr>
                <w:rFonts w:ascii="宋体"/>
              </w:rPr>
            </w:pPr>
          </w:p>
        </w:tc>
        <w:tc>
          <w:tcPr>
            <w:tcW w:w="0" w:type="auto"/>
            <w:shd w:val="clear" w:color="auto" w:fill="auto"/>
          </w:tcPr>
          <w:p w14:paraId="33DAF20E" w14:textId="77777777" w:rsidR="004D6A64" w:rsidRDefault="004D6A64">
            <w:pPr>
              <w:rPr>
                <w:rFonts w:ascii="宋体"/>
              </w:rPr>
            </w:pPr>
          </w:p>
        </w:tc>
        <w:tc>
          <w:tcPr>
            <w:tcW w:w="0" w:type="auto"/>
            <w:shd w:val="clear" w:color="auto" w:fill="auto"/>
          </w:tcPr>
          <w:p w14:paraId="33DAF20F" w14:textId="77777777" w:rsidR="004D6A64" w:rsidRDefault="004D6A64">
            <w:pPr>
              <w:rPr>
                <w:rFonts w:ascii="宋体"/>
              </w:rPr>
            </w:pPr>
          </w:p>
        </w:tc>
        <w:tc>
          <w:tcPr>
            <w:tcW w:w="0" w:type="auto"/>
            <w:shd w:val="clear" w:color="auto" w:fill="auto"/>
          </w:tcPr>
          <w:p w14:paraId="33DAF210" w14:textId="77777777" w:rsidR="004D6A64" w:rsidRDefault="004D6A64">
            <w:pPr>
              <w:rPr>
                <w:rFonts w:ascii="宋体"/>
              </w:rPr>
            </w:pPr>
          </w:p>
        </w:tc>
        <w:tc>
          <w:tcPr>
            <w:tcW w:w="0" w:type="auto"/>
            <w:shd w:val="clear" w:color="auto" w:fill="auto"/>
          </w:tcPr>
          <w:p w14:paraId="33DAF211" w14:textId="77777777" w:rsidR="004D6A64" w:rsidRDefault="004D6A64">
            <w:pPr>
              <w:rPr>
                <w:rFonts w:ascii="宋体"/>
              </w:rPr>
            </w:pPr>
          </w:p>
        </w:tc>
        <w:tc>
          <w:tcPr>
            <w:tcW w:w="0" w:type="auto"/>
            <w:shd w:val="clear" w:color="auto" w:fill="auto"/>
          </w:tcPr>
          <w:p w14:paraId="33DAF212" w14:textId="77777777" w:rsidR="004D6A64" w:rsidRDefault="004D6A64">
            <w:pPr>
              <w:rPr>
                <w:rFonts w:ascii="宋体"/>
              </w:rPr>
            </w:pPr>
          </w:p>
        </w:tc>
        <w:tc>
          <w:tcPr>
            <w:tcW w:w="0" w:type="auto"/>
            <w:shd w:val="clear" w:color="auto" w:fill="auto"/>
          </w:tcPr>
          <w:p w14:paraId="33DAF213" w14:textId="77777777" w:rsidR="004D6A64" w:rsidRDefault="004D6A64">
            <w:pPr>
              <w:rPr>
                <w:rFonts w:ascii="宋体"/>
              </w:rPr>
            </w:pPr>
          </w:p>
        </w:tc>
        <w:tc>
          <w:tcPr>
            <w:tcW w:w="0" w:type="auto"/>
            <w:shd w:val="clear" w:color="auto" w:fill="auto"/>
          </w:tcPr>
          <w:p w14:paraId="33DAF214" w14:textId="77777777" w:rsidR="004D6A64" w:rsidRDefault="004D6A64">
            <w:pPr>
              <w:rPr>
                <w:rFonts w:ascii="宋体"/>
              </w:rPr>
            </w:pPr>
          </w:p>
        </w:tc>
        <w:tc>
          <w:tcPr>
            <w:tcW w:w="0" w:type="auto"/>
            <w:shd w:val="clear" w:color="auto" w:fill="auto"/>
          </w:tcPr>
          <w:p w14:paraId="33DAF215" w14:textId="77777777" w:rsidR="004D6A64" w:rsidRDefault="004D6A64">
            <w:pPr>
              <w:rPr>
                <w:rFonts w:ascii="宋体"/>
              </w:rPr>
            </w:pPr>
          </w:p>
        </w:tc>
        <w:tc>
          <w:tcPr>
            <w:tcW w:w="0" w:type="auto"/>
            <w:shd w:val="clear" w:color="auto" w:fill="auto"/>
          </w:tcPr>
          <w:p w14:paraId="33DAF216" w14:textId="77777777" w:rsidR="004D6A64" w:rsidRDefault="004D6A64">
            <w:pPr>
              <w:rPr>
                <w:rFonts w:ascii="宋体"/>
              </w:rPr>
            </w:pPr>
          </w:p>
        </w:tc>
        <w:tc>
          <w:tcPr>
            <w:tcW w:w="0" w:type="auto"/>
            <w:shd w:val="clear" w:color="auto" w:fill="auto"/>
          </w:tcPr>
          <w:p w14:paraId="33DAF217" w14:textId="77777777" w:rsidR="004D6A64" w:rsidRDefault="004D6A64">
            <w:pPr>
              <w:rPr>
                <w:rFonts w:ascii="宋体"/>
              </w:rPr>
            </w:pPr>
          </w:p>
        </w:tc>
        <w:tc>
          <w:tcPr>
            <w:tcW w:w="0" w:type="auto"/>
            <w:shd w:val="clear" w:color="auto" w:fill="auto"/>
          </w:tcPr>
          <w:p w14:paraId="33DAF218" w14:textId="77777777" w:rsidR="004D6A64" w:rsidRDefault="004D6A64">
            <w:pPr>
              <w:rPr>
                <w:rFonts w:ascii="宋体"/>
              </w:rPr>
            </w:pPr>
          </w:p>
        </w:tc>
        <w:tc>
          <w:tcPr>
            <w:tcW w:w="0" w:type="auto"/>
            <w:shd w:val="clear" w:color="auto" w:fill="auto"/>
          </w:tcPr>
          <w:p w14:paraId="33DAF219" w14:textId="77777777" w:rsidR="004D6A64" w:rsidRDefault="004D6A64">
            <w:pPr>
              <w:rPr>
                <w:rFonts w:ascii="宋体"/>
              </w:rPr>
            </w:pPr>
          </w:p>
        </w:tc>
        <w:tc>
          <w:tcPr>
            <w:tcW w:w="0" w:type="auto"/>
            <w:shd w:val="clear" w:color="auto" w:fill="auto"/>
          </w:tcPr>
          <w:p w14:paraId="33DAF21A" w14:textId="77777777" w:rsidR="004D6A64" w:rsidRDefault="004D6A64">
            <w:pPr>
              <w:rPr>
                <w:rFonts w:ascii="宋体"/>
              </w:rPr>
            </w:pPr>
          </w:p>
        </w:tc>
        <w:tc>
          <w:tcPr>
            <w:tcW w:w="0" w:type="auto"/>
            <w:shd w:val="clear" w:color="auto" w:fill="auto"/>
          </w:tcPr>
          <w:p w14:paraId="33DAF21B" w14:textId="77777777" w:rsidR="004D6A64" w:rsidRDefault="004D6A64">
            <w:pPr>
              <w:rPr>
                <w:rFonts w:ascii="宋体"/>
              </w:rPr>
            </w:pPr>
          </w:p>
        </w:tc>
        <w:tc>
          <w:tcPr>
            <w:tcW w:w="0" w:type="auto"/>
            <w:shd w:val="clear" w:color="auto" w:fill="auto"/>
          </w:tcPr>
          <w:p w14:paraId="33DAF21C" w14:textId="77777777" w:rsidR="004D6A64" w:rsidRDefault="004D6A64">
            <w:pPr>
              <w:rPr>
                <w:rFonts w:ascii="宋体"/>
              </w:rPr>
            </w:pPr>
          </w:p>
        </w:tc>
        <w:tc>
          <w:tcPr>
            <w:tcW w:w="0" w:type="auto"/>
            <w:shd w:val="clear" w:color="auto" w:fill="auto"/>
          </w:tcPr>
          <w:p w14:paraId="33DAF21D" w14:textId="77777777" w:rsidR="004D6A64" w:rsidRDefault="004D6A64">
            <w:pPr>
              <w:rPr>
                <w:rFonts w:ascii="宋体"/>
              </w:rPr>
            </w:pPr>
          </w:p>
        </w:tc>
        <w:tc>
          <w:tcPr>
            <w:tcW w:w="0" w:type="auto"/>
            <w:shd w:val="clear" w:color="auto" w:fill="auto"/>
          </w:tcPr>
          <w:p w14:paraId="33DAF21E" w14:textId="77777777" w:rsidR="004D6A64" w:rsidRDefault="004D6A64">
            <w:pPr>
              <w:rPr>
                <w:rFonts w:ascii="宋体"/>
              </w:rPr>
            </w:pPr>
          </w:p>
        </w:tc>
        <w:tc>
          <w:tcPr>
            <w:tcW w:w="0" w:type="auto"/>
            <w:shd w:val="clear" w:color="auto" w:fill="auto"/>
          </w:tcPr>
          <w:p w14:paraId="33DAF21F" w14:textId="77777777" w:rsidR="004D6A64" w:rsidRDefault="004D6A64">
            <w:pPr>
              <w:rPr>
                <w:rFonts w:ascii="宋体"/>
              </w:rPr>
            </w:pPr>
          </w:p>
        </w:tc>
        <w:tc>
          <w:tcPr>
            <w:tcW w:w="0" w:type="auto"/>
            <w:shd w:val="clear" w:color="auto" w:fill="auto"/>
          </w:tcPr>
          <w:p w14:paraId="33DAF220" w14:textId="77777777" w:rsidR="004D6A64" w:rsidRDefault="004D6A64">
            <w:pPr>
              <w:rPr>
                <w:rFonts w:ascii="宋体"/>
              </w:rPr>
            </w:pPr>
          </w:p>
        </w:tc>
        <w:tc>
          <w:tcPr>
            <w:tcW w:w="0" w:type="auto"/>
            <w:shd w:val="clear" w:color="auto" w:fill="auto"/>
          </w:tcPr>
          <w:p w14:paraId="33DAF221" w14:textId="77777777" w:rsidR="004D6A64" w:rsidRDefault="004D6A64">
            <w:pPr>
              <w:rPr>
                <w:rFonts w:ascii="宋体"/>
              </w:rPr>
            </w:pPr>
          </w:p>
        </w:tc>
      </w:tr>
      <w:tr w:rsidR="004D6A64" w14:paraId="33DAF250" w14:textId="77777777">
        <w:tc>
          <w:tcPr>
            <w:tcW w:w="0" w:type="auto"/>
            <w:gridSpan w:val="3"/>
            <w:shd w:val="clear" w:color="auto" w:fill="CCEEFF"/>
            <w:tcMar>
              <w:top w:w="40" w:type="dxa"/>
              <w:left w:w="135" w:type="dxa"/>
              <w:bottom w:w="40" w:type="dxa"/>
              <w:right w:w="20" w:type="dxa"/>
            </w:tcMar>
            <w:vAlign w:val="center"/>
          </w:tcPr>
          <w:p w14:paraId="33DAF223" w14:textId="77777777" w:rsidR="004D6A64" w:rsidRDefault="00506CD6">
            <w:pPr>
              <w:textAlignment w:val="center"/>
            </w:pPr>
            <w:r>
              <w:rPr>
                <w:rFonts w:ascii="Times New Roman" w:eastAsia="宋体" w:hAnsi="Times New Roman"/>
                <w:color w:val="000000"/>
                <w:sz w:val="20"/>
                <w:szCs w:val="20"/>
              </w:rPr>
              <w:t>Storage</w:t>
            </w:r>
          </w:p>
        </w:tc>
        <w:tc>
          <w:tcPr>
            <w:tcW w:w="0" w:type="auto"/>
            <w:gridSpan w:val="2"/>
            <w:shd w:val="clear" w:color="auto" w:fill="CCEEFF"/>
            <w:tcMar>
              <w:top w:w="40" w:type="dxa"/>
              <w:left w:w="20" w:type="dxa"/>
              <w:bottom w:w="40" w:type="dxa"/>
              <w:right w:w="0" w:type="dxa"/>
            </w:tcMar>
            <w:vAlign w:val="center"/>
          </w:tcPr>
          <w:p w14:paraId="33DAF224" w14:textId="77777777" w:rsidR="004D6A64" w:rsidRDefault="00506CD6">
            <w:pPr>
              <w:jc w:val="right"/>
              <w:textAlignment w:val="center"/>
            </w:pPr>
            <w:r>
              <w:rPr>
                <w:rFonts w:ascii="Times New Roman" w:eastAsia="宋体" w:hAnsi="Times New Roman"/>
                <w:color w:val="000000"/>
                <w:sz w:val="20"/>
                <w:szCs w:val="20"/>
              </w:rPr>
              <w:t>4,011 </w:t>
            </w:r>
          </w:p>
        </w:tc>
        <w:tc>
          <w:tcPr>
            <w:tcW w:w="0" w:type="auto"/>
            <w:shd w:val="clear" w:color="auto" w:fill="CCEEFF"/>
            <w:tcMar>
              <w:top w:w="40" w:type="dxa"/>
              <w:bottom w:w="40" w:type="dxa"/>
              <w:right w:w="20" w:type="dxa"/>
            </w:tcMar>
            <w:vAlign w:val="center"/>
          </w:tcPr>
          <w:p w14:paraId="33DAF22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22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227" w14:textId="77777777" w:rsidR="004D6A64" w:rsidRDefault="00506CD6">
            <w:pPr>
              <w:jc w:val="right"/>
              <w:textAlignment w:val="center"/>
            </w:pPr>
            <w:r>
              <w:rPr>
                <w:rFonts w:ascii="Times New Roman" w:eastAsia="宋体" w:hAnsi="Times New Roman"/>
                <w:color w:val="000000"/>
                <w:sz w:val="20"/>
                <w:szCs w:val="20"/>
              </w:rPr>
              <w:t>(4)</w:t>
            </w:r>
          </w:p>
        </w:tc>
        <w:tc>
          <w:tcPr>
            <w:tcW w:w="0" w:type="auto"/>
            <w:shd w:val="clear" w:color="auto" w:fill="CCEEFF"/>
            <w:tcMar>
              <w:top w:w="40" w:type="dxa"/>
              <w:bottom w:w="40" w:type="dxa"/>
              <w:right w:w="20" w:type="dxa"/>
            </w:tcMar>
            <w:vAlign w:val="center"/>
          </w:tcPr>
          <w:p w14:paraId="33DAF228"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F229"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22A" w14:textId="77777777" w:rsidR="004D6A64" w:rsidRDefault="00506CD6">
            <w:pPr>
              <w:jc w:val="right"/>
              <w:textAlignment w:val="center"/>
            </w:pPr>
            <w:r>
              <w:rPr>
                <w:rFonts w:ascii="Times New Roman" w:eastAsia="宋体" w:hAnsi="Times New Roman"/>
                <w:color w:val="000000"/>
                <w:sz w:val="20"/>
                <w:szCs w:val="20"/>
              </w:rPr>
              <w:t>4,184 </w:t>
            </w:r>
          </w:p>
        </w:tc>
        <w:tc>
          <w:tcPr>
            <w:tcW w:w="0" w:type="auto"/>
            <w:shd w:val="clear" w:color="auto" w:fill="CCEEFF"/>
            <w:tcMar>
              <w:top w:w="40" w:type="dxa"/>
              <w:bottom w:w="40" w:type="dxa"/>
              <w:right w:w="120" w:type="dxa"/>
            </w:tcMar>
            <w:vAlign w:val="center"/>
          </w:tcPr>
          <w:p w14:paraId="33DAF22B"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22C"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22D" w14:textId="77777777" w:rsidR="004D6A64" w:rsidRDefault="00506CD6">
            <w:pPr>
              <w:jc w:val="right"/>
              <w:textAlignment w:val="center"/>
            </w:pPr>
            <w:r>
              <w:rPr>
                <w:rFonts w:ascii="Times New Roman" w:eastAsia="宋体" w:hAnsi="Times New Roman"/>
                <w:color w:val="000000"/>
                <w:sz w:val="20"/>
                <w:szCs w:val="20"/>
              </w:rPr>
              <w:t>7,822 </w:t>
            </w:r>
          </w:p>
        </w:tc>
        <w:tc>
          <w:tcPr>
            <w:tcW w:w="0" w:type="auto"/>
            <w:shd w:val="clear" w:color="auto" w:fill="CCEEFF"/>
            <w:tcMar>
              <w:top w:w="40" w:type="dxa"/>
              <w:bottom w:w="40" w:type="dxa"/>
              <w:right w:w="120" w:type="dxa"/>
            </w:tcMar>
            <w:vAlign w:val="center"/>
          </w:tcPr>
          <w:p w14:paraId="33DAF22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22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230" w14:textId="77777777" w:rsidR="004D6A64" w:rsidRDefault="00506CD6">
            <w:pPr>
              <w:jc w:val="right"/>
              <w:textAlignment w:val="center"/>
            </w:pPr>
            <w:r>
              <w:rPr>
                <w:rFonts w:ascii="Times New Roman" w:eastAsia="宋体" w:hAnsi="Times New Roman"/>
                <w:color w:val="000000"/>
                <w:sz w:val="20"/>
                <w:szCs w:val="20"/>
              </w:rPr>
              <w:t>(5)</w:t>
            </w:r>
          </w:p>
        </w:tc>
        <w:tc>
          <w:tcPr>
            <w:tcW w:w="0" w:type="auto"/>
            <w:shd w:val="clear" w:color="auto" w:fill="CCEEFF"/>
            <w:tcMar>
              <w:top w:w="40" w:type="dxa"/>
              <w:bottom w:w="40" w:type="dxa"/>
              <w:right w:w="20" w:type="dxa"/>
            </w:tcMar>
            <w:vAlign w:val="center"/>
          </w:tcPr>
          <w:p w14:paraId="33DAF231"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F23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233" w14:textId="77777777" w:rsidR="004D6A64" w:rsidRDefault="00506CD6">
            <w:pPr>
              <w:jc w:val="right"/>
              <w:textAlignment w:val="center"/>
            </w:pPr>
            <w:r>
              <w:rPr>
                <w:rFonts w:ascii="Times New Roman" w:eastAsia="宋体" w:hAnsi="Times New Roman"/>
                <w:color w:val="000000"/>
                <w:sz w:val="20"/>
                <w:szCs w:val="20"/>
              </w:rPr>
              <w:t>8,206 </w:t>
            </w:r>
          </w:p>
        </w:tc>
        <w:tc>
          <w:tcPr>
            <w:tcW w:w="0" w:type="auto"/>
            <w:shd w:val="clear" w:color="auto" w:fill="CCEEFF"/>
            <w:tcMar>
              <w:top w:w="40" w:type="dxa"/>
              <w:bottom w:w="40" w:type="dxa"/>
              <w:right w:w="120" w:type="dxa"/>
            </w:tcMar>
            <w:vAlign w:val="center"/>
          </w:tcPr>
          <w:p w14:paraId="33DAF234" w14:textId="77777777" w:rsidR="004D6A64" w:rsidRDefault="004D6A64">
            <w:pPr>
              <w:jc w:val="right"/>
              <w:rPr>
                <w:rFonts w:ascii="宋体"/>
              </w:rPr>
            </w:pPr>
          </w:p>
        </w:tc>
        <w:tc>
          <w:tcPr>
            <w:tcW w:w="0" w:type="auto"/>
            <w:shd w:val="clear" w:color="auto" w:fill="auto"/>
          </w:tcPr>
          <w:p w14:paraId="33DAF235" w14:textId="77777777" w:rsidR="004D6A64" w:rsidRDefault="004D6A64">
            <w:pPr>
              <w:rPr>
                <w:rFonts w:ascii="宋体"/>
              </w:rPr>
            </w:pPr>
          </w:p>
        </w:tc>
        <w:tc>
          <w:tcPr>
            <w:tcW w:w="0" w:type="auto"/>
            <w:shd w:val="clear" w:color="auto" w:fill="auto"/>
          </w:tcPr>
          <w:p w14:paraId="33DAF236" w14:textId="77777777" w:rsidR="004D6A64" w:rsidRDefault="004D6A64">
            <w:pPr>
              <w:rPr>
                <w:rFonts w:ascii="宋体"/>
              </w:rPr>
            </w:pPr>
          </w:p>
        </w:tc>
        <w:tc>
          <w:tcPr>
            <w:tcW w:w="0" w:type="auto"/>
            <w:shd w:val="clear" w:color="auto" w:fill="auto"/>
          </w:tcPr>
          <w:p w14:paraId="33DAF237" w14:textId="77777777" w:rsidR="004D6A64" w:rsidRDefault="004D6A64">
            <w:pPr>
              <w:rPr>
                <w:rFonts w:ascii="宋体"/>
              </w:rPr>
            </w:pPr>
          </w:p>
        </w:tc>
        <w:tc>
          <w:tcPr>
            <w:tcW w:w="0" w:type="auto"/>
            <w:shd w:val="clear" w:color="auto" w:fill="auto"/>
          </w:tcPr>
          <w:p w14:paraId="33DAF238" w14:textId="77777777" w:rsidR="004D6A64" w:rsidRDefault="004D6A64">
            <w:pPr>
              <w:rPr>
                <w:rFonts w:ascii="宋体"/>
              </w:rPr>
            </w:pPr>
          </w:p>
        </w:tc>
        <w:tc>
          <w:tcPr>
            <w:tcW w:w="0" w:type="auto"/>
            <w:shd w:val="clear" w:color="auto" w:fill="auto"/>
          </w:tcPr>
          <w:p w14:paraId="33DAF239" w14:textId="77777777" w:rsidR="004D6A64" w:rsidRDefault="004D6A64">
            <w:pPr>
              <w:rPr>
                <w:rFonts w:ascii="宋体"/>
              </w:rPr>
            </w:pPr>
          </w:p>
        </w:tc>
        <w:tc>
          <w:tcPr>
            <w:tcW w:w="0" w:type="auto"/>
            <w:shd w:val="clear" w:color="auto" w:fill="auto"/>
          </w:tcPr>
          <w:p w14:paraId="33DAF23A" w14:textId="77777777" w:rsidR="004D6A64" w:rsidRDefault="004D6A64">
            <w:pPr>
              <w:rPr>
                <w:rFonts w:ascii="宋体"/>
              </w:rPr>
            </w:pPr>
          </w:p>
        </w:tc>
        <w:tc>
          <w:tcPr>
            <w:tcW w:w="0" w:type="auto"/>
            <w:shd w:val="clear" w:color="auto" w:fill="auto"/>
          </w:tcPr>
          <w:p w14:paraId="33DAF23B" w14:textId="77777777" w:rsidR="004D6A64" w:rsidRDefault="004D6A64">
            <w:pPr>
              <w:rPr>
                <w:rFonts w:ascii="宋体"/>
              </w:rPr>
            </w:pPr>
          </w:p>
        </w:tc>
        <w:tc>
          <w:tcPr>
            <w:tcW w:w="0" w:type="auto"/>
            <w:shd w:val="clear" w:color="auto" w:fill="auto"/>
          </w:tcPr>
          <w:p w14:paraId="33DAF23C" w14:textId="77777777" w:rsidR="004D6A64" w:rsidRDefault="004D6A64">
            <w:pPr>
              <w:rPr>
                <w:rFonts w:ascii="宋体"/>
              </w:rPr>
            </w:pPr>
          </w:p>
        </w:tc>
        <w:tc>
          <w:tcPr>
            <w:tcW w:w="0" w:type="auto"/>
            <w:shd w:val="clear" w:color="auto" w:fill="auto"/>
          </w:tcPr>
          <w:p w14:paraId="33DAF23D" w14:textId="77777777" w:rsidR="004D6A64" w:rsidRDefault="004D6A64">
            <w:pPr>
              <w:rPr>
                <w:rFonts w:ascii="宋体"/>
              </w:rPr>
            </w:pPr>
          </w:p>
        </w:tc>
        <w:tc>
          <w:tcPr>
            <w:tcW w:w="0" w:type="auto"/>
            <w:shd w:val="clear" w:color="auto" w:fill="auto"/>
          </w:tcPr>
          <w:p w14:paraId="33DAF23E" w14:textId="77777777" w:rsidR="004D6A64" w:rsidRDefault="004D6A64">
            <w:pPr>
              <w:rPr>
                <w:rFonts w:ascii="宋体"/>
              </w:rPr>
            </w:pPr>
          </w:p>
        </w:tc>
        <w:tc>
          <w:tcPr>
            <w:tcW w:w="0" w:type="auto"/>
            <w:shd w:val="clear" w:color="auto" w:fill="auto"/>
          </w:tcPr>
          <w:p w14:paraId="33DAF23F" w14:textId="77777777" w:rsidR="004D6A64" w:rsidRDefault="004D6A64">
            <w:pPr>
              <w:rPr>
                <w:rFonts w:ascii="宋体"/>
              </w:rPr>
            </w:pPr>
          </w:p>
        </w:tc>
        <w:tc>
          <w:tcPr>
            <w:tcW w:w="0" w:type="auto"/>
            <w:shd w:val="clear" w:color="auto" w:fill="auto"/>
          </w:tcPr>
          <w:p w14:paraId="33DAF240" w14:textId="77777777" w:rsidR="004D6A64" w:rsidRDefault="004D6A64">
            <w:pPr>
              <w:rPr>
                <w:rFonts w:ascii="宋体"/>
              </w:rPr>
            </w:pPr>
          </w:p>
        </w:tc>
        <w:tc>
          <w:tcPr>
            <w:tcW w:w="0" w:type="auto"/>
            <w:shd w:val="clear" w:color="auto" w:fill="auto"/>
          </w:tcPr>
          <w:p w14:paraId="33DAF241" w14:textId="77777777" w:rsidR="004D6A64" w:rsidRDefault="004D6A64">
            <w:pPr>
              <w:rPr>
                <w:rFonts w:ascii="宋体"/>
              </w:rPr>
            </w:pPr>
          </w:p>
        </w:tc>
        <w:tc>
          <w:tcPr>
            <w:tcW w:w="0" w:type="auto"/>
            <w:shd w:val="clear" w:color="auto" w:fill="auto"/>
          </w:tcPr>
          <w:p w14:paraId="33DAF242" w14:textId="77777777" w:rsidR="004D6A64" w:rsidRDefault="004D6A64">
            <w:pPr>
              <w:rPr>
                <w:rFonts w:ascii="宋体"/>
              </w:rPr>
            </w:pPr>
          </w:p>
        </w:tc>
        <w:tc>
          <w:tcPr>
            <w:tcW w:w="0" w:type="auto"/>
            <w:shd w:val="clear" w:color="auto" w:fill="auto"/>
          </w:tcPr>
          <w:p w14:paraId="33DAF243" w14:textId="77777777" w:rsidR="004D6A64" w:rsidRDefault="004D6A64">
            <w:pPr>
              <w:rPr>
                <w:rFonts w:ascii="宋体"/>
              </w:rPr>
            </w:pPr>
          </w:p>
        </w:tc>
        <w:tc>
          <w:tcPr>
            <w:tcW w:w="0" w:type="auto"/>
            <w:shd w:val="clear" w:color="auto" w:fill="auto"/>
          </w:tcPr>
          <w:p w14:paraId="33DAF244" w14:textId="77777777" w:rsidR="004D6A64" w:rsidRDefault="004D6A64">
            <w:pPr>
              <w:rPr>
                <w:rFonts w:ascii="宋体"/>
              </w:rPr>
            </w:pPr>
          </w:p>
        </w:tc>
        <w:tc>
          <w:tcPr>
            <w:tcW w:w="0" w:type="auto"/>
            <w:shd w:val="clear" w:color="auto" w:fill="auto"/>
          </w:tcPr>
          <w:p w14:paraId="33DAF245" w14:textId="77777777" w:rsidR="004D6A64" w:rsidRDefault="004D6A64">
            <w:pPr>
              <w:rPr>
                <w:rFonts w:ascii="宋体"/>
              </w:rPr>
            </w:pPr>
          </w:p>
        </w:tc>
        <w:tc>
          <w:tcPr>
            <w:tcW w:w="0" w:type="auto"/>
            <w:shd w:val="clear" w:color="auto" w:fill="auto"/>
          </w:tcPr>
          <w:p w14:paraId="33DAF246" w14:textId="77777777" w:rsidR="004D6A64" w:rsidRDefault="004D6A64">
            <w:pPr>
              <w:rPr>
                <w:rFonts w:ascii="宋体"/>
              </w:rPr>
            </w:pPr>
          </w:p>
        </w:tc>
        <w:tc>
          <w:tcPr>
            <w:tcW w:w="0" w:type="auto"/>
            <w:shd w:val="clear" w:color="auto" w:fill="auto"/>
          </w:tcPr>
          <w:p w14:paraId="33DAF247" w14:textId="77777777" w:rsidR="004D6A64" w:rsidRDefault="004D6A64">
            <w:pPr>
              <w:rPr>
                <w:rFonts w:ascii="宋体"/>
              </w:rPr>
            </w:pPr>
          </w:p>
        </w:tc>
        <w:tc>
          <w:tcPr>
            <w:tcW w:w="0" w:type="auto"/>
            <w:shd w:val="clear" w:color="auto" w:fill="auto"/>
          </w:tcPr>
          <w:p w14:paraId="33DAF248" w14:textId="77777777" w:rsidR="004D6A64" w:rsidRDefault="004D6A64">
            <w:pPr>
              <w:rPr>
                <w:rFonts w:ascii="宋体"/>
              </w:rPr>
            </w:pPr>
          </w:p>
        </w:tc>
        <w:tc>
          <w:tcPr>
            <w:tcW w:w="0" w:type="auto"/>
            <w:shd w:val="clear" w:color="auto" w:fill="auto"/>
          </w:tcPr>
          <w:p w14:paraId="33DAF249" w14:textId="77777777" w:rsidR="004D6A64" w:rsidRDefault="004D6A64">
            <w:pPr>
              <w:rPr>
                <w:rFonts w:ascii="宋体"/>
              </w:rPr>
            </w:pPr>
          </w:p>
        </w:tc>
        <w:tc>
          <w:tcPr>
            <w:tcW w:w="0" w:type="auto"/>
            <w:shd w:val="clear" w:color="auto" w:fill="auto"/>
          </w:tcPr>
          <w:p w14:paraId="33DAF24A" w14:textId="77777777" w:rsidR="004D6A64" w:rsidRDefault="004D6A64">
            <w:pPr>
              <w:rPr>
                <w:rFonts w:ascii="宋体"/>
              </w:rPr>
            </w:pPr>
          </w:p>
        </w:tc>
        <w:tc>
          <w:tcPr>
            <w:tcW w:w="0" w:type="auto"/>
            <w:shd w:val="clear" w:color="auto" w:fill="auto"/>
          </w:tcPr>
          <w:p w14:paraId="33DAF24B" w14:textId="77777777" w:rsidR="004D6A64" w:rsidRDefault="004D6A64">
            <w:pPr>
              <w:rPr>
                <w:rFonts w:ascii="宋体"/>
              </w:rPr>
            </w:pPr>
          </w:p>
        </w:tc>
        <w:tc>
          <w:tcPr>
            <w:tcW w:w="0" w:type="auto"/>
            <w:shd w:val="clear" w:color="auto" w:fill="auto"/>
          </w:tcPr>
          <w:p w14:paraId="33DAF24C" w14:textId="77777777" w:rsidR="004D6A64" w:rsidRDefault="004D6A64">
            <w:pPr>
              <w:rPr>
                <w:rFonts w:ascii="宋体"/>
              </w:rPr>
            </w:pPr>
          </w:p>
        </w:tc>
        <w:tc>
          <w:tcPr>
            <w:tcW w:w="0" w:type="auto"/>
            <w:shd w:val="clear" w:color="auto" w:fill="auto"/>
          </w:tcPr>
          <w:p w14:paraId="33DAF24D" w14:textId="77777777" w:rsidR="004D6A64" w:rsidRDefault="004D6A64">
            <w:pPr>
              <w:rPr>
                <w:rFonts w:ascii="宋体"/>
              </w:rPr>
            </w:pPr>
          </w:p>
        </w:tc>
        <w:tc>
          <w:tcPr>
            <w:tcW w:w="0" w:type="auto"/>
            <w:shd w:val="clear" w:color="auto" w:fill="auto"/>
          </w:tcPr>
          <w:p w14:paraId="33DAF24E" w14:textId="77777777" w:rsidR="004D6A64" w:rsidRDefault="004D6A64">
            <w:pPr>
              <w:rPr>
                <w:rFonts w:ascii="宋体"/>
              </w:rPr>
            </w:pPr>
          </w:p>
        </w:tc>
        <w:tc>
          <w:tcPr>
            <w:tcW w:w="0" w:type="auto"/>
            <w:shd w:val="clear" w:color="auto" w:fill="auto"/>
          </w:tcPr>
          <w:p w14:paraId="33DAF24F" w14:textId="77777777" w:rsidR="004D6A64" w:rsidRDefault="004D6A64">
            <w:pPr>
              <w:rPr>
                <w:rFonts w:ascii="宋体"/>
              </w:rPr>
            </w:pPr>
          </w:p>
        </w:tc>
      </w:tr>
      <w:tr w:rsidR="004D6A64" w14:paraId="33DAF282" w14:textId="77777777">
        <w:tc>
          <w:tcPr>
            <w:tcW w:w="0" w:type="auto"/>
            <w:gridSpan w:val="3"/>
            <w:shd w:val="clear" w:color="auto" w:fill="FFFFFF"/>
            <w:tcMar>
              <w:top w:w="40" w:type="dxa"/>
              <w:left w:w="225" w:type="dxa"/>
              <w:bottom w:w="40" w:type="dxa"/>
              <w:right w:w="20" w:type="dxa"/>
            </w:tcMar>
            <w:vAlign w:val="center"/>
          </w:tcPr>
          <w:p w14:paraId="33DAF251" w14:textId="77777777" w:rsidR="004D6A64" w:rsidRDefault="00506CD6">
            <w:pPr>
              <w:textAlignment w:val="center"/>
            </w:pPr>
            <w:r>
              <w:rPr>
                <w:rFonts w:ascii="Times New Roman" w:eastAsia="宋体" w:hAnsi="Times New Roman"/>
                <w:color w:val="000000"/>
                <w:sz w:val="20"/>
                <w:szCs w:val="20"/>
              </w:rPr>
              <w:t>Total ISG net revenue</w:t>
            </w:r>
          </w:p>
        </w:tc>
        <w:tc>
          <w:tcPr>
            <w:tcW w:w="0" w:type="auto"/>
            <w:tcBorders>
              <w:top w:val="single" w:sz="8" w:space="0" w:color="000000"/>
            </w:tcBorders>
            <w:shd w:val="clear" w:color="auto" w:fill="FFFFFF"/>
            <w:tcMar>
              <w:top w:w="40" w:type="dxa"/>
              <w:left w:w="20" w:type="dxa"/>
              <w:bottom w:w="40" w:type="dxa"/>
            </w:tcMar>
            <w:vAlign w:val="center"/>
          </w:tcPr>
          <w:p w14:paraId="33DAF252"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F253" w14:textId="77777777" w:rsidR="004D6A64" w:rsidRDefault="00506CD6">
            <w:pPr>
              <w:jc w:val="right"/>
              <w:textAlignment w:val="center"/>
            </w:pPr>
            <w:r>
              <w:rPr>
                <w:rFonts w:ascii="Times New Roman" w:eastAsia="宋体" w:hAnsi="Times New Roman"/>
                <w:color w:val="000000"/>
                <w:sz w:val="20"/>
                <w:szCs w:val="20"/>
              </w:rPr>
              <w:t>8,207 </w:t>
            </w:r>
          </w:p>
        </w:tc>
        <w:tc>
          <w:tcPr>
            <w:tcW w:w="0" w:type="auto"/>
            <w:tcBorders>
              <w:top w:val="single" w:sz="8" w:space="0" w:color="000000"/>
            </w:tcBorders>
            <w:shd w:val="clear" w:color="auto" w:fill="FFFFFF"/>
            <w:tcMar>
              <w:top w:w="40" w:type="dxa"/>
              <w:bottom w:w="40" w:type="dxa"/>
              <w:right w:w="20" w:type="dxa"/>
            </w:tcMar>
            <w:vAlign w:val="center"/>
          </w:tcPr>
          <w:p w14:paraId="33DAF25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255"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F256" w14:textId="77777777" w:rsidR="004D6A64" w:rsidRDefault="00506CD6">
            <w:pPr>
              <w:jc w:val="right"/>
              <w:textAlignment w:val="center"/>
            </w:pPr>
            <w:r>
              <w:rPr>
                <w:rFonts w:ascii="Times New Roman" w:eastAsia="宋体" w:hAnsi="Times New Roman"/>
                <w:color w:val="000000"/>
                <w:sz w:val="20"/>
                <w:szCs w:val="20"/>
              </w:rPr>
              <w:t>(5)</w:t>
            </w:r>
          </w:p>
        </w:tc>
        <w:tc>
          <w:tcPr>
            <w:tcW w:w="0" w:type="auto"/>
            <w:shd w:val="clear" w:color="auto" w:fill="FFFFFF"/>
            <w:tcMar>
              <w:top w:w="40" w:type="dxa"/>
              <w:bottom w:w="40" w:type="dxa"/>
              <w:right w:w="20" w:type="dxa"/>
            </w:tcMar>
            <w:vAlign w:val="center"/>
          </w:tcPr>
          <w:p w14:paraId="33DAF257"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F258"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F259"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F25A" w14:textId="77777777" w:rsidR="004D6A64" w:rsidRDefault="00506CD6">
            <w:pPr>
              <w:jc w:val="right"/>
              <w:textAlignment w:val="center"/>
            </w:pPr>
            <w:r>
              <w:rPr>
                <w:rFonts w:ascii="Times New Roman" w:eastAsia="宋体" w:hAnsi="Times New Roman"/>
                <w:color w:val="000000"/>
                <w:sz w:val="20"/>
                <w:szCs w:val="20"/>
              </w:rPr>
              <w:t>8,621 </w:t>
            </w:r>
          </w:p>
        </w:tc>
        <w:tc>
          <w:tcPr>
            <w:tcW w:w="0" w:type="auto"/>
            <w:tcBorders>
              <w:top w:val="single" w:sz="8" w:space="0" w:color="000000"/>
            </w:tcBorders>
            <w:shd w:val="clear" w:color="auto" w:fill="FFFFFF"/>
            <w:tcMar>
              <w:top w:w="40" w:type="dxa"/>
              <w:bottom w:w="40" w:type="dxa"/>
              <w:right w:w="120" w:type="dxa"/>
            </w:tcMar>
            <w:vAlign w:val="center"/>
          </w:tcPr>
          <w:p w14:paraId="33DAF25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25C"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F25D"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F25E" w14:textId="77777777" w:rsidR="004D6A64" w:rsidRDefault="00506CD6">
            <w:pPr>
              <w:jc w:val="right"/>
              <w:textAlignment w:val="center"/>
            </w:pPr>
            <w:r>
              <w:rPr>
                <w:rFonts w:ascii="Times New Roman" w:eastAsia="宋体" w:hAnsi="Times New Roman"/>
                <w:color w:val="000000"/>
                <w:sz w:val="20"/>
                <w:szCs w:val="20"/>
              </w:rPr>
              <w:t>15,776 </w:t>
            </w:r>
          </w:p>
        </w:tc>
        <w:tc>
          <w:tcPr>
            <w:tcW w:w="0" w:type="auto"/>
            <w:tcBorders>
              <w:top w:val="single" w:sz="8" w:space="0" w:color="000000"/>
            </w:tcBorders>
            <w:shd w:val="clear" w:color="auto" w:fill="FFFFFF"/>
            <w:tcMar>
              <w:top w:w="40" w:type="dxa"/>
              <w:bottom w:w="40" w:type="dxa"/>
              <w:right w:w="120" w:type="dxa"/>
            </w:tcMar>
            <w:vAlign w:val="center"/>
          </w:tcPr>
          <w:p w14:paraId="33DAF25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26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F261" w14:textId="77777777" w:rsidR="004D6A64" w:rsidRDefault="00506CD6">
            <w:pPr>
              <w:jc w:val="right"/>
              <w:textAlignment w:val="center"/>
            </w:pPr>
            <w:r>
              <w:rPr>
                <w:rFonts w:ascii="Times New Roman" w:eastAsia="宋体" w:hAnsi="Times New Roman"/>
                <w:color w:val="000000"/>
                <w:sz w:val="20"/>
                <w:szCs w:val="20"/>
              </w:rPr>
              <w:t>(6)</w:t>
            </w:r>
          </w:p>
        </w:tc>
        <w:tc>
          <w:tcPr>
            <w:tcW w:w="0" w:type="auto"/>
            <w:shd w:val="clear" w:color="auto" w:fill="FFFFFF"/>
            <w:tcMar>
              <w:top w:w="40" w:type="dxa"/>
              <w:bottom w:w="40" w:type="dxa"/>
              <w:right w:w="20" w:type="dxa"/>
            </w:tcMar>
            <w:vAlign w:val="center"/>
          </w:tcPr>
          <w:p w14:paraId="33DAF262"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F263"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F264"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F265" w14:textId="77777777" w:rsidR="004D6A64" w:rsidRDefault="00506CD6">
            <w:pPr>
              <w:jc w:val="right"/>
              <w:textAlignment w:val="center"/>
            </w:pPr>
            <w:r>
              <w:rPr>
                <w:rFonts w:ascii="Times New Roman" w:eastAsia="宋体" w:hAnsi="Times New Roman"/>
                <w:color w:val="000000"/>
                <w:sz w:val="20"/>
                <w:szCs w:val="20"/>
              </w:rPr>
              <w:t>16,823 </w:t>
            </w:r>
          </w:p>
        </w:tc>
        <w:tc>
          <w:tcPr>
            <w:tcW w:w="0" w:type="auto"/>
            <w:tcBorders>
              <w:top w:val="single" w:sz="8" w:space="0" w:color="000000"/>
            </w:tcBorders>
            <w:shd w:val="clear" w:color="auto" w:fill="FFFFFF"/>
            <w:tcMar>
              <w:top w:w="40" w:type="dxa"/>
              <w:bottom w:w="40" w:type="dxa"/>
              <w:right w:w="120" w:type="dxa"/>
            </w:tcMar>
            <w:vAlign w:val="center"/>
          </w:tcPr>
          <w:p w14:paraId="33DAF266" w14:textId="77777777" w:rsidR="004D6A64" w:rsidRDefault="004D6A64">
            <w:pPr>
              <w:jc w:val="right"/>
              <w:rPr>
                <w:rFonts w:ascii="宋体"/>
              </w:rPr>
            </w:pPr>
          </w:p>
        </w:tc>
        <w:tc>
          <w:tcPr>
            <w:tcW w:w="0" w:type="auto"/>
            <w:shd w:val="clear" w:color="auto" w:fill="auto"/>
          </w:tcPr>
          <w:p w14:paraId="33DAF267" w14:textId="77777777" w:rsidR="004D6A64" w:rsidRDefault="004D6A64">
            <w:pPr>
              <w:rPr>
                <w:rFonts w:ascii="宋体"/>
              </w:rPr>
            </w:pPr>
          </w:p>
        </w:tc>
        <w:tc>
          <w:tcPr>
            <w:tcW w:w="0" w:type="auto"/>
            <w:shd w:val="clear" w:color="auto" w:fill="auto"/>
          </w:tcPr>
          <w:p w14:paraId="33DAF268" w14:textId="77777777" w:rsidR="004D6A64" w:rsidRDefault="004D6A64">
            <w:pPr>
              <w:rPr>
                <w:rFonts w:ascii="宋体"/>
              </w:rPr>
            </w:pPr>
          </w:p>
        </w:tc>
        <w:tc>
          <w:tcPr>
            <w:tcW w:w="0" w:type="auto"/>
            <w:shd w:val="clear" w:color="auto" w:fill="auto"/>
          </w:tcPr>
          <w:p w14:paraId="33DAF269" w14:textId="77777777" w:rsidR="004D6A64" w:rsidRDefault="004D6A64">
            <w:pPr>
              <w:rPr>
                <w:rFonts w:ascii="宋体"/>
              </w:rPr>
            </w:pPr>
          </w:p>
        </w:tc>
        <w:tc>
          <w:tcPr>
            <w:tcW w:w="0" w:type="auto"/>
            <w:shd w:val="clear" w:color="auto" w:fill="auto"/>
          </w:tcPr>
          <w:p w14:paraId="33DAF26A" w14:textId="77777777" w:rsidR="004D6A64" w:rsidRDefault="004D6A64">
            <w:pPr>
              <w:rPr>
                <w:rFonts w:ascii="宋体"/>
              </w:rPr>
            </w:pPr>
          </w:p>
        </w:tc>
        <w:tc>
          <w:tcPr>
            <w:tcW w:w="0" w:type="auto"/>
            <w:shd w:val="clear" w:color="auto" w:fill="auto"/>
          </w:tcPr>
          <w:p w14:paraId="33DAF26B" w14:textId="77777777" w:rsidR="004D6A64" w:rsidRDefault="004D6A64">
            <w:pPr>
              <w:rPr>
                <w:rFonts w:ascii="宋体"/>
              </w:rPr>
            </w:pPr>
          </w:p>
        </w:tc>
        <w:tc>
          <w:tcPr>
            <w:tcW w:w="0" w:type="auto"/>
            <w:shd w:val="clear" w:color="auto" w:fill="auto"/>
          </w:tcPr>
          <w:p w14:paraId="33DAF26C" w14:textId="77777777" w:rsidR="004D6A64" w:rsidRDefault="004D6A64">
            <w:pPr>
              <w:rPr>
                <w:rFonts w:ascii="宋体"/>
              </w:rPr>
            </w:pPr>
          </w:p>
        </w:tc>
        <w:tc>
          <w:tcPr>
            <w:tcW w:w="0" w:type="auto"/>
            <w:shd w:val="clear" w:color="auto" w:fill="auto"/>
          </w:tcPr>
          <w:p w14:paraId="33DAF26D" w14:textId="77777777" w:rsidR="004D6A64" w:rsidRDefault="004D6A64">
            <w:pPr>
              <w:rPr>
                <w:rFonts w:ascii="宋体"/>
              </w:rPr>
            </w:pPr>
          </w:p>
        </w:tc>
        <w:tc>
          <w:tcPr>
            <w:tcW w:w="0" w:type="auto"/>
            <w:shd w:val="clear" w:color="auto" w:fill="auto"/>
          </w:tcPr>
          <w:p w14:paraId="33DAF26E" w14:textId="77777777" w:rsidR="004D6A64" w:rsidRDefault="004D6A64">
            <w:pPr>
              <w:rPr>
                <w:rFonts w:ascii="宋体"/>
              </w:rPr>
            </w:pPr>
          </w:p>
        </w:tc>
        <w:tc>
          <w:tcPr>
            <w:tcW w:w="0" w:type="auto"/>
            <w:shd w:val="clear" w:color="auto" w:fill="auto"/>
          </w:tcPr>
          <w:p w14:paraId="33DAF26F" w14:textId="77777777" w:rsidR="004D6A64" w:rsidRDefault="004D6A64">
            <w:pPr>
              <w:rPr>
                <w:rFonts w:ascii="宋体"/>
              </w:rPr>
            </w:pPr>
          </w:p>
        </w:tc>
        <w:tc>
          <w:tcPr>
            <w:tcW w:w="0" w:type="auto"/>
            <w:shd w:val="clear" w:color="auto" w:fill="auto"/>
          </w:tcPr>
          <w:p w14:paraId="33DAF270" w14:textId="77777777" w:rsidR="004D6A64" w:rsidRDefault="004D6A64">
            <w:pPr>
              <w:rPr>
                <w:rFonts w:ascii="宋体"/>
              </w:rPr>
            </w:pPr>
          </w:p>
        </w:tc>
        <w:tc>
          <w:tcPr>
            <w:tcW w:w="0" w:type="auto"/>
            <w:shd w:val="clear" w:color="auto" w:fill="auto"/>
          </w:tcPr>
          <w:p w14:paraId="33DAF271" w14:textId="77777777" w:rsidR="004D6A64" w:rsidRDefault="004D6A64">
            <w:pPr>
              <w:rPr>
                <w:rFonts w:ascii="宋体"/>
              </w:rPr>
            </w:pPr>
          </w:p>
        </w:tc>
        <w:tc>
          <w:tcPr>
            <w:tcW w:w="0" w:type="auto"/>
            <w:shd w:val="clear" w:color="auto" w:fill="auto"/>
          </w:tcPr>
          <w:p w14:paraId="33DAF272" w14:textId="77777777" w:rsidR="004D6A64" w:rsidRDefault="004D6A64">
            <w:pPr>
              <w:rPr>
                <w:rFonts w:ascii="宋体"/>
              </w:rPr>
            </w:pPr>
          </w:p>
        </w:tc>
        <w:tc>
          <w:tcPr>
            <w:tcW w:w="0" w:type="auto"/>
            <w:shd w:val="clear" w:color="auto" w:fill="auto"/>
          </w:tcPr>
          <w:p w14:paraId="33DAF273" w14:textId="77777777" w:rsidR="004D6A64" w:rsidRDefault="004D6A64">
            <w:pPr>
              <w:rPr>
                <w:rFonts w:ascii="宋体"/>
              </w:rPr>
            </w:pPr>
          </w:p>
        </w:tc>
        <w:tc>
          <w:tcPr>
            <w:tcW w:w="0" w:type="auto"/>
            <w:shd w:val="clear" w:color="auto" w:fill="auto"/>
          </w:tcPr>
          <w:p w14:paraId="33DAF274" w14:textId="77777777" w:rsidR="004D6A64" w:rsidRDefault="004D6A64">
            <w:pPr>
              <w:rPr>
                <w:rFonts w:ascii="宋体"/>
              </w:rPr>
            </w:pPr>
          </w:p>
        </w:tc>
        <w:tc>
          <w:tcPr>
            <w:tcW w:w="0" w:type="auto"/>
            <w:shd w:val="clear" w:color="auto" w:fill="auto"/>
          </w:tcPr>
          <w:p w14:paraId="33DAF275" w14:textId="77777777" w:rsidR="004D6A64" w:rsidRDefault="004D6A64">
            <w:pPr>
              <w:rPr>
                <w:rFonts w:ascii="宋体"/>
              </w:rPr>
            </w:pPr>
          </w:p>
        </w:tc>
        <w:tc>
          <w:tcPr>
            <w:tcW w:w="0" w:type="auto"/>
            <w:shd w:val="clear" w:color="auto" w:fill="auto"/>
          </w:tcPr>
          <w:p w14:paraId="33DAF276" w14:textId="77777777" w:rsidR="004D6A64" w:rsidRDefault="004D6A64">
            <w:pPr>
              <w:rPr>
                <w:rFonts w:ascii="宋体"/>
              </w:rPr>
            </w:pPr>
          </w:p>
        </w:tc>
        <w:tc>
          <w:tcPr>
            <w:tcW w:w="0" w:type="auto"/>
            <w:shd w:val="clear" w:color="auto" w:fill="auto"/>
          </w:tcPr>
          <w:p w14:paraId="33DAF277" w14:textId="77777777" w:rsidR="004D6A64" w:rsidRDefault="004D6A64">
            <w:pPr>
              <w:rPr>
                <w:rFonts w:ascii="宋体"/>
              </w:rPr>
            </w:pPr>
          </w:p>
        </w:tc>
        <w:tc>
          <w:tcPr>
            <w:tcW w:w="0" w:type="auto"/>
            <w:shd w:val="clear" w:color="auto" w:fill="auto"/>
          </w:tcPr>
          <w:p w14:paraId="33DAF278" w14:textId="77777777" w:rsidR="004D6A64" w:rsidRDefault="004D6A64">
            <w:pPr>
              <w:rPr>
                <w:rFonts w:ascii="宋体"/>
              </w:rPr>
            </w:pPr>
          </w:p>
        </w:tc>
        <w:tc>
          <w:tcPr>
            <w:tcW w:w="0" w:type="auto"/>
            <w:shd w:val="clear" w:color="auto" w:fill="auto"/>
          </w:tcPr>
          <w:p w14:paraId="33DAF279" w14:textId="77777777" w:rsidR="004D6A64" w:rsidRDefault="004D6A64">
            <w:pPr>
              <w:rPr>
                <w:rFonts w:ascii="宋体"/>
              </w:rPr>
            </w:pPr>
          </w:p>
        </w:tc>
        <w:tc>
          <w:tcPr>
            <w:tcW w:w="0" w:type="auto"/>
            <w:shd w:val="clear" w:color="auto" w:fill="auto"/>
          </w:tcPr>
          <w:p w14:paraId="33DAF27A" w14:textId="77777777" w:rsidR="004D6A64" w:rsidRDefault="004D6A64">
            <w:pPr>
              <w:rPr>
                <w:rFonts w:ascii="宋体"/>
              </w:rPr>
            </w:pPr>
          </w:p>
        </w:tc>
        <w:tc>
          <w:tcPr>
            <w:tcW w:w="0" w:type="auto"/>
            <w:shd w:val="clear" w:color="auto" w:fill="auto"/>
          </w:tcPr>
          <w:p w14:paraId="33DAF27B" w14:textId="77777777" w:rsidR="004D6A64" w:rsidRDefault="004D6A64">
            <w:pPr>
              <w:rPr>
                <w:rFonts w:ascii="宋体"/>
              </w:rPr>
            </w:pPr>
          </w:p>
        </w:tc>
        <w:tc>
          <w:tcPr>
            <w:tcW w:w="0" w:type="auto"/>
            <w:shd w:val="clear" w:color="auto" w:fill="auto"/>
          </w:tcPr>
          <w:p w14:paraId="33DAF27C" w14:textId="77777777" w:rsidR="004D6A64" w:rsidRDefault="004D6A64">
            <w:pPr>
              <w:rPr>
                <w:rFonts w:ascii="宋体"/>
              </w:rPr>
            </w:pPr>
          </w:p>
        </w:tc>
        <w:tc>
          <w:tcPr>
            <w:tcW w:w="0" w:type="auto"/>
            <w:shd w:val="clear" w:color="auto" w:fill="auto"/>
          </w:tcPr>
          <w:p w14:paraId="33DAF27D" w14:textId="77777777" w:rsidR="004D6A64" w:rsidRDefault="004D6A64">
            <w:pPr>
              <w:rPr>
                <w:rFonts w:ascii="宋体"/>
              </w:rPr>
            </w:pPr>
          </w:p>
        </w:tc>
        <w:tc>
          <w:tcPr>
            <w:tcW w:w="0" w:type="auto"/>
            <w:shd w:val="clear" w:color="auto" w:fill="auto"/>
          </w:tcPr>
          <w:p w14:paraId="33DAF27E" w14:textId="77777777" w:rsidR="004D6A64" w:rsidRDefault="004D6A64">
            <w:pPr>
              <w:rPr>
                <w:rFonts w:ascii="宋体"/>
              </w:rPr>
            </w:pPr>
          </w:p>
        </w:tc>
        <w:tc>
          <w:tcPr>
            <w:tcW w:w="0" w:type="auto"/>
            <w:shd w:val="clear" w:color="auto" w:fill="auto"/>
          </w:tcPr>
          <w:p w14:paraId="33DAF27F" w14:textId="77777777" w:rsidR="004D6A64" w:rsidRDefault="004D6A64">
            <w:pPr>
              <w:rPr>
                <w:rFonts w:ascii="宋体"/>
              </w:rPr>
            </w:pPr>
          </w:p>
        </w:tc>
        <w:tc>
          <w:tcPr>
            <w:tcW w:w="0" w:type="auto"/>
            <w:shd w:val="clear" w:color="auto" w:fill="auto"/>
          </w:tcPr>
          <w:p w14:paraId="33DAF280" w14:textId="77777777" w:rsidR="004D6A64" w:rsidRDefault="004D6A64">
            <w:pPr>
              <w:rPr>
                <w:rFonts w:ascii="宋体"/>
              </w:rPr>
            </w:pPr>
          </w:p>
        </w:tc>
        <w:tc>
          <w:tcPr>
            <w:tcW w:w="0" w:type="auto"/>
            <w:shd w:val="clear" w:color="auto" w:fill="auto"/>
          </w:tcPr>
          <w:p w14:paraId="33DAF281" w14:textId="77777777" w:rsidR="004D6A64" w:rsidRDefault="004D6A64">
            <w:pPr>
              <w:rPr>
                <w:rFonts w:ascii="宋体"/>
              </w:rPr>
            </w:pPr>
          </w:p>
        </w:tc>
      </w:tr>
      <w:tr w:rsidR="004D6A64" w14:paraId="33DAF2AA" w14:textId="77777777">
        <w:trPr>
          <w:trHeight w:val="300"/>
        </w:trPr>
        <w:tc>
          <w:tcPr>
            <w:tcW w:w="0" w:type="auto"/>
            <w:gridSpan w:val="3"/>
            <w:shd w:val="clear" w:color="auto" w:fill="CCEEFF"/>
            <w:tcMar>
              <w:left w:w="20" w:type="dxa"/>
              <w:right w:w="20" w:type="dxa"/>
            </w:tcMar>
            <w:vAlign w:val="bottom"/>
          </w:tcPr>
          <w:p w14:paraId="33DAF283" w14:textId="77777777" w:rsidR="004D6A64" w:rsidRDefault="004D6A64">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F284"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28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286"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287" w14:textId="77777777" w:rsidR="004D6A64" w:rsidRDefault="004D6A64">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F288"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289" w14:textId="77777777" w:rsidR="004D6A64" w:rsidRDefault="004D6A64">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F28A"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28B"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28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28D" w14:textId="77777777" w:rsidR="004D6A64" w:rsidRDefault="004D6A64">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F28E" w14:textId="77777777" w:rsidR="004D6A64" w:rsidRDefault="004D6A64">
            <w:pPr>
              <w:rPr>
                <w:rFonts w:ascii="宋体"/>
              </w:rPr>
            </w:pPr>
          </w:p>
        </w:tc>
        <w:tc>
          <w:tcPr>
            <w:tcW w:w="0" w:type="auto"/>
            <w:shd w:val="clear" w:color="auto" w:fill="auto"/>
          </w:tcPr>
          <w:p w14:paraId="33DAF28F" w14:textId="77777777" w:rsidR="004D6A64" w:rsidRDefault="004D6A64">
            <w:pPr>
              <w:rPr>
                <w:rFonts w:ascii="宋体"/>
              </w:rPr>
            </w:pPr>
          </w:p>
        </w:tc>
        <w:tc>
          <w:tcPr>
            <w:tcW w:w="0" w:type="auto"/>
            <w:shd w:val="clear" w:color="auto" w:fill="auto"/>
          </w:tcPr>
          <w:p w14:paraId="33DAF290" w14:textId="77777777" w:rsidR="004D6A64" w:rsidRDefault="004D6A64">
            <w:pPr>
              <w:rPr>
                <w:rFonts w:ascii="宋体"/>
              </w:rPr>
            </w:pPr>
          </w:p>
        </w:tc>
        <w:tc>
          <w:tcPr>
            <w:tcW w:w="0" w:type="auto"/>
            <w:shd w:val="clear" w:color="auto" w:fill="auto"/>
          </w:tcPr>
          <w:p w14:paraId="33DAF291" w14:textId="77777777" w:rsidR="004D6A64" w:rsidRDefault="004D6A64">
            <w:pPr>
              <w:rPr>
                <w:rFonts w:ascii="宋体"/>
              </w:rPr>
            </w:pPr>
          </w:p>
        </w:tc>
        <w:tc>
          <w:tcPr>
            <w:tcW w:w="0" w:type="auto"/>
            <w:shd w:val="clear" w:color="auto" w:fill="auto"/>
          </w:tcPr>
          <w:p w14:paraId="33DAF292" w14:textId="77777777" w:rsidR="004D6A64" w:rsidRDefault="004D6A64">
            <w:pPr>
              <w:rPr>
                <w:rFonts w:ascii="宋体"/>
              </w:rPr>
            </w:pPr>
          </w:p>
        </w:tc>
        <w:tc>
          <w:tcPr>
            <w:tcW w:w="0" w:type="auto"/>
            <w:shd w:val="clear" w:color="auto" w:fill="auto"/>
          </w:tcPr>
          <w:p w14:paraId="33DAF293" w14:textId="77777777" w:rsidR="004D6A64" w:rsidRDefault="004D6A64">
            <w:pPr>
              <w:rPr>
                <w:rFonts w:ascii="宋体"/>
              </w:rPr>
            </w:pPr>
          </w:p>
        </w:tc>
        <w:tc>
          <w:tcPr>
            <w:tcW w:w="0" w:type="auto"/>
            <w:shd w:val="clear" w:color="auto" w:fill="auto"/>
          </w:tcPr>
          <w:p w14:paraId="33DAF294" w14:textId="77777777" w:rsidR="004D6A64" w:rsidRDefault="004D6A64">
            <w:pPr>
              <w:rPr>
                <w:rFonts w:ascii="宋体"/>
              </w:rPr>
            </w:pPr>
          </w:p>
        </w:tc>
        <w:tc>
          <w:tcPr>
            <w:tcW w:w="0" w:type="auto"/>
            <w:shd w:val="clear" w:color="auto" w:fill="auto"/>
          </w:tcPr>
          <w:p w14:paraId="33DAF295" w14:textId="77777777" w:rsidR="004D6A64" w:rsidRDefault="004D6A64">
            <w:pPr>
              <w:rPr>
                <w:rFonts w:ascii="宋体"/>
              </w:rPr>
            </w:pPr>
          </w:p>
        </w:tc>
        <w:tc>
          <w:tcPr>
            <w:tcW w:w="0" w:type="auto"/>
            <w:shd w:val="clear" w:color="auto" w:fill="auto"/>
          </w:tcPr>
          <w:p w14:paraId="33DAF296" w14:textId="77777777" w:rsidR="004D6A64" w:rsidRDefault="004D6A64">
            <w:pPr>
              <w:rPr>
                <w:rFonts w:ascii="宋体"/>
              </w:rPr>
            </w:pPr>
          </w:p>
        </w:tc>
        <w:tc>
          <w:tcPr>
            <w:tcW w:w="0" w:type="auto"/>
            <w:shd w:val="clear" w:color="auto" w:fill="auto"/>
          </w:tcPr>
          <w:p w14:paraId="33DAF297" w14:textId="77777777" w:rsidR="004D6A64" w:rsidRDefault="004D6A64">
            <w:pPr>
              <w:rPr>
                <w:rFonts w:ascii="宋体"/>
              </w:rPr>
            </w:pPr>
          </w:p>
        </w:tc>
        <w:tc>
          <w:tcPr>
            <w:tcW w:w="0" w:type="auto"/>
            <w:shd w:val="clear" w:color="auto" w:fill="auto"/>
          </w:tcPr>
          <w:p w14:paraId="33DAF298" w14:textId="77777777" w:rsidR="004D6A64" w:rsidRDefault="004D6A64">
            <w:pPr>
              <w:rPr>
                <w:rFonts w:ascii="宋体"/>
              </w:rPr>
            </w:pPr>
          </w:p>
        </w:tc>
        <w:tc>
          <w:tcPr>
            <w:tcW w:w="0" w:type="auto"/>
            <w:shd w:val="clear" w:color="auto" w:fill="auto"/>
          </w:tcPr>
          <w:p w14:paraId="33DAF299" w14:textId="77777777" w:rsidR="004D6A64" w:rsidRDefault="004D6A64">
            <w:pPr>
              <w:rPr>
                <w:rFonts w:ascii="宋体"/>
              </w:rPr>
            </w:pPr>
          </w:p>
        </w:tc>
        <w:tc>
          <w:tcPr>
            <w:tcW w:w="0" w:type="auto"/>
            <w:shd w:val="clear" w:color="auto" w:fill="auto"/>
          </w:tcPr>
          <w:p w14:paraId="33DAF29A" w14:textId="77777777" w:rsidR="004D6A64" w:rsidRDefault="004D6A64">
            <w:pPr>
              <w:rPr>
                <w:rFonts w:ascii="宋体"/>
              </w:rPr>
            </w:pPr>
          </w:p>
        </w:tc>
        <w:tc>
          <w:tcPr>
            <w:tcW w:w="0" w:type="auto"/>
            <w:shd w:val="clear" w:color="auto" w:fill="auto"/>
          </w:tcPr>
          <w:p w14:paraId="33DAF29B" w14:textId="77777777" w:rsidR="004D6A64" w:rsidRDefault="004D6A64">
            <w:pPr>
              <w:rPr>
                <w:rFonts w:ascii="宋体"/>
              </w:rPr>
            </w:pPr>
          </w:p>
        </w:tc>
        <w:tc>
          <w:tcPr>
            <w:tcW w:w="0" w:type="auto"/>
            <w:shd w:val="clear" w:color="auto" w:fill="auto"/>
          </w:tcPr>
          <w:p w14:paraId="33DAF29C" w14:textId="77777777" w:rsidR="004D6A64" w:rsidRDefault="004D6A64">
            <w:pPr>
              <w:rPr>
                <w:rFonts w:ascii="宋体"/>
              </w:rPr>
            </w:pPr>
          </w:p>
        </w:tc>
        <w:tc>
          <w:tcPr>
            <w:tcW w:w="0" w:type="auto"/>
            <w:shd w:val="clear" w:color="auto" w:fill="auto"/>
          </w:tcPr>
          <w:p w14:paraId="33DAF29D" w14:textId="77777777" w:rsidR="004D6A64" w:rsidRDefault="004D6A64">
            <w:pPr>
              <w:rPr>
                <w:rFonts w:ascii="宋体"/>
              </w:rPr>
            </w:pPr>
          </w:p>
        </w:tc>
        <w:tc>
          <w:tcPr>
            <w:tcW w:w="0" w:type="auto"/>
            <w:shd w:val="clear" w:color="auto" w:fill="auto"/>
          </w:tcPr>
          <w:p w14:paraId="33DAF29E" w14:textId="77777777" w:rsidR="004D6A64" w:rsidRDefault="004D6A64">
            <w:pPr>
              <w:rPr>
                <w:rFonts w:ascii="宋体"/>
              </w:rPr>
            </w:pPr>
          </w:p>
        </w:tc>
        <w:tc>
          <w:tcPr>
            <w:tcW w:w="0" w:type="auto"/>
            <w:shd w:val="clear" w:color="auto" w:fill="auto"/>
          </w:tcPr>
          <w:p w14:paraId="33DAF29F" w14:textId="77777777" w:rsidR="004D6A64" w:rsidRDefault="004D6A64">
            <w:pPr>
              <w:rPr>
                <w:rFonts w:ascii="宋体"/>
              </w:rPr>
            </w:pPr>
          </w:p>
        </w:tc>
        <w:tc>
          <w:tcPr>
            <w:tcW w:w="0" w:type="auto"/>
            <w:shd w:val="clear" w:color="auto" w:fill="auto"/>
          </w:tcPr>
          <w:p w14:paraId="33DAF2A0" w14:textId="77777777" w:rsidR="004D6A64" w:rsidRDefault="004D6A64">
            <w:pPr>
              <w:rPr>
                <w:rFonts w:ascii="宋体"/>
              </w:rPr>
            </w:pPr>
          </w:p>
        </w:tc>
        <w:tc>
          <w:tcPr>
            <w:tcW w:w="0" w:type="auto"/>
            <w:shd w:val="clear" w:color="auto" w:fill="auto"/>
          </w:tcPr>
          <w:p w14:paraId="33DAF2A1" w14:textId="77777777" w:rsidR="004D6A64" w:rsidRDefault="004D6A64">
            <w:pPr>
              <w:rPr>
                <w:rFonts w:ascii="宋体"/>
              </w:rPr>
            </w:pPr>
          </w:p>
        </w:tc>
        <w:tc>
          <w:tcPr>
            <w:tcW w:w="0" w:type="auto"/>
            <w:shd w:val="clear" w:color="auto" w:fill="auto"/>
          </w:tcPr>
          <w:p w14:paraId="33DAF2A2" w14:textId="77777777" w:rsidR="004D6A64" w:rsidRDefault="004D6A64">
            <w:pPr>
              <w:rPr>
                <w:rFonts w:ascii="宋体"/>
              </w:rPr>
            </w:pPr>
          </w:p>
        </w:tc>
        <w:tc>
          <w:tcPr>
            <w:tcW w:w="0" w:type="auto"/>
            <w:shd w:val="clear" w:color="auto" w:fill="auto"/>
          </w:tcPr>
          <w:p w14:paraId="33DAF2A3" w14:textId="77777777" w:rsidR="004D6A64" w:rsidRDefault="004D6A64">
            <w:pPr>
              <w:rPr>
                <w:rFonts w:ascii="宋体"/>
              </w:rPr>
            </w:pPr>
          </w:p>
        </w:tc>
        <w:tc>
          <w:tcPr>
            <w:tcW w:w="0" w:type="auto"/>
            <w:shd w:val="clear" w:color="auto" w:fill="auto"/>
          </w:tcPr>
          <w:p w14:paraId="33DAF2A4" w14:textId="77777777" w:rsidR="004D6A64" w:rsidRDefault="004D6A64">
            <w:pPr>
              <w:rPr>
                <w:rFonts w:ascii="宋体"/>
              </w:rPr>
            </w:pPr>
          </w:p>
        </w:tc>
        <w:tc>
          <w:tcPr>
            <w:tcW w:w="0" w:type="auto"/>
            <w:shd w:val="clear" w:color="auto" w:fill="auto"/>
          </w:tcPr>
          <w:p w14:paraId="33DAF2A5" w14:textId="77777777" w:rsidR="004D6A64" w:rsidRDefault="004D6A64">
            <w:pPr>
              <w:rPr>
                <w:rFonts w:ascii="宋体"/>
              </w:rPr>
            </w:pPr>
          </w:p>
        </w:tc>
        <w:tc>
          <w:tcPr>
            <w:tcW w:w="0" w:type="auto"/>
            <w:shd w:val="clear" w:color="auto" w:fill="auto"/>
          </w:tcPr>
          <w:p w14:paraId="33DAF2A6" w14:textId="77777777" w:rsidR="004D6A64" w:rsidRDefault="004D6A64">
            <w:pPr>
              <w:rPr>
                <w:rFonts w:ascii="宋体"/>
              </w:rPr>
            </w:pPr>
          </w:p>
        </w:tc>
        <w:tc>
          <w:tcPr>
            <w:tcW w:w="0" w:type="auto"/>
            <w:shd w:val="clear" w:color="auto" w:fill="auto"/>
          </w:tcPr>
          <w:p w14:paraId="33DAF2A7" w14:textId="77777777" w:rsidR="004D6A64" w:rsidRDefault="004D6A64">
            <w:pPr>
              <w:rPr>
                <w:rFonts w:ascii="宋体"/>
              </w:rPr>
            </w:pPr>
          </w:p>
        </w:tc>
        <w:tc>
          <w:tcPr>
            <w:tcW w:w="0" w:type="auto"/>
            <w:shd w:val="clear" w:color="auto" w:fill="auto"/>
          </w:tcPr>
          <w:p w14:paraId="33DAF2A8" w14:textId="77777777" w:rsidR="004D6A64" w:rsidRDefault="004D6A64">
            <w:pPr>
              <w:rPr>
                <w:rFonts w:ascii="宋体"/>
              </w:rPr>
            </w:pPr>
          </w:p>
        </w:tc>
        <w:tc>
          <w:tcPr>
            <w:tcW w:w="0" w:type="auto"/>
            <w:shd w:val="clear" w:color="auto" w:fill="auto"/>
          </w:tcPr>
          <w:p w14:paraId="33DAF2A9" w14:textId="77777777" w:rsidR="004D6A64" w:rsidRDefault="004D6A64">
            <w:pPr>
              <w:rPr>
                <w:rFonts w:ascii="宋体"/>
              </w:rPr>
            </w:pPr>
          </w:p>
        </w:tc>
      </w:tr>
      <w:tr w:rsidR="004D6A64" w14:paraId="33DAF2D2" w14:textId="77777777">
        <w:tc>
          <w:tcPr>
            <w:tcW w:w="0" w:type="auto"/>
            <w:gridSpan w:val="3"/>
            <w:shd w:val="clear" w:color="auto" w:fill="FFFFFF"/>
            <w:tcMar>
              <w:top w:w="40" w:type="dxa"/>
              <w:left w:w="20" w:type="dxa"/>
              <w:bottom w:w="40" w:type="dxa"/>
              <w:right w:w="20" w:type="dxa"/>
            </w:tcMar>
            <w:vAlign w:val="center"/>
          </w:tcPr>
          <w:p w14:paraId="33DAF2AB" w14:textId="77777777" w:rsidR="004D6A64" w:rsidRDefault="00506CD6">
            <w:pPr>
              <w:textAlignment w:val="center"/>
            </w:pPr>
            <w:r>
              <w:rPr>
                <w:rFonts w:ascii="Times New Roman" w:eastAsia="宋体" w:hAnsi="Times New Roman"/>
                <w:i/>
                <w:iCs/>
                <w:color w:val="000000"/>
                <w:sz w:val="20"/>
                <w:szCs w:val="20"/>
              </w:rPr>
              <w:t>Operating income:</w:t>
            </w:r>
          </w:p>
        </w:tc>
        <w:tc>
          <w:tcPr>
            <w:tcW w:w="0" w:type="auto"/>
            <w:gridSpan w:val="3"/>
            <w:shd w:val="clear" w:color="auto" w:fill="FFFFFF"/>
            <w:tcMar>
              <w:left w:w="20" w:type="dxa"/>
              <w:right w:w="20" w:type="dxa"/>
            </w:tcMar>
            <w:vAlign w:val="bottom"/>
          </w:tcPr>
          <w:p w14:paraId="33DAF2AC"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2AD"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2AE"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2AF"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2B0"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2B1"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2B2"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2B3"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2B4"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2B5"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2B6" w14:textId="77777777" w:rsidR="004D6A64" w:rsidRDefault="004D6A64">
            <w:pPr>
              <w:rPr>
                <w:rFonts w:ascii="宋体"/>
              </w:rPr>
            </w:pPr>
          </w:p>
        </w:tc>
        <w:tc>
          <w:tcPr>
            <w:tcW w:w="0" w:type="auto"/>
            <w:shd w:val="clear" w:color="auto" w:fill="auto"/>
          </w:tcPr>
          <w:p w14:paraId="33DAF2B7" w14:textId="77777777" w:rsidR="004D6A64" w:rsidRDefault="004D6A64">
            <w:pPr>
              <w:rPr>
                <w:rFonts w:ascii="宋体"/>
              </w:rPr>
            </w:pPr>
          </w:p>
        </w:tc>
        <w:tc>
          <w:tcPr>
            <w:tcW w:w="0" w:type="auto"/>
            <w:shd w:val="clear" w:color="auto" w:fill="auto"/>
          </w:tcPr>
          <w:p w14:paraId="33DAF2B8" w14:textId="77777777" w:rsidR="004D6A64" w:rsidRDefault="004D6A64">
            <w:pPr>
              <w:rPr>
                <w:rFonts w:ascii="宋体"/>
              </w:rPr>
            </w:pPr>
          </w:p>
        </w:tc>
        <w:tc>
          <w:tcPr>
            <w:tcW w:w="0" w:type="auto"/>
            <w:shd w:val="clear" w:color="auto" w:fill="auto"/>
          </w:tcPr>
          <w:p w14:paraId="33DAF2B9" w14:textId="77777777" w:rsidR="004D6A64" w:rsidRDefault="004D6A64">
            <w:pPr>
              <w:rPr>
                <w:rFonts w:ascii="宋体"/>
              </w:rPr>
            </w:pPr>
          </w:p>
        </w:tc>
        <w:tc>
          <w:tcPr>
            <w:tcW w:w="0" w:type="auto"/>
            <w:shd w:val="clear" w:color="auto" w:fill="auto"/>
          </w:tcPr>
          <w:p w14:paraId="33DAF2BA" w14:textId="77777777" w:rsidR="004D6A64" w:rsidRDefault="004D6A64">
            <w:pPr>
              <w:rPr>
                <w:rFonts w:ascii="宋体"/>
              </w:rPr>
            </w:pPr>
          </w:p>
        </w:tc>
        <w:tc>
          <w:tcPr>
            <w:tcW w:w="0" w:type="auto"/>
            <w:shd w:val="clear" w:color="auto" w:fill="auto"/>
          </w:tcPr>
          <w:p w14:paraId="33DAF2BB" w14:textId="77777777" w:rsidR="004D6A64" w:rsidRDefault="004D6A64">
            <w:pPr>
              <w:rPr>
                <w:rFonts w:ascii="宋体"/>
              </w:rPr>
            </w:pPr>
          </w:p>
        </w:tc>
        <w:tc>
          <w:tcPr>
            <w:tcW w:w="0" w:type="auto"/>
            <w:shd w:val="clear" w:color="auto" w:fill="auto"/>
          </w:tcPr>
          <w:p w14:paraId="33DAF2BC" w14:textId="77777777" w:rsidR="004D6A64" w:rsidRDefault="004D6A64">
            <w:pPr>
              <w:rPr>
                <w:rFonts w:ascii="宋体"/>
              </w:rPr>
            </w:pPr>
          </w:p>
        </w:tc>
        <w:tc>
          <w:tcPr>
            <w:tcW w:w="0" w:type="auto"/>
            <w:shd w:val="clear" w:color="auto" w:fill="auto"/>
          </w:tcPr>
          <w:p w14:paraId="33DAF2BD" w14:textId="77777777" w:rsidR="004D6A64" w:rsidRDefault="004D6A64">
            <w:pPr>
              <w:rPr>
                <w:rFonts w:ascii="宋体"/>
              </w:rPr>
            </w:pPr>
          </w:p>
        </w:tc>
        <w:tc>
          <w:tcPr>
            <w:tcW w:w="0" w:type="auto"/>
            <w:shd w:val="clear" w:color="auto" w:fill="auto"/>
          </w:tcPr>
          <w:p w14:paraId="33DAF2BE" w14:textId="77777777" w:rsidR="004D6A64" w:rsidRDefault="004D6A64">
            <w:pPr>
              <w:rPr>
                <w:rFonts w:ascii="宋体"/>
              </w:rPr>
            </w:pPr>
          </w:p>
        </w:tc>
        <w:tc>
          <w:tcPr>
            <w:tcW w:w="0" w:type="auto"/>
            <w:shd w:val="clear" w:color="auto" w:fill="auto"/>
          </w:tcPr>
          <w:p w14:paraId="33DAF2BF" w14:textId="77777777" w:rsidR="004D6A64" w:rsidRDefault="004D6A64">
            <w:pPr>
              <w:rPr>
                <w:rFonts w:ascii="宋体"/>
              </w:rPr>
            </w:pPr>
          </w:p>
        </w:tc>
        <w:tc>
          <w:tcPr>
            <w:tcW w:w="0" w:type="auto"/>
            <w:shd w:val="clear" w:color="auto" w:fill="auto"/>
          </w:tcPr>
          <w:p w14:paraId="33DAF2C0" w14:textId="77777777" w:rsidR="004D6A64" w:rsidRDefault="004D6A64">
            <w:pPr>
              <w:rPr>
                <w:rFonts w:ascii="宋体"/>
              </w:rPr>
            </w:pPr>
          </w:p>
        </w:tc>
        <w:tc>
          <w:tcPr>
            <w:tcW w:w="0" w:type="auto"/>
            <w:shd w:val="clear" w:color="auto" w:fill="auto"/>
          </w:tcPr>
          <w:p w14:paraId="33DAF2C1" w14:textId="77777777" w:rsidR="004D6A64" w:rsidRDefault="004D6A64">
            <w:pPr>
              <w:rPr>
                <w:rFonts w:ascii="宋体"/>
              </w:rPr>
            </w:pPr>
          </w:p>
        </w:tc>
        <w:tc>
          <w:tcPr>
            <w:tcW w:w="0" w:type="auto"/>
            <w:shd w:val="clear" w:color="auto" w:fill="auto"/>
          </w:tcPr>
          <w:p w14:paraId="33DAF2C2" w14:textId="77777777" w:rsidR="004D6A64" w:rsidRDefault="004D6A64">
            <w:pPr>
              <w:rPr>
                <w:rFonts w:ascii="宋体"/>
              </w:rPr>
            </w:pPr>
          </w:p>
        </w:tc>
        <w:tc>
          <w:tcPr>
            <w:tcW w:w="0" w:type="auto"/>
            <w:shd w:val="clear" w:color="auto" w:fill="auto"/>
          </w:tcPr>
          <w:p w14:paraId="33DAF2C3" w14:textId="77777777" w:rsidR="004D6A64" w:rsidRDefault="004D6A64">
            <w:pPr>
              <w:rPr>
                <w:rFonts w:ascii="宋体"/>
              </w:rPr>
            </w:pPr>
          </w:p>
        </w:tc>
        <w:tc>
          <w:tcPr>
            <w:tcW w:w="0" w:type="auto"/>
            <w:shd w:val="clear" w:color="auto" w:fill="auto"/>
          </w:tcPr>
          <w:p w14:paraId="33DAF2C4" w14:textId="77777777" w:rsidR="004D6A64" w:rsidRDefault="004D6A64">
            <w:pPr>
              <w:rPr>
                <w:rFonts w:ascii="宋体"/>
              </w:rPr>
            </w:pPr>
          </w:p>
        </w:tc>
        <w:tc>
          <w:tcPr>
            <w:tcW w:w="0" w:type="auto"/>
            <w:shd w:val="clear" w:color="auto" w:fill="auto"/>
          </w:tcPr>
          <w:p w14:paraId="33DAF2C5" w14:textId="77777777" w:rsidR="004D6A64" w:rsidRDefault="004D6A64">
            <w:pPr>
              <w:rPr>
                <w:rFonts w:ascii="宋体"/>
              </w:rPr>
            </w:pPr>
          </w:p>
        </w:tc>
        <w:tc>
          <w:tcPr>
            <w:tcW w:w="0" w:type="auto"/>
            <w:shd w:val="clear" w:color="auto" w:fill="auto"/>
          </w:tcPr>
          <w:p w14:paraId="33DAF2C6" w14:textId="77777777" w:rsidR="004D6A64" w:rsidRDefault="004D6A64">
            <w:pPr>
              <w:rPr>
                <w:rFonts w:ascii="宋体"/>
              </w:rPr>
            </w:pPr>
          </w:p>
        </w:tc>
        <w:tc>
          <w:tcPr>
            <w:tcW w:w="0" w:type="auto"/>
            <w:shd w:val="clear" w:color="auto" w:fill="auto"/>
          </w:tcPr>
          <w:p w14:paraId="33DAF2C7" w14:textId="77777777" w:rsidR="004D6A64" w:rsidRDefault="004D6A64">
            <w:pPr>
              <w:rPr>
                <w:rFonts w:ascii="宋体"/>
              </w:rPr>
            </w:pPr>
          </w:p>
        </w:tc>
        <w:tc>
          <w:tcPr>
            <w:tcW w:w="0" w:type="auto"/>
            <w:shd w:val="clear" w:color="auto" w:fill="auto"/>
          </w:tcPr>
          <w:p w14:paraId="33DAF2C8" w14:textId="77777777" w:rsidR="004D6A64" w:rsidRDefault="004D6A64">
            <w:pPr>
              <w:rPr>
                <w:rFonts w:ascii="宋体"/>
              </w:rPr>
            </w:pPr>
          </w:p>
        </w:tc>
        <w:tc>
          <w:tcPr>
            <w:tcW w:w="0" w:type="auto"/>
            <w:shd w:val="clear" w:color="auto" w:fill="auto"/>
          </w:tcPr>
          <w:p w14:paraId="33DAF2C9" w14:textId="77777777" w:rsidR="004D6A64" w:rsidRDefault="004D6A64">
            <w:pPr>
              <w:rPr>
                <w:rFonts w:ascii="宋体"/>
              </w:rPr>
            </w:pPr>
          </w:p>
        </w:tc>
        <w:tc>
          <w:tcPr>
            <w:tcW w:w="0" w:type="auto"/>
            <w:shd w:val="clear" w:color="auto" w:fill="auto"/>
          </w:tcPr>
          <w:p w14:paraId="33DAF2CA" w14:textId="77777777" w:rsidR="004D6A64" w:rsidRDefault="004D6A64">
            <w:pPr>
              <w:rPr>
                <w:rFonts w:ascii="宋体"/>
              </w:rPr>
            </w:pPr>
          </w:p>
        </w:tc>
        <w:tc>
          <w:tcPr>
            <w:tcW w:w="0" w:type="auto"/>
            <w:shd w:val="clear" w:color="auto" w:fill="auto"/>
          </w:tcPr>
          <w:p w14:paraId="33DAF2CB" w14:textId="77777777" w:rsidR="004D6A64" w:rsidRDefault="004D6A64">
            <w:pPr>
              <w:rPr>
                <w:rFonts w:ascii="宋体"/>
              </w:rPr>
            </w:pPr>
          </w:p>
        </w:tc>
        <w:tc>
          <w:tcPr>
            <w:tcW w:w="0" w:type="auto"/>
            <w:shd w:val="clear" w:color="auto" w:fill="auto"/>
          </w:tcPr>
          <w:p w14:paraId="33DAF2CC" w14:textId="77777777" w:rsidR="004D6A64" w:rsidRDefault="004D6A64">
            <w:pPr>
              <w:rPr>
                <w:rFonts w:ascii="宋体"/>
              </w:rPr>
            </w:pPr>
          </w:p>
        </w:tc>
        <w:tc>
          <w:tcPr>
            <w:tcW w:w="0" w:type="auto"/>
            <w:shd w:val="clear" w:color="auto" w:fill="auto"/>
          </w:tcPr>
          <w:p w14:paraId="33DAF2CD" w14:textId="77777777" w:rsidR="004D6A64" w:rsidRDefault="004D6A64">
            <w:pPr>
              <w:rPr>
                <w:rFonts w:ascii="宋体"/>
              </w:rPr>
            </w:pPr>
          </w:p>
        </w:tc>
        <w:tc>
          <w:tcPr>
            <w:tcW w:w="0" w:type="auto"/>
            <w:shd w:val="clear" w:color="auto" w:fill="auto"/>
          </w:tcPr>
          <w:p w14:paraId="33DAF2CE" w14:textId="77777777" w:rsidR="004D6A64" w:rsidRDefault="004D6A64">
            <w:pPr>
              <w:rPr>
                <w:rFonts w:ascii="宋体"/>
              </w:rPr>
            </w:pPr>
          </w:p>
        </w:tc>
        <w:tc>
          <w:tcPr>
            <w:tcW w:w="0" w:type="auto"/>
            <w:shd w:val="clear" w:color="auto" w:fill="auto"/>
          </w:tcPr>
          <w:p w14:paraId="33DAF2CF" w14:textId="77777777" w:rsidR="004D6A64" w:rsidRDefault="004D6A64">
            <w:pPr>
              <w:rPr>
                <w:rFonts w:ascii="宋体"/>
              </w:rPr>
            </w:pPr>
          </w:p>
        </w:tc>
        <w:tc>
          <w:tcPr>
            <w:tcW w:w="0" w:type="auto"/>
            <w:shd w:val="clear" w:color="auto" w:fill="auto"/>
          </w:tcPr>
          <w:p w14:paraId="33DAF2D0" w14:textId="77777777" w:rsidR="004D6A64" w:rsidRDefault="004D6A64">
            <w:pPr>
              <w:rPr>
                <w:rFonts w:ascii="宋体"/>
              </w:rPr>
            </w:pPr>
          </w:p>
        </w:tc>
        <w:tc>
          <w:tcPr>
            <w:tcW w:w="0" w:type="auto"/>
            <w:shd w:val="clear" w:color="auto" w:fill="auto"/>
          </w:tcPr>
          <w:p w14:paraId="33DAF2D1" w14:textId="77777777" w:rsidR="004D6A64" w:rsidRDefault="004D6A64">
            <w:pPr>
              <w:rPr>
                <w:rFonts w:ascii="宋体"/>
              </w:rPr>
            </w:pPr>
          </w:p>
        </w:tc>
      </w:tr>
      <w:tr w:rsidR="004D6A64" w14:paraId="33DAF304" w14:textId="77777777">
        <w:tc>
          <w:tcPr>
            <w:tcW w:w="0" w:type="auto"/>
            <w:gridSpan w:val="3"/>
            <w:shd w:val="clear" w:color="auto" w:fill="CCEEFF"/>
            <w:tcMar>
              <w:top w:w="40" w:type="dxa"/>
              <w:left w:w="135" w:type="dxa"/>
              <w:bottom w:w="40" w:type="dxa"/>
              <w:right w:w="20" w:type="dxa"/>
            </w:tcMar>
            <w:vAlign w:val="center"/>
          </w:tcPr>
          <w:p w14:paraId="33DAF2D3" w14:textId="77777777" w:rsidR="004D6A64" w:rsidRDefault="00506CD6">
            <w:pPr>
              <w:textAlignment w:val="center"/>
            </w:pPr>
            <w:r>
              <w:rPr>
                <w:rFonts w:ascii="Times New Roman" w:eastAsia="宋体" w:hAnsi="Times New Roman"/>
                <w:color w:val="000000"/>
                <w:sz w:val="20"/>
                <w:szCs w:val="20"/>
              </w:rPr>
              <w:t>ISG operating income</w:t>
            </w:r>
          </w:p>
        </w:tc>
        <w:tc>
          <w:tcPr>
            <w:tcW w:w="0" w:type="auto"/>
            <w:tcBorders>
              <w:top w:val="single" w:sz="8" w:space="0" w:color="000000"/>
            </w:tcBorders>
            <w:shd w:val="clear" w:color="auto" w:fill="CCEEFF"/>
            <w:tcMar>
              <w:top w:w="40" w:type="dxa"/>
              <w:left w:w="20" w:type="dxa"/>
              <w:bottom w:w="40" w:type="dxa"/>
            </w:tcMar>
            <w:vAlign w:val="center"/>
          </w:tcPr>
          <w:p w14:paraId="33DAF2D4"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F2D5" w14:textId="77777777" w:rsidR="004D6A64" w:rsidRDefault="00506CD6">
            <w:pPr>
              <w:jc w:val="right"/>
              <w:textAlignment w:val="center"/>
            </w:pPr>
            <w:r>
              <w:rPr>
                <w:rFonts w:ascii="Times New Roman" w:eastAsia="宋体" w:hAnsi="Times New Roman"/>
                <w:color w:val="000000"/>
                <w:sz w:val="20"/>
                <w:szCs w:val="20"/>
              </w:rPr>
              <w:t>973 </w:t>
            </w:r>
          </w:p>
        </w:tc>
        <w:tc>
          <w:tcPr>
            <w:tcW w:w="0" w:type="auto"/>
            <w:tcBorders>
              <w:top w:val="single" w:sz="8" w:space="0" w:color="000000"/>
            </w:tcBorders>
            <w:shd w:val="clear" w:color="auto" w:fill="CCEEFF"/>
            <w:tcMar>
              <w:top w:w="40" w:type="dxa"/>
              <w:bottom w:w="40" w:type="dxa"/>
              <w:right w:w="20" w:type="dxa"/>
            </w:tcMar>
            <w:vAlign w:val="center"/>
          </w:tcPr>
          <w:p w14:paraId="33DAF2D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2D7"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2D8" w14:textId="77777777" w:rsidR="004D6A64" w:rsidRDefault="00506CD6">
            <w:pPr>
              <w:jc w:val="right"/>
              <w:textAlignment w:val="center"/>
            </w:pPr>
            <w:r>
              <w:rPr>
                <w:rFonts w:ascii="Times New Roman" w:eastAsia="宋体" w:hAnsi="Times New Roman"/>
                <w:color w:val="000000"/>
                <w:sz w:val="20"/>
                <w:szCs w:val="20"/>
              </w:rPr>
              <w:t>(7)</w:t>
            </w:r>
          </w:p>
        </w:tc>
        <w:tc>
          <w:tcPr>
            <w:tcW w:w="0" w:type="auto"/>
            <w:shd w:val="clear" w:color="auto" w:fill="CCEEFF"/>
            <w:tcMar>
              <w:top w:w="40" w:type="dxa"/>
              <w:bottom w:w="40" w:type="dxa"/>
              <w:right w:w="20" w:type="dxa"/>
            </w:tcMar>
            <w:vAlign w:val="center"/>
          </w:tcPr>
          <w:p w14:paraId="33DAF2D9"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F2DA"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33DAF2DB"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F2DC" w14:textId="77777777" w:rsidR="004D6A64" w:rsidRDefault="00506CD6">
            <w:pPr>
              <w:jc w:val="right"/>
              <w:textAlignment w:val="center"/>
            </w:pPr>
            <w:r>
              <w:rPr>
                <w:rFonts w:ascii="Times New Roman" w:eastAsia="宋体" w:hAnsi="Times New Roman"/>
                <w:color w:val="000000"/>
                <w:sz w:val="20"/>
                <w:szCs w:val="20"/>
              </w:rPr>
              <w:t>1,050 </w:t>
            </w:r>
          </w:p>
        </w:tc>
        <w:tc>
          <w:tcPr>
            <w:tcW w:w="0" w:type="auto"/>
            <w:tcBorders>
              <w:top w:val="single" w:sz="8" w:space="0" w:color="000000"/>
            </w:tcBorders>
            <w:shd w:val="clear" w:color="auto" w:fill="CCEEFF"/>
            <w:tcMar>
              <w:top w:w="40" w:type="dxa"/>
              <w:bottom w:w="40" w:type="dxa"/>
              <w:right w:w="120" w:type="dxa"/>
            </w:tcMar>
            <w:vAlign w:val="center"/>
          </w:tcPr>
          <w:p w14:paraId="33DAF2D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2DE"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33DAF2DF"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F2E0" w14:textId="77777777" w:rsidR="004D6A64" w:rsidRDefault="00506CD6">
            <w:pPr>
              <w:jc w:val="right"/>
              <w:textAlignment w:val="center"/>
            </w:pPr>
            <w:r>
              <w:rPr>
                <w:rFonts w:ascii="Times New Roman" w:eastAsia="宋体" w:hAnsi="Times New Roman"/>
                <w:color w:val="000000"/>
                <w:sz w:val="20"/>
                <w:szCs w:val="20"/>
              </w:rPr>
              <w:t>1,705 </w:t>
            </w:r>
          </w:p>
        </w:tc>
        <w:tc>
          <w:tcPr>
            <w:tcW w:w="0" w:type="auto"/>
            <w:tcBorders>
              <w:top w:val="single" w:sz="8" w:space="0" w:color="000000"/>
            </w:tcBorders>
            <w:shd w:val="clear" w:color="auto" w:fill="CCEEFF"/>
            <w:tcMar>
              <w:top w:w="40" w:type="dxa"/>
              <w:bottom w:w="40" w:type="dxa"/>
              <w:right w:w="120" w:type="dxa"/>
            </w:tcMar>
            <w:vAlign w:val="center"/>
          </w:tcPr>
          <w:p w14:paraId="33DAF2E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2E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2E3" w14:textId="77777777" w:rsidR="004D6A64" w:rsidRDefault="00506CD6">
            <w:pPr>
              <w:jc w:val="right"/>
              <w:textAlignment w:val="center"/>
            </w:pPr>
            <w:r>
              <w:rPr>
                <w:rFonts w:ascii="Times New Roman" w:eastAsia="宋体" w:hAnsi="Times New Roman"/>
                <w:color w:val="000000"/>
                <w:sz w:val="20"/>
                <w:szCs w:val="20"/>
              </w:rPr>
              <w:t>(10)</w:t>
            </w:r>
          </w:p>
        </w:tc>
        <w:tc>
          <w:tcPr>
            <w:tcW w:w="0" w:type="auto"/>
            <w:shd w:val="clear" w:color="auto" w:fill="CCEEFF"/>
            <w:tcMar>
              <w:top w:w="40" w:type="dxa"/>
              <w:bottom w:w="40" w:type="dxa"/>
              <w:right w:w="20" w:type="dxa"/>
            </w:tcMar>
            <w:vAlign w:val="center"/>
          </w:tcPr>
          <w:p w14:paraId="33DAF2E4"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F2E5"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33DAF2E6"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F2E7" w14:textId="77777777" w:rsidR="004D6A64" w:rsidRDefault="00506CD6">
            <w:pPr>
              <w:jc w:val="right"/>
              <w:textAlignment w:val="center"/>
            </w:pPr>
            <w:r>
              <w:rPr>
                <w:rFonts w:ascii="Times New Roman" w:eastAsia="宋体" w:hAnsi="Times New Roman"/>
                <w:color w:val="000000"/>
                <w:sz w:val="20"/>
                <w:szCs w:val="20"/>
              </w:rPr>
              <w:t>1,893 </w:t>
            </w:r>
          </w:p>
        </w:tc>
        <w:tc>
          <w:tcPr>
            <w:tcW w:w="0" w:type="auto"/>
            <w:tcBorders>
              <w:top w:val="single" w:sz="8" w:space="0" w:color="000000"/>
            </w:tcBorders>
            <w:shd w:val="clear" w:color="auto" w:fill="CCEEFF"/>
            <w:tcMar>
              <w:top w:w="40" w:type="dxa"/>
              <w:bottom w:w="40" w:type="dxa"/>
              <w:right w:w="120" w:type="dxa"/>
            </w:tcMar>
            <w:vAlign w:val="center"/>
          </w:tcPr>
          <w:p w14:paraId="33DAF2E8" w14:textId="77777777" w:rsidR="004D6A64" w:rsidRDefault="004D6A64">
            <w:pPr>
              <w:jc w:val="right"/>
              <w:rPr>
                <w:rFonts w:ascii="宋体"/>
              </w:rPr>
            </w:pPr>
          </w:p>
        </w:tc>
        <w:tc>
          <w:tcPr>
            <w:tcW w:w="0" w:type="auto"/>
            <w:shd w:val="clear" w:color="auto" w:fill="auto"/>
          </w:tcPr>
          <w:p w14:paraId="33DAF2E9" w14:textId="77777777" w:rsidR="004D6A64" w:rsidRDefault="004D6A64">
            <w:pPr>
              <w:rPr>
                <w:rFonts w:ascii="宋体"/>
              </w:rPr>
            </w:pPr>
          </w:p>
        </w:tc>
        <w:tc>
          <w:tcPr>
            <w:tcW w:w="0" w:type="auto"/>
            <w:shd w:val="clear" w:color="auto" w:fill="auto"/>
          </w:tcPr>
          <w:p w14:paraId="33DAF2EA" w14:textId="77777777" w:rsidR="004D6A64" w:rsidRDefault="004D6A64">
            <w:pPr>
              <w:rPr>
                <w:rFonts w:ascii="宋体"/>
              </w:rPr>
            </w:pPr>
          </w:p>
        </w:tc>
        <w:tc>
          <w:tcPr>
            <w:tcW w:w="0" w:type="auto"/>
            <w:shd w:val="clear" w:color="auto" w:fill="auto"/>
          </w:tcPr>
          <w:p w14:paraId="33DAF2EB" w14:textId="77777777" w:rsidR="004D6A64" w:rsidRDefault="004D6A64">
            <w:pPr>
              <w:rPr>
                <w:rFonts w:ascii="宋体"/>
              </w:rPr>
            </w:pPr>
          </w:p>
        </w:tc>
        <w:tc>
          <w:tcPr>
            <w:tcW w:w="0" w:type="auto"/>
            <w:shd w:val="clear" w:color="auto" w:fill="auto"/>
          </w:tcPr>
          <w:p w14:paraId="33DAF2EC" w14:textId="77777777" w:rsidR="004D6A64" w:rsidRDefault="004D6A64">
            <w:pPr>
              <w:rPr>
                <w:rFonts w:ascii="宋体"/>
              </w:rPr>
            </w:pPr>
          </w:p>
        </w:tc>
        <w:tc>
          <w:tcPr>
            <w:tcW w:w="0" w:type="auto"/>
            <w:shd w:val="clear" w:color="auto" w:fill="auto"/>
          </w:tcPr>
          <w:p w14:paraId="33DAF2ED" w14:textId="77777777" w:rsidR="004D6A64" w:rsidRDefault="004D6A64">
            <w:pPr>
              <w:rPr>
                <w:rFonts w:ascii="宋体"/>
              </w:rPr>
            </w:pPr>
          </w:p>
        </w:tc>
        <w:tc>
          <w:tcPr>
            <w:tcW w:w="0" w:type="auto"/>
            <w:shd w:val="clear" w:color="auto" w:fill="auto"/>
          </w:tcPr>
          <w:p w14:paraId="33DAF2EE" w14:textId="77777777" w:rsidR="004D6A64" w:rsidRDefault="004D6A64">
            <w:pPr>
              <w:rPr>
                <w:rFonts w:ascii="宋体"/>
              </w:rPr>
            </w:pPr>
          </w:p>
        </w:tc>
        <w:tc>
          <w:tcPr>
            <w:tcW w:w="0" w:type="auto"/>
            <w:shd w:val="clear" w:color="auto" w:fill="auto"/>
          </w:tcPr>
          <w:p w14:paraId="33DAF2EF" w14:textId="77777777" w:rsidR="004D6A64" w:rsidRDefault="004D6A64">
            <w:pPr>
              <w:rPr>
                <w:rFonts w:ascii="宋体"/>
              </w:rPr>
            </w:pPr>
          </w:p>
        </w:tc>
        <w:tc>
          <w:tcPr>
            <w:tcW w:w="0" w:type="auto"/>
            <w:shd w:val="clear" w:color="auto" w:fill="auto"/>
          </w:tcPr>
          <w:p w14:paraId="33DAF2F0" w14:textId="77777777" w:rsidR="004D6A64" w:rsidRDefault="004D6A64">
            <w:pPr>
              <w:rPr>
                <w:rFonts w:ascii="宋体"/>
              </w:rPr>
            </w:pPr>
          </w:p>
        </w:tc>
        <w:tc>
          <w:tcPr>
            <w:tcW w:w="0" w:type="auto"/>
            <w:shd w:val="clear" w:color="auto" w:fill="auto"/>
          </w:tcPr>
          <w:p w14:paraId="33DAF2F1" w14:textId="77777777" w:rsidR="004D6A64" w:rsidRDefault="004D6A64">
            <w:pPr>
              <w:rPr>
                <w:rFonts w:ascii="宋体"/>
              </w:rPr>
            </w:pPr>
          </w:p>
        </w:tc>
        <w:tc>
          <w:tcPr>
            <w:tcW w:w="0" w:type="auto"/>
            <w:shd w:val="clear" w:color="auto" w:fill="auto"/>
          </w:tcPr>
          <w:p w14:paraId="33DAF2F2" w14:textId="77777777" w:rsidR="004D6A64" w:rsidRDefault="004D6A64">
            <w:pPr>
              <w:rPr>
                <w:rFonts w:ascii="宋体"/>
              </w:rPr>
            </w:pPr>
          </w:p>
        </w:tc>
        <w:tc>
          <w:tcPr>
            <w:tcW w:w="0" w:type="auto"/>
            <w:shd w:val="clear" w:color="auto" w:fill="auto"/>
          </w:tcPr>
          <w:p w14:paraId="33DAF2F3" w14:textId="77777777" w:rsidR="004D6A64" w:rsidRDefault="004D6A64">
            <w:pPr>
              <w:rPr>
                <w:rFonts w:ascii="宋体"/>
              </w:rPr>
            </w:pPr>
          </w:p>
        </w:tc>
        <w:tc>
          <w:tcPr>
            <w:tcW w:w="0" w:type="auto"/>
            <w:shd w:val="clear" w:color="auto" w:fill="auto"/>
          </w:tcPr>
          <w:p w14:paraId="33DAF2F4" w14:textId="77777777" w:rsidR="004D6A64" w:rsidRDefault="004D6A64">
            <w:pPr>
              <w:rPr>
                <w:rFonts w:ascii="宋体"/>
              </w:rPr>
            </w:pPr>
          </w:p>
        </w:tc>
        <w:tc>
          <w:tcPr>
            <w:tcW w:w="0" w:type="auto"/>
            <w:shd w:val="clear" w:color="auto" w:fill="auto"/>
          </w:tcPr>
          <w:p w14:paraId="33DAF2F5" w14:textId="77777777" w:rsidR="004D6A64" w:rsidRDefault="004D6A64">
            <w:pPr>
              <w:rPr>
                <w:rFonts w:ascii="宋体"/>
              </w:rPr>
            </w:pPr>
          </w:p>
        </w:tc>
        <w:tc>
          <w:tcPr>
            <w:tcW w:w="0" w:type="auto"/>
            <w:shd w:val="clear" w:color="auto" w:fill="auto"/>
          </w:tcPr>
          <w:p w14:paraId="33DAF2F6" w14:textId="77777777" w:rsidR="004D6A64" w:rsidRDefault="004D6A64">
            <w:pPr>
              <w:rPr>
                <w:rFonts w:ascii="宋体"/>
              </w:rPr>
            </w:pPr>
          </w:p>
        </w:tc>
        <w:tc>
          <w:tcPr>
            <w:tcW w:w="0" w:type="auto"/>
            <w:shd w:val="clear" w:color="auto" w:fill="auto"/>
          </w:tcPr>
          <w:p w14:paraId="33DAF2F7" w14:textId="77777777" w:rsidR="004D6A64" w:rsidRDefault="004D6A64">
            <w:pPr>
              <w:rPr>
                <w:rFonts w:ascii="宋体"/>
              </w:rPr>
            </w:pPr>
          </w:p>
        </w:tc>
        <w:tc>
          <w:tcPr>
            <w:tcW w:w="0" w:type="auto"/>
            <w:shd w:val="clear" w:color="auto" w:fill="auto"/>
          </w:tcPr>
          <w:p w14:paraId="33DAF2F8" w14:textId="77777777" w:rsidR="004D6A64" w:rsidRDefault="004D6A64">
            <w:pPr>
              <w:rPr>
                <w:rFonts w:ascii="宋体"/>
              </w:rPr>
            </w:pPr>
          </w:p>
        </w:tc>
        <w:tc>
          <w:tcPr>
            <w:tcW w:w="0" w:type="auto"/>
            <w:shd w:val="clear" w:color="auto" w:fill="auto"/>
          </w:tcPr>
          <w:p w14:paraId="33DAF2F9" w14:textId="77777777" w:rsidR="004D6A64" w:rsidRDefault="004D6A64">
            <w:pPr>
              <w:rPr>
                <w:rFonts w:ascii="宋体"/>
              </w:rPr>
            </w:pPr>
          </w:p>
        </w:tc>
        <w:tc>
          <w:tcPr>
            <w:tcW w:w="0" w:type="auto"/>
            <w:shd w:val="clear" w:color="auto" w:fill="auto"/>
          </w:tcPr>
          <w:p w14:paraId="33DAF2FA" w14:textId="77777777" w:rsidR="004D6A64" w:rsidRDefault="004D6A64">
            <w:pPr>
              <w:rPr>
                <w:rFonts w:ascii="宋体"/>
              </w:rPr>
            </w:pPr>
          </w:p>
        </w:tc>
        <w:tc>
          <w:tcPr>
            <w:tcW w:w="0" w:type="auto"/>
            <w:shd w:val="clear" w:color="auto" w:fill="auto"/>
          </w:tcPr>
          <w:p w14:paraId="33DAF2FB" w14:textId="77777777" w:rsidR="004D6A64" w:rsidRDefault="004D6A64">
            <w:pPr>
              <w:rPr>
                <w:rFonts w:ascii="宋体"/>
              </w:rPr>
            </w:pPr>
          </w:p>
        </w:tc>
        <w:tc>
          <w:tcPr>
            <w:tcW w:w="0" w:type="auto"/>
            <w:shd w:val="clear" w:color="auto" w:fill="auto"/>
          </w:tcPr>
          <w:p w14:paraId="33DAF2FC" w14:textId="77777777" w:rsidR="004D6A64" w:rsidRDefault="004D6A64">
            <w:pPr>
              <w:rPr>
                <w:rFonts w:ascii="宋体"/>
              </w:rPr>
            </w:pPr>
          </w:p>
        </w:tc>
        <w:tc>
          <w:tcPr>
            <w:tcW w:w="0" w:type="auto"/>
            <w:shd w:val="clear" w:color="auto" w:fill="auto"/>
          </w:tcPr>
          <w:p w14:paraId="33DAF2FD" w14:textId="77777777" w:rsidR="004D6A64" w:rsidRDefault="004D6A64">
            <w:pPr>
              <w:rPr>
                <w:rFonts w:ascii="宋体"/>
              </w:rPr>
            </w:pPr>
          </w:p>
        </w:tc>
        <w:tc>
          <w:tcPr>
            <w:tcW w:w="0" w:type="auto"/>
            <w:shd w:val="clear" w:color="auto" w:fill="auto"/>
          </w:tcPr>
          <w:p w14:paraId="33DAF2FE" w14:textId="77777777" w:rsidR="004D6A64" w:rsidRDefault="004D6A64">
            <w:pPr>
              <w:rPr>
                <w:rFonts w:ascii="宋体"/>
              </w:rPr>
            </w:pPr>
          </w:p>
        </w:tc>
        <w:tc>
          <w:tcPr>
            <w:tcW w:w="0" w:type="auto"/>
            <w:shd w:val="clear" w:color="auto" w:fill="auto"/>
          </w:tcPr>
          <w:p w14:paraId="33DAF2FF" w14:textId="77777777" w:rsidR="004D6A64" w:rsidRDefault="004D6A64">
            <w:pPr>
              <w:rPr>
                <w:rFonts w:ascii="宋体"/>
              </w:rPr>
            </w:pPr>
          </w:p>
        </w:tc>
        <w:tc>
          <w:tcPr>
            <w:tcW w:w="0" w:type="auto"/>
            <w:shd w:val="clear" w:color="auto" w:fill="auto"/>
          </w:tcPr>
          <w:p w14:paraId="33DAF300" w14:textId="77777777" w:rsidR="004D6A64" w:rsidRDefault="004D6A64">
            <w:pPr>
              <w:rPr>
                <w:rFonts w:ascii="宋体"/>
              </w:rPr>
            </w:pPr>
          </w:p>
        </w:tc>
        <w:tc>
          <w:tcPr>
            <w:tcW w:w="0" w:type="auto"/>
            <w:shd w:val="clear" w:color="auto" w:fill="auto"/>
          </w:tcPr>
          <w:p w14:paraId="33DAF301" w14:textId="77777777" w:rsidR="004D6A64" w:rsidRDefault="004D6A64">
            <w:pPr>
              <w:rPr>
                <w:rFonts w:ascii="宋体"/>
              </w:rPr>
            </w:pPr>
          </w:p>
        </w:tc>
        <w:tc>
          <w:tcPr>
            <w:tcW w:w="0" w:type="auto"/>
            <w:shd w:val="clear" w:color="auto" w:fill="auto"/>
          </w:tcPr>
          <w:p w14:paraId="33DAF302" w14:textId="77777777" w:rsidR="004D6A64" w:rsidRDefault="004D6A64">
            <w:pPr>
              <w:rPr>
                <w:rFonts w:ascii="宋体"/>
              </w:rPr>
            </w:pPr>
          </w:p>
        </w:tc>
        <w:tc>
          <w:tcPr>
            <w:tcW w:w="0" w:type="auto"/>
            <w:shd w:val="clear" w:color="auto" w:fill="auto"/>
          </w:tcPr>
          <w:p w14:paraId="33DAF303" w14:textId="77777777" w:rsidR="004D6A64" w:rsidRDefault="004D6A64">
            <w:pPr>
              <w:rPr>
                <w:rFonts w:ascii="宋体"/>
              </w:rPr>
            </w:pPr>
          </w:p>
        </w:tc>
      </w:tr>
      <w:tr w:rsidR="004D6A64" w14:paraId="33DAF330" w14:textId="77777777">
        <w:tc>
          <w:tcPr>
            <w:tcW w:w="0" w:type="auto"/>
            <w:gridSpan w:val="3"/>
            <w:shd w:val="clear" w:color="auto" w:fill="FFFFFF"/>
            <w:tcMar>
              <w:top w:w="40" w:type="dxa"/>
              <w:left w:w="135" w:type="dxa"/>
              <w:bottom w:w="40" w:type="dxa"/>
              <w:right w:w="20" w:type="dxa"/>
            </w:tcMar>
            <w:vAlign w:val="center"/>
          </w:tcPr>
          <w:p w14:paraId="33DAF305" w14:textId="77777777" w:rsidR="004D6A64" w:rsidRDefault="00506CD6">
            <w:pPr>
              <w:textAlignment w:val="center"/>
            </w:pPr>
            <w:r>
              <w:rPr>
                <w:rFonts w:ascii="Times New Roman" w:eastAsia="宋体" w:hAnsi="Times New Roman"/>
                <w:i/>
                <w:iCs/>
                <w:color w:val="000000"/>
                <w:sz w:val="20"/>
                <w:szCs w:val="20"/>
              </w:rPr>
              <w:t>% of segment net revenue</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F306" w14:textId="77777777" w:rsidR="004D6A64" w:rsidRDefault="00506CD6">
            <w:pPr>
              <w:jc w:val="right"/>
              <w:textAlignment w:val="center"/>
            </w:pPr>
            <w:r>
              <w:rPr>
                <w:rFonts w:ascii="Times New Roman" w:eastAsia="宋体" w:hAnsi="Times New Roman"/>
                <w:i/>
                <w:iCs/>
                <w:color w:val="000000"/>
                <w:sz w:val="20"/>
                <w:szCs w:val="20"/>
              </w:rPr>
              <w:t>11.9 </w:t>
            </w:r>
          </w:p>
        </w:tc>
        <w:tc>
          <w:tcPr>
            <w:tcW w:w="0" w:type="auto"/>
            <w:tcBorders>
              <w:top w:val="single" w:sz="8" w:space="0" w:color="000000"/>
            </w:tcBorders>
            <w:shd w:val="clear" w:color="auto" w:fill="FFFFFF"/>
            <w:tcMar>
              <w:top w:w="40" w:type="dxa"/>
              <w:bottom w:w="40" w:type="dxa"/>
              <w:right w:w="20" w:type="dxa"/>
            </w:tcMar>
            <w:vAlign w:val="center"/>
          </w:tcPr>
          <w:p w14:paraId="33DAF307" w14:textId="77777777" w:rsidR="004D6A64" w:rsidRDefault="00506CD6">
            <w:pPr>
              <w:jc w:val="right"/>
              <w:textAlignment w:val="center"/>
            </w:pPr>
            <w:r>
              <w:rPr>
                <w:rFonts w:ascii="Times New Roman" w:eastAsia="宋体" w:hAnsi="Times New Roman"/>
                <w:i/>
                <w:iCs/>
                <w:color w:val="000000"/>
                <w:sz w:val="20"/>
                <w:szCs w:val="20"/>
              </w:rPr>
              <w:t>%</w:t>
            </w:r>
          </w:p>
        </w:tc>
        <w:tc>
          <w:tcPr>
            <w:tcW w:w="0" w:type="auto"/>
            <w:gridSpan w:val="3"/>
            <w:shd w:val="clear" w:color="auto" w:fill="FFFFFF"/>
            <w:tcMar>
              <w:left w:w="20" w:type="dxa"/>
              <w:right w:w="20" w:type="dxa"/>
            </w:tcMar>
            <w:vAlign w:val="bottom"/>
          </w:tcPr>
          <w:p w14:paraId="33DAF308"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309"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30A"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F30B" w14:textId="77777777" w:rsidR="004D6A64" w:rsidRDefault="00506CD6">
            <w:pPr>
              <w:jc w:val="right"/>
              <w:textAlignment w:val="center"/>
            </w:pPr>
            <w:r>
              <w:rPr>
                <w:rFonts w:ascii="Times New Roman" w:eastAsia="宋体" w:hAnsi="Times New Roman"/>
                <w:i/>
                <w:iCs/>
                <w:color w:val="000000"/>
                <w:sz w:val="20"/>
                <w:szCs w:val="20"/>
              </w:rPr>
              <w:t>12.2 </w:t>
            </w:r>
          </w:p>
        </w:tc>
        <w:tc>
          <w:tcPr>
            <w:tcW w:w="0" w:type="auto"/>
            <w:tcBorders>
              <w:top w:val="single" w:sz="8" w:space="0" w:color="000000"/>
            </w:tcBorders>
            <w:shd w:val="clear" w:color="auto" w:fill="FFFFFF"/>
            <w:tcMar>
              <w:top w:w="40" w:type="dxa"/>
              <w:bottom w:w="40" w:type="dxa"/>
              <w:right w:w="20" w:type="dxa"/>
            </w:tcMar>
            <w:vAlign w:val="center"/>
          </w:tcPr>
          <w:p w14:paraId="33DAF30C" w14:textId="77777777" w:rsidR="004D6A64" w:rsidRDefault="00506CD6">
            <w:pPr>
              <w:jc w:val="right"/>
              <w:textAlignment w:val="center"/>
            </w:pPr>
            <w:r>
              <w:rPr>
                <w:rFonts w:ascii="Times New Roman" w:eastAsia="宋体" w:hAnsi="Times New Roman"/>
                <w:i/>
                <w:iCs/>
                <w:color w:val="000000"/>
                <w:sz w:val="20"/>
                <w:szCs w:val="20"/>
              </w:rPr>
              <w:t>%</w:t>
            </w:r>
          </w:p>
        </w:tc>
        <w:tc>
          <w:tcPr>
            <w:tcW w:w="0" w:type="auto"/>
            <w:gridSpan w:val="3"/>
            <w:shd w:val="clear" w:color="auto" w:fill="FFFFFF"/>
            <w:tcMar>
              <w:left w:w="20" w:type="dxa"/>
              <w:right w:w="20" w:type="dxa"/>
            </w:tcMar>
            <w:vAlign w:val="bottom"/>
          </w:tcPr>
          <w:p w14:paraId="33DAF30D"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F30E" w14:textId="77777777" w:rsidR="004D6A64" w:rsidRDefault="00506CD6">
            <w:pPr>
              <w:jc w:val="right"/>
              <w:textAlignment w:val="center"/>
            </w:pPr>
            <w:r>
              <w:rPr>
                <w:rFonts w:ascii="Times New Roman" w:eastAsia="宋体" w:hAnsi="Times New Roman"/>
                <w:i/>
                <w:iCs/>
                <w:color w:val="000000"/>
                <w:sz w:val="20"/>
                <w:szCs w:val="20"/>
              </w:rPr>
              <w:t>10.8 </w:t>
            </w:r>
          </w:p>
        </w:tc>
        <w:tc>
          <w:tcPr>
            <w:tcW w:w="0" w:type="auto"/>
            <w:tcBorders>
              <w:top w:val="single" w:sz="8" w:space="0" w:color="000000"/>
            </w:tcBorders>
            <w:shd w:val="clear" w:color="auto" w:fill="FFFFFF"/>
            <w:tcMar>
              <w:top w:w="40" w:type="dxa"/>
              <w:bottom w:w="40" w:type="dxa"/>
              <w:right w:w="20" w:type="dxa"/>
            </w:tcMar>
            <w:vAlign w:val="center"/>
          </w:tcPr>
          <w:p w14:paraId="33DAF30F" w14:textId="77777777" w:rsidR="004D6A64" w:rsidRDefault="00506CD6">
            <w:pPr>
              <w:jc w:val="right"/>
              <w:textAlignment w:val="center"/>
            </w:pPr>
            <w:r>
              <w:rPr>
                <w:rFonts w:ascii="Times New Roman" w:eastAsia="宋体" w:hAnsi="Times New Roman"/>
                <w:i/>
                <w:iCs/>
                <w:color w:val="000000"/>
                <w:sz w:val="20"/>
                <w:szCs w:val="20"/>
              </w:rPr>
              <w:t>%</w:t>
            </w:r>
          </w:p>
        </w:tc>
        <w:tc>
          <w:tcPr>
            <w:tcW w:w="0" w:type="auto"/>
            <w:gridSpan w:val="3"/>
            <w:shd w:val="clear" w:color="auto" w:fill="FFFFFF"/>
            <w:tcMar>
              <w:left w:w="20" w:type="dxa"/>
              <w:right w:w="20" w:type="dxa"/>
            </w:tcMar>
            <w:vAlign w:val="bottom"/>
          </w:tcPr>
          <w:p w14:paraId="33DAF310"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311"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312"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F313" w14:textId="77777777" w:rsidR="004D6A64" w:rsidRDefault="00506CD6">
            <w:pPr>
              <w:jc w:val="right"/>
              <w:textAlignment w:val="center"/>
            </w:pPr>
            <w:r>
              <w:rPr>
                <w:rFonts w:ascii="Times New Roman" w:eastAsia="宋体" w:hAnsi="Times New Roman"/>
                <w:i/>
                <w:iCs/>
                <w:color w:val="000000"/>
                <w:sz w:val="20"/>
                <w:szCs w:val="20"/>
              </w:rPr>
              <w:t>11.3 </w:t>
            </w:r>
          </w:p>
        </w:tc>
        <w:tc>
          <w:tcPr>
            <w:tcW w:w="0" w:type="auto"/>
            <w:tcBorders>
              <w:top w:val="single" w:sz="8" w:space="0" w:color="000000"/>
            </w:tcBorders>
            <w:shd w:val="clear" w:color="auto" w:fill="FFFFFF"/>
            <w:tcMar>
              <w:top w:w="40" w:type="dxa"/>
              <w:bottom w:w="40" w:type="dxa"/>
              <w:right w:w="20" w:type="dxa"/>
            </w:tcMar>
            <w:vAlign w:val="center"/>
          </w:tcPr>
          <w:p w14:paraId="33DAF314" w14:textId="77777777" w:rsidR="004D6A64" w:rsidRDefault="00506CD6">
            <w:pPr>
              <w:jc w:val="right"/>
              <w:textAlignment w:val="center"/>
            </w:pPr>
            <w:r>
              <w:rPr>
                <w:rFonts w:ascii="Times New Roman" w:eastAsia="宋体" w:hAnsi="Times New Roman"/>
                <w:i/>
                <w:iCs/>
                <w:color w:val="000000"/>
                <w:sz w:val="20"/>
                <w:szCs w:val="20"/>
              </w:rPr>
              <w:t>%</w:t>
            </w:r>
          </w:p>
        </w:tc>
        <w:tc>
          <w:tcPr>
            <w:tcW w:w="0" w:type="auto"/>
            <w:shd w:val="clear" w:color="auto" w:fill="auto"/>
          </w:tcPr>
          <w:p w14:paraId="33DAF315" w14:textId="77777777" w:rsidR="004D6A64" w:rsidRDefault="004D6A64">
            <w:pPr>
              <w:rPr>
                <w:rFonts w:ascii="宋体"/>
              </w:rPr>
            </w:pPr>
          </w:p>
        </w:tc>
        <w:tc>
          <w:tcPr>
            <w:tcW w:w="0" w:type="auto"/>
            <w:shd w:val="clear" w:color="auto" w:fill="auto"/>
          </w:tcPr>
          <w:p w14:paraId="33DAF316" w14:textId="77777777" w:rsidR="004D6A64" w:rsidRDefault="004D6A64">
            <w:pPr>
              <w:rPr>
                <w:rFonts w:ascii="宋体"/>
              </w:rPr>
            </w:pPr>
          </w:p>
        </w:tc>
        <w:tc>
          <w:tcPr>
            <w:tcW w:w="0" w:type="auto"/>
            <w:shd w:val="clear" w:color="auto" w:fill="auto"/>
          </w:tcPr>
          <w:p w14:paraId="33DAF317" w14:textId="77777777" w:rsidR="004D6A64" w:rsidRDefault="004D6A64">
            <w:pPr>
              <w:rPr>
                <w:rFonts w:ascii="宋体"/>
              </w:rPr>
            </w:pPr>
          </w:p>
        </w:tc>
        <w:tc>
          <w:tcPr>
            <w:tcW w:w="0" w:type="auto"/>
            <w:shd w:val="clear" w:color="auto" w:fill="auto"/>
          </w:tcPr>
          <w:p w14:paraId="33DAF318" w14:textId="77777777" w:rsidR="004D6A64" w:rsidRDefault="004D6A64">
            <w:pPr>
              <w:rPr>
                <w:rFonts w:ascii="宋体"/>
              </w:rPr>
            </w:pPr>
          </w:p>
        </w:tc>
        <w:tc>
          <w:tcPr>
            <w:tcW w:w="0" w:type="auto"/>
            <w:shd w:val="clear" w:color="auto" w:fill="auto"/>
          </w:tcPr>
          <w:p w14:paraId="33DAF319" w14:textId="77777777" w:rsidR="004D6A64" w:rsidRDefault="004D6A64">
            <w:pPr>
              <w:rPr>
                <w:rFonts w:ascii="宋体"/>
              </w:rPr>
            </w:pPr>
          </w:p>
        </w:tc>
        <w:tc>
          <w:tcPr>
            <w:tcW w:w="0" w:type="auto"/>
            <w:shd w:val="clear" w:color="auto" w:fill="auto"/>
          </w:tcPr>
          <w:p w14:paraId="33DAF31A" w14:textId="77777777" w:rsidR="004D6A64" w:rsidRDefault="004D6A64">
            <w:pPr>
              <w:rPr>
                <w:rFonts w:ascii="宋体"/>
              </w:rPr>
            </w:pPr>
          </w:p>
        </w:tc>
        <w:tc>
          <w:tcPr>
            <w:tcW w:w="0" w:type="auto"/>
            <w:shd w:val="clear" w:color="auto" w:fill="auto"/>
          </w:tcPr>
          <w:p w14:paraId="33DAF31B" w14:textId="77777777" w:rsidR="004D6A64" w:rsidRDefault="004D6A64">
            <w:pPr>
              <w:rPr>
                <w:rFonts w:ascii="宋体"/>
              </w:rPr>
            </w:pPr>
          </w:p>
        </w:tc>
        <w:tc>
          <w:tcPr>
            <w:tcW w:w="0" w:type="auto"/>
            <w:shd w:val="clear" w:color="auto" w:fill="auto"/>
          </w:tcPr>
          <w:p w14:paraId="33DAF31C" w14:textId="77777777" w:rsidR="004D6A64" w:rsidRDefault="004D6A64">
            <w:pPr>
              <w:rPr>
                <w:rFonts w:ascii="宋体"/>
              </w:rPr>
            </w:pPr>
          </w:p>
        </w:tc>
        <w:tc>
          <w:tcPr>
            <w:tcW w:w="0" w:type="auto"/>
            <w:shd w:val="clear" w:color="auto" w:fill="auto"/>
          </w:tcPr>
          <w:p w14:paraId="33DAF31D" w14:textId="77777777" w:rsidR="004D6A64" w:rsidRDefault="004D6A64">
            <w:pPr>
              <w:rPr>
                <w:rFonts w:ascii="宋体"/>
              </w:rPr>
            </w:pPr>
          </w:p>
        </w:tc>
        <w:tc>
          <w:tcPr>
            <w:tcW w:w="0" w:type="auto"/>
            <w:shd w:val="clear" w:color="auto" w:fill="auto"/>
          </w:tcPr>
          <w:p w14:paraId="33DAF31E" w14:textId="77777777" w:rsidR="004D6A64" w:rsidRDefault="004D6A64">
            <w:pPr>
              <w:rPr>
                <w:rFonts w:ascii="宋体"/>
              </w:rPr>
            </w:pPr>
          </w:p>
        </w:tc>
        <w:tc>
          <w:tcPr>
            <w:tcW w:w="0" w:type="auto"/>
            <w:shd w:val="clear" w:color="auto" w:fill="auto"/>
          </w:tcPr>
          <w:p w14:paraId="33DAF31F" w14:textId="77777777" w:rsidR="004D6A64" w:rsidRDefault="004D6A64">
            <w:pPr>
              <w:rPr>
                <w:rFonts w:ascii="宋体"/>
              </w:rPr>
            </w:pPr>
          </w:p>
        </w:tc>
        <w:tc>
          <w:tcPr>
            <w:tcW w:w="0" w:type="auto"/>
            <w:shd w:val="clear" w:color="auto" w:fill="auto"/>
          </w:tcPr>
          <w:p w14:paraId="33DAF320" w14:textId="77777777" w:rsidR="004D6A64" w:rsidRDefault="004D6A64">
            <w:pPr>
              <w:rPr>
                <w:rFonts w:ascii="宋体"/>
              </w:rPr>
            </w:pPr>
          </w:p>
        </w:tc>
        <w:tc>
          <w:tcPr>
            <w:tcW w:w="0" w:type="auto"/>
            <w:shd w:val="clear" w:color="auto" w:fill="auto"/>
          </w:tcPr>
          <w:p w14:paraId="33DAF321" w14:textId="77777777" w:rsidR="004D6A64" w:rsidRDefault="004D6A64">
            <w:pPr>
              <w:rPr>
                <w:rFonts w:ascii="宋体"/>
              </w:rPr>
            </w:pPr>
          </w:p>
        </w:tc>
        <w:tc>
          <w:tcPr>
            <w:tcW w:w="0" w:type="auto"/>
            <w:shd w:val="clear" w:color="auto" w:fill="auto"/>
          </w:tcPr>
          <w:p w14:paraId="33DAF322" w14:textId="77777777" w:rsidR="004D6A64" w:rsidRDefault="004D6A64">
            <w:pPr>
              <w:rPr>
                <w:rFonts w:ascii="宋体"/>
              </w:rPr>
            </w:pPr>
          </w:p>
        </w:tc>
        <w:tc>
          <w:tcPr>
            <w:tcW w:w="0" w:type="auto"/>
            <w:shd w:val="clear" w:color="auto" w:fill="auto"/>
          </w:tcPr>
          <w:p w14:paraId="33DAF323" w14:textId="77777777" w:rsidR="004D6A64" w:rsidRDefault="004D6A64">
            <w:pPr>
              <w:rPr>
                <w:rFonts w:ascii="宋体"/>
              </w:rPr>
            </w:pPr>
          </w:p>
        </w:tc>
        <w:tc>
          <w:tcPr>
            <w:tcW w:w="0" w:type="auto"/>
            <w:shd w:val="clear" w:color="auto" w:fill="auto"/>
          </w:tcPr>
          <w:p w14:paraId="33DAF324" w14:textId="77777777" w:rsidR="004D6A64" w:rsidRDefault="004D6A64">
            <w:pPr>
              <w:rPr>
                <w:rFonts w:ascii="宋体"/>
              </w:rPr>
            </w:pPr>
          </w:p>
        </w:tc>
        <w:tc>
          <w:tcPr>
            <w:tcW w:w="0" w:type="auto"/>
            <w:shd w:val="clear" w:color="auto" w:fill="auto"/>
          </w:tcPr>
          <w:p w14:paraId="33DAF325" w14:textId="77777777" w:rsidR="004D6A64" w:rsidRDefault="004D6A64">
            <w:pPr>
              <w:rPr>
                <w:rFonts w:ascii="宋体"/>
              </w:rPr>
            </w:pPr>
          </w:p>
        </w:tc>
        <w:tc>
          <w:tcPr>
            <w:tcW w:w="0" w:type="auto"/>
            <w:shd w:val="clear" w:color="auto" w:fill="auto"/>
          </w:tcPr>
          <w:p w14:paraId="33DAF326" w14:textId="77777777" w:rsidR="004D6A64" w:rsidRDefault="004D6A64">
            <w:pPr>
              <w:rPr>
                <w:rFonts w:ascii="宋体"/>
              </w:rPr>
            </w:pPr>
          </w:p>
        </w:tc>
        <w:tc>
          <w:tcPr>
            <w:tcW w:w="0" w:type="auto"/>
            <w:shd w:val="clear" w:color="auto" w:fill="auto"/>
          </w:tcPr>
          <w:p w14:paraId="33DAF327" w14:textId="77777777" w:rsidR="004D6A64" w:rsidRDefault="004D6A64">
            <w:pPr>
              <w:rPr>
                <w:rFonts w:ascii="宋体"/>
              </w:rPr>
            </w:pPr>
          </w:p>
        </w:tc>
        <w:tc>
          <w:tcPr>
            <w:tcW w:w="0" w:type="auto"/>
            <w:shd w:val="clear" w:color="auto" w:fill="auto"/>
          </w:tcPr>
          <w:p w14:paraId="33DAF328" w14:textId="77777777" w:rsidR="004D6A64" w:rsidRDefault="004D6A64">
            <w:pPr>
              <w:rPr>
                <w:rFonts w:ascii="宋体"/>
              </w:rPr>
            </w:pPr>
          </w:p>
        </w:tc>
        <w:tc>
          <w:tcPr>
            <w:tcW w:w="0" w:type="auto"/>
            <w:shd w:val="clear" w:color="auto" w:fill="auto"/>
          </w:tcPr>
          <w:p w14:paraId="33DAF329" w14:textId="77777777" w:rsidR="004D6A64" w:rsidRDefault="004D6A64">
            <w:pPr>
              <w:rPr>
                <w:rFonts w:ascii="宋体"/>
              </w:rPr>
            </w:pPr>
          </w:p>
        </w:tc>
        <w:tc>
          <w:tcPr>
            <w:tcW w:w="0" w:type="auto"/>
            <w:shd w:val="clear" w:color="auto" w:fill="auto"/>
          </w:tcPr>
          <w:p w14:paraId="33DAF32A" w14:textId="77777777" w:rsidR="004D6A64" w:rsidRDefault="004D6A64">
            <w:pPr>
              <w:rPr>
                <w:rFonts w:ascii="宋体"/>
              </w:rPr>
            </w:pPr>
          </w:p>
        </w:tc>
        <w:tc>
          <w:tcPr>
            <w:tcW w:w="0" w:type="auto"/>
            <w:shd w:val="clear" w:color="auto" w:fill="auto"/>
          </w:tcPr>
          <w:p w14:paraId="33DAF32B" w14:textId="77777777" w:rsidR="004D6A64" w:rsidRDefault="004D6A64">
            <w:pPr>
              <w:rPr>
                <w:rFonts w:ascii="宋体"/>
              </w:rPr>
            </w:pPr>
          </w:p>
        </w:tc>
        <w:tc>
          <w:tcPr>
            <w:tcW w:w="0" w:type="auto"/>
            <w:shd w:val="clear" w:color="auto" w:fill="auto"/>
          </w:tcPr>
          <w:p w14:paraId="33DAF32C" w14:textId="77777777" w:rsidR="004D6A64" w:rsidRDefault="004D6A64">
            <w:pPr>
              <w:rPr>
                <w:rFonts w:ascii="宋体"/>
              </w:rPr>
            </w:pPr>
          </w:p>
        </w:tc>
        <w:tc>
          <w:tcPr>
            <w:tcW w:w="0" w:type="auto"/>
            <w:shd w:val="clear" w:color="auto" w:fill="auto"/>
          </w:tcPr>
          <w:p w14:paraId="33DAF32D" w14:textId="77777777" w:rsidR="004D6A64" w:rsidRDefault="004D6A64">
            <w:pPr>
              <w:rPr>
                <w:rFonts w:ascii="宋体"/>
              </w:rPr>
            </w:pPr>
          </w:p>
        </w:tc>
        <w:tc>
          <w:tcPr>
            <w:tcW w:w="0" w:type="auto"/>
            <w:shd w:val="clear" w:color="auto" w:fill="auto"/>
          </w:tcPr>
          <w:p w14:paraId="33DAF32E" w14:textId="77777777" w:rsidR="004D6A64" w:rsidRDefault="004D6A64">
            <w:pPr>
              <w:rPr>
                <w:rFonts w:ascii="宋体"/>
              </w:rPr>
            </w:pPr>
          </w:p>
        </w:tc>
        <w:tc>
          <w:tcPr>
            <w:tcW w:w="0" w:type="auto"/>
            <w:shd w:val="clear" w:color="auto" w:fill="auto"/>
          </w:tcPr>
          <w:p w14:paraId="33DAF32F" w14:textId="77777777" w:rsidR="004D6A64" w:rsidRDefault="004D6A64">
            <w:pPr>
              <w:rPr>
                <w:rFonts w:ascii="宋体"/>
              </w:rPr>
            </w:pPr>
          </w:p>
        </w:tc>
      </w:tr>
    </w:tbl>
    <w:p w14:paraId="33DAF331" w14:textId="77777777" w:rsidR="004D6A64" w:rsidRDefault="004D6A64"/>
    <w:p w14:paraId="33DAF332" w14:textId="77777777" w:rsidR="004D6A64" w:rsidRDefault="00506CD6">
      <w:r>
        <w:rPr>
          <w:rFonts w:ascii="Times New Roman" w:eastAsia="宋体" w:hAnsi="Times New Roman"/>
          <w:i/>
          <w:iCs/>
          <w:color w:val="000000"/>
          <w:sz w:val="20"/>
          <w:szCs w:val="20"/>
          <w:u w:val="single"/>
        </w:rPr>
        <w:t>Net Revenue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During the second quarter </w:t>
      </w:r>
      <w:r>
        <w:rPr>
          <w:rFonts w:ascii="Times New Roman" w:eastAsia="宋体" w:hAnsi="Times New Roman"/>
          <w:color w:val="000000"/>
          <w:sz w:val="20"/>
          <w:szCs w:val="20"/>
        </w:rPr>
        <w:t>and first six months of Fiscal 2021, ISG net revenue decreased 5% and 6%, respectively, due to decreases in sales of servers and networking and storage. ISG net revenue decreased primarily due to a weaker demand environment, as customers restricted technol</w:t>
      </w:r>
      <w:r>
        <w:rPr>
          <w:rFonts w:ascii="Times New Roman" w:eastAsia="宋体" w:hAnsi="Times New Roman"/>
          <w:color w:val="000000"/>
          <w:sz w:val="20"/>
          <w:szCs w:val="20"/>
        </w:rPr>
        <w:t>ogy spending and directed their investments toward remote work and business continuity solutions. Revenue from the sales of servers and networking decreased 5% and 8% during the second quarter and first six months of Fiscal 2021, respectively, primarily dr</w:t>
      </w:r>
      <w:r>
        <w:rPr>
          <w:rFonts w:ascii="Times New Roman" w:eastAsia="宋体" w:hAnsi="Times New Roman"/>
          <w:color w:val="000000"/>
          <w:sz w:val="20"/>
          <w:szCs w:val="20"/>
        </w:rPr>
        <w:t>iven by decreases in average selling prices for servers resulting from competitive pressures in certain geographies, and, to a lesser extent, declines in units sold of our PowerEdge servers due to the broader macro-economic environment, including the effec</w:t>
      </w:r>
      <w:r>
        <w:rPr>
          <w:rFonts w:ascii="Times New Roman" w:eastAsia="宋体" w:hAnsi="Times New Roman"/>
          <w:color w:val="000000"/>
          <w:sz w:val="20"/>
          <w:szCs w:val="20"/>
        </w:rPr>
        <w:t xml:space="preserve">ts of COVID-19. </w:t>
      </w:r>
    </w:p>
    <w:p w14:paraId="33DAF333" w14:textId="77777777" w:rsidR="004D6A64" w:rsidRDefault="004D6A64"/>
    <w:p w14:paraId="33DAF334" w14:textId="77777777" w:rsidR="004D6A64" w:rsidRDefault="00506CD6">
      <w:r>
        <w:rPr>
          <w:rFonts w:ascii="Times New Roman" w:eastAsia="宋体" w:hAnsi="Times New Roman"/>
          <w:color w:val="000000"/>
          <w:sz w:val="20"/>
          <w:szCs w:val="20"/>
        </w:rPr>
        <w:t>Storage revenue decreased 4% and 5% during the second quarter and first six months of Fiscal 2021, respectively, primarily due to declines in demand for our core storage solutions offerings, partially offset by increased demand for data p</w:t>
      </w:r>
      <w:r>
        <w:rPr>
          <w:rFonts w:ascii="Times New Roman" w:eastAsia="宋体" w:hAnsi="Times New Roman"/>
          <w:color w:val="000000"/>
          <w:sz w:val="20"/>
          <w:szCs w:val="20"/>
        </w:rPr>
        <w:t>rotection and hyperconverged infrastructure solutions. We continue to make enhancements to our storage solutions offerings and expect that these offerings, including the release of our new PowerStore storage array in May 2020, will drive long-term improvem</w:t>
      </w:r>
      <w:r>
        <w:rPr>
          <w:rFonts w:ascii="Times New Roman" w:eastAsia="宋体" w:hAnsi="Times New Roman"/>
          <w:color w:val="000000"/>
          <w:sz w:val="20"/>
          <w:szCs w:val="20"/>
        </w:rPr>
        <w:t>ents in the business.</w:t>
      </w:r>
    </w:p>
    <w:p w14:paraId="33DAF335" w14:textId="77777777" w:rsidR="004D6A64" w:rsidRDefault="004D6A64"/>
    <w:p w14:paraId="33DAF336" w14:textId="77777777" w:rsidR="004D6A64" w:rsidRDefault="00506CD6">
      <w:r>
        <w:rPr>
          <w:rFonts w:ascii="Times New Roman" w:eastAsia="宋体" w:hAnsi="Times New Roman"/>
          <w:color w:val="000000"/>
          <w:sz w:val="20"/>
          <w:szCs w:val="20"/>
        </w:rPr>
        <w:t>ISG customers are interested in new and innovative models that address how they consume our solutions. We offer options including as-a-service, utility, leases, and immediate pay models, all designed to match customers’ consumption a</w:t>
      </w:r>
      <w:r>
        <w:rPr>
          <w:rFonts w:ascii="Times New Roman" w:eastAsia="宋体" w:hAnsi="Times New Roman"/>
          <w:color w:val="000000"/>
          <w:sz w:val="20"/>
          <w:szCs w:val="20"/>
        </w:rPr>
        <w:t>nd financing preferences. Our multi-year agreements typically result in recurring revenue streams over the term of the arrangement. We expect our flexible consumption models will further strengthen our customer relationships and provide a foundation for gr</w:t>
      </w:r>
      <w:r>
        <w:rPr>
          <w:rFonts w:ascii="Times New Roman" w:eastAsia="宋体" w:hAnsi="Times New Roman"/>
          <w:color w:val="000000"/>
          <w:sz w:val="20"/>
          <w:szCs w:val="20"/>
        </w:rPr>
        <w:t xml:space="preserve">owth in recurring revenue. </w:t>
      </w:r>
    </w:p>
    <w:p w14:paraId="33DAF337" w14:textId="77777777" w:rsidR="004D6A64" w:rsidRDefault="004D6A64"/>
    <w:p w14:paraId="33DAF338" w14:textId="77777777" w:rsidR="004D6A64" w:rsidRDefault="00506CD6">
      <w:r>
        <w:rPr>
          <w:rFonts w:ascii="Times New Roman" w:eastAsia="宋体" w:hAnsi="Times New Roman"/>
          <w:color w:val="000000"/>
          <w:sz w:val="20"/>
          <w:szCs w:val="20"/>
        </w:rPr>
        <w:t>From a geographical perspective, net revenue attributable to ISG decreased in all regions during both the second quarter and first six months of Fiscal 2021, driven by a weaker demand environment as a result of pervasive global</w:t>
      </w:r>
      <w:r>
        <w:rPr>
          <w:rFonts w:ascii="Times New Roman" w:eastAsia="宋体" w:hAnsi="Times New Roman"/>
          <w:color w:val="000000"/>
          <w:sz w:val="20"/>
          <w:szCs w:val="20"/>
        </w:rPr>
        <w:t xml:space="preserve"> COVID-19 disruptions. </w:t>
      </w:r>
    </w:p>
    <w:p w14:paraId="33DAF339" w14:textId="77777777" w:rsidR="004D6A64" w:rsidRDefault="004D6A64"/>
    <w:p w14:paraId="33DAF33A" w14:textId="77777777" w:rsidR="004D6A64" w:rsidRDefault="00506CD6">
      <w:r>
        <w:rPr>
          <w:rFonts w:ascii="Times New Roman" w:eastAsia="宋体" w:hAnsi="Times New Roman"/>
          <w:i/>
          <w:iCs/>
          <w:color w:val="000000"/>
          <w:sz w:val="20"/>
          <w:szCs w:val="20"/>
          <w:u w:val="single"/>
        </w:rPr>
        <w:t>Operating Income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During the second quarter of Fiscal 2021, ISG operating income as a percentage of net revenue decreased 30 basis points to 11.9%. During the first six months of Fiscal 2021, ISG operating income as a percentage o</w:t>
      </w:r>
      <w:r>
        <w:rPr>
          <w:rFonts w:ascii="Times New Roman" w:eastAsia="宋体" w:hAnsi="Times New Roman"/>
          <w:color w:val="000000"/>
          <w:sz w:val="20"/>
          <w:szCs w:val="20"/>
        </w:rPr>
        <w:t>f net revenue decreased 50 basis points to 10.8%. The declines in operating income percentages during the second quarter and first six months of Fiscal 2021 were driven by a decline in gross margin percentages for servers and networking, which was attribut</w:t>
      </w:r>
      <w:r>
        <w:rPr>
          <w:rFonts w:ascii="Times New Roman" w:eastAsia="宋体" w:hAnsi="Times New Roman"/>
          <w:color w:val="000000"/>
          <w:sz w:val="20"/>
          <w:szCs w:val="20"/>
        </w:rPr>
        <w:t>able to higher product costs and competitive pricing dynamics. During the second quarter of Fiscal 2021, the decline in ISG gross margin percentage was partially offset by a decrease in operating expenses as a percentage of revenue, as we realized the bene</w:t>
      </w:r>
      <w:r>
        <w:rPr>
          <w:rFonts w:ascii="Times New Roman" w:eastAsia="宋体" w:hAnsi="Times New Roman"/>
          <w:color w:val="000000"/>
          <w:sz w:val="20"/>
          <w:szCs w:val="20"/>
        </w:rPr>
        <w:t>fit of cost reduction initiatives.</w:t>
      </w:r>
    </w:p>
    <w:p w14:paraId="33DAF33B" w14:textId="77777777" w:rsidR="004D6A64" w:rsidRDefault="004D6A64">
      <w:pPr>
        <w:jc w:val="center"/>
      </w:pPr>
    </w:p>
    <w:p w14:paraId="33DAF33C" w14:textId="77777777" w:rsidR="004D6A64" w:rsidRDefault="00506CD6">
      <w:pPr>
        <w:jc w:val="center"/>
      </w:pPr>
      <w:r>
        <w:rPr>
          <w:rFonts w:ascii="Times New Roman" w:eastAsia="宋体" w:hAnsi="Times New Roman"/>
          <w:color w:val="000000"/>
          <w:sz w:val="20"/>
          <w:szCs w:val="20"/>
        </w:rPr>
        <w:t>84</w:t>
      </w:r>
    </w:p>
    <w:p w14:paraId="33DAF33D" w14:textId="77777777" w:rsidR="004D6A64" w:rsidRDefault="004D6A64">
      <w:pPr>
        <w:jc w:val="center"/>
      </w:pPr>
    </w:p>
    <w:p w14:paraId="33DAF33E" w14:textId="77777777" w:rsidR="004D6A64" w:rsidRDefault="00506CD6">
      <w:r>
        <w:pict w14:anchorId="33DAFB18">
          <v:rect id="_x0000_i1108" style="width:415.3pt;height:1.5pt" o:hralign="center" o:hrstd="t" o:hr="t" fillcolor="#a0a0a0" stroked="f"/>
        </w:pict>
      </w:r>
    </w:p>
    <w:p w14:paraId="33DAF33F" w14:textId="77777777" w:rsidR="004D6A64" w:rsidRDefault="00506CD6">
      <w:hyperlink r:id="rId207" w:anchor="if3e0e1bf9ecd4bf69551d7a85f98d64a_10" w:history="1">
        <w:r>
          <w:rPr>
            <w:rStyle w:val="a5"/>
            <w:rFonts w:ascii="Times New Roman" w:eastAsia="宋体" w:hAnsi="Times New Roman"/>
            <w:sz w:val="20"/>
            <w:szCs w:val="20"/>
          </w:rPr>
          <w:t>Table of Contents</w:t>
        </w:r>
      </w:hyperlink>
    </w:p>
    <w:p w14:paraId="33DAF340" w14:textId="77777777" w:rsidR="004D6A64" w:rsidRDefault="004D6A64"/>
    <w:p w14:paraId="33DAF341" w14:textId="77777777" w:rsidR="004D6A64" w:rsidRDefault="00506CD6">
      <w:r>
        <w:rPr>
          <w:rFonts w:ascii="Times New Roman" w:eastAsia="宋体" w:hAnsi="Times New Roman"/>
          <w:color w:val="000000"/>
          <w:sz w:val="20"/>
          <w:szCs w:val="20"/>
        </w:rPr>
        <w:t>We will continue to monitor our pricing in response to the changing competitive and component cost environment. We currently expect the ISG component cost environment will be inflationary in the aggregate during the third quarter of Fiscal 2021 and then wi</w:t>
      </w:r>
      <w:r>
        <w:rPr>
          <w:rFonts w:ascii="Times New Roman" w:eastAsia="宋体" w:hAnsi="Times New Roman"/>
          <w:color w:val="000000"/>
          <w:sz w:val="20"/>
          <w:szCs w:val="20"/>
        </w:rPr>
        <w:t xml:space="preserve">ll return to a deflationary environment in the fourth quarter of Fiscal 2021. This may put pressure on ISG operating results, particularly for servers and networking. </w:t>
      </w:r>
    </w:p>
    <w:p w14:paraId="33DAF342" w14:textId="77777777" w:rsidR="004D6A64" w:rsidRDefault="004D6A64"/>
    <w:p w14:paraId="33DAF343" w14:textId="77777777" w:rsidR="004D6A64" w:rsidRDefault="00506CD6">
      <w:r>
        <w:rPr>
          <w:rFonts w:ascii="Times New Roman" w:eastAsia="宋体" w:hAnsi="Times New Roman"/>
          <w:b/>
          <w:bCs/>
          <w:color w:val="000000"/>
          <w:sz w:val="20"/>
          <w:szCs w:val="20"/>
          <w:shd w:val="clear" w:color="auto" w:fill="FFFFFF"/>
        </w:rPr>
        <w:t>Client Solutions Group</w:t>
      </w:r>
    </w:p>
    <w:p w14:paraId="33DAF344" w14:textId="77777777" w:rsidR="004D6A64" w:rsidRDefault="004D6A64"/>
    <w:p w14:paraId="33DAF345" w14:textId="77777777" w:rsidR="004D6A64" w:rsidRDefault="00506CD6">
      <w:r>
        <w:rPr>
          <w:rFonts w:ascii="Times New Roman" w:eastAsia="宋体" w:hAnsi="Times New Roman"/>
          <w:color w:val="000000"/>
          <w:sz w:val="20"/>
          <w:szCs w:val="20"/>
          <w:shd w:val="clear" w:color="auto" w:fill="FFFFFF"/>
        </w:rPr>
        <w:t>The following table presents net revenue and operating income a</w:t>
      </w:r>
      <w:r>
        <w:rPr>
          <w:rFonts w:ascii="Times New Roman" w:eastAsia="宋体" w:hAnsi="Times New Roman"/>
          <w:color w:val="000000"/>
          <w:sz w:val="20"/>
          <w:szCs w:val="20"/>
          <w:shd w:val="clear" w:color="auto" w:fill="FFFFFF"/>
        </w:rPr>
        <w:t>ttributable to CSG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4"/>
        <w:gridCol w:w="1156"/>
        <w:gridCol w:w="36"/>
        <w:gridCol w:w="135"/>
        <w:gridCol w:w="615"/>
        <w:gridCol w:w="202"/>
        <w:gridCol w:w="36"/>
        <w:gridCol w:w="36"/>
        <w:gridCol w:w="36"/>
        <w:gridCol w:w="84"/>
        <w:gridCol w:w="604"/>
        <w:gridCol w:w="202"/>
        <w:gridCol w:w="36"/>
        <w:gridCol w:w="36"/>
        <w:gridCol w:w="36"/>
        <w:gridCol w:w="135"/>
        <w:gridCol w:w="615"/>
        <w:gridCol w:w="202"/>
        <w:gridCol w:w="36"/>
        <w:gridCol w:w="36"/>
        <w:gridCol w:w="36"/>
        <w:gridCol w:w="135"/>
        <w:gridCol w:w="615"/>
        <w:gridCol w:w="202"/>
        <w:gridCol w:w="36"/>
        <w:gridCol w:w="36"/>
        <w:gridCol w:w="36"/>
        <w:gridCol w:w="84"/>
        <w:gridCol w:w="604"/>
        <w:gridCol w:w="202"/>
        <w:gridCol w:w="36"/>
        <w:gridCol w:w="36"/>
        <w:gridCol w:w="36"/>
        <w:gridCol w:w="135"/>
        <w:gridCol w:w="615"/>
        <w:gridCol w:w="202"/>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4D6A64" w14:paraId="33DAF36A" w14:textId="77777777">
        <w:trPr>
          <w:gridAfter w:val="27"/>
        </w:trPr>
        <w:tc>
          <w:tcPr>
            <w:tcW w:w="50" w:type="pct"/>
            <w:shd w:val="clear" w:color="auto" w:fill="auto"/>
          </w:tcPr>
          <w:p w14:paraId="33DAF346" w14:textId="77777777" w:rsidR="004D6A64" w:rsidRDefault="004D6A64">
            <w:pPr>
              <w:rPr>
                <w:rFonts w:ascii="宋体"/>
              </w:rPr>
            </w:pPr>
          </w:p>
        </w:tc>
        <w:tc>
          <w:tcPr>
            <w:tcW w:w="1246" w:type="pct"/>
            <w:shd w:val="clear" w:color="auto" w:fill="auto"/>
          </w:tcPr>
          <w:p w14:paraId="33DAF347" w14:textId="77777777" w:rsidR="004D6A64" w:rsidRDefault="004D6A64">
            <w:pPr>
              <w:rPr>
                <w:rFonts w:ascii="宋体"/>
              </w:rPr>
            </w:pPr>
          </w:p>
        </w:tc>
        <w:tc>
          <w:tcPr>
            <w:tcW w:w="5" w:type="pct"/>
            <w:shd w:val="clear" w:color="auto" w:fill="auto"/>
          </w:tcPr>
          <w:p w14:paraId="33DAF348" w14:textId="77777777" w:rsidR="004D6A64" w:rsidRDefault="004D6A64">
            <w:pPr>
              <w:rPr>
                <w:rFonts w:ascii="宋体"/>
              </w:rPr>
            </w:pPr>
          </w:p>
        </w:tc>
        <w:tc>
          <w:tcPr>
            <w:tcW w:w="50" w:type="pct"/>
            <w:shd w:val="clear" w:color="auto" w:fill="auto"/>
          </w:tcPr>
          <w:p w14:paraId="33DAF349" w14:textId="77777777" w:rsidR="004D6A64" w:rsidRDefault="004D6A64">
            <w:pPr>
              <w:rPr>
                <w:rFonts w:ascii="宋体"/>
              </w:rPr>
            </w:pPr>
          </w:p>
        </w:tc>
        <w:tc>
          <w:tcPr>
            <w:tcW w:w="624" w:type="pct"/>
            <w:shd w:val="clear" w:color="auto" w:fill="auto"/>
          </w:tcPr>
          <w:p w14:paraId="33DAF34A" w14:textId="77777777" w:rsidR="004D6A64" w:rsidRDefault="004D6A64">
            <w:pPr>
              <w:rPr>
                <w:rFonts w:ascii="宋体"/>
              </w:rPr>
            </w:pPr>
          </w:p>
        </w:tc>
        <w:tc>
          <w:tcPr>
            <w:tcW w:w="5" w:type="pct"/>
            <w:shd w:val="clear" w:color="auto" w:fill="auto"/>
          </w:tcPr>
          <w:p w14:paraId="33DAF34B" w14:textId="77777777" w:rsidR="004D6A64" w:rsidRDefault="004D6A64">
            <w:pPr>
              <w:rPr>
                <w:rFonts w:ascii="宋体"/>
              </w:rPr>
            </w:pPr>
          </w:p>
        </w:tc>
        <w:tc>
          <w:tcPr>
            <w:tcW w:w="5" w:type="pct"/>
            <w:shd w:val="clear" w:color="auto" w:fill="auto"/>
          </w:tcPr>
          <w:p w14:paraId="33DAF34C" w14:textId="77777777" w:rsidR="004D6A64" w:rsidRDefault="004D6A64">
            <w:pPr>
              <w:rPr>
                <w:rFonts w:ascii="宋体"/>
              </w:rPr>
            </w:pPr>
          </w:p>
        </w:tc>
        <w:tc>
          <w:tcPr>
            <w:tcW w:w="19" w:type="pct"/>
            <w:shd w:val="clear" w:color="auto" w:fill="auto"/>
          </w:tcPr>
          <w:p w14:paraId="33DAF34D" w14:textId="77777777" w:rsidR="004D6A64" w:rsidRDefault="004D6A64">
            <w:pPr>
              <w:rPr>
                <w:rFonts w:ascii="宋体"/>
              </w:rPr>
            </w:pPr>
          </w:p>
        </w:tc>
        <w:tc>
          <w:tcPr>
            <w:tcW w:w="5" w:type="pct"/>
            <w:shd w:val="clear" w:color="auto" w:fill="auto"/>
          </w:tcPr>
          <w:p w14:paraId="33DAF34E" w14:textId="77777777" w:rsidR="004D6A64" w:rsidRDefault="004D6A64">
            <w:pPr>
              <w:rPr>
                <w:rFonts w:ascii="宋体"/>
              </w:rPr>
            </w:pPr>
          </w:p>
        </w:tc>
        <w:tc>
          <w:tcPr>
            <w:tcW w:w="50" w:type="pct"/>
            <w:shd w:val="clear" w:color="auto" w:fill="auto"/>
          </w:tcPr>
          <w:p w14:paraId="33DAF34F" w14:textId="77777777" w:rsidR="004D6A64" w:rsidRDefault="004D6A64">
            <w:pPr>
              <w:rPr>
                <w:rFonts w:ascii="宋体"/>
              </w:rPr>
            </w:pPr>
          </w:p>
        </w:tc>
        <w:tc>
          <w:tcPr>
            <w:tcW w:w="361" w:type="pct"/>
            <w:shd w:val="clear" w:color="auto" w:fill="auto"/>
          </w:tcPr>
          <w:p w14:paraId="33DAF350" w14:textId="77777777" w:rsidR="004D6A64" w:rsidRDefault="004D6A64">
            <w:pPr>
              <w:rPr>
                <w:rFonts w:ascii="宋体"/>
              </w:rPr>
            </w:pPr>
          </w:p>
        </w:tc>
        <w:tc>
          <w:tcPr>
            <w:tcW w:w="5" w:type="pct"/>
            <w:shd w:val="clear" w:color="auto" w:fill="auto"/>
          </w:tcPr>
          <w:p w14:paraId="33DAF351" w14:textId="77777777" w:rsidR="004D6A64" w:rsidRDefault="004D6A64">
            <w:pPr>
              <w:rPr>
                <w:rFonts w:ascii="宋体"/>
              </w:rPr>
            </w:pPr>
          </w:p>
        </w:tc>
        <w:tc>
          <w:tcPr>
            <w:tcW w:w="5" w:type="pct"/>
            <w:shd w:val="clear" w:color="auto" w:fill="auto"/>
          </w:tcPr>
          <w:p w14:paraId="33DAF352" w14:textId="77777777" w:rsidR="004D6A64" w:rsidRDefault="004D6A64">
            <w:pPr>
              <w:rPr>
                <w:rFonts w:ascii="宋体"/>
              </w:rPr>
            </w:pPr>
          </w:p>
        </w:tc>
        <w:tc>
          <w:tcPr>
            <w:tcW w:w="19" w:type="pct"/>
            <w:shd w:val="clear" w:color="auto" w:fill="auto"/>
          </w:tcPr>
          <w:p w14:paraId="33DAF353" w14:textId="77777777" w:rsidR="004D6A64" w:rsidRDefault="004D6A64">
            <w:pPr>
              <w:rPr>
                <w:rFonts w:ascii="宋体"/>
              </w:rPr>
            </w:pPr>
          </w:p>
        </w:tc>
        <w:tc>
          <w:tcPr>
            <w:tcW w:w="5" w:type="pct"/>
            <w:shd w:val="clear" w:color="auto" w:fill="auto"/>
          </w:tcPr>
          <w:p w14:paraId="33DAF354" w14:textId="77777777" w:rsidR="004D6A64" w:rsidRDefault="004D6A64">
            <w:pPr>
              <w:rPr>
                <w:rFonts w:ascii="宋体"/>
              </w:rPr>
            </w:pPr>
          </w:p>
        </w:tc>
        <w:tc>
          <w:tcPr>
            <w:tcW w:w="50" w:type="pct"/>
            <w:shd w:val="clear" w:color="auto" w:fill="auto"/>
          </w:tcPr>
          <w:p w14:paraId="33DAF355" w14:textId="77777777" w:rsidR="004D6A64" w:rsidRDefault="004D6A64">
            <w:pPr>
              <w:rPr>
                <w:rFonts w:ascii="宋体"/>
              </w:rPr>
            </w:pPr>
          </w:p>
        </w:tc>
        <w:tc>
          <w:tcPr>
            <w:tcW w:w="624" w:type="pct"/>
            <w:shd w:val="clear" w:color="auto" w:fill="auto"/>
          </w:tcPr>
          <w:p w14:paraId="33DAF356" w14:textId="77777777" w:rsidR="004D6A64" w:rsidRDefault="004D6A64">
            <w:pPr>
              <w:rPr>
                <w:rFonts w:ascii="宋体"/>
              </w:rPr>
            </w:pPr>
          </w:p>
        </w:tc>
        <w:tc>
          <w:tcPr>
            <w:tcW w:w="5" w:type="pct"/>
            <w:shd w:val="clear" w:color="auto" w:fill="auto"/>
          </w:tcPr>
          <w:p w14:paraId="33DAF357" w14:textId="77777777" w:rsidR="004D6A64" w:rsidRDefault="004D6A64">
            <w:pPr>
              <w:rPr>
                <w:rFonts w:ascii="宋体"/>
              </w:rPr>
            </w:pPr>
          </w:p>
        </w:tc>
        <w:tc>
          <w:tcPr>
            <w:tcW w:w="5" w:type="pct"/>
            <w:shd w:val="clear" w:color="auto" w:fill="auto"/>
          </w:tcPr>
          <w:p w14:paraId="33DAF358" w14:textId="77777777" w:rsidR="004D6A64" w:rsidRDefault="004D6A64">
            <w:pPr>
              <w:rPr>
                <w:rFonts w:ascii="宋体"/>
              </w:rPr>
            </w:pPr>
          </w:p>
        </w:tc>
        <w:tc>
          <w:tcPr>
            <w:tcW w:w="19" w:type="pct"/>
            <w:shd w:val="clear" w:color="auto" w:fill="auto"/>
          </w:tcPr>
          <w:p w14:paraId="33DAF359" w14:textId="77777777" w:rsidR="004D6A64" w:rsidRDefault="004D6A64">
            <w:pPr>
              <w:rPr>
                <w:rFonts w:ascii="宋体"/>
              </w:rPr>
            </w:pPr>
          </w:p>
        </w:tc>
        <w:tc>
          <w:tcPr>
            <w:tcW w:w="5" w:type="pct"/>
            <w:shd w:val="clear" w:color="auto" w:fill="auto"/>
          </w:tcPr>
          <w:p w14:paraId="33DAF35A" w14:textId="77777777" w:rsidR="004D6A64" w:rsidRDefault="004D6A64">
            <w:pPr>
              <w:rPr>
                <w:rFonts w:ascii="宋体"/>
              </w:rPr>
            </w:pPr>
          </w:p>
        </w:tc>
        <w:tc>
          <w:tcPr>
            <w:tcW w:w="50" w:type="pct"/>
            <w:shd w:val="clear" w:color="auto" w:fill="auto"/>
          </w:tcPr>
          <w:p w14:paraId="33DAF35B" w14:textId="77777777" w:rsidR="004D6A64" w:rsidRDefault="004D6A64">
            <w:pPr>
              <w:rPr>
                <w:rFonts w:ascii="宋体"/>
              </w:rPr>
            </w:pPr>
          </w:p>
        </w:tc>
        <w:tc>
          <w:tcPr>
            <w:tcW w:w="624" w:type="pct"/>
            <w:shd w:val="clear" w:color="auto" w:fill="auto"/>
          </w:tcPr>
          <w:p w14:paraId="33DAF35C" w14:textId="77777777" w:rsidR="004D6A64" w:rsidRDefault="004D6A64">
            <w:pPr>
              <w:rPr>
                <w:rFonts w:ascii="宋体"/>
              </w:rPr>
            </w:pPr>
          </w:p>
        </w:tc>
        <w:tc>
          <w:tcPr>
            <w:tcW w:w="5" w:type="pct"/>
            <w:shd w:val="clear" w:color="auto" w:fill="auto"/>
          </w:tcPr>
          <w:p w14:paraId="33DAF35D" w14:textId="77777777" w:rsidR="004D6A64" w:rsidRDefault="004D6A64">
            <w:pPr>
              <w:rPr>
                <w:rFonts w:ascii="宋体"/>
              </w:rPr>
            </w:pPr>
          </w:p>
        </w:tc>
        <w:tc>
          <w:tcPr>
            <w:tcW w:w="5" w:type="pct"/>
            <w:shd w:val="clear" w:color="auto" w:fill="auto"/>
          </w:tcPr>
          <w:p w14:paraId="33DAF35E" w14:textId="77777777" w:rsidR="004D6A64" w:rsidRDefault="004D6A64">
            <w:pPr>
              <w:rPr>
                <w:rFonts w:ascii="宋体"/>
              </w:rPr>
            </w:pPr>
          </w:p>
        </w:tc>
        <w:tc>
          <w:tcPr>
            <w:tcW w:w="19" w:type="pct"/>
            <w:shd w:val="clear" w:color="auto" w:fill="auto"/>
          </w:tcPr>
          <w:p w14:paraId="33DAF35F" w14:textId="77777777" w:rsidR="004D6A64" w:rsidRDefault="004D6A64">
            <w:pPr>
              <w:rPr>
                <w:rFonts w:ascii="宋体"/>
              </w:rPr>
            </w:pPr>
          </w:p>
        </w:tc>
        <w:tc>
          <w:tcPr>
            <w:tcW w:w="5" w:type="pct"/>
            <w:shd w:val="clear" w:color="auto" w:fill="auto"/>
          </w:tcPr>
          <w:p w14:paraId="33DAF360" w14:textId="77777777" w:rsidR="004D6A64" w:rsidRDefault="004D6A64">
            <w:pPr>
              <w:rPr>
                <w:rFonts w:ascii="宋体"/>
              </w:rPr>
            </w:pPr>
          </w:p>
        </w:tc>
        <w:tc>
          <w:tcPr>
            <w:tcW w:w="50" w:type="pct"/>
            <w:shd w:val="clear" w:color="auto" w:fill="auto"/>
          </w:tcPr>
          <w:p w14:paraId="33DAF361" w14:textId="77777777" w:rsidR="004D6A64" w:rsidRDefault="004D6A64">
            <w:pPr>
              <w:rPr>
                <w:rFonts w:ascii="宋体"/>
              </w:rPr>
            </w:pPr>
          </w:p>
        </w:tc>
        <w:tc>
          <w:tcPr>
            <w:tcW w:w="361" w:type="pct"/>
            <w:shd w:val="clear" w:color="auto" w:fill="auto"/>
          </w:tcPr>
          <w:p w14:paraId="33DAF362" w14:textId="77777777" w:rsidR="004D6A64" w:rsidRDefault="004D6A64">
            <w:pPr>
              <w:rPr>
                <w:rFonts w:ascii="宋体"/>
              </w:rPr>
            </w:pPr>
          </w:p>
        </w:tc>
        <w:tc>
          <w:tcPr>
            <w:tcW w:w="5" w:type="pct"/>
            <w:shd w:val="clear" w:color="auto" w:fill="auto"/>
          </w:tcPr>
          <w:p w14:paraId="33DAF363" w14:textId="77777777" w:rsidR="004D6A64" w:rsidRDefault="004D6A64">
            <w:pPr>
              <w:rPr>
                <w:rFonts w:ascii="宋体"/>
              </w:rPr>
            </w:pPr>
          </w:p>
        </w:tc>
        <w:tc>
          <w:tcPr>
            <w:tcW w:w="5" w:type="pct"/>
            <w:shd w:val="clear" w:color="auto" w:fill="auto"/>
          </w:tcPr>
          <w:p w14:paraId="33DAF364" w14:textId="77777777" w:rsidR="004D6A64" w:rsidRDefault="004D6A64">
            <w:pPr>
              <w:rPr>
                <w:rFonts w:ascii="宋体"/>
              </w:rPr>
            </w:pPr>
          </w:p>
        </w:tc>
        <w:tc>
          <w:tcPr>
            <w:tcW w:w="19" w:type="pct"/>
            <w:shd w:val="clear" w:color="auto" w:fill="auto"/>
          </w:tcPr>
          <w:p w14:paraId="33DAF365" w14:textId="77777777" w:rsidR="004D6A64" w:rsidRDefault="004D6A64">
            <w:pPr>
              <w:rPr>
                <w:rFonts w:ascii="宋体"/>
              </w:rPr>
            </w:pPr>
          </w:p>
        </w:tc>
        <w:tc>
          <w:tcPr>
            <w:tcW w:w="5" w:type="pct"/>
            <w:shd w:val="clear" w:color="auto" w:fill="auto"/>
          </w:tcPr>
          <w:p w14:paraId="33DAF366" w14:textId="77777777" w:rsidR="004D6A64" w:rsidRDefault="004D6A64">
            <w:pPr>
              <w:rPr>
                <w:rFonts w:ascii="宋体"/>
              </w:rPr>
            </w:pPr>
          </w:p>
        </w:tc>
        <w:tc>
          <w:tcPr>
            <w:tcW w:w="50" w:type="pct"/>
            <w:shd w:val="clear" w:color="auto" w:fill="auto"/>
          </w:tcPr>
          <w:p w14:paraId="33DAF367" w14:textId="77777777" w:rsidR="004D6A64" w:rsidRDefault="004D6A64">
            <w:pPr>
              <w:rPr>
                <w:rFonts w:ascii="宋体"/>
              </w:rPr>
            </w:pPr>
          </w:p>
        </w:tc>
        <w:tc>
          <w:tcPr>
            <w:tcW w:w="625" w:type="pct"/>
            <w:shd w:val="clear" w:color="auto" w:fill="auto"/>
          </w:tcPr>
          <w:p w14:paraId="33DAF368" w14:textId="77777777" w:rsidR="004D6A64" w:rsidRDefault="004D6A64">
            <w:pPr>
              <w:rPr>
                <w:rFonts w:ascii="宋体"/>
              </w:rPr>
            </w:pPr>
          </w:p>
        </w:tc>
        <w:tc>
          <w:tcPr>
            <w:tcW w:w="5" w:type="pct"/>
            <w:shd w:val="clear" w:color="auto" w:fill="auto"/>
          </w:tcPr>
          <w:p w14:paraId="33DAF369" w14:textId="77777777" w:rsidR="004D6A64" w:rsidRDefault="004D6A64">
            <w:pPr>
              <w:rPr>
                <w:rFonts w:ascii="宋体"/>
              </w:rPr>
            </w:pPr>
          </w:p>
        </w:tc>
      </w:tr>
      <w:tr w:rsidR="004D6A64" w14:paraId="33DAF377" w14:textId="77777777">
        <w:trPr>
          <w:gridAfter w:val="3"/>
        </w:trPr>
        <w:tc>
          <w:tcPr>
            <w:tcW w:w="0" w:type="auto"/>
            <w:gridSpan w:val="3"/>
            <w:shd w:val="clear" w:color="auto" w:fill="auto"/>
            <w:tcMar>
              <w:left w:w="20" w:type="dxa"/>
              <w:right w:w="20" w:type="dxa"/>
            </w:tcMar>
            <w:vAlign w:val="bottom"/>
          </w:tcPr>
          <w:p w14:paraId="33DAF36B" w14:textId="77777777" w:rsidR="004D6A64" w:rsidRDefault="004D6A64">
            <w:pPr>
              <w:rPr>
                <w:rFonts w:ascii="宋体"/>
              </w:rPr>
            </w:pPr>
          </w:p>
        </w:tc>
        <w:tc>
          <w:tcPr>
            <w:tcW w:w="0" w:type="auto"/>
            <w:gridSpan w:val="15"/>
            <w:shd w:val="clear" w:color="auto" w:fill="auto"/>
            <w:tcMar>
              <w:top w:w="40" w:type="dxa"/>
              <w:left w:w="20" w:type="dxa"/>
              <w:bottom w:w="40" w:type="dxa"/>
              <w:right w:w="20" w:type="dxa"/>
            </w:tcMar>
            <w:vAlign w:val="bottom"/>
          </w:tcPr>
          <w:p w14:paraId="33DAF36C" w14:textId="77777777" w:rsidR="004D6A64" w:rsidRDefault="00506CD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Pr>
          <w:p w14:paraId="33DAF36D" w14:textId="77777777" w:rsidR="004D6A64" w:rsidRDefault="004D6A64">
            <w:pPr>
              <w:rPr>
                <w:rFonts w:ascii="宋体"/>
                <w:vanish/>
              </w:rPr>
            </w:pPr>
          </w:p>
        </w:tc>
        <w:tc>
          <w:tcPr>
            <w:tcW w:w="0" w:type="auto"/>
            <w:gridSpan w:val="3"/>
            <w:shd w:val="clear" w:color="auto" w:fill="auto"/>
          </w:tcPr>
          <w:p w14:paraId="33DAF36E" w14:textId="77777777" w:rsidR="004D6A64" w:rsidRDefault="004D6A64">
            <w:pPr>
              <w:rPr>
                <w:rFonts w:ascii="宋体"/>
                <w:vanish/>
              </w:rPr>
            </w:pPr>
          </w:p>
        </w:tc>
        <w:tc>
          <w:tcPr>
            <w:tcW w:w="0" w:type="auto"/>
            <w:gridSpan w:val="3"/>
            <w:shd w:val="clear" w:color="auto" w:fill="auto"/>
          </w:tcPr>
          <w:p w14:paraId="33DAF36F" w14:textId="77777777" w:rsidR="004D6A64" w:rsidRDefault="004D6A64">
            <w:pPr>
              <w:rPr>
                <w:rFonts w:ascii="宋体"/>
                <w:vanish/>
              </w:rPr>
            </w:pPr>
          </w:p>
        </w:tc>
        <w:tc>
          <w:tcPr>
            <w:tcW w:w="0" w:type="auto"/>
            <w:gridSpan w:val="3"/>
            <w:shd w:val="clear" w:color="auto" w:fill="auto"/>
          </w:tcPr>
          <w:p w14:paraId="33DAF370"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F371" w14:textId="77777777" w:rsidR="004D6A64" w:rsidRDefault="004D6A64">
            <w:pPr>
              <w:rPr>
                <w:rFonts w:ascii="宋体"/>
              </w:rPr>
            </w:pPr>
          </w:p>
        </w:tc>
        <w:tc>
          <w:tcPr>
            <w:tcW w:w="0" w:type="auto"/>
            <w:gridSpan w:val="15"/>
            <w:shd w:val="clear" w:color="auto" w:fill="auto"/>
            <w:tcMar>
              <w:top w:w="40" w:type="dxa"/>
              <w:left w:w="20" w:type="dxa"/>
              <w:bottom w:w="40" w:type="dxa"/>
              <w:right w:w="20" w:type="dxa"/>
            </w:tcMar>
            <w:vAlign w:val="bottom"/>
          </w:tcPr>
          <w:p w14:paraId="33DAF372" w14:textId="77777777" w:rsidR="004D6A64" w:rsidRDefault="00506CD6">
            <w:pPr>
              <w:jc w:val="center"/>
              <w:textAlignment w:val="bottom"/>
            </w:pPr>
            <w:r>
              <w:rPr>
                <w:rFonts w:ascii="Times New Roman" w:eastAsia="宋体" w:hAnsi="Times New Roman"/>
                <w:b/>
                <w:bCs/>
                <w:color w:val="000000"/>
                <w:sz w:val="20"/>
                <w:szCs w:val="20"/>
              </w:rPr>
              <w:t>Six Months Ended</w:t>
            </w:r>
          </w:p>
        </w:tc>
        <w:tc>
          <w:tcPr>
            <w:tcW w:w="0" w:type="auto"/>
            <w:gridSpan w:val="3"/>
            <w:shd w:val="clear" w:color="auto" w:fill="auto"/>
          </w:tcPr>
          <w:p w14:paraId="33DAF373" w14:textId="77777777" w:rsidR="004D6A64" w:rsidRDefault="004D6A64">
            <w:pPr>
              <w:rPr>
                <w:rFonts w:ascii="宋体"/>
                <w:vanish/>
              </w:rPr>
            </w:pPr>
          </w:p>
        </w:tc>
        <w:tc>
          <w:tcPr>
            <w:tcW w:w="0" w:type="auto"/>
            <w:gridSpan w:val="3"/>
            <w:shd w:val="clear" w:color="auto" w:fill="auto"/>
          </w:tcPr>
          <w:p w14:paraId="33DAF374" w14:textId="77777777" w:rsidR="004D6A64" w:rsidRDefault="004D6A64">
            <w:pPr>
              <w:rPr>
                <w:rFonts w:ascii="宋体"/>
                <w:vanish/>
              </w:rPr>
            </w:pPr>
          </w:p>
        </w:tc>
        <w:tc>
          <w:tcPr>
            <w:tcW w:w="0" w:type="auto"/>
            <w:gridSpan w:val="3"/>
            <w:shd w:val="clear" w:color="auto" w:fill="auto"/>
          </w:tcPr>
          <w:p w14:paraId="33DAF375" w14:textId="77777777" w:rsidR="004D6A64" w:rsidRDefault="004D6A64">
            <w:pPr>
              <w:rPr>
                <w:rFonts w:ascii="宋体"/>
                <w:vanish/>
              </w:rPr>
            </w:pPr>
          </w:p>
        </w:tc>
        <w:tc>
          <w:tcPr>
            <w:tcW w:w="0" w:type="auto"/>
            <w:gridSpan w:val="3"/>
            <w:shd w:val="clear" w:color="auto" w:fill="auto"/>
          </w:tcPr>
          <w:p w14:paraId="33DAF376" w14:textId="77777777" w:rsidR="004D6A64" w:rsidRDefault="004D6A64">
            <w:pPr>
              <w:rPr>
                <w:rFonts w:ascii="宋体"/>
                <w:vanish/>
              </w:rPr>
            </w:pPr>
          </w:p>
        </w:tc>
      </w:tr>
      <w:tr w:rsidR="004D6A64" w14:paraId="33DAF39C" w14:textId="77777777">
        <w:trPr>
          <w:gridAfter w:val="3"/>
        </w:trPr>
        <w:tc>
          <w:tcPr>
            <w:tcW w:w="0" w:type="auto"/>
            <w:gridSpan w:val="3"/>
            <w:shd w:val="clear" w:color="auto" w:fill="auto"/>
            <w:tcMar>
              <w:left w:w="20" w:type="dxa"/>
              <w:right w:w="20" w:type="dxa"/>
            </w:tcMar>
            <w:vAlign w:val="bottom"/>
          </w:tcPr>
          <w:p w14:paraId="33DAF378"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F379"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F37A"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F37B" w14:textId="77777777" w:rsidR="004D6A64" w:rsidRDefault="00506CD6">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left w:w="20" w:type="dxa"/>
              <w:right w:w="20" w:type="dxa"/>
            </w:tcMar>
            <w:vAlign w:val="bottom"/>
          </w:tcPr>
          <w:p w14:paraId="33DAF37C"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F37D"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gridSpan w:val="3"/>
            <w:shd w:val="clear" w:color="auto" w:fill="auto"/>
            <w:tcMar>
              <w:left w:w="20" w:type="dxa"/>
              <w:right w:w="20" w:type="dxa"/>
            </w:tcMar>
            <w:vAlign w:val="bottom"/>
          </w:tcPr>
          <w:p w14:paraId="33DAF37E"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F37F"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F380"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F381" w14:textId="77777777" w:rsidR="004D6A64" w:rsidRDefault="00506CD6">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left w:w="20" w:type="dxa"/>
              <w:right w:w="20" w:type="dxa"/>
            </w:tcMar>
            <w:vAlign w:val="bottom"/>
          </w:tcPr>
          <w:p w14:paraId="33DAF382"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F383"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shd w:val="clear" w:color="auto" w:fill="auto"/>
          </w:tcPr>
          <w:p w14:paraId="33DAF384" w14:textId="77777777" w:rsidR="004D6A64" w:rsidRDefault="004D6A64">
            <w:pPr>
              <w:rPr>
                <w:rFonts w:ascii="宋体"/>
              </w:rPr>
            </w:pPr>
          </w:p>
        </w:tc>
        <w:tc>
          <w:tcPr>
            <w:tcW w:w="0" w:type="auto"/>
            <w:shd w:val="clear" w:color="auto" w:fill="auto"/>
          </w:tcPr>
          <w:p w14:paraId="33DAF385" w14:textId="77777777" w:rsidR="004D6A64" w:rsidRDefault="004D6A64">
            <w:pPr>
              <w:rPr>
                <w:rFonts w:ascii="宋体"/>
              </w:rPr>
            </w:pPr>
          </w:p>
        </w:tc>
        <w:tc>
          <w:tcPr>
            <w:tcW w:w="0" w:type="auto"/>
            <w:shd w:val="clear" w:color="auto" w:fill="auto"/>
          </w:tcPr>
          <w:p w14:paraId="33DAF386" w14:textId="77777777" w:rsidR="004D6A64" w:rsidRDefault="004D6A64">
            <w:pPr>
              <w:rPr>
                <w:rFonts w:ascii="宋体"/>
              </w:rPr>
            </w:pPr>
          </w:p>
        </w:tc>
        <w:tc>
          <w:tcPr>
            <w:tcW w:w="0" w:type="auto"/>
            <w:shd w:val="clear" w:color="auto" w:fill="auto"/>
          </w:tcPr>
          <w:p w14:paraId="33DAF387" w14:textId="77777777" w:rsidR="004D6A64" w:rsidRDefault="004D6A64">
            <w:pPr>
              <w:rPr>
                <w:rFonts w:ascii="宋体"/>
              </w:rPr>
            </w:pPr>
          </w:p>
        </w:tc>
        <w:tc>
          <w:tcPr>
            <w:tcW w:w="0" w:type="auto"/>
            <w:shd w:val="clear" w:color="auto" w:fill="auto"/>
          </w:tcPr>
          <w:p w14:paraId="33DAF388" w14:textId="77777777" w:rsidR="004D6A64" w:rsidRDefault="004D6A64">
            <w:pPr>
              <w:rPr>
                <w:rFonts w:ascii="宋体"/>
              </w:rPr>
            </w:pPr>
          </w:p>
        </w:tc>
        <w:tc>
          <w:tcPr>
            <w:tcW w:w="0" w:type="auto"/>
            <w:shd w:val="clear" w:color="auto" w:fill="auto"/>
          </w:tcPr>
          <w:p w14:paraId="33DAF389" w14:textId="77777777" w:rsidR="004D6A64" w:rsidRDefault="004D6A64">
            <w:pPr>
              <w:rPr>
                <w:rFonts w:ascii="宋体"/>
              </w:rPr>
            </w:pPr>
          </w:p>
        </w:tc>
        <w:tc>
          <w:tcPr>
            <w:tcW w:w="0" w:type="auto"/>
            <w:shd w:val="clear" w:color="auto" w:fill="auto"/>
          </w:tcPr>
          <w:p w14:paraId="33DAF38A" w14:textId="77777777" w:rsidR="004D6A64" w:rsidRDefault="004D6A64">
            <w:pPr>
              <w:rPr>
                <w:rFonts w:ascii="宋体"/>
              </w:rPr>
            </w:pPr>
          </w:p>
        </w:tc>
        <w:tc>
          <w:tcPr>
            <w:tcW w:w="0" w:type="auto"/>
            <w:shd w:val="clear" w:color="auto" w:fill="auto"/>
          </w:tcPr>
          <w:p w14:paraId="33DAF38B" w14:textId="77777777" w:rsidR="004D6A64" w:rsidRDefault="004D6A64">
            <w:pPr>
              <w:rPr>
                <w:rFonts w:ascii="宋体"/>
              </w:rPr>
            </w:pPr>
          </w:p>
        </w:tc>
        <w:tc>
          <w:tcPr>
            <w:tcW w:w="0" w:type="auto"/>
            <w:shd w:val="clear" w:color="auto" w:fill="auto"/>
          </w:tcPr>
          <w:p w14:paraId="33DAF38C" w14:textId="77777777" w:rsidR="004D6A64" w:rsidRDefault="004D6A64">
            <w:pPr>
              <w:rPr>
                <w:rFonts w:ascii="宋体"/>
              </w:rPr>
            </w:pPr>
          </w:p>
        </w:tc>
        <w:tc>
          <w:tcPr>
            <w:tcW w:w="0" w:type="auto"/>
            <w:shd w:val="clear" w:color="auto" w:fill="auto"/>
          </w:tcPr>
          <w:p w14:paraId="33DAF38D" w14:textId="77777777" w:rsidR="004D6A64" w:rsidRDefault="004D6A64">
            <w:pPr>
              <w:rPr>
                <w:rFonts w:ascii="宋体"/>
              </w:rPr>
            </w:pPr>
          </w:p>
        </w:tc>
        <w:tc>
          <w:tcPr>
            <w:tcW w:w="0" w:type="auto"/>
            <w:shd w:val="clear" w:color="auto" w:fill="auto"/>
          </w:tcPr>
          <w:p w14:paraId="33DAF38E" w14:textId="77777777" w:rsidR="004D6A64" w:rsidRDefault="004D6A64">
            <w:pPr>
              <w:rPr>
                <w:rFonts w:ascii="宋体"/>
              </w:rPr>
            </w:pPr>
          </w:p>
        </w:tc>
        <w:tc>
          <w:tcPr>
            <w:tcW w:w="0" w:type="auto"/>
            <w:shd w:val="clear" w:color="auto" w:fill="auto"/>
          </w:tcPr>
          <w:p w14:paraId="33DAF38F" w14:textId="77777777" w:rsidR="004D6A64" w:rsidRDefault="004D6A64">
            <w:pPr>
              <w:rPr>
                <w:rFonts w:ascii="宋体"/>
              </w:rPr>
            </w:pPr>
          </w:p>
        </w:tc>
        <w:tc>
          <w:tcPr>
            <w:tcW w:w="0" w:type="auto"/>
            <w:shd w:val="clear" w:color="auto" w:fill="auto"/>
          </w:tcPr>
          <w:p w14:paraId="33DAF390" w14:textId="77777777" w:rsidR="004D6A64" w:rsidRDefault="004D6A64">
            <w:pPr>
              <w:rPr>
                <w:rFonts w:ascii="宋体"/>
              </w:rPr>
            </w:pPr>
          </w:p>
        </w:tc>
        <w:tc>
          <w:tcPr>
            <w:tcW w:w="0" w:type="auto"/>
            <w:shd w:val="clear" w:color="auto" w:fill="auto"/>
          </w:tcPr>
          <w:p w14:paraId="33DAF391" w14:textId="77777777" w:rsidR="004D6A64" w:rsidRDefault="004D6A64">
            <w:pPr>
              <w:rPr>
                <w:rFonts w:ascii="宋体"/>
              </w:rPr>
            </w:pPr>
          </w:p>
        </w:tc>
        <w:tc>
          <w:tcPr>
            <w:tcW w:w="0" w:type="auto"/>
            <w:shd w:val="clear" w:color="auto" w:fill="auto"/>
          </w:tcPr>
          <w:p w14:paraId="33DAF392" w14:textId="77777777" w:rsidR="004D6A64" w:rsidRDefault="004D6A64">
            <w:pPr>
              <w:rPr>
                <w:rFonts w:ascii="宋体"/>
              </w:rPr>
            </w:pPr>
          </w:p>
        </w:tc>
        <w:tc>
          <w:tcPr>
            <w:tcW w:w="0" w:type="auto"/>
            <w:shd w:val="clear" w:color="auto" w:fill="auto"/>
          </w:tcPr>
          <w:p w14:paraId="33DAF393" w14:textId="77777777" w:rsidR="004D6A64" w:rsidRDefault="004D6A64">
            <w:pPr>
              <w:rPr>
                <w:rFonts w:ascii="宋体"/>
              </w:rPr>
            </w:pPr>
          </w:p>
        </w:tc>
        <w:tc>
          <w:tcPr>
            <w:tcW w:w="0" w:type="auto"/>
            <w:shd w:val="clear" w:color="auto" w:fill="auto"/>
          </w:tcPr>
          <w:p w14:paraId="33DAF394" w14:textId="77777777" w:rsidR="004D6A64" w:rsidRDefault="004D6A64">
            <w:pPr>
              <w:rPr>
                <w:rFonts w:ascii="宋体"/>
              </w:rPr>
            </w:pPr>
          </w:p>
        </w:tc>
        <w:tc>
          <w:tcPr>
            <w:tcW w:w="0" w:type="auto"/>
            <w:shd w:val="clear" w:color="auto" w:fill="auto"/>
          </w:tcPr>
          <w:p w14:paraId="33DAF395" w14:textId="77777777" w:rsidR="004D6A64" w:rsidRDefault="004D6A64">
            <w:pPr>
              <w:rPr>
                <w:rFonts w:ascii="宋体"/>
              </w:rPr>
            </w:pPr>
          </w:p>
        </w:tc>
        <w:tc>
          <w:tcPr>
            <w:tcW w:w="0" w:type="auto"/>
            <w:shd w:val="clear" w:color="auto" w:fill="auto"/>
          </w:tcPr>
          <w:p w14:paraId="33DAF396" w14:textId="77777777" w:rsidR="004D6A64" w:rsidRDefault="004D6A64">
            <w:pPr>
              <w:rPr>
                <w:rFonts w:ascii="宋体"/>
              </w:rPr>
            </w:pPr>
          </w:p>
        </w:tc>
        <w:tc>
          <w:tcPr>
            <w:tcW w:w="0" w:type="auto"/>
            <w:shd w:val="clear" w:color="auto" w:fill="auto"/>
          </w:tcPr>
          <w:p w14:paraId="33DAF397" w14:textId="77777777" w:rsidR="004D6A64" w:rsidRDefault="004D6A64">
            <w:pPr>
              <w:rPr>
                <w:rFonts w:ascii="宋体"/>
              </w:rPr>
            </w:pPr>
          </w:p>
        </w:tc>
        <w:tc>
          <w:tcPr>
            <w:tcW w:w="0" w:type="auto"/>
            <w:shd w:val="clear" w:color="auto" w:fill="auto"/>
          </w:tcPr>
          <w:p w14:paraId="33DAF398" w14:textId="77777777" w:rsidR="004D6A64" w:rsidRDefault="004D6A64">
            <w:pPr>
              <w:rPr>
                <w:rFonts w:ascii="宋体"/>
              </w:rPr>
            </w:pPr>
          </w:p>
        </w:tc>
        <w:tc>
          <w:tcPr>
            <w:tcW w:w="0" w:type="auto"/>
            <w:shd w:val="clear" w:color="auto" w:fill="auto"/>
          </w:tcPr>
          <w:p w14:paraId="33DAF399" w14:textId="77777777" w:rsidR="004D6A64" w:rsidRDefault="004D6A64">
            <w:pPr>
              <w:rPr>
                <w:rFonts w:ascii="宋体"/>
              </w:rPr>
            </w:pPr>
          </w:p>
        </w:tc>
        <w:tc>
          <w:tcPr>
            <w:tcW w:w="0" w:type="auto"/>
            <w:shd w:val="clear" w:color="auto" w:fill="auto"/>
          </w:tcPr>
          <w:p w14:paraId="33DAF39A" w14:textId="77777777" w:rsidR="004D6A64" w:rsidRDefault="004D6A64">
            <w:pPr>
              <w:rPr>
                <w:rFonts w:ascii="宋体"/>
              </w:rPr>
            </w:pPr>
          </w:p>
        </w:tc>
        <w:tc>
          <w:tcPr>
            <w:tcW w:w="0" w:type="auto"/>
            <w:shd w:val="clear" w:color="auto" w:fill="auto"/>
          </w:tcPr>
          <w:p w14:paraId="33DAF39B" w14:textId="77777777" w:rsidR="004D6A64" w:rsidRDefault="004D6A64">
            <w:pPr>
              <w:rPr>
                <w:rFonts w:ascii="宋体"/>
              </w:rPr>
            </w:pPr>
          </w:p>
        </w:tc>
      </w:tr>
      <w:tr w:rsidR="004D6A64" w14:paraId="33DAF3A9" w14:textId="77777777">
        <w:tc>
          <w:tcPr>
            <w:tcW w:w="0" w:type="auto"/>
            <w:gridSpan w:val="3"/>
            <w:shd w:val="clear" w:color="auto" w:fill="auto"/>
            <w:tcMar>
              <w:top w:w="40" w:type="dxa"/>
              <w:left w:w="20" w:type="dxa"/>
              <w:bottom w:w="40" w:type="dxa"/>
              <w:right w:w="20" w:type="dxa"/>
            </w:tcMar>
            <w:vAlign w:val="center"/>
          </w:tcPr>
          <w:p w14:paraId="33DAF39D" w14:textId="77777777" w:rsidR="004D6A64" w:rsidRDefault="00506CD6">
            <w:pPr>
              <w:textAlignment w:val="center"/>
            </w:pPr>
            <w:r>
              <w:rPr>
                <w:rFonts w:ascii="Times New Roman" w:eastAsia="宋体" w:hAnsi="Times New Roman"/>
                <w:color w:val="000000"/>
                <w:sz w:val="20"/>
                <w:szCs w:val="20"/>
              </w:rPr>
              <w:t> </w:t>
            </w:r>
          </w:p>
        </w:tc>
        <w:tc>
          <w:tcPr>
            <w:tcW w:w="0" w:type="auto"/>
            <w:gridSpan w:val="33"/>
            <w:tcBorders>
              <w:top w:val="single" w:sz="8" w:space="0" w:color="000000"/>
            </w:tcBorders>
            <w:shd w:val="clear" w:color="auto" w:fill="auto"/>
            <w:tcMar>
              <w:top w:w="40" w:type="dxa"/>
              <w:left w:w="20" w:type="dxa"/>
              <w:bottom w:w="40" w:type="dxa"/>
              <w:right w:w="20" w:type="dxa"/>
            </w:tcMar>
            <w:vAlign w:val="center"/>
          </w:tcPr>
          <w:p w14:paraId="33DAF39E" w14:textId="77777777" w:rsidR="004D6A64" w:rsidRDefault="00506CD6">
            <w:pPr>
              <w:jc w:val="center"/>
              <w:textAlignment w:val="center"/>
            </w:pPr>
            <w:r>
              <w:rPr>
                <w:rFonts w:ascii="Times New Roman" w:eastAsia="宋体" w:hAnsi="Times New Roman"/>
                <w:color w:val="000000"/>
                <w:sz w:val="20"/>
                <w:szCs w:val="20"/>
              </w:rPr>
              <w:t>(in millions, except percentages)</w:t>
            </w:r>
          </w:p>
        </w:tc>
        <w:tc>
          <w:tcPr>
            <w:tcW w:w="0" w:type="auto"/>
            <w:gridSpan w:val="3"/>
            <w:shd w:val="clear" w:color="auto" w:fill="auto"/>
          </w:tcPr>
          <w:p w14:paraId="33DAF39F" w14:textId="77777777" w:rsidR="004D6A64" w:rsidRDefault="004D6A64">
            <w:pPr>
              <w:rPr>
                <w:rFonts w:ascii="宋体"/>
                <w:vanish/>
              </w:rPr>
            </w:pPr>
          </w:p>
        </w:tc>
        <w:tc>
          <w:tcPr>
            <w:tcW w:w="0" w:type="auto"/>
            <w:gridSpan w:val="3"/>
            <w:shd w:val="clear" w:color="auto" w:fill="auto"/>
          </w:tcPr>
          <w:p w14:paraId="33DAF3A0" w14:textId="77777777" w:rsidR="004D6A64" w:rsidRDefault="004D6A64">
            <w:pPr>
              <w:rPr>
                <w:rFonts w:ascii="宋体"/>
                <w:vanish/>
              </w:rPr>
            </w:pPr>
          </w:p>
        </w:tc>
        <w:tc>
          <w:tcPr>
            <w:tcW w:w="0" w:type="auto"/>
            <w:gridSpan w:val="3"/>
            <w:shd w:val="clear" w:color="auto" w:fill="auto"/>
          </w:tcPr>
          <w:p w14:paraId="33DAF3A1" w14:textId="77777777" w:rsidR="004D6A64" w:rsidRDefault="004D6A64">
            <w:pPr>
              <w:rPr>
                <w:rFonts w:ascii="宋体"/>
                <w:vanish/>
              </w:rPr>
            </w:pPr>
          </w:p>
        </w:tc>
        <w:tc>
          <w:tcPr>
            <w:tcW w:w="0" w:type="auto"/>
            <w:gridSpan w:val="3"/>
            <w:shd w:val="clear" w:color="auto" w:fill="auto"/>
          </w:tcPr>
          <w:p w14:paraId="33DAF3A2" w14:textId="77777777" w:rsidR="004D6A64" w:rsidRDefault="004D6A64">
            <w:pPr>
              <w:rPr>
                <w:rFonts w:ascii="宋体"/>
                <w:vanish/>
              </w:rPr>
            </w:pPr>
          </w:p>
        </w:tc>
        <w:tc>
          <w:tcPr>
            <w:tcW w:w="0" w:type="auto"/>
            <w:gridSpan w:val="3"/>
            <w:shd w:val="clear" w:color="auto" w:fill="auto"/>
          </w:tcPr>
          <w:p w14:paraId="33DAF3A3" w14:textId="77777777" w:rsidR="004D6A64" w:rsidRDefault="004D6A64">
            <w:pPr>
              <w:rPr>
                <w:rFonts w:ascii="宋体"/>
                <w:vanish/>
              </w:rPr>
            </w:pPr>
          </w:p>
        </w:tc>
        <w:tc>
          <w:tcPr>
            <w:tcW w:w="0" w:type="auto"/>
            <w:gridSpan w:val="3"/>
            <w:shd w:val="clear" w:color="auto" w:fill="auto"/>
          </w:tcPr>
          <w:p w14:paraId="33DAF3A4" w14:textId="77777777" w:rsidR="004D6A64" w:rsidRDefault="004D6A64">
            <w:pPr>
              <w:rPr>
                <w:rFonts w:ascii="宋体"/>
                <w:vanish/>
              </w:rPr>
            </w:pPr>
          </w:p>
        </w:tc>
        <w:tc>
          <w:tcPr>
            <w:tcW w:w="0" w:type="auto"/>
            <w:gridSpan w:val="3"/>
            <w:shd w:val="clear" w:color="auto" w:fill="auto"/>
          </w:tcPr>
          <w:p w14:paraId="33DAF3A5" w14:textId="77777777" w:rsidR="004D6A64" w:rsidRDefault="004D6A64">
            <w:pPr>
              <w:rPr>
                <w:rFonts w:ascii="宋体"/>
                <w:vanish/>
              </w:rPr>
            </w:pPr>
          </w:p>
        </w:tc>
        <w:tc>
          <w:tcPr>
            <w:tcW w:w="0" w:type="auto"/>
            <w:gridSpan w:val="3"/>
            <w:shd w:val="clear" w:color="auto" w:fill="auto"/>
          </w:tcPr>
          <w:p w14:paraId="33DAF3A6" w14:textId="77777777" w:rsidR="004D6A64" w:rsidRDefault="004D6A64">
            <w:pPr>
              <w:rPr>
                <w:rFonts w:ascii="宋体"/>
                <w:vanish/>
              </w:rPr>
            </w:pPr>
          </w:p>
        </w:tc>
        <w:tc>
          <w:tcPr>
            <w:tcW w:w="0" w:type="auto"/>
            <w:gridSpan w:val="2"/>
            <w:shd w:val="clear" w:color="auto" w:fill="auto"/>
          </w:tcPr>
          <w:p w14:paraId="33DAF3A7" w14:textId="77777777" w:rsidR="004D6A64" w:rsidRDefault="004D6A64">
            <w:pPr>
              <w:rPr>
                <w:rFonts w:ascii="宋体"/>
                <w:vanish/>
              </w:rPr>
            </w:pPr>
          </w:p>
        </w:tc>
        <w:tc>
          <w:tcPr>
            <w:tcW w:w="0" w:type="auto"/>
            <w:shd w:val="clear" w:color="auto" w:fill="auto"/>
          </w:tcPr>
          <w:p w14:paraId="33DAF3A8" w14:textId="77777777" w:rsidR="004D6A64" w:rsidRDefault="004D6A64">
            <w:pPr>
              <w:rPr>
                <w:rFonts w:ascii="宋体"/>
                <w:vanish/>
              </w:rPr>
            </w:pPr>
          </w:p>
        </w:tc>
      </w:tr>
      <w:tr w:rsidR="004D6A64" w14:paraId="33DAF3D1" w14:textId="77777777">
        <w:tc>
          <w:tcPr>
            <w:tcW w:w="0" w:type="auto"/>
            <w:gridSpan w:val="3"/>
            <w:shd w:val="clear" w:color="auto" w:fill="CCEEFF"/>
            <w:tcMar>
              <w:top w:w="40" w:type="dxa"/>
              <w:left w:w="20" w:type="dxa"/>
              <w:bottom w:w="40" w:type="dxa"/>
              <w:right w:w="20" w:type="dxa"/>
            </w:tcMar>
            <w:vAlign w:val="center"/>
          </w:tcPr>
          <w:p w14:paraId="33DAF3AA" w14:textId="77777777" w:rsidR="004D6A64" w:rsidRDefault="00506CD6">
            <w:pPr>
              <w:textAlignment w:val="center"/>
            </w:pPr>
            <w:r>
              <w:rPr>
                <w:rFonts w:ascii="Times New Roman" w:eastAsia="宋体" w:hAnsi="Times New Roman"/>
                <w:i/>
                <w:iCs/>
                <w:color w:val="000000"/>
                <w:sz w:val="20"/>
                <w:szCs w:val="20"/>
              </w:rPr>
              <w:t>Net revenue:</w:t>
            </w:r>
          </w:p>
        </w:tc>
        <w:tc>
          <w:tcPr>
            <w:tcW w:w="0" w:type="auto"/>
            <w:gridSpan w:val="3"/>
            <w:shd w:val="clear" w:color="auto" w:fill="CCEEFF"/>
            <w:tcMar>
              <w:left w:w="20" w:type="dxa"/>
              <w:right w:w="20" w:type="dxa"/>
            </w:tcMar>
            <w:vAlign w:val="bottom"/>
          </w:tcPr>
          <w:p w14:paraId="33DAF3AB"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3A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3A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3AE"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3AF"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3B0"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3B1"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3B2"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3B3"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3B4"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3B5" w14:textId="77777777" w:rsidR="004D6A64" w:rsidRDefault="004D6A64">
            <w:pPr>
              <w:rPr>
                <w:rFonts w:ascii="宋体"/>
              </w:rPr>
            </w:pPr>
          </w:p>
        </w:tc>
        <w:tc>
          <w:tcPr>
            <w:tcW w:w="0" w:type="auto"/>
            <w:shd w:val="clear" w:color="auto" w:fill="auto"/>
          </w:tcPr>
          <w:p w14:paraId="33DAF3B6" w14:textId="77777777" w:rsidR="004D6A64" w:rsidRDefault="004D6A64">
            <w:pPr>
              <w:rPr>
                <w:rFonts w:ascii="宋体"/>
              </w:rPr>
            </w:pPr>
          </w:p>
        </w:tc>
        <w:tc>
          <w:tcPr>
            <w:tcW w:w="0" w:type="auto"/>
            <w:shd w:val="clear" w:color="auto" w:fill="auto"/>
          </w:tcPr>
          <w:p w14:paraId="33DAF3B7" w14:textId="77777777" w:rsidR="004D6A64" w:rsidRDefault="004D6A64">
            <w:pPr>
              <w:rPr>
                <w:rFonts w:ascii="宋体"/>
              </w:rPr>
            </w:pPr>
          </w:p>
        </w:tc>
        <w:tc>
          <w:tcPr>
            <w:tcW w:w="0" w:type="auto"/>
            <w:shd w:val="clear" w:color="auto" w:fill="auto"/>
          </w:tcPr>
          <w:p w14:paraId="33DAF3B8" w14:textId="77777777" w:rsidR="004D6A64" w:rsidRDefault="004D6A64">
            <w:pPr>
              <w:rPr>
                <w:rFonts w:ascii="宋体"/>
              </w:rPr>
            </w:pPr>
          </w:p>
        </w:tc>
        <w:tc>
          <w:tcPr>
            <w:tcW w:w="0" w:type="auto"/>
            <w:shd w:val="clear" w:color="auto" w:fill="auto"/>
          </w:tcPr>
          <w:p w14:paraId="33DAF3B9" w14:textId="77777777" w:rsidR="004D6A64" w:rsidRDefault="004D6A64">
            <w:pPr>
              <w:rPr>
                <w:rFonts w:ascii="宋体"/>
              </w:rPr>
            </w:pPr>
          </w:p>
        </w:tc>
        <w:tc>
          <w:tcPr>
            <w:tcW w:w="0" w:type="auto"/>
            <w:shd w:val="clear" w:color="auto" w:fill="auto"/>
          </w:tcPr>
          <w:p w14:paraId="33DAF3BA" w14:textId="77777777" w:rsidR="004D6A64" w:rsidRDefault="004D6A64">
            <w:pPr>
              <w:rPr>
                <w:rFonts w:ascii="宋体"/>
              </w:rPr>
            </w:pPr>
          </w:p>
        </w:tc>
        <w:tc>
          <w:tcPr>
            <w:tcW w:w="0" w:type="auto"/>
            <w:shd w:val="clear" w:color="auto" w:fill="auto"/>
          </w:tcPr>
          <w:p w14:paraId="33DAF3BB" w14:textId="77777777" w:rsidR="004D6A64" w:rsidRDefault="004D6A64">
            <w:pPr>
              <w:rPr>
                <w:rFonts w:ascii="宋体"/>
              </w:rPr>
            </w:pPr>
          </w:p>
        </w:tc>
        <w:tc>
          <w:tcPr>
            <w:tcW w:w="0" w:type="auto"/>
            <w:shd w:val="clear" w:color="auto" w:fill="auto"/>
          </w:tcPr>
          <w:p w14:paraId="33DAF3BC" w14:textId="77777777" w:rsidR="004D6A64" w:rsidRDefault="004D6A64">
            <w:pPr>
              <w:rPr>
                <w:rFonts w:ascii="宋体"/>
              </w:rPr>
            </w:pPr>
          </w:p>
        </w:tc>
        <w:tc>
          <w:tcPr>
            <w:tcW w:w="0" w:type="auto"/>
            <w:shd w:val="clear" w:color="auto" w:fill="auto"/>
          </w:tcPr>
          <w:p w14:paraId="33DAF3BD" w14:textId="77777777" w:rsidR="004D6A64" w:rsidRDefault="004D6A64">
            <w:pPr>
              <w:rPr>
                <w:rFonts w:ascii="宋体"/>
              </w:rPr>
            </w:pPr>
          </w:p>
        </w:tc>
        <w:tc>
          <w:tcPr>
            <w:tcW w:w="0" w:type="auto"/>
            <w:shd w:val="clear" w:color="auto" w:fill="auto"/>
          </w:tcPr>
          <w:p w14:paraId="33DAF3BE" w14:textId="77777777" w:rsidR="004D6A64" w:rsidRDefault="004D6A64">
            <w:pPr>
              <w:rPr>
                <w:rFonts w:ascii="宋体"/>
              </w:rPr>
            </w:pPr>
          </w:p>
        </w:tc>
        <w:tc>
          <w:tcPr>
            <w:tcW w:w="0" w:type="auto"/>
            <w:shd w:val="clear" w:color="auto" w:fill="auto"/>
          </w:tcPr>
          <w:p w14:paraId="33DAF3BF" w14:textId="77777777" w:rsidR="004D6A64" w:rsidRDefault="004D6A64">
            <w:pPr>
              <w:rPr>
                <w:rFonts w:ascii="宋体"/>
              </w:rPr>
            </w:pPr>
          </w:p>
        </w:tc>
        <w:tc>
          <w:tcPr>
            <w:tcW w:w="0" w:type="auto"/>
            <w:shd w:val="clear" w:color="auto" w:fill="auto"/>
          </w:tcPr>
          <w:p w14:paraId="33DAF3C0" w14:textId="77777777" w:rsidR="004D6A64" w:rsidRDefault="004D6A64">
            <w:pPr>
              <w:rPr>
                <w:rFonts w:ascii="宋体"/>
              </w:rPr>
            </w:pPr>
          </w:p>
        </w:tc>
        <w:tc>
          <w:tcPr>
            <w:tcW w:w="0" w:type="auto"/>
            <w:shd w:val="clear" w:color="auto" w:fill="auto"/>
          </w:tcPr>
          <w:p w14:paraId="33DAF3C1" w14:textId="77777777" w:rsidR="004D6A64" w:rsidRDefault="004D6A64">
            <w:pPr>
              <w:rPr>
                <w:rFonts w:ascii="宋体"/>
              </w:rPr>
            </w:pPr>
          </w:p>
        </w:tc>
        <w:tc>
          <w:tcPr>
            <w:tcW w:w="0" w:type="auto"/>
            <w:shd w:val="clear" w:color="auto" w:fill="auto"/>
          </w:tcPr>
          <w:p w14:paraId="33DAF3C2" w14:textId="77777777" w:rsidR="004D6A64" w:rsidRDefault="004D6A64">
            <w:pPr>
              <w:rPr>
                <w:rFonts w:ascii="宋体"/>
              </w:rPr>
            </w:pPr>
          </w:p>
        </w:tc>
        <w:tc>
          <w:tcPr>
            <w:tcW w:w="0" w:type="auto"/>
            <w:shd w:val="clear" w:color="auto" w:fill="auto"/>
          </w:tcPr>
          <w:p w14:paraId="33DAF3C3" w14:textId="77777777" w:rsidR="004D6A64" w:rsidRDefault="004D6A64">
            <w:pPr>
              <w:rPr>
                <w:rFonts w:ascii="宋体"/>
              </w:rPr>
            </w:pPr>
          </w:p>
        </w:tc>
        <w:tc>
          <w:tcPr>
            <w:tcW w:w="0" w:type="auto"/>
            <w:shd w:val="clear" w:color="auto" w:fill="auto"/>
          </w:tcPr>
          <w:p w14:paraId="33DAF3C4" w14:textId="77777777" w:rsidR="004D6A64" w:rsidRDefault="004D6A64">
            <w:pPr>
              <w:rPr>
                <w:rFonts w:ascii="宋体"/>
              </w:rPr>
            </w:pPr>
          </w:p>
        </w:tc>
        <w:tc>
          <w:tcPr>
            <w:tcW w:w="0" w:type="auto"/>
            <w:shd w:val="clear" w:color="auto" w:fill="auto"/>
          </w:tcPr>
          <w:p w14:paraId="33DAF3C5" w14:textId="77777777" w:rsidR="004D6A64" w:rsidRDefault="004D6A64">
            <w:pPr>
              <w:rPr>
                <w:rFonts w:ascii="宋体"/>
              </w:rPr>
            </w:pPr>
          </w:p>
        </w:tc>
        <w:tc>
          <w:tcPr>
            <w:tcW w:w="0" w:type="auto"/>
            <w:shd w:val="clear" w:color="auto" w:fill="auto"/>
          </w:tcPr>
          <w:p w14:paraId="33DAF3C6" w14:textId="77777777" w:rsidR="004D6A64" w:rsidRDefault="004D6A64">
            <w:pPr>
              <w:rPr>
                <w:rFonts w:ascii="宋体"/>
              </w:rPr>
            </w:pPr>
          </w:p>
        </w:tc>
        <w:tc>
          <w:tcPr>
            <w:tcW w:w="0" w:type="auto"/>
            <w:shd w:val="clear" w:color="auto" w:fill="auto"/>
          </w:tcPr>
          <w:p w14:paraId="33DAF3C7" w14:textId="77777777" w:rsidR="004D6A64" w:rsidRDefault="004D6A64">
            <w:pPr>
              <w:rPr>
                <w:rFonts w:ascii="宋体"/>
              </w:rPr>
            </w:pPr>
          </w:p>
        </w:tc>
        <w:tc>
          <w:tcPr>
            <w:tcW w:w="0" w:type="auto"/>
            <w:shd w:val="clear" w:color="auto" w:fill="auto"/>
          </w:tcPr>
          <w:p w14:paraId="33DAF3C8" w14:textId="77777777" w:rsidR="004D6A64" w:rsidRDefault="004D6A64">
            <w:pPr>
              <w:rPr>
                <w:rFonts w:ascii="宋体"/>
              </w:rPr>
            </w:pPr>
          </w:p>
        </w:tc>
        <w:tc>
          <w:tcPr>
            <w:tcW w:w="0" w:type="auto"/>
            <w:shd w:val="clear" w:color="auto" w:fill="auto"/>
          </w:tcPr>
          <w:p w14:paraId="33DAF3C9" w14:textId="77777777" w:rsidR="004D6A64" w:rsidRDefault="004D6A64">
            <w:pPr>
              <w:rPr>
                <w:rFonts w:ascii="宋体"/>
              </w:rPr>
            </w:pPr>
          </w:p>
        </w:tc>
        <w:tc>
          <w:tcPr>
            <w:tcW w:w="0" w:type="auto"/>
            <w:shd w:val="clear" w:color="auto" w:fill="auto"/>
          </w:tcPr>
          <w:p w14:paraId="33DAF3CA" w14:textId="77777777" w:rsidR="004D6A64" w:rsidRDefault="004D6A64">
            <w:pPr>
              <w:rPr>
                <w:rFonts w:ascii="宋体"/>
              </w:rPr>
            </w:pPr>
          </w:p>
        </w:tc>
        <w:tc>
          <w:tcPr>
            <w:tcW w:w="0" w:type="auto"/>
            <w:shd w:val="clear" w:color="auto" w:fill="auto"/>
          </w:tcPr>
          <w:p w14:paraId="33DAF3CB" w14:textId="77777777" w:rsidR="004D6A64" w:rsidRDefault="004D6A64">
            <w:pPr>
              <w:rPr>
                <w:rFonts w:ascii="宋体"/>
              </w:rPr>
            </w:pPr>
          </w:p>
        </w:tc>
        <w:tc>
          <w:tcPr>
            <w:tcW w:w="0" w:type="auto"/>
            <w:shd w:val="clear" w:color="auto" w:fill="auto"/>
          </w:tcPr>
          <w:p w14:paraId="33DAF3CC" w14:textId="77777777" w:rsidR="004D6A64" w:rsidRDefault="004D6A64">
            <w:pPr>
              <w:rPr>
                <w:rFonts w:ascii="宋体"/>
              </w:rPr>
            </w:pPr>
          </w:p>
        </w:tc>
        <w:tc>
          <w:tcPr>
            <w:tcW w:w="0" w:type="auto"/>
            <w:shd w:val="clear" w:color="auto" w:fill="auto"/>
          </w:tcPr>
          <w:p w14:paraId="33DAF3CD" w14:textId="77777777" w:rsidR="004D6A64" w:rsidRDefault="004D6A64">
            <w:pPr>
              <w:rPr>
                <w:rFonts w:ascii="宋体"/>
              </w:rPr>
            </w:pPr>
          </w:p>
        </w:tc>
        <w:tc>
          <w:tcPr>
            <w:tcW w:w="0" w:type="auto"/>
            <w:shd w:val="clear" w:color="auto" w:fill="auto"/>
          </w:tcPr>
          <w:p w14:paraId="33DAF3CE" w14:textId="77777777" w:rsidR="004D6A64" w:rsidRDefault="004D6A64">
            <w:pPr>
              <w:rPr>
                <w:rFonts w:ascii="宋体"/>
              </w:rPr>
            </w:pPr>
          </w:p>
        </w:tc>
        <w:tc>
          <w:tcPr>
            <w:tcW w:w="0" w:type="auto"/>
            <w:shd w:val="clear" w:color="auto" w:fill="auto"/>
          </w:tcPr>
          <w:p w14:paraId="33DAF3CF" w14:textId="77777777" w:rsidR="004D6A64" w:rsidRDefault="004D6A64">
            <w:pPr>
              <w:rPr>
                <w:rFonts w:ascii="宋体"/>
              </w:rPr>
            </w:pPr>
          </w:p>
        </w:tc>
        <w:tc>
          <w:tcPr>
            <w:tcW w:w="0" w:type="auto"/>
            <w:shd w:val="clear" w:color="auto" w:fill="auto"/>
          </w:tcPr>
          <w:p w14:paraId="33DAF3D0" w14:textId="77777777" w:rsidR="004D6A64" w:rsidRDefault="004D6A64">
            <w:pPr>
              <w:rPr>
                <w:rFonts w:ascii="宋体"/>
              </w:rPr>
            </w:pPr>
          </w:p>
        </w:tc>
      </w:tr>
      <w:tr w:rsidR="004D6A64" w14:paraId="33DAF403" w14:textId="77777777">
        <w:tc>
          <w:tcPr>
            <w:tcW w:w="0" w:type="auto"/>
            <w:gridSpan w:val="3"/>
            <w:shd w:val="clear" w:color="auto" w:fill="FFFFFF"/>
            <w:tcMar>
              <w:top w:w="40" w:type="dxa"/>
              <w:left w:w="135" w:type="dxa"/>
              <w:bottom w:w="40" w:type="dxa"/>
              <w:right w:w="20" w:type="dxa"/>
            </w:tcMar>
            <w:vAlign w:val="center"/>
          </w:tcPr>
          <w:p w14:paraId="33DAF3D2" w14:textId="77777777" w:rsidR="004D6A64" w:rsidRDefault="00506CD6">
            <w:pPr>
              <w:textAlignment w:val="center"/>
            </w:pPr>
            <w:r>
              <w:rPr>
                <w:rFonts w:ascii="Times New Roman" w:eastAsia="宋体" w:hAnsi="Times New Roman"/>
                <w:color w:val="000000"/>
                <w:sz w:val="20"/>
                <w:szCs w:val="20"/>
              </w:rPr>
              <w:t>Commercial</w:t>
            </w:r>
          </w:p>
        </w:tc>
        <w:tc>
          <w:tcPr>
            <w:tcW w:w="0" w:type="auto"/>
            <w:shd w:val="clear" w:color="auto" w:fill="FFFFFF"/>
            <w:tcMar>
              <w:top w:w="40" w:type="dxa"/>
              <w:left w:w="20" w:type="dxa"/>
              <w:bottom w:w="40" w:type="dxa"/>
            </w:tcMar>
            <w:vAlign w:val="center"/>
          </w:tcPr>
          <w:p w14:paraId="33DAF3D3"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F3D4" w14:textId="77777777" w:rsidR="004D6A64" w:rsidRDefault="00506CD6">
            <w:pPr>
              <w:jc w:val="right"/>
              <w:textAlignment w:val="center"/>
            </w:pPr>
            <w:r>
              <w:rPr>
                <w:rFonts w:ascii="Times New Roman" w:eastAsia="宋体" w:hAnsi="Times New Roman"/>
                <w:color w:val="000000"/>
                <w:sz w:val="20"/>
                <w:szCs w:val="20"/>
              </w:rPr>
              <w:t>8,039 </w:t>
            </w:r>
          </w:p>
        </w:tc>
        <w:tc>
          <w:tcPr>
            <w:tcW w:w="0" w:type="auto"/>
            <w:shd w:val="clear" w:color="auto" w:fill="FFFFFF"/>
            <w:tcMar>
              <w:top w:w="40" w:type="dxa"/>
              <w:bottom w:w="40" w:type="dxa"/>
              <w:right w:w="20" w:type="dxa"/>
            </w:tcMar>
            <w:vAlign w:val="center"/>
          </w:tcPr>
          <w:p w14:paraId="33DAF3D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3D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F3D7" w14:textId="77777777" w:rsidR="004D6A64" w:rsidRDefault="00506CD6">
            <w:pPr>
              <w:jc w:val="right"/>
              <w:textAlignment w:val="center"/>
            </w:pPr>
            <w:r>
              <w:rPr>
                <w:rFonts w:ascii="Times New Roman" w:eastAsia="宋体" w:hAnsi="Times New Roman"/>
                <w:color w:val="000000"/>
                <w:sz w:val="20"/>
                <w:szCs w:val="20"/>
              </w:rPr>
              <w:t>(11)</w:t>
            </w:r>
          </w:p>
        </w:tc>
        <w:tc>
          <w:tcPr>
            <w:tcW w:w="0" w:type="auto"/>
            <w:shd w:val="clear" w:color="auto" w:fill="FFFFFF"/>
            <w:tcMar>
              <w:top w:w="40" w:type="dxa"/>
              <w:bottom w:w="40" w:type="dxa"/>
              <w:right w:w="20" w:type="dxa"/>
            </w:tcMar>
            <w:vAlign w:val="center"/>
          </w:tcPr>
          <w:p w14:paraId="33DAF3D8"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F3D9"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F3DA"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F3DB" w14:textId="77777777" w:rsidR="004D6A64" w:rsidRDefault="00506CD6">
            <w:pPr>
              <w:jc w:val="right"/>
              <w:textAlignment w:val="center"/>
            </w:pPr>
            <w:r>
              <w:rPr>
                <w:rFonts w:ascii="Times New Roman" w:eastAsia="宋体" w:hAnsi="Times New Roman"/>
                <w:color w:val="000000"/>
                <w:sz w:val="20"/>
                <w:szCs w:val="20"/>
              </w:rPr>
              <w:t>9,077 </w:t>
            </w:r>
          </w:p>
        </w:tc>
        <w:tc>
          <w:tcPr>
            <w:tcW w:w="0" w:type="auto"/>
            <w:shd w:val="clear" w:color="auto" w:fill="FFFFFF"/>
            <w:tcMar>
              <w:top w:w="40" w:type="dxa"/>
              <w:bottom w:w="40" w:type="dxa"/>
              <w:right w:w="20" w:type="dxa"/>
            </w:tcMar>
            <w:vAlign w:val="center"/>
          </w:tcPr>
          <w:p w14:paraId="33DAF3D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3DD"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F3DE"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F3DF" w14:textId="77777777" w:rsidR="004D6A64" w:rsidRDefault="00506CD6">
            <w:pPr>
              <w:jc w:val="right"/>
              <w:textAlignment w:val="center"/>
            </w:pPr>
            <w:r>
              <w:rPr>
                <w:rFonts w:ascii="Times New Roman" w:eastAsia="宋体" w:hAnsi="Times New Roman"/>
                <w:color w:val="000000"/>
                <w:sz w:val="20"/>
                <w:szCs w:val="20"/>
              </w:rPr>
              <w:t>16,673 </w:t>
            </w:r>
          </w:p>
        </w:tc>
        <w:tc>
          <w:tcPr>
            <w:tcW w:w="0" w:type="auto"/>
            <w:shd w:val="clear" w:color="auto" w:fill="FFFFFF"/>
            <w:tcMar>
              <w:top w:w="40" w:type="dxa"/>
              <w:bottom w:w="40" w:type="dxa"/>
              <w:right w:w="20" w:type="dxa"/>
            </w:tcMar>
            <w:vAlign w:val="center"/>
          </w:tcPr>
          <w:p w14:paraId="33DAF3E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3E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F3E2" w14:textId="77777777" w:rsidR="004D6A64" w:rsidRDefault="00506CD6">
            <w:pPr>
              <w:jc w:val="right"/>
              <w:textAlignment w:val="center"/>
            </w:pPr>
            <w:r>
              <w:rPr>
                <w:rFonts w:ascii="Times New Roman" w:eastAsia="宋体" w:hAnsi="Times New Roman"/>
                <w:color w:val="000000"/>
                <w:sz w:val="20"/>
                <w:szCs w:val="20"/>
              </w:rPr>
              <w:t>(4)</w:t>
            </w:r>
          </w:p>
        </w:tc>
        <w:tc>
          <w:tcPr>
            <w:tcW w:w="0" w:type="auto"/>
            <w:shd w:val="clear" w:color="auto" w:fill="FFFFFF"/>
            <w:tcMar>
              <w:top w:w="40" w:type="dxa"/>
              <w:bottom w:w="40" w:type="dxa"/>
              <w:right w:w="20" w:type="dxa"/>
            </w:tcMar>
            <w:vAlign w:val="center"/>
          </w:tcPr>
          <w:p w14:paraId="33DAF3E3"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F3E4"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F3E5"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F3E6" w14:textId="77777777" w:rsidR="004D6A64" w:rsidRDefault="00506CD6">
            <w:pPr>
              <w:jc w:val="right"/>
              <w:textAlignment w:val="center"/>
            </w:pPr>
            <w:r>
              <w:rPr>
                <w:rFonts w:ascii="Times New Roman" w:eastAsia="宋体" w:hAnsi="Times New Roman"/>
                <w:color w:val="000000"/>
                <w:sz w:val="20"/>
                <w:szCs w:val="20"/>
              </w:rPr>
              <w:t>17,384 </w:t>
            </w:r>
          </w:p>
        </w:tc>
        <w:tc>
          <w:tcPr>
            <w:tcW w:w="0" w:type="auto"/>
            <w:shd w:val="clear" w:color="auto" w:fill="FFFFFF"/>
            <w:tcMar>
              <w:top w:w="40" w:type="dxa"/>
              <w:bottom w:w="40" w:type="dxa"/>
              <w:right w:w="20" w:type="dxa"/>
            </w:tcMar>
            <w:vAlign w:val="center"/>
          </w:tcPr>
          <w:p w14:paraId="33DAF3E7" w14:textId="77777777" w:rsidR="004D6A64" w:rsidRDefault="004D6A64">
            <w:pPr>
              <w:jc w:val="right"/>
              <w:rPr>
                <w:rFonts w:ascii="宋体"/>
              </w:rPr>
            </w:pPr>
          </w:p>
        </w:tc>
        <w:tc>
          <w:tcPr>
            <w:tcW w:w="0" w:type="auto"/>
            <w:shd w:val="clear" w:color="auto" w:fill="auto"/>
          </w:tcPr>
          <w:p w14:paraId="33DAF3E8" w14:textId="77777777" w:rsidR="004D6A64" w:rsidRDefault="004D6A64">
            <w:pPr>
              <w:rPr>
                <w:rFonts w:ascii="宋体"/>
              </w:rPr>
            </w:pPr>
          </w:p>
        </w:tc>
        <w:tc>
          <w:tcPr>
            <w:tcW w:w="0" w:type="auto"/>
            <w:shd w:val="clear" w:color="auto" w:fill="auto"/>
          </w:tcPr>
          <w:p w14:paraId="33DAF3E9" w14:textId="77777777" w:rsidR="004D6A64" w:rsidRDefault="004D6A64">
            <w:pPr>
              <w:rPr>
                <w:rFonts w:ascii="宋体"/>
              </w:rPr>
            </w:pPr>
          </w:p>
        </w:tc>
        <w:tc>
          <w:tcPr>
            <w:tcW w:w="0" w:type="auto"/>
            <w:shd w:val="clear" w:color="auto" w:fill="auto"/>
          </w:tcPr>
          <w:p w14:paraId="33DAF3EA" w14:textId="77777777" w:rsidR="004D6A64" w:rsidRDefault="004D6A64">
            <w:pPr>
              <w:rPr>
                <w:rFonts w:ascii="宋体"/>
              </w:rPr>
            </w:pPr>
          </w:p>
        </w:tc>
        <w:tc>
          <w:tcPr>
            <w:tcW w:w="0" w:type="auto"/>
            <w:shd w:val="clear" w:color="auto" w:fill="auto"/>
          </w:tcPr>
          <w:p w14:paraId="33DAF3EB" w14:textId="77777777" w:rsidR="004D6A64" w:rsidRDefault="004D6A64">
            <w:pPr>
              <w:rPr>
                <w:rFonts w:ascii="宋体"/>
              </w:rPr>
            </w:pPr>
          </w:p>
        </w:tc>
        <w:tc>
          <w:tcPr>
            <w:tcW w:w="0" w:type="auto"/>
            <w:shd w:val="clear" w:color="auto" w:fill="auto"/>
          </w:tcPr>
          <w:p w14:paraId="33DAF3EC" w14:textId="77777777" w:rsidR="004D6A64" w:rsidRDefault="004D6A64">
            <w:pPr>
              <w:rPr>
                <w:rFonts w:ascii="宋体"/>
              </w:rPr>
            </w:pPr>
          </w:p>
        </w:tc>
        <w:tc>
          <w:tcPr>
            <w:tcW w:w="0" w:type="auto"/>
            <w:shd w:val="clear" w:color="auto" w:fill="auto"/>
          </w:tcPr>
          <w:p w14:paraId="33DAF3ED" w14:textId="77777777" w:rsidR="004D6A64" w:rsidRDefault="004D6A64">
            <w:pPr>
              <w:rPr>
                <w:rFonts w:ascii="宋体"/>
              </w:rPr>
            </w:pPr>
          </w:p>
        </w:tc>
        <w:tc>
          <w:tcPr>
            <w:tcW w:w="0" w:type="auto"/>
            <w:shd w:val="clear" w:color="auto" w:fill="auto"/>
          </w:tcPr>
          <w:p w14:paraId="33DAF3EE" w14:textId="77777777" w:rsidR="004D6A64" w:rsidRDefault="004D6A64">
            <w:pPr>
              <w:rPr>
                <w:rFonts w:ascii="宋体"/>
              </w:rPr>
            </w:pPr>
          </w:p>
        </w:tc>
        <w:tc>
          <w:tcPr>
            <w:tcW w:w="0" w:type="auto"/>
            <w:shd w:val="clear" w:color="auto" w:fill="auto"/>
          </w:tcPr>
          <w:p w14:paraId="33DAF3EF" w14:textId="77777777" w:rsidR="004D6A64" w:rsidRDefault="004D6A64">
            <w:pPr>
              <w:rPr>
                <w:rFonts w:ascii="宋体"/>
              </w:rPr>
            </w:pPr>
          </w:p>
        </w:tc>
        <w:tc>
          <w:tcPr>
            <w:tcW w:w="0" w:type="auto"/>
            <w:shd w:val="clear" w:color="auto" w:fill="auto"/>
          </w:tcPr>
          <w:p w14:paraId="33DAF3F0" w14:textId="77777777" w:rsidR="004D6A64" w:rsidRDefault="004D6A64">
            <w:pPr>
              <w:rPr>
                <w:rFonts w:ascii="宋体"/>
              </w:rPr>
            </w:pPr>
          </w:p>
        </w:tc>
        <w:tc>
          <w:tcPr>
            <w:tcW w:w="0" w:type="auto"/>
            <w:shd w:val="clear" w:color="auto" w:fill="auto"/>
          </w:tcPr>
          <w:p w14:paraId="33DAF3F1" w14:textId="77777777" w:rsidR="004D6A64" w:rsidRDefault="004D6A64">
            <w:pPr>
              <w:rPr>
                <w:rFonts w:ascii="宋体"/>
              </w:rPr>
            </w:pPr>
          </w:p>
        </w:tc>
        <w:tc>
          <w:tcPr>
            <w:tcW w:w="0" w:type="auto"/>
            <w:shd w:val="clear" w:color="auto" w:fill="auto"/>
          </w:tcPr>
          <w:p w14:paraId="33DAF3F2" w14:textId="77777777" w:rsidR="004D6A64" w:rsidRDefault="004D6A64">
            <w:pPr>
              <w:rPr>
                <w:rFonts w:ascii="宋体"/>
              </w:rPr>
            </w:pPr>
          </w:p>
        </w:tc>
        <w:tc>
          <w:tcPr>
            <w:tcW w:w="0" w:type="auto"/>
            <w:shd w:val="clear" w:color="auto" w:fill="auto"/>
          </w:tcPr>
          <w:p w14:paraId="33DAF3F3" w14:textId="77777777" w:rsidR="004D6A64" w:rsidRDefault="004D6A64">
            <w:pPr>
              <w:rPr>
                <w:rFonts w:ascii="宋体"/>
              </w:rPr>
            </w:pPr>
          </w:p>
        </w:tc>
        <w:tc>
          <w:tcPr>
            <w:tcW w:w="0" w:type="auto"/>
            <w:shd w:val="clear" w:color="auto" w:fill="auto"/>
          </w:tcPr>
          <w:p w14:paraId="33DAF3F4" w14:textId="77777777" w:rsidR="004D6A64" w:rsidRDefault="004D6A64">
            <w:pPr>
              <w:rPr>
                <w:rFonts w:ascii="宋体"/>
              </w:rPr>
            </w:pPr>
          </w:p>
        </w:tc>
        <w:tc>
          <w:tcPr>
            <w:tcW w:w="0" w:type="auto"/>
            <w:shd w:val="clear" w:color="auto" w:fill="auto"/>
          </w:tcPr>
          <w:p w14:paraId="33DAF3F5" w14:textId="77777777" w:rsidR="004D6A64" w:rsidRDefault="004D6A64">
            <w:pPr>
              <w:rPr>
                <w:rFonts w:ascii="宋体"/>
              </w:rPr>
            </w:pPr>
          </w:p>
        </w:tc>
        <w:tc>
          <w:tcPr>
            <w:tcW w:w="0" w:type="auto"/>
            <w:shd w:val="clear" w:color="auto" w:fill="auto"/>
          </w:tcPr>
          <w:p w14:paraId="33DAF3F6" w14:textId="77777777" w:rsidR="004D6A64" w:rsidRDefault="004D6A64">
            <w:pPr>
              <w:rPr>
                <w:rFonts w:ascii="宋体"/>
              </w:rPr>
            </w:pPr>
          </w:p>
        </w:tc>
        <w:tc>
          <w:tcPr>
            <w:tcW w:w="0" w:type="auto"/>
            <w:shd w:val="clear" w:color="auto" w:fill="auto"/>
          </w:tcPr>
          <w:p w14:paraId="33DAF3F7" w14:textId="77777777" w:rsidR="004D6A64" w:rsidRDefault="004D6A64">
            <w:pPr>
              <w:rPr>
                <w:rFonts w:ascii="宋体"/>
              </w:rPr>
            </w:pPr>
          </w:p>
        </w:tc>
        <w:tc>
          <w:tcPr>
            <w:tcW w:w="0" w:type="auto"/>
            <w:shd w:val="clear" w:color="auto" w:fill="auto"/>
          </w:tcPr>
          <w:p w14:paraId="33DAF3F8" w14:textId="77777777" w:rsidR="004D6A64" w:rsidRDefault="004D6A64">
            <w:pPr>
              <w:rPr>
                <w:rFonts w:ascii="宋体"/>
              </w:rPr>
            </w:pPr>
          </w:p>
        </w:tc>
        <w:tc>
          <w:tcPr>
            <w:tcW w:w="0" w:type="auto"/>
            <w:shd w:val="clear" w:color="auto" w:fill="auto"/>
          </w:tcPr>
          <w:p w14:paraId="33DAF3F9" w14:textId="77777777" w:rsidR="004D6A64" w:rsidRDefault="004D6A64">
            <w:pPr>
              <w:rPr>
                <w:rFonts w:ascii="宋体"/>
              </w:rPr>
            </w:pPr>
          </w:p>
        </w:tc>
        <w:tc>
          <w:tcPr>
            <w:tcW w:w="0" w:type="auto"/>
            <w:shd w:val="clear" w:color="auto" w:fill="auto"/>
          </w:tcPr>
          <w:p w14:paraId="33DAF3FA" w14:textId="77777777" w:rsidR="004D6A64" w:rsidRDefault="004D6A64">
            <w:pPr>
              <w:rPr>
                <w:rFonts w:ascii="宋体"/>
              </w:rPr>
            </w:pPr>
          </w:p>
        </w:tc>
        <w:tc>
          <w:tcPr>
            <w:tcW w:w="0" w:type="auto"/>
            <w:shd w:val="clear" w:color="auto" w:fill="auto"/>
          </w:tcPr>
          <w:p w14:paraId="33DAF3FB" w14:textId="77777777" w:rsidR="004D6A64" w:rsidRDefault="004D6A64">
            <w:pPr>
              <w:rPr>
                <w:rFonts w:ascii="宋体"/>
              </w:rPr>
            </w:pPr>
          </w:p>
        </w:tc>
        <w:tc>
          <w:tcPr>
            <w:tcW w:w="0" w:type="auto"/>
            <w:shd w:val="clear" w:color="auto" w:fill="auto"/>
          </w:tcPr>
          <w:p w14:paraId="33DAF3FC" w14:textId="77777777" w:rsidR="004D6A64" w:rsidRDefault="004D6A64">
            <w:pPr>
              <w:rPr>
                <w:rFonts w:ascii="宋体"/>
              </w:rPr>
            </w:pPr>
          </w:p>
        </w:tc>
        <w:tc>
          <w:tcPr>
            <w:tcW w:w="0" w:type="auto"/>
            <w:shd w:val="clear" w:color="auto" w:fill="auto"/>
          </w:tcPr>
          <w:p w14:paraId="33DAF3FD" w14:textId="77777777" w:rsidR="004D6A64" w:rsidRDefault="004D6A64">
            <w:pPr>
              <w:rPr>
                <w:rFonts w:ascii="宋体"/>
              </w:rPr>
            </w:pPr>
          </w:p>
        </w:tc>
        <w:tc>
          <w:tcPr>
            <w:tcW w:w="0" w:type="auto"/>
            <w:shd w:val="clear" w:color="auto" w:fill="auto"/>
          </w:tcPr>
          <w:p w14:paraId="33DAF3FE" w14:textId="77777777" w:rsidR="004D6A64" w:rsidRDefault="004D6A64">
            <w:pPr>
              <w:rPr>
                <w:rFonts w:ascii="宋体"/>
              </w:rPr>
            </w:pPr>
          </w:p>
        </w:tc>
        <w:tc>
          <w:tcPr>
            <w:tcW w:w="0" w:type="auto"/>
            <w:shd w:val="clear" w:color="auto" w:fill="auto"/>
          </w:tcPr>
          <w:p w14:paraId="33DAF3FF" w14:textId="77777777" w:rsidR="004D6A64" w:rsidRDefault="004D6A64">
            <w:pPr>
              <w:rPr>
                <w:rFonts w:ascii="宋体"/>
              </w:rPr>
            </w:pPr>
          </w:p>
        </w:tc>
        <w:tc>
          <w:tcPr>
            <w:tcW w:w="0" w:type="auto"/>
            <w:shd w:val="clear" w:color="auto" w:fill="auto"/>
          </w:tcPr>
          <w:p w14:paraId="33DAF400" w14:textId="77777777" w:rsidR="004D6A64" w:rsidRDefault="004D6A64">
            <w:pPr>
              <w:rPr>
                <w:rFonts w:ascii="宋体"/>
              </w:rPr>
            </w:pPr>
          </w:p>
        </w:tc>
        <w:tc>
          <w:tcPr>
            <w:tcW w:w="0" w:type="auto"/>
            <w:shd w:val="clear" w:color="auto" w:fill="auto"/>
          </w:tcPr>
          <w:p w14:paraId="33DAF401" w14:textId="77777777" w:rsidR="004D6A64" w:rsidRDefault="004D6A64">
            <w:pPr>
              <w:rPr>
                <w:rFonts w:ascii="宋体"/>
              </w:rPr>
            </w:pPr>
          </w:p>
        </w:tc>
        <w:tc>
          <w:tcPr>
            <w:tcW w:w="0" w:type="auto"/>
            <w:shd w:val="clear" w:color="auto" w:fill="auto"/>
          </w:tcPr>
          <w:p w14:paraId="33DAF402" w14:textId="77777777" w:rsidR="004D6A64" w:rsidRDefault="004D6A64">
            <w:pPr>
              <w:rPr>
                <w:rFonts w:ascii="宋体"/>
              </w:rPr>
            </w:pPr>
          </w:p>
        </w:tc>
      </w:tr>
      <w:tr w:rsidR="004D6A64" w14:paraId="33DAF431" w14:textId="77777777">
        <w:tc>
          <w:tcPr>
            <w:tcW w:w="0" w:type="auto"/>
            <w:gridSpan w:val="3"/>
            <w:shd w:val="clear" w:color="auto" w:fill="CCEEFF"/>
            <w:tcMar>
              <w:top w:w="40" w:type="dxa"/>
              <w:left w:w="135" w:type="dxa"/>
              <w:bottom w:w="40" w:type="dxa"/>
              <w:right w:w="20" w:type="dxa"/>
            </w:tcMar>
            <w:vAlign w:val="center"/>
          </w:tcPr>
          <w:p w14:paraId="33DAF404" w14:textId="77777777" w:rsidR="004D6A64" w:rsidRDefault="00506CD6">
            <w:pPr>
              <w:textAlignment w:val="center"/>
            </w:pPr>
            <w:r>
              <w:rPr>
                <w:rFonts w:ascii="Times New Roman" w:eastAsia="宋体" w:hAnsi="Times New Roman"/>
                <w:color w:val="000000"/>
                <w:sz w:val="20"/>
                <w:szCs w:val="20"/>
              </w:rPr>
              <w:t>Consumer</w:t>
            </w:r>
          </w:p>
        </w:tc>
        <w:tc>
          <w:tcPr>
            <w:tcW w:w="0" w:type="auto"/>
            <w:gridSpan w:val="2"/>
            <w:shd w:val="clear" w:color="auto" w:fill="CCEEFF"/>
            <w:tcMar>
              <w:top w:w="40" w:type="dxa"/>
              <w:left w:w="20" w:type="dxa"/>
              <w:bottom w:w="40" w:type="dxa"/>
              <w:right w:w="0" w:type="dxa"/>
            </w:tcMar>
            <w:vAlign w:val="center"/>
          </w:tcPr>
          <w:p w14:paraId="33DAF405" w14:textId="77777777" w:rsidR="004D6A64" w:rsidRDefault="00506CD6">
            <w:pPr>
              <w:jc w:val="right"/>
              <w:textAlignment w:val="center"/>
            </w:pPr>
            <w:r>
              <w:rPr>
                <w:rFonts w:ascii="Times New Roman" w:eastAsia="宋体" w:hAnsi="Times New Roman"/>
                <w:color w:val="000000"/>
                <w:sz w:val="20"/>
                <w:szCs w:val="20"/>
              </w:rPr>
              <w:t>3,164 </w:t>
            </w:r>
          </w:p>
        </w:tc>
        <w:tc>
          <w:tcPr>
            <w:tcW w:w="0" w:type="auto"/>
            <w:shd w:val="clear" w:color="auto" w:fill="CCEEFF"/>
            <w:tcMar>
              <w:top w:w="40" w:type="dxa"/>
              <w:bottom w:w="40" w:type="dxa"/>
              <w:right w:w="20" w:type="dxa"/>
            </w:tcMar>
            <w:vAlign w:val="center"/>
          </w:tcPr>
          <w:p w14:paraId="33DAF40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407"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408" w14:textId="77777777" w:rsidR="004D6A64" w:rsidRDefault="00506CD6">
            <w:pPr>
              <w:jc w:val="right"/>
              <w:textAlignment w:val="center"/>
            </w:pPr>
            <w:r>
              <w:rPr>
                <w:rFonts w:ascii="Times New Roman" w:eastAsia="宋体" w:hAnsi="Times New Roman"/>
                <w:color w:val="000000"/>
                <w:sz w:val="20"/>
                <w:szCs w:val="20"/>
              </w:rPr>
              <w:t>18 </w:t>
            </w:r>
          </w:p>
        </w:tc>
        <w:tc>
          <w:tcPr>
            <w:tcW w:w="0" w:type="auto"/>
            <w:shd w:val="clear" w:color="auto" w:fill="CCEEFF"/>
            <w:tcMar>
              <w:top w:w="40" w:type="dxa"/>
              <w:bottom w:w="40" w:type="dxa"/>
              <w:right w:w="20" w:type="dxa"/>
            </w:tcMar>
            <w:vAlign w:val="center"/>
          </w:tcPr>
          <w:p w14:paraId="33DAF409"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F40A"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40B" w14:textId="77777777" w:rsidR="004D6A64" w:rsidRDefault="00506CD6">
            <w:pPr>
              <w:jc w:val="right"/>
              <w:textAlignment w:val="center"/>
            </w:pPr>
            <w:r>
              <w:rPr>
                <w:rFonts w:ascii="Times New Roman" w:eastAsia="宋体" w:hAnsi="Times New Roman"/>
                <w:color w:val="000000"/>
                <w:sz w:val="20"/>
                <w:szCs w:val="20"/>
              </w:rPr>
              <w:t>2,671 </w:t>
            </w:r>
          </w:p>
        </w:tc>
        <w:tc>
          <w:tcPr>
            <w:tcW w:w="0" w:type="auto"/>
            <w:shd w:val="clear" w:color="auto" w:fill="CCEEFF"/>
            <w:tcMar>
              <w:top w:w="40" w:type="dxa"/>
              <w:bottom w:w="40" w:type="dxa"/>
              <w:right w:w="20" w:type="dxa"/>
            </w:tcMar>
            <w:vAlign w:val="center"/>
          </w:tcPr>
          <w:p w14:paraId="33DAF40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40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40E" w14:textId="77777777" w:rsidR="004D6A64" w:rsidRDefault="00506CD6">
            <w:pPr>
              <w:jc w:val="right"/>
              <w:textAlignment w:val="center"/>
            </w:pPr>
            <w:r>
              <w:rPr>
                <w:rFonts w:ascii="Times New Roman" w:eastAsia="宋体" w:hAnsi="Times New Roman"/>
                <w:color w:val="000000"/>
                <w:sz w:val="20"/>
                <w:szCs w:val="20"/>
              </w:rPr>
              <w:t>5,634 </w:t>
            </w:r>
          </w:p>
        </w:tc>
        <w:tc>
          <w:tcPr>
            <w:tcW w:w="0" w:type="auto"/>
            <w:shd w:val="clear" w:color="auto" w:fill="CCEEFF"/>
            <w:tcMar>
              <w:top w:w="40" w:type="dxa"/>
              <w:bottom w:w="40" w:type="dxa"/>
              <w:right w:w="20" w:type="dxa"/>
            </w:tcMar>
            <w:vAlign w:val="center"/>
          </w:tcPr>
          <w:p w14:paraId="33DAF40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410"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411" w14:textId="77777777" w:rsidR="004D6A64" w:rsidRDefault="00506CD6">
            <w:pPr>
              <w:jc w:val="right"/>
              <w:textAlignment w:val="center"/>
            </w:pPr>
            <w:r>
              <w:rPr>
                <w:rFonts w:ascii="Times New Roman" w:eastAsia="宋体" w:hAnsi="Times New Roman"/>
                <w:color w:val="000000"/>
                <w:sz w:val="20"/>
                <w:szCs w:val="20"/>
              </w:rPr>
              <w:t>7 </w:t>
            </w:r>
          </w:p>
        </w:tc>
        <w:tc>
          <w:tcPr>
            <w:tcW w:w="0" w:type="auto"/>
            <w:shd w:val="clear" w:color="auto" w:fill="CCEEFF"/>
            <w:tcMar>
              <w:top w:w="40" w:type="dxa"/>
              <w:bottom w:w="40" w:type="dxa"/>
              <w:right w:w="20" w:type="dxa"/>
            </w:tcMar>
            <w:vAlign w:val="center"/>
          </w:tcPr>
          <w:p w14:paraId="33DAF412"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F41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414" w14:textId="77777777" w:rsidR="004D6A64" w:rsidRDefault="00506CD6">
            <w:pPr>
              <w:jc w:val="right"/>
              <w:textAlignment w:val="center"/>
            </w:pPr>
            <w:r>
              <w:rPr>
                <w:rFonts w:ascii="Times New Roman" w:eastAsia="宋体" w:hAnsi="Times New Roman"/>
                <w:color w:val="000000"/>
                <w:sz w:val="20"/>
                <w:szCs w:val="20"/>
              </w:rPr>
              <w:t>5,274 </w:t>
            </w:r>
          </w:p>
        </w:tc>
        <w:tc>
          <w:tcPr>
            <w:tcW w:w="0" w:type="auto"/>
            <w:shd w:val="clear" w:color="auto" w:fill="CCEEFF"/>
            <w:tcMar>
              <w:top w:w="40" w:type="dxa"/>
              <w:bottom w:w="40" w:type="dxa"/>
              <w:right w:w="20" w:type="dxa"/>
            </w:tcMar>
            <w:vAlign w:val="center"/>
          </w:tcPr>
          <w:p w14:paraId="33DAF415" w14:textId="77777777" w:rsidR="004D6A64" w:rsidRDefault="004D6A64">
            <w:pPr>
              <w:jc w:val="right"/>
              <w:rPr>
                <w:rFonts w:ascii="宋体"/>
              </w:rPr>
            </w:pPr>
          </w:p>
        </w:tc>
        <w:tc>
          <w:tcPr>
            <w:tcW w:w="0" w:type="auto"/>
            <w:shd w:val="clear" w:color="auto" w:fill="auto"/>
          </w:tcPr>
          <w:p w14:paraId="33DAF416" w14:textId="77777777" w:rsidR="004D6A64" w:rsidRDefault="004D6A64">
            <w:pPr>
              <w:rPr>
                <w:rFonts w:ascii="宋体"/>
              </w:rPr>
            </w:pPr>
          </w:p>
        </w:tc>
        <w:tc>
          <w:tcPr>
            <w:tcW w:w="0" w:type="auto"/>
            <w:shd w:val="clear" w:color="auto" w:fill="auto"/>
          </w:tcPr>
          <w:p w14:paraId="33DAF417" w14:textId="77777777" w:rsidR="004D6A64" w:rsidRDefault="004D6A64">
            <w:pPr>
              <w:rPr>
                <w:rFonts w:ascii="宋体"/>
              </w:rPr>
            </w:pPr>
          </w:p>
        </w:tc>
        <w:tc>
          <w:tcPr>
            <w:tcW w:w="0" w:type="auto"/>
            <w:shd w:val="clear" w:color="auto" w:fill="auto"/>
          </w:tcPr>
          <w:p w14:paraId="33DAF418" w14:textId="77777777" w:rsidR="004D6A64" w:rsidRDefault="004D6A64">
            <w:pPr>
              <w:rPr>
                <w:rFonts w:ascii="宋体"/>
              </w:rPr>
            </w:pPr>
          </w:p>
        </w:tc>
        <w:tc>
          <w:tcPr>
            <w:tcW w:w="0" w:type="auto"/>
            <w:shd w:val="clear" w:color="auto" w:fill="auto"/>
          </w:tcPr>
          <w:p w14:paraId="33DAF419" w14:textId="77777777" w:rsidR="004D6A64" w:rsidRDefault="004D6A64">
            <w:pPr>
              <w:rPr>
                <w:rFonts w:ascii="宋体"/>
              </w:rPr>
            </w:pPr>
          </w:p>
        </w:tc>
        <w:tc>
          <w:tcPr>
            <w:tcW w:w="0" w:type="auto"/>
            <w:shd w:val="clear" w:color="auto" w:fill="auto"/>
          </w:tcPr>
          <w:p w14:paraId="33DAF41A" w14:textId="77777777" w:rsidR="004D6A64" w:rsidRDefault="004D6A64">
            <w:pPr>
              <w:rPr>
                <w:rFonts w:ascii="宋体"/>
              </w:rPr>
            </w:pPr>
          </w:p>
        </w:tc>
        <w:tc>
          <w:tcPr>
            <w:tcW w:w="0" w:type="auto"/>
            <w:shd w:val="clear" w:color="auto" w:fill="auto"/>
          </w:tcPr>
          <w:p w14:paraId="33DAF41B" w14:textId="77777777" w:rsidR="004D6A64" w:rsidRDefault="004D6A64">
            <w:pPr>
              <w:rPr>
                <w:rFonts w:ascii="宋体"/>
              </w:rPr>
            </w:pPr>
          </w:p>
        </w:tc>
        <w:tc>
          <w:tcPr>
            <w:tcW w:w="0" w:type="auto"/>
            <w:shd w:val="clear" w:color="auto" w:fill="auto"/>
          </w:tcPr>
          <w:p w14:paraId="33DAF41C" w14:textId="77777777" w:rsidR="004D6A64" w:rsidRDefault="004D6A64">
            <w:pPr>
              <w:rPr>
                <w:rFonts w:ascii="宋体"/>
              </w:rPr>
            </w:pPr>
          </w:p>
        </w:tc>
        <w:tc>
          <w:tcPr>
            <w:tcW w:w="0" w:type="auto"/>
            <w:shd w:val="clear" w:color="auto" w:fill="auto"/>
          </w:tcPr>
          <w:p w14:paraId="33DAF41D" w14:textId="77777777" w:rsidR="004D6A64" w:rsidRDefault="004D6A64">
            <w:pPr>
              <w:rPr>
                <w:rFonts w:ascii="宋体"/>
              </w:rPr>
            </w:pPr>
          </w:p>
        </w:tc>
        <w:tc>
          <w:tcPr>
            <w:tcW w:w="0" w:type="auto"/>
            <w:shd w:val="clear" w:color="auto" w:fill="auto"/>
          </w:tcPr>
          <w:p w14:paraId="33DAF41E" w14:textId="77777777" w:rsidR="004D6A64" w:rsidRDefault="004D6A64">
            <w:pPr>
              <w:rPr>
                <w:rFonts w:ascii="宋体"/>
              </w:rPr>
            </w:pPr>
          </w:p>
        </w:tc>
        <w:tc>
          <w:tcPr>
            <w:tcW w:w="0" w:type="auto"/>
            <w:shd w:val="clear" w:color="auto" w:fill="auto"/>
          </w:tcPr>
          <w:p w14:paraId="33DAF41F" w14:textId="77777777" w:rsidR="004D6A64" w:rsidRDefault="004D6A64">
            <w:pPr>
              <w:rPr>
                <w:rFonts w:ascii="宋体"/>
              </w:rPr>
            </w:pPr>
          </w:p>
        </w:tc>
        <w:tc>
          <w:tcPr>
            <w:tcW w:w="0" w:type="auto"/>
            <w:shd w:val="clear" w:color="auto" w:fill="auto"/>
          </w:tcPr>
          <w:p w14:paraId="33DAF420" w14:textId="77777777" w:rsidR="004D6A64" w:rsidRDefault="004D6A64">
            <w:pPr>
              <w:rPr>
                <w:rFonts w:ascii="宋体"/>
              </w:rPr>
            </w:pPr>
          </w:p>
        </w:tc>
        <w:tc>
          <w:tcPr>
            <w:tcW w:w="0" w:type="auto"/>
            <w:shd w:val="clear" w:color="auto" w:fill="auto"/>
          </w:tcPr>
          <w:p w14:paraId="33DAF421" w14:textId="77777777" w:rsidR="004D6A64" w:rsidRDefault="004D6A64">
            <w:pPr>
              <w:rPr>
                <w:rFonts w:ascii="宋体"/>
              </w:rPr>
            </w:pPr>
          </w:p>
        </w:tc>
        <w:tc>
          <w:tcPr>
            <w:tcW w:w="0" w:type="auto"/>
            <w:shd w:val="clear" w:color="auto" w:fill="auto"/>
          </w:tcPr>
          <w:p w14:paraId="33DAF422" w14:textId="77777777" w:rsidR="004D6A64" w:rsidRDefault="004D6A64">
            <w:pPr>
              <w:rPr>
                <w:rFonts w:ascii="宋体"/>
              </w:rPr>
            </w:pPr>
          </w:p>
        </w:tc>
        <w:tc>
          <w:tcPr>
            <w:tcW w:w="0" w:type="auto"/>
            <w:shd w:val="clear" w:color="auto" w:fill="auto"/>
          </w:tcPr>
          <w:p w14:paraId="33DAF423" w14:textId="77777777" w:rsidR="004D6A64" w:rsidRDefault="004D6A64">
            <w:pPr>
              <w:rPr>
                <w:rFonts w:ascii="宋体"/>
              </w:rPr>
            </w:pPr>
          </w:p>
        </w:tc>
        <w:tc>
          <w:tcPr>
            <w:tcW w:w="0" w:type="auto"/>
            <w:shd w:val="clear" w:color="auto" w:fill="auto"/>
          </w:tcPr>
          <w:p w14:paraId="33DAF424" w14:textId="77777777" w:rsidR="004D6A64" w:rsidRDefault="004D6A64">
            <w:pPr>
              <w:rPr>
                <w:rFonts w:ascii="宋体"/>
              </w:rPr>
            </w:pPr>
          </w:p>
        </w:tc>
        <w:tc>
          <w:tcPr>
            <w:tcW w:w="0" w:type="auto"/>
            <w:shd w:val="clear" w:color="auto" w:fill="auto"/>
          </w:tcPr>
          <w:p w14:paraId="33DAF425" w14:textId="77777777" w:rsidR="004D6A64" w:rsidRDefault="004D6A64">
            <w:pPr>
              <w:rPr>
                <w:rFonts w:ascii="宋体"/>
              </w:rPr>
            </w:pPr>
          </w:p>
        </w:tc>
        <w:tc>
          <w:tcPr>
            <w:tcW w:w="0" w:type="auto"/>
            <w:shd w:val="clear" w:color="auto" w:fill="auto"/>
          </w:tcPr>
          <w:p w14:paraId="33DAF426" w14:textId="77777777" w:rsidR="004D6A64" w:rsidRDefault="004D6A64">
            <w:pPr>
              <w:rPr>
                <w:rFonts w:ascii="宋体"/>
              </w:rPr>
            </w:pPr>
          </w:p>
        </w:tc>
        <w:tc>
          <w:tcPr>
            <w:tcW w:w="0" w:type="auto"/>
            <w:shd w:val="clear" w:color="auto" w:fill="auto"/>
          </w:tcPr>
          <w:p w14:paraId="33DAF427" w14:textId="77777777" w:rsidR="004D6A64" w:rsidRDefault="004D6A64">
            <w:pPr>
              <w:rPr>
                <w:rFonts w:ascii="宋体"/>
              </w:rPr>
            </w:pPr>
          </w:p>
        </w:tc>
        <w:tc>
          <w:tcPr>
            <w:tcW w:w="0" w:type="auto"/>
            <w:shd w:val="clear" w:color="auto" w:fill="auto"/>
          </w:tcPr>
          <w:p w14:paraId="33DAF428" w14:textId="77777777" w:rsidR="004D6A64" w:rsidRDefault="004D6A64">
            <w:pPr>
              <w:rPr>
                <w:rFonts w:ascii="宋体"/>
              </w:rPr>
            </w:pPr>
          </w:p>
        </w:tc>
        <w:tc>
          <w:tcPr>
            <w:tcW w:w="0" w:type="auto"/>
            <w:shd w:val="clear" w:color="auto" w:fill="auto"/>
          </w:tcPr>
          <w:p w14:paraId="33DAF429" w14:textId="77777777" w:rsidR="004D6A64" w:rsidRDefault="004D6A64">
            <w:pPr>
              <w:rPr>
                <w:rFonts w:ascii="宋体"/>
              </w:rPr>
            </w:pPr>
          </w:p>
        </w:tc>
        <w:tc>
          <w:tcPr>
            <w:tcW w:w="0" w:type="auto"/>
            <w:shd w:val="clear" w:color="auto" w:fill="auto"/>
          </w:tcPr>
          <w:p w14:paraId="33DAF42A" w14:textId="77777777" w:rsidR="004D6A64" w:rsidRDefault="004D6A64">
            <w:pPr>
              <w:rPr>
                <w:rFonts w:ascii="宋体"/>
              </w:rPr>
            </w:pPr>
          </w:p>
        </w:tc>
        <w:tc>
          <w:tcPr>
            <w:tcW w:w="0" w:type="auto"/>
            <w:shd w:val="clear" w:color="auto" w:fill="auto"/>
          </w:tcPr>
          <w:p w14:paraId="33DAF42B" w14:textId="77777777" w:rsidR="004D6A64" w:rsidRDefault="004D6A64">
            <w:pPr>
              <w:rPr>
                <w:rFonts w:ascii="宋体"/>
              </w:rPr>
            </w:pPr>
          </w:p>
        </w:tc>
        <w:tc>
          <w:tcPr>
            <w:tcW w:w="0" w:type="auto"/>
            <w:shd w:val="clear" w:color="auto" w:fill="auto"/>
          </w:tcPr>
          <w:p w14:paraId="33DAF42C" w14:textId="77777777" w:rsidR="004D6A64" w:rsidRDefault="004D6A64">
            <w:pPr>
              <w:rPr>
                <w:rFonts w:ascii="宋体"/>
              </w:rPr>
            </w:pPr>
          </w:p>
        </w:tc>
        <w:tc>
          <w:tcPr>
            <w:tcW w:w="0" w:type="auto"/>
            <w:shd w:val="clear" w:color="auto" w:fill="auto"/>
          </w:tcPr>
          <w:p w14:paraId="33DAF42D" w14:textId="77777777" w:rsidR="004D6A64" w:rsidRDefault="004D6A64">
            <w:pPr>
              <w:rPr>
                <w:rFonts w:ascii="宋体"/>
              </w:rPr>
            </w:pPr>
          </w:p>
        </w:tc>
        <w:tc>
          <w:tcPr>
            <w:tcW w:w="0" w:type="auto"/>
            <w:shd w:val="clear" w:color="auto" w:fill="auto"/>
          </w:tcPr>
          <w:p w14:paraId="33DAF42E" w14:textId="77777777" w:rsidR="004D6A64" w:rsidRDefault="004D6A64">
            <w:pPr>
              <w:rPr>
                <w:rFonts w:ascii="宋体"/>
              </w:rPr>
            </w:pPr>
          </w:p>
        </w:tc>
        <w:tc>
          <w:tcPr>
            <w:tcW w:w="0" w:type="auto"/>
            <w:shd w:val="clear" w:color="auto" w:fill="auto"/>
          </w:tcPr>
          <w:p w14:paraId="33DAF42F" w14:textId="77777777" w:rsidR="004D6A64" w:rsidRDefault="004D6A64">
            <w:pPr>
              <w:rPr>
                <w:rFonts w:ascii="宋体"/>
              </w:rPr>
            </w:pPr>
          </w:p>
        </w:tc>
        <w:tc>
          <w:tcPr>
            <w:tcW w:w="0" w:type="auto"/>
            <w:shd w:val="clear" w:color="auto" w:fill="auto"/>
          </w:tcPr>
          <w:p w14:paraId="33DAF430" w14:textId="77777777" w:rsidR="004D6A64" w:rsidRDefault="004D6A64">
            <w:pPr>
              <w:rPr>
                <w:rFonts w:ascii="宋体"/>
              </w:rPr>
            </w:pPr>
          </w:p>
        </w:tc>
      </w:tr>
      <w:tr w:rsidR="004D6A64" w14:paraId="33DAF463" w14:textId="77777777">
        <w:tc>
          <w:tcPr>
            <w:tcW w:w="0" w:type="auto"/>
            <w:gridSpan w:val="3"/>
            <w:shd w:val="clear" w:color="auto" w:fill="FFFFFF"/>
            <w:tcMar>
              <w:top w:w="40" w:type="dxa"/>
              <w:left w:w="225" w:type="dxa"/>
              <w:bottom w:w="40" w:type="dxa"/>
              <w:right w:w="20" w:type="dxa"/>
            </w:tcMar>
            <w:vAlign w:val="center"/>
          </w:tcPr>
          <w:p w14:paraId="33DAF432" w14:textId="77777777" w:rsidR="004D6A64" w:rsidRDefault="00506CD6">
            <w:pPr>
              <w:textAlignment w:val="center"/>
            </w:pPr>
            <w:r>
              <w:rPr>
                <w:rFonts w:ascii="Times New Roman" w:eastAsia="宋体" w:hAnsi="Times New Roman"/>
                <w:color w:val="000000"/>
                <w:sz w:val="20"/>
                <w:szCs w:val="20"/>
              </w:rPr>
              <w:t>Total CSG net revenue</w:t>
            </w:r>
          </w:p>
        </w:tc>
        <w:tc>
          <w:tcPr>
            <w:tcW w:w="0" w:type="auto"/>
            <w:tcBorders>
              <w:top w:val="single" w:sz="8" w:space="0" w:color="000000"/>
            </w:tcBorders>
            <w:shd w:val="clear" w:color="auto" w:fill="FFFFFF"/>
            <w:tcMar>
              <w:top w:w="40" w:type="dxa"/>
              <w:left w:w="20" w:type="dxa"/>
              <w:bottom w:w="40" w:type="dxa"/>
            </w:tcMar>
            <w:vAlign w:val="center"/>
          </w:tcPr>
          <w:p w14:paraId="33DAF433"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F434" w14:textId="77777777" w:rsidR="004D6A64" w:rsidRDefault="00506CD6">
            <w:pPr>
              <w:jc w:val="right"/>
              <w:textAlignment w:val="center"/>
            </w:pPr>
            <w:r>
              <w:rPr>
                <w:rFonts w:ascii="Times New Roman" w:eastAsia="宋体" w:hAnsi="Times New Roman"/>
                <w:color w:val="000000"/>
                <w:sz w:val="20"/>
                <w:szCs w:val="20"/>
              </w:rPr>
              <w:t>11,203 </w:t>
            </w:r>
          </w:p>
        </w:tc>
        <w:tc>
          <w:tcPr>
            <w:tcW w:w="0" w:type="auto"/>
            <w:tcBorders>
              <w:top w:val="single" w:sz="8" w:space="0" w:color="000000"/>
            </w:tcBorders>
            <w:shd w:val="clear" w:color="auto" w:fill="FFFFFF"/>
            <w:tcMar>
              <w:top w:w="40" w:type="dxa"/>
              <w:bottom w:w="40" w:type="dxa"/>
              <w:right w:w="20" w:type="dxa"/>
            </w:tcMar>
            <w:vAlign w:val="center"/>
          </w:tcPr>
          <w:p w14:paraId="33DAF43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43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F437" w14:textId="77777777" w:rsidR="004D6A64" w:rsidRDefault="00506CD6">
            <w:pPr>
              <w:jc w:val="right"/>
              <w:textAlignment w:val="center"/>
            </w:pPr>
            <w:r>
              <w:rPr>
                <w:rFonts w:ascii="Times New Roman" w:eastAsia="宋体" w:hAnsi="Times New Roman"/>
                <w:color w:val="000000"/>
                <w:sz w:val="20"/>
                <w:szCs w:val="20"/>
              </w:rPr>
              <w:t>(5)</w:t>
            </w:r>
          </w:p>
        </w:tc>
        <w:tc>
          <w:tcPr>
            <w:tcW w:w="0" w:type="auto"/>
            <w:shd w:val="clear" w:color="auto" w:fill="FFFFFF"/>
            <w:tcMar>
              <w:top w:w="40" w:type="dxa"/>
              <w:bottom w:w="40" w:type="dxa"/>
              <w:right w:w="20" w:type="dxa"/>
            </w:tcMar>
            <w:vAlign w:val="center"/>
          </w:tcPr>
          <w:p w14:paraId="33DAF438"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F439"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F43A"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F43B" w14:textId="77777777" w:rsidR="004D6A64" w:rsidRDefault="00506CD6">
            <w:pPr>
              <w:jc w:val="right"/>
              <w:textAlignment w:val="center"/>
            </w:pPr>
            <w:r>
              <w:rPr>
                <w:rFonts w:ascii="Times New Roman" w:eastAsia="宋体" w:hAnsi="Times New Roman"/>
                <w:color w:val="000000"/>
                <w:sz w:val="20"/>
                <w:szCs w:val="20"/>
              </w:rPr>
              <w:t>11,748 </w:t>
            </w:r>
          </w:p>
        </w:tc>
        <w:tc>
          <w:tcPr>
            <w:tcW w:w="0" w:type="auto"/>
            <w:tcBorders>
              <w:top w:val="single" w:sz="8" w:space="0" w:color="000000"/>
            </w:tcBorders>
            <w:shd w:val="clear" w:color="auto" w:fill="FFFFFF"/>
            <w:tcMar>
              <w:top w:w="40" w:type="dxa"/>
              <w:bottom w:w="40" w:type="dxa"/>
              <w:right w:w="20" w:type="dxa"/>
            </w:tcMar>
            <w:vAlign w:val="center"/>
          </w:tcPr>
          <w:p w14:paraId="33DAF43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43D"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F43E"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F43F" w14:textId="77777777" w:rsidR="004D6A64" w:rsidRDefault="00506CD6">
            <w:pPr>
              <w:jc w:val="right"/>
              <w:textAlignment w:val="center"/>
            </w:pPr>
            <w:r>
              <w:rPr>
                <w:rFonts w:ascii="Times New Roman" w:eastAsia="宋体" w:hAnsi="Times New Roman"/>
                <w:color w:val="000000"/>
                <w:sz w:val="20"/>
                <w:szCs w:val="20"/>
              </w:rPr>
              <w:t>22,307 </w:t>
            </w:r>
          </w:p>
        </w:tc>
        <w:tc>
          <w:tcPr>
            <w:tcW w:w="0" w:type="auto"/>
            <w:tcBorders>
              <w:top w:val="single" w:sz="8" w:space="0" w:color="000000"/>
            </w:tcBorders>
            <w:shd w:val="clear" w:color="auto" w:fill="FFFFFF"/>
            <w:tcMar>
              <w:top w:w="40" w:type="dxa"/>
              <w:bottom w:w="40" w:type="dxa"/>
              <w:right w:w="20" w:type="dxa"/>
            </w:tcMar>
            <w:vAlign w:val="center"/>
          </w:tcPr>
          <w:p w14:paraId="33DAF440"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441"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F442" w14:textId="77777777" w:rsidR="004D6A64" w:rsidRDefault="00506CD6">
            <w:pPr>
              <w:jc w:val="right"/>
              <w:textAlignment w:val="center"/>
            </w:pPr>
            <w:r>
              <w:rPr>
                <w:rFonts w:ascii="Times New Roman" w:eastAsia="宋体" w:hAnsi="Times New Roman"/>
                <w:color w:val="000000"/>
                <w:sz w:val="20"/>
                <w:szCs w:val="20"/>
              </w:rPr>
              <w:t>(2)</w:t>
            </w:r>
          </w:p>
        </w:tc>
        <w:tc>
          <w:tcPr>
            <w:tcW w:w="0" w:type="auto"/>
            <w:shd w:val="clear" w:color="auto" w:fill="FFFFFF"/>
            <w:tcMar>
              <w:top w:w="40" w:type="dxa"/>
              <w:bottom w:w="40" w:type="dxa"/>
              <w:right w:w="20" w:type="dxa"/>
            </w:tcMar>
            <w:vAlign w:val="center"/>
          </w:tcPr>
          <w:p w14:paraId="33DAF443"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F444"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F445"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F446" w14:textId="77777777" w:rsidR="004D6A64" w:rsidRDefault="00506CD6">
            <w:pPr>
              <w:jc w:val="right"/>
              <w:textAlignment w:val="center"/>
            </w:pPr>
            <w:r>
              <w:rPr>
                <w:rFonts w:ascii="Times New Roman" w:eastAsia="宋体" w:hAnsi="Times New Roman"/>
                <w:color w:val="000000"/>
                <w:sz w:val="20"/>
                <w:szCs w:val="20"/>
              </w:rPr>
              <w:t>22,658 </w:t>
            </w:r>
          </w:p>
        </w:tc>
        <w:tc>
          <w:tcPr>
            <w:tcW w:w="0" w:type="auto"/>
            <w:tcBorders>
              <w:top w:val="single" w:sz="8" w:space="0" w:color="000000"/>
            </w:tcBorders>
            <w:shd w:val="clear" w:color="auto" w:fill="FFFFFF"/>
            <w:tcMar>
              <w:top w:w="40" w:type="dxa"/>
              <w:bottom w:w="40" w:type="dxa"/>
              <w:right w:w="20" w:type="dxa"/>
            </w:tcMar>
            <w:vAlign w:val="center"/>
          </w:tcPr>
          <w:p w14:paraId="33DAF447" w14:textId="77777777" w:rsidR="004D6A64" w:rsidRDefault="004D6A64">
            <w:pPr>
              <w:jc w:val="right"/>
              <w:rPr>
                <w:rFonts w:ascii="宋体"/>
              </w:rPr>
            </w:pPr>
          </w:p>
        </w:tc>
        <w:tc>
          <w:tcPr>
            <w:tcW w:w="0" w:type="auto"/>
            <w:shd w:val="clear" w:color="auto" w:fill="auto"/>
          </w:tcPr>
          <w:p w14:paraId="33DAF448" w14:textId="77777777" w:rsidR="004D6A64" w:rsidRDefault="004D6A64">
            <w:pPr>
              <w:rPr>
                <w:rFonts w:ascii="宋体"/>
              </w:rPr>
            </w:pPr>
          </w:p>
        </w:tc>
        <w:tc>
          <w:tcPr>
            <w:tcW w:w="0" w:type="auto"/>
            <w:shd w:val="clear" w:color="auto" w:fill="auto"/>
          </w:tcPr>
          <w:p w14:paraId="33DAF449" w14:textId="77777777" w:rsidR="004D6A64" w:rsidRDefault="004D6A64">
            <w:pPr>
              <w:rPr>
                <w:rFonts w:ascii="宋体"/>
              </w:rPr>
            </w:pPr>
          </w:p>
        </w:tc>
        <w:tc>
          <w:tcPr>
            <w:tcW w:w="0" w:type="auto"/>
            <w:shd w:val="clear" w:color="auto" w:fill="auto"/>
          </w:tcPr>
          <w:p w14:paraId="33DAF44A" w14:textId="77777777" w:rsidR="004D6A64" w:rsidRDefault="004D6A64">
            <w:pPr>
              <w:rPr>
                <w:rFonts w:ascii="宋体"/>
              </w:rPr>
            </w:pPr>
          </w:p>
        </w:tc>
        <w:tc>
          <w:tcPr>
            <w:tcW w:w="0" w:type="auto"/>
            <w:shd w:val="clear" w:color="auto" w:fill="auto"/>
          </w:tcPr>
          <w:p w14:paraId="33DAF44B" w14:textId="77777777" w:rsidR="004D6A64" w:rsidRDefault="004D6A64">
            <w:pPr>
              <w:rPr>
                <w:rFonts w:ascii="宋体"/>
              </w:rPr>
            </w:pPr>
          </w:p>
        </w:tc>
        <w:tc>
          <w:tcPr>
            <w:tcW w:w="0" w:type="auto"/>
            <w:shd w:val="clear" w:color="auto" w:fill="auto"/>
          </w:tcPr>
          <w:p w14:paraId="33DAF44C" w14:textId="77777777" w:rsidR="004D6A64" w:rsidRDefault="004D6A64">
            <w:pPr>
              <w:rPr>
                <w:rFonts w:ascii="宋体"/>
              </w:rPr>
            </w:pPr>
          </w:p>
        </w:tc>
        <w:tc>
          <w:tcPr>
            <w:tcW w:w="0" w:type="auto"/>
            <w:shd w:val="clear" w:color="auto" w:fill="auto"/>
          </w:tcPr>
          <w:p w14:paraId="33DAF44D" w14:textId="77777777" w:rsidR="004D6A64" w:rsidRDefault="004D6A64">
            <w:pPr>
              <w:rPr>
                <w:rFonts w:ascii="宋体"/>
              </w:rPr>
            </w:pPr>
          </w:p>
        </w:tc>
        <w:tc>
          <w:tcPr>
            <w:tcW w:w="0" w:type="auto"/>
            <w:shd w:val="clear" w:color="auto" w:fill="auto"/>
          </w:tcPr>
          <w:p w14:paraId="33DAF44E" w14:textId="77777777" w:rsidR="004D6A64" w:rsidRDefault="004D6A64">
            <w:pPr>
              <w:rPr>
                <w:rFonts w:ascii="宋体"/>
              </w:rPr>
            </w:pPr>
          </w:p>
        </w:tc>
        <w:tc>
          <w:tcPr>
            <w:tcW w:w="0" w:type="auto"/>
            <w:shd w:val="clear" w:color="auto" w:fill="auto"/>
          </w:tcPr>
          <w:p w14:paraId="33DAF44F" w14:textId="77777777" w:rsidR="004D6A64" w:rsidRDefault="004D6A64">
            <w:pPr>
              <w:rPr>
                <w:rFonts w:ascii="宋体"/>
              </w:rPr>
            </w:pPr>
          </w:p>
        </w:tc>
        <w:tc>
          <w:tcPr>
            <w:tcW w:w="0" w:type="auto"/>
            <w:shd w:val="clear" w:color="auto" w:fill="auto"/>
          </w:tcPr>
          <w:p w14:paraId="33DAF450" w14:textId="77777777" w:rsidR="004D6A64" w:rsidRDefault="004D6A64">
            <w:pPr>
              <w:rPr>
                <w:rFonts w:ascii="宋体"/>
              </w:rPr>
            </w:pPr>
          </w:p>
        </w:tc>
        <w:tc>
          <w:tcPr>
            <w:tcW w:w="0" w:type="auto"/>
            <w:shd w:val="clear" w:color="auto" w:fill="auto"/>
          </w:tcPr>
          <w:p w14:paraId="33DAF451" w14:textId="77777777" w:rsidR="004D6A64" w:rsidRDefault="004D6A64">
            <w:pPr>
              <w:rPr>
                <w:rFonts w:ascii="宋体"/>
              </w:rPr>
            </w:pPr>
          </w:p>
        </w:tc>
        <w:tc>
          <w:tcPr>
            <w:tcW w:w="0" w:type="auto"/>
            <w:shd w:val="clear" w:color="auto" w:fill="auto"/>
          </w:tcPr>
          <w:p w14:paraId="33DAF452" w14:textId="77777777" w:rsidR="004D6A64" w:rsidRDefault="004D6A64">
            <w:pPr>
              <w:rPr>
                <w:rFonts w:ascii="宋体"/>
              </w:rPr>
            </w:pPr>
          </w:p>
        </w:tc>
        <w:tc>
          <w:tcPr>
            <w:tcW w:w="0" w:type="auto"/>
            <w:shd w:val="clear" w:color="auto" w:fill="auto"/>
          </w:tcPr>
          <w:p w14:paraId="33DAF453" w14:textId="77777777" w:rsidR="004D6A64" w:rsidRDefault="004D6A64">
            <w:pPr>
              <w:rPr>
                <w:rFonts w:ascii="宋体"/>
              </w:rPr>
            </w:pPr>
          </w:p>
        </w:tc>
        <w:tc>
          <w:tcPr>
            <w:tcW w:w="0" w:type="auto"/>
            <w:shd w:val="clear" w:color="auto" w:fill="auto"/>
          </w:tcPr>
          <w:p w14:paraId="33DAF454" w14:textId="77777777" w:rsidR="004D6A64" w:rsidRDefault="004D6A64">
            <w:pPr>
              <w:rPr>
                <w:rFonts w:ascii="宋体"/>
              </w:rPr>
            </w:pPr>
          </w:p>
        </w:tc>
        <w:tc>
          <w:tcPr>
            <w:tcW w:w="0" w:type="auto"/>
            <w:shd w:val="clear" w:color="auto" w:fill="auto"/>
          </w:tcPr>
          <w:p w14:paraId="33DAF455" w14:textId="77777777" w:rsidR="004D6A64" w:rsidRDefault="004D6A64">
            <w:pPr>
              <w:rPr>
                <w:rFonts w:ascii="宋体"/>
              </w:rPr>
            </w:pPr>
          </w:p>
        </w:tc>
        <w:tc>
          <w:tcPr>
            <w:tcW w:w="0" w:type="auto"/>
            <w:shd w:val="clear" w:color="auto" w:fill="auto"/>
          </w:tcPr>
          <w:p w14:paraId="33DAF456" w14:textId="77777777" w:rsidR="004D6A64" w:rsidRDefault="004D6A64">
            <w:pPr>
              <w:rPr>
                <w:rFonts w:ascii="宋体"/>
              </w:rPr>
            </w:pPr>
          </w:p>
        </w:tc>
        <w:tc>
          <w:tcPr>
            <w:tcW w:w="0" w:type="auto"/>
            <w:shd w:val="clear" w:color="auto" w:fill="auto"/>
          </w:tcPr>
          <w:p w14:paraId="33DAF457" w14:textId="77777777" w:rsidR="004D6A64" w:rsidRDefault="004D6A64">
            <w:pPr>
              <w:rPr>
                <w:rFonts w:ascii="宋体"/>
              </w:rPr>
            </w:pPr>
          </w:p>
        </w:tc>
        <w:tc>
          <w:tcPr>
            <w:tcW w:w="0" w:type="auto"/>
            <w:shd w:val="clear" w:color="auto" w:fill="auto"/>
          </w:tcPr>
          <w:p w14:paraId="33DAF458" w14:textId="77777777" w:rsidR="004D6A64" w:rsidRDefault="004D6A64">
            <w:pPr>
              <w:rPr>
                <w:rFonts w:ascii="宋体"/>
              </w:rPr>
            </w:pPr>
          </w:p>
        </w:tc>
        <w:tc>
          <w:tcPr>
            <w:tcW w:w="0" w:type="auto"/>
            <w:shd w:val="clear" w:color="auto" w:fill="auto"/>
          </w:tcPr>
          <w:p w14:paraId="33DAF459" w14:textId="77777777" w:rsidR="004D6A64" w:rsidRDefault="004D6A64">
            <w:pPr>
              <w:rPr>
                <w:rFonts w:ascii="宋体"/>
              </w:rPr>
            </w:pPr>
          </w:p>
        </w:tc>
        <w:tc>
          <w:tcPr>
            <w:tcW w:w="0" w:type="auto"/>
            <w:shd w:val="clear" w:color="auto" w:fill="auto"/>
          </w:tcPr>
          <w:p w14:paraId="33DAF45A" w14:textId="77777777" w:rsidR="004D6A64" w:rsidRDefault="004D6A64">
            <w:pPr>
              <w:rPr>
                <w:rFonts w:ascii="宋体"/>
              </w:rPr>
            </w:pPr>
          </w:p>
        </w:tc>
        <w:tc>
          <w:tcPr>
            <w:tcW w:w="0" w:type="auto"/>
            <w:shd w:val="clear" w:color="auto" w:fill="auto"/>
          </w:tcPr>
          <w:p w14:paraId="33DAF45B" w14:textId="77777777" w:rsidR="004D6A64" w:rsidRDefault="004D6A64">
            <w:pPr>
              <w:rPr>
                <w:rFonts w:ascii="宋体"/>
              </w:rPr>
            </w:pPr>
          </w:p>
        </w:tc>
        <w:tc>
          <w:tcPr>
            <w:tcW w:w="0" w:type="auto"/>
            <w:shd w:val="clear" w:color="auto" w:fill="auto"/>
          </w:tcPr>
          <w:p w14:paraId="33DAF45C" w14:textId="77777777" w:rsidR="004D6A64" w:rsidRDefault="004D6A64">
            <w:pPr>
              <w:rPr>
                <w:rFonts w:ascii="宋体"/>
              </w:rPr>
            </w:pPr>
          </w:p>
        </w:tc>
        <w:tc>
          <w:tcPr>
            <w:tcW w:w="0" w:type="auto"/>
            <w:shd w:val="clear" w:color="auto" w:fill="auto"/>
          </w:tcPr>
          <w:p w14:paraId="33DAF45D" w14:textId="77777777" w:rsidR="004D6A64" w:rsidRDefault="004D6A64">
            <w:pPr>
              <w:rPr>
                <w:rFonts w:ascii="宋体"/>
              </w:rPr>
            </w:pPr>
          </w:p>
        </w:tc>
        <w:tc>
          <w:tcPr>
            <w:tcW w:w="0" w:type="auto"/>
            <w:shd w:val="clear" w:color="auto" w:fill="auto"/>
          </w:tcPr>
          <w:p w14:paraId="33DAF45E" w14:textId="77777777" w:rsidR="004D6A64" w:rsidRDefault="004D6A64">
            <w:pPr>
              <w:rPr>
                <w:rFonts w:ascii="宋体"/>
              </w:rPr>
            </w:pPr>
          </w:p>
        </w:tc>
        <w:tc>
          <w:tcPr>
            <w:tcW w:w="0" w:type="auto"/>
            <w:shd w:val="clear" w:color="auto" w:fill="auto"/>
          </w:tcPr>
          <w:p w14:paraId="33DAF45F" w14:textId="77777777" w:rsidR="004D6A64" w:rsidRDefault="004D6A64">
            <w:pPr>
              <w:rPr>
                <w:rFonts w:ascii="宋体"/>
              </w:rPr>
            </w:pPr>
          </w:p>
        </w:tc>
        <w:tc>
          <w:tcPr>
            <w:tcW w:w="0" w:type="auto"/>
            <w:shd w:val="clear" w:color="auto" w:fill="auto"/>
          </w:tcPr>
          <w:p w14:paraId="33DAF460" w14:textId="77777777" w:rsidR="004D6A64" w:rsidRDefault="004D6A64">
            <w:pPr>
              <w:rPr>
                <w:rFonts w:ascii="宋体"/>
              </w:rPr>
            </w:pPr>
          </w:p>
        </w:tc>
        <w:tc>
          <w:tcPr>
            <w:tcW w:w="0" w:type="auto"/>
            <w:shd w:val="clear" w:color="auto" w:fill="auto"/>
          </w:tcPr>
          <w:p w14:paraId="33DAF461" w14:textId="77777777" w:rsidR="004D6A64" w:rsidRDefault="004D6A64">
            <w:pPr>
              <w:rPr>
                <w:rFonts w:ascii="宋体"/>
              </w:rPr>
            </w:pPr>
          </w:p>
        </w:tc>
        <w:tc>
          <w:tcPr>
            <w:tcW w:w="0" w:type="auto"/>
            <w:shd w:val="clear" w:color="auto" w:fill="auto"/>
          </w:tcPr>
          <w:p w14:paraId="33DAF462" w14:textId="77777777" w:rsidR="004D6A64" w:rsidRDefault="004D6A64">
            <w:pPr>
              <w:rPr>
                <w:rFonts w:ascii="宋体"/>
              </w:rPr>
            </w:pPr>
          </w:p>
        </w:tc>
      </w:tr>
      <w:tr w:rsidR="004D6A64" w14:paraId="33DAF48B" w14:textId="77777777">
        <w:trPr>
          <w:trHeight w:val="300"/>
        </w:trPr>
        <w:tc>
          <w:tcPr>
            <w:tcW w:w="0" w:type="auto"/>
            <w:gridSpan w:val="3"/>
            <w:shd w:val="clear" w:color="auto" w:fill="CCEEFF"/>
            <w:tcMar>
              <w:left w:w="20" w:type="dxa"/>
              <w:right w:w="20" w:type="dxa"/>
            </w:tcMar>
            <w:vAlign w:val="bottom"/>
          </w:tcPr>
          <w:p w14:paraId="33DAF464" w14:textId="77777777" w:rsidR="004D6A64" w:rsidRDefault="004D6A64">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F46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466"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467"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468" w14:textId="77777777" w:rsidR="004D6A64" w:rsidRDefault="004D6A64">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F469"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46A" w14:textId="77777777" w:rsidR="004D6A64" w:rsidRDefault="004D6A64">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F46B"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46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46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46E" w14:textId="77777777" w:rsidR="004D6A64" w:rsidRDefault="004D6A64">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F46F" w14:textId="77777777" w:rsidR="004D6A64" w:rsidRDefault="004D6A64">
            <w:pPr>
              <w:rPr>
                <w:rFonts w:ascii="宋体"/>
              </w:rPr>
            </w:pPr>
          </w:p>
        </w:tc>
        <w:tc>
          <w:tcPr>
            <w:tcW w:w="0" w:type="auto"/>
            <w:shd w:val="clear" w:color="auto" w:fill="auto"/>
          </w:tcPr>
          <w:p w14:paraId="33DAF470" w14:textId="77777777" w:rsidR="004D6A64" w:rsidRDefault="004D6A64">
            <w:pPr>
              <w:rPr>
                <w:rFonts w:ascii="宋体"/>
              </w:rPr>
            </w:pPr>
          </w:p>
        </w:tc>
        <w:tc>
          <w:tcPr>
            <w:tcW w:w="0" w:type="auto"/>
            <w:shd w:val="clear" w:color="auto" w:fill="auto"/>
          </w:tcPr>
          <w:p w14:paraId="33DAF471" w14:textId="77777777" w:rsidR="004D6A64" w:rsidRDefault="004D6A64">
            <w:pPr>
              <w:rPr>
                <w:rFonts w:ascii="宋体"/>
              </w:rPr>
            </w:pPr>
          </w:p>
        </w:tc>
        <w:tc>
          <w:tcPr>
            <w:tcW w:w="0" w:type="auto"/>
            <w:shd w:val="clear" w:color="auto" w:fill="auto"/>
          </w:tcPr>
          <w:p w14:paraId="33DAF472" w14:textId="77777777" w:rsidR="004D6A64" w:rsidRDefault="004D6A64">
            <w:pPr>
              <w:rPr>
                <w:rFonts w:ascii="宋体"/>
              </w:rPr>
            </w:pPr>
          </w:p>
        </w:tc>
        <w:tc>
          <w:tcPr>
            <w:tcW w:w="0" w:type="auto"/>
            <w:shd w:val="clear" w:color="auto" w:fill="auto"/>
          </w:tcPr>
          <w:p w14:paraId="33DAF473" w14:textId="77777777" w:rsidR="004D6A64" w:rsidRDefault="004D6A64">
            <w:pPr>
              <w:rPr>
                <w:rFonts w:ascii="宋体"/>
              </w:rPr>
            </w:pPr>
          </w:p>
        </w:tc>
        <w:tc>
          <w:tcPr>
            <w:tcW w:w="0" w:type="auto"/>
            <w:shd w:val="clear" w:color="auto" w:fill="auto"/>
          </w:tcPr>
          <w:p w14:paraId="33DAF474" w14:textId="77777777" w:rsidR="004D6A64" w:rsidRDefault="004D6A64">
            <w:pPr>
              <w:rPr>
                <w:rFonts w:ascii="宋体"/>
              </w:rPr>
            </w:pPr>
          </w:p>
        </w:tc>
        <w:tc>
          <w:tcPr>
            <w:tcW w:w="0" w:type="auto"/>
            <w:shd w:val="clear" w:color="auto" w:fill="auto"/>
          </w:tcPr>
          <w:p w14:paraId="33DAF475" w14:textId="77777777" w:rsidR="004D6A64" w:rsidRDefault="004D6A64">
            <w:pPr>
              <w:rPr>
                <w:rFonts w:ascii="宋体"/>
              </w:rPr>
            </w:pPr>
          </w:p>
        </w:tc>
        <w:tc>
          <w:tcPr>
            <w:tcW w:w="0" w:type="auto"/>
            <w:shd w:val="clear" w:color="auto" w:fill="auto"/>
          </w:tcPr>
          <w:p w14:paraId="33DAF476" w14:textId="77777777" w:rsidR="004D6A64" w:rsidRDefault="004D6A64">
            <w:pPr>
              <w:rPr>
                <w:rFonts w:ascii="宋体"/>
              </w:rPr>
            </w:pPr>
          </w:p>
        </w:tc>
        <w:tc>
          <w:tcPr>
            <w:tcW w:w="0" w:type="auto"/>
            <w:shd w:val="clear" w:color="auto" w:fill="auto"/>
          </w:tcPr>
          <w:p w14:paraId="33DAF477" w14:textId="77777777" w:rsidR="004D6A64" w:rsidRDefault="004D6A64">
            <w:pPr>
              <w:rPr>
                <w:rFonts w:ascii="宋体"/>
              </w:rPr>
            </w:pPr>
          </w:p>
        </w:tc>
        <w:tc>
          <w:tcPr>
            <w:tcW w:w="0" w:type="auto"/>
            <w:shd w:val="clear" w:color="auto" w:fill="auto"/>
          </w:tcPr>
          <w:p w14:paraId="33DAF478" w14:textId="77777777" w:rsidR="004D6A64" w:rsidRDefault="004D6A64">
            <w:pPr>
              <w:rPr>
                <w:rFonts w:ascii="宋体"/>
              </w:rPr>
            </w:pPr>
          </w:p>
        </w:tc>
        <w:tc>
          <w:tcPr>
            <w:tcW w:w="0" w:type="auto"/>
            <w:shd w:val="clear" w:color="auto" w:fill="auto"/>
          </w:tcPr>
          <w:p w14:paraId="33DAF479" w14:textId="77777777" w:rsidR="004D6A64" w:rsidRDefault="004D6A64">
            <w:pPr>
              <w:rPr>
                <w:rFonts w:ascii="宋体"/>
              </w:rPr>
            </w:pPr>
          </w:p>
        </w:tc>
        <w:tc>
          <w:tcPr>
            <w:tcW w:w="0" w:type="auto"/>
            <w:shd w:val="clear" w:color="auto" w:fill="auto"/>
          </w:tcPr>
          <w:p w14:paraId="33DAF47A" w14:textId="77777777" w:rsidR="004D6A64" w:rsidRDefault="004D6A64">
            <w:pPr>
              <w:rPr>
                <w:rFonts w:ascii="宋体"/>
              </w:rPr>
            </w:pPr>
          </w:p>
        </w:tc>
        <w:tc>
          <w:tcPr>
            <w:tcW w:w="0" w:type="auto"/>
            <w:shd w:val="clear" w:color="auto" w:fill="auto"/>
          </w:tcPr>
          <w:p w14:paraId="33DAF47B" w14:textId="77777777" w:rsidR="004D6A64" w:rsidRDefault="004D6A64">
            <w:pPr>
              <w:rPr>
                <w:rFonts w:ascii="宋体"/>
              </w:rPr>
            </w:pPr>
          </w:p>
        </w:tc>
        <w:tc>
          <w:tcPr>
            <w:tcW w:w="0" w:type="auto"/>
            <w:shd w:val="clear" w:color="auto" w:fill="auto"/>
          </w:tcPr>
          <w:p w14:paraId="33DAF47C" w14:textId="77777777" w:rsidR="004D6A64" w:rsidRDefault="004D6A64">
            <w:pPr>
              <w:rPr>
                <w:rFonts w:ascii="宋体"/>
              </w:rPr>
            </w:pPr>
          </w:p>
        </w:tc>
        <w:tc>
          <w:tcPr>
            <w:tcW w:w="0" w:type="auto"/>
            <w:shd w:val="clear" w:color="auto" w:fill="auto"/>
          </w:tcPr>
          <w:p w14:paraId="33DAF47D" w14:textId="77777777" w:rsidR="004D6A64" w:rsidRDefault="004D6A64">
            <w:pPr>
              <w:rPr>
                <w:rFonts w:ascii="宋体"/>
              </w:rPr>
            </w:pPr>
          </w:p>
        </w:tc>
        <w:tc>
          <w:tcPr>
            <w:tcW w:w="0" w:type="auto"/>
            <w:shd w:val="clear" w:color="auto" w:fill="auto"/>
          </w:tcPr>
          <w:p w14:paraId="33DAF47E" w14:textId="77777777" w:rsidR="004D6A64" w:rsidRDefault="004D6A64">
            <w:pPr>
              <w:rPr>
                <w:rFonts w:ascii="宋体"/>
              </w:rPr>
            </w:pPr>
          </w:p>
        </w:tc>
        <w:tc>
          <w:tcPr>
            <w:tcW w:w="0" w:type="auto"/>
            <w:shd w:val="clear" w:color="auto" w:fill="auto"/>
          </w:tcPr>
          <w:p w14:paraId="33DAF47F" w14:textId="77777777" w:rsidR="004D6A64" w:rsidRDefault="004D6A64">
            <w:pPr>
              <w:rPr>
                <w:rFonts w:ascii="宋体"/>
              </w:rPr>
            </w:pPr>
          </w:p>
        </w:tc>
        <w:tc>
          <w:tcPr>
            <w:tcW w:w="0" w:type="auto"/>
            <w:shd w:val="clear" w:color="auto" w:fill="auto"/>
          </w:tcPr>
          <w:p w14:paraId="33DAF480" w14:textId="77777777" w:rsidR="004D6A64" w:rsidRDefault="004D6A64">
            <w:pPr>
              <w:rPr>
                <w:rFonts w:ascii="宋体"/>
              </w:rPr>
            </w:pPr>
          </w:p>
        </w:tc>
        <w:tc>
          <w:tcPr>
            <w:tcW w:w="0" w:type="auto"/>
            <w:shd w:val="clear" w:color="auto" w:fill="auto"/>
          </w:tcPr>
          <w:p w14:paraId="33DAF481" w14:textId="77777777" w:rsidR="004D6A64" w:rsidRDefault="004D6A64">
            <w:pPr>
              <w:rPr>
                <w:rFonts w:ascii="宋体"/>
              </w:rPr>
            </w:pPr>
          </w:p>
        </w:tc>
        <w:tc>
          <w:tcPr>
            <w:tcW w:w="0" w:type="auto"/>
            <w:shd w:val="clear" w:color="auto" w:fill="auto"/>
          </w:tcPr>
          <w:p w14:paraId="33DAF482" w14:textId="77777777" w:rsidR="004D6A64" w:rsidRDefault="004D6A64">
            <w:pPr>
              <w:rPr>
                <w:rFonts w:ascii="宋体"/>
              </w:rPr>
            </w:pPr>
          </w:p>
        </w:tc>
        <w:tc>
          <w:tcPr>
            <w:tcW w:w="0" w:type="auto"/>
            <w:shd w:val="clear" w:color="auto" w:fill="auto"/>
          </w:tcPr>
          <w:p w14:paraId="33DAF483" w14:textId="77777777" w:rsidR="004D6A64" w:rsidRDefault="004D6A64">
            <w:pPr>
              <w:rPr>
                <w:rFonts w:ascii="宋体"/>
              </w:rPr>
            </w:pPr>
          </w:p>
        </w:tc>
        <w:tc>
          <w:tcPr>
            <w:tcW w:w="0" w:type="auto"/>
            <w:shd w:val="clear" w:color="auto" w:fill="auto"/>
          </w:tcPr>
          <w:p w14:paraId="33DAF484" w14:textId="77777777" w:rsidR="004D6A64" w:rsidRDefault="004D6A64">
            <w:pPr>
              <w:rPr>
                <w:rFonts w:ascii="宋体"/>
              </w:rPr>
            </w:pPr>
          </w:p>
        </w:tc>
        <w:tc>
          <w:tcPr>
            <w:tcW w:w="0" w:type="auto"/>
            <w:shd w:val="clear" w:color="auto" w:fill="auto"/>
          </w:tcPr>
          <w:p w14:paraId="33DAF485" w14:textId="77777777" w:rsidR="004D6A64" w:rsidRDefault="004D6A64">
            <w:pPr>
              <w:rPr>
                <w:rFonts w:ascii="宋体"/>
              </w:rPr>
            </w:pPr>
          </w:p>
        </w:tc>
        <w:tc>
          <w:tcPr>
            <w:tcW w:w="0" w:type="auto"/>
            <w:shd w:val="clear" w:color="auto" w:fill="auto"/>
          </w:tcPr>
          <w:p w14:paraId="33DAF486" w14:textId="77777777" w:rsidR="004D6A64" w:rsidRDefault="004D6A64">
            <w:pPr>
              <w:rPr>
                <w:rFonts w:ascii="宋体"/>
              </w:rPr>
            </w:pPr>
          </w:p>
        </w:tc>
        <w:tc>
          <w:tcPr>
            <w:tcW w:w="0" w:type="auto"/>
            <w:shd w:val="clear" w:color="auto" w:fill="auto"/>
          </w:tcPr>
          <w:p w14:paraId="33DAF487" w14:textId="77777777" w:rsidR="004D6A64" w:rsidRDefault="004D6A64">
            <w:pPr>
              <w:rPr>
                <w:rFonts w:ascii="宋体"/>
              </w:rPr>
            </w:pPr>
          </w:p>
        </w:tc>
        <w:tc>
          <w:tcPr>
            <w:tcW w:w="0" w:type="auto"/>
            <w:shd w:val="clear" w:color="auto" w:fill="auto"/>
          </w:tcPr>
          <w:p w14:paraId="33DAF488" w14:textId="77777777" w:rsidR="004D6A64" w:rsidRDefault="004D6A64">
            <w:pPr>
              <w:rPr>
                <w:rFonts w:ascii="宋体"/>
              </w:rPr>
            </w:pPr>
          </w:p>
        </w:tc>
        <w:tc>
          <w:tcPr>
            <w:tcW w:w="0" w:type="auto"/>
            <w:shd w:val="clear" w:color="auto" w:fill="auto"/>
          </w:tcPr>
          <w:p w14:paraId="33DAF489" w14:textId="77777777" w:rsidR="004D6A64" w:rsidRDefault="004D6A64">
            <w:pPr>
              <w:rPr>
                <w:rFonts w:ascii="宋体"/>
              </w:rPr>
            </w:pPr>
          </w:p>
        </w:tc>
        <w:tc>
          <w:tcPr>
            <w:tcW w:w="0" w:type="auto"/>
            <w:shd w:val="clear" w:color="auto" w:fill="auto"/>
          </w:tcPr>
          <w:p w14:paraId="33DAF48A" w14:textId="77777777" w:rsidR="004D6A64" w:rsidRDefault="004D6A64">
            <w:pPr>
              <w:rPr>
                <w:rFonts w:ascii="宋体"/>
              </w:rPr>
            </w:pPr>
          </w:p>
        </w:tc>
      </w:tr>
      <w:tr w:rsidR="004D6A64" w14:paraId="33DAF4B3" w14:textId="77777777">
        <w:tc>
          <w:tcPr>
            <w:tcW w:w="0" w:type="auto"/>
            <w:gridSpan w:val="3"/>
            <w:shd w:val="clear" w:color="auto" w:fill="FFFFFF"/>
            <w:tcMar>
              <w:top w:w="40" w:type="dxa"/>
              <w:left w:w="20" w:type="dxa"/>
              <w:bottom w:w="40" w:type="dxa"/>
              <w:right w:w="20" w:type="dxa"/>
            </w:tcMar>
            <w:vAlign w:val="center"/>
          </w:tcPr>
          <w:p w14:paraId="33DAF48C" w14:textId="77777777" w:rsidR="004D6A64" w:rsidRDefault="00506CD6">
            <w:pPr>
              <w:textAlignment w:val="center"/>
            </w:pPr>
            <w:r>
              <w:rPr>
                <w:rFonts w:ascii="Times New Roman" w:eastAsia="宋体" w:hAnsi="Times New Roman"/>
                <w:i/>
                <w:iCs/>
                <w:color w:val="000000"/>
                <w:sz w:val="20"/>
                <w:szCs w:val="20"/>
              </w:rPr>
              <w:t>Operating income:</w:t>
            </w:r>
          </w:p>
        </w:tc>
        <w:tc>
          <w:tcPr>
            <w:tcW w:w="0" w:type="auto"/>
            <w:gridSpan w:val="3"/>
            <w:shd w:val="clear" w:color="auto" w:fill="FFFFFF"/>
            <w:tcMar>
              <w:left w:w="20" w:type="dxa"/>
              <w:right w:w="20" w:type="dxa"/>
            </w:tcMar>
            <w:vAlign w:val="bottom"/>
          </w:tcPr>
          <w:p w14:paraId="33DAF48D"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48E"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48F"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490"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491"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492"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493"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494"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495"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496"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497" w14:textId="77777777" w:rsidR="004D6A64" w:rsidRDefault="004D6A64">
            <w:pPr>
              <w:rPr>
                <w:rFonts w:ascii="宋体"/>
              </w:rPr>
            </w:pPr>
          </w:p>
        </w:tc>
        <w:tc>
          <w:tcPr>
            <w:tcW w:w="0" w:type="auto"/>
            <w:shd w:val="clear" w:color="auto" w:fill="auto"/>
          </w:tcPr>
          <w:p w14:paraId="33DAF498" w14:textId="77777777" w:rsidR="004D6A64" w:rsidRDefault="004D6A64">
            <w:pPr>
              <w:rPr>
                <w:rFonts w:ascii="宋体"/>
              </w:rPr>
            </w:pPr>
          </w:p>
        </w:tc>
        <w:tc>
          <w:tcPr>
            <w:tcW w:w="0" w:type="auto"/>
            <w:shd w:val="clear" w:color="auto" w:fill="auto"/>
          </w:tcPr>
          <w:p w14:paraId="33DAF499" w14:textId="77777777" w:rsidR="004D6A64" w:rsidRDefault="004D6A64">
            <w:pPr>
              <w:rPr>
                <w:rFonts w:ascii="宋体"/>
              </w:rPr>
            </w:pPr>
          </w:p>
        </w:tc>
        <w:tc>
          <w:tcPr>
            <w:tcW w:w="0" w:type="auto"/>
            <w:shd w:val="clear" w:color="auto" w:fill="auto"/>
          </w:tcPr>
          <w:p w14:paraId="33DAF49A" w14:textId="77777777" w:rsidR="004D6A64" w:rsidRDefault="004D6A64">
            <w:pPr>
              <w:rPr>
                <w:rFonts w:ascii="宋体"/>
              </w:rPr>
            </w:pPr>
          </w:p>
        </w:tc>
        <w:tc>
          <w:tcPr>
            <w:tcW w:w="0" w:type="auto"/>
            <w:shd w:val="clear" w:color="auto" w:fill="auto"/>
          </w:tcPr>
          <w:p w14:paraId="33DAF49B" w14:textId="77777777" w:rsidR="004D6A64" w:rsidRDefault="004D6A64">
            <w:pPr>
              <w:rPr>
                <w:rFonts w:ascii="宋体"/>
              </w:rPr>
            </w:pPr>
          </w:p>
        </w:tc>
        <w:tc>
          <w:tcPr>
            <w:tcW w:w="0" w:type="auto"/>
            <w:shd w:val="clear" w:color="auto" w:fill="auto"/>
          </w:tcPr>
          <w:p w14:paraId="33DAF49C" w14:textId="77777777" w:rsidR="004D6A64" w:rsidRDefault="004D6A64">
            <w:pPr>
              <w:rPr>
                <w:rFonts w:ascii="宋体"/>
              </w:rPr>
            </w:pPr>
          </w:p>
        </w:tc>
        <w:tc>
          <w:tcPr>
            <w:tcW w:w="0" w:type="auto"/>
            <w:shd w:val="clear" w:color="auto" w:fill="auto"/>
          </w:tcPr>
          <w:p w14:paraId="33DAF49D" w14:textId="77777777" w:rsidR="004D6A64" w:rsidRDefault="004D6A64">
            <w:pPr>
              <w:rPr>
                <w:rFonts w:ascii="宋体"/>
              </w:rPr>
            </w:pPr>
          </w:p>
        </w:tc>
        <w:tc>
          <w:tcPr>
            <w:tcW w:w="0" w:type="auto"/>
            <w:shd w:val="clear" w:color="auto" w:fill="auto"/>
          </w:tcPr>
          <w:p w14:paraId="33DAF49E" w14:textId="77777777" w:rsidR="004D6A64" w:rsidRDefault="004D6A64">
            <w:pPr>
              <w:rPr>
                <w:rFonts w:ascii="宋体"/>
              </w:rPr>
            </w:pPr>
          </w:p>
        </w:tc>
        <w:tc>
          <w:tcPr>
            <w:tcW w:w="0" w:type="auto"/>
            <w:shd w:val="clear" w:color="auto" w:fill="auto"/>
          </w:tcPr>
          <w:p w14:paraId="33DAF49F" w14:textId="77777777" w:rsidR="004D6A64" w:rsidRDefault="004D6A64">
            <w:pPr>
              <w:rPr>
                <w:rFonts w:ascii="宋体"/>
              </w:rPr>
            </w:pPr>
          </w:p>
        </w:tc>
        <w:tc>
          <w:tcPr>
            <w:tcW w:w="0" w:type="auto"/>
            <w:shd w:val="clear" w:color="auto" w:fill="auto"/>
          </w:tcPr>
          <w:p w14:paraId="33DAF4A0" w14:textId="77777777" w:rsidR="004D6A64" w:rsidRDefault="004D6A64">
            <w:pPr>
              <w:rPr>
                <w:rFonts w:ascii="宋体"/>
              </w:rPr>
            </w:pPr>
          </w:p>
        </w:tc>
        <w:tc>
          <w:tcPr>
            <w:tcW w:w="0" w:type="auto"/>
            <w:shd w:val="clear" w:color="auto" w:fill="auto"/>
          </w:tcPr>
          <w:p w14:paraId="33DAF4A1" w14:textId="77777777" w:rsidR="004D6A64" w:rsidRDefault="004D6A64">
            <w:pPr>
              <w:rPr>
                <w:rFonts w:ascii="宋体"/>
              </w:rPr>
            </w:pPr>
          </w:p>
        </w:tc>
        <w:tc>
          <w:tcPr>
            <w:tcW w:w="0" w:type="auto"/>
            <w:shd w:val="clear" w:color="auto" w:fill="auto"/>
          </w:tcPr>
          <w:p w14:paraId="33DAF4A2" w14:textId="77777777" w:rsidR="004D6A64" w:rsidRDefault="004D6A64">
            <w:pPr>
              <w:rPr>
                <w:rFonts w:ascii="宋体"/>
              </w:rPr>
            </w:pPr>
          </w:p>
        </w:tc>
        <w:tc>
          <w:tcPr>
            <w:tcW w:w="0" w:type="auto"/>
            <w:shd w:val="clear" w:color="auto" w:fill="auto"/>
          </w:tcPr>
          <w:p w14:paraId="33DAF4A3" w14:textId="77777777" w:rsidR="004D6A64" w:rsidRDefault="004D6A64">
            <w:pPr>
              <w:rPr>
                <w:rFonts w:ascii="宋体"/>
              </w:rPr>
            </w:pPr>
          </w:p>
        </w:tc>
        <w:tc>
          <w:tcPr>
            <w:tcW w:w="0" w:type="auto"/>
            <w:shd w:val="clear" w:color="auto" w:fill="auto"/>
          </w:tcPr>
          <w:p w14:paraId="33DAF4A4" w14:textId="77777777" w:rsidR="004D6A64" w:rsidRDefault="004D6A64">
            <w:pPr>
              <w:rPr>
                <w:rFonts w:ascii="宋体"/>
              </w:rPr>
            </w:pPr>
          </w:p>
        </w:tc>
        <w:tc>
          <w:tcPr>
            <w:tcW w:w="0" w:type="auto"/>
            <w:shd w:val="clear" w:color="auto" w:fill="auto"/>
          </w:tcPr>
          <w:p w14:paraId="33DAF4A5" w14:textId="77777777" w:rsidR="004D6A64" w:rsidRDefault="004D6A64">
            <w:pPr>
              <w:rPr>
                <w:rFonts w:ascii="宋体"/>
              </w:rPr>
            </w:pPr>
          </w:p>
        </w:tc>
        <w:tc>
          <w:tcPr>
            <w:tcW w:w="0" w:type="auto"/>
            <w:shd w:val="clear" w:color="auto" w:fill="auto"/>
          </w:tcPr>
          <w:p w14:paraId="33DAF4A6" w14:textId="77777777" w:rsidR="004D6A64" w:rsidRDefault="004D6A64">
            <w:pPr>
              <w:rPr>
                <w:rFonts w:ascii="宋体"/>
              </w:rPr>
            </w:pPr>
          </w:p>
        </w:tc>
        <w:tc>
          <w:tcPr>
            <w:tcW w:w="0" w:type="auto"/>
            <w:shd w:val="clear" w:color="auto" w:fill="auto"/>
          </w:tcPr>
          <w:p w14:paraId="33DAF4A7" w14:textId="77777777" w:rsidR="004D6A64" w:rsidRDefault="004D6A64">
            <w:pPr>
              <w:rPr>
                <w:rFonts w:ascii="宋体"/>
              </w:rPr>
            </w:pPr>
          </w:p>
        </w:tc>
        <w:tc>
          <w:tcPr>
            <w:tcW w:w="0" w:type="auto"/>
            <w:shd w:val="clear" w:color="auto" w:fill="auto"/>
          </w:tcPr>
          <w:p w14:paraId="33DAF4A8" w14:textId="77777777" w:rsidR="004D6A64" w:rsidRDefault="004D6A64">
            <w:pPr>
              <w:rPr>
                <w:rFonts w:ascii="宋体"/>
              </w:rPr>
            </w:pPr>
          </w:p>
        </w:tc>
        <w:tc>
          <w:tcPr>
            <w:tcW w:w="0" w:type="auto"/>
            <w:shd w:val="clear" w:color="auto" w:fill="auto"/>
          </w:tcPr>
          <w:p w14:paraId="33DAF4A9" w14:textId="77777777" w:rsidR="004D6A64" w:rsidRDefault="004D6A64">
            <w:pPr>
              <w:rPr>
                <w:rFonts w:ascii="宋体"/>
              </w:rPr>
            </w:pPr>
          </w:p>
        </w:tc>
        <w:tc>
          <w:tcPr>
            <w:tcW w:w="0" w:type="auto"/>
            <w:shd w:val="clear" w:color="auto" w:fill="auto"/>
          </w:tcPr>
          <w:p w14:paraId="33DAF4AA" w14:textId="77777777" w:rsidR="004D6A64" w:rsidRDefault="004D6A64">
            <w:pPr>
              <w:rPr>
                <w:rFonts w:ascii="宋体"/>
              </w:rPr>
            </w:pPr>
          </w:p>
        </w:tc>
        <w:tc>
          <w:tcPr>
            <w:tcW w:w="0" w:type="auto"/>
            <w:shd w:val="clear" w:color="auto" w:fill="auto"/>
          </w:tcPr>
          <w:p w14:paraId="33DAF4AB" w14:textId="77777777" w:rsidR="004D6A64" w:rsidRDefault="004D6A64">
            <w:pPr>
              <w:rPr>
                <w:rFonts w:ascii="宋体"/>
              </w:rPr>
            </w:pPr>
          </w:p>
        </w:tc>
        <w:tc>
          <w:tcPr>
            <w:tcW w:w="0" w:type="auto"/>
            <w:shd w:val="clear" w:color="auto" w:fill="auto"/>
          </w:tcPr>
          <w:p w14:paraId="33DAF4AC" w14:textId="77777777" w:rsidR="004D6A64" w:rsidRDefault="004D6A64">
            <w:pPr>
              <w:rPr>
                <w:rFonts w:ascii="宋体"/>
              </w:rPr>
            </w:pPr>
          </w:p>
        </w:tc>
        <w:tc>
          <w:tcPr>
            <w:tcW w:w="0" w:type="auto"/>
            <w:shd w:val="clear" w:color="auto" w:fill="auto"/>
          </w:tcPr>
          <w:p w14:paraId="33DAF4AD" w14:textId="77777777" w:rsidR="004D6A64" w:rsidRDefault="004D6A64">
            <w:pPr>
              <w:rPr>
                <w:rFonts w:ascii="宋体"/>
              </w:rPr>
            </w:pPr>
          </w:p>
        </w:tc>
        <w:tc>
          <w:tcPr>
            <w:tcW w:w="0" w:type="auto"/>
            <w:shd w:val="clear" w:color="auto" w:fill="auto"/>
          </w:tcPr>
          <w:p w14:paraId="33DAF4AE" w14:textId="77777777" w:rsidR="004D6A64" w:rsidRDefault="004D6A64">
            <w:pPr>
              <w:rPr>
                <w:rFonts w:ascii="宋体"/>
              </w:rPr>
            </w:pPr>
          </w:p>
        </w:tc>
        <w:tc>
          <w:tcPr>
            <w:tcW w:w="0" w:type="auto"/>
            <w:shd w:val="clear" w:color="auto" w:fill="auto"/>
          </w:tcPr>
          <w:p w14:paraId="33DAF4AF" w14:textId="77777777" w:rsidR="004D6A64" w:rsidRDefault="004D6A64">
            <w:pPr>
              <w:rPr>
                <w:rFonts w:ascii="宋体"/>
              </w:rPr>
            </w:pPr>
          </w:p>
        </w:tc>
        <w:tc>
          <w:tcPr>
            <w:tcW w:w="0" w:type="auto"/>
            <w:shd w:val="clear" w:color="auto" w:fill="auto"/>
          </w:tcPr>
          <w:p w14:paraId="33DAF4B0" w14:textId="77777777" w:rsidR="004D6A64" w:rsidRDefault="004D6A64">
            <w:pPr>
              <w:rPr>
                <w:rFonts w:ascii="宋体"/>
              </w:rPr>
            </w:pPr>
          </w:p>
        </w:tc>
        <w:tc>
          <w:tcPr>
            <w:tcW w:w="0" w:type="auto"/>
            <w:shd w:val="clear" w:color="auto" w:fill="auto"/>
          </w:tcPr>
          <w:p w14:paraId="33DAF4B1" w14:textId="77777777" w:rsidR="004D6A64" w:rsidRDefault="004D6A64">
            <w:pPr>
              <w:rPr>
                <w:rFonts w:ascii="宋体"/>
              </w:rPr>
            </w:pPr>
          </w:p>
        </w:tc>
        <w:tc>
          <w:tcPr>
            <w:tcW w:w="0" w:type="auto"/>
            <w:shd w:val="clear" w:color="auto" w:fill="auto"/>
          </w:tcPr>
          <w:p w14:paraId="33DAF4B2" w14:textId="77777777" w:rsidR="004D6A64" w:rsidRDefault="004D6A64">
            <w:pPr>
              <w:rPr>
                <w:rFonts w:ascii="宋体"/>
              </w:rPr>
            </w:pPr>
          </w:p>
        </w:tc>
      </w:tr>
      <w:tr w:rsidR="004D6A64" w14:paraId="33DAF4E5" w14:textId="77777777">
        <w:tc>
          <w:tcPr>
            <w:tcW w:w="0" w:type="auto"/>
            <w:gridSpan w:val="3"/>
            <w:shd w:val="clear" w:color="auto" w:fill="CCEEFF"/>
            <w:tcMar>
              <w:top w:w="40" w:type="dxa"/>
              <w:left w:w="135" w:type="dxa"/>
              <w:bottom w:w="40" w:type="dxa"/>
              <w:right w:w="20" w:type="dxa"/>
            </w:tcMar>
            <w:vAlign w:val="center"/>
          </w:tcPr>
          <w:p w14:paraId="33DAF4B4" w14:textId="77777777" w:rsidR="004D6A64" w:rsidRDefault="00506CD6">
            <w:pPr>
              <w:textAlignment w:val="center"/>
            </w:pPr>
            <w:r>
              <w:rPr>
                <w:rFonts w:ascii="Times New Roman" w:eastAsia="宋体" w:hAnsi="Times New Roman"/>
                <w:color w:val="000000"/>
                <w:sz w:val="20"/>
                <w:szCs w:val="20"/>
              </w:rPr>
              <w:t>CSG operating income</w:t>
            </w:r>
          </w:p>
        </w:tc>
        <w:tc>
          <w:tcPr>
            <w:tcW w:w="0" w:type="auto"/>
            <w:tcBorders>
              <w:top w:val="single" w:sz="8" w:space="0" w:color="000000"/>
            </w:tcBorders>
            <w:shd w:val="clear" w:color="auto" w:fill="CCEEFF"/>
            <w:tcMar>
              <w:top w:w="40" w:type="dxa"/>
              <w:left w:w="20" w:type="dxa"/>
              <w:bottom w:w="40" w:type="dxa"/>
            </w:tcMar>
            <w:vAlign w:val="center"/>
          </w:tcPr>
          <w:p w14:paraId="33DAF4B5"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F4B6" w14:textId="77777777" w:rsidR="004D6A64" w:rsidRDefault="00506CD6">
            <w:pPr>
              <w:jc w:val="right"/>
              <w:textAlignment w:val="center"/>
            </w:pPr>
            <w:r>
              <w:rPr>
                <w:rFonts w:ascii="Times New Roman" w:eastAsia="宋体" w:hAnsi="Times New Roman"/>
                <w:color w:val="000000"/>
                <w:sz w:val="20"/>
                <w:szCs w:val="20"/>
              </w:rPr>
              <w:t>715 </w:t>
            </w:r>
          </w:p>
        </w:tc>
        <w:tc>
          <w:tcPr>
            <w:tcW w:w="0" w:type="auto"/>
            <w:tcBorders>
              <w:top w:val="single" w:sz="8" w:space="0" w:color="000000"/>
            </w:tcBorders>
            <w:shd w:val="clear" w:color="auto" w:fill="CCEEFF"/>
            <w:tcMar>
              <w:top w:w="40" w:type="dxa"/>
              <w:bottom w:w="40" w:type="dxa"/>
              <w:right w:w="20" w:type="dxa"/>
            </w:tcMar>
            <w:vAlign w:val="center"/>
          </w:tcPr>
          <w:p w14:paraId="33DAF4B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4B8"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4B9" w14:textId="77777777" w:rsidR="004D6A64" w:rsidRDefault="00506CD6">
            <w:pPr>
              <w:jc w:val="right"/>
              <w:textAlignment w:val="center"/>
            </w:pPr>
            <w:r>
              <w:rPr>
                <w:rFonts w:ascii="Times New Roman" w:eastAsia="宋体" w:hAnsi="Times New Roman"/>
                <w:color w:val="000000"/>
                <w:sz w:val="20"/>
                <w:szCs w:val="20"/>
              </w:rPr>
              <w:t>(27)</w:t>
            </w:r>
          </w:p>
        </w:tc>
        <w:tc>
          <w:tcPr>
            <w:tcW w:w="0" w:type="auto"/>
            <w:shd w:val="clear" w:color="auto" w:fill="CCEEFF"/>
            <w:tcMar>
              <w:top w:w="40" w:type="dxa"/>
              <w:bottom w:w="40" w:type="dxa"/>
              <w:right w:w="20" w:type="dxa"/>
            </w:tcMar>
            <w:vAlign w:val="center"/>
          </w:tcPr>
          <w:p w14:paraId="33DAF4BA"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F4BB"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33DAF4BC"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F4BD" w14:textId="77777777" w:rsidR="004D6A64" w:rsidRDefault="00506CD6">
            <w:pPr>
              <w:jc w:val="right"/>
              <w:textAlignment w:val="center"/>
            </w:pPr>
            <w:r>
              <w:rPr>
                <w:rFonts w:ascii="Times New Roman" w:eastAsia="宋体" w:hAnsi="Times New Roman"/>
                <w:color w:val="000000"/>
                <w:sz w:val="20"/>
                <w:szCs w:val="20"/>
              </w:rPr>
              <w:t>982 </w:t>
            </w:r>
          </w:p>
        </w:tc>
        <w:tc>
          <w:tcPr>
            <w:tcW w:w="0" w:type="auto"/>
            <w:tcBorders>
              <w:top w:val="single" w:sz="8" w:space="0" w:color="000000"/>
            </w:tcBorders>
            <w:shd w:val="clear" w:color="auto" w:fill="CCEEFF"/>
            <w:tcMar>
              <w:top w:w="40" w:type="dxa"/>
              <w:bottom w:w="40" w:type="dxa"/>
              <w:right w:w="20" w:type="dxa"/>
            </w:tcMar>
            <w:vAlign w:val="center"/>
          </w:tcPr>
          <w:p w14:paraId="33DAF4B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4BF"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33DAF4C0"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F4C1" w14:textId="77777777" w:rsidR="004D6A64" w:rsidRDefault="00506CD6">
            <w:pPr>
              <w:jc w:val="right"/>
              <w:textAlignment w:val="center"/>
            </w:pPr>
            <w:r>
              <w:rPr>
                <w:rFonts w:ascii="Times New Roman" w:eastAsia="宋体" w:hAnsi="Times New Roman"/>
                <w:color w:val="000000"/>
                <w:sz w:val="20"/>
                <w:szCs w:val="20"/>
              </w:rPr>
              <w:t>1,307 </w:t>
            </w:r>
          </w:p>
        </w:tc>
        <w:tc>
          <w:tcPr>
            <w:tcW w:w="0" w:type="auto"/>
            <w:tcBorders>
              <w:top w:val="single" w:sz="8" w:space="0" w:color="000000"/>
            </w:tcBorders>
            <w:shd w:val="clear" w:color="auto" w:fill="CCEEFF"/>
            <w:tcMar>
              <w:top w:w="40" w:type="dxa"/>
              <w:bottom w:w="40" w:type="dxa"/>
              <w:right w:w="20" w:type="dxa"/>
            </w:tcMar>
            <w:vAlign w:val="center"/>
          </w:tcPr>
          <w:p w14:paraId="33DAF4C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4C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4C4" w14:textId="77777777" w:rsidR="004D6A64" w:rsidRDefault="00506CD6">
            <w:pPr>
              <w:jc w:val="right"/>
              <w:textAlignment w:val="center"/>
            </w:pPr>
            <w:r>
              <w:rPr>
                <w:rFonts w:ascii="Times New Roman" w:eastAsia="宋体" w:hAnsi="Times New Roman"/>
                <w:color w:val="000000"/>
                <w:sz w:val="20"/>
                <w:szCs w:val="20"/>
              </w:rPr>
              <w:t>(26)</w:t>
            </w:r>
          </w:p>
        </w:tc>
        <w:tc>
          <w:tcPr>
            <w:tcW w:w="0" w:type="auto"/>
            <w:shd w:val="clear" w:color="auto" w:fill="CCEEFF"/>
            <w:tcMar>
              <w:top w:w="40" w:type="dxa"/>
              <w:bottom w:w="40" w:type="dxa"/>
              <w:right w:w="20" w:type="dxa"/>
            </w:tcMar>
            <w:vAlign w:val="center"/>
          </w:tcPr>
          <w:p w14:paraId="33DAF4C5"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F4C6"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33DAF4C7"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F4C8" w14:textId="77777777" w:rsidR="004D6A64" w:rsidRDefault="00506CD6">
            <w:pPr>
              <w:jc w:val="right"/>
              <w:textAlignment w:val="center"/>
            </w:pPr>
            <w:r>
              <w:rPr>
                <w:rFonts w:ascii="Times New Roman" w:eastAsia="宋体" w:hAnsi="Times New Roman"/>
                <w:color w:val="000000"/>
                <w:sz w:val="20"/>
                <w:szCs w:val="20"/>
              </w:rPr>
              <w:t>1,775 </w:t>
            </w:r>
          </w:p>
        </w:tc>
        <w:tc>
          <w:tcPr>
            <w:tcW w:w="0" w:type="auto"/>
            <w:tcBorders>
              <w:top w:val="single" w:sz="8" w:space="0" w:color="000000"/>
            </w:tcBorders>
            <w:shd w:val="clear" w:color="auto" w:fill="CCEEFF"/>
            <w:tcMar>
              <w:top w:w="40" w:type="dxa"/>
              <w:bottom w:w="40" w:type="dxa"/>
              <w:right w:w="20" w:type="dxa"/>
            </w:tcMar>
            <w:vAlign w:val="center"/>
          </w:tcPr>
          <w:p w14:paraId="33DAF4C9" w14:textId="77777777" w:rsidR="004D6A64" w:rsidRDefault="004D6A64">
            <w:pPr>
              <w:jc w:val="right"/>
              <w:rPr>
                <w:rFonts w:ascii="宋体"/>
              </w:rPr>
            </w:pPr>
          </w:p>
        </w:tc>
        <w:tc>
          <w:tcPr>
            <w:tcW w:w="0" w:type="auto"/>
            <w:shd w:val="clear" w:color="auto" w:fill="auto"/>
          </w:tcPr>
          <w:p w14:paraId="33DAF4CA" w14:textId="77777777" w:rsidR="004D6A64" w:rsidRDefault="004D6A64">
            <w:pPr>
              <w:rPr>
                <w:rFonts w:ascii="宋体"/>
              </w:rPr>
            </w:pPr>
          </w:p>
        </w:tc>
        <w:tc>
          <w:tcPr>
            <w:tcW w:w="0" w:type="auto"/>
            <w:shd w:val="clear" w:color="auto" w:fill="auto"/>
          </w:tcPr>
          <w:p w14:paraId="33DAF4CB" w14:textId="77777777" w:rsidR="004D6A64" w:rsidRDefault="004D6A64">
            <w:pPr>
              <w:rPr>
                <w:rFonts w:ascii="宋体"/>
              </w:rPr>
            </w:pPr>
          </w:p>
        </w:tc>
        <w:tc>
          <w:tcPr>
            <w:tcW w:w="0" w:type="auto"/>
            <w:shd w:val="clear" w:color="auto" w:fill="auto"/>
          </w:tcPr>
          <w:p w14:paraId="33DAF4CC" w14:textId="77777777" w:rsidR="004D6A64" w:rsidRDefault="004D6A64">
            <w:pPr>
              <w:rPr>
                <w:rFonts w:ascii="宋体"/>
              </w:rPr>
            </w:pPr>
          </w:p>
        </w:tc>
        <w:tc>
          <w:tcPr>
            <w:tcW w:w="0" w:type="auto"/>
            <w:shd w:val="clear" w:color="auto" w:fill="auto"/>
          </w:tcPr>
          <w:p w14:paraId="33DAF4CD" w14:textId="77777777" w:rsidR="004D6A64" w:rsidRDefault="004D6A64">
            <w:pPr>
              <w:rPr>
                <w:rFonts w:ascii="宋体"/>
              </w:rPr>
            </w:pPr>
          </w:p>
        </w:tc>
        <w:tc>
          <w:tcPr>
            <w:tcW w:w="0" w:type="auto"/>
            <w:shd w:val="clear" w:color="auto" w:fill="auto"/>
          </w:tcPr>
          <w:p w14:paraId="33DAF4CE" w14:textId="77777777" w:rsidR="004D6A64" w:rsidRDefault="004D6A64">
            <w:pPr>
              <w:rPr>
                <w:rFonts w:ascii="宋体"/>
              </w:rPr>
            </w:pPr>
          </w:p>
        </w:tc>
        <w:tc>
          <w:tcPr>
            <w:tcW w:w="0" w:type="auto"/>
            <w:shd w:val="clear" w:color="auto" w:fill="auto"/>
          </w:tcPr>
          <w:p w14:paraId="33DAF4CF" w14:textId="77777777" w:rsidR="004D6A64" w:rsidRDefault="004D6A64">
            <w:pPr>
              <w:rPr>
                <w:rFonts w:ascii="宋体"/>
              </w:rPr>
            </w:pPr>
          </w:p>
        </w:tc>
        <w:tc>
          <w:tcPr>
            <w:tcW w:w="0" w:type="auto"/>
            <w:shd w:val="clear" w:color="auto" w:fill="auto"/>
          </w:tcPr>
          <w:p w14:paraId="33DAF4D0" w14:textId="77777777" w:rsidR="004D6A64" w:rsidRDefault="004D6A64">
            <w:pPr>
              <w:rPr>
                <w:rFonts w:ascii="宋体"/>
              </w:rPr>
            </w:pPr>
          </w:p>
        </w:tc>
        <w:tc>
          <w:tcPr>
            <w:tcW w:w="0" w:type="auto"/>
            <w:shd w:val="clear" w:color="auto" w:fill="auto"/>
          </w:tcPr>
          <w:p w14:paraId="33DAF4D1" w14:textId="77777777" w:rsidR="004D6A64" w:rsidRDefault="004D6A64">
            <w:pPr>
              <w:rPr>
                <w:rFonts w:ascii="宋体"/>
              </w:rPr>
            </w:pPr>
          </w:p>
        </w:tc>
        <w:tc>
          <w:tcPr>
            <w:tcW w:w="0" w:type="auto"/>
            <w:shd w:val="clear" w:color="auto" w:fill="auto"/>
          </w:tcPr>
          <w:p w14:paraId="33DAF4D2" w14:textId="77777777" w:rsidR="004D6A64" w:rsidRDefault="004D6A64">
            <w:pPr>
              <w:rPr>
                <w:rFonts w:ascii="宋体"/>
              </w:rPr>
            </w:pPr>
          </w:p>
        </w:tc>
        <w:tc>
          <w:tcPr>
            <w:tcW w:w="0" w:type="auto"/>
            <w:shd w:val="clear" w:color="auto" w:fill="auto"/>
          </w:tcPr>
          <w:p w14:paraId="33DAF4D3" w14:textId="77777777" w:rsidR="004D6A64" w:rsidRDefault="004D6A64">
            <w:pPr>
              <w:rPr>
                <w:rFonts w:ascii="宋体"/>
              </w:rPr>
            </w:pPr>
          </w:p>
        </w:tc>
        <w:tc>
          <w:tcPr>
            <w:tcW w:w="0" w:type="auto"/>
            <w:shd w:val="clear" w:color="auto" w:fill="auto"/>
          </w:tcPr>
          <w:p w14:paraId="33DAF4D4" w14:textId="77777777" w:rsidR="004D6A64" w:rsidRDefault="004D6A64">
            <w:pPr>
              <w:rPr>
                <w:rFonts w:ascii="宋体"/>
              </w:rPr>
            </w:pPr>
          </w:p>
        </w:tc>
        <w:tc>
          <w:tcPr>
            <w:tcW w:w="0" w:type="auto"/>
            <w:shd w:val="clear" w:color="auto" w:fill="auto"/>
          </w:tcPr>
          <w:p w14:paraId="33DAF4D5" w14:textId="77777777" w:rsidR="004D6A64" w:rsidRDefault="004D6A64">
            <w:pPr>
              <w:rPr>
                <w:rFonts w:ascii="宋体"/>
              </w:rPr>
            </w:pPr>
          </w:p>
        </w:tc>
        <w:tc>
          <w:tcPr>
            <w:tcW w:w="0" w:type="auto"/>
            <w:shd w:val="clear" w:color="auto" w:fill="auto"/>
          </w:tcPr>
          <w:p w14:paraId="33DAF4D6" w14:textId="77777777" w:rsidR="004D6A64" w:rsidRDefault="004D6A64">
            <w:pPr>
              <w:rPr>
                <w:rFonts w:ascii="宋体"/>
              </w:rPr>
            </w:pPr>
          </w:p>
        </w:tc>
        <w:tc>
          <w:tcPr>
            <w:tcW w:w="0" w:type="auto"/>
            <w:shd w:val="clear" w:color="auto" w:fill="auto"/>
          </w:tcPr>
          <w:p w14:paraId="33DAF4D7" w14:textId="77777777" w:rsidR="004D6A64" w:rsidRDefault="004D6A64">
            <w:pPr>
              <w:rPr>
                <w:rFonts w:ascii="宋体"/>
              </w:rPr>
            </w:pPr>
          </w:p>
        </w:tc>
        <w:tc>
          <w:tcPr>
            <w:tcW w:w="0" w:type="auto"/>
            <w:shd w:val="clear" w:color="auto" w:fill="auto"/>
          </w:tcPr>
          <w:p w14:paraId="33DAF4D8" w14:textId="77777777" w:rsidR="004D6A64" w:rsidRDefault="004D6A64">
            <w:pPr>
              <w:rPr>
                <w:rFonts w:ascii="宋体"/>
              </w:rPr>
            </w:pPr>
          </w:p>
        </w:tc>
        <w:tc>
          <w:tcPr>
            <w:tcW w:w="0" w:type="auto"/>
            <w:shd w:val="clear" w:color="auto" w:fill="auto"/>
          </w:tcPr>
          <w:p w14:paraId="33DAF4D9" w14:textId="77777777" w:rsidR="004D6A64" w:rsidRDefault="004D6A64">
            <w:pPr>
              <w:rPr>
                <w:rFonts w:ascii="宋体"/>
              </w:rPr>
            </w:pPr>
          </w:p>
        </w:tc>
        <w:tc>
          <w:tcPr>
            <w:tcW w:w="0" w:type="auto"/>
            <w:shd w:val="clear" w:color="auto" w:fill="auto"/>
          </w:tcPr>
          <w:p w14:paraId="33DAF4DA" w14:textId="77777777" w:rsidR="004D6A64" w:rsidRDefault="004D6A64">
            <w:pPr>
              <w:rPr>
                <w:rFonts w:ascii="宋体"/>
              </w:rPr>
            </w:pPr>
          </w:p>
        </w:tc>
        <w:tc>
          <w:tcPr>
            <w:tcW w:w="0" w:type="auto"/>
            <w:shd w:val="clear" w:color="auto" w:fill="auto"/>
          </w:tcPr>
          <w:p w14:paraId="33DAF4DB" w14:textId="77777777" w:rsidR="004D6A64" w:rsidRDefault="004D6A64">
            <w:pPr>
              <w:rPr>
                <w:rFonts w:ascii="宋体"/>
              </w:rPr>
            </w:pPr>
          </w:p>
        </w:tc>
        <w:tc>
          <w:tcPr>
            <w:tcW w:w="0" w:type="auto"/>
            <w:shd w:val="clear" w:color="auto" w:fill="auto"/>
          </w:tcPr>
          <w:p w14:paraId="33DAF4DC" w14:textId="77777777" w:rsidR="004D6A64" w:rsidRDefault="004D6A64">
            <w:pPr>
              <w:rPr>
                <w:rFonts w:ascii="宋体"/>
              </w:rPr>
            </w:pPr>
          </w:p>
        </w:tc>
        <w:tc>
          <w:tcPr>
            <w:tcW w:w="0" w:type="auto"/>
            <w:shd w:val="clear" w:color="auto" w:fill="auto"/>
          </w:tcPr>
          <w:p w14:paraId="33DAF4DD" w14:textId="77777777" w:rsidR="004D6A64" w:rsidRDefault="004D6A64">
            <w:pPr>
              <w:rPr>
                <w:rFonts w:ascii="宋体"/>
              </w:rPr>
            </w:pPr>
          </w:p>
        </w:tc>
        <w:tc>
          <w:tcPr>
            <w:tcW w:w="0" w:type="auto"/>
            <w:shd w:val="clear" w:color="auto" w:fill="auto"/>
          </w:tcPr>
          <w:p w14:paraId="33DAF4DE" w14:textId="77777777" w:rsidR="004D6A64" w:rsidRDefault="004D6A64">
            <w:pPr>
              <w:rPr>
                <w:rFonts w:ascii="宋体"/>
              </w:rPr>
            </w:pPr>
          </w:p>
        </w:tc>
        <w:tc>
          <w:tcPr>
            <w:tcW w:w="0" w:type="auto"/>
            <w:shd w:val="clear" w:color="auto" w:fill="auto"/>
          </w:tcPr>
          <w:p w14:paraId="33DAF4DF" w14:textId="77777777" w:rsidR="004D6A64" w:rsidRDefault="004D6A64">
            <w:pPr>
              <w:rPr>
                <w:rFonts w:ascii="宋体"/>
              </w:rPr>
            </w:pPr>
          </w:p>
        </w:tc>
        <w:tc>
          <w:tcPr>
            <w:tcW w:w="0" w:type="auto"/>
            <w:shd w:val="clear" w:color="auto" w:fill="auto"/>
          </w:tcPr>
          <w:p w14:paraId="33DAF4E0" w14:textId="77777777" w:rsidR="004D6A64" w:rsidRDefault="004D6A64">
            <w:pPr>
              <w:rPr>
                <w:rFonts w:ascii="宋体"/>
              </w:rPr>
            </w:pPr>
          </w:p>
        </w:tc>
        <w:tc>
          <w:tcPr>
            <w:tcW w:w="0" w:type="auto"/>
            <w:shd w:val="clear" w:color="auto" w:fill="auto"/>
          </w:tcPr>
          <w:p w14:paraId="33DAF4E1" w14:textId="77777777" w:rsidR="004D6A64" w:rsidRDefault="004D6A64">
            <w:pPr>
              <w:rPr>
                <w:rFonts w:ascii="宋体"/>
              </w:rPr>
            </w:pPr>
          </w:p>
        </w:tc>
        <w:tc>
          <w:tcPr>
            <w:tcW w:w="0" w:type="auto"/>
            <w:shd w:val="clear" w:color="auto" w:fill="auto"/>
          </w:tcPr>
          <w:p w14:paraId="33DAF4E2" w14:textId="77777777" w:rsidR="004D6A64" w:rsidRDefault="004D6A64">
            <w:pPr>
              <w:rPr>
                <w:rFonts w:ascii="宋体"/>
              </w:rPr>
            </w:pPr>
          </w:p>
        </w:tc>
        <w:tc>
          <w:tcPr>
            <w:tcW w:w="0" w:type="auto"/>
            <w:shd w:val="clear" w:color="auto" w:fill="auto"/>
          </w:tcPr>
          <w:p w14:paraId="33DAF4E3" w14:textId="77777777" w:rsidR="004D6A64" w:rsidRDefault="004D6A64">
            <w:pPr>
              <w:rPr>
                <w:rFonts w:ascii="宋体"/>
              </w:rPr>
            </w:pPr>
          </w:p>
        </w:tc>
        <w:tc>
          <w:tcPr>
            <w:tcW w:w="0" w:type="auto"/>
            <w:shd w:val="clear" w:color="auto" w:fill="auto"/>
          </w:tcPr>
          <w:p w14:paraId="33DAF4E4" w14:textId="77777777" w:rsidR="004D6A64" w:rsidRDefault="004D6A64">
            <w:pPr>
              <w:rPr>
                <w:rFonts w:ascii="宋体"/>
              </w:rPr>
            </w:pPr>
          </w:p>
        </w:tc>
      </w:tr>
      <w:tr w:rsidR="004D6A64" w14:paraId="33DAF511" w14:textId="77777777">
        <w:tc>
          <w:tcPr>
            <w:tcW w:w="0" w:type="auto"/>
            <w:gridSpan w:val="3"/>
            <w:shd w:val="clear" w:color="auto" w:fill="FFFFFF"/>
            <w:tcMar>
              <w:top w:w="40" w:type="dxa"/>
              <w:left w:w="135" w:type="dxa"/>
              <w:bottom w:w="40" w:type="dxa"/>
              <w:right w:w="20" w:type="dxa"/>
            </w:tcMar>
            <w:vAlign w:val="center"/>
          </w:tcPr>
          <w:p w14:paraId="33DAF4E6" w14:textId="77777777" w:rsidR="004D6A64" w:rsidRDefault="00506CD6">
            <w:pPr>
              <w:textAlignment w:val="center"/>
            </w:pPr>
            <w:r>
              <w:rPr>
                <w:rFonts w:ascii="Times New Roman" w:eastAsia="宋体" w:hAnsi="Times New Roman"/>
                <w:i/>
                <w:iCs/>
                <w:color w:val="000000"/>
                <w:sz w:val="20"/>
                <w:szCs w:val="20"/>
              </w:rPr>
              <w:t>% of segment net revenue</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F4E7" w14:textId="77777777" w:rsidR="004D6A64" w:rsidRDefault="00506CD6">
            <w:pPr>
              <w:jc w:val="right"/>
              <w:textAlignment w:val="center"/>
            </w:pPr>
            <w:r>
              <w:rPr>
                <w:rFonts w:ascii="Times New Roman" w:eastAsia="宋体" w:hAnsi="Times New Roman"/>
                <w:i/>
                <w:iCs/>
                <w:color w:val="000000"/>
                <w:sz w:val="20"/>
                <w:szCs w:val="20"/>
              </w:rPr>
              <w:t>6.4 </w:t>
            </w:r>
          </w:p>
        </w:tc>
        <w:tc>
          <w:tcPr>
            <w:tcW w:w="0" w:type="auto"/>
            <w:tcBorders>
              <w:top w:val="single" w:sz="8" w:space="0" w:color="000000"/>
            </w:tcBorders>
            <w:shd w:val="clear" w:color="auto" w:fill="FFFFFF"/>
            <w:tcMar>
              <w:top w:w="40" w:type="dxa"/>
              <w:bottom w:w="40" w:type="dxa"/>
              <w:right w:w="20" w:type="dxa"/>
            </w:tcMar>
            <w:vAlign w:val="center"/>
          </w:tcPr>
          <w:p w14:paraId="33DAF4E8" w14:textId="77777777" w:rsidR="004D6A64" w:rsidRDefault="00506CD6">
            <w:pPr>
              <w:jc w:val="right"/>
              <w:textAlignment w:val="center"/>
            </w:pPr>
            <w:r>
              <w:rPr>
                <w:rFonts w:ascii="Times New Roman" w:eastAsia="宋体" w:hAnsi="Times New Roman"/>
                <w:i/>
                <w:iCs/>
                <w:color w:val="000000"/>
                <w:sz w:val="20"/>
                <w:szCs w:val="20"/>
              </w:rPr>
              <w:t>%</w:t>
            </w:r>
          </w:p>
        </w:tc>
        <w:tc>
          <w:tcPr>
            <w:tcW w:w="0" w:type="auto"/>
            <w:gridSpan w:val="3"/>
            <w:shd w:val="clear" w:color="auto" w:fill="FFFFFF"/>
            <w:tcMar>
              <w:left w:w="20" w:type="dxa"/>
              <w:right w:w="20" w:type="dxa"/>
            </w:tcMar>
            <w:vAlign w:val="bottom"/>
          </w:tcPr>
          <w:p w14:paraId="33DAF4E9"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4EA"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4EB"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F4EC" w14:textId="77777777" w:rsidR="004D6A64" w:rsidRDefault="00506CD6">
            <w:pPr>
              <w:jc w:val="right"/>
              <w:textAlignment w:val="center"/>
            </w:pPr>
            <w:r>
              <w:rPr>
                <w:rFonts w:ascii="Times New Roman" w:eastAsia="宋体" w:hAnsi="Times New Roman"/>
                <w:i/>
                <w:iCs/>
                <w:color w:val="000000"/>
                <w:sz w:val="20"/>
                <w:szCs w:val="20"/>
              </w:rPr>
              <w:t>8.4 </w:t>
            </w:r>
          </w:p>
        </w:tc>
        <w:tc>
          <w:tcPr>
            <w:tcW w:w="0" w:type="auto"/>
            <w:tcBorders>
              <w:top w:val="single" w:sz="8" w:space="0" w:color="000000"/>
            </w:tcBorders>
            <w:shd w:val="clear" w:color="auto" w:fill="FFFFFF"/>
            <w:tcMar>
              <w:top w:w="40" w:type="dxa"/>
              <w:bottom w:w="40" w:type="dxa"/>
              <w:right w:w="20" w:type="dxa"/>
            </w:tcMar>
            <w:vAlign w:val="center"/>
          </w:tcPr>
          <w:p w14:paraId="33DAF4ED" w14:textId="77777777" w:rsidR="004D6A64" w:rsidRDefault="00506CD6">
            <w:pPr>
              <w:jc w:val="right"/>
              <w:textAlignment w:val="center"/>
            </w:pPr>
            <w:r>
              <w:rPr>
                <w:rFonts w:ascii="Times New Roman" w:eastAsia="宋体" w:hAnsi="Times New Roman"/>
                <w:i/>
                <w:iCs/>
                <w:color w:val="000000"/>
                <w:sz w:val="20"/>
                <w:szCs w:val="20"/>
              </w:rPr>
              <w:t>%</w:t>
            </w:r>
          </w:p>
        </w:tc>
        <w:tc>
          <w:tcPr>
            <w:tcW w:w="0" w:type="auto"/>
            <w:gridSpan w:val="3"/>
            <w:shd w:val="clear" w:color="auto" w:fill="FFFFFF"/>
            <w:tcMar>
              <w:left w:w="20" w:type="dxa"/>
              <w:right w:w="20" w:type="dxa"/>
            </w:tcMar>
            <w:vAlign w:val="bottom"/>
          </w:tcPr>
          <w:p w14:paraId="33DAF4EE"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F4EF" w14:textId="77777777" w:rsidR="004D6A64" w:rsidRDefault="00506CD6">
            <w:pPr>
              <w:jc w:val="right"/>
              <w:textAlignment w:val="center"/>
            </w:pPr>
            <w:r>
              <w:rPr>
                <w:rFonts w:ascii="Times New Roman" w:eastAsia="宋体" w:hAnsi="Times New Roman"/>
                <w:i/>
                <w:iCs/>
                <w:color w:val="000000"/>
                <w:sz w:val="20"/>
                <w:szCs w:val="20"/>
              </w:rPr>
              <w:t>5.9 </w:t>
            </w:r>
          </w:p>
        </w:tc>
        <w:tc>
          <w:tcPr>
            <w:tcW w:w="0" w:type="auto"/>
            <w:tcBorders>
              <w:top w:val="single" w:sz="8" w:space="0" w:color="000000"/>
            </w:tcBorders>
            <w:shd w:val="clear" w:color="auto" w:fill="FFFFFF"/>
            <w:tcMar>
              <w:top w:w="40" w:type="dxa"/>
              <w:bottom w:w="40" w:type="dxa"/>
              <w:right w:w="20" w:type="dxa"/>
            </w:tcMar>
            <w:vAlign w:val="center"/>
          </w:tcPr>
          <w:p w14:paraId="33DAF4F0" w14:textId="77777777" w:rsidR="004D6A64" w:rsidRDefault="00506CD6">
            <w:pPr>
              <w:jc w:val="right"/>
              <w:textAlignment w:val="center"/>
            </w:pPr>
            <w:r>
              <w:rPr>
                <w:rFonts w:ascii="Times New Roman" w:eastAsia="宋体" w:hAnsi="Times New Roman"/>
                <w:i/>
                <w:iCs/>
                <w:color w:val="000000"/>
                <w:sz w:val="20"/>
                <w:szCs w:val="20"/>
              </w:rPr>
              <w:t>%</w:t>
            </w:r>
          </w:p>
        </w:tc>
        <w:tc>
          <w:tcPr>
            <w:tcW w:w="0" w:type="auto"/>
            <w:gridSpan w:val="3"/>
            <w:shd w:val="clear" w:color="auto" w:fill="FFFFFF"/>
            <w:tcMar>
              <w:left w:w="20" w:type="dxa"/>
              <w:right w:w="20" w:type="dxa"/>
            </w:tcMar>
            <w:vAlign w:val="bottom"/>
          </w:tcPr>
          <w:p w14:paraId="33DAF4F1"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4F2"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4F3"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F4F4" w14:textId="77777777" w:rsidR="004D6A64" w:rsidRDefault="00506CD6">
            <w:pPr>
              <w:jc w:val="right"/>
              <w:textAlignment w:val="center"/>
            </w:pPr>
            <w:r>
              <w:rPr>
                <w:rFonts w:ascii="Times New Roman" w:eastAsia="宋体" w:hAnsi="Times New Roman"/>
                <w:i/>
                <w:iCs/>
                <w:color w:val="000000"/>
                <w:sz w:val="20"/>
                <w:szCs w:val="20"/>
              </w:rPr>
              <w:t>7.8 </w:t>
            </w:r>
          </w:p>
        </w:tc>
        <w:tc>
          <w:tcPr>
            <w:tcW w:w="0" w:type="auto"/>
            <w:tcBorders>
              <w:top w:val="single" w:sz="8" w:space="0" w:color="000000"/>
            </w:tcBorders>
            <w:shd w:val="clear" w:color="auto" w:fill="FFFFFF"/>
            <w:tcMar>
              <w:top w:w="40" w:type="dxa"/>
              <w:bottom w:w="40" w:type="dxa"/>
              <w:right w:w="20" w:type="dxa"/>
            </w:tcMar>
            <w:vAlign w:val="center"/>
          </w:tcPr>
          <w:p w14:paraId="33DAF4F5" w14:textId="77777777" w:rsidR="004D6A64" w:rsidRDefault="00506CD6">
            <w:pPr>
              <w:jc w:val="right"/>
              <w:textAlignment w:val="center"/>
            </w:pPr>
            <w:r>
              <w:rPr>
                <w:rFonts w:ascii="Times New Roman" w:eastAsia="宋体" w:hAnsi="Times New Roman"/>
                <w:i/>
                <w:iCs/>
                <w:color w:val="000000"/>
                <w:sz w:val="20"/>
                <w:szCs w:val="20"/>
              </w:rPr>
              <w:t>%</w:t>
            </w:r>
          </w:p>
        </w:tc>
        <w:tc>
          <w:tcPr>
            <w:tcW w:w="0" w:type="auto"/>
            <w:shd w:val="clear" w:color="auto" w:fill="auto"/>
          </w:tcPr>
          <w:p w14:paraId="33DAF4F6" w14:textId="77777777" w:rsidR="004D6A64" w:rsidRDefault="004D6A64">
            <w:pPr>
              <w:rPr>
                <w:rFonts w:ascii="宋体"/>
              </w:rPr>
            </w:pPr>
          </w:p>
        </w:tc>
        <w:tc>
          <w:tcPr>
            <w:tcW w:w="0" w:type="auto"/>
            <w:shd w:val="clear" w:color="auto" w:fill="auto"/>
          </w:tcPr>
          <w:p w14:paraId="33DAF4F7" w14:textId="77777777" w:rsidR="004D6A64" w:rsidRDefault="004D6A64">
            <w:pPr>
              <w:rPr>
                <w:rFonts w:ascii="宋体"/>
              </w:rPr>
            </w:pPr>
          </w:p>
        </w:tc>
        <w:tc>
          <w:tcPr>
            <w:tcW w:w="0" w:type="auto"/>
            <w:shd w:val="clear" w:color="auto" w:fill="auto"/>
          </w:tcPr>
          <w:p w14:paraId="33DAF4F8" w14:textId="77777777" w:rsidR="004D6A64" w:rsidRDefault="004D6A64">
            <w:pPr>
              <w:rPr>
                <w:rFonts w:ascii="宋体"/>
              </w:rPr>
            </w:pPr>
          </w:p>
        </w:tc>
        <w:tc>
          <w:tcPr>
            <w:tcW w:w="0" w:type="auto"/>
            <w:shd w:val="clear" w:color="auto" w:fill="auto"/>
          </w:tcPr>
          <w:p w14:paraId="33DAF4F9" w14:textId="77777777" w:rsidR="004D6A64" w:rsidRDefault="004D6A64">
            <w:pPr>
              <w:rPr>
                <w:rFonts w:ascii="宋体"/>
              </w:rPr>
            </w:pPr>
          </w:p>
        </w:tc>
        <w:tc>
          <w:tcPr>
            <w:tcW w:w="0" w:type="auto"/>
            <w:shd w:val="clear" w:color="auto" w:fill="auto"/>
          </w:tcPr>
          <w:p w14:paraId="33DAF4FA" w14:textId="77777777" w:rsidR="004D6A64" w:rsidRDefault="004D6A64">
            <w:pPr>
              <w:rPr>
                <w:rFonts w:ascii="宋体"/>
              </w:rPr>
            </w:pPr>
          </w:p>
        </w:tc>
        <w:tc>
          <w:tcPr>
            <w:tcW w:w="0" w:type="auto"/>
            <w:shd w:val="clear" w:color="auto" w:fill="auto"/>
          </w:tcPr>
          <w:p w14:paraId="33DAF4FB" w14:textId="77777777" w:rsidR="004D6A64" w:rsidRDefault="004D6A64">
            <w:pPr>
              <w:rPr>
                <w:rFonts w:ascii="宋体"/>
              </w:rPr>
            </w:pPr>
          </w:p>
        </w:tc>
        <w:tc>
          <w:tcPr>
            <w:tcW w:w="0" w:type="auto"/>
            <w:shd w:val="clear" w:color="auto" w:fill="auto"/>
          </w:tcPr>
          <w:p w14:paraId="33DAF4FC" w14:textId="77777777" w:rsidR="004D6A64" w:rsidRDefault="004D6A64">
            <w:pPr>
              <w:rPr>
                <w:rFonts w:ascii="宋体"/>
              </w:rPr>
            </w:pPr>
          </w:p>
        </w:tc>
        <w:tc>
          <w:tcPr>
            <w:tcW w:w="0" w:type="auto"/>
            <w:shd w:val="clear" w:color="auto" w:fill="auto"/>
          </w:tcPr>
          <w:p w14:paraId="33DAF4FD" w14:textId="77777777" w:rsidR="004D6A64" w:rsidRDefault="004D6A64">
            <w:pPr>
              <w:rPr>
                <w:rFonts w:ascii="宋体"/>
              </w:rPr>
            </w:pPr>
          </w:p>
        </w:tc>
        <w:tc>
          <w:tcPr>
            <w:tcW w:w="0" w:type="auto"/>
            <w:shd w:val="clear" w:color="auto" w:fill="auto"/>
          </w:tcPr>
          <w:p w14:paraId="33DAF4FE" w14:textId="77777777" w:rsidR="004D6A64" w:rsidRDefault="004D6A64">
            <w:pPr>
              <w:rPr>
                <w:rFonts w:ascii="宋体"/>
              </w:rPr>
            </w:pPr>
          </w:p>
        </w:tc>
        <w:tc>
          <w:tcPr>
            <w:tcW w:w="0" w:type="auto"/>
            <w:shd w:val="clear" w:color="auto" w:fill="auto"/>
          </w:tcPr>
          <w:p w14:paraId="33DAF4FF" w14:textId="77777777" w:rsidR="004D6A64" w:rsidRDefault="004D6A64">
            <w:pPr>
              <w:rPr>
                <w:rFonts w:ascii="宋体"/>
              </w:rPr>
            </w:pPr>
          </w:p>
        </w:tc>
        <w:tc>
          <w:tcPr>
            <w:tcW w:w="0" w:type="auto"/>
            <w:shd w:val="clear" w:color="auto" w:fill="auto"/>
          </w:tcPr>
          <w:p w14:paraId="33DAF500" w14:textId="77777777" w:rsidR="004D6A64" w:rsidRDefault="004D6A64">
            <w:pPr>
              <w:rPr>
                <w:rFonts w:ascii="宋体"/>
              </w:rPr>
            </w:pPr>
          </w:p>
        </w:tc>
        <w:tc>
          <w:tcPr>
            <w:tcW w:w="0" w:type="auto"/>
            <w:shd w:val="clear" w:color="auto" w:fill="auto"/>
          </w:tcPr>
          <w:p w14:paraId="33DAF501" w14:textId="77777777" w:rsidR="004D6A64" w:rsidRDefault="004D6A64">
            <w:pPr>
              <w:rPr>
                <w:rFonts w:ascii="宋体"/>
              </w:rPr>
            </w:pPr>
          </w:p>
        </w:tc>
        <w:tc>
          <w:tcPr>
            <w:tcW w:w="0" w:type="auto"/>
            <w:shd w:val="clear" w:color="auto" w:fill="auto"/>
          </w:tcPr>
          <w:p w14:paraId="33DAF502" w14:textId="77777777" w:rsidR="004D6A64" w:rsidRDefault="004D6A64">
            <w:pPr>
              <w:rPr>
                <w:rFonts w:ascii="宋体"/>
              </w:rPr>
            </w:pPr>
          </w:p>
        </w:tc>
        <w:tc>
          <w:tcPr>
            <w:tcW w:w="0" w:type="auto"/>
            <w:shd w:val="clear" w:color="auto" w:fill="auto"/>
          </w:tcPr>
          <w:p w14:paraId="33DAF503" w14:textId="77777777" w:rsidR="004D6A64" w:rsidRDefault="004D6A64">
            <w:pPr>
              <w:rPr>
                <w:rFonts w:ascii="宋体"/>
              </w:rPr>
            </w:pPr>
          </w:p>
        </w:tc>
        <w:tc>
          <w:tcPr>
            <w:tcW w:w="0" w:type="auto"/>
            <w:shd w:val="clear" w:color="auto" w:fill="auto"/>
          </w:tcPr>
          <w:p w14:paraId="33DAF504" w14:textId="77777777" w:rsidR="004D6A64" w:rsidRDefault="004D6A64">
            <w:pPr>
              <w:rPr>
                <w:rFonts w:ascii="宋体"/>
              </w:rPr>
            </w:pPr>
          </w:p>
        </w:tc>
        <w:tc>
          <w:tcPr>
            <w:tcW w:w="0" w:type="auto"/>
            <w:shd w:val="clear" w:color="auto" w:fill="auto"/>
          </w:tcPr>
          <w:p w14:paraId="33DAF505" w14:textId="77777777" w:rsidR="004D6A64" w:rsidRDefault="004D6A64">
            <w:pPr>
              <w:rPr>
                <w:rFonts w:ascii="宋体"/>
              </w:rPr>
            </w:pPr>
          </w:p>
        </w:tc>
        <w:tc>
          <w:tcPr>
            <w:tcW w:w="0" w:type="auto"/>
            <w:shd w:val="clear" w:color="auto" w:fill="auto"/>
          </w:tcPr>
          <w:p w14:paraId="33DAF506" w14:textId="77777777" w:rsidR="004D6A64" w:rsidRDefault="004D6A64">
            <w:pPr>
              <w:rPr>
                <w:rFonts w:ascii="宋体"/>
              </w:rPr>
            </w:pPr>
          </w:p>
        </w:tc>
        <w:tc>
          <w:tcPr>
            <w:tcW w:w="0" w:type="auto"/>
            <w:shd w:val="clear" w:color="auto" w:fill="auto"/>
          </w:tcPr>
          <w:p w14:paraId="33DAF507" w14:textId="77777777" w:rsidR="004D6A64" w:rsidRDefault="004D6A64">
            <w:pPr>
              <w:rPr>
                <w:rFonts w:ascii="宋体"/>
              </w:rPr>
            </w:pPr>
          </w:p>
        </w:tc>
        <w:tc>
          <w:tcPr>
            <w:tcW w:w="0" w:type="auto"/>
            <w:shd w:val="clear" w:color="auto" w:fill="auto"/>
          </w:tcPr>
          <w:p w14:paraId="33DAF508" w14:textId="77777777" w:rsidR="004D6A64" w:rsidRDefault="004D6A64">
            <w:pPr>
              <w:rPr>
                <w:rFonts w:ascii="宋体"/>
              </w:rPr>
            </w:pPr>
          </w:p>
        </w:tc>
        <w:tc>
          <w:tcPr>
            <w:tcW w:w="0" w:type="auto"/>
            <w:shd w:val="clear" w:color="auto" w:fill="auto"/>
          </w:tcPr>
          <w:p w14:paraId="33DAF509" w14:textId="77777777" w:rsidR="004D6A64" w:rsidRDefault="004D6A64">
            <w:pPr>
              <w:rPr>
                <w:rFonts w:ascii="宋体"/>
              </w:rPr>
            </w:pPr>
          </w:p>
        </w:tc>
        <w:tc>
          <w:tcPr>
            <w:tcW w:w="0" w:type="auto"/>
            <w:shd w:val="clear" w:color="auto" w:fill="auto"/>
          </w:tcPr>
          <w:p w14:paraId="33DAF50A" w14:textId="77777777" w:rsidR="004D6A64" w:rsidRDefault="004D6A64">
            <w:pPr>
              <w:rPr>
                <w:rFonts w:ascii="宋体"/>
              </w:rPr>
            </w:pPr>
          </w:p>
        </w:tc>
        <w:tc>
          <w:tcPr>
            <w:tcW w:w="0" w:type="auto"/>
            <w:shd w:val="clear" w:color="auto" w:fill="auto"/>
          </w:tcPr>
          <w:p w14:paraId="33DAF50B" w14:textId="77777777" w:rsidR="004D6A64" w:rsidRDefault="004D6A64">
            <w:pPr>
              <w:rPr>
                <w:rFonts w:ascii="宋体"/>
              </w:rPr>
            </w:pPr>
          </w:p>
        </w:tc>
        <w:tc>
          <w:tcPr>
            <w:tcW w:w="0" w:type="auto"/>
            <w:shd w:val="clear" w:color="auto" w:fill="auto"/>
          </w:tcPr>
          <w:p w14:paraId="33DAF50C" w14:textId="77777777" w:rsidR="004D6A64" w:rsidRDefault="004D6A64">
            <w:pPr>
              <w:rPr>
                <w:rFonts w:ascii="宋体"/>
              </w:rPr>
            </w:pPr>
          </w:p>
        </w:tc>
        <w:tc>
          <w:tcPr>
            <w:tcW w:w="0" w:type="auto"/>
            <w:shd w:val="clear" w:color="auto" w:fill="auto"/>
          </w:tcPr>
          <w:p w14:paraId="33DAF50D" w14:textId="77777777" w:rsidR="004D6A64" w:rsidRDefault="004D6A64">
            <w:pPr>
              <w:rPr>
                <w:rFonts w:ascii="宋体"/>
              </w:rPr>
            </w:pPr>
          </w:p>
        </w:tc>
        <w:tc>
          <w:tcPr>
            <w:tcW w:w="0" w:type="auto"/>
            <w:shd w:val="clear" w:color="auto" w:fill="auto"/>
          </w:tcPr>
          <w:p w14:paraId="33DAF50E" w14:textId="77777777" w:rsidR="004D6A64" w:rsidRDefault="004D6A64">
            <w:pPr>
              <w:rPr>
                <w:rFonts w:ascii="宋体"/>
              </w:rPr>
            </w:pPr>
          </w:p>
        </w:tc>
        <w:tc>
          <w:tcPr>
            <w:tcW w:w="0" w:type="auto"/>
            <w:shd w:val="clear" w:color="auto" w:fill="auto"/>
          </w:tcPr>
          <w:p w14:paraId="33DAF50F" w14:textId="77777777" w:rsidR="004D6A64" w:rsidRDefault="004D6A64">
            <w:pPr>
              <w:rPr>
                <w:rFonts w:ascii="宋体"/>
              </w:rPr>
            </w:pPr>
          </w:p>
        </w:tc>
        <w:tc>
          <w:tcPr>
            <w:tcW w:w="0" w:type="auto"/>
            <w:shd w:val="clear" w:color="auto" w:fill="auto"/>
          </w:tcPr>
          <w:p w14:paraId="33DAF510" w14:textId="77777777" w:rsidR="004D6A64" w:rsidRDefault="004D6A64">
            <w:pPr>
              <w:rPr>
                <w:rFonts w:ascii="宋体"/>
              </w:rPr>
            </w:pPr>
          </w:p>
        </w:tc>
      </w:tr>
    </w:tbl>
    <w:p w14:paraId="33DAF512" w14:textId="77777777" w:rsidR="004D6A64" w:rsidRDefault="004D6A64"/>
    <w:p w14:paraId="33DAF513" w14:textId="77777777" w:rsidR="004D6A64" w:rsidRDefault="00506CD6">
      <w:r>
        <w:rPr>
          <w:rFonts w:ascii="Times New Roman" w:eastAsia="宋体" w:hAnsi="Times New Roman"/>
          <w:i/>
          <w:iCs/>
          <w:color w:val="000000"/>
          <w:sz w:val="20"/>
          <w:szCs w:val="20"/>
          <w:u w:val="single"/>
        </w:rPr>
        <w:t>Net Revenue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During the second quarter </w:t>
      </w:r>
      <w:r>
        <w:rPr>
          <w:rFonts w:ascii="Times New Roman" w:eastAsia="宋体" w:hAnsi="Times New Roman"/>
          <w:color w:val="000000"/>
          <w:sz w:val="20"/>
          <w:szCs w:val="20"/>
        </w:rPr>
        <w:t>and first six months of Fiscal 2021, CSG net revenue decreased 5% and 2%, respectively, primarily due to decreases in commercial desktop sales, partially offset by increases in commercial and consumer notebook sales. Much of this demand was driven by the i</w:t>
      </w:r>
      <w:r>
        <w:rPr>
          <w:rFonts w:ascii="Times New Roman" w:eastAsia="宋体" w:hAnsi="Times New Roman"/>
          <w:color w:val="000000"/>
          <w:sz w:val="20"/>
          <w:szCs w:val="20"/>
        </w:rPr>
        <w:t xml:space="preserve">mperative for remote work and remote learning solutions, as business, government, and education customers sought to maintain productivity in the midst of COVID-19. </w:t>
      </w:r>
    </w:p>
    <w:p w14:paraId="33DAF514" w14:textId="77777777" w:rsidR="004D6A64" w:rsidRDefault="004D6A64"/>
    <w:p w14:paraId="33DAF515" w14:textId="77777777" w:rsidR="004D6A64" w:rsidRDefault="00506CD6">
      <w:r>
        <w:rPr>
          <w:rFonts w:ascii="Times New Roman" w:eastAsia="宋体" w:hAnsi="Times New Roman"/>
          <w:color w:val="000000"/>
          <w:sz w:val="20"/>
          <w:szCs w:val="20"/>
        </w:rPr>
        <w:t xml:space="preserve">Commercial revenue decreased 11% and 4% during the second quarter and first six months of </w:t>
      </w:r>
      <w:r>
        <w:rPr>
          <w:rFonts w:ascii="Times New Roman" w:eastAsia="宋体" w:hAnsi="Times New Roman"/>
          <w:color w:val="000000"/>
          <w:sz w:val="20"/>
          <w:szCs w:val="20"/>
        </w:rPr>
        <w:t>Fiscal 2021, respectively, primarily due to lower demand for commercial desktops. The decline in demand for commercial desktops was partially offset by an increase in demand for entry-level commercial notebooks, driven by customers in education and state a</w:t>
      </w:r>
      <w:r>
        <w:rPr>
          <w:rFonts w:ascii="Times New Roman" w:eastAsia="宋体" w:hAnsi="Times New Roman"/>
          <w:color w:val="000000"/>
          <w:sz w:val="20"/>
          <w:szCs w:val="20"/>
        </w:rPr>
        <w:t>nd local government. Consumer revenue increased 18% and 7% during the second quarter and first six months of Fiscal 2021, respectively, due to increased demand for consumer notebooks and high-end and gaming systems during the second quarter of Fiscal 2021,</w:t>
      </w:r>
      <w:r>
        <w:rPr>
          <w:rFonts w:ascii="Times New Roman" w:eastAsia="宋体" w:hAnsi="Times New Roman"/>
          <w:color w:val="000000"/>
          <w:sz w:val="20"/>
          <w:szCs w:val="20"/>
        </w:rPr>
        <w:t xml:space="preserve"> which more than offset the weakness in consumer demand during the first quarter of Fiscal 2021. </w:t>
      </w:r>
    </w:p>
    <w:p w14:paraId="33DAF516" w14:textId="77777777" w:rsidR="004D6A64" w:rsidRDefault="004D6A64"/>
    <w:p w14:paraId="33DAF517" w14:textId="77777777" w:rsidR="004D6A64" w:rsidRDefault="00506CD6">
      <w:r>
        <w:rPr>
          <w:rFonts w:ascii="Times New Roman" w:eastAsia="宋体" w:hAnsi="Times New Roman"/>
          <w:color w:val="000000"/>
          <w:sz w:val="20"/>
          <w:szCs w:val="20"/>
        </w:rPr>
        <w:t>From a geographical perspective, net revenue attributable to CSG decreased in all regions during the second quarter of Fiscal 2021. During the first six mont</w:t>
      </w:r>
      <w:r>
        <w:rPr>
          <w:rFonts w:ascii="Times New Roman" w:eastAsia="宋体" w:hAnsi="Times New Roman"/>
          <w:color w:val="000000"/>
          <w:sz w:val="20"/>
          <w:szCs w:val="20"/>
        </w:rPr>
        <w:t xml:space="preserve">hs of Fiscal 2021, net revenue in the Americas and EMEA increased despite weaker demand in the second quarter of Fiscal 2021. In APJ, net revenue decreased during the first six months of Fiscal 2021. </w:t>
      </w:r>
    </w:p>
    <w:p w14:paraId="33DAF518" w14:textId="77777777" w:rsidR="004D6A64" w:rsidRDefault="004D6A64"/>
    <w:p w14:paraId="33DAF519" w14:textId="77777777" w:rsidR="004D6A64" w:rsidRDefault="00506CD6">
      <w:r>
        <w:rPr>
          <w:rFonts w:ascii="Times New Roman" w:eastAsia="宋体" w:hAnsi="Times New Roman"/>
          <w:i/>
          <w:iCs/>
          <w:color w:val="000000"/>
          <w:sz w:val="20"/>
          <w:szCs w:val="20"/>
          <w:u w:val="single"/>
        </w:rPr>
        <w:t>Operating Income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During the second quarter of Fiscal</w:t>
      </w:r>
      <w:r>
        <w:rPr>
          <w:rFonts w:ascii="Times New Roman" w:eastAsia="宋体" w:hAnsi="Times New Roman"/>
          <w:color w:val="000000"/>
          <w:sz w:val="20"/>
          <w:szCs w:val="20"/>
        </w:rPr>
        <w:t xml:space="preserve"> 2021, CSG operating income as a percentage of net revenue decreased 200 basis points to 6.4%. During the first six months of Fiscal 2021, CSG operating income as a percentage of net revenue decreased 190 basis points to 5.9%. The decreases were primarily </w:t>
      </w:r>
      <w:r>
        <w:rPr>
          <w:rFonts w:ascii="Times New Roman" w:eastAsia="宋体" w:hAnsi="Times New Roman"/>
          <w:color w:val="000000"/>
          <w:sz w:val="20"/>
          <w:szCs w:val="20"/>
        </w:rPr>
        <w:t>due to decreases in gross margin percentage, partially offset by a decrease in operating expenses as a percentage of revenue, as we realized the benefit of cost reduction initiatives. Gross margin percentage decreases were principally driven by higher prod</w:t>
      </w:r>
      <w:r>
        <w:rPr>
          <w:rFonts w:ascii="Times New Roman" w:eastAsia="宋体" w:hAnsi="Times New Roman"/>
          <w:color w:val="000000"/>
          <w:sz w:val="20"/>
          <w:szCs w:val="20"/>
        </w:rPr>
        <w:t xml:space="preserve">uct costs and a shift in mix to consumer solutions. </w:t>
      </w:r>
    </w:p>
    <w:p w14:paraId="33DAF51A" w14:textId="77777777" w:rsidR="004D6A64" w:rsidRDefault="004D6A64"/>
    <w:p w14:paraId="33DAF51B" w14:textId="77777777" w:rsidR="004D6A64" w:rsidRDefault="00506CD6">
      <w:r>
        <w:rPr>
          <w:rFonts w:ascii="Times New Roman" w:eastAsia="宋体" w:hAnsi="Times New Roman"/>
          <w:color w:val="000000"/>
          <w:sz w:val="20"/>
          <w:szCs w:val="20"/>
        </w:rPr>
        <w:t xml:space="preserve">We will continue to monitor our pricing in response to the changing competitive and component cost environment. We expect the CSG component cost environment will be relatively flat in the third quarter </w:t>
      </w:r>
      <w:r>
        <w:rPr>
          <w:rFonts w:ascii="Times New Roman" w:eastAsia="宋体" w:hAnsi="Times New Roman"/>
          <w:color w:val="000000"/>
          <w:sz w:val="20"/>
          <w:szCs w:val="20"/>
        </w:rPr>
        <w:t xml:space="preserve">of Fiscal 2021 and then will return to a deflationary environment in the fourth quarter of Fiscal 2021. Higher mix in consumer demand and the related shift in product mix are expected to continue into the second half of Fiscal 2021, which may put pressure </w:t>
      </w:r>
      <w:r>
        <w:rPr>
          <w:rFonts w:ascii="Times New Roman" w:eastAsia="宋体" w:hAnsi="Times New Roman"/>
          <w:color w:val="000000"/>
          <w:sz w:val="20"/>
          <w:szCs w:val="20"/>
        </w:rPr>
        <w:t xml:space="preserve">on CSG operating results. </w:t>
      </w:r>
    </w:p>
    <w:p w14:paraId="33DAF51C" w14:textId="77777777" w:rsidR="004D6A64" w:rsidRDefault="004D6A64"/>
    <w:p w14:paraId="33DAF51D" w14:textId="77777777" w:rsidR="004D6A64" w:rsidRDefault="004D6A64">
      <w:pPr>
        <w:jc w:val="center"/>
      </w:pPr>
    </w:p>
    <w:p w14:paraId="33DAF51E" w14:textId="77777777" w:rsidR="004D6A64" w:rsidRDefault="00506CD6">
      <w:pPr>
        <w:jc w:val="center"/>
      </w:pPr>
      <w:r>
        <w:rPr>
          <w:rFonts w:ascii="Times New Roman" w:eastAsia="宋体" w:hAnsi="Times New Roman"/>
          <w:color w:val="000000"/>
          <w:sz w:val="20"/>
          <w:szCs w:val="20"/>
        </w:rPr>
        <w:t>85</w:t>
      </w:r>
    </w:p>
    <w:p w14:paraId="33DAF51F" w14:textId="77777777" w:rsidR="004D6A64" w:rsidRDefault="004D6A64">
      <w:pPr>
        <w:jc w:val="center"/>
      </w:pPr>
    </w:p>
    <w:p w14:paraId="33DAF520" w14:textId="77777777" w:rsidR="004D6A64" w:rsidRDefault="00506CD6">
      <w:r>
        <w:pict w14:anchorId="33DAFB19">
          <v:rect id="_x0000_i1109" style="width:415.3pt;height:1.5pt" o:hralign="center" o:hrstd="t" o:hr="t" fillcolor="#a0a0a0" stroked="f"/>
        </w:pict>
      </w:r>
    </w:p>
    <w:p w14:paraId="33DAF521" w14:textId="77777777" w:rsidR="004D6A64" w:rsidRDefault="00506CD6">
      <w:hyperlink r:id="rId208" w:anchor="if3e0e1bf9ecd4bf69551d7a85f98d64a_10" w:history="1">
        <w:r>
          <w:rPr>
            <w:rStyle w:val="a5"/>
            <w:rFonts w:ascii="Times New Roman" w:eastAsia="宋体" w:hAnsi="Times New Roman"/>
            <w:sz w:val="20"/>
            <w:szCs w:val="20"/>
          </w:rPr>
          <w:t>Table of Contents</w:t>
        </w:r>
      </w:hyperlink>
    </w:p>
    <w:p w14:paraId="33DAF522" w14:textId="77777777" w:rsidR="004D6A64" w:rsidRDefault="00506CD6">
      <w:r>
        <w:rPr>
          <w:rFonts w:ascii="Times New Roman" w:eastAsia="宋体" w:hAnsi="Times New Roman"/>
          <w:b/>
          <w:bCs/>
          <w:color w:val="000000"/>
          <w:sz w:val="20"/>
          <w:szCs w:val="20"/>
          <w:shd w:val="clear" w:color="auto" w:fill="FFFFFF"/>
        </w:rPr>
        <w:t>VMware</w:t>
      </w:r>
    </w:p>
    <w:p w14:paraId="33DAF523" w14:textId="77777777" w:rsidR="004D6A64" w:rsidRDefault="004D6A64"/>
    <w:p w14:paraId="33DAF524" w14:textId="77777777" w:rsidR="004D6A64" w:rsidRDefault="00506CD6">
      <w:r>
        <w:rPr>
          <w:rFonts w:ascii="Times New Roman" w:eastAsia="宋体" w:hAnsi="Times New Roman"/>
          <w:color w:val="000000"/>
          <w:sz w:val="20"/>
          <w:szCs w:val="20"/>
          <w:shd w:val="clear" w:color="auto" w:fill="FFFFFF"/>
        </w:rPr>
        <w:t xml:space="preserve">The following table presents net revenue and operating income attributable to VMware for the periods indicated. </w:t>
      </w:r>
      <w:r>
        <w:rPr>
          <w:rFonts w:ascii="Times New Roman" w:eastAsia="宋体" w:hAnsi="Times New Roman"/>
          <w:color w:val="000000"/>
          <w:sz w:val="20"/>
          <w:szCs w:val="20"/>
        </w:rPr>
        <w:t>During Fiscal 2020, the Company reclassified Pivotal operating results from other businesses to the VMware reportable segment. Prior period resu</w:t>
      </w:r>
      <w:r>
        <w:rPr>
          <w:rFonts w:ascii="Times New Roman" w:eastAsia="宋体" w:hAnsi="Times New Roman"/>
          <w:color w:val="000000"/>
          <w:sz w:val="20"/>
          <w:szCs w:val="20"/>
        </w:rPr>
        <w:t>lts have been recast to conform with the current period presentation.</w:t>
      </w:r>
    </w:p>
    <w:tbl>
      <w:tblPr>
        <w:tblW w:w="5000" w:type="pct"/>
        <w:tblCellMar>
          <w:top w:w="15" w:type="dxa"/>
          <w:left w:w="15" w:type="dxa"/>
          <w:bottom w:w="15" w:type="dxa"/>
          <w:right w:w="15" w:type="dxa"/>
        </w:tblCellMar>
        <w:tblLook w:val="04A0" w:firstRow="1" w:lastRow="0" w:firstColumn="1" w:lastColumn="0" w:noHBand="0" w:noVBand="1"/>
      </w:tblPr>
      <w:tblGrid>
        <w:gridCol w:w="39"/>
        <w:gridCol w:w="1233"/>
        <w:gridCol w:w="38"/>
        <w:gridCol w:w="135"/>
        <w:gridCol w:w="596"/>
        <w:gridCol w:w="202"/>
        <w:gridCol w:w="36"/>
        <w:gridCol w:w="36"/>
        <w:gridCol w:w="36"/>
        <w:gridCol w:w="84"/>
        <w:gridCol w:w="604"/>
        <w:gridCol w:w="202"/>
        <w:gridCol w:w="36"/>
        <w:gridCol w:w="36"/>
        <w:gridCol w:w="36"/>
        <w:gridCol w:w="135"/>
        <w:gridCol w:w="596"/>
        <w:gridCol w:w="202"/>
        <w:gridCol w:w="36"/>
        <w:gridCol w:w="36"/>
        <w:gridCol w:w="36"/>
        <w:gridCol w:w="135"/>
        <w:gridCol w:w="596"/>
        <w:gridCol w:w="202"/>
        <w:gridCol w:w="36"/>
        <w:gridCol w:w="36"/>
        <w:gridCol w:w="36"/>
        <w:gridCol w:w="86"/>
        <w:gridCol w:w="602"/>
        <w:gridCol w:w="202"/>
        <w:gridCol w:w="36"/>
        <w:gridCol w:w="36"/>
        <w:gridCol w:w="36"/>
        <w:gridCol w:w="135"/>
        <w:gridCol w:w="598"/>
        <w:gridCol w:w="202"/>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4D6A64" w14:paraId="33DAF549" w14:textId="77777777">
        <w:trPr>
          <w:gridAfter w:val="27"/>
        </w:trPr>
        <w:tc>
          <w:tcPr>
            <w:tcW w:w="50" w:type="pct"/>
            <w:shd w:val="clear" w:color="auto" w:fill="auto"/>
          </w:tcPr>
          <w:p w14:paraId="33DAF525" w14:textId="77777777" w:rsidR="004D6A64" w:rsidRDefault="004D6A64">
            <w:pPr>
              <w:rPr>
                <w:rFonts w:ascii="宋体"/>
              </w:rPr>
            </w:pPr>
          </w:p>
        </w:tc>
        <w:tc>
          <w:tcPr>
            <w:tcW w:w="1253" w:type="pct"/>
            <w:shd w:val="clear" w:color="auto" w:fill="auto"/>
          </w:tcPr>
          <w:p w14:paraId="33DAF526" w14:textId="77777777" w:rsidR="004D6A64" w:rsidRDefault="004D6A64">
            <w:pPr>
              <w:rPr>
                <w:rFonts w:ascii="宋体"/>
              </w:rPr>
            </w:pPr>
          </w:p>
        </w:tc>
        <w:tc>
          <w:tcPr>
            <w:tcW w:w="5" w:type="pct"/>
            <w:shd w:val="clear" w:color="auto" w:fill="auto"/>
          </w:tcPr>
          <w:p w14:paraId="33DAF527" w14:textId="77777777" w:rsidR="004D6A64" w:rsidRDefault="004D6A64">
            <w:pPr>
              <w:rPr>
                <w:rFonts w:ascii="宋体"/>
              </w:rPr>
            </w:pPr>
          </w:p>
        </w:tc>
        <w:tc>
          <w:tcPr>
            <w:tcW w:w="50" w:type="pct"/>
            <w:shd w:val="clear" w:color="auto" w:fill="auto"/>
          </w:tcPr>
          <w:p w14:paraId="33DAF528" w14:textId="77777777" w:rsidR="004D6A64" w:rsidRDefault="004D6A64">
            <w:pPr>
              <w:rPr>
                <w:rFonts w:ascii="宋体"/>
              </w:rPr>
            </w:pPr>
          </w:p>
        </w:tc>
        <w:tc>
          <w:tcPr>
            <w:tcW w:w="624" w:type="pct"/>
            <w:shd w:val="clear" w:color="auto" w:fill="auto"/>
          </w:tcPr>
          <w:p w14:paraId="33DAF529" w14:textId="77777777" w:rsidR="004D6A64" w:rsidRDefault="004D6A64">
            <w:pPr>
              <w:rPr>
                <w:rFonts w:ascii="宋体"/>
              </w:rPr>
            </w:pPr>
          </w:p>
        </w:tc>
        <w:tc>
          <w:tcPr>
            <w:tcW w:w="5" w:type="pct"/>
            <w:shd w:val="clear" w:color="auto" w:fill="auto"/>
          </w:tcPr>
          <w:p w14:paraId="33DAF52A" w14:textId="77777777" w:rsidR="004D6A64" w:rsidRDefault="004D6A64">
            <w:pPr>
              <w:rPr>
                <w:rFonts w:ascii="宋体"/>
              </w:rPr>
            </w:pPr>
          </w:p>
        </w:tc>
        <w:tc>
          <w:tcPr>
            <w:tcW w:w="5" w:type="pct"/>
            <w:shd w:val="clear" w:color="auto" w:fill="auto"/>
          </w:tcPr>
          <w:p w14:paraId="33DAF52B" w14:textId="77777777" w:rsidR="004D6A64" w:rsidRDefault="004D6A64">
            <w:pPr>
              <w:rPr>
                <w:rFonts w:ascii="宋体"/>
              </w:rPr>
            </w:pPr>
          </w:p>
        </w:tc>
        <w:tc>
          <w:tcPr>
            <w:tcW w:w="19" w:type="pct"/>
            <w:shd w:val="clear" w:color="auto" w:fill="auto"/>
          </w:tcPr>
          <w:p w14:paraId="33DAF52C" w14:textId="77777777" w:rsidR="004D6A64" w:rsidRDefault="004D6A64">
            <w:pPr>
              <w:rPr>
                <w:rFonts w:ascii="宋体"/>
              </w:rPr>
            </w:pPr>
          </w:p>
        </w:tc>
        <w:tc>
          <w:tcPr>
            <w:tcW w:w="5" w:type="pct"/>
            <w:shd w:val="clear" w:color="auto" w:fill="auto"/>
          </w:tcPr>
          <w:p w14:paraId="33DAF52D" w14:textId="77777777" w:rsidR="004D6A64" w:rsidRDefault="004D6A64">
            <w:pPr>
              <w:rPr>
                <w:rFonts w:ascii="宋体"/>
              </w:rPr>
            </w:pPr>
          </w:p>
        </w:tc>
        <w:tc>
          <w:tcPr>
            <w:tcW w:w="50" w:type="pct"/>
            <w:shd w:val="clear" w:color="auto" w:fill="auto"/>
          </w:tcPr>
          <w:p w14:paraId="33DAF52E" w14:textId="77777777" w:rsidR="004D6A64" w:rsidRDefault="004D6A64">
            <w:pPr>
              <w:rPr>
                <w:rFonts w:ascii="宋体"/>
              </w:rPr>
            </w:pPr>
          </w:p>
        </w:tc>
        <w:tc>
          <w:tcPr>
            <w:tcW w:w="361" w:type="pct"/>
            <w:shd w:val="clear" w:color="auto" w:fill="auto"/>
          </w:tcPr>
          <w:p w14:paraId="33DAF52F" w14:textId="77777777" w:rsidR="004D6A64" w:rsidRDefault="004D6A64">
            <w:pPr>
              <w:rPr>
                <w:rFonts w:ascii="宋体"/>
              </w:rPr>
            </w:pPr>
          </w:p>
        </w:tc>
        <w:tc>
          <w:tcPr>
            <w:tcW w:w="5" w:type="pct"/>
            <w:shd w:val="clear" w:color="auto" w:fill="auto"/>
          </w:tcPr>
          <w:p w14:paraId="33DAF530" w14:textId="77777777" w:rsidR="004D6A64" w:rsidRDefault="004D6A64">
            <w:pPr>
              <w:rPr>
                <w:rFonts w:ascii="宋体"/>
              </w:rPr>
            </w:pPr>
          </w:p>
        </w:tc>
        <w:tc>
          <w:tcPr>
            <w:tcW w:w="5" w:type="pct"/>
            <w:shd w:val="clear" w:color="auto" w:fill="auto"/>
          </w:tcPr>
          <w:p w14:paraId="33DAF531" w14:textId="77777777" w:rsidR="004D6A64" w:rsidRDefault="004D6A64">
            <w:pPr>
              <w:rPr>
                <w:rFonts w:ascii="宋体"/>
              </w:rPr>
            </w:pPr>
          </w:p>
        </w:tc>
        <w:tc>
          <w:tcPr>
            <w:tcW w:w="19" w:type="pct"/>
            <w:shd w:val="clear" w:color="auto" w:fill="auto"/>
          </w:tcPr>
          <w:p w14:paraId="33DAF532" w14:textId="77777777" w:rsidR="004D6A64" w:rsidRDefault="004D6A64">
            <w:pPr>
              <w:rPr>
                <w:rFonts w:ascii="宋体"/>
              </w:rPr>
            </w:pPr>
          </w:p>
        </w:tc>
        <w:tc>
          <w:tcPr>
            <w:tcW w:w="5" w:type="pct"/>
            <w:shd w:val="clear" w:color="auto" w:fill="auto"/>
          </w:tcPr>
          <w:p w14:paraId="33DAF533" w14:textId="77777777" w:rsidR="004D6A64" w:rsidRDefault="004D6A64">
            <w:pPr>
              <w:rPr>
                <w:rFonts w:ascii="宋体"/>
              </w:rPr>
            </w:pPr>
          </w:p>
        </w:tc>
        <w:tc>
          <w:tcPr>
            <w:tcW w:w="50" w:type="pct"/>
            <w:shd w:val="clear" w:color="auto" w:fill="auto"/>
          </w:tcPr>
          <w:p w14:paraId="33DAF534" w14:textId="77777777" w:rsidR="004D6A64" w:rsidRDefault="004D6A64">
            <w:pPr>
              <w:rPr>
                <w:rFonts w:ascii="宋体"/>
              </w:rPr>
            </w:pPr>
          </w:p>
        </w:tc>
        <w:tc>
          <w:tcPr>
            <w:tcW w:w="624" w:type="pct"/>
            <w:shd w:val="clear" w:color="auto" w:fill="auto"/>
          </w:tcPr>
          <w:p w14:paraId="33DAF535" w14:textId="77777777" w:rsidR="004D6A64" w:rsidRDefault="004D6A64">
            <w:pPr>
              <w:rPr>
                <w:rFonts w:ascii="宋体"/>
              </w:rPr>
            </w:pPr>
          </w:p>
        </w:tc>
        <w:tc>
          <w:tcPr>
            <w:tcW w:w="5" w:type="pct"/>
            <w:shd w:val="clear" w:color="auto" w:fill="auto"/>
          </w:tcPr>
          <w:p w14:paraId="33DAF536" w14:textId="77777777" w:rsidR="004D6A64" w:rsidRDefault="004D6A64">
            <w:pPr>
              <w:rPr>
                <w:rFonts w:ascii="宋体"/>
              </w:rPr>
            </w:pPr>
          </w:p>
        </w:tc>
        <w:tc>
          <w:tcPr>
            <w:tcW w:w="5" w:type="pct"/>
            <w:shd w:val="clear" w:color="auto" w:fill="auto"/>
          </w:tcPr>
          <w:p w14:paraId="33DAF537" w14:textId="77777777" w:rsidR="004D6A64" w:rsidRDefault="004D6A64">
            <w:pPr>
              <w:rPr>
                <w:rFonts w:ascii="宋体"/>
              </w:rPr>
            </w:pPr>
          </w:p>
        </w:tc>
        <w:tc>
          <w:tcPr>
            <w:tcW w:w="19" w:type="pct"/>
            <w:shd w:val="clear" w:color="auto" w:fill="auto"/>
          </w:tcPr>
          <w:p w14:paraId="33DAF538" w14:textId="77777777" w:rsidR="004D6A64" w:rsidRDefault="004D6A64">
            <w:pPr>
              <w:rPr>
                <w:rFonts w:ascii="宋体"/>
              </w:rPr>
            </w:pPr>
          </w:p>
        </w:tc>
        <w:tc>
          <w:tcPr>
            <w:tcW w:w="5" w:type="pct"/>
            <w:shd w:val="clear" w:color="auto" w:fill="auto"/>
          </w:tcPr>
          <w:p w14:paraId="33DAF539" w14:textId="77777777" w:rsidR="004D6A64" w:rsidRDefault="004D6A64">
            <w:pPr>
              <w:rPr>
                <w:rFonts w:ascii="宋体"/>
              </w:rPr>
            </w:pPr>
          </w:p>
        </w:tc>
        <w:tc>
          <w:tcPr>
            <w:tcW w:w="50" w:type="pct"/>
            <w:shd w:val="clear" w:color="auto" w:fill="auto"/>
          </w:tcPr>
          <w:p w14:paraId="33DAF53A" w14:textId="77777777" w:rsidR="004D6A64" w:rsidRDefault="004D6A64">
            <w:pPr>
              <w:rPr>
                <w:rFonts w:ascii="宋体"/>
              </w:rPr>
            </w:pPr>
          </w:p>
        </w:tc>
        <w:tc>
          <w:tcPr>
            <w:tcW w:w="624" w:type="pct"/>
            <w:shd w:val="clear" w:color="auto" w:fill="auto"/>
          </w:tcPr>
          <w:p w14:paraId="33DAF53B" w14:textId="77777777" w:rsidR="004D6A64" w:rsidRDefault="004D6A64">
            <w:pPr>
              <w:rPr>
                <w:rFonts w:ascii="宋体"/>
              </w:rPr>
            </w:pPr>
          </w:p>
        </w:tc>
        <w:tc>
          <w:tcPr>
            <w:tcW w:w="5" w:type="pct"/>
            <w:shd w:val="clear" w:color="auto" w:fill="auto"/>
          </w:tcPr>
          <w:p w14:paraId="33DAF53C" w14:textId="77777777" w:rsidR="004D6A64" w:rsidRDefault="004D6A64">
            <w:pPr>
              <w:rPr>
                <w:rFonts w:ascii="宋体"/>
              </w:rPr>
            </w:pPr>
          </w:p>
        </w:tc>
        <w:tc>
          <w:tcPr>
            <w:tcW w:w="5" w:type="pct"/>
            <w:shd w:val="clear" w:color="auto" w:fill="auto"/>
          </w:tcPr>
          <w:p w14:paraId="33DAF53D" w14:textId="77777777" w:rsidR="004D6A64" w:rsidRDefault="004D6A64">
            <w:pPr>
              <w:rPr>
                <w:rFonts w:ascii="宋体"/>
              </w:rPr>
            </w:pPr>
          </w:p>
        </w:tc>
        <w:tc>
          <w:tcPr>
            <w:tcW w:w="19" w:type="pct"/>
            <w:shd w:val="clear" w:color="auto" w:fill="auto"/>
          </w:tcPr>
          <w:p w14:paraId="33DAF53E" w14:textId="77777777" w:rsidR="004D6A64" w:rsidRDefault="004D6A64">
            <w:pPr>
              <w:rPr>
                <w:rFonts w:ascii="宋体"/>
              </w:rPr>
            </w:pPr>
          </w:p>
        </w:tc>
        <w:tc>
          <w:tcPr>
            <w:tcW w:w="5" w:type="pct"/>
            <w:shd w:val="clear" w:color="auto" w:fill="auto"/>
          </w:tcPr>
          <w:p w14:paraId="33DAF53F" w14:textId="77777777" w:rsidR="004D6A64" w:rsidRDefault="004D6A64">
            <w:pPr>
              <w:rPr>
                <w:rFonts w:ascii="宋体"/>
              </w:rPr>
            </w:pPr>
          </w:p>
        </w:tc>
        <w:tc>
          <w:tcPr>
            <w:tcW w:w="50" w:type="pct"/>
            <w:shd w:val="clear" w:color="auto" w:fill="auto"/>
          </w:tcPr>
          <w:p w14:paraId="33DAF540" w14:textId="77777777" w:rsidR="004D6A64" w:rsidRDefault="004D6A64">
            <w:pPr>
              <w:rPr>
                <w:rFonts w:ascii="宋体"/>
              </w:rPr>
            </w:pPr>
          </w:p>
        </w:tc>
        <w:tc>
          <w:tcPr>
            <w:tcW w:w="354" w:type="pct"/>
            <w:shd w:val="clear" w:color="auto" w:fill="auto"/>
          </w:tcPr>
          <w:p w14:paraId="33DAF541" w14:textId="77777777" w:rsidR="004D6A64" w:rsidRDefault="004D6A64">
            <w:pPr>
              <w:rPr>
                <w:rFonts w:ascii="宋体"/>
              </w:rPr>
            </w:pPr>
          </w:p>
        </w:tc>
        <w:tc>
          <w:tcPr>
            <w:tcW w:w="5" w:type="pct"/>
            <w:shd w:val="clear" w:color="auto" w:fill="auto"/>
          </w:tcPr>
          <w:p w14:paraId="33DAF542" w14:textId="77777777" w:rsidR="004D6A64" w:rsidRDefault="004D6A64">
            <w:pPr>
              <w:rPr>
                <w:rFonts w:ascii="宋体"/>
              </w:rPr>
            </w:pPr>
          </w:p>
        </w:tc>
        <w:tc>
          <w:tcPr>
            <w:tcW w:w="5" w:type="pct"/>
            <w:shd w:val="clear" w:color="auto" w:fill="auto"/>
          </w:tcPr>
          <w:p w14:paraId="33DAF543" w14:textId="77777777" w:rsidR="004D6A64" w:rsidRDefault="004D6A64">
            <w:pPr>
              <w:rPr>
                <w:rFonts w:ascii="宋体"/>
              </w:rPr>
            </w:pPr>
          </w:p>
        </w:tc>
        <w:tc>
          <w:tcPr>
            <w:tcW w:w="19" w:type="pct"/>
            <w:shd w:val="clear" w:color="auto" w:fill="auto"/>
          </w:tcPr>
          <w:p w14:paraId="33DAF544" w14:textId="77777777" w:rsidR="004D6A64" w:rsidRDefault="004D6A64">
            <w:pPr>
              <w:rPr>
                <w:rFonts w:ascii="宋体"/>
              </w:rPr>
            </w:pPr>
          </w:p>
        </w:tc>
        <w:tc>
          <w:tcPr>
            <w:tcW w:w="5" w:type="pct"/>
            <w:shd w:val="clear" w:color="auto" w:fill="auto"/>
          </w:tcPr>
          <w:p w14:paraId="33DAF545" w14:textId="77777777" w:rsidR="004D6A64" w:rsidRDefault="004D6A64">
            <w:pPr>
              <w:rPr>
                <w:rFonts w:ascii="宋体"/>
              </w:rPr>
            </w:pPr>
          </w:p>
        </w:tc>
        <w:tc>
          <w:tcPr>
            <w:tcW w:w="50" w:type="pct"/>
            <w:shd w:val="clear" w:color="auto" w:fill="auto"/>
          </w:tcPr>
          <w:p w14:paraId="33DAF546" w14:textId="77777777" w:rsidR="004D6A64" w:rsidRDefault="004D6A64">
            <w:pPr>
              <w:rPr>
                <w:rFonts w:ascii="宋体"/>
              </w:rPr>
            </w:pPr>
          </w:p>
        </w:tc>
        <w:tc>
          <w:tcPr>
            <w:tcW w:w="625" w:type="pct"/>
            <w:shd w:val="clear" w:color="auto" w:fill="auto"/>
          </w:tcPr>
          <w:p w14:paraId="33DAF547" w14:textId="77777777" w:rsidR="004D6A64" w:rsidRDefault="004D6A64">
            <w:pPr>
              <w:rPr>
                <w:rFonts w:ascii="宋体"/>
              </w:rPr>
            </w:pPr>
          </w:p>
        </w:tc>
        <w:tc>
          <w:tcPr>
            <w:tcW w:w="5" w:type="pct"/>
            <w:shd w:val="clear" w:color="auto" w:fill="auto"/>
          </w:tcPr>
          <w:p w14:paraId="33DAF548" w14:textId="77777777" w:rsidR="004D6A64" w:rsidRDefault="004D6A64">
            <w:pPr>
              <w:rPr>
                <w:rFonts w:ascii="宋体"/>
              </w:rPr>
            </w:pPr>
          </w:p>
        </w:tc>
      </w:tr>
      <w:tr w:rsidR="004D6A64" w14:paraId="33DAF556" w14:textId="77777777">
        <w:trPr>
          <w:gridAfter w:val="3"/>
        </w:trPr>
        <w:tc>
          <w:tcPr>
            <w:tcW w:w="0" w:type="auto"/>
            <w:gridSpan w:val="3"/>
            <w:shd w:val="clear" w:color="auto" w:fill="auto"/>
            <w:tcMar>
              <w:left w:w="20" w:type="dxa"/>
              <w:right w:w="20" w:type="dxa"/>
            </w:tcMar>
            <w:vAlign w:val="bottom"/>
          </w:tcPr>
          <w:p w14:paraId="33DAF54A" w14:textId="77777777" w:rsidR="004D6A64" w:rsidRDefault="004D6A64">
            <w:pPr>
              <w:rPr>
                <w:rFonts w:ascii="宋体"/>
              </w:rPr>
            </w:pPr>
          </w:p>
        </w:tc>
        <w:tc>
          <w:tcPr>
            <w:tcW w:w="0" w:type="auto"/>
            <w:gridSpan w:val="15"/>
            <w:shd w:val="clear" w:color="auto" w:fill="auto"/>
            <w:tcMar>
              <w:top w:w="40" w:type="dxa"/>
              <w:left w:w="20" w:type="dxa"/>
              <w:bottom w:w="40" w:type="dxa"/>
              <w:right w:w="20" w:type="dxa"/>
            </w:tcMar>
            <w:vAlign w:val="bottom"/>
          </w:tcPr>
          <w:p w14:paraId="33DAF54B" w14:textId="77777777" w:rsidR="004D6A64" w:rsidRDefault="00506CD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Pr>
          <w:p w14:paraId="33DAF54C" w14:textId="77777777" w:rsidR="004D6A64" w:rsidRDefault="004D6A64">
            <w:pPr>
              <w:rPr>
                <w:rFonts w:ascii="宋体"/>
                <w:vanish/>
              </w:rPr>
            </w:pPr>
          </w:p>
        </w:tc>
        <w:tc>
          <w:tcPr>
            <w:tcW w:w="0" w:type="auto"/>
            <w:gridSpan w:val="3"/>
            <w:shd w:val="clear" w:color="auto" w:fill="auto"/>
          </w:tcPr>
          <w:p w14:paraId="33DAF54D" w14:textId="77777777" w:rsidR="004D6A64" w:rsidRDefault="004D6A64">
            <w:pPr>
              <w:rPr>
                <w:rFonts w:ascii="宋体"/>
                <w:vanish/>
              </w:rPr>
            </w:pPr>
          </w:p>
        </w:tc>
        <w:tc>
          <w:tcPr>
            <w:tcW w:w="0" w:type="auto"/>
            <w:gridSpan w:val="3"/>
            <w:shd w:val="clear" w:color="auto" w:fill="auto"/>
          </w:tcPr>
          <w:p w14:paraId="33DAF54E" w14:textId="77777777" w:rsidR="004D6A64" w:rsidRDefault="004D6A64">
            <w:pPr>
              <w:rPr>
                <w:rFonts w:ascii="宋体"/>
                <w:vanish/>
              </w:rPr>
            </w:pPr>
          </w:p>
        </w:tc>
        <w:tc>
          <w:tcPr>
            <w:tcW w:w="0" w:type="auto"/>
            <w:gridSpan w:val="3"/>
            <w:shd w:val="clear" w:color="auto" w:fill="auto"/>
          </w:tcPr>
          <w:p w14:paraId="33DAF54F" w14:textId="77777777" w:rsidR="004D6A64" w:rsidRDefault="004D6A64">
            <w:pPr>
              <w:rPr>
                <w:rFonts w:ascii="宋体"/>
                <w:vanish/>
              </w:rPr>
            </w:pPr>
          </w:p>
        </w:tc>
        <w:tc>
          <w:tcPr>
            <w:tcW w:w="0" w:type="auto"/>
            <w:gridSpan w:val="3"/>
            <w:shd w:val="clear" w:color="auto" w:fill="auto"/>
            <w:tcMar>
              <w:left w:w="20" w:type="dxa"/>
              <w:right w:w="20" w:type="dxa"/>
            </w:tcMar>
            <w:vAlign w:val="bottom"/>
          </w:tcPr>
          <w:p w14:paraId="33DAF550" w14:textId="77777777" w:rsidR="004D6A64" w:rsidRDefault="004D6A64">
            <w:pPr>
              <w:rPr>
                <w:rFonts w:ascii="宋体"/>
              </w:rPr>
            </w:pPr>
          </w:p>
        </w:tc>
        <w:tc>
          <w:tcPr>
            <w:tcW w:w="0" w:type="auto"/>
            <w:gridSpan w:val="15"/>
            <w:shd w:val="clear" w:color="auto" w:fill="auto"/>
            <w:tcMar>
              <w:top w:w="40" w:type="dxa"/>
              <w:left w:w="20" w:type="dxa"/>
              <w:bottom w:w="40" w:type="dxa"/>
              <w:right w:w="20" w:type="dxa"/>
            </w:tcMar>
            <w:vAlign w:val="bottom"/>
          </w:tcPr>
          <w:p w14:paraId="33DAF551" w14:textId="77777777" w:rsidR="004D6A64" w:rsidRDefault="00506CD6">
            <w:pPr>
              <w:jc w:val="center"/>
              <w:textAlignment w:val="bottom"/>
            </w:pPr>
            <w:r>
              <w:rPr>
                <w:rFonts w:ascii="Times New Roman" w:eastAsia="宋体" w:hAnsi="Times New Roman"/>
                <w:b/>
                <w:bCs/>
                <w:color w:val="000000"/>
                <w:sz w:val="20"/>
                <w:szCs w:val="20"/>
              </w:rPr>
              <w:t>Six Months Ended</w:t>
            </w:r>
          </w:p>
        </w:tc>
        <w:tc>
          <w:tcPr>
            <w:tcW w:w="0" w:type="auto"/>
            <w:gridSpan w:val="3"/>
            <w:shd w:val="clear" w:color="auto" w:fill="auto"/>
          </w:tcPr>
          <w:p w14:paraId="33DAF552" w14:textId="77777777" w:rsidR="004D6A64" w:rsidRDefault="004D6A64">
            <w:pPr>
              <w:rPr>
                <w:rFonts w:ascii="宋体"/>
                <w:vanish/>
              </w:rPr>
            </w:pPr>
          </w:p>
        </w:tc>
        <w:tc>
          <w:tcPr>
            <w:tcW w:w="0" w:type="auto"/>
            <w:gridSpan w:val="3"/>
            <w:shd w:val="clear" w:color="auto" w:fill="auto"/>
          </w:tcPr>
          <w:p w14:paraId="33DAF553" w14:textId="77777777" w:rsidR="004D6A64" w:rsidRDefault="004D6A64">
            <w:pPr>
              <w:rPr>
                <w:rFonts w:ascii="宋体"/>
                <w:vanish/>
              </w:rPr>
            </w:pPr>
          </w:p>
        </w:tc>
        <w:tc>
          <w:tcPr>
            <w:tcW w:w="0" w:type="auto"/>
            <w:gridSpan w:val="3"/>
            <w:shd w:val="clear" w:color="auto" w:fill="auto"/>
          </w:tcPr>
          <w:p w14:paraId="33DAF554" w14:textId="77777777" w:rsidR="004D6A64" w:rsidRDefault="004D6A64">
            <w:pPr>
              <w:rPr>
                <w:rFonts w:ascii="宋体"/>
                <w:vanish/>
              </w:rPr>
            </w:pPr>
          </w:p>
        </w:tc>
        <w:tc>
          <w:tcPr>
            <w:tcW w:w="0" w:type="auto"/>
            <w:gridSpan w:val="3"/>
            <w:shd w:val="clear" w:color="auto" w:fill="auto"/>
          </w:tcPr>
          <w:p w14:paraId="33DAF555" w14:textId="77777777" w:rsidR="004D6A64" w:rsidRDefault="004D6A64">
            <w:pPr>
              <w:rPr>
                <w:rFonts w:ascii="宋体"/>
                <w:vanish/>
              </w:rPr>
            </w:pPr>
          </w:p>
        </w:tc>
      </w:tr>
      <w:tr w:rsidR="004D6A64" w14:paraId="33DAF57B" w14:textId="77777777">
        <w:trPr>
          <w:gridAfter w:val="3"/>
        </w:trPr>
        <w:tc>
          <w:tcPr>
            <w:tcW w:w="0" w:type="auto"/>
            <w:gridSpan w:val="3"/>
            <w:shd w:val="clear" w:color="auto" w:fill="auto"/>
            <w:tcMar>
              <w:left w:w="20" w:type="dxa"/>
              <w:right w:w="20" w:type="dxa"/>
            </w:tcMar>
            <w:vAlign w:val="bottom"/>
          </w:tcPr>
          <w:p w14:paraId="33DAF557"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F558"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F559"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F55A" w14:textId="77777777" w:rsidR="004D6A64" w:rsidRDefault="00506CD6">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left w:w="20" w:type="dxa"/>
              <w:right w:w="20" w:type="dxa"/>
            </w:tcMar>
            <w:vAlign w:val="bottom"/>
          </w:tcPr>
          <w:p w14:paraId="33DAF55B"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F55C"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gridSpan w:val="3"/>
            <w:shd w:val="clear" w:color="auto" w:fill="auto"/>
            <w:tcMar>
              <w:left w:w="20" w:type="dxa"/>
              <w:right w:w="20" w:type="dxa"/>
            </w:tcMar>
            <w:vAlign w:val="bottom"/>
          </w:tcPr>
          <w:p w14:paraId="33DAF55D"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F55E"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F55F"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F560" w14:textId="77777777" w:rsidR="004D6A64" w:rsidRDefault="00506CD6">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left w:w="20" w:type="dxa"/>
              <w:right w:w="20" w:type="dxa"/>
            </w:tcMar>
            <w:vAlign w:val="bottom"/>
          </w:tcPr>
          <w:p w14:paraId="33DAF561"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F562"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shd w:val="clear" w:color="auto" w:fill="auto"/>
          </w:tcPr>
          <w:p w14:paraId="33DAF563" w14:textId="77777777" w:rsidR="004D6A64" w:rsidRDefault="004D6A64">
            <w:pPr>
              <w:rPr>
                <w:rFonts w:ascii="宋体"/>
              </w:rPr>
            </w:pPr>
          </w:p>
        </w:tc>
        <w:tc>
          <w:tcPr>
            <w:tcW w:w="0" w:type="auto"/>
            <w:shd w:val="clear" w:color="auto" w:fill="auto"/>
          </w:tcPr>
          <w:p w14:paraId="33DAF564" w14:textId="77777777" w:rsidR="004D6A64" w:rsidRDefault="004D6A64">
            <w:pPr>
              <w:rPr>
                <w:rFonts w:ascii="宋体"/>
              </w:rPr>
            </w:pPr>
          </w:p>
        </w:tc>
        <w:tc>
          <w:tcPr>
            <w:tcW w:w="0" w:type="auto"/>
            <w:shd w:val="clear" w:color="auto" w:fill="auto"/>
          </w:tcPr>
          <w:p w14:paraId="33DAF565" w14:textId="77777777" w:rsidR="004D6A64" w:rsidRDefault="004D6A64">
            <w:pPr>
              <w:rPr>
                <w:rFonts w:ascii="宋体"/>
              </w:rPr>
            </w:pPr>
          </w:p>
        </w:tc>
        <w:tc>
          <w:tcPr>
            <w:tcW w:w="0" w:type="auto"/>
            <w:shd w:val="clear" w:color="auto" w:fill="auto"/>
          </w:tcPr>
          <w:p w14:paraId="33DAF566" w14:textId="77777777" w:rsidR="004D6A64" w:rsidRDefault="004D6A64">
            <w:pPr>
              <w:rPr>
                <w:rFonts w:ascii="宋体"/>
              </w:rPr>
            </w:pPr>
          </w:p>
        </w:tc>
        <w:tc>
          <w:tcPr>
            <w:tcW w:w="0" w:type="auto"/>
            <w:shd w:val="clear" w:color="auto" w:fill="auto"/>
          </w:tcPr>
          <w:p w14:paraId="33DAF567" w14:textId="77777777" w:rsidR="004D6A64" w:rsidRDefault="004D6A64">
            <w:pPr>
              <w:rPr>
                <w:rFonts w:ascii="宋体"/>
              </w:rPr>
            </w:pPr>
          </w:p>
        </w:tc>
        <w:tc>
          <w:tcPr>
            <w:tcW w:w="0" w:type="auto"/>
            <w:shd w:val="clear" w:color="auto" w:fill="auto"/>
          </w:tcPr>
          <w:p w14:paraId="33DAF568" w14:textId="77777777" w:rsidR="004D6A64" w:rsidRDefault="004D6A64">
            <w:pPr>
              <w:rPr>
                <w:rFonts w:ascii="宋体"/>
              </w:rPr>
            </w:pPr>
          </w:p>
        </w:tc>
        <w:tc>
          <w:tcPr>
            <w:tcW w:w="0" w:type="auto"/>
            <w:shd w:val="clear" w:color="auto" w:fill="auto"/>
          </w:tcPr>
          <w:p w14:paraId="33DAF569" w14:textId="77777777" w:rsidR="004D6A64" w:rsidRDefault="004D6A64">
            <w:pPr>
              <w:rPr>
                <w:rFonts w:ascii="宋体"/>
              </w:rPr>
            </w:pPr>
          </w:p>
        </w:tc>
        <w:tc>
          <w:tcPr>
            <w:tcW w:w="0" w:type="auto"/>
            <w:shd w:val="clear" w:color="auto" w:fill="auto"/>
          </w:tcPr>
          <w:p w14:paraId="33DAF56A" w14:textId="77777777" w:rsidR="004D6A64" w:rsidRDefault="004D6A64">
            <w:pPr>
              <w:rPr>
                <w:rFonts w:ascii="宋体"/>
              </w:rPr>
            </w:pPr>
          </w:p>
        </w:tc>
        <w:tc>
          <w:tcPr>
            <w:tcW w:w="0" w:type="auto"/>
            <w:shd w:val="clear" w:color="auto" w:fill="auto"/>
          </w:tcPr>
          <w:p w14:paraId="33DAF56B" w14:textId="77777777" w:rsidR="004D6A64" w:rsidRDefault="004D6A64">
            <w:pPr>
              <w:rPr>
                <w:rFonts w:ascii="宋体"/>
              </w:rPr>
            </w:pPr>
          </w:p>
        </w:tc>
        <w:tc>
          <w:tcPr>
            <w:tcW w:w="0" w:type="auto"/>
            <w:shd w:val="clear" w:color="auto" w:fill="auto"/>
          </w:tcPr>
          <w:p w14:paraId="33DAF56C" w14:textId="77777777" w:rsidR="004D6A64" w:rsidRDefault="004D6A64">
            <w:pPr>
              <w:rPr>
                <w:rFonts w:ascii="宋体"/>
              </w:rPr>
            </w:pPr>
          </w:p>
        </w:tc>
        <w:tc>
          <w:tcPr>
            <w:tcW w:w="0" w:type="auto"/>
            <w:shd w:val="clear" w:color="auto" w:fill="auto"/>
          </w:tcPr>
          <w:p w14:paraId="33DAF56D" w14:textId="77777777" w:rsidR="004D6A64" w:rsidRDefault="004D6A64">
            <w:pPr>
              <w:rPr>
                <w:rFonts w:ascii="宋体"/>
              </w:rPr>
            </w:pPr>
          </w:p>
        </w:tc>
        <w:tc>
          <w:tcPr>
            <w:tcW w:w="0" w:type="auto"/>
            <w:shd w:val="clear" w:color="auto" w:fill="auto"/>
          </w:tcPr>
          <w:p w14:paraId="33DAF56E" w14:textId="77777777" w:rsidR="004D6A64" w:rsidRDefault="004D6A64">
            <w:pPr>
              <w:rPr>
                <w:rFonts w:ascii="宋体"/>
              </w:rPr>
            </w:pPr>
          </w:p>
        </w:tc>
        <w:tc>
          <w:tcPr>
            <w:tcW w:w="0" w:type="auto"/>
            <w:shd w:val="clear" w:color="auto" w:fill="auto"/>
          </w:tcPr>
          <w:p w14:paraId="33DAF56F" w14:textId="77777777" w:rsidR="004D6A64" w:rsidRDefault="004D6A64">
            <w:pPr>
              <w:rPr>
                <w:rFonts w:ascii="宋体"/>
              </w:rPr>
            </w:pPr>
          </w:p>
        </w:tc>
        <w:tc>
          <w:tcPr>
            <w:tcW w:w="0" w:type="auto"/>
            <w:shd w:val="clear" w:color="auto" w:fill="auto"/>
          </w:tcPr>
          <w:p w14:paraId="33DAF570" w14:textId="77777777" w:rsidR="004D6A64" w:rsidRDefault="004D6A64">
            <w:pPr>
              <w:rPr>
                <w:rFonts w:ascii="宋体"/>
              </w:rPr>
            </w:pPr>
          </w:p>
        </w:tc>
        <w:tc>
          <w:tcPr>
            <w:tcW w:w="0" w:type="auto"/>
            <w:shd w:val="clear" w:color="auto" w:fill="auto"/>
          </w:tcPr>
          <w:p w14:paraId="33DAF571" w14:textId="77777777" w:rsidR="004D6A64" w:rsidRDefault="004D6A64">
            <w:pPr>
              <w:rPr>
                <w:rFonts w:ascii="宋体"/>
              </w:rPr>
            </w:pPr>
          </w:p>
        </w:tc>
        <w:tc>
          <w:tcPr>
            <w:tcW w:w="0" w:type="auto"/>
            <w:shd w:val="clear" w:color="auto" w:fill="auto"/>
          </w:tcPr>
          <w:p w14:paraId="33DAF572" w14:textId="77777777" w:rsidR="004D6A64" w:rsidRDefault="004D6A64">
            <w:pPr>
              <w:rPr>
                <w:rFonts w:ascii="宋体"/>
              </w:rPr>
            </w:pPr>
          </w:p>
        </w:tc>
        <w:tc>
          <w:tcPr>
            <w:tcW w:w="0" w:type="auto"/>
            <w:shd w:val="clear" w:color="auto" w:fill="auto"/>
          </w:tcPr>
          <w:p w14:paraId="33DAF573" w14:textId="77777777" w:rsidR="004D6A64" w:rsidRDefault="004D6A64">
            <w:pPr>
              <w:rPr>
                <w:rFonts w:ascii="宋体"/>
              </w:rPr>
            </w:pPr>
          </w:p>
        </w:tc>
        <w:tc>
          <w:tcPr>
            <w:tcW w:w="0" w:type="auto"/>
            <w:shd w:val="clear" w:color="auto" w:fill="auto"/>
          </w:tcPr>
          <w:p w14:paraId="33DAF574" w14:textId="77777777" w:rsidR="004D6A64" w:rsidRDefault="004D6A64">
            <w:pPr>
              <w:rPr>
                <w:rFonts w:ascii="宋体"/>
              </w:rPr>
            </w:pPr>
          </w:p>
        </w:tc>
        <w:tc>
          <w:tcPr>
            <w:tcW w:w="0" w:type="auto"/>
            <w:shd w:val="clear" w:color="auto" w:fill="auto"/>
          </w:tcPr>
          <w:p w14:paraId="33DAF575" w14:textId="77777777" w:rsidR="004D6A64" w:rsidRDefault="004D6A64">
            <w:pPr>
              <w:rPr>
                <w:rFonts w:ascii="宋体"/>
              </w:rPr>
            </w:pPr>
          </w:p>
        </w:tc>
        <w:tc>
          <w:tcPr>
            <w:tcW w:w="0" w:type="auto"/>
            <w:shd w:val="clear" w:color="auto" w:fill="auto"/>
          </w:tcPr>
          <w:p w14:paraId="33DAF576" w14:textId="77777777" w:rsidR="004D6A64" w:rsidRDefault="004D6A64">
            <w:pPr>
              <w:rPr>
                <w:rFonts w:ascii="宋体"/>
              </w:rPr>
            </w:pPr>
          </w:p>
        </w:tc>
        <w:tc>
          <w:tcPr>
            <w:tcW w:w="0" w:type="auto"/>
            <w:shd w:val="clear" w:color="auto" w:fill="auto"/>
          </w:tcPr>
          <w:p w14:paraId="33DAF577" w14:textId="77777777" w:rsidR="004D6A64" w:rsidRDefault="004D6A64">
            <w:pPr>
              <w:rPr>
                <w:rFonts w:ascii="宋体"/>
              </w:rPr>
            </w:pPr>
          </w:p>
        </w:tc>
        <w:tc>
          <w:tcPr>
            <w:tcW w:w="0" w:type="auto"/>
            <w:shd w:val="clear" w:color="auto" w:fill="auto"/>
          </w:tcPr>
          <w:p w14:paraId="33DAF578" w14:textId="77777777" w:rsidR="004D6A64" w:rsidRDefault="004D6A64">
            <w:pPr>
              <w:rPr>
                <w:rFonts w:ascii="宋体"/>
              </w:rPr>
            </w:pPr>
          </w:p>
        </w:tc>
        <w:tc>
          <w:tcPr>
            <w:tcW w:w="0" w:type="auto"/>
            <w:shd w:val="clear" w:color="auto" w:fill="auto"/>
          </w:tcPr>
          <w:p w14:paraId="33DAF579" w14:textId="77777777" w:rsidR="004D6A64" w:rsidRDefault="004D6A64">
            <w:pPr>
              <w:rPr>
                <w:rFonts w:ascii="宋体"/>
              </w:rPr>
            </w:pPr>
          </w:p>
        </w:tc>
        <w:tc>
          <w:tcPr>
            <w:tcW w:w="0" w:type="auto"/>
            <w:shd w:val="clear" w:color="auto" w:fill="auto"/>
          </w:tcPr>
          <w:p w14:paraId="33DAF57A" w14:textId="77777777" w:rsidR="004D6A64" w:rsidRDefault="004D6A64">
            <w:pPr>
              <w:rPr>
                <w:rFonts w:ascii="宋体"/>
              </w:rPr>
            </w:pPr>
          </w:p>
        </w:tc>
      </w:tr>
      <w:tr w:rsidR="004D6A64" w14:paraId="33DAF588" w14:textId="77777777">
        <w:tc>
          <w:tcPr>
            <w:tcW w:w="0" w:type="auto"/>
            <w:gridSpan w:val="3"/>
            <w:shd w:val="clear" w:color="auto" w:fill="auto"/>
            <w:tcMar>
              <w:left w:w="20" w:type="dxa"/>
              <w:right w:w="20" w:type="dxa"/>
            </w:tcMar>
            <w:vAlign w:val="bottom"/>
          </w:tcPr>
          <w:p w14:paraId="33DAF57C" w14:textId="77777777" w:rsidR="004D6A64" w:rsidRDefault="004D6A64">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center"/>
          </w:tcPr>
          <w:p w14:paraId="33DAF57D" w14:textId="77777777" w:rsidR="004D6A64" w:rsidRDefault="00506CD6">
            <w:pPr>
              <w:jc w:val="center"/>
              <w:textAlignment w:val="center"/>
            </w:pPr>
            <w:r>
              <w:rPr>
                <w:rFonts w:ascii="Times New Roman" w:eastAsia="宋体" w:hAnsi="Times New Roman"/>
                <w:color w:val="000000"/>
                <w:sz w:val="20"/>
                <w:szCs w:val="20"/>
              </w:rPr>
              <w:t>(in millions, except percentages)</w:t>
            </w:r>
          </w:p>
        </w:tc>
        <w:tc>
          <w:tcPr>
            <w:tcW w:w="0" w:type="auto"/>
            <w:gridSpan w:val="3"/>
            <w:shd w:val="clear" w:color="auto" w:fill="auto"/>
          </w:tcPr>
          <w:p w14:paraId="33DAF57E" w14:textId="77777777" w:rsidR="004D6A64" w:rsidRDefault="004D6A64">
            <w:pPr>
              <w:rPr>
                <w:rFonts w:ascii="宋体"/>
                <w:vanish/>
              </w:rPr>
            </w:pPr>
          </w:p>
        </w:tc>
        <w:tc>
          <w:tcPr>
            <w:tcW w:w="0" w:type="auto"/>
            <w:gridSpan w:val="3"/>
            <w:shd w:val="clear" w:color="auto" w:fill="auto"/>
          </w:tcPr>
          <w:p w14:paraId="33DAF57F" w14:textId="77777777" w:rsidR="004D6A64" w:rsidRDefault="004D6A64">
            <w:pPr>
              <w:rPr>
                <w:rFonts w:ascii="宋体"/>
                <w:vanish/>
              </w:rPr>
            </w:pPr>
          </w:p>
        </w:tc>
        <w:tc>
          <w:tcPr>
            <w:tcW w:w="0" w:type="auto"/>
            <w:gridSpan w:val="3"/>
            <w:shd w:val="clear" w:color="auto" w:fill="auto"/>
          </w:tcPr>
          <w:p w14:paraId="33DAF580" w14:textId="77777777" w:rsidR="004D6A64" w:rsidRDefault="004D6A64">
            <w:pPr>
              <w:rPr>
                <w:rFonts w:ascii="宋体"/>
                <w:vanish/>
              </w:rPr>
            </w:pPr>
          </w:p>
        </w:tc>
        <w:tc>
          <w:tcPr>
            <w:tcW w:w="0" w:type="auto"/>
            <w:gridSpan w:val="3"/>
            <w:shd w:val="clear" w:color="auto" w:fill="auto"/>
          </w:tcPr>
          <w:p w14:paraId="33DAF581" w14:textId="77777777" w:rsidR="004D6A64" w:rsidRDefault="004D6A64">
            <w:pPr>
              <w:rPr>
                <w:rFonts w:ascii="宋体"/>
                <w:vanish/>
              </w:rPr>
            </w:pPr>
          </w:p>
        </w:tc>
        <w:tc>
          <w:tcPr>
            <w:tcW w:w="0" w:type="auto"/>
            <w:gridSpan w:val="3"/>
            <w:shd w:val="clear" w:color="auto" w:fill="auto"/>
          </w:tcPr>
          <w:p w14:paraId="33DAF582" w14:textId="77777777" w:rsidR="004D6A64" w:rsidRDefault="004D6A64">
            <w:pPr>
              <w:rPr>
                <w:rFonts w:ascii="宋体"/>
                <w:vanish/>
              </w:rPr>
            </w:pPr>
          </w:p>
        </w:tc>
        <w:tc>
          <w:tcPr>
            <w:tcW w:w="0" w:type="auto"/>
            <w:gridSpan w:val="3"/>
            <w:shd w:val="clear" w:color="auto" w:fill="auto"/>
          </w:tcPr>
          <w:p w14:paraId="33DAF583" w14:textId="77777777" w:rsidR="004D6A64" w:rsidRDefault="004D6A64">
            <w:pPr>
              <w:rPr>
                <w:rFonts w:ascii="宋体"/>
                <w:vanish/>
              </w:rPr>
            </w:pPr>
          </w:p>
        </w:tc>
        <w:tc>
          <w:tcPr>
            <w:tcW w:w="0" w:type="auto"/>
            <w:gridSpan w:val="3"/>
            <w:shd w:val="clear" w:color="auto" w:fill="auto"/>
          </w:tcPr>
          <w:p w14:paraId="33DAF584" w14:textId="77777777" w:rsidR="004D6A64" w:rsidRDefault="004D6A64">
            <w:pPr>
              <w:rPr>
                <w:rFonts w:ascii="宋体"/>
                <w:vanish/>
              </w:rPr>
            </w:pPr>
          </w:p>
        </w:tc>
        <w:tc>
          <w:tcPr>
            <w:tcW w:w="0" w:type="auto"/>
            <w:gridSpan w:val="3"/>
            <w:shd w:val="clear" w:color="auto" w:fill="auto"/>
          </w:tcPr>
          <w:p w14:paraId="33DAF585" w14:textId="77777777" w:rsidR="004D6A64" w:rsidRDefault="004D6A64">
            <w:pPr>
              <w:rPr>
                <w:rFonts w:ascii="宋体"/>
                <w:vanish/>
              </w:rPr>
            </w:pPr>
          </w:p>
        </w:tc>
        <w:tc>
          <w:tcPr>
            <w:tcW w:w="0" w:type="auto"/>
            <w:gridSpan w:val="2"/>
            <w:shd w:val="clear" w:color="auto" w:fill="auto"/>
          </w:tcPr>
          <w:p w14:paraId="33DAF586" w14:textId="77777777" w:rsidR="004D6A64" w:rsidRDefault="004D6A64">
            <w:pPr>
              <w:rPr>
                <w:rFonts w:ascii="宋体"/>
                <w:vanish/>
              </w:rPr>
            </w:pPr>
          </w:p>
        </w:tc>
        <w:tc>
          <w:tcPr>
            <w:tcW w:w="0" w:type="auto"/>
            <w:shd w:val="clear" w:color="auto" w:fill="auto"/>
          </w:tcPr>
          <w:p w14:paraId="33DAF587" w14:textId="77777777" w:rsidR="004D6A64" w:rsidRDefault="004D6A64">
            <w:pPr>
              <w:rPr>
                <w:rFonts w:ascii="宋体"/>
                <w:vanish/>
              </w:rPr>
            </w:pPr>
          </w:p>
        </w:tc>
      </w:tr>
      <w:tr w:rsidR="004D6A64" w14:paraId="33DAF5B0" w14:textId="77777777">
        <w:tc>
          <w:tcPr>
            <w:tcW w:w="0" w:type="auto"/>
            <w:gridSpan w:val="3"/>
            <w:shd w:val="clear" w:color="auto" w:fill="CCEEFF"/>
            <w:tcMar>
              <w:top w:w="40" w:type="dxa"/>
              <w:left w:w="20" w:type="dxa"/>
              <w:bottom w:w="40" w:type="dxa"/>
              <w:right w:w="20" w:type="dxa"/>
            </w:tcMar>
            <w:vAlign w:val="center"/>
          </w:tcPr>
          <w:p w14:paraId="33DAF589" w14:textId="77777777" w:rsidR="004D6A64" w:rsidRDefault="00506CD6">
            <w:pPr>
              <w:textAlignment w:val="center"/>
            </w:pPr>
            <w:r>
              <w:rPr>
                <w:rFonts w:ascii="Times New Roman" w:eastAsia="宋体" w:hAnsi="Times New Roman"/>
                <w:i/>
                <w:iCs/>
                <w:color w:val="000000"/>
                <w:sz w:val="20"/>
                <w:szCs w:val="20"/>
              </w:rPr>
              <w:t>Net revenue:</w:t>
            </w:r>
          </w:p>
        </w:tc>
        <w:tc>
          <w:tcPr>
            <w:tcW w:w="0" w:type="auto"/>
            <w:gridSpan w:val="3"/>
            <w:shd w:val="clear" w:color="auto" w:fill="CCEEFF"/>
            <w:tcMar>
              <w:left w:w="20" w:type="dxa"/>
              <w:right w:w="20" w:type="dxa"/>
            </w:tcMar>
            <w:vAlign w:val="bottom"/>
          </w:tcPr>
          <w:p w14:paraId="33DAF58A"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58B"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58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58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58E"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58F"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590"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591"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592"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593"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594" w14:textId="77777777" w:rsidR="004D6A64" w:rsidRDefault="004D6A64">
            <w:pPr>
              <w:rPr>
                <w:rFonts w:ascii="宋体"/>
              </w:rPr>
            </w:pPr>
          </w:p>
        </w:tc>
        <w:tc>
          <w:tcPr>
            <w:tcW w:w="0" w:type="auto"/>
            <w:shd w:val="clear" w:color="auto" w:fill="auto"/>
          </w:tcPr>
          <w:p w14:paraId="33DAF595" w14:textId="77777777" w:rsidR="004D6A64" w:rsidRDefault="004D6A64">
            <w:pPr>
              <w:rPr>
                <w:rFonts w:ascii="宋体"/>
              </w:rPr>
            </w:pPr>
          </w:p>
        </w:tc>
        <w:tc>
          <w:tcPr>
            <w:tcW w:w="0" w:type="auto"/>
            <w:shd w:val="clear" w:color="auto" w:fill="auto"/>
          </w:tcPr>
          <w:p w14:paraId="33DAF596" w14:textId="77777777" w:rsidR="004D6A64" w:rsidRDefault="004D6A64">
            <w:pPr>
              <w:rPr>
                <w:rFonts w:ascii="宋体"/>
              </w:rPr>
            </w:pPr>
          </w:p>
        </w:tc>
        <w:tc>
          <w:tcPr>
            <w:tcW w:w="0" w:type="auto"/>
            <w:shd w:val="clear" w:color="auto" w:fill="auto"/>
          </w:tcPr>
          <w:p w14:paraId="33DAF597" w14:textId="77777777" w:rsidR="004D6A64" w:rsidRDefault="004D6A64">
            <w:pPr>
              <w:rPr>
                <w:rFonts w:ascii="宋体"/>
              </w:rPr>
            </w:pPr>
          </w:p>
        </w:tc>
        <w:tc>
          <w:tcPr>
            <w:tcW w:w="0" w:type="auto"/>
            <w:shd w:val="clear" w:color="auto" w:fill="auto"/>
          </w:tcPr>
          <w:p w14:paraId="33DAF598" w14:textId="77777777" w:rsidR="004D6A64" w:rsidRDefault="004D6A64">
            <w:pPr>
              <w:rPr>
                <w:rFonts w:ascii="宋体"/>
              </w:rPr>
            </w:pPr>
          </w:p>
        </w:tc>
        <w:tc>
          <w:tcPr>
            <w:tcW w:w="0" w:type="auto"/>
            <w:shd w:val="clear" w:color="auto" w:fill="auto"/>
          </w:tcPr>
          <w:p w14:paraId="33DAF599" w14:textId="77777777" w:rsidR="004D6A64" w:rsidRDefault="004D6A64">
            <w:pPr>
              <w:rPr>
                <w:rFonts w:ascii="宋体"/>
              </w:rPr>
            </w:pPr>
          </w:p>
        </w:tc>
        <w:tc>
          <w:tcPr>
            <w:tcW w:w="0" w:type="auto"/>
            <w:shd w:val="clear" w:color="auto" w:fill="auto"/>
          </w:tcPr>
          <w:p w14:paraId="33DAF59A" w14:textId="77777777" w:rsidR="004D6A64" w:rsidRDefault="004D6A64">
            <w:pPr>
              <w:rPr>
                <w:rFonts w:ascii="宋体"/>
              </w:rPr>
            </w:pPr>
          </w:p>
        </w:tc>
        <w:tc>
          <w:tcPr>
            <w:tcW w:w="0" w:type="auto"/>
            <w:shd w:val="clear" w:color="auto" w:fill="auto"/>
          </w:tcPr>
          <w:p w14:paraId="33DAF59B" w14:textId="77777777" w:rsidR="004D6A64" w:rsidRDefault="004D6A64">
            <w:pPr>
              <w:rPr>
                <w:rFonts w:ascii="宋体"/>
              </w:rPr>
            </w:pPr>
          </w:p>
        </w:tc>
        <w:tc>
          <w:tcPr>
            <w:tcW w:w="0" w:type="auto"/>
            <w:shd w:val="clear" w:color="auto" w:fill="auto"/>
          </w:tcPr>
          <w:p w14:paraId="33DAF59C" w14:textId="77777777" w:rsidR="004D6A64" w:rsidRDefault="004D6A64">
            <w:pPr>
              <w:rPr>
                <w:rFonts w:ascii="宋体"/>
              </w:rPr>
            </w:pPr>
          </w:p>
        </w:tc>
        <w:tc>
          <w:tcPr>
            <w:tcW w:w="0" w:type="auto"/>
            <w:shd w:val="clear" w:color="auto" w:fill="auto"/>
          </w:tcPr>
          <w:p w14:paraId="33DAF59D" w14:textId="77777777" w:rsidR="004D6A64" w:rsidRDefault="004D6A64">
            <w:pPr>
              <w:rPr>
                <w:rFonts w:ascii="宋体"/>
              </w:rPr>
            </w:pPr>
          </w:p>
        </w:tc>
        <w:tc>
          <w:tcPr>
            <w:tcW w:w="0" w:type="auto"/>
            <w:shd w:val="clear" w:color="auto" w:fill="auto"/>
          </w:tcPr>
          <w:p w14:paraId="33DAF59E" w14:textId="77777777" w:rsidR="004D6A64" w:rsidRDefault="004D6A64">
            <w:pPr>
              <w:rPr>
                <w:rFonts w:ascii="宋体"/>
              </w:rPr>
            </w:pPr>
          </w:p>
        </w:tc>
        <w:tc>
          <w:tcPr>
            <w:tcW w:w="0" w:type="auto"/>
            <w:shd w:val="clear" w:color="auto" w:fill="auto"/>
          </w:tcPr>
          <w:p w14:paraId="33DAF59F" w14:textId="77777777" w:rsidR="004D6A64" w:rsidRDefault="004D6A64">
            <w:pPr>
              <w:rPr>
                <w:rFonts w:ascii="宋体"/>
              </w:rPr>
            </w:pPr>
          </w:p>
        </w:tc>
        <w:tc>
          <w:tcPr>
            <w:tcW w:w="0" w:type="auto"/>
            <w:shd w:val="clear" w:color="auto" w:fill="auto"/>
          </w:tcPr>
          <w:p w14:paraId="33DAF5A0" w14:textId="77777777" w:rsidR="004D6A64" w:rsidRDefault="004D6A64">
            <w:pPr>
              <w:rPr>
                <w:rFonts w:ascii="宋体"/>
              </w:rPr>
            </w:pPr>
          </w:p>
        </w:tc>
        <w:tc>
          <w:tcPr>
            <w:tcW w:w="0" w:type="auto"/>
            <w:shd w:val="clear" w:color="auto" w:fill="auto"/>
          </w:tcPr>
          <w:p w14:paraId="33DAF5A1" w14:textId="77777777" w:rsidR="004D6A64" w:rsidRDefault="004D6A64">
            <w:pPr>
              <w:rPr>
                <w:rFonts w:ascii="宋体"/>
              </w:rPr>
            </w:pPr>
          </w:p>
        </w:tc>
        <w:tc>
          <w:tcPr>
            <w:tcW w:w="0" w:type="auto"/>
            <w:shd w:val="clear" w:color="auto" w:fill="auto"/>
          </w:tcPr>
          <w:p w14:paraId="33DAF5A2" w14:textId="77777777" w:rsidR="004D6A64" w:rsidRDefault="004D6A64">
            <w:pPr>
              <w:rPr>
                <w:rFonts w:ascii="宋体"/>
              </w:rPr>
            </w:pPr>
          </w:p>
        </w:tc>
        <w:tc>
          <w:tcPr>
            <w:tcW w:w="0" w:type="auto"/>
            <w:shd w:val="clear" w:color="auto" w:fill="auto"/>
          </w:tcPr>
          <w:p w14:paraId="33DAF5A3" w14:textId="77777777" w:rsidR="004D6A64" w:rsidRDefault="004D6A64">
            <w:pPr>
              <w:rPr>
                <w:rFonts w:ascii="宋体"/>
              </w:rPr>
            </w:pPr>
          </w:p>
        </w:tc>
        <w:tc>
          <w:tcPr>
            <w:tcW w:w="0" w:type="auto"/>
            <w:shd w:val="clear" w:color="auto" w:fill="auto"/>
          </w:tcPr>
          <w:p w14:paraId="33DAF5A4" w14:textId="77777777" w:rsidR="004D6A64" w:rsidRDefault="004D6A64">
            <w:pPr>
              <w:rPr>
                <w:rFonts w:ascii="宋体"/>
              </w:rPr>
            </w:pPr>
          </w:p>
        </w:tc>
        <w:tc>
          <w:tcPr>
            <w:tcW w:w="0" w:type="auto"/>
            <w:shd w:val="clear" w:color="auto" w:fill="auto"/>
          </w:tcPr>
          <w:p w14:paraId="33DAF5A5" w14:textId="77777777" w:rsidR="004D6A64" w:rsidRDefault="004D6A64">
            <w:pPr>
              <w:rPr>
                <w:rFonts w:ascii="宋体"/>
              </w:rPr>
            </w:pPr>
          </w:p>
        </w:tc>
        <w:tc>
          <w:tcPr>
            <w:tcW w:w="0" w:type="auto"/>
            <w:shd w:val="clear" w:color="auto" w:fill="auto"/>
          </w:tcPr>
          <w:p w14:paraId="33DAF5A6" w14:textId="77777777" w:rsidR="004D6A64" w:rsidRDefault="004D6A64">
            <w:pPr>
              <w:rPr>
                <w:rFonts w:ascii="宋体"/>
              </w:rPr>
            </w:pPr>
          </w:p>
        </w:tc>
        <w:tc>
          <w:tcPr>
            <w:tcW w:w="0" w:type="auto"/>
            <w:shd w:val="clear" w:color="auto" w:fill="auto"/>
          </w:tcPr>
          <w:p w14:paraId="33DAF5A7" w14:textId="77777777" w:rsidR="004D6A64" w:rsidRDefault="004D6A64">
            <w:pPr>
              <w:rPr>
                <w:rFonts w:ascii="宋体"/>
              </w:rPr>
            </w:pPr>
          </w:p>
        </w:tc>
        <w:tc>
          <w:tcPr>
            <w:tcW w:w="0" w:type="auto"/>
            <w:shd w:val="clear" w:color="auto" w:fill="auto"/>
          </w:tcPr>
          <w:p w14:paraId="33DAF5A8" w14:textId="77777777" w:rsidR="004D6A64" w:rsidRDefault="004D6A64">
            <w:pPr>
              <w:rPr>
                <w:rFonts w:ascii="宋体"/>
              </w:rPr>
            </w:pPr>
          </w:p>
        </w:tc>
        <w:tc>
          <w:tcPr>
            <w:tcW w:w="0" w:type="auto"/>
            <w:shd w:val="clear" w:color="auto" w:fill="auto"/>
          </w:tcPr>
          <w:p w14:paraId="33DAF5A9" w14:textId="77777777" w:rsidR="004D6A64" w:rsidRDefault="004D6A64">
            <w:pPr>
              <w:rPr>
                <w:rFonts w:ascii="宋体"/>
              </w:rPr>
            </w:pPr>
          </w:p>
        </w:tc>
        <w:tc>
          <w:tcPr>
            <w:tcW w:w="0" w:type="auto"/>
            <w:shd w:val="clear" w:color="auto" w:fill="auto"/>
          </w:tcPr>
          <w:p w14:paraId="33DAF5AA" w14:textId="77777777" w:rsidR="004D6A64" w:rsidRDefault="004D6A64">
            <w:pPr>
              <w:rPr>
                <w:rFonts w:ascii="宋体"/>
              </w:rPr>
            </w:pPr>
          </w:p>
        </w:tc>
        <w:tc>
          <w:tcPr>
            <w:tcW w:w="0" w:type="auto"/>
            <w:shd w:val="clear" w:color="auto" w:fill="auto"/>
          </w:tcPr>
          <w:p w14:paraId="33DAF5AB" w14:textId="77777777" w:rsidR="004D6A64" w:rsidRDefault="004D6A64">
            <w:pPr>
              <w:rPr>
                <w:rFonts w:ascii="宋体"/>
              </w:rPr>
            </w:pPr>
          </w:p>
        </w:tc>
        <w:tc>
          <w:tcPr>
            <w:tcW w:w="0" w:type="auto"/>
            <w:shd w:val="clear" w:color="auto" w:fill="auto"/>
          </w:tcPr>
          <w:p w14:paraId="33DAF5AC" w14:textId="77777777" w:rsidR="004D6A64" w:rsidRDefault="004D6A64">
            <w:pPr>
              <w:rPr>
                <w:rFonts w:ascii="宋体"/>
              </w:rPr>
            </w:pPr>
          </w:p>
        </w:tc>
        <w:tc>
          <w:tcPr>
            <w:tcW w:w="0" w:type="auto"/>
            <w:shd w:val="clear" w:color="auto" w:fill="auto"/>
          </w:tcPr>
          <w:p w14:paraId="33DAF5AD" w14:textId="77777777" w:rsidR="004D6A64" w:rsidRDefault="004D6A64">
            <w:pPr>
              <w:rPr>
                <w:rFonts w:ascii="宋体"/>
              </w:rPr>
            </w:pPr>
          </w:p>
        </w:tc>
        <w:tc>
          <w:tcPr>
            <w:tcW w:w="0" w:type="auto"/>
            <w:shd w:val="clear" w:color="auto" w:fill="auto"/>
          </w:tcPr>
          <w:p w14:paraId="33DAF5AE" w14:textId="77777777" w:rsidR="004D6A64" w:rsidRDefault="004D6A64">
            <w:pPr>
              <w:rPr>
                <w:rFonts w:ascii="宋体"/>
              </w:rPr>
            </w:pPr>
          </w:p>
        </w:tc>
        <w:tc>
          <w:tcPr>
            <w:tcW w:w="0" w:type="auto"/>
            <w:shd w:val="clear" w:color="auto" w:fill="auto"/>
          </w:tcPr>
          <w:p w14:paraId="33DAF5AF" w14:textId="77777777" w:rsidR="004D6A64" w:rsidRDefault="004D6A64">
            <w:pPr>
              <w:rPr>
                <w:rFonts w:ascii="宋体"/>
              </w:rPr>
            </w:pPr>
          </w:p>
        </w:tc>
      </w:tr>
      <w:tr w:rsidR="004D6A64" w14:paraId="33DAF5E2" w14:textId="77777777">
        <w:tc>
          <w:tcPr>
            <w:tcW w:w="0" w:type="auto"/>
            <w:gridSpan w:val="3"/>
            <w:shd w:val="clear" w:color="auto" w:fill="FFFFFF"/>
            <w:tcMar>
              <w:top w:w="40" w:type="dxa"/>
              <w:left w:w="135" w:type="dxa"/>
              <w:bottom w:w="40" w:type="dxa"/>
              <w:right w:w="20" w:type="dxa"/>
            </w:tcMar>
            <w:vAlign w:val="center"/>
          </w:tcPr>
          <w:p w14:paraId="33DAF5B1" w14:textId="77777777" w:rsidR="004D6A64" w:rsidRDefault="00506CD6">
            <w:pPr>
              <w:textAlignment w:val="center"/>
            </w:pPr>
            <w:r>
              <w:rPr>
                <w:rFonts w:ascii="Times New Roman" w:eastAsia="宋体" w:hAnsi="Times New Roman"/>
                <w:color w:val="000000"/>
                <w:sz w:val="20"/>
                <w:szCs w:val="20"/>
              </w:rPr>
              <w:t>VMware net revenue</w:t>
            </w:r>
          </w:p>
        </w:tc>
        <w:tc>
          <w:tcPr>
            <w:tcW w:w="0" w:type="auto"/>
            <w:tcBorders>
              <w:top w:val="single" w:sz="8" w:space="0" w:color="000000"/>
            </w:tcBorders>
            <w:shd w:val="clear" w:color="auto" w:fill="FFFFFF"/>
            <w:tcMar>
              <w:top w:w="40" w:type="dxa"/>
              <w:left w:w="20" w:type="dxa"/>
              <w:bottom w:w="40" w:type="dxa"/>
            </w:tcMar>
            <w:vAlign w:val="center"/>
          </w:tcPr>
          <w:p w14:paraId="33DAF5B2"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F5B3" w14:textId="77777777" w:rsidR="004D6A64" w:rsidRDefault="00506CD6">
            <w:pPr>
              <w:jc w:val="right"/>
              <w:textAlignment w:val="center"/>
            </w:pPr>
            <w:r>
              <w:rPr>
                <w:rFonts w:ascii="Times New Roman" w:eastAsia="宋体" w:hAnsi="Times New Roman"/>
                <w:color w:val="000000"/>
                <w:sz w:val="20"/>
                <w:szCs w:val="20"/>
              </w:rPr>
              <w:t>2,908 </w:t>
            </w:r>
          </w:p>
        </w:tc>
        <w:tc>
          <w:tcPr>
            <w:tcW w:w="0" w:type="auto"/>
            <w:tcBorders>
              <w:top w:val="single" w:sz="8" w:space="0" w:color="000000"/>
            </w:tcBorders>
            <w:shd w:val="clear" w:color="auto" w:fill="FFFFFF"/>
            <w:tcMar>
              <w:top w:w="40" w:type="dxa"/>
              <w:bottom w:w="40" w:type="dxa"/>
              <w:right w:w="20" w:type="dxa"/>
            </w:tcMar>
            <w:vAlign w:val="center"/>
          </w:tcPr>
          <w:p w14:paraId="33DAF5B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5B5"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F5B6" w14:textId="77777777" w:rsidR="004D6A64" w:rsidRDefault="00506CD6">
            <w:pPr>
              <w:jc w:val="right"/>
              <w:textAlignment w:val="center"/>
            </w:pPr>
            <w:r>
              <w:rPr>
                <w:rFonts w:ascii="Times New Roman" w:eastAsia="宋体" w:hAnsi="Times New Roman"/>
                <w:color w:val="000000"/>
                <w:sz w:val="20"/>
                <w:szCs w:val="20"/>
              </w:rPr>
              <w:t>10 </w:t>
            </w:r>
          </w:p>
        </w:tc>
        <w:tc>
          <w:tcPr>
            <w:tcW w:w="0" w:type="auto"/>
            <w:shd w:val="clear" w:color="auto" w:fill="FFFFFF"/>
            <w:tcMar>
              <w:top w:w="40" w:type="dxa"/>
              <w:bottom w:w="40" w:type="dxa"/>
              <w:right w:w="20" w:type="dxa"/>
            </w:tcMar>
            <w:vAlign w:val="center"/>
          </w:tcPr>
          <w:p w14:paraId="33DAF5B7"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F5B8"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F5B9"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F5BA" w14:textId="77777777" w:rsidR="004D6A64" w:rsidRDefault="00506CD6">
            <w:pPr>
              <w:jc w:val="right"/>
              <w:textAlignment w:val="center"/>
            </w:pPr>
            <w:r>
              <w:rPr>
                <w:rFonts w:ascii="Times New Roman" w:eastAsia="宋体" w:hAnsi="Times New Roman"/>
                <w:color w:val="000000"/>
                <w:sz w:val="20"/>
                <w:szCs w:val="20"/>
              </w:rPr>
              <w:t>2,651 </w:t>
            </w:r>
          </w:p>
        </w:tc>
        <w:tc>
          <w:tcPr>
            <w:tcW w:w="0" w:type="auto"/>
            <w:tcBorders>
              <w:top w:val="single" w:sz="8" w:space="0" w:color="000000"/>
            </w:tcBorders>
            <w:shd w:val="clear" w:color="auto" w:fill="FFFFFF"/>
            <w:tcMar>
              <w:top w:w="40" w:type="dxa"/>
              <w:bottom w:w="40" w:type="dxa"/>
              <w:right w:w="20" w:type="dxa"/>
            </w:tcMar>
            <w:vAlign w:val="center"/>
          </w:tcPr>
          <w:p w14:paraId="33DAF5B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5BC"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F5BD"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F5BE" w14:textId="77777777" w:rsidR="004D6A64" w:rsidRDefault="00506CD6">
            <w:pPr>
              <w:jc w:val="right"/>
              <w:textAlignment w:val="center"/>
            </w:pPr>
            <w:r>
              <w:rPr>
                <w:rFonts w:ascii="Times New Roman" w:eastAsia="宋体" w:hAnsi="Times New Roman"/>
                <w:color w:val="000000"/>
                <w:sz w:val="20"/>
                <w:szCs w:val="20"/>
              </w:rPr>
              <w:t>5,663 </w:t>
            </w:r>
          </w:p>
        </w:tc>
        <w:tc>
          <w:tcPr>
            <w:tcW w:w="0" w:type="auto"/>
            <w:tcBorders>
              <w:top w:val="single" w:sz="8" w:space="0" w:color="000000"/>
            </w:tcBorders>
            <w:shd w:val="clear" w:color="auto" w:fill="FFFFFF"/>
            <w:tcMar>
              <w:top w:w="40" w:type="dxa"/>
              <w:bottom w:w="40" w:type="dxa"/>
              <w:right w:w="20" w:type="dxa"/>
            </w:tcMar>
            <w:vAlign w:val="center"/>
          </w:tcPr>
          <w:p w14:paraId="33DAF5BF"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5C0"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F5C1" w14:textId="77777777" w:rsidR="004D6A64" w:rsidRDefault="00506CD6">
            <w:pPr>
              <w:jc w:val="right"/>
              <w:textAlignment w:val="center"/>
            </w:pPr>
            <w:r>
              <w:rPr>
                <w:rFonts w:ascii="Times New Roman" w:eastAsia="宋体" w:hAnsi="Times New Roman"/>
                <w:color w:val="000000"/>
                <w:sz w:val="20"/>
                <w:szCs w:val="20"/>
              </w:rPr>
              <w:t>11 </w:t>
            </w:r>
          </w:p>
        </w:tc>
        <w:tc>
          <w:tcPr>
            <w:tcW w:w="0" w:type="auto"/>
            <w:shd w:val="clear" w:color="auto" w:fill="FFFFFF"/>
            <w:tcMar>
              <w:top w:w="40" w:type="dxa"/>
              <w:bottom w:w="40" w:type="dxa"/>
              <w:right w:w="20" w:type="dxa"/>
            </w:tcMar>
            <w:vAlign w:val="center"/>
          </w:tcPr>
          <w:p w14:paraId="33DAF5C2"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3DAF5C3" w14:textId="77777777" w:rsidR="004D6A64" w:rsidRDefault="004D6A64">
            <w:pPr>
              <w:rPr>
                <w:rFonts w:ascii="宋体"/>
              </w:rPr>
            </w:pPr>
          </w:p>
        </w:tc>
        <w:tc>
          <w:tcPr>
            <w:tcW w:w="0" w:type="auto"/>
            <w:tcBorders>
              <w:top w:val="single" w:sz="8" w:space="0" w:color="000000"/>
            </w:tcBorders>
            <w:shd w:val="clear" w:color="auto" w:fill="FFFFFF"/>
            <w:tcMar>
              <w:top w:w="40" w:type="dxa"/>
              <w:left w:w="20" w:type="dxa"/>
              <w:bottom w:w="40" w:type="dxa"/>
            </w:tcMar>
            <w:vAlign w:val="center"/>
          </w:tcPr>
          <w:p w14:paraId="33DAF5C4"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center"/>
          </w:tcPr>
          <w:p w14:paraId="33DAF5C5" w14:textId="77777777" w:rsidR="004D6A64" w:rsidRDefault="00506CD6">
            <w:pPr>
              <w:jc w:val="right"/>
              <w:textAlignment w:val="center"/>
            </w:pPr>
            <w:r>
              <w:rPr>
                <w:rFonts w:ascii="Times New Roman" w:eastAsia="宋体" w:hAnsi="Times New Roman"/>
                <w:color w:val="000000"/>
                <w:sz w:val="20"/>
                <w:szCs w:val="20"/>
              </w:rPr>
              <w:t>5,108 </w:t>
            </w:r>
          </w:p>
        </w:tc>
        <w:tc>
          <w:tcPr>
            <w:tcW w:w="0" w:type="auto"/>
            <w:tcBorders>
              <w:top w:val="single" w:sz="8" w:space="0" w:color="000000"/>
            </w:tcBorders>
            <w:shd w:val="clear" w:color="auto" w:fill="FFFFFF"/>
            <w:tcMar>
              <w:top w:w="40" w:type="dxa"/>
              <w:bottom w:w="40" w:type="dxa"/>
              <w:right w:w="20" w:type="dxa"/>
            </w:tcMar>
            <w:vAlign w:val="center"/>
          </w:tcPr>
          <w:p w14:paraId="33DAF5C6" w14:textId="77777777" w:rsidR="004D6A64" w:rsidRDefault="004D6A64">
            <w:pPr>
              <w:jc w:val="right"/>
              <w:rPr>
                <w:rFonts w:ascii="宋体"/>
              </w:rPr>
            </w:pPr>
          </w:p>
        </w:tc>
        <w:tc>
          <w:tcPr>
            <w:tcW w:w="0" w:type="auto"/>
            <w:shd w:val="clear" w:color="auto" w:fill="auto"/>
          </w:tcPr>
          <w:p w14:paraId="33DAF5C7" w14:textId="77777777" w:rsidR="004D6A64" w:rsidRDefault="004D6A64">
            <w:pPr>
              <w:rPr>
                <w:rFonts w:ascii="宋体"/>
              </w:rPr>
            </w:pPr>
          </w:p>
        </w:tc>
        <w:tc>
          <w:tcPr>
            <w:tcW w:w="0" w:type="auto"/>
            <w:shd w:val="clear" w:color="auto" w:fill="auto"/>
          </w:tcPr>
          <w:p w14:paraId="33DAF5C8" w14:textId="77777777" w:rsidR="004D6A64" w:rsidRDefault="004D6A64">
            <w:pPr>
              <w:rPr>
                <w:rFonts w:ascii="宋体"/>
              </w:rPr>
            </w:pPr>
          </w:p>
        </w:tc>
        <w:tc>
          <w:tcPr>
            <w:tcW w:w="0" w:type="auto"/>
            <w:shd w:val="clear" w:color="auto" w:fill="auto"/>
          </w:tcPr>
          <w:p w14:paraId="33DAF5C9" w14:textId="77777777" w:rsidR="004D6A64" w:rsidRDefault="004D6A64">
            <w:pPr>
              <w:rPr>
                <w:rFonts w:ascii="宋体"/>
              </w:rPr>
            </w:pPr>
          </w:p>
        </w:tc>
        <w:tc>
          <w:tcPr>
            <w:tcW w:w="0" w:type="auto"/>
            <w:shd w:val="clear" w:color="auto" w:fill="auto"/>
          </w:tcPr>
          <w:p w14:paraId="33DAF5CA" w14:textId="77777777" w:rsidR="004D6A64" w:rsidRDefault="004D6A64">
            <w:pPr>
              <w:rPr>
                <w:rFonts w:ascii="宋体"/>
              </w:rPr>
            </w:pPr>
          </w:p>
        </w:tc>
        <w:tc>
          <w:tcPr>
            <w:tcW w:w="0" w:type="auto"/>
            <w:shd w:val="clear" w:color="auto" w:fill="auto"/>
          </w:tcPr>
          <w:p w14:paraId="33DAF5CB" w14:textId="77777777" w:rsidR="004D6A64" w:rsidRDefault="004D6A64">
            <w:pPr>
              <w:rPr>
                <w:rFonts w:ascii="宋体"/>
              </w:rPr>
            </w:pPr>
          </w:p>
        </w:tc>
        <w:tc>
          <w:tcPr>
            <w:tcW w:w="0" w:type="auto"/>
            <w:shd w:val="clear" w:color="auto" w:fill="auto"/>
          </w:tcPr>
          <w:p w14:paraId="33DAF5CC" w14:textId="77777777" w:rsidR="004D6A64" w:rsidRDefault="004D6A64">
            <w:pPr>
              <w:rPr>
                <w:rFonts w:ascii="宋体"/>
              </w:rPr>
            </w:pPr>
          </w:p>
        </w:tc>
        <w:tc>
          <w:tcPr>
            <w:tcW w:w="0" w:type="auto"/>
            <w:shd w:val="clear" w:color="auto" w:fill="auto"/>
          </w:tcPr>
          <w:p w14:paraId="33DAF5CD" w14:textId="77777777" w:rsidR="004D6A64" w:rsidRDefault="004D6A64">
            <w:pPr>
              <w:rPr>
                <w:rFonts w:ascii="宋体"/>
              </w:rPr>
            </w:pPr>
          </w:p>
        </w:tc>
        <w:tc>
          <w:tcPr>
            <w:tcW w:w="0" w:type="auto"/>
            <w:shd w:val="clear" w:color="auto" w:fill="auto"/>
          </w:tcPr>
          <w:p w14:paraId="33DAF5CE" w14:textId="77777777" w:rsidR="004D6A64" w:rsidRDefault="004D6A64">
            <w:pPr>
              <w:rPr>
                <w:rFonts w:ascii="宋体"/>
              </w:rPr>
            </w:pPr>
          </w:p>
        </w:tc>
        <w:tc>
          <w:tcPr>
            <w:tcW w:w="0" w:type="auto"/>
            <w:shd w:val="clear" w:color="auto" w:fill="auto"/>
          </w:tcPr>
          <w:p w14:paraId="33DAF5CF" w14:textId="77777777" w:rsidR="004D6A64" w:rsidRDefault="004D6A64">
            <w:pPr>
              <w:rPr>
                <w:rFonts w:ascii="宋体"/>
              </w:rPr>
            </w:pPr>
          </w:p>
        </w:tc>
        <w:tc>
          <w:tcPr>
            <w:tcW w:w="0" w:type="auto"/>
            <w:shd w:val="clear" w:color="auto" w:fill="auto"/>
          </w:tcPr>
          <w:p w14:paraId="33DAF5D0" w14:textId="77777777" w:rsidR="004D6A64" w:rsidRDefault="004D6A64">
            <w:pPr>
              <w:rPr>
                <w:rFonts w:ascii="宋体"/>
              </w:rPr>
            </w:pPr>
          </w:p>
        </w:tc>
        <w:tc>
          <w:tcPr>
            <w:tcW w:w="0" w:type="auto"/>
            <w:shd w:val="clear" w:color="auto" w:fill="auto"/>
          </w:tcPr>
          <w:p w14:paraId="33DAF5D1" w14:textId="77777777" w:rsidR="004D6A64" w:rsidRDefault="004D6A64">
            <w:pPr>
              <w:rPr>
                <w:rFonts w:ascii="宋体"/>
              </w:rPr>
            </w:pPr>
          </w:p>
        </w:tc>
        <w:tc>
          <w:tcPr>
            <w:tcW w:w="0" w:type="auto"/>
            <w:shd w:val="clear" w:color="auto" w:fill="auto"/>
          </w:tcPr>
          <w:p w14:paraId="33DAF5D2" w14:textId="77777777" w:rsidR="004D6A64" w:rsidRDefault="004D6A64">
            <w:pPr>
              <w:rPr>
                <w:rFonts w:ascii="宋体"/>
              </w:rPr>
            </w:pPr>
          </w:p>
        </w:tc>
        <w:tc>
          <w:tcPr>
            <w:tcW w:w="0" w:type="auto"/>
            <w:shd w:val="clear" w:color="auto" w:fill="auto"/>
          </w:tcPr>
          <w:p w14:paraId="33DAF5D3" w14:textId="77777777" w:rsidR="004D6A64" w:rsidRDefault="004D6A64">
            <w:pPr>
              <w:rPr>
                <w:rFonts w:ascii="宋体"/>
              </w:rPr>
            </w:pPr>
          </w:p>
        </w:tc>
        <w:tc>
          <w:tcPr>
            <w:tcW w:w="0" w:type="auto"/>
            <w:shd w:val="clear" w:color="auto" w:fill="auto"/>
          </w:tcPr>
          <w:p w14:paraId="33DAF5D4" w14:textId="77777777" w:rsidR="004D6A64" w:rsidRDefault="004D6A64">
            <w:pPr>
              <w:rPr>
                <w:rFonts w:ascii="宋体"/>
              </w:rPr>
            </w:pPr>
          </w:p>
        </w:tc>
        <w:tc>
          <w:tcPr>
            <w:tcW w:w="0" w:type="auto"/>
            <w:shd w:val="clear" w:color="auto" w:fill="auto"/>
          </w:tcPr>
          <w:p w14:paraId="33DAF5D5" w14:textId="77777777" w:rsidR="004D6A64" w:rsidRDefault="004D6A64">
            <w:pPr>
              <w:rPr>
                <w:rFonts w:ascii="宋体"/>
              </w:rPr>
            </w:pPr>
          </w:p>
        </w:tc>
        <w:tc>
          <w:tcPr>
            <w:tcW w:w="0" w:type="auto"/>
            <w:shd w:val="clear" w:color="auto" w:fill="auto"/>
          </w:tcPr>
          <w:p w14:paraId="33DAF5D6" w14:textId="77777777" w:rsidR="004D6A64" w:rsidRDefault="004D6A64">
            <w:pPr>
              <w:rPr>
                <w:rFonts w:ascii="宋体"/>
              </w:rPr>
            </w:pPr>
          </w:p>
        </w:tc>
        <w:tc>
          <w:tcPr>
            <w:tcW w:w="0" w:type="auto"/>
            <w:shd w:val="clear" w:color="auto" w:fill="auto"/>
          </w:tcPr>
          <w:p w14:paraId="33DAF5D7" w14:textId="77777777" w:rsidR="004D6A64" w:rsidRDefault="004D6A64">
            <w:pPr>
              <w:rPr>
                <w:rFonts w:ascii="宋体"/>
              </w:rPr>
            </w:pPr>
          </w:p>
        </w:tc>
        <w:tc>
          <w:tcPr>
            <w:tcW w:w="0" w:type="auto"/>
            <w:shd w:val="clear" w:color="auto" w:fill="auto"/>
          </w:tcPr>
          <w:p w14:paraId="33DAF5D8" w14:textId="77777777" w:rsidR="004D6A64" w:rsidRDefault="004D6A64">
            <w:pPr>
              <w:rPr>
                <w:rFonts w:ascii="宋体"/>
              </w:rPr>
            </w:pPr>
          </w:p>
        </w:tc>
        <w:tc>
          <w:tcPr>
            <w:tcW w:w="0" w:type="auto"/>
            <w:shd w:val="clear" w:color="auto" w:fill="auto"/>
          </w:tcPr>
          <w:p w14:paraId="33DAF5D9" w14:textId="77777777" w:rsidR="004D6A64" w:rsidRDefault="004D6A64">
            <w:pPr>
              <w:rPr>
                <w:rFonts w:ascii="宋体"/>
              </w:rPr>
            </w:pPr>
          </w:p>
        </w:tc>
        <w:tc>
          <w:tcPr>
            <w:tcW w:w="0" w:type="auto"/>
            <w:shd w:val="clear" w:color="auto" w:fill="auto"/>
          </w:tcPr>
          <w:p w14:paraId="33DAF5DA" w14:textId="77777777" w:rsidR="004D6A64" w:rsidRDefault="004D6A64">
            <w:pPr>
              <w:rPr>
                <w:rFonts w:ascii="宋体"/>
              </w:rPr>
            </w:pPr>
          </w:p>
        </w:tc>
        <w:tc>
          <w:tcPr>
            <w:tcW w:w="0" w:type="auto"/>
            <w:shd w:val="clear" w:color="auto" w:fill="auto"/>
          </w:tcPr>
          <w:p w14:paraId="33DAF5DB" w14:textId="77777777" w:rsidR="004D6A64" w:rsidRDefault="004D6A64">
            <w:pPr>
              <w:rPr>
                <w:rFonts w:ascii="宋体"/>
              </w:rPr>
            </w:pPr>
          </w:p>
        </w:tc>
        <w:tc>
          <w:tcPr>
            <w:tcW w:w="0" w:type="auto"/>
            <w:shd w:val="clear" w:color="auto" w:fill="auto"/>
          </w:tcPr>
          <w:p w14:paraId="33DAF5DC" w14:textId="77777777" w:rsidR="004D6A64" w:rsidRDefault="004D6A64">
            <w:pPr>
              <w:rPr>
                <w:rFonts w:ascii="宋体"/>
              </w:rPr>
            </w:pPr>
          </w:p>
        </w:tc>
        <w:tc>
          <w:tcPr>
            <w:tcW w:w="0" w:type="auto"/>
            <w:shd w:val="clear" w:color="auto" w:fill="auto"/>
          </w:tcPr>
          <w:p w14:paraId="33DAF5DD" w14:textId="77777777" w:rsidR="004D6A64" w:rsidRDefault="004D6A64">
            <w:pPr>
              <w:rPr>
                <w:rFonts w:ascii="宋体"/>
              </w:rPr>
            </w:pPr>
          </w:p>
        </w:tc>
        <w:tc>
          <w:tcPr>
            <w:tcW w:w="0" w:type="auto"/>
            <w:shd w:val="clear" w:color="auto" w:fill="auto"/>
          </w:tcPr>
          <w:p w14:paraId="33DAF5DE" w14:textId="77777777" w:rsidR="004D6A64" w:rsidRDefault="004D6A64">
            <w:pPr>
              <w:rPr>
                <w:rFonts w:ascii="宋体"/>
              </w:rPr>
            </w:pPr>
          </w:p>
        </w:tc>
        <w:tc>
          <w:tcPr>
            <w:tcW w:w="0" w:type="auto"/>
            <w:shd w:val="clear" w:color="auto" w:fill="auto"/>
          </w:tcPr>
          <w:p w14:paraId="33DAF5DF" w14:textId="77777777" w:rsidR="004D6A64" w:rsidRDefault="004D6A64">
            <w:pPr>
              <w:rPr>
                <w:rFonts w:ascii="宋体"/>
              </w:rPr>
            </w:pPr>
          </w:p>
        </w:tc>
        <w:tc>
          <w:tcPr>
            <w:tcW w:w="0" w:type="auto"/>
            <w:shd w:val="clear" w:color="auto" w:fill="auto"/>
          </w:tcPr>
          <w:p w14:paraId="33DAF5E0" w14:textId="77777777" w:rsidR="004D6A64" w:rsidRDefault="004D6A64">
            <w:pPr>
              <w:rPr>
                <w:rFonts w:ascii="宋体"/>
              </w:rPr>
            </w:pPr>
          </w:p>
        </w:tc>
        <w:tc>
          <w:tcPr>
            <w:tcW w:w="0" w:type="auto"/>
            <w:shd w:val="clear" w:color="auto" w:fill="auto"/>
          </w:tcPr>
          <w:p w14:paraId="33DAF5E1" w14:textId="77777777" w:rsidR="004D6A64" w:rsidRDefault="004D6A64">
            <w:pPr>
              <w:rPr>
                <w:rFonts w:ascii="宋体"/>
              </w:rPr>
            </w:pPr>
          </w:p>
        </w:tc>
      </w:tr>
      <w:tr w:rsidR="004D6A64" w14:paraId="33DAF60A" w14:textId="77777777">
        <w:trPr>
          <w:trHeight w:val="300"/>
        </w:trPr>
        <w:tc>
          <w:tcPr>
            <w:tcW w:w="0" w:type="auto"/>
            <w:gridSpan w:val="3"/>
            <w:shd w:val="clear" w:color="auto" w:fill="CCEEFF"/>
            <w:tcMar>
              <w:left w:w="20" w:type="dxa"/>
              <w:right w:w="20" w:type="dxa"/>
            </w:tcMar>
            <w:vAlign w:val="bottom"/>
          </w:tcPr>
          <w:p w14:paraId="33DAF5E3" w14:textId="77777777" w:rsidR="004D6A64" w:rsidRDefault="004D6A64">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F5E4"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5E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5E6"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5E7" w14:textId="77777777" w:rsidR="004D6A64" w:rsidRDefault="004D6A64">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F5E8"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5E9" w14:textId="77777777" w:rsidR="004D6A64" w:rsidRDefault="004D6A64">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F5EA"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5EB"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5E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5ED" w14:textId="77777777" w:rsidR="004D6A64" w:rsidRDefault="004D6A64">
            <w:pPr>
              <w:rPr>
                <w:rFonts w:ascii="宋体"/>
              </w:rPr>
            </w:pPr>
          </w:p>
        </w:tc>
        <w:tc>
          <w:tcPr>
            <w:tcW w:w="0" w:type="auto"/>
            <w:gridSpan w:val="3"/>
            <w:tcBorders>
              <w:top w:val="single" w:sz="8" w:space="0" w:color="000000"/>
            </w:tcBorders>
            <w:shd w:val="clear" w:color="auto" w:fill="CCEEFF"/>
            <w:tcMar>
              <w:left w:w="20" w:type="dxa"/>
              <w:right w:w="20" w:type="dxa"/>
            </w:tcMar>
            <w:vAlign w:val="bottom"/>
          </w:tcPr>
          <w:p w14:paraId="33DAF5EE" w14:textId="77777777" w:rsidR="004D6A64" w:rsidRDefault="004D6A64">
            <w:pPr>
              <w:rPr>
                <w:rFonts w:ascii="宋体"/>
              </w:rPr>
            </w:pPr>
          </w:p>
        </w:tc>
        <w:tc>
          <w:tcPr>
            <w:tcW w:w="0" w:type="auto"/>
            <w:shd w:val="clear" w:color="auto" w:fill="auto"/>
          </w:tcPr>
          <w:p w14:paraId="33DAF5EF" w14:textId="77777777" w:rsidR="004D6A64" w:rsidRDefault="004D6A64">
            <w:pPr>
              <w:rPr>
                <w:rFonts w:ascii="宋体"/>
              </w:rPr>
            </w:pPr>
          </w:p>
        </w:tc>
        <w:tc>
          <w:tcPr>
            <w:tcW w:w="0" w:type="auto"/>
            <w:shd w:val="clear" w:color="auto" w:fill="auto"/>
          </w:tcPr>
          <w:p w14:paraId="33DAF5F0" w14:textId="77777777" w:rsidR="004D6A64" w:rsidRDefault="004D6A64">
            <w:pPr>
              <w:rPr>
                <w:rFonts w:ascii="宋体"/>
              </w:rPr>
            </w:pPr>
          </w:p>
        </w:tc>
        <w:tc>
          <w:tcPr>
            <w:tcW w:w="0" w:type="auto"/>
            <w:shd w:val="clear" w:color="auto" w:fill="auto"/>
          </w:tcPr>
          <w:p w14:paraId="33DAF5F1" w14:textId="77777777" w:rsidR="004D6A64" w:rsidRDefault="004D6A64">
            <w:pPr>
              <w:rPr>
                <w:rFonts w:ascii="宋体"/>
              </w:rPr>
            </w:pPr>
          </w:p>
        </w:tc>
        <w:tc>
          <w:tcPr>
            <w:tcW w:w="0" w:type="auto"/>
            <w:shd w:val="clear" w:color="auto" w:fill="auto"/>
          </w:tcPr>
          <w:p w14:paraId="33DAF5F2" w14:textId="77777777" w:rsidR="004D6A64" w:rsidRDefault="004D6A64">
            <w:pPr>
              <w:rPr>
                <w:rFonts w:ascii="宋体"/>
              </w:rPr>
            </w:pPr>
          </w:p>
        </w:tc>
        <w:tc>
          <w:tcPr>
            <w:tcW w:w="0" w:type="auto"/>
            <w:shd w:val="clear" w:color="auto" w:fill="auto"/>
          </w:tcPr>
          <w:p w14:paraId="33DAF5F3" w14:textId="77777777" w:rsidR="004D6A64" w:rsidRDefault="004D6A64">
            <w:pPr>
              <w:rPr>
                <w:rFonts w:ascii="宋体"/>
              </w:rPr>
            </w:pPr>
          </w:p>
        </w:tc>
        <w:tc>
          <w:tcPr>
            <w:tcW w:w="0" w:type="auto"/>
            <w:shd w:val="clear" w:color="auto" w:fill="auto"/>
          </w:tcPr>
          <w:p w14:paraId="33DAF5F4" w14:textId="77777777" w:rsidR="004D6A64" w:rsidRDefault="004D6A64">
            <w:pPr>
              <w:rPr>
                <w:rFonts w:ascii="宋体"/>
              </w:rPr>
            </w:pPr>
          </w:p>
        </w:tc>
        <w:tc>
          <w:tcPr>
            <w:tcW w:w="0" w:type="auto"/>
            <w:shd w:val="clear" w:color="auto" w:fill="auto"/>
          </w:tcPr>
          <w:p w14:paraId="33DAF5F5" w14:textId="77777777" w:rsidR="004D6A64" w:rsidRDefault="004D6A64">
            <w:pPr>
              <w:rPr>
                <w:rFonts w:ascii="宋体"/>
              </w:rPr>
            </w:pPr>
          </w:p>
        </w:tc>
        <w:tc>
          <w:tcPr>
            <w:tcW w:w="0" w:type="auto"/>
            <w:shd w:val="clear" w:color="auto" w:fill="auto"/>
          </w:tcPr>
          <w:p w14:paraId="33DAF5F6" w14:textId="77777777" w:rsidR="004D6A64" w:rsidRDefault="004D6A64">
            <w:pPr>
              <w:rPr>
                <w:rFonts w:ascii="宋体"/>
              </w:rPr>
            </w:pPr>
          </w:p>
        </w:tc>
        <w:tc>
          <w:tcPr>
            <w:tcW w:w="0" w:type="auto"/>
            <w:shd w:val="clear" w:color="auto" w:fill="auto"/>
          </w:tcPr>
          <w:p w14:paraId="33DAF5F7" w14:textId="77777777" w:rsidR="004D6A64" w:rsidRDefault="004D6A64">
            <w:pPr>
              <w:rPr>
                <w:rFonts w:ascii="宋体"/>
              </w:rPr>
            </w:pPr>
          </w:p>
        </w:tc>
        <w:tc>
          <w:tcPr>
            <w:tcW w:w="0" w:type="auto"/>
            <w:shd w:val="clear" w:color="auto" w:fill="auto"/>
          </w:tcPr>
          <w:p w14:paraId="33DAF5F8" w14:textId="77777777" w:rsidR="004D6A64" w:rsidRDefault="004D6A64">
            <w:pPr>
              <w:rPr>
                <w:rFonts w:ascii="宋体"/>
              </w:rPr>
            </w:pPr>
          </w:p>
        </w:tc>
        <w:tc>
          <w:tcPr>
            <w:tcW w:w="0" w:type="auto"/>
            <w:shd w:val="clear" w:color="auto" w:fill="auto"/>
          </w:tcPr>
          <w:p w14:paraId="33DAF5F9" w14:textId="77777777" w:rsidR="004D6A64" w:rsidRDefault="004D6A64">
            <w:pPr>
              <w:rPr>
                <w:rFonts w:ascii="宋体"/>
              </w:rPr>
            </w:pPr>
          </w:p>
        </w:tc>
        <w:tc>
          <w:tcPr>
            <w:tcW w:w="0" w:type="auto"/>
            <w:shd w:val="clear" w:color="auto" w:fill="auto"/>
          </w:tcPr>
          <w:p w14:paraId="33DAF5FA" w14:textId="77777777" w:rsidR="004D6A64" w:rsidRDefault="004D6A64">
            <w:pPr>
              <w:rPr>
                <w:rFonts w:ascii="宋体"/>
              </w:rPr>
            </w:pPr>
          </w:p>
        </w:tc>
        <w:tc>
          <w:tcPr>
            <w:tcW w:w="0" w:type="auto"/>
            <w:shd w:val="clear" w:color="auto" w:fill="auto"/>
          </w:tcPr>
          <w:p w14:paraId="33DAF5FB" w14:textId="77777777" w:rsidR="004D6A64" w:rsidRDefault="004D6A64">
            <w:pPr>
              <w:rPr>
                <w:rFonts w:ascii="宋体"/>
              </w:rPr>
            </w:pPr>
          </w:p>
        </w:tc>
        <w:tc>
          <w:tcPr>
            <w:tcW w:w="0" w:type="auto"/>
            <w:shd w:val="clear" w:color="auto" w:fill="auto"/>
          </w:tcPr>
          <w:p w14:paraId="33DAF5FC" w14:textId="77777777" w:rsidR="004D6A64" w:rsidRDefault="004D6A64">
            <w:pPr>
              <w:rPr>
                <w:rFonts w:ascii="宋体"/>
              </w:rPr>
            </w:pPr>
          </w:p>
        </w:tc>
        <w:tc>
          <w:tcPr>
            <w:tcW w:w="0" w:type="auto"/>
            <w:shd w:val="clear" w:color="auto" w:fill="auto"/>
          </w:tcPr>
          <w:p w14:paraId="33DAF5FD" w14:textId="77777777" w:rsidR="004D6A64" w:rsidRDefault="004D6A64">
            <w:pPr>
              <w:rPr>
                <w:rFonts w:ascii="宋体"/>
              </w:rPr>
            </w:pPr>
          </w:p>
        </w:tc>
        <w:tc>
          <w:tcPr>
            <w:tcW w:w="0" w:type="auto"/>
            <w:shd w:val="clear" w:color="auto" w:fill="auto"/>
          </w:tcPr>
          <w:p w14:paraId="33DAF5FE" w14:textId="77777777" w:rsidR="004D6A64" w:rsidRDefault="004D6A64">
            <w:pPr>
              <w:rPr>
                <w:rFonts w:ascii="宋体"/>
              </w:rPr>
            </w:pPr>
          </w:p>
        </w:tc>
        <w:tc>
          <w:tcPr>
            <w:tcW w:w="0" w:type="auto"/>
            <w:shd w:val="clear" w:color="auto" w:fill="auto"/>
          </w:tcPr>
          <w:p w14:paraId="33DAF5FF" w14:textId="77777777" w:rsidR="004D6A64" w:rsidRDefault="004D6A64">
            <w:pPr>
              <w:rPr>
                <w:rFonts w:ascii="宋体"/>
              </w:rPr>
            </w:pPr>
          </w:p>
        </w:tc>
        <w:tc>
          <w:tcPr>
            <w:tcW w:w="0" w:type="auto"/>
            <w:shd w:val="clear" w:color="auto" w:fill="auto"/>
          </w:tcPr>
          <w:p w14:paraId="33DAF600" w14:textId="77777777" w:rsidR="004D6A64" w:rsidRDefault="004D6A64">
            <w:pPr>
              <w:rPr>
                <w:rFonts w:ascii="宋体"/>
              </w:rPr>
            </w:pPr>
          </w:p>
        </w:tc>
        <w:tc>
          <w:tcPr>
            <w:tcW w:w="0" w:type="auto"/>
            <w:shd w:val="clear" w:color="auto" w:fill="auto"/>
          </w:tcPr>
          <w:p w14:paraId="33DAF601" w14:textId="77777777" w:rsidR="004D6A64" w:rsidRDefault="004D6A64">
            <w:pPr>
              <w:rPr>
                <w:rFonts w:ascii="宋体"/>
              </w:rPr>
            </w:pPr>
          </w:p>
        </w:tc>
        <w:tc>
          <w:tcPr>
            <w:tcW w:w="0" w:type="auto"/>
            <w:shd w:val="clear" w:color="auto" w:fill="auto"/>
          </w:tcPr>
          <w:p w14:paraId="33DAF602" w14:textId="77777777" w:rsidR="004D6A64" w:rsidRDefault="004D6A64">
            <w:pPr>
              <w:rPr>
                <w:rFonts w:ascii="宋体"/>
              </w:rPr>
            </w:pPr>
          </w:p>
        </w:tc>
        <w:tc>
          <w:tcPr>
            <w:tcW w:w="0" w:type="auto"/>
            <w:shd w:val="clear" w:color="auto" w:fill="auto"/>
          </w:tcPr>
          <w:p w14:paraId="33DAF603" w14:textId="77777777" w:rsidR="004D6A64" w:rsidRDefault="004D6A64">
            <w:pPr>
              <w:rPr>
                <w:rFonts w:ascii="宋体"/>
              </w:rPr>
            </w:pPr>
          </w:p>
        </w:tc>
        <w:tc>
          <w:tcPr>
            <w:tcW w:w="0" w:type="auto"/>
            <w:shd w:val="clear" w:color="auto" w:fill="auto"/>
          </w:tcPr>
          <w:p w14:paraId="33DAF604" w14:textId="77777777" w:rsidR="004D6A64" w:rsidRDefault="004D6A64">
            <w:pPr>
              <w:rPr>
                <w:rFonts w:ascii="宋体"/>
              </w:rPr>
            </w:pPr>
          </w:p>
        </w:tc>
        <w:tc>
          <w:tcPr>
            <w:tcW w:w="0" w:type="auto"/>
            <w:shd w:val="clear" w:color="auto" w:fill="auto"/>
          </w:tcPr>
          <w:p w14:paraId="33DAF605" w14:textId="77777777" w:rsidR="004D6A64" w:rsidRDefault="004D6A64">
            <w:pPr>
              <w:rPr>
                <w:rFonts w:ascii="宋体"/>
              </w:rPr>
            </w:pPr>
          </w:p>
        </w:tc>
        <w:tc>
          <w:tcPr>
            <w:tcW w:w="0" w:type="auto"/>
            <w:shd w:val="clear" w:color="auto" w:fill="auto"/>
          </w:tcPr>
          <w:p w14:paraId="33DAF606" w14:textId="77777777" w:rsidR="004D6A64" w:rsidRDefault="004D6A64">
            <w:pPr>
              <w:rPr>
                <w:rFonts w:ascii="宋体"/>
              </w:rPr>
            </w:pPr>
          </w:p>
        </w:tc>
        <w:tc>
          <w:tcPr>
            <w:tcW w:w="0" w:type="auto"/>
            <w:shd w:val="clear" w:color="auto" w:fill="auto"/>
          </w:tcPr>
          <w:p w14:paraId="33DAF607" w14:textId="77777777" w:rsidR="004D6A64" w:rsidRDefault="004D6A64">
            <w:pPr>
              <w:rPr>
                <w:rFonts w:ascii="宋体"/>
              </w:rPr>
            </w:pPr>
          </w:p>
        </w:tc>
        <w:tc>
          <w:tcPr>
            <w:tcW w:w="0" w:type="auto"/>
            <w:shd w:val="clear" w:color="auto" w:fill="auto"/>
          </w:tcPr>
          <w:p w14:paraId="33DAF608" w14:textId="77777777" w:rsidR="004D6A64" w:rsidRDefault="004D6A64">
            <w:pPr>
              <w:rPr>
                <w:rFonts w:ascii="宋体"/>
              </w:rPr>
            </w:pPr>
          </w:p>
        </w:tc>
        <w:tc>
          <w:tcPr>
            <w:tcW w:w="0" w:type="auto"/>
            <w:shd w:val="clear" w:color="auto" w:fill="auto"/>
          </w:tcPr>
          <w:p w14:paraId="33DAF609" w14:textId="77777777" w:rsidR="004D6A64" w:rsidRDefault="004D6A64">
            <w:pPr>
              <w:rPr>
                <w:rFonts w:ascii="宋体"/>
              </w:rPr>
            </w:pPr>
          </w:p>
        </w:tc>
      </w:tr>
      <w:tr w:rsidR="004D6A64" w14:paraId="33DAF632" w14:textId="77777777">
        <w:tc>
          <w:tcPr>
            <w:tcW w:w="0" w:type="auto"/>
            <w:gridSpan w:val="3"/>
            <w:shd w:val="clear" w:color="auto" w:fill="FFFFFF"/>
            <w:tcMar>
              <w:top w:w="40" w:type="dxa"/>
              <w:left w:w="20" w:type="dxa"/>
              <w:bottom w:w="40" w:type="dxa"/>
              <w:right w:w="20" w:type="dxa"/>
            </w:tcMar>
            <w:vAlign w:val="center"/>
          </w:tcPr>
          <w:p w14:paraId="33DAF60B" w14:textId="77777777" w:rsidR="004D6A64" w:rsidRDefault="00506CD6">
            <w:pPr>
              <w:textAlignment w:val="center"/>
            </w:pPr>
            <w:r>
              <w:rPr>
                <w:rFonts w:ascii="Times New Roman" w:eastAsia="宋体" w:hAnsi="Times New Roman"/>
                <w:i/>
                <w:iCs/>
                <w:color w:val="000000"/>
                <w:sz w:val="20"/>
                <w:szCs w:val="20"/>
              </w:rPr>
              <w:t>Operating income:</w:t>
            </w:r>
          </w:p>
        </w:tc>
        <w:tc>
          <w:tcPr>
            <w:tcW w:w="0" w:type="auto"/>
            <w:gridSpan w:val="3"/>
            <w:shd w:val="clear" w:color="auto" w:fill="FFFFFF"/>
            <w:tcMar>
              <w:left w:w="20" w:type="dxa"/>
              <w:right w:w="20" w:type="dxa"/>
            </w:tcMar>
            <w:vAlign w:val="bottom"/>
          </w:tcPr>
          <w:p w14:paraId="33DAF60C"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60D"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60E"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60F"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610"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611"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612"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613"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614"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615"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616" w14:textId="77777777" w:rsidR="004D6A64" w:rsidRDefault="004D6A64">
            <w:pPr>
              <w:rPr>
                <w:rFonts w:ascii="宋体"/>
              </w:rPr>
            </w:pPr>
          </w:p>
        </w:tc>
        <w:tc>
          <w:tcPr>
            <w:tcW w:w="0" w:type="auto"/>
            <w:shd w:val="clear" w:color="auto" w:fill="auto"/>
          </w:tcPr>
          <w:p w14:paraId="33DAF617" w14:textId="77777777" w:rsidR="004D6A64" w:rsidRDefault="004D6A64">
            <w:pPr>
              <w:rPr>
                <w:rFonts w:ascii="宋体"/>
              </w:rPr>
            </w:pPr>
          </w:p>
        </w:tc>
        <w:tc>
          <w:tcPr>
            <w:tcW w:w="0" w:type="auto"/>
            <w:shd w:val="clear" w:color="auto" w:fill="auto"/>
          </w:tcPr>
          <w:p w14:paraId="33DAF618" w14:textId="77777777" w:rsidR="004D6A64" w:rsidRDefault="004D6A64">
            <w:pPr>
              <w:rPr>
                <w:rFonts w:ascii="宋体"/>
              </w:rPr>
            </w:pPr>
          </w:p>
        </w:tc>
        <w:tc>
          <w:tcPr>
            <w:tcW w:w="0" w:type="auto"/>
            <w:shd w:val="clear" w:color="auto" w:fill="auto"/>
          </w:tcPr>
          <w:p w14:paraId="33DAF619" w14:textId="77777777" w:rsidR="004D6A64" w:rsidRDefault="004D6A64">
            <w:pPr>
              <w:rPr>
                <w:rFonts w:ascii="宋体"/>
              </w:rPr>
            </w:pPr>
          </w:p>
        </w:tc>
        <w:tc>
          <w:tcPr>
            <w:tcW w:w="0" w:type="auto"/>
            <w:shd w:val="clear" w:color="auto" w:fill="auto"/>
          </w:tcPr>
          <w:p w14:paraId="33DAF61A" w14:textId="77777777" w:rsidR="004D6A64" w:rsidRDefault="004D6A64">
            <w:pPr>
              <w:rPr>
                <w:rFonts w:ascii="宋体"/>
              </w:rPr>
            </w:pPr>
          </w:p>
        </w:tc>
        <w:tc>
          <w:tcPr>
            <w:tcW w:w="0" w:type="auto"/>
            <w:shd w:val="clear" w:color="auto" w:fill="auto"/>
          </w:tcPr>
          <w:p w14:paraId="33DAF61B" w14:textId="77777777" w:rsidR="004D6A64" w:rsidRDefault="004D6A64">
            <w:pPr>
              <w:rPr>
                <w:rFonts w:ascii="宋体"/>
              </w:rPr>
            </w:pPr>
          </w:p>
        </w:tc>
        <w:tc>
          <w:tcPr>
            <w:tcW w:w="0" w:type="auto"/>
            <w:shd w:val="clear" w:color="auto" w:fill="auto"/>
          </w:tcPr>
          <w:p w14:paraId="33DAF61C" w14:textId="77777777" w:rsidR="004D6A64" w:rsidRDefault="004D6A64">
            <w:pPr>
              <w:rPr>
                <w:rFonts w:ascii="宋体"/>
              </w:rPr>
            </w:pPr>
          </w:p>
        </w:tc>
        <w:tc>
          <w:tcPr>
            <w:tcW w:w="0" w:type="auto"/>
            <w:shd w:val="clear" w:color="auto" w:fill="auto"/>
          </w:tcPr>
          <w:p w14:paraId="33DAF61D" w14:textId="77777777" w:rsidR="004D6A64" w:rsidRDefault="004D6A64">
            <w:pPr>
              <w:rPr>
                <w:rFonts w:ascii="宋体"/>
              </w:rPr>
            </w:pPr>
          </w:p>
        </w:tc>
        <w:tc>
          <w:tcPr>
            <w:tcW w:w="0" w:type="auto"/>
            <w:shd w:val="clear" w:color="auto" w:fill="auto"/>
          </w:tcPr>
          <w:p w14:paraId="33DAF61E" w14:textId="77777777" w:rsidR="004D6A64" w:rsidRDefault="004D6A64">
            <w:pPr>
              <w:rPr>
                <w:rFonts w:ascii="宋体"/>
              </w:rPr>
            </w:pPr>
          </w:p>
        </w:tc>
        <w:tc>
          <w:tcPr>
            <w:tcW w:w="0" w:type="auto"/>
            <w:shd w:val="clear" w:color="auto" w:fill="auto"/>
          </w:tcPr>
          <w:p w14:paraId="33DAF61F" w14:textId="77777777" w:rsidR="004D6A64" w:rsidRDefault="004D6A64">
            <w:pPr>
              <w:rPr>
                <w:rFonts w:ascii="宋体"/>
              </w:rPr>
            </w:pPr>
          </w:p>
        </w:tc>
        <w:tc>
          <w:tcPr>
            <w:tcW w:w="0" w:type="auto"/>
            <w:shd w:val="clear" w:color="auto" w:fill="auto"/>
          </w:tcPr>
          <w:p w14:paraId="33DAF620" w14:textId="77777777" w:rsidR="004D6A64" w:rsidRDefault="004D6A64">
            <w:pPr>
              <w:rPr>
                <w:rFonts w:ascii="宋体"/>
              </w:rPr>
            </w:pPr>
          </w:p>
        </w:tc>
        <w:tc>
          <w:tcPr>
            <w:tcW w:w="0" w:type="auto"/>
            <w:shd w:val="clear" w:color="auto" w:fill="auto"/>
          </w:tcPr>
          <w:p w14:paraId="33DAF621" w14:textId="77777777" w:rsidR="004D6A64" w:rsidRDefault="004D6A64">
            <w:pPr>
              <w:rPr>
                <w:rFonts w:ascii="宋体"/>
              </w:rPr>
            </w:pPr>
          </w:p>
        </w:tc>
        <w:tc>
          <w:tcPr>
            <w:tcW w:w="0" w:type="auto"/>
            <w:shd w:val="clear" w:color="auto" w:fill="auto"/>
          </w:tcPr>
          <w:p w14:paraId="33DAF622" w14:textId="77777777" w:rsidR="004D6A64" w:rsidRDefault="004D6A64">
            <w:pPr>
              <w:rPr>
                <w:rFonts w:ascii="宋体"/>
              </w:rPr>
            </w:pPr>
          </w:p>
        </w:tc>
        <w:tc>
          <w:tcPr>
            <w:tcW w:w="0" w:type="auto"/>
            <w:shd w:val="clear" w:color="auto" w:fill="auto"/>
          </w:tcPr>
          <w:p w14:paraId="33DAF623" w14:textId="77777777" w:rsidR="004D6A64" w:rsidRDefault="004D6A64">
            <w:pPr>
              <w:rPr>
                <w:rFonts w:ascii="宋体"/>
              </w:rPr>
            </w:pPr>
          </w:p>
        </w:tc>
        <w:tc>
          <w:tcPr>
            <w:tcW w:w="0" w:type="auto"/>
            <w:shd w:val="clear" w:color="auto" w:fill="auto"/>
          </w:tcPr>
          <w:p w14:paraId="33DAF624" w14:textId="77777777" w:rsidR="004D6A64" w:rsidRDefault="004D6A64">
            <w:pPr>
              <w:rPr>
                <w:rFonts w:ascii="宋体"/>
              </w:rPr>
            </w:pPr>
          </w:p>
        </w:tc>
        <w:tc>
          <w:tcPr>
            <w:tcW w:w="0" w:type="auto"/>
            <w:shd w:val="clear" w:color="auto" w:fill="auto"/>
          </w:tcPr>
          <w:p w14:paraId="33DAF625" w14:textId="77777777" w:rsidR="004D6A64" w:rsidRDefault="004D6A64">
            <w:pPr>
              <w:rPr>
                <w:rFonts w:ascii="宋体"/>
              </w:rPr>
            </w:pPr>
          </w:p>
        </w:tc>
        <w:tc>
          <w:tcPr>
            <w:tcW w:w="0" w:type="auto"/>
            <w:shd w:val="clear" w:color="auto" w:fill="auto"/>
          </w:tcPr>
          <w:p w14:paraId="33DAF626" w14:textId="77777777" w:rsidR="004D6A64" w:rsidRDefault="004D6A64">
            <w:pPr>
              <w:rPr>
                <w:rFonts w:ascii="宋体"/>
              </w:rPr>
            </w:pPr>
          </w:p>
        </w:tc>
        <w:tc>
          <w:tcPr>
            <w:tcW w:w="0" w:type="auto"/>
            <w:shd w:val="clear" w:color="auto" w:fill="auto"/>
          </w:tcPr>
          <w:p w14:paraId="33DAF627" w14:textId="77777777" w:rsidR="004D6A64" w:rsidRDefault="004D6A64">
            <w:pPr>
              <w:rPr>
                <w:rFonts w:ascii="宋体"/>
              </w:rPr>
            </w:pPr>
          </w:p>
        </w:tc>
        <w:tc>
          <w:tcPr>
            <w:tcW w:w="0" w:type="auto"/>
            <w:shd w:val="clear" w:color="auto" w:fill="auto"/>
          </w:tcPr>
          <w:p w14:paraId="33DAF628" w14:textId="77777777" w:rsidR="004D6A64" w:rsidRDefault="004D6A64">
            <w:pPr>
              <w:rPr>
                <w:rFonts w:ascii="宋体"/>
              </w:rPr>
            </w:pPr>
          </w:p>
        </w:tc>
        <w:tc>
          <w:tcPr>
            <w:tcW w:w="0" w:type="auto"/>
            <w:shd w:val="clear" w:color="auto" w:fill="auto"/>
          </w:tcPr>
          <w:p w14:paraId="33DAF629" w14:textId="77777777" w:rsidR="004D6A64" w:rsidRDefault="004D6A64">
            <w:pPr>
              <w:rPr>
                <w:rFonts w:ascii="宋体"/>
              </w:rPr>
            </w:pPr>
          </w:p>
        </w:tc>
        <w:tc>
          <w:tcPr>
            <w:tcW w:w="0" w:type="auto"/>
            <w:shd w:val="clear" w:color="auto" w:fill="auto"/>
          </w:tcPr>
          <w:p w14:paraId="33DAF62A" w14:textId="77777777" w:rsidR="004D6A64" w:rsidRDefault="004D6A64">
            <w:pPr>
              <w:rPr>
                <w:rFonts w:ascii="宋体"/>
              </w:rPr>
            </w:pPr>
          </w:p>
        </w:tc>
        <w:tc>
          <w:tcPr>
            <w:tcW w:w="0" w:type="auto"/>
            <w:shd w:val="clear" w:color="auto" w:fill="auto"/>
          </w:tcPr>
          <w:p w14:paraId="33DAF62B" w14:textId="77777777" w:rsidR="004D6A64" w:rsidRDefault="004D6A64">
            <w:pPr>
              <w:rPr>
                <w:rFonts w:ascii="宋体"/>
              </w:rPr>
            </w:pPr>
          </w:p>
        </w:tc>
        <w:tc>
          <w:tcPr>
            <w:tcW w:w="0" w:type="auto"/>
            <w:shd w:val="clear" w:color="auto" w:fill="auto"/>
          </w:tcPr>
          <w:p w14:paraId="33DAF62C" w14:textId="77777777" w:rsidR="004D6A64" w:rsidRDefault="004D6A64">
            <w:pPr>
              <w:rPr>
                <w:rFonts w:ascii="宋体"/>
              </w:rPr>
            </w:pPr>
          </w:p>
        </w:tc>
        <w:tc>
          <w:tcPr>
            <w:tcW w:w="0" w:type="auto"/>
            <w:shd w:val="clear" w:color="auto" w:fill="auto"/>
          </w:tcPr>
          <w:p w14:paraId="33DAF62D" w14:textId="77777777" w:rsidR="004D6A64" w:rsidRDefault="004D6A64">
            <w:pPr>
              <w:rPr>
                <w:rFonts w:ascii="宋体"/>
              </w:rPr>
            </w:pPr>
          </w:p>
        </w:tc>
        <w:tc>
          <w:tcPr>
            <w:tcW w:w="0" w:type="auto"/>
            <w:shd w:val="clear" w:color="auto" w:fill="auto"/>
          </w:tcPr>
          <w:p w14:paraId="33DAF62E" w14:textId="77777777" w:rsidR="004D6A64" w:rsidRDefault="004D6A64">
            <w:pPr>
              <w:rPr>
                <w:rFonts w:ascii="宋体"/>
              </w:rPr>
            </w:pPr>
          </w:p>
        </w:tc>
        <w:tc>
          <w:tcPr>
            <w:tcW w:w="0" w:type="auto"/>
            <w:shd w:val="clear" w:color="auto" w:fill="auto"/>
          </w:tcPr>
          <w:p w14:paraId="33DAF62F" w14:textId="77777777" w:rsidR="004D6A64" w:rsidRDefault="004D6A64">
            <w:pPr>
              <w:rPr>
                <w:rFonts w:ascii="宋体"/>
              </w:rPr>
            </w:pPr>
          </w:p>
        </w:tc>
        <w:tc>
          <w:tcPr>
            <w:tcW w:w="0" w:type="auto"/>
            <w:shd w:val="clear" w:color="auto" w:fill="auto"/>
          </w:tcPr>
          <w:p w14:paraId="33DAF630" w14:textId="77777777" w:rsidR="004D6A64" w:rsidRDefault="004D6A64">
            <w:pPr>
              <w:rPr>
                <w:rFonts w:ascii="宋体"/>
              </w:rPr>
            </w:pPr>
          </w:p>
        </w:tc>
        <w:tc>
          <w:tcPr>
            <w:tcW w:w="0" w:type="auto"/>
            <w:shd w:val="clear" w:color="auto" w:fill="auto"/>
          </w:tcPr>
          <w:p w14:paraId="33DAF631" w14:textId="77777777" w:rsidR="004D6A64" w:rsidRDefault="004D6A64">
            <w:pPr>
              <w:rPr>
                <w:rFonts w:ascii="宋体"/>
              </w:rPr>
            </w:pPr>
          </w:p>
        </w:tc>
      </w:tr>
      <w:tr w:rsidR="004D6A64" w14:paraId="33DAF664" w14:textId="77777777">
        <w:tc>
          <w:tcPr>
            <w:tcW w:w="0" w:type="auto"/>
            <w:gridSpan w:val="3"/>
            <w:shd w:val="clear" w:color="auto" w:fill="CCEEFF"/>
            <w:tcMar>
              <w:top w:w="40" w:type="dxa"/>
              <w:left w:w="135" w:type="dxa"/>
              <w:bottom w:w="40" w:type="dxa"/>
              <w:right w:w="20" w:type="dxa"/>
            </w:tcMar>
            <w:vAlign w:val="center"/>
          </w:tcPr>
          <w:p w14:paraId="33DAF633" w14:textId="77777777" w:rsidR="004D6A64" w:rsidRDefault="00506CD6">
            <w:pPr>
              <w:textAlignment w:val="center"/>
            </w:pPr>
            <w:r>
              <w:rPr>
                <w:rFonts w:ascii="Times New Roman" w:eastAsia="宋体" w:hAnsi="Times New Roman"/>
                <w:color w:val="000000"/>
                <w:sz w:val="20"/>
                <w:szCs w:val="20"/>
              </w:rPr>
              <w:t>VMware operating income</w:t>
            </w:r>
          </w:p>
        </w:tc>
        <w:tc>
          <w:tcPr>
            <w:tcW w:w="0" w:type="auto"/>
            <w:tcBorders>
              <w:top w:val="single" w:sz="8" w:space="0" w:color="000000"/>
            </w:tcBorders>
            <w:shd w:val="clear" w:color="auto" w:fill="CCEEFF"/>
            <w:tcMar>
              <w:top w:w="40" w:type="dxa"/>
              <w:left w:w="20" w:type="dxa"/>
              <w:bottom w:w="40" w:type="dxa"/>
            </w:tcMar>
            <w:vAlign w:val="center"/>
          </w:tcPr>
          <w:p w14:paraId="33DAF634"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F635" w14:textId="77777777" w:rsidR="004D6A64" w:rsidRDefault="00506CD6">
            <w:pPr>
              <w:jc w:val="right"/>
              <w:textAlignment w:val="center"/>
            </w:pPr>
            <w:r>
              <w:rPr>
                <w:rFonts w:ascii="Times New Roman" w:eastAsia="宋体" w:hAnsi="Times New Roman"/>
                <w:color w:val="000000"/>
                <w:sz w:val="20"/>
                <w:szCs w:val="20"/>
              </w:rPr>
              <w:t>894 </w:t>
            </w:r>
          </w:p>
        </w:tc>
        <w:tc>
          <w:tcPr>
            <w:tcW w:w="0" w:type="auto"/>
            <w:tcBorders>
              <w:top w:val="single" w:sz="8" w:space="0" w:color="000000"/>
            </w:tcBorders>
            <w:shd w:val="clear" w:color="auto" w:fill="CCEEFF"/>
            <w:tcMar>
              <w:top w:w="40" w:type="dxa"/>
              <w:bottom w:w="40" w:type="dxa"/>
              <w:right w:w="20" w:type="dxa"/>
            </w:tcMar>
            <w:vAlign w:val="center"/>
          </w:tcPr>
          <w:p w14:paraId="33DAF63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637"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638" w14:textId="77777777" w:rsidR="004D6A64" w:rsidRDefault="00506CD6">
            <w:pPr>
              <w:jc w:val="right"/>
              <w:textAlignment w:val="center"/>
            </w:pPr>
            <w:r>
              <w:rPr>
                <w:rFonts w:ascii="Times New Roman" w:eastAsia="宋体" w:hAnsi="Times New Roman"/>
                <w:color w:val="000000"/>
                <w:sz w:val="20"/>
                <w:szCs w:val="20"/>
              </w:rPr>
              <w:t>19 </w:t>
            </w:r>
          </w:p>
        </w:tc>
        <w:tc>
          <w:tcPr>
            <w:tcW w:w="0" w:type="auto"/>
            <w:shd w:val="clear" w:color="auto" w:fill="CCEEFF"/>
            <w:tcMar>
              <w:top w:w="40" w:type="dxa"/>
              <w:bottom w:w="40" w:type="dxa"/>
              <w:right w:w="20" w:type="dxa"/>
            </w:tcMar>
            <w:vAlign w:val="center"/>
          </w:tcPr>
          <w:p w14:paraId="33DAF639"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F63A"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33DAF63B"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F63C" w14:textId="77777777" w:rsidR="004D6A64" w:rsidRDefault="00506CD6">
            <w:pPr>
              <w:jc w:val="right"/>
              <w:textAlignment w:val="center"/>
            </w:pPr>
            <w:r>
              <w:rPr>
                <w:rFonts w:ascii="Times New Roman" w:eastAsia="宋体" w:hAnsi="Times New Roman"/>
                <w:color w:val="000000"/>
                <w:sz w:val="20"/>
                <w:szCs w:val="20"/>
              </w:rPr>
              <w:t>751 </w:t>
            </w:r>
          </w:p>
        </w:tc>
        <w:tc>
          <w:tcPr>
            <w:tcW w:w="0" w:type="auto"/>
            <w:tcBorders>
              <w:top w:val="single" w:sz="8" w:space="0" w:color="000000"/>
            </w:tcBorders>
            <w:shd w:val="clear" w:color="auto" w:fill="CCEEFF"/>
            <w:tcMar>
              <w:top w:w="40" w:type="dxa"/>
              <w:bottom w:w="40" w:type="dxa"/>
              <w:right w:w="20" w:type="dxa"/>
            </w:tcMar>
            <w:vAlign w:val="center"/>
          </w:tcPr>
          <w:p w14:paraId="33DAF63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63E"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33DAF63F"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F640" w14:textId="77777777" w:rsidR="004D6A64" w:rsidRDefault="00506CD6">
            <w:pPr>
              <w:jc w:val="right"/>
              <w:textAlignment w:val="center"/>
            </w:pPr>
            <w:r>
              <w:rPr>
                <w:rFonts w:ascii="Times New Roman" w:eastAsia="宋体" w:hAnsi="Times New Roman"/>
                <w:color w:val="000000"/>
                <w:sz w:val="20"/>
                <w:szCs w:val="20"/>
              </w:rPr>
              <w:t>1,667 </w:t>
            </w:r>
          </w:p>
        </w:tc>
        <w:tc>
          <w:tcPr>
            <w:tcW w:w="0" w:type="auto"/>
            <w:tcBorders>
              <w:top w:val="single" w:sz="8" w:space="0" w:color="000000"/>
            </w:tcBorders>
            <w:shd w:val="clear" w:color="auto" w:fill="CCEEFF"/>
            <w:tcMar>
              <w:top w:w="40" w:type="dxa"/>
              <w:bottom w:w="40" w:type="dxa"/>
              <w:right w:w="20" w:type="dxa"/>
            </w:tcMar>
            <w:vAlign w:val="center"/>
          </w:tcPr>
          <w:p w14:paraId="33DAF64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64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643" w14:textId="77777777" w:rsidR="004D6A64" w:rsidRDefault="00506CD6">
            <w:pPr>
              <w:jc w:val="right"/>
              <w:textAlignment w:val="center"/>
            </w:pPr>
            <w:r>
              <w:rPr>
                <w:rFonts w:ascii="Times New Roman" w:eastAsia="宋体" w:hAnsi="Times New Roman"/>
                <w:color w:val="000000"/>
                <w:sz w:val="20"/>
                <w:szCs w:val="20"/>
              </w:rPr>
              <w:t>24 </w:t>
            </w:r>
          </w:p>
        </w:tc>
        <w:tc>
          <w:tcPr>
            <w:tcW w:w="0" w:type="auto"/>
            <w:shd w:val="clear" w:color="auto" w:fill="CCEEFF"/>
            <w:tcMar>
              <w:top w:w="40" w:type="dxa"/>
              <w:bottom w:w="40" w:type="dxa"/>
              <w:right w:w="20" w:type="dxa"/>
            </w:tcMar>
            <w:vAlign w:val="center"/>
          </w:tcPr>
          <w:p w14:paraId="33DAF644" w14:textId="77777777" w:rsidR="004D6A64" w:rsidRDefault="00506CD6">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left w:w="20" w:type="dxa"/>
              <w:right w:w="20" w:type="dxa"/>
            </w:tcMar>
            <w:vAlign w:val="bottom"/>
          </w:tcPr>
          <w:p w14:paraId="33DAF645" w14:textId="77777777" w:rsidR="004D6A64" w:rsidRDefault="004D6A64">
            <w:pPr>
              <w:rPr>
                <w:rFonts w:ascii="宋体"/>
              </w:rPr>
            </w:pPr>
          </w:p>
        </w:tc>
        <w:tc>
          <w:tcPr>
            <w:tcW w:w="0" w:type="auto"/>
            <w:tcBorders>
              <w:top w:val="single" w:sz="8" w:space="0" w:color="000000"/>
            </w:tcBorders>
            <w:shd w:val="clear" w:color="auto" w:fill="CCEEFF"/>
            <w:tcMar>
              <w:top w:w="40" w:type="dxa"/>
              <w:left w:w="20" w:type="dxa"/>
              <w:bottom w:w="40" w:type="dxa"/>
            </w:tcMar>
            <w:vAlign w:val="center"/>
          </w:tcPr>
          <w:p w14:paraId="33DAF646"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bottom w:w="40" w:type="dxa"/>
              <w:right w:w="0" w:type="dxa"/>
            </w:tcMar>
            <w:vAlign w:val="center"/>
          </w:tcPr>
          <w:p w14:paraId="33DAF647" w14:textId="77777777" w:rsidR="004D6A64" w:rsidRDefault="00506CD6">
            <w:pPr>
              <w:jc w:val="right"/>
              <w:textAlignment w:val="center"/>
            </w:pPr>
            <w:r>
              <w:rPr>
                <w:rFonts w:ascii="Times New Roman" w:eastAsia="宋体" w:hAnsi="Times New Roman"/>
                <w:color w:val="000000"/>
                <w:sz w:val="20"/>
                <w:szCs w:val="20"/>
              </w:rPr>
              <w:t>1,346 </w:t>
            </w:r>
          </w:p>
        </w:tc>
        <w:tc>
          <w:tcPr>
            <w:tcW w:w="0" w:type="auto"/>
            <w:tcBorders>
              <w:top w:val="single" w:sz="8" w:space="0" w:color="000000"/>
            </w:tcBorders>
            <w:shd w:val="clear" w:color="auto" w:fill="CCEEFF"/>
            <w:tcMar>
              <w:top w:w="40" w:type="dxa"/>
              <w:bottom w:w="40" w:type="dxa"/>
              <w:right w:w="20" w:type="dxa"/>
            </w:tcMar>
            <w:vAlign w:val="center"/>
          </w:tcPr>
          <w:p w14:paraId="33DAF648" w14:textId="77777777" w:rsidR="004D6A64" w:rsidRDefault="004D6A64">
            <w:pPr>
              <w:jc w:val="right"/>
              <w:rPr>
                <w:rFonts w:ascii="宋体"/>
              </w:rPr>
            </w:pPr>
          </w:p>
        </w:tc>
        <w:tc>
          <w:tcPr>
            <w:tcW w:w="0" w:type="auto"/>
            <w:shd w:val="clear" w:color="auto" w:fill="auto"/>
          </w:tcPr>
          <w:p w14:paraId="33DAF649" w14:textId="77777777" w:rsidR="004D6A64" w:rsidRDefault="004D6A64">
            <w:pPr>
              <w:rPr>
                <w:rFonts w:ascii="宋体"/>
              </w:rPr>
            </w:pPr>
          </w:p>
        </w:tc>
        <w:tc>
          <w:tcPr>
            <w:tcW w:w="0" w:type="auto"/>
            <w:shd w:val="clear" w:color="auto" w:fill="auto"/>
          </w:tcPr>
          <w:p w14:paraId="33DAF64A" w14:textId="77777777" w:rsidR="004D6A64" w:rsidRDefault="004D6A64">
            <w:pPr>
              <w:rPr>
                <w:rFonts w:ascii="宋体"/>
              </w:rPr>
            </w:pPr>
          </w:p>
        </w:tc>
        <w:tc>
          <w:tcPr>
            <w:tcW w:w="0" w:type="auto"/>
            <w:shd w:val="clear" w:color="auto" w:fill="auto"/>
          </w:tcPr>
          <w:p w14:paraId="33DAF64B" w14:textId="77777777" w:rsidR="004D6A64" w:rsidRDefault="004D6A64">
            <w:pPr>
              <w:rPr>
                <w:rFonts w:ascii="宋体"/>
              </w:rPr>
            </w:pPr>
          </w:p>
        </w:tc>
        <w:tc>
          <w:tcPr>
            <w:tcW w:w="0" w:type="auto"/>
            <w:shd w:val="clear" w:color="auto" w:fill="auto"/>
          </w:tcPr>
          <w:p w14:paraId="33DAF64C" w14:textId="77777777" w:rsidR="004D6A64" w:rsidRDefault="004D6A64">
            <w:pPr>
              <w:rPr>
                <w:rFonts w:ascii="宋体"/>
              </w:rPr>
            </w:pPr>
          </w:p>
        </w:tc>
        <w:tc>
          <w:tcPr>
            <w:tcW w:w="0" w:type="auto"/>
            <w:shd w:val="clear" w:color="auto" w:fill="auto"/>
          </w:tcPr>
          <w:p w14:paraId="33DAF64D" w14:textId="77777777" w:rsidR="004D6A64" w:rsidRDefault="004D6A64">
            <w:pPr>
              <w:rPr>
                <w:rFonts w:ascii="宋体"/>
              </w:rPr>
            </w:pPr>
          </w:p>
        </w:tc>
        <w:tc>
          <w:tcPr>
            <w:tcW w:w="0" w:type="auto"/>
            <w:shd w:val="clear" w:color="auto" w:fill="auto"/>
          </w:tcPr>
          <w:p w14:paraId="33DAF64E" w14:textId="77777777" w:rsidR="004D6A64" w:rsidRDefault="004D6A64">
            <w:pPr>
              <w:rPr>
                <w:rFonts w:ascii="宋体"/>
              </w:rPr>
            </w:pPr>
          </w:p>
        </w:tc>
        <w:tc>
          <w:tcPr>
            <w:tcW w:w="0" w:type="auto"/>
            <w:shd w:val="clear" w:color="auto" w:fill="auto"/>
          </w:tcPr>
          <w:p w14:paraId="33DAF64F" w14:textId="77777777" w:rsidR="004D6A64" w:rsidRDefault="004D6A64">
            <w:pPr>
              <w:rPr>
                <w:rFonts w:ascii="宋体"/>
              </w:rPr>
            </w:pPr>
          </w:p>
        </w:tc>
        <w:tc>
          <w:tcPr>
            <w:tcW w:w="0" w:type="auto"/>
            <w:shd w:val="clear" w:color="auto" w:fill="auto"/>
          </w:tcPr>
          <w:p w14:paraId="33DAF650" w14:textId="77777777" w:rsidR="004D6A64" w:rsidRDefault="004D6A64">
            <w:pPr>
              <w:rPr>
                <w:rFonts w:ascii="宋体"/>
              </w:rPr>
            </w:pPr>
          </w:p>
        </w:tc>
        <w:tc>
          <w:tcPr>
            <w:tcW w:w="0" w:type="auto"/>
            <w:shd w:val="clear" w:color="auto" w:fill="auto"/>
          </w:tcPr>
          <w:p w14:paraId="33DAF651" w14:textId="77777777" w:rsidR="004D6A64" w:rsidRDefault="004D6A64">
            <w:pPr>
              <w:rPr>
                <w:rFonts w:ascii="宋体"/>
              </w:rPr>
            </w:pPr>
          </w:p>
        </w:tc>
        <w:tc>
          <w:tcPr>
            <w:tcW w:w="0" w:type="auto"/>
            <w:shd w:val="clear" w:color="auto" w:fill="auto"/>
          </w:tcPr>
          <w:p w14:paraId="33DAF652" w14:textId="77777777" w:rsidR="004D6A64" w:rsidRDefault="004D6A64">
            <w:pPr>
              <w:rPr>
                <w:rFonts w:ascii="宋体"/>
              </w:rPr>
            </w:pPr>
          </w:p>
        </w:tc>
        <w:tc>
          <w:tcPr>
            <w:tcW w:w="0" w:type="auto"/>
            <w:shd w:val="clear" w:color="auto" w:fill="auto"/>
          </w:tcPr>
          <w:p w14:paraId="33DAF653" w14:textId="77777777" w:rsidR="004D6A64" w:rsidRDefault="004D6A64">
            <w:pPr>
              <w:rPr>
                <w:rFonts w:ascii="宋体"/>
              </w:rPr>
            </w:pPr>
          </w:p>
        </w:tc>
        <w:tc>
          <w:tcPr>
            <w:tcW w:w="0" w:type="auto"/>
            <w:shd w:val="clear" w:color="auto" w:fill="auto"/>
          </w:tcPr>
          <w:p w14:paraId="33DAF654" w14:textId="77777777" w:rsidR="004D6A64" w:rsidRDefault="004D6A64">
            <w:pPr>
              <w:rPr>
                <w:rFonts w:ascii="宋体"/>
              </w:rPr>
            </w:pPr>
          </w:p>
        </w:tc>
        <w:tc>
          <w:tcPr>
            <w:tcW w:w="0" w:type="auto"/>
            <w:shd w:val="clear" w:color="auto" w:fill="auto"/>
          </w:tcPr>
          <w:p w14:paraId="33DAF655" w14:textId="77777777" w:rsidR="004D6A64" w:rsidRDefault="004D6A64">
            <w:pPr>
              <w:rPr>
                <w:rFonts w:ascii="宋体"/>
              </w:rPr>
            </w:pPr>
          </w:p>
        </w:tc>
        <w:tc>
          <w:tcPr>
            <w:tcW w:w="0" w:type="auto"/>
            <w:shd w:val="clear" w:color="auto" w:fill="auto"/>
          </w:tcPr>
          <w:p w14:paraId="33DAF656" w14:textId="77777777" w:rsidR="004D6A64" w:rsidRDefault="004D6A64">
            <w:pPr>
              <w:rPr>
                <w:rFonts w:ascii="宋体"/>
              </w:rPr>
            </w:pPr>
          </w:p>
        </w:tc>
        <w:tc>
          <w:tcPr>
            <w:tcW w:w="0" w:type="auto"/>
            <w:shd w:val="clear" w:color="auto" w:fill="auto"/>
          </w:tcPr>
          <w:p w14:paraId="33DAF657" w14:textId="77777777" w:rsidR="004D6A64" w:rsidRDefault="004D6A64">
            <w:pPr>
              <w:rPr>
                <w:rFonts w:ascii="宋体"/>
              </w:rPr>
            </w:pPr>
          </w:p>
        </w:tc>
        <w:tc>
          <w:tcPr>
            <w:tcW w:w="0" w:type="auto"/>
            <w:shd w:val="clear" w:color="auto" w:fill="auto"/>
          </w:tcPr>
          <w:p w14:paraId="33DAF658" w14:textId="77777777" w:rsidR="004D6A64" w:rsidRDefault="004D6A64">
            <w:pPr>
              <w:rPr>
                <w:rFonts w:ascii="宋体"/>
              </w:rPr>
            </w:pPr>
          </w:p>
        </w:tc>
        <w:tc>
          <w:tcPr>
            <w:tcW w:w="0" w:type="auto"/>
            <w:shd w:val="clear" w:color="auto" w:fill="auto"/>
          </w:tcPr>
          <w:p w14:paraId="33DAF659" w14:textId="77777777" w:rsidR="004D6A64" w:rsidRDefault="004D6A64">
            <w:pPr>
              <w:rPr>
                <w:rFonts w:ascii="宋体"/>
              </w:rPr>
            </w:pPr>
          </w:p>
        </w:tc>
        <w:tc>
          <w:tcPr>
            <w:tcW w:w="0" w:type="auto"/>
            <w:shd w:val="clear" w:color="auto" w:fill="auto"/>
          </w:tcPr>
          <w:p w14:paraId="33DAF65A" w14:textId="77777777" w:rsidR="004D6A64" w:rsidRDefault="004D6A64">
            <w:pPr>
              <w:rPr>
                <w:rFonts w:ascii="宋体"/>
              </w:rPr>
            </w:pPr>
          </w:p>
        </w:tc>
        <w:tc>
          <w:tcPr>
            <w:tcW w:w="0" w:type="auto"/>
            <w:shd w:val="clear" w:color="auto" w:fill="auto"/>
          </w:tcPr>
          <w:p w14:paraId="33DAF65B" w14:textId="77777777" w:rsidR="004D6A64" w:rsidRDefault="004D6A64">
            <w:pPr>
              <w:rPr>
                <w:rFonts w:ascii="宋体"/>
              </w:rPr>
            </w:pPr>
          </w:p>
        </w:tc>
        <w:tc>
          <w:tcPr>
            <w:tcW w:w="0" w:type="auto"/>
            <w:shd w:val="clear" w:color="auto" w:fill="auto"/>
          </w:tcPr>
          <w:p w14:paraId="33DAF65C" w14:textId="77777777" w:rsidR="004D6A64" w:rsidRDefault="004D6A64">
            <w:pPr>
              <w:rPr>
                <w:rFonts w:ascii="宋体"/>
              </w:rPr>
            </w:pPr>
          </w:p>
        </w:tc>
        <w:tc>
          <w:tcPr>
            <w:tcW w:w="0" w:type="auto"/>
            <w:shd w:val="clear" w:color="auto" w:fill="auto"/>
          </w:tcPr>
          <w:p w14:paraId="33DAF65D" w14:textId="77777777" w:rsidR="004D6A64" w:rsidRDefault="004D6A64">
            <w:pPr>
              <w:rPr>
                <w:rFonts w:ascii="宋体"/>
              </w:rPr>
            </w:pPr>
          </w:p>
        </w:tc>
        <w:tc>
          <w:tcPr>
            <w:tcW w:w="0" w:type="auto"/>
            <w:shd w:val="clear" w:color="auto" w:fill="auto"/>
          </w:tcPr>
          <w:p w14:paraId="33DAF65E" w14:textId="77777777" w:rsidR="004D6A64" w:rsidRDefault="004D6A64">
            <w:pPr>
              <w:rPr>
                <w:rFonts w:ascii="宋体"/>
              </w:rPr>
            </w:pPr>
          </w:p>
        </w:tc>
        <w:tc>
          <w:tcPr>
            <w:tcW w:w="0" w:type="auto"/>
            <w:shd w:val="clear" w:color="auto" w:fill="auto"/>
          </w:tcPr>
          <w:p w14:paraId="33DAF65F" w14:textId="77777777" w:rsidR="004D6A64" w:rsidRDefault="004D6A64">
            <w:pPr>
              <w:rPr>
                <w:rFonts w:ascii="宋体"/>
              </w:rPr>
            </w:pPr>
          </w:p>
        </w:tc>
        <w:tc>
          <w:tcPr>
            <w:tcW w:w="0" w:type="auto"/>
            <w:shd w:val="clear" w:color="auto" w:fill="auto"/>
          </w:tcPr>
          <w:p w14:paraId="33DAF660" w14:textId="77777777" w:rsidR="004D6A64" w:rsidRDefault="004D6A64">
            <w:pPr>
              <w:rPr>
                <w:rFonts w:ascii="宋体"/>
              </w:rPr>
            </w:pPr>
          </w:p>
        </w:tc>
        <w:tc>
          <w:tcPr>
            <w:tcW w:w="0" w:type="auto"/>
            <w:shd w:val="clear" w:color="auto" w:fill="auto"/>
          </w:tcPr>
          <w:p w14:paraId="33DAF661" w14:textId="77777777" w:rsidR="004D6A64" w:rsidRDefault="004D6A64">
            <w:pPr>
              <w:rPr>
                <w:rFonts w:ascii="宋体"/>
              </w:rPr>
            </w:pPr>
          </w:p>
        </w:tc>
        <w:tc>
          <w:tcPr>
            <w:tcW w:w="0" w:type="auto"/>
            <w:shd w:val="clear" w:color="auto" w:fill="auto"/>
          </w:tcPr>
          <w:p w14:paraId="33DAF662" w14:textId="77777777" w:rsidR="004D6A64" w:rsidRDefault="004D6A64">
            <w:pPr>
              <w:rPr>
                <w:rFonts w:ascii="宋体"/>
              </w:rPr>
            </w:pPr>
          </w:p>
        </w:tc>
        <w:tc>
          <w:tcPr>
            <w:tcW w:w="0" w:type="auto"/>
            <w:shd w:val="clear" w:color="auto" w:fill="auto"/>
          </w:tcPr>
          <w:p w14:paraId="33DAF663" w14:textId="77777777" w:rsidR="004D6A64" w:rsidRDefault="004D6A64">
            <w:pPr>
              <w:rPr>
                <w:rFonts w:ascii="宋体"/>
              </w:rPr>
            </w:pPr>
          </w:p>
        </w:tc>
      </w:tr>
      <w:tr w:rsidR="004D6A64" w14:paraId="33DAF690" w14:textId="77777777">
        <w:tc>
          <w:tcPr>
            <w:tcW w:w="0" w:type="auto"/>
            <w:gridSpan w:val="3"/>
            <w:shd w:val="clear" w:color="auto" w:fill="FFFFFF"/>
            <w:tcMar>
              <w:top w:w="40" w:type="dxa"/>
              <w:left w:w="135" w:type="dxa"/>
              <w:bottom w:w="40" w:type="dxa"/>
              <w:right w:w="20" w:type="dxa"/>
            </w:tcMar>
            <w:vAlign w:val="center"/>
          </w:tcPr>
          <w:p w14:paraId="33DAF665" w14:textId="77777777" w:rsidR="004D6A64" w:rsidRDefault="00506CD6">
            <w:pPr>
              <w:textAlignment w:val="center"/>
            </w:pPr>
            <w:r>
              <w:rPr>
                <w:rFonts w:ascii="Times New Roman" w:eastAsia="宋体" w:hAnsi="Times New Roman"/>
                <w:i/>
                <w:iCs/>
                <w:color w:val="000000"/>
                <w:sz w:val="20"/>
                <w:szCs w:val="20"/>
              </w:rPr>
              <w:t>% of segment net revenue</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F666" w14:textId="77777777" w:rsidR="004D6A64" w:rsidRDefault="00506CD6">
            <w:pPr>
              <w:jc w:val="right"/>
              <w:textAlignment w:val="center"/>
            </w:pPr>
            <w:r>
              <w:rPr>
                <w:rFonts w:ascii="Times New Roman" w:eastAsia="宋体" w:hAnsi="Times New Roman"/>
                <w:i/>
                <w:iCs/>
                <w:color w:val="000000"/>
                <w:sz w:val="20"/>
                <w:szCs w:val="20"/>
              </w:rPr>
              <w:t>30.7 </w:t>
            </w:r>
          </w:p>
        </w:tc>
        <w:tc>
          <w:tcPr>
            <w:tcW w:w="0" w:type="auto"/>
            <w:tcBorders>
              <w:top w:val="single" w:sz="8" w:space="0" w:color="000000"/>
            </w:tcBorders>
            <w:shd w:val="clear" w:color="auto" w:fill="FFFFFF"/>
            <w:tcMar>
              <w:top w:w="40" w:type="dxa"/>
              <w:bottom w:w="40" w:type="dxa"/>
              <w:right w:w="20" w:type="dxa"/>
            </w:tcMar>
            <w:vAlign w:val="center"/>
          </w:tcPr>
          <w:p w14:paraId="33DAF667" w14:textId="77777777" w:rsidR="004D6A64" w:rsidRDefault="00506CD6">
            <w:pPr>
              <w:jc w:val="right"/>
              <w:textAlignment w:val="center"/>
            </w:pPr>
            <w:r>
              <w:rPr>
                <w:rFonts w:ascii="Times New Roman" w:eastAsia="宋体" w:hAnsi="Times New Roman"/>
                <w:i/>
                <w:iCs/>
                <w:color w:val="000000"/>
                <w:sz w:val="20"/>
                <w:szCs w:val="20"/>
              </w:rPr>
              <w:t>%</w:t>
            </w:r>
          </w:p>
        </w:tc>
        <w:tc>
          <w:tcPr>
            <w:tcW w:w="0" w:type="auto"/>
            <w:gridSpan w:val="3"/>
            <w:shd w:val="clear" w:color="auto" w:fill="FFFFFF"/>
            <w:tcMar>
              <w:left w:w="20" w:type="dxa"/>
              <w:right w:w="20" w:type="dxa"/>
            </w:tcMar>
            <w:vAlign w:val="bottom"/>
          </w:tcPr>
          <w:p w14:paraId="33DAF668"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669"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66A"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F66B" w14:textId="77777777" w:rsidR="004D6A64" w:rsidRDefault="00506CD6">
            <w:pPr>
              <w:jc w:val="right"/>
              <w:textAlignment w:val="center"/>
            </w:pPr>
            <w:r>
              <w:rPr>
                <w:rFonts w:ascii="Times New Roman" w:eastAsia="宋体" w:hAnsi="Times New Roman"/>
                <w:i/>
                <w:iCs/>
                <w:color w:val="000000"/>
                <w:sz w:val="20"/>
                <w:szCs w:val="20"/>
              </w:rPr>
              <w:t>28.3 </w:t>
            </w:r>
          </w:p>
        </w:tc>
        <w:tc>
          <w:tcPr>
            <w:tcW w:w="0" w:type="auto"/>
            <w:tcBorders>
              <w:top w:val="single" w:sz="8" w:space="0" w:color="000000"/>
            </w:tcBorders>
            <w:shd w:val="clear" w:color="auto" w:fill="FFFFFF"/>
            <w:tcMar>
              <w:top w:w="40" w:type="dxa"/>
              <w:bottom w:w="40" w:type="dxa"/>
              <w:right w:w="20" w:type="dxa"/>
            </w:tcMar>
            <w:vAlign w:val="center"/>
          </w:tcPr>
          <w:p w14:paraId="33DAF66C" w14:textId="77777777" w:rsidR="004D6A64" w:rsidRDefault="00506CD6">
            <w:pPr>
              <w:jc w:val="right"/>
              <w:textAlignment w:val="center"/>
            </w:pPr>
            <w:r>
              <w:rPr>
                <w:rFonts w:ascii="Times New Roman" w:eastAsia="宋体" w:hAnsi="Times New Roman"/>
                <w:i/>
                <w:iCs/>
                <w:color w:val="000000"/>
                <w:sz w:val="20"/>
                <w:szCs w:val="20"/>
              </w:rPr>
              <w:t>%</w:t>
            </w:r>
          </w:p>
        </w:tc>
        <w:tc>
          <w:tcPr>
            <w:tcW w:w="0" w:type="auto"/>
            <w:gridSpan w:val="3"/>
            <w:shd w:val="clear" w:color="auto" w:fill="FFFFFF"/>
            <w:tcMar>
              <w:left w:w="20" w:type="dxa"/>
              <w:right w:w="20" w:type="dxa"/>
            </w:tcMar>
            <w:vAlign w:val="bottom"/>
          </w:tcPr>
          <w:p w14:paraId="33DAF66D" w14:textId="77777777" w:rsidR="004D6A64" w:rsidRDefault="004D6A64">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center"/>
          </w:tcPr>
          <w:p w14:paraId="33DAF66E" w14:textId="77777777" w:rsidR="004D6A64" w:rsidRDefault="00506CD6">
            <w:pPr>
              <w:jc w:val="right"/>
              <w:textAlignment w:val="center"/>
            </w:pPr>
            <w:r>
              <w:rPr>
                <w:rFonts w:ascii="Times New Roman" w:eastAsia="宋体" w:hAnsi="Times New Roman"/>
                <w:i/>
                <w:iCs/>
                <w:color w:val="000000"/>
                <w:sz w:val="20"/>
                <w:szCs w:val="20"/>
              </w:rPr>
              <w:t>29.4 </w:t>
            </w:r>
          </w:p>
        </w:tc>
        <w:tc>
          <w:tcPr>
            <w:tcW w:w="0" w:type="auto"/>
            <w:tcBorders>
              <w:top w:val="single" w:sz="8" w:space="0" w:color="000000"/>
            </w:tcBorders>
            <w:shd w:val="clear" w:color="auto" w:fill="auto"/>
            <w:tcMar>
              <w:top w:w="40" w:type="dxa"/>
              <w:bottom w:w="40" w:type="dxa"/>
              <w:right w:w="20" w:type="dxa"/>
            </w:tcMar>
            <w:vAlign w:val="center"/>
          </w:tcPr>
          <w:p w14:paraId="33DAF66F" w14:textId="77777777" w:rsidR="004D6A64" w:rsidRDefault="00506CD6">
            <w:pPr>
              <w:jc w:val="right"/>
              <w:textAlignment w:val="center"/>
            </w:pPr>
            <w:r>
              <w:rPr>
                <w:rFonts w:ascii="Times New Roman" w:eastAsia="宋体" w:hAnsi="Times New Roman"/>
                <w:i/>
                <w:iCs/>
                <w:color w:val="000000"/>
                <w:sz w:val="20"/>
                <w:szCs w:val="20"/>
              </w:rPr>
              <w:t>%</w:t>
            </w:r>
          </w:p>
        </w:tc>
        <w:tc>
          <w:tcPr>
            <w:tcW w:w="0" w:type="auto"/>
            <w:gridSpan w:val="3"/>
            <w:shd w:val="clear" w:color="auto" w:fill="FFFFFF"/>
            <w:tcMar>
              <w:left w:w="20" w:type="dxa"/>
              <w:right w:w="20" w:type="dxa"/>
            </w:tcMar>
            <w:vAlign w:val="bottom"/>
          </w:tcPr>
          <w:p w14:paraId="33DAF670"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671"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672" w14:textId="77777777" w:rsidR="004D6A64" w:rsidRDefault="004D6A64">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center"/>
          </w:tcPr>
          <w:p w14:paraId="33DAF673" w14:textId="77777777" w:rsidR="004D6A64" w:rsidRDefault="00506CD6">
            <w:pPr>
              <w:jc w:val="right"/>
              <w:textAlignment w:val="center"/>
            </w:pPr>
            <w:r>
              <w:rPr>
                <w:rFonts w:ascii="Times New Roman" w:eastAsia="宋体" w:hAnsi="Times New Roman"/>
                <w:i/>
                <w:iCs/>
                <w:color w:val="000000"/>
                <w:sz w:val="20"/>
                <w:szCs w:val="20"/>
              </w:rPr>
              <w:t>26.4 </w:t>
            </w:r>
          </w:p>
        </w:tc>
        <w:tc>
          <w:tcPr>
            <w:tcW w:w="0" w:type="auto"/>
            <w:tcBorders>
              <w:top w:val="single" w:sz="8" w:space="0" w:color="000000"/>
            </w:tcBorders>
            <w:shd w:val="clear" w:color="auto" w:fill="auto"/>
            <w:tcMar>
              <w:top w:w="40" w:type="dxa"/>
              <w:bottom w:w="40" w:type="dxa"/>
              <w:right w:w="20" w:type="dxa"/>
            </w:tcMar>
            <w:vAlign w:val="center"/>
          </w:tcPr>
          <w:p w14:paraId="33DAF674" w14:textId="77777777" w:rsidR="004D6A64" w:rsidRDefault="00506CD6">
            <w:pPr>
              <w:jc w:val="right"/>
              <w:textAlignment w:val="center"/>
            </w:pPr>
            <w:r>
              <w:rPr>
                <w:rFonts w:ascii="Times New Roman" w:eastAsia="宋体" w:hAnsi="Times New Roman"/>
                <w:i/>
                <w:iCs/>
                <w:color w:val="000000"/>
                <w:sz w:val="20"/>
                <w:szCs w:val="20"/>
              </w:rPr>
              <w:t>%</w:t>
            </w:r>
          </w:p>
        </w:tc>
        <w:tc>
          <w:tcPr>
            <w:tcW w:w="0" w:type="auto"/>
            <w:shd w:val="clear" w:color="auto" w:fill="auto"/>
          </w:tcPr>
          <w:p w14:paraId="33DAF675" w14:textId="77777777" w:rsidR="004D6A64" w:rsidRDefault="004D6A64">
            <w:pPr>
              <w:rPr>
                <w:rFonts w:ascii="宋体"/>
              </w:rPr>
            </w:pPr>
          </w:p>
        </w:tc>
        <w:tc>
          <w:tcPr>
            <w:tcW w:w="0" w:type="auto"/>
            <w:shd w:val="clear" w:color="auto" w:fill="auto"/>
          </w:tcPr>
          <w:p w14:paraId="33DAF676" w14:textId="77777777" w:rsidR="004D6A64" w:rsidRDefault="004D6A64">
            <w:pPr>
              <w:rPr>
                <w:rFonts w:ascii="宋体"/>
              </w:rPr>
            </w:pPr>
          </w:p>
        </w:tc>
        <w:tc>
          <w:tcPr>
            <w:tcW w:w="0" w:type="auto"/>
            <w:shd w:val="clear" w:color="auto" w:fill="auto"/>
          </w:tcPr>
          <w:p w14:paraId="33DAF677" w14:textId="77777777" w:rsidR="004D6A64" w:rsidRDefault="004D6A64">
            <w:pPr>
              <w:rPr>
                <w:rFonts w:ascii="宋体"/>
              </w:rPr>
            </w:pPr>
          </w:p>
        </w:tc>
        <w:tc>
          <w:tcPr>
            <w:tcW w:w="0" w:type="auto"/>
            <w:shd w:val="clear" w:color="auto" w:fill="auto"/>
          </w:tcPr>
          <w:p w14:paraId="33DAF678" w14:textId="77777777" w:rsidR="004D6A64" w:rsidRDefault="004D6A64">
            <w:pPr>
              <w:rPr>
                <w:rFonts w:ascii="宋体"/>
              </w:rPr>
            </w:pPr>
          </w:p>
        </w:tc>
        <w:tc>
          <w:tcPr>
            <w:tcW w:w="0" w:type="auto"/>
            <w:shd w:val="clear" w:color="auto" w:fill="auto"/>
          </w:tcPr>
          <w:p w14:paraId="33DAF679" w14:textId="77777777" w:rsidR="004D6A64" w:rsidRDefault="004D6A64">
            <w:pPr>
              <w:rPr>
                <w:rFonts w:ascii="宋体"/>
              </w:rPr>
            </w:pPr>
          </w:p>
        </w:tc>
        <w:tc>
          <w:tcPr>
            <w:tcW w:w="0" w:type="auto"/>
            <w:shd w:val="clear" w:color="auto" w:fill="auto"/>
          </w:tcPr>
          <w:p w14:paraId="33DAF67A" w14:textId="77777777" w:rsidR="004D6A64" w:rsidRDefault="004D6A64">
            <w:pPr>
              <w:rPr>
                <w:rFonts w:ascii="宋体"/>
              </w:rPr>
            </w:pPr>
          </w:p>
        </w:tc>
        <w:tc>
          <w:tcPr>
            <w:tcW w:w="0" w:type="auto"/>
            <w:shd w:val="clear" w:color="auto" w:fill="auto"/>
          </w:tcPr>
          <w:p w14:paraId="33DAF67B" w14:textId="77777777" w:rsidR="004D6A64" w:rsidRDefault="004D6A64">
            <w:pPr>
              <w:rPr>
                <w:rFonts w:ascii="宋体"/>
              </w:rPr>
            </w:pPr>
          </w:p>
        </w:tc>
        <w:tc>
          <w:tcPr>
            <w:tcW w:w="0" w:type="auto"/>
            <w:shd w:val="clear" w:color="auto" w:fill="auto"/>
          </w:tcPr>
          <w:p w14:paraId="33DAF67C" w14:textId="77777777" w:rsidR="004D6A64" w:rsidRDefault="004D6A64">
            <w:pPr>
              <w:rPr>
                <w:rFonts w:ascii="宋体"/>
              </w:rPr>
            </w:pPr>
          </w:p>
        </w:tc>
        <w:tc>
          <w:tcPr>
            <w:tcW w:w="0" w:type="auto"/>
            <w:shd w:val="clear" w:color="auto" w:fill="auto"/>
          </w:tcPr>
          <w:p w14:paraId="33DAF67D" w14:textId="77777777" w:rsidR="004D6A64" w:rsidRDefault="004D6A64">
            <w:pPr>
              <w:rPr>
                <w:rFonts w:ascii="宋体"/>
              </w:rPr>
            </w:pPr>
          </w:p>
        </w:tc>
        <w:tc>
          <w:tcPr>
            <w:tcW w:w="0" w:type="auto"/>
            <w:shd w:val="clear" w:color="auto" w:fill="auto"/>
          </w:tcPr>
          <w:p w14:paraId="33DAF67E" w14:textId="77777777" w:rsidR="004D6A64" w:rsidRDefault="004D6A64">
            <w:pPr>
              <w:rPr>
                <w:rFonts w:ascii="宋体"/>
              </w:rPr>
            </w:pPr>
          </w:p>
        </w:tc>
        <w:tc>
          <w:tcPr>
            <w:tcW w:w="0" w:type="auto"/>
            <w:shd w:val="clear" w:color="auto" w:fill="auto"/>
          </w:tcPr>
          <w:p w14:paraId="33DAF67F" w14:textId="77777777" w:rsidR="004D6A64" w:rsidRDefault="004D6A64">
            <w:pPr>
              <w:rPr>
                <w:rFonts w:ascii="宋体"/>
              </w:rPr>
            </w:pPr>
          </w:p>
        </w:tc>
        <w:tc>
          <w:tcPr>
            <w:tcW w:w="0" w:type="auto"/>
            <w:shd w:val="clear" w:color="auto" w:fill="auto"/>
          </w:tcPr>
          <w:p w14:paraId="33DAF680" w14:textId="77777777" w:rsidR="004D6A64" w:rsidRDefault="004D6A64">
            <w:pPr>
              <w:rPr>
                <w:rFonts w:ascii="宋体"/>
              </w:rPr>
            </w:pPr>
          </w:p>
        </w:tc>
        <w:tc>
          <w:tcPr>
            <w:tcW w:w="0" w:type="auto"/>
            <w:shd w:val="clear" w:color="auto" w:fill="auto"/>
          </w:tcPr>
          <w:p w14:paraId="33DAF681" w14:textId="77777777" w:rsidR="004D6A64" w:rsidRDefault="004D6A64">
            <w:pPr>
              <w:rPr>
                <w:rFonts w:ascii="宋体"/>
              </w:rPr>
            </w:pPr>
          </w:p>
        </w:tc>
        <w:tc>
          <w:tcPr>
            <w:tcW w:w="0" w:type="auto"/>
            <w:shd w:val="clear" w:color="auto" w:fill="auto"/>
          </w:tcPr>
          <w:p w14:paraId="33DAF682" w14:textId="77777777" w:rsidR="004D6A64" w:rsidRDefault="004D6A64">
            <w:pPr>
              <w:rPr>
                <w:rFonts w:ascii="宋体"/>
              </w:rPr>
            </w:pPr>
          </w:p>
        </w:tc>
        <w:tc>
          <w:tcPr>
            <w:tcW w:w="0" w:type="auto"/>
            <w:shd w:val="clear" w:color="auto" w:fill="auto"/>
          </w:tcPr>
          <w:p w14:paraId="33DAF683" w14:textId="77777777" w:rsidR="004D6A64" w:rsidRDefault="004D6A64">
            <w:pPr>
              <w:rPr>
                <w:rFonts w:ascii="宋体"/>
              </w:rPr>
            </w:pPr>
          </w:p>
        </w:tc>
        <w:tc>
          <w:tcPr>
            <w:tcW w:w="0" w:type="auto"/>
            <w:shd w:val="clear" w:color="auto" w:fill="auto"/>
          </w:tcPr>
          <w:p w14:paraId="33DAF684" w14:textId="77777777" w:rsidR="004D6A64" w:rsidRDefault="004D6A64">
            <w:pPr>
              <w:rPr>
                <w:rFonts w:ascii="宋体"/>
              </w:rPr>
            </w:pPr>
          </w:p>
        </w:tc>
        <w:tc>
          <w:tcPr>
            <w:tcW w:w="0" w:type="auto"/>
            <w:shd w:val="clear" w:color="auto" w:fill="auto"/>
          </w:tcPr>
          <w:p w14:paraId="33DAF685" w14:textId="77777777" w:rsidR="004D6A64" w:rsidRDefault="004D6A64">
            <w:pPr>
              <w:rPr>
                <w:rFonts w:ascii="宋体"/>
              </w:rPr>
            </w:pPr>
          </w:p>
        </w:tc>
        <w:tc>
          <w:tcPr>
            <w:tcW w:w="0" w:type="auto"/>
            <w:shd w:val="clear" w:color="auto" w:fill="auto"/>
          </w:tcPr>
          <w:p w14:paraId="33DAF686" w14:textId="77777777" w:rsidR="004D6A64" w:rsidRDefault="004D6A64">
            <w:pPr>
              <w:rPr>
                <w:rFonts w:ascii="宋体"/>
              </w:rPr>
            </w:pPr>
          </w:p>
        </w:tc>
        <w:tc>
          <w:tcPr>
            <w:tcW w:w="0" w:type="auto"/>
            <w:shd w:val="clear" w:color="auto" w:fill="auto"/>
          </w:tcPr>
          <w:p w14:paraId="33DAF687" w14:textId="77777777" w:rsidR="004D6A64" w:rsidRDefault="004D6A64">
            <w:pPr>
              <w:rPr>
                <w:rFonts w:ascii="宋体"/>
              </w:rPr>
            </w:pPr>
          </w:p>
        </w:tc>
        <w:tc>
          <w:tcPr>
            <w:tcW w:w="0" w:type="auto"/>
            <w:shd w:val="clear" w:color="auto" w:fill="auto"/>
          </w:tcPr>
          <w:p w14:paraId="33DAF688" w14:textId="77777777" w:rsidR="004D6A64" w:rsidRDefault="004D6A64">
            <w:pPr>
              <w:rPr>
                <w:rFonts w:ascii="宋体"/>
              </w:rPr>
            </w:pPr>
          </w:p>
        </w:tc>
        <w:tc>
          <w:tcPr>
            <w:tcW w:w="0" w:type="auto"/>
            <w:shd w:val="clear" w:color="auto" w:fill="auto"/>
          </w:tcPr>
          <w:p w14:paraId="33DAF689" w14:textId="77777777" w:rsidR="004D6A64" w:rsidRDefault="004D6A64">
            <w:pPr>
              <w:rPr>
                <w:rFonts w:ascii="宋体"/>
              </w:rPr>
            </w:pPr>
          </w:p>
        </w:tc>
        <w:tc>
          <w:tcPr>
            <w:tcW w:w="0" w:type="auto"/>
            <w:shd w:val="clear" w:color="auto" w:fill="auto"/>
          </w:tcPr>
          <w:p w14:paraId="33DAF68A" w14:textId="77777777" w:rsidR="004D6A64" w:rsidRDefault="004D6A64">
            <w:pPr>
              <w:rPr>
                <w:rFonts w:ascii="宋体"/>
              </w:rPr>
            </w:pPr>
          </w:p>
        </w:tc>
        <w:tc>
          <w:tcPr>
            <w:tcW w:w="0" w:type="auto"/>
            <w:shd w:val="clear" w:color="auto" w:fill="auto"/>
          </w:tcPr>
          <w:p w14:paraId="33DAF68B" w14:textId="77777777" w:rsidR="004D6A64" w:rsidRDefault="004D6A64">
            <w:pPr>
              <w:rPr>
                <w:rFonts w:ascii="宋体"/>
              </w:rPr>
            </w:pPr>
          </w:p>
        </w:tc>
        <w:tc>
          <w:tcPr>
            <w:tcW w:w="0" w:type="auto"/>
            <w:shd w:val="clear" w:color="auto" w:fill="auto"/>
          </w:tcPr>
          <w:p w14:paraId="33DAF68C" w14:textId="77777777" w:rsidR="004D6A64" w:rsidRDefault="004D6A64">
            <w:pPr>
              <w:rPr>
                <w:rFonts w:ascii="宋体"/>
              </w:rPr>
            </w:pPr>
          </w:p>
        </w:tc>
        <w:tc>
          <w:tcPr>
            <w:tcW w:w="0" w:type="auto"/>
            <w:shd w:val="clear" w:color="auto" w:fill="auto"/>
          </w:tcPr>
          <w:p w14:paraId="33DAF68D" w14:textId="77777777" w:rsidR="004D6A64" w:rsidRDefault="004D6A64">
            <w:pPr>
              <w:rPr>
                <w:rFonts w:ascii="宋体"/>
              </w:rPr>
            </w:pPr>
          </w:p>
        </w:tc>
        <w:tc>
          <w:tcPr>
            <w:tcW w:w="0" w:type="auto"/>
            <w:shd w:val="clear" w:color="auto" w:fill="auto"/>
          </w:tcPr>
          <w:p w14:paraId="33DAF68E" w14:textId="77777777" w:rsidR="004D6A64" w:rsidRDefault="004D6A64">
            <w:pPr>
              <w:rPr>
                <w:rFonts w:ascii="宋体"/>
              </w:rPr>
            </w:pPr>
          </w:p>
        </w:tc>
        <w:tc>
          <w:tcPr>
            <w:tcW w:w="0" w:type="auto"/>
            <w:shd w:val="clear" w:color="auto" w:fill="auto"/>
          </w:tcPr>
          <w:p w14:paraId="33DAF68F" w14:textId="77777777" w:rsidR="004D6A64" w:rsidRDefault="004D6A64">
            <w:pPr>
              <w:rPr>
                <w:rFonts w:ascii="宋体"/>
              </w:rPr>
            </w:pPr>
          </w:p>
        </w:tc>
      </w:tr>
    </w:tbl>
    <w:p w14:paraId="33DAF691" w14:textId="77777777" w:rsidR="004D6A64" w:rsidRDefault="004D6A64"/>
    <w:p w14:paraId="33DAF692" w14:textId="77777777" w:rsidR="004D6A64" w:rsidRDefault="00506CD6">
      <w:r>
        <w:rPr>
          <w:rFonts w:ascii="Times New Roman" w:eastAsia="宋体" w:hAnsi="Times New Roman"/>
          <w:i/>
          <w:iCs/>
          <w:color w:val="000000"/>
          <w:sz w:val="20"/>
          <w:szCs w:val="20"/>
          <w:u w:val="single"/>
        </w:rPr>
        <w:t>Net Revenue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VMware net revenue, inclus</w:t>
      </w:r>
      <w:r>
        <w:rPr>
          <w:rFonts w:ascii="Times New Roman" w:eastAsia="宋体" w:hAnsi="Times New Roman"/>
          <w:color w:val="000000"/>
          <w:sz w:val="20"/>
          <w:szCs w:val="20"/>
        </w:rPr>
        <w:t>ive of Pivotal, primarily consists of revenue from the sale of software licenses under perpetual licenses and subscription and software-as-a-service (“SaaS”) offerings, as well as related software maintenance services, support, training, consulting service</w:t>
      </w:r>
      <w:r>
        <w:rPr>
          <w:rFonts w:ascii="Times New Roman" w:eastAsia="宋体" w:hAnsi="Times New Roman"/>
          <w:color w:val="000000"/>
          <w:sz w:val="20"/>
          <w:szCs w:val="20"/>
        </w:rPr>
        <w:t>s, and hosted services. VMware net revenue for the second quarter and first six months of Fiscal 2021 increased 10% and 11%, respectively, primarily due to growth in sales of subscriptions and SaaS offerings, as well as an increase in sales of software mai</w:t>
      </w:r>
      <w:r>
        <w:rPr>
          <w:rFonts w:ascii="Times New Roman" w:eastAsia="宋体" w:hAnsi="Times New Roman"/>
          <w:color w:val="000000"/>
          <w:sz w:val="20"/>
          <w:szCs w:val="20"/>
        </w:rPr>
        <w:t>ntenance services. Growth in sales of subscriptions and SaaS offerings was primarily driven by increased demand for hybrid cloud offerings and digital workspaces. Software maintenance revenue benefited from maintenance contracts sold in previous periods.</w:t>
      </w:r>
    </w:p>
    <w:p w14:paraId="33DAF693" w14:textId="77777777" w:rsidR="004D6A64" w:rsidRDefault="004D6A64"/>
    <w:p w14:paraId="33DAF694" w14:textId="77777777" w:rsidR="004D6A64" w:rsidRDefault="00506CD6">
      <w:r>
        <w:rPr>
          <w:rFonts w:ascii="Times New Roman" w:eastAsia="宋体" w:hAnsi="Times New Roman"/>
          <w:color w:val="000000"/>
          <w:sz w:val="20"/>
          <w:szCs w:val="20"/>
        </w:rPr>
        <w:t>From a geographical perspective, approximately half of VMware net revenue during the second quarter and first six months of Fiscal 2021 was generated by sales to customers in the United States. VMware net revenue for the second quarter and first six months</w:t>
      </w:r>
      <w:r>
        <w:rPr>
          <w:rFonts w:ascii="Times New Roman" w:eastAsia="宋体" w:hAnsi="Times New Roman"/>
          <w:color w:val="000000"/>
          <w:sz w:val="20"/>
          <w:szCs w:val="20"/>
        </w:rPr>
        <w:t xml:space="preserve"> of Fiscal 2021 increased in both the United States and internationally. </w:t>
      </w:r>
    </w:p>
    <w:p w14:paraId="33DAF695" w14:textId="77777777" w:rsidR="004D6A64" w:rsidRDefault="004D6A64"/>
    <w:p w14:paraId="33DAF696" w14:textId="77777777" w:rsidR="004D6A64" w:rsidRDefault="00506CD6">
      <w:r>
        <w:rPr>
          <w:rFonts w:ascii="Times New Roman" w:eastAsia="宋体" w:hAnsi="Times New Roman"/>
          <w:i/>
          <w:iCs/>
          <w:color w:val="000000"/>
          <w:sz w:val="20"/>
          <w:szCs w:val="20"/>
          <w:u w:val="single"/>
        </w:rPr>
        <w:t>Operating Income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During the second quarter and first six months of Fiscal 2021, VMware operating income as a percentage of net revenue increased 240 basis points to 30.7% and 300 </w:t>
      </w:r>
      <w:r>
        <w:rPr>
          <w:rFonts w:ascii="Times New Roman" w:eastAsia="宋体" w:hAnsi="Times New Roman"/>
          <w:color w:val="000000"/>
          <w:sz w:val="20"/>
          <w:szCs w:val="20"/>
        </w:rPr>
        <w:t xml:space="preserve">basis points to 29.4%, respectively. The increases were primarily driven by decreases in selling, general, and administrative expenses as a percentage of net revenue. While the COVID-19 pandemic has not had a significant adverse financial impact on VMware </w:t>
      </w:r>
      <w:r>
        <w:rPr>
          <w:rFonts w:ascii="Times New Roman" w:eastAsia="宋体" w:hAnsi="Times New Roman"/>
          <w:color w:val="000000"/>
          <w:sz w:val="20"/>
          <w:szCs w:val="20"/>
        </w:rPr>
        <w:t>operations to date, in future periods we expect a negative impact on VMware results of operations, the size and duration of which we are currently unable to predict.</w:t>
      </w:r>
    </w:p>
    <w:p w14:paraId="33DAF697" w14:textId="77777777" w:rsidR="004D6A64" w:rsidRDefault="004D6A64">
      <w:pPr>
        <w:jc w:val="center"/>
      </w:pPr>
    </w:p>
    <w:p w14:paraId="33DAF698" w14:textId="77777777" w:rsidR="004D6A64" w:rsidRDefault="00506CD6">
      <w:pPr>
        <w:jc w:val="center"/>
      </w:pPr>
      <w:r>
        <w:rPr>
          <w:rFonts w:ascii="Times New Roman" w:eastAsia="宋体" w:hAnsi="Times New Roman"/>
          <w:color w:val="000000"/>
          <w:sz w:val="20"/>
          <w:szCs w:val="20"/>
        </w:rPr>
        <w:t>86</w:t>
      </w:r>
    </w:p>
    <w:p w14:paraId="33DAF699" w14:textId="77777777" w:rsidR="004D6A64" w:rsidRDefault="004D6A64">
      <w:pPr>
        <w:jc w:val="center"/>
      </w:pPr>
    </w:p>
    <w:p w14:paraId="33DAF69A" w14:textId="77777777" w:rsidR="004D6A64" w:rsidRDefault="00506CD6">
      <w:r>
        <w:pict w14:anchorId="33DAFB1A">
          <v:rect id="_x0000_i1110" style="width:415.3pt;height:1.5pt" o:hralign="center" o:hrstd="t" o:hr="t" fillcolor="#a0a0a0" stroked="f"/>
        </w:pict>
      </w:r>
    </w:p>
    <w:p w14:paraId="33DAF69B" w14:textId="77777777" w:rsidR="004D6A64" w:rsidRDefault="00506CD6">
      <w:hyperlink r:id="rId209" w:anchor="if3e0e1bf9ecd4bf69551d7a85f98d64a_10" w:history="1">
        <w:r>
          <w:rPr>
            <w:rStyle w:val="a5"/>
            <w:rFonts w:ascii="Times New Roman" w:eastAsia="宋体" w:hAnsi="Times New Roman"/>
            <w:sz w:val="20"/>
            <w:szCs w:val="20"/>
          </w:rPr>
          <w:t>Table of Contents</w:t>
        </w:r>
      </w:hyperlink>
    </w:p>
    <w:p w14:paraId="33DAF69C" w14:textId="77777777" w:rsidR="004D6A64" w:rsidRDefault="00506CD6">
      <w:r>
        <w:rPr>
          <w:rFonts w:ascii="Times New Roman" w:eastAsia="宋体" w:hAnsi="Times New Roman"/>
          <w:b/>
          <w:bCs/>
          <w:color w:val="000000"/>
          <w:sz w:val="20"/>
          <w:szCs w:val="20"/>
        </w:rPr>
        <w:t>OTHER BALANCE SHEET ITEMS</w:t>
      </w:r>
    </w:p>
    <w:p w14:paraId="33DAF69D" w14:textId="77777777" w:rsidR="004D6A64" w:rsidRDefault="004D6A64"/>
    <w:p w14:paraId="33DAF69E" w14:textId="77777777" w:rsidR="004D6A64" w:rsidRDefault="00506CD6">
      <w:r>
        <w:rPr>
          <w:rFonts w:ascii="Times New Roman" w:eastAsia="宋体" w:hAnsi="Times New Roman"/>
          <w:b/>
          <w:bCs/>
          <w:color w:val="000000"/>
          <w:sz w:val="20"/>
          <w:szCs w:val="20"/>
        </w:rPr>
        <w:t xml:space="preserve">Accounts Receivable </w:t>
      </w:r>
    </w:p>
    <w:p w14:paraId="33DAF69F" w14:textId="77777777" w:rsidR="004D6A64" w:rsidRDefault="004D6A64"/>
    <w:p w14:paraId="33DAF6A0" w14:textId="77777777" w:rsidR="004D6A64" w:rsidRDefault="00506CD6">
      <w:r>
        <w:rPr>
          <w:rFonts w:ascii="Times New Roman" w:eastAsia="宋体" w:hAnsi="Times New Roman"/>
          <w:color w:val="000000"/>
          <w:sz w:val="20"/>
          <w:szCs w:val="20"/>
        </w:rPr>
        <w:t>We sell products and services directly to customers and through a variety of sales channels, including retail distribu</w:t>
      </w:r>
      <w:r>
        <w:rPr>
          <w:rFonts w:ascii="Times New Roman" w:eastAsia="宋体" w:hAnsi="Times New Roman"/>
          <w:color w:val="000000"/>
          <w:sz w:val="20"/>
          <w:szCs w:val="20"/>
        </w:rPr>
        <w:t>tion. Our accounts receivable, net, was $11.6 billion and $12.5 billion as of July 31, 2020 and January 31, 2020, respectively. We maintain an allowance for expected credit losses to cover receivables that may be deemed uncollectible. The allowance for exp</w:t>
      </w:r>
      <w:r>
        <w:rPr>
          <w:rFonts w:ascii="Times New Roman" w:eastAsia="宋体" w:hAnsi="Times New Roman"/>
          <w:color w:val="000000"/>
          <w:sz w:val="20"/>
          <w:szCs w:val="20"/>
        </w:rPr>
        <w:t>ected credit losses is an estimate based on an analysis of historical loss experience, current receivables aging, and management’s assessment of current conditions and reasonable and supportable expectation of future conditions, as well as specific identif</w:t>
      </w:r>
      <w:r>
        <w:rPr>
          <w:rFonts w:ascii="Times New Roman" w:eastAsia="宋体" w:hAnsi="Times New Roman"/>
          <w:color w:val="000000"/>
          <w:sz w:val="20"/>
          <w:szCs w:val="20"/>
        </w:rPr>
        <w:t>iable customer accounts that are deemed at risk. Our analysis includes assumptions regarding the impact of COVID-19 and continued market volatility, which is highly uncertain and subject to significant judgment. Given this uncertainty, our allowance for ex</w:t>
      </w:r>
      <w:r>
        <w:rPr>
          <w:rFonts w:ascii="Times New Roman" w:eastAsia="宋体" w:hAnsi="Times New Roman"/>
          <w:color w:val="000000"/>
          <w:sz w:val="20"/>
          <w:szCs w:val="20"/>
        </w:rPr>
        <w:t>pected credit losses in future periods may vary from our current estimates. As of July 31, 2020 and January 31, 2020, the allowance for expected credit losses was $146 million and $94 million, respectively. Allowance for expected credit losses of trade rec</w:t>
      </w:r>
      <w:r>
        <w:rPr>
          <w:rFonts w:ascii="Times New Roman" w:eastAsia="宋体" w:hAnsi="Times New Roman"/>
          <w:color w:val="000000"/>
          <w:sz w:val="20"/>
          <w:szCs w:val="20"/>
        </w:rPr>
        <w:t>eivables as of July 31, 2020 includes the impact of adoption of the new current expected credit losses (“CECL”) standard, which was adopted as of February 1, 2020 using the modified retrospective method. Based on our assessment, we believe that we are adeq</w:t>
      </w:r>
      <w:r>
        <w:rPr>
          <w:rFonts w:ascii="Times New Roman" w:eastAsia="宋体" w:hAnsi="Times New Roman"/>
          <w:color w:val="000000"/>
          <w:sz w:val="20"/>
          <w:szCs w:val="20"/>
        </w:rPr>
        <w:t>uately reserved for expected credit losses. We will continue to monitor the aging of our accounts receivable and take actions, where necessary, to reduce our exposure to credit losses.</w:t>
      </w:r>
    </w:p>
    <w:p w14:paraId="33DAF6A1" w14:textId="77777777" w:rsidR="004D6A64" w:rsidRDefault="004D6A64"/>
    <w:p w14:paraId="33DAF6A2" w14:textId="77777777" w:rsidR="004D6A64" w:rsidRDefault="00506CD6">
      <w:r>
        <w:rPr>
          <w:rFonts w:ascii="Times New Roman" w:eastAsia="宋体" w:hAnsi="Times New Roman"/>
          <w:b/>
          <w:bCs/>
          <w:color w:val="000000"/>
          <w:sz w:val="20"/>
          <w:szCs w:val="20"/>
        </w:rPr>
        <w:t>Dell Financial Services</w:t>
      </w:r>
    </w:p>
    <w:p w14:paraId="33DAF6A3" w14:textId="77777777" w:rsidR="004D6A64" w:rsidRDefault="004D6A64"/>
    <w:p w14:paraId="33DAF6A4" w14:textId="77777777" w:rsidR="004D6A64" w:rsidRDefault="00506CD6">
      <w:r>
        <w:rPr>
          <w:rFonts w:ascii="Times New Roman" w:eastAsia="宋体" w:hAnsi="Times New Roman"/>
          <w:color w:val="000000"/>
          <w:sz w:val="20"/>
          <w:szCs w:val="20"/>
        </w:rPr>
        <w:t>Dell Financial Services and its affiliates (“</w:t>
      </w:r>
      <w:r>
        <w:rPr>
          <w:rFonts w:ascii="Times New Roman" w:eastAsia="宋体" w:hAnsi="Times New Roman"/>
          <w:color w:val="000000"/>
          <w:sz w:val="20"/>
          <w:szCs w:val="20"/>
        </w:rPr>
        <w:t xml:space="preserve">DFS”) support Dell Technologies by offering and arranging various financing options and services for our customers globally, including through captive financing operations in North America, Europe, Australia, and New Zealand. DFS originates, collects, and </w:t>
      </w:r>
      <w:r>
        <w:rPr>
          <w:rFonts w:ascii="Times New Roman" w:eastAsia="宋体" w:hAnsi="Times New Roman"/>
          <w:color w:val="000000"/>
          <w:sz w:val="20"/>
          <w:szCs w:val="20"/>
        </w:rPr>
        <w:t>services customer receivables primarily related to the purchase of our product, software, and service solutions. DFS further strengthens our customer relationships through its flexible consumption models, which enable us to offer our customers the option t</w:t>
      </w:r>
      <w:r>
        <w:rPr>
          <w:rFonts w:ascii="Times New Roman" w:eastAsia="宋体" w:hAnsi="Times New Roman"/>
          <w:color w:val="000000"/>
          <w:sz w:val="20"/>
          <w:szCs w:val="20"/>
        </w:rPr>
        <w:t>o pay over time and, in certain cases, based on utilization, to provide them with financial flexibility to meet their changing technological requirements. New financing originations were $2.6 billion and $2.0 billion for the second quarter of Fiscal 2021 a</w:t>
      </w:r>
      <w:r>
        <w:rPr>
          <w:rFonts w:ascii="Times New Roman" w:eastAsia="宋体" w:hAnsi="Times New Roman"/>
          <w:color w:val="000000"/>
          <w:sz w:val="20"/>
          <w:szCs w:val="20"/>
        </w:rPr>
        <w:t>nd Fiscal 2020, respectively, and $4.4 billion and $3.7 billion for the first six months of Fiscal 2021 and Fiscal 2020, respectively.</w:t>
      </w:r>
    </w:p>
    <w:p w14:paraId="33DAF6A5" w14:textId="77777777" w:rsidR="004D6A64" w:rsidRDefault="004D6A64"/>
    <w:p w14:paraId="33DAF6A6" w14:textId="77777777" w:rsidR="004D6A64" w:rsidRDefault="00506CD6">
      <w:r>
        <w:rPr>
          <w:rFonts w:ascii="Times New Roman" w:eastAsia="宋体" w:hAnsi="Times New Roman"/>
          <w:color w:val="000000"/>
          <w:sz w:val="20"/>
          <w:szCs w:val="20"/>
        </w:rPr>
        <w:t xml:space="preserve">Pursuant to the current lease accounting standard effective February 2, 2019, new DFS leases are classified as </w:t>
      </w:r>
      <w:r>
        <w:rPr>
          <w:rFonts w:ascii="Times New Roman" w:eastAsia="宋体" w:hAnsi="Times New Roman"/>
          <w:color w:val="000000"/>
          <w:sz w:val="20"/>
          <w:szCs w:val="20"/>
        </w:rPr>
        <w:t>sales-type leases, direct financing leases, or operating leases. Amounts due from lessees under sales-type leases or direct financing leases are recorded as part of financing receivables, with interest income recognized over the contract term. On commencem</w:t>
      </w:r>
      <w:r>
        <w:rPr>
          <w:rFonts w:ascii="Times New Roman" w:eastAsia="宋体" w:hAnsi="Times New Roman"/>
          <w:color w:val="000000"/>
          <w:sz w:val="20"/>
          <w:szCs w:val="20"/>
        </w:rPr>
        <w:t>ent of sales-type leases, we typically qualify for up-front revenue recognition. On originations of operating leases, we record equipment under operating leases, classified as property, plant, and equipment, and recognize rental revenue and depreciation ex</w:t>
      </w:r>
      <w:r>
        <w:rPr>
          <w:rFonts w:ascii="Times New Roman" w:eastAsia="宋体" w:hAnsi="Times New Roman"/>
          <w:color w:val="000000"/>
          <w:sz w:val="20"/>
          <w:szCs w:val="20"/>
        </w:rPr>
        <w:t>pense, classified as cost of net revenue, over the contract term. Direct financing leases are immaterial. Leases that commenced prior to the effective date of the current lease accounting standard continue to be accounted for under previous lease accountin</w:t>
      </w:r>
      <w:r>
        <w:rPr>
          <w:rFonts w:ascii="Times New Roman" w:eastAsia="宋体" w:hAnsi="Times New Roman"/>
          <w:color w:val="000000"/>
          <w:sz w:val="20"/>
          <w:szCs w:val="20"/>
        </w:rPr>
        <w:t>g guidance.</w:t>
      </w:r>
    </w:p>
    <w:p w14:paraId="33DAF6A7" w14:textId="77777777" w:rsidR="004D6A64" w:rsidRDefault="004D6A64"/>
    <w:p w14:paraId="33DAF6A8" w14:textId="77777777" w:rsidR="004D6A64" w:rsidRDefault="00506CD6">
      <w:r>
        <w:rPr>
          <w:rFonts w:ascii="Times New Roman" w:eastAsia="宋体" w:hAnsi="Times New Roman"/>
          <w:color w:val="000000"/>
          <w:sz w:val="20"/>
          <w:szCs w:val="20"/>
        </w:rPr>
        <w:t>As of July 31, 2020 and January 31, 2020, our financing receivables, net were $10.2 billion and $9.7 billion, respect</w:t>
      </w:r>
      <w:r>
        <w:rPr>
          <w:rFonts w:ascii="Times New Roman" w:eastAsia="宋体" w:hAnsi="Times New Roman"/>
          <w:color w:val="000000"/>
          <w:sz w:val="20"/>
          <w:szCs w:val="20"/>
          <w:shd w:val="clear" w:color="auto" w:fill="FFFFFF"/>
        </w:rPr>
        <w:t xml:space="preserve">ively. </w:t>
      </w:r>
      <w:r>
        <w:rPr>
          <w:rFonts w:ascii="Times New Roman" w:eastAsia="宋体" w:hAnsi="Times New Roman"/>
          <w:color w:val="000000"/>
          <w:sz w:val="20"/>
          <w:szCs w:val="20"/>
        </w:rPr>
        <w:t>We maintain an allowance to cover expected financing receivable credit losses and evaluate credit loss expectations based on our total portfolio. Allowance for expected credit losses of financing receivables as of July 31, 2020 includes the impact of adopt</w:t>
      </w:r>
      <w:r>
        <w:rPr>
          <w:rFonts w:ascii="Times New Roman" w:eastAsia="宋体" w:hAnsi="Times New Roman"/>
          <w:color w:val="000000"/>
          <w:sz w:val="20"/>
          <w:szCs w:val="20"/>
        </w:rPr>
        <w:t>ion of the CECL standard referred to above. Our analysis includes assumptions regarding the impact of COVID-19 and continued market volatility, which is highly uncertain and subject to significant judgment. Given this uncertainty, our allowance for expecte</w:t>
      </w:r>
      <w:r>
        <w:rPr>
          <w:rFonts w:ascii="Times New Roman" w:eastAsia="宋体" w:hAnsi="Times New Roman"/>
          <w:color w:val="000000"/>
          <w:sz w:val="20"/>
          <w:szCs w:val="20"/>
        </w:rPr>
        <w:t>d credit losses in future periods may vary from our current estimates. For the second quarter of Fiscal 2021 and Fiscal 2020, the principal charge-off rate for our total portfolio was 0.8% and 1.1%, respectively. For the first six months of Fiscal 2021 and</w:t>
      </w:r>
      <w:r>
        <w:rPr>
          <w:rFonts w:ascii="Times New Roman" w:eastAsia="宋体" w:hAnsi="Times New Roman"/>
          <w:color w:val="000000"/>
          <w:sz w:val="20"/>
          <w:szCs w:val="20"/>
        </w:rPr>
        <w:t xml:space="preserve"> Fiscal 2020, the principal charge-off rate for our total portfolio was 0.9% and 1.0%, respectively. The credit quality of our financing receivables has improved in recent years due to an overall improvement in the credit environment and as the mix of high</w:t>
      </w:r>
      <w:r>
        <w:rPr>
          <w:rFonts w:ascii="Times New Roman" w:eastAsia="宋体" w:hAnsi="Times New Roman"/>
          <w:color w:val="000000"/>
          <w:sz w:val="20"/>
          <w:szCs w:val="20"/>
        </w:rPr>
        <w:t xml:space="preserve">-quality commercial accounts in our portfolio has continued to increase. We continue to monitor broader economic indicators and their potential impact on future loss performance. We have an extensive process to manage our exposure to customer credit risk, </w:t>
      </w:r>
      <w:r>
        <w:rPr>
          <w:rFonts w:ascii="Times New Roman" w:eastAsia="宋体" w:hAnsi="Times New Roman"/>
          <w:color w:val="000000"/>
          <w:sz w:val="20"/>
          <w:szCs w:val="20"/>
        </w:rPr>
        <w:t>including active management of credit lines and our collection activities. We also sell selected fixed-term financing receivables without recourse to unrelated third parties on a periodic basis, primarily to manage certain concentrations of customer credit</w:t>
      </w:r>
      <w:r>
        <w:rPr>
          <w:rFonts w:ascii="Times New Roman" w:eastAsia="宋体" w:hAnsi="Times New Roman"/>
          <w:color w:val="000000"/>
          <w:sz w:val="20"/>
          <w:szCs w:val="20"/>
        </w:rPr>
        <w:t xml:space="preserve"> exposure.  Based on our assessment of the customer financing receivables, we believe that we are adequately reserved. </w:t>
      </w:r>
    </w:p>
    <w:p w14:paraId="33DAF6A9" w14:textId="77777777" w:rsidR="004D6A64" w:rsidRDefault="004D6A64"/>
    <w:p w14:paraId="33DAF6AA" w14:textId="77777777" w:rsidR="004D6A64" w:rsidRDefault="004D6A64">
      <w:pPr>
        <w:jc w:val="center"/>
      </w:pPr>
    </w:p>
    <w:p w14:paraId="33DAF6AB" w14:textId="77777777" w:rsidR="004D6A64" w:rsidRDefault="00506CD6">
      <w:pPr>
        <w:jc w:val="center"/>
      </w:pPr>
      <w:r>
        <w:rPr>
          <w:rFonts w:ascii="Times New Roman" w:eastAsia="宋体" w:hAnsi="Times New Roman"/>
          <w:color w:val="000000"/>
          <w:sz w:val="20"/>
          <w:szCs w:val="20"/>
        </w:rPr>
        <w:t>87</w:t>
      </w:r>
    </w:p>
    <w:p w14:paraId="33DAF6AC" w14:textId="77777777" w:rsidR="004D6A64" w:rsidRDefault="004D6A64">
      <w:pPr>
        <w:jc w:val="center"/>
      </w:pPr>
    </w:p>
    <w:p w14:paraId="33DAF6AD" w14:textId="77777777" w:rsidR="004D6A64" w:rsidRDefault="00506CD6">
      <w:r>
        <w:pict w14:anchorId="33DAFB1B">
          <v:rect id="_x0000_i1111" style="width:415.3pt;height:1.5pt" o:hralign="center" o:hrstd="t" o:hr="t" fillcolor="#a0a0a0" stroked="f"/>
        </w:pict>
      </w:r>
    </w:p>
    <w:p w14:paraId="33DAF6AE" w14:textId="77777777" w:rsidR="004D6A64" w:rsidRDefault="00506CD6">
      <w:hyperlink r:id="rId210" w:anchor="if3e0e1bf9ecd4bf69551d7a85f98d64a_10" w:history="1">
        <w:r>
          <w:rPr>
            <w:rStyle w:val="a5"/>
            <w:rFonts w:ascii="Times New Roman" w:eastAsia="宋体" w:hAnsi="Times New Roman"/>
            <w:sz w:val="20"/>
            <w:szCs w:val="20"/>
          </w:rPr>
          <w:t>Table of Contents</w:t>
        </w:r>
      </w:hyperlink>
    </w:p>
    <w:p w14:paraId="33DAF6AF" w14:textId="77777777" w:rsidR="004D6A64" w:rsidRDefault="00506CD6">
      <w:r>
        <w:rPr>
          <w:rFonts w:ascii="Times New Roman" w:eastAsia="宋体" w:hAnsi="Times New Roman"/>
          <w:color w:val="000000"/>
          <w:sz w:val="20"/>
          <w:szCs w:val="20"/>
        </w:rPr>
        <w:t>We retain a residual interest in equipment leased under our lease programs. As of July 31, 2020 and January 31, 2020, the residual interest recorded as part of financing receivables was $523 million and $582 mill</w:t>
      </w:r>
      <w:r>
        <w:rPr>
          <w:rFonts w:ascii="Times New Roman" w:eastAsia="宋体" w:hAnsi="Times New Roman"/>
          <w:color w:val="000000"/>
          <w:sz w:val="20"/>
          <w:szCs w:val="20"/>
        </w:rPr>
        <w:t>ion, respectively. The amount of the residual interest is established at the inception of the lease based upon estimates of the value of the equipment at the end of the lease term using historical studies, industry data, and future value-at-risk demand val</w:t>
      </w:r>
      <w:r>
        <w:rPr>
          <w:rFonts w:ascii="Times New Roman" w:eastAsia="宋体" w:hAnsi="Times New Roman"/>
          <w:color w:val="000000"/>
          <w:sz w:val="20"/>
          <w:szCs w:val="20"/>
        </w:rPr>
        <w:t xml:space="preserve">uation methods. On a quarterly basis, we assess the carrying amount of our recorded residual values for impairment. Generally, residual value risk on equipment under lease is not considered to be significant, because of the existence of a secondary market </w:t>
      </w:r>
      <w:r>
        <w:rPr>
          <w:rFonts w:ascii="Times New Roman" w:eastAsia="宋体" w:hAnsi="Times New Roman"/>
          <w:color w:val="000000"/>
          <w:sz w:val="20"/>
          <w:szCs w:val="20"/>
        </w:rPr>
        <w:t>with respect to the equipment. The lease agreement also clearly defines applicable return conditions and remedies for non-compliance, to ensure that the leased equipment will be in good operating condition upon return. Model changes and updates, as well as</w:t>
      </w:r>
      <w:r>
        <w:rPr>
          <w:rFonts w:ascii="Times New Roman" w:eastAsia="宋体" w:hAnsi="Times New Roman"/>
          <w:color w:val="000000"/>
          <w:sz w:val="20"/>
          <w:szCs w:val="20"/>
        </w:rPr>
        <w:t xml:space="preserve"> market strength and product acceptance, are monitored and adjustments are made to residual values in accordance with the significance of any such changes. Our remarketing sales staff works closely with customers and dealers to manage the sale of lease ret</w:t>
      </w:r>
      <w:r>
        <w:rPr>
          <w:rFonts w:ascii="Times New Roman" w:eastAsia="宋体" w:hAnsi="Times New Roman"/>
          <w:color w:val="000000"/>
          <w:sz w:val="20"/>
          <w:szCs w:val="20"/>
        </w:rPr>
        <w:t>urns and the recovery of residual exposure. No impairment losses were recorded related to residual assets during the second quarter and first six months of Fiscal 2021.</w:t>
      </w:r>
    </w:p>
    <w:p w14:paraId="33DAF6B0" w14:textId="77777777" w:rsidR="004D6A64" w:rsidRDefault="004D6A64"/>
    <w:p w14:paraId="33DAF6B1" w14:textId="77777777" w:rsidR="004D6A64" w:rsidRDefault="00506CD6">
      <w:r>
        <w:rPr>
          <w:rFonts w:ascii="Times New Roman" w:eastAsia="宋体" w:hAnsi="Times New Roman"/>
          <w:color w:val="000000"/>
          <w:sz w:val="20"/>
          <w:szCs w:val="20"/>
        </w:rPr>
        <w:t>As of July 31, 2020 and January 31, 2020, equipment under operating leases, net was $1</w:t>
      </w:r>
      <w:r>
        <w:rPr>
          <w:rFonts w:ascii="Times New Roman" w:eastAsia="宋体" w:hAnsi="Times New Roman"/>
          <w:color w:val="000000"/>
          <w:sz w:val="20"/>
          <w:szCs w:val="20"/>
        </w:rPr>
        <w:t>.2 billion and $0.8 billion, respectively. Based on triggering events, we assess the carrying amount of the equipment under operating leases recorded for impairment. No material impairment losses were recorded related to such equipment during the second qu</w:t>
      </w:r>
      <w:r>
        <w:rPr>
          <w:rFonts w:ascii="Times New Roman" w:eastAsia="宋体" w:hAnsi="Times New Roman"/>
          <w:color w:val="000000"/>
          <w:sz w:val="20"/>
          <w:szCs w:val="20"/>
        </w:rPr>
        <w:t>arter and first six months of Fiscal 2021.</w:t>
      </w:r>
    </w:p>
    <w:p w14:paraId="33DAF6B2" w14:textId="77777777" w:rsidR="004D6A64" w:rsidRDefault="004D6A64"/>
    <w:p w14:paraId="33DAF6B3" w14:textId="77777777" w:rsidR="004D6A64" w:rsidRDefault="00506CD6">
      <w:r>
        <w:rPr>
          <w:rFonts w:ascii="Times New Roman" w:eastAsia="宋体" w:hAnsi="Times New Roman"/>
          <w:color w:val="000000"/>
          <w:sz w:val="20"/>
          <w:szCs w:val="20"/>
        </w:rPr>
        <w:t>DFS offerings are initially funded through cash on hand at the time of origination, most of which is subsequently replaced with third-party financing. For DFS offerings which qualify as sales-type leases, the ini</w:t>
      </w:r>
      <w:r>
        <w:rPr>
          <w:rFonts w:ascii="Times New Roman" w:eastAsia="宋体" w:hAnsi="Times New Roman"/>
          <w:color w:val="000000"/>
          <w:sz w:val="20"/>
          <w:szCs w:val="20"/>
        </w:rPr>
        <w:t xml:space="preserve">tial funding of financing receivables is reflected as an impact to cash flows from operations, and is largely subsequently offset by cash proceeds from financing. For DFS operating leases, which have increased under the current lease standard, the initial </w:t>
      </w:r>
      <w:r>
        <w:rPr>
          <w:rFonts w:ascii="Times New Roman" w:eastAsia="宋体" w:hAnsi="Times New Roman"/>
          <w:color w:val="000000"/>
          <w:sz w:val="20"/>
          <w:szCs w:val="20"/>
        </w:rPr>
        <w:t>funding is classified as a capital expenditure and reflected as an impact to cash flows used in investing activities.</w:t>
      </w:r>
    </w:p>
    <w:p w14:paraId="33DAF6B4" w14:textId="77777777" w:rsidR="004D6A64" w:rsidRDefault="00506CD6">
      <w:pPr>
        <w:spacing w:before="200"/>
      </w:pPr>
      <w:r>
        <w:rPr>
          <w:rFonts w:ascii="Times New Roman" w:eastAsia="宋体" w:hAnsi="Times New Roman"/>
          <w:color w:val="000000"/>
          <w:sz w:val="20"/>
          <w:szCs w:val="20"/>
        </w:rPr>
        <w:t>See Note 4 of the Notes to the Condensed Consolidated Financial Statements included in this report for additional information about our fi</w:t>
      </w:r>
      <w:r>
        <w:rPr>
          <w:rFonts w:ascii="Times New Roman" w:eastAsia="宋体" w:hAnsi="Times New Roman"/>
          <w:color w:val="000000"/>
          <w:sz w:val="20"/>
          <w:szCs w:val="20"/>
        </w:rPr>
        <w:t>nancing receivables and the associated allowances, and the equipment under operating leases.</w:t>
      </w:r>
    </w:p>
    <w:p w14:paraId="33DAF6B5" w14:textId="77777777" w:rsidR="004D6A64" w:rsidRDefault="004D6A64"/>
    <w:p w14:paraId="33DAF6B6" w14:textId="77777777" w:rsidR="004D6A64" w:rsidRDefault="00506CD6">
      <w:r>
        <w:rPr>
          <w:rFonts w:ascii="Times New Roman" w:eastAsia="宋体" w:hAnsi="Times New Roman"/>
          <w:b/>
          <w:bCs/>
          <w:color w:val="000000"/>
          <w:sz w:val="20"/>
          <w:szCs w:val="20"/>
        </w:rPr>
        <w:t>Off-Balance Sheet Arrangements</w:t>
      </w:r>
    </w:p>
    <w:p w14:paraId="33DAF6B7" w14:textId="77777777" w:rsidR="004D6A64" w:rsidRDefault="00506CD6">
      <w:pPr>
        <w:spacing w:before="200"/>
      </w:pPr>
      <w:r>
        <w:rPr>
          <w:rFonts w:ascii="Times New Roman" w:eastAsia="宋体" w:hAnsi="Times New Roman"/>
          <w:color w:val="000000"/>
          <w:sz w:val="20"/>
          <w:szCs w:val="20"/>
        </w:rPr>
        <w:t>As of July 31, 2020, we had no off-balance sheet arrangements that have or are reasonably likely to have a current or future materi</w:t>
      </w:r>
      <w:r>
        <w:rPr>
          <w:rFonts w:ascii="Times New Roman" w:eastAsia="宋体" w:hAnsi="Times New Roman"/>
          <w:color w:val="000000"/>
          <w:sz w:val="20"/>
          <w:szCs w:val="20"/>
        </w:rPr>
        <w:t>al effect on our financial condition or results of operations.</w:t>
      </w:r>
    </w:p>
    <w:p w14:paraId="33DAF6B8" w14:textId="77777777" w:rsidR="004D6A64" w:rsidRDefault="004D6A64">
      <w:pPr>
        <w:jc w:val="center"/>
      </w:pPr>
    </w:p>
    <w:p w14:paraId="33DAF6B9" w14:textId="77777777" w:rsidR="004D6A64" w:rsidRDefault="00506CD6">
      <w:pPr>
        <w:jc w:val="center"/>
      </w:pPr>
      <w:r>
        <w:rPr>
          <w:rFonts w:ascii="Times New Roman" w:eastAsia="宋体" w:hAnsi="Times New Roman"/>
          <w:color w:val="000000"/>
          <w:sz w:val="20"/>
          <w:szCs w:val="20"/>
        </w:rPr>
        <w:t>88</w:t>
      </w:r>
    </w:p>
    <w:p w14:paraId="33DAF6BA" w14:textId="77777777" w:rsidR="004D6A64" w:rsidRDefault="004D6A64">
      <w:pPr>
        <w:jc w:val="center"/>
      </w:pPr>
    </w:p>
    <w:p w14:paraId="33DAF6BB" w14:textId="77777777" w:rsidR="004D6A64" w:rsidRDefault="00506CD6">
      <w:r>
        <w:pict w14:anchorId="33DAFB1C">
          <v:rect id="_x0000_i1112" style="width:415.3pt;height:1.5pt" o:hralign="center" o:hrstd="t" o:hr="t" fillcolor="#a0a0a0" stroked="f"/>
        </w:pict>
      </w:r>
    </w:p>
    <w:p w14:paraId="33DAF6BC" w14:textId="77777777" w:rsidR="004D6A64" w:rsidRDefault="00506CD6">
      <w:hyperlink r:id="rId211" w:anchor="if3e0e1bf9ecd4bf69551d7a85f98d64a_10" w:history="1">
        <w:r>
          <w:rPr>
            <w:rStyle w:val="a5"/>
            <w:rFonts w:ascii="Times New Roman" w:eastAsia="宋体" w:hAnsi="Times New Roman"/>
            <w:sz w:val="20"/>
            <w:szCs w:val="20"/>
          </w:rPr>
          <w:t>Table of Contents</w:t>
        </w:r>
      </w:hyperlink>
    </w:p>
    <w:p w14:paraId="33DAF6BD" w14:textId="77777777" w:rsidR="004D6A64" w:rsidRDefault="00506CD6">
      <w:r>
        <w:rPr>
          <w:rFonts w:ascii="Times New Roman" w:eastAsia="宋体" w:hAnsi="Times New Roman"/>
          <w:b/>
          <w:bCs/>
          <w:color w:val="000000"/>
          <w:sz w:val="20"/>
          <w:szCs w:val="20"/>
        </w:rPr>
        <w:t>MARKET CONDITI</w:t>
      </w:r>
      <w:r>
        <w:rPr>
          <w:rFonts w:ascii="Times New Roman" w:eastAsia="宋体" w:hAnsi="Times New Roman"/>
          <w:b/>
          <w:bCs/>
          <w:color w:val="000000"/>
          <w:sz w:val="20"/>
          <w:szCs w:val="20"/>
        </w:rPr>
        <w:t>ONS, LIQUIDITY, AND CAPITAL COMMITMENTS</w:t>
      </w:r>
    </w:p>
    <w:p w14:paraId="33DAF6BE" w14:textId="77777777" w:rsidR="004D6A64" w:rsidRDefault="004D6A64"/>
    <w:p w14:paraId="33DAF6BF" w14:textId="77777777" w:rsidR="004D6A64" w:rsidRDefault="00506CD6">
      <w:r>
        <w:rPr>
          <w:rFonts w:ascii="Times New Roman" w:eastAsia="宋体" w:hAnsi="Times New Roman"/>
          <w:b/>
          <w:bCs/>
          <w:color w:val="000000"/>
          <w:sz w:val="20"/>
          <w:szCs w:val="20"/>
        </w:rPr>
        <w:t>Market Conditions</w:t>
      </w:r>
    </w:p>
    <w:p w14:paraId="33DAF6C0" w14:textId="77777777" w:rsidR="004D6A64" w:rsidRDefault="004D6A64"/>
    <w:p w14:paraId="33DAF6C1" w14:textId="77777777" w:rsidR="004D6A64" w:rsidRDefault="00506CD6">
      <w:r>
        <w:rPr>
          <w:rFonts w:ascii="Times New Roman" w:eastAsia="宋体" w:hAnsi="Times New Roman"/>
          <w:color w:val="000000"/>
          <w:sz w:val="20"/>
          <w:szCs w:val="20"/>
        </w:rPr>
        <w:t>We regularly monitor economic conditions and associated impacts on the financial markets and our business. We consistently evaluate the financial health of our supplier base, carefully manage cust</w:t>
      </w:r>
      <w:r>
        <w:rPr>
          <w:rFonts w:ascii="Times New Roman" w:eastAsia="宋体" w:hAnsi="Times New Roman"/>
          <w:color w:val="000000"/>
          <w:sz w:val="20"/>
          <w:szCs w:val="20"/>
        </w:rPr>
        <w:t>omer credit, diversify counterparty risk, and monitor the concentration risk of our cash and cash equivalents balances globally. We routinely monitor our financial exposure to borrowers and counterparties.</w:t>
      </w:r>
    </w:p>
    <w:p w14:paraId="33DAF6C2" w14:textId="77777777" w:rsidR="004D6A64" w:rsidRDefault="004D6A64"/>
    <w:p w14:paraId="33DAF6C3" w14:textId="77777777" w:rsidR="004D6A64" w:rsidRDefault="00506CD6">
      <w:r>
        <w:rPr>
          <w:rFonts w:ascii="Times New Roman" w:eastAsia="宋体" w:hAnsi="Times New Roman"/>
          <w:color w:val="000000"/>
          <w:sz w:val="20"/>
          <w:szCs w:val="20"/>
        </w:rPr>
        <w:t>We monitor credit risk associated with our financ</w:t>
      </w:r>
      <w:r>
        <w:rPr>
          <w:rFonts w:ascii="Times New Roman" w:eastAsia="宋体" w:hAnsi="Times New Roman"/>
          <w:color w:val="000000"/>
          <w:sz w:val="20"/>
          <w:szCs w:val="20"/>
        </w:rPr>
        <w:t>ial counterparties using various market credit risk indicators such as credit ratings issued by nationally recognized credit rating agencies and changes in market credit default swap levels. We perform periodic evaluations of our positions with these count</w:t>
      </w:r>
      <w:r>
        <w:rPr>
          <w:rFonts w:ascii="Times New Roman" w:eastAsia="宋体" w:hAnsi="Times New Roman"/>
          <w:color w:val="000000"/>
          <w:sz w:val="20"/>
          <w:szCs w:val="20"/>
        </w:rPr>
        <w:t xml:space="preserve">erparties and may limit exposure to any one counterparty in accordance with our policies. We monitor and manage these activities depending on current and expected market developments. </w:t>
      </w:r>
    </w:p>
    <w:p w14:paraId="33DAF6C4" w14:textId="77777777" w:rsidR="004D6A64" w:rsidRDefault="004D6A64"/>
    <w:p w14:paraId="33DAF6C5" w14:textId="77777777" w:rsidR="004D6A64" w:rsidRDefault="00506CD6">
      <w:r>
        <w:rPr>
          <w:rFonts w:ascii="Times New Roman" w:eastAsia="宋体" w:hAnsi="Times New Roman"/>
          <w:color w:val="000000"/>
          <w:sz w:val="20"/>
          <w:szCs w:val="20"/>
        </w:rPr>
        <w:t xml:space="preserve">We use derivative instruments to hedge certain foreign </w:t>
      </w:r>
      <w:r>
        <w:rPr>
          <w:rFonts w:ascii="Times New Roman" w:eastAsia="宋体" w:hAnsi="Times New Roman"/>
          <w:color w:val="000000"/>
          <w:sz w:val="20"/>
          <w:szCs w:val="20"/>
        </w:rPr>
        <w:t xml:space="preserve">currency exposures. We use forward contracts and purchased options designated as cash flow hedges to protect against the foreign currency exchange rate risks inherent in our forecasted transactions denominated in currencies other than the U.S. dollar.  In </w:t>
      </w:r>
      <w:r>
        <w:rPr>
          <w:rFonts w:ascii="Times New Roman" w:eastAsia="宋体" w:hAnsi="Times New Roman"/>
          <w:color w:val="000000"/>
          <w:sz w:val="20"/>
          <w:szCs w:val="20"/>
        </w:rPr>
        <w:t>addition, we primarily use forward contracts and may use purchased options to hedge monetary assets and liabilities denominated in a foreign currency.  See Note 7 of the Notes to the Condensed Consolidated Financial Statements included in this report for m</w:t>
      </w:r>
      <w:r>
        <w:rPr>
          <w:rFonts w:ascii="Times New Roman" w:eastAsia="宋体" w:hAnsi="Times New Roman"/>
          <w:color w:val="000000"/>
          <w:sz w:val="20"/>
          <w:szCs w:val="20"/>
        </w:rPr>
        <w:t>ore information about our use of derivative instruments.</w:t>
      </w:r>
    </w:p>
    <w:p w14:paraId="33DAF6C6" w14:textId="77777777" w:rsidR="004D6A64" w:rsidRDefault="004D6A64"/>
    <w:p w14:paraId="33DAF6C7" w14:textId="77777777" w:rsidR="004D6A64" w:rsidRDefault="00506CD6">
      <w:r>
        <w:rPr>
          <w:rFonts w:ascii="Times New Roman" w:eastAsia="宋体" w:hAnsi="Times New Roman"/>
          <w:color w:val="000000"/>
          <w:sz w:val="20"/>
          <w:szCs w:val="20"/>
        </w:rPr>
        <w:t xml:space="preserve">We are exposed to interest rate risk related to our variable-rate debt portfolio. In the normal course of business, we follow established policies and procedures to manage this risk, </w:t>
      </w:r>
      <w:r>
        <w:rPr>
          <w:rFonts w:ascii="Times New Roman" w:eastAsia="宋体" w:hAnsi="Times New Roman"/>
          <w:color w:val="000000"/>
          <w:sz w:val="20"/>
          <w:szCs w:val="20"/>
        </w:rPr>
        <w:t>including monitoring of our asset and liability mix. As a result, we do not anticipate any material losses from interest rate risk.</w:t>
      </w:r>
    </w:p>
    <w:p w14:paraId="33DAF6C8" w14:textId="77777777" w:rsidR="004D6A64" w:rsidRDefault="004D6A64"/>
    <w:p w14:paraId="33DAF6C9" w14:textId="77777777" w:rsidR="004D6A64" w:rsidRDefault="00506CD6">
      <w:r>
        <w:rPr>
          <w:rFonts w:ascii="Times New Roman" w:eastAsia="宋体" w:hAnsi="Times New Roman"/>
          <w:color w:val="000000"/>
          <w:sz w:val="20"/>
          <w:szCs w:val="20"/>
        </w:rPr>
        <w:t>The impact of any credit adjustments related to our use of counterparties on our Condensed Consolidated Financial Statement</w:t>
      </w:r>
      <w:r>
        <w:rPr>
          <w:rFonts w:ascii="Times New Roman" w:eastAsia="宋体" w:hAnsi="Times New Roman"/>
          <w:color w:val="000000"/>
          <w:sz w:val="20"/>
          <w:szCs w:val="20"/>
        </w:rPr>
        <w:t>s included in this report has been immaterial.</w:t>
      </w:r>
    </w:p>
    <w:p w14:paraId="33DAF6CA" w14:textId="77777777" w:rsidR="004D6A64" w:rsidRDefault="004D6A64"/>
    <w:p w14:paraId="33DAF6CB" w14:textId="77777777" w:rsidR="004D6A64" w:rsidRDefault="00506CD6">
      <w:r>
        <w:rPr>
          <w:rFonts w:ascii="Times New Roman" w:eastAsia="宋体" w:hAnsi="Times New Roman"/>
          <w:b/>
          <w:bCs/>
          <w:color w:val="000000"/>
          <w:sz w:val="20"/>
          <w:szCs w:val="20"/>
        </w:rPr>
        <w:t>Liquidity and Capital Resources</w:t>
      </w:r>
    </w:p>
    <w:p w14:paraId="33DAF6CC" w14:textId="77777777" w:rsidR="004D6A64" w:rsidRDefault="004D6A64"/>
    <w:p w14:paraId="33DAF6CD" w14:textId="77777777" w:rsidR="004D6A64" w:rsidRDefault="00506CD6">
      <w:r>
        <w:rPr>
          <w:rFonts w:ascii="Times New Roman" w:eastAsia="宋体" w:hAnsi="Times New Roman"/>
          <w:color w:val="000000"/>
          <w:sz w:val="20"/>
          <w:szCs w:val="20"/>
        </w:rPr>
        <w:t>To support our ongoing business operations, we rely on operating cash flows as our primary source of liquidity. We monitor the efficiency of our balance sheet to ensure that w</w:t>
      </w:r>
      <w:r>
        <w:rPr>
          <w:rFonts w:ascii="Times New Roman" w:eastAsia="宋体" w:hAnsi="Times New Roman"/>
          <w:color w:val="000000"/>
          <w:sz w:val="20"/>
          <w:szCs w:val="20"/>
        </w:rPr>
        <w:t>e have adequate liquidity to support our strategic initiatives. In addition to internally generated cash, we have access to othe</w:t>
      </w:r>
      <w:r>
        <w:rPr>
          <w:rFonts w:ascii="Times New Roman" w:eastAsia="宋体" w:hAnsi="Times New Roman"/>
          <w:color w:val="000000"/>
          <w:sz w:val="20"/>
          <w:szCs w:val="20"/>
          <w:shd w:val="clear" w:color="auto" w:fill="FFFFFF"/>
        </w:rPr>
        <w:t xml:space="preserve">r capital sources to finance our strategic initiatives and fund growth in our financing operations. </w:t>
      </w:r>
      <w:r>
        <w:rPr>
          <w:rFonts w:ascii="Times New Roman" w:eastAsia="宋体" w:hAnsi="Times New Roman"/>
          <w:color w:val="000000"/>
          <w:sz w:val="20"/>
          <w:szCs w:val="20"/>
        </w:rPr>
        <w:t>Our strategy is to deploy ca</w:t>
      </w:r>
      <w:r>
        <w:rPr>
          <w:rFonts w:ascii="Times New Roman" w:eastAsia="宋体" w:hAnsi="Times New Roman"/>
          <w:color w:val="000000"/>
          <w:sz w:val="20"/>
          <w:szCs w:val="20"/>
        </w:rPr>
        <w:t>pital from any potential source, whether internally generated cash or debt, depending on the adequacy and availability of that source of capital and whether it can be accessed in a cost-effective manner.</w:t>
      </w:r>
    </w:p>
    <w:p w14:paraId="33DAF6CE" w14:textId="77777777" w:rsidR="004D6A64" w:rsidRDefault="004D6A64"/>
    <w:p w14:paraId="33DAF6CF" w14:textId="77777777" w:rsidR="004D6A64" w:rsidRDefault="00506CD6">
      <w:r>
        <w:rPr>
          <w:rFonts w:ascii="Times New Roman" w:eastAsia="宋体" w:hAnsi="Times New Roman"/>
          <w:color w:val="000000"/>
          <w:sz w:val="20"/>
          <w:szCs w:val="20"/>
        </w:rPr>
        <w:t>In this unprecedented environment resulting from th</w:t>
      </w:r>
      <w:r>
        <w:rPr>
          <w:rFonts w:ascii="Times New Roman" w:eastAsia="宋体" w:hAnsi="Times New Roman"/>
          <w:color w:val="000000"/>
          <w:sz w:val="20"/>
          <w:szCs w:val="20"/>
        </w:rPr>
        <w:t xml:space="preserve">e COVID-19 pandemic, we are taking actions to strengthen our cash position and preserve financial flexibility, while continuing to prioritize our debt paydown target for the fiscal year. </w:t>
      </w:r>
    </w:p>
    <w:p w14:paraId="33DAF6D0" w14:textId="77777777" w:rsidR="004D6A64" w:rsidRDefault="004D6A64"/>
    <w:p w14:paraId="33DAF6D1" w14:textId="77777777" w:rsidR="004D6A64" w:rsidRDefault="00506CD6">
      <w:r>
        <w:rPr>
          <w:rFonts w:ascii="Times New Roman" w:eastAsia="宋体" w:hAnsi="Times New Roman"/>
          <w:color w:val="000000"/>
          <w:sz w:val="20"/>
          <w:szCs w:val="20"/>
        </w:rPr>
        <w:t xml:space="preserve">The following table presents our cash and cash equivalents as well </w:t>
      </w:r>
      <w:r>
        <w:rPr>
          <w:rFonts w:ascii="Times New Roman" w:eastAsia="宋体" w:hAnsi="Times New Roman"/>
          <w:color w:val="000000"/>
          <w:sz w:val="20"/>
          <w:szCs w:val="20"/>
        </w:rPr>
        <w:t xml:space="preserve">as our available borrowings as of the dates indicated: </w:t>
      </w:r>
    </w:p>
    <w:tbl>
      <w:tblPr>
        <w:tblW w:w="5000" w:type="pct"/>
        <w:tblCellMar>
          <w:top w:w="15" w:type="dxa"/>
          <w:left w:w="15" w:type="dxa"/>
          <w:bottom w:w="15" w:type="dxa"/>
          <w:right w:w="15" w:type="dxa"/>
        </w:tblCellMar>
        <w:tblLook w:val="04A0" w:firstRow="1" w:lastRow="0" w:firstColumn="1" w:lastColumn="0" w:noHBand="0" w:noVBand="1"/>
      </w:tblPr>
      <w:tblGrid>
        <w:gridCol w:w="39"/>
        <w:gridCol w:w="5275"/>
        <w:gridCol w:w="38"/>
        <w:gridCol w:w="135"/>
        <w:gridCol w:w="1177"/>
        <w:gridCol w:w="41"/>
        <w:gridCol w:w="36"/>
        <w:gridCol w:w="36"/>
        <w:gridCol w:w="36"/>
        <w:gridCol w:w="135"/>
        <w:gridCol w:w="1131"/>
        <w:gridCol w:w="41"/>
        <w:gridCol w:w="36"/>
        <w:gridCol w:w="36"/>
        <w:gridCol w:w="36"/>
        <w:gridCol w:w="36"/>
        <w:gridCol w:w="36"/>
        <w:gridCol w:w="36"/>
      </w:tblGrid>
      <w:tr w:rsidR="004D6A64" w14:paraId="33DAF6DE" w14:textId="77777777">
        <w:trPr>
          <w:gridAfter w:val="6"/>
        </w:trPr>
        <w:tc>
          <w:tcPr>
            <w:tcW w:w="50" w:type="pct"/>
            <w:shd w:val="clear" w:color="auto" w:fill="auto"/>
          </w:tcPr>
          <w:p w14:paraId="33DAF6D2" w14:textId="77777777" w:rsidR="004D6A64" w:rsidRDefault="004D6A64">
            <w:pPr>
              <w:rPr>
                <w:rFonts w:ascii="宋体"/>
              </w:rPr>
            </w:pPr>
          </w:p>
        </w:tc>
        <w:tc>
          <w:tcPr>
            <w:tcW w:w="3285" w:type="pct"/>
            <w:shd w:val="clear" w:color="auto" w:fill="auto"/>
          </w:tcPr>
          <w:p w14:paraId="33DAF6D3" w14:textId="77777777" w:rsidR="004D6A64" w:rsidRDefault="004D6A64">
            <w:pPr>
              <w:rPr>
                <w:rFonts w:ascii="宋体"/>
              </w:rPr>
            </w:pPr>
          </w:p>
        </w:tc>
        <w:tc>
          <w:tcPr>
            <w:tcW w:w="5" w:type="pct"/>
            <w:shd w:val="clear" w:color="auto" w:fill="auto"/>
          </w:tcPr>
          <w:p w14:paraId="33DAF6D4" w14:textId="77777777" w:rsidR="004D6A64" w:rsidRDefault="004D6A64">
            <w:pPr>
              <w:rPr>
                <w:rFonts w:ascii="宋体"/>
              </w:rPr>
            </w:pPr>
          </w:p>
        </w:tc>
        <w:tc>
          <w:tcPr>
            <w:tcW w:w="50" w:type="pct"/>
            <w:shd w:val="clear" w:color="auto" w:fill="auto"/>
          </w:tcPr>
          <w:p w14:paraId="33DAF6D5" w14:textId="77777777" w:rsidR="004D6A64" w:rsidRDefault="004D6A64">
            <w:pPr>
              <w:rPr>
                <w:rFonts w:ascii="宋体"/>
              </w:rPr>
            </w:pPr>
          </w:p>
        </w:tc>
        <w:tc>
          <w:tcPr>
            <w:tcW w:w="756" w:type="pct"/>
            <w:shd w:val="clear" w:color="auto" w:fill="auto"/>
          </w:tcPr>
          <w:p w14:paraId="33DAF6D6" w14:textId="77777777" w:rsidR="004D6A64" w:rsidRDefault="004D6A64">
            <w:pPr>
              <w:rPr>
                <w:rFonts w:ascii="宋体"/>
              </w:rPr>
            </w:pPr>
          </w:p>
        </w:tc>
        <w:tc>
          <w:tcPr>
            <w:tcW w:w="5" w:type="pct"/>
            <w:shd w:val="clear" w:color="auto" w:fill="auto"/>
          </w:tcPr>
          <w:p w14:paraId="33DAF6D7" w14:textId="77777777" w:rsidR="004D6A64" w:rsidRDefault="004D6A64">
            <w:pPr>
              <w:rPr>
                <w:rFonts w:ascii="宋体"/>
              </w:rPr>
            </w:pPr>
          </w:p>
        </w:tc>
        <w:tc>
          <w:tcPr>
            <w:tcW w:w="5" w:type="pct"/>
            <w:shd w:val="clear" w:color="auto" w:fill="auto"/>
          </w:tcPr>
          <w:p w14:paraId="33DAF6D8" w14:textId="77777777" w:rsidR="004D6A64" w:rsidRDefault="004D6A64">
            <w:pPr>
              <w:rPr>
                <w:rFonts w:ascii="宋体"/>
              </w:rPr>
            </w:pPr>
          </w:p>
        </w:tc>
        <w:tc>
          <w:tcPr>
            <w:tcW w:w="26" w:type="pct"/>
            <w:shd w:val="clear" w:color="auto" w:fill="auto"/>
          </w:tcPr>
          <w:p w14:paraId="33DAF6D9" w14:textId="77777777" w:rsidR="004D6A64" w:rsidRDefault="004D6A64">
            <w:pPr>
              <w:rPr>
                <w:rFonts w:ascii="宋体"/>
              </w:rPr>
            </w:pPr>
          </w:p>
        </w:tc>
        <w:tc>
          <w:tcPr>
            <w:tcW w:w="5" w:type="pct"/>
            <w:shd w:val="clear" w:color="auto" w:fill="auto"/>
          </w:tcPr>
          <w:p w14:paraId="33DAF6DA" w14:textId="77777777" w:rsidR="004D6A64" w:rsidRDefault="004D6A64">
            <w:pPr>
              <w:rPr>
                <w:rFonts w:ascii="宋体"/>
              </w:rPr>
            </w:pPr>
          </w:p>
        </w:tc>
        <w:tc>
          <w:tcPr>
            <w:tcW w:w="50" w:type="pct"/>
            <w:shd w:val="clear" w:color="auto" w:fill="auto"/>
          </w:tcPr>
          <w:p w14:paraId="33DAF6DB" w14:textId="77777777" w:rsidR="004D6A64" w:rsidRDefault="004D6A64">
            <w:pPr>
              <w:rPr>
                <w:rFonts w:ascii="宋体"/>
              </w:rPr>
            </w:pPr>
          </w:p>
        </w:tc>
        <w:tc>
          <w:tcPr>
            <w:tcW w:w="756" w:type="pct"/>
            <w:shd w:val="clear" w:color="auto" w:fill="auto"/>
          </w:tcPr>
          <w:p w14:paraId="33DAF6DC" w14:textId="77777777" w:rsidR="004D6A64" w:rsidRDefault="004D6A64">
            <w:pPr>
              <w:rPr>
                <w:rFonts w:ascii="宋体"/>
              </w:rPr>
            </w:pPr>
          </w:p>
        </w:tc>
        <w:tc>
          <w:tcPr>
            <w:tcW w:w="5" w:type="pct"/>
            <w:shd w:val="clear" w:color="auto" w:fill="auto"/>
          </w:tcPr>
          <w:p w14:paraId="33DAF6DD" w14:textId="77777777" w:rsidR="004D6A64" w:rsidRDefault="004D6A64">
            <w:pPr>
              <w:rPr>
                <w:rFonts w:ascii="宋体"/>
              </w:rPr>
            </w:pPr>
          </w:p>
        </w:tc>
      </w:tr>
      <w:tr w:rsidR="004D6A64" w14:paraId="33DAF6E3" w14:textId="77777777">
        <w:trPr>
          <w:gridAfter w:val="6"/>
        </w:trPr>
        <w:tc>
          <w:tcPr>
            <w:tcW w:w="0" w:type="auto"/>
            <w:gridSpan w:val="3"/>
            <w:shd w:val="clear" w:color="auto" w:fill="auto"/>
            <w:tcMar>
              <w:left w:w="20" w:type="dxa"/>
              <w:right w:w="20" w:type="dxa"/>
            </w:tcMar>
            <w:vAlign w:val="bottom"/>
          </w:tcPr>
          <w:p w14:paraId="33DAF6DF"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F6E0"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shd w:val="clear" w:color="auto" w:fill="auto"/>
            <w:tcMar>
              <w:left w:w="20" w:type="dxa"/>
              <w:right w:w="20" w:type="dxa"/>
            </w:tcMar>
            <w:vAlign w:val="bottom"/>
          </w:tcPr>
          <w:p w14:paraId="33DAF6E1" w14:textId="77777777" w:rsidR="004D6A64" w:rsidRDefault="004D6A6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3DAF6E2" w14:textId="77777777" w:rsidR="004D6A64" w:rsidRDefault="00506CD6">
            <w:pPr>
              <w:jc w:val="center"/>
              <w:textAlignment w:val="bottom"/>
            </w:pPr>
            <w:r>
              <w:rPr>
                <w:rFonts w:ascii="Times New Roman" w:eastAsia="宋体" w:hAnsi="Times New Roman"/>
                <w:b/>
                <w:bCs/>
                <w:color w:val="000000"/>
                <w:sz w:val="20"/>
                <w:szCs w:val="20"/>
              </w:rPr>
              <w:t>January 31, 2020</w:t>
            </w:r>
          </w:p>
        </w:tc>
      </w:tr>
      <w:tr w:rsidR="004D6A64" w14:paraId="33DAF6E8" w14:textId="77777777">
        <w:tc>
          <w:tcPr>
            <w:tcW w:w="0" w:type="auto"/>
            <w:gridSpan w:val="3"/>
            <w:shd w:val="clear" w:color="auto" w:fill="auto"/>
            <w:tcMar>
              <w:left w:w="20" w:type="dxa"/>
              <w:right w:w="20" w:type="dxa"/>
            </w:tcMar>
            <w:vAlign w:val="bottom"/>
          </w:tcPr>
          <w:p w14:paraId="33DAF6E4" w14:textId="77777777" w:rsidR="004D6A64" w:rsidRDefault="004D6A6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33DAF6E5" w14:textId="77777777" w:rsidR="004D6A64" w:rsidRDefault="00506CD6">
            <w:pPr>
              <w:jc w:val="center"/>
              <w:textAlignment w:val="center"/>
            </w:pPr>
            <w:r>
              <w:rPr>
                <w:rFonts w:ascii="Times New Roman" w:eastAsia="宋体" w:hAnsi="Times New Roman"/>
                <w:color w:val="000000"/>
                <w:sz w:val="20"/>
                <w:szCs w:val="20"/>
              </w:rPr>
              <w:t>(in millions)</w:t>
            </w:r>
          </w:p>
        </w:tc>
        <w:tc>
          <w:tcPr>
            <w:tcW w:w="0" w:type="auto"/>
            <w:gridSpan w:val="3"/>
            <w:shd w:val="clear" w:color="auto" w:fill="auto"/>
          </w:tcPr>
          <w:p w14:paraId="33DAF6E6" w14:textId="77777777" w:rsidR="004D6A64" w:rsidRDefault="004D6A64">
            <w:pPr>
              <w:rPr>
                <w:rFonts w:ascii="宋体"/>
                <w:vanish/>
              </w:rPr>
            </w:pPr>
          </w:p>
        </w:tc>
        <w:tc>
          <w:tcPr>
            <w:tcW w:w="0" w:type="auto"/>
            <w:gridSpan w:val="3"/>
            <w:shd w:val="clear" w:color="auto" w:fill="auto"/>
          </w:tcPr>
          <w:p w14:paraId="33DAF6E7" w14:textId="77777777" w:rsidR="004D6A64" w:rsidRDefault="004D6A64">
            <w:pPr>
              <w:rPr>
                <w:rFonts w:ascii="宋体"/>
                <w:vanish/>
              </w:rPr>
            </w:pPr>
          </w:p>
        </w:tc>
      </w:tr>
      <w:tr w:rsidR="004D6A64" w14:paraId="33DAF6F3" w14:textId="77777777">
        <w:tc>
          <w:tcPr>
            <w:tcW w:w="0" w:type="auto"/>
            <w:gridSpan w:val="3"/>
            <w:shd w:val="clear" w:color="auto" w:fill="CCEEFF"/>
            <w:tcMar>
              <w:top w:w="40" w:type="dxa"/>
              <w:left w:w="20" w:type="dxa"/>
              <w:bottom w:w="40" w:type="dxa"/>
              <w:right w:w="20" w:type="dxa"/>
            </w:tcMar>
            <w:vAlign w:val="center"/>
          </w:tcPr>
          <w:p w14:paraId="33DAF6E9" w14:textId="77777777" w:rsidR="004D6A64" w:rsidRDefault="00506CD6">
            <w:pPr>
              <w:textAlignment w:val="center"/>
            </w:pPr>
            <w:r>
              <w:rPr>
                <w:rFonts w:ascii="Times New Roman" w:eastAsia="宋体" w:hAnsi="Times New Roman"/>
                <w:i/>
                <w:iCs/>
                <w:color w:val="000000"/>
                <w:sz w:val="20"/>
                <w:szCs w:val="20"/>
              </w:rPr>
              <w:t>Cash and cash equivalents, and available borrowings:</w:t>
            </w:r>
          </w:p>
        </w:tc>
        <w:tc>
          <w:tcPr>
            <w:tcW w:w="0" w:type="auto"/>
            <w:gridSpan w:val="3"/>
            <w:shd w:val="clear" w:color="auto" w:fill="CCEEFF"/>
            <w:tcMar>
              <w:left w:w="20" w:type="dxa"/>
              <w:right w:w="20" w:type="dxa"/>
            </w:tcMar>
            <w:vAlign w:val="bottom"/>
          </w:tcPr>
          <w:p w14:paraId="33DAF6EA"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6EB"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6EC" w14:textId="77777777" w:rsidR="004D6A64" w:rsidRDefault="004D6A64">
            <w:pPr>
              <w:rPr>
                <w:rFonts w:ascii="宋体"/>
              </w:rPr>
            </w:pPr>
          </w:p>
        </w:tc>
        <w:tc>
          <w:tcPr>
            <w:tcW w:w="0" w:type="auto"/>
            <w:shd w:val="clear" w:color="auto" w:fill="auto"/>
          </w:tcPr>
          <w:p w14:paraId="33DAF6ED" w14:textId="77777777" w:rsidR="004D6A64" w:rsidRDefault="004D6A64">
            <w:pPr>
              <w:rPr>
                <w:rFonts w:ascii="宋体"/>
              </w:rPr>
            </w:pPr>
          </w:p>
        </w:tc>
        <w:tc>
          <w:tcPr>
            <w:tcW w:w="0" w:type="auto"/>
            <w:shd w:val="clear" w:color="auto" w:fill="auto"/>
          </w:tcPr>
          <w:p w14:paraId="33DAF6EE" w14:textId="77777777" w:rsidR="004D6A64" w:rsidRDefault="004D6A64">
            <w:pPr>
              <w:rPr>
                <w:rFonts w:ascii="宋体"/>
              </w:rPr>
            </w:pPr>
          </w:p>
        </w:tc>
        <w:tc>
          <w:tcPr>
            <w:tcW w:w="0" w:type="auto"/>
            <w:shd w:val="clear" w:color="auto" w:fill="auto"/>
          </w:tcPr>
          <w:p w14:paraId="33DAF6EF" w14:textId="77777777" w:rsidR="004D6A64" w:rsidRDefault="004D6A64">
            <w:pPr>
              <w:rPr>
                <w:rFonts w:ascii="宋体"/>
              </w:rPr>
            </w:pPr>
          </w:p>
        </w:tc>
        <w:tc>
          <w:tcPr>
            <w:tcW w:w="0" w:type="auto"/>
            <w:shd w:val="clear" w:color="auto" w:fill="auto"/>
          </w:tcPr>
          <w:p w14:paraId="33DAF6F0" w14:textId="77777777" w:rsidR="004D6A64" w:rsidRDefault="004D6A64">
            <w:pPr>
              <w:rPr>
                <w:rFonts w:ascii="宋体"/>
              </w:rPr>
            </w:pPr>
          </w:p>
        </w:tc>
        <w:tc>
          <w:tcPr>
            <w:tcW w:w="0" w:type="auto"/>
            <w:shd w:val="clear" w:color="auto" w:fill="auto"/>
          </w:tcPr>
          <w:p w14:paraId="33DAF6F1" w14:textId="77777777" w:rsidR="004D6A64" w:rsidRDefault="004D6A64">
            <w:pPr>
              <w:rPr>
                <w:rFonts w:ascii="宋体"/>
              </w:rPr>
            </w:pPr>
          </w:p>
        </w:tc>
        <w:tc>
          <w:tcPr>
            <w:tcW w:w="0" w:type="auto"/>
            <w:shd w:val="clear" w:color="auto" w:fill="auto"/>
          </w:tcPr>
          <w:p w14:paraId="33DAF6F2" w14:textId="77777777" w:rsidR="004D6A64" w:rsidRDefault="004D6A64">
            <w:pPr>
              <w:rPr>
                <w:rFonts w:ascii="宋体"/>
              </w:rPr>
            </w:pPr>
          </w:p>
        </w:tc>
      </w:tr>
      <w:tr w:rsidR="004D6A64" w14:paraId="33DAF702" w14:textId="77777777">
        <w:tc>
          <w:tcPr>
            <w:tcW w:w="0" w:type="auto"/>
            <w:gridSpan w:val="3"/>
            <w:shd w:val="clear" w:color="auto" w:fill="FFFFFF"/>
            <w:tcMar>
              <w:top w:w="40" w:type="dxa"/>
              <w:left w:w="225" w:type="dxa"/>
              <w:bottom w:w="40" w:type="dxa"/>
              <w:right w:w="20" w:type="dxa"/>
            </w:tcMar>
            <w:vAlign w:val="center"/>
          </w:tcPr>
          <w:p w14:paraId="33DAF6F4" w14:textId="77777777" w:rsidR="004D6A64" w:rsidRDefault="00506CD6">
            <w:pPr>
              <w:textAlignment w:val="center"/>
            </w:pPr>
            <w:r>
              <w:rPr>
                <w:rFonts w:ascii="Times New Roman" w:eastAsia="宋体" w:hAnsi="Times New Roman"/>
                <w:color w:val="000000"/>
                <w:sz w:val="20"/>
                <w:szCs w:val="20"/>
              </w:rPr>
              <w:t>Cash and cash equivalents (a)</w:t>
            </w:r>
          </w:p>
        </w:tc>
        <w:tc>
          <w:tcPr>
            <w:tcW w:w="0" w:type="auto"/>
            <w:shd w:val="clear" w:color="auto" w:fill="FFFFFF"/>
            <w:tcMar>
              <w:top w:w="40" w:type="dxa"/>
              <w:left w:w="20" w:type="dxa"/>
              <w:bottom w:w="40" w:type="dxa"/>
            </w:tcMar>
            <w:vAlign w:val="center"/>
          </w:tcPr>
          <w:p w14:paraId="33DAF6F5"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F6F6" w14:textId="77777777" w:rsidR="004D6A64" w:rsidRDefault="00506CD6">
            <w:pPr>
              <w:jc w:val="right"/>
              <w:textAlignment w:val="center"/>
            </w:pPr>
            <w:r>
              <w:rPr>
                <w:rFonts w:ascii="Times New Roman" w:eastAsia="宋体" w:hAnsi="Times New Roman"/>
                <w:color w:val="000000"/>
                <w:sz w:val="20"/>
                <w:szCs w:val="20"/>
              </w:rPr>
              <w:t>11,221 </w:t>
            </w:r>
          </w:p>
        </w:tc>
        <w:tc>
          <w:tcPr>
            <w:tcW w:w="0" w:type="auto"/>
            <w:shd w:val="clear" w:color="auto" w:fill="FFFFFF"/>
            <w:tcMar>
              <w:top w:w="40" w:type="dxa"/>
              <w:bottom w:w="40" w:type="dxa"/>
              <w:right w:w="20" w:type="dxa"/>
            </w:tcMar>
            <w:vAlign w:val="center"/>
          </w:tcPr>
          <w:p w14:paraId="33DAF6F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6F8"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F6F9"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F6FA" w14:textId="77777777" w:rsidR="004D6A64" w:rsidRDefault="00506CD6">
            <w:pPr>
              <w:jc w:val="right"/>
              <w:textAlignment w:val="center"/>
            </w:pPr>
            <w:r>
              <w:rPr>
                <w:rFonts w:ascii="Times New Roman" w:eastAsia="宋体" w:hAnsi="Times New Roman"/>
                <w:color w:val="000000"/>
                <w:sz w:val="20"/>
                <w:szCs w:val="20"/>
              </w:rPr>
              <w:t>9,302 </w:t>
            </w:r>
          </w:p>
        </w:tc>
        <w:tc>
          <w:tcPr>
            <w:tcW w:w="0" w:type="auto"/>
            <w:shd w:val="clear" w:color="auto" w:fill="FFFFFF"/>
            <w:tcMar>
              <w:top w:w="40" w:type="dxa"/>
              <w:bottom w:w="40" w:type="dxa"/>
              <w:right w:w="20" w:type="dxa"/>
            </w:tcMar>
            <w:vAlign w:val="center"/>
          </w:tcPr>
          <w:p w14:paraId="33DAF6FB" w14:textId="77777777" w:rsidR="004D6A64" w:rsidRDefault="004D6A64">
            <w:pPr>
              <w:jc w:val="right"/>
              <w:rPr>
                <w:rFonts w:ascii="宋体"/>
              </w:rPr>
            </w:pPr>
          </w:p>
        </w:tc>
        <w:tc>
          <w:tcPr>
            <w:tcW w:w="0" w:type="auto"/>
            <w:shd w:val="clear" w:color="auto" w:fill="auto"/>
          </w:tcPr>
          <w:p w14:paraId="33DAF6FC" w14:textId="77777777" w:rsidR="004D6A64" w:rsidRDefault="004D6A64">
            <w:pPr>
              <w:rPr>
                <w:rFonts w:ascii="宋体"/>
              </w:rPr>
            </w:pPr>
          </w:p>
        </w:tc>
        <w:tc>
          <w:tcPr>
            <w:tcW w:w="0" w:type="auto"/>
            <w:shd w:val="clear" w:color="auto" w:fill="auto"/>
          </w:tcPr>
          <w:p w14:paraId="33DAF6FD" w14:textId="77777777" w:rsidR="004D6A64" w:rsidRDefault="004D6A64">
            <w:pPr>
              <w:rPr>
                <w:rFonts w:ascii="宋体"/>
              </w:rPr>
            </w:pPr>
          </w:p>
        </w:tc>
        <w:tc>
          <w:tcPr>
            <w:tcW w:w="0" w:type="auto"/>
            <w:shd w:val="clear" w:color="auto" w:fill="auto"/>
          </w:tcPr>
          <w:p w14:paraId="33DAF6FE" w14:textId="77777777" w:rsidR="004D6A64" w:rsidRDefault="004D6A64">
            <w:pPr>
              <w:rPr>
                <w:rFonts w:ascii="宋体"/>
              </w:rPr>
            </w:pPr>
          </w:p>
        </w:tc>
        <w:tc>
          <w:tcPr>
            <w:tcW w:w="0" w:type="auto"/>
            <w:shd w:val="clear" w:color="auto" w:fill="auto"/>
          </w:tcPr>
          <w:p w14:paraId="33DAF6FF" w14:textId="77777777" w:rsidR="004D6A64" w:rsidRDefault="004D6A64">
            <w:pPr>
              <w:rPr>
                <w:rFonts w:ascii="宋体"/>
              </w:rPr>
            </w:pPr>
          </w:p>
        </w:tc>
        <w:tc>
          <w:tcPr>
            <w:tcW w:w="0" w:type="auto"/>
            <w:shd w:val="clear" w:color="auto" w:fill="auto"/>
          </w:tcPr>
          <w:p w14:paraId="33DAF700" w14:textId="77777777" w:rsidR="004D6A64" w:rsidRDefault="004D6A64">
            <w:pPr>
              <w:rPr>
                <w:rFonts w:ascii="宋体"/>
              </w:rPr>
            </w:pPr>
          </w:p>
        </w:tc>
        <w:tc>
          <w:tcPr>
            <w:tcW w:w="0" w:type="auto"/>
            <w:shd w:val="clear" w:color="auto" w:fill="auto"/>
          </w:tcPr>
          <w:p w14:paraId="33DAF701" w14:textId="77777777" w:rsidR="004D6A64" w:rsidRDefault="004D6A64">
            <w:pPr>
              <w:rPr>
                <w:rFonts w:ascii="宋体"/>
              </w:rPr>
            </w:pPr>
          </w:p>
        </w:tc>
      </w:tr>
      <w:tr w:rsidR="004D6A64" w14:paraId="33DAF70F" w14:textId="77777777">
        <w:tc>
          <w:tcPr>
            <w:tcW w:w="0" w:type="auto"/>
            <w:gridSpan w:val="3"/>
            <w:shd w:val="clear" w:color="auto" w:fill="CCEEFF"/>
            <w:tcMar>
              <w:top w:w="40" w:type="dxa"/>
              <w:left w:w="225" w:type="dxa"/>
              <w:bottom w:w="40" w:type="dxa"/>
              <w:right w:w="20" w:type="dxa"/>
            </w:tcMar>
            <w:vAlign w:val="center"/>
          </w:tcPr>
          <w:p w14:paraId="33DAF703" w14:textId="77777777" w:rsidR="004D6A64" w:rsidRDefault="00506CD6">
            <w:pPr>
              <w:textAlignment w:val="center"/>
            </w:pPr>
            <w:r>
              <w:rPr>
                <w:rFonts w:ascii="Times New Roman" w:eastAsia="宋体" w:hAnsi="Times New Roman"/>
                <w:color w:val="000000"/>
                <w:sz w:val="20"/>
                <w:szCs w:val="20"/>
              </w:rPr>
              <w:t>Remaining available borrowings under revolving credit facilities</w:t>
            </w:r>
          </w:p>
        </w:tc>
        <w:tc>
          <w:tcPr>
            <w:tcW w:w="0" w:type="auto"/>
            <w:gridSpan w:val="2"/>
            <w:shd w:val="clear" w:color="auto" w:fill="CCEEFF"/>
            <w:tcMar>
              <w:top w:w="40" w:type="dxa"/>
              <w:left w:w="20" w:type="dxa"/>
              <w:bottom w:w="40" w:type="dxa"/>
              <w:right w:w="0" w:type="dxa"/>
            </w:tcMar>
            <w:vAlign w:val="center"/>
          </w:tcPr>
          <w:p w14:paraId="33DAF704" w14:textId="77777777" w:rsidR="004D6A64" w:rsidRDefault="00506CD6">
            <w:pPr>
              <w:jc w:val="right"/>
              <w:textAlignment w:val="center"/>
            </w:pPr>
            <w:r>
              <w:rPr>
                <w:rFonts w:ascii="Times New Roman" w:eastAsia="宋体" w:hAnsi="Times New Roman"/>
                <w:color w:val="000000"/>
                <w:sz w:val="20"/>
                <w:szCs w:val="20"/>
              </w:rPr>
              <w:t>5,871 </w:t>
            </w:r>
          </w:p>
        </w:tc>
        <w:tc>
          <w:tcPr>
            <w:tcW w:w="0" w:type="auto"/>
            <w:shd w:val="clear" w:color="auto" w:fill="CCEEFF"/>
            <w:tcMar>
              <w:top w:w="40" w:type="dxa"/>
              <w:bottom w:w="40" w:type="dxa"/>
              <w:right w:w="20" w:type="dxa"/>
            </w:tcMar>
            <w:vAlign w:val="center"/>
          </w:tcPr>
          <w:p w14:paraId="33DAF70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70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707" w14:textId="77777777" w:rsidR="004D6A64" w:rsidRDefault="00506CD6">
            <w:pPr>
              <w:jc w:val="right"/>
              <w:textAlignment w:val="center"/>
            </w:pPr>
            <w:r>
              <w:rPr>
                <w:rFonts w:ascii="Times New Roman" w:eastAsia="宋体" w:hAnsi="Times New Roman"/>
                <w:color w:val="000000"/>
                <w:sz w:val="20"/>
                <w:szCs w:val="20"/>
              </w:rPr>
              <w:t>5,972 </w:t>
            </w:r>
          </w:p>
        </w:tc>
        <w:tc>
          <w:tcPr>
            <w:tcW w:w="0" w:type="auto"/>
            <w:shd w:val="clear" w:color="auto" w:fill="CCEEFF"/>
            <w:tcMar>
              <w:top w:w="40" w:type="dxa"/>
              <w:bottom w:w="40" w:type="dxa"/>
              <w:right w:w="20" w:type="dxa"/>
            </w:tcMar>
            <w:vAlign w:val="center"/>
          </w:tcPr>
          <w:p w14:paraId="33DAF708" w14:textId="77777777" w:rsidR="004D6A64" w:rsidRDefault="004D6A64">
            <w:pPr>
              <w:jc w:val="right"/>
              <w:rPr>
                <w:rFonts w:ascii="宋体"/>
              </w:rPr>
            </w:pPr>
          </w:p>
        </w:tc>
        <w:tc>
          <w:tcPr>
            <w:tcW w:w="0" w:type="auto"/>
            <w:shd w:val="clear" w:color="auto" w:fill="auto"/>
          </w:tcPr>
          <w:p w14:paraId="33DAF709" w14:textId="77777777" w:rsidR="004D6A64" w:rsidRDefault="004D6A64">
            <w:pPr>
              <w:rPr>
                <w:rFonts w:ascii="宋体"/>
              </w:rPr>
            </w:pPr>
          </w:p>
        </w:tc>
        <w:tc>
          <w:tcPr>
            <w:tcW w:w="0" w:type="auto"/>
            <w:shd w:val="clear" w:color="auto" w:fill="auto"/>
          </w:tcPr>
          <w:p w14:paraId="33DAF70A" w14:textId="77777777" w:rsidR="004D6A64" w:rsidRDefault="004D6A64">
            <w:pPr>
              <w:rPr>
                <w:rFonts w:ascii="宋体"/>
              </w:rPr>
            </w:pPr>
          </w:p>
        </w:tc>
        <w:tc>
          <w:tcPr>
            <w:tcW w:w="0" w:type="auto"/>
            <w:shd w:val="clear" w:color="auto" w:fill="auto"/>
          </w:tcPr>
          <w:p w14:paraId="33DAF70B" w14:textId="77777777" w:rsidR="004D6A64" w:rsidRDefault="004D6A64">
            <w:pPr>
              <w:rPr>
                <w:rFonts w:ascii="宋体"/>
              </w:rPr>
            </w:pPr>
          </w:p>
        </w:tc>
        <w:tc>
          <w:tcPr>
            <w:tcW w:w="0" w:type="auto"/>
            <w:shd w:val="clear" w:color="auto" w:fill="auto"/>
          </w:tcPr>
          <w:p w14:paraId="33DAF70C" w14:textId="77777777" w:rsidR="004D6A64" w:rsidRDefault="004D6A64">
            <w:pPr>
              <w:rPr>
                <w:rFonts w:ascii="宋体"/>
              </w:rPr>
            </w:pPr>
          </w:p>
        </w:tc>
        <w:tc>
          <w:tcPr>
            <w:tcW w:w="0" w:type="auto"/>
            <w:shd w:val="clear" w:color="auto" w:fill="auto"/>
          </w:tcPr>
          <w:p w14:paraId="33DAF70D" w14:textId="77777777" w:rsidR="004D6A64" w:rsidRDefault="004D6A64">
            <w:pPr>
              <w:rPr>
                <w:rFonts w:ascii="宋体"/>
              </w:rPr>
            </w:pPr>
          </w:p>
        </w:tc>
        <w:tc>
          <w:tcPr>
            <w:tcW w:w="0" w:type="auto"/>
            <w:shd w:val="clear" w:color="auto" w:fill="auto"/>
          </w:tcPr>
          <w:p w14:paraId="33DAF70E" w14:textId="77777777" w:rsidR="004D6A64" w:rsidRDefault="004D6A64">
            <w:pPr>
              <w:rPr>
                <w:rFonts w:ascii="宋体"/>
              </w:rPr>
            </w:pPr>
          </w:p>
        </w:tc>
      </w:tr>
      <w:tr w:rsidR="004D6A64" w14:paraId="33DAF71E" w14:textId="77777777">
        <w:tc>
          <w:tcPr>
            <w:tcW w:w="0" w:type="auto"/>
            <w:gridSpan w:val="3"/>
            <w:shd w:val="clear" w:color="auto" w:fill="FFFFFF"/>
            <w:tcMar>
              <w:top w:w="40" w:type="dxa"/>
              <w:left w:w="360" w:type="dxa"/>
              <w:bottom w:w="40" w:type="dxa"/>
              <w:right w:w="20" w:type="dxa"/>
            </w:tcMar>
            <w:vAlign w:val="center"/>
          </w:tcPr>
          <w:p w14:paraId="33DAF710" w14:textId="77777777" w:rsidR="004D6A64" w:rsidRDefault="00506CD6">
            <w:pPr>
              <w:textAlignment w:val="center"/>
            </w:pPr>
            <w:r>
              <w:rPr>
                <w:rFonts w:ascii="Times New Roman" w:eastAsia="宋体" w:hAnsi="Times New Roman"/>
                <w:color w:val="000000"/>
                <w:sz w:val="20"/>
                <w:szCs w:val="20"/>
              </w:rPr>
              <w:t>Total cash, cash equivalents, and available borrowings</w:t>
            </w: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F711"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F712" w14:textId="77777777" w:rsidR="004D6A64" w:rsidRDefault="00506CD6">
            <w:pPr>
              <w:jc w:val="right"/>
              <w:textAlignment w:val="center"/>
            </w:pPr>
            <w:r>
              <w:rPr>
                <w:rFonts w:ascii="Times New Roman" w:eastAsia="宋体" w:hAnsi="Times New Roman"/>
                <w:color w:val="000000"/>
                <w:sz w:val="20"/>
                <w:szCs w:val="20"/>
              </w:rPr>
              <w:t>17,092 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F71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714"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F715"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F716" w14:textId="77777777" w:rsidR="004D6A64" w:rsidRDefault="00506CD6">
            <w:pPr>
              <w:jc w:val="right"/>
              <w:textAlignment w:val="center"/>
            </w:pPr>
            <w:r>
              <w:rPr>
                <w:rFonts w:ascii="Times New Roman" w:eastAsia="宋体" w:hAnsi="Times New Roman"/>
                <w:color w:val="000000"/>
                <w:sz w:val="20"/>
                <w:szCs w:val="20"/>
              </w:rPr>
              <w:t>15,274 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F717" w14:textId="77777777" w:rsidR="004D6A64" w:rsidRDefault="004D6A64">
            <w:pPr>
              <w:jc w:val="right"/>
              <w:rPr>
                <w:rFonts w:ascii="宋体"/>
              </w:rPr>
            </w:pPr>
          </w:p>
        </w:tc>
        <w:tc>
          <w:tcPr>
            <w:tcW w:w="0" w:type="auto"/>
            <w:shd w:val="clear" w:color="auto" w:fill="auto"/>
          </w:tcPr>
          <w:p w14:paraId="33DAF718" w14:textId="77777777" w:rsidR="004D6A64" w:rsidRDefault="004D6A64">
            <w:pPr>
              <w:rPr>
                <w:rFonts w:ascii="宋体"/>
              </w:rPr>
            </w:pPr>
          </w:p>
        </w:tc>
        <w:tc>
          <w:tcPr>
            <w:tcW w:w="0" w:type="auto"/>
            <w:shd w:val="clear" w:color="auto" w:fill="auto"/>
          </w:tcPr>
          <w:p w14:paraId="33DAF719" w14:textId="77777777" w:rsidR="004D6A64" w:rsidRDefault="004D6A64">
            <w:pPr>
              <w:rPr>
                <w:rFonts w:ascii="宋体"/>
              </w:rPr>
            </w:pPr>
          </w:p>
        </w:tc>
        <w:tc>
          <w:tcPr>
            <w:tcW w:w="0" w:type="auto"/>
            <w:shd w:val="clear" w:color="auto" w:fill="auto"/>
          </w:tcPr>
          <w:p w14:paraId="33DAF71A" w14:textId="77777777" w:rsidR="004D6A64" w:rsidRDefault="004D6A64">
            <w:pPr>
              <w:rPr>
                <w:rFonts w:ascii="宋体"/>
              </w:rPr>
            </w:pPr>
          </w:p>
        </w:tc>
        <w:tc>
          <w:tcPr>
            <w:tcW w:w="0" w:type="auto"/>
            <w:shd w:val="clear" w:color="auto" w:fill="auto"/>
          </w:tcPr>
          <w:p w14:paraId="33DAF71B" w14:textId="77777777" w:rsidR="004D6A64" w:rsidRDefault="004D6A64">
            <w:pPr>
              <w:rPr>
                <w:rFonts w:ascii="宋体"/>
              </w:rPr>
            </w:pPr>
          </w:p>
        </w:tc>
        <w:tc>
          <w:tcPr>
            <w:tcW w:w="0" w:type="auto"/>
            <w:shd w:val="clear" w:color="auto" w:fill="auto"/>
          </w:tcPr>
          <w:p w14:paraId="33DAF71C" w14:textId="77777777" w:rsidR="004D6A64" w:rsidRDefault="004D6A64">
            <w:pPr>
              <w:rPr>
                <w:rFonts w:ascii="宋体"/>
              </w:rPr>
            </w:pPr>
          </w:p>
        </w:tc>
        <w:tc>
          <w:tcPr>
            <w:tcW w:w="0" w:type="auto"/>
            <w:shd w:val="clear" w:color="auto" w:fill="auto"/>
          </w:tcPr>
          <w:p w14:paraId="33DAF71D" w14:textId="77777777" w:rsidR="004D6A64" w:rsidRDefault="004D6A64">
            <w:pPr>
              <w:rPr>
                <w:rFonts w:ascii="宋体"/>
              </w:rPr>
            </w:pPr>
          </w:p>
        </w:tc>
      </w:tr>
    </w:tbl>
    <w:p w14:paraId="33DAF71F" w14:textId="77777777" w:rsidR="004D6A64" w:rsidRDefault="00506CD6">
      <w:r>
        <w:rPr>
          <w:rFonts w:ascii="Times New Roman" w:eastAsia="宋体" w:hAnsi="Times New Roman"/>
          <w:color w:val="000000"/>
          <w:sz w:val="20"/>
          <w:szCs w:val="20"/>
        </w:rPr>
        <w:t>____________________</w:t>
      </w:r>
    </w:p>
    <w:p w14:paraId="33DAF720" w14:textId="77777777" w:rsidR="004D6A64" w:rsidRDefault="00506CD6">
      <w:pPr>
        <w:pBdr>
          <w:left w:val="none" w:sz="0" w:space="0" w:color="auto"/>
        </w:pBdr>
        <w:ind w:hanging="360"/>
      </w:pPr>
      <w:r>
        <w:rPr>
          <w:rFonts w:ascii="Times New Roman" w:eastAsia="宋体" w:hAnsi="Times New Roman"/>
          <w:color w:val="000000"/>
          <w:sz w:val="20"/>
          <w:szCs w:val="20"/>
        </w:rPr>
        <w:t xml:space="preserve">(a) Of the $11.2 billion of cash and cash </w:t>
      </w:r>
      <w:r>
        <w:rPr>
          <w:rFonts w:ascii="Times New Roman" w:eastAsia="宋体" w:hAnsi="Times New Roman"/>
          <w:color w:val="000000"/>
          <w:sz w:val="20"/>
          <w:szCs w:val="20"/>
        </w:rPr>
        <w:t>equivalents as of July 31, 2020, $4.7 billion was held by VMware, Inc.</w:t>
      </w:r>
    </w:p>
    <w:p w14:paraId="33DAF721" w14:textId="77777777" w:rsidR="004D6A64" w:rsidRDefault="004D6A64">
      <w:pPr>
        <w:pBdr>
          <w:left w:val="none" w:sz="0" w:space="0" w:color="auto"/>
        </w:pBdr>
        <w:ind w:hanging="360"/>
      </w:pPr>
    </w:p>
    <w:p w14:paraId="33DAF722" w14:textId="77777777" w:rsidR="004D6A64" w:rsidRDefault="00506CD6">
      <w:r>
        <w:rPr>
          <w:rFonts w:ascii="Times New Roman" w:eastAsia="宋体" w:hAnsi="Times New Roman"/>
          <w:color w:val="000000"/>
          <w:sz w:val="20"/>
          <w:szCs w:val="20"/>
        </w:rPr>
        <w:t xml:space="preserve">Our revolving credit facilities as of July 31, 2020 include the Revolving Credit Facility and the China Revolving Credit Facility, which we entered into on May 25, 2020. The Revolving </w:t>
      </w:r>
      <w:r>
        <w:rPr>
          <w:rFonts w:ascii="Times New Roman" w:eastAsia="宋体" w:hAnsi="Times New Roman"/>
          <w:color w:val="000000"/>
          <w:sz w:val="20"/>
          <w:szCs w:val="20"/>
        </w:rPr>
        <w:t xml:space="preserve">Credit Facility has a maximum aggregate borrowing capacity of $4.5 billion, and available borrowings </w:t>
      </w:r>
      <w:r>
        <w:rPr>
          <w:rFonts w:ascii="Times New Roman" w:eastAsia="宋体" w:hAnsi="Times New Roman"/>
          <w:color w:val="000000"/>
          <w:sz w:val="20"/>
          <w:szCs w:val="20"/>
          <w:shd w:val="clear" w:color="auto" w:fill="FFFFFF"/>
        </w:rPr>
        <w:t xml:space="preserve">under this facility are reduced by draws on the facility and outstanding letters of credit. </w:t>
      </w:r>
      <w:r>
        <w:rPr>
          <w:rFonts w:ascii="Times New Roman" w:eastAsia="宋体" w:hAnsi="Times New Roman"/>
          <w:color w:val="000000"/>
          <w:sz w:val="20"/>
          <w:szCs w:val="20"/>
        </w:rPr>
        <w:t>As of July 31, 2020, there were no borrowings outstanding under</w:t>
      </w:r>
      <w:r>
        <w:rPr>
          <w:rFonts w:ascii="Times New Roman" w:eastAsia="宋体" w:hAnsi="Times New Roman"/>
          <w:color w:val="000000"/>
          <w:sz w:val="20"/>
          <w:szCs w:val="20"/>
        </w:rPr>
        <w:t xml:space="preserve"> the facility and remaining available borrowings totaled approximately $4.5 billion. The terms of the China Revolving Credit Facility provide for collateralized and non-collateralized </w:t>
      </w:r>
    </w:p>
    <w:p w14:paraId="33DAF723" w14:textId="77777777" w:rsidR="004D6A64" w:rsidRDefault="004D6A64">
      <w:pPr>
        <w:jc w:val="center"/>
      </w:pPr>
    </w:p>
    <w:p w14:paraId="33DAF724" w14:textId="77777777" w:rsidR="004D6A64" w:rsidRDefault="00506CD6">
      <w:pPr>
        <w:jc w:val="center"/>
      </w:pPr>
      <w:r>
        <w:rPr>
          <w:rFonts w:ascii="Times New Roman" w:eastAsia="宋体" w:hAnsi="Times New Roman"/>
          <w:color w:val="000000"/>
          <w:sz w:val="20"/>
          <w:szCs w:val="20"/>
        </w:rPr>
        <w:t>89</w:t>
      </w:r>
    </w:p>
    <w:p w14:paraId="33DAF725" w14:textId="77777777" w:rsidR="004D6A64" w:rsidRDefault="004D6A64">
      <w:pPr>
        <w:jc w:val="center"/>
      </w:pPr>
    </w:p>
    <w:p w14:paraId="33DAF726" w14:textId="77777777" w:rsidR="004D6A64" w:rsidRDefault="00506CD6">
      <w:r>
        <w:pict w14:anchorId="33DAFB1D">
          <v:rect id="_x0000_i1113" style="width:415.3pt;height:1.5pt" o:hralign="center" o:hrstd="t" o:hr="t" fillcolor="#a0a0a0" stroked="f"/>
        </w:pict>
      </w:r>
    </w:p>
    <w:p w14:paraId="33DAF727" w14:textId="77777777" w:rsidR="004D6A64" w:rsidRDefault="00506CD6">
      <w:hyperlink r:id="rId212" w:anchor="if3e0e1bf9ecd4bf69551d7a85f98d64a_10" w:history="1">
        <w:r>
          <w:rPr>
            <w:rStyle w:val="a5"/>
            <w:rFonts w:ascii="Times New Roman" w:eastAsia="宋体" w:hAnsi="Times New Roman"/>
            <w:sz w:val="20"/>
            <w:szCs w:val="20"/>
          </w:rPr>
          <w:t>Table of Contents</w:t>
        </w:r>
      </w:hyperlink>
    </w:p>
    <w:p w14:paraId="33DAF728" w14:textId="77777777" w:rsidR="004D6A64" w:rsidRDefault="00506CD6">
      <w:r>
        <w:rPr>
          <w:rFonts w:ascii="Times New Roman" w:eastAsia="宋体" w:hAnsi="Times New Roman"/>
          <w:color w:val="000000"/>
          <w:sz w:val="20"/>
          <w:szCs w:val="20"/>
        </w:rPr>
        <w:t>principal amounts not to exceed $1.0 billion Chinese renminbi and $1.8 billion Chinese renminbi, respectively, or equivalent amounts in U.S. dollars</w:t>
      </w:r>
      <w:r>
        <w:rPr>
          <w:rFonts w:ascii="Times New Roman" w:eastAsia="宋体" w:hAnsi="Times New Roman"/>
          <w:color w:val="000000"/>
          <w:sz w:val="20"/>
          <w:szCs w:val="20"/>
        </w:rPr>
        <w:t xml:space="preserve">. As of July 31, 2020, there were no borrowings outstanding under the facility and remaining available borrowings totaled approximately $2.8 billion Chinese renminbi or equivalent amounts in U.S. dollars. We may regularly use our available borrowings from </w:t>
      </w:r>
      <w:r>
        <w:rPr>
          <w:rFonts w:ascii="Times New Roman" w:eastAsia="宋体" w:hAnsi="Times New Roman"/>
          <w:color w:val="000000"/>
          <w:sz w:val="20"/>
          <w:szCs w:val="20"/>
        </w:rPr>
        <w:t xml:space="preserve">both our Revolving Credit Facility and our China Revolving Credit Facility on a short-term basis for general corporate purposes. </w:t>
      </w:r>
    </w:p>
    <w:p w14:paraId="33DAF729" w14:textId="77777777" w:rsidR="004D6A64" w:rsidRDefault="004D6A64"/>
    <w:p w14:paraId="33DAF72A" w14:textId="77777777" w:rsidR="004D6A64" w:rsidRDefault="00506CD6">
      <w:r>
        <w:rPr>
          <w:rFonts w:ascii="Times New Roman" w:eastAsia="宋体" w:hAnsi="Times New Roman"/>
          <w:color w:val="000000"/>
          <w:sz w:val="20"/>
          <w:szCs w:val="20"/>
        </w:rPr>
        <w:t xml:space="preserve">The VMware Revolving Credit Facility has a maximum capacity of $1.0 billion. As of July 31, 2020, $1.0 billion was available </w:t>
      </w:r>
      <w:r>
        <w:rPr>
          <w:rFonts w:ascii="Times New Roman" w:eastAsia="宋体" w:hAnsi="Times New Roman"/>
          <w:color w:val="000000"/>
          <w:sz w:val="20"/>
          <w:szCs w:val="20"/>
        </w:rPr>
        <w:t>under the VMware Revolving Credit Facility. None of the net proceeds of borrowings under the VMware Revolving Credit Facility will be made available to support the operations or satisfy any corporate purposes of Dell Technologies, other than the operations</w:t>
      </w:r>
      <w:r>
        <w:rPr>
          <w:rFonts w:ascii="Times New Roman" w:eastAsia="宋体" w:hAnsi="Times New Roman"/>
          <w:color w:val="000000"/>
          <w:sz w:val="20"/>
          <w:szCs w:val="20"/>
        </w:rPr>
        <w:t xml:space="preserve"> and corporate purposes of VMware, Inc. and VMware, Inc.’s subsidiaries.</w:t>
      </w:r>
    </w:p>
    <w:p w14:paraId="33DAF72B" w14:textId="77777777" w:rsidR="004D6A64" w:rsidRDefault="004D6A64"/>
    <w:p w14:paraId="33DAF72C" w14:textId="77777777" w:rsidR="004D6A64" w:rsidRDefault="00506CD6">
      <w:r>
        <w:rPr>
          <w:rFonts w:ascii="Times New Roman" w:eastAsia="宋体" w:hAnsi="Times New Roman"/>
          <w:color w:val="000000"/>
          <w:sz w:val="20"/>
          <w:szCs w:val="20"/>
        </w:rPr>
        <w:t>See Note 6 of the Notes to the Condensed Consolidated Financial Statements included in this report for additional information about each of the foregoing revolving credit facilities.</w:t>
      </w:r>
    </w:p>
    <w:p w14:paraId="33DAF72D" w14:textId="77777777" w:rsidR="004D6A64" w:rsidRDefault="004D6A64"/>
    <w:p w14:paraId="33DAF72E" w14:textId="77777777" w:rsidR="004D6A64" w:rsidRDefault="00506CD6">
      <w:r>
        <w:rPr>
          <w:rFonts w:ascii="Times New Roman" w:eastAsia="宋体" w:hAnsi="Times New Roman"/>
          <w:color w:val="000000"/>
          <w:sz w:val="20"/>
          <w:szCs w:val="20"/>
        </w:rPr>
        <w:t>We believe that our current cash and cash equivalents, together with cash that will be provided by future operations and borrowings expected to be available under our revolving credit facilities, will be sufficient over at least the next twelve months to</w:t>
      </w:r>
      <w:r>
        <w:rPr>
          <w:rFonts w:ascii="Times New Roman" w:eastAsia="宋体" w:hAnsi="Times New Roman"/>
          <w:color w:val="000000"/>
          <w:sz w:val="20"/>
          <w:szCs w:val="20"/>
        </w:rPr>
        <w:t xml:space="preserve"> fund our operations, debt service requirements and maturities, capital expenditures, share repurchases, and other corporate needs.</w:t>
      </w:r>
    </w:p>
    <w:p w14:paraId="33DAF72F" w14:textId="77777777" w:rsidR="004D6A64" w:rsidRDefault="004D6A64"/>
    <w:p w14:paraId="33DAF730" w14:textId="77777777" w:rsidR="004D6A64" w:rsidRDefault="00506CD6">
      <w:r>
        <w:rPr>
          <w:rFonts w:ascii="Times New Roman" w:eastAsia="宋体" w:hAnsi="Times New Roman"/>
          <w:i/>
          <w:iCs/>
          <w:color w:val="000000"/>
          <w:sz w:val="20"/>
          <w:szCs w:val="20"/>
          <w:u w:val="single"/>
        </w:rPr>
        <w:t>Debt</w:t>
      </w:r>
    </w:p>
    <w:p w14:paraId="33DAF731" w14:textId="77777777" w:rsidR="004D6A64" w:rsidRDefault="004D6A64"/>
    <w:p w14:paraId="33DAF732" w14:textId="77777777" w:rsidR="004D6A64" w:rsidRDefault="00506CD6">
      <w:r>
        <w:rPr>
          <w:rFonts w:ascii="Times New Roman" w:eastAsia="宋体" w:hAnsi="Times New Roman"/>
          <w:color w:val="000000"/>
          <w:sz w:val="20"/>
          <w:szCs w:val="20"/>
        </w:rPr>
        <w:t>The following table summarizes our outstanding debt as of the dates indicated:</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3960"/>
        <w:gridCol w:w="39"/>
        <w:gridCol w:w="135"/>
        <w:gridCol w:w="1101"/>
        <w:gridCol w:w="41"/>
        <w:gridCol w:w="36"/>
        <w:gridCol w:w="36"/>
        <w:gridCol w:w="36"/>
        <w:gridCol w:w="136"/>
        <w:gridCol w:w="1038"/>
        <w:gridCol w:w="41"/>
        <w:gridCol w:w="36"/>
        <w:gridCol w:w="36"/>
        <w:gridCol w:w="36"/>
        <w:gridCol w:w="135"/>
        <w:gridCol w:w="969"/>
        <w:gridCol w:w="41"/>
        <w:gridCol w:w="36"/>
        <w:gridCol w:w="36"/>
        <w:gridCol w:w="36"/>
        <w:gridCol w:w="36"/>
        <w:gridCol w:w="36"/>
        <w:gridCol w:w="36"/>
        <w:gridCol w:w="36"/>
        <w:gridCol w:w="36"/>
        <w:gridCol w:w="36"/>
        <w:gridCol w:w="36"/>
        <w:gridCol w:w="36"/>
        <w:gridCol w:w="36"/>
      </w:tblGrid>
      <w:tr w:rsidR="004D6A64" w14:paraId="33DAF745" w14:textId="77777777">
        <w:trPr>
          <w:gridAfter w:val="12"/>
          <w:jc w:val="center"/>
        </w:trPr>
        <w:tc>
          <w:tcPr>
            <w:tcW w:w="50" w:type="pct"/>
            <w:shd w:val="clear" w:color="auto" w:fill="auto"/>
          </w:tcPr>
          <w:p w14:paraId="33DAF733" w14:textId="77777777" w:rsidR="004D6A64" w:rsidRDefault="004D6A64">
            <w:pPr>
              <w:rPr>
                <w:rFonts w:ascii="宋体"/>
              </w:rPr>
            </w:pPr>
          </w:p>
        </w:tc>
        <w:tc>
          <w:tcPr>
            <w:tcW w:w="2558" w:type="pct"/>
            <w:shd w:val="clear" w:color="auto" w:fill="auto"/>
          </w:tcPr>
          <w:p w14:paraId="33DAF734" w14:textId="77777777" w:rsidR="004D6A64" w:rsidRDefault="004D6A64">
            <w:pPr>
              <w:rPr>
                <w:rFonts w:ascii="宋体"/>
              </w:rPr>
            </w:pPr>
          </w:p>
        </w:tc>
        <w:tc>
          <w:tcPr>
            <w:tcW w:w="5" w:type="pct"/>
            <w:shd w:val="clear" w:color="auto" w:fill="auto"/>
          </w:tcPr>
          <w:p w14:paraId="33DAF735" w14:textId="77777777" w:rsidR="004D6A64" w:rsidRDefault="004D6A64">
            <w:pPr>
              <w:rPr>
                <w:rFonts w:ascii="宋体"/>
              </w:rPr>
            </w:pPr>
          </w:p>
        </w:tc>
        <w:tc>
          <w:tcPr>
            <w:tcW w:w="50" w:type="pct"/>
            <w:shd w:val="clear" w:color="auto" w:fill="auto"/>
          </w:tcPr>
          <w:p w14:paraId="33DAF736" w14:textId="77777777" w:rsidR="004D6A64" w:rsidRDefault="004D6A64">
            <w:pPr>
              <w:rPr>
                <w:rFonts w:ascii="宋体"/>
              </w:rPr>
            </w:pPr>
          </w:p>
        </w:tc>
        <w:tc>
          <w:tcPr>
            <w:tcW w:w="735" w:type="pct"/>
            <w:shd w:val="clear" w:color="auto" w:fill="auto"/>
          </w:tcPr>
          <w:p w14:paraId="33DAF737" w14:textId="77777777" w:rsidR="004D6A64" w:rsidRDefault="004D6A64">
            <w:pPr>
              <w:rPr>
                <w:rFonts w:ascii="宋体"/>
              </w:rPr>
            </w:pPr>
          </w:p>
        </w:tc>
        <w:tc>
          <w:tcPr>
            <w:tcW w:w="5" w:type="pct"/>
            <w:shd w:val="clear" w:color="auto" w:fill="auto"/>
          </w:tcPr>
          <w:p w14:paraId="33DAF738" w14:textId="77777777" w:rsidR="004D6A64" w:rsidRDefault="004D6A64">
            <w:pPr>
              <w:rPr>
                <w:rFonts w:ascii="宋体"/>
              </w:rPr>
            </w:pPr>
          </w:p>
        </w:tc>
        <w:tc>
          <w:tcPr>
            <w:tcW w:w="5" w:type="pct"/>
            <w:shd w:val="clear" w:color="auto" w:fill="auto"/>
          </w:tcPr>
          <w:p w14:paraId="33DAF739" w14:textId="77777777" w:rsidR="004D6A64" w:rsidRDefault="004D6A64">
            <w:pPr>
              <w:rPr>
                <w:rFonts w:ascii="宋体"/>
              </w:rPr>
            </w:pPr>
          </w:p>
        </w:tc>
        <w:tc>
          <w:tcPr>
            <w:tcW w:w="26" w:type="pct"/>
            <w:shd w:val="clear" w:color="auto" w:fill="auto"/>
          </w:tcPr>
          <w:p w14:paraId="33DAF73A" w14:textId="77777777" w:rsidR="004D6A64" w:rsidRDefault="004D6A64">
            <w:pPr>
              <w:rPr>
                <w:rFonts w:ascii="宋体"/>
              </w:rPr>
            </w:pPr>
          </w:p>
        </w:tc>
        <w:tc>
          <w:tcPr>
            <w:tcW w:w="5" w:type="pct"/>
            <w:shd w:val="clear" w:color="auto" w:fill="auto"/>
          </w:tcPr>
          <w:p w14:paraId="33DAF73B" w14:textId="77777777" w:rsidR="004D6A64" w:rsidRDefault="004D6A64">
            <w:pPr>
              <w:rPr>
                <w:rFonts w:ascii="宋体"/>
              </w:rPr>
            </w:pPr>
          </w:p>
        </w:tc>
        <w:tc>
          <w:tcPr>
            <w:tcW w:w="50" w:type="pct"/>
            <w:shd w:val="clear" w:color="auto" w:fill="auto"/>
          </w:tcPr>
          <w:p w14:paraId="33DAF73C" w14:textId="77777777" w:rsidR="004D6A64" w:rsidRDefault="004D6A64">
            <w:pPr>
              <w:rPr>
                <w:rFonts w:ascii="宋体"/>
              </w:rPr>
            </w:pPr>
          </w:p>
        </w:tc>
        <w:tc>
          <w:tcPr>
            <w:tcW w:w="728" w:type="pct"/>
            <w:shd w:val="clear" w:color="auto" w:fill="auto"/>
          </w:tcPr>
          <w:p w14:paraId="33DAF73D" w14:textId="77777777" w:rsidR="004D6A64" w:rsidRDefault="004D6A64">
            <w:pPr>
              <w:rPr>
                <w:rFonts w:ascii="宋体"/>
              </w:rPr>
            </w:pPr>
          </w:p>
        </w:tc>
        <w:tc>
          <w:tcPr>
            <w:tcW w:w="5" w:type="pct"/>
            <w:shd w:val="clear" w:color="auto" w:fill="auto"/>
          </w:tcPr>
          <w:p w14:paraId="33DAF73E" w14:textId="77777777" w:rsidR="004D6A64" w:rsidRDefault="004D6A64">
            <w:pPr>
              <w:rPr>
                <w:rFonts w:ascii="宋体"/>
              </w:rPr>
            </w:pPr>
          </w:p>
        </w:tc>
        <w:tc>
          <w:tcPr>
            <w:tcW w:w="5" w:type="pct"/>
            <w:shd w:val="clear" w:color="auto" w:fill="auto"/>
          </w:tcPr>
          <w:p w14:paraId="33DAF73F" w14:textId="77777777" w:rsidR="004D6A64" w:rsidRDefault="004D6A64">
            <w:pPr>
              <w:rPr>
                <w:rFonts w:ascii="宋体"/>
              </w:rPr>
            </w:pPr>
          </w:p>
        </w:tc>
        <w:tc>
          <w:tcPr>
            <w:tcW w:w="26" w:type="pct"/>
            <w:shd w:val="clear" w:color="auto" w:fill="auto"/>
          </w:tcPr>
          <w:p w14:paraId="33DAF740" w14:textId="77777777" w:rsidR="004D6A64" w:rsidRDefault="004D6A64">
            <w:pPr>
              <w:rPr>
                <w:rFonts w:ascii="宋体"/>
              </w:rPr>
            </w:pPr>
          </w:p>
        </w:tc>
        <w:tc>
          <w:tcPr>
            <w:tcW w:w="5" w:type="pct"/>
            <w:shd w:val="clear" w:color="auto" w:fill="auto"/>
          </w:tcPr>
          <w:p w14:paraId="33DAF741" w14:textId="77777777" w:rsidR="004D6A64" w:rsidRDefault="004D6A64">
            <w:pPr>
              <w:rPr>
                <w:rFonts w:ascii="宋体"/>
              </w:rPr>
            </w:pPr>
          </w:p>
        </w:tc>
        <w:tc>
          <w:tcPr>
            <w:tcW w:w="50" w:type="pct"/>
            <w:shd w:val="clear" w:color="auto" w:fill="auto"/>
          </w:tcPr>
          <w:p w14:paraId="33DAF742" w14:textId="77777777" w:rsidR="004D6A64" w:rsidRDefault="004D6A64">
            <w:pPr>
              <w:rPr>
                <w:rFonts w:ascii="宋体"/>
              </w:rPr>
            </w:pPr>
          </w:p>
        </w:tc>
        <w:tc>
          <w:tcPr>
            <w:tcW w:w="684" w:type="pct"/>
            <w:shd w:val="clear" w:color="auto" w:fill="auto"/>
          </w:tcPr>
          <w:p w14:paraId="33DAF743" w14:textId="77777777" w:rsidR="004D6A64" w:rsidRDefault="004D6A64">
            <w:pPr>
              <w:rPr>
                <w:rFonts w:ascii="宋体"/>
              </w:rPr>
            </w:pPr>
          </w:p>
        </w:tc>
        <w:tc>
          <w:tcPr>
            <w:tcW w:w="5" w:type="pct"/>
            <w:shd w:val="clear" w:color="auto" w:fill="auto"/>
          </w:tcPr>
          <w:p w14:paraId="33DAF744" w14:textId="77777777" w:rsidR="004D6A64" w:rsidRDefault="004D6A64">
            <w:pPr>
              <w:rPr>
                <w:rFonts w:ascii="宋体"/>
              </w:rPr>
            </w:pPr>
          </w:p>
        </w:tc>
      </w:tr>
      <w:tr w:rsidR="004D6A64" w14:paraId="33DAF74C" w14:textId="77777777">
        <w:trPr>
          <w:gridAfter w:val="12"/>
          <w:jc w:val="center"/>
        </w:trPr>
        <w:tc>
          <w:tcPr>
            <w:tcW w:w="0" w:type="auto"/>
            <w:gridSpan w:val="3"/>
            <w:shd w:val="clear" w:color="auto" w:fill="auto"/>
            <w:tcMar>
              <w:left w:w="20" w:type="dxa"/>
              <w:right w:w="20" w:type="dxa"/>
            </w:tcMar>
            <w:vAlign w:val="bottom"/>
          </w:tcPr>
          <w:p w14:paraId="33DAF746"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F747"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shd w:val="clear" w:color="auto" w:fill="auto"/>
            <w:tcMar>
              <w:left w:w="20" w:type="dxa"/>
              <w:right w:w="20" w:type="dxa"/>
            </w:tcMar>
            <w:vAlign w:val="bottom"/>
          </w:tcPr>
          <w:p w14:paraId="33DAF748" w14:textId="77777777" w:rsidR="004D6A64" w:rsidRDefault="004D6A6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3DAF749" w14:textId="77777777" w:rsidR="004D6A64" w:rsidRDefault="00506CD6">
            <w:pPr>
              <w:jc w:val="center"/>
              <w:textAlignment w:val="bottom"/>
            </w:pPr>
            <w:r>
              <w:rPr>
                <w:rFonts w:ascii="Times New Roman" w:eastAsia="宋体" w:hAnsi="Times New Roman"/>
                <w:b/>
                <w:bCs/>
                <w:color w:val="000000"/>
                <w:sz w:val="20"/>
                <w:szCs w:val="20"/>
              </w:rPr>
              <w:t>Increase (decrease)</w:t>
            </w:r>
          </w:p>
        </w:tc>
        <w:tc>
          <w:tcPr>
            <w:tcW w:w="0" w:type="auto"/>
            <w:gridSpan w:val="3"/>
            <w:shd w:val="clear" w:color="auto" w:fill="auto"/>
            <w:tcMar>
              <w:left w:w="20" w:type="dxa"/>
              <w:right w:w="20" w:type="dxa"/>
            </w:tcMar>
            <w:vAlign w:val="bottom"/>
          </w:tcPr>
          <w:p w14:paraId="33DAF74A" w14:textId="77777777" w:rsidR="004D6A64" w:rsidRDefault="004D6A6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3DAF74B" w14:textId="77777777" w:rsidR="004D6A64" w:rsidRDefault="00506CD6">
            <w:pPr>
              <w:jc w:val="center"/>
              <w:textAlignment w:val="bottom"/>
            </w:pPr>
            <w:r>
              <w:rPr>
                <w:rFonts w:ascii="Times New Roman" w:eastAsia="宋体" w:hAnsi="Times New Roman"/>
                <w:b/>
                <w:bCs/>
                <w:color w:val="000000"/>
                <w:sz w:val="20"/>
                <w:szCs w:val="20"/>
              </w:rPr>
              <w:t>January 31, 2020</w:t>
            </w:r>
          </w:p>
        </w:tc>
      </w:tr>
      <w:tr w:rsidR="004D6A64" w14:paraId="33DAF753" w14:textId="77777777">
        <w:trPr>
          <w:jc w:val="center"/>
        </w:trPr>
        <w:tc>
          <w:tcPr>
            <w:tcW w:w="0" w:type="auto"/>
            <w:gridSpan w:val="3"/>
            <w:shd w:val="clear" w:color="auto" w:fill="auto"/>
            <w:tcMar>
              <w:left w:w="20" w:type="dxa"/>
              <w:right w:w="20" w:type="dxa"/>
            </w:tcMar>
            <w:vAlign w:val="bottom"/>
          </w:tcPr>
          <w:p w14:paraId="33DAF74D" w14:textId="77777777" w:rsidR="004D6A64" w:rsidRDefault="004D6A64">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center"/>
          </w:tcPr>
          <w:p w14:paraId="33DAF74E" w14:textId="77777777" w:rsidR="004D6A64" w:rsidRDefault="00506CD6">
            <w:pPr>
              <w:jc w:val="center"/>
              <w:textAlignment w:val="center"/>
            </w:pPr>
            <w:r>
              <w:rPr>
                <w:rFonts w:ascii="Times New Roman" w:eastAsia="宋体" w:hAnsi="Times New Roman"/>
                <w:color w:val="000000"/>
                <w:sz w:val="20"/>
                <w:szCs w:val="20"/>
              </w:rPr>
              <w:t>(in millions)</w:t>
            </w:r>
          </w:p>
        </w:tc>
        <w:tc>
          <w:tcPr>
            <w:tcW w:w="0" w:type="auto"/>
            <w:gridSpan w:val="3"/>
            <w:shd w:val="clear" w:color="auto" w:fill="auto"/>
          </w:tcPr>
          <w:p w14:paraId="33DAF74F" w14:textId="77777777" w:rsidR="004D6A64" w:rsidRDefault="004D6A64">
            <w:pPr>
              <w:rPr>
                <w:rFonts w:ascii="宋体"/>
                <w:vanish/>
              </w:rPr>
            </w:pPr>
          </w:p>
        </w:tc>
        <w:tc>
          <w:tcPr>
            <w:tcW w:w="0" w:type="auto"/>
            <w:gridSpan w:val="3"/>
            <w:shd w:val="clear" w:color="auto" w:fill="auto"/>
          </w:tcPr>
          <w:p w14:paraId="33DAF750" w14:textId="77777777" w:rsidR="004D6A64" w:rsidRDefault="004D6A64">
            <w:pPr>
              <w:rPr>
                <w:rFonts w:ascii="宋体"/>
                <w:vanish/>
              </w:rPr>
            </w:pPr>
          </w:p>
        </w:tc>
        <w:tc>
          <w:tcPr>
            <w:tcW w:w="0" w:type="auto"/>
            <w:gridSpan w:val="3"/>
            <w:shd w:val="clear" w:color="auto" w:fill="auto"/>
          </w:tcPr>
          <w:p w14:paraId="33DAF751" w14:textId="77777777" w:rsidR="004D6A64" w:rsidRDefault="004D6A64">
            <w:pPr>
              <w:rPr>
                <w:rFonts w:ascii="宋体"/>
                <w:vanish/>
              </w:rPr>
            </w:pPr>
          </w:p>
        </w:tc>
        <w:tc>
          <w:tcPr>
            <w:tcW w:w="0" w:type="auto"/>
            <w:gridSpan w:val="3"/>
            <w:shd w:val="clear" w:color="auto" w:fill="auto"/>
          </w:tcPr>
          <w:p w14:paraId="33DAF752" w14:textId="77777777" w:rsidR="004D6A64" w:rsidRDefault="004D6A64">
            <w:pPr>
              <w:rPr>
                <w:rFonts w:ascii="宋体"/>
                <w:vanish/>
              </w:rPr>
            </w:pPr>
          </w:p>
        </w:tc>
      </w:tr>
      <w:tr w:rsidR="004D6A64" w14:paraId="33DAF766" w14:textId="77777777">
        <w:trPr>
          <w:jc w:val="center"/>
        </w:trPr>
        <w:tc>
          <w:tcPr>
            <w:tcW w:w="0" w:type="auto"/>
            <w:gridSpan w:val="3"/>
            <w:shd w:val="clear" w:color="auto" w:fill="CCEEFF"/>
            <w:tcMar>
              <w:top w:w="40" w:type="dxa"/>
              <w:left w:w="20" w:type="dxa"/>
              <w:bottom w:w="40" w:type="dxa"/>
              <w:right w:w="20" w:type="dxa"/>
            </w:tcMar>
            <w:vAlign w:val="center"/>
          </w:tcPr>
          <w:p w14:paraId="33DAF754" w14:textId="77777777" w:rsidR="004D6A64" w:rsidRDefault="00506CD6">
            <w:pPr>
              <w:textAlignment w:val="center"/>
            </w:pPr>
            <w:r>
              <w:rPr>
                <w:rFonts w:ascii="Times New Roman" w:eastAsia="宋体" w:hAnsi="Times New Roman"/>
                <w:b/>
                <w:bCs/>
                <w:color w:val="000000"/>
                <w:sz w:val="20"/>
                <w:szCs w:val="20"/>
              </w:rPr>
              <w:t>Core debt</w:t>
            </w:r>
          </w:p>
        </w:tc>
        <w:tc>
          <w:tcPr>
            <w:tcW w:w="0" w:type="auto"/>
            <w:gridSpan w:val="3"/>
            <w:shd w:val="clear" w:color="auto" w:fill="CCEEFF"/>
            <w:tcMar>
              <w:left w:w="20" w:type="dxa"/>
              <w:right w:w="20" w:type="dxa"/>
            </w:tcMar>
            <w:vAlign w:val="bottom"/>
          </w:tcPr>
          <w:p w14:paraId="33DAF755"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756"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757"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758"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759" w14:textId="77777777" w:rsidR="004D6A64" w:rsidRDefault="004D6A64">
            <w:pPr>
              <w:rPr>
                <w:rFonts w:ascii="宋体"/>
              </w:rPr>
            </w:pPr>
          </w:p>
        </w:tc>
        <w:tc>
          <w:tcPr>
            <w:tcW w:w="0" w:type="auto"/>
            <w:shd w:val="clear" w:color="auto" w:fill="auto"/>
          </w:tcPr>
          <w:p w14:paraId="33DAF75A" w14:textId="77777777" w:rsidR="004D6A64" w:rsidRDefault="004D6A64">
            <w:pPr>
              <w:rPr>
                <w:rFonts w:ascii="宋体"/>
              </w:rPr>
            </w:pPr>
          </w:p>
        </w:tc>
        <w:tc>
          <w:tcPr>
            <w:tcW w:w="0" w:type="auto"/>
            <w:shd w:val="clear" w:color="auto" w:fill="auto"/>
          </w:tcPr>
          <w:p w14:paraId="33DAF75B" w14:textId="77777777" w:rsidR="004D6A64" w:rsidRDefault="004D6A64">
            <w:pPr>
              <w:rPr>
                <w:rFonts w:ascii="宋体"/>
              </w:rPr>
            </w:pPr>
          </w:p>
        </w:tc>
        <w:tc>
          <w:tcPr>
            <w:tcW w:w="0" w:type="auto"/>
            <w:shd w:val="clear" w:color="auto" w:fill="auto"/>
          </w:tcPr>
          <w:p w14:paraId="33DAF75C" w14:textId="77777777" w:rsidR="004D6A64" w:rsidRDefault="004D6A64">
            <w:pPr>
              <w:rPr>
                <w:rFonts w:ascii="宋体"/>
              </w:rPr>
            </w:pPr>
          </w:p>
        </w:tc>
        <w:tc>
          <w:tcPr>
            <w:tcW w:w="0" w:type="auto"/>
            <w:shd w:val="clear" w:color="auto" w:fill="auto"/>
          </w:tcPr>
          <w:p w14:paraId="33DAF75D" w14:textId="77777777" w:rsidR="004D6A64" w:rsidRDefault="004D6A64">
            <w:pPr>
              <w:rPr>
                <w:rFonts w:ascii="宋体"/>
              </w:rPr>
            </w:pPr>
          </w:p>
        </w:tc>
        <w:tc>
          <w:tcPr>
            <w:tcW w:w="0" w:type="auto"/>
            <w:shd w:val="clear" w:color="auto" w:fill="auto"/>
          </w:tcPr>
          <w:p w14:paraId="33DAF75E" w14:textId="77777777" w:rsidR="004D6A64" w:rsidRDefault="004D6A64">
            <w:pPr>
              <w:rPr>
                <w:rFonts w:ascii="宋体"/>
              </w:rPr>
            </w:pPr>
          </w:p>
        </w:tc>
        <w:tc>
          <w:tcPr>
            <w:tcW w:w="0" w:type="auto"/>
            <w:shd w:val="clear" w:color="auto" w:fill="auto"/>
          </w:tcPr>
          <w:p w14:paraId="33DAF75F" w14:textId="77777777" w:rsidR="004D6A64" w:rsidRDefault="004D6A64">
            <w:pPr>
              <w:rPr>
                <w:rFonts w:ascii="宋体"/>
              </w:rPr>
            </w:pPr>
          </w:p>
        </w:tc>
        <w:tc>
          <w:tcPr>
            <w:tcW w:w="0" w:type="auto"/>
            <w:shd w:val="clear" w:color="auto" w:fill="auto"/>
          </w:tcPr>
          <w:p w14:paraId="33DAF760" w14:textId="77777777" w:rsidR="004D6A64" w:rsidRDefault="004D6A64">
            <w:pPr>
              <w:rPr>
                <w:rFonts w:ascii="宋体"/>
              </w:rPr>
            </w:pPr>
          </w:p>
        </w:tc>
        <w:tc>
          <w:tcPr>
            <w:tcW w:w="0" w:type="auto"/>
            <w:shd w:val="clear" w:color="auto" w:fill="auto"/>
          </w:tcPr>
          <w:p w14:paraId="33DAF761" w14:textId="77777777" w:rsidR="004D6A64" w:rsidRDefault="004D6A64">
            <w:pPr>
              <w:rPr>
                <w:rFonts w:ascii="宋体"/>
              </w:rPr>
            </w:pPr>
          </w:p>
        </w:tc>
        <w:tc>
          <w:tcPr>
            <w:tcW w:w="0" w:type="auto"/>
            <w:shd w:val="clear" w:color="auto" w:fill="auto"/>
          </w:tcPr>
          <w:p w14:paraId="33DAF762" w14:textId="77777777" w:rsidR="004D6A64" w:rsidRDefault="004D6A64">
            <w:pPr>
              <w:rPr>
                <w:rFonts w:ascii="宋体"/>
              </w:rPr>
            </w:pPr>
          </w:p>
        </w:tc>
        <w:tc>
          <w:tcPr>
            <w:tcW w:w="0" w:type="auto"/>
            <w:shd w:val="clear" w:color="auto" w:fill="auto"/>
          </w:tcPr>
          <w:p w14:paraId="33DAF763" w14:textId="77777777" w:rsidR="004D6A64" w:rsidRDefault="004D6A64">
            <w:pPr>
              <w:rPr>
                <w:rFonts w:ascii="宋体"/>
              </w:rPr>
            </w:pPr>
          </w:p>
        </w:tc>
        <w:tc>
          <w:tcPr>
            <w:tcW w:w="0" w:type="auto"/>
            <w:shd w:val="clear" w:color="auto" w:fill="auto"/>
          </w:tcPr>
          <w:p w14:paraId="33DAF764" w14:textId="77777777" w:rsidR="004D6A64" w:rsidRDefault="004D6A64">
            <w:pPr>
              <w:rPr>
                <w:rFonts w:ascii="宋体"/>
              </w:rPr>
            </w:pPr>
          </w:p>
        </w:tc>
        <w:tc>
          <w:tcPr>
            <w:tcW w:w="0" w:type="auto"/>
            <w:shd w:val="clear" w:color="auto" w:fill="auto"/>
          </w:tcPr>
          <w:p w14:paraId="33DAF765" w14:textId="77777777" w:rsidR="004D6A64" w:rsidRDefault="004D6A64">
            <w:pPr>
              <w:rPr>
                <w:rFonts w:ascii="宋体"/>
              </w:rPr>
            </w:pPr>
          </w:p>
        </w:tc>
      </w:tr>
      <w:tr w:rsidR="004D6A64" w14:paraId="33DAF77F" w14:textId="77777777">
        <w:trPr>
          <w:jc w:val="center"/>
        </w:trPr>
        <w:tc>
          <w:tcPr>
            <w:tcW w:w="0" w:type="auto"/>
            <w:gridSpan w:val="3"/>
            <w:shd w:val="clear" w:color="auto" w:fill="FFFFFF"/>
            <w:tcMar>
              <w:top w:w="40" w:type="dxa"/>
              <w:left w:w="120" w:type="dxa"/>
              <w:bottom w:w="40" w:type="dxa"/>
              <w:right w:w="20" w:type="dxa"/>
            </w:tcMar>
            <w:vAlign w:val="center"/>
          </w:tcPr>
          <w:p w14:paraId="33DAF767" w14:textId="77777777" w:rsidR="004D6A64" w:rsidRDefault="00506CD6">
            <w:pPr>
              <w:textAlignment w:val="center"/>
            </w:pPr>
            <w:r>
              <w:rPr>
                <w:rFonts w:ascii="Times New Roman" w:eastAsia="宋体" w:hAnsi="Times New Roman"/>
                <w:color w:val="000000"/>
                <w:sz w:val="20"/>
                <w:szCs w:val="20"/>
              </w:rPr>
              <w:t>Senior Secured Credit Facilities and First Lien Notes</w:t>
            </w:r>
          </w:p>
        </w:tc>
        <w:tc>
          <w:tcPr>
            <w:tcW w:w="0" w:type="auto"/>
            <w:shd w:val="clear" w:color="auto" w:fill="FFFFFF"/>
            <w:tcMar>
              <w:top w:w="40" w:type="dxa"/>
              <w:left w:w="20" w:type="dxa"/>
              <w:bottom w:w="40" w:type="dxa"/>
            </w:tcMar>
            <w:vAlign w:val="center"/>
          </w:tcPr>
          <w:p w14:paraId="33DAF768"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F769" w14:textId="77777777" w:rsidR="004D6A64" w:rsidRDefault="00506CD6">
            <w:pPr>
              <w:jc w:val="right"/>
              <w:textAlignment w:val="center"/>
            </w:pPr>
            <w:r>
              <w:rPr>
                <w:rFonts w:ascii="Times New Roman" w:eastAsia="宋体" w:hAnsi="Times New Roman"/>
                <w:color w:val="000000"/>
                <w:sz w:val="20"/>
                <w:szCs w:val="20"/>
              </w:rPr>
              <w:t>30,251 </w:t>
            </w:r>
          </w:p>
        </w:tc>
        <w:tc>
          <w:tcPr>
            <w:tcW w:w="0" w:type="auto"/>
            <w:shd w:val="clear" w:color="auto" w:fill="FFFFFF"/>
            <w:tcMar>
              <w:top w:w="40" w:type="dxa"/>
              <w:bottom w:w="40" w:type="dxa"/>
              <w:right w:w="20" w:type="dxa"/>
            </w:tcMar>
            <w:vAlign w:val="center"/>
          </w:tcPr>
          <w:p w14:paraId="33DAF76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76B"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F76C"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F76D" w14:textId="77777777" w:rsidR="004D6A64" w:rsidRDefault="00506CD6">
            <w:pPr>
              <w:jc w:val="right"/>
              <w:textAlignment w:val="center"/>
            </w:pPr>
            <w:r>
              <w:rPr>
                <w:rFonts w:ascii="Times New Roman" w:eastAsia="宋体" w:hAnsi="Times New Roman"/>
                <w:color w:val="000000"/>
                <w:sz w:val="20"/>
                <w:szCs w:val="20"/>
              </w:rPr>
              <w:t>587 </w:t>
            </w:r>
          </w:p>
        </w:tc>
        <w:tc>
          <w:tcPr>
            <w:tcW w:w="0" w:type="auto"/>
            <w:shd w:val="clear" w:color="auto" w:fill="FFFFFF"/>
            <w:tcMar>
              <w:top w:w="40" w:type="dxa"/>
              <w:bottom w:w="40" w:type="dxa"/>
              <w:right w:w="20" w:type="dxa"/>
            </w:tcMar>
            <w:vAlign w:val="center"/>
          </w:tcPr>
          <w:p w14:paraId="33DAF76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76F"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F770"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F771" w14:textId="77777777" w:rsidR="004D6A64" w:rsidRDefault="00506CD6">
            <w:pPr>
              <w:jc w:val="right"/>
              <w:textAlignment w:val="center"/>
            </w:pPr>
            <w:r>
              <w:rPr>
                <w:rFonts w:ascii="Times New Roman" w:eastAsia="宋体" w:hAnsi="Times New Roman"/>
                <w:color w:val="000000"/>
                <w:sz w:val="20"/>
                <w:szCs w:val="20"/>
              </w:rPr>
              <w:t>29,664 </w:t>
            </w:r>
          </w:p>
        </w:tc>
        <w:tc>
          <w:tcPr>
            <w:tcW w:w="0" w:type="auto"/>
            <w:shd w:val="clear" w:color="auto" w:fill="FFFFFF"/>
            <w:tcMar>
              <w:top w:w="40" w:type="dxa"/>
              <w:bottom w:w="40" w:type="dxa"/>
              <w:right w:w="20" w:type="dxa"/>
            </w:tcMar>
            <w:vAlign w:val="center"/>
          </w:tcPr>
          <w:p w14:paraId="33DAF772" w14:textId="77777777" w:rsidR="004D6A64" w:rsidRDefault="004D6A64">
            <w:pPr>
              <w:jc w:val="right"/>
              <w:rPr>
                <w:rFonts w:ascii="宋体"/>
              </w:rPr>
            </w:pPr>
          </w:p>
        </w:tc>
        <w:tc>
          <w:tcPr>
            <w:tcW w:w="0" w:type="auto"/>
            <w:shd w:val="clear" w:color="auto" w:fill="auto"/>
          </w:tcPr>
          <w:p w14:paraId="33DAF773" w14:textId="77777777" w:rsidR="004D6A64" w:rsidRDefault="004D6A64">
            <w:pPr>
              <w:rPr>
                <w:rFonts w:ascii="宋体"/>
              </w:rPr>
            </w:pPr>
          </w:p>
        </w:tc>
        <w:tc>
          <w:tcPr>
            <w:tcW w:w="0" w:type="auto"/>
            <w:shd w:val="clear" w:color="auto" w:fill="auto"/>
          </w:tcPr>
          <w:p w14:paraId="33DAF774" w14:textId="77777777" w:rsidR="004D6A64" w:rsidRDefault="004D6A64">
            <w:pPr>
              <w:rPr>
                <w:rFonts w:ascii="宋体"/>
              </w:rPr>
            </w:pPr>
          </w:p>
        </w:tc>
        <w:tc>
          <w:tcPr>
            <w:tcW w:w="0" w:type="auto"/>
            <w:shd w:val="clear" w:color="auto" w:fill="auto"/>
          </w:tcPr>
          <w:p w14:paraId="33DAF775" w14:textId="77777777" w:rsidR="004D6A64" w:rsidRDefault="004D6A64">
            <w:pPr>
              <w:rPr>
                <w:rFonts w:ascii="宋体"/>
              </w:rPr>
            </w:pPr>
          </w:p>
        </w:tc>
        <w:tc>
          <w:tcPr>
            <w:tcW w:w="0" w:type="auto"/>
            <w:shd w:val="clear" w:color="auto" w:fill="auto"/>
          </w:tcPr>
          <w:p w14:paraId="33DAF776" w14:textId="77777777" w:rsidR="004D6A64" w:rsidRDefault="004D6A64">
            <w:pPr>
              <w:rPr>
                <w:rFonts w:ascii="宋体"/>
              </w:rPr>
            </w:pPr>
          </w:p>
        </w:tc>
        <w:tc>
          <w:tcPr>
            <w:tcW w:w="0" w:type="auto"/>
            <w:shd w:val="clear" w:color="auto" w:fill="auto"/>
          </w:tcPr>
          <w:p w14:paraId="33DAF777" w14:textId="77777777" w:rsidR="004D6A64" w:rsidRDefault="004D6A64">
            <w:pPr>
              <w:rPr>
                <w:rFonts w:ascii="宋体"/>
              </w:rPr>
            </w:pPr>
          </w:p>
        </w:tc>
        <w:tc>
          <w:tcPr>
            <w:tcW w:w="0" w:type="auto"/>
            <w:shd w:val="clear" w:color="auto" w:fill="auto"/>
          </w:tcPr>
          <w:p w14:paraId="33DAF778" w14:textId="77777777" w:rsidR="004D6A64" w:rsidRDefault="004D6A64">
            <w:pPr>
              <w:rPr>
                <w:rFonts w:ascii="宋体"/>
              </w:rPr>
            </w:pPr>
          </w:p>
        </w:tc>
        <w:tc>
          <w:tcPr>
            <w:tcW w:w="0" w:type="auto"/>
            <w:shd w:val="clear" w:color="auto" w:fill="auto"/>
          </w:tcPr>
          <w:p w14:paraId="33DAF779" w14:textId="77777777" w:rsidR="004D6A64" w:rsidRDefault="004D6A64">
            <w:pPr>
              <w:rPr>
                <w:rFonts w:ascii="宋体"/>
              </w:rPr>
            </w:pPr>
          </w:p>
        </w:tc>
        <w:tc>
          <w:tcPr>
            <w:tcW w:w="0" w:type="auto"/>
            <w:shd w:val="clear" w:color="auto" w:fill="auto"/>
          </w:tcPr>
          <w:p w14:paraId="33DAF77A" w14:textId="77777777" w:rsidR="004D6A64" w:rsidRDefault="004D6A64">
            <w:pPr>
              <w:rPr>
                <w:rFonts w:ascii="宋体"/>
              </w:rPr>
            </w:pPr>
          </w:p>
        </w:tc>
        <w:tc>
          <w:tcPr>
            <w:tcW w:w="0" w:type="auto"/>
            <w:shd w:val="clear" w:color="auto" w:fill="auto"/>
          </w:tcPr>
          <w:p w14:paraId="33DAF77B" w14:textId="77777777" w:rsidR="004D6A64" w:rsidRDefault="004D6A64">
            <w:pPr>
              <w:rPr>
                <w:rFonts w:ascii="宋体"/>
              </w:rPr>
            </w:pPr>
          </w:p>
        </w:tc>
        <w:tc>
          <w:tcPr>
            <w:tcW w:w="0" w:type="auto"/>
            <w:shd w:val="clear" w:color="auto" w:fill="auto"/>
          </w:tcPr>
          <w:p w14:paraId="33DAF77C" w14:textId="77777777" w:rsidR="004D6A64" w:rsidRDefault="004D6A64">
            <w:pPr>
              <w:rPr>
                <w:rFonts w:ascii="宋体"/>
              </w:rPr>
            </w:pPr>
          </w:p>
        </w:tc>
        <w:tc>
          <w:tcPr>
            <w:tcW w:w="0" w:type="auto"/>
            <w:shd w:val="clear" w:color="auto" w:fill="auto"/>
          </w:tcPr>
          <w:p w14:paraId="33DAF77D" w14:textId="77777777" w:rsidR="004D6A64" w:rsidRDefault="004D6A64">
            <w:pPr>
              <w:rPr>
                <w:rFonts w:ascii="宋体"/>
              </w:rPr>
            </w:pPr>
          </w:p>
        </w:tc>
        <w:tc>
          <w:tcPr>
            <w:tcW w:w="0" w:type="auto"/>
            <w:shd w:val="clear" w:color="auto" w:fill="auto"/>
          </w:tcPr>
          <w:p w14:paraId="33DAF77E" w14:textId="77777777" w:rsidR="004D6A64" w:rsidRDefault="004D6A64">
            <w:pPr>
              <w:rPr>
                <w:rFonts w:ascii="宋体"/>
              </w:rPr>
            </w:pPr>
          </w:p>
        </w:tc>
      </w:tr>
      <w:tr w:rsidR="004D6A64" w14:paraId="33DAF795" w14:textId="77777777">
        <w:trPr>
          <w:jc w:val="center"/>
        </w:trPr>
        <w:tc>
          <w:tcPr>
            <w:tcW w:w="0" w:type="auto"/>
            <w:gridSpan w:val="3"/>
            <w:shd w:val="clear" w:color="auto" w:fill="CCEEFF"/>
            <w:tcMar>
              <w:top w:w="40" w:type="dxa"/>
              <w:left w:w="120" w:type="dxa"/>
              <w:bottom w:w="40" w:type="dxa"/>
              <w:right w:w="20" w:type="dxa"/>
            </w:tcMar>
            <w:vAlign w:val="center"/>
          </w:tcPr>
          <w:p w14:paraId="33DAF780" w14:textId="77777777" w:rsidR="004D6A64" w:rsidRDefault="00506CD6">
            <w:pPr>
              <w:textAlignment w:val="center"/>
            </w:pPr>
            <w:r>
              <w:rPr>
                <w:rFonts w:ascii="Times New Roman" w:eastAsia="宋体" w:hAnsi="Times New Roman"/>
                <w:color w:val="000000"/>
                <w:sz w:val="20"/>
                <w:szCs w:val="20"/>
              </w:rPr>
              <w:t xml:space="preserve">Unsecured Notes and Debentures </w:t>
            </w:r>
          </w:p>
        </w:tc>
        <w:tc>
          <w:tcPr>
            <w:tcW w:w="0" w:type="auto"/>
            <w:gridSpan w:val="2"/>
            <w:shd w:val="clear" w:color="auto" w:fill="CCEEFF"/>
            <w:tcMar>
              <w:top w:w="40" w:type="dxa"/>
              <w:left w:w="20" w:type="dxa"/>
              <w:bottom w:w="40" w:type="dxa"/>
              <w:right w:w="0" w:type="dxa"/>
            </w:tcMar>
            <w:vAlign w:val="center"/>
          </w:tcPr>
          <w:p w14:paraId="33DAF781" w14:textId="77777777" w:rsidR="004D6A64" w:rsidRDefault="00506CD6">
            <w:pPr>
              <w:jc w:val="right"/>
              <w:textAlignment w:val="center"/>
            </w:pPr>
            <w:r>
              <w:rPr>
                <w:rFonts w:ascii="Times New Roman" w:eastAsia="宋体" w:hAnsi="Times New Roman"/>
                <w:color w:val="000000"/>
                <w:sz w:val="20"/>
                <w:szCs w:val="20"/>
              </w:rPr>
              <w:t>1,352 </w:t>
            </w:r>
          </w:p>
        </w:tc>
        <w:tc>
          <w:tcPr>
            <w:tcW w:w="0" w:type="auto"/>
            <w:shd w:val="clear" w:color="auto" w:fill="CCEEFF"/>
            <w:tcMar>
              <w:top w:w="40" w:type="dxa"/>
              <w:bottom w:w="40" w:type="dxa"/>
              <w:right w:w="20" w:type="dxa"/>
            </w:tcMar>
            <w:vAlign w:val="center"/>
          </w:tcPr>
          <w:p w14:paraId="33DAF78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783"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784"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F785"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786"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787" w14:textId="77777777" w:rsidR="004D6A64" w:rsidRDefault="00506CD6">
            <w:pPr>
              <w:jc w:val="right"/>
              <w:textAlignment w:val="center"/>
            </w:pPr>
            <w:r>
              <w:rPr>
                <w:rFonts w:ascii="Times New Roman" w:eastAsia="宋体" w:hAnsi="Times New Roman"/>
                <w:color w:val="000000"/>
                <w:sz w:val="20"/>
                <w:szCs w:val="20"/>
              </w:rPr>
              <w:t>1,352 </w:t>
            </w:r>
          </w:p>
        </w:tc>
        <w:tc>
          <w:tcPr>
            <w:tcW w:w="0" w:type="auto"/>
            <w:shd w:val="clear" w:color="auto" w:fill="CCEEFF"/>
            <w:tcMar>
              <w:top w:w="40" w:type="dxa"/>
              <w:bottom w:w="40" w:type="dxa"/>
              <w:right w:w="20" w:type="dxa"/>
            </w:tcMar>
            <w:vAlign w:val="center"/>
          </w:tcPr>
          <w:p w14:paraId="33DAF788" w14:textId="77777777" w:rsidR="004D6A64" w:rsidRDefault="004D6A64">
            <w:pPr>
              <w:jc w:val="right"/>
              <w:rPr>
                <w:rFonts w:ascii="宋体"/>
              </w:rPr>
            </w:pPr>
          </w:p>
        </w:tc>
        <w:tc>
          <w:tcPr>
            <w:tcW w:w="0" w:type="auto"/>
            <w:shd w:val="clear" w:color="auto" w:fill="auto"/>
          </w:tcPr>
          <w:p w14:paraId="33DAF789" w14:textId="77777777" w:rsidR="004D6A64" w:rsidRDefault="004D6A64">
            <w:pPr>
              <w:rPr>
                <w:rFonts w:ascii="宋体"/>
              </w:rPr>
            </w:pPr>
          </w:p>
        </w:tc>
        <w:tc>
          <w:tcPr>
            <w:tcW w:w="0" w:type="auto"/>
            <w:shd w:val="clear" w:color="auto" w:fill="auto"/>
          </w:tcPr>
          <w:p w14:paraId="33DAF78A" w14:textId="77777777" w:rsidR="004D6A64" w:rsidRDefault="004D6A64">
            <w:pPr>
              <w:rPr>
                <w:rFonts w:ascii="宋体"/>
              </w:rPr>
            </w:pPr>
          </w:p>
        </w:tc>
        <w:tc>
          <w:tcPr>
            <w:tcW w:w="0" w:type="auto"/>
            <w:shd w:val="clear" w:color="auto" w:fill="auto"/>
          </w:tcPr>
          <w:p w14:paraId="33DAF78B" w14:textId="77777777" w:rsidR="004D6A64" w:rsidRDefault="004D6A64">
            <w:pPr>
              <w:rPr>
                <w:rFonts w:ascii="宋体"/>
              </w:rPr>
            </w:pPr>
          </w:p>
        </w:tc>
        <w:tc>
          <w:tcPr>
            <w:tcW w:w="0" w:type="auto"/>
            <w:shd w:val="clear" w:color="auto" w:fill="auto"/>
          </w:tcPr>
          <w:p w14:paraId="33DAF78C" w14:textId="77777777" w:rsidR="004D6A64" w:rsidRDefault="004D6A64">
            <w:pPr>
              <w:rPr>
                <w:rFonts w:ascii="宋体"/>
              </w:rPr>
            </w:pPr>
          </w:p>
        </w:tc>
        <w:tc>
          <w:tcPr>
            <w:tcW w:w="0" w:type="auto"/>
            <w:shd w:val="clear" w:color="auto" w:fill="auto"/>
          </w:tcPr>
          <w:p w14:paraId="33DAF78D" w14:textId="77777777" w:rsidR="004D6A64" w:rsidRDefault="004D6A64">
            <w:pPr>
              <w:rPr>
                <w:rFonts w:ascii="宋体"/>
              </w:rPr>
            </w:pPr>
          </w:p>
        </w:tc>
        <w:tc>
          <w:tcPr>
            <w:tcW w:w="0" w:type="auto"/>
            <w:shd w:val="clear" w:color="auto" w:fill="auto"/>
          </w:tcPr>
          <w:p w14:paraId="33DAF78E" w14:textId="77777777" w:rsidR="004D6A64" w:rsidRDefault="004D6A64">
            <w:pPr>
              <w:rPr>
                <w:rFonts w:ascii="宋体"/>
              </w:rPr>
            </w:pPr>
          </w:p>
        </w:tc>
        <w:tc>
          <w:tcPr>
            <w:tcW w:w="0" w:type="auto"/>
            <w:shd w:val="clear" w:color="auto" w:fill="auto"/>
          </w:tcPr>
          <w:p w14:paraId="33DAF78F" w14:textId="77777777" w:rsidR="004D6A64" w:rsidRDefault="004D6A64">
            <w:pPr>
              <w:rPr>
                <w:rFonts w:ascii="宋体"/>
              </w:rPr>
            </w:pPr>
          </w:p>
        </w:tc>
        <w:tc>
          <w:tcPr>
            <w:tcW w:w="0" w:type="auto"/>
            <w:shd w:val="clear" w:color="auto" w:fill="auto"/>
          </w:tcPr>
          <w:p w14:paraId="33DAF790" w14:textId="77777777" w:rsidR="004D6A64" w:rsidRDefault="004D6A64">
            <w:pPr>
              <w:rPr>
                <w:rFonts w:ascii="宋体"/>
              </w:rPr>
            </w:pPr>
          </w:p>
        </w:tc>
        <w:tc>
          <w:tcPr>
            <w:tcW w:w="0" w:type="auto"/>
            <w:shd w:val="clear" w:color="auto" w:fill="auto"/>
          </w:tcPr>
          <w:p w14:paraId="33DAF791" w14:textId="77777777" w:rsidR="004D6A64" w:rsidRDefault="004D6A64">
            <w:pPr>
              <w:rPr>
                <w:rFonts w:ascii="宋体"/>
              </w:rPr>
            </w:pPr>
          </w:p>
        </w:tc>
        <w:tc>
          <w:tcPr>
            <w:tcW w:w="0" w:type="auto"/>
            <w:shd w:val="clear" w:color="auto" w:fill="auto"/>
          </w:tcPr>
          <w:p w14:paraId="33DAF792" w14:textId="77777777" w:rsidR="004D6A64" w:rsidRDefault="004D6A64">
            <w:pPr>
              <w:rPr>
                <w:rFonts w:ascii="宋体"/>
              </w:rPr>
            </w:pPr>
          </w:p>
        </w:tc>
        <w:tc>
          <w:tcPr>
            <w:tcW w:w="0" w:type="auto"/>
            <w:shd w:val="clear" w:color="auto" w:fill="auto"/>
          </w:tcPr>
          <w:p w14:paraId="33DAF793" w14:textId="77777777" w:rsidR="004D6A64" w:rsidRDefault="004D6A64">
            <w:pPr>
              <w:rPr>
                <w:rFonts w:ascii="宋体"/>
              </w:rPr>
            </w:pPr>
          </w:p>
        </w:tc>
        <w:tc>
          <w:tcPr>
            <w:tcW w:w="0" w:type="auto"/>
            <w:shd w:val="clear" w:color="auto" w:fill="auto"/>
          </w:tcPr>
          <w:p w14:paraId="33DAF794" w14:textId="77777777" w:rsidR="004D6A64" w:rsidRDefault="004D6A64">
            <w:pPr>
              <w:rPr>
                <w:rFonts w:ascii="宋体"/>
              </w:rPr>
            </w:pPr>
          </w:p>
        </w:tc>
      </w:tr>
      <w:tr w:rsidR="004D6A64" w14:paraId="33DAF7AB" w14:textId="77777777">
        <w:trPr>
          <w:jc w:val="center"/>
        </w:trPr>
        <w:tc>
          <w:tcPr>
            <w:tcW w:w="0" w:type="auto"/>
            <w:gridSpan w:val="3"/>
            <w:shd w:val="clear" w:color="auto" w:fill="FFFFFF"/>
            <w:tcMar>
              <w:top w:w="40" w:type="dxa"/>
              <w:left w:w="120" w:type="dxa"/>
              <w:bottom w:w="40" w:type="dxa"/>
              <w:right w:w="20" w:type="dxa"/>
            </w:tcMar>
            <w:vAlign w:val="center"/>
          </w:tcPr>
          <w:p w14:paraId="33DAF796" w14:textId="77777777" w:rsidR="004D6A64" w:rsidRDefault="00506CD6">
            <w:pPr>
              <w:textAlignment w:val="center"/>
            </w:pPr>
            <w:r>
              <w:rPr>
                <w:rFonts w:ascii="Times New Roman" w:eastAsia="宋体" w:hAnsi="Times New Roman"/>
                <w:color w:val="000000"/>
                <w:sz w:val="20"/>
                <w:szCs w:val="20"/>
              </w:rPr>
              <w:t xml:space="preserve">Senior Notes </w:t>
            </w:r>
          </w:p>
        </w:tc>
        <w:tc>
          <w:tcPr>
            <w:tcW w:w="0" w:type="auto"/>
            <w:gridSpan w:val="2"/>
            <w:shd w:val="clear" w:color="auto" w:fill="FFFFFF"/>
            <w:tcMar>
              <w:top w:w="40" w:type="dxa"/>
              <w:left w:w="20" w:type="dxa"/>
              <w:bottom w:w="40" w:type="dxa"/>
              <w:right w:w="0" w:type="dxa"/>
            </w:tcMar>
            <w:vAlign w:val="center"/>
          </w:tcPr>
          <w:p w14:paraId="33DAF797" w14:textId="77777777" w:rsidR="004D6A64" w:rsidRDefault="00506CD6">
            <w:pPr>
              <w:jc w:val="right"/>
              <w:textAlignment w:val="center"/>
            </w:pPr>
            <w:r>
              <w:rPr>
                <w:rFonts w:ascii="Times New Roman" w:eastAsia="宋体" w:hAnsi="Times New Roman"/>
                <w:color w:val="000000"/>
                <w:sz w:val="20"/>
                <w:szCs w:val="20"/>
              </w:rPr>
              <w:t>2,700 </w:t>
            </w:r>
          </w:p>
        </w:tc>
        <w:tc>
          <w:tcPr>
            <w:tcW w:w="0" w:type="auto"/>
            <w:shd w:val="clear" w:color="auto" w:fill="FFFFFF"/>
            <w:tcMar>
              <w:top w:w="40" w:type="dxa"/>
              <w:bottom w:w="40" w:type="dxa"/>
              <w:right w:w="20" w:type="dxa"/>
            </w:tcMar>
            <w:vAlign w:val="center"/>
          </w:tcPr>
          <w:p w14:paraId="33DAF79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799"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F79A"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33DAF79B"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79C"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F79D" w14:textId="77777777" w:rsidR="004D6A64" w:rsidRDefault="00506CD6">
            <w:pPr>
              <w:jc w:val="right"/>
              <w:textAlignment w:val="center"/>
            </w:pPr>
            <w:r>
              <w:rPr>
                <w:rFonts w:ascii="Times New Roman" w:eastAsia="宋体" w:hAnsi="Times New Roman"/>
                <w:color w:val="000000"/>
                <w:sz w:val="20"/>
                <w:szCs w:val="20"/>
              </w:rPr>
              <w:t>2,700 </w:t>
            </w:r>
          </w:p>
        </w:tc>
        <w:tc>
          <w:tcPr>
            <w:tcW w:w="0" w:type="auto"/>
            <w:shd w:val="clear" w:color="auto" w:fill="FFFFFF"/>
            <w:tcMar>
              <w:top w:w="40" w:type="dxa"/>
              <w:bottom w:w="40" w:type="dxa"/>
              <w:right w:w="20" w:type="dxa"/>
            </w:tcMar>
            <w:vAlign w:val="center"/>
          </w:tcPr>
          <w:p w14:paraId="33DAF79E" w14:textId="77777777" w:rsidR="004D6A64" w:rsidRDefault="004D6A64">
            <w:pPr>
              <w:jc w:val="right"/>
              <w:rPr>
                <w:rFonts w:ascii="宋体"/>
              </w:rPr>
            </w:pPr>
          </w:p>
        </w:tc>
        <w:tc>
          <w:tcPr>
            <w:tcW w:w="0" w:type="auto"/>
            <w:shd w:val="clear" w:color="auto" w:fill="auto"/>
          </w:tcPr>
          <w:p w14:paraId="33DAF79F" w14:textId="77777777" w:rsidR="004D6A64" w:rsidRDefault="004D6A64">
            <w:pPr>
              <w:rPr>
                <w:rFonts w:ascii="宋体"/>
              </w:rPr>
            </w:pPr>
          </w:p>
        </w:tc>
        <w:tc>
          <w:tcPr>
            <w:tcW w:w="0" w:type="auto"/>
            <w:shd w:val="clear" w:color="auto" w:fill="auto"/>
          </w:tcPr>
          <w:p w14:paraId="33DAF7A0" w14:textId="77777777" w:rsidR="004D6A64" w:rsidRDefault="004D6A64">
            <w:pPr>
              <w:rPr>
                <w:rFonts w:ascii="宋体"/>
              </w:rPr>
            </w:pPr>
          </w:p>
        </w:tc>
        <w:tc>
          <w:tcPr>
            <w:tcW w:w="0" w:type="auto"/>
            <w:shd w:val="clear" w:color="auto" w:fill="auto"/>
          </w:tcPr>
          <w:p w14:paraId="33DAF7A1" w14:textId="77777777" w:rsidR="004D6A64" w:rsidRDefault="004D6A64">
            <w:pPr>
              <w:rPr>
                <w:rFonts w:ascii="宋体"/>
              </w:rPr>
            </w:pPr>
          </w:p>
        </w:tc>
        <w:tc>
          <w:tcPr>
            <w:tcW w:w="0" w:type="auto"/>
            <w:shd w:val="clear" w:color="auto" w:fill="auto"/>
          </w:tcPr>
          <w:p w14:paraId="33DAF7A2" w14:textId="77777777" w:rsidR="004D6A64" w:rsidRDefault="004D6A64">
            <w:pPr>
              <w:rPr>
                <w:rFonts w:ascii="宋体"/>
              </w:rPr>
            </w:pPr>
          </w:p>
        </w:tc>
        <w:tc>
          <w:tcPr>
            <w:tcW w:w="0" w:type="auto"/>
            <w:shd w:val="clear" w:color="auto" w:fill="auto"/>
          </w:tcPr>
          <w:p w14:paraId="33DAF7A3" w14:textId="77777777" w:rsidR="004D6A64" w:rsidRDefault="004D6A64">
            <w:pPr>
              <w:rPr>
                <w:rFonts w:ascii="宋体"/>
              </w:rPr>
            </w:pPr>
          </w:p>
        </w:tc>
        <w:tc>
          <w:tcPr>
            <w:tcW w:w="0" w:type="auto"/>
            <w:shd w:val="clear" w:color="auto" w:fill="auto"/>
          </w:tcPr>
          <w:p w14:paraId="33DAF7A4" w14:textId="77777777" w:rsidR="004D6A64" w:rsidRDefault="004D6A64">
            <w:pPr>
              <w:rPr>
                <w:rFonts w:ascii="宋体"/>
              </w:rPr>
            </w:pPr>
          </w:p>
        </w:tc>
        <w:tc>
          <w:tcPr>
            <w:tcW w:w="0" w:type="auto"/>
            <w:shd w:val="clear" w:color="auto" w:fill="auto"/>
          </w:tcPr>
          <w:p w14:paraId="33DAF7A5" w14:textId="77777777" w:rsidR="004D6A64" w:rsidRDefault="004D6A64">
            <w:pPr>
              <w:rPr>
                <w:rFonts w:ascii="宋体"/>
              </w:rPr>
            </w:pPr>
          </w:p>
        </w:tc>
        <w:tc>
          <w:tcPr>
            <w:tcW w:w="0" w:type="auto"/>
            <w:shd w:val="clear" w:color="auto" w:fill="auto"/>
          </w:tcPr>
          <w:p w14:paraId="33DAF7A6" w14:textId="77777777" w:rsidR="004D6A64" w:rsidRDefault="004D6A64">
            <w:pPr>
              <w:rPr>
                <w:rFonts w:ascii="宋体"/>
              </w:rPr>
            </w:pPr>
          </w:p>
        </w:tc>
        <w:tc>
          <w:tcPr>
            <w:tcW w:w="0" w:type="auto"/>
            <w:shd w:val="clear" w:color="auto" w:fill="auto"/>
          </w:tcPr>
          <w:p w14:paraId="33DAF7A7" w14:textId="77777777" w:rsidR="004D6A64" w:rsidRDefault="004D6A64">
            <w:pPr>
              <w:rPr>
                <w:rFonts w:ascii="宋体"/>
              </w:rPr>
            </w:pPr>
          </w:p>
        </w:tc>
        <w:tc>
          <w:tcPr>
            <w:tcW w:w="0" w:type="auto"/>
            <w:shd w:val="clear" w:color="auto" w:fill="auto"/>
          </w:tcPr>
          <w:p w14:paraId="33DAF7A8" w14:textId="77777777" w:rsidR="004D6A64" w:rsidRDefault="004D6A64">
            <w:pPr>
              <w:rPr>
                <w:rFonts w:ascii="宋体"/>
              </w:rPr>
            </w:pPr>
          </w:p>
        </w:tc>
        <w:tc>
          <w:tcPr>
            <w:tcW w:w="0" w:type="auto"/>
            <w:shd w:val="clear" w:color="auto" w:fill="auto"/>
          </w:tcPr>
          <w:p w14:paraId="33DAF7A9" w14:textId="77777777" w:rsidR="004D6A64" w:rsidRDefault="004D6A64">
            <w:pPr>
              <w:rPr>
                <w:rFonts w:ascii="宋体"/>
              </w:rPr>
            </w:pPr>
          </w:p>
        </w:tc>
        <w:tc>
          <w:tcPr>
            <w:tcW w:w="0" w:type="auto"/>
            <w:shd w:val="clear" w:color="auto" w:fill="auto"/>
          </w:tcPr>
          <w:p w14:paraId="33DAF7AA" w14:textId="77777777" w:rsidR="004D6A64" w:rsidRDefault="004D6A64">
            <w:pPr>
              <w:rPr>
                <w:rFonts w:ascii="宋体"/>
              </w:rPr>
            </w:pPr>
          </w:p>
        </w:tc>
      </w:tr>
      <w:tr w:rsidR="004D6A64" w14:paraId="33DAF7C1" w14:textId="77777777">
        <w:trPr>
          <w:jc w:val="center"/>
        </w:trPr>
        <w:tc>
          <w:tcPr>
            <w:tcW w:w="0" w:type="auto"/>
            <w:gridSpan w:val="3"/>
            <w:shd w:val="clear" w:color="auto" w:fill="CCEEFF"/>
            <w:tcMar>
              <w:top w:w="40" w:type="dxa"/>
              <w:left w:w="120" w:type="dxa"/>
              <w:bottom w:w="40" w:type="dxa"/>
              <w:right w:w="20" w:type="dxa"/>
            </w:tcMar>
            <w:vAlign w:val="center"/>
          </w:tcPr>
          <w:p w14:paraId="33DAF7AC" w14:textId="77777777" w:rsidR="004D6A64" w:rsidRDefault="00506CD6">
            <w:pPr>
              <w:textAlignment w:val="center"/>
            </w:pPr>
            <w:r>
              <w:rPr>
                <w:rFonts w:ascii="Times New Roman" w:eastAsia="宋体" w:hAnsi="Times New Roman"/>
                <w:color w:val="000000"/>
                <w:sz w:val="20"/>
                <w:szCs w:val="20"/>
              </w:rPr>
              <w:t>EMC Notes</w:t>
            </w:r>
          </w:p>
        </w:tc>
        <w:tc>
          <w:tcPr>
            <w:tcW w:w="0" w:type="auto"/>
            <w:gridSpan w:val="2"/>
            <w:shd w:val="clear" w:color="auto" w:fill="CCEEFF"/>
            <w:tcMar>
              <w:top w:w="40" w:type="dxa"/>
              <w:left w:w="20" w:type="dxa"/>
              <w:bottom w:w="40" w:type="dxa"/>
              <w:right w:w="0" w:type="dxa"/>
            </w:tcMar>
            <w:vAlign w:val="center"/>
          </w:tcPr>
          <w:p w14:paraId="33DAF7AD" w14:textId="77777777" w:rsidR="004D6A64" w:rsidRDefault="00506CD6">
            <w:pPr>
              <w:jc w:val="right"/>
              <w:textAlignment w:val="center"/>
            </w:pPr>
            <w:r>
              <w:rPr>
                <w:rFonts w:ascii="Times New Roman" w:eastAsia="宋体" w:hAnsi="Times New Roman"/>
                <w:color w:val="000000"/>
                <w:sz w:val="20"/>
                <w:szCs w:val="20"/>
              </w:rPr>
              <w:t>1,000 </w:t>
            </w:r>
          </w:p>
        </w:tc>
        <w:tc>
          <w:tcPr>
            <w:tcW w:w="0" w:type="auto"/>
            <w:shd w:val="clear" w:color="auto" w:fill="CCEEFF"/>
            <w:tcMar>
              <w:top w:w="40" w:type="dxa"/>
              <w:bottom w:w="40" w:type="dxa"/>
              <w:right w:w="20" w:type="dxa"/>
            </w:tcMar>
            <w:vAlign w:val="center"/>
          </w:tcPr>
          <w:p w14:paraId="33DAF7AE"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7AF"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7B0" w14:textId="77777777" w:rsidR="004D6A64" w:rsidRDefault="00506CD6">
            <w:pPr>
              <w:jc w:val="right"/>
              <w:textAlignment w:val="center"/>
            </w:pPr>
            <w:r>
              <w:rPr>
                <w:rFonts w:ascii="Times New Roman" w:eastAsia="宋体" w:hAnsi="Times New Roman"/>
                <w:color w:val="000000"/>
                <w:sz w:val="20"/>
                <w:szCs w:val="20"/>
              </w:rPr>
              <w:t>(600)</w:t>
            </w:r>
          </w:p>
        </w:tc>
        <w:tc>
          <w:tcPr>
            <w:tcW w:w="0" w:type="auto"/>
            <w:shd w:val="clear" w:color="auto" w:fill="CCEEFF"/>
            <w:tcMar>
              <w:top w:w="40" w:type="dxa"/>
              <w:bottom w:w="40" w:type="dxa"/>
              <w:right w:w="20" w:type="dxa"/>
            </w:tcMar>
            <w:vAlign w:val="center"/>
          </w:tcPr>
          <w:p w14:paraId="33DAF7B1"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7B2"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7B3" w14:textId="77777777" w:rsidR="004D6A64" w:rsidRDefault="00506CD6">
            <w:pPr>
              <w:jc w:val="right"/>
              <w:textAlignment w:val="center"/>
            </w:pPr>
            <w:r>
              <w:rPr>
                <w:rFonts w:ascii="Times New Roman" w:eastAsia="宋体" w:hAnsi="Times New Roman"/>
                <w:color w:val="000000"/>
                <w:sz w:val="20"/>
                <w:szCs w:val="20"/>
              </w:rPr>
              <w:t>1,600 </w:t>
            </w:r>
          </w:p>
        </w:tc>
        <w:tc>
          <w:tcPr>
            <w:tcW w:w="0" w:type="auto"/>
            <w:shd w:val="clear" w:color="auto" w:fill="CCEEFF"/>
            <w:tcMar>
              <w:top w:w="40" w:type="dxa"/>
              <w:bottom w:w="40" w:type="dxa"/>
              <w:right w:w="20" w:type="dxa"/>
            </w:tcMar>
            <w:vAlign w:val="center"/>
          </w:tcPr>
          <w:p w14:paraId="33DAF7B4" w14:textId="77777777" w:rsidR="004D6A64" w:rsidRDefault="004D6A64">
            <w:pPr>
              <w:jc w:val="right"/>
              <w:rPr>
                <w:rFonts w:ascii="宋体"/>
              </w:rPr>
            </w:pPr>
          </w:p>
        </w:tc>
        <w:tc>
          <w:tcPr>
            <w:tcW w:w="0" w:type="auto"/>
            <w:shd w:val="clear" w:color="auto" w:fill="auto"/>
          </w:tcPr>
          <w:p w14:paraId="33DAF7B5" w14:textId="77777777" w:rsidR="004D6A64" w:rsidRDefault="004D6A64">
            <w:pPr>
              <w:rPr>
                <w:rFonts w:ascii="宋体"/>
              </w:rPr>
            </w:pPr>
          </w:p>
        </w:tc>
        <w:tc>
          <w:tcPr>
            <w:tcW w:w="0" w:type="auto"/>
            <w:shd w:val="clear" w:color="auto" w:fill="auto"/>
          </w:tcPr>
          <w:p w14:paraId="33DAF7B6" w14:textId="77777777" w:rsidR="004D6A64" w:rsidRDefault="004D6A64">
            <w:pPr>
              <w:rPr>
                <w:rFonts w:ascii="宋体"/>
              </w:rPr>
            </w:pPr>
          </w:p>
        </w:tc>
        <w:tc>
          <w:tcPr>
            <w:tcW w:w="0" w:type="auto"/>
            <w:shd w:val="clear" w:color="auto" w:fill="auto"/>
          </w:tcPr>
          <w:p w14:paraId="33DAF7B7" w14:textId="77777777" w:rsidR="004D6A64" w:rsidRDefault="004D6A64">
            <w:pPr>
              <w:rPr>
                <w:rFonts w:ascii="宋体"/>
              </w:rPr>
            </w:pPr>
          </w:p>
        </w:tc>
        <w:tc>
          <w:tcPr>
            <w:tcW w:w="0" w:type="auto"/>
            <w:shd w:val="clear" w:color="auto" w:fill="auto"/>
          </w:tcPr>
          <w:p w14:paraId="33DAF7B8" w14:textId="77777777" w:rsidR="004D6A64" w:rsidRDefault="004D6A64">
            <w:pPr>
              <w:rPr>
                <w:rFonts w:ascii="宋体"/>
              </w:rPr>
            </w:pPr>
          </w:p>
        </w:tc>
        <w:tc>
          <w:tcPr>
            <w:tcW w:w="0" w:type="auto"/>
            <w:shd w:val="clear" w:color="auto" w:fill="auto"/>
          </w:tcPr>
          <w:p w14:paraId="33DAF7B9" w14:textId="77777777" w:rsidR="004D6A64" w:rsidRDefault="004D6A64">
            <w:pPr>
              <w:rPr>
                <w:rFonts w:ascii="宋体"/>
              </w:rPr>
            </w:pPr>
          </w:p>
        </w:tc>
        <w:tc>
          <w:tcPr>
            <w:tcW w:w="0" w:type="auto"/>
            <w:shd w:val="clear" w:color="auto" w:fill="auto"/>
          </w:tcPr>
          <w:p w14:paraId="33DAF7BA" w14:textId="77777777" w:rsidR="004D6A64" w:rsidRDefault="004D6A64">
            <w:pPr>
              <w:rPr>
                <w:rFonts w:ascii="宋体"/>
              </w:rPr>
            </w:pPr>
          </w:p>
        </w:tc>
        <w:tc>
          <w:tcPr>
            <w:tcW w:w="0" w:type="auto"/>
            <w:shd w:val="clear" w:color="auto" w:fill="auto"/>
          </w:tcPr>
          <w:p w14:paraId="33DAF7BB" w14:textId="77777777" w:rsidR="004D6A64" w:rsidRDefault="004D6A64">
            <w:pPr>
              <w:rPr>
                <w:rFonts w:ascii="宋体"/>
              </w:rPr>
            </w:pPr>
          </w:p>
        </w:tc>
        <w:tc>
          <w:tcPr>
            <w:tcW w:w="0" w:type="auto"/>
            <w:shd w:val="clear" w:color="auto" w:fill="auto"/>
          </w:tcPr>
          <w:p w14:paraId="33DAF7BC" w14:textId="77777777" w:rsidR="004D6A64" w:rsidRDefault="004D6A64">
            <w:pPr>
              <w:rPr>
                <w:rFonts w:ascii="宋体"/>
              </w:rPr>
            </w:pPr>
          </w:p>
        </w:tc>
        <w:tc>
          <w:tcPr>
            <w:tcW w:w="0" w:type="auto"/>
            <w:shd w:val="clear" w:color="auto" w:fill="auto"/>
          </w:tcPr>
          <w:p w14:paraId="33DAF7BD" w14:textId="77777777" w:rsidR="004D6A64" w:rsidRDefault="004D6A64">
            <w:pPr>
              <w:rPr>
                <w:rFonts w:ascii="宋体"/>
              </w:rPr>
            </w:pPr>
          </w:p>
        </w:tc>
        <w:tc>
          <w:tcPr>
            <w:tcW w:w="0" w:type="auto"/>
            <w:shd w:val="clear" w:color="auto" w:fill="auto"/>
          </w:tcPr>
          <w:p w14:paraId="33DAF7BE" w14:textId="77777777" w:rsidR="004D6A64" w:rsidRDefault="004D6A64">
            <w:pPr>
              <w:rPr>
                <w:rFonts w:ascii="宋体"/>
              </w:rPr>
            </w:pPr>
          </w:p>
        </w:tc>
        <w:tc>
          <w:tcPr>
            <w:tcW w:w="0" w:type="auto"/>
            <w:shd w:val="clear" w:color="auto" w:fill="auto"/>
          </w:tcPr>
          <w:p w14:paraId="33DAF7BF" w14:textId="77777777" w:rsidR="004D6A64" w:rsidRDefault="004D6A64">
            <w:pPr>
              <w:rPr>
                <w:rFonts w:ascii="宋体"/>
              </w:rPr>
            </w:pPr>
          </w:p>
        </w:tc>
        <w:tc>
          <w:tcPr>
            <w:tcW w:w="0" w:type="auto"/>
            <w:shd w:val="clear" w:color="auto" w:fill="auto"/>
          </w:tcPr>
          <w:p w14:paraId="33DAF7C0" w14:textId="77777777" w:rsidR="004D6A64" w:rsidRDefault="004D6A64">
            <w:pPr>
              <w:rPr>
                <w:rFonts w:ascii="宋体"/>
              </w:rPr>
            </w:pPr>
          </w:p>
        </w:tc>
      </w:tr>
      <w:tr w:rsidR="004D6A64" w14:paraId="33DAF7D7" w14:textId="77777777">
        <w:trPr>
          <w:jc w:val="center"/>
        </w:trPr>
        <w:tc>
          <w:tcPr>
            <w:tcW w:w="0" w:type="auto"/>
            <w:gridSpan w:val="3"/>
            <w:shd w:val="clear" w:color="auto" w:fill="FFFFFF"/>
            <w:tcMar>
              <w:top w:w="40" w:type="dxa"/>
              <w:left w:w="120" w:type="dxa"/>
              <w:bottom w:w="40" w:type="dxa"/>
              <w:right w:w="20" w:type="dxa"/>
            </w:tcMar>
            <w:vAlign w:val="center"/>
          </w:tcPr>
          <w:p w14:paraId="33DAF7C2" w14:textId="77777777" w:rsidR="004D6A64" w:rsidRDefault="00506CD6">
            <w:pPr>
              <w:textAlignment w:val="center"/>
            </w:pPr>
            <w:r>
              <w:rPr>
                <w:rFonts w:ascii="Times New Roman" w:eastAsia="宋体" w:hAnsi="Times New Roman"/>
                <w:color w:val="000000"/>
                <w:sz w:val="20"/>
                <w:szCs w:val="20"/>
              </w:rPr>
              <w:t>DFS allocated debt</w:t>
            </w:r>
          </w:p>
        </w:tc>
        <w:tc>
          <w:tcPr>
            <w:tcW w:w="0" w:type="auto"/>
            <w:gridSpan w:val="2"/>
            <w:shd w:val="clear" w:color="auto" w:fill="FFFFFF"/>
            <w:tcMar>
              <w:top w:w="40" w:type="dxa"/>
              <w:left w:w="20" w:type="dxa"/>
              <w:bottom w:w="40" w:type="dxa"/>
              <w:right w:w="0" w:type="dxa"/>
            </w:tcMar>
            <w:vAlign w:val="center"/>
          </w:tcPr>
          <w:p w14:paraId="33DAF7C3" w14:textId="77777777" w:rsidR="004D6A64" w:rsidRDefault="00506CD6">
            <w:pPr>
              <w:jc w:val="right"/>
              <w:textAlignment w:val="center"/>
            </w:pPr>
            <w:r>
              <w:rPr>
                <w:rFonts w:ascii="Times New Roman" w:eastAsia="宋体" w:hAnsi="Times New Roman"/>
                <w:color w:val="000000"/>
                <w:sz w:val="20"/>
                <w:szCs w:val="20"/>
              </w:rPr>
              <w:t>(1,184)</w:t>
            </w:r>
          </w:p>
        </w:tc>
        <w:tc>
          <w:tcPr>
            <w:tcW w:w="0" w:type="auto"/>
            <w:shd w:val="clear" w:color="auto" w:fill="FFFFFF"/>
            <w:tcMar>
              <w:top w:w="40" w:type="dxa"/>
              <w:bottom w:w="40" w:type="dxa"/>
              <w:right w:w="20" w:type="dxa"/>
            </w:tcMar>
            <w:vAlign w:val="center"/>
          </w:tcPr>
          <w:p w14:paraId="33DAF7C4"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7C5"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F7C6" w14:textId="77777777" w:rsidR="004D6A64" w:rsidRDefault="00506CD6">
            <w:pPr>
              <w:jc w:val="right"/>
              <w:textAlignment w:val="center"/>
            </w:pPr>
            <w:r>
              <w:rPr>
                <w:rFonts w:ascii="Times New Roman" w:eastAsia="宋体" w:hAnsi="Times New Roman"/>
                <w:color w:val="000000"/>
                <w:sz w:val="20"/>
                <w:szCs w:val="20"/>
              </w:rPr>
              <w:t>311 </w:t>
            </w:r>
          </w:p>
        </w:tc>
        <w:tc>
          <w:tcPr>
            <w:tcW w:w="0" w:type="auto"/>
            <w:shd w:val="clear" w:color="auto" w:fill="FFFFFF"/>
            <w:tcMar>
              <w:top w:w="40" w:type="dxa"/>
              <w:bottom w:w="40" w:type="dxa"/>
              <w:right w:w="20" w:type="dxa"/>
            </w:tcMar>
            <w:vAlign w:val="center"/>
          </w:tcPr>
          <w:p w14:paraId="33DAF7C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7C8"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F7C9" w14:textId="77777777" w:rsidR="004D6A64" w:rsidRDefault="00506CD6">
            <w:pPr>
              <w:jc w:val="right"/>
              <w:textAlignment w:val="center"/>
            </w:pPr>
            <w:r>
              <w:rPr>
                <w:rFonts w:ascii="Times New Roman" w:eastAsia="宋体" w:hAnsi="Times New Roman"/>
                <w:color w:val="000000"/>
                <w:sz w:val="20"/>
                <w:szCs w:val="20"/>
              </w:rPr>
              <w:t>(1,495)</w:t>
            </w:r>
          </w:p>
        </w:tc>
        <w:tc>
          <w:tcPr>
            <w:tcW w:w="0" w:type="auto"/>
            <w:shd w:val="clear" w:color="auto" w:fill="FFFFFF"/>
            <w:tcMar>
              <w:top w:w="40" w:type="dxa"/>
              <w:bottom w:w="40" w:type="dxa"/>
              <w:right w:w="20" w:type="dxa"/>
            </w:tcMar>
            <w:vAlign w:val="center"/>
          </w:tcPr>
          <w:p w14:paraId="33DAF7CA" w14:textId="77777777" w:rsidR="004D6A64" w:rsidRDefault="004D6A64">
            <w:pPr>
              <w:jc w:val="right"/>
              <w:rPr>
                <w:rFonts w:ascii="宋体"/>
              </w:rPr>
            </w:pPr>
          </w:p>
        </w:tc>
        <w:tc>
          <w:tcPr>
            <w:tcW w:w="0" w:type="auto"/>
            <w:shd w:val="clear" w:color="auto" w:fill="auto"/>
          </w:tcPr>
          <w:p w14:paraId="33DAF7CB" w14:textId="77777777" w:rsidR="004D6A64" w:rsidRDefault="004D6A64">
            <w:pPr>
              <w:rPr>
                <w:rFonts w:ascii="宋体"/>
              </w:rPr>
            </w:pPr>
          </w:p>
        </w:tc>
        <w:tc>
          <w:tcPr>
            <w:tcW w:w="0" w:type="auto"/>
            <w:shd w:val="clear" w:color="auto" w:fill="auto"/>
          </w:tcPr>
          <w:p w14:paraId="33DAF7CC" w14:textId="77777777" w:rsidR="004D6A64" w:rsidRDefault="004D6A64">
            <w:pPr>
              <w:rPr>
                <w:rFonts w:ascii="宋体"/>
              </w:rPr>
            </w:pPr>
          </w:p>
        </w:tc>
        <w:tc>
          <w:tcPr>
            <w:tcW w:w="0" w:type="auto"/>
            <w:shd w:val="clear" w:color="auto" w:fill="auto"/>
          </w:tcPr>
          <w:p w14:paraId="33DAF7CD" w14:textId="77777777" w:rsidR="004D6A64" w:rsidRDefault="004D6A64">
            <w:pPr>
              <w:rPr>
                <w:rFonts w:ascii="宋体"/>
              </w:rPr>
            </w:pPr>
          </w:p>
        </w:tc>
        <w:tc>
          <w:tcPr>
            <w:tcW w:w="0" w:type="auto"/>
            <w:shd w:val="clear" w:color="auto" w:fill="auto"/>
          </w:tcPr>
          <w:p w14:paraId="33DAF7CE" w14:textId="77777777" w:rsidR="004D6A64" w:rsidRDefault="004D6A64">
            <w:pPr>
              <w:rPr>
                <w:rFonts w:ascii="宋体"/>
              </w:rPr>
            </w:pPr>
          </w:p>
        </w:tc>
        <w:tc>
          <w:tcPr>
            <w:tcW w:w="0" w:type="auto"/>
            <w:shd w:val="clear" w:color="auto" w:fill="auto"/>
          </w:tcPr>
          <w:p w14:paraId="33DAF7CF" w14:textId="77777777" w:rsidR="004D6A64" w:rsidRDefault="004D6A64">
            <w:pPr>
              <w:rPr>
                <w:rFonts w:ascii="宋体"/>
              </w:rPr>
            </w:pPr>
          </w:p>
        </w:tc>
        <w:tc>
          <w:tcPr>
            <w:tcW w:w="0" w:type="auto"/>
            <w:shd w:val="clear" w:color="auto" w:fill="auto"/>
          </w:tcPr>
          <w:p w14:paraId="33DAF7D0" w14:textId="77777777" w:rsidR="004D6A64" w:rsidRDefault="004D6A64">
            <w:pPr>
              <w:rPr>
                <w:rFonts w:ascii="宋体"/>
              </w:rPr>
            </w:pPr>
          </w:p>
        </w:tc>
        <w:tc>
          <w:tcPr>
            <w:tcW w:w="0" w:type="auto"/>
            <w:shd w:val="clear" w:color="auto" w:fill="auto"/>
          </w:tcPr>
          <w:p w14:paraId="33DAF7D1" w14:textId="77777777" w:rsidR="004D6A64" w:rsidRDefault="004D6A64">
            <w:pPr>
              <w:rPr>
                <w:rFonts w:ascii="宋体"/>
              </w:rPr>
            </w:pPr>
          </w:p>
        </w:tc>
        <w:tc>
          <w:tcPr>
            <w:tcW w:w="0" w:type="auto"/>
            <w:shd w:val="clear" w:color="auto" w:fill="auto"/>
          </w:tcPr>
          <w:p w14:paraId="33DAF7D2" w14:textId="77777777" w:rsidR="004D6A64" w:rsidRDefault="004D6A64">
            <w:pPr>
              <w:rPr>
                <w:rFonts w:ascii="宋体"/>
              </w:rPr>
            </w:pPr>
          </w:p>
        </w:tc>
        <w:tc>
          <w:tcPr>
            <w:tcW w:w="0" w:type="auto"/>
            <w:shd w:val="clear" w:color="auto" w:fill="auto"/>
          </w:tcPr>
          <w:p w14:paraId="33DAF7D3" w14:textId="77777777" w:rsidR="004D6A64" w:rsidRDefault="004D6A64">
            <w:pPr>
              <w:rPr>
                <w:rFonts w:ascii="宋体"/>
              </w:rPr>
            </w:pPr>
          </w:p>
        </w:tc>
        <w:tc>
          <w:tcPr>
            <w:tcW w:w="0" w:type="auto"/>
            <w:shd w:val="clear" w:color="auto" w:fill="auto"/>
          </w:tcPr>
          <w:p w14:paraId="33DAF7D4" w14:textId="77777777" w:rsidR="004D6A64" w:rsidRDefault="004D6A64">
            <w:pPr>
              <w:rPr>
                <w:rFonts w:ascii="宋体"/>
              </w:rPr>
            </w:pPr>
          </w:p>
        </w:tc>
        <w:tc>
          <w:tcPr>
            <w:tcW w:w="0" w:type="auto"/>
            <w:shd w:val="clear" w:color="auto" w:fill="auto"/>
          </w:tcPr>
          <w:p w14:paraId="33DAF7D5" w14:textId="77777777" w:rsidR="004D6A64" w:rsidRDefault="004D6A64">
            <w:pPr>
              <w:rPr>
                <w:rFonts w:ascii="宋体"/>
              </w:rPr>
            </w:pPr>
          </w:p>
        </w:tc>
        <w:tc>
          <w:tcPr>
            <w:tcW w:w="0" w:type="auto"/>
            <w:shd w:val="clear" w:color="auto" w:fill="auto"/>
          </w:tcPr>
          <w:p w14:paraId="33DAF7D6" w14:textId="77777777" w:rsidR="004D6A64" w:rsidRDefault="004D6A64">
            <w:pPr>
              <w:rPr>
                <w:rFonts w:ascii="宋体"/>
              </w:rPr>
            </w:pPr>
          </w:p>
        </w:tc>
      </w:tr>
      <w:tr w:rsidR="004D6A64" w14:paraId="33DAF7ED" w14:textId="77777777">
        <w:trPr>
          <w:jc w:val="center"/>
        </w:trPr>
        <w:tc>
          <w:tcPr>
            <w:tcW w:w="0" w:type="auto"/>
            <w:gridSpan w:val="3"/>
            <w:shd w:val="clear" w:color="auto" w:fill="CCEEFF"/>
            <w:tcMar>
              <w:top w:w="40" w:type="dxa"/>
              <w:left w:w="240" w:type="dxa"/>
              <w:bottom w:w="40" w:type="dxa"/>
              <w:right w:w="20" w:type="dxa"/>
            </w:tcMar>
            <w:vAlign w:val="center"/>
          </w:tcPr>
          <w:p w14:paraId="33DAF7D8" w14:textId="77777777" w:rsidR="004D6A64" w:rsidRDefault="00506CD6">
            <w:pPr>
              <w:textAlignment w:val="center"/>
            </w:pPr>
            <w:r>
              <w:rPr>
                <w:rFonts w:ascii="Times New Roman" w:eastAsia="宋体" w:hAnsi="Times New Roman"/>
                <w:color w:val="000000"/>
                <w:sz w:val="20"/>
                <w:szCs w:val="20"/>
              </w:rPr>
              <w:t xml:space="preserve">Total core debt </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F7D9" w14:textId="77777777" w:rsidR="004D6A64" w:rsidRDefault="00506CD6">
            <w:pPr>
              <w:jc w:val="right"/>
              <w:textAlignment w:val="center"/>
            </w:pPr>
            <w:r>
              <w:rPr>
                <w:rFonts w:ascii="Times New Roman" w:eastAsia="宋体" w:hAnsi="Times New Roman"/>
                <w:color w:val="000000"/>
                <w:sz w:val="20"/>
                <w:szCs w:val="20"/>
              </w:rPr>
              <w:t>34,119 </w:t>
            </w:r>
          </w:p>
        </w:tc>
        <w:tc>
          <w:tcPr>
            <w:tcW w:w="0" w:type="auto"/>
            <w:tcBorders>
              <w:top w:val="single" w:sz="8" w:space="0" w:color="000000"/>
            </w:tcBorders>
            <w:shd w:val="clear" w:color="auto" w:fill="CCEEFF"/>
            <w:tcMar>
              <w:top w:w="40" w:type="dxa"/>
              <w:bottom w:w="40" w:type="dxa"/>
              <w:right w:w="20" w:type="dxa"/>
            </w:tcMar>
            <w:vAlign w:val="center"/>
          </w:tcPr>
          <w:p w14:paraId="33DAF7D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7DB"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F7DC" w14:textId="77777777" w:rsidR="004D6A64" w:rsidRDefault="00506CD6">
            <w:pPr>
              <w:jc w:val="right"/>
              <w:textAlignment w:val="center"/>
            </w:pPr>
            <w:r>
              <w:rPr>
                <w:rFonts w:ascii="Times New Roman" w:eastAsia="宋体" w:hAnsi="Times New Roman"/>
                <w:color w:val="000000"/>
                <w:sz w:val="20"/>
                <w:szCs w:val="20"/>
              </w:rPr>
              <w:t>298 </w:t>
            </w:r>
          </w:p>
        </w:tc>
        <w:tc>
          <w:tcPr>
            <w:tcW w:w="0" w:type="auto"/>
            <w:tcBorders>
              <w:top w:val="single" w:sz="8" w:space="0" w:color="000000"/>
            </w:tcBorders>
            <w:shd w:val="clear" w:color="auto" w:fill="CCEEFF"/>
            <w:tcMar>
              <w:top w:w="40" w:type="dxa"/>
              <w:bottom w:w="40" w:type="dxa"/>
              <w:right w:w="20" w:type="dxa"/>
            </w:tcMar>
            <w:vAlign w:val="center"/>
          </w:tcPr>
          <w:p w14:paraId="33DAF7DD"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7DE"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F7DF" w14:textId="77777777" w:rsidR="004D6A64" w:rsidRDefault="00506CD6">
            <w:pPr>
              <w:jc w:val="right"/>
              <w:textAlignment w:val="center"/>
            </w:pPr>
            <w:r>
              <w:rPr>
                <w:rFonts w:ascii="Times New Roman" w:eastAsia="宋体" w:hAnsi="Times New Roman"/>
                <w:color w:val="000000"/>
                <w:sz w:val="20"/>
                <w:szCs w:val="20"/>
              </w:rPr>
              <w:t>33,821 </w:t>
            </w:r>
          </w:p>
        </w:tc>
        <w:tc>
          <w:tcPr>
            <w:tcW w:w="0" w:type="auto"/>
            <w:tcBorders>
              <w:top w:val="single" w:sz="8" w:space="0" w:color="000000"/>
            </w:tcBorders>
            <w:shd w:val="clear" w:color="auto" w:fill="CCEEFF"/>
            <w:tcMar>
              <w:top w:w="40" w:type="dxa"/>
              <w:bottom w:w="40" w:type="dxa"/>
              <w:right w:w="20" w:type="dxa"/>
            </w:tcMar>
            <w:vAlign w:val="center"/>
          </w:tcPr>
          <w:p w14:paraId="33DAF7E0" w14:textId="77777777" w:rsidR="004D6A64" w:rsidRDefault="004D6A64">
            <w:pPr>
              <w:jc w:val="right"/>
              <w:rPr>
                <w:rFonts w:ascii="宋体"/>
              </w:rPr>
            </w:pPr>
          </w:p>
        </w:tc>
        <w:tc>
          <w:tcPr>
            <w:tcW w:w="0" w:type="auto"/>
            <w:shd w:val="clear" w:color="auto" w:fill="auto"/>
          </w:tcPr>
          <w:p w14:paraId="33DAF7E1" w14:textId="77777777" w:rsidR="004D6A64" w:rsidRDefault="004D6A64">
            <w:pPr>
              <w:rPr>
                <w:rFonts w:ascii="宋体"/>
              </w:rPr>
            </w:pPr>
          </w:p>
        </w:tc>
        <w:tc>
          <w:tcPr>
            <w:tcW w:w="0" w:type="auto"/>
            <w:shd w:val="clear" w:color="auto" w:fill="auto"/>
          </w:tcPr>
          <w:p w14:paraId="33DAF7E2" w14:textId="77777777" w:rsidR="004D6A64" w:rsidRDefault="004D6A64">
            <w:pPr>
              <w:rPr>
                <w:rFonts w:ascii="宋体"/>
              </w:rPr>
            </w:pPr>
          </w:p>
        </w:tc>
        <w:tc>
          <w:tcPr>
            <w:tcW w:w="0" w:type="auto"/>
            <w:shd w:val="clear" w:color="auto" w:fill="auto"/>
          </w:tcPr>
          <w:p w14:paraId="33DAF7E3" w14:textId="77777777" w:rsidR="004D6A64" w:rsidRDefault="004D6A64">
            <w:pPr>
              <w:rPr>
                <w:rFonts w:ascii="宋体"/>
              </w:rPr>
            </w:pPr>
          </w:p>
        </w:tc>
        <w:tc>
          <w:tcPr>
            <w:tcW w:w="0" w:type="auto"/>
            <w:shd w:val="clear" w:color="auto" w:fill="auto"/>
          </w:tcPr>
          <w:p w14:paraId="33DAF7E4" w14:textId="77777777" w:rsidR="004D6A64" w:rsidRDefault="004D6A64">
            <w:pPr>
              <w:rPr>
                <w:rFonts w:ascii="宋体"/>
              </w:rPr>
            </w:pPr>
          </w:p>
        </w:tc>
        <w:tc>
          <w:tcPr>
            <w:tcW w:w="0" w:type="auto"/>
            <w:shd w:val="clear" w:color="auto" w:fill="auto"/>
          </w:tcPr>
          <w:p w14:paraId="33DAF7E5" w14:textId="77777777" w:rsidR="004D6A64" w:rsidRDefault="004D6A64">
            <w:pPr>
              <w:rPr>
                <w:rFonts w:ascii="宋体"/>
              </w:rPr>
            </w:pPr>
          </w:p>
        </w:tc>
        <w:tc>
          <w:tcPr>
            <w:tcW w:w="0" w:type="auto"/>
            <w:shd w:val="clear" w:color="auto" w:fill="auto"/>
          </w:tcPr>
          <w:p w14:paraId="33DAF7E6" w14:textId="77777777" w:rsidR="004D6A64" w:rsidRDefault="004D6A64">
            <w:pPr>
              <w:rPr>
                <w:rFonts w:ascii="宋体"/>
              </w:rPr>
            </w:pPr>
          </w:p>
        </w:tc>
        <w:tc>
          <w:tcPr>
            <w:tcW w:w="0" w:type="auto"/>
            <w:shd w:val="clear" w:color="auto" w:fill="auto"/>
          </w:tcPr>
          <w:p w14:paraId="33DAF7E7" w14:textId="77777777" w:rsidR="004D6A64" w:rsidRDefault="004D6A64">
            <w:pPr>
              <w:rPr>
                <w:rFonts w:ascii="宋体"/>
              </w:rPr>
            </w:pPr>
          </w:p>
        </w:tc>
        <w:tc>
          <w:tcPr>
            <w:tcW w:w="0" w:type="auto"/>
            <w:shd w:val="clear" w:color="auto" w:fill="auto"/>
          </w:tcPr>
          <w:p w14:paraId="33DAF7E8" w14:textId="77777777" w:rsidR="004D6A64" w:rsidRDefault="004D6A64">
            <w:pPr>
              <w:rPr>
                <w:rFonts w:ascii="宋体"/>
              </w:rPr>
            </w:pPr>
          </w:p>
        </w:tc>
        <w:tc>
          <w:tcPr>
            <w:tcW w:w="0" w:type="auto"/>
            <w:shd w:val="clear" w:color="auto" w:fill="auto"/>
          </w:tcPr>
          <w:p w14:paraId="33DAF7E9" w14:textId="77777777" w:rsidR="004D6A64" w:rsidRDefault="004D6A64">
            <w:pPr>
              <w:rPr>
                <w:rFonts w:ascii="宋体"/>
              </w:rPr>
            </w:pPr>
          </w:p>
        </w:tc>
        <w:tc>
          <w:tcPr>
            <w:tcW w:w="0" w:type="auto"/>
            <w:shd w:val="clear" w:color="auto" w:fill="auto"/>
          </w:tcPr>
          <w:p w14:paraId="33DAF7EA" w14:textId="77777777" w:rsidR="004D6A64" w:rsidRDefault="004D6A64">
            <w:pPr>
              <w:rPr>
                <w:rFonts w:ascii="宋体"/>
              </w:rPr>
            </w:pPr>
          </w:p>
        </w:tc>
        <w:tc>
          <w:tcPr>
            <w:tcW w:w="0" w:type="auto"/>
            <w:shd w:val="clear" w:color="auto" w:fill="auto"/>
          </w:tcPr>
          <w:p w14:paraId="33DAF7EB" w14:textId="77777777" w:rsidR="004D6A64" w:rsidRDefault="004D6A64">
            <w:pPr>
              <w:rPr>
                <w:rFonts w:ascii="宋体"/>
              </w:rPr>
            </w:pPr>
          </w:p>
        </w:tc>
        <w:tc>
          <w:tcPr>
            <w:tcW w:w="0" w:type="auto"/>
            <w:shd w:val="clear" w:color="auto" w:fill="auto"/>
          </w:tcPr>
          <w:p w14:paraId="33DAF7EC" w14:textId="77777777" w:rsidR="004D6A64" w:rsidRDefault="004D6A64">
            <w:pPr>
              <w:rPr>
                <w:rFonts w:ascii="宋体"/>
              </w:rPr>
            </w:pPr>
          </w:p>
        </w:tc>
      </w:tr>
      <w:tr w:rsidR="004D6A64" w14:paraId="33DAF800" w14:textId="77777777">
        <w:trPr>
          <w:jc w:val="center"/>
        </w:trPr>
        <w:tc>
          <w:tcPr>
            <w:tcW w:w="0" w:type="auto"/>
            <w:gridSpan w:val="3"/>
            <w:shd w:val="clear" w:color="auto" w:fill="FFFFFF"/>
            <w:tcMar>
              <w:top w:w="40" w:type="dxa"/>
              <w:left w:w="20" w:type="dxa"/>
              <w:bottom w:w="40" w:type="dxa"/>
              <w:right w:w="20" w:type="dxa"/>
            </w:tcMar>
            <w:vAlign w:val="center"/>
          </w:tcPr>
          <w:p w14:paraId="33DAF7EE" w14:textId="77777777" w:rsidR="004D6A64" w:rsidRDefault="00506CD6">
            <w:pPr>
              <w:textAlignment w:val="center"/>
            </w:pPr>
            <w:r>
              <w:rPr>
                <w:rFonts w:ascii="Times New Roman" w:eastAsia="宋体" w:hAnsi="Times New Roman"/>
                <w:b/>
                <w:bCs/>
                <w:color w:val="000000"/>
                <w:sz w:val="20"/>
                <w:szCs w:val="20"/>
              </w:rPr>
              <w:t>DFS related debt</w:t>
            </w:r>
          </w:p>
        </w:tc>
        <w:tc>
          <w:tcPr>
            <w:tcW w:w="0" w:type="auto"/>
            <w:gridSpan w:val="3"/>
            <w:shd w:val="clear" w:color="auto" w:fill="FFFFFF"/>
            <w:tcMar>
              <w:left w:w="20" w:type="dxa"/>
              <w:right w:w="20" w:type="dxa"/>
            </w:tcMar>
            <w:vAlign w:val="bottom"/>
          </w:tcPr>
          <w:p w14:paraId="33DAF7EF"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7F0"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7F1"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7F2" w14:textId="77777777" w:rsidR="004D6A64" w:rsidRDefault="004D6A64">
            <w:pPr>
              <w:rPr>
                <w:rFonts w:ascii="宋体"/>
              </w:rPr>
            </w:pPr>
          </w:p>
        </w:tc>
        <w:tc>
          <w:tcPr>
            <w:tcW w:w="0" w:type="auto"/>
            <w:gridSpan w:val="3"/>
            <w:shd w:val="clear" w:color="auto" w:fill="FFFFFF"/>
            <w:tcMar>
              <w:left w:w="20" w:type="dxa"/>
              <w:right w:w="20" w:type="dxa"/>
            </w:tcMar>
            <w:vAlign w:val="bottom"/>
          </w:tcPr>
          <w:p w14:paraId="33DAF7F3" w14:textId="77777777" w:rsidR="004D6A64" w:rsidRDefault="004D6A64">
            <w:pPr>
              <w:rPr>
                <w:rFonts w:ascii="宋体"/>
              </w:rPr>
            </w:pPr>
          </w:p>
        </w:tc>
        <w:tc>
          <w:tcPr>
            <w:tcW w:w="0" w:type="auto"/>
            <w:shd w:val="clear" w:color="auto" w:fill="auto"/>
          </w:tcPr>
          <w:p w14:paraId="33DAF7F4" w14:textId="77777777" w:rsidR="004D6A64" w:rsidRDefault="004D6A64">
            <w:pPr>
              <w:rPr>
                <w:rFonts w:ascii="宋体"/>
              </w:rPr>
            </w:pPr>
          </w:p>
        </w:tc>
        <w:tc>
          <w:tcPr>
            <w:tcW w:w="0" w:type="auto"/>
            <w:shd w:val="clear" w:color="auto" w:fill="auto"/>
          </w:tcPr>
          <w:p w14:paraId="33DAF7F5" w14:textId="77777777" w:rsidR="004D6A64" w:rsidRDefault="004D6A64">
            <w:pPr>
              <w:rPr>
                <w:rFonts w:ascii="宋体"/>
              </w:rPr>
            </w:pPr>
          </w:p>
        </w:tc>
        <w:tc>
          <w:tcPr>
            <w:tcW w:w="0" w:type="auto"/>
            <w:shd w:val="clear" w:color="auto" w:fill="auto"/>
          </w:tcPr>
          <w:p w14:paraId="33DAF7F6" w14:textId="77777777" w:rsidR="004D6A64" w:rsidRDefault="004D6A64">
            <w:pPr>
              <w:rPr>
                <w:rFonts w:ascii="宋体"/>
              </w:rPr>
            </w:pPr>
          </w:p>
        </w:tc>
        <w:tc>
          <w:tcPr>
            <w:tcW w:w="0" w:type="auto"/>
            <w:shd w:val="clear" w:color="auto" w:fill="auto"/>
          </w:tcPr>
          <w:p w14:paraId="33DAF7F7" w14:textId="77777777" w:rsidR="004D6A64" w:rsidRDefault="004D6A64">
            <w:pPr>
              <w:rPr>
                <w:rFonts w:ascii="宋体"/>
              </w:rPr>
            </w:pPr>
          </w:p>
        </w:tc>
        <w:tc>
          <w:tcPr>
            <w:tcW w:w="0" w:type="auto"/>
            <w:shd w:val="clear" w:color="auto" w:fill="auto"/>
          </w:tcPr>
          <w:p w14:paraId="33DAF7F8" w14:textId="77777777" w:rsidR="004D6A64" w:rsidRDefault="004D6A64">
            <w:pPr>
              <w:rPr>
                <w:rFonts w:ascii="宋体"/>
              </w:rPr>
            </w:pPr>
          </w:p>
        </w:tc>
        <w:tc>
          <w:tcPr>
            <w:tcW w:w="0" w:type="auto"/>
            <w:shd w:val="clear" w:color="auto" w:fill="auto"/>
          </w:tcPr>
          <w:p w14:paraId="33DAF7F9" w14:textId="77777777" w:rsidR="004D6A64" w:rsidRDefault="004D6A64">
            <w:pPr>
              <w:rPr>
                <w:rFonts w:ascii="宋体"/>
              </w:rPr>
            </w:pPr>
          </w:p>
        </w:tc>
        <w:tc>
          <w:tcPr>
            <w:tcW w:w="0" w:type="auto"/>
            <w:shd w:val="clear" w:color="auto" w:fill="auto"/>
          </w:tcPr>
          <w:p w14:paraId="33DAF7FA" w14:textId="77777777" w:rsidR="004D6A64" w:rsidRDefault="004D6A64">
            <w:pPr>
              <w:rPr>
                <w:rFonts w:ascii="宋体"/>
              </w:rPr>
            </w:pPr>
          </w:p>
        </w:tc>
        <w:tc>
          <w:tcPr>
            <w:tcW w:w="0" w:type="auto"/>
            <w:shd w:val="clear" w:color="auto" w:fill="auto"/>
          </w:tcPr>
          <w:p w14:paraId="33DAF7FB" w14:textId="77777777" w:rsidR="004D6A64" w:rsidRDefault="004D6A64">
            <w:pPr>
              <w:rPr>
                <w:rFonts w:ascii="宋体"/>
              </w:rPr>
            </w:pPr>
          </w:p>
        </w:tc>
        <w:tc>
          <w:tcPr>
            <w:tcW w:w="0" w:type="auto"/>
            <w:shd w:val="clear" w:color="auto" w:fill="auto"/>
          </w:tcPr>
          <w:p w14:paraId="33DAF7FC" w14:textId="77777777" w:rsidR="004D6A64" w:rsidRDefault="004D6A64">
            <w:pPr>
              <w:rPr>
                <w:rFonts w:ascii="宋体"/>
              </w:rPr>
            </w:pPr>
          </w:p>
        </w:tc>
        <w:tc>
          <w:tcPr>
            <w:tcW w:w="0" w:type="auto"/>
            <w:shd w:val="clear" w:color="auto" w:fill="auto"/>
          </w:tcPr>
          <w:p w14:paraId="33DAF7FD" w14:textId="77777777" w:rsidR="004D6A64" w:rsidRDefault="004D6A64">
            <w:pPr>
              <w:rPr>
                <w:rFonts w:ascii="宋体"/>
              </w:rPr>
            </w:pPr>
          </w:p>
        </w:tc>
        <w:tc>
          <w:tcPr>
            <w:tcW w:w="0" w:type="auto"/>
            <w:shd w:val="clear" w:color="auto" w:fill="auto"/>
          </w:tcPr>
          <w:p w14:paraId="33DAF7FE" w14:textId="77777777" w:rsidR="004D6A64" w:rsidRDefault="004D6A64">
            <w:pPr>
              <w:rPr>
                <w:rFonts w:ascii="宋体"/>
              </w:rPr>
            </w:pPr>
          </w:p>
        </w:tc>
        <w:tc>
          <w:tcPr>
            <w:tcW w:w="0" w:type="auto"/>
            <w:shd w:val="clear" w:color="auto" w:fill="auto"/>
          </w:tcPr>
          <w:p w14:paraId="33DAF7FF" w14:textId="77777777" w:rsidR="004D6A64" w:rsidRDefault="004D6A64">
            <w:pPr>
              <w:rPr>
                <w:rFonts w:ascii="宋体"/>
              </w:rPr>
            </w:pPr>
          </w:p>
        </w:tc>
      </w:tr>
      <w:tr w:rsidR="004D6A64" w14:paraId="33DAF816" w14:textId="77777777">
        <w:trPr>
          <w:jc w:val="center"/>
        </w:trPr>
        <w:tc>
          <w:tcPr>
            <w:tcW w:w="0" w:type="auto"/>
            <w:gridSpan w:val="3"/>
            <w:shd w:val="clear" w:color="auto" w:fill="CCEEFF"/>
            <w:tcMar>
              <w:top w:w="40" w:type="dxa"/>
              <w:left w:w="120" w:type="dxa"/>
              <w:bottom w:w="40" w:type="dxa"/>
              <w:right w:w="20" w:type="dxa"/>
            </w:tcMar>
            <w:vAlign w:val="center"/>
          </w:tcPr>
          <w:p w14:paraId="33DAF801" w14:textId="77777777" w:rsidR="004D6A64" w:rsidRDefault="00506CD6">
            <w:pPr>
              <w:textAlignment w:val="center"/>
            </w:pPr>
            <w:r>
              <w:rPr>
                <w:rFonts w:ascii="Times New Roman" w:eastAsia="宋体" w:hAnsi="Times New Roman"/>
                <w:color w:val="000000"/>
                <w:sz w:val="20"/>
                <w:szCs w:val="20"/>
              </w:rPr>
              <w:t>DFS debt</w:t>
            </w:r>
          </w:p>
        </w:tc>
        <w:tc>
          <w:tcPr>
            <w:tcW w:w="0" w:type="auto"/>
            <w:gridSpan w:val="2"/>
            <w:shd w:val="clear" w:color="auto" w:fill="CCEEFF"/>
            <w:tcMar>
              <w:top w:w="40" w:type="dxa"/>
              <w:left w:w="20" w:type="dxa"/>
              <w:bottom w:w="40" w:type="dxa"/>
              <w:right w:w="0" w:type="dxa"/>
            </w:tcMar>
            <w:vAlign w:val="center"/>
          </w:tcPr>
          <w:p w14:paraId="33DAF802" w14:textId="77777777" w:rsidR="004D6A64" w:rsidRDefault="00506CD6">
            <w:pPr>
              <w:jc w:val="right"/>
              <w:textAlignment w:val="center"/>
            </w:pPr>
            <w:r>
              <w:rPr>
                <w:rFonts w:ascii="Times New Roman" w:eastAsia="宋体" w:hAnsi="Times New Roman"/>
                <w:color w:val="000000"/>
                <w:sz w:val="20"/>
                <w:szCs w:val="20"/>
              </w:rPr>
              <w:t>8,837 </w:t>
            </w:r>
          </w:p>
        </w:tc>
        <w:tc>
          <w:tcPr>
            <w:tcW w:w="0" w:type="auto"/>
            <w:shd w:val="clear" w:color="auto" w:fill="CCEEFF"/>
            <w:tcMar>
              <w:top w:w="40" w:type="dxa"/>
              <w:bottom w:w="40" w:type="dxa"/>
              <w:right w:w="20" w:type="dxa"/>
            </w:tcMar>
            <w:vAlign w:val="center"/>
          </w:tcPr>
          <w:p w14:paraId="33DAF80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804"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805" w14:textId="77777777" w:rsidR="004D6A64" w:rsidRDefault="00506CD6">
            <w:pPr>
              <w:jc w:val="right"/>
              <w:textAlignment w:val="center"/>
            </w:pPr>
            <w:r>
              <w:rPr>
                <w:rFonts w:ascii="Times New Roman" w:eastAsia="宋体" w:hAnsi="Times New Roman"/>
                <w:color w:val="000000"/>
                <w:sz w:val="20"/>
                <w:szCs w:val="20"/>
              </w:rPr>
              <w:t>1,072 </w:t>
            </w:r>
          </w:p>
        </w:tc>
        <w:tc>
          <w:tcPr>
            <w:tcW w:w="0" w:type="auto"/>
            <w:shd w:val="clear" w:color="auto" w:fill="CCEEFF"/>
            <w:tcMar>
              <w:top w:w="40" w:type="dxa"/>
              <w:bottom w:w="40" w:type="dxa"/>
              <w:right w:w="20" w:type="dxa"/>
            </w:tcMar>
            <w:vAlign w:val="center"/>
          </w:tcPr>
          <w:p w14:paraId="33DAF806"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807"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808" w14:textId="77777777" w:rsidR="004D6A64" w:rsidRDefault="00506CD6">
            <w:pPr>
              <w:jc w:val="right"/>
              <w:textAlignment w:val="center"/>
            </w:pPr>
            <w:r>
              <w:rPr>
                <w:rFonts w:ascii="Times New Roman" w:eastAsia="宋体" w:hAnsi="Times New Roman"/>
                <w:color w:val="000000"/>
                <w:sz w:val="20"/>
                <w:szCs w:val="20"/>
              </w:rPr>
              <w:t>7,765 </w:t>
            </w:r>
          </w:p>
        </w:tc>
        <w:tc>
          <w:tcPr>
            <w:tcW w:w="0" w:type="auto"/>
            <w:shd w:val="clear" w:color="auto" w:fill="CCEEFF"/>
            <w:tcMar>
              <w:top w:w="40" w:type="dxa"/>
              <w:bottom w:w="40" w:type="dxa"/>
              <w:right w:w="20" w:type="dxa"/>
            </w:tcMar>
            <w:vAlign w:val="center"/>
          </w:tcPr>
          <w:p w14:paraId="33DAF809" w14:textId="77777777" w:rsidR="004D6A64" w:rsidRDefault="004D6A64">
            <w:pPr>
              <w:jc w:val="right"/>
              <w:rPr>
                <w:rFonts w:ascii="宋体"/>
              </w:rPr>
            </w:pPr>
          </w:p>
        </w:tc>
        <w:tc>
          <w:tcPr>
            <w:tcW w:w="0" w:type="auto"/>
            <w:shd w:val="clear" w:color="auto" w:fill="auto"/>
          </w:tcPr>
          <w:p w14:paraId="33DAF80A" w14:textId="77777777" w:rsidR="004D6A64" w:rsidRDefault="004D6A64">
            <w:pPr>
              <w:rPr>
                <w:rFonts w:ascii="宋体"/>
              </w:rPr>
            </w:pPr>
          </w:p>
        </w:tc>
        <w:tc>
          <w:tcPr>
            <w:tcW w:w="0" w:type="auto"/>
            <w:shd w:val="clear" w:color="auto" w:fill="auto"/>
          </w:tcPr>
          <w:p w14:paraId="33DAF80B" w14:textId="77777777" w:rsidR="004D6A64" w:rsidRDefault="004D6A64">
            <w:pPr>
              <w:rPr>
                <w:rFonts w:ascii="宋体"/>
              </w:rPr>
            </w:pPr>
          </w:p>
        </w:tc>
        <w:tc>
          <w:tcPr>
            <w:tcW w:w="0" w:type="auto"/>
            <w:shd w:val="clear" w:color="auto" w:fill="auto"/>
          </w:tcPr>
          <w:p w14:paraId="33DAF80C" w14:textId="77777777" w:rsidR="004D6A64" w:rsidRDefault="004D6A64">
            <w:pPr>
              <w:rPr>
                <w:rFonts w:ascii="宋体"/>
              </w:rPr>
            </w:pPr>
          </w:p>
        </w:tc>
        <w:tc>
          <w:tcPr>
            <w:tcW w:w="0" w:type="auto"/>
            <w:shd w:val="clear" w:color="auto" w:fill="auto"/>
          </w:tcPr>
          <w:p w14:paraId="33DAF80D" w14:textId="77777777" w:rsidR="004D6A64" w:rsidRDefault="004D6A64">
            <w:pPr>
              <w:rPr>
                <w:rFonts w:ascii="宋体"/>
              </w:rPr>
            </w:pPr>
          </w:p>
        </w:tc>
        <w:tc>
          <w:tcPr>
            <w:tcW w:w="0" w:type="auto"/>
            <w:shd w:val="clear" w:color="auto" w:fill="auto"/>
          </w:tcPr>
          <w:p w14:paraId="33DAF80E" w14:textId="77777777" w:rsidR="004D6A64" w:rsidRDefault="004D6A64">
            <w:pPr>
              <w:rPr>
                <w:rFonts w:ascii="宋体"/>
              </w:rPr>
            </w:pPr>
          </w:p>
        </w:tc>
        <w:tc>
          <w:tcPr>
            <w:tcW w:w="0" w:type="auto"/>
            <w:shd w:val="clear" w:color="auto" w:fill="auto"/>
          </w:tcPr>
          <w:p w14:paraId="33DAF80F" w14:textId="77777777" w:rsidR="004D6A64" w:rsidRDefault="004D6A64">
            <w:pPr>
              <w:rPr>
                <w:rFonts w:ascii="宋体"/>
              </w:rPr>
            </w:pPr>
          </w:p>
        </w:tc>
        <w:tc>
          <w:tcPr>
            <w:tcW w:w="0" w:type="auto"/>
            <w:shd w:val="clear" w:color="auto" w:fill="auto"/>
          </w:tcPr>
          <w:p w14:paraId="33DAF810" w14:textId="77777777" w:rsidR="004D6A64" w:rsidRDefault="004D6A64">
            <w:pPr>
              <w:rPr>
                <w:rFonts w:ascii="宋体"/>
              </w:rPr>
            </w:pPr>
          </w:p>
        </w:tc>
        <w:tc>
          <w:tcPr>
            <w:tcW w:w="0" w:type="auto"/>
            <w:shd w:val="clear" w:color="auto" w:fill="auto"/>
          </w:tcPr>
          <w:p w14:paraId="33DAF811" w14:textId="77777777" w:rsidR="004D6A64" w:rsidRDefault="004D6A64">
            <w:pPr>
              <w:rPr>
                <w:rFonts w:ascii="宋体"/>
              </w:rPr>
            </w:pPr>
          </w:p>
        </w:tc>
        <w:tc>
          <w:tcPr>
            <w:tcW w:w="0" w:type="auto"/>
            <w:shd w:val="clear" w:color="auto" w:fill="auto"/>
          </w:tcPr>
          <w:p w14:paraId="33DAF812" w14:textId="77777777" w:rsidR="004D6A64" w:rsidRDefault="004D6A64">
            <w:pPr>
              <w:rPr>
                <w:rFonts w:ascii="宋体"/>
              </w:rPr>
            </w:pPr>
          </w:p>
        </w:tc>
        <w:tc>
          <w:tcPr>
            <w:tcW w:w="0" w:type="auto"/>
            <w:shd w:val="clear" w:color="auto" w:fill="auto"/>
          </w:tcPr>
          <w:p w14:paraId="33DAF813" w14:textId="77777777" w:rsidR="004D6A64" w:rsidRDefault="004D6A64">
            <w:pPr>
              <w:rPr>
                <w:rFonts w:ascii="宋体"/>
              </w:rPr>
            </w:pPr>
          </w:p>
        </w:tc>
        <w:tc>
          <w:tcPr>
            <w:tcW w:w="0" w:type="auto"/>
            <w:shd w:val="clear" w:color="auto" w:fill="auto"/>
          </w:tcPr>
          <w:p w14:paraId="33DAF814" w14:textId="77777777" w:rsidR="004D6A64" w:rsidRDefault="004D6A64">
            <w:pPr>
              <w:rPr>
                <w:rFonts w:ascii="宋体"/>
              </w:rPr>
            </w:pPr>
          </w:p>
        </w:tc>
        <w:tc>
          <w:tcPr>
            <w:tcW w:w="0" w:type="auto"/>
            <w:shd w:val="clear" w:color="auto" w:fill="auto"/>
          </w:tcPr>
          <w:p w14:paraId="33DAF815" w14:textId="77777777" w:rsidR="004D6A64" w:rsidRDefault="004D6A64">
            <w:pPr>
              <w:rPr>
                <w:rFonts w:ascii="宋体"/>
              </w:rPr>
            </w:pPr>
          </w:p>
        </w:tc>
      </w:tr>
      <w:tr w:rsidR="004D6A64" w14:paraId="33DAF82C" w14:textId="77777777">
        <w:trPr>
          <w:jc w:val="center"/>
        </w:trPr>
        <w:tc>
          <w:tcPr>
            <w:tcW w:w="0" w:type="auto"/>
            <w:gridSpan w:val="3"/>
            <w:shd w:val="clear" w:color="auto" w:fill="FFFFFF"/>
            <w:tcMar>
              <w:top w:w="40" w:type="dxa"/>
              <w:left w:w="120" w:type="dxa"/>
              <w:bottom w:w="40" w:type="dxa"/>
              <w:right w:w="20" w:type="dxa"/>
            </w:tcMar>
            <w:vAlign w:val="center"/>
          </w:tcPr>
          <w:p w14:paraId="33DAF817" w14:textId="77777777" w:rsidR="004D6A64" w:rsidRDefault="00506CD6">
            <w:pPr>
              <w:textAlignment w:val="center"/>
            </w:pPr>
            <w:r>
              <w:rPr>
                <w:rFonts w:ascii="Times New Roman" w:eastAsia="宋体" w:hAnsi="Times New Roman"/>
                <w:color w:val="000000"/>
                <w:sz w:val="20"/>
                <w:szCs w:val="20"/>
              </w:rPr>
              <w:t>DFS allocated debt</w:t>
            </w:r>
          </w:p>
        </w:tc>
        <w:tc>
          <w:tcPr>
            <w:tcW w:w="0" w:type="auto"/>
            <w:gridSpan w:val="2"/>
            <w:shd w:val="clear" w:color="auto" w:fill="FFFFFF"/>
            <w:tcMar>
              <w:top w:w="40" w:type="dxa"/>
              <w:left w:w="20" w:type="dxa"/>
              <w:bottom w:w="40" w:type="dxa"/>
              <w:right w:w="0" w:type="dxa"/>
            </w:tcMar>
            <w:vAlign w:val="center"/>
          </w:tcPr>
          <w:p w14:paraId="33DAF818" w14:textId="77777777" w:rsidR="004D6A64" w:rsidRDefault="00506CD6">
            <w:pPr>
              <w:jc w:val="right"/>
              <w:textAlignment w:val="center"/>
            </w:pPr>
            <w:r>
              <w:rPr>
                <w:rFonts w:ascii="Times New Roman" w:eastAsia="宋体" w:hAnsi="Times New Roman"/>
                <w:color w:val="000000"/>
                <w:sz w:val="20"/>
                <w:szCs w:val="20"/>
              </w:rPr>
              <w:t>1,184 </w:t>
            </w:r>
          </w:p>
        </w:tc>
        <w:tc>
          <w:tcPr>
            <w:tcW w:w="0" w:type="auto"/>
            <w:shd w:val="clear" w:color="auto" w:fill="FFFFFF"/>
            <w:tcMar>
              <w:top w:w="40" w:type="dxa"/>
              <w:bottom w:w="40" w:type="dxa"/>
              <w:right w:w="20" w:type="dxa"/>
            </w:tcMar>
            <w:vAlign w:val="center"/>
          </w:tcPr>
          <w:p w14:paraId="33DAF81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81A"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F81B" w14:textId="77777777" w:rsidR="004D6A64" w:rsidRDefault="00506CD6">
            <w:pPr>
              <w:jc w:val="right"/>
              <w:textAlignment w:val="center"/>
            </w:pPr>
            <w:r>
              <w:rPr>
                <w:rFonts w:ascii="Times New Roman" w:eastAsia="宋体" w:hAnsi="Times New Roman"/>
                <w:color w:val="000000"/>
                <w:sz w:val="20"/>
                <w:szCs w:val="20"/>
              </w:rPr>
              <w:t>(311)</w:t>
            </w:r>
          </w:p>
        </w:tc>
        <w:tc>
          <w:tcPr>
            <w:tcW w:w="0" w:type="auto"/>
            <w:shd w:val="clear" w:color="auto" w:fill="FFFFFF"/>
            <w:tcMar>
              <w:top w:w="40" w:type="dxa"/>
              <w:bottom w:w="40" w:type="dxa"/>
              <w:right w:w="20" w:type="dxa"/>
            </w:tcMar>
            <w:vAlign w:val="center"/>
          </w:tcPr>
          <w:p w14:paraId="33DAF81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81D"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F81E" w14:textId="77777777" w:rsidR="004D6A64" w:rsidRDefault="00506CD6">
            <w:pPr>
              <w:jc w:val="right"/>
              <w:textAlignment w:val="center"/>
            </w:pPr>
            <w:r>
              <w:rPr>
                <w:rFonts w:ascii="Times New Roman" w:eastAsia="宋体" w:hAnsi="Times New Roman"/>
                <w:color w:val="000000"/>
                <w:sz w:val="20"/>
                <w:szCs w:val="20"/>
              </w:rPr>
              <w:t>1,495 </w:t>
            </w:r>
          </w:p>
        </w:tc>
        <w:tc>
          <w:tcPr>
            <w:tcW w:w="0" w:type="auto"/>
            <w:shd w:val="clear" w:color="auto" w:fill="FFFFFF"/>
            <w:tcMar>
              <w:top w:w="40" w:type="dxa"/>
              <w:bottom w:w="40" w:type="dxa"/>
              <w:right w:w="20" w:type="dxa"/>
            </w:tcMar>
            <w:vAlign w:val="center"/>
          </w:tcPr>
          <w:p w14:paraId="33DAF81F" w14:textId="77777777" w:rsidR="004D6A64" w:rsidRDefault="004D6A64">
            <w:pPr>
              <w:jc w:val="right"/>
              <w:rPr>
                <w:rFonts w:ascii="宋体"/>
              </w:rPr>
            </w:pPr>
          </w:p>
        </w:tc>
        <w:tc>
          <w:tcPr>
            <w:tcW w:w="0" w:type="auto"/>
            <w:shd w:val="clear" w:color="auto" w:fill="auto"/>
          </w:tcPr>
          <w:p w14:paraId="33DAF820" w14:textId="77777777" w:rsidR="004D6A64" w:rsidRDefault="004D6A64">
            <w:pPr>
              <w:rPr>
                <w:rFonts w:ascii="宋体"/>
              </w:rPr>
            </w:pPr>
          </w:p>
        </w:tc>
        <w:tc>
          <w:tcPr>
            <w:tcW w:w="0" w:type="auto"/>
            <w:shd w:val="clear" w:color="auto" w:fill="auto"/>
          </w:tcPr>
          <w:p w14:paraId="33DAF821" w14:textId="77777777" w:rsidR="004D6A64" w:rsidRDefault="004D6A64">
            <w:pPr>
              <w:rPr>
                <w:rFonts w:ascii="宋体"/>
              </w:rPr>
            </w:pPr>
          </w:p>
        </w:tc>
        <w:tc>
          <w:tcPr>
            <w:tcW w:w="0" w:type="auto"/>
            <w:shd w:val="clear" w:color="auto" w:fill="auto"/>
          </w:tcPr>
          <w:p w14:paraId="33DAF822" w14:textId="77777777" w:rsidR="004D6A64" w:rsidRDefault="004D6A64">
            <w:pPr>
              <w:rPr>
                <w:rFonts w:ascii="宋体"/>
              </w:rPr>
            </w:pPr>
          </w:p>
        </w:tc>
        <w:tc>
          <w:tcPr>
            <w:tcW w:w="0" w:type="auto"/>
            <w:shd w:val="clear" w:color="auto" w:fill="auto"/>
          </w:tcPr>
          <w:p w14:paraId="33DAF823" w14:textId="77777777" w:rsidR="004D6A64" w:rsidRDefault="004D6A64">
            <w:pPr>
              <w:rPr>
                <w:rFonts w:ascii="宋体"/>
              </w:rPr>
            </w:pPr>
          </w:p>
        </w:tc>
        <w:tc>
          <w:tcPr>
            <w:tcW w:w="0" w:type="auto"/>
            <w:shd w:val="clear" w:color="auto" w:fill="auto"/>
          </w:tcPr>
          <w:p w14:paraId="33DAF824" w14:textId="77777777" w:rsidR="004D6A64" w:rsidRDefault="004D6A64">
            <w:pPr>
              <w:rPr>
                <w:rFonts w:ascii="宋体"/>
              </w:rPr>
            </w:pPr>
          </w:p>
        </w:tc>
        <w:tc>
          <w:tcPr>
            <w:tcW w:w="0" w:type="auto"/>
            <w:shd w:val="clear" w:color="auto" w:fill="auto"/>
          </w:tcPr>
          <w:p w14:paraId="33DAF825" w14:textId="77777777" w:rsidR="004D6A64" w:rsidRDefault="004D6A64">
            <w:pPr>
              <w:rPr>
                <w:rFonts w:ascii="宋体"/>
              </w:rPr>
            </w:pPr>
          </w:p>
        </w:tc>
        <w:tc>
          <w:tcPr>
            <w:tcW w:w="0" w:type="auto"/>
            <w:shd w:val="clear" w:color="auto" w:fill="auto"/>
          </w:tcPr>
          <w:p w14:paraId="33DAF826" w14:textId="77777777" w:rsidR="004D6A64" w:rsidRDefault="004D6A64">
            <w:pPr>
              <w:rPr>
                <w:rFonts w:ascii="宋体"/>
              </w:rPr>
            </w:pPr>
          </w:p>
        </w:tc>
        <w:tc>
          <w:tcPr>
            <w:tcW w:w="0" w:type="auto"/>
            <w:shd w:val="clear" w:color="auto" w:fill="auto"/>
          </w:tcPr>
          <w:p w14:paraId="33DAF827" w14:textId="77777777" w:rsidR="004D6A64" w:rsidRDefault="004D6A64">
            <w:pPr>
              <w:rPr>
                <w:rFonts w:ascii="宋体"/>
              </w:rPr>
            </w:pPr>
          </w:p>
        </w:tc>
        <w:tc>
          <w:tcPr>
            <w:tcW w:w="0" w:type="auto"/>
            <w:shd w:val="clear" w:color="auto" w:fill="auto"/>
          </w:tcPr>
          <w:p w14:paraId="33DAF828" w14:textId="77777777" w:rsidR="004D6A64" w:rsidRDefault="004D6A64">
            <w:pPr>
              <w:rPr>
                <w:rFonts w:ascii="宋体"/>
              </w:rPr>
            </w:pPr>
          </w:p>
        </w:tc>
        <w:tc>
          <w:tcPr>
            <w:tcW w:w="0" w:type="auto"/>
            <w:shd w:val="clear" w:color="auto" w:fill="auto"/>
          </w:tcPr>
          <w:p w14:paraId="33DAF829" w14:textId="77777777" w:rsidR="004D6A64" w:rsidRDefault="004D6A64">
            <w:pPr>
              <w:rPr>
                <w:rFonts w:ascii="宋体"/>
              </w:rPr>
            </w:pPr>
          </w:p>
        </w:tc>
        <w:tc>
          <w:tcPr>
            <w:tcW w:w="0" w:type="auto"/>
            <w:shd w:val="clear" w:color="auto" w:fill="auto"/>
          </w:tcPr>
          <w:p w14:paraId="33DAF82A" w14:textId="77777777" w:rsidR="004D6A64" w:rsidRDefault="004D6A64">
            <w:pPr>
              <w:rPr>
                <w:rFonts w:ascii="宋体"/>
              </w:rPr>
            </w:pPr>
          </w:p>
        </w:tc>
        <w:tc>
          <w:tcPr>
            <w:tcW w:w="0" w:type="auto"/>
            <w:shd w:val="clear" w:color="auto" w:fill="auto"/>
          </w:tcPr>
          <w:p w14:paraId="33DAF82B" w14:textId="77777777" w:rsidR="004D6A64" w:rsidRDefault="004D6A64">
            <w:pPr>
              <w:rPr>
                <w:rFonts w:ascii="宋体"/>
              </w:rPr>
            </w:pPr>
          </w:p>
        </w:tc>
      </w:tr>
      <w:tr w:rsidR="004D6A64" w14:paraId="33DAF842" w14:textId="77777777">
        <w:trPr>
          <w:jc w:val="center"/>
        </w:trPr>
        <w:tc>
          <w:tcPr>
            <w:tcW w:w="0" w:type="auto"/>
            <w:gridSpan w:val="3"/>
            <w:shd w:val="clear" w:color="auto" w:fill="CCEEFF"/>
            <w:tcMar>
              <w:top w:w="40" w:type="dxa"/>
              <w:left w:w="240" w:type="dxa"/>
              <w:bottom w:w="40" w:type="dxa"/>
              <w:right w:w="20" w:type="dxa"/>
            </w:tcMar>
            <w:vAlign w:val="center"/>
          </w:tcPr>
          <w:p w14:paraId="33DAF82D" w14:textId="77777777" w:rsidR="004D6A64" w:rsidRDefault="00506CD6">
            <w:pPr>
              <w:textAlignment w:val="center"/>
            </w:pPr>
            <w:r>
              <w:rPr>
                <w:rFonts w:ascii="Times New Roman" w:eastAsia="宋体" w:hAnsi="Times New Roman"/>
                <w:color w:val="000000"/>
                <w:sz w:val="20"/>
                <w:szCs w:val="20"/>
              </w:rPr>
              <w:t>Total DFS related debt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F82E" w14:textId="77777777" w:rsidR="004D6A64" w:rsidRDefault="00506CD6">
            <w:pPr>
              <w:jc w:val="right"/>
              <w:textAlignment w:val="center"/>
            </w:pPr>
            <w:r>
              <w:rPr>
                <w:rFonts w:ascii="Times New Roman" w:eastAsia="宋体" w:hAnsi="Times New Roman"/>
                <w:color w:val="000000"/>
                <w:sz w:val="20"/>
                <w:szCs w:val="20"/>
              </w:rPr>
              <w:t>10,021 </w:t>
            </w:r>
          </w:p>
        </w:tc>
        <w:tc>
          <w:tcPr>
            <w:tcW w:w="0" w:type="auto"/>
            <w:tcBorders>
              <w:top w:val="single" w:sz="8" w:space="0" w:color="000000"/>
            </w:tcBorders>
            <w:shd w:val="clear" w:color="auto" w:fill="CCEEFF"/>
            <w:tcMar>
              <w:top w:w="40" w:type="dxa"/>
              <w:bottom w:w="40" w:type="dxa"/>
              <w:right w:w="20" w:type="dxa"/>
            </w:tcMar>
            <w:vAlign w:val="center"/>
          </w:tcPr>
          <w:p w14:paraId="33DAF82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830"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F831" w14:textId="77777777" w:rsidR="004D6A64" w:rsidRDefault="00506CD6">
            <w:pPr>
              <w:jc w:val="right"/>
              <w:textAlignment w:val="center"/>
            </w:pPr>
            <w:r>
              <w:rPr>
                <w:rFonts w:ascii="Times New Roman" w:eastAsia="宋体" w:hAnsi="Times New Roman"/>
                <w:color w:val="000000"/>
                <w:sz w:val="20"/>
                <w:szCs w:val="20"/>
              </w:rPr>
              <w:t>761 </w:t>
            </w:r>
          </w:p>
        </w:tc>
        <w:tc>
          <w:tcPr>
            <w:tcW w:w="0" w:type="auto"/>
            <w:tcBorders>
              <w:top w:val="single" w:sz="8" w:space="0" w:color="000000"/>
            </w:tcBorders>
            <w:shd w:val="clear" w:color="auto" w:fill="CCEEFF"/>
            <w:tcMar>
              <w:top w:w="40" w:type="dxa"/>
              <w:bottom w:w="40" w:type="dxa"/>
              <w:right w:w="20" w:type="dxa"/>
            </w:tcMar>
            <w:vAlign w:val="center"/>
          </w:tcPr>
          <w:p w14:paraId="33DAF832"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833"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F834" w14:textId="77777777" w:rsidR="004D6A64" w:rsidRDefault="00506CD6">
            <w:pPr>
              <w:jc w:val="right"/>
              <w:textAlignment w:val="center"/>
            </w:pPr>
            <w:r>
              <w:rPr>
                <w:rFonts w:ascii="Times New Roman" w:eastAsia="宋体" w:hAnsi="Times New Roman"/>
                <w:color w:val="000000"/>
                <w:sz w:val="20"/>
                <w:szCs w:val="20"/>
              </w:rPr>
              <w:t>9,260 </w:t>
            </w:r>
          </w:p>
        </w:tc>
        <w:tc>
          <w:tcPr>
            <w:tcW w:w="0" w:type="auto"/>
            <w:tcBorders>
              <w:top w:val="single" w:sz="8" w:space="0" w:color="000000"/>
            </w:tcBorders>
            <w:shd w:val="clear" w:color="auto" w:fill="CCEEFF"/>
            <w:tcMar>
              <w:top w:w="40" w:type="dxa"/>
              <w:bottom w:w="40" w:type="dxa"/>
              <w:right w:w="20" w:type="dxa"/>
            </w:tcMar>
            <w:vAlign w:val="center"/>
          </w:tcPr>
          <w:p w14:paraId="33DAF835" w14:textId="77777777" w:rsidR="004D6A64" w:rsidRDefault="004D6A64">
            <w:pPr>
              <w:jc w:val="right"/>
              <w:rPr>
                <w:rFonts w:ascii="宋体"/>
              </w:rPr>
            </w:pPr>
          </w:p>
        </w:tc>
        <w:tc>
          <w:tcPr>
            <w:tcW w:w="0" w:type="auto"/>
            <w:shd w:val="clear" w:color="auto" w:fill="auto"/>
          </w:tcPr>
          <w:p w14:paraId="33DAF836" w14:textId="77777777" w:rsidR="004D6A64" w:rsidRDefault="004D6A64">
            <w:pPr>
              <w:rPr>
                <w:rFonts w:ascii="宋体"/>
              </w:rPr>
            </w:pPr>
          </w:p>
        </w:tc>
        <w:tc>
          <w:tcPr>
            <w:tcW w:w="0" w:type="auto"/>
            <w:shd w:val="clear" w:color="auto" w:fill="auto"/>
          </w:tcPr>
          <w:p w14:paraId="33DAF837" w14:textId="77777777" w:rsidR="004D6A64" w:rsidRDefault="004D6A64">
            <w:pPr>
              <w:rPr>
                <w:rFonts w:ascii="宋体"/>
              </w:rPr>
            </w:pPr>
          </w:p>
        </w:tc>
        <w:tc>
          <w:tcPr>
            <w:tcW w:w="0" w:type="auto"/>
            <w:shd w:val="clear" w:color="auto" w:fill="auto"/>
          </w:tcPr>
          <w:p w14:paraId="33DAF838" w14:textId="77777777" w:rsidR="004D6A64" w:rsidRDefault="004D6A64">
            <w:pPr>
              <w:rPr>
                <w:rFonts w:ascii="宋体"/>
              </w:rPr>
            </w:pPr>
          </w:p>
        </w:tc>
        <w:tc>
          <w:tcPr>
            <w:tcW w:w="0" w:type="auto"/>
            <w:shd w:val="clear" w:color="auto" w:fill="auto"/>
          </w:tcPr>
          <w:p w14:paraId="33DAF839" w14:textId="77777777" w:rsidR="004D6A64" w:rsidRDefault="004D6A64">
            <w:pPr>
              <w:rPr>
                <w:rFonts w:ascii="宋体"/>
              </w:rPr>
            </w:pPr>
          </w:p>
        </w:tc>
        <w:tc>
          <w:tcPr>
            <w:tcW w:w="0" w:type="auto"/>
            <w:shd w:val="clear" w:color="auto" w:fill="auto"/>
          </w:tcPr>
          <w:p w14:paraId="33DAF83A" w14:textId="77777777" w:rsidR="004D6A64" w:rsidRDefault="004D6A64">
            <w:pPr>
              <w:rPr>
                <w:rFonts w:ascii="宋体"/>
              </w:rPr>
            </w:pPr>
          </w:p>
        </w:tc>
        <w:tc>
          <w:tcPr>
            <w:tcW w:w="0" w:type="auto"/>
            <w:shd w:val="clear" w:color="auto" w:fill="auto"/>
          </w:tcPr>
          <w:p w14:paraId="33DAF83B" w14:textId="77777777" w:rsidR="004D6A64" w:rsidRDefault="004D6A64">
            <w:pPr>
              <w:rPr>
                <w:rFonts w:ascii="宋体"/>
              </w:rPr>
            </w:pPr>
          </w:p>
        </w:tc>
        <w:tc>
          <w:tcPr>
            <w:tcW w:w="0" w:type="auto"/>
            <w:shd w:val="clear" w:color="auto" w:fill="auto"/>
          </w:tcPr>
          <w:p w14:paraId="33DAF83C" w14:textId="77777777" w:rsidR="004D6A64" w:rsidRDefault="004D6A64">
            <w:pPr>
              <w:rPr>
                <w:rFonts w:ascii="宋体"/>
              </w:rPr>
            </w:pPr>
          </w:p>
        </w:tc>
        <w:tc>
          <w:tcPr>
            <w:tcW w:w="0" w:type="auto"/>
            <w:shd w:val="clear" w:color="auto" w:fill="auto"/>
          </w:tcPr>
          <w:p w14:paraId="33DAF83D" w14:textId="77777777" w:rsidR="004D6A64" w:rsidRDefault="004D6A64">
            <w:pPr>
              <w:rPr>
                <w:rFonts w:ascii="宋体"/>
              </w:rPr>
            </w:pPr>
          </w:p>
        </w:tc>
        <w:tc>
          <w:tcPr>
            <w:tcW w:w="0" w:type="auto"/>
            <w:shd w:val="clear" w:color="auto" w:fill="auto"/>
          </w:tcPr>
          <w:p w14:paraId="33DAF83E" w14:textId="77777777" w:rsidR="004D6A64" w:rsidRDefault="004D6A64">
            <w:pPr>
              <w:rPr>
                <w:rFonts w:ascii="宋体"/>
              </w:rPr>
            </w:pPr>
          </w:p>
        </w:tc>
        <w:tc>
          <w:tcPr>
            <w:tcW w:w="0" w:type="auto"/>
            <w:shd w:val="clear" w:color="auto" w:fill="auto"/>
          </w:tcPr>
          <w:p w14:paraId="33DAF83F" w14:textId="77777777" w:rsidR="004D6A64" w:rsidRDefault="004D6A64">
            <w:pPr>
              <w:rPr>
                <w:rFonts w:ascii="宋体"/>
              </w:rPr>
            </w:pPr>
          </w:p>
        </w:tc>
        <w:tc>
          <w:tcPr>
            <w:tcW w:w="0" w:type="auto"/>
            <w:shd w:val="clear" w:color="auto" w:fill="auto"/>
          </w:tcPr>
          <w:p w14:paraId="33DAF840" w14:textId="77777777" w:rsidR="004D6A64" w:rsidRDefault="004D6A64">
            <w:pPr>
              <w:rPr>
                <w:rFonts w:ascii="宋体"/>
              </w:rPr>
            </w:pPr>
          </w:p>
        </w:tc>
        <w:tc>
          <w:tcPr>
            <w:tcW w:w="0" w:type="auto"/>
            <w:shd w:val="clear" w:color="auto" w:fill="auto"/>
          </w:tcPr>
          <w:p w14:paraId="33DAF841" w14:textId="77777777" w:rsidR="004D6A64" w:rsidRDefault="004D6A64">
            <w:pPr>
              <w:rPr>
                <w:rFonts w:ascii="宋体"/>
              </w:rPr>
            </w:pPr>
          </w:p>
        </w:tc>
      </w:tr>
      <w:tr w:rsidR="004D6A64" w14:paraId="33DAF858" w14:textId="77777777">
        <w:trPr>
          <w:jc w:val="center"/>
        </w:trPr>
        <w:tc>
          <w:tcPr>
            <w:tcW w:w="0" w:type="auto"/>
            <w:gridSpan w:val="3"/>
            <w:shd w:val="clear" w:color="auto" w:fill="FFFFFF"/>
            <w:tcMar>
              <w:top w:w="40" w:type="dxa"/>
              <w:left w:w="20" w:type="dxa"/>
              <w:bottom w:w="40" w:type="dxa"/>
              <w:right w:w="20" w:type="dxa"/>
            </w:tcMar>
            <w:vAlign w:val="center"/>
          </w:tcPr>
          <w:p w14:paraId="33DAF843" w14:textId="77777777" w:rsidR="004D6A64" w:rsidRDefault="00506CD6">
            <w:pPr>
              <w:textAlignment w:val="center"/>
            </w:pPr>
            <w:r>
              <w:rPr>
                <w:rFonts w:ascii="Times New Roman" w:eastAsia="宋体" w:hAnsi="Times New Roman"/>
                <w:b/>
                <w:bCs/>
                <w:color w:val="000000"/>
                <w:sz w:val="20"/>
                <w:szCs w:val="20"/>
              </w:rPr>
              <w:t>Margin Loan Facility and other</w:t>
            </w:r>
          </w:p>
        </w:tc>
        <w:tc>
          <w:tcPr>
            <w:tcW w:w="0" w:type="auto"/>
            <w:gridSpan w:val="2"/>
            <w:shd w:val="clear" w:color="auto" w:fill="FFFFFF"/>
            <w:tcMar>
              <w:top w:w="40" w:type="dxa"/>
              <w:left w:w="20" w:type="dxa"/>
              <w:bottom w:w="40" w:type="dxa"/>
              <w:right w:w="0" w:type="dxa"/>
            </w:tcMar>
            <w:vAlign w:val="center"/>
          </w:tcPr>
          <w:p w14:paraId="33DAF844" w14:textId="77777777" w:rsidR="004D6A64" w:rsidRDefault="00506CD6">
            <w:pPr>
              <w:jc w:val="right"/>
              <w:textAlignment w:val="center"/>
            </w:pPr>
            <w:r>
              <w:rPr>
                <w:rFonts w:ascii="Times New Roman" w:eastAsia="宋体" w:hAnsi="Times New Roman"/>
                <w:color w:val="000000"/>
                <w:sz w:val="20"/>
                <w:szCs w:val="20"/>
              </w:rPr>
              <w:t>4,092 </w:t>
            </w:r>
          </w:p>
        </w:tc>
        <w:tc>
          <w:tcPr>
            <w:tcW w:w="0" w:type="auto"/>
            <w:shd w:val="clear" w:color="auto" w:fill="FFFFFF"/>
            <w:tcMar>
              <w:top w:w="40" w:type="dxa"/>
              <w:bottom w:w="40" w:type="dxa"/>
              <w:right w:w="20" w:type="dxa"/>
            </w:tcMar>
            <w:vAlign w:val="center"/>
          </w:tcPr>
          <w:p w14:paraId="33DAF845"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846"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F847" w14:textId="77777777" w:rsidR="004D6A64" w:rsidRDefault="00506CD6">
            <w:pPr>
              <w:jc w:val="right"/>
              <w:textAlignment w:val="center"/>
            </w:pPr>
            <w:r>
              <w:rPr>
                <w:rFonts w:ascii="Times New Roman" w:eastAsia="宋体" w:hAnsi="Times New Roman"/>
                <w:color w:val="000000"/>
                <w:sz w:val="20"/>
                <w:szCs w:val="20"/>
              </w:rPr>
              <w:t>68 </w:t>
            </w:r>
          </w:p>
        </w:tc>
        <w:tc>
          <w:tcPr>
            <w:tcW w:w="0" w:type="auto"/>
            <w:shd w:val="clear" w:color="auto" w:fill="FFFFFF"/>
            <w:tcMar>
              <w:top w:w="40" w:type="dxa"/>
              <w:bottom w:w="40" w:type="dxa"/>
              <w:right w:w="20" w:type="dxa"/>
            </w:tcMar>
            <w:vAlign w:val="center"/>
          </w:tcPr>
          <w:p w14:paraId="33DAF848"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849"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F84A" w14:textId="77777777" w:rsidR="004D6A64" w:rsidRDefault="00506CD6">
            <w:pPr>
              <w:jc w:val="right"/>
              <w:textAlignment w:val="center"/>
            </w:pPr>
            <w:r>
              <w:rPr>
                <w:rFonts w:ascii="Times New Roman" w:eastAsia="宋体" w:hAnsi="Times New Roman"/>
                <w:color w:val="000000"/>
                <w:sz w:val="20"/>
                <w:szCs w:val="20"/>
              </w:rPr>
              <w:t>4,024 </w:t>
            </w:r>
          </w:p>
        </w:tc>
        <w:tc>
          <w:tcPr>
            <w:tcW w:w="0" w:type="auto"/>
            <w:shd w:val="clear" w:color="auto" w:fill="FFFFFF"/>
            <w:tcMar>
              <w:top w:w="40" w:type="dxa"/>
              <w:bottom w:w="40" w:type="dxa"/>
              <w:right w:w="20" w:type="dxa"/>
            </w:tcMar>
            <w:vAlign w:val="center"/>
          </w:tcPr>
          <w:p w14:paraId="33DAF84B" w14:textId="77777777" w:rsidR="004D6A64" w:rsidRDefault="004D6A64">
            <w:pPr>
              <w:jc w:val="right"/>
              <w:rPr>
                <w:rFonts w:ascii="宋体"/>
              </w:rPr>
            </w:pPr>
          </w:p>
        </w:tc>
        <w:tc>
          <w:tcPr>
            <w:tcW w:w="0" w:type="auto"/>
            <w:shd w:val="clear" w:color="auto" w:fill="auto"/>
          </w:tcPr>
          <w:p w14:paraId="33DAF84C" w14:textId="77777777" w:rsidR="004D6A64" w:rsidRDefault="004D6A64">
            <w:pPr>
              <w:rPr>
                <w:rFonts w:ascii="宋体"/>
              </w:rPr>
            </w:pPr>
          </w:p>
        </w:tc>
        <w:tc>
          <w:tcPr>
            <w:tcW w:w="0" w:type="auto"/>
            <w:shd w:val="clear" w:color="auto" w:fill="auto"/>
          </w:tcPr>
          <w:p w14:paraId="33DAF84D" w14:textId="77777777" w:rsidR="004D6A64" w:rsidRDefault="004D6A64">
            <w:pPr>
              <w:rPr>
                <w:rFonts w:ascii="宋体"/>
              </w:rPr>
            </w:pPr>
          </w:p>
        </w:tc>
        <w:tc>
          <w:tcPr>
            <w:tcW w:w="0" w:type="auto"/>
            <w:shd w:val="clear" w:color="auto" w:fill="auto"/>
          </w:tcPr>
          <w:p w14:paraId="33DAF84E" w14:textId="77777777" w:rsidR="004D6A64" w:rsidRDefault="004D6A64">
            <w:pPr>
              <w:rPr>
                <w:rFonts w:ascii="宋体"/>
              </w:rPr>
            </w:pPr>
          </w:p>
        </w:tc>
        <w:tc>
          <w:tcPr>
            <w:tcW w:w="0" w:type="auto"/>
            <w:shd w:val="clear" w:color="auto" w:fill="auto"/>
          </w:tcPr>
          <w:p w14:paraId="33DAF84F" w14:textId="77777777" w:rsidR="004D6A64" w:rsidRDefault="004D6A64">
            <w:pPr>
              <w:rPr>
                <w:rFonts w:ascii="宋体"/>
              </w:rPr>
            </w:pPr>
          </w:p>
        </w:tc>
        <w:tc>
          <w:tcPr>
            <w:tcW w:w="0" w:type="auto"/>
            <w:shd w:val="clear" w:color="auto" w:fill="auto"/>
          </w:tcPr>
          <w:p w14:paraId="33DAF850" w14:textId="77777777" w:rsidR="004D6A64" w:rsidRDefault="004D6A64">
            <w:pPr>
              <w:rPr>
                <w:rFonts w:ascii="宋体"/>
              </w:rPr>
            </w:pPr>
          </w:p>
        </w:tc>
        <w:tc>
          <w:tcPr>
            <w:tcW w:w="0" w:type="auto"/>
            <w:shd w:val="clear" w:color="auto" w:fill="auto"/>
          </w:tcPr>
          <w:p w14:paraId="33DAF851" w14:textId="77777777" w:rsidR="004D6A64" w:rsidRDefault="004D6A64">
            <w:pPr>
              <w:rPr>
                <w:rFonts w:ascii="宋体"/>
              </w:rPr>
            </w:pPr>
          </w:p>
        </w:tc>
        <w:tc>
          <w:tcPr>
            <w:tcW w:w="0" w:type="auto"/>
            <w:shd w:val="clear" w:color="auto" w:fill="auto"/>
          </w:tcPr>
          <w:p w14:paraId="33DAF852" w14:textId="77777777" w:rsidR="004D6A64" w:rsidRDefault="004D6A64">
            <w:pPr>
              <w:rPr>
                <w:rFonts w:ascii="宋体"/>
              </w:rPr>
            </w:pPr>
          </w:p>
        </w:tc>
        <w:tc>
          <w:tcPr>
            <w:tcW w:w="0" w:type="auto"/>
            <w:shd w:val="clear" w:color="auto" w:fill="auto"/>
          </w:tcPr>
          <w:p w14:paraId="33DAF853" w14:textId="77777777" w:rsidR="004D6A64" w:rsidRDefault="004D6A64">
            <w:pPr>
              <w:rPr>
                <w:rFonts w:ascii="宋体"/>
              </w:rPr>
            </w:pPr>
          </w:p>
        </w:tc>
        <w:tc>
          <w:tcPr>
            <w:tcW w:w="0" w:type="auto"/>
            <w:shd w:val="clear" w:color="auto" w:fill="auto"/>
          </w:tcPr>
          <w:p w14:paraId="33DAF854" w14:textId="77777777" w:rsidR="004D6A64" w:rsidRDefault="004D6A64">
            <w:pPr>
              <w:rPr>
                <w:rFonts w:ascii="宋体"/>
              </w:rPr>
            </w:pPr>
          </w:p>
        </w:tc>
        <w:tc>
          <w:tcPr>
            <w:tcW w:w="0" w:type="auto"/>
            <w:shd w:val="clear" w:color="auto" w:fill="auto"/>
          </w:tcPr>
          <w:p w14:paraId="33DAF855" w14:textId="77777777" w:rsidR="004D6A64" w:rsidRDefault="004D6A64">
            <w:pPr>
              <w:rPr>
                <w:rFonts w:ascii="宋体"/>
              </w:rPr>
            </w:pPr>
          </w:p>
        </w:tc>
        <w:tc>
          <w:tcPr>
            <w:tcW w:w="0" w:type="auto"/>
            <w:shd w:val="clear" w:color="auto" w:fill="auto"/>
          </w:tcPr>
          <w:p w14:paraId="33DAF856" w14:textId="77777777" w:rsidR="004D6A64" w:rsidRDefault="004D6A64">
            <w:pPr>
              <w:rPr>
                <w:rFonts w:ascii="宋体"/>
              </w:rPr>
            </w:pPr>
          </w:p>
        </w:tc>
        <w:tc>
          <w:tcPr>
            <w:tcW w:w="0" w:type="auto"/>
            <w:shd w:val="clear" w:color="auto" w:fill="auto"/>
          </w:tcPr>
          <w:p w14:paraId="33DAF857" w14:textId="77777777" w:rsidR="004D6A64" w:rsidRDefault="004D6A64">
            <w:pPr>
              <w:rPr>
                <w:rFonts w:ascii="宋体"/>
              </w:rPr>
            </w:pPr>
          </w:p>
        </w:tc>
      </w:tr>
      <w:tr w:rsidR="004D6A64" w14:paraId="33DAF86B" w14:textId="77777777">
        <w:trPr>
          <w:jc w:val="center"/>
        </w:trPr>
        <w:tc>
          <w:tcPr>
            <w:tcW w:w="0" w:type="auto"/>
            <w:gridSpan w:val="3"/>
            <w:shd w:val="clear" w:color="auto" w:fill="CCEEFF"/>
            <w:tcMar>
              <w:top w:w="40" w:type="dxa"/>
              <w:left w:w="20" w:type="dxa"/>
              <w:bottom w:w="40" w:type="dxa"/>
              <w:right w:w="20" w:type="dxa"/>
            </w:tcMar>
            <w:vAlign w:val="center"/>
          </w:tcPr>
          <w:p w14:paraId="33DAF859" w14:textId="77777777" w:rsidR="004D6A64" w:rsidRDefault="00506CD6">
            <w:pPr>
              <w:textAlignment w:val="center"/>
            </w:pPr>
            <w:r>
              <w:rPr>
                <w:rFonts w:ascii="Times New Roman" w:eastAsia="宋体" w:hAnsi="Times New Roman"/>
                <w:b/>
                <w:bCs/>
                <w:color w:val="000000"/>
                <w:sz w:val="20"/>
                <w:szCs w:val="20"/>
              </w:rPr>
              <w:t>Debt of public subsidiary</w:t>
            </w:r>
          </w:p>
        </w:tc>
        <w:tc>
          <w:tcPr>
            <w:tcW w:w="0" w:type="auto"/>
            <w:gridSpan w:val="3"/>
            <w:shd w:val="clear" w:color="auto" w:fill="CCEEFF"/>
            <w:tcMar>
              <w:left w:w="20" w:type="dxa"/>
              <w:right w:w="20" w:type="dxa"/>
            </w:tcMar>
            <w:vAlign w:val="bottom"/>
          </w:tcPr>
          <w:p w14:paraId="33DAF85A"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85B"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85C"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85D"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85E" w14:textId="77777777" w:rsidR="004D6A64" w:rsidRDefault="004D6A64">
            <w:pPr>
              <w:rPr>
                <w:rFonts w:ascii="宋体"/>
              </w:rPr>
            </w:pPr>
          </w:p>
        </w:tc>
        <w:tc>
          <w:tcPr>
            <w:tcW w:w="0" w:type="auto"/>
            <w:shd w:val="clear" w:color="auto" w:fill="auto"/>
          </w:tcPr>
          <w:p w14:paraId="33DAF85F" w14:textId="77777777" w:rsidR="004D6A64" w:rsidRDefault="004D6A64">
            <w:pPr>
              <w:rPr>
                <w:rFonts w:ascii="宋体"/>
              </w:rPr>
            </w:pPr>
          </w:p>
        </w:tc>
        <w:tc>
          <w:tcPr>
            <w:tcW w:w="0" w:type="auto"/>
            <w:shd w:val="clear" w:color="auto" w:fill="auto"/>
          </w:tcPr>
          <w:p w14:paraId="33DAF860" w14:textId="77777777" w:rsidR="004D6A64" w:rsidRDefault="004D6A64">
            <w:pPr>
              <w:rPr>
                <w:rFonts w:ascii="宋体"/>
              </w:rPr>
            </w:pPr>
          </w:p>
        </w:tc>
        <w:tc>
          <w:tcPr>
            <w:tcW w:w="0" w:type="auto"/>
            <w:shd w:val="clear" w:color="auto" w:fill="auto"/>
          </w:tcPr>
          <w:p w14:paraId="33DAF861" w14:textId="77777777" w:rsidR="004D6A64" w:rsidRDefault="004D6A64">
            <w:pPr>
              <w:rPr>
                <w:rFonts w:ascii="宋体"/>
              </w:rPr>
            </w:pPr>
          </w:p>
        </w:tc>
        <w:tc>
          <w:tcPr>
            <w:tcW w:w="0" w:type="auto"/>
            <w:shd w:val="clear" w:color="auto" w:fill="auto"/>
          </w:tcPr>
          <w:p w14:paraId="33DAF862" w14:textId="77777777" w:rsidR="004D6A64" w:rsidRDefault="004D6A64">
            <w:pPr>
              <w:rPr>
                <w:rFonts w:ascii="宋体"/>
              </w:rPr>
            </w:pPr>
          </w:p>
        </w:tc>
        <w:tc>
          <w:tcPr>
            <w:tcW w:w="0" w:type="auto"/>
            <w:shd w:val="clear" w:color="auto" w:fill="auto"/>
          </w:tcPr>
          <w:p w14:paraId="33DAF863" w14:textId="77777777" w:rsidR="004D6A64" w:rsidRDefault="004D6A64">
            <w:pPr>
              <w:rPr>
                <w:rFonts w:ascii="宋体"/>
              </w:rPr>
            </w:pPr>
          </w:p>
        </w:tc>
        <w:tc>
          <w:tcPr>
            <w:tcW w:w="0" w:type="auto"/>
            <w:shd w:val="clear" w:color="auto" w:fill="auto"/>
          </w:tcPr>
          <w:p w14:paraId="33DAF864" w14:textId="77777777" w:rsidR="004D6A64" w:rsidRDefault="004D6A64">
            <w:pPr>
              <w:rPr>
                <w:rFonts w:ascii="宋体"/>
              </w:rPr>
            </w:pPr>
          </w:p>
        </w:tc>
        <w:tc>
          <w:tcPr>
            <w:tcW w:w="0" w:type="auto"/>
            <w:shd w:val="clear" w:color="auto" w:fill="auto"/>
          </w:tcPr>
          <w:p w14:paraId="33DAF865" w14:textId="77777777" w:rsidR="004D6A64" w:rsidRDefault="004D6A64">
            <w:pPr>
              <w:rPr>
                <w:rFonts w:ascii="宋体"/>
              </w:rPr>
            </w:pPr>
          </w:p>
        </w:tc>
        <w:tc>
          <w:tcPr>
            <w:tcW w:w="0" w:type="auto"/>
            <w:shd w:val="clear" w:color="auto" w:fill="auto"/>
          </w:tcPr>
          <w:p w14:paraId="33DAF866" w14:textId="77777777" w:rsidR="004D6A64" w:rsidRDefault="004D6A64">
            <w:pPr>
              <w:rPr>
                <w:rFonts w:ascii="宋体"/>
              </w:rPr>
            </w:pPr>
          </w:p>
        </w:tc>
        <w:tc>
          <w:tcPr>
            <w:tcW w:w="0" w:type="auto"/>
            <w:shd w:val="clear" w:color="auto" w:fill="auto"/>
          </w:tcPr>
          <w:p w14:paraId="33DAF867" w14:textId="77777777" w:rsidR="004D6A64" w:rsidRDefault="004D6A64">
            <w:pPr>
              <w:rPr>
                <w:rFonts w:ascii="宋体"/>
              </w:rPr>
            </w:pPr>
          </w:p>
        </w:tc>
        <w:tc>
          <w:tcPr>
            <w:tcW w:w="0" w:type="auto"/>
            <w:shd w:val="clear" w:color="auto" w:fill="auto"/>
          </w:tcPr>
          <w:p w14:paraId="33DAF868" w14:textId="77777777" w:rsidR="004D6A64" w:rsidRDefault="004D6A64">
            <w:pPr>
              <w:rPr>
                <w:rFonts w:ascii="宋体"/>
              </w:rPr>
            </w:pPr>
          </w:p>
        </w:tc>
        <w:tc>
          <w:tcPr>
            <w:tcW w:w="0" w:type="auto"/>
            <w:shd w:val="clear" w:color="auto" w:fill="auto"/>
          </w:tcPr>
          <w:p w14:paraId="33DAF869" w14:textId="77777777" w:rsidR="004D6A64" w:rsidRDefault="004D6A64">
            <w:pPr>
              <w:rPr>
                <w:rFonts w:ascii="宋体"/>
              </w:rPr>
            </w:pPr>
          </w:p>
        </w:tc>
        <w:tc>
          <w:tcPr>
            <w:tcW w:w="0" w:type="auto"/>
            <w:shd w:val="clear" w:color="auto" w:fill="auto"/>
          </w:tcPr>
          <w:p w14:paraId="33DAF86A" w14:textId="77777777" w:rsidR="004D6A64" w:rsidRDefault="004D6A64">
            <w:pPr>
              <w:rPr>
                <w:rFonts w:ascii="宋体"/>
              </w:rPr>
            </w:pPr>
          </w:p>
        </w:tc>
      </w:tr>
      <w:tr w:rsidR="004D6A64" w14:paraId="33DAF881" w14:textId="77777777">
        <w:trPr>
          <w:jc w:val="center"/>
        </w:trPr>
        <w:tc>
          <w:tcPr>
            <w:tcW w:w="0" w:type="auto"/>
            <w:gridSpan w:val="3"/>
            <w:shd w:val="clear" w:color="auto" w:fill="FFFFFF"/>
            <w:tcMar>
              <w:top w:w="40" w:type="dxa"/>
              <w:left w:w="120" w:type="dxa"/>
              <w:bottom w:w="40" w:type="dxa"/>
              <w:right w:w="20" w:type="dxa"/>
            </w:tcMar>
            <w:vAlign w:val="center"/>
          </w:tcPr>
          <w:p w14:paraId="33DAF86C" w14:textId="77777777" w:rsidR="004D6A64" w:rsidRDefault="00506CD6">
            <w:pPr>
              <w:textAlignment w:val="center"/>
            </w:pPr>
            <w:r>
              <w:rPr>
                <w:rFonts w:ascii="Times New Roman" w:eastAsia="宋体" w:hAnsi="Times New Roman"/>
                <w:color w:val="000000"/>
                <w:sz w:val="20"/>
                <w:szCs w:val="20"/>
              </w:rPr>
              <w:t>VMware Notes</w:t>
            </w:r>
          </w:p>
        </w:tc>
        <w:tc>
          <w:tcPr>
            <w:tcW w:w="0" w:type="auto"/>
            <w:gridSpan w:val="2"/>
            <w:shd w:val="clear" w:color="auto" w:fill="FFFFFF"/>
            <w:tcMar>
              <w:top w:w="40" w:type="dxa"/>
              <w:left w:w="20" w:type="dxa"/>
              <w:bottom w:w="40" w:type="dxa"/>
              <w:right w:w="0" w:type="dxa"/>
            </w:tcMar>
            <w:vAlign w:val="center"/>
          </w:tcPr>
          <w:p w14:paraId="33DAF86D" w14:textId="77777777" w:rsidR="004D6A64" w:rsidRDefault="00506CD6">
            <w:pPr>
              <w:jc w:val="right"/>
              <w:textAlignment w:val="center"/>
            </w:pPr>
            <w:r>
              <w:rPr>
                <w:rFonts w:ascii="Times New Roman" w:eastAsia="宋体" w:hAnsi="Times New Roman"/>
                <w:color w:val="000000"/>
                <w:sz w:val="20"/>
                <w:szCs w:val="20"/>
              </w:rPr>
              <w:t>4,750 </w:t>
            </w:r>
          </w:p>
        </w:tc>
        <w:tc>
          <w:tcPr>
            <w:tcW w:w="0" w:type="auto"/>
            <w:shd w:val="clear" w:color="auto" w:fill="FFFFFF"/>
            <w:tcMar>
              <w:top w:w="40" w:type="dxa"/>
              <w:bottom w:w="40" w:type="dxa"/>
              <w:right w:w="20" w:type="dxa"/>
            </w:tcMar>
            <w:vAlign w:val="center"/>
          </w:tcPr>
          <w:p w14:paraId="33DAF86E"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86F"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F870" w14:textId="77777777" w:rsidR="004D6A64" w:rsidRDefault="00506CD6">
            <w:pPr>
              <w:jc w:val="right"/>
              <w:textAlignment w:val="center"/>
            </w:pPr>
            <w:r>
              <w:rPr>
                <w:rFonts w:ascii="Times New Roman" w:eastAsia="宋体" w:hAnsi="Times New Roman"/>
                <w:color w:val="000000"/>
                <w:sz w:val="20"/>
                <w:szCs w:val="20"/>
              </w:rPr>
              <w:t>750 </w:t>
            </w:r>
          </w:p>
        </w:tc>
        <w:tc>
          <w:tcPr>
            <w:tcW w:w="0" w:type="auto"/>
            <w:shd w:val="clear" w:color="auto" w:fill="FFFFFF"/>
            <w:tcMar>
              <w:top w:w="40" w:type="dxa"/>
              <w:bottom w:w="40" w:type="dxa"/>
              <w:right w:w="20" w:type="dxa"/>
            </w:tcMar>
            <w:vAlign w:val="center"/>
          </w:tcPr>
          <w:p w14:paraId="33DAF871"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872"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F873" w14:textId="77777777" w:rsidR="004D6A64" w:rsidRDefault="00506CD6">
            <w:pPr>
              <w:jc w:val="right"/>
              <w:textAlignment w:val="center"/>
            </w:pPr>
            <w:r>
              <w:rPr>
                <w:rFonts w:ascii="Times New Roman" w:eastAsia="宋体" w:hAnsi="Times New Roman"/>
                <w:color w:val="000000"/>
                <w:sz w:val="20"/>
                <w:szCs w:val="20"/>
              </w:rPr>
              <w:t>4,000 </w:t>
            </w:r>
          </w:p>
        </w:tc>
        <w:tc>
          <w:tcPr>
            <w:tcW w:w="0" w:type="auto"/>
            <w:shd w:val="clear" w:color="auto" w:fill="FFFFFF"/>
            <w:tcMar>
              <w:top w:w="40" w:type="dxa"/>
              <w:bottom w:w="40" w:type="dxa"/>
              <w:right w:w="20" w:type="dxa"/>
            </w:tcMar>
            <w:vAlign w:val="center"/>
          </w:tcPr>
          <w:p w14:paraId="33DAF874" w14:textId="77777777" w:rsidR="004D6A64" w:rsidRDefault="004D6A64">
            <w:pPr>
              <w:jc w:val="right"/>
              <w:rPr>
                <w:rFonts w:ascii="宋体"/>
              </w:rPr>
            </w:pPr>
          </w:p>
        </w:tc>
        <w:tc>
          <w:tcPr>
            <w:tcW w:w="0" w:type="auto"/>
            <w:shd w:val="clear" w:color="auto" w:fill="auto"/>
          </w:tcPr>
          <w:p w14:paraId="33DAF875" w14:textId="77777777" w:rsidR="004D6A64" w:rsidRDefault="004D6A64">
            <w:pPr>
              <w:rPr>
                <w:rFonts w:ascii="宋体"/>
              </w:rPr>
            </w:pPr>
          </w:p>
        </w:tc>
        <w:tc>
          <w:tcPr>
            <w:tcW w:w="0" w:type="auto"/>
            <w:shd w:val="clear" w:color="auto" w:fill="auto"/>
          </w:tcPr>
          <w:p w14:paraId="33DAF876" w14:textId="77777777" w:rsidR="004D6A64" w:rsidRDefault="004D6A64">
            <w:pPr>
              <w:rPr>
                <w:rFonts w:ascii="宋体"/>
              </w:rPr>
            </w:pPr>
          </w:p>
        </w:tc>
        <w:tc>
          <w:tcPr>
            <w:tcW w:w="0" w:type="auto"/>
            <w:shd w:val="clear" w:color="auto" w:fill="auto"/>
          </w:tcPr>
          <w:p w14:paraId="33DAF877" w14:textId="77777777" w:rsidR="004D6A64" w:rsidRDefault="004D6A64">
            <w:pPr>
              <w:rPr>
                <w:rFonts w:ascii="宋体"/>
              </w:rPr>
            </w:pPr>
          </w:p>
        </w:tc>
        <w:tc>
          <w:tcPr>
            <w:tcW w:w="0" w:type="auto"/>
            <w:shd w:val="clear" w:color="auto" w:fill="auto"/>
          </w:tcPr>
          <w:p w14:paraId="33DAF878" w14:textId="77777777" w:rsidR="004D6A64" w:rsidRDefault="004D6A64">
            <w:pPr>
              <w:rPr>
                <w:rFonts w:ascii="宋体"/>
              </w:rPr>
            </w:pPr>
          </w:p>
        </w:tc>
        <w:tc>
          <w:tcPr>
            <w:tcW w:w="0" w:type="auto"/>
            <w:shd w:val="clear" w:color="auto" w:fill="auto"/>
          </w:tcPr>
          <w:p w14:paraId="33DAF879" w14:textId="77777777" w:rsidR="004D6A64" w:rsidRDefault="004D6A64">
            <w:pPr>
              <w:rPr>
                <w:rFonts w:ascii="宋体"/>
              </w:rPr>
            </w:pPr>
          </w:p>
        </w:tc>
        <w:tc>
          <w:tcPr>
            <w:tcW w:w="0" w:type="auto"/>
            <w:shd w:val="clear" w:color="auto" w:fill="auto"/>
          </w:tcPr>
          <w:p w14:paraId="33DAF87A" w14:textId="77777777" w:rsidR="004D6A64" w:rsidRDefault="004D6A64">
            <w:pPr>
              <w:rPr>
                <w:rFonts w:ascii="宋体"/>
              </w:rPr>
            </w:pPr>
          </w:p>
        </w:tc>
        <w:tc>
          <w:tcPr>
            <w:tcW w:w="0" w:type="auto"/>
            <w:shd w:val="clear" w:color="auto" w:fill="auto"/>
          </w:tcPr>
          <w:p w14:paraId="33DAF87B" w14:textId="77777777" w:rsidR="004D6A64" w:rsidRDefault="004D6A64">
            <w:pPr>
              <w:rPr>
                <w:rFonts w:ascii="宋体"/>
              </w:rPr>
            </w:pPr>
          </w:p>
        </w:tc>
        <w:tc>
          <w:tcPr>
            <w:tcW w:w="0" w:type="auto"/>
            <w:shd w:val="clear" w:color="auto" w:fill="auto"/>
          </w:tcPr>
          <w:p w14:paraId="33DAF87C" w14:textId="77777777" w:rsidR="004D6A64" w:rsidRDefault="004D6A64">
            <w:pPr>
              <w:rPr>
                <w:rFonts w:ascii="宋体"/>
              </w:rPr>
            </w:pPr>
          </w:p>
        </w:tc>
        <w:tc>
          <w:tcPr>
            <w:tcW w:w="0" w:type="auto"/>
            <w:shd w:val="clear" w:color="auto" w:fill="auto"/>
          </w:tcPr>
          <w:p w14:paraId="33DAF87D" w14:textId="77777777" w:rsidR="004D6A64" w:rsidRDefault="004D6A64">
            <w:pPr>
              <w:rPr>
                <w:rFonts w:ascii="宋体"/>
              </w:rPr>
            </w:pPr>
          </w:p>
        </w:tc>
        <w:tc>
          <w:tcPr>
            <w:tcW w:w="0" w:type="auto"/>
            <w:shd w:val="clear" w:color="auto" w:fill="auto"/>
          </w:tcPr>
          <w:p w14:paraId="33DAF87E" w14:textId="77777777" w:rsidR="004D6A64" w:rsidRDefault="004D6A64">
            <w:pPr>
              <w:rPr>
                <w:rFonts w:ascii="宋体"/>
              </w:rPr>
            </w:pPr>
          </w:p>
        </w:tc>
        <w:tc>
          <w:tcPr>
            <w:tcW w:w="0" w:type="auto"/>
            <w:shd w:val="clear" w:color="auto" w:fill="auto"/>
          </w:tcPr>
          <w:p w14:paraId="33DAF87F" w14:textId="77777777" w:rsidR="004D6A64" w:rsidRDefault="004D6A64">
            <w:pPr>
              <w:rPr>
                <w:rFonts w:ascii="宋体"/>
              </w:rPr>
            </w:pPr>
          </w:p>
        </w:tc>
        <w:tc>
          <w:tcPr>
            <w:tcW w:w="0" w:type="auto"/>
            <w:shd w:val="clear" w:color="auto" w:fill="auto"/>
          </w:tcPr>
          <w:p w14:paraId="33DAF880" w14:textId="77777777" w:rsidR="004D6A64" w:rsidRDefault="004D6A64">
            <w:pPr>
              <w:rPr>
                <w:rFonts w:ascii="宋体"/>
              </w:rPr>
            </w:pPr>
          </w:p>
        </w:tc>
      </w:tr>
      <w:tr w:rsidR="004D6A64" w14:paraId="33DAF897" w14:textId="77777777">
        <w:trPr>
          <w:jc w:val="center"/>
        </w:trPr>
        <w:tc>
          <w:tcPr>
            <w:tcW w:w="0" w:type="auto"/>
            <w:gridSpan w:val="3"/>
            <w:shd w:val="clear" w:color="auto" w:fill="CCEEFF"/>
            <w:tcMar>
              <w:top w:w="40" w:type="dxa"/>
              <w:left w:w="120" w:type="dxa"/>
              <w:bottom w:w="40" w:type="dxa"/>
              <w:right w:w="20" w:type="dxa"/>
            </w:tcMar>
            <w:vAlign w:val="center"/>
          </w:tcPr>
          <w:p w14:paraId="33DAF882" w14:textId="77777777" w:rsidR="004D6A64" w:rsidRDefault="00506CD6">
            <w:pPr>
              <w:textAlignment w:val="center"/>
            </w:pPr>
            <w:r>
              <w:rPr>
                <w:rFonts w:ascii="Times New Roman" w:eastAsia="宋体" w:hAnsi="Times New Roman"/>
                <w:color w:val="000000"/>
                <w:sz w:val="20"/>
                <w:szCs w:val="20"/>
              </w:rPr>
              <w:t>VMware Term Loan Facility</w:t>
            </w:r>
          </w:p>
        </w:tc>
        <w:tc>
          <w:tcPr>
            <w:tcW w:w="0" w:type="auto"/>
            <w:gridSpan w:val="2"/>
            <w:shd w:val="clear" w:color="auto" w:fill="CCEEFF"/>
            <w:tcMar>
              <w:top w:w="40" w:type="dxa"/>
              <w:left w:w="20" w:type="dxa"/>
              <w:bottom w:w="40" w:type="dxa"/>
              <w:right w:w="0" w:type="dxa"/>
            </w:tcMar>
            <w:vAlign w:val="center"/>
          </w:tcPr>
          <w:p w14:paraId="33DAF883" w14:textId="77777777" w:rsidR="004D6A64" w:rsidRDefault="00506CD6">
            <w:pPr>
              <w:jc w:val="right"/>
              <w:textAlignment w:val="center"/>
            </w:pPr>
            <w:r>
              <w:rPr>
                <w:rFonts w:ascii="Times New Roman" w:eastAsia="宋体" w:hAnsi="Times New Roman"/>
                <w:color w:val="000000"/>
                <w:sz w:val="20"/>
                <w:szCs w:val="20"/>
              </w:rPr>
              <w:t>1,500 </w:t>
            </w:r>
          </w:p>
        </w:tc>
        <w:tc>
          <w:tcPr>
            <w:tcW w:w="0" w:type="auto"/>
            <w:shd w:val="clear" w:color="auto" w:fill="CCEEFF"/>
            <w:tcMar>
              <w:top w:w="40" w:type="dxa"/>
              <w:bottom w:w="40" w:type="dxa"/>
              <w:right w:w="20" w:type="dxa"/>
            </w:tcMar>
            <w:vAlign w:val="center"/>
          </w:tcPr>
          <w:p w14:paraId="33DAF88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88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886" w14:textId="77777777" w:rsidR="004D6A64" w:rsidRDefault="00506CD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bottom w:w="40" w:type="dxa"/>
              <w:right w:w="20" w:type="dxa"/>
            </w:tcMar>
            <w:vAlign w:val="center"/>
          </w:tcPr>
          <w:p w14:paraId="33DAF887"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888"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889" w14:textId="77777777" w:rsidR="004D6A64" w:rsidRDefault="00506CD6">
            <w:pPr>
              <w:jc w:val="right"/>
              <w:textAlignment w:val="center"/>
            </w:pPr>
            <w:r>
              <w:rPr>
                <w:rFonts w:ascii="Times New Roman" w:eastAsia="宋体" w:hAnsi="Times New Roman"/>
                <w:color w:val="000000"/>
                <w:sz w:val="20"/>
                <w:szCs w:val="20"/>
              </w:rPr>
              <w:t>1,500 </w:t>
            </w:r>
          </w:p>
        </w:tc>
        <w:tc>
          <w:tcPr>
            <w:tcW w:w="0" w:type="auto"/>
            <w:shd w:val="clear" w:color="auto" w:fill="CCEEFF"/>
            <w:tcMar>
              <w:top w:w="40" w:type="dxa"/>
              <w:bottom w:w="40" w:type="dxa"/>
              <w:right w:w="20" w:type="dxa"/>
            </w:tcMar>
            <w:vAlign w:val="center"/>
          </w:tcPr>
          <w:p w14:paraId="33DAF88A" w14:textId="77777777" w:rsidR="004D6A64" w:rsidRDefault="004D6A64">
            <w:pPr>
              <w:jc w:val="right"/>
              <w:rPr>
                <w:rFonts w:ascii="宋体"/>
              </w:rPr>
            </w:pPr>
          </w:p>
        </w:tc>
        <w:tc>
          <w:tcPr>
            <w:tcW w:w="0" w:type="auto"/>
            <w:shd w:val="clear" w:color="auto" w:fill="auto"/>
          </w:tcPr>
          <w:p w14:paraId="33DAF88B" w14:textId="77777777" w:rsidR="004D6A64" w:rsidRDefault="004D6A64">
            <w:pPr>
              <w:rPr>
                <w:rFonts w:ascii="宋体"/>
              </w:rPr>
            </w:pPr>
          </w:p>
        </w:tc>
        <w:tc>
          <w:tcPr>
            <w:tcW w:w="0" w:type="auto"/>
            <w:shd w:val="clear" w:color="auto" w:fill="auto"/>
          </w:tcPr>
          <w:p w14:paraId="33DAF88C" w14:textId="77777777" w:rsidR="004D6A64" w:rsidRDefault="004D6A64">
            <w:pPr>
              <w:rPr>
                <w:rFonts w:ascii="宋体"/>
              </w:rPr>
            </w:pPr>
          </w:p>
        </w:tc>
        <w:tc>
          <w:tcPr>
            <w:tcW w:w="0" w:type="auto"/>
            <w:shd w:val="clear" w:color="auto" w:fill="auto"/>
          </w:tcPr>
          <w:p w14:paraId="33DAF88D" w14:textId="77777777" w:rsidR="004D6A64" w:rsidRDefault="004D6A64">
            <w:pPr>
              <w:rPr>
                <w:rFonts w:ascii="宋体"/>
              </w:rPr>
            </w:pPr>
          </w:p>
        </w:tc>
        <w:tc>
          <w:tcPr>
            <w:tcW w:w="0" w:type="auto"/>
            <w:shd w:val="clear" w:color="auto" w:fill="auto"/>
          </w:tcPr>
          <w:p w14:paraId="33DAF88E" w14:textId="77777777" w:rsidR="004D6A64" w:rsidRDefault="004D6A64">
            <w:pPr>
              <w:rPr>
                <w:rFonts w:ascii="宋体"/>
              </w:rPr>
            </w:pPr>
          </w:p>
        </w:tc>
        <w:tc>
          <w:tcPr>
            <w:tcW w:w="0" w:type="auto"/>
            <w:shd w:val="clear" w:color="auto" w:fill="auto"/>
          </w:tcPr>
          <w:p w14:paraId="33DAF88F" w14:textId="77777777" w:rsidR="004D6A64" w:rsidRDefault="004D6A64">
            <w:pPr>
              <w:rPr>
                <w:rFonts w:ascii="宋体"/>
              </w:rPr>
            </w:pPr>
          </w:p>
        </w:tc>
        <w:tc>
          <w:tcPr>
            <w:tcW w:w="0" w:type="auto"/>
            <w:shd w:val="clear" w:color="auto" w:fill="auto"/>
          </w:tcPr>
          <w:p w14:paraId="33DAF890" w14:textId="77777777" w:rsidR="004D6A64" w:rsidRDefault="004D6A64">
            <w:pPr>
              <w:rPr>
                <w:rFonts w:ascii="宋体"/>
              </w:rPr>
            </w:pPr>
          </w:p>
        </w:tc>
        <w:tc>
          <w:tcPr>
            <w:tcW w:w="0" w:type="auto"/>
            <w:shd w:val="clear" w:color="auto" w:fill="auto"/>
          </w:tcPr>
          <w:p w14:paraId="33DAF891" w14:textId="77777777" w:rsidR="004D6A64" w:rsidRDefault="004D6A64">
            <w:pPr>
              <w:rPr>
                <w:rFonts w:ascii="宋体"/>
              </w:rPr>
            </w:pPr>
          </w:p>
        </w:tc>
        <w:tc>
          <w:tcPr>
            <w:tcW w:w="0" w:type="auto"/>
            <w:shd w:val="clear" w:color="auto" w:fill="auto"/>
          </w:tcPr>
          <w:p w14:paraId="33DAF892" w14:textId="77777777" w:rsidR="004D6A64" w:rsidRDefault="004D6A64">
            <w:pPr>
              <w:rPr>
                <w:rFonts w:ascii="宋体"/>
              </w:rPr>
            </w:pPr>
          </w:p>
        </w:tc>
        <w:tc>
          <w:tcPr>
            <w:tcW w:w="0" w:type="auto"/>
            <w:shd w:val="clear" w:color="auto" w:fill="auto"/>
          </w:tcPr>
          <w:p w14:paraId="33DAF893" w14:textId="77777777" w:rsidR="004D6A64" w:rsidRDefault="004D6A64">
            <w:pPr>
              <w:rPr>
                <w:rFonts w:ascii="宋体"/>
              </w:rPr>
            </w:pPr>
          </w:p>
        </w:tc>
        <w:tc>
          <w:tcPr>
            <w:tcW w:w="0" w:type="auto"/>
            <w:shd w:val="clear" w:color="auto" w:fill="auto"/>
          </w:tcPr>
          <w:p w14:paraId="33DAF894" w14:textId="77777777" w:rsidR="004D6A64" w:rsidRDefault="004D6A64">
            <w:pPr>
              <w:rPr>
                <w:rFonts w:ascii="宋体"/>
              </w:rPr>
            </w:pPr>
          </w:p>
        </w:tc>
        <w:tc>
          <w:tcPr>
            <w:tcW w:w="0" w:type="auto"/>
            <w:shd w:val="clear" w:color="auto" w:fill="auto"/>
          </w:tcPr>
          <w:p w14:paraId="33DAF895" w14:textId="77777777" w:rsidR="004D6A64" w:rsidRDefault="004D6A64">
            <w:pPr>
              <w:rPr>
                <w:rFonts w:ascii="宋体"/>
              </w:rPr>
            </w:pPr>
          </w:p>
        </w:tc>
        <w:tc>
          <w:tcPr>
            <w:tcW w:w="0" w:type="auto"/>
            <w:shd w:val="clear" w:color="auto" w:fill="auto"/>
          </w:tcPr>
          <w:p w14:paraId="33DAF896" w14:textId="77777777" w:rsidR="004D6A64" w:rsidRDefault="004D6A64">
            <w:pPr>
              <w:rPr>
                <w:rFonts w:ascii="宋体"/>
              </w:rPr>
            </w:pPr>
          </w:p>
        </w:tc>
      </w:tr>
      <w:tr w:rsidR="004D6A64" w14:paraId="33DAF8AD" w14:textId="77777777">
        <w:trPr>
          <w:jc w:val="center"/>
        </w:trPr>
        <w:tc>
          <w:tcPr>
            <w:tcW w:w="0" w:type="auto"/>
            <w:gridSpan w:val="3"/>
            <w:shd w:val="clear" w:color="auto" w:fill="FFFFFF"/>
            <w:tcMar>
              <w:top w:w="40" w:type="dxa"/>
              <w:left w:w="120" w:type="dxa"/>
              <w:bottom w:w="40" w:type="dxa"/>
              <w:right w:w="20" w:type="dxa"/>
            </w:tcMar>
            <w:vAlign w:val="center"/>
          </w:tcPr>
          <w:p w14:paraId="33DAF898" w14:textId="77777777" w:rsidR="004D6A64" w:rsidRDefault="00506CD6">
            <w:pPr>
              <w:textAlignment w:val="center"/>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center"/>
          </w:tcPr>
          <w:p w14:paraId="33DAF899" w14:textId="77777777" w:rsidR="004D6A64" w:rsidRDefault="00506CD6">
            <w:pPr>
              <w:jc w:val="right"/>
              <w:textAlignment w:val="center"/>
            </w:pPr>
            <w:r>
              <w:rPr>
                <w:rFonts w:ascii="Times New Roman" w:eastAsia="宋体" w:hAnsi="Times New Roman"/>
                <w:color w:val="000000"/>
                <w:sz w:val="20"/>
                <w:szCs w:val="20"/>
              </w:rPr>
              <w:t>55 </w:t>
            </w:r>
          </w:p>
        </w:tc>
        <w:tc>
          <w:tcPr>
            <w:tcW w:w="0" w:type="auto"/>
            <w:shd w:val="clear" w:color="auto" w:fill="FFFFFF"/>
            <w:tcMar>
              <w:top w:w="40" w:type="dxa"/>
              <w:bottom w:w="40" w:type="dxa"/>
              <w:right w:w="20" w:type="dxa"/>
            </w:tcMar>
            <w:vAlign w:val="center"/>
          </w:tcPr>
          <w:p w14:paraId="33DAF89A"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89B"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F89C" w14:textId="77777777" w:rsidR="004D6A64" w:rsidRDefault="00506CD6">
            <w:pPr>
              <w:jc w:val="right"/>
              <w:textAlignment w:val="center"/>
            </w:pPr>
            <w:r>
              <w:rPr>
                <w:rFonts w:ascii="Times New Roman" w:eastAsia="宋体" w:hAnsi="Times New Roman"/>
                <w:color w:val="000000"/>
                <w:sz w:val="20"/>
                <w:szCs w:val="20"/>
              </w:rPr>
              <w:t>(5)</w:t>
            </w:r>
          </w:p>
        </w:tc>
        <w:tc>
          <w:tcPr>
            <w:tcW w:w="0" w:type="auto"/>
            <w:shd w:val="clear" w:color="auto" w:fill="FFFFFF"/>
            <w:tcMar>
              <w:top w:w="40" w:type="dxa"/>
              <w:bottom w:w="40" w:type="dxa"/>
              <w:right w:w="20" w:type="dxa"/>
            </w:tcMar>
            <w:vAlign w:val="center"/>
          </w:tcPr>
          <w:p w14:paraId="33DAF89D"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89E"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F89F" w14:textId="77777777" w:rsidR="004D6A64" w:rsidRDefault="00506CD6">
            <w:pPr>
              <w:jc w:val="right"/>
              <w:textAlignment w:val="center"/>
            </w:pPr>
            <w:r>
              <w:rPr>
                <w:rFonts w:ascii="Times New Roman" w:eastAsia="宋体" w:hAnsi="Times New Roman"/>
                <w:color w:val="000000"/>
                <w:sz w:val="20"/>
                <w:szCs w:val="20"/>
              </w:rPr>
              <w:t>60 </w:t>
            </w:r>
          </w:p>
        </w:tc>
        <w:tc>
          <w:tcPr>
            <w:tcW w:w="0" w:type="auto"/>
            <w:shd w:val="clear" w:color="auto" w:fill="FFFFFF"/>
            <w:tcMar>
              <w:top w:w="40" w:type="dxa"/>
              <w:bottom w:w="40" w:type="dxa"/>
              <w:right w:w="20" w:type="dxa"/>
            </w:tcMar>
            <w:vAlign w:val="center"/>
          </w:tcPr>
          <w:p w14:paraId="33DAF8A0" w14:textId="77777777" w:rsidR="004D6A64" w:rsidRDefault="004D6A64">
            <w:pPr>
              <w:jc w:val="right"/>
              <w:rPr>
                <w:rFonts w:ascii="宋体"/>
              </w:rPr>
            </w:pPr>
          </w:p>
        </w:tc>
        <w:tc>
          <w:tcPr>
            <w:tcW w:w="0" w:type="auto"/>
            <w:shd w:val="clear" w:color="auto" w:fill="auto"/>
          </w:tcPr>
          <w:p w14:paraId="33DAF8A1" w14:textId="77777777" w:rsidR="004D6A64" w:rsidRDefault="004D6A64">
            <w:pPr>
              <w:rPr>
                <w:rFonts w:ascii="宋体"/>
              </w:rPr>
            </w:pPr>
          </w:p>
        </w:tc>
        <w:tc>
          <w:tcPr>
            <w:tcW w:w="0" w:type="auto"/>
            <w:shd w:val="clear" w:color="auto" w:fill="auto"/>
          </w:tcPr>
          <w:p w14:paraId="33DAF8A2" w14:textId="77777777" w:rsidR="004D6A64" w:rsidRDefault="004D6A64">
            <w:pPr>
              <w:rPr>
                <w:rFonts w:ascii="宋体"/>
              </w:rPr>
            </w:pPr>
          </w:p>
        </w:tc>
        <w:tc>
          <w:tcPr>
            <w:tcW w:w="0" w:type="auto"/>
            <w:shd w:val="clear" w:color="auto" w:fill="auto"/>
          </w:tcPr>
          <w:p w14:paraId="33DAF8A3" w14:textId="77777777" w:rsidR="004D6A64" w:rsidRDefault="004D6A64">
            <w:pPr>
              <w:rPr>
                <w:rFonts w:ascii="宋体"/>
              </w:rPr>
            </w:pPr>
          </w:p>
        </w:tc>
        <w:tc>
          <w:tcPr>
            <w:tcW w:w="0" w:type="auto"/>
            <w:shd w:val="clear" w:color="auto" w:fill="auto"/>
          </w:tcPr>
          <w:p w14:paraId="33DAF8A4" w14:textId="77777777" w:rsidR="004D6A64" w:rsidRDefault="004D6A64">
            <w:pPr>
              <w:rPr>
                <w:rFonts w:ascii="宋体"/>
              </w:rPr>
            </w:pPr>
          </w:p>
        </w:tc>
        <w:tc>
          <w:tcPr>
            <w:tcW w:w="0" w:type="auto"/>
            <w:shd w:val="clear" w:color="auto" w:fill="auto"/>
          </w:tcPr>
          <w:p w14:paraId="33DAF8A5" w14:textId="77777777" w:rsidR="004D6A64" w:rsidRDefault="004D6A64">
            <w:pPr>
              <w:rPr>
                <w:rFonts w:ascii="宋体"/>
              </w:rPr>
            </w:pPr>
          </w:p>
        </w:tc>
        <w:tc>
          <w:tcPr>
            <w:tcW w:w="0" w:type="auto"/>
            <w:shd w:val="clear" w:color="auto" w:fill="auto"/>
          </w:tcPr>
          <w:p w14:paraId="33DAF8A6" w14:textId="77777777" w:rsidR="004D6A64" w:rsidRDefault="004D6A64">
            <w:pPr>
              <w:rPr>
                <w:rFonts w:ascii="宋体"/>
              </w:rPr>
            </w:pPr>
          </w:p>
        </w:tc>
        <w:tc>
          <w:tcPr>
            <w:tcW w:w="0" w:type="auto"/>
            <w:shd w:val="clear" w:color="auto" w:fill="auto"/>
          </w:tcPr>
          <w:p w14:paraId="33DAF8A7" w14:textId="77777777" w:rsidR="004D6A64" w:rsidRDefault="004D6A64">
            <w:pPr>
              <w:rPr>
                <w:rFonts w:ascii="宋体"/>
              </w:rPr>
            </w:pPr>
          </w:p>
        </w:tc>
        <w:tc>
          <w:tcPr>
            <w:tcW w:w="0" w:type="auto"/>
            <w:shd w:val="clear" w:color="auto" w:fill="auto"/>
          </w:tcPr>
          <w:p w14:paraId="33DAF8A8" w14:textId="77777777" w:rsidR="004D6A64" w:rsidRDefault="004D6A64">
            <w:pPr>
              <w:rPr>
                <w:rFonts w:ascii="宋体"/>
              </w:rPr>
            </w:pPr>
          </w:p>
        </w:tc>
        <w:tc>
          <w:tcPr>
            <w:tcW w:w="0" w:type="auto"/>
            <w:shd w:val="clear" w:color="auto" w:fill="auto"/>
          </w:tcPr>
          <w:p w14:paraId="33DAF8A9" w14:textId="77777777" w:rsidR="004D6A64" w:rsidRDefault="004D6A64">
            <w:pPr>
              <w:rPr>
                <w:rFonts w:ascii="宋体"/>
              </w:rPr>
            </w:pPr>
          </w:p>
        </w:tc>
        <w:tc>
          <w:tcPr>
            <w:tcW w:w="0" w:type="auto"/>
            <w:shd w:val="clear" w:color="auto" w:fill="auto"/>
          </w:tcPr>
          <w:p w14:paraId="33DAF8AA" w14:textId="77777777" w:rsidR="004D6A64" w:rsidRDefault="004D6A64">
            <w:pPr>
              <w:rPr>
                <w:rFonts w:ascii="宋体"/>
              </w:rPr>
            </w:pPr>
          </w:p>
        </w:tc>
        <w:tc>
          <w:tcPr>
            <w:tcW w:w="0" w:type="auto"/>
            <w:shd w:val="clear" w:color="auto" w:fill="auto"/>
          </w:tcPr>
          <w:p w14:paraId="33DAF8AB" w14:textId="77777777" w:rsidR="004D6A64" w:rsidRDefault="004D6A64">
            <w:pPr>
              <w:rPr>
                <w:rFonts w:ascii="宋体"/>
              </w:rPr>
            </w:pPr>
          </w:p>
        </w:tc>
        <w:tc>
          <w:tcPr>
            <w:tcW w:w="0" w:type="auto"/>
            <w:shd w:val="clear" w:color="auto" w:fill="auto"/>
          </w:tcPr>
          <w:p w14:paraId="33DAF8AC" w14:textId="77777777" w:rsidR="004D6A64" w:rsidRDefault="004D6A64">
            <w:pPr>
              <w:rPr>
                <w:rFonts w:ascii="宋体"/>
              </w:rPr>
            </w:pPr>
          </w:p>
        </w:tc>
      </w:tr>
      <w:tr w:rsidR="004D6A64" w14:paraId="33DAF8C3" w14:textId="77777777">
        <w:trPr>
          <w:jc w:val="center"/>
        </w:trPr>
        <w:tc>
          <w:tcPr>
            <w:tcW w:w="0" w:type="auto"/>
            <w:gridSpan w:val="3"/>
            <w:shd w:val="clear" w:color="auto" w:fill="CCEEFF"/>
            <w:tcMar>
              <w:top w:w="40" w:type="dxa"/>
              <w:left w:w="240" w:type="dxa"/>
              <w:bottom w:w="40" w:type="dxa"/>
              <w:right w:w="20" w:type="dxa"/>
            </w:tcMar>
            <w:vAlign w:val="center"/>
          </w:tcPr>
          <w:p w14:paraId="33DAF8AE" w14:textId="77777777" w:rsidR="004D6A64" w:rsidRDefault="00506CD6">
            <w:pPr>
              <w:textAlignment w:val="center"/>
            </w:pPr>
            <w:r>
              <w:rPr>
                <w:rFonts w:ascii="Times New Roman" w:eastAsia="宋体" w:hAnsi="Times New Roman"/>
                <w:color w:val="000000"/>
                <w:sz w:val="20"/>
                <w:szCs w:val="20"/>
              </w:rPr>
              <w:t>Total public subsidiary debt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F8AF" w14:textId="77777777" w:rsidR="004D6A64" w:rsidRDefault="00506CD6">
            <w:pPr>
              <w:jc w:val="right"/>
              <w:textAlignment w:val="center"/>
            </w:pPr>
            <w:r>
              <w:rPr>
                <w:rFonts w:ascii="Times New Roman" w:eastAsia="宋体" w:hAnsi="Times New Roman"/>
                <w:color w:val="000000"/>
                <w:sz w:val="20"/>
                <w:szCs w:val="20"/>
              </w:rPr>
              <w:t>6,305 </w:t>
            </w:r>
          </w:p>
        </w:tc>
        <w:tc>
          <w:tcPr>
            <w:tcW w:w="0" w:type="auto"/>
            <w:tcBorders>
              <w:top w:val="single" w:sz="8" w:space="0" w:color="000000"/>
            </w:tcBorders>
            <w:shd w:val="clear" w:color="auto" w:fill="CCEEFF"/>
            <w:tcMar>
              <w:top w:w="40" w:type="dxa"/>
              <w:bottom w:w="40" w:type="dxa"/>
              <w:right w:w="20" w:type="dxa"/>
            </w:tcMar>
            <w:vAlign w:val="center"/>
          </w:tcPr>
          <w:p w14:paraId="33DAF8B0"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8B1"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F8B2" w14:textId="77777777" w:rsidR="004D6A64" w:rsidRDefault="00506CD6">
            <w:pPr>
              <w:jc w:val="right"/>
              <w:textAlignment w:val="center"/>
            </w:pPr>
            <w:r>
              <w:rPr>
                <w:rFonts w:ascii="Times New Roman" w:eastAsia="宋体" w:hAnsi="Times New Roman"/>
                <w:color w:val="000000"/>
                <w:sz w:val="20"/>
                <w:szCs w:val="20"/>
              </w:rPr>
              <w:t>745 </w:t>
            </w:r>
          </w:p>
        </w:tc>
        <w:tc>
          <w:tcPr>
            <w:tcW w:w="0" w:type="auto"/>
            <w:tcBorders>
              <w:top w:val="single" w:sz="8" w:space="0" w:color="000000"/>
            </w:tcBorders>
            <w:shd w:val="clear" w:color="auto" w:fill="CCEEFF"/>
            <w:tcMar>
              <w:top w:w="40" w:type="dxa"/>
              <w:bottom w:w="40" w:type="dxa"/>
              <w:right w:w="20" w:type="dxa"/>
            </w:tcMar>
            <w:vAlign w:val="center"/>
          </w:tcPr>
          <w:p w14:paraId="33DAF8B3"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8B4" w14:textId="77777777" w:rsidR="004D6A64" w:rsidRDefault="004D6A6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3DAF8B5" w14:textId="77777777" w:rsidR="004D6A64" w:rsidRDefault="00506CD6">
            <w:pPr>
              <w:jc w:val="right"/>
              <w:textAlignment w:val="center"/>
            </w:pPr>
            <w:r>
              <w:rPr>
                <w:rFonts w:ascii="Times New Roman" w:eastAsia="宋体" w:hAnsi="Times New Roman"/>
                <w:color w:val="000000"/>
                <w:sz w:val="20"/>
                <w:szCs w:val="20"/>
              </w:rPr>
              <w:t>5,560 </w:t>
            </w:r>
          </w:p>
        </w:tc>
        <w:tc>
          <w:tcPr>
            <w:tcW w:w="0" w:type="auto"/>
            <w:tcBorders>
              <w:top w:val="single" w:sz="8" w:space="0" w:color="000000"/>
            </w:tcBorders>
            <w:shd w:val="clear" w:color="auto" w:fill="CCEEFF"/>
            <w:tcMar>
              <w:top w:w="40" w:type="dxa"/>
              <w:bottom w:w="40" w:type="dxa"/>
              <w:right w:w="20" w:type="dxa"/>
            </w:tcMar>
            <w:vAlign w:val="center"/>
          </w:tcPr>
          <w:p w14:paraId="33DAF8B6" w14:textId="77777777" w:rsidR="004D6A64" w:rsidRDefault="004D6A64">
            <w:pPr>
              <w:jc w:val="right"/>
              <w:rPr>
                <w:rFonts w:ascii="宋体"/>
              </w:rPr>
            </w:pPr>
          </w:p>
        </w:tc>
        <w:tc>
          <w:tcPr>
            <w:tcW w:w="0" w:type="auto"/>
            <w:shd w:val="clear" w:color="auto" w:fill="auto"/>
          </w:tcPr>
          <w:p w14:paraId="33DAF8B7" w14:textId="77777777" w:rsidR="004D6A64" w:rsidRDefault="004D6A64">
            <w:pPr>
              <w:rPr>
                <w:rFonts w:ascii="宋体"/>
              </w:rPr>
            </w:pPr>
          </w:p>
        </w:tc>
        <w:tc>
          <w:tcPr>
            <w:tcW w:w="0" w:type="auto"/>
            <w:shd w:val="clear" w:color="auto" w:fill="auto"/>
          </w:tcPr>
          <w:p w14:paraId="33DAF8B8" w14:textId="77777777" w:rsidR="004D6A64" w:rsidRDefault="004D6A64">
            <w:pPr>
              <w:rPr>
                <w:rFonts w:ascii="宋体"/>
              </w:rPr>
            </w:pPr>
          </w:p>
        </w:tc>
        <w:tc>
          <w:tcPr>
            <w:tcW w:w="0" w:type="auto"/>
            <w:shd w:val="clear" w:color="auto" w:fill="auto"/>
          </w:tcPr>
          <w:p w14:paraId="33DAF8B9" w14:textId="77777777" w:rsidR="004D6A64" w:rsidRDefault="004D6A64">
            <w:pPr>
              <w:rPr>
                <w:rFonts w:ascii="宋体"/>
              </w:rPr>
            </w:pPr>
          </w:p>
        </w:tc>
        <w:tc>
          <w:tcPr>
            <w:tcW w:w="0" w:type="auto"/>
            <w:shd w:val="clear" w:color="auto" w:fill="auto"/>
          </w:tcPr>
          <w:p w14:paraId="33DAF8BA" w14:textId="77777777" w:rsidR="004D6A64" w:rsidRDefault="004D6A64">
            <w:pPr>
              <w:rPr>
                <w:rFonts w:ascii="宋体"/>
              </w:rPr>
            </w:pPr>
          </w:p>
        </w:tc>
        <w:tc>
          <w:tcPr>
            <w:tcW w:w="0" w:type="auto"/>
            <w:shd w:val="clear" w:color="auto" w:fill="auto"/>
          </w:tcPr>
          <w:p w14:paraId="33DAF8BB" w14:textId="77777777" w:rsidR="004D6A64" w:rsidRDefault="004D6A64">
            <w:pPr>
              <w:rPr>
                <w:rFonts w:ascii="宋体"/>
              </w:rPr>
            </w:pPr>
          </w:p>
        </w:tc>
        <w:tc>
          <w:tcPr>
            <w:tcW w:w="0" w:type="auto"/>
            <w:shd w:val="clear" w:color="auto" w:fill="auto"/>
          </w:tcPr>
          <w:p w14:paraId="33DAF8BC" w14:textId="77777777" w:rsidR="004D6A64" w:rsidRDefault="004D6A64">
            <w:pPr>
              <w:rPr>
                <w:rFonts w:ascii="宋体"/>
              </w:rPr>
            </w:pPr>
          </w:p>
        </w:tc>
        <w:tc>
          <w:tcPr>
            <w:tcW w:w="0" w:type="auto"/>
            <w:shd w:val="clear" w:color="auto" w:fill="auto"/>
          </w:tcPr>
          <w:p w14:paraId="33DAF8BD" w14:textId="77777777" w:rsidR="004D6A64" w:rsidRDefault="004D6A64">
            <w:pPr>
              <w:rPr>
                <w:rFonts w:ascii="宋体"/>
              </w:rPr>
            </w:pPr>
          </w:p>
        </w:tc>
        <w:tc>
          <w:tcPr>
            <w:tcW w:w="0" w:type="auto"/>
            <w:shd w:val="clear" w:color="auto" w:fill="auto"/>
          </w:tcPr>
          <w:p w14:paraId="33DAF8BE" w14:textId="77777777" w:rsidR="004D6A64" w:rsidRDefault="004D6A64">
            <w:pPr>
              <w:rPr>
                <w:rFonts w:ascii="宋体"/>
              </w:rPr>
            </w:pPr>
          </w:p>
        </w:tc>
        <w:tc>
          <w:tcPr>
            <w:tcW w:w="0" w:type="auto"/>
            <w:shd w:val="clear" w:color="auto" w:fill="auto"/>
          </w:tcPr>
          <w:p w14:paraId="33DAF8BF" w14:textId="77777777" w:rsidR="004D6A64" w:rsidRDefault="004D6A64">
            <w:pPr>
              <w:rPr>
                <w:rFonts w:ascii="宋体"/>
              </w:rPr>
            </w:pPr>
          </w:p>
        </w:tc>
        <w:tc>
          <w:tcPr>
            <w:tcW w:w="0" w:type="auto"/>
            <w:shd w:val="clear" w:color="auto" w:fill="auto"/>
          </w:tcPr>
          <w:p w14:paraId="33DAF8C0" w14:textId="77777777" w:rsidR="004D6A64" w:rsidRDefault="004D6A64">
            <w:pPr>
              <w:rPr>
                <w:rFonts w:ascii="宋体"/>
              </w:rPr>
            </w:pPr>
          </w:p>
        </w:tc>
        <w:tc>
          <w:tcPr>
            <w:tcW w:w="0" w:type="auto"/>
            <w:shd w:val="clear" w:color="auto" w:fill="auto"/>
          </w:tcPr>
          <w:p w14:paraId="33DAF8C1" w14:textId="77777777" w:rsidR="004D6A64" w:rsidRDefault="004D6A64">
            <w:pPr>
              <w:rPr>
                <w:rFonts w:ascii="宋体"/>
              </w:rPr>
            </w:pPr>
          </w:p>
        </w:tc>
        <w:tc>
          <w:tcPr>
            <w:tcW w:w="0" w:type="auto"/>
            <w:shd w:val="clear" w:color="auto" w:fill="auto"/>
          </w:tcPr>
          <w:p w14:paraId="33DAF8C2" w14:textId="77777777" w:rsidR="004D6A64" w:rsidRDefault="004D6A64">
            <w:pPr>
              <w:rPr>
                <w:rFonts w:ascii="宋体"/>
              </w:rPr>
            </w:pPr>
          </w:p>
        </w:tc>
      </w:tr>
      <w:tr w:rsidR="004D6A64" w14:paraId="33DAF8D9" w14:textId="77777777">
        <w:trPr>
          <w:jc w:val="center"/>
        </w:trPr>
        <w:tc>
          <w:tcPr>
            <w:tcW w:w="0" w:type="auto"/>
            <w:gridSpan w:val="3"/>
            <w:shd w:val="clear" w:color="auto" w:fill="FFFFFF"/>
            <w:tcMar>
              <w:top w:w="40" w:type="dxa"/>
              <w:left w:w="360" w:type="dxa"/>
              <w:bottom w:w="40" w:type="dxa"/>
              <w:right w:w="20" w:type="dxa"/>
            </w:tcMar>
            <w:vAlign w:val="center"/>
          </w:tcPr>
          <w:p w14:paraId="33DAF8C4" w14:textId="77777777" w:rsidR="004D6A64" w:rsidRDefault="00506CD6">
            <w:pPr>
              <w:textAlignment w:val="center"/>
            </w:pPr>
            <w:r>
              <w:rPr>
                <w:rFonts w:ascii="Times New Roman" w:eastAsia="宋体" w:hAnsi="Times New Roman"/>
                <w:color w:val="000000"/>
                <w:sz w:val="20"/>
                <w:szCs w:val="20"/>
              </w:rPr>
              <w:t>Total debt, principal amount</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F8C5" w14:textId="77777777" w:rsidR="004D6A64" w:rsidRDefault="00506CD6">
            <w:pPr>
              <w:jc w:val="right"/>
              <w:textAlignment w:val="center"/>
            </w:pPr>
            <w:r>
              <w:rPr>
                <w:rFonts w:ascii="Times New Roman" w:eastAsia="宋体" w:hAnsi="Times New Roman"/>
                <w:color w:val="000000"/>
                <w:sz w:val="20"/>
                <w:szCs w:val="20"/>
              </w:rPr>
              <w:t>54,537 </w:t>
            </w:r>
          </w:p>
        </w:tc>
        <w:tc>
          <w:tcPr>
            <w:tcW w:w="0" w:type="auto"/>
            <w:tcBorders>
              <w:top w:val="single" w:sz="8" w:space="0" w:color="000000"/>
            </w:tcBorders>
            <w:shd w:val="clear" w:color="auto" w:fill="FFFFFF"/>
            <w:tcMar>
              <w:top w:w="40" w:type="dxa"/>
              <w:bottom w:w="40" w:type="dxa"/>
              <w:right w:w="20" w:type="dxa"/>
            </w:tcMar>
            <w:vAlign w:val="center"/>
          </w:tcPr>
          <w:p w14:paraId="33DAF8C6"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8C7"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F8C8" w14:textId="77777777" w:rsidR="004D6A64" w:rsidRDefault="00506CD6">
            <w:pPr>
              <w:jc w:val="right"/>
              <w:textAlignment w:val="center"/>
            </w:pPr>
            <w:r>
              <w:rPr>
                <w:rFonts w:ascii="Times New Roman" w:eastAsia="宋体" w:hAnsi="Times New Roman"/>
                <w:color w:val="000000"/>
                <w:sz w:val="20"/>
                <w:szCs w:val="20"/>
              </w:rPr>
              <w:t>1,872 </w:t>
            </w:r>
          </w:p>
        </w:tc>
        <w:tc>
          <w:tcPr>
            <w:tcW w:w="0" w:type="auto"/>
            <w:tcBorders>
              <w:top w:val="single" w:sz="8" w:space="0" w:color="000000"/>
            </w:tcBorders>
            <w:shd w:val="clear" w:color="auto" w:fill="FFFFFF"/>
            <w:tcMar>
              <w:top w:w="40" w:type="dxa"/>
              <w:bottom w:w="40" w:type="dxa"/>
              <w:right w:w="20" w:type="dxa"/>
            </w:tcMar>
            <w:vAlign w:val="center"/>
          </w:tcPr>
          <w:p w14:paraId="33DAF8C9"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8CA" w14:textId="77777777" w:rsidR="004D6A64" w:rsidRDefault="004D6A6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3DAF8CB" w14:textId="77777777" w:rsidR="004D6A64" w:rsidRDefault="00506CD6">
            <w:pPr>
              <w:jc w:val="right"/>
              <w:textAlignment w:val="center"/>
            </w:pPr>
            <w:r>
              <w:rPr>
                <w:rFonts w:ascii="Times New Roman" w:eastAsia="宋体" w:hAnsi="Times New Roman"/>
                <w:color w:val="000000"/>
                <w:sz w:val="20"/>
                <w:szCs w:val="20"/>
              </w:rPr>
              <w:t>52,665 </w:t>
            </w:r>
          </w:p>
        </w:tc>
        <w:tc>
          <w:tcPr>
            <w:tcW w:w="0" w:type="auto"/>
            <w:tcBorders>
              <w:top w:val="single" w:sz="8" w:space="0" w:color="000000"/>
            </w:tcBorders>
            <w:shd w:val="clear" w:color="auto" w:fill="FFFFFF"/>
            <w:tcMar>
              <w:top w:w="40" w:type="dxa"/>
              <w:bottom w:w="40" w:type="dxa"/>
              <w:right w:w="20" w:type="dxa"/>
            </w:tcMar>
            <w:vAlign w:val="center"/>
          </w:tcPr>
          <w:p w14:paraId="33DAF8CC" w14:textId="77777777" w:rsidR="004D6A64" w:rsidRDefault="004D6A64">
            <w:pPr>
              <w:jc w:val="right"/>
              <w:rPr>
                <w:rFonts w:ascii="宋体"/>
              </w:rPr>
            </w:pPr>
          </w:p>
        </w:tc>
        <w:tc>
          <w:tcPr>
            <w:tcW w:w="0" w:type="auto"/>
            <w:shd w:val="clear" w:color="auto" w:fill="auto"/>
          </w:tcPr>
          <w:p w14:paraId="33DAF8CD" w14:textId="77777777" w:rsidR="004D6A64" w:rsidRDefault="004D6A64">
            <w:pPr>
              <w:rPr>
                <w:rFonts w:ascii="宋体"/>
              </w:rPr>
            </w:pPr>
          </w:p>
        </w:tc>
        <w:tc>
          <w:tcPr>
            <w:tcW w:w="0" w:type="auto"/>
            <w:shd w:val="clear" w:color="auto" w:fill="auto"/>
          </w:tcPr>
          <w:p w14:paraId="33DAF8CE" w14:textId="77777777" w:rsidR="004D6A64" w:rsidRDefault="004D6A64">
            <w:pPr>
              <w:rPr>
                <w:rFonts w:ascii="宋体"/>
              </w:rPr>
            </w:pPr>
          </w:p>
        </w:tc>
        <w:tc>
          <w:tcPr>
            <w:tcW w:w="0" w:type="auto"/>
            <w:shd w:val="clear" w:color="auto" w:fill="auto"/>
          </w:tcPr>
          <w:p w14:paraId="33DAF8CF" w14:textId="77777777" w:rsidR="004D6A64" w:rsidRDefault="004D6A64">
            <w:pPr>
              <w:rPr>
                <w:rFonts w:ascii="宋体"/>
              </w:rPr>
            </w:pPr>
          </w:p>
        </w:tc>
        <w:tc>
          <w:tcPr>
            <w:tcW w:w="0" w:type="auto"/>
            <w:shd w:val="clear" w:color="auto" w:fill="auto"/>
          </w:tcPr>
          <w:p w14:paraId="33DAF8D0" w14:textId="77777777" w:rsidR="004D6A64" w:rsidRDefault="004D6A64">
            <w:pPr>
              <w:rPr>
                <w:rFonts w:ascii="宋体"/>
              </w:rPr>
            </w:pPr>
          </w:p>
        </w:tc>
        <w:tc>
          <w:tcPr>
            <w:tcW w:w="0" w:type="auto"/>
            <w:shd w:val="clear" w:color="auto" w:fill="auto"/>
          </w:tcPr>
          <w:p w14:paraId="33DAF8D1" w14:textId="77777777" w:rsidR="004D6A64" w:rsidRDefault="004D6A64">
            <w:pPr>
              <w:rPr>
                <w:rFonts w:ascii="宋体"/>
              </w:rPr>
            </w:pPr>
          </w:p>
        </w:tc>
        <w:tc>
          <w:tcPr>
            <w:tcW w:w="0" w:type="auto"/>
            <w:shd w:val="clear" w:color="auto" w:fill="auto"/>
          </w:tcPr>
          <w:p w14:paraId="33DAF8D2" w14:textId="77777777" w:rsidR="004D6A64" w:rsidRDefault="004D6A64">
            <w:pPr>
              <w:rPr>
                <w:rFonts w:ascii="宋体"/>
              </w:rPr>
            </w:pPr>
          </w:p>
        </w:tc>
        <w:tc>
          <w:tcPr>
            <w:tcW w:w="0" w:type="auto"/>
            <w:shd w:val="clear" w:color="auto" w:fill="auto"/>
          </w:tcPr>
          <w:p w14:paraId="33DAF8D3" w14:textId="77777777" w:rsidR="004D6A64" w:rsidRDefault="004D6A64">
            <w:pPr>
              <w:rPr>
                <w:rFonts w:ascii="宋体"/>
              </w:rPr>
            </w:pPr>
          </w:p>
        </w:tc>
        <w:tc>
          <w:tcPr>
            <w:tcW w:w="0" w:type="auto"/>
            <w:shd w:val="clear" w:color="auto" w:fill="auto"/>
          </w:tcPr>
          <w:p w14:paraId="33DAF8D4" w14:textId="77777777" w:rsidR="004D6A64" w:rsidRDefault="004D6A64">
            <w:pPr>
              <w:rPr>
                <w:rFonts w:ascii="宋体"/>
              </w:rPr>
            </w:pPr>
          </w:p>
        </w:tc>
        <w:tc>
          <w:tcPr>
            <w:tcW w:w="0" w:type="auto"/>
            <w:shd w:val="clear" w:color="auto" w:fill="auto"/>
          </w:tcPr>
          <w:p w14:paraId="33DAF8D5" w14:textId="77777777" w:rsidR="004D6A64" w:rsidRDefault="004D6A64">
            <w:pPr>
              <w:rPr>
                <w:rFonts w:ascii="宋体"/>
              </w:rPr>
            </w:pPr>
          </w:p>
        </w:tc>
        <w:tc>
          <w:tcPr>
            <w:tcW w:w="0" w:type="auto"/>
            <w:shd w:val="clear" w:color="auto" w:fill="auto"/>
          </w:tcPr>
          <w:p w14:paraId="33DAF8D6" w14:textId="77777777" w:rsidR="004D6A64" w:rsidRDefault="004D6A64">
            <w:pPr>
              <w:rPr>
                <w:rFonts w:ascii="宋体"/>
              </w:rPr>
            </w:pPr>
          </w:p>
        </w:tc>
        <w:tc>
          <w:tcPr>
            <w:tcW w:w="0" w:type="auto"/>
            <w:shd w:val="clear" w:color="auto" w:fill="auto"/>
          </w:tcPr>
          <w:p w14:paraId="33DAF8D7" w14:textId="77777777" w:rsidR="004D6A64" w:rsidRDefault="004D6A64">
            <w:pPr>
              <w:rPr>
                <w:rFonts w:ascii="宋体"/>
              </w:rPr>
            </w:pPr>
          </w:p>
        </w:tc>
        <w:tc>
          <w:tcPr>
            <w:tcW w:w="0" w:type="auto"/>
            <w:shd w:val="clear" w:color="auto" w:fill="auto"/>
          </w:tcPr>
          <w:p w14:paraId="33DAF8D8" w14:textId="77777777" w:rsidR="004D6A64" w:rsidRDefault="004D6A64">
            <w:pPr>
              <w:rPr>
                <w:rFonts w:ascii="宋体"/>
              </w:rPr>
            </w:pPr>
          </w:p>
        </w:tc>
      </w:tr>
      <w:tr w:rsidR="004D6A64" w14:paraId="33DAF8EF" w14:textId="77777777">
        <w:trPr>
          <w:jc w:val="center"/>
        </w:trPr>
        <w:tc>
          <w:tcPr>
            <w:tcW w:w="0" w:type="auto"/>
            <w:gridSpan w:val="3"/>
            <w:shd w:val="clear" w:color="auto" w:fill="CCEEFF"/>
            <w:tcMar>
              <w:top w:w="40" w:type="dxa"/>
              <w:left w:w="480" w:type="dxa"/>
              <w:bottom w:w="40" w:type="dxa"/>
              <w:right w:w="20" w:type="dxa"/>
            </w:tcMar>
            <w:vAlign w:val="center"/>
          </w:tcPr>
          <w:p w14:paraId="33DAF8DA" w14:textId="77777777" w:rsidR="004D6A64" w:rsidRDefault="00506CD6">
            <w:pPr>
              <w:textAlignment w:val="center"/>
            </w:pPr>
            <w:r>
              <w:rPr>
                <w:rFonts w:ascii="Times New Roman" w:eastAsia="宋体" w:hAnsi="Times New Roman"/>
                <w:color w:val="000000"/>
                <w:sz w:val="20"/>
                <w:szCs w:val="20"/>
              </w:rPr>
              <w:t>Carrying value adjustments</w:t>
            </w:r>
          </w:p>
        </w:tc>
        <w:tc>
          <w:tcPr>
            <w:tcW w:w="0" w:type="auto"/>
            <w:gridSpan w:val="2"/>
            <w:shd w:val="clear" w:color="auto" w:fill="CCEEFF"/>
            <w:tcMar>
              <w:top w:w="40" w:type="dxa"/>
              <w:left w:w="20" w:type="dxa"/>
              <w:bottom w:w="40" w:type="dxa"/>
              <w:right w:w="0" w:type="dxa"/>
            </w:tcMar>
            <w:vAlign w:val="center"/>
          </w:tcPr>
          <w:p w14:paraId="33DAF8DB" w14:textId="77777777" w:rsidR="004D6A64" w:rsidRDefault="00506CD6">
            <w:pPr>
              <w:jc w:val="right"/>
              <w:textAlignment w:val="center"/>
            </w:pPr>
            <w:r>
              <w:rPr>
                <w:rFonts w:ascii="Times New Roman" w:eastAsia="宋体" w:hAnsi="Times New Roman"/>
                <w:color w:val="000000"/>
                <w:sz w:val="20"/>
                <w:szCs w:val="20"/>
              </w:rPr>
              <w:t>(584)</w:t>
            </w:r>
          </w:p>
        </w:tc>
        <w:tc>
          <w:tcPr>
            <w:tcW w:w="0" w:type="auto"/>
            <w:shd w:val="clear" w:color="auto" w:fill="CCEEFF"/>
            <w:tcMar>
              <w:top w:w="40" w:type="dxa"/>
              <w:bottom w:w="40" w:type="dxa"/>
              <w:right w:w="20" w:type="dxa"/>
            </w:tcMar>
            <w:vAlign w:val="center"/>
          </w:tcPr>
          <w:p w14:paraId="33DAF8DC"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8DD"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8DE" w14:textId="77777777" w:rsidR="004D6A64" w:rsidRDefault="00506CD6">
            <w:pPr>
              <w:jc w:val="right"/>
              <w:textAlignment w:val="center"/>
            </w:pPr>
            <w:r>
              <w:rPr>
                <w:rFonts w:ascii="Times New Roman" w:eastAsia="宋体" w:hAnsi="Times New Roman"/>
                <w:color w:val="000000"/>
                <w:sz w:val="20"/>
                <w:szCs w:val="20"/>
              </w:rPr>
              <w:t>25 </w:t>
            </w:r>
          </w:p>
        </w:tc>
        <w:tc>
          <w:tcPr>
            <w:tcW w:w="0" w:type="auto"/>
            <w:shd w:val="clear" w:color="auto" w:fill="CCEEFF"/>
            <w:tcMar>
              <w:top w:w="40" w:type="dxa"/>
              <w:bottom w:w="40" w:type="dxa"/>
              <w:right w:w="20" w:type="dxa"/>
            </w:tcMar>
            <w:vAlign w:val="center"/>
          </w:tcPr>
          <w:p w14:paraId="33DAF8DF"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8E0"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8E1" w14:textId="77777777" w:rsidR="004D6A64" w:rsidRDefault="00506CD6">
            <w:pPr>
              <w:jc w:val="right"/>
              <w:textAlignment w:val="center"/>
            </w:pPr>
            <w:r>
              <w:rPr>
                <w:rFonts w:ascii="Times New Roman" w:eastAsia="宋体" w:hAnsi="Times New Roman"/>
                <w:color w:val="000000"/>
                <w:sz w:val="20"/>
                <w:szCs w:val="20"/>
              </w:rPr>
              <w:t>(609)</w:t>
            </w:r>
          </w:p>
        </w:tc>
        <w:tc>
          <w:tcPr>
            <w:tcW w:w="0" w:type="auto"/>
            <w:shd w:val="clear" w:color="auto" w:fill="CCEEFF"/>
            <w:tcMar>
              <w:top w:w="40" w:type="dxa"/>
              <w:bottom w:w="40" w:type="dxa"/>
              <w:right w:w="20" w:type="dxa"/>
            </w:tcMar>
            <w:vAlign w:val="center"/>
          </w:tcPr>
          <w:p w14:paraId="33DAF8E2" w14:textId="77777777" w:rsidR="004D6A64" w:rsidRDefault="004D6A64">
            <w:pPr>
              <w:jc w:val="right"/>
              <w:rPr>
                <w:rFonts w:ascii="宋体"/>
              </w:rPr>
            </w:pPr>
          </w:p>
        </w:tc>
        <w:tc>
          <w:tcPr>
            <w:tcW w:w="0" w:type="auto"/>
            <w:shd w:val="clear" w:color="auto" w:fill="auto"/>
          </w:tcPr>
          <w:p w14:paraId="33DAF8E3" w14:textId="77777777" w:rsidR="004D6A64" w:rsidRDefault="004D6A64">
            <w:pPr>
              <w:rPr>
                <w:rFonts w:ascii="宋体"/>
              </w:rPr>
            </w:pPr>
          </w:p>
        </w:tc>
        <w:tc>
          <w:tcPr>
            <w:tcW w:w="0" w:type="auto"/>
            <w:shd w:val="clear" w:color="auto" w:fill="auto"/>
          </w:tcPr>
          <w:p w14:paraId="33DAF8E4" w14:textId="77777777" w:rsidR="004D6A64" w:rsidRDefault="004D6A64">
            <w:pPr>
              <w:rPr>
                <w:rFonts w:ascii="宋体"/>
              </w:rPr>
            </w:pPr>
          </w:p>
        </w:tc>
        <w:tc>
          <w:tcPr>
            <w:tcW w:w="0" w:type="auto"/>
            <w:shd w:val="clear" w:color="auto" w:fill="auto"/>
          </w:tcPr>
          <w:p w14:paraId="33DAF8E5" w14:textId="77777777" w:rsidR="004D6A64" w:rsidRDefault="004D6A64">
            <w:pPr>
              <w:rPr>
                <w:rFonts w:ascii="宋体"/>
              </w:rPr>
            </w:pPr>
          </w:p>
        </w:tc>
        <w:tc>
          <w:tcPr>
            <w:tcW w:w="0" w:type="auto"/>
            <w:shd w:val="clear" w:color="auto" w:fill="auto"/>
          </w:tcPr>
          <w:p w14:paraId="33DAF8E6" w14:textId="77777777" w:rsidR="004D6A64" w:rsidRDefault="004D6A64">
            <w:pPr>
              <w:rPr>
                <w:rFonts w:ascii="宋体"/>
              </w:rPr>
            </w:pPr>
          </w:p>
        </w:tc>
        <w:tc>
          <w:tcPr>
            <w:tcW w:w="0" w:type="auto"/>
            <w:shd w:val="clear" w:color="auto" w:fill="auto"/>
          </w:tcPr>
          <w:p w14:paraId="33DAF8E7" w14:textId="77777777" w:rsidR="004D6A64" w:rsidRDefault="004D6A64">
            <w:pPr>
              <w:rPr>
                <w:rFonts w:ascii="宋体"/>
              </w:rPr>
            </w:pPr>
          </w:p>
        </w:tc>
        <w:tc>
          <w:tcPr>
            <w:tcW w:w="0" w:type="auto"/>
            <w:shd w:val="clear" w:color="auto" w:fill="auto"/>
          </w:tcPr>
          <w:p w14:paraId="33DAF8E8" w14:textId="77777777" w:rsidR="004D6A64" w:rsidRDefault="004D6A64">
            <w:pPr>
              <w:rPr>
                <w:rFonts w:ascii="宋体"/>
              </w:rPr>
            </w:pPr>
          </w:p>
        </w:tc>
        <w:tc>
          <w:tcPr>
            <w:tcW w:w="0" w:type="auto"/>
            <w:shd w:val="clear" w:color="auto" w:fill="auto"/>
          </w:tcPr>
          <w:p w14:paraId="33DAF8E9" w14:textId="77777777" w:rsidR="004D6A64" w:rsidRDefault="004D6A64">
            <w:pPr>
              <w:rPr>
                <w:rFonts w:ascii="宋体"/>
              </w:rPr>
            </w:pPr>
          </w:p>
        </w:tc>
        <w:tc>
          <w:tcPr>
            <w:tcW w:w="0" w:type="auto"/>
            <w:shd w:val="clear" w:color="auto" w:fill="auto"/>
          </w:tcPr>
          <w:p w14:paraId="33DAF8EA" w14:textId="77777777" w:rsidR="004D6A64" w:rsidRDefault="004D6A64">
            <w:pPr>
              <w:rPr>
                <w:rFonts w:ascii="宋体"/>
              </w:rPr>
            </w:pPr>
          </w:p>
        </w:tc>
        <w:tc>
          <w:tcPr>
            <w:tcW w:w="0" w:type="auto"/>
            <w:shd w:val="clear" w:color="auto" w:fill="auto"/>
          </w:tcPr>
          <w:p w14:paraId="33DAF8EB" w14:textId="77777777" w:rsidR="004D6A64" w:rsidRDefault="004D6A64">
            <w:pPr>
              <w:rPr>
                <w:rFonts w:ascii="宋体"/>
              </w:rPr>
            </w:pPr>
          </w:p>
        </w:tc>
        <w:tc>
          <w:tcPr>
            <w:tcW w:w="0" w:type="auto"/>
            <w:shd w:val="clear" w:color="auto" w:fill="auto"/>
          </w:tcPr>
          <w:p w14:paraId="33DAF8EC" w14:textId="77777777" w:rsidR="004D6A64" w:rsidRDefault="004D6A64">
            <w:pPr>
              <w:rPr>
                <w:rFonts w:ascii="宋体"/>
              </w:rPr>
            </w:pPr>
          </w:p>
        </w:tc>
        <w:tc>
          <w:tcPr>
            <w:tcW w:w="0" w:type="auto"/>
            <w:shd w:val="clear" w:color="auto" w:fill="auto"/>
          </w:tcPr>
          <w:p w14:paraId="33DAF8ED" w14:textId="77777777" w:rsidR="004D6A64" w:rsidRDefault="004D6A64">
            <w:pPr>
              <w:rPr>
                <w:rFonts w:ascii="宋体"/>
              </w:rPr>
            </w:pPr>
          </w:p>
        </w:tc>
        <w:tc>
          <w:tcPr>
            <w:tcW w:w="0" w:type="auto"/>
            <w:shd w:val="clear" w:color="auto" w:fill="auto"/>
          </w:tcPr>
          <w:p w14:paraId="33DAF8EE" w14:textId="77777777" w:rsidR="004D6A64" w:rsidRDefault="004D6A64">
            <w:pPr>
              <w:rPr>
                <w:rFonts w:ascii="宋体"/>
              </w:rPr>
            </w:pPr>
          </w:p>
        </w:tc>
      </w:tr>
      <w:tr w:rsidR="004D6A64" w14:paraId="33DAF908" w14:textId="77777777">
        <w:trPr>
          <w:jc w:val="center"/>
        </w:trPr>
        <w:tc>
          <w:tcPr>
            <w:tcW w:w="0" w:type="auto"/>
            <w:gridSpan w:val="3"/>
            <w:shd w:val="clear" w:color="auto" w:fill="FFFFFF"/>
            <w:tcMar>
              <w:top w:w="40" w:type="dxa"/>
              <w:left w:w="360" w:type="dxa"/>
              <w:bottom w:w="40" w:type="dxa"/>
              <w:right w:w="20" w:type="dxa"/>
            </w:tcMar>
            <w:vAlign w:val="center"/>
          </w:tcPr>
          <w:p w14:paraId="33DAF8F0" w14:textId="77777777" w:rsidR="004D6A64" w:rsidRDefault="00506CD6">
            <w:pPr>
              <w:textAlignment w:val="center"/>
            </w:pPr>
            <w:r>
              <w:rPr>
                <w:rFonts w:ascii="Times New Roman" w:eastAsia="宋体" w:hAnsi="Times New Roman"/>
                <w:color w:val="000000"/>
                <w:sz w:val="20"/>
                <w:szCs w:val="20"/>
              </w:rPr>
              <w:t>Total debt, carrying value</w:t>
            </w: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F8F1"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F8F2" w14:textId="77777777" w:rsidR="004D6A64" w:rsidRDefault="00506CD6">
            <w:pPr>
              <w:jc w:val="right"/>
              <w:textAlignment w:val="center"/>
            </w:pPr>
            <w:r>
              <w:rPr>
                <w:rFonts w:ascii="Times New Roman" w:eastAsia="宋体" w:hAnsi="Times New Roman"/>
                <w:color w:val="000000"/>
                <w:sz w:val="20"/>
                <w:szCs w:val="20"/>
              </w:rPr>
              <w:t>53,953 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F8F3"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8F4"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F8F5"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F8F6" w14:textId="77777777" w:rsidR="004D6A64" w:rsidRDefault="00506CD6">
            <w:pPr>
              <w:jc w:val="right"/>
              <w:textAlignment w:val="center"/>
            </w:pPr>
            <w:r>
              <w:rPr>
                <w:rFonts w:ascii="Times New Roman" w:eastAsia="宋体" w:hAnsi="Times New Roman"/>
                <w:color w:val="000000"/>
                <w:sz w:val="20"/>
                <w:szCs w:val="20"/>
              </w:rPr>
              <w:t>1,897 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F8F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8F8"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F8F9"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F8FA" w14:textId="77777777" w:rsidR="004D6A64" w:rsidRDefault="00506CD6">
            <w:pPr>
              <w:jc w:val="right"/>
              <w:textAlignment w:val="center"/>
            </w:pPr>
            <w:r>
              <w:rPr>
                <w:rFonts w:ascii="Times New Roman" w:eastAsia="宋体" w:hAnsi="Times New Roman"/>
                <w:color w:val="000000"/>
                <w:sz w:val="20"/>
                <w:szCs w:val="20"/>
              </w:rPr>
              <w:t>52,056 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F8FB" w14:textId="77777777" w:rsidR="004D6A64" w:rsidRDefault="004D6A64">
            <w:pPr>
              <w:jc w:val="right"/>
              <w:rPr>
                <w:rFonts w:ascii="宋体"/>
              </w:rPr>
            </w:pPr>
          </w:p>
        </w:tc>
        <w:tc>
          <w:tcPr>
            <w:tcW w:w="0" w:type="auto"/>
            <w:shd w:val="clear" w:color="auto" w:fill="auto"/>
          </w:tcPr>
          <w:p w14:paraId="33DAF8FC" w14:textId="77777777" w:rsidR="004D6A64" w:rsidRDefault="004D6A64">
            <w:pPr>
              <w:rPr>
                <w:rFonts w:ascii="宋体"/>
              </w:rPr>
            </w:pPr>
          </w:p>
        </w:tc>
        <w:tc>
          <w:tcPr>
            <w:tcW w:w="0" w:type="auto"/>
            <w:shd w:val="clear" w:color="auto" w:fill="auto"/>
          </w:tcPr>
          <w:p w14:paraId="33DAF8FD" w14:textId="77777777" w:rsidR="004D6A64" w:rsidRDefault="004D6A64">
            <w:pPr>
              <w:rPr>
                <w:rFonts w:ascii="宋体"/>
              </w:rPr>
            </w:pPr>
          </w:p>
        </w:tc>
        <w:tc>
          <w:tcPr>
            <w:tcW w:w="0" w:type="auto"/>
            <w:shd w:val="clear" w:color="auto" w:fill="auto"/>
          </w:tcPr>
          <w:p w14:paraId="33DAF8FE" w14:textId="77777777" w:rsidR="004D6A64" w:rsidRDefault="004D6A64">
            <w:pPr>
              <w:rPr>
                <w:rFonts w:ascii="宋体"/>
              </w:rPr>
            </w:pPr>
          </w:p>
        </w:tc>
        <w:tc>
          <w:tcPr>
            <w:tcW w:w="0" w:type="auto"/>
            <w:shd w:val="clear" w:color="auto" w:fill="auto"/>
          </w:tcPr>
          <w:p w14:paraId="33DAF8FF" w14:textId="77777777" w:rsidR="004D6A64" w:rsidRDefault="004D6A64">
            <w:pPr>
              <w:rPr>
                <w:rFonts w:ascii="宋体"/>
              </w:rPr>
            </w:pPr>
          </w:p>
        </w:tc>
        <w:tc>
          <w:tcPr>
            <w:tcW w:w="0" w:type="auto"/>
            <w:shd w:val="clear" w:color="auto" w:fill="auto"/>
          </w:tcPr>
          <w:p w14:paraId="33DAF900" w14:textId="77777777" w:rsidR="004D6A64" w:rsidRDefault="004D6A64">
            <w:pPr>
              <w:rPr>
                <w:rFonts w:ascii="宋体"/>
              </w:rPr>
            </w:pPr>
          </w:p>
        </w:tc>
        <w:tc>
          <w:tcPr>
            <w:tcW w:w="0" w:type="auto"/>
            <w:shd w:val="clear" w:color="auto" w:fill="auto"/>
          </w:tcPr>
          <w:p w14:paraId="33DAF901" w14:textId="77777777" w:rsidR="004D6A64" w:rsidRDefault="004D6A64">
            <w:pPr>
              <w:rPr>
                <w:rFonts w:ascii="宋体"/>
              </w:rPr>
            </w:pPr>
          </w:p>
        </w:tc>
        <w:tc>
          <w:tcPr>
            <w:tcW w:w="0" w:type="auto"/>
            <w:shd w:val="clear" w:color="auto" w:fill="auto"/>
          </w:tcPr>
          <w:p w14:paraId="33DAF902" w14:textId="77777777" w:rsidR="004D6A64" w:rsidRDefault="004D6A64">
            <w:pPr>
              <w:rPr>
                <w:rFonts w:ascii="宋体"/>
              </w:rPr>
            </w:pPr>
          </w:p>
        </w:tc>
        <w:tc>
          <w:tcPr>
            <w:tcW w:w="0" w:type="auto"/>
            <w:shd w:val="clear" w:color="auto" w:fill="auto"/>
          </w:tcPr>
          <w:p w14:paraId="33DAF903" w14:textId="77777777" w:rsidR="004D6A64" w:rsidRDefault="004D6A64">
            <w:pPr>
              <w:rPr>
                <w:rFonts w:ascii="宋体"/>
              </w:rPr>
            </w:pPr>
          </w:p>
        </w:tc>
        <w:tc>
          <w:tcPr>
            <w:tcW w:w="0" w:type="auto"/>
            <w:shd w:val="clear" w:color="auto" w:fill="auto"/>
          </w:tcPr>
          <w:p w14:paraId="33DAF904" w14:textId="77777777" w:rsidR="004D6A64" w:rsidRDefault="004D6A64">
            <w:pPr>
              <w:rPr>
                <w:rFonts w:ascii="宋体"/>
              </w:rPr>
            </w:pPr>
          </w:p>
        </w:tc>
        <w:tc>
          <w:tcPr>
            <w:tcW w:w="0" w:type="auto"/>
            <w:shd w:val="clear" w:color="auto" w:fill="auto"/>
          </w:tcPr>
          <w:p w14:paraId="33DAF905" w14:textId="77777777" w:rsidR="004D6A64" w:rsidRDefault="004D6A64">
            <w:pPr>
              <w:rPr>
                <w:rFonts w:ascii="宋体"/>
              </w:rPr>
            </w:pPr>
          </w:p>
        </w:tc>
        <w:tc>
          <w:tcPr>
            <w:tcW w:w="0" w:type="auto"/>
            <w:shd w:val="clear" w:color="auto" w:fill="auto"/>
          </w:tcPr>
          <w:p w14:paraId="33DAF906" w14:textId="77777777" w:rsidR="004D6A64" w:rsidRDefault="004D6A64">
            <w:pPr>
              <w:rPr>
                <w:rFonts w:ascii="宋体"/>
              </w:rPr>
            </w:pPr>
          </w:p>
        </w:tc>
        <w:tc>
          <w:tcPr>
            <w:tcW w:w="0" w:type="auto"/>
            <w:shd w:val="clear" w:color="auto" w:fill="auto"/>
          </w:tcPr>
          <w:p w14:paraId="33DAF907" w14:textId="77777777" w:rsidR="004D6A64" w:rsidRDefault="004D6A64">
            <w:pPr>
              <w:rPr>
                <w:rFonts w:ascii="宋体"/>
              </w:rPr>
            </w:pPr>
          </w:p>
        </w:tc>
      </w:tr>
    </w:tbl>
    <w:p w14:paraId="33DAF909" w14:textId="77777777" w:rsidR="004D6A64" w:rsidRDefault="004D6A64"/>
    <w:p w14:paraId="33DAF90A" w14:textId="77777777" w:rsidR="004D6A64" w:rsidRDefault="00506CD6">
      <w:r>
        <w:rPr>
          <w:rFonts w:ascii="Times New Roman" w:eastAsia="宋体" w:hAnsi="Times New Roman"/>
          <w:color w:val="000000"/>
          <w:sz w:val="20"/>
          <w:szCs w:val="20"/>
        </w:rPr>
        <w:t xml:space="preserve">During the first six months of Fiscal 2021, the outstanding principal amount of our debt increased by $1.9 billion to $54.5 billion as of July 31, 2020, primarily driven by the increase in DFS debt and the VMware Notes. </w:t>
      </w:r>
    </w:p>
    <w:p w14:paraId="33DAF90B" w14:textId="77777777" w:rsidR="004D6A64" w:rsidRDefault="004D6A64"/>
    <w:p w14:paraId="33DAF90C" w14:textId="77777777" w:rsidR="004D6A64" w:rsidRDefault="00506CD6">
      <w:r>
        <w:rPr>
          <w:rFonts w:ascii="Times New Roman" w:eastAsia="宋体" w:hAnsi="Times New Roman"/>
          <w:color w:val="000000"/>
          <w:sz w:val="20"/>
          <w:szCs w:val="20"/>
        </w:rPr>
        <w:t>We define core debt as the total p</w:t>
      </w:r>
      <w:r>
        <w:rPr>
          <w:rFonts w:ascii="Times New Roman" w:eastAsia="宋体" w:hAnsi="Times New Roman"/>
          <w:color w:val="000000"/>
          <w:sz w:val="20"/>
          <w:szCs w:val="20"/>
        </w:rPr>
        <w:t xml:space="preserve">rincipal amount of our debt, less DFS related debt, our Margin Loan Facility and other debt, and public subsidiary debt. Our core debt was $34.1 billion as of July 31, 2020. During the first six months of Fiscal 2021, we </w:t>
      </w:r>
    </w:p>
    <w:p w14:paraId="33DAF90D" w14:textId="77777777" w:rsidR="004D6A64" w:rsidRDefault="004D6A64">
      <w:pPr>
        <w:jc w:val="center"/>
      </w:pPr>
    </w:p>
    <w:p w14:paraId="33DAF90E" w14:textId="77777777" w:rsidR="004D6A64" w:rsidRDefault="00506CD6">
      <w:pPr>
        <w:jc w:val="center"/>
      </w:pPr>
      <w:r>
        <w:rPr>
          <w:rFonts w:ascii="Times New Roman" w:eastAsia="宋体" w:hAnsi="Times New Roman"/>
          <w:color w:val="000000"/>
          <w:sz w:val="20"/>
          <w:szCs w:val="20"/>
        </w:rPr>
        <w:t>90</w:t>
      </w:r>
    </w:p>
    <w:p w14:paraId="33DAF90F" w14:textId="77777777" w:rsidR="004D6A64" w:rsidRDefault="004D6A64">
      <w:pPr>
        <w:jc w:val="center"/>
      </w:pPr>
    </w:p>
    <w:p w14:paraId="33DAF910" w14:textId="77777777" w:rsidR="004D6A64" w:rsidRDefault="00506CD6">
      <w:r>
        <w:pict w14:anchorId="33DAFB1E">
          <v:rect id="_x0000_i1114" style="width:415.3pt;height:1.5pt" o:hralign="center" o:hrstd="t" o:hr="t" fillcolor="#a0a0a0" stroked="f"/>
        </w:pict>
      </w:r>
    </w:p>
    <w:p w14:paraId="33DAF911" w14:textId="77777777" w:rsidR="004D6A64" w:rsidRDefault="00506CD6">
      <w:hyperlink r:id="rId213" w:anchor="if3e0e1bf9ecd4bf69551d7a85f98d64a_10" w:history="1">
        <w:r>
          <w:rPr>
            <w:rStyle w:val="a5"/>
            <w:rFonts w:ascii="Times New Roman" w:eastAsia="宋体" w:hAnsi="Times New Roman"/>
            <w:sz w:val="20"/>
            <w:szCs w:val="20"/>
          </w:rPr>
          <w:t>Table of Contents</w:t>
        </w:r>
      </w:hyperlink>
    </w:p>
    <w:p w14:paraId="33DAF912" w14:textId="77777777" w:rsidR="004D6A64" w:rsidRDefault="00506CD6">
      <w:r>
        <w:rPr>
          <w:rFonts w:ascii="Times New Roman" w:eastAsia="宋体" w:hAnsi="Times New Roman"/>
          <w:color w:val="000000"/>
          <w:sz w:val="20"/>
          <w:szCs w:val="20"/>
        </w:rPr>
        <w:t xml:space="preserve">issued multiple series of First Lien Notes in an aggregate principal amount of $2.25 billion on April 9, 2020, which were offset by repayment of $1.2 billion and open market repurchases of $235 million of 4.42% First Lien Notes due June 2021, repayment of </w:t>
      </w:r>
      <w:r>
        <w:rPr>
          <w:rFonts w:ascii="Times New Roman" w:eastAsia="宋体" w:hAnsi="Times New Roman"/>
          <w:color w:val="000000"/>
          <w:sz w:val="20"/>
          <w:szCs w:val="20"/>
        </w:rPr>
        <w:t>$600 million principal amount of 2.650% EMC Notes due June 2020 upon maturity, and approximately $229 million of principal amortization under our term loan facilities. See Note 6 of the Notes to the Condensed Consolidated Financial Statements included in t</w:t>
      </w:r>
      <w:r>
        <w:rPr>
          <w:rFonts w:ascii="Times New Roman" w:eastAsia="宋体" w:hAnsi="Times New Roman"/>
          <w:color w:val="000000"/>
          <w:sz w:val="20"/>
          <w:szCs w:val="20"/>
        </w:rPr>
        <w:t xml:space="preserve">his report for more information about our debt. </w:t>
      </w:r>
    </w:p>
    <w:p w14:paraId="33DAF913" w14:textId="77777777" w:rsidR="004D6A64" w:rsidRDefault="004D6A64"/>
    <w:p w14:paraId="33DAF914" w14:textId="77777777" w:rsidR="004D6A64" w:rsidRDefault="00506CD6">
      <w:r>
        <w:rPr>
          <w:rFonts w:ascii="Times New Roman" w:eastAsia="宋体" w:hAnsi="Times New Roman"/>
          <w:color w:val="000000"/>
          <w:sz w:val="20"/>
          <w:szCs w:val="20"/>
        </w:rPr>
        <w:t xml:space="preserve">There are no scheduled maturities of core debt in the second half of Fiscal 2021, although we intend to continue making core debt principal payments as part of our overall capital allocation strategy. </w:t>
      </w:r>
    </w:p>
    <w:p w14:paraId="33DAF915" w14:textId="77777777" w:rsidR="004D6A64" w:rsidRDefault="004D6A64"/>
    <w:p w14:paraId="33DAF916" w14:textId="77777777" w:rsidR="004D6A64" w:rsidRDefault="00506CD6">
      <w:r>
        <w:rPr>
          <w:rFonts w:ascii="Times New Roman" w:eastAsia="宋体" w:hAnsi="Times New Roman"/>
          <w:color w:val="000000"/>
          <w:sz w:val="20"/>
          <w:szCs w:val="20"/>
        </w:rPr>
        <w:t>Dur</w:t>
      </w:r>
      <w:r>
        <w:rPr>
          <w:rFonts w:ascii="Times New Roman" w:eastAsia="宋体" w:hAnsi="Times New Roman"/>
          <w:color w:val="000000"/>
          <w:sz w:val="20"/>
          <w:szCs w:val="20"/>
        </w:rPr>
        <w:t>ing the first six months of Fiscal 2021, we issued an additional $1.1 billion, net, in DFS debt to support the expansion of our financing receivables portfolio, which includes the issuance of 500 million Euro of senior unsecured eurobonds on June 24, 2020.</w:t>
      </w:r>
      <w:r>
        <w:rPr>
          <w:rFonts w:ascii="Times New Roman" w:eastAsia="宋体" w:hAnsi="Times New Roman"/>
          <w:color w:val="000000"/>
          <w:sz w:val="20"/>
          <w:szCs w:val="20"/>
        </w:rPr>
        <w:t xml:space="preserve"> DFS related debt primarily represents debt from our securitization and structured financing programs. The majority of DFS debt is non-recourse to Dell Technologies and represents borrowings under securitization programs and structured financing programs, </w:t>
      </w:r>
      <w:r>
        <w:rPr>
          <w:rFonts w:ascii="Times New Roman" w:eastAsia="宋体" w:hAnsi="Times New Roman"/>
          <w:color w:val="000000"/>
          <w:sz w:val="20"/>
          <w:szCs w:val="20"/>
        </w:rPr>
        <w:t xml:space="preserve">for which our risk of loss is limited to transferred lease and loan payments and associated equipment, and under which the credit holders have no recourse to Dell Technologies. </w:t>
      </w:r>
    </w:p>
    <w:p w14:paraId="33DAF917" w14:textId="77777777" w:rsidR="004D6A64" w:rsidRDefault="004D6A64"/>
    <w:p w14:paraId="33DAF918" w14:textId="77777777" w:rsidR="004D6A64" w:rsidRDefault="00506CD6">
      <w:r>
        <w:rPr>
          <w:rFonts w:ascii="Times New Roman" w:eastAsia="宋体" w:hAnsi="Times New Roman"/>
          <w:color w:val="000000"/>
          <w:sz w:val="20"/>
          <w:szCs w:val="20"/>
        </w:rPr>
        <w:t>To fund expansion of the DFS business, we balance the use of the securitizati</w:t>
      </w:r>
      <w:r>
        <w:rPr>
          <w:rFonts w:ascii="Times New Roman" w:eastAsia="宋体" w:hAnsi="Times New Roman"/>
          <w:color w:val="000000"/>
          <w:sz w:val="20"/>
          <w:szCs w:val="20"/>
        </w:rPr>
        <w:t>on and structured financing programs with other sources of liquidity. We approximate the amount of our debt used to fund the DFS business by applying a 7:1 debt to equity ratio to the sum of our financing receivables balance and equipment under our DFS ope</w:t>
      </w:r>
      <w:r>
        <w:rPr>
          <w:rFonts w:ascii="Times New Roman" w:eastAsia="宋体" w:hAnsi="Times New Roman"/>
          <w:color w:val="000000"/>
          <w:sz w:val="20"/>
          <w:szCs w:val="20"/>
        </w:rPr>
        <w:t>rating leases, net. The debt to equity ratio used is based on the underlying credit quality of the assets. See Note 4 of the Notes to the Condensed Consolidated Financial Statements included in this report for more information about our DFS debt.</w:t>
      </w:r>
    </w:p>
    <w:p w14:paraId="33DAF919" w14:textId="77777777" w:rsidR="004D6A64" w:rsidRDefault="004D6A64"/>
    <w:p w14:paraId="33DAF91A" w14:textId="77777777" w:rsidR="004D6A64" w:rsidRDefault="00506CD6">
      <w:r>
        <w:rPr>
          <w:rFonts w:ascii="Times New Roman" w:eastAsia="宋体" w:hAnsi="Times New Roman"/>
          <w:color w:val="000000"/>
          <w:sz w:val="20"/>
          <w:szCs w:val="20"/>
        </w:rPr>
        <w:t>As of Ju</w:t>
      </w:r>
      <w:r>
        <w:rPr>
          <w:rFonts w:ascii="Times New Roman" w:eastAsia="宋体" w:hAnsi="Times New Roman"/>
          <w:color w:val="000000"/>
          <w:sz w:val="20"/>
          <w:szCs w:val="20"/>
        </w:rPr>
        <w:t xml:space="preserve">ly 31, 2020, margin loan and other debt primarily consisted of the $4.0 billion Margin Loan Facility. </w:t>
      </w:r>
    </w:p>
    <w:p w14:paraId="33DAF91B" w14:textId="77777777" w:rsidR="004D6A64" w:rsidRDefault="004D6A64"/>
    <w:p w14:paraId="33DAF91C" w14:textId="77777777" w:rsidR="004D6A64" w:rsidRDefault="00506CD6">
      <w:r>
        <w:rPr>
          <w:rFonts w:ascii="Times New Roman" w:eastAsia="宋体" w:hAnsi="Times New Roman"/>
          <w:color w:val="000000"/>
          <w:sz w:val="20"/>
          <w:szCs w:val="20"/>
        </w:rPr>
        <w:t>Debt of public subsidiary represents VMware, Inc. indebtedness. The increase in debt of public subsidiary during the first six months of Fiscal 2021 was</w:t>
      </w:r>
      <w:r>
        <w:rPr>
          <w:rFonts w:ascii="Times New Roman" w:eastAsia="宋体" w:hAnsi="Times New Roman"/>
          <w:color w:val="000000"/>
          <w:sz w:val="20"/>
          <w:szCs w:val="20"/>
        </w:rPr>
        <w:t xml:space="preserve"> due to the issuance of VMware Notes in an aggregate principal amount of $2.0 billion on April 7, 2020, partially offset by repayment of $1.25 billion principal amount of its 2.30% Notes due August 2020. See Note 6 of the Notes to the Condensed Consolidate</w:t>
      </w:r>
      <w:r>
        <w:rPr>
          <w:rFonts w:ascii="Times New Roman" w:eastAsia="宋体" w:hAnsi="Times New Roman"/>
          <w:color w:val="000000"/>
          <w:sz w:val="20"/>
          <w:szCs w:val="20"/>
        </w:rPr>
        <w:t>d Financial Statements included in this report for more information about VMware, Inc. debt.</w:t>
      </w:r>
    </w:p>
    <w:p w14:paraId="33DAF91D" w14:textId="77777777" w:rsidR="004D6A64" w:rsidRDefault="004D6A64"/>
    <w:p w14:paraId="33DAF91E" w14:textId="77777777" w:rsidR="004D6A64" w:rsidRDefault="00506CD6">
      <w:r>
        <w:rPr>
          <w:rFonts w:ascii="Times New Roman" w:eastAsia="宋体" w:hAnsi="Times New Roman"/>
          <w:color w:val="000000"/>
          <w:sz w:val="20"/>
          <w:szCs w:val="20"/>
        </w:rPr>
        <w:t xml:space="preserve">VMware, Inc. and its respective subsidiaries are unrestricted subsidiaries for purposes of the core debt of Dell Technologies.  Neither Dell Technologies nor any </w:t>
      </w:r>
      <w:r>
        <w:rPr>
          <w:rFonts w:ascii="Times New Roman" w:eastAsia="宋体" w:hAnsi="Times New Roman"/>
          <w:color w:val="000000"/>
          <w:sz w:val="20"/>
          <w:szCs w:val="20"/>
        </w:rPr>
        <w:t>of its subsidiaries, other than VMware, Inc., is obligated to make payment on the VMware Notes or the VMware Term Loan Facility.  None of the net proceeds of the VMware Notes or, as discussed above, the VMware Term Loan Facility will be made available to s</w:t>
      </w:r>
      <w:r>
        <w:rPr>
          <w:rFonts w:ascii="Times New Roman" w:eastAsia="宋体" w:hAnsi="Times New Roman"/>
          <w:color w:val="000000"/>
          <w:sz w:val="20"/>
          <w:szCs w:val="20"/>
        </w:rPr>
        <w:t>upport the operations or satisfy any corporate purposes of Dell Technologies, other than the operations and corporate purposes of VMware, Inc. and its subsidiaries.</w:t>
      </w:r>
    </w:p>
    <w:p w14:paraId="33DAF91F" w14:textId="77777777" w:rsidR="004D6A64" w:rsidRDefault="004D6A64"/>
    <w:p w14:paraId="33DAF920" w14:textId="77777777" w:rsidR="004D6A64" w:rsidRDefault="00506CD6">
      <w:r>
        <w:rPr>
          <w:rFonts w:ascii="Times New Roman" w:eastAsia="宋体" w:hAnsi="Times New Roman"/>
          <w:color w:val="000000"/>
          <w:sz w:val="20"/>
          <w:szCs w:val="20"/>
        </w:rPr>
        <w:t>Our requirements for cash to pay principal and interest on our core debt increased signifi</w:t>
      </w:r>
      <w:r>
        <w:rPr>
          <w:rFonts w:ascii="Times New Roman" w:eastAsia="宋体" w:hAnsi="Times New Roman"/>
          <w:color w:val="000000"/>
          <w:sz w:val="20"/>
          <w:szCs w:val="20"/>
        </w:rPr>
        <w:t>cantly due to the borrowings we incurred to finance the EMC merger transaction and, to a lesser extent, the Class V transaction. We have made good progress in paying down core debt since the EMC merger transaction. We believe we will continue to be able to</w:t>
      </w:r>
      <w:r>
        <w:rPr>
          <w:rFonts w:ascii="Times New Roman" w:eastAsia="宋体" w:hAnsi="Times New Roman"/>
          <w:color w:val="000000"/>
          <w:sz w:val="20"/>
          <w:szCs w:val="20"/>
        </w:rPr>
        <w:t xml:space="preserve"> make our debt principal and interest payments, including the short-term maturities, from existing and expected sources of cash, primarily from operating cash flows. Cash used for debt principal and interest payments may also include short-term borrowings </w:t>
      </w:r>
      <w:r>
        <w:rPr>
          <w:rFonts w:ascii="Times New Roman" w:eastAsia="宋体" w:hAnsi="Times New Roman"/>
          <w:color w:val="000000"/>
          <w:sz w:val="20"/>
          <w:szCs w:val="20"/>
        </w:rPr>
        <w:t>under our revolving credit facilities. We will continue to focus on paying down core debt. Under our variable-rate debt, we could have variations in our future interest expense from potential fluctuations in LIBOR, or from possible fluctuations in the leve</w:t>
      </w:r>
      <w:r>
        <w:rPr>
          <w:rFonts w:ascii="Times New Roman" w:eastAsia="宋体" w:hAnsi="Times New Roman"/>
          <w:color w:val="000000"/>
          <w:sz w:val="20"/>
          <w:szCs w:val="20"/>
        </w:rPr>
        <w:t xml:space="preserve">l of DFS debt required to meet future demand for customer financing. </w:t>
      </w:r>
    </w:p>
    <w:p w14:paraId="33DAF921" w14:textId="77777777" w:rsidR="004D6A64" w:rsidRDefault="004D6A64"/>
    <w:p w14:paraId="33DAF922" w14:textId="77777777" w:rsidR="004D6A64" w:rsidRDefault="00506CD6">
      <w:r>
        <w:rPr>
          <w:rFonts w:ascii="Times New Roman" w:eastAsia="宋体" w:hAnsi="Times New Roman"/>
          <w:color w:val="000000"/>
          <w:sz w:val="20"/>
          <w:szCs w:val="20"/>
        </w:rPr>
        <w:t>We or our affiliates or their related persons, at our or their sole discretion, may purchase, redeem, prepay, refinance, or otherwise retire any amount of our outstanding indebtedness u</w:t>
      </w:r>
      <w:r>
        <w:rPr>
          <w:rFonts w:ascii="Times New Roman" w:eastAsia="宋体" w:hAnsi="Times New Roman"/>
          <w:color w:val="000000"/>
          <w:sz w:val="20"/>
          <w:szCs w:val="20"/>
        </w:rPr>
        <w:t>nder the terms of such indebtedness at any time and from time to time, in open market or negotiated transactions with the holders of such indebtedness or otherwise, as appropriate market conditions exist.</w:t>
      </w:r>
    </w:p>
    <w:p w14:paraId="33DAF923" w14:textId="77777777" w:rsidR="004D6A64" w:rsidRDefault="004D6A64"/>
    <w:p w14:paraId="33DAF924" w14:textId="77777777" w:rsidR="004D6A64" w:rsidRDefault="004D6A64">
      <w:pPr>
        <w:jc w:val="center"/>
      </w:pPr>
    </w:p>
    <w:p w14:paraId="33DAF925" w14:textId="77777777" w:rsidR="004D6A64" w:rsidRDefault="00506CD6">
      <w:pPr>
        <w:jc w:val="center"/>
      </w:pPr>
      <w:r>
        <w:rPr>
          <w:rFonts w:ascii="Times New Roman" w:eastAsia="宋体" w:hAnsi="Times New Roman"/>
          <w:color w:val="000000"/>
          <w:sz w:val="20"/>
          <w:szCs w:val="20"/>
        </w:rPr>
        <w:t>91</w:t>
      </w:r>
    </w:p>
    <w:p w14:paraId="33DAF926" w14:textId="77777777" w:rsidR="004D6A64" w:rsidRDefault="004D6A64">
      <w:pPr>
        <w:jc w:val="center"/>
      </w:pPr>
    </w:p>
    <w:p w14:paraId="33DAF927" w14:textId="77777777" w:rsidR="004D6A64" w:rsidRDefault="00506CD6">
      <w:r>
        <w:pict w14:anchorId="33DAFB1F">
          <v:rect id="_x0000_i1115" style="width:415.3pt;height:1.5pt" o:hralign="center" o:hrstd="t" o:hr="t" fillcolor="#a0a0a0" stroked="f"/>
        </w:pict>
      </w:r>
    </w:p>
    <w:p w14:paraId="33DAF928" w14:textId="77777777" w:rsidR="004D6A64" w:rsidRDefault="00506CD6">
      <w:hyperlink r:id="rId214" w:anchor="if3e0e1bf9ecd4bf69551d7a85f98d64a_10" w:history="1">
        <w:r>
          <w:rPr>
            <w:rStyle w:val="a5"/>
            <w:rFonts w:ascii="Times New Roman" w:eastAsia="宋体" w:hAnsi="Times New Roman"/>
            <w:sz w:val="20"/>
            <w:szCs w:val="20"/>
          </w:rPr>
          <w:t>Table of Contents</w:t>
        </w:r>
      </w:hyperlink>
    </w:p>
    <w:p w14:paraId="33DAF929" w14:textId="77777777" w:rsidR="004D6A64" w:rsidRDefault="00506CD6">
      <w:r>
        <w:rPr>
          <w:rFonts w:ascii="Times New Roman" w:eastAsia="宋体" w:hAnsi="Times New Roman"/>
          <w:b/>
          <w:bCs/>
          <w:color w:val="000000"/>
          <w:sz w:val="20"/>
          <w:szCs w:val="20"/>
          <w:shd w:val="clear" w:color="auto" w:fill="FFFFFF"/>
        </w:rPr>
        <w:t>Cash Flows</w:t>
      </w:r>
    </w:p>
    <w:p w14:paraId="33DAF92A" w14:textId="77777777" w:rsidR="004D6A64" w:rsidRDefault="004D6A64"/>
    <w:p w14:paraId="33DAF92B" w14:textId="77777777" w:rsidR="004D6A64" w:rsidRDefault="00506CD6">
      <w:r>
        <w:rPr>
          <w:rFonts w:ascii="Times New Roman" w:eastAsia="宋体" w:hAnsi="Times New Roman"/>
          <w:color w:val="000000"/>
          <w:sz w:val="20"/>
          <w:szCs w:val="20"/>
          <w:shd w:val="clear" w:color="auto" w:fill="FFFFFF"/>
        </w:rPr>
        <w:t xml:space="preserve">The following table presents a summary of our </w:t>
      </w:r>
      <w:r>
        <w:rPr>
          <w:rFonts w:ascii="Times New Roman" w:eastAsia="宋体" w:hAnsi="Times New Roman"/>
          <w:color w:val="000000"/>
          <w:sz w:val="20"/>
          <w:szCs w:val="20"/>
        </w:rPr>
        <w:t>Condensed Consolidated Sta</w:t>
      </w:r>
      <w:r>
        <w:rPr>
          <w:rFonts w:ascii="Times New Roman" w:eastAsia="宋体" w:hAnsi="Times New Roman"/>
          <w:color w:val="000000"/>
          <w:sz w:val="20"/>
          <w:szCs w:val="20"/>
        </w:rPr>
        <w:t>tements of Cash Flows</w:t>
      </w:r>
      <w:r>
        <w:rPr>
          <w:rFonts w:ascii="Times New Roman" w:eastAsia="宋体" w:hAnsi="Times New Roman"/>
          <w:color w:val="000000"/>
          <w:sz w:val="20"/>
          <w:szCs w:val="20"/>
          <w:shd w:val="clear" w:color="auto" w:fill="FFFFFF"/>
        </w:rPr>
        <w:t xml:space="preserv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5209"/>
        <w:gridCol w:w="39"/>
        <w:gridCol w:w="135"/>
        <w:gridCol w:w="1186"/>
        <w:gridCol w:w="41"/>
        <w:gridCol w:w="36"/>
        <w:gridCol w:w="36"/>
        <w:gridCol w:w="36"/>
        <w:gridCol w:w="135"/>
        <w:gridCol w:w="1186"/>
        <w:gridCol w:w="41"/>
        <w:gridCol w:w="36"/>
        <w:gridCol w:w="36"/>
        <w:gridCol w:w="36"/>
        <w:gridCol w:w="36"/>
        <w:gridCol w:w="36"/>
        <w:gridCol w:w="36"/>
      </w:tblGrid>
      <w:tr w:rsidR="004D6A64" w14:paraId="33DAF938" w14:textId="77777777">
        <w:trPr>
          <w:gridAfter w:val="6"/>
        </w:trPr>
        <w:tc>
          <w:tcPr>
            <w:tcW w:w="50" w:type="pct"/>
            <w:shd w:val="clear" w:color="auto" w:fill="auto"/>
          </w:tcPr>
          <w:p w14:paraId="33DAF92C" w14:textId="77777777" w:rsidR="004D6A64" w:rsidRDefault="004D6A64">
            <w:pPr>
              <w:rPr>
                <w:rFonts w:ascii="宋体"/>
              </w:rPr>
            </w:pPr>
          </w:p>
        </w:tc>
        <w:tc>
          <w:tcPr>
            <w:tcW w:w="3263" w:type="pct"/>
            <w:shd w:val="clear" w:color="auto" w:fill="auto"/>
          </w:tcPr>
          <w:p w14:paraId="33DAF92D" w14:textId="77777777" w:rsidR="004D6A64" w:rsidRDefault="004D6A64">
            <w:pPr>
              <w:rPr>
                <w:rFonts w:ascii="宋体"/>
              </w:rPr>
            </w:pPr>
          </w:p>
        </w:tc>
        <w:tc>
          <w:tcPr>
            <w:tcW w:w="5" w:type="pct"/>
            <w:shd w:val="clear" w:color="auto" w:fill="auto"/>
          </w:tcPr>
          <w:p w14:paraId="33DAF92E" w14:textId="77777777" w:rsidR="004D6A64" w:rsidRDefault="004D6A64">
            <w:pPr>
              <w:rPr>
                <w:rFonts w:ascii="宋体"/>
              </w:rPr>
            </w:pPr>
          </w:p>
        </w:tc>
        <w:tc>
          <w:tcPr>
            <w:tcW w:w="50" w:type="pct"/>
            <w:shd w:val="clear" w:color="auto" w:fill="auto"/>
          </w:tcPr>
          <w:p w14:paraId="33DAF92F" w14:textId="77777777" w:rsidR="004D6A64" w:rsidRDefault="004D6A64">
            <w:pPr>
              <w:rPr>
                <w:rFonts w:ascii="宋体"/>
              </w:rPr>
            </w:pPr>
          </w:p>
        </w:tc>
        <w:tc>
          <w:tcPr>
            <w:tcW w:w="771" w:type="pct"/>
            <w:shd w:val="clear" w:color="auto" w:fill="auto"/>
          </w:tcPr>
          <w:p w14:paraId="33DAF930" w14:textId="77777777" w:rsidR="004D6A64" w:rsidRDefault="004D6A64">
            <w:pPr>
              <w:rPr>
                <w:rFonts w:ascii="宋体"/>
              </w:rPr>
            </w:pPr>
          </w:p>
        </w:tc>
        <w:tc>
          <w:tcPr>
            <w:tcW w:w="5" w:type="pct"/>
            <w:shd w:val="clear" w:color="auto" w:fill="auto"/>
          </w:tcPr>
          <w:p w14:paraId="33DAF931" w14:textId="77777777" w:rsidR="004D6A64" w:rsidRDefault="004D6A64">
            <w:pPr>
              <w:rPr>
                <w:rFonts w:ascii="宋体"/>
              </w:rPr>
            </w:pPr>
          </w:p>
        </w:tc>
        <w:tc>
          <w:tcPr>
            <w:tcW w:w="5" w:type="pct"/>
            <w:shd w:val="clear" w:color="auto" w:fill="auto"/>
          </w:tcPr>
          <w:p w14:paraId="33DAF932" w14:textId="77777777" w:rsidR="004D6A64" w:rsidRDefault="004D6A64">
            <w:pPr>
              <w:rPr>
                <w:rFonts w:ascii="宋体"/>
              </w:rPr>
            </w:pPr>
          </w:p>
        </w:tc>
        <w:tc>
          <w:tcPr>
            <w:tcW w:w="19" w:type="pct"/>
            <w:shd w:val="clear" w:color="auto" w:fill="auto"/>
          </w:tcPr>
          <w:p w14:paraId="33DAF933" w14:textId="77777777" w:rsidR="004D6A64" w:rsidRDefault="004D6A64">
            <w:pPr>
              <w:rPr>
                <w:rFonts w:ascii="宋体"/>
              </w:rPr>
            </w:pPr>
          </w:p>
        </w:tc>
        <w:tc>
          <w:tcPr>
            <w:tcW w:w="5" w:type="pct"/>
            <w:shd w:val="clear" w:color="auto" w:fill="auto"/>
          </w:tcPr>
          <w:p w14:paraId="33DAF934" w14:textId="77777777" w:rsidR="004D6A64" w:rsidRDefault="004D6A64">
            <w:pPr>
              <w:rPr>
                <w:rFonts w:ascii="宋体"/>
              </w:rPr>
            </w:pPr>
          </w:p>
        </w:tc>
        <w:tc>
          <w:tcPr>
            <w:tcW w:w="50" w:type="pct"/>
            <w:shd w:val="clear" w:color="auto" w:fill="auto"/>
          </w:tcPr>
          <w:p w14:paraId="33DAF935" w14:textId="77777777" w:rsidR="004D6A64" w:rsidRDefault="004D6A64">
            <w:pPr>
              <w:rPr>
                <w:rFonts w:ascii="宋体"/>
              </w:rPr>
            </w:pPr>
          </w:p>
        </w:tc>
        <w:tc>
          <w:tcPr>
            <w:tcW w:w="771" w:type="pct"/>
            <w:shd w:val="clear" w:color="auto" w:fill="auto"/>
          </w:tcPr>
          <w:p w14:paraId="33DAF936" w14:textId="77777777" w:rsidR="004D6A64" w:rsidRDefault="004D6A64">
            <w:pPr>
              <w:rPr>
                <w:rFonts w:ascii="宋体"/>
              </w:rPr>
            </w:pPr>
          </w:p>
        </w:tc>
        <w:tc>
          <w:tcPr>
            <w:tcW w:w="5" w:type="pct"/>
            <w:shd w:val="clear" w:color="auto" w:fill="auto"/>
          </w:tcPr>
          <w:p w14:paraId="33DAF937" w14:textId="77777777" w:rsidR="004D6A64" w:rsidRDefault="004D6A64">
            <w:pPr>
              <w:rPr>
                <w:rFonts w:ascii="宋体"/>
              </w:rPr>
            </w:pPr>
          </w:p>
        </w:tc>
      </w:tr>
      <w:tr w:rsidR="004D6A64" w14:paraId="33DAF93D" w14:textId="77777777">
        <w:tc>
          <w:tcPr>
            <w:tcW w:w="0" w:type="auto"/>
            <w:gridSpan w:val="3"/>
            <w:shd w:val="clear" w:color="auto" w:fill="auto"/>
            <w:tcMar>
              <w:left w:w="20" w:type="dxa"/>
              <w:right w:w="20" w:type="dxa"/>
            </w:tcMar>
            <w:vAlign w:val="bottom"/>
          </w:tcPr>
          <w:p w14:paraId="33DAF939" w14:textId="77777777" w:rsidR="004D6A64" w:rsidRDefault="004D6A64">
            <w:pPr>
              <w:rPr>
                <w:rFonts w:ascii="宋体"/>
              </w:rPr>
            </w:pPr>
          </w:p>
        </w:tc>
        <w:tc>
          <w:tcPr>
            <w:tcW w:w="0" w:type="auto"/>
            <w:gridSpan w:val="9"/>
            <w:shd w:val="clear" w:color="auto" w:fill="auto"/>
            <w:tcMar>
              <w:top w:w="40" w:type="dxa"/>
              <w:left w:w="20" w:type="dxa"/>
              <w:bottom w:w="40" w:type="dxa"/>
              <w:right w:w="20" w:type="dxa"/>
            </w:tcMar>
            <w:vAlign w:val="bottom"/>
          </w:tcPr>
          <w:p w14:paraId="33DAF93A" w14:textId="77777777" w:rsidR="004D6A64" w:rsidRDefault="00506CD6">
            <w:pPr>
              <w:jc w:val="center"/>
              <w:textAlignment w:val="bottom"/>
            </w:pPr>
            <w:r>
              <w:rPr>
                <w:rFonts w:ascii="Times New Roman" w:eastAsia="宋体" w:hAnsi="Times New Roman"/>
                <w:b/>
                <w:bCs/>
                <w:color w:val="000000"/>
                <w:sz w:val="20"/>
                <w:szCs w:val="20"/>
              </w:rPr>
              <w:t>Six Months Ended</w:t>
            </w:r>
          </w:p>
        </w:tc>
        <w:tc>
          <w:tcPr>
            <w:tcW w:w="0" w:type="auto"/>
            <w:gridSpan w:val="3"/>
            <w:shd w:val="clear" w:color="auto" w:fill="auto"/>
          </w:tcPr>
          <w:p w14:paraId="33DAF93B" w14:textId="77777777" w:rsidR="004D6A64" w:rsidRDefault="004D6A64">
            <w:pPr>
              <w:rPr>
                <w:rFonts w:ascii="宋体"/>
                <w:vanish/>
              </w:rPr>
            </w:pPr>
          </w:p>
        </w:tc>
        <w:tc>
          <w:tcPr>
            <w:tcW w:w="0" w:type="auto"/>
            <w:gridSpan w:val="3"/>
            <w:shd w:val="clear" w:color="auto" w:fill="auto"/>
          </w:tcPr>
          <w:p w14:paraId="33DAF93C" w14:textId="77777777" w:rsidR="004D6A64" w:rsidRDefault="004D6A64">
            <w:pPr>
              <w:rPr>
                <w:rFonts w:ascii="宋体"/>
                <w:vanish/>
              </w:rPr>
            </w:pPr>
          </w:p>
        </w:tc>
      </w:tr>
      <w:tr w:rsidR="004D6A64" w14:paraId="33DAF948" w14:textId="77777777">
        <w:tc>
          <w:tcPr>
            <w:tcW w:w="0" w:type="auto"/>
            <w:gridSpan w:val="3"/>
            <w:shd w:val="clear" w:color="auto" w:fill="auto"/>
            <w:tcMar>
              <w:top w:w="40" w:type="dxa"/>
              <w:left w:w="20" w:type="dxa"/>
              <w:bottom w:w="40" w:type="dxa"/>
              <w:right w:w="20" w:type="dxa"/>
            </w:tcMar>
            <w:vAlign w:val="bottom"/>
          </w:tcPr>
          <w:p w14:paraId="33DAF93E" w14:textId="77777777" w:rsidR="004D6A64" w:rsidRDefault="00506CD6">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F93F" w14:textId="77777777" w:rsidR="004D6A64" w:rsidRDefault="00506CD6">
            <w:pPr>
              <w:jc w:val="center"/>
              <w:textAlignment w:val="bottom"/>
            </w:pPr>
            <w:r>
              <w:rPr>
                <w:rFonts w:ascii="Times New Roman" w:eastAsia="宋体" w:hAnsi="Times New Roman"/>
                <w:b/>
                <w:bCs/>
                <w:color w:val="000000"/>
                <w:sz w:val="20"/>
                <w:szCs w:val="20"/>
              </w:rPr>
              <w:t>July 31, 2020</w:t>
            </w:r>
          </w:p>
        </w:tc>
        <w:tc>
          <w:tcPr>
            <w:tcW w:w="0" w:type="auto"/>
            <w:gridSpan w:val="3"/>
            <w:tcBorders>
              <w:top w:val="single" w:sz="8" w:space="0" w:color="000000"/>
            </w:tcBorders>
            <w:shd w:val="clear" w:color="auto" w:fill="auto"/>
            <w:tcMar>
              <w:left w:w="20" w:type="dxa"/>
              <w:right w:w="20" w:type="dxa"/>
            </w:tcMar>
            <w:vAlign w:val="bottom"/>
          </w:tcPr>
          <w:p w14:paraId="33DAF940" w14:textId="77777777" w:rsidR="004D6A64" w:rsidRDefault="004D6A6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3DAF941" w14:textId="77777777" w:rsidR="004D6A64" w:rsidRDefault="00506CD6">
            <w:pPr>
              <w:jc w:val="center"/>
              <w:textAlignment w:val="bottom"/>
            </w:pPr>
            <w:r>
              <w:rPr>
                <w:rFonts w:ascii="Times New Roman" w:eastAsia="宋体" w:hAnsi="Times New Roman"/>
                <w:b/>
                <w:bCs/>
                <w:color w:val="000000"/>
                <w:sz w:val="20"/>
                <w:szCs w:val="20"/>
              </w:rPr>
              <w:t>August 2, 2019</w:t>
            </w:r>
          </w:p>
        </w:tc>
        <w:tc>
          <w:tcPr>
            <w:tcW w:w="0" w:type="auto"/>
            <w:shd w:val="clear" w:color="auto" w:fill="auto"/>
          </w:tcPr>
          <w:p w14:paraId="33DAF942" w14:textId="77777777" w:rsidR="004D6A64" w:rsidRDefault="004D6A64">
            <w:pPr>
              <w:rPr>
                <w:rFonts w:ascii="宋体"/>
              </w:rPr>
            </w:pPr>
          </w:p>
        </w:tc>
        <w:tc>
          <w:tcPr>
            <w:tcW w:w="0" w:type="auto"/>
            <w:shd w:val="clear" w:color="auto" w:fill="auto"/>
          </w:tcPr>
          <w:p w14:paraId="33DAF943" w14:textId="77777777" w:rsidR="004D6A64" w:rsidRDefault="004D6A64">
            <w:pPr>
              <w:rPr>
                <w:rFonts w:ascii="宋体"/>
              </w:rPr>
            </w:pPr>
          </w:p>
        </w:tc>
        <w:tc>
          <w:tcPr>
            <w:tcW w:w="0" w:type="auto"/>
            <w:shd w:val="clear" w:color="auto" w:fill="auto"/>
          </w:tcPr>
          <w:p w14:paraId="33DAF944" w14:textId="77777777" w:rsidR="004D6A64" w:rsidRDefault="004D6A64">
            <w:pPr>
              <w:rPr>
                <w:rFonts w:ascii="宋体"/>
              </w:rPr>
            </w:pPr>
          </w:p>
        </w:tc>
        <w:tc>
          <w:tcPr>
            <w:tcW w:w="0" w:type="auto"/>
            <w:shd w:val="clear" w:color="auto" w:fill="auto"/>
          </w:tcPr>
          <w:p w14:paraId="33DAF945" w14:textId="77777777" w:rsidR="004D6A64" w:rsidRDefault="004D6A64">
            <w:pPr>
              <w:rPr>
                <w:rFonts w:ascii="宋体"/>
              </w:rPr>
            </w:pPr>
          </w:p>
        </w:tc>
        <w:tc>
          <w:tcPr>
            <w:tcW w:w="0" w:type="auto"/>
            <w:shd w:val="clear" w:color="auto" w:fill="auto"/>
          </w:tcPr>
          <w:p w14:paraId="33DAF946" w14:textId="77777777" w:rsidR="004D6A64" w:rsidRDefault="004D6A64">
            <w:pPr>
              <w:rPr>
                <w:rFonts w:ascii="宋体"/>
              </w:rPr>
            </w:pPr>
          </w:p>
        </w:tc>
        <w:tc>
          <w:tcPr>
            <w:tcW w:w="0" w:type="auto"/>
            <w:shd w:val="clear" w:color="auto" w:fill="auto"/>
          </w:tcPr>
          <w:p w14:paraId="33DAF947" w14:textId="77777777" w:rsidR="004D6A64" w:rsidRDefault="004D6A64">
            <w:pPr>
              <w:rPr>
                <w:rFonts w:ascii="宋体"/>
              </w:rPr>
            </w:pPr>
          </w:p>
        </w:tc>
      </w:tr>
      <w:tr w:rsidR="004D6A64" w14:paraId="33DAF94D" w14:textId="77777777">
        <w:tc>
          <w:tcPr>
            <w:tcW w:w="0" w:type="auto"/>
            <w:gridSpan w:val="3"/>
            <w:shd w:val="clear" w:color="auto" w:fill="auto"/>
            <w:tcMar>
              <w:left w:w="20" w:type="dxa"/>
              <w:right w:w="20" w:type="dxa"/>
            </w:tcMar>
            <w:vAlign w:val="bottom"/>
          </w:tcPr>
          <w:p w14:paraId="33DAF949" w14:textId="77777777" w:rsidR="004D6A64" w:rsidRDefault="004D6A6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33DAF94A" w14:textId="77777777" w:rsidR="004D6A64" w:rsidRDefault="00506CD6">
            <w:pPr>
              <w:jc w:val="center"/>
              <w:textAlignment w:val="center"/>
            </w:pPr>
            <w:r>
              <w:rPr>
                <w:rFonts w:ascii="Times New Roman" w:eastAsia="宋体" w:hAnsi="Times New Roman"/>
                <w:color w:val="000000"/>
                <w:sz w:val="20"/>
                <w:szCs w:val="20"/>
              </w:rPr>
              <w:t>(in millions)</w:t>
            </w:r>
          </w:p>
        </w:tc>
        <w:tc>
          <w:tcPr>
            <w:tcW w:w="0" w:type="auto"/>
            <w:gridSpan w:val="3"/>
            <w:shd w:val="clear" w:color="auto" w:fill="auto"/>
          </w:tcPr>
          <w:p w14:paraId="33DAF94B" w14:textId="77777777" w:rsidR="004D6A64" w:rsidRDefault="004D6A64">
            <w:pPr>
              <w:rPr>
                <w:rFonts w:ascii="宋体"/>
                <w:vanish/>
              </w:rPr>
            </w:pPr>
          </w:p>
        </w:tc>
        <w:tc>
          <w:tcPr>
            <w:tcW w:w="0" w:type="auto"/>
            <w:gridSpan w:val="3"/>
            <w:shd w:val="clear" w:color="auto" w:fill="auto"/>
          </w:tcPr>
          <w:p w14:paraId="33DAF94C" w14:textId="77777777" w:rsidR="004D6A64" w:rsidRDefault="004D6A64">
            <w:pPr>
              <w:rPr>
                <w:rFonts w:ascii="宋体"/>
                <w:vanish/>
              </w:rPr>
            </w:pPr>
          </w:p>
        </w:tc>
      </w:tr>
      <w:tr w:rsidR="004D6A64" w14:paraId="33DAF958" w14:textId="77777777">
        <w:tc>
          <w:tcPr>
            <w:tcW w:w="0" w:type="auto"/>
            <w:gridSpan w:val="3"/>
            <w:shd w:val="clear" w:color="auto" w:fill="CCEEFF"/>
            <w:tcMar>
              <w:top w:w="40" w:type="dxa"/>
              <w:left w:w="20" w:type="dxa"/>
              <w:bottom w:w="40" w:type="dxa"/>
              <w:right w:w="20" w:type="dxa"/>
            </w:tcMar>
            <w:vAlign w:val="center"/>
          </w:tcPr>
          <w:p w14:paraId="33DAF94E" w14:textId="77777777" w:rsidR="004D6A64" w:rsidRDefault="00506CD6">
            <w:pPr>
              <w:textAlignment w:val="center"/>
            </w:pPr>
            <w:r>
              <w:rPr>
                <w:rFonts w:ascii="Times New Roman" w:eastAsia="宋体" w:hAnsi="Times New Roman"/>
                <w:i/>
                <w:iCs/>
                <w:color w:val="000000"/>
                <w:sz w:val="20"/>
                <w:szCs w:val="20"/>
              </w:rPr>
              <w:t>Net change in cash from:</w:t>
            </w:r>
          </w:p>
        </w:tc>
        <w:tc>
          <w:tcPr>
            <w:tcW w:w="0" w:type="auto"/>
            <w:gridSpan w:val="3"/>
            <w:shd w:val="clear" w:color="auto" w:fill="CCEEFF"/>
            <w:tcMar>
              <w:left w:w="20" w:type="dxa"/>
              <w:right w:w="20" w:type="dxa"/>
            </w:tcMar>
            <w:vAlign w:val="bottom"/>
          </w:tcPr>
          <w:p w14:paraId="33DAF94F"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950" w14:textId="77777777" w:rsidR="004D6A64" w:rsidRDefault="004D6A64">
            <w:pPr>
              <w:rPr>
                <w:rFonts w:ascii="宋体"/>
              </w:rPr>
            </w:pPr>
          </w:p>
        </w:tc>
        <w:tc>
          <w:tcPr>
            <w:tcW w:w="0" w:type="auto"/>
            <w:gridSpan w:val="3"/>
            <w:shd w:val="clear" w:color="auto" w:fill="CCEEFF"/>
            <w:tcMar>
              <w:left w:w="20" w:type="dxa"/>
              <w:right w:w="20" w:type="dxa"/>
            </w:tcMar>
            <w:vAlign w:val="bottom"/>
          </w:tcPr>
          <w:p w14:paraId="33DAF951" w14:textId="77777777" w:rsidR="004D6A64" w:rsidRDefault="004D6A64">
            <w:pPr>
              <w:rPr>
                <w:rFonts w:ascii="宋体"/>
              </w:rPr>
            </w:pPr>
          </w:p>
        </w:tc>
        <w:tc>
          <w:tcPr>
            <w:tcW w:w="0" w:type="auto"/>
            <w:shd w:val="clear" w:color="auto" w:fill="auto"/>
          </w:tcPr>
          <w:p w14:paraId="33DAF952" w14:textId="77777777" w:rsidR="004D6A64" w:rsidRDefault="004D6A64">
            <w:pPr>
              <w:rPr>
                <w:rFonts w:ascii="宋体"/>
              </w:rPr>
            </w:pPr>
          </w:p>
        </w:tc>
        <w:tc>
          <w:tcPr>
            <w:tcW w:w="0" w:type="auto"/>
            <w:shd w:val="clear" w:color="auto" w:fill="auto"/>
          </w:tcPr>
          <w:p w14:paraId="33DAF953" w14:textId="77777777" w:rsidR="004D6A64" w:rsidRDefault="004D6A64">
            <w:pPr>
              <w:rPr>
                <w:rFonts w:ascii="宋体"/>
              </w:rPr>
            </w:pPr>
          </w:p>
        </w:tc>
        <w:tc>
          <w:tcPr>
            <w:tcW w:w="0" w:type="auto"/>
            <w:shd w:val="clear" w:color="auto" w:fill="auto"/>
          </w:tcPr>
          <w:p w14:paraId="33DAF954" w14:textId="77777777" w:rsidR="004D6A64" w:rsidRDefault="004D6A64">
            <w:pPr>
              <w:rPr>
                <w:rFonts w:ascii="宋体"/>
              </w:rPr>
            </w:pPr>
          </w:p>
        </w:tc>
        <w:tc>
          <w:tcPr>
            <w:tcW w:w="0" w:type="auto"/>
            <w:shd w:val="clear" w:color="auto" w:fill="auto"/>
          </w:tcPr>
          <w:p w14:paraId="33DAF955" w14:textId="77777777" w:rsidR="004D6A64" w:rsidRDefault="004D6A64">
            <w:pPr>
              <w:rPr>
                <w:rFonts w:ascii="宋体"/>
              </w:rPr>
            </w:pPr>
          </w:p>
        </w:tc>
        <w:tc>
          <w:tcPr>
            <w:tcW w:w="0" w:type="auto"/>
            <w:shd w:val="clear" w:color="auto" w:fill="auto"/>
          </w:tcPr>
          <w:p w14:paraId="33DAF956" w14:textId="77777777" w:rsidR="004D6A64" w:rsidRDefault="004D6A64">
            <w:pPr>
              <w:rPr>
                <w:rFonts w:ascii="宋体"/>
              </w:rPr>
            </w:pPr>
          </w:p>
        </w:tc>
        <w:tc>
          <w:tcPr>
            <w:tcW w:w="0" w:type="auto"/>
            <w:shd w:val="clear" w:color="auto" w:fill="auto"/>
          </w:tcPr>
          <w:p w14:paraId="33DAF957" w14:textId="77777777" w:rsidR="004D6A64" w:rsidRDefault="004D6A64">
            <w:pPr>
              <w:rPr>
                <w:rFonts w:ascii="宋体"/>
              </w:rPr>
            </w:pPr>
          </w:p>
        </w:tc>
      </w:tr>
      <w:tr w:rsidR="004D6A64" w14:paraId="33DAF967" w14:textId="77777777">
        <w:tc>
          <w:tcPr>
            <w:tcW w:w="0" w:type="auto"/>
            <w:gridSpan w:val="3"/>
            <w:shd w:val="clear" w:color="auto" w:fill="FFFFFF"/>
            <w:tcMar>
              <w:top w:w="40" w:type="dxa"/>
              <w:left w:w="225" w:type="dxa"/>
              <w:bottom w:w="40" w:type="dxa"/>
              <w:right w:w="20" w:type="dxa"/>
            </w:tcMar>
            <w:vAlign w:val="center"/>
          </w:tcPr>
          <w:p w14:paraId="33DAF959" w14:textId="77777777" w:rsidR="004D6A64" w:rsidRDefault="00506CD6">
            <w:pPr>
              <w:textAlignment w:val="center"/>
            </w:pPr>
            <w:r>
              <w:rPr>
                <w:rFonts w:ascii="Times New Roman" w:eastAsia="宋体" w:hAnsi="Times New Roman"/>
                <w:color w:val="000000"/>
                <w:sz w:val="20"/>
                <w:szCs w:val="20"/>
              </w:rPr>
              <w:t>Operating activities</w:t>
            </w:r>
          </w:p>
        </w:tc>
        <w:tc>
          <w:tcPr>
            <w:tcW w:w="0" w:type="auto"/>
            <w:shd w:val="clear" w:color="auto" w:fill="FFFFFF"/>
            <w:tcMar>
              <w:top w:w="40" w:type="dxa"/>
              <w:left w:w="20" w:type="dxa"/>
              <w:bottom w:w="40" w:type="dxa"/>
            </w:tcMar>
            <w:vAlign w:val="center"/>
          </w:tcPr>
          <w:p w14:paraId="33DAF95A"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F95B" w14:textId="77777777" w:rsidR="004D6A64" w:rsidRDefault="00506CD6">
            <w:pPr>
              <w:jc w:val="right"/>
              <w:textAlignment w:val="center"/>
            </w:pPr>
            <w:r>
              <w:rPr>
                <w:rFonts w:ascii="Times New Roman" w:eastAsia="宋体" w:hAnsi="Times New Roman"/>
                <w:color w:val="000000"/>
                <w:sz w:val="20"/>
                <w:szCs w:val="20"/>
              </w:rPr>
              <w:t>2,536 </w:t>
            </w:r>
          </w:p>
        </w:tc>
        <w:tc>
          <w:tcPr>
            <w:tcW w:w="0" w:type="auto"/>
            <w:shd w:val="clear" w:color="auto" w:fill="FFFFFF"/>
            <w:tcMar>
              <w:top w:w="40" w:type="dxa"/>
              <w:bottom w:w="40" w:type="dxa"/>
              <w:right w:w="20" w:type="dxa"/>
            </w:tcMar>
            <w:vAlign w:val="center"/>
          </w:tcPr>
          <w:p w14:paraId="33DAF95C"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95D" w14:textId="77777777" w:rsidR="004D6A64" w:rsidRDefault="004D6A64">
            <w:pPr>
              <w:rPr>
                <w:rFonts w:ascii="宋体"/>
              </w:rPr>
            </w:pPr>
          </w:p>
        </w:tc>
        <w:tc>
          <w:tcPr>
            <w:tcW w:w="0" w:type="auto"/>
            <w:shd w:val="clear" w:color="auto" w:fill="FFFFFF"/>
            <w:tcMar>
              <w:top w:w="40" w:type="dxa"/>
              <w:left w:w="20" w:type="dxa"/>
              <w:bottom w:w="40" w:type="dxa"/>
            </w:tcMar>
            <w:vAlign w:val="center"/>
          </w:tcPr>
          <w:p w14:paraId="33DAF95E" w14:textId="77777777" w:rsidR="004D6A64" w:rsidRDefault="00506CD6">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3DAF95F" w14:textId="77777777" w:rsidR="004D6A64" w:rsidRDefault="00506CD6">
            <w:pPr>
              <w:jc w:val="right"/>
              <w:textAlignment w:val="center"/>
            </w:pPr>
            <w:r>
              <w:rPr>
                <w:rFonts w:ascii="Times New Roman" w:eastAsia="宋体" w:hAnsi="Times New Roman"/>
                <w:color w:val="000000"/>
                <w:sz w:val="20"/>
                <w:szCs w:val="20"/>
              </w:rPr>
              <w:t>3,962 </w:t>
            </w:r>
          </w:p>
        </w:tc>
        <w:tc>
          <w:tcPr>
            <w:tcW w:w="0" w:type="auto"/>
            <w:shd w:val="clear" w:color="auto" w:fill="FFFFFF"/>
            <w:tcMar>
              <w:top w:w="40" w:type="dxa"/>
              <w:bottom w:w="40" w:type="dxa"/>
              <w:right w:w="20" w:type="dxa"/>
            </w:tcMar>
            <w:vAlign w:val="center"/>
          </w:tcPr>
          <w:p w14:paraId="33DAF960" w14:textId="77777777" w:rsidR="004D6A64" w:rsidRDefault="004D6A64">
            <w:pPr>
              <w:jc w:val="right"/>
              <w:rPr>
                <w:rFonts w:ascii="宋体"/>
              </w:rPr>
            </w:pPr>
          </w:p>
        </w:tc>
        <w:tc>
          <w:tcPr>
            <w:tcW w:w="0" w:type="auto"/>
            <w:shd w:val="clear" w:color="auto" w:fill="auto"/>
          </w:tcPr>
          <w:p w14:paraId="33DAF961" w14:textId="77777777" w:rsidR="004D6A64" w:rsidRDefault="004D6A64">
            <w:pPr>
              <w:rPr>
                <w:rFonts w:ascii="宋体"/>
              </w:rPr>
            </w:pPr>
          </w:p>
        </w:tc>
        <w:tc>
          <w:tcPr>
            <w:tcW w:w="0" w:type="auto"/>
            <w:shd w:val="clear" w:color="auto" w:fill="auto"/>
          </w:tcPr>
          <w:p w14:paraId="33DAF962" w14:textId="77777777" w:rsidR="004D6A64" w:rsidRDefault="004D6A64">
            <w:pPr>
              <w:rPr>
                <w:rFonts w:ascii="宋体"/>
              </w:rPr>
            </w:pPr>
          </w:p>
        </w:tc>
        <w:tc>
          <w:tcPr>
            <w:tcW w:w="0" w:type="auto"/>
            <w:shd w:val="clear" w:color="auto" w:fill="auto"/>
          </w:tcPr>
          <w:p w14:paraId="33DAF963" w14:textId="77777777" w:rsidR="004D6A64" w:rsidRDefault="004D6A64">
            <w:pPr>
              <w:rPr>
                <w:rFonts w:ascii="宋体"/>
              </w:rPr>
            </w:pPr>
          </w:p>
        </w:tc>
        <w:tc>
          <w:tcPr>
            <w:tcW w:w="0" w:type="auto"/>
            <w:shd w:val="clear" w:color="auto" w:fill="auto"/>
          </w:tcPr>
          <w:p w14:paraId="33DAF964" w14:textId="77777777" w:rsidR="004D6A64" w:rsidRDefault="004D6A64">
            <w:pPr>
              <w:rPr>
                <w:rFonts w:ascii="宋体"/>
              </w:rPr>
            </w:pPr>
          </w:p>
        </w:tc>
        <w:tc>
          <w:tcPr>
            <w:tcW w:w="0" w:type="auto"/>
            <w:shd w:val="clear" w:color="auto" w:fill="auto"/>
          </w:tcPr>
          <w:p w14:paraId="33DAF965" w14:textId="77777777" w:rsidR="004D6A64" w:rsidRDefault="004D6A64">
            <w:pPr>
              <w:rPr>
                <w:rFonts w:ascii="宋体"/>
              </w:rPr>
            </w:pPr>
          </w:p>
        </w:tc>
        <w:tc>
          <w:tcPr>
            <w:tcW w:w="0" w:type="auto"/>
            <w:shd w:val="clear" w:color="auto" w:fill="auto"/>
          </w:tcPr>
          <w:p w14:paraId="33DAF966" w14:textId="77777777" w:rsidR="004D6A64" w:rsidRDefault="004D6A64">
            <w:pPr>
              <w:rPr>
                <w:rFonts w:ascii="宋体"/>
              </w:rPr>
            </w:pPr>
          </w:p>
        </w:tc>
      </w:tr>
      <w:tr w:rsidR="004D6A64" w14:paraId="33DAF974" w14:textId="77777777">
        <w:tc>
          <w:tcPr>
            <w:tcW w:w="0" w:type="auto"/>
            <w:gridSpan w:val="3"/>
            <w:shd w:val="clear" w:color="auto" w:fill="CCEEFF"/>
            <w:tcMar>
              <w:top w:w="40" w:type="dxa"/>
              <w:left w:w="225" w:type="dxa"/>
              <w:bottom w:w="40" w:type="dxa"/>
              <w:right w:w="20" w:type="dxa"/>
            </w:tcMar>
            <w:vAlign w:val="center"/>
          </w:tcPr>
          <w:p w14:paraId="33DAF968" w14:textId="77777777" w:rsidR="004D6A64" w:rsidRDefault="00506CD6">
            <w:pPr>
              <w:textAlignment w:val="center"/>
            </w:pPr>
            <w:r>
              <w:rPr>
                <w:rFonts w:ascii="Times New Roman" w:eastAsia="宋体" w:hAnsi="Times New Roman"/>
                <w:color w:val="000000"/>
                <w:sz w:val="20"/>
                <w:szCs w:val="20"/>
              </w:rPr>
              <w:t>Investing activities</w:t>
            </w:r>
          </w:p>
        </w:tc>
        <w:tc>
          <w:tcPr>
            <w:tcW w:w="0" w:type="auto"/>
            <w:gridSpan w:val="2"/>
            <w:shd w:val="clear" w:color="auto" w:fill="CCEEFF"/>
            <w:tcMar>
              <w:top w:w="40" w:type="dxa"/>
              <w:left w:w="20" w:type="dxa"/>
              <w:bottom w:w="40" w:type="dxa"/>
              <w:right w:w="0" w:type="dxa"/>
            </w:tcMar>
            <w:vAlign w:val="center"/>
          </w:tcPr>
          <w:p w14:paraId="33DAF969" w14:textId="77777777" w:rsidR="004D6A64" w:rsidRDefault="00506CD6">
            <w:pPr>
              <w:jc w:val="right"/>
              <w:textAlignment w:val="center"/>
            </w:pPr>
            <w:r>
              <w:rPr>
                <w:rFonts w:ascii="Times New Roman" w:eastAsia="宋体" w:hAnsi="Times New Roman"/>
                <w:color w:val="000000"/>
                <w:sz w:val="20"/>
                <w:szCs w:val="20"/>
              </w:rPr>
              <w:t>(1,409)</w:t>
            </w:r>
          </w:p>
        </w:tc>
        <w:tc>
          <w:tcPr>
            <w:tcW w:w="0" w:type="auto"/>
            <w:shd w:val="clear" w:color="auto" w:fill="CCEEFF"/>
            <w:tcMar>
              <w:top w:w="40" w:type="dxa"/>
              <w:bottom w:w="40" w:type="dxa"/>
              <w:right w:w="20" w:type="dxa"/>
            </w:tcMar>
            <w:vAlign w:val="center"/>
          </w:tcPr>
          <w:p w14:paraId="33DAF96A"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96B"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96C" w14:textId="77777777" w:rsidR="004D6A64" w:rsidRDefault="00506CD6">
            <w:pPr>
              <w:jc w:val="right"/>
              <w:textAlignment w:val="center"/>
            </w:pPr>
            <w:r>
              <w:rPr>
                <w:rFonts w:ascii="Times New Roman" w:eastAsia="宋体" w:hAnsi="Times New Roman"/>
                <w:color w:val="000000"/>
                <w:sz w:val="20"/>
                <w:szCs w:val="20"/>
              </w:rPr>
              <w:t>(1,283)</w:t>
            </w:r>
          </w:p>
        </w:tc>
        <w:tc>
          <w:tcPr>
            <w:tcW w:w="0" w:type="auto"/>
            <w:shd w:val="clear" w:color="auto" w:fill="CCEEFF"/>
            <w:tcMar>
              <w:top w:w="40" w:type="dxa"/>
              <w:bottom w:w="40" w:type="dxa"/>
              <w:right w:w="20" w:type="dxa"/>
            </w:tcMar>
            <w:vAlign w:val="center"/>
          </w:tcPr>
          <w:p w14:paraId="33DAF96D" w14:textId="77777777" w:rsidR="004D6A64" w:rsidRDefault="004D6A64">
            <w:pPr>
              <w:jc w:val="right"/>
              <w:rPr>
                <w:rFonts w:ascii="宋体"/>
              </w:rPr>
            </w:pPr>
          </w:p>
        </w:tc>
        <w:tc>
          <w:tcPr>
            <w:tcW w:w="0" w:type="auto"/>
            <w:shd w:val="clear" w:color="auto" w:fill="auto"/>
          </w:tcPr>
          <w:p w14:paraId="33DAF96E" w14:textId="77777777" w:rsidR="004D6A64" w:rsidRDefault="004D6A64">
            <w:pPr>
              <w:rPr>
                <w:rFonts w:ascii="宋体"/>
              </w:rPr>
            </w:pPr>
          </w:p>
        </w:tc>
        <w:tc>
          <w:tcPr>
            <w:tcW w:w="0" w:type="auto"/>
            <w:shd w:val="clear" w:color="auto" w:fill="auto"/>
          </w:tcPr>
          <w:p w14:paraId="33DAF96F" w14:textId="77777777" w:rsidR="004D6A64" w:rsidRDefault="004D6A64">
            <w:pPr>
              <w:rPr>
                <w:rFonts w:ascii="宋体"/>
              </w:rPr>
            </w:pPr>
          </w:p>
        </w:tc>
        <w:tc>
          <w:tcPr>
            <w:tcW w:w="0" w:type="auto"/>
            <w:shd w:val="clear" w:color="auto" w:fill="auto"/>
          </w:tcPr>
          <w:p w14:paraId="33DAF970" w14:textId="77777777" w:rsidR="004D6A64" w:rsidRDefault="004D6A64">
            <w:pPr>
              <w:rPr>
                <w:rFonts w:ascii="宋体"/>
              </w:rPr>
            </w:pPr>
          </w:p>
        </w:tc>
        <w:tc>
          <w:tcPr>
            <w:tcW w:w="0" w:type="auto"/>
            <w:shd w:val="clear" w:color="auto" w:fill="auto"/>
          </w:tcPr>
          <w:p w14:paraId="33DAF971" w14:textId="77777777" w:rsidR="004D6A64" w:rsidRDefault="004D6A64">
            <w:pPr>
              <w:rPr>
                <w:rFonts w:ascii="宋体"/>
              </w:rPr>
            </w:pPr>
          </w:p>
        </w:tc>
        <w:tc>
          <w:tcPr>
            <w:tcW w:w="0" w:type="auto"/>
            <w:shd w:val="clear" w:color="auto" w:fill="auto"/>
          </w:tcPr>
          <w:p w14:paraId="33DAF972" w14:textId="77777777" w:rsidR="004D6A64" w:rsidRDefault="004D6A64">
            <w:pPr>
              <w:rPr>
                <w:rFonts w:ascii="宋体"/>
              </w:rPr>
            </w:pPr>
          </w:p>
        </w:tc>
        <w:tc>
          <w:tcPr>
            <w:tcW w:w="0" w:type="auto"/>
            <w:shd w:val="clear" w:color="auto" w:fill="auto"/>
          </w:tcPr>
          <w:p w14:paraId="33DAF973" w14:textId="77777777" w:rsidR="004D6A64" w:rsidRDefault="004D6A64">
            <w:pPr>
              <w:rPr>
                <w:rFonts w:ascii="宋体"/>
              </w:rPr>
            </w:pPr>
          </w:p>
        </w:tc>
      </w:tr>
      <w:tr w:rsidR="004D6A64" w14:paraId="33DAF981" w14:textId="77777777">
        <w:tc>
          <w:tcPr>
            <w:tcW w:w="0" w:type="auto"/>
            <w:gridSpan w:val="3"/>
            <w:shd w:val="clear" w:color="auto" w:fill="FFFFFF"/>
            <w:tcMar>
              <w:top w:w="40" w:type="dxa"/>
              <w:left w:w="225" w:type="dxa"/>
              <w:bottom w:w="40" w:type="dxa"/>
              <w:right w:w="20" w:type="dxa"/>
            </w:tcMar>
            <w:vAlign w:val="center"/>
          </w:tcPr>
          <w:p w14:paraId="33DAF975" w14:textId="77777777" w:rsidR="004D6A64" w:rsidRDefault="00506CD6">
            <w:pPr>
              <w:textAlignment w:val="center"/>
            </w:pPr>
            <w:r>
              <w:rPr>
                <w:rFonts w:ascii="Times New Roman" w:eastAsia="宋体" w:hAnsi="Times New Roman"/>
                <w:color w:val="000000"/>
                <w:sz w:val="20"/>
                <w:szCs w:val="20"/>
              </w:rPr>
              <w:t>Financing activities</w:t>
            </w:r>
          </w:p>
        </w:tc>
        <w:tc>
          <w:tcPr>
            <w:tcW w:w="0" w:type="auto"/>
            <w:gridSpan w:val="2"/>
            <w:shd w:val="clear" w:color="auto" w:fill="FFFFFF"/>
            <w:tcMar>
              <w:top w:w="40" w:type="dxa"/>
              <w:left w:w="20" w:type="dxa"/>
              <w:bottom w:w="40" w:type="dxa"/>
              <w:right w:w="0" w:type="dxa"/>
            </w:tcMar>
            <w:vAlign w:val="center"/>
          </w:tcPr>
          <w:p w14:paraId="33DAF976" w14:textId="77777777" w:rsidR="004D6A64" w:rsidRDefault="00506CD6">
            <w:pPr>
              <w:jc w:val="right"/>
              <w:textAlignment w:val="center"/>
            </w:pPr>
            <w:r>
              <w:rPr>
                <w:rFonts w:ascii="Times New Roman" w:eastAsia="宋体" w:hAnsi="Times New Roman"/>
                <w:color w:val="000000"/>
                <w:sz w:val="20"/>
                <w:szCs w:val="20"/>
              </w:rPr>
              <w:t>827 </w:t>
            </w:r>
          </w:p>
        </w:tc>
        <w:tc>
          <w:tcPr>
            <w:tcW w:w="0" w:type="auto"/>
            <w:shd w:val="clear" w:color="auto" w:fill="FFFFFF"/>
            <w:tcMar>
              <w:top w:w="40" w:type="dxa"/>
              <w:bottom w:w="40" w:type="dxa"/>
              <w:right w:w="20" w:type="dxa"/>
            </w:tcMar>
            <w:vAlign w:val="center"/>
          </w:tcPr>
          <w:p w14:paraId="33DAF977"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978" w14:textId="77777777" w:rsidR="004D6A64" w:rsidRDefault="004D6A64">
            <w:pPr>
              <w:rPr>
                <w:rFonts w:ascii="宋体"/>
              </w:rPr>
            </w:pPr>
          </w:p>
        </w:tc>
        <w:tc>
          <w:tcPr>
            <w:tcW w:w="0" w:type="auto"/>
            <w:gridSpan w:val="2"/>
            <w:shd w:val="clear" w:color="auto" w:fill="FFFFFF"/>
            <w:tcMar>
              <w:top w:w="40" w:type="dxa"/>
              <w:left w:w="20" w:type="dxa"/>
              <w:bottom w:w="40" w:type="dxa"/>
              <w:right w:w="0" w:type="dxa"/>
            </w:tcMar>
            <w:vAlign w:val="center"/>
          </w:tcPr>
          <w:p w14:paraId="33DAF979" w14:textId="77777777" w:rsidR="004D6A64" w:rsidRDefault="00506CD6">
            <w:pPr>
              <w:jc w:val="right"/>
              <w:textAlignment w:val="center"/>
            </w:pPr>
            <w:r>
              <w:rPr>
                <w:rFonts w:ascii="Times New Roman" w:eastAsia="宋体" w:hAnsi="Times New Roman"/>
                <w:color w:val="000000"/>
                <w:sz w:val="20"/>
                <w:szCs w:val="20"/>
              </w:rPr>
              <w:t>(2,922)</w:t>
            </w:r>
          </w:p>
        </w:tc>
        <w:tc>
          <w:tcPr>
            <w:tcW w:w="0" w:type="auto"/>
            <w:shd w:val="clear" w:color="auto" w:fill="FFFFFF"/>
            <w:tcMar>
              <w:top w:w="40" w:type="dxa"/>
              <w:bottom w:w="40" w:type="dxa"/>
              <w:right w:w="20" w:type="dxa"/>
            </w:tcMar>
            <w:vAlign w:val="center"/>
          </w:tcPr>
          <w:p w14:paraId="33DAF97A" w14:textId="77777777" w:rsidR="004D6A64" w:rsidRDefault="004D6A64">
            <w:pPr>
              <w:jc w:val="right"/>
              <w:rPr>
                <w:rFonts w:ascii="宋体"/>
              </w:rPr>
            </w:pPr>
          </w:p>
        </w:tc>
        <w:tc>
          <w:tcPr>
            <w:tcW w:w="0" w:type="auto"/>
            <w:shd w:val="clear" w:color="auto" w:fill="auto"/>
          </w:tcPr>
          <w:p w14:paraId="33DAF97B" w14:textId="77777777" w:rsidR="004D6A64" w:rsidRDefault="004D6A64">
            <w:pPr>
              <w:rPr>
                <w:rFonts w:ascii="宋体"/>
              </w:rPr>
            </w:pPr>
          </w:p>
        </w:tc>
        <w:tc>
          <w:tcPr>
            <w:tcW w:w="0" w:type="auto"/>
            <w:shd w:val="clear" w:color="auto" w:fill="auto"/>
          </w:tcPr>
          <w:p w14:paraId="33DAF97C" w14:textId="77777777" w:rsidR="004D6A64" w:rsidRDefault="004D6A64">
            <w:pPr>
              <w:rPr>
                <w:rFonts w:ascii="宋体"/>
              </w:rPr>
            </w:pPr>
          </w:p>
        </w:tc>
        <w:tc>
          <w:tcPr>
            <w:tcW w:w="0" w:type="auto"/>
            <w:shd w:val="clear" w:color="auto" w:fill="auto"/>
          </w:tcPr>
          <w:p w14:paraId="33DAF97D" w14:textId="77777777" w:rsidR="004D6A64" w:rsidRDefault="004D6A64">
            <w:pPr>
              <w:rPr>
                <w:rFonts w:ascii="宋体"/>
              </w:rPr>
            </w:pPr>
          </w:p>
        </w:tc>
        <w:tc>
          <w:tcPr>
            <w:tcW w:w="0" w:type="auto"/>
            <w:shd w:val="clear" w:color="auto" w:fill="auto"/>
          </w:tcPr>
          <w:p w14:paraId="33DAF97E" w14:textId="77777777" w:rsidR="004D6A64" w:rsidRDefault="004D6A64">
            <w:pPr>
              <w:rPr>
                <w:rFonts w:ascii="宋体"/>
              </w:rPr>
            </w:pPr>
          </w:p>
        </w:tc>
        <w:tc>
          <w:tcPr>
            <w:tcW w:w="0" w:type="auto"/>
            <w:shd w:val="clear" w:color="auto" w:fill="auto"/>
          </w:tcPr>
          <w:p w14:paraId="33DAF97F" w14:textId="77777777" w:rsidR="004D6A64" w:rsidRDefault="004D6A64">
            <w:pPr>
              <w:rPr>
                <w:rFonts w:ascii="宋体"/>
              </w:rPr>
            </w:pPr>
          </w:p>
        </w:tc>
        <w:tc>
          <w:tcPr>
            <w:tcW w:w="0" w:type="auto"/>
            <w:shd w:val="clear" w:color="auto" w:fill="auto"/>
          </w:tcPr>
          <w:p w14:paraId="33DAF980" w14:textId="77777777" w:rsidR="004D6A64" w:rsidRDefault="004D6A64">
            <w:pPr>
              <w:rPr>
                <w:rFonts w:ascii="宋体"/>
              </w:rPr>
            </w:pPr>
          </w:p>
        </w:tc>
      </w:tr>
      <w:tr w:rsidR="004D6A64" w14:paraId="33DAF98E" w14:textId="77777777">
        <w:tc>
          <w:tcPr>
            <w:tcW w:w="0" w:type="auto"/>
            <w:gridSpan w:val="3"/>
            <w:shd w:val="clear" w:color="auto" w:fill="CCEEFF"/>
            <w:tcMar>
              <w:top w:w="40" w:type="dxa"/>
              <w:left w:w="225" w:type="dxa"/>
              <w:bottom w:w="40" w:type="dxa"/>
              <w:right w:w="20" w:type="dxa"/>
            </w:tcMar>
            <w:vAlign w:val="center"/>
          </w:tcPr>
          <w:p w14:paraId="33DAF982" w14:textId="77777777" w:rsidR="004D6A64" w:rsidRDefault="00506CD6">
            <w:pPr>
              <w:textAlignment w:val="center"/>
            </w:pPr>
            <w:r>
              <w:rPr>
                <w:rFonts w:ascii="Times New Roman" w:eastAsia="宋体" w:hAnsi="Times New Roman"/>
                <w:color w:val="000000"/>
                <w:sz w:val="20"/>
                <w:szCs w:val="20"/>
              </w:rPr>
              <w:t>Effect of exchange rate changes on cash, cash equivalents, and restricted cash</w:t>
            </w:r>
          </w:p>
        </w:tc>
        <w:tc>
          <w:tcPr>
            <w:tcW w:w="0" w:type="auto"/>
            <w:gridSpan w:val="2"/>
            <w:shd w:val="clear" w:color="auto" w:fill="CCEEFF"/>
            <w:tcMar>
              <w:top w:w="40" w:type="dxa"/>
              <w:left w:w="20" w:type="dxa"/>
              <w:bottom w:w="40" w:type="dxa"/>
              <w:right w:w="0" w:type="dxa"/>
            </w:tcMar>
            <w:vAlign w:val="center"/>
          </w:tcPr>
          <w:p w14:paraId="33DAF983" w14:textId="77777777" w:rsidR="004D6A64" w:rsidRDefault="00506CD6">
            <w:pPr>
              <w:jc w:val="right"/>
              <w:textAlignment w:val="center"/>
            </w:pPr>
            <w:r>
              <w:rPr>
                <w:rFonts w:ascii="Times New Roman" w:eastAsia="宋体" w:hAnsi="Times New Roman"/>
                <w:color w:val="000000"/>
                <w:sz w:val="20"/>
                <w:szCs w:val="20"/>
              </w:rPr>
              <w:t>(52)</w:t>
            </w:r>
          </w:p>
        </w:tc>
        <w:tc>
          <w:tcPr>
            <w:tcW w:w="0" w:type="auto"/>
            <w:shd w:val="clear" w:color="auto" w:fill="CCEEFF"/>
            <w:tcMar>
              <w:top w:w="40" w:type="dxa"/>
              <w:bottom w:w="40" w:type="dxa"/>
              <w:right w:w="20" w:type="dxa"/>
            </w:tcMar>
            <w:vAlign w:val="center"/>
          </w:tcPr>
          <w:p w14:paraId="33DAF984" w14:textId="77777777" w:rsidR="004D6A64" w:rsidRDefault="004D6A64">
            <w:pPr>
              <w:jc w:val="right"/>
              <w:rPr>
                <w:rFonts w:ascii="宋体"/>
              </w:rPr>
            </w:pPr>
          </w:p>
        </w:tc>
        <w:tc>
          <w:tcPr>
            <w:tcW w:w="0" w:type="auto"/>
            <w:gridSpan w:val="3"/>
            <w:shd w:val="clear" w:color="auto" w:fill="CCEEFF"/>
            <w:tcMar>
              <w:left w:w="20" w:type="dxa"/>
              <w:right w:w="20" w:type="dxa"/>
            </w:tcMar>
            <w:vAlign w:val="bottom"/>
          </w:tcPr>
          <w:p w14:paraId="33DAF985" w14:textId="77777777" w:rsidR="004D6A64" w:rsidRDefault="004D6A64">
            <w:pPr>
              <w:rPr>
                <w:rFonts w:ascii="宋体"/>
              </w:rPr>
            </w:pPr>
          </w:p>
        </w:tc>
        <w:tc>
          <w:tcPr>
            <w:tcW w:w="0" w:type="auto"/>
            <w:gridSpan w:val="2"/>
            <w:shd w:val="clear" w:color="auto" w:fill="CCEEFF"/>
            <w:tcMar>
              <w:top w:w="40" w:type="dxa"/>
              <w:left w:w="20" w:type="dxa"/>
              <w:bottom w:w="40" w:type="dxa"/>
              <w:right w:w="0" w:type="dxa"/>
            </w:tcMar>
            <w:vAlign w:val="center"/>
          </w:tcPr>
          <w:p w14:paraId="33DAF986" w14:textId="77777777" w:rsidR="004D6A64" w:rsidRDefault="00506CD6">
            <w:pPr>
              <w:jc w:val="right"/>
              <w:textAlignment w:val="center"/>
            </w:pPr>
            <w:r>
              <w:rPr>
                <w:rFonts w:ascii="Times New Roman" w:eastAsia="宋体" w:hAnsi="Times New Roman"/>
                <w:color w:val="000000"/>
                <w:sz w:val="20"/>
                <w:szCs w:val="20"/>
              </w:rPr>
              <w:t>(62)</w:t>
            </w:r>
          </w:p>
        </w:tc>
        <w:tc>
          <w:tcPr>
            <w:tcW w:w="0" w:type="auto"/>
            <w:shd w:val="clear" w:color="auto" w:fill="CCEEFF"/>
            <w:tcMar>
              <w:top w:w="40" w:type="dxa"/>
              <w:bottom w:w="40" w:type="dxa"/>
              <w:right w:w="20" w:type="dxa"/>
            </w:tcMar>
            <w:vAlign w:val="center"/>
          </w:tcPr>
          <w:p w14:paraId="33DAF987" w14:textId="77777777" w:rsidR="004D6A64" w:rsidRDefault="004D6A64">
            <w:pPr>
              <w:jc w:val="right"/>
              <w:rPr>
                <w:rFonts w:ascii="宋体"/>
              </w:rPr>
            </w:pPr>
          </w:p>
        </w:tc>
        <w:tc>
          <w:tcPr>
            <w:tcW w:w="0" w:type="auto"/>
            <w:shd w:val="clear" w:color="auto" w:fill="auto"/>
          </w:tcPr>
          <w:p w14:paraId="33DAF988" w14:textId="77777777" w:rsidR="004D6A64" w:rsidRDefault="004D6A64">
            <w:pPr>
              <w:rPr>
                <w:rFonts w:ascii="宋体"/>
              </w:rPr>
            </w:pPr>
          </w:p>
        </w:tc>
        <w:tc>
          <w:tcPr>
            <w:tcW w:w="0" w:type="auto"/>
            <w:shd w:val="clear" w:color="auto" w:fill="auto"/>
          </w:tcPr>
          <w:p w14:paraId="33DAF989" w14:textId="77777777" w:rsidR="004D6A64" w:rsidRDefault="004D6A64">
            <w:pPr>
              <w:rPr>
                <w:rFonts w:ascii="宋体"/>
              </w:rPr>
            </w:pPr>
          </w:p>
        </w:tc>
        <w:tc>
          <w:tcPr>
            <w:tcW w:w="0" w:type="auto"/>
            <w:shd w:val="clear" w:color="auto" w:fill="auto"/>
          </w:tcPr>
          <w:p w14:paraId="33DAF98A" w14:textId="77777777" w:rsidR="004D6A64" w:rsidRDefault="004D6A64">
            <w:pPr>
              <w:rPr>
                <w:rFonts w:ascii="宋体"/>
              </w:rPr>
            </w:pPr>
          </w:p>
        </w:tc>
        <w:tc>
          <w:tcPr>
            <w:tcW w:w="0" w:type="auto"/>
            <w:shd w:val="clear" w:color="auto" w:fill="auto"/>
          </w:tcPr>
          <w:p w14:paraId="33DAF98B" w14:textId="77777777" w:rsidR="004D6A64" w:rsidRDefault="004D6A64">
            <w:pPr>
              <w:rPr>
                <w:rFonts w:ascii="宋体"/>
              </w:rPr>
            </w:pPr>
          </w:p>
        </w:tc>
        <w:tc>
          <w:tcPr>
            <w:tcW w:w="0" w:type="auto"/>
            <w:shd w:val="clear" w:color="auto" w:fill="auto"/>
          </w:tcPr>
          <w:p w14:paraId="33DAF98C" w14:textId="77777777" w:rsidR="004D6A64" w:rsidRDefault="004D6A64">
            <w:pPr>
              <w:rPr>
                <w:rFonts w:ascii="宋体"/>
              </w:rPr>
            </w:pPr>
          </w:p>
        </w:tc>
        <w:tc>
          <w:tcPr>
            <w:tcW w:w="0" w:type="auto"/>
            <w:shd w:val="clear" w:color="auto" w:fill="auto"/>
          </w:tcPr>
          <w:p w14:paraId="33DAF98D" w14:textId="77777777" w:rsidR="004D6A64" w:rsidRDefault="004D6A64">
            <w:pPr>
              <w:rPr>
                <w:rFonts w:ascii="宋体"/>
              </w:rPr>
            </w:pPr>
          </w:p>
        </w:tc>
      </w:tr>
      <w:tr w:rsidR="004D6A64" w14:paraId="33DAF99D" w14:textId="77777777">
        <w:tc>
          <w:tcPr>
            <w:tcW w:w="0" w:type="auto"/>
            <w:gridSpan w:val="3"/>
            <w:shd w:val="clear" w:color="auto" w:fill="FFFFFF"/>
            <w:tcMar>
              <w:top w:w="40" w:type="dxa"/>
              <w:left w:w="360" w:type="dxa"/>
              <w:bottom w:w="40" w:type="dxa"/>
              <w:right w:w="20" w:type="dxa"/>
            </w:tcMar>
            <w:vAlign w:val="center"/>
          </w:tcPr>
          <w:p w14:paraId="33DAF98F" w14:textId="77777777" w:rsidR="004D6A64" w:rsidRDefault="00506CD6">
            <w:pPr>
              <w:textAlignment w:val="center"/>
            </w:pPr>
            <w:r>
              <w:rPr>
                <w:rFonts w:ascii="Times New Roman" w:eastAsia="宋体" w:hAnsi="Times New Roman"/>
                <w:color w:val="000000"/>
                <w:sz w:val="20"/>
                <w:szCs w:val="20"/>
              </w:rPr>
              <w:t>Change in cash, cash equivalents, and restricted cash</w:t>
            </w: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F990"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F991" w14:textId="77777777" w:rsidR="004D6A64" w:rsidRDefault="00506CD6">
            <w:pPr>
              <w:jc w:val="right"/>
              <w:textAlignment w:val="center"/>
            </w:pPr>
            <w:r>
              <w:rPr>
                <w:rFonts w:ascii="Times New Roman" w:eastAsia="宋体" w:hAnsi="Times New Roman"/>
                <w:color w:val="000000"/>
                <w:sz w:val="20"/>
                <w:szCs w:val="20"/>
              </w:rPr>
              <w:t>1,902 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F992" w14:textId="77777777" w:rsidR="004D6A64" w:rsidRDefault="004D6A64">
            <w:pPr>
              <w:jc w:val="right"/>
              <w:rPr>
                <w:rFonts w:ascii="宋体"/>
              </w:rPr>
            </w:pPr>
          </w:p>
        </w:tc>
        <w:tc>
          <w:tcPr>
            <w:tcW w:w="0" w:type="auto"/>
            <w:gridSpan w:val="3"/>
            <w:shd w:val="clear" w:color="auto" w:fill="FFFFFF"/>
            <w:tcMar>
              <w:left w:w="20" w:type="dxa"/>
              <w:right w:w="20" w:type="dxa"/>
            </w:tcMar>
            <w:vAlign w:val="bottom"/>
          </w:tcPr>
          <w:p w14:paraId="33DAF993" w14:textId="77777777" w:rsidR="004D6A64" w:rsidRDefault="004D6A6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3DAF994" w14:textId="77777777" w:rsidR="004D6A64" w:rsidRDefault="00506CD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3DAF995" w14:textId="77777777" w:rsidR="004D6A64" w:rsidRDefault="00506CD6">
            <w:pPr>
              <w:jc w:val="right"/>
              <w:textAlignment w:val="center"/>
            </w:pPr>
            <w:r>
              <w:rPr>
                <w:rFonts w:ascii="Times New Roman" w:eastAsia="宋体" w:hAnsi="Times New Roman"/>
                <w:color w:val="000000"/>
                <w:sz w:val="20"/>
                <w:szCs w:val="20"/>
              </w:rPr>
              <w:t>(305)</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3DAF996" w14:textId="77777777" w:rsidR="004D6A64" w:rsidRDefault="004D6A64">
            <w:pPr>
              <w:jc w:val="right"/>
              <w:rPr>
                <w:rFonts w:ascii="宋体"/>
              </w:rPr>
            </w:pPr>
          </w:p>
        </w:tc>
        <w:tc>
          <w:tcPr>
            <w:tcW w:w="0" w:type="auto"/>
            <w:shd w:val="clear" w:color="auto" w:fill="auto"/>
          </w:tcPr>
          <w:p w14:paraId="33DAF997" w14:textId="77777777" w:rsidR="004D6A64" w:rsidRDefault="004D6A64">
            <w:pPr>
              <w:rPr>
                <w:rFonts w:ascii="宋体"/>
              </w:rPr>
            </w:pPr>
          </w:p>
        </w:tc>
        <w:tc>
          <w:tcPr>
            <w:tcW w:w="0" w:type="auto"/>
            <w:shd w:val="clear" w:color="auto" w:fill="auto"/>
          </w:tcPr>
          <w:p w14:paraId="33DAF998" w14:textId="77777777" w:rsidR="004D6A64" w:rsidRDefault="004D6A64">
            <w:pPr>
              <w:rPr>
                <w:rFonts w:ascii="宋体"/>
              </w:rPr>
            </w:pPr>
          </w:p>
        </w:tc>
        <w:tc>
          <w:tcPr>
            <w:tcW w:w="0" w:type="auto"/>
            <w:shd w:val="clear" w:color="auto" w:fill="auto"/>
          </w:tcPr>
          <w:p w14:paraId="33DAF999" w14:textId="77777777" w:rsidR="004D6A64" w:rsidRDefault="004D6A64">
            <w:pPr>
              <w:rPr>
                <w:rFonts w:ascii="宋体"/>
              </w:rPr>
            </w:pPr>
          </w:p>
        </w:tc>
        <w:tc>
          <w:tcPr>
            <w:tcW w:w="0" w:type="auto"/>
            <w:shd w:val="clear" w:color="auto" w:fill="auto"/>
          </w:tcPr>
          <w:p w14:paraId="33DAF99A" w14:textId="77777777" w:rsidR="004D6A64" w:rsidRDefault="004D6A64">
            <w:pPr>
              <w:rPr>
                <w:rFonts w:ascii="宋体"/>
              </w:rPr>
            </w:pPr>
          </w:p>
        </w:tc>
        <w:tc>
          <w:tcPr>
            <w:tcW w:w="0" w:type="auto"/>
            <w:shd w:val="clear" w:color="auto" w:fill="auto"/>
          </w:tcPr>
          <w:p w14:paraId="33DAF99B" w14:textId="77777777" w:rsidR="004D6A64" w:rsidRDefault="004D6A64">
            <w:pPr>
              <w:rPr>
                <w:rFonts w:ascii="宋体"/>
              </w:rPr>
            </w:pPr>
          </w:p>
        </w:tc>
        <w:tc>
          <w:tcPr>
            <w:tcW w:w="0" w:type="auto"/>
            <w:shd w:val="clear" w:color="auto" w:fill="auto"/>
          </w:tcPr>
          <w:p w14:paraId="33DAF99C" w14:textId="77777777" w:rsidR="004D6A64" w:rsidRDefault="004D6A64">
            <w:pPr>
              <w:rPr>
                <w:rFonts w:ascii="宋体"/>
              </w:rPr>
            </w:pPr>
          </w:p>
        </w:tc>
      </w:tr>
    </w:tbl>
    <w:p w14:paraId="33DAF99E" w14:textId="77777777" w:rsidR="004D6A64" w:rsidRDefault="004D6A64"/>
    <w:p w14:paraId="33DAF99F" w14:textId="77777777" w:rsidR="004D6A64" w:rsidRDefault="00506CD6">
      <w:r>
        <w:rPr>
          <w:rFonts w:ascii="Times New Roman" w:eastAsia="宋体" w:hAnsi="Times New Roman"/>
          <w:i/>
          <w:iCs/>
          <w:color w:val="000000"/>
          <w:sz w:val="20"/>
          <w:szCs w:val="20"/>
          <w:u w:val="single"/>
        </w:rPr>
        <w:t>Operating Activities</w:t>
      </w:r>
      <w:r>
        <w:rPr>
          <w:rFonts w:ascii="Times New Roman" w:eastAsia="宋体" w:hAnsi="Times New Roman"/>
          <w:color w:val="000000"/>
          <w:sz w:val="20"/>
          <w:szCs w:val="20"/>
        </w:rPr>
        <w:t> — Cash provided by operating activities was $2.5 billion for the first six months of Fiscal 2021 compared to $4.0 billion for the first six months of Fiscal 2020. The decrease in operating cash flows during the first six months of Fiscal 2021 was primaril</w:t>
      </w:r>
      <w:r>
        <w:rPr>
          <w:rFonts w:ascii="Times New Roman" w:eastAsia="宋体" w:hAnsi="Times New Roman"/>
          <w:color w:val="000000"/>
          <w:sz w:val="20"/>
          <w:szCs w:val="20"/>
        </w:rPr>
        <w:t xml:space="preserve">y attributable to unfavorable working capital impacts of an increase in inventory related to the COVID-19 pandemic and timing of purchases and payments to vendors. </w:t>
      </w:r>
    </w:p>
    <w:p w14:paraId="33DAF9A0" w14:textId="77777777" w:rsidR="004D6A64" w:rsidRDefault="004D6A64"/>
    <w:p w14:paraId="33DAF9A1" w14:textId="77777777" w:rsidR="004D6A64" w:rsidRDefault="00506CD6">
      <w:r>
        <w:rPr>
          <w:rFonts w:ascii="Times New Roman" w:eastAsia="宋体" w:hAnsi="Times New Roman"/>
          <w:color w:val="000000"/>
          <w:sz w:val="20"/>
          <w:szCs w:val="20"/>
        </w:rPr>
        <w:t>DFS offerings are initially funded through cash on hand at the time of origination, most o</w:t>
      </w:r>
      <w:r>
        <w:rPr>
          <w:rFonts w:ascii="Times New Roman" w:eastAsia="宋体" w:hAnsi="Times New Roman"/>
          <w:color w:val="000000"/>
          <w:sz w:val="20"/>
          <w:szCs w:val="20"/>
        </w:rPr>
        <w:t>f which is subsequently replaced with third-party financing. For DFS offerings which qualify as sales-type leases, the initial funding of financing receivables is reflected as an impact to cash flows from operations, and is largely subsequently offset by c</w:t>
      </w:r>
      <w:r>
        <w:rPr>
          <w:rFonts w:ascii="Times New Roman" w:eastAsia="宋体" w:hAnsi="Times New Roman"/>
          <w:color w:val="000000"/>
          <w:sz w:val="20"/>
          <w:szCs w:val="20"/>
        </w:rPr>
        <w:t>ash proceeds from financing. For DFS operating leases, which have increased under the current leasing standard, the initial funding is classified as a capital expenditure and reflected as cash flows used in investing activities. DFS new financing originati</w:t>
      </w:r>
      <w:r>
        <w:rPr>
          <w:rFonts w:ascii="Times New Roman" w:eastAsia="宋体" w:hAnsi="Times New Roman"/>
          <w:color w:val="000000"/>
          <w:sz w:val="20"/>
          <w:szCs w:val="20"/>
        </w:rPr>
        <w:t xml:space="preserve">ons were $4.4 billion and $3.7 billion during the first six months of Fiscal 2021 and Fiscal 2020, respectively. As of July 31, 2020, DFS had $10.2 billion of total net financing receivables and $1.2 billion of equipment under DFS operating leases, net. </w:t>
      </w:r>
    </w:p>
    <w:p w14:paraId="33DAF9A2" w14:textId="77777777" w:rsidR="004D6A64" w:rsidRDefault="004D6A64"/>
    <w:p w14:paraId="33DAF9A3" w14:textId="77777777" w:rsidR="004D6A64" w:rsidRDefault="00506CD6">
      <w:r>
        <w:rPr>
          <w:rFonts w:ascii="Times New Roman" w:eastAsia="宋体" w:hAnsi="Times New Roman"/>
          <w:i/>
          <w:iCs/>
          <w:color w:val="000000"/>
          <w:sz w:val="20"/>
          <w:szCs w:val="20"/>
          <w:u w:val="single"/>
        </w:rPr>
        <w:t>Investing Activities</w:t>
      </w:r>
      <w:r>
        <w:rPr>
          <w:rFonts w:ascii="Times New Roman" w:eastAsia="宋体" w:hAnsi="Times New Roman"/>
          <w:i/>
          <w:iCs/>
          <w:color w:val="000000"/>
          <w:sz w:val="20"/>
          <w:szCs w:val="20"/>
        </w:rPr>
        <w:t> —</w:t>
      </w:r>
      <w:r>
        <w:rPr>
          <w:rFonts w:ascii="Times New Roman" w:eastAsia="宋体" w:hAnsi="Times New Roman"/>
          <w:color w:val="000000"/>
          <w:sz w:val="20"/>
          <w:szCs w:val="20"/>
        </w:rPr>
        <w:t xml:space="preserve"> Investing activities primarily consist of cash used to fund capital expenditures for property, plant, and equipment, which includes equipment under DFS operating leases, capitalized software development costs, strategic investments, </w:t>
      </w:r>
      <w:r>
        <w:rPr>
          <w:rFonts w:ascii="Times New Roman" w:eastAsia="宋体" w:hAnsi="Times New Roman"/>
          <w:color w:val="000000"/>
          <w:sz w:val="20"/>
          <w:szCs w:val="20"/>
        </w:rPr>
        <w:t>and the maturities, sales, and purchases of investments. During the first six months of Fiscal 2021, cash used in investing activities was $1.4 billion and was primarily driven by capital expenditures and acquisitions of businesses. In comparison, cash use</w:t>
      </w:r>
      <w:r>
        <w:rPr>
          <w:rFonts w:ascii="Times New Roman" w:eastAsia="宋体" w:hAnsi="Times New Roman"/>
          <w:color w:val="000000"/>
          <w:sz w:val="20"/>
          <w:szCs w:val="20"/>
        </w:rPr>
        <w:t>d in investing activities was $1.3 billion during the first six months of Fiscal 2020 and was primarily driven by capital expenditures and acquisitions of businesses, which were partially offset by net cash proceeds from the net sales of strategic investme</w:t>
      </w:r>
      <w:r>
        <w:rPr>
          <w:rFonts w:ascii="Times New Roman" w:eastAsia="宋体" w:hAnsi="Times New Roman"/>
          <w:color w:val="000000"/>
          <w:sz w:val="20"/>
          <w:szCs w:val="20"/>
        </w:rPr>
        <w:t xml:space="preserve">nts. </w:t>
      </w:r>
    </w:p>
    <w:p w14:paraId="33DAF9A4" w14:textId="77777777" w:rsidR="004D6A64" w:rsidRDefault="004D6A64"/>
    <w:p w14:paraId="33DAF9A5" w14:textId="77777777" w:rsidR="004D6A64" w:rsidRDefault="00506CD6">
      <w:r>
        <w:rPr>
          <w:rFonts w:ascii="Times New Roman" w:eastAsia="宋体" w:hAnsi="Times New Roman"/>
          <w:i/>
          <w:iCs/>
          <w:color w:val="000000"/>
          <w:sz w:val="20"/>
          <w:szCs w:val="20"/>
          <w:u w:val="single"/>
        </w:rPr>
        <w:t>Financing Activities</w:t>
      </w:r>
      <w:r>
        <w:rPr>
          <w:rFonts w:ascii="Times New Roman" w:eastAsia="宋体" w:hAnsi="Times New Roman"/>
          <w:color w:val="000000"/>
          <w:sz w:val="20"/>
          <w:szCs w:val="20"/>
        </w:rPr>
        <w:t xml:space="preserve"> — Financing activities primarily consist of the proceeds and repayments of debt, cash used to repurchase common stock, and proceeds from the issuance of common stock. Cash provided by financing activities of $0.8 billion during </w:t>
      </w:r>
      <w:r>
        <w:rPr>
          <w:rFonts w:ascii="Times New Roman" w:eastAsia="宋体" w:hAnsi="Times New Roman"/>
          <w:color w:val="000000"/>
          <w:sz w:val="20"/>
          <w:szCs w:val="20"/>
        </w:rPr>
        <w:t>the first six months of Fiscal 2021 primarily consisted of cash proceeds from the issuances of multiple series of First Lien Notes and VMware Notes, partially offset by debt repayments and repurchases of common stock by our public subsidiaries. In comparis</w:t>
      </w:r>
      <w:r>
        <w:rPr>
          <w:rFonts w:ascii="Times New Roman" w:eastAsia="宋体" w:hAnsi="Times New Roman"/>
          <w:color w:val="000000"/>
          <w:sz w:val="20"/>
          <w:szCs w:val="20"/>
        </w:rPr>
        <w:t>on, cash used in financing activities of $2.9 billion during the first six months of Fiscal 2020 primarily consisted of repayments of debt and repurchases of common stock by our public subsidiaries.</w:t>
      </w:r>
    </w:p>
    <w:p w14:paraId="33DAF9A6" w14:textId="77777777" w:rsidR="004D6A64" w:rsidRDefault="004D6A64"/>
    <w:p w14:paraId="33DAF9A7" w14:textId="77777777" w:rsidR="004D6A64" w:rsidRDefault="00506CD6">
      <w:r>
        <w:rPr>
          <w:rFonts w:ascii="Times New Roman" w:eastAsia="宋体" w:hAnsi="Times New Roman"/>
          <w:b/>
          <w:bCs/>
          <w:color w:val="000000"/>
          <w:sz w:val="20"/>
          <w:szCs w:val="20"/>
        </w:rPr>
        <w:t>Capital Commitments</w:t>
      </w:r>
    </w:p>
    <w:p w14:paraId="33DAF9A8" w14:textId="77777777" w:rsidR="004D6A64" w:rsidRDefault="004D6A64"/>
    <w:p w14:paraId="33DAF9A9" w14:textId="77777777" w:rsidR="004D6A64" w:rsidRDefault="00506CD6">
      <w:r>
        <w:rPr>
          <w:rFonts w:ascii="Times New Roman" w:eastAsia="宋体" w:hAnsi="Times New Roman"/>
          <w:i/>
          <w:iCs/>
          <w:color w:val="000000"/>
          <w:sz w:val="20"/>
          <w:szCs w:val="20"/>
          <w:u w:val="single"/>
        </w:rPr>
        <w:t>Capital Expenditures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During the f</w:t>
      </w:r>
      <w:r>
        <w:rPr>
          <w:rFonts w:ascii="Times New Roman" w:eastAsia="宋体" w:hAnsi="Times New Roman"/>
          <w:color w:val="000000"/>
          <w:sz w:val="20"/>
          <w:szCs w:val="20"/>
        </w:rPr>
        <w:t>irst six months of Fiscal 2021 and Fiscal 2020, we spent $1.0 billion and $1.1 billion, respectively, on property, plant, and equipment. These expenditures were incurred in connection with our global expansion efforts and infrastructure investments made to</w:t>
      </w:r>
      <w:r>
        <w:rPr>
          <w:rFonts w:ascii="Times New Roman" w:eastAsia="宋体" w:hAnsi="Times New Roman"/>
          <w:color w:val="000000"/>
          <w:sz w:val="20"/>
          <w:szCs w:val="20"/>
        </w:rPr>
        <w:t xml:space="preserve"> support future growth, and the funding of equipment under DFS operating leases. During the first six months of Fiscal 2021 and Fiscal 2020, funding of gross equipment under DFS operating leases was $0.4 billion and $0.5 billion, respectively. Product dema</w:t>
      </w:r>
      <w:r>
        <w:rPr>
          <w:rFonts w:ascii="Times New Roman" w:eastAsia="宋体" w:hAnsi="Times New Roman"/>
          <w:color w:val="000000"/>
          <w:sz w:val="20"/>
          <w:szCs w:val="20"/>
        </w:rPr>
        <w:t>nd, product mix, and the use of contract manufacturers, as well as ongoing investments in operating and information technology infrastructure, influence the level and prioritization of our capital expenditures. Aggregate capital expenditures for Fiscal 202</w:t>
      </w:r>
      <w:r>
        <w:rPr>
          <w:rFonts w:ascii="Times New Roman" w:eastAsia="宋体" w:hAnsi="Times New Roman"/>
          <w:color w:val="000000"/>
          <w:sz w:val="20"/>
          <w:szCs w:val="20"/>
        </w:rPr>
        <w:t xml:space="preserve">1 are currently expected to total between $2.2 billion and $2.3 billion, of which approximately $1.0 billion is expected for equipment under DFS operating leases. </w:t>
      </w:r>
    </w:p>
    <w:p w14:paraId="33DAF9AA" w14:textId="77777777" w:rsidR="004D6A64" w:rsidRDefault="004D6A64"/>
    <w:p w14:paraId="33DAF9AB" w14:textId="77777777" w:rsidR="004D6A64" w:rsidRDefault="004D6A64">
      <w:pPr>
        <w:jc w:val="center"/>
      </w:pPr>
    </w:p>
    <w:p w14:paraId="33DAF9AC" w14:textId="77777777" w:rsidR="004D6A64" w:rsidRDefault="00506CD6">
      <w:pPr>
        <w:jc w:val="center"/>
      </w:pPr>
      <w:r>
        <w:rPr>
          <w:rFonts w:ascii="Times New Roman" w:eastAsia="宋体" w:hAnsi="Times New Roman"/>
          <w:color w:val="000000"/>
          <w:sz w:val="20"/>
          <w:szCs w:val="20"/>
        </w:rPr>
        <w:t>92</w:t>
      </w:r>
    </w:p>
    <w:p w14:paraId="33DAF9AD" w14:textId="77777777" w:rsidR="004D6A64" w:rsidRDefault="004D6A64">
      <w:pPr>
        <w:jc w:val="center"/>
      </w:pPr>
    </w:p>
    <w:p w14:paraId="33DAF9AE" w14:textId="77777777" w:rsidR="004D6A64" w:rsidRDefault="00506CD6">
      <w:r>
        <w:pict w14:anchorId="33DAFB20">
          <v:rect id="_x0000_i1116" style="width:415.3pt;height:1.5pt" o:hralign="center" o:hrstd="t" o:hr="t" fillcolor="#a0a0a0" stroked="f"/>
        </w:pict>
      </w:r>
    </w:p>
    <w:p w14:paraId="33DAF9AF" w14:textId="77777777" w:rsidR="004D6A64" w:rsidRDefault="00506CD6">
      <w:hyperlink r:id="rId215" w:anchor="if3e0e1bf9ecd4bf69551d7a85f98d64a_10" w:history="1">
        <w:r>
          <w:rPr>
            <w:rStyle w:val="a5"/>
            <w:rFonts w:ascii="Times New Roman" w:eastAsia="宋体" w:hAnsi="Times New Roman"/>
            <w:sz w:val="20"/>
            <w:szCs w:val="20"/>
          </w:rPr>
          <w:t>Table of Contents</w:t>
        </w:r>
      </w:hyperlink>
    </w:p>
    <w:p w14:paraId="33DAF9B0" w14:textId="77777777" w:rsidR="004D6A64" w:rsidRDefault="00506CD6">
      <w:r>
        <w:rPr>
          <w:rFonts w:ascii="Times New Roman" w:eastAsia="宋体" w:hAnsi="Times New Roman"/>
          <w:i/>
          <w:iCs/>
          <w:color w:val="000000"/>
          <w:sz w:val="20"/>
          <w:szCs w:val="20"/>
          <w:u w:val="single"/>
        </w:rPr>
        <w:t>Purchase Obligations</w:t>
      </w:r>
      <w:r>
        <w:rPr>
          <w:rFonts w:ascii="Times New Roman" w:eastAsia="宋体" w:hAnsi="Times New Roman"/>
          <w:color w:val="000000"/>
          <w:sz w:val="20"/>
          <w:szCs w:val="20"/>
        </w:rPr>
        <w:t> — Purchase obligations are defined as contractual obligations to purchase goods or services that are enforceable and legally binding on us. These o</w:t>
      </w:r>
      <w:r>
        <w:rPr>
          <w:rFonts w:ascii="Times New Roman" w:eastAsia="宋体" w:hAnsi="Times New Roman"/>
          <w:color w:val="000000"/>
          <w:sz w:val="20"/>
          <w:szCs w:val="20"/>
        </w:rPr>
        <w:t>bligations specify all significant terms, including fixed or minimum quantities to be purchased; fixed, minimum, or variable price provisions; and the approximate timing of the transaction. Purchase obligations do not include contracts that may be canceled</w:t>
      </w:r>
      <w:r>
        <w:rPr>
          <w:rFonts w:ascii="Times New Roman" w:eastAsia="宋体" w:hAnsi="Times New Roman"/>
          <w:color w:val="000000"/>
          <w:sz w:val="20"/>
          <w:szCs w:val="20"/>
        </w:rPr>
        <w:t xml:space="preserve"> without penalty. </w:t>
      </w:r>
    </w:p>
    <w:p w14:paraId="33DAF9B1" w14:textId="77777777" w:rsidR="004D6A64" w:rsidRDefault="004D6A64"/>
    <w:p w14:paraId="33DAF9B2" w14:textId="77777777" w:rsidR="004D6A64" w:rsidRDefault="00506CD6">
      <w:r>
        <w:rPr>
          <w:rFonts w:ascii="Times New Roman" w:eastAsia="宋体" w:hAnsi="Times New Roman"/>
          <w:color w:val="000000"/>
          <w:sz w:val="20"/>
          <w:szCs w:val="20"/>
        </w:rPr>
        <w:t>We utilize several suppliers to manufacture sub-assemblies for our products. Our efficient supply chain management allows us to enter into flexible and mutually beneficial purchase arrangements with our suppliers in order to minimize in</w:t>
      </w:r>
      <w:r>
        <w:rPr>
          <w:rFonts w:ascii="Times New Roman" w:eastAsia="宋体" w:hAnsi="Times New Roman"/>
          <w:color w:val="000000"/>
          <w:sz w:val="20"/>
          <w:szCs w:val="20"/>
        </w:rPr>
        <w:t>ventory risk. Consistent with industry practice, we acquire raw materials or other goods and services, including product components, by issuing to suppliers authorizations to purchase based on our projected demand and manufacturing needs. These purchase or</w:t>
      </w:r>
      <w:r>
        <w:rPr>
          <w:rFonts w:ascii="Times New Roman" w:eastAsia="宋体" w:hAnsi="Times New Roman"/>
          <w:color w:val="000000"/>
          <w:sz w:val="20"/>
          <w:szCs w:val="20"/>
        </w:rPr>
        <w:t>ders are typically fulfilled within 30 days and are entered into during the ordinary course of business in order to establish best pricing and continuity of supply for our production.</w:t>
      </w:r>
    </w:p>
    <w:p w14:paraId="33DAF9B3" w14:textId="77777777" w:rsidR="004D6A64" w:rsidRDefault="004D6A64">
      <w:pPr>
        <w:spacing w:after="120"/>
      </w:pPr>
    </w:p>
    <w:p w14:paraId="33DAF9B4" w14:textId="77777777" w:rsidR="004D6A64" w:rsidRDefault="004D6A64">
      <w:pPr>
        <w:jc w:val="center"/>
      </w:pPr>
    </w:p>
    <w:p w14:paraId="33DAF9B5" w14:textId="77777777" w:rsidR="004D6A64" w:rsidRDefault="00506CD6">
      <w:pPr>
        <w:jc w:val="center"/>
      </w:pPr>
      <w:r>
        <w:rPr>
          <w:rFonts w:ascii="Times New Roman" w:eastAsia="宋体" w:hAnsi="Times New Roman"/>
          <w:color w:val="000000"/>
          <w:sz w:val="20"/>
          <w:szCs w:val="20"/>
        </w:rPr>
        <w:t>93</w:t>
      </w:r>
    </w:p>
    <w:p w14:paraId="33DAF9B6" w14:textId="77777777" w:rsidR="004D6A64" w:rsidRDefault="004D6A64">
      <w:pPr>
        <w:jc w:val="center"/>
      </w:pPr>
    </w:p>
    <w:p w14:paraId="33DAF9B7" w14:textId="77777777" w:rsidR="004D6A64" w:rsidRDefault="00506CD6">
      <w:r>
        <w:pict w14:anchorId="33DAFB21">
          <v:rect id="_x0000_i1117" style="width:415.3pt;height:1.5pt" o:hralign="center" o:hrstd="t" o:hr="t" fillcolor="#a0a0a0" stroked="f"/>
        </w:pict>
      </w:r>
    </w:p>
    <w:p w14:paraId="33DAF9B8" w14:textId="77777777" w:rsidR="004D6A64" w:rsidRDefault="00506CD6">
      <w:hyperlink r:id="rId216" w:anchor="if3e0e1bf9ecd4bf69551d7a85f98d64a_10" w:history="1">
        <w:r>
          <w:rPr>
            <w:rStyle w:val="a5"/>
            <w:rFonts w:ascii="Times New Roman" w:eastAsia="宋体" w:hAnsi="Times New Roman"/>
            <w:sz w:val="20"/>
            <w:szCs w:val="20"/>
          </w:rPr>
          <w:t>Table of Contents</w:t>
        </w:r>
      </w:hyperlink>
    </w:p>
    <w:p w14:paraId="33DAF9B9" w14:textId="77777777" w:rsidR="004D6A64" w:rsidRDefault="00506CD6">
      <w:r>
        <w:rPr>
          <w:rFonts w:ascii="Times New Roman" w:eastAsia="宋体" w:hAnsi="Times New Roman"/>
          <w:b/>
          <w:bCs/>
          <w:color w:val="000000"/>
          <w:sz w:val="20"/>
          <w:szCs w:val="20"/>
        </w:rPr>
        <w:t>ITEM 3 — QUANTITATIVE AND QUALITATIVE DISCLOSURES ABOUT MARKET RISK</w:t>
      </w:r>
    </w:p>
    <w:p w14:paraId="33DAF9BA" w14:textId="77777777" w:rsidR="004D6A64" w:rsidRDefault="004D6A64"/>
    <w:p w14:paraId="33DAF9BB" w14:textId="77777777" w:rsidR="004D6A64" w:rsidRDefault="00506CD6">
      <w:r>
        <w:rPr>
          <w:rFonts w:ascii="Times New Roman" w:eastAsia="宋体" w:hAnsi="Times New Roman"/>
          <w:color w:val="000000"/>
          <w:sz w:val="20"/>
          <w:szCs w:val="20"/>
        </w:rPr>
        <w:t xml:space="preserve">For quantitative and qualitative disclosures about market risk </w:t>
      </w:r>
      <w:r>
        <w:rPr>
          <w:rFonts w:ascii="Times New Roman" w:eastAsia="宋体" w:hAnsi="Times New Roman"/>
          <w:color w:val="000000"/>
          <w:sz w:val="20"/>
          <w:szCs w:val="20"/>
        </w:rPr>
        <w:t xml:space="preserve">affecting us, see “Part II — Item 7A — Quantitative and Qualitative Disclosures About Market Risk” in our Annual Report on Form 10-K for the fiscal year ended January 31, 2020. Our exposure to market risks has not changed materially from that set forth in </w:t>
      </w:r>
      <w:r>
        <w:rPr>
          <w:rFonts w:ascii="Times New Roman" w:eastAsia="宋体" w:hAnsi="Times New Roman"/>
          <w:color w:val="000000"/>
          <w:sz w:val="20"/>
          <w:szCs w:val="20"/>
        </w:rPr>
        <w:t>our Annual Report.</w:t>
      </w:r>
    </w:p>
    <w:p w14:paraId="33DAF9BC" w14:textId="77777777" w:rsidR="004D6A64" w:rsidRDefault="004D6A64"/>
    <w:p w14:paraId="33DAF9BD" w14:textId="77777777" w:rsidR="004D6A64" w:rsidRDefault="00506CD6">
      <w:r>
        <w:rPr>
          <w:rFonts w:ascii="Times New Roman" w:eastAsia="宋体" w:hAnsi="Times New Roman"/>
          <w:b/>
          <w:bCs/>
          <w:color w:val="000000"/>
          <w:sz w:val="20"/>
          <w:szCs w:val="20"/>
        </w:rPr>
        <w:t>ITEM 4 — CONTROLS AND PROCEDURES</w:t>
      </w:r>
    </w:p>
    <w:p w14:paraId="33DAF9BE" w14:textId="77777777" w:rsidR="004D6A64" w:rsidRDefault="004D6A64"/>
    <w:p w14:paraId="33DAF9BF" w14:textId="77777777" w:rsidR="004D6A64" w:rsidRDefault="00506CD6">
      <w:r>
        <w:rPr>
          <w:rFonts w:ascii="Times New Roman" w:eastAsia="宋体" w:hAnsi="Times New Roman"/>
          <w:color w:val="000000"/>
          <w:sz w:val="20"/>
          <w:szCs w:val="20"/>
        </w:rPr>
        <w:t>This report includes the certifications of our Chief Executive Officer and Chief Financial Officer required by Rule 13a-14 under the Securities Exchange Act of 1934 (the “Exchange Act”). See Exhibits 31</w:t>
      </w:r>
      <w:r>
        <w:rPr>
          <w:rFonts w:ascii="Times New Roman" w:eastAsia="宋体" w:hAnsi="Times New Roman"/>
          <w:color w:val="000000"/>
          <w:sz w:val="20"/>
          <w:szCs w:val="20"/>
        </w:rPr>
        <w:t>.1 and 31.2 filed with this report. This Item 4 includes information concerning the controls and control evaluations referred to in those certifications.</w:t>
      </w:r>
    </w:p>
    <w:p w14:paraId="33DAF9C0" w14:textId="77777777" w:rsidR="004D6A64" w:rsidRDefault="004D6A64"/>
    <w:p w14:paraId="33DAF9C1" w14:textId="77777777" w:rsidR="004D6A64" w:rsidRDefault="00506CD6">
      <w:r>
        <w:rPr>
          <w:rFonts w:ascii="Times New Roman" w:eastAsia="宋体" w:hAnsi="Times New Roman"/>
          <w:b/>
          <w:bCs/>
          <w:color w:val="000000"/>
          <w:sz w:val="20"/>
          <w:szCs w:val="20"/>
        </w:rPr>
        <w:t>Evaluation of Disclosure Controls and Procedures</w:t>
      </w:r>
    </w:p>
    <w:p w14:paraId="33DAF9C2" w14:textId="77777777" w:rsidR="004D6A64" w:rsidRDefault="004D6A64"/>
    <w:p w14:paraId="33DAF9C3" w14:textId="77777777" w:rsidR="004D6A64" w:rsidRDefault="00506CD6">
      <w:r>
        <w:rPr>
          <w:rFonts w:ascii="Times New Roman" w:eastAsia="宋体" w:hAnsi="Times New Roman"/>
          <w:color w:val="000000"/>
          <w:sz w:val="20"/>
          <w:szCs w:val="20"/>
        </w:rPr>
        <w:t>Disclosure controls and procedures (as defined in R</w:t>
      </w:r>
      <w:r>
        <w:rPr>
          <w:rFonts w:ascii="Times New Roman" w:eastAsia="宋体" w:hAnsi="Times New Roman"/>
          <w:color w:val="000000"/>
          <w:sz w:val="20"/>
          <w:szCs w:val="20"/>
        </w:rPr>
        <w:t>ules 13a-15(e) and 15d-15(e) under the Exchange Act) are designed to provide reasonable assurance that information required to be disclosed in reports filed or submitted under the Exchange Act is recorded, processed, summarized, and reported within the tim</w:t>
      </w:r>
      <w:r>
        <w:rPr>
          <w:rFonts w:ascii="Times New Roman" w:eastAsia="宋体" w:hAnsi="Times New Roman"/>
          <w:color w:val="000000"/>
          <w:sz w:val="20"/>
          <w:szCs w:val="20"/>
        </w:rPr>
        <w:t>e periods specified in SEC rules and forms and that such information is accumulated and communicated to management, including the Chief Executive Officer and the Chief Financial Officer, as appropriate to allow timely decisions regarding required disclosur</w:t>
      </w:r>
      <w:r>
        <w:rPr>
          <w:rFonts w:ascii="Times New Roman" w:eastAsia="宋体" w:hAnsi="Times New Roman"/>
          <w:color w:val="000000"/>
          <w:sz w:val="20"/>
          <w:szCs w:val="20"/>
        </w:rPr>
        <w:t>es.</w:t>
      </w:r>
    </w:p>
    <w:p w14:paraId="33DAF9C4" w14:textId="77777777" w:rsidR="004D6A64" w:rsidRDefault="004D6A64"/>
    <w:p w14:paraId="33DAF9C5" w14:textId="77777777" w:rsidR="004D6A64" w:rsidRDefault="00506CD6">
      <w:r>
        <w:rPr>
          <w:rFonts w:ascii="Times New Roman" w:eastAsia="宋体" w:hAnsi="Times New Roman"/>
          <w:color w:val="000000"/>
          <w:sz w:val="20"/>
          <w:szCs w:val="20"/>
        </w:rPr>
        <w:t>In connection with the preparation of this report, our management, under the supervision and with the participation of our Chief Executive Officer and Chief Financial Officer, conducted an evaluation of the effectiveness of the design and operation of</w:t>
      </w:r>
      <w:r>
        <w:rPr>
          <w:rFonts w:ascii="Times New Roman" w:eastAsia="宋体" w:hAnsi="Times New Roman"/>
          <w:color w:val="000000"/>
          <w:sz w:val="20"/>
          <w:szCs w:val="20"/>
        </w:rPr>
        <w:t xml:space="preserve"> our disclosure controls and procedures as of July 31, 2020. Based on that evaluation, our Chief Executive Officer and Chief Financial Officer have concluded that our disclosure controls and procedures were effective at the reasonable assurance level as of</w:t>
      </w:r>
      <w:r>
        <w:rPr>
          <w:rFonts w:ascii="Times New Roman" w:eastAsia="宋体" w:hAnsi="Times New Roman"/>
          <w:color w:val="000000"/>
          <w:sz w:val="20"/>
          <w:szCs w:val="20"/>
        </w:rPr>
        <w:t xml:space="preserve"> July 31, 2020.</w:t>
      </w:r>
    </w:p>
    <w:p w14:paraId="33DAF9C6" w14:textId="77777777" w:rsidR="004D6A64" w:rsidRDefault="004D6A64"/>
    <w:p w14:paraId="33DAF9C7" w14:textId="77777777" w:rsidR="004D6A64" w:rsidRDefault="00506CD6">
      <w:r>
        <w:rPr>
          <w:rFonts w:ascii="Times New Roman" w:eastAsia="宋体" w:hAnsi="Times New Roman"/>
          <w:b/>
          <w:bCs/>
          <w:color w:val="000000"/>
          <w:sz w:val="20"/>
          <w:szCs w:val="20"/>
        </w:rPr>
        <w:t>Changes in Internal Control Over Financial Reporting</w:t>
      </w:r>
    </w:p>
    <w:p w14:paraId="33DAF9C8" w14:textId="77777777" w:rsidR="004D6A64" w:rsidRDefault="004D6A64"/>
    <w:p w14:paraId="33DAF9C9" w14:textId="77777777" w:rsidR="004D6A64" w:rsidRDefault="00506CD6">
      <w:r>
        <w:rPr>
          <w:rFonts w:ascii="Times New Roman" w:eastAsia="宋体" w:hAnsi="Times New Roman"/>
          <w:color w:val="000000"/>
          <w:sz w:val="20"/>
          <w:szCs w:val="20"/>
        </w:rPr>
        <w:t>There were no changes in our internal control over financial reporting during the fiscal quarter ended July 31, 2020 that have materially affected, or are reasonably likely to materiall</w:t>
      </w:r>
      <w:r>
        <w:rPr>
          <w:rFonts w:ascii="Times New Roman" w:eastAsia="宋体" w:hAnsi="Times New Roman"/>
          <w:color w:val="000000"/>
          <w:sz w:val="20"/>
          <w:szCs w:val="20"/>
        </w:rPr>
        <w:t>y affect, our internal control over financial reporting. We have not experienced any material impact to our internal control over financial reporting. Most of our employees are working remotely for their health and safety during the COVID-19 pandemic. We a</w:t>
      </w:r>
      <w:r>
        <w:rPr>
          <w:rFonts w:ascii="Times New Roman" w:eastAsia="宋体" w:hAnsi="Times New Roman"/>
          <w:color w:val="000000"/>
          <w:sz w:val="20"/>
          <w:szCs w:val="20"/>
        </w:rPr>
        <w:t>re continually monitoring and assessing the potential impact of COVID-19 on our internal controls to minimize the impact on their design and operating effectiveness.</w:t>
      </w:r>
    </w:p>
    <w:p w14:paraId="33DAF9CA" w14:textId="77777777" w:rsidR="004D6A64" w:rsidRDefault="004D6A64">
      <w:pPr>
        <w:jc w:val="center"/>
      </w:pPr>
    </w:p>
    <w:p w14:paraId="33DAF9CB" w14:textId="77777777" w:rsidR="004D6A64" w:rsidRDefault="00506CD6">
      <w:pPr>
        <w:jc w:val="center"/>
      </w:pPr>
      <w:r>
        <w:rPr>
          <w:rFonts w:ascii="Times New Roman" w:eastAsia="宋体" w:hAnsi="Times New Roman"/>
          <w:color w:val="000000"/>
          <w:sz w:val="20"/>
          <w:szCs w:val="20"/>
        </w:rPr>
        <w:t>94</w:t>
      </w:r>
    </w:p>
    <w:p w14:paraId="33DAF9CC" w14:textId="77777777" w:rsidR="004D6A64" w:rsidRDefault="004D6A64">
      <w:pPr>
        <w:jc w:val="center"/>
      </w:pPr>
    </w:p>
    <w:p w14:paraId="33DAF9CD" w14:textId="77777777" w:rsidR="004D6A64" w:rsidRDefault="00506CD6">
      <w:r>
        <w:pict w14:anchorId="33DAFB22">
          <v:rect id="_x0000_i1118" style="width:415.3pt;height:1.5pt" o:hralign="center" o:hrstd="t" o:hr="t" fillcolor="#a0a0a0" stroked="f"/>
        </w:pict>
      </w:r>
    </w:p>
    <w:p w14:paraId="33DAF9CE" w14:textId="77777777" w:rsidR="004D6A64" w:rsidRDefault="00506CD6">
      <w:hyperlink r:id="rId217" w:anchor="if3e0e1bf9ecd4bf69551d7a85f98d64a_10" w:history="1">
        <w:r>
          <w:rPr>
            <w:rStyle w:val="a5"/>
            <w:rFonts w:ascii="Times New Roman" w:eastAsia="宋体" w:hAnsi="Times New Roman"/>
            <w:sz w:val="20"/>
            <w:szCs w:val="20"/>
          </w:rPr>
          <w:t>Table of Contents</w:t>
        </w:r>
      </w:hyperlink>
    </w:p>
    <w:p w14:paraId="33DAF9CF" w14:textId="77777777" w:rsidR="004D6A64" w:rsidRDefault="00506CD6">
      <w:pPr>
        <w:jc w:val="center"/>
      </w:pPr>
      <w:r>
        <w:rPr>
          <w:rFonts w:ascii="Times New Roman" w:eastAsia="宋体" w:hAnsi="Times New Roman"/>
          <w:b/>
          <w:bCs/>
          <w:color w:val="000000"/>
          <w:sz w:val="20"/>
          <w:szCs w:val="20"/>
        </w:rPr>
        <w:t>PART II — OTHER INFORMATION</w:t>
      </w:r>
    </w:p>
    <w:p w14:paraId="33DAF9D0" w14:textId="77777777" w:rsidR="004D6A64" w:rsidRDefault="004D6A64">
      <w:pPr>
        <w:jc w:val="center"/>
      </w:pPr>
    </w:p>
    <w:p w14:paraId="33DAF9D1" w14:textId="77777777" w:rsidR="004D6A64" w:rsidRDefault="00506CD6">
      <w:r>
        <w:rPr>
          <w:rFonts w:ascii="Times New Roman" w:eastAsia="宋体" w:hAnsi="Times New Roman"/>
          <w:b/>
          <w:bCs/>
          <w:color w:val="000000"/>
          <w:sz w:val="20"/>
          <w:szCs w:val="20"/>
        </w:rPr>
        <w:t>ITEM 1 — LEGAL PROCEEDINGS</w:t>
      </w:r>
    </w:p>
    <w:p w14:paraId="33DAF9D2" w14:textId="77777777" w:rsidR="004D6A64" w:rsidRDefault="004D6A64"/>
    <w:p w14:paraId="33DAF9D3" w14:textId="77777777" w:rsidR="004D6A64" w:rsidRDefault="00506CD6">
      <w:r>
        <w:rPr>
          <w:rFonts w:ascii="Times New Roman" w:eastAsia="宋体" w:hAnsi="Times New Roman"/>
          <w:color w:val="000000"/>
          <w:sz w:val="20"/>
          <w:szCs w:val="20"/>
          <w:shd w:val="clear" w:color="auto" w:fill="FFFFFF"/>
        </w:rPr>
        <w:t>The information required by this item is incorporated herein by reference to the information set forth under t</w:t>
      </w:r>
      <w:r>
        <w:rPr>
          <w:rFonts w:ascii="Times New Roman" w:eastAsia="宋体" w:hAnsi="Times New Roman"/>
          <w:color w:val="000000"/>
          <w:sz w:val="20"/>
          <w:szCs w:val="20"/>
          <w:shd w:val="clear" w:color="auto" w:fill="FFFFFF"/>
        </w:rPr>
        <w:t xml:space="preserve">he caption “Legal Matters” in Note 10 of the </w:t>
      </w:r>
      <w:r>
        <w:rPr>
          <w:rFonts w:ascii="Times New Roman" w:eastAsia="宋体" w:hAnsi="Times New Roman"/>
          <w:color w:val="000000"/>
          <w:sz w:val="20"/>
          <w:szCs w:val="20"/>
        </w:rPr>
        <w:t>Notes to the Condensed Consolidated Financial Statements</w:t>
      </w:r>
      <w:r>
        <w:rPr>
          <w:rFonts w:ascii="Times New Roman" w:eastAsia="宋体" w:hAnsi="Times New Roman"/>
          <w:color w:val="000000"/>
          <w:sz w:val="20"/>
          <w:szCs w:val="20"/>
          <w:shd w:val="clear" w:color="auto" w:fill="FFFFFF"/>
        </w:rPr>
        <w:t xml:space="preserve"> included in this report.</w:t>
      </w:r>
    </w:p>
    <w:p w14:paraId="33DAF9D4" w14:textId="77777777" w:rsidR="004D6A64" w:rsidRDefault="004D6A64"/>
    <w:p w14:paraId="33DAF9D5" w14:textId="77777777" w:rsidR="004D6A64" w:rsidRDefault="00506CD6">
      <w:r>
        <w:rPr>
          <w:rFonts w:ascii="Times New Roman" w:eastAsia="宋体" w:hAnsi="Times New Roman"/>
          <w:b/>
          <w:bCs/>
          <w:color w:val="000000"/>
          <w:sz w:val="20"/>
          <w:szCs w:val="20"/>
        </w:rPr>
        <w:t>ITEM 1A — RISK FACTORS</w:t>
      </w:r>
    </w:p>
    <w:p w14:paraId="33DAF9D6" w14:textId="77777777" w:rsidR="004D6A64" w:rsidRDefault="004D6A64"/>
    <w:p w14:paraId="33DAF9D7" w14:textId="77777777" w:rsidR="004D6A64" w:rsidRDefault="00506CD6">
      <w:r>
        <w:rPr>
          <w:rFonts w:ascii="Times New Roman" w:eastAsia="宋体" w:hAnsi="Times New Roman"/>
          <w:color w:val="000000"/>
          <w:sz w:val="20"/>
          <w:szCs w:val="20"/>
        </w:rPr>
        <w:t xml:space="preserve">In addition to the other information set forth in this report, the risks discussed in “Part I — Item </w:t>
      </w:r>
      <w:r>
        <w:rPr>
          <w:rFonts w:ascii="Times New Roman" w:eastAsia="宋体" w:hAnsi="Times New Roman"/>
          <w:color w:val="000000"/>
          <w:sz w:val="20"/>
          <w:szCs w:val="20"/>
        </w:rPr>
        <w:t>1A — Risk Factors” in our Annual Report on Form 10-K for the fiscal year ended January 31, 2020 could materially affect our business, operating results, financial condition, or prospects. The risks described in our Annual Report on Form 10-K and our subseq</w:t>
      </w:r>
      <w:r>
        <w:rPr>
          <w:rFonts w:ascii="Times New Roman" w:eastAsia="宋体" w:hAnsi="Times New Roman"/>
          <w:color w:val="000000"/>
          <w:sz w:val="20"/>
          <w:szCs w:val="20"/>
        </w:rPr>
        <w:t>uent SEC reports are not the only risks facing us.  There are additional risks and uncertainties not currently known to us or that we currently deem to be immaterial that also may materially adversely affect our business, operating results, financial condi</w:t>
      </w:r>
      <w:r>
        <w:rPr>
          <w:rFonts w:ascii="Times New Roman" w:eastAsia="宋体" w:hAnsi="Times New Roman"/>
          <w:color w:val="000000"/>
          <w:sz w:val="20"/>
          <w:szCs w:val="20"/>
        </w:rPr>
        <w:t>tion, or prospects.</w:t>
      </w:r>
    </w:p>
    <w:p w14:paraId="33DAF9D8" w14:textId="77777777" w:rsidR="004D6A64" w:rsidRDefault="004D6A64"/>
    <w:p w14:paraId="33DAF9D9" w14:textId="77777777" w:rsidR="004D6A64" w:rsidRDefault="00506CD6">
      <w:r>
        <w:rPr>
          <w:rFonts w:ascii="Times New Roman" w:eastAsia="宋体" w:hAnsi="Times New Roman"/>
          <w:b/>
          <w:bCs/>
          <w:color w:val="000000"/>
          <w:sz w:val="20"/>
          <w:szCs w:val="20"/>
          <w:shd w:val="clear" w:color="auto" w:fill="FFFFFF"/>
        </w:rPr>
        <w:t>ITEM 2 — UNREGISTERED SALES OF EQUITY SECURITIES AND USE OF PROCEEDS</w:t>
      </w:r>
    </w:p>
    <w:p w14:paraId="33DAF9DA" w14:textId="77777777" w:rsidR="004D6A64" w:rsidRDefault="004D6A64"/>
    <w:p w14:paraId="33DAF9DB" w14:textId="77777777" w:rsidR="004D6A64" w:rsidRDefault="00506CD6">
      <w:r>
        <w:rPr>
          <w:rFonts w:ascii="Times New Roman" w:eastAsia="宋体" w:hAnsi="Times New Roman"/>
          <w:b/>
          <w:bCs/>
          <w:color w:val="000000"/>
          <w:sz w:val="20"/>
          <w:szCs w:val="20"/>
        </w:rPr>
        <w:t>Sales of Unregistered Securities</w:t>
      </w:r>
    </w:p>
    <w:p w14:paraId="33DAF9DC" w14:textId="77777777" w:rsidR="004D6A64" w:rsidRDefault="004D6A64"/>
    <w:p w14:paraId="33DAF9DD" w14:textId="77777777" w:rsidR="004D6A64" w:rsidRDefault="00506CD6">
      <w:r>
        <w:rPr>
          <w:rFonts w:ascii="Times New Roman" w:eastAsia="宋体" w:hAnsi="Times New Roman"/>
          <w:color w:val="000000"/>
          <w:sz w:val="20"/>
          <w:szCs w:val="20"/>
        </w:rPr>
        <w:t xml:space="preserve">During the second quarter of Fiscal 2021, we issued to employees an aggregate of 2,434 shares of the Class C Common Stock for an </w:t>
      </w:r>
      <w:r>
        <w:rPr>
          <w:rFonts w:ascii="Times New Roman" w:eastAsia="宋体" w:hAnsi="Times New Roman"/>
          <w:color w:val="000000"/>
          <w:sz w:val="20"/>
          <w:szCs w:val="20"/>
        </w:rPr>
        <w:t xml:space="preserve">immaterial amount pursuant to exercises of stock options granted under the Dell Inc. Amended and Restated 2002 Long-Term Incentive Plan. The foregoing transactions were effected without registration in reliance on the exemption from registration under the </w:t>
      </w:r>
      <w:r>
        <w:rPr>
          <w:rFonts w:ascii="Times New Roman" w:eastAsia="宋体" w:hAnsi="Times New Roman"/>
          <w:color w:val="000000"/>
          <w:sz w:val="20"/>
          <w:szCs w:val="20"/>
        </w:rPr>
        <w:t>Securities Act of 1933 afforded by Rule 701 thereunder as transactions pursuant to compensatory benefit plans or contracts relating to compensation as provided under such rule.</w:t>
      </w:r>
    </w:p>
    <w:p w14:paraId="33DAF9DE" w14:textId="77777777" w:rsidR="004D6A64" w:rsidRDefault="004D6A64"/>
    <w:p w14:paraId="33DAF9DF" w14:textId="77777777" w:rsidR="004D6A64" w:rsidRDefault="00506CD6">
      <w:r>
        <w:rPr>
          <w:rFonts w:ascii="Times New Roman" w:eastAsia="宋体" w:hAnsi="Times New Roman"/>
          <w:color w:val="000000"/>
          <w:sz w:val="20"/>
          <w:szCs w:val="20"/>
        </w:rPr>
        <w:t>During the second quarter of Fiscal 2021, we issued an aggregate of 72,727 sha</w:t>
      </w:r>
      <w:r>
        <w:rPr>
          <w:rFonts w:ascii="Times New Roman" w:eastAsia="宋体" w:hAnsi="Times New Roman"/>
          <w:color w:val="000000"/>
          <w:sz w:val="20"/>
          <w:szCs w:val="20"/>
        </w:rPr>
        <w:t>res of the Class C Common Stock upon conversion of the same number of shares of the Class A Common Stock. Under our certificate of incorporation, at any time and from time to time, any holder of Class A Common Stock has the right to convert all or any of t</w:t>
      </w:r>
      <w:r>
        <w:rPr>
          <w:rFonts w:ascii="Times New Roman" w:eastAsia="宋体" w:hAnsi="Times New Roman"/>
          <w:color w:val="000000"/>
          <w:sz w:val="20"/>
          <w:szCs w:val="20"/>
        </w:rPr>
        <w:t>he shares of Class A Common Stock held by such holder into shares of Class C Common Stock on a one-to-one basis. Each share of Class C Common Stock bears the same dividend and liquidation rights as one share of Class A Common Stock. The issuance of the sha</w:t>
      </w:r>
      <w:r>
        <w:rPr>
          <w:rFonts w:ascii="Times New Roman" w:eastAsia="宋体" w:hAnsi="Times New Roman"/>
          <w:color w:val="000000"/>
          <w:sz w:val="20"/>
          <w:szCs w:val="20"/>
        </w:rPr>
        <w:t xml:space="preserve">res of Class C Common Stock was made without registration in reliance on the exemption from registration under the Securities Act of 1933 afforded by Section 3(a)(9) thereof. No commission or other remuneration was paid or given directly or indirectly for </w:t>
      </w:r>
      <w:r>
        <w:rPr>
          <w:rFonts w:ascii="Times New Roman" w:eastAsia="宋体" w:hAnsi="Times New Roman"/>
          <w:color w:val="000000"/>
          <w:sz w:val="20"/>
          <w:szCs w:val="20"/>
        </w:rPr>
        <w:t>soliciting the exchange of such securities.</w:t>
      </w:r>
    </w:p>
    <w:p w14:paraId="33DAF9E0" w14:textId="77777777" w:rsidR="004D6A64" w:rsidRDefault="004D6A64">
      <w:pPr>
        <w:jc w:val="center"/>
      </w:pPr>
    </w:p>
    <w:p w14:paraId="33DAF9E1" w14:textId="77777777" w:rsidR="004D6A64" w:rsidRDefault="00506CD6">
      <w:pPr>
        <w:jc w:val="center"/>
      </w:pPr>
      <w:r>
        <w:rPr>
          <w:rFonts w:ascii="Times New Roman" w:eastAsia="宋体" w:hAnsi="Times New Roman"/>
          <w:color w:val="000000"/>
          <w:sz w:val="20"/>
          <w:szCs w:val="20"/>
        </w:rPr>
        <w:t>95</w:t>
      </w:r>
    </w:p>
    <w:p w14:paraId="33DAF9E2" w14:textId="77777777" w:rsidR="004D6A64" w:rsidRDefault="004D6A64">
      <w:pPr>
        <w:jc w:val="center"/>
      </w:pPr>
    </w:p>
    <w:p w14:paraId="33DAF9E3" w14:textId="77777777" w:rsidR="004D6A64" w:rsidRDefault="00506CD6">
      <w:r>
        <w:pict w14:anchorId="33DAFB23">
          <v:rect id="_x0000_i1119" style="width:415.3pt;height:1.5pt" o:hralign="center" o:hrstd="t" o:hr="t" fillcolor="#a0a0a0" stroked="f"/>
        </w:pict>
      </w:r>
    </w:p>
    <w:p w14:paraId="33DAF9E4" w14:textId="77777777" w:rsidR="004D6A64" w:rsidRDefault="00506CD6">
      <w:hyperlink r:id="rId218" w:anchor="if3e0e1bf9ecd4bf69551d7a85f98d64a_10" w:history="1">
        <w:r>
          <w:rPr>
            <w:rStyle w:val="a5"/>
            <w:rFonts w:ascii="Times New Roman" w:eastAsia="宋体" w:hAnsi="Times New Roman"/>
            <w:sz w:val="20"/>
            <w:szCs w:val="20"/>
          </w:rPr>
          <w:t>Table of Contents</w:t>
        </w:r>
      </w:hyperlink>
    </w:p>
    <w:p w14:paraId="33DAF9E5" w14:textId="77777777" w:rsidR="004D6A64" w:rsidRDefault="00506CD6">
      <w:r>
        <w:rPr>
          <w:rFonts w:ascii="Times New Roman" w:eastAsia="宋体" w:hAnsi="Times New Roman"/>
          <w:b/>
          <w:bCs/>
          <w:color w:val="000000"/>
          <w:sz w:val="20"/>
          <w:szCs w:val="20"/>
        </w:rPr>
        <w:t>ITEM 6 — EXHIBITS</w:t>
      </w:r>
    </w:p>
    <w:p w14:paraId="33DAF9E6" w14:textId="77777777" w:rsidR="004D6A64" w:rsidRDefault="004D6A64"/>
    <w:p w14:paraId="33DAF9E7" w14:textId="77777777" w:rsidR="004D6A64" w:rsidRDefault="00506CD6">
      <w:r>
        <w:rPr>
          <w:rFonts w:ascii="Times New Roman" w:eastAsia="宋体" w:hAnsi="Times New Roman"/>
          <w:color w:val="000000"/>
          <w:sz w:val="20"/>
          <w:szCs w:val="20"/>
        </w:rPr>
        <w:t>The Company he</w:t>
      </w:r>
      <w:r>
        <w:rPr>
          <w:rFonts w:ascii="Times New Roman" w:eastAsia="宋体" w:hAnsi="Times New Roman"/>
          <w:color w:val="000000"/>
          <w:sz w:val="20"/>
          <w:szCs w:val="20"/>
        </w:rPr>
        <w:t>reby files or furnishes the exhibits listed below:</w:t>
      </w:r>
    </w:p>
    <w:tbl>
      <w:tblPr>
        <w:tblW w:w="5000" w:type="pct"/>
        <w:jc w:val="center"/>
        <w:tblCellMar>
          <w:top w:w="15" w:type="dxa"/>
          <w:left w:w="15" w:type="dxa"/>
          <w:bottom w:w="15" w:type="dxa"/>
          <w:right w:w="15" w:type="dxa"/>
        </w:tblCellMar>
        <w:tblLook w:val="04A0" w:firstRow="1" w:lastRow="0" w:firstColumn="1" w:lastColumn="0" w:noHBand="0" w:noVBand="1"/>
      </w:tblPr>
      <w:tblGrid>
        <w:gridCol w:w="78"/>
        <w:gridCol w:w="976"/>
        <w:gridCol w:w="38"/>
        <w:gridCol w:w="36"/>
        <w:gridCol w:w="36"/>
        <w:gridCol w:w="36"/>
        <w:gridCol w:w="46"/>
        <w:gridCol w:w="7054"/>
        <w:gridCol w:w="36"/>
      </w:tblGrid>
      <w:tr w:rsidR="004D6A64" w14:paraId="33DAF9F1" w14:textId="77777777">
        <w:trPr>
          <w:jc w:val="center"/>
        </w:trPr>
        <w:tc>
          <w:tcPr>
            <w:tcW w:w="50" w:type="pct"/>
            <w:shd w:val="clear" w:color="auto" w:fill="auto"/>
          </w:tcPr>
          <w:p w14:paraId="33DAF9E8" w14:textId="77777777" w:rsidR="004D6A64" w:rsidRDefault="004D6A64">
            <w:pPr>
              <w:rPr>
                <w:rFonts w:ascii="宋体"/>
              </w:rPr>
            </w:pPr>
          </w:p>
        </w:tc>
        <w:tc>
          <w:tcPr>
            <w:tcW w:w="610" w:type="pct"/>
            <w:shd w:val="clear" w:color="auto" w:fill="auto"/>
          </w:tcPr>
          <w:p w14:paraId="33DAF9E9" w14:textId="77777777" w:rsidR="004D6A64" w:rsidRDefault="004D6A64">
            <w:pPr>
              <w:rPr>
                <w:rFonts w:ascii="宋体"/>
              </w:rPr>
            </w:pPr>
          </w:p>
        </w:tc>
        <w:tc>
          <w:tcPr>
            <w:tcW w:w="5" w:type="pct"/>
            <w:shd w:val="clear" w:color="auto" w:fill="auto"/>
          </w:tcPr>
          <w:p w14:paraId="33DAF9EA" w14:textId="77777777" w:rsidR="004D6A64" w:rsidRDefault="004D6A64">
            <w:pPr>
              <w:rPr>
                <w:rFonts w:ascii="宋体"/>
              </w:rPr>
            </w:pPr>
          </w:p>
        </w:tc>
        <w:tc>
          <w:tcPr>
            <w:tcW w:w="5" w:type="pct"/>
            <w:shd w:val="clear" w:color="auto" w:fill="auto"/>
          </w:tcPr>
          <w:p w14:paraId="33DAF9EB" w14:textId="77777777" w:rsidR="004D6A64" w:rsidRDefault="004D6A64">
            <w:pPr>
              <w:rPr>
                <w:rFonts w:ascii="宋体"/>
              </w:rPr>
            </w:pPr>
          </w:p>
        </w:tc>
        <w:tc>
          <w:tcPr>
            <w:tcW w:w="26" w:type="pct"/>
            <w:shd w:val="clear" w:color="auto" w:fill="auto"/>
          </w:tcPr>
          <w:p w14:paraId="33DAF9EC" w14:textId="77777777" w:rsidR="004D6A64" w:rsidRDefault="004D6A64">
            <w:pPr>
              <w:rPr>
                <w:rFonts w:ascii="宋体"/>
              </w:rPr>
            </w:pPr>
          </w:p>
        </w:tc>
        <w:tc>
          <w:tcPr>
            <w:tcW w:w="5" w:type="pct"/>
            <w:shd w:val="clear" w:color="auto" w:fill="auto"/>
          </w:tcPr>
          <w:p w14:paraId="33DAF9ED" w14:textId="77777777" w:rsidR="004D6A64" w:rsidRDefault="004D6A64">
            <w:pPr>
              <w:rPr>
                <w:rFonts w:ascii="宋体"/>
              </w:rPr>
            </w:pPr>
          </w:p>
        </w:tc>
        <w:tc>
          <w:tcPr>
            <w:tcW w:w="50" w:type="pct"/>
            <w:shd w:val="clear" w:color="auto" w:fill="auto"/>
          </w:tcPr>
          <w:p w14:paraId="33DAF9EE" w14:textId="77777777" w:rsidR="004D6A64" w:rsidRDefault="004D6A64">
            <w:pPr>
              <w:rPr>
                <w:rFonts w:ascii="宋体"/>
              </w:rPr>
            </w:pPr>
          </w:p>
        </w:tc>
        <w:tc>
          <w:tcPr>
            <w:tcW w:w="4243" w:type="pct"/>
            <w:shd w:val="clear" w:color="auto" w:fill="auto"/>
          </w:tcPr>
          <w:p w14:paraId="33DAF9EF" w14:textId="77777777" w:rsidR="004D6A64" w:rsidRDefault="004D6A64">
            <w:pPr>
              <w:rPr>
                <w:rFonts w:ascii="宋体"/>
              </w:rPr>
            </w:pPr>
          </w:p>
        </w:tc>
        <w:tc>
          <w:tcPr>
            <w:tcW w:w="5" w:type="pct"/>
            <w:shd w:val="clear" w:color="auto" w:fill="auto"/>
          </w:tcPr>
          <w:p w14:paraId="33DAF9F0" w14:textId="77777777" w:rsidR="004D6A64" w:rsidRDefault="004D6A64">
            <w:pPr>
              <w:rPr>
                <w:rFonts w:ascii="宋体"/>
              </w:rPr>
            </w:pPr>
          </w:p>
        </w:tc>
      </w:tr>
      <w:tr w:rsidR="004D6A64" w14:paraId="33DAF9F5" w14:textId="77777777">
        <w:trPr>
          <w:jc w:val="center"/>
        </w:trPr>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3DAF9F2" w14:textId="77777777" w:rsidR="004D6A64" w:rsidRDefault="00506CD6">
            <w:pPr>
              <w:jc w:val="center"/>
              <w:textAlignment w:val="bottom"/>
            </w:pPr>
            <w:r>
              <w:rPr>
                <w:rFonts w:ascii="Times New Roman" w:eastAsia="宋体" w:hAnsi="Times New Roman"/>
                <w:b/>
                <w:bCs/>
                <w:color w:val="000000"/>
                <w:sz w:val="20"/>
                <w:szCs w:val="20"/>
              </w:rPr>
              <w:t>Exhibit Number</w:t>
            </w:r>
          </w:p>
        </w:tc>
        <w:tc>
          <w:tcPr>
            <w:tcW w:w="0" w:type="auto"/>
            <w:gridSpan w:val="3"/>
            <w:shd w:val="clear" w:color="auto" w:fill="auto"/>
            <w:tcMar>
              <w:left w:w="20" w:type="dxa"/>
              <w:right w:w="20" w:type="dxa"/>
            </w:tcMar>
            <w:vAlign w:val="bottom"/>
          </w:tcPr>
          <w:p w14:paraId="33DAF9F3" w14:textId="77777777" w:rsidR="004D6A64" w:rsidRDefault="004D6A6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3DAF9F4" w14:textId="77777777" w:rsidR="004D6A64" w:rsidRDefault="00506CD6">
            <w:pPr>
              <w:jc w:val="center"/>
              <w:textAlignment w:val="bottom"/>
            </w:pPr>
            <w:r>
              <w:rPr>
                <w:rFonts w:ascii="Times New Roman" w:eastAsia="宋体" w:hAnsi="Times New Roman"/>
                <w:b/>
                <w:bCs/>
                <w:color w:val="000000"/>
                <w:sz w:val="20"/>
                <w:szCs w:val="20"/>
              </w:rPr>
              <w:t>Description</w:t>
            </w:r>
          </w:p>
        </w:tc>
      </w:tr>
      <w:tr w:rsidR="004D6A64" w14:paraId="33DAF9F9"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33DAF9F6" w14:textId="77777777" w:rsidR="004D6A64" w:rsidRDefault="00506CD6">
            <w:pPr>
              <w:pBdr>
                <w:top w:val="none" w:sz="0" w:space="0" w:color="auto"/>
                <w:left w:val="none" w:sz="0" w:space="0" w:color="auto"/>
                <w:bottom w:val="none" w:sz="0" w:space="0" w:color="auto"/>
                <w:right w:val="none" w:sz="0" w:space="0" w:color="auto"/>
              </w:pBdr>
              <w:jc w:val="right"/>
              <w:textAlignment w:val="top"/>
            </w:pPr>
            <w:hyperlink r:id="rId219" w:history="1">
              <w:r>
                <w:rPr>
                  <w:rStyle w:val="a5"/>
                  <w:rFonts w:ascii="Times New Roman" w:eastAsia="宋体" w:hAnsi="Times New Roman"/>
                  <w:sz w:val="20"/>
                  <w:szCs w:val="20"/>
                </w:rPr>
                <w:t>31.1††</w:t>
              </w:r>
            </w:hyperlink>
          </w:p>
        </w:tc>
        <w:tc>
          <w:tcPr>
            <w:tcW w:w="0" w:type="auto"/>
            <w:gridSpan w:val="3"/>
            <w:shd w:val="clear" w:color="auto" w:fill="auto"/>
            <w:tcMar>
              <w:left w:w="20" w:type="dxa"/>
              <w:right w:w="20" w:type="dxa"/>
            </w:tcMar>
            <w:vAlign w:val="bottom"/>
          </w:tcPr>
          <w:p w14:paraId="33DAF9F7"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33DAF9F8" w14:textId="77777777" w:rsidR="004D6A64" w:rsidRDefault="00506CD6">
            <w:pPr>
              <w:pBdr>
                <w:top w:val="none" w:sz="0" w:space="0" w:color="auto"/>
                <w:left w:val="none" w:sz="0" w:space="0" w:color="auto"/>
                <w:bottom w:val="none" w:sz="0" w:space="0" w:color="auto"/>
                <w:right w:val="none" w:sz="0" w:space="0" w:color="auto"/>
              </w:pBdr>
              <w:textAlignment w:val="top"/>
            </w:pPr>
            <w:hyperlink r:id="rId220" w:history="1">
              <w:r>
                <w:rPr>
                  <w:rStyle w:val="a5"/>
                  <w:rFonts w:ascii="Times New Roman" w:eastAsia="宋体" w:hAnsi="Times New Roman"/>
                  <w:sz w:val="20"/>
                  <w:szCs w:val="20"/>
                </w:rPr>
                <w:t>Certification of Michael S. Dell, Cha</w:t>
              </w:r>
              <w:r>
                <w:rPr>
                  <w:rStyle w:val="a5"/>
                  <w:rFonts w:ascii="Times New Roman" w:eastAsia="宋体" w:hAnsi="Times New Roman"/>
                  <w:sz w:val="20"/>
                  <w:szCs w:val="20"/>
                </w:rPr>
                <w:t>irman and Chief Executive Officer, pursuant to Rule 13a-14(a) or Rule 15d-14(a) under the Securities Exchange Act of 1934, as adopted pursuant to Section 302 of the Sarbanes-Oxley Act of 2002.</w:t>
              </w:r>
            </w:hyperlink>
          </w:p>
        </w:tc>
      </w:tr>
      <w:tr w:rsidR="004D6A64" w14:paraId="33DAF9FD" w14:textId="77777777">
        <w:trPr>
          <w:jc w:val="center"/>
        </w:trPr>
        <w:tc>
          <w:tcPr>
            <w:tcW w:w="0" w:type="auto"/>
            <w:gridSpan w:val="3"/>
            <w:shd w:val="clear" w:color="auto" w:fill="auto"/>
            <w:tcMar>
              <w:top w:w="40" w:type="dxa"/>
              <w:left w:w="20" w:type="dxa"/>
              <w:bottom w:w="40" w:type="dxa"/>
              <w:right w:w="20" w:type="dxa"/>
            </w:tcMar>
          </w:tcPr>
          <w:p w14:paraId="33DAF9FA" w14:textId="77777777" w:rsidR="004D6A64" w:rsidRDefault="00506CD6">
            <w:pPr>
              <w:pBdr>
                <w:top w:val="none" w:sz="0" w:space="0" w:color="auto"/>
                <w:left w:val="none" w:sz="0" w:space="0" w:color="auto"/>
                <w:bottom w:val="none" w:sz="0" w:space="0" w:color="auto"/>
                <w:right w:val="none" w:sz="0" w:space="0" w:color="auto"/>
              </w:pBdr>
              <w:jc w:val="right"/>
              <w:textAlignment w:val="top"/>
            </w:pPr>
            <w:hyperlink r:id="rId221" w:history="1">
              <w:r>
                <w:rPr>
                  <w:rStyle w:val="a5"/>
                  <w:rFonts w:ascii="Times New Roman" w:eastAsia="宋体" w:hAnsi="Times New Roman"/>
                  <w:sz w:val="20"/>
                  <w:szCs w:val="20"/>
                </w:rPr>
                <w:t>31.2††</w:t>
              </w:r>
            </w:hyperlink>
          </w:p>
        </w:tc>
        <w:tc>
          <w:tcPr>
            <w:tcW w:w="0" w:type="auto"/>
            <w:gridSpan w:val="3"/>
            <w:shd w:val="clear" w:color="auto" w:fill="auto"/>
            <w:tcMar>
              <w:left w:w="20" w:type="dxa"/>
              <w:right w:w="20" w:type="dxa"/>
            </w:tcMar>
            <w:vAlign w:val="bottom"/>
          </w:tcPr>
          <w:p w14:paraId="33DAF9FB"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tcPr>
          <w:p w14:paraId="33DAF9FC" w14:textId="77777777" w:rsidR="004D6A64" w:rsidRDefault="00506CD6">
            <w:pPr>
              <w:pBdr>
                <w:top w:val="none" w:sz="0" w:space="0" w:color="auto"/>
                <w:left w:val="none" w:sz="0" w:space="0" w:color="auto"/>
                <w:bottom w:val="none" w:sz="0" w:space="0" w:color="auto"/>
                <w:right w:val="none" w:sz="0" w:space="0" w:color="auto"/>
              </w:pBdr>
              <w:textAlignment w:val="top"/>
            </w:pPr>
            <w:hyperlink r:id="rId222" w:history="1">
              <w:r>
                <w:rPr>
                  <w:rStyle w:val="a5"/>
                  <w:rFonts w:ascii="Times New Roman" w:eastAsia="宋体" w:hAnsi="Times New Roman"/>
                  <w:sz w:val="20"/>
                  <w:szCs w:val="20"/>
                </w:rPr>
                <w:t xml:space="preserve">Certification of Thomas W. </w:t>
              </w:r>
              <w:r>
                <w:rPr>
                  <w:rStyle w:val="a5"/>
                  <w:rFonts w:ascii="Times New Roman" w:eastAsia="宋体" w:hAnsi="Times New Roman"/>
                  <w:sz w:val="20"/>
                  <w:szCs w:val="20"/>
                </w:rPr>
                <w:t>Sweet, Executive Vice President and Chief Financial Officer, pursuant to Rule 13a-14(a) or Rule 15d-14(a) under the Securities Exchange Act of 1934, as adopted pursuant to Section 302 of the Sarbanes-Oxley Act of 2002.</w:t>
              </w:r>
            </w:hyperlink>
          </w:p>
        </w:tc>
      </w:tr>
      <w:tr w:rsidR="004D6A64" w14:paraId="33DAFA01" w14:textId="77777777">
        <w:trPr>
          <w:jc w:val="center"/>
        </w:trPr>
        <w:tc>
          <w:tcPr>
            <w:tcW w:w="0" w:type="auto"/>
            <w:gridSpan w:val="3"/>
            <w:shd w:val="clear" w:color="auto" w:fill="auto"/>
            <w:tcMar>
              <w:top w:w="40" w:type="dxa"/>
              <w:left w:w="20" w:type="dxa"/>
              <w:bottom w:w="40" w:type="dxa"/>
              <w:right w:w="20" w:type="dxa"/>
            </w:tcMar>
          </w:tcPr>
          <w:p w14:paraId="33DAF9FE" w14:textId="77777777" w:rsidR="004D6A64" w:rsidRDefault="00506CD6">
            <w:pPr>
              <w:pBdr>
                <w:top w:val="none" w:sz="0" w:space="0" w:color="auto"/>
                <w:left w:val="none" w:sz="0" w:space="0" w:color="auto"/>
                <w:bottom w:val="none" w:sz="0" w:space="0" w:color="auto"/>
                <w:right w:val="none" w:sz="0" w:space="0" w:color="auto"/>
              </w:pBdr>
              <w:jc w:val="right"/>
              <w:textAlignment w:val="top"/>
            </w:pPr>
            <w:hyperlink r:id="rId223" w:history="1">
              <w:r>
                <w:rPr>
                  <w:rStyle w:val="a5"/>
                  <w:rFonts w:ascii="Times New Roman" w:eastAsia="宋体" w:hAnsi="Times New Roman"/>
                  <w:sz w:val="20"/>
                  <w:szCs w:val="20"/>
                </w:rPr>
                <w:t>32.1†††</w:t>
              </w:r>
            </w:hyperlink>
          </w:p>
        </w:tc>
        <w:tc>
          <w:tcPr>
            <w:tcW w:w="0" w:type="auto"/>
            <w:gridSpan w:val="3"/>
            <w:shd w:val="clear" w:color="auto" w:fill="auto"/>
            <w:tcMar>
              <w:left w:w="20" w:type="dxa"/>
              <w:right w:w="20" w:type="dxa"/>
            </w:tcMar>
            <w:vAlign w:val="bottom"/>
          </w:tcPr>
          <w:p w14:paraId="33DAF9FF"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tcPr>
          <w:p w14:paraId="33DAFA00" w14:textId="77777777" w:rsidR="004D6A64" w:rsidRDefault="00506CD6">
            <w:pPr>
              <w:pBdr>
                <w:top w:val="none" w:sz="0" w:space="0" w:color="auto"/>
                <w:left w:val="none" w:sz="0" w:space="0" w:color="auto"/>
                <w:bottom w:val="none" w:sz="0" w:space="0" w:color="auto"/>
                <w:right w:val="none" w:sz="0" w:space="0" w:color="auto"/>
              </w:pBdr>
              <w:textAlignment w:val="top"/>
            </w:pPr>
            <w:hyperlink r:id="rId224" w:history="1">
              <w:r>
                <w:rPr>
                  <w:rStyle w:val="a5"/>
                  <w:rFonts w:ascii="Times New Roman" w:eastAsia="宋体" w:hAnsi="Times New Roman"/>
                  <w:sz w:val="20"/>
                  <w:szCs w:val="20"/>
                </w:rPr>
                <w:t>Certifications of Michael S. Dell, C</w:t>
              </w:r>
              <w:r>
                <w:rPr>
                  <w:rStyle w:val="a5"/>
                  <w:rFonts w:ascii="Times New Roman" w:eastAsia="宋体" w:hAnsi="Times New Roman"/>
                  <w:sz w:val="20"/>
                  <w:szCs w:val="20"/>
                </w:rPr>
                <w:t>hairman and Chief Executive Officer, and Thomas W. Sweet, Executive Vice President and Chief Financial Officer, pursuant to Rule 13a-14(b) or Rule 15d-14(b) under the Securities Exchange Act of 1934 and 18 U.S.C. Section 1350, as adopted pursuant to Sectio</w:t>
              </w:r>
              <w:r>
                <w:rPr>
                  <w:rStyle w:val="a5"/>
                  <w:rFonts w:ascii="Times New Roman" w:eastAsia="宋体" w:hAnsi="Times New Roman"/>
                  <w:sz w:val="20"/>
                  <w:szCs w:val="20"/>
                </w:rPr>
                <w:t>n 906 of the Sarbanes-Oxley Act of 2002.</w:t>
              </w:r>
            </w:hyperlink>
          </w:p>
        </w:tc>
      </w:tr>
      <w:tr w:rsidR="004D6A64" w14:paraId="33DAFA05" w14:textId="77777777">
        <w:trPr>
          <w:jc w:val="center"/>
        </w:trPr>
        <w:tc>
          <w:tcPr>
            <w:tcW w:w="0" w:type="auto"/>
            <w:gridSpan w:val="3"/>
            <w:shd w:val="clear" w:color="auto" w:fill="auto"/>
            <w:tcMar>
              <w:top w:w="40" w:type="dxa"/>
              <w:left w:w="20" w:type="dxa"/>
              <w:bottom w:w="40" w:type="dxa"/>
              <w:right w:w="20" w:type="dxa"/>
            </w:tcMar>
          </w:tcPr>
          <w:p w14:paraId="33DAFA02" w14:textId="77777777" w:rsidR="004D6A64" w:rsidRDefault="00506CD6">
            <w:pPr>
              <w:jc w:val="right"/>
              <w:textAlignment w:val="top"/>
            </w:pPr>
            <w:r>
              <w:rPr>
                <w:rFonts w:ascii="Times New Roman" w:eastAsia="宋体" w:hAnsi="Times New Roman"/>
                <w:color w:val="000000"/>
                <w:sz w:val="20"/>
                <w:szCs w:val="20"/>
              </w:rPr>
              <w:t>101 .INS††</w:t>
            </w:r>
          </w:p>
        </w:tc>
        <w:tc>
          <w:tcPr>
            <w:tcW w:w="0" w:type="auto"/>
            <w:gridSpan w:val="3"/>
            <w:shd w:val="clear" w:color="auto" w:fill="auto"/>
            <w:tcMar>
              <w:left w:w="20" w:type="dxa"/>
              <w:right w:w="20" w:type="dxa"/>
            </w:tcMar>
            <w:vAlign w:val="bottom"/>
          </w:tcPr>
          <w:p w14:paraId="33DAFA03"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tcPr>
          <w:p w14:paraId="33DAFA04" w14:textId="77777777" w:rsidR="004D6A64" w:rsidRDefault="00506CD6">
            <w:pPr>
              <w:textAlignment w:val="top"/>
            </w:pPr>
            <w:r>
              <w:rPr>
                <w:rFonts w:ascii="Times New Roman" w:eastAsia="宋体" w:hAnsi="Times New Roman"/>
                <w:color w:val="000000"/>
                <w:sz w:val="20"/>
                <w:szCs w:val="20"/>
              </w:rPr>
              <w:t>XBRL Instance Document - the instance document does not appear in the Interactive Data File because its XBRL tags are embedded within the Inline XBRL document.</w:t>
            </w:r>
          </w:p>
        </w:tc>
      </w:tr>
      <w:tr w:rsidR="004D6A64" w14:paraId="33DAFA09" w14:textId="77777777">
        <w:trPr>
          <w:jc w:val="center"/>
        </w:trPr>
        <w:tc>
          <w:tcPr>
            <w:tcW w:w="0" w:type="auto"/>
            <w:gridSpan w:val="3"/>
            <w:shd w:val="clear" w:color="auto" w:fill="auto"/>
            <w:tcMar>
              <w:top w:w="40" w:type="dxa"/>
              <w:left w:w="20" w:type="dxa"/>
              <w:bottom w:w="40" w:type="dxa"/>
              <w:right w:w="20" w:type="dxa"/>
            </w:tcMar>
          </w:tcPr>
          <w:p w14:paraId="33DAFA06" w14:textId="77777777" w:rsidR="004D6A64" w:rsidRDefault="00506CD6">
            <w:pPr>
              <w:jc w:val="right"/>
              <w:textAlignment w:val="top"/>
            </w:pPr>
            <w:r>
              <w:rPr>
                <w:rFonts w:ascii="Times New Roman" w:eastAsia="宋体" w:hAnsi="Times New Roman"/>
                <w:color w:val="000000"/>
                <w:sz w:val="20"/>
                <w:szCs w:val="20"/>
              </w:rPr>
              <w:t>101 .SCH††</w:t>
            </w:r>
          </w:p>
        </w:tc>
        <w:tc>
          <w:tcPr>
            <w:tcW w:w="0" w:type="auto"/>
            <w:gridSpan w:val="3"/>
            <w:shd w:val="clear" w:color="auto" w:fill="auto"/>
            <w:tcMar>
              <w:left w:w="20" w:type="dxa"/>
              <w:right w:w="20" w:type="dxa"/>
            </w:tcMar>
            <w:vAlign w:val="bottom"/>
          </w:tcPr>
          <w:p w14:paraId="33DAFA07"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tcPr>
          <w:p w14:paraId="33DAFA08" w14:textId="77777777" w:rsidR="004D6A64" w:rsidRDefault="00506CD6">
            <w:pPr>
              <w:textAlignment w:val="top"/>
            </w:pPr>
            <w:r>
              <w:rPr>
                <w:rFonts w:ascii="Times New Roman" w:eastAsia="宋体" w:hAnsi="Times New Roman"/>
                <w:color w:val="000000"/>
                <w:sz w:val="20"/>
                <w:szCs w:val="20"/>
              </w:rPr>
              <w:t xml:space="preserve">Inline XBRL </w:t>
            </w:r>
            <w:r>
              <w:rPr>
                <w:rFonts w:ascii="Times New Roman" w:eastAsia="宋体" w:hAnsi="Times New Roman"/>
                <w:color w:val="000000"/>
                <w:sz w:val="20"/>
                <w:szCs w:val="20"/>
              </w:rPr>
              <w:t>Taxonomy Extension Schema Document.</w:t>
            </w:r>
          </w:p>
        </w:tc>
      </w:tr>
      <w:tr w:rsidR="004D6A64" w14:paraId="33DAFA0D" w14:textId="77777777">
        <w:trPr>
          <w:jc w:val="center"/>
        </w:trPr>
        <w:tc>
          <w:tcPr>
            <w:tcW w:w="0" w:type="auto"/>
            <w:gridSpan w:val="3"/>
            <w:shd w:val="clear" w:color="auto" w:fill="auto"/>
            <w:tcMar>
              <w:top w:w="40" w:type="dxa"/>
              <w:left w:w="20" w:type="dxa"/>
              <w:bottom w:w="40" w:type="dxa"/>
              <w:right w:w="20" w:type="dxa"/>
            </w:tcMar>
          </w:tcPr>
          <w:p w14:paraId="33DAFA0A" w14:textId="77777777" w:rsidR="004D6A64" w:rsidRDefault="00506CD6">
            <w:pPr>
              <w:jc w:val="right"/>
              <w:textAlignment w:val="top"/>
            </w:pPr>
            <w:r>
              <w:rPr>
                <w:rFonts w:ascii="Times New Roman" w:eastAsia="宋体" w:hAnsi="Times New Roman"/>
                <w:color w:val="000000"/>
                <w:sz w:val="20"/>
                <w:szCs w:val="20"/>
              </w:rPr>
              <w:t>101 .CAL††</w:t>
            </w:r>
          </w:p>
        </w:tc>
        <w:tc>
          <w:tcPr>
            <w:tcW w:w="0" w:type="auto"/>
            <w:gridSpan w:val="3"/>
            <w:shd w:val="clear" w:color="auto" w:fill="auto"/>
            <w:tcMar>
              <w:left w:w="20" w:type="dxa"/>
              <w:right w:w="20" w:type="dxa"/>
            </w:tcMar>
            <w:vAlign w:val="bottom"/>
          </w:tcPr>
          <w:p w14:paraId="33DAFA0B"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tcPr>
          <w:p w14:paraId="33DAFA0C" w14:textId="77777777" w:rsidR="004D6A64" w:rsidRDefault="00506CD6">
            <w:pPr>
              <w:textAlignment w:val="top"/>
            </w:pPr>
            <w:r>
              <w:rPr>
                <w:rFonts w:ascii="Times New Roman" w:eastAsia="宋体" w:hAnsi="Times New Roman"/>
                <w:color w:val="000000"/>
                <w:sz w:val="20"/>
                <w:szCs w:val="20"/>
              </w:rPr>
              <w:t>Inline XBRL Taxonomy Extension Calculation Linkbase Document.</w:t>
            </w:r>
          </w:p>
        </w:tc>
      </w:tr>
      <w:tr w:rsidR="004D6A64" w14:paraId="33DAFA11" w14:textId="77777777">
        <w:trPr>
          <w:jc w:val="center"/>
        </w:trPr>
        <w:tc>
          <w:tcPr>
            <w:tcW w:w="0" w:type="auto"/>
            <w:gridSpan w:val="3"/>
            <w:shd w:val="clear" w:color="auto" w:fill="auto"/>
            <w:tcMar>
              <w:top w:w="40" w:type="dxa"/>
              <w:left w:w="20" w:type="dxa"/>
              <w:bottom w:w="40" w:type="dxa"/>
              <w:right w:w="20" w:type="dxa"/>
            </w:tcMar>
          </w:tcPr>
          <w:p w14:paraId="33DAFA0E" w14:textId="77777777" w:rsidR="004D6A64" w:rsidRDefault="00506CD6">
            <w:pPr>
              <w:jc w:val="right"/>
              <w:textAlignment w:val="top"/>
            </w:pPr>
            <w:r>
              <w:rPr>
                <w:rFonts w:ascii="Times New Roman" w:eastAsia="宋体" w:hAnsi="Times New Roman"/>
                <w:color w:val="000000"/>
                <w:sz w:val="20"/>
                <w:szCs w:val="20"/>
              </w:rPr>
              <w:t>101 .DEF††</w:t>
            </w:r>
          </w:p>
        </w:tc>
        <w:tc>
          <w:tcPr>
            <w:tcW w:w="0" w:type="auto"/>
            <w:gridSpan w:val="3"/>
            <w:shd w:val="clear" w:color="auto" w:fill="auto"/>
            <w:tcMar>
              <w:left w:w="20" w:type="dxa"/>
              <w:right w:w="20" w:type="dxa"/>
            </w:tcMar>
            <w:vAlign w:val="bottom"/>
          </w:tcPr>
          <w:p w14:paraId="33DAFA0F"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tcPr>
          <w:p w14:paraId="33DAFA10" w14:textId="77777777" w:rsidR="004D6A64" w:rsidRDefault="00506CD6">
            <w:pPr>
              <w:textAlignment w:val="top"/>
            </w:pPr>
            <w:r>
              <w:rPr>
                <w:rFonts w:ascii="Times New Roman" w:eastAsia="宋体" w:hAnsi="Times New Roman"/>
                <w:color w:val="000000"/>
                <w:sz w:val="20"/>
                <w:szCs w:val="20"/>
              </w:rPr>
              <w:t>Inline XBRL Taxonomy Extension Definition Linkbase Document.</w:t>
            </w:r>
          </w:p>
        </w:tc>
      </w:tr>
      <w:tr w:rsidR="004D6A64" w14:paraId="33DAFA15" w14:textId="77777777">
        <w:trPr>
          <w:jc w:val="center"/>
        </w:trPr>
        <w:tc>
          <w:tcPr>
            <w:tcW w:w="0" w:type="auto"/>
            <w:gridSpan w:val="3"/>
            <w:shd w:val="clear" w:color="auto" w:fill="auto"/>
            <w:tcMar>
              <w:top w:w="40" w:type="dxa"/>
              <w:left w:w="20" w:type="dxa"/>
              <w:bottom w:w="40" w:type="dxa"/>
              <w:right w:w="20" w:type="dxa"/>
            </w:tcMar>
          </w:tcPr>
          <w:p w14:paraId="33DAFA12" w14:textId="77777777" w:rsidR="004D6A64" w:rsidRDefault="00506CD6">
            <w:pPr>
              <w:jc w:val="right"/>
              <w:textAlignment w:val="top"/>
            </w:pPr>
            <w:r>
              <w:rPr>
                <w:rFonts w:ascii="Times New Roman" w:eastAsia="宋体" w:hAnsi="Times New Roman"/>
                <w:color w:val="000000"/>
                <w:sz w:val="20"/>
                <w:szCs w:val="20"/>
              </w:rPr>
              <w:t>101 .LAB††</w:t>
            </w:r>
          </w:p>
        </w:tc>
        <w:tc>
          <w:tcPr>
            <w:tcW w:w="0" w:type="auto"/>
            <w:gridSpan w:val="3"/>
            <w:shd w:val="clear" w:color="auto" w:fill="auto"/>
            <w:tcMar>
              <w:left w:w="20" w:type="dxa"/>
              <w:right w:w="20" w:type="dxa"/>
            </w:tcMar>
            <w:vAlign w:val="bottom"/>
          </w:tcPr>
          <w:p w14:paraId="33DAFA13"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tcPr>
          <w:p w14:paraId="33DAFA14" w14:textId="77777777" w:rsidR="004D6A64" w:rsidRDefault="00506CD6">
            <w:pPr>
              <w:textAlignment w:val="top"/>
            </w:pPr>
            <w:r>
              <w:rPr>
                <w:rFonts w:ascii="Times New Roman" w:eastAsia="宋体" w:hAnsi="Times New Roman"/>
                <w:color w:val="000000"/>
                <w:sz w:val="20"/>
                <w:szCs w:val="20"/>
              </w:rPr>
              <w:t xml:space="preserve">Inline XBRL Taxonomy Extension Label Linkbase </w:t>
            </w:r>
            <w:r>
              <w:rPr>
                <w:rFonts w:ascii="Times New Roman" w:eastAsia="宋体" w:hAnsi="Times New Roman"/>
                <w:color w:val="000000"/>
                <w:sz w:val="20"/>
                <w:szCs w:val="20"/>
              </w:rPr>
              <w:t>Document.</w:t>
            </w:r>
          </w:p>
        </w:tc>
      </w:tr>
      <w:tr w:rsidR="004D6A64" w14:paraId="33DAFA19" w14:textId="77777777">
        <w:trPr>
          <w:jc w:val="center"/>
        </w:trPr>
        <w:tc>
          <w:tcPr>
            <w:tcW w:w="0" w:type="auto"/>
            <w:gridSpan w:val="3"/>
            <w:shd w:val="clear" w:color="auto" w:fill="auto"/>
            <w:tcMar>
              <w:top w:w="40" w:type="dxa"/>
              <w:left w:w="20" w:type="dxa"/>
              <w:bottom w:w="40" w:type="dxa"/>
              <w:right w:w="20" w:type="dxa"/>
            </w:tcMar>
          </w:tcPr>
          <w:p w14:paraId="33DAFA16" w14:textId="77777777" w:rsidR="004D6A64" w:rsidRDefault="00506CD6">
            <w:pPr>
              <w:jc w:val="right"/>
              <w:textAlignment w:val="top"/>
            </w:pPr>
            <w:r>
              <w:rPr>
                <w:rFonts w:ascii="Times New Roman" w:eastAsia="宋体" w:hAnsi="Times New Roman"/>
                <w:color w:val="000000"/>
                <w:sz w:val="20"/>
                <w:szCs w:val="20"/>
              </w:rPr>
              <w:t>101 .PRE††</w:t>
            </w:r>
          </w:p>
        </w:tc>
        <w:tc>
          <w:tcPr>
            <w:tcW w:w="0" w:type="auto"/>
            <w:gridSpan w:val="3"/>
            <w:shd w:val="clear" w:color="auto" w:fill="auto"/>
            <w:tcMar>
              <w:left w:w="20" w:type="dxa"/>
              <w:right w:w="20" w:type="dxa"/>
            </w:tcMar>
            <w:vAlign w:val="bottom"/>
          </w:tcPr>
          <w:p w14:paraId="33DAFA17"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tcPr>
          <w:p w14:paraId="33DAFA18" w14:textId="77777777" w:rsidR="004D6A64" w:rsidRDefault="00506CD6">
            <w:pPr>
              <w:textAlignment w:val="top"/>
            </w:pPr>
            <w:r>
              <w:rPr>
                <w:rFonts w:ascii="Times New Roman" w:eastAsia="宋体" w:hAnsi="Times New Roman"/>
                <w:color w:val="000000"/>
                <w:sz w:val="20"/>
                <w:szCs w:val="20"/>
              </w:rPr>
              <w:t>Inline XBRL Taxonomy Extension Presentation Linkbase Document.</w:t>
            </w:r>
          </w:p>
        </w:tc>
      </w:tr>
      <w:tr w:rsidR="004D6A64" w14:paraId="33DAFA1D" w14:textId="77777777">
        <w:trPr>
          <w:jc w:val="center"/>
        </w:trPr>
        <w:tc>
          <w:tcPr>
            <w:tcW w:w="0" w:type="auto"/>
            <w:gridSpan w:val="3"/>
            <w:shd w:val="clear" w:color="auto" w:fill="auto"/>
            <w:tcMar>
              <w:top w:w="40" w:type="dxa"/>
              <w:left w:w="20" w:type="dxa"/>
              <w:bottom w:w="40" w:type="dxa"/>
              <w:right w:w="20" w:type="dxa"/>
            </w:tcMar>
          </w:tcPr>
          <w:p w14:paraId="33DAFA1A" w14:textId="77777777" w:rsidR="004D6A64" w:rsidRDefault="00506CD6">
            <w:pPr>
              <w:jc w:val="right"/>
              <w:textAlignment w:val="top"/>
            </w:pPr>
            <w:r>
              <w:rPr>
                <w:rFonts w:ascii="Times New Roman" w:eastAsia="宋体" w:hAnsi="Times New Roman"/>
                <w:color w:val="000000"/>
                <w:sz w:val="20"/>
                <w:szCs w:val="20"/>
              </w:rPr>
              <w:t>104††</w:t>
            </w:r>
          </w:p>
        </w:tc>
        <w:tc>
          <w:tcPr>
            <w:tcW w:w="0" w:type="auto"/>
            <w:gridSpan w:val="3"/>
            <w:shd w:val="clear" w:color="auto" w:fill="auto"/>
            <w:tcMar>
              <w:left w:w="20" w:type="dxa"/>
              <w:right w:w="20" w:type="dxa"/>
            </w:tcMar>
            <w:vAlign w:val="bottom"/>
          </w:tcPr>
          <w:p w14:paraId="33DAFA1B"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tcPr>
          <w:p w14:paraId="33DAFA1C" w14:textId="77777777" w:rsidR="004D6A64" w:rsidRDefault="00506CD6">
            <w:pPr>
              <w:textAlignment w:val="top"/>
            </w:pPr>
            <w:r>
              <w:rPr>
                <w:rFonts w:ascii="Times New Roman" w:eastAsia="宋体" w:hAnsi="Times New Roman"/>
                <w:color w:val="000000"/>
                <w:sz w:val="20"/>
                <w:szCs w:val="20"/>
              </w:rPr>
              <w:t>Cover Page Interactive Data File - the cover page XBRL tags are embedded within the Inline XBRL document (included in Exhibit 101).</w:t>
            </w:r>
          </w:p>
        </w:tc>
      </w:tr>
    </w:tbl>
    <w:p w14:paraId="33DAFA1E" w14:textId="77777777" w:rsidR="004D6A64" w:rsidRDefault="004D6A64">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0"/>
        <w:gridCol w:w="995"/>
        <w:gridCol w:w="36"/>
        <w:gridCol w:w="36"/>
        <w:gridCol w:w="36"/>
        <w:gridCol w:w="36"/>
        <w:gridCol w:w="46"/>
        <w:gridCol w:w="7054"/>
        <w:gridCol w:w="37"/>
      </w:tblGrid>
      <w:tr w:rsidR="004D6A64" w14:paraId="33DAFA28" w14:textId="77777777">
        <w:trPr>
          <w:jc w:val="center"/>
        </w:trPr>
        <w:tc>
          <w:tcPr>
            <w:tcW w:w="50" w:type="pct"/>
            <w:shd w:val="clear" w:color="auto" w:fill="auto"/>
          </w:tcPr>
          <w:p w14:paraId="33DAFA1F" w14:textId="77777777" w:rsidR="004D6A64" w:rsidRDefault="004D6A64">
            <w:pPr>
              <w:rPr>
                <w:rFonts w:ascii="宋体"/>
              </w:rPr>
            </w:pPr>
          </w:p>
        </w:tc>
        <w:tc>
          <w:tcPr>
            <w:tcW w:w="610" w:type="pct"/>
            <w:shd w:val="clear" w:color="auto" w:fill="auto"/>
          </w:tcPr>
          <w:p w14:paraId="33DAFA20" w14:textId="77777777" w:rsidR="004D6A64" w:rsidRDefault="004D6A64">
            <w:pPr>
              <w:rPr>
                <w:rFonts w:ascii="宋体"/>
              </w:rPr>
            </w:pPr>
          </w:p>
        </w:tc>
        <w:tc>
          <w:tcPr>
            <w:tcW w:w="5" w:type="pct"/>
            <w:shd w:val="clear" w:color="auto" w:fill="auto"/>
          </w:tcPr>
          <w:p w14:paraId="33DAFA21" w14:textId="77777777" w:rsidR="004D6A64" w:rsidRDefault="004D6A64">
            <w:pPr>
              <w:rPr>
                <w:rFonts w:ascii="宋体"/>
              </w:rPr>
            </w:pPr>
          </w:p>
        </w:tc>
        <w:tc>
          <w:tcPr>
            <w:tcW w:w="5" w:type="pct"/>
            <w:shd w:val="clear" w:color="auto" w:fill="auto"/>
          </w:tcPr>
          <w:p w14:paraId="33DAFA22" w14:textId="77777777" w:rsidR="004D6A64" w:rsidRDefault="004D6A64">
            <w:pPr>
              <w:rPr>
                <w:rFonts w:ascii="宋体"/>
              </w:rPr>
            </w:pPr>
          </w:p>
        </w:tc>
        <w:tc>
          <w:tcPr>
            <w:tcW w:w="26" w:type="pct"/>
            <w:shd w:val="clear" w:color="auto" w:fill="auto"/>
          </w:tcPr>
          <w:p w14:paraId="33DAFA23" w14:textId="77777777" w:rsidR="004D6A64" w:rsidRDefault="004D6A64">
            <w:pPr>
              <w:rPr>
                <w:rFonts w:ascii="宋体"/>
              </w:rPr>
            </w:pPr>
          </w:p>
        </w:tc>
        <w:tc>
          <w:tcPr>
            <w:tcW w:w="5" w:type="pct"/>
            <w:shd w:val="clear" w:color="auto" w:fill="auto"/>
          </w:tcPr>
          <w:p w14:paraId="33DAFA24" w14:textId="77777777" w:rsidR="004D6A64" w:rsidRDefault="004D6A64">
            <w:pPr>
              <w:rPr>
                <w:rFonts w:ascii="宋体"/>
              </w:rPr>
            </w:pPr>
          </w:p>
        </w:tc>
        <w:tc>
          <w:tcPr>
            <w:tcW w:w="50" w:type="pct"/>
            <w:shd w:val="clear" w:color="auto" w:fill="auto"/>
          </w:tcPr>
          <w:p w14:paraId="33DAFA25" w14:textId="77777777" w:rsidR="004D6A64" w:rsidRDefault="004D6A64">
            <w:pPr>
              <w:rPr>
                <w:rFonts w:ascii="宋体"/>
              </w:rPr>
            </w:pPr>
          </w:p>
        </w:tc>
        <w:tc>
          <w:tcPr>
            <w:tcW w:w="4243" w:type="pct"/>
            <w:shd w:val="clear" w:color="auto" w:fill="auto"/>
          </w:tcPr>
          <w:p w14:paraId="33DAFA26" w14:textId="77777777" w:rsidR="004D6A64" w:rsidRDefault="004D6A64">
            <w:pPr>
              <w:rPr>
                <w:rFonts w:ascii="宋体"/>
              </w:rPr>
            </w:pPr>
          </w:p>
        </w:tc>
        <w:tc>
          <w:tcPr>
            <w:tcW w:w="5" w:type="pct"/>
            <w:shd w:val="clear" w:color="auto" w:fill="auto"/>
          </w:tcPr>
          <w:p w14:paraId="33DAFA27" w14:textId="77777777" w:rsidR="004D6A64" w:rsidRDefault="004D6A64">
            <w:pPr>
              <w:rPr>
                <w:rFonts w:ascii="宋体"/>
              </w:rPr>
            </w:pPr>
          </w:p>
        </w:tc>
      </w:tr>
      <w:tr w:rsidR="004D6A64" w14:paraId="33DAFA2C" w14:textId="77777777">
        <w:trPr>
          <w:jc w:val="center"/>
          <w:hidden/>
        </w:trPr>
        <w:tc>
          <w:tcPr>
            <w:tcW w:w="0" w:type="auto"/>
            <w:gridSpan w:val="3"/>
            <w:shd w:val="clear" w:color="auto" w:fill="auto"/>
          </w:tcPr>
          <w:p w14:paraId="33DAFA29" w14:textId="77777777" w:rsidR="004D6A64" w:rsidRDefault="004D6A64">
            <w:pPr>
              <w:rPr>
                <w:rFonts w:ascii="宋体"/>
                <w:vanish/>
              </w:rPr>
            </w:pPr>
          </w:p>
        </w:tc>
        <w:tc>
          <w:tcPr>
            <w:tcW w:w="0" w:type="auto"/>
            <w:gridSpan w:val="3"/>
            <w:shd w:val="clear" w:color="auto" w:fill="auto"/>
          </w:tcPr>
          <w:p w14:paraId="33DAFA2A" w14:textId="77777777" w:rsidR="004D6A64" w:rsidRDefault="004D6A64">
            <w:pPr>
              <w:rPr>
                <w:rFonts w:ascii="宋体"/>
                <w:vanish/>
              </w:rPr>
            </w:pPr>
          </w:p>
        </w:tc>
        <w:tc>
          <w:tcPr>
            <w:tcW w:w="0" w:type="auto"/>
            <w:gridSpan w:val="3"/>
            <w:shd w:val="clear" w:color="auto" w:fill="auto"/>
          </w:tcPr>
          <w:p w14:paraId="33DAFA2B" w14:textId="77777777" w:rsidR="004D6A64" w:rsidRDefault="004D6A64">
            <w:pPr>
              <w:rPr>
                <w:rFonts w:ascii="宋体"/>
                <w:vanish/>
              </w:rPr>
            </w:pPr>
          </w:p>
        </w:tc>
      </w:tr>
      <w:tr w:rsidR="004D6A64" w14:paraId="33DAFA30"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33DAFA2D" w14:textId="77777777" w:rsidR="004D6A64" w:rsidRDefault="00506CD6">
            <w:pPr>
              <w:jc w:val="right"/>
              <w:textAlignment w:val="top"/>
            </w:pPr>
            <w:r>
              <w:rPr>
                <w:rFonts w:ascii="Times New Roman" w:eastAsia="宋体" w:hAnsi="Times New Roman"/>
                <w:color w:val="000000"/>
                <w:sz w:val="20"/>
                <w:szCs w:val="20"/>
              </w:rPr>
              <w:t>††</w:t>
            </w:r>
          </w:p>
        </w:tc>
        <w:tc>
          <w:tcPr>
            <w:tcW w:w="0" w:type="auto"/>
            <w:gridSpan w:val="3"/>
            <w:shd w:val="clear" w:color="auto" w:fill="auto"/>
            <w:tcMar>
              <w:left w:w="20" w:type="dxa"/>
              <w:right w:w="20" w:type="dxa"/>
            </w:tcMar>
            <w:vAlign w:val="bottom"/>
          </w:tcPr>
          <w:p w14:paraId="33DAFA2E"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tcPr>
          <w:p w14:paraId="33DAFA2F" w14:textId="77777777" w:rsidR="004D6A64" w:rsidRDefault="00506CD6">
            <w:pPr>
              <w:textAlignment w:val="top"/>
            </w:pPr>
            <w:r>
              <w:rPr>
                <w:rFonts w:ascii="Times New Roman" w:eastAsia="宋体" w:hAnsi="Times New Roman"/>
                <w:color w:val="000000"/>
                <w:sz w:val="20"/>
                <w:szCs w:val="20"/>
              </w:rPr>
              <w:t xml:space="preserve">Filed </w:t>
            </w:r>
            <w:r>
              <w:rPr>
                <w:rFonts w:ascii="Times New Roman" w:eastAsia="宋体" w:hAnsi="Times New Roman"/>
                <w:color w:val="000000"/>
                <w:sz w:val="20"/>
                <w:szCs w:val="20"/>
              </w:rPr>
              <w:t>with this report.</w:t>
            </w:r>
          </w:p>
        </w:tc>
      </w:tr>
      <w:tr w:rsidR="004D6A64" w14:paraId="33DAFA34" w14:textId="77777777">
        <w:trPr>
          <w:jc w:val="center"/>
        </w:trPr>
        <w:tc>
          <w:tcPr>
            <w:tcW w:w="0" w:type="auto"/>
            <w:gridSpan w:val="3"/>
            <w:shd w:val="clear" w:color="auto" w:fill="auto"/>
            <w:tcMar>
              <w:top w:w="40" w:type="dxa"/>
              <w:left w:w="20" w:type="dxa"/>
              <w:bottom w:w="40" w:type="dxa"/>
              <w:right w:w="20" w:type="dxa"/>
            </w:tcMar>
          </w:tcPr>
          <w:p w14:paraId="33DAFA31" w14:textId="77777777" w:rsidR="004D6A64" w:rsidRDefault="00506CD6">
            <w:pPr>
              <w:jc w:val="right"/>
              <w:textAlignment w:val="top"/>
            </w:pPr>
            <w:r>
              <w:rPr>
                <w:rFonts w:ascii="Times New Roman" w:eastAsia="宋体" w:hAnsi="Times New Roman"/>
                <w:color w:val="000000"/>
                <w:sz w:val="20"/>
                <w:szCs w:val="20"/>
              </w:rPr>
              <w:t>†††</w:t>
            </w:r>
          </w:p>
        </w:tc>
        <w:tc>
          <w:tcPr>
            <w:tcW w:w="0" w:type="auto"/>
            <w:gridSpan w:val="3"/>
            <w:shd w:val="clear" w:color="auto" w:fill="auto"/>
            <w:tcMar>
              <w:left w:w="20" w:type="dxa"/>
              <w:right w:w="20" w:type="dxa"/>
            </w:tcMar>
            <w:vAlign w:val="bottom"/>
          </w:tcPr>
          <w:p w14:paraId="33DAFA32"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tcPr>
          <w:p w14:paraId="33DAFA33" w14:textId="77777777" w:rsidR="004D6A64" w:rsidRDefault="00506CD6">
            <w:pPr>
              <w:textAlignment w:val="top"/>
            </w:pPr>
            <w:r>
              <w:rPr>
                <w:rFonts w:ascii="Times New Roman" w:eastAsia="宋体" w:hAnsi="Times New Roman"/>
                <w:color w:val="000000"/>
                <w:sz w:val="20"/>
                <w:szCs w:val="20"/>
              </w:rPr>
              <w:t>Furnished with this report.</w:t>
            </w:r>
          </w:p>
        </w:tc>
      </w:tr>
      <w:tr w:rsidR="004D6A64" w14:paraId="33DAFA38" w14:textId="77777777">
        <w:trPr>
          <w:jc w:val="center"/>
          <w:hidden/>
        </w:trPr>
        <w:tc>
          <w:tcPr>
            <w:tcW w:w="0" w:type="auto"/>
            <w:gridSpan w:val="3"/>
            <w:shd w:val="clear" w:color="auto" w:fill="auto"/>
          </w:tcPr>
          <w:p w14:paraId="33DAFA35" w14:textId="77777777" w:rsidR="004D6A64" w:rsidRDefault="004D6A64">
            <w:pPr>
              <w:rPr>
                <w:rFonts w:ascii="宋体"/>
                <w:vanish/>
              </w:rPr>
            </w:pPr>
          </w:p>
        </w:tc>
        <w:tc>
          <w:tcPr>
            <w:tcW w:w="0" w:type="auto"/>
            <w:gridSpan w:val="3"/>
            <w:shd w:val="clear" w:color="auto" w:fill="auto"/>
          </w:tcPr>
          <w:p w14:paraId="33DAFA36" w14:textId="77777777" w:rsidR="004D6A64" w:rsidRDefault="004D6A64">
            <w:pPr>
              <w:rPr>
                <w:rFonts w:ascii="宋体"/>
                <w:vanish/>
              </w:rPr>
            </w:pPr>
          </w:p>
        </w:tc>
        <w:tc>
          <w:tcPr>
            <w:tcW w:w="0" w:type="auto"/>
            <w:gridSpan w:val="3"/>
            <w:shd w:val="clear" w:color="auto" w:fill="auto"/>
          </w:tcPr>
          <w:p w14:paraId="33DAFA37" w14:textId="77777777" w:rsidR="004D6A64" w:rsidRDefault="004D6A64">
            <w:pPr>
              <w:rPr>
                <w:rFonts w:ascii="宋体"/>
                <w:vanish/>
              </w:rPr>
            </w:pPr>
          </w:p>
        </w:tc>
      </w:tr>
    </w:tbl>
    <w:p w14:paraId="33DAFA39" w14:textId="77777777" w:rsidR="004D6A64" w:rsidRDefault="004D6A64"/>
    <w:p w14:paraId="33DAFA3A" w14:textId="77777777" w:rsidR="004D6A64" w:rsidRDefault="004D6A64">
      <w:pPr>
        <w:jc w:val="center"/>
      </w:pPr>
    </w:p>
    <w:p w14:paraId="33DAFA3B" w14:textId="77777777" w:rsidR="004D6A64" w:rsidRDefault="00506CD6">
      <w:pPr>
        <w:jc w:val="center"/>
      </w:pPr>
      <w:r>
        <w:rPr>
          <w:rFonts w:ascii="Times New Roman" w:eastAsia="宋体" w:hAnsi="Times New Roman"/>
          <w:color w:val="000000"/>
          <w:sz w:val="20"/>
          <w:szCs w:val="20"/>
        </w:rPr>
        <w:t>96</w:t>
      </w:r>
    </w:p>
    <w:p w14:paraId="33DAFA3C" w14:textId="77777777" w:rsidR="004D6A64" w:rsidRDefault="004D6A64">
      <w:pPr>
        <w:jc w:val="center"/>
      </w:pPr>
    </w:p>
    <w:p w14:paraId="33DAFA3D" w14:textId="77777777" w:rsidR="004D6A64" w:rsidRDefault="00506CD6">
      <w:r>
        <w:pict w14:anchorId="33DAFB24">
          <v:rect id="_x0000_i1120" style="width:415.3pt;height:1.5pt" o:hralign="center" o:hrstd="t" o:hr="t" fillcolor="#a0a0a0" stroked="f"/>
        </w:pict>
      </w:r>
    </w:p>
    <w:p w14:paraId="33DAFA3E" w14:textId="77777777" w:rsidR="004D6A64" w:rsidRDefault="00506CD6">
      <w:hyperlink r:id="rId225" w:anchor="if3e0e1bf9ecd4bf69551d7a85f98d64a_10" w:history="1">
        <w:r>
          <w:rPr>
            <w:rStyle w:val="a5"/>
            <w:rFonts w:ascii="Times New Roman" w:eastAsia="宋体" w:hAnsi="Times New Roman"/>
            <w:sz w:val="20"/>
            <w:szCs w:val="20"/>
          </w:rPr>
          <w:t>Table of Contents</w:t>
        </w:r>
      </w:hyperlink>
    </w:p>
    <w:p w14:paraId="33DAFA3F" w14:textId="77777777" w:rsidR="004D6A64" w:rsidRDefault="00506CD6">
      <w:pPr>
        <w:jc w:val="center"/>
      </w:pPr>
      <w:r>
        <w:rPr>
          <w:rFonts w:ascii="Times New Roman" w:eastAsia="宋体" w:hAnsi="Times New Roman"/>
          <w:b/>
          <w:bCs/>
          <w:color w:val="000000"/>
          <w:sz w:val="20"/>
          <w:szCs w:val="20"/>
        </w:rPr>
        <w:t>SIGNATURES</w:t>
      </w:r>
    </w:p>
    <w:p w14:paraId="33DAFA40" w14:textId="77777777" w:rsidR="004D6A64" w:rsidRDefault="004D6A64">
      <w:pPr>
        <w:jc w:val="center"/>
      </w:pPr>
    </w:p>
    <w:p w14:paraId="33DAFA41" w14:textId="77777777" w:rsidR="004D6A64" w:rsidRDefault="00506CD6">
      <w:r>
        <w:rPr>
          <w:rFonts w:ascii="Times New Roman" w:eastAsia="宋体" w:hAnsi="Times New Roman"/>
          <w:color w:val="000000"/>
          <w:sz w:val="20"/>
          <w:szCs w:val="20"/>
          <w:shd w:val="clear" w:color="auto" w:fill="FFFFFF"/>
        </w:rPr>
        <w:t>Pursuant to the requirements of the Securities Exchange Act of 1934, the</w:t>
      </w:r>
      <w:r>
        <w:rPr>
          <w:rFonts w:ascii="Times New Roman" w:eastAsia="宋体" w:hAnsi="Times New Roman"/>
          <w:color w:val="000000"/>
          <w:sz w:val="20"/>
          <w:szCs w:val="20"/>
          <w:shd w:val="clear" w:color="auto" w:fill="FFFFFF"/>
        </w:rPr>
        <w:t xml:space="preserve"> registrant has duly caused this report to be signed on its behalf by the undersigned, thereunto duly authorized.</w:t>
      </w:r>
    </w:p>
    <w:p w14:paraId="33DAFA42" w14:textId="77777777" w:rsidR="004D6A64" w:rsidRDefault="00506CD6">
      <w:r>
        <w:rPr>
          <w:rFonts w:ascii="Times New Roman" w:eastAsia="宋体" w:hAnsi="Times New Roman"/>
          <w:color w:val="000000"/>
          <w:sz w:val="20"/>
          <w:szCs w:val="20"/>
        </w:rPr>
        <w:t> </w:t>
      </w:r>
    </w:p>
    <w:tbl>
      <w:tblPr>
        <w:tblW w:w="4795" w:type="pct"/>
        <w:tblCellMar>
          <w:top w:w="15" w:type="dxa"/>
          <w:left w:w="15" w:type="dxa"/>
          <w:bottom w:w="15" w:type="dxa"/>
          <w:right w:w="15" w:type="dxa"/>
        </w:tblCellMar>
        <w:tblLook w:val="04A0" w:firstRow="1" w:lastRow="0" w:firstColumn="1" w:lastColumn="0" w:noHBand="0" w:noVBand="1"/>
      </w:tblPr>
      <w:tblGrid>
        <w:gridCol w:w="46"/>
        <w:gridCol w:w="3235"/>
        <w:gridCol w:w="36"/>
        <w:gridCol w:w="89"/>
        <w:gridCol w:w="282"/>
        <w:gridCol w:w="37"/>
        <w:gridCol w:w="47"/>
        <w:gridCol w:w="4078"/>
        <w:gridCol w:w="36"/>
        <w:gridCol w:w="36"/>
        <w:gridCol w:w="36"/>
        <w:gridCol w:w="36"/>
      </w:tblGrid>
      <w:tr w:rsidR="004D6A64" w14:paraId="33DAFA4C" w14:textId="77777777">
        <w:trPr>
          <w:gridAfter w:val="3"/>
        </w:trPr>
        <w:tc>
          <w:tcPr>
            <w:tcW w:w="50" w:type="pct"/>
            <w:shd w:val="clear" w:color="auto" w:fill="auto"/>
          </w:tcPr>
          <w:p w14:paraId="33DAFA43" w14:textId="77777777" w:rsidR="004D6A64" w:rsidRDefault="004D6A64">
            <w:pPr>
              <w:rPr>
                <w:rFonts w:ascii="宋体"/>
              </w:rPr>
            </w:pPr>
          </w:p>
        </w:tc>
        <w:tc>
          <w:tcPr>
            <w:tcW w:w="2071" w:type="pct"/>
            <w:shd w:val="clear" w:color="auto" w:fill="auto"/>
          </w:tcPr>
          <w:p w14:paraId="33DAFA44" w14:textId="77777777" w:rsidR="004D6A64" w:rsidRDefault="004D6A64">
            <w:pPr>
              <w:rPr>
                <w:rFonts w:ascii="宋体"/>
              </w:rPr>
            </w:pPr>
          </w:p>
        </w:tc>
        <w:tc>
          <w:tcPr>
            <w:tcW w:w="5" w:type="pct"/>
            <w:shd w:val="clear" w:color="auto" w:fill="auto"/>
          </w:tcPr>
          <w:p w14:paraId="33DAFA45" w14:textId="77777777" w:rsidR="004D6A64" w:rsidRDefault="004D6A64">
            <w:pPr>
              <w:rPr>
                <w:rFonts w:ascii="宋体"/>
              </w:rPr>
            </w:pPr>
          </w:p>
        </w:tc>
        <w:tc>
          <w:tcPr>
            <w:tcW w:w="50" w:type="pct"/>
            <w:shd w:val="clear" w:color="auto" w:fill="auto"/>
          </w:tcPr>
          <w:p w14:paraId="33DAFA46" w14:textId="77777777" w:rsidR="004D6A64" w:rsidRDefault="004D6A64">
            <w:pPr>
              <w:rPr>
                <w:rFonts w:ascii="宋体"/>
              </w:rPr>
            </w:pPr>
          </w:p>
        </w:tc>
        <w:tc>
          <w:tcPr>
            <w:tcW w:w="158" w:type="pct"/>
            <w:shd w:val="clear" w:color="auto" w:fill="auto"/>
          </w:tcPr>
          <w:p w14:paraId="33DAFA47" w14:textId="77777777" w:rsidR="004D6A64" w:rsidRDefault="004D6A64">
            <w:pPr>
              <w:rPr>
                <w:rFonts w:ascii="宋体"/>
              </w:rPr>
            </w:pPr>
          </w:p>
        </w:tc>
        <w:tc>
          <w:tcPr>
            <w:tcW w:w="5" w:type="pct"/>
            <w:shd w:val="clear" w:color="auto" w:fill="auto"/>
          </w:tcPr>
          <w:p w14:paraId="33DAFA48" w14:textId="77777777" w:rsidR="004D6A64" w:rsidRDefault="004D6A64">
            <w:pPr>
              <w:rPr>
                <w:rFonts w:ascii="宋体"/>
              </w:rPr>
            </w:pPr>
          </w:p>
        </w:tc>
        <w:tc>
          <w:tcPr>
            <w:tcW w:w="50" w:type="pct"/>
            <w:shd w:val="clear" w:color="auto" w:fill="auto"/>
          </w:tcPr>
          <w:p w14:paraId="33DAFA49" w14:textId="77777777" w:rsidR="004D6A64" w:rsidRDefault="004D6A64">
            <w:pPr>
              <w:rPr>
                <w:rFonts w:ascii="宋体"/>
              </w:rPr>
            </w:pPr>
          </w:p>
        </w:tc>
        <w:tc>
          <w:tcPr>
            <w:tcW w:w="2605" w:type="pct"/>
            <w:shd w:val="clear" w:color="auto" w:fill="auto"/>
          </w:tcPr>
          <w:p w14:paraId="33DAFA4A" w14:textId="77777777" w:rsidR="004D6A64" w:rsidRDefault="004D6A64">
            <w:pPr>
              <w:rPr>
                <w:rFonts w:ascii="宋体"/>
              </w:rPr>
            </w:pPr>
          </w:p>
        </w:tc>
        <w:tc>
          <w:tcPr>
            <w:tcW w:w="5" w:type="pct"/>
            <w:shd w:val="clear" w:color="auto" w:fill="auto"/>
          </w:tcPr>
          <w:p w14:paraId="33DAFA4B" w14:textId="77777777" w:rsidR="004D6A64" w:rsidRDefault="004D6A64">
            <w:pPr>
              <w:rPr>
                <w:rFonts w:ascii="宋体"/>
              </w:rPr>
            </w:pPr>
          </w:p>
        </w:tc>
      </w:tr>
      <w:tr w:rsidR="004D6A64" w14:paraId="33DAFA50" w14:textId="77777777">
        <w:tc>
          <w:tcPr>
            <w:tcW w:w="0" w:type="auto"/>
            <w:gridSpan w:val="3"/>
            <w:shd w:val="clear" w:color="auto" w:fill="auto"/>
            <w:tcMar>
              <w:left w:w="20" w:type="dxa"/>
              <w:right w:w="20" w:type="dxa"/>
            </w:tcMar>
            <w:vAlign w:val="bottom"/>
          </w:tcPr>
          <w:p w14:paraId="33DAFA4D" w14:textId="77777777" w:rsidR="004D6A64" w:rsidRDefault="004D6A64">
            <w:pPr>
              <w:rPr>
                <w:rFonts w:ascii="宋体"/>
              </w:rPr>
            </w:pPr>
          </w:p>
        </w:tc>
        <w:tc>
          <w:tcPr>
            <w:tcW w:w="0" w:type="auto"/>
            <w:gridSpan w:val="6"/>
            <w:shd w:val="clear" w:color="auto" w:fill="auto"/>
            <w:tcMar>
              <w:top w:w="40" w:type="dxa"/>
              <w:left w:w="20" w:type="dxa"/>
              <w:bottom w:w="40" w:type="dxa"/>
              <w:right w:w="20" w:type="dxa"/>
            </w:tcMar>
            <w:vAlign w:val="bottom"/>
          </w:tcPr>
          <w:p w14:paraId="33DAFA4E" w14:textId="77777777" w:rsidR="004D6A64" w:rsidRDefault="00506CD6">
            <w:pPr>
              <w:textAlignment w:val="bottom"/>
            </w:pPr>
            <w:r>
              <w:rPr>
                <w:rFonts w:ascii="Times New Roman" w:eastAsia="宋体" w:hAnsi="Times New Roman"/>
                <w:color w:val="000000"/>
                <w:sz w:val="20"/>
                <w:szCs w:val="20"/>
              </w:rPr>
              <w:t>DELL TECHNOLOGIES INC.</w:t>
            </w:r>
          </w:p>
        </w:tc>
        <w:tc>
          <w:tcPr>
            <w:tcW w:w="0" w:type="auto"/>
            <w:gridSpan w:val="3"/>
            <w:shd w:val="clear" w:color="auto" w:fill="auto"/>
          </w:tcPr>
          <w:p w14:paraId="33DAFA4F" w14:textId="77777777" w:rsidR="004D6A64" w:rsidRDefault="004D6A64">
            <w:pPr>
              <w:rPr>
                <w:rFonts w:ascii="宋体"/>
                <w:vanish/>
              </w:rPr>
            </w:pPr>
          </w:p>
        </w:tc>
      </w:tr>
      <w:tr w:rsidR="004D6A64" w14:paraId="33DAFA57" w14:textId="77777777">
        <w:trPr>
          <w:trHeight w:val="300"/>
        </w:trPr>
        <w:tc>
          <w:tcPr>
            <w:tcW w:w="0" w:type="auto"/>
            <w:gridSpan w:val="3"/>
            <w:shd w:val="clear" w:color="auto" w:fill="auto"/>
            <w:tcMar>
              <w:left w:w="20" w:type="dxa"/>
              <w:right w:w="20" w:type="dxa"/>
            </w:tcMar>
            <w:vAlign w:val="bottom"/>
          </w:tcPr>
          <w:p w14:paraId="33DAFA51"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FA52"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FA53" w14:textId="77777777" w:rsidR="004D6A64" w:rsidRDefault="004D6A64">
            <w:pPr>
              <w:rPr>
                <w:rFonts w:ascii="宋体"/>
              </w:rPr>
            </w:pPr>
          </w:p>
        </w:tc>
        <w:tc>
          <w:tcPr>
            <w:tcW w:w="0" w:type="auto"/>
            <w:shd w:val="clear" w:color="auto" w:fill="auto"/>
          </w:tcPr>
          <w:p w14:paraId="33DAFA54" w14:textId="77777777" w:rsidR="004D6A64" w:rsidRDefault="004D6A64">
            <w:pPr>
              <w:rPr>
                <w:rFonts w:ascii="宋体"/>
              </w:rPr>
            </w:pPr>
          </w:p>
        </w:tc>
        <w:tc>
          <w:tcPr>
            <w:tcW w:w="0" w:type="auto"/>
            <w:shd w:val="clear" w:color="auto" w:fill="auto"/>
          </w:tcPr>
          <w:p w14:paraId="33DAFA55" w14:textId="77777777" w:rsidR="004D6A64" w:rsidRDefault="004D6A64">
            <w:pPr>
              <w:rPr>
                <w:rFonts w:ascii="宋体"/>
              </w:rPr>
            </w:pPr>
          </w:p>
        </w:tc>
        <w:tc>
          <w:tcPr>
            <w:tcW w:w="0" w:type="auto"/>
            <w:shd w:val="clear" w:color="auto" w:fill="auto"/>
          </w:tcPr>
          <w:p w14:paraId="33DAFA56" w14:textId="77777777" w:rsidR="004D6A64" w:rsidRDefault="004D6A64">
            <w:pPr>
              <w:rPr>
                <w:rFonts w:ascii="宋体"/>
              </w:rPr>
            </w:pPr>
          </w:p>
        </w:tc>
      </w:tr>
      <w:tr w:rsidR="004D6A64" w14:paraId="33DAFA5E" w14:textId="77777777">
        <w:tc>
          <w:tcPr>
            <w:tcW w:w="0" w:type="auto"/>
            <w:gridSpan w:val="3"/>
            <w:shd w:val="clear" w:color="auto" w:fill="auto"/>
            <w:tcMar>
              <w:top w:w="40" w:type="dxa"/>
              <w:left w:w="20" w:type="dxa"/>
              <w:bottom w:w="40" w:type="dxa"/>
              <w:right w:w="20" w:type="dxa"/>
            </w:tcMar>
          </w:tcPr>
          <w:p w14:paraId="33DAFA58" w14:textId="77777777" w:rsidR="004D6A64" w:rsidRDefault="00506CD6">
            <w:pPr>
              <w:textAlignment w:val="top"/>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tcPr>
          <w:p w14:paraId="33DAFA59" w14:textId="77777777" w:rsidR="004D6A64" w:rsidRDefault="00506CD6">
            <w:pPr>
              <w:textAlignment w:val="top"/>
            </w:pPr>
            <w:r>
              <w:rPr>
                <w:rFonts w:ascii="Times New Roman" w:eastAsia="宋体" w:hAnsi="Times New Roman"/>
                <w:color w:val="000000"/>
                <w:sz w:val="20"/>
                <w:szCs w:val="20"/>
              </w:rPr>
              <w:t>By: </w:t>
            </w:r>
          </w:p>
        </w:tc>
        <w:tc>
          <w:tcPr>
            <w:tcW w:w="0" w:type="auto"/>
            <w:gridSpan w:val="3"/>
            <w:shd w:val="clear" w:color="auto" w:fill="auto"/>
            <w:tcMar>
              <w:top w:w="40" w:type="dxa"/>
              <w:left w:w="20" w:type="dxa"/>
              <w:bottom w:w="40" w:type="dxa"/>
              <w:right w:w="20" w:type="dxa"/>
            </w:tcMar>
            <w:vAlign w:val="bottom"/>
          </w:tcPr>
          <w:p w14:paraId="33DAFA5A" w14:textId="77777777" w:rsidR="004D6A64" w:rsidRDefault="00506CD6">
            <w:pPr>
              <w:jc w:val="center"/>
              <w:textAlignment w:val="bottom"/>
            </w:pPr>
            <w:r>
              <w:rPr>
                <w:rFonts w:ascii="Times New Roman" w:eastAsia="宋体" w:hAnsi="Times New Roman"/>
                <w:color w:val="000000"/>
                <w:sz w:val="20"/>
                <w:szCs w:val="20"/>
              </w:rPr>
              <w:t>/s/ BRUNILDA RIOS</w:t>
            </w:r>
          </w:p>
        </w:tc>
        <w:tc>
          <w:tcPr>
            <w:tcW w:w="0" w:type="auto"/>
            <w:shd w:val="clear" w:color="auto" w:fill="auto"/>
          </w:tcPr>
          <w:p w14:paraId="33DAFA5B" w14:textId="77777777" w:rsidR="004D6A64" w:rsidRDefault="004D6A64">
            <w:pPr>
              <w:rPr>
                <w:rFonts w:ascii="宋体"/>
              </w:rPr>
            </w:pPr>
          </w:p>
        </w:tc>
        <w:tc>
          <w:tcPr>
            <w:tcW w:w="0" w:type="auto"/>
            <w:shd w:val="clear" w:color="auto" w:fill="auto"/>
          </w:tcPr>
          <w:p w14:paraId="33DAFA5C" w14:textId="77777777" w:rsidR="004D6A64" w:rsidRDefault="004D6A64">
            <w:pPr>
              <w:rPr>
                <w:rFonts w:ascii="宋体"/>
              </w:rPr>
            </w:pPr>
          </w:p>
        </w:tc>
        <w:tc>
          <w:tcPr>
            <w:tcW w:w="0" w:type="auto"/>
            <w:shd w:val="clear" w:color="auto" w:fill="auto"/>
          </w:tcPr>
          <w:p w14:paraId="33DAFA5D" w14:textId="77777777" w:rsidR="004D6A64" w:rsidRDefault="004D6A64">
            <w:pPr>
              <w:rPr>
                <w:rFonts w:ascii="宋体"/>
              </w:rPr>
            </w:pPr>
          </w:p>
        </w:tc>
      </w:tr>
      <w:tr w:rsidR="004D6A64" w14:paraId="33DAFA65" w14:textId="77777777">
        <w:tc>
          <w:tcPr>
            <w:tcW w:w="0" w:type="auto"/>
            <w:gridSpan w:val="3"/>
            <w:shd w:val="clear" w:color="auto" w:fill="auto"/>
            <w:tcMar>
              <w:left w:w="20" w:type="dxa"/>
              <w:right w:w="20" w:type="dxa"/>
            </w:tcMar>
            <w:vAlign w:val="bottom"/>
          </w:tcPr>
          <w:p w14:paraId="33DAFA5F"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FA60" w14:textId="77777777" w:rsidR="004D6A64" w:rsidRDefault="004D6A6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3DAFA61" w14:textId="77777777" w:rsidR="004D6A64" w:rsidRDefault="00506CD6">
            <w:pPr>
              <w:jc w:val="center"/>
              <w:textAlignment w:val="bottom"/>
            </w:pPr>
            <w:r>
              <w:rPr>
                <w:rFonts w:ascii="Times New Roman" w:eastAsia="宋体" w:hAnsi="Times New Roman"/>
                <w:color w:val="000000"/>
                <w:sz w:val="20"/>
                <w:szCs w:val="20"/>
              </w:rPr>
              <w:t>Brunilda Rios</w:t>
            </w:r>
          </w:p>
        </w:tc>
        <w:tc>
          <w:tcPr>
            <w:tcW w:w="0" w:type="auto"/>
            <w:shd w:val="clear" w:color="auto" w:fill="auto"/>
          </w:tcPr>
          <w:p w14:paraId="33DAFA62" w14:textId="77777777" w:rsidR="004D6A64" w:rsidRDefault="004D6A64">
            <w:pPr>
              <w:rPr>
                <w:rFonts w:ascii="宋体"/>
              </w:rPr>
            </w:pPr>
          </w:p>
        </w:tc>
        <w:tc>
          <w:tcPr>
            <w:tcW w:w="0" w:type="auto"/>
            <w:shd w:val="clear" w:color="auto" w:fill="auto"/>
          </w:tcPr>
          <w:p w14:paraId="33DAFA63" w14:textId="77777777" w:rsidR="004D6A64" w:rsidRDefault="004D6A64">
            <w:pPr>
              <w:rPr>
                <w:rFonts w:ascii="宋体"/>
              </w:rPr>
            </w:pPr>
          </w:p>
        </w:tc>
        <w:tc>
          <w:tcPr>
            <w:tcW w:w="0" w:type="auto"/>
            <w:shd w:val="clear" w:color="auto" w:fill="auto"/>
          </w:tcPr>
          <w:p w14:paraId="33DAFA64" w14:textId="77777777" w:rsidR="004D6A64" w:rsidRDefault="004D6A64">
            <w:pPr>
              <w:rPr>
                <w:rFonts w:ascii="宋体"/>
              </w:rPr>
            </w:pPr>
          </w:p>
        </w:tc>
      </w:tr>
      <w:tr w:rsidR="004D6A64" w14:paraId="33DAFA6C" w14:textId="77777777">
        <w:tc>
          <w:tcPr>
            <w:tcW w:w="0" w:type="auto"/>
            <w:gridSpan w:val="3"/>
            <w:shd w:val="clear" w:color="auto" w:fill="auto"/>
            <w:tcMar>
              <w:left w:w="20" w:type="dxa"/>
              <w:right w:w="20" w:type="dxa"/>
            </w:tcMar>
            <w:vAlign w:val="bottom"/>
          </w:tcPr>
          <w:p w14:paraId="33DAFA66"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FA67"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FA68" w14:textId="77777777" w:rsidR="004D6A64" w:rsidRDefault="00506CD6">
            <w:pPr>
              <w:jc w:val="center"/>
              <w:textAlignment w:val="bottom"/>
            </w:pPr>
            <w:r>
              <w:rPr>
                <w:rFonts w:ascii="Times New Roman" w:eastAsia="宋体" w:hAnsi="Times New Roman"/>
                <w:i/>
                <w:iCs/>
                <w:color w:val="000000"/>
                <w:sz w:val="20"/>
                <w:szCs w:val="20"/>
              </w:rPr>
              <w:t xml:space="preserve">Senior Vice President, Corporate </w:t>
            </w:r>
            <w:r>
              <w:rPr>
                <w:rFonts w:ascii="Times New Roman" w:eastAsia="宋体" w:hAnsi="Times New Roman"/>
                <w:i/>
                <w:iCs/>
                <w:color w:val="000000"/>
                <w:sz w:val="20"/>
                <w:szCs w:val="20"/>
              </w:rPr>
              <w:t>Finance and</w:t>
            </w:r>
          </w:p>
        </w:tc>
        <w:tc>
          <w:tcPr>
            <w:tcW w:w="0" w:type="auto"/>
            <w:shd w:val="clear" w:color="auto" w:fill="auto"/>
          </w:tcPr>
          <w:p w14:paraId="33DAFA69" w14:textId="77777777" w:rsidR="004D6A64" w:rsidRDefault="004D6A64">
            <w:pPr>
              <w:rPr>
                <w:rFonts w:ascii="宋体"/>
              </w:rPr>
            </w:pPr>
          </w:p>
        </w:tc>
        <w:tc>
          <w:tcPr>
            <w:tcW w:w="0" w:type="auto"/>
            <w:shd w:val="clear" w:color="auto" w:fill="auto"/>
          </w:tcPr>
          <w:p w14:paraId="33DAFA6A" w14:textId="77777777" w:rsidR="004D6A64" w:rsidRDefault="004D6A64">
            <w:pPr>
              <w:rPr>
                <w:rFonts w:ascii="宋体"/>
              </w:rPr>
            </w:pPr>
          </w:p>
        </w:tc>
        <w:tc>
          <w:tcPr>
            <w:tcW w:w="0" w:type="auto"/>
            <w:shd w:val="clear" w:color="auto" w:fill="auto"/>
          </w:tcPr>
          <w:p w14:paraId="33DAFA6B" w14:textId="77777777" w:rsidR="004D6A64" w:rsidRDefault="004D6A64">
            <w:pPr>
              <w:rPr>
                <w:rFonts w:ascii="宋体"/>
              </w:rPr>
            </w:pPr>
          </w:p>
        </w:tc>
      </w:tr>
      <w:tr w:rsidR="004D6A64" w14:paraId="33DAFA73" w14:textId="77777777">
        <w:tc>
          <w:tcPr>
            <w:tcW w:w="0" w:type="auto"/>
            <w:gridSpan w:val="3"/>
            <w:shd w:val="clear" w:color="auto" w:fill="auto"/>
            <w:tcMar>
              <w:left w:w="20" w:type="dxa"/>
              <w:right w:w="20" w:type="dxa"/>
            </w:tcMar>
            <w:vAlign w:val="bottom"/>
          </w:tcPr>
          <w:p w14:paraId="33DAFA6D"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FA6E"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FA6F" w14:textId="77777777" w:rsidR="004D6A64" w:rsidRDefault="00506CD6">
            <w:pPr>
              <w:jc w:val="center"/>
              <w:textAlignment w:val="bottom"/>
            </w:pPr>
            <w:r>
              <w:rPr>
                <w:rFonts w:ascii="Times New Roman" w:eastAsia="宋体" w:hAnsi="Times New Roman"/>
                <w:i/>
                <w:iCs/>
                <w:color w:val="000000"/>
                <w:sz w:val="20"/>
                <w:szCs w:val="20"/>
              </w:rPr>
              <w:t>Chief Accounting Officer</w:t>
            </w:r>
          </w:p>
        </w:tc>
        <w:tc>
          <w:tcPr>
            <w:tcW w:w="0" w:type="auto"/>
            <w:shd w:val="clear" w:color="auto" w:fill="auto"/>
          </w:tcPr>
          <w:p w14:paraId="33DAFA70" w14:textId="77777777" w:rsidR="004D6A64" w:rsidRDefault="004D6A64">
            <w:pPr>
              <w:rPr>
                <w:rFonts w:ascii="宋体"/>
              </w:rPr>
            </w:pPr>
          </w:p>
        </w:tc>
        <w:tc>
          <w:tcPr>
            <w:tcW w:w="0" w:type="auto"/>
            <w:shd w:val="clear" w:color="auto" w:fill="auto"/>
          </w:tcPr>
          <w:p w14:paraId="33DAFA71" w14:textId="77777777" w:rsidR="004D6A64" w:rsidRDefault="004D6A64">
            <w:pPr>
              <w:rPr>
                <w:rFonts w:ascii="宋体"/>
              </w:rPr>
            </w:pPr>
          </w:p>
        </w:tc>
        <w:tc>
          <w:tcPr>
            <w:tcW w:w="0" w:type="auto"/>
            <w:shd w:val="clear" w:color="auto" w:fill="auto"/>
          </w:tcPr>
          <w:p w14:paraId="33DAFA72" w14:textId="77777777" w:rsidR="004D6A64" w:rsidRDefault="004D6A64">
            <w:pPr>
              <w:rPr>
                <w:rFonts w:ascii="宋体"/>
              </w:rPr>
            </w:pPr>
          </w:p>
        </w:tc>
      </w:tr>
      <w:tr w:rsidR="004D6A64" w14:paraId="33DAFA7A" w14:textId="77777777">
        <w:tc>
          <w:tcPr>
            <w:tcW w:w="0" w:type="auto"/>
            <w:gridSpan w:val="3"/>
            <w:shd w:val="clear" w:color="auto" w:fill="auto"/>
            <w:tcMar>
              <w:left w:w="20" w:type="dxa"/>
              <w:right w:w="20" w:type="dxa"/>
            </w:tcMar>
            <w:vAlign w:val="bottom"/>
          </w:tcPr>
          <w:p w14:paraId="33DAFA74" w14:textId="77777777" w:rsidR="004D6A64" w:rsidRDefault="004D6A64">
            <w:pPr>
              <w:rPr>
                <w:rFonts w:ascii="宋体"/>
              </w:rPr>
            </w:pPr>
          </w:p>
        </w:tc>
        <w:tc>
          <w:tcPr>
            <w:tcW w:w="0" w:type="auto"/>
            <w:gridSpan w:val="3"/>
            <w:shd w:val="clear" w:color="auto" w:fill="auto"/>
            <w:tcMar>
              <w:left w:w="20" w:type="dxa"/>
              <w:right w:w="20" w:type="dxa"/>
            </w:tcMar>
            <w:vAlign w:val="bottom"/>
          </w:tcPr>
          <w:p w14:paraId="33DAFA75" w14:textId="77777777" w:rsidR="004D6A64" w:rsidRDefault="004D6A64">
            <w:pPr>
              <w:rPr>
                <w:rFonts w:ascii="宋体"/>
              </w:rPr>
            </w:pPr>
          </w:p>
        </w:tc>
        <w:tc>
          <w:tcPr>
            <w:tcW w:w="0" w:type="auto"/>
            <w:gridSpan w:val="3"/>
            <w:shd w:val="clear" w:color="auto" w:fill="auto"/>
            <w:tcMar>
              <w:top w:w="40" w:type="dxa"/>
              <w:left w:w="20" w:type="dxa"/>
              <w:bottom w:w="40" w:type="dxa"/>
              <w:right w:w="20" w:type="dxa"/>
            </w:tcMar>
            <w:vAlign w:val="bottom"/>
          </w:tcPr>
          <w:p w14:paraId="33DAFA76" w14:textId="77777777" w:rsidR="004D6A64" w:rsidRDefault="00506CD6">
            <w:pPr>
              <w:jc w:val="center"/>
              <w:textAlignment w:val="bottom"/>
            </w:pPr>
            <w:r>
              <w:rPr>
                <w:rFonts w:ascii="Times New Roman" w:eastAsia="宋体" w:hAnsi="Times New Roman"/>
                <w:color w:val="000000"/>
                <w:sz w:val="20"/>
                <w:szCs w:val="20"/>
              </w:rPr>
              <w:t>(On behalf of registrant and as principal accounting officer)</w:t>
            </w:r>
          </w:p>
        </w:tc>
        <w:tc>
          <w:tcPr>
            <w:tcW w:w="0" w:type="auto"/>
            <w:shd w:val="clear" w:color="auto" w:fill="auto"/>
          </w:tcPr>
          <w:p w14:paraId="33DAFA77" w14:textId="77777777" w:rsidR="004D6A64" w:rsidRDefault="004D6A64">
            <w:pPr>
              <w:rPr>
                <w:rFonts w:ascii="宋体"/>
              </w:rPr>
            </w:pPr>
          </w:p>
        </w:tc>
        <w:tc>
          <w:tcPr>
            <w:tcW w:w="0" w:type="auto"/>
            <w:shd w:val="clear" w:color="auto" w:fill="auto"/>
          </w:tcPr>
          <w:p w14:paraId="33DAFA78" w14:textId="77777777" w:rsidR="004D6A64" w:rsidRDefault="004D6A64">
            <w:pPr>
              <w:rPr>
                <w:rFonts w:ascii="宋体"/>
              </w:rPr>
            </w:pPr>
          </w:p>
        </w:tc>
        <w:tc>
          <w:tcPr>
            <w:tcW w:w="0" w:type="auto"/>
            <w:shd w:val="clear" w:color="auto" w:fill="auto"/>
          </w:tcPr>
          <w:p w14:paraId="33DAFA79" w14:textId="77777777" w:rsidR="004D6A64" w:rsidRDefault="004D6A64">
            <w:pPr>
              <w:rPr>
                <w:rFonts w:ascii="宋体"/>
              </w:rPr>
            </w:pPr>
          </w:p>
        </w:tc>
      </w:tr>
    </w:tbl>
    <w:p w14:paraId="33DAFA7B" w14:textId="77777777" w:rsidR="004D6A64" w:rsidRDefault="004D6A64"/>
    <w:p w14:paraId="33DAFA7C" w14:textId="77777777" w:rsidR="004D6A64" w:rsidRDefault="00506CD6">
      <w:r>
        <w:rPr>
          <w:rFonts w:ascii="Times New Roman" w:eastAsia="宋体" w:hAnsi="Times New Roman"/>
          <w:color w:val="000000"/>
          <w:sz w:val="20"/>
          <w:szCs w:val="20"/>
          <w:shd w:val="clear" w:color="auto" w:fill="FFFFFF"/>
        </w:rPr>
        <w:t>Dat</w:t>
      </w:r>
      <w:r>
        <w:rPr>
          <w:rFonts w:ascii="Times New Roman" w:eastAsia="宋体" w:hAnsi="Times New Roman"/>
          <w:color w:val="000000"/>
          <w:sz w:val="20"/>
          <w:szCs w:val="20"/>
        </w:rPr>
        <w:t xml:space="preserve">e: September 4, 2020 </w:t>
      </w:r>
    </w:p>
    <w:p w14:paraId="33DAFA7D" w14:textId="77777777" w:rsidR="004D6A64" w:rsidRDefault="004D6A64"/>
    <w:p w14:paraId="33DAFA7E" w14:textId="77777777" w:rsidR="004D6A64" w:rsidRDefault="004D6A64"/>
    <w:p w14:paraId="33DAFA7F" w14:textId="77777777" w:rsidR="004D6A64" w:rsidRDefault="004D6A64">
      <w:pPr>
        <w:jc w:val="center"/>
      </w:pPr>
    </w:p>
    <w:p w14:paraId="33DAFA80" w14:textId="77777777" w:rsidR="004D6A64" w:rsidRDefault="00506CD6">
      <w:pPr>
        <w:jc w:val="center"/>
      </w:pPr>
      <w:r>
        <w:rPr>
          <w:rFonts w:ascii="Times New Roman" w:eastAsia="宋体" w:hAnsi="Times New Roman"/>
          <w:color w:val="000000"/>
          <w:sz w:val="20"/>
          <w:szCs w:val="20"/>
        </w:rPr>
        <w:t>97</w:t>
      </w:r>
    </w:p>
    <w:p w14:paraId="33DAFA81" w14:textId="77777777" w:rsidR="004D6A64" w:rsidRDefault="004D6A64">
      <w:pPr>
        <w:jc w:val="center"/>
      </w:pPr>
    </w:p>
    <w:p w14:paraId="33DAFA82" w14:textId="77777777" w:rsidR="004D6A64" w:rsidRDefault="00506CD6">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3DAFB25" wp14:editId="33DAFB26">
                <wp:extent cx="635" cy="0"/>
                <wp:effectExtent l="0" t="0" r="0" b="0"/>
                <wp:docPr id="28" name="矩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f0mWY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f0mWYw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6A64" w14:paraId="33DAFA84" w14:textId="77777777">
        <w:trPr>
          <w:tblCellSpacing w:w="15" w:type="dxa"/>
        </w:trPr>
        <w:tc>
          <w:tcPr>
            <w:tcW w:w="0" w:type="auto"/>
            <w:shd w:val="clear" w:color="auto" w:fill="auto"/>
            <w:vAlign w:val="center"/>
          </w:tcPr>
          <w:p w14:paraId="33DAFA83" w14:textId="77777777" w:rsidR="004D6A64" w:rsidRDefault="004D6A64">
            <w:pPr>
              <w:rPr>
                <w:rFonts w:ascii="宋体"/>
              </w:rPr>
            </w:pPr>
          </w:p>
        </w:tc>
      </w:tr>
    </w:tbl>
    <w:p w14:paraId="33DAFA85" w14:textId="77777777" w:rsidR="004D6A64" w:rsidRDefault="004D6A6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6A64" w14:paraId="33DAFA87" w14:textId="77777777">
        <w:trPr>
          <w:tblCellSpacing w:w="15" w:type="dxa"/>
        </w:trPr>
        <w:tc>
          <w:tcPr>
            <w:tcW w:w="0" w:type="auto"/>
            <w:shd w:val="clear" w:color="auto" w:fill="auto"/>
            <w:vAlign w:val="center"/>
          </w:tcPr>
          <w:p w14:paraId="33DAFA86" w14:textId="77777777" w:rsidR="004D6A64" w:rsidRDefault="004D6A64">
            <w:pPr>
              <w:rPr>
                <w:rFonts w:ascii="宋体"/>
              </w:rPr>
            </w:pPr>
          </w:p>
        </w:tc>
      </w:tr>
    </w:tbl>
    <w:p w14:paraId="33DAFA88" w14:textId="77777777" w:rsidR="004D6A64" w:rsidRDefault="004D6A6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6A64" w14:paraId="33DAFA8A" w14:textId="77777777">
        <w:trPr>
          <w:tblCellSpacing w:w="15" w:type="dxa"/>
        </w:trPr>
        <w:tc>
          <w:tcPr>
            <w:tcW w:w="0" w:type="auto"/>
            <w:shd w:val="clear" w:color="auto" w:fill="auto"/>
            <w:vAlign w:val="center"/>
          </w:tcPr>
          <w:p w14:paraId="33DAFA89" w14:textId="77777777" w:rsidR="004D6A64" w:rsidRDefault="004D6A64">
            <w:pPr>
              <w:rPr>
                <w:rFonts w:ascii="宋体"/>
              </w:rPr>
            </w:pPr>
          </w:p>
        </w:tc>
      </w:tr>
    </w:tbl>
    <w:p w14:paraId="33DAFA8B" w14:textId="77777777" w:rsidR="004D6A64" w:rsidRDefault="004D6A6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6A64" w14:paraId="33DAFA8D" w14:textId="77777777">
        <w:trPr>
          <w:tblCellSpacing w:w="15" w:type="dxa"/>
        </w:trPr>
        <w:tc>
          <w:tcPr>
            <w:tcW w:w="0" w:type="auto"/>
            <w:shd w:val="clear" w:color="auto" w:fill="auto"/>
            <w:vAlign w:val="center"/>
          </w:tcPr>
          <w:p w14:paraId="33DAFA8C" w14:textId="77777777" w:rsidR="004D6A64" w:rsidRDefault="004D6A64">
            <w:pPr>
              <w:rPr>
                <w:rFonts w:ascii="宋体"/>
              </w:rPr>
            </w:pPr>
          </w:p>
        </w:tc>
      </w:tr>
    </w:tbl>
    <w:p w14:paraId="33DAFA8E" w14:textId="77777777" w:rsidR="004D6A64" w:rsidRDefault="00506CD6">
      <w:r>
        <w:rPr>
          <w:rFonts w:ascii="宋体" w:eastAsia="宋体" w:hAnsi="宋体" w:cs="宋体"/>
        </w:rPr>
        <w:t xml:space="preserve">Previous Next </w:t>
      </w:r>
    </w:p>
    <w:p w14:paraId="33DAFA8F" w14:textId="77777777" w:rsidR="004D6A64" w:rsidRDefault="00506CD6">
      <w:pPr>
        <w:pStyle w:val="a3"/>
      </w:pPr>
      <w:r>
        <w:t>Settings</w:t>
      </w:r>
    </w:p>
    <w:p w14:paraId="33DAFA90" w14:textId="77777777" w:rsidR="004D6A64" w:rsidRDefault="00506CD6">
      <w:pPr>
        <w:pStyle w:val="Style4"/>
      </w:pPr>
      <w:r>
        <w:t>窗体顶端</w:t>
      </w:r>
    </w:p>
    <w:p w14:paraId="33DAFA91" w14:textId="77777777" w:rsidR="004D6A64" w:rsidRDefault="00506CD6">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33DAFB27" wp14:editId="33DAFB28">
                <wp:extent cx="635" cy="0"/>
                <wp:effectExtent l="0" t="0" r="0" b="0"/>
                <wp:docPr id="29" name="矩形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SieP4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33DAFA92" w14:textId="77777777" w:rsidR="004D6A64" w:rsidRDefault="00506CD6">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33DAFB29" wp14:editId="33DAFB2A">
                <wp:extent cx="635" cy="0"/>
                <wp:effectExtent l="0" t="0" r="0" b="0"/>
                <wp:docPr id="30" name="矩形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vfsWw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cvfsWwACAAAaBAAADgAAAAAAAAAB&#10;ACAAAAAzAQAAZHJzL2Uyb0RvYy54bWxQSwUGAAAAAAYABgBZAQAApQU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33DAFA93" w14:textId="77777777" w:rsidR="004D6A64" w:rsidRDefault="00506CD6">
      <w:r>
        <w:pict w14:anchorId="33DAFB2B">
          <v:rect id="_x0000_i1121" style="width:415.3pt;height:1.5pt" o:hralign="center" o:hrstd="t" o:hr="t" fillcolor="#a0a0a0" stroked="f"/>
        </w:pict>
      </w:r>
    </w:p>
    <w:p w14:paraId="33DAFA94" w14:textId="77777777" w:rsidR="004D6A64" w:rsidRDefault="00506CD6">
      <w:r>
        <w:rPr>
          <w:rFonts w:ascii="宋体" w:eastAsia="宋体" w:hAnsi="宋体" w:cs="宋体"/>
        </w:rPr>
        <w:t xml:space="preserve">Tagged Data </w:t>
      </w:r>
    </w:p>
    <w:p w14:paraId="33DAFA95" w14:textId="77777777" w:rsidR="004D6A64" w:rsidRDefault="00506CD6">
      <w:r>
        <w:rPr>
          <w:rFonts w:ascii="monospace" w:eastAsia="monospace" w:hAnsi="monospace" w:cs="monospace"/>
          <w:noProof/>
        </w:rPr>
        <mc:AlternateContent>
          <mc:Choice Requires="wps">
            <w:drawing>
              <wp:inline distT="0" distB="0" distL="114300" distR="114300" wp14:anchorId="33DAFB2C" wp14:editId="33DAFB2D">
                <wp:extent cx="635" cy="0"/>
                <wp:effectExtent l="0" t="0" r="0" b="0"/>
                <wp:docPr id="31" name="矩形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kcAsY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33DAFA96" w14:textId="77777777" w:rsidR="004D6A64" w:rsidRDefault="00506CD6">
      <w:r>
        <w:rPr>
          <w:rFonts w:ascii="宋体" w:eastAsia="宋体" w:hAnsi="宋体" w:cs="宋体"/>
        </w:rPr>
        <w:t>Save</w:t>
      </w:r>
    </w:p>
    <w:p w14:paraId="33DAFA97" w14:textId="77777777" w:rsidR="004D6A64" w:rsidRDefault="00506CD6">
      <w:r>
        <w:rPr>
          <w:rFonts w:ascii="宋体" w:eastAsia="宋体" w:hAnsi="宋体" w:cs="宋体"/>
        </w:rPr>
        <w:t>Reset</w:t>
      </w:r>
    </w:p>
    <w:p w14:paraId="33DAFA98" w14:textId="77777777" w:rsidR="004D6A64" w:rsidRDefault="00506CD6">
      <w:r>
        <w:pict w14:anchorId="33DAFB2E">
          <v:rect id="_x0000_i1122" style="width:415.3pt;height:1.5pt" o:hralign="center" o:hrstd="t" o:hr="t" fillcolor="#a0a0a0" stroked="f"/>
        </w:pict>
      </w:r>
    </w:p>
    <w:p w14:paraId="33DAFA99" w14:textId="77777777" w:rsidR="004D6A64" w:rsidRDefault="00506CD6">
      <w:r>
        <w:rPr>
          <w:rFonts w:ascii="宋体" w:eastAsia="宋体" w:hAnsi="宋体" w:cs="宋体"/>
        </w:rPr>
        <w:t xml:space="preserve">Search Results </w:t>
      </w:r>
    </w:p>
    <w:p w14:paraId="33DAFA9A" w14:textId="77777777" w:rsidR="004D6A64" w:rsidRDefault="00506CD6">
      <w:r>
        <w:rPr>
          <w:rFonts w:ascii="monospace" w:eastAsia="monospace" w:hAnsi="monospace" w:cs="monospace"/>
          <w:noProof/>
        </w:rPr>
        <mc:AlternateContent>
          <mc:Choice Requires="wps">
            <w:drawing>
              <wp:inline distT="0" distB="0" distL="114300" distR="114300" wp14:anchorId="33DAFB2F" wp14:editId="33DAFB30">
                <wp:extent cx="635" cy="0"/>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SZAu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HzGmQNLE//97cevn98ZOUidIWBNQQ/hPmZ+GO68eELm/E0PrlPXGEhj2qMcW70Izgfcp23b&#10;aHM6EWbbov7uqL7aJibIeXl+wZk4+CuoD0khYvqkvGXZaHikgkVr2NxhymWhPoTkGs7famPKYI1j&#10;Q8M/XMw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UmQLs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33DAFA9B" w14:textId="77777777" w:rsidR="004D6A64" w:rsidRDefault="00506CD6">
      <w:r>
        <w:rPr>
          <w:rFonts w:ascii="宋体" w:eastAsia="宋体" w:hAnsi="宋体" w:cs="宋体"/>
        </w:rPr>
        <w:t>Save</w:t>
      </w:r>
    </w:p>
    <w:p w14:paraId="33DAFA9C" w14:textId="77777777" w:rsidR="004D6A64" w:rsidRDefault="00506CD6">
      <w:r>
        <w:rPr>
          <w:rFonts w:ascii="宋体" w:eastAsia="宋体" w:hAnsi="宋体" w:cs="宋体"/>
        </w:rPr>
        <w:t>Reset</w:t>
      </w:r>
    </w:p>
    <w:p w14:paraId="33DAFA9D" w14:textId="77777777" w:rsidR="004D6A64" w:rsidRDefault="00506CD6">
      <w:r>
        <w:pict w14:anchorId="33DAFB31">
          <v:rect id="_x0000_i1123" style="width:415.3pt;height:1.5pt" o:hralign="center" o:hrstd="t" o:hr="t" fillcolor="#a0a0a0" stroked="f"/>
        </w:pict>
      </w:r>
    </w:p>
    <w:p w14:paraId="33DAFA9E" w14:textId="77777777" w:rsidR="004D6A64" w:rsidRDefault="00506CD6">
      <w:r>
        <w:rPr>
          <w:rFonts w:ascii="宋体" w:eastAsia="宋体" w:hAnsi="宋体" w:cs="宋体"/>
        </w:rPr>
        <w:t xml:space="preserve">Selected Fact </w:t>
      </w:r>
    </w:p>
    <w:p w14:paraId="33DAFA9F" w14:textId="77777777" w:rsidR="004D6A64" w:rsidRDefault="00506CD6">
      <w:r>
        <w:rPr>
          <w:rFonts w:ascii="monospace" w:eastAsia="monospace" w:hAnsi="monospace" w:cs="monospace"/>
          <w:noProof/>
        </w:rPr>
        <mc:AlternateContent>
          <mc:Choice Requires="wps">
            <w:drawing>
              <wp:inline distT="0" distB="0" distL="114300" distR="114300" wp14:anchorId="33DAFB32" wp14:editId="33DAFB33">
                <wp:extent cx="635" cy="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7NriY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33DAFAA0" w14:textId="77777777" w:rsidR="004D6A64" w:rsidRDefault="00506CD6">
      <w:r>
        <w:rPr>
          <w:rFonts w:ascii="宋体" w:eastAsia="宋体" w:hAnsi="宋体" w:cs="宋体"/>
        </w:rPr>
        <w:t>Save</w:t>
      </w:r>
    </w:p>
    <w:p w14:paraId="33DAFAA1" w14:textId="77777777" w:rsidR="004D6A64" w:rsidRDefault="00506CD6">
      <w:r>
        <w:rPr>
          <w:rFonts w:ascii="宋体" w:eastAsia="宋体" w:hAnsi="宋体" w:cs="宋体"/>
        </w:rPr>
        <w:t>Reset</w:t>
      </w:r>
    </w:p>
    <w:p w14:paraId="33DAFAA2" w14:textId="77777777" w:rsidR="004D6A64" w:rsidRDefault="00506CD6">
      <w:r>
        <w:pict w14:anchorId="33DAFB34">
          <v:rect id="_x0000_i1124" style="width:415.3pt;height:1.5pt" o:hralign="center" o:hrstd="t" o:hr="t" fillcolor="#a0a0a0" stroked="f"/>
        </w:pict>
      </w:r>
    </w:p>
    <w:p w14:paraId="33DAFAA3" w14:textId="77777777" w:rsidR="004D6A64" w:rsidRDefault="00506CD6">
      <w:r>
        <w:rPr>
          <w:rFonts w:ascii="宋体" w:eastAsia="宋体" w:hAnsi="宋体" w:cs="宋体"/>
        </w:rPr>
        <w:t xml:space="preserve">Tag Shading (hover) </w:t>
      </w:r>
    </w:p>
    <w:p w14:paraId="33DAFAA4" w14:textId="77777777" w:rsidR="004D6A64" w:rsidRDefault="00506CD6">
      <w:r>
        <w:rPr>
          <w:rFonts w:ascii="monospace" w:eastAsia="monospace" w:hAnsi="monospace" w:cs="monospace"/>
          <w:noProof/>
        </w:rPr>
        <mc:AlternateContent>
          <mc:Choice Requires="wps">
            <w:drawing>
              <wp:inline distT="0" distB="0" distL="114300" distR="114300" wp14:anchorId="33DAFB35" wp14:editId="33DAFB36">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fill on="f" focussize="0,0"/>
                <v:stroke color="#000000" joinstyle="miter"/>
                <v:imagedata o:title=""/>
                <o:lock v:ext="edit" aspectratio="t"/>
                <w10:wrap type="none"/>
                <w10:anchorlock/>
              </v:rect>
            </w:pict>
          </mc:Fallback>
        </mc:AlternateContent>
      </w:r>
    </w:p>
    <w:p w14:paraId="33DAFAA5" w14:textId="77777777" w:rsidR="004D6A64" w:rsidRDefault="00506CD6">
      <w:r>
        <w:rPr>
          <w:rFonts w:ascii="宋体" w:eastAsia="宋体" w:hAnsi="宋体" w:cs="宋体"/>
        </w:rPr>
        <w:t>Save</w:t>
      </w:r>
    </w:p>
    <w:p w14:paraId="33DAFAA6" w14:textId="77777777" w:rsidR="004D6A64" w:rsidRDefault="00506CD6">
      <w:r>
        <w:rPr>
          <w:rFonts w:ascii="宋体" w:eastAsia="宋体" w:hAnsi="宋体" w:cs="宋体"/>
        </w:rPr>
        <w:t>Reset</w:t>
      </w:r>
    </w:p>
    <w:p w14:paraId="33DAFAA7" w14:textId="77777777" w:rsidR="004D6A64" w:rsidRDefault="00506CD6">
      <w:pPr>
        <w:pStyle w:val="Style5"/>
      </w:pPr>
      <w:r>
        <w:t>窗体底端</w:t>
      </w:r>
    </w:p>
    <w:p w14:paraId="33DAFAA8" w14:textId="77777777" w:rsidR="004D6A64" w:rsidRDefault="00506CD6">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3DAFB37" wp14:editId="33DAFB38">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6A64" w14:paraId="33DAFAAA" w14:textId="77777777">
        <w:trPr>
          <w:tblCellSpacing w:w="15" w:type="dxa"/>
        </w:trPr>
        <w:tc>
          <w:tcPr>
            <w:tcW w:w="0" w:type="auto"/>
            <w:shd w:val="clear" w:color="auto" w:fill="auto"/>
            <w:vAlign w:val="center"/>
          </w:tcPr>
          <w:p w14:paraId="33DAFAA9" w14:textId="77777777" w:rsidR="004D6A64" w:rsidRDefault="004D6A64">
            <w:pPr>
              <w:rPr>
                <w:rFonts w:ascii="宋体"/>
              </w:rPr>
            </w:pPr>
          </w:p>
        </w:tc>
      </w:tr>
    </w:tbl>
    <w:p w14:paraId="33DAFAAB" w14:textId="77777777" w:rsidR="004D6A64" w:rsidRDefault="004D6A6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6A64" w14:paraId="33DAFAAD" w14:textId="77777777">
        <w:trPr>
          <w:tblCellSpacing w:w="15" w:type="dxa"/>
        </w:trPr>
        <w:tc>
          <w:tcPr>
            <w:tcW w:w="0" w:type="auto"/>
            <w:shd w:val="clear" w:color="auto" w:fill="auto"/>
            <w:vAlign w:val="center"/>
          </w:tcPr>
          <w:p w14:paraId="33DAFAAC" w14:textId="77777777" w:rsidR="004D6A64" w:rsidRDefault="004D6A64">
            <w:pPr>
              <w:rPr>
                <w:rFonts w:ascii="宋体"/>
              </w:rPr>
            </w:pPr>
          </w:p>
        </w:tc>
      </w:tr>
    </w:tbl>
    <w:p w14:paraId="33DAFAAE" w14:textId="77777777" w:rsidR="004D6A64" w:rsidRDefault="004D6A6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6A64" w14:paraId="33DAFAB0" w14:textId="77777777">
        <w:trPr>
          <w:tblCellSpacing w:w="15" w:type="dxa"/>
        </w:trPr>
        <w:tc>
          <w:tcPr>
            <w:tcW w:w="0" w:type="auto"/>
            <w:shd w:val="clear" w:color="auto" w:fill="auto"/>
            <w:vAlign w:val="center"/>
          </w:tcPr>
          <w:p w14:paraId="33DAFAAF" w14:textId="77777777" w:rsidR="004D6A64" w:rsidRDefault="004D6A64">
            <w:pPr>
              <w:rPr>
                <w:rFonts w:ascii="宋体"/>
              </w:rPr>
            </w:pPr>
          </w:p>
        </w:tc>
      </w:tr>
    </w:tbl>
    <w:p w14:paraId="33DAFAB1" w14:textId="77777777" w:rsidR="004D6A64" w:rsidRDefault="004D6A6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6A64" w14:paraId="33DAFAB3" w14:textId="77777777">
        <w:trPr>
          <w:tblCellSpacing w:w="15" w:type="dxa"/>
        </w:trPr>
        <w:tc>
          <w:tcPr>
            <w:tcW w:w="0" w:type="auto"/>
            <w:shd w:val="clear" w:color="auto" w:fill="auto"/>
            <w:vAlign w:val="center"/>
          </w:tcPr>
          <w:p w14:paraId="33DAFAB2" w14:textId="77777777" w:rsidR="004D6A64" w:rsidRDefault="004D6A64">
            <w:pPr>
              <w:rPr>
                <w:rFonts w:ascii="宋体"/>
              </w:rPr>
            </w:pPr>
          </w:p>
        </w:tc>
      </w:tr>
    </w:tbl>
    <w:p w14:paraId="33DAFAB4" w14:textId="77777777" w:rsidR="004D6A64" w:rsidRDefault="00506CD6">
      <w:r>
        <w:rPr>
          <w:rFonts w:ascii="宋体" w:eastAsia="宋体" w:hAnsi="宋体" w:cs="宋体"/>
        </w:rPr>
        <w:t xml:space="preserve">Previous Next </w:t>
      </w:r>
    </w:p>
    <w:p w14:paraId="33DAFAB5" w14:textId="77777777" w:rsidR="004D6A64" w:rsidRDefault="00506CD6">
      <w:pPr>
        <w:pStyle w:val="a3"/>
      </w:pPr>
      <w:r>
        <w:t xml:space="preserve">Nested Facts / </w:t>
      </w:r>
    </w:p>
    <w:p w14:paraId="33DAFAB6" w14:textId="77777777" w:rsidR="004D6A64" w:rsidRDefault="00506CD6">
      <w:r>
        <w:rPr>
          <w:rFonts w:ascii="宋体" w:eastAsia="宋体" w:hAnsi="宋体" w:cs="宋体"/>
        </w:rPr>
        <w:t xml:space="preserve">Previous Next </w:t>
      </w:r>
    </w:p>
    <w:p w14:paraId="33DAFAB7" w14:textId="77777777" w:rsidR="004D6A64" w:rsidRDefault="00506CD6">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3DAFB39" wp14:editId="33DAFB3A">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6A64" w14:paraId="33DAFAB9" w14:textId="77777777">
        <w:trPr>
          <w:tblCellSpacing w:w="15" w:type="dxa"/>
        </w:trPr>
        <w:tc>
          <w:tcPr>
            <w:tcW w:w="0" w:type="auto"/>
            <w:shd w:val="clear" w:color="auto" w:fill="auto"/>
            <w:vAlign w:val="center"/>
          </w:tcPr>
          <w:p w14:paraId="33DAFAB8" w14:textId="77777777" w:rsidR="004D6A64" w:rsidRDefault="004D6A64">
            <w:pPr>
              <w:rPr>
                <w:rFonts w:ascii="宋体"/>
              </w:rPr>
            </w:pPr>
          </w:p>
        </w:tc>
      </w:tr>
    </w:tbl>
    <w:p w14:paraId="33DAFABA" w14:textId="77777777" w:rsidR="004D6A64" w:rsidRDefault="004D6A6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6A64" w14:paraId="33DAFABC" w14:textId="77777777">
        <w:trPr>
          <w:tblCellSpacing w:w="15" w:type="dxa"/>
        </w:trPr>
        <w:tc>
          <w:tcPr>
            <w:tcW w:w="0" w:type="auto"/>
            <w:shd w:val="clear" w:color="auto" w:fill="auto"/>
            <w:vAlign w:val="center"/>
          </w:tcPr>
          <w:p w14:paraId="33DAFABB" w14:textId="77777777" w:rsidR="004D6A64" w:rsidRDefault="004D6A64">
            <w:pPr>
              <w:rPr>
                <w:rFonts w:ascii="宋体"/>
              </w:rPr>
            </w:pPr>
          </w:p>
        </w:tc>
      </w:tr>
    </w:tbl>
    <w:p w14:paraId="33DAFABD" w14:textId="77777777" w:rsidR="004D6A64" w:rsidRDefault="004D6A6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6A64" w14:paraId="33DAFABF" w14:textId="77777777">
        <w:trPr>
          <w:tblCellSpacing w:w="15" w:type="dxa"/>
        </w:trPr>
        <w:tc>
          <w:tcPr>
            <w:tcW w:w="0" w:type="auto"/>
            <w:shd w:val="clear" w:color="auto" w:fill="auto"/>
            <w:vAlign w:val="center"/>
          </w:tcPr>
          <w:p w14:paraId="33DAFABE" w14:textId="77777777" w:rsidR="004D6A64" w:rsidRDefault="004D6A64">
            <w:pPr>
              <w:rPr>
                <w:rFonts w:ascii="宋体"/>
              </w:rPr>
            </w:pPr>
          </w:p>
        </w:tc>
      </w:tr>
    </w:tbl>
    <w:p w14:paraId="33DAFAC0" w14:textId="77777777" w:rsidR="004D6A64" w:rsidRDefault="004D6A6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6A64" w14:paraId="33DAFAC2" w14:textId="77777777">
        <w:trPr>
          <w:tblCellSpacing w:w="15" w:type="dxa"/>
        </w:trPr>
        <w:tc>
          <w:tcPr>
            <w:tcW w:w="0" w:type="auto"/>
            <w:shd w:val="clear" w:color="auto" w:fill="auto"/>
            <w:vAlign w:val="center"/>
          </w:tcPr>
          <w:p w14:paraId="33DAFAC1" w14:textId="77777777" w:rsidR="004D6A64" w:rsidRDefault="004D6A64">
            <w:pPr>
              <w:rPr>
                <w:rFonts w:ascii="宋体"/>
              </w:rPr>
            </w:pPr>
          </w:p>
        </w:tc>
      </w:tr>
    </w:tbl>
    <w:p w14:paraId="33DAFAC3" w14:textId="77777777" w:rsidR="004D6A64" w:rsidRDefault="00506CD6">
      <w:r>
        <w:rPr>
          <w:rFonts w:ascii="宋体" w:eastAsia="宋体" w:hAnsi="宋体" w:cs="宋体"/>
        </w:rPr>
        <w:t xml:space="preserve">Previous Next </w:t>
      </w:r>
    </w:p>
    <w:p w14:paraId="33DAFAC4" w14:textId="77777777" w:rsidR="004D6A64" w:rsidRDefault="004D6A64"/>
    <w:sectPr w:rsidR="004D6A64">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65717" w14:textId="77777777" w:rsidR="00506CD6" w:rsidRDefault="00506CD6" w:rsidP="00506CD6">
      <w:r>
        <w:separator/>
      </w:r>
    </w:p>
  </w:endnote>
  <w:endnote w:type="continuationSeparator" w:id="0">
    <w:p w14:paraId="1503F3E7" w14:textId="77777777" w:rsidR="00506CD6" w:rsidRDefault="00506CD6" w:rsidP="00506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A0AD6" w14:textId="77777777" w:rsidR="00506CD6" w:rsidRDefault="00506CD6" w:rsidP="00506CD6">
      <w:r>
        <w:separator/>
      </w:r>
    </w:p>
  </w:footnote>
  <w:footnote w:type="continuationSeparator" w:id="0">
    <w:p w14:paraId="6DC16795" w14:textId="77777777" w:rsidR="00506CD6" w:rsidRDefault="00506CD6" w:rsidP="00506C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EFA8633"/>
    <w:rsid w:val="FEFA8633"/>
    <w:rsid w:val="004D6A64"/>
    <w:rsid w:val="0050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DA8C89"/>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pBdr>
        <w:top w:val="single" w:sz="18" w:space="0" w:color="FFFFFF"/>
        <w:left w:val="single" w:sz="18" w:space="0" w:color="FFFFFF"/>
        <w:bottom w:val="single" w:sz="18" w:space="0" w:color="FFFFFF"/>
        <w:right w:val="single" w:sz="18" w:space="0" w:color="FFFFFF"/>
      </w:pBdr>
    </w:pPr>
    <w:rPr>
      <w:rFonts w:asciiTheme="minorEastAsia" w:hAnsiTheme="minorEastAsia" w:cs="Times New Roman"/>
      <w:sz w:val="24"/>
      <w:szCs w:val="24"/>
    </w:rPr>
  </w:style>
  <w:style w:type="paragraph" w:styleId="2">
    <w:name w:val="heading 2"/>
    <w:basedOn w:val="a"/>
    <w:next w:val="a"/>
    <w:semiHidden/>
    <w:unhideWhenUsed/>
    <w:qFormat/>
    <w:pPr>
      <w:pBdr>
        <w:top w:val="none" w:sz="0" w:space="0" w:color="auto"/>
        <w:left w:val="none" w:sz="0" w:space="0" w:color="auto"/>
        <w:bottom w:val="none" w:sz="0" w:space="0" w:color="auto"/>
        <w:right w:val="none" w:sz="0" w:space="0" w:color="auto"/>
      </w:pBd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pBdr>
        <w:top w:val="none" w:sz="0" w:space="0" w:color="auto"/>
        <w:left w:val="none" w:sz="0" w:space="0" w:color="auto"/>
        <w:bottom w:val="none" w:sz="0" w:space="0" w:color="auto"/>
        <w:right w:val="none" w:sz="0" w:space="0" w:color="auto"/>
      </w:pBd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pBdr>
        <w:top w:val="none" w:sz="0" w:space="0" w:color="auto"/>
        <w:left w:val="none" w:sz="0" w:space="0" w:color="auto"/>
        <w:bottom w:val="none" w:sz="0" w:space="0" w:color="auto"/>
        <w:right w:val="none" w:sz="0" w:space="0" w:color="auto"/>
      </w:pBd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506CD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506CD6"/>
    <w:rPr>
      <w:rFonts w:asciiTheme="minorEastAsia" w:hAnsiTheme="minorEastAsia" w:cs="Times New Roman"/>
      <w:sz w:val="18"/>
      <w:szCs w:val="18"/>
    </w:rPr>
  </w:style>
  <w:style w:type="paragraph" w:styleId="a8">
    <w:name w:val="footer"/>
    <w:basedOn w:val="a"/>
    <w:link w:val="a9"/>
    <w:rsid w:val="00506CD6"/>
    <w:pPr>
      <w:tabs>
        <w:tab w:val="center" w:pos="4153"/>
        <w:tab w:val="right" w:pos="8306"/>
      </w:tabs>
      <w:snapToGrid w:val="0"/>
    </w:pPr>
    <w:rPr>
      <w:sz w:val="18"/>
      <w:szCs w:val="18"/>
    </w:rPr>
  </w:style>
  <w:style w:type="character" w:customStyle="1" w:styleId="a9">
    <w:name w:val="页脚 字符"/>
    <w:basedOn w:val="a0"/>
    <w:link w:val="a8"/>
    <w:rsid w:val="00506CD6"/>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1571996/000157199620000045/dell-20200731.htm" TargetMode="External"/><Relationship Id="rId21" Type="http://schemas.openxmlformats.org/officeDocument/2006/relationships/hyperlink" Target="https://www.sec.gov/ix?doc=/Archives/edgar/data/0001571996/000157199620000045/dell-20200731.htm" TargetMode="External"/><Relationship Id="rId42" Type="http://schemas.openxmlformats.org/officeDocument/2006/relationships/hyperlink" Target="https://www.sec.gov/ix?doc=/Archives/edgar/data/0001571996/000157199620000045/dell-20200731.htm" TargetMode="External"/><Relationship Id="rId63" Type="http://schemas.openxmlformats.org/officeDocument/2006/relationships/hyperlink" Target="https://www.sec.gov/ix?doc=/Archives/edgar/data/0001571996/000157199620000045/dell-20200731.htm" TargetMode="External"/><Relationship Id="rId84" Type="http://schemas.openxmlformats.org/officeDocument/2006/relationships/hyperlink" Target="https://www.sec.gov/ix?doc=/Archives/edgar/data/0001571996/000157199620000045/dell-20200731.htm" TargetMode="External"/><Relationship Id="rId138" Type="http://schemas.openxmlformats.org/officeDocument/2006/relationships/hyperlink" Target="https://www.sec.gov/ix?doc=/Archives/edgar/data/0001571996/000157199620000045/dell-20200731.htm" TargetMode="External"/><Relationship Id="rId159" Type="http://schemas.openxmlformats.org/officeDocument/2006/relationships/hyperlink" Target="https://www.sec.gov/ix?doc=/Archives/edgar/data/0001571996/000157199620000045/dell-20200731.htm" TargetMode="External"/><Relationship Id="rId170" Type="http://schemas.openxmlformats.org/officeDocument/2006/relationships/hyperlink" Target="https://www.sec.gov/ix?doc=/Archives/edgar/data/0001571996/000157199620000045/dell-20200731.htm" TargetMode="External"/><Relationship Id="rId191" Type="http://schemas.openxmlformats.org/officeDocument/2006/relationships/hyperlink" Target="https://www.sec.gov/ix?doc=/Archives/edgar/data/0001571996/000157199620000045/dell-20200731.htm" TargetMode="External"/><Relationship Id="rId205" Type="http://schemas.openxmlformats.org/officeDocument/2006/relationships/hyperlink" Target="https://www.sec.gov/ix?doc=/Archives/edgar/data/0001571996/000157199620000045/dell-20200731.htm" TargetMode="External"/><Relationship Id="rId226" Type="http://schemas.openxmlformats.org/officeDocument/2006/relationships/fontTable" Target="fontTable.xml"/><Relationship Id="rId107" Type="http://schemas.openxmlformats.org/officeDocument/2006/relationships/hyperlink" Target="https://www.sec.gov/ix?doc=/Archives/edgar/data/0001571996/000157199620000045/dell-20200731.htm" TargetMode="External"/><Relationship Id="rId11" Type="http://schemas.openxmlformats.org/officeDocument/2006/relationships/hyperlink" Target="https://www.sec.gov/ix?doc=/Archives/edgar/data/0001571996/000157199620000045/dell-20200731.htm" TargetMode="External"/><Relationship Id="rId32" Type="http://schemas.openxmlformats.org/officeDocument/2006/relationships/hyperlink" Target="https://www.sec.gov/ix?doc=/Archives/edgar/data/0001571996/000157199620000045/dell-20200731.htm" TargetMode="External"/><Relationship Id="rId53" Type="http://schemas.openxmlformats.org/officeDocument/2006/relationships/hyperlink" Target="https://www.sec.gov/ix?doc=/Archives/edgar/data/0001571996/000157199620000045/dell-20200731.htm" TargetMode="External"/><Relationship Id="rId74" Type="http://schemas.openxmlformats.org/officeDocument/2006/relationships/hyperlink" Target="https://www.sec.gov/ix?doc=/Archives/edgar/data/0001571996/000157199620000045/dell-20200731.htm" TargetMode="External"/><Relationship Id="rId128" Type="http://schemas.openxmlformats.org/officeDocument/2006/relationships/hyperlink" Target="https://www.sec.gov/ix?doc=/Archives/edgar/data/0001571996/000157199620000045/dell-20200731.htm" TargetMode="External"/><Relationship Id="rId149" Type="http://schemas.openxmlformats.org/officeDocument/2006/relationships/hyperlink" Target="https://www.sec.gov/ix?doc=/Archives/edgar/data/0001571996/000157199620000045/dell-20200731.htm" TargetMode="External"/><Relationship Id="rId5" Type="http://schemas.openxmlformats.org/officeDocument/2006/relationships/endnotes" Target="endnotes.xml"/><Relationship Id="rId95" Type="http://schemas.openxmlformats.org/officeDocument/2006/relationships/hyperlink" Target="https://www.sec.gov/ix?doc=/Archives/edgar/data/0001571996/000157199620000045/dell-20200731.htm" TargetMode="External"/><Relationship Id="rId160" Type="http://schemas.openxmlformats.org/officeDocument/2006/relationships/hyperlink" Target="https://www.sec.gov/ix?doc=/Archives/edgar/data/0001571996/000157199620000045/dell-20200731.htm" TargetMode="External"/><Relationship Id="rId181" Type="http://schemas.openxmlformats.org/officeDocument/2006/relationships/hyperlink" Target="https://www.sec.gov/ix?doc=/Archives/edgar/data/0001571996/000157199620000045/dell-20200731.htm" TargetMode="External"/><Relationship Id="rId216" Type="http://schemas.openxmlformats.org/officeDocument/2006/relationships/hyperlink" Target="https://www.sec.gov/ix?doc=/Archives/edgar/data/0001571996/000157199620000045/dell-20200731.htm" TargetMode="External"/><Relationship Id="rId22" Type="http://schemas.openxmlformats.org/officeDocument/2006/relationships/hyperlink" Target="https://www.sec.gov/ix?doc=/Archives/edgar/data/0001571996/000157199620000045/dell-20200731.htm" TargetMode="External"/><Relationship Id="rId43" Type="http://schemas.openxmlformats.org/officeDocument/2006/relationships/hyperlink" Target="https://www.sec.gov/ix?doc=/Archives/edgar/data/0001571996/000157199620000045/dell-20200731.htm" TargetMode="External"/><Relationship Id="rId64" Type="http://schemas.openxmlformats.org/officeDocument/2006/relationships/hyperlink" Target="https://www.sec.gov/ix?doc=/Archives/edgar/data/0001571996/000157199620000045/dell-20200731.htm" TargetMode="External"/><Relationship Id="rId118" Type="http://schemas.openxmlformats.org/officeDocument/2006/relationships/hyperlink" Target="https://www.sec.gov/ix?doc=/Archives/edgar/data/0001571996/000157199620000045/dell-20200731.htm" TargetMode="External"/><Relationship Id="rId139" Type="http://schemas.openxmlformats.org/officeDocument/2006/relationships/hyperlink" Target="https://www.sec.gov/ix?doc=/Archives/edgar/data/0001571996/000157199620000045/dell-20200731.htm" TargetMode="External"/><Relationship Id="rId85" Type="http://schemas.openxmlformats.org/officeDocument/2006/relationships/hyperlink" Target="https://www.sec.gov/ix?doc=/Archives/edgar/data/0001571996/000157199620000045/dell-20200731.htm" TargetMode="External"/><Relationship Id="rId150" Type="http://schemas.openxmlformats.org/officeDocument/2006/relationships/hyperlink" Target="https://www.sec.gov/ix?doc=/Archives/edgar/data/0001571996/000157199620000045/dell-20200731.htm" TargetMode="External"/><Relationship Id="rId171" Type="http://schemas.openxmlformats.org/officeDocument/2006/relationships/hyperlink" Target="https://www.sec.gov/ix?doc=/Archives/edgar/data/0001571996/000157199620000045/dell-20200731.htm" TargetMode="External"/><Relationship Id="rId192" Type="http://schemas.openxmlformats.org/officeDocument/2006/relationships/hyperlink" Target="https://www.sec.gov/ix?doc=/Archives/edgar/data/0001571996/000157199620000045/dell-20200731.htm" TargetMode="External"/><Relationship Id="rId206" Type="http://schemas.openxmlformats.org/officeDocument/2006/relationships/hyperlink" Target="https://www.sec.gov/ix?doc=/Archives/edgar/data/0001571996/000157199620000045/dell-20200731.htm" TargetMode="External"/><Relationship Id="rId227" Type="http://schemas.openxmlformats.org/officeDocument/2006/relationships/theme" Target="theme/theme1.xml"/><Relationship Id="rId12" Type="http://schemas.openxmlformats.org/officeDocument/2006/relationships/hyperlink" Target="https://www.sec.gov/ix?doc=/Archives/edgar/data/0001571996/000157199620000045/dell-20200731.htm" TargetMode="External"/><Relationship Id="rId33" Type="http://schemas.openxmlformats.org/officeDocument/2006/relationships/hyperlink" Target="https://www.sec.gov/ix?doc=/Archives/edgar/data/0001571996/000157199620000045/dell-20200731.htm" TargetMode="External"/><Relationship Id="rId108" Type="http://schemas.openxmlformats.org/officeDocument/2006/relationships/hyperlink" Target="https://www.sec.gov/ix?doc=/Archives/edgar/data/0001571996/000157199620000045/dell-20200731.htm" TargetMode="External"/><Relationship Id="rId129" Type="http://schemas.openxmlformats.org/officeDocument/2006/relationships/hyperlink" Target="https://www.sec.gov/ix?doc=/Archives/edgar/data/0001571996/000157199620000045/dell-20200731.htm" TargetMode="External"/><Relationship Id="rId54" Type="http://schemas.openxmlformats.org/officeDocument/2006/relationships/hyperlink" Target="https://www.sec.gov/ix?doc=/Archives/edgar/data/0001571996/000157199620000045/dell-20200731.htm" TargetMode="External"/><Relationship Id="rId75" Type="http://schemas.openxmlformats.org/officeDocument/2006/relationships/hyperlink" Target="https://www.sec.gov/ix?doc=/Archives/edgar/data/0001571996/000157199620000045/dell-20200731.htm" TargetMode="External"/><Relationship Id="rId96" Type="http://schemas.openxmlformats.org/officeDocument/2006/relationships/hyperlink" Target="https://www.sec.gov/ix?doc=/Archives/edgar/data/0001571996/000157199620000045/dell-20200731.htm" TargetMode="External"/><Relationship Id="rId140" Type="http://schemas.openxmlformats.org/officeDocument/2006/relationships/hyperlink" Target="https://www.sec.gov/ix?doc=/Archives/edgar/data/0001571996/000157199620000045/dell-20200731.htm" TargetMode="External"/><Relationship Id="rId161" Type="http://schemas.openxmlformats.org/officeDocument/2006/relationships/hyperlink" Target="https://www.sec.gov/ix?doc=/Archives/edgar/data/0001571996/000157199620000045/dell-20200731.htm" TargetMode="External"/><Relationship Id="rId182" Type="http://schemas.openxmlformats.org/officeDocument/2006/relationships/hyperlink" Target="https://www.sec.gov/ix?doc=/Archives/edgar/data/0001571996/000157199620000045/dell-20200731.htm" TargetMode="External"/><Relationship Id="rId217" Type="http://schemas.openxmlformats.org/officeDocument/2006/relationships/hyperlink" Target="https://www.sec.gov/ix?doc=/Archives/edgar/data/0001571996/000157199620000045/dell-20200731.htm" TargetMode="External"/><Relationship Id="rId6" Type="http://schemas.openxmlformats.org/officeDocument/2006/relationships/hyperlink" Target="https://www.sec.gov/ix?doc=/Archives/edgar/data/0001571996/000157199620000045/dell-20200731.htm" TargetMode="External"/><Relationship Id="rId23" Type="http://schemas.openxmlformats.org/officeDocument/2006/relationships/hyperlink" Target="https://www.sec.gov/ix?doc=/Archives/edgar/data/0001571996/000157199620000045/dell-20200731.htm" TargetMode="External"/><Relationship Id="rId119" Type="http://schemas.openxmlformats.org/officeDocument/2006/relationships/hyperlink" Target="https://www.sec.gov/ix?doc=/Archives/edgar/data/0001571996/000157199620000045/dell-20200731.htm" TargetMode="External"/><Relationship Id="rId44" Type="http://schemas.openxmlformats.org/officeDocument/2006/relationships/hyperlink" Target="https://www.sec.gov/ix?doc=/Archives/edgar/data/0001571996/000157199620000045/dell-20200731.htm" TargetMode="External"/><Relationship Id="rId65" Type="http://schemas.openxmlformats.org/officeDocument/2006/relationships/hyperlink" Target="https://www.sec.gov/ix?doc=/Archives/edgar/data/0001571996/000157199620000045/dell-20200731.htm" TargetMode="External"/><Relationship Id="rId86" Type="http://schemas.openxmlformats.org/officeDocument/2006/relationships/hyperlink" Target="https://www.sec.gov/ix?doc=/Archives/edgar/data/0001571996/000157199620000045/dell-20200731.htm" TargetMode="External"/><Relationship Id="rId130" Type="http://schemas.openxmlformats.org/officeDocument/2006/relationships/hyperlink" Target="https://www.sec.gov/ix?doc=/Archives/edgar/data/0001571996/000157199620000045/dell-20200731.htm" TargetMode="External"/><Relationship Id="rId151" Type="http://schemas.openxmlformats.org/officeDocument/2006/relationships/hyperlink" Target="https://www.sec.gov/ix?doc=/Archives/edgar/data/0001571996/000157199620000045/dell-20200731.htm" TargetMode="External"/><Relationship Id="rId172" Type="http://schemas.openxmlformats.org/officeDocument/2006/relationships/hyperlink" Target="https://www.sec.gov/ix?doc=/Archives/edgar/data/0001571996/000157199620000045/dell-20200731.htm" TargetMode="External"/><Relationship Id="rId193" Type="http://schemas.openxmlformats.org/officeDocument/2006/relationships/hyperlink" Target="https://www.sec.gov/ix?doc=/Archives/edgar/data/0001571996/000157199620000045/dell-20200731.htm" TargetMode="External"/><Relationship Id="rId207" Type="http://schemas.openxmlformats.org/officeDocument/2006/relationships/hyperlink" Target="https://www.sec.gov/ix?doc=/Archives/edgar/data/0001571996/000157199620000045/dell-20200731.htm" TargetMode="External"/><Relationship Id="rId13" Type="http://schemas.openxmlformats.org/officeDocument/2006/relationships/hyperlink" Target="https://www.sec.gov/ix?doc=/Archives/edgar/data/0001571996/000157199620000045/dell-20200731.htm" TargetMode="External"/><Relationship Id="rId109" Type="http://schemas.openxmlformats.org/officeDocument/2006/relationships/hyperlink" Target="https://www.sec.gov/ix?doc=/Archives/edgar/data/0001571996/000157199620000045/dell-20200731.htm" TargetMode="External"/><Relationship Id="rId34" Type="http://schemas.openxmlformats.org/officeDocument/2006/relationships/hyperlink" Target="https://www.sec.gov/ix?doc=/Archives/edgar/data/0001571996/000157199620000045/dell-20200731.htm" TargetMode="External"/><Relationship Id="rId55" Type="http://schemas.openxmlformats.org/officeDocument/2006/relationships/hyperlink" Target="https://www.sec.gov/ix?doc=/Archives/edgar/data/0001571996/000157199620000045/dell-20200731.htm" TargetMode="External"/><Relationship Id="rId76" Type="http://schemas.openxmlformats.org/officeDocument/2006/relationships/hyperlink" Target="https://www.sec.gov/ix?doc=/Archives/edgar/data/0001571996/000157199620000045/dell-20200731.htm" TargetMode="External"/><Relationship Id="rId97" Type="http://schemas.openxmlformats.org/officeDocument/2006/relationships/hyperlink" Target="https://www.sec.gov/ix?doc=/Archives/edgar/data/0001571996/000157199620000045/dell-20200731.htm" TargetMode="External"/><Relationship Id="rId120" Type="http://schemas.openxmlformats.org/officeDocument/2006/relationships/hyperlink" Target="https://www.sec.gov/ix?doc=/Archives/edgar/data/0001571996/000157199620000045/dell-20200731.htm" TargetMode="External"/><Relationship Id="rId141" Type="http://schemas.openxmlformats.org/officeDocument/2006/relationships/hyperlink" Target="https://www.sec.gov/ix?doc=/Archives/edgar/data/0001571996/000157199620000045/dell-20200731.htm" TargetMode="External"/><Relationship Id="rId7" Type="http://schemas.openxmlformats.org/officeDocument/2006/relationships/hyperlink" Target="https://www.sec.gov/ix?doc=/Archives/edgar/data/0001571996/000157199620000045/dell-20200731.htm" TargetMode="External"/><Relationship Id="rId162" Type="http://schemas.openxmlformats.org/officeDocument/2006/relationships/hyperlink" Target="https://www.sec.gov/ix?doc=/Archives/edgar/data/0001571996/000157199620000045/dell-20200731.htm" TargetMode="External"/><Relationship Id="rId183" Type="http://schemas.openxmlformats.org/officeDocument/2006/relationships/hyperlink" Target="https://www.sec.gov/ix?doc=/Archives/edgar/data/0001571996/000157199620000045/dell-20200731.htm" TargetMode="External"/><Relationship Id="rId218" Type="http://schemas.openxmlformats.org/officeDocument/2006/relationships/hyperlink" Target="https://www.sec.gov/ix?doc=/Archives/edgar/data/0001571996/000157199620000045/dell-20200731.htm" TargetMode="External"/><Relationship Id="rId24" Type="http://schemas.openxmlformats.org/officeDocument/2006/relationships/hyperlink" Target="https://www.sec.gov/ix?doc=/Archives/edgar/data/0001571996/000157199620000045/dell-20200731.htm" TargetMode="External"/><Relationship Id="rId45" Type="http://schemas.openxmlformats.org/officeDocument/2006/relationships/hyperlink" Target="https://www.sec.gov/ix?doc=/Archives/edgar/data/0001571996/000157199620000045/dell-20200731.htm" TargetMode="External"/><Relationship Id="rId66" Type="http://schemas.openxmlformats.org/officeDocument/2006/relationships/hyperlink" Target="https://www.sec.gov/ix?doc=/Archives/edgar/data/0001571996/000157199620000045/dell-20200731.htm" TargetMode="External"/><Relationship Id="rId87" Type="http://schemas.openxmlformats.org/officeDocument/2006/relationships/hyperlink" Target="https://www.sec.gov/ix?doc=/Archives/edgar/data/0001571996/000157199620000045/dell-20200731.htm" TargetMode="External"/><Relationship Id="rId110" Type="http://schemas.openxmlformats.org/officeDocument/2006/relationships/hyperlink" Target="https://www.sec.gov/ix?doc=/Archives/edgar/data/0001571996/000157199620000045/dell-20200731.htm" TargetMode="External"/><Relationship Id="rId131" Type="http://schemas.openxmlformats.org/officeDocument/2006/relationships/hyperlink" Target="https://www.sec.gov/ix?doc=/Archives/edgar/data/0001571996/000157199620000045/dell-20200731.htm" TargetMode="External"/><Relationship Id="rId152" Type="http://schemas.openxmlformats.org/officeDocument/2006/relationships/hyperlink" Target="https://www.sec.gov/ix?doc=/Archives/edgar/data/0001571996/000157199620000045/dell-20200731.htm" TargetMode="External"/><Relationship Id="rId173" Type="http://schemas.openxmlformats.org/officeDocument/2006/relationships/hyperlink" Target="https://www.sec.gov/ix?doc=/Archives/edgar/data/0001571996/000157199620000045/dell-20200731.htm" TargetMode="External"/><Relationship Id="rId194" Type="http://schemas.openxmlformats.org/officeDocument/2006/relationships/hyperlink" Target="https://www.sec.gov/ix?doc=/Archives/edgar/data/0001571996/000157199620000045/dell-20200731.htm" TargetMode="External"/><Relationship Id="rId208" Type="http://schemas.openxmlformats.org/officeDocument/2006/relationships/hyperlink" Target="https://www.sec.gov/ix?doc=/Archives/edgar/data/0001571996/000157199620000045/dell-20200731.htm" TargetMode="External"/><Relationship Id="rId14" Type="http://schemas.openxmlformats.org/officeDocument/2006/relationships/hyperlink" Target="https://www.sec.gov/ix?doc=/Archives/edgar/data/0001571996/000157199620000045/dell-20200731.htm" TargetMode="External"/><Relationship Id="rId35" Type="http://schemas.openxmlformats.org/officeDocument/2006/relationships/hyperlink" Target="https://www.sec.gov/ix?doc=/Archives/edgar/data/0001571996/000157199620000045/dell-20200731.htm" TargetMode="External"/><Relationship Id="rId56" Type="http://schemas.openxmlformats.org/officeDocument/2006/relationships/hyperlink" Target="https://www.sec.gov/ix?doc=/Archives/edgar/data/0001571996/000157199620000045/dell-20200731.htm" TargetMode="External"/><Relationship Id="rId77" Type="http://schemas.openxmlformats.org/officeDocument/2006/relationships/hyperlink" Target="https://www.sec.gov/ix?doc=/Archives/edgar/data/0001571996/000157199620000045/dell-20200731.htm" TargetMode="External"/><Relationship Id="rId100" Type="http://schemas.openxmlformats.org/officeDocument/2006/relationships/hyperlink" Target="https://www.sec.gov/ix?doc=/Archives/edgar/data/0001571996/000157199620000045/dell-20200731.htm" TargetMode="External"/><Relationship Id="rId8" Type="http://schemas.openxmlformats.org/officeDocument/2006/relationships/hyperlink" Target="https://www.sec.gov/ix?doc=/Archives/edgar/data/0001571996/000157199620000045/dell-20200731.htm" TargetMode="External"/><Relationship Id="rId98" Type="http://schemas.openxmlformats.org/officeDocument/2006/relationships/hyperlink" Target="https://www.sec.gov/ix?doc=/Archives/edgar/data/0001571996/000157199620000045/dell-20200731.htm" TargetMode="External"/><Relationship Id="rId121" Type="http://schemas.openxmlformats.org/officeDocument/2006/relationships/hyperlink" Target="https://www.sec.gov/ix?doc=/Archives/edgar/data/0001571996/000157199620000045/dell-20200731.htm" TargetMode="External"/><Relationship Id="rId142" Type="http://schemas.openxmlformats.org/officeDocument/2006/relationships/hyperlink" Target="https://www.sec.gov/ix?doc=/Archives/edgar/data/0001571996/000157199620000045/dell-20200731.htm" TargetMode="External"/><Relationship Id="rId163" Type="http://schemas.openxmlformats.org/officeDocument/2006/relationships/hyperlink" Target="https://www.sec.gov/ix?doc=/Archives/edgar/data/0001571996/000157199620000045/dell-20200731.htm" TargetMode="External"/><Relationship Id="rId184" Type="http://schemas.openxmlformats.org/officeDocument/2006/relationships/hyperlink" Target="https://www.sec.gov/ix?doc=/Archives/edgar/data/0001571996/000157199620000045/dell-20200731.htm" TargetMode="External"/><Relationship Id="rId219" Type="http://schemas.openxmlformats.org/officeDocument/2006/relationships/hyperlink" Target="https://www.sec.gov/Archives/edgar/data/0001571996/000157199620000045/exhibit311q2fy21.htm" TargetMode="External"/><Relationship Id="rId3" Type="http://schemas.openxmlformats.org/officeDocument/2006/relationships/webSettings" Target="webSettings.xml"/><Relationship Id="rId214" Type="http://schemas.openxmlformats.org/officeDocument/2006/relationships/hyperlink" Target="https://www.sec.gov/ix?doc=/Archives/edgar/data/0001571996/000157199620000045/dell-20200731.htm" TargetMode="External"/><Relationship Id="rId25" Type="http://schemas.openxmlformats.org/officeDocument/2006/relationships/hyperlink" Target="https://www.sec.gov/ix?doc=/Archives/edgar/data/0001571996/000157199620000045/dell-20200731.htm" TargetMode="External"/><Relationship Id="rId46" Type="http://schemas.openxmlformats.org/officeDocument/2006/relationships/hyperlink" Target="https://www.sec.gov/ix?doc=/Archives/edgar/data/0001571996/000157199620000045/dell-20200731.htm" TargetMode="External"/><Relationship Id="rId67" Type="http://schemas.openxmlformats.org/officeDocument/2006/relationships/hyperlink" Target="https://www.sec.gov/ix?doc=/Archives/edgar/data/0001571996/000157199620000045/dell-20200731.htm" TargetMode="External"/><Relationship Id="rId116" Type="http://schemas.openxmlformats.org/officeDocument/2006/relationships/hyperlink" Target="https://www.sec.gov/ix?doc=/Archives/edgar/data/0001571996/000157199620000045/dell-20200731.htm" TargetMode="External"/><Relationship Id="rId137" Type="http://schemas.openxmlformats.org/officeDocument/2006/relationships/hyperlink" Target="https://www.sec.gov/ix?doc=/Archives/edgar/data/0001571996/000157199620000045/dell-20200731.htm" TargetMode="External"/><Relationship Id="rId158" Type="http://schemas.openxmlformats.org/officeDocument/2006/relationships/hyperlink" Target="https://www.sec.gov/ix?doc=/Archives/edgar/data/0001571996/000157199620000045/dell-20200731.htm" TargetMode="External"/><Relationship Id="rId20" Type="http://schemas.openxmlformats.org/officeDocument/2006/relationships/hyperlink" Target="https://www.sec.gov/ix?doc=/Archives/edgar/data/0001571996/000157199620000045/dell-20200731.htm" TargetMode="External"/><Relationship Id="rId41" Type="http://schemas.openxmlformats.org/officeDocument/2006/relationships/hyperlink" Target="https://www.sec.gov/ix?doc=/Archives/edgar/data/0001571996/000157199620000045/dell-20200731.htm" TargetMode="External"/><Relationship Id="rId62" Type="http://schemas.openxmlformats.org/officeDocument/2006/relationships/hyperlink" Target="https://www.sec.gov/ix?doc=/Archives/edgar/data/0001571996/000157199620000045/dell-20200731.htm" TargetMode="External"/><Relationship Id="rId83" Type="http://schemas.openxmlformats.org/officeDocument/2006/relationships/hyperlink" Target="https://www.sec.gov/ix?doc=/Archives/edgar/data/0001571996/000157199620000045/dell-20200731.htm" TargetMode="External"/><Relationship Id="rId88" Type="http://schemas.openxmlformats.org/officeDocument/2006/relationships/hyperlink" Target="https://www.sec.gov/ix?doc=/Archives/edgar/data/0001571996/000157199620000045/dell-20200731.htm" TargetMode="External"/><Relationship Id="rId111" Type="http://schemas.openxmlformats.org/officeDocument/2006/relationships/hyperlink" Target="https://www.sec.gov/ix?doc=/Archives/edgar/data/0001571996/000157199620000045/dell-20200731.htm" TargetMode="External"/><Relationship Id="rId132" Type="http://schemas.openxmlformats.org/officeDocument/2006/relationships/hyperlink" Target="https://www.sec.gov/ix?doc=/Archives/edgar/data/0001571996/000157199620000045/dell-20200731.htm" TargetMode="External"/><Relationship Id="rId153" Type="http://schemas.openxmlformats.org/officeDocument/2006/relationships/hyperlink" Target="https://www.sec.gov/ix?doc=/Archives/edgar/data/0001571996/000157199620000045/dell-20200731.htm" TargetMode="External"/><Relationship Id="rId174" Type="http://schemas.openxmlformats.org/officeDocument/2006/relationships/hyperlink" Target="https://www.sec.gov/ix?doc=/Archives/edgar/data/0001571996/000157199620000045/dell-20200731.htm" TargetMode="External"/><Relationship Id="rId179" Type="http://schemas.openxmlformats.org/officeDocument/2006/relationships/hyperlink" Target="https://www.sec.gov/ix?doc=/Archives/edgar/data/0001571996/000157199620000045/dell-20200731.htm" TargetMode="External"/><Relationship Id="rId195" Type="http://schemas.openxmlformats.org/officeDocument/2006/relationships/hyperlink" Target="https://www.sec.gov/ix?doc=/Archives/edgar/data/0001571996/000157199620000045/dell-20200731.htm" TargetMode="External"/><Relationship Id="rId209" Type="http://schemas.openxmlformats.org/officeDocument/2006/relationships/hyperlink" Target="https://www.sec.gov/ix?doc=/Archives/edgar/data/0001571996/000157199620000045/dell-20200731.htm" TargetMode="External"/><Relationship Id="rId190" Type="http://schemas.openxmlformats.org/officeDocument/2006/relationships/hyperlink" Target="https://www.sec.gov/ix?doc=/Archives/edgar/data/0001571996/000157199620000045/dell-20200731.htm" TargetMode="External"/><Relationship Id="rId204" Type="http://schemas.openxmlformats.org/officeDocument/2006/relationships/hyperlink" Target="https://www.sec.gov/ix?doc=/Archives/edgar/data/0001571996/000157199620000045/dell-20200731.htm" TargetMode="External"/><Relationship Id="rId220" Type="http://schemas.openxmlformats.org/officeDocument/2006/relationships/hyperlink" Target="https://www.sec.gov/Archives/edgar/data/0001571996/000157199620000045/exhibit311q2fy21.htm" TargetMode="External"/><Relationship Id="rId225" Type="http://schemas.openxmlformats.org/officeDocument/2006/relationships/hyperlink" Target="https://www.sec.gov/ix?doc=/Archives/edgar/data/0001571996/000157199620000045/dell-20200731.htm" TargetMode="External"/><Relationship Id="rId15" Type="http://schemas.openxmlformats.org/officeDocument/2006/relationships/hyperlink" Target="https://www.sec.gov/ix?doc=/Archives/edgar/data/0001571996/000157199620000045/dell-20200731.htm" TargetMode="External"/><Relationship Id="rId36" Type="http://schemas.openxmlformats.org/officeDocument/2006/relationships/hyperlink" Target="https://www.sec.gov/ix?doc=/Archives/edgar/data/0001571996/000157199620000045/dell-20200731.htm" TargetMode="External"/><Relationship Id="rId57" Type="http://schemas.openxmlformats.org/officeDocument/2006/relationships/hyperlink" Target="https://www.sec.gov/ix?doc=/Archives/edgar/data/0001571996/000157199620000045/dell-20200731.htm" TargetMode="External"/><Relationship Id="rId106" Type="http://schemas.openxmlformats.org/officeDocument/2006/relationships/hyperlink" Target="https://www.sec.gov/ix?doc=/Archives/edgar/data/0001571996/000157199620000045/dell-20200731.htm" TargetMode="External"/><Relationship Id="rId127" Type="http://schemas.openxmlformats.org/officeDocument/2006/relationships/hyperlink" Target="https://www.sec.gov/ix?doc=/Archives/edgar/data/0001571996/000157199620000045/dell-20200731.htm" TargetMode="External"/><Relationship Id="rId10" Type="http://schemas.openxmlformats.org/officeDocument/2006/relationships/hyperlink" Target="https://www.sec.gov/ix?doc=/Archives/edgar/data/0001571996/000157199620000045/dell-20200731.htm" TargetMode="External"/><Relationship Id="rId31" Type="http://schemas.openxmlformats.org/officeDocument/2006/relationships/hyperlink" Target="https://www.sec.gov/ix?doc=/Archives/edgar/data/0001571996/000157199620000045/dell-20200731.htm" TargetMode="External"/><Relationship Id="rId52" Type="http://schemas.openxmlformats.org/officeDocument/2006/relationships/hyperlink" Target="https://www.sec.gov/ix?doc=/Archives/edgar/data/0001571996/000157199620000045/dell-20200731.htm" TargetMode="External"/><Relationship Id="rId73" Type="http://schemas.openxmlformats.org/officeDocument/2006/relationships/hyperlink" Target="https://www.sec.gov/ix?doc=/Archives/edgar/data/0001571996/000157199620000045/dell-20200731.htm" TargetMode="External"/><Relationship Id="rId78" Type="http://schemas.openxmlformats.org/officeDocument/2006/relationships/hyperlink" Target="https://www.sec.gov/ix?doc=/Archives/edgar/data/0001571996/000157199620000045/dell-20200731.htm" TargetMode="External"/><Relationship Id="rId94" Type="http://schemas.openxmlformats.org/officeDocument/2006/relationships/hyperlink" Target="https://www.sec.gov/ix?doc=/Archives/edgar/data/0001571996/000157199620000045/dell-20200731.htm" TargetMode="External"/><Relationship Id="rId99" Type="http://schemas.openxmlformats.org/officeDocument/2006/relationships/hyperlink" Target="https://www.sec.gov/ix?doc=/Archives/edgar/data/0001571996/000157199620000045/dell-20200731.htm" TargetMode="External"/><Relationship Id="rId101" Type="http://schemas.openxmlformats.org/officeDocument/2006/relationships/hyperlink" Target="https://www.sec.gov/ix?doc=/Archives/edgar/data/0001571996/000157199620000045/dell-20200731.htm" TargetMode="External"/><Relationship Id="rId122" Type="http://schemas.openxmlformats.org/officeDocument/2006/relationships/hyperlink" Target="https://www.sec.gov/ix?doc=/Archives/edgar/data/0001571996/000157199620000045/dell-20200731.htm" TargetMode="External"/><Relationship Id="rId143" Type="http://schemas.openxmlformats.org/officeDocument/2006/relationships/hyperlink" Target="https://www.sec.gov/ix?doc=/Archives/edgar/data/0001571996/000157199620000045/dell-20200731.htm" TargetMode="External"/><Relationship Id="rId148" Type="http://schemas.openxmlformats.org/officeDocument/2006/relationships/hyperlink" Target="https://www.sec.gov/ix?doc=/Archives/edgar/data/0001571996/000157199620000045/dell-20200731.htm" TargetMode="External"/><Relationship Id="rId164" Type="http://schemas.openxmlformats.org/officeDocument/2006/relationships/hyperlink" Target="https://www.sec.gov/ix?doc=/Archives/edgar/data/0001571996/000157199620000045/dell-20200731.htm" TargetMode="External"/><Relationship Id="rId169" Type="http://schemas.openxmlformats.org/officeDocument/2006/relationships/hyperlink" Target="https://www.sec.gov/ix?doc=/Archives/edgar/data/0001571996/000157199620000045/dell-20200731.htm" TargetMode="External"/><Relationship Id="rId185" Type="http://schemas.openxmlformats.org/officeDocument/2006/relationships/hyperlink" Target="https://www.sec.gov/ix?doc=/Archives/edgar/data/0001571996/000157199620000045/dell-20200731.htm" TargetMode="External"/><Relationship Id="rId4" Type="http://schemas.openxmlformats.org/officeDocument/2006/relationships/footnotes" Target="footnotes.xml"/><Relationship Id="rId9" Type="http://schemas.openxmlformats.org/officeDocument/2006/relationships/hyperlink" Target="https://www.sec.gov/ix?doc=/Archives/edgar/data/0001571996/000157199620000045/dell-20200731.htm" TargetMode="External"/><Relationship Id="rId180" Type="http://schemas.openxmlformats.org/officeDocument/2006/relationships/hyperlink" Target="https://www.sec.gov/ix?doc=/Archives/edgar/data/0001571996/000157199620000045/dell-20200731.htm" TargetMode="External"/><Relationship Id="rId210" Type="http://schemas.openxmlformats.org/officeDocument/2006/relationships/hyperlink" Target="https://www.sec.gov/ix?doc=/Archives/edgar/data/0001571996/000157199620000045/dell-20200731.htm" TargetMode="External"/><Relationship Id="rId215" Type="http://schemas.openxmlformats.org/officeDocument/2006/relationships/hyperlink" Target="https://www.sec.gov/ix?doc=/Archives/edgar/data/0001571996/000157199620000045/dell-20200731.htm" TargetMode="External"/><Relationship Id="rId26" Type="http://schemas.openxmlformats.org/officeDocument/2006/relationships/hyperlink" Target="https://www.sec.gov/ix?doc=/Archives/edgar/data/0001571996/000157199620000045/dell-20200731.htm" TargetMode="External"/><Relationship Id="rId47" Type="http://schemas.openxmlformats.org/officeDocument/2006/relationships/hyperlink" Target="https://www.sec.gov/ix?doc=/Archives/edgar/data/0001571996/000157199620000045/dell-20200731.htm" TargetMode="External"/><Relationship Id="rId68" Type="http://schemas.openxmlformats.org/officeDocument/2006/relationships/hyperlink" Target="https://www.sec.gov/ix?doc=/Archives/edgar/data/0001571996/000157199620000045/dell-20200731.htm" TargetMode="External"/><Relationship Id="rId89" Type="http://schemas.openxmlformats.org/officeDocument/2006/relationships/hyperlink" Target="https://www.sec.gov/ix?doc=/Archives/edgar/data/0001571996/000157199620000045/dell-20200731.htm" TargetMode="External"/><Relationship Id="rId112" Type="http://schemas.openxmlformats.org/officeDocument/2006/relationships/hyperlink" Target="https://www.sec.gov/ix?doc=/Archives/edgar/data/0001571996/000157199620000045/dell-20200731.htm" TargetMode="External"/><Relationship Id="rId133" Type="http://schemas.openxmlformats.org/officeDocument/2006/relationships/hyperlink" Target="https://www.sec.gov/ix?doc=/Archives/edgar/data/0001571996/000157199620000045/dell-20200731.htm" TargetMode="External"/><Relationship Id="rId154" Type="http://schemas.openxmlformats.org/officeDocument/2006/relationships/hyperlink" Target="https://www.sec.gov/ix?doc=/Archives/edgar/data/0001571996/000157199620000045/dell-20200731.htm" TargetMode="External"/><Relationship Id="rId175" Type="http://schemas.openxmlformats.org/officeDocument/2006/relationships/hyperlink" Target="https://www.sec.gov/ix?doc=/Archives/edgar/data/0001571996/000157199620000045/dell-20200731.htm" TargetMode="External"/><Relationship Id="rId196" Type="http://schemas.openxmlformats.org/officeDocument/2006/relationships/hyperlink" Target="https://www.sec.gov/ix?doc=/Archives/edgar/data/0001571996/000157199620000045/dell-20200731.htm" TargetMode="External"/><Relationship Id="rId200" Type="http://schemas.openxmlformats.org/officeDocument/2006/relationships/hyperlink" Target="https://www.sec.gov/ix?doc=/Archives/edgar/data/0001571996/000157199620000045/dell-20200731.htm" TargetMode="External"/><Relationship Id="rId16" Type="http://schemas.openxmlformats.org/officeDocument/2006/relationships/hyperlink" Target="https://www.sec.gov/ix?doc=/Archives/edgar/data/0001571996/000157199620000045/dell-20200731.htm" TargetMode="External"/><Relationship Id="rId221" Type="http://schemas.openxmlformats.org/officeDocument/2006/relationships/hyperlink" Target="https://www.sec.gov/Archives/edgar/data/0001571996/000157199620000045/exhibit321q2fy21.htm" TargetMode="External"/><Relationship Id="rId37" Type="http://schemas.openxmlformats.org/officeDocument/2006/relationships/hyperlink" Target="https://www.sec.gov/ix?doc=/Archives/edgar/data/0001571996/000157199620000045/dell-20200731.htm" TargetMode="External"/><Relationship Id="rId58" Type="http://schemas.openxmlformats.org/officeDocument/2006/relationships/hyperlink" Target="https://www.sec.gov/ix?doc=/Archives/edgar/data/0001571996/000157199620000045/dell-20200731.htm" TargetMode="External"/><Relationship Id="rId79" Type="http://schemas.openxmlformats.org/officeDocument/2006/relationships/hyperlink" Target="https://www.sec.gov/ix?doc=/Archives/edgar/data/0001571996/000157199620000045/dell-20200731.htm" TargetMode="External"/><Relationship Id="rId102" Type="http://schemas.openxmlformats.org/officeDocument/2006/relationships/hyperlink" Target="https://www.sec.gov/ix?doc=/Archives/edgar/data/0001571996/000157199620000045/dell-20200731.htm" TargetMode="External"/><Relationship Id="rId123" Type="http://schemas.openxmlformats.org/officeDocument/2006/relationships/hyperlink" Target="https://www.sec.gov/ix?doc=/Archives/edgar/data/0001571996/000157199620000045/dell-20200731.htm" TargetMode="External"/><Relationship Id="rId144" Type="http://schemas.openxmlformats.org/officeDocument/2006/relationships/hyperlink" Target="https://www.sec.gov/ix?doc=/Archives/edgar/data/0001571996/000157199620000045/dell-20200731.htm" TargetMode="External"/><Relationship Id="rId90" Type="http://schemas.openxmlformats.org/officeDocument/2006/relationships/hyperlink" Target="https://www.sec.gov/ix?doc=/Archives/edgar/data/0001571996/000157199620000045/dell-20200731.htm" TargetMode="External"/><Relationship Id="rId165" Type="http://schemas.openxmlformats.org/officeDocument/2006/relationships/hyperlink" Target="https://www.sec.gov/ix?doc=/Archives/edgar/data/0001571996/000157199620000045/dell-20200731.htm" TargetMode="External"/><Relationship Id="rId186" Type="http://schemas.openxmlformats.org/officeDocument/2006/relationships/hyperlink" Target="https://www.sec.gov/ix?doc=/Archives/edgar/data/0001571996/000157199620000045/dell-20200731.htm" TargetMode="External"/><Relationship Id="rId211" Type="http://schemas.openxmlformats.org/officeDocument/2006/relationships/hyperlink" Target="https://www.sec.gov/ix?doc=/Archives/edgar/data/0001571996/000157199620000045/dell-20200731.htm" TargetMode="External"/><Relationship Id="rId27" Type="http://schemas.openxmlformats.org/officeDocument/2006/relationships/hyperlink" Target="https://www.sec.gov/ix?doc=/Archives/edgar/data/0001571996/000157199620000045/dell-20200731.htm" TargetMode="External"/><Relationship Id="rId48" Type="http://schemas.openxmlformats.org/officeDocument/2006/relationships/hyperlink" Target="https://www.sec.gov/ix?doc=/Archives/edgar/data/0001571996/000157199620000045/dell-20200731.htm" TargetMode="External"/><Relationship Id="rId69" Type="http://schemas.openxmlformats.org/officeDocument/2006/relationships/hyperlink" Target="https://www.sec.gov/ix?doc=/Archives/edgar/data/0001571996/000157199620000045/dell-20200731.htm" TargetMode="External"/><Relationship Id="rId113" Type="http://schemas.openxmlformats.org/officeDocument/2006/relationships/hyperlink" Target="https://www.sec.gov/ix?doc=/Archives/edgar/data/0001571996/000157199620000045/dell-20200731.htm" TargetMode="External"/><Relationship Id="rId134" Type="http://schemas.openxmlformats.org/officeDocument/2006/relationships/hyperlink" Target="https://www.sec.gov/ix?doc=/Archives/edgar/data/0001571996/000157199620000045/dell-20200731.htm" TargetMode="External"/><Relationship Id="rId80" Type="http://schemas.openxmlformats.org/officeDocument/2006/relationships/hyperlink" Target="https://www.sec.gov/ix?doc=/Archives/edgar/data/0001571996/000157199620000045/dell-20200731.htm" TargetMode="External"/><Relationship Id="rId155" Type="http://schemas.openxmlformats.org/officeDocument/2006/relationships/hyperlink" Target="https://www.sec.gov/ix?doc=/Archives/edgar/data/0001571996/000157199620000045/dell-20200731.htm" TargetMode="External"/><Relationship Id="rId176" Type="http://schemas.openxmlformats.org/officeDocument/2006/relationships/hyperlink" Target="https://www.sec.gov/ix?doc=/Archives/edgar/data/0001571996/000157199620000045/dell-20200731.htm" TargetMode="External"/><Relationship Id="rId197" Type="http://schemas.openxmlformats.org/officeDocument/2006/relationships/hyperlink" Target="https://www.sec.gov/ix?doc=/Archives/edgar/data/0001571996/000157199620000045/dell-20200731.htm" TargetMode="External"/><Relationship Id="rId201" Type="http://schemas.openxmlformats.org/officeDocument/2006/relationships/hyperlink" Target="https://www.sec.gov/ix?doc=/Archives/edgar/data/0001571996/000157199620000045/dell-20200731.htm" TargetMode="External"/><Relationship Id="rId222" Type="http://schemas.openxmlformats.org/officeDocument/2006/relationships/hyperlink" Target="https://www.sec.gov/Archives/edgar/data/0001571996/000157199620000045/exhibit312q2fy21.htm" TargetMode="External"/><Relationship Id="rId17" Type="http://schemas.openxmlformats.org/officeDocument/2006/relationships/hyperlink" Target="https://www.sec.gov/ix?doc=/Archives/edgar/data/0001571996/000157199620000045/dell-20200731.htm" TargetMode="External"/><Relationship Id="rId38" Type="http://schemas.openxmlformats.org/officeDocument/2006/relationships/hyperlink" Target="https://www.sec.gov/ix?doc=/Archives/edgar/data/0001571996/000157199620000045/dell-20200731.htm" TargetMode="External"/><Relationship Id="rId59" Type="http://schemas.openxmlformats.org/officeDocument/2006/relationships/hyperlink" Target="https://www.sec.gov/ix?doc=/Archives/edgar/data/0001571996/000157199620000045/dell-20200731.htm" TargetMode="External"/><Relationship Id="rId103" Type="http://schemas.openxmlformats.org/officeDocument/2006/relationships/hyperlink" Target="https://www.sec.gov/ix?doc=/Archives/edgar/data/0001571996/000157199620000045/dell-20200731.htm" TargetMode="External"/><Relationship Id="rId124" Type="http://schemas.openxmlformats.org/officeDocument/2006/relationships/hyperlink" Target="https://www.sec.gov/ix?doc=/Archives/edgar/data/0001571996/000157199620000045/dell-20200731.htm" TargetMode="External"/><Relationship Id="rId70" Type="http://schemas.openxmlformats.org/officeDocument/2006/relationships/hyperlink" Target="https://www.sec.gov/ix?doc=/Archives/edgar/data/0001571996/000157199620000045/dell-20200731.htm" TargetMode="External"/><Relationship Id="rId91" Type="http://schemas.openxmlformats.org/officeDocument/2006/relationships/hyperlink" Target="https://www.sec.gov/ix?doc=/Archives/edgar/data/0001571996/000157199620000045/dell-20200731.htm" TargetMode="External"/><Relationship Id="rId145" Type="http://schemas.openxmlformats.org/officeDocument/2006/relationships/hyperlink" Target="https://www.sec.gov/ix?doc=/Archives/edgar/data/0001571996/000157199620000045/dell-20200731.htm" TargetMode="External"/><Relationship Id="rId166" Type="http://schemas.openxmlformats.org/officeDocument/2006/relationships/hyperlink" Target="https://www.sec.gov/ix?doc=/Archives/edgar/data/0001571996/000157199620000045/dell-20200731.htm" TargetMode="External"/><Relationship Id="rId187" Type="http://schemas.openxmlformats.org/officeDocument/2006/relationships/hyperlink" Target="https://www.sec.gov/ix?doc=/Archives/edgar/data/0001571996/000157199620000045/dell-20200731.htm" TargetMode="External"/><Relationship Id="rId1" Type="http://schemas.openxmlformats.org/officeDocument/2006/relationships/styles" Target="styles.xml"/><Relationship Id="rId212" Type="http://schemas.openxmlformats.org/officeDocument/2006/relationships/hyperlink" Target="https://www.sec.gov/ix?doc=/Archives/edgar/data/0001571996/000157199620000045/dell-20200731.htm" TargetMode="External"/><Relationship Id="rId28" Type="http://schemas.openxmlformats.org/officeDocument/2006/relationships/hyperlink" Target="https://www.sec.gov/ix?doc=/Archives/edgar/data/0001571996/000157199620000045/dell-20200731.htm" TargetMode="External"/><Relationship Id="rId49" Type="http://schemas.openxmlformats.org/officeDocument/2006/relationships/hyperlink" Target="https://www.sec.gov/ix?doc=/Archives/edgar/data/0001571996/000157199620000045/dell-20200731.htm" TargetMode="External"/><Relationship Id="rId114" Type="http://schemas.openxmlformats.org/officeDocument/2006/relationships/hyperlink" Target="https://www.sec.gov/ix?doc=/Archives/edgar/data/0001571996/000157199620000045/dell-20200731.htm" TargetMode="External"/><Relationship Id="rId60" Type="http://schemas.openxmlformats.org/officeDocument/2006/relationships/hyperlink" Target="https://www.sec.gov/ix?doc=/Archives/edgar/data/0001571996/000157199620000045/dell-20200731.htm" TargetMode="External"/><Relationship Id="rId81" Type="http://schemas.openxmlformats.org/officeDocument/2006/relationships/hyperlink" Target="https://www.sec.gov/ix?doc=/Archives/edgar/data/0001571996/000157199620000045/dell-20200731.htm" TargetMode="External"/><Relationship Id="rId135" Type="http://schemas.openxmlformats.org/officeDocument/2006/relationships/hyperlink" Target="https://www.sec.gov/ix?doc=/Archives/edgar/data/0001571996/000157199620000045/dell-20200731.htm" TargetMode="External"/><Relationship Id="rId156" Type="http://schemas.openxmlformats.org/officeDocument/2006/relationships/hyperlink" Target="https://www.sec.gov/ix?doc=/Archives/edgar/data/0001571996/000157199620000045/dell-20200731.htm" TargetMode="External"/><Relationship Id="rId177" Type="http://schemas.openxmlformats.org/officeDocument/2006/relationships/hyperlink" Target="https://www.sec.gov/ix?doc=/Archives/edgar/data/0001571996/000157199620000045/dell-20200731.htm" TargetMode="External"/><Relationship Id="rId198" Type="http://schemas.openxmlformats.org/officeDocument/2006/relationships/hyperlink" Target="https://www.sec.gov/ix?doc=/Archives/edgar/data/0001571996/000157199620000045/dell-20200731.htm" TargetMode="External"/><Relationship Id="rId202" Type="http://schemas.openxmlformats.org/officeDocument/2006/relationships/hyperlink" Target="https://www.sec.gov/ix?doc=/Archives/edgar/data/0001571996/000157199620000045/dell-20200731.htm" TargetMode="External"/><Relationship Id="rId223" Type="http://schemas.openxmlformats.org/officeDocument/2006/relationships/hyperlink" Target="https://www.sec.gov/Archives/edgar/data/0001571996/000157199620000045/exhibit321q2fy21.htm" TargetMode="External"/><Relationship Id="rId18" Type="http://schemas.openxmlformats.org/officeDocument/2006/relationships/hyperlink" Target="https://www.sec.gov/ix?doc=/Archives/edgar/data/0001571996/000157199620000045/dell-20200731.htm" TargetMode="External"/><Relationship Id="rId39" Type="http://schemas.openxmlformats.org/officeDocument/2006/relationships/hyperlink" Target="https://www.sec.gov/ix?doc=/Archives/edgar/data/0001571996/000157199620000045/dell-20200731.htm" TargetMode="External"/><Relationship Id="rId50" Type="http://schemas.openxmlformats.org/officeDocument/2006/relationships/hyperlink" Target="https://www.sec.gov/ix?doc=/Archives/edgar/data/0001571996/000157199620000045/dell-20200731.htm" TargetMode="External"/><Relationship Id="rId104" Type="http://schemas.openxmlformats.org/officeDocument/2006/relationships/hyperlink" Target="https://www.sec.gov/ix?doc=/Archives/edgar/data/0001571996/000157199620000045/dell-20200731.htm" TargetMode="External"/><Relationship Id="rId125" Type="http://schemas.openxmlformats.org/officeDocument/2006/relationships/hyperlink" Target="https://www.sec.gov/ix?doc=/Archives/edgar/data/0001571996/000157199620000045/dell-20200731.htm" TargetMode="External"/><Relationship Id="rId146" Type="http://schemas.openxmlformats.org/officeDocument/2006/relationships/hyperlink" Target="https://www.sec.gov/ix?doc=/Archives/edgar/data/0001571996/000157199620000045/dell-20200731.htm" TargetMode="External"/><Relationship Id="rId167" Type="http://schemas.openxmlformats.org/officeDocument/2006/relationships/hyperlink" Target="https://www.sec.gov/ix?doc=/Archives/edgar/data/0001571996/000157199620000045/dell-20200731.htm" TargetMode="External"/><Relationship Id="rId188" Type="http://schemas.openxmlformats.org/officeDocument/2006/relationships/hyperlink" Target="https://www.sec.gov/ix?doc=/Archives/edgar/data/0001571996/000157199620000045/dell-20200731.htm" TargetMode="External"/><Relationship Id="rId71" Type="http://schemas.openxmlformats.org/officeDocument/2006/relationships/hyperlink" Target="https://www.sec.gov/ix?doc=/Archives/edgar/data/0001571996/000157199620000045/dell-20200731.htm" TargetMode="External"/><Relationship Id="rId92" Type="http://schemas.openxmlformats.org/officeDocument/2006/relationships/hyperlink" Target="https://www.sec.gov/ix?doc=/Archives/edgar/data/0001571996/000157199620000045/dell-20200731.htm" TargetMode="External"/><Relationship Id="rId213" Type="http://schemas.openxmlformats.org/officeDocument/2006/relationships/hyperlink" Target="https://www.sec.gov/ix?doc=/Archives/edgar/data/0001571996/000157199620000045/dell-20200731.htm" TargetMode="External"/><Relationship Id="rId2" Type="http://schemas.openxmlformats.org/officeDocument/2006/relationships/settings" Target="settings.xml"/><Relationship Id="rId29" Type="http://schemas.openxmlformats.org/officeDocument/2006/relationships/hyperlink" Target="https://www.sec.gov/ix?doc=/Archives/edgar/data/0001571996/000157199620000045/dell-20200731.htm" TargetMode="External"/><Relationship Id="rId40" Type="http://schemas.openxmlformats.org/officeDocument/2006/relationships/hyperlink" Target="https://www.sec.gov/ix?doc=/Archives/edgar/data/0001571996/000157199620000045/dell-20200731.htm" TargetMode="External"/><Relationship Id="rId115" Type="http://schemas.openxmlformats.org/officeDocument/2006/relationships/hyperlink" Target="https://www.sec.gov/ix?doc=/Archives/edgar/data/0001571996/000157199620000045/dell-20200731.htm" TargetMode="External"/><Relationship Id="rId136" Type="http://schemas.openxmlformats.org/officeDocument/2006/relationships/hyperlink" Target="https://www.sec.gov/ix?doc=/Archives/edgar/data/0001571996/000157199620000045/dell-20200731.htm" TargetMode="External"/><Relationship Id="rId157" Type="http://schemas.openxmlformats.org/officeDocument/2006/relationships/hyperlink" Target="https://www.sec.gov/ix?doc=/Archives/edgar/data/0001571996/000157199620000045/dell-20200731.htm" TargetMode="External"/><Relationship Id="rId178" Type="http://schemas.openxmlformats.org/officeDocument/2006/relationships/hyperlink" Target="https://www.sec.gov/ix?doc=/Archives/edgar/data/0001571996/000157199620000045/dell-20200731.htm" TargetMode="External"/><Relationship Id="rId61" Type="http://schemas.openxmlformats.org/officeDocument/2006/relationships/hyperlink" Target="https://www.sec.gov/ix?doc=/Archives/edgar/data/0001571996/000157199620000045/dell-20200731.htm" TargetMode="External"/><Relationship Id="rId82" Type="http://schemas.openxmlformats.org/officeDocument/2006/relationships/hyperlink" Target="https://www.sec.gov/ix?doc=/Archives/edgar/data/0001571996/000157199620000045/dell-20200731.htm" TargetMode="External"/><Relationship Id="rId199" Type="http://schemas.openxmlformats.org/officeDocument/2006/relationships/hyperlink" Target="https://www.sec.gov/ix?doc=/Archives/edgar/data/0001571996/000157199620000045/dell-20200731.htm" TargetMode="External"/><Relationship Id="rId203" Type="http://schemas.openxmlformats.org/officeDocument/2006/relationships/hyperlink" Target="https://www.sec.gov/ix?doc=/Archives/edgar/data/0001571996/000157199620000045/dell-20200731.htm" TargetMode="External"/><Relationship Id="rId19" Type="http://schemas.openxmlformats.org/officeDocument/2006/relationships/hyperlink" Target="https://www.sec.gov/ix?doc=/Archives/edgar/data/0001571996/000157199620000045/dell-20200731.htm" TargetMode="External"/><Relationship Id="rId224" Type="http://schemas.openxmlformats.org/officeDocument/2006/relationships/hyperlink" Target="https://www.sec.gov/Archives/edgar/data/0001571996/000157199620000045/exhibit321q2fy21.htm" TargetMode="External"/><Relationship Id="rId30" Type="http://schemas.openxmlformats.org/officeDocument/2006/relationships/hyperlink" Target="https://www.sec.gov/ix?doc=/Archives/edgar/data/0001571996/000157199620000045/dell-20200731.htm" TargetMode="External"/><Relationship Id="rId105" Type="http://schemas.openxmlformats.org/officeDocument/2006/relationships/hyperlink" Target="https://www.sec.gov/ix?doc=/Archives/edgar/data/0001571996/000157199620000045/dell-20200731.htm" TargetMode="External"/><Relationship Id="rId126" Type="http://schemas.openxmlformats.org/officeDocument/2006/relationships/hyperlink" Target="https://www.sec.gov/ix?doc=/Archives/edgar/data/0001571996/000157199620000045/dell-20200731.htm" TargetMode="External"/><Relationship Id="rId147" Type="http://schemas.openxmlformats.org/officeDocument/2006/relationships/hyperlink" Target="https://www.sec.gov/ix?doc=/Archives/edgar/data/0001571996/000157199620000045/dell-20200731.htm" TargetMode="External"/><Relationship Id="rId168" Type="http://schemas.openxmlformats.org/officeDocument/2006/relationships/hyperlink" Target="https://www.sec.gov/ix?doc=/Archives/edgar/data/0001571996/000157199620000045/dell-20200731.htm" TargetMode="External"/><Relationship Id="rId51" Type="http://schemas.openxmlformats.org/officeDocument/2006/relationships/hyperlink" Target="https://www.sec.gov/ix?doc=/Archives/edgar/data/0001571996/000157199620000045/dell-20200731.htm" TargetMode="External"/><Relationship Id="rId72" Type="http://schemas.openxmlformats.org/officeDocument/2006/relationships/hyperlink" Target="https://www.sec.gov/ix?doc=/Archives/edgar/data/0001571996/000157199620000045/dell-20200731.htm" TargetMode="External"/><Relationship Id="rId93" Type="http://schemas.openxmlformats.org/officeDocument/2006/relationships/hyperlink" Target="https://www.sec.gov/ix?doc=/Archives/edgar/data/0001571996/000157199620000045/dell-20200731.htm" TargetMode="External"/><Relationship Id="rId189" Type="http://schemas.openxmlformats.org/officeDocument/2006/relationships/hyperlink" Target="https://www.sec.gov/ix?doc=/Archives/edgar/data/0001571996/000157199620000045/dell-202007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50123</Words>
  <Characters>285702</Characters>
  <Application>Microsoft Office Word</Application>
  <DocSecurity>0</DocSecurity>
  <Lines>2380</Lines>
  <Paragraphs>670</Paragraphs>
  <ScaleCrop>false</ScaleCrop>
  <Company/>
  <LinksUpToDate>false</LinksUpToDate>
  <CharactersWithSpaces>335155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2023-02-11T18:55:00Z</dcterms:created>
  <dcterms:modified xsi:type="dcterms:W3CDTF">2023-02-13T13:04:00Z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F58781053F95E99F3474E7630D50E330</vt:lpwstr>
  </property>
</Properties>
</file>